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A2EC33F">
      <w:pPr>
        <w:rPr>
          <w:rFonts w:hint="eastAsia" w:eastAsiaTheme="minorEastAsia"/>
          <w:sz w:val="32"/>
          <w:highlight w:val="none"/>
          <w:lang w:val="en-US" w:eastAsia="zh-CN"/>
        </w:rPr>
      </w:pPr>
    </w:p>
    <w:p w14:paraId="1A1788A8">
      <w:pPr>
        <w:keepNext w:val="0"/>
        <w:keepLines w:val="0"/>
        <w:pageBreakBefore w:val="0"/>
        <w:widowControl w:val="0"/>
        <w:kinsoku/>
        <w:wordWrap w:val="0"/>
        <w:overflowPunct/>
        <w:topLinePunct w:val="0"/>
        <w:autoSpaceDE/>
        <w:autoSpaceDN/>
        <w:bidi w:val="0"/>
        <w:adjustRightInd w:val="0"/>
        <w:snapToGrid w:val="0"/>
        <w:ind w:firstLine="0" w:firstLineChars="0"/>
        <w:jc w:val="center"/>
        <w:textAlignment w:val="auto"/>
        <w:rPr>
          <w:rFonts w:hint="eastAsia" w:eastAsiaTheme="minorEastAsia"/>
          <w:sz w:val="36"/>
          <w:highlight w:val="none"/>
          <w:lang w:eastAsia="zh-CN"/>
        </w:rPr>
      </w:pPr>
    </w:p>
    <w:p w14:paraId="0FE0AC63">
      <w:pPr>
        <w:jc w:val="center"/>
        <w:rPr>
          <w:rFonts w:eastAsiaTheme="minorEastAsia"/>
          <w:sz w:val="36"/>
          <w:highlight w:val="none"/>
        </w:rPr>
      </w:pPr>
    </w:p>
    <w:p w14:paraId="194B943E">
      <w:pPr>
        <w:keepNext w:val="0"/>
        <w:keepLines w:val="0"/>
        <w:pageBreakBefore w:val="0"/>
        <w:widowControl w:val="0"/>
        <w:kinsoku/>
        <w:wordWrap w:val="0"/>
        <w:overflowPunct/>
        <w:topLinePunct w:val="0"/>
        <w:autoSpaceDE/>
        <w:autoSpaceDN/>
        <w:bidi w:val="0"/>
        <w:adjustRightInd w:val="0"/>
        <w:snapToGrid w:val="0"/>
        <w:spacing w:line="640" w:lineRule="exact"/>
        <w:ind w:firstLine="0" w:firstLineChars="0"/>
        <w:jc w:val="center"/>
        <w:textAlignment w:val="auto"/>
        <w:outlineLvl w:val="9"/>
        <w:rPr>
          <w:rFonts w:hint="eastAsia" w:eastAsiaTheme="minorEastAsia"/>
          <w:sz w:val="44"/>
          <w:szCs w:val="44"/>
          <w:highlight w:val="none"/>
          <w:lang w:eastAsia="zh-CN"/>
        </w:rPr>
      </w:pPr>
      <w:r>
        <w:rPr>
          <w:rFonts w:hint="eastAsia" w:eastAsiaTheme="minorEastAsia"/>
          <w:sz w:val="44"/>
          <w:szCs w:val="44"/>
          <w:highlight w:val="none"/>
          <w:lang w:eastAsia="zh-CN"/>
        </w:rPr>
        <w:t>4G9生产线更新改造项目</w:t>
      </w:r>
    </w:p>
    <w:p w14:paraId="27BE0EE9">
      <w:pPr>
        <w:keepNext w:val="0"/>
        <w:keepLines w:val="0"/>
        <w:pageBreakBefore w:val="0"/>
        <w:widowControl w:val="0"/>
        <w:kinsoku/>
        <w:wordWrap w:val="0"/>
        <w:overflowPunct/>
        <w:topLinePunct w:val="0"/>
        <w:autoSpaceDE/>
        <w:autoSpaceDN/>
        <w:bidi w:val="0"/>
        <w:adjustRightInd w:val="0"/>
        <w:snapToGrid w:val="0"/>
        <w:spacing w:line="640" w:lineRule="exact"/>
        <w:ind w:firstLine="0" w:firstLineChars="0"/>
        <w:jc w:val="center"/>
        <w:textAlignment w:val="auto"/>
        <w:outlineLvl w:val="9"/>
        <w:rPr>
          <w:rFonts w:eastAsiaTheme="minorEastAsia"/>
          <w:sz w:val="44"/>
          <w:szCs w:val="44"/>
          <w:highlight w:val="none"/>
        </w:rPr>
      </w:pPr>
    </w:p>
    <w:p w14:paraId="5A37FB4D">
      <w:pPr>
        <w:keepNext w:val="0"/>
        <w:keepLines w:val="0"/>
        <w:pageBreakBefore w:val="0"/>
        <w:widowControl w:val="0"/>
        <w:kinsoku/>
        <w:wordWrap w:val="0"/>
        <w:overflowPunct/>
        <w:topLinePunct w:val="0"/>
        <w:autoSpaceDE/>
        <w:autoSpaceDN/>
        <w:bidi w:val="0"/>
        <w:adjustRightInd w:val="0"/>
        <w:snapToGrid w:val="0"/>
        <w:spacing w:line="720" w:lineRule="auto"/>
        <w:ind w:firstLine="0" w:firstLineChars="0"/>
        <w:jc w:val="center"/>
        <w:textAlignment w:val="auto"/>
        <w:outlineLvl w:val="9"/>
        <w:rPr>
          <w:rFonts w:eastAsiaTheme="minorEastAsia"/>
          <w:b/>
          <w:bCs/>
          <w:spacing w:val="36"/>
          <w:sz w:val="84"/>
          <w:highlight w:val="none"/>
        </w:rPr>
      </w:pPr>
      <w:r>
        <w:rPr>
          <w:rFonts w:hAnsiTheme="minorEastAsia" w:eastAsiaTheme="minorEastAsia"/>
          <w:b/>
          <w:bCs/>
          <w:spacing w:val="36"/>
          <w:sz w:val="84"/>
          <w:highlight w:val="none"/>
        </w:rPr>
        <w:t>环境影响报告书</w:t>
      </w:r>
    </w:p>
    <w:p w14:paraId="6D1593D6">
      <w:pPr>
        <w:keepNext w:val="0"/>
        <w:keepLines w:val="0"/>
        <w:pageBreakBefore w:val="0"/>
        <w:widowControl w:val="0"/>
        <w:kinsoku/>
        <w:wordWrap w:val="0"/>
        <w:overflowPunct/>
        <w:topLinePunct w:val="0"/>
        <w:autoSpaceDE/>
        <w:autoSpaceDN/>
        <w:bidi w:val="0"/>
        <w:adjustRightInd w:val="0"/>
        <w:snapToGrid w:val="0"/>
        <w:spacing w:line="360" w:lineRule="auto"/>
        <w:jc w:val="center"/>
        <w:textAlignment w:val="auto"/>
        <w:outlineLvl w:val="9"/>
        <w:rPr>
          <w:rFonts w:eastAsiaTheme="minorEastAsia"/>
          <w:b/>
          <w:bCs/>
          <w:sz w:val="30"/>
          <w:szCs w:val="30"/>
          <w:highlight w:val="none"/>
        </w:rPr>
      </w:pPr>
    </w:p>
    <w:p w14:paraId="3E262A89">
      <w:pPr>
        <w:keepNext w:val="0"/>
        <w:keepLines w:val="0"/>
        <w:pageBreakBefore w:val="0"/>
        <w:widowControl w:val="0"/>
        <w:kinsoku/>
        <w:wordWrap w:val="0"/>
        <w:overflowPunct/>
        <w:topLinePunct w:val="0"/>
        <w:autoSpaceDE/>
        <w:autoSpaceDN/>
        <w:bidi w:val="0"/>
        <w:adjustRightInd w:val="0"/>
        <w:snapToGrid w:val="0"/>
        <w:jc w:val="center"/>
        <w:textAlignment w:val="auto"/>
        <w:outlineLvl w:val="9"/>
        <w:rPr>
          <w:rFonts w:eastAsiaTheme="minorEastAsia"/>
          <w:sz w:val="30"/>
          <w:highlight w:val="none"/>
        </w:rPr>
      </w:pPr>
    </w:p>
    <w:p w14:paraId="3BCB6FD6">
      <w:pPr>
        <w:keepNext w:val="0"/>
        <w:keepLines w:val="0"/>
        <w:pageBreakBefore w:val="0"/>
        <w:widowControl w:val="0"/>
        <w:kinsoku/>
        <w:wordWrap w:val="0"/>
        <w:overflowPunct/>
        <w:topLinePunct w:val="0"/>
        <w:autoSpaceDE/>
        <w:autoSpaceDN/>
        <w:bidi w:val="0"/>
        <w:adjustRightInd w:val="0"/>
        <w:snapToGrid w:val="0"/>
        <w:jc w:val="center"/>
        <w:textAlignment w:val="auto"/>
        <w:outlineLvl w:val="9"/>
        <w:rPr>
          <w:rFonts w:eastAsiaTheme="minorEastAsia"/>
          <w:sz w:val="28"/>
          <w:highlight w:val="none"/>
        </w:rPr>
      </w:pPr>
    </w:p>
    <w:p w14:paraId="671C1A22">
      <w:pPr>
        <w:keepNext w:val="0"/>
        <w:keepLines w:val="0"/>
        <w:pageBreakBefore w:val="0"/>
        <w:widowControl w:val="0"/>
        <w:kinsoku/>
        <w:wordWrap w:val="0"/>
        <w:overflowPunct/>
        <w:topLinePunct w:val="0"/>
        <w:autoSpaceDE/>
        <w:autoSpaceDN/>
        <w:bidi w:val="0"/>
        <w:adjustRightInd w:val="0"/>
        <w:snapToGrid w:val="0"/>
        <w:jc w:val="center"/>
        <w:textAlignment w:val="auto"/>
        <w:outlineLvl w:val="9"/>
        <w:rPr>
          <w:rFonts w:eastAsiaTheme="minorEastAsia"/>
          <w:b/>
          <w:sz w:val="36"/>
          <w:szCs w:val="36"/>
          <w:highlight w:val="none"/>
        </w:rPr>
      </w:pPr>
    </w:p>
    <w:p w14:paraId="386E3DB0">
      <w:pPr>
        <w:keepNext w:val="0"/>
        <w:keepLines w:val="0"/>
        <w:pageBreakBefore w:val="0"/>
        <w:widowControl w:val="0"/>
        <w:kinsoku/>
        <w:wordWrap w:val="0"/>
        <w:overflowPunct/>
        <w:topLinePunct w:val="0"/>
        <w:autoSpaceDE/>
        <w:autoSpaceDN/>
        <w:bidi w:val="0"/>
        <w:adjustRightInd w:val="0"/>
        <w:snapToGrid w:val="0"/>
        <w:jc w:val="center"/>
        <w:textAlignment w:val="auto"/>
        <w:outlineLvl w:val="9"/>
        <w:rPr>
          <w:rFonts w:eastAsiaTheme="minorEastAsia"/>
          <w:sz w:val="28"/>
          <w:highlight w:val="none"/>
        </w:rPr>
      </w:pPr>
    </w:p>
    <w:p w14:paraId="04AE5AE3">
      <w:pPr>
        <w:keepNext w:val="0"/>
        <w:keepLines w:val="0"/>
        <w:pageBreakBefore w:val="0"/>
        <w:widowControl w:val="0"/>
        <w:kinsoku/>
        <w:wordWrap w:val="0"/>
        <w:overflowPunct/>
        <w:topLinePunct w:val="0"/>
        <w:autoSpaceDE/>
        <w:autoSpaceDN/>
        <w:bidi w:val="0"/>
        <w:adjustRightInd w:val="0"/>
        <w:snapToGrid w:val="0"/>
        <w:jc w:val="center"/>
        <w:textAlignment w:val="auto"/>
        <w:outlineLvl w:val="9"/>
        <w:rPr>
          <w:rFonts w:eastAsiaTheme="minorEastAsia"/>
          <w:sz w:val="28"/>
          <w:highlight w:val="none"/>
        </w:rPr>
      </w:pPr>
    </w:p>
    <w:p w14:paraId="5433E0DA">
      <w:pPr>
        <w:keepNext w:val="0"/>
        <w:keepLines w:val="0"/>
        <w:pageBreakBefore w:val="0"/>
        <w:widowControl w:val="0"/>
        <w:kinsoku/>
        <w:wordWrap w:val="0"/>
        <w:overflowPunct/>
        <w:topLinePunct w:val="0"/>
        <w:autoSpaceDE/>
        <w:autoSpaceDN/>
        <w:bidi w:val="0"/>
        <w:adjustRightInd w:val="0"/>
        <w:snapToGrid w:val="0"/>
        <w:jc w:val="center"/>
        <w:textAlignment w:val="auto"/>
        <w:outlineLvl w:val="9"/>
        <w:rPr>
          <w:rFonts w:eastAsiaTheme="minorEastAsia"/>
          <w:sz w:val="28"/>
          <w:highlight w:val="none"/>
        </w:rPr>
      </w:pPr>
    </w:p>
    <w:p w14:paraId="0173ED68">
      <w:pPr>
        <w:keepNext w:val="0"/>
        <w:keepLines w:val="0"/>
        <w:pageBreakBefore w:val="0"/>
        <w:widowControl w:val="0"/>
        <w:kinsoku/>
        <w:wordWrap w:val="0"/>
        <w:overflowPunct/>
        <w:topLinePunct w:val="0"/>
        <w:autoSpaceDE/>
        <w:autoSpaceDN/>
        <w:bidi w:val="0"/>
        <w:adjustRightInd w:val="0"/>
        <w:snapToGrid w:val="0"/>
        <w:ind w:firstLine="0" w:firstLineChars="0"/>
        <w:jc w:val="center"/>
        <w:textAlignment w:val="auto"/>
        <w:outlineLvl w:val="9"/>
        <w:rPr>
          <w:rFonts w:eastAsiaTheme="minorEastAsia"/>
          <w:sz w:val="28"/>
          <w:highlight w:val="none"/>
        </w:rPr>
      </w:pPr>
    </w:p>
    <w:p w14:paraId="59FB3682">
      <w:pPr>
        <w:keepNext w:val="0"/>
        <w:keepLines w:val="0"/>
        <w:pageBreakBefore w:val="0"/>
        <w:widowControl w:val="0"/>
        <w:kinsoku/>
        <w:wordWrap w:val="0"/>
        <w:overflowPunct/>
        <w:topLinePunct w:val="0"/>
        <w:autoSpaceDE/>
        <w:autoSpaceDN/>
        <w:bidi w:val="0"/>
        <w:adjustRightInd w:val="0"/>
        <w:snapToGrid w:val="0"/>
        <w:ind w:firstLine="0" w:firstLineChars="0"/>
        <w:jc w:val="center"/>
        <w:textAlignment w:val="auto"/>
        <w:outlineLvl w:val="9"/>
        <w:rPr>
          <w:rFonts w:hint="eastAsia" w:eastAsiaTheme="minorEastAsia"/>
          <w:b/>
          <w:sz w:val="28"/>
          <w:highlight w:val="none"/>
          <w:lang w:eastAsia="zh-CN"/>
        </w:rPr>
      </w:pPr>
      <w:bookmarkStart w:id="0" w:name="_Toc5010"/>
      <w:bookmarkStart w:id="1" w:name="_Toc26979"/>
      <w:r>
        <w:rPr>
          <w:rFonts w:hAnsiTheme="minorEastAsia" w:eastAsiaTheme="minorEastAsia"/>
          <w:b/>
          <w:sz w:val="28"/>
          <w:highlight w:val="none"/>
        </w:rPr>
        <w:t>建设单位：</w:t>
      </w:r>
      <w:bookmarkEnd w:id="0"/>
      <w:bookmarkEnd w:id="1"/>
      <w:r>
        <w:rPr>
          <w:rFonts w:hint="eastAsia" w:hAnsiTheme="minorEastAsia" w:eastAsiaTheme="minorEastAsia"/>
          <w:b/>
          <w:sz w:val="28"/>
          <w:highlight w:val="none"/>
          <w:lang w:eastAsia="zh-CN"/>
        </w:rPr>
        <w:t>哈尔滨东安汽车发动机制造有限公司</w:t>
      </w:r>
    </w:p>
    <w:p w14:paraId="604BE9E1">
      <w:pPr>
        <w:keepNext w:val="0"/>
        <w:keepLines w:val="0"/>
        <w:pageBreakBefore w:val="0"/>
        <w:widowControl w:val="0"/>
        <w:kinsoku/>
        <w:wordWrap w:val="0"/>
        <w:overflowPunct/>
        <w:topLinePunct w:val="0"/>
        <w:autoSpaceDE/>
        <w:autoSpaceDN/>
        <w:bidi w:val="0"/>
        <w:adjustRightInd w:val="0"/>
        <w:snapToGrid w:val="0"/>
        <w:ind w:firstLine="0" w:firstLineChars="0"/>
        <w:jc w:val="center"/>
        <w:textAlignment w:val="auto"/>
        <w:outlineLvl w:val="9"/>
        <w:rPr>
          <w:rFonts w:eastAsiaTheme="minorEastAsia"/>
          <w:b/>
          <w:sz w:val="28"/>
          <w:highlight w:val="none"/>
        </w:rPr>
      </w:pPr>
      <w:bookmarkStart w:id="2" w:name="_Toc967"/>
      <w:bookmarkStart w:id="3" w:name="_Toc17219"/>
      <w:r>
        <w:rPr>
          <w:rFonts w:hAnsiTheme="minorEastAsia" w:eastAsiaTheme="minorEastAsia"/>
          <w:b/>
          <w:sz w:val="28"/>
          <w:highlight w:val="none"/>
        </w:rPr>
        <w:t>编制单位：哈尔滨茸昌环保科技有限公司</w:t>
      </w:r>
      <w:bookmarkEnd w:id="2"/>
      <w:bookmarkEnd w:id="3"/>
    </w:p>
    <w:p w14:paraId="308A8C54">
      <w:pPr>
        <w:keepNext w:val="0"/>
        <w:keepLines w:val="0"/>
        <w:pageBreakBefore w:val="0"/>
        <w:widowControl w:val="0"/>
        <w:kinsoku/>
        <w:wordWrap w:val="0"/>
        <w:overflowPunct/>
        <w:topLinePunct w:val="0"/>
        <w:autoSpaceDE/>
        <w:autoSpaceDN/>
        <w:bidi w:val="0"/>
        <w:adjustRightInd w:val="0"/>
        <w:snapToGrid w:val="0"/>
        <w:ind w:firstLine="0" w:firstLineChars="0"/>
        <w:jc w:val="center"/>
        <w:textAlignment w:val="auto"/>
        <w:outlineLvl w:val="9"/>
        <w:rPr>
          <w:rFonts w:eastAsiaTheme="minorEastAsia"/>
          <w:b/>
          <w:sz w:val="28"/>
          <w:highlight w:val="none"/>
        </w:rPr>
        <w:sectPr>
          <w:headerReference r:id="rId5" w:type="default"/>
          <w:footerReference r:id="rId6" w:type="default"/>
          <w:pgSz w:w="11906" w:h="16838"/>
          <w:pgMar w:top="1440" w:right="1800" w:bottom="1440" w:left="1800" w:header="851" w:footer="992" w:gutter="0"/>
          <w:pgBorders w:offsetFrom="page">
            <w:top w:val="none" w:sz="0" w:space="0"/>
            <w:left w:val="none" w:sz="0" w:space="0"/>
            <w:bottom w:val="none" w:sz="0" w:space="0"/>
            <w:right w:val="none" w:sz="0" w:space="0"/>
          </w:pgBorders>
          <w:pgNumType w:fmt="upperRoman" w:start="1"/>
          <w:cols w:space="720" w:num="1"/>
          <w:docGrid w:type="lines" w:linePitch="312" w:charSpace="0"/>
        </w:sectPr>
      </w:pPr>
      <w:r>
        <w:rPr>
          <w:rFonts w:hAnsiTheme="minorEastAsia" w:eastAsiaTheme="minorEastAsia"/>
          <w:b/>
          <w:sz w:val="28"/>
          <w:highlight w:val="none"/>
        </w:rPr>
        <w:t>编制日期：</w:t>
      </w:r>
      <w:r>
        <w:rPr>
          <w:rFonts w:eastAsiaTheme="minorEastAsia"/>
          <w:b/>
          <w:sz w:val="28"/>
          <w:highlight w:val="none"/>
        </w:rPr>
        <w:t>202</w:t>
      </w:r>
      <w:r>
        <w:rPr>
          <w:rFonts w:hint="eastAsia" w:eastAsiaTheme="minorEastAsia"/>
          <w:b/>
          <w:sz w:val="28"/>
          <w:highlight w:val="none"/>
          <w:lang w:val="en-US" w:eastAsia="zh-CN"/>
        </w:rPr>
        <w:t>5</w:t>
      </w:r>
      <w:r>
        <w:rPr>
          <w:rFonts w:hAnsiTheme="minorEastAsia" w:eastAsiaTheme="minorEastAsia"/>
          <w:b/>
          <w:sz w:val="28"/>
          <w:highlight w:val="none"/>
        </w:rPr>
        <w:t>年</w:t>
      </w:r>
      <w:r>
        <w:rPr>
          <w:rFonts w:hint="eastAsia" w:eastAsiaTheme="minorEastAsia"/>
          <w:b/>
          <w:sz w:val="28"/>
          <w:highlight w:val="none"/>
          <w:lang w:val="en-US" w:eastAsia="zh-CN"/>
        </w:rPr>
        <w:t>10</w:t>
      </w:r>
      <w:r>
        <w:rPr>
          <w:rFonts w:hAnsiTheme="minorEastAsia" w:eastAsiaTheme="minorEastAsia"/>
          <w:b/>
          <w:sz w:val="28"/>
          <w:highlight w:val="none"/>
        </w:rPr>
        <w:t>月</w:t>
      </w:r>
    </w:p>
    <w:p w14:paraId="250B8AFC">
      <w:pPr>
        <w:keepNext w:val="0"/>
        <w:keepLines w:val="0"/>
        <w:pageBreakBefore w:val="0"/>
        <w:widowControl w:val="0"/>
        <w:kinsoku/>
        <w:wordWrap w:val="0"/>
        <w:overflowPunct/>
        <w:topLinePunct w:val="0"/>
        <w:autoSpaceDE/>
        <w:autoSpaceDN/>
        <w:bidi w:val="0"/>
        <w:adjustRightInd w:val="0"/>
        <w:snapToGrid w:val="0"/>
        <w:ind w:firstLine="0" w:firstLineChars="0"/>
        <w:textAlignment w:val="auto"/>
        <w:rPr>
          <w:rFonts w:hint="eastAsia" w:eastAsia="宋体"/>
          <w:highlight w:val="none"/>
          <w:lang w:eastAsia="zh-CN"/>
        </w:rPr>
        <w:sectPr>
          <w:headerReference r:id="rId7" w:type="default"/>
          <w:footerReference r:id="rId8" w:type="default"/>
          <w:pgSz w:w="11906" w:h="16838"/>
          <w:pgMar w:top="1440" w:right="1800" w:bottom="1440" w:left="1800" w:header="851" w:footer="992" w:gutter="0"/>
          <w:pgBorders w:offsetFrom="page">
            <w:top w:val="none" w:sz="0" w:space="0"/>
            <w:left w:val="none" w:sz="0" w:space="0"/>
            <w:bottom w:val="none" w:sz="0" w:space="0"/>
            <w:right w:val="none" w:sz="0" w:space="0"/>
          </w:pgBorders>
          <w:pgNumType w:start="1"/>
          <w:cols w:space="425" w:num="1"/>
          <w:docGrid w:type="lines" w:linePitch="312" w:charSpace="0"/>
        </w:sectPr>
      </w:pPr>
    </w:p>
    <w:sdt>
      <w:sdtPr>
        <w:rPr>
          <w:rFonts w:ascii="宋体" w:hAnsi="宋体" w:eastAsia="宋体" w:cs="Times New Roman"/>
          <w:kern w:val="2"/>
          <w:sz w:val="21"/>
          <w:szCs w:val="24"/>
          <w:highlight w:val="none"/>
          <w:lang w:val="en-US" w:eastAsia="zh-CN" w:bidi="ar-SA"/>
        </w:rPr>
        <w:id w:val="147466351"/>
        <w15:color w:val="DBDBDB"/>
        <w:docPartObj>
          <w:docPartGallery w:val="Table of Contents"/>
          <w:docPartUnique/>
        </w:docPartObj>
      </w:sdtPr>
      <w:sdtEndPr>
        <w:rPr>
          <w:rFonts w:ascii="Times New Roman" w:hAnsi="Times New Roman" w:eastAsia="宋体" w:cs="Times New Roman"/>
          <w:kern w:val="2"/>
          <w:sz w:val="24"/>
          <w:szCs w:val="24"/>
          <w:highlight w:val="none"/>
          <w:lang w:val="en-US" w:eastAsia="zh-CN" w:bidi="ar-SA"/>
        </w:rPr>
      </w:sdtEndPr>
      <w:sdtContent>
        <w:p w14:paraId="1DE3A48C">
          <w:pPr>
            <w:spacing w:before="0" w:beforeLines="0" w:after="0" w:afterLines="0" w:line="240" w:lineRule="auto"/>
            <w:ind w:left="0" w:leftChars="0" w:right="0" w:rightChars="0" w:firstLine="0" w:firstLineChars="0"/>
            <w:jc w:val="center"/>
            <w:rPr>
              <w:rFonts w:hint="default" w:ascii="Times New Roman" w:hAnsi="Times New Roman" w:cs="Times New Roman"/>
              <w:highlight w:val="none"/>
            </w:rPr>
          </w:pPr>
          <w:r>
            <w:rPr>
              <w:rFonts w:hint="default" w:ascii="Times New Roman" w:hAnsi="Times New Roman" w:eastAsia="宋体" w:cs="Times New Roman"/>
              <w:sz w:val="21"/>
              <w:highlight w:val="none"/>
            </w:rPr>
            <w:t>目录</w:t>
          </w:r>
        </w:p>
        <w:p w14:paraId="7681F7E1">
          <w:pPr>
            <w:pStyle w:val="32"/>
            <w:tabs>
              <w:tab w:val="right" w:leader="dot" w:pos="8306"/>
              <w:tab w:val="clear" w:pos="8302"/>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TOC \o "1-3" \h \u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_Toc25478 </w:instrText>
          </w:r>
          <w:r>
            <w:rPr>
              <w:rFonts w:hint="default" w:ascii="Times New Roman" w:hAnsi="Times New Roman" w:cs="Times New Roman"/>
              <w:highlight w:val="none"/>
            </w:rPr>
            <w:fldChar w:fldCharType="separate"/>
          </w:r>
          <w:r>
            <w:rPr>
              <w:highlight w:val="none"/>
            </w:rPr>
            <w:t>1概述</w:t>
          </w:r>
          <w:r>
            <w:rPr>
              <w:highlight w:val="none"/>
            </w:rPr>
            <w:tab/>
          </w:r>
          <w:r>
            <w:rPr>
              <w:highlight w:val="none"/>
            </w:rPr>
            <w:fldChar w:fldCharType="begin"/>
          </w:r>
          <w:r>
            <w:rPr>
              <w:highlight w:val="none"/>
            </w:rPr>
            <w:instrText xml:space="preserve"> PAGEREF _Toc25478 \h </w:instrText>
          </w:r>
          <w:r>
            <w:rPr>
              <w:highlight w:val="none"/>
            </w:rPr>
            <w:fldChar w:fldCharType="separate"/>
          </w:r>
          <w:r>
            <w:rPr>
              <w:highlight w:val="none"/>
            </w:rPr>
            <w:t>1</w:t>
          </w:r>
          <w:r>
            <w:rPr>
              <w:highlight w:val="none"/>
            </w:rPr>
            <w:fldChar w:fldCharType="end"/>
          </w:r>
          <w:r>
            <w:rPr>
              <w:rFonts w:hint="default" w:ascii="Times New Roman" w:hAnsi="Times New Roman" w:cs="Times New Roman"/>
              <w:highlight w:val="none"/>
            </w:rPr>
            <w:fldChar w:fldCharType="end"/>
          </w:r>
        </w:p>
        <w:p w14:paraId="68B2C3ED">
          <w:pPr>
            <w:pStyle w:val="36"/>
            <w:tabs>
              <w:tab w:val="right" w:leader="dot" w:pos="8306"/>
              <w:tab w:val="clear" w:pos="8296"/>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_Toc20285 </w:instrText>
          </w:r>
          <w:r>
            <w:rPr>
              <w:rFonts w:hint="default" w:ascii="Times New Roman" w:hAnsi="Times New Roman" w:cs="Times New Roman"/>
              <w:highlight w:val="none"/>
            </w:rPr>
            <w:fldChar w:fldCharType="separate"/>
          </w:r>
          <w:r>
            <w:rPr>
              <w:rFonts w:eastAsiaTheme="minorEastAsia"/>
              <w:bCs/>
              <w:kern w:val="44"/>
              <w:szCs w:val="30"/>
              <w:highlight w:val="none"/>
            </w:rPr>
            <w:t>1</w:t>
          </w:r>
          <w:r>
            <w:rPr>
              <w:bCs/>
              <w:highlight w:val="none"/>
            </w:rPr>
            <w:t>.1项目由</w:t>
          </w:r>
          <w:r>
            <w:rPr>
              <w:rFonts w:hAnsiTheme="minorEastAsia" w:eastAsiaTheme="minorEastAsia"/>
              <w:bCs/>
              <w:kern w:val="44"/>
              <w:szCs w:val="30"/>
              <w:highlight w:val="none"/>
            </w:rPr>
            <w:t>来</w:t>
          </w:r>
          <w:r>
            <w:rPr>
              <w:highlight w:val="none"/>
            </w:rPr>
            <w:tab/>
          </w:r>
          <w:r>
            <w:rPr>
              <w:highlight w:val="none"/>
            </w:rPr>
            <w:fldChar w:fldCharType="begin"/>
          </w:r>
          <w:r>
            <w:rPr>
              <w:highlight w:val="none"/>
            </w:rPr>
            <w:instrText xml:space="preserve"> PAGEREF _Toc20285 \h </w:instrText>
          </w:r>
          <w:r>
            <w:rPr>
              <w:highlight w:val="none"/>
            </w:rPr>
            <w:fldChar w:fldCharType="separate"/>
          </w:r>
          <w:r>
            <w:rPr>
              <w:highlight w:val="none"/>
            </w:rPr>
            <w:t>1</w:t>
          </w:r>
          <w:r>
            <w:rPr>
              <w:highlight w:val="none"/>
            </w:rPr>
            <w:fldChar w:fldCharType="end"/>
          </w:r>
          <w:r>
            <w:rPr>
              <w:rFonts w:hint="default" w:ascii="Times New Roman" w:hAnsi="Times New Roman" w:cs="Times New Roman"/>
              <w:highlight w:val="none"/>
            </w:rPr>
            <w:fldChar w:fldCharType="end"/>
          </w:r>
        </w:p>
        <w:p w14:paraId="207E0957">
          <w:pPr>
            <w:pStyle w:val="36"/>
            <w:tabs>
              <w:tab w:val="right" w:leader="dot" w:pos="8306"/>
              <w:tab w:val="clear" w:pos="8296"/>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_Toc20946 </w:instrText>
          </w:r>
          <w:r>
            <w:rPr>
              <w:rFonts w:hint="default" w:ascii="Times New Roman" w:hAnsi="Times New Roman" w:cs="Times New Roman"/>
              <w:highlight w:val="none"/>
            </w:rPr>
            <w:fldChar w:fldCharType="separate"/>
          </w:r>
          <w:r>
            <w:rPr>
              <w:rFonts w:eastAsiaTheme="minorEastAsia"/>
              <w:bCs/>
              <w:kern w:val="44"/>
              <w:szCs w:val="30"/>
              <w:highlight w:val="none"/>
            </w:rPr>
            <w:t>1.2</w:t>
          </w:r>
          <w:r>
            <w:rPr>
              <w:rFonts w:hAnsiTheme="minorEastAsia" w:eastAsiaTheme="minorEastAsia"/>
              <w:bCs/>
              <w:kern w:val="44"/>
              <w:szCs w:val="30"/>
              <w:highlight w:val="none"/>
            </w:rPr>
            <w:t>项目特点</w:t>
          </w:r>
          <w:r>
            <w:rPr>
              <w:highlight w:val="none"/>
            </w:rPr>
            <w:tab/>
          </w:r>
          <w:r>
            <w:rPr>
              <w:highlight w:val="none"/>
            </w:rPr>
            <w:fldChar w:fldCharType="begin"/>
          </w:r>
          <w:r>
            <w:rPr>
              <w:highlight w:val="none"/>
            </w:rPr>
            <w:instrText xml:space="preserve"> PAGEREF _Toc20946 \h </w:instrText>
          </w:r>
          <w:r>
            <w:rPr>
              <w:highlight w:val="none"/>
            </w:rPr>
            <w:fldChar w:fldCharType="separate"/>
          </w:r>
          <w:r>
            <w:rPr>
              <w:highlight w:val="none"/>
            </w:rPr>
            <w:t>1</w:t>
          </w:r>
          <w:r>
            <w:rPr>
              <w:highlight w:val="none"/>
            </w:rPr>
            <w:fldChar w:fldCharType="end"/>
          </w:r>
          <w:r>
            <w:rPr>
              <w:rFonts w:hint="default" w:ascii="Times New Roman" w:hAnsi="Times New Roman" w:cs="Times New Roman"/>
              <w:highlight w:val="none"/>
            </w:rPr>
            <w:fldChar w:fldCharType="end"/>
          </w:r>
        </w:p>
        <w:p w14:paraId="577684DC">
          <w:pPr>
            <w:pStyle w:val="36"/>
            <w:tabs>
              <w:tab w:val="right" w:leader="dot" w:pos="8306"/>
              <w:tab w:val="clear" w:pos="8296"/>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_Toc27478 </w:instrText>
          </w:r>
          <w:r>
            <w:rPr>
              <w:rFonts w:hint="default" w:ascii="Times New Roman" w:hAnsi="Times New Roman" w:cs="Times New Roman"/>
              <w:highlight w:val="none"/>
            </w:rPr>
            <w:fldChar w:fldCharType="separate"/>
          </w:r>
          <w:r>
            <w:rPr>
              <w:rFonts w:eastAsiaTheme="minorEastAsia"/>
              <w:bCs/>
              <w:kern w:val="44"/>
              <w:szCs w:val="30"/>
              <w:highlight w:val="none"/>
            </w:rPr>
            <w:t>1.3</w:t>
          </w:r>
          <w:r>
            <w:rPr>
              <w:rFonts w:hAnsiTheme="minorEastAsia" w:eastAsiaTheme="minorEastAsia"/>
              <w:bCs/>
              <w:kern w:val="44"/>
              <w:szCs w:val="30"/>
              <w:highlight w:val="none"/>
            </w:rPr>
            <w:t>环境影响评价工作过程</w:t>
          </w:r>
          <w:r>
            <w:rPr>
              <w:highlight w:val="none"/>
            </w:rPr>
            <w:tab/>
          </w:r>
          <w:r>
            <w:rPr>
              <w:highlight w:val="none"/>
            </w:rPr>
            <w:fldChar w:fldCharType="begin"/>
          </w:r>
          <w:r>
            <w:rPr>
              <w:highlight w:val="none"/>
            </w:rPr>
            <w:instrText xml:space="preserve"> PAGEREF _Toc27478 \h </w:instrText>
          </w:r>
          <w:r>
            <w:rPr>
              <w:highlight w:val="none"/>
            </w:rPr>
            <w:fldChar w:fldCharType="separate"/>
          </w:r>
          <w:r>
            <w:rPr>
              <w:highlight w:val="none"/>
            </w:rPr>
            <w:t>2</w:t>
          </w:r>
          <w:r>
            <w:rPr>
              <w:highlight w:val="none"/>
            </w:rPr>
            <w:fldChar w:fldCharType="end"/>
          </w:r>
          <w:r>
            <w:rPr>
              <w:rFonts w:hint="default" w:ascii="Times New Roman" w:hAnsi="Times New Roman" w:cs="Times New Roman"/>
              <w:highlight w:val="none"/>
            </w:rPr>
            <w:fldChar w:fldCharType="end"/>
          </w:r>
        </w:p>
        <w:p w14:paraId="0CD56623">
          <w:pPr>
            <w:pStyle w:val="36"/>
            <w:tabs>
              <w:tab w:val="right" w:leader="dot" w:pos="8306"/>
              <w:tab w:val="clear" w:pos="8296"/>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_Toc9138 </w:instrText>
          </w:r>
          <w:r>
            <w:rPr>
              <w:rFonts w:hint="default" w:ascii="Times New Roman" w:hAnsi="Times New Roman" w:cs="Times New Roman"/>
              <w:highlight w:val="none"/>
            </w:rPr>
            <w:fldChar w:fldCharType="separate"/>
          </w:r>
          <w:r>
            <w:rPr>
              <w:rFonts w:eastAsiaTheme="minorEastAsia"/>
              <w:bCs/>
              <w:kern w:val="44"/>
              <w:szCs w:val="30"/>
              <w:highlight w:val="none"/>
            </w:rPr>
            <w:t>1.4</w:t>
          </w:r>
          <w:r>
            <w:rPr>
              <w:rFonts w:hAnsiTheme="minorEastAsia" w:eastAsiaTheme="minorEastAsia"/>
              <w:bCs/>
              <w:kern w:val="44"/>
              <w:szCs w:val="30"/>
              <w:highlight w:val="none"/>
            </w:rPr>
            <w:t>分析判定相关情况</w:t>
          </w:r>
          <w:r>
            <w:rPr>
              <w:highlight w:val="none"/>
            </w:rPr>
            <w:tab/>
          </w:r>
          <w:r>
            <w:rPr>
              <w:highlight w:val="none"/>
            </w:rPr>
            <w:fldChar w:fldCharType="begin"/>
          </w:r>
          <w:r>
            <w:rPr>
              <w:highlight w:val="none"/>
            </w:rPr>
            <w:instrText xml:space="preserve"> PAGEREF _Toc9138 \h </w:instrText>
          </w:r>
          <w:r>
            <w:rPr>
              <w:highlight w:val="none"/>
            </w:rPr>
            <w:fldChar w:fldCharType="separate"/>
          </w:r>
          <w:r>
            <w:rPr>
              <w:highlight w:val="none"/>
            </w:rPr>
            <w:t>4</w:t>
          </w:r>
          <w:r>
            <w:rPr>
              <w:highlight w:val="none"/>
            </w:rPr>
            <w:fldChar w:fldCharType="end"/>
          </w:r>
          <w:r>
            <w:rPr>
              <w:rFonts w:hint="default" w:ascii="Times New Roman" w:hAnsi="Times New Roman" w:cs="Times New Roman"/>
              <w:highlight w:val="none"/>
            </w:rPr>
            <w:fldChar w:fldCharType="end"/>
          </w:r>
        </w:p>
        <w:p w14:paraId="5F69EB6D">
          <w:pPr>
            <w:pStyle w:val="36"/>
            <w:tabs>
              <w:tab w:val="right" w:leader="dot" w:pos="8306"/>
              <w:tab w:val="clear" w:pos="8296"/>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_Toc425 </w:instrText>
          </w:r>
          <w:r>
            <w:rPr>
              <w:rFonts w:hint="default" w:ascii="Times New Roman" w:hAnsi="Times New Roman" w:cs="Times New Roman"/>
              <w:highlight w:val="none"/>
            </w:rPr>
            <w:fldChar w:fldCharType="separate"/>
          </w:r>
          <w:r>
            <w:rPr>
              <w:highlight w:val="none"/>
            </w:rPr>
            <w:t>1.5关注的主要环境问题</w:t>
          </w:r>
          <w:r>
            <w:rPr>
              <w:highlight w:val="none"/>
            </w:rPr>
            <w:tab/>
          </w:r>
          <w:r>
            <w:rPr>
              <w:highlight w:val="none"/>
            </w:rPr>
            <w:fldChar w:fldCharType="begin"/>
          </w:r>
          <w:r>
            <w:rPr>
              <w:highlight w:val="none"/>
            </w:rPr>
            <w:instrText xml:space="preserve"> PAGEREF _Toc425 \h </w:instrText>
          </w:r>
          <w:r>
            <w:rPr>
              <w:highlight w:val="none"/>
            </w:rPr>
            <w:fldChar w:fldCharType="separate"/>
          </w:r>
          <w:r>
            <w:rPr>
              <w:highlight w:val="none"/>
            </w:rPr>
            <w:t>37</w:t>
          </w:r>
          <w:r>
            <w:rPr>
              <w:highlight w:val="none"/>
            </w:rPr>
            <w:fldChar w:fldCharType="end"/>
          </w:r>
          <w:r>
            <w:rPr>
              <w:rFonts w:hint="default" w:ascii="Times New Roman" w:hAnsi="Times New Roman" w:cs="Times New Roman"/>
              <w:highlight w:val="none"/>
            </w:rPr>
            <w:fldChar w:fldCharType="end"/>
          </w:r>
        </w:p>
        <w:p w14:paraId="07527873">
          <w:pPr>
            <w:pStyle w:val="36"/>
            <w:tabs>
              <w:tab w:val="right" w:leader="dot" w:pos="8306"/>
              <w:tab w:val="clear" w:pos="8296"/>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_Toc12294 </w:instrText>
          </w:r>
          <w:r>
            <w:rPr>
              <w:rFonts w:hint="default" w:ascii="Times New Roman" w:hAnsi="Times New Roman" w:cs="Times New Roman"/>
              <w:highlight w:val="none"/>
            </w:rPr>
            <w:fldChar w:fldCharType="separate"/>
          </w:r>
          <w:r>
            <w:rPr>
              <w:highlight w:val="none"/>
            </w:rPr>
            <w:t>1.6环境影响评价主要结论</w:t>
          </w:r>
          <w:r>
            <w:rPr>
              <w:highlight w:val="none"/>
            </w:rPr>
            <w:tab/>
          </w:r>
          <w:r>
            <w:rPr>
              <w:highlight w:val="none"/>
            </w:rPr>
            <w:fldChar w:fldCharType="begin"/>
          </w:r>
          <w:r>
            <w:rPr>
              <w:highlight w:val="none"/>
            </w:rPr>
            <w:instrText xml:space="preserve"> PAGEREF _Toc12294 \h </w:instrText>
          </w:r>
          <w:r>
            <w:rPr>
              <w:highlight w:val="none"/>
            </w:rPr>
            <w:fldChar w:fldCharType="separate"/>
          </w:r>
          <w:r>
            <w:rPr>
              <w:highlight w:val="none"/>
            </w:rPr>
            <w:t>37</w:t>
          </w:r>
          <w:r>
            <w:rPr>
              <w:highlight w:val="none"/>
            </w:rPr>
            <w:fldChar w:fldCharType="end"/>
          </w:r>
          <w:r>
            <w:rPr>
              <w:rFonts w:hint="default" w:ascii="Times New Roman" w:hAnsi="Times New Roman" w:cs="Times New Roman"/>
              <w:highlight w:val="none"/>
            </w:rPr>
            <w:fldChar w:fldCharType="end"/>
          </w:r>
        </w:p>
        <w:p w14:paraId="758C103E">
          <w:pPr>
            <w:pStyle w:val="32"/>
            <w:tabs>
              <w:tab w:val="right" w:leader="dot" w:pos="8306"/>
              <w:tab w:val="clear" w:pos="8302"/>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_Toc25252 </w:instrText>
          </w:r>
          <w:r>
            <w:rPr>
              <w:rFonts w:hint="default" w:ascii="Times New Roman" w:hAnsi="Times New Roman" w:cs="Times New Roman"/>
              <w:highlight w:val="none"/>
            </w:rPr>
            <w:fldChar w:fldCharType="separate"/>
          </w:r>
          <w:r>
            <w:rPr>
              <w:highlight w:val="none"/>
            </w:rPr>
            <w:t>2总则</w:t>
          </w:r>
          <w:r>
            <w:rPr>
              <w:highlight w:val="none"/>
            </w:rPr>
            <w:tab/>
          </w:r>
          <w:r>
            <w:rPr>
              <w:highlight w:val="none"/>
            </w:rPr>
            <w:fldChar w:fldCharType="begin"/>
          </w:r>
          <w:r>
            <w:rPr>
              <w:highlight w:val="none"/>
            </w:rPr>
            <w:instrText xml:space="preserve"> PAGEREF _Toc25252 \h </w:instrText>
          </w:r>
          <w:r>
            <w:rPr>
              <w:highlight w:val="none"/>
            </w:rPr>
            <w:fldChar w:fldCharType="separate"/>
          </w:r>
          <w:r>
            <w:rPr>
              <w:highlight w:val="none"/>
            </w:rPr>
            <w:t>38</w:t>
          </w:r>
          <w:r>
            <w:rPr>
              <w:highlight w:val="none"/>
            </w:rPr>
            <w:fldChar w:fldCharType="end"/>
          </w:r>
          <w:r>
            <w:rPr>
              <w:rFonts w:hint="default" w:ascii="Times New Roman" w:hAnsi="Times New Roman" w:cs="Times New Roman"/>
              <w:highlight w:val="none"/>
            </w:rPr>
            <w:fldChar w:fldCharType="end"/>
          </w:r>
        </w:p>
        <w:p w14:paraId="26ADF139">
          <w:pPr>
            <w:pStyle w:val="36"/>
            <w:tabs>
              <w:tab w:val="right" w:leader="dot" w:pos="8306"/>
              <w:tab w:val="clear" w:pos="8296"/>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_Toc19303 </w:instrText>
          </w:r>
          <w:r>
            <w:rPr>
              <w:rFonts w:hint="default" w:ascii="Times New Roman" w:hAnsi="Times New Roman" w:cs="Times New Roman"/>
              <w:highlight w:val="none"/>
            </w:rPr>
            <w:fldChar w:fldCharType="separate"/>
          </w:r>
          <w:r>
            <w:rPr>
              <w:highlight w:val="none"/>
            </w:rPr>
            <w:t>2.1编制依据</w:t>
          </w:r>
          <w:r>
            <w:rPr>
              <w:highlight w:val="none"/>
            </w:rPr>
            <w:tab/>
          </w:r>
          <w:r>
            <w:rPr>
              <w:highlight w:val="none"/>
            </w:rPr>
            <w:fldChar w:fldCharType="begin"/>
          </w:r>
          <w:r>
            <w:rPr>
              <w:highlight w:val="none"/>
            </w:rPr>
            <w:instrText xml:space="preserve"> PAGEREF _Toc19303 \h </w:instrText>
          </w:r>
          <w:r>
            <w:rPr>
              <w:highlight w:val="none"/>
            </w:rPr>
            <w:fldChar w:fldCharType="separate"/>
          </w:r>
          <w:r>
            <w:rPr>
              <w:highlight w:val="none"/>
            </w:rPr>
            <w:t>38</w:t>
          </w:r>
          <w:r>
            <w:rPr>
              <w:highlight w:val="none"/>
            </w:rPr>
            <w:fldChar w:fldCharType="end"/>
          </w:r>
          <w:r>
            <w:rPr>
              <w:rFonts w:hint="default" w:ascii="Times New Roman" w:hAnsi="Times New Roman" w:cs="Times New Roman"/>
              <w:highlight w:val="none"/>
            </w:rPr>
            <w:fldChar w:fldCharType="end"/>
          </w:r>
        </w:p>
        <w:p w14:paraId="19BA6AD4">
          <w:pPr>
            <w:pStyle w:val="36"/>
            <w:tabs>
              <w:tab w:val="right" w:leader="dot" w:pos="8306"/>
              <w:tab w:val="clear" w:pos="8296"/>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_Toc917 </w:instrText>
          </w:r>
          <w:r>
            <w:rPr>
              <w:rFonts w:hint="default" w:ascii="Times New Roman" w:hAnsi="Times New Roman" w:cs="Times New Roman"/>
              <w:highlight w:val="none"/>
            </w:rPr>
            <w:fldChar w:fldCharType="separate"/>
          </w:r>
          <w:r>
            <w:rPr>
              <w:highlight w:val="none"/>
            </w:rPr>
            <w:t>2.2环境影响因素识别与评价因子筛选</w:t>
          </w:r>
          <w:r>
            <w:rPr>
              <w:highlight w:val="none"/>
            </w:rPr>
            <w:tab/>
          </w:r>
          <w:r>
            <w:rPr>
              <w:highlight w:val="none"/>
            </w:rPr>
            <w:fldChar w:fldCharType="begin"/>
          </w:r>
          <w:r>
            <w:rPr>
              <w:highlight w:val="none"/>
            </w:rPr>
            <w:instrText xml:space="preserve"> PAGEREF _Toc917 \h </w:instrText>
          </w:r>
          <w:r>
            <w:rPr>
              <w:highlight w:val="none"/>
            </w:rPr>
            <w:fldChar w:fldCharType="separate"/>
          </w:r>
          <w:r>
            <w:rPr>
              <w:highlight w:val="none"/>
            </w:rPr>
            <w:t>40</w:t>
          </w:r>
          <w:r>
            <w:rPr>
              <w:highlight w:val="none"/>
            </w:rPr>
            <w:fldChar w:fldCharType="end"/>
          </w:r>
          <w:r>
            <w:rPr>
              <w:rFonts w:hint="default" w:ascii="Times New Roman" w:hAnsi="Times New Roman" w:cs="Times New Roman"/>
              <w:highlight w:val="none"/>
            </w:rPr>
            <w:fldChar w:fldCharType="end"/>
          </w:r>
        </w:p>
        <w:p w14:paraId="486432CF">
          <w:pPr>
            <w:pStyle w:val="36"/>
            <w:tabs>
              <w:tab w:val="right" w:leader="dot" w:pos="8306"/>
              <w:tab w:val="clear" w:pos="8296"/>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_Toc32101 </w:instrText>
          </w:r>
          <w:r>
            <w:rPr>
              <w:rFonts w:hint="default" w:ascii="Times New Roman" w:hAnsi="Times New Roman" w:cs="Times New Roman"/>
              <w:highlight w:val="none"/>
            </w:rPr>
            <w:fldChar w:fldCharType="separate"/>
          </w:r>
          <w:r>
            <w:rPr>
              <w:highlight w:val="none"/>
            </w:rPr>
            <w:t>2.3评价标准</w:t>
          </w:r>
          <w:r>
            <w:rPr>
              <w:highlight w:val="none"/>
            </w:rPr>
            <w:tab/>
          </w:r>
          <w:r>
            <w:rPr>
              <w:highlight w:val="none"/>
            </w:rPr>
            <w:fldChar w:fldCharType="begin"/>
          </w:r>
          <w:r>
            <w:rPr>
              <w:highlight w:val="none"/>
            </w:rPr>
            <w:instrText xml:space="preserve"> PAGEREF _Toc32101 \h </w:instrText>
          </w:r>
          <w:r>
            <w:rPr>
              <w:highlight w:val="none"/>
            </w:rPr>
            <w:fldChar w:fldCharType="separate"/>
          </w:r>
          <w:r>
            <w:rPr>
              <w:highlight w:val="none"/>
            </w:rPr>
            <w:t>43</w:t>
          </w:r>
          <w:r>
            <w:rPr>
              <w:highlight w:val="none"/>
            </w:rPr>
            <w:fldChar w:fldCharType="end"/>
          </w:r>
          <w:r>
            <w:rPr>
              <w:rFonts w:hint="default" w:ascii="Times New Roman" w:hAnsi="Times New Roman" w:cs="Times New Roman"/>
              <w:highlight w:val="none"/>
            </w:rPr>
            <w:fldChar w:fldCharType="end"/>
          </w:r>
        </w:p>
        <w:p w14:paraId="1A259319">
          <w:pPr>
            <w:pStyle w:val="36"/>
            <w:tabs>
              <w:tab w:val="right" w:leader="dot" w:pos="8306"/>
              <w:tab w:val="clear" w:pos="8296"/>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_Toc20051 </w:instrText>
          </w:r>
          <w:r>
            <w:rPr>
              <w:rFonts w:hint="default" w:ascii="Times New Roman" w:hAnsi="Times New Roman" w:cs="Times New Roman"/>
              <w:highlight w:val="none"/>
            </w:rPr>
            <w:fldChar w:fldCharType="separate"/>
          </w:r>
          <w:r>
            <w:rPr>
              <w:highlight w:val="none"/>
            </w:rPr>
            <w:t>2.4评价工作等级</w:t>
          </w:r>
          <w:r>
            <w:rPr>
              <w:highlight w:val="none"/>
            </w:rPr>
            <w:tab/>
          </w:r>
          <w:r>
            <w:rPr>
              <w:highlight w:val="none"/>
            </w:rPr>
            <w:fldChar w:fldCharType="begin"/>
          </w:r>
          <w:r>
            <w:rPr>
              <w:highlight w:val="none"/>
            </w:rPr>
            <w:instrText xml:space="preserve"> PAGEREF _Toc20051 \h </w:instrText>
          </w:r>
          <w:r>
            <w:rPr>
              <w:highlight w:val="none"/>
            </w:rPr>
            <w:fldChar w:fldCharType="separate"/>
          </w:r>
          <w:r>
            <w:rPr>
              <w:highlight w:val="none"/>
            </w:rPr>
            <w:t>47</w:t>
          </w:r>
          <w:r>
            <w:rPr>
              <w:highlight w:val="none"/>
            </w:rPr>
            <w:fldChar w:fldCharType="end"/>
          </w:r>
          <w:r>
            <w:rPr>
              <w:rFonts w:hint="default" w:ascii="Times New Roman" w:hAnsi="Times New Roman" w:cs="Times New Roman"/>
              <w:highlight w:val="none"/>
            </w:rPr>
            <w:fldChar w:fldCharType="end"/>
          </w:r>
        </w:p>
        <w:p w14:paraId="6C2A020B">
          <w:pPr>
            <w:pStyle w:val="36"/>
            <w:tabs>
              <w:tab w:val="right" w:leader="dot" w:pos="8306"/>
              <w:tab w:val="clear" w:pos="8296"/>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_Toc21247 </w:instrText>
          </w:r>
          <w:r>
            <w:rPr>
              <w:rFonts w:hint="default" w:ascii="Times New Roman" w:hAnsi="Times New Roman" w:cs="Times New Roman"/>
              <w:highlight w:val="none"/>
            </w:rPr>
            <w:fldChar w:fldCharType="separate"/>
          </w:r>
          <w:r>
            <w:rPr>
              <w:rFonts w:eastAsiaTheme="minorEastAsia"/>
              <w:bCs/>
              <w:kern w:val="44"/>
              <w:szCs w:val="30"/>
              <w:highlight w:val="none"/>
            </w:rPr>
            <w:t>2.5</w:t>
          </w:r>
          <w:r>
            <w:rPr>
              <w:rFonts w:hAnsiTheme="minorEastAsia" w:eastAsiaTheme="minorEastAsia"/>
              <w:bCs/>
              <w:kern w:val="44"/>
              <w:szCs w:val="30"/>
              <w:highlight w:val="none"/>
            </w:rPr>
            <w:t>评价范围及评价时段</w:t>
          </w:r>
          <w:r>
            <w:rPr>
              <w:highlight w:val="none"/>
            </w:rPr>
            <w:tab/>
          </w:r>
          <w:r>
            <w:rPr>
              <w:highlight w:val="none"/>
            </w:rPr>
            <w:fldChar w:fldCharType="begin"/>
          </w:r>
          <w:r>
            <w:rPr>
              <w:highlight w:val="none"/>
            </w:rPr>
            <w:instrText xml:space="preserve"> PAGEREF _Toc21247 \h </w:instrText>
          </w:r>
          <w:r>
            <w:rPr>
              <w:highlight w:val="none"/>
            </w:rPr>
            <w:fldChar w:fldCharType="separate"/>
          </w:r>
          <w:r>
            <w:rPr>
              <w:highlight w:val="none"/>
            </w:rPr>
            <w:t>56</w:t>
          </w:r>
          <w:r>
            <w:rPr>
              <w:highlight w:val="none"/>
            </w:rPr>
            <w:fldChar w:fldCharType="end"/>
          </w:r>
          <w:r>
            <w:rPr>
              <w:rFonts w:hint="default" w:ascii="Times New Roman" w:hAnsi="Times New Roman" w:cs="Times New Roman"/>
              <w:highlight w:val="none"/>
            </w:rPr>
            <w:fldChar w:fldCharType="end"/>
          </w:r>
        </w:p>
        <w:p w14:paraId="1137526C">
          <w:pPr>
            <w:pStyle w:val="36"/>
            <w:tabs>
              <w:tab w:val="right" w:leader="dot" w:pos="8306"/>
              <w:tab w:val="clear" w:pos="8296"/>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_Toc28185 </w:instrText>
          </w:r>
          <w:r>
            <w:rPr>
              <w:rFonts w:hint="default" w:ascii="Times New Roman" w:hAnsi="Times New Roman" w:cs="Times New Roman"/>
              <w:highlight w:val="none"/>
            </w:rPr>
            <w:fldChar w:fldCharType="separate"/>
          </w:r>
          <w:r>
            <w:rPr>
              <w:rFonts w:eastAsiaTheme="minorEastAsia"/>
              <w:bCs/>
              <w:kern w:val="44"/>
              <w:szCs w:val="30"/>
              <w:highlight w:val="none"/>
            </w:rPr>
            <w:t>2.6</w:t>
          </w:r>
          <w:r>
            <w:rPr>
              <w:rFonts w:hAnsiTheme="minorEastAsia" w:eastAsiaTheme="minorEastAsia"/>
              <w:bCs/>
              <w:kern w:val="44"/>
              <w:szCs w:val="30"/>
              <w:highlight w:val="none"/>
            </w:rPr>
            <w:t>环境功能区划</w:t>
          </w:r>
          <w:r>
            <w:rPr>
              <w:highlight w:val="none"/>
            </w:rPr>
            <w:tab/>
          </w:r>
          <w:r>
            <w:rPr>
              <w:highlight w:val="none"/>
            </w:rPr>
            <w:fldChar w:fldCharType="begin"/>
          </w:r>
          <w:r>
            <w:rPr>
              <w:highlight w:val="none"/>
            </w:rPr>
            <w:instrText xml:space="preserve"> PAGEREF _Toc28185 \h </w:instrText>
          </w:r>
          <w:r>
            <w:rPr>
              <w:highlight w:val="none"/>
            </w:rPr>
            <w:fldChar w:fldCharType="separate"/>
          </w:r>
          <w:r>
            <w:rPr>
              <w:highlight w:val="none"/>
            </w:rPr>
            <w:t>57</w:t>
          </w:r>
          <w:r>
            <w:rPr>
              <w:highlight w:val="none"/>
            </w:rPr>
            <w:fldChar w:fldCharType="end"/>
          </w:r>
          <w:r>
            <w:rPr>
              <w:rFonts w:hint="default" w:ascii="Times New Roman" w:hAnsi="Times New Roman" w:cs="Times New Roman"/>
              <w:highlight w:val="none"/>
            </w:rPr>
            <w:fldChar w:fldCharType="end"/>
          </w:r>
        </w:p>
        <w:p w14:paraId="50070E3B">
          <w:pPr>
            <w:pStyle w:val="36"/>
            <w:tabs>
              <w:tab w:val="right" w:leader="dot" w:pos="8306"/>
              <w:tab w:val="clear" w:pos="8296"/>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_Toc9127 </w:instrText>
          </w:r>
          <w:r>
            <w:rPr>
              <w:rFonts w:hint="default" w:ascii="Times New Roman" w:hAnsi="Times New Roman" w:cs="Times New Roman"/>
              <w:highlight w:val="none"/>
            </w:rPr>
            <w:fldChar w:fldCharType="separate"/>
          </w:r>
          <w:r>
            <w:rPr>
              <w:highlight w:val="none"/>
            </w:rPr>
            <w:t>2.7主要环境保护目标</w:t>
          </w:r>
          <w:r>
            <w:rPr>
              <w:highlight w:val="none"/>
            </w:rPr>
            <w:tab/>
          </w:r>
          <w:r>
            <w:rPr>
              <w:highlight w:val="none"/>
            </w:rPr>
            <w:fldChar w:fldCharType="begin"/>
          </w:r>
          <w:r>
            <w:rPr>
              <w:highlight w:val="none"/>
            </w:rPr>
            <w:instrText xml:space="preserve"> PAGEREF _Toc9127 \h </w:instrText>
          </w:r>
          <w:r>
            <w:rPr>
              <w:highlight w:val="none"/>
            </w:rPr>
            <w:fldChar w:fldCharType="separate"/>
          </w:r>
          <w:r>
            <w:rPr>
              <w:highlight w:val="none"/>
            </w:rPr>
            <w:t>57</w:t>
          </w:r>
          <w:r>
            <w:rPr>
              <w:highlight w:val="none"/>
            </w:rPr>
            <w:fldChar w:fldCharType="end"/>
          </w:r>
          <w:r>
            <w:rPr>
              <w:rFonts w:hint="default" w:ascii="Times New Roman" w:hAnsi="Times New Roman" w:cs="Times New Roman"/>
              <w:highlight w:val="none"/>
            </w:rPr>
            <w:fldChar w:fldCharType="end"/>
          </w:r>
        </w:p>
        <w:p w14:paraId="0FB82104">
          <w:pPr>
            <w:pStyle w:val="32"/>
            <w:tabs>
              <w:tab w:val="right" w:leader="dot" w:pos="8306"/>
              <w:tab w:val="clear" w:pos="8302"/>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_Toc26139 </w:instrText>
          </w:r>
          <w:r>
            <w:rPr>
              <w:rFonts w:hint="default" w:ascii="Times New Roman" w:hAnsi="Times New Roman" w:cs="Times New Roman"/>
              <w:highlight w:val="none"/>
            </w:rPr>
            <w:fldChar w:fldCharType="separate"/>
          </w:r>
          <w:r>
            <w:rPr>
              <w:highlight w:val="none"/>
            </w:rPr>
            <w:t>3建设项目工程分析</w:t>
          </w:r>
          <w:r>
            <w:rPr>
              <w:highlight w:val="none"/>
            </w:rPr>
            <w:tab/>
          </w:r>
          <w:r>
            <w:rPr>
              <w:highlight w:val="none"/>
            </w:rPr>
            <w:fldChar w:fldCharType="begin"/>
          </w:r>
          <w:r>
            <w:rPr>
              <w:highlight w:val="none"/>
            </w:rPr>
            <w:instrText xml:space="preserve"> PAGEREF _Toc26139 \h </w:instrText>
          </w:r>
          <w:r>
            <w:rPr>
              <w:highlight w:val="none"/>
            </w:rPr>
            <w:fldChar w:fldCharType="separate"/>
          </w:r>
          <w:r>
            <w:rPr>
              <w:highlight w:val="none"/>
            </w:rPr>
            <w:t>61</w:t>
          </w:r>
          <w:r>
            <w:rPr>
              <w:highlight w:val="none"/>
            </w:rPr>
            <w:fldChar w:fldCharType="end"/>
          </w:r>
          <w:r>
            <w:rPr>
              <w:rFonts w:hint="default" w:ascii="Times New Roman" w:hAnsi="Times New Roman" w:cs="Times New Roman"/>
              <w:highlight w:val="none"/>
            </w:rPr>
            <w:fldChar w:fldCharType="end"/>
          </w:r>
        </w:p>
        <w:p w14:paraId="3438298A">
          <w:pPr>
            <w:pStyle w:val="36"/>
            <w:tabs>
              <w:tab w:val="right" w:leader="dot" w:pos="8306"/>
              <w:tab w:val="clear" w:pos="8296"/>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_Toc28692 </w:instrText>
          </w:r>
          <w:r>
            <w:rPr>
              <w:rFonts w:hint="default" w:ascii="Times New Roman" w:hAnsi="Times New Roman" w:cs="Times New Roman"/>
              <w:highlight w:val="none"/>
            </w:rPr>
            <w:fldChar w:fldCharType="separate"/>
          </w:r>
          <w:r>
            <w:rPr>
              <w:highlight w:val="none"/>
            </w:rPr>
            <w:t>3.1</w:t>
          </w:r>
          <w:r>
            <w:rPr>
              <w:rFonts w:hint="eastAsia"/>
              <w:highlight w:val="none"/>
              <w:lang w:val="en-US" w:eastAsia="zh-CN"/>
            </w:rPr>
            <w:t>项目概况</w:t>
          </w:r>
          <w:r>
            <w:rPr>
              <w:highlight w:val="none"/>
            </w:rPr>
            <w:tab/>
          </w:r>
          <w:r>
            <w:rPr>
              <w:highlight w:val="none"/>
            </w:rPr>
            <w:fldChar w:fldCharType="begin"/>
          </w:r>
          <w:r>
            <w:rPr>
              <w:highlight w:val="none"/>
            </w:rPr>
            <w:instrText xml:space="preserve"> PAGEREF _Toc28692 \h </w:instrText>
          </w:r>
          <w:r>
            <w:rPr>
              <w:highlight w:val="none"/>
            </w:rPr>
            <w:fldChar w:fldCharType="separate"/>
          </w:r>
          <w:r>
            <w:rPr>
              <w:highlight w:val="none"/>
            </w:rPr>
            <w:t>61</w:t>
          </w:r>
          <w:r>
            <w:rPr>
              <w:highlight w:val="none"/>
            </w:rPr>
            <w:fldChar w:fldCharType="end"/>
          </w:r>
          <w:r>
            <w:rPr>
              <w:rFonts w:hint="default" w:ascii="Times New Roman" w:hAnsi="Times New Roman" w:cs="Times New Roman"/>
              <w:highlight w:val="none"/>
            </w:rPr>
            <w:fldChar w:fldCharType="end"/>
          </w:r>
        </w:p>
        <w:p w14:paraId="6F10F620">
          <w:pPr>
            <w:pStyle w:val="36"/>
            <w:tabs>
              <w:tab w:val="right" w:leader="dot" w:pos="8306"/>
              <w:tab w:val="clear" w:pos="8296"/>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_Toc1707 </w:instrText>
          </w:r>
          <w:r>
            <w:rPr>
              <w:rFonts w:hint="default" w:ascii="Times New Roman" w:hAnsi="Times New Roman" w:cs="Times New Roman"/>
              <w:highlight w:val="none"/>
            </w:rPr>
            <w:fldChar w:fldCharType="separate"/>
          </w:r>
          <w:r>
            <w:rPr>
              <w:highlight w:val="none"/>
            </w:rPr>
            <w:t>3.</w:t>
          </w:r>
          <w:r>
            <w:rPr>
              <w:rFonts w:hint="eastAsia"/>
              <w:highlight w:val="none"/>
              <w:lang w:val="en-US" w:eastAsia="zh-CN"/>
            </w:rPr>
            <w:t>2</w:t>
          </w:r>
          <w:r>
            <w:rPr>
              <w:highlight w:val="none"/>
            </w:rPr>
            <w:t>工程分析</w:t>
          </w:r>
          <w:r>
            <w:rPr>
              <w:highlight w:val="none"/>
            </w:rPr>
            <w:tab/>
          </w:r>
          <w:r>
            <w:rPr>
              <w:highlight w:val="none"/>
            </w:rPr>
            <w:fldChar w:fldCharType="begin"/>
          </w:r>
          <w:r>
            <w:rPr>
              <w:highlight w:val="none"/>
            </w:rPr>
            <w:instrText xml:space="preserve"> PAGEREF _Toc1707 \h </w:instrText>
          </w:r>
          <w:r>
            <w:rPr>
              <w:highlight w:val="none"/>
            </w:rPr>
            <w:fldChar w:fldCharType="separate"/>
          </w:r>
          <w:r>
            <w:rPr>
              <w:highlight w:val="none"/>
            </w:rPr>
            <w:t>64</w:t>
          </w:r>
          <w:r>
            <w:rPr>
              <w:highlight w:val="none"/>
            </w:rPr>
            <w:fldChar w:fldCharType="end"/>
          </w:r>
          <w:r>
            <w:rPr>
              <w:rFonts w:hint="default" w:ascii="Times New Roman" w:hAnsi="Times New Roman" w:cs="Times New Roman"/>
              <w:highlight w:val="none"/>
            </w:rPr>
            <w:fldChar w:fldCharType="end"/>
          </w:r>
        </w:p>
        <w:p w14:paraId="26C35250">
          <w:pPr>
            <w:pStyle w:val="36"/>
            <w:tabs>
              <w:tab w:val="right" w:leader="dot" w:pos="8306"/>
              <w:tab w:val="clear" w:pos="8296"/>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_Toc21826 </w:instrText>
          </w:r>
          <w:r>
            <w:rPr>
              <w:rFonts w:hint="default" w:ascii="Times New Roman" w:hAnsi="Times New Roman" w:cs="Times New Roman"/>
              <w:highlight w:val="none"/>
            </w:rPr>
            <w:fldChar w:fldCharType="separate"/>
          </w:r>
          <w:r>
            <w:rPr>
              <w:rFonts w:eastAsiaTheme="minorEastAsia"/>
              <w:bCs/>
              <w:kern w:val="44"/>
              <w:szCs w:val="30"/>
              <w:highlight w:val="none"/>
            </w:rPr>
            <w:t>3.</w:t>
          </w:r>
          <w:r>
            <w:rPr>
              <w:rFonts w:hint="eastAsia" w:eastAsiaTheme="minorEastAsia"/>
              <w:bCs/>
              <w:kern w:val="44"/>
              <w:szCs w:val="30"/>
              <w:highlight w:val="none"/>
              <w:lang w:val="en-US" w:eastAsia="zh-CN"/>
            </w:rPr>
            <w:t>3</w:t>
          </w:r>
          <w:r>
            <w:rPr>
              <w:rFonts w:hAnsiTheme="minorEastAsia" w:eastAsiaTheme="minorEastAsia"/>
              <w:bCs/>
              <w:kern w:val="44"/>
              <w:szCs w:val="30"/>
              <w:highlight w:val="none"/>
            </w:rPr>
            <w:t>污染源源强核算</w:t>
          </w:r>
          <w:r>
            <w:rPr>
              <w:highlight w:val="none"/>
            </w:rPr>
            <w:tab/>
          </w:r>
          <w:r>
            <w:rPr>
              <w:highlight w:val="none"/>
            </w:rPr>
            <w:fldChar w:fldCharType="begin"/>
          </w:r>
          <w:r>
            <w:rPr>
              <w:highlight w:val="none"/>
            </w:rPr>
            <w:instrText xml:space="preserve"> PAGEREF _Toc21826 \h </w:instrText>
          </w:r>
          <w:r>
            <w:rPr>
              <w:highlight w:val="none"/>
            </w:rPr>
            <w:fldChar w:fldCharType="separate"/>
          </w:r>
          <w:r>
            <w:rPr>
              <w:highlight w:val="none"/>
            </w:rPr>
            <w:t>70</w:t>
          </w:r>
          <w:r>
            <w:rPr>
              <w:highlight w:val="none"/>
            </w:rPr>
            <w:fldChar w:fldCharType="end"/>
          </w:r>
          <w:r>
            <w:rPr>
              <w:rFonts w:hint="default" w:ascii="Times New Roman" w:hAnsi="Times New Roman" w:cs="Times New Roman"/>
              <w:highlight w:val="none"/>
            </w:rPr>
            <w:fldChar w:fldCharType="end"/>
          </w:r>
        </w:p>
        <w:p w14:paraId="61CA3132">
          <w:pPr>
            <w:pStyle w:val="36"/>
            <w:tabs>
              <w:tab w:val="right" w:leader="dot" w:pos="8306"/>
              <w:tab w:val="clear" w:pos="8296"/>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_Toc9643 </w:instrText>
          </w:r>
          <w:r>
            <w:rPr>
              <w:rFonts w:hint="default" w:ascii="Times New Roman" w:hAnsi="Times New Roman" w:cs="Times New Roman"/>
              <w:highlight w:val="none"/>
            </w:rPr>
            <w:fldChar w:fldCharType="separate"/>
          </w:r>
          <w:r>
            <w:rPr>
              <w:rFonts w:eastAsiaTheme="minorEastAsia"/>
              <w:bCs/>
              <w:kern w:val="44"/>
              <w:szCs w:val="30"/>
              <w:highlight w:val="none"/>
            </w:rPr>
            <w:t>3.</w:t>
          </w:r>
          <w:r>
            <w:rPr>
              <w:rFonts w:hint="eastAsia" w:eastAsiaTheme="minorEastAsia"/>
              <w:bCs/>
              <w:kern w:val="44"/>
              <w:szCs w:val="30"/>
              <w:highlight w:val="none"/>
              <w:lang w:val="en-US" w:eastAsia="zh-CN"/>
            </w:rPr>
            <w:t>4</w:t>
          </w:r>
          <w:r>
            <w:rPr>
              <w:rFonts w:hAnsiTheme="minorEastAsia" w:eastAsiaTheme="minorEastAsia"/>
              <w:bCs/>
              <w:kern w:val="44"/>
              <w:szCs w:val="30"/>
              <w:highlight w:val="none"/>
            </w:rPr>
            <w:t>清洁生产</w:t>
          </w:r>
          <w:r>
            <w:rPr>
              <w:highlight w:val="none"/>
            </w:rPr>
            <w:tab/>
          </w:r>
          <w:r>
            <w:rPr>
              <w:highlight w:val="none"/>
            </w:rPr>
            <w:fldChar w:fldCharType="begin"/>
          </w:r>
          <w:r>
            <w:rPr>
              <w:highlight w:val="none"/>
            </w:rPr>
            <w:instrText xml:space="preserve"> PAGEREF _Toc9643 \h </w:instrText>
          </w:r>
          <w:r>
            <w:rPr>
              <w:highlight w:val="none"/>
            </w:rPr>
            <w:fldChar w:fldCharType="separate"/>
          </w:r>
          <w:r>
            <w:rPr>
              <w:highlight w:val="none"/>
            </w:rPr>
            <w:t>80</w:t>
          </w:r>
          <w:r>
            <w:rPr>
              <w:highlight w:val="none"/>
            </w:rPr>
            <w:fldChar w:fldCharType="end"/>
          </w:r>
          <w:r>
            <w:rPr>
              <w:rFonts w:hint="default" w:ascii="Times New Roman" w:hAnsi="Times New Roman" w:cs="Times New Roman"/>
              <w:highlight w:val="none"/>
            </w:rPr>
            <w:fldChar w:fldCharType="end"/>
          </w:r>
        </w:p>
        <w:p w14:paraId="3BFCE363">
          <w:pPr>
            <w:pStyle w:val="32"/>
            <w:tabs>
              <w:tab w:val="right" w:leader="dot" w:pos="8306"/>
              <w:tab w:val="clear" w:pos="8302"/>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_Toc18536 </w:instrText>
          </w:r>
          <w:r>
            <w:rPr>
              <w:rFonts w:hint="default" w:ascii="Times New Roman" w:hAnsi="Times New Roman" w:cs="Times New Roman"/>
              <w:highlight w:val="none"/>
            </w:rPr>
            <w:fldChar w:fldCharType="separate"/>
          </w:r>
          <w:r>
            <w:rPr>
              <w:highlight w:val="none"/>
            </w:rPr>
            <w:t>4环境现状调查与评价</w:t>
          </w:r>
          <w:r>
            <w:rPr>
              <w:highlight w:val="none"/>
            </w:rPr>
            <w:tab/>
          </w:r>
          <w:r>
            <w:rPr>
              <w:highlight w:val="none"/>
            </w:rPr>
            <w:fldChar w:fldCharType="begin"/>
          </w:r>
          <w:r>
            <w:rPr>
              <w:highlight w:val="none"/>
            </w:rPr>
            <w:instrText xml:space="preserve"> PAGEREF _Toc18536 \h </w:instrText>
          </w:r>
          <w:r>
            <w:rPr>
              <w:highlight w:val="none"/>
            </w:rPr>
            <w:fldChar w:fldCharType="separate"/>
          </w:r>
          <w:r>
            <w:rPr>
              <w:highlight w:val="none"/>
            </w:rPr>
            <w:t>84</w:t>
          </w:r>
          <w:r>
            <w:rPr>
              <w:highlight w:val="none"/>
            </w:rPr>
            <w:fldChar w:fldCharType="end"/>
          </w:r>
          <w:r>
            <w:rPr>
              <w:rFonts w:hint="default" w:ascii="Times New Roman" w:hAnsi="Times New Roman" w:cs="Times New Roman"/>
              <w:highlight w:val="none"/>
            </w:rPr>
            <w:fldChar w:fldCharType="end"/>
          </w:r>
        </w:p>
        <w:p w14:paraId="0649BA46">
          <w:pPr>
            <w:pStyle w:val="36"/>
            <w:tabs>
              <w:tab w:val="right" w:leader="dot" w:pos="8306"/>
              <w:tab w:val="clear" w:pos="8296"/>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_Toc30025 </w:instrText>
          </w:r>
          <w:r>
            <w:rPr>
              <w:rFonts w:hint="default" w:ascii="Times New Roman" w:hAnsi="Times New Roman" w:cs="Times New Roman"/>
              <w:highlight w:val="none"/>
            </w:rPr>
            <w:fldChar w:fldCharType="separate"/>
          </w:r>
          <w:r>
            <w:rPr>
              <w:highlight w:val="none"/>
            </w:rPr>
            <w:t>4.1自然环境概况</w:t>
          </w:r>
          <w:r>
            <w:rPr>
              <w:highlight w:val="none"/>
            </w:rPr>
            <w:tab/>
          </w:r>
          <w:r>
            <w:rPr>
              <w:highlight w:val="none"/>
            </w:rPr>
            <w:fldChar w:fldCharType="begin"/>
          </w:r>
          <w:r>
            <w:rPr>
              <w:highlight w:val="none"/>
            </w:rPr>
            <w:instrText xml:space="preserve"> PAGEREF _Toc30025 \h </w:instrText>
          </w:r>
          <w:r>
            <w:rPr>
              <w:highlight w:val="none"/>
            </w:rPr>
            <w:fldChar w:fldCharType="separate"/>
          </w:r>
          <w:r>
            <w:rPr>
              <w:highlight w:val="none"/>
            </w:rPr>
            <w:t>84</w:t>
          </w:r>
          <w:r>
            <w:rPr>
              <w:highlight w:val="none"/>
            </w:rPr>
            <w:fldChar w:fldCharType="end"/>
          </w:r>
          <w:r>
            <w:rPr>
              <w:rFonts w:hint="default" w:ascii="Times New Roman" w:hAnsi="Times New Roman" w:cs="Times New Roman"/>
              <w:highlight w:val="none"/>
            </w:rPr>
            <w:fldChar w:fldCharType="end"/>
          </w:r>
        </w:p>
        <w:p w14:paraId="13D6D5BE">
          <w:pPr>
            <w:pStyle w:val="36"/>
            <w:tabs>
              <w:tab w:val="right" w:leader="dot" w:pos="8306"/>
              <w:tab w:val="clear" w:pos="8296"/>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_Toc2686 </w:instrText>
          </w:r>
          <w:r>
            <w:rPr>
              <w:rFonts w:hint="default" w:ascii="Times New Roman" w:hAnsi="Times New Roman" w:cs="Times New Roman"/>
              <w:highlight w:val="none"/>
            </w:rPr>
            <w:fldChar w:fldCharType="separate"/>
          </w:r>
          <w:r>
            <w:rPr>
              <w:highlight w:val="none"/>
            </w:rPr>
            <w:t>4.2环境质量现状调查</w:t>
          </w:r>
          <w:r>
            <w:rPr>
              <w:highlight w:val="none"/>
            </w:rPr>
            <w:tab/>
          </w:r>
          <w:r>
            <w:rPr>
              <w:highlight w:val="none"/>
            </w:rPr>
            <w:fldChar w:fldCharType="begin"/>
          </w:r>
          <w:r>
            <w:rPr>
              <w:highlight w:val="none"/>
            </w:rPr>
            <w:instrText xml:space="preserve"> PAGEREF _Toc2686 \h </w:instrText>
          </w:r>
          <w:r>
            <w:rPr>
              <w:highlight w:val="none"/>
            </w:rPr>
            <w:fldChar w:fldCharType="separate"/>
          </w:r>
          <w:r>
            <w:rPr>
              <w:highlight w:val="none"/>
            </w:rPr>
            <w:t>96</w:t>
          </w:r>
          <w:r>
            <w:rPr>
              <w:highlight w:val="none"/>
            </w:rPr>
            <w:fldChar w:fldCharType="end"/>
          </w:r>
          <w:r>
            <w:rPr>
              <w:rFonts w:hint="default" w:ascii="Times New Roman" w:hAnsi="Times New Roman" w:cs="Times New Roman"/>
              <w:highlight w:val="none"/>
            </w:rPr>
            <w:fldChar w:fldCharType="end"/>
          </w:r>
        </w:p>
        <w:p w14:paraId="69D5DA4C">
          <w:pPr>
            <w:pStyle w:val="36"/>
            <w:tabs>
              <w:tab w:val="right" w:leader="dot" w:pos="8306"/>
              <w:tab w:val="clear" w:pos="8296"/>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_Toc9604 </w:instrText>
          </w:r>
          <w:r>
            <w:rPr>
              <w:rFonts w:hint="default" w:ascii="Times New Roman" w:hAnsi="Times New Roman" w:cs="Times New Roman"/>
              <w:highlight w:val="none"/>
            </w:rPr>
            <w:fldChar w:fldCharType="separate"/>
          </w:r>
          <w:r>
            <w:rPr>
              <w:rFonts w:eastAsiaTheme="minorEastAsia"/>
              <w:bCs/>
              <w:kern w:val="44"/>
              <w:szCs w:val="30"/>
              <w:highlight w:val="none"/>
            </w:rPr>
            <w:t>4.3</w:t>
          </w:r>
          <w:r>
            <w:rPr>
              <w:rFonts w:hAnsiTheme="minorEastAsia" w:eastAsiaTheme="minorEastAsia"/>
              <w:bCs/>
              <w:kern w:val="44"/>
              <w:szCs w:val="30"/>
              <w:highlight w:val="none"/>
            </w:rPr>
            <w:t>环境保护目标调查</w:t>
          </w:r>
          <w:r>
            <w:rPr>
              <w:highlight w:val="none"/>
            </w:rPr>
            <w:tab/>
          </w:r>
          <w:r>
            <w:rPr>
              <w:highlight w:val="none"/>
            </w:rPr>
            <w:fldChar w:fldCharType="begin"/>
          </w:r>
          <w:r>
            <w:rPr>
              <w:highlight w:val="none"/>
            </w:rPr>
            <w:instrText xml:space="preserve"> PAGEREF _Toc9604 \h </w:instrText>
          </w:r>
          <w:r>
            <w:rPr>
              <w:highlight w:val="none"/>
            </w:rPr>
            <w:fldChar w:fldCharType="separate"/>
          </w:r>
          <w:r>
            <w:rPr>
              <w:highlight w:val="none"/>
            </w:rPr>
            <w:t>117</w:t>
          </w:r>
          <w:r>
            <w:rPr>
              <w:highlight w:val="none"/>
            </w:rPr>
            <w:fldChar w:fldCharType="end"/>
          </w:r>
          <w:r>
            <w:rPr>
              <w:rFonts w:hint="default" w:ascii="Times New Roman" w:hAnsi="Times New Roman" w:cs="Times New Roman"/>
              <w:highlight w:val="none"/>
            </w:rPr>
            <w:fldChar w:fldCharType="end"/>
          </w:r>
        </w:p>
        <w:p w14:paraId="7F40D08B">
          <w:pPr>
            <w:pStyle w:val="36"/>
            <w:tabs>
              <w:tab w:val="right" w:leader="dot" w:pos="8306"/>
              <w:tab w:val="clear" w:pos="8296"/>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_Toc25636 </w:instrText>
          </w:r>
          <w:r>
            <w:rPr>
              <w:rFonts w:hint="default" w:ascii="Times New Roman" w:hAnsi="Times New Roman" w:cs="Times New Roman"/>
              <w:highlight w:val="none"/>
            </w:rPr>
            <w:fldChar w:fldCharType="separate"/>
          </w:r>
          <w:r>
            <w:rPr>
              <w:rFonts w:eastAsiaTheme="minorEastAsia"/>
              <w:bCs/>
              <w:kern w:val="44"/>
              <w:szCs w:val="30"/>
              <w:highlight w:val="none"/>
            </w:rPr>
            <w:t>4.4</w:t>
          </w:r>
          <w:r>
            <w:rPr>
              <w:rFonts w:hAnsiTheme="minorEastAsia" w:eastAsiaTheme="minorEastAsia"/>
              <w:bCs/>
              <w:kern w:val="44"/>
              <w:szCs w:val="30"/>
              <w:highlight w:val="none"/>
            </w:rPr>
            <w:t>区域污染源调查</w:t>
          </w:r>
          <w:r>
            <w:rPr>
              <w:highlight w:val="none"/>
            </w:rPr>
            <w:tab/>
          </w:r>
          <w:r>
            <w:rPr>
              <w:highlight w:val="none"/>
            </w:rPr>
            <w:fldChar w:fldCharType="begin"/>
          </w:r>
          <w:r>
            <w:rPr>
              <w:highlight w:val="none"/>
            </w:rPr>
            <w:instrText xml:space="preserve"> PAGEREF _Toc25636 \h </w:instrText>
          </w:r>
          <w:r>
            <w:rPr>
              <w:highlight w:val="none"/>
            </w:rPr>
            <w:fldChar w:fldCharType="separate"/>
          </w:r>
          <w:r>
            <w:rPr>
              <w:highlight w:val="none"/>
            </w:rPr>
            <w:t>119</w:t>
          </w:r>
          <w:r>
            <w:rPr>
              <w:highlight w:val="none"/>
            </w:rPr>
            <w:fldChar w:fldCharType="end"/>
          </w:r>
          <w:r>
            <w:rPr>
              <w:rFonts w:hint="default" w:ascii="Times New Roman" w:hAnsi="Times New Roman" w:cs="Times New Roman"/>
              <w:highlight w:val="none"/>
            </w:rPr>
            <w:fldChar w:fldCharType="end"/>
          </w:r>
        </w:p>
        <w:p w14:paraId="02E19223">
          <w:pPr>
            <w:pStyle w:val="32"/>
            <w:tabs>
              <w:tab w:val="right" w:leader="dot" w:pos="8306"/>
              <w:tab w:val="clear" w:pos="8302"/>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_Toc18015 </w:instrText>
          </w:r>
          <w:r>
            <w:rPr>
              <w:rFonts w:hint="default" w:ascii="Times New Roman" w:hAnsi="Times New Roman" w:cs="Times New Roman"/>
              <w:highlight w:val="none"/>
            </w:rPr>
            <w:fldChar w:fldCharType="separate"/>
          </w:r>
          <w:r>
            <w:rPr>
              <w:rFonts w:eastAsiaTheme="minorEastAsia"/>
              <w:kern w:val="0"/>
              <w:szCs w:val="32"/>
              <w:highlight w:val="none"/>
            </w:rPr>
            <w:t>5</w:t>
          </w:r>
          <w:r>
            <w:rPr>
              <w:rFonts w:hAnsiTheme="minorEastAsia" w:eastAsiaTheme="minorEastAsia"/>
              <w:kern w:val="0"/>
              <w:szCs w:val="32"/>
              <w:highlight w:val="none"/>
            </w:rPr>
            <w:t>环境影响预测与评价</w:t>
          </w:r>
          <w:r>
            <w:rPr>
              <w:highlight w:val="none"/>
            </w:rPr>
            <w:tab/>
          </w:r>
          <w:r>
            <w:rPr>
              <w:highlight w:val="none"/>
            </w:rPr>
            <w:fldChar w:fldCharType="begin"/>
          </w:r>
          <w:r>
            <w:rPr>
              <w:highlight w:val="none"/>
            </w:rPr>
            <w:instrText xml:space="preserve"> PAGEREF _Toc18015 \h </w:instrText>
          </w:r>
          <w:r>
            <w:rPr>
              <w:highlight w:val="none"/>
            </w:rPr>
            <w:fldChar w:fldCharType="separate"/>
          </w:r>
          <w:r>
            <w:rPr>
              <w:highlight w:val="none"/>
            </w:rPr>
            <w:t>120</w:t>
          </w:r>
          <w:r>
            <w:rPr>
              <w:highlight w:val="none"/>
            </w:rPr>
            <w:fldChar w:fldCharType="end"/>
          </w:r>
          <w:r>
            <w:rPr>
              <w:rFonts w:hint="default" w:ascii="Times New Roman" w:hAnsi="Times New Roman" w:cs="Times New Roman"/>
              <w:highlight w:val="none"/>
            </w:rPr>
            <w:fldChar w:fldCharType="end"/>
          </w:r>
        </w:p>
        <w:p w14:paraId="5B2F8E08">
          <w:pPr>
            <w:pStyle w:val="36"/>
            <w:tabs>
              <w:tab w:val="right" w:leader="dot" w:pos="8306"/>
              <w:tab w:val="clear" w:pos="8296"/>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_Toc10315 </w:instrText>
          </w:r>
          <w:r>
            <w:rPr>
              <w:rFonts w:hint="default" w:ascii="Times New Roman" w:hAnsi="Times New Roman" w:cs="Times New Roman"/>
              <w:highlight w:val="none"/>
            </w:rPr>
            <w:fldChar w:fldCharType="separate"/>
          </w:r>
          <w:r>
            <w:rPr>
              <w:rFonts w:eastAsiaTheme="minorEastAsia"/>
              <w:bCs/>
              <w:kern w:val="44"/>
              <w:szCs w:val="30"/>
              <w:highlight w:val="none"/>
            </w:rPr>
            <w:t>5.1</w:t>
          </w:r>
          <w:r>
            <w:rPr>
              <w:rFonts w:hAnsiTheme="minorEastAsia" w:eastAsiaTheme="minorEastAsia"/>
              <w:bCs/>
              <w:kern w:val="44"/>
              <w:szCs w:val="30"/>
              <w:highlight w:val="none"/>
            </w:rPr>
            <w:t>施工期环境影响分析</w:t>
          </w:r>
          <w:r>
            <w:rPr>
              <w:highlight w:val="none"/>
            </w:rPr>
            <w:tab/>
          </w:r>
          <w:r>
            <w:rPr>
              <w:highlight w:val="none"/>
            </w:rPr>
            <w:fldChar w:fldCharType="begin"/>
          </w:r>
          <w:r>
            <w:rPr>
              <w:highlight w:val="none"/>
            </w:rPr>
            <w:instrText xml:space="preserve"> PAGEREF _Toc10315 \h </w:instrText>
          </w:r>
          <w:r>
            <w:rPr>
              <w:highlight w:val="none"/>
            </w:rPr>
            <w:fldChar w:fldCharType="separate"/>
          </w:r>
          <w:r>
            <w:rPr>
              <w:highlight w:val="none"/>
            </w:rPr>
            <w:t>120</w:t>
          </w:r>
          <w:r>
            <w:rPr>
              <w:highlight w:val="none"/>
            </w:rPr>
            <w:fldChar w:fldCharType="end"/>
          </w:r>
          <w:r>
            <w:rPr>
              <w:rFonts w:hint="default" w:ascii="Times New Roman" w:hAnsi="Times New Roman" w:cs="Times New Roman"/>
              <w:highlight w:val="none"/>
            </w:rPr>
            <w:fldChar w:fldCharType="end"/>
          </w:r>
        </w:p>
        <w:p w14:paraId="6617E680">
          <w:pPr>
            <w:pStyle w:val="36"/>
            <w:tabs>
              <w:tab w:val="right" w:leader="dot" w:pos="8306"/>
              <w:tab w:val="clear" w:pos="8296"/>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_Toc31405 </w:instrText>
          </w:r>
          <w:r>
            <w:rPr>
              <w:rFonts w:hint="default" w:ascii="Times New Roman" w:hAnsi="Times New Roman" w:cs="Times New Roman"/>
              <w:highlight w:val="none"/>
            </w:rPr>
            <w:fldChar w:fldCharType="separate"/>
          </w:r>
          <w:r>
            <w:rPr>
              <w:rFonts w:eastAsiaTheme="minorEastAsia"/>
              <w:bCs/>
              <w:kern w:val="44"/>
              <w:szCs w:val="30"/>
              <w:highlight w:val="none"/>
            </w:rPr>
            <w:t>5.2</w:t>
          </w:r>
          <w:r>
            <w:rPr>
              <w:rFonts w:hAnsiTheme="minorEastAsia" w:eastAsiaTheme="minorEastAsia"/>
              <w:bCs/>
              <w:kern w:val="44"/>
              <w:szCs w:val="30"/>
              <w:highlight w:val="none"/>
            </w:rPr>
            <w:t>运行期环境影响预测与评价</w:t>
          </w:r>
          <w:r>
            <w:rPr>
              <w:highlight w:val="none"/>
            </w:rPr>
            <w:tab/>
          </w:r>
          <w:r>
            <w:rPr>
              <w:highlight w:val="none"/>
            </w:rPr>
            <w:fldChar w:fldCharType="begin"/>
          </w:r>
          <w:r>
            <w:rPr>
              <w:highlight w:val="none"/>
            </w:rPr>
            <w:instrText xml:space="preserve"> PAGEREF _Toc31405 \h </w:instrText>
          </w:r>
          <w:r>
            <w:rPr>
              <w:highlight w:val="none"/>
            </w:rPr>
            <w:fldChar w:fldCharType="separate"/>
          </w:r>
          <w:r>
            <w:rPr>
              <w:highlight w:val="none"/>
            </w:rPr>
            <w:t>121</w:t>
          </w:r>
          <w:r>
            <w:rPr>
              <w:highlight w:val="none"/>
            </w:rPr>
            <w:fldChar w:fldCharType="end"/>
          </w:r>
          <w:r>
            <w:rPr>
              <w:rFonts w:hint="default" w:ascii="Times New Roman" w:hAnsi="Times New Roman" w:cs="Times New Roman"/>
              <w:highlight w:val="none"/>
            </w:rPr>
            <w:fldChar w:fldCharType="end"/>
          </w:r>
        </w:p>
        <w:p w14:paraId="011E88B8">
          <w:pPr>
            <w:pStyle w:val="32"/>
            <w:tabs>
              <w:tab w:val="right" w:leader="dot" w:pos="8306"/>
              <w:tab w:val="clear" w:pos="8302"/>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_Toc5912 </w:instrText>
          </w:r>
          <w:r>
            <w:rPr>
              <w:rFonts w:hint="default" w:ascii="Times New Roman" w:hAnsi="Times New Roman" w:cs="Times New Roman"/>
              <w:highlight w:val="none"/>
            </w:rPr>
            <w:fldChar w:fldCharType="separate"/>
          </w:r>
          <w:r>
            <w:rPr>
              <w:rFonts w:eastAsiaTheme="minorEastAsia"/>
              <w:kern w:val="0"/>
              <w:szCs w:val="32"/>
              <w:highlight w:val="none"/>
            </w:rPr>
            <w:t>6</w:t>
          </w:r>
          <w:r>
            <w:rPr>
              <w:rFonts w:hAnsiTheme="minorEastAsia" w:eastAsiaTheme="minorEastAsia"/>
              <w:kern w:val="0"/>
              <w:szCs w:val="32"/>
              <w:highlight w:val="none"/>
            </w:rPr>
            <w:t>环境保护措施及其可行性论证</w:t>
          </w:r>
          <w:r>
            <w:rPr>
              <w:highlight w:val="none"/>
            </w:rPr>
            <w:tab/>
          </w:r>
          <w:r>
            <w:rPr>
              <w:highlight w:val="none"/>
            </w:rPr>
            <w:fldChar w:fldCharType="begin"/>
          </w:r>
          <w:r>
            <w:rPr>
              <w:highlight w:val="none"/>
            </w:rPr>
            <w:instrText xml:space="preserve"> PAGEREF _Toc5912 \h </w:instrText>
          </w:r>
          <w:r>
            <w:rPr>
              <w:highlight w:val="none"/>
            </w:rPr>
            <w:fldChar w:fldCharType="separate"/>
          </w:r>
          <w:r>
            <w:rPr>
              <w:highlight w:val="none"/>
            </w:rPr>
            <w:t>149</w:t>
          </w:r>
          <w:r>
            <w:rPr>
              <w:highlight w:val="none"/>
            </w:rPr>
            <w:fldChar w:fldCharType="end"/>
          </w:r>
          <w:r>
            <w:rPr>
              <w:rFonts w:hint="default" w:ascii="Times New Roman" w:hAnsi="Times New Roman" w:cs="Times New Roman"/>
              <w:highlight w:val="none"/>
            </w:rPr>
            <w:fldChar w:fldCharType="end"/>
          </w:r>
        </w:p>
        <w:p w14:paraId="3D2A73F4">
          <w:pPr>
            <w:pStyle w:val="36"/>
            <w:tabs>
              <w:tab w:val="right" w:leader="dot" w:pos="8306"/>
              <w:tab w:val="clear" w:pos="8296"/>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_Toc28527 </w:instrText>
          </w:r>
          <w:r>
            <w:rPr>
              <w:rFonts w:hint="default" w:ascii="Times New Roman" w:hAnsi="Times New Roman" w:cs="Times New Roman"/>
              <w:highlight w:val="none"/>
            </w:rPr>
            <w:fldChar w:fldCharType="separate"/>
          </w:r>
          <w:r>
            <w:rPr>
              <w:rFonts w:eastAsiaTheme="minorEastAsia"/>
              <w:bCs/>
              <w:kern w:val="44"/>
              <w:szCs w:val="30"/>
              <w:highlight w:val="none"/>
            </w:rPr>
            <w:t>6.1</w:t>
          </w:r>
          <w:r>
            <w:rPr>
              <w:rFonts w:hAnsiTheme="minorEastAsia" w:eastAsiaTheme="minorEastAsia"/>
              <w:bCs/>
              <w:kern w:val="44"/>
              <w:szCs w:val="30"/>
              <w:highlight w:val="none"/>
            </w:rPr>
            <w:t>施工期环境保护措施及其可行性论证</w:t>
          </w:r>
          <w:r>
            <w:rPr>
              <w:highlight w:val="none"/>
            </w:rPr>
            <w:tab/>
          </w:r>
          <w:r>
            <w:rPr>
              <w:highlight w:val="none"/>
            </w:rPr>
            <w:fldChar w:fldCharType="begin"/>
          </w:r>
          <w:r>
            <w:rPr>
              <w:highlight w:val="none"/>
            </w:rPr>
            <w:instrText xml:space="preserve"> PAGEREF _Toc28527 \h </w:instrText>
          </w:r>
          <w:r>
            <w:rPr>
              <w:highlight w:val="none"/>
            </w:rPr>
            <w:fldChar w:fldCharType="separate"/>
          </w:r>
          <w:r>
            <w:rPr>
              <w:highlight w:val="none"/>
            </w:rPr>
            <w:t>149</w:t>
          </w:r>
          <w:r>
            <w:rPr>
              <w:highlight w:val="none"/>
            </w:rPr>
            <w:fldChar w:fldCharType="end"/>
          </w:r>
          <w:r>
            <w:rPr>
              <w:rFonts w:hint="default" w:ascii="Times New Roman" w:hAnsi="Times New Roman" w:cs="Times New Roman"/>
              <w:highlight w:val="none"/>
            </w:rPr>
            <w:fldChar w:fldCharType="end"/>
          </w:r>
        </w:p>
        <w:p w14:paraId="55A06C52">
          <w:pPr>
            <w:pStyle w:val="36"/>
            <w:tabs>
              <w:tab w:val="right" w:leader="dot" w:pos="8306"/>
              <w:tab w:val="clear" w:pos="8296"/>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_Toc22157 </w:instrText>
          </w:r>
          <w:r>
            <w:rPr>
              <w:rFonts w:hint="default" w:ascii="Times New Roman" w:hAnsi="Times New Roman" w:cs="Times New Roman"/>
              <w:highlight w:val="none"/>
            </w:rPr>
            <w:fldChar w:fldCharType="separate"/>
          </w:r>
          <w:r>
            <w:rPr>
              <w:rFonts w:eastAsiaTheme="minorEastAsia"/>
              <w:bCs/>
              <w:kern w:val="44"/>
              <w:szCs w:val="30"/>
              <w:highlight w:val="none"/>
            </w:rPr>
            <w:t>6.2</w:t>
          </w:r>
          <w:r>
            <w:rPr>
              <w:rFonts w:hAnsiTheme="minorEastAsia" w:eastAsiaTheme="minorEastAsia"/>
              <w:bCs/>
              <w:kern w:val="44"/>
              <w:szCs w:val="30"/>
              <w:highlight w:val="none"/>
            </w:rPr>
            <w:t>营运期环境保护措施及其可行性论证</w:t>
          </w:r>
          <w:r>
            <w:rPr>
              <w:highlight w:val="none"/>
            </w:rPr>
            <w:tab/>
          </w:r>
          <w:r>
            <w:rPr>
              <w:highlight w:val="none"/>
            </w:rPr>
            <w:fldChar w:fldCharType="begin"/>
          </w:r>
          <w:r>
            <w:rPr>
              <w:highlight w:val="none"/>
            </w:rPr>
            <w:instrText xml:space="preserve"> PAGEREF _Toc22157 \h </w:instrText>
          </w:r>
          <w:r>
            <w:rPr>
              <w:highlight w:val="none"/>
            </w:rPr>
            <w:fldChar w:fldCharType="separate"/>
          </w:r>
          <w:r>
            <w:rPr>
              <w:highlight w:val="none"/>
            </w:rPr>
            <w:t>150</w:t>
          </w:r>
          <w:r>
            <w:rPr>
              <w:highlight w:val="none"/>
            </w:rPr>
            <w:fldChar w:fldCharType="end"/>
          </w:r>
          <w:r>
            <w:rPr>
              <w:rFonts w:hint="default" w:ascii="Times New Roman" w:hAnsi="Times New Roman" w:cs="Times New Roman"/>
              <w:highlight w:val="none"/>
            </w:rPr>
            <w:fldChar w:fldCharType="end"/>
          </w:r>
        </w:p>
        <w:p w14:paraId="303861C4">
          <w:pPr>
            <w:pStyle w:val="36"/>
            <w:tabs>
              <w:tab w:val="right" w:leader="dot" w:pos="8306"/>
              <w:tab w:val="clear" w:pos="8296"/>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_Toc3342 </w:instrText>
          </w:r>
          <w:r>
            <w:rPr>
              <w:rFonts w:hint="default" w:ascii="Times New Roman" w:hAnsi="Times New Roman" w:cs="Times New Roman"/>
              <w:highlight w:val="none"/>
            </w:rPr>
            <w:fldChar w:fldCharType="separate"/>
          </w:r>
          <w:r>
            <w:rPr>
              <w:highlight w:val="none"/>
            </w:rPr>
            <w:t>6.3环境风险</w:t>
          </w:r>
          <w:r>
            <w:rPr>
              <w:rFonts w:hint="eastAsia"/>
              <w:highlight w:val="none"/>
            </w:rPr>
            <w:t>管理</w:t>
          </w:r>
          <w:r>
            <w:rPr>
              <w:highlight w:val="none"/>
            </w:rPr>
            <w:tab/>
          </w:r>
          <w:r>
            <w:rPr>
              <w:highlight w:val="none"/>
            </w:rPr>
            <w:fldChar w:fldCharType="begin"/>
          </w:r>
          <w:r>
            <w:rPr>
              <w:highlight w:val="none"/>
            </w:rPr>
            <w:instrText xml:space="preserve"> PAGEREF _Toc3342 \h </w:instrText>
          </w:r>
          <w:r>
            <w:rPr>
              <w:highlight w:val="none"/>
            </w:rPr>
            <w:fldChar w:fldCharType="separate"/>
          </w:r>
          <w:r>
            <w:rPr>
              <w:highlight w:val="none"/>
            </w:rPr>
            <w:t>159</w:t>
          </w:r>
          <w:r>
            <w:rPr>
              <w:highlight w:val="none"/>
            </w:rPr>
            <w:fldChar w:fldCharType="end"/>
          </w:r>
          <w:r>
            <w:rPr>
              <w:rFonts w:hint="default" w:ascii="Times New Roman" w:hAnsi="Times New Roman" w:cs="Times New Roman"/>
              <w:highlight w:val="none"/>
            </w:rPr>
            <w:fldChar w:fldCharType="end"/>
          </w:r>
        </w:p>
        <w:p w14:paraId="47A3FB07">
          <w:pPr>
            <w:pStyle w:val="36"/>
            <w:tabs>
              <w:tab w:val="right" w:leader="dot" w:pos="8306"/>
              <w:tab w:val="clear" w:pos="8296"/>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_Toc13981 </w:instrText>
          </w:r>
          <w:r>
            <w:rPr>
              <w:rFonts w:hint="default" w:ascii="Times New Roman" w:hAnsi="Times New Roman" w:cs="Times New Roman"/>
              <w:highlight w:val="none"/>
            </w:rPr>
            <w:fldChar w:fldCharType="separate"/>
          </w:r>
          <w:r>
            <w:rPr>
              <w:rFonts w:eastAsiaTheme="minorEastAsia"/>
              <w:bCs/>
              <w:kern w:val="44"/>
              <w:szCs w:val="30"/>
              <w:highlight w:val="none"/>
            </w:rPr>
            <w:t>6.4</w:t>
          </w:r>
          <w:r>
            <w:rPr>
              <w:rFonts w:hAnsiTheme="minorEastAsia" w:eastAsiaTheme="minorEastAsia"/>
              <w:bCs/>
              <w:kern w:val="44"/>
              <w:szCs w:val="30"/>
              <w:highlight w:val="none"/>
            </w:rPr>
            <w:t>环境保护投资</w:t>
          </w:r>
          <w:r>
            <w:rPr>
              <w:highlight w:val="none"/>
            </w:rPr>
            <w:tab/>
          </w:r>
          <w:r>
            <w:rPr>
              <w:highlight w:val="none"/>
            </w:rPr>
            <w:fldChar w:fldCharType="begin"/>
          </w:r>
          <w:r>
            <w:rPr>
              <w:highlight w:val="none"/>
            </w:rPr>
            <w:instrText xml:space="preserve"> PAGEREF _Toc13981 \h </w:instrText>
          </w:r>
          <w:r>
            <w:rPr>
              <w:highlight w:val="none"/>
            </w:rPr>
            <w:fldChar w:fldCharType="separate"/>
          </w:r>
          <w:r>
            <w:rPr>
              <w:highlight w:val="none"/>
            </w:rPr>
            <w:t>166</w:t>
          </w:r>
          <w:r>
            <w:rPr>
              <w:highlight w:val="none"/>
            </w:rPr>
            <w:fldChar w:fldCharType="end"/>
          </w:r>
          <w:r>
            <w:rPr>
              <w:rFonts w:hint="default" w:ascii="Times New Roman" w:hAnsi="Times New Roman" w:cs="Times New Roman"/>
              <w:highlight w:val="none"/>
            </w:rPr>
            <w:fldChar w:fldCharType="end"/>
          </w:r>
        </w:p>
        <w:p w14:paraId="0CB01145">
          <w:pPr>
            <w:pStyle w:val="32"/>
            <w:tabs>
              <w:tab w:val="right" w:leader="dot" w:pos="8306"/>
              <w:tab w:val="clear" w:pos="8302"/>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_Toc3215 </w:instrText>
          </w:r>
          <w:r>
            <w:rPr>
              <w:rFonts w:hint="default" w:ascii="Times New Roman" w:hAnsi="Times New Roman" w:cs="Times New Roman"/>
              <w:highlight w:val="none"/>
            </w:rPr>
            <w:fldChar w:fldCharType="separate"/>
          </w:r>
          <w:r>
            <w:rPr>
              <w:rFonts w:eastAsiaTheme="minorEastAsia"/>
              <w:kern w:val="0"/>
              <w:szCs w:val="32"/>
              <w:highlight w:val="none"/>
            </w:rPr>
            <w:t>7</w:t>
          </w:r>
          <w:r>
            <w:rPr>
              <w:rFonts w:hAnsiTheme="minorEastAsia" w:eastAsiaTheme="minorEastAsia"/>
              <w:kern w:val="0"/>
              <w:szCs w:val="32"/>
              <w:highlight w:val="none"/>
            </w:rPr>
            <w:t>环境影响经济损益分析</w:t>
          </w:r>
          <w:r>
            <w:rPr>
              <w:highlight w:val="none"/>
            </w:rPr>
            <w:tab/>
          </w:r>
          <w:r>
            <w:rPr>
              <w:highlight w:val="none"/>
            </w:rPr>
            <w:fldChar w:fldCharType="begin"/>
          </w:r>
          <w:r>
            <w:rPr>
              <w:highlight w:val="none"/>
            </w:rPr>
            <w:instrText xml:space="preserve"> PAGEREF _Toc3215 \h </w:instrText>
          </w:r>
          <w:r>
            <w:rPr>
              <w:highlight w:val="none"/>
            </w:rPr>
            <w:fldChar w:fldCharType="separate"/>
          </w:r>
          <w:r>
            <w:rPr>
              <w:highlight w:val="none"/>
            </w:rPr>
            <w:t>168</w:t>
          </w:r>
          <w:r>
            <w:rPr>
              <w:highlight w:val="none"/>
            </w:rPr>
            <w:fldChar w:fldCharType="end"/>
          </w:r>
          <w:r>
            <w:rPr>
              <w:rFonts w:hint="default" w:ascii="Times New Roman" w:hAnsi="Times New Roman" w:cs="Times New Roman"/>
              <w:highlight w:val="none"/>
            </w:rPr>
            <w:fldChar w:fldCharType="end"/>
          </w:r>
        </w:p>
        <w:p w14:paraId="7A68730F">
          <w:pPr>
            <w:pStyle w:val="36"/>
            <w:tabs>
              <w:tab w:val="right" w:leader="dot" w:pos="8306"/>
              <w:tab w:val="clear" w:pos="8296"/>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_Toc14650 </w:instrText>
          </w:r>
          <w:r>
            <w:rPr>
              <w:rFonts w:hint="default" w:ascii="Times New Roman" w:hAnsi="Times New Roman" w:cs="Times New Roman"/>
              <w:highlight w:val="none"/>
            </w:rPr>
            <w:fldChar w:fldCharType="separate"/>
          </w:r>
          <w:r>
            <w:rPr>
              <w:rFonts w:eastAsiaTheme="minorEastAsia"/>
              <w:bCs/>
              <w:kern w:val="44"/>
              <w:szCs w:val="30"/>
              <w:highlight w:val="none"/>
            </w:rPr>
            <w:t>7.1</w:t>
          </w:r>
          <w:r>
            <w:rPr>
              <w:rFonts w:hAnsiTheme="minorEastAsia" w:eastAsiaTheme="minorEastAsia"/>
              <w:bCs/>
              <w:kern w:val="44"/>
              <w:szCs w:val="30"/>
              <w:highlight w:val="none"/>
            </w:rPr>
            <w:t>社会经济效益分析</w:t>
          </w:r>
          <w:r>
            <w:rPr>
              <w:highlight w:val="none"/>
            </w:rPr>
            <w:tab/>
          </w:r>
          <w:r>
            <w:rPr>
              <w:highlight w:val="none"/>
            </w:rPr>
            <w:fldChar w:fldCharType="begin"/>
          </w:r>
          <w:r>
            <w:rPr>
              <w:highlight w:val="none"/>
            </w:rPr>
            <w:instrText xml:space="preserve"> PAGEREF _Toc14650 \h </w:instrText>
          </w:r>
          <w:r>
            <w:rPr>
              <w:highlight w:val="none"/>
            </w:rPr>
            <w:fldChar w:fldCharType="separate"/>
          </w:r>
          <w:r>
            <w:rPr>
              <w:highlight w:val="none"/>
            </w:rPr>
            <w:t>168</w:t>
          </w:r>
          <w:r>
            <w:rPr>
              <w:highlight w:val="none"/>
            </w:rPr>
            <w:fldChar w:fldCharType="end"/>
          </w:r>
          <w:r>
            <w:rPr>
              <w:rFonts w:hint="default" w:ascii="Times New Roman" w:hAnsi="Times New Roman" w:cs="Times New Roman"/>
              <w:highlight w:val="none"/>
            </w:rPr>
            <w:fldChar w:fldCharType="end"/>
          </w:r>
        </w:p>
        <w:p w14:paraId="57435DB1">
          <w:pPr>
            <w:pStyle w:val="36"/>
            <w:tabs>
              <w:tab w:val="right" w:leader="dot" w:pos="8306"/>
              <w:tab w:val="clear" w:pos="8296"/>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_Toc3494 </w:instrText>
          </w:r>
          <w:r>
            <w:rPr>
              <w:rFonts w:hint="default" w:ascii="Times New Roman" w:hAnsi="Times New Roman" w:cs="Times New Roman"/>
              <w:highlight w:val="none"/>
            </w:rPr>
            <w:fldChar w:fldCharType="separate"/>
          </w:r>
          <w:r>
            <w:rPr>
              <w:rFonts w:eastAsiaTheme="minorEastAsia"/>
              <w:bCs/>
              <w:kern w:val="44"/>
              <w:szCs w:val="30"/>
              <w:highlight w:val="none"/>
            </w:rPr>
            <w:t>7.2</w:t>
          </w:r>
          <w:r>
            <w:rPr>
              <w:rFonts w:hAnsiTheme="minorEastAsia" w:eastAsiaTheme="minorEastAsia"/>
              <w:bCs/>
              <w:kern w:val="44"/>
              <w:szCs w:val="30"/>
              <w:highlight w:val="none"/>
            </w:rPr>
            <w:t>经济损益分析</w:t>
          </w:r>
          <w:r>
            <w:rPr>
              <w:highlight w:val="none"/>
            </w:rPr>
            <w:tab/>
          </w:r>
          <w:r>
            <w:rPr>
              <w:highlight w:val="none"/>
            </w:rPr>
            <w:fldChar w:fldCharType="begin"/>
          </w:r>
          <w:r>
            <w:rPr>
              <w:highlight w:val="none"/>
            </w:rPr>
            <w:instrText xml:space="preserve"> PAGEREF _Toc3494 \h </w:instrText>
          </w:r>
          <w:r>
            <w:rPr>
              <w:highlight w:val="none"/>
            </w:rPr>
            <w:fldChar w:fldCharType="separate"/>
          </w:r>
          <w:r>
            <w:rPr>
              <w:highlight w:val="none"/>
            </w:rPr>
            <w:t>169</w:t>
          </w:r>
          <w:r>
            <w:rPr>
              <w:highlight w:val="none"/>
            </w:rPr>
            <w:fldChar w:fldCharType="end"/>
          </w:r>
          <w:r>
            <w:rPr>
              <w:rFonts w:hint="default" w:ascii="Times New Roman" w:hAnsi="Times New Roman" w:cs="Times New Roman"/>
              <w:highlight w:val="none"/>
            </w:rPr>
            <w:fldChar w:fldCharType="end"/>
          </w:r>
        </w:p>
        <w:p w14:paraId="1058EC3C">
          <w:pPr>
            <w:pStyle w:val="36"/>
            <w:tabs>
              <w:tab w:val="right" w:leader="dot" w:pos="8306"/>
              <w:tab w:val="clear" w:pos="8296"/>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_Toc3913 </w:instrText>
          </w:r>
          <w:r>
            <w:rPr>
              <w:rFonts w:hint="default" w:ascii="Times New Roman" w:hAnsi="Times New Roman" w:cs="Times New Roman"/>
              <w:highlight w:val="none"/>
            </w:rPr>
            <w:fldChar w:fldCharType="separate"/>
          </w:r>
          <w:r>
            <w:rPr>
              <w:rFonts w:eastAsiaTheme="minorEastAsia"/>
              <w:bCs/>
              <w:kern w:val="44"/>
              <w:szCs w:val="30"/>
              <w:highlight w:val="none"/>
            </w:rPr>
            <w:t>7.3</w:t>
          </w:r>
          <w:r>
            <w:rPr>
              <w:rFonts w:hAnsiTheme="minorEastAsia" w:eastAsiaTheme="minorEastAsia"/>
              <w:bCs/>
              <w:kern w:val="44"/>
              <w:szCs w:val="30"/>
              <w:highlight w:val="none"/>
            </w:rPr>
            <w:t>环境效益分析</w:t>
          </w:r>
          <w:r>
            <w:rPr>
              <w:highlight w:val="none"/>
            </w:rPr>
            <w:tab/>
          </w:r>
          <w:r>
            <w:rPr>
              <w:highlight w:val="none"/>
            </w:rPr>
            <w:fldChar w:fldCharType="begin"/>
          </w:r>
          <w:r>
            <w:rPr>
              <w:highlight w:val="none"/>
            </w:rPr>
            <w:instrText xml:space="preserve"> PAGEREF _Toc3913 \h </w:instrText>
          </w:r>
          <w:r>
            <w:rPr>
              <w:highlight w:val="none"/>
            </w:rPr>
            <w:fldChar w:fldCharType="separate"/>
          </w:r>
          <w:r>
            <w:rPr>
              <w:highlight w:val="none"/>
            </w:rPr>
            <w:t>169</w:t>
          </w:r>
          <w:r>
            <w:rPr>
              <w:highlight w:val="none"/>
            </w:rPr>
            <w:fldChar w:fldCharType="end"/>
          </w:r>
          <w:r>
            <w:rPr>
              <w:rFonts w:hint="default" w:ascii="Times New Roman" w:hAnsi="Times New Roman" w:cs="Times New Roman"/>
              <w:highlight w:val="none"/>
            </w:rPr>
            <w:fldChar w:fldCharType="end"/>
          </w:r>
        </w:p>
        <w:p w14:paraId="54789E05">
          <w:pPr>
            <w:pStyle w:val="36"/>
            <w:tabs>
              <w:tab w:val="right" w:leader="dot" w:pos="8306"/>
              <w:tab w:val="clear" w:pos="8296"/>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_Toc8989 </w:instrText>
          </w:r>
          <w:r>
            <w:rPr>
              <w:rFonts w:hint="default" w:ascii="Times New Roman" w:hAnsi="Times New Roman" w:cs="Times New Roman"/>
              <w:highlight w:val="none"/>
            </w:rPr>
            <w:fldChar w:fldCharType="separate"/>
          </w:r>
          <w:r>
            <w:rPr>
              <w:rFonts w:eastAsiaTheme="minorEastAsia"/>
              <w:bCs/>
              <w:kern w:val="44"/>
              <w:szCs w:val="30"/>
              <w:highlight w:val="none"/>
            </w:rPr>
            <w:t>7.4</w:t>
          </w:r>
          <w:r>
            <w:rPr>
              <w:rFonts w:hAnsiTheme="minorEastAsia" w:eastAsiaTheme="minorEastAsia"/>
              <w:bCs/>
              <w:kern w:val="44"/>
              <w:szCs w:val="30"/>
              <w:highlight w:val="none"/>
            </w:rPr>
            <w:t>小结</w:t>
          </w:r>
          <w:r>
            <w:rPr>
              <w:highlight w:val="none"/>
            </w:rPr>
            <w:tab/>
          </w:r>
          <w:r>
            <w:rPr>
              <w:highlight w:val="none"/>
            </w:rPr>
            <w:fldChar w:fldCharType="begin"/>
          </w:r>
          <w:r>
            <w:rPr>
              <w:highlight w:val="none"/>
            </w:rPr>
            <w:instrText xml:space="preserve"> PAGEREF _Toc8989 \h </w:instrText>
          </w:r>
          <w:r>
            <w:rPr>
              <w:highlight w:val="none"/>
            </w:rPr>
            <w:fldChar w:fldCharType="separate"/>
          </w:r>
          <w:r>
            <w:rPr>
              <w:highlight w:val="none"/>
            </w:rPr>
            <w:t>170</w:t>
          </w:r>
          <w:r>
            <w:rPr>
              <w:highlight w:val="none"/>
            </w:rPr>
            <w:fldChar w:fldCharType="end"/>
          </w:r>
          <w:r>
            <w:rPr>
              <w:rFonts w:hint="default" w:ascii="Times New Roman" w:hAnsi="Times New Roman" w:cs="Times New Roman"/>
              <w:highlight w:val="none"/>
            </w:rPr>
            <w:fldChar w:fldCharType="end"/>
          </w:r>
        </w:p>
        <w:p w14:paraId="08B4B034">
          <w:pPr>
            <w:pStyle w:val="32"/>
            <w:tabs>
              <w:tab w:val="right" w:leader="dot" w:pos="8306"/>
              <w:tab w:val="clear" w:pos="8302"/>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_Toc7453 </w:instrText>
          </w:r>
          <w:r>
            <w:rPr>
              <w:rFonts w:hint="default" w:ascii="Times New Roman" w:hAnsi="Times New Roman" w:cs="Times New Roman"/>
              <w:highlight w:val="none"/>
            </w:rPr>
            <w:fldChar w:fldCharType="separate"/>
          </w:r>
          <w:r>
            <w:rPr>
              <w:rFonts w:eastAsiaTheme="minorEastAsia"/>
              <w:kern w:val="0"/>
              <w:szCs w:val="32"/>
              <w:highlight w:val="none"/>
            </w:rPr>
            <w:t>8</w:t>
          </w:r>
          <w:r>
            <w:rPr>
              <w:rFonts w:hAnsiTheme="minorEastAsia" w:eastAsiaTheme="minorEastAsia"/>
              <w:kern w:val="0"/>
              <w:szCs w:val="32"/>
              <w:highlight w:val="none"/>
            </w:rPr>
            <w:t>环境管理与监测计划</w:t>
          </w:r>
          <w:r>
            <w:rPr>
              <w:highlight w:val="none"/>
            </w:rPr>
            <w:tab/>
          </w:r>
          <w:r>
            <w:rPr>
              <w:highlight w:val="none"/>
            </w:rPr>
            <w:fldChar w:fldCharType="begin"/>
          </w:r>
          <w:r>
            <w:rPr>
              <w:highlight w:val="none"/>
            </w:rPr>
            <w:instrText xml:space="preserve"> PAGEREF _Toc7453 \h </w:instrText>
          </w:r>
          <w:r>
            <w:rPr>
              <w:highlight w:val="none"/>
            </w:rPr>
            <w:fldChar w:fldCharType="separate"/>
          </w:r>
          <w:r>
            <w:rPr>
              <w:highlight w:val="none"/>
            </w:rPr>
            <w:t>171</w:t>
          </w:r>
          <w:r>
            <w:rPr>
              <w:highlight w:val="none"/>
            </w:rPr>
            <w:fldChar w:fldCharType="end"/>
          </w:r>
          <w:r>
            <w:rPr>
              <w:rFonts w:hint="default" w:ascii="Times New Roman" w:hAnsi="Times New Roman" w:cs="Times New Roman"/>
              <w:highlight w:val="none"/>
            </w:rPr>
            <w:fldChar w:fldCharType="end"/>
          </w:r>
        </w:p>
        <w:p w14:paraId="11564C60">
          <w:pPr>
            <w:pStyle w:val="36"/>
            <w:tabs>
              <w:tab w:val="right" w:leader="dot" w:pos="8306"/>
              <w:tab w:val="clear" w:pos="8296"/>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_Toc20378 </w:instrText>
          </w:r>
          <w:r>
            <w:rPr>
              <w:rFonts w:hint="default" w:ascii="Times New Roman" w:hAnsi="Times New Roman" w:cs="Times New Roman"/>
              <w:highlight w:val="none"/>
            </w:rPr>
            <w:fldChar w:fldCharType="separate"/>
          </w:r>
          <w:r>
            <w:rPr>
              <w:rFonts w:eastAsiaTheme="minorEastAsia"/>
              <w:bCs/>
              <w:snapToGrid w:val="0"/>
              <w:kern w:val="0"/>
              <w:szCs w:val="30"/>
              <w:highlight w:val="none"/>
            </w:rPr>
            <w:t>8.1</w:t>
          </w:r>
          <w:r>
            <w:rPr>
              <w:rFonts w:hAnsiTheme="minorEastAsia" w:eastAsiaTheme="minorEastAsia"/>
              <w:bCs/>
              <w:snapToGrid w:val="0"/>
              <w:kern w:val="0"/>
              <w:szCs w:val="30"/>
              <w:highlight w:val="none"/>
            </w:rPr>
            <w:t>环境管理</w:t>
          </w:r>
          <w:r>
            <w:rPr>
              <w:highlight w:val="none"/>
            </w:rPr>
            <w:tab/>
          </w:r>
          <w:r>
            <w:rPr>
              <w:highlight w:val="none"/>
            </w:rPr>
            <w:fldChar w:fldCharType="begin"/>
          </w:r>
          <w:r>
            <w:rPr>
              <w:highlight w:val="none"/>
            </w:rPr>
            <w:instrText xml:space="preserve"> PAGEREF _Toc20378 \h </w:instrText>
          </w:r>
          <w:r>
            <w:rPr>
              <w:highlight w:val="none"/>
            </w:rPr>
            <w:fldChar w:fldCharType="separate"/>
          </w:r>
          <w:r>
            <w:rPr>
              <w:highlight w:val="none"/>
            </w:rPr>
            <w:t>171</w:t>
          </w:r>
          <w:r>
            <w:rPr>
              <w:highlight w:val="none"/>
            </w:rPr>
            <w:fldChar w:fldCharType="end"/>
          </w:r>
          <w:r>
            <w:rPr>
              <w:rFonts w:hint="default" w:ascii="Times New Roman" w:hAnsi="Times New Roman" w:cs="Times New Roman"/>
              <w:highlight w:val="none"/>
            </w:rPr>
            <w:fldChar w:fldCharType="end"/>
          </w:r>
        </w:p>
        <w:p w14:paraId="4802F657">
          <w:pPr>
            <w:pStyle w:val="36"/>
            <w:tabs>
              <w:tab w:val="right" w:leader="dot" w:pos="8306"/>
              <w:tab w:val="clear" w:pos="8296"/>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_Toc6535 </w:instrText>
          </w:r>
          <w:r>
            <w:rPr>
              <w:rFonts w:hint="default" w:ascii="Times New Roman" w:hAnsi="Times New Roman" w:cs="Times New Roman"/>
              <w:highlight w:val="none"/>
            </w:rPr>
            <w:fldChar w:fldCharType="separate"/>
          </w:r>
          <w:r>
            <w:rPr>
              <w:highlight w:val="none"/>
            </w:rPr>
            <w:t>8.2环境监测</w:t>
          </w:r>
          <w:r>
            <w:rPr>
              <w:highlight w:val="none"/>
            </w:rPr>
            <w:tab/>
          </w:r>
          <w:r>
            <w:rPr>
              <w:highlight w:val="none"/>
            </w:rPr>
            <w:fldChar w:fldCharType="begin"/>
          </w:r>
          <w:r>
            <w:rPr>
              <w:highlight w:val="none"/>
            </w:rPr>
            <w:instrText xml:space="preserve"> PAGEREF _Toc6535 \h </w:instrText>
          </w:r>
          <w:r>
            <w:rPr>
              <w:highlight w:val="none"/>
            </w:rPr>
            <w:fldChar w:fldCharType="separate"/>
          </w:r>
          <w:r>
            <w:rPr>
              <w:highlight w:val="none"/>
            </w:rPr>
            <w:t>176</w:t>
          </w:r>
          <w:r>
            <w:rPr>
              <w:highlight w:val="none"/>
            </w:rPr>
            <w:fldChar w:fldCharType="end"/>
          </w:r>
          <w:r>
            <w:rPr>
              <w:rFonts w:hint="default" w:ascii="Times New Roman" w:hAnsi="Times New Roman" w:cs="Times New Roman"/>
              <w:highlight w:val="none"/>
            </w:rPr>
            <w:fldChar w:fldCharType="end"/>
          </w:r>
        </w:p>
        <w:p w14:paraId="777D8FAD">
          <w:pPr>
            <w:pStyle w:val="36"/>
            <w:tabs>
              <w:tab w:val="right" w:leader="dot" w:pos="8306"/>
              <w:tab w:val="clear" w:pos="8296"/>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_Toc4398 </w:instrText>
          </w:r>
          <w:r>
            <w:rPr>
              <w:rFonts w:hint="default" w:ascii="Times New Roman" w:hAnsi="Times New Roman" w:cs="Times New Roman"/>
              <w:highlight w:val="none"/>
            </w:rPr>
            <w:fldChar w:fldCharType="separate"/>
          </w:r>
          <w:r>
            <w:rPr>
              <w:rFonts w:eastAsiaTheme="minorEastAsia"/>
              <w:bCs/>
              <w:snapToGrid w:val="0"/>
              <w:kern w:val="0"/>
              <w:szCs w:val="30"/>
              <w:highlight w:val="none"/>
            </w:rPr>
            <w:t>8.3</w:t>
          </w:r>
          <w:r>
            <w:rPr>
              <w:rFonts w:hAnsiTheme="minorEastAsia" w:eastAsiaTheme="minorEastAsia"/>
              <w:bCs/>
              <w:snapToGrid w:val="0"/>
              <w:kern w:val="0"/>
              <w:szCs w:val="30"/>
              <w:highlight w:val="none"/>
            </w:rPr>
            <w:t>环境保护竣工验收</w:t>
          </w:r>
          <w:r>
            <w:rPr>
              <w:highlight w:val="none"/>
            </w:rPr>
            <w:tab/>
          </w:r>
          <w:r>
            <w:rPr>
              <w:highlight w:val="none"/>
            </w:rPr>
            <w:fldChar w:fldCharType="begin"/>
          </w:r>
          <w:r>
            <w:rPr>
              <w:highlight w:val="none"/>
            </w:rPr>
            <w:instrText xml:space="preserve"> PAGEREF _Toc4398 \h </w:instrText>
          </w:r>
          <w:r>
            <w:rPr>
              <w:highlight w:val="none"/>
            </w:rPr>
            <w:fldChar w:fldCharType="separate"/>
          </w:r>
          <w:r>
            <w:rPr>
              <w:highlight w:val="none"/>
            </w:rPr>
            <w:t>180</w:t>
          </w:r>
          <w:r>
            <w:rPr>
              <w:highlight w:val="none"/>
            </w:rPr>
            <w:fldChar w:fldCharType="end"/>
          </w:r>
          <w:r>
            <w:rPr>
              <w:rFonts w:hint="default" w:ascii="Times New Roman" w:hAnsi="Times New Roman" w:cs="Times New Roman"/>
              <w:highlight w:val="none"/>
            </w:rPr>
            <w:fldChar w:fldCharType="end"/>
          </w:r>
        </w:p>
        <w:p w14:paraId="3ADB347D">
          <w:pPr>
            <w:pStyle w:val="36"/>
            <w:tabs>
              <w:tab w:val="right" w:leader="dot" w:pos="8306"/>
              <w:tab w:val="clear" w:pos="8296"/>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_Toc8553 </w:instrText>
          </w:r>
          <w:r>
            <w:rPr>
              <w:rFonts w:hint="default" w:ascii="Times New Roman" w:hAnsi="Times New Roman" w:cs="Times New Roman"/>
              <w:highlight w:val="none"/>
            </w:rPr>
            <w:fldChar w:fldCharType="separate"/>
          </w:r>
          <w:r>
            <w:rPr>
              <w:rFonts w:eastAsiaTheme="minorEastAsia"/>
              <w:bCs/>
              <w:snapToGrid w:val="0"/>
              <w:kern w:val="0"/>
              <w:szCs w:val="30"/>
              <w:highlight w:val="none"/>
            </w:rPr>
            <w:t>8.4</w:t>
          </w:r>
          <w:r>
            <w:rPr>
              <w:rFonts w:hAnsiTheme="minorEastAsia" w:eastAsiaTheme="minorEastAsia"/>
              <w:bCs/>
              <w:snapToGrid w:val="0"/>
              <w:kern w:val="0"/>
              <w:szCs w:val="30"/>
              <w:highlight w:val="none"/>
            </w:rPr>
            <w:t>总量控制</w:t>
          </w:r>
          <w:r>
            <w:rPr>
              <w:highlight w:val="none"/>
            </w:rPr>
            <w:tab/>
          </w:r>
          <w:r>
            <w:rPr>
              <w:highlight w:val="none"/>
            </w:rPr>
            <w:fldChar w:fldCharType="begin"/>
          </w:r>
          <w:r>
            <w:rPr>
              <w:highlight w:val="none"/>
            </w:rPr>
            <w:instrText xml:space="preserve"> PAGEREF _Toc8553 \h </w:instrText>
          </w:r>
          <w:r>
            <w:rPr>
              <w:highlight w:val="none"/>
            </w:rPr>
            <w:fldChar w:fldCharType="separate"/>
          </w:r>
          <w:r>
            <w:rPr>
              <w:highlight w:val="none"/>
            </w:rPr>
            <w:t>182</w:t>
          </w:r>
          <w:r>
            <w:rPr>
              <w:highlight w:val="none"/>
            </w:rPr>
            <w:fldChar w:fldCharType="end"/>
          </w:r>
          <w:r>
            <w:rPr>
              <w:rFonts w:hint="default" w:ascii="Times New Roman" w:hAnsi="Times New Roman" w:cs="Times New Roman"/>
              <w:highlight w:val="none"/>
            </w:rPr>
            <w:fldChar w:fldCharType="end"/>
          </w:r>
        </w:p>
        <w:p w14:paraId="4318EBD0">
          <w:pPr>
            <w:pStyle w:val="36"/>
            <w:tabs>
              <w:tab w:val="right" w:leader="dot" w:pos="8306"/>
              <w:tab w:val="clear" w:pos="8296"/>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_Toc21 </w:instrText>
          </w:r>
          <w:r>
            <w:rPr>
              <w:rFonts w:hint="default" w:ascii="Times New Roman" w:hAnsi="Times New Roman" w:cs="Times New Roman"/>
              <w:highlight w:val="none"/>
            </w:rPr>
            <w:fldChar w:fldCharType="separate"/>
          </w:r>
          <w:r>
            <w:rPr>
              <w:rFonts w:eastAsiaTheme="minorEastAsia"/>
              <w:bCs/>
              <w:snapToGrid w:val="0"/>
              <w:kern w:val="0"/>
              <w:szCs w:val="30"/>
              <w:highlight w:val="none"/>
            </w:rPr>
            <w:t>8.5</w:t>
          </w:r>
          <w:r>
            <w:rPr>
              <w:rFonts w:hAnsiTheme="minorEastAsia" w:eastAsiaTheme="minorEastAsia"/>
              <w:bCs/>
              <w:snapToGrid w:val="0"/>
              <w:kern w:val="0"/>
              <w:szCs w:val="30"/>
              <w:highlight w:val="none"/>
            </w:rPr>
            <w:t>与排污许可证制度衔接</w:t>
          </w:r>
          <w:r>
            <w:rPr>
              <w:highlight w:val="none"/>
            </w:rPr>
            <w:tab/>
          </w:r>
          <w:r>
            <w:rPr>
              <w:highlight w:val="none"/>
            </w:rPr>
            <w:fldChar w:fldCharType="begin"/>
          </w:r>
          <w:r>
            <w:rPr>
              <w:highlight w:val="none"/>
            </w:rPr>
            <w:instrText xml:space="preserve"> PAGEREF _Toc21 \h </w:instrText>
          </w:r>
          <w:r>
            <w:rPr>
              <w:highlight w:val="none"/>
            </w:rPr>
            <w:fldChar w:fldCharType="separate"/>
          </w:r>
          <w:r>
            <w:rPr>
              <w:highlight w:val="none"/>
            </w:rPr>
            <w:t>182</w:t>
          </w:r>
          <w:r>
            <w:rPr>
              <w:highlight w:val="none"/>
            </w:rPr>
            <w:fldChar w:fldCharType="end"/>
          </w:r>
          <w:r>
            <w:rPr>
              <w:rFonts w:hint="default" w:ascii="Times New Roman" w:hAnsi="Times New Roman" w:cs="Times New Roman"/>
              <w:highlight w:val="none"/>
            </w:rPr>
            <w:fldChar w:fldCharType="end"/>
          </w:r>
        </w:p>
        <w:p w14:paraId="052EB504">
          <w:pPr>
            <w:pStyle w:val="32"/>
            <w:tabs>
              <w:tab w:val="right" w:leader="dot" w:pos="8306"/>
              <w:tab w:val="clear" w:pos="8302"/>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_Toc21546 </w:instrText>
          </w:r>
          <w:r>
            <w:rPr>
              <w:rFonts w:hint="default" w:ascii="Times New Roman" w:hAnsi="Times New Roman" w:cs="Times New Roman"/>
              <w:highlight w:val="none"/>
            </w:rPr>
            <w:fldChar w:fldCharType="separate"/>
          </w:r>
          <w:r>
            <w:rPr>
              <w:rFonts w:eastAsiaTheme="minorEastAsia"/>
              <w:kern w:val="0"/>
              <w:szCs w:val="32"/>
              <w:highlight w:val="none"/>
            </w:rPr>
            <w:t>9</w:t>
          </w:r>
          <w:r>
            <w:rPr>
              <w:rFonts w:hAnsiTheme="minorEastAsia" w:eastAsiaTheme="minorEastAsia"/>
              <w:kern w:val="0"/>
              <w:szCs w:val="32"/>
              <w:highlight w:val="none"/>
            </w:rPr>
            <w:t>环境影响评价结论</w:t>
          </w:r>
          <w:r>
            <w:rPr>
              <w:highlight w:val="none"/>
            </w:rPr>
            <w:tab/>
          </w:r>
          <w:r>
            <w:rPr>
              <w:highlight w:val="none"/>
            </w:rPr>
            <w:fldChar w:fldCharType="begin"/>
          </w:r>
          <w:r>
            <w:rPr>
              <w:highlight w:val="none"/>
            </w:rPr>
            <w:instrText xml:space="preserve"> PAGEREF _Toc21546 \h </w:instrText>
          </w:r>
          <w:r>
            <w:rPr>
              <w:highlight w:val="none"/>
            </w:rPr>
            <w:fldChar w:fldCharType="separate"/>
          </w:r>
          <w:r>
            <w:rPr>
              <w:highlight w:val="none"/>
            </w:rPr>
            <w:t>184</w:t>
          </w:r>
          <w:r>
            <w:rPr>
              <w:highlight w:val="none"/>
            </w:rPr>
            <w:fldChar w:fldCharType="end"/>
          </w:r>
          <w:r>
            <w:rPr>
              <w:rFonts w:hint="default" w:ascii="Times New Roman" w:hAnsi="Times New Roman" w:cs="Times New Roman"/>
              <w:highlight w:val="none"/>
            </w:rPr>
            <w:fldChar w:fldCharType="end"/>
          </w:r>
        </w:p>
        <w:p w14:paraId="56D2C86D">
          <w:pPr>
            <w:pStyle w:val="36"/>
            <w:tabs>
              <w:tab w:val="right" w:leader="dot" w:pos="8306"/>
              <w:tab w:val="clear" w:pos="8296"/>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_Toc12991 </w:instrText>
          </w:r>
          <w:r>
            <w:rPr>
              <w:rFonts w:hint="default" w:ascii="Times New Roman" w:hAnsi="Times New Roman" w:cs="Times New Roman"/>
              <w:highlight w:val="none"/>
            </w:rPr>
            <w:fldChar w:fldCharType="separate"/>
          </w:r>
          <w:r>
            <w:rPr>
              <w:rFonts w:eastAsiaTheme="minorEastAsia"/>
              <w:bCs/>
              <w:snapToGrid w:val="0"/>
              <w:kern w:val="0"/>
              <w:szCs w:val="30"/>
              <w:highlight w:val="none"/>
            </w:rPr>
            <w:t>9.1</w:t>
          </w:r>
          <w:r>
            <w:rPr>
              <w:rFonts w:hAnsiTheme="minorEastAsia" w:eastAsiaTheme="minorEastAsia"/>
              <w:bCs/>
              <w:snapToGrid w:val="0"/>
              <w:kern w:val="0"/>
              <w:szCs w:val="30"/>
              <w:highlight w:val="none"/>
            </w:rPr>
            <w:t>评价结论</w:t>
          </w:r>
          <w:r>
            <w:rPr>
              <w:highlight w:val="none"/>
            </w:rPr>
            <w:tab/>
          </w:r>
          <w:r>
            <w:rPr>
              <w:highlight w:val="none"/>
            </w:rPr>
            <w:fldChar w:fldCharType="begin"/>
          </w:r>
          <w:r>
            <w:rPr>
              <w:highlight w:val="none"/>
            </w:rPr>
            <w:instrText xml:space="preserve"> PAGEREF _Toc12991 \h </w:instrText>
          </w:r>
          <w:r>
            <w:rPr>
              <w:highlight w:val="none"/>
            </w:rPr>
            <w:fldChar w:fldCharType="separate"/>
          </w:r>
          <w:r>
            <w:rPr>
              <w:highlight w:val="none"/>
            </w:rPr>
            <w:t>184</w:t>
          </w:r>
          <w:r>
            <w:rPr>
              <w:highlight w:val="none"/>
            </w:rPr>
            <w:fldChar w:fldCharType="end"/>
          </w:r>
          <w:r>
            <w:rPr>
              <w:rFonts w:hint="default" w:ascii="Times New Roman" w:hAnsi="Times New Roman" w:cs="Times New Roman"/>
              <w:highlight w:val="none"/>
            </w:rPr>
            <w:fldChar w:fldCharType="end"/>
          </w:r>
        </w:p>
        <w:p w14:paraId="4CED180F">
          <w:pPr>
            <w:pStyle w:val="36"/>
            <w:tabs>
              <w:tab w:val="right" w:leader="dot" w:pos="8306"/>
              <w:tab w:val="clear" w:pos="8296"/>
            </w:tabs>
            <w:rPr>
              <w:highlight w:val="none"/>
            </w:rPr>
          </w:pP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HYPERLINK \l _Toc17721 </w:instrText>
          </w:r>
          <w:r>
            <w:rPr>
              <w:rFonts w:hint="default" w:ascii="Times New Roman" w:hAnsi="Times New Roman" w:cs="Times New Roman"/>
              <w:highlight w:val="none"/>
            </w:rPr>
            <w:fldChar w:fldCharType="separate"/>
          </w:r>
          <w:r>
            <w:rPr>
              <w:rFonts w:eastAsiaTheme="minorEastAsia"/>
              <w:bCs/>
              <w:snapToGrid w:val="0"/>
              <w:kern w:val="0"/>
              <w:szCs w:val="32"/>
              <w:highlight w:val="none"/>
            </w:rPr>
            <w:t>9.2</w:t>
          </w:r>
          <w:r>
            <w:rPr>
              <w:rFonts w:hAnsiTheme="minorEastAsia" w:eastAsiaTheme="minorEastAsia"/>
              <w:bCs/>
              <w:snapToGrid w:val="0"/>
              <w:kern w:val="0"/>
              <w:szCs w:val="32"/>
              <w:highlight w:val="none"/>
            </w:rPr>
            <w:t>建议</w:t>
          </w:r>
          <w:r>
            <w:rPr>
              <w:highlight w:val="none"/>
            </w:rPr>
            <w:tab/>
          </w:r>
          <w:r>
            <w:rPr>
              <w:highlight w:val="none"/>
            </w:rPr>
            <w:fldChar w:fldCharType="begin"/>
          </w:r>
          <w:r>
            <w:rPr>
              <w:highlight w:val="none"/>
            </w:rPr>
            <w:instrText xml:space="preserve"> PAGEREF _Toc17721 \h </w:instrText>
          </w:r>
          <w:r>
            <w:rPr>
              <w:highlight w:val="none"/>
            </w:rPr>
            <w:fldChar w:fldCharType="separate"/>
          </w:r>
          <w:r>
            <w:rPr>
              <w:highlight w:val="none"/>
            </w:rPr>
            <w:t>188</w:t>
          </w:r>
          <w:r>
            <w:rPr>
              <w:highlight w:val="none"/>
            </w:rPr>
            <w:fldChar w:fldCharType="end"/>
          </w:r>
          <w:r>
            <w:rPr>
              <w:rFonts w:hint="default" w:ascii="Times New Roman" w:hAnsi="Times New Roman" w:cs="Times New Roman"/>
              <w:highlight w:val="none"/>
            </w:rPr>
            <w:fldChar w:fldCharType="end"/>
          </w:r>
        </w:p>
        <w:p w14:paraId="5A2A4C94">
          <w:pPr>
            <w:spacing w:line="360" w:lineRule="auto"/>
            <w:ind w:left="0" w:leftChars="0" w:firstLine="0" w:firstLineChars="0"/>
            <w:rPr>
              <w:rFonts w:eastAsiaTheme="minorEastAsia"/>
              <w:highlight w:val="none"/>
            </w:rPr>
          </w:pPr>
          <w:r>
            <w:rPr>
              <w:rFonts w:hint="default" w:ascii="Times New Roman" w:hAnsi="Times New Roman" w:cs="Times New Roman"/>
              <w:highlight w:val="none"/>
            </w:rPr>
            <w:fldChar w:fldCharType="end"/>
          </w:r>
        </w:p>
      </w:sdtContent>
    </w:sdt>
    <w:p w14:paraId="23C73921">
      <w:pPr>
        <w:bidi w:val="0"/>
        <w:rPr>
          <w:highlight w:val="none"/>
        </w:rPr>
      </w:pPr>
      <w:bookmarkStart w:id="4" w:name="_Toc15671"/>
      <w:bookmarkStart w:id="5" w:name="_Toc415"/>
      <w:bookmarkStart w:id="6" w:name="_Toc2700"/>
      <w:r>
        <w:rPr>
          <w:highlight w:val="none"/>
        </w:rPr>
        <w:t>附件</w:t>
      </w:r>
      <w:bookmarkEnd w:id="4"/>
      <w:bookmarkEnd w:id="5"/>
      <w:bookmarkEnd w:id="6"/>
    </w:p>
    <w:p w14:paraId="6254704C">
      <w:pPr>
        <w:bidi w:val="0"/>
        <w:rPr>
          <w:highlight w:val="none"/>
        </w:rPr>
      </w:pPr>
      <w:bookmarkStart w:id="7" w:name="_Toc21199"/>
      <w:bookmarkStart w:id="8" w:name="_Toc31745"/>
      <w:bookmarkStart w:id="9" w:name="_Toc28461"/>
      <w:r>
        <w:rPr>
          <w:highlight w:val="none"/>
        </w:rPr>
        <w:t>附件1：营业执照</w:t>
      </w:r>
      <w:bookmarkEnd w:id="7"/>
      <w:bookmarkEnd w:id="8"/>
      <w:bookmarkEnd w:id="9"/>
    </w:p>
    <w:p w14:paraId="48BE6E9A">
      <w:pPr>
        <w:bidi w:val="0"/>
        <w:rPr>
          <w:highlight w:val="none"/>
        </w:rPr>
      </w:pPr>
      <w:r>
        <w:rPr>
          <w:highlight w:val="none"/>
        </w:rPr>
        <w:t>附件2：土地手续</w:t>
      </w:r>
    </w:p>
    <w:p w14:paraId="70BE0A03">
      <w:pPr>
        <w:bidi w:val="0"/>
        <w:rPr>
          <w:highlight w:val="none"/>
        </w:rPr>
      </w:pPr>
      <w:bookmarkStart w:id="10" w:name="_Toc14798"/>
      <w:bookmarkStart w:id="11" w:name="_Toc12162"/>
      <w:r>
        <w:rPr>
          <w:highlight w:val="none"/>
        </w:rPr>
        <w:t>附件</w:t>
      </w:r>
      <w:r>
        <w:rPr>
          <w:rFonts w:hint="eastAsia"/>
          <w:highlight w:val="none"/>
          <w:lang w:val="en-US" w:eastAsia="zh-CN"/>
        </w:rPr>
        <w:t>3</w:t>
      </w:r>
      <w:r>
        <w:rPr>
          <w:highlight w:val="none"/>
        </w:rPr>
        <w:t>：核定总量计算说明</w:t>
      </w:r>
      <w:bookmarkEnd w:id="10"/>
      <w:bookmarkEnd w:id="11"/>
    </w:p>
    <w:p w14:paraId="5177853D">
      <w:pPr>
        <w:bidi w:val="0"/>
        <w:rPr>
          <w:highlight w:val="none"/>
        </w:rPr>
      </w:pPr>
      <w:bookmarkStart w:id="12" w:name="_Toc29134"/>
      <w:bookmarkStart w:id="13" w:name="_Toc14458"/>
      <w:r>
        <w:rPr>
          <w:highlight w:val="none"/>
        </w:rPr>
        <w:t>附件</w:t>
      </w:r>
      <w:r>
        <w:rPr>
          <w:rFonts w:hint="eastAsia"/>
          <w:highlight w:val="none"/>
          <w:lang w:val="en-US" w:eastAsia="zh-CN"/>
        </w:rPr>
        <w:t>4</w:t>
      </w:r>
      <w:r>
        <w:rPr>
          <w:highlight w:val="none"/>
        </w:rPr>
        <w:t>：监测报告</w:t>
      </w:r>
      <w:bookmarkEnd w:id="12"/>
      <w:bookmarkEnd w:id="13"/>
    </w:p>
    <w:p w14:paraId="15BDA6D6">
      <w:pPr>
        <w:bidi w:val="0"/>
        <w:rPr>
          <w:rFonts w:hint="default"/>
          <w:highlight w:val="none"/>
          <w:lang w:val="en-US" w:eastAsia="zh-CN"/>
        </w:rPr>
      </w:pPr>
      <w:bookmarkStart w:id="14" w:name="_Toc20271"/>
      <w:bookmarkStart w:id="15" w:name="_Toc6012"/>
      <w:r>
        <w:rPr>
          <w:highlight w:val="none"/>
        </w:rPr>
        <w:t>附件</w:t>
      </w:r>
      <w:r>
        <w:rPr>
          <w:rFonts w:hint="eastAsia"/>
          <w:highlight w:val="none"/>
          <w:lang w:val="en-US" w:eastAsia="zh-CN"/>
        </w:rPr>
        <w:t>5</w:t>
      </w:r>
      <w:bookmarkEnd w:id="14"/>
      <w:bookmarkEnd w:id="15"/>
      <w:bookmarkStart w:id="16" w:name="_Toc24550"/>
      <w:bookmarkStart w:id="17" w:name="_Toc1891"/>
      <w:r>
        <w:rPr>
          <w:rFonts w:hint="eastAsia"/>
          <w:highlight w:val="none"/>
          <w:lang w:val="en-US" w:eastAsia="zh-CN"/>
        </w:rPr>
        <w:t>：生态环境分区管控分析报告</w:t>
      </w:r>
      <w:bookmarkEnd w:id="16"/>
      <w:bookmarkEnd w:id="17"/>
    </w:p>
    <w:p w14:paraId="5EB29188">
      <w:pPr>
        <w:bidi w:val="0"/>
        <w:rPr>
          <w:highlight w:val="none"/>
        </w:rPr>
      </w:pPr>
      <w:r>
        <w:rPr>
          <w:highlight w:val="none"/>
        </w:rPr>
        <w:t>附图</w:t>
      </w:r>
    </w:p>
    <w:p w14:paraId="125BD510">
      <w:pPr>
        <w:bidi w:val="0"/>
        <w:rPr>
          <w:highlight w:val="none"/>
        </w:rPr>
      </w:pPr>
      <w:r>
        <w:rPr>
          <w:highlight w:val="none"/>
        </w:rPr>
        <w:t>附图1：项目地理位置图</w:t>
      </w:r>
    </w:p>
    <w:p w14:paraId="57F04ECD">
      <w:pPr>
        <w:bidi w:val="0"/>
        <w:rPr>
          <w:rFonts w:hint="default"/>
          <w:highlight w:val="none"/>
          <w:lang w:val="en-US" w:eastAsia="zh-CN"/>
        </w:rPr>
      </w:pPr>
      <w:r>
        <w:rPr>
          <w:highlight w:val="none"/>
        </w:rPr>
        <w:t>附图2：</w:t>
      </w:r>
      <w:r>
        <w:rPr>
          <w:rFonts w:hint="eastAsia"/>
          <w:highlight w:val="none"/>
          <w:lang w:val="en-US" w:eastAsia="zh-CN"/>
        </w:rPr>
        <w:t>本项目平面布置图</w:t>
      </w:r>
    </w:p>
    <w:p w14:paraId="713135C2">
      <w:pPr>
        <w:bidi w:val="0"/>
        <w:rPr>
          <w:highlight w:val="none"/>
        </w:rPr>
      </w:pPr>
      <w:r>
        <w:rPr>
          <w:rFonts w:hint="eastAsia"/>
          <w:highlight w:val="none"/>
          <w:lang w:val="en-US" w:eastAsia="zh-CN"/>
        </w:rPr>
        <w:t>附图3：</w:t>
      </w:r>
      <w:r>
        <w:rPr>
          <w:highlight w:val="none"/>
        </w:rPr>
        <w:t>项目评价范围与敏感目标分布图</w:t>
      </w:r>
    </w:p>
    <w:p w14:paraId="255DB854">
      <w:pPr>
        <w:bidi w:val="0"/>
        <w:rPr>
          <w:rFonts w:hint="eastAsia"/>
          <w:highlight w:val="none"/>
          <w:lang w:val="en-US" w:eastAsia="zh-CN"/>
        </w:rPr>
      </w:pPr>
      <w:r>
        <w:rPr>
          <w:rFonts w:hint="eastAsia"/>
          <w:highlight w:val="none"/>
          <w:lang w:val="en-US" w:eastAsia="zh-CN"/>
        </w:rPr>
        <w:t>附表</w:t>
      </w:r>
    </w:p>
    <w:p w14:paraId="31E24B46">
      <w:pPr>
        <w:bidi w:val="0"/>
        <w:rPr>
          <w:highlight w:val="none"/>
        </w:rPr>
      </w:pPr>
      <w:bookmarkStart w:id="18" w:name="_Toc6622"/>
      <w:bookmarkStart w:id="19" w:name="_Toc1857"/>
      <w:bookmarkStart w:id="20" w:name="_Toc27138"/>
      <w:r>
        <w:rPr>
          <w:highlight w:val="none"/>
        </w:rPr>
        <w:t>建设项目大气环境影响评价自查表</w:t>
      </w:r>
      <w:bookmarkEnd w:id="18"/>
      <w:bookmarkEnd w:id="19"/>
      <w:bookmarkEnd w:id="20"/>
    </w:p>
    <w:p w14:paraId="768A0A8E">
      <w:pPr>
        <w:bidi w:val="0"/>
        <w:rPr>
          <w:highlight w:val="none"/>
        </w:rPr>
      </w:pPr>
      <w:bookmarkStart w:id="21" w:name="_Toc2996"/>
      <w:bookmarkStart w:id="22" w:name="_Toc19558"/>
      <w:bookmarkStart w:id="23" w:name="_Toc26150"/>
      <w:r>
        <w:rPr>
          <w:highlight w:val="none"/>
        </w:rPr>
        <w:t>地表水环境影响评价自查表</w:t>
      </w:r>
      <w:bookmarkEnd w:id="21"/>
      <w:bookmarkEnd w:id="22"/>
      <w:bookmarkEnd w:id="23"/>
    </w:p>
    <w:p w14:paraId="377A8653">
      <w:pPr>
        <w:bidi w:val="0"/>
        <w:rPr>
          <w:highlight w:val="none"/>
        </w:rPr>
      </w:pPr>
      <w:r>
        <w:rPr>
          <w:highlight w:val="none"/>
        </w:rPr>
        <w:t>环境风险评价自查表</w:t>
      </w:r>
    </w:p>
    <w:p w14:paraId="05D08EE1">
      <w:pPr>
        <w:bidi w:val="0"/>
        <w:rPr>
          <w:rFonts w:hint="eastAsia"/>
          <w:highlight w:val="none"/>
          <w:lang w:eastAsia="zh-CN"/>
        </w:rPr>
      </w:pPr>
      <w:bookmarkStart w:id="24" w:name="_Toc30459"/>
      <w:bookmarkStart w:id="25" w:name="_Toc3349"/>
      <w:bookmarkStart w:id="26" w:name="_Toc29052"/>
      <w:r>
        <w:rPr>
          <w:rFonts w:hint="eastAsia"/>
          <w:highlight w:val="none"/>
          <w:lang w:eastAsia="zh-CN"/>
        </w:rPr>
        <w:t>土壤环境影响评价自查表</w:t>
      </w:r>
      <w:bookmarkEnd w:id="24"/>
      <w:bookmarkEnd w:id="25"/>
      <w:bookmarkEnd w:id="26"/>
    </w:p>
    <w:p w14:paraId="3C81ACE3">
      <w:pPr>
        <w:bidi w:val="0"/>
        <w:rPr>
          <w:rFonts w:hint="eastAsia"/>
          <w:highlight w:val="none"/>
          <w:lang w:eastAsia="zh-CN"/>
        </w:rPr>
      </w:pPr>
      <w:bookmarkStart w:id="27" w:name="_Toc28712"/>
      <w:bookmarkStart w:id="28" w:name="_Toc32443"/>
      <w:bookmarkStart w:id="29" w:name="_Toc25824"/>
      <w:r>
        <w:rPr>
          <w:rFonts w:hint="eastAsia"/>
          <w:highlight w:val="none"/>
          <w:lang w:eastAsia="zh-CN"/>
        </w:rPr>
        <w:t>声环境影响评价自查表</w:t>
      </w:r>
      <w:bookmarkEnd w:id="27"/>
      <w:bookmarkEnd w:id="28"/>
      <w:bookmarkEnd w:id="29"/>
    </w:p>
    <w:p w14:paraId="4C4A0291">
      <w:pPr>
        <w:spacing w:line="360" w:lineRule="auto"/>
        <w:ind w:left="0" w:leftChars="0" w:firstLine="0" w:firstLineChars="0"/>
        <w:rPr>
          <w:rFonts w:hAnsiTheme="minorEastAsia" w:eastAsiaTheme="minorEastAsia"/>
          <w:sz w:val="24"/>
          <w:highlight w:val="none"/>
        </w:rPr>
      </w:pPr>
    </w:p>
    <w:p w14:paraId="173B8E0E">
      <w:pPr>
        <w:spacing w:line="360" w:lineRule="auto"/>
        <w:ind w:firstLine="240" w:firstLineChars="100"/>
        <w:rPr>
          <w:rFonts w:hint="eastAsia" w:hAnsiTheme="minorEastAsia" w:eastAsiaTheme="minorEastAsia"/>
          <w:sz w:val="24"/>
          <w:highlight w:val="none"/>
          <w:lang w:val="en-US" w:eastAsia="zh-CN"/>
        </w:rPr>
      </w:pPr>
    </w:p>
    <w:p w14:paraId="598F99DD">
      <w:pPr>
        <w:pStyle w:val="2"/>
        <w:bidi w:val="0"/>
        <w:rPr>
          <w:highlight w:val="none"/>
        </w:rPr>
        <w:sectPr>
          <w:headerReference r:id="rId9" w:type="default"/>
          <w:footerReference r:id="rId10" w:type="default"/>
          <w:pgSz w:w="11906" w:h="16838"/>
          <w:pgMar w:top="1440" w:right="1800" w:bottom="1440" w:left="1800" w:header="851" w:footer="992" w:gutter="0"/>
          <w:pgBorders w:offsetFrom="page">
            <w:top w:val="none" w:sz="0" w:space="0"/>
            <w:left w:val="none" w:sz="0" w:space="0"/>
            <w:bottom w:val="none" w:sz="0" w:space="0"/>
            <w:right w:val="none" w:sz="0" w:space="0"/>
          </w:pgBorders>
          <w:pgNumType w:start="1"/>
          <w:cols w:space="425" w:num="1"/>
          <w:docGrid w:type="lines" w:linePitch="312" w:charSpace="0"/>
        </w:sectPr>
      </w:pPr>
      <w:bookmarkStart w:id="30" w:name="_Toc22088"/>
      <w:bookmarkStart w:id="31" w:name="_Toc3517"/>
    </w:p>
    <w:p w14:paraId="127E2626">
      <w:pPr>
        <w:pStyle w:val="2"/>
        <w:bidi w:val="0"/>
        <w:rPr>
          <w:highlight w:val="none"/>
        </w:rPr>
      </w:pPr>
      <w:bookmarkStart w:id="32" w:name="_Toc25478"/>
      <w:r>
        <w:rPr>
          <w:highlight w:val="none"/>
        </w:rPr>
        <w:t>1概述</w:t>
      </w:r>
      <w:bookmarkEnd w:id="30"/>
      <w:bookmarkEnd w:id="31"/>
      <w:bookmarkEnd w:id="32"/>
    </w:p>
    <w:p w14:paraId="4EC11E5A">
      <w:pPr>
        <w:pStyle w:val="3"/>
        <w:bidi w:val="0"/>
        <w:rPr>
          <w:highlight w:val="none"/>
        </w:rPr>
      </w:pPr>
      <w:bookmarkStart w:id="33" w:name="_Toc10857"/>
      <w:bookmarkStart w:id="34" w:name="_Toc13636"/>
      <w:bookmarkStart w:id="35" w:name="_Toc20285"/>
      <w:r>
        <w:rPr>
          <w:highlight w:val="none"/>
        </w:rPr>
        <w:t>1.1项目由来</w:t>
      </w:r>
      <w:bookmarkEnd w:id="33"/>
      <w:bookmarkEnd w:id="34"/>
      <w:bookmarkEnd w:id="35"/>
    </w:p>
    <w:p w14:paraId="5B051E6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kern w:val="2"/>
          <w:sz w:val="24"/>
          <w:szCs w:val="24"/>
          <w:highlight w:val="none"/>
          <w:lang w:val="en-US" w:eastAsia="zh-CN" w:bidi="ar"/>
        </w:rPr>
      </w:pPr>
      <w:bookmarkStart w:id="36" w:name="_Toc15991611"/>
      <w:bookmarkStart w:id="37" w:name="_Toc524431260"/>
      <w:r>
        <w:rPr>
          <w:rFonts w:hint="eastAsia" w:cs="Times New Roman"/>
          <w:kern w:val="2"/>
          <w:sz w:val="24"/>
          <w:szCs w:val="24"/>
          <w:highlight w:val="none"/>
          <w:lang w:val="en-US" w:eastAsia="zh-CN" w:bidi="ar"/>
        </w:rPr>
        <w:t>随着国家对乘用车、商用车油耗、排放法规不断加严，传统动力面临巨大压力，电</w:t>
      </w:r>
      <w:r>
        <w:rPr>
          <w:rFonts w:hint="default" w:cs="Times New Roman"/>
          <w:kern w:val="2"/>
          <w:sz w:val="24"/>
          <w:szCs w:val="24"/>
          <w:highlight w:val="none"/>
          <w:lang w:val="en-US" w:eastAsia="zh-CN" w:bidi="ar"/>
        </w:rPr>
        <w:t>动化成为必然趋势，随着混动、增程技术日趋进步，高热效率发动机需求将日趋增加。</w:t>
      </w:r>
      <w:r>
        <w:rPr>
          <w:rFonts w:hint="eastAsia" w:cs="Times New Roman"/>
          <w:kern w:val="2"/>
          <w:sz w:val="24"/>
          <w:szCs w:val="24"/>
          <w:highlight w:val="none"/>
          <w:lang w:val="en-US" w:eastAsia="zh-CN" w:bidi="ar"/>
        </w:rPr>
        <w:t>2024年长安汽车推出智慧新蓝鲸3.0发动机及插混系统，兼具高效能与长续航能</w:t>
      </w:r>
      <w:r>
        <w:rPr>
          <w:rFonts w:hint="default" w:cs="Times New Roman"/>
          <w:kern w:val="2"/>
          <w:sz w:val="24"/>
          <w:szCs w:val="24"/>
          <w:highlight w:val="none"/>
          <w:lang w:val="en-US" w:eastAsia="zh-CN" w:bidi="ar"/>
        </w:rPr>
        <w:t>力。</w:t>
      </w:r>
      <w:r>
        <w:rPr>
          <w:rFonts w:hint="eastAsia" w:cs="Times New Roman"/>
          <w:kern w:val="2"/>
          <w:sz w:val="24"/>
          <w:szCs w:val="24"/>
          <w:highlight w:val="none"/>
          <w:lang w:val="en-US" w:eastAsia="zh-CN" w:bidi="ar"/>
        </w:rPr>
        <w:t>WE系列发动机是长安汽车全新一代2.0L排量发动机平台，将应用长安汽车蓝鲸</w:t>
      </w:r>
      <w:r>
        <w:rPr>
          <w:rFonts w:hint="default" w:cs="Times New Roman"/>
          <w:kern w:val="2"/>
          <w:sz w:val="24"/>
          <w:szCs w:val="24"/>
          <w:highlight w:val="none"/>
          <w:lang w:val="en-US" w:eastAsia="zh-CN" w:bidi="ar"/>
        </w:rPr>
        <w:t>动力、新蓝鲸动力3.0发动机平台先进成熟技术，兼顾混动专用、常规动力系统需求，其热效率提升、成本降低同时具有自身排放水平的优势。未来，WE系列发动机将覆盖长安旗下各品牌中大型车型，满足国内市场与海外市场的需求。</w:t>
      </w:r>
      <w:r>
        <w:rPr>
          <w:rFonts w:hint="eastAsia" w:cs="Times New Roman"/>
          <w:kern w:val="2"/>
          <w:sz w:val="24"/>
          <w:szCs w:val="24"/>
          <w:highlight w:val="none"/>
          <w:lang w:val="en-US" w:eastAsia="zh-CN" w:bidi="ar"/>
        </w:rPr>
        <w:t>为满足长安汽车新能源皮卡、中大型性能车搭载需求，满足市场对于高性能、低能</w:t>
      </w:r>
      <w:r>
        <w:rPr>
          <w:rFonts w:hint="default" w:cs="Times New Roman"/>
          <w:kern w:val="2"/>
          <w:sz w:val="24"/>
          <w:szCs w:val="24"/>
          <w:highlight w:val="none"/>
          <w:lang w:val="en-US" w:eastAsia="zh-CN" w:bidi="ar"/>
        </w:rPr>
        <w:t>耗发动机的需求，哈尔滨东安汽车动力股份有限公司（以下简称东安动力）与长安汽车充分发挥各自优势，联合开发了全新2.0T混动发动机平台。东安动力下属哈尔滨东安</w:t>
      </w:r>
      <w:r>
        <w:rPr>
          <w:rFonts w:hint="eastAsia" w:cs="Times New Roman"/>
          <w:kern w:val="2"/>
          <w:sz w:val="24"/>
          <w:szCs w:val="24"/>
          <w:highlight w:val="none"/>
          <w:lang w:val="en-US" w:eastAsia="zh-CN" w:bidi="ar"/>
        </w:rPr>
        <w:t>汽车发动机制造有限公司（以下简称东安汽发）拟实施4G9生产线更新改造项目，支</w:t>
      </w:r>
      <w:r>
        <w:rPr>
          <w:rFonts w:hint="default" w:cs="Times New Roman"/>
          <w:kern w:val="2"/>
          <w:sz w:val="24"/>
          <w:szCs w:val="24"/>
          <w:highlight w:val="none"/>
          <w:lang w:val="en-US" w:eastAsia="zh-CN" w:bidi="ar"/>
        </w:rPr>
        <w:t>持长安汽车全新产品平台产业化，为集团公司汽车板块新能源战略落地提供有力保障。</w:t>
      </w:r>
    </w:p>
    <w:p w14:paraId="6CDB86D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kern w:val="2"/>
          <w:sz w:val="24"/>
          <w:szCs w:val="24"/>
          <w:highlight w:val="none"/>
          <w:lang w:val="en-US" w:eastAsia="zh-CN" w:bidi="ar"/>
        </w:rPr>
      </w:pPr>
      <w:r>
        <w:rPr>
          <w:rFonts w:hint="eastAsia" w:cs="Times New Roman"/>
          <w:kern w:val="2"/>
          <w:sz w:val="24"/>
          <w:szCs w:val="24"/>
          <w:highlight w:val="none"/>
          <w:lang w:val="en-US" w:eastAsia="zh-CN" w:bidi="ar"/>
        </w:rPr>
        <w:t>根据调查，</w:t>
      </w:r>
      <w:r>
        <w:rPr>
          <w:rFonts w:hint="default" w:cs="Times New Roman"/>
          <w:kern w:val="2"/>
          <w:sz w:val="24"/>
          <w:szCs w:val="24"/>
          <w:highlight w:val="none"/>
          <w:lang w:val="en-US" w:eastAsia="zh-CN" w:bidi="ar"/>
        </w:rPr>
        <w:t>东安动力</w:t>
      </w:r>
      <w:r>
        <w:rPr>
          <w:rFonts w:hint="eastAsia" w:cs="Times New Roman"/>
          <w:kern w:val="2"/>
          <w:sz w:val="24"/>
          <w:szCs w:val="24"/>
          <w:highlight w:val="none"/>
          <w:lang w:val="en-US" w:eastAsia="zh-CN" w:bidi="ar"/>
        </w:rPr>
        <w:t>、东安汽发通常在机加工、磨加工过程中使用切削液等对金属制品表面进行冷却降温和润滑，在加工过程中，金属工件表面的金属层会有一定的磨损，金属屑及零部件中入废油、油水混合物等从而产生含油金属屑。</w:t>
      </w:r>
    </w:p>
    <w:p w14:paraId="74DB9FF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s="Times New Roman"/>
          <w:kern w:val="2"/>
          <w:sz w:val="24"/>
          <w:szCs w:val="24"/>
          <w:highlight w:val="none"/>
          <w:lang w:val="en-US" w:eastAsia="zh-CN" w:bidi="ar"/>
        </w:rPr>
      </w:pPr>
      <w:r>
        <w:rPr>
          <w:rFonts w:hint="eastAsia" w:cs="Times New Roman"/>
          <w:kern w:val="2"/>
          <w:sz w:val="24"/>
          <w:szCs w:val="24"/>
          <w:highlight w:val="none"/>
          <w:lang w:val="en-US" w:eastAsia="zh-CN" w:bidi="ar"/>
        </w:rPr>
        <w:t>为有效企业内部危险废物的利用处置问题，建设一条规模化集约化的含油废金属屑综合利用企业，既可减少环境污染，又可回收大量的资源，是一种典型的资源循环利用及固废减量化、资源化、无害化过程，对环境的保护非常有利。</w:t>
      </w:r>
    </w:p>
    <w:p w14:paraId="59535D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AnsiTheme="minorEastAsia" w:eastAsiaTheme="minorEastAsia"/>
          <w:bCs/>
          <w:snapToGrid w:val="0"/>
          <w:kern w:val="0"/>
          <w:sz w:val="24"/>
          <w:highlight w:val="none"/>
        </w:rPr>
      </w:pPr>
      <w:r>
        <w:rPr>
          <w:rFonts w:hint="eastAsia" w:cs="Times New Roman"/>
          <w:kern w:val="2"/>
          <w:sz w:val="24"/>
          <w:szCs w:val="24"/>
          <w:highlight w:val="none"/>
          <w:lang w:val="en-US" w:eastAsia="zh-CN" w:bidi="ar"/>
        </w:rPr>
        <w:t>2024年8月，哈尔滨东安汽车发动机制造有限公司委托哈尔滨茸昌环保科技</w:t>
      </w:r>
      <w:r>
        <w:rPr>
          <w:rFonts w:hAnsiTheme="minorEastAsia" w:eastAsiaTheme="minorEastAsia"/>
          <w:bCs/>
          <w:snapToGrid w:val="0"/>
          <w:kern w:val="0"/>
          <w:sz w:val="24"/>
          <w:highlight w:val="none"/>
        </w:rPr>
        <w:t>有限公司承担</w:t>
      </w:r>
      <w:r>
        <w:rPr>
          <w:rFonts w:hint="eastAsia" w:eastAsiaTheme="minorEastAsia"/>
          <w:bCs/>
          <w:snapToGrid w:val="0"/>
          <w:kern w:val="0"/>
          <w:sz w:val="24"/>
          <w:highlight w:val="none"/>
          <w:lang w:eastAsia="zh-CN"/>
        </w:rPr>
        <w:t>“4G9生产线更新改造项目”</w:t>
      </w:r>
      <w:r>
        <w:rPr>
          <w:rFonts w:hAnsiTheme="minorEastAsia" w:eastAsiaTheme="minorEastAsia"/>
          <w:bCs/>
          <w:snapToGrid w:val="0"/>
          <w:kern w:val="0"/>
          <w:sz w:val="24"/>
          <w:highlight w:val="none"/>
        </w:rPr>
        <w:t>（以下简称</w:t>
      </w:r>
      <w:r>
        <w:rPr>
          <w:rFonts w:hint="eastAsia" w:eastAsiaTheme="minorEastAsia"/>
          <w:bCs/>
          <w:snapToGrid w:val="0"/>
          <w:kern w:val="0"/>
          <w:sz w:val="24"/>
          <w:highlight w:val="none"/>
          <w:lang w:eastAsia="zh-CN"/>
        </w:rPr>
        <w:t>“</w:t>
      </w:r>
      <w:r>
        <w:rPr>
          <w:rFonts w:hAnsiTheme="minorEastAsia" w:eastAsiaTheme="minorEastAsia"/>
          <w:bCs/>
          <w:snapToGrid w:val="0"/>
          <w:kern w:val="0"/>
          <w:sz w:val="24"/>
          <w:highlight w:val="none"/>
        </w:rPr>
        <w:t>本项目</w:t>
      </w:r>
      <w:r>
        <w:rPr>
          <w:rFonts w:hint="eastAsia" w:eastAsiaTheme="minorEastAsia"/>
          <w:bCs/>
          <w:snapToGrid w:val="0"/>
          <w:kern w:val="0"/>
          <w:sz w:val="24"/>
          <w:highlight w:val="none"/>
          <w:lang w:eastAsia="zh-CN"/>
        </w:rPr>
        <w:t>”</w:t>
      </w:r>
      <w:r>
        <w:rPr>
          <w:rFonts w:hAnsiTheme="minorEastAsia" w:eastAsiaTheme="minorEastAsia"/>
          <w:bCs/>
          <w:snapToGrid w:val="0"/>
          <w:kern w:val="0"/>
          <w:sz w:val="24"/>
          <w:highlight w:val="none"/>
        </w:rPr>
        <w:t>）环境影响报告书的编制工作。接受委托后，编制单位成立项目组，多次进行现场踏勘，收集了项目所在地的自然环境、区域环境现状等相关资料，在此基础上编制完成了环境影响报告书。</w:t>
      </w:r>
    </w:p>
    <w:p w14:paraId="40F08B04">
      <w:pPr>
        <w:pStyle w:val="3"/>
        <w:bidi w:val="0"/>
        <w:rPr>
          <w:highlight w:val="none"/>
        </w:rPr>
      </w:pPr>
      <w:bookmarkStart w:id="38" w:name="_Toc20946"/>
      <w:bookmarkStart w:id="39" w:name="_Toc28154"/>
      <w:bookmarkStart w:id="40" w:name="_Toc32712"/>
      <w:r>
        <w:rPr>
          <w:highlight w:val="none"/>
        </w:rPr>
        <w:t>1.2项目特点</w:t>
      </w:r>
      <w:bookmarkEnd w:id="36"/>
      <w:bookmarkEnd w:id="37"/>
      <w:bookmarkEnd w:id="38"/>
      <w:bookmarkEnd w:id="39"/>
      <w:bookmarkEnd w:id="40"/>
    </w:p>
    <w:p w14:paraId="6740C3F8">
      <w:pPr>
        <w:bidi w:val="0"/>
        <w:rPr>
          <w:rFonts w:hint="default"/>
          <w:highlight w:val="none"/>
        </w:rPr>
      </w:pPr>
      <w:r>
        <w:rPr>
          <w:rFonts w:hint="eastAsia"/>
          <w:highlight w:val="none"/>
          <w:lang w:eastAsia="zh-CN"/>
        </w:rPr>
        <w:t>（</w:t>
      </w:r>
      <w:r>
        <w:rPr>
          <w:rFonts w:hint="eastAsia"/>
          <w:highlight w:val="none"/>
          <w:lang w:val="en-US" w:eastAsia="zh-CN"/>
        </w:rPr>
        <w:t>1</w:t>
      </w:r>
      <w:r>
        <w:rPr>
          <w:rFonts w:hint="eastAsia"/>
          <w:highlight w:val="none"/>
          <w:lang w:eastAsia="zh-CN"/>
        </w:rPr>
        <w:t>）</w:t>
      </w:r>
      <w:r>
        <w:rPr>
          <w:rFonts w:hint="default"/>
          <w:highlight w:val="none"/>
        </w:rPr>
        <w:t>本项目位于</w:t>
      </w:r>
      <w:r>
        <w:rPr>
          <w:rFonts w:hint="eastAsia"/>
          <w:highlight w:val="none"/>
          <w:lang w:val="en-US" w:eastAsia="zh-CN"/>
        </w:rPr>
        <w:t>黑龙江省哈尔滨市开发区哈平路集中区征仪南路6号</w:t>
      </w:r>
      <w:r>
        <w:rPr>
          <w:rFonts w:hint="default"/>
          <w:highlight w:val="none"/>
        </w:rPr>
        <w:t>，</w:t>
      </w:r>
      <w:r>
        <w:rPr>
          <w:rFonts w:hint="default"/>
          <w:highlight w:val="none"/>
          <w:lang w:val="en-US" w:eastAsia="zh-CN"/>
        </w:rPr>
        <w:t>哈尔滨东安汽车发动机制造有限公司</w:t>
      </w:r>
      <w:r>
        <w:rPr>
          <w:rFonts w:hint="eastAsia"/>
          <w:highlight w:val="none"/>
          <w:lang w:val="en-US" w:eastAsia="zh-CN"/>
        </w:rPr>
        <w:t>院内</w:t>
      </w:r>
      <w:r>
        <w:rPr>
          <w:rFonts w:hint="default"/>
          <w:highlight w:val="none"/>
        </w:rPr>
        <w:t>，</w:t>
      </w:r>
      <w:r>
        <w:rPr>
          <w:rFonts w:hint="eastAsia"/>
          <w:highlight w:val="none"/>
          <w:lang w:val="en-US" w:eastAsia="zh-CN"/>
        </w:rPr>
        <w:t>位于2号及4号厂房内</w:t>
      </w:r>
      <w:r>
        <w:rPr>
          <w:rFonts w:hint="default"/>
          <w:highlight w:val="none"/>
        </w:rPr>
        <w:t>，</w:t>
      </w:r>
      <w:r>
        <w:rPr>
          <w:rFonts w:hint="eastAsia"/>
          <w:highlight w:val="none"/>
          <w:lang w:val="en-US" w:eastAsia="zh-CN"/>
        </w:rPr>
        <w:t>不新增占地，</w:t>
      </w:r>
      <w:r>
        <w:rPr>
          <w:rFonts w:hint="default"/>
          <w:highlight w:val="none"/>
        </w:rPr>
        <w:t>用地性质为</w:t>
      </w:r>
      <w:r>
        <w:rPr>
          <w:rFonts w:hint="eastAsia"/>
          <w:highlight w:val="none"/>
          <w:lang w:val="en-US" w:eastAsia="zh-CN"/>
        </w:rPr>
        <w:t>工业</w:t>
      </w:r>
      <w:r>
        <w:rPr>
          <w:rFonts w:hint="default"/>
          <w:highlight w:val="none"/>
        </w:rPr>
        <w:t>用地</w:t>
      </w:r>
      <w:r>
        <w:rPr>
          <w:rFonts w:hint="eastAsia"/>
          <w:highlight w:val="none"/>
          <w:lang w:eastAsia="zh-CN"/>
        </w:rPr>
        <w:t>，</w:t>
      </w:r>
      <w:r>
        <w:rPr>
          <w:rFonts w:hint="eastAsia"/>
          <w:highlight w:val="none"/>
          <w:lang w:val="en-US" w:eastAsia="zh-CN"/>
        </w:rPr>
        <w:t>东侧为哈尔滨艾瑞排放控制技术股份有限公司和哈尔滨凌云汽车零部件有限公司，南侧为哈飞汽车工业集团有限公司，西侧和北侧为哈尔滨云驰汽车制造有限公司</w:t>
      </w:r>
      <w:r>
        <w:rPr>
          <w:rFonts w:hint="default"/>
          <w:highlight w:val="none"/>
        </w:rPr>
        <w:t>。</w:t>
      </w:r>
      <w:r>
        <w:rPr>
          <w:rFonts w:hint="eastAsia"/>
          <w:highlight w:val="none"/>
          <w:lang w:val="en-US" w:eastAsia="zh-CN"/>
        </w:rPr>
        <w:t>公司拟投资37296万元，改造原有4G9装试线，承担WE20TG发动机总成装配、分装和出厂试验任务，年产WE20TG发动机缸体10万台份、WE20TG发动机缸盖10万台份、WE20TG发动机系列发动机15万台；年生产250天，2班制，每班8小时。</w:t>
      </w:r>
    </w:p>
    <w:p w14:paraId="2CE95AA3">
      <w:pPr>
        <w:bidi w:val="0"/>
        <w:rPr>
          <w:rFonts w:hint="default" w:ascii="Times New Roman" w:hAnsi="Times New Roman" w:cs="Times New Roman" w:eastAsiaTheme="minorEastAsia"/>
          <w:spacing w:val="-4"/>
          <w:sz w:val="24"/>
          <w:highlight w:val="none"/>
        </w:rPr>
      </w:pPr>
      <w:r>
        <w:rPr>
          <w:rFonts w:hint="eastAsia" w:cs="Times New Roman" w:eastAsiaTheme="minorEastAsia"/>
          <w:sz w:val="24"/>
          <w:highlight w:val="none"/>
          <w:lang w:val="en-US" w:eastAsia="zh-CN"/>
        </w:rPr>
        <w:t>（2）</w:t>
      </w:r>
      <w:r>
        <w:rPr>
          <w:rFonts w:hint="eastAsia" w:ascii="Times New Roman" w:hAnsi="Times New Roman" w:cs="Times New Roman" w:eastAsiaTheme="minorEastAsia"/>
          <w:sz w:val="24"/>
          <w:highlight w:val="none"/>
          <w:lang w:val="en-US" w:eastAsia="zh-CN"/>
        </w:rPr>
        <w:t>新建</w:t>
      </w:r>
      <w:r>
        <w:rPr>
          <w:rFonts w:hint="eastAsia" w:cs="Times New Roman" w:eastAsiaTheme="minorEastAsia"/>
          <w:sz w:val="24"/>
          <w:highlight w:val="none"/>
          <w:lang w:val="en-US" w:eastAsia="zh-CN"/>
        </w:rPr>
        <w:t>一条</w:t>
      </w:r>
      <w:r>
        <w:rPr>
          <w:rFonts w:hint="eastAsia" w:ascii="Times New Roman" w:hAnsi="Times New Roman" w:cs="Times New Roman" w:eastAsiaTheme="minorEastAsia"/>
          <w:sz w:val="24"/>
          <w:highlight w:val="none"/>
          <w:lang w:val="en-US" w:eastAsia="zh-CN"/>
        </w:rPr>
        <w:t>含油金属屑收集处理</w:t>
      </w:r>
      <w:r>
        <w:rPr>
          <w:rFonts w:hint="eastAsia" w:cs="Times New Roman" w:eastAsiaTheme="minorEastAsia"/>
          <w:sz w:val="24"/>
          <w:highlight w:val="none"/>
          <w:lang w:val="en-US" w:eastAsia="zh-CN"/>
        </w:rPr>
        <w:t>生产线</w:t>
      </w:r>
      <w:r>
        <w:rPr>
          <w:rFonts w:hint="eastAsia" w:ascii="Times New Roman" w:hAnsi="Times New Roman" w:cs="Times New Roman" w:eastAsiaTheme="minorEastAsia"/>
          <w:sz w:val="24"/>
          <w:highlight w:val="none"/>
          <w:lang w:val="en-US" w:eastAsia="zh-CN"/>
        </w:rPr>
        <w:t>，</w:t>
      </w:r>
      <w:r>
        <w:rPr>
          <w:rFonts w:hint="eastAsia" w:cs="Times New Roman" w:eastAsiaTheme="minorEastAsia"/>
          <w:sz w:val="24"/>
          <w:highlight w:val="none"/>
          <w:lang w:val="en-US" w:eastAsia="zh-CN"/>
        </w:rPr>
        <w:t>年</w:t>
      </w:r>
      <w:r>
        <w:rPr>
          <w:rFonts w:hint="eastAsia" w:ascii="Times New Roman" w:hAnsi="Times New Roman" w:cs="Times New Roman" w:eastAsiaTheme="minorEastAsia"/>
          <w:sz w:val="24"/>
          <w:highlight w:val="none"/>
          <w:lang w:val="en-US" w:eastAsia="zh-CN"/>
        </w:rPr>
        <w:t>收集处理</w:t>
      </w:r>
      <w:r>
        <w:rPr>
          <w:rFonts w:hint="default" w:ascii="Times New Roman" w:hAnsi="Times New Roman" w:cs="Times New Roman" w:eastAsiaTheme="minorEastAsia"/>
          <w:sz w:val="24"/>
          <w:highlight w:val="none"/>
          <w:lang w:val="en-US" w:eastAsia="zh-CN"/>
        </w:rPr>
        <w:t>哈尔滨东安汽车发动机制造有限公司</w:t>
      </w:r>
      <w:r>
        <w:rPr>
          <w:rFonts w:hint="eastAsia" w:cs="Times New Roman" w:eastAsiaTheme="minorEastAsia"/>
          <w:sz w:val="24"/>
          <w:highlight w:val="none"/>
          <w:lang w:val="en-US" w:eastAsia="zh-CN"/>
        </w:rPr>
        <w:t>、哈尔滨东安动力股份有限公司产生的</w:t>
      </w:r>
      <w:r>
        <w:rPr>
          <w:rFonts w:hint="eastAsia" w:ascii="Times New Roman" w:hAnsi="Times New Roman" w:cs="Times New Roman" w:eastAsiaTheme="minorEastAsia"/>
          <w:sz w:val="24"/>
          <w:highlight w:val="none"/>
          <w:lang w:val="en-US" w:eastAsia="zh-CN"/>
        </w:rPr>
        <w:t>含油金属屑（</w:t>
      </w:r>
      <w:r>
        <w:rPr>
          <w:rFonts w:hint="eastAsia" w:cs="Times New Roman" w:eastAsiaTheme="minorEastAsia"/>
          <w:sz w:val="24"/>
          <w:highlight w:val="none"/>
          <w:lang w:val="en-US" w:eastAsia="zh-CN"/>
        </w:rPr>
        <w:t>类别</w:t>
      </w:r>
      <w:r>
        <w:rPr>
          <w:rFonts w:hint="default" w:ascii="Times New Roman" w:hAnsi="Times New Roman" w:cs="Times New Roman" w:eastAsiaTheme="minorEastAsia"/>
          <w:sz w:val="24"/>
          <w:highlight w:val="none"/>
          <w:lang w:val="en-US" w:eastAsia="zh-CN"/>
        </w:rPr>
        <w:t>HW08</w:t>
      </w:r>
      <w:r>
        <w:rPr>
          <w:rFonts w:hint="eastAsia" w:cs="Times New Roman" w:eastAsiaTheme="minorEastAsia"/>
          <w:sz w:val="24"/>
          <w:highlight w:val="none"/>
          <w:lang w:val="en-US" w:eastAsia="zh-CN"/>
        </w:rPr>
        <w:t>，代码</w:t>
      </w:r>
      <w:r>
        <w:rPr>
          <w:rFonts w:hint="default" w:ascii="Times New Roman" w:hAnsi="Times New Roman" w:cs="Times New Roman" w:eastAsiaTheme="minorEastAsia"/>
          <w:sz w:val="24"/>
          <w:highlight w:val="none"/>
          <w:lang w:val="en-US" w:eastAsia="zh-CN"/>
        </w:rPr>
        <w:t>900-200-08</w:t>
      </w:r>
      <w:r>
        <w:rPr>
          <w:rFonts w:hint="eastAsia" w:ascii="Times New Roman" w:hAnsi="Times New Roman" w:cs="Times New Roman" w:eastAsiaTheme="minorEastAsia"/>
          <w:sz w:val="24"/>
          <w:highlight w:val="none"/>
          <w:lang w:val="en-US" w:eastAsia="zh-CN"/>
        </w:rPr>
        <w:t>、</w:t>
      </w:r>
      <w:r>
        <w:rPr>
          <w:rFonts w:hint="eastAsia" w:cs="Times New Roman" w:eastAsiaTheme="minorEastAsia"/>
          <w:sz w:val="24"/>
          <w:highlight w:val="none"/>
          <w:lang w:val="en-US" w:eastAsia="zh-CN"/>
        </w:rPr>
        <w:t>类别</w:t>
      </w:r>
      <w:r>
        <w:rPr>
          <w:rFonts w:hint="default" w:ascii="Times New Roman" w:hAnsi="Times New Roman" w:cs="Times New Roman" w:eastAsiaTheme="minorEastAsia"/>
          <w:sz w:val="24"/>
          <w:highlight w:val="none"/>
          <w:lang w:val="en-US" w:eastAsia="zh-CN"/>
        </w:rPr>
        <w:t>HW09</w:t>
      </w:r>
      <w:r>
        <w:rPr>
          <w:rFonts w:hint="eastAsia" w:cs="Times New Roman" w:eastAsiaTheme="minorEastAsia"/>
          <w:sz w:val="24"/>
          <w:highlight w:val="none"/>
          <w:lang w:val="en-US" w:eastAsia="zh-CN"/>
        </w:rPr>
        <w:t>，代码</w:t>
      </w:r>
      <w:r>
        <w:rPr>
          <w:rFonts w:hint="default" w:ascii="Times New Roman" w:hAnsi="Times New Roman" w:cs="Times New Roman" w:eastAsiaTheme="minorEastAsia"/>
          <w:sz w:val="24"/>
          <w:highlight w:val="none"/>
          <w:lang w:val="en-US" w:eastAsia="zh-CN"/>
        </w:rPr>
        <w:t>900-006-09</w:t>
      </w:r>
      <w:r>
        <w:rPr>
          <w:rFonts w:hint="eastAsia" w:ascii="Times New Roman" w:hAnsi="Times New Roman" w:cs="Times New Roman" w:eastAsiaTheme="minorEastAsia"/>
          <w:sz w:val="24"/>
          <w:highlight w:val="none"/>
          <w:lang w:val="en-US" w:eastAsia="zh-CN"/>
        </w:rPr>
        <w:t>）</w:t>
      </w:r>
      <w:r>
        <w:rPr>
          <w:rFonts w:hint="eastAsia" w:cs="Times New Roman" w:eastAsiaTheme="minorEastAsia"/>
          <w:sz w:val="24"/>
          <w:highlight w:val="none"/>
          <w:lang w:val="en-US" w:eastAsia="zh-CN"/>
        </w:rPr>
        <w:t>2125t</w:t>
      </w:r>
      <w:r>
        <w:rPr>
          <w:rFonts w:hint="default" w:ascii="Times New Roman" w:hAnsi="Times New Roman" w:cs="Times New Roman" w:eastAsiaTheme="minorEastAsia"/>
          <w:sz w:val="24"/>
          <w:highlight w:val="none"/>
          <w:lang w:val="en-US" w:eastAsia="zh-CN"/>
        </w:rPr>
        <w:t>/a</w:t>
      </w:r>
      <w:r>
        <w:rPr>
          <w:rFonts w:hint="eastAsia" w:cs="Times New Roman" w:eastAsiaTheme="minorEastAsia"/>
          <w:sz w:val="24"/>
          <w:highlight w:val="none"/>
          <w:lang w:val="en-US" w:eastAsia="zh-CN"/>
        </w:rPr>
        <w:t>，</w:t>
      </w:r>
      <w:r>
        <w:rPr>
          <w:rFonts w:hint="default" w:ascii="Times New Roman" w:hAnsi="Times New Roman" w:cs="Times New Roman" w:eastAsiaTheme="minorEastAsia"/>
          <w:sz w:val="24"/>
          <w:highlight w:val="none"/>
        </w:rPr>
        <w:t>本项目将收集来的含油金属屑作为原料，经过</w:t>
      </w:r>
      <w:r>
        <w:rPr>
          <w:rFonts w:hint="eastAsia" w:cs="Times New Roman" w:eastAsiaTheme="minorEastAsia"/>
          <w:sz w:val="24"/>
          <w:highlight w:val="none"/>
          <w:lang w:val="en-US" w:eastAsia="zh-CN"/>
        </w:rPr>
        <w:t>破碎、甩干、压块</w:t>
      </w:r>
      <w:r>
        <w:rPr>
          <w:rFonts w:hint="default" w:ascii="Times New Roman" w:hAnsi="Times New Roman" w:cs="Times New Roman" w:eastAsiaTheme="minorEastAsia"/>
          <w:sz w:val="24"/>
          <w:highlight w:val="none"/>
        </w:rPr>
        <w:t>等工序</w:t>
      </w:r>
      <w:r>
        <w:rPr>
          <w:rFonts w:hint="eastAsia" w:cs="Times New Roman" w:eastAsiaTheme="minorEastAsia"/>
          <w:sz w:val="24"/>
          <w:highlight w:val="none"/>
          <w:lang w:val="en-US" w:eastAsia="zh-CN"/>
        </w:rPr>
        <w:t>脱油</w:t>
      </w:r>
      <w:r>
        <w:rPr>
          <w:rFonts w:hint="default" w:ascii="Times New Roman" w:hAnsi="Times New Roman" w:cs="Times New Roman" w:eastAsiaTheme="minorEastAsia"/>
          <w:sz w:val="24"/>
          <w:highlight w:val="none"/>
        </w:rPr>
        <w:t>后得到</w:t>
      </w:r>
      <w:r>
        <w:rPr>
          <w:rFonts w:hint="eastAsia" w:cs="Times New Roman" w:eastAsiaTheme="minorEastAsia"/>
          <w:sz w:val="24"/>
          <w:highlight w:val="none"/>
          <w:lang w:val="en-US" w:eastAsia="zh-CN"/>
        </w:rPr>
        <w:t>产品</w:t>
      </w:r>
      <w:r>
        <w:rPr>
          <w:rFonts w:hint="default" w:ascii="Times New Roman" w:hAnsi="Times New Roman" w:cs="Times New Roman" w:eastAsiaTheme="minorEastAsia"/>
          <w:sz w:val="24"/>
          <w:highlight w:val="none"/>
        </w:rPr>
        <w:t>金属</w:t>
      </w:r>
      <w:r>
        <w:rPr>
          <w:rFonts w:hint="eastAsia" w:cs="Times New Roman" w:eastAsiaTheme="minorEastAsia"/>
          <w:sz w:val="24"/>
          <w:highlight w:val="none"/>
          <w:lang w:val="en-US" w:eastAsia="zh-CN"/>
        </w:rPr>
        <w:t>块</w:t>
      </w:r>
      <w:r>
        <w:rPr>
          <w:rFonts w:hint="default" w:ascii="Times New Roman" w:hAnsi="Times New Roman" w:cs="Times New Roman" w:eastAsiaTheme="minorEastAsia"/>
          <w:sz w:val="24"/>
          <w:highlight w:val="none"/>
        </w:rPr>
        <w:t>，</w:t>
      </w:r>
      <w:r>
        <w:rPr>
          <w:rFonts w:hint="eastAsia" w:cs="Times New Roman" w:eastAsiaTheme="minorEastAsia"/>
          <w:sz w:val="24"/>
          <w:highlight w:val="none"/>
          <w:lang w:val="en-US" w:eastAsia="zh-CN"/>
        </w:rPr>
        <w:t>产品</w:t>
      </w:r>
      <w:r>
        <w:rPr>
          <w:rFonts w:hint="default" w:ascii="Times New Roman" w:hAnsi="Times New Roman" w:cs="Times New Roman" w:eastAsiaTheme="minorEastAsia"/>
          <w:sz w:val="24"/>
          <w:highlight w:val="none"/>
        </w:rPr>
        <w:t>金属</w:t>
      </w:r>
      <w:r>
        <w:rPr>
          <w:rFonts w:hint="eastAsia" w:cs="Times New Roman" w:eastAsiaTheme="minorEastAsia"/>
          <w:sz w:val="24"/>
          <w:highlight w:val="none"/>
          <w:lang w:val="en-US" w:eastAsia="zh-CN"/>
        </w:rPr>
        <w:t>块（除铝块外）优先交由哈尔滨东安动力股份有限公司黑色铸造厂使用，其余部分</w:t>
      </w:r>
      <w:r>
        <w:rPr>
          <w:rFonts w:hint="default" w:ascii="Times New Roman" w:hAnsi="Times New Roman" w:cs="Times New Roman" w:eastAsiaTheme="minorEastAsia"/>
          <w:sz w:val="24"/>
          <w:highlight w:val="none"/>
        </w:rPr>
        <w:t>外售给有需求的金属冶炼厂</w:t>
      </w:r>
      <w:r>
        <w:rPr>
          <w:rFonts w:hint="eastAsia" w:cs="Times New Roman" w:eastAsiaTheme="minorEastAsia"/>
          <w:sz w:val="24"/>
          <w:highlight w:val="none"/>
          <w:lang w:eastAsia="zh-CN"/>
        </w:rPr>
        <w:t>作为</w:t>
      </w:r>
      <w:r>
        <w:rPr>
          <w:rFonts w:hint="default" w:ascii="Times New Roman" w:hAnsi="Times New Roman" w:cs="Times New Roman" w:eastAsiaTheme="minorEastAsia"/>
          <w:sz w:val="24"/>
          <w:highlight w:val="none"/>
        </w:rPr>
        <w:t>下游企业原料使用</w:t>
      </w:r>
      <w:r>
        <w:rPr>
          <w:rFonts w:hint="default" w:ascii="Times New Roman" w:hAnsi="Times New Roman" w:cs="Times New Roman" w:eastAsiaTheme="minorEastAsia"/>
          <w:spacing w:val="-4"/>
          <w:sz w:val="24"/>
          <w:highlight w:val="none"/>
        </w:rPr>
        <w:t>。</w:t>
      </w:r>
    </w:p>
    <w:p w14:paraId="1D6C5DC5">
      <w:pPr>
        <w:pStyle w:val="18"/>
        <w:rPr>
          <w:rFonts w:hint="eastAsia" w:eastAsiaTheme="minorEastAsia"/>
          <w:color w:val="000000" w:themeColor="text1"/>
          <w:highlight w:val="none"/>
          <w:lang w:val="en-US" w:eastAsia="zh-CN"/>
        </w:rPr>
      </w:pPr>
      <w:r>
        <w:rPr>
          <w:rFonts w:hint="eastAsia" w:cs="Times New Roman" w:eastAsiaTheme="minorEastAsia"/>
          <w:color w:val="000000" w:themeColor="text1"/>
          <w:spacing w:val="-4"/>
          <w:sz w:val="24"/>
          <w:highlight w:val="none"/>
          <w:lang w:val="en-US" w:eastAsia="zh-CN"/>
        </w:rPr>
        <w:t>（3）</w:t>
      </w:r>
      <w:r>
        <w:rPr>
          <w:rFonts w:hint="eastAsia"/>
          <w:color w:val="000000" w:themeColor="text1"/>
          <w:highlight w:val="none"/>
        </w:rPr>
        <w:t>本项目供水依托厂区现有供水管网，改造后生产线的用水量较原生产线用水量</w:t>
      </w:r>
      <w:r>
        <w:rPr>
          <w:rFonts w:hint="eastAsia"/>
          <w:color w:val="000000" w:themeColor="text1"/>
          <w:highlight w:val="none"/>
          <w:lang w:val="en-US" w:eastAsia="zh-CN"/>
        </w:rPr>
        <w:t>无变化</w:t>
      </w:r>
      <w:r>
        <w:rPr>
          <w:rFonts w:hint="eastAsia"/>
          <w:color w:val="000000" w:themeColor="text1"/>
          <w:highlight w:val="none"/>
        </w:rPr>
        <w:t>，</w:t>
      </w:r>
      <w:r>
        <w:rPr>
          <w:rFonts w:ascii="Times New Roman" w:hAnsi="Times New Roman"/>
          <w:color w:val="000000" w:themeColor="text1"/>
          <w:highlight w:val="none"/>
        </w:rPr>
        <w:t>本次</w:t>
      </w:r>
      <w:r>
        <w:rPr>
          <w:rFonts w:hint="eastAsia" w:ascii="Times New Roman" w:hAnsi="Times New Roman"/>
          <w:color w:val="000000" w:themeColor="text1"/>
          <w:highlight w:val="none"/>
        </w:rPr>
        <w:t>改</w:t>
      </w:r>
      <w:r>
        <w:rPr>
          <w:rFonts w:ascii="Times New Roman" w:hAnsi="Times New Roman"/>
          <w:color w:val="000000" w:themeColor="text1"/>
          <w:highlight w:val="none"/>
        </w:rPr>
        <w:t>扩建工程是在现有</w:t>
      </w:r>
      <w:r>
        <w:rPr>
          <w:rFonts w:hint="eastAsia" w:ascii="Times New Roman" w:hAnsi="Times New Roman"/>
          <w:color w:val="000000" w:themeColor="text1"/>
          <w:highlight w:val="none"/>
        </w:rPr>
        <w:t>厂区</w:t>
      </w:r>
      <w:r>
        <w:rPr>
          <w:rFonts w:ascii="Times New Roman" w:hAnsi="Times New Roman"/>
          <w:color w:val="000000" w:themeColor="text1"/>
          <w:highlight w:val="none"/>
        </w:rPr>
        <w:t>较好基础条件上进行的，</w:t>
      </w:r>
      <w:r>
        <w:rPr>
          <w:rFonts w:hint="eastAsia" w:ascii="Times New Roman" w:hAnsi="Times New Roman"/>
          <w:color w:val="000000" w:themeColor="text1"/>
          <w:highlight w:val="none"/>
          <w:lang w:val="en-US" w:eastAsia="zh-CN"/>
        </w:rPr>
        <w:t>本项目不新增员工，不新增生活污水，</w:t>
      </w:r>
      <w:r>
        <w:rPr>
          <w:rFonts w:ascii="Times New Roman" w:hAnsi="Times New Roman"/>
          <w:color w:val="000000" w:themeColor="text1"/>
          <w:highlight w:val="none"/>
        </w:rPr>
        <w:t>生产过程产生的</w:t>
      </w:r>
      <w:r>
        <w:rPr>
          <w:rFonts w:hint="eastAsia" w:ascii="Times New Roman" w:hAnsi="Times New Roman"/>
          <w:color w:val="000000" w:themeColor="text1"/>
          <w:highlight w:val="none"/>
          <w:lang w:val="en-US" w:eastAsia="zh-CN"/>
        </w:rPr>
        <w:t>少量</w:t>
      </w:r>
      <w:r>
        <w:rPr>
          <w:rFonts w:ascii="Times New Roman" w:hAnsi="Times New Roman"/>
          <w:color w:val="000000" w:themeColor="text1"/>
          <w:highlight w:val="none"/>
        </w:rPr>
        <w:t>工艺废水</w:t>
      </w:r>
      <w:r>
        <w:rPr>
          <w:rFonts w:hint="eastAsia" w:ascii="Times New Roman" w:hAnsi="Times New Roman"/>
          <w:color w:val="000000" w:themeColor="text1"/>
          <w:highlight w:val="none"/>
        </w:rPr>
        <w:t>（废切削液、清洗液废水）经</w:t>
      </w:r>
      <w:r>
        <w:rPr>
          <w:rFonts w:ascii="Times New Roman" w:hAnsi="Times New Roman"/>
          <w:color w:val="000000" w:themeColor="text1"/>
          <w:highlight w:val="none"/>
        </w:rPr>
        <w:t>过厂区</w:t>
      </w:r>
      <w:r>
        <w:rPr>
          <w:rFonts w:hint="eastAsia" w:ascii="Times New Roman" w:hAnsi="Times New Roman"/>
          <w:color w:val="000000" w:themeColor="text1"/>
          <w:highlight w:val="none"/>
          <w:lang w:val="en-US" w:eastAsia="zh-CN"/>
        </w:rPr>
        <w:t>4</w:t>
      </w:r>
      <w:r>
        <w:rPr>
          <w:rFonts w:hint="eastAsia" w:ascii="Times New Roman" w:hAnsi="Times New Roman"/>
          <w:color w:val="000000" w:themeColor="text1"/>
          <w:highlight w:val="none"/>
        </w:rPr>
        <w:t>号厂房</w:t>
      </w:r>
      <w:r>
        <w:rPr>
          <w:rFonts w:ascii="Times New Roman" w:hAnsi="Times New Roman"/>
          <w:color w:val="000000" w:themeColor="text1"/>
          <w:highlight w:val="none"/>
        </w:rPr>
        <w:t>污水处理站处理，</w:t>
      </w:r>
      <w:r>
        <w:rPr>
          <w:rFonts w:hint="eastAsia" w:ascii="Times New Roman" w:hAnsi="Times New Roman"/>
          <w:color w:val="000000" w:themeColor="text1"/>
          <w:highlight w:val="none"/>
        </w:rPr>
        <w:t>污水处理站处理规模为</w:t>
      </w:r>
      <w:r>
        <w:rPr>
          <w:rFonts w:hint="eastAsia" w:ascii="Times New Roman" w:hAnsi="Times New Roman"/>
          <w:color w:val="000000" w:themeColor="text1"/>
          <w:highlight w:val="none"/>
          <w:lang w:val="en-US" w:eastAsia="zh-CN"/>
        </w:rPr>
        <w:t>5</w:t>
      </w:r>
      <w:r>
        <w:rPr>
          <w:rFonts w:hint="eastAsia" w:ascii="Times New Roman" w:hAnsi="Times New Roman"/>
          <w:color w:val="000000" w:themeColor="text1"/>
          <w:highlight w:val="none"/>
        </w:rPr>
        <w:t>t/</w:t>
      </w:r>
      <w:r>
        <w:rPr>
          <w:rFonts w:hint="eastAsia" w:ascii="Times New Roman" w:hAnsi="Times New Roman"/>
          <w:color w:val="000000" w:themeColor="text1"/>
          <w:highlight w:val="none"/>
          <w:lang w:val="en-US" w:eastAsia="zh-CN"/>
        </w:rPr>
        <w:t>h</w:t>
      </w:r>
      <w:r>
        <w:rPr>
          <w:rFonts w:hint="eastAsia" w:ascii="Times New Roman" w:hAnsi="Times New Roman"/>
          <w:color w:val="000000" w:themeColor="text1"/>
          <w:highlight w:val="none"/>
        </w:rPr>
        <w:t>，</w:t>
      </w:r>
      <w:r>
        <w:rPr>
          <w:rFonts w:hint="eastAsia" w:ascii="Times New Roman" w:hAnsiTheme="minorHAnsi" w:eastAsiaTheme="minorEastAsia"/>
          <w:color w:val="000000" w:themeColor="text1"/>
          <w:highlight w:val="none"/>
        </w:rPr>
        <w:t>主要处理废切削液及清洗液废水，处理工艺为破乳、沉淀、水解酸化、好氧、MBR等，生产废水经处理后的污水达到《污水综合排放标准》（GB8978-1996）三级标准后排入市政管网，进入</w:t>
      </w:r>
      <w:r>
        <w:rPr>
          <w:rFonts w:hint="eastAsia" w:hAnsiTheme="minorHAnsi" w:eastAsiaTheme="minorEastAsia"/>
          <w:color w:val="000000" w:themeColor="text1"/>
          <w:highlight w:val="none"/>
          <w:lang w:val="en-US" w:eastAsia="zh-CN"/>
        </w:rPr>
        <w:t>哈尔滨市朝阳水质净化厂</w:t>
      </w:r>
      <w:r>
        <w:rPr>
          <w:rFonts w:hint="eastAsia" w:ascii="Times New Roman" w:hAnsiTheme="minorHAnsi" w:eastAsiaTheme="minorEastAsia"/>
          <w:color w:val="000000" w:themeColor="text1"/>
          <w:highlight w:val="none"/>
        </w:rPr>
        <w:t>，处理达标后排入</w:t>
      </w:r>
      <w:r>
        <w:rPr>
          <w:rFonts w:hint="eastAsia" w:ascii="Times New Roman" w:hAnsiTheme="minorHAnsi" w:eastAsiaTheme="minorEastAsia"/>
          <w:color w:val="000000" w:themeColor="text1"/>
          <w:highlight w:val="none"/>
          <w:lang w:val="en-US" w:eastAsia="zh-CN"/>
        </w:rPr>
        <w:t>马家沟</w:t>
      </w:r>
      <w:r>
        <w:rPr>
          <w:rFonts w:hint="eastAsia" w:ascii="Times New Roman" w:hAnsiTheme="minorHAnsi" w:eastAsiaTheme="minorEastAsia"/>
          <w:color w:val="000000" w:themeColor="text1"/>
          <w:highlight w:val="none"/>
        </w:rPr>
        <w:t>河，最终汇入松花江。本项目</w:t>
      </w:r>
      <w:r>
        <w:rPr>
          <w:rFonts w:hint="eastAsia" w:ascii="Times New Roman" w:hAnsiTheme="minorHAnsi" w:eastAsiaTheme="minorEastAsia"/>
          <w:color w:val="000000" w:themeColor="text1"/>
          <w:highlight w:val="none"/>
          <w:lang w:val="en-US" w:eastAsia="zh-CN"/>
        </w:rPr>
        <w:t>仅改造生产线，不新增</w:t>
      </w:r>
      <w:r>
        <w:rPr>
          <w:rFonts w:hint="eastAsia" w:ascii="Times New Roman" w:hAnsiTheme="minorHAnsi" w:eastAsiaTheme="minorEastAsia"/>
          <w:color w:val="000000" w:themeColor="text1"/>
          <w:highlight w:val="none"/>
        </w:rPr>
        <w:t>发动机产能，</w:t>
      </w:r>
      <w:r>
        <w:rPr>
          <w:rFonts w:hint="eastAsia" w:ascii="Times New Roman" w:hAnsiTheme="minorHAnsi" w:eastAsiaTheme="minorEastAsia"/>
          <w:color w:val="000000" w:themeColor="text1"/>
          <w:highlight w:val="none"/>
          <w:lang w:val="en-US" w:eastAsia="zh-CN"/>
        </w:rPr>
        <w:t>改造前后均为15万台发动机/年，故</w:t>
      </w:r>
      <w:r>
        <w:rPr>
          <w:rFonts w:hint="eastAsia" w:ascii="Times New Roman" w:hAnsiTheme="minorHAnsi" w:eastAsiaTheme="minorEastAsia"/>
          <w:color w:val="000000" w:themeColor="text1"/>
          <w:highlight w:val="none"/>
        </w:rPr>
        <w:t>本项目废水排放量</w:t>
      </w:r>
      <w:r>
        <w:rPr>
          <w:rFonts w:hint="eastAsia" w:ascii="Times New Roman" w:hAnsiTheme="minorHAnsi" w:eastAsiaTheme="minorEastAsia"/>
          <w:color w:val="000000" w:themeColor="text1"/>
          <w:highlight w:val="none"/>
          <w:lang w:val="en-US" w:eastAsia="zh-CN"/>
        </w:rPr>
        <w:t>无变化</w:t>
      </w:r>
      <w:r>
        <w:rPr>
          <w:rFonts w:hint="eastAsia" w:ascii="Times New Roman" w:hAnsiTheme="minorHAnsi" w:eastAsiaTheme="minorEastAsia"/>
          <w:color w:val="000000" w:themeColor="text1"/>
          <w:highlight w:val="none"/>
        </w:rPr>
        <w:t>。项目厂区危废暂存间位于2号厂房东侧</w:t>
      </w:r>
      <w:r>
        <w:rPr>
          <w:rFonts w:ascii="Times New Roman" w:hAnsiTheme="minorHAnsi" w:eastAsiaTheme="minorEastAsia"/>
          <w:color w:val="000000" w:themeColor="text1"/>
          <w:highlight w:val="none"/>
        </w:rPr>
        <w:t>40m</w:t>
      </w:r>
      <w:r>
        <w:rPr>
          <w:rFonts w:hint="eastAsia" w:ascii="Times New Roman" w:hAnsiTheme="minorHAnsi" w:eastAsiaTheme="minorEastAsia"/>
          <w:color w:val="000000" w:themeColor="text1"/>
          <w:highlight w:val="none"/>
        </w:rPr>
        <w:t>处，属于独立暂存设施，建筑面积12</w:t>
      </w:r>
      <w:r>
        <w:rPr>
          <w:rFonts w:ascii="Times New Roman" w:hAnsiTheme="minorHAnsi" w:eastAsiaTheme="minorEastAsia"/>
          <w:color w:val="000000" w:themeColor="text1"/>
          <w:highlight w:val="none"/>
        </w:rPr>
        <w:t>0m</w:t>
      </w:r>
      <w:r>
        <w:rPr>
          <w:rFonts w:ascii="Times New Roman" w:hAnsiTheme="minorHAnsi" w:eastAsiaTheme="minorEastAsia"/>
          <w:color w:val="000000" w:themeColor="text1"/>
          <w:highlight w:val="none"/>
          <w:vertAlign w:val="superscript"/>
        </w:rPr>
        <w:t>2</w:t>
      </w:r>
      <w:r>
        <w:rPr>
          <w:rFonts w:hint="eastAsia" w:ascii="Times New Roman" w:hAnsiTheme="minorHAnsi" w:eastAsiaTheme="minorEastAsia"/>
          <w:color w:val="000000" w:themeColor="text1"/>
          <w:highlight w:val="none"/>
        </w:rPr>
        <w:t>，总存储能力15</w:t>
      </w:r>
      <w:r>
        <w:rPr>
          <w:rFonts w:ascii="Times New Roman" w:hAnsiTheme="minorHAnsi" w:eastAsiaTheme="minorEastAsia"/>
          <w:color w:val="000000" w:themeColor="text1"/>
          <w:highlight w:val="none"/>
        </w:rPr>
        <w:t>t</w:t>
      </w:r>
      <w:r>
        <w:rPr>
          <w:rFonts w:hint="eastAsia" w:ascii="Times New Roman" w:hAnsiTheme="minorHAnsi" w:eastAsiaTheme="minorEastAsia"/>
          <w:color w:val="000000" w:themeColor="text1"/>
          <w:highlight w:val="none"/>
        </w:rPr>
        <w:t>，存储周期2</w:t>
      </w:r>
      <w:r>
        <w:rPr>
          <w:rFonts w:ascii="Times New Roman" w:hAnsiTheme="minorHAnsi" w:eastAsiaTheme="minorEastAsia"/>
          <w:color w:val="000000" w:themeColor="text1"/>
          <w:highlight w:val="none"/>
        </w:rPr>
        <w:t>0</w:t>
      </w:r>
      <w:r>
        <w:rPr>
          <w:rFonts w:hint="eastAsia" w:ascii="Times New Roman" w:hAnsiTheme="minorHAnsi" w:eastAsiaTheme="minorEastAsia"/>
          <w:color w:val="000000" w:themeColor="text1"/>
          <w:highlight w:val="none"/>
        </w:rPr>
        <w:t>天，本项目危险废物产生量较原有生产线有所减少，因此危废暂存间贮存能力可以满足本项目生产需求</w:t>
      </w:r>
      <w:r>
        <w:rPr>
          <w:rFonts w:hint="eastAsia" w:ascii="Times New Roman" w:hAnsiTheme="minorHAnsi" w:eastAsiaTheme="minorEastAsia"/>
          <w:color w:val="000000" w:themeColor="text1"/>
          <w:highlight w:val="none"/>
          <w:lang w:eastAsia="zh-CN"/>
        </w:rPr>
        <w:t>。</w:t>
      </w:r>
    </w:p>
    <w:p w14:paraId="1F7265E3">
      <w:pPr>
        <w:ind w:firstLine="480" w:firstLineChars="200"/>
        <w:rPr>
          <w:rFonts w:ascii="Times New Roman" w:hAnsi="Times New Roman"/>
          <w:color w:val="000000" w:themeColor="text1"/>
          <w:kern w:val="24"/>
          <w:highlight w:val="none"/>
        </w:rPr>
      </w:pPr>
      <w:r>
        <w:rPr>
          <w:rFonts w:hint="eastAsia"/>
          <w:color w:val="000000" w:themeColor="text1"/>
          <w:kern w:val="24"/>
          <w:highlight w:val="none"/>
          <w:lang w:eastAsia="zh-CN"/>
        </w:rPr>
        <w:t>（</w:t>
      </w:r>
      <w:r>
        <w:rPr>
          <w:rFonts w:hint="eastAsia"/>
          <w:color w:val="000000" w:themeColor="text1"/>
          <w:kern w:val="24"/>
          <w:highlight w:val="none"/>
          <w:lang w:val="en-US" w:eastAsia="zh-CN"/>
        </w:rPr>
        <w:t>4</w:t>
      </w:r>
      <w:r>
        <w:rPr>
          <w:rFonts w:hint="eastAsia"/>
          <w:color w:val="000000" w:themeColor="text1"/>
          <w:kern w:val="24"/>
          <w:highlight w:val="none"/>
          <w:lang w:eastAsia="zh-CN"/>
        </w:rPr>
        <w:t>）</w:t>
      </w:r>
      <w:r>
        <w:rPr>
          <w:rFonts w:hint="eastAsia" w:ascii="Times New Roman" w:hAnsi="Times New Roman"/>
          <w:color w:val="000000" w:themeColor="text1"/>
          <w:kern w:val="24"/>
          <w:highlight w:val="none"/>
        </w:rPr>
        <w:t>本项目公用辅助设施如污水处理系统、固废暂存设施均依托现有工程，由于现有工程已完成环境影响评价工作并通过评审，因此本次评价重点分析本项目生产线产污环节。</w:t>
      </w:r>
    </w:p>
    <w:p w14:paraId="431863E8">
      <w:pPr>
        <w:ind w:firstLine="480" w:firstLineChars="200"/>
        <w:rPr>
          <w:rFonts w:ascii="Times New Roman" w:hAnsi="Times New Roman"/>
          <w:color w:val="000000" w:themeColor="text1"/>
          <w:kern w:val="24"/>
          <w:highlight w:val="none"/>
        </w:rPr>
      </w:pPr>
      <w:r>
        <w:rPr>
          <w:rFonts w:hint="eastAsia" w:ascii="Times New Roman" w:hAnsi="Times New Roman"/>
          <w:color w:val="000000" w:themeColor="text1"/>
          <w:kern w:val="24"/>
          <w:highlight w:val="none"/>
        </w:rPr>
        <w:t>本项目主要污染物是机械加工工序产生的油雾（以非甲烷总烃计）、封口胶挥发废气（以非甲烷总烃计）、装试线台架产生的尾气（非甲烷总烃、氮氧化物、颗粒物、一氧化碳）</w:t>
      </w:r>
      <w:r>
        <w:rPr>
          <w:rFonts w:hint="eastAsia" w:ascii="Times New Roman" w:hAnsi="Times New Roman"/>
          <w:color w:val="000000" w:themeColor="text1"/>
          <w:kern w:val="24"/>
          <w:highlight w:val="none"/>
          <w:lang w:eastAsia="zh-CN"/>
        </w:rPr>
        <w:t>、</w:t>
      </w:r>
      <w:r>
        <w:rPr>
          <w:rFonts w:hint="eastAsia" w:ascii="Times New Roman" w:hAnsi="Times New Roman"/>
          <w:color w:val="000000" w:themeColor="text1"/>
          <w:kern w:val="24"/>
          <w:highlight w:val="none"/>
          <w:lang w:val="en-US" w:eastAsia="zh-CN"/>
        </w:rPr>
        <w:t>金属屑甩干产生的废气（</w:t>
      </w:r>
      <w:r>
        <w:rPr>
          <w:rFonts w:hint="eastAsia" w:cs="Times New Roman" w:eastAsiaTheme="minorEastAsia"/>
          <w:color w:val="000000" w:themeColor="text1"/>
          <w:spacing w:val="-4"/>
          <w:sz w:val="24"/>
          <w:highlight w:val="none"/>
          <w:lang w:val="en-US" w:eastAsia="zh-CN"/>
        </w:rPr>
        <w:t>油雾、挥发性有机物（以非甲烷总烃计）、颗粒物及臭气浓度</w:t>
      </w:r>
      <w:r>
        <w:rPr>
          <w:rFonts w:hint="eastAsia" w:ascii="Times New Roman" w:hAnsi="Times New Roman"/>
          <w:color w:val="000000" w:themeColor="text1"/>
          <w:kern w:val="24"/>
          <w:highlight w:val="none"/>
          <w:lang w:val="en-US" w:eastAsia="zh-CN"/>
        </w:rPr>
        <w:t>）</w:t>
      </w:r>
      <w:r>
        <w:rPr>
          <w:rFonts w:hint="eastAsia" w:ascii="Times New Roman" w:hAnsi="Times New Roman"/>
          <w:color w:val="000000" w:themeColor="text1"/>
          <w:kern w:val="24"/>
          <w:highlight w:val="none"/>
        </w:rPr>
        <w:t>；机械加工、装试</w:t>
      </w:r>
      <w:r>
        <w:rPr>
          <w:rFonts w:hint="eastAsia" w:ascii="Times New Roman" w:hAnsi="Times New Roman"/>
          <w:color w:val="000000" w:themeColor="text1"/>
          <w:kern w:val="24"/>
          <w:highlight w:val="none"/>
          <w:lang w:eastAsia="zh-CN"/>
        </w:rPr>
        <w:t>、</w:t>
      </w:r>
      <w:r>
        <w:rPr>
          <w:rFonts w:hint="eastAsia" w:ascii="Times New Roman" w:hAnsi="Times New Roman"/>
          <w:color w:val="000000" w:themeColor="text1"/>
          <w:kern w:val="24"/>
          <w:highlight w:val="none"/>
          <w:lang w:val="en-US" w:eastAsia="zh-CN"/>
        </w:rPr>
        <w:t>含</w:t>
      </w:r>
      <w:r>
        <w:rPr>
          <w:rFonts w:hint="eastAsia"/>
          <w:color w:val="000000" w:themeColor="text1"/>
          <w:kern w:val="24"/>
          <w:highlight w:val="none"/>
          <w:lang w:val="en-US" w:eastAsia="zh-CN"/>
        </w:rPr>
        <w:t>油</w:t>
      </w:r>
      <w:r>
        <w:rPr>
          <w:rFonts w:hint="eastAsia" w:ascii="Times New Roman" w:hAnsi="Times New Roman"/>
          <w:color w:val="000000" w:themeColor="text1"/>
          <w:kern w:val="24"/>
          <w:highlight w:val="none"/>
          <w:lang w:val="en-US" w:eastAsia="zh-CN"/>
        </w:rPr>
        <w:t>金属屑加工</w:t>
      </w:r>
      <w:r>
        <w:rPr>
          <w:rFonts w:hint="eastAsia" w:ascii="Times New Roman" w:hAnsi="Times New Roman"/>
          <w:color w:val="000000" w:themeColor="text1"/>
          <w:kern w:val="24"/>
          <w:highlight w:val="none"/>
        </w:rPr>
        <w:t>生产线产生的固体废物。</w:t>
      </w:r>
    </w:p>
    <w:p w14:paraId="44BCC704">
      <w:pPr>
        <w:bidi w:val="0"/>
        <w:rPr>
          <w:rFonts w:hint="default" w:hAnsiTheme="minorEastAsia" w:eastAsiaTheme="minorEastAsia"/>
          <w:spacing w:val="-4"/>
          <w:sz w:val="24"/>
          <w:highlight w:val="none"/>
          <w:lang w:val="en-US" w:eastAsia="zh-CN"/>
        </w:rPr>
      </w:pPr>
      <w:r>
        <w:rPr>
          <w:rFonts w:hint="eastAsia" w:ascii="Times New Roman" w:hAnsi="Times New Roman"/>
          <w:color w:val="000000" w:themeColor="text1"/>
          <w:kern w:val="24"/>
          <w:highlight w:val="none"/>
          <w:lang w:val="en-US" w:eastAsia="zh-CN"/>
        </w:rPr>
        <w:t>机加工序设置于2号厂房内，</w:t>
      </w:r>
      <w:r>
        <w:rPr>
          <w:rFonts w:hint="eastAsia" w:ascii="Times New Roman" w:hAnsi="Times New Roman"/>
          <w:color w:val="000000" w:themeColor="text1"/>
          <w:kern w:val="24"/>
          <w:highlight w:val="none"/>
        </w:rPr>
        <w:t>加工中心均为封闭设备，机械加工工序设置</w:t>
      </w:r>
      <w:r>
        <w:rPr>
          <w:rFonts w:hint="eastAsia" w:ascii="Times New Roman" w:hAnsi="Times New Roman"/>
          <w:color w:val="000000" w:themeColor="text1"/>
          <w:kern w:val="24"/>
          <w:highlight w:val="none"/>
          <w:lang w:val="en-US" w:eastAsia="zh-CN"/>
        </w:rPr>
        <w:t>2套</w:t>
      </w:r>
      <w:r>
        <w:rPr>
          <w:rFonts w:hint="eastAsia" w:ascii="Times New Roman" w:hAnsi="Times New Roman"/>
          <w:color w:val="000000" w:themeColor="text1"/>
          <w:kern w:val="24"/>
          <w:highlight w:val="none"/>
        </w:rPr>
        <w:t>油雾净化装置，产生的油雾废气分别经油雾净化装置处理后，经集气罩收集，由</w:t>
      </w:r>
      <w:r>
        <w:rPr>
          <w:rFonts w:hint="eastAsia" w:ascii="Times New Roman" w:hAnsi="Times New Roman"/>
          <w:color w:val="000000" w:themeColor="text1"/>
          <w:kern w:val="24"/>
          <w:highlight w:val="none"/>
          <w:lang w:val="en-US" w:eastAsia="zh-CN"/>
        </w:rPr>
        <w:t>2</w:t>
      </w:r>
      <w:r>
        <w:rPr>
          <w:rFonts w:hint="eastAsia" w:ascii="Times New Roman" w:hAnsi="Times New Roman"/>
          <w:color w:val="000000" w:themeColor="text1"/>
          <w:kern w:val="24"/>
          <w:highlight w:val="none"/>
        </w:rPr>
        <w:t>根</w:t>
      </w:r>
      <w:r>
        <w:rPr>
          <w:rFonts w:hint="eastAsia" w:ascii="Times New Roman" w:hAnsi="Times New Roman"/>
          <w:color w:val="000000" w:themeColor="text1"/>
          <w:kern w:val="24"/>
          <w:highlight w:val="none"/>
          <w:lang w:val="en-US" w:eastAsia="zh-CN"/>
        </w:rPr>
        <w:t>新建23</w:t>
      </w:r>
      <w:r>
        <w:rPr>
          <w:rFonts w:hint="eastAsia" w:ascii="Times New Roman" w:hAnsi="Times New Roman"/>
          <w:color w:val="000000" w:themeColor="text1"/>
          <w:kern w:val="24"/>
          <w:highlight w:val="none"/>
        </w:rPr>
        <w:t>m排气筒排放</w:t>
      </w:r>
      <w:r>
        <w:rPr>
          <w:rFonts w:hint="eastAsia" w:ascii="Times New Roman" w:hAnsi="Times New Roman"/>
          <w:color w:val="000000" w:themeColor="text1"/>
          <w:kern w:val="24"/>
          <w:highlight w:val="none"/>
          <w:lang w:eastAsia="zh-CN"/>
        </w:rPr>
        <w:t>；</w:t>
      </w:r>
      <w:r>
        <w:rPr>
          <w:rFonts w:hint="eastAsia" w:ascii="Times New Roman" w:hAnsi="Times New Roman"/>
          <w:color w:val="000000" w:themeColor="text1"/>
          <w:kern w:val="24"/>
          <w:highlight w:val="none"/>
          <w:lang w:val="en-US" w:eastAsia="zh-CN"/>
        </w:rPr>
        <w:t>装配工序</w:t>
      </w:r>
      <w:r>
        <w:rPr>
          <w:rFonts w:hint="eastAsia"/>
          <w:color w:val="000000" w:themeColor="text1"/>
          <w:kern w:val="24"/>
          <w:highlight w:val="none"/>
          <w:lang w:val="en-US" w:eastAsia="zh-CN"/>
        </w:rPr>
        <w:t>及热试验工序</w:t>
      </w:r>
      <w:r>
        <w:rPr>
          <w:rFonts w:hint="eastAsia" w:ascii="Times New Roman" w:hAnsi="Times New Roman"/>
          <w:color w:val="000000" w:themeColor="text1"/>
          <w:kern w:val="24"/>
          <w:highlight w:val="none"/>
          <w:lang w:val="en-US" w:eastAsia="zh-CN"/>
        </w:rPr>
        <w:t>设置于4号厂房内，热试验间及装配区域</w:t>
      </w:r>
      <w:r>
        <w:rPr>
          <w:rFonts w:hint="eastAsia" w:ascii="Times New Roman" w:hAnsi="Times New Roman"/>
          <w:color w:val="000000" w:themeColor="text1"/>
          <w:kern w:val="24"/>
          <w:highlight w:val="none"/>
        </w:rPr>
        <w:t>产生的尾气采用三元催化器进行处理，</w:t>
      </w:r>
      <w:r>
        <w:rPr>
          <w:rFonts w:hint="eastAsia" w:ascii="Times New Roman" w:hAnsi="Times New Roman"/>
          <w:color w:val="000000" w:themeColor="text1"/>
          <w:kern w:val="24"/>
          <w:highlight w:val="none"/>
          <w:lang w:val="en-US" w:eastAsia="zh-CN"/>
        </w:rPr>
        <w:t>后</w:t>
      </w:r>
      <w:r>
        <w:rPr>
          <w:rFonts w:hint="eastAsia" w:ascii="Times New Roman" w:hAnsi="Times New Roman"/>
          <w:color w:val="000000" w:themeColor="text1"/>
          <w:kern w:val="24"/>
          <w:highlight w:val="none"/>
        </w:rPr>
        <w:t>由</w:t>
      </w:r>
      <w:r>
        <w:rPr>
          <w:rFonts w:hint="eastAsia"/>
          <w:color w:val="000000" w:themeColor="text1"/>
          <w:kern w:val="24"/>
          <w:highlight w:val="none"/>
          <w:lang w:val="en-US" w:eastAsia="zh-CN"/>
        </w:rPr>
        <w:t>1</w:t>
      </w:r>
      <w:r>
        <w:rPr>
          <w:rFonts w:hint="eastAsia" w:ascii="Times New Roman" w:hAnsi="Times New Roman"/>
          <w:color w:val="000000" w:themeColor="text1"/>
          <w:kern w:val="24"/>
          <w:highlight w:val="none"/>
        </w:rPr>
        <w:t>根</w:t>
      </w:r>
      <w:r>
        <w:rPr>
          <w:rFonts w:hint="eastAsia" w:ascii="Times New Roman" w:hAnsi="Times New Roman"/>
          <w:color w:val="000000" w:themeColor="text1"/>
          <w:kern w:val="24"/>
          <w:highlight w:val="none"/>
          <w:lang w:val="en-US" w:eastAsia="zh-CN"/>
        </w:rPr>
        <w:t>新建</w:t>
      </w:r>
      <w:r>
        <w:rPr>
          <w:rFonts w:hint="eastAsia"/>
          <w:color w:val="000000" w:themeColor="text1"/>
          <w:kern w:val="24"/>
          <w:highlight w:val="none"/>
          <w:lang w:val="en-US" w:eastAsia="zh-CN"/>
        </w:rPr>
        <w:t>23</w:t>
      </w:r>
      <w:r>
        <w:rPr>
          <w:rFonts w:hint="eastAsia" w:ascii="Times New Roman" w:hAnsi="Times New Roman"/>
          <w:color w:val="000000" w:themeColor="text1"/>
          <w:kern w:val="24"/>
          <w:highlight w:val="none"/>
        </w:rPr>
        <w:t>m排气筒排放；</w:t>
      </w:r>
      <w:r>
        <w:rPr>
          <w:rFonts w:hint="eastAsia" w:ascii="Times New Roman" w:hAnsi="Times New Roman"/>
          <w:color w:val="000000" w:themeColor="text1"/>
          <w:kern w:val="24"/>
          <w:highlight w:val="none"/>
          <w:lang w:val="en-US" w:eastAsia="zh-CN"/>
        </w:rPr>
        <w:t>含油金属屑加工</w:t>
      </w:r>
      <w:r>
        <w:rPr>
          <w:rFonts w:hint="eastAsia"/>
          <w:color w:val="000000" w:themeColor="text1"/>
          <w:kern w:val="24"/>
          <w:highlight w:val="none"/>
          <w:lang w:val="en-US" w:eastAsia="zh-CN"/>
        </w:rPr>
        <w:t>生产线</w:t>
      </w:r>
      <w:r>
        <w:rPr>
          <w:rFonts w:hint="eastAsia" w:ascii="Times New Roman" w:hAnsi="Times New Roman"/>
          <w:color w:val="000000" w:themeColor="text1"/>
          <w:kern w:val="24"/>
          <w:highlight w:val="none"/>
          <w:lang w:val="en-US" w:eastAsia="zh-CN"/>
        </w:rPr>
        <w:t>位于变速器机加厂房北侧，产生的</w:t>
      </w:r>
      <w:r>
        <w:rPr>
          <w:rFonts w:hint="eastAsia" w:cs="Times New Roman" w:eastAsiaTheme="minorEastAsia"/>
          <w:color w:val="000000" w:themeColor="text1"/>
          <w:spacing w:val="-4"/>
          <w:sz w:val="24"/>
          <w:highlight w:val="none"/>
          <w:lang w:val="en-US" w:eastAsia="zh-CN"/>
        </w:rPr>
        <w:t>油雾、挥发性有机物（以非甲烷总烃计）、颗粒物及臭气浓度通过</w:t>
      </w:r>
      <w:r>
        <w:rPr>
          <w:rFonts w:hint="eastAsia" w:ascii="Times New Roman" w:hAnsi="Times New Roman"/>
          <w:color w:val="000000" w:themeColor="text1"/>
          <w:kern w:val="24"/>
          <w:highlight w:val="none"/>
        </w:rPr>
        <w:t>油雾净化装置</w:t>
      </w:r>
      <w:r>
        <w:rPr>
          <w:rFonts w:hint="eastAsia"/>
          <w:color w:val="000000" w:themeColor="text1"/>
          <w:kern w:val="24"/>
          <w:highlight w:val="none"/>
          <w:lang w:val="en-US" w:eastAsia="zh-CN"/>
        </w:rPr>
        <w:t>+活性炭吸附装置处理后由1根</w:t>
      </w:r>
      <w:r>
        <w:rPr>
          <w:rFonts w:hint="eastAsia" w:ascii="Times New Roman" w:hAnsi="Times New Roman"/>
          <w:color w:val="000000" w:themeColor="text1"/>
          <w:kern w:val="24"/>
          <w:highlight w:val="none"/>
          <w:lang w:val="en-US" w:eastAsia="zh-CN"/>
        </w:rPr>
        <w:t>新建</w:t>
      </w:r>
      <w:r>
        <w:rPr>
          <w:rFonts w:hint="eastAsia"/>
          <w:color w:val="000000" w:themeColor="text1"/>
          <w:kern w:val="24"/>
          <w:highlight w:val="none"/>
          <w:lang w:val="en-US" w:eastAsia="zh-CN"/>
        </w:rPr>
        <w:t>23</w:t>
      </w:r>
      <w:r>
        <w:rPr>
          <w:rFonts w:hint="eastAsia" w:ascii="Times New Roman" w:hAnsi="Times New Roman"/>
          <w:color w:val="000000" w:themeColor="text1"/>
          <w:kern w:val="24"/>
          <w:highlight w:val="none"/>
        </w:rPr>
        <w:t>m排气筒排放</w:t>
      </w:r>
      <w:r>
        <w:rPr>
          <w:rFonts w:hint="eastAsia" w:ascii="Times New Roman" w:hAnsi="Times New Roman"/>
          <w:color w:val="000000" w:themeColor="text1"/>
          <w:kern w:val="24"/>
          <w:highlight w:val="none"/>
          <w:lang w:val="en-US" w:eastAsia="zh-CN"/>
        </w:rPr>
        <w:t>；</w:t>
      </w:r>
      <w:r>
        <w:rPr>
          <w:rFonts w:hint="eastAsia" w:cs="Times New Roman" w:eastAsiaTheme="minorEastAsia"/>
          <w:sz w:val="24"/>
          <w:highlight w:val="none"/>
          <w:lang w:val="en-US" w:eastAsia="zh-CN"/>
        </w:rPr>
        <w:t>生产会产生珩磨油泥、废机油</w:t>
      </w:r>
      <w:r>
        <w:rPr>
          <w:rFonts w:hint="eastAsia" w:cs="Times New Roman" w:eastAsiaTheme="minorEastAsia"/>
          <w:sz w:val="24"/>
          <w:highlight w:val="none"/>
          <w:lang w:eastAsia="zh-CN"/>
        </w:rPr>
        <w:t>、</w:t>
      </w:r>
      <w:r>
        <w:rPr>
          <w:rFonts w:hint="eastAsia" w:cs="Times New Roman" w:eastAsiaTheme="minorEastAsia"/>
          <w:sz w:val="24"/>
          <w:highlight w:val="none"/>
          <w:lang w:val="en-US" w:eastAsia="zh-CN"/>
        </w:rPr>
        <w:t>废胶、含油抹布、废手套、化学品包装桶、废活性炭、废过滤材料及废油等危险废物，均委托有资质单位处置；产生的边角料、不合格品、废包装材料外售或送至生产厂家回收利用</w:t>
      </w:r>
      <w:r>
        <w:rPr>
          <w:rFonts w:hint="default" w:ascii="Times New Roman" w:hAnsi="Times New Roman" w:cs="Times New Roman" w:eastAsiaTheme="minorEastAsia"/>
          <w:spacing w:val="-4"/>
          <w:sz w:val="24"/>
          <w:highlight w:val="none"/>
        </w:rPr>
        <w:t>。</w:t>
      </w:r>
    </w:p>
    <w:p w14:paraId="60572808">
      <w:pPr>
        <w:pStyle w:val="3"/>
        <w:bidi w:val="0"/>
        <w:rPr>
          <w:highlight w:val="none"/>
        </w:rPr>
      </w:pPr>
      <w:bookmarkStart w:id="41" w:name="_Toc479252799"/>
      <w:bookmarkStart w:id="42" w:name="_Toc13793"/>
      <w:bookmarkStart w:id="43" w:name="_Toc22306"/>
      <w:bookmarkStart w:id="44" w:name="_Toc27478"/>
      <w:r>
        <w:rPr>
          <w:highlight w:val="none"/>
        </w:rPr>
        <w:t>1.3</w:t>
      </w:r>
      <w:bookmarkEnd w:id="41"/>
      <w:r>
        <w:rPr>
          <w:highlight w:val="none"/>
        </w:rPr>
        <w:t>环境影响评价工作过程</w:t>
      </w:r>
      <w:bookmarkEnd w:id="42"/>
      <w:bookmarkEnd w:id="43"/>
      <w:bookmarkEnd w:id="44"/>
    </w:p>
    <w:p w14:paraId="0D49A6E5">
      <w:pPr>
        <w:bidi w:val="0"/>
        <w:rPr>
          <w:highlight w:val="none"/>
        </w:rPr>
      </w:pPr>
      <w:r>
        <w:rPr>
          <w:highlight w:val="none"/>
        </w:rPr>
        <w:t>根据《中华人民共和国环境保护法</w:t>
      </w:r>
      <w:r>
        <w:rPr>
          <w:rFonts w:hint="eastAsia"/>
          <w:highlight w:val="none"/>
          <w:lang w:eastAsia="zh-CN"/>
        </w:rPr>
        <w:t>》、《</w:t>
      </w:r>
      <w:r>
        <w:rPr>
          <w:highlight w:val="none"/>
        </w:rPr>
        <w:t>中华人民共和国环境影响评价法》，该项目应开展环境影响评价工作</w:t>
      </w:r>
      <w:r>
        <w:rPr>
          <w:rFonts w:hint="eastAsia"/>
          <w:highlight w:val="none"/>
        </w:rPr>
        <w:t>；</w:t>
      </w:r>
      <w:r>
        <w:rPr>
          <w:highlight w:val="none"/>
        </w:rPr>
        <w:t>根据《建设项目环境影响评价分类管理名录》（2021版）</w:t>
      </w:r>
      <w:r>
        <w:rPr>
          <w:rFonts w:hint="eastAsia"/>
          <w:highlight w:val="none"/>
          <w:lang w:eastAsia="zh-CN"/>
        </w:rPr>
        <w:t>“</w:t>
      </w:r>
      <w:r>
        <w:rPr>
          <w:rFonts w:hint="eastAsia"/>
          <w:highlight w:val="none"/>
          <w:lang w:val="en-US" w:eastAsia="zh-CN"/>
        </w:rPr>
        <w:t>三十三、汽车制造业</w:t>
      </w:r>
      <w:r>
        <w:rPr>
          <w:rFonts w:hint="default"/>
          <w:highlight w:val="none"/>
          <w:lang w:val="en-US" w:eastAsia="zh-CN"/>
        </w:rPr>
        <w:t>——</w:t>
      </w:r>
      <w:r>
        <w:rPr>
          <w:rFonts w:hint="eastAsia"/>
          <w:highlight w:val="none"/>
          <w:lang w:val="en-US" w:eastAsia="zh-CN"/>
        </w:rPr>
        <w:t>71、汽车用发动机制造</w:t>
      </w:r>
      <w:r>
        <w:rPr>
          <w:rFonts w:hint="eastAsia"/>
          <w:highlight w:val="none"/>
          <w:lang w:eastAsia="zh-CN"/>
        </w:rPr>
        <w:t>”“</w:t>
      </w:r>
      <w:r>
        <w:rPr>
          <w:rFonts w:hint="eastAsia"/>
          <w:highlight w:val="none"/>
          <w:lang w:val="en-US" w:eastAsia="zh-CN"/>
        </w:rPr>
        <w:t>四十七、生态保护和环境治理业</w:t>
      </w:r>
      <w:r>
        <w:rPr>
          <w:rFonts w:hint="default"/>
          <w:highlight w:val="none"/>
          <w:lang w:val="en-US" w:eastAsia="zh-CN"/>
        </w:rPr>
        <w:t>——101</w:t>
      </w:r>
      <w:r>
        <w:rPr>
          <w:rFonts w:hint="eastAsia"/>
          <w:highlight w:val="none"/>
          <w:lang w:val="en-US" w:eastAsia="zh-CN"/>
        </w:rPr>
        <w:t>、危险废物（不含医疗废物）利用及处置</w:t>
      </w:r>
      <w:r>
        <w:rPr>
          <w:rFonts w:hint="eastAsia"/>
          <w:highlight w:val="none"/>
          <w:lang w:eastAsia="zh-CN"/>
        </w:rPr>
        <w:t>”</w:t>
      </w:r>
      <w:r>
        <w:rPr>
          <w:highlight w:val="none"/>
        </w:rPr>
        <w:t>，本单位应做报告书。在研究相关技术及其他有关文件基础上进行初步工程分析，开展了初步环境现状调查，进行了环境影响识别和评价因子筛选。明确了评价重点为地下水环境影响、噪声环境影响、土壤环境影响，确定了保护目标，进一步确定评价工作等级、范围及评价标准，制定出相应工作方案。</w:t>
      </w:r>
    </w:p>
    <w:p w14:paraId="7AB99B92">
      <w:pPr>
        <w:bidi w:val="0"/>
        <w:rPr>
          <w:rFonts w:eastAsiaTheme="minorEastAsia"/>
          <w:snapToGrid w:val="0"/>
          <w:kern w:val="0"/>
          <w:sz w:val="24"/>
          <w:highlight w:val="none"/>
        </w:rPr>
      </w:pPr>
      <w:r>
        <w:rPr>
          <w:rFonts w:hAnsiTheme="minorEastAsia" w:eastAsiaTheme="minorEastAsia"/>
          <w:snapToGrid w:val="0"/>
          <w:kern w:val="0"/>
          <w:sz w:val="24"/>
          <w:highlight w:val="none"/>
        </w:rPr>
        <w:t>依据《建设项目环境影响评价技术导则总纲》（</w:t>
      </w:r>
      <w:r>
        <w:rPr>
          <w:rFonts w:eastAsiaTheme="minorEastAsia"/>
          <w:snapToGrid w:val="0"/>
          <w:kern w:val="0"/>
          <w:sz w:val="24"/>
          <w:highlight w:val="none"/>
        </w:rPr>
        <w:t>HJ2.1-2016</w:t>
      </w:r>
      <w:r>
        <w:rPr>
          <w:rFonts w:hAnsiTheme="minorEastAsia" w:eastAsiaTheme="minorEastAsia"/>
          <w:snapToGrid w:val="0"/>
          <w:kern w:val="0"/>
          <w:sz w:val="24"/>
          <w:highlight w:val="none"/>
        </w:rPr>
        <w:t>）要求，本次环评工作分为三个阶段进行，即调查分析和工作方案制定阶段，分析论证和预测评价阶段，环境影响报告书编制阶段。具体过程见图</w:t>
      </w:r>
      <w:r>
        <w:rPr>
          <w:rFonts w:eastAsiaTheme="minorEastAsia"/>
          <w:snapToGrid w:val="0"/>
          <w:kern w:val="0"/>
          <w:sz w:val="24"/>
          <w:highlight w:val="none"/>
        </w:rPr>
        <w:t>1-3-1</w:t>
      </w:r>
      <w:r>
        <w:rPr>
          <w:rFonts w:hAnsiTheme="minorEastAsia" w:eastAsiaTheme="minorEastAsia"/>
          <w:snapToGrid w:val="0"/>
          <w:kern w:val="0"/>
          <w:sz w:val="24"/>
          <w:highlight w:val="none"/>
        </w:rPr>
        <w:t>。</w:t>
      </w:r>
    </w:p>
    <w:p w14:paraId="63FCC946">
      <w:pPr>
        <w:jc w:val="center"/>
        <w:rPr>
          <w:rStyle w:val="77"/>
          <w:rFonts w:ascii="Times New Roman" w:hAnsi="Times New Roman" w:eastAsiaTheme="minorEastAsia"/>
          <w:sz w:val="24"/>
          <w:szCs w:val="24"/>
          <w:highlight w:val="none"/>
        </w:rPr>
      </w:pPr>
      <w:r>
        <w:rPr>
          <w:rFonts w:eastAsiaTheme="minorEastAsia"/>
          <w:kern w:val="0"/>
          <w:highlight w:val="none"/>
        </w:rPr>
        <w:drawing>
          <wp:inline distT="0" distB="0" distL="0" distR="0">
            <wp:extent cx="4854575" cy="4622800"/>
            <wp:effectExtent l="0" t="0" r="3175" b="6350"/>
            <wp:docPr id="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6"/>
                    <pic:cNvPicPr>
                      <a:picLocks noChangeAspect="1" noChangeArrowheads="1"/>
                    </pic:cNvPicPr>
                  </pic:nvPicPr>
                  <pic:blipFill>
                    <a:blip r:embed="rId24" cstate="print"/>
                    <a:srcRect l="2990" t="2215" r="3015" b="4371"/>
                    <a:stretch>
                      <a:fillRect/>
                    </a:stretch>
                  </pic:blipFill>
                  <pic:spPr>
                    <a:xfrm>
                      <a:off x="0" y="0"/>
                      <a:ext cx="4854575" cy="4622800"/>
                    </a:xfrm>
                    <a:prstGeom prst="rect">
                      <a:avLst/>
                    </a:prstGeom>
                    <a:noFill/>
                    <a:ln w="9525">
                      <a:noFill/>
                      <a:miter lim="800000"/>
                      <a:headEnd/>
                      <a:tailEnd/>
                    </a:ln>
                  </pic:spPr>
                </pic:pic>
              </a:graphicData>
            </a:graphic>
          </wp:inline>
        </w:drawing>
      </w:r>
    </w:p>
    <w:p w14:paraId="5882E39B">
      <w:pPr>
        <w:pStyle w:val="7"/>
        <w:bidi w:val="0"/>
        <w:rPr>
          <w:highlight w:val="none"/>
        </w:rPr>
      </w:pPr>
      <w:r>
        <w:rPr>
          <w:highlight w:val="none"/>
        </w:rPr>
        <w:t>图1-3-1环境影响评价工作程序</w:t>
      </w:r>
    </w:p>
    <w:p w14:paraId="34204174">
      <w:pPr>
        <w:bidi w:val="0"/>
        <w:rPr>
          <w:rStyle w:val="77"/>
          <w:rFonts w:ascii="Times New Roman" w:hAnsi="Times New Roman" w:eastAsiaTheme="minorEastAsia"/>
          <w:b w:val="0"/>
          <w:sz w:val="24"/>
          <w:szCs w:val="24"/>
          <w:highlight w:val="none"/>
        </w:rPr>
      </w:pPr>
      <w:r>
        <w:rPr>
          <w:rStyle w:val="77"/>
          <w:rFonts w:ascii="Times New Roman" w:hAnsiTheme="minorEastAsia" w:eastAsiaTheme="minorEastAsia"/>
          <w:b w:val="0"/>
          <w:sz w:val="24"/>
          <w:szCs w:val="24"/>
          <w:highlight w:val="none"/>
        </w:rPr>
        <w:t>（</w:t>
      </w:r>
      <w:r>
        <w:rPr>
          <w:rStyle w:val="77"/>
          <w:rFonts w:ascii="Times New Roman" w:hAnsi="Times New Roman" w:eastAsiaTheme="minorEastAsia"/>
          <w:b w:val="0"/>
          <w:sz w:val="24"/>
          <w:szCs w:val="24"/>
          <w:highlight w:val="none"/>
        </w:rPr>
        <w:t>1</w:t>
      </w:r>
      <w:r>
        <w:rPr>
          <w:rStyle w:val="77"/>
          <w:rFonts w:ascii="Times New Roman" w:hAnsiTheme="minorEastAsia" w:eastAsiaTheme="minorEastAsia"/>
          <w:b w:val="0"/>
          <w:sz w:val="24"/>
          <w:szCs w:val="24"/>
          <w:highlight w:val="none"/>
        </w:rPr>
        <w:t>）在本项目环境影响评价第一阶段，首先对现场的实际</w:t>
      </w:r>
      <w:r>
        <w:rPr>
          <w:rStyle w:val="77"/>
          <w:rFonts w:hint="eastAsia" w:hAnsiTheme="minorEastAsia" w:eastAsiaTheme="minorEastAsia"/>
          <w:b w:val="0"/>
          <w:sz w:val="24"/>
          <w:szCs w:val="24"/>
          <w:highlight w:val="none"/>
          <w:lang w:eastAsia="zh-CN"/>
        </w:rPr>
        <w:t>情况</w:t>
      </w:r>
      <w:r>
        <w:rPr>
          <w:rStyle w:val="77"/>
          <w:rFonts w:ascii="Times New Roman" w:hAnsiTheme="minorEastAsia" w:eastAsiaTheme="minorEastAsia"/>
          <w:b w:val="0"/>
          <w:sz w:val="24"/>
          <w:szCs w:val="24"/>
          <w:highlight w:val="none"/>
        </w:rPr>
        <w:t>进行踏查并收集企业现有情况的相关资料；其次开展环境质量现状调查，研究本项目相关的技术文件，结合本项目的特点，进行初步工程分析，判定评价因子、工作等级及评价范围等，制定工作方案，并进行网上第一次公示。</w:t>
      </w:r>
    </w:p>
    <w:p w14:paraId="003BC9A2">
      <w:pPr>
        <w:bidi w:val="0"/>
        <w:rPr>
          <w:rStyle w:val="77"/>
          <w:rFonts w:ascii="Times New Roman" w:hAnsi="Times New Roman" w:eastAsiaTheme="minorEastAsia"/>
          <w:b w:val="0"/>
          <w:sz w:val="24"/>
          <w:szCs w:val="24"/>
          <w:highlight w:val="none"/>
        </w:rPr>
      </w:pPr>
      <w:r>
        <w:rPr>
          <w:rStyle w:val="77"/>
          <w:rFonts w:ascii="Times New Roman" w:hAnsiTheme="minorEastAsia" w:eastAsiaTheme="minorEastAsia"/>
          <w:b w:val="0"/>
          <w:sz w:val="24"/>
          <w:szCs w:val="24"/>
          <w:highlight w:val="none"/>
        </w:rPr>
        <w:t>（</w:t>
      </w:r>
      <w:r>
        <w:rPr>
          <w:rStyle w:val="77"/>
          <w:rFonts w:ascii="Times New Roman" w:hAnsi="Times New Roman" w:eastAsiaTheme="minorEastAsia"/>
          <w:b w:val="0"/>
          <w:sz w:val="24"/>
          <w:szCs w:val="24"/>
          <w:highlight w:val="none"/>
        </w:rPr>
        <w:t>2</w:t>
      </w:r>
      <w:r>
        <w:rPr>
          <w:rStyle w:val="77"/>
          <w:rFonts w:ascii="Times New Roman" w:hAnsiTheme="minorEastAsia" w:eastAsiaTheme="minorEastAsia"/>
          <w:b w:val="0"/>
          <w:sz w:val="24"/>
          <w:szCs w:val="24"/>
          <w:highlight w:val="none"/>
        </w:rPr>
        <w:t>）环境影响评价第二阶段，根据工作方案，进行环境现状调查监测和评价以及本项目的工程分析，确定本项目产排污环节，核算污染物排放源强，并进行各要素环境影响预测与评价。</w:t>
      </w:r>
    </w:p>
    <w:p w14:paraId="576AC518">
      <w:pPr>
        <w:bidi w:val="0"/>
        <w:rPr>
          <w:rStyle w:val="77"/>
          <w:rFonts w:ascii="Times New Roman" w:hAnsiTheme="minorEastAsia" w:eastAsiaTheme="minorEastAsia"/>
          <w:b w:val="0"/>
          <w:sz w:val="24"/>
          <w:szCs w:val="24"/>
          <w:highlight w:val="none"/>
        </w:rPr>
      </w:pPr>
      <w:r>
        <w:rPr>
          <w:rStyle w:val="77"/>
          <w:rFonts w:ascii="Times New Roman" w:hAnsiTheme="minorEastAsia" w:eastAsiaTheme="minorEastAsia"/>
          <w:b w:val="0"/>
          <w:sz w:val="24"/>
          <w:szCs w:val="24"/>
          <w:highlight w:val="none"/>
        </w:rPr>
        <w:t>（</w:t>
      </w:r>
      <w:r>
        <w:rPr>
          <w:rStyle w:val="77"/>
          <w:rFonts w:ascii="Times New Roman" w:hAnsi="Times New Roman" w:eastAsiaTheme="minorEastAsia"/>
          <w:b w:val="0"/>
          <w:sz w:val="24"/>
          <w:szCs w:val="24"/>
          <w:highlight w:val="none"/>
        </w:rPr>
        <w:t>3</w:t>
      </w:r>
      <w:r>
        <w:rPr>
          <w:rStyle w:val="77"/>
          <w:rFonts w:ascii="Times New Roman" w:hAnsiTheme="minorEastAsia" w:eastAsiaTheme="minorEastAsia"/>
          <w:b w:val="0"/>
          <w:sz w:val="24"/>
          <w:szCs w:val="24"/>
          <w:highlight w:val="none"/>
        </w:rPr>
        <w:t>）环境影响评价第三阶段，根据预测结果，提出环境保护措施，进行技术经济论证，并给出污染物排放清单，并给出项目环境影响评价结论，最终完成报告书编制，形成《</w:t>
      </w:r>
      <w:r>
        <w:rPr>
          <w:rFonts w:hint="eastAsia" w:eastAsiaTheme="minorEastAsia"/>
          <w:sz w:val="24"/>
          <w:highlight w:val="none"/>
          <w:lang w:eastAsia="zh-CN"/>
        </w:rPr>
        <w:t>4G9生产线更新改造项目</w:t>
      </w:r>
      <w:r>
        <w:rPr>
          <w:rFonts w:hAnsiTheme="minorEastAsia" w:eastAsiaTheme="minorEastAsia"/>
          <w:sz w:val="24"/>
          <w:highlight w:val="none"/>
        </w:rPr>
        <w:t>环境影响报告书</w:t>
      </w:r>
      <w:r>
        <w:rPr>
          <w:rStyle w:val="77"/>
          <w:rFonts w:ascii="Times New Roman" w:hAnsiTheme="minorEastAsia" w:eastAsiaTheme="minorEastAsia"/>
          <w:b w:val="0"/>
          <w:sz w:val="24"/>
          <w:szCs w:val="24"/>
          <w:highlight w:val="none"/>
        </w:rPr>
        <w:t>》。对报告征求意见稿进行网上公示和现场张贴公示以及报纸公示。</w:t>
      </w:r>
    </w:p>
    <w:p w14:paraId="08D97C0B">
      <w:pPr>
        <w:pStyle w:val="3"/>
        <w:bidi w:val="0"/>
        <w:rPr>
          <w:highlight w:val="none"/>
        </w:rPr>
      </w:pPr>
      <w:bookmarkStart w:id="45" w:name="_Toc28429"/>
      <w:bookmarkStart w:id="46" w:name="_Toc32211"/>
      <w:bookmarkStart w:id="47" w:name="_Toc9138"/>
      <w:bookmarkStart w:id="48" w:name="_Toc488072911"/>
      <w:bookmarkStart w:id="49" w:name="_Toc486932294"/>
      <w:r>
        <w:rPr>
          <w:highlight w:val="none"/>
        </w:rPr>
        <w:t>1.4分析判定相关情况</w:t>
      </w:r>
      <w:bookmarkEnd w:id="45"/>
      <w:bookmarkEnd w:id="46"/>
      <w:bookmarkEnd w:id="47"/>
      <w:bookmarkEnd w:id="48"/>
      <w:bookmarkEnd w:id="49"/>
    </w:p>
    <w:p w14:paraId="44B33C9E">
      <w:pPr>
        <w:pStyle w:val="4"/>
        <w:bidi w:val="0"/>
        <w:rPr>
          <w:highlight w:val="none"/>
        </w:rPr>
      </w:pPr>
      <w:bookmarkStart w:id="50" w:name="_Toc29140"/>
      <w:bookmarkStart w:id="51" w:name="_Toc20394"/>
      <w:r>
        <w:rPr>
          <w:highlight w:val="none"/>
        </w:rPr>
        <w:t>1.4.1与《产业结构调整指导目录（</w:t>
      </w:r>
      <w:r>
        <w:rPr>
          <w:rFonts w:hint="eastAsia"/>
          <w:highlight w:val="none"/>
          <w:lang w:val="en-US" w:eastAsia="zh-CN"/>
        </w:rPr>
        <w:t>2024</w:t>
      </w:r>
      <w:r>
        <w:rPr>
          <w:highlight w:val="none"/>
        </w:rPr>
        <w:t>年本）》符合性分析</w:t>
      </w:r>
      <w:bookmarkEnd w:id="50"/>
      <w:bookmarkEnd w:id="51"/>
    </w:p>
    <w:p w14:paraId="7B71D5DA">
      <w:pPr>
        <w:keepNext w:val="0"/>
        <w:keepLines w:val="0"/>
        <w:pageBreakBefore w:val="0"/>
        <w:widowControl/>
        <w:suppressLineNumbers w:val="0"/>
        <w:kinsoku/>
        <w:wordWrap w:val="0"/>
        <w:overflowPunct/>
        <w:topLinePunct w:val="0"/>
        <w:autoSpaceDE/>
        <w:autoSpaceDN/>
        <w:bidi w:val="0"/>
        <w:adjustRightInd w:val="0"/>
        <w:snapToGrid w:val="0"/>
        <w:spacing w:line="360" w:lineRule="auto"/>
        <w:ind w:firstLine="480" w:firstLineChars="200"/>
        <w:jc w:val="left"/>
        <w:textAlignment w:val="auto"/>
        <w:rPr>
          <w:rFonts w:ascii="Times New Roman" w:cs="Times New Roman" w:hAnsiTheme="minorEastAsia" w:eastAsiaTheme="minorEastAsia"/>
          <w:kern w:val="2"/>
          <w:sz w:val="24"/>
          <w:szCs w:val="24"/>
          <w:highlight w:val="none"/>
          <w:lang w:val="en-US" w:eastAsia="zh-CN" w:bidi="ar-SA"/>
        </w:rPr>
      </w:pPr>
      <w:r>
        <w:rPr>
          <w:rFonts w:ascii="Times New Roman" w:cs="Times New Roman" w:hAnsiTheme="minorEastAsia" w:eastAsiaTheme="minorEastAsia"/>
          <w:kern w:val="2"/>
          <w:sz w:val="24"/>
          <w:szCs w:val="24"/>
          <w:highlight w:val="none"/>
          <w:lang w:val="en-US" w:eastAsia="zh-CN" w:bidi="ar-SA"/>
        </w:rPr>
        <w:t>本项目</w:t>
      </w:r>
      <w:r>
        <w:rPr>
          <w:rFonts w:hint="eastAsia" w:ascii="Times New Roman" w:cs="Times New Roman" w:hAnsiTheme="minorEastAsia" w:eastAsiaTheme="minorEastAsia"/>
          <w:kern w:val="2"/>
          <w:sz w:val="24"/>
          <w:szCs w:val="24"/>
          <w:highlight w:val="none"/>
          <w:lang w:val="en-US" w:eastAsia="zh-CN" w:bidi="ar-SA"/>
        </w:rPr>
        <w:t>属于</w:t>
      </w:r>
      <w:r>
        <w:rPr>
          <w:rFonts w:ascii="Times New Roman" w:cs="Times New Roman" w:hAnsiTheme="minorEastAsia" w:eastAsiaTheme="minorEastAsia"/>
          <w:kern w:val="2"/>
          <w:sz w:val="24"/>
          <w:szCs w:val="24"/>
          <w:highlight w:val="none"/>
          <w:lang w:val="en-US" w:eastAsia="zh-CN" w:bidi="ar-SA"/>
        </w:rPr>
        <w:t>《产业结构调整指导目录（</w:t>
      </w:r>
      <w:r>
        <w:rPr>
          <w:rFonts w:hint="eastAsia" w:ascii="Times New Roman" w:cs="Times New Roman" w:hAnsiTheme="minorEastAsia" w:eastAsiaTheme="minorEastAsia"/>
          <w:kern w:val="2"/>
          <w:sz w:val="24"/>
          <w:szCs w:val="24"/>
          <w:highlight w:val="none"/>
          <w:lang w:val="en-US" w:eastAsia="zh-CN" w:bidi="ar-SA"/>
        </w:rPr>
        <w:t>2024</w:t>
      </w:r>
      <w:r>
        <w:rPr>
          <w:rFonts w:ascii="Times New Roman" w:cs="Times New Roman" w:hAnsiTheme="minorEastAsia" w:eastAsiaTheme="minorEastAsia"/>
          <w:kern w:val="2"/>
          <w:sz w:val="24"/>
          <w:szCs w:val="24"/>
          <w:highlight w:val="none"/>
          <w:lang w:val="en-US" w:eastAsia="zh-CN" w:bidi="ar-SA"/>
        </w:rPr>
        <w:t>年本）》中</w:t>
      </w:r>
      <w:r>
        <w:rPr>
          <w:rFonts w:hint="eastAsia" w:ascii="Times New Roman" w:cs="Times New Roman" w:hAnsiTheme="minorEastAsia" w:eastAsiaTheme="minorEastAsia"/>
          <w:kern w:val="2"/>
          <w:sz w:val="24"/>
          <w:szCs w:val="24"/>
          <w:highlight w:val="none"/>
          <w:lang w:val="en-US" w:eastAsia="zh-CN" w:bidi="ar-SA"/>
        </w:rPr>
        <w:t>鼓励类：</w:t>
      </w:r>
      <w:r>
        <w:rPr>
          <w:rFonts w:hint="eastAsia" w:cs="Times New Roman" w:hAnsiTheme="minorEastAsia" w:eastAsiaTheme="minorEastAsia"/>
          <w:kern w:val="2"/>
          <w:sz w:val="24"/>
          <w:szCs w:val="24"/>
          <w:highlight w:val="none"/>
          <w:lang w:val="en-US" w:eastAsia="zh-CN" w:bidi="ar-SA"/>
        </w:rPr>
        <w:t>“十六、汽车中1.混合动力系统专用发动机”</w:t>
      </w:r>
      <w:r>
        <w:rPr>
          <w:rFonts w:hint="eastAsia" w:ascii="Times New Roman" w:cs="Times New Roman" w:hAnsiTheme="minorEastAsia" w:eastAsiaTheme="minorEastAsia"/>
          <w:kern w:val="2"/>
          <w:sz w:val="24"/>
          <w:szCs w:val="24"/>
          <w:highlight w:val="none"/>
          <w:lang w:val="en-US" w:eastAsia="zh-CN" w:bidi="ar-SA"/>
        </w:rPr>
        <w:t>“四十二、环境保护与资源节约综合利用中6.</w:t>
      </w:r>
      <w:r>
        <w:rPr>
          <w:rFonts w:ascii="Times New Roman" w:cs="Times New Roman" w:hAnsiTheme="minorEastAsia" w:eastAsiaTheme="minorEastAsia"/>
          <w:kern w:val="2"/>
          <w:sz w:val="24"/>
          <w:szCs w:val="24"/>
          <w:highlight w:val="none"/>
          <w:lang w:val="en-US" w:eastAsia="zh-CN" w:bidi="ar-SA"/>
        </w:rPr>
        <w:t>危险废物（医疗废物）无害化处置和高</w:t>
      </w:r>
      <w:r>
        <w:rPr>
          <w:rFonts w:hint="default" w:ascii="Times New Roman" w:cs="Times New Roman" w:hAnsiTheme="minorEastAsia" w:eastAsiaTheme="minorEastAsia"/>
          <w:kern w:val="2"/>
          <w:sz w:val="24"/>
          <w:szCs w:val="24"/>
          <w:highlight w:val="none"/>
          <w:lang w:val="en-US" w:eastAsia="zh-CN" w:bidi="ar-SA"/>
        </w:rPr>
        <w:t>效利用技术设备开发制造、利用处置中心建设和（或）运营</w:t>
      </w:r>
      <w:r>
        <w:rPr>
          <w:rFonts w:hint="eastAsia" w:cs="Times New Roman" w:hAnsiTheme="minorEastAsia" w:eastAsiaTheme="minorEastAsia"/>
          <w:kern w:val="2"/>
          <w:sz w:val="24"/>
          <w:szCs w:val="24"/>
          <w:highlight w:val="none"/>
          <w:lang w:val="en-US" w:eastAsia="zh-CN" w:bidi="ar-SA"/>
        </w:rPr>
        <w:t>。”</w:t>
      </w:r>
      <w:r>
        <w:rPr>
          <w:rFonts w:ascii="Times New Roman" w:cs="Times New Roman" w:hAnsiTheme="minorEastAsia" w:eastAsiaTheme="minorEastAsia"/>
          <w:kern w:val="2"/>
          <w:sz w:val="24"/>
          <w:szCs w:val="24"/>
          <w:highlight w:val="none"/>
          <w:lang w:val="en-US" w:eastAsia="zh-CN" w:bidi="ar-SA"/>
        </w:rPr>
        <w:t>本项目的建设符合产业政策的要求，符合国家产业政策规定。</w:t>
      </w:r>
    </w:p>
    <w:p w14:paraId="1DD60191">
      <w:pPr>
        <w:pStyle w:val="4"/>
        <w:bidi w:val="0"/>
        <w:rPr>
          <w:highlight w:val="none"/>
        </w:rPr>
      </w:pPr>
      <w:bookmarkStart w:id="52" w:name="_Toc26201"/>
      <w:r>
        <w:rPr>
          <w:rFonts w:hint="eastAsia"/>
          <w:highlight w:val="none"/>
        </w:rPr>
        <w:t>1.4.2与《</w:t>
      </w:r>
      <w:r>
        <w:rPr>
          <w:highlight w:val="none"/>
        </w:rPr>
        <w:t>哈尔滨市平房区哈尔滨经济技术开发区哈尔滨新区平房经济技术片区国民经济和社会发展规划和二〇三五年远景目标纲要</w:t>
      </w:r>
      <w:r>
        <w:rPr>
          <w:rFonts w:hint="eastAsia"/>
          <w:highlight w:val="none"/>
        </w:rPr>
        <w:t>》符合性分析</w:t>
      </w:r>
      <w:bookmarkEnd w:id="52"/>
    </w:p>
    <w:p w14:paraId="169231E8">
      <w:pPr>
        <w:ind w:firstLine="480" w:firstLineChars="200"/>
        <w:rPr>
          <w:rFonts w:ascii="Times New Roman" w:hAnsi="Times New Roman"/>
          <w:kern w:val="24"/>
          <w:highlight w:val="none"/>
        </w:rPr>
      </w:pPr>
      <w:r>
        <w:rPr>
          <w:rFonts w:hint="eastAsia" w:ascii="Times New Roman" w:hAnsi="Times New Roman"/>
          <w:kern w:val="24"/>
          <w:highlight w:val="none"/>
        </w:rPr>
        <w:t>根据《哈尔滨市平房区哈尔滨经济技术开发区哈尔滨新区平房经济技术片区国民经济和社会发展规划和二〇三五年远景目标纲要》第三章要求“做优做强四大主导产业---先进装备制造产业。坚持做大总量规模与优化产业结构并重，加快改造升级“老字号”、深度开发“原字号”、培育壮大“新字号”步伐。突出整机牵引，鼓励引导哈飞、哈工大机器人等企业灵活运用自主创新、配套合作等方式，提升整机装备制造水平和产品竞争力，促进制造业向智能、绿色、高端、服务方向转型升级；突出零部件带动，以东安航发、东安汽发、海航创通、鑫华航空等企业为重点，开发新产品新技术，构建服务整机制造的协作配套体系。重点围绕汽车、航空装备、机器人及智能制造、先进轨道交通装备、重大成套装备、高档数控机床、新能源装备等重点产业链，打造先进装备制造业基地。加快布局航天航海、增材制造、储能材料等未来产业，形成新的产业梯队。到2025年，力争先进装备制造产业产值年均增长10%。”</w:t>
      </w:r>
    </w:p>
    <w:p w14:paraId="49F50762">
      <w:pPr>
        <w:pStyle w:val="18"/>
        <w:keepNext w:val="0"/>
        <w:keepLines w:val="0"/>
        <w:pageBreakBefore w:val="0"/>
        <w:widowControl w:val="0"/>
        <w:kinsoku/>
        <w:wordWrap w:val="0"/>
        <w:overflowPunct/>
        <w:topLinePunct w:val="0"/>
        <w:autoSpaceDE/>
        <w:autoSpaceDN/>
        <w:bidi w:val="0"/>
        <w:adjustRightInd w:val="0"/>
        <w:snapToGrid w:val="0"/>
        <w:spacing w:after="0"/>
        <w:ind w:left="0" w:leftChars="0" w:firstLine="480" w:firstLineChars="200"/>
        <w:textAlignment w:val="auto"/>
        <w:rPr>
          <w:highlight w:val="none"/>
          <w:lang w:val="en-US" w:eastAsia="zh-CN"/>
        </w:rPr>
      </w:pPr>
      <w:r>
        <w:rPr>
          <w:rFonts w:hint="eastAsia" w:ascii="Times New Roman" w:hAnsi="Times New Roman"/>
          <w:kern w:val="24"/>
          <w:highlight w:val="none"/>
        </w:rPr>
        <w:t>本项目生产的</w:t>
      </w:r>
      <w:r>
        <w:rPr>
          <w:rFonts w:hint="eastAsia" w:ascii="Times New Roman" w:hAnsi="Times New Roman"/>
          <w:kern w:val="24"/>
          <w:highlight w:val="none"/>
          <w:lang w:val="en-US" w:eastAsia="zh-CN"/>
        </w:rPr>
        <w:t>WE20TG</w:t>
      </w:r>
      <w:r>
        <w:rPr>
          <w:rFonts w:hint="eastAsia" w:ascii="Times New Roman" w:hAnsi="Times New Roman"/>
          <w:kern w:val="24"/>
          <w:highlight w:val="none"/>
        </w:rPr>
        <w:t>的发动机，为</w:t>
      </w:r>
      <w:r>
        <w:rPr>
          <w:rFonts w:hint="eastAsia" w:ascii="Times New Roman" w:hAnsi="Times New Roman"/>
          <w:kern w:val="24"/>
          <w:highlight w:val="none"/>
          <w:lang w:val="en-US" w:eastAsia="zh-CN"/>
        </w:rPr>
        <w:t>混动</w:t>
      </w:r>
      <w:r>
        <w:rPr>
          <w:rFonts w:hint="eastAsia" w:ascii="Times New Roman" w:hAnsi="Times New Roman"/>
          <w:kern w:val="24"/>
          <w:highlight w:val="none"/>
        </w:rPr>
        <w:t>发动机，</w:t>
      </w:r>
      <w:r>
        <w:rPr>
          <w:rFonts w:hint="eastAsia" w:ascii="Times New Roman" w:hAnsi="Times New Roman"/>
          <w:kern w:val="24"/>
          <w:highlight w:val="none"/>
          <w:lang w:val="en-US" w:eastAsia="zh-CN"/>
        </w:rPr>
        <w:t>有助于将</w:t>
      </w:r>
      <w:r>
        <w:rPr>
          <w:rFonts w:hint="eastAsia" w:ascii="Times New Roman" w:hAnsi="Times New Roman"/>
          <w:kern w:val="24"/>
          <w:highlight w:val="none"/>
        </w:rPr>
        <w:t>传统乘用车将全部转为混合动力，未来发展迎来利好，符合《哈尔滨市平房区哈尔滨经济技术开发区哈尔滨新区平房经济技术片区国民经济和社会发展规划和二〇三五年远景目标纲要》提出的东安汽发开发新产品新技术，构建服务整机制造的协作配套体系的要求。</w:t>
      </w:r>
    </w:p>
    <w:p w14:paraId="487A79B2">
      <w:pPr>
        <w:pStyle w:val="4"/>
        <w:bidi w:val="0"/>
        <w:rPr>
          <w:rFonts w:hint="eastAsia"/>
          <w:highlight w:val="none"/>
        </w:rPr>
      </w:pPr>
      <w:bookmarkStart w:id="53" w:name="_Toc24334"/>
      <w:bookmarkStart w:id="54" w:name="_Toc20476"/>
      <w:bookmarkStart w:id="55" w:name="_Toc17253"/>
      <w:bookmarkStart w:id="56" w:name="_Toc11758453"/>
      <w:r>
        <w:rPr>
          <w:rFonts w:hint="eastAsia"/>
          <w:highlight w:val="none"/>
        </w:rPr>
        <w:t>1.4.3与</w:t>
      </w:r>
      <w:r>
        <w:rPr>
          <w:rFonts w:hint="eastAsia"/>
          <w:highlight w:val="none"/>
          <w:lang w:val="en-US" w:eastAsia="zh-CN"/>
        </w:rPr>
        <w:t>《哈尔滨经济技术开发区总体规划（</w:t>
      </w:r>
      <w:r>
        <w:rPr>
          <w:rFonts w:hint="default"/>
          <w:highlight w:val="none"/>
          <w:lang w:val="en-US" w:eastAsia="zh-CN"/>
        </w:rPr>
        <w:t>2021-2035</w:t>
      </w:r>
      <w:r>
        <w:rPr>
          <w:rFonts w:hint="eastAsia"/>
          <w:highlight w:val="none"/>
          <w:lang w:val="en-US" w:eastAsia="zh-CN"/>
        </w:rPr>
        <w:t>年）》、《哈尔滨经济技术开发区总体规划（</w:t>
      </w:r>
      <w:r>
        <w:rPr>
          <w:rFonts w:hint="default"/>
          <w:highlight w:val="none"/>
          <w:lang w:val="en-US" w:eastAsia="zh-CN"/>
        </w:rPr>
        <w:t>2021-2035</w:t>
      </w:r>
      <w:r>
        <w:rPr>
          <w:rFonts w:hint="eastAsia"/>
          <w:highlight w:val="none"/>
          <w:lang w:val="en-US" w:eastAsia="zh-CN"/>
        </w:rPr>
        <w:t>年）环境影响报告书》、《黑龙江省生态环境厅关于&lt;哈尔滨经济技术开发区总体规划（</w:t>
      </w:r>
      <w:r>
        <w:rPr>
          <w:rFonts w:hint="default"/>
          <w:highlight w:val="none"/>
          <w:lang w:val="en-US" w:eastAsia="zh-CN"/>
        </w:rPr>
        <w:t>2021-2035</w:t>
      </w:r>
      <w:r>
        <w:rPr>
          <w:rFonts w:hint="eastAsia"/>
          <w:highlight w:val="none"/>
          <w:lang w:val="en-US" w:eastAsia="zh-CN"/>
        </w:rPr>
        <w:t>年）环境影响报告书&gt;的审查意见</w:t>
      </w:r>
      <w:r>
        <w:rPr>
          <w:rFonts w:hint="eastAsia"/>
          <w:highlight w:val="none"/>
        </w:rPr>
        <w:t>》（</w:t>
      </w:r>
      <w:r>
        <w:rPr>
          <w:rFonts w:hint="eastAsia"/>
          <w:highlight w:val="none"/>
          <w:lang w:val="en-US" w:eastAsia="zh-CN"/>
        </w:rPr>
        <w:t>黑环函[</w:t>
      </w:r>
      <w:r>
        <w:rPr>
          <w:rFonts w:hint="default"/>
          <w:highlight w:val="none"/>
          <w:lang w:val="en-US" w:eastAsia="zh-CN"/>
        </w:rPr>
        <w:t>2024</w:t>
      </w:r>
      <w:r>
        <w:rPr>
          <w:rFonts w:hint="eastAsia"/>
          <w:highlight w:val="none"/>
          <w:lang w:val="en-US" w:eastAsia="zh-CN"/>
        </w:rPr>
        <w:t>]</w:t>
      </w:r>
      <w:r>
        <w:rPr>
          <w:rFonts w:hint="default"/>
          <w:highlight w:val="none"/>
          <w:lang w:val="en-US" w:eastAsia="zh-CN"/>
        </w:rPr>
        <w:t>195</w:t>
      </w:r>
      <w:r>
        <w:rPr>
          <w:rFonts w:hint="eastAsia"/>
          <w:highlight w:val="none"/>
          <w:lang w:val="en-US" w:eastAsia="zh-CN"/>
        </w:rPr>
        <w:t>号</w:t>
      </w:r>
      <w:r>
        <w:rPr>
          <w:rFonts w:hint="eastAsia"/>
          <w:highlight w:val="none"/>
        </w:rPr>
        <w:t>）符合性分析</w:t>
      </w:r>
      <w:bookmarkEnd w:id="53"/>
    </w:p>
    <w:p w14:paraId="5C9D0CF1">
      <w:pPr>
        <w:bidi w:val="0"/>
        <w:rPr>
          <w:highlight w:val="none"/>
        </w:rPr>
      </w:pPr>
      <w:r>
        <w:rPr>
          <w:rFonts w:hint="eastAsia"/>
          <w:highlight w:val="none"/>
          <w:lang w:val="en-US" w:eastAsia="zh-CN"/>
        </w:rPr>
        <w:t>（1）规划符合性分析</w:t>
      </w:r>
    </w:p>
    <w:p w14:paraId="04E5D5AD">
      <w:pPr>
        <w:keepNext w:val="0"/>
        <w:keepLines w:val="0"/>
        <w:widowControl/>
        <w:suppressLineNumbers w:val="0"/>
        <w:jc w:val="left"/>
        <w:rPr>
          <w:highlight w:val="none"/>
        </w:rPr>
      </w:pPr>
      <w:r>
        <w:rPr>
          <w:rFonts w:hint="eastAsia" w:ascii="宋体" w:hAnsi="宋体" w:eastAsia="宋体" w:cs="宋体"/>
          <w:color w:val="000000"/>
          <w:kern w:val="0"/>
          <w:sz w:val="24"/>
          <w:szCs w:val="24"/>
          <w:highlight w:val="none"/>
          <w:lang w:val="en-US" w:eastAsia="zh-CN" w:bidi="ar"/>
        </w:rPr>
        <w:t>根据《哈尔滨经济技术开发区总体规划（</w:t>
      </w:r>
      <w:r>
        <w:rPr>
          <w:rFonts w:hint="default" w:ascii="Times New Roman" w:hAnsi="Times New Roman" w:eastAsia="宋体" w:cs="Times New Roman"/>
          <w:color w:val="000000"/>
          <w:kern w:val="0"/>
          <w:sz w:val="24"/>
          <w:szCs w:val="24"/>
          <w:highlight w:val="none"/>
          <w:lang w:val="en-US" w:eastAsia="zh-CN" w:bidi="ar"/>
        </w:rPr>
        <w:t>2021-2035</w:t>
      </w:r>
      <w:r>
        <w:rPr>
          <w:rFonts w:hint="eastAsia" w:ascii="宋体" w:hAnsi="宋体" w:eastAsia="宋体" w:cs="宋体"/>
          <w:color w:val="000000"/>
          <w:kern w:val="0"/>
          <w:sz w:val="24"/>
          <w:szCs w:val="24"/>
          <w:highlight w:val="none"/>
          <w:lang w:val="en-US" w:eastAsia="zh-CN" w:bidi="ar"/>
        </w:rPr>
        <w:t>年）》，哈尔滨经济技</w:t>
      </w:r>
    </w:p>
    <w:p w14:paraId="47B54539">
      <w:pPr>
        <w:keepNext w:val="0"/>
        <w:keepLines w:val="0"/>
        <w:widowControl/>
        <w:suppressLineNumbers w:val="0"/>
        <w:ind w:left="0" w:leftChars="0" w:firstLine="0" w:firstLineChars="0"/>
        <w:jc w:val="left"/>
        <w:rPr>
          <w:highlight w:val="none"/>
        </w:rPr>
      </w:pPr>
      <w:r>
        <w:rPr>
          <w:rFonts w:hint="eastAsia" w:ascii="宋体" w:hAnsi="宋体" w:eastAsia="宋体" w:cs="宋体"/>
          <w:color w:val="000000"/>
          <w:kern w:val="0"/>
          <w:sz w:val="24"/>
          <w:szCs w:val="24"/>
          <w:highlight w:val="none"/>
          <w:lang w:val="en-US" w:eastAsia="zh-CN" w:bidi="ar"/>
        </w:rPr>
        <w:t>术开发区规划总面积为</w:t>
      </w:r>
      <w:r>
        <w:rPr>
          <w:rFonts w:hint="default" w:ascii="Times New Roman" w:hAnsi="Times New Roman" w:eastAsia="宋体" w:cs="Times New Roman"/>
          <w:color w:val="000000"/>
          <w:kern w:val="0"/>
          <w:sz w:val="24"/>
          <w:szCs w:val="24"/>
          <w:highlight w:val="none"/>
          <w:lang w:val="en-US" w:eastAsia="zh-CN" w:bidi="ar"/>
        </w:rPr>
        <w:t>60km</w:t>
      </w:r>
      <w:r>
        <w:rPr>
          <w:rFonts w:hint="eastAsia" w:ascii="Times New Roman" w:hAnsi="Times New Roman" w:eastAsia="宋体" w:cs="Times New Roman"/>
          <w:color w:val="000000"/>
          <w:kern w:val="0"/>
          <w:sz w:val="24"/>
          <w:szCs w:val="24"/>
          <w:highlight w:val="none"/>
          <w:vertAlign w:val="superscript"/>
          <w:lang w:val="en-US" w:eastAsia="zh-CN" w:bidi="ar"/>
        </w:rPr>
        <w:t>2</w:t>
      </w:r>
      <w:r>
        <w:rPr>
          <w:rFonts w:hint="eastAsia" w:ascii="宋体" w:hAnsi="宋体" w:eastAsia="宋体" w:cs="宋体"/>
          <w:color w:val="000000"/>
          <w:kern w:val="0"/>
          <w:sz w:val="24"/>
          <w:szCs w:val="24"/>
          <w:highlight w:val="none"/>
          <w:lang w:val="en-US" w:eastAsia="zh-CN" w:bidi="ar"/>
        </w:rPr>
        <w:t>，其中：</w:t>
      </w:r>
    </w:p>
    <w:p w14:paraId="2EE517F6">
      <w:pPr>
        <w:keepNext w:val="0"/>
        <w:keepLines w:val="0"/>
        <w:widowControl/>
        <w:suppressLineNumbers w:val="0"/>
        <w:jc w:val="left"/>
        <w:rPr>
          <w:highlight w:val="none"/>
        </w:rPr>
      </w:pPr>
      <w:r>
        <w:rPr>
          <w:rFonts w:hint="eastAsia" w:ascii="宋体" w:hAnsi="宋体" w:eastAsia="宋体" w:cs="宋体"/>
          <w:color w:val="000000"/>
          <w:kern w:val="0"/>
          <w:sz w:val="24"/>
          <w:szCs w:val="24"/>
          <w:highlight w:val="none"/>
          <w:lang w:val="en-US" w:eastAsia="zh-CN" w:bidi="ar"/>
        </w:rPr>
        <w:t>南岗工业集中区</w:t>
      </w:r>
      <w:r>
        <w:rPr>
          <w:rFonts w:hint="eastAsia" w:ascii="宋体" w:hAnsi="宋体" w:cs="宋体"/>
          <w:color w:val="000000"/>
          <w:kern w:val="0"/>
          <w:sz w:val="24"/>
          <w:szCs w:val="24"/>
          <w:highlight w:val="none"/>
          <w:lang w:val="en-US" w:eastAsia="zh-CN" w:bidi="ar"/>
        </w:rPr>
        <w:t>：</w:t>
      </w:r>
    </w:p>
    <w:p w14:paraId="7EE7A613">
      <w:pPr>
        <w:keepNext w:val="0"/>
        <w:keepLines w:val="0"/>
        <w:widowControl/>
        <w:suppressLineNumbers w:val="0"/>
        <w:jc w:val="left"/>
        <w:rPr>
          <w:highlight w:val="none"/>
        </w:rPr>
      </w:pPr>
      <w:r>
        <w:rPr>
          <w:rFonts w:hint="eastAsia" w:ascii="宋体" w:hAnsi="宋体" w:eastAsia="宋体" w:cs="宋体"/>
          <w:color w:val="000000"/>
          <w:kern w:val="0"/>
          <w:sz w:val="24"/>
          <w:szCs w:val="24"/>
          <w:highlight w:val="none"/>
          <w:lang w:val="en-US" w:eastAsia="zh-CN" w:bidi="ar"/>
        </w:rPr>
        <w:t>①规划面积：</w:t>
      </w:r>
      <w:r>
        <w:rPr>
          <w:rFonts w:hint="default" w:ascii="Times New Roman" w:hAnsi="Times New Roman" w:eastAsia="宋体" w:cs="Times New Roman"/>
          <w:color w:val="000000"/>
          <w:kern w:val="0"/>
          <w:sz w:val="24"/>
          <w:szCs w:val="24"/>
          <w:highlight w:val="none"/>
          <w:lang w:val="en-US" w:eastAsia="zh-CN" w:bidi="ar"/>
        </w:rPr>
        <w:t>6.6km</w:t>
      </w:r>
      <w:r>
        <w:rPr>
          <w:rFonts w:hint="eastAsia" w:ascii="Times New Roman" w:hAnsi="Times New Roman" w:eastAsia="宋体" w:cs="Times New Roman"/>
          <w:color w:val="000000"/>
          <w:kern w:val="0"/>
          <w:sz w:val="24"/>
          <w:szCs w:val="24"/>
          <w:highlight w:val="none"/>
          <w:vertAlign w:val="superscript"/>
          <w:lang w:val="en-US" w:eastAsia="zh-CN" w:bidi="ar"/>
        </w:rPr>
        <w:t>2</w:t>
      </w:r>
    </w:p>
    <w:p w14:paraId="6113BA26">
      <w:pPr>
        <w:keepNext w:val="0"/>
        <w:keepLines w:val="0"/>
        <w:widowControl/>
        <w:suppressLineNumbers w:val="0"/>
        <w:jc w:val="left"/>
        <w:rPr>
          <w:highlight w:val="none"/>
        </w:rPr>
      </w:pPr>
      <w:r>
        <w:rPr>
          <w:rFonts w:hint="eastAsia" w:ascii="宋体" w:hAnsi="宋体" w:eastAsia="宋体" w:cs="宋体"/>
          <w:color w:val="000000"/>
          <w:kern w:val="0"/>
          <w:sz w:val="24"/>
          <w:szCs w:val="24"/>
          <w:highlight w:val="none"/>
          <w:lang w:val="en-US" w:eastAsia="zh-CN" w:bidi="ar"/>
        </w:rPr>
        <w:t>②规划范围</w:t>
      </w:r>
    </w:p>
    <w:p w14:paraId="439195D1">
      <w:pPr>
        <w:keepNext w:val="0"/>
        <w:keepLines w:val="0"/>
        <w:widowControl/>
        <w:suppressLineNumbers w:val="0"/>
        <w:jc w:val="left"/>
        <w:rPr>
          <w:highlight w:val="none"/>
        </w:rPr>
      </w:pPr>
      <w:r>
        <w:rPr>
          <w:rFonts w:hint="eastAsia" w:ascii="宋体" w:hAnsi="宋体" w:eastAsia="宋体" w:cs="宋体"/>
          <w:color w:val="000000"/>
          <w:kern w:val="0"/>
          <w:sz w:val="24"/>
          <w:szCs w:val="24"/>
          <w:highlight w:val="none"/>
          <w:lang w:val="en-US" w:eastAsia="zh-CN" w:bidi="ar"/>
        </w:rPr>
        <w:t>东至铁路专用线，南至赣水路，西至嵩山路、红旗大街，北至汉水路、闽江路。</w:t>
      </w:r>
    </w:p>
    <w:p w14:paraId="69E0003C">
      <w:pPr>
        <w:keepNext w:val="0"/>
        <w:keepLines w:val="0"/>
        <w:widowControl/>
        <w:suppressLineNumbers w:val="0"/>
        <w:jc w:val="left"/>
        <w:rPr>
          <w:highlight w:val="none"/>
        </w:rPr>
      </w:pPr>
      <w:r>
        <w:rPr>
          <w:rFonts w:hint="eastAsia" w:ascii="宋体" w:hAnsi="宋体" w:eastAsia="宋体" w:cs="宋体"/>
          <w:color w:val="000000"/>
          <w:kern w:val="0"/>
          <w:sz w:val="24"/>
          <w:szCs w:val="24"/>
          <w:highlight w:val="none"/>
          <w:lang w:val="en-US" w:eastAsia="zh-CN" w:bidi="ar"/>
        </w:rPr>
        <w:t>③产业功能分区</w:t>
      </w:r>
    </w:p>
    <w:p w14:paraId="3219FFA7">
      <w:pPr>
        <w:keepNext w:val="0"/>
        <w:keepLines w:val="0"/>
        <w:widowControl/>
        <w:suppressLineNumbers w:val="0"/>
        <w:jc w:val="left"/>
        <w:rPr>
          <w:highlight w:val="none"/>
        </w:rPr>
      </w:pPr>
      <w:r>
        <w:rPr>
          <w:rFonts w:hint="eastAsia" w:ascii="宋体" w:hAnsi="宋体" w:eastAsia="宋体" w:cs="宋体"/>
          <w:color w:val="000000"/>
          <w:kern w:val="0"/>
          <w:sz w:val="24"/>
          <w:szCs w:val="24"/>
          <w:highlight w:val="none"/>
          <w:lang w:val="en-US" w:eastAsia="zh-CN" w:bidi="ar"/>
        </w:rPr>
        <w:t>现代产业集群（</w:t>
      </w:r>
      <w:r>
        <w:rPr>
          <w:rFonts w:hint="default" w:ascii="Times New Roman" w:hAnsi="Times New Roman" w:eastAsia="宋体" w:cs="Times New Roman"/>
          <w:color w:val="000000"/>
          <w:kern w:val="0"/>
          <w:sz w:val="24"/>
          <w:szCs w:val="24"/>
          <w:highlight w:val="none"/>
          <w:lang w:val="en-US" w:eastAsia="zh-CN" w:bidi="ar"/>
        </w:rPr>
        <w:t>Q84</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E47</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F51</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G60</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H61</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M73</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J66</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R86</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P83</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O80</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N77</w:t>
      </w:r>
      <w:r>
        <w:rPr>
          <w:rFonts w:hint="eastAsia" w:ascii="宋体" w:hAnsi="宋体" w:eastAsia="宋体" w:cs="宋体"/>
          <w:color w:val="000000"/>
          <w:kern w:val="0"/>
          <w:sz w:val="24"/>
          <w:szCs w:val="24"/>
          <w:highlight w:val="none"/>
          <w:lang w:val="en-US" w:eastAsia="zh-CN" w:bidi="ar"/>
        </w:rPr>
        <w:t>）。</w:t>
      </w:r>
    </w:p>
    <w:p w14:paraId="28736BD3">
      <w:pPr>
        <w:keepNext w:val="0"/>
        <w:keepLines w:val="0"/>
        <w:widowControl/>
        <w:suppressLineNumbers w:val="0"/>
        <w:jc w:val="left"/>
        <w:rPr>
          <w:highlight w:val="none"/>
        </w:rPr>
      </w:pPr>
      <w:r>
        <w:rPr>
          <w:rFonts w:hint="eastAsia" w:ascii="宋体" w:hAnsi="宋体" w:eastAsia="宋体" w:cs="宋体"/>
          <w:color w:val="000000"/>
          <w:kern w:val="0"/>
          <w:sz w:val="24"/>
          <w:szCs w:val="24"/>
          <w:highlight w:val="none"/>
          <w:lang w:val="en-US" w:eastAsia="zh-CN" w:bidi="ar"/>
        </w:rPr>
        <w:t>哈平路工业集中区</w:t>
      </w:r>
      <w:r>
        <w:rPr>
          <w:rFonts w:hint="eastAsia" w:ascii="宋体" w:hAnsi="宋体" w:cs="宋体"/>
          <w:color w:val="000000"/>
          <w:kern w:val="0"/>
          <w:sz w:val="24"/>
          <w:szCs w:val="24"/>
          <w:highlight w:val="none"/>
          <w:lang w:val="en-US" w:eastAsia="zh-CN" w:bidi="ar"/>
        </w:rPr>
        <w:t>：</w:t>
      </w:r>
    </w:p>
    <w:p w14:paraId="471782E6">
      <w:pPr>
        <w:keepNext w:val="0"/>
        <w:keepLines w:val="0"/>
        <w:widowControl/>
        <w:suppressLineNumbers w:val="0"/>
        <w:jc w:val="left"/>
        <w:rPr>
          <w:highlight w:val="none"/>
        </w:rPr>
      </w:pPr>
      <w:r>
        <w:rPr>
          <w:rFonts w:hint="eastAsia" w:ascii="宋体" w:hAnsi="宋体" w:eastAsia="宋体" w:cs="宋体"/>
          <w:color w:val="000000"/>
          <w:kern w:val="0"/>
          <w:sz w:val="24"/>
          <w:szCs w:val="24"/>
          <w:highlight w:val="none"/>
          <w:lang w:val="en-US" w:eastAsia="zh-CN" w:bidi="ar"/>
        </w:rPr>
        <w:t>①规划面积：</w:t>
      </w:r>
      <w:r>
        <w:rPr>
          <w:rFonts w:hint="default" w:ascii="Times New Roman" w:hAnsi="Times New Roman" w:eastAsia="宋体" w:cs="Times New Roman"/>
          <w:color w:val="000000"/>
          <w:kern w:val="0"/>
          <w:sz w:val="24"/>
          <w:szCs w:val="24"/>
          <w:highlight w:val="none"/>
          <w:lang w:val="en-US" w:eastAsia="zh-CN" w:bidi="ar"/>
        </w:rPr>
        <w:t>13.2km</w:t>
      </w:r>
      <w:r>
        <w:rPr>
          <w:rFonts w:hint="eastAsia" w:ascii="Times New Roman" w:hAnsi="Times New Roman" w:eastAsia="宋体" w:cs="Times New Roman"/>
          <w:color w:val="000000"/>
          <w:kern w:val="0"/>
          <w:sz w:val="24"/>
          <w:szCs w:val="24"/>
          <w:highlight w:val="none"/>
          <w:vertAlign w:val="superscript"/>
          <w:lang w:val="en-US" w:eastAsia="zh-CN" w:bidi="ar"/>
        </w:rPr>
        <w:t>2</w:t>
      </w:r>
      <w:r>
        <w:rPr>
          <w:rFonts w:hint="eastAsia" w:ascii="宋体" w:hAnsi="宋体" w:eastAsia="宋体" w:cs="宋体"/>
          <w:color w:val="000000"/>
          <w:kern w:val="0"/>
          <w:sz w:val="24"/>
          <w:szCs w:val="24"/>
          <w:highlight w:val="none"/>
          <w:lang w:val="en-US" w:eastAsia="zh-CN" w:bidi="ar"/>
        </w:rPr>
        <w:t>。</w:t>
      </w:r>
    </w:p>
    <w:p w14:paraId="6183BE3C">
      <w:pPr>
        <w:keepNext w:val="0"/>
        <w:keepLines w:val="0"/>
        <w:widowControl/>
        <w:suppressLineNumbers w:val="0"/>
        <w:jc w:val="left"/>
        <w:rPr>
          <w:highlight w:val="none"/>
        </w:rPr>
      </w:pPr>
      <w:r>
        <w:rPr>
          <w:rFonts w:hint="eastAsia" w:ascii="宋体" w:hAnsi="宋体" w:eastAsia="宋体" w:cs="宋体"/>
          <w:color w:val="000000"/>
          <w:kern w:val="0"/>
          <w:sz w:val="24"/>
          <w:szCs w:val="24"/>
          <w:highlight w:val="none"/>
          <w:lang w:val="en-US" w:eastAsia="zh-CN" w:bidi="ar"/>
        </w:rPr>
        <w:t>②规划范围</w:t>
      </w:r>
    </w:p>
    <w:p w14:paraId="3825FA61">
      <w:pPr>
        <w:keepNext w:val="0"/>
        <w:keepLines w:val="0"/>
        <w:widowControl/>
        <w:suppressLineNumbers w:val="0"/>
        <w:jc w:val="left"/>
        <w:rPr>
          <w:highlight w:val="none"/>
        </w:rPr>
      </w:pPr>
      <w:r>
        <w:rPr>
          <w:rFonts w:hint="eastAsia" w:ascii="宋体" w:hAnsi="宋体" w:eastAsia="宋体" w:cs="宋体"/>
          <w:color w:val="000000"/>
          <w:kern w:val="0"/>
          <w:sz w:val="24"/>
          <w:szCs w:val="24"/>
          <w:highlight w:val="none"/>
          <w:lang w:val="en-US" w:eastAsia="zh-CN" w:bidi="ar"/>
        </w:rPr>
        <w:t>东至园艺所西侧，马家沟河，南至哈飞公司厂区，西至哈平公路副线，北至瓦盆窑南路、园艺所南端、义发源南路。</w:t>
      </w:r>
    </w:p>
    <w:p w14:paraId="7805B3BF">
      <w:pPr>
        <w:keepNext w:val="0"/>
        <w:keepLines w:val="0"/>
        <w:widowControl/>
        <w:suppressLineNumbers w:val="0"/>
        <w:jc w:val="left"/>
        <w:rPr>
          <w:highlight w:val="none"/>
        </w:rPr>
      </w:pPr>
      <w:r>
        <w:rPr>
          <w:rFonts w:hint="eastAsia" w:ascii="宋体" w:hAnsi="宋体" w:eastAsia="宋体" w:cs="宋体"/>
          <w:color w:val="000000"/>
          <w:kern w:val="0"/>
          <w:sz w:val="24"/>
          <w:szCs w:val="24"/>
          <w:highlight w:val="none"/>
          <w:lang w:val="en-US" w:eastAsia="zh-CN" w:bidi="ar"/>
        </w:rPr>
        <w:t>③产业功能分区</w:t>
      </w:r>
    </w:p>
    <w:p w14:paraId="04EB8C5E">
      <w:pPr>
        <w:keepNext w:val="0"/>
        <w:keepLines w:val="0"/>
        <w:widowControl/>
        <w:suppressLineNumbers w:val="0"/>
        <w:jc w:val="left"/>
        <w:rPr>
          <w:highlight w:val="none"/>
        </w:rPr>
      </w:pPr>
      <w:r>
        <w:rPr>
          <w:rFonts w:hint="eastAsia" w:ascii="宋体" w:hAnsi="宋体" w:eastAsia="宋体" w:cs="宋体"/>
          <w:color w:val="000000"/>
          <w:kern w:val="0"/>
          <w:sz w:val="24"/>
          <w:szCs w:val="24"/>
          <w:highlight w:val="none"/>
          <w:lang w:val="en-US" w:eastAsia="zh-CN" w:bidi="ar"/>
        </w:rPr>
        <w:t>生物经济与先进制造产业集群（</w:t>
      </w:r>
      <w:r>
        <w:rPr>
          <w:rFonts w:hint="default" w:ascii="Times New Roman" w:hAnsi="Times New Roman" w:eastAsia="宋体" w:cs="Times New Roman"/>
          <w:color w:val="000000"/>
          <w:kern w:val="0"/>
          <w:sz w:val="24"/>
          <w:szCs w:val="24"/>
          <w:highlight w:val="none"/>
          <w:lang w:val="en-US" w:eastAsia="zh-CN" w:bidi="ar"/>
        </w:rPr>
        <w:t>C34</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C35</w:t>
      </w:r>
      <w:r>
        <w:rPr>
          <w:rFonts w:hint="eastAsia" w:ascii="宋体" w:hAnsi="宋体" w:eastAsia="宋体" w:cs="宋体"/>
          <w:color w:val="000000"/>
          <w:kern w:val="0"/>
          <w:sz w:val="24"/>
          <w:szCs w:val="24"/>
          <w:highlight w:val="none"/>
          <w:lang w:val="en-US" w:eastAsia="zh-CN" w:bidi="ar"/>
        </w:rPr>
        <w:t>）、先进装备产业集群（</w:t>
      </w:r>
      <w:r>
        <w:rPr>
          <w:rFonts w:hint="default" w:ascii="Times New Roman" w:hAnsi="Times New Roman" w:eastAsia="宋体" w:cs="Times New Roman"/>
          <w:color w:val="000000"/>
          <w:kern w:val="0"/>
          <w:sz w:val="24"/>
          <w:szCs w:val="24"/>
          <w:highlight w:val="none"/>
          <w:lang w:val="en-US" w:eastAsia="zh-CN" w:bidi="ar"/>
        </w:rPr>
        <w:t>C36</w:t>
      </w:r>
      <w:r>
        <w:rPr>
          <w:rFonts w:hint="eastAsia" w:ascii="宋体" w:hAnsi="宋体" w:eastAsia="宋体" w:cs="宋体"/>
          <w:color w:val="000000"/>
          <w:kern w:val="0"/>
          <w:sz w:val="24"/>
          <w:szCs w:val="24"/>
          <w:highlight w:val="none"/>
          <w:lang w:val="en-US" w:eastAsia="zh-CN" w:bidi="ar"/>
        </w:rPr>
        <w:t>）以及高品质食品（</w:t>
      </w:r>
      <w:r>
        <w:rPr>
          <w:rFonts w:hint="default" w:ascii="Times New Roman" w:hAnsi="Times New Roman" w:eastAsia="宋体" w:cs="Times New Roman"/>
          <w:color w:val="000000"/>
          <w:kern w:val="0"/>
          <w:sz w:val="24"/>
          <w:szCs w:val="24"/>
          <w:highlight w:val="none"/>
          <w:lang w:val="en-US" w:eastAsia="zh-CN" w:bidi="ar"/>
        </w:rPr>
        <w:t>C13</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C14</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C15</w:t>
      </w:r>
      <w:r>
        <w:rPr>
          <w:rFonts w:hint="eastAsia" w:ascii="宋体" w:hAnsi="宋体" w:eastAsia="宋体" w:cs="宋体"/>
          <w:color w:val="000000"/>
          <w:kern w:val="0"/>
          <w:sz w:val="24"/>
          <w:szCs w:val="24"/>
          <w:highlight w:val="none"/>
          <w:lang w:val="en-US" w:eastAsia="zh-CN" w:bidi="ar"/>
        </w:rPr>
        <w:t>）与大健康产业集群（</w:t>
      </w:r>
      <w:r>
        <w:rPr>
          <w:rFonts w:hint="default" w:ascii="Times New Roman" w:hAnsi="Times New Roman" w:eastAsia="宋体" w:cs="Times New Roman"/>
          <w:color w:val="000000"/>
          <w:kern w:val="0"/>
          <w:sz w:val="24"/>
          <w:szCs w:val="24"/>
          <w:highlight w:val="none"/>
          <w:lang w:val="en-US" w:eastAsia="zh-CN" w:bidi="ar"/>
        </w:rPr>
        <w:t>C27</w:t>
      </w:r>
      <w:r>
        <w:rPr>
          <w:rFonts w:hint="eastAsia" w:ascii="宋体" w:hAnsi="宋体" w:eastAsia="宋体" w:cs="宋体"/>
          <w:color w:val="000000"/>
          <w:kern w:val="0"/>
          <w:sz w:val="24"/>
          <w:szCs w:val="24"/>
          <w:highlight w:val="none"/>
          <w:lang w:val="en-US" w:eastAsia="zh-CN" w:bidi="ar"/>
        </w:rPr>
        <w:t>）。</w:t>
      </w:r>
    </w:p>
    <w:p w14:paraId="1F0D9E7A">
      <w:pPr>
        <w:keepNext w:val="0"/>
        <w:keepLines w:val="0"/>
        <w:widowControl/>
        <w:suppressLineNumbers w:val="0"/>
        <w:jc w:val="left"/>
        <w:rPr>
          <w:highlight w:val="none"/>
        </w:rPr>
      </w:pPr>
      <w:r>
        <w:rPr>
          <w:rFonts w:hint="eastAsia" w:ascii="宋体" w:hAnsi="宋体" w:eastAsia="宋体" w:cs="宋体"/>
          <w:color w:val="000000"/>
          <w:kern w:val="0"/>
          <w:sz w:val="24"/>
          <w:szCs w:val="24"/>
          <w:highlight w:val="none"/>
          <w:lang w:val="en-US" w:eastAsia="zh-CN" w:bidi="ar"/>
        </w:rPr>
        <w:t>新空间东部一区</w:t>
      </w:r>
      <w:r>
        <w:rPr>
          <w:rFonts w:hint="eastAsia" w:ascii="宋体" w:hAnsi="宋体" w:cs="宋体"/>
          <w:color w:val="000000"/>
          <w:kern w:val="0"/>
          <w:sz w:val="24"/>
          <w:szCs w:val="24"/>
          <w:highlight w:val="none"/>
          <w:lang w:val="en-US" w:eastAsia="zh-CN" w:bidi="ar"/>
        </w:rPr>
        <w:t>：</w:t>
      </w:r>
    </w:p>
    <w:p w14:paraId="1DF5A52E">
      <w:pPr>
        <w:keepNext w:val="0"/>
        <w:keepLines w:val="0"/>
        <w:widowControl/>
        <w:suppressLineNumbers w:val="0"/>
        <w:jc w:val="left"/>
        <w:rPr>
          <w:highlight w:val="none"/>
        </w:rPr>
      </w:pPr>
      <w:r>
        <w:rPr>
          <w:rFonts w:hint="eastAsia" w:ascii="宋体" w:hAnsi="宋体" w:eastAsia="宋体" w:cs="宋体"/>
          <w:color w:val="000000"/>
          <w:kern w:val="0"/>
          <w:sz w:val="24"/>
          <w:szCs w:val="24"/>
          <w:highlight w:val="none"/>
          <w:lang w:val="en-US" w:eastAsia="zh-CN" w:bidi="ar"/>
        </w:rPr>
        <w:t>①规划面积：</w:t>
      </w:r>
      <w:r>
        <w:rPr>
          <w:rFonts w:hint="default" w:ascii="Times New Roman" w:hAnsi="Times New Roman" w:eastAsia="宋体" w:cs="Times New Roman"/>
          <w:color w:val="000000"/>
          <w:kern w:val="0"/>
          <w:sz w:val="24"/>
          <w:szCs w:val="24"/>
          <w:highlight w:val="none"/>
          <w:lang w:val="en-US" w:eastAsia="zh-CN" w:bidi="ar"/>
        </w:rPr>
        <w:t>3km</w:t>
      </w:r>
      <w:r>
        <w:rPr>
          <w:rFonts w:hint="eastAsia" w:ascii="Times New Roman" w:hAnsi="Times New Roman" w:eastAsia="宋体" w:cs="Times New Roman"/>
          <w:color w:val="000000"/>
          <w:kern w:val="0"/>
          <w:sz w:val="24"/>
          <w:szCs w:val="24"/>
          <w:highlight w:val="none"/>
          <w:vertAlign w:val="superscript"/>
          <w:lang w:val="en-US" w:eastAsia="zh-CN" w:bidi="ar"/>
        </w:rPr>
        <w:t>2</w:t>
      </w:r>
      <w:r>
        <w:rPr>
          <w:rFonts w:hint="eastAsia" w:ascii="宋体" w:hAnsi="宋体" w:eastAsia="宋体" w:cs="宋体"/>
          <w:color w:val="000000"/>
          <w:kern w:val="0"/>
          <w:sz w:val="24"/>
          <w:szCs w:val="24"/>
          <w:highlight w:val="none"/>
          <w:lang w:val="en-US" w:eastAsia="zh-CN" w:bidi="ar"/>
        </w:rPr>
        <w:t>。</w:t>
      </w:r>
    </w:p>
    <w:p w14:paraId="648B3B91">
      <w:pPr>
        <w:keepNext w:val="0"/>
        <w:keepLines w:val="0"/>
        <w:widowControl/>
        <w:suppressLineNumbers w:val="0"/>
        <w:jc w:val="left"/>
        <w:rPr>
          <w:highlight w:val="none"/>
        </w:rPr>
      </w:pPr>
      <w:r>
        <w:rPr>
          <w:rFonts w:hint="eastAsia" w:ascii="宋体" w:hAnsi="宋体" w:eastAsia="宋体" w:cs="宋体"/>
          <w:color w:val="000000"/>
          <w:kern w:val="0"/>
          <w:sz w:val="24"/>
          <w:szCs w:val="24"/>
          <w:highlight w:val="none"/>
          <w:lang w:val="en-US" w:eastAsia="zh-CN" w:bidi="ar"/>
        </w:rPr>
        <w:t>②规划范围</w:t>
      </w:r>
    </w:p>
    <w:p w14:paraId="0FB0EADB">
      <w:pPr>
        <w:keepNext w:val="0"/>
        <w:keepLines w:val="0"/>
        <w:widowControl/>
        <w:suppressLineNumbers w:val="0"/>
        <w:jc w:val="left"/>
        <w:rPr>
          <w:highlight w:val="none"/>
        </w:rPr>
      </w:pPr>
      <w:r>
        <w:rPr>
          <w:rFonts w:hint="eastAsia" w:ascii="宋体" w:hAnsi="宋体" w:eastAsia="宋体" w:cs="宋体"/>
          <w:color w:val="000000"/>
          <w:kern w:val="0"/>
          <w:sz w:val="24"/>
          <w:szCs w:val="24"/>
          <w:highlight w:val="none"/>
          <w:lang w:val="en-US" w:eastAsia="zh-CN" w:bidi="ar"/>
        </w:rPr>
        <w:t>东至规划路，南至规划路，西至彩虹路，北至松花路的部分区域。</w:t>
      </w:r>
    </w:p>
    <w:p w14:paraId="472872E2">
      <w:pPr>
        <w:keepNext w:val="0"/>
        <w:keepLines w:val="0"/>
        <w:widowControl/>
        <w:suppressLineNumbers w:val="0"/>
        <w:jc w:val="left"/>
        <w:rPr>
          <w:highlight w:val="none"/>
        </w:rPr>
      </w:pPr>
      <w:r>
        <w:rPr>
          <w:rFonts w:hint="eastAsia" w:ascii="宋体" w:hAnsi="宋体" w:eastAsia="宋体" w:cs="宋体"/>
          <w:color w:val="000000"/>
          <w:kern w:val="0"/>
          <w:sz w:val="24"/>
          <w:szCs w:val="24"/>
          <w:highlight w:val="none"/>
          <w:lang w:val="en-US" w:eastAsia="zh-CN" w:bidi="ar"/>
        </w:rPr>
        <w:t>③产业功能分区</w:t>
      </w:r>
    </w:p>
    <w:p w14:paraId="0F883836">
      <w:pPr>
        <w:keepNext w:val="0"/>
        <w:keepLines w:val="0"/>
        <w:widowControl/>
        <w:suppressLineNumbers w:val="0"/>
        <w:jc w:val="left"/>
        <w:rPr>
          <w:highlight w:val="none"/>
        </w:rPr>
      </w:pPr>
      <w:r>
        <w:rPr>
          <w:rFonts w:hint="eastAsia" w:ascii="宋体" w:hAnsi="宋体" w:eastAsia="宋体" w:cs="宋体"/>
          <w:color w:val="000000"/>
          <w:kern w:val="0"/>
          <w:sz w:val="24"/>
          <w:szCs w:val="24"/>
          <w:highlight w:val="none"/>
          <w:lang w:val="en-US" w:eastAsia="zh-CN" w:bidi="ar"/>
        </w:rPr>
        <w:t>高品质食品（</w:t>
      </w:r>
      <w:r>
        <w:rPr>
          <w:rFonts w:hint="default" w:ascii="Times New Roman" w:hAnsi="Times New Roman" w:eastAsia="宋体" w:cs="Times New Roman"/>
          <w:color w:val="000000"/>
          <w:kern w:val="0"/>
          <w:sz w:val="24"/>
          <w:szCs w:val="24"/>
          <w:highlight w:val="none"/>
          <w:lang w:val="en-US" w:eastAsia="zh-CN" w:bidi="ar"/>
        </w:rPr>
        <w:t>C13</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C14</w:t>
      </w:r>
      <w:r>
        <w:rPr>
          <w:rFonts w:hint="eastAsia" w:ascii="宋体" w:hAnsi="宋体" w:eastAsia="宋体" w:cs="宋体"/>
          <w:color w:val="000000"/>
          <w:kern w:val="0"/>
          <w:sz w:val="24"/>
          <w:szCs w:val="24"/>
          <w:highlight w:val="none"/>
          <w:lang w:val="en-US" w:eastAsia="zh-CN" w:bidi="ar"/>
        </w:rPr>
        <w:t>）与先进制造产业结群（</w:t>
      </w:r>
      <w:r>
        <w:rPr>
          <w:rFonts w:hint="default" w:ascii="Times New Roman" w:hAnsi="Times New Roman" w:eastAsia="宋体" w:cs="Times New Roman"/>
          <w:color w:val="000000"/>
          <w:kern w:val="0"/>
          <w:sz w:val="24"/>
          <w:szCs w:val="24"/>
          <w:highlight w:val="none"/>
          <w:lang w:val="en-US" w:eastAsia="zh-CN" w:bidi="ar"/>
        </w:rPr>
        <w:t>C34</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C35</w:t>
      </w:r>
      <w:r>
        <w:rPr>
          <w:rFonts w:hint="eastAsia" w:ascii="宋体" w:hAnsi="宋体" w:eastAsia="宋体" w:cs="宋体"/>
          <w:color w:val="000000"/>
          <w:kern w:val="0"/>
          <w:sz w:val="24"/>
          <w:szCs w:val="24"/>
          <w:highlight w:val="none"/>
          <w:lang w:val="en-US" w:eastAsia="zh-CN" w:bidi="ar"/>
        </w:rPr>
        <w:t>）、包装产业集群（</w:t>
      </w:r>
      <w:r>
        <w:rPr>
          <w:rFonts w:hint="default" w:ascii="Times New Roman" w:hAnsi="Times New Roman" w:eastAsia="宋体" w:cs="Times New Roman"/>
          <w:color w:val="000000"/>
          <w:kern w:val="0"/>
          <w:sz w:val="24"/>
          <w:szCs w:val="24"/>
          <w:highlight w:val="none"/>
          <w:lang w:val="en-US" w:eastAsia="zh-CN" w:bidi="ar"/>
        </w:rPr>
        <w:t>C22</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C23</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C35</w:t>
      </w:r>
      <w:r>
        <w:rPr>
          <w:rFonts w:hint="eastAsia" w:ascii="宋体" w:hAnsi="宋体" w:eastAsia="宋体" w:cs="宋体"/>
          <w:color w:val="000000"/>
          <w:kern w:val="0"/>
          <w:sz w:val="24"/>
          <w:szCs w:val="24"/>
          <w:highlight w:val="none"/>
          <w:lang w:val="en-US" w:eastAsia="zh-CN" w:bidi="ar"/>
        </w:rPr>
        <w:t>）。</w:t>
      </w:r>
    </w:p>
    <w:p w14:paraId="5812BC60">
      <w:pPr>
        <w:keepNext w:val="0"/>
        <w:keepLines w:val="0"/>
        <w:widowControl/>
        <w:suppressLineNumbers w:val="0"/>
        <w:jc w:val="left"/>
        <w:rPr>
          <w:highlight w:val="none"/>
        </w:rPr>
      </w:pPr>
      <w:r>
        <w:rPr>
          <w:rFonts w:hint="eastAsia" w:ascii="宋体" w:hAnsi="宋体" w:eastAsia="宋体" w:cs="宋体"/>
          <w:color w:val="000000"/>
          <w:kern w:val="0"/>
          <w:sz w:val="24"/>
          <w:szCs w:val="24"/>
          <w:highlight w:val="none"/>
          <w:lang w:val="en-US" w:eastAsia="zh-CN" w:bidi="ar"/>
        </w:rPr>
        <w:t>新空间东部二区</w:t>
      </w:r>
      <w:r>
        <w:rPr>
          <w:rFonts w:hint="eastAsia" w:ascii="宋体" w:hAnsi="宋体" w:cs="宋体"/>
          <w:color w:val="000000"/>
          <w:kern w:val="0"/>
          <w:sz w:val="24"/>
          <w:szCs w:val="24"/>
          <w:highlight w:val="none"/>
          <w:lang w:val="en-US" w:eastAsia="zh-CN" w:bidi="ar"/>
        </w:rPr>
        <w:t>：</w:t>
      </w:r>
    </w:p>
    <w:p w14:paraId="4D679EC9">
      <w:pPr>
        <w:keepNext w:val="0"/>
        <w:keepLines w:val="0"/>
        <w:widowControl/>
        <w:suppressLineNumbers w:val="0"/>
        <w:jc w:val="left"/>
        <w:rPr>
          <w:highlight w:val="none"/>
        </w:rPr>
      </w:pPr>
      <w:r>
        <w:rPr>
          <w:rFonts w:hint="eastAsia" w:ascii="宋体" w:hAnsi="宋体" w:eastAsia="宋体" w:cs="宋体"/>
          <w:color w:val="000000"/>
          <w:kern w:val="0"/>
          <w:sz w:val="24"/>
          <w:szCs w:val="24"/>
          <w:highlight w:val="none"/>
          <w:lang w:val="en-US" w:eastAsia="zh-CN" w:bidi="ar"/>
        </w:rPr>
        <w:t>①规划面积：</w:t>
      </w:r>
      <w:r>
        <w:rPr>
          <w:rFonts w:hint="default" w:ascii="Times New Roman" w:hAnsi="Times New Roman" w:eastAsia="宋体" w:cs="Times New Roman"/>
          <w:color w:val="000000"/>
          <w:kern w:val="0"/>
          <w:sz w:val="24"/>
          <w:szCs w:val="24"/>
          <w:highlight w:val="none"/>
          <w:lang w:val="en-US" w:eastAsia="zh-CN" w:bidi="ar"/>
        </w:rPr>
        <w:t>5.2km</w:t>
      </w:r>
      <w:r>
        <w:rPr>
          <w:rFonts w:hint="eastAsia" w:ascii="Times New Roman" w:hAnsi="Times New Roman" w:eastAsia="宋体" w:cs="Times New Roman"/>
          <w:color w:val="000000"/>
          <w:kern w:val="0"/>
          <w:sz w:val="24"/>
          <w:szCs w:val="24"/>
          <w:highlight w:val="none"/>
          <w:vertAlign w:val="superscript"/>
          <w:lang w:val="en-US" w:eastAsia="zh-CN" w:bidi="ar"/>
        </w:rPr>
        <w:t>2</w:t>
      </w:r>
      <w:r>
        <w:rPr>
          <w:rFonts w:hint="eastAsia" w:ascii="宋体" w:hAnsi="宋体" w:eastAsia="宋体" w:cs="宋体"/>
          <w:color w:val="000000"/>
          <w:kern w:val="0"/>
          <w:sz w:val="24"/>
          <w:szCs w:val="24"/>
          <w:highlight w:val="none"/>
          <w:lang w:val="en-US" w:eastAsia="zh-CN" w:bidi="ar"/>
        </w:rPr>
        <w:t>。</w:t>
      </w:r>
    </w:p>
    <w:p w14:paraId="6A25DB43">
      <w:pPr>
        <w:keepNext w:val="0"/>
        <w:keepLines w:val="0"/>
        <w:widowControl/>
        <w:suppressLineNumbers w:val="0"/>
        <w:jc w:val="left"/>
        <w:rPr>
          <w:highlight w:val="none"/>
        </w:rPr>
      </w:pPr>
      <w:r>
        <w:rPr>
          <w:rFonts w:hint="eastAsia" w:ascii="宋体" w:hAnsi="宋体" w:eastAsia="宋体" w:cs="宋体"/>
          <w:color w:val="000000"/>
          <w:kern w:val="0"/>
          <w:sz w:val="24"/>
          <w:szCs w:val="24"/>
          <w:highlight w:val="none"/>
          <w:lang w:val="en-US" w:eastAsia="zh-CN" w:bidi="ar"/>
        </w:rPr>
        <w:t>②规划范围</w:t>
      </w:r>
    </w:p>
    <w:p w14:paraId="1950D7C8">
      <w:pPr>
        <w:keepNext w:val="0"/>
        <w:keepLines w:val="0"/>
        <w:widowControl/>
        <w:suppressLineNumbers w:val="0"/>
        <w:jc w:val="left"/>
        <w:rPr>
          <w:highlight w:val="none"/>
        </w:rPr>
      </w:pPr>
      <w:r>
        <w:rPr>
          <w:rFonts w:hint="eastAsia" w:ascii="宋体" w:hAnsi="宋体" w:eastAsia="宋体" w:cs="宋体"/>
          <w:color w:val="000000"/>
          <w:kern w:val="0"/>
          <w:sz w:val="24"/>
          <w:szCs w:val="24"/>
          <w:highlight w:val="none"/>
          <w:lang w:val="en-US" w:eastAsia="zh-CN" w:bidi="ar"/>
        </w:rPr>
        <w:t>东至雨润路，南至春晖路、哈啤路，西至哈五路，北至江南中环路的部分区域。</w:t>
      </w:r>
    </w:p>
    <w:p w14:paraId="5052092A">
      <w:pPr>
        <w:keepNext w:val="0"/>
        <w:keepLines w:val="0"/>
        <w:widowControl/>
        <w:suppressLineNumbers w:val="0"/>
        <w:jc w:val="left"/>
        <w:rPr>
          <w:highlight w:val="none"/>
        </w:rPr>
      </w:pPr>
      <w:r>
        <w:rPr>
          <w:rFonts w:hint="eastAsia" w:ascii="宋体" w:hAnsi="宋体" w:eastAsia="宋体" w:cs="宋体"/>
          <w:color w:val="000000"/>
          <w:kern w:val="0"/>
          <w:sz w:val="24"/>
          <w:szCs w:val="24"/>
          <w:highlight w:val="none"/>
          <w:lang w:val="en-US" w:eastAsia="zh-CN" w:bidi="ar"/>
        </w:rPr>
        <w:t>③产业功能分区</w:t>
      </w:r>
    </w:p>
    <w:p w14:paraId="7CAE5BC7">
      <w:pPr>
        <w:keepNext w:val="0"/>
        <w:keepLines w:val="0"/>
        <w:widowControl/>
        <w:suppressLineNumbers w:val="0"/>
        <w:jc w:val="left"/>
        <w:rPr>
          <w:highlight w:val="none"/>
        </w:rPr>
      </w:pPr>
      <w:r>
        <w:rPr>
          <w:rFonts w:hint="eastAsia" w:ascii="宋体" w:hAnsi="宋体" w:eastAsia="宋体" w:cs="宋体"/>
          <w:color w:val="000000"/>
          <w:kern w:val="0"/>
          <w:sz w:val="24"/>
          <w:szCs w:val="24"/>
          <w:highlight w:val="none"/>
          <w:lang w:val="en-US" w:eastAsia="zh-CN" w:bidi="ar"/>
        </w:rPr>
        <w:t>生物经济与先进制造产业集群（</w:t>
      </w:r>
      <w:r>
        <w:rPr>
          <w:rFonts w:hint="default" w:ascii="Times New Roman" w:hAnsi="Times New Roman" w:eastAsia="宋体" w:cs="Times New Roman"/>
          <w:color w:val="000000"/>
          <w:kern w:val="0"/>
          <w:sz w:val="24"/>
          <w:szCs w:val="24"/>
          <w:highlight w:val="none"/>
          <w:lang w:val="en-US" w:eastAsia="zh-CN" w:bidi="ar"/>
        </w:rPr>
        <w:t>C13</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C14</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C15</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C33</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C34</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C35</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C36</w:t>
      </w:r>
      <w:r>
        <w:rPr>
          <w:rFonts w:hint="eastAsia" w:ascii="Times New Roman" w:hAnsi="Times New Roman" w:eastAsia="宋体" w:cs="Times New Roman"/>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C27</w:t>
      </w:r>
      <w:r>
        <w:rPr>
          <w:rFonts w:hint="eastAsia" w:ascii="宋体" w:hAnsi="宋体" w:eastAsia="宋体" w:cs="宋体"/>
          <w:color w:val="000000"/>
          <w:kern w:val="0"/>
          <w:sz w:val="24"/>
          <w:szCs w:val="24"/>
          <w:highlight w:val="none"/>
          <w:lang w:val="en-US" w:eastAsia="zh-CN" w:bidi="ar"/>
        </w:rPr>
        <w:t>）。</w:t>
      </w:r>
    </w:p>
    <w:p w14:paraId="783455EA">
      <w:pPr>
        <w:keepNext w:val="0"/>
        <w:keepLines w:val="0"/>
        <w:widowControl/>
        <w:suppressLineNumbers w:val="0"/>
        <w:jc w:val="left"/>
        <w:rPr>
          <w:highlight w:val="none"/>
        </w:rPr>
      </w:pPr>
      <w:r>
        <w:rPr>
          <w:rFonts w:hint="eastAsia" w:ascii="宋体" w:hAnsi="宋体" w:eastAsia="宋体" w:cs="宋体"/>
          <w:color w:val="000000"/>
          <w:kern w:val="0"/>
          <w:sz w:val="24"/>
          <w:szCs w:val="24"/>
          <w:highlight w:val="none"/>
          <w:lang w:val="en-US" w:eastAsia="zh-CN" w:bidi="ar"/>
        </w:rPr>
        <w:t>新空间南部区</w:t>
      </w:r>
      <w:r>
        <w:rPr>
          <w:rFonts w:hint="eastAsia" w:ascii="宋体" w:hAnsi="宋体" w:cs="宋体"/>
          <w:color w:val="000000"/>
          <w:kern w:val="0"/>
          <w:sz w:val="24"/>
          <w:szCs w:val="24"/>
          <w:highlight w:val="none"/>
          <w:lang w:val="en-US" w:eastAsia="zh-CN" w:bidi="ar"/>
        </w:rPr>
        <w:t>：</w:t>
      </w:r>
    </w:p>
    <w:p w14:paraId="5BE61DD7">
      <w:pPr>
        <w:keepNext w:val="0"/>
        <w:keepLines w:val="0"/>
        <w:widowControl/>
        <w:suppressLineNumbers w:val="0"/>
        <w:jc w:val="left"/>
        <w:rPr>
          <w:highlight w:val="none"/>
        </w:rPr>
      </w:pPr>
      <w:r>
        <w:rPr>
          <w:rFonts w:hint="eastAsia" w:ascii="宋体" w:hAnsi="宋体" w:eastAsia="宋体" w:cs="宋体"/>
          <w:color w:val="000000"/>
          <w:kern w:val="0"/>
          <w:sz w:val="24"/>
          <w:szCs w:val="24"/>
          <w:highlight w:val="none"/>
          <w:lang w:val="en-US" w:eastAsia="zh-CN" w:bidi="ar"/>
        </w:rPr>
        <w:t>①规划面积为：</w:t>
      </w:r>
      <w:r>
        <w:rPr>
          <w:rFonts w:hint="default" w:ascii="Times New Roman" w:hAnsi="Times New Roman" w:eastAsia="宋体" w:cs="Times New Roman"/>
          <w:color w:val="000000"/>
          <w:kern w:val="0"/>
          <w:sz w:val="24"/>
          <w:szCs w:val="24"/>
          <w:highlight w:val="none"/>
          <w:lang w:val="en-US" w:eastAsia="zh-CN" w:bidi="ar"/>
        </w:rPr>
        <w:t>32km</w:t>
      </w:r>
      <w:r>
        <w:rPr>
          <w:rFonts w:hint="eastAsia" w:ascii="Times New Roman" w:hAnsi="Times New Roman" w:eastAsia="宋体" w:cs="Times New Roman"/>
          <w:color w:val="000000"/>
          <w:kern w:val="0"/>
          <w:sz w:val="24"/>
          <w:szCs w:val="24"/>
          <w:highlight w:val="none"/>
          <w:vertAlign w:val="superscript"/>
          <w:lang w:val="en-US" w:eastAsia="zh-CN" w:bidi="ar"/>
        </w:rPr>
        <w:t>2</w:t>
      </w:r>
      <w:r>
        <w:rPr>
          <w:rFonts w:hint="eastAsia" w:ascii="宋体" w:hAnsi="宋体" w:eastAsia="宋体" w:cs="宋体"/>
          <w:color w:val="000000"/>
          <w:kern w:val="0"/>
          <w:sz w:val="24"/>
          <w:szCs w:val="24"/>
          <w:highlight w:val="none"/>
          <w:lang w:val="en-US" w:eastAsia="zh-CN" w:bidi="ar"/>
        </w:rPr>
        <w:t>。</w:t>
      </w:r>
    </w:p>
    <w:p w14:paraId="4E6D455B">
      <w:pPr>
        <w:keepNext w:val="0"/>
        <w:keepLines w:val="0"/>
        <w:widowControl/>
        <w:suppressLineNumbers w:val="0"/>
        <w:jc w:val="left"/>
        <w:rPr>
          <w:highlight w:val="none"/>
        </w:rPr>
      </w:pPr>
      <w:r>
        <w:rPr>
          <w:rFonts w:hint="eastAsia" w:ascii="宋体" w:hAnsi="宋体" w:eastAsia="宋体" w:cs="宋体"/>
          <w:color w:val="000000"/>
          <w:kern w:val="0"/>
          <w:sz w:val="24"/>
          <w:szCs w:val="24"/>
          <w:highlight w:val="none"/>
          <w:lang w:val="en-US" w:eastAsia="zh-CN" w:bidi="ar"/>
        </w:rPr>
        <w:t>②规划范围</w:t>
      </w:r>
    </w:p>
    <w:p w14:paraId="0B6B608F">
      <w:pPr>
        <w:keepNext w:val="0"/>
        <w:keepLines w:val="0"/>
        <w:widowControl/>
        <w:suppressLineNumbers w:val="0"/>
        <w:jc w:val="left"/>
        <w:rPr>
          <w:highlight w:val="none"/>
        </w:rPr>
      </w:pPr>
      <w:r>
        <w:rPr>
          <w:rFonts w:hint="eastAsia" w:ascii="宋体" w:hAnsi="宋体" w:eastAsia="宋体" w:cs="宋体"/>
          <w:color w:val="000000"/>
          <w:kern w:val="0"/>
          <w:sz w:val="24"/>
          <w:szCs w:val="24"/>
          <w:highlight w:val="none"/>
          <w:lang w:val="en-US" w:eastAsia="zh-CN" w:bidi="ar"/>
        </w:rPr>
        <w:t>东至拉滨铁路，南至哈南十六大道，西至京哈高速公路，北至何家沟、滨河大道，谷丰东街，哈南第二大道。</w:t>
      </w:r>
    </w:p>
    <w:p w14:paraId="129743AF">
      <w:pPr>
        <w:keepNext w:val="0"/>
        <w:keepLines w:val="0"/>
        <w:widowControl/>
        <w:suppressLineNumbers w:val="0"/>
        <w:jc w:val="left"/>
        <w:rPr>
          <w:highlight w:val="none"/>
        </w:rPr>
      </w:pPr>
      <w:r>
        <w:rPr>
          <w:rFonts w:hint="eastAsia" w:ascii="宋体" w:hAnsi="宋体" w:eastAsia="宋体" w:cs="宋体"/>
          <w:color w:val="000000"/>
          <w:kern w:val="0"/>
          <w:sz w:val="24"/>
          <w:szCs w:val="24"/>
          <w:highlight w:val="none"/>
          <w:lang w:val="en-US" w:eastAsia="zh-CN" w:bidi="ar"/>
        </w:rPr>
        <w:t>③产业功能分区</w:t>
      </w:r>
    </w:p>
    <w:p w14:paraId="37E7C542">
      <w:pPr>
        <w:keepNext w:val="0"/>
        <w:keepLines w:val="0"/>
        <w:widowControl/>
        <w:suppressLineNumbers w:val="0"/>
        <w:jc w:val="left"/>
        <w:rPr>
          <w:highlight w:val="none"/>
        </w:rPr>
      </w:pPr>
      <w:r>
        <w:rPr>
          <w:rFonts w:hint="eastAsia" w:ascii="宋体" w:hAnsi="宋体" w:eastAsia="宋体" w:cs="宋体"/>
          <w:color w:val="000000"/>
          <w:kern w:val="0"/>
          <w:sz w:val="24"/>
          <w:szCs w:val="24"/>
          <w:highlight w:val="none"/>
          <w:lang w:val="en-US" w:eastAsia="zh-CN" w:bidi="ar"/>
        </w:rPr>
        <w:t>先进制造与物流产业园区（</w:t>
      </w:r>
      <w:r>
        <w:rPr>
          <w:rFonts w:hint="default" w:ascii="Times New Roman" w:hAnsi="Times New Roman" w:eastAsia="宋体" w:cs="Times New Roman"/>
          <w:color w:val="000000"/>
          <w:kern w:val="0"/>
          <w:sz w:val="24"/>
          <w:szCs w:val="24"/>
          <w:highlight w:val="none"/>
          <w:lang w:val="en-US" w:eastAsia="zh-CN" w:bidi="ar"/>
        </w:rPr>
        <w:t>C33</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C34</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C35</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C36</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G59</w:t>
      </w:r>
      <w:r>
        <w:rPr>
          <w:rFonts w:hint="eastAsia" w:ascii="宋体" w:hAnsi="宋体" w:eastAsia="宋体" w:cs="宋体"/>
          <w:color w:val="000000"/>
          <w:kern w:val="0"/>
          <w:sz w:val="24"/>
          <w:szCs w:val="24"/>
          <w:highlight w:val="none"/>
          <w:lang w:val="en-US" w:eastAsia="zh-CN" w:bidi="ar"/>
        </w:rPr>
        <w:t>）、现代产业集群（</w:t>
      </w:r>
      <w:r>
        <w:rPr>
          <w:rFonts w:hint="default" w:ascii="Times New Roman" w:hAnsi="Times New Roman" w:eastAsia="宋体" w:cs="Times New Roman"/>
          <w:color w:val="000000"/>
          <w:kern w:val="0"/>
          <w:sz w:val="24"/>
          <w:szCs w:val="24"/>
          <w:highlight w:val="none"/>
          <w:lang w:val="en-US" w:eastAsia="zh-CN" w:bidi="ar"/>
        </w:rPr>
        <w:t>P83</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O80</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N77</w:t>
      </w:r>
      <w:r>
        <w:rPr>
          <w:rFonts w:hint="eastAsia" w:ascii="宋体" w:hAnsi="宋体" w:eastAsia="宋体" w:cs="宋体"/>
          <w:color w:val="000000"/>
          <w:kern w:val="0"/>
          <w:sz w:val="24"/>
          <w:szCs w:val="24"/>
          <w:highlight w:val="none"/>
          <w:lang w:val="en-US" w:eastAsia="zh-CN" w:bidi="ar"/>
        </w:rPr>
        <w:t>）、产城融合综合服务产业集群（</w:t>
      </w:r>
      <w:r>
        <w:rPr>
          <w:rFonts w:hint="default" w:ascii="Times New Roman" w:hAnsi="Times New Roman" w:eastAsia="宋体" w:cs="Times New Roman"/>
          <w:color w:val="000000"/>
          <w:kern w:val="0"/>
          <w:sz w:val="24"/>
          <w:szCs w:val="24"/>
          <w:highlight w:val="none"/>
          <w:lang w:val="en-US" w:eastAsia="zh-CN" w:bidi="ar"/>
        </w:rPr>
        <w:t>Q84</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E47</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F51</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G60</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H61</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M73</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J66</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R86</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P83</w:t>
      </w:r>
      <w:r>
        <w:rPr>
          <w:rFonts w:hint="eastAsia" w:ascii="宋体" w:hAnsi="宋体" w:eastAsia="宋体" w:cs="宋体"/>
          <w:color w:val="000000"/>
          <w:kern w:val="0"/>
          <w:sz w:val="24"/>
          <w:szCs w:val="24"/>
          <w:highlight w:val="none"/>
          <w:lang w:val="en-US" w:eastAsia="zh-CN" w:bidi="ar"/>
        </w:rPr>
        <w:t>）、数字经济与先进制造产业集群（</w:t>
      </w:r>
      <w:r>
        <w:rPr>
          <w:rFonts w:hint="default" w:ascii="Times New Roman" w:hAnsi="Times New Roman" w:eastAsia="宋体" w:cs="Times New Roman"/>
          <w:color w:val="000000"/>
          <w:kern w:val="0"/>
          <w:sz w:val="24"/>
          <w:szCs w:val="24"/>
          <w:highlight w:val="none"/>
          <w:lang w:val="en-US" w:eastAsia="zh-CN" w:bidi="ar"/>
        </w:rPr>
        <w:t>I63</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I64</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I65</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C33</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C34</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C35</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C36</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C37</w:t>
      </w:r>
      <w:r>
        <w:rPr>
          <w:rFonts w:hint="eastAsia" w:ascii="宋体" w:hAnsi="宋体" w:eastAsia="宋体" w:cs="宋体"/>
          <w:color w:val="000000"/>
          <w:kern w:val="0"/>
          <w:sz w:val="24"/>
          <w:szCs w:val="24"/>
          <w:highlight w:val="none"/>
          <w:lang w:val="en-US" w:eastAsia="zh-CN" w:bidi="ar"/>
        </w:rPr>
        <w:t>）。</w:t>
      </w:r>
    </w:p>
    <w:p w14:paraId="00DADAD1">
      <w:pPr>
        <w:keepNext w:val="0"/>
        <w:keepLines w:val="0"/>
        <w:widowControl/>
        <w:suppressLineNumbers w:val="0"/>
        <w:jc w:val="left"/>
        <w:rPr>
          <w:highlight w:val="none"/>
        </w:rPr>
      </w:pPr>
      <w:r>
        <w:rPr>
          <w:rFonts w:hint="eastAsia" w:ascii="宋体" w:hAnsi="宋体" w:eastAsia="宋体" w:cs="宋体"/>
          <w:color w:val="000000"/>
          <w:kern w:val="0"/>
          <w:sz w:val="24"/>
          <w:szCs w:val="24"/>
          <w:highlight w:val="none"/>
          <w:lang w:val="en-US" w:eastAsia="zh-CN" w:bidi="ar"/>
        </w:rPr>
        <w:t>本项目位于哈尔滨市平房区威海路西侧，哈尔滨东安汽车发动机制造有限公司现有厂区内，根据《哈尔滨经济技术开发区总体规划（</w:t>
      </w:r>
      <w:r>
        <w:rPr>
          <w:rFonts w:hint="default" w:ascii="Times New Roman" w:hAnsi="Times New Roman" w:eastAsia="宋体" w:cs="Times New Roman"/>
          <w:color w:val="000000"/>
          <w:kern w:val="0"/>
          <w:sz w:val="24"/>
          <w:szCs w:val="24"/>
          <w:highlight w:val="none"/>
          <w:lang w:val="en-US" w:eastAsia="zh-CN" w:bidi="ar"/>
        </w:rPr>
        <w:t>2021-2035</w:t>
      </w:r>
      <w:r>
        <w:rPr>
          <w:rFonts w:hint="eastAsia" w:ascii="宋体" w:hAnsi="宋体" w:eastAsia="宋体" w:cs="宋体"/>
          <w:color w:val="000000"/>
          <w:kern w:val="0"/>
          <w:sz w:val="24"/>
          <w:szCs w:val="24"/>
          <w:highlight w:val="none"/>
          <w:lang w:val="en-US" w:eastAsia="zh-CN" w:bidi="ar"/>
        </w:rPr>
        <w:t>年）》，属于哈平路工业集中区先进装备制造产业集群。本项目为汽车用发动机制造和汽车零部件制造（</w:t>
      </w:r>
      <w:r>
        <w:rPr>
          <w:rFonts w:hint="default" w:ascii="Times New Roman" w:hAnsi="Times New Roman" w:eastAsia="宋体" w:cs="Times New Roman"/>
          <w:color w:val="000000"/>
          <w:kern w:val="0"/>
          <w:sz w:val="24"/>
          <w:szCs w:val="24"/>
          <w:highlight w:val="none"/>
          <w:lang w:val="en-US" w:eastAsia="zh-CN" w:bidi="ar"/>
        </w:rPr>
        <w:t>C36</w:t>
      </w:r>
      <w:r>
        <w:rPr>
          <w:rFonts w:hint="eastAsia" w:ascii="宋体" w:hAnsi="宋体" w:eastAsia="宋体" w:cs="宋体"/>
          <w:color w:val="000000"/>
          <w:kern w:val="0"/>
          <w:sz w:val="24"/>
          <w:szCs w:val="24"/>
          <w:highlight w:val="none"/>
          <w:lang w:val="en-US" w:eastAsia="zh-CN" w:bidi="ar"/>
        </w:rPr>
        <w:t>）企业，配套试验基地扩建项目，其服务的建设单位主体行业符合哈平路工业集中区产业功能规划。综上所述，本项目符合《哈尔滨经济技术开发区总体规划（</w:t>
      </w:r>
      <w:r>
        <w:rPr>
          <w:rFonts w:hint="default" w:ascii="Times New Roman" w:hAnsi="Times New Roman" w:eastAsia="宋体" w:cs="Times New Roman"/>
          <w:color w:val="000000"/>
          <w:kern w:val="0"/>
          <w:sz w:val="24"/>
          <w:szCs w:val="24"/>
          <w:highlight w:val="none"/>
          <w:lang w:val="en-US" w:eastAsia="zh-CN" w:bidi="ar"/>
        </w:rPr>
        <w:t>2021-2035</w:t>
      </w:r>
      <w:r>
        <w:rPr>
          <w:rFonts w:hint="eastAsia" w:ascii="宋体" w:hAnsi="宋体" w:eastAsia="宋体" w:cs="宋体"/>
          <w:color w:val="000000"/>
          <w:kern w:val="0"/>
          <w:sz w:val="24"/>
          <w:szCs w:val="24"/>
          <w:highlight w:val="none"/>
          <w:lang w:val="en-US" w:eastAsia="zh-CN" w:bidi="ar"/>
        </w:rPr>
        <w:t>年）》中产业功能和空间规划要求。</w:t>
      </w:r>
    </w:p>
    <w:p w14:paraId="0B6A507C">
      <w:pPr>
        <w:bidi w:val="0"/>
        <w:rPr>
          <w:highlight w:val="none"/>
        </w:rPr>
      </w:pPr>
      <w:r>
        <w:rPr>
          <w:rFonts w:hint="eastAsia"/>
          <w:highlight w:val="none"/>
          <w:lang w:val="en-US" w:eastAsia="zh-CN"/>
        </w:rPr>
        <w:t>（2）规划环评符合性分析</w:t>
      </w:r>
    </w:p>
    <w:p w14:paraId="2AC4D23E">
      <w:pPr>
        <w:keepNext w:val="0"/>
        <w:keepLines w:val="0"/>
        <w:widowControl/>
        <w:suppressLineNumbers w:val="0"/>
        <w:jc w:val="left"/>
        <w:rPr>
          <w:rFonts w:hint="default" w:ascii="Times New Roman" w:hAnsi="Times New Roman" w:eastAsia="宋体" w:cs="Times New Roman"/>
          <w:b w:val="0"/>
          <w:color w:val="FF0000"/>
          <w:kern w:val="2"/>
          <w:sz w:val="24"/>
          <w:szCs w:val="24"/>
          <w:highlight w:val="none"/>
          <w:lang w:val="en-US" w:eastAsia="zh-CN" w:bidi="ar-SA"/>
        </w:rPr>
      </w:pPr>
      <w:r>
        <w:rPr>
          <w:rFonts w:hint="eastAsia" w:ascii="宋体" w:hAnsi="宋体" w:eastAsia="宋体" w:cs="宋体"/>
          <w:color w:val="000000"/>
          <w:kern w:val="0"/>
          <w:sz w:val="24"/>
          <w:szCs w:val="24"/>
          <w:highlight w:val="none"/>
          <w:lang w:val="en-US" w:eastAsia="zh-CN" w:bidi="ar"/>
        </w:rPr>
        <w:t>根据《哈尔滨经济技术开发区总体规划（</w:t>
      </w:r>
      <w:r>
        <w:rPr>
          <w:rFonts w:hint="default" w:ascii="Times New Roman" w:hAnsi="Times New Roman" w:eastAsia="宋体" w:cs="Times New Roman"/>
          <w:color w:val="000000"/>
          <w:kern w:val="0"/>
          <w:sz w:val="24"/>
          <w:szCs w:val="24"/>
          <w:highlight w:val="none"/>
          <w:lang w:val="en-US" w:eastAsia="zh-CN" w:bidi="ar"/>
        </w:rPr>
        <w:t>2021-2035</w:t>
      </w:r>
      <w:r>
        <w:rPr>
          <w:rFonts w:hint="eastAsia" w:ascii="宋体" w:hAnsi="宋体" w:eastAsia="宋体" w:cs="宋体"/>
          <w:color w:val="000000"/>
          <w:kern w:val="0"/>
          <w:sz w:val="24"/>
          <w:szCs w:val="24"/>
          <w:highlight w:val="none"/>
          <w:lang w:val="en-US" w:eastAsia="zh-CN" w:bidi="ar"/>
        </w:rPr>
        <w:t>年）环境影响报告书》和《黑龙江省生态环境厅关于&lt;哈尔滨经济技术开发区总体规划（</w:t>
      </w:r>
      <w:r>
        <w:rPr>
          <w:rFonts w:hint="default" w:ascii="Times New Roman" w:hAnsi="Times New Roman" w:eastAsia="宋体" w:cs="Times New Roman"/>
          <w:color w:val="000000"/>
          <w:kern w:val="0"/>
          <w:sz w:val="24"/>
          <w:szCs w:val="24"/>
          <w:highlight w:val="none"/>
          <w:lang w:val="en-US" w:eastAsia="zh-CN" w:bidi="ar"/>
        </w:rPr>
        <w:t>2021-2035</w:t>
      </w:r>
      <w:r>
        <w:rPr>
          <w:rFonts w:hint="eastAsia" w:ascii="宋体" w:hAnsi="宋体" w:eastAsia="宋体" w:cs="宋体"/>
          <w:color w:val="000000"/>
          <w:kern w:val="0"/>
          <w:sz w:val="24"/>
          <w:szCs w:val="24"/>
          <w:highlight w:val="none"/>
          <w:lang w:val="en-US" w:eastAsia="zh-CN" w:bidi="ar"/>
        </w:rPr>
        <w:t>年）环境</w:t>
      </w:r>
      <w:r>
        <w:rPr>
          <w:rFonts w:hint="default" w:ascii="Times New Roman" w:hAnsi="Times New Roman" w:eastAsia="宋体" w:cs="Times New Roman"/>
          <w:color w:val="000000"/>
          <w:kern w:val="0"/>
          <w:sz w:val="24"/>
          <w:szCs w:val="24"/>
          <w:highlight w:val="none"/>
          <w:lang w:val="en-US" w:eastAsia="zh-CN" w:bidi="ar"/>
        </w:rPr>
        <w:t>影响报告书&gt;的审查意见》（黑环函[2024]195号），本项目与其符合性分析详见表1-4-1及表1-4-2</w:t>
      </w:r>
      <w:r>
        <w:rPr>
          <w:rFonts w:hint="default" w:ascii="Times New Roman" w:hAnsi="Times New Roman" w:eastAsia="宋体" w:cs="Times New Roman"/>
          <w:b w:val="0"/>
          <w:color w:val="FF0000"/>
          <w:kern w:val="2"/>
          <w:sz w:val="24"/>
          <w:szCs w:val="24"/>
          <w:highlight w:val="none"/>
          <w:lang w:val="en-US" w:eastAsia="zh-CN" w:bidi="ar-SA"/>
        </w:rPr>
        <w:t>。</w:t>
      </w:r>
    </w:p>
    <w:p w14:paraId="171788A0">
      <w:pPr>
        <w:pStyle w:val="18"/>
        <w:keepNext w:val="0"/>
        <w:keepLines w:val="0"/>
        <w:pageBreakBefore w:val="0"/>
        <w:widowControl w:val="0"/>
        <w:kinsoku/>
        <w:wordWrap w:val="0"/>
        <w:overflowPunct/>
        <w:topLinePunct w:val="0"/>
        <w:autoSpaceDE/>
        <w:autoSpaceDN/>
        <w:bidi w:val="0"/>
        <w:adjustRightInd w:val="0"/>
        <w:snapToGrid w:val="0"/>
        <w:spacing w:after="0" w:line="240" w:lineRule="auto"/>
        <w:ind w:firstLine="0" w:firstLineChars="0"/>
        <w:jc w:val="center"/>
        <w:textAlignment w:val="auto"/>
        <w:rPr>
          <w:rFonts w:hint="eastAsia" w:ascii="Times New Roman" w:hAnsi="Times New Roman" w:eastAsia="宋体" w:cs="Times New Roman"/>
          <w:b/>
          <w:color w:val="000000"/>
          <w:kern w:val="0"/>
          <w:sz w:val="24"/>
          <w:szCs w:val="28"/>
          <w:highlight w:val="none"/>
          <w:lang w:val="en-US" w:eastAsia="zh-CN" w:bidi="ar-SA"/>
        </w:rPr>
      </w:pPr>
      <w:r>
        <w:rPr>
          <w:rFonts w:hint="eastAsia" w:ascii="Times New Roman" w:hAnsi="Times New Roman" w:eastAsia="宋体" w:cs="Times New Roman"/>
          <w:b/>
          <w:color w:val="000000"/>
          <w:kern w:val="0"/>
          <w:sz w:val="24"/>
          <w:szCs w:val="28"/>
          <w:highlight w:val="none"/>
          <w:lang w:val="en-US" w:eastAsia="zh-CN" w:bidi="ar-SA"/>
        </w:rPr>
        <w:t>表1-4-1《哈尔滨经济技术开发区总体规划（</w:t>
      </w:r>
      <w:r>
        <w:rPr>
          <w:rFonts w:hint="default" w:ascii="Times New Roman" w:hAnsi="Times New Roman" w:eastAsia="宋体" w:cs="Times New Roman"/>
          <w:b/>
          <w:color w:val="000000"/>
          <w:kern w:val="0"/>
          <w:sz w:val="24"/>
          <w:szCs w:val="28"/>
          <w:highlight w:val="none"/>
          <w:lang w:val="en-US" w:eastAsia="zh-CN" w:bidi="ar-SA"/>
        </w:rPr>
        <w:t>2021-2035</w:t>
      </w:r>
      <w:r>
        <w:rPr>
          <w:rFonts w:hint="eastAsia" w:ascii="Times New Roman" w:hAnsi="Times New Roman" w:eastAsia="宋体" w:cs="Times New Roman"/>
          <w:b/>
          <w:color w:val="000000"/>
          <w:kern w:val="0"/>
          <w:sz w:val="24"/>
          <w:szCs w:val="28"/>
          <w:highlight w:val="none"/>
          <w:lang w:val="en-US" w:eastAsia="zh-CN" w:bidi="ar-SA"/>
        </w:rPr>
        <w:t>年）环境影响报告书》符合性分析</w:t>
      </w:r>
    </w:p>
    <w:tbl>
      <w:tblPr>
        <w:tblStyle w:val="46"/>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84"/>
        <w:gridCol w:w="4605"/>
        <w:gridCol w:w="2807"/>
        <w:gridCol w:w="426"/>
      </w:tblGrid>
      <w:tr w14:paraId="43B61B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tcBorders>
              <w:tl2br w:val="nil"/>
              <w:tr2bl w:val="nil"/>
            </w:tcBorders>
            <w:vAlign w:val="center"/>
          </w:tcPr>
          <w:p w14:paraId="76FCB8EE">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管控类别</w:t>
            </w:r>
          </w:p>
        </w:tc>
        <w:tc>
          <w:tcPr>
            <w:tcW w:w="4605" w:type="dxa"/>
            <w:tcBorders>
              <w:tl2br w:val="nil"/>
              <w:tr2bl w:val="nil"/>
            </w:tcBorders>
            <w:vAlign w:val="center"/>
          </w:tcPr>
          <w:p w14:paraId="423A21B6">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管控要求</w:t>
            </w:r>
          </w:p>
        </w:tc>
        <w:tc>
          <w:tcPr>
            <w:tcW w:w="2807" w:type="dxa"/>
            <w:tcBorders>
              <w:tl2br w:val="nil"/>
              <w:tr2bl w:val="nil"/>
            </w:tcBorders>
            <w:vAlign w:val="center"/>
          </w:tcPr>
          <w:p w14:paraId="4B42F7D0">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符合性分析</w:t>
            </w:r>
          </w:p>
        </w:tc>
        <w:tc>
          <w:tcPr>
            <w:tcW w:w="426" w:type="dxa"/>
            <w:tcBorders>
              <w:tl2br w:val="nil"/>
              <w:tr2bl w:val="nil"/>
            </w:tcBorders>
            <w:vAlign w:val="center"/>
          </w:tcPr>
          <w:p w14:paraId="6B86CEE7">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符合性</w:t>
            </w:r>
          </w:p>
        </w:tc>
      </w:tr>
      <w:tr w14:paraId="4C25FD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restart"/>
            <w:tcBorders>
              <w:tl2br w:val="nil"/>
              <w:tr2bl w:val="nil"/>
            </w:tcBorders>
            <w:vAlign w:val="center"/>
          </w:tcPr>
          <w:p w14:paraId="301AD2D7">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资源节约利用措施</w:t>
            </w:r>
          </w:p>
        </w:tc>
        <w:tc>
          <w:tcPr>
            <w:tcW w:w="4605" w:type="dxa"/>
            <w:tcBorders>
              <w:tl2br w:val="nil"/>
              <w:tr2bl w:val="nil"/>
            </w:tcBorders>
            <w:vAlign w:val="center"/>
          </w:tcPr>
          <w:p w14:paraId="79975396">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严格执行规划区内用煤量替代，实行等量或减量替代</w:t>
            </w:r>
          </w:p>
        </w:tc>
        <w:tc>
          <w:tcPr>
            <w:tcW w:w="2807" w:type="dxa"/>
            <w:vMerge w:val="restart"/>
            <w:tcBorders>
              <w:tl2br w:val="nil"/>
              <w:tr2bl w:val="nil"/>
            </w:tcBorders>
            <w:vAlign w:val="center"/>
          </w:tcPr>
          <w:p w14:paraId="19B26C34">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本项目改造后生产线的用水量较原生产线用水量无变化，项目用电由市政供电管网供给，不使用燃料</w:t>
            </w:r>
          </w:p>
        </w:tc>
        <w:tc>
          <w:tcPr>
            <w:tcW w:w="426" w:type="dxa"/>
            <w:vMerge w:val="restart"/>
            <w:tcBorders>
              <w:tl2br w:val="nil"/>
              <w:tr2bl w:val="nil"/>
            </w:tcBorders>
            <w:vAlign w:val="center"/>
          </w:tcPr>
          <w:p w14:paraId="74F6EAAC">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符合</w:t>
            </w:r>
          </w:p>
        </w:tc>
      </w:tr>
      <w:tr w14:paraId="61D1D0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vAlign w:val="center"/>
          </w:tcPr>
          <w:p w14:paraId="3CBC50EA">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605" w:type="dxa"/>
            <w:tcBorders>
              <w:tl2br w:val="nil"/>
              <w:tr2bl w:val="nil"/>
            </w:tcBorders>
            <w:vAlign w:val="center"/>
          </w:tcPr>
          <w:p w14:paraId="1AE31420">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积极推进规划区内主要企业煤改气、煤改电工程</w:t>
            </w:r>
          </w:p>
        </w:tc>
        <w:tc>
          <w:tcPr>
            <w:tcW w:w="2807" w:type="dxa"/>
            <w:vMerge w:val="continue"/>
            <w:tcBorders>
              <w:tl2br w:val="nil"/>
              <w:tr2bl w:val="nil"/>
            </w:tcBorders>
            <w:vAlign w:val="center"/>
          </w:tcPr>
          <w:p w14:paraId="20A17D38">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26" w:type="dxa"/>
            <w:vMerge w:val="continue"/>
            <w:tcBorders>
              <w:tl2br w:val="nil"/>
              <w:tr2bl w:val="nil"/>
            </w:tcBorders>
            <w:vAlign w:val="center"/>
          </w:tcPr>
          <w:p w14:paraId="5C3DCAB5">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r>
      <w:tr w14:paraId="4E7FD3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vAlign w:val="center"/>
          </w:tcPr>
          <w:p w14:paraId="1E070D07">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605" w:type="dxa"/>
            <w:tcBorders>
              <w:tl2br w:val="nil"/>
              <w:tr2bl w:val="nil"/>
            </w:tcBorders>
            <w:vAlign w:val="center"/>
          </w:tcPr>
          <w:p w14:paraId="1E24757B">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积极推进规划区内企业开展清洁生产审核，促进企业节能减耗，绿色转型发展</w:t>
            </w:r>
          </w:p>
        </w:tc>
        <w:tc>
          <w:tcPr>
            <w:tcW w:w="2807" w:type="dxa"/>
            <w:vMerge w:val="continue"/>
            <w:tcBorders>
              <w:tl2br w:val="nil"/>
              <w:tr2bl w:val="nil"/>
            </w:tcBorders>
            <w:vAlign w:val="center"/>
          </w:tcPr>
          <w:p w14:paraId="3E62868C">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26" w:type="dxa"/>
            <w:vMerge w:val="continue"/>
            <w:tcBorders>
              <w:tl2br w:val="nil"/>
              <w:tr2bl w:val="nil"/>
            </w:tcBorders>
            <w:vAlign w:val="center"/>
          </w:tcPr>
          <w:p w14:paraId="48B70CB0">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r>
      <w:tr w14:paraId="16D9F9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vAlign w:val="center"/>
          </w:tcPr>
          <w:p w14:paraId="5EA699D3">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605" w:type="dxa"/>
            <w:tcBorders>
              <w:tl2br w:val="nil"/>
              <w:tr2bl w:val="nil"/>
            </w:tcBorders>
            <w:vAlign w:val="center"/>
          </w:tcPr>
          <w:p w14:paraId="17787336">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积极推进企业节水节能，鼓励中水回用</w:t>
            </w:r>
          </w:p>
        </w:tc>
        <w:tc>
          <w:tcPr>
            <w:tcW w:w="2807" w:type="dxa"/>
            <w:vMerge w:val="continue"/>
            <w:tcBorders>
              <w:tl2br w:val="nil"/>
              <w:tr2bl w:val="nil"/>
            </w:tcBorders>
            <w:vAlign w:val="center"/>
          </w:tcPr>
          <w:p w14:paraId="4CC13437">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26" w:type="dxa"/>
            <w:vMerge w:val="continue"/>
            <w:tcBorders>
              <w:tl2br w:val="nil"/>
              <w:tr2bl w:val="nil"/>
            </w:tcBorders>
            <w:vAlign w:val="center"/>
          </w:tcPr>
          <w:p w14:paraId="22DA2659">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r>
      <w:tr w14:paraId="3EB9E0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vAlign w:val="center"/>
          </w:tcPr>
          <w:p w14:paraId="1ECB8DF8">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605" w:type="dxa"/>
            <w:tcBorders>
              <w:tl2br w:val="nil"/>
              <w:tr2bl w:val="nil"/>
            </w:tcBorders>
            <w:vAlign w:val="center"/>
          </w:tcPr>
          <w:p w14:paraId="0751A367">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入驻企业应满足国家相关能耗要求，达到国家先进标准</w:t>
            </w:r>
          </w:p>
        </w:tc>
        <w:tc>
          <w:tcPr>
            <w:tcW w:w="2807" w:type="dxa"/>
            <w:vMerge w:val="continue"/>
            <w:tcBorders>
              <w:tl2br w:val="nil"/>
              <w:tr2bl w:val="nil"/>
            </w:tcBorders>
            <w:vAlign w:val="center"/>
          </w:tcPr>
          <w:p w14:paraId="474E670C">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26" w:type="dxa"/>
            <w:vMerge w:val="continue"/>
            <w:tcBorders>
              <w:tl2br w:val="nil"/>
              <w:tr2bl w:val="nil"/>
            </w:tcBorders>
            <w:vAlign w:val="center"/>
          </w:tcPr>
          <w:p w14:paraId="07688918">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r>
      <w:tr w14:paraId="32FEBD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restart"/>
            <w:tcBorders>
              <w:tl2br w:val="nil"/>
              <w:tr2bl w:val="nil"/>
            </w:tcBorders>
            <w:shd w:val="clear" w:color="auto" w:fill="auto"/>
            <w:vAlign w:val="center"/>
          </w:tcPr>
          <w:p w14:paraId="63B94A80">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碳减排措施</w:t>
            </w:r>
          </w:p>
        </w:tc>
        <w:tc>
          <w:tcPr>
            <w:tcW w:w="4605" w:type="dxa"/>
            <w:tcBorders>
              <w:tl2br w:val="nil"/>
              <w:tr2bl w:val="nil"/>
            </w:tcBorders>
            <w:shd w:val="clear" w:color="auto" w:fill="auto"/>
            <w:vAlign w:val="center"/>
          </w:tcPr>
          <w:p w14:paraId="0FD498C3">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节电管理，包括电力系统进行功率因素补偿；加强用电设备的维修工作；照明光源改造</w:t>
            </w:r>
          </w:p>
        </w:tc>
        <w:tc>
          <w:tcPr>
            <w:tcW w:w="2807" w:type="dxa"/>
            <w:vMerge w:val="restart"/>
            <w:tcBorders>
              <w:tl2br w:val="nil"/>
              <w:tr2bl w:val="nil"/>
            </w:tcBorders>
            <w:vAlign w:val="center"/>
          </w:tcPr>
          <w:p w14:paraId="26A700F8">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本项目改造后生产线的用水量较原生产线用水量无变化，不新增生活用水，供水管网定期检测漏损，项目用电由市政供电管网供给，不使用燃料</w:t>
            </w:r>
          </w:p>
        </w:tc>
        <w:tc>
          <w:tcPr>
            <w:tcW w:w="426" w:type="dxa"/>
            <w:vMerge w:val="restart"/>
            <w:tcBorders>
              <w:tl2br w:val="nil"/>
              <w:tr2bl w:val="nil"/>
            </w:tcBorders>
            <w:vAlign w:val="center"/>
          </w:tcPr>
          <w:p w14:paraId="21A53A04">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符合</w:t>
            </w:r>
          </w:p>
        </w:tc>
      </w:tr>
      <w:tr w14:paraId="74FF2F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vAlign w:val="center"/>
          </w:tcPr>
          <w:p w14:paraId="2D6F20FE">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605" w:type="dxa"/>
            <w:tcBorders>
              <w:tl2br w:val="nil"/>
              <w:tr2bl w:val="nil"/>
            </w:tcBorders>
            <w:shd w:val="clear" w:color="auto" w:fill="auto"/>
            <w:vAlign w:val="center"/>
          </w:tcPr>
          <w:p w14:paraId="44D1F165">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节约水资源措施,包括使用节水龙头，供水管网定期检测漏损；各单位水表以内供水管网的漏损应定期检测；改变饮用水方式</w:t>
            </w:r>
          </w:p>
        </w:tc>
        <w:tc>
          <w:tcPr>
            <w:tcW w:w="2807" w:type="dxa"/>
            <w:vMerge w:val="continue"/>
            <w:tcBorders>
              <w:tl2br w:val="nil"/>
              <w:tr2bl w:val="nil"/>
            </w:tcBorders>
            <w:vAlign w:val="center"/>
          </w:tcPr>
          <w:p w14:paraId="1BB37C0B">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26" w:type="dxa"/>
            <w:vMerge w:val="continue"/>
            <w:tcBorders>
              <w:tl2br w:val="nil"/>
              <w:tr2bl w:val="nil"/>
            </w:tcBorders>
            <w:vAlign w:val="center"/>
          </w:tcPr>
          <w:p w14:paraId="2FAD485D">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r>
      <w:tr w14:paraId="017AAA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vAlign w:val="center"/>
          </w:tcPr>
          <w:p w14:paraId="79EA7B10">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605" w:type="dxa"/>
            <w:tcBorders>
              <w:tl2br w:val="nil"/>
              <w:tr2bl w:val="nil"/>
            </w:tcBorders>
            <w:shd w:val="clear" w:color="auto" w:fill="auto"/>
            <w:vAlign w:val="center"/>
          </w:tcPr>
          <w:p w14:paraId="6A54BA76">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en-US"/>
              </w:rPr>
            </w:pPr>
            <w:r>
              <w:rPr>
                <w:rFonts w:hint="default" w:ascii="Times New Roman" w:hAnsi="Times New Roman" w:cs="Times New Roman"/>
                <w:sz w:val="21"/>
                <w:szCs w:val="21"/>
                <w:highlight w:val="none"/>
                <w:vertAlign w:val="baseline"/>
                <w:lang w:val="en-US" w:eastAsia="zh-CN"/>
              </w:rPr>
              <w:t>入驻园区企业涉碳排放能耗大于5000吨标准煤的项目需进行碳排放影响评价，并逐年报送企业碳排放报告</w:t>
            </w:r>
          </w:p>
        </w:tc>
        <w:tc>
          <w:tcPr>
            <w:tcW w:w="2807" w:type="dxa"/>
            <w:vMerge w:val="continue"/>
            <w:tcBorders>
              <w:tl2br w:val="nil"/>
              <w:tr2bl w:val="nil"/>
            </w:tcBorders>
            <w:vAlign w:val="center"/>
          </w:tcPr>
          <w:p w14:paraId="2E06A838">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26" w:type="dxa"/>
            <w:vMerge w:val="continue"/>
            <w:tcBorders>
              <w:tl2br w:val="nil"/>
              <w:tr2bl w:val="nil"/>
            </w:tcBorders>
            <w:vAlign w:val="center"/>
          </w:tcPr>
          <w:p w14:paraId="374CF7FE">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r>
      <w:tr w14:paraId="0A9B20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vAlign w:val="center"/>
          </w:tcPr>
          <w:p w14:paraId="5E41F843">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605" w:type="dxa"/>
            <w:tcBorders>
              <w:tl2br w:val="nil"/>
              <w:tr2bl w:val="nil"/>
            </w:tcBorders>
            <w:shd w:val="clear" w:color="auto" w:fill="auto"/>
            <w:vAlign w:val="center"/>
          </w:tcPr>
          <w:p w14:paraId="011337EA">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en-US"/>
              </w:rPr>
            </w:pPr>
            <w:r>
              <w:rPr>
                <w:rFonts w:hint="default" w:ascii="Times New Roman" w:hAnsi="Times New Roman" w:cs="Times New Roman"/>
                <w:sz w:val="21"/>
                <w:szCs w:val="21"/>
                <w:highlight w:val="none"/>
                <w:vertAlign w:val="baseline"/>
                <w:lang w:val="en-US" w:eastAsia="zh-CN"/>
              </w:rPr>
              <w:t>现阶段黑龙江省碳达峰规划、行业达峰规划暂未发布，相关规划发布后，规划区碳排放管理相关要求从其规定执行</w:t>
            </w:r>
          </w:p>
        </w:tc>
        <w:tc>
          <w:tcPr>
            <w:tcW w:w="2807" w:type="dxa"/>
            <w:vMerge w:val="continue"/>
            <w:tcBorders>
              <w:tl2br w:val="nil"/>
              <w:tr2bl w:val="nil"/>
            </w:tcBorders>
            <w:vAlign w:val="center"/>
          </w:tcPr>
          <w:p w14:paraId="7BD15A65">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26" w:type="dxa"/>
            <w:vMerge w:val="continue"/>
            <w:tcBorders>
              <w:tl2br w:val="nil"/>
              <w:tr2bl w:val="nil"/>
            </w:tcBorders>
            <w:vAlign w:val="center"/>
          </w:tcPr>
          <w:p w14:paraId="58214A25">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r>
      <w:tr w14:paraId="0AFB0F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restart"/>
            <w:tcBorders>
              <w:tl2br w:val="nil"/>
              <w:tr2bl w:val="nil"/>
            </w:tcBorders>
            <w:shd w:val="clear" w:color="auto" w:fill="auto"/>
            <w:vAlign w:val="center"/>
          </w:tcPr>
          <w:p w14:paraId="495108EC">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大气环境</w:t>
            </w:r>
          </w:p>
          <w:p w14:paraId="376A9D9A">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污染防治</w:t>
            </w:r>
          </w:p>
          <w:p w14:paraId="0CE79E8D">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措施</w:t>
            </w:r>
          </w:p>
        </w:tc>
        <w:tc>
          <w:tcPr>
            <w:tcW w:w="4605" w:type="dxa"/>
            <w:tcBorders>
              <w:tl2br w:val="nil"/>
              <w:tr2bl w:val="nil"/>
            </w:tcBorders>
            <w:shd w:val="clear" w:color="auto" w:fill="auto"/>
            <w:vAlign w:val="center"/>
          </w:tcPr>
          <w:p w14:paraId="080A9E11">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en-US"/>
              </w:rPr>
            </w:pPr>
            <w:r>
              <w:rPr>
                <w:rFonts w:hint="default" w:ascii="Times New Roman" w:hAnsi="Times New Roman" w:cs="Times New Roman"/>
                <w:sz w:val="21"/>
                <w:szCs w:val="21"/>
                <w:highlight w:val="none"/>
                <w:vertAlign w:val="baseline"/>
                <w:lang w:val="en-US" w:eastAsia="zh-CN"/>
              </w:rPr>
              <w:t>落实天然气、电力等清洁能源的基础设施建设，保障园区清洁的能源结构，入园企业应全部以天然气或电能为能源，禁止以煤炭、油为能源的项目入园；积极推进集中供热热源改造与扩建工程</w:t>
            </w:r>
          </w:p>
        </w:tc>
        <w:tc>
          <w:tcPr>
            <w:tcW w:w="2807" w:type="dxa"/>
            <w:vMerge w:val="restart"/>
            <w:tcBorders>
              <w:tl2br w:val="nil"/>
              <w:tr2bl w:val="nil"/>
            </w:tcBorders>
            <w:vAlign w:val="center"/>
          </w:tcPr>
          <w:p w14:paraId="25AEB544">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机械加工工序设置2套油雾净化装置，产生的油雾废气分别经油雾净化装置处理后，经集气罩收集，由2根新建23m排气筒排放；装热试验间及装配区域产生的尾气采用三元催化器进行处理，后由1根新建23m排气筒排放；含油金属屑加工产生的油雾、挥发性有机物（以非甲烷总烃计）、颗粒物及臭气浓度通过油雾净化装置+活性炭吸附装置处理后由1根新建23m排气筒排放</w:t>
            </w:r>
          </w:p>
        </w:tc>
        <w:tc>
          <w:tcPr>
            <w:tcW w:w="426" w:type="dxa"/>
            <w:vMerge w:val="restart"/>
            <w:tcBorders>
              <w:tl2br w:val="nil"/>
              <w:tr2bl w:val="nil"/>
            </w:tcBorders>
            <w:vAlign w:val="center"/>
          </w:tcPr>
          <w:p w14:paraId="6CBE4CCD">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符合</w:t>
            </w:r>
          </w:p>
        </w:tc>
      </w:tr>
      <w:tr w14:paraId="06E2D9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vAlign w:val="center"/>
          </w:tcPr>
          <w:p w14:paraId="39BCFB5B">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605" w:type="dxa"/>
            <w:tcBorders>
              <w:tl2br w:val="nil"/>
              <w:tr2bl w:val="nil"/>
            </w:tcBorders>
            <w:shd w:val="clear" w:color="auto" w:fill="auto"/>
            <w:vAlign w:val="center"/>
          </w:tcPr>
          <w:p w14:paraId="37B31E99">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en-US"/>
              </w:rPr>
            </w:pPr>
            <w:r>
              <w:rPr>
                <w:rFonts w:hint="default" w:ascii="Times New Roman" w:hAnsi="Times New Roman" w:cs="Times New Roman"/>
                <w:sz w:val="21"/>
                <w:szCs w:val="21"/>
                <w:highlight w:val="none"/>
                <w:vertAlign w:val="baseline"/>
                <w:lang w:val="en-US" w:eastAsia="zh-CN"/>
              </w:rPr>
              <w:t>严格控制入园工业项目的污染物排放强度，在工业生产中采用清洁生产技术，严格控制含VOCs原料用量，控制VOCs等工艺废气排放，对有工艺废气产生的生产节点，应配备废气收集与净化处理装置，确保工艺废气达标排放。同时，应加强生产工艺研究与技术改进，减少工艺废气的无组织排放</w:t>
            </w:r>
          </w:p>
        </w:tc>
        <w:tc>
          <w:tcPr>
            <w:tcW w:w="2807" w:type="dxa"/>
            <w:vMerge w:val="continue"/>
            <w:tcBorders>
              <w:tl2br w:val="nil"/>
              <w:tr2bl w:val="nil"/>
            </w:tcBorders>
            <w:vAlign w:val="center"/>
          </w:tcPr>
          <w:p w14:paraId="45EDF133">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26" w:type="dxa"/>
            <w:vMerge w:val="continue"/>
            <w:tcBorders>
              <w:tl2br w:val="nil"/>
              <w:tr2bl w:val="nil"/>
            </w:tcBorders>
            <w:vAlign w:val="center"/>
          </w:tcPr>
          <w:p w14:paraId="502952FB">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r>
      <w:tr w14:paraId="0B9D4C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vAlign w:val="center"/>
          </w:tcPr>
          <w:p w14:paraId="30DE67FC">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605" w:type="dxa"/>
            <w:tcBorders>
              <w:tl2br w:val="nil"/>
              <w:tr2bl w:val="nil"/>
            </w:tcBorders>
            <w:shd w:val="clear" w:color="auto" w:fill="auto"/>
            <w:vAlign w:val="center"/>
          </w:tcPr>
          <w:p w14:paraId="1C3FBC4C">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en-US"/>
              </w:rPr>
            </w:pPr>
            <w:r>
              <w:rPr>
                <w:rFonts w:hint="default" w:ascii="Times New Roman" w:hAnsi="Times New Roman" w:cs="Times New Roman"/>
                <w:sz w:val="21"/>
                <w:szCs w:val="21"/>
                <w:highlight w:val="none"/>
                <w:vertAlign w:val="baseline"/>
                <w:lang w:val="en-US" w:eastAsia="zh-CN"/>
              </w:rPr>
              <w:t>严格筛选入园企业类型，以低能耗、轻污染、高效益企业为重点引进对象</w:t>
            </w:r>
          </w:p>
        </w:tc>
        <w:tc>
          <w:tcPr>
            <w:tcW w:w="2807" w:type="dxa"/>
            <w:vMerge w:val="continue"/>
            <w:tcBorders>
              <w:tl2br w:val="nil"/>
              <w:tr2bl w:val="nil"/>
            </w:tcBorders>
            <w:vAlign w:val="center"/>
          </w:tcPr>
          <w:p w14:paraId="397A0105">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26" w:type="dxa"/>
            <w:vMerge w:val="continue"/>
            <w:tcBorders>
              <w:tl2br w:val="nil"/>
              <w:tr2bl w:val="nil"/>
            </w:tcBorders>
            <w:vAlign w:val="center"/>
          </w:tcPr>
          <w:p w14:paraId="21BD0146">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r>
      <w:tr w14:paraId="07AD0B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vAlign w:val="center"/>
          </w:tcPr>
          <w:p w14:paraId="042B9247">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605" w:type="dxa"/>
            <w:tcBorders>
              <w:tl2br w:val="nil"/>
              <w:tr2bl w:val="nil"/>
            </w:tcBorders>
            <w:shd w:val="clear" w:color="auto" w:fill="auto"/>
            <w:vAlign w:val="center"/>
          </w:tcPr>
          <w:p w14:paraId="0A3C8720">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en-US"/>
              </w:rPr>
            </w:pPr>
            <w:r>
              <w:rPr>
                <w:rFonts w:hint="default" w:ascii="Times New Roman" w:hAnsi="Times New Roman" w:cs="Times New Roman"/>
                <w:sz w:val="21"/>
                <w:szCs w:val="21"/>
                <w:highlight w:val="none"/>
                <w:vertAlign w:val="baseline"/>
                <w:lang w:val="en-US" w:eastAsia="zh-CN"/>
              </w:rPr>
              <w:t>加强环境监督管理，依法对入园企业生产工艺和环保措施进行“三同时”监督，要求能耗和污染物排放量相对较大的企业安装空气在线自动监控系统，对治理设施进行有效监控。严格落实大气污染物排放总量控制</w:t>
            </w:r>
          </w:p>
        </w:tc>
        <w:tc>
          <w:tcPr>
            <w:tcW w:w="2807" w:type="dxa"/>
            <w:vMerge w:val="continue"/>
            <w:tcBorders>
              <w:tl2br w:val="nil"/>
              <w:tr2bl w:val="nil"/>
            </w:tcBorders>
            <w:vAlign w:val="center"/>
          </w:tcPr>
          <w:p w14:paraId="1DEEC8FA">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26" w:type="dxa"/>
            <w:vMerge w:val="continue"/>
            <w:tcBorders>
              <w:tl2br w:val="nil"/>
              <w:tr2bl w:val="nil"/>
            </w:tcBorders>
            <w:vAlign w:val="center"/>
          </w:tcPr>
          <w:p w14:paraId="34816142">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r>
      <w:tr w14:paraId="0FC1BA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restart"/>
            <w:tcBorders>
              <w:tl2br w:val="nil"/>
              <w:tr2bl w:val="nil"/>
            </w:tcBorders>
            <w:shd w:val="clear" w:color="auto" w:fill="auto"/>
            <w:vAlign w:val="center"/>
          </w:tcPr>
          <w:p w14:paraId="5750DF8D">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地表水环</w:t>
            </w:r>
          </w:p>
          <w:p w14:paraId="541A688E">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境污染防治措施</w:t>
            </w:r>
          </w:p>
        </w:tc>
        <w:tc>
          <w:tcPr>
            <w:tcW w:w="4605" w:type="dxa"/>
            <w:tcBorders>
              <w:tl2br w:val="nil"/>
              <w:tr2bl w:val="nil"/>
            </w:tcBorders>
            <w:shd w:val="clear" w:color="auto" w:fill="auto"/>
            <w:vAlign w:val="center"/>
          </w:tcPr>
          <w:p w14:paraId="0BA693DB">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en-US"/>
              </w:rPr>
            </w:pPr>
            <w:r>
              <w:rPr>
                <w:rFonts w:hint="default" w:ascii="Times New Roman" w:hAnsi="Times New Roman" w:cs="Times New Roman"/>
                <w:sz w:val="21"/>
                <w:szCs w:val="21"/>
                <w:highlight w:val="none"/>
                <w:vertAlign w:val="baseline"/>
                <w:lang w:val="en-US" w:eastAsia="zh-CN"/>
              </w:rPr>
              <w:t>针对开发区水环境特点，提出了点源治理、面源控制等的相关污染控制措施，并遵循清洁生产和循环经济理念提出了中水回用相关措施</w:t>
            </w:r>
          </w:p>
        </w:tc>
        <w:tc>
          <w:tcPr>
            <w:tcW w:w="2807" w:type="dxa"/>
            <w:vMerge w:val="restart"/>
            <w:tcBorders>
              <w:tl2br w:val="nil"/>
              <w:tr2bl w:val="nil"/>
            </w:tcBorders>
            <w:vAlign w:val="center"/>
          </w:tcPr>
          <w:p w14:paraId="3E5BDD01">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本项目不新增生活污水，改造后生产废水量较原废水量无变化，经过厂区4号厂房现有污水处理站处理达标后排入市政管网，进入朝阳污水处理站处理</w:t>
            </w:r>
          </w:p>
        </w:tc>
        <w:tc>
          <w:tcPr>
            <w:tcW w:w="426" w:type="dxa"/>
            <w:vMerge w:val="restart"/>
            <w:tcBorders>
              <w:tl2br w:val="nil"/>
              <w:tr2bl w:val="nil"/>
            </w:tcBorders>
            <w:vAlign w:val="center"/>
          </w:tcPr>
          <w:p w14:paraId="1EA65683">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符合</w:t>
            </w:r>
          </w:p>
        </w:tc>
      </w:tr>
      <w:tr w14:paraId="34D2A5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vAlign w:val="center"/>
          </w:tcPr>
          <w:p w14:paraId="72ABEEE6">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605" w:type="dxa"/>
            <w:tcBorders>
              <w:tl2br w:val="nil"/>
              <w:tr2bl w:val="nil"/>
            </w:tcBorders>
            <w:shd w:val="clear" w:color="auto" w:fill="auto"/>
            <w:vAlign w:val="center"/>
          </w:tcPr>
          <w:p w14:paraId="2A14F83D">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en-US"/>
              </w:rPr>
            </w:pPr>
            <w:r>
              <w:rPr>
                <w:rFonts w:hint="default" w:ascii="Times New Roman" w:hAnsi="Times New Roman" w:cs="Times New Roman"/>
                <w:sz w:val="21"/>
                <w:szCs w:val="21"/>
                <w:highlight w:val="none"/>
                <w:vertAlign w:val="baseline"/>
                <w:lang w:val="en-US" w:eastAsia="zh-CN"/>
              </w:rPr>
              <w:t>对水环境影响较大的项目进入开发区时，应严格执行环境影响评价和“三同时”制度，确保水污染物处理达到要求，并实行排污许可制和总量控制，未建成环保设施的不得试生产，未通过环保验收的不得正式生产</w:t>
            </w:r>
          </w:p>
        </w:tc>
        <w:tc>
          <w:tcPr>
            <w:tcW w:w="2807" w:type="dxa"/>
            <w:vMerge w:val="continue"/>
            <w:tcBorders>
              <w:tl2br w:val="nil"/>
              <w:tr2bl w:val="nil"/>
            </w:tcBorders>
            <w:vAlign w:val="center"/>
          </w:tcPr>
          <w:p w14:paraId="076CAEF4">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26" w:type="dxa"/>
            <w:vMerge w:val="continue"/>
            <w:tcBorders>
              <w:tl2br w:val="nil"/>
              <w:tr2bl w:val="nil"/>
            </w:tcBorders>
            <w:vAlign w:val="center"/>
          </w:tcPr>
          <w:p w14:paraId="64841F64">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r>
      <w:tr w14:paraId="4FA490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restart"/>
            <w:tcBorders>
              <w:tl2br w:val="nil"/>
              <w:tr2bl w:val="nil"/>
            </w:tcBorders>
            <w:shd w:val="clear" w:color="auto" w:fill="auto"/>
            <w:vAlign w:val="center"/>
          </w:tcPr>
          <w:p w14:paraId="3E0B45A9">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p w14:paraId="176DA0EE">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p w14:paraId="387C5DBD">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p w14:paraId="0BBB5C6A">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p w14:paraId="4EAC602B">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p w14:paraId="6CC71CAA">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地下水环</w:t>
            </w:r>
          </w:p>
          <w:p w14:paraId="277984A0">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境污染防治措施</w:t>
            </w:r>
          </w:p>
        </w:tc>
        <w:tc>
          <w:tcPr>
            <w:tcW w:w="4605" w:type="dxa"/>
            <w:tcBorders>
              <w:tl2br w:val="nil"/>
              <w:tr2bl w:val="nil"/>
            </w:tcBorders>
            <w:shd w:val="clear" w:color="auto" w:fill="auto"/>
            <w:vAlign w:val="center"/>
          </w:tcPr>
          <w:p w14:paraId="36634F96">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en-US"/>
              </w:rPr>
            </w:pPr>
            <w:r>
              <w:rPr>
                <w:rFonts w:hint="default" w:ascii="Times New Roman" w:hAnsi="Times New Roman" w:cs="Times New Roman"/>
                <w:sz w:val="21"/>
                <w:szCs w:val="21"/>
                <w:highlight w:val="none"/>
                <w:vertAlign w:val="baseline"/>
                <w:lang w:val="en-US" w:eastAsia="zh-CN"/>
              </w:rPr>
              <w:t>规划主管部门应严格管理，要求入驻企业采用先进、成熟、可靠的工艺技术和清洁的原辅材料，对产生的废物进行合理的回用和治理，尽可能从源头上减少污染物排放</w:t>
            </w:r>
          </w:p>
        </w:tc>
        <w:tc>
          <w:tcPr>
            <w:tcW w:w="2807" w:type="dxa"/>
            <w:vMerge w:val="restart"/>
            <w:tcBorders>
              <w:tl2br w:val="nil"/>
              <w:tr2bl w:val="nil"/>
            </w:tcBorders>
            <w:vAlign w:val="center"/>
          </w:tcPr>
          <w:p w14:paraId="3163BDF4">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本项目采用分区防渗措施，现有2号厂房、4号厂房、危险废物贮存依托的现有危险废物贮存库均已进行相关防渗处理</w:t>
            </w:r>
          </w:p>
        </w:tc>
        <w:tc>
          <w:tcPr>
            <w:tcW w:w="426" w:type="dxa"/>
            <w:vMerge w:val="restart"/>
            <w:tcBorders>
              <w:tl2br w:val="nil"/>
              <w:tr2bl w:val="nil"/>
            </w:tcBorders>
            <w:vAlign w:val="center"/>
          </w:tcPr>
          <w:p w14:paraId="492C2A38">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符合</w:t>
            </w:r>
          </w:p>
        </w:tc>
      </w:tr>
      <w:tr w14:paraId="72B6BA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vAlign w:val="center"/>
          </w:tcPr>
          <w:p w14:paraId="2A5D5C93">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605" w:type="dxa"/>
            <w:tcBorders>
              <w:tl2br w:val="nil"/>
              <w:tr2bl w:val="nil"/>
            </w:tcBorders>
            <w:shd w:val="clear" w:color="auto" w:fill="auto"/>
            <w:vAlign w:val="center"/>
          </w:tcPr>
          <w:p w14:paraId="2A5CBC2A">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en-US"/>
              </w:rPr>
            </w:pPr>
            <w:r>
              <w:rPr>
                <w:rFonts w:hint="default" w:ascii="Times New Roman" w:hAnsi="Times New Roman" w:cs="Times New Roman"/>
                <w:sz w:val="21"/>
                <w:szCs w:val="21"/>
                <w:highlight w:val="none"/>
                <w:vertAlign w:val="baseline"/>
                <w:lang w:val="en-US" w:eastAsia="zh-CN"/>
              </w:rPr>
              <w:t>禁止利用渗坑、渗井、裂隙等排放污水和其它有害废弃物的行为</w:t>
            </w:r>
          </w:p>
        </w:tc>
        <w:tc>
          <w:tcPr>
            <w:tcW w:w="2807" w:type="dxa"/>
            <w:vMerge w:val="continue"/>
            <w:tcBorders>
              <w:tl2br w:val="nil"/>
              <w:tr2bl w:val="nil"/>
            </w:tcBorders>
            <w:vAlign w:val="center"/>
          </w:tcPr>
          <w:p w14:paraId="7A77EEE4">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26" w:type="dxa"/>
            <w:vMerge w:val="continue"/>
            <w:tcBorders>
              <w:tl2br w:val="nil"/>
              <w:tr2bl w:val="nil"/>
            </w:tcBorders>
            <w:vAlign w:val="center"/>
          </w:tcPr>
          <w:p w14:paraId="74FB1789">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r>
      <w:tr w14:paraId="025AFA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vAlign w:val="center"/>
          </w:tcPr>
          <w:p w14:paraId="0A98984A">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605" w:type="dxa"/>
            <w:tcBorders>
              <w:tl2br w:val="nil"/>
              <w:tr2bl w:val="nil"/>
            </w:tcBorders>
            <w:shd w:val="clear" w:color="auto" w:fill="auto"/>
            <w:vAlign w:val="center"/>
          </w:tcPr>
          <w:p w14:paraId="3C06DF22">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en-US"/>
              </w:rPr>
            </w:pPr>
            <w:r>
              <w:rPr>
                <w:rFonts w:hint="default" w:ascii="Times New Roman" w:hAnsi="Times New Roman" w:cs="Times New Roman"/>
                <w:sz w:val="21"/>
                <w:szCs w:val="21"/>
                <w:highlight w:val="none"/>
                <w:vertAlign w:val="baseline"/>
                <w:lang w:val="en-US" w:eastAsia="zh-CN"/>
              </w:rPr>
              <w:t>严格按照国家相关规范要求，对工艺、管道、设备、污水储存及处理构筑物采取相应的措施，以防止和降低污染物的跑、冒、滴、漏，将污染物泄漏的环境风险事故降低到最低程度</w:t>
            </w:r>
          </w:p>
        </w:tc>
        <w:tc>
          <w:tcPr>
            <w:tcW w:w="2807" w:type="dxa"/>
            <w:vMerge w:val="continue"/>
            <w:tcBorders>
              <w:tl2br w:val="nil"/>
              <w:tr2bl w:val="nil"/>
            </w:tcBorders>
            <w:vAlign w:val="center"/>
          </w:tcPr>
          <w:p w14:paraId="39B9FC43">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26" w:type="dxa"/>
            <w:vMerge w:val="continue"/>
            <w:tcBorders>
              <w:tl2br w:val="nil"/>
              <w:tr2bl w:val="nil"/>
            </w:tcBorders>
            <w:vAlign w:val="center"/>
          </w:tcPr>
          <w:p w14:paraId="5546D27E">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r>
      <w:tr w14:paraId="661968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vAlign w:val="center"/>
          </w:tcPr>
          <w:p w14:paraId="4E46603B">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605" w:type="dxa"/>
            <w:tcBorders>
              <w:tl2br w:val="nil"/>
              <w:tr2bl w:val="nil"/>
            </w:tcBorders>
            <w:shd w:val="clear" w:color="auto" w:fill="auto"/>
            <w:vAlign w:val="center"/>
          </w:tcPr>
          <w:p w14:paraId="5D2C0CBE">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en-US"/>
              </w:rPr>
            </w:pPr>
            <w:r>
              <w:rPr>
                <w:rFonts w:hint="default" w:ascii="Times New Roman" w:hAnsi="Times New Roman" w:cs="Times New Roman"/>
                <w:sz w:val="21"/>
                <w:szCs w:val="21"/>
                <w:highlight w:val="none"/>
                <w:vertAlign w:val="baseline"/>
                <w:lang w:val="en-US" w:eastAsia="zh-CN"/>
              </w:rPr>
              <w:t>优化排水系统设计，工艺废水、地面冲洗废水、初期污染雨水等在厂界内收集并经过预处理后通过管线送至污水处理厂处理</w:t>
            </w:r>
          </w:p>
        </w:tc>
        <w:tc>
          <w:tcPr>
            <w:tcW w:w="2807" w:type="dxa"/>
            <w:vMerge w:val="continue"/>
            <w:tcBorders>
              <w:tl2br w:val="nil"/>
              <w:tr2bl w:val="nil"/>
            </w:tcBorders>
            <w:vAlign w:val="center"/>
          </w:tcPr>
          <w:p w14:paraId="3D95561F">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26" w:type="dxa"/>
            <w:vMerge w:val="continue"/>
            <w:tcBorders>
              <w:tl2br w:val="nil"/>
              <w:tr2bl w:val="nil"/>
            </w:tcBorders>
            <w:vAlign w:val="center"/>
          </w:tcPr>
          <w:p w14:paraId="33DF8A30">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r>
      <w:tr w14:paraId="0EB44A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vAlign w:val="center"/>
          </w:tcPr>
          <w:p w14:paraId="16182D35">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605" w:type="dxa"/>
            <w:tcBorders>
              <w:tl2br w:val="nil"/>
              <w:tr2bl w:val="nil"/>
            </w:tcBorders>
            <w:shd w:val="clear" w:color="auto" w:fill="auto"/>
            <w:vAlign w:val="center"/>
          </w:tcPr>
          <w:p w14:paraId="3559D490">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en-US"/>
              </w:rPr>
            </w:pPr>
            <w:r>
              <w:rPr>
                <w:rFonts w:hint="default" w:ascii="Times New Roman" w:hAnsi="Times New Roman" w:cs="Times New Roman"/>
                <w:sz w:val="21"/>
                <w:szCs w:val="21"/>
                <w:highlight w:val="none"/>
                <w:vertAlign w:val="baseline"/>
                <w:lang w:val="en-US" w:eastAsia="zh-CN"/>
              </w:rPr>
              <w:t>管线敷设尽量采用“可视化”原则，即管道尽可能地上敷设，做到污染物“早发现、早处理”，以减少由于埋地管道泄漏而可能造成的地下水污染，主装置生产循环水管道、废水管道和输油管道均沿地上的管廊敷设，只有生活污水、地板冲洗水、雨水等走地下管道</w:t>
            </w:r>
          </w:p>
        </w:tc>
        <w:tc>
          <w:tcPr>
            <w:tcW w:w="2807" w:type="dxa"/>
            <w:vMerge w:val="continue"/>
            <w:tcBorders>
              <w:tl2br w:val="nil"/>
              <w:tr2bl w:val="nil"/>
            </w:tcBorders>
            <w:vAlign w:val="center"/>
          </w:tcPr>
          <w:p w14:paraId="52AD53C8">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26" w:type="dxa"/>
            <w:vMerge w:val="continue"/>
            <w:tcBorders>
              <w:tl2br w:val="nil"/>
              <w:tr2bl w:val="nil"/>
            </w:tcBorders>
            <w:vAlign w:val="center"/>
          </w:tcPr>
          <w:p w14:paraId="1DAAF501">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r>
      <w:tr w14:paraId="2E6FC7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vAlign w:val="center"/>
          </w:tcPr>
          <w:p w14:paraId="2E73E892">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605" w:type="dxa"/>
            <w:tcBorders>
              <w:tl2br w:val="nil"/>
              <w:tr2bl w:val="nil"/>
            </w:tcBorders>
            <w:shd w:val="clear" w:color="auto" w:fill="auto"/>
            <w:vAlign w:val="center"/>
          </w:tcPr>
          <w:p w14:paraId="19F0EBF7">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en-US"/>
              </w:rPr>
            </w:pPr>
            <w:r>
              <w:rPr>
                <w:rFonts w:hint="default" w:ascii="Times New Roman" w:hAnsi="Times New Roman" w:cs="Times New Roman"/>
                <w:sz w:val="21"/>
                <w:szCs w:val="21"/>
                <w:highlight w:val="none"/>
                <w:vertAlign w:val="baseline"/>
                <w:lang w:val="en-US" w:eastAsia="zh-CN"/>
              </w:rPr>
              <w:t>危险废物的贮存应综合考虑《危险废物贮存污染控制标准》（GB18597-2023）的相关规定</w:t>
            </w:r>
          </w:p>
        </w:tc>
        <w:tc>
          <w:tcPr>
            <w:tcW w:w="2807" w:type="dxa"/>
            <w:vMerge w:val="continue"/>
            <w:tcBorders>
              <w:tl2br w:val="nil"/>
              <w:tr2bl w:val="nil"/>
            </w:tcBorders>
            <w:vAlign w:val="center"/>
          </w:tcPr>
          <w:p w14:paraId="73FA6FA7">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26" w:type="dxa"/>
            <w:vMerge w:val="continue"/>
            <w:tcBorders>
              <w:tl2br w:val="nil"/>
              <w:tr2bl w:val="nil"/>
            </w:tcBorders>
            <w:vAlign w:val="center"/>
          </w:tcPr>
          <w:p w14:paraId="69A473CD">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r>
      <w:tr w14:paraId="7C9D4A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restart"/>
            <w:tcBorders>
              <w:tl2br w:val="nil"/>
              <w:tr2bl w:val="nil"/>
            </w:tcBorders>
            <w:shd w:val="clear" w:color="auto" w:fill="auto"/>
            <w:vAlign w:val="center"/>
          </w:tcPr>
          <w:p w14:paraId="31A7791F">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声环境污染防治措施</w:t>
            </w:r>
          </w:p>
        </w:tc>
        <w:tc>
          <w:tcPr>
            <w:tcW w:w="4605" w:type="dxa"/>
            <w:tcBorders>
              <w:tl2br w:val="nil"/>
              <w:tr2bl w:val="nil"/>
            </w:tcBorders>
            <w:shd w:val="clear" w:color="auto" w:fill="auto"/>
            <w:vAlign w:val="center"/>
          </w:tcPr>
          <w:p w14:paraId="4CD65E91">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en-US"/>
              </w:rPr>
            </w:pPr>
            <w:r>
              <w:rPr>
                <w:rFonts w:hint="default" w:ascii="Times New Roman" w:hAnsi="Times New Roman" w:cs="Times New Roman"/>
                <w:sz w:val="21"/>
                <w:szCs w:val="21"/>
                <w:highlight w:val="none"/>
                <w:vertAlign w:val="baseline"/>
                <w:lang w:val="en-US" w:eastAsia="zh-CN"/>
              </w:rPr>
              <w:t>提出了完善道路两侧绿化隔离带，加强道路交通管理等交通噪声综合整治的措施</w:t>
            </w:r>
          </w:p>
        </w:tc>
        <w:tc>
          <w:tcPr>
            <w:tcW w:w="2807" w:type="dxa"/>
            <w:vMerge w:val="restart"/>
            <w:tcBorders>
              <w:tl2br w:val="nil"/>
              <w:tr2bl w:val="nil"/>
            </w:tcBorders>
            <w:vAlign w:val="center"/>
          </w:tcPr>
          <w:p w14:paraId="54A794EC">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本项目产生的噪声满足《工业企业厂界环境噪声排放标准》（GB12348-2008)中3类区标准限值</w:t>
            </w:r>
          </w:p>
        </w:tc>
        <w:tc>
          <w:tcPr>
            <w:tcW w:w="426" w:type="dxa"/>
            <w:vMerge w:val="restart"/>
            <w:tcBorders>
              <w:tl2br w:val="nil"/>
              <w:tr2bl w:val="nil"/>
            </w:tcBorders>
            <w:vAlign w:val="center"/>
          </w:tcPr>
          <w:p w14:paraId="5FA9D668">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符合</w:t>
            </w:r>
          </w:p>
        </w:tc>
      </w:tr>
      <w:tr w14:paraId="6F8F97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vAlign w:val="center"/>
          </w:tcPr>
          <w:p w14:paraId="6EDBB699">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605" w:type="dxa"/>
            <w:tcBorders>
              <w:tl2br w:val="nil"/>
              <w:tr2bl w:val="nil"/>
            </w:tcBorders>
            <w:shd w:val="clear" w:color="auto" w:fill="auto"/>
            <w:vAlign w:val="center"/>
          </w:tcPr>
          <w:p w14:paraId="04F61518">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en-US"/>
              </w:rPr>
            </w:pPr>
            <w:r>
              <w:rPr>
                <w:rFonts w:hint="default" w:ascii="Times New Roman" w:hAnsi="Times New Roman" w:cs="Times New Roman"/>
                <w:sz w:val="21"/>
                <w:szCs w:val="21"/>
                <w:highlight w:val="none"/>
                <w:vertAlign w:val="baseline"/>
                <w:lang w:val="en-US" w:eastAsia="zh-CN"/>
              </w:rPr>
              <w:t>对于工业噪声综合整治，提出了合理布局、控制噪声源、加强管理等措施</w:t>
            </w:r>
          </w:p>
        </w:tc>
        <w:tc>
          <w:tcPr>
            <w:tcW w:w="2807" w:type="dxa"/>
            <w:vMerge w:val="continue"/>
            <w:tcBorders>
              <w:tl2br w:val="nil"/>
              <w:tr2bl w:val="nil"/>
            </w:tcBorders>
            <w:vAlign w:val="center"/>
          </w:tcPr>
          <w:p w14:paraId="116DBAE1">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26" w:type="dxa"/>
            <w:vMerge w:val="continue"/>
            <w:tcBorders>
              <w:tl2br w:val="nil"/>
              <w:tr2bl w:val="nil"/>
            </w:tcBorders>
            <w:vAlign w:val="center"/>
          </w:tcPr>
          <w:p w14:paraId="39234A10">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r>
      <w:tr w14:paraId="529CB0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restart"/>
            <w:tcBorders>
              <w:tl2br w:val="nil"/>
              <w:tr2bl w:val="nil"/>
            </w:tcBorders>
            <w:shd w:val="clear" w:color="auto" w:fill="auto"/>
            <w:vAlign w:val="center"/>
          </w:tcPr>
          <w:p w14:paraId="0E92EDD1">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固体废物</w:t>
            </w:r>
          </w:p>
          <w:p w14:paraId="5D4D82AD">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污染防治</w:t>
            </w:r>
          </w:p>
          <w:p w14:paraId="0333E309">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措施</w:t>
            </w:r>
          </w:p>
        </w:tc>
        <w:tc>
          <w:tcPr>
            <w:tcW w:w="4605" w:type="dxa"/>
            <w:tcBorders>
              <w:tl2br w:val="nil"/>
              <w:tr2bl w:val="nil"/>
            </w:tcBorders>
            <w:shd w:val="clear" w:color="auto" w:fill="auto"/>
            <w:vAlign w:val="center"/>
          </w:tcPr>
          <w:p w14:paraId="473F98A8">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en-US"/>
              </w:rPr>
            </w:pPr>
            <w:r>
              <w:rPr>
                <w:rFonts w:hint="default" w:ascii="Times New Roman" w:hAnsi="Times New Roman" w:cs="Times New Roman"/>
                <w:sz w:val="21"/>
                <w:szCs w:val="21"/>
                <w:highlight w:val="none"/>
                <w:vertAlign w:val="baseline"/>
                <w:lang w:val="en-US" w:eastAsia="zh-CN"/>
              </w:rPr>
              <w:t>大力推行清洁生产，减少工业固体废物产生。建立分类收集系统，生活垃圾交由环卫部门统一处置，危险固废送有资质单位处置</w:t>
            </w:r>
          </w:p>
        </w:tc>
        <w:tc>
          <w:tcPr>
            <w:tcW w:w="2807" w:type="dxa"/>
            <w:vMerge w:val="restart"/>
            <w:tcBorders>
              <w:tl2br w:val="nil"/>
              <w:tr2bl w:val="nil"/>
            </w:tcBorders>
            <w:vAlign w:val="center"/>
          </w:tcPr>
          <w:p w14:paraId="07C083CE">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废机油、废润滑油、废油、含油抹布、废包装桶、废活性炭、废过滤材料及甩干废液经密闭包装后，暂存于现有危废贮存库，定期委托有资质单位清运处理</w:t>
            </w:r>
          </w:p>
        </w:tc>
        <w:tc>
          <w:tcPr>
            <w:tcW w:w="426" w:type="dxa"/>
            <w:vMerge w:val="restart"/>
            <w:tcBorders>
              <w:tl2br w:val="nil"/>
              <w:tr2bl w:val="nil"/>
            </w:tcBorders>
            <w:vAlign w:val="center"/>
          </w:tcPr>
          <w:p w14:paraId="124AC45C">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符合</w:t>
            </w:r>
          </w:p>
        </w:tc>
      </w:tr>
      <w:tr w14:paraId="0DF96E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vAlign w:val="center"/>
          </w:tcPr>
          <w:p w14:paraId="7F04EEC0">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605" w:type="dxa"/>
            <w:tcBorders>
              <w:tl2br w:val="nil"/>
              <w:tr2bl w:val="nil"/>
            </w:tcBorders>
            <w:shd w:val="clear" w:color="auto" w:fill="auto"/>
            <w:vAlign w:val="center"/>
          </w:tcPr>
          <w:p w14:paraId="58DFA4D8">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en-US"/>
              </w:rPr>
            </w:pPr>
            <w:r>
              <w:rPr>
                <w:rFonts w:hint="default" w:ascii="Times New Roman" w:hAnsi="Times New Roman" w:cs="Times New Roman"/>
                <w:sz w:val="21"/>
                <w:szCs w:val="21"/>
                <w:highlight w:val="none"/>
                <w:vertAlign w:val="baseline"/>
                <w:lang w:val="en-US" w:eastAsia="zh-CN"/>
              </w:rPr>
              <w:t>大力发展循环经济，合理开发和充分利用固体废物。加强管理，严格执行台账制度，危废转移联单等制度</w:t>
            </w:r>
          </w:p>
        </w:tc>
        <w:tc>
          <w:tcPr>
            <w:tcW w:w="2807" w:type="dxa"/>
            <w:vMerge w:val="continue"/>
            <w:tcBorders>
              <w:tl2br w:val="nil"/>
              <w:tr2bl w:val="nil"/>
            </w:tcBorders>
            <w:vAlign w:val="center"/>
          </w:tcPr>
          <w:p w14:paraId="46973EEC">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26" w:type="dxa"/>
            <w:vMerge w:val="continue"/>
            <w:tcBorders>
              <w:tl2br w:val="nil"/>
              <w:tr2bl w:val="nil"/>
            </w:tcBorders>
            <w:vAlign w:val="center"/>
          </w:tcPr>
          <w:p w14:paraId="49F9AD13">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r>
      <w:tr w14:paraId="517A22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vAlign w:val="center"/>
          </w:tcPr>
          <w:p w14:paraId="7BECAD2B">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605" w:type="dxa"/>
            <w:tcBorders>
              <w:tl2br w:val="nil"/>
              <w:tr2bl w:val="nil"/>
            </w:tcBorders>
            <w:shd w:val="clear" w:color="auto" w:fill="auto"/>
            <w:vAlign w:val="center"/>
          </w:tcPr>
          <w:p w14:paraId="61EC4EE9">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en-US"/>
              </w:rPr>
            </w:pPr>
            <w:r>
              <w:rPr>
                <w:rFonts w:hint="default" w:ascii="Times New Roman" w:hAnsi="Times New Roman" w:cs="Times New Roman"/>
                <w:sz w:val="21"/>
                <w:szCs w:val="21"/>
                <w:highlight w:val="none"/>
                <w:vertAlign w:val="baseline"/>
                <w:lang w:val="en-US" w:eastAsia="zh-CN"/>
              </w:rPr>
              <w:t>按规范设置垃圾转运站和工业固废暂存库，加强固体废物运输跟踪管理，严禁转嫁污染或造成二次污染</w:t>
            </w:r>
          </w:p>
        </w:tc>
        <w:tc>
          <w:tcPr>
            <w:tcW w:w="2807" w:type="dxa"/>
            <w:vMerge w:val="continue"/>
            <w:tcBorders>
              <w:tl2br w:val="nil"/>
              <w:tr2bl w:val="nil"/>
            </w:tcBorders>
            <w:vAlign w:val="center"/>
          </w:tcPr>
          <w:p w14:paraId="4BDAC5EB">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26" w:type="dxa"/>
            <w:vMerge w:val="continue"/>
            <w:tcBorders>
              <w:tl2br w:val="nil"/>
              <w:tr2bl w:val="nil"/>
            </w:tcBorders>
            <w:vAlign w:val="center"/>
          </w:tcPr>
          <w:p w14:paraId="0C0378BE">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r>
      <w:tr w14:paraId="7D6CFA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restart"/>
            <w:tcBorders>
              <w:tl2br w:val="nil"/>
              <w:tr2bl w:val="nil"/>
            </w:tcBorders>
            <w:shd w:val="clear" w:color="auto" w:fill="auto"/>
            <w:vAlign w:val="center"/>
          </w:tcPr>
          <w:p w14:paraId="42720ECC">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生态环境</w:t>
            </w:r>
          </w:p>
          <w:p w14:paraId="52A99422">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保护措施</w:t>
            </w:r>
          </w:p>
        </w:tc>
        <w:tc>
          <w:tcPr>
            <w:tcW w:w="4605" w:type="dxa"/>
            <w:tcBorders>
              <w:tl2br w:val="nil"/>
              <w:tr2bl w:val="nil"/>
            </w:tcBorders>
            <w:shd w:val="clear" w:color="auto" w:fill="auto"/>
            <w:vAlign w:val="center"/>
          </w:tcPr>
          <w:p w14:paraId="5743E404">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en-US"/>
              </w:rPr>
            </w:pPr>
            <w:r>
              <w:rPr>
                <w:rFonts w:hint="default" w:ascii="Times New Roman" w:hAnsi="Times New Roman" w:cs="Times New Roman"/>
                <w:sz w:val="21"/>
                <w:szCs w:val="21"/>
                <w:highlight w:val="none"/>
                <w:vertAlign w:val="baseline"/>
                <w:lang w:val="en-US" w:eastAsia="zh-CN"/>
              </w:rPr>
              <w:t>规划区内的生态景观应遵循“统一协调、循环渐进、功能多样、经济适用”的原则，将生态环境保护与经济发展有机结合起来</w:t>
            </w:r>
          </w:p>
        </w:tc>
        <w:tc>
          <w:tcPr>
            <w:tcW w:w="2807" w:type="dxa"/>
            <w:vMerge w:val="restart"/>
            <w:tcBorders>
              <w:tl2br w:val="nil"/>
              <w:tr2bl w:val="nil"/>
            </w:tcBorders>
            <w:vAlign w:val="center"/>
          </w:tcPr>
          <w:p w14:paraId="02693D6D">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本项目扩建位于现有厂区已建成厂房内，不涉及土建和占用新土地</w:t>
            </w:r>
          </w:p>
        </w:tc>
        <w:tc>
          <w:tcPr>
            <w:tcW w:w="426" w:type="dxa"/>
            <w:vMerge w:val="restart"/>
            <w:tcBorders>
              <w:tl2br w:val="nil"/>
              <w:tr2bl w:val="nil"/>
            </w:tcBorders>
            <w:vAlign w:val="center"/>
          </w:tcPr>
          <w:p w14:paraId="6C931D86">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符合</w:t>
            </w:r>
          </w:p>
        </w:tc>
      </w:tr>
      <w:tr w14:paraId="658184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vAlign w:val="center"/>
          </w:tcPr>
          <w:p w14:paraId="7DDDE591">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605" w:type="dxa"/>
            <w:tcBorders>
              <w:tl2br w:val="nil"/>
              <w:tr2bl w:val="nil"/>
            </w:tcBorders>
            <w:shd w:val="clear" w:color="auto" w:fill="auto"/>
            <w:vAlign w:val="center"/>
          </w:tcPr>
          <w:p w14:paraId="394CF242">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en-US"/>
              </w:rPr>
            </w:pPr>
            <w:r>
              <w:rPr>
                <w:rFonts w:hint="default" w:ascii="Times New Roman" w:hAnsi="Times New Roman" w:cs="Times New Roman"/>
                <w:sz w:val="21"/>
                <w:szCs w:val="21"/>
                <w:highlight w:val="none"/>
                <w:vertAlign w:val="baseline"/>
                <w:lang w:val="en-US" w:eastAsia="zh-CN"/>
              </w:rPr>
              <w:t>采取切实可行的水土保持措施，防治水土流失</w:t>
            </w:r>
          </w:p>
        </w:tc>
        <w:tc>
          <w:tcPr>
            <w:tcW w:w="2807" w:type="dxa"/>
            <w:vMerge w:val="continue"/>
            <w:tcBorders>
              <w:tl2br w:val="nil"/>
              <w:tr2bl w:val="nil"/>
            </w:tcBorders>
            <w:vAlign w:val="center"/>
          </w:tcPr>
          <w:p w14:paraId="5EA0E409">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26" w:type="dxa"/>
            <w:vMerge w:val="continue"/>
            <w:tcBorders>
              <w:tl2br w:val="nil"/>
              <w:tr2bl w:val="nil"/>
            </w:tcBorders>
            <w:vAlign w:val="center"/>
          </w:tcPr>
          <w:p w14:paraId="1DABD50A">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r>
      <w:tr w14:paraId="2E56FA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vAlign w:val="center"/>
          </w:tcPr>
          <w:p w14:paraId="1969A8D1">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605" w:type="dxa"/>
            <w:tcBorders>
              <w:tl2br w:val="nil"/>
              <w:tr2bl w:val="nil"/>
            </w:tcBorders>
            <w:shd w:val="clear" w:color="auto" w:fill="auto"/>
            <w:vAlign w:val="center"/>
          </w:tcPr>
          <w:p w14:paraId="1080B42F">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en-US"/>
              </w:rPr>
            </w:pPr>
            <w:r>
              <w:rPr>
                <w:rFonts w:hint="default" w:ascii="Times New Roman" w:hAnsi="Times New Roman" w:cs="Times New Roman"/>
                <w:sz w:val="21"/>
                <w:szCs w:val="21"/>
                <w:highlight w:val="none"/>
                <w:vertAlign w:val="baseline"/>
                <w:lang w:val="en-US" w:eastAsia="zh-CN"/>
              </w:rPr>
              <w:t>加强生态管理，建立完善的生态环境保护管理体系，严禁开发园区内保留的防护绿地作为工业用地</w:t>
            </w:r>
          </w:p>
        </w:tc>
        <w:tc>
          <w:tcPr>
            <w:tcW w:w="2807" w:type="dxa"/>
            <w:vMerge w:val="continue"/>
            <w:tcBorders>
              <w:tl2br w:val="nil"/>
              <w:tr2bl w:val="nil"/>
            </w:tcBorders>
            <w:vAlign w:val="center"/>
          </w:tcPr>
          <w:p w14:paraId="4ED582CD">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26" w:type="dxa"/>
            <w:vMerge w:val="continue"/>
            <w:tcBorders>
              <w:tl2br w:val="nil"/>
              <w:tr2bl w:val="nil"/>
            </w:tcBorders>
            <w:vAlign w:val="center"/>
          </w:tcPr>
          <w:p w14:paraId="4078C85F">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r>
      <w:tr w14:paraId="315925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vAlign w:val="center"/>
          </w:tcPr>
          <w:p w14:paraId="37FB0DFC">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605" w:type="dxa"/>
            <w:tcBorders>
              <w:tl2br w:val="nil"/>
              <w:tr2bl w:val="nil"/>
            </w:tcBorders>
            <w:shd w:val="clear" w:color="auto" w:fill="auto"/>
            <w:vAlign w:val="center"/>
          </w:tcPr>
          <w:p w14:paraId="76304E82">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en-US"/>
              </w:rPr>
            </w:pPr>
            <w:r>
              <w:rPr>
                <w:rFonts w:hint="default" w:ascii="Times New Roman" w:hAnsi="Times New Roman" w:cs="Times New Roman"/>
                <w:sz w:val="21"/>
                <w:szCs w:val="21"/>
                <w:highlight w:val="none"/>
                <w:vertAlign w:val="baseline"/>
                <w:lang w:val="en-US" w:eastAsia="zh-CN"/>
              </w:rPr>
              <w:t>在规划区的绿地建设中，尽量选用当地乡土树种，按自然森林系统乔灌草结构进行立体科学配置，尽量提高人工绿地生物多样性程度</w:t>
            </w:r>
          </w:p>
        </w:tc>
        <w:tc>
          <w:tcPr>
            <w:tcW w:w="2807" w:type="dxa"/>
            <w:vMerge w:val="continue"/>
            <w:tcBorders>
              <w:tl2br w:val="nil"/>
              <w:tr2bl w:val="nil"/>
            </w:tcBorders>
            <w:vAlign w:val="center"/>
          </w:tcPr>
          <w:p w14:paraId="22FE2BFA">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26" w:type="dxa"/>
            <w:vMerge w:val="continue"/>
            <w:tcBorders>
              <w:tl2br w:val="nil"/>
              <w:tr2bl w:val="nil"/>
            </w:tcBorders>
            <w:vAlign w:val="center"/>
          </w:tcPr>
          <w:p w14:paraId="3AFE11B5">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r>
      <w:tr w14:paraId="6BB3FA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restart"/>
            <w:tcBorders>
              <w:tl2br w:val="nil"/>
              <w:tr2bl w:val="nil"/>
            </w:tcBorders>
            <w:shd w:val="clear" w:color="auto" w:fill="auto"/>
            <w:vAlign w:val="center"/>
          </w:tcPr>
          <w:p w14:paraId="1EE090A1">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土壤环境</w:t>
            </w:r>
          </w:p>
          <w:p w14:paraId="43115C39">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污染防治</w:t>
            </w:r>
          </w:p>
          <w:p w14:paraId="19A91492">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措施</w:t>
            </w:r>
          </w:p>
        </w:tc>
        <w:tc>
          <w:tcPr>
            <w:tcW w:w="4605" w:type="dxa"/>
            <w:tcBorders>
              <w:tl2br w:val="nil"/>
              <w:tr2bl w:val="nil"/>
            </w:tcBorders>
            <w:shd w:val="clear" w:color="auto" w:fill="auto"/>
            <w:vAlign w:val="center"/>
          </w:tcPr>
          <w:p w14:paraId="20E5F910">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en-US"/>
              </w:rPr>
            </w:pPr>
            <w:r>
              <w:rPr>
                <w:rFonts w:hint="default" w:ascii="Times New Roman" w:hAnsi="Times New Roman" w:cs="Times New Roman"/>
                <w:sz w:val="21"/>
                <w:szCs w:val="21"/>
                <w:highlight w:val="none"/>
                <w:vertAlign w:val="baseline"/>
                <w:lang w:val="en-US" w:eastAsia="zh-CN"/>
              </w:rPr>
              <w:t>规划区系统开展土壤污染调查，建设土壤环境监测网络，促进土壤环境管理信息化</w:t>
            </w:r>
          </w:p>
        </w:tc>
        <w:tc>
          <w:tcPr>
            <w:tcW w:w="2807" w:type="dxa"/>
            <w:vMerge w:val="restart"/>
            <w:tcBorders>
              <w:tl2br w:val="nil"/>
              <w:tr2bl w:val="nil"/>
            </w:tcBorders>
            <w:vAlign w:val="center"/>
          </w:tcPr>
          <w:p w14:paraId="11E96779">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本项目采用分区防渗措施，危险废物贮存依托的现有危险废物贮存库已进行重点防渗处理</w:t>
            </w:r>
          </w:p>
        </w:tc>
        <w:tc>
          <w:tcPr>
            <w:tcW w:w="426" w:type="dxa"/>
            <w:vMerge w:val="restart"/>
            <w:tcBorders>
              <w:tl2br w:val="nil"/>
              <w:tr2bl w:val="nil"/>
            </w:tcBorders>
            <w:vAlign w:val="center"/>
          </w:tcPr>
          <w:p w14:paraId="01F2DA43">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符合</w:t>
            </w:r>
          </w:p>
        </w:tc>
      </w:tr>
      <w:tr w14:paraId="41BE3A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vAlign w:val="center"/>
          </w:tcPr>
          <w:p w14:paraId="0E1163E3">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605" w:type="dxa"/>
            <w:tcBorders>
              <w:tl2br w:val="nil"/>
              <w:tr2bl w:val="nil"/>
            </w:tcBorders>
            <w:shd w:val="clear" w:color="auto" w:fill="auto"/>
            <w:vAlign w:val="center"/>
          </w:tcPr>
          <w:p w14:paraId="13E9F436">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en-US"/>
              </w:rPr>
            </w:pPr>
            <w:r>
              <w:rPr>
                <w:rFonts w:hint="default" w:ascii="Times New Roman" w:hAnsi="Times New Roman" w:cs="Times New Roman"/>
                <w:sz w:val="21"/>
                <w:szCs w:val="21"/>
                <w:highlight w:val="none"/>
                <w:vertAlign w:val="baseline"/>
                <w:lang w:val="en-US" w:eastAsia="zh-CN"/>
              </w:rPr>
              <w:t>推进建设用地用途管理，防范人居环境风险，落实土地利用监管责任</w:t>
            </w:r>
          </w:p>
        </w:tc>
        <w:tc>
          <w:tcPr>
            <w:tcW w:w="2807" w:type="dxa"/>
            <w:vMerge w:val="continue"/>
            <w:tcBorders>
              <w:tl2br w:val="nil"/>
              <w:tr2bl w:val="nil"/>
            </w:tcBorders>
            <w:vAlign w:val="center"/>
          </w:tcPr>
          <w:p w14:paraId="54AB0C6C">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26" w:type="dxa"/>
            <w:vMerge w:val="continue"/>
            <w:tcBorders>
              <w:tl2br w:val="nil"/>
              <w:tr2bl w:val="nil"/>
            </w:tcBorders>
            <w:vAlign w:val="center"/>
          </w:tcPr>
          <w:p w14:paraId="3DACD1D3">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r>
      <w:tr w14:paraId="7D3577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vAlign w:val="center"/>
          </w:tcPr>
          <w:p w14:paraId="2D4D6CE3">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605" w:type="dxa"/>
            <w:tcBorders>
              <w:tl2br w:val="nil"/>
              <w:tr2bl w:val="nil"/>
            </w:tcBorders>
            <w:shd w:val="clear" w:color="auto" w:fill="auto"/>
            <w:vAlign w:val="center"/>
          </w:tcPr>
          <w:p w14:paraId="0CC899F2">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en-US"/>
              </w:rPr>
            </w:pPr>
            <w:r>
              <w:rPr>
                <w:rFonts w:hint="default" w:ascii="Times New Roman" w:hAnsi="Times New Roman" w:cs="Times New Roman"/>
                <w:sz w:val="21"/>
                <w:szCs w:val="21"/>
                <w:highlight w:val="none"/>
                <w:vertAlign w:val="baseline"/>
                <w:lang w:val="en-US" w:eastAsia="zh-CN"/>
              </w:rPr>
              <w:t>加大未污染土壤保护，严控新增土壤污染，严格用地准入</w:t>
            </w:r>
          </w:p>
        </w:tc>
        <w:tc>
          <w:tcPr>
            <w:tcW w:w="2807" w:type="dxa"/>
            <w:vMerge w:val="continue"/>
            <w:tcBorders>
              <w:tl2br w:val="nil"/>
              <w:tr2bl w:val="nil"/>
            </w:tcBorders>
            <w:vAlign w:val="center"/>
          </w:tcPr>
          <w:p w14:paraId="65AAB4BC">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26" w:type="dxa"/>
            <w:vMerge w:val="continue"/>
            <w:tcBorders>
              <w:tl2br w:val="nil"/>
              <w:tr2bl w:val="nil"/>
            </w:tcBorders>
            <w:vAlign w:val="center"/>
          </w:tcPr>
          <w:p w14:paraId="0DC2F618">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r>
      <w:tr w14:paraId="7B1180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vAlign w:val="center"/>
          </w:tcPr>
          <w:p w14:paraId="26C7F9DD">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605" w:type="dxa"/>
            <w:tcBorders>
              <w:tl2br w:val="nil"/>
              <w:tr2bl w:val="nil"/>
            </w:tcBorders>
            <w:shd w:val="clear" w:color="auto" w:fill="auto"/>
            <w:vAlign w:val="center"/>
          </w:tcPr>
          <w:p w14:paraId="0415415F">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en-US"/>
              </w:rPr>
            </w:pPr>
            <w:r>
              <w:rPr>
                <w:rFonts w:hint="default" w:ascii="Times New Roman" w:hAnsi="Times New Roman" w:cs="Times New Roman"/>
                <w:sz w:val="21"/>
                <w:szCs w:val="21"/>
                <w:highlight w:val="none"/>
                <w:vertAlign w:val="baseline"/>
                <w:lang w:val="en-US" w:eastAsia="zh-CN"/>
              </w:rPr>
              <w:t>深化污染源头综合防治，加强工业企业环境监管，加强规划区内现有企业及入驻企业的废气、废水、固体废弃物的管理，严格落实相应处理措施和排放标准，从源头上减少污染物进入土壤环境的途径</w:t>
            </w:r>
          </w:p>
        </w:tc>
        <w:tc>
          <w:tcPr>
            <w:tcW w:w="2807" w:type="dxa"/>
            <w:vMerge w:val="continue"/>
            <w:tcBorders>
              <w:tl2br w:val="nil"/>
              <w:tr2bl w:val="nil"/>
            </w:tcBorders>
            <w:vAlign w:val="center"/>
          </w:tcPr>
          <w:p w14:paraId="4708140F">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26" w:type="dxa"/>
            <w:vMerge w:val="continue"/>
            <w:tcBorders>
              <w:tl2br w:val="nil"/>
              <w:tr2bl w:val="nil"/>
            </w:tcBorders>
            <w:vAlign w:val="center"/>
          </w:tcPr>
          <w:p w14:paraId="46B881E7">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r>
      <w:tr w14:paraId="034A5D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vAlign w:val="center"/>
          </w:tcPr>
          <w:p w14:paraId="64A05A12">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605" w:type="dxa"/>
            <w:tcBorders>
              <w:tl2br w:val="nil"/>
              <w:tr2bl w:val="nil"/>
            </w:tcBorders>
            <w:shd w:val="clear" w:color="auto" w:fill="auto"/>
            <w:vAlign w:val="center"/>
          </w:tcPr>
          <w:p w14:paraId="53936AEC">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按照“谁污染、谁治理”的原则，造成土壤污染的单位或个人要承担治理与修复的主体责任，有序开展治理与修复</w:t>
            </w:r>
          </w:p>
        </w:tc>
        <w:tc>
          <w:tcPr>
            <w:tcW w:w="2807" w:type="dxa"/>
            <w:vMerge w:val="continue"/>
            <w:tcBorders>
              <w:tl2br w:val="nil"/>
              <w:tr2bl w:val="nil"/>
            </w:tcBorders>
            <w:vAlign w:val="center"/>
          </w:tcPr>
          <w:p w14:paraId="03DC3777">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26" w:type="dxa"/>
            <w:vMerge w:val="continue"/>
            <w:tcBorders>
              <w:tl2br w:val="nil"/>
              <w:tr2bl w:val="nil"/>
            </w:tcBorders>
            <w:vAlign w:val="center"/>
          </w:tcPr>
          <w:p w14:paraId="7088FDCC">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r>
      <w:tr w14:paraId="525958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restart"/>
            <w:tcBorders>
              <w:tl2br w:val="nil"/>
              <w:tr2bl w:val="nil"/>
            </w:tcBorders>
            <w:shd w:val="clear" w:color="auto" w:fill="auto"/>
            <w:vAlign w:val="center"/>
          </w:tcPr>
          <w:p w14:paraId="64533EB1">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环境风险</w:t>
            </w:r>
          </w:p>
          <w:p w14:paraId="3B9FFBF1">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防范措施</w:t>
            </w:r>
          </w:p>
        </w:tc>
        <w:tc>
          <w:tcPr>
            <w:tcW w:w="4605" w:type="dxa"/>
            <w:tcBorders>
              <w:tl2br w:val="nil"/>
              <w:tr2bl w:val="nil"/>
            </w:tcBorders>
            <w:shd w:val="clear" w:color="auto" w:fill="auto"/>
            <w:vAlign w:val="center"/>
          </w:tcPr>
          <w:p w14:paraId="7B9D7CE1">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en-US"/>
              </w:rPr>
            </w:pPr>
            <w:r>
              <w:rPr>
                <w:rFonts w:hint="default" w:ascii="Times New Roman" w:hAnsi="Times New Roman" w:cs="Times New Roman"/>
                <w:sz w:val="21"/>
                <w:szCs w:val="21"/>
                <w:highlight w:val="none"/>
                <w:vertAlign w:val="baseline"/>
                <w:lang w:val="en-US" w:eastAsia="zh-CN"/>
              </w:rPr>
              <w:t>以建设项目审批、验收、排污许可证为抓手，从源头严防死守。对环境风险隐患重大的新建项目，结合安全评价的要求，严格进行环境审批</w:t>
            </w:r>
          </w:p>
        </w:tc>
        <w:tc>
          <w:tcPr>
            <w:tcW w:w="2807" w:type="dxa"/>
            <w:vMerge w:val="restart"/>
            <w:tcBorders>
              <w:tl2br w:val="nil"/>
              <w:tr2bl w:val="nil"/>
            </w:tcBorders>
            <w:vAlign w:val="center"/>
          </w:tcPr>
          <w:p w14:paraId="6EED494B">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本项目不涉及重大环境风险隐患，环评已要求建设单位修改现有突发环境事件应急预案</w:t>
            </w:r>
          </w:p>
        </w:tc>
        <w:tc>
          <w:tcPr>
            <w:tcW w:w="426" w:type="dxa"/>
            <w:vMerge w:val="restart"/>
            <w:tcBorders>
              <w:tl2br w:val="nil"/>
              <w:tr2bl w:val="nil"/>
            </w:tcBorders>
            <w:vAlign w:val="center"/>
          </w:tcPr>
          <w:p w14:paraId="76A534FE">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符合</w:t>
            </w:r>
          </w:p>
        </w:tc>
      </w:tr>
      <w:tr w14:paraId="2D169F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vAlign w:val="center"/>
          </w:tcPr>
          <w:p w14:paraId="6E227AE6">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605" w:type="dxa"/>
            <w:tcBorders>
              <w:tl2br w:val="nil"/>
              <w:tr2bl w:val="nil"/>
            </w:tcBorders>
            <w:shd w:val="clear" w:color="auto" w:fill="auto"/>
            <w:vAlign w:val="center"/>
          </w:tcPr>
          <w:p w14:paraId="79D39599">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en-US"/>
              </w:rPr>
            </w:pPr>
            <w:r>
              <w:rPr>
                <w:rFonts w:hint="default" w:ascii="Times New Roman" w:hAnsi="Times New Roman" w:cs="Times New Roman"/>
                <w:sz w:val="21"/>
                <w:szCs w:val="21"/>
                <w:highlight w:val="none"/>
                <w:vertAlign w:val="baseline"/>
                <w:lang w:val="en-US" w:eastAsia="zh-CN"/>
              </w:rPr>
              <w:t>建立环保执法检查、企业自查自纠的多级联动的环境隐患排查体系，进行“一企一档”的整治制度，确保环境安全隐患排查彻底、整治到位</w:t>
            </w:r>
          </w:p>
        </w:tc>
        <w:tc>
          <w:tcPr>
            <w:tcW w:w="2807" w:type="dxa"/>
            <w:vMerge w:val="continue"/>
            <w:tcBorders>
              <w:tl2br w:val="nil"/>
              <w:tr2bl w:val="nil"/>
            </w:tcBorders>
            <w:vAlign w:val="center"/>
          </w:tcPr>
          <w:p w14:paraId="51E9753C">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26" w:type="dxa"/>
            <w:vMerge w:val="continue"/>
            <w:tcBorders>
              <w:tl2br w:val="nil"/>
              <w:tr2bl w:val="nil"/>
            </w:tcBorders>
            <w:vAlign w:val="center"/>
          </w:tcPr>
          <w:p w14:paraId="381D1661">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r>
      <w:tr w14:paraId="5BFCBE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vAlign w:val="center"/>
          </w:tcPr>
          <w:p w14:paraId="1066985C">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605" w:type="dxa"/>
            <w:tcBorders>
              <w:tl2br w:val="nil"/>
              <w:tr2bl w:val="nil"/>
            </w:tcBorders>
            <w:shd w:val="clear" w:color="auto" w:fill="auto"/>
            <w:vAlign w:val="center"/>
          </w:tcPr>
          <w:p w14:paraId="21C87F98">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en-US"/>
              </w:rPr>
            </w:pPr>
            <w:r>
              <w:rPr>
                <w:rFonts w:hint="default" w:ascii="Times New Roman" w:hAnsi="Times New Roman" w:cs="Times New Roman"/>
                <w:sz w:val="21"/>
                <w:szCs w:val="21"/>
                <w:highlight w:val="none"/>
                <w:vertAlign w:val="baseline"/>
                <w:lang w:val="en-US" w:eastAsia="zh-CN"/>
              </w:rPr>
              <w:t>对辖区内现有企业进行环境风险排查，掌握辖区内企业危险化学品使用、贮存和生产情况</w:t>
            </w:r>
          </w:p>
        </w:tc>
        <w:tc>
          <w:tcPr>
            <w:tcW w:w="2807" w:type="dxa"/>
            <w:vMerge w:val="continue"/>
            <w:tcBorders>
              <w:tl2br w:val="nil"/>
              <w:tr2bl w:val="nil"/>
            </w:tcBorders>
            <w:vAlign w:val="center"/>
          </w:tcPr>
          <w:p w14:paraId="3E442CFF">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26" w:type="dxa"/>
            <w:vMerge w:val="continue"/>
            <w:tcBorders>
              <w:tl2br w:val="nil"/>
              <w:tr2bl w:val="nil"/>
            </w:tcBorders>
            <w:vAlign w:val="center"/>
          </w:tcPr>
          <w:p w14:paraId="55C4664F">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r>
      <w:tr w14:paraId="3ADE94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vAlign w:val="center"/>
          </w:tcPr>
          <w:p w14:paraId="5E289E70">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605" w:type="dxa"/>
            <w:tcBorders>
              <w:tl2br w:val="nil"/>
              <w:tr2bl w:val="nil"/>
            </w:tcBorders>
            <w:shd w:val="clear" w:color="auto" w:fill="auto"/>
            <w:vAlign w:val="center"/>
          </w:tcPr>
          <w:p w14:paraId="35C89F0E">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en-US"/>
              </w:rPr>
            </w:pPr>
            <w:r>
              <w:rPr>
                <w:rFonts w:hint="default" w:ascii="Times New Roman" w:hAnsi="Times New Roman" w:cs="Times New Roman"/>
                <w:sz w:val="21"/>
                <w:szCs w:val="21"/>
                <w:highlight w:val="none"/>
                <w:vertAlign w:val="baseline"/>
                <w:lang w:val="en-US" w:eastAsia="zh-CN"/>
              </w:rPr>
              <w:t>规划区、入驻企业制定突发环境事件应急预案，配备应急物资，开展应急演练</w:t>
            </w:r>
          </w:p>
        </w:tc>
        <w:tc>
          <w:tcPr>
            <w:tcW w:w="2807" w:type="dxa"/>
            <w:vMerge w:val="continue"/>
            <w:tcBorders>
              <w:tl2br w:val="nil"/>
              <w:tr2bl w:val="nil"/>
            </w:tcBorders>
            <w:vAlign w:val="center"/>
          </w:tcPr>
          <w:p w14:paraId="516D112D">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c>
          <w:tcPr>
            <w:tcW w:w="426" w:type="dxa"/>
            <w:vMerge w:val="continue"/>
            <w:tcBorders>
              <w:tl2br w:val="nil"/>
              <w:tr2bl w:val="nil"/>
            </w:tcBorders>
            <w:vAlign w:val="center"/>
          </w:tcPr>
          <w:p w14:paraId="185FC314">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p>
        </w:tc>
      </w:tr>
    </w:tbl>
    <w:p w14:paraId="3F0102DC">
      <w:pPr>
        <w:pStyle w:val="4"/>
        <w:bidi w:val="0"/>
        <w:rPr>
          <w:rFonts w:hint="eastAsia"/>
          <w:highlight w:val="none"/>
          <w:lang w:val="en-US" w:eastAsia="zh-CN"/>
        </w:rPr>
      </w:pPr>
      <w:r>
        <w:rPr>
          <w:rFonts w:hint="eastAsia"/>
          <w:highlight w:val="none"/>
          <w:lang w:val="en-US" w:eastAsia="zh-CN"/>
        </w:rPr>
        <w:t>表1-4-2《黑龙江省生态环境厅关于&lt;哈尔滨经济技术开发区总体规划（</w:t>
      </w:r>
      <w:r>
        <w:rPr>
          <w:rFonts w:hint="default"/>
          <w:highlight w:val="none"/>
          <w:lang w:val="en-US" w:eastAsia="zh-CN"/>
        </w:rPr>
        <w:t>2021-2035</w:t>
      </w:r>
      <w:r>
        <w:rPr>
          <w:rFonts w:hint="eastAsia"/>
          <w:highlight w:val="none"/>
          <w:lang w:val="en-US" w:eastAsia="zh-CN"/>
        </w:rPr>
        <w:t>年）环境</w:t>
      </w:r>
      <w:r>
        <w:rPr>
          <w:rFonts w:hint="default"/>
          <w:highlight w:val="none"/>
          <w:lang w:val="en-US" w:eastAsia="zh-CN"/>
        </w:rPr>
        <w:t>影响报告书&gt;的审查意见》（黑环函[2024]195号）</w:t>
      </w:r>
      <w:r>
        <w:rPr>
          <w:rFonts w:hint="eastAsia"/>
          <w:highlight w:val="none"/>
          <w:lang w:val="en-US" w:eastAsia="zh-CN"/>
        </w:rPr>
        <w:t>符合性分析</w:t>
      </w:r>
    </w:p>
    <w:tbl>
      <w:tblPr>
        <w:tblStyle w:val="4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659"/>
        <w:gridCol w:w="3435"/>
        <w:gridCol w:w="428"/>
      </w:tblGrid>
      <w:tr w14:paraId="744423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659" w:type="dxa"/>
            <w:tcBorders>
              <w:tl2br w:val="nil"/>
              <w:tr2bl w:val="nil"/>
            </w:tcBorders>
            <w:vAlign w:val="center"/>
          </w:tcPr>
          <w:p w14:paraId="4305124D">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审查意见</w:t>
            </w:r>
          </w:p>
        </w:tc>
        <w:tc>
          <w:tcPr>
            <w:tcW w:w="3435" w:type="dxa"/>
            <w:tcBorders>
              <w:tl2br w:val="nil"/>
              <w:tr2bl w:val="nil"/>
            </w:tcBorders>
            <w:vAlign w:val="center"/>
          </w:tcPr>
          <w:p w14:paraId="624E1F05">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符合性分析</w:t>
            </w:r>
          </w:p>
        </w:tc>
        <w:tc>
          <w:tcPr>
            <w:tcW w:w="428" w:type="dxa"/>
            <w:tcBorders>
              <w:tl2br w:val="nil"/>
              <w:tr2bl w:val="nil"/>
            </w:tcBorders>
            <w:vAlign w:val="center"/>
          </w:tcPr>
          <w:p w14:paraId="6EF5E399">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符合性</w:t>
            </w:r>
          </w:p>
        </w:tc>
      </w:tr>
      <w:tr w14:paraId="472A7C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659" w:type="dxa"/>
            <w:tcBorders>
              <w:tl2br w:val="nil"/>
              <w:tr2bl w:val="nil"/>
            </w:tcBorders>
            <w:vAlign w:val="center"/>
          </w:tcPr>
          <w:p w14:paraId="6A9AAFE2">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坚持绿色发展和协同发展理念。落实高质量发展、绿色龙江和美丽龙江建设等要求，坚持生态优先、高效集约，以生态环境质量改善为核心，做好与国土空间规划和生态环境分区管控方案的衔接，进一步优化《规划》布局、产业定位和发展规模</w:t>
            </w:r>
          </w:p>
        </w:tc>
        <w:tc>
          <w:tcPr>
            <w:tcW w:w="3435" w:type="dxa"/>
            <w:tcBorders>
              <w:tl2br w:val="nil"/>
              <w:tr2bl w:val="nil"/>
            </w:tcBorders>
            <w:vAlign w:val="center"/>
          </w:tcPr>
          <w:p w14:paraId="5B4088A1">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本项目为汽车发动机制造</w:t>
            </w:r>
            <w:r>
              <w:rPr>
                <w:rFonts w:hint="eastAsia" w:ascii="Times New Roman" w:hAnsi="Times New Roman" w:cs="Times New Roman"/>
                <w:sz w:val="21"/>
                <w:szCs w:val="21"/>
                <w:highlight w:val="none"/>
                <w:vertAlign w:val="baseline"/>
                <w:lang w:val="en-US" w:eastAsia="zh-CN"/>
              </w:rPr>
              <w:t>、危险废物利用</w:t>
            </w:r>
            <w:r>
              <w:rPr>
                <w:rFonts w:hint="default" w:ascii="Times New Roman" w:hAnsi="Times New Roman" w:cs="Times New Roman"/>
                <w:sz w:val="21"/>
                <w:szCs w:val="21"/>
                <w:highlight w:val="none"/>
                <w:vertAlign w:val="baseline"/>
                <w:lang w:val="en-US" w:eastAsia="zh-CN"/>
              </w:rPr>
              <w:t>项目，位于</w:t>
            </w:r>
            <w:r>
              <w:rPr>
                <w:rFonts w:hint="eastAsia" w:ascii="Times New Roman" w:hAnsi="Times New Roman" w:cs="Times New Roman"/>
                <w:sz w:val="21"/>
                <w:szCs w:val="21"/>
                <w:highlight w:val="none"/>
                <w:vertAlign w:val="baseline"/>
                <w:lang w:val="en-US" w:eastAsia="zh-CN"/>
              </w:rPr>
              <w:t>黑龙江省哈尔滨市开发区哈平路集中区征仪南路6号</w:t>
            </w:r>
            <w:r>
              <w:rPr>
                <w:rFonts w:hint="default" w:ascii="Times New Roman" w:hAnsi="Times New Roman" w:cs="Times New Roman"/>
                <w:sz w:val="21"/>
                <w:szCs w:val="21"/>
                <w:highlight w:val="none"/>
                <w:vertAlign w:val="baseline"/>
                <w:lang w:val="en-US" w:eastAsia="zh-CN"/>
              </w:rPr>
              <w:t>，哈尔滨东安汽车发动机制造有限公司</w:t>
            </w:r>
            <w:r>
              <w:rPr>
                <w:rFonts w:hint="eastAsia" w:ascii="Times New Roman" w:hAnsi="Times New Roman" w:cs="Times New Roman"/>
                <w:sz w:val="21"/>
                <w:szCs w:val="21"/>
                <w:highlight w:val="none"/>
                <w:vertAlign w:val="baseline"/>
                <w:lang w:val="en-US" w:eastAsia="zh-CN"/>
              </w:rPr>
              <w:t>院内</w:t>
            </w:r>
            <w:r>
              <w:rPr>
                <w:rFonts w:hint="default" w:ascii="Times New Roman" w:hAnsi="Times New Roman" w:cs="Times New Roman"/>
                <w:sz w:val="21"/>
                <w:szCs w:val="21"/>
                <w:highlight w:val="none"/>
                <w:vertAlign w:val="baseline"/>
                <w:lang w:val="en-US" w:eastAsia="zh-CN"/>
              </w:rPr>
              <w:t>，符合规划布局和定位</w:t>
            </w:r>
          </w:p>
        </w:tc>
        <w:tc>
          <w:tcPr>
            <w:tcW w:w="428" w:type="dxa"/>
            <w:tcBorders>
              <w:tl2br w:val="nil"/>
              <w:tr2bl w:val="nil"/>
            </w:tcBorders>
            <w:vAlign w:val="center"/>
          </w:tcPr>
          <w:p w14:paraId="52F839A6">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符合</w:t>
            </w:r>
          </w:p>
        </w:tc>
      </w:tr>
      <w:tr w14:paraId="0E126A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659" w:type="dxa"/>
            <w:tcBorders>
              <w:tl2br w:val="nil"/>
              <w:tr2bl w:val="nil"/>
            </w:tcBorders>
            <w:shd w:val="clear" w:color="auto" w:fill="auto"/>
            <w:vAlign w:val="center"/>
          </w:tcPr>
          <w:p w14:paraId="06C9AD0D">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en-US"/>
              </w:rPr>
            </w:pPr>
            <w:r>
              <w:rPr>
                <w:rFonts w:hint="default" w:ascii="Times New Roman" w:hAnsi="Times New Roman" w:cs="Times New Roman"/>
                <w:sz w:val="21"/>
                <w:szCs w:val="21"/>
                <w:highlight w:val="none"/>
                <w:vertAlign w:val="baseline"/>
                <w:lang w:val="en-US" w:eastAsia="zh-CN"/>
              </w:rPr>
              <w:t>深化减污降碳协同，推动实现绿色低碳发展。根据国家和地方碳达峰行动方案、应对气候变化“十四五”规划和节能减排工作要求，优化产业、能源、土地利用和交通运输等《规划》内容，促进减污降碳协同增效。按期完成平南热电厂扩建、现有供热集中热源超低排放改造，实现区域能源结构优化</w:t>
            </w:r>
          </w:p>
        </w:tc>
        <w:tc>
          <w:tcPr>
            <w:tcW w:w="3435" w:type="dxa"/>
            <w:tcBorders>
              <w:tl2br w:val="nil"/>
              <w:tr2bl w:val="nil"/>
            </w:tcBorders>
            <w:vAlign w:val="center"/>
          </w:tcPr>
          <w:p w14:paraId="39FED1AF">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本项目冬季采用集中供热，用电由市政供电</w:t>
            </w:r>
            <w:r>
              <w:rPr>
                <w:rFonts w:hint="eastAsia" w:ascii="Times New Roman" w:hAnsi="Times New Roman" w:cs="Times New Roman"/>
                <w:sz w:val="21"/>
                <w:szCs w:val="21"/>
                <w:highlight w:val="none"/>
                <w:vertAlign w:val="baseline"/>
                <w:lang w:val="en-US" w:eastAsia="zh-CN"/>
              </w:rPr>
              <w:t>管</w:t>
            </w:r>
            <w:r>
              <w:rPr>
                <w:rFonts w:hint="default" w:ascii="Times New Roman" w:hAnsi="Times New Roman" w:cs="Times New Roman"/>
                <w:sz w:val="21"/>
                <w:szCs w:val="21"/>
                <w:highlight w:val="none"/>
                <w:vertAlign w:val="baseline"/>
                <w:lang w:val="en-US" w:eastAsia="zh-CN"/>
              </w:rPr>
              <w:t>网供给</w:t>
            </w:r>
          </w:p>
        </w:tc>
        <w:tc>
          <w:tcPr>
            <w:tcW w:w="428" w:type="dxa"/>
            <w:tcBorders>
              <w:tl2br w:val="nil"/>
              <w:tr2bl w:val="nil"/>
            </w:tcBorders>
            <w:vAlign w:val="center"/>
          </w:tcPr>
          <w:p w14:paraId="060D2E13">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符合</w:t>
            </w:r>
          </w:p>
        </w:tc>
      </w:tr>
      <w:tr w14:paraId="594E03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659" w:type="dxa"/>
            <w:tcBorders>
              <w:tl2br w:val="nil"/>
              <w:tr2bl w:val="nil"/>
            </w:tcBorders>
            <w:shd w:val="clear" w:color="auto" w:fill="auto"/>
            <w:vAlign w:val="center"/>
          </w:tcPr>
          <w:p w14:paraId="46C744A8">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en-US"/>
              </w:rPr>
            </w:pPr>
            <w:r>
              <w:rPr>
                <w:rFonts w:hint="default" w:ascii="Times New Roman" w:hAnsi="Times New Roman" w:cs="Times New Roman"/>
                <w:sz w:val="21"/>
                <w:szCs w:val="21"/>
                <w:highlight w:val="none"/>
                <w:vertAlign w:val="baseline"/>
                <w:lang w:val="en-US" w:eastAsia="zh-CN"/>
              </w:rPr>
              <w:t>严格空间管控，优化功能布局和发展规模。优化工业、居住等各类用地的空间分布和产业布局，严格落实工业区与居住区之间的隔离缓冲带设置要求，紧邻居民集中区和学校的区域不宜布局有恶臭污染物、异味、噪声扰民或环境风险大的工业项目，确保产业布局和生态环境保护、人居环境安全相协调。不符合产业定位的企业，应落实《报告书》提出的升级改造、限制发展等措施，并结合产业政策，促进产业提质升级</w:t>
            </w:r>
          </w:p>
        </w:tc>
        <w:tc>
          <w:tcPr>
            <w:tcW w:w="3435" w:type="dxa"/>
            <w:vMerge w:val="restart"/>
            <w:tcBorders>
              <w:tl2br w:val="nil"/>
              <w:tr2bl w:val="nil"/>
            </w:tcBorders>
            <w:vAlign w:val="center"/>
          </w:tcPr>
          <w:p w14:paraId="2F7A0185">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本项目为汽车发动机制造</w:t>
            </w:r>
            <w:r>
              <w:rPr>
                <w:rFonts w:hint="eastAsia" w:ascii="Times New Roman" w:hAnsi="Times New Roman" w:cs="Times New Roman"/>
                <w:sz w:val="21"/>
                <w:szCs w:val="21"/>
                <w:highlight w:val="none"/>
                <w:vertAlign w:val="baseline"/>
                <w:lang w:val="en-US" w:eastAsia="zh-CN"/>
              </w:rPr>
              <w:t>、危险废物利用</w:t>
            </w:r>
            <w:r>
              <w:rPr>
                <w:rFonts w:hint="default" w:ascii="Times New Roman" w:hAnsi="Times New Roman" w:cs="Times New Roman"/>
                <w:sz w:val="21"/>
                <w:szCs w:val="21"/>
                <w:highlight w:val="none"/>
                <w:vertAlign w:val="baseline"/>
                <w:lang w:val="en-US" w:eastAsia="zh-CN"/>
              </w:rPr>
              <w:t>项目，位于</w:t>
            </w:r>
            <w:r>
              <w:rPr>
                <w:rFonts w:hint="eastAsia" w:ascii="Times New Roman" w:hAnsi="Times New Roman" w:cs="Times New Roman"/>
                <w:sz w:val="21"/>
                <w:szCs w:val="21"/>
                <w:highlight w:val="none"/>
                <w:vertAlign w:val="baseline"/>
                <w:lang w:val="en-US" w:eastAsia="zh-CN"/>
              </w:rPr>
              <w:t>黑龙江省哈尔滨市开发区哈平路集中区征仪南路6号</w:t>
            </w:r>
            <w:r>
              <w:rPr>
                <w:rFonts w:hint="default" w:ascii="Times New Roman" w:hAnsi="Times New Roman" w:cs="Times New Roman"/>
                <w:sz w:val="21"/>
                <w:szCs w:val="21"/>
                <w:highlight w:val="none"/>
                <w:vertAlign w:val="baseline"/>
                <w:lang w:val="en-US" w:eastAsia="zh-CN"/>
              </w:rPr>
              <w:t>，哈尔滨东安汽车发动机制造有限公司</w:t>
            </w:r>
            <w:r>
              <w:rPr>
                <w:rFonts w:hint="eastAsia" w:ascii="Times New Roman" w:hAnsi="Times New Roman" w:cs="Times New Roman"/>
                <w:sz w:val="21"/>
                <w:szCs w:val="21"/>
                <w:highlight w:val="none"/>
                <w:vertAlign w:val="baseline"/>
                <w:lang w:val="en-US" w:eastAsia="zh-CN"/>
              </w:rPr>
              <w:t>院内</w:t>
            </w:r>
            <w:r>
              <w:rPr>
                <w:rFonts w:hint="default" w:ascii="Times New Roman" w:hAnsi="Times New Roman" w:cs="Times New Roman"/>
                <w:sz w:val="21"/>
                <w:szCs w:val="21"/>
                <w:highlight w:val="none"/>
                <w:vertAlign w:val="baseline"/>
                <w:lang w:val="en-US" w:eastAsia="zh-CN"/>
              </w:rPr>
              <w:t>，符合规划布局和定位</w:t>
            </w:r>
          </w:p>
        </w:tc>
        <w:tc>
          <w:tcPr>
            <w:tcW w:w="428" w:type="dxa"/>
            <w:vMerge w:val="restart"/>
            <w:tcBorders>
              <w:tl2br w:val="nil"/>
              <w:tr2bl w:val="nil"/>
            </w:tcBorders>
            <w:vAlign w:val="center"/>
          </w:tcPr>
          <w:p w14:paraId="2AFFAC59">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符合</w:t>
            </w:r>
          </w:p>
        </w:tc>
      </w:tr>
      <w:tr w14:paraId="21DD6D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659" w:type="dxa"/>
            <w:tcBorders>
              <w:tl2br w:val="nil"/>
              <w:tr2bl w:val="nil"/>
            </w:tcBorders>
            <w:shd w:val="clear" w:color="auto" w:fill="auto"/>
            <w:vAlign w:val="center"/>
          </w:tcPr>
          <w:p w14:paraId="7843BC20">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en-US"/>
              </w:rPr>
            </w:pPr>
            <w:r>
              <w:rPr>
                <w:rFonts w:hint="default" w:ascii="Times New Roman" w:hAnsi="Times New Roman" w:cs="Times New Roman"/>
                <w:sz w:val="21"/>
                <w:szCs w:val="21"/>
                <w:highlight w:val="none"/>
                <w:vertAlign w:val="baseline"/>
                <w:lang w:val="en-US" w:eastAsia="zh-CN"/>
              </w:rPr>
              <w:t>严守环境质量底线，强化污染物排放总量管控。根据国家和地方大气、水、土壤污染防治及省、市生态环境分区管控方案和《报告书》相关要求，落实区域大气污染物削减方案，明确责任主体并限期完成整改，最大限度减少污染物的排放量，确保区域生态环境质量持续改善</w:t>
            </w:r>
          </w:p>
        </w:tc>
        <w:tc>
          <w:tcPr>
            <w:tcW w:w="3435" w:type="dxa"/>
            <w:vMerge w:val="restart"/>
            <w:tcBorders>
              <w:tl2br w:val="nil"/>
              <w:tr2bl w:val="nil"/>
            </w:tcBorders>
            <w:vAlign w:val="center"/>
          </w:tcPr>
          <w:p w14:paraId="76575962">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机械加工工序设置2套油雾净化装置，产生的油雾废气分别经油雾净化装置处理后，经集气罩收集，由2根新建23m排气筒排放；装热试验间及装配区域产生的尾气采用三元催化器进行处理，后由1根新建23m排气筒排放；含油金属屑加工产生的油雾、挥发性有机物（以非甲烷总烃计）、颗粒物及臭气浓度通过油雾净化装置+活性炭吸附装置处理后由1根新建23m排气筒排放</w:t>
            </w:r>
          </w:p>
        </w:tc>
        <w:tc>
          <w:tcPr>
            <w:tcW w:w="428" w:type="dxa"/>
            <w:vMerge w:val="restart"/>
            <w:tcBorders>
              <w:tl2br w:val="nil"/>
              <w:tr2bl w:val="nil"/>
            </w:tcBorders>
            <w:vAlign w:val="center"/>
          </w:tcPr>
          <w:p w14:paraId="4615A71D">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符合</w:t>
            </w:r>
          </w:p>
        </w:tc>
      </w:tr>
      <w:tr w14:paraId="7E4CDD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659" w:type="dxa"/>
            <w:tcBorders>
              <w:tl2br w:val="nil"/>
              <w:tr2bl w:val="nil"/>
            </w:tcBorders>
            <w:shd w:val="clear" w:color="auto" w:fill="auto"/>
            <w:vAlign w:val="center"/>
          </w:tcPr>
          <w:p w14:paraId="53ACC0D1">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en-US"/>
              </w:rPr>
            </w:pPr>
            <w:r>
              <w:rPr>
                <w:rFonts w:hint="default" w:ascii="Times New Roman" w:hAnsi="Times New Roman" w:cs="Times New Roman"/>
                <w:sz w:val="21"/>
                <w:szCs w:val="21"/>
                <w:highlight w:val="none"/>
                <w:vertAlign w:val="baseline"/>
                <w:lang w:val="en-US" w:eastAsia="zh-CN"/>
              </w:rPr>
              <w:t>严格入区建设项目生态环境准入，推动开发区高质量发展。严格落实《报告书》提出的各区生态环境准入要求，强化区内企业污染物排放控制，提高水资源节约集约利用水平、清洁生产水平和污染治理水平。加强现有企业废气无组织污染物排放管控，减少无组织污染物排放。严格落实排污许可制度，入区企业应依法依规取得排污许可证或进行排污许可登记</w:t>
            </w:r>
          </w:p>
        </w:tc>
        <w:tc>
          <w:tcPr>
            <w:tcW w:w="3435" w:type="dxa"/>
            <w:vMerge w:val="restart"/>
            <w:tcBorders>
              <w:tl2br w:val="nil"/>
              <w:tr2bl w:val="nil"/>
            </w:tcBorders>
            <w:shd w:val="clear" w:color="auto" w:fill="auto"/>
            <w:vAlign w:val="center"/>
          </w:tcPr>
          <w:p w14:paraId="2A68A430">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本项目符合</w:t>
            </w:r>
            <w:r>
              <w:rPr>
                <w:rFonts w:hint="eastAsia" w:ascii="Times New Roman" w:hAnsi="Times New Roman" w:cs="Times New Roman"/>
                <w:sz w:val="21"/>
                <w:szCs w:val="21"/>
                <w:highlight w:val="none"/>
                <w:vertAlign w:val="baseline"/>
                <w:lang w:val="en-US" w:eastAsia="zh-CN"/>
              </w:rPr>
              <w:t>黑龙江省生态环境分区管控数据应用平台出具的《4G9生产线更新改造项目生态环境分区管控分析报告》</w:t>
            </w:r>
            <w:r>
              <w:rPr>
                <w:rFonts w:hint="default" w:ascii="Times New Roman" w:hAnsi="Times New Roman" w:cs="Times New Roman"/>
                <w:sz w:val="21"/>
                <w:szCs w:val="21"/>
                <w:highlight w:val="none"/>
                <w:vertAlign w:val="baseline"/>
                <w:lang w:val="en-US" w:eastAsia="zh-CN"/>
              </w:rPr>
              <w:t>中相关生态环境准入要求</w:t>
            </w:r>
          </w:p>
        </w:tc>
        <w:tc>
          <w:tcPr>
            <w:tcW w:w="428" w:type="dxa"/>
            <w:vMerge w:val="restart"/>
            <w:tcBorders>
              <w:tl2br w:val="nil"/>
              <w:tr2bl w:val="nil"/>
            </w:tcBorders>
            <w:vAlign w:val="center"/>
          </w:tcPr>
          <w:p w14:paraId="4A330146">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符合</w:t>
            </w:r>
          </w:p>
        </w:tc>
      </w:tr>
      <w:tr w14:paraId="0EACD3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659" w:type="dxa"/>
            <w:tcBorders>
              <w:tl2br w:val="nil"/>
              <w:tr2bl w:val="nil"/>
            </w:tcBorders>
            <w:shd w:val="clear" w:color="auto" w:fill="auto"/>
            <w:vAlign w:val="center"/>
          </w:tcPr>
          <w:p w14:paraId="4D49D575">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en-US"/>
              </w:rPr>
            </w:pPr>
            <w:r>
              <w:rPr>
                <w:rFonts w:hint="default" w:ascii="Times New Roman" w:hAnsi="Times New Roman" w:cs="Times New Roman"/>
                <w:sz w:val="21"/>
                <w:szCs w:val="21"/>
                <w:highlight w:val="none"/>
                <w:vertAlign w:val="baseline"/>
                <w:lang w:val="en-US" w:eastAsia="zh-CN"/>
              </w:rPr>
              <w:t>加强环境基础设施建设。加快中水回用工程建设，强化再生水回用措施，加强管理，确保基础设施稳定运行。工业固体废物应依法依规分类收集、安全妥善处理处置。持续提升开发区环境基础设施水平，保障规划有序实施</w:t>
            </w:r>
          </w:p>
        </w:tc>
        <w:tc>
          <w:tcPr>
            <w:tcW w:w="3435" w:type="dxa"/>
            <w:vMerge w:val="restart"/>
            <w:tcBorders>
              <w:tl2br w:val="nil"/>
              <w:tr2bl w:val="nil"/>
            </w:tcBorders>
            <w:vAlign w:val="center"/>
          </w:tcPr>
          <w:p w14:paraId="50B5EDE3">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本项目不涉及中水回用</w:t>
            </w:r>
          </w:p>
        </w:tc>
        <w:tc>
          <w:tcPr>
            <w:tcW w:w="428" w:type="dxa"/>
            <w:vMerge w:val="restart"/>
            <w:tcBorders>
              <w:tl2br w:val="nil"/>
              <w:tr2bl w:val="nil"/>
            </w:tcBorders>
            <w:vAlign w:val="center"/>
          </w:tcPr>
          <w:p w14:paraId="6D9E2AC2">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符合</w:t>
            </w:r>
          </w:p>
        </w:tc>
      </w:tr>
      <w:tr w14:paraId="7DF925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659" w:type="dxa"/>
            <w:tcBorders>
              <w:tl2br w:val="nil"/>
              <w:tr2bl w:val="nil"/>
            </w:tcBorders>
            <w:shd w:val="clear" w:color="auto" w:fill="auto"/>
            <w:vAlign w:val="center"/>
          </w:tcPr>
          <w:p w14:paraId="5345795D">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en-US"/>
              </w:rPr>
            </w:pPr>
            <w:r>
              <w:rPr>
                <w:rFonts w:hint="default" w:ascii="Times New Roman" w:hAnsi="Times New Roman" w:cs="Times New Roman"/>
                <w:sz w:val="21"/>
                <w:szCs w:val="21"/>
                <w:highlight w:val="none"/>
                <w:vertAlign w:val="baseline"/>
                <w:lang w:val="en-US" w:eastAsia="zh-CN"/>
              </w:rPr>
              <w:t>健全环境监测体系，强化环境风险防范。结合开发区规划的功能分区、产业布局、重点企业分布、污染物排放、环境保护目标分布等，进一步完善环境空气、地表水、地下水、噪声、土壤等环境要素监测体系，根据监测结果适时优化《规划》。强化区域环境风险防控体系建设，健全区域环境风险防控机制，制定并落实区域应急预案，定期开展环境应急演练，提升环境风险防控和应急响应能力</w:t>
            </w:r>
          </w:p>
        </w:tc>
        <w:tc>
          <w:tcPr>
            <w:tcW w:w="3435" w:type="dxa"/>
            <w:tcBorders>
              <w:tl2br w:val="nil"/>
              <w:tr2bl w:val="nil"/>
            </w:tcBorders>
            <w:vAlign w:val="center"/>
          </w:tcPr>
          <w:p w14:paraId="769FDB82">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本项目已提出环境监测计划，并要求建设单位于环保竣工验收前编制突发环境事件应急预案</w:t>
            </w:r>
          </w:p>
        </w:tc>
        <w:tc>
          <w:tcPr>
            <w:tcW w:w="428" w:type="dxa"/>
            <w:tcBorders>
              <w:tl2br w:val="nil"/>
              <w:tr2bl w:val="nil"/>
            </w:tcBorders>
            <w:vAlign w:val="center"/>
          </w:tcPr>
          <w:p w14:paraId="615A7543">
            <w:pPr>
              <w:pStyle w:val="19"/>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符合</w:t>
            </w:r>
          </w:p>
        </w:tc>
      </w:tr>
      <w:bookmarkEnd w:id="54"/>
      <w:bookmarkEnd w:id="55"/>
      <w:bookmarkEnd w:id="56"/>
    </w:tbl>
    <w:p w14:paraId="287B5D69">
      <w:pPr>
        <w:pStyle w:val="4"/>
        <w:bidi w:val="0"/>
        <w:rPr>
          <w:rFonts w:hint="default"/>
          <w:highlight w:val="none"/>
        </w:rPr>
      </w:pPr>
      <w:bookmarkStart w:id="57" w:name="_Toc4425"/>
      <w:bookmarkStart w:id="58" w:name="_Toc21761"/>
      <w:r>
        <w:rPr>
          <w:highlight w:val="none"/>
        </w:rPr>
        <w:t>1.4.</w:t>
      </w:r>
      <w:r>
        <w:rPr>
          <w:rFonts w:hint="eastAsia"/>
          <w:highlight w:val="none"/>
          <w:lang w:val="en-US" w:eastAsia="zh-CN"/>
        </w:rPr>
        <w:t>4</w:t>
      </w:r>
      <w:r>
        <w:rPr>
          <w:rFonts w:hint="default"/>
          <w:highlight w:val="none"/>
        </w:rPr>
        <w:t>与《危险废物污染防治技术政策》（环发[2001]199号）符合性分析</w:t>
      </w:r>
      <w:bookmarkEnd w:id="57"/>
      <w:bookmarkEnd w:id="58"/>
    </w:p>
    <w:p w14:paraId="4979ADEE">
      <w:pPr>
        <w:pStyle w:val="7"/>
        <w:bidi w:val="0"/>
        <w:rPr>
          <w:highlight w:val="none"/>
        </w:rPr>
      </w:pPr>
      <w:r>
        <w:rPr>
          <w:highlight w:val="none"/>
        </w:rPr>
        <w:t>表1-4-</w:t>
      </w:r>
      <w:r>
        <w:rPr>
          <w:rFonts w:hint="eastAsia"/>
          <w:highlight w:val="none"/>
          <w:lang w:val="en-US" w:eastAsia="zh-CN"/>
        </w:rPr>
        <w:t>3</w:t>
      </w:r>
      <w:r>
        <w:rPr>
          <w:rFonts w:hint="eastAsia"/>
          <w:highlight w:val="none"/>
        </w:rPr>
        <w:t>《危险废物污染防治技术政策》</w:t>
      </w:r>
      <w:r>
        <w:rPr>
          <w:highlight w:val="none"/>
        </w:rPr>
        <w:t>符合性分析</w:t>
      </w:r>
    </w:p>
    <w:tbl>
      <w:tblPr>
        <w:tblStyle w:val="45"/>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75"/>
        <w:gridCol w:w="3749"/>
        <w:gridCol w:w="2949"/>
        <w:gridCol w:w="849"/>
      </w:tblGrid>
      <w:tr w14:paraId="406479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9" w:hRule="atLeast"/>
        </w:trPr>
        <w:tc>
          <w:tcPr>
            <w:tcW w:w="572" w:type="pct"/>
            <w:tcBorders>
              <w:tl2br w:val="nil"/>
              <w:tr2bl w:val="nil"/>
            </w:tcBorders>
            <w:noWrap w:val="0"/>
            <w:vAlign w:val="center"/>
          </w:tcPr>
          <w:p w14:paraId="569155F1">
            <w:pPr>
              <w:pStyle w:val="8"/>
              <w:suppressLineNumbers w:val="0"/>
              <w:bidi w:val="0"/>
              <w:spacing w:before="0" w:beforeAutospacing="0" w:after="0" w:afterAutospacing="0"/>
              <w:ind w:left="0" w:right="0"/>
              <w:rPr>
                <w:rFonts w:hint="default"/>
                <w:highlight w:val="none"/>
              </w:rPr>
            </w:pPr>
            <w:r>
              <w:rPr>
                <w:rFonts w:hint="default"/>
                <w:highlight w:val="none"/>
              </w:rPr>
              <w:t>项目</w:t>
            </w:r>
          </w:p>
        </w:tc>
        <w:tc>
          <w:tcPr>
            <w:tcW w:w="2199" w:type="pct"/>
            <w:tcBorders>
              <w:tl2br w:val="nil"/>
              <w:tr2bl w:val="nil"/>
            </w:tcBorders>
            <w:noWrap w:val="0"/>
            <w:vAlign w:val="center"/>
          </w:tcPr>
          <w:p w14:paraId="07567B71">
            <w:pPr>
              <w:pStyle w:val="8"/>
              <w:suppressLineNumbers w:val="0"/>
              <w:bidi w:val="0"/>
              <w:spacing w:before="0" w:beforeAutospacing="0" w:after="0" w:afterAutospacing="0"/>
              <w:ind w:left="0" w:right="0"/>
              <w:rPr>
                <w:rFonts w:hint="default"/>
                <w:highlight w:val="none"/>
              </w:rPr>
            </w:pPr>
            <w:r>
              <w:rPr>
                <w:rFonts w:hint="default"/>
                <w:highlight w:val="none"/>
              </w:rPr>
              <w:t>规范要求</w:t>
            </w:r>
          </w:p>
        </w:tc>
        <w:tc>
          <w:tcPr>
            <w:tcW w:w="1730" w:type="pct"/>
            <w:tcBorders>
              <w:tl2br w:val="nil"/>
              <w:tr2bl w:val="nil"/>
            </w:tcBorders>
            <w:noWrap w:val="0"/>
            <w:vAlign w:val="center"/>
          </w:tcPr>
          <w:p w14:paraId="3A3BC712">
            <w:pPr>
              <w:pStyle w:val="8"/>
              <w:suppressLineNumbers w:val="0"/>
              <w:bidi w:val="0"/>
              <w:spacing w:before="0" w:beforeAutospacing="0" w:after="0" w:afterAutospacing="0"/>
              <w:ind w:left="0" w:right="0"/>
              <w:rPr>
                <w:rFonts w:hint="default"/>
                <w:highlight w:val="none"/>
              </w:rPr>
            </w:pPr>
            <w:r>
              <w:rPr>
                <w:rFonts w:hint="default"/>
                <w:highlight w:val="none"/>
              </w:rPr>
              <w:t>核对本项目具体情况</w:t>
            </w:r>
          </w:p>
        </w:tc>
        <w:tc>
          <w:tcPr>
            <w:tcW w:w="498" w:type="pct"/>
            <w:tcBorders>
              <w:tl2br w:val="nil"/>
              <w:tr2bl w:val="nil"/>
            </w:tcBorders>
            <w:noWrap w:val="0"/>
            <w:vAlign w:val="center"/>
          </w:tcPr>
          <w:p w14:paraId="19969092">
            <w:pPr>
              <w:pStyle w:val="8"/>
              <w:suppressLineNumbers w:val="0"/>
              <w:bidi w:val="0"/>
              <w:spacing w:before="0" w:beforeAutospacing="0" w:after="0" w:afterAutospacing="0"/>
              <w:ind w:left="0" w:right="0"/>
              <w:rPr>
                <w:rFonts w:hint="default"/>
                <w:highlight w:val="none"/>
              </w:rPr>
            </w:pPr>
            <w:r>
              <w:rPr>
                <w:rFonts w:hint="default"/>
                <w:highlight w:val="none"/>
              </w:rPr>
              <w:t>符合性分析</w:t>
            </w:r>
          </w:p>
        </w:tc>
      </w:tr>
      <w:tr w14:paraId="0C48BF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25" w:hRule="atLeast"/>
        </w:trPr>
        <w:tc>
          <w:tcPr>
            <w:tcW w:w="572" w:type="pct"/>
            <w:tcBorders>
              <w:tl2br w:val="nil"/>
              <w:tr2bl w:val="nil"/>
            </w:tcBorders>
            <w:noWrap w:val="0"/>
            <w:vAlign w:val="center"/>
          </w:tcPr>
          <w:p w14:paraId="74A598B8">
            <w:pPr>
              <w:pStyle w:val="8"/>
              <w:suppressLineNumbers w:val="0"/>
              <w:bidi w:val="0"/>
              <w:spacing w:before="0" w:beforeAutospacing="0" w:after="0" w:afterAutospacing="0"/>
              <w:ind w:left="0" w:right="0"/>
              <w:rPr>
                <w:rFonts w:hint="default"/>
                <w:highlight w:val="none"/>
              </w:rPr>
            </w:pPr>
            <w:r>
              <w:rPr>
                <w:rFonts w:hint="default"/>
                <w:highlight w:val="none"/>
              </w:rPr>
              <w:t>危险废物的减量化</w:t>
            </w:r>
          </w:p>
        </w:tc>
        <w:tc>
          <w:tcPr>
            <w:tcW w:w="2199" w:type="pct"/>
            <w:tcBorders>
              <w:tl2br w:val="nil"/>
              <w:tr2bl w:val="nil"/>
            </w:tcBorders>
            <w:noWrap w:val="0"/>
            <w:vAlign w:val="center"/>
          </w:tcPr>
          <w:p w14:paraId="578367F2">
            <w:pPr>
              <w:pStyle w:val="8"/>
              <w:suppressLineNumbers w:val="0"/>
              <w:bidi w:val="0"/>
              <w:spacing w:before="0" w:beforeAutospacing="0" w:after="0" w:afterAutospacing="0"/>
              <w:ind w:left="0" w:right="0"/>
              <w:rPr>
                <w:rFonts w:hint="default"/>
                <w:highlight w:val="none"/>
              </w:rPr>
            </w:pPr>
            <w:r>
              <w:rPr>
                <w:rFonts w:hint="default"/>
                <w:highlight w:val="none"/>
              </w:rPr>
              <w:t>企业应积极采用低废、少废、无废工艺，禁止采用《淘汰落后生产能力、工艺和产品的目录》中明令淘汰的技术工艺和设备。</w:t>
            </w:r>
          </w:p>
        </w:tc>
        <w:tc>
          <w:tcPr>
            <w:tcW w:w="1730" w:type="pct"/>
            <w:tcBorders>
              <w:tl2br w:val="nil"/>
              <w:tr2bl w:val="nil"/>
            </w:tcBorders>
            <w:noWrap w:val="0"/>
            <w:vAlign w:val="center"/>
          </w:tcPr>
          <w:p w14:paraId="1E66074F">
            <w:pPr>
              <w:pStyle w:val="8"/>
              <w:suppressLineNumbers w:val="0"/>
              <w:bidi w:val="0"/>
              <w:spacing w:before="0" w:beforeAutospacing="0" w:after="0" w:afterAutospacing="0"/>
              <w:ind w:left="0" w:right="0"/>
              <w:rPr>
                <w:rFonts w:hint="default"/>
                <w:highlight w:val="none"/>
              </w:rPr>
            </w:pPr>
            <w:r>
              <w:rPr>
                <w:rFonts w:hint="default"/>
                <w:highlight w:val="none"/>
              </w:rPr>
              <w:t>本项目采取的工艺属于少废工艺，本项目采取</w:t>
            </w:r>
            <w:r>
              <w:rPr>
                <w:rFonts w:hint="eastAsia"/>
                <w:highlight w:val="none"/>
                <w:lang w:eastAsia="zh-CN"/>
              </w:rPr>
              <w:t>的</w:t>
            </w:r>
            <w:r>
              <w:rPr>
                <w:rFonts w:hint="default"/>
                <w:highlight w:val="none"/>
              </w:rPr>
              <w:t>技术工艺和设备均不属于《淘汰落后生产能力、工艺和产品的目录》中明令淘汰的技术工艺和设备。</w:t>
            </w:r>
          </w:p>
        </w:tc>
        <w:tc>
          <w:tcPr>
            <w:tcW w:w="498" w:type="pct"/>
            <w:tcBorders>
              <w:tl2br w:val="nil"/>
              <w:tr2bl w:val="nil"/>
            </w:tcBorders>
            <w:noWrap w:val="0"/>
            <w:vAlign w:val="center"/>
          </w:tcPr>
          <w:p w14:paraId="4C75447A">
            <w:pPr>
              <w:pStyle w:val="8"/>
              <w:suppressLineNumbers w:val="0"/>
              <w:bidi w:val="0"/>
              <w:spacing w:before="0" w:beforeAutospacing="0" w:after="0" w:afterAutospacing="0"/>
              <w:ind w:left="0" w:right="0"/>
              <w:rPr>
                <w:rFonts w:hint="default"/>
                <w:highlight w:val="none"/>
              </w:rPr>
            </w:pPr>
            <w:r>
              <w:rPr>
                <w:rFonts w:hint="default"/>
                <w:highlight w:val="none"/>
              </w:rPr>
              <w:t>符合</w:t>
            </w:r>
          </w:p>
          <w:p w14:paraId="7FECB8AE">
            <w:pPr>
              <w:pStyle w:val="8"/>
              <w:suppressLineNumbers w:val="0"/>
              <w:bidi w:val="0"/>
              <w:spacing w:before="0" w:beforeAutospacing="0" w:after="0" w:afterAutospacing="0"/>
              <w:ind w:left="0" w:right="0"/>
              <w:outlineLvl w:val="9"/>
              <w:rPr>
                <w:rFonts w:hint="default"/>
                <w:highlight w:val="none"/>
              </w:rPr>
            </w:pPr>
          </w:p>
        </w:tc>
      </w:tr>
      <w:tr w14:paraId="37985F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2" w:type="pct"/>
            <w:tcBorders>
              <w:tl2br w:val="nil"/>
              <w:tr2bl w:val="nil"/>
            </w:tcBorders>
            <w:noWrap w:val="0"/>
            <w:vAlign w:val="center"/>
          </w:tcPr>
          <w:p w14:paraId="2BC26312">
            <w:pPr>
              <w:pStyle w:val="8"/>
              <w:suppressLineNumbers w:val="0"/>
              <w:bidi w:val="0"/>
              <w:spacing w:before="0" w:beforeAutospacing="0" w:after="0" w:afterAutospacing="0"/>
              <w:ind w:left="0" w:right="0"/>
              <w:rPr>
                <w:rFonts w:hint="default"/>
                <w:highlight w:val="none"/>
              </w:rPr>
            </w:pPr>
            <w:r>
              <w:rPr>
                <w:rFonts w:hint="eastAsia" w:ascii="宋体" w:hAnsi="宋体" w:eastAsia="宋体" w:cs="宋体"/>
                <w:sz w:val="21"/>
                <w:szCs w:val="21"/>
                <w:highlight w:val="none"/>
              </w:rPr>
              <w:t>危险废物收集与运输</w:t>
            </w:r>
          </w:p>
        </w:tc>
        <w:tc>
          <w:tcPr>
            <w:tcW w:w="2199" w:type="pct"/>
            <w:tcBorders>
              <w:tl2br w:val="nil"/>
              <w:tr2bl w:val="nil"/>
            </w:tcBorders>
            <w:noWrap w:val="0"/>
            <w:vAlign w:val="center"/>
          </w:tcPr>
          <w:p w14:paraId="6503B72C">
            <w:pPr>
              <w:pStyle w:val="8"/>
              <w:suppressLineNumbers w:val="0"/>
              <w:bidi w:val="0"/>
              <w:spacing w:before="0" w:beforeAutospacing="0" w:after="0" w:afterAutospacing="0"/>
              <w:ind w:left="0" w:right="0"/>
              <w:rPr>
                <w:rFonts w:hint="default"/>
                <w:highlight w:val="none"/>
              </w:rPr>
            </w:pPr>
            <w:r>
              <w:rPr>
                <w:rFonts w:hint="default"/>
                <w:highlight w:val="none"/>
              </w:rPr>
              <w:t>危险废物要根据其成分，用符合国家标准的专门容器分类收集；</w:t>
            </w:r>
          </w:p>
        </w:tc>
        <w:tc>
          <w:tcPr>
            <w:tcW w:w="1730" w:type="pct"/>
            <w:tcBorders>
              <w:tl2br w:val="nil"/>
              <w:tr2bl w:val="nil"/>
            </w:tcBorders>
            <w:noWrap w:val="0"/>
            <w:vAlign w:val="center"/>
          </w:tcPr>
          <w:p w14:paraId="7E3967FF">
            <w:pPr>
              <w:keepNext w:val="0"/>
              <w:keepLines w:val="0"/>
              <w:suppressLineNumbers w:val="0"/>
              <w:spacing w:before="0" w:beforeAutospacing="0" w:after="0" w:afterAutospacing="0" w:line="240" w:lineRule="auto"/>
              <w:ind w:left="0" w:right="0" w:firstLine="0" w:firstLineChars="0"/>
              <w:jc w:val="center"/>
              <w:rPr>
                <w:rFonts w:hint="default"/>
                <w:highlight w:val="none"/>
              </w:rPr>
            </w:pPr>
            <w:r>
              <w:rPr>
                <w:rFonts w:hint="eastAsia" w:ascii="宋体" w:hAnsi="宋体" w:cs="宋体"/>
                <w:sz w:val="21"/>
                <w:szCs w:val="21"/>
                <w:highlight w:val="none"/>
                <w:lang w:val="en-US" w:eastAsia="zh-CN"/>
              </w:rPr>
              <w:t>含油金属屑</w:t>
            </w:r>
            <w:r>
              <w:rPr>
                <w:rFonts w:hint="eastAsia" w:ascii="宋体" w:hAnsi="宋体" w:eastAsia="宋体" w:cs="宋体"/>
                <w:sz w:val="21"/>
                <w:szCs w:val="21"/>
                <w:highlight w:val="none"/>
              </w:rPr>
              <w:t>为固态颗粒状，采用</w:t>
            </w:r>
            <w:r>
              <w:rPr>
                <w:rFonts w:hint="eastAsia" w:ascii="宋体" w:hAnsi="宋体" w:cs="宋体"/>
                <w:sz w:val="21"/>
                <w:szCs w:val="21"/>
                <w:highlight w:val="none"/>
                <w:lang w:val="en-US" w:eastAsia="zh-CN"/>
              </w:rPr>
              <w:t>符合国家标准的专门容器分类收集。</w:t>
            </w:r>
          </w:p>
        </w:tc>
        <w:tc>
          <w:tcPr>
            <w:tcW w:w="498" w:type="pct"/>
            <w:tcBorders>
              <w:tl2br w:val="nil"/>
              <w:tr2bl w:val="nil"/>
            </w:tcBorders>
            <w:noWrap w:val="0"/>
            <w:vAlign w:val="center"/>
          </w:tcPr>
          <w:p w14:paraId="41FFEA59">
            <w:pPr>
              <w:pStyle w:val="8"/>
              <w:suppressLineNumbers w:val="0"/>
              <w:bidi w:val="0"/>
              <w:spacing w:before="0" w:beforeAutospacing="0" w:after="0" w:afterAutospacing="0"/>
              <w:ind w:left="0" w:right="0"/>
              <w:rPr>
                <w:rFonts w:hint="default"/>
                <w:highlight w:val="none"/>
              </w:rPr>
            </w:pPr>
            <w:r>
              <w:rPr>
                <w:rFonts w:hint="default"/>
                <w:highlight w:val="none"/>
              </w:rPr>
              <w:t>符合</w:t>
            </w:r>
          </w:p>
        </w:tc>
      </w:tr>
    </w:tbl>
    <w:p w14:paraId="46AC0742">
      <w:pPr>
        <w:rPr>
          <w:highlight w:val="none"/>
        </w:rPr>
      </w:pPr>
    </w:p>
    <w:p w14:paraId="6D9417E9">
      <w:pPr>
        <w:pStyle w:val="7"/>
        <w:bidi w:val="0"/>
        <w:rPr>
          <w:highlight w:val="none"/>
        </w:rPr>
      </w:pPr>
      <w:r>
        <w:rPr>
          <w:rFonts w:hint="eastAsia"/>
          <w:highlight w:val="none"/>
          <w:lang w:val="en-US" w:eastAsia="zh-CN"/>
        </w:rPr>
        <w:t>续</w:t>
      </w:r>
      <w:r>
        <w:rPr>
          <w:highlight w:val="none"/>
        </w:rPr>
        <w:t>表1-4-</w:t>
      </w:r>
      <w:r>
        <w:rPr>
          <w:rFonts w:hint="eastAsia"/>
          <w:highlight w:val="none"/>
          <w:lang w:val="en-US" w:eastAsia="zh-CN"/>
        </w:rPr>
        <w:t>3</w:t>
      </w:r>
      <w:r>
        <w:rPr>
          <w:rFonts w:hint="eastAsia"/>
          <w:highlight w:val="none"/>
        </w:rPr>
        <w:t>《危险废物污染防治技术政策》</w:t>
      </w:r>
      <w:r>
        <w:rPr>
          <w:highlight w:val="none"/>
        </w:rPr>
        <w:t>符合性分析</w:t>
      </w:r>
    </w:p>
    <w:tbl>
      <w:tblPr>
        <w:tblStyle w:val="45"/>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75"/>
        <w:gridCol w:w="3749"/>
        <w:gridCol w:w="2949"/>
        <w:gridCol w:w="849"/>
      </w:tblGrid>
      <w:tr w14:paraId="6F5563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572" w:type="pct"/>
            <w:vMerge w:val="restart"/>
            <w:tcBorders>
              <w:tl2br w:val="nil"/>
              <w:tr2bl w:val="nil"/>
            </w:tcBorders>
            <w:noWrap w:val="0"/>
            <w:vAlign w:val="center"/>
          </w:tcPr>
          <w:p w14:paraId="12837B9E">
            <w:pPr>
              <w:pStyle w:val="8"/>
              <w:suppressLineNumbers w:val="0"/>
              <w:bidi w:val="0"/>
              <w:spacing w:before="0" w:beforeAutospacing="0" w:after="0" w:afterAutospacing="0"/>
              <w:ind w:left="0" w:right="0"/>
              <w:outlineLvl w:val="9"/>
              <w:rPr>
                <w:rFonts w:hint="default"/>
                <w:highlight w:val="none"/>
              </w:rPr>
            </w:pPr>
            <w:r>
              <w:rPr>
                <w:rFonts w:hint="eastAsia" w:ascii="宋体" w:hAnsi="宋体" w:eastAsia="宋体" w:cs="宋体"/>
                <w:sz w:val="21"/>
                <w:szCs w:val="21"/>
                <w:highlight w:val="none"/>
              </w:rPr>
              <w:t>危险废物收集与运输</w:t>
            </w:r>
          </w:p>
        </w:tc>
        <w:tc>
          <w:tcPr>
            <w:tcW w:w="2199" w:type="pct"/>
            <w:tcBorders>
              <w:tl2br w:val="nil"/>
              <w:tr2bl w:val="nil"/>
            </w:tcBorders>
            <w:noWrap w:val="0"/>
            <w:vAlign w:val="center"/>
          </w:tcPr>
          <w:p w14:paraId="748C3235">
            <w:pPr>
              <w:pStyle w:val="8"/>
              <w:suppressLineNumbers w:val="0"/>
              <w:bidi w:val="0"/>
              <w:spacing w:before="0" w:beforeAutospacing="0" w:after="0" w:afterAutospacing="0"/>
              <w:ind w:left="0" w:right="0"/>
              <w:rPr>
                <w:rFonts w:hint="default"/>
                <w:highlight w:val="none"/>
              </w:rPr>
            </w:pPr>
            <w:r>
              <w:rPr>
                <w:rFonts w:hint="default"/>
                <w:highlight w:val="none"/>
              </w:rPr>
              <w:t>装运危险废物的容器应根据危险废物的不同特性而设计，不易破损、变形、老化，能有效地防止渗漏、扩散。装有危险废物的容器必须贴有标签，在标签上详细标明危险废物的名称、重量、成分、特性以及发生泄漏、扩散污染事故时的应急措施和补救方法。</w:t>
            </w:r>
          </w:p>
        </w:tc>
        <w:tc>
          <w:tcPr>
            <w:tcW w:w="1730" w:type="pct"/>
            <w:tcBorders>
              <w:tl2br w:val="nil"/>
              <w:tr2bl w:val="nil"/>
            </w:tcBorders>
            <w:noWrap w:val="0"/>
            <w:vAlign w:val="center"/>
          </w:tcPr>
          <w:p w14:paraId="2F6D38BC">
            <w:pPr>
              <w:keepNext w:val="0"/>
              <w:keepLines w:val="0"/>
              <w:suppressLineNumbers w:val="0"/>
              <w:spacing w:before="0" w:beforeAutospacing="0" w:after="0" w:afterAutospacing="0" w:line="240" w:lineRule="auto"/>
              <w:ind w:left="0" w:right="0" w:firstLine="0" w:firstLineChars="0"/>
              <w:jc w:val="both"/>
              <w:rPr>
                <w:rFonts w:hint="default" w:ascii="宋体" w:hAnsi="宋体" w:eastAsia="宋体" w:cs="宋体"/>
                <w:sz w:val="21"/>
                <w:szCs w:val="21"/>
                <w:highlight w:val="none"/>
              </w:rPr>
            </w:pPr>
            <w:r>
              <w:rPr>
                <w:rFonts w:hint="eastAsia" w:ascii="宋体" w:hAnsi="宋体" w:eastAsia="宋体" w:cs="宋体"/>
                <w:sz w:val="21"/>
                <w:szCs w:val="21"/>
                <w:highlight w:val="none"/>
                <w:lang w:val="en-US" w:eastAsia="zh-CN"/>
              </w:rPr>
              <w:t>含油金属屑贮存于原料贮存区，设置防渗及围堰；废液采用密闭包装桶收集；废过滤材料及废活性炭采用袋装密闭收集</w:t>
            </w:r>
            <w:r>
              <w:rPr>
                <w:rFonts w:hint="eastAsia" w:ascii="宋体" w:hAnsi="宋体" w:eastAsia="宋体" w:cs="宋体"/>
                <w:sz w:val="21"/>
                <w:szCs w:val="21"/>
                <w:highlight w:val="none"/>
              </w:rPr>
              <w:t>。</w:t>
            </w:r>
            <w:r>
              <w:rPr>
                <w:rFonts w:hint="eastAsia" w:ascii="宋体" w:hAnsi="宋体" w:eastAsia="宋体" w:cs="宋体"/>
                <w:sz w:val="21"/>
                <w:szCs w:val="21"/>
                <w:highlight w:val="none"/>
                <w:lang w:val="en-US" w:eastAsia="zh-CN"/>
              </w:rPr>
              <w:t>本项目建成后，危险废物贮存包装均按要求贴标签</w:t>
            </w:r>
            <w:r>
              <w:rPr>
                <w:rFonts w:hint="eastAsia" w:ascii="宋体" w:hAnsi="宋体" w:eastAsia="宋体" w:cs="宋体"/>
                <w:sz w:val="21"/>
                <w:szCs w:val="21"/>
                <w:highlight w:val="none"/>
              </w:rPr>
              <w:t>。</w:t>
            </w:r>
          </w:p>
        </w:tc>
        <w:tc>
          <w:tcPr>
            <w:tcW w:w="498" w:type="pct"/>
            <w:tcBorders>
              <w:tl2br w:val="nil"/>
              <w:tr2bl w:val="nil"/>
            </w:tcBorders>
            <w:noWrap w:val="0"/>
            <w:vAlign w:val="center"/>
          </w:tcPr>
          <w:p w14:paraId="3AF6BA33">
            <w:pPr>
              <w:pStyle w:val="8"/>
              <w:suppressLineNumbers w:val="0"/>
              <w:bidi w:val="0"/>
              <w:spacing w:before="0" w:beforeAutospacing="0" w:after="0" w:afterAutospacing="0"/>
              <w:ind w:left="0" w:right="0"/>
              <w:rPr>
                <w:rFonts w:hint="default"/>
                <w:highlight w:val="none"/>
              </w:rPr>
            </w:pPr>
            <w:r>
              <w:rPr>
                <w:rFonts w:hint="default"/>
                <w:highlight w:val="none"/>
              </w:rPr>
              <w:t>符合</w:t>
            </w:r>
          </w:p>
        </w:tc>
      </w:tr>
      <w:tr w14:paraId="192945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572" w:type="pct"/>
            <w:vMerge w:val="continue"/>
            <w:tcBorders>
              <w:tl2br w:val="nil"/>
              <w:tr2bl w:val="nil"/>
            </w:tcBorders>
            <w:noWrap w:val="0"/>
            <w:vAlign w:val="center"/>
          </w:tcPr>
          <w:p w14:paraId="225F5FF5">
            <w:pPr>
              <w:pStyle w:val="8"/>
              <w:suppressLineNumbers w:val="0"/>
              <w:bidi w:val="0"/>
              <w:spacing w:before="0" w:beforeAutospacing="0" w:after="0" w:afterAutospacing="0"/>
              <w:ind w:left="0" w:right="0"/>
              <w:outlineLvl w:val="9"/>
              <w:rPr>
                <w:rFonts w:hint="default"/>
                <w:highlight w:val="none"/>
              </w:rPr>
            </w:pPr>
          </w:p>
        </w:tc>
        <w:tc>
          <w:tcPr>
            <w:tcW w:w="2199" w:type="pct"/>
            <w:tcBorders>
              <w:tl2br w:val="nil"/>
              <w:tr2bl w:val="nil"/>
            </w:tcBorders>
            <w:shd w:val="clear" w:color="auto" w:fill="auto"/>
            <w:noWrap w:val="0"/>
            <w:vAlign w:val="center"/>
          </w:tcPr>
          <w:p w14:paraId="1D92391F">
            <w:pPr>
              <w:keepNext w:val="0"/>
              <w:keepLines w:val="0"/>
              <w:suppressLineNumbers w:val="0"/>
              <w:spacing w:before="0" w:beforeAutospacing="0" w:after="0" w:afterAutospacing="0" w:line="240" w:lineRule="auto"/>
              <w:ind w:left="0" w:right="0"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鼓励发展安全高效的危险废物运输系统，鼓励发展各种形式的专用车辆，对危险废物运输要求安全可靠，要严格按照危险废物运输的管理规定进行危险废物的运输，减少运输过程中的二次污染和可能造成的环境风险。</w:t>
            </w:r>
          </w:p>
        </w:tc>
        <w:tc>
          <w:tcPr>
            <w:tcW w:w="1730" w:type="pct"/>
            <w:tcBorders>
              <w:tl2br w:val="nil"/>
              <w:tr2bl w:val="nil"/>
            </w:tcBorders>
            <w:shd w:val="clear" w:color="auto" w:fill="auto"/>
            <w:noWrap w:val="0"/>
            <w:vAlign w:val="center"/>
          </w:tcPr>
          <w:p w14:paraId="66A5BAA2">
            <w:pPr>
              <w:keepNext w:val="0"/>
              <w:keepLines w:val="0"/>
              <w:suppressLineNumbers w:val="0"/>
              <w:spacing w:before="0" w:beforeAutospacing="0" w:after="0" w:afterAutospacing="0" w:line="240" w:lineRule="auto"/>
              <w:ind w:left="0" w:right="0"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项目收集的各类危险废物均运输采用专用车辆收集运输，委托有危险废物运输资质的运输单位，运输过程严格按照危险废物运输的管理规定运输，能有效减少运输过程中的二次污染和可能造成的环境。</w:t>
            </w:r>
          </w:p>
        </w:tc>
        <w:tc>
          <w:tcPr>
            <w:tcW w:w="498" w:type="pct"/>
            <w:tcBorders>
              <w:tl2br w:val="nil"/>
              <w:tr2bl w:val="nil"/>
            </w:tcBorders>
            <w:noWrap w:val="0"/>
            <w:vAlign w:val="center"/>
          </w:tcPr>
          <w:p w14:paraId="301A0EF2">
            <w:pPr>
              <w:pStyle w:val="8"/>
              <w:suppressLineNumbers w:val="0"/>
              <w:bidi w:val="0"/>
              <w:spacing w:before="0" w:beforeAutospacing="0" w:after="0" w:afterAutospacing="0"/>
              <w:ind w:left="0" w:right="0"/>
              <w:rPr>
                <w:rFonts w:hint="default"/>
                <w:highlight w:val="none"/>
              </w:rPr>
            </w:pPr>
            <w:r>
              <w:rPr>
                <w:rFonts w:hint="default"/>
                <w:highlight w:val="none"/>
              </w:rPr>
              <w:t>符合</w:t>
            </w:r>
          </w:p>
        </w:tc>
      </w:tr>
      <w:tr w14:paraId="70B029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572" w:type="pct"/>
            <w:tcBorders>
              <w:tl2br w:val="nil"/>
              <w:tr2bl w:val="nil"/>
            </w:tcBorders>
            <w:noWrap w:val="0"/>
            <w:vAlign w:val="center"/>
          </w:tcPr>
          <w:p w14:paraId="7512E740">
            <w:pPr>
              <w:pStyle w:val="8"/>
              <w:suppressLineNumbers w:val="0"/>
              <w:bidi w:val="0"/>
              <w:spacing w:before="0" w:beforeAutospacing="0" w:after="0" w:afterAutospacing="0"/>
              <w:ind w:left="0" w:right="0"/>
              <w:rPr>
                <w:rFonts w:hint="default"/>
                <w:highlight w:val="none"/>
              </w:rPr>
            </w:pPr>
            <w:r>
              <w:rPr>
                <w:rFonts w:hint="eastAsia" w:ascii="宋体" w:hAnsi="宋体" w:eastAsia="宋体" w:cs="宋体"/>
                <w:sz w:val="21"/>
                <w:szCs w:val="21"/>
                <w:highlight w:val="none"/>
              </w:rPr>
              <w:t>危险废物转移</w:t>
            </w:r>
          </w:p>
        </w:tc>
        <w:tc>
          <w:tcPr>
            <w:tcW w:w="2199" w:type="pct"/>
            <w:tcBorders>
              <w:tl2br w:val="nil"/>
              <w:tr2bl w:val="nil"/>
            </w:tcBorders>
            <w:shd w:val="clear" w:color="auto" w:fill="auto"/>
            <w:noWrap w:val="0"/>
            <w:vAlign w:val="center"/>
          </w:tcPr>
          <w:p w14:paraId="1143FB7A">
            <w:pPr>
              <w:keepNext w:val="0"/>
              <w:keepLines w:val="0"/>
              <w:suppressLineNumbers w:val="0"/>
              <w:spacing w:before="0" w:beforeAutospacing="0" w:after="0" w:afterAutospacing="0" w:line="240" w:lineRule="auto"/>
              <w:ind w:left="0" w:right="0" w:firstLine="0" w:firstLineChars="0"/>
              <w:jc w:val="center"/>
              <w:rPr>
                <w:rFonts w:hint="eastAsia" w:ascii="宋体" w:hAnsi="宋体" w:eastAsia="宋体" w:cs="宋体"/>
                <w:sz w:val="21"/>
                <w:szCs w:val="21"/>
                <w:highlight w:val="none"/>
              </w:rPr>
            </w:pPr>
            <w:r>
              <w:rPr>
                <w:rFonts w:hint="eastAsia" w:ascii="宋体" w:hAnsi="宋体" w:eastAsia="宋体" w:cs="宋体"/>
                <w:sz w:val="21"/>
                <w:szCs w:val="21"/>
                <w:highlight w:val="none"/>
              </w:rPr>
              <w:t>危险废物的越境转移应遵从《控制危险废物越境转移及其处置的巴塞尔公约》的要求，危险废物的国内转移遵从《危险废物转移联单管理办法》及其它有关规定的要求。</w:t>
            </w:r>
          </w:p>
        </w:tc>
        <w:tc>
          <w:tcPr>
            <w:tcW w:w="1730" w:type="pct"/>
            <w:tcBorders>
              <w:tl2br w:val="nil"/>
              <w:tr2bl w:val="nil"/>
            </w:tcBorders>
            <w:shd w:val="clear" w:color="auto" w:fill="auto"/>
            <w:noWrap w:val="0"/>
            <w:vAlign w:val="center"/>
          </w:tcPr>
          <w:p w14:paraId="3BA164B7">
            <w:pPr>
              <w:keepNext w:val="0"/>
              <w:keepLines w:val="0"/>
              <w:suppressLineNumbers w:val="0"/>
              <w:spacing w:before="0" w:beforeAutospacing="0" w:after="0" w:afterAutospacing="0" w:line="240" w:lineRule="auto"/>
              <w:ind w:left="0" w:right="0" w:firstLine="0" w:firstLineChars="0"/>
              <w:jc w:val="center"/>
              <w:rPr>
                <w:rFonts w:hint="eastAsia" w:ascii="宋体" w:hAnsi="宋体" w:eastAsia="宋体" w:cs="宋体"/>
                <w:sz w:val="21"/>
                <w:szCs w:val="21"/>
                <w:highlight w:val="none"/>
              </w:rPr>
            </w:pPr>
            <w:r>
              <w:rPr>
                <w:rFonts w:hint="eastAsia" w:ascii="宋体" w:hAnsi="宋体" w:eastAsia="宋体" w:cs="宋体"/>
                <w:sz w:val="21"/>
                <w:szCs w:val="21"/>
                <w:highlight w:val="none"/>
              </w:rPr>
              <w:t>项目收集的危险废物不越境转移。</w:t>
            </w:r>
          </w:p>
        </w:tc>
        <w:tc>
          <w:tcPr>
            <w:tcW w:w="498" w:type="pct"/>
            <w:tcBorders>
              <w:tl2br w:val="nil"/>
              <w:tr2bl w:val="nil"/>
            </w:tcBorders>
            <w:noWrap w:val="0"/>
            <w:vAlign w:val="center"/>
          </w:tcPr>
          <w:p w14:paraId="648CED1A">
            <w:pPr>
              <w:pStyle w:val="8"/>
              <w:suppressLineNumbers w:val="0"/>
              <w:bidi w:val="0"/>
              <w:spacing w:before="0" w:beforeAutospacing="0" w:after="0" w:afterAutospacing="0"/>
              <w:ind w:left="0" w:right="0"/>
              <w:rPr>
                <w:rFonts w:hint="default"/>
                <w:highlight w:val="none"/>
              </w:rPr>
            </w:pPr>
            <w:r>
              <w:rPr>
                <w:rFonts w:hint="default"/>
                <w:highlight w:val="none"/>
              </w:rPr>
              <w:t>符合</w:t>
            </w:r>
          </w:p>
        </w:tc>
      </w:tr>
      <w:tr w14:paraId="047F12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2" w:type="pct"/>
            <w:vMerge w:val="restart"/>
            <w:tcBorders>
              <w:tl2br w:val="nil"/>
              <w:tr2bl w:val="nil"/>
            </w:tcBorders>
            <w:noWrap w:val="0"/>
            <w:vAlign w:val="center"/>
          </w:tcPr>
          <w:p w14:paraId="07318DCA">
            <w:pPr>
              <w:pStyle w:val="8"/>
              <w:suppressLineNumbers w:val="0"/>
              <w:bidi w:val="0"/>
              <w:spacing w:before="0" w:beforeAutospacing="0" w:after="0" w:afterAutospacing="0"/>
              <w:ind w:left="0" w:right="0"/>
              <w:outlineLvl w:val="9"/>
              <w:rPr>
                <w:rFonts w:hint="default"/>
                <w:highlight w:val="none"/>
              </w:rPr>
            </w:pPr>
            <w:r>
              <w:rPr>
                <w:rFonts w:hint="default"/>
                <w:highlight w:val="none"/>
              </w:rPr>
              <w:t>危险废物的贮存</w:t>
            </w:r>
          </w:p>
        </w:tc>
        <w:tc>
          <w:tcPr>
            <w:tcW w:w="2199" w:type="pct"/>
            <w:tcBorders>
              <w:tl2br w:val="nil"/>
              <w:tr2bl w:val="nil"/>
            </w:tcBorders>
            <w:shd w:val="clear" w:color="auto" w:fill="auto"/>
            <w:noWrap w:val="0"/>
            <w:vAlign w:val="center"/>
          </w:tcPr>
          <w:p w14:paraId="51944593">
            <w:pPr>
              <w:keepNext w:val="0"/>
              <w:keepLines w:val="0"/>
              <w:suppressLineNumbers w:val="0"/>
              <w:spacing w:before="0" w:beforeAutospacing="0" w:after="0" w:afterAutospacing="0" w:line="240" w:lineRule="auto"/>
              <w:ind w:left="0" w:right="0"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贮存危险废物的单位需拥有相应许可证。禁止将危险废物以任何形式转移给无许可证的单位，或转移到非危险废物贮存设施中。</w:t>
            </w:r>
          </w:p>
        </w:tc>
        <w:tc>
          <w:tcPr>
            <w:tcW w:w="1730" w:type="pct"/>
            <w:tcBorders>
              <w:tl2br w:val="nil"/>
              <w:tr2bl w:val="nil"/>
            </w:tcBorders>
            <w:shd w:val="clear" w:color="auto" w:fill="auto"/>
            <w:noWrap w:val="0"/>
            <w:vAlign w:val="center"/>
          </w:tcPr>
          <w:p w14:paraId="7775FA01">
            <w:pPr>
              <w:keepNext w:val="0"/>
              <w:keepLines w:val="0"/>
              <w:suppressLineNumbers w:val="0"/>
              <w:spacing w:before="0" w:beforeAutospacing="0" w:after="0" w:afterAutospacing="0" w:line="240" w:lineRule="auto"/>
              <w:ind w:left="0" w:right="0"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项目</w:t>
            </w:r>
            <w:r>
              <w:rPr>
                <w:rFonts w:hint="eastAsia" w:ascii="宋体" w:hAnsi="宋体" w:cs="宋体"/>
                <w:sz w:val="21"/>
                <w:szCs w:val="21"/>
                <w:highlight w:val="none"/>
                <w:lang w:val="en-US" w:eastAsia="zh-CN"/>
              </w:rPr>
              <w:t>收集危险废物均为企业内部自行产生，不转移</w:t>
            </w:r>
            <w:r>
              <w:rPr>
                <w:rFonts w:hint="eastAsia" w:ascii="宋体" w:hAnsi="宋体" w:eastAsia="宋体" w:cs="宋体"/>
                <w:sz w:val="21"/>
                <w:szCs w:val="21"/>
                <w:highlight w:val="none"/>
              </w:rPr>
              <w:t>。</w:t>
            </w:r>
          </w:p>
        </w:tc>
        <w:tc>
          <w:tcPr>
            <w:tcW w:w="498" w:type="pct"/>
            <w:tcBorders>
              <w:tl2br w:val="nil"/>
              <w:tr2bl w:val="nil"/>
            </w:tcBorders>
            <w:shd w:val="clear" w:color="auto" w:fill="auto"/>
            <w:noWrap w:val="0"/>
            <w:vAlign w:val="center"/>
          </w:tcPr>
          <w:p w14:paraId="3C19CD30">
            <w:pPr>
              <w:keepNext w:val="0"/>
              <w:keepLines w:val="0"/>
              <w:suppressLineNumbers w:val="0"/>
              <w:spacing w:before="0" w:beforeAutospacing="0" w:after="0" w:afterAutospacing="0" w:line="240" w:lineRule="auto"/>
              <w:ind w:left="0" w:right="0" w:firstLine="0" w:firstLine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sz w:val="21"/>
                <w:szCs w:val="21"/>
                <w:highlight w:val="none"/>
              </w:rPr>
              <w:t>符合</w:t>
            </w:r>
          </w:p>
        </w:tc>
      </w:tr>
      <w:tr w14:paraId="254830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2" w:type="pct"/>
            <w:vMerge w:val="continue"/>
            <w:tcBorders>
              <w:tl2br w:val="nil"/>
              <w:tr2bl w:val="nil"/>
            </w:tcBorders>
            <w:noWrap w:val="0"/>
            <w:vAlign w:val="center"/>
          </w:tcPr>
          <w:p w14:paraId="1BE0F723">
            <w:pPr>
              <w:pStyle w:val="8"/>
              <w:suppressLineNumbers w:val="0"/>
              <w:bidi w:val="0"/>
              <w:spacing w:before="0" w:beforeAutospacing="0" w:after="0" w:afterAutospacing="0"/>
              <w:ind w:left="0" w:right="0"/>
              <w:outlineLvl w:val="9"/>
              <w:rPr>
                <w:rFonts w:hint="default"/>
                <w:highlight w:val="none"/>
              </w:rPr>
            </w:pPr>
          </w:p>
        </w:tc>
        <w:tc>
          <w:tcPr>
            <w:tcW w:w="2199" w:type="pct"/>
            <w:tcBorders>
              <w:tl2br w:val="nil"/>
              <w:tr2bl w:val="nil"/>
            </w:tcBorders>
            <w:noWrap w:val="0"/>
            <w:vAlign w:val="center"/>
          </w:tcPr>
          <w:p w14:paraId="1D16FD6B">
            <w:pPr>
              <w:pStyle w:val="8"/>
              <w:suppressLineNumbers w:val="0"/>
              <w:bidi w:val="0"/>
              <w:spacing w:before="0" w:beforeAutospacing="0" w:after="0" w:afterAutospacing="0"/>
              <w:ind w:left="0" w:right="0"/>
              <w:rPr>
                <w:rFonts w:hint="default"/>
                <w:highlight w:val="none"/>
              </w:rPr>
            </w:pPr>
            <w:r>
              <w:rPr>
                <w:rFonts w:hint="default"/>
                <w:highlight w:val="none"/>
              </w:rPr>
              <w:t>应建有堵截泄漏的裙脚</w:t>
            </w:r>
            <w:r>
              <w:rPr>
                <w:rFonts w:hint="eastAsia"/>
                <w:highlight w:val="none"/>
                <w:lang w:eastAsia="zh-CN"/>
              </w:rPr>
              <w:t>，</w:t>
            </w:r>
            <w:r>
              <w:rPr>
                <w:rFonts w:hint="default"/>
                <w:highlight w:val="none"/>
              </w:rPr>
              <w:t>地面与裙脚要用坚固防渗的材料建造。应有隔离设施、报警装置和防风、防晒、防雨；</w:t>
            </w:r>
          </w:p>
        </w:tc>
        <w:tc>
          <w:tcPr>
            <w:tcW w:w="1730" w:type="pct"/>
            <w:tcBorders>
              <w:tl2br w:val="nil"/>
              <w:tr2bl w:val="nil"/>
            </w:tcBorders>
            <w:noWrap w:val="0"/>
            <w:vAlign w:val="center"/>
          </w:tcPr>
          <w:p w14:paraId="6DE16119">
            <w:pPr>
              <w:pStyle w:val="8"/>
              <w:suppressLineNumbers w:val="0"/>
              <w:bidi w:val="0"/>
              <w:spacing w:before="0" w:beforeAutospacing="0" w:after="0" w:afterAutospacing="0"/>
              <w:ind w:left="0" w:right="0"/>
              <w:rPr>
                <w:rFonts w:hint="eastAsia" w:eastAsia="宋体"/>
                <w:highlight w:val="none"/>
                <w:lang w:eastAsia="zh-CN"/>
              </w:rPr>
            </w:pPr>
            <w:r>
              <w:rPr>
                <w:rFonts w:hint="default"/>
                <w:highlight w:val="none"/>
              </w:rPr>
              <w:t>本项目</w:t>
            </w:r>
            <w:r>
              <w:rPr>
                <w:rFonts w:hint="eastAsia"/>
                <w:highlight w:val="none"/>
                <w:lang w:val="en-US" w:eastAsia="zh-CN"/>
              </w:rPr>
              <w:t>生产、储存均位于生产车间内，生产车间、危险废物贮存库</w:t>
            </w:r>
            <w:r>
              <w:rPr>
                <w:rFonts w:hint="default"/>
                <w:highlight w:val="none"/>
              </w:rPr>
              <w:t>处均设置有堵截泄漏的裙脚，采用坚固防渗的材料建造，并采取隔离设施、报警装置和相应的防风、防晒、防雨措施</w:t>
            </w:r>
            <w:r>
              <w:rPr>
                <w:rFonts w:hint="eastAsia"/>
                <w:highlight w:val="none"/>
                <w:lang w:eastAsia="zh-CN"/>
              </w:rPr>
              <w:t>。</w:t>
            </w:r>
          </w:p>
        </w:tc>
        <w:tc>
          <w:tcPr>
            <w:tcW w:w="498" w:type="pct"/>
            <w:tcBorders>
              <w:tl2br w:val="nil"/>
              <w:tr2bl w:val="nil"/>
            </w:tcBorders>
            <w:noWrap w:val="0"/>
            <w:vAlign w:val="center"/>
          </w:tcPr>
          <w:p w14:paraId="5B2DF41E">
            <w:pPr>
              <w:pStyle w:val="8"/>
              <w:suppressLineNumbers w:val="0"/>
              <w:bidi w:val="0"/>
              <w:spacing w:before="0" w:beforeAutospacing="0" w:after="0" w:afterAutospacing="0"/>
              <w:ind w:left="0" w:right="0"/>
              <w:rPr>
                <w:rFonts w:hint="default"/>
                <w:highlight w:val="none"/>
              </w:rPr>
            </w:pPr>
            <w:r>
              <w:rPr>
                <w:rFonts w:hint="default"/>
                <w:highlight w:val="none"/>
              </w:rPr>
              <w:t>符合</w:t>
            </w:r>
          </w:p>
        </w:tc>
      </w:tr>
      <w:tr w14:paraId="47B612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2" w:type="pct"/>
            <w:vMerge w:val="continue"/>
            <w:tcBorders>
              <w:tl2br w:val="nil"/>
              <w:tr2bl w:val="nil"/>
            </w:tcBorders>
            <w:noWrap w:val="0"/>
            <w:vAlign w:val="center"/>
          </w:tcPr>
          <w:p w14:paraId="580AE67E">
            <w:pPr>
              <w:pStyle w:val="8"/>
              <w:suppressLineNumbers w:val="0"/>
              <w:bidi w:val="0"/>
              <w:spacing w:before="0" w:beforeAutospacing="0" w:after="0" w:afterAutospacing="0"/>
              <w:ind w:left="0" w:right="0"/>
              <w:outlineLvl w:val="9"/>
              <w:rPr>
                <w:rFonts w:hint="default"/>
                <w:highlight w:val="none"/>
              </w:rPr>
            </w:pPr>
          </w:p>
        </w:tc>
        <w:tc>
          <w:tcPr>
            <w:tcW w:w="2199" w:type="pct"/>
            <w:tcBorders>
              <w:tl2br w:val="nil"/>
              <w:tr2bl w:val="nil"/>
            </w:tcBorders>
            <w:noWrap w:val="0"/>
            <w:vAlign w:val="center"/>
          </w:tcPr>
          <w:p w14:paraId="6A7C45A2">
            <w:pPr>
              <w:pStyle w:val="8"/>
              <w:suppressLineNumbers w:val="0"/>
              <w:bidi w:val="0"/>
              <w:spacing w:before="0" w:beforeAutospacing="0" w:after="0" w:afterAutospacing="0"/>
              <w:ind w:left="0" w:right="0"/>
              <w:rPr>
                <w:rFonts w:hint="default"/>
                <w:highlight w:val="none"/>
              </w:rPr>
            </w:pPr>
            <w:r>
              <w:rPr>
                <w:rFonts w:hint="default"/>
                <w:highlight w:val="none"/>
              </w:rPr>
              <w:t>基础防渗层为粘土层的，其厚度应在1米以上，渗透系数应小于1.0×10</w:t>
            </w:r>
            <w:r>
              <w:rPr>
                <w:rFonts w:hint="default"/>
                <w:highlight w:val="none"/>
                <w:vertAlign w:val="superscript"/>
              </w:rPr>
              <w:t>-7</w:t>
            </w:r>
            <w:r>
              <w:rPr>
                <w:rFonts w:hint="default"/>
                <w:highlight w:val="none"/>
              </w:rPr>
              <w:t>厘米/秒；基础防渗层也可用厚度在2毫米以上的高密度聚乙烯或其他人工防渗材料组成，渗透系数应小于1.0×10</w:t>
            </w:r>
            <w:r>
              <w:rPr>
                <w:rFonts w:hint="default"/>
                <w:highlight w:val="none"/>
                <w:vertAlign w:val="superscript"/>
              </w:rPr>
              <w:t>-10</w:t>
            </w:r>
            <w:r>
              <w:rPr>
                <w:rFonts w:hint="default"/>
                <w:highlight w:val="none"/>
              </w:rPr>
              <w:t>厘米/秒；</w:t>
            </w:r>
          </w:p>
        </w:tc>
        <w:tc>
          <w:tcPr>
            <w:tcW w:w="1730" w:type="pct"/>
            <w:tcBorders>
              <w:tl2br w:val="nil"/>
              <w:tr2bl w:val="nil"/>
            </w:tcBorders>
            <w:noWrap w:val="0"/>
            <w:vAlign w:val="center"/>
          </w:tcPr>
          <w:p w14:paraId="191CD9A6">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生产车间</w:t>
            </w:r>
            <w:r>
              <w:rPr>
                <w:rFonts w:hint="eastAsia"/>
                <w:highlight w:val="none"/>
              </w:rPr>
              <w:t>地面</w:t>
            </w:r>
            <w:r>
              <w:rPr>
                <w:rFonts w:hint="eastAsia"/>
                <w:highlight w:val="none"/>
                <w:lang w:val="en-US" w:eastAsia="zh-CN"/>
              </w:rPr>
              <w:t>整体</w:t>
            </w:r>
            <w:r>
              <w:rPr>
                <w:rFonts w:hint="eastAsia"/>
                <w:highlight w:val="none"/>
              </w:rPr>
              <w:t>采取防渗措施，防渗层采取</w:t>
            </w:r>
            <w:r>
              <w:rPr>
                <w:rFonts w:hint="eastAsia"/>
                <w:highlight w:val="none"/>
                <w:lang w:val="en-US" w:eastAsia="zh-CN"/>
              </w:rPr>
              <w:t>人工材料防渗层+</w:t>
            </w:r>
            <w:r>
              <w:rPr>
                <w:rFonts w:hint="eastAsia"/>
                <w:highlight w:val="none"/>
              </w:rPr>
              <w:t>防渗混凝土层，渗透系数＜1.0×10</w:t>
            </w:r>
            <w:r>
              <w:rPr>
                <w:rFonts w:hint="eastAsia"/>
                <w:highlight w:val="none"/>
                <w:vertAlign w:val="superscript"/>
              </w:rPr>
              <w:t>-10</w:t>
            </w:r>
            <w:r>
              <w:rPr>
                <w:rFonts w:hint="eastAsia"/>
                <w:highlight w:val="none"/>
              </w:rPr>
              <w:t>cm/s。</w:t>
            </w:r>
          </w:p>
        </w:tc>
        <w:tc>
          <w:tcPr>
            <w:tcW w:w="498" w:type="pct"/>
            <w:tcBorders>
              <w:tl2br w:val="nil"/>
              <w:tr2bl w:val="nil"/>
            </w:tcBorders>
            <w:noWrap w:val="0"/>
            <w:vAlign w:val="center"/>
          </w:tcPr>
          <w:p w14:paraId="68F7839B">
            <w:pPr>
              <w:pStyle w:val="8"/>
              <w:suppressLineNumbers w:val="0"/>
              <w:bidi w:val="0"/>
              <w:spacing w:before="0" w:beforeAutospacing="0" w:after="0" w:afterAutospacing="0"/>
              <w:ind w:left="0" w:right="0"/>
              <w:rPr>
                <w:rFonts w:hint="default"/>
                <w:highlight w:val="none"/>
              </w:rPr>
            </w:pPr>
            <w:r>
              <w:rPr>
                <w:rFonts w:hint="default"/>
                <w:highlight w:val="none"/>
              </w:rPr>
              <w:t>符合</w:t>
            </w:r>
          </w:p>
        </w:tc>
      </w:tr>
      <w:tr w14:paraId="793821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2" w:type="pct"/>
            <w:vMerge w:val="continue"/>
            <w:tcBorders>
              <w:tl2br w:val="nil"/>
              <w:tr2bl w:val="nil"/>
            </w:tcBorders>
            <w:noWrap w:val="0"/>
            <w:vAlign w:val="center"/>
          </w:tcPr>
          <w:p w14:paraId="188D2818">
            <w:pPr>
              <w:pStyle w:val="8"/>
              <w:suppressLineNumbers w:val="0"/>
              <w:bidi w:val="0"/>
              <w:spacing w:before="0" w:beforeAutospacing="0" w:after="0" w:afterAutospacing="0"/>
              <w:ind w:left="0" w:right="0"/>
              <w:outlineLvl w:val="9"/>
              <w:rPr>
                <w:rFonts w:hint="default"/>
                <w:highlight w:val="none"/>
              </w:rPr>
            </w:pPr>
          </w:p>
        </w:tc>
        <w:tc>
          <w:tcPr>
            <w:tcW w:w="2199" w:type="pct"/>
            <w:tcBorders>
              <w:tl2br w:val="nil"/>
              <w:tr2bl w:val="nil"/>
            </w:tcBorders>
            <w:noWrap w:val="0"/>
            <w:vAlign w:val="center"/>
          </w:tcPr>
          <w:p w14:paraId="1C38C991">
            <w:pPr>
              <w:pStyle w:val="8"/>
              <w:suppressLineNumbers w:val="0"/>
              <w:bidi w:val="0"/>
              <w:spacing w:before="0" w:beforeAutospacing="0" w:after="0" w:afterAutospacing="0"/>
              <w:ind w:left="0" w:right="0"/>
              <w:rPr>
                <w:rFonts w:hint="default"/>
                <w:highlight w:val="none"/>
              </w:rPr>
            </w:pPr>
            <w:r>
              <w:rPr>
                <w:rFonts w:hint="default"/>
                <w:highlight w:val="none"/>
              </w:rPr>
              <w:t>须有泄漏液体收集装置及气体导出口和气体净化装置；</w:t>
            </w:r>
          </w:p>
        </w:tc>
        <w:tc>
          <w:tcPr>
            <w:tcW w:w="1730" w:type="pct"/>
            <w:tcBorders>
              <w:tl2br w:val="nil"/>
              <w:tr2bl w:val="nil"/>
            </w:tcBorders>
            <w:noWrap w:val="0"/>
            <w:vAlign w:val="center"/>
          </w:tcPr>
          <w:p w14:paraId="4C92FDD1">
            <w:pPr>
              <w:pStyle w:val="8"/>
              <w:suppressLineNumbers w:val="0"/>
              <w:bidi w:val="0"/>
              <w:spacing w:before="0" w:beforeAutospacing="0" w:after="0" w:afterAutospacing="0"/>
              <w:ind w:left="0" w:right="0"/>
              <w:rPr>
                <w:rFonts w:hint="default"/>
                <w:highlight w:val="none"/>
              </w:rPr>
            </w:pPr>
            <w:r>
              <w:rPr>
                <w:rFonts w:hint="default"/>
                <w:highlight w:val="none"/>
              </w:rPr>
              <w:t>在</w:t>
            </w:r>
            <w:r>
              <w:rPr>
                <w:rFonts w:hint="eastAsia"/>
                <w:color w:val="auto"/>
                <w:sz w:val="21"/>
                <w:szCs w:val="21"/>
                <w:highlight w:val="none"/>
                <w:lang w:val="en-US" w:eastAsia="zh-CN"/>
              </w:rPr>
              <w:t>原料贮存区、危险废物贮存库</w:t>
            </w:r>
            <w:r>
              <w:rPr>
                <w:rFonts w:hint="default"/>
                <w:highlight w:val="none"/>
              </w:rPr>
              <w:t>设置有泄漏液体收集装置如围堰</w:t>
            </w:r>
            <w:r>
              <w:rPr>
                <w:rFonts w:hint="eastAsia"/>
                <w:highlight w:val="none"/>
                <w:lang w:eastAsia="zh-CN"/>
              </w:rPr>
              <w:t>、</w:t>
            </w:r>
            <w:r>
              <w:rPr>
                <w:rFonts w:hint="eastAsia"/>
                <w:highlight w:val="none"/>
                <w:lang w:val="en-US" w:eastAsia="zh-CN"/>
              </w:rPr>
              <w:t>导流槽</w:t>
            </w:r>
            <w:r>
              <w:rPr>
                <w:rFonts w:hint="default"/>
                <w:highlight w:val="none"/>
              </w:rPr>
              <w:t>等；</w:t>
            </w:r>
          </w:p>
        </w:tc>
        <w:tc>
          <w:tcPr>
            <w:tcW w:w="498" w:type="pct"/>
            <w:tcBorders>
              <w:tl2br w:val="nil"/>
              <w:tr2bl w:val="nil"/>
            </w:tcBorders>
            <w:noWrap w:val="0"/>
            <w:vAlign w:val="center"/>
          </w:tcPr>
          <w:p w14:paraId="4899EC36">
            <w:pPr>
              <w:pStyle w:val="8"/>
              <w:suppressLineNumbers w:val="0"/>
              <w:bidi w:val="0"/>
              <w:spacing w:before="0" w:beforeAutospacing="0" w:after="0" w:afterAutospacing="0"/>
              <w:ind w:left="0" w:right="0"/>
              <w:rPr>
                <w:rFonts w:hint="default"/>
                <w:highlight w:val="none"/>
              </w:rPr>
            </w:pPr>
            <w:r>
              <w:rPr>
                <w:rFonts w:hint="default"/>
                <w:highlight w:val="none"/>
              </w:rPr>
              <w:t>符合</w:t>
            </w:r>
          </w:p>
        </w:tc>
      </w:tr>
      <w:tr w14:paraId="581D61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2" w:type="pct"/>
            <w:vMerge w:val="continue"/>
            <w:tcBorders>
              <w:tl2br w:val="nil"/>
              <w:tr2bl w:val="nil"/>
            </w:tcBorders>
            <w:noWrap w:val="0"/>
            <w:vAlign w:val="center"/>
          </w:tcPr>
          <w:p w14:paraId="05DD8CDB">
            <w:pPr>
              <w:pStyle w:val="8"/>
              <w:suppressLineNumbers w:val="0"/>
              <w:bidi w:val="0"/>
              <w:spacing w:before="0" w:beforeAutospacing="0" w:after="0" w:afterAutospacing="0"/>
              <w:ind w:left="0" w:right="0"/>
              <w:outlineLvl w:val="9"/>
              <w:rPr>
                <w:rFonts w:hint="default"/>
                <w:highlight w:val="none"/>
              </w:rPr>
            </w:pPr>
          </w:p>
        </w:tc>
        <w:tc>
          <w:tcPr>
            <w:tcW w:w="2199" w:type="pct"/>
            <w:tcBorders>
              <w:tl2br w:val="nil"/>
              <w:tr2bl w:val="nil"/>
            </w:tcBorders>
            <w:noWrap w:val="0"/>
            <w:vAlign w:val="center"/>
          </w:tcPr>
          <w:p w14:paraId="38358FFF">
            <w:pPr>
              <w:pStyle w:val="8"/>
              <w:suppressLineNumbers w:val="0"/>
              <w:bidi w:val="0"/>
              <w:spacing w:before="0" w:beforeAutospacing="0" w:after="0" w:afterAutospacing="0"/>
              <w:ind w:left="0" w:right="0"/>
              <w:rPr>
                <w:rFonts w:hint="default"/>
                <w:highlight w:val="none"/>
              </w:rPr>
            </w:pPr>
            <w:r>
              <w:rPr>
                <w:rFonts w:hint="default"/>
                <w:highlight w:val="none"/>
              </w:rPr>
              <w:t>用于存放液体、半固体危险废物的地方，还须有耐腐蚀的硬化地面，地面无裂隙；</w:t>
            </w:r>
          </w:p>
        </w:tc>
        <w:tc>
          <w:tcPr>
            <w:tcW w:w="1730" w:type="pct"/>
            <w:tcBorders>
              <w:tl2br w:val="nil"/>
              <w:tr2bl w:val="nil"/>
            </w:tcBorders>
            <w:noWrap w:val="0"/>
            <w:vAlign w:val="center"/>
          </w:tcPr>
          <w:p w14:paraId="46C5F947">
            <w:pPr>
              <w:pStyle w:val="8"/>
              <w:suppressLineNumbers w:val="0"/>
              <w:bidi w:val="0"/>
              <w:spacing w:before="0" w:beforeAutospacing="0" w:after="0" w:afterAutospacing="0"/>
              <w:ind w:left="0" w:right="0"/>
              <w:rPr>
                <w:rFonts w:hint="default"/>
                <w:highlight w:val="none"/>
              </w:rPr>
            </w:pPr>
            <w:r>
              <w:rPr>
                <w:rFonts w:hint="default"/>
                <w:highlight w:val="none"/>
              </w:rPr>
              <w:t>本工程</w:t>
            </w:r>
            <w:r>
              <w:rPr>
                <w:rFonts w:hint="eastAsia"/>
                <w:highlight w:val="none"/>
                <w:lang w:val="en-US" w:eastAsia="zh-CN"/>
              </w:rPr>
              <w:t>拟对生产车间</w:t>
            </w:r>
            <w:r>
              <w:rPr>
                <w:rFonts w:hint="default"/>
                <w:highlight w:val="none"/>
              </w:rPr>
              <w:t>地面</w:t>
            </w:r>
            <w:r>
              <w:rPr>
                <w:rFonts w:hint="eastAsia"/>
                <w:highlight w:val="none"/>
                <w:lang w:eastAsia="zh-CN"/>
              </w:rPr>
              <w:t>、</w:t>
            </w:r>
            <w:r>
              <w:rPr>
                <w:rFonts w:hint="eastAsia"/>
                <w:highlight w:val="none"/>
                <w:lang w:val="en-US" w:eastAsia="zh-CN"/>
              </w:rPr>
              <w:t>原料贮存区整体</w:t>
            </w:r>
            <w:r>
              <w:rPr>
                <w:rFonts w:hint="default"/>
                <w:highlight w:val="none"/>
              </w:rPr>
              <w:t>进行耐腐蚀硬化，同时</w:t>
            </w:r>
            <w:r>
              <w:rPr>
                <w:rFonts w:hint="eastAsia"/>
                <w:highlight w:val="none"/>
                <w:lang w:val="en-US" w:eastAsia="zh-CN"/>
              </w:rPr>
              <w:t>铺设防渗材料，地面应无裂隙</w:t>
            </w:r>
            <w:r>
              <w:rPr>
                <w:rFonts w:hint="default"/>
                <w:highlight w:val="none"/>
              </w:rPr>
              <w:t>；</w:t>
            </w:r>
          </w:p>
        </w:tc>
        <w:tc>
          <w:tcPr>
            <w:tcW w:w="498" w:type="pct"/>
            <w:tcBorders>
              <w:tl2br w:val="nil"/>
              <w:tr2bl w:val="nil"/>
            </w:tcBorders>
            <w:noWrap w:val="0"/>
            <w:vAlign w:val="center"/>
          </w:tcPr>
          <w:p w14:paraId="410F5C87">
            <w:pPr>
              <w:pStyle w:val="8"/>
              <w:suppressLineNumbers w:val="0"/>
              <w:bidi w:val="0"/>
              <w:spacing w:before="0" w:beforeAutospacing="0" w:after="0" w:afterAutospacing="0"/>
              <w:ind w:left="0" w:right="0"/>
              <w:rPr>
                <w:rFonts w:hint="default"/>
                <w:highlight w:val="none"/>
              </w:rPr>
            </w:pPr>
            <w:r>
              <w:rPr>
                <w:rFonts w:hint="default"/>
                <w:highlight w:val="none"/>
              </w:rPr>
              <w:t>符合</w:t>
            </w:r>
          </w:p>
        </w:tc>
      </w:tr>
      <w:tr w14:paraId="277EF5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2" w:type="pct"/>
            <w:vMerge w:val="continue"/>
            <w:tcBorders>
              <w:tl2br w:val="nil"/>
              <w:tr2bl w:val="nil"/>
            </w:tcBorders>
            <w:noWrap w:val="0"/>
            <w:vAlign w:val="center"/>
          </w:tcPr>
          <w:p w14:paraId="4E47CC25">
            <w:pPr>
              <w:pStyle w:val="8"/>
              <w:suppressLineNumbers w:val="0"/>
              <w:bidi w:val="0"/>
              <w:spacing w:before="0" w:beforeAutospacing="0" w:after="0" w:afterAutospacing="0"/>
              <w:ind w:left="0" w:right="0"/>
              <w:outlineLvl w:val="9"/>
              <w:rPr>
                <w:rFonts w:hint="default"/>
                <w:highlight w:val="none"/>
              </w:rPr>
            </w:pPr>
          </w:p>
        </w:tc>
        <w:tc>
          <w:tcPr>
            <w:tcW w:w="2199" w:type="pct"/>
            <w:tcBorders>
              <w:tl2br w:val="nil"/>
              <w:tr2bl w:val="nil"/>
            </w:tcBorders>
            <w:noWrap w:val="0"/>
            <w:vAlign w:val="center"/>
          </w:tcPr>
          <w:p w14:paraId="7C01EFED">
            <w:pPr>
              <w:pStyle w:val="8"/>
              <w:suppressLineNumbers w:val="0"/>
              <w:bidi w:val="0"/>
              <w:spacing w:before="0" w:beforeAutospacing="0" w:after="0" w:afterAutospacing="0"/>
              <w:ind w:left="0" w:right="0"/>
              <w:rPr>
                <w:rFonts w:hint="default"/>
                <w:highlight w:val="none"/>
              </w:rPr>
            </w:pPr>
            <w:r>
              <w:rPr>
                <w:rFonts w:hint="default"/>
                <w:highlight w:val="none"/>
              </w:rPr>
              <w:t>衬层上需建有渗滤液收集清除系统、径流疏导系统、雨水收集池；</w:t>
            </w:r>
          </w:p>
        </w:tc>
        <w:tc>
          <w:tcPr>
            <w:tcW w:w="1730" w:type="pct"/>
            <w:tcBorders>
              <w:tl2br w:val="nil"/>
              <w:tr2bl w:val="nil"/>
            </w:tcBorders>
            <w:noWrap w:val="0"/>
            <w:vAlign w:val="center"/>
          </w:tcPr>
          <w:p w14:paraId="5A7129E5">
            <w:pPr>
              <w:pStyle w:val="8"/>
              <w:suppressLineNumbers w:val="0"/>
              <w:bidi w:val="0"/>
              <w:spacing w:before="0" w:beforeAutospacing="0" w:after="0" w:afterAutospacing="0"/>
              <w:ind w:left="0" w:right="0"/>
              <w:rPr>
                <w:rFonts w:hint="default"/>
                <w:highlight w:val="none"/>
              </w:rPr>
            </w:pPr>
            <w:r>
              <w:rPr>
                <w:rFonts w:hint="default"/>
                <w:highlight w:val="none"/>
              </w:rPr>
              <w:t>本</w:t>
            </w:r>
            <w:r>
              <w:rPr>
                <w:rFonts w:hint="eastAsia"/>
                <w:highlight w:val="none"/>
                <w:lang w:val="en-US" w:eastAsia="zh-CN"/>
              </w:rPr>
              <w:t>项目位于封闭厂房内，无裸露厂区</w:t>
            </w:r>
            <w:r>
              <w:rPr>
                <w:rFonts w:hint="default"/>
                <w:highlight w:val="none"/>
              </w:rPr>
              <w:t>；</w:t>
            </w:r>
          </w:p>
        </w:tc>
        <w:tc>
          <w:tcPr>
            <w:tcW w:w="498" w:type="pct"/>
            <w:tcBorders>
              <w:tl2br w:val="nil"/>
              <w:tr2bl w:val="nil"/>
            </w:tcBorders>
            <w:noWrap w:val="0"/>
            <w:vAlign w:val="center"/>
          </w:tcPr>
          <w:p w14:paraId="1F8F88B9">
            <w:pPr>
              <w:pStyle w:val="8"/>
              <w:suppressLineNumbers w:val="0"/>
              <w:bidi w:val="0"/>
              <w:spacing w:before="0" w:beforeAutospacing="0" w:after="0" w:afterAutospacing="0"/>
              <w:ind w:left="0" w:right="0"/>
              <w:rPr>
                <w:rFonts w:hint="default"/>
                <w:highlight w:val="none"/>
              </w:rPr>
            </w:pPr>
            <w:r>
              <w:rPr>
                <w:rFonts w:hint="default"/>
                <w:highlight w:val="none"/>
              </w:rPr>
              <w:t>符合</w:t>
            </w:r>
          </w:p>
        </w:tc>
      </w:tr>
      <w:tr w14:paraId="732695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2" w:type="pct"/>
            <w:vMerge w:val="continue"/>
            <w:tcBorders>
              <w:tl2br w:val="nil"/>
              <w:tr2bl w:val="nil"/>
            </w:tcBorders>
            <w:noWrap w:val="0"/>
            <w:vAlign w:val="center"/>
          </w:tcPr>
          <w:p w14:paraId="5C8F6C50">
            <w:pPr>
              <w:pStyle w:val="8"/>
              <w:suppressLineNumbers w:val="0"/>
              <w:bidi w:val="0"/>
              <w:spacing w:before="0" w:beforeAutospacing="0" w:after="0" w:afterAutospacing="0"/>
              <w:ind w:left="0" w:right="0"/>
              <w:outlineLvl w:val="9"/>
              <w:rPr>
                <w:rFonts w:hint="default"/>
                <w:highlight w:val="none"/>
              </w:rPr>
            </w:pPr>
          </w:p>
        </w:tc>
        <w:tc>
          <w:tcPr>
            <w:tcW w:w="2199" w:type="pct"/>
            <w:tcBorders>
              <w:tl2br w:val="nil"/>
              <w:tr2bl w:val="nil"/>
            </w:tcBorders>
            <w:noWrap w:val="0"/>
            <w:vAlign w:val="center"/>
          </w:tcPr>
          <w:p w14:paraId="1DE89A15">
            <w:pPr>
              <w:pStyle w:val="8"/>
              <w:suppressLineNumbers w:val="0"/>
              <w:bidi w:val="0"/>
              <w:spacing w:before="0" w:beforeAutospacing="0" w:after="0" w:afterAutospacing="0"/>
              <w:ind w:left="0" w:right="0"/>
              <w:rPr>
                <w:rFonts w:hint="default"/>
                <w:highlight w:val="none"/>
              </w:rPr>
            </w:pPr>
            <w:r>
              <w:rPr>
                <w:rFonts w:hint="default"/>
                <w:highlight w:val="none"/>
              </w:rPr>
              <w:t>贮存易燃易爆的危险废物的场所应配备消防设备。</w:t>
            </w:r>
          </w:p>
        </w:tc>
        <w:tc>
          <w:tcPr>
            <w:tcW w:w="1730" w:type="pct"/>
            <w:tcBorders>
              <w:tl2br w:val="nil"/>
              <w:tr2bl w:val="nil"/>
            </w:tcBorders>
            <w:noWrap w:val="0"/>
            <w:vAlign w:val="center"/>
          </w:tcPr>
          <w:p w14:paraId="6C7646EA">
            <w:pPr>
              <w:pStyle w:val="8"/>
              <w:suppressLineNumbers w:val="0"/>
              <w:bidi w:val="0"/>
              <w:spacing w:before="0" w:beforeAutospacing="0" w:after="0" w:afterAutospacing="0"/>
              <w:ind w:left="0" w:right="0"/>
              <w:rPr>
                <w:rFonts w:hint="default"/>
                <w:highlight w:val="none"/>
              </w:rPr>
            </w:pPr>
            <w:r>
              <w:rPr>
                <w:rFonts w:hint="default"/>
                <w:highlight w:val="none"/>
              </w:rPr>
              <w:t>本项目在厂区按照</w:t>
            </w:r>
            <w:r>
              <w:rPr>
                <w:rFonts w:hint="eastAsia"/>
                <w:highlight w:val="none"/>
                <w:lang w:val="en-US" w:eastAsia="zh-CN"/>
              </w:rPr>
              <w:t>相关</w:t>
            </w:r>
            <w:r>
              <w:rPr>
                <w:rFonts w:hint="default"/>
                <w:highlight w:val="none"/>
              </w:rPr>
              <w:t>要求设置了符合规范要求的消防设备。</w:t>
            </w:r>
          </w:p>
        </w:tc>
        <w:tc>
          <w:tcPr>
            <w:tcW w:w="498" w:type="pct"/>
            <w:tcBorders>
              <w:tl2br w:val="nil"/>
              <w:tr2bl w:val="nil"/>
            </w:tcBorders>
            <w:noWrap w:val="0"/>
            <w:vAlign w:val="center"/>
          </w:tcPr>
          <w:p w14:paraId="11D152AE">
            <w:pPr>
              <w:pStyle w:val="8"/>
              <w:suppressLineNumbers w:val="0"/>
              <w:bidi w:val="0"/>
              <w:spacing w:before="0" w:beforeAutospacing="0" w:after="0" w:afterAutospacing="0"/>
              <w:ind w:left="0" w:right="0"/>
              <w:rPr>
                <w:rFonts w:hint="default"/>
                <w:highlight w:val="none"/>
              </w:rPr>
            </w:pPr>
            <w:r>
              <w:rPr>
                <w:rFonts w:hint="default"/>
                <w:highlight w:val="none"/>
              </w:rPr>
              <w:t>符合</w:t>
            </w:r>
          </w:p>
        </w:tc>
      </w:tr>
    </w:tbl>
    <w:p w14:paraId="668A28FE">
      <w:pPr>
        <w:pStyle w:val="7"/>
        <w:bidi w:val="0"/>
        <w:rPr>
          <w:highlight w:val="none"/>
        </w:rPr>
      </w:pPr>
      <w:r>
        <w:rPr>
          <w:rFonts w:hint="eastAsia"/>
          <w:highlight w:val="none"/>
          <w:lang w:val="en-US" w:eastAsia="zh-CN"/>
        </w:rPr>
        <w:t>续</w:t>
      </w:r>
      <w:r>
        <w:rPr>
          <w:highlight w:val="none"/>
        </w:rPr>
        <w:t>表1-4-</w:t>
      </w:r>
      <w:r>
        <w:rPr>
          <w:rFonts w:hint="eastAsia"/>
          <w:highlight w:val="none"/>
          <w:lang w:val="en-US" w:eastAsia="zh-CN"/>
        </w:rPr>
        <w:t>3</w:t>
      </w:r>
      <w:r>
        <w:rPr>
          <w:rFonts w:hint="eastAsia"/>
          <w:highlight w:val="none"/>
        </w:rPr>
        <w:t>《危险废物污染防治技术政策》</w:t>
      </w:r>
      <w:r>
        <w:rPr>
          <w:highlight w:val="none"/>
        </w:rPr>
        <w:t>符合性分析</w:t>
      </w:r>
    </w:p>
    <w:tbl>
      <w:tblPr>
        <w:tblStyle w:val="45"/>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75"/>
        <w:gridCol w:w="3749"/>
        <w:gridCol w:w="2949"/>
        <w:gridCol w:w="849"/>
      </w:tblGrid>
      <w:tr w14:paraId="029601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00" w:hRule="atLeast"/>
        </w:trPr>
        <w:tc>
          <w:tcPr>
            <w:tcW w:w="572" w:type="pct"/>
            <w:tcBorders>
              <w:tl2br w:val="nil"/>
              <w:tr2bl w:val="nil"/>
            </w:tcBorders>
            <w:noWrap w:val="0"/>
            <w:vAlign w:val="center"/>
          </w:tcPr>
          <w:p w14:paraId="1A4931B4">
            <w:pPr>
              <w:pStyle w:val="8"/>
              <w:suppressLineNumbers w:val="0"/>
              <w:bidi w:val="0"/>
              <w:spacing w:before="0" w:beforeAutospacing="0" w:after="0" w:afterAutospacing="0"/>
              <w:ind w:left="0" w:right="0"/>
              <w:rPr>
                <w:rFonts w:hint="default"/>
                <w:highlight w:val="none"/>
              </w:rPr>
            </w:pPr>
            <w:r>
              <w:rPr>
                <w:rFonts w:hint="default"/>
                <w:highlight w:val="none"/>
              </w:rPr>
              <w:t>废矿物油的污染防治</w:t>
            </w:r>
          </w:p>
        </w:tc>
        <w:tc>
          <w:tcPr>
            <w:tcW w:w="2199" w:type="pct"/>
            <w:tcBorders>
              <w:tl2br w:val="nil"/>
              <w:tr2bl w:val="nil"/>
            </w:tcBorders>
            <w:noWrap w:val="0"/>
            <w:vAlign w:val="center"/>
          </w:tcPr>
          <w:p w14:paraId="11AB6DA5">
            <w:pPr>
              <w:pStyle w:val="8"/>
              <w:suppressLineNumbers w:val="0"/>
              <w:bidi w:val="0"/>
              <w:spacing w:before="0" w:beforeAutospacing="0" w:after="0" w:afterAutospacing="0"/>
              <w:ind w:left="0" w:right="0"/>
              <w:rPr>
                <w:rFonts w:hint="default"/>
                <w:highlight w:val="none"/>
              </w:rPr>
            </w:pPr>
            <w:r>
              <w:rPr>
                <w:rFonts w:hint="default"/>
                <w:highlight w:val="none"/>
              </w:rPr>
              <w:t>鼓励建立废矿物油收集体系，禁止将废矿物油任意抛洒、掩埋或倒入下水道以及用作建筑脱模油，禁止继续使用硫酸/白土法再生废矿物油。</w:t>
            </w:r>
          </w:p>
        </w:tc>
        <w:tc>
          <w:tcPr>
            <w:tcW w:w="1730" w:type="pct"/>
            <w:tcBorders>
              <w:tl2br w:val="nil"/>
              <w:tr2bl w:val="nil"/>
            </w:tcBorders>
            <w:noWrap w:val="0"/>
            <w:vAlign w:val="center"/>
          </w:tcPr>
          <w:p w14:paraId="0C366EDE">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本项目分离出的废液由专用容器收集，交由有资质单位处置</w:t>
            </w:r>
            <w:r>
              <w:rPr>
                <w:rFonts w:hint="default"/>
                <w:highlight w:val="none"/>
              </w:rPr>
              <w:t>。</w:t>
            </w:r>
          </w:p>
        </w:tc>
        <w:tc>
          <w:tcPr>
            <w:tcW w:w="498" w:type="pct"/>
            <w:tcBorders>
              <w:tl2br w:val="nil"/>
              <w:tr2bl w:val="nil"/>
            </w:tcBorders>
            <w:noWrap w:val="0"/>
            <w:vAlign w:val="center"/>
          </w:tcPr>
          <w:p w14:paraId="46B703E9">
            <w:pPr>
              <w:pStyle w:val="8"/>
              <w:suppressLineNumbers w:val="0"/>
              <w:bidi w:val="0"/>
              <w:spacing w:before="0" w:beforeAutospacing="0" w:after="0" w:afterAutospacing="0"/>
              <w:ind w:left="0" w:right="0"/>
              <w:rPr>
                <w:rFonts w:hint="default"/>
                <w:highlight w:val="none"/>
              </w:rPr>
            </w:pPr>
            <w:r>
              <w:rPr>
                <w:rFonts w:hint="default"/>
                <w:highlight w:val="none"/>
              </w:rPr>
              <w:t>符合</w:t>
            </w:r>
          </w:p>
        </w:tc>
      </w:tr>
    </w:tbl>
    <w:p w14:paraId="3CBC3FD1">
      <w:pPr>
        <w:pStyle w:val="4"/>
        <w:bidi w:val="0"/>
        <w:rPr>
          <w:highlight w:val="none"/>
        </w:rPr>
      </w:pPr>
      <w:bookmarkStart w:id="59" w:name="_Toc9906"/>
      <w:bookmarkStart w:id="60" w:name="_Toc22983"/>
      <w:r>
        <w:rPr>
          <w:highlight w:val="none"/>
        </w:rPr>
        <w:t>1.4.</w:t>
      </w:r>
      <w:r>
        <w:rPr>
          <w:rFonts w:hint="eastAsia"/>
          <w:highlight w:val="none"/>
          <w:lang w:val="en-US" w:eastAsia="zh-CN"/>
        </w:rPr>
        <w:t>5</w:t>
      </w:r>
      <w:r>
        <w:rPr>
          <w:highlight w:val="none"/>
        </w:rPr>
        <w:t>与《危险废物贮存污染控制标准》（GB18597-2023）符合性分析</w:t>
      </w:r>
      <w:bookmarkEnd w:id="59"/>
      <w:bookmarkEnd w:id="60"/>
    </w:p>
    <w:p w14:paraId="1055A29A">
      <w:pPr>
        <w:pStyle w:val="7"/>
        <w:bidi w:val="0"/>
        <w:rPr>
          <w:highlight w:val="none"/>
        </w:rPr>
      </w:pPr>
      <w:r>
        <w:rPr>
          <w:highlight w:val="none"/>
        </w:rPr>
        <w:t>表1-4-</w:t>
      </w:r>
      <w:r>
        <w:rPr>
          <w:rFonts w:hint="eastAsia"/>
          <w:highlight w:val="none"/>
          <w:lang w:val="en-US" w:eastAsia="zh-CN"/>
        </w:rPr>
        <w:t>4</w:t>
      </w:r>
      <w:r>
        <w:rPr>
          <w:highlight w:val="none"/>
        </w:rPr>
        <w:t>与《危险废物贮存污染控制标准》符合性一览表</w:t>
      </w:r>
    </w:p>
    <w:tbl>
      <w:tblPr>
        <w:tblStyle w:val="45"/>
        <w:tblpPr w:leftFromText="180" w:rightFromText="180" w:vertAnchor="text" w:tblpXSpec="left" w:tblpY="1"/>
        <w:tblOverlap w:val="never"/>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559"/>
        <w:gridCol w:w="4112"/>
        <w:gridCol w:w="2999"/>
        <w:gridCol w:w="852"/>
      </w:tblGrid>
      <w:tr w14:paraId="6325314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trPr>
        <w:tc>
          <w:tcPr>
            <w:tcW w:w="559" w:type="dxa"/>
            <w:vAlign w:val="center"/>
          </w:tcPr>
          <w:p w14:paraId="081383D3">
            <w:pPr>
              <w:pStyle w:val="8"/>
              <w:suppressLineNumbers w:val="0"/>
              <w:bidi w:val="0"/>
              <w:spacing w:before="0" w:beforeAutospacing="0" w:after="0" w:afterAutospacing="0"/>
              <w:ind w:left="0" w:right="0"/>
              <w:jc w:val="center"/>
              <w:rPr>
                <w:rFonts w:hint="default"/>
                <w:highlight w:val="none"/>
              </w:rPr>
            </w:pPr>
            <w:r>
              <w:rPr>
                <w:rFonts w:hint="default"/>
                <w:highlight w:val="none"/>
              </w:rPr>
              <w:t>序号</w:t>
            </w:r>
          </w:p>
        </w:tc>
        <w:tc>
          <w:tcPr>
            <w:tcW w:w="4112" w:type="dxa"/>
            <w:vAlign w:val="center"/>
          </w:tcPr>
          <w:p w14:paraId="501001D2">
            <w:pPr>
              <w:pStyle w:val="8"/>
              <w:suppressLineNumbers w:val="0"/>
              <w:bidi w:val="0"/>
              <w:spacing w:before="0" w:beforeAutospacing="0" w:after="0" w:afterAutospacing="0"/>
              <w:ind w:left="0" w:right="0"/>
              <w:jc w:val="center"/>
              <w:rPr>
                <w:rFonts w:hint="default"/>
                <w:highlight w:val="none"/>
              </w:rPr>
            </w:pPr>
            <w:r>
              <w:rPr>
                <w:rFonts w:hint="default"/>
                <w:color w:val="auto"/>
                <w:sz w:val="21"/>
                <w:szCs w:val="21"/>
                <w:highlight w:val="none"/>
              </w:rPr>
              <w:t>要求内容</w:t>
            </w:r>
          </w:p>
        </w:tc>
        <w:tc>
          <w:tcPr>
            <w:tcW w:w="2999" w:type="dxa"/>
            <w:vAlign w:val="center"/>
          </w:tcPr>
          <w:p w14:paraId="656A2EAC">
            <w:pPr>
              <w:pStyle w:val="8"/>
              <w:suppressLineNumbers w:val="0"/>
              <w:bidi w:val="0"/>
              <w:spacing w:before="0" w:beforeAutospacing="0" w:after="0" w:afterAutospacing="0"/>
              <w:ind w:left="0" w:right="0"/>
              <w:jc w:val="center"/>
              <w:rPr>
                <w:rFonts w:hint="eastAsia" w:eastAsia="宋体"/>
                <w:highlight w:val="none"/>
                <w:lang w:eastAsia="zh-CN"/>
              </w:rPr>
            </w:pPr>
            <w:r>
              <w:rPr>
                <w:rFonts w:hint="eastAsia"/>
                <w:highlight w:val="none"/>
                <w:lang w:val="en-US" w:eastAsia="zh-CN"/>
              </w:rPr>
              <w:t>合理性分析</w:t>
            </w:r>
          </w:p>
        </w:tc>
        <w:tc>
          <w:tcPr>
            <w:tcW w:w="852" w:type="dxa"/>
            <w:vAlign w:val="center"/>
          </w:tcPr>
          <w:p w14:paraId="23138A62">
            <w:pPr>
              <w:pStyle w:val="8"/>
              <w:suppressLineNumbers w:val="0"/>
              <w:bidi w:val="0"/>
              <w:spacing w:before="0" w:beforeAutospacing="0" w:after="0" w:afterAutospacing="0"/>
              <w:ind w:left="0" w:right="0"/>
              <w:jc w:val="center"/>
              <w:rPr>
                <w:rFonts w:hint="default"/>
                <w:highlight w:val="none"/>
              </w:rPr>
            </w:pPr>
            <w:r>
              <w:rPr>
                <w:rFonts w:hint="default"/>
                <w:highlight w:val="none"/>
              </w:rPr>
              <w:t>符合性</w:t>
            </w:r>
          </w:p>
        </w:tc>
      </w:tr>
      <w:tr w14:paraId="112A66E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trPr>
        <w:tc>
          <w:tcPr>
            <w:tcW w:w="559" w:type="dxa"/>
            <w:vAlign w:val="center"/>
          </w:tcPr>
          <w:p w14:paraId="5503E15E">
            <w:pPr>
              <w:pStyle w:val="8"/>
              <w:numPr>
                <w:ilvl w:val="0"/>
                <w:numId w:val="6"/>
              </w:numPr>
              <w:suppressLineNumbers w:val="0"/>
              <w:bidi w:val="0"/>
              <w:spacing w:before="0" w:beforeAutospacing="0" w:after="0" w:afterAutospacing="0"/>
              <w:ind w:left="454" w:leftChars="0" w:right="0" w:hanging="387" w:firstLineChars="0"/>
              <w:jc w:val="center"/>
              <w:rPr>
                <w:rFonts w:hint="default"/>
                <w:highlight w:val="none"/>
              </w:rPr>
            </w:pPr>
          </w:p>
        </w:tc>
        <w:tc>
          <w:tcPr>
            <w:tcW w:w="4112" w:type="dxa"/>
            <w:shd w:val="clear" w:color="auto" w:fill="auto"/>
            <w:vAlign w:val="center"/>
          </w:tcPr>
          <w:p w14:paraId="217E2FF9">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产生、收集、贮存、利用、处置危险废物的单位应建造危险废物贮存设施或设置贮存场所，并根据需要选择贮存设施类型</w:t>
            </w:r>
          </w:p>
        </w:tc>
        <w:tc>
          <w:tcPr>
            <w:tcW w:w="2999" w:type="dxa"/>
            <w:vAlign w:val="center"/>
          </w:tcPr>
          <w:p w14:paraId="6DB4D7ED">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本项目设专门原料贮存区用于接收含油金属屑，现有危险废物贮存库用于储存生产产生的珩磨油泥、废机油、废胶、含油抹布、废手套、化学品包装桶、废活性炭、废过滤材料及废油</w:t>
            </w:r>
          </w:p>
        </w:tc>
        <w:tc>
          <w:tcPr>
            <w:tcW w:w="852" w:type="dxa"/>
            <w:vAlign w:val="center"/>
          </w:tcPr>
          <w:p w14:paraId="3C5B7075">
            <w:pPr>
              <w:pStyle w:val="8"/>
              <w:suppressLineNumbers w:val="0"/>
              <w:bidi w:val="0"/>
              <w:spacing w:before="0" w:beforeAutospacing="0" w:after="0" w:afterAutospacing="0"/>
              <w:ind w:left="0" w:right="0"/>
              <w:jc w:val="center"/>
              <w:rPr>
                <w:rFonts w:hint="default"/>
                <w:highlight w:val="none"/>
              </w:rPr>
            </w:pPr>
            <w:r>
              <w:rPr>
                <w:rFonts w:hint="default"/>
                <w:highlight w:val="none"/>
              </w:rPr>
              <w:t>符合</w:t>
            </w:r>
          </w:p>
        </w:tc>
      </w:tr>
      <w:tr w14:paraId="0A1D757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trPr>
        <w:tc>
          <w:tcPr>
            <w:tcW w:w="559" w:type="dxa"/>
            <w:vAlign w:val="center"/>
          </w:tcPr>
          <w:p w14:paraId="0750C790">
            <w:pPr>
              <w:pStyle w:val="8"/>
              <w:numPr>
                <w:ilvl w:val="0"/>
                <w:numId w:val="6"/>
              </w:numPr>
              <w:suppressLineNumbers w:val="0"/>
              <w:bidi w:val="0"/>
              <w:spacing w:before="0" w:beforeAutospacing="0" w:after="0" w:afterAutospacing="0"/>
              <w:ind w:left="454" w:leftChars="0" w:right="0" w:hanging="387" w:firstLineChars="0"/>
              <w:jc w:val="center"/>
              <w:rPr>
                <w:rFonts w:hint="default"/>
                <w:highlight w:val="none"/>
              </w:rPr>
            </w:pPr>
          </w:p>
        </w:tc>
        <w:tc>
          <w:tcPr>
            <w:tcW w:w="4112" w:type="dxa"/>
            <w:shd w:val="clear" w:color="auto" w:fill="auto"/>
            <w:vAlign w:val="center"/>
          </w:tcPr>
          <w:p w14:paraId="4E550FC6">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贮存危险废物应根据危险废物的类别、数量、形态、物理化学性质和环境风险等因素，确定贮存设施或场所类型和规模</w:t>
            </w:r>
          </w:p>
        </w:tc>
        <w:tc>
          <w:tcPr>
            <w:tcW w:w="2999" w:type="dxa"/>
            <w:vAlign w:val="center"/>
          </w:tcPr>
          <w:p w14:paraId="492769D7">
            <w:pPr>
              <w:pStyle w:val="8"/>
              <w:suppressLineNumbers w:val="0"/>
              <w:bidi w:val="0"/>
              <w:spacing w:before="0" w:beforeAutospacing="0" w:after="0" w:afterAutospacing="0"/>
              <w:ind w:left="0" w:right="0"/>
              <w:jc w:val="center"/>
              <w:rPr>
                <w:rFonts w:hint="default" w:eastAsia="宋体"/>
                <w:highlight w:val="none"/>
                <w:lang w:val="en-US" w:eastAsia="zh-CN"/>
              </w:rPr>
            </w:pPr>
            <w:r>
              <w:rPr>
                <w:rFonts w:hint="default"/>
                <w:color w:val="auto"/>
                <w:sz w:val="21"/>
                <w:szCs w:val="21"/>
                <w:highlight w:val="none"/>
              </w:rPr>
              <w:t>本项目</w:t>
            </w:r>
            <w:r>
              <w:rPr>
                <w:rFonts w:hint="eastAsia"/>
                <w:color w:val="auto"/>
                <w:sz w:val="21"/>
                <w:szCs w:val="21"/>
                <w:highlight w:val="none"/>
                <w:lang w:val="en-US" w:eastAsia="zh-CN"/>
              </w:rPr>
              <w:t>根据原料及危险废物数量、形态、物理化学性质确定贮存场所为贮存池及危险废物贮存库</w:t>
            </w:r>
          </w:p>
        </w:tc>
        <w:tc>
          <w:tcPr>
            <w:tcW w:w="852" w:type="dxa"/>
            <w:vAlign w:val="center"/>
          </w:tcPr>
          <w:p w14:paraId="14207893">
            <w:pPr>
              <w:pStyle w:val="8"/>
              <w:suppressLineNumbers w:val="0"/>
              <w:bidi w:val="0"/>
              <w:spacing w:before="0" w:beforeAutospacing="0" w:after="0" w:afterAutospacing="0"/>
              <w:ind w:left="0" w:right="0"/>
              <w:jc w:val="center"/>
              <w:rPr>
                <w:rFonts w:hint="default"/>
                <w:highlight w:val="none"/>
              </w:rPr>
            </w:pPr>
            <w:r>
              <w:rPr>
                <w:rFonts w:hint="default"/>
                <w:highlight w:val="none"/>
              </w:rPr>
              <w:t>符合</w:t>
            </w:r>
          </w:p>
        </w:tc>
      </w:tr>
      <w:tr w14:paraId="7355C1A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trPr>
        <w:tc>
          <w:tcPr>
            <w:tcW w:w="559" w:type="dxa"/>
            <w:vAlign w:val="center"/>
          </w:tcPr>
          <w:p w14:paraId="0CAAB47C">
            <w:pPr>
              <w:pStyle w:val="8"/>
              <w:numPr>
                <w:ilvl w:val="0"/>
                <w:numId w:val="6"/>
              </w:numPr>
              <w:suppressLineNumbers w:val="0"/>
              <w:bidi w:val="0"/>
              <w:spacing w:before="0" w:beforeAutospacing="0" w:after="0" w:afterAutospacing="0"/>
              <w:ind w:left="454" w:leftChars="0" w:right="0" w:hanging="387" w:firstLineChars="0"/>
              <w:jc w:val="center"/>
              <w:rPr>
                <w:rFonts w:hint="default"/>
                <w:highlight w:val="none"/>
              </w:rPr>
            </w:pPr>
          </w:p>
        </w:tc>
        <w:tc>
          <w:tcPr>
            <w:tcW w:w="4112" w:type="dxa"/>
            <w:shd w:val="clear" w:color="auto" w:fill="auto"/>
            <w:vAlign w:val="center"/>
          </w:tcPr>
          <w:p w14:paraId="45031D66">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贮存危险废物应根据危险废物的类别、形态、物理化学性质和污染防治要求进行分类贮存，且应避免危险废物与不相容的物质或材料接触</w:t>
            </w:r>
          </w:p>
        </w:tc>
        <w:tc>
          <w:tcPr>
            <w:tcW w:w="2999" w:type="dxa"/>
            <w:vAlign w:val="center"/>
          </w:tcPr>
          <w:p w14:paraId="688C8E9C">
            <w:pPr>
              <w:pStyle w:val="8"/>
              <w:suppressLineNumbers w:val="0"/>
              <w:bidi w:val="0"/>
              <w:spacing w:before="0" w:beforeAutospacing="0" w:after="0" w:afterAutospacing="0"/>
              <w:ind w:left="0" w:right="0"/>
              <w:jc w:val="center"/>
              <w:rPr>
                <w:rFonts w:hint="default"/>
                <w:highlight w:val="none"/>
              </w:rPr>
            </w:pPr>
            <w:r>
              <w:rPr>
                <w:rFonts w:hint="default"/>
                <w:color w:val="auto"/>
                <w:sz w:val="21"/>
                <w:szCs w:val="21"/>
                <w:highlight w:val="none"/>
              </w:rPr>
              <w:t>本项目</w:t>
            </w:r>
            <w:r>
              <w:rPr>
                <w:rFonts w:hint="eastAsia"/>
                <w:color w:val="auto"/>
                <w:sz w:val="21"/>
                <w:szCs w:val="21"/>
                <w:highlight w:val="none"/>
                <w:lang w:val="en-US" w:eastAsia="zh-CN"/>
              </w:rPr>
              <w:t>原料及生产产生的危险废物</w:t>
            </w:r>
            <w:r>
              <w:rPr>
                <w:rFonts w:hint="default"/>
                <w:color w:val="auto"/>
                <w:sz w:val="21"/>
                <w:szCs w:val="21"/>
                <w:highlight w:val="none"/>
              </w:rPr>
              <w:t>分开储存，不进行接触</w:t>
            </w:r>
          </w:p>
        </w:tc>
        <w:tc>
          <w:tcPr>
            <w:tcW w:w="852" w:type="dxa"/>
            <w:vAlign w:val="center"/>
          </w:tcPr>
          <w:p w14:paraId="03454C3B">
            <w:pPr>
              <w:pStyle w:val="8"/>
              <w:suppressLineNumbers w:val="0"/>
              <w:bidi w:val="0"/>
              <w:spacing w:before="0" w:beforeAutospacing="0" w:after="0" w:afterAutospacing="0"/>
              <w:ind w:left="0" w:right="0"/>
              <w:jc w:val="center"/>
              <w:rPr>
                <w:rFonts w:hint="default"/>
                <w:highlight w:val="none"/>
              </w:rPr>
            </w:pPr>
            <w:r>
              <w:rPr>
                <w:rFonts w:hint="default"/>
                <w:highlight w:val="none"/>
              </w:rPr>
              <w:t>符合</w:t>
            </w:r>
          </w:p>
        </w:tc>
      </w:tr>
      <w:tr w14:paraId="05B4B4A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trPr>
        <w:tc>
          <w:tcPr>
            <w:tcW w:w="559" w:type="dxa"/>
            <w:vAlign w:val="center"/>
          </w:tcPr>
          <w:p w14:paraId="1482C09F">
            <w:pPr>
              <w:pStyle w:val="8"/>
              <w:numPr>
                <w:ilvl w:val="0"/>
                <w:numId w:val="6"/>
              </w:numPr>
              <w:suppressLineNumbers w:val="0"/>
              <w:bidi w:val="0"/>
              <w:spacing w:before="0" w:beforeAutospacing="0" w:after="0" w:afterAutospacing="0"/>
              <w:ind w:left="454" w:leftChars="0" w:right="0" w:hanging="387" w:firstLineChars="0"/>
              <w:jc w:val="center"/>
              <w:rPr>
                <w:rFonts w:hint="default"/>
                <w:highlight w:val="none"/>
              </w:rPr>
            </w:pPr>
          </w:p>
        </w:tc>
        <w:tc>
          <w:tcPr>
            <w:tcW w:w="4112" w:type="dxa"/>
            <w:shd w:val="clear" w:color="auto" w:fill="auto"/>
            <w:vAlign w:val="center"/>
          </w:tcPr>
          <w:p w14:paraId="09A745A5">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贮存危险废物应根据危险废物的形态、物理化学性质、包装形式和污染物迁移途径，采取措施减少渗滤液及其衍生废物、渗漏的液态废物（简称渗漏液）、粉尘、VOCs、酸雾、有毒有害大气污染物和刺激性气味气体等污染物的产生，防止其污染环境</w:t>
            </w:r>
          </w:p>
        </w:tc>
        <w:tc>
          <w:tcPr>
            <w:tcW w:w="2999" w:type="dxa"/>
            <w:vAlign w:val="center"/>
          </w:tcPr>
          <w:p w14:paraId="3031BF24">
            <w:pPr>
              <w:pStyle w:val="8"/>
              <w:suppressLineNumbers w:val="0"/>
              <w:bidi w:val="0"/>
              <w:spacing w:before="0" w:beforeAutospacing="0" w:after="0" w:afterAutospacing="0"/>
              <w:ind w:left="0" w:right="0"/>
              <w:jc w:val="center"/>
              <w:rPr>
                <w:rFonts w:hint="default"/>
                <w:highlight w:val="none"/>
              </w:rPr>
            </w:pPr>
            <w:r>
              <w:rPr>
                <w:rFonts w:hint="default"/>
                <w:color w:val="auto"/>
                <w:sz w:val="21"/>
                <w:szCs w:val="21"/>
                <w:highlight w:val="none"/>
              </w:rPr>
              <w:t>本项目无渗漏液产生，本项目</w:t>
            </w:r>
            <w:r>
              <w:rPr>
                <w:rFonts w:hint="eastAsia"/>
                <w:color w:val="auto"/>
                <w:sz w:val="21"/>
                <w:szCs w:val="21"/>
                <w:highlight w:val="none"/>
                <w:lang w:val="en-US" w:eastAsia="zh-CN"/>
              </w:rPr>
              <w:t>生产</w:t>
            </w:r>
            <w:r>
              <w:rPr>
                <w:rFonts w:hint="default"/>
                <w:color w:val="auto"/>
                <w:sz w:val="21"/>
                <w:szCs w:val="21"/>
                <w:highlight w:val="none"/>
              </w:rPr>
              <w:t>区设置了</w:t>
            </w:r>
            <w:r>
              <w:rPr>
                <w:rFonts w:hint="eastAsia"/>
                <w:color w:val="auto"/>
                <w:sz w:val="21"/>
                <w:szCs w:val="21"/>
                <w:highlight w:val="none"/>
                <w:lang w:val="en-US" w:eastAsia="zh-CN"/>
              </w:rPr>
              <w:t>废气收集处理</w:t>
            </w:r>
            <w:r>
              <w:rPr>
                <w:rFonts w:hint="default"/>
                <w:color w:val="auto"/>
                <w:sz w:val="21"/>
                <w:szCs w:val="21"/>
                <w:highlight w:val="none"/>
              </w:rPr>
              <w:t>，减少了VOCs排放</w:t>
            </w:r>
          </w:p>
        </w:tc>
        <w:tc>
          <w:tcPr>
            <w:tcW w:w="852" w:type="dxa"/>
            <w:vAlign w:val="center"/>
          </w:tcPr>
          <w:p w14:paraId="1CB3FF89">
            <w:pPr>
              <w:pStyle w:val="8"/>
              <w:suppressLineNumbers w:val="0"/>
              <w:bidi w:val="0"/>
              <w:spacing w:before="0" w:beforeAutospacing="0" w:after="0" w:afterAutospacing="0"/>
              <w:ind w:left="0" w:right="0"/>
              <w:jc w:val="center"/>
              <w:rPr>
                <w:rFonts w:hint="default"/>
                <w:highlight w:val="none"/>
              </w:rPr>
            </w:pPr>
            <w:r>
              <w:rPr>
                <w:rFonts w:hint="default"/>
                <w:highlight w:val="none"/>
              </w:rPr>
              <w:t>符合</w:t>
            </w:r>
          </w:p>
        </w:tc>
      </w:tr>
      <w:tr w14:paraId="121EA68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trPr>
        <w:tc>
          <w:tcPr>
            <w:tcW w:w="559" w:type="dxa"/>
            <w:vAlign w:val="center"/>
          </w:tcPr>
          <w:p w14:paraId="17F20BD4">
            <w:pPr>
              <w:pStyle w:val="8"/>
              <w:numPr>
                <w:ilvl w:val="0"/>
                <w:numId w:val="6"/>
              </w:numPr>
              <w:suppressLineNumbers w:val="0"/>
              <w:bidi w:val="0"/>
              <w:spacing w:before="0" w:beforeAutospacing="0" w:after="0" w:afterAutospacing="0"/>
              <w:ind w:left="454" w:leftChars="0" w:right="0" w:hanging="387" w:firstLineChars="0"/>
              <w:jc w:val="center"/>
              <w:rPr>
                <w:rFonts w:hint="default"/>
                <w:highlight w:val="none"/>
              </w:rPr>
            </w:pPr>
          </w:p>
        </w:tc>
        <w:tc>
          <w:tcPr>
            <w:tcW w:w="4112" w:type="dxa"/>
            <w:shd w:val="clear" w:color="auto" w:fill="auto"/>
            <w:vAlign w:val="center"/>
          </w:tcPr>
          <w:p w14:paraId="4E241F8D">
            <w:pPr>
              <w:pStyle w:val="8"/>
              <w:suppressLineNumbers w:val="0"/>
              <w:bidi w:val="0"/>
              <w:spacing w:before="0" w:beforeAutospacing="0" w:after="0" w:afterAutospacing="0"/>
              <w:ind w:left="0" w:right="0"/>
              <w:jc w:val="center"/>
              <w:rPr>
                <w:rFonts w:hint="eastAsia"/>
                <w:highlight w:val="none"/>
                <w:lang w:val="en-US" w:eastAsia="zh-CN"/>
              </w:rPr>
            </w:pPr>
            <w:r>
              <w:rPr>
                <w:rFonts w:hint="default"/>
                <w:highlight w:val="none"/>
              </w:rPr>
              <w:t>贮存设施或场所、容器和包装物应按HJ1276要求设置危险废物贮存设施或场所标志、危险废物贮存分区标志和危险废物标签等危险废物识别标志</w:t>
            </w:r>
          </w:p>
        </w:tc>
        <w:tc>
          <w:tcPr>
            <w:tcW w:w="2999" w:type="dxa"/>
            <w:vAlign w:val="center"/>
          </w:tcPr>
          <w:p w14:paraId="0B80FEE9">
            <w:pPr>
              <w:pStyle w:val="8"/>
              <w:suppressLineNumbers w:val="0"/>
              <w:bidi w:val="0"/>
              <w:spacing w:before="0" w:beforeAutospacing="0" w:after="0" w:afterAutospacing="0"/>
              <w:ind w:left="0" w:right="0"/>
              <w:jc w:val="center"/>
              <w:rPr>
                <w:rFonts w:hint="default"/>
                <w:highlight w:val="none"/>
              </w:rPr>
            </w:pPr>
            <w:r>
              <w:rPr>
                <w:rFonts w:hint="default"/>
                <w:color w:val="auto"/>
                <w:sz w:val="21"/>
                <w:szCs w:val="21"/>
                <w:highlight w:val="none"/>
              </w:rPr>
              <w:t>本项目要求建设单位在</w:t>
            </w:r>
            <w:r>
              <w:rPr>
                <w:rFonts w:hint="eastAsia"/>
                <w:color w:val="auto"/>
                <w:sz w:val="21"/>
                <w:szCs w:val="21"/>
                <w:highlight w:val="none"/>
                <w:lang w:val="en-US" w:eastAsia="zh-CN"/>
              </w:rPr>
              <w:t>原料贮存区、危险废物贮存库</w:t>
            </w:r>
            <w:r>
              <w:rPr>
                <w:rFonts w:hint="default"/>
                <w:color w:val="auto"/>
                <w:sz w:val="21"/>
                <w:szCs w:val="21"/>
                <w:highlight w:val="none"/>
              </w:rPr>
              <w:t>设置危险废物标签等危险废物识别标志</w:t>
            </w:r>
          </w:p>
        </w:tc>
        <w:tc>
          <w:tcPr>
            <w:tcW w:w="852" w:type="dxa"/>
            <w:vAlign w:val="center"/>
          </w:tcPr>
          <w:p w14:paraId="0CEC8BBD">
            <w:pPr>
              <w:pStyle w:val="8"/>
              <w:suppressLineNumbers w:val="0"/>
              <w:bidi w:val="0"/>
              <w:spacing w:before="0" w:beforeAutospacing="0" w:after="0" w:afterAutospacing="0"/>
              <w:ind w:left="0" w:right="0"/>
              <w:jc w:val="center"/>
              <w:rPr>
                <w:rFonts w:hint="default"/>
                <w:highlight w:val="none"/>
              </w:rPr>
            </w:pPr>
            <w:r>
              <w:rPr>
                <w:rFonts w:hint="default"/>
                <w:highlight w:val="none"/>
              </w:rPr>
              <w:t>符合</w:t>
            </w:r>
          </w:p>
        </w:tc>
      </w:tr>
      <w:tr w14:paraId="5D60FB7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trPr>
        <w:tc>
          <w:tcPr>
            <w:tcW w:w="559" w:type="dxa"/>
            <w:vAlign w:val="center"/>
          </w:tcPr>
          <w:p w14:paraId="10005B20">
            <w:pPr>
              <w:pStyle w:val="8"/>
              <w:numPr>
                <w:ilvl w:val="0"/>
                <w:numId w:val="6"/>
              </w:numPr>
              <w:suppressLineNumbers w:val="0"/>
              <w:bidi w:val="0"/>
              <w:spacing w:before="0" w:beforeAutospacing="0" w:after="0" w:afterAutospacing="0"/>
              <w:ind w:left="454" w:leftChars="0" w:right="0" w:hanging="387" w:firstLineChars="0"/>
              <w:jc w:val="center"/>
              <w:rPr>
                <w:rFonts w:hint="default"/>
                <w:highlight w:val="none"/>
              </w:rPr>
            </w:pPr>
          </w:p>
        </w:tc>
        <w:tc>
          <w:tcPr>
            <w:tcW w:w="4112" w:type="dxa"/>
            <w:shd w:val="clear" w:color="auto" w:fill="auto"/>
            <w:vAlign w:val="center"/>
          </w:tcPr>
          <w:p w14:paraId="3DA89ECE">
            <w:pPr>
              <w:pStyle w:val="8"/>
              <w:suppressLineNumbers w:val="0"/>
              <w:bidi w:val="0"/>
              <w:spacing w:before="0" w:beforeAutospacing="0" w:after="0" w:afterAutospacing="0"/>
              <w:ind w:left="0" w:right="0"/>
              <w:jc w:val="center"/>
              <w:rPr>
                <w:rFonts w:hint="eastAsia"/>
                <w:highlight w:val="none"/>
                <w:lang w:val="en-US" w:eastAsia="zh-CN"/>
              </w:rPr>
            </w:pPr>
            <w:r>
              <w:rPr>
                <w:rFonts w:hint="default"/>
                <w:highlight w:val="none"/>
              </w:rPr>
              <w:t>贮存设施退役时，所有者或运营者应依法履行环境保护责任，退役前应妥善处理处置贮存设施内剩余的危险废物，并对贮存设施进行清理，消除污染；还应依据土壤污染防治相关法律法规履行场地环境风险防控责任</w:t>
            </w:r>
          </w:p>
        </w:tc>
        <w:tc>
          <w:tcPr>
            <w:tcW w:w="2999" w:type="dxa"/>
            <w:vAlign w:val="center"/>
          </w:tcPr>
          <w:p w14:paraId="3D7E9DE6">
            <w:pPr>
              <w:pStyle w:val="8"/>
              <w:suppressLineNumbers w:val="0"/>
              <w:bidi w:val="0"/>
              <w:spacing w:before="0" w:beforeAutospacing="0" w:after="0" w:afterAutospacing="0"/>
              <w:ind w:left="0" w:right="0"/>
              <w:jc w:val="center"/>
              <w:rPr>
                <w:rFonts w:hint="default"/>
                <w:highlight w:val="none"/>
              </w:rPr>
            </w:pPr>
            <w:r>
              <w:rPr>
                <w:rFonts w:hint="default"/>
                <w:color w:val="auto"/>
                <w:sz w:val="21"/>
                <w:szCs w:val="21"/>
                <w:highlight w:val="none"/>
              </w:rPr>
              <w:t>本评价要求单位在企业结束营业时将</w:t>
            </w:r>
            <w:r>
              <w:rPr>
                <w:rFonts w:hint="eastAsia"/>
                <w:color w:val="auto"/>
                <w:sz w:val="21"/>
                <w:szCs w:val="21"/>
                <w:highlight w:val="none"/>
                <w:lang w:val="en-US" w:eastAsia="zh-CN"/>
              </w:rPr>
              <w:t>原料贮存区、危险废物贮存库</w:t>
            </w:r>
            <w:r>
              <w:rPr>
                <w:rFonts w:hint="default"/>
                <w:color w:val="auto"/>
                <w:sz w:val="21"/>
                <w:szCs w:val="21"/>
                <w:highlight w:val="none"/>
              </w:rPr>
              <w:t>内所有的废物进行清理，不得遗漏</w:t>
            </w:r>
          </w:p>
        </w:tc>
        <w:tc>
          <w:tcPr>
            <w:tcW w:w="852" w:type="dxa"/>
            <w:vAlign w:val="center"/>
          </w:tcPr>
          <w:p w14:paraId="2B8671F0">
            <w:pPr>
              <w:pStyle w:val="8"/>
              <w:suppressLineNumbers w:val="0"/>
              <w:bidi w:val="0"/>
              <w:spacing w:before="0" w:beforeAutospacing="0" w:after="0" w:afterAutospacing="0"/>
              <w:ind w:left="0" w:right="0"/>
              <w:jc w:val="center"/>
              <w:rPr>
                <w:rFonts w:hint="default"/>
                <w:highlight w:val="none"/>
              </w:rPr>
            </w:pPr>
            <w:r>
              <w:rPr>
                <w:rFonts w:hint="default"/>
                <w:highlight w:val="none"/>
              </w:rPr>
              <w:t>符合</w:t>
            </w:r>
          </w:p>
        </w:tc>
      </w:tr>
      <w:tr w14:paraId="496AB67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trPr>
        <w:tc>
          <w:tcPr>
            <w:tcW w:w="559" w:type="dxa"/>
            <w:vAlign w:val="center"/>
          </w:tcPr>
          <w:p w14:paraId="77610781">
            <w:pPr>
              <w:pStyle w:val="8"/>
              <w:numPr>
                <w:ilvl w:val="0"/>
                <w:numId w:val="6"/>
              </w:numPr>
              <w:suppressLineNumbers w:val="0"/>
              <w:bidi w:val="0"/>
              <w:spacing w:before="0" w:beforeAutospacing="0" w:after="0" w:afterAutospacing="0"/>
              <w:ind w:left="454" w:leftChars="0" w:right="0" w:hanging="387" w:firstLineChars="0"/>
              <w:jc w:val="center"/>
              <w:rPr>
                <w:rFonts w:hint="default"/>
                <w:highlight w:val="none"/>
              </w:rPr>
            </w:pPr>
          </w:p>
        </w:tc>
        <w:tc>
          <w:tcPr>
            <w:tcW w:w="4112" w:type="dxa"/>
            <w:shd w:val="clear" w:color="auto" w:fill="auto"/>
            <w:vAlign w:val="center"/>
          </w:tcPr>
          <w:p w14:paraId="089CC4F4">
            <w:pPr>
              <w:pStyle w:val="8"/>
              <w:suppressLineNumbers w:val="0"/>
              <w:bidi w:val="0"/>
              <w:spacing w:before="0" w:beforeAutospacing="0" w:after="0" w:afterAutospacing="0"/>
              <w:ind w:left="0" w:right="0"/>
              <w:jc w:val="center"/>
              <w:rPr>
                <w:rFonts w:hint="eastAsia"/>
                <w:highlight w:val="none"/>
                <w:lang w:val="en-US" w:eastAsia="zh-CN"/>
              </w:rPr>
            </w:pPr>
            <w:r>
              <w:rPr>
                <w:rFonts w:hint="default"/>
                <w:highlight w:val="none"/>
              </w:rPr>
              <w:t>贮存设施选址应满足生态环境保护法律法规、规划和“三线一单”生态环境分区管控的要求，建设项目应依法进行环境影响评价</w:t>
            </w:r>
          </w:p>
        </w:tc>
        <w:tc>
          <w:tcPr>
            <w:tcW w:w="2999" w:type="dxa"/>
            <w:vAlign w:val="center"/>
          </w:tcPr>
          <w:p w14:paraId="6CBBE2D9">
            <w:pPr>
              <w:pStyle w:val="8"/>
              <w:suppressLineNumbers w:val="0"/>
              <w:bidi w:val="0"/>
              <w:spacing w:before="0" w:beforeAutospacing="0" w:after="0" w:afterAutospacing="0"/>
              <w:ind w:left="0" w:right="0"/>
              <w:jc w:val="center"/>
              <w:rPr>
                <w:rFonts w:hint="default"/>
                <w:highlight w:val="none"/>
              </w:rPr>
            </w:pPr>
            <w:r>
              <w:rPr>
                <w:rFonts w:hint="default"/>
                <w:color w:val="auto"/>
                <w:sz w:val="21"/>
                <w:szCs w:val="21"/>
                <w:highlight w:val="none"/>
              </w:rPr>
              <w:t>本项目符合产业政策，明确本项目符合</w:t>
            </w:r>
            <w:r>
              <w:rPr>
                <w:rFonts w:hint="eastAsia" w:ascii="Times New Roman" w:hAnsi="Times New Roman" w:cs="Times New Roman"/>
                <w:sz w:val="21"/>
                <w:szCs w:val="21"/>
                <w:highlight w:val="none"/>
                <w:vertAlign w:val="baseline"/>
                <w:lang w:val="en-US" w:eastAsia="zh-CN"/>
              </w:rPr>
              <w:t>黑龙江省生态环境分区管控数据应用平台出具的《4G9生产线更新改造项目生态环境分区管控分析报告》</w:t>
            </w:r>
            <w:r>
              <w:rPr>
                <w:rFonts w:hint="default" w:ascii="Times New Roman" w:hAnsi="Times New Roman" w:cs="Times New Roman"/>
                <w:sz w:val="21"/>
                <w:szCs w:val="21"/>
                <w:highlight w:val="none"/>
                <w:vertAlign w:val="baseline"/>
                <w:lang w:val="en-US" w:eastAsia="zh-CN"/>
              </w:rPr>
              <w:t>中相关生态环境准入</w:t>
            </w:r>
            <w:r>
              <w:rPr>
                <w:rFonts w:hint="default"/>
                <w:color w:val="auto"/>
                <w:sz w:val="21"/>
                <w:szCs w:val="21"/>
                <w:highlight w:val="none"/>
              </w:rPr>
              <w:t>要求</w:t>
            </w:r>
          </w:p>
        </w:tc>
        <w:tc>
          <w:tcPr>
            <w:tcW w:w="852" w:type="dxa"/>
            <w:vAlign w:val="center"/>
          </w:tcPr>
          <w:p w14:paraId="474223A3">
            <w:pPr>
              <w:pStyle w:val="8"/>
              <w:suppressLineNumbers w:val="0"/>
              <w:bidi w:val="0"/>
              <w:spacing w:before="0" w:beforeAutospacing="0" w:after="0" w:afterAutospacing="0"/>
              <w:ind w:left="0" w:right="0"/>
              <w:jc w:val="center"/>
              <w:rPr>
                <w:rFonts w:hint="default"/>
                <w:highlight w:val="none"/>
              </w:rPr>
            </w:pPr>
            <w:r>
              <w:rPr>
                <w:rFonts w:hint="default"/>
                <w:highlight w:val="none"/>
              </w:rPr>
              <w:t>符合</w:t>
            </w:r>
          </w:p>
        </w:tc>
      </w:tr>
    </w:tbl>
    <w:p w14:paraId="748B2B04">
      <w:pPr>
        <w:rPr>
          <w:highlight w:val="none"/>
        </w:rPr>
      </w:pPr>
    </w:p>
    <w:p w14:paraId="586361E2">
      <w:pPr>
        <w:pStyle w:val="7"/>
        <w:bidi w:val="0"/>
        <w:rPr>
          <w:highlight w:val="none"/>
          <w:lang w:val="en-US" w:eastAsia="zh-CN"/>
        </w:rPr>
      </w:pPr>
      <w:r>
        <w:rPr>
          <w:rFonts w:hint="eastAsia"/>
          <w:highlight w:val="none"/>
          <w:lang w:val="en-US" w:eastAsia="zh-CN"/>
        </w:rPr>
        <w:t>续</w:t>
      </w:r>
      <w:r>
        <w:rPr>
          <w:highlight w:val="none"/>
          <w:lang w:val="en-US" w:eastAsia="zh-CN"/>
        </w:rPr>
        <w:t>表1-4-</w:t>
      </w:r>
      <w:r>
        <w:rPr>
          <w:rFonts w:hint="eastAsia"/>
          <w:highlight w:val="none"/>
          <w:lang w:val="en-US" w:eastAsia="zh-CN"/>
        </w:rPr>
        <w:t>4</w:t>
      </w:r>
      <w:r>
        <w:rPr>
          <w:highlight w:val="none"/>
          <w:lang w:val="en-US" w:eastAsia="zh-CN"/>
        </w:rPr>
        <w:t>与《危险废物贮存污染控制标准》符合性一览表</w:t>
      </w:r>
    </w:p>
    <w:tbl>
      <w:tblPr>
        <w:tblStyle w:val="45"/>
        <w:tblpPr w:leftFromText="180" w:rightFromText="180" w:vertAnchor="text" w:tblpXSpec="left" w:tblpY="1"/>
        <w:tblOverlap w:val="never"/>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559"/>
        <w:gridCol w:w="4112"/>
        <w:gridCol w:w="3265"/>
        <w:gridCol w:w="586"/>
      </w:tblGrid>
      <w:tr w14:paraId="7C44721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trPr>
        <w:tc>
          <w:tcPr>
            <w:tcW w:w="559" w:type="dxa"/>
            <w:vAlign w:val="center"/>
          </w:tcPr>
          <w:p w14:paraId="5CB0122E">
            <w:pPr>
              <w:pStyle w:val="8"/>
              <w:numPr>
                <w:ilvl w:val="0"/>
                <w:numId w:val="6"/>
              </w:numPr>
              <w:suppressLineNumbers w:val="0"/>
              <w:bidi w:val="0"/>
              <w:spacing w:before="0" w:beforeAutospacing="0" w:after="0" w:afterAutospacing="0"/>
              <w:ind w:left="454" w:leftChars="0" w:right="0" w:hanging="387" w:firstLineChars="0"/>
              <w:jc w:val="center"/>
              <w:rPr>
                <w:rFonts w:hint="default"/>
                <w:highlight w:val="none"/>
              </w:rPr>
            </w:pPr>
          </w:p>
        </w:tc>
        <w:tc>
          <w:tcPr>
            <w:tcW w:w="4112" w:type="dxa"/>
            <w:shd w:val="clear" w:color="auto" w:fill="auto"/>
            <w:vAlign w:val="center"/>
          </w:tcPr>
          <w:p w14:paraId="084F6D7A">
            <w:pPr>
              <w:pStyle w:val="8"/>
              <w:suppressLineNumbers w:val="0"/>
              <w:bidi w:val="0"/>
              <w:spacing w:before="0" w:beforeAutospacing="0" w:after="0" w:afterAutospacing="0"/>
              <w:ind w:left="0" w:right="0"/>
              <w:jc w:val="center"/>
              <w:rPr>
                <w:rFonts w:hint="eastAsia"/>
                <w:highlight w:val="none"/>
                <w:lang w:val="en-US" w:eastAsia="zh-CN"/>
              </w:rPr>
            </w:pPr>
            <w:r>
              <w:rPr>
                <w:rFonts w:hint="default"/>
                <w:highlight w:val="none"/>
              </w:rPr>
              <w:t>集中贮存设施不应选在生态保护红线区域、永久基本农田和其他需要特别保护的区域内，不应建在溶洞区或易遭受洪水、滑坡、泥石流、潮汐等严重自然灾害影响的地区。</w:t>
            </w:r>
          </w:p>
        </w:tc>
        <w:tc>
          <w:tcPr>
            <w:tcW w:w="3265" w:type="dxa"/>
            <w:vAlign w:val="center"/>
          </w:tcPr>
          <w:p w14:paraId="0E763AFB">
            <w:pPr>
              <w:pStyle w:val="8"/>
              <w:suppressLineNumbers w:val="0"/>
              <w:bidi w:val="0"/>
              <w:spacing w:before="0" w:beforeAutospacing="0" w:after="0" w:afterAutospacing="0"/>
              <w:ind w:left="0" w:right="0"/>
              <w:jc w:val="center"/>
              <w:rPr>
                <w:rFonts w:hint="default"/>
                <w:highlight w:val="none"/>
              </w:rPr>
            </w:pPr>
            <w:r>
              <w:rPr>
                <w:rFonts w:hint="default"/>
                <w:color w:val="auto"/>
                <w:sz w:val="21"/>
                <w:szCs w:val="21"/>
                <w:highlight w:val="none"/>
              </w:rPr>
              <w:t>本项目厂址位于哈尔滨市平房区，周边不存</w:t>
            </w:r>
            <w:r>
              <w:rPr>
                <w:rFonts w:hint="eastAsia"/>
                <w:color w:val="auto"/>
                <w:sz w:val="21"/>
                <w:szCs w:val="21"/>
                <w:highlight w:val="none"/>
                <w:lang w:eastAsia="zh-CN"/>
              </w:rPr>
              <w:t>在生</w:t>
            </w:r>
            <w:r>
              <w:rPr>
                <w:rFonts w:hint="default"/>
                <w:color w:val="auto"/>
                <w:sz w:val="21"/>
                <w:szCs w:val="21"/>
                <w:highlight w:val="none"/>
              </w:rPr>
              <w:t>态保护红线区域、永久基本农田和其他需要特别保护的区域，选址不在溶洞区或易遭受洪水、滑坡、泥石流、潮汐等严重自然灾害影响的地区</w:t>
            </w:r>
          </w:p>
        </w:tc>
        <w:tc>
          <w:tcPr>
            <w:tcW w:w="586" w:type="dxa"/>
            <w:vAlign w:val="center"/>
          </w:tcPr>
          <w:p w14:paraId="42FC91C7">
            <w:pPr>
              <w:pStyle w:val="8"/>
              <w:suppressLineNumbers w:val="0"/>
              <w:bidi w:val="0"/>
              <w:spacing w:before="0" w:beforeAutospacing="0" w:after="0" w:afterAutospacing="0"/>
              <w:ind w:left="0" w:right="0"/>
              <w:jc w:val="center"/>
              <w:rPr>
                <w:rFonts w:hint="default"/>
                <w:highlight w:val="none"/>
              </w:rPr>
            </w:pPr>
            <w:r>
              <w:rPr>
                <w:rFonts w:hint="default"/>
                <w:highlight w:val="none"/>
              </w:rPr>
              <w:t>符合</w:t>
            </w:r>
          </w:p>
        </w:tc>
      </w:tr>
      <w:tr w14:paraId="246162E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trPr>
        <w:tc>
          <w:tcPr>
            <w:tcW w:w="559" w:type="dxa"/>
            <w:vAlign w:val="center"/>
          </w:tcPr>
          <w:p w14:paraId="676086B8">
            <w:pPr>
              <w:pStyle w:val="8"/>
              <w:numPr>
                <w:ilvl w:val="0"/>
                <w:numId w:val="6"/>
              </w:numPr>
              <w:suppressLineNumbers w:val="0"/>
              <w:bidi w:val="0"/>
              <w:spacing w:before="0" w:beforeAutospacing="0" w:after="0" w:afterAutospacing="0"/>
              <w:ind w:left="454" w:leftChars="0" w:right="0" w:hanging="387" w:firstLineChars="0"/>
              <w:jc w:val="center"/>
              <w:rPr>
                <w:rFonts w:hint="default"/>
                <w:highlight w:val="none"/>
              </w:rPr>
            </w:pPr>
          </w:p>
        </w:tc>
        <w:tc>
          <w:tcPr>
            <w:tcW w:w="4112" w:type="dxa"/>
            <w:shd w:val="clear" w:color="auto" w:fill="auto"/>
            <w:vAlign w:val="center"/>
          </w:tcPr>
          <w:p w14:paraId="33FB8E3C">
            <w:pPr>
              <w:pStyle w:val="8"/>
              <w:suppressLineNumbers w:val="0"/>
              <w:bidi w:val="0"/>
              <w:spacing w:before="0" w:beforeAutospacing="0" w:after="0" w:afterAutospacing="0"/>
              <w:ind w:left="0" w:right="0"/>
              <w:jc w:val="center"/>
              <w:rPr>
                <w:rFonts w:hint="eastAsia"/>
                <w:highlight w:val="none"/>
                <w:lang w:val="en-US" w:eastAsia="zh-CN"/>
              </w:rPr>
            </w:pPr>
            <w:r>
              <w:rPr>
                <w:rFonts w:hint="default"/>
                <w:highlight w:val="none"/>
              </w:rPr>
              <w:t>贮存设施不应选在江河、湖泊、运河、渠道、水库及其最高水位线以下的滩地和岸坡，以及法律法规规定禁止贮存危险废物的其他地点</w:t>
            </w:r>
          </w:p>
        </w:tc>
        <w:tc>
          <w:tcPr>
            <w:tcW w:w="3265" w:type="dxa"/>
            <w:vAlign w:val="center"/>
          </w:tcPr>
          <w:p w14:paraId="16165B23">
            <w:pPr>
              <w:pStyle w:val="8"/>
              <w:suppressLineNumbers w:val="0"/>
              <w:bidi w:val="0"/>
              <w:spacing w:before="0" w:beforeAutospacing="0" w:after="0" w:afterAutospacing="0"/>
              <w:ind w:left="0" w:right="0"/>
              <w:jc w:val="center"/>
              <w:rPr>
                <w:rFonts w:hint="default"/>
                <w:highlight w:val="none"/>
              </w:rPr>
            </w:pPr>
            <w:r>
              <w:rPr>
                <w:rFonts w:hint="default"/>
                <w:color w:val="auto"/>
                <w:sz w:val="21"/>
                <w:szCs w:val="21"/>
                <w:highlight w:val="none"/>
              </w:rPr>
              <w:t>本项目选址不在滩地和岸坡</w:t>
            </w:r>
          </w:p>
        </w:tc>
        <w:tc>
          <w:tcPr>
            <w:tcW w:w="586" w:type="dxa"/>
            <w:vAlign w:val="center"/>
          </w:tcPr>
          <w:p w14:paraId="4C71C084">
            <w:pPr>
              <w:pStyle w:val="8"/>
              <w:suppressLineNumbers w:val="0"/>
              <w:bidi w:val="0"/>
              <w:spacing w:before="0" w:beforeAutospacing="0" w:after="0" w:afterAutospacing="0"/>
              <w:ind w:left="0" w:right="0"/>
              <w:jc w:val="center"/>
              <w:rPr>
                <w:rFonts w:hint="default"/>
                <w:highlight w:val="none"/>
              </w:rPr>
            </w:pPr>
            <w:r>
              <w:rPr>
                <w:rFonts w:hint="default"/>
                <w:highlight w:val="none"/>
              </w:rPr>
              <w:t>符合</w:t>
            </w:r>
          </w:p>
        </w:tc>
      </w:tr>
      <w:tr w14:paraId="0087B68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trPr>
        <w:tc>
          <w:tcPr>
            <w:tcW w:w="559" w:type="dxa"/>
            <w:vAlign w:val="center"/>
          </w:tcPr>
          <w:p w14:paraId="46062FF6">
            <w:pPr>
              <w:pStyle w:val="8"/>
              <w:numPr>
                <w:ilvl w:val="0"/>
                <w:numId w:val="6"/>
              </w:numPr>
              <w:suppressLineNumbers w:val="0"/>
              <w:bidi w:val="0"/>
              <w:spacing w:before="0" w:beforeAutospacing="0" w:after="0" w:afterAutospacing="0"/>
              <w:ind w:left="454" w:leftChars="0" w:right="0" w:hanging="387" w:firstLineChars="0"/>
              <w:jc w:val="center"/>
              <w:rPr>
                <w:rFonts w:hint="default"/>
                <w:highlight w:val="none"/>
              </w:rPr>
            </w:pPr>
          </w:p>
        </w:tc>
        <w:tc>
          <w:tcPr>
            <w:tcW w:w="4112" w:type="dxa"/>
            <w:shd w:val="clear" w:color="auto" w:fill="auto"/>
            <w:vAlign w:val="center"/>
          </w:tcPr>
          <w:p w14:paraId="4346EBBB">
            <w:pPr>
              <w:pStyle w:val="8"/>
              <w:suppressLineNumbers w:val="0"/>
              <w:bidi w:val="0"/>
              <w:spacing w:before="0" w:beforeAutospacing="0" w:after="0" w:afterAutospacing="0"/>
              <w:ind w:left="0" w:right="0"/>
              <w:jc w:val="center"/>
              <w:rPr>
                <w:rFonts w:hint="eastAsia"/>
                <w:highlight w:val="none"/>
                <w:lang w:val="en-US" w:eastAsia="zh-CN"/>
              </w:rPr>
            </w:pPr>
            <w:r>
              <w:rPr>
                <w:rFonts w:hint="default"/>
                <w:highlight w:val="none"/>
              </w:rPr>
              <w:t>贮存设施场址的位置以及其与周围环境敏感目标的距离应依据环境影响评价文件确定</w:t>
            </w:r>
          </w:p>
        </w:tc>
        <w:tc>
          <w:tcPr>
            <w:tcW w:w="3265" w:type="dxa"/>
            <w:vAlign w:val="center"/>
          </w:tcPr>
          <w:p w14:paraId="1E77B4C8">
            <w:pPr>
              <w:pStyle w:val="8"/>
              <w:suppressLineNumbers w:val="0"/>
              <w:bidi w:val="0"/>
              <w:spacing w:before="0" w:beforeAutospacing="0" w:after="0" w:afterAutospacing="0"/>
              <w:ind w:left="0" w:right="0"/>
              <w:jc w:val="center"/>
              <w:rPr>
                <w:rFonts w:hint="default"/>
                <w:highlight w:val="none"/>
              </w:rPr>
            </w:pPr>
            <w:r>
              <w:rPr>
                <w:rFonts w:hint="default"/>
                <w:color w:val="auto"/>
                <w:sz w:val="21"/>
                <w:szCs w:val="21"/>
                <w:highlight w:val="none"/>
              </w:rPr>
              <w:t>本项目距离最近敏感目标为</w:t>
            </w:r>
            <w:r>
              <w:rPr>
                <w:rFonts w:hint="eastAsia"/>
                <w:color w:val="auto"/>
                <w:sz w:val="21"/>
                <w:szCs w:val="21"/>
                <w:highlight w:val="none"/>
                <w:lang w:val="en-US" w:eastAsia="zh-CN"/>
              </w:rPr>
              <w:t>21</w:t>
            </w:r>
            <w:r>
              <w:rPr>
                <w:rFonts w:hint="default"/>
                <w:color w:val="auto"/>
                <w:sz w:val="21"/>
                <w:szCs w:val="21"/>
                <w:highlight w:val="none"/>
              </w:rPr>
              <w:t>m，根据环境影响评价结果，对其影响很小，不需设置防护距离</w:t>
            </w:r>
          </w:p>
        </w:tc>
        <w:tc>
          <w:tcPr>
            <w:tcW w:w="586" w:type="dxa"/>
            <w:vAlign w:val="center"/>
          </w:tcPr>
          <w:p w14:paraId="190FA2D6">
            <w:pPr>
              <w:pStyle w:val="8"/>
              <w:suppressLineNumbers w:val="0"/>
              <w:bidi w:val="0"/>
              <w:spacing w:before="0" w:beforeAutospacing="0" w:after="0" w:afterAutospacing="0"/>
              <w:ind w:left="0" w:right="0"/>
              <w:jc w:val="center"/>
              <w:rPr>
                <w:rFonts w:hint="default"/>
                <w:highlight w:val="none"/>
              </w:rPr>
            </w:pPr>
            <w:r>
              <w:rPr>
                <w:rFonts w:hint="default"/>
                <w:highlight w:val="none"/>
              </w:rPr>
              <w:t>符合</w:t>
            </w:r>
          </w:p>
        </w:tc>
      </w:tr>
      <w:tr w14:paraId="311F2D1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trPr>
        <w:tc>
          <w:tcPr>
            <w:tcW w:w="559" w:type="dxa"/>
            <w:vAlign w:val="center"/>
          </w:tcPr>
          <w:p w14:paraId="0EF4E7C1">
            <w:pPr>
              <w:pStyle w:val="8"/>
              <w:numPr>
                <w:ilvl w:val="0"/>
                <w:numId w:val="6"/>
              </w:numPr>
              <w:suppressLineNumbers w:val="0"/>
              <w:bidi w:val="0"/>
              <w:spacing w:before="0" w:beforeAutospacing="0" w:after="0" w:afterAutospacing="0"/>
              <w:ind w:left="454" w:leftChars="0" w:right="0" w:hanging="387" w:firstLineChars="0"/>
              <w:jc w:val="center"/>
              <w:rPr>
                <w:rFonts w:hint="default"/>
                <w:highlight w:val="none"/>
              </w:rPr>
            </w:pPr>
          </w:p>
        </w:tc>
        <w:tc>
          <w:tcPr>
            <w:tcW w:w="4112" w:type="dxa"/>
            <w:shd w:val="clear" w:color="auto" w:fill="auto"/>
            <w:vAlign w:val="center"/>
          </w:tcPr>
          <w:p w14:paraId="4BD34EF9">
            <w:pPr>
              <w:pStyle w:val="8"/>
              <w:suppressLineNumbers w:val="0"/>
              <w:bidi w:val="0"/>
              <w:spacing w:before="0" w:beforeAutospacing="0" w:after="0" w:afterAutospacing="0"/>
              <w:ind w:left="0" w:right="0"/>
              <w:jc w:val="center"/>
              <w:rPr>
                <w:rFonts w:hint="eastAsia"/>
                <w:highlight w:val="none"/>
                <w:lang w:val="en-US" w:eastAsia="zh-CN"/>
              </w:rPr>
            </w:pPr>
            <w:r>
              <w:rPr>
                <w:rFonts w:hint="default"/>
                <w:highlight w:val="none"/>
              </w:rPr>
              <w:t>贮存设施应根据危险废物的形态、物理化学性质、包装形式和污染物迁移途径，采风、防晒、防雨、防漏、防渗、防腐以及其他环境污染防治措施，不应露天堆放危险废物。</w:t>
            </w:r>
          </w:p>
        </w:tc>
        <w:tc>
          <w:tcPr>
            <w:tcW w:w="3265" w:type="dxa"/>
            <w:vAlign w:val="center"/>
          </w:tcPr>
          <w:p w14:paraId="42ABD921">
            <w:pPr>
              <w:pStyle w:val="8"/>
              <w:suppressLineNumbers w:val="0"/>
              <w:bidi w:val="0"/>
              <w:spacing w:before="0" w:beforeAutospacing="0" w:after="0" w:afterAutospacing="0"/>
              <w:ind w:left="0" w:right="0"/>
              <w:jc w:val="center"/>
              <w:rPr>
                <w:rFonts w:hint="default"/>
                <w:highlight w:val="none"/>
              </w:rPr>
            </w:pPr>
            <w:r>
              <w:rPr>
                <w:rFonts w:hint="default"/>
                <w:color w:val="auto"/>
                <w:sz w:val="21"/>
                <w:szCs w:val="21"/>
                <w:highlight w:val="none"/>
              </w:rPr>
              <w:t>本项目</w:t>
            </w:r>
            <w:r>
              <w:rPr>
                <w:rFonts w:hint="eastAsia"/>
                <w:color w:val="auto"/>
                <w:sz w:val="21"/>
                <w:szCs w:val="21"/>
                <w:highlight w:val="none"/>
                <w:lang w:val="en-US" w:eastAsia="zh-CN"/>
              </w:rPr>
              <w:t>原料含油金属屑采用贮存池贮存，位于封闭生产车间内</w:t>
            </w:r>
            <w:r>
              <w:rPr>
                <w:rFonts w:hint="default"/>
                <w:color w:val="auto"/>
                <w:sz w:val="21"/>
                <w:szCs w:val="21"/>
                <w:highlight w:val="none"/>
              </w:rPr>
              <w:t>，</w:t>
            </w:r>
            <w:r>
              <w:rPr>
                <w:rFonts w:hint="eastAsia"/>
                <w:color w:val="auto"/>
                <w:sz w:val="21"/>
                <w:szCs w:val="21"/>
                <w:highlight w:val="none"/>
                <w:lang w:val="en-US" w:eastAsia="zh-CN"/>
              </w:rPr>
              <w:t>生产过程中产生的危险废物均采用专用包装桶储存，</w:t>
            </w:r>
            <w:r>
              <w:rPr>
                <w:rFonts w:hint="default"/>
                <w:color w:val="auto"/>
                <w:sz w:val="21"/>
                <w:szCs w:val="21"/>
                <w:highlight w:val="none"/>
              </w:rPr>
              <w:t>不露天堆放</w:t>
            </w:r>
          </w:p>
        </w:tc>
        <w:tc>
          <w:tcPr>
            <w:tcW w:w="586" w:type="dxa"/>
            <w:vAlign w:val="center"/>
          </w:tcPr>
          <w:p w14:paraId="53FDDEAA">
            <w:pPr>
              <w:pStyle w:val="8"/>
              <w:suppressLineNumbers w:val="0"/>
              <w:bidi w:val="0"/>
              <w:spacing w:before="0" w:beforeAutospacing="0" w:after="0" w:afterAutospacing="0"/>
              <w:ind w:left="0" w:right="0"/>
              <w:jc w:val="center"/>
              <w:rPr>
                <w:rFonts w:hint="default"/>
                <w:highlight w:val="none"/>
              </w:rPr>
            </w:pPr>
            <w:r>
              <w:rPr>
                <w:rFonts w:hint="default"/>
                <w:highlight w:val="none"/>
              </w:rPr>
              <w:t>符合</w:t>
            </w:r>
          </w:p>
        </w:tc>
      </w:tr>
      <w:tr w14:paraId="78FB813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trPr>
        <w:tc>
          <w:tcPr>
            <w:tcW w:w="559" w:type="dxa"/>
            <w:vAlign w:val="center"/>
          </w:tcPr>
          <w:p w14:paraId="09D4DE77">
            <w:pPr>
              <w:pStyle w:val="8"/>
              <w:numPr>
                <w:ilvl w:val="0"/>
                <w:numId w:val="6"/>
              </w:numPr>
              <w:suppressLineNumbers w:val="0"/>
              <w:bidi w:val="0"/>
              <w:spacing w:before="0" w:beforeAutospacing="0" w:after="0" w:afterAutospacing="0"/>
              <w:ind w:left="454" w:leftChars="0" w:right="0" w:hanging="387" w:firstLineChars="0"/>
              <w:jc w:val="center"/>
              <w:rPr>
                <w:rFonts w:hint="default"/>
                <w:highlight w:val="none"/>
              </w:rPr>
            </w:pPr>
          </w:p>
        </w:tc>
        <w:tc>
          <w:tcPr>
            <w:tcW w:w="4112" w:type="dxa"/>
            <w:shd w:val="clear" w:color="auto" w:fill="auto"/>
            <w:vAlign w:val="center"/>
          </w:tcPr>
          <w:p w14:paraId="5868CCC2">
            <w:pPr>
              <w:pStyle w:val="8"/>
              <w:suppressLineNumbers w:val="0"/>
              <w:bidi w:val="0"/>
              <w:spacing w:before="0" w:beforeAutospacing="0" w:after="0" w:afterAutospacing="0"/>
              <w:ind w:left="0" w:right="0"/>
              <w:jc w:val="center"/>
              <w:rPr>
                <w:rFonts w:hint="eastAsia"/>
                <w:highlight w:val="none"/>
                <w:lang w:val="en-US" w:eastAsia="zh-CN"/>
              </w:rPr>
            </w:pPr>
            <w:r>
              <w:rPr>
                <w:rFonts w:hint="default"/>
                <w:highlight w:val="none"/>
              </w:rPr>
              <w:t>贮存设施应根据危险废物的类别、数量、形态、物理化学性质和污染防治等要求设置必要的贮存分区，避免不相容的危险废物接触、混合</w:t>
            </w:r>
          </w:p>
        </w:tc>
        <w:tc>
          <w:tcPr>
            <w:tcW w:w="3265" w:type="dxa"/>
            <w:vAlign w:val="center"/>
          </w:tcPr>
          <w:p w14:paraId="13E8FE29">
            <w:pPr>
              <w:pStyle w:val="8"/>
              <w:suppressLineNumbers w:val="0"/>
              <w:bidi w:val="0"/>
              <w:spacing w:before="0" w:beforeAutospacing="0" w:after="0" w:afterAutospacing="0"/>
              <w:ind w:left="0" w:right="0"/>
              <w:jc w:val="center"/>
              <w:rPr>
                <w:rFonts w:hint="default"/>
                <w:highlight w:val="none"/>
              </w:rPr>
            </w:pPr>
            <w:r>
              <w:rPr>
                <w:rFonts w:hint="default"/>
                <w:color w:val="auto"/>
                <w:sz w:val="21"/>
                <w:szCs w:val="21"/>
                <w:highlight w:val="none"/>
              </w:rPr>
              <w:t>本项目</w:t>
            </w:r>
            <w:r>
              <w:rPr>
                <w:rFonts w:hint="eastAsia"/>
                <w:color w:val="auto"/>
                <w:sz w:val="21"/>
                <w:szCs w:val="21"/>
                <w:highlight w:val="none"/>
                <w:lang w:val="en-US" w:eastAsia="zh-CN"/>
              </w:rPr>
              <w:t>含油金属屑</w:t>
            </w:r>
            <w:r>
              <w:rPr>
                <w:rFonts w:hint="default"/>
                <w:color w:val="auto"/>
                <w:sz w:val="21"/>
                <w:szCs w:val="21"/>
                <w:highlight w:val="none"/>
              </w:rPr>
              <w:t>和</w:t>
            </w:r>
            <w:r>
              <w:rPr>
                <w:rFonts w:hint="eastAsia"/>
                <w:color w:val="auto"/>
                <w:sz w:val="21"/>
                <w:szCs w:val="21"/>
                <w:highlight w:val="none"/>
                <w:lang w:val="en-US" w:eastAsia="zh-CN"/>
              </w:rPr>
              <w:t>生产产生的珩磨油泥、废机油、废胶、含油抹布、废手套、化学品包装桶、废活性炭、废过滤材料及废油</w:t>
            </w:r>
            <w:r>
              <w:rPr>
                <w:rFonts w:hint="default"/>
                <w:color w:val="auto"/>
                <w:sz w:val="21"/>
                <w:szCs w:val="21"/>
                <w:highlight w:val="none"/>
              </w:rPr>
              <w:t>分开储存，不进行接触</w:t>
            </w:r>
          </w:p>
        </w:tc>
        <w:tc>
          <w:tcPr>
            <w:tcW w:w="586" w:type="dxa"/>
            <w:vAlign w:val="center"/>
          </w:tcPr>
          <w:p w14:paraId="4A0F9C4E">
            <w:pPr>
              <w:pStyle w:val="8"/>
              <w:suppressLineNumbers w:val="0"/>
              <w:bidi w:val="0"/>
              <w:spacing w:before="0" w:beforeAutospacing="0" w:after="0" w:afterAutospacing="0"/>
              <w:ind w:left="0" w:right="0"/>
              <w:jc w:val="center"/>
              <w:rPr>
                <w:rFonts w:hint="default"/>
                <w:highlight w:val="none"/>
              </w:rPr>
            </w:pPr>
            <w:r>
              <w:rPr>
                <w:rFonts w:hint="default"/>
                <w:highlight w:val="none"/>
              </w:rPr>
              <w:t>符合</w:t>
            </w:r>
          </w:p>
        </w:tc>
      </w:tr>
      <w:tr w14:paraId="0B64168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trPr>
        <w:tc>
          <w:tcPr>
            <w:tcW w:w="559" w:type="dxa"/>
            <w:vAlign w:val="center"/>
          </w:tcPr>
          <w:p w14:paraId="3DA9B256">
            <w:pPr>
              <w:pStyle w:val="8"/>
              <w:numPr>
                <w:ilvl w:val="0"/>
                <w:numId w:val="6"/>
              </w:numPr>
              <w:suppressLineNumbers w:val="0"/>
              <w:bidi w:val="0"/>
              <w:spacing w:before="0" w:beforeAutospacing="0" w:after="0" w:afterAutospacing="0"/>
              <w:ind w:left="454" w:leftChars="0" w:right="0" w:hanging="387" w:firstLineChars="0"/>
              <w:jc w:val="center"/>
              <w:rPr>
                <w:rFonts w:hint="default"/>
                <w:highlight w:val="none"/>
              </w:rPr>
            </w:pPr>
          </w:p>
        </w:tc>
        <w:tc>
          <w:tcPr>
            <w:tcW w:w="4112" w:type="dxa"/>
            <w:shd w:val="clear" w:color="auto" w:fill="auto"/>
            <w:vAlign w:val="center"/>
          </w:tcPr>
          <w:p w14:paraId="06220DDB">
            <w:pPr>
              <w:pStyle w:val="8"/>
              <w:suppressLineNumbers w:val="0"/>
              <w:bidi w:val="0"/>
              <w:spacing w:before="0" w:beforeAutospacing="0" w:after="0" w:afterAutospacing="0"/>
              <w:ind w:left="0" w:right="0"/>
              <w:jc w:val="center"/>
              <w:rPr>
                <w:rFonts w:hint="eastAsia"/>
                <w:highlight w:val="none"/>
                <w:lang w:val="en-US" w:eastAsia="zh-CN"/>
              </w:rPr>
            </w:pPr>
            <w:r>
              <w:rPr>
                <w:rFonts w:hint="default"/>
                <w:highlight w:val="none"/>
              </w:rPr>
              <w:t>贮存设施或贮存分区内地面、墙面裙脚、堵截泄漏的围堰、接触危险废物的隔板和墙体等应采用坚固的材料建造，表面无裂缝</w:t>
            </w:r>
          </w:p>
        </w:tc>
        <w:tc>
          <w:tcPr>
            <w:tcW w:w="3265" w:type="dxa"/>
            <w:vAlign w:val="center"/>
          </w:tcPr>
          <w:p w14:paraId="4367B61F">
            <w:pPr>
              <w:pStyle w:val="8"/>
              <w:suppressLineNumbers w:val="0"/>
              <w:bidi w:val="0"/>
              <w:spacing w:before="0" w:beforeAutospacing="0" w:after="0" w:afterAutospacing="0"/>
              <w:ind w:left="0" w:right="0"/>
              <w:jc w:val="center"/>
              <w:rPr>
                <w:rFonts w:hint="default"/>
                <w:highlight w:val="none"/>
              </w:rPr>
            </w:pPr>
            <w:r>
              <w:rPr>
                <w:rFonts w:hint="default"/>
                <w:color w:val="auto"/>
                <w:sz w:val="21"/>
                <w:szCs w:val="21"/>
                <w:highlight w:val="none"/>
              </w:rPr>
              <w:t>本项目</w:t>
            </w:r>
            <w:r>
              <w:rPr>
                <w:rFonts w:hint="eastAsia"/>
                <w:color w:val="auto"/>
                <w:sz w:val="21"/>
                <w:szCs w:val="21"/>
                <w:highlight w:val="none"/>
                <w:lang w:val="en-US" w:eastAsia="zh-CN"/>
              </w:rPr>
              <w:t>原料贮存区、危险废物贮存库</w:t>
            </w:r>
            <w:r>
              <w:rPr>
                <w:rFonts w:hint="default"/>
                <w:color w:val="auto"/>
                <w:sz w:val="21"/>
                <w:szCs w:val="21"/>
                <w:highlight w:val="none"/>
              </w:rPr>
              <w:t>围堰采用坚固材料，且表面无裂缝</w:t>
            </w:r>
          </w:p>
        </w:tc>
        <w:tc>
          <w:tcPr>
            <w:tcW w:w="586" w:type="dxa"/>
            <w:vAlign w:val="center"/>
          </w:tcPr>
          <w:p w14:paraId="1D0CA4F2">
            <w:pPr>
              <w:pStyle w:val="8"/>
              <w:suppressLineNumbers w:val="0"/>
              <w:bidi w:val="0"/>
              <w:spacing w:before="0" w:beforeAutospacing="0" w:after="0" w:afterAutospacing="0"/>
              <w:ind w:left="0" w:right="0"/>
              <w:jc w:val="center"/>
              <w:rPr>
                <w:rFonts w:hint="default"/>
                <w:highlight w:val="none"/>
              </w:rPr>
            </w:pPr>
            <w:r>
              <w:rPr>
                <w:rFonts w:hint="default"/>
                <w:highlight w:val="none"/>
              </w:rPr>
              <w:t>符合</w:t>
            </w:r>
          </w:p>
        </w:tc>
      </w:tr>
      <w:tr w14:paraId="325866F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trPr>
        <w:tc>
          <w:tcPr>
            <w:tcW w:w="559" w:type="dxa"/>
            <w:vAlign w:val="center"/>
          </w:tcPr>
          <w:p w14:paraId="08C4E4CD">
            <w:pPr>
              <w:pStyle w:val="8"/>
              <w:numPr>
                <w:ilvl w:val="0"/>
                <w:numId w:val="6"/>
              </w:numPr>
              <w:suppressLineNumbers w:val="0"/>
              <w:bidi w:val="0"/>
              <w:spacing w:before="0" w:beforeAutospacing="0" w:after="0" w:afterAutospacing="0"/>
              <w:ind w:left="454" w:leftChars="0" w:right="0" w:hanging="387" w:firstLineChars="0"/>
              <w:jc w:val="center"/>
              <w:rPr>
                <w:rFonts w:hint="default"/>
                <w:highlight w:val="none"/>
              </w:rPr>
            </w:pPr>
          </w:p>
        </w:tc>
        <w:tc>
          <w:tcPr>
            <w:tcW w:w="4112" w:type="dxa"/>
            <w:shd w:val="clear" w:color="auto" w:fill="auto"/>
            <w:vAlign w:val="center"/>
          </w:tcPr>
          <w:p w14:paraId="096F67C3">
            <w:pPr>
              <w:pStyle w:val="8"/>
              <w:suppressLineNumbers w:val="0"/>
              <w:bidi w:val="0"/>
              <w:spacing w:before="0" w:beforeAutospacing="0" w:after="0" w:afterAutospacing="0"/>
              <w:ind w:left="0" w:right="0"/>
              <w:jc w:val="center"/>
              <w:rPr>
                <w:rFonts w:hint="eastAsia"/>
                <w:highlight w:val="none"/>
                <w:lang w:val="en-US" w:eastAsia="zh-CN"/>
              </w:rPr>
            </w:pPr>
            <w:r>
              <w:rPr>
                <w:rFonts w:hint="default"/>
                <w:highlight w:val="none"/>
              </w:rPr>
              <w:t>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default"/>
                <w:highlight w:val="none"/>
                <w:vertAlign w:val="superscript"/>
              </w:rPr>
              <w:t>-7</w:t>
            </w:r>
            <w:r>
              <w:rPr>
                <w:rFonts w:hint="default"/>
                <w:highlight w:val="none"/>
              </w:rPr>
              <w:t>cm/s），或至少2mm厚高密度聚乙烯膜等人工防渗材料（渗透系数不大于10</w:t>
            </w:r>
            <w:r>
              <w:rPr>
                <w:rFonts w:hint="default"/>
                <w:highlight w:val="none"/>
                <w:vertAlign w:val="superscript"/>
              </w:rPr>
              <w:t>-10</w:t>
            </w:r>
            <w:r>
              <w:rPr>
                <w:rFonts w:hint="default"/>
                <w:highlight w:val="none"/>
              </w:rPr>
              <w:t>cm/s），或其他防渗性能等效的材料</w:t>
            </w:r>
          </w:p>
        </w:tc>
        <w:tc>
          <w:tcPr>
            <w:tcW w:w="3265" w:type="dxa"/>
            <w:vAlign w:val="center"/>
          </w:tcPr>
          <w:p w14:paraId="53D1C7ED">
            <w:pPr>
              <w:pStyle w:val="8"/>
              <w:suppressLineNumbers w:val="0"/>
              <w:bidi w:val="0"/>
              <w:spacing w:before="0" w:beforeAutospacing="0" w:after="0" w:afterAutospacing="0"/>
              <w:ind w:left="0" w:right="0"/>
              <w:jc w:val="center"/>
              <w:rPr>
                <w:rFonts w:hint="default" w:eastAsia="宋体"/>
                <w:highlight w:val="none"/>
                <w:lang w:val="en-US" w:eastAsia="zh-CN"/>
              </w:rPr>
            </w:pPr>
            <w:r>
              <w:rPr>
                <w:rFonts w:hint="eastAsia"/>
                <w:highlight w:val="none"/>
                <w:lang w:val="en-US" w:eastAsia="zh-CN"/>
              </w:rPr>
              <w:t>本项目</w:t>
            </w:r>
            <w:r>
              <w:rPr>
                <w:rFonts w:hint="eastAsia"/>
                <w:color w:val="auto"/>
                <w:sz w:val="21"/>
                <w:szCs w:val="21"/>
                <w:highlight w:val="none"/>
                <w:lang w:val="en-US" w:eastAsia="zh-CN"/>
              </w:rPr>
              <w:t>变速器机加厂房</w:t>
            </w:r>
            <w:r>
              <w:rPr>
                <w:rFonts w:hint="eastAsia"/>
                <w:highlight w:val="none"/>
              </w:rPr>
              <w:t>地面</w:t>
            </w:r>
            <w:r>
              <w:rPr>
                <w:rFonts w:hint="eastAsia"/>
                <w:highlight w:val="none"/>
                <w:lang w:val="en-US" w:eastAsia="zh-CN"/>
              </w:rPr>
              <w:t>已整体</w:t>
            </w:r>
            <w:r>
              <w:rPr>
                <w:rFonts w:hint="eastAsia"/>
                <w:highlight w:val="none"/>
              </w:rPr>
              <w:t>采取防渗措施，防渗层采取</w:t>
            </w:r>
            <w:r>
              <w:rPr>
                <w:rFonts w:hint="eastAsia"/>
                <w:highlight w:val="none"/>
                <w:lang w:val="en-US" w:eastAsia="zh-CN"/>
              </w:rPr>
              <w:t>人工材料防渗层+</w:t>
            </w:r>
            <w:r>
              <w:rPr>
                <w:rFonts w:hint="eastAsia"/>
                <w:highlight w:val="none"/>
              </w:rPr>
              <w:t>防渗混凝土层，渗透系数＜1.0×10</w:t>
            </w:r>
            <w:r>
              <w:rPr>
                <w:rFonts w:hint="eastAsia"/>
                <w:highlight w:val="none"/>
                <w:vertAlign w:val="superscript"/>
              </w:rPr>
              <w:t>-10</w:t>
            </w:r>
            <w:r>
              <w:rPr>
                <w:rFonts w:hint="eastAsia"/>
                <w:highlight w:val="none"/>
              </w:rPr>
              <w:t>cm/s</w:t>
            </w:r>
          </w:p>
        </w:tc>
        <w:tc>
          <w:tcPr>
            <w:tcW w:w="586" w:type="dxa"/>
            <w:vAlign w:val="center"/>
          </w:tcPr>
          <w:p w14:paraId="6F750724">
            <w:pPr>
              <w:pStyle w:val="8"/>
              <w:suppressLineNumbers w:val="0"/>
              <w:bidi w:val="0"/>
              <w:spacing w:before="0" w:beforeAutospacing="0" w:after="0" w:afterAutospacing="0"/>
              <w:ind w:left="0" w:right="0"/>
              <w:jc w:val="center"/>
              <w:rPr>
                <w:rFonts w:hint="default"/>
                <w:highlight w:val="none"/>
              </w:rPr>
            </w:pPr>
            <w:r>
              <w:rPr>
                <w:rFonts w:hint="default"/>
                <w:highlight w:val="none"/>
              </w:rPr>
              <w:t>符合</w:t>
            </w:r>
          </w:p>
        </w:tc>
      </w:tr>
      <w:tr w14:paraId="1AF21FC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trPr>
        <w:tc>
          <w:tcPr>
            <w:tcW w:w="559" w:type="dxa"/>
            <w:vAlign w:val="center"/>
          </w:tcPr>
          <w:p w14:paraId="173494CE">
            <w:pPr>
              <w:pStyle w:val="8"/>
              <w:numPr>
                <w:ilvl w:val="0"/>
                <w:numId w:val="6"/>
              </w:numPr>
              <w:suppressLineNumbers w:val="0"/>
              <w:bidi w:val="0"/>
              <w:spacing w:before="0" w:beforeAutospacing="0" w:after="0" w:afterAutospacing="0"/>
              <w:ind w:left="454" w:leftChars="0" w:right="0" w:hanging="387" w:firstLineChars="0"/>
              <w:jc w:val="center"/>
              <w:rPr>
                <w:rFonts w:hint="default"/>
                <w:highlight w:val="none"/>
              </w:rPr>
            </w:pPr>
          </w:p>
        </w:tc>
        <w:tc>
          <w:tcPr>
            <w:tcW w:w="4112" w:type="dxa"/>
            <w:shd w:val="clear" w:color="auto" w:fill="auto"/>
            <w:vAlign w:val="center"/>
          </w:tcPr>
          <w:p w14:paraId="450151F9">
            <w:pPr>
              <w:pStyle w:val="8"/>
              <w:suppressLineNumbers w:val="0"/>
              <w:bidi w:val="0"/>
              <w:spacing w:before="0" w:beforeAutospacing="0" w:after="0" w:afterAutospacing="0"/>
              <w:ind w:left="0" w:right="0"/>
              <w:jc w:val="center"/>
              <w:rPr>
                <w:rFonts w:hint="eastAsia"/>
                <w:highlight w:val="none"/>
                <w:lang w:val="en-US" w:eastAsia="zh-CN"/>
              </w:rPr>
            </w:pPr>
            <w:r>
              <w:rPr>
                <w:rFonts w:hint="default"/>
                <w:highlight w:val="none"/>
              </w:rPr>
              <w:t>同一贮存设施宜采用相同的防渗、防腐工艺（包括防渗、防腐结构或材料），防渗、防腐材料应覆盖所有可能与废物及其渗滤液、渗漏液等接触的构筑物表面；采用不同防渗、防腐工艺应分别建设贮存分区</w:t>
            </w:r>
          </w:p>
        </w:tc>
        <w:tc>
          <w:tcPr>
            <w:tcW w:w="3265" w:type="dxa"/>
            <w:vAlign w:val="center"/>
          </w:tcPr>
          <w:p w14:paraId="226B0DDB">
            <w:pPr>
              <w:pStyle w:val="8"/>
              <w:suppressLineNumbers w:val="0"/>
              <w:bidi w:val="0"/>
              <w:spacing w:before="0" w:beforeAutospacing="0" w:after="0" w:afterAutospacing="0"/>
              <w:ind w:left="0" w:right="0"/>
              <w:jc w:val="center"/>
              <w:rPr>
                <w:rFonts w:hint="default"/>
                <w:highlight w:val="none"/>
              </w:rPr>
            </w:pPr>
            <w:r>
              <w:rPr>
                <w:rFonts w:hint="default"/>
                <w:color w:val="auto"/>
                <w:sz w:val="21"/>
                <w:szCs w:val="21"/>
                <w:highlight w:val="none"/>
              </w:rPr>
              <w:t>本项目</w:t>
            </w:r>
            <w:r>
              <w:rPr>
                <w:rFonts w:hint="eastAsia"/>
                <w:color w:val="auto"/>
                <w:sz w:val="21"/>
                <w:szCs w:val="21"/>
                <w:highlight w:val="none"/>
                <w:lang w:val="en-US" w:eastAsia="zh-CN"/>
              </w:rPr>
              <w:t>含油金属屑</w:t>
            </w:r>
            <w:r>
              <w:rPr>
                <w:rFonts w:hint="default"/>
                <w:color w:val="auto"/>
                <w:sz w:val="21"/>
                <w:szCs w:val="21"/>
                <w:highlight w:val="none"/>
              </w:rPr>
              <w:t>和</w:t>
            </w:r>
            <w:r>
              <w:rPr>
                <w:rFonts w:hint="eastAsia"/>
                <w:color w:val="auto"/>
                <w:sz w:val="21"/>
                <w:szCs w:val="21"/>
                <w:highlight w:val="none"/>
                <w:lang w:val="en-US" w:eastAsia="zh-CN"/>
              </w:rPr>
              <w:t>生产产生的珩磨油泥、废机油、废胶、含油抹布、废手套、化学品包装桶、废活性炭、废过滤材料及废油</w:t>
            </w:r>
            <w:r>
              <w:rPr>
                <w:rFonts w:hint="default"/>
                <w:color w:val="auto"/>
                <w:sz w:val="21"/>
                <w:szCs w:val="21"/>
                <w:highlight w:val="none"/>
              </w:rPr>
              <w:t>分开储存，不进行接触</w:t>
            </w:r>
          </w:p>
        </w:tc>
        <w:tc>
          <w:tcPr>
            <w:tcW w:w="586" w:type="dxa"/>
            <w:vAlign w:val="center"/>
          </w:tcPr>
          <w:p w14:paraId="38119CB7">
            <w:pPr>
              <w:pStyle w:val="8"/>
              <w:suppressLineNumbers w:val="0"/>
              <w:bidi w:val="0"/>
              <w:spacing w:before="0" w:beforeAutospacing="0" w:after="0" w:afterAutospacing="0"/>
              <w:ind w:left="0" w:right="0"/>
              <w:jc w:val="center"/>
              <w:rPr>
                <w:rFonts w:hint="default"/>
                <w:highlight w:val="none"/>
              </w:rPr>
            </w:pPr>
            <w:r>
              <w:rPr>
                <w:rFonts w:hint="default"/>
                <w:highlight w:val="none"/>
              </w:rPr>
              <w:t>符合</w:t>
            </w:r>
          </w:p>
        </w:tc>
      </w:tr>
      <w:tr w14:paraId="5FEBADE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trPr>
        <w:tc>
          <w:tcPr>
            <w:tcW w:w="559" w:type="dxa"/>
            <w:vAlign w:val="center"/>
          </w:tcPr>
          <w:p w14:paraId="1AB33304">
            <w:pPr>
              <w:pStyle w:val="8"/>
              <w:numPr>
                <w:ilvl w:val="0"/>
                <w:numId w:val="6"/>
              </w:numPr>
              <w:suppressLineNumbers w:val="0"/>
              <w:bidi w:val="0"/>
              <w:spacing w:before="0" w:beforeAutospacing="0" w:after="0" w:afterAutospacing="0"/>
              <w:ind w:left="454" w:leftChars="0" w:right="0" w:hanging="387" w:firstLineChars="0"/>
              <w:jc w:val="center"/>
              <w:rPr>
                <w:rFonts w:hint="default"/>
                <w:highlight w:val="none"/>
              </w:rPr>
            </w:pPr>
          </w:p>
        </w:tc>
        <w:tc>
          <w:tcPr>
            <w:tcW w:w="4112" w:type="dxa"/>
            <w:shd w:val="clear" w:color="auto" w:fill="auto"/>
            <w:vAlign w:val="center"/>
          </w:tcPr>
          <w:p w14:paraId="538C0543">
            <w:pPr>
              <w:pStyle w:val="8"/>
              <w:suppressLineNumbers w:val="0"/>
              <w:bidi w:val="0"/>
              <w:spacing w:before="0" w:beforeAutospacing="0" w:after="0" w:afterAutospacing="0"/>
              <w:ind w:left="0" w:right="0"/>
              <w:jc w:val="center"/>
              <w:rPr>
                <w:rFonts w:hint="eastAsia"/>
                <w:highlight w:val="none"/>
                <w:lang w:val="en-US" w:eastAsia="zh-CN"/>
              </w:rPr>
            </w:pPr>
            <w:r>
              <w:rPr>
                <w:rFonts w:hint="default"/>
                <w:highlight w:val="none"/>
              </w:rPr>
              <w:t>贮存设施应采取技术和管理措施防止无关人员进入</w:t>
            </w:r>
          </w:p>
        </w:tc>
        <w:tc>
          <w:tcPr>
            <w:tcW w:w="3265" w:type="dxa"/>
            <w:vAlign w:val="center"/>
          </w:tcPr>
          <w:p w14:paraId="227748B0">
            <w:pPr>
              <w:pStyle w:val="8"/>
              <w:suppressLineNumbers w:val="0"/>
              <w:bidi w:val="0"/>
              <w:spacing w:before="0" w:beforeAutospacing="0" w:after="0" w:afterAutospacing="0"/>
              <w:ind w:left="0" w:right="0"/>
              <w:jc w:val="center"/>
              <w:rPr>
                <w:rFonts w:hint="default"/>
                <w:highlight w:val="none"/>
              </w:rPr>
            </w:pPr>
            <w:r>
              <w:rPr>
                <w:rFonts w:hint="default"/>
                <w:color w:val="auto"/>
                <w:sz w:val="21"/>
                <w:szCs w:val="21"/>
                <w:highlight w:val="none"/>
              </w:rPr>
              <w:t>本项目在厂内设置标识，</w:t>
            </w:r>
            <w:r>
              <w:rPr>
                <w:rFonts w:hint="eastAsia"/>
                <w:color w:val="auto"/>
                <w:sz w:val="21"/>
                <w:szCs w:val="21"/>
                <w:highlight w:val="none"/>
                <w:lang w:val="en-US" w:eastAsia="zh-CN"/>
              </w:rPr>
              <w:t>储存区</w:t>
            </w:r>
            <w:r>
              <w:rPr>
                <w:rFonts w:hint="default"/>
                <w:color w:val="auto"/>
                <w:sz w:val="21"/>
                <w:szCs w:val="21"/>
                <w:highlight w:val="none"/>
              </w:rPr>
              <w:t>附近无关人员不得接近</w:t>
            </w:r>
          </w:p>
        </w:tc>
        <w:tc>
          <w:tcPr>
            <w:tcW w:w="586" w:type="dxa"/>
            <w:vAlign w:val="center"/>
          </w:tcPr>
          <w:p w14:paraId="3B2D8EBA">
            <w:pPr>
              <w:pStyle w:val="8"/>
              <w:suppressLineNumbers w:val="0"/>
              <w:bidi w:val="0"/>
              <w:spacing w:before="0" w:beforeAutospacing="0" w:after="0" w:afterAutospacing="0"/>
              <w:ind w:left="0" w:right="0"/>
              <w:jc w:val="center"/>
              <w:rPr>
                <w:rFonts w:hint="default"/>
                <w:highlight w:val="none"/>
              </w:rPr>
            </w:pPr>
            <w:r>
              <w:rPr>
                <w:rFonts w:hint="default"/>
                <w:highlight w:val="none"/>
              </w:rPr>
              <w:t>符合</w:t>
            </w:r>
          </w:p>
        </w:tc>
      </w:tr>
      <w:tr w14:paraId="602DFB0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trPr>
        <w:tc>
          <w:tcPr>
            <w:tcW w:w="559" w:type="dxa"/>
            <w:vAlign w:val="center"/>
          </w:tcPr>
          <w:p w14:paraId="5AF41A40">
            <w:pPr>
              <w:pStyle w:val="8"/>
              <w:numPr>
                <w:ilvl w:val="0"/>
                <w:numId w:val="6"/>
              </w:numPr>
              <w:suppressLineNumbers w:val="0"/>
              <w:bidi w:val="0"/>
              <w:spacing w:before="0" w:beforeAutospacing="0" w:after="0" w:afterAutospacing="0"/>
              <w:ind w:left="454" w:leftChars="0" w:right="0" w:hanging="387" w:firstLineChars="0"/>
              <w:jc w:val="center"/>
              <w:rPr>
                <w:rFonts w:hint="default"/>
                <w:highlight w:val="none"/>
              </w:rPr>
            </w:pPr>
          </w:p>
        </w:tc>
        <w:tc>
          <w:tcPr>
            <w:tcW w:w="4112" w:type="dxa"/>
            <w:shd w:val="clear" w:color="auto" w:fill="auto"/>
            <w:vAlign w:val="center"/>
          </w:tcPr>
          <w:p w14:paraId="10D879E6">
            <w:pPr>
              <w:pStyle w:val="8"/>
              <w:suppressLineNumbers w:val="0"/>
              <w:bidi w:val="0"/>
              <w:spacing w:before="0" w:beforeAutospacing="0" w:after="0" w:afterAutospacing="0"/>
              <w:ind w:left="0" w:right="0"/>
              <w:jc w:val="center"/>
              <w:rPr>
                <w:rFonts w:hint="eastAsia"/>
                <w:highlight w:val="none"/>
                <w:lang w:val="en-US" w:eastAsia="zh-CN"/>
              </w:rPr>
            </w:pPr>
            <w:r>
              <w:rPr>
                <w:rFonts w:hint="default"/>
                <w:highlight w:val="none"/>
              </w:rPr>
              <w:t>液态危险废物应装入容器内贮存，或直接采用贮存池、贮存罐区贮存</w:t>
            </w:r>
          </w:p>
        </w:tc>
        <w:tc>
          <w:tcPr>
            <w:tcW w:w="3265" w:type="dxa"/>
            <w:vAlign w:val="center"/>
          </w:tcPr>
          <w:p w14:paraId="1748283D">
            <w:pPr>
              <w:pStyle w:val="8"/>
              <w:suppressLineNumbers w:val="0"/>
              <w:bidi w:val="0"/>
              <w:spacing w:before="0" w:beforeAutospacing="0" w:after="0" w:afterAutospacing="0"/>
              <w:ind w:left="0" w:right="0"/>
              <w:jc w:val="center"/>
              <w:rPr>
                <w:rFonts w:hint="default"/>
                <w:highlight w:val="none"/>
                <w:lang w:val="en-US"/>
              </w:rPr>
            </w:pPr>
            <w:r>
              <w:rPr>
                <w:rFonts w:hint="eastAsia"/>
                <w:color w:val="auto"/>
                <w:sz w:val="21"/>
                <w:szCs w:val="21"/>
                <w:highlight w:val="none"/>
                <w:lang w:val="en-US" w:eastAsia="zh-CN"/>
              </w:rPr>
              <w:t>本项目生产过程中产生的珩磨油泥、废机油、废胶、含油抹布、废手套、化学品包装桶、废活性炭、废过滤材料及废油采用专用包装桶储存</w:t>
            </w:r>
          </w:p>
        </w:tc>
        <w:tc>
          <w:tcPr>
            <w:tcW w:w="586" w:type="dxa"/>
            <w:vAlign w:val="center"/>
          </w:tcPr>
          <w:p w14:paraId="04D8413D">
            <w:pPr>
              <w:pStyle w:val="8"/>
              <w:suppressLineNumbers w:val="0"/>
              <w:bidi w:val="0"/>
              <w:spacing w:before="0" w:beforeAutospacing="0" w:after="0" w:afterAutospacing="0"/>
              <w:ind w:left="0" w:right="0"/>
              <w:jc w:val="center"/>
              <w:rPr>
                <w:rFonts w:hint="default"/>
                <w:highlight w:val="none"/>
              </w:rPr>
            </w:pPr>
            <w:r>
              <w:rPr>
                <w:rFonts w:hint="default"/>
                <w:highlight w:val="none"/>
              </w:rPr>
              <w:t>符合</w:t>
            </w:r>
          </w:p>
        </w:tc>
      </w:tr>
      <w:tr w14:paraId="7CBB527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trPr>
        <w:tc>
          <w:tcPr>
            <w:tcW w:w="559" w:type="dxa"/>
            <w:vAlign w:val="center"/>
          </w:tcPr>
          <w:p w14:paraId="67D230BA">
            <w:pPr>
              <w:pStyle w:val="8"/>
              <w:numPr>
                <w:ilvl w:val="0"/>
                <w:numId w:val="6"/>
              </w:numPr>
              <w:suppressLineNumbers w:val="0"/>
              <w:bidi w:val="0"/>
              <w:spacing w:before="0" w:beforeAutospacing="0" w:after="0" w:afterAutospacing="0"/>
              <w:ind w:left="454" w:leftChars="0" w:right="0" w:hanging="387" w:firstLineChars="0"/>
              <w:jc w:val="center"/>
              <w:rPr>
                <w:rFonts w:hint="default"/>
                <w:highlight w:val="none"/>
              </w:rPr>
            </w:pPr>
          </w:p>
        </w:tc>
        <w:tc>
          <w:tcPr>
            <w:tcW w:w="4112" w:type="dxa"/>
            <w:shd w:val="clear" w:color="auto" w:fill="auto"/>
            <w:vAlign w:val="center"/>
          </w:tcPr>
          <w:p w14:paraId="7B1B9C79">
            <w:pPr>
              <w:pStyle w:val="8"/>
              <w:suppressLineNumbers w:val="0"/>
              <w:bidi w:val="0"/>
              <w:spacing w:before="0" w:beforeAutospacing="0" w:after="0" w:afterAutospacing="0"/>
              <w:ind w:left="0" w:right="0"/>
              <w:jc w:val="center"/>
              <w:rPr>
                <w:rFonts w:hint="eastAsia"/>
                <w:highlight w:val="none"/>
                <w:lang w:val="en-US" w:eastAsia="zh-CN"/>
              </w:rPr>
            </w:pPr>
            <w:r>
              <w:rPr>
                <w:rFonts w:hint="default"/>
                <w:highlight w:val="none"/>
              </w:rPr>
              <w:t>危险废物存入贮存设施前应对危险废物类别和特性进行核验，不一致的或类别、特性不明的不应存入</w:t>
            </w:r>
          </w:p>
        </w:tc>
        <w:tc>
          <w:tcPr>
            <w:tcW w:w="3265" w:type="dxa"/>
            <w:vAlign w:val="center"/>
          </w:tcPr>
          <w:p w14:paraId="7D96DA1D">
            <w:pPr>
              <w:pStyle w:val="8"/>
              <w:suppressLineNumbers w:val="0"/>
              <w:bidi w:val="0"/>
              <w:spacing w:before="0" w:beforeAutospacing="0" w:after="0" w:afterAutospacing="0"/>
              <w:ind w:left="0" w:right="0"/>
              <w:jc w:val="center"/>
              <w:rPr>
                <w:rFonts w:hint="default"/>
                <w:highlight w:val="none"/>
              </w:rPr>
            </w:pPr>
            <w:r>
              <w:rPr>
                <w:rFonts w:hint="default"/>
                <w:color w:val="auto"/>
                <w:sz w:val="21"/>
                <w:szCs w:val="21"/>
                <w:highlight w:val="none"/>
              </w:rPr>
              <w:t>本项目按照上述规定严格对进场的</w:t>
            </w:r>
            <w:r>
              <w:rPr>
                <w:rFonts w:hint="eastAsia"/>
                <w:color w:val="auto"/>
                <w:sz w:val="21"/>
                <w:szCs w:val="21"/>
                <w:highlight w:val="none"/>
                <w:lang w:val="en-US" w:eastAsia="zh-CN"/>
              </w:rPr>
              <w:t>含油金属屑</w:t>
            </w:r>
            <w:r>
              <w:rPr>
                <w:rFonts w:hint="default"/>
                <w:color w:val="auto"/>
                <w:sz w:val="21"/>
                <w:szCs w:val="21"/>
                <w:highlight w:val="none"/>
              </w:rPr>
              <w:t>进行管理</w:t>
            </w:r>
          </w:p>
        </w:tc>
        <w:tc>
          <w:tcPr>
            <w:tcW w:w="586" w:type="dxa"/>
            <w:vAlign w:val="center"/>
          </w:tcPr>
          <w:p w14:paraId="17D01031">
            <w:pPr>
              <w:pStyle w:val="8"/>
              <w:suppressLineNumbers w:val="0"/>
              <w:bidi w:val="0"/>
              <w:spacing w:before="0" w:beforeAutospacing="0" w:after="0" w:afterAutospacing="0"/>
              <w:ind w:left="0" w:right="0"/>
              <w:jc w:val="center"/>
              <w:rPr>
                <w:rFonts w:hint="default"/>
                <w:highlight w:val="none"/>
              </w:rPr>
            </w:pPr>
            <w:r>
              <w:rPr>
                <w:rFonts w:hint="default"/>
                <w:highlight w:val="none"/>
              </w:rPr>
              <w:t>符合</w:t>
            </w:r>
          </w:p>
        </w:tc>
      </w:tr>
    </w:tbl>
    <w:p w14:paraId="6F072DD2">
      <w:pPr>
        <w:pStyle w:val="7"/>
        <w:bidi w:val="0"/>
        <w:rPr>
          <w:rFonts w:hint="eastAsia"/>
          <w:highlight w:val="none"/>
          <w:lang w:val="en-US" w:eastAsia="zh-CN"/>
        </w:rPr>
      </w:pPr>
    </w:p>
    <w:p w14:paraId="2D688A1C">
      <w:pPr>
        <w:pStyle w:val="7"/>
        <w:bidi w:val="0"/>
        <w:rPr>
          <w:highlight w:val="none"/>
        </w:rPr>
      </w:pPr>
      <w:r>
        <w:rPr>
          <w:rFonts w:hint="eastAsia"/>
          <w:highlight w:val="none"/>
          <w:lang w:val="en-US" w:eastAsia="zh-CN"/>
        </w:rPr>
        <w:t>续</w:t>
      </w:r>
      <w:r>
        <w:rPr>
          <w:highlight w:val="none"/>
        </w:rPr>
        <w:t>表1-4-</w:t>
      </w:r>
      <w:r>
        <w:rPr>
          <w:rFonts w:hint="eastAsia"/>
          <w:highlight w:val="none"/>
          <w:lang w:val="en-US" w:eastAsia="zh-CN"/>
        </w:rPr>
        <w:t>4</w:t>
      </w:r>
      <w:r>
        <w:rPr>
          <w:highlight w:val="none"/>
        </w:rPr>
        <w:t>与《危险废物贮存污染控制标准》符合性一览表</w:t>
      </w:r>
    </w:p>
    <w:tbl>
      <w:tblPr>
        <w:tblStyle w:val="45"/>
        <w:tblpPr w:leftFromText="180" w:rightFromText="180" w:vertAnchor="text" w:tblpXSpec="left" w:tblpY="1"/>
        <w:tblOverlap w:val="never"/>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559"/>
        <w:gridCol w:w="4112"/>
        <w:gridCol w:w="2999"/>
        <w:gridCol w:w="852"/>
      </w:tblGrid>
      <w:tr w14:paraId="1E57D13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trPr>
        <w:tc>
          <w:tcPr>
            <w:tcW w:w="559" w:type="dxa"/>
            <w:vAlign w:val="center"/>
          </w:tcPr>
          <w:p w14:paraId="319A8C3B">
            <w:pPr>
              <w:pStyle w:val="8"/>
              <w:numPr>
                <w:ilvl w:val="0"/>
                <w:numId w:val="6"/>
              </w:numPr>
              <w:suppressLineNumbers w:val="0"/>
              <w:bidi w:val="0"/>
              <w:spacing w:before="0" w:beforeAutospacing="0" w:after="0" w:afterAutospacing="0"/>
              <w:ind w:left="454" w:leftChars="0" w:right="0" w:hanging="387" w:firstLineChars="0"/>
              <w:jc w:val="center"/>
              <w:rPr>
                <w:rFonts w:hint="default"/>
                <w:highlight w:val="none"/>
              </w:rPr>
            </w:pPr>
          </w:p>
        </w:tc>
        <w:tc>
          <w:tcPr>
            <w:tcW w:w="4112" w:type="dxa"/>
            <w:shd w:val="clear" w:color="auto" w:fill="auto"/>
            <w:vAlign w:val="center"/>
          </w:tcPr>
          <w:p w14:paraId="2957AECB">
            <w:pPr>
              <w:pStyle w:val="8"/>
              <w:suppressLineNumbers w:val="0"/>
              <w:bidi w:val="0"/>
              <w:spacing w:before="0" w:beforeAutospacing="0" w:after="0" w:afterAutospacing="0"/>
              <w:ind w:left="0" w:right="0"/>
              <w:jc w:val="center"/>
              <w:rPr>
                <w:rFonts w:hint="eastAsia"/>
                <w:highlight w:val="none"/>
                <w:lang w:val="en-US" w:eastAsia="zh-CN"/>
              </w:rPr>
            </w:pPr>
            <w:r>
              <w:rPr>
                <w:rFonts w:hint="default"/>
                <w:highlight w:val="none"/>
              </w:rPr>
              <w:t>应定期检查危险废物的贮存状况，及时清理贮存设施地面，更换破损泄漏的危险废物贮存容器和包装物，保证堆存危险废物的防雨、防风、防扬尘等设施功能完好</w:t>
            </w:r>
          </w:p>
        </w:tc>
        <w:tc>
          <w:tcPr>
            <w:tcW w:w="2999" w:type="dxa"/>
            <w:vMerge w:val="restart"/>
            <w:vAlign w:val="center"/>
          </w:tcPr>
          <w:p w14:paraId="60B5DE4A">
            <w:pPr>
              <w:pStyle w:val="8"/>
              <w:suppressLineNumbers w:val="0"/>
              <w:bidi w:val="0"/>
              <w:spacing w:before="0" w:beforeAutospacing="0" w:after="0" w:afterAutospacing="0"/>
              <w:ind w:left="0" w:right="0"/>
              <w:jc w:val="center"/>
              <w:outlineLvl w:val="9"/>
              <w:rPr>
                <w:rFonts w:hint="default"/>
                <w:highlight w:val="none"/>
              </w:rPr>
            </w:pPr>
            <w:r>
              <w:rPr>
                <w:rFonts w:hint="default"/>
                <w:color w:val="auto"/>
                <w:sz w:val="21"/>
                <w:szCs w:val="21"/>
                <w:highlight w:val="none"/>
              </w:rPr>
              <w:t>本项目按照上述规定严格对进场的</w:t>
            </w:r>
            <w:r>
              <w:rPr>
                <w:rFonts w:hint="eastAsia"/>
                <w:color w:val="auto"/>
                <w:sz w:val="21"/>
                <w:szCs w:val="21"/>
                <w:highlight w:val="none"/>
                <w:lang w:val="en-US" w:eastAsia="zh-CN"/>
              </w:rPr>
              <w:t>含油金属屑</w:t>
            </w:r>
            <w:r>
              <w:rPr>
                <w:rFonts w:hint="default"/>
                <w:color w:val="auto"/>
                <w:sz w:val="21"/>
                <w:szCs w:val="21"/>
                <w:highlight w:val="none"/>
              </w:rPr>
              <w:t>进行管理</w:t>
            </w:r>
          </w:p>
        </w:tc>
        <w:tc>
          <w:tcPr>
            <w:tcW w:w="852" w:type="dxa"/>
            <w:vAlign w:val="center"/>
          </w:tcPr>
          <w:p w14:paraId="47897064">
            <w:pPr>
              <w:pStyle w:val="8"/>
              <w:suppressLineNumbers w:val="0"/>
              <w:bidi w:val="0"/>
              <w:spacing w:before="0" w:beforeAutospacing="0" w:after="0" w:afterAutospacing="0"/>
              <w:ind w:left="0" w:right="0"/>
              <w:jc w:val="center"/>
              <w:rPr>
                <w:rFonts w:hint="default"/>
                <w:highlight w:val="none"/>
              </w:rPr>
            </w:pPr>
            <w:r>
              <w:rPr>
                <w:rFonts w:hint="default"/>
                <w:highlight w:val="none"/>
              </w:rPr>
              <w:t>符合</w:t>
            </w:r>
          </w:p>
        </w:tc>
      </w:tr>
      <w:tr w14:paraId="6036187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trPr>
        <w:tc>
          <w:tcPr>
            <w:tcW w:w="559" w:type="dxa"/>
            <w:vAlign w:val="center"/>
          </w:tcPr>
          <w:p w14:paraId="682DF1CE">
            <w:pPr>
              <w:pStyle w:val="8"/>
              <w:numPr>
                <w:ilvl w:val="0"/>
                <w:numId w:val="6"/>
              </w:numPr>
              <w:suppressLineNumbers w:val="0"/>
              <w:bidi w:val="0"/>
              <w:spacing w:before="0" w:beforeAutospacing="0" w:after="0" w:afterAutospacing="0"/>
              <w:ind w:left="454" w:leftChars="0" w:right="0" w:hanging="387" w:firstLineChars="0"/>
              <w:jc w:val="center"/>
              <w:rPr>
                <w:rFonts w:hint="default"/>
                <w:highlight w:val="none"/>
              </w:rPr>
            </w:pPr>
          </w:p>
        </w:tc>
        <w:tc>
          <w:tcPr>
            <w:tcW w:w="4112" w:type="dxa"/>
            <w:shd w:val="clear" w:color="auto" w:fill="auto"/>
            <w:vAlign w:val="center"/>
          </w:tcPr>
          <w:p w14:paraId="3F4B7721">
            <w:pPr>
              <w:pStyle w:val="8"/>
              <w:suppressLineNumbers w:val="0"/>
              <w:bidi w:val="0"/>
              <w:spacing w:before="0" w:beforeAutospacing="0" w:after="0" w:afterAutospacing="0"/>
              <w:ind w:left="0" w:right="0"/>
              <w:jc w:val="center"/>
              <w:rPr>
                <w:rFonts w:hint="eastAsia"/>
                <w:highlight w:val="none"/>
                <w:lang w:val="en-US" w:eastAsia="zh-CN"/>
              </w:rPr>
            </w:pPr>
            <w:r>
              <w:rPr>
                <w:rFonts w:hint="default"/>
                <w:highlight w:val="none"/>
              </w:rPr>
              <w:t>作业设备及车辆等结束作业离开贮存设施时，应对其残留的危险废物进行清理，清理的废物或清洗废水应收集处理</w:t>
            </w:r>
          </w:p>
        </w:tc>
        <w:tc>
          <w:tcPr>
            <w:tcW w:w="2999" w:type="dxa"/>
            <w:vMerge w:val="continue"/>
            <w:vAlign w:val="center"/>
          </w:tcPr>
          <w:p w14:paraId="6B7BA3D1">
            <w:pPr>
              <w:pStyle w:val="8"/>
              <w:suppressLineNumbers w:val="0"/>
              <w:bidi w:val="0"/>
              <w:spacing w:before="0" w:beforeAutospacing="0" w:after="0" w:afterAutospacing="0"/>
              <w:ind w:left="0" w:right="0"/>
              <w:jc w:val="center"/>
              <w:outlineLvl w:val="9"/>
              <w:rPr>
                <w:rFonts w:hint="default"/>
                <w:highlight w:val="none"/>
              </w:rPr>
            </w:pPr>
          </w:p>
        </w:tc>
        <w:tc>
          <w:tcPr>
            <w:tcW w:w="852" w:type="dxa"/>
            <w:vAlign w:val="center"/>
          </w:tcPr>
          <w:p w14:paraId="379E857C">
            <w:pPr>
              <w:pStyle w:val="8"/>
              <w:suppressLineNumbers w:val="0"/>
              <w:bidi w:val="0"/>
              <w:spacing w:before="0" w:beforeAutospacing="0" w:after="0" w:afterAutospacing="0"/>
              <w:ind w:left="0" w:right="0"/>
              <w:jc w:val="center"/>
              <w:rPr>
                <w:rFonts w:hint="default"/>
                <w:highlight w:val="none"/>
              </w:rPr>
            </w:pPr>
            <w:r>
              <w:rPr>
                <w:rFonts w:hint="default"/>
                <w:highlight w:val="none"/>
              </w:rPr>
              <w:t>符合</w:t>
            </w:r>
          </w:p>
        </w:tc>
      </w:tr>
      <w:tr w14:paraId="1E8E4A3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trPr>
        <w:tc>
          <w:tcPr>
            <w:tcW w:w="559" w:type="dxa"/>
            <w:vAlign w:val="center"/>
          </w:tcPr>
          <w:p w14:paraId="48B49C29">
            <w:pPr>
              <w:pStyle w:val="8"/>
              <w:numPr>
                <w:ilvl w:val="0"/>
                <w:numId w:val="6"/>
              </w:numPr>
              <w:suppressLineNumbers w:val="0"/>
              <w:bidi w:val="0"/>
              <w:spacing w:before="0" w:beforeAutospacing="0" w:after="0" w:afterAutospacing="0"/>
              <w:ind w:left="454" w:leftChars="0" w:right="0" w:hanging="387" w:firstLineChars="0"/>
              <w:jc w:val="center"/>
              <w:rPr>
                <w:rFonts w:hint="default"/>
                <w:highlight w:val="none"/>
              </w:rPr>
            </w:pPr>
          </w:p>
        </w:tc>
        <w:tc>
          <w:tcPr>
            <w:tcW w:w="4112" w:type="dxa"/>
            <w:shd w:val="clear" w:color="auto" w:fill="auto"/>
            <w:vAlign w:val="center"/>
          </w:tcPr>
          <w:p w14:paraId="7B511CC9">
            <w:pPr>
              <w:pStyle w:val="8"/>
              <w:suppressLineNumbers w:val="0"/>
              <w:bidi w:val="0"/>
              <w:spacing w:before="0" w:beforeAutospacing="0" w:after="0" w:afterAutospacing="0"/>
              <w:ind w:left="0" w:right="0"/>
              <w:jc w:val="center"/>
              <w:rPr>
                <w:rFonts w:hint="eastAsia"/>
                <w:highlight w:val="none"/>
                <w:lang w:val="en-US" w:eastAsia="zh-CN"/>
              </w:rPr>
            </w:pPr>
            <w:r>
              <w:rPr>
                <w:rFonts w:hint="default"/>
                <w:highlight w:val="none"/>
              </w:rPr>
              <w:t>贮存设施运行期间，应按国家有关标准和规定建立危险废物管理台账并保存</w:t>
            </w:r>
          </w:p>
        </w:tc>
        <w:tc>
          <w:tcPr>
            <w:tcW w:w="2999" w:type="dxa"/>
            <w:vMerge w:val="continue"/>
            <w:vAlign w:val="center"/>
          </w:tcPr>
          <w:p w14:paraId="2ADA1CD8">
            <w:pPr>
              <w:pStyle w:val="8"/>
              <w:suppressLineNumbers w:val="0"/>
              <w:bidi w:val="0"/>
              <w:spacing w:before="0" w:beforeAutospacing="0" w:after="0" w:afterAutospacing="0"/>
              <w:ind w:left="0" w:right="0"/>
              <w:jc w:val="center"/>
              <w:outlineLvl w:val="9"/>
              <w:rPr>
                <w:rFonts w:hint="default"/>
                <w:highlight w:val="none"/>
              </w:rPr>
            </w:pPr>
          </w:p>
        </w:tc>
        <w:tc>
          <w:tcPr>
            <w:tcW w:w="852" w:type="dxa"/>
            <w:vAlign w:val="center"/>
          </w:tcPr>
          <w:p w14:paraId="1652C924">
            <w:pPr>
              <w:pStyle w:val="8"/>
              <w:suppressLineNumbers w:val="0"/>
              <w:bidi w:val="0"/>
              <w:spacing w:before="0" w:beforeAutospacing="0" w:after="0" w:afterAutospacing="0"/>
              <w:ind w:left="0" w:right="0"/>
              <w:jc w:val="center"/>
              <w:rPr>
                <w:rFonts w:hint="default"/>
                <w:highlight w:val="none"/>
              </w:rPr>
            </w:pPr>
            <w:r>
              <w:rPr>
                <w:rFonts w:hint="default"/>
                <w:highlight w:val="none"/>
              </w:rPr>
              <w:t>符合</w:t>
            </w:r>
          </w:p>
        </w:tc>
      </w:tr>
      <w:tr w14:paraId="5A1A40D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trPr>
        <w:tc>
          <w:tcPr>
            <w:tcW w:w="559" w:type="dxa"/>
            <w:vAlign w:val="center"/>
          </w:tcPr>
          <w:p w14:paraId="0BB5AC71">
            <w:pPr>
              <w:pStyle w:val="8"/>
              <w:numPr>
                <w:ilvl w:val="0"/>
                <w:numId w:val="6"/>
              </w:numPr>
              <w:suppressLineNumbers w:val="0"/>
              <w:bidi w:val="0"/>
              <w:spacing w:before="0" w:beforeAutospacing="0" w:after="0" w:afterAutospacing="0"/>
              <w:ind w:left="454" w:leftChars="0" w:right="0" w:hanging="387" w:firstLineChars="0"/>
              <w:jc w:val="center"/>
              <w:rPr>
                <w:rFonts w:hint="default"/>
                <w:highlight w:val="none"/>
              </w:rPr>
            </w:pPr>
          </w:p>
        </w:tc>
        <w:tc>
          <w:tcPr>
            <w:tcW w:w="4112" w:type="dxa"/>
            <w:shd w:val="clear" w:color="auto" w:fill="auto"/>
            <w:vAlign w:val="center"/>
          </w:tcPr>
          <w:p w14:paraId="209972F1">
            <w:pPr>
              <w:pStyle w:val="8"/>
              <w:suppressLineNumbers w:val="0"/>
              <w:bidi w:val="0"/>
              <w:spacing w:before="0" w:beforeAutospacing="0" w:after="0" w:afterAutospacing="0"/>
              <w:ind w:left="0" w:right="0"/>
              <w:jc w:val="center"/>
              <w:rPr>
                <w:rFonts w:hint="eastAsia"/>
                <w:highlight w:val="none"/>
                <w:lang w:val="en-US" w:eastAsia="zh-CN"/>
              </w:rPr>
            </w:pPr>
            <w:r>
              <w:rPr>
                <w:rFonts w:hint="default"/>
                <w:highlight w:val="none"/>
              </w:rPr>
              <w:t>贮存设施所有者或运营者应建立贮存设施环境管理制度、管理人员岗位职责制度、设施运行操作制度、人员岗位培训制度等</w:t>
            </w:r>
          </w:p>
        </w:tc>
        <w:tc>
          <w:tcPr>
            <w:tcW w:w="2999" w:type="dxa"/>
            <w:vMerge w:val="continue"/>
            <w:vAlign w:val="center"/>
          </w:tcPr>
          <w:p w14:paraId="2C44570B">
            <w:pPr>
              <w:pStyle w:val="8"/>
              <w:suppressLineNumbers w:val="0"/>
              <w:bidi w:val="0"/>
              <w:spacing w:before="0" w:beforeAutospacing="0" w:after="0" w:afterAutospacing="0"/>
              <w:ind w:left="0" w:right="0"/>
              <w:jc w:val="center"/>
              <w:outlineLvl w:val="9"/>
              <w:rPr>
                <w:rFonts w:hint="default"/>
                <w:highlight w:val="none"/>
              </w:rPr>
            </w:pPr>
          </w:p>
        </w:tc>
        <w:tc>
          <w:tcPr>
            <w:tcW w:w="852" w:type="dxa"/>
            <w:vAlign w:val="center"/>
          </w:tcPr>
          <w:p w14:paraId="3572D46A">
            <w:pPr>
              <w:pStyle w:val="8"/>
              <w:suppressLineNumbers w:val="0"/>
              <w:bidi w:val="0"/>
              <w:spacing w:before="0" w:beforeAutospacing="0" w:after="0" w:afterAutospacing="0"/>
              <w:ind w:left="0" w:right="0"/>
              <w:jc w:val="center"/>
              <w:rPr>
                <w:rFonts w:hint="default"/>
                <w:highlight w:val="none"/>
              </w:rPr>
            </w:pPr>
            <w:r>
              <w:rPr>
                <w:rFonts w:hint="default"/>
                <w:highlight w:val="none"/>
              </w:rPr>
              <w:t>符合</w:t>
            </w:r>
          </w:p>
        </w:tc>
      </w:tr>
      <w:tr w14:paraId="25AB51F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trPr>
        <w:tc>
          <w:tcPr>
            <w:tcW w:w="559" w:type="dxa"/>
            <w:vAlign w:val="center"/>
          </w:tcPr>
          <w:p w14:paraId="4EFDAB28">
            <w:pPr>
              <w:pStyle w:val="8"/>
              <w:numPr>
                <w:ilvl w:val="0"/>
                <w:numId w:val="6"/>
              </w:numPr>
              <w:suppressLineNumbers w:val="0"/>
              <w:bidi w:val="0"/>
              <w:spacing w:before="0" w:beforeAutospacing="0" w:after="0" w:afterAutospacing="0"/>
              <w:ind w:left="454" w:leftChars="0" w:right="0" w:hanging="387" w:firstLineChars="0"/>
              <w:jc w:val="center"/>
              <w:rPr>
                <w:rFonts w:hint="default"/>
                <w:highlight w:val="none"/>
              </w:rPr>
            </w:pPr>
          </w:p>
        </w:tc>
        <w:tc>
          <w:tcPr>
            <w:tcW w:w="4112" w:type="dxa"/>
            <w:shd w:val="clear" w:color="auto" w:fill="auto"/>
            <w:vAlign w:val="center"/>
          </w:tcPr>
          <w:p w14:paraId="75242A29">
            <w:pPr>
              <w:pStyle w:val="8"/>
              <w:suppressLineNumbers w:val="0"/>
              <w:bidi w:val="0"/>
              <w:spacing w:before="0" w:beforeAutospacing="0" w:after="0" w:afterAutospacing="0"/>
              <w:ind w:left="0" w:right="0"/>
              <w:jc w:val="center"/>
              <w:rPr>
                <w:rFonts w:hint="eastAsia"/>
                <w:highlight w:val="none"/>
                <w:lang w:val="en-US" w:eastAsia="zh-CN"/>
              </w:rPr>
            </w:pPr>
            <w:r>
              <w:rPr>
                <w:rFonts w:hint="default"/>
                <w:highlight w:val="none"/>
              </w:rPr>
              <w:t>贮存设施所有者或运营者应依据国家土壤和地下水污染防治的有关规定，结合贮存设施特点建立土壤和地下水污染隐患排查制度，并定期开展隐患排查；发现隐患应及时采取措施消除隐患，并建立档案</w:t>
            </w:r>
          </w:p>
        </w:tc>
        <w:tc>
          <w:tcPr>
            <w:tcW w:w="2999" w:type="dxa"/>
            <w:vAlign w:val="center"/>
          </w:tcPr>
          <w:p w14:paraId="311AAA39">
            <w:pPr>
              <w:pStyle w:val="8"/>
              <w:suppressLineNumbers w:val="0"/>
              <w:bidi w:val="0"/>
              <w:spacing w:before="0" w:beforeAutospacing="0" w:after="0" w:afterAutospacing="0"/>
              <w:ind w:left="0" w:right="0"/>
              <w:jc w:val="center"/>
              <w:rPr>
                <w:rFonts w:hint="default"/>
                <w:highlight w:val="none"/>
              </w:rPr>
            </w:pPr>
            <w:r>
              <w:rPr>
                <w:rFonts w:hint="default"/>
                <w:color w:val="auto"/>
                <w:sz w:val="21"/>
                <w:szCs w:val="21"/>
                <w:highlight w:val="none"/>
              </w:rPr>
              <w:t>本项目制定了地下水</w:t>
            </w:r>
            <w:r>
              <w:rPr>
                <w:rFonts w:hint="eastAsia"/>
                <w:color w:val="auto"/>
                <w:sz w:val="21"/>
                <w:szCs w:val="21"/>
                <w:highlight w:val="none"/>
                <w:lang w:val="en-US" w:eastAsia="zh-CN"/>
              </w:rPr>
              <w:t>及土壤</w:t>
            </w:r>
            <w:r>
              <w:rPr>
                <w:rFonts w:hint="default"/>
                <w:color w:val="auto"/>
                <w:sz w:val="21"/>
                <w:szCs w:val="21"/>
                <w:highlight w:val="none"/>
              </w:rPr>
              <w:t>监测方案</w:t>
            </w:r>
          </w:p>
        </w:tc>
        <w:tc>
          <w:tcPr>
            <w:tcW w:w="852" w:type="dxa"/>
            <w:vAlign w:val="center"/>
          </w:tcPr>
          <w:p w14:paraId="07D2B717">
            <w:pPr>
              <w:pStyle w:val="8"/>
              <w:suppressLineNumbers w:val="0"/>
              <w:bidi w:val="0"/>
              <w:spacing w:before="0" w:beforeAutospacing="0" w:after="0" w:afterAutospacing="0"/>
              <w:ind w:left="0" w:right="0"/>
              <w:jc w:val="center"/>
              <w:rPr>
                <w:rFonts w:hint="default"/>
                <w:highlight w:val="none"/>
              </w:rPr>
            </w:pPr>
            <w:r>
              <w:rPr>
                <w:rFonts w:hint="default"/>
                <w:highlight w:val="none"/>
              </w:rPr>
              <w:t>符合</w:t>
            </w:r>
          </w:p>
        </w:tc>
      </w:tr>
      <w:tr w14:paraId="61E032D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trPr>
        <w:tc>
          <w:tcPr>
            <w:tcW w:w="559" w:type="dxa"/>
            <w:vAlign w:val="center"/>
          </w:tcPr>
          <w:p w14:paraId="15E3D6AC">
            <w:pPr>
              <w:pStyle w:val="8"/>
              <w:numPr>
                <w:ilvl w:val="0"/>
                <w:numId w:val="6"/>
              </w:numPr>
              <w:suppressLineNumbers w:val="0"/>
              <w:bidi w:val="0"/>
              <w:spacing w:before="0" w:beforeAutospacing="0" w:after="0" w:afterAutospacing="0"/>
              <w:ind w:left="454" w:leftChars="0" w:right="0" w:hanging="387" w:firstLineChars="0"/>
              <w:jc w:val="center"/>
              <w:rPr>
                <w:rFonts w:hint="default"/>
                <w:highlight w:val="none"/>
              </w:rPr>
            </w:pPr>
          </w:p>
        </w:tc>
        <w:tc>
          <w:tcPr>
            <w:tcW w:w="4112" w:type="dxa"/>
            <w:shd w:val="clear" w:color="auto" w:fill="auto"/>
            <w:vAlign w:val="center"/>
          </w:tcPr>
          <w:p w14:paraId="65A30180">
            <w:pPr>
              <w:pStyle w:val="8"/>
              <w:suppressLineNumbers w:val="0"/>
              <w:bidi w:val="0"/>
              <w:spacing w:before="0" w:beforeAutospacing="0" w:after="0" w:afterAutospacing="0"/>
              <w:ind w:left="0" w:right="0"/>
              <w:jc w:val="center"/>
              <w:rPr>
                <w:rFonts w:hint="eastAsia"/>
                <w:highlight w:val="none"/>
                <w:lang w:val="en-US" w:eastAsia="zh-CN"/>
              </w:rPr>
            </w:pPr>
            <w:r>
              <w:rPr>
                <w:rFonts w:hint="default"/>
                <w:highlight w:val="none"/>
              </w:rPr>
              <w:t>贮存设施所有者或运营者应建立贮存设施全部档案，包括设计、施工、验收、运行、监测和环境应急等，应按国家有关档案管理的法律法规进行整理和归档</w:t>
            </w:r>
          </w:p>
        </w:tc>
        <w:tc>
          <w:tcPr>
            <w:tcW w:w="2999" w:type="dxa"/>
            <w:vAlign w:val="center"/>
          </w:tcPr>
          <w:p w14:paraId="27CD1330">
            <w:pPr>
              <w:pStyle w:val="8"/>
              <w:suppressLineNumbers w:val="0"/>
              <w:bidi w:val="0"/>
              <w:spacing w:before="0" w:beforeAutospacing="0" w:after="0" w:afterAutospacing="0"/>
              <w:ind w:left="0" w:right="0"/>
              <w:jc w:val="center"/>
              <w:rPr>
                <w:rFonts w:hint="default"/>
                <w:highlight w:val="none"/>
              </w:rPr>
            </w:pPr>
            <w:r>
              <w:rPr>
                <w:rFonts w:hint="default"/>
                <w:color w:val="auto"/>
                <w:sz w:val="21"/>
                <w:szCs w:val="21"/>
                <w:highlight w:val="none"/>
              </w:rPr>
              <w:t>本评价要求建设单位对上述资料全部进行归档管理</w:t>
            </w:r>
          </w:p>
        </w:tc>
        <w:tc>
          <w:tcPr>
            <w:tcW w:w="852" w:type="dxa"/>
            <w:vAlign w:val="center"/>
          </w:tcPr>
          <w:p w14:paraId="431C22ED">
            <w:pPr>
              <w:pStyle w:val="8"/>
              <w:suppressLineNumbers w:val="0"/>
              <w:bidi w:val="0"/>
              <w:spacing w:before="0" w:beforeAutospacing="0" w:after="0" w:afterAutospacing="0"/>
              <w:ind w:left="0" w:right="0"/>
              <w:jc w:val="center"/>
              <w:rPr>
                <w:rFonts w:hint="default"/>
                <w:highlight w:val="none"/>
              </w:rPr>
            </w:pPr>
            <w:r>
              <w:rPr>
                <w:rFonts w:hint="default"/>
                <w:highlight w:val="none"/>
              </w:rPr>
              <w:t>符合</w:t>
            </w:r>
          </w:p>
        </w:tc>
      </w:tr>
      <w:tr w14:paraId="708FF41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trPr>
        <w:tc>
          <w:tcPr>
            <w:tcW w:w="559" w:type="dxa"/>
            <w:vAlign w:val="center"/>
          </w:tcPr>
          <w:p w14:paraId="0804095B">
            <w:pPr>
              <w:pStyle w:val="8"/>
              <w:numPr>
                <w:ilvl w:val="0"/>
                <w:numId w:val="6"/>
              </w:numPr>
              <w:suppressLineNumbers w:val="0"/>
              <w:bidi w:val="0"/>
              <w:spacing w:before="0" w:beforeAutospacing="0" w:after="0" w:afterAutospacing="0"/>
              <w:ind w:left="454" w:leftChars="0" w:right="0" w:hanging="387" w:firstLineChars="0"/>
              <w:jc w:val="center"/>
              <w:rPr>
                <w:rFonts w:hint="default"/>
                <w:highlight w:val="none"/>
              </w:rPr>
            </w:pPr>
          </w:p>
        </w:tc>
        <w:tc>
          <w:tcPr>
            <w:tcW w:w="4112" w:type="dxa"/>
            <w:shd w:val="clear" w:color="auto" w:fill="auto"/>
            <w:vAlign w:val="center"/>
          </w:tcPr>
          <w:p w14:paraId="6D156164">
            <w:pPr>
              <w:pStyle w:val="8"/>
              <w:suppressLineNumbers w:val="0"/>
              <w:bidi w:val="0"/>
              <w:spacing w:before="0" w:beforeAutospacing="0" w:after="0" w:afterAutospacing="0"/>
              <w:ind w:left="0" w:right="0"/>
              <w:jc w:val="center"/>
              <w:rPr>
                <w:rFonts w:hint="eastAsia"/>
                <w:highlight w:val="none"/>
                <w:lang w:val="en-US" w:eastAsia="zh-CN"/>
              </w:rPr>
            </w:pPr>
            <w:r>
              <w:rPr>
                <w:rFonts w:hint="default"/>
                <w:highlight w:val="none"/>
              </w:rPr>
              <w:t>贮存设施产生的废水（包括贮存设施、作业设备、车辆等清洗废水，贮存罐区积存雨水，贮存事故废水等）应进行收集处理，废水排放应符合GB8978规定的要求</w:t>
            </w:r>
          </w:p>
        </w:tc>
        <w:tc>
          <w:tcPr>
            <w:tcW w:w="2999" w:type="dxa"/>
            <w:vAlign w:val="center"/>
          </w:tcPr>
          <w:p w14:paraId="77A2B35D">
            <w:pPr>
              <w:pStyle w:val="8"/>
              <w:suppressLineNumbers w:val="0"/>
              <w:bidi w:val="0"/>
              <w:spacing w:before="0" w:beforeAutospacing="0" w:after="0" w:afterAutospacing="0"/>
              <w:ind w:left="0" w:right="0"/>
              <w:jc w:val="center"/>
              <w:rPr>
                <w:rFonts w:hint="default"/>
                <w:highlight w:val="none"/>
              </w:rPr>
            </w:pPr>
            <w:r>
              <w:rPr>
                <w:rFonts w:hint="default"/>
                <w:highlight w:val="none"/>
              </w:rPr>
              <w:t>本</w:t>
            </w:r>
            <w:r>
              <w:rPr>
                <w:rFonts w:hint="eastAsia"/>
                <w:highlight w:val="none"/>
                <w:lang w:val="en-US" w:eastAsia="zh-CN"/>
              </w:rPr>
              <w:t>项目位于封闭厂房内，依托现有工程油罐，不设置新罐区，无设备、车辆清洗废水</w:t>
            </w:r>
            <w:r>
              <w:rPr>
                <w:rFonts w:hint="default"/>
                <w:highlight w:val="none"/>
              </w:rPr>
              <w:t>；</w:t>
            </w:r>
          </w:p>
        </w:tc>
        <w:tc>
          <w:tcPr>
            <w:tcW w:w="852" w:type="dxa"/>
            <w:vAlign w:val="center"/>
          </w:tcPr>
          <w:p w14:paraId="3B8A3D9D">
            <w:pPr>
              <w:pStyle w:val="8"/>
              <w:suppressLineNumbers w:val="0"/>
              <w:bidi w:val="0"/>
              <w:spacing w:before="0" w:beforeAutospacing="0" w:after="0" w:afterAutospacing="0"/>
              <w:ind w:left="0" w:right="0"/>
              <w:jc w:val="center"/>
              <w:rPr>
                <w:rFonts w:hint="default"/>
                <w:highlight w:val="none"/>
              </w:rPr>
            </w:pPr>
            <w:r>
              <w:rPr>
                <w:rFonts w:hint="default"/>
                <w:highlight w:val="none"/>
              </w:rPr>
              <w:t>符合</w:t>
            </w:r>
          </w:p>
        </w:tc>
      </w:tr>
      <w:tr w14:paraId="2027F41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trPr>
        <w:tc>
          <w:tcPr>
            <w:tcW w:w="559" w:type="dxa"/>
            <w:vAlign w:val="center"/>
          </w:tcPr>
          <w:p w14:paraId="6692AE2D">
            <w:pPr>
              <w:pStyle w:val="8"/>
              <w:numPr>
                <w:ilvl w:val="0"/>
                <w:numId w:val="6"/>
              </w:numPr>
              <w:suppressLineNumbers w:val="0"/>
              <w:bidi w:val="0"/>
              <w:spacing w:before="0" w:beforeAutospacing="0" w:after="0" w:afterAutospacing="0"/>
              <w:ind w:left="454" w:leftChars="0" w:right="0" w:hanging="387" w:firstLineChars="0"/>
              <w:jc w:val="center"/>
              <w:rPr>
                <w:rFonts w:hint="default"/>
                <w:highlight w:val="none"/>
              </w:rPr>
            </w:pPr>
          </w:p>
        </w:tc>
        <w:tc>
          <w:tcPr>
            <w:tcW w:w="4112" w:type="dxa"/>
            <w:shd w:val="clear" w:color="auto" w:fill="auto"/>
            <w:vAlign w:val="center"/>
          </w:tcPr>
          <w:p w14:paraId="10F49278">
            <w:pPr>
              <w:pStyle w:val="8"/>
              <w:suppressLineNumbers w:val="0"/>
              <w:bidi w:val="0"/>
              <w:spacing w:before="0" w:beforeAutospacing="0" w:after="0" w:afterAutospacing="0"/>
              <w:ind w:left="0" w:right="0"/>
              <w:jc w:val="center"/>
              <w:rPr>
                <w:rFonts w:hint="eastAsia"/>
                <w:highlight w:val="none"/>
                <w:lang w:val="en-US" w:eastAsia="zh-CN"/>
              </w:rPr>
            </w:pPr>
            <w:r>
              <w:rPr>
                <w:rFonts w:hint="default"/>
                <w:highlight w:val="none"/>
              </w:rPr>
              <w:t>贮存设施产生的废气（含无组织废气）的排放应符合GB16297和GB37822规定的要求</w:t>
            </w:r>
          </w:p>
        </w:tc>
        <w:tc>
          <w:tcPr>
            <w:tcW w:w="2999" w:type="dxa"/>
            <w:vAlign w:val="center"/>
          </w:tcPr>
          <w:p w14:paraId="45C1457D">
            <w:pPr>
              <w:pStyle w:val="8"/>
              <w:suppressLineNumbers w:val="0"/>
              <w:bidi w:val="0"/>
              <w:spacing w:before="0" w:beforeAutospacing="0" w:after="0" w:afterAutospacing="0"/>
              <w:ind w:left="0" w:right="0"/>
              <w:jc w:val="center"/>
              <w:rPr>
                <w:rFonts w:hint="default"/>
                <w:highlight w:val="none"/>
              </w:rPr>
            </w:pPr>
            <w:r>
              <w:rPr>
                <w:rFonts w:hint="default"/>
                <w:color w:val="auto"/>
                <w:sz w:val="21"/>
                <w:szCs w:val="21"/>
                <w:highlight w:val="none"/>
              </w:rPr>
              <w:t>本项目产生的有组织和无组织废气污染物排放满足GB16297-1996</w:t>
            </w:r>
            <w:r>
              <w:rPr>
                <w:rFonts w:hint="eastAsia"/>
                <w:color w:val="auto"/>
                <w:sz w:val="21"/>
                <w:szCs w:val="21"/>
                <w:highlight w:val="none"/>
                <w:lang w:val="en-US" w:eastAsia="zh-CN"/>
              </w:rPr>
              <w:t>及</w:t>
            </w:r>
            <w:r>
              <w:rPr>
                <w:rFonts w:hint="default"/>
                <w:highlight w:val="none"/>
              </w:rPr>
              <w:t>GB37822</w:t>
            </w:r>
            <w:r>
              <w:rPr>
                <w:rFonts w:hint="default"/>
                <w:color w:val="auto"/>
                <w:sz w:val="21"/>
                <w:szCs w:val="21"/>
                <w:highlight w:val="none"/>
              </w:rPr>
              <w:t>中相关限值要求</w:t>
            </w:r>
          </w:p>
        </w:tc>
        <w:tc>
          <w:tcPr>
            <w:tcW w:w="852" w:type="dxa"/>
            <w:vAlign w:val="center"/>
          </w:tcPr>
          <w:p w14:paraId="484DB84D">
            <w:pPr>
              <w:pStyle w:val="8"/>
              <w:suppressLineNumbers w:val="0"/>
              <w:bidi w:val="0"/>
              <w:spacing w:before="0" w:beforeAutospacing="0" w:after="0" w:afterAutospacing="0"/>
              <w:ind w:left="0" w:right="0"/>
              <w:jc w:val="center"/>
              <w:rPr>
                <w:rFonts w:hint="default"/>
                <w:highlight w:val="none"/>
              </w:rPr>
            </w:pPr>
            <w:r>
              <w:rPr>
                <w:rFonts w:hint="default"/>
                <w:highlight w:val="none"/>
              </w:rPr>
              <w:t>符合</w:t>
            </w:r>
          </w:p>
        </w:tc>
      </w:tr>
      <w:tr w14:paraId="2BF47C2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trPr>
        <w:tc>
          <w:tcPr>
            <w:tcW w:w="559" w:type="dxa"/>
            <w:vAlign w:val="center"/>
          </w:tcPr>
          <w:p w14:paraId="473946D7">
            <w:pPr>
              <w:pStyle w:val="8"/>
              <w:numPr>
                <w:ilvl w:val="0"/>
                <w:numId w:val="6"/>
              </w:numPr>
              <w:suppressLineNumbers w:val="0"/>
              <w:bidi w:val="0"/>
              <w:spacing w:before="0" w:beforeAutospacing="0" w:after="0" w:afterAutospacing="0"/>
              <w:ind w:left="454" w:leftChars="0" w:right="0" w:hanging="387" w:firstLineChars="0"/>
              <w:jc w:val="center"/>
              <w:rPr>
                <w:rFonts w:hint="default"/>
                <w:highlight w:val="none"/>
              </w:rPr>
            </w:pPr>
          </w:p>
        </w:tc>
        <w:tc>
          <w:tcPr>
            <w:tcW w:w="4112" w:type="dxa"/>
            <w:shd w:val="clear" w:color="auto" w:fill="auto"/>
            <w:vAlign w:val="center"/>
          </w:tcPr>
          <w:p w14:paraId="013B207E">
            <w:pPr>
              <w:pStyle w:val="8"/>
              <w:suppressLineNumbers w:val="0"/>
              <w:bidi w:val="0"/>
              <w:spacing w:before="0" w:beforeAutospacing="0" w:after="0" w:afterAutospacing="0"/>
              <w:ind w:left="0" w:right="0"/>
              <w:jc w:val="center"/>
              <w:rPr>
                <w:rFonts w:hint="eastAsia"/>
                <w:highlight w:val="none"/>
                <w:lang w:val="en-US" w:eastAsia="zh-CN"/>
              </w:rPr>
            </w:pPr>
            <w:r>
              <w:rPr>
                <w:rFonts w:hint="default"/>
                <w:highlight w:val="none"/>
              </w:rPr>
              <w:t>贮存设施产生的恶臭气体的排放应符合GB14554规定的要求</w:t>
            </w:r>
          </w:p>
        </w:tc>
        <w:tc>
          <w:tcPr>
            <w:tcW w:w="2999" w:type="dxa"/>
            <w:vAlign w:val="center"/>
          </w:tcPr>
          <w:p w14:paraId="49DF6289">
            <w:pPr>
              <w:pStyle w:val="8"/>
              <w:suppressLineNumbers w:val="0"/>
              <w:bidi w:val="0"/>
              <w:spacing w:before="0" w:beforeAutospacing="0" w:after="0" w:afterAutospacing="0"/>
              <w:ind w:left="0" w:right="0"/>
              <w:jc w:val="center"/>
              <w:rPr>
                <w:rFonts w:hint="default" w:eastAsia="宋体"/>
                <w:highlight w:val="none"/>
                <w:lang w:val="en-US" w:eastAsia="zh-CN"/>
              </w:rPr>
            </w:pPr>
            <w:r>
              <w:rPr>
                <w:rFonts w:hint="eastAsia"/>
                <w:highlight w:val="none"/>
                <w:lang w:val="en-US" w:eastAsia="zh-CN"/>
              </w:rPr>
              <w:t>本项目</w:t>
            </w:r>
            <w:r>
              <w:rPr>
                <w:rFonts w:hint="default"/>
                <w:highlight w:val="none"/>
              </w:rPr>
              <w:t>恶臭气体</w:t>
            </w:r>
            <w:r>
              <w:rPr>
                <w:rFonts w:hint="eastAsia"/>
                <w:highlight w:val="none"/>
                <w:lang w:val="en-US" w:eastAsia="zh-CN"/>
              </w:rPr>
              <w:t>排放</w:t>
            </w:r>
            <w:r>
              <w:rPr>
                <w:rFonts w:hint="default"/>
                <w:highlight w:val="none"/>
              </w:rPr>
              <w:t>符合GB14554</w:t>
            </w:r>
            <w:r>
              <w:rPr>
                <w:rFonts w:hint="eastAsia"/>
                <w:highlight w:val="none"/>
                <w:lang w:val="en-US" w:eastAsia="zh-CN"/>
              </w:rPr>
              <w:t>中厂界</w:t>
            </w:r>
            <w:r>
              <w:rPr>
                <w:rFonts w:hint="default"/>
                <w:highlight w:val="none"/>
              </w:rPr>
              <w:t>要求</w:t>
            </w:r>
          </w:p>
        </w:tc>
        <w:tc>
          <w:tcPr>
            <w:tcW w:w="852" w:type="dxa"/>
            <w:vAlign w:val="center"/>
          </w:tcPr>
          <w:p w14:paraId="67E0225C">
            <w:pPr>
              <w:pStyle w:val="8"/>
              <w:suppressLineNumbers w:val="0"/>
              <w:bidi w:val="0"/>
              <w:spacing w:before="0" w:beforeAutospacing="0" w:after="0" w:afterAutospacing="0"/>
              <w:ind w:left="0" w:right="0"/>
              <w:jc w:val="center"/>
              <w:rPr>
                <w:rFonts w:hint="default"/>
                <w:highlight w:val="none"/>
              </w:rPr>
            </w:pPr>
            <w:r>
              <w:rPr>
                <w:rFonts w:hint="default"/>
                <w:highlight w:val="none"/>
              </w:rPr>
              <w:t>符合</w:t>
            </w:r>
          </w:p>
        </w:tc>
      </w:tr>
      <w:tr w14:paraId="7130A5C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trPr>
        <w:tc>
          <w:tcPr>
            <w:tcW w:w="559" w:type="dxa"/>
            <w:vAlign w:val="center"/>
          </w:tcPr>
          <w:p w14:paraId="132E32DD">
            <w:pPr>
              <w:pStyle w:val="8"/>
              <w:numPr>
                <w:ilvl w:val="0"/>
                <w:numId w:val="6"/>
              </w:numPr>
              <w:suppressLineNumbers w:val="0"/>
              <w:bidi w:val="0"/>
              <w:spacing w:before="0" w:beforeAutospacing="0" w:after="0" w:afterAutospacing="0"/>
              <w:ind w:left="454" w:leftChars="0" w:right="0" w:hanging="387" w:firstLineChars="0"/>
              <w:jc w:val="center"/>
              <w:rPr>
                <w:rFonts w:hint="default"/>
                <w:highlight w:val="none"/>
              </w:rPr>
            </w:pPr>
          </w:p>
        </w:tc>
        <w:tc>
          <w:tcPr>
            <w:tcW w:w="4112" w:type="dxa"/>
            <w:shd w:val="clear" w:color="auto" w:fill="auto"/>
            <w:vAlign w:val="center"/>
          </w:tcPr>
          <w:p w14:paraId="4E6E2BB3">
            <w:pPr>
              <w:pStyle w:val="8"/>
              <w:suppressLineNumbers w:val="0"/>
              <w:bidi w:val="0"/>
              <w:spacing w:before="0" w:beforeAutospacing="0" w:after="0" w:afterAutospacing="0"/>
              <w:ind w:left="0" w:right="0"/>
              <w:jc w:val="center"/>
              <w:rPr>
                <w:rFonts w:hint="eastAsia"/>
                <w:highlight w:val="none"/>
                <w:lang w:val="en-US" w:eastAsia="zh-CN"/>
              </w:rPr>
            </w:pPr>
            <w:r>
              <w:rPr>
                <w:rFonts w:hint="default"/>
                <w:highlight w:val="none"/>
              </w:rPr>
              <w:t>贮存设施内产生以及清理的固体废物应按固体废物分类管理要求妥善处理</w:t>
            </w:r>
          </w:p>
        </w:tc>
        <w:tc>
          <w:tcPr>
            <w:tcW w:w="2999" w:type="dxa"/>
            <w:vAlign w:val="center"/>
          </w:tcPr>
          <w:p w14:paraId="58FA1953">
            <w:pPr>
              <w:pStyle w:val="8"/>
              <w:suppressLineNumbers w:val="0"/>
              <w:bidi w:val="0"/>
              <w:spacing w:before="0" w:beforeAutospacing="0" w:after="0" w:afterAutospacing="0"/>
              <w:ind w:left="0" w:right="0"/>
              <w:jc w:val="center"/>
              <w:rPr>
                <w:rFonts w:hint="default" w:eastAsia="宋体"/>
                <w:highlight w:val="none"/>
                <w:lang w:val="en-US" w:eastAsia="zh-CN"/>
              </w:rPr>
            </w:pPr>
            <w:r>
              <w:rPr>
                <w:rFonts w:hint="eastAsia"/>
                <w:highlight w:val="none"/>
                <w:lang w:val="en-US" w:eastAsia="zh-CN"/>
              </w:rPr>
              <w:t>本项目生产过程产生废液交由有资质单位处置</w:t>
            </w:r>
          </w:p>
        </w:tc>
        <w:tc>
          <w:tcPr>
            <w:tcW w:w="852" w:type="dxa"/>
            <w:vAlign w:val="center"/>
          </w:tcPr>
          <w:p w14:paraId="58A65C05">
            <w:pPr>
              <w:pStyle w:val="8"/>
              <w:suppressLineNumbers w:val="0"/>
              <w:bidi w:val="0"/>
              <w:spacing w:before="0" w:beforeAutospacing="0" w:after="0" w:afterAutospacing="0"/>
              <w:ind w:left="0" w:right="0"/>
              <w:jc w:val="center"/>
              <w:rPr>
                <w:rFonts w:hint="default"/>
                <w:highlight w:val="none"/>
              </w:rPr>
            </w:pPr>
            <w:r>
              <w:rPr>
                <w:rFonts w:hint="default"/>
                <w:highlight w:val="none"/>
              </w:rPr>
              <w:t>符合</w:t>
            </w:r>
          </w:p>
        </w:tc>
      </w:tr>
      <w:tr w14:paraId="74A264A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trPr>
        <w:tc>
          <w:tcPr>
            <w:tcW w:w="559" w:type="dxa"/>
            <w:vAlign w:val="center"/>
          </w:tcPr>
          <w:p w14:paraId="4078DCAD">
            <w:pPr>
              <w:pStyle w:val="8"/>
              <w:numPr>
                <w:ilvl w:val="0"/>
                <w:numId w:val="6"/>
              </w:numPr>
              <w:suppressLineNumbers w:val="0"/>
              <w:bidi w:val="0"/>
              <w:spacing w:before="0" w:beforeAutospacing="0" w:after="0" w:afterAutospacing="0"/>
              <w:ind w:left="454" w:leftChars="0" w:right="0" w:hanging="387" w:firstLineChars="0"/>
              <w:jc w:val="center"/>
              <w:rPr>
                <w:rFonts w:hint="default"/>
                <w:highlight w:val="none"/>
              </w:rPr>
            </w:pPr>
          </w:p>
        </w:tc>
        <w:tc>
          <w:tcPr>
            <w:tcW w:w="4112" w:type="dxa"/>
            <w:shd w:val="clear" w:color="auto" w:fill="auto"/>
            <w:vAlign w:val="center"/>
          </w:tcPr>
          <w:p w14:paraId="11DF5B1F">
            <w:pPr>
              <w:pStyle w:val="8"/>
              <w:suppressLineNumbers w:val="0"/>
              <w:bidi w:val="0"/>
              <w:spacing w:before="0" w:beforeAutospacing="0" w:after="0" w:afterAutospacing="0"/>
              <w:ind w:left="0" w:right="0"/>
              <w:jc w:val="center"/>
              <w:rPr>
                <w:rFonts w:hint="eastAsia"/>
                <w:highlight w:val="none"/>
                <w:lang w:val="en-US" w:eastAsia="zh-CN"/>
              </w:rPr>
            </w:pPr>
            <w:r>
              <w:rPr>
                <w:rFonts w:hint="default"/>
                <w:highlight w:val="none"/>
              </w:rPr>
              <w:t>贮存设施排放的环境噪声应符合GB12348规定的要求</w:t>
            </w:r>
          </w:p>
        </w:tc>
        <w:tc>
          <w:tcPr>
            <w:tcW w:w="2999" w:type="dxa"/>
            <w:vAlign w:val="center"/>
          </w:tcPr>
          <w:p w14:paraId="4638BA2F">
            <w:pPr>
              <w:pStyle w:val="8"/>
              <w:suppressLineNumbers w:val="0"/>
              <w:bidi w:val="0"/>
              <w:spacing w:before="0" w:beforeAutospacing="0" w:after="0" w:afterAutospacing="0"/>
              <w:ind w:left="0" w:right="0"/>
              <w:jc w:val="center"/>
              <w:rPr>
                <w:rFonts w:hint="default"/>
                <w:highlight w:val="none"/>
              </w:rPr>
            </w:pPr>
            <w:r>
              <w:rPr>
                <w:rFonts w:hint="eastAsia"/>
                <w:highlight w:val="none"/>
                <w:lang w:val="en-US" w:eastAsia="zh-CN"/>
              </w:rPr>
              <w:t>本项目生产噪声排放符合</w:t>
            </w:r>
            <w:r>
              <w:rPr>
                <w:rFonts w:hint="default"/>
                <w:color w:val="auto"/>
                <w:sz w:val="21"/>
                <w:szCs w:val="21"/>
                <w:highlight w:val="none"/>
              </w:rPr>
              <w:t>GB12348-2008中</w:t>
            </w:r>
            <w:r>
              <w:rPr>
                <w:rFonts w:hint="eastAsia"/>
                <w:color w:val="auto"/>
                <w:sz w:val="21"/>
                <w:szCs w:val="21"/>
                <w:highlight w:val="none"/>
                <w:lang w:val="en-US" w:eastAsia="zh-CN"/>
              </w:rPr>
              <w:t>3</w:t>
            </w:r>
            <w:r>
              <w:rPr>
                <w:rFonts w:hint="default"/>
                <w:color w:val="auto"/>
                <w:sz w:val="21"/>
                <w:szCs w:val="21"/>
                <w:highlight w:val="none"/>
              </w:rPr>
              <w:t>类标准</w:t>
            </w:r>
          </w:p>
        </w:tc>
        <w:tc>
          <w:tcPr>
            <w:tcW w:w="852" w:type="dxa"/>
            <w:vAlign w:val="center"/>
          </w:tcPr>
          <w:p w14:paraId="2A560330">
            <w:pPr>
              <w:pStyle w:val="8"/>
              <w:suppressLineNumbers w:val="0"/>
              <w:bidi w:val="0"/>
              <w:spacing w:before="0" w:beforeAutospacing="0" w:after="0" w:afterAutospacing="0"/>
              <w:ind w:left="0" w:right="0"/>
              <w:jc w:val="center"/>
              <w:rPr>
                <w:rFonts w:hint="default"/>
                <w:highlight w:val="none"/>
              </w:rPr>
            </w:pPr>
            <w:r>
              <w:rPr>
                <w:rFonts w:hint="default"/>
                <w:highlight w:val="none"/>
              </w:rPr>
              <w:t>符合</w:t>
            </w:r>
          </w:p>
        </w:tc>
      </w:tr>
      <w:tr w14:paraId="15B2CFE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trPr>
        <w:tc>
          <w:tcPr>
            <w:tcW w:w="559" w:type="dxa"/>
            <w:vAlign w:val="center"/>
          </w:tcPr>
          <w:p w14:paraId="37C4D4AE">
            <w:pPr>
              <w:pStyle w:val="8"/>
              <w:numPr>
                <w:ilvl w:val="0"/>
                <w:numId w:val="6"/>
              </w:numPr>
              <w:suppressLineNumbers w:val="0"/>
              <w:bidi w:val="0"/>
              <w:spacing w:before="0" w:beforeAutospacing="0" w:after="0" w:afterAutospacing="0"/>
              <w:ind w:left="454" w:leftChars="0" w:right="0" w:hanging="387" w:firstLineChars="0"/>
              <w:jc w:val="center"/>
              <w:rPr>
                <w:rFonts w:hint="default"/>
                <w:highlight w:val="none"/>
              </w:rPr>
            </w:pPr>
          </w:p>
        </w:tc>
        <w:tc>
          <w:tcPr>
            <w:tcW w:w="4112" w:type="dxa"/>
            <w:shd w:val="clear" w:color="auto" w:fill="auto"/>
            <w:vAlign w:val="center"/>
          </w:tcPr>
          <w:p w14:paraId="3DF61EC8">
            <w:pPr>
              <w:pStyle w:val="8"/>
              <w:suppressLineNumbers w:val="0"/>
              <w:bidi w:val="0"/>
              <w:spacing w:before="0" w:beforeAutospacing="0" w:after="0" w:afterAutospacing="0"/>
              <w:ind w:left="0" w:right="0"/>
              <w:jc w:val="center"/>
              <w:rPr>
                <w:rFonts w:hint="eastAsia"/>
                <w:highlight w:val="none"/>
                <w:lang w:val="en-US" w:eastAsia="zh-CN"/>
              </w:rPr>
            </w:pPr>
            <w:r>
              <w:rPr>
                <w:rFonts w:hint="default"/>
                <w:highlight w:val="none"/>
              </w:rPr>
              <w:t>贮存设施的环境监测应纳入主体设施的环境监测计划</w:t>
            </w:r>
          </w:p>
        </w:tc>
        <w:tc>
          <w:tcPr>
            <w:tcW w:w="2999" w:type="dxa"/>
            <w:vAlign w:val="center"/>
          </w:tcPr>
          <w:p w14:paraId="7781C44D">
            <w:pPr>
              <w:pStyle w:val="8"/>
              <w:suppressLineNumbers w:val="0"/>
              <w:bidi w:val="0"/>
              <w:spacing w:before="0" w:beforeAutospacing="0" w:after="0" w:afterAutospacing="0"/>
              <w:ind w:left="0" w:right="0"/>
              <w:jc w:val="center"/>
              <w:rPr>
                <w:rFonts w:hint="default"/>
                <w:highlight w:val="none"/>
              </w:rPr>
            </w:pPr>
            <w:r>
              <w:rPr>
                <w:rFonts w:hint="default"/>
                <w:color w:val="auto"/>
                <w:sz w:val="21"/>
                <w:szCs w:val="21"/>
                <w:highlight w:val="none"/>
              </w:rPr>
              <w:t>本项目制定了污染源监测计划及周围地下水质量</w:t>
            </w:r>
            <w:r>
              <w:rPr>
                <w:rFonts w:hint="eastAsia"/>
                <w:color w:val="auto"/>
                <w:sz w:val="21"/>
                <w:szCs w:val="21"/>
                <w:highlight w:val="none"/>
                <w:lang w:eastAsia="zh-CN"/>
              </w:rPr>
              <w:t>、</w:t>
            </w:r>
            <w:r>
              <w:rPr>
                <w:rFonts w:hint="eastAsia"/>
                <w:color w:val="auto"/>
                <w:sz w:val="21"/>
                <w:szCs w:val="21"/>
                <w:highlight w:val="none"/>
                <w:lang w:val="en-US" w:eastAsia="zh-CN"/>
              </w:rPr>
              <w:t>土壤质量</w:t>
            </w:r>
            <w:r>
              <w:rPr>
                <w:rFonts w:hint="default"/>
                <w:color w:val="auto"/>
                <w:sz w:val="21"/>
                <w:szCs w:val="21"/>
                <w:highlight w:val="none"/>
              </w:rPr>
              <w:t>现状监测计划</w:t>
            </w:r>
          </w:p>
        </w:tc>
        <w:tc>
          <w:tcPr>
            <w:tcW w:w="852" w:type="dxa"/>
            <w:vAlign w:val="center"/>
          </w:tcPr>
          <w:p w14:paraId="6EBC03C1">
            <w:pPr>
              <w:pStyle w:val="8"/>
              <w:suppressLineNumbers w:val="0"/>
              <w:bidi w:val="0"/>
              <w:spacing w:before="0" w:beforeAutospacing="0" w:after="0" w:afterAutospacing="0"/>
              <w:ind w:left="0" w:right="0"/>
              <w:jc w:val="center"/>
              <w:rPr>
                <w:rFonts w:hint="default"/>
                <w:highlight w:val="none"/>
              </w:rPr>
            </w:pPr>
            <w:r>
              <w:rPr>
                <w:rFonts w:hint="default"/>
                <w:highlight w:val="none"/>
              </w:rPr>
              <w:t>符合</w:t>
            </w:r>
          </w:p>
        </w:tc>
      </w:tr>
      <w:tr w14:paraId="580A381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trPr>
        <w:tc>
          <w:tcPr>
            <w:tcW w:w="559" w:type="dxa"/>
            <w:vAlign w:val="center"/>
          </w:tcPr>
          <w:p w14:paraId="2748D33C">
            <w:pPr>
              <w:pStyle w:val="8"/>
              <w:numPr>
                <w:ilvl w:val="0"/>
                <w:numId w:val="6"/>
              </w:numPr>
              <w:suppressLineNumbers w:val="0"/>
              <w:bidi w:val="0"/>
              <w:spacing w:before="0" w:beforeAutospacing="0" w:after="0" w:afterAutospacing="0"/>
              <w:ind w:left="454" w:leftChars="0" w:right="0" w:hanging="387" w:firstLineChars="0"/>
              <w:jc w:val="center"/>
              <w:rPr>
                <w:rFonts w:hint="default"/>
                <w:highlight w:val="none"/>
              </w:rPr>
            </w:pPr>
          </w:p>
        </w:tc>
        <w:tc>
          <w:tcPr>
            <w:tcW w:w="4112" w:type="dxa"/>
            <w:shd w:val="clear" w:color="auto" w:fill="auto"/>
            <w:vAlign w:val="center"/>
          </w:tcPr>
          <w:p w14:paraId="2B23470B">
            <w:pPr>
              <w:pStyle w:val="8"/>
              <w:suppressLineNumbers w:val="0"/>
              <w:bidi w:val="0"/>
              <w:spacing w:before="0" w:beforeAutospacing="0" w:after="0" w:afterAutospacing="0"/>
              <w:ind w:left="0" w:right="0"/>
              <w:jc w:val="center"/>
              <w:rPr>
                <w:rFonts w:hint="eastAsia"/>
                <w:highlight w:val="none"/>
                <w:lang w:val="en-US" w:eastAsia="zh-CN"/>
              </w:rPr>
            </w:pPr>
            <w:r>
              <w:rPr>
                <w:rFonts w:hint="default"/>
                <w:highlight w:val="none"/>
              </w:rPr>
              <w:t>贮存设施所有者或运营者应依据《大气污染防治法》《水污染防治法》《土壤污染防治法》等有关法律、《排污许可管理条例》等行政法规和HJ819、HJ1250等规定制订监测方案，对贮存设施污染物排放状况开展自行监测，保存原始监测记录，并公布监测结果</w:t>
            </w:r>
          </w:p>
        </w:tc>
        <w:tc>
          <w:tcPr>
            <w:tcW w:w="2999" w:type="dxa"/>
            <w:vAlign w:val="center"/>
          </w:tcPr>
          <w:p w14:paraId="278A7AEE">
            <w:pPr>
              <w:pStyle w:val="8"/>
              <w:suppressLineNumbers w:val="0"/>
              <w:bidi w:val="0"/>
              <w:spacing w:before="0" w:beforeAutospacing="0" w:after="0" w:afterAutospacing="0"/>
              <w:ind w:left="0" w:right="0"/>
              <w:jc w:val="center"/>
              <w:rPr>
                <w:rFonts w:hint="default"/>
                <w:highlight w:val="none"/>
              </w:rPr>
            </w:pPr>
            <w:r>
              <w:rPr>
                <w:rFonts w:hint="default"/>
                <w:color w:val="auto"/>
                <w:sz w:val="21"/>
                <w:szCs w:val="21"/>
                <w:highlight w:val="none"/>
              </w:rPr>
              <w:t>建设单位应将本项目制定</w:t>
            </w:r>
            <w:r>
              <w:rPr>
                <w:rFonts w:hint="eastAsia"/>
                <w:color w:val="auto"/>
                <w:sz w:val="21"/>
                <w:szCs w:val="21"/>
                <w:highlight w:val="none"/>
                <w:lang w:eastAsia="zh-CN"/>
              </w:rPr>
              <w:t>的</w:t>
            </w:r>
            <w:r>
              <w:rPr>
                <w:rFonts w:hint="default"/>
                <w:color w:val="auto"/>
                <w:sz w:val="21"/>
                <w:szCs w:val="21"/>
                <w:highlight w:val="none"/>
              </w:rPr>
              <w:t>污染源监测计划及周围地下水质量现状</w:t>
            </w:r>
            <w:r>
              <w:rPr>
                <w:rFonts w:hint="eastAsia"/>
                <w:color w:val="auto"/>
                <w:sz w:val="21"/>
                <w:szCs w:val="21"/>
                <w:highlight w:val="none"/>
                <w:lang w:val="en-US" w:eastAsia="zh-CN"/>
              </w:rPr>
              <w:t>及土壤</w:t>
            </w:r>
            <w:r>
              <w:rPr>
                <w:rFonts w:hint="default"/>
                <w:color w:val="auto"/>
                <w:sz w:val="21"/>
                <w:szCs w:val="21"/>
                <w:highlight w:val="none"/>
              </w:rPr>
              <w:t>监测结果定</w:t>
            </w:r>
            <w:r>
              <w:rPr>
                <w:rFonts w:hint="eastAsia"/>
                <w:color w:val="auto"/>
                <w:sz w:val="21"/>
                <w:szCs w:val="21"/>
                <w:highlight w:val="none"/>
                <w:lang w:eastAsia="zh-CN"/>
              </w:rPr>
              <w:t>期</w:t>
            </w:r>
            <w:r>
              <w:rPr>
                <w:rFonts w:hint="default"/>
                <w:color w:val="auto"/>
                <w:sz w:val="21"/>
                <w:szCs w:val="21"/>
                <w:highlight w:val="none"/>
              </w:rPr>
              <w:t>存档，并在</w:t>
            </w:r>
            <w:r>
              <w:rPr>
                <w:rFonts w:hint="eastAsia"/>
                <w:color w:val="auto"/>
                <w:sz w:val="21"/>
                <w:szCs w:val="21"/>
                <w:highlight w:val="none"/>
                <w:lang w:val="en-US" w:eastAsia="zh-CN"/>
              </w:rPr>
              <w:t>全国监测</w:t>
            </w:r>
            <w:r>
              <w:rPr>
                <w:rFonts w:hint="default"/>
                <w:color w:val="auto"/>
                <w:sz w:val="21"/>
                <w:szCs w:val="21"/>
                <w:highlight w:val="none"/>
              </w:rPr>
              <w:t>网站上公示结果</w:t>
            </w:r>
          </w:p>
        </w:tc>
        <w:tc>
          <w:tcPr>
            <w:tcW w:w="852" w:type="dxa"/>
            <w:vAlign w:val="center"/>
          </w:tcPr>
          <w:p w14:paraId="3E1FEC20">
            <w:pPr>
              <w:pStyle w:val="8"/>
              <w:suppressLineNumbers w:val="0"/>
              <w:bidi w:val="0"/>
              <w:spacing w:before="0" w:beforeAutospacing="0" w:after="0" w:afterAutospacing="0"/>
              <w:ind w:left="0" w:right="0"/>
              <w:jc w:val="center"/>
              <w:rPr>
                <w:rFonts w:hint="default"/>
                <w:highlight w:val="none"/>
              </w:rPr>
            </w:pPr>
            <w:r>
              <w:rPr>
                <w:rFonts w:hint="default"/>
                <w:highlight w:val="none"/>
              </w:rPr>
              <w:t>符合</w:t>
            </w:r>
          </w:p>
        </w:tc>
      </w:tr>
      <w:tr w14:paraId="53338FF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trPr>
        <w:tc>
          <w:tcPr>
            <w:tcW w:w="559" w:type="dxa"/>
            <w:vAlign w:val="center"/>
          </w:tcPr>
          <w:p w14:paraId="4E3380F9">
            <w:pPr>
              <w:pStyle w:val="8"/>
              <w:numPr>
                <w:ilvl w:val="0"/>
                <w:numId w:val="6"/>
              </w:numPr>
              <w:suppressLineNumbers w:val="0"/>
              <w:bidi w:val="0"/>
              <w:spacing w:before="0" w:beforeAutospacing="0" w:after="0" w:afterAutospacing="0"/>
              <w:ind w:left="454" w:leftChars="0" w:right="0" w:hanging="387" w:firstLineChars="0"/>
              <w:jc w:val="center"/>
              <w:rPr>
                <w:rFonts w:hint="default"/>
                <w:highlight w:val="none"/>
              </w:rPr>
            </w:pPr>
          </w:p>
        </w:tc>
        <w:tc>
          <w:tcPr>
            <w:tcW w:w="4112" w:type="dxa"/>
            <w:shd w:val="clear" w:color="auto" w:fill="auto"/>
            <w:vAlign w:val="center"/>
          </w:tcPr>
          <w:p w14:paraId="3C4EB18A">
            <w:pPr>
              <w:pStyle w:val="8"/>
              <w:suppressLineNumbers w:val="0"/>
              <w:bidi w:val="0"/>
              <w:spacing w:before="0" w:beforeAutospacing="0" w:after="0" w:afterAutospacing="0"/>
              <w:ind w:left="0" w:right="0"/>
              <w:jc w:val="center"/>
              <w:rPr>
                <w:rFonts w:hint="eastAsia"/>
                <w:highlight w:val="none"/>
                <w:lang w:val="en-US" w:eastAsia="zh-CN"/>
              </w:rPr>
            </w:pPr>
            <w:r>
              <w:rPr>
                <w:rFonts w:hint="default"/>
                <w:highlight w:val="none"/>
              </w:rPr>
              <w:t>贮存设施废水污染物排放的监测方法和监测指标应符合国家相关标准要求</w:t>
            </w:r>
          </w:p>
        </w:tc>
        <w:tc>
          <w:tcPr>
            <w:tcW w:w="2999" w:type="dxa"/>
            <w:vAlign w:val="center"/>
          </w:tcPr>
          <w:p w14:paraId="79C5E362">
            <w:pPr>
              <w:pStyle w:val="8"/>
              <w:suppressLineNumbers w:val="0"/>
              <w:bidi w:val="0"/>
              <w:spacing w:before="0" w:beforeAutospacing="0" w:after="0" w:afterAutospacing="0"/>
              <w:ind w:left="0" w:right="0"/>
              <w:jc w:val="center"/>
              <w:rPr>
                <w:rFonts w:hint="default" w:eastAsia="宋体"/>
                <w:highlight w:val="none"/>
                <w:lang w:val="en-US" w:eastAsia="zh-CN"/>
              </w:rPr>
            </w:pPr>
            <w:r>
              <w:rPr>
                <w:rFonts w:hint="eastAsia"/>
                <w:highlight w:val="none"/>
                <w:lang w:val="en-US" w:eastAsia="zh-CN"/>
              </w:rPr>
              <w:t>本项目贮存设施不产生生产废水</w:t>
            </w:r>
          </w:p>
        </w:tc>
        <w:tc>
          <w:tcPr>
            <w:tcW w:w="852" w:type="dxa"/>
            <w:vAlign w:val="center"/>
          </w:tcPr>
          <w:p w14:paraId="43CEFF28">
            <w:pPr>
              <w:pStyle w:val="8"/>
              <w:suppressLineNumbers w:val="0"/>
              <w:bidi w:val="0"/>
              <w:spacing w:before="0" w:beforeAutospacing="0" w:after="0" w:afterAutospacing="0"/>
              <w:ind w:left="0" w:right="0"/>
              <w:jc w:val="center"/>
              <w:rPr>
                <w:rFonts w:hint="default"/>
                <w:highlight w:val="none"/>
              </w:rPr>
            </w:pPr>
            <w:r>
              <w:rPr>
                <w:rFonts w:hint="default"/>
                <w:highlight w:val="none"/>
              </w:rPr>
              <w:t>符合</w:t>
            </w:r>
          </w:p>
        </w:tc>
      </w:tr>
    </w:tbl>
    <w:p w14:paraId="5CD33985">
      <w:pPr>
        <w:rPr>
          <w:highlight w:val="none"/>
        </w:rPr>
      </w:pPr>
    </w:p>
    <w:p w14:paraId="3D8BC87E">
      <w:pPr>
        <w:pStyle w:val="7"/>
        <w:bidi w:val="0"/>
        <w:rPr>
          <w:highlight w:val="none"/>
        </w:rPr>
      </w:pPr>
      <w:r>
        <w:rPr>
          <w:rFonts w:hint="eastAsia"/>
          <w:highlight w:val="none"/>
          <w:lang w:val="en-US" w:eastAsia="zh-CN"/>
        </w:rPr>
        <w:t>续</w:t>
      </w:r>
      <w:r>
        <w:rPr>
          <w:highlight w:val="none"/>
        </w:rPr>
        <w:t>表1-4-</w:t>
      </w:r>
      <w:r>
        <w:rPr>
          <w:rFonts w:hint="eastAsia"/>
          <w:highlight w:val="none"/>
          <w:lang w:val="en-US" w:eastAsia="zh-CN"/>
        </w:rPr>
        <w:t>4</w:t>
      </w:r>
      <w:r>
        <w:rPr>
          <w:highlight w:val="none"/>
        </w:rPr>
        <w:t>与《危险废物贮存污染控制标准》符合性一览表</w:t>
      </w:r>
    </w:p>
    <w:tbl>
      <w:tblPr>
        <w:tblStyle w:val="45"/>
        <w:tblpPr w:leftFromText="180" w:rightFromText="180" w:vertAnchor="text" w:tblpXSpec="left" w:tblpY="1"/>
        <w:tblOverlap w:val="never"/>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559"/>
        <w:gridCol w:w="4112"/>
        <w:gridCol w:w="2999"/>
        <w:gridCol w:w="852"/>
      </w:tblGrid>
      <w:tr w14:paraId="28C3ED3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trPr>
        <w:tc>
          <w:tcPr>
            <w:tcW w:w="559" w:type="dxa"/>
            <w:vAlign w:val="center"/>
          </w:tcPr>
          <w:p w14:paraId="78307AB9">
            <w:pPr>
              <w:pStyle w:val="8"/>
              <w:numPr>
                <w:ilvl w:val="0"/>
                <w:numId w:val="6"/>
              </w:numPr>
              <w:suppressLineNumbers w:val="0"/>
              <w:bidi w:val="0"/>
              <w:spacing w:before="0" w:beforeAutospacing="0" w:after="0" w:afterAutospacing="0"/>
              <w:ind w:left="454" w:leftChars="0" w:right="0" w:hanging="387" w:firstLineChars="0"/>
              <w:jc w:val="center"/>
              <w:rPr>
                <w:rFonts w:hint="default"/>
                <w:highlight w:val="none"/>
              </w:rPr>
            </w:pPr>
          </w:p>
        </w:tc>
        <w:tc>
          <w:tcPr>
            <w:tcW w:w="4112" w:type="dxa"/>
            <w:shd w:val="clear" w:color="auto" w:fill="auto"/>
            <w:vAlign w:val="center"/>
          </w:tcPr>
          <w:p w14:paraId="7D674A1A">
            <w:pPr>
              <w:pStyle w:val="8"/>
              <w:suppressLineNumbers w:val="0"/>
              <w:bidi w:val="0"/>
              <w:spacing w:before="0" w:beforeAutospacing="0" w:after="0" w:afterAutospacing="0"/>
              <w:ind w:left="0" w:right="0"/>
              <w:jc w:val="center"/>
              <w:rPr>
                <w:rFonts w:hint="eastAsia"/>
                <w:highlight w:val="none"/>
                <w:lang w:val="en-US" w:eastAsia="zh-CN"/>
              </w:rPr>
            </w:pPr>
            <w:r>
              <w:rPr>
                <w:rFonts w:hint="default"/>
                <w:highlight w:val="none"/>
              </w:rPr>
              <w:t>HJ1259规定的危险废物环境重点监管单位贮存设施地下水环境监测点布设应符合HJ164要求，监测因子应根据贮存废物的特性选择具有代表性且能表征危险废物特性的指标，地下水监测因子分析方法按照GB/T14848执行</w:t>
            </w:r>
          </w:p>
        </w:tc>
        <w:tc>
          <w:tcPr>
            <w:tcW w:w="2999" w:type="dxa"/>
            <w:vAlign w:val="center"/>
          </w:tcPr>
          <w:p w14:paraId="1D4B8BC3">
            <w:pPr>
              <w:pStyle w:val="8"/>
              <w:suppressLineNumbers w:val="0"/>
              <w:bidi w:val="0"/>
              <w:spacing w:before="0" w:beforeAutospacing="0" w:after="0" w:afterAutospacing="0"/>
              <w:ind w:left="0" w:right="0"/>
              <w:jc w:val="center"/>
              <w:rPr>
                <w:rFonts w:hint="default" w:eastAsia="宋体"/>
                <w:highlight w:val="none"/>
                <w:lang w:val="en-US" w:eastAsia="zh-CN"/>
              </w:rPr>
            </w:pPr>
            <w:r>
              <w:rPr>
                <w:rFonts w:hint="default"/>
                <w:color w:val="auto"/>
                <w:sz w:val="21"/>
                <w:szCs w:val="21"/>
                <w:highlight w:val="none"/>
              </w:rPr>
              <w:t>本项目选取的</w:t>
            </w:r>
            <w:r>
              <w:rPr>
                <w:rFonts w:hint="eastAsia"/>
                <w:color w:val="auto"/>
                <w:sz w:val="21"/>
                <w:szCs w:val="21"/>
                <w:highlight w:val="none"/>
                <w:lang w:val="en-US" w:eastAsia="zh-CN"/>
              </w:rPr>
              <w:t>3</w:t>
            </w:r>
            <w:r>
              <w:rPr>
                <w:rFonts w:hint="default"/>
                <w:color w:val="auto"/>
                <w:sz w:val="21"/>
                <w:szCs w:val="21"/>
                <w:highlight w:val="none"/>
              </w:rPr>
              <w:t>个地下水位于</w:t>
            </w:r>
            <w:r>
              <w:rPr>
                <w:rFonts w:hint="eastAsia"/>
                <w:color w:val="auto"/>
                <w:sz w:val="21"/>
                <w:szCs w:val="21"/>
                <w:highlight w:val="none"/>
                <w:lang w:val="en-US" w:eastAsia="zh-CN"/>
              </w:rPr>
              <w:t>项目</w:t>
            </w:r>
            <w:r>
              <w:rPr>
                <w:rFonts w:hint="default"/>
                <w:color w:val="auto"/>
                <w:sz w:val="21"/>
                <w:szCs w:val="21"/>
                <w:highlight w:val="none"/>
              </w:rPr>
              <w:t>下游，具有代表性，且特征监测因子选择为石油类</w:t>
            </w:r>
            <w:r>
              <w:rPr>
                <w:rFonts w:hint="eastAsia"/>
                <w:color w:val="auto"/>
                <w:sz w:val="21"/>
                <w:szCs w:val="21"/>
                <w:highlight w:val="none"/>
                <w:lang w:eastAsia="zh-CN"/>
              </w:rPr>
              <w:t>、</w:t>
            </w:r>
            <w:r>
              <w:rPr>
                <w:rFonts w:hint="eastAsia"/>
                <w:color w:val="auto"/>
                <w:sz w:val="21"/>
                <w:szCs w:val="21"/>
                <w:highlight w:val="none"/>
                <w:lang w:val="en-US" w:eastAsia="zh-CN"/>
              </w:rPr>
              <w:t>COD</w:t>
            </w:r>
          </w:p>
        </w:tc>
        <w:tc>
          <w:tcPr>
            <w:tcW w:w="852" w:type="dxa"/>
            <w:vAlign w:val="center"/>
          </w:tcPr>
          <w:p w14:paraId="78DC421B">
            <w:pPr>
              <w:pStyle w:val="8"/>
              <w:suppressLineNumbers w:val="0"/>
              <w:bidi w:val="0"/>
              <w:spacing w:before="0" w:beforeAutospacing="0" w:after="0" w:afterAutospacing="0"/>
              <w:ind w:left="0" w:right="0"/>
              <w:jc w:val="center"/>
              <w:rPr>
                <w:rFonts w:hint="default"/>
                <w:highlight w:val="none"/>
              </w:rPr>
            </w:pPr>
            <w:r>
              <w:rPr>
                <w:rFonts w:hint="default"/>
                <w:highlight w:val="none"/>
              </w:rPr>
              <w:t>符合</w:t>
            </w:r>
          </w:p>
        </w:tc>
      </w:tr>
      <w:tr w14:paraId="48A9CCC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trPr>
        <w:tc>
          <w:tcPr>
            <w:tcW w:w="559" w:type="dxa"/>
            <w:vAlign w:val="center"/>
          </w:tcPr>
          <w:p w14:paraId="2C738E92">
            <w:pPr>
              <w:pStyle w:val="8"/>
              <w:numPr>
                <w:ilvl w:val="0"/>
                <w:numId w:val="6"/>
              </w:numPr>
              <w:suppressLineNumbers w:val="0"/>
              <w:bidi w:val="0"/>
              <w:spacing w:before="0" w:beforeAutospacing="0" w:after="0" w:afterAutospacing="0"/>
              <w:ind w:left="454" w:leftChars="0" w:right="0" w:hanging="387" w:firstLineChars="0"/>
              <w:jc w:val="center"/>
              <w:rPr>
                <w:rFonts w:hint="default"/>
                <w:highlight w:val="none"/>
              </w:rPr>
            </w:pPr>
          </w:p>
        </w:tc>
        <w:tc>
          <w:tcPr>
            <w:tcW w:w="4112" w:type="dxa"/>
            <w:shd w:val="clear" w:color="auto" w:fill="auto"/>
            <w:vAlign w:val="center"/>
          </w:tcPr>
          <w:p w14:paraId="007E628E">
            <w:pPr>
              <w:pStyle w:val="8"/>
              <w:suppressLineNumbers w:val="0"/>
              <w:bidi w:val="0"/>
              <w:spacing w:before="0" w:beforeAutospacing="0" w:after="0" w:afterAutospacing="0"/>
              <w:ind w:left="0" w:right="0"/>
              <w:jc w:val="center"/>
              <w:rPr>
                <w:rFonts w:hint="eastAsia"/>
                <w:highlight w:val="none"/>
                <w:lang w:val="en-US" w:eastAsia="zh-CN"/>
              </w:rPr>
            </w:pPr>
            <w:r>
              <w:rPr>
                <w:rFonts w:hint="default"/>
                <w:highlight w:val="none"/>
              </w:rPr>
              <w:t>配有收集净化系统的贮存设施大气污染物排放的监测采样应按GB/T16157、HJ/T397、HJ732的规定执行</w:t>
            </w:r>
          </w:p>
        </w:tc>
        <w:tc>
          <w:tcPr>
            <w:tcW w:w="2999" w:type="dxa"/>
            <w:vAlign w:val="center"/>
          </w:tcPr>
          <w:p w14:paraId="4AD42D4D">
            <w:pPr>
              <w:pStyle w:val="8"/>
              <w:suppressLineNumbers w:val="0"/>
              <w:bidi w:val="0"/>
              <w:spacing w:before="0" w:beforeAutospacing="0" w:after="0" w:afterAutospacing="0"/>
              <w:ind w:left="0" w:right="0"/>
              <w:jc w:val="center"/>
              <w:rPr>
                <w:rFonts w:hint="default" w:eastAsia="宋体"/>
                <w:highlight w:val="none"/>
                <w:lang w:val="en-US" w:eastAsia="zh-CN"/>
              </w:rPr>
            </w:pPr>
            <w:r>
              <w:rPr>
                <w:rFonts w:hint="default"/>
                <w:color w:val="auto"/>
                <w:sz w:val="21"/>
                <w:szCs w:val="21"/>
                <w:highlight w:val="none"/>
              </w:rPr>
              <w:t>建设单位应</w:t>
            </w:r>
            <w:r>
              <w:rPr>
                <w:rFonts w:hint="eastAsia"/>
                <w:color w:val="auto"/>
                <w:sz w:val="21"/>
                <w:szCs w:val="21"/>
                <w:highlight w:val="none"/>
                <w:lang w:val="en-US" w:eastAsia="zh-CN"/>
              </w:rPr>
              <w:t>对大气污染源进行定期监测</w:t>
            </w:r>
          </w:p>
        </w:tc>
        <w:tc>
          <w:tcPr>
            <w:tcW w:w="852" w:type="dxa"/>
            <w:vAlign w:val="center"/>
          </w:tcPr>
          <w:p w14:paraId="1101E204">
            <w:pPr>
              <w:pStyle w:val="8"/>
              <w:suppressLineNumbers w:val="0"/>
              <w:bidi w:val="0"/>
              <w:spacing w:before="0" w:beforeAutospacing="0" w:after="0" w:afterAutospacing="0"/>
              <w:ind w:left="0" w:right="0"/>
              <w:jc w:val="center"/>
              <w:rPr>
                <w:rFonts w:hint="default"/>
                <w:highlight w:val="none"/>
              </w:rPr>
            </w:pPr>
            <w:r>
              <w:rPr>
                <w:rFonts w:hint="default"/>
                <w:highlight w:val="none"/>
              </w:rPr>
              <w:t>符合</w:t>
            </w:r>
          </w:p>
        </w:tc>
      </w:tr>
      <w:tr w14:paraId="052E549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0" w:hRule="atLeast"/>
        </w:trPr>
        <w:tc>
          <w:tcPr>
            <w:tcW w:w="559" w:type="dxa"/>
            <w:vAlign w:val="center"/>
          </w:tcPr>
          <w:p w14:paraId="038B8F85">
            <w:pPr>
              <w:pStyle w:val="8"/>
              <w:numPr>
                <w:ilvl w:val="0"/>
                <w:numId w:val="6"/>
              </w:numPr>
              <w:suppressLineNumbers w:val="0"/>
              <w:bidi w:val="0"/>
              <w:spacing w:before="0" w:beforeAutospacing="0" w:after="0" w:afterAutospacing="0"/>
              <w:ind w:left="454" w:leftChars="0" w:right="0" w:hanging="387" w:firstLineChars="0"/>
              <w:jc w:val="center"/>
              <w:rPr>
                <w:rFonts w:hint="default"/>
                <w:highlight w:val="none"/>
              </w:rPr>
            </w:pPr>
          </w:p>
        </w:tc>
        <w:tc>
          <w:tcPr>
            <w:tcW w:w="4112" w:type="dxa"/>
            <w:shd w:val="clear" w:color="auto" w:fill="auto"/>
            <w:vAlign w:val="center"/>
          </w:tcPr>
          <w:p w14:paraId="18E89827">
            <w:pPr>
              <w:pStyle w:val="8"/>
              <w:suppressLineNumbers w:val="0"/>
              <w:bidi w:val="0"/>
              <w:spacing w:before="0" w:beforeAutospacing="0" w:after="0" w:afterAutospacing="0"/>
              <w:ind w:left="0" w:right="0"/>
              <w:jc w:val="center"/>
              <w:rPr>
                <w:rFonts w:hint="eastAsia"/>
                <w:highlight w:val="none"/>
                <w:lang w:val="en-US" w:eastAsia="zh-CN"/>
              </w:rPr>
            </w:pPr>
            <w:r>
              <w:rPr>
                <w:rFonts w:hint="default"/>
                <w:highlight w:val="none"/>
              </w:rPr>
              <w:t>贮存设施无组织气体排放监测因子应根据贮存废物的特性选择具有代表性且能表征危险废物特性的指标；采样点布设、采样及监测方法可按HJ/T55的规定执行，VOCs的无组织排放监测还应符合GB37822的规定</w:t>
            </w:r>
          </w:p>
        </w:tc>
        <w:tc>
          <w:tcPr>
            <w:tcW w:w="2999" w:type="dxa"/>
            <w:vAlign w:val="center"/>
          </w:tcPr>
          <w:p w14:paraId="365C477F">
            <w:pPr>
              <w:pStyle w:val="8"/>
              <w:suppressLineNumbers w:val="0"/>
              <w:bidi w:val="0"/>
              <w:spacing w:before="0" w:beforeAutospacing="0" w:after="0" w:afterAutospacing="0"/>
              <w:ind w:left="0" w:right="0"/>
              <w:jc w:val="center"/>
              <w:rPr>
                <w:rFonts w:hint="default"/>
                <w:highlight w:val="none"/>
              </w:rPr>
            </w:pPr>
            <w:r>
              <w:rPr>
                <w:rFonts w:hint="default"/>
                <w:color w:val="auto"/>
                <w:sz w:val="21"/>
                <w:szCs w:val="21"/>
                <w:highlight w:val="none"/>
              </w:rPr>
              <w:t>本项目NMHC按照GB37822的规定要求设置了厂区内监测点，以连续1小时采样获取平均值</w:t>
            </w:r>
          </w:p>
        </w:tc>
        <w:tc>
          <w:tcPr>
            <w:tcW w:w="852" w:type="dxa"/>
            <w:vAlign w:val="center"/>
          </w:tcPr>
          <w:p w14:paraId="324EB700">
            <w:pPr>
              <w:pStyle w:val="8"/>
              <w:suppressLineNumbers w:val="0"/>
              <w:bidi w:val="0"/>
              <w:spacing w:before="0" w:beforeAutospacing="0" w:after="0" w:afterAutospacing="0"/>
              <w:ind w:left="0" w:right="0"/>
              <w:jc w:val="center"/>
              <w:rPr>
                <w:rFonts w:hint="default"/>
                <w:highlight w:val="none"/>
              </w:rPr>
            </w:pPr>
            <w:r>
              <w:rPr>
                <w:rFonts w:hint="default"/>
                <w:highlight w:val="none"/>
              </w:rPr>
              <w:t>符合</w:t>
            </w:r>
          </w:p>
        </w:tc>
      </w:tr>
    </w:tbl>
    <w:p w14:paraId="12D81B1B">
      <w:pPr>
        <w:pStyle w:val="4"/>
        <w:bidi w:val="0"/>
        <w:rPr>
          <w:highlight w:val="none"/>
        </w:rPr>
      </w:pPr>
      <w:bookmarkStart w:id="61" w:name="_Toc24806"/>
      <w:bookmarkStart w:id="62" w:name="_Toc2978"/>
      <w:r>
        <w:rPr>
          <w:highlight w:val="none"/>
        </w:rPr>
        <w:t>1.4.</w:t>
      </w:r>
      <w:r>
        <w:rPr>
          <w:rFonts w:hint="eastAsia"/>
          <w:highlight w:val="none"/>
          <w:lang w:val="en-US" w:eastAsia="zh-CN"/>
        </w:rPr>
        <w:t>6</w:t>
      </w:r>
      <w:r>
        <w:rPr>
          <w:highlight w:val="none"/>
        </w:rPr>
        <w:t>与</w:t>
      </w:r>
      <w:r>
        <w:rPr>
          <w:rFonts w:hint="eastAsia"/>
          <w:highlight w:val="none"/>
        </w:rPr>
        <w:t>《黑龙江省主体功能区划》</w:t>
      </w:r>
      <w:r>
        <w:rPr>
          <w:highlight w:val="none"/>
        </w:rPr>
        <w:t>符合性分析</w:t>
      </w:r>
      <w:bookmarkEnd w:id="61"/>
      <w:bookmarkEnd w:id="62"/>
    </w:p>
    <w:p w14:paraId="24FC7E53">
      <w:pPr>
        <w:bidi w:val="0"/>
        <w:rPr>
          <w:rFonts w:hint="eastAsia"/>
          <w:highlight w:val="none"/>
        </w:rPr>
      </w:pPr>
      <w:r>
        <w:rPr>
          <w:rFonts w:hint="eastAsia"/>
          <w:highlight w:val="none"/>
        </w:rPr>
        <w:t>重点开发区域是指具有一定经济基础、资源环境承载能力较强、集聚经济和人口条件较好、发展潜力较大的区域，可以成为支撑全省经济社会又好又快、更好更快发展的主要增长极。</w:t>
      </w:r>
    </w:p>
    <w:p w14:paraId="43AB9785">
      <w:pPr>
        <w:bidi w:val="0"/>
        <w:rPr>
          <w:rFonts w:hint="eastAsia"/>
          <w:highlight w:val="none"/>
        </w:rPr>
      </w:pPr>
      <w:r>
        <w:rPr>
          <w:rFonts w:hint="eastAsia"/>
          <w:highlight w:val="none"/>
        </w:rPr>
        <w:t>黑龙江省区域内主体功能区分为国家级和省级重点开发区域、限制开发区域和禁止开发区域二级三类区域。重点开发区域是全省工业化和城市化的重要支撑区，限制开发区域的农产品主产区是国家粮食安全的重要保障区，限制开发区域的重点生态功能区和禁止开发区域是国家和全省生态安全的重要保障区。</w:t>
      </w:r>
    </w:p>
    <w:p w14:paraId="23D8F7F0">
      <w:pPr>
        <w:bidi w:val="0"/>
        <w:rPr>
          <w:rFonts w:hint="eastAsia"/>
          <w:highlight w:val="none"/>
        </w:rPr>
      </w:pPr>
      <w:r>
        <w:rPr>
          <w:rFonts w:hint="eastAsia"/>
          <w:highlight w:val="none"/>
        </w:rPr>
        <w:t>其中，国家级重点开发区域包括哈尔滨市辖区，该辖区包括南岗区、道里区、道外区、香坊区、平房区、松北区、呼兰区和阿城区。</w:t>
      </w:r>
    </w:p>
    <w:p w14:paraId="6BAADB9A">
      <w:pPr>
        <w:bidi w:val="0"/>
        <w:rPr>
          <w:rFonts w:hint="eastAsia"/>
          <w:highlight w:val="none"/>
        </w:rPr>
      </w:pPr>
      <w:r>
        <w:rPr>
          <w:rFonts w:hint="eastAsia"/>
          <w:highlight w:val="none"/>
        </w:rPr>
        <w:t>功能定位为：全省政治、经济、文化中心，全国重要的高端装备制造、医药、食品、化工产业基地，东北北部服务业中心和示范基地，东北地区重要的国际物流枢纽，国际冰雪文化名城，对俄经贸科技合作基地。</w:t>
      </w:r>
    </w:p>
    <w:p w14:paraId="399C8F9B">
      <w:pPr>
        <w:bidi w:val="0"/>
        <w:rPr>
          <w:rFonts w:hint="eastAsia"/>
          <w:highlight w:val="none"/>
        </w:rPr>
      </w:pPr>
      <w:r>
        <w:rPr>
          <w:rFonts w:hint="eastAsia"/>
          <w:highlight w:val="none"/>
        </w:rPr>
        <w:t>产业发展方向及布局：大力发展新材料、新能源、节能环保、生物、信息、高端装备制造产业，做大做强电站成套装备、交通运输装备、绿色食品加工、精密复杂量刃具、医药、化工等传统优势产业，大力发展服务外包、特色旅游、商贸、物流、教育、科技研发、金融、文化创意等现代服务业，重点发展生态绿色农业、观光休闲农业、高科技现代农业。按照集约化组团布局，专业化集群发展，建设科技新城和北国水城，打造集科技、文化、生态于一体的松北新区；整合平房工业开发区，建设生态花园式工业新城，重点发展哈南工业新城；加快中心城区提档升级，改造老城区，建设哈西、群力、哈东新区；整合周边县市，加快中等卫星城市和重点小城镇建设，统筹城乡发展，加快推进城乡一体化，打造哈尔滨大都市圈。</w:t>
      </w:r>
    </w:p>
    <w:p w14:paraId="374E62C0">
      <w:pPr>
        <w:bidi w:val="0"/>
        <w:rPr>
          <w:highlight w:val="none"/>
        </w:rPr>
      </w:pPr>
      <w:r>
        <w:rPr>
          <w:rFonts w:hint="eastAsia"/>
          <w:highlight w:val="none"/>
        </w:rPr>
        <w:t>本项目位于黑龙江省哈尔滨市开发区哈平路集中区征仪南路6号，哈尔滨东安汽车发动机制造有限公司院内，为</w:t>
      </w:r>
      <w:r>
        <w:rPr>
          <w:rFonts w:hint="eastAsia"/>
          <w:highlight w:val="none"/>
          <w:lang w:val="en-US" w:eastAsia="zh-CN"/>
        </w:rPr>
        <w:t>汽车发动机制造及含油金属屑收集处理</w:t>
      </w:r>
      <w:r>
        <w:rPr>
          <w:rFonts w:hint="eastAsia"/>
          <w:highlight w:val="none"/>
        </w:rPr>
        <w:t>项目，有助于</w:t>
      </w:r>
      <w:r>
        <w:rPr>
          <w:rFonts w:hint="eastAsia"/>
          <w:highlight w:val="none"/>
          <w:lang w:val="en-US" w:eastAsia="zh-CN"/>
        </w:rPr>
        <w:t>哈南工业新城产生的</w:t>
      </w:r>
      <w:r>
        <w:rPr>
          <w:rFonts w:hint="eastAsia"/>
          <w:highlight w:val="none"/>
        </w:rPr>
        <w:t>危险废物减量化、无害化、资源化；危险废物收集、运输、综合利用达到文明、科学、先进的水平。</w:t>
      </w:r>
      <w:r>
        <w:rPr>
          <w:rFonts w:hint="eastAsia"/>
          <w:highlight w:val="none"/>
          <w:lang w:val="en-US" w:eastAsia="zh-CN"/>
        </w:rPr>
        <w:t>属于国家级重点开发区辅助项目</w:t>
      </w:r>
      <w:r>
        <w:rPr>
          <w:rFonts w:hint="eastAsia"/>
          <w:highlight w:val="none"/>
        </w:rPr>
        <w:t>，符合《黑龙江主体功能区规划》要求</w:t>
      </w:r>
      <w:r>
        <w:rPr>
          <w:highlight w:val="none"/>
        </w:rPr>
        <w:t>。</w:t>
      </w:r>
    </w:p>
    <w:p w14:paraId="6E910236">
      <w:pPr>
        <w:keepNext w:val="0"/>
        <w:keepLines w:val="0"/>
        <w:pageBreakBefore w:val="0"/>
        <w:widowControl w:val="0"/>
        <w:kinsoku/>
        <w:wordWrap w:val="0"/>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highlight w:val="none"/>
        </w:rPr>
      </w:pPr>
      <w:r>
        <w:rPr>
          <w:rFonts w:hint="eastAsia" w:ascii="宋体" w:hAnsi="宋体" w:eastAsia="宋体" w:cs="宋体"/>
          <w:highlight w:val="none"/>
        </w:rPr>
        <w:pict>
          <v:group id="组合 34" o:spid="_x0000_s2454" o:spt="203" style="height:304.6pt;width:419.75pt;" coordorigin="3624,203" coordsize="10070,7622" o:gfxdata="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">
            <o:lock v:ext="edit" aspectratio="f"/>
            <v:shape id="_x0000_s2455" o:spid="_x0000_s2455" o:spt="75" alt="21主体功能区分布图" type="#_x0000_t75" style="position:absolute;left:3624;top:203;height:7622;width:10070;" filled="f" o:preferrelative="t" stroked="f" coordsize="21600,21600" o:gfxdata="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BtaIe8AAAA&#10;2wAAAA8AAAAAAAAAAQAgAAAAIgAAAGRycy9kb3ducmV2LnhtbFBLAQIUABQAAAAIAIdO4kAzLwWe&#10;OwAAADkAAAAQAAAAAAAAAAEAIAAAAAsBAABkcnMvc2hhcGV4bWwueG1sUEsFBgAAAAAGAAYAWwEA&#10;ALUDAAAAAA==&#10;">
              <v:path/>
              <v:fill on="f" focussize="0,0"/>
              <v:stroke on="f"/>
              <v:imagedata r:id="rId25" o:title=""/>
              <o:lock v:ext="edit" aspectratio="t"/>
            </v:shape>
            <v:shape id="_x0000_s2456" o:spid="_x0000_s2456" o:spt="75" type="#_x0000_t75" style="position:absolute;left:12835;top:850;height:386;width:120;" filled="f" o:preferrelative="t" stroked="f" coordsize="21600,21600" o:gfxdata="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7qzpr4A&#10;AADbAAAADwAAAAAAAAABACAAAAAiAAAAZHJzL2Rvd25yZXYueG1sUEsBAhQAFAAAAAgAh07iQDMv&#10;BZ47AAAAOQAAABAAAAAAAAAAAQAgAAAADQEAAGRycy9zaGFwZXhtbC54bWxQSwUGAAAAAAYABgBb&#10;AQAAtwMAAAAA&#10;">
              <v:path/>
              <v:fill on="f" focussize="0,0"/>
              <v:stroke on="f"/>
              <v:imagedata r:id="rId26" o:title=""/>
              <o:lock v:ext="edit" aspectratio="t"/>
            </v:shape>
            <v:rect id="矩形 28" o:spid="_x0000_s2457" o:spt="1" style="position:absolute;left:7805;top:5875;height:85;width:85;" fillcolor="#FF0000" filled="t" stroked="f" coordsize="21600,21600" o:gfxdata="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8zhZsugAAANsA&#10;AAAPAAAAAAAAAAEAIAAAACIAAABkcnMvZG93bnJldi54bWxQSwECFAAUAAAACACHTuJAMy8FnjsA&#10;AAA5AAAAEAAAAAAAAAABACAAAAAJAQAAZHJzL3NoYXBleG1sLnhtbFBLBQYAAAAABgAGAFsBAACz&#10;AwAAAAA=&#10;">
              <v:path/>
              <v:fill on="t" color2="#FFFFFF" focussize="0,0"/>
              <v:stroke on="f"/>
              <v:imagedata o:title=""/>
              <o:lock v:ext="edit" aspectratio="f"/>
            </v:rect>
            <v:rect id="矩形 29" o:spid="_x0000_s2458" o:spt="1" style="position:absolute;left:7805;top:5875;height:85;width:85;" filled="f" stroked="t" coordsize="21600,21600" o:gfxdata="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VN4o6/&#10;AAAA2wAAAA8AAAAAAAAAAQAgAAAAIgAAAGRycy9kb3ducmV2LnhtbFBLAQIUABQAAAAIAIdO4kAz&#10;LwWeOwAAADkAAAAQAAAAAAAAAAEAIAAAAA4BAABkcnMvc2hhcGV4bWwueG1sUEsFBgAAAAAGAAYA&#10;WwEAALgDAAAAAA==&#10;">
              <v:path/>
              <v:fill on="f" focussize="0,0"/>
              <v:stroke color="#FF0000" joinstyle="miter"/>
              <v:imagedata o:title=""/>
              <o:lock v:ext="edit" aspectratio="f"/>
            </v:rect>
            <v:shape id="任意多边形 30" o:spid="_x0000_s2459" style="position:absolute;left:6077;top:5290;height:651;width:1758;" fillcolor="#FFFFFF" filled="t" stroked="f" coordsize="1758,651" o:gfxdata="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dt+ei8AAAA&#10;2wAAAA8AAAAAAAAAAQAgAAAAIgAAAGRycy9kb3ducmV2LnhtbFBLAQIUABQAAAAIAIdO4kAzLwWe&#10;OwAAADkAAAAQAAAAAAAAAAEAIAAAAAsBAABkcnMvc2hhcGV4bWwueG1sUEsFBgAAAAAGAAYAWwEA&#10;ALUDAAAAAA==&#10;" path="m1245,0l0,0,0,405,726,405,1758,651,1038,405,1245,405,1245,0xe">
              <v:path/>
              <v:fill on="t" color2="#FFFFFF" focussize="0,0"/>
              <v:stroke on="f"/>
              <v:imagedata o:title=""/>
              <o:lock v:ext="edit" aspectratio="f"/>
            </v:shape>
            <v:shape id="任意多边形 31" o:spid="_x0000_s2460" style="position:absolute;left:6077;top:5290;height:651;width:1758;" filled="f" stroked="t" coordsize="1758,651" o:gfxdata="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ycGJvQAA&#10;ANsAAAAPAAAAAAAAAAEAIAAAACIAAABkcnMvZG93bnJldi54bWxQSwECFAAUAAAACACHTuJAMy8F&#10;njsAAAA5AAAAEAAAAAAAAAABACAAAAAMAQAAZHJzL3NoYXBleG1sLnhtbFBLBQYAAAAABgAGAFsB&#10;AAC2AwAAAAA=&#10;" path="m0,0l0,237,0,338,0,405,726,405,1758,651,1038,405,1245,405,1245,338,1245,237,1245,0,1038,0,726,0,0,0xe">
              <v:fill on="f" focussize="0,0"/>
              <v:stroke color="#000000" joinstyle="round"/>
              <v:imagedata o:title=""/>
              <o:lock v:ext="edit" aspectratio="f"/>
            </v:shape>
            <v:shape id="文本框 32" o:spid="_x0000_s2461" o:spt="202" type="#_x0000_t202" style="position:absolute;left:12825;top:623;height:152;width:172;" filled="f" stroked="f" coordsize="21600,21600" o:gfxdata="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oLYpr4A&#10;AADbAAAADwAAAAAAAAABACAAAAAiAAAAZHJzL2Rvd25yZXYueG1sUEsBAhQAFAAAAAgAh07iQDMv&#10;BZ47AAAAOQAAABAAAAAAAAAAAQAgAAAADQEAAGRycy9zaGFwZXhtbC54bWxQSwUGAAAAAAYABgBb&#10;AQAAtwMAAAAA&#10;">
              <v:path/>
              <v:fill on="f" focussize="0,0"/>
              <v:stroke on="f"/>
              <v:imagedata o:title=""/>
              <o:lock v:ext="edit" aspectratio="f"/>
              <v:textbox inset="0mm,0mm,0mm,0mm">
                <w:txbxContent>
                  <w:p w14:paraId="013D8BF1">
                    <w:pPr>
                      <w:spacing w:line="151" w:lineRule="exact"/>
                      <w:ind w:firstLine="300"/>
                      <w:jc w:val="left"/>
                      <w:rPr>
                        <w:sz w:val="15"/>
                      </w:rPr>
                    </w:pPr>
                    <w:r>
                      <w:rPr>
                        <w:sz w:val="15"/>
                      </w:rPr>
                      <w:t>北</w:t>
                    </w:r>
                  </w:p>
                </w:txbxContent>
              </v:textbox>
            </v:shape>
            <v:shape id="文本框 33" o:spid="_x0000_s2462" o:spt="202" type="#_x0000_t202" style="position:absolute;left:6188;top:5329;height:342;width:968;" filled="f" stroked="f" coordsize="21600,21600" o:gfxdata="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c59Pb4A&#10;AADbAAAADwAAAAAAAAABACAAAAAiAAAAZHJzL2Rvd25yZXYueG1sUEsBAhQAFAAAAAgAh07iQDMv&#10;BZ47AAAAOQAAABAAAAAAAAAAAQAgAAAADQEAAGRycy9zaGFwZXhtbC54bWxQSwUGAAAAAAYABgBb&#10;AQAAtwMAAAAA&#10;">
              <v:path/>
              <v:fill on="f" focussize="0,0"/>
              <v:stroke on="f"/>
              <v:imagedata o:title=""/>
              <o:lock v:ext="edit" aspectratio="f"/>
              <v:textbox inset="0mm,0mm,0mm,0mm">
                <w:txbxContent>
                  <w:p w14:paraId="3A6D5BE4">
                    <w:pPr>
                      <w:spacing w:line="240" w:lineRule="auto"/>
                      <w:ind w:firstLine="0" w:firstLineChars="0"/>
                      <w:rPr>
                        <w:sz w:val="21"/>
                      </w:rPr>
                    </w:pPr>
                    <w:r>
                      <w:rPr>
                        <w:sz w:val="21"/>
                      </w:rPr>
                      <w:t>项目位置</w:t>
                    </w:r>
                  </w:p>
                </w:txbxContent>
              </v:textbox>
            </v:shape>
            <w10:wrap type="none"/>
            <w10:anchorlock/>
          </v:group>
        </w:pict>
      </w:r>
    </w:p>
    <w:p w14:paraId="62E91DC1">
      <w:pPr>
        <w:keepNext w:val="0"/>
        <w:keepLines w:val="0"/>
        <w:pageBreakBefore w:val="0"/>
        <w:widowControl w:val="0"/>
        <w:kinsoku/>
        <w:wordWrap w:val="0"/>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highlight w:val="none"/>
        </w:rPr>
      </w:pPr>
    </w:p>
    <w:p w14:paraId="05BF5DA0">
      <w:pPr>
        <w:pStyle w:val="7"/>
        <w:bidi w:val="0"/>
        <w:rPr>
          <w:rFonts w:hint="default"/>
          <w:highlight w:val="none"/>
          <w:lang w:val="en-US" w:eastAsia="zh-CN"/>
        </w:rPr>
        <w:sectPr>
          <w:headerReference r:id="rId11" w:type="default"/>
          <w:footerReference r:id="rId12" w:type="default"/>
          <w:pgSz w:w="11906" w:h="16838"/>
          <w:pgMar w:top="1440" w:right="1800" w:bottom="1440" w:left="1800" w:header="851" w:footer="992" w:gutter="0"/>
          <w:pgBorders w:offsetFrom="page">
            <w:top w:val="none" w:sz="0" w:space="0"/>
            <w:left w:val="none" w:sz="0" w:space="0"/>
            <w:bottom w:val="none" w:sz="0" w:space="0"/>
            <w:right w:val="none" w:sz="0" w:space="0"/>
          </w:pgBorders>
          <w:pgNumType w:start="1"/>
          <w:cols w:space="425" w:num="1"/>
          <w:docGrid w:type="lines" w:linePitch="312" w:charSpace="0"/>
        </w:sectPr>
      </w:pPr>
      <w:r>
        <w:rPr>
          <w:rFonts w:hint="eastAsia"/>
          <w:highlight w:val="none"/>
          <w:lang w:val="en-US" w:eastAsia="zh-CN"/>
        </w:rPr>
        <w:t>图1-4-1</w:t>
      </w:r>
      <w:r>
        <w:rPr>
          <w:rFonts w:hint="eastAsia"/>
          <w:highlight w:val="none"/>
        </w:rPr>
        <w:t>黑龙江省主体功能分布图</w:t>
      </w:r>
    </w:p>
    <w:p w14:paraId="43393CE1">
      <w:pPr>
        <w:pStyle w:val="4"/>
        <w:bidi w:val="0"/>
        <w:rPr>
          <w:highlight w:val="none"/>
        </w:rPr>
      </w:pPr>
      <w:bookmarkStart w:id="63" w:name="_Toc14515"/>
      <w:bookmarkStart w:id="64" w:name="_Toc25737"/>
      <w:r>
        <w:rPr>
          <w:highlight w:val="none"/>
        </w:rPr>
        <w:t>1.4.</w:t>
      </w:r>
      <w:r>
        <w:rPr>
          <w:rFonts w:hint="eastAsia"/>
          <w:highlight w:val="none"/>
          <w:lang w:val="en-US" w:eastAsia="zh-CN"/>
        </w:rPr>
        <w:t>7</w:t>
      </w:r>
      <w:r>
        <w:rPr>
          <w:highlight w:val="none"/>
        </w:rPr>
        <w:t>与</w:t>
      </w:r>
      <w:r>
        <w:rPr>
          <w:rFonts w:hint="eastAsia"/>
          <w:highlight w:val="none"/>
        </w:rPr>
        <w:t>《水污染防治行动计划》</w:t>
      </w:r>
      <w:r>
        <w:rPr>
          <w:highlight w:val="none"/>
        </w:rPr>
        <w:t>符合性分析</w:t>
      </w:r>
      <w:bookmarkEnd w:id="63"/>
      <w:bookmarkEnd w:id="64"/>
    </w:p>
    <w:p w14:paraId="4B128DD3">
      <w:pPr>
        <w:bidi w:val="0"/>
        <w:rPr>
          <w:rFonts w:hint="eastAsia"/>
          <w:highlight w:val="none"/>
        </w:rPr>
      </w:pPr>
      <w:r>
        <w:rPr>
          <w:rFonts w:hint="eastAsia" w:ascii="宋体" w:hAnsi="宋体" w:eastAsia="宋体" w:cs="宋体"/>
          <w:color w:val="000000"/>
          <w:kern w:val="0"/>
          <w:szCs w:val="24"/>
          <w:highlight w:val="none"/>
          <w:lang w:bidi="ar"/>
        </w:rPr>
        <w:t>狠抓工业污染防治中，提出集中治理工业集聚区水污染。强化经济技术开发区、高新技术产业开发区、出口加工区</w:t>
      </w:r>
      <w:r>
        <w:rPr>
          <w:rFonts w:hint="eastAsia"/>
          <w:highlight w:val="none"/>
        </w:rPr>
        <w:t>等工业集聚区污染治理。集聚区内工业废水必须经预处理达到集中处理要求，方可进入污水集中处理设施。新建、升级工业集聚区应同步规划、建设污水、垃圾集中处理等污染治理设施。</w:t>
      </w:r>
    </w:p>
    <w:p w14:paraId="60142670">
      <w:pPr>
        <w:bidi w:val="0"/>
        <w:rPr>
          <w:rFonts w:hAnsiTheme="minorEastAsia" w:eastAsiaTheme="minorEastAsia"/>
          <w:kern w:val="0"/>
          <w:szCs w:val="21"/>
          <w:highlight w:val="none"/>
        </w:rPr>
      </w:pPr>
      <w:r>
        <w:rPr>
          <w:rFonts w:hint="eastAsia"/>
          <w:highlight w:val="none"/>
        </w:rPr>
        <w:t>本项目为</w:t>
      </w:r>
      <w:r>
        <w:rPr>
          <w:rFonts w:hint="eastAsia"/>
          <w:highlight w:val="none"/>
          <w:lang w:val="en-US" w:eastAsia="zh-CN"/>
        </w:rPr>
        <w:t>汽车发动机制造及含油金属屑收集处理</w:t>
      </w:r>
      <w:r>
        <w:rPr>
          <w:rFonts w:hint="eastAsia"/>
          <w:highlight w:val="none"/>
        </w:rPr>
        <w:t>项目，</w:t>
      </w:r>
      <w:r>
        <w:rPr>
          <w:rFonts w:hint="eastAsia"/>
          <w:highlight w:val="none"/>
          <w:lang w:val="en-US" w:eastAsia="zh-CN"/>
        </w:rPr>
        <w:t>生产过程产生的少量工艺废水（废切削液、清洗液废水）经过厂区4号厂房污水处理站处理后排入市政管网，进入哈尔滨市朝阳水质净化厂，处理达标后排入马家沟河，最终汇入松花江；本项目</w:t>
      </w:r>
      <w:r>
        <w:rPr>
          <w:rFonts w:hint="eastAsia"/>
          <w:highlight w:val="none"/>
        </w:rPr>
        <w:t>生产均在厂房内进行操作，</w:t>
      </w:r>
      <w:r>
        <w:rPr>
          <w:rFonts w:hint="eastAsia"/>
          <w:highlight w:val="none"/>
          <w:lang w:val="en-US" w:eastAsia="zh-CN"/>
        </w:rPr>
        <w:t>产生的</w:t>
      </w:r>
      <w:r>
        <w:rPr>
          <w:rFonts w:hint="eastAsia"/>
          <w:highlight w:val="none"/>
        </w:rPr>
        <w:t>珩磨油泥、废机油、废胶、含油抹布、废手套、化学品包装桶、废活性炭、废过滤材料及废油</w:t>
      </w:r>
      <w:r>
        <w:rPr>
          <w:rFonts w:hint="eastAsia"/>
          <w:highlight w:val="none"/>
          <w:lang w:val="en-US" w:eastAsia="zh-CN"/>
        </w:rPr>
        <w:t>分开</w:t>
      </w:r>
      <w:r>
        <w:rPr>
          <w:rFonts w:hint="eastAsia"/>
          <w:highlight w:val="none"/>
        </w:rPr>
        <w:t>储存，</w:t>
      </w:r>
      <w:r>
        <w:rPr>
          <w:rFonts w:hint="eastAsia" w:ascii="宋体" w:hAnsi="宋体" w:eastAsia="宋体" w:cs="宋体"/>
          <w:highlight w:val="none"/>
        </w:rPr>
        <w:t>不混装。地面采取严格的防渗、防腐措施，防止重金属污染土壤环境，符合《</w:t>
      </w:r>
      <w:r>
        <w:rPr>
          <w:rFonts w:hint="eastAsia" w:ascii="宋体" w:hAnsi="宋体" w:eastAsia="宋体" w:cs="宋体"/>
          <w:highlight w:val="none"/>
          <w:lang w:val="en-US" w:eastAsia="zh-CN"/>
        </w:rPr>
        <w:t>水</w:t>
      </w:r>
      <w:r>
        <w:rPr>
          <w:rFonts w:hint="eastAsia" w:ascii="宋体" w:hAnsi="宋体" w:eastAsia="宋体" w:cs="宋体"/>
          <w:highlight w:val="none"/>
        </w:rPr>
        <w:t>污染防治行动计划》中的要求</w:t>
      </w:r>
      <w:r>
        <w:rPr>
          <w:rFonts w:hint="eastAsia"/>
          <w:kern w:val="0"/>
          <w:szCs w:val="21"/>
          <w:highlight w:val="none"/>
        </w:rPr>
        <w:t>。</w:t>
      </w:r>
    </w:p>
    <w:p w14:paraId="573DCDB1">
      <w:pPr>
        <w:pStyle w:val="4"/>
        <w:bidi w:val="0"/>
        <w:rPr>
          <w:highlight w:val="none"/>
        </w:rPr>
      </w:pPr>
      <w:bookmarkStart w:id="65" w:name="_Toc20028"/>
      <w:bookmarkStart w:id="66" w:name="_Toc17381"/>
      <w:r>
        <w:rPr>
          <w:highlight w:val="none"/>
        </w:rPr>
        <w:t>1.4.</w:t>
      </w:r>
      <w:r>
        <w:rPr>
          <w:rFonts w:hint="eastAsia"/>
          <w:highlight w:val="none"/>
          <w:lang w:val="en-US" w:eastAsia="zh-CN"/>
        </w:rPr>
        <w:t>8</w:t>
      </w:r>
      <w:r>
        <w:rPr>
          <w:rFonts w:hint="eastAsia"/>
          <w:highlight w:val="none"/>
        </w:rPr>
        <w:t>与《土壤污染防治行动计划》符合性分析</w:t>
      </w:r>
      <w:bookmarkEnd w:id="65"/>
      <w:bookmarkEnd w:id="66"/>
    </w:p>
    <w:p w14:paraId="5141948B">
      <w:pPr>
        <w:bidi w:val="0"/>
        <w:rPr>
          <w:rFonts w:hint="eastAsia"/>
          <w:highlight w:val="none"/>
        </w:rPr>
      </w:pPr>
      <w:r>
        <w:rPr>
          <w:rFonts w:hint="eastAsia"/>
          <w:highlight w:val="none"/>
        </w:rPr>
        <w:t>《土壤污染防治行动计划》中要求“切实加大保护力度。各地要将符合条件的优先保护类耕地划为永久基本农田，实行严格保护，确保其面积不减少、土壤环境质量不下降，除法律规定的重点建设项目选址确实无法避让外，其他任何建设不得占用。防控企业污染。严格控制在优先保护类耕地集中区域新建有色金属冶炼、石油加工、化工、焦化、电镀、制革等行业企业，现有相关行业企业要采用新技术、新工艺，加快提标升级改造步伐。”</w:t>
      </w:r>
    </w:p>
    <w:p w14:paraId="73969DD7">
      <w:pPr>
        <w:bidi w:val="0"/>
        <w:rPr>
          <w:rFonts w:hint="eastAsia"/>
          <w:highlight w:val="none"/>
          <w:lang w:eastAsia="zh-CN"/>
        </w:rPr>
      </w:pPr>
      <w:r>
        <w:rPr>
          <w:rFonts w:hint="eastAsia"/>
          <w:highlight w:val="none"/>
        </w:rPr>
        <w:t>本项目位于</w:t>
      </w:r>
      <w:r>
        <w:rPr>
          <w:rFonts w:hint="eastAsia" w:ascii="Times New Roman" w:hAnsi="Times New Roman" w:cs="Times New Roman" w:eastAsiaTheme="minorEastAsia"/>
          <w:sz w:val="24"/>
          <w:szCs w:val="24"/>
          <w:highlight w:val="none"/>
          <w:lang w:val="en-US" w:eastAsia="zh-CN"/>
        </w:rPr>
        <w:t>本项目位于黑龙江省哈尔滨市开发区哈平路集中区征仪南路6号，哈尔滨东安汽车发动机制造有限公司院内，位于2号及4号厂房内，不新增占地，用地性质为工业用地</w:t>
      </w:r>
      <w:r>
        <w:rPr>
          <w:rFonts w:hint="eastAsia"/>
          <w:highlight w:val="none"/>
        </w:rPr>
        <w:t>，不在有限保护类耕地集中区域，企业采用的技术和工艺较为先进；本项目为</w:t>
      </w:r>
      <w:r>
        <w:rPr>
          <w:rFonts w:hint="eastAsia"/>
          <w:highlight w:val="none"/>
          <w:lang w:val="en-US" w:eastAsia="zh-CN"/>
        </w:rPr>
        <w:t>汽车发动机制造及含油金属屑收集处理</w:t>
      </w:r>
      <w:r>
        <w:rPr>
          <w:rFonts w:hint="eastAsia"/>
          <w:highlight w:val="none"/>
        </w:rPr>
        <w:t>项目，生产均在厂房内进行操作作，</w:t>
      </w:r>
      <w:r>
        <w:rPr>
          <w:rFonts w:hint="eastAsia"/>
          <w:highlight w:val="none"/>
          <w:lang w:val="en-US" w:eastAsia="zh-CN"/>
        </w:rPr>
        <w:t>产生的</w:t>
      </w:r>
      <w:r>
        <w:rPr>
          <w:rFonts w:hint="eastAsia"/>
          <w:highlight w:val="none"/>
        </w:rPr>
        <w:t>珩磨油泥、废机油、废胶、含油抹布、废手套、化学品包装桶、废活性炭、废过滤材料及废油</w:t>
      </w:r>
      <w:r>
        <w:rPr>
          <w:rFonts w:hint="eastAsia"/>
          <w:highlight w:val="none"/>
          <w:lang w:val="en-US" w:eastAsia="zh-CN"/>
        </w:rPr>
        <w:t>分开</w:t>
      </w:r>
      <w:r>
        <w:rPr>
          <w:rFonts w:hint="eastAsia"/>
          <w:highlight w:val="none"/>
        </w:rPr>
        <w:t>储存，</w:t>
      </w:r>
      <w:r>
        <w:rPr>
          <w:rFonts w:hint="eastAsia" w:ascii="宋体" w:hAnsi="宋体" w:eastAsia="宋体" w:cs="宋体"/>
          <w:highlight w:val="none"/>
        </w:rPr>
        <w:t>不混装</w:t>
      </w:r>
      <w:r>
        <w:rPr>
          <w:rFonts w:hint="eastAsia"/>
          <w:highlight w:val="none"/>
        </w:rPr>
        <w:t>。地面采取严格的防渗、防腐措施，防止重金属污染土壤环境，符合《土壤污染防治行动计划》中的要求</w:t>
      </w:r>
      <w:r>
        <w:rPr>
          <w:rFonts w:hint="eastAsia"/>
          <w:highlight w:val="none"/>
          <w:lang w:eastAsia="zh-CN"/>
        </w:rPr>
        <w:t>。</w:t>
      </w:r>
    </w:p>
    <w:p w14:paraId="63743814">
      <w:pPr>
        <w:pStyle w:val="4"/>
        <w:bidi w:val="0"/>
        <w:rPr>
          <w:highlight w:val="none"/>
        </w:rPr>
      </w:pPr>
      <w:bookmarkStart w:id="67" w:name="_Toc23676"/>
      <w:bookmarkStart w:id="68" w:name="_Toc30364"/>
      <w:r>
        <w:rPr>
          <w:rFonts w:hint="eastAsia"/>
          <w:highlight w:val="none"/>
          <w:lang w:val="en-US" w:eastAsia="zh-CN"/>
        </w:rPr>
        <w:t>1.4.9</w:t>
      </w:r>
      <w:r>
        <w:rPr>
          <w:highlight w:val="none"/>
        </w:rPr>
        <w:t>与《固体废物再生利用污染防治技术导则》（HJ1091-2020）符合性分析</w:t>
      </w:r>
      <w:bookmarkEnd w:id="67"/>
      <w:bookmarkEnd w:id="68"/>
    </w:p>
    <w:p w14:paraId="510E4EE0">
      <w:pPr>
        <w:bidi w:val="0"/>
        <w:rPr>
          <w:highlight w:val="none"/>
        </w:rPr>
      </w:pPr>
      <w:r>
        <w:rPr>
          <w:highlight w:val="none"/>
        </w:rPr>
        <w:t>本项目与</w:t>
      </w:r>
      <w:r>
        <w:rPr>
          <w:color w:val="auto"/>
          <w:highlight w:val="none"/>
        </w:rPr>
        <w:t>《固体废物再生利用污染防治技术导则》（HJ1091-2020）</w:t>
      </w:r>
      <w:r>
        <w:rPr>
          <w:highlight w:val="none"/>
        </w:rPr>
        <w:t>符合性分析见下表。</w:t>
      </w:r>
    </w:p>
    <w:p w14:paraId="29C3A571">
      <w:pPr>
        <w:pStyle w:val="7"/>
        <w:bidi w:val="0"/>
        <w:rPr>
          <w:highlight w:val="none"/>
        </w:rPr>
      </w:pPr>
      <w:bookmarkStart w:id="69" w:name="_Toc13363_WPSOffice_Level1"/>
      <w:r>
        <w:rPr>
          <w:highlight w:val="none"/>
        </w:rPr>
        <w:t>表1-4-</w:t>
      </w:r>
      <w:r>
        <w:rPr>
          <w:rFonts w:hint="eastAsia"/>
          <w:highlight w:val="none"/>
          <w:lang w:val="en-US" w:eastAsia="zh-CN"/>
        </w:rPr>
        <w:t>5</w:t>
      </w:r>
      <w:r>
        <w:rPr>
          <w:highlight w:val="none"/>
        </w:rPr>
        <w:t>《固体废物再生利用污染防治技术导则》相符性分析</w:t>
      </w:r>
    </w:p>
    <w:bookmarkEnd w:id="69"/>
    <w:tbl>
      <w:tblPr>
        <w:tblStyle w:val="45"/>
        <w:tblW w:w="5000" w:type="pct"/>
        <w:tblInd w:w="-5"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508"/>
        <w:gridCol w:w="3704"/>
        <w:gridCol w:w="3828"/>
        <w:gridCol w:w="482"/>
      </w:tblGrid>
      <w:tr w14:paraId="7984D38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08" w:type="dxa"/>
            <w:tcBorders>
              <w:tl2br w:val="nil"/>
              <w:tr2bl w:val="nil"/>
            </w:tcBorders>
            <w:noWrap w:val="0"/>
            <w:vAlign w:val="center"/>
          </w:tcPr>
          <w:p w14:paraId="5F2CE15A">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序号</w:t>
            </w:r>
          </w:p>
        </w:tc>
        <w:tc>
          <w:tcPr>
            <w:tcW w:w="3704" w:type="dxa"/>
            <w:tcBorders>
              <w:tl2br w:val="nil"/>
              <w:tr2bl w:val="nil"/>
            </w:tcBorders>
            <w:noWrap w:val="0"/>
            <w:vAlign w:val="center"/>
          </w:tcPr>
          <w:p w14:paraId="0C5087C9">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《固体废物再生利用污染防治技术导则》（HJ1091-2020）</w:t>
            </w:r>
          </w:p>
        </w:tc>
        <w:tc>
          <w:tcPr>
            <w:tcW w:w="3828" w:type="dxa"/>
            <w:tcBorders>
              <w:tl2br w:val="nil"/>
              <w:tr2bl w:val="nil"/>
            </w:tcBorders>
            <w:noWrap w:val="0"/>
            <w:vAlign w:val="center"/>
          </w:tcPr>
          <w:p w14:paraId="55347AB2">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本项目情况</w:t>
            </w:r>
          </w:p>
        </w:tc>
        <w:tc>
          <w:tcPr>
            <w:tcW w:w="482" w:type="dxa"/>
            <w:tcBorders>
              <w:tl2br w:val="nil"/>
              <w:tr2bl w:val="nil"/>
            </w:tcBorders>
            <w:noWrap w:val="0"/>
            <w:vAlign w:val="center"/>
          </w:tcPr>
          <w:p w14:paraId="7A5FAF6E">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相符性</w:t>
            </w:r>
          </w:p>
        </w:tc>
      </w:tr>
      <w:tr w14:paraId="6878D00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08" w:type="dxa"/>
            <w:tcBorders>
              <w:tl2br w:val="nil"/>
              <w:tr2bl w:val="nil"/>
            </w:tcBorders>
            <w:noWrap w:val="0"/>
            <w:vAlign w:val="center"/>
          </w:tcPr>
          <w:p w14:paraId="0E8B5ADD">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4.7</w:t>
            </w:r>
          </w:p>
        </w:tc>
        <w:tc>
          <w:tcPr>
            <w:tcW w:w="3704" w:type="dxa"/>
            <w:tcBorders>
              <w:tl2br w:val="nil"/>
              <w:tr2bl w:val="nil"/>
            </w:tcBorders>
            <w:noWrap w:val="0"/>
            <w:vAlign w:val="center"/>
          </w:tcPr>
          <w:p w14:paraId="3A15B405">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固体废物再生利用产物作为产品的，应符合GB34330中要求的国家、地方制定或行业通行的产品质量标准</w:t>
            </w:r>
          </w:p>
        </w:tc>
        <w:tc>
          <w:tcPr>
            <w:tcW w:w="3828" w:type="dxa"/>
            <w:tcBorders>
              <w:tl2br w:val="nil"/>
              <w:tr2bl w:val="nil"/>
            </w:tcBorders>
            <w:noWrap w:val="0"/>
            <w:vAlign w:val="center"/>
          </w:tcPr>
          <w:p w14:paraId="55252139">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eastAsia" w:eastAsia="宋体"/>
                <w:highlight w:val="none"/>
                <w:lang w:eastAsia="zh-CN"/>
              </w:rPr>
            </w:pPr>
            <w:r>
              <w:rPr>
                <w:rFonts w:hint="eastAsia"/>
                <w:highlight w:val="none"/>
              </w:rPr>
              <w:t>本项目再生利用产物可定向用于特定用途按产品管理</w:t>
            </w:r>
          </w:p>
        </w:tc>
        <w:tc>
          <w:tcPr>
            <w:tcW w:w="482" w:type="dxa"/>
            <w:tcBorders>
              <w:tl2br w:val="nil"/>
              <w:tr2bl w:val="nil"/>
            </w:tcBorders>
            <w:noWrap w:val="0"/>
            <w:vAlign w:val="center"/>
          </w:tcPr>
          <w:p w14:paraId="4F982A23">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符合</w:t>
            </w:r>
          </w:p>
        </w:tc>
      </w:tr>
      <w:tr w14:paraId="6917509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08" w:type="dxa"/>
            <w:tcBorders>
              <w:tl2br w:val="nil"/>
              <w:tr2bl w:val="nil"/>
            </w:tcBorders>
            <w:noWrap w:val="0"/>
            <w:vAlign w:val="center"/>
          </w:tcPr>
          <w:p w14:paraId="7B2A5BE6">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5.1.3</w:t>
            </w:r>
          </w:p>
        </w:tc>
        <w:tc>
          <w:tcPr>
            <w:tcW w:w="3704" w:type="dxa"/>
            <w:tcBorders>
              <w:tl2br w:val="nil"/>
              <w:tr2bl w:val="nil"/>
            </w:tcBorders>
            <w:noWrap w:val="0"/>
            <w:vAlign w:val="center"/>
          </w:tcPr>
          <w:p w14:paraId="1E161273">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应根据固体废物的特性设置必要的防扬撒、防渗漏、防腐蚀设施，配备废气处理、废水处理、噪声控制等污染防治设施</w:t>
            </w:r>
          </w:p>
        </w:tc>
        <w:tc>
          <w:tcPr>
            <w:tcW w:w="3828" w:type="dxa"/>
            <w:tcBorders>
              <w:tl2br w:val="nil"/>
              <w:tr2bl w:val="nil"/>
            </w:tcBorders>
            <w:noWrap w:val="0"/>
            <w:vAlign w:val="center"/>
          </w:tcPr>
          <w:p w14:paraId="1B5C48EE">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本项目</w:t>
            </w:r>
            <w:r>
              <w:rPr>
                <w:rFonts w:hint="eastAsia"/>
                <w:highlight w:val="none"/>
                <w:lang w:val="en-US" w:eastAsia="zh-CN"/>
              </w:rPr>
              <w:t>现有厂房及危险废物贮存库已分别按照按照</w:t>
            </w:r>
            <w:r>
              <w:rPr>
                <w:rFonts w:hint="default"/>
                <w:highlight w:val="none"/>
              </w:rPr>
              <w:t>《</w:t>
            </w:r>
            <w:r>
              <w:rPr>
                <w:rFonts w:hint="eastAsia"/>
                <w:highlight w:val="none"/>
                <w:lang w:val="en-US" w:eastAsia="zh-CN"/>
              </w:rPr>
              <w:t>环境影响评价技术导则地下水环境</w:t>
            </w:r>
            <w:r>
              <w:rPr>
                <w:rFonts w:hint="default"/>
                <w:highlight w:val="none"/>
              </w:rPr>
              <w:t>》（</w:t>
            </w:r>
            <w:r>
              <w:rPr>
                <w:rFonts w:hint="eastAsia"/>
                <w:highlight w:val="none"/>
                <w:lang w:val="en-US" w:eastAsia="zh-CN"/>
              </w:rPr>
              <w:t>HJ610-2016</w:t>
            </w:r>
            <w:r>
              <w:rPr>
                <w:rFonts w:hint="default"/>
                <w:highlight w:val="none"/>
              </w:rPr>
              <w:t>）和《危险废物贮存污染控制标准》（GB18597-2023）进行地</w:t>
            </w:r>
            <w:r>
              <w:rPr>
                <w:rFonts w:hint="eastAsia"/>
                <w:highlight w:val="none"/>
                <w:lang w:val="en-US" w:eastAsia="zh-CN"/>
              </w:rPr>
              <w:t>面</w:t>
            </w:r>
            <w:r>
              <w:rPr>
                <w:rFonts w:hint="default"/>
                <w:highlight w:val="none"/>
              </w:rPr>
              <w:t>防渗处理；</w:t>
            </w:r>
            <w:r>
              <w:rPr>
                <w:rFonts w:hint="eastAsia"/>
                <w:highlight w:val="none"/>
                <w:lang w:val="en-US" w:eastAsia="zh-CN"/>
              </w:rPr>
              <w:t>含油金属屑加工产生的油雾、挥发性有机物（以非甲烷总烃计）、颗粒物及臭气浓度通过油雾净化装置+活性炭吸附装置处理后由1根新建23m排气筒排放</w:t>
            </w:r>
            <w:r>
              <w:rPr>
                <w:rFonts w:hint="default"/>
                <w:highlight w:val="none"/>
              </w:rPr>
              <w:t>；生产过程产生的少量工艺废水（废切削液、清洗液废水）经过厂区4号厂房污水处理站处理后排入市政管网，进入</w:t>
            </w:r>
            <w:r>
              <w:rPr>
                <w:rFonts w:hint="eastAsia"/>
                <w:highlight w:val="none"/>
                <w:lang w:eastAsia="zh-CN"/>
              </w:rPr>
              <w:t>哈尔滨市朝阳水质净化厂</w:t>
            </w:r>
            <w:r>
              <w:rPr>
                <w:rFonts w:hint="default"/>
                <w:highlight w:val="none"/>
              </w:rPr>
              <w:t>，处理达标后排入马家沟河，最终汇入松花江</w:t>
            </w:r>
            <w:r>
              <w:rPr>
                <w:rFonts w:hint="eastAsia"/>
                <w:highlight w:val="none"/>
                <w:lang w:eastAsia="zh-CN"/>
              </w:rPr>
              <w:t>；</w:t>
            </w:r>
            <w:r>
              <w:rPr>
                <w:rFonts w:hint="default"/>
                <w:highlight w:val="none"/>
              </w:rPr>
              <w:t>通过隔声减振措施，将噪声影响降至最低</w:t>
            </w:r>
          </w:p>
        </w:tc>
        <w:tc>
          <w:tcPr>
            <w:tcW w:w="482" w:type="dxa"/>
            <w:tcBorders>
              <w:tl2br w:val="nil"/>
              <w:tr2bl w:val="nil"/>
            </w:tcBorders>
            <w:noWrap w:val="0"/>
            <w:vAlign w:val="center"/>
          </w:tcPr>
          <w:p w14:paraId="58E84E8F">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符合</w:t>
            </w:r>
          </w:p>
        </w:tc>
      </w:tr>
      <w:tr w14:paraId="2F4D351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08" w:type="dxa"/>
            <w:tcBorders>
              <w:tl2br w:val="nil"/>
              <w:tr2bl w:val="nil"/>
            </w:tcBorders>
            <w:noWrap w:val="0"/>
            <w:vAlign w:val="center"/>
          </w:tcPr>
          <w:p w14:paraId="19126F56">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5.1.5</w:t>
            </w:r>
          </w:p>
        </w:tc>
        <w:tc>
          <w:tcPr>
            <w:tcW w:w="3704" w:type="dxa"/>
            <w:tcBorders>
              <w:tl2br w:val="nil"/>
              <w:tr2bl w:val="nil"/>
            </w:tcBorders>
            <w:noWrap w:val="0"/>
            <w:vAlign w:val="center"/>
          </w:tcPr>
          <w:p w14:paraId="30C8D08D">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应采取大气污染控制措施，大气污染物排放应满足特定行业排放（控制）标准的要求。没有特定行业污染排放（控制）标准的，应满足GB16297的要求，特征污染物排放（控制）应满足环境影响评价要求</w:t>
            </w:r>
          </w:p>
        </w:tc>
        <w:tc>
          <w:tcPr>
            <w:tcW w:w="3828" w:type="dxa"/>
            <w:tcBorders>
              <w:tl2br w:val="nil"/>
              <w:tr2bl w:val="nil"/>
            </w:tcBorders>
            <w:noWrap w:val="0"/>
            <w:vAlign w:val="center"/>
          </w:tcPr>
          <w:p w14:paraId="1B380651">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eastAsia="宋体"/>
                <w:highlight w:val="none"/>
                <w:lang w:val="en-US" w:eastAsia="zh-CN"/>
              </w:rPr>
            </w:pPr>
            <w:r>
              <w:rPr>
                <w:rFonts w:hint="default"/>
                <w:highlight w:val="none"/>
              </w:rPr>
              <w:t>本项目</w:t>
            </w:r>
            <w:r>
              <w:rPr>
                <w:rFonts w:hint="eastAsia"/>
                <w:highlight w:val="none"/>
                <w:lang w:val="en-US" w:eastAsia="zh-CN"/>
              </w:rPr>
              <w:t>有组织</w:t>
            </w:r>
            <w:r>
              <w:rPr>
                <w:rFonts w:hint="default"/>
                <w:highlight w:val="none"/>
              </w:rPr>
              <w:t>废气执行GB16297-1996中相应标准限值</w:t>
            </w:r>
            <w:r>
              <w:rPr>
                <w:rFonts w:hint="eastAsia"/>
                <w:highlight w:val="none"/>
                <w:lang w:eastAsia="zh-CN"/>
              </w:rPr>
              <w:t>，</w:t>
            </w:r>
            <w:r>
              <w:rPr>
                <w:rFonts w:hint="default"/>
                <w:highlight w:val="none"/>
              </w:rPr>
              <w:t>厂界</w:t>
            </w:r>
            <w:r>
              <w:rPr>
                <w:rFonts w:hint="eastAsia"/>
                <w:highlight w:val="none"/>
                <w:lang w:val="en-US" w:eastAsia="zh-CN"/>
              </w:rPr>
              <w:t>无组织废气</w:t>
            </w:r>
            <w:r>
              <w:rPr>
                <w:rFonts w:hint="default"/>
                <w:highlight w:val="none"/>
              </w:rPr>
              <w:t>执行GB16297-1996表2中无组织排放监控浓度限值要求；</w:t>
            </w:r>
            <w:r>
              <w:rPr>
                <w:rFonts w:hint="eastAsia"/>
                <w:highlight w:val="none"/>
                <w:lang w:val="en-US" w:eastAsia="zh-CN"/>
              </w:rPr>
              <w:t>厂区内</w:t>
            </w:r>
            <w:r>
              <w:rPr>
                <w:rFonts w:hint="default"/>
                <w:highlight w:val="none"/>
              </w:rPr>
              <w:t>非甲烷总烃执行GB37822-2019中限值要求</w:t>
            </w:r>
            <w:r>
              <w:rPr>
                <w:rFonts w:hint="eastAsia"/>
                <w:highlight w:val="none"/>
                <w:lang w:eastAsia="zh-CN"/>
              </w:rPr>
              <w:t>；</w:t>
            </w:r>
            <w:r>
              <w:rPr>
                <w:rFonts w:hint="eastAsia"/>
                <w:highlight w:val="none"/>
                <w:lang w:val="en-US" w:eastAsia="zh-CN"/>
              </w:rPr>
              <w:t>臭气浓度执行GB14554-1993中要求</w:t>
            </w:r>
          </w:p>
        </w:tc>
        <w:tc>
          <w:tcPr>
            <w:tcW w:w="482" w:type="dxa"/>
            <w:tcBorders>
              <w:tl2br w:val="nil"/>
              <w:tr2bl w:val="nil"/>
            </w:tcBorders>
            <w:noWrap w:val="0"/>
            <w:vAlign w:val="center"/>
          </w:tcPr>
          <w:p w14:paraId="7AC4F045">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符合</w:t>
            </w:r>
          </w:p>
        </w:tc>
      </w:tr>
      <w:tr w14:paraId="29B57A7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08" w:type="dxa"/>
            <w:tcBorders>
              <w:tl2br w:val="nil"/>
              <w:tr2bl w:val="nil"/>
            </w:tcBorders>
            <w:noWrap w:val="0"/>
            <w:vAlign w:val="center"/>
          </w:tcPr>
          <w:p w14:paraId="3393AFE1">
            <w:pPr>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olor w:val="auto"/>
                <w:kern w:val="0"/>
                <w:sz w:val="21"/>
                <w:szCs w:val="21"/>
                <w:highlight w:val="none"/>
              </w:rPr>
            </w:pPr>
            <w:r>
              <w:rPr>
                <w:rFonts w:hint="default"/>
                <w:color w:val="auto"/>
                <w:kern w:val="0"/>
                <w:sz w:val="21"/>
                <w:szCs w:val="21"/>
                <w:highlight w:val="none"/>
              </w:rPr>
              <w:t>5.1.7</w:t>
            </w:r>
          </w:p>
        </w:tc>
        <w:tc>
          <w:tcPr>
            <w:tcW w:w="3704" w:type="dxa"/>
            <w:tcBorders>
              <w:tl2br w:val="nil"/>
              <w:tr2bl w:val="nil"/>
            </w:tcBorders>
            <w:noWrap w:val="0"/>
            <w:vAlign w:val="center"/>
          </w:tcPr>
          <w:p w14:paraId="4E101B2F">
            <w:pPr>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olor w:val="auto"/>
                <w:kern w:val="0"/>
                <w:sz w:val="21"/>
                <w:szCs w:val="21"/>
                <w:highlight w:val="none"/>
              </w:rPr>
            </w:pPr>
            <w:r>
              <w:rPr>
                <w:rFonts w:hint="default"/>
                <w:color w:val="auto"/>
                <w:kern w:val="0"/>
                <w:sz w:val="21"/>
                <w:szCs w:val="21"/>
                <w:highlight w:val="none"/>
              </w:rPr>
              <w:t>产生的冷凝液、浓缩液、渗滤液等废液应进行有效收集后集中处理。处理后产生的废水应优先考虑循环利用；排放时应满足特定行业排放（控制）标准的要求；没有特定行业污染排放（控制）标准的，应满足GB8978的要求，特征污染物排放（控制）应满足环境影响评价要求</w:t>
            </w:r>
          </w:p>
        </w:tc>
        <w:tc>
          <w:tcPr>
            <w:tcW w:w="3828" w:type="dxa"/>
            <w:tcBorders>
              <w:tl2br w:val="nil"/>
              <w:tr2bl w:val="nil"/>
            </w:tcBorders>
            <w:noWrap w:val="0"/>
            <w:vAlign w:val="center"/>
          </w:tcPr>
          <w:p w14:paraId="45660DAD">
            <w:pPr>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宋体"/>
                <w:color w:val="auto"/>
                <w:kern w:val="0"/>
                <w:sz w:val="21"/>
                <w:szCs w:val="21"/>
                <w:highlight w:val="none"/>
                <w:lang w:val="en-US" w:eastAsia="zh-CN"/>
              </w:rPr>
            </w:pPr>
            <w:r>
              <w:rPr>
                <w:rFonts w:hint="default"/>
                <w:color w:val="auto"/>
                <w:kern w:val="0"/>
                <w:sz w:val="21"/>
                <w:szCs w:val="21"/>
                <w:highlight w:val="none"/>
                <w:lang w:val="en-US" w:eastAsia="zh-CN"/>
              </w:rPr>
              <w:t>生产过程产生的少量工艺废水（废切削液、清洗液废水）经过厂区4号厂房污水处理站处理后排入市政管网，进入</w:t>
            </w:r>
            <w:r>
              <w:rPr>
                <w:rFonts w:hint="eastAsia"/>
                <w:color w:val="auto"/>
                <w:kern w:val="0"/>
                <w:sz w:val="21"/>
                <w:szCs w:val="21"/>
                <w:highlight w:val="none"/>
                <w:lang w:val="en-US" w:eastAsia="zh-CN"/>
              </w:rPr>
              <w:t>哈尔滨市朝阳水质净化厂</w:t>
            </w:r>
            <w:r>
              <w:rPr>
                <w:rFonts w:hint="default"/>
                <w:color w:val="auto"/>
                <w:kern w:val="0"/>
                <w:sz w:val="21"/>
                <w:szCs w:val="21"/>
                <w:highlight w:val="none"/>
                <w:lang w:val="en-US" w:eastAsia="zh-CN"/>
              </w:rPr>
              <w:t>，处理达标后排入马家沟河，最终汇入松花江</w:t>
            </w:r>
          </w:p>
        </w:tc>
        <w:tc>
          <w:tcPr>
            <w:tcW w:w="482" w:type="dxa"/>
            <w:tcBorders>
              <w:tl2br w:val="nil"/>
              <w:tr2bl w:val="nil"/>
            </w:tcBorders>
            <w:noWrap w:val="0"/>
            <w:vAlign w:val="center"/>
          </w:tcPr>
          <w:p w14:paraId="795002C6">
            <w:pPr>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olor w:val="auto"/>
                <w:kern w:val="0"/>
                <w:sz w:val="21"/>
                <w:szCs w:val="21"/>
                <w:highlight w:val="none"/>
              </w:rPr>
            </w:pPr>
            <w:r>
              <w:rPr>
                <w:rFonts w:hint="default"/>
                <w:color w:val="auto"/>
                <w:kern w:val="0"/>
                <w:sz w:val="21"/>
                <w:szCs w:val="21"/>
                <w:highlight w:val="none"/>
              </w:rPr>
              <w:t>符合</w:t>
            </w:r>
          </w:p>
        </w:tc>
      </w:tr>
      <w:tr w14:paraId="1981830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08" w:type="dxa"/>
            <w:tcBorders>
              <w:tl2br w:val="nil"/>
              <w:tr2bl w:val="nil"/>
            </w:tcBorders>
            <w:noWrap w:val="0"/>
            <w:vAlign w:val="center"/>
          </w:tcPr>
          <w:p w14:paraId="0C9194A4">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5.1.8</w:t>
            </w:r>
          </w:p>
        </w:tc>
        <w:tc>
          <w:tcPr>
            <w:tcW w:w="3704" w:type="dxa"/>
            <w:tcBorders>
              <w:tl2br w:val="nil"/>
              <w:tr2bl w:val="nil"/>
            </w:tcBorders>
            <w:noWrap w:val="0"/>
            <w:vAlign w:val="center"/>
          </w:tcPr>
          <w:p w14:paraId="06856F7D">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应防止噪声污染。设备运转时厂界噪声应符合GB12348的要求</w:t>
            </w:r>
          </w:p>
        </w:tc>
        <w:tc>
          <w:tcPr>
            <w:tcW w:w="3828" w:type="dxa"/>
            <w:tcBorders>
              <w:tl2br w:val="nil"/>
              <w:tr2bl w:val="nil"/>
            </w:tcBorders>
            <w:noWrap w:val="0"/>
            <w:vAlign w:val="center"/>
          </w:tcPr>
          <w:p w14:paraId="37BFFD38">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通过隔声减振措施，厂界噪声满足GB12348-2008限值要求</w:t>
            </w:r>
          </w:p>
        </w:tc>
        <w:tc>
          <w:tcPr>
            <w:tcW w:w="482" w:type="dxa"/>
            <w:tcBorders>
              <w:tl2br w:val="nil"/>
              <w:tr2bl w:val="nil"/>
            </w:tcBorders>
            <w:noWrap w:val="0"/>
            <w:vAlign w:val="center"/>
          </w:tcPr>
          <w:p w14:paraId="5E345003">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符合</w:t>
            </w:r>
          </w:p>
        </w:tc>
      </w:tr>
      <w:tr w14:paraId="5CAC919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08" w:type="dxa"/>
            <w:tcBorders>
              <w:tl2br w:val="nil"/>
              <w:tr2bl w:val="nil"/>
            </w:tcBorders>
            <w:shd w:val="clear" w:color="auto" w:fill="auto"/>
            <w:noWrap w:val="0"/>
            <w:vAlign w:val="center"/>
          </w:tcPr>
          <w:p w14:paraId="773F6F81">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ascii="Times New Roman" w:hAnsi="Times New Roman" w:eastAsia="宋体" w:cs="Times New Roman"/>
                <w:color w:val="000000"/>
                <w:kern w:val="0"/>
                <w:sz w:val="21"/>
                <w:szCs w:val="24"/>
                <w:highlight w:val="none"/>
                <w:lang w:val="en-US" w:eastAsia="zh-CN" w:bidi="ar-SA"/>
              </w:rPr>
            </w:pPr>
            <w:r>
              <w:rPr>
                <w:rFonts w:hint="default"/>
                <w:highlight w:val="none"/>
              </w:rPr>
              <w:t>5.1.9</w:t>
            </w:r>
          </w:p>
        </w:tc>
        <w:tc>
          <w:tcPr>
            <w:tcW w:w="3704" w:type="dxa"/>
            <w:tcBorders>
              <w:tl2br w:val="nil"/>
              <w:tr2bl w:val="nil"/>
            </w:tcBorders>
            <w:shd w:val="clear" w:color="auto" w:fill="auto"/>
            <w:noWrap w:val="0"/>
            <w:vAlign w:val="center"/>
          </w:tcPr>
          <w:p w14:paraId="579E8EFE">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ascii="Times New Roman" w:hAnsi="Times New Roman" w:eastAsia="宋体" w:cs="Times New Roman"/>
                <w:color w:val="000000"/>
                <w:kern w:val="0"/>
                <w:sz w:val="21"/>
                <w:szCs w:val="24"/>
                <w:highlight w:val="none"/>
                <w:lang w:val="en-US" w:eastAsia="zh-CN" w:bidi="ar-SA"/>
              </w:rPr>
            </w:pPr>
            <w:r>
              <w:rPr>
                <w:rFonts w:hint="default"/>
                <w:highlight w:val="none"/>
              </w:rPr>
              <w:t>产生的污泥、底渣、废油类等固体废物应按照其管理属性分别处置。不能自行综合利用或处置的，应交给有相应资质和处理能力的企业进行综合利用或处置</w:t>
            </w:r>
          </w:p>
        </w:tc>
        <w:tc>
          <w:tcPr>
            <w:tcW w:w="3828" w:type="dxa"/>
            <w:tcBorders>
              <w:tl2br w:val="nil"/>
              <w:tr2bl w:val="nil"/>
            </w:tcBorders>
            <w:shd w:val="clear" w:color="auto" w:fill="auto"/>
            <w:noWrap w:val="0"/>
            <w:vAlign w:val="center"/>
          </w:tcPr>
          <w:p w14:paraId="6C46C8ED">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ascii="Times New Roman" w:hAnsi="Times New Roman" w:eastAsia="宋体" w:cs="Times New Roman"/>
                <w:color w:val="000000"/>
                <w:kern w:val="0"/>
                <w:sz w:val="21"/>
                <w:szCs w:val="24"/>
                <w:highlight w:val="none"/>
                <w:lang w:val="en-US" w:eastAsia="zh-CN" w:bidi="ar-SA"/>
              </w:rPr>
            </w:pPr>
            <w:r>
              <w:rPr>
                <w:rFonts w:hint="default"/>
                <w:highlight w:val="none"/>
              </w:rPr>
              <w:t>本项目产生的</w:t>
            </w:r>
            <w:r>
              <w:rPr>
                <w:rFonts w:hint="eastAsia"/>
                <w:highlight w:val="none"/>
                <w:lang w:val="en-US" w:eastAsia="zh-CN"/>
              </w:rPr>
              <w:t>产品金属块作为金属行业原料</w:t>
            </w:r>
            <w:r>
              <w:rPr>
                <w:rFonts w:hint="default"/>
                <w:highlight w:val="none"/>
              </w:rPr>
              <w:t>，</w:t>
            </w:r>
            <w:r>
              <w:rPr>
                <w:rFonts w:hint="eastAsia"/>
                <w:highlight w:val="none"/>
                <w:lang w:val="en-US" w:eastAsia="zh-CN"/>
              </w:rPr>
              <w:t>产生珩磨油泥、废机油、废胶、含油抹布、废手套、化学品包装桶、废活性炭、废过滤材料及废油等危险废物，均委托有资质单位处置。</w:t>
            </w:r>
          </w:p>
        </w:tc>
        <w:tc>
          <w:tcPr>
            <w:tcW w:w="482" w:type="dxa"/>
            <w:tcBorders>
              <w:tl2br w:val="nil"/>
              <w:tr2bl w:val="nil"/>
            </w:tcBorders>
            <w:shd w:val="clear" w:color="auto" w:fill="auto"/>
            <w:noWrap w:val="0"/>
            <w:vAlign w:val="center"/>
          </w:tcPr>
          <w:p w14:paraId="50C470F2">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ascii="Times New Roman" w:hAnsi="Times New Roman" w:eastAsia="宋体" w:cs="Times New Roman"/>
                <w:color w:val="000000"/>
                <w:kern w:val="0"/>
                <w:sz w:val="21"/>
                <w:szCs w:val="24"/>
                <w:highlight w:val="none"/>
                <w:lang w:val="en-US" w:eastAsia="zh-CN" w:bidi="ar-SA"/>
              </w:rPr>
            </w:pPr>
            <w:r>
              <w:rPr>
                <w:rFonts w:hint="default"/>
                <w:highlight w:val="none"/>
              </w:rPr>
              <w:t>符合</w:t>
            </w:r>
          </w:p>
        </w:tc>
      </w:tr>
    </w:tbl>
    <w:p w14:paraId="3EF0A9D3">
      <w:pPr>
        <w:rPr>
          <w:highlight w:val="none"/>
        </w:rPr>
      </w:pPr>
    </w:p>
    <w:p w14:paraId="5E06EC8D">
      <w:pPr>
        <w:pStyle w:val="4"/>
        <w:bidi w:val="0"/>
        <w:rPr>
          <w:rFonts w:hint="default"/>
          <w:highlight w:val="none"/>
        </w:rPr>
      </w:pPr>
      <w:bookmarkStart w:id="70" w:name="_Toc8196"/>
      <w:bookmarkStart w:id="71" w:name="_Toc483"/>
      <w:r>
        <w:rPr>
          <w:rFonts w:hint="eastAsia"/>
          <w:highlight w:val="none"/>
          <w:lang w:val="en-US" w:eastAsia="zh-CN"/>
        </w:rPr>
        <w:t>1.4.10</w:t>
      </w:r>
      <w:r>
        <w:rPr>
          <w:rFonts w:hint="default"/>
          <w:highlight w:val="none"/>
        </w:rPr>
        <w:t>与《重点行业挥发性有机物综合治理方案》（环大气【2019】53号）符合性分析</w:t>
      </w:r>
      <w:bookmarkEnd w:id="70"/>
      <w:bookmarkEnd w:id="71"/>
    </w:p>
    <w:p w14:paraId="1D67DF1B">
      <w:pPr>
        <w:pStyle w:val="7"/>
        <w:bidi w:val="0"/>
        <w:rPr>
          <w:rFonts w:hint="default"/>
          <w:highlight w:val="none"/>
        </w:rPr>
      </w:pPr>
      <w:r>
        <w:rPr>
          <w:rFonts w:hint="default"/>
          <w:highlight w:val="none"/>
        </w:rPr>
        <w:t>表1-4-</w:t>
      </w:r>
      <w:r>
        <w:rPr>
          <w:rFonts w:hint="eastAsia"/>
          <w:highlight w:val="none"/>
          <w:lang w:val="en-US" w:eastAsia="zh-CN"/>
        </w:rPr>
        <w:t>6</w:t>
      </w:r>
      <w:r>
        <w:rPr>
          <w:rFonts w:hint="default"/>
          <w:highlight w:val="none"/>
        </w:rPr>
        <w:t>与《重点行业挥发性有机物综合治理方案》（环大气【2019】53号）符合性一览表</w:t>
      </w:r>
    </w:p>
    <w:tbl>
      <w:tblPr>
        <w:tblStyle w:val="45"/>
        <w:tblW w:w="4876"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544"/>
        <w:gridCol w:w="3236"/>
        <w:gridCol w:w="3841"/>
        <w:gridCol w:w="690"/>
      </w:tblGrid>
      <w:tr w14:paraId="0E589DE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704" w:hRule="atLeast"/>
        </w:trPr>
        <w:tc>
          <w:tcPr>
            <w:tcW w:w="327" w:type="pct"/>
            <w:vAlign w:val="center"/>
          </w:tcPr>
          <w:p w14:paraId="14E5A08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bCs/>
                <w:kern w:val="21"/>
                <w:sz w:val="21"/>
                <w:szCs w:val="21"/>
                <w:highlight w:val="none"/>
              </w:rPr>
            </w:pPr>
            <w:r>
              <w:rPr>
                <w:rFonts w:hint="default" w:ascii="Times New Roman" w:hAnsi="Times New Roman"/>
                <w:bCs/>
                <w:kern w:val="21"/>
                <w:sz w:val="21"/>
                <w:szCs w:val="21"/>
                <w:highlight w:val="none"/>
              </w:rPr>
              <w:t>序号</w:t>
            </w:r>
          </w:p>
        </w:tc>
        <w:tc>
          <w:tcPr>
            <w:tcW w:w="1946" w:type="pct"/>
            <w:vAlign w:val="center"/>
          </w:tcPr>
          <w:p w14:paraId="5F536C5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bCs/>
                <w:kern w:val="21"/>
                <w:sz w:val="21"/>
                <w:szCs w:val="21"/>
                <w:highlight w:val="none"/>
              </w:rPr>
            </w:pPr>
            <w:r>
              <w:rPr>
                <w:rFonts w:hint="default" w:ascii="Times New Roman" w:hAnsi="Times New Roman"/>
                <w:bCs/>
                <w:kern w:val="21"/>
                <w:sz w:val="21"/>
                <w:szCs w:val="21"/>
                <w:highlight w:val="none"/>
              </w:rPr>
              <w:t>《重点行业挥发性有机物综合治理方案》</w:t>
            </w:r>
          </w:p>
        </w:tc>
        <w:tc>
          <w:tcPr>
            <w:tcW w:w="2310" w:type="pct"/>
            <w:vAlign w:val="center"/>
          </w:tcPr>
          <w:p w14:paraId="3C6F35E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bCs/>
                <w:kern w:val="21"/>
                <w:sz w:val="21"/>
                <w:szCs w:val="21"/>
                <w:highlight w:val="none"/>
              </w:rPr>
            </w:pPr>
            <w:r>
              <w:rPr>
                <w:rFonts w:hint="eastAsia" w:ascii="Times New Roman" w:hAnsi="Times New Roman"/>
                <w:bCs/>
                <w:kern w:val="21"/>
                <w:sz w:val="21"/>
                <w:szCs w:val="21"/>
                <w:highlight w:val="none"/>
              </w:rPr>
              <w:t>本</w:t>
            </w:r>
            <w:r>
              <w:rPr>
                <w:rFonts w:hint="default" w:ascii="Times New Roman" w:hAnsi="Times New Roman"/>
                <w:bCs/>
                <w:kern w:val="21"/>
                <w:sz w:val="21"/>
                <w:szCs w:val="21"/>
                <w:highlight w:val="none"/>
              </w:rPr>
              <w:t>项目</w:t>
            </w:r>
          </w:p>
        </w:tc>
        <w:tc>
          <w:tcPr>
            <w:tcW w:w="415" w:type="pct"/>
            <w:vAlign w:val="center"/>
          </w:tcPr>
          <w:p w14:paraId="7870AAF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bCs/>
                <w:kern w:val="21"/>
                <w:sz w:val="21"/>
                <w:szCs w:val="21"/>
                <w:highlight w:val="none"/>
              </w:rPr>
            </w:pPr>
            <w:r>
              <w:rPr>
                <w:rFonts w:hint="default" w:ascii="Times New Roman" w:hAnsi="Times New Roman"/>
                <w:bCs/>
                <w:kern w:val="21"/>
                <w:sz w:val="21"/>
                <w:szCs w:val="21"/>
                <w:highlight w:val="none"/>
              </w:rPr>
              <w:t>符合</w:t>
            </w:r>
            <w:r>
              <w:rPr>
                <w:rFonts w:hint="eastAsia" w:ascii="Times New Roman" w:hAnsi="Times New Roman"/>
                <w:bCs/>
                <w:kern w:val="21"/>
                <w:sz w:val="21"/>
                <w:szCs w:val="21"/>
                <w:highlight w:val="none"/>
              </w:rPr>
              <w:t>性</w:t>
            </w:r>
          </w:p>
        </w:tc>
      </w:tr>
      <w:tr w14:paraId="07411E2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45" w:hRule="atLeast"/>
        </w:trPr>
        <w:tc>
          <w:tcPr>
            <w:tcW w:w="327" w:type="pct"/>
            <w:vAlign w:val="center"/>
          </w:tcPr>
          <w:p w14:paraId="6D1E6AC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bCs/>
                <w:kern w:val="21"/>
                <w:sz w:val="21"/>
                <w:szCs w:val="21"/>
                <w:highlight w:val="none"/>
              </w:rPr>
            </w:pPr>
            <w:r>
              <w:rPr>
                <w:rFonts w:hint="default" w:ascii="Times New Roman" w:hAnsi="Times New Roman"/>
                <w:bCs/>
                <w:kern w:val="21"/>
                <w:sz w:val="21"/>
                <w:szCs w:val="21"/>
                <w:highlight w:val="none"/>
              </w:rPr>
              <w:t>1</w:t>
            </w:r>
          </w:p>
        </w:tc>
        <w:tc>
          <w:tcPr>
            <w:tcW w:w="1946" w:type="pct"/>
            <w:vAlign w:val="center"/>
          </w:tcPr>
          <w:p w14:paraId="21F3E16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bCs/>
                <w:kern w:val="21"/>
                <w:sz w:val="21"/>
                <w:szCs w:val="21"/>
                <w:highlight w:val="none"/>
              </w:rPr>
            </w:pPr>
            <w:r>
              <w:rPr>
                <w:rFonts w:hint="eastAsia" w:ascii="Times New Roman" w:hAnsi="Times New Roman"/>
                <w:bCs/>
                <w:kern w:val="21"/>
                <w:sz w:val="21"/>
                <w:szCs w:val="21"/>
                <w:highlight w:val="none"/>
              </w:rPr>
              <w:t>大力推进源头替代。通过使用水性、粉末、高固体分、无溶剂、辐射固化等低VOCs含量的涂料，水性、辐射固化、植物基等低VOCs含量的油墨，水基、热熔、无溶剂、辐射固化、改性、生物降解等低VOCs含量的胶粘剂，以及低VOCs含量、低反应活性的清洗剂等，替代溶剂型涂料、油墨、胶粘剂、清洗剂等，从源头减少VOCs产生</w:t>
            </w:r>
          </w:p>
        </w:tc>
        <w:tc>
          <w:tcPr>
            <w:tcW w:w="2310" w:type="pct"/>
            <w:vAlign w:val="center"/>
          </w:tcPr>
          <w:p w14:paraId="7091435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bCs/>
                <w:kern w:val="21"/>
                <w:sz w:val="21"/>
                <w:szCs w:val="21"/>
                <w:highlight w:val="none"/>
              </w:rPr>
            </w:pPr>
            <w:r>
              <w:rPr>
                <w:rFonts w:hint="eastAsia" w:ascii="Times New Roman" w:hAnsi="Times New Roman"/>
                <w:bCs/>
                <w:kern w:val="21"/>
                <w:sz w:val="21"/>
                <w:szCs w:val="21"/>
                <w:highlight w:val="none"/>
              </w:rPr>
              <w:t>本项目涉及的原辅材料有封口胶，属于胶粘剂，根据产品质量说明书，其VOCs含量低于10%，当温度高于150</w:t>
            </w:r>
            <w:r>
              <w:rPr>
                <w:rFonts w:hint="eastAsia" w:ascii="宋体" w:hAnsi="宋体" w:cs="宋体"/>
                <w:bCs/>
                <w:kern w:val="21"/>
                <w:sz w:val="21"/>
                <w:szCs w:val="21"/>
                <w:highlight w:val="none"/>
              </w:rPr>
              <w:t>℃时，会产生甲醛蒸汽，在与湿气接触时，会产生甲基乙级酮肟，具有毒性，本项目涂胶工序为常温涂胶，生产工艺无需加热，温度不会达到</w:t>
            </w:r>
            <w:r>
              <w:rPr>
                <w:rFonts w:hint="eastAsia" w:ascii="Times New Roman" w:hAnsi="Times New Roman"/>
                <w:bCs/>
                <w:kern w:val="21"/>
                <w:sz w:val="21"/>
                <w:szCs w:val="21"/>
                <w:highlight w:val="none"/>
              </w:rPr>
              <w:t>150</w:t>
            </w:r>
            <w:r>
              <w:rPr>
                <w:rFonts w:hint="eastAsia" w:ascii="宋体" w:hAnsi="宋体" w:cs="宋体"/>
                <w:bCs/>
                <w:kern w:val="21"/>
                <w:sz w:val="21"/>
                <w:szCs w:val="21"/>
                <w:highlight w:val="none"/>
              </w:rPr>
              <w:t>℃，因此不会产生甲醛蒸汽，生产车间保持干燥通风，涂胶工序杜绝与湿气接触，因此不会产生甲基乙级酮肟</w:t>
            </w:r>
            <w:r>
              <w:rPr>
                <w:rFonts w:hint="eastAsia" w:ascii="Times New Roman" w:hAnsi="Times New Roman"/>
                <w:bCs/>
                <w:kern w:val="21"/>
                <w:sz w:val="21"/>
                <w:szCs w:val="21"/>
                <w:highlight w:val="none"/>
              </w:rPr>
              <w:t>。本项目所用清洗剂基本不含挥发性有机物，符合《清洗剂挥发性有机化合物含量限值》（GB38508-2020）表1水基清洗剂VOC含量限值要求，本项目采用优质的封口胶和清洗剂，从源头控制VOCs产生</w:t>
            </w:r>
          </w:p>
        </w:tc>
        <w:tc>
          <w:tcPr>
            <w:tcW w:w="415" w:type="pct"/>
            <w:vAlign w:val="center"/>
          </w:tcPr>
          <w:p w14:paraId="5FE5DD7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bCs/>
                <w:kern w:val="21"/>
                <w:sz w:val="21"/>
                <w:szCs w:val="21"/>
                <w:highlight w:val="none"/>
              </w:rPr>
            </w:pPr>
            <w:r>
              <w:rPr>
                <w:rFonts w:hint="default" w:ascii="Times New Roman" w:hAnsi="Times New Roman"/>
                <w:bCs/>
                <w:kern w:val="21"/>
                <w:sz w:val="21"/>
                <w:szCs w:val="21"/>
                <w:highlight w:val="none"/>
              </w:rPr>
              <w:t>符合</w:t>
            </w:r>
          </w:p>
        </w:tc>
      </w:tr>
      <w:tr w14:paraId="372A27D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935" w:hRule="atLeast"/>
        </w:trPr>
        <w:tc>
          <w:tcPr>
            <w:tcW w:w="327" w:type="pct"/>
            <w:vAlign w:val="center"/>
          </w:tcPr>
          <w:p w14:paraId="61659D2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bCs/>
                <w:kern w:val="21"/>
                <w:sz w:val="21"/>
                <w:szCs w:val="21"/>
                <w:highlight w:val="none"/>
              </w:rPr>
            </w:pPr>
            <w:r>
              <w:rPr>
                <w:rFonts w:hint="eastAsia" w:ascii="Times New Roman" w:hAnsi="Times New Roman"/>
                <w:bCs/>
                <w:kern w:val="21"/>
                <w:sz w:val="21"/>
                <w:szCs w:val="21"/>
                <w:highlight w:val="none"/>
              </w:rPr>
              <w:t>2</w:t>
            </w:r>
          </w:p>
        </w:tc>
        <w:tc>
          <w:tcPr>
            <w:tcW w:w="1946" w:type="pct"/>
            <w:vAlign w:val="center"/>
          </w:tcPr>
          <w:p w14:paraId="18E2D1D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bCs/>
                <w:kern w:val="21"/>
                <w:sz w:val="21"/>
                <w:szCs w:val="21"/>
                <w:highlight w:val="none"/>
              </w:rPr>
            </w:pPr>
            <w:r>
              <w:rPr>
                <w:rFonts w:hint="default" w:ascii="Times New Roman" w:hAnsi="Times New Roman"/>
                <w:bCs/>
                <w:kern w:val="21"/>
                <w:sz w:val="21"/>
                <w:szCs w:val="21"/>
                <w:highlight w:val="none"/>
              </w:rPr>
              <w:t>企业采用符合国家有关低VOCs含量产品规定的涂料、油墨、胶粘剂等，排放浓度稳定达标且排放速率、排放绩效等满足相关规定的，相应生产工序可不要求建设末端治理设施。使用的原辅材料VOCs含量（质量比）低于10%的工序，可不要求采取无组织排放收集措施</w:t>
            </w:r>
          </w:p>
        </w:tc>
        <w:tc>
          <w:tcPr>
            <w:tcW w:w="2310" w:type="pct"/>
            <w:vAlign w:val="center"/>
          </w:tcPr>
          <w:p w14:paraId="2A11CA6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bCs/>
                <w:kern w:val="21"/>
                <w:sz w:val="21"/>
                <w:szCs w:val="21"/>
                <w:highlight w:val="none"/>
              </w:rPr>
            </w:pPr>
            <w:r>
              <w:rPr>
                <w:rFonts w:hint="eastAsia" w:ascii="Times New Roman" w:hAnsi="Times New Roman"/>
                <w:bCs/>
                <w:kern w:val="21"/>
                <w:sz w:val="21"/>
                <w:szCs w:val="21"/>
                <w:highlight w:val="none"/>
              </w:rPr>
              <w:t>本项目涉及使用VOCs产品的原料有封口胶，属于</w:t>
            </w:r>
            <w:r>
              <w:rPr>
                <w:rFonts w:hint="default" w:ascii="Times New Roman" w:hAnsi="Times New Roman"/>
                <w:bCs/>
                <w:kern w:val="21"/>
                <w:sz w:val="21"/>
                <w:szCs w:val="21"/>
                <w:highlight w:val="none"/>
              </w:rPr>
              <w:t>胶粘剂</w:t>
            </w:r>
            <w:r>
              <w:rPr>
                <w:rFonts w:hint="eastAsia" w:ascii="Times New Roman" w:hAnsi="Times New Roman"/>
                <w:bCs/>
                <w:kern w:val="21"/>
                <w:sz w:val="21"/>
                <w:szCs w:val="21"/>
                <w:highlight w:val="none"/>
              </w:rPr>
              <w:t>，根据产品质量说明说中的结果，封口胶中有机物挥发性含量为52.5g/L（占比为4.01%），VOCs质量占比均低于10%；根据封口胶检测结果符合《胶粘剂挥发性有机化合物限量》（GB33372-2020）限值要求，属于低</w:t>
            </w:r>
            <w:r>
              <w:rPr>
                <w:rFonts w:hint="default" w:ascii="Times New Roman" w:hAnsi="Times New Roman"/>
                <w:bCs/>
                <w:kern w:val="21"/>
                <w:sz w:val="21"/>
                <w:szCs w:val="21"/>
                <w:highlight w:val="none"/>
              </w:rPr>
              <w:t>VOCs含量产品</w:t>
            </w:r>
            <w:r>
              <w:rPr>
                <w:rFonts w:hint="eastAsia" w:ascii="Times New Roman" w:hAnsi="Times New Roman"/>
                <w:bCs/>
                <w:kern w:val="21"/>
                <w:sz w:val="21"/>
                <w:szCs w:val="21"/>
                <w:highlight w:val="none"/>
              </w:rPr>
              <w:t>。因此涂胶工序未设置有机废气收集治理设施，采取无组织排放</w:t>
            </w:r>
          </w:p>
        </w:tc>
        <w:tc>
          <w:tcPr>
            <w:tcW w:w="415" w:type="pct"/>
            <w:vAlign w:val="center"/>
          </w:tcPr>
          <w:p w14:paraId="6765327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bCs/>
                <w:kern w:val="21"/>
                <w:sz w:val="21"/>
                <w:szCs w:val="21"/>
                <w:highlight w:val="none"/>
              </w:rPr>
            </w:pPr>
            <w:r>
              <w:rPr>
                <w:rFonts w:hint="default" w:ascii="Times New Roman" w:hAnsi="Times New Roman"/>
                <w:bCs/>
                <w:kern w:val="21"/>
                <w:sz w:val="21"/>
                <w:szCs w:val="21"/>
                <w:highlight w:val="none"/>
              </w:rPr>
              <w:t>符合</w:t>
            </w:r>
          </w:p>
        </w:tc>
      </w:tr>
      <w:tr w14:paraId="306042E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60" w:hRule="atLeast"/>
        </w:trPr>
        <w:tc>
          <w:tcPr>
            <w:tcW w:w="327" w:type="pct"/>
            <w:vAlign w:val="center"/>
          </w:tcPr>
          <w:p w14:paraId="530C08C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bCs/>
                <w:kern w:val="21"/>
                <w:sz w:val="21"/>
                <w:szCs w:val="21"/>
                <w:highlight w:val="none"/>
              </w:rPr>
            </w:pPr>
            <w:r>
              <w:rPr>
                <w:rFonts w:hint="eastAsia" w:ascii="Times New Roman" w:hAnsi="Times New Roman"/>
                <w:bCs/>
                <w:kern w:val="21"/>
                <w:sz w:val="21"/>
                <w:szCs w:val="21"/>
                <w:highlight w:val="none"/>
              </w:rPr>
              <w:t>3</w:t>
            </w:r>
          </w:p>
        </w:tc>
        <w:tc>
          <w:tcPr>
            <w:tcW w:w="1946" w:type="pct"/>
            <w:vAlign w:val="center"/>
          </w:tcPr>
          <w:p w14:paraId="0D87FA2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bCs/>
                <w:kern w:val="21"/>
                <w:sz w:val="21"/>
                <w:szCs w:val="21"/>
                <w:highlight w:val="none"/>
              </w:rPr>
            </w:pPr>
            <w:r>
              <w:rPr>
                <w:rFonts w:hint="eastAsia" w:ascii="Times New Roman" w:hAnsi="Times New Roman"/>
                <w:bCs/>
                <w:kern w:val="21"/>
                <w:sz w:val="21"/>
                <w:szCs w:val="21"/>
                <w:highlight w:val="none"/>
              </w:rPr>
              <w:t>全面加强无组织排放控制。重点对含VOCs物料（包括含VOCs原辅材料、含VOCs产品、含VOCs废料以及有机聚合物材料等）储存、转移和输送、设备与管线组件泄漏、敞开液面逸散以及工艺过程等五类排放源实施管控，通过采取设备与场所密闭、工艺改进、废气有效收集等措施，削减VOCs无组织排放。</w:t>
            </w:r>
          </w:p>
        </w:tc>
        <w:tc>
          <w:tcPr>
            <w:tcW w:w="2310" w:type="pct"/>
            <w:vAlign w:val="center"/>
          </w:tcPr>
          <w:p w14:paraId="3E9A671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bCs/>
                <w:kern w:val="21"/>
                <w:sz w:val="21"/>
                <w:szCs w:val="21"/>
                <w:highlight w:val="none"/>
              </w:rPr>
            </w:pPr>
            <w:r>
              <w:rPr>
                <w:rFonts w:hint="eastAsia" w:ascii="Times New Roman" w:hAnsi="Times New Roman"/>
                <w:bCs/>
                <w:kern w:val="21"/>
                <w:sz w:val="21"/>
                <w:szCs w:val="21"/>
                <w:highlight w:val="none"/>
                <w:lang w:val="en-US" w:eastAsia="zh-CN"/>
              </w:rPr>
              <w:t>机械加工工序设置2套油雾净化装置，产生的油雾废气分别经油雾净化装置处理后，经集气罩收集，由2根新建23m排气筒排放；热试验间及装配区域产生的尾气采用三元催化器进行处理，后由1根新建23m排气筒排放；含油金属屑加工产生的油雾、挥发性有机物（以非甲烷总烃计）、颗粒物及臭气浓度通过油雾净化装置+活性炭吸附装置处理后由1根新建23m排气筒排放</w:t>
            </w:r>
            <w:r>
              <w:rPr>
                <w:rFonts w:hint="eastAsia" w:ascii="Times New Roman" w:hAnsi="Times New Roman"/>
                <w:bCs/>
                <w:kern w:val="21"/>
                <w:sz w:val="21"/>
                <w:szCs w:val="21"/>
                <w:highlight w:val="none"/>
              </w:rPr>
              <w:t>；封口胶采取密闭容器储存，涂胶工序产生的少量挥发废气在车间内无组织排放</w:t>
            </w:r>
          </w:p>
        </w:tc>
        <w:tc>
          <w:tcPr>
            <w:tcW w:w="415" w:type="pct"/>
            <w:vAlign w:val="center"/>
          </w:tcPr>
          <w:p w14:paraId="42326F6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bCs/>
                <w:kern w:val="21"/>
                <w:sz w:val="21"/>
                <w:szCs w:val="21"/>
                <w:highlight w:val="none"/>
              </w:rPr>
            </w:pPr>
            <w:r>
              <w:rPr>
                <w:rFonts w:hint="default" w:ascii="Times New Roman" w:hAnsi="Times New Roman"/>
                <w:bCs/>
                <w:kern w:val="21"/>
                <w:sz w:val="21"/>
                <w:szCs w:val="21"/>
                <w:highlight w:val="none"/>
              </w:rPr>
              <w:t>符合</w:t>
            </w:r>
          </w:p>
        </w:tc>
      </w:tr>
    </w:tbl>
    <w:p w14:paraId="26209976">
      <w:pPr>
        <w:autoSpaceDE w:val="0"/>
        <w:autoSpaceDN w:val="0"/>
        <w:spacing w:line="360" w:lineRule="auto"/>
        <w:ind w:firstLine="480" w:firstLineChars="200"/>
        <w:jc w:val="left"/>
        <w:rPr>
          <w:rFonts w:hint="default" w:ascii="Times New Roman" w:hAnsi="Times New Roman" w:cs="Times New Roman" w:eastAsiaTheme="minorEastAsia"/>
          <w:spacing w:val="0"/>
          <w:kern w:val="0"/>
          <w:position w:val="0"/>
          <w:sz w:val="24"/>
          <w:szCs w:val="21"/>
          <w:highlight w:val="none"/>
        </w:rPr>
      </w:pPr>
      <w:r>
        <w:rPr>
          <w:rFonts w:hint="default" w:ascii="Times New Roman" w:hAnsi="Times New Roman" w:cs="Times New Roman" w:eastAsiaTheme="minorEastAsia"/>
          <w:spacing w:val="0"/>
          <w:kern w:val="0"/>
          <w:position w:val="0"/>
          <w:sz w:val="24"/>
          <w:szCs w:val="21"/>
          <w:highlight w:val="none"/>
        </w:rPr>
        <w:t>因此，由以上可知，本项目符合</w:t>
      </w:r>
      <w:r>
        <w:rPr>
          <w:rFonts w:hint="default" w:ascii="Times New Roman" w:hAnsi="Times New Roman" w:cs="Times New Roman" w:eastAsiaTheme="minorEastAsia"/>
          <w:bCs/>
          <w:spacing w:val="0"/>
          <w:kern w:val="0"/>
          <w:position w:val="0"/>
          <w:sz w:val="24"/>
          <w:szCs w:val="21"/>
          <w:highlight w:val="none"/>
        </w:rPr>
        <w:t>《重点行业挥发性有机物综合治理方案》（环大气【2019】53号）的要求</w:t>
      </w:r>
      <w:r>
        <w:rPr>
          <w:rFonts w:hint="default" w:ascii="Times New Roman" w:hAnsi="Times New Roman" w:cs="Times New Roman" w:eastAsiaTheme="minorEastAsia"/>
          <w:spacing w:val="0"/>
          <w:kern w:val="0"/>
          <w:position w:val="0"/>
          <w:sz w:val="24"/>
          <w:szCs w:val="21"/>
          <w:highlight w:val="none"/>
        </w:rPr>
        <w:t>。</w:t>
      </w:r>
    </w:p>
    <w:p w14:paraId="36CB0B4C">
      <w:pPr>
        <w:pStyle w:val="4"/>
        <w:bidi w:val="0"/>
        <w:rPr>
          <w:rFonts w:hint="default"/>
          <w:highlight w:val="none"/>
        </w:rPr>
      </w:pPr>
      <w:bookmarkStart w:id="72" w:name="_Toc28267"/>
      <w:bookmarkStart w:id="73" w:name="_Toc24074"/>
      <w:r>
        <w:rPr>
          <w:rFonts w:hint="default"/>
          <w:highlight w:val="none"/>
        </w:rPr>
        <w:t>1.4.</w:t>
      </w:r>
      <w:r>
        <w:rPr>
          <w:rFonts w:hint="eastAsia"/>
          <w:highlight w:val="none"/>
          <w:lang w:val="en-US" w:eastAsia="zh-CN"/>
        </w:rPr>
        <w:t>11</w:t>
      </w:r>
      <w:r>
        <w:rPr>
          <w:rFonts w:hint="default"/>
          <w:highlight w:val="none"/>
        </w:rPr>
        <w:t>与《</w:t>
      </w:r>
      <w:r>
        <w:rPr>
          <w:rFonts w:hint="eastAsia"/>
          <w:highlight w:val="none"/>
        </w:rPr>
        <w:t>强化危险废物监管和利用处置能力改革实施方案</w:t>
      </w:r>
      <w:r>
        <w:rPr>
          <w:rFonts w:hint="default"/>
          <w:highlight w:val="none"/>
        </w:rPr>
        <w:t>》（</w:t>
      </w:r>
      <w:r>
        <w:rPr>
          <w:rFonts w:hint="eastAsia"/>
          <w:highlight w:val="none"/>
          <w:lang w:val="en-US" w:eastAsia="zh-CN"/>
        </w:rPr>
        <w:t>国办函[2021]47号</w:t>
      </w:r>
      <w:r>
        <w:rPr>
          <w:rFonts w:hint="default"/>
          <w:highlight w:val="none"/>
        </w:rPr>
        <w:t>）符合性分析</w:t>
      </w:r>
      <w:bookmarkEnd w:id="72"/>
    </w:p>
    <w:p w14:paraId="02A2316E">
      <w:pPr>
        <w:pStyle w:val="7"/>
        <w:bidi w:val="0"/>
        <w:rPr>
          <w:rFonts w:hint="default"/>
          <w:highlight w:val="none"/>
        </w:rPr>
      </w:pPr>
      <w:r>
        <w:rPr>
          <w:rFonts w:hint="default"/>
          <w:highlight w:val="none"/>
        </w:rPr>
        <w:t>表1-4-</w:t>
      </w:r>
      <w:r>
        <w:rPr>
          <w:rFonts w:hint="eastAsia"/>
          <w:highlight w:val="none"/>
          <w:lang w:val="en-US" w:eastAsia="zh-CN"/>
        </w:rPr>
        <w:t>8与</w:t>
      </w:r>
      <w:r>
        <w:rPr>
          <w:rFonts w:hint="default"/>
          <w:highlight w:val="none"/>
        </w:rPr>
        <w:t>《</w:t>
      </w:r>
      <w:r>
        <w:rPr>
          <w:rFonts w:hint="eastAsia"/>
          <w:highlight w:val="none"/>
        </w:rPr>
        <w:t>强化危险废物监管和利用处置能力改革实施方案</w:t>
      </w:r>
      <w:r>
        <w:rPr>
          <w:rFonts w:hint="default"/>
          <w:highlight w:val="none"/>
        </w:rPr>
        <w:t>》（</w:t>
      </w:r>
      <w:r>
        <w:rPr>
          <w:rFonts w:hint="eastAsia"/>
          <w:highlight w:val="none"/>
          <w:lang w:val="en-US" w:eastAsia="zh-CN"/>
        </w:rPr>
        <w:t>国办函[2021]47号</w:t>
      </w:r>
      <w:r>
        <w:rPr>
          <w:rFonts w:hint="default"/>
          <w:highlight w:val="none"/>
        </w:rPr>
        <w:t>）符合性分析</w:t>
      </w:r>
    </w:p>
    <w:tbl>
      <w:tblPr>
        <w:tblStyle w:val="752"/>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4158"/>
        <w:gridCol w:w="3286"/>
        <w:gridCol w:w="1078"/>
      </w:tblGrid>
      <w:tr w14:paraId="0B53AE0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2439" w:type="pct"/>
            <w:vAlign w:val="center"/>
          </w:tcPr>
          <w:p w14:paraId="493806EF">
            <w:pPr>
              <w:pStyle w:val="8"/>
              <w:suppressLineNumbers w:val="0"/>
              <w:bidi w:val="0"/>
              <w:spacing w:before="0" w:beforeAutospacing="0" w:after="0" w:afterAutospacing="0"/>
              <w:ind w:left="0" w:right="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w:t>
            </w:r>
            <w:r>
              <w:rPr>
                <w:rFonts w:hint="eastAsia" w:ascii="Times New Roman" w:hAnsi="Times New Roman" w:eastAsia="宋体" w:cs="Times New Roman"/>
                <w:highlight w:val="none"/>
                <w:lang w:val="en-US" w:eastAsia="zh-CN"/>
              </w:rPr>
              <w:t>强化危险废物监管和利用处置能力改革实施方案</w:t>
            </w:r>
            <w:r>
              <w:rPr>
                <w:rFonts w:hint="default" w:ascii="Times New Roman" w:hAnsi="Times New Roman" w:eastAsia="宋体" w:cs="Times New Roman"/>
                <w:highlight w:val="none"/>
                <w:lang w:val="en-US" w:eastAsia="zh-CN"/>
              </w:rPr>
              <w:t>》（</w:t>
            </w:r>
            <w:r>
              <w:rPr>
                <w:rFonts w:hint="eastAsia" w:ascii="Times New Roman" w:hAnsi="Times New Roman" w:eastAsia="宋体" w:cs="Times New Roman"/>
                <w:highlight w:val="none"/>
                <w:lang w:val="en-US" w:eastAsia="zh-CN"/>
              </w:rPr>
              <w:t>国办函[2021]47号</w:t>
            </w:r>
            <w:r>
              <w:rPr>
                <w:rFonts w:hint="default" w:ascii="Times New Roman" w:hAnsi="Times New Roman" w:eastAsia="宋体" w:cs="Times New Roman"/>
                <w:highlight w:val="none"/>
                <w:lang w:val="en-US" w:eastAsia="zh-CN"/>
              </w:rPr>
              <w:t>）</w:t>
            </w:r>
          </w:p>
        </w:tc>
        <w:tc>
          <w:tcPr>
            <w:tcW w:w="1927" w:type="pct"/>
            <w:vAlign w:val="center"/>
          </w:tcPr>
          <w:p w14:paraId="4A477CE1">
            <w:pPr>
              <w:pStyle w:val="8"/>
              <w:suppressLineNumbers w:val="0"/>
              <w:bidi w:val="0"/>
              <w:spacing w:before="0" w:beforeAutospacing="0" w:after="0" w:afterAutospacing="0"/>
              <w:ind w:left="0" w:right="0"/>
              <w:rPr>
                <w:rFonts w:hint="default"/>
                <w:highlight w:val="none"/>
              </w:rPr>
            </w:pPr>
            <w:r>
              <w:rPr>
                <w:rFonts w:hint="default"/>
                <w:highlight w:val="none"/>
              </w:rPr>
              <w:t>本项目</w:t>
            </w:r>
          </w:p>
        </w:tc>
        <w:tc>
          <w:tcPr>
            <w:tcW w:w="632" w:type="pct"/>
            <w:vAlign w:val="center"/>
          </w:tcPr>
          <w:p w14:paraId="1B39DCFD">
            <w:pPr>
              <w:pStyle w:val="8"/>
              <w:suppressLineNumbers w:val="0"/>
              <w:bidi w:val="0"/>
              <w:spacing w:before="0" w:beforeAutospacing="0" w:after="0" w:afterAutospacing="0"/>
              <w:ind w:left="0" w:right="0"/>
              <w:rPr>
                <w:rFonts w:hint="default"/>
                <w:highlight w:val="none"/>
              </w:rPr>
            </w:pPr>
            <w:r>
              <w:rPr>
                <w:rFonts w:hint="default"/>
                <w:highlight w:val="none"/>
              </w:rPr>
              <w:t>符合性</w:t>
            </w:r>
          </w:p>
        </w:tc>
      </w:tr>
      <w:tr w14:paraId="0835FC5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2439" w:type="pct"/>
            <w:vAlign w:val="center"/>
          </w:tcPr>
          <w:p w14:paraId="71E6AC07">
            <w:pPr>
              <w:pStyle w:val="8"/>
              <w:suppressLineNumbers w:val="0"/>
              <w:bidi w:val="0"/>
              <w:spacing w:before="0" w:beforeAutospacing="0" w:after="0" w:afterAutospacing="0"/>
              <w:ind w:left="0" w:right="0"/>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危险废物产生、收集、贮存、运输、利用、处置企业（以下统称危险废物相关企业）的主要负责人（法定代表人、实际控制人）是危险废物污染环境防治和安全生产第一责任人，严格落实危险废物污染环境防治和安全生产法律法规制度。危险废物相关企业依法及时公开危险废物污染环境防治信息，依法依规投保环境污染责任保险。</w:t>
            </w:r>
          </w:p>
        </w:tc>
        <w:tc>
          <w:tcPr>
            <w:tcW w:w="1927" w:type="pct"/>
            <w:vAlign w:val="center"/>
          </w:tcPr>
          <w:p w14:paraId="21A30575">
            <w:pPr>
              <w:pStyle w:val="8"/>
              <w:suppressLineNumbers w:val="0"/>
              <w:bidi w:val="0"/>
              <w:spacing w:before="0" w:beforeAutospacing="0" w:after="0" w:afterAutospacing="0"/>
              <w:ind w:left="0" w:right="0"/>
              <w:rPr>
                <w:rFonts w:hint="eastAsia" w:eastAsia="宋体"/>
                <w:highlight w:val="none"/>
                <w:lang w:val="en-US" w:eastAsia="zh-CN"/>
              </w:rPr>
            </w:pPr>
            <w:r>
              <w:rPr>
                <w:rFonts w:hint="default"/>
                <w:highlight w:val="none"/>
              </w:rPr>
              <w:t>本项目</w:t>
            </w:r>
            <w:r>
              <w:rPr>
                <w:rFonts w:hint="eastAsia"/>
                <w:highlight w:val="none"/>
                <w:lang w:val="en-US" w:eastAsia="zh-CN"/>
              </w:rPr>
              <w:t>将</w:t>
            </w:r>
            <w:r>
              <w:rPr>
                <w:rFonts w:hint="eastAsia" w:ascii="Times New Roman" w:hAnsi="Times New Roman" w:eastAsia="宋体" w:cs="Times New Roman"/>
                <w:highlight w:val="none"/>
                <w:lang w:val="en-US" w:eastAsia="zh-CN"/>
              </w:rPr>
              <w:t>严格落实危险废物污染环境防治和安全生产法律法规制度；及时公开危险废物污染环境防治信息，依法依规投保环境污染责任保险。</w:t>
            </w:r>
          </w:p>
        </w:tc>
        <w:tc>
          <w:tcPr>
            <w:tcW w:w="632" w:type="pct"/>
            <w:vAlign w:val="center"/>
          </w:tcPr>
          <w:p w14:paraId="1152D7E9">
            <w:pPr>
              <w:pStyle w:val="8"/>
              <w:suppressLineNumbers w:val="0"/>
              <w:bidi w:val="0"/>
              <w:spacing w:before="0" w:beforeAutospacing="0" w:after="0" w:afterAutospacing="0"/>
              <w:ind w:left="0" w:right="0"/>
              <w:rPr>
                <w:rFonts w:hint="default"/>
                <w:highlight w:val="none"/>
              </w:rPr>
            </w:pPr>
            <w:r>
              <w:rPr>
                <w:rFonts w:hint="default"/>
                <w:highlight w:val="none"/>
              </w:rPr>
              <w:t>符合</w:t>
            </w:r>
          </w:p>
        </w:tc>
      </w:tr>
      <w:tr w14:paraId="39A52B3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2439" w:type="pct"/>
            <w:vAlign w:val="center"/>
          </w:tcPr>
          <w:p w14:paraId="1BD050EF">
            <w:pPr>
              <w:pStyle w:val="8"/>
              <w:suppressLineNumbers w:val="0"/>
              <w:bidi w:val="0"/>
              <w:spacing w:before="0" w:beforeAutospacing="0" w:after="0" w:afterAutospacing="0"/>
              <w:ind w:left="0" w:right="0"/>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新改扩建项目要依法开展环境影响评价，严格危险废物污染环境防治设施“三同时”管理。依法落实工业危险废物排污许可制度。推进危险废物规范化环境管理。</w:t>
            </w:r>
          </w:p>
        </w:tc>
        <w:tc>
          <w:tcPr>
            <w:tcW w:w="1927" w:type="pct"/>
            <w:vAlign w:val="center"/>
          </w:tcPr>
          <w:p w14:paraId="21C7253C">
            <w:pPr>
              <w:pStyle w:val="8"/>
              <w:suppressLineNumbers w:val="0"/>
              <w:bidi w:val="0"/>
              <w:spacing w:before="0" w:beforeAutospacing="0" w:after="0" w:afterAutospacing="0"/>
              <w:ind w:left="0" w:right="0"/>
              <w:rPr>
                <w:rFonts w:hint="default"/>
                <w:highlight w:val="none"/>
                <w:lang w:val="en-US"/>
              </w:rPr>
            </w:pPr>
            <w:r>
              <w:rPr>
                <w:rFonts w:hint="default"/>
                <w:highlight w:val="none"/>
              </w:rPr>
              <w:t>本项目</w:t>
            </w:r>
            <w:r>
              <w:rPr>
                <w:rFonts w:hint="eastAsia"/>
                <w:highlight w:val="none"/>
                <w:lang w:val="en-US" w:eastAsia="zh-CN"/>
              </w:rPr>
              <w:t>正在依法开展环境影响评价，本次评价已制定“三同时”计划，将严格按其执行；本项目建成后将依法申领排污许可。</w:t>
            </w:r>
          </w:p>
        </w:tc>
        <w:tc>
          <w:tcPr>
            <w:tcW w:w="632" w:type="pct"/>
            <w:vAlign w:val="center"/>
          </w:tcPr>
          <w:p w14:paraId="4C82BD43">
            <w:pPr>
              <w:pStyle w:val="8"/>
              <w:suppressLineNumbers w:val="0"/>
              <w:bidi w:val="0"/>
              <w:spacing w:before="0" w:beforeAutospacing="0" w:after="0" w:afterAutospacing="0"/>
              <w:ind w:left="0" w:right="0"/>
              <w:rPr>
                <w:rFonts w:hint="default"/>
                <w:highlight w:val="none"/>
              </w:rPr>
            </w:pPr>
            <w:r>
              <w:rPr>
                <w:rFonts w:hint="default"/>
                <w:highlight w:val="none"/>
              </w:rPr>
              <w:t>符合</w:t>
            </w:r>
          </w:p>
        </w:tc>
      </w:tr>
      <w:tr w14:paraId="3FECEAE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2439" w:type="pct"/>
            <w:vAlign w:val="center"/>
          </w:tcPr>
          <w:p w14:paraId="40C42F87">
            <w:pPr>
              <w:pStyle w:val="8"/>
              <w:suppressLineNumbers w:val="0"/>
              <w:bidi w:val="0"/>
              <w:spacing w:before="0" w:beforeAutospacing="0" w:after="0" w:afterAutospacing="0"/>
              <w:ind w:left="0" w:right="0"/>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支持研发、推广减少工业危险废物产生量和降低工业危险废物危害性的生产工艺和设备，促进从源头上减少危险废物产生量、降低危害性。</w:t>
            </w:r>
          </w:p>
        </w:tc>
        <w:tc>
          <w:tcPr>
            <w:tcW w:w="1927" w:type="pct"/>
            <w:vAlign w:val="center"/>
          </w:tcPr>
          <w:p w14:paraId="683C6C3E">
            <w:pPr>
              <w:pStyle w:val="8"/>
              <w:suppressLineNumbers w:val="0"/>
              <w:bidi w:val="0"/>
              <w:spacing w:before="0" w:beforeAutospacing="0" w:after="0" w:afterAutospacing="0"/>
              <w:ind w:left="0" w:right="0"/>
              <w:rPr>
                <w:rFonts w:hint="eastAsia" w:eastAsia="宋体"/>
                <w:highlight w:val="none"/>
                <w:lang w:eastAsia="zh-CN"/>
              </w:rPr>
            </w:pPr>
            <w:r>
              <w:rPr>
                <w:rFonts w:hint="default"/>
                <w:highlight w:val="none"/>
              </w:rPr>
              <w:t>本项目</w:t>
            </w:r>
            <w:r>
              <w:rPr>
                <w:rFonts w:hint="eastAsia"/>
                <w:highlight w:val="none"/>
                <w:lang w:val="en-US" w:eastAsia="zh-CN"/>
              </w:rPr>
              <w:t>为危险废物综合利用项目，属于</w:t>
            </w:r>
            <w:r>
              <w:rPr>
                <w:rFonts w:hint="eastAsia" w:ascii="Times New Roman" w:hAnsi="Times New Roman" w:eastAsia="宋体" w:cs="Times New Roman"/>
                <w:highlight w:val="none"/>
                <w:lang w:val="en-US" w:eastAsia="zh-CN"/>
              </w:rPr>
              <w:t>从源头上减少危险废物产生量、降低危害性</w:t>
            </w:r>
            <w:r>
              <w:rPr>
                <w:rFonts w:hint="eastAsia"/>
                <w:highlight w:val="none"/>
                <w:lang w:val="en-US" w:eastAsia="zh-CN"/>
              </w:rPr>
              <w:t>。</w:t>
            </w:r>
          </w:p>
        </w:tc>
        <w:tc>
          <w:tcPr>
            <w:tcW w:w="632" w:type="pct"/>
            <w:vAlign w:val="center"/>
          </w:tcPr>
          <w:p w14:paraId="633D094B">
            <w:pPr>
              <w:pStyle w:val="8"/>
              <w:suppressLineNumbers w:val="0"/>
              <w:bidi w:val="0"/>
              <w:spacing w:before="0" w:beforeAutospacing="0" w:after="0" w:afterAutospacing="0"/>
              <w:ind w:left="0" w:right="0"/>
              <w:rPr>
                <w:rFonts w:hint="default"/>
                <w:highlight w:val="none"/>
              </w:rPr>
            </w:pPr>
            <w:r>
              <w:rPr>
                <w:rFonts w:hint="default"/>
                <w:highlight w:val="none"/>
              </w:rPr>
              <w:t>符合</w:t>
            </w:r>
          </w:p>
        </w:tc>
      </w:tr>
      <w:tr w14:paraId="06262DC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2439" w:type="pct"/>
            <w:vAlign w:val="center"/>
          </w:tcPr>
          <w:p w14:paraId="4E490893">
            <w:pPr>
              <w:pStyle w:val="8"/>
              <w:suppressLineNumbers w:val="0"/>
              <w:bidi w:val="0"/>
              <w:spacing w:before="0" w:beforeAutospacing="0" w:after="0" w:afterAutospacing="0"/>
              <w:ind w:left="0" w:right="0"/>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建立健全固体废物综合利用标准体系，使用固体废物综合利用产物应当符合国家规定的用途和标准。</w:t>
            </w:r>
          </w:p>
        </w:tc>
        <w:tc>
          <w:tcPr>
            <w:tcW w:w="1927" w:type="pct"/>
            <w:vAlign w:val="center"/>
          </w:tcPr>
          <w:p w14:paraId="4D625313">
            <w:pPr>
              <w:pStyle w:val="8"/>
              <w:suppressLineNumbers w:val="0"/>
              <w:bidi w:val="0"/>
              <w:spacing w:before="0" w:beforeAutospacing="0" w:after="0" w:afterAutospacing="0"/>
              <w:ind w:left="0" w:right="0"/>
              <w:rPr>
                <w:rFonts w:hint="default" w:eastAsia="宋体"/>
                <w:highlight w:val="none"/>
                <w:lang w:val="en-US" w:eastAsia="zh-CN"/>
              </w:rPr>
            </w:pPr>
            <w:r>
              <w:rPr>
                <w:rFonts w:hint="eastAsia"/>
                <w:highlight w:val="none"/>
                <w:lang w:val="en-US" w:eastAsia="zh-CN"/>
              </w:rPr>
              <w:t>本项目产品金属屑执行</w:t>
            </w:r>
            <w:r>
              <w:rPr>
                <w:rFonts w:hint="eastAsia" w:ascii="Times New Roman" w:hAnsi="Times New Roman" w:eastAsia="宋体" w:cs="Times New Roman"/>
                <w:highlight w:val="none"/>
                <w:lang w:val="en-US" w:eastAsia="zh-CN"/>
              </w:rPr>
              <w:t>《钢铁渣粉》</w:t>
            </w:r>
            <w:r>
              <w:rPr>
                <w:rFonts w:hint="eastAsia" w:cs="Times New Roman"/>
                <w:highlight w:val="none"/>
                <w:lang w:val="en-US" w:eastAsia="zh-CN"/>
              </w:rPr>
              <w:t>（</w:t>
            </w:r>
            <w:r>
              <w:rPr>
                <w:rFonts w:hint="eastAsia" w:ascii="Times New Roman" w:hAnsi="Times New Roman" w:eastAsia="宋体" w:cs="Times New Roman"/>
                <w:highlight w:val="none"/>
                <w:lang w:val="en-US" w:eastAsia="zh-CN"/>
              </w:rPr>
              <w:t>GB/T28293</w:t>
            </w:r>
            <w:r>
              <w:rPr>
                <w:rFonts w:hint="eastAsia" w:cs="Times New Roman"/>
                <w:highlight w:val="none"/>
                <w:lang w:val="en-US" w:eastAsia="zh-CN"/>
              </w:rPr>
              <w:t>）及《回收铝》（GB/T13586-2021）标准</w:t>
            </w:r>
          </w:p>
        </w:tc>
        <w:tc>
          <w:tcPr>
            <w:tcW w:w="632" w:type="pct"/>
            <w:vAlign w:val="center"/>
          </w:tcPr>
          <w:p w14:paraId="7199DDC6">
            <w:pPr>
              <w:pStyle w:val="8"/>
              <w:suppressLineNumbers w:val="0"/>
              <w:bidi w:val="0"/>
              <w:spacing w:before="0" w:beforeAutospacing="0" w:after="0" w:afterAutospacing="0"/>
              <w:ind w:left="0" w:right="0"/>
              <w:rPr>
                <w:rFonts w:hint="default"/>
                <w:highlight w:val="none"/>
              </w:rPr>
            </w:pPr>
            <w:r>
              <w:rPr>
                <w:rFonts w:hint="default"/>
                <w:highlight w:val="none"/>
              </w:rPr>
              <w:t>符合</w:t>
            </w:r>
          </w:p>
        </w:tc>
      </w:tr>
    </w:tbl>
    <w:p w14:paraId="287517D9">
      <w:pPr>
        <w:pStyle w:val="4"/>
        <w:bidi w:val="0"/>
        <w:rPr>
          <w:rFonts w:hint="eastAsia"/>
          <w:highlight w:val="none"/>
          <w:lang w:eastAsia="zh-CN"/>
        </w:rPr>
      </w:pPr>
      <w:bookmarkStart w:id="74" w:name="_Toc1541"/>
      <w:r>
        <w:rPr>
          <w:highlight w:val="none"/>
        </w:rPr>
        <w:t>1.4.1</w:t>
      </w:r>
      <w:r>
        <w:rPr>
          <w:rFonts w:hint="eastAsia"/>
          <w:highlight w:val="none"/>
          <w:lang w:val="en-US" w:eastAsia="zh-CN"/>
        </w:rPr>
        <w:t>2</w:t>
      </w:r>
      <w:r>
        <w:rPr>
          <w:rFonts w:hint="eastAsia"/>
          <w:highlight w:val="none"/>
        </w:rPr>
        <w:t>与《黑龙江省土壤污染防治行动实施方案》符合性分析</w:t>
      </w:r>
      <w:bookmarkEnd w:id="73"/>
      <w:bookmarkEnd w:id="74"/>
    </w:p>
    <w:p w14:paraId="7C73F030">
      <w:pPr>
        <w:bidi w:val="0"/>
        <w:rPr>
          <w:rFonts w:hint="eastAsia" w:eastAsia="宋体"/>
          <w:highlight w:val="none"/>
          <w:lang w:eastAsia="zh-CN"/>
        </w:rPr>
      </w:pPr>
      <w:r>
        <w:rPr>
          <w:rFonts w:hint="eastAsia"/>
          <w:highlight w:val="none"/>
        </w:rPr>
        <w:t>在《黑龙江省土壤污染防治实施方案》强化空间布局管控中提出：加强规划区划和建设项目布局论证，严格执行相关行业企业布局选址要求；鼓励工业企业集聚发展，提高土地节约集约利用水平，减少土壤污染；结合区域功能定位和土壤污染防治需要，科学布局生活垃圾处理、危险废物处置、废旧资源再生利用等设施和场所，按集约化、产业化、利于监管原则，推进再生资源产业园区建设，合理确定畜禽养殖布局和规模。</w:t>
      </w:r>
    </w:p>
    <w:p w14:paraId="5D002CC6">
      <w:pPr>
        <w:bidi w:val="0"/>
        <w:rPr>
          <w:rFonts w:hint="eastAsia"/>
          <w:highlight w:val="none"/>
        </w:rPr>
      </w:pPr>
      <w:r>
        <w:rPr>
          <w:rFonts w:hint="eastAsia"/>
          <w:highlight w:val="none"/>
        </w:rPr>
        <w:t>本项目非重点行业落后产能，符合《黑龙江省土壤污染防治行动实施方案》中的要求。</w:t>
      </w:r>
    </w:p>
    <w:p w14:paraId="1CFA131D">
      <w:pPr>
        <w:pStyle w:val="4"/>
        <w:bidi w:val="0"/>
        <w:rPr>
          <w:rFonts w:hint="eastAsia"/>
          <w:highlight w:val="none"/>
          <w:lang w:eastAsia="zh-CN"/>
        </w:rPr>
      </w:pPr>
      <w:bookmarkStart w:id="75" w:name="_Toc6011"/>
      <w:bookmarkStart w:id="76" w:name="_Toc32563"/>
      <w:r>
        <w:rPr>
          <w:highlight w:val="none"/>
        </w:rPr>
        <w:t>1.4.1</w:t>
      </w:r>
      <w:r>
        <w:rPr>
          <w:rFonts w:hint="eastAsia"/>
          <w:highlight w:val="none"/>
          <w:lang w:val="en-US" w:eastAsia="zh-CN"/>
        </w:rPr>
        <w:t>3</w:t>
      </w:r>
      <w:r>
        <w:rPr>
          <w:rFonts w:hint="eastAsia"/>
          <w:highlight w:val="none"/>
        </w:rPr>
        <w:t>与《黑龙江省水污染防治条例》符合性分析</w:t>
      </w:r>
      <w:bookmarkEnd w:id="75"/>
      <w:bookmarkEnd w:id="76"/>
    </w:p>
    <w:p w14:paraId="72077B7B">
      <w:pPr>
        <w:bidi w:val="0"/>
        <w:rPr>
          <w:rFonts w:hint="eastAsia"/>
          <w:highlight w:val="none"/>
        </w:rPr>
      </w:pPr>
      <w:r>
        <w:rPr>
          <w:rFonts w:hint="eastAsia"/>
          <w:highlight w:val="none"/>
        </w:rPr>
        <w:t>第十一条新建、改建、扩建直接或者间接向水体排放污染物的建设项目和其他水上设施，应当依法进行环境影响评价，并符合国家、省、市（地）有关生态保护红线、环境质量底线、资源利用上线和生态环境准入清单的要求。</w:t>
      </w:r>
    </w:p>
    <w:p w14:paraId="33704E78">
      <w:pPr>
        <w:bidi w:val="0"/>
        <w:rPr>
          <w:rFonts w:hint="eastAsia"/>
          <w:highlight w:val="none"/>
          <w:lang w:eastAsia="zh-CN"/>
        </w:rPr>
      </w:pPr>
      <w:r>
        <w:rPr>
          <w:rFonts w:hint="eastAsia"/>
          <w:highlight w:val="none"/>
        </w:rPr>
        <w:t>第十三条依照法律规定实行排污许可管理的企业事业单位和其他生产经营者，应当依照《排污许可管理条例》规定申请取得排污许可证，按照排污许可证要求排放污染物；未取得排污许可证的，不得排放污染物</w:t>
      </w:r>
      <w:r>
        <w:rPr>
          <w:rFonts w:hint="eastAsia"/>
          <w:highlight w:val="none"/>
          <w:lang w:eastAsia="zh-CN"/>
        </w:rPr>
        <w:t>。</w:t>
      </w:r>
    </w:p>
    <w:p w14:paraId="13874B4E">
      <w:pPr>
        <w:bidi w:val="0"/>
        <w:rPr>
          <w:rFonts w:hint="eastAsia"/>
          <w:highlight w:val="none"/>
        </w:rPr>
      </w:pPr>
      <w:r>
        <w:rPr>
          <w:rFonts w:hint="eastAsia"/>
          <w:highlight w:val="none"/>
        </w:rPr>
        <w:t>第十六条实行排污许可管理的企业事业单位和其他生产经营者应当按照排污许可证要求和有关标准规范，自行监测排放的水污染物，保存原始监测记录，建立环境管理台账。原始监测记录、环境管理台账保存期限不少于五年。</w:t>
      </w:r>
    </w:p>
    <w:p w14:paraId="58B2EEAB">
      <w:pPr>
        <w:bidi w:val="0"/>
        <w:rPr>
          <w:rFonts w:hint="eastAsia" w:ascii="宋体" w:hAnsi="宋体" w:eastAsia="宋体" w:cs="宋体"/>
          <w:highlight w:val="none"/>
          <w:lang w:eastAsia="zh-CN"/>
        </w:rPr>
      </w:pPr>
      <w:r>
        <w:rPr>
          <w:rFonts w:hint="eastAsia"/>
          <w:highlight w:val="none"/>
        </w:rPr>
        <w:t>本项目</w:t>
      </w:r>
      <w:r>
        <w:rPr>
          <w:rFonts w:hint="eastAsia"/>
          <w:highlight w:val="none"/>
          <w:lang w:val="en-US" w:eastAsia="zh-CN"/>
        </w:rPr>
        <w:t>为改扩建项目，正在依法</w:t>
      </w:r>
      <w:r>
        <w:rPr>
          <w:rFonts w:hint="eastAsia"/>
          <w:highlight w:val="none"/>
        </w:rPr>
        <w:t>进行环境影响评价，符合国家、省、市（地）有关生态保护红线、环境质量底线、资源利用上线和生态环境准入清单的要求</w:t>
      </w:r>
      <w:r>
        <w:rPr>
          <w:rFonts w:hint="eastAsia"/>
          <w:highlight w:val="none"/>
          <w:lang w:eastAsia="zh-CN"/>
        </w:rPr>
        <w:t>。</w:t>
      </w:r>
      <w:r>
        <w:rPr>
          <w:rFonts w:hint="eastAsia"/>
          <w:highlight w:val="none"/>
          <w:lang w:val="en-US" w:eastAsia="zh-CN"/>
        </w:rPr>
        <w:t>厂区建成投产前将按照要求办理</w:t>
      </w:r>
      <w:r>
        <w:rPr>
          <w:rFonts w:hint="eastAsia"/>
          <w:highlight w:val="none"/>
        </w:rPr>
        <w:t>排污许可证</w:t>
      </w:r>
      <w:r>
        <w:rPr>
          <w:rFonts w:hint="eastAsia"/>
          <w:highlight w:val="none"/>
          <w:lang w:eastAsia="zh-CN"/>
        </w:rPr>
        <w:t>，</w:t>
      </w:r>
      <w:r>
        <w:rPr>
          <w:rFonts w:hint="eastAsia"/>
          <w:highlight w:val="none"/>
          <w:lang w:val="en-US" w:eastAsia="zh-CN"/>
        </w:rPr>
        <w:t>并进行自行监测</w:t>
      </w:r>
      <w:r>
        <w:rPr>
          <w:rFonts w:hint="eastAsia"/>
          <w:highlight w:val="none"/>
        </w:rPr>
        <w:t>；本项目厂区地面均硬化，</w:t>
      </w:r>
      <w:r>
        <w:rPr>
          <w:rFonts w:hint="eastAsia"/>
          <w:highlight w:val="none"/>
          <w:lang w:val="en-US" w:eastAsia="zh-CN"/>
        </w:rPr>
        <w:t>各厂房</w:t>
      </w:r>
      <w:r>
        <w:rPr>
          <w:rFonts w:hint="eastAsia"/>
          <w:highlight w:val="none"/>
        </w:rPr>
        <w:t>地面硬化</w:t>
      </w:r>
      <w:r>
        <w:rPr>
          <w:rFonts w:hint="eastAsia"/>
          <w:highlight w:val="none"/>
          <w:lang w:val="en-US" w:eastAsia="zh-CN"/>
        </w:rPr>
        <w:t>且</w:t>
      </w:r>
      <w:r>
        <w:rPr>
          <w:rFonts w:hint="eastAsia"/>
          <w:highlight w:val="none"/>
        </w:rPr>
        <w:t>采取严格的防渗、防腐措施，防止项目的危险废物对地表水及地下水的影响，符合《黑龙江省水污染防治条例》中要</w:t>
      </w:r>
      <w:r>
        <w:rPr>
          <w:rFonts w:hint="eastAsia" w:ascii="宋体" w:hAnsi="宋体" w:eastAsia="宋体" w:cs="宋体"/>
          <w:highlight w:val="none"/>
        </w:rPr>
        <w:t>求</w:t>
      </w:r>
      <w:r>
        <w:rPr>
          <w:rFonts w:hint="eastAsia" w:ascii="宋体" w:hAnsi="宋体" w:eastAsia="宋体" w:cs="宋体"/>
          <w:highlight w:val="none"/>
          <w:lang w:eastAsia="zh-CN"/>
        </w:rPr>
        <w:t>。</w:t>
      </w:r>
    </w:p>
    <w:p w14:paraId="4481F1A7">
      <w:pPr>
        <w:pStyle w:val="4"/>
        <w:bidi w:val="0"/>
        <w:rPr>
          <w:rFonts w:hint="eastAsia"/>
          <w:highlight w:val="none"/>
          <w:lang w:eastAsia="zh-CN"/>
        </w:rPr>
      </w:pPr>
      <w:bookmarkStart w:id="77" w:name="_Toc17141"/>
      <w:bookmarkStart w:id="78" w:name="_Toc26022"/>
      <w:r>
        <w:rPr>
          <w:highlight w:val="none"/>
        </w:rPr>
        <w:t>1.4.1</w:t>
      </w:r>
      <w:r>
        <w:rPr>
          <w:rFonts w:hint="eastAsia"/>
          <w:highlight w:val="none"/>
          <w:lang w:val="en-US" w:eastAsia="zh-CN"/>
        </w:rPr>
        <w:t>4</w:t>
      </w:r>
      <w:r>
        <w:rPr>
          <w:rFonts w:hint="eastAsia"/>
          <w:highlight w:val="none"/>
        </w:rPr>
        <w:t>与《黑龙江省城乡固体废物分类治理布局规划（2019-2035年）2021年修订版》符合性分析</w:t>
      </w:r>
      <w:bookmarkEnd w:id="77"/>
      <w:bookmarkEnd w:id="78"/>
    </w:p>
    <w:p w14:paraId="785E4CF8">
      <w:pPr>
        <w:bidi w:val="0"/>
        <w:rPr>
          <w:rFonts w:hint="eastAsia"/>
          <w:highlight w:val="none"/>
        </w:rPr>
      </w:pPr>
      <w:r>
        <w:rPr>
          <w:rFonts w:hint="eastAsia"/>
          <w:highlight w:val="none"/>
        </w:rPr>
        <w:t>《黑龙江省城乡固体废物分类治理布局规划（2019-2035年）》于2019年3月发布。规划范围为全省13个市（地）所辖行政区范围内的区、县（市）、镇、乡村，以及辖区内农场、林业局等。规划期限为2019-2035年，其中近期规划期限为2019-2020年；中期期限为2021-2025年；远期期限为2026-2035年。</w:t>
      </w:r>
    </w:p>
    <w:p w14:paraId="2237FABC">
      <w:pPr>
        <w:bidi w:val="0"/>
        <w:rPr>
          <w:rFonts w:hint="eastAsia"/>
          <w:highlight w:val="none"/>
        </w:rPr>
      </w:pPr>
      <w:r>
        <w:rPr>
          <w:rFonts w:hint="eastAsia"/>
          <w:highlight w:val="none"/>
        </w:rPr>
        <w:t>《规划》中第28条规划目标：</w:t>
      </w:r>
    </w:p>
    <w:p w14:paraId="5250B167">
      <w:pPr>
        <w:bidi w:val="0"/>
        <w:rPr>
          <w:rFonts w:hint="eastAsia"/>
          <w:highlight w:val="none"/>
        </w:rPr>
      </w:pPr>
      <w:r>
        <w:rPr>
          <w:rFonts w:hint="eastAsia"/>
          <w:highlight w:val="none"/>
        </w:rPr>
        <w:t>近期：危险废物处置能力新增32.79万吨/年，安全贮存、处置、利用率达到90%；</w:t>
      </w:r>
    </w:p>
    <w:p w14:paraId="6DCA437A">
      <w:pPr>
        <w:bidi w:val="0"/>
        <w:rPr>
          <w:rFonts w:hint="eastAsia"/>
          <w:highlight w:val="none"/>
        </w:rPr>
      </w:pPr>
      <w:r>
        <w:rPr>
          <w:rFonts w:hint="eastAsia"/>
          <w:highlight w:val="none"/>
        </w:rPr>
        <w:t>中期：危险废物处置能力新增27.26万吨/年，安全贮存、处置、利用率达到92%；</w:t>
      </w:r>
    </w:p>
    <w:p w14:paraId="711EAC49">
      <w:pPr>
        <w:bidi w:val="0"/>
        <w:rPr>
          <w:rFonts w:hint="eastAsia"/>
          <w:highlight w:val="none"/>
        </w:rPr>
      </w:pPr>
      <w:r>
        <w:rPr>
          <w:rFonts w:hint="eastAsia"/>
          <w:highlight w:val="none"/>
        </w:rPr>
        <w:t>远期：根据我省产业规模及产废情况，新增与之相适应的处置能力，危险废物安全贮存、处置、利用率达到95%。</w:t>
      </w:r>
    </w:p>
    <w:p w14:paraId="28823851">
      <w:pPr>
        <w:bidi w:val="0"/>
        <w:rPr>
          <w:rFonts w:hint="eastAsia"/>
          <w:highlight w:val="none"/>
        </w:rPr>
      </w:pPr>
      <w:r>
        <w:rPr>
          <w:rFonts w:hint="eastAsia"/>
          <w:highlight w:val="none"/>
        </w:rPr>
        <w:t>《规划》中第29条布局规划：</w:t>
      </w:r>
    </w:p>
    <w:p w14:paraId="67763899">
      <w:pPr>
        <w:bidi w:val="0"/>
        <w:rPr>
          <w:rFonts w:hint="eastAsia"/>
          <w:highlight w:val="none"/>
        </w:rPr>
      </w:pPr>
      <w:r>
        <w:rPr>
          <w:rFonts w:hint="eastAsia"/>
          <w:highlight w:val="none"/>
        </w:rPr>
        <w:t>近期在安达市、七台河市、泰来县新建危险废物处置中心，并扩建肇东市云水危险废物焚烧处置设施。新增处置能力32.79万吨/年，投资共13.9亿元。</w:t>
      </w:r>
    </w:p>
    <w:p w14:paraId="0DF423F6">
      <w:pPr>
        <w:bidi w:val="0"/>
        <w:rPr>
          <w:rFonts w:hint="eastAsia"/>
          <w:highlight w:val="none"/>
        </w:rPr>
      </w:pPr>
      <w:r>
        <w:rPr>
          <w:rFonts w:hint="eastAsia"/>
          <w:highlight w:val="none"/>
        </w:rPr>
        <w:t>中期建设哈尔滨市玉泉危险废物综合处置中心、富锦市农药化肥包装物处理厂、扩建肇东市云水危险废物填埋处置能力和扩建安达市危险废物综合处置中心（二期）。新增处置能力27.26万吨/年，投资11.3亿元。</w:t>
      </w:r>
    </w:p>
    <w:p w14:paraId="74A70992">
      <w:pPr>
        <w:bidi w:val="0"/>
        <w:rPr>
          <w:rFonts w:hint="eastAsia"/>
          <w:highlight w:val="none"/>
        </w:rPr>
      </w:pPr>
      <w:r>
        <w:rPr>
          <w:rFonts w:hint="eastAsia"/>
          <w:highlight w:val="none"/>
        </w:rPr>
        <w:t>根据黑龙江省城乡固体废物治理和城镇污水处理领导小组办公室《黑龙江省城乡固体废物治理和城镇污水处理领导小组办公室关于请提供&lt;全省城乡固体废物分类治理布局规划（2019-2035年）&gt;修编意见的函》（[2020]11号），省住建厅编制印发了《全省城乡固体废物分类治理布局规划（2019-2035年）》（以下简称《规划》），“对《规划》中的危险废物、医疗废物和一般工业废物处理设施的规划布局情况进行修改、调整，尤其是对列入《规划》近、中期的项目进行确认，确保项目能够在规划期内落地实施。”</w:t>
      </w:r>
    </w:p>
    <w:p w14:paraId="106C530D">
      <w:pPr>
        <w:bidi w:val="0"/>
        <w:rPr>
          <w:rFonts w:hint="eastAsia"/>
          <w:highlight w:val="none"/>
        </w:rPr>
      </w:pPr>
      <w:r>
        <w:rPr>
          <w:rFonts w:hint="eastAsia"/>
          <w:highlight w:val="none"/>
        </w:rPr>
        <w:t>根据黑龙江省生态环境厅《关于反馈&lt;全省城乡固体废物分类治理布局规划（2019-2035年）&gt;修编意见的复函》（[2020]319号）：建议按区域合理布局，统筹建设危险废物集中处置设施、场所；根据各市（地）生态环境局反馈情况和项目建设进度，建议调整现规划项目设置；危险废物中期不设置具体项目，建议按照全省区域布局，调整为东部地区、中西部地区布局。</w:t>
      </w:r>
    </w:p>
    <w:p w14:paraId="6D24AC37">
      <w:pPr>
        <w:bidi w:val="0"/>
        <w:rPr>
          <w:rFonts w:hint="eastAsia"/>
          <w:highlight w:val="none"/>
          <w:lang w:eastAsia="zh-CN"/>
        </w:rPr>
      </w:pPr>
      <w:r>
        <w:rPr>
          <w:rFonts w:hint="eastAsia"/>
          <w:highlight w:val="none"/>
        </w:rPr>
        <w:t>本项目位于</w:t>
      </w:r>
      <w:r>
        <w:rPr>
          <w:rFonts w:hint="eastAsia" w:ascii="Times New Roman" w:hAnsi="Times New Roman" w:cs="Times New Roman" w:eastAsiaTheme="minorEastAsia"/>
          <w:sz w:val="24"/>
          <w:szCs w:val="24"/>
          <w:highlight w:val="none"/>
          <w:lang w:val="en-US" w:eastAsia="zh-CN"/>
        </w:rPr>
        <w:t>黑龙江省哈尔滨市开发区哈平路集中区征仪南路6号，哈尔滨东安汽车发动机制造有限公司院内</w:t>
      </w:r>
      <w:r>
        <w:rPr>
          <w:rFonts w:hint="eastAsia"/>
          <w:highlight w:val="none"/>
        </w:rPr>
        <w:t>，属于《黑龙江省城乡固体废物分类治理布局规划（2019-2035年）》的规划范围。本项目建成投产后属于规划中期2021-2025年。本项目为汽车发动机制造及含油金属屑收集处理项目，行业类别为危险废物</w:t>
      </w:r>
      <w:r>
        <w:rPr>
          <w:rFonts w:hint="eastAsia"/>
          <w:highlight w:val="none"/>
          <w:lang w:val="en-US" w:eastAsia="zh-CN"/>
        </w:rPr>
        <w:t>综合利用</w:t>
      </w:r>
      <w:r>
        <w:rPr>
          <w:rFonts w:hint="eastAsia"/>
          <w:highlight w:val="none"/>
        </w:rPr>
        <w:t>类工业项目</w:t>
      </w:r>
      <w:r>
        <w:rPr>
          <w:rFonts w:hint="eastAsia"/>
          <w:highlight w:val="none"/>
          <w:lang w:eastAsia="zh-CN"/>
        </w:rPr>
        <w:t>。</w:t>
      </w:r>
      <w:r>
        <w:rPr>
          <w:rFonts w:hint="eastAsia"/>
          <w:highlight w:val="none"/>
        </w:rPr>
        <w:t>回收企业</w:t>
      </w:r>
      <w:r>
        <w:rPr>
          <w:rFonts w:hint="eastAsia"/>
          <w:highlight w:val="none"/>
          <w:lang w:val="en-US" w:eastAsia="zh-CN"/>
        </w:rPr>
        <w:t>内部产生的</w:t>
      </w:r>
      <w:r>
        <w:rPr>
          <w:rFonts w:hint="eastAsia"/>
          <w:highlight w:val="none"/>
        </w:rPr>
        <w:t>的</w:t>
      </w:r>
      <w:r>
        <w:rPr>
          <w:rFonts w:hint="eastAsia"/>
          <w:highlight w:val="none"/>
          <w:lang w:val="en-US" w:eastAsia="zh-CN"/>
        </w:rPr>
        <w:t>含油金属屑</w:t>
      </w:r>
      <w:r>
        <w:rPr>
          <w:rFonts w:hint="eastAsia"/>
          <w:highlight w:val="none"/>
        </w:rPr>
        <w:t>作为原料，通过</w:t>
      </w:r>
      <w:r>
        <w:rPr>
          <w:rFonts w:hint="eastAsia"/>
          <w:highlight w:val="none"/>
          <w:lang w:val="en-US" w:eastAsia="zh-CN"/>
        </w:rPr>
        <w:t>破碎、甩干、压块</w:t>
      </w:r>
      <w:r>
        <w:rPr>
          <w:rFonts w:hint="eastAsia"/>
          <w:highlight w:val="none"/>
        </w:rPr>
        <w:t>等措施</w:t>
      </w:r>
      <w:r>
        <w:rPr>
          <w:rFonts w:hint="eastAsia"/>
          <w:highlight w:val="none"/>
          <w:lang w:val="en-US" w:eastAsia="zh-CN"/>
        </w:rPr>
        <w:t>将金属屑与油类物质分离，本项目产品金属块优先用于企业内部生产，其余部分外售相关单位利用</w:t>
      </w:r>
      <w:r>
        <w:rPr>
          <w:rFonts w:hint="eastAsia"/>
          <w:highlight w:val="none"/>
          <w:lang w:eastAsia="zh-CN"/>
        </w:rPr>
        <w:t>；</w:t>
      </w:r>
      <w:r>
        <w:rPr>
          <w:rFonts w:hint="eastAsia"/>
          <w:highlight w:val="none"/>
          <w:lang w:val="en-US" w:eastAsia="zh-CN"/>
        </w:rPr>
        <w:t>废油交由有资质单位处置</w:t>
      </w:r>
      <w:r>
        <w:rPr>
          <w:rFonts w:hint="eastAsia"/>
          <w:highlight w:val="none"/>
        </w:rPr>
        <w:t>。</w:t>
      </w:r>
    </w:p>
    <w:p w14:paraId="2C40C0AC">
      <w:pPr>
        <w:bidi w:val="0"/>
        <w:rPr>
          <w:rFonts w:hint="eastAsia"/>
          <w:highlight w:val="none"/>
        </w:rPr>
      </w:pPr>
      <w:r>
        <w:rPr>
          <w:rFonts w:hint="eastAsia"/>
          <w:highlight w:val="none"/>
          <w:lang w:val="en-US" w:eastAsia="zh-CN"/>
        </w:rPr>
        <w:t>本项目的建设能够</w:t>
      </w:r>
      <w:r>
        <w:rPr>
          <w:rFonts w:hint="eastAsia"/>
          <w:highlight w:val="none"/>
          <w:lang w:eastAsia="zh-CN"/>
        </w:rPr>
        <w:t>对</w:t>
      </w:r>
      <w:r>
        <w:rPr>
          <w:rFonts w:hint="eastAsia"/>
          <w:highlight w:val="none"/>
          <w:lang w:val="en-US" w:eastAsia="zh-CN"/>
        </w:rPr>
        <w:t>危险</w:t>
      </w:r>
      <w:r>
        <w:rPr>
          <w:rFonts w:hint="eastAsia"/>
          <w:highlight w:val="none"/>
          <w:lang w:eastAsia="zh-CN"/>
        </w:rPr>
        <w:t>废物进行无害化、减量化和资源化处理，</w:t>
      </w:r>
      <w:r>
        <w:rPr>
          <w:rFonts w:hint="eastAsia"/>
          <w:highlight w:val="none"/>
          <w:lang w:val="en-US" w:eastAsia="zh-CN"/>
        </w:rPr>
        <w:t>金属屑</w:t>
      </w:r>
      <w:r>
        <w:rPr>
          <w:rFonts w:hint="eastAsia"/>
          <w:highlight w:val="none"/>
          <w:lang w:eastAsia="zh-CN"/>
        </w:rPr>
        <w:t>资源回收可以有效节约</w:t>
      </w:r>
      <w:r>
        <w:rPr>
          <w:rFonts w:hint="eastAsia"/>
          <w:highlight w:val="none"/>
          <w:lang w:val="en-US" w:eastAsia="zh-CN"/>
        </w:rPr>
        <w:t>铁、铝</w:t>
      </w:r>
      <w:r>
        <w:rPr>
          <w:rFonts w:hint="eastAsia"/>
          <w:highlight w:val="none"/>
          <w:lang w:eastAsia="zh-CN"/>
        </w:rPr>
        <w:t>矿石等原材料的使用，减少对自然资源的开采和消耗。</w:t>
      </w:r>
      <w:r>
        <w:rPr>
          <w:rFonts w:hint="eastAsia"/>
          <w:highlight w:val="none"/>
          <w:lang w:val="en-US" w:eastAsia="zh-CN"/>
        </w:rPr>
        <w:t>项目</w:t>
      </w:r>
      <w:r>
        <w:rPr>
          <w:rFonts w:hint="eastAsia"/>
          <w:highlight w:val="none"/>
        </w:rPr>
        <w:t>属于《规划》范围内的危险废物的处理处置及资源化处理，有利于完成规划目标。本项目属于需要纳入《全省城乡固体废物分类治理布局规划（2019-2035年）》的项目范围。因此，本项目的建设，与《黑龙江省城乡固体废物分类治理布局规划（2019-2035年）》、规划环评及其审查意见相符合。</w:t>
      </w:r>
    </w:p>
    <w:p w14:paraId="4B190923">
      <w:pPr>
        <w:pStyle w:val="4"/>
        <w:bidi w:val="0"/>
        <w:rPr>
          <w:rFonts w:hint="eastAsia"/>
          <w:highlight w:val="none"/>
          <w:lang w:val="en-US" w:eastAsia="zh-CN"/>
        </w:rPr>
      </w:pPr>
      <w:bookmarkStart w:id="79" w:name="_Toc18054"/>
      <w:bookmarkStart w:id="80" w:name="_Toc26258"/>
      <w:r>
        <w:rPr>
          <w:rFonts w:hint="eastAsia"/>
          <w:highlight w:val="none"/>
          <w:lang w:val="en-US" w:eastAsia="zh-CN"/>
        </w:rPr>
        <w:t>1.4.18与《黑龙江省“十四五”生态环境保护规划》符合性分析</w:t>
      </w:r>
      <w:bookmarkEnd w:id="79"/>
      <w:bookmarkEnd w:id="80"/>
    </w:p>
    <w:p w14:paraId="3B78811A">
      <w:pPr>
        <w:bidi w:val="0"/>
        <w:rPr>
          <w:highlight w:val="none"/>
        </w:rPr>
      </w:pPr>
      <w:r>
        <w:rPr>
          <w:rFonts w:hint="eastAsia"/>
          <w:highlight w:val="none"/>
          <w:lang w:val="en-US" w:eastAsia="zh-CN"/>
        </w:rPr>
        <w:t>（1）</w:t>
      </w:r>
      <w:r>
        <w:rPr>
          <w:highlight w:val="none"/>
        </w:rPr>
        <w:t>相关内容</w:t>
      </w:r>
    </w:p>
    <w:p w14:paraId="62488483">
      <w:pPr>
        <w:bidi w:val="0"/>
        <w:rPr>
          <w:highlight w:val="none"/>
        </w:rPr>
      </w:pPr>
      <w:r>
        <w:rPr>
          <w:rFonts w:hint="eastAsia"/>
          <w:highlight w:val="none"/>
          <w:lang w:val="en-US" w:eastAsia="zh-CN"/>
        </w:rPr>
        <w:t>（一）</w:t>
      </w:r>
      <w:r>
        <w:rPr>
          <w:rFonts w:hint="eastAsia"/>
          <w:highlight w:val="none"/>
        </w:rPr>
        <w:t>贯彻新发展理念，推进高质量发展。</w:t>
      </w:r>
    </w:p>
    <w:p w14:paraId="6201EF14">
      <w:pPr>
        <w:bidi w:val="0"/>
        <w:rPr>
          <w:highlight w:val="none"/>
        </w:rPr>
      </w:pPr>
      <w:bookmarkStart w:id="81" w:name="_Toc20274"/>
      <w:r>
        <w:rPr>
          <w:rFonts w:eastAsiaTheme="minorEastAsia"/>
          <w:kern w:val="0"/>
          <w:sz w:val="24"/>
          <w:szCs w:val="21"/>
          <w:highlight w:val="none"/>
        </w:rPr>
        <w:fldChar w:fldCharType="begin"/>
      </w:r>
      <w:r>
        <w:rPr>
          <w:rFonts w:eastAsiaTheme="minorEastAsia"/>
          <w:kern w:val="0"/>
          <w:sz w:val="24"/>
          <w:szCs w:val="21"/>
          <w:highlight w:val="none"/>
        </w:rPr>
        <w:instrText xml:space="preserve"> = 1 \* GB3 </w:instrText>
      </w:r>
      <w:r>
        <w:rPr>
          <w:rFonts w:eastAsiaTheme="minorEastAsia"/>
          <w:kern w:val="0"/>
          <w:sz w:val="24"/>
          <w:szCs w:val="21"/>
          <w:highlight w:val="none"/>
        </w:rPr>
        <w:fldChar w:fldCharType="separate"/>
      </w:r>
      <w:r>
        <w:rPr>
          <w:rFonts w:hAnsiTheme="minorEastAsia" w:eastAsiaTheme="minorEastAsia"/>
          <w:kern w:val="0"/>
          <w:sz w:val="24"/>
          <w:szCs w:val="21"/>
          <w:highlight w:val="none"/>
        </w:rPr>
        <w:t>①</w:t>
      </w:r>
      <w:r>
        <w:rPr>
          <w:rFonts w:eastAsiaTheme="minorEastAsia"/>
          <w:kern w:val="0"/>
          <w:sz w:val="24"/>
          <w:szCs w:val="21"/>
          <w:highlight w:val="none"/>
        </w:rPr>
        <w:fldChar w:fldCharType="end"/>
      </w:r>
      <w:r>
        <w:rPr>
          <w:rFonts w:hint="eastAsia"/>
          <w:highlight w:val="none"/>
        </w:rPr>
        <w:t>统筹推进区域绿色发展。</w:t>
      </w:r>
      <w:bookmarkEnd w:id="81"/>
    </w:p>
    <w:p w14:paraId="1631CB75">
      <w:pPr>
        <w:bidi w:val="0"/>
        <w:rPr>
          <w:highlight w:val="none"/>
        </w:rPr>
      </w:pPr>
      <w:r>
        <w:rPr>
          <w:rFonts w:hint="eastAsia"/>
          <w:highlight w:val="none"/>
        </w:rPr>
        <w:t>构建国土空间开发保护新格局。围绕城市化地区、农产品主产区、生态功能区，立足资源环境承载能力，优化重大基础设施、重大生产力和公共资源布局，优化生产、生活、生态空间，推动形成主体功能明显、优势互补、高质量发展的国土空间保护开发新格局。</w:t>
      </w:r>
    </w:p>
    <w:p w14:paraId="0BCEF088">
      <w:pPr>
        <w:bidi w:val="0"/>
        <w:rPr>
          <w:highlight w:val="none"/>
        </w:rPr>
      </w:pPr>
      <w:r>
        <w:rPr>
          <w:rFonts w:hint="eastAsia"/>
          <w:highlight w:val="none"/>
        </w:rPr>
        <w:t>加强生态环境分区管控。统筹衔接国土空间规划、生态保护红线、自然保护地分区和用途管制要求，动态更新“三线一单”成果，完善生态环境分区管控体系。建立并不断完善以政府为主体、部门深度参与的落地应用机制，加强“三线一单”成果在政策制定、环境准入、园区管理、执法监管及各类开放建设活动等方面的应用。</w:t>
      </w:r>
    </w:p>
    <w:p w14:paraId="3FB6EE5B">
      <w:pPr>
        <w:bidi w:val="0"/>
        <w:rPr>
          <w:highlight w:val="none"/>
        </w:rPr>
      </w:pPr>
      <w:bookmarkStart w:id="82" w:name="_Toc26543"/>
      <w:r>
        <w:rPr>
          <w:rFonts w:eastAsiaTheme="minorEastAsia"/>
          <w:kern w:val="0"/>
          <w:sz w:val="24"/>
          <w:szCs w:val="21"/>
          <w:highlight w:val="none"/>
        </w:rPr>
        <w:fldChar w:fldCharType="begin"/>
      </w:r>
      <w:r>
        <w:rPr>
          <w:rFonts w:eastAsiaTheme="minorEastAsia"/>
          <w:kern w:val="0"/>
          <w:sz w:val="24"/>
          <w:szCs w:val="21"/>
          <w:highlight w:val="none"/>
        </w:rPr>
        <w:instrText xml:space="preserve"> = 2 \* GB3 </w:instrText>
      </w:r>
      <w:r>
        <w:rPr>
          <w:rFonts w:eastAsiaTheme="minorEastAsia"/>
          <w:kern w:val="0"/>
          <w:sz w:val="24"/>
          <w:szCs w:val="21"/>
          <w:highlight w:val="none"/>
        </w:rPr>
        <w:fldChar w:fldCharType="separate"/>
      </w:r>
      <w:r>
        <w:rPr>
          <w:rFonts w:hAnsiTheme="minorEastAsia" w:eastAsiaTheme="minorEastAsia"/>
          <w:kern w:val="0"/>
          <w:sz w:val="24"/>
          <w:szCs w:val="21"/>
          <w:highlight w:val="none"/>
        </w:rPr>
        <w:t>②</w:t>
      </w:r>
      <w:r>
        <w:rPr>
          <w:rFonts w:eastAsiaTheme="minorEastAsia"/>
          <w:kern w:val="0"/>
          <w:sz w:val="24"/>
          <w:szCs w:val="21"/>
          <w:highlight w:val="none"/>
        </w:rPr>
        <w:fldChar w:fldCharType="end"/>
      </w:r>
      <w:r>
        <w:rPr>
          <w:rFonts w:hint="eastAsia"/>
          <w:highlight w:val="none"/>
        </w:rPr>
        <w:t>推进产业结构转型升级。</w:t>
      </w:r>
      <w:bookmarkEnd w:id="82"/>
    </w:p>
    <w:p w14:paraId="2B1C45DF">
      <w:pPr>
        <w:bidi w:val="0"/>
        <w:rPr>
          <w:highlight w:val="none"/>
        </w:rPr>
      </w:pPr>
      <w:r>
        <w:rPr>
          <w:rFonts w:hint="eastAsia"/>
          <w:highlight w:val="none"/>
        </w:rPr>
        <w:t>加强重点行业绿色转型。以钢铁、有色、石化、化工、建材等行业为重点，实施传统行业绿色化改造。推动工业绿色转型升级，加快建立绿色供应链，培育一批具有产业生态主导力的领军企业，带动全产业链优化升级，建成绿色工厂100家，绿色工业园区2个。推动重点行业加快实施限制类产能装备的升级改造，有序开展超低排放改造。推进建材、化工、铸造、印染、电镀、加工制造等产业集群升级改造，推动哈尔滨市、大庆市、牡丹江市、绥化市等城市化工产业集群向精细化、规模化、绿色化方向转型。提高化工、陶瓷、农副食品加工等行业园区集聚水平，深入推进园区循环化改造。“十四五”期间，全省规模以上工业企业万元工业增加值能耗累计下降10%左右。</w:t>
      </w:r>
    </w:p>
    <w:p w14:paraId="317AF1A8">
      <w:pPr>
        <w:bidi w:val="0"/>
        <w:rPr>
          <w:highlight w:val="none"/>
        </w:rPr>
      </w:pPr>
      <w:r>
        <w:rPr>
          <w:rFonts w:hint="eastAsia"/>
          <w:highlight w:val="none"/>
        </w:rPr>
        <w:t>加快淘汰落后和化解过剩产能。持续对水泥熟料、烧结砖瓦、电解锰、炼化等行业实施落后产能淘汰和过剩产能压减。新建、扩建钢铁、水泥、平板玻璃等高耗能高排放项目严格落实产能等量或减量置换。</w:t>
      </w:r>
    </w:p>
    <w:p w14:paraId="68E40FAC">
      <w:pPr>
        <w:bidi w:val="0"/>
        <w:rPr>
          <w:highlight w:val="none"/>
        </w:rPr>
      </w:pPr>
      <w:r>
        <w:rPr>
          <w:rFonts w:hint="eastAsia"/>
          <w:highlight w:val="none"/>
        </w:rPr>
        <w:t>推动重点地区生产企业搬迁改造。推动重污染企业搬迁入园或依法关闭。进一步摸清危险化学品生产企业底数，完善搬迁改造实施方案，落实“一企一策”</w:t>
      </w:r>
      <w:r>
        <w:rPr>
          <w:rFonts w:hint="eastAsia"/>
          <w:highlight w:val="none"/>
          <w:lang w:eastAsia="zh-CN"/>
        </w:rPr>
        <w:t>，</w:t>
      </w:r>
      <w:r>
        <w:rPr>
          <w:rFonts w:hint="eastAsia"/>
          <w:highlight w:val="none"/>
        </w:rPr>
        <w:t>强化搬迁改造安全环保管理。</w:t>
      </w:r>
    </w:p>
    <w:p w14:paraId="3A724657">
      <w:pPr>
        <w:bidi w:val="0"/>
        <w:rPr>
          <w:highlight w:val="none"/>
        </w:rPr>
      </w:pPr>
      <w:r>
        <w:rPr>
          <w:rFonts w:hint="eastAsia"/>
          <w:highlight w:val="none"/>
        </w:rPr>
        <w:t>提升行业资源能源利用效率。加强重点领域和重点用能单位节能管理，实施能量系统优化、节能技术改造等重点工程。制定地方清洁生产审核实施方案，依法推进清洁生产，在重点行业深入推进强制性清洁生产审核。到2025年，完成重点用能单位绿色化改造50家。开展重点行业和重点产品资源效率对标提升行动，实施能效、水效“领跑者”制度。</w:t>
      </w:r>
    </w:p>
    <w:p w14:paraId="35B723E3">
      <w:pPr>
        <w:bidi w:val="0"/>
        <w:rPr>
          <w:highlight w:val="none"/>
        </w:rPr>
      </w:pPr>
      <w:bookmarkStart w:id="83" w:name="_Toc8605"/>
      <w:r>
        <w:rPr>
          <w:rFonts w:hint="eastAsia"/>
          <w:highlight w:val="none"/>
          <w:lang w:val="en-US" w:eastAsia="zh-CN"/>
        </w:rPr>
        <w:t>（2）</w:t>
      </w:r>
      <w:r>
        <w:rPr>
          <w:highlight w:val="none"/>
        </w:rPr>
        <w:t>符合性分析</w:t>
      </w:r>
      <w:bookmarkEnd w:id="83"/>
    </w:p>
    <w:p w14:paraId="32D04430">
      <w:pPr>
        <w:bidi w:val="0"/>
        <w:rPr>
          <w:rFonts w:hint="eastAsia" w:eastAsia="宋体"/>
          <w:highlight w:val="none"/>
          <w:lang w:val="en-US" w:eastAsia="zh-CN"/>
        </w:rPr>
      </w:pPr>
      <w:r>
        <w:rPr>
          <w:highlight w:val="none"/>
        </w:rPr>
        <w:t>本项目位于</w:t>
      </w:r>
      <w:r>
        <w:rPr>
          <w:rFonts w:hint="eastAsia"/>
          <w:highlight w:val="none"/>
          <w:lang w:val="en-US" w:eastAsia="zh-CN"/>
        </w:rPr>
        <w:t>黑龙江省哈尔滨市开发区哈平路集中区征仪南路6号，哈尔滨东安汽车发动机制造有限公司院内</w:t>
      </w:r>
      <w:r>
        <w:rPr>
          <w:highlight w:val="none"/>
        </w:rPr>
        <w:t>，建设地点不涉及优先保护类耕地集中区域。本项目</w:t>
      </w:r>
      <w:r>
        <w:rPr>
          <w:rFonts w:hint="eastAsia"/>
          <w:highlight w:val="none"/>
          <w:lang w:val="en-US" w:eastAsia="zh-CN"/>
        </w:rPr>
        <w:t>为为汽车发动机制造及含油金属屑收集处理项目，</w:t>
      </w:r>
      <w:r>
        <w:rPr>
          <w:highlight w:val="none"/>
        </w:rPr>
        <w:t>不属于行业落后产能企业</w:t>
      </w:r>
      <w:r>
        <w:rPr>
          <w:rFonts w:hint="eastAsia"/>
          <w:highlight w:val="none"/>
          <w:lang w:eastAsia="zh-CN"/>
        </w:rPr>
        <w:t>，</w:t>
      </w:r>
      <w:r>
        <w:rPr>
          <w:rFonts w:hint="eastAsia"/>
          <w:highlight w:val="none"/>
          <w:lang w:val="en-US" w:eastAsia="zh-CN"/>
        </w:rPr>
        <w:t>不使用</w:t>
      </w:r>
      <w:r>
        <w:rPr>
          <w:rFonts w:hint="eastAsia"/>
          <w:highlight w:val="none"/>
        </w:rPr>
        <w:t>限制类产能装备</w:t>
      </w:r>
      <w:r>
        <w:rPr>
          <w:highlight w:val="none"/>
        </w:rPr>
        <w:t>。本项目对</w:t>
      </w:r>
      <w:r>
        <w:rPr>
          <w:rFonts w:hint="eastAsia"/>
          <w:highlight w:val="none"/>
          <w:lang w:eastAsia="zh-CN"/>
        </w:rPr>
        <w:t>土壤环境</w:t>
      </w:r>
      <w:r>
        <w:rPr>
          <w:highlight w:val="none"/>
        </w:rPr>
        <w:t>进行了环境影响分析，并提出防范土壤污染的具体措施。对土壤污染防治设施，实施了与主体工程同时设计、同时施工、同时投产使用。</w:t>
      </w:r>
      <w:r>
        <w:rPr>
          <w:rFonts w:hint="eastAsia"/>
          <w:highlight w:val="none"/>
          <w:lang w:val="en-US" w:eastAsia="zh-CN"/>
        </w:rPr>
        <w:t>符合相关要求。</w:t>
      </w:r>
    </w:p>
    <w:p w14:paraId="3FE5E027">
      <w:pPr>
        <w:pStyle w:val="4"/>
        <w:bidi w:val="0"/>
        <w:rPr>
          <w:highlight w:val="none"/>
        </w:rPr>
      </w:pPr>
      <w:bookmarkStart w:id="84" w:name="_Toc16717"/>
      <w:bookmarkStart w:id="85" w:name="_Toc2217"/>
      <w:r>
        <w:rPr>
          <w:rFonts w:hint="eastAsia"/>
          <w:highlight w:val="none"/>
          <w:lang w:val="en-US" w:eastAsia="zh-CN"/>
        </w:rPr>
        <w:t>1.4.16</w:t>
      </w:r>
      <w:r>
        <w:rPr>
          <w:highlight w:val="none"/>
        </w:rPr>
        <w:t>与</w:t>
      </w:r>
      <w:r>
        <w:rPr>
          <w:rFonts w:hint="eastAsia"/>
          <w:highlight w:val="none"/>
        </w:rPr>
        <w:t>《黑龙江省强化危险废物监管和利用处置能力改革工作方案》</w:t>
      </w:r>
      <w:r>
        <w:rPr>
          <w:highlight w:val="none"/>
        </w:rPr>
        <w:t>符合性分析</w:t>
      </w:r>
      <w:bookmarkEnd w:id="84"/>
      <w:bookmarkEnd w:id="85"/>
    </w:p>
    <w:p w14:paraId="58D2938B">
      <w:pPr>
        <w:bidi w:val="0"/>
        <w:rPr>
          <w:rFonts w:hint="eastAsia"/>
          <w:highlight w:val="none"/>
        </w:rPr>
      </w:pPr>
      <w:bookmarkStart w:id="86" w:name="_Toc11793"/>
      <w:r>
        <w:rPr>
          <w:rFonts w:hint="eastAsia"/>
          <w:highlight w:val="none"/>
          <w:lang w:val="en-US" w:eastAsia="zh-CN"/>
        </w:rPr>
        <w:t>（1）</w:t>
      </w:r>
      <w:r>
        <w:rPr>
          <w:rFonts w:hint="eastAsia"/>
          <w:highlight w:val="none"/>
        </w:rPr>
        <w:t>完善危险废物监管体制机制</w:t>
      </w:r>
      <w:bookmarkEnd w:id="86"/>
    </w:p>
    <w:p w14:paraId="6D02D5BA">
      <w:pPr>
        <w:bidi w:val="0"/>
        <w:rPr>
          <w:rFonts w:hint="eastAsia"/>
          <w:highlight w:val="none"/>
        </w:rPr>
      </w:pPr>
      <w:r>
        <w:rPr>
          <w:rFonts w:hint="eastAsia"/>
          <w:highlight w:val="none"/>
        </w:rPr>
        <w:t>压实企业主体责任。危险废物产生、收集、贮存、运输、利用、处置企业的主要负责人是危险废物污染环境防治和安全生产第一责任人，严格落实危险废物污染环境防治和安全生产法律法规制度。危险废物相关企业依法及时公开危险废物污染环境防治信息，建立危险废物管理台账，通过固体废物环境管理信息系统申报，依法依规投保环境污染责任保险。</w:t>
      </w:r>
    </w:p>
    <w:p w14:paraId="2143C80C">
      <w:pPr>
        <w:bidi w:val="0"/>
        <w:rPr>
          <w:rFonts w:hint="eastAsia"/>
          <w:highlight w:val="none"/>
        </w:rPr>
      </w:pPr>
      <w:bookmarkStart w:id="87" w:name="_Toc19630"/>
      <w:r>
        <w:rPr>
          <w:rFonts w:hint="eastAsia"/>
          <w:highlight w:val="none"/>
          <w:lang w:val="en-US" w:eastAsia="zh-CN"/>
        </w:rPr>
        <w:t>（2）</w:t>
      </w:r>
      <w:r>
        <w:rPr>
          <w:rFonts w:hint="eastAsia"/>
          <w:highlight w:val="none"/>
        </w:rPr>
        <w:t>强化危险废物源头管控</w:t>
      </w:r>
      <w:bookmarkEnd w:id="87"/>
    </w:p>
    <w:p w14:paraId="21B3360C">
      <w:pPr>
        <w:bidi w:val="0"/>
        <w:rPr>
          <w:rFonts w:hint="eastAsia"/>
          <w:highlight w:val="none"/>
        </w:rPr>
      </w:pPr>
      <w:r>
        <w:rPr>
          <w:rFonts w:hint="eastAsia"/>
          <w:highlight w:val="none"/>
        </w:rPr>
        <w:t>严格环境准入。建立危险废物经营许可证审批与环境影响评价有效衔接机制，新改扩建项目要依法开展环境影响评价，严格危险废物污染环境防治设施“三同时”管理。</w:t>
      </w:r>
    </w:p>
    <w:p w14:paraId="752130C6">
      <w:pPr>
        <w:bidi w:val="0"/>
        <w:rPr>
          <w:rFonts w:hint="eastAsia"/>
          <w:highlight w:val="none"/>
        </w:rPr>
      </w:pPr>
      <w:r>
        <w:rPr>
          <w:rFonts w:hint="eastAsia"/>
          <w:highlight w:val="none"/>
        </w:rPr>
        <w:t>推动源头减量化。支持研发、推广减少工业危险废物产生量和降低工业危险废物危害性的生产工艺和设备，促进从源头上减少危险废物产生量、降低危害性。</w:t>
      </w:r>
    </w:p>
    <w:p w14:paraId="615DD91D">
      <w:pPr>
        <w:bidi w:val="0"/>
        <w:rPr>
          <w:rFonts w:hint="eastAsia"/>
          <w:highlight w:val="none"/>
        </w:rPr>
      </w:pPr>
      <w:bookmarkStart w:id="88" w:name="_Toc3290"/>
      <w:r>
        <w:rPr>
          <w:rFonts w:hint="eastAsia"/>
          <w:highlight w:val="none"/>
          <w:lang w:val="en-US" w:eastAsia="zh-CN"/>
        </w:rPr>
        <w:t>（3）</w:t>
      </w:r>
      <w:r>
        <w:rPr>
          <w:rFonts w:hint="eastAsia"/>
          <w:highlight w:val="none"/>
        </w:rPr>
        <w:t>强化危险废物收集转运等过程监管</w:t>
      </w:r>
      <w:bookmarkEnd w:id="88"/>
    </w:p>
    <w:p w14:paraId="75C4E0BE">
      <w:pPr>
        <w:bidi w:val="0"/>
        <w:rPr>
          <w:rFonts w:hint="eastAsia"/>
          <w:highlight w:val="none"/>
        </w:rPr>
      </w:pPr>
      <w:r>
        <w:rPr>
          <w:rFonts w:hint="eastAsia"/>
          <w:highlight w:val="none"/>
        </w:rPr>
        <w:t>推进转移运输规范化和便捷化。严格执行危险废物转移联单管理制度，监督企业如实填写危险废物转移电子联单相关信息。危险废物运输单位应获得危险货物运输资质，完善“点对点”的常备通行路线，充分利用“两客一危”监控平台，对车籍在我省的危险废物运输车辆的运输全程进行动态监控，实现危险废物运输车辆规范有序、安全便捷通行。维护危险废物跨区域转移公平竞争市场秩序，各地不得设置不合理行政壁垒。</w:t>
      </w:r>
    </w:p>
    <w:p w14:paraId="46535703">
      <w:pPr>
        <w:bidi w:val="0"/>
        <w:rPr>
          <w:rFonts w:hint="eastAsia"/>
          <w:highlight w:val="none"/>
        </w:rPr>
      </w:pPr>
      <w:bookmarkStart w:id="89" w:name="_Toc123"/>
      <w:r>
        <w:rPr>
          <w:rFonts w:hint="eastAsia"/>
          <w:highlight w:val="none"/>
          <w:lang w:val="en-US" w:eastAsia="zh-CN"/>
        </w:rPr>
        <w:t>（4）</w:t>
      </w:r>
      <w:r>
        <w:rPr>
          <w:rFonts w:hint="eastAsia"/>
          <w:highlight w:val="none"/>
        </w:rPr>
        <w:t>促进危险废物利用处置产业高质量发展</w:t>
      </w:r>
      <w:bookmarkEnd w:id="89"/>
    </w:p>
    <w:p w14:paraId="41A84BE6">
      <w:pPr>
        <w:bidi w:val="0"/>
        <w:rPr>
          <w:rFonts w:hint="eastAsia"/>
          <w:highlight w:val="none"/>
        </w:rPr>
      </w:pPr>
      <w:r>
        <w:rPr>
          <w:rFonts w:hint="eastAsia"/>
          <w:highlight w:val="none"/>
        </w:rPr>
        <w:t>落实“放管服”改革要求，鼓励采取多元投资和市场化方式建设规模化危险废物利用设施；鼓励企业通过资源整合、技术协同和兼并重组等方式做大做强，推进危险废物专业化、规模化建设运营服务。</w:t>
      </w:r>
    </w:p>
    <w:p w14:paraId="074AD28A">
      <w:pPr>
        <w:bidi w:val="0"/>
        <w:rPr>
          <w:rFonts w:hint="eastAsia"/>
          <w:highlight w:val="none"/>
        </w:rPr>
      </w:pPr>
      <w:r>
        <w:rPr>
          <w:rFonts w:hint="eastAsia"/>
          <w:highlight w:val="none"/>
        </w:rPr>
        <w:t>规范危险废物利用。加强固体废物综合利用管理，综合利用固体废物应当遵守相关法律法规，符合固体废物污染环境防治技术标准，使用固体废物综合利用产物应当符合国家规定的用途和标准。在环境风险可控的前提下，制定危险废物“点对点”定向利用方案，探索危险废物许可证豁免管理模式。</w:t>
      </w:r>
    </w:p>
    <w:p w14:paraId="43E6E446">
      <w:pPr>
        <w:bidi w:val="0"/>
        <w:rPr>
          <w:highlight w:val="none"/>
          <w:lang w:val="en-US" w:eastAsia="zh-CN"/>
        </w:rPr>
      </w:pPr>
      <w:r>
        <w:rPr>
          <w:rFonts w:hint="eastAsia"/>
          <w:highlight w:val="none"/>
        </w:rPr>
        <w:t>符合性分析：本项目</w:t>
      </w:r>
      <w:r>
        <w:rPr>
          <w:rFonts w:hint="eastAsia"/>
          <w:highlight w:val="none"/>
          <w:lang w:val="en-US" w:eastAsia="zh-CN"/>
        </w:rPr>
        <w:t>仅回收东安动力及东安汽发机加工序产生的含油金属屑</w:t>
      </w:r>
      <w:r>
        <w:rPr>
          <w:rFonts w:hint="eastAsia"/>
          <w:highlight w:val="none"/>
        </w:rPr>
        <w:t>，对</w:t>
      </w:r>
      <w:r>
        <w:rPr>
          <w:rFonts w:hint="eastAsia"/>
          <w:highlight w:val="none"/>
          <w:lang w:val="en-US" w:eastAsia="zh-CN"/>
        </w:rPr>
        <w:t>含油金属屑</w:t>
      </w:r>
      <w:r>
        <w:rPr>
          <w:rFonts w:hint="eastAsia"/>
          <w:highlight w:val="none"/>
        </w:rPr>
        <w:t>进行资源化利用，危废代码分别为</w:t>
      </w:r>
      <w:r>
        <w:rPr>
          <w:rFonts w:hint="eastAsia"/>
          <w:highlight w:val="none"/>
          <w:lang w:val="en-US" w:eastAsia="zh-CN"/>
        </w:rPr>
        <w:t>900-200-08</w:t>
      </w:r>
      <w:r>
        <w:rPr>
          <w:rFonts w:hint="eastAsia"/>
          <w:highlight w:val="none"/>
        </w:rPr>
        <w:t>、</w:t>
      </w:r>
      <w:r>
        <w:rPr>
          <w:rFonts w:hint="eastAsia"/>
          <w:highlight w:val="none"/>
          <w:lang w:val="en-US" w:eastAsia="zh-CN"/>
        </w:rPr>
        <w:t>900-006-09</w:t>
      </w:r>
      <w:r>
        <w:rPr>
          <w:rFonts w:hint="eastAsia"/>
          <w:highlight w:val="none"/>
        </w:rPr>
        <w:t>，经过</w:t>
      </w:r>
      <w:r>
        <w:rPr>
          <w:rFonts w:hint="eastAsia"/>
          <w:highlight w:val="none"/>
          <w:lang w:val="en-US" w:eastAsia="zh-CN"/>
        </w:rPr>
        <w:t>破碎、甩干、压块</w:t>
      </w:r>
      <w:r>
        <w:rPr>
          <w:rFonts w:hint="eastAsia"/>
          <w:highlight w:val="none"/>
        </w:rPr>
        <w:t>处置后生产</w:t>
      </w:r>
      <w:r>
        <w:rPr>
          <w:rFonts w:hint="eastAsia"/>
          <w:highlight w:val="none"/>
          <w:lang w:val="en-US" w:eastAsia="zh-CN"/>
        </w:rPr>
        <w:t>产品金属块</w:t>
      </w:r>
      <w:r>
        <w:rPr>
          <w:rFonts w:hint="eastAsia"/>
          <w:highlight w:val="none"/>
        </w:rPr>
        <w:t>。危险废物收集、贮存、运输由专人负责，建立危险废物管理台账，通过固体废物环境管理信息系统申报，符合《黑龙江省强化危险废物监管和利用处置能力改革工作方案》要求。</w:t>
      </w:r>
    </w:p>
    <w:p w14:paraId="31E597EC">
      <w:pPr>
        <w:pStyle w:val="4"/>
        <w:bidi w:val="0"/>
        <w:rPr>
          <w:rFonts w:hint="default"/>
          <w:highlight w:val="none"/>
        </w:rPr>
      </w:pPr>
      <w:bookmarkStart w:id="90" w:name="_Toc31064"/>
      <w:bookmarkStart w:id="91" w:name="_Toc28583"/>
      <w:r>
        <w:rPr>
          <w:rFonts w:hint="eastAsia"/>
          <w:highlight w:val="none"/>
          <w:lang w:val="en-US" w:eastAsia="zh-CN"/>
        </w:rPr>
        <w:t>1.4.17</w:t>
      </w:r>
      <w:r>
        <w:rPr>
          <w:rFonts w:hint="default"/>
          <w:highlight w:val="none"/>
        </w:rPr>
        <w:t>与《黑龙江省重点行业挥发性有机物综合治理行动方案》（黑环发[2019]153号）符合性分析</w:t>
      </w:r>
      <w:bookmarkEnd w:id="90"/>
      <w:bookmarkEnd w:id="91"/>
    </w:p>
    <w:p w14:paraId="50559A0C">
      <w:pPr>
        <w:keepNext w:val="0"/>
        <w:keepLines w:val="0"/>
        <w:pageBreakBefore w:val="0"/>
        <w:widowControl/>
        <w:kinsoku/>
        <w:wordWrap w:val="0"/>
        <w:overflowPunct/>
        <w:topLinePunct w:val="0"/>
        <w:autoSpaceDE/>
        <w:autoSpaceDN/>
        <w:bidi w:val="0"/>
        <w:adjustRightInd w:val="0"/>
        <w:snapToGrid w:val="0"/>
        <w:textAlignment w:val="auto"/>
        <w:rPr>
          <w:rFonts w:hint="default"/>
          <w:highlight w:val="none"/>
        </w:rPr>
      </w:pPr>
      <w:r>
        <w:rPr>
          <w:rFonts w:hint="default"/>
          <w:highlight w:val="none"/>
        </w:rPr>
        <w:t>本项目与《黑龙江省重点行业挥发性有机物综合治理行动方案》（黑环发[2019]153号）符合性分析情况见</w:t>
      </w:r>
      <w:r>
        <w:rPr>
          <w:rFonts w:hint="eastAsia"/>
          <w:highlight w:val="none"/>
          <w:lang w:val="en-US" w:eastAsia="zh-CN"/>
        </w:rPr>
        <w:t>下</w:t>
      </w:r>
      <w:r>
        <w:rPr>
          <w:rFonts w:hint="default"/>
          <w:highlight w:val="none"/>
        </w:rPr>
        <w:t>表。</w:t>
      </w:r>
    </w:p>
    <w:p w14:paraId="19C5630C">
      <w:pPr>
        <w:pStyle w:val="7"/>
        <w:bidi w:val="0"/>
        <w:rPr>
          <w:rFonts w:hint="default"/>
          <w:highlight w:val="none"/>
        </w:rPr>
      </w:pPr>
      <w:r>
        <w:rPr>
          <w:rFonts w:hint="default"/>
          <w:highlight w:val="none"/>
        </w:rPr>
        <w:t>表1-4-</w:t>
      </w:r>
      <w:r>
        <w:rPr>
          <w:rFonts w:hint="eastAsia"/>
          <w:highlight w:val="none"/>
          <w:lang w:val="en-US" w:eastAsia="zh-CN"/>
        </w:rPr>
        <w:t>9</w:t>
      </w:r>
      <w:r>
        <w:rPr>
          <w:rFonts w:hint="default"/>
          <w:highlight w:val="none"/>
        </w:rPr>
        <w:t>与《黑龙江省重点行业挥发性有机物综合治理行动方案》（黑环发[2019]153号）符合性分析</w:t>
      </w:r>
    </w:p>
    <w:tbl>
      <w:tblPr>
        <w:tblStyle w:val="46"/>
        <w:tblW w:w="0" w:type="auto"/>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546"/>
        <w:gridCol w:w="3402"/>
        <w:gridCol w:w="3260"/>
        <w:gridCol w:w="772"/>
      </w:tblGrid>
      <w:tr w14:paraId="59E986F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42" w:hRule="atLeast"/>
          <w:jc w:val="center"/>
        </w:trPr>
        <w:tc>
          <w:tcPr>
            <w:tcW w:w="546" w:type="dxa"/>
            <w:vAlign w:val="center"/>
          </w:tcPr>
          <w:p w14:paraId="0727A18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bCs/>
                <w:color w:val="000000" w:themeColor="text1"/>
                <w:kern w:val="21"/>
                <w:sz w:val="21"/>
                <w:szCs w:val="21"/>
                <w:highlight w:val="none"/>
              </w:rPr>
            </w:pPr>
            <w:r>
              <w:rPr>
                <w:rFonts w:hint="eastAsia" w:ascii="Times New Roman" w:hAnsi="Times New Roman"/>
                <w:bCs/>
                <w:color w:val="000000" w:themeColor="text1"/>
                <w:kern w:val="21"/>
                <w:sz w:val="21"/>
                <w:szCs w:val="21"/>
                <w:highlight w:val="none"/>
              </w:rPr>
              <w:t>序号</w:t>
            </w:r>
          </w:p>
        </w:tc>
        <w:tc>
          <w:tcPr>
            <w:tcW w:w="3402" w:type="dxa"/>
            <w:vAlign w:val="center"/>
          </w:tcPr>
          <w:p w14:paraId="78DC352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bCs/>
                <w:color w:val="000000" w:themeColor="text1"/>
                <w:kern w:val="21"/>
                <w:sz w:val="21"/>
                <w:szCs w:val="21"/>
                <w:highlight w:val="none"/>
              </w:rPr>
            </w:pPr>
            <w:r>
              <w:rPr>
                <w:rFonts w:hint="eastAsia" w:ascii="Times New Roman" w:hAnsi="Times New Roman"/>
                <w:bCs/>
                <w:color w:val="000000" w:themeColor="text1"/>
                <w:kern w:val="21"/>
                <w:sz w:val="21"/>
                <w:szCs w:val="21"/>
                <w:highlight w:val="none"/>
              </w:rPr>
              <w:t>黑龙江省重点行业挥发性有机物综合治理行动方案要求</w:t>
            </w:r>
          </w:p>
        </w:tc>
        <w:tc>
          <w:tcPr>
            <w:tcW w:w="3260" w:type="dxa"/>
            <w:vAlign w:val="center"/>
          </w:tcPr>
          <w:p w14:paraId="10D18D4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bCs/>
                <w:color w:val="000000" w:themeColor="text1"/>
                <w:kern w:val="21"/>
                <w:sz w:val="21"/>
                <w:szCs w:val="21"/>
                <w:highlight w:val="none"/>
              </w:rPr>
            </w:pPr>
            <w:r>
              <w:rPr>
                <w:rFonts w:hint="eastAsia" w:ascii="Times New Roman" w:hAnsi="Times New Roman"/>
                <w:bCs/>
                <w:color w:val="000000" w:themeColor="text1"/>
                <w:kern w:val="21"/>
                <w:sz w:val="21"/>
                <w:szCs w:val="21"/>
                <w:highlight w:val="none"/>
              </w:rPr>
              <w:t>本项目</w:t>
            </w:r>
          </w:p>
        </w:tc>
        <w:tc>
          <w:tcPr>
            <w:tcW w:w="772" w:type="dxa"/>
            <w:vAlign w:val="center"/>
          </w:tcPr>
          <w:p w14:paraId="31D5530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bCs/>
                <w:color w:val="000000" w:themeColor="text1"/>
                <w:kern w:val="21"/>
                <w:sz w:val="21"/>
                <w:szCs w:val="21"/>
                <w:highlight w:val="none"/>
              </w:rPr>
            </w:pPr>
            <w:r>
              <w:rPr>
                <w:rFonts w:hint="eastAsia" w:ascii="Times New Roman" w:hAnsi="Times New Roman"/>
                <w:bCs/>
                <w:color w:val="000000" w:themeColor="text1"/>
                <w:kern w:val="21"/>
                <w:sz w:val="21"/>
                <w:szCs w:val="21"/>
                <w:highlight w:val="none"/>
              </w:rPr>
              <w:t>符合性</w:t>
            </w:r>
          </w:p>
        </w:tc>
      </w:tr>
      <w:tr w14:paraId="086DF15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754" w:hRule="atLeast"/>
          <w:jc w:val="center"/>
        </w:trPr>
        <w:tc>
          <w:tcPr>
            <w:tcW w:w="546" w:type="dxa"/>
            <w:vAlign w:val="center"/>
          </w:tcPr>
          <w:p w14:paraId="377BA1B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bCs/>
                <w:color w:val="000000" w:themeColor="text1"/>
                <w:kern w:val="21"/>
                <w:sz w:val="21"/>
                <w:szCs w:val="21"/>
                <w:highlight w:val="none"/>
              </w:rPr>
            </w:pPr>
            <w:r>
              <w:rPr>
                <w:rFonts w:hint="eastAsia" w:ascii="Times New Roman" w:hAnsi="Times New Roman"/>
                <w:bCs/>
                <w:color w:val="000000" w:themeColor="text1"/>
                <w:kern w:val="21"/>
                <w:sz w:val="21"/>
                <w:szCs w:val="21"/>
                <w:highlight w:val="none"/>
              </w:rPr>
              <w:t>1</w:t>
            </w:r>
          </w:p>
        </w:tc>
        <w:tc>
          <w:tcPr>
            <w:tcW w:w="3402" w:type="dxa"/>
            <w:vAlign w:val="center"/>
          </w:tcPr>
          <w:p w14:paraId="7838603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bCs/>
                <w:color w:val="000000" w:themeColor="text1"/>
                <w:kern w:val="21"/>
                <w:sz w:val="21"/>
                <w:szCs w:val="21"/>
                <w:highlight w:val="none"/>
              </w:rPr>
            </w:pPr>
            <w:r>
              <w:rPr>
                <w:rFonts w:hint="eastAsia" w:ascii="Times New Roman" w:hAnsi="Times New Roman"/>
                <w:bCs/>
                <w:color w:val="000000" w:themeColor="text1"/>
                <w:kern w:val="21"/>
                <w:sz w:val="21"/>
                <w:szCs w:val="21"/>
                <w:highlight w:val="none"/>
              </w:rPr>
              <w:t>强化源头控制，加快使用粉末、水性、高固体分、辐射固化等低VOCs含量的涂料替代溶剂型涂料。工程机械制造大力推广使用水性、粉末和高固体分涂料。工业涂装、包装印刷等行业要加大源头替代力度。</w:t>
            </w:r>
          </w:p>
        </w:tc>
        <w:tc>
          <w:tcPr>
            <w:tcW w:w="3260" w:type="dxa"/>
            <w:vAlign w:val="center"/>
          </w:tcPr>
          <w:p w14:paraId="0456178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bCs/>
                <w:color w:val="000000" w:themeColor="text1"/>
                <w:kern w:val="21"/>
                <w:sz w:val="21"/>
                <w:szCs w:val="21"/>
                <w:highlight w:val="none"/>
              </w:rPr>
            </w:pPr>
            <w:r>
              <w:rPr>
                <w:rFonts w:hint="eastAsia" w:ascii="Times New Roman" w:hAnsi="Times New Roman"/>
                <w:bCs/>
                <w:color w:val="000000" w:themeColor="text1"/>
                <w:kern w:val="21"/>
                <w:sz w:val="21"/>
                <w:szCs w:val="21"/>
                <w:highlight w:val="none"/>
              </w:rPr>
              <w:t>本项目不涉及涂料的使用</w:t>
            </w:r>
          </w:p>
        </w:tc>
        <w:tc>
          <w:tcPr>
            <w:tcW w:w="772" w:type="dxa"/>
            <w:vAlign w:val="center"/>
          </w:tcPr>
          <w:p w14:paraId="3EA21CA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bCs/>
                <w:color w:val="000000" w:themeColor="text1"/>
                <w:kern w:val="21"/>
                <w:sz w:val="21"/>
                <w:szCs w:val="21"/>
                <w:highlight w:val="none"/>
              </w:rPr>
            </w:pPr>
            <w:r>
              <w:rPr>
                <w:rFonts w:hint="eastAsia" w:ascii="Times New Roman" w:hAnsi="Times New Roman"/>
                <w:bCs/>
                <w:color w:val="000000" w:themeColor="text1"/>
                <w:kern w:val="21"/>
                <w:sz w:val="21"/>
                <w:szCs w:val="21"/>
                <w:highlight w:val="none"/>
              </w:rPr>
              <w:t>符合</w:t>
            </w:r>
          </w:p>
        </w:tc>
      </w:tr>
      <w:tr w14:paraId="53E91CD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754" w:hRule="atLeast"/>
          <w:jc w:val="center"/>
        </w:trPr>
        <w:tc>
          <w:tcPr>
            <w:tcW w:w="546" w:type="dxa"/>
            <w:vAlign w:val="center"/>
          </w:tcPr>
          <w:p w14:paraId="1BE6874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bCs/>
                <w:color w:val="000000" w:themeColor="text1"/>
                <w:kern w:val="21"/>
                <w:sz w:val="21"/>
                <w:szCs w:val="21"/>
                <w:highlight w:val="none"/>
              </w:rPr>
            </w:pPr>
            <w:r>
              <w:rPr>
                <w:rFonts w:hint="eastAsia" w:ascii="Times New Roman" w:hAnsi="Times New Roman"/>
                <w:bCs/>
                <w:color w:val="000000" w:themeColor="text1"/>
                <w:kern w:val="21"/>
                <w:sz w:val="21"/>
                <w:szCs w:val="21"/>
                <w:highlight w:val="none"/>
              </w:rPr>
              <w:t>2</w:t>
            </w:r>
          </w:p>
        </w:tc>
        <w:tc>
          <w:tcPr>
            <w:tcW w:w="3402" w:type="dxa"/>
            <w:vAlign w:val="center"/>
          </w:tcPr>
          <w:p w14:paraId="6D10904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bCs/>
                <w:color w:val="000000" w:themeColor="text1"/>
                <w:kern w:val="21"/>
                <w:sz w:val="21"/>
                <w:szCs w:val="21"/>
                <w:highlight w:val="none"/>
              </w:rPr>
            </w:pPr>
            <w:r>
              <w:rPr>
                <w:rFonts w:hint="eastAsia" w:ascii="Times New Roman" w:hAnsi="Times New Roman"/>
                <w:bCs/>
                <w:color w:val="000000" w:themeColor="text1"/>
                <w:kern w:val="21"/>
                <w:sz w:val="21"/>
                <w:szCs w:val="21"/>
                <w:highlight w:val="none"/>
              </w:rPr>
              <w:t>鼓励企业采用符合国家有关低VOCs含量产品规定的涂料、油墨、胶粘剂等，排放浓度稳定达标且排放速率、排放绩效等满足国家相关规定的，相应生产工序可不要求建设末端治理设施。使用的原辅材料VOCs含量（质量比）低于10%的工序，可不要求采取无组织排放收集措施。鼓励企业采用符合国家有关低VOCs含量产品规定的涂料、油墨、胶粘剂等，排放浓度稳定达标且排放速率、排放绩效等满足国家相关规定的，相应生产工序可不要求建设末端治理设施。使用的原辅材料VOCs含量（质量比）低于10%的工序，可不要求采取无组织排放收集措施。</w:t>
            </w:r>
          </w:p>
        </w:tc>
        <w:tc>
          <w:tcPr>
            <w:tcW w:w="3260" w:type="dxa"/>
            <w:vAlign w:val="center"/>
          </w:tcPr>
          <w:p w14:paraId="08418F4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bCs/>
                <w:color w:val="000000" w:themeColor="text1"/>
                <w:kern w:val="21"/>
                <w:sz w:val="21"/>
                <w:szCs w:val="21"/>
                <w:highlight w:val="none"/>
              </w:rPr>
            </w:pPr>
            <w:r>
              <w:rPr>
                <w:rFonts w:hint="eastAsia" w:ascii="Times New Roman" w:hAnsi="Times New Roman"/>
                <w:bCs/>
                <w:color w:val="000000" w:themeColor="text1"/>
                <w:kern w:val="21"/>
                <w:sz w:val="21"/>
                <w:szCs w:val="21"/>
                <w:highlight w:val="none"/>
              </w:rPr>
              <w:t>本项目涉及的原辅材料有封口胶，属于胶粘剂，根据产品质量说明说，其VOCs含量低于10%，当温度高于150</w:t>
            </w:r>
            <w:r>
              <w:rPr>
                <w:rFonts w:hint="eastAsia" w:ascii="宋体" w:hAnsi="宋体" w:cs="宋体"/>
                <w:bCs/>
                <w:color w:val="000000" w:themeColor="text1"/>
                <w:kern w:val="21"/>
                <w:sz w:val="21"/>
                <w:szCs w:val="21"/>
                <w:highlight w:val="none"/>
              </w:rPr>
              <w:t>℃时，会产生甲醛蒸汽，在与湿气接触时，会产生甲基乙级酮肟，具有毒性，本项目涂胶工序为常温涂胶，生产工艺无需加热，温度不会达到</w:t>
            </w:r>
            <w:r>
              <w:rPr>
                <w:rFonts w:hint="eastAsia" w:ascii="Times New Roman" w:hAnsi="Times New Roman"/>
                <w:bCs/>
                <w:color w:val="000000" w:themeColor="text1"/>
                <w:kern w:val="21"/>
                <w:sz w:val="21"/>
                <w:szCs w:val="21"/>
                <w:highlight w:val="none"/>
              </w:rPr>
              <w:t>150</w:t>
            </w:r>
            <w:r>
              <w:rPr>
                <w:rFonts w:hint="eastAsia" w:ascii="宋体" w:hAnsi="宋体" w:cs="宋体"/>
                <w:bCs/>
                <w:color w:val="000000" w:themeColor="text1"/>
                <w:kern w:val="21"/>
                <w:sz w:val="21"/>
                <w:szCs w:val="21"/>
                <w:highlight w:val="none"/>
              </w:rPr>
              <w:t>℃，因此不会产生甲醛蒸汽，生产车间保持干燥通风，涂胶工序杜绝与湿气接触，因此不会产生甲基乙级酮肟，</w:t>
            </w:r>
            <w:r>
              <w:rPr>
                <w:rFonts w:hint="eastAsia" w:ascii="Times New Roman" w:hAnsi="Times New Roman"/>
                <w:bCs/>
                <w:color w:val="000000" w:themeColor="text1"/>
                <w:kern w:val="21"/>
                <w:sz w:val="21"/>
                <w:szCs w:val="21"/>
                <w:highlight w:val="none"/>
              </w:rPr>
              <w:t>从源头控制VOCs产生。</w:t>
            </w:r>
            <w:r>
              <w:rPr>
                <w:rFonts w:hint="eastAsia" w:ascii="Times New Roman" w:hAnsi="Times New Roman"/>
                <w:bCs/>
                <w:color w:val="000000" w:themeColor="text1"/>
                <w:kern w:val="21"/>
                <w:sz w:val="21"/>
                <w:szCs w:val="21"/>
                <w:highlight w:val="none"/>
                <w:lang w:val="en-US" w:eastAsia="zh-CN"/>
              </w:rPr>
              <w:t>厂界</w:t>
            </w:r>
            <w:r>
              <w:rPr>
                <w:rFonts w:hint="eastAsia" w:ascii="Times New Roman" w:hAnsi="Times New Roman"/>
                <w:color w:val="000000" w:themeColor="text1"/>
                <w:kern w:val="24"/>
                <w:sz w:val="21"/>
                <w:szCs w:val="21"/>
                <w:highlight w:val="none"/>
              </w:rPr>
              <w:t>非甲烷总烃满足</w:t>
            </w:r>
            <w:r>
              <w:rPr>
                <w:rFonts w:hint="default" w:ascii="Times New Roman" w:hAnsi="Times New Roman"/>
                <w:color w:val="000000" w:themeColor="text1"/>
                <w:kern w:val="24"/>
                <w:sz w:val="21"/>
                <w:szCs w:val="21"/>
                <w:highlight w:val="none"/>
              </w:rPr>
              <w:t>《大气污染物综合排放标准》(GB116297-1996)表2</w:t>
            </w:r>
            <w:r>
              <w:rPr>
                <w:rFonts w:hint="eastAsia" w:ascii="Times New Roman" w:hAnsi="Times New Roman"/>
                <w:color w:val="000000" w:themeColor="text1"/>
                <w:kern w:val="24"/>
                <w:sz w:val="21"/>
                <w:szCs w:val="21"/>
                <w:highlight w:val="none"/>
              </w:rPr>
              <w:t>无组织控制标准，厂房外非甲烷总烃</w:t>
            </w:r>
            <w:r>
              <w:rPr>
                <w:rFonts w:hint="default" w:ascii="Times New Roman" w:hAnsi="Times New Roman"/>
                <w:color w:val="000000" w:themeColor="text1"/>
                <w:kern w:val="24"/>
                <w:sz w:val="21"/>
                <w:szCs w:val="21"/>
                <w:highlight w:val="none"/>
              </w:rPr>
              <w:t>《挥发性有机物无组织排放控制标准》（GB37822—2019）表A.1排放标准限值</w:t>
            </w:r>
            <w:r>
              <w:rPr>
                <w:rFonts w:hint="eastAsia" w:ascii="Times New Roman" w:hAnsi="Times New Roman"/>
                <w:color w:val="000000" w:themeColor="text1"/>
                <w:kern w:val="24"/>
                <w:sz w:val="21"/>
                <w:szCs w:val="21"/>
                <w:highlight w:val="none"/>
              </w:rPr>
              <w:t>。</w:t>
            </w:r>
          </w:p>
        </w:tc>
        <w:tc>
          <w:tcPr>
            <w:tcW w:w="772" w:type="dxa"/>
            <w:vAlign w:val="center"/>
          </w:tcPr>
          <w:p w14:paraId="7D144CC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bCs/>
                <w:color w:val="000000" w:themeColor="text1"/>
                <w:kern w:val="21"/>
                <w:sz w:val="21"/>
                <w:szCs w:val="21"/>
                <w:highlight w:val="none"/>
              </w:rPr>
            </w:pPr>
            <w:r>
              <w:rPr>
                <w:rFonts w:hint="eastAsia" w:ascii="Times New Roman" w:hAnsi="Times New Roman"/>
                <w:bCs/>
                <w:color w:val="000000" w:themeColor="text1"/>
                <w:kern w:val="21"/>
                <w:sz w:val="21"/>
                <w:szCs w:val="21"/>
                <w:highlight w:val="none"/>
              </w:rPr>
              <w:t>符合</w:t>
            </w:r>
          </w:p>
        </w:tc>
      </w:tr>
      <w:tr w14:paraId="10DE19C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30" w:hRule="atLeast"/>
          <w:jc w:val="center"/>
        </w:trPr>
        <w:tc>
          <w:tcPr>
            <w:tcW w:w="546" w:type="dxa"/>
            <w:vAlign w:val="center"/>
          </w:tcPr>
          <w:p w14:paraId="3BD36E3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bCs/>
                <w:color w:val="000000" w:themeColor="text1"/>
                <w:kern w:val="21"/>
                <w:sz w:val="21"/>
                <w:szCs w:val="21"/>
                <w:highlight w:val="none"/>
              </w:rPr>
            </w:pPr>
            <w:r>
              <w:rPr>
                <w:rFonts w:hint="eastAsia" w:ascii="Times New Roman" w:hAnsi="Times New Roman"/>
                <w:bCs/>
                <w:color w:val="000000" w:themeColor="text1"/>
                <w:kern w:val="21"/>
                <w:sz w:val="21"/>
                <w:szCs w:val="21"/>
                <w:highlight w:val="none"/>
              </w:rPr>
              <w:t>3</w:t>
            </w:r>
          </w:p>
        </w:tc>
        <w:tc>
          <w:tcPr>
            <w:tcW w:w="3402" w:type="dxa"/>
            <w:vAlign w:val="center"/>
          </w:tcPr>
          <w:p w14:paraId="7A89E1C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bCs/>
                <w:color w:val="000000" w:themeColor="text1"/>
                <w:kern w:val="21"/>
                <w:sz w:val="21"/>
                <w:szCs w:val="21"/>
                <w:highlight w:val="none"/>
              </w:rPr>
            </w:pPr>
            <w:r>
              <w:rPr>
                <w:rFonts w:hint="eastAsia" w:ascii="Times New Roman" w:hAnsi="Times New Roman"/>
                <w:bCs/>
                <w:color w:val="000000" w:themeColor="text1"/>
                <w:kern w:val="21"/>
                <w:sz w:val="21"/>
                <w:szCs w:val="21"/>
                <w:highlight w:val="none"/>
              </w:rPr>
              <w:t>有效控制无组织排放。涂料、稀释剂、清洗</w:t>
            </w:r>
            <w:r>
              <w:rPr>
                <w:rFonts w:hint="eastAsia"/>
                <w:bCs/>
                <w:color w:val="000000" w:themeColor="text1"/>
                <w:kern w:val="21"/>
                <w:sz w:val="21"/>
                <w:szCs w:val="21"/>
                <w:highlight w:val="none"/>
                <w:lang w:val="en-US" w:eastAsia="zh-CN"/>
              </w:rPr>
              <w:t>剂</w:t>
            </w:r>
            <w:r>
              <w:rPr>
                <w:rFonts w:hint="eastAsia" w:ascii="Times New Roman" w:hAnsi="Times New Roman"/>
                <w:bCs/>
                <w:color w:val="000000" w:themeColor="text1"/>
                <w:kern w:val="21"/>
                <w:sz w:val="21"/>
                <w:szCs w:val="21"/>
                <w:highlight w:val="none"/>
              </w:rPr>
              <w:t>等原辅料应密闭存储，调配、使用、回收等过程采用密闭设备或在密闭空间内操作，采用密闭管道或密闭容器等输送。除大型工件外，禁止敞开式喷涂、晾（风）干作业、除工艺限制外，原则是实行集中调配、调配、喷涂和干燥等VOCs排放工序应配备有效废气收集系统。</w:t>
            </w:r>
          </w:p>
        </w:tc>
        <w:tc>
          <w:tcPr>
            <w:tcW w:w="3260" w:type="dxa"/>
            <w:vAlign w:val="center"/>
          </w:tcPr>
          <w:p w14:paraId="5F3D8FE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bCs/>
                <w:color w:val="000000" w:themeColor="text1"/>
                <w:kern w:val="21"/>
                <w:sz w:val="21"/>
                <w:szCs w:val="21"/>
                <w:highlight w:val="none"/>
              </w:rPr>
            </w:pPr>
            <w:r>
              <w:rPr>
                <w:rFonts w:hint="eastAsia" w:ascii="Times New Roman" w:hAnsi="Times New Roman"/>
                <w:bCs/>
                <w:color w:val="000000" w:themeColor="text1"/>
                <w:kern w:val="21"/>
                <w:sz w:val="21"/>
                <w:szCs w:val="21"/>
                <w:highlight w:val="none"/>
              </w:rPr>
              <w:t>机加工序设置于2号厂房内，加工中心均为封闭设备，机械加工工序设置2套油雾净化装置，产生的油雾废气分别经油雾净化装置处理后，经集气罩收集，由2根新建23m排气筒排放；装配工序及热试验工序设置于4号厂房内，热试验间及装配区域产生的尾气采用三元催化器进行处理，后由1根新建23m排气筒排放；含油金属屑加工生产线位于变速器机加厂房北侧，产生的油雾、挥发性有机物（以非甲烷总烃计）、颗粒物及臭气浓度通过油雾净化装置+活性炭吸附装置处理后由1根新建23m排气筒排放；封口胶采取密闭容器储存，生产使用设备均密闭输送，产生的少量挥发废气在车间内无组织排放</w:t>
            </w:r>
          </w:p>
        </w:tc>
        <w:tc>
          <w:tcPr>
            <w:tcW w:w="772" w:type="dxa"/>
            <w:vAlign w:val="center"/>
          </w:tcPr>
          <w:p w14:paraId="3252123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bCs/>
                <w:color w:val="000000" w:themeColor="text1"/>
                <w:kern w:val="21"/>
                <w:sz w:val="21"/>
                <w:szCs w:val="21"/>
                <w:highlight w:val="none"/>
              </w:rPr>
            </w:pPr>
            <w:r>
              <w:rPr>
                <w:rFonts w:hint="eastAsia" w:ascii="Times New Roman" w:hAnsi="Times New Roman"/>
                <w:bCs/>
                <w:color w:val="000000" w:themeColor="text1"/>
                <w:kern w:val="21"/>
                <w:sz w:val="21"/>
                <w:szCs w:val="21"/>
                <w:highlight w:val="none"/>
              </w:rPr>
              <w:t>符合</w:t>
            </w:r>
          </w:p>
        </w:tc>
      </w:tr>
    </w:tbl>
    <w:p w14:paraId="4CC38802">
      <w:pPr>
        <w:pStyle w:val="4"/>
        <w:bidi w:val="0"/>
        <w:rPr>
          <w:rFonts w:hint="eastAsia"/>
          <w:highlight w:val="none"/>
          <w:lang w:eastAsia="zh-CN"/>
        </w:rPr>
      </w:pPr>
      <w:bookmarkStart w:id="92" w:name="_Toc28084"/>
      <w:bookmarkStart w:id="93" w:name="_Toc24426"/>
      <w:r>
        <w:rPr>
          <w:highlight w:val="none"/>
        </w:rPr>
        <w:t>1.4.</w:t>
      </w:r>
      <w:r>
        <w:rPr>
          <w:rFonts w:hint="eastAsia"/>
          <w:highlight w:val="none"/>
          <w:lang w:val="en-US" w:eastAsia="zh-CN"/>
        </w:rPr>
        <w:t>18</w:t>
      </w:r>
      <w:r>
        <w:rPr>
          <w:rFonts w:hint="eastAsia"/>
          <w:highlight w:val="none"/>
        </w:rPr>
        <w:t>与《黑龙江省哈尔滨市城乡固体废物分类治理专项规划（2019-2035年）修编》及《黑龙江省哈尔滨市城乡固体废物分类治理专项规划（2019-2035年）（修编）环境影响报告书》及其审查意见</w:t>
      </w:r>
      <w:r>
        <w:rPr>
          <w:rFonts w:hint="eastAsia"/>
          <w:highlight w:val="none"/>
          <w:lang w:val="en-US" w:eastAsia="zh-CN"/>
        </w:rPr>
        <w:t>的</w:t>
      </w:r>
      <w:r>
        <w:rPr>
          <w:rFonts w:hint="eastAsia"/>
          <w:highlight w:val="none"/>
        </w:rPr>
        <w:t>符合性分析</w:t>
      </w:r>
      <w:bookmarkEnd w:id="92"/>
      <w:bookmarkEnd w:id="93"/>
    </w:p>
    <w:p w14:paraId="732B756A">
      <w:pPr>
        <w:keepNext w:val="0"/>
        <w:keepLines w:val="0"/>
        <w:pageBreakBefore w:val="0"/>
        <w:widowControl w:val="0"/>
        <w:kinsoku/>
        <w:wordWrap w:val="0"/>
        <w:overflowPunct/>
        <w:topLinePunct w:val="0"/>
        <w:autoSpaceDE/>
        <w:autoSpaceDN/>
        <w:bidi w:val="0"/>
        <w:adjustRightInd w:val="0"/>
        <w:snapToGrid w:val="0"/>
        <w:textAlignment w:val="auto"/>
        <w:outlineLvl w:val="9"/>
        <w:rPr>
          <w:rFonts w:hint="eastAsia"/>
          <w:highlight w:val="none"/>
        </w:rPr>
      </w:pPr>
      <w:r>
        <w:rPr>
          <w:rFonts w:hint="eastAsia"/>
          <w:highlight w:val="none"/>
        </w:rPr>
        <w:t>《黑龙江省哈尔滨市城乡固体废物分类治理布局规划（2019-2035年）》于2019年9月16日取得了哈尔滨市人民政府出具的《关于&lt;哈尔滨市城乡固体废物分类治理专项规划（2019-2035年）&gt;&lt;哈尔滨市玉泉固废综合处理园区总体规划（2019-2035年）&gt;和部分地块控制性详细规划及调整项目的批复》（哈政发[2019]46号）。</w:t>
      </w:r>
    </w:p>
    <w:p w14:paraId="5606BFE8">
      <w:pPr>
        <w:keepNext w:val="0"/>
        <w:keepLines w:val="0"/>
        <w:pageBreakBefore w:val="0"/>
        <w:widowControl w:val="0"/>
        <w:kinsoku/>
        <w:wordWrap w:val="0"/>
        <w:overflowPunct/>
        <w:topLinePunct w:val="0"/>
        <w:autoSpaceDE/>
        <w:autoSpaceDN/>
        <w:bidi w:val="0"/>
        <w:adjustRightInd w:val="0"/>
        <w:snapToGrid w:val="0"/>
        <w:textAlignment w:val="auto"/>
        <w:outlineLvl w:val="9"/>
        <w:rPr>
          <w:rFonts w:hint="eastAsia"/>
          <w:highlight w:val="none"/>
        </w:rPr>
      </w:pPr>
      <w:r>
        <w:rPr>
          <w:rFonts w:hint="eastAsia"/>
          <w:highlight w:val="none"/>
        </w:rPr>
        <w:t>于2019年8月22日取得由哈尔滨市生态环境局出具的《哈尔滨市生态环境局关于对黑龙江省哈尔滨市城乡固体废物分类治理专项规划（2019-2035年）环境影响报告书的审查意见》。</w:t>
      </w:r>
    </w:p>
    <w:p w14:paraId="21A1FB3D">
      <w:pPr>
        <w:bidi w:val="0"/>
        <w:rPr>
          <w:rFonts w:hint="eastAsia"/>
          <w:highlight w:val="none"/>
        </w:rPr>
      </w:pPr>
      <w:r>
        <w:rPr>
          <w:rFonts w:hint="eastAsia"/>
          <w:highlight w:val="none"/>
        </w:rPr>
        <w:t>于2021年12月3日取得由哈尔滨市生态环境局出具的《哈尔滨市生态环境局关于对黑龙江省哈尔滨市城乡固体废物分类治理专项规划（2019-2035年）（修编）环境影响报告书的审查意见》。</w:t>
      </w:r>
    </w:p>
    <w:p w14:paraId="48A9607B">
      <w:pPr>
        <w:bidi w:val="0"/>
        <w:rPr>
          <w:rFonts w:hint="eastAsia"/>
          <w:highlight w:val="none"/>
        </w:rPr>
      </w:pPr>
      <w:r>
        <w:rPr>
          <w:rFonts w:hint="eastAsia"/>
          <w:highlight w:val="none"/>
          <w:lang w:val="en-US" w:eastAsia="zh-CN"/>
        </w:rPr>
        <w:t>（1）</w:t>
      </w:r>
      <w:r>
        <w:rPr>
          <w:rFonts w:hint="eastAsia"/>
          <w:highlight w:val="none"/>
        </w:rPr>
        <w:t>规划总论</w:t>
      </w:r>
    </w:p>
    <w:p w14:paraId="6C544E61">
      <w:pPr>
        <w:bidi w:val="0"/>
        <w:rPr>
          <w:rFonts w:hint="eastAsia"/>
          <w:highlight w:val="none"/>
        </w:rPr>
      </w:pPr>
      <w:r>
        <w:rPr>
          <w:rFonts w:hint="default"/>
          <w:highlight w:val="none"/>
          <w:lang w:val="en-US" w:eastAsia="zh-CN"/>
        </w:rPr>
        <w:t>①</w:t>
      </w:r>
      <w:r>
        <w:rPr>
          <w:rFonts w:hint="eastAsia"/>
          <w:highlight w:val="none"/>
        </w:rPr>
        <w:t>规划范围：规划范围为哈尔滨市城市规划区，规划面积758km2，规划研究区域为哈尔滨市所辖行政区范围，总规划面积5.31万km2，包括九个市辖区和九县（市）：道里区、南岗区、道外区、香坊区、平房区、松北区、呼兰区、阿城区、双城区和依兰县、方正县、宾县、巴彦县、木兰县、通河县、延寿县、尚志市、五常市。</w:t>
      </w:r>
    </w:p>
    <w:p w14:paraId="457CEBFA">
      <w:pPr>
        <w:bidi w:val="0"/>
        <w:rPr>
          <w:rFonts w:hint="eastAsia"/>
          <w:highlight w:val="none"/>
        </w:rPr>
      </w:pPr>
      <w:r>
        <w:rPr>
          <w:rFonts w:hint="default"/>
          <w:highlight w:val="none"/>
          <w:lang w:val="en-US" w:eastAsia="zh-CN"/>
        </w:rPr>
        <w:t>②</w:t>
      </w:r>
      <w:r>
        <w:rPr>
          <w:rFonts w:hint="eastAsia"/>
          <w:highlight w:val="none"/>
        </w:rPr>
        <w:t>规划期限：规划基准年为2019年，规划近期2021-2025年；规划远期2026-2035年。</w:t>
      </w:r>
    </w:p>
    <w:p w14:paraId="638FAC41">
      <w:pPr>
        <w:bidi w:val="0"/>
        <w:rPr>
          <w:rFonts w:hint="eastAsia"/>
          <w:highlight w:val="none"/>
        </w:rPr>
      </w:pPr>
      <w:r>
        <w:rPr>
          <w:rFonts w:hint="default"/>
          <w:highlight w:val="none"/>
          <w:lang w:val="en-US" w:eastAsia="zh-CN"/>
        </w:rPr>
        <w:t>③</w:t>
      </w:r>
      <w:r>
        <w:rPr>
          <w:rFonts w:hint="eastAsia"/>
          <w:highlight w:val="none"/>
        </w:rPr>
        <w:t>规划对象：对规划范围内产生的生活垃圾、餐厨垃圾、建筑垃圾、危险废物、一般工业固体废物共五项固体废物进行研究，并规划处理处置及资源化处理设施的布局等。</w:t>
      </w:r>
    </w:p>
    <w:p w14:paraId="2A56E674">
      <w:pPr>
        <w:bidi w:val="0"/>
        <w:rPr>
          <w:rFonts w:hint="eastAsia"/>
          <w:highlight w:val="none"/>
        </w:rPr>
      </w:pPr>
      <w:r>
        <w:rPr>
          <w:rFonts w:hint="eastAsia"/>
          <w:highlight w:val="none"/>
          <w:lang w:val="en-US" w:eastAsia="zh-CN"/>
        </w:rPr>
        <w:t>（2）</w:t>
      </w:r>
      <w:r>
        <w:rPr>
          <w:rFonts w:hint="eastAsia"/>
          <w:highlight w:val="none"/>
        </w:rPr>
        <w:t>危险废物规划</w:t>
      </w:r>
    </w:p>
    <w:p w14:paraId="2674FF4A">
      <w:pPr>
        <w:bidi w:val="0"/>
        <w:rPr>
          <w:rFonts w:hint="eastAsia"/>
          <w:highlight w:val="none"/>
        </w:rPr>
      </w:pPr>
      <w:r>
        <w:rPr>
          <w:rFonts w:hint="eastAsia"/>
          <w:highlight w:val="none"/>
        </w:rPr>
        <w:t>总体目标∶全市建立起较为完善的危险废物收集、贮存、运输、利用和处置体系，危险废物利用处置设施布局趋于合理，危险废物规范化管理水平、环境监管能力明显提升，全面实现全市危险废物的安全利用和处置。</w:t>
      </w:r>
    </w:p>
    <w:p w14:paraId="72A96430">
      <w:pPr>
        <w:keepNext w:val="0"/>
        <w:keepLines w:val="0"/>
        <w:pageBreakBefore w:val="0"/>
        <w:widowControl w:val="0"/>
        <w:kinsoku/>
        <w:wordWrap w:val="0"/>
        <w:overflowPunct/>
        <w:topLinePunct w:val="0"/>
        <w:autoSpaceDE/>
        <w:autoSpaceDN/>
        <w:bidi w:val="0"/>
        <w:adjustRightInd w:val="0"/>
        <w:snapToGrid w:val="0"/>
        <w:textAlignment w:val="auto"/>
        <w:outlineLvl w:val="9"/>
        <w:rPr>
          <w:rFonts w:hint="eastAsia"/>
          <w:highlight w:val="none"/>
        </w:rPr>
      </w:pPr>
      <w:r>
        <w:rPr>
          <w:rFonts w:hint="eastAsia"/>
          <w:highlight w:val="none"/>
        </w:rPr>
        <w:t>规划近期（2021-2025年）∶危险废物安全贮存、处置、利用率达到92%；</w:t>
      </w:r>
    </w:p>
    <w:p w14:paraId="366FC528">
      <w:pPr>
        <w:keepNext w:val="0"/>
        <w:keepLines w:val="0"/>
        <w:pageBreakBefore w:val="0"/>
        <w:widowControl w:val="0"/>
        <w:kinsoku/>
        <w:wordWrap w:val="0"/>
        <w:overflowPunct/>
        <w:topLinePunct w:val="0"/>
        <w:autoSpaceDE/>
        <w:autoSpaceDN/>
        <w:bidi w:val="0"/>
        <w:adjustRightInd w:val="0"/>
        <w:snapToGrid w:val="0"/>
        <w:textAlignment w:val="auto"/>
        <w:outlineLvl w:val="9"/>
        <w:rPr>
          <w:rFonts w:hint="eastAsia"/>
          <w:highlight w:val="none"/>
        </w:rPr>
      </w:pPr>
      <w:r>
        <w:rPr>
          <w:rFonts w:hint="eastAsia"/>
          <w:highlight w:val="none"/>
        </w:rPr>
        <w:t>规划远期（2026-2035年）：根据哈尔滨市产业规模及产废情况，新增与之相适应的处置能力，危险废物安全贮存、处置、利用率达到95%。</w:t>
      </w:r>
    </w:p>
    <w:p w14:paraId="2D569592">
      <w:pPr>
        <w:keepNext w:val="0"/>
        <w:keepLines w:val="0"/>
        <w:pageBreakBefore w:val="0"/>
        <w:widowControl w:val="0"/>
        <w:kinsoku/>
        <w:wordWrap w:val="0"/>
        <w:overflowPunct/>
        <w:topLinePunct w:val="0"/>
        <w:autoSpaceDE/>
        <w:autoSpaceDN/>
        <w:bidi w:val="0"/>
        <w:adjustRightInd w:val="0"/>
        <w:snapToGrid w:val="0"/>
        <w:textAlignment w:val="auto"/>
        <w:outlineLvl w:val="9"/>
        <w:rPr>
          <w:rFonts w:hint="eastAsia"/>
          <w:b/>
          <w:bCs/>
          <w:highlight w:val="none"/>
        </w:rPr>
      </w:pPr>
      <w:r>
        <w:rPr>
          <w:rFonts w:hint="eastAsia"/>
          <w:b/>
          <w:bCs/>
          <w:highlight w:val="none"/>
        </w:rPr>
        <w:t>审查意见如下：</w:t>
      </w:r>
    </w:p>
    <w:p w14:paraId="21DE836E">
      <w:pPr>
        <w:keepNext w:val="0"/>
        <w:keepLines w:val="0"/>
        <w:pageBreakBefore w:val="0"/>
        <w:widowControl w:val="0"/>
        <w:kinsoku/>
        <w:wordWrap w:val="0"/>
        <w:overflowPunct/>
        <w:topLinePunct w:val="0"/>
        <w:autoSpaceDE/>
        <w:autoSpaceDN/>
        <w:bidi w:val="0"/>
        <w:adjustRightInd w:val="0"/>
        <w:snapToGrid w:val="0"/>
        <w:textAlignment w:val="auto"/>
        <w:outlineLvl w:val="9"/>
        <w:rPr>
          <w:rFonts w:hint="eastAsia"/>
          <w:highlight w:val="none"/>
        </w:rPr>
      </w:pPr>
      <w:r>
        <w:rPr>
          <w:rFonts w:hint="eastAsia"/>
          <w:highlight w:val="none"/>
          <w:lang w:val="en-US" w:eastAsia="zh-CN"/>
        </w:rPr>
        <w:t>（1）</w:t>
      </w:r>
      <w:r>
        <w:rPr>
          <w:rFonts w:hint="eastAsia"/>
          <w:highlight w:val="none"/>
        </w:rPr>
        <w:t>规划范围、期限及对象</w:t>
      </w:r>
    </w:p>
    <w:p w14:paraId="1CD0F500">
      <w:pPr>
        <w:bidi w:val="0"/>
        <w:rPr>
          <w:rFonts w:hint="eastAsia"/>
          <w:highlight w:val="none"/>
        </w:rPr>
      </w:pPr>
      <w:bookmarkStart w:id="94" w:name="_Toc12445"/>
      <w:r>
        <w:rPr>
          <w:rFonts w:hint="default"/>
          <w:highlight w:val="none"/>
          <w:lang w:val="en-US" w:eastAsia="zh-CN"/>
        </w:rPr>
        <w:t>①</w:t>
      </w:r>
      <w:r>
        <w:rPr>
          <w:rFonts w:hint="eastAsia"/>
          <w:highlight w:val="none"/>
        </w:rPr>
        <w:t>规划范围</w:t>
      </w:r>
      <w:bookmarkEnd w:id="94"/>
    </w:p>
    <w:p w14:paraId="36C6118E">
      <w:pPr>
        <w:bidi w:val="0"/>
        <w:rPr>
          <w:rFonts w:hint="eastAsia"/>
          <w:highlight w:val="none"/>
        </w:rPr>
      </w:pPr>
      <w:r>
        <w:rPr>
          <w:rFonts w:hint="eastAsia"/>
          <w:highlight w:val="none"/>
        </w:rPr>
        <w:t>规划范围为哈尔滨市城市规划区，规划面积758km2，规划研究区域为哈尔滨市所辖行政区范围，总规划面积5.31万km2，包括九个市辖区和九县（市）：道里区、南岗区、道外区、香坊区、平房区、松北区、呼兰区、阿城区、双城区和依兰县、方正县、宾县、巴彦县、木兰县、通河县、延寿县、尚志市、五常市。</w:t>
      </w:r>
    </w:p>
    <w:p w14:paraId="5482D470">
      <w:pPr>
        <w:bidi w:val="0"/>
        <w:rPr>
          <w:rFonts w:hint="eastAsia"/>
          <w:highlight w:val="none"/>
        </w:rPr>
      </w:pPr>
      <w:bookmarkStart w:id="95" w:name="_Toc18645"/>
      <w:r>
        <w:rPr>
          <w:rFonts w:hint="default"/>
          <w:highlight w:val="none"/>
          <w:lang w:val="en-US" w:eastAsia="zh-CN"/>
        </w:rPr>
        <w:t>②</w:t>
      </w:r>
      <w:r>
        <w:rPr>
          <w:rFonts w:hint="eastAsia"/>
          <w:highlight w:val="none"/>
        </w:rPr>
        <w:t>规划期限</w:t>
      </w:r>
      <w:bookmarkEnd w:id="95"/>
    </w:p>
    <w:p w14:paraId="5B60DBAD">
      <w:pPr>
        <w:bidi w:val="0"/>
        <w:rPr>
          <w:rFonts w:hint="eastAsia"/>
          <w:highlight w:val="none"/>
        </w:rPr>
      </w:pPr>
      <w:r>
        <w:rPr>
          <w:rFonts w:hint="eastAsia"/>
          <w:highlight w:val="none"/>
        </w:rPr>
        <w:t>规划基准年为2019年，规划近期：2021-2025年；规划远期：2026-2035年。</w:t>
      </w:r>
    </w:p>
    <w:p w14:paraId="4675476A">
      <w:pPr>
        <w:bidi w:val="0"/>
        <w:rPr>
          <w:rFonts w:hint="eastAsia"/>
          <w:highlight w:val="none"/>
        </w:rPr>
      </w:pPr>
      <w:bookmarkStart w:id="96" w:name="_Toc26951"/>
      <w:r>
        <w:rPr>
          <w:rFonts w:hint="default"/>
          <w:highlight w:val="none"/>
          <w:lang w:val="en-US" w:eastAsia="zh-CN"/>
        </w:rPr>
        <w:t>③</w:t>
      </w:r>
      <w:r>
        <w:rPr>
          <w:rFonts w:hint="eastAsia"/>
          <w:highlight w:val="none"/>
        </w:rPr>
        <w:t>规划对象</w:t>
      </w:r>
      <w:bookmarkEnd w:id="96"/>
    </w:p>
    <w:p w14:paraId="0BC33ED9">
      <w:pPr>
        <w:bidi w:val="0"/>
        <w:rPr>
          <w:rFonts w:hint="eastAsia"/>
          <w:highlight w:val="none"/>
        </w:rPr>
      </w:pPr>
      <w:r>
        <w:rPr>
          <w:rFonts w:hint="eastAsia"/>
          <w:highlight w:val="none"/>
        </w:rPr>
        <w:t>对生活垃圾、餐厨垃圾、建筑垃圾、危险废物和一般工业固体废物共五项固体废物进行研究，并规划收运和处理处置及资源化处理设施布局等。</w:t>
      </w:r>
    </w:p>
    <w:p w14:paraId="567D6481">
      <w:pPr>
        <w:keepNext w:val="0"/>
        <w:keepLines w:val="0"/>
        <w:pageBreakBefore w:val="0"/>
        <w:widowControl w:val="0"/>
        <w:kinsoku/>
        <w:wordWrap w:val="0"/>
        <w:overflowPunct/>
        <w:topLinePunct w:val="0"/>
        <w:autoSpaceDE/>
        <w:autoSpaceDN/>
        <w:bidi w:val="0"/>
        <w:adjustRightInd w:val="0"/>
        <w:snapToGrid w:val="0"/>
        <w:textAlignment w:val="auto"/>
        <w:outlineLvl w:val="9"/>
        <w:rPr>
          <w:rFonts w:hint="eastAsia"/>
          <w:highlight w:val="none"/>
        </w:rPr>
      </w:pPr>
      <w:bookmarkStart w:id="97" w:name="_Toc25549"/>
      <w:r>
        <w:rPr>
          <w:rFonts w:hint="eastAsia"/>
          <w:highlight w:val="none"/>
          <w:lang w:val="en-US" w:eastAsia="zh-CN"/>
        </w:rPr>
        <w:t>（2）</w:t>
      </w:r>
      <w:r>
        <w:rPr>
          <w:rFonts w:hint="eastAsia"/>
          <w:highlight w:val="none"/>
        </w:rPr>
        <w:t>规划修编情况</w:t>
      </w:r>
      <w:bookmarkEnd w:id="97"/>
    </w:p>
    <w:p w14:paraId="61AC8327">
      <w:pPr>
        <w:keepNext w:val="0"/>
        <w:keepLines w:val="0"/>
        <w:pageBreakBefore w:val="0"/>
        <w:widowControl w:val="0"/>
        <w:kinsoku/>
        <w:wordWrap w:val="0"/>
        <w:overflowPunct/>
        <w:topLinePunct w:val="0"/>
        <w:autoSpaceDE/>
        <w:autoSpaceDN/>
        <w:bidi w:val="0"/>
        <w:adjustRightInd w:val="0"/>
        <w:snapToGrid w:val="0"/>
        <w:textAlignment w:val="auto"/>
        <w:outlineLvl w:val="9"/>
        <w:rPr>
          <w:rFonts w:hint="eastAsia"/>
          <w:highlight w:val="none"/>
        </w:rPr>
      </w:pPr>
      <w:r>
        <w:rPr>
          <w:rFonts w:hint="eastAsia"/>
          <w:highlight w:val="none"/>
        </w:rPr>
        <w:t>主要新增了哈尔滨市化工产业园区危废处置中心项目，一次变压缩中转站、民主压缩中转站、沈家中转站，双城餐厨垃圾处理厂，道外、南岗、平房、阿城、双城、呼兰等6处建筑垃圾处理厂；取消了双琦焚烧厂扩建项目，永源镇建筑垃圾消纳场、双井镇建筑垃圾消纳场，南岗区三环路压缩中转站、呼兰区黄岗转运站。（其他修编内容具体见规划）。</w:t>
      </w:r>
    </w:p>
    <w:p w14:paraId="1F62CD49">
      <w:pPr>
        <w:keepNext w:val="0"/>
        <w:keepLines w:val="0"/>
        <w:pageBreakBefore w:val="0"/>
        <w:widowControl w:val="0"/>
        <w:kinsoku/>
        <w:wordWrap w:val="0"/>
        <w:overflowPunct/>
        <w:topLinePunct w:val="0"/>
        <w:autoSpaceDE/>
        <w:autoSpaceDN/>
        <w:bidi w:val="0"/>
        <w:adjustRightInd w:val="0"/>
        <w:snapToGrid w:val="0"/>
        <w:textAlignment w:val="auto"/>
        <w:outlineLvl w:val="9"/>
        <w:rPr>
          <w:rFonts w:hint="eastAsia"/>
          <w:highlight w:val="none"/>
        </w:rPr>
      </w:pPr>
      <w:r>
        <w:rPr>
          <w:rFonts w:hint="eastAsia"/>
          <w:highlight w:val="none"/>
          <w:lang w:val="en-US" w:eastAsia="zh-CN"/>
        </w:rPr>
        <w:t>（3）</w:t>
      </w:r>
      <w:r>
        <w:rPr>
          <w:rFonts w:hint="eastAsia"/>
          <w:highlight w:val="none"/>
        </w:rPr>
        <w:t>《报告书》在环境质量现状调查与评价的基础上，识别了规划涉及的主要环境敏感目标，分析预测了规划实施对大气环境、水环境、声环境、土壤环境、固废环境及生态环境等影响，论证了规划的环境合理性、环境保护目标的可达性，分析了规划实施的环境协调性，开展了公众参与等工作，提出了规划的优化调整建议以及避免或减缓不良环境影响的对策措施。《报告书》基础资料较详实，对主要环境影响的预测分析结果基本合理，对公众意见采纳与否的说明合理，评价结论总体可信。</w:t>
      </w:r>
    </w:p>
    <w:p w14:paraId="5A04B987">
      <w:pPr>
        <w:bidi w:val="0"/>
        <w:rPr>
          <w:rFonts w:hint="eastAsia"/>
          <w:highlight w:val="none"/>
        </w:rPr>
      </w:pPr>
      <w:bookmarkStart w:id="98" w:name="_Toc23321"/>
      <w:r>
        <w:rPr>
          <w:rFonts w:hint="eastAsia"/>
          <w:highlight w:val="none"/>
          <w:lang w:val="en-US" w:eastAsia="zh-CN"/>
        </w:rPr>
        <w:t>（4）</w:t>
      </w:r>
      <w:r>
        <w:rPr>
          <w:rFonts w:hint="eastAsia"/>
          <w:highlight w:val="none"/>
        </w:rPr>
        <w:t>规划实施过程需针对以下内容进行优化调整：</w:t>
      </w:r>
      <w:bookmarkEnd w:id="98"/>
    </w:p>
    <w:p w14:paraId="7FE49D1F">
      <w:pPr>
        <w:bidi w:val="0"/>
        <w:rPr>
          <w:rFonts w:hint="eastAsia"/>
          <w:highlight w:val="none"/>
        </w:rPr>
      </w:pPr>
      <w:r>
        <w:rPr>
          <w:rFonts w:hint="default"/>
          <w:highlight w:val="none"/>
          <w:lang w:val="en-US" w:eastAsia="zh-CN"/>
        </w:rPr>
        <w:t>①</w:t>
      </w:r>
      <w:r>
        <w:rPr>
          <w:rFonts w:hint="eastAsia"/>
          <w:highlight w:val="none"/>
        </w:rPr>
        <w:t>突出环境风险防范措施和应急响应体系建设，结合规划实施后可能产生的环境影响及存在的环境问题，做好已运行处置设施的环境风险隐患排查工作，并提出针对性整改措施和具体性治理方案。</w:t>
      </w:r>
    </w:p>
    <w:p w14:paraId="1E6D88EB">
      <w:pPr>
        <w:bidi w:val="0"/>
        <w:rPr>
          <w:rFonts w:hint="eastAsia"/>
          <w:highlight w:val="none"/>
        </w:rPr>
      </w:pPr>
      <w:r>
        <w:rPr>
          <w:rFonts w:hint="default"/>
          <w:highlight w:val="none"/>
          <w:lang w:val="en-US" w:eastAsia="zh-CN"/>
        </w:rPr>
        <w:t>②</w:t>
      </w:r>
      <w:r>
        <w:rPr>
          <w:rFonts w:hint="eastAsia"/>
          <w:highlight w:val="none"/>
        </w:rPr>
        <w:t>合理确定危险废物治理规划，考虑以水泥窑协同处置等综合处置利用危险废物，合理确定危险废物焚烧及填埋方案，提升哈尔滨中西部危险废物处置能力。</w:t>
      </w:r>
    </w:p>
    <w:p w14:paraId="2E68541B">
      <w:pPr>
        <w:bidi w:val="0"/>
        <w:rPr>
          <w:rFonts w:hint="eastAsia"/>
          <w:highlight w:val="none"/>
        </w:rPr>
      </w:pPr>
      <w:r>
        <w:rPr>
          <w:rFonts w:hint="default"/>
          <w:highlight w:val="none"/>
          <w:lang w:val="en-US" w:eastAsia="zh-CN"/>
        </w:rPr>
        <w:t>③</w:t>
      </w:r>
      <w:r>
        <w:rPr>
          <w:rFonts w:hint="eastAsia"/>
          <w:highlight w:val="none"/>
        </w:rPr>
        <w:t>进一步优化一般工业固体废物治理规划。</w:t>
      </w:r>
    </w:p>
    <w:p w14:paraId="009F137A">
      <w:pPr>
        <w:bidi w:val="0"/>
        <w:rPr>
          <w:rFonts w:hint="eastAsia"/>
          <w:highlight w:val="none"/>
        </w:rPr>
      </w:pPr>
      <w:r>
        <w:rPr>
          <w:rFonts w:hint="eastAsia"/>
          <w:highlight w:val="none"/>
          <w:lang w:val="en-US" w:eastAsia="zh-CN"/>
        </w:rPr>
        <w:t>④</w:t>
      </w:r>
      <w:r>
        <w:rPr>
          <w:rFonts w:hint="eastAsia"/>
          <w:highlight w:val="none"/>
        </w:rPr>
        <w:t>推广完善垃圾分类管理体系，完善生活垃圾治理设施专项规划。</w:t>
      </w:r>
    </w:p>
    <w:p w14:paraId="3B5B8060">
      <w:pPr>
        <w:bidi w:val="0"/>
        <w:rPr>
          <w:rFonts w:hint="eastAsia"/>
          <w:highlight w:val="none"/>
        </w:rPr>
      </w:pPr>
      <w:r>
        <w:rPr>
          <w:rFonts w:hint="eastAsia"/>
          <w:highlight w:val="none"/>
          <w:lang w:val="en-US" w:eastAsia="zh-CN"/>
        </w:rPr>
        <w:t>⑤</w:t>
      </w:r>
      <w:r>
        <w:rPr>
          <w:rFonts w:hint="eastAsia"/>
          <w:highlight w:val="none"/>
        </w:rPr>
        <w:t>规划布局要严格遵守饮用水水源地保护区有关规定和要求，规划应充分考虑水资源承载能力。</w:t>
      </w:r>
    </w:p>
    <w:p w14:paraId="26E59A61">
      <w:pPr>
        <w:bidi w:val="0"/>
        <w:rPr>
          <w:rFonts w:hint="eastAsia"/>
          <w:highlight w:val="none"/>
        </w:rPr>
      </w:pPr>
      <w:r>
        <w:rPr>
          <w:rFonts w:hint="eastAsia"/>
          <w:highlight w:val="none"/>
        </w:rPr>
        <w:t>规划发生重大调整或修编时应重新进行环境影响评价。</w:t>
      </w:r>
    </w:p>
    <w:p w14:paraId="48DEEFB3">
      <w:pPr>
        <w:bidi w:val="0"/>
        <w:rPr>
          <w:rFonts w:hint="eastAsia"/>
          <w:highlight w:val="none"/>
        </w:rPr>
      </w:pPr>
      <w:r>
        <w:rPr>
          <w:rFonts w:hint="eastAsia"/>
          <w:highlight w:val="none"/>
          <w:lang w:val="en-US" w:eastAsia="zh-CN"/>
        </w:rPr>
        <w:t>（5）</w:t>
      </w:r>
      <w:r>
        <w:rPr>
          <w:rFonts w:hint="eastAsia"/>
          <w:highlight w:val="none"/>
        </w:rPr>
        <w:t>对规划包含的项目在开展环境影响评价时，与有关规划的协调性分析和环境质量现状方面的内容可以适当简化。</w:t>
      </w:r>
    </w:p>
    <w:p w14:paraId="57F6A582">
      <w:pPr>
        <w:bidi w:val="0"/>
        <w:rPr>
          <w:rFonts w:hint="eastAsia"/>
          <w:highlight w:val="none"/>
        </w:rPr>
      </w:pPr>
      <w:r>
        <w:rPr>
          <w:rFonts w:hint="eastAsia"/>
          <w:highlight w:val="none"/>
        </w:rPr>
        <w:t>符合性分析：</w:t>
      </w:r>
    </w:p>
    <w:p w14:paraId="5A03D04C">
      <w:pPr>
        <w:keepNext w:val="0"/>
        <w:keepLines w:val="0"/>
        <w:pageBreakBefore w:val="0"/>
        <w:widowControl w:val="0"/>
        <w:kinsoku/>
        <w:wordWrap w:val="0"/>
        <w:overflowPunct/>
        <w:topLinePunct w:val="0"/>
        <w:autoSpaceDE/>
        <w:autoSpaceDN/>
        <w:bidi w:val="0"/>
        <w:adjustRightInd w:val="0"/>
        <w:snapToGrid w:val="0"/>
        <w:textAlignment w:val="auto"/>
        <w:outlineLvl w:val="9"/>
        <w:rPr>
          <w:rFonts w:hint="eastAsia"/>
          <w:highlight w:val="none"/>
        </w:rPr>
      </w:pPr>
      <w:r>
        <w:rPr>
          <w:rFonts w:hint="eastAsia"/>
          <w:highlight w:val="none"/>
        </w:rPr>
        <w:t>本项目为汽车发动机制造及含油金属屑收集处理项目，建成后有利于提高</w:t>
      </w:r>
      <w:r>
        <w:rPr>
          <w:rFonts w:hint="eastAsia"/>
          <w:highlight w:val="none"/>
          <w:lang w:val="en-US" w:eastAsia="zh-CN"/>
        </w:rPr>
        <w:t>企业</w:t>
      </w:r>
      <w:r>
        <w:rPr>
          <w:rFonts w:hint="eastAsia"/>
          <w:highlight w:val="none"/>
        </w:rPr>
        <w:t>危险废物安全贮存、利用率</w:t>
      </w:r>
      <w:r>
        <w:rPr>
          <w:rFonts w:hint="eastAsia"/>
          <w:highlight w:val="none"/>
          <w:lang w:eastAsia="zh-CN"/>
        </w:rPr>
        <w:t>，</w:t>
      </w:r>
      <w:r>
        <w:rPr>
          <w:rFonts w:hint="eastAsia"/>
          <w:highlight w:val="none"/>
          <w:lang w:val="en-US" w:eastAsia="zh-CN"/>
        </w:rPr>
        <w:t>减少企业危险废物排放</w:t>
      </w:r>
      <w:r>
        <w:rPr>
          <w:rFonts w:hint="eastAsia"/>
          <w:highlight w:val="none"/>
        </w:rPr>
        <w:t>。生产均在厂房内进行操作，收集</w:t>
      </w:r>
      <w:r>
        <w:rPr>
          <w:rFonts w:hint="eastAsia"/>
          <w:highlight w:val="none"/>
          <w:lang w:val="en-US" w:eastAsia="zh-CN"/>
        </w:rPr>
        <w:t>的含油金属屑及产品金属屑分开</w:t>
      </w:r>
      <w:r>
        <w:rPr>
          <w:rFonts w:hint="eastAsia"/>
          <w:highlight w:val="none"/>
        </w:rPr>
        <w:t>储存于厂区</w:t>
      </w:r>
      <w:r>
        <w:rPr>
          <w:rFonts w:hint="eastAsia"/>
          <w:highlight w:val="none"/>
          <w:lang w:val="en-US" w:eastAsia="zh-CN"/>
        </w:rPr>
        <w:t>专用储存区</w:t>
      </w:r>
      <w:r>
        <w:rPr>
          <w:rFonts w:hint="eastAsia"/>
          <w:highlight w:val="none"/>
        </w:rPr>
        <w:t>，不混装。地面采取严格的防渗、防腐措施，危险废物贮存场所符合《危险废物贮存污染控制标准》（GB18597—2023）要求。</w:t>
      </w:r>
      <w:r>
        <w:rPr>
          <w:rFonts w:hint="eastAsia"/>
          <w:highlight w:val="none"/>
          <w:lang w:val="en-US" w:eastAsia="zh-CN"/>
        </w:rPr>
        <w:t>有利于达到符规划近期、远期目标，符合</w:t>
      </w:r>
      <w:r>
        <w:rPr>
          <w:rFonts w:hint="eastAsia"/>
          <w:highlight w:val="none"/>
        </w:rPr>
        <w:t>《黑龙江省哈尔滨市城乡固体废物分类治理专项规划（2019-2035年）（修编）》及审查意见中相关要求。</w:t>
      </w:r>
    </w:p>
    <w:p w14:paraId="188153D1">
      <w:pPr>
        <w:pStyle w:val="4"/>
        <w:bidi w:val="0"/>
        <w:rPr>
          <w:rFonts w:hint="eastAsia"/>
          <w:highlight w:val="none"/>
        </w:rPr>
      </w:pPr>
      <w:bookmarkStart w:id="99" w:name="_Toc7062"/>
      <w:bookmarkStart w:id="100" w:name="_Toc23325"/>
      <w:r>
        <w:rPr>
          <w:rFonts w:hint="eastAsia"/>
          <w:highlight w:val="none"/>
          <w:lang w:val="en-US" w:eastAsia="zh-CN"/>
        </w:rPr>
        <w:t>1.4.22</w:t>
      </w:r>
      <w:r>
        <w:rPr>
          <w:rFonts w:hint="eastAsia"/>
          <w:highlight w:val="none"/>
        </w:rPr>
        <w:t>与《哈尔滨市“十四五”生态环境保护规划》的符合性分析</w:t>
      </w:r>
      <w:bookmarkEnd w:id="99"/>
      <w:bookmarkEnd w:id="100"/>
    </w:p>
    <w:p w14:paraId="470BE9EB">
      <w:pPr>
        <w:bidi w:val="0"/>
        <w:rPr>
          <w:rFonts w:hint="eastAsia"/>
          <w:highlight w:val="none"/>
        </w:rPr>
      </w:pPr>
      <w:r>
        <w:rPr>
          <w:rFonts w:hint="eastAsia"/>
          <w:highlight w:val="none"/>
        </w:rPr>
        <w:t>《哈尔滨市生态环境保护“十四五”规划》中</w:t>
      </w:r>
      <w:bookmarkStart w:id="101" w:name="_Toc75683209"/>
      <w:bookmarkStart w:id="102" w:name="_Toc75683219"/>
      <w:r>
        <w:rPr>
          <w:rFonts w:hint="eastAsia"/>
          <w:highlight w:val="none"/>
        </w:rPr>
        <w:t>第三章重点任务</w:t>
      </w:r>
      <w:bookmarkEnd w:id="101"/>
      <w:r>
        <w:rPr>
          <w:rFonts w:hint="eastAsia"/>
          <w:highlight w:val="none"/>
        </w:rPr>
        <w:t>，第三节强化污染防治</w:t>
      </w:r>
      <w:bookmarkEnd w:id="102"/>
      <w:bookmarkStart w:id="103" w:name="_Toc74566603"/>
      <w:r>
        <w:rPr>
          <w:rFonts w:hint="eastAsia"/>
          <w:highlight w:val="none"/>
        </w:rPr>
        <w:t>中要求：</w:t>
      </w:r>
    </w:p>
    <w:bookmarkEnd w:id="103"/>
    <w:p w14:paraId="4A87AB64">
      <w:pPr>
        <w:bidi w:val="0"/>
        <w:rPr>
          <w:rFonts w:hint="eastAsia"/>
          <w:highlight w:val="none"/>
        </w:rPr>
      </w:pPr>
      <w:r>
        <w:rPr>
          <w:rFonts w:hint="eastAsia"/>
          <w:highlight w:val="none"/>
        </w:rPr>
        <w:t>（二十六）推动清洁能源发展。大力发展太阳能、风能、氢能、天然气、生物质能等清洁能源，有序发展抽水蓄能，增加清洁电力比例。深入推进热源清洁化，优化城市燃煤热源布局，通过实施民主、华尔热源、生物质热电联产供热、气化龙江、余热取暖和10兆瓦污水源热泵等项目，新增供热5000万平方米。</w:t>
      </w:r>
    </w:p>
    <w:p w14:paraId="4B3668D0">
      <w:pPr>
        <w:pStyle w:val="18"/>
        <w:keepNext w:val="0"/>
        <w:keepLines w:val="0"/>
        <w:pageBreakBefore w:val="0"/>
        <w:widowControl w:val="0"/>
        <w:kinsoku/>
        <w:wordWrap w:val="0"/>
        <w:overflowPunct/>
        <w:topLinePunct w:val="0"/>
        <w:autoSpaceDE/>
        <w:autoSpaceDN/>
        <w:bidi w:val="0"/>
        <w:adjustRightInd w:val="0"/>
        <w:snapToGrid w:val="0"/>
        <w:spacing w:after="0"/>
        <w:textAlignment w:val="auto"/>
        <w:rPr>
          <w:rFonts w:hint="eastAsia" w:ascii="Times New Roman" w:hAnsi="Times New Roman" w:eastAsia="宋体" w:cs="Times New Roman"/>
          <w:kern w:val="2"/>
          <w:sz w:val="24"/>
          <w:szCs w:val="24"/>
          <w:highlight w:val="none"/>
          <w:lang w:val="en-US" w:eastAsia="zh-CN" w:bidi="ar-SA"/>
        </w:rPr>
      </w:pPr>
      <w:r>
        <w:rPr>
          <w:rFonts w:hint="eastAsia"/>
          <w:highlight w:val="none"/>
        </w:rPr>
        <w:t>（二十七）淘汰落后产能。严禁新增钢铁、焦化、铸造、水泥、平板玻璃等产能，严格执行产能置换实施办法。禁止建设生产VOCs含量限值不符合国家标准的涂料、油墨、胶粘剂、清洗剂等项</w:t>
      </w:r>
      <w:r>
        <w:rPr>
          <w:rFonts w:hint="eastAsia" w:ascii="Times New Roman" w:hAnsi="Times New Roman" w:eastAsia="宋体" w:cs="Times New Roman"/>
          <w:kern w:val="2"/>
          <w:sz w:val="24"/>
          <w:szCs w:val="24"/>
          <w:highlight w:val="none"/>
          <w:lang w:val="en-US" w:eastAsia="zh-CN" w:bidi="ar-SA"/>
        </w:rPr>
        <w:t>目。加大钢铁、水泥熟料、烧结砖瓦、化工、印染、炼化等行业落后产能淘汰和过剩产能压减力度。加快推进城市建成区重污染企业搬迁改造、兼并重组、转型升级或退出。</w:t>
      </w:r>
    </w:p>
    <w:p w14:paraId="6145A130">
      <w:pPr>
        <w:keepNext w:val="0"/>
        <w:keepLines w:val="0"/>
        <w:pageBreakBefore w:val="0"/>
        <w:widowControl w:val="0"/>
        <w:kinsoku/>
        <w:wordWrap w:val="0"/>
        <w:overflowPunct/>
        <w:topLinePunct w:val="0"/>
        <w:autoSpaceDE/>
        <w:autoSpaceDN/>
        <w:bidi w:val="0"/>
        <w:adjustRightInd w:val="0"/>
        <w:snapToGrid w:val="0"/>
        <w:textAlignment w:val="auto"/>
        <w:rPr>
          <w:rFonts w:hint="eastAsia"/>
          <w:highlight w:val="none"/>
        </w:rPr>
      </w:pPr>
      <w:r>
        <w:rPr>
          <w:rFonts w:hint="eastAsia" w:ascii="Times New Roman" w:hAnsi="Times New Roman" w:eastAsia="宋体" w:cs="Times New Roman"/>
          <w:kern w:val="2"/>
          <w:sz w:val="24"/>
          <w:szCs w:val="24"/>
          <w:highlight w:val="none"/>
          <w:lang w:val="en-US" w:eastAsia="zh-CN" w:bidi="ar-SA"/>
        </w:rPr>
        <w:t>（五十七）加强固体废物源头减量和资源化利用</w:t>
      </w:r>
      <w:r>
        <w:rPr>
          <w:rFonts w:hint="eastAsia"/>
          <w:highlight w:val="none"/>
        </w:rPr>
        <w:t>。结合自然生态修复、发展循环经济，探索固体废物资源利用新途径，鼓励采用先进技术和工艺减少固体废物产生量，逐年减少粉煤灰、煤矸石、尾矿、炉渣堆存量。有效控制和减少固体废物环境影响与危害。持续开展工业固体废物堆存场所整治，遏制工业废物非法倾倒和堆存现象。完善固体废物信息化管理系统，提高管理水平。</w:t>
      </w:r>
    </w:p>
    <w:p w14:paraId="26D7EE5C">
      <w:pPr>
        <w:bidi w:val="0"/>
        <w:rPr>
          <w:rFonts w:hint="eastAsia"/>
          <w:highlight w:val="none"/>
        </w:rPr>
      </w:pPr>
      <w:r>
        <w:rPr>
          <w:rFonts w:hint="eastAsia"/>
          <w:highlight w:val="none"/>
        </w:rPr>
        <w:t>符合性分析：本项目为汽车发动机制造及含油金属屑收集处理项目，</w:t>
      </w:r>
      <w:r>
        <w:rPr>
          <w:rFonts w:hint="eastAsia"/>
          <w:highlight w:val="none"/>
          <w:lang w:val="en-US" w:eastAsia="zh-CN"/>
        </w:rPr>
        <w:t>不属于落后产能，企业使用电动设备进行生产，冬季为集中供暖，</w:t>
      </w:r>
      <w:r>
        <w:rPr>
          <w:rFonts w:hint="eastAsia"/>
          <w:highlight w:val="none"/>
        </w:rPr>
        <w:t>项目投产后企业产生的</w:t>
      </w:r>
      <w:r>
        <w:rPr>
          <w:rFonts w:hint="eastAsia"/>
          <w:highlight w:val="none"/>
          <w:lang w:val="en-US" w:eastAsia="zh-CN"/>
        </w:rPr>
        <w:t>含油金属屑</w:t>
      </w:r>
      <w:r>
        <w:rPr>
          <w:rFonts w:hint="eastAsia"/>
          <w:highlight w:val="none"/>
        </w:rPr>
        <w:t>得到集中、妥善处理，城市环境将会得到较好的改善，实现危险废物处理的“无害化”、“资源化”、“减量化”。同时，大大减少了</w:t>
      </w:r>
      <w:r>
        <w:rPr>
          <w:rFonts w:hint="eastAsia"/>
          <w:highlight w:val="none"/>
          <w:lang w:val="en-US" w:eastAsia="zh-CN"/>
        </w:rPr>
        <w:t>排放的</w:t>
      </w:r>
      <w:r>
        <w:rPr>
          <w:rFonts w:hint="eastAsia"/>
          <w:highlight w:val="none"/>
        </w:rPr>
        <w:t>危险废物数量，减缓了危险废物对宝贵土地资源的侵占速度。</w:t>
      </w:r>
    </w:p>
    <w:p w14:paraId="7C5C4234">
      <w:pPr>
        <w:bidi w:val="0"/>
        <w:rPr>
          <w:rFonts w:hint="eastAsia"/>
          <w:highlight w:val="none"/>
          <w:lang w:eastAsia="zh-CN"/>
        </w:rPr>
      </w:pPr>
      <w:r>
        <w:rPr>
          <w:rFonts w:hint="eastAsia"/>
          <w:highlight w:val="none"/>
        </w:rPr>
        <w:t>综上所述，本项目使用清洁能源进行生产，处理</w:t>
      </w:r>
      <w:r>
        <w:rPr>
          <w:rFonts w:hint="eastAsia"/>
          <w:highlight w:val="none"/>
          <w:lang w:val="en-US" w:eastAsia="zh-CN"/>
        </w:rPr>
        <w:t>企业内部产生</w:t>
      </w:r>
      <w:r>
        <w:rPr>
          <w:rFonts w:hint="eastAsia"/>
          <w:highlight w:val="none"/>
        </w:rPr>
        <w:t>的</w:t>
      </w:r>
      <w:r>
        <w:rPr>
          <w:rFonts w:hint="eastAsia"/>
          <w:highlight w:val="none"/>
          <w:lang w:val="en-US" w:eastAsia="zh-CN"/>
        </w:rPr>
        <w:t>含油金属屑</w:t>
      </w:r>
      <w:r>
        <w:rPr>
          <w:rFonts w:hint="eastAsia"/>
          <w:highlight w:val="none"/>
        </w:rPr>
        <w:t>，推动了固体废物的减量化和资源化利用，符合《哈尔滨市“十四五生态环境保护规划”》中要求</w:t>
      </w:r>
      <w:r>
        <w:rPr>
          <w:rFonts w:hint="eastAsia"/>
          <w:highlight w:val="none"/>
          <w:lang w:eastAsia="zh-CN"/>
        </w:rPr>
        <w:t>。</w:t>
      </w:r>
    </w:p>
    <w:p w14:paraId="66352353">
      <w:pPr>
        <w:pStyle w:val="4"/>
        <w:bidi w:val="0"/>
        <w:rPr>
          <w:rFonts w:hint="eastAsia"/>
          <w:highlight w:val="none"/>
        </w:rPr>
      </w:pPr>
      <w:bookmarkStart w:id="104" w:name="_Toc4025"/>
      <w:bookmarkStart w:id="105" w:name="_Toc7044"/>
      <w:r>
        <w:rPr>
          <w:rFonts w:hint="eastAsia"/>
          <w:highlight w:val="none"/>
          <w:lang w:val="en-US" w:eastAsia="zh-CN"/>
        </w:rPr>
        <w:t>1.4.19</w:t>
      </w:r>
      <w:r>
        <w:rPr>
          <w:rFonts w:hint="eastAsia"/>
          <w:highlight w:val="none"/>
        </w:rPr>
        <w:t>与《哈尔滨市大气环境质量限期达标规划（2020-2027）》（哈环发[2021]23号）符合性分析</w:t>
      </w:r>
      <w:bookmarkEnd w:id="104"/>
      <w:bookmarkEnd w:id="105"/>
    </w:p>
    <w:p w14:paraId="1FEF1172">
      <w:pPr>
        <w:bidi w:val="0"/>
        <w:rPr>
          <w:rFonts w:hint="eastAsia" w:eastAsia="宋体"/>
          <w:highlight w:val="none"/>
          <w:lang w:eastAsia="zh-CN"/>
        </w:rPr>
      </w:pPr>
      <w:r>
        <w:rPr>
          <w:rFonts w:hint="eastAsia"/>
          <w:highlight w:val="none"/>
        </w:rPr>
        <w:t>哈尔滨市大气环境质量限期达标规划（2020-2027）》</w:t>
      </w:r>
      <w:r>
        <w:rPr>
          <w:rFonts w:hint="eastAsia"/>
          <w:highlight w:val="none"/>
          <w:lang w:val="en-US" w:eastAsia="zh-CN"/>
        </w:rPr>
        <w:t>中要求：</w:t>
      </w:r>
      <w:r>
        <w:rPr>
          <w:rFonts w:hint="eastAsia"/>
          <w:color w:val="000000" w:themeColor="text1"/>
          <w:highlight w:val="none"/>
        </w:rPr>
        <w:t>“1、推动能源清洁化发展。以碳达峰碳中和为契机，推动能源结构绿色低碳转型，推动非化石能源和天然气为能源消费增量主体。大力发展太阳能、风能、氢能、生物质能等清洁能源，有序发展抽水蓄能和新型储能规模化应用，坚持“增气减煤”同步，天然气供应优先保障居民生活和清洁取暖需求，增加清洁电力供给，提高电能占终端能源消费比重。到2025年，单位GDP能耗下降15%，非化石能源占一次能源消费比重达15%以上；天然气消费量20亿立方米以上，力争可再生能源电力装机占比超过30%，光伏装机容量增加200%，风电装机容量增加50%，加快建设清洁能源城市。”“5、稳步推进冬季清洁取暖。编制冬季清洁取暖实施方案，以保障城乡群众冬季安全取暖和节能减排为立足点，围绕城区、县城和农村“三大区域”，从热源侧和用户侧“两端着手”，热网、电网、气网“三网发力”，按照“宜电则电、宜气则气、宜热则热”的原则，实施集中供暖清洁热源建设和清洁能源改造；同步实施既有建筑节能改造，推动执行绿色建筑标准，加大建筑节能产品、装配式建筑技术、新型保温墙体材料等在建筑领域的应用。到2025年，城镇绿色建筑推广占新建民用建筑比例达到100%，装配式建筑占新建建筑比例达到30%。到2027年，</w:t>
      </w:r>
      <w:r>
        <w:rPr>
          <w:rFonts w:hint="eastAsia"/>
          <w:highlight w:val="none"/>
        </w:rPr>
        <w:t>城区、县城清洁取暖率达到100%，完全替代散煤取暖；农村地区达到70%以上。”</w:t>
      </w:r>
      <w:r>
        <w:rPr>
          <w:rFonts w:hint="eastAsia"/>
          <w:highlight w:val="none"/>
          <w:lang w:eastAsia="zh-CN"/>
        </w:rPr>
        <w:t>“</w:t>
      </w:r>
      <w:r>
        <w:rPr>
          <w:rFonts w:hint="eastAsia"/>
          <w:highlight w:val="none"/>
          <w:lang w:val="en-US" w:eastAsia="zh-CN"/>
        </w:rPr>
        <w:t>11、VOCs全过程综合整治。以完善“源头—过程—末端”治理模式、推进“一行一策”管理为主要导向，从源头结构调整、污染深度治理和全过程精细化管理。深化VOCs综合整治，推进臭氧协同控制。到2025年，挥发性有机物重点工程减排量1550吨以上。大力推进VOCs源头替代。工业涂装企业全面推行使用低VOCs含量原辅材料，引导技术（工艺）创新，促进源头减排。全面排查使用料、油墨、胶粘剂、涂层剂（树脂）、清洗剂等原辅材料的企业，按照“可替尽替、应代尽代”的原则，实施一批源头替代项目。到2025年，溶剂型工业涂料、油墨、胶粘剂等使用量下降比例达到国家要求。不断提高废气收集效率。在保证安全前提下，加强含VOCs物料全方位、全链条、全环节密闭管理，做好VOCs物料储存、转移和输送、设备与管线组件泄漏、敞开液面逸散以及工艺过程等无组织排放环节的管理。严格按照相关行业排放标准和《挥发性有机物无组织排放控制标准》要求开展泄漏检测与修复（LDAR）工作，到2025年，全面开展LDAR数字化管理。有效提高废气处理率。推动企业结合排放废气特征合理选择治理技术，对现有VOCs低效治理设施进行更换或升级改造，提高废气治理设施去除率。到2025年，石化行业的VOCs综合去除效率达到70%以上，化工、工业涂装、包装印刷、家具等行业的VOCs综合去除效率达到60%以上。逐步推动取消非必要的VOCs排放系统旁路，保留的旁路在非紧急情况下保持关闭并加强监管。加强油品储运销和汽修行业VOCs治理。</w:t>
      </w:r>
      <w:r>
        <w:rPr>
          <w:rFonts w:hint="eastAsia"/>
          <w:highlight w:val="none"/>
          <w:lang w:eastAsia="zh-CN"/>
        </w:rPr>
        <w:t>”</w:t>
      </w:r>
    </w:p>
    <w:p w14:paraId="453AE072">
      <w:pPr>
        <w:bidi w:val="0"/>
        <w:rPr>
          <w:rFonts w:hint="eastAsia"/>
          <w:highlight w:val="none"/>
        </w:rPr>
      </w:pPr>
      <w:r>
        <w:rPr>
          <w:rFonts w:hint="eastAsia"/>
          <w:highlight w:val="none"/>
        </w:rPr>
        <w:t>符合性分析：本项目封口胶属于胶粘剂，其VOCs含量低于10%，涂胶工序为常温涂胶，生产工艺无需加热，不会产生甲醛蒸汽，生产车间保持干燥通风，涂胶工序杜绝与湿气接触，从源头控制VOCs产生</w:t>
      </w:r>
      <w:r>
        <w:rPr>
          <w:rFonts w:hint="eastAsia"/>
          <w:highlight w:val="none"/>
          <w:lang w:eastAsia="zh-CN"/>
        </w:rPr>
        <w:t>；</w:t>
      </w:r>
      <w:r>
        <w:rPr>
          <w:rFonts w:hint="default"/>
          <w:highlight w:val="none"/>
        </w:rPr>
        <w:t>机加工序设置于2号厂房内，加工中心均为封闭设备，机械加工工序设置2套油雾净化装置，产生的油雾废气分别经油雾净化装置处理后，经集气罩收集，由2根新建23m排气筒排放；装配工序及热试验工序设置于4号厂房内，热试验间及装配区域产生的尾气采用三元催化器进行处理，后由1根新建23m排气筒排放；含油金属屑加工生产线位于变速器机加厂房北侧，产生的油雾、挥发性有机物（以非甲烷总烃计）、颗粒物及臭气浓度通过油雾净化装置+活性炭吸附装置处理后由1根新建23m排气筒排放；</w:t>
      </w:r>
      <w:r>
        <w:rPr>
          <w:rFonts w:hint="eastAsia"/>
          <w:highlight w:val="none"/>
        </w:rPr>
        <w:t>本项目冬季供暖采用</w:t>
      </w:r>
      <w:r>
        <w:rPr>
          <w:rFonts w:hint="eastAsia"/>
          <w:highlight w:val="none"/>
          <w:lang w:val="en-US" w:eastAsia="zh-CN"/>
        </w:rPr>
        <w:t>集中供暖</w:t>
      </w:r>
      <w:r>
        <w:rPr>
          <w:rFonts w:hint="eastAsia"/>
          <w:highlight w:val="none"/>
        </w:rPr>
        <w:t>，生产设备均为电控设备，不会对大气环境质量现状造成不良影响</w:t>
      </w:r>
      <w:r>
        <w:rPr>
          <w:rFonts w:hint="eastAsia"/>
          <w:highlight w:val="none"/>
          <w:lang w:val="en-US" w:eastAsia="zh-CN"/>
        </w:rPr>
        <w:t>，</w:t>
      </w:r>
      <w:r>
        <w:rPr>
          <w:rFonts w:hint="eastAsia"/>
          <w:highlight w:val="none"/>
        </w:rPr>
        <w:t>符合《哈尔滨市大气环境质量限期达标规划（2020-2027）》中所规定要求。</w:t>
      </w:r>
    </w:p>
    <w:p w14:paraId="05AD6B9D">
      <w:pPr>
        <w:pStyle w:val="4"/>
        <w:bidi w:val="0"/>
        <w:rPr>
          <w:rFonts w:hint="eastAsia"/>
          <w:highlight w:val="none"/>
        </w:rPr>
      </w:pPr>
      <w:bookmarkStart w:id="106" w:name="_Toc17019"/>
      <w:bookmarkStart w:id="107" w:name="_Toc7657"/>
      <w:r>
        <w:rPr>
          <w:rFonts w:hint="eastAsia"/>
          <w:highlight w:val="none"/>
          <w:lang w:val="en-US" w:eastAsia="zh-CN"/>
        </w:rPr>
        <w:t>1.4.20</w:t>
      </w:r>
      <w:r>
        <w:rPr>
          <w:rFonts w:hint="eastAsia"/>
          <w:highlight w:val="none"/>
        </w:rPr>
        <w:t>与《哈尔滨市人民政府关于印发哈尔滨市空气质量改善三年行动计划（2022-2024年）的通知》符合性分析</w:t>
      </w:r>
      <w:bookmarkEnd w:id="106"/>
      <w:bookmarkEnd w:id="107"/>
    </w:p>
    <w:p w14:paraId="1549C9FC">
      <w:pPr>
        <w:bidi w:val="0"/>
        <w:rPr>
          <w:rFonts w:hint="eastAsia" w:eastAsia="宋体"/>
          <w:highlight w:val="none"/>
          <w:lang w:eastAsia="zh-CN"/>
        </w:rPr>
      </w:pPr>
      <w:r>
        <w:rPr>
          <w:highlight w:val="none"/>
        </w:rPr>
        <w:t>根据《哈尔滨市人民政府关于印发哈尔滨市空气质量改善三年行动计划（2022-2024年）的通知》中“</w:t>
      </w:r>
      <w:r>
        <w:rPr>
          <w:rFonts w:hint="eastAsia"/>
          <w:highlight w:val="none"/>
        </w:rPr>
        <w:t>（</w:t>
      </w:r>
      <w:r>
        <w:rPr>
          <w:highlight w:val="none"/>
        </w:rPr>
        <w:t>一</w:t>
      </w:r>
      <w:r>
        <w:rPr>
          <w:rFonts w:hint="eastAsia"/>
          <w:highlight w:val="none"/>
        </w:rPr>
        <w:t>）</w:t>
      </w:r>
      <w:r>
        <w:rPr>
          <w:highlight w:val="none"/>
        </w:rPr>
        <w:t>优化调整能源结构，建设清洁低碳能源体系1.推动能源清洁化发展。以碳达峰碳中和为契机，推动能源结构绿色低碳转型，提升非化石能源和天然气使用比例。大力发展太阳能、风能、生物质能等清洁能源，探索发展氢能，有序发展抽水蓄能和新型储能规模化应用，坚持“增气减煤”同步，天然气供应优先保障居民生活和清洁取暖，增加清洁电力供给，提高电能占终端能源消费比重。加快建设清洁能源城市，加大电力天然气基础设施建设，保障煤改电、煤改气等能源需求。到2024年，单位GDP能耗下降12%，非化石能源占一次能源消费比重达到12%以上。”及“5.稳步推进冬季清洁取暖。以保障城乡群众冬季安全取暖和节能减排为立足点，围绕城区、县城和农村“三大区域”，从热源侧和用户侧“两端着手”，热网、电网、气网“三网发力”坚持“宜电则电、宜气则气、宜煤则煤、宜热则热”</w:t>
      </w:r>
      <w:r>
        <w:rPr>
          <w:rFonts w:hint="eastAsia"/>
          <w:highlight w:val="none"/>
          <w:lang w:eastAsia="zh-CN"/>
        </w:rPr>
        <w:t>，</w:t>
      </w:r>
      <w:r>
        <w:rPr>
          <w:highlight w:val="none"/>
        </w:rPr>
        <w:t>在热网覆盖不到的地区，发展推广石墨烯及热泵等高效电清洁取暖、光气能智慧供暖、污水源开发利用等先进技术产品应用。实施既有建筑节能改造、供热管网改造，推动执行绿色建筑标准，加大建筑节能产品、装配式建筑技术、新型保温墙体材料等在建筑领域的应用。到2024年，城市建成区清洁取暖率达到100%，农村具备条件的平原地区基本完成冬季取暖散煤替代;9区非节能且具有改造价值的1500万平方米建筑物全部完成节能改造，县</w:t>
      </w:r>
      <w:r>
        <w:rPr>
          <w:rFonts w:hint="eastAsia"/>
          <w:highlight w:val="none"/>
        </w:rPr>
        <w:t>（</w:t>
      </w:r>
      <w:r>
        <w:rPr>
          <w:highlight w:val="none"/>
        </w:rPr>
        <w:t>市</w:t>
      </w:r>
      <w:r>
        <w:rPr>
          <w:rFonts w:hint="eastAsia"/>
          <w:highlight w:val="none"/>
        </w:rPr>
        <w:t>）</w:t>
      </w:r>
      <w:r>
        <w:rPr>
          <w:highlight w:val="none"/>
        </w:rPr>
        <w:t>建成区552万平方米建筑物节能改造完成80%以上，并积极推动既有164万平方米农房节能改造</w:t>
      </w:r>
      <w:r>
        <w:rPr>
          <w:rFonts w:hint="eastAsia"/>
          <w:highlight w:val="none"/>
        </w:rPr>
        <w:t>。”</w:t>
      </w:r>
      <w:r>
        <w:rPr>
          <w:rFonts w:hint="eastAsia"/>
          <w:highlight w:val="none"/>
          <w:lang w:eastAsia="zh-CN"/>
        </w:rPr>
        <w:t>“</w:t>
      </w:r>
      <w:r>
        <w:rPr>
          <w:rFonts w:hint="eastAsia"/>
          <w:highlight w:val="none"/>
          <w:lang w:val="en-US" w:eastAsia="zh-CN"/>
        </w:rPr>
        <w:t>11、VOCs全过程综合整治。以完善“源头—过程—末端”治理模式、推进“一行一策”管理为主要导向，从源头结构调整、污染深度治理和全过程精细化管理。深化VOCs综合整治，推进臭氧协同控制。到2025年，挥发性有机物重点工程减排量1550吨以上。大力推进VOCs源头替代。工业涂装企业全面推行使用低VOCs含量原辅材料，引导技术（工艺）创新，促进源头减排。全面排查使用料、油墨、胶粘剂、涂层剂（树脂）、清洗剂等原辅材料的企业，按照“可替尽替、应代尽代”的原则，实施一批源头替代项目。到2025年，溶剂型工业涂料、油墨、胶粘剂等使用量下降比例达到国家要求。不断提高废气收集效率。在保证安全前提下，加强含VOCs物料全方位、全链条、全环节密闭管理，做好VOCs物料储存、转移和输送、设备与管线组件泄漏、敞开液面逸散以及工艺过程等无组织排放环节的管理。严格按照相关行业排放标准和《挥发性有机物无组织排放控制标准》要求开展泄漏检测与修复（LDAR）工作，到2025年，全面开展LDAR数字化管理。有效提高废气处理率。推动企业结合排放废气特征合理选择治理技术，对现有VOCs低效治理设施进行更换或升级改造，提高废气治理设施去除率。到2025年，石化行业的VOCs综合去除效率达到70%以上，化工、工业涂装、包装印刷、家具等行业的VOCs综合去除效率达到60%以上。逐步推动取消非必要的VOCs排放系统旁路，保留的旁路在非紧急情况下保持关闭并加强监管。加强油品储运销和汽修行业VOCs治理。</w:t>
      </w:r>
      <w:r>
        <w:rPr>
          <w:rFonts w:hint="eastAsia"/>
          <w:highlight w:val="none"/>
          <w:lang w:eastAsia="zh-CN"/>
        </w:rPr>
        <w:t>”</w:t>
      </w:r>
    </w:p>
    <w:p w14:paraId="7F3A1DED">
      <w:pPr>
        <w:bidi w:val="0"/>
        <w:rPr>
          <w:rFonts w:hint="eastAsia"/>
          <w:highlight w:val="none"/>
        </w:rPr>
      </w:pPr>
      <w:r>
        <w:rPr>
          <w:rFonts w:hint="eastAsia"/>
          <w:highlight w:val="none"/>
          <w:lang w:val="en-US" w:eastAsia="zh-CN"/>
        </w:rPr>
        <w:t>符合性分析：</w:t>
      </w:r>
      <w:r>
        <w:rPr>
          <w:rFonts w:hint="eastAsia"/>
          <w:highlight w:val="none"/>
        </w:rPr>
        <w:t>本项目封口胶属于胶粘剂，其VOCs含量低于10%，涂胶工序为常温涂胶，生产工艺无需加热，不会产生甲醛蒸汽，生产车间保持干燥通风，涂胶工序杜绝与湿气接触，从源头控制VOCs产生</w:t>
      </w:r>
      <w:r>
        <w:rPr>
          <w:rFonts w:hint="eastAsia"/>
          <w:highlight w:val="none"/>
          <w:lang w:eastAsia="zh-CN"/>
        </w:rPr>
        <w:t>；</w:t>
      </w:r>
      <w:r>
        <w:rPr>
          <w:rFonts w:hint="default"/>
          <w:highlight w:val="none"/>
        </w:rPr>
        <w:t>机加工序设置于2号厂房内，加工中心均为封闭设备，机械加工工序设置2套油雾净化装置，产生的油雾废气分别经油雾净化装置处理后，经集气罩收集，由2根新建23m排气筒排放；装配工序及热试验工序设置于4号厂房内，热试验间及装配区域产生的尾气采用三元催化器进行处理，后由1根新建23m排气筒排放；含油金属屑加工生产线位于变速器机加厂房北侧，产生的油雾、挥发性有机物（以非甲烷总烃计）、颗粒物及臭气浓度通过油雾净化装置+活性炭吸附装置处理后由1根新建23m排气筒排放；</w:t>
      </w:r>
      <w:r>
        <w:rPr>
          <w:rFonts w:hint="eastAsia"/>
          <w:highlight w:val="none"/>
        </w:rPr>
        <w:t>本项目冬季供暖采用</w:t>
      </w:r>
      <w:r>
        <w:rPr>
          <w:rFonts w:hint="eastAsia"/>
          <w:highlight w:val="none"/>
          <w:lang w:val="en-US" w:eastAsia="zh-CN"/>
        </w:rPr>
        <w:t>集中供暖</w:t>
      </w:r>
      <w:r>
        <w:rPr>
          <w:rFonts w:hint="eastAsia"/>
          <w:highlight w:val="none"/>
        </w:rPr>
        <w:t>，生产设备均为电控设备，不会对大气环境质量现状造成不良影响，符合《通知》要求。</w:t>
      </w:r>
    </w:p>
    <w:p w14:paraId="170A8EEB">
      <w:pPr>
        <w:pStyle w:val="4"/>
        <w:bidi w:val="0"/>
        <w:rPr>
          <w:highlight w:val="none"/>
        </w:rPr>
      </w:pPr>
      <w:bookmarkStart w:id="108" w:name="_Toc18370"/>
      <w:bookmarkStart w:id="109" w:name="_Toc19710"/>
      <w:bookmarkStart w:id="110" w:name="_Toc26702"/>
      <w:r>
        <w:rPr>
          <w:highlight w:val="none"/>
        </w:rPr>
        <w:t>1.4.</w:t>
      </w:r>
      <w:r>
        <w:rPr>
          <w:rFonts w:hint="eastAsia"/>
          <w:highlight w:val="none"/>
          <w:lang w:val="en-US" w:eastAsia="zh-CN"/>
        </w:rPr>
        <w:t>21</w:t>
      </w:r>
      <w:r>
        <w:rPr>
          <w:highlight w:val="none"/>
        </w:rPr>
        <w:t>厂址合理性分析</w:t>
      </w:r>
      <w:bookmarkEnd w:id="108"/>
      <w:bookmarkEnd w:id="109"/>
      <w:bookmarkEnd w:id="110"/>
    </w:p>
    <w:p w14:paraId="7D2B0AD9">
      <w:pPr>
        <w:keepNext w:val="0"/>
        <w:keepLines w:val="0"/>
        <w:pageBreakBefore w:val="0"/>
        <w:widowControl w:val="0"/>
        <w:kinsoku/>
        <w:wordWrap w:val="0"/>
        <w:overflowPunct/>
        <w:topLinePunct w:val="0"/>
        <w:autoSpaceDE/>
        <w:autoSpaceDN/>
        <w:bidi w:val="0"/>
        <w:adjustRightInd w:val="0"/>
        <w:snapToGrid w:val="0"/>
        <w:textAlignment w:val="auto"/>
        <w:rPr>
          <w:highlight w:val="none"/>
        </w:rPr>
      </w:pPr>
      <w:r>
        <w:rPr>
          <w:rFonts w:hint="eastAsia"/>
          <w:highlight w:val="none"/>
          <w:lang w:eastAsia="zh-CN"/>
        </w:rPr>
        <w:t>（</w:t>
      </w:r>
      <w:r>
        <w:rPr>
          <w:rFonts w:hint="eastAsia"/>
          <w:highlight w:val="none"/>
          <w:lang w:val="en-US" w:eastAsia="zh-CN"/>
        </w:rPr>
        <w:t>1</w:t>
      </w:r>
      <w:r>
        <w:rPr>
          <w:rFonts w:hint="eastAsia"/>
          <w:highlight w:val="none"/>
          <w:lang w:eastAsia="zh-CN"/>
        </w:rPr>
        <w:t>）</w:t>
      </w:r>
      <w:r>
        <w:rPr>
          <w:rFonts w:hint="eastAsia"/>
          <w:highlight w:val="none"/>
          <w:lang w:val="en-US" w:eastAsia="zh-CN"/>
        </w:rPr>
        <w:t>本</w:t>
      </w:r>
      <w:r>
        <w:rPr>
          <w:rFonts w:hint="default"/>
          <w:highlight w:val="none"/>
        </w:rPr>
        <w:t>项目位于</w:t>
      </w:r>
      <w:r>
        <w:rPr>
          <w:rFonts w:hint="eastAsia" w:ascii="Times New Roman" w:hAnsi="Times New Roman" w:cs="Times New Roman" w:eastAsiaTheme="minorEastAsia"/>
          <w:sz w:val="24"/>
          <w:szCs w:val="24"/>
          <w:highlight w:val="none"/>
          <w:lang w:val="en-US" w:eastAsia="zh-CN"/>
        </w:rPr>
        <w:t>黑龙江省哈尔滨市开发区哈平路集中区征仪南路6号，哈尔滨东安汽车发动机制造有限公司院内</w:t>
      </w:r>
      <w:r>
        <w:rPr>
          <w:rFonts w:hint="default"/>
          <w:highlight w:val="none"/>
        </w:rPr>
        <w:t>，</w:t>
      </w:r>
      <w:r>
        <w:rPr>
          <w:rFonts w:hint="default"/>
          <w:highlight w:val="none"/>
          <w:lang w:val="en-US" w:eastAsia="zh-CN"/>
        </w:rPr>
        <w:t>不新增占地，用地性质为工业用地</w:t>
      </w:r>
      <w:r>
        <w:rPr>
          <w:rFonts w:hint="eastAsia"/>
          <w:highlight w:val="none"/>
          <w:lang w:val="en-US" w:eastAsia="zh-CN"/>
        </w:rPr>
        <w:t>，</w:t>
      </w:r>
      <w:r>
        <w:rPr>
          <w:highlight w:val="none"/>
        </w:rPr>
        <w:t>符合当地土地利用规划。</w:t>
      </w:r>
    </w:p>
    <w:p w14:paraId="75D970DF">
      <w:pPr>
        <w:keepNext w:val="0"/>
        <w:keepLines w:val="0"/>
        <w:pageBreakBefore w:val="0"/>
        <w:widowControl w:val="0"/>
        <w:kinsoku/>
        <w:wordWrap w:val="0"/>
        <w:overflowPunct/>
        <w:topLinePunct w:val="0"/>
        <w:autoSpaceDE/>
        <w:autoSpaceDN/>
        <w:bidi w:val="0"/>
        <w:adjustRightInd w:val="0"/>
        <w:snapToGrid w:val="0"/>
        <w:textAlignment w:val="auto"/>
        <w:rPr>
          <w:rFonts w:hint="eastAsia"/>
          <w:highlight w:val="none"/>
          <w:lang w:val="en-US" w:eastAsia="zh-CN"/>
        </w:rPr>
      </w:pPr>
      <w:r>
        <w:rPr>
          <w:rFonts w:hint="eastAsia"/>
          <w:highlight w:val="none"/>
          <w:lang w:eastAsia="zh-CN"/>
        </w:rPr>
        <w:t>（</w:t>
      </w:r>
      <w:r>
        <w:rPr>
          <w:rFonts w:hint="eastAsia"/>
          <w:highlight w:val="none"/>
          <w:lang w:val="en-US" w:eastAsia="zh-CN"/>
        </w:rPr>
        <w:t>2</w:t>
      </w:r>
      <w:r>
        <w:rPr>
          <w:rFonts w:hint="eastAsia"/>
          <w:highlight w:val="none"/>
          <w:lang w:eastAsia="zh-CN"/>
        </w:rPr>
        <w:t>）</w:t>
      </w:r>
      <w:r>
        <w:rPr>
          <w:highlight w:val="none"/>
        </w:rPr>
        <w:t>本项目</w:t>
      </w:r>
      <w:r>
        <w:rPr>
          <w:rFonts w:hint="eastAsia"/>
          <w:highlight w:val="none"/>
          <w:lang w:val="en-US" w:eastAsia="zh-CN"/>
        </w:rPr>
        <w:t>东侧为哈尔滨艾瑞排放控制技术股份有限公司和哈尔滨凌云汽车零部件有限公司，南侧为哈飞汽车工业集团有限公司，西侧和北侧为哈尔滨云驰汽车制造有限公司。</w:t>
      </w:r>
    </w:p>
    <w:p w14:paraId="4AE28285">
      <w:pPr>
        <w:keepNext w:val="0"/>
        <w:keepLines w:val="0"/>
        <w:pageBreakBefore w:val="0"/>
        <w:widowControl w:val="0"/>
        <w:kinsoku/>
        <w:wordWrap w:val="0"/>
        <w:overflowPunct/>
        <w:topLinePunct w:val="0"/>
        <w:autoSpaceDE/>
        <w:autoSpaceDN/>
        <w:bidi w:val="0"/>
        <w:adjustRightInd w:val="0"/>
        <w:snapToGrid w:val="0"/>
        <w:textAlignment w:val="auto"/>
        <w:rPr>
          <w:highlight w:val="none"/>
        </w:rPr>
      </w:pPr>
      <w:r>
        <w:rPr>
          <w:rFonts w:hint="eastAsia"/>
          <w:highlight w:val="none"/>
          <w:lang w:eastAsia="zh-CN"/>
        </w:rPr>
        <w:t>（</w:t>
      </w:r>
      <w:r>
        <w:rPr>
          <w:rFonts w:hint="eastAsia"/>
          <w:highlight w:val="none"/>
          <w:lang w:val="en-US" w:eastAsia="zh-CN"/>
        </w:rPr>
        <w:t>3</w:t>
      </w:r>
      <w:r>
        <w:rPr>
          <w:rFonts w:hint="eastAsia"/>
          <w:highlight w:val="none"/>
          <w:lang w:eastAsia="zh-CN"/>
        </w:rPr>
        <w:t>）</w:t>
      </w:r>
      <w:r>
        <w:rPr>
          <w:highlight w:val="none"/>
        </w:rPr>
        <w:t>项目所在地具有方便的交通运输和水电条件，便于项目的施工建设。</w:t>
      </w:r>
    </w:p>
    <w:p w14:paraId="60AD3580">
      <w:pPr>
        <w:keepNext w:val="0"/>
        <w:keepLines w:val="0"/>
        <w:pageBreakBefore w:val="0"/>
        <w:widowControl w:val="0"/>
        <w:kinsoku/>
        <w:wordWrap w:val="0"/>
        <w:overflowPunct/>
        <w:topLinePunct w:val="0"/>
        <w:autoSpaceDE/>
        <w:autoSpaceDN/>
        <w:bidi w:val="0"/>
        <w:adjustRightInd w:val="0"/>
        <w:snapToGrid w:val="0"/>
        <w:textAlignment w:val="auto"/>
        <w:rPr>
          <w:highlight w:val="none"/>
        </w:rPr>
      </w:pPr>
      <w:r>
        <w:rPr>
          <w:rFonts w:hint="eastAsia"/>
          <w:highlight w:val="none"/>
          <w:lang w:eastAsia="zh-CN"/>
        </w:rPr>
        <w:t>（</w:t>
      </w:r>
      <w:r>
        <w:rPr>
          <w:rFonts w:hint="eastAsia"/>
          <w:highlight w:val="none"/>
          <w:lang w:val="en-US" w:eastAsia="zh-CN"/>
        </w:rPr>
        <w:t>4</w:t>
      </w:r>
      <w:r>
        <w:rPr>
          <w:rFonts w:hint="eastAsia"/>
          <w:highlight w:val="none"/>
          <w:lang w:eastAsia="zh-CN"/>
        </w:rPr>
        <w:t>）</w:t>
      </w:r>
      <w:r>
        <w:rPr>
          <w:highlight w:val="none"/>
        </w:rPr>
        <w:t>根据《环境影响评价技术导则—大气环境》（HJ2.2-2018）中关于大气环境防护距离要求，根据估算模型计算结果，本项目大气环境评价工作等级为</w:t>
      </w:r>
      <w:r>
        <w:rPr>
          <w:rFonts w:hint="eastAsia"/>
          <w:highlight w:val="none"/>
          <w:lang w:val="en-US" w:eastAsia="zh-CN"/>
        </w:rPr>
        <w:t>二</w:t>
      </w:r>
      <w:r>
        <w:rPr>
          <w:highlight w:val="none"/>
        </w:rPr>
        <w:t>级，不进行进一步预测与评价，厂界外污染物短期贡献浓度值未超过环境质量短期浓度标准值，因此不设置大气环境防护距离。</w:t>
      </w:r>
    </w:p>
    <w:p w14:paraId="6780CEE2">
      <w:pPr>
        <w:keepNext w:val="0"/>
        <w:keepLines w:val="0"/>
        <w:pageBreakBefore w:val="0"/>
        <w:widowControl w:val="0"/>
        <w:kinsoku/>
        <w:wordWrap w:val="0"/>
        <w:overflowPunct/>
        <w:topLinePunct w:val="0"/>
        <w:autoSpaceDE/>
        <w:autoSpaceDN/>
        <w:bidi w:val="0"/>
        <w:adjustRightInd w:val="0"/>
        <w:snapToGrid w:val="0"/>
        <w:textAlignment w:val="auto"/>
        <w:rPr>
          <w:highlight w:val="none"/>
        </w:rPr>
      </w:pPr>
      <w:r>
        <w:rPr>
          <w:rFonts w:hint="eastAsia"/>
          <w:highlight w:val="none"/>
          <w:lang w:eastAsia="zh-CN"/>
        </w:rPr>
        <w:t>（</w:t>
      </w:r>
      <w:r>
        <w:rPr>
          <w:rFonts w:hint="eastAsia"/>
          <w:highlight w:val="none"/>
          <w:lang w:val="en-US" w:eastAsia="zh-CN"/>
        </w:rPr>
        <w:t>5</w:t>
      </w:r>
      <w:r>
        <w:rPr>
          <w:rFonts w:hint="eastAsia"/>
          <w:highlight w:val="none"/>
          <w:lang w:eastAsia="zh-CN"/>
        </w:rPr>
        <w:t>）</w:t>
      </w:r>
      <w:r>
        <w:rPr>
          <w:highlight w:val="none"/>
        </w:rPr>
        <w:t>本项目选址不涉及水源保护区、生态保护区、风景名胜区等环境敏感区。项目区域内无文物古迹、无明显的环境敏感点，不在地质灾害易发区。</w:t>
      </w:r>
    </w:p>
    <w:p w14:paraId="3CB2E677">
      <w:pPr>
        <w:keepNext w:val="0"/>
        <w:keepLines w:val="0"/>
        <w:pageBreakBefore w:val="0"/>
        <w:widowControl w:val="0"/>
        <w:kinsoku/>
        <w:wordWrap w:val="0"/>
        <w:overflowPunct/>
        <w:topLinePunct w:val="0"/>
        <w:autoSpaceDE/>
        <w:autoSpaceDN/>
        <w:bidi w:val="0"/>
        <w:adjustRightInd w:val="0"/>
        <w:snapToGrid w:val="0"/>
        <w:textAlignment w:val="auto"/>
        <w:rPr>
          <w:rFonts w:hint="eastAsia" w:eastAsia="宋体"/>
          <w:highlight w:val="none"/>
          <w:lang w:val="en-US" w:eastAsia="zh-CN"/>
        </w:rPr>
      </w:pPr>
      <w:r>
        <w:rPr>
          <w:highlight w:val="none"/>
        </w:rPr>
        <w:t>综上拟建项目厂址符合要求，选址是可行的</w:t>
      </w:r>
      <w:r>
        <w:rPr>
          <w:rFonts w:hint="eastAsia"/>
          <w:highlight w:val="none"/>
          <w:lang w:eastAsia="zh-CN"/>
        </w:rPr>
        <w:t>。</w:t>
      </w:r>
    </w:p>
    <w:p w14:paraId="1E714C36">
      <w:pPr>
        <w:pStyle w:val="4"/>
        <w:bidi w:val="0"/>
        <w:rPr>
          <w:rFonts w:hint="default"/>
          <w:highlight w:val="none"/>
          <w:lang w:val="en-US" w:eastAsia="zh-CN"/>
        </w:rPr>
      </w:pPr>
      <w:bookmarkStart w:id="111" w:name="_Toc18286"/>
      <w:bookmarkStart w:id="112" w:name="_Toc20586"/>
      <w:r>
        <w:rPr>
          <w:rFonts w:hint="eastAsia"/>
          <w:highlight w:val="none"/>
          <w:lang w:val="en-US" w:eastAsia="zh-CN"/>
        </w:rPr>
        <w:t>1.4.26生态环境分区管控</w:t>
      </w:r>
      <w:r>
        <w:rPr>
          <w:rFonts w:hint="eastAsia"/>
          <w:highlight w:val="none"/>
        </w:rPr>
        <w:t>符合性分析</w:t>
      </w:r>
      <w:bookmarkEnd w:id="111"/>
      <w:bookmarkEnd w:id="112"/>
    </w:p>
    <w:p w14:paraId="346AAF51">
      <w:pPr>
        <w:bidi w:val="0"/>
        <w:rPr>
          <w:rFonts w:hint="eastAsia"/>
          <w:highlight w:val="none"/>
          <w:lang w:val="en-US" w:eastAsia="zh-CN"/>
        </w:rPr>
      </w:pPr>
      <w:r>
        <w:rPr>
          <w:rFonts w:hint="default" w:ascii="Times New Roman" w:cs="Times New Roman" w:hAnsiTheme="minorEastAsia" w:eastAsiaTheme="minorEastAsia"/>
          <w:highlight w:val="none"/>
          <w:lang w:val="en-US" w:eastAsia="zh-CN"/>
        </w:rPr>
        <w:t>根据“黑龙江省生态环境分区管控数据应用平台”出具的《</w:t>
      </w:r>
      <w:r>
        <w:rPr>
          <w:rFonts w:hint="eastAsia" w:ascii="Times New Roman" w:cs="Times New Roman" w:hAnsiTheme="minorEastAsia" w:eastAsiaTheme="minorEastAsia"/>
          <w:highlight w:val="none"/>
          <w:lang w:val="en-US" w:eastAsia="zh-CN"/>
        </w:rPr>
        <w:t>4G9生产线更新改造项目</w:t>
      </w:r>
      <w:r>
        <w:rPr>
          <w:rFonts w:hint="default" w:ascii="Times New Roman" w:cs="Times New Roman" w:hAnsiTheme="minorEastAsia" w:eastAsiaTheme="minorEastAsia"/>
          <w:highlight w:val="none"/>
          <w:lang w:val="en-US" w:eastAsia="zh-CN"/>
        </w:rPr>
        <w:t>生态环境分区管控分析报告》可知，本项目环境管控单元为重点管控单元。结合本项目排污状况和区域环境及环境质量现状进行调查的基础上，本工程与“生</w:t>
      </w:r>
      <w:r>
        <w:rPr>
          <w:rFonts w:hint="default"/>
          <w:highlight w:val="none"/>
          <w:lang w:val="en-US" w:eastAsia="zh-CN"/>
        </w:rPr>
        <w:t>态环境分区管控”符合性情况如下</w:t>
      </w:r>
    </w:p>
    <w:p w14:paraId="67913B96">
      <w:pPr>
        <w:bidi w:val="0"/>
        <w:rPr>
          <w:highlight w:val="none"/>
        </w:rPr>
      </w:pPr>
      <w:r>
        <w:rPr>
          <w:rFonts w:hint="eastAsia"/>
          <w:highlight w:val="none"/>
          <w:lang w:val="en-US" w:eastAsia="zh-CN"/>
        </w:rPr>
        <w:t>（1）</w:t>
      </w:r>
      <w:r>
        <w:rPr>
          <w:highlight w:val="none"/>
        </w:rPr>
        <w:t>生态保护红线符合性分析</w:t>
      </w:r>
    </w:p>
    <w:p w14:paraId="0D55E159">
      <w:pPr>
        <w:bidi w:val="0"/>
        <w:rPr>
          <w:rFonts w:hint="eastAsia"/>
          <w:highlight w:val="none"/>
          <w:lang w:eastAsia="zh-CN"/>
        </w:rPr>
      </w:pPr>
      <w:r>
        <w:rPr>
          <w:rFonts w:hint="default" w:ascii="Times New Roman" w:cs="Times New Roman" w:hAnsiTheme="minorEastAsia" w:eastAsiaTheme="minorEastAsia"/>
          <w:highlight w:val="none"/>
          <w:lang w:eastAsia="zh-CN"/>
        </w:rPr>
        <w:t>本项目位于黑龙江省哈尔滨市开发区哈平路集中区征仪南路6号，哈尔滨东安</w:t>
      </w:r>
      <w:r>
        <w:rPr>
          <w:rFonts w:hint="default"/>
          <w:highlight w:val="none"/>
          <w:lang w:eastAsia="zh-CN"/>
        </w:rPr>
        <w:t>汽车发动机制造有限公司院内，</w:t>
      </w:r>
      <w:r>
        <w:rPr>
          <w:rFonts w:hint="default"/>
          <w:highlight w:val="none"/>
          <w:lang w:val="en-US" w:eastAsia="zh-CN"/>
        </w:rPr>
        <w:t>根据</w:t>
      </w:r>
      <w:r>
        <w:rPr>
          <w:rFonts w:hint="default"/>
          <w:highlight w:val="none"/>
          <w:lang w:eastAsia="zh-CN"/>
        </w:rPr>
        <w:t>《</w:t>
      </w:r>
      <w:r>
        <w:rPr>
          <w:rFonts w:hint="eastAsia"/>
          <w:highlight w:val="none"/>
          <w:lang w:val="en-US" w:eastAsia="zh-CN"/>
        </w:rPr>
        <w:t>4G9生产线更新改造项目</w:t>
      </w:r>
      <w:r>
        <w:rPr>
          <w:rFonts w:hint="default"/>
          <w:highlight w:val="none"/>
          <w:lang w:val="en-US" w:eastAsia="zh-CN"/>
        </w:rPr>
        <w:t>生态环境分区管控分析报告</w:t>
      </w:r>
      <w:r>
        <w:rPr>
          <w:rFonts w:hint="default"/>
          <w:highlight w:val="none"/>
          <w:lang w:eastAsia="zh-CN"/>
        </w:rPr>
        <w:t>》，</w:t>
      </w:r>
      <w:r>
        <w:rPr>
          <w:rFonts w:hint="default"/>
          <w:highlight w:val="none"/>
          <w:lang w:val="en-US" w:eastAsia="zh-CN"/>
        </w:rPr>
        <w:t>本</w:t>
      </w:r>
      <w:r>
        <w:rPr>
          <w:rFonts w:hint="default"/>
          <w:highlight w:val="none"/>
          <w:lang w:eastAsia="zh-CN"/>
        </w:rPr>
        <w:t>项目不在生态红线范围内</w:t>
      </w:r>
      <w:r>
        <w:rPr>
          <w:rFonts w:hint="eastAsia"/>
          <w:highlight w:val="none"/>
          <w:lang w:eastAsia="zh-CN"/>
        </w:rPr>
        <w:t>。</w:t>
      </w:r>
    </w:p>
    <w:p w14:paraId="64ACD8E9">
      <w:pPr>
        <w:bidi w:val="0"/>
        <w:rPr>
          <w:highlight w:val="none"/>
        </w:rPr>
      </w:pPr>
      <w:r>
        <w:rPr>
          <w:rFonts w:hint="eastAsia"/>
          <w:highlight w:val="none"/>
          <w:lang w:val="en-US" w:eastAsia="zh-CN"/>
        </w:rPr>
        <w:t>（2）</w:t>
      </w:r>
      <w:r>
        <w:rPr>
          <w:highlight w:val="none"/>
        </w:rPr>
        <w:t>环境质量底线符合性分析</w:t>
      </w:r>
    </w:p>
    <w:p w14:paraId="57C6E85A">
      <w:pPr>
        <w:bidi w:val="0"/>
        <w:rPr>
          <w:highlight w:val="none"/>
        </w:rPr>
      </w:pPr>
      <w:r>
        <w:rPr>
          <w:rFonts w:hint="default"/>
          <w:highlight w:val="none"/>
          <w:lang w:val="en-US" w:eastAsia="zh-CN"/>
        </w:rPr>
        <w:t>①</w:t>
      </w:r>
      <w:r>
        <w:rPr>
          <w:highlight w:val="none"/>
        </w:rPr>
        <w:t>大气</w:t>
      </w:r>
    </w:p>
    <w:p w14:paraId="1158CA63">
      <w:pPr>
        <w:bidi w:val="0"/>
        <w:rPr>
          <w:highlight w:val="none"/>
        </w:rPr>
      </w:pPr>
      <w:r>
        <w:rPr>
          <w:rFonts w:hint="eastAsia"/>
          <w:highlight w:val="none"/>
          <w:lang w:val="en-US" w:eastAsia="zh-CN"/>
        </w:rPr>
        <w:t>根据《4G9生产线更新改造项目</w:t>
      </w:r>
      <w:r>
        <w:rPr>
          <w:rFonts w:hint="eastAsia"/>
          <w:highlight w:val="none"/>
          <w:lang w:eastAsia="zh-CN"/>
        </w:rPr>
        <w:t>生态环境分区管控分析报告</w:t>
      </w:r>
      <w:r>
        <w:rPr>
          <w:rFonts w:hint="eastAsia"/>
          <w:highlight w:val="none"/>
          <w:lang w:val="en-US" w:eastAsia="zh-CN"/>
        </w:rPr>
        <w:t>》，本项目位于大气环境布局敏感重点管控区及大气环境受体敏感重点管控区、大气环境高排放重点管控区；</w:t>
      </w:r>
      <w:r>
        <w:rPr>
          <w:rFonts w:hint="eastAsia"/>
          <w:highlight w:val="none"/>
          <w:lang w:eastAsia="zh-CN"/>
        </w:rPr>
        <w:t>本项目机加工序设置于2号厂房内，加工中心均为封闭设备，机械加工工序设置2套油雾净化装置，产生的油雾废气分别经油雾净化装置处理后，经集气罩收集，由2根新建23m排气筒排放；装配工序及热试验工序设置于4号厂房内，热试验间及装配区域产生的尾气采用三元催化器进行处理，后由1根新建23m排气筒排放；含油金属屑加工生产线位于变速器机加厂房北侧，产生的油雾、挥发性有机物（以非甲烷总烃计）、颗粒物及臭气浓度通过油雾净化装置+活性炭吸附装置处理后由1根新建23m排气筒排放；严格落实本报告提出的环保措施后，本项目污染物达标排放</w:t>
      </w:r>
      <w:r>
        <w:rPr>
          <w:rFonts w:hint="eastAsia"/>
          <w:highlight w:val="none"/>
        </w:rPr>
        <w:t>，</w:t>
      </w:r>
      <w:r>
        <w:rPr>
          <w:highlight w:val="none"/>
        </w:rPr>
        <w:t>能够满足哈尔滨市大气环境质量底线要求。</w:t>
      </w:r>
    </w:p>
    <w:p w14:paraId="3C77ADE8">
      <w:pPr>
        <w:bidi w:val="0"/>
        <w:rPr>
          <w:highlight w:val="none"/>
        </w:rPr>
      </w:pPr>
      <w:r>
        <w:rPr>
          <w:rFonts w:hint="default"/>
          <w:highlight w:val="none"/>
          <w:lang w:val="en-US" w:eastAsia="zh-CN"/>
        </w:rPr>
        <w:t>②</w:t>
      </w:r>
      <w:r>
        <w:rPr>
          <w:highlight w:val="none"/>
        </w:rPr>
        <w:t>水环境</w:t>
      </w:r>
    </w:p>
    <w:p w14:paraId="67602D96">
      <w:pPr>
        <w:bidi w:val="0"/>
        <w:rPr>
          <w:rFonts w:hint="default"/>
          <w:highlight w:val="none"/>
          <w:lang w:val="en-US"/>
        </w:rPr>
      </w:pPr>
      <w:r>
        <w:rPr>
          <w:rFonts w:hint="eastAsia"/>
          <w:highlight w:val="none"/>
          <w:lang w:val="en-US" w:eastAsia="zh-CN"/>
        </w:rPr>
        <w:t>根据《4G9生产</w:t>
      </w:r>
      <w:r>
        <w:rPr>
          <w:rFonts w:hint="eastAsia" w:cs="Times New Roman" w:hAnsiTheme="minorEastAsia" w:eastAsiaTheme="minorEastAsia"/>
          <w:highlight w:val="none"/>
          <w:lang w:val="en-US" w:eastAsia="zh-CN"/>
        </w:rPr>
        <w:t>线更新改造项目</w:t>
      </w:r>
      <w:r>
        <w:rPr>
          <w:rFonts w:hint="eastAsia" w:ascii="Times New Roman" w:cs="Times New Roman" w:hAnsiTheme="minorEastAsia" w:eastAsiaTheme="minorEastAsia"/>
          <w:highlight w:val="none"/>
          <w:lang w:eastAsia="zh-CN"/>
        </w:rPr>
        <w:t>生态环境分区管控分析</w:t>
      </w:r>
      <w:r>
        <w:rPr>
          <w:rFonts w:hint="eastAsia" w:ascii="Times New Roman" w:cs="Times New Roman" w:hAnsiTheme="minorEastAsia" w:eastAsiaTheme="minorEastAsia"/>
          <w:highlight w:val="none"/>
          <w:lang w:val="en-US" w:eastAsia="zh-CN"/>
        </w:rPr>
        <w:t>报告》，本项目位于</w:t>
      </w:r>
      <w:r>
        <w:rPr>
          <w:rFonts w:hint="eastAsia" w:cs="Times New Roman" w:hAnsiTheme="minorEastAsia" w:eastAsiaTheme="minorEastAsia"/>
          <w:highlight w:val="none"/>
          <w:lang w:val="en-US" w:eastAsia="zh-CN"/>
        </w:rPr>
        <w:t>水环境工业污染重点管控区（哈尔滨经济技术开发区）、</w:t>
      </w:r>
      <w:r>
        <w:rPr>
          <w:rFonts w:hint="eastAsia" w:ascii="Times New Roman" w:cs="Times New Roman" w:hAnsiTheme="minorEastAsia" w:eastAsiaTheme="minorEastAsia"/>
          <w:highlight w:val="none"/>
          <w:lang w:val="en-US" w:eastAsia="zh-CN"/>
        </w:rPr>
        <w:t>水环境一般管控区（松花江朱顺屯平房区）</w:t>
      </w:r>
      <w:r>
        <w:rPr>
          <w:rFonts w:hint="eastAsia" w:hAnsiTheme="minorEastAsia" w:eastAsiaTheme="minorEastAsia"/>
          <w:highlight w:val="none"/>
          <w:lang w:val="en-US" w:eastAsia="zh-CN"/>
        </w:rPr>
        <w:t>，本项目不新增员工，不新增生活污水，生产废水量较原有无变化，生产过程产生的少量工艺废水（废切削液、清洗液废水）经过厂区4号厂</w:t>
      </w:r>
      <w:r>
        <w:rPr>
          <w:rFonts w:hint="eastAsia"/>
          <w:highlight w:val="none"/>
          <w:lang w:val="en-US" w:eastAsia="zh-CN"/>
        </w:rPr>
        <w:t>房污水处理站处理，达到《污水综合排放标准》（GB8978-1996）三级标准后排入市政管网，进入哈尔滨市朝阳水质净化厂，处理达标后排入马家沟河，最终汇入松花江，不会对区域水环境造成影响，能够满足哈尔滨市水环境质量底线要求。</w:t>
      </w:r>
    </w:p>
    <w:p w14:paraId="484EABAE">
      <w:pPr>
        <w:bidi w:val="0"/>
        <w:rPr>
          <w:highlight w:val="none"/>
        </w:rPr>
      </w:pPr>
      <w:r>
        <w:rPr>
          <w:rFonts w:hint="eastAsia"/>
          <w:highlight w:val="none"/>
          <w:lang w:val="en-US" w:eastAsia="zh-CN"/>
        </w:rPr>
        <w:t>（3）</w:t>
      </w:r>
      <w:r>
        <w:rPr>
          <w:highlight w:val="none"/>
        </w:rPr>
        <w:t>资源利用上线符合性分析</w:t>
      </w:r>
    </w:p>
    <w:p w14:paraId="674CE985">
      <w:pPr>
        <w:bidi w:val="0"/>
        <w:rPr>
          <w:rFonts w:eastAsiaTheme="minorEastAsia"/>
          <w:highlight w:val="none"/>
        </w:rPr>
      </w:pPr>
      <w:r>
        <w:rPr>
          <w:highlight w:val="none"/>
        </w:rPr>
        <w:t>本项目</w:t>
      </w:r>
      <w:r>
        <w:rPr>
          <w:rFonts w:hint="eastAsia"/>
          <w:highlight w:val="none"/>
          <w:lang w:val="en-US" w:eastAsia="zh-CN"/>
        </w:rPr>
        <w:t>位于高</w:t>
      </w:r>
      <w:r>
        <w:rPr>
          <w:rFonts w:hint="eastAsia" w:hAnsiTheme="minorEastAsia" w:eastAsiaTheme="minorEastAsia"/>
          <w:highlight w:val="none"/>
          <w:lang w:val="en-US" w:eastAsia="zh-CN"/>
        </w:rPr>
        <w:t>污染燃料禁燃区</w:t>
      </w:r>
      <w:r>
        <w:rPr>
          <w:rFonts w:hAnsiTheme="minorEastAsia" w:eastAsiaTheme="minorEastAsia"/>
          <w:highlight w:val="none"/>
        </w:rPr>
        <w:t>；本项目不使用高污染燃料，</w:t>
      </w:r>
      <w:r>
        <w:rPr>
          <w:rFonts w:hint="eastAsia" w:hAnsiTheme="minorEastAsia" w:eastAsiaTheme="minorEastAsia"/>
          <w:highlight w:val="none"/>
          <w:lang w:val="en-US" w:eastAsia="zh-CN"/>
        </w:rPr>
        <w:t>生产设备均为电设备，发动机热试采用符合相关标准的汽油</w:t>
      </w:r>
      <w:r>
        <w:rPr>
          <w:rFonts w:hAnsiTheme="minorEastAsia" w:eastAsiaTheme="minorEastAsia"/>
          <w:highlight w:val="none"/>
        </w:rPr>
        <w:t>。本项目</w:t>
      </w:r>
      <w:r>
        <w:rPr>
          <w:rFonts w:hAnsiTheme="minorEastAsia" w:eastAsiaTheme="minorEastAsia"/>
          <w:bCs/>
          <w:highlight w:val="none"/>
        </w:rPr>
        <w:t>供水由市政自来水提供</w:t>
      </w:r>
      <w:r>
        <w:rPr>
          <w:rFonts w:hAnsiTheme="minorEastAsia" w:eastAsiaTheme="minorEastAsia"/>
          <w:highlight w:val="none"/>
        </w:rPr>
        <w:t>，不属于高水耗，高能耗行业。本项目</w:t>
      </w:r>
      <w:r>
        <w:rPr>
          <w:rFonts w:hint="eastAsia" w:hAnsiTheme="minorEastAsia" w:eastAsiaTheme="minorEastAsia"/>
          <w:highlight w:val="none"/>
          <w:lang w:val="en-US" w:eastAsia="zh-CN"/>
        </w:rPr>
        <w:t>不新增用地，企业</w:t>
      </w:r>
      <w:r>
        <w:rPr>
          <w:rFonts w:hAnsiTheme="minorEastAsia" w:eastAsiaTheme="minorEastAsia"/>
          <w:highlight w:val="none"/>
        </w:rPr>
        <w:t>用地性质为</w:t>
      </w:r>
      <w:r>
        <w:rPr>
          <w:rFonts w:hint="eastAsia" w:hAnsiTheme="minorEastAsia" w:eastAsiaTheme="minorEastAsia"/>
          <w:highlight w:val="none"/>
          <w:lang w:val="en-US" w:eastAsia="zh-CN"/>
        </w:rPr>
        <w:t>工业用地</w:t>
      </w:r>
      <w:r>
        <w:rPr>
          <w:rFonts w:hAnsiTheme="minorEastAsia" w:eastAsiaTheme="minorEastAsia"/>
          <w:highlight w:val="none"/>
        </w:rPr>
        <w:t>，不占用基本农田和黑土地。综上，本项目符合资源利用上线要求。</w:t>
      </w:r>
    </w:p>
    <w:p w14:paraId="1D2292F7">
      <w:pPr>
        <w:bidi w:val="0"/>
        <w:rPr>
          <w:highlight w:val="none"/>
        </w:rPr>
      </w:pPr>
      <w:r>
        <w:rPr>
          <w:rFonts w:hint="eastAsia"/>
          <w:highlight w:val="none"/>
          <w:lang w:val="en-US" w:eastAsia="zh-CN"/>
        </w:rPr>
        <w:t>（4）</w:t>
      </w:r>
      <w:r>
        <w:rPr>
          <w:highlight w:val="none"/>
        </w:rPr>
        <w:t>环境准入清单符合性分析</w:t>
      </w:r>
    </w:p>
    <w:p w14:paraId="702C3B53">
      <w:pPr>
        <w:bidi w:val="0"/>
        <w:rPr>
          <w:highlight w:val="none"/>
        </w:rPr>
        <w:sectPr>
          <w:pgSz w:w="11906" w:h="16838"/>
          <w:pgMar w:top="1440" w:right="1800" w:bottom="1440" w:left="1800" w:header="851" w:footer="992" w:gutter="0"/>
          <w:pgBorders w:offsetFrom="page">
            <w:top w:val="none" w:sz="0" w:space="0"/>
            <w:left w:val="none" w:sz="0" w:space="0"/>
            <w:bottom w:val="none" w:sz="0" w:space="0"/>
            <w:right w:val="none" w:sz="0" w:space="0"/>
          </w:pgBorders>
          <w:cols w:space="425" w:num="1"/>
          <w:docGrid w:type="lines" w:linePitch="312" w:charSpace="0"/>
        </w:sectPr>
      </w:pPr>
      <w:r>
        <w:rPr>
          <w:highlight w:val="none"/>
        </w:rPr>
        <w:t>本项目位于</w:t>
      </w:r>
      <w:r>
        <w:rPr>
          <w:rFonts w:hint="eastAsia"/>
          <w:highlight w:val="none"/>
          <w:lang w:val="en-US" w:eastAsia="zh-CN"/>
        </w:rPr>
        <w:t>黑龙江省哈尔滨市开发区哈平路集中区征仪南路6号，哈尔滨东安汽车发动机制造有限公司院内，</w:t>
      </w:r>
      <w:r>
        <w:rPr>
          <w:highlight w:val="none"/>
        </w:rPr>
        <w:t>根据《哈尔滨市生态环境准入清单》</w:t>
      </w:r>
      <w:r>
        <w:rPr>
          <w:rFonts w:hint="eastAsia"/>
          <w:highlight w:val="none"/>
        </w:rPr>
        <w:t>（202</w:t>
      </w:r>
      <w:r>
        <w:rPr>
          <w:rFonts w:hint="eastAsia"/>
          <w:highlight w:val="none"/>
          <w:lang w:val="en-US" w:eastAsia="zh-CN"/>
        </w:rPr>
        <w:t>3</w:t>
      </w:r>
      <w:r>
        <w:rPr>
          <w:rFonts w:hint="eastAsia"/>
          <w:highlight w:val="none"/>
        </w:rPr>
        <w:t>年版）</w:t>
      </w:r>
      <w:r>
        <w:rPr>
          <w:rFonts w:hint="eastAsia"/>
          <w:highlight w:val="none"/>
          <w:lang w:val="en-US" w:eastAsia="zh-CN"/>
        </w:rPr>
        <w:t>和</w:t>
      </w:r>
      <w:r>
        <w:rPr>
          <w:rFonts w:hint="eastAsia" w:cs="Times New Roman" w:eastAsiaTheme="minorEastAsia"/>
          <w:highlight w:val="none"/>
          <w:lang w:val="en-US" w:eastAsia="zh-CN"/>
        </w:rPr>
        <w:t>《</w:t>
      </w:r>
      <w:r>
        <w:rPr>
          <w:rFonts w:hint="eastAsia" w:cs="Times New Roman" w:hAnsiTheme="minorEastAsia" w:eastAsiaTheme="minorEastAsia"/>
          <w:highlight w:val="none"/>
          <w:lang w:val="en-US" w:eastAsia="zh-CN"/>
        </w:rPr>
        <w:t>4G9生产线更新改造项目</w:t>
      </w:r>
      <w:r>
        <w:rPr>
          <w:rFonts w:hint="eastAsia" w:ascii="Times New Roman" w:cs="Times New Roman" w:hAnsiTheme="minorEastAsia" w:eastAsiaTheme="minorEastAsia"/>
          <w:highlight w:val="none"/>
          <w:lang w:eastAsia="zh-CN"/>
        </w:rPr>
        <w:t>生态环境分区管控分析</w:t>
      </w:r>
      <w:r>
        <w:rPr>
          <w:rFonts w:hint="eastAsia" w:ascii="Times New Roman" w:cs="Times New Roman" w:hAnsiTheme="minorEastAsia" w:eastAsiaTheme="minorEastAsia"/>
          <w:highlight w:val="none"/>
          <w:lang w:val="en-US" w:eastAsia="zh-CN"/>
        </w:rPr>
        <w:t>报告》</w:t>
      </w:r>
      <w:r>
        <w:rPr>
          <w:highlight w:val="none"/>
        </w:rPr>
        <w:t>，具体管控要求及符合性分析见下表。</w:t>
      </w:r>
    </w:p>
    <w:p w14:paraId="1E43F725">
      <w:pPr>
        <w:pStyle w:val="7"/>
        <w:bidi w:val="0"/>
        <w:rPr>
          <w:highlight w:val="none"/>
        </w:rPr>
      </w:pPr>
      <w:r>
        <w:rPr>
          <w:highlight w:val="none"/>
        </w:rPr>
        <w:t>表1-4-</w:t>
      </w:r>
      <w:r>
        <w:rPr>
          <w:rFonts w:hint="eastAsia"/>
          <w:highlight w:val="none"/>
          <w:lang w:val="en-US" w:eastAsia="zh-CN"/>
        </w:rPr>
        <w:t>10</w:t>
      </w:r>
      <w:r>
        <w:rPr>
          <w:highlight w:val="none"/>
        </w:rPr>
        <w:t>生态环境准入清单符合性分析</w:t>
      </w:r>
    </w:p>
    <w:tbl>
      <w:tblPr>
        <w:tblStyle w:val="45"/>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08"/>
        <w:gridCol w:w="1026"/>
        <w:gridCol w:w="637"/>
        <w:gridCol w:w="971"/>
        <w:gridCol w:w="5948"/>
        <w:gridCol w:w="3750"/>
        <w:gridCol w:w="1031"/>
      </w:tblGrid>
      <w:tr w14:paraId="364169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tcBorders>
              <w:tl2br w:val="nil"/>
              <w:tr2bl w:val="nil"/>
            </w:tcBorders>
            <w:vAlign w:val="center"/>
          </w:tcPr>
          <w:p w14:paraId="28BCB1C7">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环境管控单元编码</w:t>
            </w:r>
          </w:p>
        </w:tc>
        <w:tc>
          <w:tcPr>
            <w:tcW w:w="1026" w:type="dxa"/>
            <w:tcBorders>
              <w:tl2br w:val="nil"/>
              <w:tr2bl w:val="nil"/>
            </w:tcBorders>
            <w:vAlign w:val="center"/>
          </w:tcPr>
          <w:p w14:paraId="01978736">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环境管控单元名称</w:t>
            </w:r>
          </w:p>
        </w:tc>
        <w:tc>
          <w:tcPr>
            <w:tcW w:w="637" w:type="dxa"/>
            <w:tcBorders>
              <w:tl2br w:val="nil"/>
              <w:tr2bl w:val="nil"/>
            </w:tcBorders>
            <w:vAlign w:val="center"/>
          </w:tcPr>
          <w:p w14:paraId="35951902">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管控单元类别</w:t>
            </w:r>
          </w:p>
        </w:tc>
        <w:tc>
          <w:tcPr>
            <w:tcW w:w="6920" w:type="dxa"/>
            <w:gridSpan w:val="2"/>
            <w:tcBorders>
              <w:tl2br w:val="nil"/>
              <w:tr2bl w:val="nil"/>
            </w:tcBorders>
            <w:vAlign w:val="center"/>
          </w:tcPr>
          <w:p w14:paraId="1F857A42">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管控要求</w:t>
            </w:r>
          </w:p>
        </w:tc>
        <w:tc>
          <w:tcPr>
            <w:tcW w:w="3751" w:type="dxa"/>
            <w:tcBorders>
              <w:tl2br w:val="nil"/>
              <w:tr2bl w:val="nil"/>
            </w:tcBorders>
            <w:vAlign w:val="center"/>
          </w:tcPr>
          <w:p w14:paraId="70BEF4C7">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eastAsia"/>
                <w:highlight w:val="none"/>
                <w:lang w:eastAsia="zh-CN"/>
              </w:rPr>
            </w:pPr>
            <w:r>
              <w:rPr>
                <w:rFonts w:hint="eastAsia"/>
                <w:highlight w:val="none"/>
                <w:lang w:val="en-US" w:eastAsia="zh-CN"/>
              </w:rPr>
              <w:t>本项目</w:t>
            </w:r>
          </w:p>
        </w:tc>
        <w:tc>
          <w:tcPr>
            <w:tcW w:w="1031" w:type="dxa"/>
            <w:tcBorders>
              <w:tl2br w:val="nil"/>
              <w:tr2bl w:val="nil"/>
            </w:tcBorders>
            <w:vAlign w:val="center"/>
          </w:tcPr>
          <w:p w14:paraId="65A97385">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lang w:val="en-US" w:eastAsia="zh-CN"/>
              </w:rPr>
            </w:pPr>
            <w:r>
              <w:rPr>
                <w:rFonts w:hint="eastAsia"/>
                <w:highlight w:val="none"/>
                <w:lang w:val="en-US" w:eastAsia="zh-CN"/>
              </w:rPr>
              <w:t>符合性</w:t>
            </w:r>
          </w:p>
        </w:tc>
      </w:tr>
      <w:tr w14:paraId="75DEC2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restart"/>
            <w:tcBorders>
              <w:tl2br w:val="nil"/>
              <w:tr2bl w:val="nil"/>
            </w:tcBorders>
            <w:vAlign w:val="center"/>
          </w:tcPr>
          <w:p w14:paraId="7D512EE8">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eastAsia"/>
                <w:highlight w:val="none"/>
                <w:lang w:eastAsia="zh-CN"/>
              </w:rPr>
            </w:pPr>
            <w:r>
              <w:rPr>
                <w:rFonts w:hint="default"/>
                <w:highlight w:val="none"/>
              </w:rPr>
              <w:t>ZH2301082000</w:t>
            </w:r>
            <w:r>
              <w:rPr>
                <w:rFonts w:hint="eastAsia"/>
                <w:highlight w:val="none"/>
                <w:lang w:val="en-US" w:eastAsia="zh-CN"/>
              </w:rPr>
              <w:t>2</w:t>
            </w:r>
          </w:p>
        </w:tc>
        <w:tc>
          <w:tcPr>
            <w:tcW w:w="1026" w:type="dxa"/>
            <w:vMerge w:val="restart"/>
            <w:tcBorders>
              <w:tl2br w:val="nil"/>
              <w:tr2bl w:val="nil"/>
            </w:tcBorders>
            <w:vAlign w:val="center"/>
          </w:tcPr>
          <w:p w14:paraId="487D5894">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lang w:val="en-US" w:eastAsia="zh-CN"/>
              </w:rPr>
            </w:pPr>
            <w:r>
              <w:rPr>
                <w:rFonts w:hint="eastAsia"/>
                <w:highlight w:val="none"/>
                <w:lang w:val="en-US" w:eastAsia="zh-CN"/>
              </w:rPr>
              <w:t>平房区城镇空间</w:t>
            </w:r>
          </w:p>
        </w:tc>
        <w:tc>
          <w:tcPr>
            <w:tcW w:w="637" w:type="dxa"/>
            <w:vMerge w:val="restart"/>
            <w:tcBorders>
              <w:tl2br w:val="nil"/>
              <w:tr2bl w:val="nil"/>
            </w:tcBorders>
            <w:vAlign w:val="center"/>
          </w:tcPr>
          <w:p w14:paraId="12619DA7">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重点管控单元</w:t>
            </w:r>
          </w:p>
        </w:tc>
        <w:tc>
          <w:tcPr>
            <w:tcW w:w="971" w:type="dxa"/>
            <w:vMerge w:val="restart"/>
            <w:tcBorders>
              <w:tl2br w:val="nil"/>
              <w:tr2bl w:val="nil"/>
            </w:tcBorders>
            <w:vAlign w:val="center"/>
          </w:tcPr>
          <w:p w14:paraId="37E70D27">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空间布局约束</w:t>
            </w:r>
          </w:p>
        </w:tc>
        <w:tc>
          <w:tcPr>
            <w:tcW w:w="5949" w:type="dxa"/>
            <w:tcBorders>
              <w:tl2br w:val="nil"/>
              <w:tr2bl w:val="nil"/>
            </w:tcBorders>
            <w:vAlign w:val="center"/>
          </w:tcPr>
          <w:p w14:paraId="2DECDC4F">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lang w:val="zh-CN"/>
              </w:rPr>
              <w:t>1.严禁在人口密集区新建危险化学品生产项目，城镇人口密集区危险化学品生产企业应搬迁改造</w:t>
            </w:r>
          </w:p>
        </w:tc>
        <w:tc>
          <w:tcPr>
            <w:tcW w:w="3751" w:type="dxa"/>
            <w:tcBorders>
              <w:tl2br w:val="nil"/>
              <w:tr2bl w:val="nil"/>
            </w:tcBorders>
            <w:vAlign w:val="center"/>
          </w:tcPr>
          <w:p w14:paraId="7F2F1E3D">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eastAsia" w:eastAsia="宋体"/>
                <w:highlight w:val="none"/>
                <w:lang w:val="en-US" w:eastAsia="zh-CN"/>
              </w:rPr>
            </w:pPr>
            <w:r>
              <w:rPr>
                <w:rFonts w:hint="default"/>
                <w:highlight w:val="none"/>
              </w:rPr>
              <w:t>本项目</w:t>
            </w:r>
            <w:r>
              <w:rPr>
                <w:rFonts w:hint="eastAsia"/>
                <w:highlight w:val="none"/>
                <w:lang w:val="en-US" w:eastAsia="zh-CN"/>
              </w:rPr>
              <w:t>不属于</w:t>
            </w:r>
            <w:r>
              <w:rPr>
                <w:rFonts w:hint="default"/>
                <w:highlight w:val="none"/>
                <w:lang w:val="zh-CN"/>
              </w:rPr>
              <w:t>危险化学品生产项目</w:t>
            </w:r>
            <w:r>
              <w:rPr>
                <w:rFonts w:hint="eastAsia"/>
                <w:highlight w:val="none"/>
                <w:lang w:val="zh-CN"/>
              </w:rPr>
              <w:t>，</w:t>
            </w:r>
            <w:r>
              <w:rPr>
                <w:rFonts w:hint="eastAsia"/>
                <w:highlight w:val="none"/>
                <w:lang w:val="en-US" w:eastAsia="zh-CN"/>
              </w:rPr>
              <w:t>不位于</w:t>
            </w:r>
            <w:r>
              <w:rPr>
                <w:rFonts w:hint="default"/>
                <w:highlight w:val="none"/>
                <w:lang w:val="zh-CN"/>
              </w:rPr>
              <w:t>人口密集区</w:t>
            </w:r>
          </w:p>
        </w:tc>
        <w:tc>
          <w:tcPr>
            <w:tcW w:w="1031" w:type="dxa"/>
            <w:tcBorders>
              <w:tl2br w:val="nil"/>
              <w:tr2bl w:val="nil"/>
            </w:tcBorders>
            <w:vAlign w:val="center"/>
          </w:tcPr>
          <w:p w14:paraId="7B06AB03">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lang w:val="en-US" w:eastAsia="zh-CN"/>
              </w:rPr>
            </w:pPr>
            <w:r>
              <w:rPr>
                <w:rFonts w:hint="eastAsia"/>
                <w:highlight w:val="none"/>
                <w:lang w:val="en-US" w:eastAsia="zh-CN"/>
              </w:rPr>
              <w:t>符合</w:t>
            </w:r>
          </w:p>
        </w:tc>
      </w:tr>
      <w:tr w14:paraId="6DC73B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continue"/>
            <w:tcBorders>
              <w:tl2br w:val="nil"/>
              <w:tr2bl w:val="nil"/>
            </w:tcBorders>
            <w:vAlign w:val="center"/>
          </w:tcPr>
          <w:p w14:paraId="50892A1D">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highlight w:val="none"/>
              </w:rPr>
            </w:pPr>
          </w:p>
        </w:tc>
        <w:tc>
          <w:tcPr>
            <w:tcW w:w="1026" w:type="dxa"/>
            <w:vMerge w:val="continue"/>
            <w:tcBorders>
              <w:tl2br w:val="nil"/>
              <w:tr2bl w:val="nil"/>
            </w:tcBorders>
            <w:vAlign w:val="center"/>
          </w:tcPr>
          <w:p w14:paraId="5CDF4154">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highlight w:val="none"/>
              </w:rPr>
            </w:pPr>
          </w:p>
        </w:tc>
        <w:tc>
          <w:tcPr>
            <w:tcW w:w="637" w:type="dxa"/>
            <w:vMerge w:val="continue"/>
            <w:tcBorders>
              <w:tl2br w:val="nil"/>
              <w:tr2bl w:val="nil"/>
            </w:tcBorders>
            <w:vAlign w:val="center"/>
          </w:tcPr>
          <w:p w14:paraId="2FD64A9A">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highlight w:val="none"/>
              </w:rPr>
            </w:pPr>
          </w:p>
        </w:tc>
        <w:tc>
          <w:tcPr>
            <w:tcW w:w="971" w:type="dxa"/>
            <w:vMerge w:val="continue"/>
            <w:tcBorders>
              <w:tl2br w:val="nil"/>
              <w:tr2bl w:val="nil"/>
            </w:tcBorders>
            <w:vAlign w:val="center"/>
          </w:tcPr>
          <w:p w14:paraId="2A0B8AF4">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outlineLvl w:val="9"/>
              <w:rPr>
                <w:rFonts w:hint="default"/>
                <w:highlight w:val="none"/>
              </w:rPr>
            </w:pPr>
          </w:p>
        </w:tc>
        <w:tc>
          <w:tcPr>
            <w:tcW w:w="5949" w:type="dxa"/>
            <w:tcBorders>
              <w:tl2br w:val="nil"/>
              <w:tr2bl w:val="nil"/>
            </w:tcBorders>
            <w:vAlign w:val="center"/>
          </w:tcPr>
          <w:p w14:paraId="6DEAEEA9">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lang w:val="zh-CN"/>
              </w:rPr>
            </w:pPr>
            <w:r>
              <w:rPr>
                <w:rFonts w:hint="default"/>
                <w:highlight w:val="none"/>
                <w:lang w:val="zh-CN"/>
              </w:rPr>
              <w:t>2.禁止在城镇居民区、文化教育科学研究区等人口集中区域建设畜禽养殖场、养殖小区</w:t>
            </w:r>
          </w:p>
        </w:tc>
        <w:tc>
          <w:tcPr>
            <w:tcW w:w="3751" w:type="dxa"/>
            <w:tcBorders>
              <w:tl2br w:val="nil"/>
              <w:tr2bl w:val="nil"/>
            </w:tcBorders>
            <w:vAlign w:val="center"/>
          </w:tcPr>
          <w:p w14:paraId="2DFDA60D">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lang w:val="en-US"/>
              </w:rPr>
            </w:pPr>
            <w:r>
              <w:rPr>
                <w:rFonts w:hint="default"/>
                <w:highlight w:val="none"/>
              </w:rPr>
              <w:t>本项目不属</w:t>
            </w:r>
            <w:r>
              <w:rPr>
                <w:rFonts w:hint="default"/>
                <w:highlight w:val="none"/>
                <w:lang w:val="zh-CN"/>
              </w:rPr>
              <w:t>畜禽养殖场、养殖小区</w:t>
            </w:r>
            <w:r>
              <w:rPr>
                <w:rFonts w:hint="eastAsia"/>
                <w:highlight w:val="none"/>
                <w:lang w:val="en-US"/>
              </w:rPr>
              <w:t>项目</w:t>
            </w:r>
          </w:p>
        </w:tc>
        <w:tc>
          <w:tcPr>
            <w:tcW w:w="1031" w:type="dxa"/>
            <w:tcBorders>
              <w:tl2br w:val="nil"/>
              <w:tr2bl w:val="nil"/>
            </w:tcBorders>
            <w:vAlign w:val="center"/>
          </w:tcPr>
          <w:p w14:paraId="66459D76">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eastAsia"/>
                <w:highlight w:val="none"/>
                <w:lang w:val="en-US" w:eastAsia="zh-CN"/>
              </w:rPr>
              <w:t>符合</w:t>
            </w:r>
          </w:p>
        </w:tc>
      </w:tr>
      <w:tr w14:paraId="743072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continue"/>
            <w:tcBorders>
              <w:tl2br w:val="nil"/>
              <w:tr2bl w:val="nil"/>
            </w:tcBorders>
            <w:vAlign w:val="center"/>
          </w:tcPr>
          <w:p w14:paraId="6FFB03BD">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outlineLvl w:val="9"/>
              <w:rPr>
                <w:rFonts w:hint="default"/>
                <w:highlight w:val="none"/>
              </w:rPr>
            </w:pPr>
          </w:p>
        </w:tc>
        <w:tc>
          <w:tcPr>
            <w:tcW w:w="1026" w:type="dxa"/>
            <w:vMerge w:val="continue"/>
            <w:tcBorders>
              <w:tl2br w:val="nil"/>
              <w:tr2bl w:val="nil"/>
            </w:tcBorders>
            <w:vAlign w:val="center"/>
          </w:tcPr>
          <w:p w14:paraId="708A0DF9">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outlineLvl w:val="9"/>
              <w:rPr>
                <w:rFonts w:hint="default"/>
                <w:highlight w:val="none"/>
              </w:rPr>
            </w:pPr>
          </w:p>
        </w:tc>
        <w:tc>
          <w:tcPr>
            <w:tcW w:w="637" w:type="dxa"/>
            <w:vMerge w:val="continue"/>
            <w:tcBorders>
              <w:tl2br w:val="nil"/>
              <w:tr2bl w:val="nil"/>
            </w:tcBorders>
            <w:vAlign w:val="center"/>
          </w:tcPr>
          <w:p w14:paraId="4F46260D">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outlineLvl w:val="9"/>
              <w:rPr>
                <w:rFonts w:hint="default"/>
                <w:highlight w:val="none"/>
              </w:rPr>
            </w:pPr>
          </w:p>
        </w:tc>
        <w:tc>
          <w:tcPr>
            <w:tcW w:w="971" w:type="dxa"/>
            <w:vMerge w:val="continue"/>
            <w:tcBorders>
              <w:tl2br w:val="nil"/>
              <w:tr2bl w:val="nil"/>
            </w:tcBorders>
            <w:vAlign w:val="center"/>
          </w:tcPr>
          <w:p w14:paraId="525CC476">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outlineLvl w:val="9"/>
              <w:rPr>
                <w:rFonts w:hint="default"/>
                <w:highlight w:val="none"/>
              </w:rPr>
            </w:pPr>
          </w:p>
        </w:tc>
        <w:tc>
          <w:tcPr>
            <w:tcW w:w="5949" w:type="dxa"/>
            <w:tcBorders>
              <w:tl2br w:val="nil"/>
              <w:tr2bl w:val="nil"/>
            </w:tcBorders>
            <w:vAlign w:val="center"/>
          </w:tcPr>
          <w:p w14:paraId="0BCF4B9B">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lang w:val="zh-CN"/>
              </w:rPr>
            </w:pPr>
            <w:r>
              <w:rPr>
                <w:rFonts w:hint="default"/>
                <w:highlight w:val="none"/>
                <w:lang w:val="zh-CN"/>
              </w:rPr>
              <w:t>3.严控“两高”行业产能。严格执行钢铁、水泥、平板玻璃等行业产能置换实施办法</w:t>
            </w:r>
          </w:p>
        </w:tc>
        <w:tc>
          <w:tcPr>
            <w:tcW w:w="3751" w:type="dxa"/>
            <w:tcBorders>
              <w:tl2br w:val="nil"/>
              <w:tr2bl w:val="nil"/>
            </w:tcBorders>
            <w:vAlign w:val="center"/>
          </w:tcPr>
          <w:p w14:paraId="145DBC45">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lang w:val="en-US"/>
              </w:rPr>
            </w:pPr>
            <w:r>
              <w:rPr>
                <w:rFonts w:hint="default"/>
                <w:highlight w:val="none"/>
                <w:lang w:val="zh-CN"/>
              </w:rPr>
              <w:t>本项目</w:t>
            </w:r>
            <w:r>
              <w:rPr>
                <w:rFonts w:hint="eastAsia"/>
                <w:highlight w:val="none"/>
                <w:lang w:val="en-US"/>
              </w:rPr>
              <w:t>不属于</w:t>
            </w:r>
            <w:r>
              <w:rPr>
                <w:rFonts w:hint="default"/>
                <w:highlight w:val="none"/>
                <w:lang w:val="zh-CN"/>
              </w:rPr>
              <w:t>“两高”行业</w:t>
            </w:r>
            <w:r>
              <w:rPr>
                <w:rFonts w:hint="eastAsia"/>
                <w:highlight w:val="none"/>
                <w:lang w:val="zh-CN"/>
              </w:rPr>
              <w:t>、</w:t>
            </w:r>
            <w:r>
              <w:rPr>
                <w:rFonts w:hint="default"/>
                <w:highlight w:val="none"/>
                <w:lang w:val="zh-CN"/>
              </w:rPr>
              <w:t>钢铁、水泥、平板玻璃等行业</w:t>
            </w:r>
          </w:p>
        </w:tc>
        <w:tc>
          <w:tcPr>
            <w:tcW w:w="1031" w:type="dxa"/>
            <w:tcBorders>
              <w:tl2br w:val="nil"/>
              <w:tr2bl w:val="nil"/>
            </w:tcBorders>
            <w:vAlign w:val="center"/>
          </w:tcPr>
          <w:p w14:paraId="1F10BF2E">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lang w:val="zh-CN"/>
              </w:rPr>
            </w:pPr>
            <w:r>
              <w:rPr>
                <w:rFonts w:hint="eastAsia"/>
                <w:highlight w:val="none"/>
                <w:lang w:val="en-US" w:eastAsia="zh-CN"/>
              </w:rPr>
              <w:t>符合</w:t>
            </w:r>
          </w:p>
        </w:tc>
      </w:tr>
      <w:tr w14:paraId="7768D7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continue"/>
            <w:tcBorders>
              <w:tl2br w:val="nil"/>
              <w:tr2bl w:val="nil"/>
            </w:tcBorders>
            <w:vAlign w:val="center"/>
          </w:tcPr>
          <w:p w14:paraId="06A3E296">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highlight w:val="none"/>
              </w:rPr>
            </w:pPr>
          </w:p>
        </w:tc>
        <w:tc>
          <w:tcPr>
            <w:tcW w:w="1026" w:type="dxa"/>
            <w:vMerge w:val="continue"/>
            <w:tcBorders>
              <w:tl2br w:val="nil"/>
              <w:tr2bl w:val="nil"/>
            </w:tcBorders>
            <w:vAlign w:val="center"/>
          </w:tcPr>
          <w:p w14:paraId="4615FCAA">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highlight w:val="none"/>
              </w:rPr>
            </w:pPr>
          </w:p>
        </w:tc>
        <w:tc>
          <w:tcPr>
            <w:tcW w:w="637" w:type="dxa"/>
            <w:vMerge w:val="continue"/>
            <w:tcBorders>
              <w:tl2br w:val="nil"/>
              <w:tr2bl w:val="nil"/>
            </w:tcBorders>
            <w:vAlign w:val="center"/>
          </w:tcPr>
          <w:p w14:paraId="3C5B4769">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highlight w:val="none"/>
              </w:rPr>
            </w:pPr>
          </w:p>
        </w:tc>
        <w:tc>
          <w:tcPr>
            <w:tcW w:w="971" w:type="dxa"/>
            <w:vMerge w:val="continue"/>
            <w:tcBorders>
              <w:tl2br w:val="nil"/>
              <w:tr2bl w:val="nil"/>
            </w:tcBorders>
            <w:vAlign w:val="center"/>
          </w:tcPr>
          <w:p w14:paraId="36E830E5">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p>
        </w:tc>
        <w:tc>
          <w:tcPr>
            <w:tcW w:w="5949" w:type="dxa"/>
            <w:tcBorders>
              <w:tl2br w:val="nil"/>
              <w:tr2bl w:val="nil"/>
            </w:tcBorders>
            <w:vAlign w:val="center"/>
          </w:tcPr>
          <w:p w14:paraId="5D0CABD1">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ascii="Times New Roman" w:hAnsi="Times New Roman" w:eastAsia="宋体" w:cs="Times New Roman"/>
                <w:color w:val="000000"/>
                <w:kern w:val="0"/>
                <w:sz w:val="21"/>
                <w:szCs w:val="24"/>
                <w:highlight w:val="none"/>
                <w:lang w:val="en-US" w:eastAsia="zh-CN" w:bidi="ar-SA"/>
              </w:rPr>
            </w:pPr>
            <w:r>
              <w:rPr>
                <w:rFonts w:hint="default"/>
                <w:highlight w:val="none"/>
              </w:rPr>
              <w:t>4.利用水泥窑协同处置城市生活垃圾、危险废弃物、电石渣等固废伴生水泥项目，必须依托现有新型干法水泥熟料生产线进行不扩产能改造</w:t>
            </w:r>
          </w:p>
        </w:tc>
        <w:tc>
          <w:tcPr>
            <w:tcW w:w="3751" w:type="dxa"/>
            <w:tcBorders>
              <w:tl2br w:val="nil"/>
              <w:tr2bl w:val="nil"/>
            </w:tcBorders>
            <w:vAlign w:val="center"/>
          </w:tcPr>
          <w:p w14:paraId="6077B416">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ascii="Times New Roman" w:hAnsi="Times New Roman" w:eastAsia="宋体" w:cs="Times New Roman"/>
                <w:color w:val="000000"/>
                <w:kern w:val="0"/>
                <w:sz w:val="21"/>
                <w:szCs w:val="24"/>
                <w:highlight w:val="none"/>
                <w:lang w:val="en-US" w:eastAsia="zh-CN" w:bidi="ar-SA"/>
              </w:rPr>
            </w:pPr>
            <w:r>
              <w:rPr>
                <w:rFonts w:hint="default"/>
                <w:highlight w:val="none"/>
              </w:rPr>
              <w:t>本项目</w:t>
            </w:r>
            <w:r>
              <w:rPr>
                <w:rFonts w:hint="eastAsia"/>
                <w:highlight w:val="none"/>
                <w:lang w:val="en-US" w:eastAsia="zh-CN"/>
              </w:rPr>
              <w:t>含有金属屑综合利用，仅通过破碎、甩干、压块工序加工</w:t>
            </w:r>
            <w:r>
              <w:rPr>
                <w:rFonts w:hint="default"/>
                <w:highlight w:val="none"/>
              </w:rPr>
              <w:t>，不属于水泥窑协同处置</w:t>
            </w:r>
            <w:r>
              <w:rPr>
                <w:rFonts w:hint="default"/>
                <w:highlight w:val="none"/>
                <w:lang w:val="en-US" w:eastAsia="zh-CN"/>
              </w:rPr>
              <w:t>项目</w:t>
            </w:r>
          </w:p>
        </w:tc>
        <w:tc>
          <w:tcPr>
            <w:tcW w:w="1031" w:type="dxa"/>
            <w:tcBorders>
              <w:tl2br w:val="nil"/>
              <w:tr2bl w:val="nil"/>
            </w:tcBorders>
            <w:vAlign w:val="center"/>
          </w:tcPr>
          <w:p w14:paraId="5F1D1907">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highlight w:val="none"/>
                <w:lang w:val="en-US" w:eastAsia="zh-CN"/>
              </w:rPr>
              <w:t>符合</w:t>
            </w:r>
          </w:p>
        </w:tc>
      </w:tr>
      <w:tr w14:paraId="6592C5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continue"/>
            <w:tcBorders>
              <w:tl2br w:val="nil"/>
              <w:tr2bl w:val="nil"/>
            </w:tcBorders>
            <w:vAlign w:val="center"/>
          </w:tcPr>
          <w:p w14:paraId="4D2DEA3D">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highlight w:val="none"/>
              </w:rPr>
            </w:pPr>
          </w:p>
        </w:tc>
        <w:tc>
          <w:tcPr>
            <w:tcW w:w="1026" w:type="dxa"/>
            <w:vMerge w:val="continue"/>
            <w:tcBorders>
              <w:tl2br w:val="nil"/>
              <w:tr2bl w:val="nil"/>
            </w:tcBorders>
            <w:vAlign w:val="center"/>
          </w:tcPr>
          <w:p w14:paraId="2742EB5F">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highlight w:val="none"/>
              </w:rPr>
            </w:pPr>
          </w:p>
        </w:tc>
        <w:tc>
          <w:tcPr>
            <w:tcW w:w="637" w:type="dxa"/>
            <w:vMerge w:val="continue"/>
            <w:tcBorders>
              <w:tl2br w:val="nil"/>
              <w:tr2bl w:val="nil"/>
            </w:tcBorders>
            <w:vAlign w:val="center"/>
          </w:tcPr>
          <w:p w14:paraId="20FF74B1">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highlight w:val="none"/>
              </w:rPr>
            </w:pPr>
          </w:p>
        </w:tc>
        <w:tc>
          <w:tcPr>
            <w:tcW w:w="971" w:type="dxa"/>
            <w:vMerge w:val="restart"/>
            <w:tcBorders>
              <w:tl2br w:val="nil"/>
              <w:tr2bl w:val="nil"/>
            </w:tcBorders>
            <w:vAlign w:val="center"/>
          </w:tcPr>
          <w:p w14:paraId="153FCA92">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污染物排放管控</w:t>
            </w:r>
          </w:p>
        </w:tc>
        <w:tc>
          <w:tcPr>
            <w:tcW w:w="5949" w:type="dxa"/>
            <w:tcBorders>
              <w:tl2br w:val="nil"/>
              <w:tr2bl w:val="nil"/>
            </w:tcBorders>
            <w:vAlign w:val="center"/>
          </w:tcPr>
          <w:p w14:paraId="56D7CE4C">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1.区域内新建、改扩建项目废气污染物二氧化硫、氮氧化物和细颗粒物排放总量应1.5倍减量置换</w:t>
            </w:r>
          </w:p>
        </w:tc>
        <w:tc>
          <w:tcPr>
            <w:tcW w:w="3751" w:type="dxa"/>
            <w:tcBorders>
              <w:tl2br w:val="nil"/>
              <w:tr2bl w:val="nil"/>
            </w:tcBorders>
            <w:vAlign w:val="center"/>
          </w:tcPr>
          <w:p w14:paraId="7935475C">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eastAsia="宋体"/>
                <w:highlight w:val="none"/>
                <w:lang w:val="en-US" w:eastAsia="zh-CN"/>
              </w:rPr>
            </w:pPr>
            <w:r>
              <w:rPr>
                <w:rFonts w:hint="default" w:ascii="Times New Roman" w:hAnsi="Times New Roman"/>
                <w:color w:val="000000" w:themeColor="text1"/>
                <w:sz w:val="21"/>
                <w:szCs w:val="21"/>
                <w:highlight w:val="none"/>
              </w:rPr>
              <w:t>本项目新增的氮氧化物通过</w:t>
            </w:r>
            <w:r>
              <w:rPr>
                <w:rFonts w:hint="eastAsia" w:ascii="Times New Roman" w:hAnsi="Times New Roman"/>
                <w:color w:val="000000" w:themeColor="text1"/>
                <w:sz w:val="21"/>
                <w:szCs w:val="21"/>
                <w:highlight w:val="none"/>
                <w:lang w:val="en-US" w:eastAsia="zh-CN"/>
              </w:rPr>
              <w:t>替代原有4G9生产线产生量及</w:t>
            </w:r>
            <w:r>
              <w:rPr>
                <w:rFonts w:hint="eastAsia" w:ascii="Times New Roman" w:hAnsi="Times New Roman"/>
                <w:color w:val="000000" w:themeColor="text1"/>
                <w:sz w:val="21"/>
                <w:szCs w:val="21"/>
                <w:highlight w:val="none"/>
              </w:rPr>
              <w:t>排污</w:t>
            </w:r>
            <w:r>
              <w:rPr>
                <w:rFonts w:hint="default" w:ascii="Times New Roman" w:hAnsi="Times New Roman"/>
                <w:color w:val="000000" w:themeColor="text1"/>
                <w:sz w:val="21"/>
                <w:szCs w:val="21"/>
                <w:highlight w:val="none"/>
              </w:rPr>
              <w:t>产权交易获得。</w:t>
            </w:r>
          </w:p>
        </w:tc>
        <w:tc>
          <w:tcPr>
            <w:tcW w:w="1031" w:type="dxa"/>
            <w:tcBorders>
              <w:tl2br w:val="nil"/>
              <w:tr2bl w:val="nil"/>
            </w:tcBorders>
            <w:vAlign w:val="center"/>
          </w:tcPr>
          <w:p w14:paraId="3D0F4FD2">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eastAsia"/>
                <w:highlight w:val="none"/>
                <w:lang w:val="en-US" w:eastAsia="zh-CN"/>
              </w:rPr>
            </w:pPr>
            <w:r>
              <w:rPr>
                <w:rFonts w:hint="eastAsia"/>
                <w:highlight w:val="none"/>
                <w:lang w:val="en-US" w:eastAsia="zh-CN"/>
              </w:rPr>
              <w:t>符合</w:t>
            </w:r>
          </w:p>
        </w:tc>
      </w:tr>
      <w:tr w14:paraId="0C3028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continue"/>
            <w:tcBorders>
              <w:tl2br w:val="nil"/>
              <w:tr2bl w:val="nil"/>
            </w:tcBorders>
            <w:vAlign w:val="center"/>
          </w:tcPr>
          <w:p w14:paraId="6BA4868C">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outlineLvl w:val="9"/>
              <w:rPr>
                <w:rFonts w:hint="default"/>
                <w:highlight w:val="none"/>
              </w:rPr>
            </w:pPr>
          </w:p>
        </w:tc>
        <w:tc>
          <w:tcPr>
            <w:tcW w:w="1026" w:type="dxa"/>
            <w:vMerge w:val="continue"/>
            <w:tcBorders>
              <w:tl2br w:val="nil"/>
              <w:tr2bl w:val="nil"/>
            </w:tcBorders>
            <w:vAlign w:val="center"/>
          </w:tcPr>
          <w:p w14:paraId="2E82B010">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outlineLvl w:val="9"/>
              <w:rPr>
                <w:rFonts w:hint="default"/>
                <w:highlight w:val="none"/>
              </w:rPr>
            </w:pPr>
          </w:p>
        </w:tc>
        <w:tc>
          <w:tcPr>
            <w:tcW w:w="637" w:type="dxa"/>
            <w:vMerge w:val="continue"/>
            <w:tcBorders>
              <w:tl2br w:val="nil"/>
              <w:tr2bl w:val="nil"/>
            </w:tcBorders>
            <w:vAlign w:val="center"/>
          </w:tcPr>
          <w:p w14:paraId="253D8ECD">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outlineLvl w:val="9"/>
              <w:rPr>
                <w:rFonts w:hint="default"/>
                <w:highlight w:val="none"/>
              </w:rPr>
            </w:pPr>
          </w:p>
        </w:tc>
        <w:tc>
          <w:tcPr>
            <w:tcW w:w="971" w:type="dxa"/>
            <w:vMerge w:val="continue"/>
            <w:tcBorders>
              <w:tl2br w:val="nil"/>
              <w:tr2bl w:val="nil"/>
            </w:tcBorders>
            <w:vAlign w:val="center"/>
          </w:tcPr>
          <w:p w14:paraId="301644E2">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outlineLvl w:val="9"/>
              <w:rPr>
                <w:rFonts w:hint="default"/>
                <w:highlight w:val="none"/>
              </w:rPr>
            </w:pPr>
          </w:p>
        </w:tc>
        <w:tc>
          <w:tcPr>
            <w:tcW w:w="5949" w:type="dxa"/>
            <w:tcBorders>
              <w:tl2br w:val="nil"/>
              <w:tr2bl w:val="nil"/>
            </w:tcBorders>
            <w:vAlign w:val="center"/>
          </w:tcPr>
          <w:p w14:paraId="587F2D96">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2.加快65t</w:t>
            </w:r>
            <w:r>
              <w:rPr>
                <w:rFonts w:hint="eastAsia"/>
                <w:highlight w:val="none"/>
                <w:lang w:val="en-US" w:eastAsia="zh-CN"/>
              </w:rPr>
              <w:t>/</w:t>
            </w:r>
            <w:r>
              <w:rPr>
                <w:rFonts w:hint="default"/>
                <w:highlight w:val="none"/>
              </w:rPr>
              <w:t>h以上燃煤锅炉（含电力）超低排放改造</w:t>
            </w:r>
          </w:p>
        </w:tc>
        <w:tc>
          <w:tcPr>
            <w:tcW w:w="3751" w:type="dxa"/>
            <w:tcBorders>
              <w:tl2br w:val="nil"/>
              <w:tr2bl w:val="nil"/>
            </w:tcBorders>
            <w:vAlign w:val="center"/>
          </w:tcPr>
          <w:p w14:paraId="74606C5B">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eastAsia"/>
                <w:highlight w:val="none"/>
                <w:lang w:eastAsia="zh-CN"/>
              </w:rPr>
            </w:pPr>
            <w:r>
              <w:rPr>
                <w:rFonts w:hint="eastAsia"/>
                <w:highlight w:val="none"/>
                <w:lang w:val="en-US" w:eastAsia="zh-CN"/>
              </w:rPr>
              <w:t>本项目不涉及锅炉</w:t>
            </w:r>
          </w:p>
        </w:tc>
        <w:tc>
          <w:tcPr>
            <w:tcW w:w="1031" w:type="dxa"/>
            <w:tcBorders>
              <w:tl2br w:val="nil"/>
              <w:tr2bl w:val="nil"/>
            </w:tcBorders>
            <w:vAlign w:val="center"/>
          </w:tcPr>
          <w:p w14:paraId="54F1F339">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eastAsia"/>
                <w:highlight w:val="none"/>
                <w:lang w:val="en-US" w:eastAsia="zh-CN"/>
              </w:rPr>
            </w:pPr>
            <w:r>
              <w:rPr>
                <w:rFonts w:hint="eastAsia"/>
                <w:highlight w:val="none"/>
                <w:lang w:val="en-US" w:eastAsia="zh-CN"/>
              </w:rPr>
              <w:t>符合</w:t>
            </w:r>
          </w:p>
        </w:tc>
      </w:tr>
      <w:tr w14:paraId="68FD88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continue"/>
            <w:tcBorders>
              <w:tl2br w:val="nil"/>
              <w:tr2bl w:val="nil"/>
            </w:tcBorders>
            <w:vAlign w:val="center"/>
          </w:tcPr>
          <w:p w14:paraId="1C473AF9">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outlineLvl w:val="9"/>
              <w:rPr>
                <w:rFonts w:hint="default"/>
                <w:highlight w:val="none"/>
              </w:rPr>
            </w:pPr>
          </w:p>
        </w:tc>
        <w:tc>
          <w:tcPr>
            <w:tcW w:w="1026" w:type="dxa"/>
            <w:vMerge w:val="continue"/>
            <w:tcBorders>
              <w:tl2br w:val="nil"/>
              <w:tr2bl w:val="nil"/>
            </w:tcBorders>
            <w:vAlign w:val="center"/>
          </w:tcPr>
          <w:p w14:paraId="5F4BFD83">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outlineLvl w:val="9"/>
              <w:rPr>
                <w:rFonts w:hint="default"/>
                <w:highlight w:val="none"/>
              </w:rPr>
            </w:pPr>
          </w:p>
        </w:tc>
        <w:tc>
          <w:tcPr>
            <w:tcW w:w="637" w:type="dxa"/>
            <w:vMerge w:val="continue"/>
            <w:tcBorders>
              <w:tl2br w:val="nil"/>
              <w:tr2bl w:val="nil"/>
            </w:tcBorders>
            <w:vAlign w:val="center"/>
          </w:tcPr>
          <w:p w14:paraId="20D3849D">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outlineLvl w:val="9"/>
              <w:rPr>
                <w:rFonts w:hint="default"/>
                <w:highlight w:val="none"/>
              </w:rPr>
            </w:pPr>
          </w:p>
        </w:tc>
        <w:tc>
          <w:tcPr>
            <w:tcW w:w="971" w:type="dxa"/>
            <w:vMerge w:val="continue"/>
            <w:tcBorders>
              <w:tl2br w:val="nil"/>
              <w:tr2bl w:val="nil"/>
            </w:tcBorders>
            <w:vAlign w:val="center"/>
          </w:tcPr>
          <w:p w14:paraId="42E9328D">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outlineLvl w:val="9"/>
              <w:rPr>
                <w:rFonts w:hint="default"/>
                <w:highlight w:val="none"/>
              </w:rPr>
            </w:pPr>
          </w:p>
        </w:tc>
        <w:tc>
          <w:tcPr>
            <w:tcW w:w="5949" w:type="dxa"/>
            <w:tcBorders>
              <w:tl2br w:val="nil"/>
              <w:tr2bl w:val="nil"/>
            </w:tcBorders>
            <w:vAlign w:val="center"/>
          </w:tcPr>
          <w:p w14:paraId="586F2409">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3.对以煤、石焦油、渣油、重油等为燃料的锅炉和工业炉窑，加快使用清洁低碳能源以及工厂余热、电力热力等进行替代</w:t>
            </w:r>
          </w:p>
        </w:tc>
        <w:tc>
          <w:tcPr>
            <w:tcW w:w="3751" w:type="dxa"/>
            <w:tcBorders>
              <w:tl2br w:val="nil"/>
              <w:tr2bl w:val="nil"/>
            </w:tcBorders>
            <w:vAlign w:val="center"/>
          </w:tcPr>
          <w:p w14:paraId="7B90F660">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lang w:val="en-US" w:eastAsia="zh-CN"/>
              </w:rPr>
            </w:pPr>
            <w:r>
              <w:rPr>
                <w:rFonts w:hint="eastAsia"/>
                <w:highlight w:val="none"/>
                <w:lang w:val="en-US" w:eastAsia="zh-CN"/>
              </w:rPr>
              <w:t>本项目不涉及锅炉及工业炉窑</w:t>
            </w:r>
          </w:p>
        </w:tc>
        <w:tc>
          <w:tcPr>
            <w:tcW w:w="1031" w:type="dxa"/>
            <w:tcBorders>
              <w:tl2br w:val="nil"/>
              <w:tr2bl w:val="nil"/>
            </w:tcBorders>
            <w:vAlign w:val="center"/>
          </w:tcPr>
          <w:p w14:paraId="74D8D277">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eastAsia"/>
                <w:highlight w:val="none"/>
                <w:lang w:val="en-US" w:eastAsia="zh-CN"/>
              </w:rPr>
            </w:pPr>
            <w:r>
              <w:rPr>
                <w:rFonts w:hint="eastAsia"/>
                <w:highlight w:val="none"/>
                <w:lang w:val="en-US" w:eastAsia="zh-CN"/>
              </w:rPr>
              <w:t>符合</w:t>
            </w:r>
          </w:p>
        </w:tc>
      </w:tr>
      <w:tr w14:paraId="467FDD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continue"/>
            <w:tcBorders>
              <w:tl2br w:val="nil"/>
              <w:tr2bl w:val="nil"/>
            </w:tcBorders>
            <w:vAlign w:val="center"/>
          </w:tcPr>
          <w:p w14:paraId="2924AE09">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outlineLvl w:val="9"/>
              <w:rPr>
                <w:rFonts w:hint="default"/>
                <w:highlight w:val="none"/>
              </w:rPr>
            </w:pPr>
          </w:p>
        </w:tc>
        <w:tc>
          <w:tcPr>
            <w:tcW w:w="1026" w:type="dxa"/>
            <w:vMerge w:val="continue"/>
            <w:tcBorders>
              <w:tl2br w:val="nil"/>
              <w:tr2bl w:val="nil"/>
            </w:tcBorders>
            <w:vAlign w:val="center"/>
          </w:tcPr>
          <w:p w14:paraId="224FD41D">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outlineLvl w:val="9"/>
              <w:rPr>
                <w:rFonts w:hint="default"/>
                <w:highlight w:val="none"/>
              </w:rPr>
            </w:pPr>
          </w:p>
        </w:tc>
        <w:tc>
          <w:tcPr>
            <w:tcW w:w="637" w:type="dxa"/>
            <w:vMerge w:val="continue"/>
            <w:tcBorders>
              <w:tl2br w:val="nil"/>
              <w:tr2bl w:val="nil"/>
            </w:tcBorders>
            <w:vAlign w:val="center"/>
          </w:tcPr>
          <w:p w14:paraId="6FB0FE53">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outlineLvl w:val="9"/>
              <w:rPr>
                <w:rFonts w:hint="default"/>
                <w:highlight w:val="none"/>
              </w:rPr>
            </w:pPr>
          </w:p>
        </w:tc>
        <w:tc>
          <w:tcPr>
            <w:tcW w:w="971" w:type="dxa"/>
            <w:vMerge w:val="continue"/>
            <w:tcBorders>
              <w:tl2br w:val="nil"/>
              <w:tr2bl w:val="nil"/>
            </w:tcBorders>
            <w:vAlign w:val="center"/>
          </w:tcPr>
          <w:p w14:paraId="34CA1EA5">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outlineLvl w:val="9"/>
              <w:rPr>
                <w:rFonts w:hint="default"/>
                <w:highlight w:val="none"/>
              </w:rPr>
            </w:pPr>
          </w:p>
        </w:tc>
        <w:tc>
          <w:tcPr>
            <w:tcW w:w="5949" w:type="dxa"/>
            <w:tcBorders>
              <w:tl2br w:val="nil"/>
              <w:tr2bl w:val="nil"/>
            </w:tcBorders>
            <w:vAlign w:val="center"/>
          </w:tcPr>
          <w:p w14:paraId="5399D1B5">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eastAsia"/>
                <w:highlight w:val="none"/>
              </w:rPr>
              <w:t>4</w:t>
            </w:r>
            <w:r>
              <w:rPr>
                <w:rFonts w:hint="default"/>
                <w:highlight w:val="none"/>
              </w:rPr>
              <w:t>.到2025年，在用65蒸吨/小时以上的燃煤锅炉（含电力）实现超低排放，钢铁企业基本实现超低排放</w:t>
            </w:r>
          </w:p>
        </w:tc>
        <w:tc>
          <w:tcPr>
            <w:tcW w:w="3751" w:type="dxa"/>
            <w:tcBorders>
              <w:tl2br w:val="nil"/>
              <w:tr2bl w:val="nil"/>
            </w:tcBorders>
            <w:vAlign w:val="center"/>
          </w:tcPr>
          <w:p w14:paraId="31C433D4">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eastAsia"/>
                <w:highlight w:val="none"/>
                <w:lang w:eastAsia="zh-CN"/>
              </w:rPr>
            </w:pPr>
            <w:r>
              <w:rPr>
                <w:rFonts w:hint="eastAsia"/>
                <w:highlight w:val="none"/>
                <w:lang w:val="en-US" w:eastAsia="zh-CN"/>
              </w:rPr>
              <w:t>本项目不涉及锅炉</w:t>
            </w:r>
          </w:p>
        </w:tc>
        <w:tc>
          <w:tcPr>
            <w:tcW w:w="1031" w:type="dxa"/>
            <w:tcBorders>
              <w:tl2br w:val="nil"/>
              <w:tr2bl w:val="nil"/>
            </w:tcBorders>
            <w:vAlign w:val="center"/>
          </w:tcPr>
          <w:p w14:paraId="543C9376">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eastAsia"/>
                <w:highlight w:val="none"/>
                <w:lang w:val="en-US" w:eastAsia="zh-CN"/>
              </w:rPr>
            </w:pPr>
            <w:r>
              <w:rPr>
                <w:rFonts w:hint="eastAsia"/>
                <w:highlight w:val="none"/>
                <w:lang w:val="en-US" w:eastAsia="zh-CN"/>
              </w:rPr>
              <w:t>符合</w:t>
            </w:r>
          </w:p>
        </w:tc>
      </w:tr>
      <w:tr w14:paraId="56869A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continue"/>
            <w:tcBorders>
              <w:tl2br w:val="nil"/>
              <w:tr2bl w:val="nil"/>
            </w:tcBorders>
            <w:vAlign w:val="center"/>
          </w:tcPr>
          <w:p w14:paraId="1B64E930">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outlineLvl w:val="9"/>
              <w:rPr>
                <w:rFonts w:hint="default"/>
                <w:highlight w:val="none"/>
              </w:rPr>
            </w:pPr>
          </w:p>
        </w:tc>
        <w:tc>
          <w:tcPr>
            <w:tcW w:w="1026" w:type="dxa"/>
            <w:vMerge w:val="continue"/>
            <w:tcBorders>
              <w:tl2br w:val="nil"/>
              <w:tr2bl w:val="nil"/>
            </w:tcBorders>
            <w:vAlign w:val="center"/>
          </w:tcPr>
          <w:p w14:paraId="1BDDF39B">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outlineLvl w:val="9"/>
              <w:rPr>
                <w:rFonts w:hint="default"/>
                <w:highlight w:val="none"/>
              </w:rPr>
            </w:pPr>
          </w:p>
        </w:tc>
        <w:tc>
          <w:tcPr>
            <w:tcW w:w="637" w:type="dxa"/>
            <w:vMerge w:val="continue"/>
            <w:tcBorders>
              <w:tl2br w:val="nil"/>
              <w:tr2bl w:val="nil"/>
            </w:tcBorders>
            <w:vAlign w:val="center"/>
          </w:tcPr>
          <w:p w14:paraId="68FEA4E4">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outlineLvl w:val="9"/>
              <w:rPr>
                <w:rFonts w:hint="default"/>
                <w:highlight w:val="none"/>
              </w:rPr>
            </w:pPr>
          </w:p>
        </w:tc>
        <w:tc>
          <w:tcPr>
            <w:tcW w:w="971" w:type="dxa"/>
            <w:tcBorders>
              <w:tl2br w:val="nil"/>
              <w:tr2bl w:val="nil"/>
            </w:tcBorders>
            <w:vAlign w:val="center"/>
          </w:tcPr>
          <w:p w14:paraId="2DE45111">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环境风险防控</w:t>
            </w:r>
          </w:p>
        </w:tc>
        <w:tc>
          <w:tcPr>
            <w:tcW w:w="5949" w:type="dxa"/>
            <w:tcBorders>
              <w:tl2br w:val="nil"/>
              <w:tr2bl w:val="nil"/>
            </w:tcBorders>
            <w:vAlign w:val="center"/>
          </w:tcPr>
          <w:p w14:paraId="03C06F6A">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1.化工园区与城市建成区、人员密集场所、重要设施、敏感目标等应当保持规定的安全距离，相对封闭，不应保留常住居民，非关联企业和产业要逐步搬迁或退出，妥善防范化解“邻避”问题。严禁在松花江干流及一级支流沿岸1公里范围内布局化工园区</w:t>
            </w:r>
          </w:p>
        </w:tc>
        <w:tc>
          <w:tcPr>
            <w:tcW w:w="3751" w:type="dxa"/>
            <w:tcBorders>
              <w:tl2br w:val="nil"/>
              <w:tr2bl w:val="nil"/>
            </w:tcBorders>
            <w:vAlign w:val="center"/>
          </w:tcPr>
          <w:p w14:paraId="2A456EDA">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本项目不属于有色金属冶炼、焦化等行业</w:t>
            </w:r>
          </w:p>
        </w:tc>
        <w:tc>
          <w:tcPr>
            <w:tcW w:w="1031" w:type="dxa"/>
            <w:tcBorders>
              <w:tl2br w:val="nil"/>
              <w:tr2bl w:val="nil"/>
            </w:tcBorders>
            <w:vAlign w:val="center"/>
          </w:tcPr>
          <w:p w14:paraId="1EAD362E">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eastAsia"/>
                <w:highlight w:val="none"/>
                <w:lang w:val="en-US" w:eastAsia="zh-CN"/>
              </w:rPr>
            </w:pPr>
            <w:r>
              <w:rPr>
                <w:rFonts w:hint="eastAsia"/>
                <w:highlight w:val="none"/>
                <w:lang w:val="en-US" w:eastAsia="zh-CN"/>
              </w:rPr>
              <w:t>符合</w:t>
            </w:r>
          </w:p>
        </w:tc>
      </w:tr>
    </w:tbl>
    <w:p w14:paraId="01B8E0CF">
      <w:pPr>
        <w:pStyle w:val="7"/>
        <w:bidi w:val="0"/>
        <w:rPr>
          <w:rFonts w:hint="eastAsia"/>
          <w:highlight w:val="none"/>
          <w:lang w:val="en-US" w:eastAsia="zh-CN"/>
        </w:rPr>
        <w:sectPr>
          <w:pgSz w:w="16838" w:h="11906" w:orient="landscape"/>
          <w:pgMar w:top="1800" w:right="1440" w:bottom="1800" w:left="1440" w:header="851" w:footer="992" w:gutter="0"/>
          <w:pgBorders w:offsetFrom="page">
            <w:top w:val="none" w:sz="0" w:space="0"/>
            <w:left w:val="none" w:sz="0" w:space="0"/>
            <w:bottom w:val="none" w:sz="0" w:space="0"/>
            <w:right w:val="none" w:sz="0" w:space="0"/>
          </w:pgBorders>
          <w:cols w:space="425" w:num="1"/>
          <w:docGrid w:type="lines" w:linePitch="312" w:charSpace="0"/>
        </w:sectPr>
      </w:pPr>
    </w:p>
    <w:p w14:paraId="6A03D7D3">
      <w:pPr>
        <w:pStyle w:val="7"/>
        <w:bidi w:val="0"/>
        <w:rPr>
          <w:highlight w:val="none"/>
        </w:rPr>
      </w:pPr>
      <w:r>
        <w:rPr>
          <w:rFonts w:hint="eastAsia"/>
          <w:highlight w:val="none"/>
          <w:lang w:val="en-US" w:eastAsia="zh-CN"/>
        </w:rPr>
        <w:t>续</w:t>
      </w:r>
      <w:r>
        <w:rPr>
          <w:highlight w:val="none"/>
        </w:rPr>
        <w:t>表1-4-</w:t>
      </w:r>
      <w:r>
        <w:rPr>
          <w:rFonts w:hint="eastAsia"/>
          <w:highlight w:val="none"/>
          <w:lang w:val="en-US" w:eastAsia="zh-CN"/>
        </w:rPr>
        <w:t>10</w:t>
      </w:r>
      <w:r>
        <w:rPr>
          <w:highlight w:val="none"/>
        </w:rPr>
        <w:t>生态环境准入清单符合性分析</w:t>
      </w:r>
    </w:p>
    <w:tbl>
      <w:tblPr>
        <w:tblStyle w:val="4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08"/>
        <w:gridCol w:w="1026"/>
        <w:gridCol w:w="637"/>
        <w:gridCol w:w="971"/>
        <w:gridCol w:w="5949"/>
        <w:gridCol w:w="3751"/>
        <w:gridCol w:w="1032"/>
      </w:tblGrid>
      <w:tr w14:paraId="433D00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restart"/>
            <w:shd w:val="clear" w:color="auto" w:fill="auto"/>
            <w:vAlign w:val="center"/>
          </w:tcPr>
          <w:p w14:paraId="2A07C2CB">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default"/>
                <w:sz w:val="21"/>
                <w:szCs w:val="21"/>
                <w:highlight w:val="none"/>
                <w:lang w:val="en-US" w:eastAsia="zh-CN"/>
              </w:rPr>
              <w:t>ZH2301082000</w:t>
            </w:r>
            <w:r>
              <w:rPr>
                <w:rFonts w:hint="eastAsia"/>
                <w:sz w:val="21"/>
                <w:szCs w:val="21"/>
                <w:highlight w:val="none"/>
                <w:lang w:val="en-US" w:eastAsia="zh-CN"/>
              </w:rPr>
              <w:t>2</w:t>
            </w:r>
          </w:p>
        </w:tc>
        <w:tc>
          <w:tcPr>
            <w:tcW w:w="1026" w:type="dxa"/>
            <w:vMerge w:val="restart"/>
            <w:shd w:val="clear" w:color="auto" w:fill="auto"/>
            <w:vAlign w:val="center"/>
          </w:tcPr>
          <w:p w14:paraId="16E8EFDD">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eastAsia"/>
                <w:sz w:val="21"/>
                <w:szCs w:val="21"/>
                <w:highlight w:val="none"/>
                <w:lang w:val="en-US" w:eastAsia="zh-CN"/>
              </w:rPr>
              <w:t>平房区城镇空间</w:t>
            </w:r>
          </w:p>
        </w:tc>
        <w:tc>
          <w:tcPr>
            <w:tcW w:w="637" w:type="dxa"/>
            <w:vMerge w:val="restart"/>
            <w:shd w:val="clear" w:color="auto" w:fill="auto"/>
            <w:vAlign w:val="center"/>
          </w:tcPr>
          <w:p w14:paraId="6F0827F9">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default"/>
                <w:sz w:val="21"/>
                <w:szCs w:val="21"/>
                <w:highlight w:val="none"/>
                <w:lang w:val="en-US" w:eastAsia="zh-CN"/>
              </w:rPr>
              <w:t>重点管控单元</w:t>
            </w:r>
          </w:p>
        </w:tc>
        <w:tc>
          <w:tcPr>
            <w:tcW w:w="971" w:type="dxa"/>
            <w:tcBorders>
              <w:bottom w:val="single" w:color="auto" w:sz="4" w:space="0"/>
            </w:tcBorders>
            <w:vAlign w:val="center"/>
          </w:tcPr>
          <w:p w14:paraId="2971F375">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default"/>
                <w:sz w:val="21"/>
                <w:szCs w:val="21"/>
                <w:highlight w:val="none"/>
                <w:lang w:val="en-US" w:eastAsia="zh-CN"/>
              </w:rPr>
              <w:t>环境风险防控</w:t>
            </w:r>
          </w:p>
        </w:tc>
        <w:tc>
          <w:tcPr>
            <w:tcW w:w="5949" w:type="dxa"/>
            <w:tcBorders>
              <w:bottom w:val="single" w:color="auto" w:sz="4" w:space="0"/>
            </w:tcBorders>
            <w:vAlign w:val="center"/>
          </w:tcPr>
          <w:p w14:paraId="658D3CCD">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default"/>
                <w:sz w:val="21"/>
                <w:szCs w:val="21"/>
                <w:highlight w:val="none"/>
                <w:lang w:val="en-US" w:eastAsia="zh-CN"/>
              </w:rPr>
              <w:t>2．禁止在居民区、学校、医疗和养老机构等周边新建有色金属冶炼、焦化等行业企业</w:t>
            </w:r>
          </w:p>
        </w:tc>
        <w:tc>
          <w:tcPr>
            <w:tcW w:w="3751" w:type="dxa"/>
            <w:tcBorders>
              <w:bottom w:val="single" w:color="auto" w:sz="4" w:space="0"/>
            </w:tcBorders>
            <w:vAlign w:val="center"/>
          </w:tcPr>
          <w:p w14:paraId="37B10C2F">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default"/>
                <w:sz w:val="21"/>
                <w:szCs w:val="21"/>
                <w:highlight w:val="none"/>
                <w:lang w:val="en-US" w:eastAsia="zh-CN"/>
              </w:rPr>
              <w:t>本项目不属于有色金属冶炼、焦化等行业</w:t>
            </w:r>
          </w:p>
        </w:tc>
        <w:tc>
          <w:tcPr>
            <w:tcW w:w="1032" w:type="dxa"/>
            <w:tcBorders>
              <w:bottom w:val="single" w:color="auto" w:sz="4" w:space="0"/>
            </w:tcBorders>
            <w:vAlign w:val="center"/>
          </w:tcPr>
          <w:p w14:paraId="5462B906">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eastAsia"/>
                <w:sz w:val="21"/>
                <w:szCs w:val="21"/>
                <w:highlight w:val="none"/>
                <w:lang w:val="en-US" w:eastAsia="zh-CN"/>
              </w:rPr>
              <w:t>符合</w:t>
            </w:r>
          </w:p>
        </w:tc>
      </w:tr>
      <w:tr w14:paraId="695923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continue"/>
            <w:vAlign w:val="center"/>
          </w:tcPr>
          <w:p w14:paraId="0181A376">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1026" w:type="dxa"/>
            <w:vMerge w:val="continue"/>
            <w:vAlign w:val="center"/>
          </w:tcPr>
          <w:p w14:paraId="51F41277">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637" w:type="dxa"/>
            <w:vMerge w:val="continue"/>
            <w:vAlign w:val="center"/>
          </w:tcPr>
          <w:p w14:paraId="0364517D">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971" w:type="dxa"/>
            <w:vMerge w:val="restart"/>
            <w:vAlign w:val="center"/>
          </w:tcPr>
          <w:p w14:paraId="6BEDDCFD">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default"/>
                <w:sz w:val="21"/>
                <w:szCs w:val="21"/>
                <w:highlight w:val="none"/>
                <w:lang w:val="en-US" w:eastAsia="zh-CN"/>
              </w:rPr>
              <w:t>资源利用效率要求</w:t>
            </w:r>
          </w:p>
        </w:tc>
        <w:tc>
          <w:tcPr>
            <w:tcW w:w="5949" w:type="dxa"/>
            <w:vAlign w:val="center"/>
          </w:tcPr>
          <w:p w14:paraId="30D8A185">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eastAsia"/>
                <w:sz w:val="21"/>
                <w:szCs w:val="21"/>
                <w:highlight w:val="none"/>
                <w:lang w:val="en-US" w:eastAsia="zh-CN"/>
              </w:rPr>
              <w:t>1、推进污水再生利用设施建设</w:t>
            </w:r>
          </w:p>
        </w:tc>
        <w:tc>
          <w:tcPr>
            <w:tcW w:w="3751" w:type="dxa"/>
            <w:vAlign w:val="center"/>
          </w:tcPr>
          <w:p w14:paraId="44E0D935">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eastAsia"/>
                <w:sz w:val="21"/>
                <w:szCs w:val="21"/>
                <w:highlight w:val="none"/>
                <w:lang w:val="en-US" w:eastAsia="zh-CN"/>
              </w:rPr>
              <w:t>本项目不新增生活用水，生产用水量及生产废水量改造后无变化</w:t>
            </w:r>
          </w:p>
        </w:tc>
        <w:tc>
          <w:tcPr>
            <w:tcW w:w="1032" w:type="dxa"/>
            <w:vAlign w:val="center"/>
          </w:tcPr>
          <w:p w14:paraId="2AC3CFD8">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eastAsia"/>
                <w:sz w:val="21"/>
                <w:szCs w:val="21"/>
                <w:highlight w:val="none"/>
                <w:lang w:val="en-US" w:eastAsia="zh-CN"/>
              </w:rPr>
              <w:t>符合</w:t>
            </w:r>
          </w:p>
        </w:tc>
      </w:tr>
      <w:tr w14:paraId="73663C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continue"/>
            <w:vAlign w:val="center"/>
          </w:tcPr>
          <w:p w14:paraId="70B9766D">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1026" w:type="dxa"/>
            <w:vMerge w:val="continue"/>
            <w:vAlign w:val="center"/>
          </w:tcPr>
          <w:p w14:paraId="1368A450">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637" w:type="dxa"/>
            <w:vMerge w:val="continue"/>
            <w:vAlign w:val="center"/>
          </w:tcPr>
          <w:p w14:paraId="610D4713">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971" w:type="dxa"/>
            <w:vMerge w:val="continue"/>
            <w:vAlign w:val="center"/>
          </w:tcPr>
          <w:p w14:paraId="1C4A2E6E">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5949" w:type="dxa"/>
            <w:vAlign w:val="center"/>
          </w:tcPr>
          <w:p w14:paraId="5E21B72C">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eastAsia"/>
                <w:sz w:val="21"/>
                <w:szCs w:val="21"/>
                <w:highlight w:val="none"/>
                <w:lang w:val="en-US" w:eastAsia="zh-CN"/>
              </w:rPr>
              <w:t>2、公共建筑必须采用节水器具，限期淘汰公共建筑中不符合节水标准的水嘴、便器水箱等生活用水器具</w:t>
            </w:r>
          </w:p>
        </w:tc>
        <w:tc>
          <w:tcPr>
            <w:tcW w:w="3751" w:type="dxa"/>
            <w:vAlign w:val="center"/>
          </w:tcPr>
          <w:p w14:paraId="7831EAAC">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eastAsia"/>
                <w:sz w:val="21"/>
                <w:szCs w:val="21"/>
                <w:highlight w:val="none"/>
                <w:lang w:val="en-US" w:eastAsia="zh-CN"/>
              </w:rPr>
              <w:t>本项目不新增生活废水</w:t>
            </w:r>
          </w:p>
        </w:tc>
        <w:tc>
          <w:tcPr>
            <w:tcW w:w="1032" w:type="dxa"/>
            <w:vAlign w:val="center"/>
          </w:tcPr>
          <w:p w14:paraId="2D6DA94F">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eastAsia"/>
                <w:sz w:val="21"/>
                <w:szCs w:val="21"/>
                <w:highlight w:val="none"/>
                <w:lang w:val="en-US" w:eastAsia="zh-CN"/>
              </w:rPr>
              <w:t>符合</w:t>
            </w:r>
          </w:p>
        </w:tc>
      </w:tr>
      <w:tr w14:paraId="6CFEBD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continue"/>
            <w:vAlign w:val="center"/>
          </w:tcPr>
          <w:p w14:paraId="38CD1E14">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1026" w:type="dxa"/>
            <w:vMerge w:val="continue"/>
            <w:vAlign w:val="center"/>
          </w:tcPr>
          <w:p w14:paraId="67FFC136">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637" w:type="dxa"/>
            <w:vMerge w:val="continue"/>
            <w:vAlign w:val="center"/>
          </w:tcPr>
          <w:p w14:paraId="7E174DBB">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971" w:type="dxa"/>
            <w:vMerge w:val="continue"/>
            <w:vAlign w:val="center"/>
          </w:tcPr>
          <w:p w14:paraId="47C8DC7E">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5949" w:type="dxa"/>
            <w:vAlign w:val="center"/>
          </w:tcPr>
          <w:p w14:paraId="3541F4BC">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eastAsia"/>
                <w:sz w:val="21"/>
                <w:szCs w:val="21"/>
                <w:highlight w:val="none"/>
                <w:lang w:val="en-US" w:eastAsia="zh-CN"/>
              </w:rPr>
              <w:t>3</w:t>
            </w:r>
            <w:r>
              <w:rPr>
                <w:rFonts w:hint="default"/>
                <w:sz w:val="21"/>
                <w:szCs w:val="21"/>
                <w:highlight w:val="none"/>
                <w:lang w:val="en-US" w:eastAsia="zh-CN"/>
              </w:rPr>
              <w:t>.在禁燃区内禁止销售、燃用高污染燃料；禁止新建、改建、扩建任何燃用高污染燃料的设施，已建成使用高污染燃料的各类设备应当拆除或者改用管道天然气、页岩气、液化石油气、电或者其他清洁能源</w:t>
            </w:r>
          </w:p>
        </w:tc>
        <w:tc>
          <w:tcPr>
            <w:tcW w:w="3751" w:type="dxa"/>
            <w:vAlign w:val="center"/>
          </w:tcPr>
          <w:p w14:paraId="0B8CC325">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default"/>
                <w:sz w:val="21"/>
                <w:szCs w:val="21"/>
                <w:highlight w:val="none"/>
                <w:lang w:val="en-US" w:eastAsia="zh-CN"/>
              </w:rPr>
              <w:t>本项目不使用高污染燃料</w:t>
            </w:r>
          </w:p>
        </w:tc>
        <w:tc>
          <w:tcPr>
            <w:tcW w:w="1032" w:type="dxa"/>
            <w:vAlign w:val="center"/>
          </w:tcPr>
          <w:p w14:paraId="781749F2">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r w14:paraId="07237D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continue"/>
            <w:vAlign w:val="center"/>
          </w:tcPr>
          <w:p w14:paraId="27CFCABC">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1026" w:type="dxa"/>
            <w:vMerge w:val="continue"/>
            <w:vAlign w:val="center"/>
          </w:tcPr>
          <w:p w14:paraId="3DBA6095">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637" w:type="dxa"/>
            <w:vMerge w:val="continue"/>
            <w:vAlign w:val="center"/>
          </w:tcPr>
          <w:p w14:paraId="48E651B4">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971" w:type="dxa"/>
            <w:vMerge w:val="continue"/>
            <w:vAlign w:val="center"/>
          </w:tcPr>
          <w:p w14:paraId="1EB4A162">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5949" w:type="dxa"/>
            <w:vAlign w:val="center"/>
          </w:tcPr>
          <w:p w14:paraId="2328714B">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eastAsia"/>
                <w:sz w:val="21"/>
                <w:szCs w:val="21"/>
                <w:highlight w:val="none"/>
                <w:lang w:val="en-US" w:eastAsia="zh-CN"/>
              </w:rPr>
              <w:t>4</w:t>
            </w:r>
            <w:r>
              <w:rPr>
                <w:rFonts w:hint="default"/>
                <w:sz w:val="21"/>
                <w:szCs w:val="21"/>
                <w:highlight w:val="none"/>
                <w:lang w:val="en-US" w:eastAsia="zh-CN"/>
              </w:rPr>
              <w:t>．城市建设应当统筹规划，在燃煤供热地区，推进热电联产和集中供热。在集中供热管网覆盖地区，禁止新建、扩建分散燃煤供热锅炉；已建成的不达标的燃煤供热锅炉，应当在城市人民政府规定的期限内拆除</w:t>
            </w:r>
          </w:p>
        </w:tc>
        <w:tc>
          <w:tcPr>
            <w:tcW w:w="3751" w:type="dxa"/>
            <w:vAlign w:val="center"/>
          </w:tcPr>
          <w:p w14:paraId="3373EF90">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default"/>
                <w:sz w:val="21"/>
                <w:szCs w:val="21"/>
                <w:highlight w:val="none"/>
                <w:lang w:val="en-US" w:eastAsia="zh-CN"/>
              </w:rPr>
              <w:t>本项目</w:t>
            </w:r>
            <w:r>
              <w:rPr>
                <w:rFonts w:hint="eastAsia"/>
                <w:sz w:val="21"/>
                <w:szCs w:val="21"/>
                <w:highlight w:val="none"/>
                <w:lang w:val="en-US" w:eastAsia="zh-CN"/>
              </w:rPr>
              <w:t>冬季采用集中供暖</w:t>
            </w:r>
          </w:p>
        </w:tc>
        <w:tc>
          <w:tcPr>
            <w:tcW w:w="1032" w:type="dxa"/>
            <w:vAlign w:val="center"/>
          </w:tcPr>
          <w:p w14:paraId="15AA0D9B">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eastAsia"/>
                <w:sz w:val="21"/>
                <w:szCs w:val="21"/>
                <w:highlight w:val="none"/>
                <w:lang w:val="en-US" w:eastAsia="zh-CN"/>
              </w:rPr>
              <w:t>符合</w:t>
            </w:r>
          </w:p>
        </w:tc>
      </w:tr>
      <w:tr w14:paraId="3B05C1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restart"/>
            <w:vAlign w:val="center"/>
          </w:tcPr>
          <w:p w14:paraId="28540544">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eastAsia"/>
                <w:sz w:val="21"/>
                <w:szCs w:val="21"/>
                <w:highlight w:val="none"/>
                <w:lang w:val="en-US" w:eastAsia="zh-CN"/>
              </w:rPr>
              <w:t>ZH23010820001</w:t>
            </w:r>
          </w:p>
        </w:tc>
        <w:tc>
          <w:tcPr>
            <w:tcW w:w="1026" w:type="dxa"/>
            <w:vMerge w:val="restart"/>
            <w:vAlign w:val="center"/>
          </w:tcPr>
          <w:p w14:paraId="1736A09E">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eastAsia"/>
                <w:sz w:val="21"/>
                <w:szCs w:val="21"/>
                <w:highlight w:val="none"/>
                <w:lang w:val="en-US" w:eastAsia="zh-CN"/>
              </w:rPr>
              <w:t>哈尔滨经济技术开发区</w:t>
            </w:r>
          </w:p>
        </w:tc>
        <w:tc>
          <w:tcPr>
            <w:tcW w:w="637" w:type="dxa"/>
            <w:vMerge w:val="restart"/>
            <w:vAlign w:val="center"/>
          </w:tcPr>
          <w:p w14:paraId="62F0EEA2">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default"/>
                <w:sz w:val="21"/>
                <w:szCs w:val="21"/>
                <w:highlight w:val="none"/>
                <w:lang w:val="en-US" w:eastAsia="zh-CN"/>
              </w:rPr>
              <w:t>重点管控单元</w:t>
            </w:r>
          </w:p>
        </w:tc>
        <w:tc>
          <w:tcPr>
            <w:tcW w:w="971" w:type="dxa"/>
            <w:vMerge w:val="restart"/>
            <w:vAlign w:val="center"/>
          </w:tcPr>
          <w:p w14:paraId="1E0442EB">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zh-CN"/>
              </w:rPr>
            </w:pPr>
            <w:r>
              <w:rPr>
                <w:rFonts w:hint="eastAsia"/>
                <w:sz w:val="21"/>
                <w:szCs w:val="21"/>
                <w:highlight w:val="none"/>
                <w:lang w:val="en-US" w:eastAsia="zh-CN"/>
              </w:rPr>
              <w:t>空间布局约束</w:t>
            </w:r>
          </w:p>
        </w:tc>
        <w:tc>
          <w:tcPr>
            <w:tcW w:w="5949" w:type="dxa"/>
            <w:shd w:val="clear" w:color="auto" w:fill="auto"/>
            <w:vAlign w:val="center"/>
          </w:tcPr>
          <w:p w14:paraId="309CD8A7">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en-US"/>
              </w:rPr>
            </w:pPr>
            <w:r>
              <w:rPr>
                <w:rFonts w:hint="eastAsia"/>
                <w:sz w:val="21"/>
                <w:szCs w:val="21"/>
                <w:highlight w:val="none"/>
                <w:lang w:val="en-US" w:eastAsia="zh-CN"/>
              </w:rPr>
              <w:t>一、禁止引进不符合国家产业政策和园区定位的项目</w:t>
            </w:r>
          </w:p>
        </w:tc>
        <w:tc>
          <w:tcPr>
            <w:tcW w:w="3751" w:type="dxa"/>
            <w:vAlign w:val="center"/>
          </w:tcPr>
          <w:p w14:paraId="58340948">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pacing w:val="5"/>
                <w:sz w:val="21"/>
                <w:szCs w:val="21"/>
                <w:highlight w:val="none"/>
                <w:lang w:val="en-US" w:eastAsia="zh-CN"/>
              </w:rPr>
            </w:pPr>
            <w:r>
              <w:rPr>
                <w:rFonts w:hint="eastAsia"/>
                <w:spacing w:val="5"/>
                <w:sz w:val="21"/>
                <w:szCs w:val="21"/>
                <w:highlight w:val="none"/>
                <w:lang w:val="en-US" w:eastAsia="zh-CN"/>
              </w:rPr>
              <w:t>本项目为汽车发动机制造项目及企业内部配套含有金属屑收集处理项目，符合园区定位及国家产业政策</w:t>
            </w:r>
          </w:p>
        </w:tc>
        <w:tc>
          <w:tcPr>
            <w:tcW w:w="1032" w:type="dxa"/>
            <w:vAlign w:val="center"/>
          </w:tcPr>
          <w:p w14:paraId="2ECFF9DF">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r w14:paraId="308A4F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continue"/>
            <w:vAlign w:val="center"/>
          </w:tcPr>
          <w:p w14:paraId="04AC5871">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1026" w:type="dxa"/>
            <w:vMerge w:val="continue"/>
            <w:vAlign w:val="center"/>
          </w:tcPr>
          <w:p w14:paraId="09476420">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637" w:type="dxa"/>
            <w:vMerge w:val="continue"/>
            <w:vAlign w:val="center"/>
          </w:tcPr>
          <w:p w14:paraId="31A7DCE3">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971" w:type="dxa"/>
            <w:vMerge w:val="continue"/>
            <w:vAlign w:val="center"/>
          </w:tcPr>
          <w:p w14:paraId="0EBF64D5">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zh-CN"/>
              </w:rPr>
            </w:pPr>
          </w:p>
        </w:tc>
        <w:tc>
          <w:tcPr>
            <w:tcW w:w="0" w:type="auto"/>
            <w:shd w:val="clear" w:color="auto" w:fill="auto"/>
            <w:vAlign w:val="center"/>
          </w:tcPr>
          <w:p w14:paraId="6C88A0FA">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en-US"/>
              </w:rPr>
            </w:pPr>
            <w:r>
              <w:rPr>
                <w:rFonts w:hint="eastAsia"/>
                <w:sz w:val="21"/>
                <w:szCs w:val="21"/>
                <w:highlight w:val="none"/>
                <w:lang w:val="en-US" w:eastAsia="zh-CN"/>
              </w:rPr>
              <w:t>二、限制引进高水耗、高能耗、高物耗、清洁生产水平低、水的重复利用率低的项目</w:t>
            </w:r>
          </w:p>
        </w:tc>
        <w:tc>
          <w:tcPr>
            <w:tcW w:w="0" w:type="auto"/>
            <w:vAlign w:val="center"/>
          </w:tcPr>
          <w:p w14:paraId="149AA1F4">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eastAsia"/>
                <w:sz w:val="21"/>
                <w:szCs w:val="21"/>
                <w:highlight w:val="none"/>
                <w:lang w:val="en-US" w:eastAsia="zh-CN"/>
              </w:rPr>
              <w:t>本项目能耗低，水的重复利用率高，领先国内清洁生产水平</w:t>
            </w:r>
          </w:p>
        </w:tc>
        <w:tc>
          <w:tcPr>
            <w:tcW w:w="1032" w:type="dxa"/>
            <w:vAlign w:val="center"/>
          </w:tcPr>
          <w:p w14:paraId="437DE2AA">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r w14:paraId="75BFF8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continue"/>
            <w:vAlign w:val="center"/>
          </w:tcPr>
          <w:p w14:paraId="600F2AE0">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1026" w:type="dxa"/>
            <w:vMerge w:val="continue"/>
            <w:vAlign w:val="center"/>
          </w:tcPr>
          <w:p w14:paraId="3B9A8D74">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637" w:type="dxa"/>
            <w:vMerge w:val="continue"/>
            <w:vAlign w:val="center"/>
          </w:tcPr>
          <w:p w14:paraId="522787E4">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971" w:type="dxa"/>
            <w:vMerge w:val="continue"/>
            <w:vAlign w:val="center"/>
          </w:tcPr>
          <w:p w14:paraId="290FCF85">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zh-CN"/>
              </w:rPr>
            </w:pPr>
          </w:p>
        </w:tc>
        <w:tc>
          <w:tcPr>
            <w:tcW w:w="0" w:type="auto"/>
            <w:shd w:val="clear" w:color="auto" w:fill="auto"/>
            <w:vAlign w:val="center"/>
          </w:tcPr>
          <w:p w14:paraId="75196234">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en-US"/>
              </w:rPr>
            </w:pPr>
            <w:r>
              <w:rPr>
                <w:rFonts w:hint="eastAsia"/>
                <w:sz w:val="21"/>
                <w:szCs w:val="21"/>
                <w:highlight w:val="none"/>
                <w:lang w:val="en-US" w:eastAsia="zh-CN"/>
              </w:rPr>
              <w:t>三、执行要求：1.入园建设项目开展环评工作时，应以产业园区规划环评为依据，重点分析项目环评与规划环评结论及审查意见的符合性；产业园区招商引资、入园建设项目环评审批等应将规划环评结论及审查意见作为重要依据</w:t>
            </w:r>
          </w:p>
        </w:tc>
        <w:tc>
          <w:tcPr>
            <w:tcW w:w="0" w:type="auto"/>
            <w:vAlign w:val="center"/>
          </w:tcPr>
          <w:p w14:paraId="0F5763B4">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eastAsia="宋体"/>
                <w:sz w:val="21"/>
                <w:szCs w:val="21"/>
                <w:highlight w:val="none"/>
                <w:lang w:val="en-US" w:eastAsia="zh-CN"/>
              </w:rPr>
            </w:pPr>
            <w:r>
              <w:rPr>
                <w:rFonts w:hint="default"/>
                <w:spacing w:val="17"/>
                <w:sz w:val="21"/>
                <w:szCs w:val="21"/>
                <w:highlight w:val="none"/>
              </w:rPr>
              <w:t>本项目</w:t>
            </w:r>
            <w:r>
              <w:rPr>
                <w:rFonts w:hint="eastAsia"/>
                <w:spacing w:val="17"/>
                <w:sz w:val="21"/>
                <w:szCs w:val="21"/>
                <w:highlight w:val="none"/>
                <w:lang w:val="en-US" w:eastAsia="zh-CN"/>
              </w:rPr>
              <w:t>符合园区规划环评及其审查意见</w:t>
            </w:r>
          </w:p>
        </w:tc>
        <w:tc>
          <w:tcPr>
            <w:tcW w:w="1032" w:type="dxa"/>
            <w:vAlign w:val="center"/>
          </w:tcPr>
          <w:p w14:paraId="431BA3EC">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r w14:paraId="174F8B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continue"/>
            <w:vAlign w:val="center"/>
          </w:tcPr>
          <w:p w14:paraId="58DAF865">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1026" w:type="dxa"/>
            <w:vMerge w:val="continue"/>
            <w:vAlign w:val="center"/>
          </w:tcPr>
          <w:p w14:paraId="162C389E">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637" w:type="dxa"/>
            <w:vMerge w:val="continue"/>
            <w:vAlign w:val="center"/>
          </w:tcPr>
          <w:p w14:paraId="39E38E98">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971" w:type="dxa"/>
            <w:vMerge w:val="continue"/>
            <w:vAlign w:val="center"/>
          </w:tcPr>
          <w:p w14:paraId="278796EA">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zh-CN"/>
              </w:rPr>
            </w:pPr>
          </w:p>
        </w:tc>
        <w:tc>
          <w:tcPr>
            <w:tcW w:w="0" w:type="auto"/>
            <w:shd w:val="clear" w:color="auto" w:fill="auto"/>
            <w:vAlign w:val="center"/>
          </w:tcPr>
          <w:p w14:paraId="2E476208">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en-US"/>
              </w:rPr>
            </w:pPr>
            <w:r>
              <w:rPr>
                <w:rFonts w:hint="eastAsia"/>
                <w:sz w:val="21"/>
                <w:szCs w:val="21"/>
                <w:highlight w:val="none"/>
                <w:lang w:val="en-US" w:eastAsia="zh-CN"/>
              </w:rPr>
              <w:t>2.新建、扩建石化、化工、焦化、有色金属冶炼、平板玻璃项目应布设在依法合规设立并经规划环评的产业园区。煤化工产业项目选址及污染控制措施等须满足安全、环境准入要求，新建项目需布局在一般或较低安全风险等级的化工园区</w:t>
            </w:r>
          </w:p>
        </w:tc>
        <w:tc>
          <w:tcPr>
            <w:tcW w:w="0" w:type="auto"/>
            <w:vAlign w:val="center"/>
          </w:tcPr>
          <w:p w14:paraId="7CF4F22C">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eastAsia"/>
                <w:sz w:val="21"/>
                <w:szCs w:val="21"/>
                <w:highlight w:val="none"/>
                <w:lang w:val="en-US" w:eastAsia="zh-CN"/>
              </w:rPr>
              <w:t>本项目不涉及石化、化工、焦化、有色金属冶炼、平板玻璃等行业</w:t>
            </w:r>
          </w:p>
        </w:tc>
        <w:tc>
          <w:tcPr>
            <w:tcW w:w="1032" w:type="dxa"/>
            <w:vAlign w:val="center"/>
          </w:tcPr>
          <w:p w14:paraId="2E9AFA76">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bl>
    <w:p w14:paraId="3EBCCE76">
      <w:pPr>
        <w:rPr>
          <w:highlight w:val="none"/>
        </w:rPr>
      </w:pPr>
    </w:p>
    <w:p w14:paraId="0BEEB00E">
      <w:pPr>
        <w:pStyle w:val="7"/>
        <w:bidi w:val="0"/>
        <w:rPr>
          <w:highlight w:val="none"/>
        </w:rPr>
      </w:pPr>
      <w:r>
        <w:rPr>
          <w:rFonts w:hint="eastAsia"/>
          <w:highlight w:val="none"/>
          <w:lang w:val="en-US" w:eastAsia="zh-CN"/>
        </w:rPr>
        <w:t>续</w:t>
      </w:r>
      <w:r>
        <w:rPr>
          <w:highlight w:val="none"/>
        </w:rPr>
        <w:t>表1-4-</w:t>
      </w:r>
      <w:r>
        <w:rPr>
          <w:rFonts w:hint="eastAsia"/>
          <w:highlight w:val="none"/>
          <w:lang w:val="en-US" w:eastAsia="zh-CN"/>
        </w:rPr>
        <w:t>10</w:t>
      </w:r>
      <w:r>
        <w:rPr>
          <w:highlight w:val="none"/>
        </w:rPr>
        <w:t>生态环境准入清单符合性分析</w:t>
      </w:r>
    </w:p>
    <w:tbl>
      <w:tblPr>
        <w:tblStyle w:val="4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08"/>
        <w:gridCol w:w="1026"/>
        <w:gridCol w:w="637"/>
        <w:gridCol w:w="971"/>
        <w:gridCol w:w="5949"/>
        <w:gridCol w:w="3751"/>
        <w:gridCol w:w="1032"/>
      </w:tblGrid>
      <w:tr w14:paraId="47FAD0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restart"/>
            <w:shd w:val="clear" w:color="auto" w:fill="auto"/>
            <w:vAlign w:val="center"/>
          </w:tcPr>
          <w:p w14:paraId="38541A98">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000000"/>
                <w:kern w:val="0"/>
                <w:sz w:val="21"/>
                <w:szCs w:val="21"/>
                <w:highlight w:val="none"/>
                <w:lang w:val="en-US" w:eastAsia="zh-CN" w:bidi="ar-SA"/>
              </w:rPr>
            </w:pPr>
            <w:r>
              <w:rPr>
                <w:rFonts w:hint="eastAsia"/>
                <w:sz w:val="21"/>
                <w:szCs w:val="21"/>
                <w:highlight w:val="none"/>
                <w:lang w:val="en-US" w:eastAsia="zh-CN"/>
              </w:rPr>
              <w:t>ZH23010820001</w:t>
            </w:r>
          </w:p>
        </w:tc>
        <w:tc>
          <w:tcPr>
            <w:tcW w:w="1026" w:type="dxa"/>
            <w:vMerge w:val="restart"/>
            <w:shd w:val="clear" w:color="auto" w:fill="auto"/>
            <w:vAlign w:val="center"/>
          </w:tcPr>
          <w:p w14:paraId="2E1BD246">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000000"/>
                <w:kern w:val="0"/>
                <w:sz w:val="21"/>
                <w:szCs w:val="21"/>
                <w:highlight w:val="none"/>
                <w:lang w:val="en-US" w:eastAsia="zh-CN" w:bidi="ar-SA"/>
              </w:rPr>
            </w:pPr>
            <w:r>
              <w:rPr>
                <w:rFonts w:hint="eastAsia"/>
                <w:sz w:val="21"/>
                <w:szCs w:val="21"/>
                <w:highlight w:val="none"/>
                <w:lang w:val="en-US" w:eastAsia="zh-CN"/>
              </w:rPr>
              <w:t>哈尔滨经济技术开发区</w:t>
            </w:r>
          </w:p>
        </w:tc>
        <w:tc>
          <w:tcPr>
            <w:tcW w:w="637" w:type="dxa"/>
            <w:vMerge w:val="restart"/>
            <w:shd w:val="clear" w:color="auto" w:fill="auto"/>
            <w:vAlign w:val="center"/>
          </w:tcPr>
          <w:p w14:paraId="5E71CF14">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000000"/>
                <w:kern w:val="0"/>
                <w:sz w:val="21"/>
                <w:szCs w:val="21"/>
                <w:highlight w:val="none"/>
                <w:lang w:val="en-US" w:eastAsia="zh-CN" w:bidi="ar-SA"/>
              </w:rPr>
            </w:pPr>
            <w:r>
              <w:rPr>
                <w:rFonts w:hint="default"/>
                <w:sz w:val="21"/>
                <w:szCs w:val="21"/>
                <w:highlight w:val="none"/>
                <w:lang w:val="en-US" w:eastAsia="zh-CN"/>
              </w:rPr>
              <w:t>重点管控单元</w:t>
            </w:r>
          </w:p>
        </w:tc>
        <w:tc>
          <w:tcPr>
            <w:tcW w:w="971" w:type="dxa"/>
            <w:vMerge w:val="restart"/>
            <w:shd w:val="clear" w:color="auto" w:fill="auto"/>
            <w:vAlign w:val="center"/>
          </w:tcPr>
          <w:p w14:paraId="72B80A7D">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eastAsia" w:ascii="Times New Roman" w:hAnsi="Times New Roman" w:eastAsia="宋体" w:cs="Times New Roman"/>
                <w:color w:val="000000"/>
                <w:kern w:val="0"/>
                <w:sz w:val="21"/>
                <w:szCs w:val="21"/>
                <w:highlight w:val="none"/>
                <w:lang w:val="en-US" w:eastAsia="zh-CN" w:bidi="ar-SA"/>
              </w:rPr>
            </w:pPr>
            <w:r>
              <w:rPr>
                <w:rFonts w:hint="eastAsia"/>
                <w:sz w:val="21"/>
                <w:szCs w:val="21"/>
                <w:highlight w:val="none"/>
                <w:lang w:val="en-US" w:eastAsia="zh-CN"/>
              </w:rPr>
              <w:t>空间布局约束</w:t>
            </w:r>
          </w:p>
        </w:tc>
        <w:tc>
          <w:tcPr>
            <w:tcW w:w="0" w:type="auto"/>
            <w:shd w:val="clear" w:color="auto" w:fill="auto"/>
            <w:vAlign w:val="center"/>
          </w:tcPr>
          <w:p w14:paraId="713A9B28">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en-US"/>
              </w:rPr>
            </w:pPr>
            <w:r>
              <w:rPr>
                <w:rFonts w:hint="eastAsia"/>
                <w:sz w:val="21"/>
                <w:szCs w:val="21"/>
                <w:highlight w:val="none"/>
                <w:lang w:val="en-US" w:eastAsia="zh-CN"/>
              </w:rPr>
              <w:t>3.重大制造业项目、依托能源和矿产资源的资源加工业项目原则上布局在重点开发区</w:t>
            </w:r>
          </w:p>
        </w:tc>
        <w:tc>
          <w:tcPr>
            <w:tcW w:w="0" w:type="auto"/>
            <w:vAlign w:val="center"/>
          </w:tcPr>
          <w:p w14:paraId="63233337">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eastAsia"/>
                <w:sz w:val="21"/>
                <w:szCs w:val="21"/>
                <w:highlight w:val="none"/>
                <w:lang w:val="en-US" w:eastAsia="zh-CN"/>
              </w:rPr>
              <w:t>本项目不涉及上述行业</w:t>
            </w:r>
          </w:p>
        </w:tc>
        <w:tc>
          <w:tcPr>
            <w:tcW w:w="0" w:type="auto"/>
            <w:shd w:val="clear" w:color="auto" w:fill="auto"/>
            <w:vAlign w:val="center"/>
          </w:tcPr>
          <w:p w14:paraId="7FDCCEDC">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eastAsia" w:ascii="Times New Roman" w:hAnsi="Times New Roman" w:eastAsia="宋体" w:cs="Times New Roman"/>
                <w:color w:val="000000"/>
                <w:kern w:val="0"/>
                <w:sz w:val="21"/>
                <w:szCs w:val="21"/>
                <w:highlight w:val="none"/>
                <w:lang w:val="en-US" w:eastAsia="zh-CN" w:bidi="ar-SA"/>
              </w:rPr>
            </w:pPr>
            <w:r>
              <w:rPr>
                <w:rFonts w:hint="eastAsia"/>
                <w:sz w:val="21"/>
                <w:szCs w:val="21"/>
                <w:highlight w:val="none"/>
                <w:lang w:val="en-US" w:eastAsia="zh-CN"/>
              </w:rPr>
              <w:t>符合</w:t>
            </w:r>
          </w:p>
        </w:tc>
      </w:tr>
      <w:tr w14:paraId="5C2100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continue"/>
            <w:vAlign w:val="center"/>
          </w:tcPr>
          <w:p w14:paraId="1DA00339">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1026" w:type="dxa"/>
            <w:vMerge w:val="continue"/>
            <w:vAlign w:val="center"/>
          </w:tcPr>
          <w:p w14:paraId="1C540452">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637" w:type="dxa"/>
            <w:vMerge w:val="continue"/>
            <w:vAlign w:val="center"/>
          </w:tcPr>
          <w:p w14:paraId="5FC5B76F">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971" w:type="dxa"/>
            <w:vMerge w:val="continue"/>
            <w:vAlign w:val="center"/>
          </w:tcPr>
          <w:p w14:paraId="7522A52E">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zh-CN"/>
              </w:rPr>
            </w:pPr>
          </w:p>
        </w:tc>
        <w:tc>
          <w:tcPr>
            <w:tcW w:w="0" w:type="auto"/>
            <w:shd w:val="clear" w:color="auto" w:fill="auto"/>
            <w:vAlign w:val="center"/>
          </w:tcPr>
          <w:p w14:paraId="6536D25C">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en-US"/>
              </w:rPr>
            </w:pPr>
            <w:r>
              <w:rPr>
                <w:rFonts w:hint="eastAsia"/>
                <w:sz w:val="21"/>
                <w:szCs w:val="21"/>
                <w:highlight w:val="none"/>
                <w:lang w:val="en-US" w:eastAsia="zh-CN"/>
              </w:rPr>
              <w:t>4.未纳入国家有关领域产业规划的，一律不得新建改扩建炼油和新建乙烯、对二甲苯、煤制烯烃项目</w:t>
            </w:r>
          </w:p>
        </w:tc>
        <w:tc>
          <w:tcPr>
            <w:tcW w:w="0" w:type="auto"/>
            <w:vAlign w:val="center"/>
          </w:tcPr>
          <w:p w14:paraId="1086C202">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eastAsia"/>
                <w:sz w:val="21"/>
                <w:szCs w:val="21"/>
                <w:highlight w:val="none"/>
                <w:lang w:val="en-US" w:eastAsia="zh-CN"/>
              </w:rPr>
              <w:t>本项目不涉及炼油、乙烯、对二甲苯、煤制烯烃等项目</w:t>
            </w:r>
          </w:p>
        </w:tc>
        <w:tc>
          <w:tcPr>
            <w:tcW w:w="1032" w:type="dxa"/>
            <w:vAlign w:val="center"/>
          </w:tcPr>
          <w:p w14:paraId="2874F998">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r w14:paraId="64115F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continue"/>
            <w:vAlign w:val="center"/>
          </w:tcPr>
          <w:p w14:paraId="2F5FD812">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1026" w:type="dxa"/>
            <w:vMerge w:val="continue"/>
            <w:vAlign w:val="center"/>
          </w:tcPr>
          <w:p w14:paraId="30A1F9F0">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637" w:type="dxa"/>
            <w:vMerge w:val="continue"/>
            <w:vAlign w:val="center"/>
          </w:tcPr>
          <w:p w14:paraId="4225A9F2">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971" w:type="dxa"/>
            <w:vMerge w:val="continue"/>
            <w:vAlign w:val="center"/>
          </w:tcPr>
          <w:p w14:paraId="5D25CA1E">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zh-CN"/>
              </w:rPr>
            </w:pPr>
          </w:p>
        </w:tc>
        <w:tc>
          <w:tcPr>
            <w:tcW w:w="0" w:type="auto"/>
            <w:shd w:val="clear" w:color="auto" w:fill="auto"/>
            <w:vAlign w:val="center"/>
          </w:tcPr>
          <w:p w14:paraId="5B72FB14">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en-US"/>
              </w:rPr>
            </w:pPr>
            <w:r>
              <w:rPr>
                <w:rFonts w:hint="eastAsia"/>
                <w:sz w:val="21"/>
                <w:szCs w:val="21"/>
                <w:highlight w:val="none"/>
                <w:lang w:val="en-US" w:eastAsia="zh-CN"/>
              </w:rPr>
              <w:t>5.禁止引进国家产业政策明令淘汰和限制的产品、技术、工艺、设备及行为</w:t>
            </w:r>
          </w:p>
        </w:tc>
        <w:tc>
          <w:tcPr>
            <w:tcW w:w="0" w:type="auto"/>
            <w:vAlign w:val="center"/>
          </w:tcPr>
          <w:p w14:paraId="271CD60F">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eastAsia"/>
                <w:sz w:val="21"/>
                <w:szCs w:val="21"/>
                <w:highlight w:val="none"/>
                <w:lang w:val="en-US" w:eastAsia="zh-CN"/>
              </w:rPr>
              <w:t>本项目无国家产业政策明令淘汰和限制的产品、技术、工艺、设备及行为</w:t>
            </w:r>
          </w:p>
        </w:tc>
        <w:tc>
          <w:tcPr>
            <w:tcW w:w="1032" w:type="dxa"/>
            <w:vAlign w:val="center"/>
          </w:tcPr>
          <w:p w14:paraId="33F71522">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r w14:paraId="7D0E09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continue"/>
            <w:vAlign w:val="center"/>
          </w:tcPr>
          <w:p w14:paraId="30196DC4">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1026" w:type="dxa"/>
            <w:vMerge w:val="continue"/>
            <w:vAlign w:val="center"/>
          </w:tcPr>
          <w:p w14:paraId="61CE86F1">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637" w:type="dxa"/>
            <w:vMerge w:val="continue"/>
            <w:vAlign w:val="center"/>
          </w:tcPr>
          <w:p w14:paraId="0B8EBAD8">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971" w:type="dxa"/>
            <w:vMerge w:val="continue"/>
            <w:vAlign w:val="center"/>
          </w:tcPr>
          <w:p w14:paraId="6A25F0D2">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zh-CN"/>
              </w:rPr>
            </w:pPr>
          </w:p>
        </w:tc>
        <w:tc>
          <w:tcPr>
            <w:tcW w:w="0" w:type="auto"/>
            <w:shd w:val="clear" w:color="auto" w:fill="auto"/>
            <w:vAlign w:val="center"/>
          </w:tcPr>
          <w:p w14:paraId="49A9A407">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en-US"/>
              </w:rPr>
            </w:pPr>
            <w:r>
              <w:rPr>
                <w:rFonts w:hint="eastAsia"/>
                <w:sz w:val="21"/>
                <w:szCs w:val="21"/>
                <w:highlight w:val="none"/>
                <w:lang w:val="en-US" w:eastAsia="zh-CN"/>
              </w:rPr>
              <w:t>6.编制产业园区开发建设规划时应依法开展规划环评</w:t>
            </w:r>
          </w:p>
        </w:tc>
        <w:tc>
          <w:tcPr>
            <w:tcW w:w="3751" w:type="dxa"/>
            <w:vAlign w:val="center"/>
          </w:tcPr>
          <w:p w14:paraId="1451998F">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113" w:leftChars="0" w:right="0" w:firstLine="0" w:firstLineChars="0"/>
              <w:jc w:val="center"/>
              <w:textAlignment w:val="auto"/>
              <w:rPr>
                <w:rFonts w:hint="default"/>
                <w:sz w:val="21"/>
                <w:szCs w:val="21"/>
                <w:highlight w:val="none"/>
                <w:lang w:val="en-US" w:eastAsia="zh-CN"/>
              </w:rPr>
            </w:pPr>
            <w:r>
              <w:rPr>
                <w:rFonts w:hint="default"/>
                <w:spacing w:val="8"/>
                <w:sz w:val="21"/>
                <w:szCs w:val="21"/>
                <w:highlight w:val="none"/>
              </w:rPr>
              <w:t>本项目不涉及</w:t>
            </w:r>
          </w:p>
        </w:tc>
        <w:tc>
          <w:tcPr>
            <w:tcW w:w="1032" w:type="dxa"/>
            <w:vAlign w:val="center"/>
          </w:tcPr>
          <w:p w14:paraId="759D7F15">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r w14:paraId="5D4761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continue"/>
            <w:vAlign w:val="center"/>
          </w:tcPr>
          <w:p w14:paraId="71E3814A">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1026" w:type="dxa"/>
            <w:vMerge w:val="continue"/>
            <w:vAlign w:val="center"/>
          </w:tcPr>
          <w:p w14:paraId="2CE08CE8">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637" w:type="dxa"/>
            <w:vMerge w:val="continue"/>
            <w:vAlign w:val="center"/>
          </w:tcPr>
          <w:p w14:paraId="40F9FDDF">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971" w:type="dxa"/>
            <w:vMerge w:val="continue"/>
            <w:vAlign w:val="center"/>
          </w:tcPr>
          <w:p w14:paraId="4F4AE1DE">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zh-CN"/>
              </w:rPr>
            </w:pPr>
          </w:p>
        </w:tc>
        <w:tc>
          <w:tcPr>
            <w:tcW w:w="0" w:type="auto"/>
            <w:shd w:val="clear" w:color="auto" w:fill="auto"/>
            <w:vAlign w:val="center"/>
          </w:tcPr>
          <w:p w14:paraId="02FDDC51">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en-US"/>
              </w:rPr>
            </w:pPr>
            <w:r>
              <w:rPr>
                <w:rFonts w:hint="eastAsia"/>
                <w:sz w:val="21"/>
                <w:szCs w:val="21"/>
                <w:highlight w:val="none"/>
                <w:lang w:val="en-US" w:eastAsia="zh-CN"/>
              </w:rPr>
              <w:t>7.规划审批机关在审批规划时，应将规划环评结论及审查意见作为决策的重要依据，在审批中未采纳环境影响报告书结论及审查意见的，应当作出说明并存档备查</w:t>
            </w:r>
          </w:p>
        </w:tc>
        <w:tc>
          <w:tcPr>
            <w:tcW w:w="3751" w:type="dxa"/>
            <w:vAlign w:val="center"/>
          </w:tcPr>
          <w:p w14:paraId="170F3BA2">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113" w:leftChars="0" w:right="0" w:firstLine="0" w:firstLineChars="0"/>
              <w:jc w:val="center"/>
              <w:textAlignment w:val="auto"/>
              <w:rPr>
                <w:rFonts w:hint="default"/>
                <w:sz w:val="21"/>
                <w:szCs w:val="21"/>
                <w:highlight w:val="none"/>
                <w:lang w:val="en-US" w:eastAsia="zh-CN"/>
              </w:rPr>
            </w:pPr>
            <w:r>
              <w:rPr>
                <w:rFonts w:hint="default"/>
                <w:spacing w:val="8"/>
                <w:sz w:val="21"/>
                <w:szCs w:val="21"/>
                <w:highlight w:val="none"/>
              </w:rPr>
              <w:t>本项目不涉及</w:t>
            </w:r>
          </w:p>
        </w:tc>
        <w:tc>
          <w:tcPr>
            <w:tcW w:w="1032" w:type="dxa"/>
            <w:vAlign w:val="center"/>
          </w:tcPr>
          <w:p w14:paraId="0D1997F4">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r w14:paraId="6601E8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continue"/>
            <w:vAlign w:val="center"/>
          </w:tcPr>
          <w:p w14:paraId="6DB5F0BC">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1026" w:type="dxa"/>
            <w:vMerge w:val="continue"/>
            <w:vAlign w:val="center"/>
          </w:tcPr>
          <w:p w14:paraId="7EE5A198">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637" w:type="dxa"/>
            <w:vMerge w:val="continue"/>
            <w:vAlign w:val="center"/>
          </w:tcPr>
          <w:p w14:paraId="441FDDD1">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971" w:type="dxa"/>
            <w:vMerge w:val="continue"/>
            <w:vAlign w:val="center"/>
          </w:tcPr>
          <w:p w14:paraId="077E0DB6">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zh-CN"/>
              </w:rPr>
            </w:pPr>
          </w:p>
        </w:tc>
        <w:tc>
          <w:tcPr>
            <w:tcW w:w="0" w:type="auto"/>
            <w:shd w:val="clear" w:color="auto" w:fill="auto"/>
            <w:vAlign w:val="center"/>
          </w:tcPr>
          <w:p w14:paraId="3EFECB08">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en-US"/>
              </w:rPr>
            </w:pPr>
            <w:r>
              <w:rPr>
                <w:rFonts w:hint="eastAsia"/>
                <w:sz w:val="21"/>
                <w:szCs w:val="21"/>
                <w:highlight w:val="none"/>
                <w:lang w:val="en-US" w:eastAsia="zh-CN"/>
              </w:rPr>
              <w:t>8.产业园区招商引资、入园建设项目环评审批等应将规划环评结论及审查意见作为重要依据</w:t>
            </w:r>
          </w:p>
        </w:tc>
        <w:tc>
          <w:tcPr>
            <w:tcW w:w="3751" w:type="dxa"/>
            <w:vAlign w:val="center"/>
          </w:tcPr>
          <w:p w14:paraId="23D3BC6E">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113" w:leftChars="0" w:right="0" w:firstLine="0" w:firstLineChars="0"/>
              <w:jc w:val="center"/>
              <w:textAlignment w:val="auto"/>
              <w:rPr>
                <w:rFonts w:hint="default"/>
                <w:sz w:val="21"/>
                <w:szCs w:val="21"/>
                <w:highlight w:val="none"/>
                <w:lang w:val="en-US" w:eastAsia="zh-CN"/>
              </w:rPr>
            </w:pPr>
            <w:r>
              <w:rPr>
                <w:rFonts w:hint="default"/>
                <w:spacing w:val="8"/>
                <w:sz w:val="21"/>
                <w:szCs w:val="21"/>
                <w:highlight w:val="none"/>
              </w:rPr>
              <w:t>本项目不涉及</w:t>
            </w:r>
          </w:p>
        </w:tc>
        <w:tc>
          <w:tcPr>
            <w:tcW w:w="1032" w:type="dxa"/>
            <w:vAlign w:val="center"/>
          </w:tcPr>
          <w:p w14:paraId="74931DC9">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r w14:paraId="2E80F8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continue"/>
            <w:vAlign w:val="center"/>
          </w:tcPr>
          <w:p w14:paraId="7F34CA69">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1026" w:type="dxa"/>
            <w:vMerge w:val="continue"/>
            <w:vAlign w:val="center"/>
          </w:tcPr>
          <w:p w14:paraId="34B274CD">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637" w:type="dxa"/>
            <w:vMerge w:val="continue"/>
            <w:vAlign w:val="center"/>
          </w:tcPr>
          <w:p w14:paraId="55917988">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971" w:type="dxa"/>
            <w:vMerge w:val="continue"/>
            <w:vAlign w:val="center"/>
          </w:tcPr>
          <w:p w14:paraId="423378FC">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zh-CN"/>
              </w:rPr>
            </w:pPr>
          </w:p>
        </w:tc>
        <w:tc>
          <w:tcPr>
            <w:tcW w:w="0" w:type="auto"/>
            <w:shd w:val="clear" w:color="auto" w:fill="auto"/>
            <w:vAlign w:val="center"/>
          </w:tcPr>
          <w:p w14:paraId="3F366FDC">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en-US"/>
              </w:rPr>
            </w:pPr>
            <w:r>
              <w:rPr>
                <w:rFonts w:hint="eastAsia"/>
                <w:sz w:val="21"/>
                <w:szCs w:val="21"/>
                <w:highlight w:val="none"/>
                <w:lang w:val="en-US" w:eastAsia="zh-CN"/>
              </w:rPr>
              <w:t>9.产业园区开发建设规划应符合国家政策和相关法律法规要求，规划发生重大调整或修订的，应当依法重新或补充开展规划环评工作</w:t>
            </w:r>
          </w:p>
        </w:tc>
        <w:tc>
          <w:tcPr>
            <w:tcW w:w="3751" w:type="dxa"/>
            <w:vAlign w:val="center"/>
          </w:tcPr>
          <w:p w14:paraId="43466E0B">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113" w:leftChars="0" w:right="0" w:firstLine="0" w:firstLineChars="0"/>
              <w:jc w:val="center"/>
              <w:textAlignment w:val="auto"/>
              <w:rPr>
                <w:rFonts w:hint="default"/>
                <w:sz w:val="21"/>
                <w:szCs w:val="21"/>
                <w:highlight w:val="none"/>
                <w:lang w:val="en-US" w:eastAsia="zh-CN"/>
              </w:rPr>
            </w:pPr>
            <w:r>
              <w:rPr>
                <w:rFonts w:hint="default"/>
                <w:spacing w:val="8"/>
                <w:sz w:val="21"/>
                <w:szCs w:val="21"/>
                <w:highlight w:val="none"/>
              </w:rPr>
              <w:t>本项目不涉及</w:t>
            </w:r>
          </w:p>
        </w:tc>
        <w:tc>
          <w:tcPr>
            <w:tcW w:w="1032" w:type="dxa"/>
            <w:vAlign w:val="center"/>
          </w:tcPr>
          <w:p w14:paraId="4BEAD079">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r w14:paraId="66E47D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continue"/>
            <w:vAlign w:val="center"/>
          </w:tcPr>
          <w:p w14:paraId="0DA6171C">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1026" w:type="dxa"/>
            <w:vMerge w:val="continue"/>
            <w:vAlign w:val="center"/>
          </w:tcPr>
          <w:p w14:paraId="207C0FE3">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637" w:type="dxa"/>
            <w:vMerge w:val="continue"/>
            <w:vAlign w:val="center"/>
          </w:tcPr>
          <w:p w14:paraId="16C706B6">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971" w:type="dxa"/>
            <w:vMerge w:val="continue"/>
            <w:vAlign w:val="center"/>
          </w:tcPr>
          <w:p w14:paraId="41C975C6">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zh-CN"/>
              </w:rPr>
            </w:pPr>
          </w:p>
        </w:tc>
        <w:tc>
          <w:tcPr>
            <w:tcW w:w="0" w:type="auto"/>
            <w:shd w:val="clear" w:color="auto" w:fill="auto"/>
            <w:vAlign w:val="center"/>
          </w:tcPr>
          <w:p w14:paraId="726581F1">
            <w:pPr>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000000"/>
                <w:kern w:val="0"/>
                <w:sz w:val="21"/>
                <w:szCs w:val="21"/>
                <w:highlight w:val="none"/>
                <w:lang w:val="en-US" w:eastAsia="en-US" w:bidi="ar-SA"/>
              </w:rPr>
            </w:pPr>
            <w:r>
              <w:rPr>
                <w:rFonts w:hint="eastAsia" w:ascii="Times New Roman" w:hAnsi="Times New Roman" w:eastAsia="宋体" w:cs="Times New Roman"/>
                <w:color w:val="000000"/>
                <w:kern w:val="0"/>
                <w:sz w:val="21"/>
                <w:szCs w:val="21"/>
                <w:highlight w:val="none"/>
                <w:lang w:val="en-US" w:eastAsia="zh-CN" w:bidi="ar-SA"/>
              </w:rPr>
              <w:t>四、水环境工业污染重点管控区同时执行：</w:t>
            </w:r>
            <w:r>
              <w:rPr>
                <w:rFonts w:hint="eastAsia" w:cs="Times New Roman"/>
                <w:color w:val="000000"/>
                <w:kern w:val="0"/>
                <w:sz w:val="21"/>
                <w:szCs w:val="21"/>
                <w:highlight w:val="none"/>
                <w:lang w:val="en-US" w:eastAsia="zh-CN" w:bidi="ar-SA"/>
              </w:rPr>
              <w:t>1.</w:t>
            </w:r>
            <w:r>
              <w:rPr>
                <w:rFonts w:hint="eastAsia" w:ascii="Times New Roman" w:hAnsi="Times New Roman" w:eastAsia="宋体" w:cs="Times New Roman"/>
                <w:color w:val="000000"/>
                <w:kern w:val="0"/>
                <w:sz w:val="21"/>
                <w:szCs w:val="21"/>
                <w:highlight w:val="none"/>
                <w:lang w:val="en-US" w:eastAsia="zh-CN" w:bidi="ar-SA"/>
              </w:rPr>
              <w:t>区域内严格控制高耗水、高污染行业发展</w:t>
            </w:r>
          </w:p>
        </w:tc>
        <w:tc>
          <w:tcPr>
            <w:tcW w:w="0" w:type="auto"/>
            <w:vAlign w:val="center"/>
          </w:tcPr>
          <w:p w14:paraId="43E7E96C">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eastAsia"/>
                <w:sz w:val="21"/>
                <w:szCs w:val="21"/>
                <w:highlight w:val="none"/>
                <w:lang w:val="en-US" w:eastAsia="zh-CN"/>
              </w:rPr>
              <w:t>本项目不新增生活用水，生产用水量及生产废水量改造后无变化，生产产生少量废气均经处理后达标排放，不属于高水耗、高污染行业</w:t>
            </w:r>
          </w:p>
        </w:tc>
        <w:tc>
          <w:tcPr>
            <w:tcW w:w="1032" w:type="dxa"/>
            <w:vAlign w:val="center"/>
          </w:tcPr>
          <w:p w14:paraId="651940EE">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r w14:paraId="5077E2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continue"/>
            <w:vAlign w:val="center"/>
          </w:tcPr>
          <w:p w14:paraId="5C2635DF">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1026" w:type="dxa"/>
            <w:vMerge w:val="continue"/>
            <w:vAlign w:val="center"/>
          </w:tcPr>
          <w:p w14:paraId="6BA5F7DE">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637" w:type="dxa"/>
            <w:vMerge w:val="continue"/>
            <w:vAlign w:val="center"/>
          </w:tcPr>
          <w:p w14:paraId="0B7AB29F">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971" w:type="dxa"/>
            <w:vMerge w:val="continue"/>
            <w:vAlign w:val="center"/>
          </w:tcPr>
          <w:p w14:paraId="27696237">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zh-CN"/>
              </w:rPr>
            </w:pPr>
          </w:p>
        </w:tc>
        <w:tc>
          <w:tcPr>
            <w:tcW w:w="0" w:type="auto"/>
            <w:shd w:val="clear" w:color="auto" w:fill="auto"/>
            <w:vAlign w:val="center"/>
          </w:tcPr>
          <w:p w14:paraId="6AE6FDB8">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en-US"/>
              </w:rPr>
            </w:pPr>
            <w:r>
              <w:rPr>
                <w:rFonts w:hint="eastAsia"/>
                <w:sz w:val="21"/>
                <w:szCs w:val="21"/>
                <w:highlight w:val="none"/>
                <w:lang w:val="en-US" w:eastAsia="zh-CN"/>
              </w:rPr>
              <w:t>2..优化产业结构，加快退出落后产能，大力发展战略性新兴产业</w:t>
            </w:r>
          </w:p>
        </w:tc>
        <w:tc>
          <w:tcPr>
            <w:tcW w:w="0" w:type="auto"/>
            <w:vAlign w:val="center"/>
          </w:tcPr>
          <w:p w14:paraId="705E26B9">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eastAsia"/>
                <w:spacing w:val="5"/>
                <w:sz w:val="21"/>
                <w:szCs w:val="21"/>
                <w:highlight w:val="none"/>
                <w:lang w:val="en-US" w:eastAsia="zh-CN"/>
              </w:rPr>
              <w:t>本项目为汽车发动机制造项目及企业内部配套含有金属屑收集处理项目，符合园区定位及国家产业政策</w:t>
            </w:r>
          </w:p>
        </w:tc>
        <w:tc>
          <w:tcPr>
            <w:tcW w:w="1032" w:type="dxa"/>
            <w:vAlign w:val="center"/>
          </w:tcPr>
          <w:p w14:paraId="6CEF2CB9">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r w14:paraId="52AA94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continue"/>
            <w:vAlign w:val="center"/>
          </w:tcPr>
          <w:p w14:paraId="6972D7B5">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1026" w:type="dxa"/>
            <w:vMerge w:val="continue"/>
            <w:vAlign w:val="center"/>
          </w:tcPr>
          <w:p w14:paraId="23EA07D4">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637" w:type="dxa"/>
            <w:vMerge w:val="continue"/>
            <w:vAlign w:val="center"/>
          </w:tcPr>
          <w:p w14:paraId="0849240C">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971" w:type="dxa"/>
            <w:vMerge w:val="continue"/>
            <w:vAlign w:val="center"/>
          </w:tcPr>
          <w:p w14:paraId="0656FE5B">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zh-CN"/>
              </w:rPr>
            </w:pPr>
          </w:p>
        </w:tc>
        <w:tc>
          <w:tcPr>
            <w:tcW w:w="0" w:type="auto"/>
            <w:shd w:val="clear" w:color="auto" w:fill="auto"/>
            <w:vAlign w:val="center"/>
          </w:tcPr>
          <w:p w14:paraId="6D79946D">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en-US"/>
              </w:rPr>
            </w:pPr>
            <w:r>
              <w:rPr>
                <w:rFonts w:hint="eastAsia"/>
                <w:sz w:val="21"/>
                <w:szCs w:val="21"/>
                <w:highlight w:val="none"/>
                <w:lang w:val="en-US" w:eastAsia="zh-CN"/>
              </w:rPr>
              <w:t>3..根据水资源和水环境承载能力，以水定城、以水定地、以水定人、以水定产</w:t>
            </w:r>
          </w:p>
        </w:tc>
        <w:tc>
          <w:tcPr>
            <w:tcW w:w="0" w:type="auto"/>
            <w:vAlign w:val="center"/>
          </w:tcPr>
          <w:p w14:paraId="331900A7">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eastAsia"/>
                <w:sz w:val="21"/>
                <w:szCs w:val="21"/>
                <w:highlight w:val="none"/>
                <w:lang w:val="en-US" w:eastAsia="zh-CN"/>
              </w:rPr>
              <w:t>本项目不新增生活用水，生产用水量及生产废水量改造后无变化</w:t>
            </w:r>
          </w:p>
        </w:tc>
        <w:tc>
          <w:tcPr>
            <w:tcW w:w="1032" w:type="dxa"/>
            <w:vAlign w:val="center"/>
          </w:tcPr>
          <w:p w14:paraId="5DA391C9">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r w14:paraId="11B600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continue"/>
            <w:vAlign w:val="center"/>
          </w:tcPr>
          <w:p w14:paraId="03492884">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1026" w:type="dxa"/>
            <w:vMerge w:val="continue"/>
            <w:vAlign w:val="center"/>
          </w:tcPr>
          <w:p w14:paraId="2461387A">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637" w:type="dxa"/>
            <w:vMerge w:val="continue"/>
            <w:vAlign w:val="center"/>
          </w:tcPr>
          <w:p w14:paraId="17E6A1D8">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971" w:type="dxa"/>
            <w:vMerge w:val="continue"/>
            <w:vAlign w:val="center"/>
          </w:tcPr>
          <w:p w14:paraId="52422CF8">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zh-CN"/>
              </w:rPr>
            </w:pPr>
          </w:p>
        </w:tc>
        <w:tc>
          <w:tcPr>
            <w:tcW w:w="0" w:type="auto"/>
            <w:shd w:val="clear" w:color="auto" w:fill="auto"/>
            <w:vAlign w:val="center"/>
          </w:tcPr>
          <w:p w14:paraId="35C8C68A">
            <w:pPr>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rPr>
            </w:pPr>
            <w:r>
              <w:rPr>
                <w:rFonts w:hint="eastAsia" w:ascii="宋体" w:hAnsi="宋体" w:eastAsia="宋体" w:cs="宋体"/>
                <w:color w:val="000000"/>
                <w:kern w:val="0"/>
                <w:sz w:val="21"/>
                <w:szCs w:val="21"/>
                <w:highlight w:val="none"/>
                <w:lang w:val="en-US" w:eastAsia="zh-CN" w:bidi="ar"/>
              </w:rPr>
              <w:t>五、大气环境布局敏感重点管控区同时执行：</w:t>
            </w:r>
          </w:p>
          <w:p w14:paraId="449DABD2">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sz w:val="21"/>
                <w:szCs w:val="21"/>
                <w:highlight w:val="none"/>
                <w:lang w:val="en-US" w:eastAsia="en-US"/>
              </w:rPr>
            </w:pPr>
            <w:r>
              <w:rPr>
                <w:rFonts w:hint="eastAsia"/>
                <w:sz w:val="21"/>
                <w:szCs w:val="21"/>
                <w:highlight w:val="none"/>
                <w:lang w:val="en-US" w:eastAsia="zh-CN"/>
              </w:rPr>
              <w:t>1.严控“两高”行业产能。严格执行钢铁、水泥、平板玻璃等行业产能置换实施办法</w:t>
            </w:r>
          </w:p>
        </w:tc>
        <w:tc>
          <w:tcPr>
            <w:tcW w:w="0" w:type="auto"/>
            <w:vAlign w:val="center"/>
          </w:tcPr>
          <w:p w14:paraId="784E05EB">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eastAsia"/>
                <w:sz w:val="21"/>
                <w:szCs w:val="21"/>
                <w:highlight w:val="none"/>
                <w:lang w:val="en-US" w:eastAsia="zh-CN"/>
              </w:rPr>
              <w:t>本项目不涉及钢铁、水泥、平板玻璃等行业</w:t>
            </w:r>
          </w:p>
        </w:tc>
        <w:tc>
          <w:tcPr>
            <w:tcW w:w="1032" w:type="dxa"/>
            <w:vAlign w:val="center"/>
          </w:tcPr>
          <w:p w14:paraId="3BFC2B7A">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bl>
    <w:p w14:paraId="0CC54435">
      <w:pPr>
        <w:rPr>
          <w:highlight w:val="none"/>
        </w:rPr>
      </w:pPr>
    </w:p>
    <w:p w14:paraId="6AA81641">
      <w:pPr>
        <w:pStyle w:val="7"/>
        <w:bidi w:val="0"/>
        <w:rPr>
          <w:highlight w:val="none"/>
        </w:rPr>
      </w:pPr>
      <w:r>
        <w:rPr>
          <w:rFonts w:hint="eastAsia"/>
          <w:highlight w:val="none"/>
          <w:lang w:val="en-US" w:eastAsia="zh-CN"/>
        </w:rPr>
        <w:t>续</w:t>
      </w:r>
      <w:r>
        <w:rPr>
          <w:highlight w:val="none"/>
        </w:rPr>
        <w:t>表1-4-</w:t>
      </w:r>
      <w:r>
        <w:rPr>
          <w:rFonts w:hint="eastAsia"/>
          <w:highlight w:val="none"/>
          <w:lang w:val="en-US" w:eastAsia="zh-CN"/>
        </w:rPr>
        <w:t>10</w:t>
      </w:r>
      <w:r>
        <w:rPr>
          <w:highlight w:val="none"/>
        </w:rPr>
        <w:t>生态环境准入清单符合性分析</w:t>
      </w:r>
    </w:p>
    <w:tbl>
      <w:tblPr>
        <w:tblStyle w:val="4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08"/>
        <w:gridCol w:w="1026"/>
        <w:gridCol w:w="637"/>
        <w:gridCol w:w="971"/>
        <w:gridCol w:w="5949"/>
        <w:gridCol w:w="3751"/>
        <w:gridCol w:w="1032"/>
      </w:tblGrid>
      <w:tr w14:paraId="6972EA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restart"/>
            <w:vAlign w:val="center"/>
          </w:tcPr>
          <w:p w14:paraId="6F764166">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ZH23010820001</w:t>
            </w:r>
          </w:p>
        </w:tc>
        <w:tc>
          <w:tcPr>
            <w:tcW w:w="1026" w:type="dxa"/>
            <w:vMerge w:val="restart"/>
            <w:vAlign w:val="center"/>
          </w:tcPr>
          <w:p w14:paraId="0EA4590D">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哈尔滨经济技术开发区</w:t>
            </w:r>
          </w:p>
        </w:tc>
        <w:tc>
          <w:tcPr>
            <w:tcW w:w="637" w:type="dxa"/>
            <w:vMerge w:val="restart"/>
            <w:vAlign w:val="center"/>
          </w:tcPr>
          <w:p w14:paraId="033533C8">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重点管控单元</w:t>
            </w:r>
          </w:p>
        </w:tc>
        <w:tc>
          <w:tcPr>
            <w:tcW w:w="971" w:type="dxa"/>
            <w:vAlign w:val="center"/>
          </w:tcPr>
          <w:p w14:paraId="4800DE31">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空间布局约束</w:t>
            </w:r>
          </w:p>
        </w:tc>
        <w:tc>
          <w:tcPr>
            <w:tcW w:w="0" w:type="auto"/>
            <w:shd w:val="clear" w:color="auto" w:fill="auto"/>
            <w:vAlign w:val="center"/>
          </w:tcPr>
          <w:p w14:paraId="66F9B625">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en-US"/>
              </w:rPr>
            </w:pPr>
            <w:r>
              <w:rPr>
                <w:rFonts w:hint="eastAsia"/>
                <w:sz w:val="21"/>
                <w:szCs w:val="21"/>
                <w:highlight w:val="none"/>
                <w:lang w:val="en-US" w:eastAsia="zh-CN"/>
              </w:rPr>
              <w:t>2.利用水泥窑协同处置城市生活垃圾、危险废弃物、电石渣等固废伴生水泥项目，必须依托现有新型干法水泥熟料生产线进行不扩产能改造</w:t>
            </w:r>
          </w:p>
        </w:tc>
        <w:tc>
          <w:tcPr>
            <w:tcW w:w="0" w:type="auto"/>
            <w:vAlign w:val="center"/>
          </w:tcPr>
          <w:p w14:paraId="7967FBF1">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default"/>
                <w:sz w:val="21"/>
                <w:szCs w:val="21"/>
                <w:highlight w:val="none"/>
              </w:rPr>
              <w:t>本项目</w:t>
            </w:r>
            <w:r>
              <w:rPr>
                <w:rFonts w:hint="eastAsia"/>
                <w:sz w:val="21"/>
                <w:szCs w:val="21"/>
                <w:highlight w:val="none"/>
                <w:lang w:val="en-US" w:eastAsia="zh-CN"/>
              </w:rPr>
              <w:t>危险废物综合利用，仅通过破碎、甩干、压块工序加工</w:t>
            </w:r>
            <w:r>
              <w:rPr>
                <w:rFonts w:hint="default"/>
                <w:sz w:val="21"/>
                <w:szCs w:val="21"/>
                <w:highlight w:val="none"/>
              </w:rPr>
              <w:t>，不属于水泥窑协同处置</w:t>
            </w:r>
            <w:r>
              <w:rPr>
                <w:rFonts w:hint="default"/>
                <w:sz w:val="21"/>
                <w:szCs w:val="21"/>
                <w:highlight w:val="none"/>
                <w:lang w:val="en-US" w:eastAsia="zh-CN"/>
              </w:rPr>
              <w:t>项目</w:t>
            </w:r>
          </w:p>
        </w:tc>
        <w:tc>
          <w:tcPr>
            <w:tcW w:w="1032" w:type="dxa"/>
            <w:vAlign w:val="center"/>
          </w:tcPr>
          <w:p w14:paraId="42003A33">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r w14:paraId="15B25F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continue"/>
            <w:vAlign w:val="center"/>
          </w:tcPr>
          <w:p w14:paraId="098431C7">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1026" w:type="dxa"/>
            <w:vMerge w:val="continue"/>
            <w:vAlign w:val="center"/>
          </w:tcPr>
          <w:p w14:paraId="1ACAEAC4">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637" w:type="dxa"/>
            <w:vMerge w:val="continue"/>
            <w:vAlign w:val="center"/>
          </w:tcPr>
          <w:p w14:paraId="4DE52CA9">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971" w:type="dxa"/>
            <w:vMerge w:val="restart"/>
            <w:vAlign w:val="center"/>
          </w:tcPr>
          <w:p w14:paraId="6F8BE570">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eastAsia"/>
                <w:sz w:val="21"/>
                <w:szCs w:val="21"/>
                <w:highlight w:val="none"/>
                <w:lang w:val="en-US" w:eastAsia="zh-CN"/>
              </w:rPr>
              <w:t>污染物排放管控</w:t>
            </w:r>
          </w:p>
        </w:tc>
        <w:tc>
          <w:tcPr>
            <w:tcW w:w="0" w:type="auto"/>
            <w:shd w:val="clear" w:color="auto" w:fill="auto"/>
            <w:vAlign w:val="center"/>
          </w:tcPr>
          <w:p w14:paraId="2EE87996">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en-US"/>
              </w:rPr>
            </w:pPr>
            <w:r>
              <w:rPr>
                <w:rFonts w:hint="eastAsia"/>
                <w:sz w:val="21"/>
                <w:szCs w:val="21"/>
                <w:highlight w:val="none"/>
                <w:lang w:val="en-US" w:eastAsia="zh-CN"/>
              </w:rPr>
              <w:t>一、区域内新建、改扩建项目废气污染物二氧化硫、氮氧化物和细颗粒物排放总量应等量置换</w:t>
            </w:r>
          </w:p>
        </w:tc>
        <w:tc>
          <w:tcPr>
            <w:tcW w:w="0" w:type="auto"/>
            <w:vAlign w:val="center"/>
          </w:tcPr>
          <w:p w14:paraId="55B05E6E">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default" w:ascii="Times New Roman" w:hAnsi="Times New Roman"/>
                <w:color w:val="000000" w:themeColor="text1"/>
                <w:sz w:val="21"/>
                <w:szCs w:val="21"/>
                <w:highlight w:val="none"/>
              </w:rPr>
              <w:t>本项目</w:t>
            </w:r>
            <w:r>
              <w:rPr>
                <w:rFonts w:hint="default" w:hAnsiTheme="minorEastAsia" w:eastAsiaTheme="minorEastAsia"/>
                <w:sz w:val="21"/>
                <w:szCs w:val="21"/>
                <w:highlight w:val="none"/>
              </w:rPr>
              <w:t>本项目生产过程中不产生二氧化硫和细颗粒物，</w:t>
            </w:r>
            <w:r>
              <w:rPr>
                <w:rFonts w:hint="default"/>
                <w:sz w:val="21"/>
                <w:szCs w:val="21"/>
                <w:highlight w:val="none"/>
              </w:rPr>
              <w:t>氮氧化物排放总量</w:t>
            </w:r>
            <w:r>
              <w:rPr>
                <w:rFonts w:hint="default" w:ascii="Times New Roman" w:hAnsi="Times New Roman"/>
                <w:color w:val="000000" w:themeColor="text1"/>
                <w:sz w:val="21"/>
                <w:szCs w:val="21"/>
                <w:highlight w:val="none"/>
              </w:rPr>
              <w:t>通过</w:t>
            </w:r>
            <w:r>
              <w:rPr>
                <w:rFonts w:hint="eastAsia" w:ascii="Times New Roman" w:hAnsi="Times New Roman"/>
                <w:color w:val="000000" w:themeColor="text1"/>
                <w:sz w:val="21"/>
                <w:szCs w:val="21"/>
                <w:highlight w:val="none"/>
                <w:lang w:val="en-US" w:eastAsia="zh-CN"/>
              </w:rPr>
              <w:t>替代原有4G9生产线产生量及</w:t>
            </w:r>
            <w:r>
              <w:rPr>
                <w:rFonts w:hint="eastAsia"/>
                <w:color w:val="000000" w:themeColor="text1"/>
                <w:sz w:val="21"/>
                <w:szCs w:val="21"/>
                <w:highlight w:val="none"/>
                <w:lang w:val="en-US" w:eastAsia="zh-CN"/>
              </w:rPr>
              <w:t>区域平衡</w:t>
            </w:r>
            <w:r>
              <w:rPr>
                <w:rFonts w:hint="default" w:ascii="Times New Roman" w:hAnsi="Times New Roman"/>
                <w:color w:val="000000" w:themeColor="text1"/>
                <w:sz w:val="21"/>
                <w:szCs w:val="21"/>
                <w:highlight w:val="none"/>
              </w:rPr>
              <w:t>获得。</w:t>
            </w:r>
          </w:p>
        </w:tc>
        <w:tc>
          <w:tcPr>
            <w:tcW w:w="1032" w:type="dxa"/>
            <w:vAlign w:val="center"/>
          </w:tcPr>
          <w:p w14:paraId="02EC1856">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r w14:paraId="145A31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continue"/>
            <w:vAlign w:val="center"/>
          </w:tcPr>
          <w:p w14:paraId="6DDA3191">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1026" w:type="dxa"/>
            <w:vMerge w:val="continue"/>
            <w:vAlign w:val="center"/>
          </w:tcPr>
          <w:p w14:paraId="4BD4F432">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637" w:type="dxa"/>
            <w:vMerge w:val="continue"/>
            <w:vAlign w:val="center"/>
          </w:tcPr>
          <w:p w14:paraId="2E67A967">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971" w:type="dxa"/>
            <w:vMerge w:val="continue"/>
            <w:vAlign w:val="center"/>
          </w:tcPr>
          <w:p w14:paraId="6B41435E">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0" w:type="auto"/>
            <w:shd w:val="clear" w:color="auto" w:fill="auto"/>
            <w:vAlign w:val="center"/>
          </w:tcPr>
          <w:p w14:paraId="5AECC4BD">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en-US"/>
              </w:rPr>
            </w:pPr>
            <w:r>
              <w:rPr>
                <w:rFonts w:hint="eastAsia"/>
                <w:sz w:val="21"/>
                <w:szCs w:val="21"/>
                <w:highlight w:val="none"/>
                <w:lang w:val="en-US" w:eastAsia="zh-CN"/>
              </w:rPr>
              <w:t>二、新上耗煤项目实施煤炭减量替代，单位产品（产值）能耗要达到国内先进水平</w:t>
            </w:r>
          </w:p>
        </w:tc>
        <w:tc>
          <w:tcPr>
            <w:tcW w:w="3751" w:type="dxa"/>
            <w:vAlign w:val="center"/>
          </w:tcPr>
          <w:p w14:paraId="1CB0905D">
            <w:pPr>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bidi="ar-SA"/>
              </w:rPr>
              <w:t>本项目不使用煤炭</w:t>
            </w:r>
          </w:p>
        </w:tc>
        <w:tc>
          <w:tcPr>
            <w:tcW w:w="1032" w:type="dxa"/>
            <w:vAlign w:val="center"/>
          </w:tcPr>
          <w:p w14:paraId="37EE48E0">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r w14:paraId="29D844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continue"/>
            <w:vAlign w:val="center"/>
          </w:tcPr>
          <w:p w14:paraId="43063042">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1026" w:type="dxa"/>
            <w:vMerge w:val="continue"/>
            <w:vAlign w:val="center"/>
          </w:tcPr>
          <w:p w14:paraId="51FD2EC9">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637" w:type="dxa"/>
            <w:vMerge w:val="continue"/>
            <w:vAlign w:val="center"/>
          </w:tcPr>
          <w:p w14:paraId="2AEBEED9">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971" w:type="dxa"/>
            <w:vMerge w:val="continue"/>
            <w:vAlign w:val="center"/>
          </w:tcPr>
          <w:p w14:paraId="0C26E761">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0" w:type="auto"/>
            <w:shd w:val="clear" w:color="auto" w:fill="auto"/>
            <w:vAlign w:val="center"/>
          </w:tcPr>
          <w:p w14:paraId="2FB66256">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en-US"/>
              </w:rPr>
            </w:pPr>
            <w:r>
              <w:rPr>
                <w:rFonts w:hint="eastAsia"/>
                <w:sz w:val="21"/>
                <w:szCs w:val="21"/>
                <w:highlight w:val="none"/>
                <w:lang w:val="en-US" w:eastAsia="zh-CN"/>
              </w:rPr>
              <w:t>三、执行要求：1.应按规定建设污水集中处理设施，并安装自动在线监控装置</w:t>
            </w:r>
          </w:p>
        </w:tc>
        <w:tc>
          <w:tcPr>
            <w:tcW w:w="3751" w:type="dxa"/>
            <w:vAlign w:val="center"/>
          </w:tcPr>
          <w:p w14:paraId="552CE59B">
            <w:pPr>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bidi="ar-SA"/>
              </w:rPr>
              <w:t>本项目生产废水</w:t>
            </w:r>
            <w:r>
              <w:rPr>
                <w:rFonts w:hint="eastAsia" w:cs="Times New Roman"/>
                <w:color w:val="000000"/>
                <w:kern w:val="0"/>
                <w:sz w:val="21"/>
                <w:szCs w:val="21"/>
                <w:highlight w:val="none"/>
                <w:lang w:val="en-US" w:eastAsia="zh-CN" w:bidi="ar-SA"/>
              </w:rPr>
              <w:t>依托现有</w:t>
            </w:r>
            <w:r>
              <w:rPr>
                <w:rFonts w:hint="eastAsia" w:ascii="Times New Roman" w:hAnsi="Times New Roman" w:eastAsia="宋体" w:cs="Times New Roman"/>
                <w:color w:val="000000"/>
                <w:kern w:val="0"/>
                <w:sz w:val="21"/>
                <w:szCs w:val="21"/>
                <w:highlight w:val="none"/>
                <w:lang w:val="en-US" w:eastAsia="zh-CN" w:bidi="ar-SA"/>
              </w:rPr>
              <w:t>4号联合厂房内污水处理站处理，处理达标后排入</w:t>
            </w:r>
            <w:r>
              <w:rPr>
                <w:rFonts w:hint="eastAsia" w:cs="Times New Roman"/>
                <w:color w:val="000000"/>
                <w:kern w:val="0"/>
                <w:sz w:val="21"/>
                <w:szCs w:val="21"/>
                <w:highlight w:val="none"/>
                <w:lang w:val="en-US" w:eastAsia="zh-CN" w:bidi="ar-SA"/>
              </w:rPr>
              <w:t>哈尔滨市朝阳水质净化厂</w:t>
            </w:r>
            <w:r>
              <w:rPr>
                <w:rFonts w:hint="eastAsia" w:ascii="Times New Roman" w:hAnsi="Times New Roman" w:eastAsia="宋体" w:cs="Times New Roman"/>
                <w:color w:val="000000"/>
                <w:kern w:val="0"/>
                <w:sz w:val="21"/>
                <w:szCs w:val="21"/>
                <w:highlight w:val="none"/>
                <w:lang w:val="en-US" w:eastAsia="zh-CN" w:bidi="ar-SA"/>
              </w:rPr>
              <w:t>，处理达标后排入</w:t>
            </w:r>
            <w:r>
              <w:rPr>
                <w:rFonts w:hint="eastAsia" w:cs="Times New Roman"/>
                <w:color w:val="000000"/>
                <w:kern w:val="0"/>
                <w:sz w:val="21"/>
                <w:szCs w:val="21"/>
                <w:highlight w:val="none"/>
                <w:lang w:val="en-US" w:eastAsia="zh-CN" w:bidi="ar-SA"/>
              </w:rPr>
              <w:t>马家沟</w:t>
            </w:r>
            <w:r>
              <w:rPr>
                <w:rFonts w:hint="eastAsia" w:ascii="Times New Roman" w:hAnsi="Times New Roman" w:eastAsia="宋体" w:cs="Times New Roman"/>
                <w:color w:val="000000"/>
                <w:kern w:val="0"/>
                <w:sz w:val="21"/>
                <w:szCs w:val="21"/>
                <w:highlight w:val="none"/>
                <w:lang w:val="en-US" w:eastAsia="zh-CN" w:bidi="ar-SA"/>
              </w:rPr>
              <w:t>河，最终汇入松花江，污水处理站按照相关规定安装自动在线监控装置</w:t>
            </w:r>
          </w:p>
        </w:tc>
        <w:tc>
          <w:tcPr>
            <w:tcW w:w="1032" w:type="dxa"/>
            <w:vAlign w:val="center"/>
          </w:tcPr>
          <w:p w14:paraId="2AA41CAD">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r w14:paraId="6CA9E3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continue"/>
            <w:vAlign w:val="center"/>
          </w:tcPr>
          <w:p w14:paraId="35E91DB9">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1026" w:type="dxa"/>
            <w:vMerge w:val="continue"/>
            <w:vAlign w:val="center"/>
          </w:tcPr>
          <w:p w14:paraId="1C73441A">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637" w:type="dxa"/>
            <w:vMerge w:val="continue"/>
            <w:vAlign w:val="center"/>
          </w:tcPr>
          <w:p w14:paraId="685E24F2">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971" w:type="dxa"/>
            <w:vMerge w:val="continue"/>
            <w:vAlign w:val="center"/>
          </w:tcPr>
          <w:p w14:paraId="53C654D0">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0" w:type="auto"/>
            <w:shd w:val="clear" w:color="auto" w:fill="auto"/>
            <w:vAlign w:val="center"/>
          </w:tcPr>
          <w:p w14:paraId="21137499">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en-US"/>
              </w:rPr>
            </w:pPr>
            <w:r>
              <w:rPr>
                <w:rFonts w:hint="eastAsia"/>
                <w:sz w:val="21"/>
                <w:szCs w:val="21"/>
                <w:highlight w:val="none"/>
                <w:lang w:val="en-US" w:eastAsia="zh-CN"/>
              </w:rPr>
              <w:t>2.新建、扩建“两高”项目应采用先进适用的工艺技术和装备，单位产品物耗、能耗、水耗等达到清洁生产先进水平，依法制定并严格落实防治土壤与地下水污染的措施。严把新上项目碳排放关，新建、改建、扩建煤电、石化、化工、钢铁、有色冶炼、建材等高耗能、高排放项目，要充分论证，确保能耗、物耗、水耗达到清洁生产先进水平</w:t>
            </w:r>
          </w:p>
        </w:tc>
        <w:tc>
          <w:tcPr>
            <w:tcW w:w="0" w:type="auto"/>
            <w:vAlign w:val="center"/>
          </w:tcPr>
          <w:p w14:paraId="30649DFB">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eastAsia"/>
                <w:sz w:val="21"/>
                <w:szCs w:val="21"/>
                <w:highlight w:val="none"/>
                <w:lang w:val="en-US" w:eastAsia="zh-CN"/>
              </w:rPr>
              <w:t>本项目不属于煤电、石化、化工、钢铁、有色冶炼、建材等“两高”项目</w:t>
            </w:r>
          </w:p>
        </w:tc>
        <w:tc>
          <w:tcPr>
            <w:tcW w:w="1032" w:type="dxa"/>
            <w:vAlign w:val="center"/>
          </w:tcPr>
          <w:p w14:paraId="2122833B">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r w14:paraId="551BE9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continue"/>
            <w:vAlign w:val="center"/>
          </w:tcPr>
          <w:p w14:paraId="0187E156">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1026" w:type="dxa"/>
            <w:vMerge w:val="continue"/>
            <w:vAlign w:val="center"/>
          </w:tcPr>
          <w:p w14:paraId="58AB772D">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637" w:type="dxa"/>
            <w:vMerge w:val="continue"/>
            <w:vAlign w:val="center"/>
          </w:tcPr>
          <w:p w14:paraId="49C2FCCF">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971" w:type="dxa"/>
            <w:vMerge w:val="continue"/>
            <w:vAlign w:val="center"/>
          </w:tcPr>
          <w:p w14:paraId="39166FA3">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0" w:type="auto"/>
            <w:shd w:val="clear" w:color="auto" w:fill="auto"/>
            <w:vAlign w:val="center"/>
          </w:tcPr>
          <w:p w14:paraId="25501216">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en-US"/>
              </w:rPr>
            </w:pPr>
            <w:r>
              <w:rPr>
                <w:rFonts w:hint="eastAsia"/>
                <w:sz w:val="21"/>
                <w:szCs w:val="21"/>
                <w:highlight w:val="none"/>
                <w:lang w:val="en-US" w:eastAsia="zh-CN"/>
              </w:rPr>
              <w:t>3.新、改、扩建涉重金属重点行业建设项目必须遵循重点重金属污染物排放“减量置换”或“等量替换”原则</w:t>
            </w:r>
          </w:p>
        </w:tc>
        <w:tc>
          <w:tcPr>
            <w:tcW w:w="0" w:type="auto"/>
            <w:vAlign w:val="center"/>
          </w:tcPr>
          <w:p w14:paraId="15B251EA">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eastAsia"/>
                <w:sz w:val="21"/>
                <w:szCs w:val="21"/>
                <w:highlight w:val="none"/>
                <w:lang w:val="en-US" w:eastAsia="zh-CN"/>
              </w:rPr>
              <w:t>本项目不涉及</w:t>
            </w:r>
          </w:p>
        </w:tc>
        <w:tc>
          <w:tcPr>
            <w:tcW w:w="1032" w:type="dxa"/>
            <w:vAlign w:val="center"/>
          </w:tcPr>
          <w:p w14:paraId="00158BE4">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r w14:paraId="15D33A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continue"/>
            <w:vAlign w:val="center"/>
          </w:tcPr>
          <w:p w14:paraId="7BA31BE0">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1026" w:type="dxa"/>
            <w:vMerge w:val="continue"/>
            <w:vAlign w:val="center"/>
          </w:tcPr>
          <w:p w14:paraId="1A6CDD3A">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637" w:type="dxa"/>
            <w:vMerge w:val="continue"/>
            <w:vAlign w:val="center"/>
          </w:tcPr>
          <w:p w14:paraId="35137A2C">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971" w:type="dxa"/>
            <w:vMerge w:val="continue"/>
            <w:vAlign w:val="center"/>
          </w:tcPr>
          <w:p w14:paraId="63901E82">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0" w:type="auto"/>
            <w:shd w:val="clear" w:color="auto" w:fill="auto"/>
            <w:vAlign w:val="center"/>
          </w:tcPr>
          <w:p w14:paraId="643DFF3E">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en-US"/>
              </w:rPr>
            </w:pPr>
            <w:r>
              <w:rPr>
                <w:rFonts w:hint="eastAsia"/>
                <w:sz w:val="21"/>
                <w:szCs w:val="21"/>
                <w:highlight w:val="none"/>
                <w:lang w:val="en-US" w:eastAsia="zh-CN"/>
              </w:rPr>
              <w:t>4.对于含有毒有害水污染物的工业废水和生活污水混合处理的污水处理厂产生的污泥，不能采用土地利用方式</w:t>
            </w:r>
          </w:p>
        </w:tc>
        <w:tc>
          <w:tcPr>
            <w:tcW w:w="0" w:type="auto"/>
            <w:vAlign w:val="center"/>
          </w:tcPr>
          <w:p w14:paraId="31DC2640">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eastAsia"/>
                <w:sz w:val="21"/>
                <w:szCs w:val="21"/>
                <w:highlight w:val="none"/>
                <w:lang w:val="en-US" w:eastAsia="zh-CN"/>
              </w:rPr>
              <w:t>本项目生产废水</w:t>
            </w:r>
            <w:r>
              <w:rPr>
                <w:rFonts w:hint="eastAsia" w:cs="Times New Roman"/>
                <w:color w:val="000000"/>
                <w:kern w:val="0"/>
                <w:sz w:val="21"/>
                <w:szCs w:val="21"/>
                <w:highlight w:val="none"/>
                <w:lang w:val="en-US" w:eastAsia="zh-CN" w:bidi="ar-SA"/>
              </w:rPr>
              <w:t>依托现有</w:t>
            </w:r>
            <w:r>
              <w:rPr>
                <w:rFonts w:hint="eastAsia" w:ascii="Times New Roman" w:hAnsi="Times New Roman" w:eastAsia="宋体" w:cs="Times New Roman"/>
                <w:color w:val="000000"/>
                <w:kern w:val="0"/>
                <w:sz w:val="21"/>
                <w:szCs w:val="21"/>
                <w:highlight w:val="none"/>
                <w:lang w:val="en-US" w:eastAsia="zh-CN" w:bidi="ar-SA"/>
              </w:rPr>
              <w:t>4号联合厂房内污水处理站处理</w:t>
            </w:r>
            <w:r>
              <w:rPr>
                <w:rFonts w:hint="eastAsia" w:cs="Times New Roman"/>
                <w:color w:val="000000" w:themeColor="text1"/>
                <w:kern w:val="0"/>
                <w:sz w:val="21"/>
                <w:szCs w:val="21"/>
                <w:highlight w:val="none"/>
                <w:lang w:val="en-US" w:eastAsia="zh-CN" w:bidi="ar-SA"/>
              </w:rPr>
              <w:t>，</w:t>
            </w:r>
            <w:r>
              <w:rPr>
                <w:rFonts w:hint="eastAsia"/>
                <w:color w:val="000000" w:themeColor="text1"/>
                <w:sz w:val="21"/>
                <w:szCs w:val="21"/>
                <w:highlight w:val="none"/>
                <w:vertAlign w:val="baseline"/>
                <w:lang w:val="en-US" w:eastAsia="zh-CN"/>
              </w:rPr>
              <w:t>污水处理污泥经密封包装后，暂存于危险废贮存点内，定期委托安达市先锋化工有限公司处置</w:t>
            </w:r>
          </w:p>
        </w:tc>
        <w:tc>
          <w:tcPr>
            <w:tcW w:w="1032" w:type="dxa"/>
            <w:vAlign w:val="center"/>
          </w:tcPr>
          <w:p w14:paraId="1C8B98F8">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r w14:paraId="4108F5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continue"/>
            <w:vAlign w:val="center"/>
          </w:tcPr>
          <w:p w14:paraId="26F9BC05">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1026" w:type="dxa"/>
            <w:vMerge w:val="continue"/>
            <w:vAlign w:val="center"/>
          </w:tcPr>
          <w:p w14:paraId="7B59B005">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637" w:type="dxa"/>
            <w:vMerge w:val="continue"/>
            <w:vAlign w:val="center"/>
          </w:tcPr>
          <w:p w14:paraId="2C5816A1">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971" w:type="dxa"/>
            <w:vMerge w:val="continue"/>
            <w:vAlign w:val="center"/>
          </w:tcPr>
          <w:p w14:paraId="54A9AD5A">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0" w:type="auto"/>
            <w:shd w:val="clear" w:color="auto" w:fill="auto"/>
            <w:vAlign w:val="center"/>
          </w:tcPr>
          <w:p w14:paraId="6E7D31F8">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en-US"/>
              </w:rPr>
            </w:pPr>
            <w:r>
              <w:rPr>
                <w:rFonts w:hint="eastAsia"/>
                <w:sz w:val="21"/>
                <w:szCs w:val="21"/>
                <w:highlight w:val="none"/>
                <w:lang w:val="en-US" w:eastAsia="zh-CN"/>
              </w:rPr>
              <w:t>5.加强消耗臭氧层物质和氢氟碳化物环境管理，加强泡沫、制冷、氟化工等行业治理，逐步淘汰氢氯氟烃使用</w:t>
            </w:r>
          </w:p>
        </w:tc>
        <w:tc>
          <w:tcPr>
            <w:tcW w:w="0" w:type="auto"/>
            <w:vAlign w:val="center"/>
          </w:tcPr>
          <w:p w14:paraId="2807CCED">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eastAsia"/>
                <w:sz w:val="21"/>
                <w:szCs w:val="21"/>
                <w:highlight w:val="none"/>
                <w:lang w:val="en-US" w:eastAsia="zh-CN"/>
              </w:rPr>
              <w:t>本项目不涉及</w:t>
            </w:r>
          </w:p>
        </w:tc>
        <w:tc>
          <w:tcPr>
            <w:tcW w:w="1032" w:type="dxa"/>
            <w:vAlign w:val="center"/>
          </w:tcPr>
          <w:p w14:paraId="139DEDD9">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bl>
    <w:p w14:paraId="6462E694">
      <w:pPr>
        <w:pStyle w:val="7"/>
        <w:bidi w:val="0"/>
        <w:rPr>
          <w:highlight w:val="none"/>
        </w:rPr>
      </w:pPr>
      <w:r>
        <w:rPr>
          <w:rFonts w:hint="eastAsia"/>
          <w:highlight w:val="none"/>
          <w:lang w:val="en-US" w:eastAsia="zh-CN"/>
        </w:rPr>
        <w:t>续</w:t>
      </w:r>
      <w:r>
        <w:rPr>
          <w:highlight w:val="none"/>
        </w:rPr>
        <w:t>表1-4-</w:t>
      </w:r>
      <w:r>
        <w:rPr>
          <w:rFonts w:hint="eastAsia"/>
          <w:highlight w:val="none"/>
          <w:lang w:val="en-US" w:eastAsia="zh-CN"/>
        </w:rPr>
        <w:t>10</w:t>
      </w:r>
      <w:r>
        <w:rPr>
          <w:highlight w:val="none"/>
        </w:rPr>
        <w:t>生态环境准入清单符合性分析</w:t>
      </w:r>
    </w:p>
    <w:tbl>
      <w:tblPr>
        <w:tblStyle w:val="4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08"/>
        <w:gridCol w:w="1026"/>
        <w:gridCol w:w="637"/>
        <w:gridCol w:w="971"/>
        <w:gridCol w:w="5949"/>
        <w:gridCol w:w="3751"/>
        <w:gridCol w:w="1032"/>
      </w:tblGrid>
      <w:tr w14:paraId="213200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restart"/>
            <w:vAlign w:val="center"/>
          </w:tcPr>
          <w:p w14:paraId="0A0E902B">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ZH23010820001</w:t>
            </w:r>
          </w:p>
        </w:tc>
        <w:tc>
          <w:tcPr>
            <w:tcW w:w="1026" w:type="dxa"/>
            <w:vMerge w:val="restart"/>
            <w:vAlign w:val="center"/>
          </w:tcPr>
          <w:p w14:paraId="55C23138">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哈尔滨经济技术开发区</w:t>
            </w:r>
          </w:p>
        </w:tc>
        <w:tc>
          <w:tcPr>
            <w:tcW w:w="637" w:type="dxa"/>
            <w:vMerge w:val="restart"/>
            <w:vAlign w:val="center"/>
          </w:tcPr>
          <w:p w14:paraId="3A98C664">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重点管控单元</w:t>
            </w:r>
          </w:p>
        </w:tc>
        <w:tc>
          <w:tcPr>
            <w:tcW w:w="971" w:type="dxa"/>
            <w:vMerge w:val="restart"/>
            <w:vAlign w:val="center"/>
          </w:tcPr>
          <w:p w14:paraId="39E67CDF">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eastAsia"/>
                <w:sz w:val="21"/>
                <w:szCs w:val="21"/>
                <w:highlight w:val="none"/>
                <w:lang w:val="en-US" w:eastAsia="zh-CN"/>
              </w:rPr>
              <w:t>污染物排放管控</w:t>
            </w:r>
          </w:p>
        </w:tc>
        <w:tc>
          <w:tcPr>
            <w:tcW w:w="0" w:type="auto"/>
            <w:shd w:val="clear" w:color="auto" w:fill="auto"/>
            <w:vAlign w:val="center"/>
          </w:tcPr>
          <w:p w14:paraId="4E8DFCEA">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en-US"/>
              </w:rPr>
            </w:pPr>
            <w:r>
              <w:rPr>
                <w:rFonts w:hint="eastAsia"/>
                <w:sz w:val="21"/>
                <w:szCs w:val="21"/>
                <w:highlight w:val="none"/>
                <w:lang w:val="en-US" w:eastAsia="zh-CN"/>
              </w:rPr>
              <w:t>6.新建煤制烯烃、新建煤制对二甲苯（PX）项目纳入《现代煤化工产业创新发展布局方案》后，由省级政府核准。新建年产超过100万吨的煤制甲醇项目，由省级政府核准</w:t>
            </w:r>
          </w:p>
        </w:tc>
        <w:tc>
          <w:tcPr>
            <w:tcW w:w="0" w:type="auto"/>
            <w:vAlign w:val="center"/>
          </w:tcPr>
          <w:p w14:paraId="2F5DFD98">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eastAsia"/>
                <w:sz w:val="21"/>
                <w:szCs w:val="21"/>
                <w:highlight w:val="none"/>
                <w:lang w:val="en-US" w:eastAsia="zh-CN"/>
              </w:rPr>
              <w:t>本项目不涉及</w:t>
            </w:r>
          </w:p>
        </w:tc>
        <w:tc>
          <w:tcPr>
            <w:tcW w:w="1032" w:type="dxa"/>
            <w:vAlign w:val="center"/>
          </w:tcPr>
          <w:p w14:paraId="75C7016E">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r w14:paraId="6B6079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continue"/>
            <w:vAlign w:val="center"/>
          </w:tcPr>
          <w:p w14:paraId="58A609F6">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1026" w:type="dxa"/>
            <w:vMerge w:val="continue"/>
            <w:vAlign w:val="center"/>
          </w:tcPr>
          <w:p w14:paraId="23F8FA39">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637" w:type="dxa"/>
            <w:vMerge w:val="continue"/>
            <w:vAlign w:val="center"/>
          </w:tcPr>
          <w:p w14:paraId="0F55B25D">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971" w:type="dxa"/>
            <w:vMerge w:val="continue"/>
            <w:vAlign w:val="center"/>
          </w:tcPr>
          <w:p w14:paraId="1B63CC10">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0" w:type="auto"/>
            <w:shd w:val="clear" w:color="auto" w:fill="auto"/>
            <w:vAlign w:val="center"/>
          </w:tcPr>
          <w:p w14:paraId="77866207">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en-US"/>
              </w:rPr>
            </w:pPr>
            <w:r>
              <w:rPr>
                <w:rFonts w:hint="eastAsia"/>
                <w:sz w:val="21"/>
                <w:szCs w:val="21"/>
                <w:highlight w:val="none"/>
                <w:lang w:val="en-US" w:eastAsia="zh-CN"/>
              </w:rPr>
              <w:t>7.各地不得新建、扩建二氟甲烷、1,1,1,2-四氟乙烷、五氟乙烷、1,1,1-三氟乙烷、1.1.1.3.3-五氟丙烷用作制冷剂、发泡剂等受控用途的HFCs化工生产设施（不含副立设施），环境影响报告书（表）已通过审批的除外</w:t>
            </w:r>
          </w:p>
        </w:tc>
        <w:tc>
          <w:tcPr>
            <w:tcW w:w="0" w:type="auto"/>
            <w:vAlign w:val="center"/>
          </w:tcPr>
          <w:p w14:paraId="7203C8AB">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eastAsia"/>
                <w:sz w:val="21"/>
                <w:szCs w:val="21"/>
                <w:highlight w:val="none"/>
                <w:lang w:val="en-US" w:eastAsia="zh-CN"/>
              </w:rPr>
              <w:t>本项目不涉及</w:t>
            </w:r>
          </w:p>
        </w:tc>
        <w:tc>
          <w:tcPr>
            <w:tcW w:w="1032" w:type="dxa"/>
            <w:vAlign w:val="center"/>
          </w:tcPr>
          <w:p w14:paraId="1A560FDA">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r w14:paraId="02781F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continue"/>
            <w:vAlign w:val="center"/>
          </w:tcPr>
          <w:p w14:paraId="79CCB085">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1026" w:type="dxa"/>
            <w:vMerge w:val="continue"/>
            <w:vAlign w:val="center"/>
          </w:tcPr>
          <w:p w14:paraId="08D4D9A2">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637" w:type="dxa"/>
            <w:vMerge w:val="continue"/>
            <w:vAlign w:val="center"/>
          </w:tcPr>
          <w:p w14:paraId="4FAC389F">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971" w:type="dxa"/>
            <w:vMerge w:val="continue"/>
            <w:vAlign w:val="center"/>
          </w:tcPr>
          <w:p w14:paraId="62BAFA9C">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0" w:type="auto"/>
            <w:shd w:val="clear" w:color="auto" w:fill="auto"/>
            <w:vAlign w:val="center"/>
          </w:tcPr>
          <w:p w14:paraId="5C1126CD">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en-US"/>
              </w:rPr>
            </w:pPr>
            <w:r>
              <w:rPr>
                <w:rFonts w:hint="eastAsia" w:ascii="Times New Roman" w:hAnsi="Times New Roman" w:eastAsia="宋体" w:cs="Times New Roman"/>
                <w:color w:val="000000"/>
                <w:kern w:val="0"/>
                <w:sz w:val="21"/>
                <w:szCs w:val="21"/>
                <w:highlight w:val="none"/>
                <w:lang w:val="en-US" w:eastAsia="zh-CN" w:bidi="ar-SA"/>
              </w:rPr>
              <w:t>四、水环境工业污染重点管控区同时执行：</w:t>
            </w:r>
            <w:r>
              <w:rPr>
                <w:rFonts w:hint="eastAsia" w:cs="Times New Roman"/>
                <w:color w:val="000000"/>
                <w:kern w:val="0"/>
                <w:sz w:val="21"/>
                <w:szCs w:val="21"/>
                <w:highlight w:val="none"/>
                <w:lang w:val="en-US" w:eastAsia="zh-CN" w:bidi="ar-SA"/>
              </w:rPr>
              <w:t>1.</w:t>
            </w:r>
            <w:r>
              <w:rPr>
                <w:rFonts w:hint="eastAsia"/>
                <w:sz w:val="21"/>
                <w:szCs w:val="21"/>
                <w:highlight w:val="none"/>
                <w:lang w:val="en-US" w:eastAsia="zh-CN"/>
              </w:rPr>
              <w:t>新建、改建和扩建项目应当优先采用资源利用率高以及污染物产生量少的清洁生产技术、工艺和设备</w:t>
            </w:r>
          </w:p>
        </w:tc>
        <w:tc>
          <w:tcPr>
            <w:tcW w:w="0" w:type="auto"/>
            <w:vAlign w:val="center"/>
          </w:tcPr>
          <w:p w14:paraId="3F8D7D12">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eastAsia"/>
                <w:spacing w:val="5"/>
                <w:sz w:val="21"/>
                <w:szCs w:val="21"/>
                <w:highlight w:val="none"/>
                <w:lang w:val="en-US" w:eastAsia="zh-CN"/>
              </w:rPr>
              <w:t>本项目资源利用效率高，污染物产生量少，生产技术、工艺、设备领先国内清洁生产水平</w:t>
            </w:r>
          </w:p>
        </w:tc>
        <w:tc>
          <w:tcPr>
            <w:tcW w:w="1032" w:type="dxa"/>
            <w:vAlign w:val="center"/>
          </w:tcPr>
          <w:p w14:paraId="18AEBFD8">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r w14:paraId="21CFBE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continue"/>
            <w:vAlign w:val="center"/>
          </w:tcPr>
          <w:p w14:paraId="4DC2ADC8">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1026" w:type="dxa"/>
            <w:vMerge w:val="continue"/>
            <w:vAlign w:val="center"/>
          </w:tcPr>
          <w:p w14:paraId="65D92555">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637" w:type="dxa"/>
            <w:vMerge w:val="continue"/>
            <w:vAlign w:val="center"/>
          </w:tcPr>
          <w:p w14:paraId="3D6E4CD1">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971" w:type="dxa"/>
            <w:vMerge w:val="continue"/>
            <w:vAlign w:val="center"/>
          </w:tcPr>
          <w:p w14:paraId="20161A63">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0" w:type="auto"/>
            <w:shd w:val="clear" w:color="auto" w:fill="auto"/>
            <w:vAlign w:val="center"/>
          </w:tcPr>
          <w:p w14:paraId="281FFECC">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en-US"/>
              </w:rPr>
            </w:pPr>
            <w:r>
              <w:rPr>
                <w:rFonts w:hint="eastAsia"/>
                <w:sz w:val="21"/>
                <w:szCs w:val="21"/>
                <w:highlight w:val="none"/>
                <w:lang w:val="en-US" w:eastAsia="zh-CN"/>
              </w:rPr>
              <w:t>2.集中治理工业集聚区内工业废水，区内工业废水必须经预处理达到集中处理要求后，方可进入污水集中处理设施。新建、升级工业集聚区应同步规划和建设污水、垃圾集中处理等污染治理设施</w:t>
            </w:r>
          </w:p>
        </w:tc>
        <w:tc>
          <w:tcPr>
            <w:tcW w:w="0" w:type="auto"/>
            <w:vAlign w:val="center"/>
          </w:tcPr>
          <w:p w14:paraId="05113BB1">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eastAsia" w:ascii="Times New Roman" w:hAnsi="Times New Roman" w:eastAsia="宋体" w:cs="Times New Roman"/>
                <w:color w:val="000000"/>
                <w:kern w:val="0"/>
                <w:sz w:val="21"/>
                <w:szCs w:val="21"/>
                <w:highlight w:val="none"/>
                <w:lang w:val="en-US" w:eastAsia="zh-CN" w:bidi="ar-SA"/>
              </w:rPr>
              <w:t>本项目生产废水</w:t>
            </w:r>
            <w:r>
              <w:rPr>
                <w:rFonts w:hint="eastAsia" w:cs="Times New Roman"/>
                <w:color w:val="000000"/>
                <w:kern w:val="0"/>
                <w:sz w:val="21"/>
                <w:szCs w:val="21"/>
                <w:highlight w:val="none"/>
                <w:lang w:val="en-US" w:eastAsia="zh-CN" w:bidi="ar-SA"/>
              </w:rPr>
              <w:t>依托现有</w:t>
            </w:r>
            <w:r>
              <w:rPr>
                <w:rFonts w:hint="eastAsia" w:ascii="Times New Roman" w:hAnsi="Times New Roman" w:eastAsia="宋体" w:cs="Times New Roman"/>
                <w:color w:val="000000"/>
                <w:kern w:val="0"/>
                <w:sz w:val="21"/>
                <w:szCs w:val="21"/>
                <w:highlight w:val="none"/>
                <w:lang w:val="en-US" w:eastAsia="zh-CN" w:bidi="ar-SA"/>
              </w:rPr>
              <w:t>4号联合厂房内污水处理站处理，处理达标后排入</w:t>
            </w:r>
            <w:r>
              <w:rPr>
                <w:rFonts w:hint="eastAsia" w:cs="Times New Roman"/>
                <w:color w:val="000000"/>
                <w:kern w:val="0"/>
                <w:sz w:val="21"/>
                <w:szCs w:val="21"/>
                <w:highlight w:val="none"/>
                <w:lang w:val="en-US" w:eastAsia="zh-CN" w:bidi="ar-SA"/>
              </w:rPr>
              <w:t>哈尔滨市朝阳水质净化厂</w:t>
            </w:r>
            <w:r>
              <w:rPr>
                <w:rFonts w:hint="eastAsia" w:ascii="Times New Roman" w:hAnsi="Times New Roman" w:eastAsia="宋体" w:cs="Times New Roman"/>
                <w:color w:val="000000"/>
                <w:kern w:val="0"/>
                <w:sz w:val="21"/>
                <w:szCs w:val="21"/>
                <w:highlight w:val="none"/>
                <w:lang w:val="en-US" w:eastAsia="zh-CN" w:bidi="ar-SA"/>
              </w:rPr>
              <w:t>，处理达标后排入</w:t>
            </w:r>
            <w:r>
              <w:rPr>
                <w:rFonts w:hint="eastAsia" w:cs="Times New Roman"/>
                <w:color w:val="000000"/>
                <w:kern w:val="0"/>
                <w:sz w:val="21"/>
                <w:szCs w:val="21"/>
                <w:highlight w:val="none"/>
                <w:lang w:val="en-US" w:eastAsia="zh-CN" w:bidi="ar-SA"/>
              </w:rPr>
              <w:t>马家沟</w:t>
            </w:r>
            <w:r>
              <w:rPr>
                <w:rFonts w:hint="eastAsia" w:ascii="Times New Roman" w:hAnsi="Times New Roman" w:eastAsia="宋体" w:cs="Times New Roman"/>
                <w:color w:val="000000"/>
                <w:kern w:val="0"/>
                <w:sz w:val="21"/>
                <w:szCs w:val="21"/>
                <w:highlight w:val="none"/>
                <w:lang w:val="en-US" w:eastAsia="zh-CN" w:bidi="ar-SA"/>
              </w:rPr>
              <w:t>河，最终汇入松花江</w:t>
            </w:r>
          </w:p>
        </w:tc>
        <w:tc>
          <w:tcPr>
            <w:tcW w:w="1032" w:type="dxa"/>
            <w:vAlign w:val="center"/>
          </w:tcPr>
          <w:p w14:paraId="616E2834">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r w14:paraId="3D9E6E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continue"/>
            <w:vAlign w:val="center"/>
          </w:tcPr>
          <w:p w14:paraId="2F5D9C48">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1026" w:type="dxa"/>
            <w:vMerge w:val="continue"/>
            <w:vAlign w:val="center"/>
          </w:tcPr>
          <w:p w14:paraId="3BC58AFB">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637" w:type="dxa"/>
            <w:vMerge w:val="continue"/>
            <w:vAlign w:val="center"/>
          </w:tcPr>
          <w:p w14:paraId="7B1BD560">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971" w:type="dxa"/>
            <w:vMerge w:val="continue"/>
            <w:vAlign w:val="center"/>
          </w:tcPr>
          <w:p w14:paraId="28ABD6C5">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0" w:type="auto"/>
            <w:shd w:val="clear" w:color="auto" w:fill="auto"/>
            <w:vAlign w:val="center"/>
          </w:tcPr>
          <w:p w14:paraId="226DEEBE">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en-US"/>
              </w:rPr>
            </w:pPr>
            <w:r>
              <w:rPr>
                <w:rFonts w:hint="eastAsia" w:ascii="宋体" w:hAnsi="宋体" w:eastAsia="宋体" w:cs="宋体"/>
                <w:color w:val="000000"/>
                <w:kern w:val="0"/>
                <w:sz w:val="21"/>
                <w:szCs w:val="21"/>
                <w:highlight w:val="none"/>
                <w:lang w:val="en-US" w:eastAsia="zh-CN" w:bidi="ar"/>
              </w:rPr>
              <w:t>五、大气环境布局敏感重点管控区同时执行</w:t>
            </w:r>
            <w:r>
              <w:rPr>
                <w:rFonts w:hint="eastAsia" w:ascii="宋体" w:hAnsi="宋体" w:cs="宋体"/>
                <w:color w:val="000000"/>
                <w:kern w:val="0"/>
                <w:sz w:val="21"/>
                <w:szCs w:val="21"/>
                <w:highlight w:val="none"/>
                <w:lang w:val="en-US" w:eastAsia="zh-CN" w:bidi="ar"/>
              </w:rPr>
              <w:t>：1.</w:t>
            </w:r>
            <w:r>
              <w:rPr>
                <w:rFonts w:hint="eastAsia"/>
                <w:sz w:val="21"/>
                <w:szCs w:val="21"/>
                <w:highlight w:val="none"/>
                <w:lang w:val="en-US" w:eastAsia="zh-CN"/>
              </w:rPr>
              <w:t>对以煤、石焦油、渣油、重油等为燃料的锅炉和工业炉窑，加快使用清洁低碳能源以及工厂余热、电力热力等进行替代</w:t>
            </w:r>
          </w:p>
        </w:tc>
        <w:tc>
          <w:tcPr>
            <w:tcW w:w="0" w:type="auto"/>
            <w:vAlign w:val="center"/>
          </w:tcPr>
          <w:p w14:paraId="4BBAD220">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eastAsia"/>
                <w:sz w:val="21"/>
                <w:szCs w:val="21"/>
                <w:highlight w:val="none"/>
                <w:lang w:val="en-US" w:eastAsia="zh-CN"/>
              </w:rPr>
              <w:t>本项目不涉及锅炉及工业炉窑</w:t>
            </w:r>
          </w:p>
        </w:tc>
        <w:tc>
          <w:tcPr>
            <w:tcW w:w="1032" w:type="dxa"/>
            <w:vAlign w:val="center"/>
          </w:tcPr>
          <w:p w14:paraId="5ACA42A1">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r w14:paraId="1ED19A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continue"/>
            <w:vAlign w:val="center"/>
          </w:tcPr>
          <w:p w14:paraId="234DAD58">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1026" w:type="dxa"/>
            <w:vMerge w:val="continue"/>
            <w:vAlign w:val="center"/>
          </w:tcPr>
          <w:p w14:paraId="76393DF2">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637" w:type="dxa"/>
            <w:vMerge w:val="continue"/>
            <w:vAlign w:val="center"/>
          </w:tcPr>
          <w:p w14:paraId="4E65FDB9">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971" w:type="dxa"/>
            <w:vMerge w:val="continue"/>
            <w:vAlign w:val="center"/>
          </w:tcPr>
          <w:p w14:paraId="66B81505">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0" w:type="auto"/>
            <w:shd w:val="clear" w:color="auto" w:fill="auto"/>
            <w:vAlign w:val="center"/>
          </w:tcPr>
          <w:p w14:paraId="0F06C425">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en-US"/>
              </w:rPr>
            </w:pPr>
            <w:r>
              <w:rPr>
                <w:rFonts w:hint="eastAsia"/>
                <w:sz w:val="21"/>
                <w:szCs w:val="21"/>
                <w:highlight w:val="none"/>
                <w:lang w:val="en-US" w:eastAsia="zh-CN"/>
              </w:rPr>
              <w:t>2.到2025年，在用65蒸吨/小时以上的燃煤锅炉（含电力）实现超低排放，钢铁企业基本实现超低排放</w:t>
            </w:r>
          </w:p>
        </w:tc>
        <w:tc>
          <w:tcPr>
            <w:tcW w:w="0" w:type="auto"/>
            <w:vAlign w:val="center"/>
          </w:tcPr>
          <w:p w14:paraId="204B353D">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eastAsia"/>
                <w:sz w:val="21"/>
                <w:szCs w:val="21"/>
                <w:highlight w:val="none"/>
                <w:lang w:val="en-US" w:eastAsia="zh-CN"/>
              </w:rPr>
              <w:t>本项目不涉及锅炉</w:t>
            </w:r>
          </w:p>
        </w:tc>
        <w:tc>
          <w:tcPr>
            <w:tcW w:w="1032" w:type="dxa"/>
            <w:vAlign w:val="center"/>
          </w:tcPr>
          <w:p w14:paraId="1E642CE5">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r w14:paraId="5718E9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808" w:type="dxa"/>
            <w:vMerge w:val="continue"/>
            <w:vAlign w:val="center"/>
          </w:tcPr>
          <w:p w14:paraId="6A58BFDE">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1026" w:type="dxa"/>
            <w:vMerge w:val="continue"/>
            <w:vAlign w:val="center"/>
          </w:tcPr>
          <w:p w14:paraId="60EA86E9">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637" w:type="dxa"/>
            <w:vMerge w:val="continue"/>
            <w:vAlign w:val="center"/>
          </w:tcPr>
          <w:p w14:paraId="005BC6C5">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971" w:type="dxa"/>
            <w:vMerge w:val="restart"/>
            <w:vAlign w:val="center"/>
          </w:tcPr>
          <w:p w14:paraId="7486CD5A">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zh-CN"/>
              </w:rPr>
            </w:pPr>
            <w:r>
              <w:rPr>
                <w:rFonts w:hint="eastAsia"/>
                <w:sz w:val="21"/>
                <w:szCs w:val="21"/>
                <w:highlight w:val="none"/>
                <w:lang w:val="en-US" w:eastAsia="zh-CN"/>
              </w:rPr>
              <w:t>环境风险防控</w:t>
            </w:r>
          </w:p>
        </w:tc>
        <w:tc>
          <w:tcPr>
            <w:tcW w:w="0" w:type="auto"/>
            <w:shd w:val="clear" w:color="auto" w:fill="auto"/>
            <w:vAlign w:val="center"/>
          </w:tcPr>
          <w:p w14:paraId="7D2BA5D6">
            <w:pPr>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w:t>
            </w:r>
            <w:r>
              <w:rPr>
                <w:rFonts w:hint="eastAsia" w:ascii="宋体" w:hAnsi="宋体" w:eastAsia="宋体" w:cs="宋体"/>
                <w:color w:val="000000"/>
                <w:kern w:val="0"/>
                <w:sz w:val="21"/>
                <w:szCs w:val="21"/>
                <w:highlight w:val="none"/>
                <w:lang w:val="en-US" w:eastAsia="zh-CN" w:bidi="ar"/>
              </w:rPr>
              <w:t>规划区的主要环境风险问题是物料泄漏及事故废水外排的环境风险问题。</w:t>
            </w:r>
          </w:p>
        </w:tc>
        <w:tc>
          <w:tcPr>
            <w:tcW w:w="3751" w:type="dxa"/>
            <w:vMerge w:val="restart"/>
            <w:vAlign w:val="center"/>
          </w:tcPr>
          <w:p w14:paraId="7273F338">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default" w:hAnsiTheme="minorEastAsia" w:eastAsiaTheme="minorEastAsia"/>
                <w:highlight w:val="none"/>
              </w:rPr>
              <w:t>本项目在</w:t>
            </w:r>
            <w:r>
              <w:rPr>
                <w:rFonts w:hint="default" w:hAnsiTheme="minorEastAsia" w:eastAsiaTheme="minorEastAsia"/>
                <w:kern w:val="0"/>
                <w:szCs w:val="21"/>
                <w:highlight w:val="none"/>
              </w:rPr>
              <w:t>总图布置和建筑安全、危险化学品贮存安全，自动控制设计安全，电气、电讯安全，消防及火灾报警系统，采取措施</w:t>
            </w:r>
            <w:r>
              <w:rPr>
                <w:rFonts w:hint="default" w:hAnsiTheme="minorEastAsia" w:eastAsiaTheme="minorEastAsia"/>
                <w:highlight w:val="none"/>
              </w:rPr>
              <w:t>加强环境风险防范</w:t>
            </w:r>
          </w:p>
        </w:tc>
        <w:tc>
          <w:tcPr>
            <w:tcW w:w="1032" w:type="dxa"/>
            <w:vAlign w:val="center"/>
          </w:tcPr>
          <w:p w14:paraId="63625180">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r w14:paraId="31B9D9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continue"/>
            <w:vAlign w:val="center"/>
          </w:tcPr>
          <w:p w14:paraId="4906761E">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1026" w:type="dxa"/>
            <w:vMerge w:val="continue"/>
            <w:vAlign w:val="center"/>
          </w:tcPr>
          <w:p w14:paraId="50DED556">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637" w:type="dxa"/>
            <w:vMerge w:val="continue"/>
            <w:vAlign w:val="center"/>
          </w:tcPr>
          <w:p w14:paraId="0FB32265">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971" w:type="dxa"/>
            <w:vMerge w:val="continue"/>
            <w:vAlign w:val="center"/>
          </w:tcPr>
          <w:p w14:paraId="77693C4F">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0" w:type="auto"/>
            <w:shd w:val="clear" w:color="auto" w:fill="auto"/>
            <w:vAlign w:val="center"/>
          </w:tcPr>
          <w:p w14:paraId="79CBFC5D">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en-US"/>
              </w:rPr>
            </w:pPr>
            <w:r>
              <w:rPr>
                <w:rFonts w:hint="eastAsia"/>
                <w:sz w:val="21"/>
                <w:szCs w:val="21"/>
                <w:highlight w:val="none"/>
                <w:lang w:val="en-US" w:eastAsia="zh-CN"/>
              </w:rPr>
              <w:t>2.园区应当在选址、总图布置和建筑安全，危险化学品贮存安全，自动控制设计安全，电气、电讯安全，消防及火灾报警系统，人员培训等方面构建企业环境风险防范体系及具体措施</w:t>
            </w:r>
          </w:p>
        </w:tc>
        <w:tc>
          <w:tcPr>
            <w:tcW w:w="3751" w:type="dxa"/>
            <w:vMerge w:val="continue"/>
            <w:vAlign w:val="center"/>
          </w:tcPr>
          <w:p w14:paraId="690FD982">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1032" w:type="dxa"/>
            <w:vAlign w:val="center"/>
          </w:tcPr>
          <w:p w14:paraId="75C4BBAB">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r w14:paraId="731818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8" w:type="dxa"/>
            <w:vMerge w:val="continue"/>
            <w:vAlign w:val="center"/>
          </w:tcPr>
          <w:p w14:paraId="516429DF">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1026" w:type="dxa"/>
            <w:vMerge w:val="continue"/>
            <w:vAlign w:val="center"/>
          </w:tcPr>
          <w:p w14:paraId="0904DF49">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637" w:type="dxa"/>
            <w:vMerge w:val="continue"/>
            <w:vAlign w:val="center"/>
          </w:tcPr>
          <w:p w14:paraId="1206D599">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971" w:type="dxa"/>
            <w:vMerge w:val="continue"/>
            <w:vAlign w:val="center"/>
          </w:tcPr>
          <w:p w14:paraId="2AD57058">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0" w:type="auto"/>
            <w:shd w:val="clear" w:color="auto" w:fill="auto"/>
            <w:vAlign w:val="center"/>
          </w:tcPr>
          <w:p w14:paraId="7568BC1E">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en-US"/>
              </w:rPr>
            </w:pPr>
            <w:r>
              <w:rPr>
                <w:rFonts w:hint="eastAsia"/>
                <w:sz w:val="21"/>
                <w:szCs w:val="21"/>
                <w:highlight w:val="none"/>
                <w:lang w:val="en-US" w:eastAsia="zh-CN"/>
              </w:rPr>
              <w:t>3.在居住和工业企业混住区域，应加强环境风险防控</w:t>
            </w:r>
          </w:p>
        </w:tc>
        <w:tc>
          <w:tcPr>
            <w:tcW w:w="0" w:type="auto"/>
            <w:vAlign w:val="center"/>
          </w:tcPr>
          <w:p w14:paraId="2BBE723C">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default"/>
                <w:spacing w:val="17"/>
                <w:sz w:val="21"/>
                <w:szCs w:val="21"/>
                <w:highlight w:val="none"/>
              </w:rPr>
              <w:t>本项目已要求建设单位编制突发环境事</w:t>
            </w:r>
            <w:r>
              <w:rPr>
                <w:rFonts w:hint="default"/>
                <w:spacing w:val="8"/>
                <w:sz w:val="21"/>
                <w:szCs w:val="21"/>
                <w:highlight w:val="none"/>
              </w:rPr>
              <w:t>件应急预案</w:t>
            </w:r>
          </w:p>
        </w:tc>
        <w:tc>
          <w:tcPr>
            <w:tcW w:w="1032" w:type="dxa"/>
            <w:vAlign w:val="center"/>
          </w:tcPr>
          <w:p w14:paraId="62589EEC">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bl>
    <w:p w14:paraId="3976FFC0">
      <w:pPr>
        <w:rPr>
          <w:highlight w:val="none"/>
        </w:rPr>
      </w:pPr>
    </w:p>
    <w:p w14:paraId="27E82FDB">
      <w:pPr>
        <w:pStyle w:val="7"/>
        <w:bidi w:val="0"/>
        <w:rPr>
          <w:highlight w:val="none"/>
        </w:rPr>
      </w:pPr>
      <w:r>
        <w:rPr>
          <w:rFonts w:hint="eastAsia"/>
          <w:highlight w:val="none"/>
          <w:lang w:val="en-US" w:eastAsia="zh-CN"/>
        </w:rPr>
        <w:t>续</w:t>
      </w:r>
      <w:r>
        <w:rPr>
          <w:highlight w:val="none"/>
        </w:rPr>
        <w:t>表1-4-</w:t>
      </w:r>
      <w:r>
        <w:rPr>
          <w:rFonts w:hint="eastAsia"/>
          <w:highlight w:val="none"/>
          <w:lang w:val="en-US" w:eastAsia="zh-CN"/>
        </w:rPr>
        <w:t>10</w:t>
      </w:r>
      <w:r>
        <w:rPr>
          <w:highlight w:val="none"/>
        </w:rPr>
        <w:t>生态环境准入清单符合性分析</w:t>
      </w:r>
    </w:p>
    <w:tbl>
      <w:tblPr>
        <w:tblStyle w:val="4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08"/>
        <w:gridCol w:w="1026"/>
        <w:gridCol w:w="637"/>
        <w:gridCol w:w="971"/>
        <w:gridCol w:w="5949"/>
        <w:gridCol w:w="3751"/>
        <w:gridCol w:w="1032"/>
      </w:tblGrid>
      <w:tr w14:paraId="6BA889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Merge w:val="restart"/>
            <w:shd w:val="clear" w:color="auto" w:fill="auto"/>
            <w:vAlign w:val="center"/>
          </w:tcPr>
          <w:p w14:paraId="7CB12395">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000000"/>
                <w:kern w:val="0"/>
                <w:sz w:val="21"/>
                <w:szCs w:val="21"/>
                <w:highlight w:val="none"/>
                <w:lang w:val="en-US" w:eastAsia="zh-CN" w:bidi="ar-SA"/>
              </w:rPr>
            </w:pPr>
            <w:r>
              <w:rPr>
                <w:rFonts w:hint="eastAsia"/>
                <w:sz w:val="21"/>
                <w:szCs w:val="21"/>
                <w:highlight w:val="none"/>
                <w:lang w:val="en-US" w:eastAsia="zh-CN"/>
              </w:rPr>
              <w:t>ZH23010820001</w:t>
            </w:r>
          </w:p>
        </w:tc>
        <w:tc>
          <w:tcPr>
            <w:tcW w:w="0" w:type="auto"/>
            <w:vMerge w:val="restart"/>
            <w:shd w:val="clear" w:color="auto" w:fill="auto"/>
            <w:vAlign w:val="center"/>
          </w:tcPr>
          <w:p w14:paraId="206F0A12">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000000"/>
                <w:kern w:val="0"/>
                <w:sz w:val="21"/>
                <w:szCs w:val="21"/>
                <w:highlight w:val="none"/>
                <w:lang w:val="en-US" w:eastAsia="zh-CN" w:bidi="ar-SA"/>
              </w:rPr>
            </w:pPr>
            <w:r>
              <w:rPr>
                <w:rFonts w:hint="eastAsia"/>
                <w:sz w:val="21"/>
                <w:szCs w:val="21"/>
                <w:highlight w:val="none"/>
                <w:lang w:val="en-US" w:eastAsia="zh-CN"/>
              </w:rPr>
              <w:t>哈尔滨经济技术开发区</w:t>
            </w:r>
          </w:p>
        </w:tc>
        <w:tc>
          <w:tcPr>
            <w:tcW w:w="0" w:type="auto"/>
            <w:vMerge w:val="restart"/>
            <w:shd w:val="clear" w:color="auto" w:fill="auto"/>
            <w:vAlign w:val="center"/>
          </w:tcPr>
          <w:p w14:paraId="37E7E74A">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000000"/>
                <w:kern w:val="0"/>
                <w:sz w:val="21"/>
                <w:szCs w:val="21"/>
                <w:highlight w:val="none"/>
                <w:lang w:val="en-US" w:eastAsia="zh-CN" w:bidi="ar-SA"/>
              </w:rPr>
            </w:pPr>
            <w:r>
              <w:rPr>
                <w:rFonts w:hint="default"/>
                <w:sz w:val="21"/>
                <w:szCs w:val="21"/>
                <w:highlight w:val="none"/>
                <w:lang w:val="en-US" w:eastAsia="zh-CN"/>
              </w:rPr>
              <w:t>重点管控单元</w:t>
            </w:r>
          </w:p>
        </w:tc>
        <w:tc>
          <w:tcPr>
            <w:tcW w:w="0" w:type="auto"/>
            <w:vMerge w:val="restart"/>
            <w:vAlign w:val="center"/>
          </w:tcPr>
          <w:p w14:paraId="1F5F0AAE">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eastAsia"/>
                <w:sz w:val="21"/>
                <w:szCs w:val="21"/>
                <w:highlight w:val="none"/>
                <w:lang w:val="en-US" w:eastAsia="zh-CN"/>
              </w:rPr>
              <w:t>环境风险防控</w:t>
            </w:r>
          </w:p>
        </w:tc>
        <w:tc>
          <w:tcPr>
            <w:tcW w:w="0" w:type="auto"/>
            <w:shd w:val="clear" w:color="auto" w:fill="auto"/>
            <w:vAlign w:val="center"/>
          </w:tcPr>
          <w:p w14:paraId="58584285">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en-US"/>
              </w:rPr>
            </w:pPr>
            <w:r>
              <w:rPr>
                <w:rFonts w:hint="eastAsia"/>
                <w:sz w:val="21"/>
                <w:szCs w:val="21"/>
                <w:highlight w:val="none"/>
                <w:lang w:val="en-US" w:eastAsia="zh-CN"/>
              </w:rPr>
              <w:t>4.执行要求：加强环境应急预案管理和风险预警。园区及园区内企业应当结合经营性质、规模、组织体系，建立健全环境应急预案体系，并强化企业、园区以及上级政府环境应急预案之间的衔接。加强环境应急预案演练、评估与修订。园区管理机构应当组织建设有毒有害气体环境风险预警体系，建设园区环境风险防范设施</w:t>
            </w:r>
          </w:p>
        </w:tc>
        <w:tc>
          <w:tcPr>
            <w:tcW w:w="0" w:type="auto"/>
            <w:vAlign w:val="center"/>
          </w:tcPr>
          <w:p w14:paraId="3380CA6E">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default"/>
                <w:spacing w:val="17"/>
                <w:sz w:val="21"/>
                <w:szCs w:val="21"/>
                <w:highlight w:val="none"/>
              </w:rPr>
              <w:t>本项目已要求建设单位编制突发环境事</w:t>
            </w:r>
            <w:r>
              <w:rPr>
                <w:rFonts w:hint="default"/>
                <w:spacing w:val="8"/>
                <w:sz w:val="21"/>
                <w:szCs w:val="21"/>
                <w:highlight w:val="none"/>
              </w:rPr>
              <w:t>件应急预案</w:t>
            </w:r>
          </w:p>
        </w:tc>
        <w:tc>
          <w:tcPr>
            <w:tcW w:w="1032" w:type="dxa"/>
            <w:vAlign w:val="center"/>
          </w:tcPr>
          <w:p w14:paraId="6DFB17B2">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r w14:paraId="72CE8A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Merge w:val="continue"/>
            <w:vAlign w:val="center"/>
          </w:tcPr>
          <w:p w14:paraId="0307D9FC">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0" w:type="auto"/>
            <w:vMerge w:val="continue"/>
            <w:vAlign w:val="center"/>
          </w:tcPr>
          <w:p w14:paraId="15111340">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0" w:type="auto"/>
            <w:vMerge w:val="continue"/>
            <w:vAlign w:val="center"/>
          </w:tcPr>
          <w:p w14:paraId="50DADE4D">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0" w:type="auto"/>
            <w:vMerge w:val="continue"/>
            <w:vAlign w:val="center"/>
          </w:tcPr>
          <w:p w14:paraId="5DDC1808">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0" w:type="auto"/>
            <w:shd w:val="clear" w:color="auto" w:fill="auto"/>
            <w:vAlign w:val="center"/>
          </w:tcPr>
          <w:p w14:paraId="76AE340D">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en-US"/>
              </w:rPr>
            </w:pPr>
            <w:r>
              <w:rPr>
                <w:rFonts w:hint="eastAsia"/>
                <w:sz w:val="21"/>
                <w:szCs w:val="21"/>
                <w:highlight w:val="none"/>
                <w:lang w:val="en-US" w:eastAsia="zh-CN"/>
              </w:rPr>
              <w:t>5.</w:t>
            </w:r>
            <w:r>
              <w:rPr>
                <w:rFonts w:hint="eastAsia" w:ascii="Times New Roman" w:hAnsi="Times New Roman" w:eastAsia="宋体" w:cs="Times New Roman"/>
                <w:color w:val="000000"/>
                <w:kern w:val="0"/>
                <w:sz w:val="21"/>
                <w:szCs w:val="21"/>
                <w:highlight w:val="none"/>
                <w:lang w:val="en-US" w:eastAsia="zh-CN" w:bidi="ar-SA"/>
              </w:rPr>
              <w:t>水环境工业污染重点管控区同时执行：</w:t>
            </w:r>
            <w:r>
              <w:rPr>
                <w:rFonts w:hint="eastAsia"/>
                <w:sz w:val="21"/>
                <w:szCs w:val="21"/>
                <w:highlight w:val="none"/>
                <w:lang w:val="en-US" w:eastAsia="zh-CN"/>
              </w:rPr>
              <w:t>排放《有毒有害水污染物名录》所列有毒有害水污染物的企业事业单位和其他生产经营者，应当对排污口和周边环境进行监测，评估环境风险，排查环境安全隐患，并公开有毒有害水污染物信息，采取有效措施防范环境风险</w:t>
            </w:r>
          </w:p>
        </w:tc>
        <w:tc>
          <w:tcPr>
            <w:tcW w:w="0" w:type="auto"/>
            <w:vAlign w:val="center"/>
          </w:tcPr>
          <w:p w14:paraId="41ABA4AE">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eastAsia"/>
                <w:sz w:val="21"/>
                <w:szCs w:val="21"/>
                <w:highlight w:val="none"/>
                <w:lang w:val="en-US" w:eastAsia="zh-CN"/>
              </w:rPr>
              <w:t>本项目不排放《有毒有害水污染物名录》所列有毒有害水污染物</w:t>
            </w:r>
          </w:p>
        </w:tc>
        <w:tc>
          <w:tcPr>
            <w:tcW w:w="1032" w:type="dxa"/>
            <w:vAlign w:val="center"/>
          </w:tcPr>
          <w:p w14:paraId="30EE0BA4">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r w14:paraId="2513F1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Merge w:val="continue"/>
            <w:vAlign w:val="center"/>
          </w:tcPr>
          <w:p w14:paraId="6C8F4C38">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0" w:type="auto"/>
            <w:vMerge w:val="continue"/>
            <w:vAlign w:val="center"/>
          </w:tcPr>
          <w:p w14:paraId="05F6C2FF">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0" w:type="auto"/>
            <w:vMerge w:val="continue"/>
            <w:vAlign w:val="center"/>
          </w:tcPr>
          <w:p w14:paraId="272F7791">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0" w:type="auto"/>
            <w:vMerge w:val="continue"/>
            <w:vAlign w:val="center"/>
          </w:tcPr>
          <w:p w14:paraId="7A6075B9">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0" w:type="auto"/>
            <w:shd w:val="clear" w:color="auto" w:fill="auto"/>
            <w:vAlign w:val="center"/>
          </w:tcPr>
          <w:p w14:paraId="3A18FB83">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en-US"/>
              </w:rPr>
            </w:pPr>
            <w:r>
              <w:rPr>
                <w:rFonts w:hint="eastAsia"/>
                <w:sz w:val="21"/>
                <w:szCs w:val="21"/>
                <w:highlight w:val="none"/>
                <w:lang w:val="en-US" w:eastAsia="zh-CN"/>
              </w:rPr>
              <w:t>6.</w:t>
            </w:r>
            <w:r>
              <w:rPr>
                <w:rFonts w:hint="eastAsia" w:ascii="宋体" w:hAnsi="宋体" w:eastAsia="宋体" w:cs="宋体"/>
                <w:color w:val="000000"/>
                <w:kern w:val="0"/>
                <w:sz w:val="21"/>
                <w:szCs w:val="21"/>
                <w:highlight w:val="none"/>
                <w:lang w:val="en-US" w:eastAsia="zh-CN" w:bidi="ar"/>
              </w:rPr>
              <w:t>大气环境布局敏感重点管控区同时执行</w:t>
            </w:r>
            <w:r>
              <w:rPr>
                <w:rFonts w:hint="eastAsia" w:ascii="宋体" w:hAnsi="宋体" w:cs="宋体"/>
                <w:color w:val="000000"/>
                <w:kern w:val="0"/>
                <w:sz w:val="21"/>
                <w:szCs w:val="21"/>
                <w:highlight w:val="none"/>
                <w:lang w:val="en-US" w:eastAsia="zh-CN" w:bidi="ar"/>
              </w:rPr>
              <w:t>：</w:t>
            </w:r>
            <w:r>
              <w:rPr>
                <w:rFonts w:hint="eastAsia"/>
                <w:sz w:val="21"/>
                <w:szCs w:val="21"/>
                <w:highlight w:val="none"/>
                <w:lang w:val="en-US" w:eastAsia="zh-CN"/>
              </w:rPr>
              <w:t>禁止在居民区、学校、医疗和养老机构等周边新建有色金属冶炼、焦化等行业企业</w:t>
            </w:r>
          </w:p>
        </w:tc>
        <w:tc>
          <w:tcPr>
            <w:tcW w:w="0" w:type="auto"/>
            <w:vAlign w:val="center"/>
          </w:tcPr>
          <w:p w14:paraId="11ECD2EC">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eastAsia"/>
                <w:sz w:val="21"/>
                <w:szCs w:val="21"/>
                <w:highlight w:val="none"/>
                <w:lang w:val="en-US" w:eastAsia="zh-CN"/>
              </w:rPr>
              <w:t>本项目不涉及上述行业</w:t>
            </w:r>
          </w:p>
        </w:tc>
        <w:tc>
          <w:tcPr>
            <w:tcW w:w="1032" w:type="dxa"/>
            <w:vAlign w:val="center"/>
          </w:tcPr>
          <w:p w14:paraId="7C369C7F">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r w14:paraId="2EBE87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Merge w:val="continue"/>
            <w:vAlign w:val="center"/>
          </w:tcPr>
          <w:p w14:paraId="3BB57A3C">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0" w:type="auto"/>
            <w:vMerge w:val="continue"/>
            <w:vAlign w:val="center"/>
          </w:tcPr>
          <w:p w14:paraId="4CEE71E1">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0" w:type="auto"/>
            <w:vMerge w:val="continue"/>
            <w:vAlign w:val="center"/>
          </w:tcPr>
          <w:p w14:paraId="384F27E3">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0" w:type="auto"/>
            <w:vMerge w:val="restart"/>
            <w:vAlign w:val="center"/>
          </w:tcPr>
          <w:p w14:paraId="498401C1">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eastAsia"/>
                <w:sz w:val="21"/>
                <w:szCs w:val="21"/>
                <w:highlight w:val="none"/>
                <w:lang w:val="en-US" w:eastAsia="zh-CN"/>
              </w:rPr>
              <w:t>资源利用效率要求</w:t>
            </w:r>
          </w:p>
        </w:tc>
        <w:tc>
          <w:tcPr>
            <w:tcW w:w="0" w:type="auto"/>
            <w:shd w:val="clear" w:color="auto" w:fill="auto"/>
            <w:vAlign w:val="center"/>
          </w:tcPr>
          <w:p w14:paraId="50ED20D5">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en-US"/>
              </w:rPr>
            </w:pPr>
            <w:r>
              <w:rPr>
                <w:rFonts w:hint="eastAsia"/>
                <w:sz w:val="21"/>
                <w:szCs w:val="21"/>
                <w:highlight w:val="none"/>
                <w:lang w:val="en-US" w:eastAsia="zh-CN"/>
              </w:rPr>
              <w:t>一、执行要求：1.落实最严格的水资源管理制度，实行水资源消耗总量和强度双控</w:t>
            </w:r>
          </w:p>
        </w:tc>
        <w:tc>
          <w:tcPr>
            <w:tcW w:w="0" w:type="auto"/>
            <w:vAlign w:val="center"/>
          </w:tcPr>
          <w:p w14:paraId="0787C8C8">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default"/>
                <w:sz w:val="21"/>
                <w:szCs w:val="21"/>
                <w:highlight w:val="none"/>
                <w:lang w:val="en-US" w:eastAsia="zh-CN"/>
              </w:rPr>
              <w:t>本项目供水依托厂区现有供水管网，改造后生产线的用水量较原生产线用水量无变化</w:t>
            </w:r>
            <w:r>
              <w:rPr>
                <w:rFonts w:hint="eastAsia"/>
                <w:sz w:val="21"/>
                <w:szCs w:val="21"/>
                <w:highlight w:val="none"/>
                <w:lang w:val="en-US" w:eastAsia="zh-CN"/>
              </w:rPr>
              <w:t>，不新增员工，不新增生活用水</w:t>
            </w:r>
          </w:p>
        </w:tc>
        <w:tc>
          <w:tcPr>
            <w:tcW w:w="1032" w:type="dxa"/>
            <w:vAlign w:val="center"/>
          </w:tcPr>
          <w:p w14:paraId="4D85559E">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r w14:paraId="6610CA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Merge w:val="continue"/>
            <w:vAlign w:val="center"/>
          </w:tcPr>
          <w:p w14:paraId="4B6ECCD8">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0" w:type="auto"/>
            <w:vMerge w:val="continue"/>
            <w:vAlign w:val="center"/>
          </w:tcPr>
          <w:p w14:paraId="7A36FB90">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0" w:type="auto"/>
            <w:vMerge w:val="continue"/>
            <w:vAlign w:val="center"/>
          </w:tcPr>
          <w:p w14:paraId="3926E632">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0" w:type="auto"/>
            <w:vMerge w:val="continue"/>
            <w:vAlign w:val="center"/>
          </w:tcPr>
          <w:p w14:paraId="73342F83">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0" w:type="auto"/>
            <w:shd w:val="clear" w:color="auto" w:fill="auto"/>
            <w:vAlign w:val="center"/>
          </w:tcPr>
          <w:p w14:paraId="2739E232">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en-US"/>
              </w:rPr>
            </w:pPr>
            <w:r>
              <w:rPr>
                <w:rFonts w:hint="eastAsia"/>
                <w:sz w:val="21"/>
                <w:szCs w:val="21"/>
                <w:highlight w:val="none"/>
                <w:lang w:val="en-US" w:eastAsia="zh-CN"/>
              </w:rPr>
              <w:t>2.全面推行清洁生产，依法在“双超双有高耗能”行业实施强制性清洁生产审核</w:t>
            </w:r>
          </w:p>
        </w:tc>
        <w:tc>
          <w:tcPr>
            <w:tcW w:w="0" w:type="auto"/>
            <w:vAlign w:val="center"/>
          </w:tcPr>
          <w:p w14:paraId="77C4C445">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eastAsia"/>
                <w:sz w:val="21"/>
                <w:szCs w:val="21"/>
                <w:highlight w:val="none"/>
                <w:lang w:val="en-US" w:eastAsia="zh-CN"/>
              </w:rPr>
              <w:t>本项目不涉及</w:t>
            </w:r>
          </w:p>
        </w:tc>
        <w:tc>
          <w:tcPr>
            <w:tcW w:w="1032" w:type="dxa"/>
            <w:vAlign w:val="center"/>
          </w:tcPr>
          <w:p w14:paraId="00C479E8">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r w14:paraId="038A92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Merge w:val="continue"/>
            <w:vAlign w:val="center"/>
          </w:tcPr>
          <w:p w14:paraId="0CBD929A">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0" w:type="auto"/>
            <w:vMerge w:val="continue"/>
            <w:vAlign w:val="center"/>
          </w:tcPr>
          <w:p w14:paraId="63E82DF7">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0" w:type="auto"/>
            <w:vMerge w:val="continue"/>
            <w:vAlign w:val="center"/>
          </w:tcPr>
          <w:p w14:paraId="05AF2B0D">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0" w:type="auto"/>
            <w:vMerge w:val="continue"/>
            <w:vAlign w:val="center"/>
          </w:tcPr>
          <w:p w14:paraId="3B83717B">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0" w:type="auto"/>
            <w:shd w:val="clear" w:color="auto" w:fill="auto"/>
            <w:vAlign w:val="center"/>
          </w:tcPr>
          <w:p w14:paraId="67336E26">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en-US"/>
              </w:rPr>
            </w:pPr>
            <w:r>
              <w:rPr>
                <w:rFonts w:hint="eastAsia"/>
                <w:sz w:val="21"/>
                <w:szCs w:val="21"/>
                <w:highlight w:val="none"/>
                <w:lang w:val="en-US" w:eastAsia="zh-CN"/>
              </w:rPr>
              <w:t>二、高污染燃料禁燃区同时执行：1.在禁燃区内，禁止销售、燃用高污染燃料；禁止新建、扩建燃用高污染燃料的设施，已建成的，应当在城市人民政府规定的期限内改用天然气、页岩气、液化石油气、电或者其他清洁能源</w:t>
            </w:r>
          </w:p>
        </w:tc>
        <w:tc>
          <w:tcPr>
            <w:tcW w:w="0" w:type="auto"/>
            <w:vAlign w:val="center"/>
          </w:tcPr>
          <w:p w14:paraId="2E39770B">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eastAsia"/>
                <w:sz w:val="21"/>
                <w:szCs w:val="21"/>
                <w:highlight w:val="none"/>
                <w:lang w:val="en-US" w:eastAsia="zh-CN"/>
              </w:rPr>
              <w:t>本项目热试使用燃料使用商品汽油，不涉及高污染燃料</w:t>
            </w:r>
          </w:p>
        </w:tc>
        <w:tc>
          <w:tcPr>
            <w:tcW w:w="1032" w:type="dxa"/>
            <w:vAlign w:val="center"/>
          </w:tcPr>
          <w:p w14:paraId="21248050">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r w14:paraId="47E09B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Merge w:val="continue"/>
            <w:vAlign w:val="center"/>
          </w:tcPr>
          <w:p w14:paraId="21A5CBB1">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0" w:type="auto"/>
            <w:vMerge w:val="continue"/>
            <w:vAlign w:val="center"/>
          </w:tcPr>
          <w:p w14:paraId="5C6C7BFD">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0" w:type="auto"/>
            <w:vMerge w:val="continue"/>
            <w:vAlign w:val="center"/>
          </w:tcPr>
          <w:p w14:paraId="0C49A463">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0" w:type="auto"/>
            <w:vMerge w:val="continue"/>
            <w:vAlign w:val="center"/>
          </w:tcPr>
          <w:p w14:paraId="38DC0403">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p>
        </w:tc>
        <w:tc>
          <w:tcPr>
            <w:tcW w:w="0" w:type="auto"/>
            <w:shd w:val="clear" w:color="auto" w:fill="auto"/>
            <w:vAlign w:val="center"/>
          </w:tcPr>
          <w:p w14:paraId="1A669BF9">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sz w:val="21"/>
                <w:szCs w:val="21"/>
                <w:highlight w:val="none"/>
                <w:lang w:val="en-US" w:eastAsia="en-US"/>
              </w:rPr>
            </w:pPr>
            <w:r>
              <w:rPr>
                <w:rFonts w:hint="eastAsia"/>
                <w:sz w:val="21"/>
                <w:szCs w:val="21"/>
                <w:highlight w:val="none"/>
                <w:lang w:val="en-US" w:eastAsia="zh-CN"/>
              </w:rPr>
              <w:t>2.城市建设应当统筹规划，在燃煤供热地区，推进热电联产和集中供热。在集中供热管网覆盖地区，禁止新建、扩建分散燃煤供热锅炉；已建成的不能达标排放的燃煤供热锅炉，应当在城市人民政府规定的期限内拆除</w:t>
            </w:r>
          </w:p>
        </w:tc>
        <w:tc>
          <w:tcPr>
            <w:tcW w:w="0" w:type="auto"/>
            <w:vAlign w:val="center"/>
          </w:tcPr>
          <w:p w14:paraId="56AF160A">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default"/>
                <w:sz w:val="21"/>
                <w:szCs w:val="21"/>
                <w:highlight w:val="none"/>
                <w:lang w:val="en-US" w:eastAsia="zh-CN"/>
              </w:rPr>
            </w:pPr>
            <w:r>
              <w:rPr>
                <w:rFonts w:hint="eastAsia"/>
                <w:sz w:val="21"/>
                <w:szCs w:val="21"/>
                <w:highlight w:val="none"/>
                <w:lang w:val="en-US" w:eastAsia="zh-CN"/>
              </w:rPr>
              <w:t>本项目冬季采用集中供热</w:t>
            </w:r>
          </w:p>
        </w:tc>
        <w:tc>
          <w:tcPr>
            <w:tcW w:w="1032" w:type="dxa"/>
            <w:vAlign w:val="center"/>
          </w:tcPr>
          <w:p w14:paraId="5E3BBF75">
            <w:pPr>
              <w:pStyle w:val="8"/>
              <w:keepNext w:val="0"/>
              <w:keepLines/>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bl>
    <w:p w14:paraId="3F5E17E6">
      <w:pPr>
        <w:widowControl/>
        <w:spacing w:line="360" w:lineRule="auto"/>
        <w:ind w:left="0" w:leftChars="0" w:firstLine="0" w:firstLineChars="0"/>
        <w:rPr>
          <w:rFonts w:hint="eastAsia" w:eastAsiaTheme="minorEastAsia"/>
          <w:kern w:val="0"/>
          <w:sz w:val="24"/>
          <w:szCs w:val="21"/>
          <w:highlight w:val="none"/>
          <w:lang w:eastAsia="zh-CN"/>
        </w:rPr>
        <w:sectPr>
          <w:pgSz w:w="16838" w:h="11906" w:orient="landscape"/>
          <w:pgMar w:top="1800" w:right="1440" w:bottom="1800" w:left="1440" w:header="851" w:footer="992" w:gutter="0"/>
          <w:pgBorders w:offsetFrom="page">
            <w:top w:val="none" w:sz="0" w:space="0"/>
            <w:left w:val="none" w:sz="0" w:space="0"/>
            <w:bottom w:val="none" w:sz="0" w:space="0"/>
            <w:right w:val="none" w:sz="0" w:space="0"/>
          </w:pgBorders>
          <w:cols w:space="425" w:num="1"/>
          <w:docGrid w:type="lines" w:linePitch="312" w:charSpace="0"/>
        </w:sectPr>
      </w:pPr>
    </w:p>
    <w:p w14:paraId="691EA61C">
      <w:pPr>
        <w:pStyle w:val="3"/>
        <w:bidi w:val="0"/>
        <w:rPr>
          <w:highlight w:val="none"/>
        </w:rPr>
      </w:pPr>
      <w:bookmarkStart w:id="113" w:name="_Toc21440"/>
      <w:bookmarkStart w:id="114" w:name="_Toc425"/>
      <w:bookmarkStart w:id="115" w:name="_Toc4431"/>
      <w:bookmarkStart w:id="116" w:name="_Toc30422"/>
      <w:bookmarkStart w:id="117" w:name="_Toc15991621"/>
      <w:r>
        <w:rPr>
          <w:highlight w:val="none"/>
        </w:rPr>
        <w:t>1.5关注的主要环境问题</w:t>
      </w:r>
      <w:bookmarkEnd w:id="113"/>
      <w:bookmarkEnd w:id="114"/>
    </w:p>
    <w:p w14:paraId="0C3D24C8">
      <w:pPr>
        <w:bidi w:val="0"/>
        <w:rPr>
          <w:highlight w:val="none"/>
        </w:rPr>
      </w:pPr>
      <w:bookmarkStart w:id="118" w:name="_Toc479252801"/>
      <w:r>
        <w:rPr>
          <w:highlight w:val="none"/>
        </w:rPr>
        <w:t>本评价关注的主要环境问题是，本项目投入运营后污染物的</w:t>
      </w:r>
      <w:r>
        <w:rPr>
          <w:rFonts w:hint="eastAsia"/>
          <w:highlight w:val="none"/>
          <w:lang w:val="en-US" w:eastAsia="zh-CN"/>
        </w:rPr>
        <w:t>排放</w:t>
      </w:r>
      <w:r>
        <w:rPr>
          <w:highlight w:val="none"/>
        </w:rPr>
        <w:t>对环境的影响。</w:t>
      </w:r>
    </w:p>
    <w:p w14:paraId="6299617D">
      <w:pPr>
        <w:bidi w:val="0"/>
        <w:rPr>
          <w:highlight w:val="none"/>
        </w:rPr>
      </w:pPr>
      <w:r>
        <w:rPr>
          <w:rFonts w:hint="eastAsia"/>
          <w:highlight w:val="none"/>
          <w:lang w:eastAsia="zh-CN"/>
        </w:rPr>
        <w:t>（</w:t>
      </w:r>
      <w:r>
        <w:rPr>
          <w:rFonts w:hint="eastAsia"/>
          <w:highlight w:val="none"/>
          <w:lang w:val="en-US" w:eastAsia="zh-CN"/>
        </w:rPr>
        <w:t>1</w:t>
      </w:r>
      <w:r>
        <w:rPr>
          <w:rFonts w:hint="eastAsia"/>
          <w:highlight w:val="none"/>
          <w:lang w:eastAsia="zh-CN"/>
        </w:rPr>
        <w:t>）</w:t>
      </w:r>
      <w:r>
        <w:rPr>
          <w:highlight w:val="none"/>
        </w:rPr>
        <w:t>废气污染物（</w:t>
      </w:r>
      <w:r>
        <w:rPr>
          <w:rFonts w:hint="eastAsia"/>
          <w:highlight w:val="none"/>
          <w:lang w:val="en-US" w:eastAsia="zh-CN"/>
        </w:rPr>
        <w:t>油雾（以非甲烷总烃计）、挥发性有机物（以非甲烷总烃计）、颗粒物、臭气浓度、</w:t>
      </w:r>
      <w:r>
        <w:rPr>
          <w:highlight w:val="none"/>
        </w:rPr>
        <w:t>非甲烷总烃、氮氧化物、一氧化碳）对周边大气环境的影响范围及程度。</w:t>
      </w:r>
    </w:p>
    <w:p w14:paraId="4D6AF785">
      <w:pPr>
        <w:bidi w:val="0"/>
        <w:rPr>
          <w:highlight w:val="none"/>
        </w:rPr>
      </w:pPr>
      <w:r>
        <w:rPr>
          <w:rFonts w:hint="eastAsia"/>
          <w:highlight w:val="none"/>
          <w:lang w:eastAsia="zh-CN"/>
        </w:rPr>
        <w:t>（</w:t>
      </w:r>
      <w:r>
        <w:rPr>
          <w:rFonts w:hint="eastAsia"/>
          <w:highlight w:val="none"/>
          <w:lang w:val="en-US" w:eastAsia="zh-CN"/>
        </w:rPr>
        <w:t>2</w:t>
      </w:r>
      <w:r>
        <w:rPr>
          <w:rFonts w:hint="eastAsia"/>
          <w:highlight w:val="none"/>
          <w:lang w:eastAsia="zh-CN"/>
        </w:rPr>
        <w:t>）</w:t>
      </w:r>
      <w:r>
        <w:rPr>
          <w:highlight w:val="none"/>
        </w:rPr>
        <w:t>危险废物</w:t>
      </w:r>
      <w:r>
        <w:rPr>
          <w:rFonts w:hint="eastAsia"/>
          <w:highlight w:val="none"/>
          <w:lang w:val="en-US" w:eastAsia="zh-CN"/>
        </w:rPr>
        <w:t>及产生的废水</w:t>
      </w:r>
      <w:r>
        <w:rPr>
          <w:highlight w:val="none"/>
        </w:rPr>
        <w:t>是否可得到有效处理、处置，不会对环境产生二次污染。</w:t>
      </w:r>
    </w:p>
    <w:p w14:paraId="638BC894">
      <w:pPr>
        <w:bidi w:val="0"/>
        <w:rPr>
          <w:highlight w:val="none"/>
        </w:rPr>
      </w:pPr>
      <w:r>
        <w:rPr>
          <w:rFonts w:hint="eastAsia"/>
          <w:highlight w:val="none"/>
          <w:lang w:eastAsia="zh-CN"/>
        </w:rPr>
        <w:t>（</w:t>
      </w:r>
      <w:r>
        <w:rPr>
          <w:rFonts w:hint="eastAsia"/>
          <w:highlight w:val="none"/>
          <w:lang w:val="en-US" w:eastAsia="zh-CN"/>
        </w:rPr>
        <w:t>3</w:t>
      </w:r>
      <w:r>
        <w:rPr>
          <w:rFonts w:hint="eastAsia"/>
          <w:highlight w:val="none"/>
          <w:lang w:eastAsia="zh-CN"/>
        </w:rPr>
        <w:t>）</w:t>
      </w:r>
      <w:r>
        <w:rPr>
          <w:rFonts w:hint="eastAsia"/>
          <w:highlight w:val="none"/>
          <w:lang w:val="en-US" w:eastAsia="zh-CN"/>
        </w:rPr>
        <w:t>原料贮存区等重点防渗区防渗</w:t>
      </w:r>
      <w:r>
        <w:rPr>
          <w:highlight w:val="none"/>
        </w:rPr>
        <w:t>破损导致污染物下渗对地下水环境的影响范围及程度。</w:t>
      </w:r>
    </w:p>
    <w:p w14:paraId="311D45BC">
      <w:pPr>
        <w:bidi w:val="0"/>
        <w:rPr>
          <w:highlight w:val="none"/>
        </w:rPr>
      </w:pPr>
      <w:r>
        <w:rPr>
          <w:rFonts w:hint="eastAsia"/>
          <w:highlight w:val="none"/>
          <w:lang w:eastAsia="zh-CN"/>
        </w:rPr>
        <w:t>（</w:t>
      </w:r>
      <w:r>
        <w:rPr>
          <w:rFonts w:hint="eastAsia"/>
          <w:highlight w:val="none"/>
          <w:lang w:val="en-US" w:eastAsia="zh-CN"/>
        </w:rPr>
        <w:t>4</w:t>
      </w:r>
      <w:r>
        <w:rPr>
          <w:rFonts w:hint="eastAsia"/>
          <w:highlight w:val="none"/>
          <w:lang w:eastAsia="zh-CN"/>
        </w:rPr>
        <w:t>）</w:t>
      </w:r>
      <w:r>
        <w:rPr>
          <w:highlight w:val="none"/>
        </w:rPr>
        <w:t>废气污染防治措施可行性，是否保证污染物稳定达标排放。</w:t>
      </w:r>
    </w:p>
    <w:p w14:paraId="5B9F1C7A">
      <w:pPr>
        <w:bidi w:val="0"/>
        <w:rPr>
          <w:highlight w:val="none"/>
        </w:rPr>
      </w:pPr>
      <w:r>
        <w:rPr>
          <w:rFonts w:hint="eastAsia"/>
          <w:highlight w:val="none"/>
          <w:lang w:val="en-US" w:eastAsia="zh-CN"/>
        </w:rPr>
        <w:t>（5）生产</w:t>
      </w:r>
      <w:r>
        <w:rPr>
          <w:rFonts w:hint="eastAsia"/>
          <w:highlight w:val="none"/>
        </w:rPr>
        <w:t>废水</w:t>
      </w:r>
      <w:r>
        <w:rPr>
          <w:rFonts w:hint="eastAsia"/>
          <w:highlight w:val="none"/>
          <w:lang w:val="en-US" w:eastAsia="zh-CN"/>
        </w:rPr>
        <w:t>依托现有4号厂房污水处理站</w:t>
      </w:r>
      <w:r>
        <w:rPr>
          <w:rFonts w:hint="eastAsia"/>
          <w:highlight w:val="none"/>
        </w:rPr>
        <w:t>的可行性。</w:t>
      </w:r>
    </w:p>
    <w:p w14:paraId="1B657292">
      <w:pPr>
        <w:bidi w:val="0"/>
        <w:rPr>
          <w:highlight w:val="none"/>
        </w:rPr>
      </w:pPr>
      <w:r>
        <w:rPr>
          <w:rFonts w:hint="eastAsia"/>
          <w:highlight w:val="none"/>
          <w:lang w:eastAsia="zh-CN"/>
        </w:rPr>
        <w:t>（</w:t>
      </w:r>
      <w:r>
        <w:rPr>
          <w:rFonts w:hint="eastAsia"/>
          <w:highlight w:val="none"/>
          <w:lang w:val="en-US" w:eastAsia="zh-CN"/>
        </w:rPr>
        <w:t>6</w:t>
      </w:r>
      <w:r>
        <w:rPr>
          <w:rFonts w:hint="eastAsia"/>
          <w:highlight w:val="none"/>
          <w:lang w:eastAsia="zh-CN"/>
        </w:rPr>
        <w:t>）</w:t>
      </w:r>
      <w:r>
        <w:rPr>
          <w:rFonts w:hint="eastAsia"/>
          <w:highlight w:val="none"/>
        </w:rPr>
        <w:t>油类物质产生的环境风险是否可以得到有效控制。</w:t>
      </w:r>
    </w:p>
    <w:bookmarkEnd w:id="118"/>
    <w:p w14:paraId="39E715B6">
      <w:pPr>
        <w:pStyle w:val="3"/>
        <w:bidi w:val="0"/>
        <w:rPr>
          <w:highlight w:val="none"/>
        </w:rPr>
      </w:pPr>
      <w:bookmarkStart w:id="119" w:name="_Toc12294"/>
      <w:r>
        <w:rPr>
          <w:highlight w:val="none"/>
        </w:rPr>
        <w:t>1.6环境影响评价主要结论</w:t>
      </w:r>
      <w:bookmarkEnd w:id="115"/>
      <w:bookmarkEnd w:id="116"/>
      <w:bookmarkEnd w:id="119"/>
    </w:p>
    <w:p w14:paraId="6B73D104">
      <w:pPr>
        <w:pStyle w:val="76"/>
        <w:adjustRightInd/>
        <w:snapToGrid/>
        <w:contextualSpacing/>
        <w:rPr>
          <w:rFonts w:eastAsiaTheme="minorEastAsia"/>
          <w:highlight w:val="none"/>
        </w:rPr>
        <w:sectPr>
          <w:pgSz w:w="11906" w:h="16838"/>
          <w:pgMar w:top="1440" w:right="1800" w:bottom="1440" w:left="1800" w:header="851" w:footer="992" w:gutter="0"/>
          <w:pgBorders w:offsetFrom="page">
            <w:top w:val="none" w:sz="0" w:space="0"/>
            <w:left w:val="none" w:sz="0" w:space="0"/>
            <w:bottom w:val="none" w:sz="0" w:space="0"/>
            <w:right w:val="none" w:sz="0" w:space="0"/>
          </w:pgBorders>
          <w:cols w:space="425" w:num="1"/>
          <w:docGrid w:type="lines" w:linePitch="312" w:charSpace="0"/>
        </w:sectPr>
      </w:pPr>
      <w:r>
        <w:rPr>
          <w:rFonts w:ascii="Times New Roman" w:cs="Times New Roman" w:hAnsiTheme="minorEastAsia"/>
          <w:highlight w:val="none"/>
        </w:rPr>
        <w:t>本报告通过调查、分析和综合评价后认为：拟建项目符合国家和地方有关环境保护法律法规、标准、政策、规范及相关规划要求；生产过程中遵循清洁生产理念，所采用的各项污染防治措施技术可行、经济合理，能保证各类污染物长期稳定达标排放；预测结果表明项目所排放的污染物对周围环境和环境保护目标影响较小。综上所述，在规划相符、落实本报告书中的各项环保措施以及各级环保主管部门管理要求、项目取得周边公众理解和支持的前提下，从环保角度分析，拟建项目的建设具有环境可行性。同时，拟建项目在设计、建设、运行全过程中还必须满足消防、安全、职业卫生等相关管理要求，进行规范化的设计、施工和运行管理。</w:t>
      </w:r>
    </w:p>
    <w:bookmarkEnd w:id="117"/>
    <w:p w14:paraId="66A85B26">
      <w:pPr>
        <w:pStyle w:val="2"/>
        <w:bidi w:val="0"/>
        <w:rPr>
          <w:highlight w:val="none"/>
        </w:rPr>
      </w:pPr>
      <w:bookmarkStart w:id="120" w:name="_Toc19616"/>
      <w:bookmarkStart w:id="121" w:name="_Toc479252802"/>
      <w:bookmarkStart w:id="122" w:name="_Toc25252"/>
      <w:bookmarkStart w:id="123" w:name="_Toc30112"/>
      <w:r>
        <w:rPr>
          <w:highlight w:val="none"/>
        </w:rPr>
        <w:t>2总则</w:t>
      </w:r>
      <w:bookmarkEnd w:id="120"/>
      <w:bookmarkEnd w:id="121"/>
      <w:bookmarkEnd w:id="122"/>
      <w:bookmarkEnd w:id="123"/>
    </w:p>
    <w:p w14:paraId="5822D55C">
      <w:pPr>
        <w:pStyle w:val="3"/>
        <w:bidi w:val="0"/>
        <w:rPr>
          <w:highlight w:val="none"/>
        </w:rPr>
      </w:pPr>
      <w:bookmarkStart w:id="124" w:name="_Toc479252803"/>
      <w:bookmarkStart w:id="125" w:name="_Toc19303"/>
      <w:bookmarkStart w:id="126" w:name="_Toc26074"/>
      <w:r>
        <w:rPr>
          <w:highlight w:val="none"/>
        </w:rPr>
        <w:t>2.1编制依据</w:t>
      </w:r>
      <w:bookmarkEnd w:id="124"/>
      <w:bookmarkEnd w:id="125"/>
      <w:bookmarkEnd w:id="126"/>
    </w:p>
    <w:p w14:paraId="223ED8F4">
      <w:pPr>
        <w:pStyle w:val="4"/>
        <w:bidi w:val="0"/>
        <w:rPr>
          <w:rFonts w:hint="default"/>
          <w:highlight w:val="none"/>
          <w:lang w:val="en-US" w:eastAsia="zh-CN"/>
        </w:rPr>
      </w:pPr>
      <w:bookmarkStart w:id="127" w:name="_Toc11758465"/>
      <w:bookmarkStart w:id="128" w:name="_Toc3369"/>
      <w:bookmarkStart w:id="129" w:name="_Toc1516"/>
      <w:r>
        <w:rPr>
          <w:highlight w:val="none"/>
        </w:rPr>
        <w:t>2.1.1相关法律、法规</w:t>
      </w:r>
      <w:bookmarkEnd w:id="127"/>
      <w:r>
        <w:rPr>
          <w:rFonts w:hint="eastAsia"/>
          <w:highlight w:val="none"/>
          <w:lang w:val="en-US" w:eastAsia="zh-CN"/>
        </w:rPr>
        <w:t>及部门规章</w:t>
      </w:r>
      <w:bookmarkEnd w:id="128"/>
      <w:bookmarkEnd w:id="129"/>
    </w:p>
    <w:p w14:paraId="12DA9048">
      <w:pPr>
        <w:numPr>
          <w:ilvl w:val="0"/>
          <w:numId w:val="7"/>
        </w:numPr>
        <w:bidi w:val="0"/>
        <w:rPr>
          <w:highlight w:val="none"/>
        </w:rPr>
      </w:pPr>
      <w:bookmarkStart w:id="130" w:name="_Toc233779584"/>
      <w:r>
        <w:rPr>
          <w:highlight w:val="none"/>
        </w:rPr>
        <w:t>《中华人民共和国环境保护法》，2015年1月1日；</w:t>
      </w:r>
    </w:p>
    <w:p w14:paraId="540E54D0">
      <w:pPr>
        <w:numPr>
          <w:ilvl w:val="0"/>
          <w:numId w:val="7"/>
        </w:numPr>
        <w:bidi w:val="0"/>
        <w:rPr>
          <w:highlight w:val="none"/>
        </w:rPr>
      </w:pPr>
      <w:r>
        <w:rPr>
          <w:highlight w:val="none"/>
        </w:rPr>
        <w:t>《中华人民共和国水污染防治法》，2018年1月1日</w:t>
      </w:r>
    </w:p>
    <w:p w14:paraId="6D96BBF6">
      <w:pPr>
        <w:bidi w:val="0"/>
        <w:rPr>
          <w:highlight w:val="none"/>
        </w:rPr>
      </w:pPr>
      <w:r>
        <w:rPr>
          <w:highlight w:val="none"/>
        </w:rPr>
        <w:t>（3）《中华人民共和国大气污染防治法》，2018年10月26日；</w:t>
      </w:r>
    </w:p>
    <w:p w14:paraId="0BAD9FE4">
      <w:pPr>
        <w:bidi w:val="0"/>
        <w:rPr>
          <w:highlight w:val="none"/>
        </w:rPr>
      </w:pPr>
      <w:r>
        <w:rPr>
          <w:highlight w:val="none"/>
        </w:rPr>
        <w:t>（4）《中华人民共和国噪声污染防治法》，2022年6月5日；</w:t>
      </w:r>
    </w:p>
    <w:p w14:paraId="269C1A6C">
      <w:pPr>
        <w:bidi w:val="0"/>
        <w:rPr>
          <w:highlight w:val="none"/>
        </w:rPr>
      </w:pPr>
      <w:r>
        <w:rPr>
          <w:highlight w:val="none"/>
        </w:rPr>
        <w:t>（5）《中华人民共和国固体废物污染环境防治法》，2020年9月1日；</w:t>
      </w:r>
    </w:p>
    <w:p w14:paraId="50873236">
      <w:pPr>
        <w:bidi w:val="0"/>
        <w:rPr>
          <w:highlight w:val="none"/>
        </w:rPr>
      </w:pPr>
      <w:r>
        <w:rPr>
          <w:highlight w:val="none"/>
        </w:rPr>
        <w:t>（6）《中华人民共和国清洁生产促进法》，2012年7月1日；</w:t>
      </w:r>
    </w:p>
    <w:p w14:paraId="592115CC">
      <w:pPr>
        <w:bidi w:val="0"/>
        <w:rPr>
          <w:highlight w:val="none"/>
        </w:rPr>
      </w:pPr>
      <w:r>
        <w:rPr>
          <w:highlight w:val="none"/>
        </w:rPr>
        <w:t>（7）《中华人民共和国环境影响评价法》（修订），2018年12月29日；</w:t>
      </w:r>
    </w:p>
    <w:p w14:paraId="27FC3FEB">
      <w:pPr>
        <w:bidi w:val="0"/>
        <w:rPr>
          <w:highlight w:val="none"/>
        </w:rPr>
      </w:pPr>
      <w:r>
        <w:rPr>
          <w:highlight w:val="none"/>
        </w:rPr>
        <w:t>（8）国务院第682号令《建设项目环境保护管理条例》，2017年10月1日；</w:t>
      </w:r>
    </w:p>
    <w:p w14:paraId="6B4B00B4">
      <w:pPr>
        <w:bidi w:val="0"/>
        <w:rPr>
          <w:highlight w:val="none"/>
        </w:rPr>
      </w:pPr>
      <w:r>
        <w:rPr>
          <w:highlight w:val="none"/>
        </w:rPr>
        <w:t>（9）《中华人民共和国土壤污染防治法》，2019年1月1日；</w:t>
      </w:r>
    </w:p>
    <w:p w14:paraId="73C0D089">
      <w:pPr>
        <w:bidi w:val="0"/>
        <w:rPr>
          <w:highlight w:val="none"/>
        </w:rPr>
      </w:pPr>
      <w:r>
        <w:rPr>
          <w:highlight w:val="none"/>
        </w:rPr>
        <w:t>（10）《中华人民共和国土地管理法》，2020年1月1日；</w:t>
      </w:r>
    </w:p>
    <w:p w14:paraId="4865F6C6">
      <w:pPr>
        <w:bidi w:val="0"/>
        <w:rPr>
          <w:highlight w:val="none"/>
        </w:rPr>
      </w:pPr>
      <w:r>
        <w:rPr>
          <w:highlight w:val="none"/>
        </w:rPr>
        <w:t>（11）《中华人民共和国水法》，2016年7月2日；</w:t>
      </w:r>
    </w:p>
    <w:p w14:paraId="077DD692">
      <w:pPr>
        <w:bidi w:val="0"/>
        <w:rPr>
          <w:highlight w:val="none"/>
        </w:rPr>
      </w:pPr>
      <w:r>
        <w:rPr>
          <w:highlight w:val="none"/>
        </w:rPr>
        <w:t>（12）《中华人民共和国水土保持法》，2011年3月1日；</w:t>
      </w:r>
    </w:p>
    <w:p w14:paraId="58E2334C">
      <w:pPr>
        <w:bidi w:val="0"/>
        <w:rPr>
          <w:highlight w:val="none"/>
        </w:rPr>
      </w:pPr>
      <w:r>
        <w:rPr>
          <w:highlight w:val="none"/>
        </w:rPr>
        <w:t>（13）《建设项目环境影响评价分类管理名录》（2021版</w:t>
      </w:r>
      <w:r>
        <w:rPr>
          <w:rFonts w:hint="eastAsia"/>
          <w:highlight w:val="none"/>
          <w:lang w:eastAsia="zh-CN"/>
        </w:rPr>
        <w:t>）</w:t>
      </w:r>
      <w:r>
        <w:rPr>
          <w:highlight w:val="none"/>
        </w:rPr>
        <w:t>，自2021年1月1日起施行；</w:t>
      </w:r>
    </w:p>
    <w:p w14:paraId="105DD630">
      <w:pPr>
        <w:bidi w:val="0"/>
        <w:rPr>
          <w:highlight w:val="none"/>
        </w:rPr>
      </w:pPr>
      <w:r>
        <w:rPr>
          <w:highlight w:val="none"/>
        </w:rPr>
        <w:t>（14）《产业结构调整指导目录（20</w:t>
      </w:r>
      <w:r>
        <w:rPr>
          <w:rFonts w:hint="eastAsia"/>
          <w:highlight w:val="none"/>
          <w:lang w:val="en-US" w:eastAsia="zh-CN"/>
        </w:rPr>
        <w:t>24</w:t>
      </w:r>
      <w:r>
        <w:rPr>
          <w:highlight w:val="none"/>
        </w:rPr>
        <w:t>年本）》；</w:t>
      </w:r>
    </w:p>
    <w:p w14:paraId="19032F3E">
      <w:pPr>
        <w:bidi w:val="0"/>
        <w:rPr>
          <w:highlight w:val="none"/>
        </w:rPr>
      </w:pPr>
      <w:r>
        <w:rPr>
          <w:highlight w:val="none"/>
        </w:rPr>
        <w:t>（15）《环境影响评价公众参与办法》，2019年1月1日；</w:t>
      </w:r>
    </w:p>
    <w:p w14:paraId="553DDF91">
      <w:pPr>
        <w:bidi w:val="0"/>
        <w:rPr>
          <w:highlight w:val="none"/>
        </w:rPr>
      </w:pPr>
      <w:r>
        <w:rPr>
          <w:highlight w:val="none"/>
        </w:rPr>
        <w:t>（16）《关于切实加强风险防范严格环境影响评价管理的通知》（环发</w:t>
      </w:r>
      <w:r>
        <w:rPr>
          <w:rFonts w:hint="eastAsia"/>
          <w:highlight w:val="none"/>
          <w:lang w:val="en-US" w:eastAsia="zh-CN"/>
        </w:rPr>
        <w:t>[</w:t>
      </w:r>
      <w:r>
        <w:rPr>
          <w:highlight w:val="none"/>
        </w:rPr>
        <w:t>2012</w:t>
      </w:r>
      <w:r>
        <w:rPr>
          <w:rFonts w:hint="eastAsia"/>
          <w:highlight w:val="none"/>
          <w:lang w:val="en-US" w:eastAsia="zh-CN"/>
        </w:rPr>
        <w:t>]</w:t>
      </w:r>
      <w:r>
        <w:rPr>
          <w:highlight w:val="none"/>
        </w:rPr>
        <w:t>98号文）；</w:t>
      </w:r>
    </w:p>
    <w:p w14:paraId="51F8A2FA">
      <w:pPr>
        <w:bidi w:val="0"/>
        <w:rPr>
          <w:rFonts w:hint="eastAsia" w:ascii="Times New Roman" w:hAnsi="Times New Roman" w:eastAsia="宋体" w:cs="Times New Roman"/>
          <w:highlight w:val="none"/>
        </w:rPr>
      </w:pPr>
      <w:r>
        <w:rPr>
          <w:rFonts w:hint="eastAsia"/>
          <w:highlight w:val="none"/>
          <w:lang w:eastAsia="zh-CN"/>
        </w:rPr>
        <w:t>（</w:t>
      </w:r>
      <w:r>
        <w:rPr>
          <w:rFonts w:hint="eastAsia"/>
          <w:highlight w:val="none"/>
          <w:lang w:val="en-US" w:eastAsia="zh-CN"/>
        </w:rPr>
        <w:t>17</w:t>
      </w:r>
      <w:r>
        <w:rPr>
          <w:rFonts w:hint="eastAsia"/>
          <w:highlight w:val="none"/>
          <w:lang w:eastAsia="zh-CN"/>
        </w:rPr>
        <w:t>）</w:t>
      </w:r>
      <w:r>
        <w:rPr>
          <w:rFonts w:hint="eastAsia"/>
          <w:highlight w:val="none"/>
        </w:rPr>
        <w:t>《再生资源回收管理办法（</w:t>
      </w:r>
      <w:r>
        <w:rPr>
          <w:rFonts w:hint="eastAsia" w:ascii="Times New Roman" w:hAnsi="Times New Roman" w:eastAsia="宋体" w:cs="Times New Roman"/>
          <w:highlight w:val="none"/>
        </w:rPr>
        <w:t>2019修正）》（商务部令2007年第8号）；</w:t>
      </w:r>
    </w:p>
    <w:p w14:paraId="4E9B73C5">
      <w:pPr>
        <w:bidi w:val="0"/>
        <w:rPr>
          <w:rFonts w:hint="eastAsia" w:ascii="Times New Roman" w:hAnsi="Times New Roman" w:eastAsia="宋体" w:cs="Times New Roman"/>
          <w:highlight w:val="none"/>
          <w:lang w:eastAsia="zh-CN"/>
        </w:rPr>
      </w:pPr>
      <w:r>
        <w:rPr>
          <w:rFonts w:hint="eastAsia" w:ascii="Times New Roman" w:hAnsi="Times New Roman" w:eastAsia="宋体" w:cs="Times New Roman"/>
          <w:highlight w:val="none"/>
          <w:lang w:eastAsia="zh-CN"/>
        </w:rPr>
        <w:t>（</w:t>
      </w:r>
      <w:r>
        <w:rPr>
          <w:rFonts w:hint="eastAsia" w:ascii="Times New Roman" w:hAnsi="Times New Roman" w:eastAsia="宋体" w:cs="Times New Roman"/>
          <w:highlight w:val="none"/>
          <w:lang w:val="en-US" w:eastAsia="zh-CN"/>
        </w:rPr>
        <w:t>18</w:t>
      </w:r>
      <w:r>
        <w:rPr>
          <w:rFonts w:hint="eastAsia" w:ascii="Times New Roman" w:hAnsi="Times New Roman" w:eastAsia="宋体" w:cs="Times New Roman"/>
          <w:highlight w:val="none"/>
          <w:lang w:eastAsia="zh-CN"/>
        </w:rPr>
        <w:t>）</w:t>
      </w:r>
      <w:r>
        <w:rPr>
          <w:rFonts w:hint="eastAsia" w:ascii="Times New Roman" w:hAnsi="Times New Roman" w:eastAsia="宋体" w:cs="Times New Roman"/>
          <w:highlight w:val="none"/>
        </w:rPr>
        <w:t>《危险废物污染防治技术政策》（环发[2001]199号）；</w:t>
      </w:r>
    </w:p>
    <w:p w14:paraId="75015507">
      <w:pPr>
        <w:bidi w:val="0"/>
        <w:rPr>
          <w:rFonts w:ascii="Times New Roman" w:hAnsi="Times New Roman" w:eastAsia="宋体" w:cs="Times New Roman"/>
          <w:highlight w:val="none"/>
        </w:rPr>
      </w:pPr>
      <w:r>
        <w:rPr>
          <w:rFonts w:ascii="Times New Roman" w:hAnsi="Times New Roman" w:eastAsia="宋体" w:cs="Times New Roman"/>
          <w:highlight w:val="none"/>
        </w:rPr>
        <w:t>（</w:t>
      </w:r>
      <w:r>
        <w:rPr>
          <w:rFonts w:hint="eastAsia" w:ascii="Times New Roman" w:hAnsi="Times New Roman" w:eastAsia="宋体" w:cs="Times New Roman"/>
          <w:highlight w:val="none"/>
          <w:lang w:val="en-US" w:eastAsia="zh-CN"/>
        </w:rPr>
        <w:t>19）</w:t>
      </w:r>
      <w:r>
        <w:rPr>
          <w:rFonts w:ascii="Times New Roman" w:hAnsi="Times New Roman" w:eastAsia="宋体" w:cs="Times New Roman"/>
          <w:highlight w:val="none"/>
        </w:rPr>
        <w:t>《水污染防治行动计划》2015年4月16日；</w:t>
      </w:r>
    </w:p>
    <w:p w14:paraId="3BB04D39">
      <w:pPr>
        <w:bidi w:val="0"/>
        <w:rPr>
          <w:highlight w:val="none"/>
        </w:rPr>
      </w:pPr>
      <w:r>
        <w:rPr>
          <w:rFonts w:hint="eastAsia" w:ascii="Times New Roman" w:hAnsi="Times New Roman" w:eastAsia="宋体" w:cs="Times New Roman"/>
          <w:highlight w:val="none"/>
          <w:lang w:eastAsia="zh-CN"/>
        </w:rPr>
        <w:t>（</w:t>
      </w:r>
      <w:r>
        <w:rPr>
          <w:rFonts w:hint="eastAsia" w:ascii="Times New Roman" w:hAnsi="Times New Roman" w:eastAsia="宋体" w:cs="Times New Roman"/>
          <w:highlight w:val="none"/>
          <w:lang w:val="en-US" w:eastAsia="zh-CN"/>
        </w:rPr>
        <w:t>20</w:t>
      </w:r>
      <w:r>
        <w:rPr>
          <w:rFonts w:hint="eastAsia" w:ascii="Times New Roman" w:hAnsi="Times New Roman" w:eastAsia="宋体" w:cs="Times New Roman"/>
          <w:highlight w:val="none"/>
          <w:lang w:eastAsia="zh-CN"/>
        </w:rPr>
        <w:t>）</w:t>
      </w:r>
      <w:r>
        <w:rPr>
          <w:rFonts w:ascii="Times New Roman" w:hAnsi="Times New Roman" w:eastAsia="宋体" w:cs="Times New Roman"/>
          <w:highlight w:val="none"/>
        </w:rPr>
        <w:t>《土壤污染防治行动计划》2016年5月</w:t>
      </w:r>
      <w:r>
        <w:rPr>
          <w:highlight w:val="none"/>
        </w:rPr>
        <w:t>28日</w:t>
      </w:r>
      <w:bookmarkStart w:id="131" w:name="_Hlk522443451"/>
      <w:bookmarkStart w:id="132" w:name="_Toc15991627"/>
      <w:bookmarkStart w:id="133" w:name="_Toc524431281"/>
      <w:r>
        <w:rPr>
          <w:highlight w:val="none"/>
        </w:rPr>
        <w:t>；</w:t>
      </w:r>
    </w:p>
    <w:p w14:paraId="68BAD56F">
      <w:pPr>
        <w:bidi w:val="0"/>
        <w:rPr>
          <w:highlight w:val="none"/>
        </w:rPr>
      </w:pPr>
      <w:r>
        <w:rPr>
          <w:highlight w:val="none"/>
        </w:rPr>
        <w:t>（2</w:t>
      </w:r>
      <w:r>
        <w:rPr>
          <w:rFonts w:hint="eastAsia"/>
          <w:highlight w:val="none"/>
          <w:lang w:val="en-US" w:eastAsia="zh-CN"/>
        </w:rPr>
        <w:t>1</w:t>
      </w:r>
      <w:r>
        <w:rPr>
          <w:highlight w:val="none"/>
        </w:rPr>
        <w:t>）《国家危险废物名录（202</w:t>
      </w:r>
      <w:r>
        <w:rPr>
          <w:rFonts w:hint="eastAsia"/>
          <w:highlight w:val="none"/>
          <w:lang w:val="en-US" w:eastAsia="zh-CN"/>
        </w:rPr>
        <w:t>5</w:t>
      </w:r>
      <w:r>
        <w:rPr>
          <w:highlight w:val="none"/>
        </w:rPr>
        <w:t>版）》，自202</w:t>
      </w:r>
      <w:r>
        <w:rPr>
          <w:rFonts w:hint="eastAsia"/>
          <w:highlight w:val="none"/>
          <w:lang w:val="en-US" w:eastAsia="zh-CN"/>
        </w:rPr>
        <w:t>5</w:t>
      </w:r>
      <w:r>
        <w:rPr>
          <w:highlight w:val="none"/>
        </w:rPr>
        <w:t>年1月1日；</w:t>
      </w:r>
    </w:p>
    <w:p w14:paraId="176C72F1">
      <w:pPr>
        <w:bidi w:val="0"/>
        <w:rPr>
          <w:rFonts w:hint="eastAsia"/>
          <w:highlight w:val="none"/>
          <w:lang w:eastAsia="zh-CN"/>
        </w:rPr>
      </w:pPr>
      <w:r>
        <w:rPr>
          <w:highlight w:val="none"/>
        </w:rPr>
        <w:t>（2</w:t>
      </w:r>
      <w:r>
        <w:rPr>
          <w:rFonts w:hint="eastAsia"/>
          <w:highlight w:val="none"/>
          <w:lang w:val="en-US" w:eastAsia="zh-CN"/>
        </w:rPr>
        <w:t>2</w:t>
      </w:r>
      <w:r>
        <w:rPr>
          <w:highlight w:val="none"/>
        </w:rPr>
        <w:t>）《中华人民共和国环境影响评价法（修订）》，2018年12月29日</w:t>
      </w:r>
      <w:r>
        <w:rPr>
          <w:rFonts w:hint="eastAsia"/>
          <w:highlight w:val="none"/>
          <w:lang w:eastAsia="zh-CN"/>
        </w:rPr>
        <w:t>；</w:t>
      </w:r>
    </w:p>
    <w:p w14:paraId="60A988DB">
      <w:pPr>
        <w:bidi w:val="0"/>
        <w:rPr>
          <w:highlight w:val="none"/>
        </w:rPr>
      </w:pPr>
      <w:r>
        <w:rPr>
          <w:highlight w:val="none"/>
        </w:rPr>
        <w:t>（</w:t>
      </w:r>
      <w:r>
        <w:rPr>
          <w:rFonts w:hint="eastAsia"/>
          <w:highlight w:val="none"/>
          <w:lang w:val="en-US" w:eastAsia="zh-CN"/>
        </w:rPr>
        <w:t>23</w:t>
      </w:r>
      <w:r>
        <w:rPr>
          <w:highlight w:val="none"/>
        </w:rPr>
        <w:t>）《黑龙江省水污染防治工作方案》（黑政发[2016]3号）；</w:t>
      </w:r>
    </w:p>
    <w:p w14:paraId="59523FB9">
      <w:pPr>
        <w:bidi w:val="0"/>
        <w:rPr>
          <w:highlight w:val="none"/>
        </w:rPr>
      </w:pPr>
      <w:r>
        <w:rPr>
          <w:highlight w:val="none"/>
        </w:rPr>
        <w:t>（2</w:t>
      </w:r>
      <w:r>
        <w:rPr>
          <w:rFonts w:hint="eastAsia"/>
          <w:highlight w:val="none"/>
          <w:lang w:val="en-US" w:eastAsia="zh-CN"/>
        </w:rPr>
        <w:t>4</w:t>
      </w:r>
      <w:r>
        <w:rPr>
          <w:highlight w:val="none"/>
        </w:rPr>
        <w:t>）《黑龙江省土壤污染防治实施方案》（黑政发[2016]46号）；</w:t>
      </w:r>
    </w:p>
    <w:p w14:paraId="6CEB6E46">
      <w:pPr>
        <w:bidi w:val="0"/>
        <w:rPr>
          <w:highlight w:val="none"/>
        </w:rPr>
      </w:pPr>
      <w:r>
        <w:rPr>
          <w:highlight w:val="none"/>
        </w:rPr>
        <w:t>（</w:t>
      </w:r>
      <w:r>
        <w:rPr>
          <w:rFonts w:hint="eastAsia"/>
          <w:highlight w:val="none"/>
          <w:lang w:val="en-US" w:eastAsia="zh-CN"/>
        </w:rPr>
        <w:t>25</w:t>
      </w:r>
      <w:r>
        <w:rPr>
          <w:highlight w:val="none"/>
        </w:rPr>
        <w:t>）《</w:t>
      </w:r>
      <w:r>
        <w:rPr>
          <w:rFonts w:hint="eastAsia" w:ascii="Times New Roman" w:hAnsi="Times New Roman" w:eastAsia="宋体" w:cs="Times New Roman"/>
          <w:highlight w:val="none"/>
        </w:rPr>
        <w:t>黑龙江省主体功能区规划</w:t>
      </w:r>
      <w:r>
        <w:rPr>
          <w:rFonts w:ascii="Times New Roman" w:hAnsi="Times New Roman" w:eastAsia="宋体" w:cs="Times New Roman"/>
          <w:highlight w:val="none"/>
        </w:rPr>
        <w:t>》</w:t>
      </w:r>
      <w:r>
        <w:rPr>
          <w:rFonts w:hint="eastAsia" w:ascii="Times New Roman" w:hAnsi="Times New Roman" w:eastAsia="宋体" w:cs="Times New Roman"/>
          <w:highlight w:val="none"/>
          <w:lang w:eastAsia="zh-CN"/>
        </w:rPr>
        <w:t>（</w:t>
      </w:r>
      <w:r>
        <w:rPr>
          <w:rFonts w:hint="eastAsia" w:ascii="Times New Roman" w:hAnsi="Times New Roman" w:eastAsia="宋体" w:cs="Times New Roman"/>
          <w:highlight w:val="none"/>
        </w:rPr>
        <w:t>黑政发[2012]29号</w:t>
      </w:r>
      <w:r>
        <w:rPr>
          <w:rFonts w:hint="eastAsia" w:ascii="Times New Roman" w:hAnsi="Times New Roman" w:eastAsia="宋体" w:cs="Times New Roman"/>
          <w:highlight w:val="none"/>
          <w:lang w:eastAsia="zh-CN"/>
        </w:rPr>
        <w:t>）</w:t>
      </w:r>
      <w:r>
        <w:rPr>
          <w:rFonts w:ascii="Times New Roman" w:hAnsi="Times New Roman" w:eastAsia="宋体" w:cs="Times New Roman"/>
          <w:highlight w:val="none"/>
        </w:rPr>
        <w:t>；</w:t>
      </w:r>
    </w:p>
    <w:p w14:paraId="37FA6B7B">
      <w:pPr>
        <w:bidi w:val="0"/>
        <w:rPr>
          <w:highlight w:val="none"/>
        </w:rPr>
      </w:pPr>
      <w:r>
        <w:rPr>
          <w:highlight w:val="none"/>
        </w:rPr>
        <w:t>（</w:t>
      </w:r>
      <w:r>
        <w:rPr>
          <w:rFonts w:hint="eastAsia"/>
          <w:highlight w:val="none"/>
          <w:lang w:val="en-US" w:eastAsia="zh-CN"/>
        </w:rPr>
        <w:t>26</w:t>
      </w:r>
      <w:r>
        <w:rPr>
          <w:highlight w:val="none"/>
        </w:rPr>
        <w:t>）《黑龙江省土壤污染防治实施方案》（黑政发[2016]46号）；</w:t>
      </w:r>
    </w:p>
    <w:p w14:paraId="06713E8A">
      <w:pPr>
        <w:bidi w:val="0"/>
        <w:rPr>
          <w:rFonts w:hint="eastAsia"/>
          <w:highlight w:val="none"/>
          <w:lang w:eastAsia="zh-CN"/>
        </w:rPr>
      </w:pPr>
      <w:r>
        <w:rPr>
          <w:highlight w:val="none"/>
        </w:rPr>
        <w:t>（</w:t>
      </w:r>
      <w:r>
        <w:rPr>
          <w:rFonts w:hint="eastAsia"/>
          <w:highlight w:val="none"/>
          <w:lang w:val="en-US" w:eastAsia="zh-CN"/>
        </w:rPr>
        <w:t>27</w:t>
      </w:r>
      <w:r>
        <w:rPr>
          <w:highlight w:val="none"/>
        </w:rPr>
        <w:t>）《黑龙江省环境保护条例》（2018年4月26日修正）</w:t>
      </w:r>
      <w:r>
        <w:rPr>
          <w:rFonts w:hint="eastAsia"/>
          <w:highlight w:val="none"/>
          <w:lang w:eastAsia="zh-CN"/>
        </w:rPr>
        <w:t>；</w:t>
      </w:r>
    </w:p>
    <w:p w14:paraId="28047163">
      <w:pPr>
        <w:bidi w:val="0"/>
        <w:rPr>
          <w:highlight w:val="none"/>
        </w:rPr>
      </w:pPr>
      <w:r>
        <w:rPr>
          <w:rFonts w:hint="eastAsia"/>
          <w:highlight w:val="none"/>
          <w:lang w:val="en-US" w:eastAsia="zh-CN"/>
        </w:rPr>
        <w:t>（28）《黑龙江省水污染防治条例》2023年12月1日</w:t>
      </w:r>
      <w:r>
        <w:rPr>
          <w:highlight w:val="none"/>
        </w:rPr>
        <w:t>。</w:t>
      </w:r>
    </w:p>
    <w:bookmarkEnd w:id="131"/>
    <w:p w14:paraId="74348169">
      <w:pPr>
        <w:pStyle w:val="4"/>
        <w:bidi w:val="0"/>
        <w:rPr>
          <w:highlight w:val="none"/>
        </w:rPr>
      </w:pPr>
      <w:bookmarkStart w:id="134" w:name="_Toc6165"/>
      <w:bookmarkStart w:id="135" w:name="_Toc5599"/>
      <w:r>
        <w:rPr>
          <w:highlight w:val="none"/>
        </w:rPr>
        <w:t>2.1.2相关技术规范</w:t>
      </w:r>
      <w:bookmarkEnd w:id="132"/>
      <w:bookmarkEnd w:id="133"/>
      <w:bookmarkEnd w:id="134"/>
      <w:bookmarkEnd w:id="135"/>
    </w:p>
    <w:p w14:paraId="5C2D0957">
      <w:pPr>
        <w:spacing w:line="360" w:lineRule="auto"/>
        <w:ind w:firstLine="480" w:firstLineChars="200"/>
        <w:contextualSpacing/>
        <w:rPr>
          <w:rFonts w:eastAsiaTheme="minorEastAsia"/>
          <w:snapToGrid w:val="0"/>
          <w:kern w:val="0"/>
          <w:sz w:val="24"/>
          <w:highlight w:val="none"/>
        </w:rPr>
      </w:pPr>
      <w:r>
        <w:rPr>
          <w:rFonts w:hAnsiTheme="minorEastAsia" w:eastAsiaTheme="minorEastAsia"/>
          <w:snapToGrid w:val="0"/>
          <w:kern w:val="0"/>
          <w:sz w:val="24"/>
          <w:highlight w:val="none"/>
        </w:rPr>
        <w:t>（</w:t>
      </w:r>
      <w:r>
        <w:rPr>
          <w:rFonts w:eastAsiaTheme="minorEastAsia"/>
          <w:snapToGrid w:val="0"/>
          <w:kern w:val="0"/>
          <w:sz w:val="24"/>
          <w:highlight w:val="none"/>
        </w:rPr>
        <w:t>1</w:t>
      </w:r>
      <w:r>
        <w:rPr>
          <w:rFonts w:hAnsiTheme="minorEastAsia" w:eastAsiaTheme="minorEastAsia"/>
          <w:snapToGrid w:val="0"/>
          <w:kern w:val="0"/>
          <w:sz w:val="24"/>
          <w:highlight w:val="none"/>
        </w:rPr>
        <w:t>）《建设项目环境影响评价技术导则总纲》（</w:t>
      </w:r>
      <w:r>
        <w:rPr>
          <w:rFonts w:eastAsiaTheme="minorEastAsia"/>
          <w:snapToGrid w:val="0"/>
          <w:kern w:val="0"/>
          <w:sz w:val="24"/>
          <w:highlight w:val="none"/>
        </w:rPr>
        <w:t>HJ2.1-2016</w:t>
      </w:r>
      <w:r>
        <w:rPr>
          <w:rFonts w:hAnsiTheme="minorEastAsia" w:eastAsiaTheme="minorEastAsia"/>
          <w:snapToGrid w:val="0"/>
          <w:kern w:val="0"/>
          <w:sz w:val="24"/>
          <w:highlight w:val="none"/>
        </w:rPr>
        <w:t>）；</w:t>
      </w:r>
    </w:p>
    <w:p w14:paraId="53974F53">
      <w:pPr>
        <w:spacing w:line="360" w:lineRule="auto"/>
        <w:ind w:firstLine="480" w:firstLineChars="200"/>
        <w:contextualSpacing/>
        <w:rPr>
          <w:rFonts w:eastAsiaTheme="minorEastAsia"/>
          <w:snapToGrid w:val="0"/>
          <w:kern w:val="0"/>
          <w:sz w:val="24"/>
          <w:highlight w:val="none"/>
        </w:rPr>
      </w:pPr>
      <w:r>
        <w:rPr>
          <w:rFonts w:hAnsiTheme="minorEastAsia" w:eastAsiaTheme="minorEastAsia"/>
          <w:snapToGrid w:val="0"/>
          <w:kern w:val="0"/>
          <w:sz w:val="24"/>
          <w:highlight w:val="none"/>
        </w:rPr>
        <w:t>（</w:t>
      </w:r>
      <w:r>
        <w:rPr>
          <w:rFonts w:eastAsiaTheme="minorEastAsia"/>
          <w:snapToGrid w:val="0"/>
          <w:kern w:val="0"/>
          <w:sz w:val="24"/>
          <w:highlight w:val="none"/>
        </w:rPr>
        <w:t>2</w:t>
      </w:r>
      <w:r>
        <w:rPr>
          <w:rFonts w:hAnsiTheme="minorEastAsia" w:eastAsiaTheme="minorEastAsia"/>
          <w:snapToGrid w:val="0"/>
          <w:kern w:val="0"/>
          <w:sz w:val="24"/>
          <w:highlight w:val="none"/>
        </w:rPr>
        <w:t>）《环境影响评价技术导则大气环境》（</w:t>
      </w:r>
      <w:r>
        <w:rPr>
          <w:rFonts w:eastAsiaTheme="minorEastAsia"/>
          <w:snapToGrid w:val="0"/>
          <w:kern w:val="0"/>
          <w:sz w:val="24"/>
          <w:highlight w:val="none"/>
        </w:rPr>
        <w:t>HJ2.2-2018</w:t>
      </w:r>
      <w:r>
        <w:rPr>
          <w:rFonts w:hAnsiTheme="minorEastAsia" w:eastAsiaTheme="minorEastAsia"/>
          <w:snapToGrid w:val="0"/>
          <w:kern w:val="0"/>
          <w:sz w:val="24"/>
          <w:highlight w:val="none"/>
        </w:rPr>
        <w:t>）；</w:t>
      </w:r>
    </w:p>
    <w:p w14:paraId="6E3F3FAF">
      <w:pPr>
        <w:spacing w:line="360" w:lineRule="auto"/>
        <w:ind w:firstLine="480" w:firstLineChars="200"/>
        <w:contextualSpacing/>
        <w:rPr>
          <w:rFonts w:eastAsiaTheme="minorEastAsia"/>
          <w:snapToGrid w:val="0"/>
          <w:kern w:val="0"/>
          <w:sz w:val="24"/>
          <w:highlight w:val="none"/>
        </w:rPr>
      </w:pPr>
      <w:r>
        <w:rPr>
          <w:rFonts w:hAnsiTheme="minorEastAsia" w:eastAsiaTheme="minorEastAsia"/>
          <w:snapToGrid w:val="0"/>
          <w:kern w:val="0"/>
          <w:sz w:val="24"/>
          <w:highlight w:val="none"/>
        </w:rPr>
        <w:t>（</w:t>
      </w:r>
      <w:r>
        <w:rPr>
          <w:rFonts w:eastAsiaTheme="minorEastAsia"/>
          <w:snapToGrid w:val="0"/>
          <w:kern w:val="0"/>
          <w:sz w:val="24"/>
          <w:highlight w:val="none"/>
        </w:rPr>
        <w:t>3</w:t>
      </w:r>
      <w:r>
        <w:rPr>
          <w:rFonts w:hAnsiTheme="minorEastAsia" w:eastAsiaTheme="minorEastAsia"/>
          <w:snapToGrid w:val="0"/>
          <w:kern w:val="0"/>
          <w:sz w:val="24"/>
          <w:highlight w:val="none"/>
        </w:rPr>
        <w:t>）《环境影响评价技术导则地表水环境》（</w:t>
      </w:r>
      <w:r>
        <w:rPr>
          <w:rFonts w:eastAsiaTheme="minorEastAsia"/>
          <w:snapToGrid w:val="0"/>
          <w:kern w:val="0"/>
          <w:sz w:val="24"/>
          <w:highlight w:val="none"/>
        </w:rPr>
        <w:t>HJ2.3-2018</w:t>
      </w:r>
      <w:r>
        <w:rPr>
          <w:rFonts w:hAnsiTheme="minorEastAsia" w:eastAsiaTheme="minorEastAsia"/>
          <w:snapToGrid w:val="0"/>
          <w:kern w:val="0"/>
          <w:sz w:val="24"/>
          <w:highlight w:val="none"/>
        </w:rPr>
        <w:t>）；</w:t>
      </w:r>
    </w:p>
    <w:p w14:paraId="03AFAB98">
      <w:pPr>
        <w:spacing w:line="360" w:lineRule="auto"/>
        <w:ind w:firstLine="480" w:firstLineChars="200"/>
        <w:contextualSpacing/>
        <w:rPr>
          <w:rFonts w:eastAsiaTheme="minorEastAsia"/>
          <w:snapToGrid w:val="0"/>
          <w:kern w:val="0"/>
          <w:sz w:val="24"/>
          <w:highlight w:val="none"/>
        </w:rPr>
      </w:pPr>
      <w:r>
        <w:rPr>
          <w:rFonts w:hAnsiTheme="minorEastAsia" w:eastAsiaTheme="minorEastAsia"/>
          <w:snapToGrid w:val="0"/>
          <w:kern w:val="0"/>
          <w:sz w:val="24"/>
          <w:highlight w:val="none"/>
        </w:rPr>
        <w:t>（</w:t>
      </w:r>
      <w:r>
        <w:rPr>
          <w:rFonts w:eastAsiaTheme="minorEastAsia"/>
          <w:snapToGrid w:val="0"/>
          <w:kern w:val="0"/>
          <w:sz w:val="24"/>
          <w:highlight w:val="none"/>
        </w:rPr>
        <w:t>4</w:t>
      </w:r>
      <w:r>
        <w:rPr>
          <w:rFonts w:hAnsiTheme="minorEastAsia" w:eastAsiaTheme="minorEastAsia"/>
          <w:snapToGrid w:val="0"/>
          <w:kern w:val="0"/>
          <w:sz w:val="24"/>
          <w:highlight w:val="none"/>
        </w:rPr>
        <w:t>）《环境影响评价技术导则声环境》（</w:t>
      </w:r>
      <w:r>
        <w:rPr>
          <w:rFonts w:eastAsiaTheme="minorEastAsia"/>
          <w:snapToGrid w:val="0"/>
          <w:kern w:val="0"/>
          <w:sz w:val="24"/>
          <w:highlight w:val="none"/>
        </w:rPr>
        <w:t>HJ2.4-2021</w:t>
      </w:r>
      <w:r>
        <w:rPr>
          <w:rFonts w:hAnsiTheme="minorEastAsia" w:eastAsiaTheme="minorEastAsia"/>
          <w:snapToGrid w:val="0"/>
          <w:kern w:val="0"/>
          <w:sz w:val="24"/>
          <w:highlight w:val="none"/>
        </w:rPr>
        <w:t>）；</w:t>
      </w:r>
    </w:p>
    <w:p w14:paraId="7480BE8D">
      <w:pPr>
        <w:spacing w:line="360" w:lineRule="auto"/>
        <w:ind w:firstLine="480" w:firstLineChars="200"/>
        <w:contextualSpacing/>
        <w:rPr>
          <w:rFonts w:eastAsiaTheme="minorEastAsia"/>
          <w:snapToGrid w:val="0"/>
          <w:kern w:val="0"/>
          <w:sz w:val="24"/>
          <w:highlight w:val="none"/>
        </w:rPr>
      </w:pPr>
      <w:r>
        <w:rPr>
          <w:rFonts w:hAnsiTheme="minorEastAsia" w:eastAsiaTheme="minorEastAsia"/>
          <w:snapToGrid w:val="0"/>
          <w:kern w:val="0"/>
          <w:sz w:val="24"/>
          <w:highlight w:val="none"/>
        </w:rPr>
        <w:t>（</w:t>
      </w:r>
      <w:r>
        <w:rPr>
          <w:rFonts w:eastAsiaTheme="minorEastAsia"/>
          <w:snapToGrid w:val="0"/>
          <w:kern w:val="0"/>
          <w:sz w:val="24"/>
          <w:highlight w:val="none"/>
        </w:rPr>
        <w:t>5</w:t>
      </w:r>
      <w:r>
        <w:rPr>
          <w:rFonts w:hAnsiTheme="minorEastAsia" w:eastAsiaTheme="minorEastAsia"/>
          <w:snapToGrid w:val="0"/>
          <w:kern w:val="0"/>
          <w:sz w:val="24"/>
          <w:highlight w:val="none"/>
        </w:rPr>
        <w:t>）《环境影响评价技术导则地下水环境》（</w:t>
      </w:r>
      <w:r>
        <w:rPr>
          <w:rFonts w:eastAsiaTheme="minorEastAsia"/>
          <w:snapToGrid w:val="0"/>
          <w:kern w:val="0"/>
          <w:sz w:val="24"/>
          <w:highlight w:val="none"/>
        </w:rPr>
        <w:t>HJ610-2016</w:t>
      </w:r>
      <w:r>
        <w:rPr>
          <w:rFonts w:hAnsiTheme="minorEastAsia" w:eastAsiaTheme="minorEastAsia"/>
          <w:snapToGrid w:val="0"/>
          <w:kern w:val="0"/>
          <w:sz w:val="24"/>
          <w:highlight w:val="none"/>
        </w:rPr>
        <w:t>）；</w:t>
      </w:r>
    </w:p>
    <w:p w14:paraId="30589921">
      <w:pPr>
        <w:spacing w:line="360" w:lineRule="auto"/>
        <w:ind w:firstLine="480" w:firstLineChars="200"/>
        <w:contextualSpacing/>
        <w:rPr>
          <w:rFonts w:eastAsiaTheme="minorEastAsia"/>
          <w:snapToGrid w:val="0"/>
          <w:kern w:val="0"/>
          <w:sz w:val="24"/>
          <w:highlight w:val="none"/>
        </w:rPr>
      </w:pPr>
      <w:r>
        <w:rPr>
          <w:rFonts w:hAnsiTheme="minorEastAsia" w:eastAsiaTheme="minorEastAsia"/>
          <w:snapToGrid w:val="0"/>
          <w:kern w:val="0"/>
          <w:sz w:val="24"/>
          <w:highlight w:val="none"/>
        </w:rPr>
        <w:t>（</w:t>
      </w:r>
      <w:r>
        <w:rPr>
          <w:rFonts w:eastAsiaTheme="minorEastAsia"/>
          <w:snapToGrid w:val="0"/>
          <w:kern w:val="0"/>
          <w:sz w:val="24"/>
          <w:highlight w:val="none"/>
        </w:rPr>
        <w:t>6</w:t>
      </w:r>
      <w:r>
        <w:rPr>
          <w:rFonts w:hAnsiTheme="minorEastAsia" w:eastAsiaTheme="minorEastAsia"/>
          <w:snapToGrid w:val="0"/>
          <w:kern w:val="0"/>
          <w:sz w:val="24"/>
          <w:highlight w:val="none"/>
        </w:rPr>
        <w:t>）《环境影响评价技术导则生态影响》（</w:t>
      </w:r>
      <w:r>
        <w:rPr>
          <w:rFonts w:eastAsiaTheme="minorEastAsia"/>
          <w:snapToGrid w:val="0"/>
          <w:kern w:val="0"/>
          <w:sz w:val="24"/>
          <w:highlight w:val="none"/>
        </w:rPr>
        <w:t>HJ19-2022</w:t>
      </w:r>
      <w:r>
        <w:rPr>
          <w:rFonts w:hAnsiTheme="minorEastAsia" w:eastAsiaTheme="minorEastAsia"/>
          <w:snapToGrid w:val="0"/>
          <w:kern w:val="0"/>
          <w:sz w:val="24"/>
          <w:highlight w:val="none"/>
        </w:rPr>
        <w:t>）；</w:t>
      </w:r>
    </w:p>
    <w:p w14:paraId="1D5A138B">
      <w:pPr>
        <w:spacing w:line="360" w:lineRule="auto"/>
        <w:ind w:firstLine="480" w:firstLineChars="200"/>
        <w:contextualSpacing/>
        <w:rPr>
          <w:rFonts w:eastAsiaTheme="minorEastAsia"/>
          <w:snapToGrid w:val="0"/>
          <w:kern w:val="0"/>
          <w:sz w:val="24"/>
          <w:highlight w:val="none"/>
        </w:rPr>
      </w:pPr>
      <w:r>
        <w:rPr>
          <w:rFonts w:hAnsiTheme="minorEastAsia" w:eastAsiaTheme="minorEastAsia"/>
          <w:snapToGrid w:val="0"/>
          <w:kern w:val="0"/>
          <w:sz w:val="24"/>
          <w:highlight w:val="none"/>
        </w:rPr>
        <w:t>（</w:t>
      </w:r>
      <w:r>
        <w:rPr>
          <w:rFonts w:eastAsiaTheme="minorEastAsia"/>
          <w:snapToGrid w:val="0"/>
          <w:kern w:val="0"/>
          <w:sz w:val="24"/>
          <w:highlight w:val="none"/>
        </w:rPr>
        <w:t>7</w:t>
      </w:r>
      <w:r>
        <w:rPr>
          <w:rFonts w:hAnsiTheme="minorEastAsia" w:eastAsiaTheme="minorEastAsia"/>
          <w:snapToGrid w:val="0"/>
          <w:kern w:val="0"/>
          <w:sz w:val="24"/>
          <w:highlight w:val="none"/>
        </w:rPr>
        <w:t>）《环境影响评价技术导则土壤环境（试行）》（</w:t>
      </w:r>
      <w:r>
        <w:rPr>
          <w:rFonts w:eastAsiaTheme="minorEastAsia"/>
          <w:snapToGrid w:val="0"/>
          <w:kern w:val="0"/>
          <w:sz w:val="24"/>
          <w:highlight w:val="none"/>
        </w:rPr>
        <w:t>HJ964-2018</w:t>
      </w:r>
      <w:r>
        <w:rPr>
          <w:rFonts w:hAnsiTheme="minorEastAsia" w:eastAsiaTheme="minorEastAsia"/>
          <w:snapToGrid w:val="0"/>
          <w:kern w:val="0"/>
          <w:sz w:val="24"/>
          <w:highlight w:val="none"/>
        </w:rPr>
        <w:t>）；</w:t>
      </w:r>
    </w:p>
    <w:p w14:paraId="1C2C5A1D">
      <w:pPr>
        <w:spacing w:line="360" w:lineRule="auto"/>
        <w:ind w:firstLine="480" w:firstLineChars="200"/>
        <w:contextualSpacing/>
        <w:rPr>
          <w:rFonts w:eastAsiaTheme="minorEastAsia"/>
          <w:snapToGrid w:val="0"/>
          <w:kern w:val="0"/>
          <w:sz w:val="24"/>
          <w:highlight w:val="none"/>
        </w:rPr>
      </w:pPr>
      <w:r>
        <w:rPr>
          <w:rFonts w:hAnsiTheme="minorEastAsia" w:eastAsiaTheme="minorEastAsia"/>
          <w:snapToGrid w:val="0"/>
          <w:kern w:val="0"/>
          <w:sz w:val="24"/>
          <w:highlight w:val="none"/>
        </w:rPr>
        <w:t>（</w:t>
      </w:r>
      <w:r>
        <w:rPr>
          <w:rFonts w:eastAsiaTheme="minorEastAsia"/>
          <w:snapToGrid w:val="0"/>
          <w:kern w:val="0"/>
          <w:sz w:val="24"/>
          <w:highlight w:val="none"/>
        </w:rPr>
        <w:t>8</w:t>
      </w:r>
      <w:r>
        <w:rPr>
          <w:rFonts w:hAnsiTheme="minorEastAsia" w:eastAsiaTheme="minorEastAsia"/>
          <w:snapToGrid w:val="0"/>
          <w:kern w:val="0"/>
          <w:sz w:val="24"/>
          <w:highlight w:val="none"/>
        </w:rPr>
        <w:t>）《建设项目环境风险评价技术导则》（</w:t>
      </w:r>
      <w:r>
        <w:rPr>
          <w:rFonts w:eastAsiaTheme="minorEastAsia"/>
          <w:snapToGrid w:val="0"/>
          <w:kern w:val="0"/>
          <w:sz w:val="24"/>
          <w:highlight w:val="none"/>
        </w:rPr>
        <w:t>HJ169-2018</w:t>
      </w:r>
      <w:r>
        <w:rPr>
          <w:rFonts w:hAnsiTheme="minorEastAsia" w:eastAsiaTheme="minorEastAsia"/>
          <w:snapToGrid w:val="0"/>
          <w:kern w:val="0"/>
          <w:sz w:val="24"/>
          <w:highlight w:val="none"/>
        </w:rPr>
        <w:t>）；</w:t>
      </w:r>
    </w:p>
    <w:p w14:paraId="275D3118">
      <w:pPr>
        <w:spacing w:line="360" w:lineRule="auto"/>
        <w:ind w:firstLine="480" w:firstLineChars="200"/>
        <w:contextualSpacing/>
        <w:rPr>
          <w:rFonts w:eastAsiaTheme="minorEastAsia"/>
          <w:snapToGrid w:val="0"/>
          <w:kern w:val="0"/>
          <w:sz w:val="24"/>
          <w:highlight w:val="none"/>
        </w:rPr>
      </w:pPr>
      <w:r>
        <w:rPr>
          <w:rFonts w:hAnsiTheme="minorEastAsia" w:eastAsiaTheme="minorEastAsia"/>
          <w:snapToGrid w:val="0"/>
          <w:kern w:val="0"/>
          <w:sz w:val="24"/>
          <w:highlight w:val="none"/>
        </w:rPr>
        <w:t>（</w:t>
      </w:r>
      <w:r>
        <w:rPr>
          <w:rFonts w:eastAsiaTheme="minorEastAsia"/>
          <w:snapToGrid w:val="0"/>
          <w:kern w:val="0"/>
          <w:sz w:val="24"/>
          <w:highlight w:val="none"/>
        </w:rPr>
        <w:t>9</w:t>
      </w:r>
      <w:r>
        <w:rPr>
          <w:rFonts w:hAnsiTheme="minorEastAsia" w:eastAsiaTheme="minorEastAsia"/>
          <w:snapToGrid w:val="0"/>
          <w:kern w:val="0"/>
          <w:sz w:val="24"/>
          <w:highlight w:val="none"/>
        </w:rPr>
        <w:t>）《排污许可证申请与核发技术规范</w:t>
      </w:r>
      <w:r>
        <w:rPr>
          <w:rFonts w:eastAsiaTheme="minorEastAsia"/>
          <w:snapToGrid w:val="0"/>
          <w:kern w:val="0"/>
          <w:sz w:val="24"/>
          <w:highlight w:val="none"/>
        </w:rPr>
        <w:t>—</w:t>
      </w:r>
      <w:r>
        <w:rPr>
          <w:rFonts w:hAnsiTheme="minorEastAsia" w:eastAsiaTheme="minorEastAsia"/>
          <w:snapToGrid w:val="0"/>
          <w:kern w:val="0"/>
          <w:sz w:val="24"/>
          <w:highlight w:val="none"/>
        </w:rPr>
        <w:t>汽车制造业》（</w:t>
      </w:r>
      <w:r>
        <w:rPr>
          <w:rFonts w:eastAsiaTheme="minorEastAsia"/>
          <w:snapToGrid w:val="0"/>
          <w:kern w:val="0"/>
          <w:sz w:val="24"/>
          <w:highlight w:val="none"/>
        </w:rPr>
        <w:t>HJ971—2018</w:t>
      </w:r>
      <w:r>
        <w:rPr>
          <w:rFonts w:hAnsiTheme="minorEastAsia" w:eastAsiaTheme="minorEastAsia"/>
          <w:snapToGrid w:val="0"/>
          <w:kern w:val="0"/>
          <w:sz w:val="24"/>
          <w:highlight w:val="none"/>
        </w:rPr>
        <w:t>）；</w:t>
      </w:r>
    </w:p>
    <w:p w14:paraId="02B064E8">
      <w:pPr>
        <w:spacing w:line="360" w:lineRule="auto"/>
        <w:ind w:firstLine="480" w:firstLineChars="200"/>
        <w:contextualSpacing/>
        <w:rPr>
          <w:rFonts w:hAnsiTheme="minorEastAsia" w:eastAsiaTheme="minorEastAsia"/>
          <w:snapToGrid w:val="0"/>
          <w:kern w:val="0"/>
          <w:sz w:val="24"/>
          <w:highlight w:val="none"/>
        </w:rPr>
      </w:pPr>
      <w:r>
        <w:rPr>
          <w:rFonts w:hAnsiTheme="minorEastAsia" w:eastAsiaTheme="minorEastAsia"/>
          <w:snapToGrid w:val="0"/>
          <w:kern w:val="0"/>
          <w:sz w:val="24"/>
          <w:highlight w:val="none"/>
        </w:rPr>
        <w:t>（</w:t>
      </w:r>
      <w:r>
        <w:rPr>
          <w:rFonts w:eastAsiaTheme="minorEastAsia"/>
          <w:snapToGrid w:val="0"/>
          <w:kern w:val="0"/>
          <w:sz w:val="24"/>
          <w:highlight w:val="none"/>
        </w:rPr>
        <w:t>10</w:t>
      </w:r>
      <w:r>
        <w:rPr>
          <w:rFonts w:hAnsiTheme="minorEastAsia" w:eastAsiaTheme="minorEastAsia"/>
          <w:snapToGrid w:val="0"/>
          <w:kern w:val="0"/>
          <w:sz w:val="24"/>
          <w:highlight w:val="none"/>
        </w:rPr>
        <w:t>）《污染源源强核算技术指南汽车制造》（</w:t>
      </w:r>
      <w:r>
        <w:rPr>
          <w:rFonts w:eastAsiaTheme="minorEastAsia"/>
          <w:snapToGrid w:val="0"/>
          <w:kern w:val="0"/>
          <w:sz w:val="24"/>
          <w:highlight w:val="none"/>
        </w:rPr>
        <w:t>HJ1097—2020</w:t>
      </w:r>
      <w:r>
        <w:rPr>
          <w:rFonts w:hAnsiTheme="minorEastAsia" w:eastAsiaTheme="minorEastAsia"/>
          <w:snapToGrid w:val="0"/>
          <w:kern w:val="0"/>
          <w:sz w:val="24"/>
          <w:highlight w:val="none"/>
        </w:rPr>
        <w:t>）；</w:t>
      </w:r>
    </w:p>
    <w:p w14:paraId="5D4D2FA0">
      <w:pPr>
        <w:spacing w:line="360" w:lineRule="auto"/>
        <w:ind w:firstLine="480" w:firstLineChars="200"/>
        <w:contextualSpacing/>
        <w:rPr>
          <w:rFonts w:eastAsiaTheme="minorEastAsia"/>
          <w:snapToGrid w:val="0"/>
          <w:kern w:val="0"/>
          <w:sz w:val="24"/>
          <w:highlight w:val="none"/>
        </w:rPr>
      </w:pPr>
      <w:r>
        <w:rPr>
          <w:rFonts w:hAnsiTheme="minorEastAsia" w:eastAsiaTheme="minorEastAsia"/>
          <w:snapToGrid w:val="0"/>
          <w:kern w:val="0"/>
          <w:sz w:val="24"/>
          <w:highlight w:val="none"/>
        </w:rPr>
        <w:t>（</w:t>
      </w:r>
      <w:r>
        <w:rPr>
          <w:rFonts w:hint="eastAsia" w:eastAsiaTheme="minorEastAsia"/>
          <w:snapToGrid w:val="0"/>
          <w:kern w:val="0"/>
          <w:sz w:val="24"/>
          <w:highlight w:val="none"/>
          <w:lang w:val="en-US" w:eastAsia="zh-CN"/>
        </w:rPr>
        <w:t>11</w:t>
      </w:r>
      <w:r>
        <w:rPr>
          <w:rFonts w:hAnsiTheme="minorEastAsia" w:eastAsiaTheme="minorEastAsia"/>
          <w:snapToGrid w:val="0"/>
          <w:kern w:val="0"/>
          <w:sz w:val="24"/>
          <w:highlight w:val="none"/>
        </w:rPr>
        <w:t>）《关于做好环境影响评价制度与排污许可制衔接相关工作的通知》（环办环评</w:t>
      </w:r>
      <w:r>
        <w:rPr>
          <w:rFonts w:eastAsiaTheme="minorEastAsia"/>
          <w:snapToGrid w:val="0"/>
          <w:kern w:val="0"/>
          <w:sz w:val="24"/>
          <w:highlight w:val="none"/>
        </w:rPr>
        <w:t>[2017]84</w:t>
      </w:r>
      <w:r>
        <w:rPr>
          <w:rFonts w:hAnsiTheme="minorEastAsia" w:eastAsiaTheme="minorEastAsia"/>
          <w:snapToGrid w:val="0"/>
          <w:kern w:val="0"/>
          <w:sz w:val="24"/>
          <w:highlight w:val="none"/>
        </w:rPr>
        <w:t>号）；</w:t>
      </w:r>
    </w:p>
    <w:p w14:paraId="5580AF88">
      <w:pPr>
        <w:spacing w:line="360" w:lineRule="auto"/>
        <w:ind w:firstLine="480" w:firstLineChars="200"/>
        <w:contextualSpacing/>
        <w:rPr>
          <w:rFonts w:eastAsiaTheme="minorEastAsia"/>
          <w:snapToGrid w:val="0"/>
          <w:kern w:val="0"/>
          <w:sz w:val="24"/>
          <w:highlight w:val="none"/>
        </w:rPr>
      </w:pPr>
      <w:r>
        <w:rPr>
          <w:rFonts w:hAnsiTheme="minorEastAsia" w:eastAsiaTheme="minorEastAsia"/>
          <w:snapToGrid w:val="0"/>
          <w:kern w:val="0"/>
          <w:sz w:val="24"/>
          <w:highlight w:val="none"/>
        </w:rPr>
        <w:t>（</w:t>
      </w:r>
      <w:r>
        <w:rPr>
          <w:rFonts w:eastAsiaTheme="minorEastAsia"/>
          <w:snapToGrid w:val="0"/>
          <w:kern w:val="0"/>
          <w:sz w:val="24"/>
          <w:highlight w:val="none"/>
        </w:rPr>
        <w:t>1</w:t>
      </w:r>
      <w:r>
        <w:rPr>
          <w:rFonts w:hint="eastAsia" w:eastAsiaTheme="minorEastAsia"/>
          <w:snapToGrid w:val="0"/>
          <w:kern w:val="0"/>
          <w:sz w:val="24"/>
          <w:highlight w:val="none"/>
          <w:lang w:val="en-US" w:eastAsia="zh-CN"/>
        </w:rPr>
        <w:t>2</w:t>
      </w:r>
      <w:r>
        <w:rPr>
          <w:rFonts w:hAnsiTheme="minorEastAsia" w:eastAsiaTheme="minorEastAsia"/>
          <w:snapToGrid w:val="0"/>
          <w:kern w:val="0"/>
          <w:sz w:val="24"/>
          <w:highlight w:val="none"/>
        </w:rPr>
        <w:t>）</w:t>
      </w:r>
      <w:r>
        <w:rPr>
          <w:rFonts w:hint="eastAsia" w:ascii="Times New Roman" w:hAnsi="Times New Roman" w:eastAsia="宋体" w:cs="Times New Roman"/>
          <w:highlight w:val="none"/>
        </w:rPr>
        <w:t>《固体废物再生利用污染防治技术导则》（HJ1091-2020）</w:t>
      </w:r>
      <w:r>
        <w:rPr>
          <w:rFonts w:hAnsiTheme="minorEastAsia" w:eastAsiaTheme="minorEastAsia"/>
          <w:snapToGrid w:val="0"/>
          <w:kern w:val="0"/>
          <w:sz w:val="24"/>
          <w:highlight w:val="none"/>
        </w:rPr>
        <w:t>；</w:t>
      </w:r>
    </w:p>
    <w:p w14:paraId="3A3D04DD">
      <w:pPr>
        <w:spacing w:line="360" w:lineRule="auto"/>
        <w:ind w:firstLine="480" w:firstLineChars="200"/>
        <w:contextualSpacing/>
        <w:rPr>
          <w:rFonts w:ascii="Times New Roman" w:cs="Times New Roman" w:hAnsiTheme="minorEastAsia" w:eastAsiaTheme="minorEastAsia"/>
          <w:snapToGrid w:val="0"/>
          <w:kern w:val="0"/>
          <w:sz w:val="24"/>
          <w:highlight w:val="none"/>
        </w:rPr>
      </w:pPr>
      <w:r>
        <w:rPr>
          <w:rFonts w:ascii="Times New Roman" w:cs="Times New Roman" w:hAnsiTheme="minorEastAsia" w:eastAsiaTheme="minorEastAsia"/>
          <w:snapToGrid w:val="0"/>
          <w:kern w:val="0"/>
          <w:sz w:val="24"/>
          <w:highlight w:val="none"/>
        </w:rPr>
        <w:t>（1</w:t>
      </w:r>
      <w:r>
        <w:rPr>
          <w:rFonts w:hint="eastAsia" w:ascii="Times New Roman" w:cs="Times New Roman" w:hAnsiTheme="minorEastAsia" w:eastAsiaTheme="minorEastAsia"/>
          <w:snapToGrid w:val="0"/>
          <w:kern w:val="0"/>
          <w:sz w:val="24"/>
          <w:highlight w:val="none"/>
          <w:lang w:val="en-US" w:eastAsia="zh-CN"/>
        </w:rPr>
        <w:t>3</w:t>
      </w:r>
      <w:r>
        <w:rPr>
          <w:rFonts w:ascii="Times New Roman" w:cs="Times New Roman" w:hAnsiTheme="minorEastAsia" w:eastAsiaTheme="minorEastAsia"/>
          <w:snapToGrid w:val="0"/>
          <w:kern w:val="0"/>
          <w:sz w:val="24"/>
          <w:highlight w:val="none"/>
        </w:rPr>
        <w:t>）《建设项目危险废物环境影响评价指南》，环境保护部公告2017年第43号，2017年10月01日；</w:t>
      </w:r>
    </w:p>
    <w:p w14:paraId="27B4F633">
      <w:pPr>
        <w:spacing w:line="360" w:lineRule="auto"/>
        <w:ind w:firstLine="480" w:firstLineChars="200"/>
        <w:contextualSpacing/>
        <w:rPr>
          <w:rFonts w:hint="eastAsia" w:ascii="Times New Roman" w:cs="Times New Roman" w:hAnsiTheme="minorEastAsia" w:eastAsiaTheme="minorEastAsia"/>
          <w:snapToGrid w:val="0"/>
          <w:kern w:val="0"/>
          <w:sz w:val="24"/>
          <w:highlight w:val="none"/>
        </w:rPr>
      </w:pPr>
      <w:r>
        <w:rPr>
          <w:rFonts w:hint="eastAsia" w:ascii="Times New Roman" w:cs="Times New Roman" w:hAnsiTheme="minorEastAsia" w:eastAsiaTheme="minorEastAsia"/>
          <w:snapToGrid w:val="0"/>
          <w:kern w:val="0"/>
          <w:sz w:val="24"/>
          <w:highlight w:val="none"/>
          <w:lang w:eastAsia="zh-CN"/>
        </w:rPr>
        <w:t>（</w:t>
      </w:r>
      <w:r>
        <w:rPr>
          <w:rFonts w:hint="eastAsia" w:ascii="Times New Roman" w:cs="Times New Roman" w:hAnsiTheme="minorEastAsia" w:eastAsiaTheme="minorEastAsia"/>
          <w:snapToGrid w:val="0"/>
          <w:kern w:val="0"/>
          <w:sz w:val="24"/>
          <w:highlight w:val="none"/>
          <w:lang w:val="en-US" w:eastAsia="zh-CN"/>
        </w:rPr>
        <w:t>14</w:t>
      </w:r>
      <w:r>
        <w:rPr>
          <w:rFonts w:hint="eastAsia" w:ascii="Times New Roman" w:cs="Times New Roman" w:hAnsiTheme="minorEastAsia" w:eastAsiaTheme="minorEastAsia"/>
          <w:snapToGrid w:val="0"/>
          <w:kern w:val="0"/>
          <w:sz w:val="24"/>
          <w:highlight w:val="none"/>
          <w:lang w:eastAsia="zh-CN"/>
        </w:rPr>
        <w:t>）</w:t>
      </w:r>
      <w:r>
        <w:rPr>
          <w:rFonts w:hint="eastAsia" w:ascii="Times New Roman" w:cs="Times New Roman" w:hAnsiTheme="minorEastAsia" w:eastAsiaTheme="minorEastAsia"/>
          <w:snapToGrid w:val="0"/>
          <w:kern w:val="0"/>
          <w:sz w:val="24"/>
          <w:highlight w:val="none"/>
        </w:rPr>
        <w:t>《危险废物污染防治技术政策》（环发[2001]199号）</w:t>
      </w:r>
    </w:p>
    <w:p w14:paraId="00782F37">
      <w:pPr>
        <w:bidi w:val="0"/>
        <w:rPr>
          <w:rFonts w:hint="default"/>
          <w:highlight w:val="none"/>
          <w:lang w:val="en-US" w:eastAsia="zh-CN"/>
        </w:rPr>
      </w:pPr>
      <w:r>
        <w:rPr>
          <w:rFonts w:hint="eastAsia" w:ascii="Times New Roman" w:cs="Times New Roman" w:hAnsiTheme="minorEastAsia" w:eastAsiaTheme="minorEastAsia"/>
          <w:snapToGrid w:val="0"/>
          <w:kern w:val="0"/>
          <w:highlight w:val="none"/>
          <w:lang w:eastAsia="zh-CN"/>
        </w:rPr>
        <w:t>（</w:t>
      </w:r>
      <w:r>
        <w:rPr>
          <w:rFonts w:hint="eastAsia" w:ascii="Times New Roman" w:cs="Times New Roman" w:hAnsiTheme="minorEastAsia" w:eastAsiaTheme="minorEastAsia"/>
          <w:snapToGrid w:val="0"/>
          <w:kern w:val="0"/>
          <w:highlight w:val="none"/>
          <w:lang w:val="en-US" w:eastAsia="zh-CN"/>
        </w:rPr>
        <w:t>15</w:t>
      </w:r>
      <w:r>
        <w:rPr>
          <w:rFonts w:hint="eastAsia" w:ascii="Times New Roman" w:cs="Times New Roman" w:hAnsiTheme="minorEastAsia" w:eastAsiaTheme="minorEastAsia"/>
          <w:snapToGrid w:val="0"/>
          <w:kern w:val="0"/>
          <w:highlight w:val="none"/>
          <w:lang w:eastAsia="zh-CN"/>
        </w:rPr>
        <w:t>）</w:t>
      </w:r>
      <w:r>
        <w:rPr>
          <w:rFonts w:hint="eastAsia" w:ascii="Times New Roman" w:cs="Times New Roman" w:hAnsiTheme="minorEastAsia" w:eastAsiaTheme="minorEastAsia"/>
          <w:snapToGrid w:val="0"/>
          <w:kern w:val="0"/>
          <w:highlight w:val="none"/>
        </w:rPr>
        <w:t>《排污许可证申请与核发技术规范工业固体废物和危险废物治理》</w:t>
      </w:r>
      <w:r>
        <w:rPr>
          <w:rFonts w:hint="eastAsia" w:ascii="Times New Roman" w:cs="Times New Roman" w:hAnsiTheme="minorEastAsia" w:eastAsiaTheme="minorEastAsia"/>
          <w:snapToGrid w:val="0"/>
          <w:kern w:val="0"/>
          <w:highlight w:val="none"/>
          <w:lang w:eastAsia="zh-CN"/>
        </w:rPr>
        <w:t>（</w:t>
      </w:r>
      <w:r>
        <w:rPr>
          <w:rFonts w:hint="eastAsia"/>
          <w:highlight w:val="none"/>
        </w:rPr>
        <w:t>HJ1033-2019</w:t>
      </w:r>
      <w:r>
        <w:rPr>
          <w:rFonts w:hint="eastAsia"/>
          <w:highlight w:val="none"/>
          <w:lang w:eastAsia="zh-CN"/>
        </w:rPr>
        <w:t>）；</w:t>
      </w:r>
    </w:p>
    <w:p w14:paraId="34CA4BC2">
      <w:pPr>
        <w:bidi w:val="0"/>
        <w:rPr>
          <w:highlight w:val="none"/>
        </w:rPr>
      </w:pPr>
      <w:r>
        <w:rPr>
          <w:highlight w:val="none"/>
        </w:rPr>
        <w:t>（1</w:t>
      </w:r>
      <w:r>
        <w:rPr>
          <w:rFonts w:hint="eastAsia"/>
          <w:highlight w:val="none"/>
          <w:lang w:val="en-US" w:eastAsia="zh-CN"/>
        </w:rPr>
        <w:t>6</w:t>
      </w:r>
      <w:r>
        <w:rPr>
          <w:highlight w:val="none"/>
        </w:rPr>
        <w:t>）</w:t>
      </w:r>
      <w:r>
        <w:rPr>
          <w:rFonts w:hint="eastAsia"/>
          <w:highlight w:val="none"/>
        </w:rPr>
        <w:t>《危险废物收集贮存运输技术规范》（HJ2025-2012）</w:t>
      </w:r>
      <w:r>
        <w:rPr>
          <w:highlight w:val="none"/>
        </w:rPr>
        <w:t>；</w:t>
      </w:r>
    </w:p>
    <w:p w14:paraId="7EADCD1B">
      <w:pPr>
        <w:bidi w:val="0"/>
        <w:rPr>
          <w:rFonts w:ascii="Times New Roman" w:cs="Times New Roman" w:hAnsiTheme="minorEastAsia" w:eastAsiaTheme="minorEastAsia"/>
          <w:snapToGrid w:val="0"/>
          <w:kern w:val="0"/>
          <w:highlight w:val="none"/>
        </w:rPr>
      </w:pPr>
      <w:r>
        <w:rPr>
          <w:highlight w:val="none"/>
        </w:rPr>
        <w:t>（1</w:t>
      </w:r>
      <w:r>
        <w:rPr>
          <w:rFonts w:hint="eastAsia"/>
          <w:highlight w:val="none"/>
          <w:lang w:val="en-US" w:eastAsia="zh-CN"/>
        </w:rPr>
        <w:t>7</w:t>
      </w:r>
      <w:r>
        <w:rPr>
          <w:highlight w:val="none"/>
        </w:rPr>
        <w:t>）《排污许可管理条例》，国令</w:t>
      </w:r>
      <w:r>
        <w:rPr>
          <w:rFonts w:ascii="Times New Roman" w:cs="Times New Roman" w:hAnsiTheme="minorEastAsia" w:eastAsiaTheme="minorEastAsia"/>
          <w:snapToGrid w:val="0"/>
          <w:kern w:val="0"/>
          <w:highlight w:val="none"/>
        </w:rPr>
        <w:t>第736号；</w:t>
      </w:r>
    </w:p>
    <w:p w14:paraId="07E4FDB8">
      <w:pPr>
        <w:spacing w:line="360" w:lineRule="auto"/>
        <w:ind w:firstLine="480" w:firstLineChars="200"/>
        <w:contextualSpacing/>
        <w:rPr>
          <w:rFonts w:eastAsiaTheme="minorEastAsia"/>
          <w:snapToGrid w:val="0"/>
          <w:kern w:val="0"/>
          <w:sz w:val="24"/>
          <w:highlight w:val="none"/>
        </w:rPr>
      </w:pPr>
      <w:r>
        <w:rPr>
          <w:rFonts w:ascii="Times New Roman" w:cs="Times New Roman" w:hAnsiTheme="minorEastAsia" w:eastAsiaTheme="minorEastAsia"/>
          <w:snapToGrid w:val="0"/>
          <w:kern w:val="0"/>
          <w:sz w:val="24"/>
          <w:highlight w:val="none"/>
        </w:rPr>
        <w:t>（</w:t>
      </w:r>
      <w:r>
        <w:rPr>
          <w:rFonts w:hint="eastAsia" w:ascii="Times New Roman" w:cs="Times New Roman" w:hAnsiTheme="minorEastAsia" w:eastAsiaTheme="minorEastAsia"/>
          <w:snapToGrid w:val="0"/>
          <w:kern w:val="0"/>
          <w:sz w:val="24"/>
          <w:highlight w:val="none"/>
          <w:lang w:val="en-US" w:eastAsia="zh-CN"/>
        </w:rPr>
        <w:t>18</w:t>
      </w:r>
      <w:r>
        <w:rPr>
          <w:rFonts w:ascii="Times New Roman" w:cs="Times New Roman" w:hAnsiTheme="minorEastAsia" w:eastAsiaTheme="minorEastAsia"/>
          <w:snapToGrid w:val="0"/>
          <w:kern w:val="0"/>
          <w:sz w:val="24"/>
          <w:highlight w:val="none"/>
        </w:rPr>
        <w:t>）《危险废物贮存污染控制标准》（GB1859</w:t>
      </w:r>
      <w:r>
        <w:rPr>
          <w:rFonts w:hAnsiTheme="minorEastAsia" w:eastAsiaTheme="minorEastAsia"/>
          <w:kern w:val="21"/>
          <w:sz w:val="24"/>
          <w:highlight w:val="none"/>
        </w:rPr>
        <w:t>7-2023）</w:t>
      </w:r>
      <w:r>
        <w:rPr>
          <w:rFonts w:hAnsiTheme="minorEastAsia" w:eastAsiaTheme="minorEastAsia"/>
          <w:snapToGrid w:val="0"/>
          <w:kern w:val="0"/>
          <w:sz w:val="24"/>
          <w:highlight w:val="none"/>
        </w:rPr>
        <w:t>。</w:t>
      </w:r>
    </w:p>
    <w:p w14:paraId="39D5140C">
      <w:pPr>
        <w:pStyle w:val="4"/>
        <w:bidi w:val="0"/>
        <w:rPr>
          <w:highlight w:val="none"/>
        </w:rPr>
      </w:pPr>
      <w:bookmarkStart w:id="136" w:name="_Toc3499"/>
      <w:bookmarkStart w:id="137" w:name="_Toc524431282"/>
      <w:bookmarkStart w:id="138" w:name="_Toc31816"/>
      <w:bookmarkStart w:id="139" w:name="_Toc15991628"/>
      <w:r>
        <w:rPr>
          <w:highlight w:val="none"/>
        </w:rPr>
        <w:t>2.1.3相关政策及文件</w:t>
      </w:r>
      <w:bookmarkEnd w:id="136"/>
      <w:bookmarkEnd w:id="137"/>
      <w:bookmarkEnd w:id="138"/>
      <w:bookmarkEnd w:id="139"/>
    </w:p>
    <w:bookmarkEnd w:id="130"/>
    <w:p w14:paraId="2C2FC3C8">
      <w:pPr>
        <w:spacing w:line="360" w:lineRule="auto"/>
        <w:ind w:firstLine="480" w:firstLineChars="200"/>
        <w:contextualSpacing/>
        <w:rPr>
          <w:rFonts w:eastAsiaTheme="minorEastAsia"/>
          <w:snapToGrid w:val="0"/>
          <w:kern w:val="0"/>
          <w:sz w:val="24"/>
          <w:highlight w:val="none"/>
        </w:rPr>
      </w:pPr>
      <w:r>
        <w:rPr>
          <w:rFonts w:hAnsiTheme="minorEastAsia" w:eastAsiaTheme="minorEastAsia"/>
          <w:snapToGrid w:val="0"/>
          <w:kern w:val="0"/>
          <w:sz w:val="24"/>
          <w:highlight w:val="none"/>
        </w:rPr>
        <w:t>（</w:t>
      </w:r>
      <w:r>
        <w:rPr>
          <w:rFonts w:hint="eastAsia" w:eastAsiaTheme="minorEastAsia"/>
          <w:snapToGrid w:val="0"/>
          <w:kern w:val="0"/>
          <w:sz w:val="24"/>
          <w:highlight w:val="none"/>
          <w:lang w:val="en-US" w:eastAsia="zh-CN"/>
        </w:rPr>
        <w:t>1</w:t>
      </w:r>
      <w:r>
        <w:rPr>
          <w:rFonts w:hAnsiTheme="minorEastAsia" w:eastAsiaTheme="minorEastAsia"/>
          <w:snapToGrid w:val="0"/>
          <w:kern w:val="0"/>
          <w:sz w:val="24"/>
          <w:highlight w:val="none"/>
        </w:rPr>
        <w:t>）《哈尔滨市人民政府关于实施</w:t>
      </w:r>
      <w:r>
        <w:rPr>
          <w:rFonts w:hint="eastAsia" w:eastAsiaTheme="minorEastAsia"/>
          <w:snapToGrid w:val="0"/>
          <w:kern w:val="0"/>
          <w:sz w:val="24"/>
          <w:highlight w:val="none"/>
          <w:lang w:eastAsia="zh-CN"/>
        </w:rPr>
        <w:t>“</w:t>
      </w:r>
      <w:r>
        <w:rPr>
          <w:rFonts w:hAnsiTheme="minorEastAsia" w:eastAsiaTheme="minorEastAsia"/>
          <w:snapToGrid w:val="0"/>
          <w:kern w:val="0"/>
          <w:sz w:val="24"/>
          <w:highlight w:val="none"/>
        </w:rPr>
        <w:t>三线一单</w:t>
      </w:r>
      <w:r>
        <w:rPr>
          <w:rFonts w:hint="eastAsia" w:eastAsiaTheme="minorEastAsia"/>
          <w:snapToGrid w:val="0"/>
          <w:kern w:val="0"/>
          <w:sz w:val="24"/>
          <w:highlight w:val="none"/>
          <w:lang w:eastAsia="zh-CN"/>
        </w:rPr>
        <w:t>”</w:t>
      </w:r>
      <w:r>
        <w:rPr>
          <w:rFonts w:hAnsiTheme="minorEastAsia" w:eastAsiaTheme="minorEastAsia"/>
          <w:snapToGrid w:val="0"/>
          <w:kern w:val="0"/>
          <w:sz w:val="24"/>
          <w:highlight w:val="none"/>
        </w:rPr>
        <w:t>生态环境分区管控的意见》（哈政规</w:t>
      </w:r>
      <w:r>
        <w:rPr>
          <w:rFonts w:hint="eastAsia" w:hAnsiTheme="minorEastAsia" w:eastAsiaTheme="minorEastAsia"/>
          <w:snapToGrid w:val="0"/>
          <w:kern w:val="0"/>
          <w:sz w:val="24"/>
          <w:highlight w:val="none"/>
          <w:lang w:val="en-US" w:eastAsia="zh-CN"/>
        </w:rPr>
        <w:t>[</w:t>
      </w:r>
      <w:r>
        <w:rPr>
          <w:rFonts w:eastAsiaTheme="minorEastAsia"/>
          <w:snapToGrid w:val="0"/>
          <w:kern w:val="0"/>
          <w:sz w:val="24"/>
          <w:highlight w:val="none"/>
        </w:rPr>
        <w:t>2021</w:t>
      </w:r>
      <w:r>
        <w:rPr>
          <w:rFonts w:hint="eastAsia" w:hAnsiTheme="minorEastAsia" w:eastAsiaTheme="minorEastAsia"/>
          <w:snapToGrid w:val="0"/>
          <w:kern w:val="0"/>
          <w:sz w:val="24"/>
          <w:highlight w:val="none"/>
          <w:lang w:val="en-US" w:eastAsia="zh-CN"/>
        </w:rPr>
        <w:t>]</w:t>
      </w:r>
      <w:r>
        <w:rPr>
          <w:rFonts w:eastAsiaTheme="minorEastAsia"/>
          <w:snapToGrid w:val="0"/>
          <w:kern w:val="0"/>
          <w:sz w:val="24"/>
          <w:highlight w:val="none"/>
        </w:rPr>
        <w:t>7</w:t>
      </w:r>
      <w:r>
        <w:rPr>
          <w:rFonts w:hAnsiTheme="minorEastAsia" w:eastAsiaTheme="minorEastAsia"/>
          <w:snapToGrid w:val="0"/>
          <w:kern w:val="0"/>
          <w:sz w:val="24"/>
          <w:highlight w:val="none"/>
        </w:rPr>
        <w:t>号）；</w:t>
      </w:r>
    </w:p>
    <w:p w14:paraId="391D501D">
      <w:pPr>
        <w:spacing w:line="360" w:lineRule="auto"/>
        <w:ind w:firstLine="480" w:firstLineChars="200"/>
        <w:contextualSpacing/>
        <w:rPr>
          <w:rFonts w:eastAsiaTheme="minorEastAsia"/>
          <w:bCs/>
          <w:snapToGrid w:val="0"/>
          <w:kern w:val="0"/>
          <w:sz w:val="24"/>
          <w:highlight w:val="none"/>
        </w:rPr>
      </w:pPr>
      <w:r>
        <w:rPr>
          <w:rFonts w:hAnsiTheme="minorEastAsia" w:eastAsiaTheme="minorEastAsia"/>
          <w:snapToGrid w:val="0"/>
          <w:kern w:val="0"/>
          <w:sz w:val="24"/>
          <w:highlight w:val="none"/>
        </w:rPr>
        <w:t>（</w:t>
      </w:r>
      <w:r>
        <w:rPr>
          <w:rFonts w:hint="eastAsia" w:eastAsiaTheme="minorEastAsia"/>
          <w:snapToGrid w:val="0"/>
          <w:kern w:val="0"/>
          <w:sz w:val="24"/>
          <w:highlight w:val="none"/>
          <w:lang w:val="en-US" w:eastAsia="zh-CN"/>
        </w:rPr>
        <w:t>2</w:t>
      </w:r>
      <w:r>
        <w:rPr>
          <w:rFonts w:hAnsiTheme="minorEastAsia" w:eastAsiaTheme="minorEastAsia"/>
          <w:snapToGrid w:val="0"/>
          <w:kern w:val="0"/>
          <w:sz w:val="24"/>
          <w:highlight w:val="none"/>
        </w:rPr>
        <w:t>）</w:t>
      </w:r>
      <w:r>
        <w:rPr>
          <w:rFonts w:hint="eastAsia" w:hAnsiTheme="minorEastAsia" w:eastAsiaTheme="minorEastAsia"/>
          <w:bCs/>
          <w:snapToGrid w:val="0"/>
          <w:kern w:val="0"/>
          <w:sz w:val="24"/>
          <w:highlight w:val="none"/>
        </w:rPr>
        <w:t>《黑龙江省城乡固体废物分类治理布局规划（2019-2035年）2021年修订版》</w:t>
      </w:r>
      <w:r>
        <w:rPr>
          <w:rFonts w:hAnsiTheme="minorEastAsia" w:eastAsiaTheme="minorEastAsia"/>
          <w:bCs/>
          <w:snapToGrid w:val="0"/>
          <w:kern w:val="0"/>
          <w:sz w:val="24"/>
          <w:highlight w:val="none"/>
        </w:rPr>
        <w:t>；</w:t>
      </w:r>
    </w:p>
    <w:p w14:paraId="0C7A8322">
      <w:pPr>
        <w:spacing w:line="360" w:lineRule="auto"/>
        <w:ind w:firstLine="480" w:firstLineChars="200"/>
        <w:contextualSpacing/>
        <w:rPr>
          <w:rFonts w:eastAsiaTheme="minorEastAsia"/>
          <w:bCs/>
          <w:snapToGrid w:val="0"/>
          <w:kern w:val="0"/>
          <w:sz w:val="24"/>
          <w:highlight w:val="none"/>
        </w:rPr>
      </w:pPr>
      <w:r>
        <w:rPr>
          <w:rFonts w:hAnsiTheme="minorEastAsia" w:eastAsiaTheme="minorEastAsia"/>
          <w:bCs/>
          <w:snapToGrid w:val="0"/>
          <w:kern w:val="0"/>
          <w:sz w:val="24"/>
          <w:highlight w:val="none"/>
        </w:rPr>
        <w:t>（</w:t>
      </w:r>
      <w:r>
        <w:rPr>
          <w:rFonts w:hint="eastAsia" w:eastAsiaTheme="minorEastAsia"/>
          <w:bCs/>
          <w:snapToGrid w:val="0"/>
          <w:kern w:val="0"/>
          <w:sz w:val="24"/>
          <w:highlight w:val="none"/>
          <w:lang w:val="en-US" w:eastAsia="zh-CN"/>
        </w:rPr>
        <w:t>3</w:t>
      </w:r>
      <w:r>
        <w:rPr>
          <w:rFonts w:hAnsiTheme="minorEastAsia" w:eastAsiaTheme="minorEastAsia"/>
          <w:bCs/>
          <w:snapToGrid w:val="0"/>
          <w:kern w:val="0"/>
          <w:sz w:val="24"/>
          <w:highlight w:val="none"/>
        </w:rPr>
        <w:t>）《哈尔滨市大气环境质量限期达标规划（</w:t>
      </w:r>
      <w:r>
        <w:rPr>
          <w:rFonts w:eastAsiaTheme="minorEastAsia"/>
          <w:bCs/>
          <w:snapToGrid w:val="0"/>
          <w:kern w:val="0"/>
          <w:sz w:val="24"/>
          <w:highlight w:val="none"/>
        </w:rPr>
        <w:t>2020-2027</w:t>
      </w:r>
      <w:r>
        <w:rPr>
          <w:rFonts w:hAnsiTheme="minorEastAsia" w:eastAsiaTheme="minorEastAsia"/>
          <w:bCs/>
          <w:snapToGrid w:val="0"/>
          <w:kern w:val="0"/>
          <w:sz w:val="24"/>
          <w:highlight w:val="none"/>
        </w:rPr>
        <w:t>年）》（哈环发</w:t>
      </w:r>
      <w:r>
        <w:rPr>
          <w:rFonts w:eastAsiaTheme="minorEastAsia"/>
          <w:bCs/>
          <w:snapToGrid w:val="0"/>
          <w:kern w:val="0"/>
          <w:sz w:val="24"/>
          <w:highlight w:val="none"/>
        </w:rPr>
        <w:t>[2021]23</w:t>
      </w:r>
      <w:r>
        <w:rPr>
          <w:rFonts w:hAnsiTheme="minorEastAsia" w:eastAsiaTheme="minorEastAsia"/>
          <w:bCs/>
          <w:snapToGrid w:val="0"/>
          <w:kern w:val="0"/>
          <w:sz w:val="24"/>
          <w:highlight w:val="none"/>
        </w:rPr>
        <w:t>号）；</w:t>
      </w:r>
    </w:p>
    <w:p w14:paraId="19104ABB">
      <w:pPr>
        <w:spacing w:line="360" w:lineRule="auto"/>
        <w:ind w:firstLine="480" w:firstLineChars="200"/>
        <w:contextualSpacing/>
        <w:rPr>
          <w:rFonts w:eastAsiaTheme="minorEastAsia"/>
          <w:kern w:val="24"/>
          <w:sz w:val="24"/>
          <w:highlight w:val="none"/>
        </w:rPr>
      </w:pPr>
      <w:r>
        <w:rPr>
          <w:rFonts w:hAnsiTheme="minorEastAsia" w:eastAsiaTheme="minorEastAsia"/>
          <w:bCs/>
          <w:snapToGrid w:val="0"/>
          <w:kern w:val="0"/>
          <w:sz w:val="24"/>
          <w:highlight w:val="none"/>
        </w:rPr>
        <w:t>（</w:t>
      </w:r>
      <w:r>
        <w:rPr>
          <w:rFonts w:hint="eastAsia" w:eastAsiaTheme="minorEastAsia"/>
          <w:bCs/>
          <w:snapToGrid w:val="0"/>
          <w:kern w:val="0"/>
          <w:sz w:val="24"/>
          <w:highlight w:val="none"/>
          <w:lang w:val="en-US" w:eastAsia="zh-CN"/>
        </w:rPr>
        <w:t>4</w:t>
      </w:r>
      <w:r>
        <w:rPr>
          <w:rFonts w:hAnsiTheme="minorEastAsia" w:eastAsiaTheme="minorEastAsia"/>
          <w:bCs/>
          <w:snapToGrid w:val="0"/>
          <w:kern w:val="0"/>
          <w:sz w:val="24"/>
          <w:highlight w:val="none"/>
        </w:rPr>
        <w:t>）</w:t>
      </w:r>
      <w:r>
        <w:rPr>
          <w:rFonts w:hint="eastAsia" w:hAnsiTheme="minorEastAsia" w:eastAsiaTheme="minorEastAsia"/>
          <w:kern w:val="24"/>
          <w:sz w:val="24"/>
          <w:highlight w:val="none"/>
        </w:rPr>
        <w:t>《黑龙江省哈尔滨市城乡固体废物分类治理专项规划（2019-2035年）修编》</w:t>
      </w:r>
      <w:r>
        <w:rPr>
          <w:rFonts w:hAnsiTheme="minorEastAsia" w:eastAsiaTheme="minorEastAsia"/>
          <w:kern w:val="24"/>
          <w:sz w:val="24"/>
          <w:highlight w:val="none"/>
        </w:rPr>
        <w:t>；</w:t>
      </w:r>
    </w:p>
    <w:p w14:paraId="1B49BF63">
      <w:pPr>
        <w:spacing w:line="360" w:lineRule="auto"/>
        <w:ind w:firstLine="480" w:firstLineChars="200"/>
        <w:contextualSpacing/>
        <w:rPr>
          <w:rFonts w:eastAsiaTheme="minorEastAsia"/>
          <w:kern w:val="24"/>
          <w:sz w:val="24"/>
          <w:highlight w:val="none"/>
        </w:rPr>
      </w:pPr>
      <w:r>
        <w:rPr>
          <w:rFonts w:hAnsiTheme="minorEastAsia" w:eastAsiaTheme="minorEastAsia"/>
          <w:kern w:val="24"/>
          <w:sz w:val="24"/>
          <w:highlight w:val="none"/>
        </w:rPr>
        <w:t>（</w:t>
      </w:r>
      <w:r>
        <w:rPr>
          <w:rFonts w:hint="eastAsia" w:eastAsiaTheme="minorEastAsia"/>
          <w:kern w:val="24"/>
          <w:sz w:val="24"/>
          <w:highlight w:val="none"/>
          <w:lang w:val="en-US" w:eastAsia="zh-CN"/>
        </w:rPr>
        <w:t>5</w:t>
      </w:r>
      <w:r>
        <w:rPr>
          <w:rFonts w:hAnsiTheme="minorEastAsia" w:eastAsiaTheme="minorEastAsia"/>
          <w:kern w:val="24"/>
          <w:sz w:val="24"/>
          <w:highlight w:val="none"/>
        </w:rPr>
        <w:t>）</w:t>
      </w:r>
      <w:r>
        <w:rPr>
          <w:rFonts w:hint="eastAsia" w:hAnsiTheme="minorEastAsia" w:eastAsiaTheme="minorEastAsia"/>
          <w:kern w:val="24"/>
          <w:sz w:val="24"/>
          <w:highlight w:val="none"/>
        </w:rPr>
        <w:t>《黑龙江省哈尔滨市城乡固体废物分类治理专项规划（2019-2035年）（修编）环境影响报告书》</w:t>
      </w:r>
      <w:r>
        <w:rPr>
          <w:rFonts w:hint="eastAsia" w:hAnsiTheme="minorEastAsia" w:eastAsiaTheme="minorEastAsia"/>
          <w:kern w:val="24"/>
          <w:sz w:val="24"/>
          <w:highlight w:val="none"/>
          <w:lang w:eastAsia="zh-CN"/>
        </w:rPr>
        <w:t>（</w:t>
      </w:r>
      <w:r>
        <w:rPr>
          <w:rFonts w:hint="eastAsia" w:hAnsiTheme="minorEastAsia" w:eastAsiaTheme="minorEastAsia"/>
          <w:kern w:val="24"/>
          <w:sz w:val="24"/>
          <w:highlight w:val="none"/>
          <w:lang w:val="en-US" w:eastAsia="zh-CN"/>
        </w:rPr>
        <w:t>2021年12月</w:t>
      </w:r>
      <w:r>
        <w:rPr>
          <w:rFonts w:hint="eastAsia" w:hAnsiTheme="minorEastAsia" w:eastAsiaTheme="minorEastAsia"/>
          <w:kern w:val="24"/>
          <w:sz w:val="24"/>
          <w:highlight w:val="none"/>
          <w:lang w:eastAsia="zh-CN"/>
        </w:rPr>
        <w:t>）</w:t>
      </w:r>
      <w:r>
        <w:rPr>
          <w:rFonts w:hAnsiTheme="minorEastAsia" w:eastAsiaTheme="minorEastAsia"/>
          <w:kern w:val="24"/>
          <w:sz w:val="24"/>
          <w:highlight w:val="none"/>
        </w:rPr>
        <w:t>；</w:t>
      </w:r>
    </w:p>
    <w:p w14:paraId="17043FBC">
      <w:pPr>
        <w:spacing w:line="360" w:lineRule="auto"/>
        <w:ind w:firstLine="480" w:firstLineChars="200"/>
        <w:contextualSpacing/>
        <w:rPr>
          <w:rFonts w:hAnsiTheme="minorEastAsia" w:eastAsiaTheme="minorEastAsia"/>
          <w:kern w:val="24"/>
          <w:sz w:val="24"/>
          <w:highlight w:val="none"/>
        </w:rPr>
      </w:pPr>
      <w:r>
        <w:rPr>
          <w:rFonts w:hAnsiTheme="minorEastAsia" w:eastAsiaTheme="minorEastAsia"/>
          <w:kern w:val="24"/>
          <w:sz w:val="24"/>
          <w:highlight w:val="none"/>
        </w:rPr>
        <w:t>（</w:t>
      </w:r>
      <w:r>
        <w:rPr>
          <w:rFonts w:hint="eastAsia" w:eastAsiaTheme="minorEastAsia"/>
          <w:kern w:val="24"/>
          <w:sz w:val="24"/>
          <w:highlight w:val="none"/>
          <w:lang w:val="en-US" w:eastAsia="zh-CN"/>
        </w:rPr>
        <w:t>6</w:t>
      </w:r>
      <w:r>
        <w:rPr>
          <w:rFonts w:hAnsiTheme="minorEastAsia" w:eastAsiaTheme="minorEastAsia"/>
          <w:kern w:val="24"/>
          <w:sz w:val="24"/>
          <w:highlight w:val="none"/>
        </w:rPr>
        <w:t>）《</w:t>
      </w:r>
      <w:r>
        <w:rPr>
          <w:rFonts w:hint="eastAsia" w:hAnsiTheme="minorEastAsia" w:eastAsiaTheme="minorEastAsia"/>
          <w:kern w:val="24"/>
          <w:sz w:val="24"/>
          <w:highlight w:val="none"/>
        </w:rPr>
        <w:t>哈尔滨市生态环境局关于对黑龙江省哈尔滨市城乡固体废物分类治理专项规划</w:t>
      </w:r>
      <w:r>
        <w:rPr>
          <w:rFonts w:hint="eastAsia" w:hAnsiTheme="minorEastAsia" w:eastAsiaTheme="minorEastAsia"/>
          <w:kern w:val="24"/>
          <w:sz w:val="24"/>
          <w:highlight w:val="none"/>
          <w:lang w:eastAsia="zh-CN"/>
        </w:rPr>
        <w:t>（</w:t>
      </w:r>
      <w:r>
        <w:rPr>
          <w:rFonts w:hint="eastAsia" w:hAnsiTheme="minorEastAsia" w:eastAsiaTheme="minorEastAsia"/>
          <w:kern w:val="24"/>
          <w:sz w:val="24"/>
          <w:highlight w:val="none"/>
        </w:rPr>
        <w:t>2019-2035年</w:t>
      </w:r>
      <w:r>
        <w:rPr>
          <w:rFonts w:hint="eastAsia" w:hAnsiTheme="minorEastAsia" w:eastAsiaTheme="minorEastAsia"/>
          <w:kern w:val="24"/>
          <w:sz w:val="24"/>
          <w:highlight w:val="none"/>
          <w:lang w:eastAsia="zh-CN"/>
        </w:rPr>
        <w:t>）（</w:t>
      </w:r>
      <w:r>
        <w:rPr>
          <w:rFonts w:hint="eastAsia" w:hAnsiTheme="minorEastAsia" w:eastAsiaTheme="minorEastAsia"/>
          <w:kern w:val="24"/>
          <w:sz w:val="24"/>
          <w:highlight w:val="none"/>
        </w:rPr>
        <w:t>修编</w:t>
      </w:r>
      <w:r>
        <w:rPr>
          <w:rFonts w:hint="eastAsia" w:hAnsiTheme="minorEastAsia" w:eastAsiaTheme="minorEastAsia"/>
          <w:kern w:val="24"/>
          <w:sz w:val="24"/>
          <w:highlight w:val="none"/>
          <w:lang w:eastAsia="zh-CN"/>
        </w:rPr>
        <w:t>）</w:t>
      </w:r>
      <w:r>
        <w:rPr>
          <w:rFonts w:hint="eastAsia" w:hAnsiTheme="minorEastAsia" w:eastAsiaTheme="minorEastAsia"/>
          <w:kern w:val="24"/>
          <w:sz w:val="24"/>
          <w:highlight w:val="none"/>
        </w:rPr>
        <w:t>环境影响报告书的审查意见</w:t>
      </w:r>
      <w:r>
        <w:rPr>
          <w:rFonts w:hAnsiTheme="minorEastAsia" w:eastAsiaTheme="minorEastAsia"/>
          <w:kern w:val="24"/>
          <w:sz w:val="24"/>
          <w:highlight w:val="none"/>
        </w:rPr>
        <w:t>》（</w:t>
      </w:r>
      <w:r>
        <w:rPr>
          <w:rFonts w:hint="eastAsia" w:hAnsiTheme="minorEastAsia" w:eastAsiaTheme="minorEastAsia"/>
          <w:kern w:val="24"/>
          <w:sz w:val="24"/>
          <w:highlight w:val="none"/>
          <w:lang w:val="en-US" w:eastAsia="zh-CN"/>
        </w:rPr>
        <w:t>哈环审书（规）[</w:t>
      </w:r>
      <w:r>
        <w:rPr>
          <w:rFonts w:hint="eastAsia" w:eastAsiaTheme="minorEastAsia"/>
          <w:kern w:val="24"/>
          <w:sz w:val="24"/>
          <w:highlight w:val="none"/>
          <w:lang w:val="en-US" w:eastAsia="zh-CN"/>
        </w:rPr>
        <w:t>2021</w:t>
      </w:r>
      <w:r>
        <w:rPr>
          <w:rFonts w:hint="eastAsia" w:hAnsiTheme="minorEastAsia" w:eastAsiaTheme="minorEastAsia"/>
          <w:kern w:val="24"/>
          <w:sz w:val="24"/>
          <w:highlight w:val="none"/>
          <w:lang w:val="en-US" w:eastAsia="zh-CN"/>
        </w:rPr>
        <w:t>]</w:t>
      </w:r>
      <w:r>
        <w:rPr>
          <w:rFonts w:eastAsiaTheme="minorEastAsia"/>
          <w:kern w:val="24"/>
          <w:sz w:val="24"/>
          <w:highlight w:val="none"/>
        </w:rPr>
        <w:t>1</w:t>
      </w:r>
      <w:r>
        <w:rPr>
          <w:rFonts w:hAnsiTheme="minorEastAsia" w:eastAsiaTheme="minorEastAsia"/>
          <w:kern w:val="24"/>
          <w:sz w:val="24"/>
          <w:highlight w:val="none"/>
        </w:rPr>
        <w:t>号）；</w:t>
      </w:r>
    </w:p>
    <w:p w14:paraId="3D5F9279">
      <w:pPr>
        <w:spacing w:line="360" w:lineRule="auto"/>
        <w:ind w:firstLine="480" w:firstLineChars="200"/>
        <w:contextualSpacing/>
        <w:rPr>
          <w:rFonts w:hint="eastAsia" w:hAnsiTheme="minorEastAsia" w:eastAsiaTheme="minorEastAsia"/>
          <w:kern w:val="24"/>
          <w:sz w:val="24"/>
          <w:highlight w:val="none"/>
          <w:lang w:eastAsia="zh-CN"/>
        </w:rPr>
      </w:pPr>
      <w:r>
        <w:rPr>
          <w:rFonts w:hint="eastAsia" w:hAnsiTheme="minorEastAsia" w:eastAsiaTheme="minorEastAsia"/>
          <w:kern w:val="24"/>
          <w:sz w:val="24"/>
          <w:highlight w:val="none"/>
          <w:lang w:eastAsia="zh-CN"/>
        </w:rPr>
        <w:t>（</w:t>
      </w:r>
      <w:r>
        <w:rPr>
          <w:rFonts w:hint="eastAsia" w:hAnsiTheme="minorEastAsia" w:eastAsiaTheme="minorEastAsia"/>
          <w:kern w:val="24"/>
          <w:sz w:val="24"/>
          <w:highlight w:val="none"/>
          <w:lang w:val="en-US" w:eastAsia="zh-CN"/>
        </w:rPr>
        <w:t>7</w:t>
      </w:r>
      <w:r>
        <w:rPr>
          <w:rFonts w:hint="eastAsia" w:hAnsiTheme="minorEastAsia" w:eastAsiaTheme="minorEastAsia"/>
          <w:kern w:val="24"/>
          <w:sz w:val="24"/>
          <w:highlight w:val="none"/>
          <w:lang w:eastAsia="zh-CN"/>
        </w:rPr>
        <w:t>）《关于做好含油金属屑环境监管和服务的通知》宁环办</w:t>
      </w:r>
      <w:r>
        <w:rPr>
          <w:rFonts w:hint="eastAsia" w:hAnsiTheme="minorEastAsia" w:eastAsiaTheme="minorEastAsia"/>
          <w:kern w:val="24"/>
          <w:sz w:val="24"/>
          <w:highlight w:val="none"/>
          <w:lang w:val="en-US" w:eastAsia="zh-CN"/>
        </w:rPr>
        <w:t>[</w:t>
      </w:r>
      <w:r>
        <w:rPr>
          <w:rFonts w:hint="eastAsia" w:hAnsiTheme="minorEastAsia" w:eastAsiaTheme="minorEastAsia"/>
          <w:kern w:val="24"/>
          <w:sz w:val="24"/>
          <w:highlight w:val="none"/>
          <w:lang w:eastAsia="zh-CN"/>
        </w:rPr>
        <w:t>2023</w:t>
      </w:r>
      <w:r>
        <w:rPr>
          <w:rFonts w:hint="eastAsia" w:hAnsiTheme="minorEastAsia" w:eastAsiaTheme="minorEastAsia"/>
          <w:kern w:val="24"/>
          <w:sz w:val="24"/>
          <w:highlight w:val="none"/>
          <w:lang w:val="en-US" w:eastAsia="zh-CN"/>
        </w:rPr>
        <w:t>]</w:t>
      </w:r>
      <w:r>
        <w:rPr>
          <w:rFonts w:hint="eastAsia" w:hAnsiTheme="minorEastAsia" w:eastAsiaTheme="minorEastAsia"/>
          <w:kern w:val="24"/>
          <w:sz w:val="24"/>
          <w:highlight w:val="none"/>
          <w:lang w:eastAsia="zh-CN"/>
        </w:rPr>
        <w:t>104号；</w:t>
      </w:r>
    </w:p>
    <w:p w14:paraId="4DE1B279">
      <w:pPr>
        <w:spacing w:line="360" w:lineRule="auto"/>
        <w:ind w:firstLine="480" w:firstLineChars="200"/>
        <w:contextualSpacing/>
        <w:rPr>
          <w:rFonts w:hint="eastAsia"/>
          <w:spacing w:val="-1"/>
          <w:highlight w:val="none"/>
          <w:lang w:eastAsia="zh-CN"/>
        </w:rPr>
      </w:pPr>
      <w:r>
        <w:rPr>
          <w:rFonts w:hint="eastAsia" w:hAnsiTheme="minorEastAsia" w:eastAsiaTheme="minorEastAsia"/>
          <w:kern w:val="24"/>
          <w:sz w:val="24"/>
          <w:highlight w:val="none"/>
          <w:lang w:eastAsia="zh-CN"/>
        </w:rPr>
        <w:t>（</w:t>
      </w:r>
      <w:r>
        <w:rPr>
          <w:rFonts w:hint="eastAsia" w:hAnsiTheme="minorEastAsia" w:eastAsiaTheme="minorEastAsia"/>
          <w:kern w:val="24"/>
          <w:sz w:val="24"/>
          <w:highlight w:val="none"/>
          <w:lang w:val="en-US" w:eastAsia="zh-CN"/>
        </w:rPr>
        <w:t>8</w:t>
      </w:r>
      <w:r>
        <w:rPr>
          <w:rFonts w:hint="eastAsia" w:hAnsiTheme="minorEastAsia" w:eastAsiaTheme="minorEastAsia"/>
          <w:kern w:val="24"/>
          <w:sz w:val="24"/>
          <w:highlight w:val="none"/>
          <w:lang w:eastAsia="zh-CN"/>
        </w:rPr>
        <w:t>）</w:t>
      </w:r>
      <w:r>
        <w:rPr>
          <w:spacing w:val="-1"/>
          <w:highlight w:val="none"/>
        </w:rPr>
        <w:t>《哈尔滨经济技术开发区总体规划（</w:t>
      </w:r>
      <w:r>
        <w:rPr>
          <w:rFonts w:ascii="Times New Roman" w:hAnsi="Times New Roman" w:eastAsia="Times New Roman" w:cs="Times New Roman"/>
          <w:spacing w:val="-1"/>
          <w:highlight w:val="none"/>
        </w:rPr>
        <w:t>2021-2035</w:t>
      </w:r>
      <w:r>
        <w:rPr>
          <w:spacing w:val="-1"/>
          <w:highlight w:val="none"/>
        </w:rPr>
        <w:t>年）》</w:t>
      </w:r>
      <w:r>
        <w:rPr>
          <w:rFonts w:hint="eastAsia"/>
          <w:spacing w:val="-1"/>
          <w:highlight w:val="none"/>
          <w:lang w:eastAsia="zh-CN"/>
        </w:rPr>
        <w:t>；</w:t>
      </w:r>
    </w:p>
    <w:p w14:paraId="40EAB969">
      <w:pPr>
        <w:spacing w:line="360" w:lineRule="auto"/>
        <w:ind w:firstLine="476" w:firstLineChars="200"/>
        <w:contextualSpacing/>
        <w:rPr>
          <w:rFonts w:hint="eastAsia"/>
          <w:spacing w:val="-2"/>
          <w:highlight w:val="none"/>
          <w:lang w:eastAsia="zh-CN"/>
        </w:rPr>
      </w:pPr>
      <w:r>
        <w:rPr>
          <w:rFonts w:hint="eastAsia"/>
          <w:spacing w:val="-1"/>
          <w:highlight w:val="none"/>
          <w:lang w:eastAsia="zh-CN"/>
        </w:rPr>
        <w:t>（</w:t>
      </w:r>
      <w:r>
        <w:rPr>
          <w:rFonts w:hint="eastAsia"/>
          <w:spacing w:val="-1"/>
          <w:highlight w:val="none"/>
          <w:lang w:val="en-US" w:eastAsia="zh-CN"/>
        </w:rPr>
        <w:t>9</w:t>
      </w:r>
      <w:r>
        <w:rPr>
          <w:rFonts w:hint="eastAsia"/>
          <w:spacing w:val="-1"/>
          <w:highlight w:val="none"/>
          <w:lang w:eastAsia="zh-CN"/>
        </w:rPr>
        <w:t>）</w:t>
      </w:r>
      <w:r>
        <w:rPr>
          <w:spacing w:val="1"/>
          <w:highlight w:val="none"/>
        </w:rPr>
        <w:t>《哈尔滨经济技术开发区总体规划（</w:t>
      </w:r>
      <w:r>
        <w:rPr>
          <w:rFonts w:ascii="Times New Roman" w:hAnsi="Times New Roman" w:eastAsia="Times New Roman" w:cs="Times New Roman"/>
          <w:spacing w:val="1"/>
          <w:highlight w:val="none"/>
        </w:rPr>
        <w:t>2021-2035</w:t>
      </w:r>
      <w:r>
        <w:rPr>
          <w:spacing w:val="1"/>
          <w:highlight w:val="none"/>
        </w:rPr>
        <w:t>年）</w:t>
      </w:r>
      <w:r>
        <w:rPr>
          <w:spacing w:val="-2"/>
          <w:highlight w:val="none"/>
        </w:rPr>
        <w:t>环境影响报告书》</w:t>
      </w:r>
      <w:r>
        <w:rPr>
          <w:rFonts w:hint="eastAsia"/>
          <w:spacing w:val="-2"/>
          <w:highlight w:val="none"/>
          <w:lang w:eastAsia="zh-CN"/>
        </w:rPr>
        <w:t>；</w:t>
      </w:r>
    </w:p>
    <w:p w14:paraId="3AB1613F">
      <w:pPr>
        <w:spacing w:line="360" w:lineRule="auto"/>
        <w:ind w:firstLine="472" w:firstLineChars="200"/>
        <w:contextualSpacing/>
        <w:rPr>
          <w:rFonts w:hint="eastAsia" w:hAnsiTheme="minorEastAsia" w:eastAsiaTheme="minorEastAsia"/>
          <w:kern w:val="24"/>
          <w:sz w:val="24"/>
          <w:highlight w:val="none"/>
          <w:lang w:eastAsia="zh-CN"/>
        </w:rPr>
      </w:pPr>
      <w:r>
        <w:rPr>
          <w:rFonts w:hint="eastAsia"/>
          <w:spacing w:val="-2"/>
          <w:highlight w:val="none"/>
          <w:lang w:eastAsia="zh-CN"/>
        </w:rPr>
        <w:t>（</w:t>
      </w:r>
      <w:r>
        <w:rPr>
          <w:rFonts w:hint="eastAsia"/>
          <w:spacing w:val="-2"/>
          <w:highlight w:val="none"/>
          <w:lang w:val="en-US" w:eastAsia="zh-CN"/>
        </w:rPr>
        <w:t>10</w:t>
      </w:r>
      <w:r>
        <w:rPr>
          <w:rFonts w:hint="eastAsia"/>
          <w:spacing w:val="-2"/>
          <w:highlight w:val="none"/>
          <w:lang w:eastAsia="zh-CN"/>
        </w:rPr>
        <w:t>）</w:t>
      </w:r>
      <w:r>
        <w:rPr>
          <w:spacing w:val="-4"/>
          <w:highlight w:val="none"/>
        </w:rPr>
        <w:t>《黑龙江省生态环境厅关于&lt;哈尔滨经济技术开发区总体规</w:t>
      </w:r>
      <w:r>
        <w:rPr>
          <w:spacing w:val="-1"/>
          <w:highlight w:val="none"/>
        </w:rPr>
        <w:t>划（</w:t>
      </w:r>
      <w:r>
        <w:rPr>
          <w:rFonts w:ascii="Times New Roman" w:hAnsi="Times New Roman" w:eastAsia="Times New Roman" w:cs="Times New Roman"/>
          <w:spacing w:val="-1"/>
          <w:highlight w:val="none"/>
        </w:rPr>
        <w:t>2021-2035</w:t>
      </w:r>
      <w:r>
        <w:rPr>
          <w:spacing w:val="-1"/>
          <w:highlight w:val="none"/>
        </w:rPr>
        <w:t>年）环境影响报告书&gt;的审查意见》</w:t>
      </w:r>
      <w:r>
        <w:rPr>
          <w:spacing w:val="-2"/>
          <w:highlight w:val="none"/>
        </w:rPr>
        <w:t>黑环函[</w:t>
      </w:r>
      <w:r>
        <w:rPr>
          <w:rFonts w:ascii="Times New Roman" w:hAnsi="Times New Roman" w:eastAsia="Times New Roman" w:cs="Times New Roman"/>
          <w:spacing w:val="-2"/>
          <w:highlight w:val="none"/>
        </w:rPr>
        <w:t>2024</w:t>
      </w:r>
      <w:r>
        <w:rPr>
          <w:spacing w:val="-2"/>
          <w:highlight w:val="none"/>
        </w:rPr>
        <w:t>]</w:t>
      </w:r>
      <w:r>
        <w:rPr>
          <w:rFonts w:ascii="Times New Roman" w:hAnsi="Times New Roman" w:eastAsia="Times New Roman" w:cs="Times New Roman"/>
          <w:spacing w:val="-2"/>
          <w:highlight w:val="none"/>
        </w:rPr>
        <w:t>195</w:t>
      </w:r>
      <w:r>
        <w:rPr>
          <w:spacing w:val="-2"/>
          <w:highlight w:val="none"/>
        </w:rPr>
        <w:t>号</w:t>
      </w:r>
      <w:r>
        <w:rPr>
          <w:rFonts w:hint="eastAsia" w:hAnsiTheme="minorEastAsia" w:eastAsiaTheme="minorEastAsia"/>
          <w:kern w:val="24"/>
          <w:sz w:val="24"/>
          <w:highlight w:val="none"/>
          <w:lang w:eastAsia="zh-CN"/>
        </w:rPr>
        <w:t>。</w:t>
      </w:r>
    </w:p>
    <w:p w14:paraId="53E432A9">
      <w:pPr>
        <w:pStyle w:val="4"/>
        <w:bidi w:val="0"/>
        <w:rPr>
          <w:highlight w:val="none"/>
        </w:rPr>
      </w:pPr>
      <w:bookmarkStart w:id="140" w:name="_Toc23097"/>
      <w:bookmarkStart w:id="141" w:name="_Toc15563"/>
      <w:r>
        <w:rPr>
          <w:highlight w:val="none"/>
        </w:rPr>
        <w:t>2.1.4其他技术文件</w:t>
      </w:r>
      <w:bookmarkEnd w:id="140"/>
      <w:bookmarkEnd w:id="141"/>
    </w:p>
    <w:p w14:paraId="6B094632">
      <w:pPr>
        <w:numPr>
          <w:ilvl w:val="0"/>
          <w:numId w:val="8"/>
        </w:numPr>
        <w:bidi w:val="0"/>
        <w:rPr>
          <w:rFonts w:hint="eastAsia"/>
          <w:highlight w:val="none"/>
          <w:lang w:eastAsia="zh-CN"/>
        </w:rPr>
      </w:pPr>
      <w:r>
        <w:rPr>
          <w:highlight w:val="none"/>
        </w:rPr>
        <w:t>建设单位提供的其他</w:t>
      </w:r>
      <w:r>
        <w:rPr>
          <w:rFonts w:hint="eastAsia"/>
          <w:highlight w:val="none"/>
          <w:lang w:val="en-US" w:eastAsia="zh-CN"/>
        </w:rPr>
        <w:t>设计</w:t>
      </w:r>
      <w:r>
        <w:rPr>
          <w:highlight w:val="none"/>
        </w:rPr>
        <w:t>资料</w:t>
      </w:r>
      <w:r>
        <w:rPr>
          <w:rFonts w:hint="eastAsia"/>
          <w:highlight w:val="none"/>
          <w:lang w:eastAsia="zh-CN"/>
        </w:rPr>
        <w:t>；</w:t>
      </w:r>
    </w:p>
    <w:p w14:paraId="50382814">
      <w:pPr>
        <w:numPr>
          <w:ilvl w:val="0"/>
          <w:numId w:val="8"/>
        </w:numPr>
        <w:bidi w:val="0"/>
        <w:rPr>
          <w:highlight w:val="none"/>
        </w:rPr>
      </w:pPr>
      <w:r>
        <w:rPr>
          <w:rFonts w:hint="eastAsia"/>
          <w:highlight w:val="none"/>
          <w:lang w:eastAsia="zh-CN"/>
        </w:rPr>
        <w:t>《哈尔滨东安汽车发动机制造有限公司4G9生产线更新改造项目</w:t>
      </w:r>
      <w:r>
        <w:rPr>
          <w:rFonts w:hAnsiTheme="minorEastAsia" w:eastAsiaTheme="minorEastAsia"/>
          <w:kern w:val="0"/>
          <w:sz w:val="24"/>
          <w:highlight w:val="none"/>
        </w:rPr>
        <w:t>可行性研究报告</w:t>
      </w:r>
      <w:r>
        <w:rPr>
          <w:rFonts w:hint="eastAsia"/>
          <w:highlight w:val="none"/>
          <w:lang w:eastAsia="zh-CN"/>
        </w:rPr>
        <w:t>》</w:t>
      </w:r>
      <w:r>
        <w:rPr>
          <w:highlight w:val="none"/>
        </w:rPr>
        <w:t>。</w:t>
      </w:r>
    </w:p>
    <w:p w14:paraId="3148355B">
      <w:pPr>
        <w:pStyle w:val="3"/>
        <w:bidi w:val="0"/>
        <w:rPr>
          <w:highlight w:val="none"/>
        </w:rPr>
      </w:pPr>
      <w:bookmarkStart w:id="142" w:name="_Toc917"/>
      <w:bookmarkStart w:id="143" w:name="_Toc21641"/>
      <w:r>
        <w:rPr>
          <w:highlight w:val="none"/>
        </w:rPr>
        <w:t>2.2环境影响因素识别与评价因子筛选</w:t>
      </w:r>
      <w:bookmarkEnd w:id="142"/>
      <w:bookmarkEnd w:id="143"/>
    </w:p>
    <w:p w14:paraId="39AB1493">
      <w:pPr>
        <w:pStyle w:val="4"/>
        <w:bidi w:val="0"/>
        <w:rPr>
          <w:highlight w:val="none"/>
        </w:rPr>
      </w:pPr>
      <w:bookmarkStart w:id="144" w:name="_Toc11177"/>
      <w:bookmarkStart w:id="145" w:name="_Toc20070"/>
      <w:r>
        <w:rPr>
          <w:highlight w:val="none"/>
        </w:rPr>
        <w:t>2.2.1环境影响因素识别</w:t>
      </w:r>
      <w:bookmarkEnd w:id="144"/>
      <w:bookmarkEnd w:id="145"/>
    </w:p>
    <w:p w14:paraId="7FCA3127">
      <w:pPr>
        <w:spacing w:line="360" w:lineRule="auto"/>
        <w:ind w:firstLine="480" w:firstLineChars="200"/>
        <w:contextualSpacing/>
        <w:rPr>
          <w:rFonts w:eastAsiaTheme="minorEastAsia"/>
          <w:sz w:val="24"/>
          <w:highlight w:val="none"/>
        </w:rPr>
      </w:pPr>
      <w:r>
        <w:rPr>
          <w:rFonts w:hAnsiTheme="minorEastAsia" w:eastAsiaTheme="minorEastAsia"/>
          <w:sz w:val="24"/>
          <w:highlight w:val="none"/>
        </w:rPr>
        <w:t>根据本项目营运期的生产特点和污染物的排放种类、排放量以及对环境的影响，将生产过程中产生的污染</w:t>
      </w:r>
      <w:r>
        <w:rPr>
          <w:rFonts w:hint="eastAsia" w:hAnsiTheme="minorEastAsia" w:eastAsiaTheme="minorEastAsia"/>
          <w:sz w:val="24"/>
          <w:highlight w:val="none"/>
          <w:lang w:eastAsia="zh-CN"/>
        </w:rPr>
        <w:t>物对</w:t>
      </w:r>
      <w:r>
        <w:rPr>
          <w:rFonts w:hAnsiTheme="minorEastAsia" w:eastAsiaTheme="minorEastAsia"/>
          <w:sz w:val="24"/>
          <w:highlight w:val="none"/>
        </w:rPr>
        <w:t>环境的影响见表</w:t>
      </w:r>
      <w:r>
        <w:rPr>
          <w:rFonts w:eastAsiaTheme="minorEastAsia"/>
          <w:sz w:val="24"/>
          <w:highlight w:val="none"/>
        </w:rPr>
        <w:t>2-2-1</w:t>
      </w:r>
      <w:r>
        <w:rPr>
          <w:rFonts w:hAnsiTheme="minorEastAsia" w:eastAsiaTheme="minorEastAsia"/>
          <w:sz w:val="24"/>
          <w:highlight w:val="none"/>
        </w:rPr>
        <w:t>。</w:t>
      </w:r>
    </w:p>
    <w:p w14:paraId="28F72ED5">
      <w:pPr>
        <w:pStyle w:val="7"/>
        <w:bidi w:val="0"/>
        <w:rPr>
          <w:highlight w:val="none"/>
        </w:rPr>
      </w:pPr>
      <w:r>
        <w:rPr>
          <w:highlight w:val="none"/>
        </w:rPr>
        <w:t>表2-2-1环境影响识别</w:t>
      </w:r>
    </w:p>
    <w:tbl>
      <w:tblPr>
        <w:tblStyle w:val="46"/>
        <w:tblW w:w="88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0"/>
        <w:gridCol w:w="1315"/>
        <w:gridCol w:w="434"/>
        <w:gridCol w:w="534"/>
        <w:gridCol w:w="446"/>
        <w:gridCol w:w="484"/>
        <w:gridCol w:w="446"/>
        <w:gridCol w:w="446"/>
        <w:gridCol w:w="446"/>
        <w:gridCol w:w="446"/>
        <w:gridCol w:w="474"/>
        <w:gridCol w:w="446"/>
        <w:gridCol w:w="446"/>
        <w:gridCol w:w="499"/>
        <w:gridCol w:w="519"/>
        <w:gridCol w:w="541"/>
        <w:gridCol w:w="548"/>
      </w:tblGrid>
      <w:tr w14:paraId="59B86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685" w:type="dxa"/>
            <w:gridSpan w:val="2"/>
            <w:vMerge w:val="restart"/>
            <w:tcBorders>
              <w:top w:val="single" w:color="auto" w:sz="12" w:space="0"/>
              <w:left w:val="nil"/>
              <w:tl2br w:val="single" w:color="auto" w:sz="4" w:space="0"/>
            </w:tcBorders>
          </w:tcPr>
          <w:p w14:paraId="7AA9F4AB">
            <w:pPr>
              <w:pStyle w:val="8"/>
              <w:suppressLineNumbers w:val="0"/>
              <w:bidi w:val="0"/>
              <w:spacing w:before="0" w:beforeAutospacing="0" w:after="0" w:afterAutospacing="0"/>
              <w:ind w:left="0" w:right="0"/>
              <w:rPr>
                <w:rFonts w:hint="default"/>
                <w:highlight w:val="none"/>
              </w:rPr>
            </w:pPr>
            <w:r>
              <w:rPr>
                <w:rFonts w:hint="default"/>
                <w:highlight w:val="none"/>
              </w:rPr>
              <w:t>影响特点</w:t>
            </w:r>
          </w:p>
          <w:p w14:paraId="61DEBB4E">
            <w:pPr>
              <w:pStyle w:val="8"/>
              <w:suppressLineNumbers w:val="0"/>
              <w:bidi w:val="0"/>
              <w:spacing w:before="0" w:beforeAutospacing="0" w:after="0" w:afterAutospacing="0"/>
              <w:ind w:left="0" w:right="0"/>
              <w:rPr>
                <w:rFonts w:hint="default"/>
                <w:highlight w:val="none"/>
              </w:rPr>
            </w:pPr>
          </w:p>
          <w:p w14:paraId="292A9938">
            <w:pPr>
              <w:pStyle w:val="8"/>
              <w:suppressLineNumbers w:val="0"/>
              <w:bidi w:val="0"/>
              <w:spacing w:before="0" w:beforeAutospacing="0" w:after="0" w:afterAutospacing="0"/>
              <w:ind w:left="0" w:right="0"/>
              <w:jc w:val="both"/>
              <w:rPr>
                <w:rFonts w:hint="default"/>
                <w:highlight w:val="none"/>
              </w:rPr>
            </w:pPr>
            <w:r>
              <w:rPr>
                <w:rFonts w:hint="default"/>
                <w:highlight w:val="none"/>
              </w:rPr>
              <w:t>影响阶段</w:t>
            </w:r>
          </w:p>
        </w:tc>
        <w:tc>
          <w:tcPr>
            <w:tcW w:w="5547" w:type="dxa"/>
            <w:gridSpan w:val="12"/>
            <w:tcBorders>
              <w:top w:val="single" w:color="auto" w:sz="12" w:space="0"/>
            </w:tcBorders>
          </w:tcPr>
          <w:p w14:paraId="3DF61F35">
            <w:pPr>
              <w:pStyle w:val="8"/>
              <w:suppressLineNumbers w:val="0"/>
              <w:bidi w:val="0"/>
              <w:spacing w:before="0" w:beforeAutospacing="0" w:after="0" w:afterAutospacing="0"/>
              <w:ind w:left="0" w:right="0"/>
              <w:rPr>
                <w:rFonts w:hint="default"/>
                <w:highlight w:val="none"/>
              </w:rPr>
            </w:pPr>
            <w:r>
              <w:rPr>
                <w:rFonts w:hint="default"/>
                <w:highlight w:val="none"/>
              </w:rPr>
              <w:t>影响类型、影响性质、影响范围</w:t>
            </w:r>
          </w:p>
        </w:tc>
        <w:tc>
          <w:tcPr>
            <w:tcW w:w="1608" w:type="dxa"/>
            <w:gridSpan w:val="3"/>
            <w:tcBorders>
              <w:top w:val="single" w:color="auto" w:sz="12" w:space="0"/>
              <w:right w:val="nil"/>
            </w:tcBorders>
          </w:tcPr>
          <w:p w14:paraId="3CFE1CB0">
            <w:pPr>
              <w:pStyle w:val="8"/>
              <w:suppressLineNumbers w:val="0"/>
              <w:bidi w:val="0"/>
              <w:spacing w:before="0" w:beforeAutospacing="0" w:after="0" w:afterAutospacing="0"/>
              <w:ind w:left="0" w:right="0"/>
              <w:rPr>
                <w:rFonts w:hint="default"/>
                <w:highlight w:val="none"/>
              </w:rPr>
            </w:pPr>
            <w:r>
              <w:rPr>
                <w:rFonts w:hint="default"/>
                <w:highlight w:val="none"/>
              </w:rPr>
              <w:t>影响程度</w:t>
            </w:r>
          </w:p>
        </w:tc>
      </w:tr>
      <w:tr w14:paraId="185981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jc w:val="center"/>
        </w:trPr>
        <w:tc>
          <w:tcPr>
            <w:tcW w:w="1685" w:type="dxa"/>
            <w:gridSpan w:val="2"/>
            <w:vMerge w:val="continue"/>
            <w:tcBorders>
              <w:left w:val="nil"/>
              <w:tl2br w:val="single" w:color="auto" w:sz="4" w:space="0"/>
            </w:tcBorders>
          </w:tcPr>
          <w:p w14:paraId="3D9E96F4">
            <w:pPr>
              <w:pStyle w:val="8"/>
              <w:suppressLineNumbers w:val="0"/>
              <w:bidi w:val="0"/>
              <w:spacing w:before="0" w:beforeAutospacing="0" w:after="0" w:afterAutospacing="0"/>
              <w:ind w:left="0" w:right="0"/>
              <w:rPr>
                <w:rFonts w:hint="default"/>
                <w:highlight w:val="none"/>
              </w:rPr>
            </w:pPr>
          </w:p>
        </w:tc>
        <w:tc>
          <w:tcPr>
            <w:tcW w:w="434" w:type="dxa"/>
            <w:vAlign w:val="center"/>
          </w:tcPr>
          <w:p w14:paraId="4F055881">
            <w:pPr>
              <w:pStyle w:val="8"/>
              <w:suppressLineNumbers w:val="0"/>
              <w:bidi w:val="0"/>
              <w:spacing w:before="0" w:beforeAutospacing="0" w:after="0" w:afterAutospacing="0"/>
              <w:ind w:left="0" w:right="0"/>
              <w:rPr>
                <w:rFonts w:hint="default"/>
                <w:highlight w:val="none"/>
              </w:rPr>
            </w:pPr>
            <w:r>
              <w:rPr>
                <w:rFonts w:hint="default"/>
                <w:highlight w:val="none"/>
              </w:rPr>
              <w:t>有利</w:t>
            </w:r>
          </w:p>
        </w:tc>
        <w:tc>
          <w:tcPr>
            <w:tcW w:w="534" w:type="dxa"/>
            <w:vAlign w:val="center"/>
          </w:tcPr>
          <w:p w14:paraId="63CD05B9">
            <w:pPr>
              <w:pStyle w:val="8"/>
              <w:suppressLineNumbers w:val="0"/>
              <w:bidi w:val="0"/>
              <w:spacing w:before="0" w:beforeAutospacing="0" w:after="0" w:afterAutospacing="0"/>
              <w:ind w:left="0" w:right="0"/>
              <w:rPr>
                <w:rFonts w:hint="default"/>
                <w:highlight w:val="none"/>
              </w:rPr>
            </w:pPr>
            <w:r>
              <w:rPr>
                <w:rFonts w:hint="default"/>
                <w:highlight w:val="none"/>
              </w:rPr>
              <w:t>不利</w:t>
            </w:r>
          </w:p>
        </w:tc>
        <w:tc>
          <w:tcPr>
            <w:tcW w:w="446" w:type="dxa"/>
            <w:vAlign w:val="center"/>
          </w:tcPr>
          <w:p w14:paraId="52F6F77B">
            <w:pPr>
              <w:pStyle w:val="8"/>
              <w:suppressLineNumbers w:val="0"/>
              <w:bidi w:val="0"/>
              <w:spacing w:before="0" w:beforeAutospacing="0" w:after="0" w:afterAutospacing="0"/>
              <w:ind w:left="0" w:right="0"/>
              <w:rPr>
                <w:rFonts w:hint="default"/>
                <w:highlight w:val="none"/>
              </w:rPr>
            </w:pPr>
            <w:r>
              <w:rPr>
                <w:rFonts w:hint="default"/>
                <w:highlight w:val="none"/>
              </w:rPr>
              <w:t>可逆</w:t>
            </w:r>
          </w:p>
        </w:tc>
        <w:tc>
          <w:tcPr>
            <w:tcW w:w="484" w:type="dxa"/>
            <w:vAlign w:val="center"/>
          </w:tcPr>
          <w:p w14:paraId="693B225D">
            <w:pPr>
              <w:pStyle w:val="8"/>
              <w:suppressLineNumbers w:val="0"/>
              <w:bidi w:val="0"/>
              <w:spacing w:before="0" w:beforeAutospacing="0" w:after="0" w:afterAutospacing="0"/>
              <w:ind w:left="0" w:right="0"/>
              <w:rPr>
                <w:rFonts w:hint="default"/>
                <w:highlight w:val="none"/>
              </w:rPr>
            </w:pPr>
            <w:r>
              <w:rPr>
                <w:rFonts w:hint="default"/>
                <w:highlight w:val="none"/>
              </w:rPr>
              <w:t>不可逆</w:t>
            </w:r>
          </w:p>
        </w:tc>
        <w:tc>
          <w:tcPr>
            <w:tcW w:w="446" w:type="dxa"/>
            <w:vAlign w:val="center"/>
          </w:tcPr>
          <w:p w14:paraId="5DEB14FF">
            <w:pPr>
              <w:pStyle w:val="8"/>
              <w:suppressLineNumbers w:val="0"/>
              <w:bidi w:val="0"/>
              <w:spacing w:before="0" w:beforeAutospacing="0" w:after="0" w:afterAutospacing="0"/>
              <w:ind w:left="0" w:right="0"/>
              <w:rPr>
                <w:rFonts w:hint="default"/>
                <w:highlight w:val="none"/>
              </w:rPr>
            </w:pPr>
            <w:r>
              <w:rPr>
                <w:rFonts w:hint="default"/>
                <w:highlight w:val="none"/>
              </w:rPr>
              <w:t>短期</w:t>
            </w:r>
          </w:p>
        </w:tc>
        <w:tc>
          <w:tcPr>
            <w:tcW w:w="446" w:type="dxa"/>
            <w:vAlign w:val="center"/>
          </w:tcPr>
          <w:p w14:paraId="79D69AF4">
            <w:pPr>
              <w:pStyle w:val="8"/>
              <w:suppressLineNumbers w:val="0"/>
              <w:bidi w:val="0"/>
              <w:spacing w:before="0" w:beforeAutospacing="0" w:after="0" w:afterAutospacing="0"/>
              <w:ind w:left="0" w:right="0"/>
              <w:rPr>
                <w:rFonts w:hint="default"/>
                <w:highlight w:val="none"/>
              </w:rPr>
            </w:pPr>
            <w:r>
              <w:rPr>
                <w:rFonts w:hint="default"/>
                <w:highlight w:val="none"/>
              </w:rPr>
              <w:t>长期</w:t>
            </w:r>
          </w:p>
        </w:tc>
        <w:tc>
          <w:tcPr>
            <w:tcW w:w="446" w:type="dxa"/>
            <w:vAlign w:val="center"/>
          </w:tcPr>
          <w:p w14:paraId="09E8C7CA">
            <w:pPr>
              <w:pStyle w:val="8"/>
              <w:suppressLineNumbers w:val="0"/>
              <w:bidi w:val="0"/>
              <w:spacing w:before="0" w:beforeAutospacing="0" w:after="0" w:afterAutospacing="0"/>
              <w:ind w:left="0" w:right="0"/>
              <w:rPr>
                <w:rFonts w:hint="default"/>
                <w:highlight w:val="none"/>
              </w:rPr>
            </w:pPr>
            <w:r>
              <w:rPr>
                <w:rFonts w:hint="default"/>
                <w:highlight w:val="none"/>
              </w:rPr>
              <w:t>直接</w:t>
            </w:r>
          </w:p>
        </w:tc>
        <w:tc>
          <w:tcPr>
            <w:tcW w:w="446" w:type="dxa"/>
            <w:vAlign w:val="center"/>
          </w:tcPr>
          <w:p w14:paraId="3459CE26">
            <w:pPr>
              <w:pStyle w:val="8"/>
              <w:suppressLineNumbers w:val="0"/>
              <w:bidi w:val="0"/>
              <w:spacing w:before="0" w:beforeAutospacing="0" w:after="0" w:afterAutospacing="0"/>
              <w:ind w:left="0" w:right="0"/>
              <w:rPr>
                <w:rFonts w:hint="default"/>
                <w:highlight w:val="none"/>
              </w:rPr>
            </w:pPr>
            <w:r>
              <w:rPr>
                <w:rFonts w:hint="default"/>
                <w:highlight w:val="none"/>
              </w:rPr>
              <w:t>间接</w:t>
            </w:r>
          </w:p>
        </w:tc>
        <w:tc>
          <w:tcPr>
            <w:tcW w:w="474" w:type="dxa"/>
            <w:vAlign w:val="center"/>
          </w:tcPr>
          <w:p w14:paraId="64EA3C5B">
            <w:pPr>
              <w:pStyle w:val="8"/>
              <w:suppressLineNumbers w:val="0"/>
              <w:bidi w:val="0"/>
              <w:spacing w:before="0" w:beforeAutospacing="0" w:after="0" w:afterAutospacing="0"/>
              <w:ind w:left="0" w:right="0"/>
              <w:rPr>
                <w:rFonts w:hint="default"/>
                <w:highlight w:val="none"/>
              </w:rPr>
            </w:pPr>
            <w:r>
              <w:rPr>
                <w:rFonts w:hint="default"/>
                <w:highlight w:val="none"/>
              </w:rPr>
              <w:t>局部</w:t>
            </w:r>
          </w:p>
        </w:tc>
        <w:tc>
          <w:tcPr>
            <w:tcW w:w="446" w:type="dxa"/>
            <w:vAlign w:val="center"/>
          </w:tcPr>
          <w:p w14:paraId="72F791AD">
            <w:pPr>
              <w:pStyle w:val="8"/>
              <w:suppressLineNumbers w:val="0"/>
              <w:bidi w:val="0"/>
              <w:spacing w:before="0" w:beforeAutospacing="0" w:after="0" w:afterAutospacing="0"/>
              <w:ind w:left="0" w:right="0"/>
              <w:rPr>
                <w:rFonts w:hint="default"/>
                <w:highlight w:val="none"/>
              </w:rPr>
            </w:pPr>
            <w:r>
              <w:rPr>
                <w:rFonts w:hint="default"/>
                <w:highlight w:val="none"/>
              </w:rPr>
              <w:t>区域</w:t>
            </w:r>
          </w:p>
        </w:tc>
        <w:tc>
          <w:tcPr>
            <w:tcW w:w="446" w:type="dxa"/>
            <w:vAlign w:val="center"/>
          </w:tcPr>
          <w:p w14:paraId="3CEB8405">
            <w:pPr>
              <w:pStyle w:val="8"/>
              <w:suppressLineNumbers w:val="0"/>
              <w:bidi w:val="0"/>
              <w:spacing w:before="0" w:beforeAutospacing="0" w:after="0" w:afterAutospacing="0"/>
              <w:ind w:left="0" w:right="0"/>
              <w:rPr>
                <w:rFonts w:hint="default"/>
                <w:highlight w:val="none"/>
              </w:rPr>
            </w:pPr>
            <w:r>
              <w:rPr>
                <w:rFonts w:hint="default"/>
                <w:highlight w:val="none"/>
              </w:rPr>
              <w:t>累积</w:t>
            </w:r>
          </w:p>
        </w:tc>
        <w:tc>
          <w:tcPr>
            <w:tcW w:w="499" w:type="dxa"/>
            <w:vAlign w:val="center"/>
          </w:tcPr>
          <w:p w14:paraId="45A5574D">
            <w:pPr>
              <w:pStyle w:val="8"/>
              <w:suppressLineNumbers w:val="0"/>
              <w:bidi w:val="0"/>
              <w:spacing w:before="0" w:beforeAutospacing="0" w:after="0" w:afterAutospacing="0"/>
              <w:ind w:left="0" w:right="0"/>
              <w:rPr>
                <w:rFonts w:hint="default"/>
                <w:highlight w:val="none"/>
              </w:rPr>
            </w:pPr>
            <w:r>
              <w:rPr>
                <w:rFonts w:hint="default"/>
                <w:highlight w:val="none"/>
              </w:rPr>
              <w:t>非累积</w:t>
            </w:r>
          </w:p>
        </w:tc>
        <w:tc>
          <w:tcPr>
            <w:tcW w:w="519" w:type="dxa"/>
            <w:vAlign w:val="center"/>
          </w:tcPr>
          <w:p w14:paraId="5DABD538">
            <w:pPr>
              <w:pStyle w:val="8"/>
              <w:suppressLineNumbers w:val="0"/>
              <w:bidi w:val="0"/>
              <w:spacing w:before="0" w:beforeAutospacing="0" w:after="0" w:afterAutospacing="0"/>
              <w:ind w:left="0" w:right="0"/>
              <w:rPr>
                <w:rFonts w:hint="default"/>
                <w:highlight w:val="none"/>
              </w:rPr>
            </w:pPr>
            <w:r>
              <w:rPr>
                <w:rFonts w:hint="default"/>
                <w:highlight w:val="none"/>
              </w:rPr>
              <w:t>大</w:t>
            </w:r>
          </w:p>
        </w:tc>
        <w:tc>
          <w:tcPr>
            <w:tcW w:w="541" w:type="dxa"/>
            <w:vAlign w:val="center"/>
          </w:tcPr>
          <w:p w14:paraId="252267BD">
            <w:pPr>
              <w:pStyle w:val="8"/>
              <w:suppressLineNumbers w:val="0"/>
              <w:bidi w:val="0"/>
              <w:spacing w:before="0" w:beforeAutospacing="0" w:after="0" w:afterAutospacing="0"/>
              <w:ind w:left="0" w:right="0"/>
              <w:rPr>
                <w:rFonts w:hint="default"/>
                <w:highlight w:val="none"/>
              </w:rPr>
            </w:pPr>
            <w:r>
              <w:rPr>
                <w:rFonts w:hint="default"/>
                <w:highlight w:val="none"/>
              </w:rPr>
              <w:t>中</w:t>
            </w:r>
          </w:p>
        </w:tc>
        <w:tc>
          <w:tcPr>
            <w:tcW w:w="548" w:type="dxa"/>
            <w:tcBorders>
              <w:right w:val="nil"/>
            </w:tcBorders>
            <w:vAlign w:val="center"/>
          </w:tcPr>
          <w:p w14:paraId="18F9F163">
            <w:pPr>
              <w:pStyle w:val="8"/>
              <w:suppressLineNumbers w:val="0"/>
              <w:bidi w:val="0"/>
              <w:spacing w:before="0" w:beforeAutospacing="0" w:after="0" w:afterAutospacing="0"/>
              <w:ind w:left="0" w:right="0"/>
              <w:rPr>
                <w:rFonts w:hint="default"/>
                <w:highlight w:val="none"/>
              </w:rPr>
            </w:pPr>
            <w:r>
              <w:rPr>
                <w:rFonts w:hint="default"/>
                <w:highlight w:val="none"/>
              </w:rPr>
              <w:t>小</w:t>
            </w:r>
          </w:p>
        </w:tc>
      </w:tr>
      <w:tr w14:paraId="34421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370" w:type="dxa"/>
            <w:vMerge w:val="restart"/>
            <w:tcBorders>
              <w:left w:val="nil"/>
            </w:tcBorders>
            <w:vAlign w:val="center"/>
          </w:tcPr>
          <w:p w14:paraId="0ACC74D7">
            <w:pPr>
              <w:pStyle w:val="8"/>
              <w:suppressLineNumbers w:val="0"/>
              <w:bidi w:val="0"/>
              <w:spacing w:before="0" w:beforeAutospacing="0" w:after="0" w:afterAutospacing="0"/>
              <w:ind w:left="0" w:right="0"/>
              <w:rPr>
                <w:rFonts w:hint="default"/>
                <w:highlight w:val="none"/>
              </w:rPr>
            </w:pPr>
            <w:r>
              <w:rPr>
                <w:rFonts w:hint="default"/>
                <w:highlight w:val="none"/>
              </w:rPr>
              <w:t>施工期</w:t>
            </w:r>
          </w:p>
        </w:tc>
        <w:tc>
          <w:tcPr>
            <w:tcW w:w="1315" w:type="dxa"/>
            <w:vAlign w:val="center"/>
          </w:tcPr>
          <w:p w14:paraId="176FB2DE">
            <w:pPr>
              <w:pStyle w:val="8"/>
              <w:suppressLineNumbers w:val="0"/>
              <w:bidi w:val="0"/>
              <w:spacing w:before="0" w:beforeAutospacing="0" w:after="0" w:afterAutospacing="0"/>
              <w:ind w:left="0" w:right="0"/>
              <w:rPr>
                <w:rFonts w:hint="default"/>
                <w:highlight w:val="none"/>
              </w:rPr>
            </w:pPr>
            <w:r>
              <w:rPr>
                <w:rFonts w:hint="default"/>
                <w:highlight w:val="none"/>
              </w:rPr>
              <w:t>地表水环境</w:t>
            </w:r>
          </w:p>
        </w:tc>
        <w:tc>
          <w:tcPr>
            <w:tcW w:w="434" w:type="dxa"/>
            <w:vAlign w:val="center"/>
          </w:tcPr>
          <w:p w14:paraId="46B3E44B">
            <w:pPr>
              <w:pStyle w:val="8"/>
              <w:suppressLineNumbers w:val="0"/>
              <w:bidi w:val="0"/>
              <w:spacing w:before="0" w:beforeAutospacing="0" w:after="0" w:afterAutospacing="0"/>
              <w:ind w:left="0" w:right="0"/>
              <w:rPr>
                <w:rFonts w:hint="default"/>
                <w:highlight w:val="none"/>
              </w:rPr>
            </w:pPr>
          </w:p>
        </w:tc>
        <w:tc>
          <w:tcPr>
            <w:tcW w:w="534" w:type="dxa"/>
            <w:vAlign w:val="center"/>
          </w:tcPr>
          <w:p w14:paraId="232EAE27">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46" w:type="dxa"/>
            <w:vAlign w:val="center"/>
          </w:tcPr>
          <w:p w14:paraId="1D36D78B">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84" w:type="dxa"/>
            <w:vAlign w:val="center"/>
          </w:tcPr>
          <w:p w14:paraId="53CF2AC9">
            <w:pPr>
              <w:pStyle w:val="8"/>
              <w:suppressLineNumbers w:val="0"/>
              <w:bidi w:val="0"/>
              <w:spacing w:before="0" w:beforeAutospacing="0" w:after="0" w:afterAutospacing="0"/>
              <w:ind w:left="0" w:right="0"/>
              <w:rPr>
                <w:rFonts w:hint="default"/>
                <w:highlight w:val="none"/>
              </w:rPr>
            </w:pPr>
          </w:p>
        </w:tc>
        <w:tc>
          <w:tcPr>
            <w:tcW w:w="446" w:type="dxa"/>
            <w:vAlign w:val="center"/>
          </w:tcPr>
          <w:p w14:paraId="05CD942B">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46" w:type="dxa"/>
            <w:vAlign w:val="center"/>
          </w:tcPr>
          <w:p w14:paraId="642B18CA">
            <w:pPr>
              <w:pStyle w:val="8"/>
              <w:suppressLineNumbers w:val="0"/>
              <w:bidi w:val="0"/>
              <w:spacing w:before="0" w:beforeAutospacing="0" w:after="0" w:afterAutospacing="0"/>
              <w:ind w:left="0" w:right="0"/>
              <w:rPr>
                <w:rFonts w:hint="default"/>
                <w:highlight w:val="none"/>
              </w:rPr>
            </w:pPr>
          </w:p>
        </w:tc>
        <w:tc>
          <w:tcPr>
            <w:tcW w:w="446" w:type="dxa"/>
            <w:vAlign w:val="center"/>
          </w:tcPr>
          <w:p w14:paraId="69ED41F7">
            <w:pPr>
              <w:pStyle w:val="8"/>
              <w:suppressLineNumbers w:val="0"/>
              <w:bidi w:val="0"/>
              <w:spacing w:before="0" w:beforeAutospacing="0" w:after="0" w:afterAutospacing="0"/>
              <w:ind w:left="0" w:right="0"/>
              <w:rPr>
                <w:rFonts w:hint="default"/>
                <w:highlight w:val="none"/>
              </w:rPr>
            </w:pPr>
          </w:p>
        </w:tc>
        <w:tc>
          <w:tcPr>
            <w:tcW w:w="446" w:type="dxa"/>
            <w:vAlign w:val="center"/>
          </w:tcPr>
          <w:p w14:paraId="15A03901">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74" w:type="dxa"/>
            <w:vAlign w:val="center"/>
          </w:tcPr>
          <w:p w14:paraId="2B42B654">
            <w:pPr>
              <w:pStyle w:val="8"/>
              <w:suppressLineNumbers w:val="0"/>
              <w:bidi w:val="0"/>
              <w:spacing w:before="0" w:beforeAutospacing="0" w:after="0" w:afterAutospacing="0"/>
              <w:ind w:left="0" w:right="0"/>
              <w:rPr>
                <w:rFonts w:hint="default"/>
                <w:highlight w:val="none"/>
              </w:rPr>
            </w:pPr>
          </w:p>
        </w:tc>
        <w:tc>
          <w:tcPr>
            <w:tcW w:w="446" w:type="dxa"/>
            <w:vAlign w:val="center"/>
          </w:tcPr>
          <w:p w14:paraId="2F1503F4">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46" w:type="dxa"/>
            <w:vAlign w:val="center"/>
          </w:tcPr>
          <w:p w14:paraId="01DD6B66">
            <w:pPr>
              <w:pStyle w:val="8"/>
              <w:suppressLineNumbers w:val="0"/>
              <w:bidi w:val="0"/>
              <w:spacing w:before="0" w:beforeAutospacing="0" w:after="0" w:afterAutospacing="0"/>
              <w:ind w:left="0" w:right="0"/>
              <w:rPr>
                <w:rFonts w:hint="default"/>
                <w:highlight w:val="none"/>
              </w:rPr>
            </w:pPr>
          </w:p>
        </w:tc>
        <w:tc>
          <w:tcPr>
            <w:tcW w:w="499" w:type="dxa"/>
            <w:vAlign w:val="center"/>
          </w:tcPr>
          <w:p w14:paraId="48E224B8">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519" w:type="dxa"/>
            <w:vAlign w:val="center"/>
          </w:tcPr>
          <w:p w14:paraId="0D095DC0">
            <w:pPr>
              <w:pStyle w:val="8"/>
              <w:suppressLineNumbers w:val="0"/>
              <w:bidi w:val="0"/>
              <w:spacing w:before="0" w:beforeAutospacing="0" w:after="0" w:afterAutospacing="0"/>
              <w:ind w:left="0" w:right="0"/>
              <w:rPr>
                <w:rFonts w:hint="default"/>
                <w:highlight w:val="none"/>
              </w:rPr>
            </w:pPr>
          </w:p>
        </w:tc>
        <w:tc>
          <w:tcPr>
            <w:tcW w:w="541" w:type="dxa"/>
            <w:vAlign w:val="center"/>
          </w:tcPr>
          <w:p w14:paraId="061BB501">
            <w:pPr>
              <w:pStyle w:val="8"/>
              <w:suppressLineNumbers w:val="0"/>
              <w:bidi w:val="0"/>
              <w:spacing w:before="0" w:beforeAutospacing="0" w:after="0" w:afterAutospacing="0"/>
              <w:ind w:left="0" w:right="0"/>
              <w:rPr>
                <w:rFonts w:hint="default"/>
                <w:highlight w:val="none"/>
              </w:rPr>
            </w:pPr>
          </w:p>
        </w:tc>
        <w:tc>
          <w:tcPr>
            <w:tcW w:w="548" w:type="dxa"/>
            <w:tcBorders>
              <w:right w:val="nil"/>
            </w:tcBorders>
            <w:vAlign w:val="center"/>
          </w:tcPr>
          <w:p w14:paraId="33B23BB0">
            <w:pPr>
              <w:pStyle w:val="8"/>
              <w:suppressLineNumbers w:val="0"/>
              <w:bidi w:val="0"/>
              <w:spacing w:before="0" w:beforeAutospacing="0" w:after="0" w:afterAutospacing="0"/>
              <w:ind w:left="0" w:right="0"/>
              <w:rPr>
                <w:rFonts w:hint="default"/>
                <w:highlight w:val="none"/>
              </w:rPr>
            </w:pPr>
            <w:r>
              <w:rPr>
                <w:rFonts w:hint="default"/>
                <w:highlight w:val="none"/>
              </w:rPr>
              <w:t>√</w:t>
            </w:r>
          </w:p>
        </w:tc>
      </w:tr>
      <w:tr w14:paraId="05A628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jc w:val="center"/>
        </w:trPr>
        <w:tc>
          <w:tcPr>
            <w:tcW w:w="370" w:type="dxa"/>
            <w:vMerge w:val="continue"/>
            <w:tcBorders>
              <w:left w:val="nil"/>
            </w:tcBorders>
            <w:vAlign w:val="center"/>
          </w:tcPr>
          <w:p w14:paraId="5D8B9E8B">
            <w:pPr>
              <w:pStyle w:val="8"/>
              <w:suppressLineNumbers w:val="0"/>
              <w:bidi w:val="0"/>
              <w:spacing w:before="0" w:beforeAutospacing="0" w:after="0" w:afterAutospacing="0"/>
              <w:ind w:left="0" w:right="0"/>
              <w:rPr>
                <w:rFonts w:hint="default"/>
                <w:highlight w:val="none"/>
              </w:rPr>
            </w:pPr>
          </w:p>
        </w:tc>
        <w:tc>
          <w:tcPr>
            <w:tcW w:w="1315" w:type="dxa"/>
            <w:vAlign w:val="center"/>
          </w:tcPr>
          <w:p w14:paraId="684758C9">
            <w:pPr>
              <w:pStyle w:val="8"/>
              <w:suppressLineNumbers w:val="0"/>
              <w:bidi w:val="0"/>
              <w:spacing w:before="0" w:beforeAutospacing="0" w:after="0" w:afterAutospacing="0"/>
              <w:ind w:left="0" w:right="0"/>
              <w:rPr>
                <w:rFonts w:hint="default"/>
                <w:highlight w:val="none"/>
              </w:rPr>
            </w:pPr>
            <w:r>
              <w:rPr>
                <w:rFonts w:hint="default"/>
                <w:highlight w:val="none"/>
              </w:rPr>
              <w:t>声环境</w:t>
            </w:r>
          </w:p>
        </w:tc>
        <w:tc>
          <w:tcPr>
            <w:tcW w:w="434" w:type="dxa"/>
            <w:vAlign w:val="center"/>
          </w:tcPr>
          <w:p w14:paraId="0AB6F429">
            <w:pPr>
              <w:pStyle w:val="8"/>
              <w:suppressLineNumbers w:val="0"/>
              <w:bidi w:val="0"/>
              <w:spacing w:before="0" w:beforeAutospacing="0" w:after="0" w:afterAutospacing="0"/>
              <w:ind w:left="0" w:right="0"/>
              <w:rPr>
                <w:rFonts w:hint="default"/>
                <w:highlight w:val="none"/>
              </w:rPr>
            </w:pPr>
          </w:p>
        </w:tc>
        <w:tc>
          <w:tcPr>
            <w:tcW w:w="534" w:type="dxa"/>
            <w:vAlign w:val="center"/>
          </w:tcPr>
          <w:p w14:paraId="05761E2D">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46" w:type="dxa"/>
            <w:vAlign w:val="center"/>
          </w:tcPr>
          <w:p w14:paraId="078AB473">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84" w:type="dxa"/>
            <w:vAlign w:val="center"/>
          </w:tcPr>
          <w:p w14:paraId="6FA92589">
            <w:pPr>
              <w:pStyle w:val="8"/>
              <w:suppressLineNumbers w:val="0"/>
              <w:bidi w:val="0"/>
              <w:spacing w:before="0" w:beforeAutospacing="0" w:after="0" w:afterAutospacing="0"/>
              <w:ind w:left="0" w:right="0"/>
              <w:rPr>
                <w:rFonts w:hint="default"/>
                <w:highlight w:val="none"/>
              </w:rPr>
            </w:pPr>
          </w:p>
        </w:tc>
        <w:tc>
          <w:tcPr>
            <w:tcW w:w="446" w:type="dxa"/>
            <w:vAlign w:val="center"/>
          </w:tcPr>
          <w:p w14:paraId="24398110">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46" w:type="dxa"/>
            <w:vAlign w:val="center"/>
          </w:tcPr>
          <w:p w14:paraId="6078CBF1">
            <w:pPr>
              <w:pStyle w:val="8"/>
              <w:suppressLineNumbers w:val="0"/>
              <w:bidi w:val="0"/>
              <w:spacing w:before="0" w:beforeAutospacing="0" w:after="0" w:afterAutospacing="0"/>
              <w:ind w:left="0" w:right="0"/>
              <w:rPr>
                <w:rFonts w:hint="default"/>
                <w:highlight w:val="none"/>
              </w:rPr>
            </w:pPr>
          </w:p>
        </w:tc>
        <w:tc>
          <w:tcPr>
            <w:tcW w:w="446" w:type="dxa"/>
            <w:vAlign w:val="center"/>
          </w:tcPr>
          <w:p w14:paraId="766884EB">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46" w:type="dxa"/>
            <w:vAlign w:val="center"/>
          </w:tcPr>
          <w:p w14:paraId="012400D3">
            <w:pPr>
              <w:pStyle w:val="8"/>
              <w:suppressLineNumbers w:val="0"/>
              <w:bidi w:val="0"/>
              <w:spacing w:before="0" w:beforeAutospacing="0" w:after="0" w:afterAutospacing="0"/>
              <w:ind w:left="0" w:right="0"/>
              <w:rPr>
                <w:rFonts w:hint="default"/>
                <w:highlight w:val="none"/>
              </w:rPr>
            </w:pPr>
          </w:p>
        </w:tc>
        <w:tc>
          <w:tcPr>
            <w:tcW w:w="474" w:type="dxa"/>
            <w:vAlign w:val="center"/>
          </w:tcPr>
          <w:p w14:paraId="16A4DB1E">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46" w:type="dxa"/>
            <w:vAlign w:val="center"/>
          </w:tcPr>
          <w:p w14:paraId="4B5277D6">
            <w:pPr>
              <w:pStyle w:val="8"/>
              <w:suppressLineNumbers w:val="0"/>
              <w:bidi w:val="0"/>
              <w:spacing w:before="0" w:beforeAutospacing="0" w:after="0" w:afterAutospacing="0"/>
              <w:ind w:left="0" w:right="0"/>
              <w:rPr>
                <w:rFonts w:hint="default"/>
                <w:highlight w:val="none"/>
              </w:rPr>
            </w:pPr>
          </w:p>
        </w:tc>
        <w:tc>
          <w:tcPr>
            <w:tcW w:w="446" w:type="dxa"/>
            <w:vAlign w:val="center"/>
          </w:tcPr>
          <w:p w14:paraId="2E09F664">
            <w:pPr>
              <w:pStyle w:val="8"/>
              <w:suppressLineNumbers w:val="0"/>
              <w:bidi w:val="0"/>
              <w:spacing w:before="0" w:beforeAutospacing="0" w:after="0" w:afterAutospacing="0"/>
              <w:ind w:left="0" w:right="0"/>
              <w:rPr>
                <w:rFonts w:hint="default"/>
                <w:highlight w:val="none"/>
              </w:rPr>
            </w:pPr>
          </w:p>
        </w:tc>
        <w:tc>
          <w:tcPr>
            <w:tcW w:w="499" w:type="dxa"/>
            <w:vAlign w:val="center"/>
          </w:tcPr>
          <w:p w14:paraId="5E161E45">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519" w:type="dxa"/>
            <w:vAlign w:val="center"/>
          </w:tcPr>
          <w:p w14:paraId="2CB02BC6">
            <w:pPr>
              <w:pStyle w:val="8"/>
              <w:suppressLineNumbers w:val="0"/>
              <w:bidi w:val="0"/>
              <w:spacing w:before="0" w:beforeAutospacing="0" w:after="0" w:afterAutospacing="0"/>
              <w:ind w:left="0" w:right="0"/>
              <w:rPr>
                <w:rFonts w:hint="default"/>
                <w:highlight w:val="none"/>
              </w:rPr>
            </w:pPr>
          </w:p>
        </w:tc>
        <w:tc>
          <w:tcPr>
            <w:tcW w:w="541" w:type="dxa"/>
            <w:vAlign w:val="center"/>
          </w:tcPr>
          <w:p w14:paraId="697A576D">
            <w:pPr>
              <w:pStyle w:val="8"/>
              <w:suppressLineNumbers w:val="0"/>
              <w:bidi w:val="0"/>
              <w:spacing w:before="0" w:beforeAutospacing="0" w:after="0" w:afterAutospacing="0"/>
              <w:ind w:left="0" w:right="0"/>
              <w:rPr>
                <w:rFonts w:hint="default"/>
                <w:highlight w:val="none"/>
              </w:rPr>
            </w:pPr>
          </w:p>
        </w:tc>
        <w:tc>
          <w:tcPr>
            <w:tcW w:w="548" w:type="dxa"/>
            <w:tcBorders>
              <w:right w:val="nil"/>
            </w:tcBorders>
            <w:vAlign w:val="center"/>
          </w:tcPr>
          <w:p w14:paraId="13019C15">
            <w:pPr>
              <w:pStyle w:val="8"/>
              <w:suppressLineNumbers w:val="0"/>
              <w:bidi w:val="0"/>
              <w:spacing w:before="0" w:beforeAutospacing="0" w:after="0" w:afterAutospacing="0"/>
              <w:ind w:left="0" w:right="0"/>
              <w:rPr>
                <w:rFonts w:hint="default"/>
                <w:highlight w:val="none"/>
              </w:rPr>
            </w:pPr>
            <w:r>
              <w:rPr>
                <w:rFonts w:hint="default"/>
                <w:highlight w:val="none"/>
              </w:rPr>
              <w:t>√</w:t>
            </w:r>
          </w:p>
        </w:tc>
      </w:tr>
      <w:tr w14:paraId="293ACB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 w:hRule="atLeast"/>
          <w:jc w:val="center"/>
        </w:trPr>
        <w:tc>
          <w:tcPr>
            <w:tcW w:w="370" w:type="dxa"/>
            <w:vMerge w:val="restart"/>
            <w:tcBorders>
              <w:left w:val="nil"/>
            </w:tcBorders>
            <w:vAlign w:val="center"/>
          </w:tcPr>
          <w:p w14:paraId="43ACC552">
            <w:pPr>
              <w:pStyle w:val="8"/>
              <w:suppressLineNumbers w:val="0"/>
              <w:bidi w:val="0"/>
              <w:spacing w:before="0" w:beforeAutospacing="0" w:after="0" w:afterAutospacing="0"/>
              <w:ind w:left="0" w:right="0"/>
              <w:rPr>
                <w:rFonts w:hint="default"/>
                <w:highlight w:val="none"/>
              </w:rPr>
            </w:pPr>
            <w:r>
              <w:rPr>
                <w:rFonts w:hint="default"/>
                <w:highlight w:val="none"/>
              </w:rPr>
              <w:t>运行期</w:t>
            </w:r>
          </w:p>
        </w:tc>
        <w:tc>
          <w:tcPr>
            <w:tcW w:w="1315" w:type="dxa"/>
            <w:vAlign w:val="center"/>
          </w:tcPr>
          <w:p w14:paraId="52BFE6BA">
            <w:pPr>
              <w:pStyle w:val="8"/>
              <w:suppressLineNumbers w:val="0"/>
              <w:bidi w:val="0"/>
              <w:spacing w:before="0" w:beforeAutospacing="0" w:after="0" w:afterAutospacing="0"/>
              <w:ind w:left="0" w:right="0"/>
              <w:rPr>
                <w:rFonts w:hint="default"/>
                <w:highlight w:val="none"/>
              </w:rPr>
            </w:pPr>
            <w:r>
              <w:rPr>
                <w:rFonts w:hint="default"/>
                <w:highlight w:val="none"/>
              </w:rPr>
              <w:t>环境空气</w:t>
            </w:r>
          </w:p>
        </w:tc>
        <w:tc>
          <w:tcPr>
            <w:tcW w:w="434" w:type="dxa"/>
          </w:tcPr>
          <w:p w14:paraId="2E53436D">
            <w:pPr>
              <w:pStyle w:val="8"/>
              <w:suppressLineNumbers w:val="0"/>
              <w:bidi w:val="0"/>
              <w:spacing w:before="0" w:beforeAutospacing="0" w:after="0" w:afterAutospacing="0"/>
              <w:ind w:left="0" w:right="0"/>
              <w:rPr>
                <w:rFonts w:hint="default"/>
                <w:highlight w:val="none"/>
              </w:rPr>
            </w:pPr>
          </w:p>
        </w:tc>
        <w:tc>
          <w:tcPr>
            <w:tcW w:w="534" w:type="dxa"/>
          </w:tcPr>
          <w:p w14:paraId="0F3BF9A2">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46" w:type="dxa"/>
          </w:tcPr>
          <w:p w14:paraId="680DF95F">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84" w:type="dxa"/>
          </w:tcPr>
          <w:p w14:paraId="1BDBC9F0">
            <w:pPr>
              <w:pStyle w:val="8"/>
              <w:suppressLineNumbers w:val="0"/>
              <w:bidi w:val="0"/>
              <w:spacing w:before="0" w:beforeAutospacing="0" w:after="0" w:afterAutospacing="0"/>
              <w:ind w:left="0" w:right="0"/>
              <w:rPr>
                <w:rFonts w:hint="default"/>
                <w:highlight w:val="none"/>
              </w:rPr>
            </w:pPr>
          </w:p>
        </w:tc>
        <w:tc>
          <w:tcPr>
            <w:tcW w:w="446" w:type="dxa"/>
          </w:tcPr>
          <w:p w14:paraId="6EB866CF">
            <w:pPr>
              <w:pStyle w:val="8"/>
              <w:suppressLineNumbers w:val="0"/>
              <w:bidi w:val="0"/>
              <w:spacing w:before="0" w:beforeAutospacing="0" w:after="0" w:afterAutospacing="0"/>
              <w:ind w:left="0" w:right="0"/>
              <w:rPr>
                <w:rFonts w:hint="default"/>
                <w:highlight w:val="none"/>
              </w:rPr>
            </w:pPr>
          </w:p>
        </w:tc>
        <w:tc>
          <w:tcPr>
            <w:tcW w:w="446" w:type="dxa"/>
          </w:tcPr>
          <w:p w14:paraId="19245E4A">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46" w:type="dxa"/>
          </w:tcPr>
          <w:p w14:paraId="25AF7210">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46" w:type="dxa"/>
          </w:tcPr>
          <w:p w14:paraId="62A3D8E4">
            <w:pPr>
              <w:pStyle w:val="8"/>
              <w:suppressLineNumbers w:val="0"/>
              <w:bidi w:val="0"/>
              <w:spacing w:before="0" w:beforeAutospacing="0" w:after="0" w:afterAutospacing="0"/>
              <w:ind w:left="0" w:right="0"/>
              <w:rPr>
                <w:rFonts w:hint="default"/>
                <w:highlight w:val="none"/>
              </w:rPr>
            </w:pPr>
          </w:p>
        </w:tc>
        <w:tc>
          <w:tcPr>
            <w:tcW w:w="474" w:type="dxa"/>
          </w:tcPr>
          <w:p w14:paraId="4503B783">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46" w:type="dxa"/>
          </w:tcPr>
          <w:p w14:paraId="54A78AA4">
            <w:pPr>
              <w:pStyle w:val="8"/>
              <w:suppressLineNumbers w:val="0"/>
              <w:bidi w:val="0"/>
              <w:spacing w:before="0" w:beforeAutospacing="0" w:after="0" w:afterAutospacing="0"/>
              <w:ind w:left="0" w:right="0"/>
              <w:rPr>
                <w:rFonts w:hint="default"/>
                <w:highlight w:val="none"/>
              </w:rPr>
            </w:pPr>
          </w:p>
        </w:tc>
        <w:tc>
          <w:tcPr>
            <w:tcW w:w="446" w:type="dxa"/>
          </w:tcPr>
          <w:p w14:paraId="24BA7F88">
            <w:pPr>
              <w:pStyle w:val="8"/>
              <w:suppressLineNumbers w:val="0"/>
              <w:bidi w:val="0"/>
              <w:spacing w:before="0" w:beforeAutospacing="0" w:after="0" w:afterAutospacing="0"/>
              <w:ind w:left="0" w:right="0"/>
              <w:rPr>
                <w:rFonts w:hint="default"/>
                <w:highlight w:val="none"/>
              </w:rPr>
            </w:pPr>
          </w:p>
        </w:tc>
        <w:tc>
          <w:tcPr>
            <w:tcW w:w="499" w:type="dxa"/>
          </w:tcPr>
          <w:p w14:paraId="4AFA7EE2">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519" w:type="dxa"/>
          </w:tcPr>
          <w:p w14:paraId="365F037A">
            <w:pPr>
              <w:pStyle w:val="8"/>
              <w:suppressLineNumbers w:val="0"/>
              <w:bidi w:val="0"/>
              <w:spacing w:before="0" w:beforeAutospacing="0" w:after="0" w:afterAutospacing="0"/>
              <w:ind w:left="0" w:right="0"/>
              <w:rPr>
                <w:rFonts w:hint="default"/>
                <w:highlight w:val="none"/>
              </w:rPr>
            </w:pPr>
          </w:p>
        </w:tc>
        <w:tc>
          <w:tcPr>
            <w:tcW w:w="541" w:type="dxa"/>
          </w:tcPr>
          <w:p w14:paraId="5038A609">
            <w:pPr>
              <w:pStyle w:val="8"/>
              <w:suppressLineNumbers w:val="0"/>
              <w:bidi w:val="0"/>
              <w:spacing w:before="0" w:beforeAutospacing="0" w:after="0" w:afterAutospacing="0"/>
              <w:ind w:left="0" w:right="0"/>
              <w:rPr>
                <w:rFonts w:hint="default"/>
                <w:highlight w:val="none"/>
              </w:rPr>
            </w:pPr>
          </w:p>
        </w:tc>
        <w:tc>
          <w:tcPr>
            <w:tcW w:w="548" w:type="dxa"/>
            <w:tcBorders>
              <w:right w:val="nil"/>
            </w:tcBorders>
          </w:tcPr>
          <w:p w14:paraId="29C877C2">
            <w:pPr>
              <w:pStyle w:val="8"/>
              <w:suppressLineNumbers w:val="0"/>
              <w:bidi w:val="0"/>
              <w:spacing w:before="0" w:beforeAutospacing="0" w:after="0" w:afterAutospacing="0"/>
              <w:ind w:left="0" w:right="0"/>
              <w:rPr>
                <w:rFonts w:hint="default"/>
                <w:highlight w:val="none"/>
              </w:rPr>
            </w:pPr>
            <w:r>
              <w:rPr>
                <w:rFonts w:hint="default"/>
                <w:highlight w:val="none"/>
              </w:rPr>
              <w:t>√</w:t>
            </w:r>
          </w:p>
        </w:tc>
      </w:tr>
      <w:tr w14:paraId="3BB869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370" w:type="dxa"/>
            <w:vMerge w:val="continue"/>
            <w:tcBorders>
              <w:left w:val="nil"/>
            </w:tcBorders>
            <w:vAlign w:val="center"/>
          </w:tcPr>
          <w:p w14:paraId="00A8CBB1">
            <w:pPr>
              <w:pStyle w:val="8"/>
              <w:suppressLineNumbers w:val="0"/>
              <w:bidi w:val="0"/>
              <w:spacing w:before="0" w:beforeAutospacing="0" w:after="0" w:afterAutospacing="0"/>
              <w:ind w:left="0" w:right="0"/>
              <w:rPr>
                <w:rFonts w:hint="default"/>
                <w:highlight w:val="none"/>
              </w:rPr>
            </w:pPr>
          </w:p>
        </w:tc>
        <w:tc>
          <w:tcPr>
            <w:tcW w:w="1315" w:type="dxa"/>
            <w:vAlign w:val="center"/>
          </w:tcPr>
          <w:p w14:paraId="1A96FECD">
            <w:pPr>
              <w:pStyle w:val="8"/>
              <w:suppressLineNumbers w:val="0"/>
              <w:bidi w:val="0"/>
              <w:spacing w:before="0" w:beforeAutospacing="0" w:after="0" w:afterAutospacing="0"/>
              <w:ind w:left="0" w:right="0"/>
              <w:rPr>
                <w:rFonts w:hint="default"/>
                <w:highlight w:val="none"/>
              </w:rPr>
            </w:pPr>
            <w:r>
              <w:rPr>
                <w:rFonts w:hint="default"/>
                <w:highlight w:val="none"/>
              </w:rPr>
              <w:t>地表水环境</w:t>
            </w:r>
          </w:p>
        </w:tc>
        <w:tc>
          <w:tcPr>
            <w:tcW w:w="434" w:type="dxa"/>
          </w:tcPr>
          <w:p w14:paraId="299D5FA9">
            <w:pPr>
              <w:pStyle w:val="8"/>
              <w:suppressLineNumbers w:val="0"/>
              <w:bidi w:val="0"/>
              <w:spacing w:before="0" w:beforeAutospacing="0" w:after="0" w:afterAutospacing="0"/>
              <w:ind w:left="0" w:right="0"/>
              <w:rPr>
                <w:rFonts w:hint="default"/>
                <w:highlight w:val="none"/>
              </w:rPr>
            </w:pPr>
          </w:p>
        </w:tc>
        <w:tc>
          <w:tcPr>
            <w:tcW w:w="534" w:type="dxa"/>
          </w:tcPr>
          <w:p w14:paraId="651E91FE">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46" w:type="dxa"/>
          </w:tcPr>
          <w:p w14:paraId="56B57604">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84" w:type="dxa"/>
          </w:tcPr>
          <w:p w14:paraId="7EB725FB">
            <w:pPr>
              <w:pStyle w:val="8"/>
              <w:suppressLineNumbers w:val="0"/>
              <w:bidi w:val="0"/>
              <w:spacing w:before="0" w:beforeAutospacing="0" w:after="0" w:afterAutospacing="0"/>
              <w:ind w:left="0" w:right="0"/>
              <w:rPr>
                <w:rFonts w:hint="default"/>
                <w:highlight w:val="none"/>
              </w:rPr>
            </w:pPr>
          </w:p>
        </w:tc>
        <w:tc>
          <w:tcPr>
            <w:tcW w:w="446" w:type="dxa"/>
          </w:tcPr>
          <w:p w14:paraId="0B39A765">
            <w:pPr>
              <w:pStyle w:val="8"/>
              <w:suppressLineNumbers w:val="0"/>
              <w:bidi w:val="0"/>
              <w:spacing w:before="0" w:beforeAutospacing="0" w:after="0" w:afterAutospacing="0"/>
              <w:ind w:left="0" w:right="0"/>
              <w:rPr>
                <w:rFonts w:hint="default"/>
                <w:highlight w:val="none"/>
              </w:rPr>
            </w:pPr>
          </w:p>
        </w:tc>
        <w:tc>
          <w:tcPr>
            <w:tcW w:w="446" w:type="dxa"/>
          </w:tcPr>
          <w:p w14:paraId="7AA6FFEA">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46" w:type="dxa"/>
          </w:tcPr>
          <w:p w14:paraId="30488874">
            <w:pPr>
              <w:pStyle w:val="8"/>
              <w:suppressLineNumbers w:val="0"/>
              <w:bidi w:val="0"/>
              <w:spacing w:before="0" w:beforeAutospacing="0" w:after="0" w:afterAutospacing="0"/>
              <w:ind w:left="0" w:right="0"/>
              <w:rPr>
                <w:rFonts w:hint="default"/>
                <w:highlight w:val="none"/>
              </w:rPr>
            </w:pPr>
          </w:p>
        </w:tc>
        <w:tc>
          <w:tcPr>
            <w:tcW w:w="446" w:type="dxa"/>
          </w:tcPr>
          <w:p w14:paraId="57DDEF5D">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74" w:type="dxa"/>
          </w:tcPr>
          <w:p w14:paraId="2668A6B4">
            <w:pPr>
              <w:pStyle w:val="8"/>
              <w:suppressLineNumbers w:val="0"/>
              <w:bidi w:val="0"/>
              <w:spacing w:before="0" w:beforeAutospacing="0" w:after="0" w:afterAutospacing="0"/>
              <w:ind w:left="0" w:right="0"/>
              <w:rPr>
                <w:rFonts w:hint="default"/>
                <w:highlight w:val="none"/>
              </w:rPr>
            </w:pPr>
          </w:p>
        </w:tc>
        <w:tc>
          <w:tcPr>
            <w:tcW w:w="446" w:type="dxa"/>
          </w:tcPr>
          <w:p w14:paraId="38DA61C1">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46" w:type="dxa"/>
          </w:tcPr>
          <w:p w14:paraId="5095EE80">
            <w:pPr>
              <w:pStyle w:val="8"/>
              <w:suppressLineNumbers w:val="0"/>
              <w:bidi w:val="0"/>
              <w:spacing w:before="0" w:beforeAutospacing="0" w:after="0" w:afterAutospacing="0"/>
              <w:ind w:left="0" w:right="0"/>
              <w:rPr>
                <w:rFonts w:hint="default"/>
                <w:highlight w:val="none"/>
              </w:rPr>
            </w:pPr>
          </w:p>
        </w:tc>
        <w:tc>
          <w:tcPr>
            <w:tcW w:w="499" w:type="dxa"/>
          </w:tcPr>
          <w:p w14:paraId="4BCBCE2F">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519" w:type="dxa"/>
          </w:tcPr>
          <w:p w14:paraId="4CC804B0">
            <w:pPr>
              <w:pStyle w:val="8"/>
              <w:suppressLineNumbers w:val="0"/>
              <w:bidi w:val="0"/>
              <w:spacing w:before="0" w:beforeAutospacing="0" w:after="0" w:afterAutospacing="0"/>
              <w:ind w:left="0" w:right="0"/>
              <w:rPr>
                <w:rFonts w:hint="default"/>
                <w:highlight w:val="none"/>
              </w:rPr>
            </w:pPr>
          </w:p>
        </w:tc>
        <w:tc>
          <w:tcPr>
            <w:tcW w:w="541" w:type="dxa"/>
          </w:tcPr>
          <w:p w14:paraId="1AA614E5">
            <w:pPr>
              <w:pStyle w:val="8"/>
              <w:suppressLineNumbers w:val="0"/>
              <w:bidi w:val="0"/>
              <w:spacing w:before="0" w:beforeAutospacing="0" w:after="0" w:afterAutospacing="0"/>
              <w:ind w:left="0" w:right="0"/>
              <w:rPr>
                <w:rFonts w:hint="default"/>
                <w:highlight w:val="none"/>
              </w:rPr>
            </w:pPr>
          </w:p>
        </w:tc>
        <w:tc>
          <w:tcPr>
            <w:tcW w:w="548" w:type="dxa"/>
            <w:tcBorders>
              <w:right w:val="nil"/>
            </w:tcBorders>
          </w:tcPr>
          <w:p w14:paraId="53EEA346">
            <w:pPr>
              <w:pStyle w:val="8"/>
              <w:suppressLineNumbers w:val="0"/>
              <w:bidi w:val="0"/>
              <w:spacing w:before="0" w:beforeAutospacing="0" w:after="0" w:afterAutospacing="0"/>
              <w:ind w:left="0" w:right="0"/>
              <w:rPr>
                <w:rFonts w:hint="default"/>
                <w:highlight w:val="none"/>
              </w:rPr>
            </w:pPr>
            <w:r>
              <w:rPr>
                <w:rFonts w:hint="default"/>
                <w:highlight w:val="none"/>
              </w:rPr>
              <w:t>√</w:t>
            </w:r>
          </w:p>
        </w:tc>
      </w:tr>
      <w:tr w14:paraId="68EC69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4" w:hRule="atLeast"/>
          <w:jc w:val="center"/>
        </w:trPr>
        <w:tc>
          <w:tcPr>
            <w:tcW w:w="370" w:type="dxa"/>
            <w:vMerge w:val="continue"/>
            <w:tcBorders>
              <w:left w:val="nil"/>
            </w:tcBorders>
            <w:vAlign w:val="center"/>
          </w:tcPr>
          <w:p w14:paraId="0EE3976D">
            <w:pPr>
              <w:pStyle w:val="8"/>
              <w:suppressLineNumbers w:val="0"/>
              <w:bidi w:val="0"/>
              <w:spacing w:before="0" w:beforeAutospacing="0" w:after="0" w:afterAutospacing="0"/>
              <w:ind w:left="0" w:right="0"/>
              <w:rPr>
                <w:rFonts w:hint="default"/>
                <w:highlight w:val="none"/>
              </w:rPr>
            </w:pPr>
          </w:p>
        </w:tc>
        <w:tc>
          <w:tcPr>
            <w:tcW w:w="1315" w:type="dxa"/>
            <w:vAlign w:val="center"/>
          </w:tcPr>
          <w:p w14:paraId="2DD0CDCE">
            <w:pPr>
              <w:pStyle w:val="8"/>
              <w:suppressLineNumbers w:val="0"/>
              <w:bidi w:val="0"/>
              <w:spacing w:before="0" w:beforeAutospacing="0" w:after="0" w:afterAutospacing="0"/>
              <w:ind w:left="0" w:right="0"/>
              <w:rPr>
                <w:rFonts w:hint="default"/>
                <w:highlight w:val="none"/>
              </w:rPr>
            </w:pPr>
            <w:r>
              <w:rPr>
                <w:rFonts w:hint="default"/>
                <w:highlight w:val="none"/>
              </w:rPr>
              <w:t>地下水环境</w:t>
            </w:r>
          </w:p>
        </w:tc>
        <w:tc>
          <w:tcPr>
            <w:tcW w:w="434" w:type="dxa"/>
          </w:tcPr>
          <w:p w14:paraId="1B8746B4">
            <w:pPr>
              <w:pStyle w:val="8"/>
              <w:suppressLineNumbers w:val="0"/>
              <w:bidi w:val="0"/>
              <w:spacing w:before="0" w:beforeAutospacing="0" w:after="0" w:afterAutospacing="0"/>
              <w:ind w:left="0" w:right="0"/>
              <w:rPr>
                <w:rFonts w:hint="default"/>
                <w:highlight w:val="none"/>
              </w:rPr>
            </w:pPr>
          </w:p>
        </w:tc>
        <w:tc>
          <w:tcPr>
            <w:tcW w:w="534" w:type="dxa"/>
          </w:tcPr>
          <w:p w14:paraId="66B93497">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46" w:type="dxa"/>
          </w:tcPr>
          <w:p w14:paraId="58E9B587">
            <w:pPr>
              <w:pStyle w:val="8"/>
              <w:suppressLineNumbers w:val="0"/>
              <w:bidi w:val="0"/>
              <w:spacing w:before="0" w:beforeAutospacing="0" w:after="0" w:afterAutospacing="0"/>
              <w:ind w:left="0" w:right="0"/>
              <w:rPr>
                <w:rFonts w:hint="default"/>
                <w:highlight w:val="none"/>
              </w:rPr>
            </w:pPr>
          </w:p>
        </w:tc>
        <w:tc>
          <w:tcPr>
            <w:tcW w:w="484" w:type="dxa"/>
          </w:tcPr>
          <w:p w14:paraId="1EF961B8">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46" w:type="dxa"/>
          </w:tcPr>
          <w:p w14:paraId="180B0BD5">
            <w:pPr>
              <w:pStyle w:val="8"/>
              <w:suppressLineNumbers w:val="0"/>
              <w:bidi w:val="0"/>
              <w:spacing w:before="0" w:beforeAutospacing="0" w:after="0" w:afterAutospacing="0"/>
              <w:ind w:left="0" w:right="0"/>
              <w:rPr>
                <w:rFonts w:hint="default"/>
                <w:highlight w:val="none"/>
              </w:rPr>
            </w:pPr>
          </w:p>
        </w:tc>
        <w:tc>
          <w:tcPr>
            <w:tcW w:w="446" w:type="dxa"/>
          </w:tcPr>
          <w:p w14:paraId="7ADD00AA">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46" w:type="dxa"/>
          </w:tcPr>
          <w:p w14:paraId="01BE708D">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46" w:type="dxa"/>
          </w:tcPr>
          <w:p w14:paraId="143BB60C">
            <w:pPr>
              <w:pStyle w:val="8"/>
              <w:suppressLineNumbers w:val="0"/>
              <w:bidi w:val="0"/>
              <w:spacing w:before="0" w:beforeAutospacing="0" w:after="0" w:afterAutospacing="0"/>
              <w:ind w:left="0" w:right="0"/>
              <w:rPr>
                <w:rFonts w:hint="default"/>
                <w:highlight w:val="none"/>
              </w:rPr>
            </w:pPr>
          </w:p>
        </w:tc>
        <w:tc>
          <w:tcPr>
            <w:tcW w:w="474" w:type="dxa"/>
          </w:tcPr>
          <w:p w14:paraId="69435486">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46" w:type="dxa"/>
          </w:tcPr>
          <w:p w14:paraId="529FFC38">
            <w:pPr>
              <w:pStyle w:val="8"/>
              <w:suppressLineNumbers w:val="0"/>
              <w:bidi w:val="0"/>
              <w:spacing w:before="0" w:beforeAutospacing="0" w:after="0" w:afterAutospacing="0"/>
              <w:ind w:left="0" w:right="0"/>
              <w:rPr>
                <w:rFonts w:hint="default"/>
                <w:highlight w:val="none"/>
              </w:rPr>
            </w:pPr>
          </w:p>
        </w:tc>
        <w:tc>
          <w:tcPr>
            <w:tcW w:w="446" w:type="dxa"/>
          </w:tcPr>
          <w:p w14:paraId="6CBC2910">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99" w:type="dxa"/>
          </w:tcPr>
          <w:p w14:paraId="7B682AD4">
            <w:pPr>
              <w:pStyle w:val="8"/>
              <w:suppressLineNumbers w:val="0"/>
              <w:bidi w:val="0"/>
              <w:spacing w:before="0" w:beforeAutospacing="0" w:after="0" w:afterAutospacing="0"/>
              <w:ind w:left="0" w:right="0"/>
              <w:rPr>
                <w:rFonts w:hint="default"/>
                <w:highlight w:val="none"/>
              </w:rPr>
            </w:pPr>
          </w:p>
        </w:tc>
        <w:tc>
          <w:tcPr>
            <w:tcW w:w="519" w:type="dxa"/>
          </w:tcPr>
          <w:p w14:paraId="62659374">
            <w:pPr>
              <w:pStyle w:val="8"/>
              <w:suppressLineNumbers w:val="0"/>
              <w:bidi w:val="0"/>
              <w:spacing w:before="0" w:beforeAutospacing="0" w:after="0" w:afterAutospacing="0"/>
              <w:ind w:left="0" w:right="0"/>
              <w:rPr>
                <w:rFonts w:hint="default"/>
                <w:highlight w:val="none"/>
              </w:rPr>
            </w:pPr>
          </w:p>
        </w:tc>
        <w:tc>
          <w:tcPr>
            <w:tcW w:w="541" w:type="dxa"/>
          </w:tcPr>
          <w:p w14:paraId="4C879885">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548" w:type="dxa"/>
            <w:tcBorders>
              <w:right w:val="nil"/>
            </w:tcBorders>
          </w:tcPr>
          <w:p w14:paraId="77C991E6">
            <w:pPr>
              <w:pStyle w:val="8"/>
              <w:suppressLineNumbers w:val="0"/>
              <w:bidi w:val="0"/>
              <w:spacing w:before="0" w:beforeAutospacing="0" w:after="0" w:afterAutospacing="0"/>
              <w:ind w:left="0" w:right="0"/>
              <w:rPr>
                <w:rFonts w:hint="default"/>
                <w:highlight w:val="none"/>
              </w:rPr>
            </w:pPr>
          </w:p>
        </w:tc>
      </w:tr>
      <w:tr w14:paraId="3E36C4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 w:hRule="atLeast"/>
          <w:jc w:val="center"/>
        </w:trPr>
        <w:tc>
          <w:tcPr>
            <w:tcW w:w="370" w:type="dxa"/>
            <w:vMerge w:val="continue"/>
            <w:tcBorders>
              <w:left w:val="nil"/>
            </w:tcBorders>
            <w:vAlign w:val="center"/>
          </w:tcPr>
          <w:p w14:paraId="07769C15">
            <w:pPr>
              <w:pStyle w:val="8"/>
              <w:suppressLineNumbers w:val="0"/>
              <w:bidi w:val="0"/>
              <w:spacing w:before="0" w:beforeAutospacing="0" w:after="0" w:afterAutospacing="0"/>
              <w:ind w:left="0" w:right="0"/>
              <w:rPr>
                <w:rFonts w:hint="default"/>
                <w:highlight w:val="none"/>
              </w:rPr>
            </w:pPr>
          </w:p>
        </w:tc>
        <w:tc>
          <w:tcPr>
            <w:tcW w:w="1315" w:type="dxa"/>
            <w:vAlign w:val="center"/>
          </w:tcPr>
          <w:p w14:paraId="5BD8D70D">
            <w:pPr>
              <w:pStyle w:val="8"/>
              <w:suppressLineNumbers w:val="0"/>
              <w:bidi w:val="0"/>
              <w:spacing w:before="0" w:beforeAutospacing="0" w:after="0" w:afterAutospacing="0"/>
              <w:ind w:left="0" w:right="0"/>
              <w:rPr>
                <w:rFonts w:hint="default"/>
                <w:highlight w:val="none"/>
              </w:rPr>
            </w:pPr>
            <w:r>
              <w:rPr>
                <w:rFonts w:hint="default"/>
                <w:highlight w:val="none"/>
              </w:rPr>
              <w:t>声环境</w:t>
            </w:r>
          </w:p>
        </w:tc>
        <w:tc>
          <w:tcPr>
            <w:tcW w:w="434" w:type="dxa"/>
          </w:tcPr>
          <w:p w14:paraId="00514A15">
            <w:pPr>
              <w:pStyle w:val="8"/>
              <w:suppressLineNumbers w:val="0"/>
              <w:bidi w:val="0"/>
              <w:spacing w:before="0" w:beforeAutospacing="0" w:after="0" w:afterAutospacing="0"/>
              <w:ind w:left="0" w:right="0"/>
              <w:rPr>
                <w:rFonts w:hint="default"/>
                <w:highlight w:val="none"/>
              </w:rPr>
            </w:pPr>
          </w:p>
        </w:tc>
        <w:tc>
          <w:tcPr>
            <w:tcW w:w="534" w:type="dxa"/>
          </w:tcPr>
          <w:p w14:paraId="299BCBE3">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46" w:type="dxa"/>
          </w:tcPr>
          <w:p w14:paraId="74845046">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84" w:type="dxa"/>
          </w:tcPr>
          <w:p w14:paraId="0ABB2D1C">
            <w:pPr>
              <w:pStyle w:val="8"/>
              <w:suppressLineNumbers w:val="0"/>
              <w:bidi w:val="0"/>
              <w:spacing w:before="0" w:beforeAutospacing="0" w:after="0" w:afterAutospacing="0"/>
              <w:ind w:left="0" w:right="0"/>
              <w:rPr>
                <w:rFonts w:hint="default"/>
                <w:highlight w:val="none"/>
              </w:rPr>
            </w:pPr>
          </w:p>
        </w:tc>
        <w:tc>
          <w:tcPr>
            <w:tcW w:w="446" w:type="dxa"/>
          </w:tcPr>
          <w:p w14:paraId="28FE54EC">
            <w:pPr>
              <w:pStyle w:val="8"/>
              <w:suppressLineNumbers w:val="0"/>
              <w:bidi w:val="0"/>
              <w:spacing w:before="0" w:beforeAutospacing="0" w:after="0" w:afterAutospacing="0"/>
              <w:ind w:left="0" w:right="0"/>
              <w:rPr>
                <w:rFonts w:hint="default"/>
                <w:highlight w:val="none"/>
              </w:rPr>
            </w:pPr>
          </w:p>
        </w:tc>
        <w:tc>
          <w:tcPr>
            <w:tcW w:w="446" w:type="dxa"/>
          </w:tcPr>
          <w:p w14:paraId="5B7483A7">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46" w:type="dxa"/>
          </w:tcPr>
          <w:p w14:paraId="07C73F8B">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46" w:type="dxa"/>
          </w:tcPr>
          <w:p w14:paraId="5E458AD2">
            <w:pPr>
              <w:pStyle w:val="8"/>
              <w:suppressLineNumbers w:val="0"/>
              <w:bidi w:val="0"/>
              <w:spacing w:before="0" w:beforeAutospacing="0" w:after="0" w:afterAutospacing="0"/>
              <w:ind w:left="0" w:right="0"/>
              <w:rPr>
                <w:rFonts w:hint="default"/>
                <w:highlight w:val="none"/>
              </w:rPr>
            </w:pPr>
          </w:p>
        </w:tc>
        <w:tc>
          <w:tcPr>
            <w:tcW w:w="474" w:type="dxa"/>
          </w:tcPr>
          <w:p w14:paraId="72E874FC">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46" w:type="dxa"/>
          </w:tcPr>
          <w:p w14:paraId="451B8234">
            <w:pPr>
              <w:pStyle w:val="8"/>
              <w:suppressLineNumbers w:val="0"/>
              <w:bidi w:val="0"/>
              <w:spacing w:before="0" w:beforeAutospacing="0" w:after="0" w:afterAutospacing="0"/>
              <w:ind w:left="0" w:right="0"/>
              <w:rPr>
                <w:rFonts w:hint="default"/>
                <w:highlight w:val="none"/>
              </w:rPr>
            </w:pPr>
          </w:p>
        </w:tc>
        <w:tc>
          <w:tcPr>
            <w:tcW w:w="446" w:type="dxa"/>
          </w:tcPr>
          <w:p w14:paraId="795986BD">
            <w:pPr>
              <w:pStyle w:val="8"/>
              <w:suppressLineNumbers w:val="0"/>
              <w:bidi w:val="0"/>
              <w:spacing w:before="0" w:beforeAutospacing="0" w:after="0" w:afterAutospacing="0"/>
              <w:ind w:left="0" w:right="0"/>
              <w:rPr>
                <w:rFonts w:hint="default"/>
                <w:highlight w:val="none"/>
              </w:rPr>
            </w:pPr>
          </w:p>
        </w:tc>
        <w:tc>
          <w:tcPr>
            <w:tcW w:w="499" w:type="dxa"/>
          </w:tcPr>
          <w:p w14:paraId="443F763E">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519" w:type="dxa"/>
          </w:tcPr>
          <w:p w14:paraId="46EEBF8C">
            <w:pPr>
              <w:pStyle w:val="8"/>
              <w:suppressLineNumbers w:val="0"/>
              <w:bidi w:val="0"/>
              <w:spacing w:before="0" w:beforeAutospacing="0" w:after="0" w:afterAutospacing="0"/>
              <w:ind w:left="0" w:right="0"/>
              <w:rPr>
                <w:rFonts w:hint="default"/>
                <w:highlight w:val="none"/>
              </w:rPr>
            </w:pPr>
          </w:p>
        </w:tc>
        <w:tc>
          <w:tcPr>
            <w:tcW w:w="541" w:type="dxa"/>
          </w:tcPr>
          <w:p w14:paraId="373044AE">
            <w:pPr>
              <w:pStyle w:val="8"/>
              <w:suppressLineNumbers w:val="0"/>
              <w:bidi w:val="0"/>
              <w:spacing w:before="0" w:beforeAutospacing="0" w:after="0" w:afterAutospacing="0"/>
              <w:ind w:left="0" w:right="0"/>
              <w:rPr>
                <w:rFonts w:hint="default"/>
                <w:highlight w:val="none"/>
              </w:rPr>
            </w:pPr>
          </w:p>
        </w:tc>
        <w:tc>
          <w:tcPr>
            <w:tcW w:w="548" w:type="dxa"/>
            <w:tcBorders>
              <w:right w:val="nil"/>
            </w:tcBorders>
          </w:tcPr>
          <w:p w14:paraId="29F02BD4">
            <w:pPr>
              <w:pStyle w:val="8"/>
              <w:suppressLineNumbers w:val="0"/>
              <w:bidi w:val="0"/>
              <w:spacing w:before="0" w:beforeAutospacing="0" w:after="0" w:afterAutospacing="0"/>
              <w:ind w:left="0" w:right="0"/>
              <w:rPr>
                <w:rFonts w:hint="default"/>
                <w:highlight w:val="none"/>
              </w:rPr>
            </w:pPr>
            <w:r>
              <w:rPr>
                <w:rFonts w:hint="default"/>
                <w:highlight w:val="none"/>
              </w:rPr>
              <w:t>√</w:t>
            </w:r>
          </w:p>
        </w:tc>
      </w:tr>
      <w:tr w14:paraId="360C2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 w:hRule="atLeast"/>
          <w:jc w:val="center"/>
        </w:trPr>
        <w:tc>
          <w:tcPr>
            <w:tcW w:w="370" w:type="dxa"/>
            <w:vMerge w:val="continue"/>
            <w:tcBorders>
              <w:left w:val="nil"/>
            </w:tcBorders>
            <w:vAlign w:val="center"/>
          </w:tcPr>
          <w:p w14:paraId="47C30B34">
            <w:pPr>
              <w:pStyle w:val="8"/>
              <w:suppressLineNumbers w:val="0"/>
              <w:bidi w:val="0"/>
              <w:spacing w:before="0" w:beforeAutospacing="0" w:after="0" w:afterAutospacing="0"/>
              <w:ind w:left="0" w:right="0"/>
              <w:rPr>
                <w:rFonts w:hint="default"/>
                <w:highlight w:val="none"/>
              </w:rPr>
            </w:pPr>
          </w:p>
        </w:tc>
        <w:tc>
          <w:tcPr>
            <w:tcW w:w="1315" w:type="dxa"/>
            <w:vAlign w:val="center"/>
          </w:tcPr>
          <w:p w14:paraId="516890EA">
            <w:pPr>
              <w:pStyle w:val="8"/>
              <w:suppressLineNumbers w:val="0"/>
              <w:bidi w:val="0"/>
              <w:spacing w:before="0" w:beforeAutospacing="0" w:after="0" w:afterAutospacing="0"/>
              <w:ind w:left="0" w:right="0"/>
              <w:rPr>
                <w:rFonts w:hint="default"/>
                <w:highlight w:val="none"/>
              </w:rPr>
            </w:pPr>
            <w:r>
              <w:rPr>
                <w:rFonts w:hint="default"/>
                <w:highlight w:val="none"/>
              </w:rPr>
              <w:t>土壤</w:t>
            </w:r>
          </w:p>
        </w:tc>
        <w:tc>
          <w:tcPr>
            <w:tcW w:w="434" w:type="dxa"/>
          </w:tcPr>
          <w:p w14:paraId="625029CF">
            <w:pPr>
              <w:pStyle w:val="8"/>
              <w:suppressLineNumbers w:val="0"/>
              <w:bidi w:val="0"/>
              <w:spacing w:before="0" w:beforeAutospacing="0" w:after="0" w:afterAutospacing="0"/>
              <w:ind w:left="0" w:right="0"/>
              <w:rPr>
                <w:rFonts w:hint="default"/>
                <w:highlight w:val="none"/>
              </w:rPr>
            </w:pPr>
          </w:p>
        </w:tc>
        <w:tc>
          <w:tcPr>
            <w:tcW w:w="534" w:type="dxa"/>
          </w:tcPr>
          <w:p w14:paraId="67660A61">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46" w:type="dxa"/>
          </w:tcPr>
          <w:p w14:paraId="268168E2">
            <w:pPr>
              <w:pStyle w:val="8"/>
              <w:suppressLineNumbers w:val="0"/>
              <w:bidi w:val="0"/>
              <w:spacing w:before="0" w:beforeAutospacing="0" w:after="0" w:afterAutospacing="0"/>
              <w:ind w:left="0" w:right="0"/>
              <w:rPr>
                <w:rFonts w:hint="default"/>
                <w:highlight w:val="none"/>
              </w:rPr>
            </w:pPr>
          </w:p>
        </w:tc>
        <w:tc>
          <w:tcPr>
            <w:tcW w:w="484" w:type="dxa"/>
          </w:tcPr>
          <w:p w14:paraId="61BF9273">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46" w:type="dxa"/>
          </w:tcPr>
          <w:p w14:paraId="03A568E8">
            <w:pPr>
              <w:pStyle w:val="8"/>
              <w:suppressLineNumbers w:val="0"/>
              <w:bidi w:val="0"/>
              <w:spacing w:before="0" w:beforeAutospacing="0" w:after="0" w:afterAutospacing="0"/>
              <w:ind w:left="0" w:right="0"/>
              <w:rPr>
                <w:rFonts w:hint="default"/>
                <w:highlight w:val="none"/>
              </w:rPr>
            </w:pPr>
          </w:p>
        </w:tc>
        <w:tc>
          <w:tcPr>
            <w:tcW w:w="446" w:type="dxa"/>
          </w:tcPr>
          <w:p w14:paraId="1C158CE5">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46" w:type="dxa"/>
          </w:tcPr>
          <w:p w14:paraId="47F86848">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46" w:type="dxa"/>
          </w:tcPr>
          <w:p w14:paraId="4B0F9537">
            <w:pPr>
              <w:pStyle w:val="8"/>
              <w:suppressLineNumbers w:val="0"/>
              <w:bidi w:val="0"/>
              <w:spacing w:before="0" w:beforeAutospacing="0" w:after="0" w:afterAutospacing="0"/>
              <w:ind w:left="0" w:right="0"/>
              <w:rPr>
                <w:rFonts w:hint="default"/>
                <w:highlight w:val="none"/>
              </w:rPr>
            </w:pPr>
          </w:p>
        </w:tc>
        <w:tc>
          <w:tcPr>
            <w:tcW w:w="474" w:type="dxa"/>
          </w:tcPr>
          <w:p w14:paraId="76B23BB1">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46" w:type="dxa"/>
          </w:tcPr>
          <w:p w14:paraId="2F64E34F">
            <w:pPr>
              <w:pStyle w:val="8"/>
              <w:suppressLineNumbers w:val="0"/>
              <w:bidi w:val="0"/>
              <w:spacing w:before="0" w:beforeAutospacing="0" w:after="0" w:afterAutospacing="0"/>
              <w:ind w:left="0" w:right="0"/>
              <w:rPr>
                <w:rFonts w:hint="default"/>
                <w:highlight w:val="none"/>
              </w:rPr>
            </w:pPr>
          </w:p>
        </w:tc>
        <w:tc>
          <w:tcPr>
            <w:tcW w:w="446" w:type="dxa"/>
          </w:tcPr>
          <w:p w14:paraId="0D691434">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99" w:type="dxa"/>
          </w:tcPr>
          <w:p w14:paraId="06FD7671">
            <w:pPr>
              <w:pStyle w:val="8"/>
              <w:suppressLineNumbers w:val="0"/>
              <w:bidi w:val="0"/>
              <w:spacing w:before="0" w:beforeAutospacing="0" w:after="0" w:afterAutospacing="0"/>
              <w:ind w:left="0" w:right="0"/>
              <w:rPr>
                <w:rFonts w:hint="default"/>
                <w:highlight w:val="none"/>
              </w:rPr>
            </w:pPr>
          </w:p>
        </w:tc>
        <w:tc>
          <w:tcPr>
            <w:tcW w:w="519" w:type="dxa"/>
          </w:tcPr>
          <w:p w14:paraId="53BE7E54">
            <w:pPr>
              <w:pStyle w:val="8"/>
              <w:suppressLineNumbers w:val="0"/>
              <w:bidi w:val="0"/>
              <w:spacing w:before="0" w:beforeAutospacing="0" w:after="0" w:afterAutospacing="0"/>
              <w:ind w:left="0" w:right="0"/>
              <w:rPr>
                <w:rFonts w:hint="default"/>
                <w:highlight w:val="none"/>
              </w:rPr>
            </w:pPr>
          </w:p>
        </w:tc>
        <w:tc>
          <w:tcPr>
            <w:tcW w:w="541" w:type="dxa"/>
          </w:tcPr>
          <w:p w14:paraId="250BA17E">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548" w:type="dxa"/>
            <w:tcBorders>
              <w:right w:val="nil"/>
            </w:tcBorders>
          </w:tcPr>
          <w:p w14:paraId="5858C1BE">
            <w:pPr>
              <w:pStyle w:val="8"/>
              <w:suppressLineNumbers w:val="0"/>
              <w:bidi w:val="0"/>
              <w:spacing w:before="0" w:beforeAutospacing="0" w:after="0" w:afterAutospacing="0"/>
              <w:ind w:left="0" w:right="0"/>
              <w:rPr>
                <w:rFonts w:hint="default"/>
                <w:highlight w:val="none"/>
              </w:rPr>
            </w:pPr>
          </w:p>
        </w:tc>
      </w:tr>
      <w:tr w14:paraId="4F615B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 w:hRule="atLeast"/>
          <w:jc w:val="center"/>
        </w:trPr>
        <w:tc>
          <w:tcPr>
            <w:tcW w:w="370" w:type="dxa"/>
            <w:vMerge w:val="continue"/>
            <w:tcBorders>
              <w:left w:val="nil"/>
              <w:bottom w:val="single" w:color="auto" w:sz="12" w:space="0"/>
            </w:tcBorders>
            <w:vAlign w:val="center"/>
          </w:tcPr>
          <w:p w14:paraId="6FB21929">
            <w:pPr>
              <w:pStyle w:val="8"/>
              <w:suppressLineNumbers w:val="0"/>
              <w:bidi w:val="0"/>
              <w:spacing w:before="0" w:beforeAutospacing="0" w:after="0" w:afterAutospacing="0"/>
              <w:ind w:left="0" w:right="0"/>
              <w:rPr>
                <w:rFonts w:hint="default"/>
                <w:highlight w:val="none"/>
              </w:rPr>
            </w:pPr>
          </w:p>
        </w:tc>
        <w:tc>
          <w:tcPr>
            <w:tcW w:w="1315" w:type="dxa"/>
            <w:tcBorders>
              <w:bottom w:val="single" w:color="auto" w:sz="12" w:space="0"/>
            </w:tcBorders>
            <w:vAlign w:val="center"/>
          </w:tcPr>
          <w:p w14:paraId="1E23F79E">
            <w:pPr>
              <w:pStyle w:val="8"/>
              <w:suppressLineNumbers w:val="0"/>
              <w:bidi w:val="0"/>
              <w:spacing w:before="0" w:beforeAutospacing="0" w:after="0" w:afterAutospacing="0"/>
              <w:ind w:left="0" w:right="0"/>
              <w:rPr>
                <w:rFonts w:hint="default"/>
                <w:highlight w:val="none"/>
              </w:rPr>
            </w:pPr>
            <w:r>
              <w:rPr>
                <w:rFonts w:hint="default"/>
                <w:highlight w:val="none"/>
              </w:rPr>
              <w:t>环境风险</w:t>
            </w:r>
          </w:p>
        </w:tc>
        <w:tc>
          <w:tcPr>
            <w:tcW w:w="434" w:type="dxa"/>
            <w:tcBorders>
              <w:bottom w:val="single" w:color="auto" w:sz="12" w:space="0"/>
            </w:tcBorders>
          </w:tcPr>
          <w:p w14:paraId="3F3FE2A7">
            <w:pPr>
              <w:pStyle w:val="8"/>
              <w:suppressLineNumbers w:val="0"/>
              <w:bidi w:val="0"/>
              <w:spacing w:before="0" w:beforeAutospacing="0" w:after="0" w:afterAutospacing="0"/>
              <w:ind w:left="0" w:right="0"/>
              <w:rPr>
                <w:rFonts w:hint="default"/>
                <w:highlight w:val="none"/>
              </w:rPr>
            </w:pPr>
          </w:p>
        </w:tc>
        <w:tc>
          <w:tcPr>
            <w:tcW w:w="534" w:type="dxa"/>
            <w:tcBorders>
              <w:bottom w:val="single" w:color="auto" w:sz="12" w:space="0"/>
            </w:tcBorders>
          </w:tcPr>
          <w:p w14:paraId="442D60A6">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46" w:type="dxa"/>
            <w:tcBorders>
              <w:bottom w:val="single" w:color="auto" w:sz="12" w:space="0"/>
            </w:tcBorders>
          </w:tcPr>
          <w:p w14:paraId="4E9E7527">
            <w:pPr>
              <w:pStyle w:val="8"/>
              <w:suppressLineNumbers w:val="0"/>
              <w:bidi w:val="0"/>
              <w:spacing w:before="0" w:beforeAutospacing="0" w:after="0" w:afterAutospacing="0"/>
              <w:ind w:left="0" w:right="0"/>
              <w:rPr>
                <w:rFonts w:hint="default"/>
                <w:highlight w:val="none"/>
              </w:rPr>
            </w:pPr>
          </w:p>
        </w:tc>
        <w:tc>
          <w:tcPr>
            <w:tcW w:w="484" w:type="dxa"/>
            <w:tcBorders>
              <w:bottom w:val="single" w:color="auto" w:sz="12" w:space="0"/>
            </w:tcBorders>
          </w:tcPr>
          <w:p w14:paraId="1E935341">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46" w:type="dxa"/>
            <w:tcBorders>
              <w:bottom w:val="single" w:color="auto" w:sz="12" w:space="0"/>
            </w:tcBorders>
          </w:tcPr>
          <w:p w14:paraId="1F58B95C">
            <w:pPr>
              <w:pStyle w:val="8"/>
              <w:suppressLineNumbers w:val="0"/>
              <w:bidi w:val="0"/>
              <w:spacing w:before="0" w:beforeAutospacing="0" w:after="0" w:afterAutospacing="0"/>
              <w:ind w:left="0" w:right="0"/>
              <w:rPr>
                <w:rFonts w:hint="default"/>
                <w:highlight w:val="none"/>
              </w:rPr>
            </w:pPr>
          </w:p>
        </w:tc>
        <w:tc>
          <w:tcPr>
            <w:tcW w:w="446" w:type="dxa"/>
            <w:tcBorders>
              <w:bottom w:val="single" w:color="auto" w:sz="12" w:space="0"/>
            </w:tcBorders>
          </w:tcPr>
          <w:p w14:paraId="17BB336D">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46" w:type="dxa"/>
            <w:tcBorders>
              <w:bottom w:val="single" w:color="auto" w:sz="12" w:space="0"/>
            </w:tcBorders>
          </w:tcPr>
          <w:p w14:paraId="27868819">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46" w:type="dxa"/>
            <w:tcBorders>
              <w:bottom w:val="single" w:color="auto" w:sz="12" w:space="0"/>
            </w:tcBorders>
          </w:tcPr>
          <w:p w14:paraId="50AE1F7E">
            <w:pPr>
              <w:pStyle w:val="8"/>
              <w:suppressLineNumbers w:val="0"/>
              <w:bidi w:val="0"/>
              <w:spacing w:before="0" w:beforeAutospacing="0" w:after="0" w:afterAutospacing="0"/>
              <w:ind w:left="0" w:right="0"/>
              <w:rPr>
                <w:rFonts w:hint="default"/>
                <w:highlight w:val="none"/>
              </w:rPr>
            </w:pPr>
          </w:p>
        </w:tc>
        <w:tc>
          <w:tcPr>
            <w:tcW w:w="474" w:type="dxa"/>
            <w:tcBorders>
              <w:bottom w:val="single" w:color="auto" w:sz="12" w:space="0"/>
            </w:tcBorders>
          </w:tcPr>
          <w:p w14:paraId="2848FFD7">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46" w:type="dxa"/>
            <w:tcBorders>
              <w:bottom w:val="single" w:color="auto" w:sz="12" w:space="0"/>
            </w:tcBorders>
          </w:tcPr>
          <w:p w14:paraId="56D99581">
            <w:pPr>
              <w:pStyle w:val="8"/>
              <w:suppressLineNumbers w:val="0"/>
              <w:bidi w:val="0"/>
              <w:spacing w:before="0" w:beforeAutospacing="0" w:after="0" w:afterAutospacing="0"/>
              <w:ind w:left="0" w:right="0"/>
              <w:rPr>
                <w:rFonts w:hint="default"/>
                <w:highlight w:val="none"/>
              </w:rPr>
            </w:pPr>
          </w:p>
        </w:tc>
        <w:tc>
          <w:tcPr>
            <w:tcW w:w="446" w:type="dxa"/>
            <w:tcBorders>
              <w:bottom w:val="single" w:color="auto" w:sz="12" w:space="0"/>
            </w:tcBorders>
          </w:tcPr>
          <w:p w14:paraId="192DD9D1">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99" w:type="dxa"/>
            <w:tcBorders>
              <w:bottom w:val="single" w:color="auto" w:sz="12" w:space="0"/>
            </w:tcBorders>
          </w:tcPr>
          <w:p w14:paraId="26EB2A5B">
            <w:pPr>
              <w:pStyle w:val="8"/>
              <w:suppressLineNumbers w:val="0"/>
              <w:bidi w:val="0"/>
              <w:spacing w:before="0" w:beforeAutospacing="0" w:after="0" w:afterAutospacing="0"/>
              <w:ind w:left="0" w:right="0"/>
              <w:rPr>
                <w:rFonts w:hint="default"/>
                <w:highlight w:val="none"/>
              </w:rPr>
            </w:pPr>
          </w:p>
        </w:tc>
        <w:tc>
          <w:tcPr>
            <w:tcW w:w="519" w:type="dxa"/>
            <w:tcBorders>
              <w:bottom w:val="single" w:color="auto" w:sz="12" w:space="0"/>
            </w:tcBorders>
          </w:tcPr>
          <w:p w14:paraId="01AD85B0">
            <w:pPr>
              <w:pStyle w:val="8"/>
              <w:suppressLineNumbers w:val="0"/>
              <w:bidi w:val="0"/>
              <w:spacing w:before="0" w:beforeAutospacing="0" w:after="0" w:afterAutospacing="0"/>
              <w:ind w:left="0" w:right="0"/>
              <w:rPr>
                <w:rFonts w:hint="default"/>
                <w:highlight w:val="none"/>
              </w:rPr>
            </w:pPr>
          </w:p>
        </w:tc>
        <w:tc>
          <w:tcPr>
            <w:tcW w:w="541" w:type="dxa"/>
            <w:tcBorders>
              <w:bottom w:val="single" w:color="auto" w:sz="12" w:space="0"/>
            </w:tcBorders>
          </w:tcPr>
          <w:p w14:paraId="0FBF6064">
            <w:pPr>
              <w:pStyle w:val="8"/>
              <w:suppressLineNumbers w:val="0"/>
              <w:bidi w:val="0"/>
              <w:spacing w:before="0" w:beforeAutospacing="0" w:after="0" w:afterAutospacing="0"/>
              <w:ind w:left="0" w:right="0"/>
              <w:rPr>
                <w:rFonts w:hint="default"/>
                <w:highlight w:val="none"/>
              </w:rPr>
            </w:pPr>
          </w:p>
        </w:tc>
        <w:tc>
          <w:tcPr>
            <w:tcW w:w="548" w:type="dxa"/>
            <w:tcBorders>
              <w:bottom w:val="single" w:color="auto" w:sz="12" w:space="0"/>
              <w:right w:val="nil"/>
            </w:tcBorders>
          </w:tcPr>
          <w:p w14:paraId="304EC851">
            <w:pPr>
              <w:pStyle w:val="8"/>
              <w:suppressLineNumbers w:val="0"/>
              <w:bidi w:val="0"/>
              <w:spacing w:before="0" w:beforeAutospacing="0" w:after="0" w:afterAutospacing="0"/>
              <w:ind w:left="0" w:right="0"/>
              <w:rPr>
                <w:rFonts w:hint="default"/>
                <w:highlight w:val="none"/>
              </w:rPr>
            </w:pPr>
            <w:r>
              <w:rPr>
                <w:rFonts w:hint="default"/>
                <w:highlight w:val="none"/>
              </w:rPr>
              <w:t>√</w:t>
            </w:r>
          </w:p>
        </w:tc>
      </w:tr>
    </w:tbl>
    <w:p w14:paraId="068C4C26">
      <w:pPr>
        <w:pStyle w:val="4"/>
        <w:bidi w:val="0"/>
        <w:rPr>
          <w:highlight w:val="none"/>
        </w:rPr>
      </w:pPr>
      <w:bookmarkStart w:id="146" w:name="_Toc30654"/>
      <w:bookmarkStart w:id="147" w:name="_Toc4931"/>
      <w:r>
        <w:rPr>
          <w:highlight w:val="none"/>
        </w:rPr>
        <w:t>2.2.2评价因子筛选</w:t>
      </w:r>
      <w:bookmarkEnd w:id="146"/>
      <w:bookmarkEnd w:id="147"/>
    </w:p>
    <w:p w14:paraId="43E83A64">
      <w:pPr>
        <w:bidi w:val="0"/>
        <w:rPr>
          <w:rFonts w:eastAsiaTheme="minorEastAsia"/>
          <w:spacing w:val="22"/>
          <w:sz w:val="24"/>
          <w:highlight w:val="none"/>
        </w:rPr>
      </w:pPr>
      <w:r>
        <w:rPr>
          <w:rFonts w:hAnsiTheme="minorEastAsia" w:eastAsiaTheme="minorEastAsia"/>
          <w:sz w:val="24"/>
          <w:highlight w:val="none"/>
        </w:rPr>
        <w:t>根据本项目周边环境及项目特征，确定本项目评价现状因子和预测评价因子，具体见表</w:t>
      </w:r>
      <w:r>
        <w:rPr>
          <w:rFonts w:eastAsiaTheme="minorEastAsia"/>
          <w:sz w:val="24"/>
          <w:highlight w:val="none"/>
        </w:rPr>
        <w:t>2-2-2</w:t>
      </w:r>
      <w:r>
        <w:rPr>
          <w:rFonts w:hAnsiTheme="minorEastAsia" w:eastAsiaTheme="minorEastAsia"/>
          <w:sz w:val="24"/>
          <w:highlight w:val="none"/>
        </w:rPr>
        <w:t>。</w:t>
      </w:r>
    </w:p>
    <w:p w14:paraId="26EAA3B6">
      <w:pPr>
        <w:pStyle w:val="7"/>
        <w:bidi w:val="0"/>
        <w:rPr>
          <w:highlight w:val="none"/>
        </w:rPr>
      </w:pPr>
      <w:r>
        <w:rPr>
          <w:highlight w:val="none"/>
        </w:rPr>
        <w:t>表2-2-2本项目环境影响评价因子筛选结果</w:t>
      </w:r>
    </w:p>
    <w:tbl>
      <w:tblPr>
        <w:tblStyle w:val="45"/>
        <w:tblW w:w="8250"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823"/>
        <w:gridCol w:w="1134"/>
        <w:gridCol w:w="1276"/>
        <w:gridCol w:w="5017"/>
      </w:tblGrid>
      <w:tr w14:paraId="56DF1DC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3" w:hRule="atLeast"/>
          <w:jc w:val="center"/>
        </w:trPr>
        <w:tc>
          <w:tcPr>
            <w:tcW w:w="823" w:type="dxa"/>
            <w:vAlign w:val="center"/>
          </w:tcPr>
          <w:p w14:paraId="39968D52">
            <w:pPr>
              <w:pStyle w:val="8"/>
              <w:suppressLineNumbers w:val="0"/>
              <w:bidi w:val="0"/>
              <w:spacing w:before="0" w:beforeAutospacing="0" w:after="0" w:afterAutospacing="0"/>
              <w:ind w:left="0" w:right="0"/>
              <w:rPr>
                <w:rFonts w:hint="default"/>
                <w:highlight w:val="none"/>
              </w:rPr>
            </w:pPr>
            <w:r>
              <w:rPr>
                <w:rFonts w:hint="default"/>
                <w:highlight w:val="none"/>
              </w:rPr>
              <w:t>评价阶段</w:t>
            </w:r>
          </w:p>
        </w:tc>
        <w:tc>
          <w:tcPr>
            <w:tcW w:w="1134" w:type="dxa"/>
            <w:vAlign w:val="center"/>
          </w:tcPr>
          <w:p w14:paraId="5BD4A466">
            <w:pPr>
              <w:pStyle w:val="8"/>
              <w:suppressLineNumbers w:val="0"/>
              <w:bidi w:val="0"/>
              <w:spacing w:before="0" w:beforeAutospacing="0" w:after="0" w:afterAutospacing="0"/>
              <w:ind w:left="0" w:right="0"/>
              <w:rPr>
                <w:rFonts w:hint="default"/>
                <w:highlight w:val="none"/>
              </w:rPr>
            </w:pPr>
            <w:r>
              <w:rPr>
                <w:rFonts w:hint="default"/>
                <w:highlight w:val="none"/>
              </w:rPr>
              <w:t>环境要素</w:t>
            </w:r>
          </w:p>
        </w:tc>
        <w:tc>
          <w:tcPr>
            <w:tcW w:w="1276" w:type="dxa"/>
            <w:vAlign w:val="center"/>
          </w:tcPr>
          <w:p w14:paraId="2F6AC675">
            <w:pPr>
              <w:pStyle w:val="8"/>
              <w:suppressLineNumbers w:val="0"/>
              <w:bidi w:val="0"/>
              <w:spacing w:before="0" w:beforeAutospacing="0" w:after="0" w:afterAutospacing="0"/>
              <w:ind w:left="0" w:right="0"/>
              <w:rPr>
                <w:rFonts w:hint="default"/>
                <w:highlight w:val="none"/>
              </w:rPr>
            </w:pPr>
            <w:r>
              <w:rPr>
                <w:rFonts w:hint="default"/>
                <w:highlight w:val="none"/>
              </w:rPr>
              <w:t>评价类别</w:t>
            </w:r>
          </w:p>
        </w:tc>
        <w:tc>
          <w:tcPr>
            <w:tcW w:w="5017" w:type="dxa"/>
            <w:vAlign w:val="center"/>
          </w:tcPr>
          <w:p w14:paraId="600D3AA9">
            <w:pPr>
              <w:pStyle w:val="8"/>
              <w:suppressLineNumbers w:val="0"/>
              <w:bidi w:val="0"/>
              <w:spacing w:before="0" w:beforeAutospacing="0" w:after="0" w:afterAutospacing="0"/>
              <w:ind w:left="0" w:right="0"/>
              <w:rPr>
                <w:rFonts w:hint="default"/>
                <w:highlight w:val="none"/>
              </w:rPr>
            </w:pPr>
            <w:r>
              <w:rPr>
                <w:rFonts w:hint="default"/>
                <w:highlight w:val="none"/>
              </w:rPr>
              <w:t>评价因子</w:t>
            </w:r>
          </w:p>
        </w:tc>
      </w:tr>
      <w:tr w14:paraId="3B204C7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823" w:type="dxa"/>
            <w:vMerge w:val="restart"/>
            <w:vAlign w:val="center"/>
          </w:tcPr>
          <w:p w14:paraId="20C24F85">
            <w:pPr>
              <w:pStyle w:val="8"/>
              <w:suppressLineNumbers w:val="0"/>
              <w:bidi w:val="0"/>
              <w:spacing w:before="0" w:beforeAutospacing="0" w:after="0" w:afterAutospacing="0"/>
              <w:ind w:left="0" w:right="0"/>
              <w:rPr>
                <w:rFonts w:hint="default"/>
                <w:highlight w:val="none"/>
              </w:rPr>
            </w:pPr>
            <w:r>
              <w:rPr>
                <w:rFonts w:hint="default"/>
                <w:highlight w:val="none"/>
              </w:rPr>
              <w:t>营运期</w:t>
            </w:r>
          </w:p>
        </w:tc>
        <w:tc>
          <w:tcPr>
            <w:tcW w:w="1134" w:type="dxa"/>
            <w:vMerge w:val="restart"/>
            <w:vAlign w:val="center"/>
          </w:tcPr>
          <w:p w14:paraId="0404D889">
            <w:pPr>
              <w:pStyle w:val="8"/>
              <w:suppressLineNumbers w:val="0"/>
              <w:bidi w:val="0"/>
              <w:spacing w:before="0" w:beforeAutospacing="0" w:after="0" w:afterAutospacing="0"/>
              <w:ind w:left="0" w:right="0"/>
              <w:rPr>
                <w:rFonts w:hint="default"/>
                <w:highlight w:val="none"/>
              </w:rPr>
            </w:pPr>
            <w:r>
              <w:rPr>
                <w:rFonts w:hint="default"/>
                <w:highlight w:val="none"/>
              </w:rPr>
              <w:t>环境空气</w:t>
            </w:r>
          </w:p>
        </w:tc>
        <w:tc>
          <w:tcPr>
            <w:tcW w:w="1276" w:type="dxa"/>
            <w:vAlign w:val="center"/>
          </w:tcPr>
          <w:p w14:paraId="47DF7897">
            <w:pPr>
              <w:pStyle w:val="8"/>
              <w:suppressLineNumbers w:val="0"/>
              <w:bidi w:val="0"/>
              <w:spacing w:before="0" w:beforeAutospacing="0" w:after="0" w:afterAutospacing="0"/>
              <w:ind w:left="0" w:right="0"/>
              <w:rPr>
                <w:rFonts w:hint="default"/>
                <w:highlight w:val="none"/>
              </w:rPr>
            </w:pPr>
            <w:r>
              <w:rPr>
                <w:rFonts w:hint="default"/>
                <w:highlight w:val="none"/>
              </w:rPr>
              <w:t>现状评价</w:t>
            </w:r>
          </w:p>
        </w:tc>
        <w:tc>
          <w:tcPr>
            <w:tcW w:w="5017" w:type="dxa"/>
            <w:vAlign w:val="center"/>
          </w:tcPr>
          <w:p w14:paraId="192DE997">
            <w:pPr>
              <w:pStyle w:val="8"/>
              <w:suppressLineNumbers w:val="0"/>
              <w:bidi w:val="0"/>
              <w:spacing w:before="0" w:beforeAutospacing="0" w:after="0" w:afterAutospacing="0"/>
              <w:ind w:left="0" w:right="0"/>
              <w:rPr>
                <w:rFonts w:hint="default" w:eastAsiaTheme="minorEastAsia"/>
                <w:highlight w:val="none"/>
                <w:lang w:val="en-US" w:eastAsia="zh-CN"/>
              </w:rPr>
            </w:pPr>
            <w:r>
              <w:rPr>
                <w:rFonts w:hint="default"/>
                <w:highlight w:val="none"/>
              </w:rPr>
              <w:t>PM</w:t>
            </w:r>
            <w:r>
              <w:rPr>
                <w:rFonts w:hint="default"/>
                <w:highlight w:val="none"/>
                <w:vertAlign w:val="subscript"/>
              </w:rPr>
              <w:t>10</w:t>
            </w:r>
            <w:r>
              <w:rPr>
                <w:rFonts w:hint="default"/>
                <w:highlight w:val="none"/>
              </w:rPr>
              <w:t>、PM</w:t>
            </w:r>
            <w:r>
              <w:rPr>
                <w:rFonts w:hint="default"/>
                <w:highlight w:val="none"/>
                <w:vertAlign w:val="subscript"/>
              </w:rPr>
              <w:t>2.5</w:t>
            </w:r>
            <w:r>
              <w:rPr>
                <w:rFonts w:hint="default"/>
                <w:highlight w:val="none"/>
              </w:rPr>
              <w:t>、NO</w:t>
            </w:r>
            <w:r>
              <w:rPr>
                <w:rFonts w:hint="default"/>
                <w:highlight w:val="none"/>
                <w:vertAlign w:val="subscript"/>
              </w:rPr>
              <w:t>2</w:t>
            </w:r>
            <w:r>
              <w:rPr>
                <w:rFonts w:hint="default"/>
                <w:highlight w:val="none"/>
              </w:rPr>
              <w:t>、SO</w:t>
            </w:r>
            <w:r>
              <w:rPr>
                <w:rFonts w:hint="default"/>
                <w:highlight w:val="none"/>
                <w:vertAlign w:val="subscript"/>
              </w:rPr>
              <w:t>2</w:t>
            </w:r>
            <w:r>
              <w:rPr>
                <w:rFonts w:hint="default"/>
                <w:highlight w:val="none"/>
              </w:rPr>
              <w:t>、CO、O</w:t>
            </w:r>
            <w:r>
              <w:rPr>
                <w:rFonts w:hint="default"/>
                <w:highlight w:val="none"/>
                <w:vertAlign w:val="subscript"/>
              </w:rPr>
              <w:t>3</w:t>
            </w:r>
            <w:r>
              <w:rPr>
                <w:rFonts w:hint="eastAsia"/>
                <w:highlight w:val="none"/>
                <w:vertAlign w:val="baseline"/>
                <w:lang w:eastAsia="zh-CN"/>
              </w:rPr>
              <w:t>、</w:t>
            </w:r>
            <w:r>
              <w:rPr>
                <w:rFonts w:hint="eastAsia" w:hAnsiTheme="minorEastAsia" w:eastAsiaTheme="minorEastAsia"/>
                <w:spacing w:val="22"/>
                <w:kern w:val="0"/>
                <w:szCs w:val="21"/>
                <w:highlight w:val="none"/>
              </w:rPr>
              <w:t>NO</w:t>
            </w:r>
            <w:r>
              <w:rPr>
                <w:rFonts w:hint="eastAsia" w:hAnsiTheme="minorEastAsia" w:eastAsiaTheme="minorEastAsia"/>
                <w:spacing w:val="22"/>
                <w:kern w:val="0"/>
                <w:szCs w:val="21"/>
                <w:highlight w:val="none"/>
                <w:vertAlign w:val="subscript"/>
              </w:rPr>
              <w:t>X</w:t>
            </w:r>
            <w:r>
              <w:rPr>
                <w:rFonts w:hint="eastAsia" w:hAnsiTheme="minorEastAsia" w:eastAsiaTheme="minorEastAsia"/>
                <w:spacing w:val="22"/>
                <w:kern w:val="0"/>
                <w:szCs w:val="21"/>
                <w:highlight w:val="none"/>
              </w:rPr>
              <w:t>、</w:t>
            </w:r>
            <w:r>
              <w:rPr>
                <w:rFonts w:hint="default" w:eastAsiaTheme="minorEastAsia"/>
                <w:spacing w:val="22"/>
                <w:kern w:val="0"/>
                <w:szCs w:val="21"/>
                <w:highlight w:val="none"/>
              </w:rPr>
              <w:t>VOCs</w:t>
            </w:r>
            <w:r>
              <w:rPr>
                <w:rFonts w:hint="default" w:hAnsiTheme="minorEastAsia" w:eastAsiaTheme="minorEastAsia"/>
                <w:spacing w:val="22"/>
                <w:kern w:val="0"/>
                <w:szCs w:val="21"/>
                <w:highlight w:val="none"/>
              </w:rPr>
              <w:t>（以非甲烷总烃计）</w:t>
            </w:r>
            <w:r>
              <w:rPr>
                <w:rFonts w:hint="eastAsia" w:hAnsiTheme="minorEastAsia" w:eastAsiaTheme="minorEastAsia"/>
                <w:spacing w:val="22"/>
                <w:kern w:val="0"/>
                <w:szCs w:val="21"/>
                <w:highlight w:val="none"/>
                <w:lang w:eastAsia="zh-CN"/>
              </w:rPr>
              <w:t>、</w:t>
            </w:r>
            <w:r>
              <w:rPr>
                <w:rFonts w:hint="eastAsia" w:hAnsiTheme="minorEastAsia" w:eastAsiaTheme="minorEastAsia"/>
                <w:spacing w:val="22"/>
                <w:kern w:val="0"/>
                <w:szCs w:val="21"/>
                <w:highlight w:val="none"/>
                <w:lang w:val="en-US" w:eastAsia="zh-CN"/>
              </w:rPr>
              <w:t>TSP</w:t>
            </w:r>
          </w:p>
        </w:tc>
      </w:tr>
      <w:tr w14:paraId="3785211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823" w:type="dxa"/>
            <w:vMerge w:val="continue"/>
            <w:vAlign w:val="center"/>
          </w:tcPr>
          <w:p w14:paraId="338560F2">
            <w:pPr>
              <w:pStyle w:val="8"/>
              <w:suppressLineNumbers w:val="0"/>
              <w:bidi w:val="0"/>
              <w:spacing w:before="0" w:beforeAutospacing="0" w:after="0" w:afterAutospacing="0"/>
              <w:ind w:left="0" w:right="0"/>
              <w:rPr>
                <w:rFonts w:hint="default"/>
                <w:highlight w:val="none"/>
              </w:rPr>
            </w:pPr>
          </w:p>
        </w:tc>
        <w:tc>
          <w:tcPr>
            <w:tcW w:w="1134" w:type="dxa"/>
            <w:vMerge w:val="continue"/>
            <w:vAlign w:val="center"/>
          </w:tcPr>
          <w:p w14:paraId="1D74FC4F">
            <w:pPr>
              <w:pStyle w:val="8"/>
              <w:suppressLineNumbers w:val="0"/>
              <w:bidi w:val="0"/>
              <w:spacing w:before="0" w:beforeAutospacing="0" w:after="0" w:afterAutospacing="0"/>
              <w:ind w:left="0" w:right="0"/>
              <w:rPr>
                <w:rFonts w:hint="default"/>
                <w:highlight w:val="none"/>
              </w:rPr>
            </w:pPr>
          </w:p>
        </w:tc>
        <w:tc>
          <w:tcPr>
            <w:tcW w:w="1276" w:type="dxa"/>
            <w:vAlign w:val="center"/>
          </w:tcPr>
          <w:p w14:paraId="20B58072">
            <w:pPr>
              <w:pStyle w:val="8"/>
              <w:suppressLineNumbers w:val="0"/>
              <w:bidi w:val="0"/>
              <w:spacing w:before="0" w:beforeAutospacing="0" w:after="0" w:afterAutospacing="0"/>
              <w:ind w:left="0" w:right="0"/>
              <w:rPr>
                <w:rFonts w:hint="default"/>
                <w:highlight w:val="none"/>
              </w:rPr>
            </w:pPr>
            <w:r>
              <w:rPr>
                <w:rFonts w:hint="default"/>
                <w:highlight w:val="none"/>
              </w:rPr>
              <w:t>影响评价</w:t>
            </w:r>
          </w:p>
        </w:tc>
        <w:tc>
          <w:tcPr>
            <w:tcW w:w="5017" w:type="dxa"/>
            <w:vAlign w:val="center"/>
          </w:tcPr>
          <w:p w14:paraId="2DECADA9">
            <w:pPr>
              <w:pStyle w:val="8"/>
              <w:suppressLineNumbers w:val="0"/>
              <w:bidi w:val="0"/>
              <w:spacing w:before="0" w:beforeAutospacing="0" w:after="0" w:afterAutospacing="0"/>
              <w:ind w:left="0" w:right="0"/>
              <w:rPr>
                <w:rFonts w:hint="default" w:eastAsia="宋体"/>
                <w:highlight w:val="none"/>
                <w:lang w:val="en-US" w:eastAsia="zh-CN"/>
              </w:rPr>
            </w:pPr>
            <w:r>
              <w:rPr>
                <w:rFonts w:hint="default" w:eastAsiaTheme="minorEastAsia"/>
                <w:spacing w:val="22"/>
                <w:kern w:val="0"/>
                <w:szCs w:val="21"/>
                <w:highlight w:val="none"/>
              </w:rPr>
              <w:t>VOCs</w:t>
            </w:r>
            <w:r>
              <w:rPr>
                <w:rFonts w:hint="default" w:hAnsiTheme="minorEastAsia" w:eastAsiaTheme="minorEastAsia"/>
                <w:spacing w:val="22"/>
                <w:kern w:val="0"/>
                <w:szCs w:val="21"/>
                <w:highlight w:val="none"/>
              </w:rPr>
              <w:t>（以非甲烷总烃计）、</w:t>
            </w:r>
            <w:r>
              <w:rPr>
                <w:rFonts w:hint="eastAsia" w:hAnsiTheme="minorEastAsia" w:eastAsiaTheme="minorEastAsia"/>
                <w:spacing w:val="22"/>
                <w:kern w:val="0"/>
                <w:szCs w:val="21"/>
                <w:highlight w:val="none"/>
                <w:lang w:val="en-US" w:eastAsia="zh-CN"/>
              </w:rPr>
              <w:t>油雾</w:t>
            </w:r>
            <w:r>
              <w:rPr>
                <w:rFonts w:hint="default" w:hAnsiTheme="minorEastAsia" w:eastAsiaTheme="minorEastAsia"/>
                <w:spacing w:val="22"/>
                <w:kern w:val="0"/>
                <w:szCs w:val="21"/>
                <w:highlight w:val="none"/>
              </w:rPr>
              <w:t>（以非甲烷总烃计）</w:t>
            </w:r>
            <w:r>
              <w:rPr>
                <w:rFonts w:hint="eastAsia" w:hAnsiTheme="minorEastAsia" w:eastAsiaTheme="minorEastAsia"/>
                <w:spacing w:val="22"/>
                <w:kern w:val="0"/>
                <w:szCs w:val="21"/>
                <w:highlight w:val="none"/>
                <w:lang w:val="en-US" w:eastAsia="zh-CN"/>
              </w:rPr>
              <w:t>、</w:t>
            </w:r>
            <w:r>
              <w:rPr>
                <w:rFonts w:hint="eastAsia" w:eastAsiaTheme="minorEastAsia"/>
                <w:spacing w:val="22"/>
                <w:kern w:val="0"/>
                <w:szCs w:val="21"/>
                <w:highlight w:val="none"/>
                <w:lang w:val="en-US" w:eastAsia="zh-CN"/>
              </w:rPr>
              <w:t>颗粒物</w:t>
            </w:r>
            <w:r>
              <w:rPr>
                <w:rFonts w:hint="default" w:hAnsiTheme="minorEastAsia" w:eastAsiaTheme="minorEastAsia"/>
                <w:spacing w:val="22"/>
                <w:kern w:val="0"/>
                <w:szCs w:val="21"/>
                <w:highlight w:val="none"/>
              </w:rPr>
              <w:t>、</w:t>
            </w:r>
            <w:r>
              <w:rPr>
                <w:rFonts w:hint="default" w:eastAsiaTheme="minorEastAsia"/>
                <w:spacing w:val="22"/>
                <w:kern w:val="0"/>
                <w:szCs w:val="21"/>
                <w:highlight w:val="none"/>
              </w:rPr>
              <w:t>CO</w:t>
            </w:r>
            <w:r>
              <w:rPr>
                <w:rFonts w:hint="default" w:hAnsiTheme="minorEastAsia" w:eastAsiaTheme="minorEastAsia"/>
                <w:spacing w:val="22"/>
                <w:kern w:val="0"/>
                <w:szCs w:val="21"/>
                <w:highlight w:val="none"/>
              </w:rPr>
              <w:t>、</w:t>
            </w:r>
            <w:r>
              <w:rPr>
                <w:rFonts w:hint="eastAsia" w:hAnsiTheme="minorEastAsia" w:eastAsiaTheme="minorEastAsia"/>
                <w:spacing w:val="22"/>
                <w:kern w:val="0"/>
                <w:szCs w:val="21"/>
                <w:highlight w:val="none"/>
              </w:rPr>
              <w:t>NO</w:t>
            </w:r>
            <w:r>
              <w:rPr>
                <w:rFonts w:hint="eastAsia" w:hAnsiTheme="minorEastAsia" w:eastAsiaTheme="minorEastAsia"/>
                <w:spacing w:val="22"/>
                <w:kern w:val="0"/>
                <w:szCs w:val="21"/>
                <w:highlight w:val="none"/>
                <w:vertAlign w:val="subscript"/>
              </w:rPr>
              <w:t>X</w:t>
            </w:r>
            <w:r>
              <w:rPr>
                <w:rFonts w:hint="eastAsia" w:hAnsiTheme="minorEastAsia" w:eastAsiaTheme="minorEastAsia"/>
                <w:spacing w:val="22"/>
                <w:kern w:val="0"/>
                <w:szCs w:val="21"/>
                <w:highlight w:val="none"/>
              </w:rPr>
              <w:t>、</w:t>
            </w:r>
            <w:r>
              <w:rPr>
                <w:rFonts w:hint="eastAsia" w:hAnsiTheme="minorEastAsia" w:eastAsiaTheme="minorEastAsia"/>
                <w:spacing w:val="22"/>
                <w:kern w:val="0"/>
                <w:szCs w:val="21"/>
                <w:highlight w:val="none"/>
                <w:lang w:val="en-US" w:eastAsia="zh-CN"/>
              </w:rPr>
              <w:t>臭气浓度</w:t>
            </w:r>
          </w:p>
        </w:tc>
      </w:tr>
      <w:tr w14:paraId="209DA8B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823" w:type="dxa"/>
            <w:vMerge w:val="continue"/>
            <w:vAlign w:val="center"/>
          </w:tcPr>
          <w:p w14:paraId="3FB25397">
            <w:pPr>
              <w:pStyle w:val="8"/>
              <w:suppressLineNumbers w:val="0"/>
              <w:bidi w:val="0"/>
              <w:spacing w:before="0" w:beforeAutospacing="0" w:after="0" w:afterAutospacing="0"/>
              <w:ind w:left="0" w:right="0"/>
              <w:rPr>
                <w:rFonts w:hint="default"/>
                <w:highlight w:val="none"/>
              </w:rPr>
            </w:pPr>
          </w:p>
        </w:tc>
        <w:tc>
          <w:tcPr>
            <w:tcW w:w="1134" w:type="dxa"/>
            <w:vMerge w:val="restart"/>
            <w:vAlign w:val="center"/>
          </w:tcPr>
          <w:p w14:paraId="57FB85F3">
            <w:pPr>
              <w:pStyle w:val="8"/>
              <w:suppressLineNumbers w:val="0"/>
              <w:bidi w:val="0"/>
              <w:spacing w:before="0" w:beforeAutospacing="0" w:after="0" w:afterAutospacing="0"/>
              <w:ind w:left="0" w:right="0"/>
              <w:rPr>
                <w:rFonts w:hint="default"/>
                <w:highlight w:val="none"/>
              </w:rPr>
            </w:pPr>
            <w:r>
              <w:rPr>
                <w:rFonts w:hint="default"/>
                <w:highlight w:val="none"/>
              </w:rPr>
              <w:t>声环境</w:t>
            </w:r>
          </w:p>
        </w:tc>
        <w:tc>
          <w:tcPr>
            <w:tcW w:w="1276" w:type="dxa"/>
            <w:vAlign w:val="center"/>
          </w:tcPr>
          <w:p w14:paraId="145EE1ED">
            <w:pPr>
              <w:pStyle w:val="8"/>
              <w:suppressLineNumbers w:val="0"/>
              <w:bidi w:val="0"/>
              <w:spacing w:before="0" w:beforeAutospacing="0" w:after="0" w:afterAutospacing="0"/>
              <w:ind w:left="0" w:right="0"/>
              <w:rPr>
                <w:rFonts w:hint="default"/>
                <w:highlight w:val="none"/>
              </w:rPr>
            </w:pPr>
            <w:r>
              <w:rPr>
                <w:rFonts w:hint="default"/>
                <w:highlight w:val="none"/>
              </w:rPr>
              <w:t>现状评价</w:t>
            </w:r>
          </w:p>
        </w:tc>
        <w:tc>
          <w:tcPr>
            <w:tcW w:w="5017" w:type="dxa"/>
            <w:vMerge w:val="restart"/>
            <w:vAlign w:val="center"/>
          </w:tcPr>
          <w:p w14:paraId="5B87DA6D">
            <w:pPr>
              <w:pStyle w:val="8"/>
              <w:suppressLineNumbers w:val="0"/>
              <w:bidi w:val="0"/>
              <w:spacing w:before="0" w:beforeAutospacing="0" w:after="0" w:afterAutospacing="0"/>
              <w:ind w:left="0" w:right="0"/>
              <w:rPr>
                <w:rFonts w:hint="default"/>
                <w:highlight w:val="none"/>
              </w:rPr>
            </w:pPr>
            <w:r>
              <w:rPr>
                <w:rFonts w:hint="default"/>
                <w:highlight w:val="none"/>
                <w:lang w:val="zh-CN"/>
              </w:rPr>
              <w:t>等效连续A声级Leq（A）</w:t>
            </w:r>
          </w:p>
        </w:tc>
      </w:tr>
      <w:tr w14:paraId="01D494B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823" w:type="dxa"/>
            <w:vMerge w:val="continue"/>
            <w:vAlign w:val="center"/>
          </w:tcPr>
          <w:p w14:paraId="6534208C">
            <w:pPr>
              <w:pStyle w:val="8"/>
              <w:suppressLineNumbers w:val="0"/>
              <w:bidi w:val="0"/>
              <w:spacing w:before="0" w:beforeAutospacing="0" w:after="0" w:afterAutospacing="0"/>
              <w:ind w:left="0" w:right="0"/>
              <w:rPr>
                <w:rFonts w:hint="default"/>
                <w:highlight w:val="none"/>
              </w:rPr>
            </w:pPr>
          </w:p>
        </w:tc>
        <w:tc>
          <w:tcPr>
            <w:tcW w:w="1134" w:type="dxa"/>
            <w:vMerge w:val="continue"/>
            <w:vAlign w:val="center"/>
          </w:tcPr>
          <w:p w14:paraId="508CA04C">
            <w:pPr>
              <w:pStyle w:val="8"/>
              <w:suppressLineNumbers w:val="0"/>
              <w:bidi w:val="0"/>
              <w:spacing w:before="0" w:beforeAutospacing="0" w:after="0" w:afterAutospacing="0"/>
              <w:ind w:left="0" w:right="0"/>
              <w:rPr>
                <w:rFonts w:hint="default"/>
                <w:highlight w:val="none"/>
              </w:rPr>
            </w:pPr>
          </w:p>
        </w:tc>
        <w:tc>
          <w:tcPr>
            <w:tcW w:w="1276" w:type="dxa"/>
            <w:vAlign w:val="center"/>
          </w:tcPr>
          <w:p w14:paraId="2A5B4089">
            <w:pPr>
              <w:pStyle w:val="8"/>
              <w:suppressLineNumbers w:val="0"/>
              <w:bidi w:val="0"/>
              <w:spacing w:before="0" w:beforeAutospacing="0" w:after="0" w:afterAutospacing="0"/>
              <w:ind w:left="0" w:right="0"/>
              <w:rPr>
                <w:rFonts w:hint="default"/>
                <w:highlight w:val="none"/>
              </w:rPr>
            </w:pPr>
            <w:r>
              <w:rPr>
                <w:rFonts w:hint="default"/>
                <w:highlight w:val="none"/>
              </w:rPr>
              <w:t>影响评价</w:t>
            </w:r>
          </w:p>
        </w:tc>
        <w:tc>
          <w:tcPr>
            <w:tcW w:w="5017" w:type="dxa"/>
            <w:vMerge w:val="continue"/>
            <w:vAlign w:val="center"/>
          </w:tcPr>
          <w:p w14:paraId="4FCCF899">
            <w:pPr>
              <w:pStyle w:val="8"/>
              <w:suppressLineNumbers w:val="0"/>
              <w:bidi w:val="0"/>
              <w:spacing w:before="0" w:beforeAutospacing="0" w:after="0" w:afterAutospacing="0"/>
              <w:ind w:left="0" w:right="0"/>
              <w:rPr>
                <w:rFonts w:hint="default"/>
                <w:highlight w:val="none"/>
              </w:rPr>
            </w:pPr>
          </w:p>
        </w:tc>
      </w:tr>
      <w:tr w14:paraId="0CDA823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823" w:type="dxa"/>
            <w:vMerge w:val="continue"/>
            <w:vAlign w:val="center"/>
          </w:tcPr>
          <w:p w14:paraId="0B27B5CB">
            <w:pPr>
              <w:pStyle w:val="8"/>
              <w:suppressLineNumbers w:val="0"/>
              <w:bidi w:val="0"/>
              <w:spacing w:before="0" w:beforeAutospacing="0" w:after="0" w:afterAutospacing="0"/>
              <w:ind w:left="0" w:right="0"/>
              <w:rPr>
                <w:rFonts w:hint="default"/>
                <w:highlight w:val="none"/>
              </w:rPr>
            </w:pPr>
          </w:p>
        </w:tc>
        <w:tc>
          <w:tcPr>
            <w:tcW w:w="1134" w:type="dxa"/>
            <w:vMerge w:val="restart"/>
            <w:vAlign w:val="center"/>
          </w:tcPr>
          <w:p w14:paraId="2EFC0697">
            <w:pPr>
              <w:pStyle w:val="8"/>
              <w:suppressLineNumbers w:val="0"/>
              <w:bidi w:val="0"/>
              <w:spacing w:before="0" w:beforeAutospacing="0" w:after="0" w:afterAutospacing="0"/>
              <w:ind w:left="0" w:right="0"/>
              <w:rPr>
                <w:rFonts w:hint="default"/>
                <w:highlight w:val="none"/>
              </w:rPr>
            </w:pPr>
            <w:r>
              <w:rPr>
                <w:rFonts w:hint="default"/>
                <w:highlight w:val="none"/>
              </w:rPr>
              <w:t>地表水</w:t>
            </w:r>
          </w:p>
        </w:tc>
        <w:tc>
          <w:tcPr>
            <w:tcW w:w="1276" w:type="dxa"/>
            <w:vAlign w:val="center"/>
          </w:tcPr>
          <w:p w14:paraId="5A08F9BE">
            <w:pPr>
              <w:pStyle w:val="8"/>
              <w:suppressLineNumbers w:val="0"/>
              <w:bidi w:val="0"/>
              <w:spacing w:before="0" w:beforeAutospacing="0" w:after="0" w:afterAutospacing="0"/>
              <w:ind w:left="0" w:right="0"/>
              <w:rPr>
                <w:rFonts w:hint="default"/>
                <w:highlight w:val="none"/>
              </w:rPr>
            </w:pPr>
            <w:r>
              <w:rPr>
                <w:rFonts w:hint="default"/>
                <w:highlight w:val="none"/>
              </w:rPr>
              <w:t>现状评价</w:t>
            </w:r>
          </w:p>
        </w:tc>
        <w:tc>
          <w:tcPr>
            <w:tcW w:w="5017" w:type="dxa"/>
            <w:vAlign w:val="center"/>
          </w:tcPr>
          <w:p w14:paraId="2A220F4A">
            <w:pPr>
              <w:pStyle w:val="8"/>
              <w:suppressLineNumbers w:val="0"/>
              <w:bidi w:val="0"/>
              <w:spacing w:before="0" w:beforeAutospacing="0" w:after="0" w:afterAutospacing="0"/>
              <w:ind w:left="0" w:right="0"/>
              <w:rPr>
                <w:rFonts w:hint="default"/>
                <w:highlight w:val="none"/>
              </w:rPr>
            </w:pPr>
            <w:r>
              <w:rPr>
                <w:rFonts w:hint="default"/>
                <w:highlight w:val="none"/>
              </w:rPr>
              <w:t>pH、溶解氧、COD、高锰酸盐指数、BOD</w:t>
            </w:r>
            <w:r>
              <w:rPr>
                <w:rFonts w:hint="default"/>
                <w:highlight w:val="none"/>
                <w:vertAlign w:val="subscript"/>
              </w:rPr>
              <w:t>5</w:t>
            </w:r>
            <w:r>
              <w:rPr>
                <w:rFonts w:hint="default"/>
                <w:highlight w:val="none"/>
              </w:rPr>
              <w:t>、氨氮、总氮、SS、总磷、粪大肠菌群</w:t>
            </w:r>
          </w:p>
        </w:tc>
      </w:tr>
      <w:tr w14:paraId="0E61A7C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823" w:type="dxa"/>
            <w:vMerge w:val="continue"/>
            <w:vAlign w:val="center"/>
          </w:tcPr>
          <w:p w14:paraId="6139554B">
            <w:pPr>
              <w:pStyle w:val="8"/>
              <w:suppressLineNumbers w:val="0"/>
              <w:bidi w:val="0"/>
              <w:spacing w:before="0" w:beforeAutospacing="0" w:after="0" w:afterAutospacing="0"/>
              <w:ind w:left="0" w:right="0"/>
              <w:rPr>
                <w:rFonts w:hint="default"/>
                <w:highlight w:val="none"/>
              </w:rPr>
            </w:pPr>
          </w:p>
        </w:tc>
        <w:tc>
          <w:tcPr>
            <w:tcW w:w="1134" w:type="dxa"/>
            <w:vMerge w:val="continue"/>
            <w:vAlign w:val="center"/>
          </w:tcPr>
          <w:p w14:paraId="57DA8294">
            <w:pPr>
              <w:pStyle w:val="8"/>
              <w:suppressLineNumbers w:val="0"/>
              <w:bidi w:val="0"/>
              <w:spacing w:before="0" w:beforeAutospacing="0" w:after="0" w:afterAutospacing="0"/>
              <w:ind w:left="0" w:right="0"/>
              <w:rPr>
                <w:rFonts w:hint="default"/>
                <w:highlight w:val="none"/>
              </w:rPr>
            </w:pPr>
          </w:p>
        </w:tc>
        <w:tc>
          <w:tcPr>
            <w:tcW w:w="1276" w:type="dxa"/>
            <w:vAlign w:val="center"/>
          </w:tcPr>
          <w:p w14:paraId="443496AA">
            <w:pPr>
              <w:pStyle w:val="8"/>
              <w:suppressLineNumbers w:val="0"/>
              <w:bidi w:val="0"/>
              <w:spacing w:before="0" w:beforeAutospacing="0" w:after="0" w:afterAutospacing="0"/>
              <w:ind w:left="0" w:right="0"/>
              <w:rPr>
                <w:rFonts w:hint="default"/>
                <w:highlight w:val="none"/>
              </w:rPr>
            </w:pPr>
            <w:r>
              <w:rPr>
                <w:rFonts w:hint="default"/>
                <w:highlight w:val="none"/>
              </w:rPr>
              <w:t>影响评价</w:t>
            </w:r>
          </w:p>
        </w:tc>
        <w:tc>
          <w:tcPr>
            <w:tcW w:w="5017" w:type="dxa"/>
          </w:tcPr>
          <w:p w14:paraId="653E2335">
            <w:pPr>
              <w:pStyle w:val="8"/>
              <w:suppressLineNumbers w:val="0"/>
              <w:bidi w:val="0"/>
              <w:spacing w:before="0" w:beforeAutospacing="0" w:after="0" w:afterAutospacing="0"/>
              <w:ind w:left="0" w:right="0"/>
              <w:rPr>
                <w:rFonts w:hint="default"/>
                <w:highlight w:val="none"/>
              </w:rPr>
            </w:pPr>
            <w:r>
              <w:rPr>
                <w:rFonts w:hint="default"/>
                <w:highlight w:val="none"/>
              </w:rPr>
              <w:t>pH、BOD</w:t>
            </w:r>
            <w:r>
              <w:rPr>
                <w:rFonts w:hint="default"/>
                <w:highlight w:val="none"/>
                <w:vertAlign w:val="subscript"/>
              </w:rPr>
              <w:t>5</w:t>
            </w:r>
            <w:r>
              <w:rPr>
                <w:rFonts w:hint="default"/>
                <w:highlight w:val="none"/>
              </w:rPr>
              <w:t>、SS、COD、NH</w:t>
            </w:r>
            <w:r>
              <w:rPr>
                <w:rFonts w:hint="default"/>
                <w:highlight w:val="none"/>
                <w:vertAlign w:val="subscript"/>
              </w:rPr>
              <w:t>3</w:t>
            </w:r>
            <w:r>
              <w:rPr>
                <w:rFonts w:hint="default"/>
                <w:highlight w:val="none"/>
              </w:rPr>
              <w:t>-N</w:t>
            </w:r>
            <w:r>
              <w:rPr>
                <w:rFonts w:hint="default" w:hAnsiTheme="minorEastAsia" w:eastAsiaTheme="minorEastAsia"/>
                <w:spacing w:val="22"/>
                <w:szCs w:val="21"/>
                <w:highlight w:val="none"/>
              </w:rPr>
              <w:t>、石油类、总磷</w:t>
            </w:r>
          </w:p>
        </w:tc>
      </w:tr>
      <w:tr w14:paraId="543B46E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823" w:type="dxa"/>
            <w:vMerge w:val="continue"/>
            <w:vAlign w:val="center"/>
          </w:tcPr>
          <w:p w14:paraId="31A2967F">
            <w:pPr>
              <w:pStyle w:val="8"/>
              <w:suppressLineNumbers w:val="0"/>
              <w:bidi w:val="0"/>
              <w:spacing w:before="0" w:beforeAutospacing="0" w:after="0" w:afterAutospacing="0"/>
              <w:ind w:left="0" w:right="0"/>
              <w:rPr>
                <w:rFonts w:hint="default"/>
                <w:highlight w:val="none"/>
              </w:rPr>
            </w:pPr>
          </w:p>
        </w:tc>
        <w:tc>
          <w:tcPr>
            <w:tcW w:w="1134" w:type="dxa"/>
            <w:vMerge w:val="restart"/>
            <w:vAlign w:val="center"/>
          </w:tcPr>
          <w:p w14:paraId="0B53A1AA">
            <w:pPr>
              <w:pStyle w:val="8"/>
              <w:suppressLineNumbers w:val="0"/>
              <w:bidi w:val="0"/>
              <w:spacing w:before="0" w:beforeAutospacing="0" w:after="0" w:afterAutospacing="0"/>
              <w:ind w:left="0" w:right="0"/>
              <w:rPr>
                <w:rFonts w:hint="default"/>
                <w:highlight w:val="none"/>
              </w:rPr>
            </w:pPr>
            <w:r>
              <w:rPr>
                <w:rFonts w:hint="default"/>
                <w:highlight w:val="none"/>
              </w:rPr>
              <w:t>地下水</w:t>
            </w:r>
          </w:p>
        </w:tc>
        <w:tc>
          <w:tcPr>
            <w:tcW w:w="1276" w:type="dxa"/>
            <w:vAlign w:val="center"/>
          </w:tcPr>
          <w:p w14:paraId="087A9F19">
            <w:pPr>
              <w:pStyle w:val="8"/>
              <w:suppressLineNumbers w:val="0"/>
              <w:bidi w:val="0"/>
              <w:spacing w:before="0" w:beforeAutospacing="0" w:after="0" w:afterAutospacing="0"/>
              <w:ind w:left="0" w:right="0"/>
              <w:rPr>
                <w:rFonts w:hint="default"/>
                <w:highlight w:val="none"/>
              </w:rPr>
            </w:pPr>
            <w:r>
              <w:rPr>
                <w:rFonts w:hint="default"/>
                <w:highlight w:val="none"/>
              </w:rPr>
              <w:t>现状评价</w:t>
            </w:r>
          </w:p>
        </w:tc>
        <w:tc>
          <w:tcPr>
            <w:tcW w:w="5017" w:type="dxa"/>
            <w:vAlign w:val="center"/>
          </w:tcPr>
          <w:p w14:paraId="263C1658">
            <w:pPr>
              <w:pStyle w:val="8"/>
              <w:suppressLineNumbers w:val="0"/>
              <w:bidi w:val="0"/>
              <w:spacing w:before="0" w:beforeAutospacing="0" w:after="0" w:afterAutospacing="0"/>
              <w:ind w:left="0" w:right="0"/>
              <w:rPr>
                <w:rFonts w:hint="default"/>
                <w:highlight w:val="none"/>
              </w:rPr>
            </w:pPr>
            <w:r>
              <w:rPr>
                <w:rFonts w:hint="default"/>
                <w:highlight w:val="none"/>
              </w:rPr>
              <w:t>K</w:t>
            </w:r>
            <w:r>
              <w:rPr>
                <w:rFonts w:hint="default"/>
                <w:highlight w:val="none"/>
                <w:vertAlign w:val="superscript"/>
              </w:rPr>
              <w:t>+</w:t>
            </w:r>
            <w:r>
              <w:rPr>
                <w:rFonts w:hint="default"/>
                <w:highlight w:val="none"/>
              </w:rPr>
              <w:t>、Na</w:t>
            </w:r>
            <w:r>
              <w:rPr>
                <w:rFonts w:hint="default"/>
                <w:highlight w:val="none"/>
                <w:vertAlign w:val="superscript"/>
              </w:rPr>
              <w:t>+</w:t>
            </w:r>
            <w:r>
              <w:rPr>
                <w:rFonts w:hint="default"/>
                <w:highlight w:val="none"/>
              </w:rPr>
              <w:t>、Ca</w:t>
            </w:r>
            <w:r>
              <w:rPr>
                <w:rFonts w:hint="default"/>
                <w:highlight w:val="none"/>
                <w:vertAlign w:val="superscript"/>
              </w:rPr>
              <w:t>2+</w:t>
            </w:r>
            <w:r>
              <w:rPr>
                <w:rFonts w:hint="default"/>
                <w:highlight w:val="none"/>
              </w:rPr>
              <w:t>、Mg</w:t>
            </w:r>
            <w:r>
              <w:rPr>
                <w:rFonts w:hint="default"/>
                <w:highlight w:val="none"/>
                <w:vertAlign w:val="superscript"/>
              </w:rPr>
              <w:t>2+</w:t>
            </w:r>
            <w:r>
              <w:rPr>
                <w:rFonts w:hint="default"/>
                <w:highlight w:val="none"/>
              </w:rPr>
              <w:t>、CO</w:t>
            </w:r>
            <w:r>
              <w:rPr>
                <w:rFonts w:hint="default"/>
                <w:highlight w:val="none"/>
                <w:vertAlign w:val="subscript"/>
              </w:rPr>
              <w:t>3</w:t>
            </w:r>
            <w:r>
              <w:rPr>
                <w:rFonts w:hint="default"/>
                <w:highlight w:val="none"/>
                <w:vertAlign w:val="superscript"/>
              </w:rPr>
              <w:t>2-</w:t>
            </w:r>
            <w:r>
              <w:rPr>
                <w:rFonts w:hint="default"/>
                <w:highlight w:val="none"/>
              </w:rPr>
              <w:t>、HCO</w:t>
            </w:r>
            <w:r>
              <w:rPr>
                <w:rFonts w:hint="default"/>
                <w:highlight w:val="none"/>
                <w:vertAlign w:val="superscript"/>
              </w:rPr>
              <w:t>3-</w:t>
            </w:r>
            <w:r>
              <w:rPr>
                <w:rFonts w:hint="default"/>
                <w:highlight w:val="none"/>
              </w:rPr>
              <w:t>、Cl-、SO</w:t>
            </w:r>
            <w:r>
              <w:rPr>
                <w:rFonts w:hint="default"/>
                <w:highlight w:val="none"/>
                <w:vertAlign w:val="subscript"/>
              </w:rPr>
              <w:t>4</w:t>
            </w:r>
            <w:r>
              <w:rPr>
                <w:rFonts w:hint="default"/>
                <w:highlight w:val="none"/>
                <w:vertAlign w:val="superscript"/>
              </w:rPr>
              <w:t>2-</w:t>
            </w:r>
            <w:r>
              <w:rPr>
                <w:rFonts w:hint="default"/>
                <w:highlight w:val="none"/>
              </w:rPr>
              <w:t>；pH、氨氮、硝酸盐、亚硝酸盐、挥发性酚类、氰化物、砷、汞、铬（六价）、总硬度、铅、氟、镉、铁、锰、溶解性总固体、高锰酸盐指数、硫酸盐、氯化物、总大肠菌群、细菌总数、石油类</w:t>
            </w:r>
          </w:p>
        </w:tc>
      </w:tr>
      <w:tr w14:paraId="1AA972D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823" w:type="dxa"/>
            <w:vMerge w:val="continue"/>
            <w:vAlign w:val="center"/>
          </w:tcPr>
          <w:p w14:paraId="422E0E7D">
            <w:pPr>
              <w:pStyle w:val="8"/>
              <w:suppressLineNumbers w:val="0"/>
              <w:bidi w:val="0"/>
              <w:spacing w:before="0" w:beforeAutospacing="0" w:after="0" w:afterAutospacing="0"/>
              <w:ind w:left="0" w:right="0"/>
              <w:rPr>
                <w:rFonts w:hint="default"/>
                <w:highlight w:val="none"/>
              </w:rPr>
            </w:pPr>
          </w:p>
        </w:tc>
        <w:tc>
          <w:tcPr>
            <w:tcW w:w="1134" w:type="dxa"/>
            <w:vMerge w:val="continue"/>
            <w:vAlign w:val="center"/>
          </w:tcPr>
          <w:p w14:paraId="637ACA48">
            <w:pPr>
              <w:pStyle w:val="8"/>
              <w:suppressLineNumbers w:val="0"/>
              <w:bidi w:val="0"/>
              <w:spacing w:before="0" w:beforeAutospacing="0" w:after="0" w:afterAutospacing="0"/>
              <w:ind w:left="0" w:right="0"/>
              <w:rPr>
                <w:rFonts w:hint="default"/>
                <w:highlight w:val="none"/>
              </w:rPr>
            </w:pPr>
          </w:p>
        </w:tc>
        <w:tc>
          <w:tcPr>
            <w:tcW w:w="1276" w:type="dxa"/>
            <w:vAlign w:val="center"/>
          </w:tcPr>
          <w:p w14:paraId="283657FF">
            <w:pPr>
              <w:pStyle w:val="8"/>
              <w:suppressLineNumbers w:val="0"/>
              <w:bidi w:val="0"/>
              <w:spacing w:before="0" w:beforeAutospacing="0" w:after="0" w:afterAutospacing="0"/>
              <w:ind w:left="0" w:right="0"/>
              <w:rPr>
                <w:rFonts w:hint="default"/>
                <w:highlight w:val="none"/>
              </w:rPr>
            </w:pPr>
            <w:r>
              <w:rPr>
                <w:rFonts w:hint="default"/>
                <w:highlight w:val="none"/>
              </w:rPr>
              <w:t>影响评价</w:t>
            </w:r>
          </w:p>
        </w:tc>
        <w:tc>
          <w:tcPr>
            <w:tcW w:w="5017" w:type="dxa"/>
            <w:vAlign w:val="center"/>
          </w:tcPr>
          <w:p w14:paraId="76D7410C">
            <w:pPr>
              <w:pStyle w:val="8"/>
              <w:suppressLineNumbers w:val="0"/>
              <w:bidi w:val="0"/>
              <w:spacing w:before="0" w:beforeAutospacing="0" w:after="0" w:afterAutospacing="0"/>
              <w:ind w:left="0" w:right="0"/>
              <w:rPr>
                <w:rFonts w:hint="default" w:eastAsia="宋体"/>
                <w:highlight w:val="none"/>
                <w:lang w:val="en-US" w:eastAsia="zh-CN"/>
              </w:rPr>
            </w:pPr>
            <w:r>
              <w:rPr>
                <w:rFonts w:hint="default"/>
                <w:highlight w:val="none"/>
              </w:rPr>
              <w:t>石油类</w:t>
            </w:r>
            <w:r>
              <w:rPr>
                <w:rFonts w:hint="eastAsia"/>
                <w:highlight w:val="none"/>
                <w:lang w:eastAsia="zh-CN"/>
              </w:rPr>
              <w:t>、</w:t>
            </w:r>
            <w:r>
              <w:rPr>
                <w:rFonts w:hint="eastAsia"/>
                <w:highlight w:val="none"/>
                <w:lang w:val="en-US" w:eastAsia="zh-CN"/>
              </w:rPr>
              <w:t>COD</w:t>
            </w:r>
          </w:p>
        </w:tc>
      </w:tr>
      <w:tr w14:paraId="58D24BA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823" w:type="dxa"/>
            <w:vMerge w:val="continue"/>
            <w:vAlign w:val="center"/>
          </w:tcPr>
          <w:p w14:paraId="6E23F191">
            <w:pPr>
              <w:pStyle w:val="8"/>
              <w:suppressLineNumbers w:val="0"/>
              <w:bidi w:val="0"/>
              <w:spacing w:before="0" w:beforeAutospacing="0" w:after="0" w:afterAutospacing="0"/>
              <w:ind w:left="0" w:right="0"/>
              <w:rPr>
                <w:rFonts w:hint="default"/>
                <w:highlight w:val="none"/>
              </w:rPr>
            </w:pPr>
          </w:p>
        </w:tc>
        <w:tc>
          <w:tcPr>
            <w:tcW w:w="1134" w:type="dxa"/>
            <w:vAlign w:val="center"/>
          </w:tcPr>
          <w:p w14:paraId="6B141263">
            <w:pPr>
              <w:pStyle w:val="8"/>
              <w:suppressLineNumbers w:val="0"/>
              <w:bidi w:val="0"/>
              <w:spacing w:before="0" w:beforeAutospacing="0" w:after="0" w:afterAutospacing="0"/>
              <w:ind w:left="0" w:right="0"/>
              <w:rPr>
                <w:rFonts w:hint="default"/>
                <w:highlight w:val="none"/>
              </w:rPr>
            </w:pPr>
            <w:r>
              <w:rPr>
                <w:rFonts w:hint="default"/>
                <w:highlight w:val="none"/>
              </w:rPr>
              <w:t>固体废物</w:t>
            </w:r>
          </w:p>
        </w:tc>
        <w:tc>
          <w:tcPr>
            <w:tcW w:w="1276" w:type="dxa"/>
            <w:vAlign w:val="center"/>
          </w:tcPr>
          <w:p w14:paraId="018F7849">
            <w:pPr>
              <w:pStyle w:val="8"/>
              <w:suppressLineNumbers w:val="0"/>
              <w:bidi w:val="0"/>
              <w:spacing w:before="0" w:beforeAutospacing="0" w:after="0" w:afterAutospacing="0"/>
              <w:ind w:left="0" w:right="0"/>
              <w:rPr>
                <w:rFonts w:hint="default"/>
                <w:highlight w:val="none"/>
              </w:rPr>
            </w:pPr>
            <w:r>
              <w:rPr>
                <w:rFonts w:hint="default"/>
                <w:highlight w:val="none"/>
              </w:rPr>
              <w:t>影响评价</w:t>
            </w:r>
          </w:p>
        </w:tc>
        <w:tc>
          <w:tcPr>
            <w:tcW w:w="5017" w:type="dxa"/>
            <w:vAlign w:val="center"/>
          </w:tcPr>
          <w:p w14:paraId="6680A714">
            <w:pPr>
              <w:pStyle w:val="8"/>
              <w:suppressLineNumbers w:val="0"/>
              <w:bidi w:val="0"/>
              <w:spacing w:before="0" w:beforeAutospacing="0" w:after="0" w:afterAutospacing="0"/>
              <w:ind w:left="0" w:right="0"/>
              <w:rPr>
                <w:rFonts w:hint="default"/>
                <w:highlight w:val="none"/>
              </w:rPr>
            </w:pPr>
            <w:r>
              <w:rPr>
                <w:rFonts w:hint="eastAsia"/>
                <w:highlight w:val="none"/>
              </w:rPr>
              <w:t>生活垃圾、一般工业固废、危险废物</w:t>
            </w:r>
          </w:p>
        </w:tc>
      </w:tr>
      <w:tr w14:paraId="0CD5CEC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823" w:type="dxa"/>
            <w:vMerge w:val="continue"/>
            <w:vAlign w:val="center"/>
          </w:tcPr>
          <w:p w14:paraId="4CBE7F9D">
            <w:pPr>
              <w:pStyle w:val="8"/>
              <w:suppressLineNumbers w:val="0"/>
              <w:bidi w:val="0"/>
              <w:spacing w:before="0" w:beforeAutospacing="0" w:after="0" w:afterAutospacing="0"/>
              <w:ind w:left="0" w:right="0"/>
              <w:rPr>
                <w:rFonts w:hint="default"/>
                <w:highlight w:val="none"/>
              </w:rPr>
            </w:pPr>
          </w:p>
        </w:tc>
        <w:tc>
          <w:tcPr>
            <w:tcW w:w="1134" w:type="dxa"/>
            <w:vMerge w:val="restart"/>
            <w:vAlign w:val="center"/>
          </w:tcPr>
          <w:p w14:paraId="71D73615">
            <w:pPr>
              <w:pStyle w:val="8"/>
              <w:suppressLineNumbers w:val="0"/>
              <w:bidi w:val="0"/>
              <w:spacing w:before="0" w:beforeAutospacing="0" w:after="0" w:afterAutospacing="0"/>
              <w:ind w:left="0" w:right="0"/>
              <w:rPr>
                <w:rFonts w:hint="eastAsia"/>
                <w:highlight w:val="none"/>
                <w:lang w:val="en-US" w:eastAsia="zh-CN"/>
              </w:rPr>
            </w:pPr>
            <w:r>
              <w:rPr>
                <w:rFonts w:hint="eastAsia"/>
                <w:highlight w:val="none"/>
                <w:lang w:val="en-US" w:eastAsia="zh-CN"/>
              </w:rPr>
              <w:t>土壤</w:t>
            </w:r>
          </w:p>
        </w:tc>
        <w:tc>
          <w:tcPr>
            <w:tcW w:w="1276" w:type="dxa"/>
            <w:vAlign w:val="center"/>
          </w:tcPr>
          <w:p w14:paraId="50059BB4">
            <w:pPr>
              <w:pStyle w:val="8"/>
              <w:suppressLineNumbers w:val="0"/>
              <w:bidi w:val="0"/>
              <w:spacing w:before="0" w:beforeAutospacing="0" w:after="0" w:afterAutospacing="0"/>
              <w:ind w:left="0" w:right="0"/>
              <w:rPr>
                <w:rFonts w:hint="default"/>
                <w:highlight w:val="none"/>
              </w:rPr>
            </w:pPr>
            <w:r>
              <w:rPr>
                <w:rFonts w:hint="eastAsia"/>
                <w:highlight w:val="none"/>
                <w:lang w:val="en-US" w:eastAsia="en-US"/>
              </w:rPr>
              <w:t>现状评价</w:t>
            </w:r>
          </w:p>
        </w:tc>
        <w:tc>
          <w:tcPr>
            <w:tcW w:w="5017" w:type="dxa"/>
            <w:vAlign w:val="top"/>
          </w:tcPr>
          <w:p w14:paraId="0CA92399">
            <w:pPr>
              <w:pStyle w:val="8"/>
              <w:suppressLineNumbers w:val="0"/>
              <w:bidi w:val="0"/>
              <w:spacing w:before="0" w:beforeAutospacing="0" w:after="0" w:afterAutospacing="0"/>
              <w:ind w:left="0" w:right="0"/>
              <w:rPr>
                <w:rFonts w:hint="eastAsia"/>
                <w:highlight w:val="none"/>
                <w:lang w:eastAsia="zh-CN"/>
              </w:rPr>
            </w:pPr>
            <w:r>
              <w:rPr>
                <w:rFonts w:hint="eastAsia"/>
                <w:highlight w:val="none"/>
                <w:lang w:val="en-US" w:eastAsia="en-US"/>
              </w:rPr>
              <w:t>砷、镉、铬（六价）、铜、铅、汞、镍；四氯化碳、氯仿、氯甲烷、</w:t>
            </w:r>
            <w:r>
              <w:rPr>
                <w:rFonts w:hint="default"/>
                <w:highlight w:val="none"/>
                <w:lang w:val="en-US" w:eastAsia="en-US"/>
              </w:rPr>
              <w:t>1</w:t>
            </w:r>
            <w:r>
              <w:rPr>
                <w:rFonts w:hint="eastAsia"/>
                <w:highlight w:val="none"/>
                <w:lang w:val="en-US" w:eastAsia="zh-CN"/>
              </w:rPr>
              <w:t>，</w:t>
            </w:r>
            <w:r>
              <w:rPr>
                <w:rFonts w:hint="default"/>
                <w:highlight w:val="none"/>
                <w:lang w:val="en-US" w:eastAsia="en-US"/>
              </w:rPr>
              <w:t>1-</w:t>
            </w:r>
            <w:r>
              <w:rPr>
                <w:rFonts w:hint="eastAsia"/>
                <w:highlight w:val="none"/>
                <w:lang w:val="en-US" w:eastAsia="en-US"/>
              </w:rPr>
              <w:t>二氯乙烷、</w:t>
            </w:r>
            <w:r>
              <w:rPr>
                <w:rFonts w:hint="default"/>
                <w:highlight w:val="none"/>
                <w:lang w:val="en-US" w:eastAsia="en-US"/>
              </w:rPr>
              <w:t>1</w:t>
            </w:r>
            <w:r>
              <w:rPr>
                <w:rFonts w:hint="eastAsia"/>
                <w:highlight w:val="none"/>
                <w:lang w:val="en-US" w:eastAsia="zh-CN"/>
              </w:rPr>
              <w:t>，</w:t>
            </w:r>
            <w:r>
              <w:rPr>
                <w:rFonts w:hint="default"/>
                <w:highlight w:val="none"/>
                <w:lang w:val="en-US" w:eastAsia="en-US"/>
              </w:rPr>
              <w:t>2-</w:t>
            </w:r>
            <w:r>
              <w:rPr>
                <w:rFonts w:hint="eastAsia"/>
                <w:highlight w:val="none"/>
                <w:lang w:val="en-US" w:eastAsia="en-US"/>
              </w:rPr>
              <w:t>二氯乙烷、</w:t>
            </w:r>
            <w:r>
              <w:rPr>
                <w:rFonts w:hint="default"/>
                <w:highlight w:val="none"/>
                <w:lang w:val="en-US" w:eastAsia="en-US"/>
              </w:rPr>
              <w:t>1</w:t>
            </w:r>
            <w:r>
              <w:rPr>
                <w:rFonts w:hint="eastAsia"/>
                <w:highlight w:val="none"/>
                <w:lang w:val="en-US" w:eastAsia="zh-CN"/>
              </w:rPr>
              <w:t>，</w:t>
            </w:r>
            <w:r>
              <w:rPr>
                <w:rFonts w:hint="default"/>
                <w:highlight w:val="none"/>
                <w:lang w:val="en-US" w:eastAsia="en-US"/>
              </w:rPr>
              <w:t>1-</w:t>
            </w:r>
            <w:r>
              <w:rPr>
                <w:rFonts w:hint="eastAsia"/>
                <w:highlight w:val="none"/>
                <w:lang w:val="en-US" w:eastAsia="en-US"/>
              </w:rPr>
              <w:t>二氯乙烯、顺</w:t>
            </w:r>
            <w:r>
              <w:rPr>
                <w:rFonts w:hint="default"/>
                <w:highlight w:val="none"/>
                <w:lang w:val="en-US" w:eastAsia="en-US"/>
              </w:rPr>
              <w:t>-1</w:t>
            </w:r>
            <w:r>
              <w:rPr>
                <w:rFonts w:hint="eastAsia"/>
                <w:highlight w:val="none"/>
                <w:lang w:val="en-US" w:eastAsia="zh-CN"/>
              </w:rPr>
              <w:t>，</w:t>
            </w:r>
            <w:r>
              <w:rPr>
                <w:rFonts w:hint="default"/>
                <w:highlight w:val="none"/>
                <w:lang w:val="en-US" w:eastAsia="en-US"/>
              </w:rPr>
              <w:t>2-</w:t>
            </w:r>
            <w:r>
              <w:rPr>
                <w:rFonts w:hint="eastAsia"/>
                <w:highlight w:val="none"/>
                <w:lang w:val="en-US" w:eastAsia="en-US"/>
              </w:rPr>
              <w:t>二氯乙烯、反</w:t>
            </w:r>
            <w:r>
              <w:rPr>
                <w:rFonts w:hint="default"/>
                <w:highlight w:val="none"/>
                <w:lang w:val="en-US" w:eastAsia="en-US"/>
              </w:rPr>
              <w:t>-1</w:t>
            </w:r>
            <w:r>
              <w:rPr>
                <w:rFonts w:hint="eastAsia"/>
                <w:highlight w:val="none"/>
                <w:lang w:val="en-US" w:eastAsia="zh-CN"/>
              </w:rPr>
              <w:t>，</w:t>
            </w:r>
            <w:r>
              <w:rPr>
                <w:rFonts w:hint="default"/>
                <w:highlight w:val="none"/>
                <w:lang w:val="en-US" w:eastAsia="en-US"/>
              </w:rPr>
              <w:t>2-</w:t>
            </w:r>
            <w:r>
              <w:rPr>
                <w:rFonts w:hint="eastAsia"/>
                <w:highlight w:val="none"/>
                <w:lang w:val="en-US" w:eastAsia="en-US"/>
              </w:rPr>
              <w:t>二氯乙烯、二氯甲烷、</w:t>
            </w:r>
            <w:r>
              <w:rPr>
                <w:rFonts w:hint="default"/>
                <w:highlight w:val="none"/>
                <w:lang w:val="en-US" w:eastAsia="en-US"/>
              </w:rPr>
              <w:t>1</w:t>
            </w:r>
            <w:r>
              <w:rPr>
                <w:rFonts w:hint="eastAsia"/>
                <w:highlight w:val="none"/>
                <w:lang w:val="en-US" w:eastAsia="zh-CN"/>
              </w:rPr>
              <w:t>，</w:t>
            </w:r>
            <w:r>
              <w:rPr>
                <w:rFonts w:hint="default"/>
                <w:highlight w:val="none"/>
                <w:lang w:val="en-US" w:eastAsia="en-US"/>
              </w:rPr>
              <w:t>2-</w:t>
            </w:r>
            <w:r>
              <w:rPr>
                <w:rFonts w:hint="eastAsia"/>
                <w:highlight w:val="none"/>
                <w:lang w:val="en-US" w:eastAsia="en-US"/>
              </w:rPr>
              <w:t>二氯丙烷、</w:t>
            </w:r>
            <w:r>
              <w:rPr>
                <w:rFonts w:hint="default"/>
                <w:highlight w:val="none"/>
                <w:lang w:val="en-US" w:eastAsia="en-US"/>
              </w:rPr>
              <w:t>1</w:t>
            </w:r>
            <w:r>
              <w:rPr>
                <w:rFonts w:hint="eastAsia"/>
                <w:highlight w:val="none"/>
                <w:lang w:val="en-US" w:eastAsia="zh-CN"/>
              </w:rPr>
              <w:t>，</w:t>
            </w:r>
            <w:r>
              <w:rPr>
                <w:rFonts w:hint="default"/>
                <w:highlight w:val="none"/>
                <w:lang w:val="en-US" w:eastAsia="en-US"/>
              </w:rPr>
              <w:t>1</w:t>
            </w:r>
            <w:r>
              <w:rPr>
                <w:rFonts w:hint="eastAsia"/>
                <w:highlight w:val="none"/>
                <w:lang w:val="en-US" w:eastAsia="zh-CN"/>
              </w:rPr>
              <w:t>，</w:t>
            </w:r>
            <w:r>
              <w:rPr>
                <w:rFonts w:hint="default"/>
                <w:highlight w:val="none"/>
                <w:lang w:val="en-US" w:eastAsia="en-US"/>
              </w:rPr>
              <w:t>1</w:t>
            </w:r>
            <w:r>
              <w:rPr>
                <w:rFonts w:hint="eastAsia"/>
                <w:highlight w:val="none"/>
                <w:lang w:val="en-US" w:eastAsia="zh-CN"/>
              </w:rPr>
              <w:t>，</w:t>
            </w:r>
            <w:r>
              <w:rPr>
                <w:rFonts w:hint="default"/>
                <w:highlight w:val="none"/>
                <w:lang w:val="en-US" w:eastAsia="en-US"/>
              </w:rPr>
              <w:t>2-</w:t>
            </w:r>
            <w:r>
              <w:rPr>
                <w:rFonts w:hint="eastAsia"/>
                <w:highlight w:val="none"/>
                <w:lang w:val="en-US" w:eastAsia="en-US"/>
              </w:rPr>
              <w:t>四氯乙烷、</w:t>
            </w:r>
            <w:r>
              <w:rPr>
                <w:rFonts w:hint="default"/>
                <w:highlight w:val="none"/>
                <w:lang w:val="en-US" w:eastAsia="en-US"/>
              </w:rPr>
              <w:t>1</w:t>
            </w:r>
            <w:r>
              <w:rPr>
                <w:rFonts w:hint="eastAsia"/>
                <w:highlight w:val="none"/>
                <w:lang w:val="en-US" w:eastAsia="zh-CN"/>
              </w:rPr>
              <w:t>，</w:t>
            </w:r>
            <w:r>
              <w:rPr>
                <w:rFonts w:hint="default"/>
                <w:highlight w:val="none"/>
                <w:lang w:val="en-US" w:eastAsia="en-US"/>
              </w:rPr>
              <w:t>1</w:t>
            </w:r>
            <w:r>
              <w:rPr>
                <w:rFonts w:hint="eastAsia"/>
                <w:highlight w:val="none"/>
                <w:lang w:val="en-US" w:eastAsia="zh-CN"/>
              </w:rPr>
              <w:t>，</w:t>
            </w:r>
            <w:r>
              <w:rPr>
                <w:rFonts w:hint="default"/>
                <w:highlight w:val="none"/>
                <w:lang w:val="en-US" w:eastAsia="en-US"/>
              </w:rPr>
              <w:t>2</w:t>
            </w:r>
            <w:r>
              <w:rPr>
                <w:rFonts w:hint="eastAsia"/>
                <w:highlight w:val="none"/>
                <w:lang w:val="en-US" w:eastAsia="zh-CN"/>
              </w:rPr>
              <w:t>，</w:t>
            </w:r>
            <w:r>
              <w:rPr>
                <w:rFonts w:hint="default"/>
                <w:highlight w:val="none"/>
                <w:lang w:val="en-US" w:eastAsia="en-US"/>
              </w:rPr>
              <w:t>2-</w:t>
            </w:r>
            <w:r>
              <w:rPr>
                <w:rFonts w:hint="eastAsia"/>
                <w:highlight w:val="none"/>
                <w:lang w:val="en-US" w:eastAsia="en-US"/>
              </w:rPr>
              <w:t>四氯乙烷、四氯乙烯</w:t>
            </w:r>
            <w:r>
              <w:rPr>
                <w:rFonts w:hint="eastAsia"/>
                <w:highlight w:val="none"/>
                <w:lang w:val="en-US" w:eastAsia="zh-CN"/>
              </w:rPr>
              <w:t>、</w:t>
            </w:r>
            <w:r>
              <w:rPr>
                <w:rFonts w:hint="default"/>
                <w:highlight w:val="none"/>
                <w:lang w:val="en-US" w:eastAsia="en-US"/>
              </w:rPr>
              <w:t>1</w:t>
            </w:r>
            <w:r>
              <w:rPr>
                <w:rFonts w:hint="eastAsia"/>
                <w:highlight w:val="none"/>
                <w:lang w:val="en-US" w:eastAsia="zh-CN"/>
              </w:rPr>
              <w:t>，</w:t>
            </w:r>
            <w:r>
              <w:rPr>
                <w:rFonts w:hint="default"/>
                <w:highlight w:val="none"/>
                <w:lang w:val="en-US" w:eastAsia="en-US"/>
              </w:rPr>
              <w:t>1</w:t>
            </w:r>
            <w:r>
              <w:rPr>
                <w:rFonts w:hint="eastAsia"/>
                <w:highlight w:val="none"/>
                <w:lang w:val="en-US" w:eastAsia="zh-CN"/>
              </w:rPr>
              <w:t>，</w:t>
            </w:r>
            <w:r>
              <w:rPr>
                <w:rFonts w:hint="default"/>
                <w:highlight w:val="none"/>
                <w:lang w:val="en-US" w:eastAsia="en-US"/>
              </w:rPr>
              <w:t>1-</w:t>
            </w:r>
            <w:r>
              <w:rPr>
                <w:rFonts w:hint="eastAsia"/>
                <w:highlight w:val="none"/>
                <w:lang w:val="en-US" w:eastAsia="en-US"/>
              </w:rPr>
              <w:t>三氯乙烷、</w:t>
            </w:r>
            <w:r>
              <w:rPr>
                <w:rFonts w:hint="default"/>
                <w:highlight w:val="none"/>
                <w:lang w:val="en-US" w:eastAsia="en-US"/>
              </w:rPr>
              <w:t>1</w:t>
            </w:r>
            <w:r>
              <w:rPr>
                <w:rFonts w:hint="eastAsia"/>
                <w:highlight w:val="none"/>
                <w:lang w:val="en-US" w:eastAsia="zh-CN"/>
              </w:rPr>
              <w:t>，</w:t>
            </w:r>
            <w:r>
              <w:rPr>
                <w:rFonts w:hint="default"/>
                <w:highlight w:val="none"/>
                <w:lang w:val="en-US" w:eastAsia="en-US"/>
              </w:rPr>
              <w:t>1</w:t>
            </w:r>
            <w:r>
              <w:rPr>
                <w:rFonts w:hint="eastAsia"/>
                <w:highlight w:val="none"/>
                <w:lang w:val="en-US" w:eastAsia="zh-CN"/>
              </w:rPr>
              <w:t>，</w:t>
            </w:r>
            <w:r>
              <w:rPr>
                <w:rFonts w:hint="default"/>
                <w:highlight w:val="none"/>
                <w:lang w:val="en-US" w:eastAsia="en-US"/>
              </w:rPr>
              <w:t>2-</w:t>
            </w:r>
            <w:r>
              <w:rPr>
                <w:rFonts w:hint="eastAsia"/>
                <w:highlight w:val="none"/>
                <w:lang w:val="en-US" w:eastAsia="en-US"/>
              </w:rPr>
              <w:t>三氯乙烷、三氯乙烯、</w:t>
            </w:r>
            <w:r>
              <w:rPr>
                <w:rFonts w:hint="default"/>
                <w:highlight w:val="none"/>
                <w:lang w:val="en-US" w:eastAsia="en-US"/>
              </w:rPr>
              <w:t>1</w:t>
            </w:r>
            <w:r>
              <w:rPr>
                <w:rFonts w:hint="eastAsia"/>
                <w:highlight w:val="none"/>
                <w:lang w:val="en-US" w:eastAsia="zh-CN"/>
              </w:rPr>
              <w:t>，</w:t>
            </w:r>
            <w:r>
              <w:rPr>
                <w:rFonts w:hint="default"/>
                <w:highlight w:val="none"/>
                <w:lang w:val="en-US" w:eastAsia="en-US"/>
              </w:rPr>
              <w:t>2</w:t>
            </w:r>
            <w:r>
              <w:rPr>
                <w:rFonts w:hint="eastAsia"/>
                <w:highlight w:val="none"/>
                <w:lang w:val="en-US" w:eastAsia="zh-CN"/>
              </w:rPr>
              <w:t>，</w:t>
            </w:r>
            <w:r>
              <w:rPr>
                <w:rFonts w:hint="default"/>
                <w:highlight w:val="none"/>
                <w:lang w:val="en-US" w:eastAsia="en-US"/>
              </w:rPr>
              <w:t>3-</w:t>
            </w:r>
            <w:r>
              <w:rPr>
                <w:rFonts w:hint="eastAsia"/>
                <w:highlight w:val="none"/>
                <w:lang w:val="en-US" w:eastAsia="en-US"/>
              </w:rPr>
              <w:t>三氯丙烷、氯乙烯、苯、氯苯、</w:t>
            </w:r>
            <w:r>
              <w:rPr>
                <w:rFonts w:hint="default"/>
                <w:highlight w:val="none"/>
                <w:lang w:val="en-US" w:eastAsia="en-US"/>
              </w:rPr>
              <w:t>1</w:t>
            </w:r>
            <w:r>
              <w:rPr>
                <w:rFonts w:hint="eastAsia"/>
                <w:highlight w:val="none"/>
                <w:lang w:val="en-US" w:eastAsia="zh-CN"/>
              </w:rPr>
              <w:t>，</w:t>
            </w:r>
            <w:r>
              <w:rPr>
                <w:rFonts w:hint="default"/>
                <w:highlight w:val="none"/>
                <w:lang w:val="en-US" w:eastAsia="en-US"/>
              </w:rPr>
              <w:t>2-</w:t>
            </w:r>
            <w:r>
              <w:rPr>
                <w:rFonts w:hint="eastAsia"/>
                <w:highlight w:val="none"/>
                <w:lang w:val="en-US" w:eastAsia="en-US"/>
              </w:rPr>
              <w:t>二氯苯、</w:t>
            </w:r>
            <w:r>
              <w:rPr>
                <w:rFonts w:hint="default"/>
                <w:highlight w:val="none"/>
                <w:lang w:val="en-US" w:eastAsia="en-US"/>
              </w:rPr>
              <w:t>1</w:t>
            </w:r>
            <w:r>
              <w:rPr>
                <w:rFonts w:hint="eastAsia"/>
                <w:highlight w:val="none"/>
                <w:lang w:val="en-US" w:eastAsia="zh-CN"/>
              </w:rPr>
              <w:t>，</w:t>
            </w:r>
            <w:r>
              <w:rPr>
                <w:rFonts w:hint="default"/>
                <w:highlight w:val="none"/>
                <w:lang w:val="en-US" w:eastAsia="en-US"/>
              </w:rPr>
              <w:t>4-</w:t>
            </w:r>
            <w:r>
              <w:rPr>
                <w:rFonts w:hint="eastAsia"/>
                <w:highlight w:val="none"/>
                <w:lang w:val="en-US" w:eastAsia="en-US"/>
              </w:rPr>
              <w:t>二氯苯、乙苯、苯乙烯、甲苯、间二甲苯</w:t>
            </w:r>
            <w:r>
              <w:rPr>
                <w:rFonts w:hint="default"/>
                <w:highlight w:val="none"/>
                <w:lang w:val="en-US" w:eastAsia="en-US"/>
              </w:rPr>
              <w:t>+</w:t>
            </w:r>
            <w:r>
              <w:rPr>
                <w:rFonts w:hint="eastAsia"/>
                <w:highlight w:val="none"/>
                <w:lang w:val="en-US" w:eastAsia="en-US"/>
              </w:rPr>
              <w:t>对二甲苯、邻二甲苯、半挥发性有机物</w:t>
            </w:r>
            <w:r>
              <w:rPr>
                <w:rFonts w:hint="eastAsia"/>
                <w:highlight w:val="none"/>
                <w:lang w:val="en-US" w:eastAsia="zh-CN"/>
              </w:rPr>
              <w:t>；</w:t>
            </w:r>
            <w:r>
              <w:rPr>
                <w:rFonts w:hint="eastAsia"/>
                <w:highlight w:val="none"/>
                <w:lang w:val="en-US" w:eastAsia="en-US"/>
              </w:rPr>
              <w:t>硝基苯、苯胺、</w:t>
            </w:r>
            <w:r>
              <w:rPr>
                <w:rFonts w:hint="default"/>
                <w:highlight w:val="none"/>
                <w:lang w:val="en-US" w:eastAsia="en-US"/>
              </w:rPr>
              <w:t>2-</w:t>
            </w:r>
            <w:r>
              <w:rPr>
                <w:rFonts w:hint="eastAsia"/>
                <w:highlight w:val="none"/>
                <w:lang w:val="en-US" w:eastAsia="en-US"/>
              </w:rPr>
              <w:t>氯酚、苯并</w:t>
            </w:r>
            <w:r>
              <w:rPr>
                <w:rFonts w:hint="default"/>
                <w:highlight w:val="none"/>
                <w:lang w:val="en-US" w:eastAsia="en-US"/>
              </w:rPr>
              <w:t>[a]</w:t>
            </w:r>
            <w:r>
              <w:rPr>
                <w:rFonts w:hint="eastAsia"/>
                <w:highlight w:val="none"/>
                <w:lang w:val="en-US" w:eastAsia="en-US"/>
              </w:rPr>
              <w:t>蒽、苯并</w:t>
            </w:r>
            <w:r>
              <w:rPr>
                <w:rFonts w:hint="default"/>
                <w:highlight w:val="none"/>
                <w:lang w:val="en-US" w:eastAsia="en-US"/>
              </w:rPr>
              <w:t>[a]</w:t>
            </w:r>
            <w:r>
              <w:rPr>
                <w:rFonts w:hint="eastAsia"/>
                <w:highlight w:val="none"/>
                <w:lang w:val="en-US" w:eastAsia="en-US"/>
              </w:rPr>
              <w:t>芘、苯并</w:t>
            </w:r>
            <w:r>
              <w:rPr>
                <w:rFonts w:hint="default"/>
                <w:highlight w:val="none"/>
                <w:lang w:val="en-US" w:eastAsia="en-US"/>
              </w:rPr>
              <w:t>[b]</w:t>
            </w:r>
            <w:r>
              <w:rPr>
                <w:rFonts w:hint="eastAsia"/>
                <w:highlight w:val="none"/>
                <w:lang w:val="en-US" w:eastAsia="en-US"/>
              </w:rPr>
              <w:t>荧蒽、苯并</w:t>
            </w:r>
            <w:r>
              <w:rPr>
                <w:rFonts w:hint="default"/>
                <w:highlight w:val="none"/>
                <w:lang w:val="en-US" w:eastAsia="en-US"/>
              </w:rPr>
              <w:t>[k]</w:t>
            </w:r>
            <w:r>
              <w:rPr>
                <w:rFonts w:hint="eastAsia"/>
                <w:highlight w:val="none"/>
                <w:lang w:val="en-US" w:eastAsia="en-US"/>
              </w:rPr>
              <w:t>荧蒽、䓛、二苯并</w:t>
            </w:r>
            <w:r>
              <w:rPr>
                <w:rFonts w:hint="default"/>
                <w:highlight w:val="none"/>
                <w:lang w:val="en-US" w:eastAsia="en-US"/>
              </w:rPr>
              <w:t>[a</w:t>
            </w:r>
            <w:r>
              <w:rPr>
                <w:rFonts w:hint="eastAsia"/>
                <w:highlight w:val="none"/>
                <w:lang w:val="en-US" w:eastAsia="zh-CN"/>
              </w:rPr>
              <w:t>，</w:t>
            </w:r>
            <w:r>
              <w:rPr>
                <w:rFonts w:hint="default"/>
                <w:highlight w:val="none"/>
                <w:lang w:val="en-US" w:eastAsia="en-US"/>
              </w:rPr>
              <w:t>h]</w:t>
            </w:r>
            <w:r>
              <w:rPr>
                <w:rFonts w:hint="eastAsia"/>
                <w:highlight w:val="none"/>
                <w:lang w:val="en-US" w:eastAsia="en-US"/>
              </w:rPr>
              <w:t>蒽、茚并</w:t>
            </w:r>
            <w:r>
              <w:rPr>
                <w:rFonts w:hint="default"/>
                <w:highlight w:val="none"/>
                <w:lang w:val="en-US" w:eastAsia="en-US"/>
              </w:rPr>
              <w:t>[1</w:t>
            </w:r>
            <w:r>
              <w:rPr>
                <w:rFonts w:hint="eastAsia"/>
                <w:highlight w:val="none"/>
                <w:lang w:val="en-US" w:eastAsia="zh-CN"/>
              </w:rPr>
              <w:t>，</w:t>
            </w:r>
            <w:r>
              <w:rPr>
                <w:rFonts w:hint="default"/>
                <w:highlight w:val="none"/>
                <w:lang w:val="en-US" w:eastAsia="en-US"/>
              </w:rPr>
              <w:t>2</w:t>
            </w:r>
            <w:r>
              <w:rPr>
                <w:rFonts w:hint="eastAsia"/>
                <w:highlight w:val="none"/>
                <w:lang w:val="en-US" w:eastAsia="zh-CN"/>
              </w:rPr>
              <w:t>，</w:t>
            </w:r>
            <w:r>
              <w:rPr>
                <w:rFonts w:hint="default"/>
                <w:highlight w:val="none"/>
                <w:lang w:val="en-US" w:eastAsia="en-US"/>
              </w:rPr>
              <w:t>3-cd]</w:t>
            </w:r>
            <w:r>
              <w:rPr>
                <w:rFonts w:hint="eastAsia"/>
                <w:highlight w:val="none"/>
                <w:lang w:val="en-US" w:eastAsia="en-US"/>
              </w:rPr>
              <w:t>芘、萘、锌、</w:t>
            </w:r>
            <w:r>
              <w:rPr>
                <w:rFonts w:hint="default"/>
                <w:highlight w:val="none"/>
                <w:lang w:val="en-US" w:eastAsia="en-US"/>
              </w:rPr>
              <w:t>pH</w:t>
            </w:r>
            <w:r>
              <w:rPr>
                <w:rFonts w:hint="eastAsia"/>
                <w:highlight w:val="none"/>
                <w:lang w:val="en-US" w:eastAsia="en-US"/>
              </w:rPr>
              <w:t>、石油烃</w:t>
            </w:r>
          </w:p>
        </w:tc>
      </w:tr>
      <w:tr w14:paraId="2E362FD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823" w:type="dxa"/>
            <w:vMerge w:val="continue"/>
            <w:vAlign w:val="center"/>
          </w:tcPr>
          <w:p w14:paraId="0C06D265">
            <w:pPr>
              <w:pStyle w:val="8"/>
              <w:suppressLineNumbers w:val="0"/>
              <w:bidi w:val="0"/>
              <w:spacing w:before="0" w:beforeAutospacing="0" w:after="0" w:afterAutospacing="0"/>
              <w:ind w:left="0" w:right="0"/>
              <w:rPr>
                <w:rFonts w:hint="default"/>
                <w:highlight w:val="none"/>
              </w:rPr>
            </w:pPr>
          </w:p>
        </w:tc>
        <w:tc>
          <w:tcPr>
            <w:tcW w:w="1134" w:type="dxa"/>
            <w:vMerge w:val="continue"/>
            <w:vAlign w:val="center"/>
          </w:tcPr>
          <w:p w14:paraId="5DD7EE30">
            <w:pPr>
              <w:pStyle w:val="8"/>
              <w:suppressLineNumbers w:val="0"/>
              <w:bidi w:val="0"/>
              <w:spacing w:before="0" w:beforeAutospacing="0" w:after="0" w:afterAutospacing="0"/>
              <w:ind w:left="0" w:right="0"/>
              <w:rPr>
                <w:rFonts w:hint="eastAsia"/>
                <w:highlight w:val="none"/>
                <w:lang w:val="en-US" w:eastAsia="zh-CN"/>
              </w:rPr>
            </w:pPr>
          </w:p>
        </w:tc>
        <w:tc>
          <w:tcPr>
            <w:tcW w:w="1276" w:type="dxa"/>
            <w:vAlign w:val="top"/>
          </w:tcPr>
          <w:p w14:paraId="164E8446">
            <w:pPr>
              <w:pStyle w:val="8"/>
              <w:suppressLineNumbers w:val="0"/>
              <w:bidi w:val="0"/>
              <w:spacing w:before="0" w:beforeAutospacing="0" w:after="0" w:afterAutospacing="0"/>
              <w:ind w:left="0" w:right="0"/>
              <w:rPr>
                <w:rFonts w:hint="eastAsia"/>
                <w:highlight w:val="none"/>
                <w:lang w:val="en-US" w:eastAsia="en-US"/>
              </w:rPr>
            </w:pPr>
            <w:r>
              <w:rPr>
                <w:rFonts w:hint="eastAsia"/>
                <w:highlight w:val="none"/>
                <w:lang w:val="en-US" w:eastAsia="en-US"/>
              </w:rPr>
              <w:t>影响评价</w:t>
            </w:r>
          </w:p>
        </w:tc>
        <w:tc>
          <w:tcPr>
            <w:tcW w:w="5017" w:type="dxa"/>
            <w:vAlign w:val="top"/>
          </w:tcPr>
          <w:p w14:paraId="1A43DCDC">
            <w:pPr>
              <w:pStyle w:val="8"/>
              <w:suppressLineNumbers w:val="0"/>
              <w:bidi w:val="0"/>
              <w:spacing w:before="0" w:beforeAutospacing="0" w:after="0" w:afterAutospacing="0"/>
              <w:ind w:left="0" w:right="0"/>
              <w:rPr>
                <w:rFonts w:hint="eastAsia" w:eastAsia="宋体"/>
                <w:highlight w:val="none"/>
                <w:lang w:val="en-US" w:eastAsia="zh-CN"/>
              </w:rPr>
            </w:pPr>
            <w:r>
              <w:rPr>
                <w:rFonts w:hint="eastAsia"/>
                <w:highlight w:val="none"/>
                <w:lang w:val="en-US" w:eastAsia="en-US"/>
              </w:rPr>
              <w:t>石油烃</w:t>
            </w:r>
          </w:p>
        </w:tc>
      </w:tr>
      <w:tr w14:paraId="459EF7A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823" w:type="dxa"/>
            <w:vMerge w:val="continue"/>
            <w:vAlign w:val="center"/>
          </w:tcPr>
          <w:p w14:paraId="02F62D95">
            <w:pPr>
              <w:pStyle w:val="8"/>
              <w:suppressLineNumbers w:val="0"/>
              <w:bidi w:val="0"/>
              <w:spacing w:before="0" w:beforeAutospacing="0" w:after="0" w:afterAutospacing="0"/>
              <w:ind w:left="0" w:right="0"/>
              <w:rPr>
                <w:rFonts w:hint="default"/>
                <w:highlight w:val="none"/>
              </w:rPr>
            </w:pPr>
          </w:p>
        </w:tc>
        <w:tc>
          <w:tcPr>
            <w:tcW w:w="1134" w:type="dxa"/>
            <w:vAlign w:val="center"/>
          </w:tcPr>
          <w:p w14:paraId="5F3914E6">
            <w:pPr>
              <w:pStyle w:val="8"/>
              <w:suppressLineNumbers w:val="0"/>
              <w:bidi w:val="0"/>
              <w:spacing w:before="0" w:beforeAutospacing="0" w:after="0" w:afterAutospacing="0"/>
              <w:ind w:left="0" w:right="0"/>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en-US"/>
              </w:rPr>
              <w:t>环境风险</w:t>
            </w:r>
          </w:p>
        </w:tc>
        <w:tc>
          <w:tcPr>
            <w:tcW w:w="1276" w:type="dxa"/>
            <w:vAlign w:val="center"/>
          </w:tcPr>
          <w:p w14:paraId="68A43CDF">
            <w:pPr>
              <w:pStyle w:val="8"/>
              <w:suppressLineNumbers w:val="0"/>
              <w:bidi w:val="0"/>
              <w:spacing w:before="0" w:beforeAutospacing="0" w:after="0" w:afterAutospacing="0"/>
              <w:ind w:left="0" w:right="0"/>
              <w:rPr>
                <w:rFonts w:hint="eastAsia" w:ascii="Times New Roman" w:hAnsi="Times New Roman" w:eastAsia="宋体" w:cs="Times New Roman"/>
                <w:highlight w:val="none"/>
                <w:lang w:val="en-US" w:eastAsia="en-US"/>
              </w:rPr>
            </w:pPr>
            <w:r>
              <w:rPr>
                <w:rFonts w:hint="eastAsia" w:ascii="Times New Roman" w:hAnsi="Times New Roman" w:eastAsia="宋体" w:cs="Times New Roman"/>
                <w:highlight w:val="none"/>
                <w:lang w:val="en-US" w:eastAsia="en-US"/>
              </w:rPr>
              <w:t>预测评价</w:t>
            </w:r>
          </w:p>
        </w:tc>
        <w:tc>
          <w:tcPr>
            <w:tcW w:w="5017" w:type="dxa"/>
            <w:vAlign w:val="center"/>
          </w:tcPr>
          <w:p w14:paraId="199F4431">
            <w:pPr>
              <w:pStyle w:val="8"/>
              <w:suppressLineNumbers w:val="0"/>
              <w:bidi w:val="0"/>
              <w:spacing w:before="0" w:beforeAutospacing="0" w:after="0" w:afterAutospacing="0"/>
              <w:ind w:left="0" w:right="0"/>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油类物质</w:t>
            </w:r>
          </w:p>
        </w:tc>
      </w:tr>
    </w:tbl>
    <w:p w14:paraId="1F8CD841">
      <w:pPr>
        <w:wordWrap/>
        <w:adjustRightInd/>
        <w:snapToGrid/>
        <w:spacing w:line="240" w:lineRule="auto"/>
        <w:ind w:firstLine="0" w:firstLineChars="0"/>
        <w:rPr>
          <w:rFonts w:ascii="Times New Roman" w:cs="Times New Roman" w:hAnsiTheme="minorEastAsia" w:eastAsiaTheme="minorEastAsia"/>
          <w:bCs/>
          <w:spacing w:val="-4"/>
          <w:kern w:val="44"/>
          <w:sz w:val="21"/>
          <w:szCs w:val="21"/>
          <w:highlight w:val="none"/>
        </w:rPr>
      </w:pPr>
      <w:r>
        <w:rPr>
          <w:rFonts w:ascii="Times New Roman" w:cs="Times New Roman" w:hAnsiTheme="minorEastAsia" w:eastAsiaTheme="minorEastAsia"/>
          <w:bCs/>
          <w:spacing w:val="-4"/>
          <w:kern w:val="44"/>
          <w:sz w:val="21"/>
          <w:szCs w:val="21"/>
          <w:highlight w:val="none"/>
        </w:rPr>
        <w:t>注：根据《排污许可证申请与核发技术规范汽车制造业》（HJ971-2018）3.9中“在表征VOCs总体排放情况时，根据行业特征和环境管理要求，可采用总挥发性有机物（以TVOC表示）、非甲烷总烃（以NMHC表示）作为污染控制项目。本标准采用非甲烷总烃表征。汽车制造业大气污染物排放标准发布后，从其规定”。因此本项目产生的特征污染物VOCs以非甲烷总烃表征。</w:t>
      </w:r>
    </w:p>
    <w:p w14:paraId="5C533F26">
      <w:pPr>
        <w:rPr>
          <w:rFonts w:hAnsiTheme="minorEastAsia" w:eastAsiaTheme="minorEastAsia"/>
          <w:b/>
          <w:kern w:val="0"/>
          <w:sz w:val="24"/>
          <w:highlight w:val="none"/>
        </w:rPr>
      </w:pPr>
    </w:p>
    <w:p w14:paraId="5DA01431">
      <w:pPr>
        <w:pStyle w:val="18"/>
        <w:rPr>
          <w:highlight w:val="none"/>
        </w:rPr>
      </w:pPr>
    </w:p>
    <w:p w14:paraId="53BC55BA">
      <w:pPr>
        <w:pStyle w:val="3"/>
        <w:bidi w:val="0"/>
        <w:rPr>
          <w:highlight w:val="none"/>
        </w:rPr>
        <w:sectPr>
          <w:pgSz w:w="11906" w:h="16838"/>
          <w:pgMar w:top="1440" w:right="1800" w:bottom="1440" w:left="1800" w:header="851" w:footer="992" w:gutter="0"/>
          <w:pgBorders w:offsetFrom="page">
            <w:top w:val="none" w:sz="0" w:space="0"/>
            <w:left w:val="none" w:sz="0" w:space="0"/>
            <w:bottom w:val="none" w:sz="0" w:space="0"/>
            <w:right w:val="none" w:sz="0" w:space="0"/>
          </w:pgBorders>
          <w:cols w:space="425" w:num="1"/>
          <w:docGrid w:type="lines" w:linePitch="312" w:charSpace="0"/>
        </w:sectPr>
      </w:pPr>
      <w:bookmarkStart w:id="148" w:name="_Toc15991632"/>
      <w:bookmarkStart w:id="149" w:name="_Toc18324"/>
    </w:p>
    <w:p w14:paraId="3DFD6123">
      <w:pPr>
        <w:pStyle w:val="3"/>
        <w:bidi w:val="0"/>
        <w:rPr>
          <w:highlight w:val="none"/>
        </w:rPr>
      </w:pPr>
      <w:bookmarkStart w:id="150" w:name="_Toc32101"/>
      <w:r>
        <w:rPr>
          <w:highlight w:val="none"/>
        </w:rPr>
        <w:t>2.3评价标准</w:t>
      </w:r>
      <w:bookmarkEnd w:id="148"/>
      <w:bookmarkEnd w:id="149"/>
      <w:bookmarkEnd w:id="150"/>
    </w:p>
    <w:p w14:paraId="14F5CAEE">
      <w:pPr>
        <w:pStyle w:val="4"/>
        <w:bidi w:val="0"/>
        <w:rPr>
          <w:highlight w:val="none"/>
        </w:rPr>
      </w:pPr>
      <w:bookmarkStart w:id="151" w:name="_Toc26299"/>
      <w:bookmarkStart w:id="152" w:name="_Toc23262"/>
      <w:r>
        <w:rPr>
          <w:highlight w:val="none"/>
        </w:rPr>
        <w:t>2.3.1环境质量标准</w:t>
      </w:r>
      <w:bookmarkEnd w:id="151"/>
      <w:bookmarkEnd w:id="152"/>
    </w:p>
    <w:p w14:paraId="05C28610">
      <w:pPr>
        <w:widowControl/>
        <w:spacing w:line="360" w:lineRule="auto"/>
        <w:ind w:firstLine="480" w:firstLineChars="200"/>
        <w:contextualSpacing/>
        <w:jc w:val="left"/>
        <w:rPr>
          <w:rFonts w:eastAsiaTheme="minorEastAsia"/>
          <w:kern w:val="0"/>
          <w:sz w:val="24"/>
          <w:highlight w:val="none"/>
        </w:rPr>
      </w:pPr>
      <w:r>
        <w:rPr>
          <w:rFonts w:hAnsiTheme="minorEastAsia" w:eastAsiaTheme="minorEastAsia"/>
          <w:kern w:val="0"/>
          <w:sz w:val="24"/>
          <w:highlight w:val="none"/>
        </w:rPr>
        <w:t>环境质量标准见表</w:t>
      </w:r>
      <w:r>
        <w:rPr>
          <w:rFonts w:eastAsiaTheme="minorEastAsia"/>
          <w:kern w:val="0"/>
          <w:sz w:val="24"/>
          <w:highlight w:val="none"/>
        </w:rPr>
        <w:t>2-3-1</w:t>
      </w:r>
      <w:r>
        <w:rPr>
          <w:rFonts w:hAnsiTheme="minorEastAsia" w:eastAsiaTheme="minorEastAsia"/>
          <w:kern w:val="0"/>
          <w:sz w:val="24"/>
          <w:highlight w:val="none"/>
        </w:rPr>
        <w:t>。</w:t>
      </w:r>
    </w:p>
    <w:p w14:paraId="75AA7AFF">
      <w:pPr>
        <w:spacing w:line="360" w:lineRule="auto"/>
        <w:jc w:val="center"/>
        <w:rPr>
          <w:rFonts w:eastAsiaTheme="minorEastAsia"/>
          <w:b/>
          <w:kern w:val="0"/>
          <w:sz w:val="24"/>
          <w:highlight w:val="none"/>
        </w:rPr>
      </w:pPr>
      <w:r>
        <w:rPr>
          <w:rFonts w:hAnsiTheme="minorEastAsia" w:eastAsiaTheme="minorEastAsia"/>
          <w:b/>
          <w:kern w:val="0"/>
          <w:sz w:val="24"/>
          <w:highlight w:val="none"/>
        </w:rPr>
        <w:t>表</w:t>
      </w:r>
      <w:r>
        <w:rPr>
          <w:rFonts w:eastAsiaTheme="minorEastAsia"/>
          <w:b/>
          <w:kern w:val="0"/>
          <w:sz w:val="24"/>
          <w:highlight w:val="none"/>
        </w:rPr>
        <w:t>2-3-1</w:t>
      </w:r>
      <w:r>
        <w:rPr>
          <w:rFonts w:hAnsiTheme="minorEastAsia" w:eastAsiaTheme="minorEastAsia"/>
          <w:b/>
          <w:kern w:val="0"/>
          <w:sz w:val="24"/>
          <w:highlight w:val="none"/>
        </w:rPr>
        <w:t>环境质量标准表</w:t>
      </w:r>
    </w:p>
    <w:tbl>
      <w:tblPr>
        <w:tblStyle w:val="45"/>
        <w:tblW w:w="85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38"/>
        <w:gridCol w:w="2441"/>
        <w:gridCol w:w="1509"/>
        <w:gridCol w:w="1236"/>
        <w:gridCol w:w="1452"/>
        <w:gridCol w:w="1046"/>
      </w:tblGrid>
      <w:tr w14:paraId="4A8348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restart"/>
            <w:vAlign w:val="center"/>
          </w:tcPr>
          <w:p w14:paraId="0EC8B6A2">
            <w:pPr>
              <w:pStyle w:val="8"/>
              <w:suppressLineNumbers w:val="0"/>
              <w:bidi w:val="0"/>
              <w:spacing w:before="0" w:beforeAutospacing="0" w:after="0" w:afterAutospacing="0"/>
              <w:ind w:left="0" w:right="0"/>
              <w:rPr>
                <w:rFonts w:hint="default"/>
                <w:highlight w:val="none"/>
              </w:rPr>
            </w:pPr>
            <w:r>
              <w:rPr>
                <w:rFonts w:hint="default"/>
                <w:highlight w:val="none"/>
              </w:rPr>
              <w:t>环境要素</w:t>
            </w:r>
          </w:p>
        </w:tc>
        <w:tc>
          <w:tcPr>
            <w:tcW w:w="2441" w:type="dxa"/>
            <w:vMerge w:val="restart"/>
            <w:vAlign w:val="center"/>
          </w:tcPr>
          <w:p w14:paraId="3471C6FA">
            <w:pPr>
              <w:pStyle w:val="8"/>
              <w:suppressLineNumbers w:val="0"/>
              <w:bidi w:val="0"/>
              <w:spacing w:before="0" w:beforeAutospacing="0" w:after="0" w:afterAutospacing="0"/>
              <w:ind w:left="0" w:right="0"/>
              <w:rPr>
                <w:rFonts w:hint="default"/>
                <w:highlight w:val="none"/>
              </w:rPr>
            </w:pPr>
            <w:r>
              <w:rPr>
                <w:rFonts w:hint="default"/>
                <w:highlight w:val="none"/>
              </w:rPr>
              <w:t>标准名称及级（类）别</w:t>
            </w:r>
          </w:p>
        </w:tc>
        <w:tc>
          <w:tcPr>
            <w:tcW w:w="1509" w:type="dxa"/>
            <w:vMerge w:val="restart"/>
            <w:vAlign w:val="center"/>
          </w:tcPr>
          <w:p w14:paraId="5794D002">
            <w:pPr>
              <w:pStyle w:val="8"/>
              <w:suppressLineNumbers w:val="0"/>
              <w:bidi w:val="0"/>
              <w:spacing w:before="0" w:beforeAutospacing="0" w:after="0" w:afterAutospacing="0"/>
              <w:ind w:left="0" w:right="0"/>
              <w:rPr>
                <w:rFonts w:hint="default"/>
                <w:highlight w:val="none"/>
              </w:rPr>
            </w:pPr>
            <w:r>
              <w:rPr>
                <w:rFonts w:hint="default"/>
                <w:highlight w:val="none"/>
              </w:rPr>
              <w:t>项目</w:t>
            </w:r>
          </w:p>
        </w:tc>
        <w:tc>
          <w:tcPr>
            <w:tcW w:w="3734" w:type="dxa"/>
            <w:gridSpan w:val="3"/>
            <w:vAlign w:val="center"/>
          </w:tcPr>
          <w:p w14:paraId="6B2EC116">
            <w:pPr>
              <w:pStyle w:val="8"/>
              <w:suppressLineNumbers w:val="0"/>
              <w:bidi w:val="0"/>
              <w:spacing w:before="0" w:beforeAutospacing="0" w:after="0" w:afterAutospacing="0"/>
              <w:ind w:left="0" w:right="0"/>
              <w:rPr>
                <w:rFonts w:hint="default"/>
                <w:highlight w:val="none"/>
              </w:rPr>
            </w:pPr>
            <w:r>
              <w:rPr>
                <w:rFonts w:hint="default"/>
                <w:highlight w:val="none"/>
              </w:rPr>
              <w:t>标准值</w:t>
            </w:r>
          </w:p>
        </w:tc>
      </w:tr>
      <w:tr w14:paraId="6A1DDA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78FED123">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464F09B1">
            <w:pPr>
              <w:pStyle w:val="8"/>
              <w:suppressLineNumbers w:val="0"/>
              <w:bidi w:val="0"/>
              <w:spacing w:before="0" w:beforeAutospacing="0" w:after="0" w:afterAutospacing="0"/>
              <w:ind w:left="0" w:right="0"/>
              <w:rPr>
                <w:rFonts w:hint="default"/>
                <w:highlight w:val="none"/>
              </w:rPr>
            </w:pPr>
          </w:p>
        </w:tc>
        <w:tc>
          <w:tcPr>
            <w:tcW w:w="1509" w:type="dxa"/>
            <w:vMerge w:val="continue"/>
            <w:vAlign w:val="center"/>
          </w:tcPr>
          <w:p w14:paraId="2A68E28F">
            <w:pPr>
              <w:pStyle w:val="8"/>
              <w:suppressLineNumbers w:val="0"/>
              <w:bidi w:val="0"/>
              <w:spacing w:before="0" w:beforeAutospacing="0" w:after="0" w:afterAutospacing="0"/>
              <w:ind w:left="0" w:right="0"/>
              <w:rPr>
                <w:rFonts w:hint="default"/>
                <w:highlight w:val="none"/>
              </w:rPr>
            </w:pPr>
          </w:p>
        </w:tc>
        <w:tc>
          <w:tcPr>
            <w:tcW w:w="1236" w:type="dxa"/>
            <w:vAlign w:val="center"/>
          </w:tcPr>
          <w:p w14:paraId="4A95FDD4">
            <w:pPr>
              <w:pStyle w:val="8"/>
              <w:suppressLineNumbers w:val="0"/>
              <w:bidi w:val="0"/>
              <w:spacing w:before="0" w:beforeAutospacing="0" w:after="0" w:afterAutospacing="0"/>
              <w:ind w:left="0" w:right="0"/>
              <w:rPr>
                <w:rFonts w:hint="default"/>
                <w:highlight w:val="none"/>
              </w:rPr>
            </w:pPr>
            <w:r>
              <w:rPr>
                <w:rFonts w:hint="default"/>
                <w:highlight w:val="none"/>
              </w:rPr>
              <w:t>单位</w:t>
            </w:r>
          </w:p>
        </w:tc>
        <w:tc>
          <w:tcPr>
            <w:tcW w:w="2498" w:type="dxa"/>
            <w:gridSpan w:val="2"/>
            <w:vAlign w:val="center"/>
          </w:tcPr>
          <w:p w14:paraId="3E16827A">
            <w:pPr>
              <w:pStyle w:val="8"/>
              <w:suppressLineNumbers w:val="0"/>
              <w:bidi w:val="0"/>
              <w:spacing w:before="0" w:beforeAutospacing="0" w:after="0" w:afterAutospacing="0"/>
              <w:ind w:left="0" w:right="0"/>
              <w:rPr>
                <w:rFonts w:hint="default"/>
                <w:highlight w:val="none"/>
              </w:rPr>
            </w:pPr>
            <w:r>
              <w:rPr>
                <w:rFonts w:hint="default"/>
                <w:highlight w:val="none"/>
              </w:rPr>
              <w:t>数值</w:t>
            </w:r>
          </w:p>
        </w:tc>
      </w:tr>
      <w:tr w14:paraId="7EF766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restart"/>
            <w:vAlign w:val="center"/>
          </w:tcPr>
          <w:p w14:paraId="02274EF3">
            <w:pPr>
              <w:pStyle w:val="8"/>
              <w:suppressLineNumbers w:val="0"/>
              <w:bidi w:val="0"/>
              <w:spacing w:before="0" w:beforeAutospacing="0" w:after="0" w:afterAutospacing="0"/>
              <w:ind w:left="0" w:right="0"/>
              <w:rPr>
                <w:rFonts w:hint="default"/>
                <w:highlight w:val="none"/>
              </w:rPr>
            </w:pPr>
            <w:r>
              <w:rPr>
                <w:rFonts w:hint="default"/>
                <w:highlight w:val="none"/>
              </w:rPr>
              <w:t>环境空气</w:t>
            </w:r>
          </w:p>
        </w:tc>
        <w:tc>
          <w:tcPr>
            <w:tcW w:w="2441" w:type="dxa"/>
            <w:vMerge w:val="restart"/>
            <w:vAlign w:val="center"/>
          </w:tcPr>
          <w:p w14:paraId="436AD0F1">
            <w:pPr>
              <w:pStyle w:val="8"/>
              <w:suppressLineNumbers w:val="0"/>
              <w:bidi w:val="0"/>
              <w:spacing w:before="0" w:beforeAutospacing="0" w:after="0" w:afterAutospacing="0"/>
              <w:ind w:left="0" w:right="0"/>
              <w:rPr>
                <w:rFonts w:hint="default"/>
                <w:highlight w:val="none"/>
              </w:rPr>
            </w:pPr>
            <w:r>
              <w:rPr>
                <w:rFonts w:hint="default"/>
                <w:highlight w:val="none"/>
              </w:rPr>
              <w:t>《环境空气质量标准》（GB3095-2012）</w:t>
            </w:r>
          </w:p>
        </w:tc>
        <w:tc>
          <w:tcPr>
            <w:tcW w:w="1509" w:type="dxa"/>
            <w:vMerge w:val="restart"/>
            <w:vAlign w:val="center"/>
          </w:tcPr>
          <w:p w14:paraId="5A41C2F0">
            <w:pPr>
              <w:pStyle w:val="8"/>
              <w:suppressLineNumbers w:val="0"/>
              <w:bidi w:val="0"/>
              <w:spacing w:before="0" w:beforeAutospacing="0" w:after="0" w:afterAutospacing="0"/>
              <w:ind w:left="0" w:right="0"/>
              <w:rPr>
                <w:rFonts w:hint="default"/>
                <w:highlight w:val="none"/>
              </w:rPr>
            </w:pPr>
            <w:r>
              <w:rPr>
                <w:rFonts w:hint="default"/>
                <w:highlight w:val="none"/>
              </w:rPr>
              <w:t>PM</w:t>
            </w:r>
            <w:r>
              <w:rPr>
                <w:rFonts w:hint="default"/>
                <w:highlight w:val="none"/>
                <w:vertAlign w:val="subscript"/>
              </w:rPr>
              <w:t>10</w:t>
            </w:r>
          </w:p>
        </w:tc>
        <w:tc>
          <w:tcPr>
            <w:tcW w:w="1236" w:type="dxa"/>
            <w:vMerge w:val="restart"/>
            <w:vAlign w:val="center"/>
          </w:tcPr>
          <w:p w14:paraId="416BDF0D">
            <w:pPr>
              <w:pStyle w:val="8"/>
              <w:suppressLineNumbers w:val="0"/>
              <w:bidi w:val="0"/>
              <w:spacing w:before="0" w:beforeAutospacing="0" w:after="0" w:afterAutospacing="0"/>
              <w:ind w:left="0" w:right="0"/>
              <w:rPr>
                <w:rFonts w:hint="default"/>
                <w:highlight w:val="none"/>
              </w:rPr>
            </w:pPr>
            <w:r>
              <w:rPr>
                <w:rFonts w:hint="default"/>
                <w:highlight w:val="none"/>
              </w:rPr>
              <w:t>μg/m</w:t>
            </w:r>
            <w:r>
              <w:rPr>
                <w:rFonts w:hint="default"/>
                <w:highlight w:val="none"/>
                <w:vertAlign w:val="superscript"/>
              </w:rPr>
              <w:t>3</w:t>
            </w:r>
          </w:p>
          <w:p w14:paraId="59C85195">
            <w:pPr>
              <w:pStyle w:val="8"/>
              <w:suppressLineNumbers w:val="0"/>
              <w:bidi w:val="0"/>
              <w:spacing w:before="0" w:beforeAutospacing="0" w:after="0" w:afterAutospacing="0"/>
              <w:ind w:left="0" w:right="0"/>
              <w:rPr>
                <w:rFonts w:hint="eastAsia" w:eastAsia="宋体"/>
                <w:highlight w:val="none"/>
                <w:lang w:eastAsia="zh-CN"/>
              </w:rPr>
            </w:pPr>
          </w:p>
        </w:tc>
        <w:tc>
          <w:tcPr>
            <w:tcW w:w="1452" w:type="dxa"/>
            <w:vAlign w:val="center"/>
          </w:tcPr>
          <w:p w14:paraId="2A1C946B">
            <w:pPr>
              <w:pStyle w:val="8"/>
              <w:suppressLineNumbers w:val="0"/>
              <w:bidi w:val="0"/>
              <w:spacing w:before="0" w:beforeAutospacing="0" w:after="0" w:afterAutospacing="0"/>
              <w:ind w:left="0" w:right="0"/>
              <w:rPr>
                <w:rFonts w:hint="default"/>
                <w:highlight w:val="none"/>
              </w:rPr>
            </w:pPr>
            <w:r>
              <w:rPr>
                <w:rFonts w:hint="default"/>
                <w:highlight w:val="none"/>
              </w:rPr>
              <w:t>24小时平均</w:t>
            </w:r>
          </w:p>
        </w:tc>
        <w:tc>
          <w:tcPr>
            <w:tcW w:w="1046" w:type="dxa"/>
            <w:vAlign w:val="center"/>
          </w:tcPr>
          <w:p w14:paraId="2E438770">
            <w:pPr>
              <w:pStyle w:val="8"/>
              <w:suppressLineNumbers w:val="0"/>
              <w:bidi w:val="0"/>
              <w:spacing w:before="0" w:beforeAutospacing="0" w:after="0" w:afterAutospacing="0"/>
              <w:ind w:left="0" w:right="0"/>
              <w:rPr>
                <w:rFonts w:hint="default"/>
                <w:highlight w:val="none"/>
              </w:rPr>
            </w:pPr>
            <w:r>
              <w:rPr>
                <w:rFonts w:hint="default"/>
                <w:highlight w:val="none"/>
              </w:rPr>
              <w:t>150</w:t>
            </w:r>
          </w:p>
        </w:tc>
      </w:tr>
      <w:tr w14:paraId="7F154E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12F451D5">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5BC67644">
            <w:pPr>
              <w:pStyle w:val="8"/>
              <w:suppressLineNumbers w:val="0"/>
              <w:bidi w:val="0"/>
              <w:spacing w:before="0" w:beforeAutospacing="0" w:after="0" w:afterAutospacing="0"/>
              <w:ind w:left="0" w:right="0"/>
              <w:rPr>
                <w:rFonts w:hint="default"/>
                <w:highlight w:val="none"/>
              </w:rPr>
            </w:pPr>
          </w:p>
        </w:tc>
        <w:tc>
          <w:tcPr>
            <w:tcW w:w="1509" w:type="dxa"/>
            <w:vMerge w:val="continue"/>
            <w:vAlign w:val="center"/>
          </w:tcPr>
          <w:p w14:paraId="227F8B4B">
            <w:pPr>
              <w:pStyle w:val="8"/>
              <w:suppressLineNumbers w:val="0"/>
              <w:bidi w:val="0"/>
              <w:spacing w:before="0" w:beforeAutospacing="0" w:after="0" w:afterAutospacing="0"/>
              <w:ind w:left="0" w:right="0"/>
              <w:rPr>
                <w:rFonts w:hint="default"/>
                <w:highlight w:val="none"/>
              </w:rPr>
            </w:pPr>
          </w:p>
        </w:tc>
        <w:tc>
          <w:tcPr>
            <w:tcW w:w="1236" w:type="dxa"/>
            <w:vMerge w:val="continue"/>
            <w:vAlign w:val="center"/>
          </w:tcPr>
          <w:p w14:paraId="71A90728">
            <w:pPr>
              <w:pStyle w:val="8"/>
              <w:suppressLineNumbers w:val="0"/>
              <w:bidi w:val="0"/>
              <w:spacing w:before="0" w:beforeAutospacing="0" w:after="0" w:afterAutospacing="0"/>
              <w:ind w:left="0" w:right="0"/>
              <w:rPr>
                <w:rFonts w:hint="default"/>
                <w:highlight w:val="none"/>
              </w:rPr>
            </w:pPr>
          </w:p>
        </w:tc>
        <w:tc>
          <w:tcPr>
            <w:tcW w:w="1452" w:type="dxa"/>
            <w:vAlign w:val="center"/>
          </w:tcPr>
          <w:p w14:paraId="084D9311">
            <w:pPr>
              <w:pStyle w:val="8"/>
              <w:suppressLineNumbers w:val="0"/>
              <w:bidi w:val="0"/>
              <w:spacing w:before="0" w:beforeAutospacing="0" w:after="0" w:afterAutospacing="0"/>
              <w:ind w:left="0" w:right="0"/>
              <w:rPr>
                <w:rFonts w:hint="default"/>
                <w:highlight w:val="none"/>
              </w:rPr>
            </w:pPr>
            <w:r>
              <w:rPr>
                <w:rFonts w:hint="default"/>
                <w:highlight w:val="none"/>
              </w:rPr>
              <w:t>年平均</w:t>
            </w:r>
          </w:p>
        </w:tc>
        <w:tc>
          <w:tcPr>
            <w:tcW w:w="1046" w:type="dxa"/>
            <w:vAlign w:val="center"/>
          </w:tcPr>
          <w:p w14:paraId="78BE6142">
            <w:pPr>
              <w:pStyle w:val="8"/>
              <w:suppressLineNumbers w:val="0"/>
              <w:bidi w:val="0"/>
              <w:spacing w:before="0" w:beforeAutospacing="0" w:after="0" w:afterAutospacing="0"/>
              <w:ind w:left="0" w:right="0"/>
              <w:rPr>
                <w:rFonts w:hint="default"/>
                <w:highlight w:val="none"/>
              </w:rPr>
            </w:pPr>
            <w:r>
              <w:rPr>
                <w:rFonts w:hint="default"/>
                <w:highlight w:val="none"/>
              </w:rPr>
              <w:t>70</w:t>
            </w:r>
          </w:p>
        </w:tc>
      </w:tr>
      <w:tr w14:paraId="5FFCDA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48AC557C">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2FFF2E93">
            <w:pPr>
              <w:pStyle w:val="8"/>
              <w:suppressLineNumbers w:val="0"/>
              <w:bidi w:val="0"/>
              <w:spacing w:before="0" w:beforeAutospacing="0" w:after="0" w:afterAutospacing="0"/>
              <w:ind w:left="0" w:right="0"/>
              <w:rPr>
                <w:rFonts w:hint="default"/>
                <w:highlight w:val="none"/>
              </w:rPr>
            </w:pPr>
          </w:p>
        </w:tc>
        <w:tc>
          <w:tcPr>
            <w:tcW w:w="1509" w:type="dxa"/>
            <w:vMerge w:val="restart"/>
            <w:vAlign w:val="center"/>
          </w:tcPr>
          <w:p w14:paraId="1D163AA7">
            <w:pPr>
              <w:pStyle w:val="8"/>
              <w:suppressLineNumbers w:val="0"/>
              <w:bidi w:val="0"/>
              <w:spacing w:before="0" w:beforeAutospacing="0" w:after="0" w:afterAutospacing="0"/>
              <w:ind w:left="0" w:right="0"/>
              <w:rPr>
                <w:rFonts w:hint="default"/>
                <w:highlight w:val="none"/>
              </w:rPr>
            </w:pPr>
            <w:r>
              <w:rPr>
                <w:rFonts w:hint="default"/>
                <w:highlight w:val="none"/>
              </w:rPr>
              <w:t>PM</w:t>
            </w:r>
            <w:r>
              <w:rPr>
                <w:rFonts w:hint="default"/>
                <w:highlight w:val="none"/>
                <w:vertAlign w:val="subscript"/>
              </w:rPr>
              <w:t>2.5</w:t>
            </w:r>
          </w:p>
        </w:tc>
        <w:tc>
          <w:tcPr>
            <w:tcW w:w="1236" w:type="dxa"/>
            <w:vMerge w:val="continue"/>
            <w:vAlign w:val="center"/>
          </w:tcPr>
          <w:p w14:paraId="3B499DEB">
            <w:pPr>
              <w:pStyle w:val="8"/>
              <w:suppressLineNumbers w:val="0"/>
              <w:bidi w:val="0"/>
              <w:spacing w:before="0" w:beforeAutospacing="0" w:after="0" w:afterAutospacing="0"/>
              <w:ind w:left="0" w:right="0"/>
              <w:rPr>
                <w:rFonts w:hint="default"/>
                <w:highlight w:val="none"/>
              </w:rPr>
            </w:pPr>
          </w:p>
        </w:tc>
        <w:tc>
          <w:tcPr>
            <w:tcW w:w="1452" w:type="dxa"/>
            <w:vAlign w:val="center"/>
          </w:tcPr>
          <w:p w14:paraId="558617F9">
            <w:pPr>
              <w:pStyle w:val="8"/>
              <w:suppressLineNumbers w:val="0"/>
              <w:bidi w:val="0"/>
              <w:spacing w:before="0" w:beforeAutospacing="0" w:after="0" w:afterAutospacing="0"/>
              <w:ind w:left="0" w:right="0"/>
              <w:rPr>
                <w:rFonts w:hint="default"/>
                <w:highlight w:val="none"/>
              </w:rPr>
            </w:pPr>
            <w:r>
              <w:rPr>
                <w:rFonts w:hint="default"/>
                <w:highlight w:val="none"/>
              </w:rPr>
              <w:t>24小时平均</w:t>
            </w:r>
          </w:p>
        </w:tc>
        <w:tc>
          <w:tcPr>
            <w:tcW w:w="1046" w:type="dxa"/>
            <w:vAlign w:val="center"/>
          </w:tcPr>
          <w:p w14:paraId="74E62688">
            <w:pPr>
              <w:pStyle w:val="8"/>
              <w:suppressLineNumbers w:val="0"/>
              <w:bidi w:val="0"/>
              <w:spacing w:before="0" w:beforeAutospacing="0" w:after="0" w:afterAutospacing="0"/>
              <w:ind w:left="0" w:right="0"/>
              <w:rPr>
                <w:rFonts w:hint="default"/>
                <w:highlight w:val="none"/>
              </w:rPr>
            </w:pPr>
            <w:r>
              <w:rPr>
                <w:rFonts w:hint="default"/>
                <w:highlight w:val="none"/>
              </w:rPr>
              <w:t>75</w:t>
            </w:r>
          </w:p>
        </w:tc>
      </w:tr>
      <w:tr w14:paraId="3E918B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5AC2839D">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63A0AAAF">
            <w:pPr>
              <w:pStyle w:val="8"/>
              <w:suppressLineNumbers w:val="0"/>
              <w:bidi w:val="0"/>
              <w:spacing w:before="0" w:beforeAutospacing="0" w:after="0" w:afterAutospacing="0"/>
              <w:ind w:left="0" w:right="0"/>
              <w:rPr>
                <w:rFonts w:hint="default"/>
                <w:highlight w:val="none"/>
              </w:rPr>
            </w:pPr>
          </w:p>
        </w:tc>
        <w:tc>
          <w:tcPr>
            <w:tcW w:w="1509" w:type="dxa"/>
            <w:vMerge w:val="continue"/>
            <w:vAlign w:val="center"/>
          </w:tcPr>
          <w:p w14:paraId="2CA89CAB">
            <w:pPr>
              <w:pStyle w:val="8"/>
              <w:suppressLineNumbers w:val="0"/>
              <w:bidi w:val="0"/>
              <w:spacing w:before="0" w:beforeAutospacing="0" w:after="0" w:afterAutospacing="0"/>
              <w:ind w:left="0" w:right="0"/>
              <w:rPr>
                <w:rFonts w:hint="default"/>
                <w:highlight w:val="none"/>
              </w:rPr>
            </w:pPr>
          </w:p>
        </w:tc>
        <w:tc>
          <w:tcPr>
            <w:tcW w:w="1236" w:type="dxa"/>
            <w:vMerge w:val="continue"/>
            <w:vAlign w:val="center"/>
          </w:tcPr>
          <w:p w14:paraId="4E400DF8">
            <w:pPr>
              <w:pStyle w:val="8"/>
              <w:suppressLineNumbers w:val="0"/>
              <w:bidi w:val="0"/>
              <w:spacing w:before="0" w:beforeAutospacing="0" w:after="0" w:afterAutospacing="0"/>
              <w:ind w:left="0" w:right="0"/>
              <w:rPr>
                <w:rFonts w:hint="default"/>
                <w:highlight w:val="none"/>
              </w:rPr>
            </w:pPr>
          </w:p>
        </w:tc>
        <w:tc>
          <w:tcPr>
            <w:tcW w:w="1452" w:type="dxa"/>
            <w:vAlign w:val="center"/>
          </w:tcPr>
          <w:p w14:paraId="02CFFDC6">
            <w:pPr>
              <w:pStyle w:val="8"/>
              <w:suppressLineNumbers w:val="0"/>
              <w:bidi w:val="0"/>
              <w:spacing w:before="0" w:beforeAutospacing="0" w:after="0" w:afterAutospacing="0"/>
              <w:ind w:left="0" w:right="0"/>
              <w:rPr>
                <w:rFonts w:hint="default"/>
                <w:highlight w:val="none"/>
              </w:rPr>
            </w:pPr>
            <w:r>
              <w:rPr>
                <w:rFonts w:hint="default"/>
                <w:highlight w:val="none"/>
              </w:rPr>
              <w:t>年平均</w:t>
            </w:r>
          </w:p>
        </w:tc>
        <w:tc>
          <w:tcPr>
            <w:tcW w:w="1046" w:type="dxa"/>
            <w:vAlign w:val="center"/>
          </w:tcPr>
          <w:p w14:paraId="4CBD69DC">
            <w:pPr>
              <w:pStyle w:val="8"/>
              <w:suppressLineNumbers w:val="0"/>
              <w:bidi w:val="0"/>
              <w:spacing w:before="0" w:beforeAutospacing="0" w:after="0" w:afterAutospacing="0"/>
              <w:ind w:left="0" w:right="0"/>
              <w:rPr>
                <w:rFonts w:hint="default"/>
                <w:highlight w:val="none"/>
              </w:rPr>
            </w:pPr>
            <w:r>
              <w:rPr>
                <w:rFonts w:hint="default"/>
                <w:highlight w:val="none"/>
              </w:rPr>
              <w:t>35</w:t>
            </w:r>
          </w:p>
        </w:tc>
      </w:tr>
      <w:tr w14:paraId="2248A6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3BBCA98F">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7C0E9E0C">
            <w:pPr>
              <w:pStyle w:val="8"/>
              <w:suppressLineNumbers w:val="0"/>
              <w:bidi w:val="0"/>
              <w:spacing w:before="0" w:beforeAutospacing="0" w:after="0" w:afterAutospacing="0"/>
              <w:ind w:left="0" w:right="0"/>
              <w:rPr>
                <w:rFonts w:hint="default"/>
                <w:highlight w:val="none"/>
              </w:rPr>
            </w:pPr>
          </w:p>
        </w:tc>
        <w:tc>
          <w:tcPr>
            <w:tcW w:w="1509" w:type="dxa"/>
            <w:vMerge w:val="restart"/>
            <w:vAlign w:val="center"/>
          </w:tcPr>
          <w:p w14:paraId="66312DA2">
            <w:pPr>
              <w:pStyle w:val="8"/>
              <w:suppressLineNumbers w:val="0"/>
              <w:bidi w:val="0"/>
              <w:spacing w:before="0" w:beforeAutospacing="0" w:after="0" w:afterAutospacing="0"/>
              <w:ind w:left="0" w:right="0"/>
              <w:rPr>
                <w:rFonts w:hint="default"/>
                <w:highlight w:val="none"/>
              </w:rPr>
            </w:pPr>
            <w:r>
              <w:rPr>
                <w:rFonts w:hint="default"/>
                <w:highlight w:val="none"/>
              </w:rPr>
              <w:t>TSP</w:t>
            </w:r>
          </w:p>
        </w:tc>
        <w:tc>
          <w:tcPr>
            <w:tcW w:w="1236" w:type="dxa"/>
            <w:vMerge w:val="continue"/>
            <w:vAlign w:val="center"/>
          </w:tcPr>
          <w:p w14:paraId="7C7626EE">
            <w:pPr>
              <w:pStyle w:val="8"/>
              <w:suppressLineNumbers w:val="0"/>
              <w:bidi w:val="0"/>
              <w:spacing w:before="0" w:beforeAutospacing="0" w:after="0" w:afterAutospacing="0"/>
              <w:ind w:left="0" w:right="0"/>
              <w:rPr>
                <w:rFonts w:hint="default"/>
                <w:highlight w:val="none"/>
              </w:rPr>
            </w:pPr>
          </w:p>
        </w:tc>
        <w:tc>
          <w:tcPr>
            <w:tcW w:w="1452" w:type="dxa"/>
            <w:vAlign w:val="center"/>
          </w:tcPr>
          <w:p w14:paraId="458A7D6D">
            <w:pPr>
              <w:pStyle w:val="8"/>
              <w:suppressLineNumbers w:val="0"/>
              <w:bidi w:val="0"/>
              <w:spacing w:before="0" w:beforeAutospacing="0" w:after="0" w:afterAutospacing="0"/>
              <w:ind w:left="0" w:right="0"/>
              <w:rPr>
                <w:rFonts w:hint="default"/>
                <w:highlight w:val="none"/>
              </w:rPr>
            </w:pPr>
            <w:r>
              <w:rPr>
                <w:rFonts w:hint="default"/>
                <w:highlight w:val="none"/>
              </w:rPr>
              <w:t>24小时平均</w:t>
            </w:r>
          </w:p>
        </w:tc>
        <w:tc>
          <w:tcPr>
            <w:tcW w:w="1046" w:type="dxa"/>
            <w:vAlign w:val="center"/>
          </w:tcPr>
          <w:p w14:paraId="52CB3BF9">
            <w:pPr>
              <w:pStyle w:val="8"/>
              <w:suppressLineNumbers w:val="0"/>
              <w:bidi w:val="0"/>
              <w:spacing w:before="0" w:beforeAutospacing="0" w:after="0" w:afterAutospacing="0"/>
              <w:ind w:left="0" w:right="0"/>
              <w:rPr>
                <w:rFonts w:hint="default"/>
                <w:highlight w:val="none"/>
              </w:rPr>
            </w:pPr>
            <w:r>
              <w:rPr>
                <w:rFonts w:hint="default"/>
                <w:highlight w:val="none"/>
              </w:rPr>
              <w:t>300</w:t>
            </w:r>
          </w:p>
        </w:tc>
      </w:tr>
      <w:tr w14:paraId="593DA3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3EC47112">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0B398F26">
            <w:pPr>
              <w:pStyle w:val="8"/>
              <w:suppressLineNumbers w:val="0"/>
              <w:bidi w:val="0"/>
              <w:spacing w:before="0" w:beforeAutospacing="0" w:after="0" w:afterAutospacing="0"/>
              <w:ind w:left="0" w:right="0"/>
              <w:rPr>
                <w:rFonts w:hint="default"/>
                <w:highlight w:val="none"/>
              </w:rPr>
            </w:pPr>
          </w:p>
        </w:tc>
        <w:tc>
          <w:tcPr>
            <w:tcW w:w="1509" w:type="dxa"/>
            <w:vMerge w:val="continue"/>
            <w:vAlign w:val="center"/>
          </w:tcPr>
          <w:p w14:paraId="2DB80D23">
            <w:pPr>
              <w:pStyle w:val="8"/>
              <w:suppressLineNumbers w:val="0"/>
              <w:bidi w:val="0"/>
              <w:spacing w:before="0" w:beforeAutospacing="0" w:after="0" w:afterAutospacing="0"/>
              <w:ind w:left="0" w:right="0"/>
              <w:rPr>
                <w:rFonts w:hint="default"/>
                <w:highlight w:val="none"/>
              </w:rPr>
            </w:pPr>
          </w:p>
        </w:tc>
        <w:tc>
          <w:tcPr>
            <w:tcW w:w="1236" w:type="dxa"/>
            <w:vMerge w:val="continue"/>
            <w:vAlign w:val="center"/>
          </w:tcPr>
          <w:p w14:paraId="2D50E3C3">
            <w:pPr>
              <w:pStyle w:val="8"/>
              <w:suppressLineNumbers w:val="0"/>
              <w:bidi w:val="0"/>
              <w:spacing w:before="0" w:beforeAutospacing="0" w:after="0" w:afterAutospacing="0"/>
              <w:ind w:left="0" w:right="0"/>
              <w:rPr>
                <w:rFonts w:hint="default"/>
                <w:highlight w:val="none"/>
              </w:rPr>
            </w:pPr>
          </w:p>
        </w:tc>
        <w:tc>
          <w:tcPr>
            <w:tcW w:w="1452" w:type="dxa"/>
            <w:vAlign w:val="center"/>
          </w:tcPr>
          <w:p w14:paraId="2F576524">
            <w:pPr>
              <w:pStyle w:val="8"/>
              <w:suppressLineNumbers w:val="0"/>
              <w:bidi w:val="0"/>
              <w:spacing w:before="0" w:beforeAutospacing="0" w:after="0" w:afterAutospacing="0"/>
              <w:ind w:left="0" w:right="0"/>
              <w:rPr>
                <w:rFonts w:hint="default"/>
                <w:highlight w:val="none"/>
              </w:rPr>
            </w:pPr>
            <w:r>
              <w:rPr>
                <w:rFonts w:hint="default"/>
                <w:highlight w:val="none"/>
              </w:rPr>
              <w:t>年平均</w:t>
            </w:r>
          </w:p>
        </w:tc>
        <w:tc>
          <w:tcPr>
            <w:tcW w:w="1046" w:type="dxa"/>
            <w:vAlign w:val="center"/>
          </w:tcPr>
          <w:p w14:paraId="32622791">
            <w:pPr>
              <w:pStyle w:val="8"/>
              <w:suppressLineNumbers w:val="0"/>
              <w:bidi w:val="0"/>
              <w:spacing w:before="0" w:beforeAutospacing="0" w:after="0" w:afterAutospacing="0"/>
              <w:ind w:left="0" w:right="0"/>
              <w:rPr>
                <w:rFonts w:hint="default"/>
                <w:highlight w:val="none"/>
              </w:rPr>
            </w:pPr>
            <w:r>
              <w:rPr>
                <w:rFonts w:hint="default"/>
                <w:highlight w:val="none"/>
              </w:rPr>
              <w:t>200</w:t>
            </w:r>
          </w:p>
        </w:tc>
      </w:tr>
      <w:tr w14:paraId="54A718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568FA704">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7C131288">
            <w:pPr>
              <w:pStyle w:val="8"/>
              <w:suppressLineNumbers w:val="0"/>
              <w:bidi w:val="0"/>
              <w:spacing w:before="0" w:beforeAutospacing="0" w:after="0" w:afterAutospacing="0"/>
              <w:ind w:left="0" w:right="0"/>
              <w:rPr>
                <w:rFonts w:hint="default"/>
                <w:highlight w:val="none"/>
              </w:rPr>
            </w:pPr>
          </w:p>
        </w:tc>
        <w:tc>
          <w:tcPr>
            <w:tcW w:w="1509" w:type="dxa"/>
            <w:vMerge w:val="restart"/>
            <w:vAlign w:val="center"/>
          </w:tcPr>
          <w:p w14:paraId="46B1514C">
            <w:pPr>
              <w:pStyle w:val="8"/>
              <w:suppressLineNumbers w:val="0"/>
              <w:bidi w:val="0"/>
              <w:spacing w:before="0" w:beforeAutospacing="0" w:after="0" w:afterAutospacing="0"/>
              <w:ind w:left="0" w:right="0"/>
              <w:rPr>
                <w:rFonts w:hint="default"/>
                <w:highlight w:val="none"/>
              </w:rPr>
            </w:pPr>
            <w:r>
              <w:rPr>
                <w:rFonts w:hint="default"/>
                <w:highlight w:val="none"/>
              </w:rPr>
              <w:t>NO</w:t>
            </w:r>
            <w:r>
              <w:rPr>
                <w:rFonts w:hint="default"/>
                <w:highlight w:val="none"/>
                <w:vertAlign w:val="subscript"/>
              </w:rPr>
              <w:t>2</w:t>
            </w:r>
          </w:p>
        </w:tc>
        <w:tc>
          <w:tcPr>
            <w:tcW w:w="1236" w:type="dxa"/>
            <w:vMerge w:val="continue"/>
            <w:vAlign w:val="center"/>
          </w:tcPr>
          <w:p w14:paraId="3F3341AE">
            <w:pPr>
              <w:pStyle w:val="8"/>
              <w:suppressLineNumbers w:val="0"/>
              <w:bidi w:val="0"/>
              <w:spacing w:before="0" w:beforeAutospacing="0" w:after="0" w:afterAutospacing="0"/>
              <w:ind w:left="0" w:right="0"/>
              <w:rPr>
                <w:rFonts w:hint="default"/>
                <w:highlight w:val="none"/>
              </w:rPr>
            </w:pPr>
          </w:p>
        </w:tc>
        <w:tc>
          <w:tcPr>
            <w:tcW w:w="1452" w:type="dxa"/>
            <w:vAlign w:val="center"/>
          </w:tcPr>
          <w:p w14:paraId="56852A46">
            <w:pPr>
              <w:pStyle w:val="8"/>
              <w:suppressLineNumbers w:val="0"/>
              <w:bidi w:val="0"/>
              <w:spacing w:before="0" w:beforeAutospacing="0" w:after="0" w:afterAutospacing="0"/>
              <w:ind w:left="0" w:right="0"/>
              <w:rPr>
                <w:rFonts w:hint="default"/>
                <w:highlight w:val="none"/>
              </w:rPr>
            </w:pPr>
            <w:r>
              <w:rPr>
                <w:rFonts w:hint="default"/>
                <w:highlight w:val="none"/>
              </w:rPr>
              <w:t>1小时平均</w:t>
            </w:r>
          </w:p>
        </w:tc>
        <w:tc>
          <w:tcPr>
            <w:tcW w:w="1046" w:type="dxa"/>
            <w:vAlign w:val="center"/>
          </w:tcPr>
          <w:p w14:paraId="54836D86">
            <w:pPr>
              <w:pStyle w:val="8"/>
              <w:suppressLineNumbers w:val="0"/>
              <w:bidi w:val="0"/>
              <w:spacing w:before="0" w:beforeAutospacing="0" w:after="0" w:afterAutospacing="0"/>
              <w:ind w:left="0" w:right="0"/>
              <w:rPr>
                <w:rFonts w:hint="default"/>
                <w:highlight w:val="none"/>
              </w:rPr>
            </w:pPr>
            <w:r>
              <w:rPr>
                <w:rFonts w:hint="default"/>
                <w:highlight w:val="none"/>
              </w:rPr>
              <w:t>200</w:t>
            </w:r>
          </w:p>
        </w:tc>
      </w:tr>
      <w:tr w14:paraId="1CFAD9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1D4A7D45">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204A5A85">
            <w:pPr>
              <w:pStyle w:val="8"/>
              <w:suppressLineNumbers w:val="0"/>
              <w:bidi w:val="0"/>
              <w:spacing w:before="0" w:beforeAutospacing="0" w:after="0" w:afterAutospacing="0"/>
              <w:ind w:left="0" w:right="0"/>
              <w:rPr>
                <w:rFonts w:hint="default"/>
                <w:highlight w:val="none"/>
              </w:rPr>
            </w:pPr>
          </w:p>
        </w:tc>
        <w:tc>
          <w:tcPr>
            <w:tcW w:w="1509" w:type="dxa"/>
            <w:vMerge w:val="continue"/>
            <w:vAlign w:val="center"/>
          </w:tcPr>
          <w:p w14:paraId="3A969CF7">
            <w:pPr>
              <w:pStyle w:val="8"/>
              <w:suppressLineNumbers w:val="0"/>
              <w:bidi w:val="0"/>
              <w:spacing w:before="0" w:beforeAutospacing="0" w:after="0" w:afterAutospacing="0"/>
              <w:ind w:left="0" w:right="0"/>
              <w:rPr>
                <w:rFonts w:hint="default"/>
                <w:highlight w:val="none"/>
              </w:rPr>
            </w:pPr>
          </w:p>
        </w:tc>
        <w:tc>
          <w:tcPr>
            <w:tcW w:w="1236" w:type="dxa"/>
            <w:vMerge w:val="continue"/>
            <w:vAlign w:val="center"/>
          </w:tcPr>
          <w:p w14:paraId="5FC2CC60">
            <w:pPr>
              <w:pStyle w:val="8"/>
              <w:suppressLineNumbers w:val="0"/>
              <w:bidi w:val="0"/>
              <w:spacing w:before="0" w:beforeAutospacing="0" w:after="0" w:afterAutospacing="0"/>
              <w:ind w:left="0" w:right="0"/>
              <w:rPr>
                <w:rFonts w:hint="default"/>
                <w:highlight w:val="none"/>
              </w:rPr>
            </w:pPr>
          </w:p>
        </w:tc>
        <w:tc>
          <w:tcPr>
            <w:tcW w:w="1452" w:type="dxa"/>
            <w:vAlign w:val="center"/>
          </w:tcPr>
          <w:p w14:paraId="29325034">
            <w:pPr>
              <w:pStyle w:val="8"/>
              <w:suppressLineNumbers w:val="0"/>
              <w:bidi w:val="0"/>
              <w:spacing w:before="0" w:beforeAutospacing="0" w:after="0" w:afterAutospacing="0"/>
              <w:ind w:left="0" w:right="0"/>
              <w:rPr>
                <w:rFonts w:hint="default"/>
                <w:highlight w:val="none"/>
              </w:rPr>
            </w:pPr>
            <w:r>
              <w:rPr>
                <w:rFonts w:hint="default"/>
                <w:highlight w:val="none"/>
              </w:rPr>
              <w:t>24小时平均</w:t>
            </w:r>
          </w:p>
        </w:tc>
        <w:tc>
          <w:tcPr>
            <w:tcW w:w="1046" w:type="dxa"/>
            <w:vAlign w:val="center"/>
          </w:tcPr>
          <w:p w14:paraId="18E7FFB0">
            <w:pPr>
              <w:pStyle w:val="8"/>
              <w:suppressLineNumbers w:val="0"/>
              <w:bidi w:val="0"/>
              <w:spacing w:before="0" w:beforeAutospacing="0" w:after="0" w:afterAutospacing="0"/>
              <w:ind w:left="0" w:right="0"/>
              <w:rPr>
                <w:rFonts w:hint="default"/>
                <w:highlight w:val="none"/>
              </w:rPr>
            </w:pPr>
            <w:r>
              <w:rPr>
                <w:rFonts w:hint="default"/>
                <w:highlight w:val="none"/>
              </w:rPr>
              <w:t>80</w:t>
            </w:r>
          </w:p>
        </w:tc>
      </w:tr>
      <w:tr w14:paraId="77E161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12423DDC">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6E6624A8">
            <w:pPr>
              <w:pStyle w:val="8"/>
              <w:suppressLineNumbers w:val="0"/>
              <w:bidi w:val="0"/>
              <w:spacing w:before="0" w:beforeAutospacing="0" w:after="0" w:afterAutospacing="0"/>
              <w:ind w:left="0" w:right="0"/>
              <w:rPr>
                <w:rFonts w:hint="default"/>
                <w:highlight w:val="none"/>
              </w:rPr>
            </w:pPr>
          </w:p>
        </w:tc>
        <w:tc>
          <w:tcPr>
            <w:tcW w:w="1509" w:type="dxa"/>
            <w:vMerge w:val="continue"/>
            <w:vAlign w:val="center"/>
          </w:tcPr>
          <w:p w14:paraId="158DE7D2">
            <w:pPr>
              <w:pStyle w:val="8"/>
              <w:suppressLineNumbers w:val="0"/>
              <w:bidi w:val="0"/>
              <w:spacing w:before="0" w:beforeAutospacing="0" w:after="0" w:afterAutospacing="0"/>
              <w:ind w:left="0" w:right="0"/>
              <w:rPr>
                <w:rFonts w:hint="default"/>
                <w:highlight w:val="none"/>
              </w:rPr>
            </w:pPr>
          </w:p>
        </w:tc>
        <w:tc>
          <w:tcPr>
            <w:tcW w:w="1236" w:type="dxa"/>
            <w:vMerge w:val="continue"/>
            <w:vAlign w:val="center"/>
          </w:tcPr>
          <w:p w14:paraId="60FBCA50">
            <w:pPr>
              <w:pStyle w:val="8"/>
              <w:suppressLineNumbers w:val="0"/>
              <w:bidi w:val="0"/>
              <w:spacing w:before="0" w:beforeAutospacing="0" w:after="0" w:afterAutospacing="0"/>
              <w:ind w:left="0" w:right="0"/>
              <w:rPr>
                <w:rFonts w:hint="default"/>
                <w:highlight w:val="none"/>
              </w:rPr>
            </w:pPr>
          </w:p>
        </w:tc>
        <w:tc>
          <w:tcPr>
            <w:tcW w:w="1452" w:type="dxa"/>
            <w:vAlign w:val="center"/>
          </w:tcPr>
          <w:p w14:paraId="27A508D9">
            <w:pPr>
              <w:pStyle w:val="8"/>
              <w:suppressLineNumbers w:val="0"/>
              <w:bidi w:val="0"/>
              <w:spacing w:before="0" w:beforeAutospacing="0" w:after="0" w:afterAutospacing="0"/>
              <w:ind w:left="0" w:right="0"/>
              <w:rPr>
                <w:rFonts w:hint="default"/>
                <w:highlight w:val="none"/>
              </w:rPr>
            </w:pPr>
            <w:r>
              <w:rPr>
                <w:rFonts w:hint="default"/>
                <w:highlight w:val="none"/>
              </w:rPr>
              <w:t>年平均</w:t>
            </w:r>
          </w:p>
        </w:tc>
        <w:tc>
          <w:tcPr>
            <w:tcW w:w="1046" w:type="dxa"/>
            <w:vAlign w:val="center"/>
          </w:tcPr>
          <w:p w14:paraId="42DCA3B3">
            <w:pPr>
              <w:pStyle w:val="8"/>
              <w:suppressLineNumbers w:val="0"/>
              <w:bidi w:val="0"/>
              <w:spacing w:before="0" w:beforeAutospacing="0" w:after="0" w:afterAutospacing="0"/>
              <w:ind w:left="0" w:right="0"/>
              <w:rPr>
                <w:rFonts w:hint="default"/>
                <w:highlight w:val="none"/>
              </w:rPr>
            </w:pPr>
            <w:r>
              <w:rPr>
                <w:rFonts w:hint="default"/>
                <w:highlight w:val="none"/>
              </w:rPr>
              <w:t>40</w:t>
            </w:r>
          </w:p>
        </w:tc>
      </w:tr>
      <w:tr w14:paraId="7864DB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2BF06D31">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2D9544B5">
            <w:pPr>
              <w:pStyle w:val="8"/>
              <w:suppressLineNumbers w:val="0"/>
              <w:bidi w:val="0"/>
              <w:spacing w:before="0" w:beforeAutospacing="0" w:after="0" w:afterAutospacing="0"/>
              <w:ind w:left="0" w:right="0"/>
              <w:rPr>
                <w:rFonts w:hint="default"/>
                <w:highlight w:val="none"/>
              </w:rPr>
            </w:pPr>
          </w:p>
        </w:tc>
        <w:tc>
          <w:tcPr>
            <w:tcW w:w="1509" w:type="dxa"/>
            <w:vMerge w:val="restart"/>
            <w:vAlign w:val="center"/>
          </w:tcPr>
          <w:p w14:paraId="3AC5A311">
            <w:pPr>
              <w:pStyle w:val="8"/>
              <w:suppressLineNumbers w:val="0"/>
              <w:bidi w:val="0"/>
              <w:spacing w:before="0" w:beforeAutospacing="0" w:after="0" w:afterAutospacing="0"/>
              <w:ind w:left="0" w:right="0"/>
              <w:rPr>
                <w:rFonts w:hint="default"/>
                <w:highlight w:val="none"/>
              </w:rPr>
            </w:pPr>
            <w:r>
              <w:rPr>
                <w:rFonts w:hint="default"/>
                <w:highlight w:val="none"/>
              </w:rPr>
              <w:t>NOx</w:t>
            </w:r>
          </w:p>
        </w:tc>
        <w:tc>
          <w:tcPr>
            <w:tcW w:w="1236" w:type="dxa"/>
            <w:vMerge w:val="continue"/>
            <w:vAlign w:val="center"/>
          </w:tcPr>
          <w:p w14:paraId="63FAEB14">
            <w:pPr>
              <w:pStyle w:val="8"/>
              <w:suppressLineNumbers w:val="0"/>
              <w:bidi w:val="0"/>
              <w:spacing w:before="0" w:beforeAutospacing="0" w:after="0" w:afterAutospacing="0"/>
              <w:ind w:left="0" w:right="0"/>
              <w:rPr>
                <w:rFonts w:hint="eastAsia" w:eastAsia="宋体"/>
                <w:highlight w:val="none"/>
                <w:lang w:eastAsia="zh-CN"/>
              </w:rPr>
            </w:pPr>
          </w:p>
        </w:tc>
        <w:tc>
          <w:tcPr>
            <w:tcW w:w="1452" w:type="dxa"/>
          </w:tcPr>
          <w:p w14:paraId="5E73F8EF">
            <w:pPr>
              <w:pStyle w:val="8"/>
              <w:suppressLineNumbers w:val="0"/>
              <w:bidi w:val="0"/>
              <w:spacing w:before="0" w:beforeAutospacing="0" w:after="0" w:afterAutospacing="0"/>
              <w:ind w:left="0" w:right="0"/>
              <w:rPr>
                <w:rFonts w:hint="default"/>
                <w:highlight w:val="none"/>
              </w:rPr>
            </w:pPr>
            <w:r>
              <w:rPr>
                <w:rFonts w:hint="default"/>
                <w:highlight w:val="none"/>
              </w:rPr>
              <w:t>1小时平均</w:t>
            </w:r>
          </w:p>
        </w:tc>
        <w:tc>
          <w:tcPr>
            <w:tcW w:w="1046" w:type="dxa"/>
            <w:vAlign w:val="center"/>
          </w:tcPr>
          <w:p w14:paraId="249A08EA">
            <w:pPr>
              <w:pStyle w:val="8"/>
              <w:suppressLineNumbers w:val="0"/>
              <w:bidi w:val="0"/>
              <w:spacing w:before="0" w:beforeAutospacing="0" w:after="0" w:afterAutospacing="0"/>
              <w:ind w:left="0" w:right="0"/>
              <w:rPr>
                <w:rFonts w:hint="default"/>
                <w:highlight w:val="none"/>
              </w:rPr>
            </w:pPr>
            <w:r>
              <w:rPr>
                <w:rFonts w:hint="eastAsia"/>
                <w:highlight w:val="none"/>
              </w:rPr>
              <w:t>250</w:t>
            </w:r>
          </w:p>
        </w:tc>
      </w:tr>
      <w:tr w14:paraId="38B802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18F0EAFC">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413731D7">
            <w:pPr>
              <w:pStyle w:val="8"/>
              <w:suppressLineNumbers w:val="0"/>
              <w:bidi w:val="0"/>
              <w:spacing w:before="0" w:beforeAutospacing="0" w:after="0" w:afterAutospacing="0"/>
              <w:ind w:left="0" w:right="0"/>
              <w:rPr>
                <w:rFonts w:hint="default"/>
                <w:highlight w:val="none"/>
              </w:rPr>
            </w:pPr>
          </w:p>
        </w:tc>
        <w:tc>
          <w:tcPr>
            <w:tcW w:w="1509" w:type="dxa"/>
            <w:vMerge w:val="continue"/>
            <w:vAlign w:val="center"/>
          </w:tcPr>
          <w:p w14:paraId="568D8273">
            <w:pPr>
              <w:pStyle w:val="8"/>
              <w:suppressLineNumbers w:val="0"/>
              <w:bidi w:val="0"/>
              <w:spacing w:before="0" w:beforeAutospacing="0" w:after="0" w:afterAutospacing="0"/>
              <w:ind w:left="0" w:right="0"/>
              <w:rPr>
                <w:rFonts w:hint="default"/>
                <w:highlight w:val="none"/>
              </w:rPr>
            </w:pPr>
          </w:p>
        </w:tc>
        <w:tc>
          <w:tcPr>
            <w:tcW w:w="1236" w:type="dxa"/>
            <w:vMerge w:val="continue"/>
            <w:vAlign w:val="center"/>
          </w:tcPr>
          <w:p w14:paraId="799C6DFB">
            <w:pPr>
              <w:pStyle w:val="8"/>
              <w:suppressLineNumbers w:val="0"/>
              <w:bidi w:val="0"/>
              <w:spacing w:before="0" w:beforeAutospacing="0" w:after="0" w:afterAutospacing="0"/>
              <w:ind w:left="0" w:right="0"/>
              <w:rPr>
                <w:rFonts w:hint="default"/>
                <w:highlight w:val="none"/>
              </w:rPr>
            </w:pPr>
          </w:p>
        </w:tc>
        <w:tc>
          <w:tcPr>
            <w:tcW w:w="1452" w:type="dxa"/>
          </w:tcPr>
          <w:p w14:paraId="61C49B95">
            <w:pPr>
              <w:pStyle w:val="8"/>
              <w:suppressLineNumbers w:val="0"/>
              <w:bidi w:val="0"/>
              <w:spacing w:before="0" w:beforeAutospacing="0" w:after="0" w:afterAutospacing="0"/>
              <w:ind w:left="0" w:right="0"/>
              <w:rPr>
                <w:rFonts w:hint="default"/>
                <w:highlight w:val="none"/>
              </w:rPr>
            </w:pPr>
            <w:r>
              <w:rPr>
                <w:rFonts w:hint="default"/>
                <w:highlight w:val="none"/>
              </w:rPr>
              <w:t>24小时平均</w:t>
            </w:r>
          </w:p>
        </w:tc>
        <w:tc>
          <w:tcPr>
            <w:tcW w:w="1046" w:type="dxa"/>
            <w:vAlign w:val="center"/>
          </w:tcPr>
          <w:p w14:paraId="273F1193">
            <w:pPr>
              <w:pStyle w:val="8"/>
              <w:suppressLineNumbers w:val="0"/>
              <w:bidi w:val="0"/>
              <w:spacing w:before="0" w:beforeAutospacing="0" w:after="0" w:afterAutospacing="0"/>
              <w:ind w:left="0" w:right="0"/>
              <w:rPr>
                <w:rFonts w:hint="default"/>
                <w:highlight w:val="none"/>
              </w:rPr>
            </w:pPr>
            <w:r>
              <w:rPr>
                <w:rFonts w:hint="eastAsia"/>
                <w:highlight w:val="none"/>
              </w:rPr>
              <w:t>100</w:t>
            </w:r>
          </w:p>
        </w:tc>
      </w:tr>
      <w:tr w14:paraId="44D817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1540C2C4">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4ACCB22C">
            <w:pPr>
              <w:pStyle w:val="8"/>
              <w:suppressLineNumbers w:val="0"/>
              <w:bidi w:val="0"/>
              <w:spacing w:before="0" w:beforeAutospacing="0" w:after="0" w:afterAutospacing="0"/>
              <w:ind w:left="0" w:right="0"/>
              <w:rPr>
                <w:rFonts w:hint="default"/>
                <w:highlight w:val="none"/>
              </w:rPr>
            </w:pPr>
          </w:p>
        </w:tc>
        <w:tc>
          <w:tcPr>
            <w:tcW w:w="1509" w:type="dxa"/>
            <w:vMerge w:val="continue"/>
            <w:vAlign w:val="center"/>
          </w:tcPr>
          <w:p w14:paraId="055CDD67">
            <w:pPr>
              <w:pStyle w:val="8"/>
              <w:suppressLineNumbers w:val="0"/>
              <w:bidi w:val="0"/>
              <w:spacing w:before="0" w:beforeAutospacing="0" w:after="0" w:afterAutospacing="0"/>
              <w:ind w:left="0" w:right="0"/>
              <w:rPr>
                <w:rFonts w:hint="default"/>
                <w:highlight w:val="none"/>
              </w:rPr>
            </w:pPr>
          </w:p>
        </w:tc>
        <w:tc>
          <w:tcPr>
            <w:tcW w:w="1236" w:type="dxa"/>
            <w:vMerge w:val="continue"/>
            <w:vAlign w:val="center"/>
          </w:tcPr>
          <w:p w14:paraId="523C154B">
            <w:pPr>
              <w:pStyle w:val="8"/>
              <w:suppressLineNumbers w:val="0"/>
              <w:bidi w:val="0"/>
              <w:spacing w:before="0" w:beforeAutospacing="0" w:after="0" w:afterAutospacing="0"/>
              <w:ind w:left="0" w:right="0"/>
              <w:rPr>
                <w:rFonts w:hint="default"/>
                <w:highlight w:val="none"/>
              </w:rPr>
            </w:pPr>
          </w:p>
        </w:tc>
        <w:tc>
          <w:tcPr>
            <w:tcW w:w="1452" w:type="dxa"/>
          </w:tcPr>
          <w:p w14:paraId="653F2FF4">
            <w:pPr>
              <w:pStyle w:val="8"/>
              <w:suppressLineNumbers w:val="0"/>
              <w:bidi w:val="0"/>
              <w:spacing w:before="0" w:beforeAutospacing="0" w:after="0" w:afterAutospacing="0"/>
              <w:ind w:left="0" w:right="0"/>
              <w:rPr>
                <w:rFonts w:hint="default"/>
                <w:highlight w:val="none"/>
              </w:rPr>
            </w:pPr>
            <w:r>
              <w:rPr>
                <w:rFonts w:hint="eastAsia"/>
                <w:highlight w:val="none"/>
              </w:rPr>
              <w:t>年平均</w:t>
            </w:r>
          </w:p>
        </w:tc>
        <w:tc>
          <w:tcPr>
            <w:tcW w:w="1046" w:type="dxa"/>
            <w:vAlign w:val="center"/>
          </w:tcPr>
          <w:p w14:paraId="039BFADF">
            <w:pPr>
              <w:pStyle w:val="8"/>
              <w:suppressLineNumbers w:val="0"/>
              <w:bidi w:val="0"/>
              <w:spacing w:before="0" w:beforeAutospacing="0" w:after="0" w:afterAutospacing="0"/>
              <w:ind w:left="0" w:right="0"/>
              <w:rPr>
                <w:rFonts w:hint="default"/>
                <w:highlight w:val="none"/>
              </w:rPr>
            </w:pPr>
            <w:r>
              <w:rPr>
                <w:rFonts w:hint="eastAsia"/>
                <w:highlight w:val="none"/>
              </w:rPr>
              <w:t>50</w:t>
            </w:r>
          </w:p>
        </w:tc>
      </w:tr>
      <w:tr w14:paraId="208375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03C20150">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4C223854">
            <w:pPr>
              <w:pStyle w:val="8"/>
              <w:suppressLineNumbers w:val="0"/>
              <w:bidi w:val="0"/>
              <w:spacing w:before="0" w:beforeAutospacing="0" w:after="0" w:afterAutospacing="0"/>
              <w:ind w:left="0" w:right="0"/>
              <w:rPr>
                <w:rFonts w:hint="default"/>
                <w:highlight w:val="none"/>
              </w:rPr>
            </w:pPr>
          </w:p>
        </w:tc>
        <w:tc>
          <w:tcPr>
            <w:tcW w:w="1509" w:type="dxa"/>
            <w:vMerge w:val="restart"/>
            <w:vAlign w:val="center"/>
          </w:tcPr>
          <w:p w14:paraId="1EC5ACF4">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CO</w:t>
            </w:r>
          </w:p>
        </w:tc>
        <w:tc>
          <w:tcPr>
            <w:tcW w:w="1236" w:type="dxa"/>
            <w:vMerge w:val="continue"/>
            <w:vAlign w:val="center"/>
          </w:tcPr>
          <w:p w14:paraId="01A528BB">
            <w:pPr>
              <w:pStyle w:val="8"/>
              <w:suppressLineNumbers w:val="0"/>
              <w:bidi w:val="0"/>
              <w:spacing w:before="0" w:beforeAutospacing="0" w:after="0" w:afterAutospacing="0"/>
              <w:ind w:left="0" w:right="0"/>
              <w:rPr>
                <w:rFonts w:hint="default"/>
                <w:highlight w:val="none"/>
              </w:rPr>
            </w:pPr>
          </w:p>
        </w:tc>
        <w:tc>
          <w:tcPr>
            <w:tcW w:w="1452" w:type="dxa"/>
            <w:vAlign w:val="center"/>
          </w:tcPr>
          <w:p w14:paraId="7BA0A42E">
            <w:pPr>
              <w:pStyle w:val="8"/>
              <w:suppressLineNumbers w:val="0"/>
              <w:bidi w:val="0"/>
              <w:spacing w:before="0" w:beforeAutospacing="0" w:after="0" w:afterAutospacing="0"/>
              <w:ind w:left="0" w:right="0"/>
              <w:rPr>
                <w:rFonts w:hint="eastAsia"/>
                <w:highlight w:val="none"/>
              </w:rPr>
            </w:pPr>
            <w:r>
              <w:rPr>
                <w:rFonts w:hint="default"/>
                <w:highlight w:val="none"/>
                <w:lang w:val="en-US" w:eastAsia="zh-CN"/>
              </w:rPr>
              <w:t>24</w:t>
            </w:r>
            <w:r>
              <w:rPr>
                <w:rFonts w:hint="eastAsia"/>
                <w:highlight w:val="none"/>
                <w:lang w:val="en-US" w:eastAsia="zh-CN"/>
              </w:rPr>
              <w:t>小时平均</w:t>
            </w:r>
          </w:p>
        </w:tc>
        <w:tc>
          <w:tcPr>
            <w:tcW w:w="1046" w:type="dxa"/>
            <w:vAlign w:val="center"/>
          </w:tcPr>
          <w:p w14:paraId="0B9087C1">
            <w:pPr>
              <w:pStyle w:val="8"/>
              <w:suppressLineNumbers w:val="0"/>
              <w:bidi w:val="0"/>
              <w:spacing w:before="0" w:beforeAutospacing="0" w:after="0" w:afterAutospacing="0"/>
              <w:ind w:left="0" w:right="0"/>
              <w:rPr>
                <w:rFonts w:hint="eastAsia"/>
                <w:highlight w:val="none"/>
              </w:rPr>
            </w:pPr>
            <w:r>
              <w:rPr>
                <w:rFonts w:hint="default"/>
                <w:highlight w:val="none"/>
                <w:lang w:val="en-US" w:eastAsia="zh-CN"/>
              </w:rPr>
              <w:t>4000</w:t>
            </w:r>
          </w:p>
        </w:tc>
      </w:tr>
      <w:tr w14:paraId="10F71D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2AC2092E">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7732827C">
            <w:pPr>
              <w:pStyle w:val="8"/>
              <w:suppressLineNumbers w:val="0"/>
              <w:bidi w:val="0"/>
              <w:spacing w:before="0" w:beforeAutospacing="0" w:after="0" w:afterAutospacing="0"/>
              <w:ind w:left="0" w:right="0"/>
              <w:rPr>
                <w:rFonts w:hint="default"/>
                <w:highlight w:val="none"/>
              </w:rPr>
            </w:pPr>
          </w:p>
        </w:tc>
        <w:tc>
          <w:tcPr>
            <w:tcW w:w="1509" w:type="dxa"/>
            <w:vMerge w:val="continue"/>
            <w:vAlign w:val="center"/>
          </w:tcPr>
          <w:p w14:paraId="2DD264BC">
            <w:pPr>
              <w:pStyle w:val="8"/>
              <w:suppressLineNumbers w:val="0"/>
              <w:bidi w:val="0"/>
              <w:spacing w:before="0" w:beforeAutospacing="0" w:after="0" w:afterAutospacing="0"/>
              <w:ind w:left="0" w:right="0"/>
              <w:rPr>
                <w:rFonts w:hint="default"/>
                <w:highlight w:val="none"/>
              </w:rPr>
            </w:pPr>
          </w:p>
        </w:tc>
        <w:tc>
          <w:tcPr>
            <w:tcW w:w="1236" w:type="dxa"/>
            <w:vMerge w:val="continue"/>
            <w:vAlign w:val="center"/>
          </w:tcPr>
          <w:p w14:paraId="15477C5E">
            <w:pPr>
              <w:pStyle w:val="8"/>
              <w:suppressLineNumbers w:val="0"/>
              <w:bidi w:val="0"/>
              <w:spacing w:before="0" w:beforeAutospacing="0" w:after="0" w:afterAutospacing="0"/>
              <w:ind w:left="0" w:right="0"/>
              <w:rPr>
                <w:rFonts w:hint="default"/>
                <w:highlight w:val="none"/>
              </w:rPr>
            </w:pPr>
          </w:p>
        </w:tc>
        <w:tc>
          <w:tcPr>
            <w:tcW w:w="1452" w:type="dxa"/>
            <w:vAlign w:val="center"/>
          </w:tcPr>
          <w:p w14:paraId="075C72CC">
            <w:pPr>
              <w:pStyle w:val="8"/>
              <w:suppressLineNumbers w:val="0"/>
              <w:bidi w:val="0"/>
              <w:spacing w:before="0" w:beforeAutospacing="0" w:after="0" w:afterAutospacing="0"/>
              <w:ind w:left="0" w:right="0"/>
              <w:rPr>
                <w:rFonts w:hint="eastAsia"/>
                <w:highlight w:val="none"/>
              </w:rPr>
            </w:pPr>
            <w:r>
              <w:rPr>
                <w:rFonts w:hint="default"/>
                <w:highlight w:val="none"/>
                <w:lang w:val="en-US" w:eastAsia="zh-CN"/>
              </w:rPr>
              <w:t>1</w:t>
            </w:r>
            <w:r>
              <w:rPr>
                <w:rFonts w:hint="eastAsia"/>
                <w:highlight w:val="none"/>
                <w:lang w:val="en-US" w:eastAsia="zh-CN"/>
              </w:rPr>
              <w:t>小时平均</w:t>
            </w:r>
          </w:p>
        </w:tc>
        <w:tc>
          <w:tcPr>
            <w:tcW w:w="1046" w:type="dxa"/>
            <w:vAlign w:val="center"/>
          </w:tcPr>
          <w:p w14:paraId="5E667A28">
            <w:pPr>
              <w:pStyle w:val="8"/>
              <w:suppressLineNumbers w:val="0"/>
              <w:bidi w:val="0"/>
              <w:spacing w:before="0" w:beforeAutospacing="0" w:after="0" w:afterAutospacing="0"/>
              <w:ind w:left="0" w:right="0"/>
              <w:rPr>
                <w:rFonts w:hint="eastAsia"/>
                <w:highlight w:val="none"/>
              </w:rPr>
            </w:pPr>
            <w:r>
              <w:rPr>
                <w:rFonts w:hint="default"/>
                <w:highlight w:val="none"/>
                <w:lang w:val="en-US" w:eastAsia="zh-CN"/>
              </w:rPr>
              <w:t>10000</w:t>
            </w:r>
          </w:p>
        </w:tc>
      </w:tr>
      <w:tr w14:paraId="5A8868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0131828A">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6AAB4C41">
            <w:pPr>
              <w:pStyle w:val="8"/>
              <w:suppressLineNumbers w:val="0"/>
              <w:bidi w:val="0"/>
              <w:spacing w:before="0" w:beforeAutospacing="0" w:after="0" w:afterAutospacing="0"/>
              <w:ind w:left="0" w:right="0"/>
              <w:rPr>
                <w:rFonts w:hint="default"/>
                <w:highlight w:val="none"/>
              </w:rPr>
            </w:pPr>
          </w:p>
        </w:tc>
        <w:tc>
          <w:tcPr>
            <w:tcW w:w="1509" w:type="dxa"/>
            <w:vMerge w:val="restart"/>
            <w:vAlign w:val="center"/>
          </w:tcPr>
          <w:p w14:paraId="36CFD126">
            <w:pPr>
              <w:pStyle w:val="8"/>
              <w:suppressLineNumbers w:val="0"/>
              <w:bidi w:val="0"/>
              <w:spacing w:before="0" w:beforeAutospacing="0" w:after="0" w:afterAutospacing="0"/>
              <w:ind w:left="0" w:right="0"/>
              <w:rPr>
                <w:rFonts w:hint="default"/>
                <w:highlight w:val="none"/>
              </w:rPr>
            </w:pPr>
            <w:r>
              <w:rPr>
                <w:rFonts w:hint="default"/>
                <w:highlight w:val="none"/>
              </w:rPr>
              <w:t>SO</w:t>
            </w:r>
            <w:r>
              <w:rPr>
                <w:rFonts w:hint="default"/>
                <w:highlight w:val="none"/>
                <w:vertAlign w:val="subscript"/>
              </w:rPr>
              <w:t>2</w:t>
            </w:r>
          </w:p>
        </w:tc>
        <w:tc>
          <w:tcPr>
            <w:tcW w:w="1236" w:type="dxa"/>
            <w:vMerge w:val="continue"/>
            <w:vAlign w:val="center"/>
          </w:tcPr>
          <w:p w14:paraId="21D5527F">
            <w:pPr>
              <w:pStyle w:val="8"/>
              <w:suppressLineNumbers w:val="0"/>
              <w:bidi w:val="0"/>
              <w:spacing w:before="0" w:beforeAutospacing="0" w:after="0" w:afterAutospacing="0"/>
              <w:ind w:left="0" w:right="0"/>
              <w:rPr>
                <w:rFonts w:hint="default"/>
                <w:highlight w:val="none"/>
              </w:rPr>
            </w:pPr>
          </w:p>
        </w:tc>
        <w:tc>
          <w:tcPr>
            <w:tcW w:w="1452" w:type="dxa"/>
            <w:vAlign w:val="center"/>
          </w:tcPr>
          <w:p w14:paraId="404DFF5C">
            <w:pPr>
              <w:pStyle w:val="8"/>
              <w:suppressLineNumbers w:val="0"/>
              <w:bidi w:val="0"/>
              <w:spacing w:before="0" w:beforeAutospacing="0" w:after="0" w:afterAutospacing="0"/>
              <w:ind w:left="0" w:right="0"/>
              <w:rPr>
                <w:rFonts w:hint="default"/>
                <w:highlight w:val="none"/>
              </w:rPr>
            </w:pPr>
            <w:r>
              <w:rPr>
                <w:rFonts w:hint="default"/>
                <w:highlight w:val="none"/>
              </w:rPr>
              <w:t>1小时平均</w:t>
            </w:r>
          </w:p>
        </w:tc>
        <w:tc>
          <w:tcPr>
            <w:tcW w:w="1046" w:type="dxa"/>
            <w:vAlign w:val="center"/>
          </w:tcPr>
          <w:p w14:paraId="1D71447A">
            <w:pPr>
              <w:pStyle w:val="8"/>
              <w:suppressLineNumbers w:val="0"/>
              <w:bidi w:val="0"/>
              <w:spacing w:before="0" w:beforeAutospacing="0" w:after="0" w:afterAutospacing="0"/>
              <w:ind w:left="0" w:right="0"/>
              <w:rPr>
                <w:rFonts w:hint="default"/>
                <w:highlight w:val="none"/>
              </w:rPr>
            </w:pPr>
            <w:r>
              <w:rPr>
                <w:rFonts w:hint="default"/>
                <w:highlight w:val="none"/>
              </w:rPr>
              <w:t>50</w:t>
            </w:r>
          </w:p>
        </w:tc>
      </w:tr>
      <w:tr w14:paraId="71840B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43580C97">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46CD7FB3">
            <w:pPr>
              <w:pStyle w:val="8"/>
              <w:suppressLineNumbers w:val="0"/>
              <w:bidi w:val="0"/>
              <w:spacing w:before="0" w:beforeAutospacing="0" w:after="0" w:afterAutospacing="0"/>
              <w:ind w:left="0" w:right="0"/>
              <w:rPr>
                <w:rFonts w:hint="default"/>
                <w:highlight w:val="none"/>
              </w:rPr>
            </w:pPr>
          </w:p>
        </w:tc>
        <w:tc>
          <w:tcPr>
            <w:tcW w:w="1509" w:type="dxa"/>
            <w:vMerge w:val="continue"/>
            <w:vAlign w:val="center"/>
          </w:tcPr>
          <w:p w14:paraId="4A2FBAD8">
            <w:pPr>
              <w:pStyle w:val="8"/>
              <w:suppressLineNumbers w:val="0"/>
              <w:bidi w:val="0"/>
              <w:spacing w:before="0" w:beforeAutospacing="0" w:after="0" w:afterAutospacing="0"/>
              <w:ind w:left="0" w:right="0"/>
              <w:rPr>
                <w:rFonts w:hint="default"/>
                <w:highlight w:val="none"/>
              </w:rPr>
            </w:pPr>
          </w:p>
        </w:tc>
        <w:tc>
          <w:tcPr>
            <w:tcW w:w="1236" w:type="dxa"/>
            <w:vMerge w:val="continue"/>
            <w:vAlign w:val="center"/>
          </w:tcPr>
          <w:p w14:paraId="756156CE">
            <w:pPr>
              <w:pStyle w:val="8"/>
              <w:suppressLineNumbers w:val="0"/>
              <w:bidi w:val="0"/>
              <w:spacing w:before="0" w:beforeAutospacing="0" w:after="0" w:afterAutospacing="0"/>
              <w:ind w:left="0" w:right="0"/>
              <w:rPr>
                <w:rFonts w:hint="default"/>
                <w:highlight w:val="none"/>
              </w:rPr>
            </w:pPr>
          </w:p>
        </w:tc>
        <w:tc>
          <w:tcPr>
            <w:tcW w:w="1452" w:type="dxa"/>
            <w:vAlign w:val="center"/>
          </w:tcPr>
          <w:p w14:paraId="267348AF">
            <w:pPr>
              <w:pStyle w:val="8"/>
              <w:suppressLineNumbers w:val="0"/>
              <w:bidi w:val="0"/>
              <w:spacing w:before="0" w:beforeAutospacing="0" w:after="0" w:afterAutospacing="0"/>
              <w:ind w:left="0" w:right="0"/>
              <w:rPr>
                <w:rFonts w:hint="default"/>
                <w:highlight w:val="none"/>
              </w:rPr>
            </w:pPr>
            <w:r>
              <w:rPr>
                <w:rFonts w:hint="default"/>
                <w:highlight w:val="none"/>
              </w:rPr>
              <w:t>24小时平均</w:t>
            </w:r>
          </w:p>
        </w:tc>
        <w:tc>
          <w:tcPr>
            <w:tcW w:w="1046" w:type="dxa"/>
            <w:vAlign w:val="center"/>
          </w:tcPr>
          <w:p w14:paraId="2B1B4961">
            <w:pPr>
              <w:pStyle w:val="8"/>
              <w:suppressLineNumbers w:val="0"/>
              <w:bidi w:val="0"/>
              <w:spacing w:before="0" w:beforeAutospacing="0" w:after="0" w:afterAutospacing="0"/>
              <w:ind w:left="0" w:right="0"/>
              <w:rPr>
                <w:rFonts w:hint="default"/>
                <w:highlight w:val="none"/>
              </w:rPr>
            </w:pPr>
            <w:r>
              <w:rPr>
                <w:rFonts w:hint="default"/>
                <w:highlight w:val="none"/>
              </w:rPr>
              <w:t>150</w:t>
            </w:r>
          </w:p>
        </w:tc>
      </w:tr>
      <w:tr w14:paraId="76E008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450F8E02">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7988908D">
            <w:pPr>
              <w:pStyle w:val="8"/>
              <w:suppressLineNumbers w:val="0"/>
              <w:bidi w:val="0"/>
              <w:spacing w:before="0" w:beforeAutospacing="0" w:after="0" w:afterAutospacing="0"/>
              <w:ind w:left="0" w:right="0"/>
              <w:rPr>
                <w:rFonts w:hint="default"/>
                <w:highlight w:val="none"/>
              </w:rPr>
            </w:pPr>
          </w:p>
        </w:tc>
        <w:tc>
          <w:tcPr>
            <w:tcW w:w="1509" w:type="dxa"/>
            <w:vMerge w:val="continue"/>
            <w:vAlign w:val="center"/>
          </w:tcPr>
          <w:p w14:paraId="76D44F1A">
            <w:pPr>
              <w:pStyle w:val="8"/>
              <w:suppressLineNumbers w:val="0"/>
              <w:bidi w:val="0"/>
              <w:spacing w:before="0" w:beforeAutospacing="0" w:after="0" w:afterAutospacing="0"/>
              <w:ind w:left="0" w:right="0"/>
              <w:rPr>
                <w:rFonts w:hint="default"/>
                <w:highlight w:val="none"/>
              </w:rPr>
            </w:pPr>
          </w:p>
        </w:tc>
        <w:tc>
          <w:tcPr>
            <w:tcW w:w="1236" w:type="dxa"/>
            <w:vMerge w:val="continue"/>
            <w:vAlign w:val="center"/>
          </w:tcPr>
          <w:p w14:paraId="1EA64755">
            <w:pPr>
              <w:pStyle w:val="8"/>
              <w:suppressLineNumbers w:val="0"/>
              <w:bidi w:val="0"/>
              <w:spacing w:before="0" w:beforeAutospacing="0" w:after="0" w:afterAutospacing="0"/>
              <w:ind w:left="0" w:right="0"/>
              <w:rPr>
                <w:rFonts w:hint="default"/>
                <w:highlight w:val="none"/>
              </w:rPr>
            </w:pPr>
          </w:p>
        </w:tc>
        <w:tc>
          <w:tcPr>
            <w:tcW w:w="1452" w:type="dxa"/>
            <w:vAlign w:val="center"/>
          </w:tcPr>
          <w:p w14:paraId="6B176379">
            <w:pPr>
              <w:pStyle w:val="8"/>
              <w:suppressLineNumbers w:val="0"/>
              <w:bidi w:val="0"/>
              <w:spacing w:before="0" w:beforeAutospacing="0" w:after="0" w:afterAutospacing="0"/>
              <w:ind w:left="0" w:right="0"/>
              <w:rPr>
                <w:rFonts w:hint="default"/>
                <w:highlight w:val="none"/>
              </w:rPr>
            </w:pPr>
            <w:r>
              <w:rPr>
                <w:rFonts w:hint="default"/>
                <w:highlight w:val="none"/>
              </w:rPr>
              <w:t>年平均</w:t>
            </w:r>
          </w:p>
        </w:tc>
        <w:tc>
          <w:tcPr>
            <w:tcW w:w="1046" w:type="dxa"/>
            <w:vAlign w:val="center"/>
          </w:tcPr>
          <w:p w14:paraId="456EC934">
            <w:pPr>
              <w:pStyle w:val="8"/>
              <w:suppressLineNumbers w:val="0"/>
              <w:bidi w:val="0"/>
              <w:spacing w:before="0" w:beforeAutospacing="0" w:after="0" w:afterAutospacing="0"/>
              <w:ind w:left="0" w:right="0"/>
              <w:rPr>
                <w:rFonts w:hint="default"/>
                <w:highlight w:val="none"/>
              </w:rPr>
            </w:pPr>
            <w:r>
              <w:rPr>
                <w:rFonts w:hint="default"/>
                <w:highlight w:val="none"/>
              </w:rPr>
              <w:t>60</w:t>
            </w:r>
          </w:p>
        </w:tc>
      </w:tr>
      <w:tr w14:paraId="7562AB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0397A6CF">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0C92D1EE">
            <w:pPr>
              <w:pStyle w:val="8"/>
              <w:suppressLineNumbers w:val="0"/>
              <w:bidi w:val="0"/>
              <w:spacing w:before="0" w:beforeAutospacing="0" w:after="0" w:afterAutospacing="0"/>
              <w:ind w:left="0" w:right="0"/>
              <w:rPr>
                <w:rFonts w:hint="default"/>
                <w:highlight w:val="none"/>
              </w:rPr>
            </w:pPr>
          </w:p>
        </w:tc>
        <w:tc>
          <w:tcPr>
            <w:tcW w:w="1509" w:type="dxa"/>
            <w:vMerge w:val="restart"/>
            <w:vAlign w:val="center"/>
          </w:tcPr>
          <w:p w14:paraId="6615ECA9">
            <w:pPr>
              <w:pStyle w:val="8"/>
              <w:suppressLineNumbers w:val="0"/>
              <w:bidi w:val="0"/>
              <w:spacing w:before="0" w:beforeAutospacing="0" w:after="0" w:afterAutospacing="0"/>
              <w:ind w:left="0" w:right="0"/>
              <w:rPr>
                <w:rFonts w:hint="default"/>
                <w:highlight w:val="none"/>
              </w:rPr>
            </w:pPr>
            <w:r>
              <w:rPr>
                <w:rFonts w:hint="default"/>
                <w:highlight w:val="none"/>
              </w:rPr>
              <w:t>O</w:t>
            </w:r>
            <w:r>
              <w:rPr>
                <w:rFonts w:hint="default"/>
                <w:highlight w:val="none"/>
                <w:vertAlign w:val="subscript"/>
              </w:rPr>
              <w:t>3</w:t>
            </w:r>
          </w:p>
        </w:tc>
        <w:tc>
          <w:tcPr>
            <w:tcW w:w="1236" w:type="dxa"/>
            <w:vMerge w:val="continue"/>
            <w:vAlign w:val="center"/>
          </w:tcPr>
          <w:p w14:paraId="62F201CF">
            <w:pPr>
              <w:pStyle w:val="8"/>
              <w:suppressLineNumbers w:val="0"/>
              <w:bidi w:val="0"/>
              <w:spacing w:before="0" w:beforeAutospacing="0" w:after="0" w:afterAutospacing="0"/>
              <w:ind w:left="0" w:right="0"/>
              <w:rPr>
                <w:rFonts w:hint="default"/>
                <w:highlight w:val="none"/>
              </w:rPr>
            </w:pPr>
          </w:p>
        </w:tc>
        <w:tc>
          <w:tcPr>
            <w:tcW w:w="1452" w:type="dxa"/>
            <w:vAlign w:val="center"/>
          </w:tcPr>
          <w:p w14:paraId="0C92928B">
            <w:pPr>
              <w:pStyle w:val="8"/>
              <w:suppressLineNumbers w:val="0"/>
              <w:bidi w:val="0"/>
              <w:spacing w:before="0" w:beforeAutospacing="0" w:after="0" w:afterAutospacing="0"/>
              <w:ind w:left="0" w:right="0"/>
              <w:rPr>
                <w:rFonts w:hint="default"/>
                <w:highlight w:val="none"/>
              </w:rPr>
            </w:pPr>
            <w:r>
              <w:rPr>
                <w:rFonts w:hint="default"/>
                <w:highlight w:val="none"/>
              </w:rPr>
              <w:t>1小时平均</w:t>
            </w:r>
          </w:p>
        </w:tc>
        <w:tc>
          <w:tcPr>
            <w:tcW w:w="1046" w:type="dxa"/>
            <w:vAlign w:val="center"/>
          </w:tcPr>
          <w:p w14:paraId="354156CB">
            <w:pPr>
              <w:pStyle w:val="8"/>
              <w:suppressLineNumbers w:val="0"/>
              <w:bidi w:val="0"/>
              <w:spacing w:before="0" w:beforeAutospacing="0" w:after="0" w:afterAutospacing="0"/>
              <w:ind w:left="0" w:right="0"/>
              <w:rPr>
                <w:rFonts w:hint="default"/>
                <w:highlight w:val="none"/>
              </w:rPr>
            </w:pPr>
            <w:r>
              <w:rPr>
                <w:rFonts w:hint="default"/>
                <w:highlight w:val="none"/>
              </w:rPr>
              <w:t>160</w:t>
            </w:r>
          </w:p>
        </w:tc>
      </w:tr>
      <w:tr w14:paraId="2B237C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31668A5C">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4F8148BD">
            <w:pPr>
              <w:pStyle w:val="8"/>
              <w:suppressLineNumbers w:val="0"/>
              <w:bidi w:val="0"/>
              <w:spacing w:before="0" w:beforeAutospacing="0" w:after="0" w:afterAutospacing="0"/>
              <w:ind w:left="0" w:right="0"/>
              <w:rPr>
                <w:rFonts w:hint="default"/>
                <w:highlight w:val="none"/>
              </w:rPr>
            </w:pPr>
          </w:p>
        </w:tc>
        <w:tc>
          <w:tcPr>
            <w:tcW w:w="1509" w:type="dxa"/>
            <w:vMerge w:val="continue"/>
            <w:vAlign w:val="center"/>
          </w:tcPr>
          <w:p w14:paraId="5D98EE7B">
            <w:pPr>
              <w:pStyle w:val="8"/>
              <w:suppressLineNumbers w:val="0"/>
              <w:bidi w:val="0"/>
              <w:spacing w:before="0" w:beforeAutospacing="0" w:after="0" w:afterAutospacing="0"/>
              <w:ind w:left="0" w:right="0"/>
              <w:rPr>
                <w:rFonts w:hint="default"/>
                <w:highlight w:val="none"/>
              </w:rPr>
            </w:pPr>
          </w:p>
        </w:tc>
        <w:tc>
          <w:tcPr>
            <w:tcW w:w="1236" w:type="dxa"/>
            <w:vMerge w:val="continue"/>
            <w:vAlign w:val="center"/>
          </w:tcPr>
          <w:p w14:paraId="496D9A06">
            <w:pPr>
              <w:pStyle w:val="8"/>
              <w:suppressLineNumbers w:val="0"/>
              <w:bidi w:val="0"/>
              <w:spacing w:before="0" w:beforeAutospacing="0" w:after="0" w:afterAutospacing="0"/>
              <w:ind w:left="0" w:right="0"/>
              <w:rPr>
                <w:rFonts w:hint="default"/>
                <w:highlight w:val="none"/>
              </w:rPr>
            </w:pPr>
          </w:p>
        </w:tc>
        <w:tc>
          <w:tcPr>
            <w:tcW w:w="1452" w:type="dxa"/>
            <w:vAlign w:val="center"/>
          </w:tcPr>
          <w:p w14:paraId="30024FE2">
            <w:pPr>
              <w:pStyle w:val="8"/>
              <w:suppressLineNumbers w:val="0"/>
              <w:bidi w:val="0"/>
              <w:spacing w:before="0" w:beforeAutospacing="0" w:after="0" w:afterAutospacing="0"/>
              <w:ind w:left="0" w:right="0"/>
              <w:rPr>
                <w:rFonts w:hint="default"/>
                <w:highlight w:val="none"/>
              </w:rPr>
            </w:pPr>
            <w:r>
              <w:rPr>
                <w:rFonts w:hint="default"/>
                <w:highlight w:val="none"/>
              </w:rPr>
              <w:t>日最大8小时平均</w:t>
            </w:r>
          </w:p>
        </w:tc>
        <w:tc>
          <w:tcPr>
            <w:tcW w:w="1046" w:type="dxa"/>
            <w:vAlign w:val="center"/>
          </w:tcPr>
          <w:p w14:paraId="2F53A69A">
            <w:pPr>
              <w:pStyle w:val="8"/>
              <w:suppressLineNumbers w:val="0"/>
              <w:bidi w:val="0"/>
              <w:spacing w:before="0" w:beforeAutospacing="0" w:after="0" w:afterAutospacing="0"/>
              <w:ind w:left="0" w:right="0"/>
              <w:rPr>
                <w:rFonts w:hint="default"/>
                <w:highlight w:val="none"/>
              </w:rPr>
            </w:pPr>
            <w:r>
              <w:rPr>
                <w:rFonts w:hint="default"/>
                <w:highlight w:val="none"/>
              </w:rPr>
              <w:t>100</w:t>
            </w:r>
          </w:p>
        </w:tc>
      </w:tr>
      <w:tr w14:paraId="6D85D7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29799C71">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2F04DBDD">
            <w:pPr>
              <w:pStyle w:val="8"/>
              <w:suppressLineNumbers w:val="0"/>
              <w:bidi w:val="0"/>
              <w:spacing w:before="0" w:beforeAutospacing="0" w:after="0" w:afterAutospacing="0"/>
              <w:ind w:left="0" w:right="0"/>
              <w:rPr>
                <w:rFonts w:hint="default"/>
                <w:highlight w:val="none"/>
              </w:rPr>
            </w:pPr>
          </w:p>
        </w:tc>
        <w:tc>
          <w:tcPr>
            <w:tcW w:w="1509" w:type="dxa"/>
            <w:vMerge w:val="continue"/>
            <w:vAlign w:val="center"/>
          </w:tcPr>
          <w:p w14:paraId="3A5A2FF1">
            <w:pPr>
              <w:pStyle w:val="8"/>
              <w:suppressLineNumbers w:val="0"/>
              <w:bidi w:val="0"/>
              <w:spacing w:before="0" w:beforeAutospacing="0" w:after="0" w:afterAutospacing="0"/>
              <w:ind w:left="0" w:right="0"/>
              <w:rPr>
                <w:rFonts w:hint="default"/>
                <w:highlight w:val="none"/>
              </w:rPr>
            </w:pPr>
          </w:p>
        </w:tc>
        <w:tc>
          <w:tcPr>
            <w:tcW w:w="1236" w:type="dxa"/>
            <w:vMerge w:val="continue"/>
            <w:vAlign w:val="center"/>
          </w:tcPr>
          <w:p w14:paraId="1EB51369">
            <w:pPr>
              <w:pStyle w:val="8"/>
              <w:suppressLineNumbers w:val="0"/>
              <w:bidi w:val="0"/>
              <w:spacing w:before="0" w:beforeAutospacing="0" w:after="0" w:afterAutospacing="0"/>
              <w:ind w:left="0" w:right="0"/>
              <w:rPr>
                <w:rFonts w:hint="default"/>
                <w:highlight w:val="none"/>
              </w:rPr>
            </w:pPr>
          </w:p>
        </w:tc>
        <w:tc>
          <w:tcPr>
            <w:tcW w:w="1452" w:type="dxa"/>
          </w:tcPr>
          <w:p w14:paraId="64ADAAA8">
            <w:pPr>
              <w:pStyle w:val="8"/>
              <w:suppressLineNumbers w:val="0"/>
              <w:bidi w:val="0"/>
              <w:spacing w:before="0" w:beforeAutospacing="0" w:after="0" w:afterAutospacing="0"/>
              <w:ind w:left="0" w:right="0"/>
              <w:rPr>
                <w:rFonts w:hint="default"/>
                <w:highlight w:val="none"/>
              </w:rPr>
            </w:pPr>
            <w:r>
              <w:rPr>
                <w:rFonts w:hint="default"/>
                <w:highlight w:val="none"/>
              </w:rPr>
              <w:t>24小时平均</w:t>
            </w:r>
          </w:p>
        </w:tc>
        <w:tc>
          <w:tcPr>
            <w:tcW w:w="1046" w:type="dxa"/>
          </w:tcPr>
          <w:p w14:paraId="617F6ACB">
            <w:pPr>
              <w:pStyle w:val="8"/>
              <w:suppressLineNumbers w:val="0"/>
              <w:bidi w:val="0"/>
              <w:spacing w:before="0" w:beforeAutospacing="0" w:after="0" w:afterAutospacing="0"/>
              <w:ind w:left="0" w:right="0"/>
              <w:rPr>
                <w:rFonts w:hint="default"/>
                <w:highlight w:val="none"/>
              </w:rPr>
            </w:pPr>
            <w:r>
              <w:rPr>
                <w:rFonts w:hint="default"/>
                <w:highlight w:val="none"/>
              </w:rPr>
              <w:t>0.1</w:t>
            </w:r>
          </w:p>
        </w:tc>
      </w:tr>
      <w:tr w14:paraId="2F01AE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7623AF66">
            <w:pPr>
              <w:pStyle w:val="8"/>
              <w:suppressLineNumbers w:val="0"/>
              <w:bidi w:val="0"/>
              <w:spacing w:before="0" w:beforeAutospacing="0" w:after="0" w:afterAutospacing="0"/>
              <w:ind w:left="0" w:right="0"/>
              <w:rPr>
                <w:rFonts w:hint="default"/>
                <w:highlight w:val="none"/>
              </w:rPr>
            </w:pPr>
          </w:p>
        </w:tc>
        <w:tc>
          <w:tcPr>
            <w:tcW w:w="2441" w:type="dxa"/>
            <w:vAlign w:val="center"/>
          </w:tcPr>
          <w:p w14:paraId="0482D6A5">
            <w:pPr>
              <w:pStyle w:val="8"/>
              <w:suppressLineNumbers w:val="0"/>
              <w:bidi w:val="0"/>
              <w:spacing w:before="0" w:beforeAutospacing="0" w:after="0" w:afterAutospacing="0"/>
              <w:ind w:left="0" w:right="0"/>
              <w:rPr>
                <w:rFonts w:hint="default"/>
                <w:highlight w:val="none"/>
              </w:rPr>
            </w:pPr>
            <w:r>
              <w:rPr>
                <w:rFonts w:hint="default"/>
                <w:highlight w:val="none"/>
              </w:rPr>
              <w:t>《大气污染物综合排放</w:t>
            </w:r>
          </w:p>
          <w:p w14:paraId="75DA70DE">
            <w:pPr>
              <w:pStyle w:val="8"/>
              <w:suppressLineNumbers w:val="0"/>
              <w:bidi w:val="0"/>
              <w:spacing w:before="0" w:beforeAutospacing="0" w:after="0" w:afterAutospacing="0"/>
              <w:ind w:left="0" w:right="0"/>
              <w:rPr>
                <w:rFonts w:hint="default"/>
                <w:highlight w:val="none"/>
              </w:rPr>
            </w:pPr>
            <w:r>
              <w:rPr>
                <w:rFonts w:hint="default"/>
                <w:highlight w:val="none"/>
              </w:rPr>
              <w:t>标准详解》</w:t>
            </w:r>
          </w:p>
        </w:tc>
        <w:tc>
          <w:tcPr>
            <w:tcW w:w="1509" w:type="dxa"/>
            <w:vAlign w:val="center"/>
          </w:tcPr>
          <w:p w14:paraId="73BDF1F0">
            <w:pPr>
              <w:pStyle w:val="8"/>
              <w:suppressLineNumbers w:val="0"/>
              <w:bidi w:val="0"/>
              <w:spacing w:before="0" w:beforeAutospacing="0" w:after="0" w:afterAutospacing="0"/>
              <w:ind w:left="0" w:right="0"/>
              <w:rPr>
                <w:rFonts w:hint="default"/>
                <w:highlight w:val="none"/>
              </w:rPr>
            </w:pPr>
            <w:r>
              <w:rPr>
                <w:rFonts w:hint="default"/>
                <w:highlight w:val="none"/>
              </w:rPr>
              <w:t>非甲烷总烃</w:t>
            </w:r>
          </w:p>
        </w:tc>
        <w:tc>
          <w:tcPr>
            <w:tcW w:w="1236" w:type="dxa"/>
            <w:vAlign w:val="center"/>
          </w:tcPr>
          <w:p w14:paraId="10E7445B">
            <w:pPr>
              <w:pStyle w:val="8"/>
              <w:suppressLineNumbers w:val="0"/>
              <w:bidi w:val="0"/>
              <w:spacing w:before="0" w:beforeAutospacing="0" w:after="0" w:afterAutospacing="0"/>
              <w:ind w:left="0" w:right="0"/>
              <w:rPr>
                <w:rFonts w:hint="default"/>
                <w:highlight w:val="none"/>
              </w:rPr>
            </w:pPr>
            <w:r>
              <w:rPr>
                <w:rFonts w:hint="default"/>
                <w:highlight w:val="none"/>
              </w:rPr>
              <w:t>mg/m</w:t>
            </w:r>
            <w:r>
              <w:rPr>
                <w:rFonts w:hint="default"/>
                <w:highlight w:val="none"/>
                <w:vertAlign w:val="superscript"/>
              </w:rPr>
              <w:t>3</w:t>
            </w:r>
          </w:p>
        </w:tc>
        <w:tc>
          <w:tcPr>
            <w:tcW w:w="1452" w:type="dxa"/>
            <w:vAlign w:val="center"/>
          </w:tcPr>
          <w:p w14:paraId="088F339B">
            <w:pPr>
              <w:pStyle w:val="8"/>
              <w:suppressLineNumbers w:val="0"/>
              <w:bidi w:val="0"/>
              <w:spacing w:before="0" w:beforeAutospacing="0" w:after="0" w:afterAutospacing="0"/>
              <w:ind w:left="0" w:right="0"/>
              <w:rPr>
                <w:rFonts w:hint="default"/>
                <w:highlight w:val="none"/>
              </w:rPr>
            </w:pPr>
            <w:r>
              <w:rPr>
                <w:rFonts w:hint="default"/>
                <w:highlight w:val="none"/>
              </w:rPr>
              <w:t>1小时平均</w:t>
            </w:r>
          </w:p>
        </w:tc>
        <w:tc>
          <w:tcPr>
            <w:tcW w:w="1046" w:type="dxa"/>
            <w:vAlign w:val="center"/>
          </w:tcPr>
          <w:p w14:paraId="5DF3F2E3">
            <w:pPr>
              <w:pStyle w:val="8"/>
              <w:suppressLineNumbers w:val="0"/>
              <w:bidi w:val="0"/>
              <w:spacing w:before="0" w:beforeAutospacing="0" w:after="0" w:afterAutospacing="0"/>
              <w:ind w:left="0" w:right="0"/>
              <w:rPr>
                <w:rFonts w:hint="default"/>
                <w:highlight w:val="none"/>
              </w:rPr>
            </w:pPr>
            <w:r>
              <w:rPr>
                <w:rFonts w:hint="default"/>
                <w:highlight w:val="none"/>
              </w:rPr>
              <w:t>2.0</w:t>
            </w:r>
          </w:p>
        </w:tc>
      </w:tr>
      <w:tr w14:paraId="536392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restart"/>
            <w:vAlign w:val="center"/>
          </w:tcPr>
          <w:p w14:paraId="40414039">
            <w:pPr>
              <w:pStyle w:val="8"/>
              <w:suppressLineNumbers w:val="0"/>
              <w:bidi w:val="0"/>
              <w:spacing w:before="0" w:beforeAutospacing="0" w:after="0" w:afterAutospacing="0"/>
              <w:ind w:left="0" w:right="0"/>
              <w:rPr>
                <w:rFonts w:hint="default"/>
                <w:highlight w:val="none"/>
              </w:rPr>
            </w:pPr>
            <w:r>
              <w:rPr>
                <w:rFonts w:hint="default"/>
                <w:highlight w:val="none"/>
              </w:rPr>
              <w:t>地表水</w:t>
            </w:r>
          </w:p>
        </w:tc>
        <w:tc>
          <w:tcPr>
            <w:tcW w:w="2441" w:type="dxa"/>
            <w:vMerge w:val="restart"/>
            <w:vAlign w:val="center"/>
          </w:tcPr>
          <w:p w14:paraId="55B9FA13">
            <w:pPr>
              <w:pStyle w:val="8"/>
              <w:suppressLineNumbers w:val="0"/>
              <w:bidi w:val="0"/>
              <w:spacing w:before="0" w:beforeAutospacing="0" w:after="0" w:afterAutospacing="0"/>
              <w:ind w:left="0" w:right="0"/>
              <w:rPr>
                <w:rFonts w:hint="default"/>
                <w:highlight w:val="none"/>
              </w:rPr>
            </w:pPr>
            <w:r>
              <w:rPr>
                <w:rFonts w:hint="default"/>
                <w:highlight w:val="none"/>
              </w:rPr>
              <w:t>《地表水环境质量标准》（GB3838-2002）</w:t>
            </w:r>
            <w:r>
              <w:rPr>
                <w:rFonts w:hint="default" w:eastAsiaTheme="minorEastAsia"/>
                <w:kern w:val="0"/>
                <w:szCs w:val="21"/>
                <w:highlight w:val="none"/>
              </w:rPr>
              <w:t>Ⅳ</w:t>
            </w:r>
            <w:r>
              <w:rPr>
                <w:rFonts w:hint="default"/>
                <w:highlight w:val="none"/>
              </w:rPr>
              <w:t>类</w:t>
            </w:r>
          </w:p>
        </w:tc>
        <w:tc>
          <w:tcPr>
            <w:tcW w:w="1509" w:type="dxa"/>
            <w:vAlign w:val="center"/>
          </w:tcPr>
          <w:p w14:paraId="52A27740">
            <w:pPr>
              <w:pStyle w:val="8"/>
              <w:suppressLineNumbers w:val="0"/>
              <w:bidi w:val="0"/>
              <w:spacing w:before="0" w:beforeAutospacing="0" w:after="0" w:afterAutospacing="0"/>
              <w:ind w:left="0" w:right="0"/>
              <w:rPr>
                <w:rFonts w:hint="default"/>
                <w:highlight w:val="none"/>
              </w:rPr>
            </w:pPr>
            <w:r>
              <w:rPr>
                <w:rFonts w:hint="default"/>
                <w:highlight w:val="none"/>
              </w:rPr>
              <w:t>pH</w:t>
            </w:r>
          </w:p>
        </w:tc>
        <w:tc>
          <w:tcPr>
            <w:tcW w:w="1236" w:type="dxa"/>
            <w:vAlign w:val="center"/>
          </w:tcPr>
          <w:p w14:paraId="461EB535">
            <w:pPr>
              <w:pStyle w:val="8"/>
              <w:suppressLineNumbers w:val="0"/>
              <w:bidi w:val="0"/>
              <w:spacing w:before="0" w:beforeAutospacing="0" w:after="0" w:afterAutospacing="0"/>
              <w:ind w:left="0" w:right="0"/>
              <w:rPr>
                <w:rFonts w:hint="default"/>
                <w:highlight w:val="none"/>
              </w:rPr>
            </w:pPr>
            <w:r>
              <w:rPr>
                <w:rFonts w:hint="default"/>
                <w:highlight w:val="none"/>
              </w:rPr>
              <w:t>无量纲</w:t>
            </w:r>
          </w:p>
        </w:tc>
        <w:tc>
          <w:tcPr>
            <w:tcW w:w="2498" w:type="dxa"/>
            <w:gridSpan w:val="2"/>
            <w:vAlign w:val="center"/>
          </w:tcPr>
          <w:p w14:paraId="785F70AC">
            <w:pPr>
              <w:pStyle w:val="8"/>
              <w:suppressLineNumbers w:val="0"/>
              <w:bidi w:val="0"/>
              <w:spacing w:before="0" w:beforeAutospacing="0" w:after="0" w:afterAutospacing="0"/>
              <w:ind w:left="0" w:right="0"/>
              <w:rPr>
                <w:rFonts w:hint="default"/>
                <w:highlight w:val="none"/>
              </w:rPr>
            </w:pPr>
            <w:r>
              <w:rPr>
                <w:rFonts w:hint="default"/>
                <w:highlight w:val="none"/>
              </w:rPr>
              <w:t>6~9</w:t>
            </w:r>
          </w:p>
        </w:tc>
      </w:tr>
      <w:tr w14:paraId="7C5721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7F0CDA80">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391FC020">
            <w:pPr>
              <w:pStyle w:val="8"/>
              <w:suppressLineNumbers w:val="0"/>
              <w:bidi w:val="0"/>
              <w:spacing w:before="0" w:beforeAutospacing="0" w:after="0" w:afterAutospacing="0"/>
              <w:ind w:left="0" w:right="0"/>
              <w:rPr>
                <w:rFonts w:hint="default"/>
                <w:highlight w:val="none"/>
              </w:rPr>
            </w:pPr>
          </w:p>
        </w:tc>
        <w:tc>
          <w:tcPr>
            <w:tcW w:w="1509" w:type="dxa"/>
            <w:vAlign w:val="center"/>
          </w:tcPr>
          <w:p w14:paraId="010809B4">
            <w:pPr>
              <w:pStyle w:val="8"/>
              <w:suppressLineNumbers w:val="0"/>
              <w:bidi w:val="0"/>
              <w:spacing w:before="0" w:beforeAutospacing="0" w:after="0" w:afterAutospacing="0"/>
              <w:ind w:left="0" w:right="0"/>
              <w:rPr>
                <w:rFonts w:hint="default"/>
                <w:highlight w:val="none"/>
              </w:rPr>
            </w:pPr>
            <w:r>
              <w:rPr>
                <w:rFonts w:hint="default"/>
                <w:highlight w:val="none"/>
              </w:rPr>
              <w:t>COD</w:t>
            </w:r>
          </w:p>
        </w:tc>
        <w:tc>
          <w:tcPr>
            <w:tcW w:w="1236" w:type="dxa"/>
            <w:vMerge w:val="restart"/>
            <w:vAlign w:val="center"/>
          </w:tcPr>
          <w:p w14:paraId="2FC13671">
            <w:pPr>
              <w:pStyle w:val="8"/>
              <w:suppressLineNumbers w:val="0"/>
              <w:bidi w:val="0"/>
              <w:spacing w:before="0" w:beforeAutospacing="0" w:after="0" w:afterAutospacing="0"/>
              <w:ind w:left="0" w:right="0"/>
              <w:rPr>
                <w:rFonts w:hint="default"/>
                <w:highlight w:val="none"/>
              </w:rPr>
            </w:pPr>
            <w:r>
              <w:rPr>
                <w:rFonts w:hint="default"/>
                <w:highlight w:val="none"/>
              </w:rPr>
              <w:t>mg/m</w:t>
            </w:r>
            <w:r>
              <w:rPr>
                <w:rFonts w:hint="default"/>
                <w:highlight w:val="none"/>
                <w:vertAlign w:val="superscript"/>
              </w:rPr>
              <w:t>3</w:t>
            </w:r>
          </w:p>
        </w:tc>
        <w:tc>
          <w:tcPr>
            <w:tcW w:w="2498" w:type="dxa"/>
            <w:gridSpan w:val="2"/>
            <w:vAlign w:val="center"/>
          </w:tcPr>
          <w:p w14:paraId="367B4D64">
            <w:pPr>
              <w:pStyle w:val="8"/>
              <w:suppressLineNumbers w:val="0"/>
              <w:bidi w:val="0"/>
              <w:spacing w:before="0" w:beforeAutospacing="0" w:after="0" w:afterAutospacing="0"/>
              <w:ind w:left="0" w:right="0"/>
              <w:rPr>
                <w:rFonts w:hint="default"/>
                <w:highlight w:val="none"/>
                <w:lang w:val="en-US" w:eastAsia="zh-CN"/>
              </w:rPr>
            </w:pPr>
            <w:r>
              <w:rPr>
                <w:rFonts w:hint="default"/>
                <w:highlight w:val="none"/>
              </w:rPr>
              <w:t>≤</w:t>
            </w:r>
            <w:r>
              <w:rPr>
                <w:rFonts w:hint="eastAsia"/>
                <w:highlight w:val="none"/>
                <w:lang w:val="en-US" w:eastAsia="zh-CN"/>
              </w:rPr>
              <w:t>20</w:t>
            </w:r>
          </w:p>
        </w:tc>
      </w:tr>
      <w:tr w14:paraId="20A8C4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76B8706E">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60C580BA">
            <w:pPr>
              <w:pStyle w:val="8"/>
              <w:suppressLineNumbers w:val="0"/>
              <w:bidi w:val="0"/>
              <w:spacing w:before="0" w:beforeAutospacing="0" w:after="0" w:afterAutospacing="0"/>
              <w:ind w:left="0" w:right="0"/>
              <w:rPr>
                <w:rFonts w:hint="default"/>
                <w:highlight w:val="none"/>
              </w:rPr>
            </w:pPr>
          </w:p>
        </w:tc>
        <w:tc>
          <w:tcPr>
            <w:tcW w:w="1509" w:type="dxa"/>
            <w:vAlign w:val="center"/>
          </w:tcPr>
          <w:p w14:paraId="7963CE51">
            <w:pPr>
              <w:pStyle w:val="8"/>
              <w:suppressLineNumbers w:val="0"/>
              <w:bidi w:val="0"/>
              <w:spacing w:before="0" w:beforeAutospacing="0" w:after="0" w:afterAutospacing="0"/>
              <w:ind w:left="0" w:right="0"/>
              <w:rPr>
                <w:rFonts w:hint="default"/>
                <w:highlight w:val="none"/>
              </w:rPr>
            </w:pPr>
            <w:r>
              <w:rPr>
                <w:rFonts w:hint="default"/>
                <w:highlight w:val="none"/>
              </w:rPr>
              <w:t>NH</w:t>
            </w:r>
            <w:r>
              <w:rPr>
                <w:rFonts w:hint="default"/>
                <w:highlight w:val="none"/>
                <w:vertAlign w:val="subscript"/>
              </w:rPr>
              <w:t>3</w:t>
            </w:r>
            <w:r>
              <w:rPr>
                <w:rFonts w:hint="default"/>
                <w:highlight w:val="none"/>
              </w:rPr>
              <w:t>-N</w:t>
            </w:r>
          </w:p>
        </w:tc>
        <w:tc>
          <w:tcPr>
            <w:tcW w:w="1236" w:type="dxa"/>
            <w:vMerge w:val="continue"/>
            <w:vAlign w:val="center"/>
          </w:tcPr>
          <w:p w14:paraId="29C8426B">
            <w:pPr>
              <w:pStyle w:val="8"/>
              <w:suppressLineNumbers w:val="0"/>
              <w:bidi w:val="0"/>
              <w:spacing w:before="0" w:beforeAutospacing="0" w:after="0" w:afterAutospacing="0"/>
              <w:ind w:left="0" w:right="0"/>
              <w:rPr>
                <w:rFonts w:hint="default"/>
                <w:highlight w:val="none"/>
              </w:rPr>
            </w:pPr>
          </w:p>
        </w:tc>
        <w:tc>
          <w:tcPr>
            <w:tcW w:w="2498" w:type="dxa"/>
            <w:gridSpan w:val="2"/>
            <w:vAlign w:val="center"/>
          </w:tcPr>
          <w:p w14:paraId="7719AC52">
            <w:pPr>
              <w:pStyle w:val="8"/>
              <w:suppressLineNumbers w:val="0"/>
              <w:bidi w:val="0"/>
              <w:spacing w:before="0" w:beforeAutospacing="0" w:after="0" w:afterAutospacing="0"/>
              <w:ind w:left="0" w:right="0"/>
              <w:rPr>
                <w:rFonts w:hint="eastAsia"/>
                <w:highlight w:val="none"/>
                <w:lang w:eastAsia="zh-CN"/>
              </w:rPr>
            </w:pPr>
            <w:r>
              <w:rPr>
                <w:rFonts w:hint="default"/>
                <w:highlight w:val="none"/>
              </w:rPr>
              <w:t>≤1.</w:t>
            </w:r>
            <w:r>
              <w:rPr>
                <w:rFonts w:hint="eastAsia"/>
                <w:highlight w:val="none"/>
                <w:lang w:val="en-US" w:eastAsia="zh-CN"/>
              </w:rPr>
              <w:t>0</w:t>
            </w:r>
          </w:p>
        </w:tc>
      </w:tr>
      <w:tr w14:paraId="11DDE2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04A18F03">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553C3C58">
            <w:pPr>
              <w:pStyle w:val="8"/>
              <w:suppressLineNumbers w:val="0"/>
              <w:bidi w:val="0"/>
              <w:spacing w:before="0" w:beforeAutospacing="0" w:after="0" w:afterAutospacing="0"/>
              <w:ind w:left="0" w:right="0"/>
              <w:rPr>
                <w:rFonts w:hint="default"/>
                <w:highlight w:val="none"/>
              </w:rPr>
            </w:pPr>
          </w:p>
        </w:tc>
        <w:tc>
          <w:tcPr>
            <w:tcW w:w="1509" w:type="dxa"/>
            <w:vAlign w:val="center"/>
          </w:tcPr>
          <w:p w14:paraId="07468F84">
            <w:pPr>
              <w:pStyle w:val="8"/>
              <w:suppressLineNumbers w:val="0"/>
              <w:bidi w:val="0"/>
              <w:spacing w:before="0" w:beforeAutospacing="0" w:after="0" w:afterAutospacing="0"/>
              <w:ind w:left="0" w:right="0"/>
              <w:rPr>
                <w:rFonts w:hint="default"/>
                <w:highlight w:val="none"/>
              </w:rPr>
            </w:pPr>
            <w:r>
              <w:rPr>
                <w:rFonts w:hint="default"/>
                <w:highlight w:val="none"/>
              </w:rPr>
              <w:t>BOD</w:t>
            </w:r>
            <w:r>
              <w:rPr>
                <w:rFonts w:hint="default"/>
                <w:highlight w:val="none"/>
                <w:vertAlign w:val="subscript"/>
              </w:rPr>
              <w:t>5</w:t>
            </w:r>
          </w:p>
        </w:tc>
        <w:tc>
          <w:tcPr>
            <w:tcW w:w="1236" w:type="dxa"/>
            <w:vMerge w:val="continue"/>
            <w:vAlign w:val="center"/>
          </w:tcPr>
          <w:p w14:paraId="12509F4A">
            <w:pPr>
              <w:pStyle w:val="8"/>
              <w:suppressLineNumbers w:val="0"/>
              <w:bidi w:val="0"/>
              <w:spacing w:before="0" w:beforeAutospacing="0" w:after="0" w:afterAutospacing="0"/>
              <w:ind w:left="0" w:right="0"/>
              <w:rPr>
                <w:rFonts w:hint="default"/>
                <w:highlight w:val="none"/>
              </w:rPr>
            </w:pPr>
          </w:p>
        </w:tc>
        <w:tc>
          <w:tcPr>
            <w:tcW w:w="2498" w:type="dxa"/>
            <w:gridSpan w:val="2"/>
            <w:vAlign w:val="center"/>
          </w:tcPr>
          <w:p w14:paraId="3AEA2788">
            <w:pPr>
              <w:pStyle w:val="8"/>
              <w:suppressLineNumbers w:val="0"/>
              <w:bidi w:val="0"/>
              <w:spacing w:before="0" w:beforeAutospacing="0" w:after="0" w:afterAutospacing="0"/>
              <w:ind w:left="0" w:right="0"/>
              <w:rPr>
                <w:rFonts w:hint="eastAsia"/>
                <w:highlight w:val="none"/>
                <w:lang w:eastAsia="zh-CN"/>
              </w:rPr>
            </w:pPr>
            <w:r>
              <w:rPr>
                <w:rFonts w:hint="default"/>
                <w:highlight w:val="none"/>
              </w:rPr>
              <w:t>≤</w:t>
            </w:r>
            <w:r>
              <w:rPr>
                <w:rFonts w:hint="eastAsia"/>
                <w:highlight w:val="none"/>
                <w:lang w:val="en-US" w:eastAsia="zh-CN"/>
              </w:rPr>
              <w:t>4</w:t>
            </w:r>
          </w:p>
        </w:tc>
      </w:tr>
      <w:tr w14:paraId="27D472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1F207360">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65AAED97">
            <w:pPr>
              <w:pStyle w:val="8"/>
              <w:suppressLineNumbers w:val="0"/>
              <w:bidi w:val="0"/>
              <w:spacing w:before="0" w:beforeAutospacing="0" w:after="0" w:afterAutospacing="0"/>
              <w:ind w:left="0" w:right="0"/>
              <w:rPr>
                <w:rFonts w:hint="default"/>
                <w:highlight w:val="none"/>
              </w:rPr>
            </w:pPr>
          </w:p>
        </w:tc>
        <w:tc>
          <w:tcPr>
            <w:tcW w:w="1509" w:type="dxa"/>
            <w:vAlign w:val="center"/>
          </w:tcPr>
          <w:p w14:paraId="47AE18AE">
            <w:pPr>
              <w:pStyle w:val="8"/>
              <w:suppressLineNumbers w:val="0"/>
              <w:bidi w:val="0"/>
              <w:spacing w:before="0" w:beforeAutospacing="0" w:after="0" w:afterAutospacing="0"/>
              <w:ind w:left="0" w:right="0"/>
              <w:rPr>
                <w:rFonts w:hint="default"/>
                <w:highlight w:val="none"/>
              </w:rPr>
            </w:pPr>
            <w:r>
              <w:rPr>
                <w:rFonts w:hint="default"/>
                <w:highlight w:val="none"/>
              </w:rPr>
              <w:t>溶解氧</w:t>
            </w:r>
          </w:p>
        </w:tc>
        <w:tc>
          <w:tcPr>
            <w:tcW w:w="1236" w:type="dxa"/>
            <w:vMerge w:val="continue"/>
            <w:vAlign w:val="center"/>
          </w:tcPr>
          <w:p w14:paraId="2D04B909">
            <w:pPr>
              <w:pStyle w:val="8"/>
              <w:suppressLineNumbers w:val="0"/>
              <w:bidi w:val="0"/>
              <w:spacing w:before="0" w:beforeAutospacing="0" w:after="0" w:afterAutospacing="0"/>
              <w:ind w:left="0" w:right="0"/>
              <w:rPr>
                <w:rFonts w:hint="default"/>
                <w:highlight w:val="none"/>
              </w:rPr>
            </w:pPr>
          </w:p>
        </w:tc>
        <w:tc>
          <w:tcPr>
            <w:tcW w:w="2498" w:type="dxa"/>
            <w:gridSpan w:val="2"/>
            <w:vAlign w:val="center"/>
          </w:tcPr>
          <w:p w14:paraId="2F5809FA">
            <w:pPr>
              <w:pStyle w:val="8"/>
              <w:suppressLineNumbers w:val="0"/>
              <w:bidi w:val="0"/>
              <w:spacing w:before="0" w:beforeAutospacing="0" w:after="0" w:afterAutospacing="0"/>
              <w:ind w:left="0" w:right="0"/>
              <w:rPr>
                <w:rFonts w:hint="eastAsia"/>
                <w:highlight w:val="none"/>
                <w:lang w:eastAsia="zh-CN"/>
              </w:rPr>
            </w:pPr>
            <w:r>
              <w:rPr>
                <w:rFonts w:hint="default"/>
                <w:highlight w:val="none"/>
              </w:rPr>
              <w:t>≥</w:t>
            </w:r>
            <w:r>
              <w:rPr>
                <w:rFonts w:hint="eastAsia"/>
                <w:highlight w:val="none"/>
                <w:lang w:val="en-US" w:eastAsia="zh-CN"/>
              </w:rPr>
              <w:t>5</w:t>
            </w:r>
          </w:p>
        </w:tc>
      </w:tr>
      <w:tr w14:paraId="2DD30B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28B9A80A">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78C25ACC">
            <w:pPr>
              <w:pStyle w:val="8"/>
              <w:suppressLineNumbers w:val="0"/>
              <w:bidi w:val="0"/>
              <w:spacing w:before="0" w:beforeAutospacing="0" w:after="0" w:afterAutospacing="0"/>
              <w:ind w:left="0" w:right="0"/>
              <w:rPr>
                <w:rFonts w:hint="default"/>
                <w:highlight w:val="none"/>
              </w:rPr>
            </w:pPr>
          </w:p>
        </w:tc>
        <w:tc>
          <w:tcPr>
            <w:tcW w:w="1509" w:type="dxa"/>
            <w:vAlign w:val="center"/>
          </w:tcPr>
          <w:p w14:paraId="6662148D">
            <w:pPr>
              <w:pStyle w:val="8"/>
              <w:suppressLineNumbers w:val="0"/>
              <w:bidi w:val="0"/>
              <w:spacing w:before="0" w:beforeAutospacing="0" w:after="0" w:afterAutospacing="0"/>
              <w:ind w:left="0" w:right="0"/>
              <w:rPr>
                <w:rFonts w:hint="default"/>
                <w:highlight w:val="none"/>
              </w:rPr>
            </w:pPr>
            <w:r>
              <w:rPr>
                <w:rFonts w:hint="default"/>
                <w:highlight w:val="none"/>
              </w:rPr>
              <w:t>高锰酸盐指数</w:t>
            </w:r>
          </w:p>
        </w:tc>
        <w:tc>
          <w:tcPr>
            <w:tcW w:w="1236" w:type="dxa"/>
            <w:vMerge w:val="continue"/>
            <w:vAlign w:val="center"/>
          </w:tcPr>
          <w:p w14:paraId="29DAC5B2">
            <w:pPr>
              <w:pStyle w:val="8"/>
              <w:suppressLineNumbers w:val="0"/>
              <w:bidi w:val="0"/>
              <w:spacing w:before="0" w:beforeAutospacing="0" w:after="0" w:afterAutospacing="0"/>
              <w:ind w:left="0" w:right="0"/>
              <w:rPr>
                <w:rFonts w:hint="default"/>
                <w:highlight w:val="none"/>
              </w:rPr>
            </w:pPr>
          </w:p>
        </w:tc>
        <w:tc>
          <w:tcPr>
            <w:tcW w:w="2498" w:type="dxa"/>
            <w:gridSpan w:val="2"/>
            <w:vAlign w:val="center"/>
          </w:tcPr>
          <w:p w14:paraId="6E1DBA95">
            <w:pPr>
              <w:pStyle w:val="8"/>
              <w:suppressLineNumbers w:val="0"/>
              <w:bidi w:val="0"/>
              <w:spacing w:before="0" w:beforeAutospacing="0" w:after="0" w:afterAutospacing="0"/>
              <w:ind w:left="0" w:right="0"/>
              <w:rPr>
                <w:rFonts w:hint="eastAsia"/>
                <w:highlight w:val="none"/>
                <w:lang w:eastAsia="zh-CN"/>
              </w:rPr>
            </w:pPr>
            <w:r>
              <w:rPr>
                <w:rFonts w:hint="default"/>
                <w:highlight w:val="none"/>
              </w:rPr>
              <w:t>≤</w:t>
            </w:r>
            <w:r>
              <w:rPr>
                <w:rFonts w:hint="eastAsia"/>
                <w:highlight w:val="none"/>
                <w:lang w:val="en-US" w:eastAsia="zh-CN"/>
              </w:rPr>
              <w:t>6</w:t>
            </w:r>
          </w:p>
        </w:tc>
      </w:tr>
      <w:tr w14:paraId="26B0CA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2AF3D69C">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51C3299D">
            <w:pPr>
              <w:pStyle w:val="8"/>
              <w:suppressLineNumbers w:val="0"/>
              <w:bidi w:val="0"/>
              <w:spacing w:before="0" w:beforeAutospacing="0" w:after="0" w:afterAutospacing="0"/>
              <w:ind w:left="0" w:right="0"/>
              <w:rPr>
                <w:rFonts w:hint="default"/>
                <w:highlight w:val="none"/>
              </w:rPr>
            </w:pPr>
          </w:p>
        </w:tc>
        <w:tc>
          <w:tcPr>
            <w:tcW w:w="1509" w:type="dxa"/>
            <w:vAlign w:val="center"/>
          </w:tcPr>
          <w:p w14:paraId="1DCAD6A1">
            <w:pPr>
              <w:pStyle w:val="8"/>
              <w:suppressLineNumbers w:val="0"/>
              <w:bidi w:val="0"/>
              <w:spacing w:before="0" w:beforeAutospacing="0" w:after="0" w:afterAutospacing="0"/>
              <w:ind w:left="0" w:right="0"/>
              <w:rPr>
                <w:rFonts w:hint="default"/>
                <w:highlight w:val="none"/>
              </w:rPr>
            </w:pPr>
            <w:r>
              <w:rPr>
                <w:rFonts w:hint="default"/>
                <w:highlight w:val="none"/>
              </w:rPr>
              <w:t>石油类</w:t>
            </w:r>
          </w:p>
        </w:tc>
        <w:tc>
          <w:tcPr>
            <w:tcW w:w="1236" w:type="dxa"/>
            <w:vMerge w:val="continue"/>
            <w:vAlign w:val="center"/>
          </w:tcPr>
          <w:p w14:paraId="42ACB87E">
            <w:pPr>
              <w:pStyle w:val="8"/>
              <w:suppressLineNumbers w:val="0"/>
              <w:bidi w:val="0"/>
              <w:spacing w:before="0" w:beforeAutospacing="0" w:after="0" w:afterAutospacing="0"/>
              <w:ind w:left="0" w:right="0"/>
              <w:rPr>
                <w:rFonts w:hint="default"/>
                <w:highlight w:val="none"/>
              </w:rPr>
            </w:pPr>
          </w:p>
        </w:tc>
        <w:tc>
          <w:tcPr>
            <w:tcW w:w="2498" w:type="dxa"/>
            <w:gridSpan w:val="2"/>
            <w:vAlign w:val="center"/>
          </w:tcPr>
          <w:p w14:paraId="22D874B8">
            <w:pPr>
              <w:pStyle w:val="8"/>
              <w:suppressLineNumbers w:val="0"/>
              <w:bidi w:val="0"/>
              <w:spacing w:before="0" w:beforeAutospacing="0" w:after="0" w:afterAutospacing="0"/>
              <w:ind w:left="0" w:right="0"/>
              <w:rPr>
                <w:rFonts w:hint="default"/>
                <w:highlight w:val="none"/>
              </w:rPr>
            </w:pPr>
            <w:r>
              <w:rPr>
                <w:rFonts w:hint="default"/>
                <w:highlight w:val="none"/>
              </w:rPr>
              <w:t>≤0.5</w:t>
            </w:r>
          </w:p>
        </w:tc>
      </w:tr>
      <w:tr w14:paraId="7A5942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2520E655">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30EAF2CD">
            <w:pPr>
              <w:pStyle w:val="8"/>
              <w:suppressLineNumbers w:val="0"/>
              <w:bidi w:val="0"/>
              <w:spacing w:before="0" w:beforeAutospacing="0" w:after="0" w:afterAutospacing="0"/>
              <w:ind w:left="0" w:right="0"/>
              <w:rPr>
                <w:rFonts w:hint="default"/>
                <w:highlight w:val="none"/>
              </w:rPr>
            </w:pPr>
          </w:p>
        </w:tc>
        <w:tc>
          <w:tcPr>
            <w:tcW w:w="1509" w:type="dxa"/>
            <w:vAlign w:val="center"/>
          </w:tcPr>
          <w:p w14:paraId="16A8B3BB">
            <w:pPr>
              <w:pStyle w:val="8"/>
              <w:suppressLineNumbers w:val="0"/>
              <w:bidi w:val="0"/>
              <w:spacing w:before="0" w:beforeAutospacing="0" w:after="0" w:afterAutospacing="0"/>
              <w:ind w:left="0" w:right="0"/>
              <w:rPr>
                <w:rFonts w:hint="default"/>
                <w:highlight w:val="none"/>
              </w:rPr>
            </w:pPr>
            <w:r>
              <w:rPr>
                <w:rFonts w:hint="default"/>
                <w:highlight w:val="none"/>
              </w:rPr>
              <w:t>总磷</w:t>
            </w:r>
          </w:p>
        </w:tc>
        <w:tc>
          <w:tcPr>
            <w:tcW w:w="1236" w:type="dxa"/>
            <w:vMerge w:val="continue"/>
            <w:vAlign w:val="center"/>
          </w:tcPr>
          <w:p w14:paraId="42680E90">
            <w:pPr>
              <w:pStyle w:val="8"/>
              <w:suppressLineNumbers w:val="0"/>
              <w:bidi w:val="0"/>
              <w:spacing w:before="0" w:beforeAutospacing="0" w:after="0" w:afterAutospacing="0"/>
              <w:ind w:left="0" w:right="0"/>
              <w:rPr>
                <w:rFonts w:hint="default"/>
                <w:highlight w:val="none"/>
              </w:rPr>
            </w:pPr>
          </w:p>
        </w:tc>
        <w:tc>
          <w:tcPr>
            <w:tcW w:w="2498" w:type="dxa"/>
            <w:gridSpan w:val="2"/>
            <w:vAlign w:val="center"/>
          </w:tcPr>
          <w:p w14:paraId="4D8FF4D5">
            <w:pPr>
              <w:pStyle w:val="8"/>
              <w:suppressLineNumbers w:val="0"/>
              <w:bidi w:val="0"/>
              <w:spacing w:before="0" w:beforeAutospacing="0" w:after="0" w:afterAutospacing="0"/>
              <w:ind w:left="0" w:right="0"/>
              <w:rPr>
                <w:rFonts w:hint="default"/>
                <w:highlight w:val="none"/>
              </w:rPr>
            </w:pPr>
            <w:r>
              <w:rPr>
                <w:rFonts w:hint="default"/>
                <w:highlight w:val="none"/>
              </w:rPr>
              <w:t>≤0.3</w:t>
            </w:r>
          </w:p>
        </w:tc>
      </w:tr>
      <w:tr w14:paraId="668083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restart"/>
            <w:vAlign w:val="center"/>
          </w:tcPr>
          <w:p w14:paraId="77774635">
            <w:pPr>
              <w:pStyle w:val="8"/>
              <w:suppressLineNumbers w:val="0"/>
              <w:bidi w:val="0"/>
              <w:spacing w:before="0" w:beforeAutospacing="0" w:after="0" w:afterAutospacing="0"/>
              <w:ind w:left="0" w:right="0"/>
              <w:rPr>
                <w:rFonts w:hint="default"/>
                <w:highlight w:val="none"/>
              </w:rPr>
            </w:pPr>
            <w:r>
              <w:rPr>
                <w:rFonts w:hint="default"/>
                <w:highlight w:val="none"/>
              </w:rPr>
              <w:t>地下水环境</w:t>
            </w:r>
          </w:p>
        </w:tc>
        <w:tc>
          <w:tcPr>
            <w:tcW w:w="2441" w:type="dxa"/>
            <w:vMerge w:val="restart"/>
            <w:vAlign w:val="center"/>
          </w:tcPr>
          <w:p w14:paraId="1FC6AD42">
            <w:pPr>
              <w:pStyle w:val="8"/>
              <w:suppressLineNumbers w:val="0"/>
              <w:bidi w:val="0"/>
              <w:spacing w:before="0" w:beforeAutospacing="0" w:after="0" w:afterAutospacing="0"/>
              <w:ind w:left="0" w:right="0"/>
              <w:rPr>
                <w:rFonts w:hint="default"/>
                <w:highlight w:val="none"/>
              </w:rPr>
            </w:pPr>
            <w:r>
              <w:rPr>
                <w:rFonts w:hint="default"/>
                <w:highlight w:val="none"/>
              </w:rPr>
              <w:t>《地下水质量标准》（GB/T14848-2017）Ⅲ类</w:t>
            </w:r>
          </w:p>
        </w:tc>
        <w:tc>
          <w:tcPr>
            <w:tcW w:w="1509" w:type="dxa"/>
            <w:vAlign w:val="center"/>
          </w:tcPr>
          <w:p w14:paraId="174921F1">
            <w:pPr>
              <w:pStyle w:val="8"/>
              <w:suppressLineNumbers w:val="0"/>
              <w:bidi w:val="0"/>
              <w:spacing w:before="0" w:beforeAutospacing="0" w:after="0" w:afterAutospacing="0"/>
              <w:ind w:left="0" w:right="0"/>
              <w:rPr>
                <w:rFonts w:hint="default"/>
                <w:highlight w:val="none"/>
              </w:rPr>
            </w:pPr>
            <w:r>
              <w:rPr>
                <w:rFonts w:hint="default"/>
                <w:highlight w:val="none"/>
              </w:rPr>
              <w:t>pH值</w:t>
            </w:r>
          </w:p>
        </w:tc>
        <w:tc>
          <w:tcPr>
            <w:tcW w:w="1236" w:type="dxa"/>
            <w:vAlign w:val="center"/>
          </w:tcPr>
          <w:p w14:paraId="37645177">
            <w:pPr>
              <w:pStyle w:val="8"/>
              <w:suppressLineNumbers w:val="0"/>
              <w:bidi w:val="0"/>
              <w:spacing w:before="0" w:beforeAutospacing="0" w:after="0" w:afterAutospacing="0"/>
              <w:ind w:left="0" w:right="0"/>
              <w:rPr>
                <w:rFonts w:hint="default"/>
                <w:highlight w:val="none"/>
              </w:rPr>
            </w:pPr>
            <w:r>
              <w:rPr>
                <w:rFonts w:hint="default"/>
                <w:highlight w:val="none"/>
              </w:rPr>
              <w:t>无量纲</w:t>
            </w:r>
          </w:p>
        </w:tc>
        <w:tc>
          <w:tcPr>
            <w:tcW w:w="2498" w:type="dxa"/>
            <w:gridSpan w:val="2"/>
            <w:vAlign w:val="center"/>
          </w:tcPr>
          <w:p w14:paraId="35E57183">
            <w:pPr>
              <w:pStyle w:val="8"/>
              <w:suppressLineNumbers w:val="0"/>
              <w:bidi w:val="0"/>
              <w:spacing w:before="0" w:beforeAutospacing="0" w:after="0" w:afterAutospacing="0"/>
              <w:ind w:left="0" w:right="0"/>
              <w:rPr>
                <w:rFonts w:hint="default"/>
                <w:highlight w:val="none"/>
              </w:rPr>
            </w:pPr>
            <w:r>
              <w:rPr>
                <w:rFonts w:hint="default"/>
                <w:highlight w:val="none"/>
              </w:rPr>
              <w:t>6.5~8.5</w:t>
            </w:r>
          </w:p>
        </w:tc>
      </w:tr>
      <w:tr w14:paraId="0ED16D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60F79A81">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37139502">
            <w:pPr>
              <w:pStyle w:val="8"/>
              <w:suppressLineNumbers w:val="0"/>
              <w:bidi w:val="0"/>
              <w:spacing w:before="0" w:beforeAutospacing="0" w:after="0" w:afterAutospacing="0"/>
              <w:ind w:left="0" w:right="0"/>
              <w:rPr>
                <w:rFonts w:hint="default"/>
                <w:highlight w:val="none"/>
              </w:rPr>
            </w:pPr>
          </w:p>
        </w:tc>
        <w:tc>
          <w:tcPr>
            <w:tcW w:w="1509" w:type="dxa"/>
            <w:vAlign w:val="center"/>
          </w:tcPr>
          <w:p w14:paraId="011445BB">
            <w:pPr>
              <w:pStyle w:val="8"/>
              <w:suppressLineNumbers w:val="0"/>
              <w:bidi w:val="0"/>
              <w:spacing w:before="0" w:beforeAutospacing="0" w:after="0" w:afterAutospacing="0"/>
              <w:ind w:left="0" w:right="0"/>
              <w:rPr>
                <w:rFonts w:hint="default"/>
                <w:highlight w:val="none"/>
              </w:rPr>
            </w:pPr>
            <w:r>
              <w:rPr>
                <w:rFonts w:hint="default"/>
                <w:highlight w:val="none"/>
              </w:rPr>
              <w:t>氨氮</w:t>
            </w:r>
          </w:p>
        </w:tc>
        <w:tc>
          <w:tcPr>
            <w:tcW w:w="1236" w:type="dxa"/>
            <w:vMerge w:val="restart"/>
            <w:vAlign w:val="center"/>
          </w:tcPr>
          <w:p w14:paraId="6AF904BC">
            <w:pPr>
              <w:pStyle w:val="8"/>
              <w:suppressLineNumbers w:val="0"/>
              <w:bidi w:val="0"/>
              <w:spacing w:before="0" w:beforeAutospacing="0" w:after="0" w:afterAutospacing="0"/>
              <w:ind w:left="0" w:right="0"/>
              <w:rPr>
                <w:rFonts w:hint="default"/>
                <w:highlight w:val="none"/>
              </w:rPr>
            </w:pPr>
            <w:r>
              <w:rPr>
                <w:rFonts w:hint="default"/>
                <w:highlight w:val="none"/>
              </w:rPr>
              <w:t>mg/L</w:t>
            </w:r>
          </w:p>
        </w:tc>
        <w:tc>
          <w:tcPr>
            <w:tcW w:w="2498" w:type="dxa"/>
            <w:gridSpan w:val="2"/>
            <w:vAlign w:val="center"/>
          </w:tcPr>
          <w:p w14:paraId="7DDB2BB1">
            <w:pPr>
              <w:pStyle w:val="8"/>
              <w:suppressLineNumbers w:val="0"/>
              <w:bidi w:val="0"/>
              <w:spacing w:before="0" w:beforeAutospacing="0" w:after="0" w:afterAutospacing="0"/>
              <w:ind w:left="0" w:right="0"/>
              <w:rPr>
                <w:rFonts w:hint="default"/>
                <w:highlight w:val="none"/>
              </w:rPr>
            </w:pPr>
            <w:r>
              <w:rPr>
                <w:rFonts w:hint="default"/>
                <w:highlight w:val="none"/>
              </w:rPr>
              <w:t>≤0.5</w:t>
            </w:r>
          </w:p>
        </w:tc>
      </w:tr>
      <w:tr w14:paraId="6F9E68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4F1CC71E">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71735175">
            <w:pPr>
              <w:pStyle w:val="8"/>
              <w:suppressLineNumbers w:val="0"/>
              <w:bidi w:val="0"/>
              <w:spacing w:before="0" w:beforeAutospacing="0" w:after="0" w:afterAutospacing="0"/>
              <w:ind w:left="0" w:right="0"/>
              <w:rPr>
                <w:rFonts w:hint="default"/>
                <w:highlight w:val="none"/>
              </w:rPr>
            </w:pPr>
          </w:p>
        </w:tc>
        <w:tc>
          <w:tcPr>
            <w:tcW w:w="1509" w:type="dxa"/>
            <w:vAlign w:val="center"/>
          </w:tcPr>
          <w:p w14:paraId="7215062F">
            <w:pPr>
              <w:pStyle w:val="8"/>
              <w:suppressLineNumbers w:val="0"/>
              <w:bidi w:val="0"/>
              <w:spacing w:before="0" w:beforeAutospacing="0" w:after="0" w:afterAutospacing="0"/>
              <w:ind w:left="0" w:right="0"/>
              <w:rPr>
                <w:rFonts w:hint="default"/>
                <w:highlight w:val="none"/>
              </w:rPr>
            </w:pPr>
            <w:r>
              <w:rPr>
                <w:rFonts w:hint="default"/>
                <w:highlight w:val="none"/>
              </w:rPr>
              <w:t>硝酸盐</w:t>
            </w:r>
          </w:p>
        </w:tc>
        <w:tc>
          <w:tcPr>
            <w:tcW w:w="1236" w:type="dxa"/>
            <w:vMerge w:val="continue"/>
            <w:vAlign w:val="center"/>
          </w:tcPr>
          <w:p w14:paraId="0CFAE508">
            <w:pPr>
              <w:pStyle w:val="8"/>
              <w:suppressLineNumbers w:val="0"/>
              <w:bidi w:val="0"/>
              <w:spacing w:before="0" w:beforeAutospacing="0" w:after="0" w:afterAutospacing="0"/>
              <w:ind w:left="0" w:right="0"/>
              <w:rPr>
                <w:rFonts w:hint="default"/>
                <w:highlight w:val="none"/>
              </w:rPr>
            </w:pPr>
          </w:p>
        </w:tc>
        <w:tc>
          <w:tcPr>
            <w:tcW w:w="2498" w:type="dxa"/>
            <w:gridSpan w:val="2"/>
            <w:vAlign w:val="center"/>
          </w:tcPr>
          <w:p w14:paraId="4EE3CDC8">
            <w:pPr>
              <w:pStyle w:val="8"/>
              <w:suppressLineNumbers w:val="0"/>
              <w:bidi w:val="0"/>
              <w:spacing w:before="0" w:beforeAutospacing="0" w:after="0" w:afterAutospacing="0"/>
              <w:ind w:left="0" w:right="0"/>
              <w:rPr>
                <w:rFonts w:hint="default"/>
                <w:highlight w:val="none"/>
              </w:rPr>
            </w:pPr>
            <w:r>
              <w:rPr>
                <w:rFonts w:hint="default"/>
                <w:highlight w:val="none"/>
              </w:rPr>
              <w:t>≤20</w:t>
            </w:r>
          </w:p>
        </w:tc>
      </w:tr>
      <w:tr w14:paraId="347947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059D24E8">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7AB79046">
            <w:pPr>
              <w:pStyle w:val="8"/>
              <w:suppressLineNumbers w:val="0"/>
              <w:bidi w:val="0"/>
              <w:spacing w:before="0" w:beforeAutospacing="0" w:after="0" w:afterAutospacing="0"/>
              <w:ind w:left="0" w:right="0"/>
              <w:rPr>
                <w:rFonts w:hint="default"/>
                <w:highlight w:val="none"/>
              </w:rPr>
            </w:pPr>
          </w:p>
        </w:tc>
        <w:tc>
          <w:tcPr>
            <w:tcW w:w="1509" w:type="dxa"/>
            <w:vAlign w:val="center"/>
          </w:tcPr>
          <w:p w14:paraId="44068524">
            <w:pPr>
              <w:pStyle w:val="8"/>
              <w:suppressLineNumbers w:val="0"/>
              <w:bidi w:val="0"/>
              <w:spacing w:before="0" w:beforeAutospacing="0" w:after="0" w:afterAutospacing="0"/>
              <w:ind w:left="0" w:right="0"/>
              <w:rPr>
                <w:rFonts w:hint="default"/>
                <w:highlight w:val="none"/>
              </w:rPr>
            </w:pPr>
            <w:r>
              <w:rPr>
                <w:rFonts w:hint="default"/>
                <w:highlight w:val="none"/>
              </w:rPr>
              <w:t>亚硝酸盐</w:t>
            </w:r>
          </w:p>
        </w:tc>
        <w:tc>
          <w:tcPr>
            <w:tcW w:w="1236" w:type="dxa"/>
            <w:vMerge w:val="continue"/>
            <w:vAlign w:val="center"/>
          </w:tcPr>
          <w:p w14:paraId="7766395A">
            <w:pPr>
              <w:pStyle w:val="8"/>
              <w:suppressLineNumbers w:val="0"/>
              <w:bidi w:val="0"/>
              <w:spacing w:before="0" w:beforeAutospacing="0" w:after="0" w:afterAutospacing="0"/>
              <w:ind w:left="0" w:right="0"/>
              <w:rPr>
                <w:rFonts w:hint="default"/>
                <w:highlight w:val="none"/>
              </w:rPr>
            </w:pPr>
          </w:p>
        </w:tc>
        <w:tc>
          <w:tcPr>
            <w:tcW w:w="2498" w:type="dxa"/>
            <w:gridSpan w:val="2"/>
            <w:vAlign w:val="center"/>
          </w:tcPr>
          <w:p w14:paraId="6198F627">
            <w:pPr>
              <w:pStyle w:val="8"/>
              <w:suppressLineNumbers w:val="0"/>
              <w:bidi w:val="0"/>
              <w:spacing w:before="0" w:beforeAutospacing="0" w:after="0" w:afterAutospacing="0"/>
              <w:ind w:left="0" w:right="0"/>
              <w:rPr>
                <w:rFonts w:hint="default"/>
                <w:highlight w:val="none"/>
              </w:rPr>
            </w:pPr>
            <w:r>
              <w:rPr>
                <w:rFonts w:hint="default"/>
                <w:highlight w:val="none"/>
              </w:rPr>
              <w:t>≤1.0</w:t>
            </w:r>
          </w:p>
        </w:tc>
      </w:tr>
      <w:tr w14:paraId="35416A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221A1680">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0C3C7871">
            <w:pPr>
              <w:pStyle w:val="8"/>
              <w:suppressLineNumbers w:val="0"/>
              <w:bidi w:val="0"/>
              <w:spacing w:before="0" w:beforeAutospacing="0" w:after="0" w:afterAutospacing="0"/>
              <w:ind w:left="0" w:right="0"/>
              <w:rPr>
                <w:rFonts w:hint="default"/>
                <w:highlight w:val="none"/>
              </w:rPr>
            </w:pPr>
          </w:p>
        </w:tc>
        <w:tc>
          <w:tcPr>
            <w:tcW w:w="1509" w:type="dxa"/>
            <w:vAlign w:val="center"/>
          </w:tcPr>
          <w:p w14:paraId="6D87F219">
            <w:pPr>
              <w:pStyle w:val="8"/>
              <w:suppressLineNumbers w:val="0"/>
              <w:bidi w:val="0"/>
              <w:spacing w:before="0" w:beforeAutospacing="0" w:after="0" w:afterAutospacing="0"/>
              <w:ind w:left="0" w:right="0"/>
              <w:rPr>
                <w:rFonts w:hint="default"/>
                <w:highlight w:val="none"/>
              </w:rPr>
            </w:pPr>
            <w:r>
              <w:rPr>
                <w:rFonts w:hint="default"/>
                <w:highlight w:val="none"/>
              </w:rPr>
              <w:t>挥发酚</w:t>
            </w:r>
          </w:p>
        </w:tc>
        <w:tc>
          <w:tcPr>
            <w:tcW w:w="1236" w:type="dxa"/>
            <w:vMerge w:val="continue"/>
            <w:vAlign w:val="center"/>
          </w:tcPr>
          <w:p w14:paraId="23227C90">
            <w:pPr>
              <w:pStyle w:val="8"/>
              <w:suppressLineNumbers w:val="0"/>
              <w:bidi w:val="0"/>
              <w:spacing w:before="0" w:beforeAutospacing="0" w:after="0" w:afterAutospacing="0"/>
              <w:ind w:left="0" w:right="0"/>
              <w:rPr>
                <w:rFonts w:hint="default"/>
                <w:highlight w:val="none"/>
              </w:rPr>
            </w:pPr>
          </w:p>
        </w:tc>
        <w:tc>
          <w:tcPr>
            <w:tcW w:w="2498" w:type="dxa"/>
            <w:gridSpan w:val="2"/>
            <w:vAlign w:val="center"/>
          </w:tcPr>
          <w:p w14:paraId="3012E818">
            <w:pPr>
              <w:pStyle w:val="8"/>
              <w:suppressLineNumbers w:val="0"/>
              <w:bidi w:val="0"/>
              <w:spacing w:before="0" w:beforeAutospacing="0" w:after="0" w:afterAutospacing="0"/>
              <w:ind w:left="0" w:right="0"/>
              <w:rPr>
                <w:rFonts w:hint="default"/>
                <w:highlight w:val="none"/>
              </w:rPr>
            </w:pPr>
            <w:r>
              <w:rPr>
                <w:rFonts w:hint="default"/>
                <w:highlight w:val="none"/>
              </w:rPr>
              <w:t>≤0.002</w:t>
            </w:r>
          </w:p>
        </w:tc>
      </w:tr>
      <w:tr w14:paraId="1106B9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2A27B253">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722C2A81">
            <w:pPr>
              <w:pStyle w:val="8"/>
              <w:suppressLineNumbers w:val="0"/>
              <w:bidi w:val="0"/>
              <w:spacing w:before="0" w:beforeAutospacing="0" w:after="0" w:afterAutospacing="0"/>
              <w:ind w:left="0" w:right="0"/>
              <w:rPr>
                <w:rFonts w:hint="default"/>
                <w:highlight w:val="none"/>
              </w:rPr>
            </w:pPr>
          </w:p>
        </w:tc>
        <w:tc>
          <w:tcPr>
            <w:tcW w:w="1509" w:type="dxa"/>
            <w:vAlign w:val="center"/>
          </w:tcPr>
          <w:p w14:paraId="691054F9">
            <w:pPr>
              <w:pStyle w:val="8"/>
              <w:suppressLineNumbers w:val="0"/>
              <w:bidi w:val="0"/>
              <w:spacing w:before="0" w:beforeAutospacing="0" w:after="0" w:afterAutospacing="0"/>
              <w:ind w:left="0" w:right="0"/>
              <w:rPr>
                <w:rFonts w:hint="default"/>
                <w:highlight w:val="none"/>
              </w:rPr>
            </w:pPr>
            <w:r>
              <w:rPr>
                <w:rFonts w:hint="default"/>
                <w:highlight w:val="none"/>
              </w:rPr>
              <w:t>氰化物</w:t>
            </w:r>
          </w:p>
        </w:tc>
        <w:tc>
          <w:tcPr>
            <w:tcW w:w="1236" w:type="dxa"/>
            <w:vMerge w:val="continue"/>
            <w:vAlign w:val="center"/>
          </w:tcPr>
          <w:p w14:paraId="14260945">
            <w:pPr>
              <w:pStyle w:val="8"/>
              <w:suppressLineNumbers w:val="0"/>
              <w:bidi w:val="0"/>
              <w:spacing w:before="0" w:beforeAutospacing="0" w:after="0" w:afterAutospacing="0"/>
              <w:ind w:left="0" w:right="0"/>
              <w:rPr>
                <w:rFonts w:hint="default"/>
                <w:highlight w:val="none"/>
              </w:rPr>
            </w:pPr>
          </w:p>
        </w:tc>
        <w:tc>
          <w:tcPr>
            <w:tcW w:w="2498" w:type="dxa"/>
            <w:gridSpan w:val="2"/>
            <w:vAlign w:val="center"/>
          </w:tcPr>
          <w:p w14:paraId="1CC2C327">
            <w:pPr>
              <w:pStyle w:val="8"/>
              <w:suppressLineNumbers w:val="0"/>
              <w:bidi w:val="0"/>
              <w:spacing w:before="0" w:beforeAutospacing="0" w:after="0" w:afterAutospacing="0"/>
              <w:ind w:left="0" w:right="0"/>
              <w:rPr>
                <w:rFonts w:hint="default"/>
                <w:highlight w:val="none"/>
              </w:rPr>
            </w:pPr>
            <w:r>
              <w:rPr>
                <w:rFonts w:hint="default"/>
                <w:highlight w:val="none"/>
              </w:rPr>
              <w:t>≤0.05</w:t>
            </w:r>
          </w:p>
        </w:tc>
      </w:tr>
      <w:tr w14:paraId="423036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14D4ACAE">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7114AEF8">
            <w:pPr>
              <w:pStyle w:val="8"/>
              <w:suppressLineNumbers w:val="0"/>
              <w:bidi w:val="0"/>
              <w:spacing w:before="0" w:beforeAutospacing="0" w:after="0" w:afterAutospacing="0"/>
              <w:ind w:left="0" w:right="0"/>
              <w:rPr>
                <w:rFonts w:hint="default"/>
                <w:highlight w:val="none"/>
              </w:rPr>
            </w:pPr>
          </w:p>
        </w:tc>
        <w:tc>
          <w:tcPr>
            <w:tcW w:w="1509" w:type="dxa"/>
            <w:vAlign w:val="center"/>
          </w:tcPr>
          <w:p w14:paraId="5DD4483F">
            <w:pPr>
              <w:pStyle w:val="8"/>
              <w:suppressLineNumbers w:val="0"/>
              <w:bidi w:val="0"/>
              <w:spacing w:before="0" w:beforeAutospacing="0" w:after="0" w:afterAutospacing="0"/>
              <w:ind w:left="0" w:right="0"/>
              <w:rPr>
                <w:rFonts w:hint="default"/>
                <w:highlight w:val="none"/>
              </w:rPr>
            </w:pPr>
            <w:r>
              <w:rPr>
                <w:rFonts w:hint="default"/>
                <w:highlight w:val="none"/>
              </w:rPr>
              <w:t>砷</w:t>
            </w:r>
          </w:p>
        </w:tc>
        <w:tc>
          <w:tcPr>
            <w:tcW w:w="1236" w:type="dxa"/>
            <w:vMerge w:val="continue"/>
            <w:vAlign w:val="center"/>
          </w:tcPr>
          <w:p w14:paraId="02B067CE">
            <w:pPr>
              <w:pStyle w:val="8"/>
              <w:suppressLineNumbers w:val="0"/>
              <w:bidi w:val="0"/>
              <w:spacing w:before="0" w:beforeAutospacing="0" w:after="0" w:afterAutospacing="0"/>
              <w:ind w:left="0" w:right="0"/>
              <w:rPr>
                <w:rFonts w:hint="default"/>
                <w:highlight w:val="none"/>
              </w:rPr>
            </w:pPr>
          </w:p>
        </w:tc>
        <w:tc>
          <w:tcPr>
            <w:tcW w:w="2498" w:type="dxa"/>
            <w:gridSpan w:val="2"/>
            <w:vAlign w:val="center"/>
          </w:tcPr>
          <w:p w14:paraId="55127F32">
            <w:pPr>
              <w:pStyle w:val="8"/>
              <w:suppressLineNumbers w:val="0"/>
              <w:bidi w:val="0"/>
              <w:spacing w:before="0" w:beforeAutospacing="0" w:after="0" w:afterAutospacing="0"/>
              <w:ind w:left="0" w:right="0"/>
              <w:rPr>
                <w:rFonts w:hint="default"/>
                <w:highlight w:val="none"/>
              </w:rPr>
            </w:pPr>
            <w:r>
              <w:rPr>
                <w:rFonts w:hint="default"/>
                <w:highlight w:val="none"/>
              </w:rPr>
              <w:t>≤0.01</w:t>
            </w:r>
          </w:p>
        </w:tc>
      </w:tr>
      <w:tr w14:paraId="669FDE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023D16CD">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7024C88B">
            <w:pPr>
              <w:pStyle w:val="8"/>
              <w:suppressLineNumbers w:val="0"/>
              <w:bidi w:val="0"/>
              <w:spacing w:before="0" w:beforeAutospacing="0" w:after="0" w:afterAutospacing="0"/>
              <w:ind w:left="0" w:right="0"/>
              <w:rPr>
                <w:rFonts w:hint="default"/>
                <w:highlight w:val="none"/>
              </w:rPr>
            </w:pPr>
          </w:p>
        </w:tc>
        <w:tc>
          <w:tcPr>
            <w:tcW w:w="1509" w:type="dxa"/>
            <w:vAlign w:val="center"/>
          </w:tcPr>
          <w:p w14:paraId="038CFCD5">
            <w:pPr>
              <w:pStyle w:val="8"/>
              <w:suppressLineNumbers w:val="0"/>
              <w:bidi w:val="0"/>
              <w:spacing w:before="0" w:beforeAutospacing="0" w:after="0" w:afterAutospacing="0"/>
              <w:ind w:left="0" w:right="0"/>
              <w:rPr>
                <w:rFonts w:hint="default"/>
                <w:highlight w:val="none"/>
              </w:rPr>
            </w:pPr>
            <w:r>
              <w:rPr>
                <w:rFonts w:hint="default"/>
                <w:highlight w:val="none"/>
              </w:rPr>
              <w:t>汞</w:t>
            </w:r>
          </w:p>
        </w:tc>
        <w:tc>
          <w:tcPr>
            <w:tcW w:w="1236" w:type="dxa"/>
            <w:vMerge w:val="continue"/>
            <w:vAlign w:val="center"/>
          </w:tcPr>
          <w:p w14:paraId="48FA5EEF">
            <w:pPr>
              <w:pStyle w:val="8"/>
              <w:suppressLineNumbers w:val="0"/>
              <w:bidi w:val="0"/>
              <w:spacing w:before="0" w:beforeAutospacing="0" w:after="0" w:afterAutospacing="0"/>
              <w:ind w:left="0" w:right="0"/>
              <w:rPr>
                <w:rFonts w:hint="default"/>
                <w:highlight w:val="none"/>
              </w:rPr>
            </w:pPr>
          </w:p>
        </w:tc>
        <w:tc>
          <w:tcPr>
            <w:tcW w:w="2498" w:type="dxa"/>
            <w:gridSpan w:val="2"/>
            <w:vAlign w:val="center"/>
          </w:tcPr>
          <w:p w14:paraId="7A474A9B">
            <w:pPr>
              <w:pStyle w:val="8"/>
              <w:suppressLineNumbers w:val="0"/>
              <w:bidi w:val="0"/>
              <w:spacing w:before="0" w:beforeAutospacing="0" w:after="0" w:afterAutospacing="0"/>
              <w:ind w:left="0" w:right="0"/>
              <w:rPr>
                <w:rFonts w:hint="default"/>
                <w:highlight w:val="none"/>
              </w:rPr>
            </w:pPr>
            <w:r>
              <w:rPr>
                <w:rFonts w:hint="default"/>
                <w:highlight w:val="none"/>
              </w:rPr>
              <w:t>≤0.001</w:t>
            </w:r>
          </w:p>
        </w:tc>
      </w:tr>
      <w:tr w14:paraId="0E580E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14A60C99">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14796DB7">
            <w:pPr>
              <w:pStyle w:val="8"/>
              <w:suppressLineNumbers w:val="0"/>
              <w:bidi w:val="0"/>
              <w:spacing w:before="0" w:beforeAutospacing="0" w:after="0" w:afterAutospacing="0"/>
              <w:ind w:left="0" w:right="0"/>
              <w:rPr>
                <w:rFonts w:hint="default"/>
                <w:highlight w:val="none"/>
              </w:rPr>
            </w:pPr>
          </w:p>
        </w:tc>
        <w:tc>
          <w:tcPr>
            <w:tcW w:w="1509" w:type="dxa"/>
            <w:vAlign w:val="center"/>
          </w:tcPr>
          <w:p w14:paraId="047FD68D">
            <w:pPr>
              <w:pStyle w:val="8"/>
              <w:suppressLineNumbers w:val="0"/>
              <w:bidi w:val="0"/>
              <w:spacing w:before="0" w:beforeAutospacing="0" w:after="0" w:afterAutospacing="0"/>
              <w:ind w:left="0" w:right="0"/>
              <w:rPr>
                <w:rFonts w:hint="default"/>
                <w:highlight w:val="none"/>
              </w:rPr>
            </w:pPr>
            <w:r>
              <w:rPr>
                <w:rFonts w:hint="default"/>
                <w:highlight w:val="none"/>
              </w:rPr>
              <w:t>六价铬</w:t>
            </w:r>
          </w:p>
        </w:tc>
        <w:tc>
          <w:tcPr>
            <w:tcW w:w="1236" w:type="dxa"/>
            <w:vMerge w:val="continue"/>
            <w:vAlign w:val="center"/>
          </w:tcPr>
          <w:p w14:paraId="4A4939E1">
            <w:pPr>
              <w:pStyle w:val="8"/>
              <w:suppressLineNumbers w:val="0"/>
              <w:bidi w:val="0"/>
              <w:spacing w:before="0" w:beforeAutospacing="0" w:after="0" w:afterAutospacing="0"/>
              <w:ind w:left="0" w:right="0"/>
              <w:rPr>
                <w:rFonts w:hint="default"/>
                <w:highlight w:val="none"/>
              </w:rPr>
            </w:pPr>
          </w:p>
        </w:tc>
        <w:tc>
          <w:tcPr>
            <w:tcW w:w="2498" w:type="dxa"/>
            <w:gridSpan w:val="2"/>
            <w:vAlign w:val="center"/>
          </w:tcPr>
          <w:p w14:paraId="6BB8489E">
            <w:pPr>
              <w:pStyle w:val="8"/>
              <w:suppressLineNumbers w:val="0"/>
              <w:bidi w:val="0"/>
              <w:spacing w:before="0" w:beforeAutospacing="0" w:after="0" w:afterAutospacing="0"/>
              <w:ind w:left="0" w:right="0"/>
              <w:rPr>
                <w:rFonts w:hint="default"/>
                <w:highlight w:val="none"/>
              </w:rPr>
            </w:pPr>
            <w:r>
              <w:rPr>
                <w:rFonts w:hint="default"/>
                <w:highlight w:val="none"/>
              </w:rPr>
              <w:t>≤0.05</w:t>
            </w:r>
          </w:p>
        </w:tc>
      </w:tr>
      <w:tr w14:paraId="119EB6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4097D618">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15A76967">
            <w:pPr>
              <w:pStyle w:val="8"/>
              <w:suppressLineNumbers w:val="0"/>
              <w:bidi w:val="0"/>
              <w:spacing w:before="0" w:beforeAutospacing="0" w:after="0" w:afterAutospacing="0"/>
              <w:ind w:left="0" w:right="0"/>
              <w:rPr>
                <w:rFonts w:hint="default"/>
                <w:highlight w:val="none"/>
              </w:rPr>
            </w:pPr>
          </w:p>
        </w:tc>
        <w:tc>
          <w:tcPr>
            <w:tcW w:w="1509" w:type="dxa"/>
            <w:vAlign w:val="center"/>
          </w:tcPr>
          <w:p w14:paraId="54069761">
            <w:pPr>
              <w:pStyle w:val="8"/>
              <w:suppressLineNumbers w:val="0"/>
              <w:bidi w:val="0"/>
              <w:spacing w:before="0" w:beforeAutospacing="0" w:after="0" w:afterAutospacing="0"/>
              <w:ind w:left="0" w:right="0"/>
              <w:rPr>
                <w:rFonts w:hint="default"/>
                <w:highlight w:val="none"/>
              </w:rPr>
            </w:pPr>
            <w:r>
              <w:rPr>
                <w:rFonts w:hint="default"/>
                <w:highlight w:val="none"/>
              </w:rPr>
              <w:t>总硬度</w:t>
            </w:r>
          </w:p>
        </w:tc>
        <w:tc>
          <w:tcPr>
            <w:tcW w:w="1236" w:type="dxa"/>
            <w:vMerge w:val="continue"/>
            <w:vAlign w:val="center"/>
          </w:tcPr>
          <w:p w14:paraId="207EFDDF">
            <w:pPr>
              <w:pStyle w:val="8"/>
              <w:suppressLineNumbers w:val="0"/>
              <w:bidi w:val="0"/>
              <w:spacing w:before="0" w:beforeAutospacing="0" w:after="0" w:afterAutospacing="0"/>
              <w:ind w:left="0" w:right="0"/>
              <w:rPr>
                <w:rFonts w:hint="default"/>
                <w:highlight w:val="none"/>
              </w:rPr>
            </w:pPr>
          </w:p>
        </w:tc>
        <w:tc>
          <w:tcPr>
            <w:tcW w:w="2498" w:type="dxa"/>
            <w:gridSpan w:val="2"/>
            <w:vAlign w:val="center"/>
          </w:tcPr>
          <w:p w14:paraId="5B4BAD56">
            <w:pPr>
              <w:pStyle w:val="8"/>
              <w:suppressLineNumbers w:val="0"/>
              <w:bidi w:val="0"/>
              <w:spacing w:before="0" w:beforeAutospacing="0" w:after="0" w:afterAutospacing="0"/>
              <w:ind w:left="0" w:right="0"/>
              <w:rPr>
                <w:rFonts w:hint="default"/>
                <w:highlight w:val="none"/>
              </w:rPr>
            </w:pPr>
            <w:r>
              <w:rPr>
                <w:rFonts w:hint="default"/>
                <w:highlight w:val="none"/>
              </w:rPr>
              <w:t>≤450</w:t>
            </w:r>
          </w:p>
        </w:tc>
      </w:tr>
      <w:tr w14:paraId="5DA038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39D778C5">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1C278A8E">
            <w:pPr>
              <w:pStyle w:val="8"/>
              <w:suppressLineNumbers w:val="0"/>
              <w:bidi w:val="0"/>
              <w:spacing w:before="0" w:beforeAutospacing="0" w:after="0" w:afterAutospacing="0"/>
              <w:ind w:left="0" w:right="0"/>
              <w:rPr>
                <w:rFonts w:hint="default"/>
                <w:highlight w:val="none"/>
              </w:rPr>
            </w:pPr>
          </w:p>
        </w:tc>
        <w:tc>
          <w:tcPr>
            <w:tcW w:w="1509" w:type="dxa"/>
            <w:vAlign w:val="center"/>
          </w:tcPr>
          <w:p w14:paraId="638EFE3E">
            <w:pPr>
              <w:pStyle w:val="8"/>
              <w:suppressLineNumbers w:val="0"/>
              <w:bidi w:val="0"/>
              <w:spacing w:before="0" w:beforeAutospacing="0" w:after="0" w:afterAutospacing="0"/>
              <w:ind w:left="0" w:right="0"/>
              <w:rPr>
                <w:rFonts w:hint="default"/>
                <w:highlight w:val="none"/>
              </w:rPr>
            </w:pPr>
            <w:r>
              <w:rPr>
                <w:rFonts w:hint="default"/>
                <w:highlight w:val="none"/>
              </w:rPr>
              <w:t>氟化物</w:t>
            </w:r>
          </w:p>
        </w:tc>
        <w:tc>
          <w:tcPr>
            <w:tcW w:w="1236" w:type="dxa"/>
            <w:vMerge w:val="continue"/>
            <w:vAlign w:val="center"/>
          </w:tcPr>
          <w:p w14:paraId="3AA3A485">
            <w:pPr>
              <w:pStyle w:val="8"/>
              <w:suppressLineNumbers w:val="0"/>
              <w:bidi w:val="0"/>
              <w:spacing w:before="0" w:beforeAutospacing="0" w:after="0" w:afterAutospacing="0"/>
              <w:ind w:left="0" w:right="0"/>
              <w:rPr>
                <w:rFonts w:hint="default"/>
                <w:highlight w:val="none"/>
              </w:rPr>
            </w:pPr>
          </w:p>
        </w:tc>
        <w:tc>
          <w:tcPr>
            <w:tcW w:w="2498" w:type="dxa"/>
            <w:gridSpan w:val="2"/>
            <w:vAlign w:val="center"/>
          </w:tcPr>
          <w:p w14:paraId="38C097D2">
            <w:pPr>
              <w:pStyle w:val="8"/>
              <w:suppressLineNumbers w:val="0"/>
              <w:bidi w:val="0"/>
              <w:spacing w:before="0" w:beforeAutospacing="0" w:after="0" w:afterAutospacing="0"/>
              <w:ind w:left="0" w:right="0"/>
              <w:rPr>
                <w:rFonts w:hint="default"/>
                <w:highlight w:val="none"/>
              </w:rPr>
            </w:pPr>
            <w:r>
              <w:rPr>
                <w:rFonts w:hint="default"/>
                <w:highlight w:val="none"/>
              </w:rPr>
              <w:t>≤1.0</w:t>
            </w:r>
          </w:p>
        </w:tc>
      </w:tr>
    </w:tbl>
    <w:p w14:paraId="76FEE30B">
      <w:pPr>
        <w:spacing w:line="360" w:lineRule="auto"/>
        <w:jc w:val="center"/>
        <w:rPr>
          <w:rFonts w:eastAsiaTheme="minorEastAsia"/>
          <w:b/>
          <w:kern w:val="0"/>
          <w:sz w:val="24"/>
          <w:highlight w:val="none"/>
        </w:rPr>
      </w:pPr>
      <w:r>
        <w:rPr>
          <w:rFonts w:hint="eastAsia" w:hAnsiTheme="minorEastAsia" w:eastAsiaTheme="minorEastAsia"/>
          <w:b/>
          <w:kern w:val="0"/>
          <w:sz w:val="24"/>
          <w:highlight w:val="none"/>
          <w:lang w:val="en-US" w:eastAsia="zh-CN"/>
        </w:rPr>
        <w:t>续</w:t>
      </w:r>
      <w:r>
        <w:rPr>
          <w:rFonts w:hAnsiTheme="minorEastAsia" w:eastAsiaTheme="minorEastAsia"/>
          <w:b/>
          <w:kern w:val="0"/>
          <w:sz w:val="24"/>
          <w:highlight w:val="none"/>
        </w:rPr>
        <w:t>表</w:t>
      </w:r>
      <w:r>
        <w:rPr>
          <w:rFonts w:eastAsiaTheme="minorEastAsia"/>
          <w:b/>
          <w:kern w:val="0"/>
          <w:sz w:val="24"/>
          <w:highlight w:val="none"/>
        </w:rPr>
        <w:t>2-3-1</w:t>
      </w:r>
      <w:r>
        <w:rPr>
          <w:rFonts w:hAnsiTheme="minorEastAsia" w:eastAsiaTheme="minorEastAsia"/>
          <w:b/>
          <w:kern w:val="0"/>
          <w:sz w:val="24"/>
          <w:highlight w:val="none"/>
        </w:rPr>
        <w:t>环境质量标准表</w:t>
      </w:r>
    </w:p>
    <w:tbl>
      <w:tblPr>
        <w:tblStyle w:val="45"/>
        <w:tblW w:w="85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38"/>
        <w:gridCol w:w="2441"/>
        <w:gridCol w:w="1509"/>
        <w:gridCol w:w="1236"/>
        <w:gridCol w:w="1498"/>
        <w:gridCol w:w="1000"/>
      </w:tblGrid>
      <w:tr w14:paraId="1B0B77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restart"/>
            <w:vAlign w:val="center"/>
          </w:tcPr>
          <w:p w14:paraId="46FC1DCC">
            <w:pPr>
              <w:pStyle w:val="8"/>
              <w:suppressLineNumbers w:val="0"/>
              <w:bidi w:val="0"/>
              <w:spacing w:before="0" w:beforeAutospacing="0" w:after="0" w:afterAutospacing="0"/>
              <w:ind w:left="0" w:right="0"/>
              <w:rPr>
                <w:rFonts w:hint="default"/>
                <w:highlight w:val="none"/>
              </w:rPr>
            </w:pPr>
            <w:r>
              <w:rPr>
                <w:rFonts w:hint="default"/>
                <w:highlight w:val="none"/>
              </w:rPr>
              <w:t>地下水环境</w:t>
            </w:r>
          </w:p>
        </w:tc>
        <w:tc>
          <w:tcPr>
            <w:tcW w:w="2441" w:type="dxa"/>
            <w:vMerge w:val="restart"/>
            <w:vAlign w:val="center"/>
          </w:tcPr>
          <w:p w14:paraId="068E855F">
            <w:pPr>
              <w:pStyle w:val="8"/>
              <w:suppressLineNumbers w:val="0"/>
              <w:bidi w:val="0"/>
              <w:spacing w:before="0" w:beforeAutospacing="0" w:after="0" w:afterAutospacing="0"/>
              <w:ind w:left="0" w:right="0"/>
              <w:rPr>
                <w:rFonts w:hint="default"/>
                <w:highlight w:val="none"/>
              </w:rPr>
            </w:pPr>
            <w:r>
              <w:rPr>
                <w:rFonts w:hint="default"/>
                <w:highlight w:val="none"/>
              </w:rPr>
              <w:t>《地下水质量标准》（GB/T14848-2017）Ⅲ类</w:t>
            </w:r>
          </w:p>
        </w:tc>
        <w:tc>
          <w:tcPr>
            <w:tcW w:w="1509" w:type="dxa"/>
            <w:vAlign w:val="center"/>
          </w:tcPr>
          <w:p w14:paraId="2B359EE0">
            <w:pPr>
              <w:pStyle w:val="8"/>
              <w:suppressLineNumbers w:val="0"/>
              <w:bidi w:val="0"/>
              <w:spacing w:before="0" w:beforeAutospacing="0" w:after="0" w:afterAutospacing="0"/>
              <w:ind w:left="0" w:right="0"/>
              <w:rPr>
                <w:rFonts w:hint="default"/>
                <w:highlight w:val="none"/>
              </w:rPr>
            </w:pPr>
            <w:r>
              <w:rPr>
                <w:rFonts w:hint="default"/>
                <w:highlight w:val="none"/>
                <w:lang w:val="zh-CN"/>
              </w:rPr>
              <w:t>氰化物</w:t>
            </w:r>
          </w:p>
        </w:tc>
        <w:tc>
          <w:tcPr>
            <w:tcW w:w="1236" w:type="dxa"/>
            <w:vMerge w:val="restart"/>
            <w:vAlign w:val="center"/>
          </w:tcPr>
          <w:p w14:paraId="13230502">
            <w:pPr>
              <w:pStyle w:val="8"/>
              <w:suppressLineNumbers w:val="0"/>
              <w:bidi w:val="0"/>
              <w:spacing w:before="0" w:beforeAutospacing="0" w:after="0" w:afterAutospacing="0"/>
              <w:ind w:left="0" w:right="0"/>
              <w:rPr>
                <w:rFonts w:hint="default"/>
                <w:highlight w:val="none"/>
              </w:rPr>
            </w:pPr>
            <w:r>
              <w:rPr>
                <w:rFonts w:hint="default"/>
                <w:highlight w:val="none"/>
              </w:rPr>
              <w:t>mg/L</w:t>
            </w:r>
          </w:p>
        </w:tc>
        <w:tc>
          <w:tcPr>
            <w:tcW w:w="2498" w:type="dxa"/>
            <w:gridSpan w:val="2"/>
            <w:vAlign w:val="center"/>
          </w:tcPr>
          <w:p w14:paraId="74E3B345">
            <w:pPr>
              <w:pStyle w:val="8"/>
              <w:suppressLineNumbers w:val="0"/>
              <w:bidi w:val="0"/>
              <w:spacing w:before="0" w:beforeAutospacing="0" w:after="0" w:afterAutospacing="0"/>
              <w:ind w:left="0" w:right="0"/>
              <w:rPr>
                <w:rFonts w:hint="default"/>
                <w:highlight w:val="none"/>
              </w:rPr>
            </w:pPr>
            <w:r>
              <w:rPr>
                <w:rFonts w:hint="default"/>
                <w:highlight w:val="none"/>
                <w:lang w:val="zh-CN"/>
              </w:rPr>
              <w:t>≤0.05</w:t>
            </w:r>
          </w:p>
        </w:tc>
      </w:tr>
      <w:tr w14:paraId="3F48C6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7BBF176C">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79DEFB02">
            <w:pPr>
              <w:pStyle w:val="8"/>
              <w:suppressLineNumbers w:val="0"/>
              <w:bidi w:val="0"/>
              <w:spacing w:before="0" w:beforeAutospacing="0" w:after="0" w:afterAutospacing="0"/>
              <w:ind w:left="0" w:right="0"/>
              <w:rPr>
                <w:rFonts w:hint="default"/>
                <w:highlight w:val="none"/>
              </w:rPr>
            </w:pPr>
          </w:p>
        </w:tc>
        <w:tc>
          <w:tcPr>
            <w:tcW w:w="1509" w:type="dxa"/>
            <w:vAlign w:val="center"/>
          </w:tcPr>
          <w:p w14:paraId="34E27B90">
            <w:pPr>
              <w:pStyle w:val="8"/>
              <w:suppressLineNumbers w:val="0"/>
              <w:bidi w:val="0"/>
              <w:spacing w:before="0" w:beforeAutospacing="0" w:after="0" w:afterAutospacing="0"/>
              <w:ind w:left="0" w:right="0"/>
              <w:rPr>
                <w:rFonts w:hint="default"/>
                <w:highlight w:val="none"/>
              </w:rPr>
            </w:pPr>
            <w:r>
              <w:rPr>
                <w:rFonts w:hint="default"/>
                <w:highlight w:val="none"/>
                <w:lang w:val="zh-CN"/>
              </w:rPr>
              <w:t>氯化物</w:t>
            </w:r>
          </w:p>
        </w:tc>
        <w:tc>
          <w:tcPr>
            <w:tcW w:w="1236" w:type="dxa"/>
            <w:vMerge w:val="continue"/>
            <w:vAlign w:val="center"/>
          </w:tcPr>
          <w:p w14:paraId="433D8BF7">
            <w:pPr>
              <w:pStyle w:val="8"/>
              <w:suppressLineNumbers w:val="0"/>
              <w:bidi w:val="0"/>
              <w:spacing w:before="0" w:beforeAutospacing="0" w:after="0" w:afterAutospacing="0"/>
              <w:ind w:left="0" w:right="0"/>
              <w:rPr>
                <w:rFonts w:hint="default"/>
                <w:highlight w:val="none"/>
              </w:rPr>
            </w:pPr>
          </w:p>
        </w:tc>
        <w:tc>
          <w:tcPr>
            <w:tcW w:w="2498" w:type="dxa"/>
            <w:gridSpan w:val="2"/>
            <w:vAlign w:val="center"/>
          </w:tcPr>
          <w:p w14:paraId="55A7B67E">
            <w:pPr>
              <w:pStyle w:val="8"/>
              <w:suppressLineNumbers w:val="0"/>
              <w:bidi w:val="0"/>
              <w:spacing w:before="0" w:beforeAutospacing="0" w:after="0" w:afterAutospacing="0"/>
              <w:ind w:left="0" w:right="0"/>
              <w:rPr>
                <w:rFonts w:hint="default"/>
                <w:highlight w:val="none"/>
              </w:rPr>
            </w:pPr>
            <w:r>
              <w:rPr>
                <w:rFonts w:hint="default"/>
                <w:highlight w:val="none"/>
                <w:lang w:val="zh-CN"/>
              </w:rPr>
              <w:t>≤250</w:t>
            </w:r>
          </w:p>
        </w:tc>
      </w:tr>
      <w:tr w14:paraId="00D8CA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1F00C1E5">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19040DA5">
            <w:pPr>
              <w:pStyle w:val="8"/>
              <w:suppressLineNumbers w:val="0"/>
              <w:bidi w:val="0"/>
              <w:spacing w:before="0" w:beforeAutospacing="0" w:after="0" w:afterAutospacing="0"/>
              <w:ind w:left="0" w:right="0"/>
              <w:rPr>
                <w:rFonts w:hint="default"/>
                <w:highlight w:val="none"/>
              </w:rPr>
            </w:pPr>
          </w:p>
        </w:tc>
        <w:tc>
          <w:tcPr>
            <w:tcW w:w="1509" w:type="dxa"/>
            <w:vAlign w:val="center"/>
          </w:tcPr>
          <w:p w14:paraId="5B7D4C4D">
            <w:pPr>
              <w:pStyle w:val="8"/>
              <w:suppressLineNumbers w:val="0"/>
              <w:bidi w:val="0"/>
              <w:spacing w:before="0" w:beforeAutospacing="0" w:after="0" w:afterAutospacing="0"/>
              <w:ind w:left="0" w:right="0"/>
              <w:rPr>
                <w:rFonts w:hint="default"/>
                <w:highlight w:val="none"/>
                <w:lang w:val="zh-CN"/>
              </w:rPr>
            </w:pPr>
            <w:r>
              <w:rPr>
                <w:rFonts w:hint="default"/>
                <w:highlight w:val="none"/>
                <w:lang w:val="zh-CN"/>
              </w:rPr>
              <w:t>硫酸盐</w:t>
            </w:r>
          </w:p>
        </w:tc>
        <w:tc>
          <w:tcPr>
            <w:tcW w:w="1236" w:type="dxa"/>
            <w:vMerge w:val="continue"/>
            <w:vAlign w:val="center"/>
          </w:tcPr>
          <w:p w14:paraId="21763E7F">
            <w:pPr>
              <w:pStyle w:val="8"/>
              <w:suppressLineNumbers w:val="0"/>
              <w:bidi w:val="0"/>
              <w:spacing w:before="0" w:beforeAutospacing="0" w:after="0" w:afterAutospacing="0"/>
              <w:ind w:left="0" w:right="0"/>
              <w:rPr>
                <w:rFonts w:hint="default"/>
                <w:highlight w:val="none"/>
              </w:rPr>
            </w:pPr>
          </w:p>
        </w:tc>
        <w:tc>
          <w:tcPr>
            <w:tcW w:w="2498" w:type="dxa"/>
            <w:gridSpan w:val="2"/>
            <w:vAlign w:val="center"/>
          </w:tcPr>
          <w:p w14:paraId="2E38BA7A">
            <w:pPr>
              <w:pStyle w:val="8"/>
              <w:suppressLineNumbers w:val="0"/>
              <w:bidi w:val="0"/>
              <w:spacing w:before="0" w:beforeAutospacing="0" w:after="0" w:afterAutospacing="0"/>
              <w:ind w:left="0" w:right="0"/>
              <w:rPr>
                <w:rFonts w:hint="default"/>
                <w:highlight w:val="none"/>
                <w:lang w:val="zh-CN"/>
              </w:rPr>
            </w:pPr>
            <w:r>
              <w:rPr>
                <w:rFonts w:hint="default"/>
                <w:highlight w:val="none"/>
                <w:lang w:val="zh-CN"/>
              </w:rPr>
              <w:t>≤</w:t>
            </w:r>
            <w:r>
              <w:rPr>
                <w:rFonts w:hint="default"/>
                <w:highlight w:val="none"/>
              </w:rPr>
              <w:t>250</w:t>
            </w:r>
          </w:p>
        </w:tc>
      </w:tr>
      <w:tr w14:paraId="6A9359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51F09011">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3CD6E6CF">
            <w:pPr>
              <w:pStyle w:val="8"/>
              <w:suppressLineNumbers w:val="0"/>
              <w:bidi w:val="0"/>
              <w:spacing w:before="0" w:beforeAutospacing="0" w:after="0" w:afterAutospacing="0"/>
              <w:ind w:left="0" w:right="0"/>
              <w:rPr>
                <w:rFonts w:hint="default"/>
                <w:highlight w:val="none"/>
              </w:rPr>
            </w:pPr>
          </w:p>
        </w:tc>
        <w:tc>
          <w:tcPr>
            <w:tcW w:w="1509" w:type="dxa"/>
            <w:vAlign w:val="center"/>
          </w:tcPr>
          <w:p w14:paraId="3B3C4EA2">
            <w:pPr>
              <w:pStyle w:val="8"/>
              <w:suppressLineNumbers w:val="0"/>
              <w:bidi w:val="0"/>
              <w:spacing w:before="0" w:beforeAutospacing="0" w:after="0" w:afterAutospacing="0"/>
              <w:ind w:left="0" w:right="0"/>
              <w:rPr>
                <w:rFonts w:hint="default"/>
                <w:highlight w:val="none"/>
                <w:lang w:val="zh-CN"/>
              </w:rPr>
            </w:pPr>
            <w:r>
              <w:rPr>
                <w:rFonts w:hint="default"/>
                <w:highlight w:val="none"/>
                <w:lang w:val="zh-CN"/>
              </w:rPr>
              <w:t>锌</w:t>
            </w:r>
          </w:p>
        </w:tc>
        <w:tc>
          <w:tcPr>
            <w:tcW w:w="1236" w:type="dxa"/>
            <w:vMerge w:val="continue"/>
            <w:vAlign w:val="center"/>
          </w:tcPr>
          <w:p w14:paraId="5633572C">
            <w:pPr>
              <w:pStyle w:val="8"/>
              <w:suppressLineNumbers w:val="0"/>
              <w:bidi w:val="0"/>
              <w:spacing w:before="0" w:beforeAutospacing="0" w:after="0" w:afterAutospacing="0"/>
              <w:ind w:left="0" w:right="0"/>
              <w:rPr>
                <w:rFonts w:hint="default"/>
                <w:highlight w:val="none"/>
              </w:rPr>
            </w:pPr>
          </w:p>
        </w:tc>
        <w:tc>
          <w:tcPr>
            <w:tcW w:w="2498" w:type="dxa"/>
            <w:gridSpan w:val="2"/>
            <w:vAlign w:val="center"/>
          </w:tcPr>
          <w:p w14:paraId="06D28D2E">
            <w:pPr>
              <w:pStyle w:val="8"/>
              <w:suppressLineNumbers w:val="0"/>
              <w:bidi w:val="0"/>
              <w:spacing w:before="0" w:beforeAutospacing="0" w:after="0" w:afterAutospacing="0"/>
              <w:ind w:left="0" w:right="0"/>
              <w:rPr>
                <w:rFonts w:hint="default"/>
                <w:highlight w:val="none"/>
                <w:lang w:val="zh-CN"/>
              </w:rPr>
            </w:pPr>
            <w:r>
              <w:rPr>
                <w:rFonts w:hint="default"/>
                <w:highlight w:val="none"/>
                <w:lang w:val="zh-CN"/>
              </w:rPr>
              <w:t>≤</w:t>
            </w:r>
            <w:r>
              <w:rPr>
                <w:rFonts w:hint="default"/>
                <w:highlight w:val="none"/>
              </w:rPr>
              <w:t>1.00</w:t>
            </w:r>
          </w:p>
        </w:tc>
      </w:tr>
      <w:tr w14:paraId="4245D5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48AD2086">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4248D380">
            <w:pPr>
              <w:pStyle w:val="8"/>
              <w:suppressLineNumbers w:val="0"/>
              <w:bidi w:val="0"/>
              <w:spacing w:before="0" w:beforeAutospacing="0" w:after="0" w:afterAutospacing="0"/>
              <w:ind w:left="0" w:right="0"/>
              <w:rPr>
                <w:rFonts w:hint="default"/>
                <w:highlight w:val="none"/>
              </w:rPr>
            </w:pPr>
          </w:p>
        </w:tc>
        <w:tc>
          <w:tcPr>
            <w:tcW w:w="1509" w:type="dxa"/>
            <w:vAlign w:val="center"/>
          </w:tcPr>
          <w:p w14:paraId="74C6C930">
            <w:pPr>
              <w:pStyle w:val="8"/>
              <w:suppressLineNumbers w:val="0"/>
              <w:bidi w:val="0"/>
              <w:spacing w:before="0" w:beforeAutospacing="0" w:after="0" w:afterAutospacing="0"/>
              <w:ind w:left="0" w:right="0"/>
              <w:rPr>
                <w:rFonts w:hint="default"/>
                <w:highlight w:val="none"/>
              </w:rPr>
            </w:pPr>
            <w:r>
              <w:rPr>
                <w:rFonts w:hint="default"/>
                <w:highlight w:val="none"/>
              </w:rPr>
              <w:t>铅</w:t>
            </w:r>
          </w:p>
        </w:tc>
        <w:tc>
          <w:tcPr>
            <w:tcW w:w="1236" w:type="dxa"/>
            <w:vMerge w:val="continue"/>
            <w:vAlign w:val="center"/>
          </w:tcPr>
          <w:p w14:paraId="0CBED135">
            <w:pPr>
              <w:pStyle w:val="8"/>
              <w:suppressLineNumbers w:val="0"/>
              <w:bidi w:val="0"/>
              <w:spacing w:before="0" w:beforeAutospacing="0" w:after="0" w:afterAutospacing="0"/>
              <w:ind w:left="0" w:right="0"/>
              <w:rPr>
                <w:rFonts w:hint="default"/>
                <w:highlight w:val="none"/>
              </w:rPr>
            </w:pPr>
          </w:p>
        </w:tc>
        <w:tc>
          <w:tcPr>
            <w:tcW w:w="2498" w:type="dxa"/>
            <w:gridSpan w:val="2"/>
            <w:vAlign w:val="center"/>
          </w:tcPr>
          <w:p w14:paraId="20783F14">
            <w:pPr>
              <w:pStyle w:val="8"/>
              <w:suppressLineNumbers w:val="0"/>
              <w:bidi w:val="0"/>
              <w:spacing w:before="0" w:beforeAutospacing="0" w:after="0" w:afterAutospacing="0"/>
              <w:ind w:left="0" w:right="0"/>
              <w:rPr>
                <w:rFonts w:hint="default"/>
                <w:highlight w:val="none"/>
              </w:rPr>
            </w:pPr>
            <w:r>
              <w:rPr>
                <w:rFonts w:hint="default"/>
                <w:highlight w:val="none"/>
              </w:rPr>
              <w:t>≤0.01</w:t>
            </w:r>
          </w:p>
        </w:tc>
      </w:tr>
      <w:tr w14:paraId="653FF9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23362854">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7DC88AB2">
            <w:pPr>
              <w:pStyle w:val="8"/>
              <w:suppressLineNumbers w:val="0"/>
              <w:bidi w:val="0"/>
              <w:spacing w:before="0" w:beforeAutospacing="0" w:after="0" w:afterAutospacing="0"/>
              <w:ind w:left="0" w:right="0"/>
              <w:rPr>
                <w:rFonts w:hint="default"/>
                <w:highlight w:val="none"/>
              </w:rPr>
            </w:pPr>
          </w:p>
        </w:tc>
        <w:tc>
          <w:tcPr>
            <w:tcW w:w="1509" w:type="dxa"/>
            <w:vAlign w:val="center"/>
          </w:tcPr>
          <w:p w14:paraId="37F6454F">
            <w:pPr>
              <w:pStyle w:val="8"/>
              <w:suppressLineNumbers w:val="0"/>
              <w:bidi w:val="0"/>
              <w:spacing w:before="0" w:beforeAutospacing="0" w:after="0" w:afterAutospacing="0"/>
              <w:ind w:left="0" w:right="0"/>
              <w:rPr>
                <w:rFonts w:hint="default"/>
                <w:highlight w:val="none"/>
              </w:rPr>
            </w:pPr>
            <w:r>
              <w:rPr>
                <w:rFonts w:hint="default"/>
                <w:highlight w:val="none"/>
              </w:rPr>
              <w:t>镉</w:t>
            </w:r>
          </w:p>
        </w:tc>
        <w:tc>
          <w:tcPr>
            <w:tcW w:w="1236" w:type="dxa"/>
            <w:vMerge w:val="continue"/>
            <w:vAlign w:val="center"/>
          </w:tcPr>
          <w:p w14:paraId="4FE1219F">
            <w:pPr>
              <w:pStyle w:val="8"/>
              <w:suppressLineNumbers w:val="0"/>
              <w:bidi w:val="0"/>
              <w:spacing w:before="0" w:beforeAutospacing="0" w:after="0" w:afterAutospacing="0"/>
              <w:ind w:left="0" w:right="0"/>
              <w:rPr>
                <w:rFonts w:hint="default"/>
                <w:highlight w:val="none"/>
              </w:rPr>
            </w:pPr>
          </w:p>
        </w:tc>
        <w:tc>
          <w:tcPr>
            <w:tcW w:w="2498" w:type="dxa"/>
            <w:gridSpan w:val="2"/>
            <w:vAlign w:val="center"/>
          </w:tcPr>
          <w:p w14:paraId="173693B5">
            <w:pPr>
              <w:pStyle w:val="8"/>
              <w:suppressLineNumbers w:val="0"/>
              <w:bidi w:val="0"/>
              <w:spacing w:before="0" w:beforeAutospacing="0" w:after="0" w:afterAutospacing="0"/>
              <w:ind w:left="0" w:right="0"/>
              <w:rPr>
                <w:rFonts w:hint="default"/>
                <w:highlight w:val="none"/>
              </w:rPr>
            </w:pPr>
            <w:r>
              <w:rPr>
                <w:rFonts w:hint="default"/>
                <w:highlight w:val="none"/>
              </w:rPr>
              <w:t>≤0.005</w:t>
            </w:r>
          </w:p>
        </w:tc>
      </w:tr>
      <w:tr w14:paraId="04B698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4BFA26B9">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361C8885">
            <w:pPr>
              <w:pStyle w:val="8"/>
              <w:suppressLineNumbers w:val="0"/>
              <w:bidi w:val="0"/>
              <w:spacing w:before="0" w:beforeAutospacing="0" w:after="0" w:afterAutospacing="0"/>
              <w:ind w:left="0" w:right="0"/>
              <w:rPr>
                <w:rFonts w:hint="default"/>
                <w:highlight w:val="none"/>
              </w:rPr>
            </w:pPr>
          </w:p>
        </w:tc>
        <w:tc>
          <w:tcPr>
            <w:tcW w:w="1509" w:type="dxa"/>
            <w:vAlign w:val="center"/>
          </w:tcPr>
          <w:p w14:paraId="6B458725">
            <w:pPr>
              <w:pStyle w:val="8"/>
              <w:suppressLineNumbers w:val="0"/>
              <w:bidi w:val="0"/>
              <w:spacing w:before="0" w:beforeAutospacing="0" w:after="0" w:afterAutospacing="0"/>
              <w:ind w:left="0" w:right="0"/>
              <w:rPr>
                <w:rFonts w:hint="default"/>
                <w:highlight w:val="none"/>
              </w:rPr>
            </w:pPr>
            <w:r>
              <w:rPr>
                <w:rFonts w:hint="default"/>
                <w:highlight w:val="none"/>
              </w:rPr>
              <w:t>锰</w:t>
            </w:r>
          </w:p>
        </w:tc>
        <w:tc>
          <w:tcPr>
            <w:tcW w:w="1236" w:type="dxa"/>
            <w:vMerge w:val="continue"/>
            <w:vAlign w:val="center"/>
          </w:tcPr>
          <w:p w14:paraId="784B4D6E">
            <w:pPr>
              <w:pStyle w:val="8"/>
              <w:suppressLineNumbers w:val="0"/>
              <w:bidi w:val="0"/>
              <w:spacing w:before="0" w:beforeAutospacing="0" w:after="0" w:afterAutospacing="0"/>
              <w:ind w:left="0" w:right="0"/>
              <w:rPr>
                <w:rFonts w:hint="default"/>
                <w:highlight w:val="none"/>
              </w:rPr>
            </w:pPr>
          </w:p>
        </w:tc>
        <w:tc>
          <w:tcPr>
            <w:tcW w:w="2498" w:type="dxa"/>
            <w:gridSpan w:val="2"/>
            <w:vAlign w:val="center"/>
          </w:tcPr>
          <w:p w14:paraId="15B42A69">
            <w:pPr>
              <w:pStyle w:val="8"/>
              <w:suppressLineNumbers w:val="0"/>
              <w:bidi w:val="0"/>
              <w:spacing w:before="0" w:beforeAutospacing="0" w:after="0" w:afterAutospacing="0"/>
              <w:ind w:left="0" w:right="0"/>
              <w:rPr>
                <w:rFonts w:hint="default"/>
                <w:highlight w:val="none"/>
              </w:rPr>
            </w:pPr>
            <w:r>
              <w:rPr>
                <w:rFonts w:hint="default"/>
                <w:highlight w:val="none"/>
              </w:rPr>
              <w:t>≤0.1</w:t>
            </w:r>
          </w:p>
        </w:tc>
      </w:tr>
      <w:tr w14:paraId="4407D3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084020B6">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1D78550A">
            <w:pPr>
              <w:pStyle w:val="8"/>
              <w:suppressLineNumbers w:val="0"/>
              <w:bidi w:val="0"/>
              <w:spacing w:before="0" w:beforeAutospacing="0" w:after="0" w:afterAutospacing="0"/>
              <w:ind w:left="0" w:right="0"/>
              <w:rPr>
                <w:rFonts w:hint="default"/>
                <w:highlight w:val="none"/>
              </w:rPr>
            </w:pPr>
          </w:p>
        </w:tc>
        <w:tc>
          <w:tcPr>
            <w:tcW w:w="1509" w:type="dxa"/>
            <w:vAlign w:val="center"/>
          </w:tcPr>
          <w:p w14:paraId="27543786">
            <w:pPr>
              <w:pStyle w:val="8"/>
              <w:suppressLineNumbers w:val="0"/>
              <w:bidi w:val="0"/>
              <w:spacing w:before="0" w:beforeAutospacing="0" w:after="0" w:afterAutospacing="0"/>
              <w:ind w:left="0" w:right="0"/>
              <w:rPr>
                <w:rFonts w:hint="default"/>
                <w:highlight w:val="none"/>
              </w:rPr>
            </w:pPr>
            <w:r>
              <w:rPr>
                <w:rFonts w:hint="default"/>
                <w:highlight w:val="none"/>
              </w:rPr>
              <w:t>铁</w:t>
            </w:r>
          </w:p>
        </w:tc>
        <w:tc>
          <w:tcPr>
            <w:tcW w:w="1236" w:type="dxa"/>
            <w:vMerge w:val="continue"/>
            <w:vAlign w:val="center"/>
          </w:tcPr>
          <w:p w14:paraId="3ACF167C">
            <w:pPr>
              <w:pStyle w:val="8"/>
              <w:suppressLineNumbers w:val="0"/>
              <w:bidi w:val="0"/>
              <w:spacing w:before="0" w:beforeAutospacing="0" w:after="0" w:afterAutospacing="0"/>
              <w:ind w:left="0" w:right="0"/>
              <w:rPr>
                <w:rFonts w:hint="default"/>
                <w:highlight w:val="none"/>
              </w:rPr>
            </w:pPr>
          </w:p>
        </w:tc>
        <w:tc>
          <w:tcPr>
            <w:tcW w:w="2498" w:type="dxa"/>
            <w:gridSpan w:val="2"/>
            <w:vAlign w:val="center"/>
          </w:tcPr>
          <w:p w14:paraId="7B58B08C">
            <w:pPr>
              <w:pStyle w:val="8"/>
              <w:suppressLineNumbers w:val="0"/>
              <w:bidi w:val="0"/>
              <w:spacing w:before="0" w:beforeAutospacing="0" w:after="0" w:afterAutospacing="0"/>
              <w:ind w:left="0" w:right="0"/>
              <w:rPr>
                <w:rFonts w:hint="default"/>
                <w:highlight w:val="none"/>
              </w:rPr>
            </w:pPr>
            <w:r>
              <w:rPr>
                <w:rFonts w:hint="default"/>
                <w:highlight w:val="none"/>
              </w:rPr>
              <w:t>≤0.3</w:t>
            </w:r>
          </w:p>
        </w:tc>
      </w:tr>
      <w:tr w14:paraId="2E473F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689C6AB4">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42B84C65">
            <w:pPr>
              <w:pStyle w:val="8"/>
              <w:suppressLineNumbers w:val="0"/>
              <w:bidi w:val="0"/>
              <w:spacing w:before="0" w:beforeAutospacing="0" w:after="0" w:afterAutospacing="0"/>
              <w:ind w:left="0" w:right="0"/>
              <w:rPr>
                <w:rFonts w:hint="default"/>
                <w:highlight w:val="none"/>
              </w:rPr>
            </w:pPr>
          </w:p>
        </w:tc>
        <w:tc>
          <w:tcPr>
            <w:tcW w:w="1509" w:type="dxa"/>
            <w:vAlign w:val="center"/>
          </w:tcPr>
          <w:p w14:paraId="452BDFD3">
            <w:pPr>
              <w:pStyle w:val="8"/>
              <w:suppressLineNumbers w:val="0"/>
              <w:bidi w:val="0"/>
              <w:spacing w:before="0" w:beforeAutospacing="0" w:after="0" w:afterAutospacing="0"/>
              <w:ind w:left="0" w:right="0"/>
              <w:rPr>
                <w:rFonts w:hint="default"/>
                <w:highlight w:val="none"/>
              </w:rPr>
            </w:pPr>
            <w:r>
              <w:rPr>
                <w:rFonts w:hint="default"/>
                <w:highlight w:val="none"/>
              </w:rPr>
              <w:t>溶解性总固体</w:t>
            </w:r>
          </w:p>
        </w:tc>
        <w:tc>
          <w:tcPr>
            <w:tcW w:w="1236" w:type="dxa"/>
            <w:vMerge w:val="continue"/>
            <w:vAlign w:val="center"/>
          </w:tcPr>
          <w:p w14:paraId="7008E329">
            <w:pPr>
              <w:pStyle w:val="8"/>
              <w:suppressLineNumbers w:val="0"/>
              <w:bidi w:val="0"/>
              <w:spacing w:before="0" w:beforeAutospacing="0" w:after="0" w:afterAutospacing="0"/>
              <w:ind w:left="0" w:right="0"/>
              <w:rPr>
                <w:rFonts w:hint="default"/>
                <w:highlight w:val="none"/>
              </w:rPr>
            </w:pPr>
          </w:p>
        </w:tc>
        <w:tc>
          <w:tcPr>
            <w:tcW w:w="2498" w:type="dxa"/>
            <w:gridSpan w:val="2"/>
            <w:vAlign w:val="center"/>
          </w:tcPr>
          <w:p w14:paraId="0DACCE78">
            <w:pPr>
              <w:pStyle w:val="8"/>
              <w:suppressLineNumbers w:val="0"/>
              <w:bidi w:val="0"/>
              <w:spacing w:before="0" w:beforeAutospacing="0" w:after="0" w:afterAutospacing="0"/>
              <w:ind w:left="0" w:right="0"/>
              <w:rPr>
                <w:rFonts w:hint="default"/>
                <w:highlight w:val="none"/>
              </w:rPr>
            </w:pPr>
            <w:r>
              <w:rPr>
                <w:rFonts w:hint="default"/>
                <w:highlight w:val="none"/>
              </w:rPr>
              <w:t>≤1000</w:t>
            </w:r>
          </w:p>
        </w:tc>
      </w:tr>
      <w:tr w14:paraId="57BD56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168B0233">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22CEAE32">
            <w:pPr>
              <w:pStyle w:val="8"/>
              <w:suppressLineNumbers w:val="0"/>
              <w:bidi w:val="0"/>
              <w:spacing w:before="0" w:beforeAutospacing="0" w:after="0" w:afterAutospacing="0"/>
              <w:ind w:left="0" w:right="0"/>
              <w:rPr>
                <w:rFonts w:hint="default"/>
                <w:highlight w:val="none"/>
              </w:rPr>
            </w:pPr>
          </w:p>
        </w:tc>
        <w:tc>
          <w:tcPr>
            <w:tcW w:w="1509" w:type="dxa"/>
            <w:vAlign w:val="center"/>
          </w:tcPr>
          <w:p w14:paraId="1B316BE6">
            <w:pPr>
              <w:pStyle w:val="8"/>
              <w:suppressLineNumbers w:val="0"/>
              <w:bidi w:val="0"/>
              <w:spacing w:before="0" w:beforeAutospacing="0" w:after="0" w:afterAutospacing="0"/>
              <w:ind w:left="0" w:right="0"/>
              <w:rPr>
                <w:rFonts w:hint="default"/>
                <w:highlight w:val="none"/>
              </w:rPr>
            </w:pPr>
            <w:r>
              <w:rPr>
                <w:rFonts w:hint="default"/>
                <w:highlight w:val="none"/>
              </w:rPr>
              <w:t>耗氧量</w:t>
            </w:r>
          </w:p>
        </w:tc>
        <w:tc>
          <w:tcPr>
            <w:tcW w:w="1236" w:type="dxa"/>
            <w:vMerge w:val="continue"/>
            <w:vAlign w:val="center"/>
          </w:tcPr>
          <w:p w14:paraId="0310EACC">
            <w:pPr>
              <w:pStyle w:val="8"/>
              <w:suppressLineNumbers w:val="0"/>
              <w:bidi w:val="0"/>
              <w:spacing w:before="0" w:beforeAutospacing="0" w:after="0" w:afterAutospacing="0"/>
              <w:ind w:left="0" w:right="0"/>
              <w:rPr>
                <w:rFonts w:hint="default"/>
                <w:highlight w:val="none"/>
              </w:rPr>
            </w:pPr>
          </w:p>
        </w:tc>
        <w:tc>
          <w:tcPr>
            <w:tcW w:w="2498" w:type="dxa"/>
            <w:gridSpan w:val="2"/>
            <w:vAlign w:val="center"/>
          </w:tcPr>
          <w:p w14:paraId="1BA8B76B">
            <w:pPr>
              <w:pStyle w:val="8"/>
              <w:suppressLineNumbers w:val="0"/>
              <w:bidi w:val="0"/>
              <w:spacing w:before="0" w:beforeAutospacing="0" w:after="0" w:afterAutospacing="0"/>
              <w:ind w:left="0" w:right="0"/>
              <w:rPr>
                <w:rFonts w:hint="default"/>
                <w:highlight w:val="none"/>
              </w:rPr>
            </w:pPr>
            <w:r>
              <w:rPr>
                <w:rFonts w:hint="default"/>
                <w:highlight w:val="none"/>
              </w:rPr>
              <w:t>≤3.0</w:t>
            </w:r>
          </w:p>
        </w:tc>
      </w:tr>
      <w:tr w14:paraId="2E3829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3ADFE8DD">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3FCAF720">
            <w:pPr>
              <w:pStyle w:val="8"/>
              <w:suppressLineNumbers w:val="0"/>
              <w:bidi w:val="0"/>
              <w:spacing w:before="0" w:beforeAutospacing="0" w:after="0" w:afterAutospacing="0"/>
              <w:ind w:left="0" w:right="0"/>
              <w:rPr>
                <w:rFonts w:hint="default"/>
                <w:highlight w:val="none"/>
              </w:rPr>
            </w:pPr>
          </w:p>
        </w:tc>
        <w:tc>
          <w:tcPr>
            <w:tcW w:w="1509" w:type="dxa"/>
            <w:vAlign w:val="center"/>
          </w:tcPr>
          <w:p w14:paraId="3AC0F96A">
            <w:pPr>
              <w:pStyle w:val="8"/>
              <w:suppressLineNumbers w:val="0"/>
              <w:bidi w:val="0"/>
              <w:spacing w:before="0" w:beforeAutospacing="0" w:after="0" w:afterAutospacing="0"/>
              <w:ind w:left="0" w:right="0"/>
              <w:rPr>
                <w:rFonts w:hint="default"/>
                <w:highlight w:val="none"/>
                <w:lang w:val="zh-CN"/>
              </w:rPr>
            </w:pPr>
            <w:r>
              <w:rPr>
                <w:rFonts w:hint="eastAsia"/>
                <w:highlight w:val="none"/>
                <w:lang w:val="zh-CN"/>
              </w:rPr>
              <w:t>钠</w:t>
            </w:r>
          </w:p>
        </w:tc>
        <w:tc>
          <w:tcPr>
            <w:tcW w:w="1236" w:type="dxa"/>
            <w:vMerge w:val="continue"/>
            <w:vAlign w:val="center"/>
          </w:tcPr>
          <w:p w14:paraId="4D80F12F">
            <w:pPr>
              <w:pStyle w:val="8"/>
              <w:suppressLineNumbers w:val="0"/>
              <w:bidi w:val="0"/>
              <w:spacing w:before="0" w:beforeAutospacing="0" w:after="0" w:afterAutospacing="0"/>
              <w:ind w:left="0" w:right="0"/>
              <w:rPr>
                <w:rFonts w:hint="default"/>
                <w:highlight w:val="none"/>
                <w:lang w:val="zh-CN"/>
              </w:rPr>
            </w:pPr>
          </w:p>
        </w:tc>
        <w:tc>
          <w:tcPr>
            <w:tcW w:w="2498" w:type="dxa"/>
            <w:gridSpan w:val="2"/>
            <w:vAlign w:val="center"/>
          </w:tcPr>
          <w:p w14:paraId="453FC704">
            <w:pPr>
              <w:pStyle w:val="8"/>
              <w:suppressLineNumbers w:val="0"/>
              <w:bidi w:val="0"/>
              <w:spacing w:before="0" w:beforeAutospacing="0" w:after="0" w:afterAutospacing="0"/>
              <w:ind w:left="0" w:right="0"/>
              <w:rPr>
                <w:rFonts w:hint="default"/>
                <w:highlight w:val="none"/>
                <w:lang w:val="zh-CN"/>
              </w:rPr>
            </w:pPr>
            <w:r>
              <w:rPr>
                <w:rFonts w:hint="default"/>
                <w:highlight w:val="none"/>
                <w:lang w:val="zh-CN"/>
              </w:rPr>
              <w:t>≤200</w:t>
            </w:r>
          </w:p>
        </w:tc>
      </w:tr>
      <w:tr w14:paraId="392F8B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79F3C332">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0ECFB405">
            <w:pPr>
              <w:pStyle w:val="8"/>
              <w:suppressLineNumbers w:val="0"/>
              <w:bidi w:val="0"/>
              <w:spacing w:before="0" w:beforeAutospacing="0" w:after="0" w:afterAutospacing="0"/>
              <w:ind w:left="0" w:right="0"/>
              <w:rPr>
                <w:rFonts w:hint="default"/>
                <w:highlight w:val="none"/>
              </w:rPr>
            </w:pPr>
          </w:p>
        </w:tc>
        <w:tc>
          <w:tcPr>
            <w:tcW w:w="1509" w:type="dxa"/>
            <w:vAlign w:val="center"/>
          </w:tcPr>
          <w:p w14:paraId="322CA78F">
            <w:pPr>
              <w:pStyle w:val="8"/>
              <w:suppressLineNumbers w:val="0"/>
              <w:bidi w:val="0"/>
              <w:spacing w:before="0" w:beforeAutospacing="0" w:after="0" w:afterAutospacing="0"/>
              <w:ind w:left="0" w:right="0"/>
              <w:rPr>
                <w:rFonts w:hint="default"/>
                <w:highlight w:val="none"/>
                <w:lang w:val="zh-CN"/>
              </w:rPr>
            </w:pPr>
            <w:r>
              <w:rPr>
                <w:rFonts w:hint="default"/>
                <w:highlight w:val="none"/>
                <w:lang w:val="zh-CN"/>
              </w:rPr>
              <w:t>阴离子表面活性剂</w:t>
            </w:r>
          </w:p>
        </w:tc>
        <w:tc>
          <w:tcPr>
            <w:tcW w:w="1236" w:type="dxa"/>
            <w:vMerge w:val="continue"/>
            <w:vAlign w:val="center"/>
          </w:tcPr>
          <w:p w14:paraId="2FFD246B">
            <w:pPr>
              <w:pStyle w:val="8"/>
              <w:suppressLineNumbers w:val="0"/>
              <w:bidi w:val="0"/>
              <w:spacing w:before="0" w:beforeAutospacing="0" w:after="0" w:afterAutospacing="0"/>
              <w:ind w:left="0" w:right="0"/>
              <w:rPr>
                <w:rFonts w:hint="default"/>
                <w:highlight w:val="none"/>
                <w:lang w:val="zh-CN"/>
              </w:rPr>
            </w:pPr>
          </w:p>
        </w:tc>
        <w:tc>
          <w:tcPr>
            <w:tcW w:w="2498" w:type="dxa"/>
            <w:gridSpan w:val="2"/>
            <w:vAlign w:val="center"/>
          </w:tcPr>
          <w:p w14:paraId="50089FCF">
            <w:pPr>
              <w:pStyle w:val="8"/>
              <w:suppressLineNumbers w:val="0"/>
              <w:bidi w:val="0"/>
              <w:spacing w:before="0" w:beforeAutospacing="0" w:after="0" w:afterAutospacing="0"/>
              <w:ind w:left="0" w:right="0"/>
              <w:rPr>
                <w:rFonts w:hint="default"/>
                <w:highlight w:val="none"/>
                <w:lang w:val="zh-CN"/>
              </w:rPr>
            </w:pPr>
            <w:r>
              <w:rPr>
                <w:rFonts w:hint="default"/>
                <w:highlight w:val="none"/>
                <w:lang w:val="zh-CN"/>
              </w:rPr>
              <w:t>≤</w:t>
            </w:r>
            <w:r>
              <w:rPr>
                <w:rFonts w:hint="default"/>
                <w:highlight w:val="none"/>
              </w:rPr>
              <w:t>0.3</w:t>
            </w:r>
          </w:p>
        </w:tc>
      </w:tr>
      <w:tr w14:paraId="7044CF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15D92CF6">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1AEF6303">
            <w:pPr>
              <w:pStyle w:val="8"/>
              <w:suppressLineNumbers w:val="0"/>
              <w:bidi w:val="0"/>
              <w:spacing w:before="0" w:beforeAutospacing="0" w:after="0" w:afterAutospacing="0"/>
              <w:ind w:left="0" w:right="0"/>
              <w:rPr>
                <w:rFonts w:hint="default"/>
                <w:highlight w:val="none"/>
              </w:rPr>
            </w:pPr>
          </w:p>
        </w:tc>
        <w:tc>
          <w:tcPr>
            <w:tcW w:w="1509" w:type="dxa"/>
            <w:vAlign w:val="center"/>
          </w:tcPr>
          <w:p w14:paraId="6097A805">
            <w:pPr>
              <w:pStyle w:val="8"/>
              <w:suppressLineNumbers w:val="0"/>
              <w:bidi w:val="0"/>
              <w:spacing w:before="0" w:beforeAutospacing="0" w:after="0" w:afterAutospacing="0"/>
              <w:ind w:left="0" w:right="0"/>
              <w:rPr>
                <w:rFonts w:hint="default"/>
                <w:highlight w:val="none"/>
              </w:rPr>
            </w:pPr>
            <w:r>
              <w:rPr>
                <w:rFonts w:hint="default"/>
                <w:highlight w:val="none"/>
              </w:rPr>
              <w:t>总大肠菌群</w:t>
            </w:r>
          </w:p>
        </w:tc>
        <w:tc>
          <w:tcPr>
            <w:tcW w:w="1236" w:type="dxa"/>
            <w:vAlign w:val="center"/>
          </w:tcPr>
          <w:p w14:paraId="33085470">
            <w:pPr>
              <w:pStyle w:val="8"/>
              <w:suppressLineNumbers w:val="0"/>
              <w:bidi w:val="0"/>
              <w:spacing w:before="0" w:beforeAutospacing="0" w:after="0" w:afterAutospacing="0"/>
              <w:ind w:left="0" w:right="0"/>
              <w:rPr>
                <w:rFonts w:hint="default"/>
                <w:highlight w:val="none"/>
              </w:rPr>
            </w:pPr>
            <w:r>
              <w:rPr>
                <w:rFonts w:hint="default"/>
                <w:highlight w:val="none"/>
              </w:rPr>
              <w:t>MPN/100mL</w:t>
            </w:r>
          </w:p>
        </w:tc>
        <w:tc>
          <w:tcPr>
            <w:tcW w:w="2498" w:type="dxa"/>
            <w:gridSpan w:val="2"/>
            <w:vAlign w:val="center"/>
          </w:tcPr>
          <w:p w14:paraId="6A53B5CA">
            <w:pPr>
              <w:pStyle w:val="8"/>
              <w:suppressLineNumbers w:val="0"/>
              <w:bidi w:val="0"/>
              <w:spacing w:before="0" w:beforeAutospacing="0" w:after="0" w:afterAutospacing="0"/>
              <w:ind w:left="0" w:right="0"/>
              <w:rPr>
                <w:rFonts w:hint="default"/>
                <w:highlight w:val="none"/>
              </w:rPr>
            </w:pPr>
            <w:r>
              <w:rPr>
                <w:rFonts w:hint="default"/>
                <w:highlight w:val="none"/>
              </w:rPr>
              <w:t>≤3.0</w:t>
            </w:r>
          </w:p>
        </w:tc>
      </w:tr>
      <w:tr w14:paraId="7C7574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5F1E6A9B">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7623D2DE">
            <w:pPr>
              <w:pStyle w:val="8"/>
              <w:suppressLineNumbers w:val="0"/>
              <w:bidi w:val="0"/>
              <w:spacing w:before="0" w:beforeAutospacing="0" w:after="0" w:afterAutospacing="0"/>
              <w:ind w:left="0" w:right="0"/>
              <w:rPr>
                <w:rFonts w:hint="default"/>
                <w:highlight w:val="none"/>
              </w:rPr>
            </w:pPr>
          </w:p>
        </w:tc>
        <w:tc>
          <w:tcPr>
            <w:tcW w:w="1509" w:type="dxa"/>
            <w:vAlign w:val="center"/>
          </w:tcPr>
          <w:p w14:paraId="7EB64373">
            <w:pPr>
              <w:pStyle w:val="8"/>
              <w:suppressLineNumbers w:val="0"/>
              <w:bidi w:val="0"/>
              <w:spacing w:before="0" w:beforeAutospacing="0" w:after="0" w:afterAutospacing="0"/>
              <w:ind w:left="0" w:right="0"/>
              <w:rPr>
                <w:rFonts w:hint="default"/>
                <w:highlight w:val="none"/>
              </w:rPr>
            </w:pPr>
            <w:r>
              <w:rPr>
                <w:rFonts w:hint="default"/>
                <w:highlight w:val="none"/>
              </w:rPr>
              <w:t>细菌总数</w:t>
            </w:r>
          </w:p>
        </w:tc>
        <w:tc>
          <w:tcPr>
            <w:tcW w:w="1236" w:type="dxa"/>
            <w:vAlign w:val="center"/>
          </w:tcPr>
          <w:p w14:paraId="7F167420">
            <w:pPr>
              <w:pStyle w:val="8"/>
              <w:suppressLineNumbers w:val="0"/>
              <w:bidi w:val="0"/>
              <w:spacing w:before="0" w:beforeAutospacing="0" w:after="0" w:afterAutospacing="0"/>
              <w:ind w:left="0" w:right="0"/>
              <w:rPr>
                <w:rFonts w:hint="default"/>
                <w:highlight w:val="none"/>
              </w:rPr>
            </w:pPr>
            <w:r>
              <w:rPr>
                <w:rFonts w:hint="default"/>
                <w:highlight w:val="none"/>
              </w:rPr>
              <w:t>CFU/mL</w:t>
            </w:r>
          </w:p>
        </w:tc>
        <w:tc>
          <w:tcPr>
            <w:tcW w:w="2498" w:type="dxa"/>
            <w:gridSpan w:val="2"/>
            <w:vAlign w:val="center"/>
          </w:tcPr>
          <w:p w14:paraId="362DD2A9">
            <w:pPr>
              <w:pStyle w:val="8"/>
              <w:suppressLineNumbers w:val="0"/>
              <w:bidi w:val="0"/>
              <w:spacing w:before="0" w:beforeAutospacing="0" w:after="0" w:afterAutospacing="0"/>
              <w:ind w:left="0" w:right="0"/>
              <w:rPr>
                <w:rFonts w:hint="default"/>
                <w:highlight w:val="none"/>
              </w:rPr>
            </w:pPr>
            <w:r>
              <w:rPr>
                <w:rFonts w:hint="default"/>
                <w:highlight w:val="none"/>
              </w:rPr>
              <w:t>≤100</w:t>
            </w:r>
          </w:p>
        </w:tc>
      </w:tr>
      <w:tr w14:paraId="274E50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494C8FF1">
            <w:pPr>
              <w:pStyle w:val="8"/>
              <w:suppressLineNumbers w:val="0"/>
              <w:bidi w:val="0"/>
              <w:spacing w:before="0" w:beforeAutospacing="0" w:after="0" w:afterAutospacing="0"/>
              <w:ind w:left="0" w:right="0"/>
              <w:rPr>
                <w:rFonts w:hint="default"/>
                <w:highlight w:val="none"/>
              </w:rPr>
            </w:pPr>
          </w:p>
        </w:tc>
        <w:tc>
          <w:tcPr>
            <w:tcW w:w="2441" w:type="dxa"/>
            <w:vMerge w:val="restart"/>
            <w:vAlign w:val="center"/>
          </w:tcPr>
          <w:p w14:paraId="07344850">
            <w:pPr>
              <w:pStyle w:val="8"/>
              <w:suppressLineNumbers w:val="0"/>
              <w:bidi w:val="0"/>
              <w:spacing w:before="0" w:beforeAutospacing="0" w:after="0" w:afterAutospacing="0"/>
              <w:ind w:left="0" w:right="0"/>
              <w:rPr>
                <w:rFonts w:hint="default"/>
                <w:highlight w:val="none"/>
              </w:rPr>
            </w:pPr>
            <w:r>
              <w:rPr>
                <w:rFonts w:hint="default"/>
                <w:highlight w:val="none"/>
              </w:rPr>
              <w:t>《地表水环境质量标准》（GB3838-2002）</w:t>
            </w:r>
            <w:r>
              <w:rPr>
                <w:rFonts w:hint="default"/>
                <w:highlight w:val="none"/>
              </w:rPr>
              <w:fldChar w:fldCharType="begin"/>
            </w:r>
            <w:r>
              <w:rPr>
                <w:rFonts w:hint="default"/>
                <w:highlight w:val="none"/>
              </w:rPr>
              <w:instrText xml:space="preserve"> </w:instrText>
            </w:r>
            <w:r>
              <w:rPr>
                <w:rFonts w:hint="eastAsia"/>
                <w:highlight w:val="none"/>
              </w:rPr>
              <w:instrText xml:space="preserve">= 2 \* ROMAN</w:instrText>
            </w:r>
            <w:r>
              <w:rPr>
                <w:rFonts w:hint="default"/>
                <w:highlight w:val="none"/>
              </w:rPr>
              <w:instrText xml:space="preserve"> </w:instrText>
            </w:r>
            <w:r>
              <w:rPr>
                <w:rFonts w:hint="default"/>
                <w:highlight w:val="none"/>
              </w:rPr>
              <w:fldChar w:fldCharType="separate"/>
            </w:r>
            <w:r>
              <w:rPr>
                <w:rFonts w:hint="default"/>
                <w:highlight w:val="none"/>
              </w:rPr>
              <w:t>Ⅲ</w:t>
            </w:r>
            <w:r>
              <w:rPr>
                <w:rFonts w:hint="default"/>
                <w:highlight w:val="none"/>
              </w:rPr>
              <w:fldChar w:fldCharType="end"/>
            </w:r>
            <w:r>
              <w:rPr>
                <w:rFonts w:hint="default"/>
                <w:highlight w:val="none"/>
              </w:rPr>
              <w:t>类标准</w:t>
            </w:r>
          </w:p>
        </w:tc>
        <w:tc>
          <w:tcPr>
            <w:tcW w:w="1509" w:type="dxa"/>
            <w:vAlign w:val="center"/>
          </w:tcPr>
          <w:p w14:paraId="30EAC419">
            <w:pPr>
              <w:pStyle w:val="8"/>
              <w:suppressLineNumbers w:val="0"/>
              <w:bidi w:val="0"/>
              <w:spacing w:before="0" w:beforeAutospacing="0" w:after="0" w:afterAutospacing="0"/>
              <w:ind w:left="0" w:right="0"/>
              <w:rPr>
                <w:rFonts w:hint="default"/>
                <w:highlight w:val="none"/>
              </w:rPr>
            </w:pPr>
            <w:r>
              <w:rPr>
                <w:rFonts w:hint="default"/>
                <w:highlight w:val="none"/>
              </w:rPr>
              <w:t>石油类</w:t>
            </w:r>
          </w:p>
        </w:tc>
        <w:tc>
          <w:tcPr>
            <w:tcW w:w="1236" w:type="dxa"/>
            <w:vMerge w:val="restart"/>
            <w:vAlign w:val="center"/>
          </w:tcPr>
          <w:p w14:paraId="57B14F1F">
            <w:pPr>
              <w:pStyle w:val="8"/>
              <w:suppressLineNumbers w:val="0"/>
              <w:bidi w:val="0"/>
              <w:spacing w:before="0" w:beforeAutospacing="0" w:after="0" w:afterAutospacing="0"/>
              <w:ind w:left="0" w:right="0"/>
              <w:rPr>
                <w:rFonts w:hint="default"/>
                <w:highlight w:val="none"/>
              </w:rPr>
            </w:pPr>
            <w:r>
              <w:rPr>
                <w:rFonts w:hint="default"/>
                <w:highlight w:val="none"/>
              </w:rPr>
              <w:t>mg/L</w:t>
            </w:r>
          </w:p>
        </w:tc>
        <w:tc>
          <w:tcPr>
            <w:tcW w:w="2498" w:type="dxa"/>
            <w:gridSpan w:val="2"/>
            <w:vAlign w:val="center"/>
          </w:tcPr>
          <w:p w14:paraId="4A6E9D03">
            <w:pPr>
              <w:pStyle w:val="8"/>
              <w:suppressLineNumbers w:val="0"/>
              <w:bidi w:val="0"/>
              <w:spacing w:before="0" w:beforeAutospacing="0" w:after="0" w:afterAutospacing="0"/>
              <w:ind w:left="0" w:right="0"/>
              <w:rPr>
                <w:rFonts w:hint="default"/>
                <w:highlight w:val="none"/>
              </w:rPr>
            </w:pPr>
            <w:r>
              <w:rPr>
                <w:rFonts w:hint="default"/>
                <w:highlight w:val="none"/>
              </w:rPr>
              <w:t>0.05</w:t>
            </w:r>
          </w:p>
        </w:tc>
      </w:tr>
      <w:tr w14:paraId="67F7A1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1D93E704">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4C96CE4C">
            <w:pPr>
              <w:pStyle w:val="8"/>
              <w:suppressLineNumbers w:val="0"/>
              <w:bidi w:val="0"/>
              <w:spacing w:before="0" w:beforeAutospacing="0" w:after="0" w:afterAutospacing="0"/>
              <w:ind w:left="0" w:right="0"/>
              <w:rPr>
                <w:rFonts w:hint="default"/>
                <w:highlight w:val="none"/>
              </w:rPr>
            </w:pPr>
          </w:p>
        </w:tc>
        <w:tc>
          <w:tcPr>
            <w:tcW w:w="1509" w:type="dxa"/>
            <w:vAlign w:val="center"/>
          </w:tcPr>
          <w:p w14:paraId="6B551495">
            <w:pPr>
              <w:pStyle w:val="8"/>
              <w:suppressLineNumbers w:val="0"/>
              <w:bidi w:val="0"/>
              <w:spacing w:before="0" w:beforeAutospacing="0" w:after="0" w:afterAutospacing="0"/>
              <w:ind w:left="0" w:right="0"/>
              <w:rPr>
                <w:rFonts w:hint="default" w:eastAsia="宋体"/>
                <w:highlight w:val="none"/>
                <w:lang w:val="en-US" w:eastAsia="zh-CN"/>
              </w:rPr>
            </w:pPr>
            <w:r>
              <w:rPr>
                <w:rFonts w:hint="eastAsia"/>
                <w:highlight w:val="none"/>
                <w:lang w:val="en-US" w:eastAsia="zh-CN"/>
              </w:rPr>
              <w:t>COD</w:t>
            </w:r>
          </w:p>
        </w:tc>
        <w:tc>
          <w:tcPr>
            <w:tcW w:w="1236" w:type="dxa"/>
            <w:vMerge w:val="continue"/>
            <w:vAlign w:val="center"/>
          </w:tcPr>
          <w:p w14:paraId="75309774">
            <w:pPr>
              <w:pStyle w:val="8"/>
              <w:suppressLineNumbers w:val="0"/>
              <w:bidi w:val="0"/>
              <w:spacing w:before="0" w:beforeAutospacing="0" w:after="0" w:afterAutospacing="0"/>
              <w:ind w:left="0" w:right="0"/>
              <w:rPr>
                <w:rFonts w:hint="default"/>
                <w:highlight w:val="none"/>
              </w:rPr>
            </w:pPr>
          </w:p>
        </w:tc>
        <w:tc>
          <w:tcPr>
            <w:tcW w:w="2498" w:type="dxa"/>
            <w:gridSpan w:val="2"/>
            <w:vAlign w:val="center"/>
          </w:tcPr>
          <w:p w14:paraId="53D13D2E">
            <w:pPr>
              <w:pStyle w:val="8"/>
              <w:suppressLineNumbers w:val="0"/>
              <w:bidi w:val="0"/>
              <w:spacing w:before="0" w:beforeAutospacing="0" w:after="0" w:afterAutospacing="0"/>
              <w:ind w:left="0" w:right="0"/>
              <w:rPr>
                <w:rFonts w:hint="default" w:eastAsia="宋体"/>
                <w:highlight w:val="none"/>
                <w:lang w:val="en-US" w:eastAsia="zh-CN"/>
              </w:rPr>
            </w:pPr>
            <w:r>
              <w:rPr>
                <w:rFonts w:hint="eastAsia"/>
                <w:highlight w:val="none"/>
                <w:lang w:val="en-US" w:eastAsia="zh-CN"/>
              </w:rPr>
              <w:t>20</w:t>
            </w:r>
          </w:p>
        </w:tc>
      </w:tr>
      <w:tr w14:paraId="6C862D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restart"/>
            <w:vAlign w:val="center"/>
          </w:tcPr>
          <w:p w14:paraId="4FDC0378">
            <w:pPr>
              <w:pStyle w:val="8"/>
              <w:suppressLineNumbers w:val="0"/>
              <w:bidi w:val="0"/>
              <w:spacing w:before="0" w:beforeAutospacing="0" w:after="0" w:afterAutospacing="0"/>
              <w:ind w:left="0" w:right="0"/>
              <w:rPr>
                <w:rFonts w:hint="default"/>
                <w:highlight w:val="none"/>
              </w:rPr>
            </w:pPr>
            <w:r>
              <w:rPr>
                <w:rFonts w:hint="default"/>
                <w:highlight w:val="none"/>
              </w:rPr>
              <w:t>声环境</w:t>
            </w:r>
          </w:p>
        </w:tc>
        <w:tc>
          <w:tcPr>
            <w:tcW w:w="2441" w:type="dxa"/>
            <w:vMerge w:val="restart"/>
            <w:vAlign w:val="center"/>
          </w:tcPr>
          <w:p w14:paraId="0105A01A">
            <w:pPr>
              <w:pStyle w:val="8"/>
              <w:suppressLineNumbers w:val="0"/>
              <w:bidi w:val="0"/>
              <w:spacing w:before="0" w:beforeAutospacing="0" w:after="0" w:afterAutospacing="0"/>
              <w:ind w:left="0" w:right="0"/>
              <w:rPr>
                <w:rFonts w:hint="default"/>
                <w:highlight w:val="none"/>
              </w:rPr>
            </w:pPr>
            <w:r>
              <w:rPr>
                <w:rFonts w:hint="default"/>
                <w:highlight w:val="none"/>
              </w:rPr>
              <w:t>《声环境质量标准》（GB3096-2008）</w:t>
            </w:r>
            <w:r>
              <w:rPr>
                <w:rFonts w:hint="eastAsia"/>
                <w:highlight w:val="none"/>
                <w:lang w:val="en-US" w:eastAsia="zh-CN"/>
              </w:rPr>
              <w:t>3</w:t>
            </w:r>
            <w:r>
              <w:rPr>
                <w:rFonts w:hint="default"/>
                <w:highlight w:val="none"/>
              </w:rPr>
              <w:t>类</w:t>
            </w:r>
          </w:p>
        </w:tc>
        <w:tc>
          <w:tcPr>
            <w:tcW w:w="1509" w:type="dxa"/>
            <w:vMerge w:val="restart"/>
            <w:vAlign w:val="center"/>
          </w:tcPr>
          <w:p w14:paraId="63BE2D6E">
            <w:pPr>
              <w:pStyle w:val="8"/>
              <w:suppressLineNumbers w:val="0"/>
              <w:bidi w:val="0"/>
              <w:spacing w:before="0" w:beforeAutospacing="0" w:after="0" w:afterAutospacing="0"/>
              <w:ind w:left="0" w:right="0"/>
              <w:rPr>
                <w:rFonts w:hint="default"/>
                <w:highlight w:val="none"/>
              </w:rPr>
            </w:pPr>
            <w:r>
              <w:rPr>
                <w:rFonts w:hint="default"/>
                <w:highlight w:val="none"/>
              </w:rPr>
              <w:t>连续等效声压级</w:t>
            </w:r>
          </w:p>
        </w:tc>
        <w:tc>
          <w:tcPr>
            <w:tcW w:w="1236" w:type="dxa"/>
            <w:vMerge w:val="restart"/>
            <w:vAlign w:val="center"/>
          </w:tcPr>
          <w:p w14:paraId="020A4BF7">
            <w:pPr>
              <w:pStyle w:val="8"/>
              <w:suppressLineNumbers w:val="0"/>
              <w:bidi w:val="0"/>
              <w:spacing w:before="0" w:beforeAutospacing="0" w:after="0" w:afterAutospacing="0"/>
              <w:ind w:left="0" w:right="0"/>
              <w:rPr>
                <w:rFonts w:hint="eastAsia" w:eastAsia="宋体"/>
                <w:highlight w:val="none"/>
                <w:lang w:eastAsia="zh-CN"/>
              </w:rPr>
            </w:pPr>
            <w:r>
              <w:rPr>
                <w:rFonts w:hint="default"/>
                <w:highlight w:val="none"/>
              </w:rPr>
              <w:t>dB</w:t>
            </w:r>
            <w:r>
              <w:rPr>
                <w:rFonts w:hint="eastAsia"/>
                <w:highlight w:val="none"/>
                <w:lang w:eastAsia="zh-CN"/>
              </w:rPr>
              <w:t>（</w:t>
            </w:r>
            <w:r>
              <w:rPr>
                <w:rFonts w:hint="default"/>
                <w:highlight w:val="none"/>
              </w:rPr>
              <w:t>A</w:t>
            </w:r>
            <w:r>
              <w:rPr>
                <w:rFonts w:hint="eastAsia"/>
                <w:highlight w:val="none"/>
                <w:lang w:eastAsia="zh-CN"/>
              </w:rPr>
              <w:t>）</w:t>
            </w:r>
          </w:p>
        </w:tc>
        <w:tc>
          <w:tcPr>
            <w:tcW w:w="1498" w:type="dxa"/>
            <w:vAlign w:val="center"/>
          </w:tcPr>
          <w:p w14:paraId="7FC1EE23">
            <w:pPr>
              <w:pStyle w:val="8"/>
              <w:suppressLineNumbers w:val="0"/>
              <w:bidi w:val="0"/>
              <w:spacing w:before="0" w:beforeAutospacing="0" w:after="0" w:afterAutospacing="0"/>
              <w:ind w:left="0" w:right="0"/>
              <w:rPr>
                <w:rFonts w:hint="default"/>
                <w:highlight w:val="none"/>
              </w:rPr>
            </w:pPr>
            <w:r>
              <w:rPr>
                <w:rFonts w:hint="default"/>
                <w:highlight w:val="none"/>
              </w:rPr>
              <w:t>昼间</w:t>
            </w:r>
          </w:p>
        </w:tc>
        <w:tc>
          <w:tcPr>
            <w:tcW w:w="1000" w:type="dxa"/>
            <w:vAlign w:val="center"/>
          </w:tcPr>
          <w:p w14:paraId="414A7305">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6</w:t>
            </w:r>
            <w:r>
              <w:rPr>
                <w:rFonts w:hint="default"/>
                <w:highlight w:val="none"/>
              </w:rPr>
              <w:t>5</w:t>
            </w:r>
          </w:p>
        </w:tc>
      </w:tr>
      <w:tr w14:paraId="1B3ECB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8" w:type="dxa"/>
            <w:vMerge w:val="continue"/>
            <w:vAlign w:val="center"/>
          </w:tcPr>
          <w:p w14:paraId="7508545D">
            <w:pPr>
              <w:pStyle w:val="8"/>
              <w:suppressLineNumbers w:val="0"/>
              <w:bidi w:val="0"/>
              <w:spacing w:before="0" w:beforeAutospacing="0" w:after="0" w:afterAutospacing="0"/>
              <w:ind w:left="0" w:right="0"/>
              <w:rPr>
                <w:rFonts w:hint="default"/>
                <w:highlight w:val="none"/>
              </w:rPr>
            </w:pPr>
          </w:p>
        </w:tc>
        <w:tc>
          <w:tcPr>
            <w:tcW w:w="2441" w:type="dxa"/>
            <w:vMerge w:val="continue"/>
            <w:vAlign w:val="center"/>
          </w:tcPr>
          <w:p w14:paraId="6A3FBEB1">
            <w:pPr>
              <w:pStyle w:val="8"/>
              <w:suppressLineNumbers w:val="0"/>
              <w:bidi w:val="0"/>
              <w:spacing w:before="0" w:beforeAutospacing="0" w:after="0" w:afterAutospacing="0"/>
              <w:ind w:left="0" w:right="0"/>
              <w:rPr>
                <w:rFonts w:hint="default"/>
                <w:highlight w:val="none"/>
              </w:rPr>
            </w:pPr>
          </w:p>
        </w:tc>
        <w:tc>
          <w:tcPr>
            <w:tcW w:w="1509" w:type="dxa"/>
            <w:vMerge w:val="continue"/>
            <w:vAlign w:val="center"/>
          </w:tcPr>
          <w:p w14:paraId="5D491BEE">
            <w:pPr>
              <w:pStyle w:val="8"/>
              <w:suppressLineNumbers w:val="0"/>
              <w:bidi w:val="0"/>
              <w:spacing w:before="0" w:beforeAutospacing="0" w:after="0" w:afterAutospacing="0"/>
              <w:ind w:left="0" w:right="0"/>
              <w:rPr>
                <w:rFonts w:hint="default"/>
                <w:highlight w:val="none"/>
              </w:rPr>
            </w:pPr>
          </w:p>
        </w:tc>
        <w:tc>
          <w:tcPr>
            <w:tcW w:w="1236" w:type="dxa"/>
            <w:vMerge w:val="continue"/>
            <w:vAlign w:val="center"/>
          </w:tcPr>
          <w:p w14:paraId="739D5F84">
            <w:pPr>
              <w:pStyle w:val="8"/>
              <w:suppressLineNumbers w:val="0"/>
              <w:bidi w:val="0"/>
              <w:spacing w:before="0" w:beforeAutospacing="0" w:after="0" w:afterAutospacing="0"/>
              <w:ind w:left="0" w:right="0"/>
              <w:rPr>
                <w:rFonts w:hint="default"/>
                <w:highlight w:val="none"/>
              </w:rPr>
            </w:pPr>
          </w:p>
        </w:tc>
        <w:tc>
          <w:tcPr>
            <w:tcW w:w="1498" w:type="dxa"/>
            <w:vAlign w:val="center"/>
          </w:tcPr>
          <w:p w14:paraId="196DB219">
            <w:pPr>
              <w:pStyle w:val="8"/>
              <w:suppressLineNumbers w:val="0"/>
              <w:bidi w:val="0"/>
              <w:spacing w:before="0" w:beforeAutospacing="0" w:after="0" w:afterAutospacing="0"/>
              <w:ind w:left="0" w:right="0"/>
              <w:rPr>
                <w:rFonts w:hint="default"/>
                <w:highlight w:val="none"/>
              </w:rPr>
            </w:pPr>
            <w:r>
              <w:rPr>
                <w:rFonts w:hint="default"/>
                <w:highlight w:val="none"/>
              </w:rPr>
              <w:t>夜间</w:t>
            </w:r>
          </w:p>
        </w:tc>
        <w:tc>
          <w:tcPr>
            <w:tcW w:w="1000" w:type="dxa"/>
            <w:vAlign w:val="center"/>
          </w:tcPr>
          <w:p w14:paraId="655DCC2C">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5</w:t>
            </w:r>
            <w:r>
              <w:rPr>
                <w:rFonts w:hint="default"/>
                <w:highlight w:val="none"/>
              </w:rPr>
              <w:t>5</w:t>
            </w:r>
          </w:p>
        </w:tc>
      </w:tr>
    </w:tbl>
    <w:p w14:paraId="77BF64D1">
      <w:pPr>
        <w:ind w:left="0" w:leftChars="0" w:firstLine="0" w:firstLineChars="0"/>
        <w:rPr>
          <w:rFonts w:hAnsiTheme="minorEastAsia" w:eastAsiaTheme="minorEastAsia"/>
          <w:b/>
          <w:sz w:val="18"/>
          <w:szCs w:val="18"/>
          <w:highlight w:val="none"/>
        </w:rPr>
      </w:pPr>
      <w:r>
        <w:rPr>
          <w:rFonts w:hAnsiTheme="minorEastAsia" w:eastAsiaTheme="minorEastAsia"/>
          <w:b/>
          <w:sz w:val="18"/>
          <w:szCs w:val="18"/>
          <w:highlight w:val="none"/>
        </w:rPr>
        <w:t>注：石油类</w:t>
      </w:r>
      <w:r>
        <w:rPr>
          <w:rFonts w:hint="eastAsia" w:hAnsiTheme="minorEastAsia" w:eastAsiaTheme="minorEastAsia"/>
          <w:b/>
          <w:sz w:val="18"/>
          <w:szCs w:val="18"/>
          <w:highlight w:val="none"/>
          <w:lang w:eastAsia="zh-CN"/>
        </w:rPr>
        <w:t>、</w:t>
      </w:r>
      <w:r>
        <w:rPr>
          <w:rFonts w:hint="eastAsia" w:hAnsiTheme="minorEastAsia" w:eastAsiaTheme="minorEastAsia"/>
          <w:b/>
          <w:sz w:val="18"/>
          <w:szCs w:val="18"/>
          <w:highlight w:val="none"/>
          <w:lang w:val="en-US" w:eastAsia="zh-CN"/>
        </w:rPr>
        <w:t>COD</w:t>
      </w:r>
      <w:r>
        <w:rPr>
          <w:rFonts w:hAnsiTheme="minorEastAsia" w:eastAsiaTheme="minorEastAsia"/>
          <w:b/>
          <w:sz w:val="18"/>
          <w:szCs w:val="18"/>
          <w:highlight w:val="none"/>
        </w:rPr>
        <w:t>执行标准参照《地表水环境质量标准》（</w:t>
      </w:r>
      <w:r>
        <w:rPr>
          <w:rFonts w:eastAsiaTheme="minorEastAsia"/>
          <w:b/>
          <w:sz w:val="18"/>
          <w:szCs w:val="18"/>
          <w:highlight w:val="none"/>
        </w:rPr>
        <w:t>GB3838-2002</w:t>
      </w:r>
      <w:r>
        <w:rPr>
          <w:rFonts w:hAnsiTheme="minorEastAsia" w:eastAsiaTheme="minorEastAsia"/>
          <w:b/>
          <w:sz w:val="18"/>
          <w:szCs w:val="18"/>
          <w:highlight w:val="none"/>
        </w:rPr>
        <w:t>）</w:t>
      </w:r>
      <w:r>
        <w:rPr>
          <w:rFonts w:eastAsiaTheme="minorEastAsia"/>
          <w:szCs w:val="21"/>
          <w:highlight w:val="none"/>
        </w:rPr>
        <w:fldChar w:fldCharType="begin"/>
      </w:r>
      <w:r>
        <w:rPr>
          <w:rFonts w:eastAsiaTheme="minorEastAsia"/>
          <w:szCs w:val="21"/>
          <w:highlight w:val="none"/>
        </w:rPr>
        <w:instrText xml:space="preserve"> </w:instrText>
      </w:r>
      <w:r>
        <w:rPr>
          <w:rFonts w:hint="eastAsia" w:eastAsiaTheme="minorEastAsia"/>
          <w:szCs w:val="21"/>
          <w:highlight w:val="none"/>
        </w:rPr>
        <w:instrText xml:space="preserve">= 2 \* ROMAN</w:instrText>
      </w:r>
      <w:r>
        <w:rPr>
          <w:rFonts w:eastAsiaTheme="minorEastAsia"/>
          <w:szCs w:val="21"/>
          <w:highlight w:val="none"/>
        </w:rPr>
        <w:instrText xml:space="preserve"> </w:instrText>
      </w:r>
      <w:r>
        <w:rPr>
          <w:rFonts w:eastAsiaTheme="minorEastAsia"/>
          <w:szCs w:val="21"/>
          <w:highlight w:val="none"/>
        </w:rPr>
        <w:fldChar w:fldCharType="separate"/>
      </w:r>
      <w:r>
        <w:rPr>
          <w:rFonts w:eastAsiaTheme="minorEastAsia"/>
          <w:szCs w:val="21"/>
          <w:highlight w:val="none"/>
        </w:rPr>
        <w:t>Ⅲ</w:t>
      </w:r>
      <w:r>
        <w:rPr>
          <w:rFonts w:eastAsiaTheme="minorEastAsia"/>
          <w:szCs w:val="21"/>
          <w:highlight w:val="none"/>
        </w:rPr>
        <w:fldChar w:fldCharType="end"/>
      </w:r>
      <w:r>
        <w:rPr>
          <w:rFonts w:hAnsiTheme="minorEastAsia" w:eastAsiaTheme="minorEastAsia"/>
          <w:b/>
          <w:sz w:val="18"/>
          <w:szCs w:val="18"/>
          <w:highlight w:val="none"/>
        </w:rPr>
        <w:t>类标准要求</w:t>
      </w:r>
    </w:p>
    <w:p w14:paraId="74C37478">
      <w:pPr>
        <w:pStyle w:val="757"/>
        <w:keepNext w:val="0"/>
        <w:keepLines w:val="0"/>
        <w:pageBreakBefore w:val="0"/>
        <w:widowControl/>
        <w:kinsoku/>
        <w:wordWrap/>
        <w:overflowPunct/>
        <w:topLinePunct w:val="0"/>
        <w:autoSpaceDE w:val="0"/>
        <w:autoSpaceDN w:val="0"/>
        <w:bidi w:val="0"/>
        <w:adjustRightInd/>
        <w:snapToGrid/>
        <w:spacing w:before="0" w:beforeAutospacing="0" w:after="0" w:afterAutospacing="0" w:line="360" w:lineRule="auto"/>
        <w:ind w:left="0" w:right="0"/>
        <w:textAlignment w:val="auto"/>
        <w:outlineLvl w:val="9"/>
        <w:rPr>
          <w:rFonts w:hint="default" w:ascii="Times New Roman" w:cs="Times New Roman" w:hAnsiTheme="minorEastAsia" w:eastAsiaTheme="minorEastAsia"/>
          <w:b/>
          <w:bCs w:val="0"/>
          <w:kern w:val="0"/>
          <w:sz w:val="24"/>
          <w:szCs w:val="24"/>
          <w:highlight w:val="none"/>
          <w:lang w:val="en-US" w:eastAsia="zh-CN" w:bidi="ar-SA"/>
        </w:rPr>
      </w:pPr>
      <w:r>
        <w:rPr>
          <w:rFonts w:hint="default" w:ascii="Times New Roman" w:cs="Times New Roman" w:hAnsiTheme="minorEastAsia" w:eastAsiaTheme="minorEastAsia"/>
          <w:b/>
          <w:bCs w:val="0"/>
          <w:kern w:val="0"/>
          <w:sz w:val="24"/>
          <w:szCs w:val="24"/>
          <w:highlight w:val="none"/>
          <w:lang w:val="en-US" w:eastAsia="zh-CN" w:bidi="ar-SA"/>
        </w:rPr>
        <w:t>表2-3-2建设用地土壤环境质量标准</w:t>
      </w:r>
    </w:p>
    <w:tbl>
      <w:tblPr>
        <w:tblStyle w:val="739"/>
        <w:tblW w:w="5000"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shd w:val="clear" w:color="auto" w:fill="auto"/>
        <w:tblLayout w:type="fixed"/>
        <w:tblCellMar>
          <w:top w:w="0" w:type="dxa"/>
          <w:left w:w="0" w:type="dxa"/>
          <w:bottom w:w="0" w:type="dxa"/>
          <w:right w:w="0" w:type="dxa"/>
        </w:tblCellMar>
      </w:tblPr>
      <w:tblGrid>
        <w:gridCol w:w="1845"/>
        <w:gridCol w:w="855"/>
        <w:gridCol w:w="1920"/>
        <w:gridCol w:w="1425"/>
        <w:gridCol w:w="1275"/>
        <w:gridCol w:w="986"/>
      </w:tblGrid>
      <w:tr w14:paraId="593F093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623" w:hRule="atLeast"/>
          <w:jc w:val="center"/>
        </w:trPr>
        <w:tc>
          <w:tcPr>
            <w:tcW w:w="1845" w:type="dxa"/>
            <w:tcBorders>
              <w:tl2br w:val="nil"/>
              <w:tr2bl w:val="nil"/>
            </w:tcBorders>
            <w:shd w:val="clear" w:color="auto" w:fill="auto"/>
            <w:vAlign w:val="center"/>
          </w:tcPr>
          <w:p w14:paraId="4F3F8331">
            <w:pPr>
              <w:pStyle w:val="8"/>
              <w:suppressLineNumbers w:val="0"/>
              <w:bidi w:val="0"/>
              <w:spacing w:before="0" w:beforeAutospacing="0" w:after="0" w:afterAutospacing="0"/>
              <w:ind w:left="0" w:right="0"/>
              <w:rPr>
                <w:rFonts w:hint="default"/>
                <w:snapToGrid w:val="0"/>
                <w:highlight w:val="none"/>
                <w:lang w:val="en-US" w:eastAsia="en-US"/>
              </w:rPr>
            </w:pPr>
            <w:r>
              <w:rPr>
                <w:rFonts w:hint="eastAsia"/>
                <w:snapToGrid w:val="0"/>
                <w:highlight w:val="none"/>
                <w:lang w:val="en-US" w:eastAsia="en-US"/>
              </w:rPr>
              <w:t>标准名称及级</w:t>
            </w:r>
          </w:p>
          <w:p w14:paraId="1A23991D">
            <w:pPr>
              <w:pStyle w:val="8"/>
              <w:suppressLineNumbers w:val="0"/>
              <w:bidi w:val="0"/>
              <w:spacing w:before="0" w:beforeAutospacing="0" w:after="0" w:afterAutospacing="0"/>
              <w:ind w:left="0" w:right="0"/>
              <w:rPr>
                <w:rFonts w:hint="default"/>
                <w:snapToGrid w:val="0"/>
                <w:highlight w:val="none"/>
                <w:lang w:val="en-US" w:eastAsia="en-US"/>
              </w:rPr>
            </w:pPr>
            <w:r>
              <w:rPr>
                <w:rFonts w:hint="eastAsia"/>
                <w:snapToGrid w:val="0"/>
                <w:highlight w:val="none"/>
                <w:lang w:val="en-US" w:eastAsia="en-US"/>
              </w:rPr>
              <w:t>（类）别</w:t>
            </w:r>
          </w:p>
        </w:tc>
        <w:tc>
          <w:tcPr>
            <w:tcW w:w="855" w:type="dxa"/>
            <w:tcBorders>
              <w:tl2br w:val="nil"/>
              <w:tr2bl w:val="nil"/>
            </w:tcBorders>
            <w:shd w:val="clear" w:color="auto" w:fill="auto"/>
            <w:vAlign w:val="center"/>
          </w:tcPr>
          <w:p w14:paraId="05055EBA">
            <w:pPr>
              <w:pStyle w:val="8"/>
              <w:suppressLineNumbers w:val="0"/>
              <w:bidi w:val="0"/>
              <w:spacing w:before="0" w:beforeAutospacing="0" w:after="0" w:afterAutospacing="0"/>
              <w:ind w:left="0" w:right="0"/>
              <w:rPr>
                <w:rFonts w:hint="default"/>
                <w:snapToGrid w:val="0"/>
                <w:highlight w:val="none"/>
                <w:lang w:val="en-US" w:eastAsia="en-US"/>
              </w:rPr>
            </w:pPr>
            <w:r>
              <w:rPr>
                <w:rFonts w:hint="eastAsia"/>
                <w:snapToGrid w:val="0"/>
                <w:highlight w:val="none"/>
                <w:lang w:val="en-US" w:eastAsia="en-US"/>
              </w:rPr>
              <w:t>序号</w:t>
            </w:r>
          </w:p>
        </w:tc>
        <w:tc>
          <w:tcPr>
            <w:tcW w:w="1920" w:type="dxa"/>
            <w:tcBorders>
              <w:tl2br w:val="nil"/>
              <w:tr2bl w:val="nil"/>
            </w:tcBorders>
            <w:shd w:val="clear" w:color="auto" w:fill="auto"/>
            <w:vAlign w:val="center"/>
          </w:tcPr>
          <w:p w14:paraId="512A928F">
            <w:pPr>
              <w:pStyle w:val="8"/>
              <w:suppressLineNumbers w:val="0"/>
              <w:bidi w:val="0"/>
              <w:spacing w:before="0" w:beforeAutospacing="0" w:after="0" w:afterAutospacing="0"/>
              <w:ind w:left="0" w:right="0"/>
              <w:rPr>
                <w:rFonts w:hint="default"/>
                <w:snapToGrid w:val="0"/>
                <w:highlight w:val="none"/>
                <w:lang w:val="en-US" w:eastAsia="en-US"/>
              </w:rPr>
            </w:pPr>
            <w:r>
              <w:rPr>
                <w:rFonts w:hint="eastAsia"/>
                <w:snapToGrid w:val="0"/>
                <w:highlight w:val="none"/>
                <w:lang w:val="en-US" w:eastAsia="en-US"/>
              </w:rPr>
              <w:t>污染物项目</w:t>
            </w:r>
          </w:p>
        </w:tc>
        <w:tc>
          <w:tcPr>
            <w:tcW w:w="1425" w:type="dxa"/>
            <w:tcBorders>
              <w:tl2br w:val="nil"/>
              <w:tr2bl w:val="nil"/>
            </w:tcBorders>
            <w:shd w:val="clear" w:color="auto" w:fill="auto"/>
            <w:vAlign w:val="center"/>
          </w:tcPr>
          <w:p w14:paraId="02D5AE60">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CAS</w:t>
            </w:r>
            <w:r>
              <w:rPr>
                <w:rFonts w:hint="eastAsia"/>
                <w:snapToGrid w:val="0"/>
                <w:highlight w:val="none"/>
                <w:lang w:val="en-US" w:eastAsia="en-US"/>
              </w:rPr>
              <w:t>编号</w:t>
            </w:r>
          </w:p>
        </w:tc>
        <w:tc>
          <w:tcPr>
            <w:tcW w:w="1275" w:type="dxa"/>
            <w:tcBorders>
              <w:tl2br w:val="nil"/>
              <w:tr2bl w:val="nil"/>
            </w:tcBorders>
            <w:shd w:val="clear" w:color="auto" w:fill="auto"/>
            <w:vAlign w:val="center"/>
          </w:tcPr>
          <w:p w14:paraId="692AB2CE">
            <w:pPr>
              <w:pStyle w:val="8"/>
              <w:suppressLineNumbers w:val="0"/>
              <w:bidi w:val="0"/>
              <w:spacing w:before="0" w:beforeAutospacing="0" w:after="0" w:afterAutospacing="0"/>
              <w:ind w:left="0" w:right="0"/>
              <w:rPr>
                <w:rFonts w:hint="default"/>
                <w:snapToGrid w:val="0"/>
                <w:highlight w:val="none"/>
                <w:lang w:val="en-US" w:eastAsia="en-US"/>
              </w:rPr>
            </w:pPr>
            <w:r>
              <w:rPr>
                <w:rFonts w:hint="eastAsia"/>
                <w:snapToGrid w:val="0"/>
                <w:highlight w:val="none"/>
                <w:lang w:val="en-US" w:eastAsia="en-US"/>
              </w:rPr>
              <w:t>筛选值</w:t>
            </w:r>
          </w:p>
        </w:tc>
        <w:tc>
          <w:tcPr>
            <w:tcW w:w="986" w:type="dxa"/>
            <w:tcBorders>
              <w:tl2br w:val="nil"/>
              <w:tr2bl w:val="nil"/>
            </w:tcBorders>
            <w:shd w:val="clear" w:color="auto" w:fill="auto"/>
            <w:vAlign w:val="center"/>
          </w:tcPr>
          <w:p w14:paraId="336DA780">
            <w:pPr>
              <w:pStyle w:val="8"/>
              <w:suppressLineNumbers w:val="0"/>
              <w:bidi w:val="0"/>
              <w:spacing w:before="0" w:beforeAutospacing="0" w:after="0" w:afterAutospacing="0"/>
              <w:ind w:left="0" w:right="0"/>
              <w:rPr>
                <w:rFonts w:hint="default"/>
                <w:snapToGrid w:val="0"/>
                <w:highlight w:val="none"/>
                <w:lang w:val="en-US" w:eastAsia="en-US"/>
              </w:rPr>
            </w:pPr>
            <w:r>
              <w:rPr>
                <w:rFonts w:hint="eastAsia"/>
                <w:snapToGrid w:val="0"/>
                <w:highlight w:val="none"/>
                <w:lang w:val="en-US" w:eastAsia="en-US"/>
              </w:rPr>
              <w:t>管制值</w:t>
            </w:r>
          </w:p>
        </w:tc>
      </w:tr>
      <w:tr w14:paraId="5C13307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11" w:hRule="atLeast"/>
          <w:jc w:val="center"/>
        </w:trPr>
        <w:tc>
          <w:tcPr>
            <w:tcW w:w="1845" w:type="dxa"/>
            <w:vMerge w:val="restart"/>
            <w:tcBorders>
              <w:tl2br w:val="nil"/>
              <w:tr2bl w:val="nil"/>
            </w:tcBorders>
            <w:shd w:val="clear" w:color="auto" w:fill="auto"/>
            <w:vAlign w:val="center"/>
          </w:tcPr>
          <w:p w14:paraId="62ED2B7B">
            <w:pPr>
              <w:pStyle w:val="8"/>
              <w:suppressLineNumbers w:val="0"/>
              <w:bidi w:val="0"/>
              <w:spacing w:before="0" w:beforeAutospacing="0" w:after="0" w:afterAutospacing="0"/>
              <w:ind w:left="0" w:right="0"/>
              <w:rPr>
                <w:rFonts w:hint="default"/>
                <w:snapToGrid w:val="0"/>
                <w:highlight w:val="none"/>
                <w:lang w:val="en-US" w:eastAsia="en-US"/>
              </w:rPr>
            </w:pPr>
            <w:r>
              <w:rPr>
                <w:rFonts w:hint="eastAsia"/>
                <w:snapToGrid w:val="0"/>
                <w:highlight w:val="none"/>
                <w:lang w:val="en-US" w:eastAsia="en-US"/>
              </w:rPr>
              <w:t>《土壤环境质量建设用地土壤污染风险管控标准（试行）》（</w:t>
            </w:r>
            <w:r>
              <w:rPr>
                <w:rFonts w:hint="default"/>
                <w:snapToGrid w:val="0"/>
                <w:highlight w:val="none"/>
                <w:lang w:val="en-US" w:eastAsia="en-US"/>
              </w:rPr>
              <w:t>GB36600-2018</w:t>
            </w:r>
            <w:r>
              <w:rPr>
                <w:rFonts w:hint="eastAsia"/>
                <w:snapToGrid w:val="0"/>
                <w:highlight w:val="none"/>
                <w:lang w:val="en-US" w:eastAsia="en-US"/>
              </w:rPr>
              <w:t>）表</w:t>
            </w:r>
            <w:r>
              <w:rPr>
                <w:rFonts w:hint="default"/>
                <w:snapToGrid w:val="0"/>
                <w:highlight w:val="none"/>
                <w:lang w:val="en-US" w:eastAsia="en-US"/>
              </w:rPr>
              <w:t>1</w:t>
            </w:r>
            <w:r>
              <w:rPr>
                <w:rFonts w:hint="eastAsia"/>
                <w:snapToGrid w:val="0"/>
                <w:highlight w:val="none"/>
                <w:lang w:val="en-US" w:eastAsia="en-US"/>
              </w:rPr>
              <w:t>中第二类用地标准限值</w:t>
            </w:r>
          </w:p>
        </w:tc>
        <w:tc>
          <w:tcPr>
            <w:tcW w:w="6461" w:type="dxa"/>
            <w:gridSpan w:val="5"/>
            <w:tcBorders>
              <w:tl2br w:val="nil"/>
              <w:tr2bl w:val="nil"/>
            </w:tcBorders>
            <w:shd w:val="clear" w:color="auto" w:fill="auto"/>
            <w:vAlign w:val="center"/>
          </w:tcPr>
          <w:p w14:paraId="71F1B939">
            <w:pPr>
              <w:pStyle w:val="8"/>
              <w:suppressLineNumbers w:val="0"/>
              <w:bidi w:val="0"/>
              <w:spacing w:before="0" w:beforeAutospacing="0" w:after="0" w:afterAutospacing="0"/>
              <w:ind w:left="0" w:right="0"/>
              <w:rPr>
                <w:rFonts w:hint="default"/>
                <w:snapToGrid w:val="0"/>
                <w:highlight w:val="none"/>
                <w:lang w:val="en-US" w:eastAsia="en-US"/>
              </w:rPr>
            </w:pPr>
            <w:r>
              <w:rPr>
                <w:rFonts w:hint="eastAsia"/>
                <w:snapToGrid w:val="0"/>
                <w:highlight w:val="none"/>
                <w:lang w:val="en-US" w:eastAsia="en-US"/>
              </w:rPr>
              <w:t>重金属和无机物</w:t>
            </w:r>
          </w:p>
        </w:tc>
      </w:tr>
      <w:tr w14:paraId="0C32EB7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11" w:hRule="atLeast"/>
          <w:jc w:val="center"/>
        </w:trPr>
        <w:tc>
          <w:tcPr>
            <w:tcW w:w="1845" w:type="dxa"/>
            <w:vMerge w:val="continue"/>
            <w:tcBorders>
              <w:tl2br w:val="nil"/>
              <w:tr2bl w:val="nil"/>
            </w:tcBorders>
            <w:shd w:val="clear" w:color="auto" w:fill="auto"/>
            <w:vAlign w:val="center"/>
          </w:tcPr>
          <w:p w14:paraId="74F3EB74">
            <w:pPr>
              <w:pStyle w:val="8"/>
              <w:suppressLineNumbers w:val="0"/>
              <w:bidi w:val="0"/>
              <w:spacing w:before="0" w:beforeAutospacing="0" w:after="0" w:afterAutospacing="0"/>
              <w:ind w:left="0" w:right="0"/>
              <w:rPr>
                <w:rFonts w:hint="default"/>
                <w:snapToGrid w:val="0"/>
                <w:highlight w:val="none"/>
                <w:lang w:val="en-US" w:eastAsia="en-US"/>
              </w:rPr>
            </w:pPr>
          </w:p>
        </w:tc>
        <w:tc>
          <w:tcPr>
            <w:tcW w:w="855" w:type="dxa"/>
            <w:tcBorders>
              <w:tl2br w:val="nil"/>
              <w:tr2bl w:val="nil"/>
            </w:tcBorders>
            <w:shd w:val="clear" w:color="auto" w:fill="auto"/>
            <w:vAlign w:val="center"/>
          </w:tcPr>
          <w:p w14:paraId="33BE8FD5">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1</w:t>
            </w:r>
          </w:p>
        </w:tc>
        <w:tc>
          <w:tcPr>
            <w:tcW w:w="1920" w:type="dxa"/>
            <w:tcBorders>
              <w:tl2br w:val="nil"/>
              <w:tr2bl w:val="nil"/>
            </w:tcBorders>
            <w:shd w:val="clear" w:color="auto" w:fill="auto"/>
            <w:vAlign w:val="center"/>
          </w:tcPr>
          <w:p w14:paraId="7A34EF30">
            <w:pPr>
              <w:pStyle w:val="8"/>
              <w:suppressLineNumbers w:val="0"/>
              <w:bidi w:val="0"/>
              <w:spacing w:before="0" w:beforeAutospacing="0" w:after="0" w:afterAutospacing="0"/>
              <w:ind w:left="0" w:right="0"/>
              <w:rPr>
                <w:rFonts w:hint="default"/>
                <w:snapToGrid w:val="0"/>
                <w:highlight w:val="none"/>
                <w:lang w:val="en-US" w:eastAsia="en-US"/>
              </w:rPr>
            </w:pPr>
            <w:r>
              <w:rPr>
                <w:rFonts w:hint="eastAsia"/>
                <w:snapToGrid w:val="0"/>
                <w:highlight w:val="none"/>
                <w:lang w:val="en-US" w:eastAsia="en-US"/>
              </w:rPr>
              <w:t>砷</w:t>
            </w:r>
          </w:p>
        </w:tc>
        <w:tc>
          <w:tcPr>
            <w:tcW w:w="1425" w:type="dxa"/>
            <w:tcBorders>
              <w:tl2br w:val="nil"/>
              <w:tr2bl w:val="nil"/>
            </w:tcBorders>
            <w:shd w:val="clear" w:color="auto" w:fill="auto"/>
            <w:vAlign w:val="center"/>
          </w:tcPr>
          <w:p w14:paraId="36847BFE">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7440-38-2</w:t>
            </w:r>
          </w:p>
        </w:tc>
        <w:tc>
          <w:tcPr>
            <w:tcW w:w="1275" w:type="dxa"/>
            <w:tcBorders>
              <w:tl2br w:val="nil"/>
              <w:tr2bl w:val="nil"/>
            </w:tcBorders>
            <w:shd w:val="clear" w:color="auto" w:fill="auto"/>
            <w:vAlign w:val="center"/>
          </w:tcPr>
          <w:p w14:paraId="5360D8B9">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60</w:t>
            </w:r>
          </w:p>
        </w:tc>
        <w:tc>
          <w:tcPr>
            <w:tcW w:w="986" w:type="dxa"/>
            <w:tcBorders>
              <w:tl2br w:val="nil"/>
              <w:tr2bl w:val="nil"/>
            </w:tcBorders>
            <w:shd w:val="clear" w:color="auto" w:fill="auto"/>
            <w:vAlign w:val="center"/>
          </w:tcPr>
          <w:p w14:paraId="1B2FB3D9">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140</w:t>
            </w:r>
          </w:p>
        </w:tc>
      </w:tr>
      <w:tr w14:paraId="4E20A6A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13" w:hRule="atLeast"/>
          <w:jc w:val="center"/>
        </w:trPr>
        <w:tc>
          <w:tcPr>
            <w:tcW w:w="1845" w:type="dxa"/>
            <w:vMerge w:val="continue"/>
            <w:tcBorders>
              <w:tl2br w:val="nil"/>
              <w:tr2bl w:val="nil"/>
            </w:tcBorders>
            <w:shd w:val="clear" w:color="auto" w:fill="auto"/>
            <w:vAlign w:val="center"/>
          </w:tcPr>
          <w:p w14:paraId="65AD4685">
            <w:pPr>
              <w:pStyle w:val="8"/>
              <w:suppressLineNumbers w:val="0"/>
              <w:bidi w:val="0"/>
              <w:spacing w:before="0" w:beforeAutospacing="0" w:after="0" w:afterAutospacing="0"/>
              <w:ind w:left="0" w:right="0"/>
              <w:rPr>
                <w:rFonts w:hint="default"/>
                <w:snapToGrid w:val="0"/>
                <w:highlight w:val="none"/>
                <w:lang w:val="en-US" w:eastAsia="en-US"/>
              </w:rPr>
            </w:pPr>
          </w:p>
        </w:tc>
        <w:tc>
          <w:tcPr>
            <w:tcW w:w="855" w:type="dxa"/>
            <w:tcBorders>
              <w:tl2br w:val="nil"/>
              <w:tr2bl w:val="nil"/>
            </w:tcBorders>
            <w:shd w:val="clear" w:color="auto" w:fill="auto"/>
            <w:vAlign w:val="center"/>
          </w:tcPr>
          <w:p w14:paraId="7F836FE1">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2</w:t>
            </w:r>
          </w:p>
        </w:tc>
        <w:tc>
          <w:tcPr>
            <w:tcW w:w="1920" w:type="dxa"/>
            <w:tcBorders>
              <w:tl2br w:val="nil"/>
              <w:tr2bl w:val="nil"/>
            </w:tcBorders>
            <w:shd w:val="clear" w:color="auto" w:fill="auto"/>
            <w:vAlign w:val="center"/>
          </w:tcPr>
          <w:p w14:paraId="0FF7BC0F">
            <w:pPr>
              <w:pStyle w:val="8"/>
              <w:suppressLineNumbers w:val="0"/>
              <w:bidi w:val="0"/>
              <w:spacing w:before="0" w:beforeAutospacing="0" w:after="0" w:afterAutospacing="0"/>
              <w:ind w:left="0" w:right="0"/>
              <w:rPr>
                <w:rFonts w:hint="default"/>
                <w:snapToGrid w:val="0"/>
                <w:highlight w:val="none"/>
                <w:lang w:val="en-US" w:eastAsia="en-US"/>
              </w:rPr>
            </w:pPr>
            <w:r>
              <w:rPr>
                <w:rFonts w:hint="eastAsia"/>
                <w:snapToGrid w:val="0"/>
                <w:highlight w:val="none"/>
                <w:lang w:val="en-US" w:eastAsia="en-US"/>
              </w:rPr>
              <w:t>镉</w:t>
            </w:r>
          </w:p>
        </w:tc>
        <w:tc>
          <w:tcPr>
            <w:tcW w:w="1425" w:type="dxa"/>
            <w:tcBorders>
              <w:tl2br w:val="nil"/>
              <w:tr2bl w:val="nil"/>
            </w:tcBorders>
            <w:shd w:val="clear" w:color="auto" w:fill="auto"/>
            <w:vAlign w:val="center"/>
          </w:tcPr>
          <w:p w14:paraId="0D219D79">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7440-43-9</w:t>
            </w:r>
          </w:p>
        </w:tc>
        <w:tc>
          <w:tcPr>
            <w:tcW w:w="1275" w:type="dxa"/>
            <w:tcBorders>
              <w:tl2br w:val="nil"/>
              <w:tr2bl w:val="nil"/>
            </w:tcBorders>
            <w:shd w:val="clear" w:color="auto" w:fill="auto"/>
            <w:vAlign w:val="center"/>
          </w:tcPr>
          <w:p w14:paraId="5215A964">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65</w:t>
            </w:r>
          </w:p>
        </w:tc>
        <w:tc>
          <w:tcPr>
            <w:tcW w:w="986" w:type="dxa"/>
            <w:tcBorders>
              <w:tl2br w:val="nil"/>
              <w:tr2bl w:val="nil"/>
            </w:tcBorders>
            <w:shd w:val="clear" w:color="auto" w:fill="auto"/>
            <w:vAlign w:val="center"/>
          </w:tcPr>
          <w:p w14:paraId="2BD4BFBD">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172</w:t>
            </w:r>
          </w:p>
        </w:tc>
      </w:tr>
      <w:tr w14:paraId="47850A7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11" w:hRule="atLeast"/>
          <w:jc w:val="center"/>
        </w:trPr>
        <w:tc>
          <w:tcPr>
            <w:tcW w:w="1845" w:type="dxa"/>
            <w:vMerge w:val="continue"/>
            <w:tcBorders>
              <w:tl2br w:val="nil"/>
              <w:tr2bl w:val="nil"/>
            </w:tcBorders>
            <w:shd w:val="clear" w:color="auto" w:fill="auto"/>
            <w:vAlign w:val="center"/>
          </w:tcPr>
          <w:p w14:paraId="08C1D942">
            <w:pPr>
              <w:pStyle w:val="8"/>
              <w:suppressLineNumbers w:val="0"/>
              <w:bidi w:val="0"/>
              <w:spacing w:before="0" w:beforeAutospacing="0" w:after="0" w:afterAutospacing="0"/>
              <w:ind w:left="0" w:right="0"/>
              <w:rPr>
                <w:rFonts w:hint="default"/>
                <w:snapToGrid w:val="0"/>
                <w:highlight w:val="none"/>
                <w:lang w:val="en-US" w:eastAsia="en-US"/>
              </w:rPr>
            </w:pPr>
          </w:p>
        </w:tc>
        <w:tc>
          <w:tcPr>
            <w:tcW w:w="855" w:type="dxa"/>
            <w:tcBorders>
              <w:tl2br w:val="nil"/>
              <w:tr2bl w:val="nil"/>
            </w:tcBorders>
            <w:shd w:val="clear" w:color="auto" w:fill="auto"/>
            <w:vAlign w:val="center"/>
          </w:tcPr>
          <w:p w14:paraId="75B0AE3C">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3</w:t>
            </w:r>
          </w:p>
        </w:tc>
        <w:tc>
          <w:tcPr>
            <w:tcW w:w="1920" w:type="dxa"/>
            <w:tcBorders>
              <w:tl2br w:val="nil"/>
              <w:tr2bl w:val="nil"/>
            </w:tcBorders>
            <w:shd w:val="clear" w:color="auto" w:fill="auto"/>
            <w:vAlign w:val="center"/>
          </w:tcPr>
          <w:p w14:paraId="075647E3">
            <w:pPr>
              <w:pStyle w:val="8"/>
              <w:suppressLineNumbers w:val="0"/>
              <w:bidi w:val="0"/>
              <w:spacing w:before="0" w:beforeAutospacing="0" w:after="0" w:afterAutospacing="0"/>
              <w:ind w:left="0" w:right="0"/>
              <w:rPr>
                <w:rFonts w:hint="default"/>
                <w:snapToGrid w:val="0"/>
                <w:highlight w:val="none"/>
                <w:lang w:val="en-US" w:eastAsia="en-US"/>
              </w:rPr>
            </w:pPr>
            <w:r>
              <w:rPr>
                <w:rFonts w:hint="eastAsia"/>
                <w:snapToGrid w:val="0"/>
                <w:highlight w:val="none"/>
                <w:lang w:val="en-US" w:eastAsia="en-US"/>
              </w:rPr>
              <w:t>铬（六价）</w:t>
            </w:r>
          </w:p>
        </w:tc>
        <w:tc>
          <w:tcPr>
            <w:tcW w:w="1425" w:type="dxa"/>
            <w:tcBorders>
              <w:tl2br w:val="nil"/>
              <w:tr2bl w:val="nil"/>
            </w:tcBorders>
            <w:shd w:val="clear" w:color="auto" w:fill="auto"/>
            <w:vAlign w:val="center"/>
          </w:tcPr>
          <w:p w14:paraId="71F2EE41">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18540-29-9</w:t>
            </w:r>
          </w:p>
        </w:tc>
        <w:tc>
          <w:tcPr>
            <w:tcW w:w="1275" w:type="dxa"/>
            <w:tcBorders>
              <w:tl2br w:val="nil"/>
              <w:tr2bl w:val="nil"/>
            </w:tcBorders>
            <w:shd w:val="clear" w:color="auto" w:fill="auto"/>
            <w:vAlign w:val="center"/>
          </w:tcPr>
          <w:p w14:paraId="2F5620AE">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5.7</w:t>
            </w:r>
          </w:p>
        </w:tc>
        <w:tc>
          <w:tcPr>
            <w:tcW w:w="986" w:type="dxa"/>
            <w:tcBorders>
              <w:tl2br w:val="nil"/>
              <w:tr2bl w:val="nil"/>
            </w:tcBorders>
            <w:shd w:val="clear" w:color="auto" w:fill="auto"/>
            <w:vAlign w:val="center"/>
          </w:tcPr>
          <w:p w14:paraId="27395A3E">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78</w:t>
            </w:r>
          </w:p>
        </w:tc>
      </w:tr>
      <w:tr w14:paraId="6BB3DD4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11" w:hRule="atLeast"/>
          <w:jc w:val="center"/>
        </w:trPr>
        <w:tc>
          <w:tcPr>
            <w:tcW w:w="1845" w:type="dxa"/>
            <w:vMerge w:val="continue"/>
            <w:tcBorders>
              <w:tl2br w:val="nil"/>
              <w:tr2bl w:val="nil"/>
            </w:tcBorders>
            <w:shd w:val="clear" w:color="auto" w:fill="auto"/>
            <w:vAlign w:val="center"/>
          </w:tcPr>
          <w:p w14:paraId="7716CC86">
            <w:pPr>
              <w:pStyle w:val="8"/>
              <w:suppressLineNumbers w:val="0"/>
              <w:bidi w:val="0"/>
              <w:spacing w:before="0" w:beforeAutospacing="0" w:after="0" w:afterAutospacing="0"/>
              <w:ind w:left="0" w:right="0"/>
              <w:rPr>
                <w:rFonts w:hint="default"/>
                <w:snapToGrid w:val="0"/>
                <w:highlight w:val="none"/>
                <w:lang w:val="en-US" w:eastAsia="en-US"/>
              </w:rPr>
            </w:pPr>
          </w:p>
        </w:tc>
        <w:tc>
          <w:tcPr>
            <w:tcW w:w="855" w:type="dxa"/>
            <w:tcBorders>
              <w:tl2br w:val="nil"/>
              <w:tr2bl w:val="nil"/>
            </w:tcBorders>
            <w:shd w:val="clear" w:color="auto" w:fill="auto"/>
            <w:vAlign w:val="center"/>
          </w:tcPr>
          <w:p w14:paraId="0AB67A5C">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4</w:t>
            </w:r>
          </w:p>
        </w:tc>
        <w:tc>
          <w:tcPr>
            <w:tcW w:w="1920" w:type="dxa"/>
            <w:tcBorders>
              <w:tl2br w:val="nil"/>
              <w:tr2bl w:val="nil"/>
            </w:tcBorders>
            <w:shd w:val="clear" w:color="auto" w:fill="auto"/>
            <w:vAlign w:val="center"/>
          </w:tcPr>
          <w:p w14:paraId="02768DC5">
            <w:pPr>
              <w:pStyle w:val="8"/>
              <w:suppressLineNumbers w:val="0"/>
              <w:bidi w:val="0"/>
              <w:spacing w:before="0" w:beforeAutospacing="0" w:after="0" w:afterAutospacing="0"/>
              <w:ind w:left="0" w:right="0"/>
              <w:rPr>
                <w:rFonts w:hint="default"/>
                <w:snapToGrid w:val="0"/>
                <w:highlight w:val="none"/>
                <w:lang w:val="en-US" w:eastAsia="en-US"/>
              </w:rPr>
            </w:pPr>
            <w:r>
              <w:rPr>
                <w:rFonts w:hint="eastAsia"/>
                <w:snapToGrid w:val="0"/>
                <w:highlight w:val="none"/>
                <w:lang w:val="en-US" w:eastAsia="en-US"/>
              </w:rPr>
              <w:t>铜</w:t>
            </w:r>
          </w:p>
        </w:tc>
        <w:tc>
          <w:tcPr>
            <w:tcW w:w="1425" w:type="dxa"/>
            <w:tcBorders>
              <w:tl2br w:val="nil"/>
              <w:tr2bl w:val="nil"/>
            </w:tcBorders>
            <w:shd w:val="clear" w:color="auto" w:fill="auto"/>
            <w:vAlign w:val="center"/>
          </w:tcPr>
          <w:p w14:paraId="7E9E005B">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7440-50-8</w:t>
            </w:r>
          </w:p>
        </w:tc>
        <w:tc>
          <w:tcPr>
            <w:tcW w:w="1275" w:type="dxa"/>
            <w:tcBorders>
              <w:tl2br w:val="nil"/>
              <w:tr2bl w:val="nil"/>
            </w:tcBorders>
            <w:shd w:val="clear" w:color="auto" w:fill="auto"/>
            <w:vAlign w:val="center"/>
          </w:tcPr>
          <w:p w14:paraId="2E42DEDE">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18000</w:t>
            </w:r>
          </w:p>
        </w:tc>
        <w:tc>
          <w:tcPr>
            <w:tcW w:w="986" w:type="dxa"/>
            <w:tcBorders>
              <w:tl2br w:val="nil"/>
              <w:tr2bl w:val="nil"/>
            </w:tcBorders>
            <w:shd w:val="clear" w:color="auto" w:fill="auto"/>
            <w:vAlign w:val="center"/>
          </w:tcPr>
          <w:p w14:paraId="23E9E0AF">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36000</w:t>
            </w:r>
          </w:p>
        </w:tc>
      </w:tr>
      <w:tr w14:paraId="271045F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11" w:hRule="atLeast"/>
          <w:jc w:val="center"/>
        </w:trPr>
        <w:tc>
          <w:tcPr>
            <w:tcW w:w="1845" w:type="dxa"/>
            <w:vMerge w:val="continue"/>
            <w:tcBorders>
              <w:tl2br w:val="nil"/>
              <w:tr2bl w:val="nil"/>
            </w:tcBorders>
            <w:shd w:val="clear" w:color="auto" w:fill="auto"/>
            <w:vAlign w:val="center"/>
          </w:tcPr>
          <w:p w14:paraId="0749FC3C">
            <w:pPr>
              <w:pStyle w:val="8"/>
              <w:suppressLineNumbers w:val="0"/>
              <w:bidi w:val="0"/>
              <w:spacing w:before="0" w:beforeAutospacing="0" w:after="0" w:afterAutospacing="0"/>
              <w:ind w:left="0" w:right="0"/>
              <w:rPr>
                <w:rFonts w:hint="default"/>
                <w:snapToGrid w:val="0"/>
                <w:highlight w:val="none"/>
                <w:lang w:val="en-US" w:eastAsia="en-US"/>
              </w:rPr>
            </w:pPr>
          </w:p>
        </w:tc>
        <w:tc>
          <w:tcPr>
            <w:tcW w:w="855" w:type="dxa"/>
            <w:tcBorders>
              <w:tl2br w:val="nil"/>
              <w:tr2bl w:val="nil"/>
            </w:tcBorders>
            <w:shd w:val="clear" w:color="auto" w:fill="auto"/>
            <w:vAlign w:val="center"/>
          </w:tcPr>
          <w:p w14:paraId="4878F164">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5</w:t>
            </w:r>
          </w:p>
        </w:tc>
        <w:tc>
          <w:tcPr>
            <w:tcW w:w="1920" w:type="dxa"/>
            <w:tcBorders>
              <w:tl2br w:val="nil"/>
              <w:tr2bl w:val="nil"/>
            </w:tcBorders>
            <w:shd w:val="clear" w:color="auto" w:fill="auto"/>
            <w:vAlign w:val="center"/>
          </w:tcPr>
          <w:p w14:paraId="665B8FF4">
            <w:pPr>
              <w:pStyle w:val="8"/>
              <w:suppressLineNumbers w:val="0"/>
              <w:bidi w:val="0"/>
              <w:spacing w:before="0" w:beforeAutospacing="0" w:after="0" w:afterAutospacing="0"/>
              <w:ind w:left="0" w:right="0"/>
              <w:rPr>
                <w:rFonts w:hint="default"/>
                <w:snapToGrid w:val="0"/>
                <w:highlight w:val="none"/>
                <w:lang w:val="en-US" w:eastAsia="en-US"/>
              </w:rPr>
            </w:pPr>
            <w:r>
              <w:rPr>
                <w:rFonts w:hint="eastAsia"/>
                <w:snapToGrid w:val="0"/>
                <w:highlight w:val="none"/>
                <w:lang w:val="en-US" w:eastAsia="en-US"/>
              </w:rPr>
              <w:t>铅</w:t>
            </w:r>
          </w:p>
        </w:tc>
        <w:tc>
          <w:tcPr>
            <w:tcW w:w="1425" w:type="dxa"/>
            <w:tcBorders>
              <w:tl2br w:val="nil"/>
              <w:tr2bl w:val="nil"/>
            </w:tcBorders>
            <w:shd w:val="clear" w:color="auto" w:fill="auto"/>
            <w:vAlign w:val="center"/>
          </w:tcPr>
          <w:p w14:paraId="59FE4E04">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7439-92-1</w:t>
            </w:r>
          </w:p>
        </w:tc>
        <w:tc>
          <w:tcPr>
            <w:tcW w:w="1275" w:type="dxa"/>
            <w:tcBorders>
              <w:tl2br w:val="nil"/>
              <w:tr2bl w:val="nil"/>
            </w:tcBorders>
            <w:shd w:val="clear" w:color="auto" w:fill="auto"/>
            <w:vAlign w:val="center"/>
          </w:tcPr>
          <w:p w14:paraId="2F67BF5B">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800</w:t>
            </w:r>
          </w:p>
        </w:tc>
        <w:tc>
          <w:tcPr>
            <w:tcW w:w="986" w:type="dxa"/>
            <w:tcBorders>
              <w:tl2br w:val="nil"/>
              <w:tr2bl w:val="nil"/>
            </w:tcBorders>
            <w:shd w:val="clear" w:color="auto" w:fill="auto"/>
            <w:vAlign w:val="center"/>
          </w:tcPr>
          <w:p w14:paraId="796F316A">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2500</w:t>
            </w:r>
          </w:p>
        </w:tc>
      </w:tr>
      <w:tr w14:paraId="5DEB188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11" w:hRule="atLeast"/>
          <w:jc w:val="center"/>
        </w:trPr>
        <w:tc>
          <w:tcPr>
            <w:tcW w:w="1845" w:type="dxa"/>
            <w:vMerge w:val="continue"/>
            <w:tcBorders>
              <w:tl2br w:val="nil"/>
              <w:tr2bl w:val="nil"/>
            </w:tcBorders>
            <w:shd w:val="clear" w:color="auto" w:fill="auto"/>
            <w:vAlign w:val="center"/>
          </w:tcPr>
          <w:p w14:paraId="1E955C8F">
            <w:pPr>
              <w:pStyle w:val="8"/>
              <w:suppressLineNumbers w:val="0"/>
              <w:bidi w:val="0"/>
              <w:spacing w:before="0" w:beforeAutospacing="0" w:after="0" w:afterAutospacing="0"/>
              <w:ind w:left="0" w:right="0"/>
              <w:rPr>
                <w:rFonts w:hint="default"/>
                <w:snapToGrid w:val="0"/>
                <w:highlight w:val="none"/>
                <w:lang w:val="en-US" w:eastAsia="en-US"/>
              </w:rPr>
            </w:pPr>
          </w:p>
        </w:tc>
        <w:tc>
          <w:tcPr>
            <w:tcW w:w="855" w:type="dxa"/>
            <w:tcBorders>
              <w:tl2br w:val="nil"/>
              <w:tr2bl w:val="nil"/>
            </w:tcBorders>
            <w:shd w:val="clear" w:color="auto" w:fill="auto"/>
            <w:vAlign w:val="center"/>
          </w:tcPr>
          <w:p w14:paraId="5ACC2443">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6</w:t>
            </w:r>
          </w:p>
        </w:tc>
        <w:tc>
          <w:tcPr>
            <w:tcW w:w="1920" w:type="dxa"/>
            <w:tcBorders>
              <w:tl2br w:val="nil"/>
              <w:tr2bl w:val="nil"/>
            </w:tcBorders>
            <w:shd w:val="clear" w:color="auto" w:fill="auto"/>
            <w:vAlign w:val="center"/>
          </w:tcPr>
          <w:p w14:paraId="42FAF5D1">
            <w:pPr>
              <w:pStyle w:val="8"/>
              <w:suppressLineNumbers w:val="0"/>
              <w:bidi w:val="0"/>
              <w:spacing w:before="0" w:beforeAutospacing="0" w:after="0" w:afterAutospacing="0"/>
              <w:ind w:left="0" w:right="0"/>
              <w:rPr>
                <w:rFonts w:hint="default"/>
                <w:snapToGrid w:val="0"/>
                <w:highlight w:val="none"/>
                <w:lang w:val="en-US" w:eastAsia="en-US"/>
              </w:rPr>
            </w:pPr>
            <w:r>
              <w:rPr>
                <w:rFonts w:hint="eastAsia"/>
                <w:snapToGrid w:val="0"/>
                <w:highlight w:val="none"/>
                <w:lang w:val="en-US" w:eastAsia="en-US"/>
              </w:rPr>
              <w:t>汞</w:t>
            </w:r>
          </w:p>
        </w:tc>
        <w:tc>
          <w:tcPr>
            <w:tcW w:w="1425" w:type="dxa"/>
            <w:tcBorders>
              <w:tl2br w:val="nil"/>
              <w:tr2bl w:val="nil"/>
            </w:tcBorders>
            <w:shd w:val="clear" w:color="auto" w:fill="auto"/>
            <w:vAlign w:val="center"/>
          </w:tcPr>
          <w:p w14:paraId="0B948916">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7439-97-6</w:t>
            </w:r>
          </w:p>
        </w:tc>
        <w:tc>
          <w:tcPr>
            <w:tcW w:w="1275" w:type="dxa"/>
            <w:tcBorders>
              <w:tl2br w:val="nil"/>
              <w:tr2bl w:val="nil"/>
            </w:tcBorders>
            <w:shd w:val="clear" w:color="auto" w:fill="auto"/>
            <w:vAlign w:val="center"/>
          </w:tcPr>
          <w:p w14:paraId="2DD9CAD9">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38</w:t>
            </w:r>
          </w:p>
        </w:tc>
        <w:tc>
          <w:tcPr>
            <w:tcW w:w="986" w:type="dxa"/>
            <w:tcBorders>
              <w:tl2br w:val="nil"/>
              <w:tr2bl w:val="nil"/>
            </w:tcBorders>
            <w:shd w:val="clear" w:color="auto" w:fill="auto"/>
            <w:vAlign w:val="center"/>
          </w:tcPr>
          <w:p w14:paraId="0A08D808">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82</w:t>
            </w:r>
          </w:p>
        </w:tc>
      </w:tr>
      <w:tr w14:paraId="02F1459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11" w:hRule="atLeast"/>
          <w:jc w:val="center"/>
        </w:trPr>
        <w:tc>
          <w:tcPr>
            <w:tcW w:w="1845" w:type="dxa"/>
            <w:vMerge w:val="continue"/>
            <w:tcBorders>
              <w:tl2br w:val="nil"/>
              <w:tr2bl w:val="nil"/>
            </w:tcBorders>
            <w:shd w:val="clear" w:color="auto" w:fill="auto"/>
            <w:vAlign w:val="center"/>
          </w:tcPr>
          <w:p w14:paraId="7F6D74EA">
            <w:pPr>
              <w:pStyle w:val="8"/>
              <w:suppressLineNumbers w:val="0"/>
              <w:bidi w:val="0"/>
              <w:spacing w:before="0" w:beforeAutospacing="0" w:after="0" w:afterAutospacing="0"/>
              <w:ind w:left="0" w:right="0"/>
              <w:rPr>
                <w:rFonts w:hint="default"/>
                <w:snapToGrid w:val="0"/>
                <w:highlight w:val="none"/>
                <w:lang w:val="en-US" w:eastAsia="en-US"/>
              </w:rPr>
            </w:pPr>
          </w:p>
        </w:tc>
        <w:tc>
          <w:tcPr>
            <w:tcW w:w="855" w:type="dxa"/>
            <w:tcBorders>
              <w:tl2br w:val="nil"/>
              <w:tr2bl w:val="nil"/>
            </w:tcBorders>
            <w:shd w:val="clear" w:color="auto" w:fill="auto"/>
            <w:vAlign w:val="center"/>
          </w:tcPr>
          <w:p w14:paraId="041EEAE1">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7</w:t>
            </w:r>
          </w:p>
        </w:tc>
        <w:tc>
          <w:tcPr>
            <w:tcW w:w="1920" w:type="dxa"/>
            <w:tcBorders>
              <w:tl2br w:val="nil"/>
              <w:tr2bl w:val="nil"/>
            </w:tcBorders>
            <w:shd w:val="clear" w:color="auto" w:fill="auto"/>
            <w:vAlign w:val="center"/>
          </w:tcPr>
          <w:p w14:paraId="04351809">
            <w:pPr>
              <w:pStyle w:val="8"/>
              <w:suppressLineNumbers w:val="0"/>
              <w:bidi w:val="0"/>
              <w:spacing w:before="0" w:beforeAutospacing="0" w:after="0" w:afterAutospacing="0"/>
              <w:ind w:left="0" w:right="0"/>
              <w:rPr>
                <w:rFonts w:hint="default"/>
                <w:snapToGrid w:val="0"/>
                <w:highlight w:val="none"/>
                <w:lang w:val="en-US" w:eastAsia="en-US"/>
              </w:rPr>
            </w:pPr>
            <w:r>
              <w:rPr>
                <w:rFonts w:hint="eastAsia"/>
                <w:snapToGrid w:val="0"/>
                <w:highlight w:val="none"/>
                <w:lang w:val="en-US" w:eastAsia="en-US"/>
              </w:rPr>
              <w:t>镍</w:t>
            </w:r>
          </w:p>
        </w:tc>
        <w:tc>
          <w:tcPr>
            <w:tcW w:w="1425" w:type="dxa"/>
            <w:tcBorders>
              <w:tl2br w:val="nil"/>
              <w:tr2bl w:val="nil"/>
            </w:tcBorders>
            <w:shd w:val="clear" w:color="auto" w:fill="auto"/>
            <w:vAlign w:val="center"/>
          </w:tcPr>
          <w:p w14:paraId="5D7A5A9E">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7440-02-0</w:t>
            </w:r>
          </w:p>
        </w:tc>
        <w:tc>
          <w:tcPr>
            <w:tcW w:w="1275" w:type="dxa"/>
            <w:tcBorders>
              <w:tl2br w:val="nil"/>
              <w:tr2bl w:val="nil"/>
            </w:tcBorders>
            <w:shd w:val="clear" w:color="auto" w:fill="auto"/>
            <w:vAlign w:val="center"/>
          </w:tcPr>
          <w:p w14:paraId="79AD2F45">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900</w:t>
            </w:r>
          </w:p>
        </w:tc>
        <w:tc>
          <w:tcPr>
            <w:tcW w:w="986" w:type="dxa"/>
            <w:tcBorders>
              <w:tl2br w:val="nil"/>
              <w:tr2bl w:val="nil"/>
            </w:tcBorders>
            <w:shd w:val="clear" w:color="auto" w:fill="auto"/>
            <w:vAlign w:val="center"/>
          </w:tcPr>
          <w:p w14:paraId="69FF1313">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2000</w:t>
            </w:r>
          </w:p>
        </w:tc>
      </w:tr>
      <w:tr w14:paraId="71A46DD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14" w:hRule="atLeast"/>
          <w:jc w:val="center"/>
        </w:trPr>
        <w:tc>
          <w:tcPr>
            <w:tcW w:w="1845" w:type="dxa"/>
            <w:vMerge w:val="continue"/>
            <w:tcBorders>
              <w:tl2br w:val="nil"/>
              <w:tr2bl w:val="nil"/>
            </w:tcBorders>
            <w:shd w:val="clear" w:color="auto" w:fill="auto"/>
            <w:vAlign w:val="center"/>
          </w:tcPr>
          <w:p w14:paraId="201AD2EE">
            <w:pPr>
              <w:pStyle w:val="8"/>
              <w:suppressLineNumbers w:val="0"/>
              <w:bidi w:val="0"/>
              <w:spacing w:before="0" w:beforeAutospacing="0" w:after="0" w:afterAutospacing="0"/>
              <w:ind w:left="0" w:right="0"/>
              <w:rPr>
                <w:rFonts w:hint="default"/>
                <w:snapToGrid w:val="0"/>
                <w:highlight w:val="none"/>
                <w:lang w:val="en-US" w:eastAsia="en-US"/>
              </w:rPr>
            </w:pPr>
          </w:p>
        </w:tc>
        <w:tc>
          <w:tcPr>
            <w:tcW w:w="6461" w:type="dxa"/>
            <w:gridSpan w:val="5"/>
            <w:tcBorders>
              <w:tl2br w:val="nil"/>
              <w:tr2bl w:val="nil"/>
            </w:tcBorders>
            <w:shd w:val="clear" w:color="auto" w:fill="auto"/>
            <w:vAlign w:val="center"/>
          </w:tcPr>
          <w:p w14:paraId="2FE76DDE">
            <w:pPr>
              <w:pStyle w:val="8"/>
              <w:suppressLineNumbers w:val="0"/>
              <w:bidi w:val="0"/>
              <w:spacing w:before="0" w:beforeAutospacing="0" w:after="0" w:afterAutospacing="0"/>
              <w:ind w:left="0" w:right="0"/>
              <w:rPr>
                <w:rFonts w:hint="default"/>
                <w:snapToGrid w:val="0"/>
                <w:highlight w:val="none"/>
                <w:lang w:val="en-US" w:eastAsia="en-US"/>
              </w:rPr>
            </w:pPr>
            <w:r>
              <w:rPr>
                <w:rFonts w:hint="eastAsia"/>
                <w:snapToGrid w:val="0"/>
                <w:highlight w:val="none"/>
                <w:lang w:val="en-US" w:eastAsia="en-US"/>
              </w:rPr>
              <w:t>挥发性有机物</w:t>
            </w:r>
          </w:p>
        </w:tc>
      </w:tr>
      <w:tr w14:paraId="0643BA3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11" w:hRule="atLeast"/>
          <w:jc w:val="center"/>
        </w:trPr>
        <w:tc>
          <w:tcPr>
            <w:tcW w:w="1845" w:type="dxa"/>
            <w:vMerge w:val="continue"/>
            <w:tcBorders>
              <w:tl2br w:val="nil"/>
              <w:tr2bl w:val="nil"/>
            </w:tcBorders>
            <w:shd w:val="clear" w:color="auto" w:fill="auto"/>
            <w:vAlign w:val="center"/>
          </w:tcPr>
          <w:p w14:paraId="05D639FB">
            <w:pPr>
              <w:pStyle w:val="8"/>
              <w:suppressLineNumbers w:val="0"/>
              <w:bidi w:val="0"/>
              <w:spacing w:before="0" w:beforeAutospacing="0" w:after="0" w:afterAutospacing="0"/>
              <w:ind w:left="0" w:right="0"/>
              <w:rPr>
                <w:rFonts w:hint="default"/>
                <w:snapToGrid w:val="0"/>
                <w:highlight w:val="none"/>
                <w:lang w:val="en-US" w:eastAsia="en-US"/>
              </w:rPr>
            </w:pPr>
          </w:p>
        </w:tc>
        <w:tc>
          <w:tcPr>
            <w:tcW w:w="855" w:type="dxa"/>
            <w:tcBorders>
              <w:tl2br w:val="nil"/>
              <w:tr2bl w:val="nil"/>
            </w:tcBorders>
            <w:shd w:val="clear" w:color="auto" w:fill="auto"/>
            <w:vAlign w:val="center"/>
          </w:tcPr>
          <w:p w14:paraId="7C5833FE">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8</w:t>
            </w:r>
          </w:p>
        </w:tc>
        <w:tc>
          <w:tcPr>
            <w:tcW w:w="1920" w:type="dxa"/>
            <w:tcBorders>
              <w:tl2br w:val="nil"/>
              <w:tr2bl w:val="nil"/>
            </w:tcBorders>
            <w:shd w:val="clear" w:color="auto" w:fill="auto"/>
            <w:vAlign w:val="center"/>
          </w:tcPr>
          <w:p w14:paraId="4F03B88A">
            <w:pPr>
              <w:pStyle w:val="8"/>
              <w:suppressLineNumbers w:val="0"/>
              <w:bidi w:val="0"/>
              <w:spacing w:before="0" w:beforeAutospacing="0" w:after="0" w:afterAutospacing="0"/>
              <w:ind w:left="0" w:right="0"/>
              <w:rPr>
                <w:rFonts w:hint="default"/>
                <w:snapToGrid w:val="0"/>
                <w:highlight w:val="none"/>
                <w:lang w:val="en-US" w:eastAsia="en-US"/>
              </w:rPr>
            </w:pPr>
            <w:r>
              <w:rPr>
                <w:rFonts w:hint="eastAsia"/>
                <w:snapToGrid w:val="0"/>
                <w:highlight w:val="none"/>
                <w:lang w:val="en-US" w:eastAsia="en-US"/>
              </w:rPr>
              <w:t>四氯化碳</w:t>
            </w:r>
          </w:p>
        </w:tc>
        <w:tc>
          <w:tcPr>
            <w:tcW w:w="1425" w:type="dxa"/>
            <w:tcBorders>
              <w:tl2br w:val="nil"/>
              <w:tr2bl w:val="nil"/>
            </w:tcBorders>
            <w:shd w:val="clear" w:color="auto" w:fill="auto"/>
            <w:vAlign w:val="center"/>
          </w:tcPr>
          <w:p w14:paraId="763E6CEA">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56-23-5</w:t>
            </w:r>
          </w:p>
        </w:tc>
        <w:tc>
          <w:tcPr>
            <w:tcW w:w="1275" w:type="dxa"/>
            <w:tcBorders>
              <w:tl2br w:val="nil"/>
              <w:tr2bl w:val="nil"/>
            </w:tcBorders>
            <w:shd w:val="clear" w:color="auto" w:fill="auto"/>
            <w:vAlign w:val="center"/>
          </w:tcPr>
          <w:p w14:paraId="118DA9C1">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2.8</w:t>
            </w:r>
          </w:p>
        </w:tc>
        <w:tc>
          <w:tcPr>
            <w:tcW w:w="986" w:type="dxa"/>
            <w:tcBorders>
              <w:tl2br w:val="nil"/>
              <w:tr2bl w:val="nil"/>
            </w:tcBorders>
            <w:shd w:val="clear" w:color="auto" w:fill="auto"/>
            <w:vAlign w:val="center"/>
          </w:tcPr>
          <w:p w14:paraId="7E2087BE">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36</w:t>
            </w:r>
          </w:p>
        </w:tc>
      </w:tr>
      <w:tr w14:paraId="4A7E9A7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11" w:hRule="atLeast"/>
          <w:jc w:val="center"/>
        </w:trPr>
        <w:tc>
          <w:tcPr>
            <w:tcW w:w="1845" w:type="dxa"/>
            <w:vMerge w:val="continue"/>
            <w:tcBorders>
              <w:tl2br w:val="nil"/>
              <w:tr2bl w:val="nil"/>
            </w:tcBorders>
            <w:shd w:val="clear" w:color="auto" w:fill="auto"/>
            <w:vAlign w:val="center"/>
          </w:tcPr>
          <w:p w14:paraId="79172274">
            <w:pPr>
              <w:pStyle w:val="8"/>
              <w:suppressLineNumbers w:val="0"/>
              <w:bidi w:val="0"/>
              <w:spacing w:before="0" w:beforeAutospacing="0" w:after="0" w:afterAutospacing="0"/>
              <w:ind w:left="0" w:right="0"/>
              <w:rPr>
                <w:rFonts w:hint="default"/>
                <w:snapToGrid w:val="0"/>
                <w:highlight w:val="none"/>
                <w:lang w:val="en-US" w:eastAsia="en-US"/>
              </w:rPr>
            </w:pPr>
          </w:p>
        </w:tc>
        <w:tc>
          <w:tcPr>
            <w:tcW w:w="855" w:type="dxa"/>
            <w:tcBorders>
              <w:tl2br w:val="nil"/>
              <w:tr2bl w:val="nil"/>
            </w:tcBorders>
            <w:shd w:val="clear" w:color="auto" w:fill="auto"/>
            <w:vAlign w:val="center"/>
          </w:tcPr>
          <w:p w14:paraId="261B5A8E">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9</w:t>
            </w:r>
          </w:p>
        </w:tc>
        <w:tc>
          <w:tcPr>
            <w:tcW w:w="1920" w:type="dxa"/>
            <w:tcBorders>
              <w:tl2br w:val="nil"/>
              <w:tr2bl w:val="nil"/>
            </w:tcBorders>
            <w:shd w:val="clear" w:color="auto" w:fill="auto"/>
            <w:vAlign w:val="center"/>
          </w:tcPr>
          <w:p w14:paraId="7C4E6172">
            <w:pPr>
              <w:pStyle w:val="8"/>
              <w:suppressLineNumbers w:val="0"/>
              <w:bidi w:val="0"/>
              <w:spacing w:before="0" w:beforeAutospacing="0" w:after="0" w:afterAutospacing="0"/>
              <w:ind w:left="0" w:right="0"/>
              <w:rPr>
                <w:rFonts w:hint="default"/>
                <w:snapToGrid w:val="0"/>
                <w:highlight w:val="none"/>
                <w:lang w:val="en-US" w:eastAsia="en-US"/>
              </w:rPr>
            </w:pPr>
            <w:r>
              <w:rPr>
                <w:rFonts w:hint="eastAsia"/>
                <w:snapToGrid w:val="0"/>
                <w:highlight w:val="none"/>
                <w:lang w:val="en-US" w:eastAsia="en-US"/>
              </w:rPr>
              <w:t>氯仿</w:t>
            </w:r>
          </w:p>
        </w:tc>
        <w:tc>
          <w:tcPr>
            <w:tcW w:w="1425" w:type="dxa"/>
            <w:tcBorders>
              <w:tl2br w:val="nil"/>
              <w:tr2bl w:val="nil"/>
            </w:tcBorders>
            <w:shd w:val="clear" w:color="auto" w:fill="auto"/>
            <w:vAlign w:val="center"/>
          </w:tcPr>
          <w:p w14:paraId="6ADC0DA1">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67-66-3</w:t>
            </w:r>
          </w:p>
        </w:tc>
        <w:tc>
          <w:tcPr>
            <w:tcW w:w="1275" w:type="dxa"/>
            <w:tcBorders>
              <w:tl2br w:val="nil"/>
              <w:tr2bl w:val="nil"/>
            </w:tcBorders>
            <w:shd w:val="clear" w:color="auto" w:fill="auto"/>
            <w:vAlign w:val="center"/>
          </w:tcPr>
          <w:p w14:paraId="3FF849C4">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0.9</w:t>
            </w:r>
          </w:p>
        </w:tc>
        <w:tc>
          <w:tcPr>
            <w:tcW w:w="986" w:type="dxa"/>
            <w:tcBorders>
              <w:tl2br w:val="nil"/>
              <w:tr2bl w:val="nil"/>
            </w:tcBorders>
            <w:shd w:val="clear" w:color="auto" w:fill="auto"/>
            <w:vAlign w:val="center"/>
          </w:tcPr>
          <w:p w14:paraId="2A8CDE12">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10</w:t>
            </w:r>
          </w:p>
        </w:tc>
      </w:tr>
      <w:tr w14:paraId="1AD412D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11" w:hRule="atLeast"/>
          <w:jc w:val="center"/>
        </w:trPr>
        <w:tc>
          <w:tcPr>
            <w:tcW w:w="1845" w:type="dxa"/>
            <w:vMerge w:val="continue"/>
            <w:tcBorders>
              <w:tl2br w:val="nil"/>
              <w:tr2bl w:val="nil"/>
            </w:tcBorders>
            <w:shd w:val="clear" w:color="auto" w:fill="auto"/>
            <w:vAlign w:val="center"/>
          </w:tcPr>
          <w:p w14:paraId="41E541F1">
            <w:pPr>
              <w:pStyle w:val="8"/>
              <w:suppressLineNumbers w:val="0"/>
              <w:bidi w:val="0"/>
              <w:spacing w:before="0" w:beforeAutospacing="0" w:after="0" w:afterAutospacing="0"/>
              <w:ind w:left="0" w:right="0"/>
              <w:rPr>
                <w:rFonts w:hint="default"/>
                <w:snapToGrid w:val="0"/>
                <w:highlight w:val="none"/>
                <w:lang w:val="en-US" w:eastAsia="en-US"/>
              </w:rPr>
            </w:pPr>
          </w:p>
        </w:tc>
        <w:tc>
          <w:tcPr>
            <w:tcW w:w="855" w:type="dxa"/>
            <w:tcBorders>
              <w:tl2br w:val="nil"/>
              <w:tr2bl w:val="nil"/>
            </w:tcBorders>
            <w:shd w:val="clear" w:color="auto" w:fill="auto"/>
            <w:vAlign w:val="center"/>
          </w:tcPr>
          <w:p w14:paraId="2E394825">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10</w:t>
            </w:r>
          </w:p>
        </w:tc>
        <w:tc>
          <w:tcPr>
            <w:tcW w:w="1920" w:type="dxa"/>
            <w:tcBorders>
              <w:tl2br w:val="nil"/>
              <w:tr2bl w:val="nil"/>
            </w:tcBorders>
            <w:shd w:val="clear" w:color="auto" w:fill="auto"/>
            <w:vAlign w:val="center"/>
          </w:tcPr>
          <w:p w14:paraId="0B9C541B">
            <w:pPr>
              <w:pStyle w:val="8"/>
              <w:suppressLineNumbers w:val="0"/>
              <w:bidi w:val="0"/>
              <w:spacing w:before="0" w:beforeAutospacing="0" w:after="0" w:afterAutospacing="0"/>
              <w:ind w:left="0" w:right="0"/>
              <w:rPr>
                <w:rFonts w:hint="default"/>
                <w:snapToGrid w:val="0"/>
                <w:highlight w:val="none"/>
                <w:lang w:val="en-US" w:eastAsia="en-US"/>
              </w:rPr>
            </w:pPr>
            <w:r>
              <w:rPr>
                <w:rFonts w:hint="eastAsia"/>
                <w:snapToGrid w:val="0"/>
                <w:highlight w:val="none"/>
                <w:lang w:val="en-US" w:eastAsia="en-US"/>
              </w:rPr>
              <w:t>氯甲烷</w:t>
            </w:r>
          </w:p>
        </w:tc>
        <w:tc>
          <w:tcPr>
            <w:tcW w:w="1425" w:type="dxa"/>
            <w:tcBorders>
              <w:tl2br w:val="nil"/>
              <w:tr2bl w:val="nil"/>
            </w:tcBorders>
            <w:shd w:val="clear" w:color="auto" w:fill="auto"/>
            <w:vAlign w:val="center"/>
          </w:tcPr>
          <w:p w14:paraId="433AE7F2">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74-87-3</w:t>
            </w:r>
          </w:p>
        </w:tc>
        <w:tc>
          <w:tcPr>
            <w:tcW w:w="1275" w:type="dxa"/>
            <w:tcBorders>
              <w:tl2br w:val="nil"/>
              <w:tr2bl w:val="nil"/>
            </w:tcBorders>
            <w:shd w:val="clear" w:color="auto" w:fill="auto"/>
            <w:vAlign w:val="center"/>
          </w:tcPr>
          <w:p w14:paraId="4A27C908">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37</w:t>
            </w:r>
          </w:p>
        </w:tc>
        <w:tc>
          <w:tcPr>
            <w:tcW w:w="986" w:type="dxa"/>
            <w:tcBorders>
              <w:tl2br w:val="nil"/>
              <w:tr2bl w:val="nil"/>
            </w:tcBorders>
            <w:shd w:val="clear" w:color="auto" w:fill="auto"/>
            <w:vAlign w:val="center"/>
          </w:tcPr>
          <w:p w14:paraId="7DBAE734">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120</w:t>
            </w:r>
          </w:p>
        </w:tc>
      </w:tr>
      <w:tr w14:paraId="321B1BC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11" w:hRule="atLeast"/>
          <w:jc w:val="center"/>
        </w:trPr>
        <w:tc>
          <w:tcPr>
            <w:tcW w:w="1845" w:type="dxa"/>
            <w:vMerge w:val="continue"/>
            <w:tcBorders>
              <w:tl2br w:val="nil"/>
              <w:tr2bl w:val="nil"/>
            </w:tcBorders>
            <w:shd w:val="clear" w:color="auto" w:fill="auto"/>
            <w:vAlign w:val="center"/>
          </w:tcPr>
          <w:p w14:paraId="6611DE35">
            <w:pPr>
              <w:pStyle w:val="8"/>
              <w:suppressLineNumbers w:val="0"/>
              <w:bidi w:val="0"/>
              <w:spacing w:before="0" w:beforeAutospacing="0" w:after="0" w:afterAutospacing="0"/>
              <w:ind w:left="0" w:right="0"/>
              <w:rPr>
                <w:rFonts w:hint="default"/>
                <w:snapToGrid w:val="0"/>
                <w:highlight w:val="none"/>
                <w:lang w:val="en-US" w:eastAsia="en-US"/>
              </w:rPr>
            </w:pPr>
          </w:p>
        </w:tc>
        <w:tc>
          <w:tcPr>
            <w:tcW w:w="855" w:type="dxa"/>
            <w:tcBorders>
              <w:tl2br w:val="nil"/>
              <w:tr2bl w:val="nil"/>
            </w:tcBorders>
            <w:shd w:val="clear" w:color="auto" w:fill="auto"/>
            <w:vAlign w:val="center"/>
          </w:tcPr>
          <w:p w14:paraId="5593E05B">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11</w:t>
            </w:r>
          </w:p>
        </w:tc>
        <w:tc>
          <w:tcPr>
            <w:tcW w:w="1920" w:type="dxa"/>
            <w:tcBorders>
              <w:tl2br w:val="nil"/>
              <w:tr2bl w:val="nil"/>
            </w:tcBorders>
            <w:shd w:val="clear" w:color="auto" w:fill="auto"/>
            <w:vAlign w:val="center"/>
          </w:tcPr>
          <w:p w14:paraId="1C6958F5">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1</w:t>
            </w:r>
            <w:r>
              <w:rPr>
                <w:rFonts w:hint="eastAsia"/>
                <w:snapToGrid w:val="0"/>
                <w:highlight w:val="none"/>
                <w:lang w:val="en-US" w:eastAsia="zh-CN"/>
              </w:rPr>
              <w:t>，</w:t>
            </w:r>
            <w:r>
              <w:rPr>
                <w:rFonts w:hint="default"/>
                <w:snapToGrid w:val="0"/>
                <w:highlight w:val="none"/>
                <w:lang w:val="en-US" w:eastAsia="en-US"/>
              </w:rPr>
              <w:t>1-</w:t>
            </w:r>
            <w:r>
              <w:rPr>
                <w:rFonts w:hint="eastAsia"/>
                <w:snapToGrid w:val="0"/>
                <w:highlight w:val="none"/>
                <w:lang w:val="en-US" w:eastAsia="en-US"/>
              </w:rPr>
              <w:t>二氯乙烷</w:t>
            </w:r>
          </w:p>
        </w:tc>
        <w:tc>
          <w:tcPr>
            <w:tcW w:w="1425" w:type="dxa"/>
            <w:tcBorders>
              <w:tl2br w:val="nil"/>
              <w:tr2bl w:val="nil"/>
            </w:tcBorders>
            <w:shd w:val="clear" w:color="auto" w:fill="auto"/>
            <w:vAlign w:val="center"/>
          </w:tcPr>
          <w:p w14:paraId="771D64E9">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75-34-3</w:t>
            </w:r>
          </w:p>
        </w:tc>
        <w:tc>
          <w:tcPr>
            <w:tcW w:w="1275" w:type="dxa"/>
            <w:tcBorders>
              <w:tl2br w:val="nil"/>
              <w:tr2bl w:val="nil"/>
            </w:tcBorders>
            <w:shd w:val="clear" w:color="auto" w:fill="auto"/>
            <w:vAlign w:val="center"/>
          </w:tcPr>
          <w:p w14:paraId="167B0C38">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9</w:t>
            </w:r>
          </w:p>
        </w:tc>
        <w:tc>
          <w:tcPr>
            <w:tcW w:w="986" w:type="dxa"/>
            <w:tcBorders>
              <w:tl2br w:val="nil"/>
              <w:tr2bl w:val="nil"/>
            </w:tcBorders>
            <w:shd w:val="clear" w:color="auto" w:fill="auto"/>
            <w:vAlign w:val="center"/>
          </w:tcPr>
          <w:p w14:paraId="6B5F2F80">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100</w:t>
            </w:r>
          </w:p>
        </w:tc>
      </w:tr>
      <w:tr w14:paraId="3B02193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11" w:hRule="atLeast"/>
          <w:jc w:val="center"/>
        </w:trPr>
        <w:tc>
          <w:tcPr>
            <w:tcW w:w="1845" w:type="dxa"/>
            <w:vMerge w:val="continue"/>
            <w:tcBorders>
              <w:tl2br w:val="nil"/>
              <w:tr2bl w:val="nil"/>
            </w:tcBorders>
            <w:shd w:val="clear" w:color="auto" w:fill="auto"/>
            <w:vAlign w:val="center"/>
          </w:tcPr>
          <w:p w14:paraId="06955535">
            <w:pPr>
              <w:pStyle w:val="8"/>
              <w:suppressLineNumbers w:val="0"/>
              <w:bidi w:val="0"/>
              <w:spacing w:before="0" w:beforeAutospacing="0" w:after="0" w:afterAutospacing="0"/>
              <w:ind w:left="0" w:right="0"/>
              <w:rPr>
                <w:rFonts w:hint="default"/>
                <w:snapToGrid w:val="0"/>
                <w:highlight w:val="none"/>
                <w:lang w:val="en-US" w:eastAsia="en-US"/>
              </w:rPr>
            </w:pPr>
          </w:p>
        </w:tc>
        <w:tc>
          <w:tcPr>
            <w:tcW w:w="855" w:type="dxa"/>
            <w:tcBorders>
              <w:tl2br w:val="nil"/>
              <w:tr2bl w:val="nil"/>
            </w:tcBorders>
            <w:shd w:val="clear" w:color="auto" w:fill="auto"/>
            <w:vAlign w:val="center"/>
          </w:tcPr>
          <w:p w14:paraId="569A4BFD">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12</w:t>
            </w:r>
          </w:p>
        </w:tc>
        <w:tc>
          <w:tcPr>
            <w:tcW w:w="1920" w:type="dxa"/>
            <w:tcBorders>
              <w:tl2br w:val="nil"/>
              <w:tr2bl w:val="nil"/>
            </w:tcBorders>
            <w:shd w:val="clear" w:color="auto" w:fill="auto"/>
            <w:vAlign w:val="center"/>
          </w:tcPr>
          <w:p w14:paraId="34A6362E">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1</w:t>
            </w:r>
            <w:r>
              <w:rPr>
                <w:rFonts w:hint="eastAsia"/>
                <w:snapToGrid w:val="0"/>
                <w:highlight w:val="none"/>
                <w:lang w:val="en-US" w:eastAsia="zh-CN"/>
              </w:rPr>
              <w:t>，</w:t>
            </w:r>
            <w:r>
              <w:rPr>
                <w:rFonts w:hint="default"/>
                <w:snapToGrid w:val="0"/>
                <w:highlight w:val="none"/>
                <w:lang w:val="en-US" w:eastAsia="en-US"/>
              </w:rPr>
              <w:t>2-</w:t>
            </w:r>
            <w:r>
              <w:rPr>
                <w:rFonts w:hint="eastAsia"/>
                <w:snapToGrid w:val="0"/>
                <w:highlight w:val="none"/>
                <w:lang w:val="en-US" w:eastAsia="en-US"/>
              </w:rPr>
              <w:t>二氯乙烷</w:t>
            </w:r>
          </w:p>
        </w:tc>
        <w:tc>
          <w:tcPr>
            <w:tcW w:w="1425" w:type="dxa"/>
            <w:tcBorders>
              <w:tl2br w:val="nil"/>
              <w:tr2bl w:val="nil"/>
            </w:tcBorders>
            <w:shd w:val="clear" w:color="auto" w:fill="auto"/>
            <w:vAlign w:val="center"/>
          </w:tcPr>
          <w:p w14:paraId="5D79E2C3">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107-06-2</w:t>
            </w:r>
          </w:p>
        </w:tc>
        <w:tc>
          <w:tcPr>
            <w:tcW w:w="1275" w:type="dxa"/>
            <w:tcBorders>
              <w:tl2br w:val="nil"/>
              <w:tr2bl w:val="nil"/>
            </w:tcBorders>
            <w:shd w:val="clear" w:color="auto" w:fill="auto"/>
            <w:vAlign w:val="center"/>
          </w:tcPr>
          <w:p w14:paraId="5F44F936">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5</w:t>
            </w:r>
          </w:p>
        </w:tc>
        <w:tc>
          <w:tcPr>
            <w:tcW w:w="986" w:type="dxa"/>
            <w:tcBorders>
              <w:tl2br w:val="nil"/>
              <w:tr2bl w:val="nil"/>
            </w:tcBorders>
            <w:shd w:val="clear" w:color="auto" w:fill="auto"/>
            <w:vAlign w:val="center"/>
          </w:tcPr>
          <w:p w14:paraId="49F35F5A">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21</w:t>
            </w:r>
          </w:p>
        </w:tc>
      </w:tr>
      <w:tr w14:paraId="7C777B5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14" w:hRule="atLeast"/>
          <w:jc w:val="center"/>
        </w:trPr>
        <w:tc>
          <w:tcPr>
            <w:tcW w:w="1845" w:type="dxa"/>
            <w:vMerge w:val="continue"/>
            <w:tcBorders>
              <w:tl2br w:val="nil"/>
              <w:tr2bl w:val="nil"/>
            </w:tcBorders>
            <w:shd w:val="clear" w:color="auto" w:fill="auto"/>
            <w:vAlign w:val="center"/>
          </w:tcPr>
          <w:p w14:paraId="4FB714D9">
            <w:pPr>
              <w:pStyle w:val="8"/>
              <w:suppressLineNumbers w:val="0"/>
              <w:bidi w:val="0"/>
              <w:spacing w:before="0" w:beforeAutospacing="0" w:after="0" w:afterAutospacing="0"/>
              <w:ind w:left="0" w:right="0"/>
              <w:rPr>
                <w:rFonts w:hint="default"/>
                <w:snapToGrid w:val="0"/>
                <w:highlight w:val="none"/>
                <w:lang w:val="en-US" w:eastAsia="en-US"/>
              </w:rPr>
            </w:pPr>
          </w:p>
        </w:tc>
        <w:tc>
          <w:tcPr>
            <w:tcW w:w="855" w:type="dxa"/>
            <w:tcBorders>
              <w:tl2br w:val="nil"/>
              <w:tr2bl w:val="nil"/>
            </w:tcBorders>
            <w:shd w:val="clear" w:color="auto" w:fill="auto"/>
            <w:vAlign w:val="center"/>
          </w:tcPr>
          <w:p w14:paraId="5C451393">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13</w:t>
            </w:r>
          </w:p>
        </w:tc>
        <w:tc>
          <w:tcPr>
            <w:tcW w:w="1920" w:type="dxa"/>
            <w:tcBorders>
              <w:tl2br w:val="nil"/>
              <w:tr2bl w:val="nil"/>
            </w:tcBorders>
            <w:shd w:val="clear" w:color="auto" w:fill="auto"/>
            <w:vAlign w:val="center"/>
          </w:tcPr>
          <w:p w14:paraId="540D8B9B">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1</w:t>
            </w:r>
            <w:r>
              <w:rPr>
                <w:rFonts w:hint="eastAsia"/>
                <w:snapToGrid w:val="0"/>
                <w:highlight w:val="none"/>
                <w:lang w:val="en-US" w:eastAsia="zh-CN"/>
              </w:rPr>
              <w:t>，</w:t>
            </w:r>
            <w:r>
              <w:rPr>
                <w:rFonts w:hint="default"/>
                <w:snapToGrid w:val="0"/>
                <w:highlight w:val="none"/>
                <w:lang w:val="en-US" w:eastAsia="en-US"/>
              </w:rPr>
              <w:t>1-</w:t>
            </w:r>
            <w:r>
              <w:rPr>
                <w:rFonts w:hint="eastAsia"/>
                <w:snapToGrid w:val="0"/>
                <w:highlight w:val="none"/>
                <w:lang w:val="en-US" w:eastAsia="en-US"/>
              </w:rPr>
              <w:t>二氯乙烯</w:t>
            </w:r>
          </w:p>
        </w:tc>
        <w:tc>
          <w:tcPr>
            <w:tcW w:w="1425" w:type="dxa"/>
            <w:tcBorders>
              <w:tl2br w:val="nil"/>
              <w:tr2bl w:val="nil"/>
            </w:tcBorders>
            <w:shd w:val="clear" w:color="auto" w:fill="auto"/>
            <w:vAlign w:val="center"/>
          </w:tcPr>
          <w:p w14:paraId="2CEA04AF">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75-35-4</w:t>
            </w:r>
          </w:p>
        </w:tc>
        <w:tc>
          <w:tcPr>
            <w:tcW w:w="1275" w:type="dxa"/>
            <w:tcBorders>
              <w:tl2br w:val="nil"/>
              <w:tr2bl w:val="nil"/>
            </w:tcBorders>
            <w:shd w:val="clear" w:color="auto" w:fill="auto"/>
            <w:vAlign w:val="center"/>
          </w:tcPr>
          <w:p w14:paraId="6AA749C7">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66</w:t>
            </w:r>
          </w:p>
        </w:tc>
        <w:tc>
          <w:tcPr>
            <w:tcW w:w="986" w:type="dxa"/>
            <w:tcBorders>
              <w:tl2br w:val="nil"/>
              <w:tr2bl w:val="nil"/>
            </w:tcBorders>
            <w:shd w:val="clear" w:color="auto" w:fill="auto"/>
            <w:vAlign w:val="center"/>
          </w:tcPr>
          <w:p w14:paraId="17661957">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200</w:t>
            </w:r>
          </w:p>
        </w:tc>
      </w:tr>
      <w:tr w14:paraId="73C761A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11" w:hRule="atLeast"/>
          <w:jc w:val="center"/>
        </w:trPr>
        <w:tc>
          <w:tcPr>
            <w:tcW w:w="1845" w:type="dxa"/>
            <w:vMerge w:val="continue"/>
            <w:tcBorders>
              <w:tl2br w:val="nil"/>
              <w:tr2bl w:val="nil"/>
            </w:tcBorders>
            <w:shd w:val="clear" w:color="auto" w:fill="auto"/>
            <w:vAlign w:val="center"/>
          </w:tcPr>
          <w:p w14:paraId="16F57893">
            <w:pPr>
              <w:pStyle w:val="8"/>
              <w:suppressLineNumbers w:val="0"/>
              <w:bidi w:val="0"/>
              <w:spacing w:before="0" w:beforeAutospacing="0" w:after="0" w:afterAutospacing="0"/>
              <w:ind w:left="0" w:right="0"/>
              <w:rPr>
                <w:rFonts w:hint="default"/>
                <w:snapToGrid w:val="0"/>
                <w:highlight w:val="none"/>
                <w:lang w:val="en-US" w:eastAsia="en-US"/>
              </w:rPr>
            </w:pPr>
          </w:p>
        </w:tc>
        <w:tc>
          <w:tcPr>
            <w:tcW w:w="855" w:type="dxa"/>
            <w:tcBorders>
              <w:tl2br w:val="nil"/>
              <w:tr2bl w:val="nil"/>
            </w:tcBorders>
            <w:shd w:val="clear" w:color="auto" w:fill="auto"/>
            <w:vAlign w:val="center"/>
          </w:tcPr>
          <w:p w14:paraId="40B71320">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14</w:t>
            </w:r>
          </w:p>
        </w:tc>
        <w:tc>
          <w:tcPr>
            <w:tcW w:w="1920" w:type="dxa"/>
            <w:tcBorders>
              <w:tl2br w:val="nil"/>
              <w:tr2bl w:val="nil"/>
            </w:tcBorders>
            <w:shd w:val="clear" w:color="auto" w:fill="auto"/>
            <w:vAlign w:val="center"/>
          </w:tcPr>
          <w:p w14:paraId="7EA0BACD">
            <w:pPr>
              <w:pStyle w:val="8"/>
              <w:suppressLineNumbers w:val="0"/>
              <w:bidi w:val="0"/>
              <w:spacing w:before="0" w:beforeAutospacing="0" w:after="0" w:afterAutospacing="0"/>
              <w:ind w:left="0" w:right="0"/>
              <w:rPr>
                <w:rFonts w:hint="default"/>
                <w:snapToGrid w:val="0"/>
                <w:highlight w:val="none"/>
                <w:lang w:val="en-US" w:eastAsia="en-US"/>
              </w:rPr>
            </w:pPr>
            <w:r>
              <w:rPr>
                <w:rFonts w:hint="eastAsia"/>
                <w:snapToGrid w:val="0"/>
                <w:highlight w:val="none"/>
                <w:lang w:val="en-US" w:eastAsia="en-US"/>
              </w:rPr>
              <w:t>顺</w:t>
            </w:r>
            <w:r>
              <w:rPr>
                <w:rFonts w:hint="default"/>
                <w:snapToGrid w:val="0"/>
                <w:highlight w:val="none"/>
                <w:lang w:val="en-US" w:eastAsia="en-US"/>
              </w:rPr>
              <w:t>-1</w:t>
            </w:r>
            <w:r>
              <w:rPr>
                <w:rFonts w:hint="eastAsia"/>
                <w:snapToGrid w:val="0"/>
                <w:highlight w:val="none"/>
                <w:lang w:val="en-US" w:eastAsia="zh-CN"/>
              </w:rPr>
              <w:t>，</w:t>
            </w:r>
            <w:r>
              <w:rPr>
                <w:rFonts w:hint="default"/>
                <w:snapToGrid w:val="0"/>
                <w:highlight w:val="none"/>
                <w:lang w:val="en-US" w:eastAsia="en-US"/>
              </w:rPr>
              <w:t>2-</w:t>
            </w:r>
            <w:r>
              <w:rPr>
                <w:rFonts w:hint="eastAsia"/>
                <w:snapToGrid w:val="0"/>
                <w:highlight w:val="none"/>
                <w:lang w:val="en-US" w:eastAsia="en-US"/>
              </w:rPr>
              <w:t>二氯乙烯</w:t>
            </w:r>
          </w:p>
        </w:tc>
        <w:tc>
          <w:tcPr>
            <w:tcW w:w="1425" w:type="dxa"/>
            <w:tcBorders>
              <w:tl2br w:val="nil"/>
              <w:tr2bl w:val="nil"/>
            </w:tcBorders>
            <w:shd w:val="clear" w:color="auto" w:fill="auto"/>
            <w:vAlign w:val="center"/>
          </w:tcPr>
          <w:p w14:paraId="7FC8426F">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156-59-2</w:t>
            </w:r>
          </w:p>
        </w:tc>
        <w:tc>
          <w:tcPr>
            <w:tcW w:w="1275" w:type="dxa"/>
            <w:tcBorders>
              <w:tl2br w:val="nil"/>
              <w:tr2bl w:val="nil"/>
            </w:tcBorders>
            <w:shd w:val="clear" w:color="auto" w:fill="auto"/>
            <w:vAlign w:val="center"/>
          </w:tcPr>
          <w:p w14:paraId="77F053CD">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596</w:t>
            </w:r>
          </w:p>
        </w:tc>
        <w:tc>
          <w:tcPr>
            <w:tcW w:w="986" w:type="dxa"/>
            <w:tcBorders>
              <w:tl2br w:val="nil"/>
              <w:tr2bl w:val="nil"/>
            </w:tcBorders>
            <w:shd w:val="clear" w:color="auto" w:fill="auto"/>
            <w:vAlign w:val="center"/>
          </w:tcPr>
          <w:p w14:paraId="2A0DF454">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2000</w:t>
            </w:r>
          </w:p>
        </w:tc>
      </w:tr>
      <w:tr w14:paraId="3DBE478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11" w:hRule="atLeast"/>
          <w:jc w:val="center"/>
        </w:trPr>
        <w:tc>
          <w:tcPr>
            <w:tcW w:w="1845" w:type="dxa"/>
            <w:vMerge w:val="continue"/>
            <w:tcBorders>
              <w:tl2br w:val="nil"/>
              <w:tr2bl w:val="nil"/>
            </w:tcBorders>
            <w:shd w:val="clear" w:color="auto" w:fill="auto"/>
            <w:vAlign w:val="center"/>
          </w:tcPr>
          <w:p w14:paraId="308831EE">
            <w:pPr>
              <w:pStyle w:val="8"/>
              <w:suppressLineNumbers w:val="0"/>
              <w:bidi w:val="0"/>
              <w:spacing w:before="0" w:beforeAutospacing="0" w:after="0" w:afterAutospacing="0"/>
              <w:ind w:left="0" w:right="0"/>
              <w:rPr>
                <w:rFonts w:hint="default"/>
                <w:snapToGrid w:val="0"/>
                <w:highlight w:val="none"/>
                <w:lang w:val="en-US" w:eastAsia="en-US"/>
              </w:rPr>
            </w:pPr>
          </w:p>
        </w:tc>
        <w:tc>
          <w:tcPr>
            <w:tcW w:w="855" w:type="dxa"/>
            <w:tcBorders>
              <w:tl2br w:val="nil"/>
              <w:tr2bl w:val="nil"/>
            </w:tcBorders>
            <w:shd w:val="clear" w:color="auto" w:fill="auto"/>
            <w:vAlign w:val="center"/>
          </w:tcPr>
          <w:p w14:paraId="2A27C991">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15</w:t>
            </w:r>
          </w:p>
        </w:tc>
        <w:tc>
          <w:tcPr>
            <w:tcW w:w="1920" w:type="dxa"/>
            <w:tcBorders>
              <w:tl2br w:val="nil"/>
              <w:tr2bl w:val="nil"/>
            </w:tcBorders>
            <w:shd w:val="clear" w:color="auto" w:fill="auto"/>
            <w:vAlign w:val="center"/>
          </w:tcPr>
          <w:p w14:paraId="625EE905">
            <w:pPr>
              <w:pStyle w:val="8"/>
              <w:suppressLineNumbers w:val="0"/>
              <w:bidi w:val="0"/>
              <w:spacing w:before="0" w:beforeAutospacing="0" w:after="0" w:afterAutospacing="0"/>
              <w:ind w:left="0" w:right="0"/>
              <w:rPr>
                <w:rFonts w:hint="default"/>
                <w:snapToGrid w:val="0"/>
                <w:highlight w:val="none"/>
                <w:lang w:val="en-US" w:eastAsia="en-US"/>
              </w:rPr>
            </w:pPr>
            <w:r>
              <w:rPr>
                <w:rFonts w:hint="eastAsia"/>
                <w:snapToGrid w:val="0"/>
                <w:highlight w:val="none"/>
                <w:lang w:val="en-US" w:eastAsia="en-US"/>
              </w:rPr>
              <w:t>反</w:t>
            </w:r>
            <w:r>
              <w:rPr>
                <w:rFonts w:hint="default"/>
                <w:snapToGrid w:val="0"/>
                <w:highlight w:val="none"/>
                <w:lang w:val="en-US" w:eastAsia="en-US"/>
              </w:rPr>
              <w:t>-1</w:t>
            </w:r>
            <w:r>
              <w:rPr>
                <w:rFonts w:hint="eastAsia"/>
                <w:snapToGrid w:val="0"/>
                <w:highlight w:val="none"/>
                <w:lang w:val="en-US" w:eastAsia="zh-CN"/>
              </w:rPr>
              <w:t>，</w:t>
            </w:r>
            <w:r>
              <w:rPr>
                <w:rFonts w:hint="default"/>
                <w:snapToGrid w:val="0"/>
                <w:highlight w:val="none"/>
                <w:lang w:val="en-US" w:eastAsia="en-US"/>
              </w:rPr>
              <w:t>2-</w:t>
            </w:r>
            <w:r>
              <w:rPr>
                <w:rFonts w:hint="eastAsia"/>
                <w:snapToGrid w:val="0"/>
                <w:highlight w:val="none"/>
                <w:lang w:val="en-US" w:eastAsia="en-US"/>
              </w:rPr>
              <w:t>二氯乙烯</w:t>
            </w:r>
          </w:p>
        </w:tc>
        <w:tc>
          <w:tcPr>
            <w:tcW w:w="1425" w:type="dxa"/>
            <w:tcBorders>
              <w:tl2br w:val="nil"/>
              <w:tr2bl w:val="nil"/>
            </w:tcBorders>
            <w:shd w:val="clear" w:color="auto" w:fill="auto"/>
            <w:vAlign w:val="center"/>
          </w:tcPr>
          <w:p w14:paraId="1E02A24C">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156-60-5</w:t>
            </w:r>
          </w:p>
        </w:tc>
        <w:tc>
          <w:tcPr>
            <w:tcW w:w="1275" w:type="dxa"/>
            <w:tcBorders>
              <w:tl2br w:val="nil"/>
              <w:tr2bl w:val="nil"/>
            </w:tcBorders>
            <w:shd w:val="clear" w:color="auto" w:fill="auto"/>
            <w:vAlign w:val="center"/>
          </w:tcPr>
          <w:p w14:paraId="20D6E3A4">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54</w:t>
            </w:r>
          </w:p>
        </w:tc>
        <w:tc>
          <w:tcPr>
            <w:tcW w:w="986" w:type="dxa"/>
            <w:tcBorders>
              <w:tl2br w:val="nil"/>
              <w:tr2bl w:val="nil"/>
            </w:tcBorders>
            <w:shd w:val="clear" w:color="auto" w:fill="auto"/>
            <w:vAlign w:val="center"/>
          </w:tcPr>
          <w:p w14:paraId="0C49CCD2">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163</w:t>
            </w:r>
          </w:p>
        </w:tc>
      </w:tr>
      <w:tr w14:paraId="496DB4C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11" w:hRule="atLeast"/>
          <w:jc w:val="center"/>
        </w:trPr>
        <w:tc>
          <w:tcPr>
            <w:tcW w:w="1845" w:type="dxa"/>
            <w:vMerge w:val="continue"/>
            <w:tcBorders>
              <w:tl2br w:val="nil"/>
              <w:tr2bl w:val="nil"/>
            </w:tcBorders>
            <w:shd w:val="clear" w:color="auto" w:fill="auto"/>
            <w:vAlign w:val="center"/>
          </w:tcPr>
          <w:p w14:paraId="26A916B7">
            <w:pPr>
              <w:pStyle w:val="8"/>
              <w:suppressLineNumbers w:val="0"/>
              <w:bidi w:val="0"/>
              <w:spacing w:before="0" w:beforeAutospacing="0" w:after="0" w:afterAutospacing="0"/>
              <w:ind w:left="0" w:right="0"/>
              <w:rPr>
                <w:rFonts w:hint="default"/>
                <w:snapToGrid w:val="0"/>
                <w:highlight w:val="none"/>
                <w:lang w:val="en-US" w:eastAsia="en-US"/>
              </w:rPr>
            </w:pPr>
          </w:p>
        </w:tc>
        <w:tc>
          <w:tcPr>
            <w:tcW w:w="855" w:type="dxa"/>
            <w:tcBorders>
              <w:tl2br w:val="nil"/>
              <w:tr2bl w:val="nil"/>
            </w:tcBorders>
            <w:shd w:val="clear" w:color="auto" w:fill="auto"/>
            <w:vAlign w:val="center"/>
          </w:tcPr>
          <w:p w14:paraId="689A3C1D">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16</w:t>
            </w:r>
          </w:p>
        </w:tc>
        <w:tc>
          <w:tcPr>
            <w:tcW w:w="1920" w:type="dxa"/>
            <w:tcBorders>
              <w:tl2br w:val="nil"/>
              <w:tr2bl w:val="nil"/>
            </w:tcBorders>
            <w:shd w:val="clear" w:color="auto" w:fill="auto"/>
            <w:vAlign w:val="center"/>
          </w:tcPr>
          <w:p w14:paraId="3696001E">
            <w:pPr>
              <w:pStyle w:val="8"/>
              <w:suppressLineNumbers w:val="0"/>
              <w:bidi w:val="0"/>
              <w:spacing w:before="0" w:beforeAutospacing="0" w:after="0" w:afterAutospacing="0"/>
              <w:ind w:left="0" w:right="0"/>
              <w:rPr>
                <w:rFonts w:hint="default"/>
                <w:snapToGrid w:val="0"/>
                <w:highlight w:val="none"/>
                <w:lang w:val="en-US" w:eastAsia="en-US"/>
              </w:rPr>
            </w:pPr>
            <w:r>
              <w:rPr>
                <w:rFonts w:hint="eastAsia"/>
                <w:snapToGrid w:val="0"/>
                <w:highlight w:val="none"/>
                <w:lang w:val="en-US" w:eastAsia="en-US"/>
              </w:rPr>
              <w:t>二氯甲烷</w:t>
            </w:r>
          </w:p>
        </w:tc>
        <w:tc>
          <w:tcPr>
            <w:tcW w:w="1425" w:type="dxa"/>
            <w:tcBorders>
              <w:tl2br w:val="nil"/>
              <w:tr2bl w:val="nil"/>
            </w:tcBorders>
            <w:shd w:val="clear" w:color="auto" w:fill="auto"/>
            <w:vAlign w:val="center"/>
          </w:tcPr>
          <w:p w14:paraId="3BCBBF30">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75-09-2</w:t>
            </w:r>
          </w:p>
        </w:tc>
        <w:tc>
          <w:tcPr>
            <w:tcW w:w="1275" w:type="dxa"/>
            <w:tcBorders>
              <w:tl2br w:val="nil"/>
              <w:tr2bl w:val="nil"/>
            </w:tcBorders>
            <w:shd w:val="clear" w:color="auto" w:fill="auto"/>
            <w:vAlign w:val="center"/>
          </w:tcPr>
          <w:p w14:paraId="732AC83B">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616</w:t>
            </w:r>
          </w:p>
        </w:tc>
        <w:tc>
          <w:tcPr>
            <w:tcW w:w="986" w:type="dxa"/>
            <w:tcBorders>
              <w:tl2br w:val="nil"/>
              <w:tr2bl w:val="nil"/>
            </w:tcBorders>
            <w:shd w:val="clear" w:color="auto" w:fill="auto"/>
            <w:vAlign w:val="center"/>
          </w:tcPr>
          <w:p w14:paraId="6A63C96A">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200</w:t>
            </w:r>
          </w:p>
        </w:tc>
      </w:tr>
      <w:tr w14:paraId="2710FB6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11" w:hRule="atLeast"/>
          <w:jc w:val="center"/>
        </w:trPr>
        <w:tc>
          <w:tcPr>
            <w:tcW w:w="1845" w:type="dxa"/>
            <w:vMerge w:val="continue"/>
            <w:tcBorders>
              <w:tl2br w:val="nil"/>
              <w:tr2bl w:val="nil"/>
            </w:tcBorders>
            <w:shd w:val="clear" w:color="auto" w:fill="auto"/>
            <w:vAlign w:val="center"/>
          </w:tcPr>
          <w:p w14:paraId="039DCFFB">
            <w:pPr>
              <w:pStyle w:val="8"/>
              <w:suppressLineNumbers w:val="0"/>
              <w:bidi w:val="0"/>
              <w:spacing w:before="0" w:beforeAutospacing="0" w:after="0" w:afterAutospacing="0"/>
              <w:ind w:left="0" w:right="0"/>
              <w:rPr>
                <w:rFonts w:hint="default"/>
                <w:snapToGrid w:val="0"/>
                <w:highlight w:val="none"/>
                <w:lang w:val="en-US" w:eastAsia="en-US"/>
              </w:rPr>
            </w:pPr>
          </w:p>
        </w:tc>
        <w:tc>
          <w:tcPr>
            <w:tcW w:w="855" w:type="dxa"/>
            <w:tcBorders>
              <w:tl2br w:val="nil"/>
              <w:tr2bl w:val="nil"/>
            </w:tcBorders>
            <w:shd w:val="clear" w:color="auto" w:fill="auto"/>
            <w:vAlign w:val="center"/>
          </w:tcPr>
          <w:p w14:paraId="4794196E">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17</w:t>
            </w:r>
          </w:p>
        </w:tc>
        <w:tc>
          <w:tcPr>
            <w:tcW w:w="1920" w:type="dxa"/>
            <w:tcBorders>
              <w:tl2br w:val="nil"/>
              <w:tr2bl w:val="nil"/>
            </w:tcBorders>
            <w:shd w:val="clear" w:color="auto" w:fill="auto"/>
            <w:vAlign w:val="center"/>
          </w:tcPr>
          <w:p w14:paraId="76F433E6">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1</w:t>
            </w:r>
            <w:r>
              <w:rPr>
                <w:rFonts w:hint="eastAsia"/>
                <w:snapToGrid w:val="0"/>
                <w:highlight w:val="none"/>
                <w:lang w:val="en-US" w:eastAsia="zh-CN"/>
              </w:rPr>
              <w:t>，</w:t>
            </w:r>
            <w:r>
              <w:rPr>
                <w:rFonts w:hint="default"/>
                <w:snapToGrid w:val="0"/>
                <w:highlight w:val="none"/>
                <w:lang w:val="en-US" w:eastAsia="en-US"/>
              </w:rPr>
              <w:t>2-</w:t>
            </w:r>
            <w:r>
              <w:rPr>
                <w:rFonts w:hint="eastAsia"/>
                <w:snapToGrid w:val="0"/>
                <w:highlight w:val="none"/>
                <w:lang w:val="en-US" w:eastAsia="en-US"/>
              </w:rPr>
              <w:t>二氯丙烷</w:t>
            </w:r>
          </w:p>
        </w:tc>
        <w:tc>
          <w:tcPr>
            <w:tcW w:w="1425" w:type="dxa"/>
            <w:tcBorders>
              <w:tl2br w:val="nil"/>
              <w:tr2bl w:val="nil"/>
            </w:tcBorders>
            <w:shd w:val="clear" w:color="auto" w:fill="auto"/>
            <w:vAlign w:val="center"/>
          </w:tcPr>
          <w:p w14:paraId="06A29635">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78-87-5</w:t>
            </w:r>
          </w:p>
        </w:tc>
        <w:tc>
          <w:tcPr>
            <w:tcW w:w="1275" w:type="dxa"/>
            <w:tcBorders>
              <w:tl2br w:val="nil"/>
              <w:tr2bl w:val="nil"/>
            </w:tcBorders>
            <w:shd w:val="clear" w:color="auto" w:fill="auto"/>
            <w:vAlign w:val="center"/>
          </w:tcPr>
          <w:p w14:paraId="5D6DB29C">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5</w:t>
            </w:r>
          </w:p>
        </w:tc>
        <w:tc>
          <w:tcPr>
            <w:tcW w:w="986" w:type="dxa"/>
            <w:tcBorders>
              <w:tl2br w:val="nil"/>
              <w:tr2bl w:val="nil"/>
            </w:tcBorders>
            <w:shd w:val="clear" w:color="auto" w:fill="auto"/>
            <w:vAlign w:val="center"/>
          </w:tcPr>
          <w:p w14:paraId="4835E174">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47</w:t>
            </w:r>
          </w:p>
        </w:tc>
      </w:tr>
    </w:tbl>
    <w:p w14:paraId="0D0D60B1">
      <w:pPr>
        <w:pStyle w:val="757"/>
        <w:keepNext w:val="0"/>
        <w:keepLines w:val="0"/>
        <w:pageBreakBefore w:val="0"/>
        <w:widowControl/>
        <w:kinsoku/>
        <w:wordWrap/>
        <w:overflowPunct/>
        <w:topLinePunct w:val="0"/>
        <w:autoSpaceDE w:val="0"/>
        <w:autoSpaceDN w:val="0"/>
        <w:bidi w:val="0"/>
        <w:adjustRightInd w:val="0"/>
        <w:snapToGrid w:val="0"/>
        <w:spacing w:before="0" w:beforeAutospacing="0" w:after="0" w:afterAutospacing="0" w:line="360" w:lineRule="auto"/>
        <w:ind w:left="0" w:right="0"/>
        <w:textAlignment w:val="auto"/>
        <w:outlineLvl w:val="9"/>
        <w:rPr>
          <w:rFonts w:hint="default" w:ascii="Times New Roman" w:cs="Times New Roman" w:hAnsiTheme="minorEastAsia" w:eastAsiaTheme="minorEastAsia"/>
          <w:b/>
          <w:bCs w:val="0"/>
          <w:kern w:val="0"/>
          <w:sz w:val="24"/>
          <w:szCs w:val="24"/>
          <w:highlight w:val="none"/>
          <w:lang w:val="en-US" w:eastAsia="zh-CN" w:bidi="ar-SA"/>
        </w:rPr>
      </w:pPr>
      <w:r>
        <w:rPr>
          <w:rFonts w:hint="eastAsia" w:ascii="Times New Roman" w:cs="Times New Roman" w:hAnsiTheme="minorEastAsia" w:eastAsiaTheme="minorEastAsia"/>
          <w:b/>
          <w:bCs w:val="0"/>
          <w:kern w:val="0"/>
          <w:sz w:val="24"/>
          <w:szCs w:val="24"/>
          <w:highlight w:val="none"/>
          <w:lang w:val="en-US" w:eastAsia="zh-CN" w:bidi="ar-SA"/>
        </w:rPr>
        <w:t>续</w:t>
      </w:r>
      <w:r>
        <w:rPr>
          <w:rFonts w:hint="default" w:ascii="Times New Roman" w:cs="Times New Roman" w:hAnsiTheme="minorEastAsia" w:eastAsiaTheme="minorEastAsia"/>
          <w:b/>
          <w:bCs w:val="0"/>
          <w:kern w:val="0"/>
          <w:sz w:val="24"/>
          <w:szCs w:val="24"/>
          <w:highlight w:val="none"/>
          <w:lang w:val="en-US" w:eastAsia="zh-CN" w:bidi="ar-SA"/>
        </w:rPr>
        <w:t>表2-3-2建设用地土壤环境质量标准</w:t>
      </w:r>
    </w:p>
    <w:tbl>
      <w:tblPr>
        <w:tblStyle w:val="739"/>
        <w:tblW w:w="5000"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shd w:val="clear" w:color="auto" w:fill="auto"/>
        <w:tblLayout w:type="fixed"/>
        <w:tblCellMar>
          <w:top w:w="0" w:type="dxa"/>
          <w:left w:w="0" w:type="dxa"/>
          <w:bottom w:w="0" w:type="dxa"/>
          <w:right w:w="0" w:type="dxa"/>
        </w:tblCellMar>
      </w:tblPr>
      <w:tblGrid>
        <w:gridCol w:w="1845"/>
        <w:gridCol w:w="855"/>
        <w:gridCol w:w="1920"/>
        <w:gridCol w:w="1425"/>
        <w:gridCol w:w="1275"/>
        <w:gridCol w:w="986"/>
      </w:tblGrid>
      <w:tr w14:paraId="6CE367F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11" w:hRule="atLeast"/>
          <w:jc w:val="center"/>
        </w:trPr>
        <w:tc>
          <w:tcPr>
            <w:tcW w:w="1845" w:type="dxa"/>
            <w:vMerge w:val="restart"/>
            <w:tcBorders>
              <w:tl2br w:val="nil"/>
              <w:tr2bl w:val="nil"/>
            </w:tcBorders>
            <w:shd w:val="clear" w:color="auto" w:fill="auto"/>
            <w:vAlign w:val="center"/>
          </w:tcPr>
          <w:p w14:paraId="321F7301">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《土壤环境质量建设用地土壤污染风险管控标准（试行）》（</w:t>
            </w:r>
            <w:r>
              <w:rPr>
                <w:rFonts w:hint="default"/>
                <w:snapToGrid w:val="0"/>
                <w:highlight w:val="none"/>
                <w:lang w:val="en-US" w:eastAsia="en-US"/>
              </w:rPr>
              <w:t>GB36600-2018</w:t>
            </w:r>
            <w:r>
              <w:rPr>
                <w:rFonts w:hint="eastAsia"/>
                <w:snapToGrid w:val="0"/>
                <w:highlight w:val="none"/>
                <w:lang w:val="en-US" w:eastAsia="en-US"/>
              </w:rPr>
              <w:t>）表</w:t>
            </w:r>
            <w:r>
              <w:rPr>
                <w:rFonts w:hint="default"/>
                <w:snapToGrid w:val="0"/>
                <w:highlight w:val="none"/>
                <w:lang w:val="en-US" w:eastAsia="en-US"/>
              </w:rPr>
              <w:t>1</w:t>
            </w:r>
            <w:r>
              <w:rPr>
                <w:rFonts w:hint="eastAsia"/>
                <w:snapToGrid w:val="0"/>
                <w:highlight w:val="none"/>
                <w:lang w:val="en-US" w:eastAsia="en-US"/>
              </w:rPr>
              <w:t>中第二类用地标准限值</w:t>
            </w:r>
          </w:p>
        </w:tc>
        <w:tc>
          <w:tcPr>
            <w:tcW w:w="855" w:type="dxa"/>
            <w:tcBorders>
              <w:tl2br w:val="nil"/>
              <w:tr2bl w:val="nil"/>
            </w:tcBorders>
            <w:shd w:val="clear" w:color="auto" w:fill="auto"/>
            <w:vAlign w:val="center"/>
          </w:tcPr>
          <w:p w14:paraId="43B0AACC">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18</w:t>
            </w:r>
          </w:p>
        </w:tc>
        <w:tc>
          <w:tcPr>
            <w:tcW w:w="1920" w:type="dxa"/>
            <w:tcBorders>
              <w:tl2br w:val="nil"/>
              <w:tr2bl w:val="nil"/>
            </w:tcBorders>
            <w:shd w:val="clear" w:color="auto" w:fill="auto"/>
            <w:vAlign w:val="center"/>
          </w:tcPr>
          <w:p w14:paraId="033427E3">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1</w:t>
            </w:r>
            <w:r>
              <w:rPr>
                <w:rFonts w:hint="eastAsia"/>
                <w:snapToGrid w:val="0"/>
                <w:highlight w:val="none"/>
                <w:lang w:val="en-US" w:eastAsia="zh-CN"/>
              </w:rPr>
              <w:t>，</w:t>
            </w:r>
            <w:r>
              <w:rPr>
                <w:rFonts w:hint="default"/>
                <w:snapToGrid w:val="0"/>
                <w:highlight w:val="none"/>
                <w:lang w:val="en-US" w:eastAsia="en-US"/>
              </w:rPr>
              <w:t>1</w:t>
            </w:r>
            <w:r>
              <w:rPr>
                <w:rFonts w:hint="eastAsia"/>
                <w:snapToGrid w:val="0"/>
                <w:highlight w:val="none"/>
                <w:lang w:val="en-US" w:eastAsia="zh-CN"/>
              </w:rPr>
              <w:t>，</w:t>
            </w:r>
            <w:r>
              <w:rPr>
                <w:rFonts w:hint="default"/>
                <w:snapToGrid w:val="0"/>
                <w:highlight w:val="none"/>
                <w:lang w:val="en-US" w:eastAsia="en-US"/>
              </w:rPr>
              <w:t>1</w:t>
            </w:r>
            <w:r>
              <w:rPr>
                <w:rFonts w:hint="eastAsia"/>
                <w:snapToGrid w:val="0"/>
                <w:highlight w:val="none"/>
                <w:lang w:val="en-US" w:eastAsia="zh-CN"/>
              </w:rPr>
              <w:t>，</w:t>
            </w:r>
            <w:r>
              <w:rPr>
                <w:rFonts w:hint="default"/>
                <w:snapToGrid w:val="0"/>
                <w:highlight w:val="none"/>
                <w:lang w:val="en-US" w:eastAsia="en-US"/>
              </w:rPr>
              <w:t>2-</w:t>
            </w:r>
            <w:r>
              <w:rPr>
                <w:rFonts w:hint="eastAsia"/>
                <w:snapToGrid w:val="0"/>
                <w:highlight w:val="none"/>
                <w:lang w:val="en-US" w:eastAsia="en-US"/>
              </w:rPr>
              <w:t>四氯乙烷</w:t>
            </w:r>
          </w:p>
        </w:tc>
        <w:tc>
          <w:tcPr>
            <w:tcW w:w="1425" w:type="dxa"/>
            <w:tcBorders>
              <w:tl2br w:val="nil"/>
              <w:tr2bl w:val="nil"/>
            </w:tcBorders>
            <w:shd w:val="clear" w:color="auto" w:fill="auto"/>
            <w:vAlign w:val="center"/>
          </w:tcPr>
          <w:p w14:paraId="1AC42A47">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630-20-6</w:t>
            </w:r>
          </w:p>
        </w:tc>
        <w:tc>
          <w:tcPr>
            <w:tcW w:w="1275" w:type="dxa"/>
            <w:tcBorders>
              <w:tl2br w:val="nil"/>
              <w:tr2bl w:val="nil"/>
            </w:tcBorders>
            <w:shd w:val="clear" w:color="auto" w:fill="auto"/>
            <w:vAlign w:val="center"/>
          </w:tcPr>
          <w:p w14:paraId="47A60AC5">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10</w:t>
            </w:r>
          </w:p>
        </w:tc>
        <w:tc>
          <w:tcPr>
            <w:tcW w:w="986" w:type="dxa"/>
            <w:tcBorders>
              <w:tl2br w:val="nil"/>
              <w:tr2bl w:val="nil"/>
            </w:tcBorders>
            <w:shd w:val="clear" w:color="auto" w:fill="auto"/>
            <w:vAlign w:val="center"/>
          </w:tcPr>
          <w:p w14:paraId="6FFD8415">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100</w:t>
            </w:r>
          </w:p>
        </w:tc>
      </w:tr>
      <w:tr w14:paraId="7586F25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14" w:hRule="atLeast"/>
          <w:jc w:val="center"/>
        </w:trPr>
        <w:tc>
          <w:tcPr>
            <w:tcW w:w="1845" w:type="dxa"/>
            <w:vMerge w:val="continue"/>
            <w:tcBorders>
              <w:tl2br w:val="nil"/>
              <w:tr2bl w:val="nil"/>
            </w:tcBorders>
            <w:shd w:val="clear" w:color="auto" w:fill="auto"/>
            <w:vAlign w:val="center"/>
          </w:tcPr>
          <w:p w14:paraId="1B02D58C">
            <w:pPr>
              <w:pStyle w:val="8"/>
              <w:suppressLineNumbers w:val="0"/>
              <w:bidi w:val="0"/>
              <w:spacing w:before="0" w:beforeAutospacing="0" w:after="0" w:afterAutospacing="0"/>
              <w:ind w:left="0" w:right="0"/>
              <w:rPr>
                <w:rFonts w:hint="default"/>
                <w:snapToGrid w:val="0"/>
                <w:highlight w:val="none"/>
                <w:lang w:val="en-US" w:eastAsia="en-US"/>
              </w:rPr>
            </w:pPr>
          </w:p>
        </w:tc>
        <w:tc>
          <w:tcPr>
            <w:tcW w:w="855" w:type="dxa"/>
            <w:tcBorders>
              <w:tl2br w:val="nil"/>
              <w:tr2bl w:val="nil"/>
            </w:tcBorders>
            <w:shd w:val="clear" w:color="auto" w:fill="auto"/>
            <w:vAlign w:val="center"/>
          </w:tcPr>
          <w:p w14:paraId="250387EC">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19</w:t>
            </w:r>
          </w:p>
        </w:tc>
        <w:tc>
          <w:tcPr>
            <w:tcW w:w="1920" w:type="dxa"/>
            <w:tcBorders>
              <w:tl2br w:val="nil"/>
              <w:tr2bl w:val="nil"/>
            </w:tcBorders>
            <w:shd w:val="clear" w:color="auto" w:fill="auto"/>
            <w:vAlign w:val="center"/>
          </w:tcPr>
          <w:p w14:paraId="1449F5DF">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1</w:t>
            </w:r>
            <w:r>
              <w:rPr>
                <w:rFonts w:hint="eastAsia"/>
                <w:snapToGrid w:val="0"/>
                <w:highlight w:val="none"/>
                <w:lang w:val="en-US" w:eastAsia="zh-CN"/>
              </w:rPr>
              <w:t>，</w:t>
            </w:r>
            <w:r>
              <w:rPr>
                <w:rFonts w:hint="default"/>
                <w:snapToGrid w:val="0"/>
                <w:highlight w:val="none"/>
                <w:lang w:val="en-US" w:eastAsia="en-US"/>
              </w:rPr>
              <w:t>1</w:t>
            </w:r>
            <w:r>
              <w:rPr>
                <w:rFonts w:hint="eastAsia"/>
                <w:snapToGrid w:val="0"/>
                <w:highlight w:val="none"/>
                <w:lang w:val="en-US" w:eastAsia="zh-CN"/>
              </w:rPr>
              <w:t>，</w:t>
            </w:r>
            <w:r>
              <w:rPr>
                <w:rFonts w:hint="default"/>
                <w:snapToGrid w:val="0"/>
                <w:highlight w:val="none"/>
                <w:lang w:val="en-US" w:eastAsia="en-US"/>
              </w:rPr>
              <w:t>2</w:t>
            </w:r>
            <w:r>
              <w:rPr>
                <w:rFonts w:hint="eastAsia"/>
                <w:snapToGrid w:val="0"/>
                <w:highlight w:val="none"/>
                <w:lang w:val="en-US" w:eastAsia="zh-CN"/>
              </w:rPr>
              <w:t>，</w:t>
            </w:r>
            <w:r>
              <w:rPr>
                <w:rFonts w:hint="default"/>
                <w:snapToGrid w:val="0"/>
                <w:highlight w:val="none"/>
                <w:lang w:val="en-US" w:eastAsia="en-US"/>
              </w:rPr>
              <w:t>2-</w:t>
            </w:r>
            <w:r>
              <w:rPr>
                <w:rFonts w:hint="eastAsia"/>
                <w:snapToGrid w:val="0"/>
                <w:highlight w:val="none"/>
                <w:lang w:val="en-US" w:eastAsia="en-US"/>
              </w:rPr>
              <w:t>四氯乙烷</w:t>
            </w:r>
          </w:p>
        </w:tc>
        <w:tc>
          <w:tcPr>
            <w:tcW w:w="1425" w:type="dxa"/>
            <w:tcBorders>
              <w:tl2br w:val="nil"/>
              <w:tr2bl w:val="nil"/>
            </w:tcBorders>
            <w:shd w:val="clear" w:color="auto" w:fill="auto"/>
            <w:vAlign w:val="center"/>
          </w:tcPr>
          <w:p w14:paraId="6E17E711">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79-34-5</w:t>
            </w:r>
          </w:p>
        </w:tc>
        <w:tc>
          <w:tcPr>
            <w:tcW w:w="1275" w:type="dxa"/>
            <w:tcBorders>
              <w:tl2br w:val="nil"/>
              <w:tr2bl w:val="nil"/>
            </w:tcBorders>
            <w:shd w:val="clear" w:color="auto" w:fill="auto"/>
            <w:vAlign w:val="center"/>
          </w:tcPr>
          <w:p w14:paraId="6756CA60">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6.8</w:t>
            </w:r>
          </w:p>
        </w:tc>
        <w:tc>
          <w:tcPr>
            <w:tcW w:w="986" w:type="dxa"/>
            <w:tcBorders>
              <w:tl2br w:val="nil"/>
              <w:tr2bl w:val="nil"/>
            </w:tcBorders>
            <w:shd w:val="clear" w:color="auto" w:fill="auto"/>
            <w:vAlign w:val="center"/>
          </w:tcPr>
          <w:p w14:paraId="2F39E7B7">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50</w:t>
            </w:r>
          </w:p>
        </w:tc>
      </w:tr>
      <w:tr w14:paraId="4197D4A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11" w:hRule="atLeast"/>
          <w:jc w:val="center"/>
        </w:trPr>
        <w:tc>
          <w:tcPr>
            <w:tcW w:w="1845" w:type="dxa"/>
            <w:vMerge w:val="continue"/>
            <w:tcBorders>
              <w:tl2br w:val="nil"/>
              <w:tr2bl w:val="nil"/>
            </w:tcBorders>
            <w:shd w:val="clear" w:color="auto" w:fill="auto"/>
            <w:vAlign w:val="center"/>
          </w:tcPr>
          <w:p w14:paraId="0EB6C918">
            <w:pPr>
              <w:pStyle w:val="8"/>
              <w:suppressLineNumbers w:val="0"/>
              <w:bidi w:val="0"/>
              <w:spacing w:before="0" w:beforeAutospacing="0" w:after="0" w:afterAutospacing="0"/>
              <w:ind w:left="0" w:right="0"/>
              <w:rPr>
                <w:rFonts w:hint="default"/>
                <w:snapToGrid w:val="0"/>
                <w:highlight w:val="none"/>
                <w:lang w:val="en-US" w:eastAsia="en-US"/>
              </w:rPr>
            </w:pPr>
          </w:p>
        </w:tc>
        <w:tc>
          <w:tcPr>
            <w:tcW w:w="855" w:type="dxa"/>
            <w:tcBorders>
              <w:tl2br w:val="nil"/>
              <w:tr2bl w:val="nil"/>
            </w:tcBorders>
            <w:shd w:val="clear" w:color="auto" w:fill="auto"/>
            <w:vAlign w:val="center"/>
          </w:tcPr>
          <w:p w14:paraId="3B40542C">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20</w:t>
            </w:r>
          </w:p>
        </w:tc>
        <w:tc>
          <w:tcPr>
            <w:tcW w:w="1920" w:type="dxa"/>
            <w:tcBorders>
              <w:tl2br w:val="nil"/>
              <w:tr2bl w:val="nil"/>
            </w:tcBorders>
            <w:shd w:val="clear" w:color="auto" w:fill="auto"/>
            <w:vAlign w:val="center"/>
          </w:tcPr>
          <w:p w14:paraId="2255B235">
            <w:pPr>
              <w:pStyle w:val="8"/>
              <w:suppressLineNumbers w:val="0"/>
              <w:bidi w:val="0"/>
              <w:spacing w:before="0" w:beforeAutospacing="0" w:after="0" w:afterAutospacing="0"/>
              <w:ind w:left="0" w:right="0"/>
              <w:rPr>
                <w:rFonts w:hint="default"/>
                <w:snapToGrid w:val="0"/>
                <w:highlight w:val="none"/>
                <w:lang w:val="en-US" w:eastAsia="en-US"/>
              </w:rPr>
            </w:pPr>
            <w:r>
              <w:rPr>
                <w:rFonts w:hint="eastAsia"/>
                <w:snapToGrid w:val="0"/>
                <w:highlight w:val="none"/>
                <w:lang w:val="en-US" w:eastAsia="en-US"/>
              </w:rPr>
              <w:t>四氯乙烯</w:t>
            </w:r>
          </w:p>
        </w:tc>
        <w:tc>
          <w:tcPr>
            <w:tcW w:w="1425" w:type="dxa"/>
            <w:tcBorders>
              <w:tl2br w:val="nil"/>
              <w:tr2bl w:val="nil"/>
            </w:tcBorders>
            <w:shd w:val="clear" w:color="auto" w:fill="auto"/>
            <w:vAlign w:val="center"/>
          </w:tcPr>
          <w:p w14:paraId="3F7A1382">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127-18-4</w:t>
            </w:r>
          </w:p>
        </w:tc>
        <w:tc>
          <w:tcPr>
            <w:tcW w:w="1275" w:type="dxa"/>
            <w:tcBorders>
              <w:tl2br w:val="nil"/>
              <w:tr2bl w:val="nil"/>
            </w:tcBorders>
            <w:shd w:val="clear" w:color="auto" w:fill="auto"/>
            <w:vAlign w:val="center"/>
          </w:tcPr>
          <w:p w14:paraId="7F51059C">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53</w:t>
            </w:r>
          </w:p>
        </w:tc>
        <w:tc>
          <w:tcPr>
            <w:tcW w:w="986" w:type="dxa"/>
            <w:tcBorders>
              <w:tl2br w:val="nil"/>
              <w:tr2bl w:val="nil"/>
            </w:tcBorders>
            <w:shd w:val="clear" w:color="auto" w:fill="auto"/>
            <w:vAlign w:val="center"/>
          </w:tcPr>
          <w:p w14:paraId="5AA091F5">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183</w:t>
            </w:r>
          </w:p>
        </w:tc>
      </w:tr>
      <w:tr w14:paraId="24B8260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1845" w:type="dxa"/>
            <w:vMerge w:val="continue"/>
            <w:tcBorders>
              <w:tl2br w:val="nil"/>
              <w:tr2bl w:val="nil"/>
            </w:tcBorders>
            <w:shd w:val="clear" w:color="auto" w:fill="auto"/>
            <w:vAlign w:val="center"/>
          </w:tcPr>
          <w:p w14:paraId="4AADD22A">
            <w:pPr>
              <w:pStyle w:val="8"/>
              <w:suppressLineNumbers w:val="0"/>
              <w:bidi w:val="0"/>
              <w:spacing w:before="0" w:beforeAutospacing="0" w:after="0" w:afterAutospacing="0"/>
              <w:ind w:left="0" w:right="0"/>
              <w:rPr>
                <w:rFonts w:hint="default"/>
                <w:snapToGrid w:val="0"/>
                <w:highlight w:val="none"/>
                <w:lang w:val="en-US" w:eastAsia="en-US"/>
              </w:rPr>
            </w:pPr>
          </w:p>
        </w:tc>
        <w:tc>
          <w:tcPr>
            <w:tcW w:w="855" w:type="dxa"/>
            <w:tcBorders>
              <w:tl2br w:val="nil"/>
              <w:tr2bl w:val="nil"/>
            </w:tcBorders>
            <w:shd w:val="clear" w:color="auto" w:fill="auto"/>
            <w:vAlign w:val="center"/>
          </w:tcPr>
          <w:p w14:paraId="6923C13E">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21</w:t>
            </w:r>
          </w:p>
        </w:tc>
        <w:tc>
          <w:tcPr>
            <w:tcW w:w="1920" w:type="dxa"/>
            <w:tcBorders>
              <w:tl2br w:val="nil"/>
              <w:tr2bl w:val="nil"/>
            </w:tcBorders>
            <w:shd w:val="clear" w:color="auto" w:fill="auto"/>
            <w:vAlign w:val="center"/>
          </w:tcPr>
          <w:p w14:paraId="72A80FAE">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1</w:t>
            </w:r>
            <w:r>
              <w:rPr>
                <w:rFonts w:hint="eastAsia"/>
                <w:snapToGrid w:val="0"/>
                <w:highlight w:val="none"/>
                <w:lang w:val="en-US" w:eastAsia="zh-CN"/>
              </w:rPr>
              <w:t>，</w:t>
            </w:r>
            <w:r>
              <w:rPr>
                <w:rFonts w:hint="default"/>
                <w:snapToGrid w:val="0"/>
                <w:highlight w:val="none"/>
                <w:lang w:val="en-US" w:eastAsia="en-US"/>
              </w:rPr>
              <w:t>1</w:t>
            </w:r>
            <w:r>
              <w:rPr>
                <w:rFonts w:hint="eastAsia"/>
                <w:snapToGrid w:val="0"/>
                <w:highlight w:val="none"/>
                <w:lang w:val="en-US" w:eastAsia="zh-CN"/>
              </w:rPr>
              <w:t>，</w:t>
            </w:r>
            <w:r>
              <w:rPr>
                <w:rFonts w:hint="default"/>
                <w:snapToGrid w:val="0"/>
                <w:highlight w:val="none"/>
                <w:lang w:val="en-US" w:eastAsia="en-US"/>
              </w:rPr>
              <w:t>1-</w:t>
            </w:r>
            <w:r>
              <w:rPr>
                <w:rFonts w:hint="eastAsia"/>
                <w:snapToGrid w:val="0"/>
                <w:highlight w:val="none"/>
                <w:lang w:val="en-US" w:eastAsia="en-US"/>
              </w:rPr>
              <w:t>三氯乙烷</w:t>
            </w:r>
          </w:p>
        </w:tc>
        <w:tc>
          <w:tcPr>
            <w:tcW w:w="1425" w:type="dxa"/>
            <w:tcBorders>
              <w:tl2br w:val="nil"/>
              <w:tr2bl w:val="nil"/>
            </w:tcBorders>
            <w:shd w:val="clear" w:color="auto" w:fill="auto"/>
            <w:vAlign w:val="center"/>
          </w:tcPr>
          <w:p w14:paraId="32965311">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71-55-6</w:t>
            </w:r>
          </w:p>
        </w:tc>
        <w:tc>
          <w:tcPr>
            <w:tcW w:w="1275" w:type="dxa"/>
            <w:tcBorders>
              <w:tl2br w:val="nil"/>
              <w:tr2bl w:val="nil"/>
            </w:tcBorders>
            <w:shd w:val="clear" w:color="auto" w:fill="auto"/>
            <w:vAlign w:val="center"/>
          </w:tcPr>
          <w:p w14:paraId="3D747D8C">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840</w:t>
            </w:r>
          </w:p>
        </w:tc>
        <w:tc>
          <w:tcPr>
            <w:tcW w:w="986" w:type="dxa"/>
            <w:tcBorders>
              <w:tl2br w:val="nil"/>
              <w:tr2bl w:val="nil"/>
            </w:tcBorders>
            <w:shd w:val="clear" w:color="auto" w:fill="auto"/>
            <w:vAlign w:val="center"/>
          </w:tcPr>
          <w:p w14:paraId="1EC83FE3">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840</w:t>
            </w:r>
          </w:p>
        </w:tc>
      </w:tr>
      <w:tr w14:paraId="1666C58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11" w:hRule="atLeast"/>
          <w:jc w:val="center"/>
        </w:trPr>
        <w:tc>
          <w:tcPr>
            <w:tcW w:w="1845" w:type="dxa"/>
            <w:vMerge w:val="continue"/>
            <w:tcBorders>
              <w:tl2br w:val="nil"/>
              <w:tr2bl w:val="nil"/>
            </w:tcBorders>
            <w:shd w:val="clear" w:color="auto" w:fill="auto"/>
            <w:vAlign w:val="center"/>
          </w:tcPr>
          <w:p w14:paraId="3EB6DE9A">
            <w:pPr>
              <w:pStyle w:val="8"/>
              <w:suppressLineNumbers w:val="0"/>
              <w:bidi w:val="0"/>
              <w:spacing w:before="0" w:beforeAutospacing="0" w:after="0" w:afterAutospacing="0"/>
              <w:ind w:left="0" w:right="0"/>
              <w:rPr>
                <w:rFonts w:hint="default"/>
                <w:snapToGrid w:val="0"/>
                <w:highlight w:val="none"/>
                <w:lang w:val="en-US" w:eastAsia="en-US"/>
              </w:rPr>
            </w:pPr>
          </w:p>
        </w:tc>
        <w:tc>
          <w:tcPr>
            <w:tcW w:w="855" w:type="dxa"/>
            <w:tcBorders>
              <w:tl2br w:val="nil"/>
              <w:tr2bl w:val="nil"/>
            </w:tcBorders>
            <w:shd w:val="clear" w:color="auto" w:fill="auto"/>
            <w:vAlign w:val="center"/>
          </w:tcPr>
          <w:p w14:paraId="112639B9">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22</w:t>
            </w:r>
          </w:p>
        </w:tc>
        <w:tc>
          <w:tcPr>
            <w:tcW w:w="1920" w:type="dxa"/>
            <w:tcBorders>
              <w:tl2br w:val="nil"/>
              <w:tr2bl w:val="nil"/>
            </w:tcBorders>
            <w:shd w:val="clear" w:color="auto" w:fill="auto"/>
            <w:vAlign w:val="center"/>
          </w:tcPr>
          <w:p w14:paraId="360CCF5F">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1</w:t>
            </w:r>
            <w:r>
              <w:rPr>
                <w:rFonts w:hint="eastAsia"/>
                <w:snapToGrid w:val="0"/>
                <w:highlight w:val="none"/>
                <w:lang w:val="en-US" w:eastAsia="zh-CN"/>
              </w:rPr>
              <w:t>，</w:t>
            </w:r>
            <w:r>
              <w:rPr>
                <w:rFonts w:hint="default"/>
                <w:snapToGrid w:val="0"/>
                <w:highlight w:val="none"/>
                <w:lang w:val="en-US" w:eastAsia="en-US"/>
              </w:rPr>
              <w:t>1</w:t>
            </w:r>
            <w:r>
              <w:rPr>
                <w:rFonts w:hint="eastAsia"/>
                <w:snapToGrid w:val="0"/>
                <w:highlight w:val="none"/>
                <w:lang w:val="en-US" w:eastAsia="zh-CN"/>
              </w:rPr>
              <w:t>，</w:t>
            </w:r>
            <w:r>
              <w:rPr>
                <w:rFonts w:hint="default"/>
                <w:snapToGrid w:val="0"/>
                <w:highlight w:val="none"/>
                <w:lang w:val="en-US" w:eastAsia="en-US"/>
              </w:rPr>
              <w:t>2-</w:t>
            </w:r>
            <w:r>
              <w:rPr>
                <w:rFonts w:hint="eastAsia"/>
                <w:snapToGrid w:val="0"/>
                <w:highlight w:val="none"/>
                <w:lang w:val="en-US" w:eastAsia="en-US"/>
              </w:rPr>
              <w:t>三氯乙烷</w:t>
            </w:r>
          </w:p>
        </w:tc>
        <w:tc>
          <w:tcPr>
            <w:tcW w:w="1425" w:type="dxa"/>
            <w:tcBorders>
              <w:tl2br w:val="nil"/>
              <w:tr2bl w:val="nil"/>
            </w:tcBorders>
            <w:shd w:val="clear" w:color="auto" w:fill="auto"/>
            <w:vAlign w:val="center"/>
          </w:tcPr>
          <w:p w14:paraId="70644276">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79-00-5</w:t>
            </w:r>
          </w:p>
        </w:tc>
        <w:tc>
          <w:tcPr>
            <w:tcW w:w="1275" w:type="dxa"/>
            <w:tcBorders>
              <w:tl2br w:val="nil"/>
              <w:tr2bl w:val="nil"/>
            </w:tcBorders>
            <w:shd w:val="clear" w:color="auto" w:fill="auto"/>
            <w:vAlign w:val="center"/>
          </w:tcPr>
          <w:p w14:paraId="63703816">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2.8</w:t>
            </w:r>
          </w:p>
        </w:tc>
        <w:tc>
          <w:tcPr>
            <w:tcW w:w="986" w:type="dxa"/>
            <w:tcBorders>
              <w:tl2br w:val="nil"/>
              <w:tr2bl w:val="nil"/>
            </w:tcBorders>
            <w:shd w:val="clear" w:color="auto" w:fill="auto"/>
            <w:vAlign w:val="center"/>
          </w:tcPr>
          <w:p w14:paraId="6B9DB42D">
            <w:pPr>
              <w:pStyle w:val="8"/>
              <w:suppressLineNumbers w:val="0"/>
              <w:bidi w:val="0"/>
              <w:spacing w:before="0" w:beforeAutospacing="0" w:after="0" w:afterAutospacing="0"/>
              <w:ind w:left="0" w:right="0"/>
              <w:rPr>
                <w:rFonts w:hint="default"/>
                <w:snapToGrid w:val="0"/>
                <w:highlight w:val="none"/>
                <w:lang w:val="en-US" w:eastAsia="en-US"/>
              </w:rPr>
            </w:pPr>
            <w:r>
              <w:rPr>
                <w:rFonts w:hint="default"/>
                <w:snapToGrid w:val="0"/>
                <w:highlight w:val="none"/>
                <w:lang w:val="en-US" w:eastAsia="en-US"/>
              </w:rPr>
              <w:t>15</w:t>
            </w:r>
          </w:p>
        </w:tc>
      </w:tr>
      <w:tr w14:paraId="643FE083">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4" w:hRule="atLeast"/>
          <w:jc w:val="center"/>
        </w:trPr>
        <w:tc>
          <w:tcPr>
            <w:tcW w:w="1845" w:type="dxa"/>
            <w:vMerge w:val="continue"/>
            <w:tcBorders>
              <w:tl2br w:val="nil"/>
              <w:tr2bl w:val="nil"/>
            </w:tcBorders>
            <w:shd w:val="clear" w:color="auto" w:fill="auto"/>
            <w:vAlign w:val="center"/>
          </w:tcPr>
          <w:p w14:paraId="0697E4CF">
            <w:pPr>
              <w:pStyle w:val="8"/>
              <w:suppressLineNumbers w:val="0"/>
              <w:bidi w:val="0"/>
              <w:spacing w:before="0" w:beforeAutospacing="0" w:after="0" w:afterAutospacing="0"/>
              <w:ind w:left="0" w:right="0"/>
              <w:rPr>
                <w:rFonts w:hint="default"/>
                <w:snapToGrid w:val="0"/>
                <w:highlight w:val="none"/>
                <w:lang w:eastAsia="en-US"/>
              </w:rPr>
            </w:pPr>
          </w:p>
        </w:tc>
        <w:tc>
          <w:tcPr>
            <w:tcW w:w="855" w:type="dxa"/>
            <w:tcBorders>
              <w:tl2br w:val="nil"/>
              <w:tr2bl w:val="nil"/>
            </w:tcBorders>
            <w:shd w:val="clear" w:color="auto" w:fill="auto"/>
            <w:vAlign w:val="center"/>
          </w:tcPr>
          <w:p w14:paraId="55512A08">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23</w:t>
            </w:r>
          </w:p>
        </w:tc>
        <w:tc>
          <w:tcPr>
            <w:tcW w:w="1920" w:type="dxa"/>
            <w:tcBorders>
              <w:tl2br w:val="nil"/>
              <w:tr2bl w:val="nil"/>
            </w:tcBorders>
            <w:shd w:val="clear" w:color="auto" w:fill="auto"/>
            <w:vAlign w:val="center"/>
          </w:tcPr>
          <w:p w14:paraId="7C04A3A4">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三氯乙烯</w:t>
            </w:r>
          </w:p>
        </w:tc>
        <w:tc>
          <w:tcPr>
            <w:tcW w:w="1425" w:type="dxa"/>
            <w:tcBorders>
              <w:tl2br w:val="nil"/>
              <w:tr2bl w:val="nil"/>
            </w:tcBorders>
            <w:shd w:val="clear" w:color="auto" w:fill="auto"/>
            <w:vAlign w:val="center"/>
          </w:tcPr>
          <w:p w14:paraId="773AE34F">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79-01-6</w:t>
            </w:r>
          </w:p>
        </w:tc>
        <w:tc>
          <w:tcPr>
            <w:tcW w:w="1275" w:type="dxa"/>
            <w:tcBorders>
              <w:tl2br w:val="nil"/>
              <w:tr2bl w:val="nil"/>
            </w:tcBorders>
            <w:shd w:val="clear" w:color="auto" w:fill="auto"/>
            <w:vAlign w:val="center"/>
          </w:tcPr>
          <w:p w14:paraId="0EDF5DA1">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2.8</w:t>
            </w:r>
          </w:p>
        </w:tc>
        <w:tc>
          <w:tcPr>
            <w:tcW w:w="986" w:type="dxa"/>
            <w:tcBorders>
              <w:tl2br w:val="nil"/>
              <w:tr2bl w:val="nil"/>
            </w:tcBorders>
            <w:shd w:val="clear" w:color="auto" w:fill="auto"/>
            <w:vAlign w:val="center"/>
          </w:tcPr>
          <w:p w14:paraId="5AA64BBD">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20</w:t>
            </w:r>
          </w:p>
        </w:tc>
      </w:tr>
      <w:tr w14:paraId="0B7687FF">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1" w:hRule="atLeast"/>
          <w:jc w:val="center"/>
        </w:trPr>
        <w:tc>
          <w:tcPr>
            <w:tcW w:w="1845" w:type="dxa"/>
            <w:vMerge w:val="continue"/>
            <w:tcBorders>
              <w:tl2br w:val="nil"/>
              <w:tr2bl w:val="nil"/>
            </w:tcBorders>
            <w:shd w:val="clear" w:color="auto" w:fill="auto"/>
            <w:vAlign w:val="center"/>
          </w:tcPr>
          <w:p w14:paraId="4198786D">
            <w:pPr>
              <w:pStyle w:val="8"/>
              <w:suppressLineNumbers w:val="0"/>
              <w:bidi w:val="0"/>
              <w:spacing w:before="0" w:beforeAutospacing="0" w:after="0" w:afterAutospacing="0"/>
              <w:ind w:left="0" w:right="0"/>
              <w:rPr>
                <w:rFonts w:hint="default"/>
                <w:snapToGrid w:val="0"/>
                <w:highlight w:val="none"/>
                <w:lang w:eastAsia="en-US"/>
              </w:rPr>
            </w:pPr>
          </w:p>
        </w:tc>
        <w:tc>
          <w:tcPr>
            <w:tcW w:w="855" w:type="dxa"/>
            <w:tcBorders>
              <w:tl2br w:val="nil"/>
              <w:tr2bl w:val="nil"/>
            </w:tcBorders>
            <w:shd w:val="clear" w:color="auto" w:fill="auto"/>
            <w:vAlign w:val="center"/>
          </w:tcPr>
          <w:p w14:paraId="085FE6B6">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24</w:t>
            </w:r>
          </w:p>
        </w:tc>
        <w:tc>
          <w:tcPr>
            <w:tcW w:w="1920" w:type="dxa"/>
            <w:tcBorders>
              <w:tl2br w:val="nil"/>
              <w:tr2bl w:val="nil"/>
            </w:tcBorders>
            <w:shd w:val="clear" w:color="auto" w:fill="auto"/>
            <w:vAlign w:val="center"/>
          </w:tcPr>
          <w:p w14:paraId="124D1FAF">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1</w:t>
            </w:r>
            <w:r>
              <w:rPr>
                <w:rFonts w:hint="eastAsia"/>
                <w:snapToGrid w:val="0"/>
                <w:highlight w:val="none"/>
                <w:lang w:val="en-US" w:eastAsia="zh-CN"/>
              </w:rPr>
              <w:t>，</w:t>
            </w:r>
            <w:r>
              <w:rPr>
                <w:rFonts w:hint="default"/>
                <w:snapToGrid w:val="0"/>
                <w:highlight w:val="none"/>
                <w:lang w:val="en-US" w:eastAsia="en-US"/>
              </w:rPr>
              <w:t>2</w:t>
            </w:r>
            <w:r>
              <w:rPr>
                <w:rFonts w:hint="eastAsia"/>
                <w:snapToGrid w:val="0"/>
                <w:highlight w:val="none"/>
                <w:lang w:val="en-US" w:eastAsia="zh-CN"/>
              </w:rPr>
              <w:t>，</w:t>
            </w:r>
            <w:r>
              <w:rPr>
                <w:rFonts w:hint="default"/>
                <w:snapToGrid w:val="0"/>
                <w:highlight w:val="none"/>
                <w:lang w:val="en-US" w:eastAsia="en-US"/>
              </w:rPr>
              <w:t>3-</w:t>
            </w:r>
            <w:r>
              <w:rPr>
                <w:rFonts w:hint="eastAsia"/>
                <w:snapToGrid w:val="0"/>
                <w:highlight w:val="none"/>
                <w:lang w:val="en-US" w:eastAsia="en-US"/>
              </w:rPr>
              <w:t>三氯丙烷</w:t>
            </w:r>
          </w:p>
        </w:tc>
        <w:tc>
          <w:tcPr>
            <w:tcW w:w="1425" w:type="dxa"/>
            <w:tcBorders>
              <w:tl2br w:val="nil"/>
              <w:tr2bl w:val="nil"/>
            </w:tcBorders>
            <w:shd w:val="clear" w:color="auto" w:fill="auto"/>
            <w:vAlign w:val="center"/>
          </w:tcPr>
          <w:p w14:paraId="41F2F0E6">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96-18-4</w:t>
            </w:r>
          </w:p>
        </w:tc>
        <w:tc>
          <w:tcPr>
            <w:tcW w:w="1275" w:type="dxa"/>
            <w:tcBorders>
              <w:tl2br w:val="nil"/>
              <w:tr2bl w:val="nil"/>
            </w:tcBorders>
            <w:shd w:val="clear" w:color="auto" w:fill="auto"/>
            <w:vAlign w:val="center"/>
          </w:tcPr>
          <w:p w14:paraId="2499F522">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0.5</w:t>
            </w:r>
          </w:p>
        </w:tc>
        <w:tc>
          <w:tcPr>
            <w:tcW w:w="986" w:type="dxa"/>
            <w:tcBorders>
              <w:tl2br w:val="nil"/>
              <w:tr2bl w:val="nil"/>
            </w:tcBorders>
            <w:shd w:val="clear" w:color="auto" w:fill="auto"/>
            <w:vAlign w:val="center"/>
          </w:tcPr>
          <w:p w14:paraId="30AC342E">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5</w:t>
            </w:r>
          </w:p>
        </w:tc>
      </w:tr>
      <w:tr w14:paraId="4DC3179E">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1" w:hRule="atLeast"/>
          <w:jc w:val="center"/>
        </w:trPr>
        <w:tc>
          <w:tcPr>
            <w:tcW w:w="1845" w:type="dxa"/>
            <w:vMerge w:val="continue"/>
            <w:tcBorders>
              <w:tl2br w:val="nil"/>
              <w:tr2bl w:val="nil"/>
            </w:tcBorders>
            <w:shd w:val="clear" w:color="auto" w:fill="auto"/>
            <w:vAlign w:val="center"/>
          </w:tcPr>
          <w:p w14:paraId="39D6B98C">
            <w:pPr>
              <w:pStyle w:val="8"/>
              <w:suppressLineNumbers w:val="0"/>
              <w:bidi w:val="0"/>
              <w:spacing w:before="0" w:beforeAutospacing="0" w:after="0" w:afterAutospacing="0"/>
              <w:ind w:left="0" w:right="0"/>
              <w:rPr>
                <w:rFonts w:hint="default"/>
                <w:snapToGrid w:val="0"/>
                <w:highlight w:val="none"/>
                <w:lang w:eastAsia="en-US"/>
              </w:rPr>
            </w:pPr>
          </w:p>
        </w:tc>
        <w:tc>
          <w:tcPr>
            <w:tcW w:w="855" w:type="dxa"/>
            <w:tcBorders>
              <w:tl2br w:val="nil"/>
              <w:tr2bl w:val="nil"/>
            </w:tcBorders>
            <w:shd w:val="clear" w:color="auto" w:fill="auto"/>
            <w:vAlign w:val="center"/>
          </w:tcPr>
          <w:p w14:paraId="4DE062E5">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25</w:t>
            </w:r>
          </w:p>
        </w:tc>
        <w:tc>
          <w:tcPr>
            <w:tcW w:w="1920" w:type="dxa"/>
            <w:tcBorders>
              <w:tl2br w:val="nil"/>
              <w:tr2bl w:val="nil"/>
            </w:tcBorders>
            <w:shd w:val="clear" w:color="auto" w:fill="auto"/>
            <w:vAlign w:val="center"/>
          </w:tcPr>
          <w:p w14:paraId="3B6656C3">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氯乙烯</w:t>
            </w:r>
          </w:p>
        </w:tc>
        <w:tc>
          <w:tcPr>
            <w:tcW w:w="1425" w:type="dxa"/>
            <w:tcBorders>
              <w:tl2br w:val="nil"/>
              <w:tr2bl w:val="nil"/>
            </w:tcBorders>
            <w:shd w:val="clear" w:color="auto" w:fill="auto"/>
            <w:vAlign w:val="center"/>
          </w:tcPr>
          <w:p w14:paraId="5640074F">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75-01-4</w:t>
            </w:r>
          </w:p>
        </w:tc>
        <w:tc>
          <w:tcPr>
            <w:tcW w:w="1275" w:type="dxa"/>
            <w:tcBorders>
              <w:tl2br w:val="nil"/>
              <w:tr2bl w:val="nil"/>
            </w:tcBorders>
            <w:shd w:val="clear" w:color="auto" w:fill="auto"/>
            <w:vAlign w:val="center"/>
          </w:tcPr>
          <w:p w14:paraId="125BD3DE">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0.43</w:t>
            </w:r>
          </w:p>
        </w:tc>
        <w:tc>
          <w:tcPr>
            <w:tcW w:w="986" w:type="dxa"/>
            <w:tcBorders>
              <w:tl2br w:val="nil"/>
              <w:tr2bl w:val="nil"/>
            </w:tcBorders>
            <w:shd w:val="clear" w:color="auto" w:fill="auto"/>
            <w:vAlign w:val="center"/>
          </w:tcPr>
          <w:p w14:paraId="3B0E1693">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4.3</w:t>
            </w:r>
          </w:p>
        </w:tc>
      </w:tr>
      <w:tr w14:paraId="6F9AEA2B">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1" w:hRule="atLeast"/>
          <w:jc w:val="center"/>
        </w:trPr>
        <w:tc>
          <w:tcPr>
            <w:tcW w:w="1845" w:type="dxa"/>
            <w:vMerge w:val="continue"/>
            <w:tcBorders>
              <w:tl2br w:val="nil"/>
              <w:tr2bl w:val="nil"/>
            </w:tcBorders>
            <w:shd w:val="clear" w:color="auto" w:fill="auto"/>
            <w:vAlign w:val="center"/>
          </w:tcPr>
          <w:p w14:paraId="593D9DF8">
            <w:pPr>
              <w:pStyle w:val="8"/>
              <w:suppressLineNumbers w:val="0"/>
              <w:bidi w:val="0"/>
              <w:spacing w:before="0" w:beforeAutospacing="0" w:after="0" w:afterAutospacing="0"/>
              <w:ind w:left="0" w:right="0"/>
              <w:rPr>
                <w:rFonts w:hint="default"/>
                <w:snapToGrid w:val="0"/>
                <w:highlight w:val="none"/>
                <w:lang w:eastAsia="en-US"/>
              </w:rPr>
            </w:pPr>
          </w:p>
        </w:tc>
        <w:tc>
          <w:tcPr>
            <w:tcW w:w="855" w:type="dxa"/>
            <w:tcBorders>
              <w:tl2br w:val="nil"/>
              <w:tr2bl w:val="nil"/>
            </w:tcBorders>
            <w:shd w:val="clear" w:color="auto" w:fill="auto"/>
            <w:vAlign w:val="center"/>
          </w:tcPr>
          <w:p w14:paraId="6AF4BF13">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26</w:t>
            </w:r>
          </w:p>
        </w:tc>
        <w:tc>
          <w:tcPr>
            <w:tcW w:w="1920" w:type="dxa"/>
            <w:tcBorders>
              <w:tl2br w:val="nil"/>
              <w:tr2bl w:val="nil"/>
            </w:tcBorders>
            <w:shd w:val="clear" w:color="auto" w:fill="auto"/>
            <w:vAlign w:val="center"/>
          </w:tcPr>
          <w:p w14:paraId="78D697AE">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苯</w:t>
            </w:r>
          </w:p>
        </w:tc>
        <w:tc>
          <w:tcPr>
            <w:tcW w:w="1425" w:type="dxa"/>
            <w:tcBorders>
              <w:tl2br w:val="nil"/>
              <w:tr2bl w:val="nil"/>
            </w:tcBorders>
            <w:shd w:val="clear" w:color="auto" w:fill="auto"/>
            <w:vAlign w:val="center"/>
          </w:tcPr>
          <w:p w14:paraId="6ECABEC5">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71-43-2</w:t>
            </w:r>
          </w:p>
        </w:tc>
        <w:tc>
          <w:tcPr>
            <w:tcW w:w="1275" w:type="dxa"/>
            <w:tcBorders>
              <w:tl2br w:val="nil"/>
              <w:tr2bl w:val="nil"/>
            </w:tcBorders>
            <w:shd w:val="clear" w:color="auto" w:fill="auto"/>
            <w:vAlign w:val="center"/>
          </w:tcPr>
          <w:p w14:paraId="134823DC">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4</w:t>
            </w:r>
          </w:p>
        </w:tc>
        <w:tc>
          <w:tcPr>
            <w:tcW w:w="986" w:type="dxa"/>
            <w:tcBorders>
              <w:tl2br w:val="nil"/>
              <w:tr2bl w:val="nil"/>
            </w:tcBorders>
            <w:shd w:val="clear" w:color="auto" w:fill="auto"/>
            <w:vAlign w:val="center"/>
          </w:tcPr>
          <w:p w14:paraId="30E72EC4">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40</w:t>
            </w:r>
          </w:p>
        </w:tc>
      </w:tr>
      <w:tr w14:paraId="3395F1A4">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1" w:hRule="atLeast"/>
          <w:jc w:val="center"/>
        </w:trPr>
        <w:tc>
          <w:tcPr>
            <w:tcW w:w="1845" w:type="dxa"/>
            <w:vMerge w:val="continue"/>
            <w:tcBorders>
              <w:tl2br w:val="nil"/>
              <w:tr2bl w:val="nil"/>
            </w:tcBorders>
            <w:shd w:val="clear" w:color="auto" w:fill="auto"/>
            <w:vAlign w:val="center"/>
          </w:tcPr>
          <w:p w14:paraId="37656969">
            <w:pPr>
              <w:pStyle w:val="8"/>
              <w:suppressLineNumbers w:val="0"/>
              <w:bidi w:val="0"/>
              <w:spacing w:before="0" w:beforeAutospacing="0" w:after="0" w:afterAutospacing="0"/>
              <w:ind w:left="0" w:right="0"/>
              <w:rPr>
                <w:rFonts w:hint="default"/>
                <w:snapToGrid w:val="0"/>
                <w:highlight w:val="none"/>
                <w:lang w:eastAsia="en-US"/>
              </w:rPr>
            </w:pPr>
          </w:p>
        </w:tc>
        <w:tc>
          <w:tcPr>
            <w:tcW w:w="855" w:type="dxa"/>
            <w:tcBorders>
              <w:tl2br w:val="nil"/>
              <w:tr2bl w:val="nil"/>
            </w:tcBorders>
            <w:shd w:val="clear" w:color="auto" w:fill="auto"/>
            <w:vAlign w:val="center"/>
          </w:tcPr>
          <w:p w14:paraId="66779B26">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27</w:t>
            </w:r>
          </w:p>
        </w:tc>
        <w:tc>
          <w:tcPr>
            <w:tcW w:w="1920" w:type="dxa"/>
            <w:tcBorders>
              <w:tl2br w:val="nil"/>
              <w:tr2bl w:val="nil"/>
            </w:tcBorders>
            <w:shd w:val="clear" w:color="auto" w:fill="auto"/>
            <w:vAlign w:val="center"/>
          </w:tcPr>
          <w:p w14:paraId="5D1CFA76">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氯苯</w:t>
            </w:r>
          </w:p>
        </w:tc>
        <w:tc>
          <w:tcPr>
            <w:tcW w:w="1425" w:type="dxa"/>
            <w:tcBorders>
              <w:tl2br w:val="nil"/>
              <w:tr2bl w:val="nil"/>
            </w:tcBorders>
            <w:shd w:val="clear" w:color="auto" w:fill="auto"/>
            <w:vAlign w:val="center"/>
          </w:tcPr>
          <w:p w14:paraId="2DD4D4C8">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108-90-7</w:t>
            </w:r>
          </w:p>
        </w:tc>
        <w:tc>
          <w:tcPr>
            <w:tcW w:w="1275" w:type="dxa"/>
            <w:tcBorders>
              <w:tl2br w:val="nil"/>
              <w:tr2bl w:val="nil"/>
            </w:tcBorders>
            <w:shd w:val="clear" w:color="auto" w:fill="auto"/>
            <w:vAlign w:val="center"/>
          </w:tcPr>
          <w:p w14:paraId="55307647">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270</w:t>
            </w:r>
          </w:p>
        </w:tc>
        <w:tc>
          <w:tcPr>
            <w:tcW w:w="986" w:type="dxa"/>
            <w:tcBorders>
              <w:tl2br w:val="nil"/>
              <w:tr2bl w:val="nil"/>
            </w:tcBorders>
            <w:shd w:val="clear" w:color="auto" w:fill="auto"/>
            <w:vAlign w:val="center"/>
          </w:tcPr>
          <w:p w14:paraId="49ECFAB4">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1000</w:t>
            </w:r>
          </w:p>
        </w:tc>
      </w:tr>
      <w:tr w14:paraId="6878B4EA">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1" w:hRule="atLeast"/>
          <w:jc w:val="center"/>
        </w:trPr>
        <w:tc>
          <w:tcPr>
            <w:tcW w:w="1845" w:type="dxa"/>
            <w:vMerge w:val="continue"/>
            <w:tcBorders>
              <w:tl2br w:val="nil"/>
              <w:tr2bl w:val="nil"/>
            </w:tcBorders>
            <w:shd w:val="clear" w:color="auto" w:fill="auto"/>
            <w:vAlign w:val="center"/>
          </w:tcPr>
          <w:p w14:paraId="4DEEA05F">
            <w:pPr>
              <w:pStyle w:val="8"/>
              <w:suppressLineNumbers w:val="0"/>
              <w:bidi w:val="0"/>
              <w:spacing w:before="0" w:beforeAutospacing="0" w:after="0" w:afterAutospacing="0"/>
              <w:ind w:left="0" w:right="0"/>
              <w:rPr>
                <w:rFonts w:hint="default"/>
                <w:snapToGrid w:val="0"/>
                <w:highlight w:val="none"/>
                <w:lang w:eastAsia="en-US"/>
              </w:rPr>
            </w:pPr>
          </w:p>
        </w:tc>
        <w:tc>
          <w:tcPr>
            <w:tcW w:w="855" w:type="dxa"/>
            <w:tcBorders>
              <w:tl2br w:val="nil"/>
              <w:tr2bl w:val="nil"/>
            </w:tcBorders>
            <w:shd w:val="clear" w:color="auto" w:fill="auto"/>
            <w:vAlign w:val="center"/>
          </w:tcPr>
          <w:p w14:paraId="1B3D584F">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28</w:t>
            </w:r>
          </w:p>
        </w:tc>
        <w:tc>
          <w:tcPr>
            <w:tcW w:w="1920" w:type="dxa"/>
            <w:tcBorders>
              <w:tl2br w:val="nil"/>
              <w:tr2bl w:val="nil"/>
            </w:tcBorders>
            <w:shd w:val="clear" w:color="auto" w:fill="auto"/>
            <w:vAlign w:val="center"/>
          </w:tcPr>
          <w:p w14:paraId="3D56FB38">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1</w:t>
            </w:r>
            <w:r>
              <w:rPr>
                <w:rFonts w:hint="eastAsia"/>
                <w:snapToGrid w:val="0"/>
                <w:highlight w:val="none"/>
                <w:lang w:val="en-US" w:eastAsia="zh-CN"/>
              </w:rPr>
              <w:t>，</w:t>
            </w:r>
            <w:r>
              <w:rPr>
                <w:rFonts w:hint="default"/>
                <w:snapToGrid w:val="0"/>
                <w:highlight w:val="none"/>
                <w:lang w:val="en-US" w:eastAsia="en-US"/>
              </w:rPr>
              <w:t>2-</w:t>
            </w:r>
            <w:r>
              <w:rPr>
                <w:rFonts w:hint="eastAsia"/>
                <w:snapToGrid w:val="0"/>
                <w:highlight w:val="none"/>
                <w:lang w:val="en-US" w:eastAsia="en-US"/>
              </w:rPr>
              <w:t>二氯苯</w:t>
            </w:r>
          </w:p>
        </w:tc>
        <w:tc>
          <w:tcPr>
            <w:tcW w:w="1425" w:type="dxa"/>
            <w:tcBorders>
              <w:tl2br w:val="nil"/>
              <w:tr2bl w:val="nil"/>
            </w:tcBorders>
            <w:shd w:val="clear" w:color="auto" w:fill="auto"/>
            <w:vAlign w:val="center"/>
          </w:tcPr>
          <w:p w14:paraId="53D2D497">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95-50-1</w:t>
            </w:r>
          </w:p>
        </w:tc>
        <w:tc>
          <w:tcPr>
            <w:tcW w:w="1275" w:type="dxa"/>
            <w:tcBorders>
              <w:tl2br w:val="nil"/>
              <w:tr2bl w:val="nil"/>
            </w:tcBorders>
            <w:shd w:val="clear" w:color="auto" w:fill="auto"/>
            <w:vAlign w:val="center"/>
          </w:tcPr>
          <w:p w14:paraId="67666403">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560</w:t>
            </w:r>
          </w:p>
        </w:tc>
        <w:tc>
          <w:tcPr>
            <w:tcW w:w="986" w:type="dxa"/>
            <w:tcBorders>
              <w:tl2br w:val="nil"/>
              <w:tr2bl w:val="nil"/>
            </w:tcBorders>
            <w:shd w:val="clear" w:color="auto" w:fill="auto"/>
            <w:vAlign w:val="center"/>
          </w:tcPr>
          <w:p w14:paraId="60B43869">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560</w:t>
            </w:r>
          </w:p>
        </w:tc>
      </w:tr>
      <w:tr w14:paraId="67B43569">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4" w:hRule="atLeast"/>
          <w:jc w:val="center"/>
        </w:trPr>
        <w:tc>
          <w:tcPr>
            <w:tcW w:w="1845" w:type="dxa"/>
            <w:vMerge w:val="continue"/>
            <w:tcBorders>
              <w:tl2br w:val="nil"/>
              <w:tr2bl w:val="nil"/>
            </w:tcBorders>
            <w:shd w:val="clear" w:color="auto" w:fill="auto"/>
            <w:vAlign w:val="top"/>
          </w:tcPr>
          <w:p w14:paraId="3C45C306">
            <w:pPr>
              <w:pStyle w:val="8"/>
              <w:suppressLineNumbers w:val="0"/>
              <w:bidi w:val="0"/>
              <w:spacing w:before="0" w:beforeAutospacing="0" w:after="0" w:afterAutospacing="0"/>
              <w:ind w:left="0" w:right="0"/>
              <w:rPr>
                <w:rFonts w:hint="default"/>
                <w:snapToGrid w:val="0"/>
                <w:highlight w:val="none"/>
                <w:lang w:eastAsia="en-US"/>
              </w:rPr>
            </w:pPr>
          </w:p>
        </w:tc>
        <w:tc>
          <w:tcPr>
            <w:tcW w:w="855" w:type="dxa"/>
            <w:tcBorders>
              <w:tl2br w:val="nil"/>
              <w:tr2bl w:val="nil"/>
            </w:tcBorders>
            <w:shd w:val="clear" w:color="auto" w:fill="auto"/>
            <w:vAlign w:val="center"/>
          </w:tcPr>
          <w:p w14:paraId="467D850B">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29</w:t>
            </w:r>
          </w:p>
        </w:tc>
        <w:tc>
          <w:tcPr>
            <w:tcW w:w="1920" w:type="dxa"/>
            <w:tcBorders>
              <w:tl2br w:val="nil"/>
              <w:tr2bl w:val="nil"/>
            </w:tcBorders>
            <w:shd w:val="clear" w:color="auto" w:fill="auto"/>
            <w:vAlign w:val="center"/>
          </w:tcPr>
          <w:p w14:paraId="6407EAC5">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1</w:t>
            </w:r>
            <w:r>
              <w:rPr>
                <w:rFonts w:hint="eastAsia"/>
                <w:snapToGrid w:val="0"/>
                <w:highlight w:val="none"/>
                <w:lang w:val="en-US" w:eastAsia="zh-CN"/>
              </w:rPr>
              <w:t>，</w:t>
            </w:r>
            <w:r>
              <w:rPr>
                <w:rFonts w:hint="default"/>
                <w:snapToGrid w:val="0"/>
                <w:highlight w:val="none"/>
                <w:lang w:val="en-US" w:eastAsia="en-US"/>
              </w:rPr>
              <w:t>4-</w:t>
            </w:r>
            <w:r>
              <w:rPr>
                <w:rFonts w:hint="eastAsia"/>
                <w:snapToGrid w:val="0"/>
                <w:highlight w:val="none"/>
                <w:lang w:val="en-US" w:eastAsia="en-US"/>
              </w:rPr>
              <w:t>二氯苯</w:t>
            </w:r>
          </w:p>
        </w:tc>
        <w:tc>
          <w:tcPr>
            <w:tcW w:w="1425" w:type="dxa"/>
            <w:tcBorders>
              <w:tl2br w:val="nil"/>
              <w:tr2bl w:val="nil"/>
            </w:tcBorders>
            <w:shd w:val="clear" w:color="auto" w:fill="auto"/>
            <w:vAlign w:val="center"/>
          </w:tcPr>
          <w:p w14:paraId="149F4120">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106-46-7</w:t>
            </w:r>
          </w:p>
        </w:tc>
        <w:tc>
          <w:tcPr>
            <w:tcW w:w="1275" w:type="dxa"/>
            <w:tcBorders>
              <w:tl2br w:val="nil"/>
              <w:tr2bl w:val="nil"/>
            </w:tcBorders>
            <w:shd w:val="clear" w:color="auto" w:fill="auto"/>
            <w:vAlign w:val="center"/>
          </w:tcPr>
          <w:p w14:paraId="6C82555F">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20</w:t>
            </w:r>
          </w:p>
        </w:tc>
        <w:tc>
          <w:tcPr>
            <w:tcW w:w="986" w:type="dxa"/>
            <w:tcBorders>
              <w:tl2br w:val="nil"/>
              <w:tr2bl w:val="nil"/>
            </w:tcBorders>
            <w:shd w:val="clear" w:color="auto" w:fill="auto"/>
            <w:vAlign w:val="center"/>
          </w:tcPr>
          <w:p w14:paraId="094BDA93">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200</w:t>
            </w:r>
          </w:p>
        </w:tc>
      </w:tr>
      <w:tr w14:paraId="503CEB86">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1" w:hRule="atLeast"/>
          <w:jc w:val="center"/>
        </w:trPr>
        <w:tc>
          <w:tcPr>
            <w:tcW w:w="1845" w:type="dxa"/>
            <w:vMerge w:val="continue"/>
            <w:tcBorders>
              <w:tl2br w:val="nil"/>
              <w:tr2bl w:val="nil"/>
            </w:tcBorders>
            <w:shd w:val="clear" w:color="auto" w:fill="auto"/>
            <w:vAlign w:val="top"/>
          </w:tcPr>
          <w:p w14:paraId="195F7238">
            <w:pPr>
              <w:pStyle w:val="8"/>
              <w:suppressLineNumbers w:val="0"/>
              <w:bidi w:val="0"/>
              <w:spacing w:before="0" w:beforeAutospacing="0" w:after="0" w:afterAutospacing="0"/>
              <w:ind w:left="0" w:right="0"/>
              <w:rPr>
                <w:rFonts w:hint="default"/>
                <w:snapToGrid w:val="0"/>
                <w:highlight w:val="none"/>
                <w:lang w:eastAsia="en-US"/>
              </w:rPr>
            </w:pPr>
          </w:p>
        </w:tc>
        <w:tc>
          <w:tcPr>
            <w:tcW w:w="855" w:type="dxa"/>
            <w:tcBorders>
              <w:tl2br w:val="nil"/>
              <w:tr2bl w:val="nil"/>
            </w:tcBorders>
            <w:shd w:val="clear" w:color="auto" w:fill="auto"/>
            <w:vAlign w:val="center"/>
          </w:tcPr>
          <w:p w14:paraId="65EA4BBA">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30</w:t>
            </w:r>
          </w:p>
        </w:tc>
        <w:tc>
          <w:tcPr>
            <w:tcW w:w="1920" w:type="dxa"/>
            <w:tcBorders>
              <w:tl2br w:val="nil"/>
              <w:tr2bl w:val="nil"/>
            </w:tcBorders>
            <w:shd w:val="clear" w:color="auto" w:fill="auto"/>
            <w:vAlign w:val="center"/>
          </w:tcPr>
          <w:p w14:paraId="126B11FA">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乙苯</w:t>
            </w:r>
          </w:p>
        </w:tc>
        <w:tc>
          <w:tcPr>
            <w:tcW w:w="1425" w:type="dxa"/>
            <w:tcBorders>
              <w:tl2br w:val="nil"/>
              <w:tr2bl w:val="nil"/>
            </w:tcBorders>
            <w:shd w:val="clear" w:color="auto" w:fill="auto"/>
            <w:vAlign w:val="center"/>
          </w:tcPr>
          <w:p w14:paraId="10F079C8">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100-41-4</w:t>
            </w:r>
          </w:p>
        </w:tc>
        <w:tc>
          <w:tcPr>
            <w:tcW w:w="1275" w:type="dxa"/>
            <w:tcBorders>
              <w:tl2br w:val="nil"/>
              <w:tr2bl w:val="nil"/>
            </w:tcBorders>
            <w:shd w:val="clear" w:color="auto" w:fill="auto"/>
            <w:vAlign w:val="center"/>
          </w:tcPr>
          <w:p w14:paraId="34AC3261">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28</w:t>
            </w:r>
          </w:p>
        </w:tc>
        <w:tc>
          <w:tcPr>
            <w:tcW w:w="986" w:type="dxa"/>
            <w:tcBorders>
              <w:tl2br w:val="nil"/>
              <w:tr2bl w:val="nil"/>
            </w:tcBorders>
            <w:shd w:val="clear" w:color="auto" w:fill="auto"/>
            <w:vAlign w:val="center"/>
          </w:tcPr>
          <w:p w14:paraId="73604685">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280</w:t>
            </w:r>
          </w:p>
        </w:tc>
      </w:tr>
      <w:tr w14:paraId="6F85F33A">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1" w:hRule="atLeast"/>
          <w:jc w:val="center"/>
        </w:trPr>
        <w:tc>
          <w:tcPr>
            <w:tcW w:w="1845" w:type="dxa"/>
            <w:vMerge w:val="continue"/>
            <w:tcBorders>
              <w:tl2br w:val="nil"/>
              <w:tr2bl w:val="nil"/>
            </w:tcBorders>
            <w:shd w:val="clear" w:color="auto" w:fill="auto"/>
            <w:vAlign w:val="top"/>
          </w:tcPr>
          <w:p w14:paraId="7D3E9801">
            <w:pPr>
              <w:pStyle w:val="8"/>
              <w:suppressLineNumbers w:val="0"/>
              <w:bidi w:val="0"/>
              <w:spacing w:before="0" w:beforeAutospacing="0" w:after="0" w:afterAutospacing="0"/>
              <w:ind w:left="0" w:right="0"/>
              <w:rPr>
                <w:rFonts w:hint="default"/>
                <w:snapToGrid w:val="0"/>
                <w:highlight w:val="none"/>
                <w:lang w:eastAsia="en-US"/>
              </w:rPr>
            </w:pPr>
          </w:p>
        </w:tc>
        <w:tc>
          <w:tcPr>
            <w:tcW w:w="855" w:type="dxa"/>
            <w:tcBorders>
              <w:tl2br w:val="nil"/>
              <w:tr2bl w:val="nil"/>
            </w:tcBorders>
            <w:shd w:val="clear" w:color="auto" w:fill="auto"/>
            <w:vAlign w:val="center"/>
          </w:tcPr>
          <w:p w14:paraId="2CB2EB15">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31</w:t>
            </w:r>
          </w:p>
        </w:tc>
        <w:tc>
          <w:tcPr>
            <w:tcW w:w="1920" w:type="dxa"/>
            <w:tcBorders>
              <w:tl2br w:val="nil"/>
              <w:tr2bl w:val="nil"/>
            </w:tcBorders>
            <w:shd w:val="clear" w:color="auto" w:fill="auto"/>
            <w:vAlign w:val="center"/>
          </w:tcPr>
          <w:p w14:paraId="73DA24F4">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苯乙烯</w:t>
            </w:r>
          </w:p>
        </w:tc>
        <w:tc>
          <w:tcPr>
            <w:tcW w:w="1425" w:type="dxa"/>
            <w:tcBorders>
              <w:tl2br w:val="nil"/>
              <w:tr2bl w:val="nil"/>
            </w:tcBorders>
            <w:shd w:val="clear" w:color="auto" w:fill="auto"/>
            <w:vAlign w:val="center"/>
          </w:tcPr>
          <w:p w14:paraId="1DE93865">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100-42-5</w:t>
            </w:r>
          </w:p>
        </w:tc>
        <w:tc>
          <w:tcPr>
            <w:tcW w:w="1275" w:type="dxa"/>
            <w:tcBorders>
              <w:tl2br w:val="nil"/>
              <w:tr2bl w:val="nil"/>
            </w:tcBorders>
            <w:shd w:val="clear" w:color="auto" w:fill="auto"/>
            <w:vAlign w:val="center"/>
          </w:tcPr>
          <w:p w14:paraId="34FDFE12">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1290</w:t>
            </w:r>
          </w:p>
        </w:tc>
        <w:tc>
          <w:tcPr>
            <w:tcW w:w="986" w:type="dxa"/>
            <w:tcBorders>
              <w:tl2br w:val="nil"/>
              <w:tr2bl w:val="nil"/>
            </w:tcBorders>
            <w:shd w:val="clear" w:color="auto" w:fill="auto"/>
            <w:vAlign w:val="center"/>
          </w:tcPr>
          <w:p w14:paraId="14BCED9F">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1290</w:t>
            </w:r>
          </w:p>
        </w:tc>
      </w:tr>
      <w:tr w14:paraId="6262E5B6">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2" w:hRule="atLeast"/>
          <w:jc w:val="center"/>
        </w:trPr>
        <w:tc>
          <w:tcPr>
            <w:tcW w:w="1845" w:type="dxa"/>
            <w:vMerge w:val="continue"/>
            <w:tcBorders>
              <w:tl2br w:val="nil"/>
              <w:tr2bl w:val="nil"/>
            </w:tcBorders>
            <w:shd w:val="clear" w:color="auto" w:fill="auto"/>
            <w:vAlign w:val="top"/>
          </w:tcPr>
          <w:p w14:paraId="0E3D36D6">
            <w:pPr>
              <w:pStyle w:val="8"/>
              <w:suppressLineNumbers w:val="0"/>
              <w:bidi w:val="0"/>
              <w:spacing w:before="0" w:beforeAutospacing="0" w:after="0" w:afterAutospacing="0"/>
              <w:ind w:left="0" w:right="0"/>
              <w:rPr>
                <w:rFonts w:hint="default"/>
                <w:snapToGrid w:val="0"/>
                <w:highlight w:val="none"/>
                <w:lang w:eastAsia="en-US"/>
              </w:rPr>
            </w:pPr>
          </w:p>
        </w:tc>
        <w:tc>
          <w:tcPr>
            <w:tcW w:w="855" w:type="dxa"/>
            <w:tcBorders>
              <w:tl2br w:val="nil"/>
              <w:tr2bl w:val="nil"/>
            </w:tcBorders>
            <w:shd w:val="clear" w:color="auto" w:fill="auto"/>
            <w:vAlign w:val="center"/>
          </w:tcPr>
          <w:p w14:paraId="363C4DE0">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32</w:t>
            </w:r>
          </w:p>
        </w:tc>
        <w:tc>
          <w:tcPr>
            <w:tcW w:w="1920" w:type="dxa"/>
            <w:tcBorders>
              <w:tl2br w:val="nil"/>
              <w:tr2bl w:val="nil"/>
            </w:tcBorders>
            <w:shd w:val="clear" w:color="auto" w:fill="auto"/>
            <w:vAlign w:val="center"/>
          </w:tcPr>
          <w:p w14:paraId="262E287E">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甲苯</w:t>
            </w:r>
          </w:p>
        </w:tc>
        <w:tc>
          <w:tcPr>
            <w:tcW w:w="1425" w:type="dxa"/>
            <w:tcBorders>
              <w:tl2br w:val="nil"/>
              <w:tr2bl w:val="nil"/>
            </w:tcBorders>
            <w:shd w:val="clear" w:color="auto" w:fill="auto"/>
            <w:vAlign w:val="center"/>
          </w:tcPr>
          <w:p w14:paraId="1059225E">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108-88-3</w:t>
            </w:r>
          </w:p>
        </w:tc>
        <w:tc>
          <w:tcPr>
            <w:tcW w:w="1275" w:type="dxa"/>
            <w:tcBorders>
              <w:tl2br w:val="nil"/>
              <w:tr2bl w:val="nil"/>
            </w:tcBorders>
            <w:shd w:val="clear" w:color="auto" w:fill="auto"/>
            <w:vAlign w:val="center"/>
          </w:tcPr>
          <w:p w14:paraId="31FCB044">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1200</w:t>
            </w:r>
          </w:p>
        </w:tc>
        <w:tc>
          <w:tcPr>
            <w:tcW w:w="986" w:type="dxa"/>
            <w:tcBorders>
              <w:tl2br w:val="nil"/>
              <w:tr2bl w:val="nil"/>
            </w:tcBorders>
            <w:shd w:val="clear" w:color="auto" w:fill="auto"/>
            <w:vAlign w:val="center"/>
          </w:tcPr>
          <w:p w14:paraId="307437D9">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1200</w:t>
            </w:r>
          </w:p>
        </w:tc>
      </w:tr>
      <w:tr w14:paraId="36691FC1">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696" w:hRule="atLeast"/>
          <w:jc w:val="center"/>
        </w:trPr>
        <w:tc>
          <w:tcPr>
            <w:tcW w:w="1845" w:type="dxa"/>
            <w:vMerge w:val="continue"/>
            <w:tcBorders>
              <w:tl2br w:val="nil"/>
              <w:tr2bl w:val="nil"/>
            </w:tcBorders>
            <w:shd w:val="clear" w:color="auto" w:fill="auto"/>
            <w:vAlign w:val="top"/>
          </w:tcPr>
          <w:p w14:paraId="62E956E2">
            <w:pPr>
              <w:pStyle w:val="8"/>
              <w:suppressLineNumbers w:val="0"/>
              <w:bidi w:val="0"/>
              <w:spacing w:before="0" w:beforeAutospacing="0" w:after="0" w:afterAutospacing="0"/>
              <w:ind w:left="0" w:right="0"/>
              <w:rPr>
                <w:rFonts w:hint="default"/>
                <w:snapToGrid w:val="0"/>
                <w:highlight w:val="none"/>
                <w:lang w:eastAsia="en-US"/>
              </w:rPr>
            </w:pPr>
          </w:p>
        </w:tc>
        <w:tc>
          <w:tcPr>
            <w:tcW w:w="855" w:type="dxa"/>
            <w:tcBorders>
              <w:tl2br w:val="nil"/>
              <w:tr2bl w:val="nil"/>
            </w:tcBorders>
            <w:shd w:val="clear" w:color="auto" w:fill="auto"/>
            <w:vAlign w:val="center"/>
          </w:tcPr>
          <w:p w14:paraId="31987AB3">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33</w:t>
            </w:r>
          </w:p>
        </w:tc>
        <w:tc>
          <w:tcPr>
            <w:tcW w:w="1920" w:type="dxa"/>
            <w:tcBorders>
              <w:tl2br w:val="nil"/>
              <w:tr2bl w:val="nil"/>
            </w:tcBorders>
            <w:shd w:val="clear" w:color="auto" w:fill="auto"/>
            <w:vAlign w:val="center"/>
          </w:tcPr>
          <w:p w14:paraId="55671DE5">
            <w:pPr>
              <w:pStyle w:val="8"/>
              <w:suppressLineNumbers w:val="0"/>
              <w:bidi w:val="0"/>
              <w:spacing w:before="0" w:beforeAutospacing="0" w:after="0" w:afterAutospacing="0"/>
              <w:ind w:left="0" w:right="0"/>
              <w:rPr>
                <w:rFonts w:hint="eastAsia"/>
                <w:snapToGrid w:val="0"/>
                <w:highlight w:val="none"/>
                <w:lang w:val="en-US" w:eastAsia="en-US"/>
              </w:rPr>
            </w:pPr>
            <w:r>
              <w:rPr>
                <w:rFonts w:hint="eastAsia"/>
                <w:snapToGrid w:val="0"/>
                <w:highlight w:val="none"/>
                <w:lang w:val="en-US" w:eastAsia="en-US"/>
              </w:rPr>
              <w:t>间二甲苯</w:t>
            </w:r>
            <w:r>
              <w:rPr>
                <w:rFonts w:hint="default"/>
                <w:snapToGrid w:val="0"/>
                <w:highlight w:val="none"/>
                <w:lang w:val="en-US" w:eastAsia="en-US"/>
              </w:rPr>
              <w:t>+</w:t>
            </w:r>
            <w:r>
              <w:rPr>
                <w:rFonts w:hint="eastAsia"/>
                <w:snapToGrid w:val="0"/>
                <w:highlight w:val="none"/>
                <w:lang w:val="en-US" w:eastAsia="en-US"/>
              </w:rPr>
              <w:t>对二</w:t>
            </w:r>
          </w:p>
          <w:p w14:paraId="4C1AE307">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甲苯</w:t>
            </w:r>
          </w:p>
        </w:tc>
        <w:tc>
          <w:tcPr>
            <w:tcW w:w="1425" w:type="dxa"/>
            <w:tcBorders>
              <w:tl2br w:val="nil"/>
              <w:tr2bl w:val="nil"/>
            </w:tcBorders>
            <w:shd w:val="clear" w:color="auto" w:fill="auto"/>
            <w:vAlign w:val="center"/>
          </w:tcPr>
          <w:p w14:paraId="6F16C547">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108-38-3</w:t>
            </w:r>
            <w:r>
              <w:rPr>
                <w:rFonts w:hint="eastAsia"/>
                <w:snapToGrid w:val="0"/>
                <w:highlight w:val="none"/>
                <w:lang w:val="en-US" w:eastAsia="en-US"/>
              </w:rPr>
              <w:t>，</w:t>
            </w:r>
            <w:r>
              <w:rPr>
                <w:rFonts w:hint="default"/>
                <w:snapToGrid w:val="0"/>
                <w:highlight w:val="none"/>
                <w:lang w:val="en-US" w:eastAsia="en-US"/>
              </w:rPr>
              <w:t>106-42-3</w:t>
            </w:r>
          </w:p>
        </w:tc>
        <w:tc>
          <w:tcPr>
            <w:tcW w:w="1275" w:type="dxa"/>
            <w:tcBorders>
              <w:tl2br w:val="nil"/>
              <w:tr2bl w:val="nil"/>
            </w:tcBorders>
            <w:shd w:val="clear" w:color="auto" w:fill="auto"/>
            <w:vAlign w:val="center"/>
          </w:tcPr>
          <w:p w14:paraId="6ABE02CA">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570</w:t>
            </w:r>
          </w:p>
        </w:tc>
        <w:tc>
          <w:tcPr>
            <w:tcW w:w="986" w:type="dxa"/>
            <w:tcBorders>
              <w:tl2br w:val="nil"/>
              <w:tr2bl w:val="nil"/>
            </w:tcBorders>
            <w:shd w:val="clear" w:color="auto" w:fill="auto"/>
            <w:vAlign w:val="center"/>
          </w:tcPr>
          <w:p w14:paraId="7DEE80E5">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570</w:t>
            </w:r>
          </w:p>
        </w:tc>
      </w:tr>
      <w:tr w14:paraId="01AA8848">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1" w:hRule="atLeast"/>
          <w:jc w:val="center"/>
        </w:trPr>
        <w:tc>
          <w:tcPr>
            <w:tcW w:w="1845" w:type="dxa"/>
            <w:vMerge w:val="continue"/>
            <w:tcBorders>
              <w:tl2br w:val="nil"/>
              <w:tr2bl w:val="nil"/>
            </w:tcBorders>
            <w:shd w:val="clear" w:color="auto" w:fill="auto"/>
            <w:vAlign w:val="top"/>
          </w:tcPr>
          <w:p w14:paraId="64A9E299">
            <w:pPr>
              <w:pStyle w:val="8"/>
              <w:suppressLineNumbers w:val="0"/>
              <w:bidi w:val="0"/>
              <w:spacing w:before="0" w:beforeAutospacing="0" w:after="0" w:afterAutospacing="0"/>
              <w:ind w:left="0" w:right="0"/>
              <w:rPr>
                <w:rFonts w:hint="default"/>
                <w:snapToGrid w:val="0"/>
                <w:highlight w:val="none"/>
                <w:lang w:eastAsia="en-US"/>
              </w:rPr>
            </w:pPr>
          </w:p>
        </w:tc>
        <w:tc>
          <w:tcPr>
            <w:tcW w:w="855" w:type="dxa"/>
            <w:tcBorders>
              <w:tl2br w:val="nil"/>
              <w:tr2bl w:val="nil"/>
            </w:tcBorders>
            <w:shd w:val="clear" w:color="auto" w:fill="auto"/>
            <w:vAlign w:val="center"/>
          </w:tcPr>
          <w:p w14:paraId="3D769D55">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34</w:t>
            </w:r>
          </w:p>
        </w:tc>
        <w:tc>
          <w:tcPr>
            <w:tcW w:w="1920" w:type="dxa"/>
            <w:tcBorders>
              <w:tl2br w:val="nil"/>
              <w:tr2bl w:val="nil"/>
            </w:tcBorders>
            <w:shd w:val="clear" w:color="auto" w:fill="auto"/>
            <w:vAlign w:val="center"/>
          </w:tcPr>
          <w:p w14:paraId="243973DB">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邻二甲苯</w:t>
            </w:r>
          </w:p>
        </w:tc>
        <w:tc>
          <w:tcPr>
            <w:tcW w:w="1425" w:type="dxa"/>
            <w:tcBorders>
              <w:tl2br w:val="nil"/>
              <w:tr2bl w:val="nil"/>
            </w:tcBorders>
            <w:shd w:val="clear" w:color="auto" w:fill="auto"/>
            <w:vAlign w:val="center"/>
          </w:tcPr>
          <w:p w14:paraId="4EE420B1">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95-47-6</w:t>
            </w:r>
          </w:p>
        </w:tc>
        <w:tc>
          <w:tcPr>
            <w:tcW w:w="1275" w:type="dxa"/>
            <w:tcBorders>
              <w:tl2br w:val="nil"/>
              <w:tr2bl w:val="nil"/>
            </w:tcBorders>
            <w:shd w:val="clear" w:color="auto" w:fill="auto"/>
            <w:vAlign w:val="center"/>
          </w:tcPr>
          <w:p w14:paraId="1082DF1A">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640</w:t>
            </w:r>
          </w:p>
        </w:tc>
        <w:tc>
          <w:tcPr>
            <w:tcW w:w="986" w:type="dxa"/>
            <w:tcBorders>
              <w:tl2br w:val="nil"/>
              <w:tr2bl w:val="nil"/>
            </w:tcBorders>
            <w:shd w:val="clear" w:color="auto" w:fill="auto"/>
            <w:vAlign w:val="center"/>
          </w:tcPr>
          <w:p w14:paraId="556BDD50">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640</w:t>
            </w:r>
          </w:p>
        </w:tc>
      </w:tr>
      <w:tr w14:paraId="759B1754">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3" w:hRule="atLeast"/>
          <w:jc w:val="center"/>
        </w:trPr>
        <w:tc>
          <w:tcPr>
            <w:tcW w:w="1845" w:type="dxa"/>
            <w:vMerge w:val="continue"/>
            <w:tcBorders>
              <w:tl2br w:val="nil"/>
              <w:tr2bl w:val="nil"/>
            </w:tcBorders>
            <w:shd w:val="clear" w:color="auto" w:fill="auto"/>
            <w:vAlign w:val="top"/>
          </w:tcPr>
          <w:p w14:paraId="4D5C8D8B">
            <w:pPr>
              <w:pStyle w:val="8"/>
              <w:suppressLineNumbers w:val="0"/>
              <w:bidi w:val="0"/>
              <w:spacing w:before="0" w:beforeAutospacing="0" w:after="0" w:afterAutospacing="0"/>
              <w:ind w:left="0" w:right="0"/>
              <w:rPr>
                <w:rFonts w:hint="default"/>
                <w:snapToGrid w:val="0"/>
                <w:highlight w:val="none"/>
                <w:lang w:eastAsia="en-US"/>
              </w:rPr>
            </w:pPr>
          </w:p>
        </w:tc>
        <w:tc>
          <w:tcPr>
            <w:tcW w:w="6461" w:type="dxa"/>
            <w:gridSpan w:val="5"/>
            <w:tcBorders>
              <w:tl2br w:val="nil"/>
              <w:tr2bl w:val="nil"/>
            </w:tcBorders>
            <w:shd w:val="clear" w:color="auto" w:fill="auto"/>
            <w:vAlign w:val="center"/>
          </w:tcPr>
          <w:p w14:paraId="749FE07E">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半挥发性有机物</w:t>
            </w:r>
          </w:p>
        </w:tc>
      </w:tr>
      <w:tr w14:paraId="439FE3D9">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1" w:hRule="atLeast"/>
          <w:jc w:val="center"/>
        </w:trPr>
        <w:tc>
          <w:tcPr>
            <w:tcW w:w="1845" w:type="dxa"/>
            <w:vMerge w:val="continue"/>
            <w:tcBorders>
              <w:tl2br w:val="nil"/>
              <w:tr2bl w:val="nil"/>
            </w:tcBorders>
            <w:shd w:val="clear" w:color="auto" w:fill="auto"/>
            <w:vAlign w:val="top"/>
          </w:tcPr>
          <w:p w14:paraId="0E90A4B0">
            <w:pPr>
              <w:pStyle w:val="8"/>
              <w:suppressLineNumbers w:val="0"/>
              <w:bidi w:val="0"/>
              <w:spacing w:before="0" w:beforeAutospacing="0" w:after="0" w:afterAutospacing="0"/>
              <w:ind w:left="0" w:right="0"/>
              <w:rPr>
                <w:rFonts w:hint="default"/>
                <w:snapToGrid w:val="0"/>
                <w:highlight w:val="none"/>
                <w:lang w:eastAsia="en-US"/>
              </w:rPr>
            </w:pPr>
          </w:p>
        </w:tc>
        <w:tc>
          <w:tcPr>
            <w:tcW w:w="855" w:type="dxa"/>
            <w:tcBorders>
              <w:tl2br w:val="nil"/>
              <w:tr2bl w:val="nil"/>
            </w:tcBorders>
            <w:shd w:val="clear" w:color="auto" w:fill="auto"/>
            <w:vAlign w:val="center"/>
          </w:tcPr>
          <w:p w14:paraId="2256DE41">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35</w:t>
            </w:r>
          </w:p>
        </w:tc>
        <w:tc>
          <w:tcPr>
            <w:tcW w:w="1920" w:type="dxa"/>
            <w:tcBorders>
              <w:tl2br w:val="nil"/>
              <w:tr2bl w:val="nil"/>
            </w:tcBorders>
            <w:shd w:val="clear" w:color="auto" w:fill="auto"/>
            <w:vAlign w:val="center"/>
          </w:tcPr>
          <w:p w14:paraId="2B926604">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硝基苯</w:t>
            </w:r>
          </w:p>
        </w:tc>
        <w:tc>
          <w:tcPr>
            <w:tcW w:w="1425" w:type="dxa"/>
            <w:tcBorders>
              <w:tl2br w:val="nil"/>
              <w:tr2bl w:val="nil"/>
            </w:tcBorders>
            <w:shd w:val="clear" w:color="auto" w:fill="auto"/>
            <w:vAlign w:val="center"/>
          </w:tcPr>
          <w:p w14:paraId="41896E22">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98-95-3</w:t>
            </w:r>
          </w:p>
        </w:tc>
        <w:tc>
          <w:tcPr>
            <w:tcW w:w="1275" w:type="dxa"/>
            <w:tcBorders>
              <w:tl2br w:val="nil"/>
              <w:tr2bl w:val="nil"/>
            </w:tcBorders>
            <w:shd w:val="clear" w:color="auto" w:fill="auto"/>
            <w:vAlign w:val="center"/>
          </w:tcPr>
          <w:p w14:paraId="4C86E91F">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76</w:t>
            </w:r>
          </w:p>
        </w:tc>
        <w:tc>
          <w:tcPr>
            <w:tcW w:w="986" w:type="dxa"/>
            <w:tcBorders>
              <w:tl2br w:val="nil"/>
              <w:tr2bl w:val="nil"/>
            </w:tcBorders>
            <w:shd w:val="clear" w:color="auto" w:fill="auto"/>
            <w:vAlign w:val="center"/>
          </w:tcPr>
          <w:p w14:paraId="4983110E">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760</w:t>
            </w:r>
          </w:p>
        </w:tc>
      </w:tr>
      <w:tr w14:paraId="1183CF2C">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1" w:hRule="atLeast"/>
          <w:jc w:val="center"/>
        </w:trPr>
        <w:tc>
          <w:tcPr>
            <w:tcW w:w="1845" w:type="dxa"/>
            <w:vMerge w:val="continue"/>
            <w:tcBorders>
              <w:tl2br w:val="nil"/>
              <w:tr2bl w:val="nil"/>
            </w:tcBorders>
            <w:shd w:val="clear" w:color="auto" w:fill="auto"/>
            <w:vAlign w:val="top"/>
          </w:tcPr>
          <w:p w14:paraId="4AEBF54C">
            <w:pPr>
              <w:pStyle w:val="8"/>
              <w:suppressLineNumbers w:val="0"/>
              <w:bidi w:val="0"/>
              <w:spacing w:before="0" w:beforeAutospacing="0" w:after="0" w:afterAutospacing="0"/>
              <w:ind w:left="0" w:right="0"/>
              <w:rPr>
                <w:rFonts w:hint="default"/>
                <w:snapToGrid w:val="0"/>
                <w:highlight w:val="none"/>
                <w:lang w:eastAsia="en-US"/>
              </w:rPr>
            </w:pPr>
          </w:p>
        </w:tc>
        <w:tc>
          <w:tcPr>
            <w:tcW w:w="855" w:type="dxa"/>
            <w:tcBorders>
              <w:tl2br w:val="nil"/>
              <w:tr2bl w:val="nil"/>
            </w:tcBorders>
            <w:shd w:val="clear" w:color="auto" w:fill="auto"/>
            <w:vAlign w:val="center"/>
          </w:tcPr>
          <w:p w14:paraId="6F57929D">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36</w:t>
            </w:r>
          </w:p>
        </w:tc>
        <w:tc>
          <w:tcPr>
            <w:tcW w:w="1920" w:type="dxa"/>
            <w:tcBorders>
              <w:tl2br w:val="nil"/>
              <w:tr2bl w:val="nil"/>
            </w:tcBorders>
            <w:shd w:val="clear" w:color="auto" w:fill="auto"/>
            <w:vAlign w:val="center"/>
          </w:tcPr>
          <w:p w14:paraId="141EBF23">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苯胺</w:t>
            </w:r>
          </w:p>
        </w:tc>
        <w:tc>
          <w:tcPr>
            <w:tcW w:w="1425" w:type="dxa"/>
            <w:tcBorders>
              <w:tl2br w:val="nil"/>
              <w:tr2bl w:val="nil"/>
            </w:tcBorders>
            <w:shd w:val="clear" w:color="auto" w:fill="auto"/>
            <w:vAlign w:val="center"/>
          </w:tcPr>
          <w:p w14:paraId="5609B050">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62-53-3</w:t>
            </w:r>
          </w:p>
        </w:tc>
        <w:tc>
          <w:tcPr>
            <w:tcW w:w="1275" w:type="dxa"/>
            <w:tcBorders>
              <w:tl2br w:val="nil"/>
              <w:tr2bl w:val="nil"/>
            </w:tcBorders>
            <w:shd w:val="clear" w:color="auto" w:fill="auto"/>
            <w:vAlign w:val="center"/>
          </w:tcPr>
          <w:p w14:paraId="07A43EA4">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260</w:t>
            </w:r>
          </w:p>
        </w:tc>
        <w:tc>
          <w:tcPr>
            <w:tcW w:w="986" w:type="dxa"/>
            <w:tcBorders>
              <w:tl2br w:val="nil"/>
              <w:tr2bl w:val="nil"/>
            </w:tcBorders>
            <w:shd w:val="clear" w:color="auto" w:fill="auto"/>
            <w:vAlign w:val="center"/>
          </w:tcPr>
          <w:p w14:paraId="475587AB">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663</w:t>
            </w:r>
          </w:p>
        </w:tc>
      </w:tr>
      <w:tr w14:paraId="08D296B6">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1" w:hRule="atLeast"/>
          <w:jc w:val="center"/>
        </w:trPr>
        <w:tc>
          <w:tcPr>
            <w:tcW w:w="1845" w:type="dxa"/>
            <w:vMerge w:val="continue"/>
            <w:tcBorders>
              <w:tl2br w:val="nil"/>
              <w:tr2bl w:val="nil"/>
            </w:tcBorders>
            <w:shd w:val="clear" w:color="auto" w:fill="auto"/>
            <w:vAlign w:val="top"/>
          </w:tcPr>
          <w:p w14:paraId="208CD845">
            <w:pPr>
              <w:pStyle w:val="8"/>
              <w:suppressLineNumbers w:val="0"/>
              <w:bidi w:val="0"/>
              <w:spacing w:before="0" w:beforeAutospacing="0" w:after="0" w:afterAutospacing="0"/>
              <w:ind w:left="0" w:right="0"/>
              <w:rPr>
                <w:rFonts w:hint="default"/>
                <w:snapToGrid w:val="0"/>
                <w:highlight w:val="none"/>
                <w:lang w:eastAsia="en-US"/>
              </w:rPr>
            </w:pPr>
          </w:p>
        </w:tc>
        <w:tc>
          <w:tcPr>
            <w:tcW w:w="855" w:type="dxa"/>
            <w:tcBorders>
              <w:tl2br w:val="nil"/>
              <w:tr2bl w:val="nil"/>
            </w:tcBorders>
            <w:shd w:val="clear" w:color="auto" w:fill="auto"/>
            <w:vAlign w:val="center"/>
          </w:tcPr>
          <w:p w14:paraId="03557D16">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37</w:t>
            </w:r>
          </w:p>
        </w:tc>
        <w:tc>
          <w:tcPr>
            <w:tcW w:w="1920" w:type="dxa"/>
            <w:tcBorders>
              <w:tl2br w:val="nil"/>
              <w:tr2bl w:val="nil"/>
            </w:tcBorders>
            <w:shd w:val="clear" w:color="auto" w:fill="auto"/>
            <w:vAlign w:val="center"/>
          </w:tcPr>
          <w:p w14:paraId="18C2169E">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2-</w:t>
            </w:r>
            <w:r>
              <w:rPr>
                <w:rFonts w:hint="eastAsia"/>
                <w:snapToGrid w:val="0"/>
                <w:highlight w:val="none"/>
                <w:lang w:val="en-US" w:eastAsia="en-US"/>
              </w:rPr>
              <w:t>氯酚</w:t>
            </w:r>
          </w:p>
        </w:tc>
        <w:tc>
          <w:tcPr>
            <w:tcW w:w="1425" w:type="dxa"/>
            <w:tcBorders>
              <w:tl2br w:val="nil"/>
              <w:tr2bl w:val="nil"/>
            </w:tcBorders>
            <w:shd w:val="clear" w:color="auto" w:fill="auto"/>
            <w:vAlign w:val="center"/>
          </w:tcPr>
          <w:p w14:paraId="269916F8">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95-57-8</w:t>
            </w:r>
          </w:p>
        </w:tc>
        <w:tc>
          <w:tcPr>
            <w:tcW w:w="1275" w:type="dxa"/>
            <w:tcBorders>
              <w:tl2br w:val="nil"/>
              <w:tr2bl w:val="nil"/>
            </w:tcBorders>
            <w:shd w:val="clear" w:color="auto" w:fill="auto"/>
            <w:vAlign w:val="center"/>
          </w:tcPr>
          <w:p w14:paraId="0F963DE8">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2256</w:t>
            </w:r>
          </w:p>
        </w:tc>
        <w:tc>
          <w:tcPr>
            <w:tcW w:w="986" w:type="dxa"/>
            <w:tcBorders>
              <w:tl2br w:val="nil"/>
              <w:tr2bl w:val="nil"/>
            </w:tcBorders>
            <w:shd w:val="clear" w:color="auto" w:fill="auto"/>
            <w:vAlign w:val="center"/>
          </w:tcPr>
          <w:p w14:paraId="20076800">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4500</w:t>
            </w:r>
          </w:p>
        </w:tc>
      </w:tr>
      <w:tr w14:paraId="3F0B3650">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1" w:hRule="atLeast"/>
          <w:jc w:val="center"/>
        </w:trPr>
        <w:tc>
          <w:tcPr>
            <w:tcW w:w="1845" w:type="dxa"/>
            <w:vMerge w:val="continue"/>
            <w:tcBorders>
              <w:tl2br w:val="nil"/>
              <w:tr2bl w:val="nil"/>
            </w:tcBorders>
            <w:shd w:val="clear" w:color="auto" w:fill="auto"/>
            <w:vAlign w:val="top"/>
          </w:tcPr>
          <w:p w14:paraId="1B986813">
            <w:pPr>
              <w:pStyle w:val="8"/>
              <w:suppressLineNumbers w:val="0"/>
              <w:bidi w:val="0"/>
              <w:spacing w:before="0" w:beforeAutospacing="0" w:after="0" w:afterAutospacing="0"/>
              <w:ind w:left="0" w:right="0"/>
              <w:rPr>
                <w:rFonts w:hint="default"/>
                <w:snapToGrid w:val="0"/>
                <w:highlight w:val="none"/>
                <w:lang w:eastAsia="en-US"/>
              </w:rPr>
            </w:pPr>
          </w:p>
        </w:tc>
        <w:tc>
          <w:tcPr>
            <w:tcW w:w="855" w:type="dxa"/>
            <w:tcBorders>
              <w:tl2br w:val="nil"/>
              <w:tr2bl w:val="nil"/>
            </w:tcBorders>
            <w:shd w:val="clear" w:color="auto" w:fill="auto"/>
            <w:vAlign w:val="center"/>
          </w:tcPr>
          <w:p w14:paraId="5F741C5A">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38</w:t>
            </w:r>
          </w:p>
        </w:tc>
        <w:tc>
          <w:tcPr>
            <w:tcW w:w="1920" w:type="dxa"/>
            <w:tcBorders>
              <w:tl2br w:val="nil"/>
              <w:tr2bl w:val="nil"/>
            </w:tcBorders>
            <w:shd w:val="clear" w:color="auto" w:fill="auto"/>
            <w:vAlign w:val="center"/>
          </w:tcPr>
          <w:p w14:paraId="5B310A0B">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苯并</w:t>
            </w:r>
            <w:r>
              <w:rPr>
                <w:rFonts w:hint="default"/>
                <w:snapToGrid w:val="0"/>
                <w:highlight w:val="none"/>
                <w:lang w:val="en-US" w:eastAsia="en-US"/>
              </w:rPr>
              <w:t>[a]</w:t>
            </w:r>
            <w:r>
              <w:rPr>
                <w:rFonts w:hint="eastAsia"/>
                <w:snapToGrid w:val="0"/>
                <w:highlight w:val="none"/>
                <w:lang w:val="en-US" w:eastAsia="en-US"/>
              </w:rPr>
              <w:t>蒽</w:t>
            </w:r>
          </w:p>
        </w:tc>
        <w:tc>
          <w:tcPr>
            <w:tcW w:w="1425" w:type="dxa"/>
            <w:tcBorders>
              <w:tl2br w:val="nil"/>
              <w:tr2bl w:val="nil"/>
            </w:tcBorders>
            <w:shd w:val="clear" w:color="auto" w:fill="auto"/>
            <w:vAlign w:val="center"/>
          </w:tcPr>
          <w:p w14:paraId="00F4357E">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56-55-3</w:t>
            </w:r>
          </w:p>
        </w:tc>
        <w:tc>
          <w:tcPr>
            <w:tcW w:w="1275" w:type="dxa"/>
            <w:tcBorders>
              <w:tl2br w:val="nil"/>
              <w:tr2bl w:val="nil"/>
            </w:tcBorders>
            <w:shd w:val="clear" w:color="auto" w:fill="auto"/>
            <w:vAlign w:val="center"/>
          </w:tcPr>
          <w:p w14:paraId="67A41487">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15</w:t>
            </w:r>
          </w:p>
        </w:tc>
        <w:tc>
          <w:tcPr>
            <w:tcW w:w="986" w:type="dxa"/>
            <w:tcBorders>
              <w:tl2br w:val="nil"/>
              <w:tr2bl w:val="nil"/>
            </w:tcBorders>
            <w:shd w:val="clear" w:color="auto" w:fill="auto"/>
            <w:vAlign w:val="center"/>
          </w:tcPr>
          <w:p w14:paraId="257BFF76">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151</w:t>
            </w:r>
          </w:p>
        </w:tc>
      </w:tr>
      <w:tr w14:paraId="0C789A96">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1" w:hRule="atLeast"/>
          <w:jc w:val="center"/>
        </w:trPr>
        <w:tc>
          <w:tcPr>
            <w:tcW w:w="1845" w:type="dxa"/>
            <w:vMerge w:val="continue"/>
            <w:tcBorders>
              <w:tl2br w:val="nil"/>
              <w:tr2bl w:val="nil"/>
            </w:tcBorders>
            <w:shd w:val="clear" w:color="auto" w:fill="auto"/>
            <w:vAlign w:val="top"/>
          </w:tcPr>
          <w:p w14:paraId="56586D54">
            <w:pPr>
              <w:pStyle w:val="8"/>
              <w:suppressLineNumbers w:val="0"/>
              <w:bidi w:val="0"/>
              <w:spacing w:before="0" w:beforeAutospacing="0" w:after="0" w:afterAutospacing="0"/>
              <w:ind w:left="0" w:right="0"/>
              <w:rPr>
                <w:rFonts w:hint="default"/>
                <w:snapToGrid w:val="0"/>
                <w:highlight w:val="none"/>
                <w:lang w:eastAsia="en-US"/>
              </w:rPr>
            </w:pPr>
          </w:p>
        </w:tc>
        <w:tc>
          <w:tcPr>
            <w:tcW w:w="855" w:type="dxa"/>
            <w:tcBorders>
              <w:tl2br w:val="nil"/>
              <w:tr2bl w:val="nil"/>
            </w:tcBorders>
            <w:shd w:val="clear" w:color="auto" w:fill="auto"/>
            <w:vAlign w:val="center"/>
          </w:tcPr>
          <w:p w14:paraId="5FB38148">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39</w:t>
            </w:r>
          </w:p>
        </w:tc>
        <w:tc>
          <w:tcPr>
            <w:tcW w:w="1920" w:type="dxa"/>
            <w:tcBorders>
              <w:tl2br w:val="nil"/>
              <w:tr2bl w:val="nil"/>
            </w:tcBorders>
            <w:shd w:val="clear" w:color="auto" w:fill="auto"/>
            <w:vAlign w:val="center"/>
          </w:tcPr>
          <w:p w14:paraId="72B5A159">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苯并</w:t>
            </w:r>
            <w:r>
              <w:rPr>
                <w:rFonts w:hint="default"/>
                <w:snapToGrid w:val="0"/>
                <w:highlight w:val="none"/>
                <w:lang w:val="en-US" w:eastAsia="en-US"/>
              </w:rPr>
              <w:t>[a]</w:t>
            </w:r>
            <w:r>
              <w:rPr>
                <w:rFonts w:hint="eastAsia"/>
                <w:snapToGrid w:val="0"/>
                <w:highlight w:val="none"/>
                <w:lang w:val="en-US" w:eastAsia="en-US"/>
              </w:rPr>
              <w:t>芘</w:t>
            </w:r>
          </w:p>
        </w:tc>
        <w:tc>
          <w:tcPr>
            <w:tcW w:w="1425" w:type="dxa"/>
            <w:tcBorders>
              <w:tl2br w:val="nil"/>
              <w:tr2bl w:val="nil"/>
            </w:tcBorders>
            <w:shd w:val="clear" w:color="auto" w:fill="auto"/>
            <w:vAlign w:val="center"/>
          </w:tcPr>
          <w:p w14:paraId="2390E61D">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50-32-8</w:t>
            </w:r>
          </w:p>
        </w:tc>
        <w:tc>
          <w:tcPr>
            <w:tcW w:w="1275" w:type="dxa"/>
            <w:tcBorders>
              <w:tl2br w:val="nil"/>
              <w:tr2bl w:val="nil"/>
            </w:tcBorders>
            <w:shd w:val="clear" w:color="auto" w:fill="auto"/>
            <w:vAlign w:val="center"/>
          </w:tcPr>
          <w:p w14:paraId="7A1D349E">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1.5</w:t>
            </w:r>
          </w:p>
        </w:tc>
        <w:tc>
          <w:tcPr>
            <w:tcW w:w="986" w:type="dxa"/>
            <w:tcBorders>
              <w:tl2br w:val="nil"/>
              <w:tr2bl w:val="nil"/>
            </w:tcBorders>
            <w:shd w:val="clear" w:color="auto" w:fill="auto"/>
            <w:vAlign w:val="center"/>
          </w:tcPr>
          <w:p w14:paraId="30DA7F19">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15</w:t>
            </w:r>
          </w:p>
        </w:tc>
      </w:tr>
      <w:tr w14:paraId="1C46C70E">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4" w:hRule="atLeast"/>
          <w:jc w:val="center"/>
        </w:trPr>
        <w:tc>
          <w:tcPr>
            <w:tcW w:w="1845" w:type="dxa"/>
            <w:vMerge w:val="continue"/>
            <w:tcBorders>
              <w:tl2br w:val="nil"/>
              <w:tr2bl w:val="nil"/>
            </w:tcBorders>
            <w:shd w:val="clear" w:color="auto" w:fill="auto"/>
            <w:vAlign w:val="top"/>
          </w:tcPr>
          <w:p w14:paraId="6F3E247D">
            <w:pPr>
              <w:pStyle w:val="8"/>
              <w:suppressLineNumbers w:val="0"/>
              <w:bidi w:val="0"/>
              <w:spacing w:before="0" w:beforeAutospacing="0" w:after="0" w:afterAutospacing="0"/>
              <w:ind w:left="0" w:right="0"/>
              <w:rPr>
                <w:rFonts w:hint="default"/>
                <w:snapToGrid w:val="0"/>
                <w:highlight w:val="none"/>
                <w:lang w:eastAsia="en-US"/>
              </w:rPr>
            </w:pPr>
          </w:p>
        </w:tc>
        <w:tc>
          <w:tcPr>
            <w:tcW w:w="855" w:type="dxa"/>
            <w:tcBorders>
              <w:tl2br w:val="nil"/>
              <w:tr2bl w:val="nil"/>
            </w:tcBorders>
            <w:shd w:val="clear" w:color="auto" w:fill="auto"/>
            <w:vAlign w:val="center"/>
          </w:tcPr>
          <w:p w14:paraId="0D6509CC">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40</w:t>
            </w:r>
          </w:p>
        </w:tc>
        <w:tc>
          <w:tcPr>
            <w:tcW w:w="1920" w:type="dxa"/>
            <w:tcBorders>
              <w:tl2br w:val="nil"/>
              <w:tr2bl w:val="nil"/>
            </w:tcBorders>
            <w:shd w:val="clear" w:color="auto" w:fill="auto"/>
            <w:vAlign w:val="center"/>
          </w:tcPr>
          <w:p w14:paraId="01FDC2F4">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苯并</w:t>
            </w:r>
            <w:r>
              <w:rPr>
                <w:rFonts w:hint="default"/>
                <w:snapToGrid w:val="0"/>
                <w:highlight w:val="none"/>
                <w:lang w:val="en-US" w:eastAsia="en-US"/>
              </w:rPr>
              <w:t>[b]</w:t>
            </w:r>
            <w:r>
              <w:rPr>
                <w:rFonts w:hint="eastAsia"/>
                <w:snapToGrid w:val="0"/>
                <w:highlight w:val="none"/>
                <w:lang w:val="en-US" w:eastAsia="en-US"/>
              </w:rPr>
              <w:t>荧蒽</w:t>
            </w:r>
          </w:p>
        </w:tc>
        <w:tc>
          <w:tcPr>
            <w:tcW w:w="1425" w:type="dxa"/>
            <w:tcBorders>
              <w:tl2br w:val="nil"/>
              <w:tr2bl w:val="nil"/>
            </w:tcBorders>
            <w:shd w:val="clear" w:color="auto" w:fill="auto"/>
            <w:vAlign w:val="center"/>
          </w:tcPr>
          <w:p w14:paraId="7A0FBC14">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205-99-2</w:t>
            </w:r>
          </w:p>
        </w:tc>
        <w:tc>
          <w:tcPr>
            <w:tcW w:w="1275" w:type="dxa"/>
            <w:tcBorders>
              <w:tl2br w:val="nil"/>
              <w:tr2bl w:val="nil"/>
            </w:tcBorders>
            <w:shd w:val="clear" w:color="auto" w:fill="auto"/>
            <w:vAlign w:val="center"/>
          </w:tcPr>
          <w:p w14:paraId="32AD7142">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15</w:t>
            </w:r>
          </w:p>
        </w:tc>
        <w:tc>
          <w:tcPr>
            <w:tcW w:w="986" w:type="dxa"/>
            <w:tcBorders>
              <w:tl2br w:val="nil"/>
              <w:tr2bl w:val="nil"/>
            </w:tcBorders>
            <w:shd w:val="clear" w:color="auto" w:fill="auto"/>
            <w:vAlign w:val="center"/>
          </w:tcPr>
          <w:p w14:paraId="2DAD11EC">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151</w:t>
            </w:r>
          </w:p>
        </w:tc>
      </w:tr>
      <w:tr w14:paraId="59DF75FE">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2" w:hRule="atLeast"/>
          <w:jc w:val="center"/>
        </w:trPr>
        <w:tc>
          <w:tcPr>
            <w:tcW w:w="1845" w:type="dxa"/>
            <w:vMerge w:val="continue"/>
            <w:tcBorders>
              <w:tl2br w:val="nil"/>
              <w:tr2bl w:val="nil"/>
            </w:tcBorders>
            <w:shd w:val="clear" w:color="auto" w:fill="auto"/>
            <w:vAlign w:val="top"/>
          </w:tcPr>
          <w:p w14:paraId="67B57BA1">
            <w:pPr>
              <w:pStyle w:val="8"/>
              <w:suppressLineNumbers w:val="0"/>
              <w:bidi w:val="0"/>
              <w:spacing w:before="0" w:beforeAutospacing="0" w:after="0" w:afterAutospacing="0"/>
              <w:ind w:left="0" w:right="0"/>
              <w:rPr>
                <w:rFonts w:hint="default"/>
                <w:snapToGrid w:val="0"/>
                <w:highlight w:val="none"/>
                <w:lang w:eastAsia="en-US"/>
              </w:rPr>
            </w:pPr>
          </w:p>
        </w:tc>
        <w:tc>
          <w:tcPr>
            <w:tcW w:w="855" w:type="dxa"/>
            <w:tcBorders>
              <w:tl2br w:val="nil"/>
              <w:tr2bl w:val="nil"/>
            </w:tcBorders>
            <w:shd w:val="clear" w:color="auto" w:fill="auto"/>
            <w:vAlign w:val="center"/>
          </w:tcPr>
          <w:p w14:paraId="6D1DA514">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41</w:t>
            </w:r>
          </w:p>
        </w:tc>
        <w:tc>
          <w:tcPr>
            <w:tcW w:w="1920" w:type="dxa"/>
            <w:tcBorders>
              <w:tl2br w:val="nil"/>
              <w:tr2bl w:val="nil"/>
            </w:tcBorders>
            <w:shd w:val="clear" w:color="auto" w:fill="auto"/>
            <w:vAlign w:val="center"/>
          </w:tcPr>
          <w:p w14:paraId="359C7F34">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苯并</w:t>
            </w:r>
            <w:r>
              <w:rPr>
                <w:rFonts w:hint="default"/>
                <w:snapToGrid w:val="0"/>
                <w:highlight w:val="none"/>
                <w:lang w:val="en-US" w:eastAsia="en-US"/>
              </w:rPr>
              <w:t>[k]</w:t>
            </w:r>
            <w:r>
              <w:rPr>
                <w:rFonts w:hint="eastAsia"/>
                <w:snapToGrid w:val="0"/>
                <w:highlight w:val="none"/>
                <w:lang w:val="en-US" w:eastAsia="en-US"/>
              </w:rPr>
              <w:t>荧蒽</w:t>
            </w:r>
          </w:p>
        </w:tc>
        <w:tc>
          <w:tcPr>
            <w:tcW w:w="1425" w:type="dxa"/>
            <w:tcBorders>
              <w:tl2br w:val="nil"/>
              <w:tr2bl w:val="nil"/>
            </w:tcBorders>
            <w:shd w:val="clear" w:color="auto" w:fill="auto"/>
            <w:vAlign w:val="center"/>
          </w:tcPr>
          <w:p w14:paraId="557FB56C">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207-08-9</w:t>
            </w:r>
          </w:p>
        </w:tc>
        <w:tc>
          <w:tcPr>
            <w:tcW w:w="1275" w:type="dxa"/>
            <w:tcBorders>
              <w:tl2br w:val="nil"/>
              <w:tr2bl w:val="nil"/>
            </w:tcBorders>
            <w:shd w:val="clear" w:color="auto" w:fill="auto"/>
            <w:vAlign w:val="center"/>
          </w:tcPr>
          <w:p w14:paraId="726006C2">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151</w:t>
            </w:r>
          </w:p>
        </w:tc>
        <w:tc>
          <w:tcPr>
            <w:tcW w:w="986" w:type="dxa"/>
            <w:tcBorders>
              <w:tl2br w:val="nil"/>
              <w:tr2bl w:val="nil"/>
            </w:tcBorders>
            <w:shd w:val="clear" w:color="auto" w:fill="auto"/>
            <w:vAlign w:val="center"/>
          </w:tcPr>
          <w:p w14:paraId="74A87EE5">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1500</w:t>
            </w:r>
          </w:p>
        </w:tc>
      </w:tr>
      <w:tr w14:paraId="29A060C2">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1" w:hRule="atLeast"/>
          <w:jc w:val="center"/>
        </w:trPr>
        <w:tc>
          <w:tcPr>
            <w:tcW w:w="1845" w:type="dxa"/>
            <w:vMerge w:val="continue"/>
            <w:tcBorders>
              <w:tl2br w:val="nil"/>
              <w:tr2bl w:val="nil"/>
            </w:tcBorders>
            <w:shd w:val="clear" w:color="auto" w:fill="auto"/>
            <w:vAlign w:val="top"/>
          </w:tcPr>
          <w:p w14:paraId="2F031324">
            <w:pPr>
              <w:pStyle w:val="8"/>
              <w:suppressLineNumbers w:val="0"/>
              <w:bidi w:val="0"/>
              <w:spacing w:before="0" w:beforeAutospacing="0" w:after="0" w:afterAutospacing="0"/>
              <w:ind w:left="0" w:right="0"/>
              <w:rPr>
                <w:rFonts w:hint="default"/>
                <w:snapToGrid w:val="0"/>
                <w:highlight w:val="none"/>
                <w:lang w:eastAsia="en-US"/>
              </w:rPr>
            </w:pPr>
          </w:p>
        </w:tc>
        <w:tc>
          <w:tcPr>
            <w:tcW w:w="855" w:type="dxa"/>
            <w:tcBorders>
              <w:tl2br w:val="nil"/>
              <w:tr2bl w:val="nil"/>
            </w:tcBorders>
            <w:shd w:val="clear" w:color="auto" w:fill="auto"/>
            <w:vAlign w:val="center"/>
          </w:tcPr>
          <w:p w14:paraId="32644CD6">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42</w:t>
            </w:r>
          </w:p>
        </w:tc>
        <w:tc>
          <w:tcPr>
            <w:tcW w:w="1920" w:type="dxa"/>
            <w:tcBorders>
              <w:tl2br w:val="nil"/>
              <w:tr2bl w:val="nil"/>
            </w:tcBorders>
            <w:shd w:val="clear" w:color="auto" w:fill="auto"/>
            <w:vAlign w:val="center"/>
          </w:tcPr>
          <w:p w14:paraId="0F79D389">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䓛</w:t>
            </w:r>
          </w:p>
        </w:tc>
        <w:tc>
          <w:tcPr>
            <w:tcW w:w="1425" w:type="dxa"/>
            <w:tcBorders>
              <w:tl2br w:val="nil"/>
              <w:tr2bl w:val="nil"/>
            </w:tcBorders>
            <w:shd w:val="clear" w:color="auto" w:fill="auto"/>
            <w:vAlign w:val="center"/>
          </w:tcPr>
          <w:p w14:paraId="6936BA1C">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218-01-9</w:t>
            </w:r>
          </w:p>
        </w:tc>
        <w:tc>
          <w:tcPr>
            <w:tcW w:w="1275" w:type="dxa"/>
            <w:tcBorders>
              <w:tl2br w:val="nil"/>
              <w:tr2bl w:val="nil"/>
            </w:tcBorders>
            <w:shd w:val="clear" w:color="auto" w:fill="auto"/>
            <w:vAlign w:val="center"/>
          </w:tcPr>
          <w:p w14:paraId="590EA91D">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1293</w:t>
            </w:r>
          </w:p>
        </w:tc>
        <w:tc>
          <w:tcPr>
            <w:tcW w:w="986" w:type="dxa"/>
            <w:tcBorders>
              <w:tl2br w:val="nil"/>
              <w:tr2bl w:val="nil"/>
            </w:tcBorders>
            <w:shd w:val="clear" w:color="auto" w:fill="auto"/>
            <w:vAlign w:val="center"/>
          </w:tcPr>
          <w:p w14:paraId="69F82172">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12900</w:t>
            </w:r>
          </w:p>
        </w:tc>
      </w:tr>
      <w:tr w14:paraId="1FDA8D42">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1" w:hRule="atLeast"/>
          <w:jc w:val="center"/>
        </w:trPr>
        <w:tc>
          <w:tcPr>
            <w:tcW w:w="1845" w:type="dxa"/>
            <w:vMerge w:val="continue"/>
            <w:tcBorders>
              <w:tl2br w:val="nil"/>
              <w:tr2bl w:val="nil"/>
            </w:tcBorders>
            <w:shd w:val="clear" w:color="auto" w:fill="auto"/>
            <w:vAlign w:val="top"/>
          </w:tcPr>
          <w:p w14:paraId="2792E470">
            <w:pPr>
              <w:pStyle w:val="8"/>
              <w:suppressLineNumbers w:val="0"/>
              <w:bidi w:val="0"/>
              <w:spacing w:before="0" w:beforeAutospacing="0" w:after="0" w:afterAutospacing="0"/>
              <w:ind w:left="0" w:right="0"/>
              <w:rPr>
                <w:rFonts w:hint="default"/>
                <w:snapToGrid w:val="0"/>
                <w:highlight w:val="none"/>
                <w:lang w:eastAsia="en-US"/>
              </w:rPr>
            </w:pPr>
          </w:p>
        </w:tc>
        <w:tc>
          <w:tcPr>
            <w:tcW w:w="855" w:type="dxa"/>
            <w:tcBorders>
              <w:tl2br w:val="nil"/>
              <w:tr2bl w:val="nil"/>
            </w:tcBorders>
            <w:shd w:val="clear" w:color="auto" w:fill="auto"/>
            <w:vAlign w:val="center"/>
          </w:tcPr>
          <w:p w14:paraId="69EF4122">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43</w:t>
            </w:r>
          </w:p>
        </w:tc>
        <w:tc>
          <w:tcPr>
            <w:tcW w:w="1920" w:type="dxa"/>
            <w:tcBorders>
              <w:tl2br w:val="nil"/>
              <w:tr2bl w:val="nil"/>
            </w:tcBorders>
            <w:shd w:val="clear" w:color="auto" w:fill="auto"/>
            <w:vAlign w:val="center"/>
          </w:tcPr>
          <w:p w14:paraId="03568133">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二苯并</w:t>
            </w:r>
            <w:r>
              <w:rPr>
                <w:rFonts w:hint="default"/>
                <w:snapToGrid w:val="0"/>
                <w:highlight w:val="none"/>
                <w:lang w:val="en-US" w:eastAsia="en-US"/>
              </w:rPr>
              <w:t>[a</w:t>
            </w:r>
            <w:r>
              <w:rPr>
                <w:rFonts w:hint="eastAsia"/>
                <w:snapToGrid w:val="0"/>
                <w:highlight w:val="none"/>
                <w:lang w:val="en-US" w:eastAsia="zh-CN"/>
              </w:rPr>
              <w:t>，</w:t>
            </w:r>
            <w:r>
              <w:rPr>
                <w:rFonts w:hint="default"/>
                <w:snapToGrid w:val="0"/>
                <w:highlight w:val="none"/>
                <w:lang w:val="en-US" w:eastAsia="en-US"/>
              </w:rPr>
              <w:t>h]</w:t>
            </w:r>
            <w:r>
              <w:rPr>
                <w:rFonts w:hint="eastAsia"/>
                <w:snapToGrid w:val="0"/>
                <w:highlight w:val="none"/>
                <w:lang w:val="en-US" w:eastAsia="en-US"/>
              </w:rPr>
              <w:t>蒽</w:t>
            </w:r>
          </w:p>
        </w:tc>
        <w:tc>
          <w:tcPr>
            <w:tcW w:w="1425" w:type="dxa"/>
            <w:tcBorders>
              <w:tl2br w:val="nil"/>
              <w:tr2bl w:val="nil"/>
            </w:tcBorders>
            <w:shd w:val="clear" w:color="auto" w:fill="auto"/>
            <w:vAlign w:val="center"/>
          </w:tcPr>
          <w:p w14:paraId="2797E3FD">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53-70-3</w:t>
            </w:r>
          </w:p>
        </w:tc>
        <w:tc>
          <w:tcPr>
            <w:tcW w:w="1275" w:type="dxa"/>
            <w:tcBorders>
              <w:tl2br w:val="nil"/>
              <w:tr2bl w:val="nil"/>
            </w:tcBorders>
            <w:shd w:val="clear" w:color="auto" w:fill="auto"/>
            <w:vAlign w:val="center"/>
          </w:tcPr>
          <w:p w14:paraId="713AA5C4">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1.5</w:t>
            </w:r>
          </w:p>
        </w:tc>
        <w:tc>
          <w:tcPr>
            <w:tcW w:w="986" w:type="dxa"/>
            <w:tcBorders>
              <w:tl2br w:val="nil"/>
              <w:tr2bl w:val="nil"/>
            </w:tcBorders>
            <w:shd w:val="clear" w:color="auto" w:fill="auto"/>
            <w:vAlign w:val="center"/>
          </w:tcPr>
          <w:p w14:paraId="01E756C1">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15</w:t>
            </w:r>
          </w:p>
        </w:tc>
      </w:tr>
      <w:tr w14:paraId="5F45CC2A">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1" w:hRule="atLeast"/>
          <w:jc w:val="center"/>
        </w:trPr>
        <w:tc>
          <w:tcPr>
            <w:tcW w:w="1845" w:type="dxa"/>
            <w:vMerge w:val="continue"/>
            <w:tcBorders>
              <w:tl2br w:val="nil"/>
              <w:tr2bl w:val="nil"/>
            </w:tcBorders>
            <w:shd w:val="clear" w:color="auto" w:fill="auto"/>
            <w:vAlign w:val="top"/>
          </w:tcPr>
          <w:p w14:paraId="7C830002">
            <w:pPr>
              <w:pStyle w:val="8"/>
              <w:suppressLineNumbers w:val="0"/>
              <w:bidi w:val="0"/>
              <w:spacing w:before="0" w:beforeAutospacing="0" w:after="0" w:afterAutospacing="0"/>
              <w:ind w:left="0" w:right="0"/>
              <w:rPr>
                <w:rFonts w:hint="default"/>
                <w:snapToGrid w:val="0"/>
                <w:highlight w:val="none"/>
                <w:lang w:eastAsia="en-US"/>
              </w:rPr>
            </w:pPr>
          </w:p>
        </w:tc>
        <w:tc>
          <w:tcPr>
            <w:tcW w:w="855" w:type="dxa"/>
            <w:tcBorders>
              <w:tl2br w:val="nil"/>
              <w:tr2bl w:val="nil"/>
            </w:tcBorders>
            <w:shd w:val="clear" w:color="auto" w:fill="auto"/>
            <w:vAlign w:val="center"/>
          </w:tcPr>
          <w:p w14:paraId="55CB9301">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44</w:t>
            </w:r>
          </w:p>
        </w:tc>
        <w:tc>
          <w:tcPr>
            <w:tcW w:w="1920" w:type="dxa"/>
            <w:tcBorders>
              <w:tl2br w:val="nil"/>
              <w:tr2bl w:val="nil"/>
            </w:tcBorders>
            <w:shd w:val="clear" w:color="auto" w:fill="auto"/>
            <w:vAlign w:val="center"/>
          </w:tcPr>
          <w:p w14:paraId="015896B2">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茚并</w:t>
            </w:r>
            <w:r>
              <w:rPr>
                <w:rFonts w:hint="default"/>
                <w:snapToGrid w:val="0"/>
                <w:highlight w:val="none"/>
                <w:lang w:val="en-US" w:eastAsia="en-US"/>
              </w:rPr>
              <w:t>[1</w:t>
            </w:r>
            <w:r>
              <w:rPr>
                <w:rFonts w:hint="eastAsia"/>
                <w:snapToGrid w:val="0"/>
                <w:highlight w:val="none"/>
                <w:lang w:val="en-US" w:eastAsia="zh-CN"/>
              </w:rPr>
              <w:t>，</w:t>
            </w:r>
            <w:r>
              <w:rPr>
                <w:rFonts w:hint="default"/>
                <w:snapToGrid w:val="0"/>
                <w:highlight w:val="none"/>
                <w:lang w:val="en-US" w:eastAsia="en-US"/>
              </w:rPr>
              <w:t>2</w:t>
            </w:r>
            <w:r>
              <w:rPr>
                <w:rFonts w:hint="eastAsia"/>
                <w:snapToGrid w:val="0"/>
                <w:highlight w:val="none"/>
                <w:lang w:val="en-US" w:eastAsia="zh-CN"/>
              </w:rPr>
              <w:t>，</w:t>
            </w:r>
            <w:r>
              <w:rPr>
                <w:rFonts w:hint="default"/>
                <w:snapToGrid w:val="0"/>
                <w:highlight w:val="none"/>
                <w:lang w:val="en-US" w:eastAsia="en-US"/>
              </w:rPr>
              <w:t>3-cd]</w:t>
            </w:r>
            <w:r>
              <w:rPr>
                <w:rFonts w:hint="eastAsia"/>
                <w:snapToGrid w:val="0"/>
                <w:highlight w:val="none"/>
                <w:lang w:val="en-US" w:eastAsia="en-US"/>
              </w:rPr>
              <w:t>芘</w:t>
            </w:r>
          </w:p>
        </w:tc>
        <w:tc>
          <w:tcPr>
            <w:tcW w:w="1425" w:type="dxa"/>
            <w:tcBorders>
              <w:tl2br w:val="nil"/>
              <w:tr2bl w:val="nil"/>
            </w:tcBorders>
            <w:shd w:val="clear" w:color="auto" w:fill="auto"/>
            <w:vAlign w:val="center"/>
          </w:tcPr>
          <w:p w14:paraId="141CDBE9">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193-39-5</w:t>
            </w:r>
          </w:p>
        </w:tc>
        <w:tc>
          <w:tcPr>
            <w:tcW w:w="1275" w:type="dxa"/>
            <w:tcBorders>
              <w:tl2br w:val="nil"/>
              <w:tr2bl w:val="nil"/>
            </w:tcBorders>
            <w:shd w:val="clear" w:color="auto" w:fill="auto"/>
            <w:vAlign w:val="center"/>
          </w:tcPr>
          <w:p w14:paraId="5C8D2E02">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15</w:t>
            </w:r>
          </w:p>
        </w:tc>
        <w:tc>
          <w:tcPr>
            <w:tcW w:w="986" w:type="dxa"/>
            <w:tcBorders>
              <w:tl2br w:val="nil"/>
              <w:tr2bl w:val="nil"/>
            </w:tcBorders>
            <w:shd w:val="clear" w:color="auto" w:fill="auto"/>
            <w:vAlign w:val="center"/>
          </w:tcPr>
          <w:p w14:paraId="6CA71E53">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151</w:t>
            </w:r>
          </w:p>
        </w:tc>
      </w:tr>
      <w:tr w14:paraId="3ED5017A">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1" w:hRule="atLeast"/>
          <w:jc w:val="center"/>
        </w:trPr>
        <w:tc>
          <w:tcPr>
            <w:tcW w:w="1845" w:type="dxa"/>
            <w:vMerge w:val="continue"/>
            <w:tcBorders>
              <w:tl2br w:val="nil"/>
              <w:tr2bl w:val="nil"/>
            </w:tcBorders>
            <w:shd w:val="clear" w:color="auto" w:fill="auto"/>
            <w:vAlign w:val="top"/>
          </w:tcPr>
          <w:p w14:paraId="006F2C7A">
            <w:pPr>
              <w:pStyle w:val="8"/>
              <w:suppressLineNumbers w:val="0"/>
              <w:bidi w:val="0"/>
              <w:spacing w:before="0" w:beforeAutospacing="0" w:after="0" w:afterAutospacing="0"/>
              <w:ind w:left="0" w:right="0"/>
              <w:rPr>
                <w:rFonts w:hint="default"/>
                <w:snapToGrid w:val="0"/>
                <w:highlight w:val="none"/>
                <w:lang w:eastAsia="en-US"/>
              </w:rPr>
            </w:pPr>
          </w:p>
        </w:tc>
        <w:tc>
          <w:tcPr>
            <w:tcW w:w="855" w:type="dxa"/>
            <w:tcBorders>
              <w:tl2br w:val="nil"/>
              <w:tr2bl w:val="nil"/>
            </w:tcBorders>
            <w:shd w:val="clear" w:color="auto" w:fill="auto"/>
            <w:vAlign w:val="center"/>
          </w:tcPr>
          <w:p w14:paraId="25A62557">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45</w:t>
            </w:r>
          </w:p>
        </w:tc>
        <w:tc>
          <w:tcPr>
            <w:tcW w:w="1920" w:type="dxa"/>
            <w:tcBorders>
              <w:tl2br w:val="nil"/>
              <w:tr2bl w:val="nil"/>
            </w:tcBorders>
            <w:shd w:val="clear" w:color="auto" w:fill="auto"/>
            <w:vAlign w:val="center"/>
          </w:tcPr>
          <w:p w14:paraId="3DD9BB40">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萘</w:t>
            </w:r>
          </w:p>
        </w:tc>
        <w:tc>
          <w:tcPr>
            <w:tcW w:w="1425" w:type="dxa"/>
            <w:tcBorders>
              <w:tl2br w:val="nil"/>
              <w:tr2bl w:val="nil"/>
            </w:tcBorders>
            <w:shd w:val="clear" w:color="auto" w:fill="auto"/>
            <w:vAlign w:val="center"/>
          </w:tcPr>
          <w:p w14:paraId="156B58F6">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91-20-3</w:t>
            </w:r>
          </w:p>
        </w:tc>
        <w:tc>
          <w:tcPr>
            <w:tcW w:w="1275" w:type="dxa"/>
            <w:tcBorders>
              <w:tl2br w:val="nil"/>
              <w:tr2bl w:val="nil"/>
            </w:tcBorders>
            <w:shd w:val="clear" w:color="auto" w:fill="auto"/>
            <w:vAlign w:val="center"/>
          </w:tcPr>
          <w:p w14:paraId="4720B9D7">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70</w:t>
            </w:r>
          </w:p>
        </w:tc>
        <w:tc>
          <w:tcPr>
            <w:tcW w:w="986" w:type="dxa"/>
            <w:tcBorders>
              <w:tl2br w:val="nil"/>
              <w:tr2bl w:val="nil"/>
            </w:tcBorders>
            <w:shd w:val="clear" w:color="auto" w:fill="auto"/>
            <w:vAlign w:val="center"/>
          </w:tcPr>
          <w:p w14:paraId="6EFB3953">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700</w:t>
            </w:r>
          </w:p>
        </w:tc>
      </w:tr>
      <w:tr w14:paraId="508CACCF">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3" w:hRule="atLeast"/>
          <w:jc w:val="center"/>
        </w:trPr>
        <w:tc>
          <w:tcPr>
            <w:tcW w:w="1845" w:type="dxa"/>
            <w:vMerge w:val="continue"/>
            <w:tcBorders>
              <w:tl2br w:val="nil"/>
              <w:tr2bl w:val="nil"/>
            </w:tcBorders>
            <w:shd w:val="clear" w:color="auto" w:fill="auto"/>
            <w:vAlign w:val="top"/>
          </w:tcPr>
          <w:p w14:paraId="58577F36">
            <w:pPr>
              <w:pStyle w:val="8"/>
              <w:suppressLineNumbers w:val="0"/>
              <w:bidi w:val="0"/>
              <w:spacing w:before="0" w:beforeAutospacing="0" w:after="0" w:afterAutospacing="0"/>
              <w:ind w:left="0" w:right="0"/>
              <w:rPr>
                <w:rFonts w:hint="default"/>
                <w:snapToGrid w:val="0"/>
                <w:highlight w:val="none"/>
                <w:lang w:eastAsia="en-US"/>
              </w:rPr>
            </w:pPr>
          </w:p>
        </w:tc>
        <w:tc>
          <w:tcPr>
            <w:tcW w:w="855" w:type="dxa"/>
            <w:tcBorders>
              <w:tl2br w:val="nil"/>
              <w:tr2bl w:val="nil"/>
            </w:tcBorders>
            <w:shd w:val="clear" w:color="auto" w:fill="auto"/>
            <w:vAlign w:val="center"/>
          </w:tcPr>
          <w:p w14:paraId="0278E1F5">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46</w:t>
            </w:r>
          </w:p>
        </w:tc>
        <w:tc>
          <w:tcPr>
            <w:tcW w:w="1920" w:type="dxa"/>
            <w:tcBorders>
              <w:tl2br w:val="nil"/>
              <w:tr2bl w:val="nil"/>
            </w:tcBorders>
            <w:shd w:val="clear" w:color="auto" w:fill="auto"/>
            <w:vAlign w:val="center"/>
          </w:tcPr>
          <w:p w14:paraId="688518EA">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石油烃</w:t>
            </w:r>
          </w:p>
        </w:tc>
        <w:tc>
          <w:tcPr>
            <w:tcW w:w="1425" w:type="dxa"/>
            <w:tcBorders>
              <w:tl2br w:val="nil"/>
              <w:tr2bl w:val="nil"/>
            </w:tcBorders>
            <w:shd w:val="clear" w:color="auto" w:fill="auto"/>
            <w:vAlign w:val="center"/>
          </w:tcPr>
          <w:p w14:paraId="490E10AC">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w:t>
            </w:r>
          </w:p>
        </w:tc>
        <w:tc>
          <w:tcPr>
            <w:tcW w:w="1275" w:type="dxa"/>
            <w:tcBorders>
              <w:tl2br w:val="nil"/>
              <w:tr2bl w:val="nil"/>
            </w:tcBorders>
            <w:shd w:val="clear" w:color="auto" w:fill="auto"/>
            <w:vAlign w:val="center"/>
          </w:tcPr>
          <w:p w14:paraId="18E9AA1C">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4500</w:t>
            </w:r>
          </w:p>
        </w:tc>
        <w:tc>
          <w:tcPr>
            <w:tcW w:w="986" w:type="dxa"/>
            <w:tcBorders>
              <w:tl2br w:val="nil"/>
              <w:tr2bl w:val="nil"/>
            </w:tcBorders>
            <w:shd w:val="clear" w:color="auto" w:fill="auto"/>
            <w:vAlign w:val="center"/>
          </w:tcPr>
          <w:p w14:paraId="0C07975F">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9000</w:t>
            </w:r>
          </w:p>
        </w:tc>
      </w:tr>
    </w:tbl>
    <w:p w14:paraId="6A1056B5">
      <w:pPr>
        <w:pStyle w:val="4"/>
        <w:bidi w:val="0"/>
        <w:rPr>
          <w:highlight w:val="none"/>
        </w:rPr>
      </w:pPr>
      <w:bookmarkStart w:id="153" w:name="_Toc12996"/>
      <w:bookmarkStart w:id="154" w:name="_Toc7008"/>
      <w:r>
        <w:rPr>
          <w:highlight w:val="none"/>
        </w:rPr>
        <w:t>2.3.2污染物排放标准</w:t>
      </w:r>
      <w:bookmarkEnd w:id="153"/>
      <w:bookmarkEnd w:id="154"/>
    </w:p>
    <w:p w14:paraId="5D83F023">
      <w:pPr>
        <w:pStyle w:val="6"/>
        <w:bidi w:val="0"/>
        <w:rPr>
          <w:highlight w:val="none"/>
        </w:rPr>
      </w:pPr>
      <w:r>
        <w:rPr>
          <w:highlight w:val="none"/>
        </w:rPr>
        <w:t>2.3.2.1废气污染物排放标准</w:t>
      </w:r>
    </w:p>
    <w:p w14:paraId="61E07A43">
      <w:pPr>
        <w:spacing w:line="360" w:lineRule="auto"/>
        <w:ind w:firstLine="480" w:firstLineChars="200"/>
        <w:rPr>
          <w:rFonts w:eastAsiaTheme="minorEastAsia"/>
          <w:color w:val="000000" w:themeColor="text1"/>
          <w:sz w:val="24"/>
          <w:highlight w:val="none"/>
        </w:rPr>
      </w:pPr>
      <w:r>
        <w:rPr>
          <w:rFonts w:eastAsiaTheme="minorEastAsia"/>
          <w:color w:val="000000" w:themeColor="text1"/>
          <w:sz w:val="24"/>
          <w:highlight w:val="none"/>
        </w:rPr>
        <w:t>（1）施工期</w:t>
      </w:r>
    </w:p>
    <w:p w14:paraId="7023E548">
      <w:pPr>
        <w:tabs>
          <w:tab w:val="right" w:leader="dot" w:pos="8505"/>
        </w:tabs>
        <w:spacing w:line="360" w:lineRule="auto"/>
        <w:ind w:firstLine="480" w:firstLineChars="200"/>
        <w:rPr>
          <w:rFonts w:eastAsiaTheme="minorEastAsia"/>
          <w:color w:val="000000" w:themeColor="text1"/>
          <w:sz w:val="24"/>
          <w:highlight w:val="none"/>
        </w:rPr>
      </w:pPr>
      <w:r>
        <w:rPr>
          <w:rFonts w:eastAsiaTheme="minorEastAsia"/>
          <w:color w:val="000000" w:themeColor="text1"/>
          <w:sz w:val="24"/>
          <w:highlight w:val="none"/>
        </w:rPr>
        <w:t>施工期施工场地扬尘排放执行《大气污染物综合排放标准》（GB16297-1996）表2无组织排放监控浓度限值要求。</w:t>
      </w:r>
    </w:p>
    <w:p w14:paraId="12D20449">
      <w:pPr>
        <w:pStyle w:val="7"/>
        <w:bidi w:val="0"/>
        <w:rPr>
          <w:highlight w:val="none"/>
        </w:rPr>
      </w:pPr>
    </w:p>
    <w:p w14:paraId="6F13E625">
      <w:pPr>
        <w:pStyle w:val="7"/>
        <w:bidi w:val="0"/>
        <w:rPr>
          <w:highlight w:val="none"/>
        </w:rPr>
      </w:pPr>
      <w:r>
        <w:rPr>
          <w:highlight w:val="none"/>
        </w:rPr>
        <w:t>表2-3-3《大气污染物综合排放标准》（GB16297-1996）表2要求</w:t>
      </w:r>
    </w:p>
    <w:tbl>
      <w:tblPr>
        <w:tblStyle w:val="45"/>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25"/>
        <w:gridCol w:w="4049"/>
        <w:gridCol w:w="2366"/>
      </w:tblGrid>
      <w:tr w14:paraId="194DA4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157" w:hRule="atLeast"/>
          <w:jc w:val="center"/>
        </w:trPr>
        <w:tc>
          <w:tcPr>
            <w:tcW w:w="2125" w:type="dxa"/>
            <w:vMerge w:val="restart"/>
            <w:vAlign w:val="center"/>
          </w:tcPr>
          <w:p w14:paraId="10C0836A">
            <w:pPr>
              <w:pStyle w:val="8"/>
              <w:suppressLineNumbers w:val="0"/>
              <w:bidi w:val="0"/>
              <w:spacing w:before="0" w:beforeAutospacing="0" w:after="0" w:afterAutospacing="0"/>
              <w:ind w:left="0" w:right="0"/>
              <w:rPr>
                <w:rFonts w:hint="default"/>
                <w:highlight w:val="none"/>
              </w:rPr>
            </w:pPr>
            <w:r>
              <w:rPr>
                <w:rFonts w:hint="default"/>
                <w:highlight w:val="none"/>
              </w:rPr>
              <w:t>污染物</w:t>
            </w:r>
          </w:p>
        </w:tc>
        <w:tc>
          <w:tcPr>
            <w:tcW w:w="6414" w:type="dxa"/>
            <w:gridSpan w:val="2"/>
            <w:vAlign w:val="center"/>
          </w:tcPr>
          <w:p w14:paraId="7F95ED1C">
            <w:pPr>
              <w:pStyle w:val="8"/>
              <w:suppressLineNumbers w:val="0"/>
              <w:bidi w:val="0"/>
              <w:spacing w:before="0" w:beforeAutospacing="0" w:after="0" w:afterAutospacing="0"/>
              <w:ind w:left="0" w:right="0"/>
              <w:rPr>
                <w:rFonts w:hint="default"/>
                <w:highlight w:val="none"/>
              </w:rPr>
            </w:pPr>
            <w:r>
              <w:rPr>
                <w:rFonts w:hint="default"/>
                <w:highlight w:val="none"/>
              </w:rPr>
              <w:t>无组织排放监控浓度限值（mg/m3）</w:t>
            </w:r>
          </w:p>
        </w:tc>
      </w:tr>
      <w:tr w14:paraId="4F1708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28" w:hRule="atLeast"/>
          <w:jc w:val="center"/>
        </w:trPr>
        <w:tc>
          <w:tcPr>
            <w:tcW w:w="2125" w:type="dxa"/>
            <w:vMerge w:val="continue"/>
            <w:vAlign w:val="center"/>
          </w:tcPr>
          <w:p w14:paraId="1F284F82">
            <w:pPr>
              <w:pStyle w:val="8"/>
              <w:suppressLineNumbers w:val="0"/>
              <w:bidi w:val="0"/>
              <w:spacing w:before="0" w:beforeAutospacing="0" w:after="0" w:afterAutospacing="0"/>
              <w:ind w:left="0" w:right="0"/>
              <w:rPr>
                <w:rFonts w:hint="default"/>
                <w:highlight w:val="none"/>
              </w:rPr>
            </w:pPr>
          </w:p>
        </w:tc>
        <w:tc>
          <w:tcPr>
            <w:tcW w:w="4049" w:type="dxa"/>
            <w:vAlign w:val="center"/>
          </w:tcPr>
          <w:p w14:paraId="627A7D3C">
            <w:pPr>
              <w:pStyle w:val="8"/>
              <w:suppressLineNumbers w:val="0"/>
              <w:bidi w:val="0"/>
              <w:spacing w:before="0" w:beforeAutospacing="0" w:after="0" w:afterAutospacing="0"/>
              <w:ind w:left="0" w:right="0"/>
              <w:rPr>
                <w:rFonts w:hint="default"/>
                <w:highlight w:val="none"/>
              </w:rPr>
            </w:pPr>
            <w:r>
              <w:rPr>
                <w:rFonts w:hint="default"/>
                <w:highlight w:val="none"/>
              </w:rPr>
              <w:t>监控点</w:t>
            </w:r>
          </w:p>
        </w:tc>
        <w:tc>
          <w:tcPr>
            <w:tcW w:w="2366" w:type="dxa"/>
            <w:vAlign w:val="center"/>
          </w:tcPr>
          <w:p w14:paraId="6E58A5B1">
            <w:pPr>
              <w:pStyle w:val="8"/>
              <w:suppressLineNumbers w:val="0"/>
              <w:bidi w:val="0"/>
              <w:spacing w:before="0" w:beforeAutospacing="0" w:after="0" w:afterAutospacing="0"/>
              <w:ind w:left="0" w:right="0"/>
              <w:rPr>
                <w:rFonts w:hint="default"/>
                <w:highlight w:val="none"/>
              </w:rPr>
            </w:pPr>
            <w:r>
              <w:rPr>
                <w:rFonts w:hint="default"/>
                <w:highlight w:val="none"/>
              </w:rPr>
              <w:t>浓度</w:t>
            </w:r>
          </w:p>
        </w:tc>
      </w:tr>
      <w:tr w14:paraId="6F38CD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86" w:hRule="atLeast"/>
          <w:jc w:val="center"/>
        </w:trPr>
        <w:tc>
          <w:tcPr>
            <w:tcW w:w="2125" w:type="dxa"/>
            <w:vAlign w:val="center"/>
          </w:tcPr>
          <w:p w14:paraId="5BC9E710">
            <w:pPr>
              <w:pStyle w:val="8"/>
              <w:suppressLineNumbers w:val="0"/>
              <w:bidi w:val="0"/>
              <w:spacing w:before="0" w:beforeAutospacing="0" w:after="0" w:afterAutospacing="0"/>
              <w:ind w:left="0" w:right="0"/>
              <w:rPr>
                <w:rFonts w:hint="default"/>
                <w:highlight w:val="none"/>
              </w:rPr>
            </w:pPr>
            <w:r>
              <w:rPr>
                <w:rFonts w:hint="default"/>
                <w:highlight w:val="none"/>
              </w:rPr>
              <w:t>颗粒物</w:t>
            </w:r>
          </w:p>
        </w:tc>
        <w:tc>
          <w:tcPr>
            <w:tcW w:w="4049" w:type="dxa"/>
            <w:vAlign w:val="center"/>
          </w:tcPr>
          <w:p w14:paraId="4DC87EA3">
            <w:pPr>
              <w:pStyle w:val="8"/>
              <w:suppressLineNumbers w:val="0"/>
              <w:bidi w:val="0"/>
              <w:spacing w:before="0" w:beforeAutospacing="0" w:after="0" w:afterAutospacing="0"/>
              <w:ind w:left="0" w:right="0"/>
              <w:rPr>
                <w:rFonts w:hint="default"/>
                <w:highlight w:val="none"/>
              </w:rPr>
            </w:pPr>
            <w:r>
              <w:rPr>
                <w:rFonts w:hint="default"/>
                <w:highlight w:val="none"/>
              </w:rPr>
              <w:t>周围外浓度最高点</w:t>
            </w:r>
          </w:p>
        </w:tc>
        <w:tc>
          <w:tcPr>
            <w:tcW w:w="2366" w:type="dxa"/>
            <w:vAlign w:val="center"/>
          </w:tcPr>
          <w:p w14:paraId="4668022C">
            <w:pPr>
              <w:pStyle w:val="8"/>
              <w:suppressLineNumbers w:val="0"/>
              <w:bidi w:val="0"/>
              <w:spacing w:before="0" w:beforeAutospacing="0" w:after="0" w:afterAutospacing="0"/>
              <w:ind w:left="0" w:right="0"/>
              <w:rPr>
                <w:rFonts w:hint="default"/>
                <w:highlight w:val="none"/>
              </w:rPr>
            </w:pPr>
            <w:r>
              <w:rPr>
                <w:rFonts w:hint="default"/>
                <w:highlight w:val="none"/>
              </w:rPr>
              <w:t>1.0</w:t>
            </w:r>
          </w:p>
        </w:tc>
      </w:tr>
    </w:tbl>
    <w:p w14:paraId="02152428">
      <w:pPr>
        <w:spacing w:line="360" w:lineRule="auto"/>
        <w:ind w:firstLine="480" w:firstLineChars="200"/>
        <w:rPr>
          <w:rFonts w:eastAsiaTheme="minorEastAsia"/>
          <w:color w:val="000000" w:themeColor="text1"/>
          <w:sz w:val="24"/>
          <w:highlight w:val="none"/>
        </w:rPr>
      </w:pPr>
      <w:r>
        <w:rPr>
          <w:rFonts w:eastAsiaTheme="minorEastAsia"/>
          <w:color w:val="000000" w:themeColor="text1"/>
          <w:sz w:val="24"/>
          <w:highlight w:val="none"/>
        </w:rPr>
        <w:t>（2）运营期</w:t>
      </w:r>
    </w:p>
    <w:p w14:paraId="72C95366">
      <w:pPr>
        <w:spacing w:line="360" w:lineRule="auto"/>
        <w:ind w:firstLine="480" w:firstLineChars="200"/>
        <w:rPr>
          <w:rFonts w:hint="eastAsia" w:hAnsiTheme="minorEastAsia" w:eastAsiaTheme="minorEastAsia"/>
          <w:kern w:val="0"/>
          <w:sz w:val="24"/>
          <w:highlight w:val="none"/>
          <w:lang w:eastAsia="zh-CN"/>
        </w:rPr>
      </w:pPr>
      <w:r>
        <w:rPr>
          <w:rFonts w:hAnsiTheme="minorEastAsia" w:eastAsiaTheme="minorEastAsia"/>
          <w:kern w:val="0"/>
          <w:sz w:val="24"/>
          <w:highlight w:val="none"/>
        </w:rPr>
        <w:t>本项目有组织废气污染物排放非甲烷总烃、氮氧化物</w:t>
      </w:r>
      <w:r>
        <w:rPr>
          <w:rFonts w:hint="eastAsia" w:hAnsiTheme="minorEastAsia" w:eastAsiaTheme="minorEastAsia"/>
          <w:kern w:val="0"/>
          <w:sz w:val="24"/>
          <w:highlight w:val="none"/>
        </w:rPr>
        <w:t>、</w:t>
      </w:r>
      <w:r>
        <w:rPr>
          <w:rFonts w:hAnsiTheme="minorEastAsia" w:eastAsiaTheme="minorEastAsia"/>
          <w:kern w:val="0"/>
          <w:sz w:val="24"/>
          <w:highlight w:val="none"/>
        </w:rPr>
        <w:t>颗粒物执行《大气污染物综合排放标准》（</w:t>
      </w:r>
      <w:r>
        <w:rPr>
          <w:rFonts w:eastAsiaTheme="minorEastAsia"/>
          <w:kern w:val="0"/>
          <w:sz w:val="24"/>
          <w:highlight w:val="none"/>
        </w:rPr>
        <w:t>GB16297-1996</w:t>
      </w:r>
      <w:r>
        <w:rPr>
          <w:rFonts w:hAnsiTheme="minorEastAsia" w:eastAsiaTheme="minorEastAsia"/>
          <w:kern w:val="0"/>
          <w:sz w:val="24"/>
          <w:highlight w:val="none"/>
        </w:rPr>
        <w:t>）表</w:t>
      </w:r>
      <w:r>
        <w:rPr>
          <w:rFonts w:eastAsiaTheme="minorEastAsia"/>
          <w:kern w:val="0"/>
          <w:sz w:val="24"/>
          <w:highlight w:val="none"/>
        </w:rPr>
        <w:t>2</w:t>
      </w:r>
      <w:r>
        <w:rPr>
          <w:rFonts w:hAnsiTheme="minorEastAsia" w:eastAsiaTheme="minorEastAsia"/>
          <w:kern w:val="0"/>
          <w:sz w:val="24"/>
          <w:highlight w:val="none"/>
        </w:rPr>
        <w:t>中二级标准；</w:t>
      </w:r>
      <w:r>
        <w:rPr>
          <w:rFonts w:hint="eastAsia" w:hAnsiTheme="minorEastAsia" w:eastAsiaTheme="minorEastAsia"/>
          <w:kern w:val="0"/>
          <w:sz w:val="24"/>
          <w:highlight w:val="none"/>
          <w:lang w:val="en-US" w:eastAsia="zh-CN"/>
        </w:rPr>
        <w:t>有组织臭气浓度执行</w:t>
      </w:r>
      <w:r>
        <w:rPr>
          <w:rFonts w:ascii="Times New Roman" w:hAnsiTheme="minorEastAsia"/>
          <w:highlight w:val="none"/>
        </w:rPr>
        <w:t>《恶臭污染物排放标准》（</w:t>
      </w:r>
      <w:r>
        <w:rPr>
          <w:rFonts w:ascii="Times New Roman" w:hAnsi="Times New Roman"/>
          <w:highlight w:val="none"/>
        </w:rPr>
        <w:t>GB14554-93</w:t>
      </w:r>
      <w:r>
        <w:rPr>
          <w:rFonts w:ascii="Times New Roman" w:hAnsiTheme="minorEastAsia"/>
          <w:highlight w:val="none"/>
        </w:rPr>
        <w:t>）</w:t>
      </w:r>
      <w:r>
        <w:rPr>
          <w:rFonts w:hint="eastAsia" w:hAnsiTheme="minorEastAsia"/>
          <w:highlight w:val="none"/>
          <w:lang w:val="en-US" w:eastAsia="zh-CN"/>
        </w:rPr>
        <w:t>表2</w:t>
      </w:r>
      <w:r>
        <w:rPr>
          <w:rFonts w:hint="eastAsia" w:ascii="Times New Roman" w:hAnsiTheme="minorEastAsia"/>
          <w:highlight w:val="none"/>
        </w:rPr>
        <w:t>中</w:t>
      </w:r>
      <w:r>
        <w:rPr>
          <w:rFonts w:hint="eastAsia" w:hAnsiTheme="minorEastAsia"/>
          <w:highlight w:val="none"/>
          <w:lang w:val="en-US" w:eastAsia="zh-CN"/>
        </w:rPr>
        <w:t>标准</w:t>
      </w:r>
      <w:r>
        <w:rPr>
          <w:rFonts w:hint="eastAsia" w:hAnsiTheme="minorEastAsia"/>
          <w:highlight w:val="none"/>
          <w:lang w:eastAsia="zh-CN"/>
        </w:rPr>
        <w:t>；</w:t>
      </w:r>
      <w:r>
        <w:rPr>
          <w:rFonts w:hAnsiTheme="minorEastAsia" w:eastAsiaTheme="minorEastAsia"/>
          <w:kern w:val="0"/>
          <w:sz w:val="24"/>
          <w:highlight w:val="none"/>
        </w:rPr>
        <w:t>厂界非甲烷总烃执行《大气污染物综合排放标准》（</w:t>
      </w:r>
      <w:r>
        <w:rPr>
          <w:rFonts w:eastAsiaTheme="minorEastAsia"/>
          <w:kern w:val="0"/>
          <w:sz w:val="24"/>
          <w:highlight w:val="none"/>
        </w:rPr>
        <w:t>GB16297-1996</w:t>
      </w:r>
      <w:r>
        <w:rPr>
          <w:rFonts w:hAnsiTheme="minorEastAsia" w:eastAsiaTheme="minorEastAsia"/>
          <w:kern w:val="0"/>
          <w:sz w:val="24"/>
          <w:highlight w:val="none"/>
        </w:rPr>
        <w:t>）表</w:t>
      </w:r>
      <w:r>
        <w:rPr>
          <w:rFonts w:eastAsiaTheme="minorEastAsia"/>
          <w:kern w:val="0"/>
          <w:sz w:val="24"/>
          <w:highlight w:val="none"/>
        </w:rPr>
        <w:t>2</w:t>
      </w:r>
      <w:r>
        <w:rPr>
          <w:rFonts w:hAnsiTheme="minorEastAsia" w:eastAsiaTheme="minorEastAsia"/>
          <w:kern w:val="0"/>
          <w:sz w:val="24"/>
          <w:highlight w:val="none"/>
        </w:rPr>
        <w:t>中无组织排放监控浓度限值要求；</w:t>
      </w:r>
      <w:r>
        <w:rPr>
          <w:rFonts w:hint="eastAsia" w:hAnsiTheme="minorEastAsia" w:eastAsiaTheme="minorEastAsia"/>
          <w:kern w:val="0"/>
          <w:sz w:val="24"/>
          <w:highlight w:val="none"/>
          <w:lang w:val="en-US" w:eastAsia="zh-CN"/>
        </w:rPr>
        <w:t>厂区内</w:t>
      </w:r>
      <w:r>
        <w:rPr>
          <w:rFonts w:hAnsiTheme="minorEastAsia" w:eastAsiaTheme="minorEastAsia"/>
          <w:kern w:val="0"/>
          <w:sz w:val="24"/>
          <w:highlight w:val="none"/>
        </w:rPr>
        <w:t>非甲烷总烃执行《挥发性有机物无组织排放控制标准》（</w:t>
      </w:r>
      <w:r>
        <w:rPr>
          <w:rFonts w:eastAsiaTheme="minorEastAsia"/>
          <w:kern w:val="0"/>
          <w:sz w:val="24"/>
          <w:highlight w:val="none"/>
        </w:rPr>
        <w:t>GB37822-2019</w:t>
      </w:r>
      <w:r>
        <w:rPr>
          <w:rFonts w:hAnsiTheme="minorEastAsia" w:eastAsiaTheme="minorEastAsia"/>
          <w:kern w:val="0"/>
          <w:sz w:val="24"/>
          <w:highlight w:val="none"/>
        </w:rPr>
        <w:t>）中</w:t>
      </w:r>
      <w:r>
        <w:rPr>
          <w:rFonts w:hint="eastAsia" w:ascii="Times New Roman" w:hAnsi="Times New Roman"/>
          <w:kern w:val="24"/>
          <w:highlight w:val="none"/>
        </w:rPr>
        <w:t>表A.1中排放限值标准</w:t>
      </w:r>
      <w:r>
        <w:rPr>
          <w:rFonts w:hAnsiTheme="minorEastAsia" w:eastAsiaTheme="minorEastAsia"/>
          <w:kern w:val="0"/>
          <w:sz w:val="24"/>
          <w:highlight w:val="none"/>
        </w:rPr>
        <w:t>要求。</w:t>
      </w:r>
      <w:r>
        <w:rPr>
          <w:rFonts w:hint="eastAsia" w:ascii="Times New Roman" w:hAnsi="Times New Roman"/>
          <w:kern w:val="24"/>
          <w:highlight w:val="none"/>
        </w:rPr>
        <w:t>厂界氨、硫化氢、臭气浓度执行</w:t>
      </w:r>
      <w:r>
        <w:rPr>
          <w:rFonts w:ascii="Times New Roman" w:hAnsiTheme="minorEastAsia"/>
          <w:highlight w:val="none"/>
        </w:rPr>
        <w:t>《恶臭污染物排放标准》（</w:t>
      </w:r>
      <w:r>
        <w:rPr>
          <w:rFonts w:ascii="Times New Roman" w:hAnsi="Times New Roman"/>
          <w:highlight w:val="none"/>
        </w:rPr>
        <w:t>GB14554-93</w:t>
      </w:r>
      <w:r>
        <w:rPr>
          <w:rFonts w:ascii="Times New Roman" w:hAnsiTheme="minorEastAsia"/>
          <w:highlight w:val="none"/>
        </w:rPr>
        <w:t>）</w:t>
      </w:r>
      <w:r>
        <w:rPr>
          <w:rFonts w:hint="eastAsia" w:ascii="Times New Roman" w:hAnsiTheme="minorEastAsia"/>
          <w:highlight w:val="none"/>
        </w:rPr>
        <w:t>中表1恶臭污染物厂界二级标准</w:t>
      </w:r>
      <w:r>
        <w:rPr>
          <w:rFonts w:hint="eastAsia" w:hAnsiTheme="minorEastAsia" w:eastAsiaTheme="minorEastAsia"/>
          <w:kern w:val="0"/>
          <w:sz w:val="24"/>
          <w:highlight w:val="none"/>
        </w:rPr>
        <w:t>。</w:t>
      </w:r>
    </w:p>
    <w:p w14:paraId="3678511C">
      <w:pPr>
        <w:keepNext w:val="0"/>
        <w:keepLines w:val="0"/>
        <w:pageBreakBefore w:val="0"/>
        <w:widowControl w:val="0"/>
        <w:kinsoku/>
        <w:overflowPunct/>
        <w:topLinePunct w:val="0"/>
        <w:bidi w:val="0"/>
        <w:spacing w:line="360" w:lineRule="auto"/>
        <w:jc w:val="center"/>
        <w:outlineLvl w:val="9"/>
        <w:rPr>
          <w:rFonts w:eastAsiaTheme="minorEastAsia"/>
          <w:b/>
          <w:kern w:val="0"/>
          <w:sz w:val="24"/>
          <w:highlight w:val="none"/>
        </w:rPr>
      </w:pPr>
      <w:r>
        <w:rPr>
          <w:rFonts w:hAnsiTheme="minorEastAsia" w:eastAsiaTheme="minorEastAsia"/>
          <w:b/>
          <w:kern w:val="0"/>
          <w:sz w:val="24"/>
          <w:highlight w:val="none"/>
        </w:rPr>
        <w:t>表</w:t>
      </w:r>
      <w:r>
        <w:rPr>
          <w:rFonts w:eastAsiaTheme="minorEastAsia"/>
          <w:b/>
          <w:kern w:val="0"/>
          <w:sz w:val="24"/>
          <w:highlight w:val="none"/>
        </w:rPr>
        <w:t>2-3-</w:t>
      </w:r>
      <w:r>
        <w:rPr>
          <w:rFonts w:hint="eastAsia" w:eastAsiaTheme="minorEastAsia"/>
          <w:b/>
          <w:kern w:val="0"/>
          <w:sz w:val="24"/>
          <w:highlight w:val="none"/>
          <w:lang w:val="en-US" w:eastAsia="zh-CN"/>
        </w:rPr>
        <w:t>4</w:t>
      </w:r>
      <w:r>
        <w:rPr>
          <w:rFonts w:hAnsiTheme="minorEastAsia" w:eastAsiaTheme="minorEastAsia"/>
          <w:b/>
          <w:kern w:val="0"/>
          <w:sz w:val="24"/>
          <w:highlight w:val="none"/>
        </w:rPr>
        <w:t>大气污染物排放浓度限值单位：</w:t>
      </w:r>
      <w:r>
        <w:rPr>
          <w:rFonts w:eastAsiaTheme="minorEastAsia"/>
          <w:b/>
          <w:kern w:val="0"/>
          <w:sz w:val="24"/>
          <w:highlight w:val="none"/>
        </w:rPr>
        <w:t>mg/m</w:t>
      </w:r>
      <w:r>
        <w:rPr>
          <w:rFonts w:eastAsiaTheme="minorEastAsia"/>
          <w:b/>
          <w:kern w:val="0"/>
          <w:sz w:val="24"/>
          <w:highlight w:val="none"/>
          <w:vertAlign w:val="superscript"/>
        </w:rPr>
        <w:t>3</w:t>
      </w:r>
    </w:p>
    <w:tbl>
      <w:tblPr>
        <w:tblStyle w:val="45"/>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56" w:type="dxa"/>
          <w:bottom w:w="0" w:type="dxa"/>
          <w:right w:w="56" w:type="dxa"/>
        </w:tblCellMar>
      </w:tblPr>
      <w:tblGrid>
        <w:gridCol w:w="1332"/>
        <w:gridCol w:w="849"/>
        <w:gridCol w:w="1002"/>
        <w:gridCol w:w="1396"/>
        <w:gridCol w:w="957"/>
        <w:gridCol w:w="2882"/>
      </w:tblGrid>
      <w:tr w14:paraId="5EAD904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6" w:type="dxa"/>
            <w:bottom w:w="0" w:type="dxa"/>
            <w:right w:w="56" w:type="dxa"/>
          </w:tblCellMar>
        </w:tblPrEx>
        <w:trPr>
          <w:cantSplit/>
          <w:trHeight w:val="0" w:hRule="atLeast"/>
          <w:jc w:val="center"/>
        </w:trPr>
        <w:tc>
          <w:tcPr>
            <w:tcW w:w="791" w:type="pct"/>
            <w:vAlign w:val="center"/>
          </w:tcPr>
          <w:p w14:paraId="64E8673B">
            <w:pPr>
              <w:pStyle w:val="8"/>
              <w:suppressLineNumbers w:val="0"/>
              <w:bidi w:val="0"/>
              <w:spacing w:before="0" w:beforeAutospacing="0" w:after="0" w:afterAutospacing="0"/>
              <w:ind w:left="0" w:right="0"/>
              <w:rPr>
                <w:rFonts w:hint="default"/>
                <w:highlight w:val="none"/>
                <w:lang w:val="en-US" w:eastAsia="en-US"/>
              </w:rPr>
            </w:pPr>
            <w:r>
              <w:rPr>
                <w:rFonts w:hint="default"/>
                <w:highlight w:val="none"/>
                <w:lang w:val="en-US" w:eastAsia="en-US"/>
              </w:rPr>
              <w:t>污染物</w:t>
            </w:r>
          </w:p>
        </w:tc>
        <w:tc>
          <w:tcPr>
            <w:tcW w:w="504" w:type="pct"/>
            <w:vAlign w:val="center"/>
          </w:tcPr>
          <w:p w14:paraId="5452F16D">
            <w:pPr>
              <w:pStyle w:val="8"/>
              <w:suppressLineNumbers w:val="0"/>
              <w:bidi w:val="0"/>
              <w:spacing w:before="0" w:beforeAutospacing="0" w:after="0" w:afterAutospacing="0"/>
              <w:ind w:left="0" w:right="0"/>
              <w:rPr>
                <w:rFonts w:hint="default"/>
                <w:highlight w:val="none"/>
                <w:lang w:val="en-US" w:eastAsia="en-US"/>
              </w:rPr>
            </w:pPr>
            <w:r>
              <w:rPr>
                <w:rFonts w:hint="default"/>
                <w:highlight w:val="none"/>
                <w:lang w:val="en-US" w:eastAsia="en-US"/>
              </w:rPr>
              <w:t>排放源</w:t>
            </w:r>
          </w:p>
        </w:tc>
        <w:tc>
          <w:tcPr>
            <w:tcW w:w="595" w:type="pct"/>
            <w:vAlign w:val="center"/>
          </w:tcPr>
          <w:p w14:paraId="3304B45C">
            <w:pPr>
              <w:pStyle w:val="8"/>
              <w:suppressLineNumbers w:val="0"/>
              <w:bidi w:val="0"/>
              <w:spacing w:before="0" w:beforeAutospacing="0" w:after="0" w:afterAutospacing="0"/>
              <w:ind w:left="0" w:right="0"/>
              <w:rPr>
                <w:rFonts w:hint="default"/>
                <w:highlight w:val="none"/>
                <w:lang w:val="en-US" w:eastAsia="en-US"/>
              </w:rPr>
            </w:pPr>
            <w:r>
              <w:rPr>
                <w:rFonts w:hint="default"/>
                <w:highlight w:val="none"/>
                <w:lang w:val="en-US" w:eastAsia="en-US"/>
              </w:rPr>
              <w:t>排放速率</w:t>
            </w:r>
          </w:p>
          <w:p w14:paraId="2D609E74">
            <w:pPr>
              <w:pStyle w:val="8"/>
              <w:suppressLineNumbers w:val="0"/>
              <w:bidi w:val="0"/>
              <w:spacing w:before="0" w:beforeAutospacing="0" w:after="0" w:afterAutospacing="0"/>
              <w:ind w:left="0" w:right="0"/>
              <w:rPr>
                <w:rFonts w:hint="default"/>
                <w:highlight w:val="none"/>
                <w:lang w:val="en-US" w:eastAsia="en-US"/>
              </w:rPr>
            </w:pPr>
            <w:r>
              <w:rPr>
                <w:rFonts w:hint="default"/>
                <w:highlight w:val="none"/>
                <w:lang w:val="en-US" w:eastAsia="en-US"/>
              </w:rPr>
              <w:t>kg/h</w:t>
            </w:r>
          </w:p>
        </w:tc>
        <w:tc>
          <w:tcPr>
            <w:tcW w:w="829" w:type="pct"/>
            <w:vAlign w:val="center"/>
          </w:tcPr>
          <w:p w14:paraId="5F79E40D">
            <w:pPr>
              <w:pStyle w:val="8"/>
              <w:suppressLineNumbers w:val="0"/>
              <w:bidi w:val="0"/>
              <w:spacing w:before="0" w:beforeAutospacing="0" w:after="0" w:afterAutospacing="0"/>
              <w:ind w:left="0" w:right="0"/>
              <w:rPr>
                <w:rFonts w:hint="default"/>
                <w:highlight w:val="none"/>
                <w:lang w:val="en-US" w:eastAsia="en-US"/>
              </w:rPr>
            </w:pPr>
            <w:r>
              <w:rPr>
                <w:rFonts w:hint="default"/>
                <w:highlight w:val="none"/>
                <w:lang w:val="en-US" w:eastAsia="en-US"/>
              </w:rPr>
              <w:t>最高允许排放浓度mg/m</w:t>
            </w:r>
            <w:r>
              <w:rPr>
                <w:rFonts w:hint="default"/>
                <w:highlight w:val="none"/>
                <w:vertAlign w:val="superscript"/>
                <w:lang w:val="en-US" w:eastAsia="en-US"/>
              </w:rPr>
              <w:t>3</w:t>
            </w:r>
          </w:p>
        </w:tc>
        <w:tc>
          <w:tcPr>
            <w:tcW w:w="568" w:type="pct"/>
            <w:vAlign w:val="center"/>
          </w:tcPr>
          <w:p w14:paraId="17E3B981">
            <w:pPr>
              <w:pStyle w:val="8"/>
              <w:suppressLineNumbers w:val="0"/>
              <w:bidi w:val="0"/>
              <w:spacing w:before="0" w:beforeAutospacing="0" w:after="0" w:afterAutospacing="0"/>
              <w:ind w:left="0" w:right="0"/>
              <w:rPr>
                <w:rFonts w:hint="default"/>
                <w:highlight w:val="none"/>
                <w:lang w:val="en-US" w:eastAsia="en-US"/>
              </w:rPr>
            </w:pPr>
            <w:r>
              <w:rPr>
                <w:rFonts w:hint="default"/>
                <w:highlight w:val="none"/>
                <w:lang w:val="en-US" w:eastAsia="en-US"/>
              </w:rPr>
              <w:t>排气筒</w:t>
            </w:r>
          </w:p>
          <w:p w14:paraId="6A0789EF">
            <w:pPr>
              <w:pStyle w:val="8"/>
              <w:suppressLineNumbers w:val="0"/>
              <w:bidi w:val="0"/>
              <w:spacing w:before="0" w:beforeAutospacing="0" w:after="0" w:afterAutospacing="0"/>
              <w:ind w:left="0" w:right="0"/>
              <w:rPr>
                <w:rFonts w:hint="default"/>
                <w:highlight w:val="none"/>
                <w:lang w:val="en-US" w:eastAsia="en-US"/>
              </w:rPr>
            </w:pPr>
            <w:r>
              <w:rPr>
                <w:rFonts w:hint="default"/>
                <w:highlight w:val="none"/>
                <w:lang w:val="en-US" w:eastAsia="en-US"/>
              </w:rPr>
              <w:t>高度m</w:t>
            </w:r>
          </w:p>
        </w:tc>
        <w:tc>
          <w:tcPr>
            <w:tcW w:w="1711" w:type="pct"/>
            <w:vAlign w:val="center"/>
          </w:tcPr>
          <w:p w14:paraId="53B676BD">
            <w:pPr>
              <w:pStyle w:val="8"/>
              <w:suppressLineNumbers w:val="0"/>
              <w:bidi w:val="0"/>
              <w:spacing w:before="0" w:beforeAutospacing="0" w:after="0" w:afterAutospacing="0"/>
              <w:ind w:left="0" w:right="0"/>
              <w:rPr>
                <w:rFonts w:hint="default"/>
                <w:highlight w:val="none"/>
                <w:lang w:val="en-US" w:eastAsia="en-US"/>
              </w:rPr>
            </w:pPr>
            <w:r>
              <w:rPr>
                <w:rFonts w:hint="default"/>
                <w:highlight w:val="none"/>
                <w:lang w:val="en-US" w:eastAsia="en-US"/>
              </w:rPr>
              <w:t>执行标准</w:t>
            </w:r>
          </w:p>
        </w:tc>
      </w:tr>
      <w:tr w14:paraId="3CB9BFA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6" w:type="dxa"/>
            <w:bottom w:w="0" w:type="dxa"/>
            <w:right w:w="56" w:type="dxa"/>
          </w:tblCellMar>
        </w:tblPrEx>
        <w:trPr>
          <w:cantSplit/>
          <w:trHeight w:val="0" w:hRule="atLeast"/>
          <w:jc w:val="center"/>
        </w:trPr>
        <w:tc>
          <w:tcPr>
            <w:tcW w:w="791" w:type="pct"/>
            <w:vAlign w:val="center"/>
          </w:tcPr>
          <w:p w14:paraId="1E2202DF">
            <w:pPr>
              <w:pStyle w:val="8"/>
              <w:suppressLineNumbers w:val="0"/>
              <w:bidi w:val="0"/>
              <w:spacing w:before="0" w:beforeAutospacing="0" w:after="0" w:afterAutospacing="0"/>
              <w:ind w:left="0" w:right="0"/>
              <w:rPr>
                <w:rFonts w:hint="default"/>
                <w:highlight w:val="none"/>
                <w:lang w:val="en-US" w:eastAsia="zh-CN"/>
              </w:rPr>
            </w:pPr>
            <w:r>
              <w:rPr>
                <w:rFonts w:hint="default" w:hAnsiTheme="minorEastAsia" w:eastAsiaTheme="minorEastAsia"/>
                <w:szCs w:val="21"/>
                <w:highlight w:val="none"/>
              </w:rPr>
              <w:t>非甲烷总烃</w:t>
            </w:r>
          </w:p>
        </w:tc>
        <w:tc>
          <w:tcPr>
            <w:tcW w:w="504" w:type="pct"/>
            <w:vMerge w:val="restart"/>
            <w:vAlign w:val="center"/>
          </w:tcPr>
          <w:p w14:paraId="6A714D44">
            <w:pPr>
              <w:pStyle w:val="8"/>
              <w:suppressLineNumbers w:val="0"/>
              <w:bidi w:val="0"/>
              <w:spacing w:before="0" w:beforeAutospacing="0" w:after="0" w:afterAutospacing="0"/>
              <w:ind w:left="0" w:right="0"/>
              <w:rPr>
                <w:rFonts w:hint="default"/>
                <w:highlight w:val="none"/>
                <w:lang w:val="en-US" w:eastAsia="en-US"/>
              </w:rPr>
            </w:pPr>
            <w:r>
              <w:rPr>
                <w:rFonts w:hint="default"/>
                <w:highlight w:val="none"/>
                <w:lang w:val="en-US" w:eastAsia="en-US"/>
              </w:rPr>
              <w:t>DA0</w:t>
            </w:r>
            <w:r>
              <w:rPr>
                <w:rFonts w:hint="eastAsia"/>
                <w:highlight w:val="none"/>
                <w:lang w:val="en-US" w:eastAsia="zh-CN"/>
              </w:rPr>
              <w:t>67</w:t>
            </w:r>
            <w:r>
              <w:rPr>
                <w:rFonts w:hint="default"/>
                <w:highlight w:val="none"/>
                <w:lang w:val="en-US" w:eastAsia="en-US"/>
              </w:rPr>
              <w:t>排气筒</w:t>
            </w:r>
          </w:p>
        </w:tc>
        <w:tc>
          <w:tcPr>
            <w:tcW w:w="595" w:type="pct"/>
            <w:vAlign w:val="center"/>
          </w:tcPr>
          <w:p w14:paraId="7A0038AA">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27.8</w:t>
            </w:r>
          </w:p>
        </w:tc>
        <w:tc>
          <w:tcPr>
            <w:tcW w:w="829" w:type="pct"/>
            <w:vAlign w:val="center"/>
          </w:tcPr>
          <w:p w14:paraId="42C933CB">
            <w:pPr>
              <w:pStyle w:val="8"/>
              <w:suppressLineNumbers w:val="0"/>
              <w:bidi w:val="0"/>
              <w:spacing w:before="0" w:beforeAutospacing="0" w:after="0" w:afterAutospacing="0"/>
              <w:ind w:left="0" w:leftChars="0" w:right="0" w:rightChars="0" w:firstLine="0" w:firstLineChars="0"/>
              <w:rPr>
                <w:rFonts w:hint="default"/>
                <w:highlight w:val="none"/>
                <w:lang w:val="en-US" w:eastAsia="en-US"/>
              </w:rPr>
            </w:pPr>
            <w:r>
              <w:rPr>
                <w:rFonts w:hint="eastAsia"/>
                <w:highlight w:val="none"/>
                <w:lang w:val="en-US" w:eastAsia="zh-CN"/>
              </w:rPr>
              <w:t>120</w:t>
            </w:r>
          </w:p>
        </w:tc>
        <w:tc>
          <w:tcPr>
            <w:tcW w:w="568" w:type="pct"/>
            <w:vMerge w:val="restart"/>
            <w:vAlign w:val="center"/>
          </w:tcPr>
          <w:p w14:paraId="47606192">
            <w:pPr>
              <w:pStyle w:val="8"/>
              <w:suppressLineNumbers w:val="0"/>
              <w:bidi w:val="0"/>
              <w:spacing w:before="0" w:beforeAutospacing="0" w:after="0" w:afterAutospacing="0"/>
              <w:ind w:left="0" w:right="0"/>
              <w:rPr>
                <w:rFonts w:hint="default" w:eastAsia="宋体"/>
                <w:highlight w:val="none"/>
                <w:lang w:val="en-US" w:eastAsia="zh-CN"/>
              </w:rPr>
            </w:pPr>
            <w:r>
              <w:rPr>
                <w:rFonts w:hint="eastAsia"/>
                <w:highlight w:val="none"/>
                <w:lang w:val="en-US" w:eastAsia="zh-CN"/>
              </w:rPr>
              <w:t>23</w:t>
            </w:r>
          </w:p>
        </w:tc>
        <w:tc>
          <w:tcPr>
            <w:tcW w:w="1711" w:type="pct"/>
            <w:vMerge w:val="restart"/>
            <w:vAlign w:val="center"/>
          </w:tcPr>
          <w:p w14:paraId="6838E45C">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en-US"/>
              </w:rPr>
              <w:t>《大气污染物综合排放标准》（GB16297-1996）表2中二级标准</w:t>
            </w:r>
          </w:p>
        </w:tc>
      </w:tr>
      <w:tr w14:paraId="69BB95E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6" w:type="dxa"/>
            <w:bottom w:w="0" w:type="dxa"/>
            <w:right w:w="56" w:type="dxa"/>
          </w:tblCellMar>
        </w:tblPrEx>
        <w:trPr>
          <w:cantSplit/>
          <w:trHeight w:val="0" w:hRule="atLeast"/>
          <w:jc w:val="center"/>
        </w:trPr>
        <w:tc>
          <w:tcPr>
            <w:tcW w:w="791" w:type="pct"/>
            <w:vAlign w:val="center"/>
          </w:tcPr>
          <w:p w14:paraId="07C1B178">
            <w:pPr>
              <w:pStyle w:val="8"/>
              <w:suppressLineNumbers w:val="0"/>
              <w:bidi w:val="0"/>
              <w:spacing w:before="0" w:beforeAutospacing="0" w:after="0" w:afterAutospacing="0"/>
              <w:ind w:left="0" w:right="0"/>
              <w:rPr>
                <w:rFonts w:hint="eastAsia"/>
                <w:highlight w:val="none"/>
                <w:lang w:val="en-US" w:eastAsia="zh-CN"/>
              </w:rPr>
            </w:pPr>
            <w:r>
              <w:rPr>
                <w:rFonts w:hint="eastAsia"/>
                <w:highlight w:val="none"/>
                <w:lang w:val="en-US" w:eastAsia="zh-CN"/>
              </w:rPr>
              <w:t>颗粒物</w:t>
            </w:r>
          </w:p>
        </w:tc>
        <w:tc>
          <w:tcPr>
            <w:tcW w:w="504" w:type="pct"/>
            <w:vMerge w:val="continue"/>
            <w:vAlign w:val="center"/>
          </w:tcPr>
          <w:p w14:paraId="5AD394F3">
            <w:pPr>
              <w:pStyle w:val="8"/>
              <w:suppressLineNumbers w:val="0"/>
              <w:bidi w:val="0"/>
              <w:spacing w:before="0" w:beforeAutospacing="0" w:after="0" w:afterAutospacing="0"/>
              <w:ind w:left="0" w:right="0"/>
              <w:rPr>
                <w:rFonts w:hint="default"/>
                <w:highlight w:val="none"/>
                <w:lang w:val="en-US" w:eastAsia="en-US"/>
              </w:rPr>
            </w:pPr>
          </w:p>
        </w:tc>
        <w:tc>
          <w:tcPr>
            <w:tcW w:w="595" w:type="pct"/>
            <w:vAlign w:val="center"/>
          </w:tcPr>
          <w:p w14:paraId="326C84DB">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11.03</w:t>
            </w:r>
          </w:p>
        </w:tc>
        <w:tc>
          <w:tcPr>
            <w:tcW w:w="829" w:type="pct"/>
            <w:vAlign w:val="center"/>
          </w:tcPr>
          <w:p w14:paraId="0DAC7CBC">
            <w:pPr>
              <w:pStyle w:val="8"/>
              <w:suppressLineNumbers w:val="0"/>
              <w:bidi w:val="0"/>
              <w:spacing w:before="0" w:beforeAutospacing="0" w:after="0" w:afterAutospacing="0"/>
              <w:ind w:left="0" w:right="0"/>
              <w:rPr>
                <w:rFonts w:hint="default"/>
                <w:highlight w:val="none"/>
                <w:lang w:val="en-US" w:eastAsia="en-US"/>
              </w:rPr>
            </w:pPr>
            <w:r>
              <w:rPr>
                <w:rFonts w:hint="eastAsia"/>
                <w:highlight w:val="none"/>
                <w:lang w:val="en-US" w:eastAsia="zh-CN"/>
              </w:rPr>
              <w:t>120</w:t>
            </w:r>
          </w:p>
        </w:tc>
        <w:tc>
          <w:tcPr>
            <w:tcW w:w="568" w:type="pct"/>
            <w:vMerge w:val="continue"/>
            <w:vAlign w:val="center"/>
          </w:tcPr>
          <w:p w14:paraId="6054D685">
            <w:pPr>
              <w:pStyle w:val="8"/>
              <w:suppressLineNumbers w:val="0"/>
              <w:bidi w:val="0"/>
              <w:spacing w:before="0" w:beforeAutospacing="0" w:after="0" w:afterAutospacing="0"/>
              <w:ind w:left="0" w:right="0"/>
              <w:rPr>
                <w:rFonts w:hint="default"/>
                <w:highlight w:val="none"/>
                <w:lang w:val="en-US" w:eastAsia="en-US"/>
              </w:rPr>
            </w:pPr>
          </w:p>
        </w:tc>
        <w:tc>
          <w:tcPr>
            <w:tcW w:w="1711" w:type="pct"/>
            <w:vMerge w:val="continue"/>
            <w:vAlign w:val="center"/>
          </w:tcPr>
          <w:p w14:paraId="63D711EC">
            <w:pPr>
              <w:pStyle w:val="8"/>
              <w:suppressLineNumbers w:val="0"/>
              <w:bidi w:val="0"/>
              <w:spacing w:before="0" w:beforeAutospacing="0" w:after="0" w:afterAutospacing="0"/>
              <w:ind w:left="0" w:right="0"/>
              <w:rPr>
                <w:rFonts w:hint="default"/>
                <w:highlight w:val="none"/>
                <w:lang w:val="en-US" w:eastAsia="en-US"/>
              </w:rPr>
            </w:pPr>
          </w:p>
        </w:tc>
      </w:tr>
      <w:tr w14:paraId="2A8F1F0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6" w:type="dxa"/>
            <w:bottom w:w="0" w:type="dxa"/>
            <w:right w:w="56" w:type="dxa"/>
          </w:tblCellMar>
        </w:tblPrEx>
        <w:trPr>
          <w:cantSplit/>
          <w:trHeight w:val="0" w:hRule="atLeast"/>
          <w:jc w:val="center"/>
        </w:trPr>
        <w:tc>
          <w:tcPr>
            <w:tcW w:w="791" w:type="pct"/>
            <w:vAlign w:val="center"/>
          </w:tcPr>
          <w:p w14:paraId="273BF8F4">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臭气浓度</w:t>
            </w:r>
          </w:p>
        </w:tc>
        <w:tc>
          <w:tcPr>
            <w:tcW w:w="504" w:type="pct"/>
            <w:vMerge w:val="continue"/>
            <w:vAlign w:val="center"/>
          </w:tcPr>
          <w:p w14:paraId="472D7868">
            <w:pPr>
              <w:pStyle w:val="8"/>
              <w:suppressLineNumbers w:val="0"/>
              <w:bidi w:val="0"/>
              <w:spacing w:before="0" w:beforeAutospacing="0" w:after="0" w:afterAutospacing="0"/>
              <w:ind w:left="0" w:right="0"/>
              <w:rPr>
                <w:rFonts w:hint="default"/>
                <w:highlight w:val="none"/>
                <w:lang w:val="en-US" w:eastAsia="en-US"/>
              </w:rPr>
            </w:pPr>
          </w:p>
        </w:tc>
        <w:tc>
          <w:tcPr>
            <w:tcW w:w="1424" w:type="pct"/>
            <w:gridSpan w:val="2"/>
            <w:vAlign w:val="center"/>
          </w:tcPr>
          <w:p w14:paraId="07B62F4E">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6000（无量纲）</w:t>
            </w:r>
          </w:p>
        </w:tc>
        <w:tc>
          <w:tcPr>
            <w:tcW w:w="568" w:type="pct"/>
            <w:vMerge w:val="continue"/>
            <w:vAlign w:val="center"/>
          </w:tcPr>
          <w:p w14:paraId="529304D4">
            <w:pPr>
              <w:pStyle w:val="8"/>
              <w:suppressLineNumbers w:val="0"/>
              <w:bidi w:val="0"/>
              <w:spacing w:before="0" w:beforeAutospacing="0" w:after="0" w:afterAutospacing="0"/>
              <w:ind w:left="0" w:right="0"/>
              <w:rPr>
                <w:rFonts w:hint="default"/>
                <w:highlight w:val="none"/>
                <w:lang w:val="en-US" w:eastAsia="en-US"/>
              </w:rPr>
            </w:pPr>
          </w:p>
        </w:tc>
        <w:tc>
          <w:tcPr>
            <w:tcW w:w="1711" w:type="pct"/>
            <w:vAlign w:val="center"/>
          </w:tcPr>
          <w:p w14:paraId="77748D05">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《恶臭污染物排放标准》（GB14554-93）表2中标准</w:t>
            </w:r>
          </w:p>
        </w:tc>
      </w:tr>
      <w:tr w14:paraId="2576BF1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6" w:type="dxa"/>
            <w:bottom w:w="0" w:type="dxa"/>
            <w:right w:w="56" w:type="dxa"/>
          </w:tblCellMar>
        </w:tblPrEx>
        <w:trPr>
          <w:cantSplit/>
          <w:trHeight w:val="0" w:hRule="atLeast"/>
          <w:jc w:val="center"/>
        </w:trPr>
        <w:tc>
          <w:tcPr>
            <w:tcW w:w="791" w:type="pct"/>
            <w:vAlign w:val="center"/>
          </w:tcPr>
          <w:p w14:paraId="753F7CE6">
            <w:pPr>
              <w:pStyle w:val="8"/>
              <w:suppressLineNumbers w:val="0"/>
              <w:bidi w:val="0"/>
              <w:spacing w:before="0" w:beforeAutospacing="0" w:after="0" w:afterAutospacing="0"/>
              <w:ind w:left="0" w:right="0"/>
              <w:rPr>
                <w:rFonts w:hint="eastAsia"/>
                <w:highlight w:val="none"/>
                <w:lang w:val="en-US" w:eastAsia="zh-CN"/>
              </w:rPr>
            </w:pPr>
            <w:r>
              <w:rPr>
                <w:rFonts w:hint="default" w:hAnsiTheme="minorEastAsia" w:eastAsiaTheme="minorEastAsia"/>
                <w:szCs w:val="21"/>
                <w:highlight w:val="none"/>
              </w:rPr>
              <w:t>非甲烷总烃</w:t>
            </w:r>
          </w:p>
        </w:tc>
        <w:tc>
          <w:tcPr>
            <w:tcW w:w="504" w:type="pct"/>
            <w:vAlign w:val="center"/>
          </w:tcPr>
          <w:p w14:paraId="31346EF8">
            <w:pPr>
              <w:pStyle w:val="8"/>
              <w:suppressLineNumbers w:val="0"/>
              <w:bidi w:val="0"/>
              <w:spacing w:before="0" w:beforeAutospacing="0" w:after="0" w:afterAutospacing="0"/>
              <w:ind w:left="0" w:right="0"/>
              <w:rPr>
                <w:rFonts w:hint="default" w:eastAsia="宋体"/>
                <w:highlight w:val="none"/>
                <w:lang w:val="en-US" w:eastAsia="zh-CN"/>
              </w:rPr>
            </w:pPr>
            <w:r>
              <w:rPr>
                <w:rFonts w:hint="eastAsia"/>
                <w:highlight w:val="none"/>
                <w:lang w:val="en-US" w:eastAsia="zh-CN"/>
              </w:rPr>
              <w:t>DA065、DA066</w:t>
            </w:r>
            <w:r>
              <w:rPr>
                <w:rFonts w:hint="default"/>
                <w:highlight w:val="none"/>
                <w:lang w:val="en-US" w:eastAsia="en-US"/>
              </w:rPr>
              <w:t>排气筒</w:t>
            </w:r>
          </w:p>
        </w:tc>
        <w:tc>
          <w:tcPr>
            <w:tcW w:w="595" w:type="pct"/>
            <w:vAlign w:val="center"/>
          </w:tcPr>
          <w:p w14:paraId="7E5090AF">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27.8</w:t>
            </w:r>
          </w:p>
        </w:tc>
        <w:tc>
          <w:tcPr>
            <w:tcW w:w="829" w:type="pct"/>
            <w:vAlign w:val="center"/>
          </w:tcPr>
          <w:p w14:paraId="5DE91C85">
            <w:pPr>
              <w:pStyle w:val="8"/>
              <w:suppressLineNumbers w:val="0"/>
              <w:bidi w:val="0"/>
              <w:spacing w:before="0" w:beforeAutospacing="0" w:after="0" w:afterAutospacing="0"/>
              <w:ind w:left="0" w:leftChars="0" w:right="0" w:rightChars="0" w:firstLine="0" w:firstLineChars="0"/>
              <w:rPr>
                <w:rFonts w:hint="eastAsia"/>
                <w:highlight w:val="none"/>
                <w:lang w:val="en-US" w:eastAsia="zh-CN"/>
              </w:rPr>
            </w:pPr>
            <w:r>
              <w:rPr>
                <w:rFonts w:hint="eastAsia"/>
                <w:highlight w:val="none"/>
                <w:lang w:val="en-US" w:eastAsia="zh-CN"/>
              </w:rPr>
              <w:t>120</w:t>
            </w:r>
          </w:p>
        </w:tc>
        <w:tc>
          <w:tcPr>
            <w:tcW w:w="568" w:type="pct"/>
            <w:vAlign w:val="center"/>
          </w:tcPr>
          <w:p w14:paraId="7BEEA4F7">
            <w:pPr>
              <w:pStyle w:val="8"/>
              <w:suppressLineNumbers w:val="0"/>
              <w:bidi w:val="0"/>
              <w:spacing w:before="0" w:beforeAutospacing="0" w:after="0" w:afterAutospacing="0"/>
              <w:ind w:left="0" w:right="0"/>
              <w:rPr>
                <w:rFonts w:hint="default" w:eastAsia="宋体"/>
                <w:highlight w:val="none"/>
                <w:lang w:val="en-US" w:eastAsia="zh-CN"/>
              </w:rPr>
            </w:pPr>
            <w:r>
              <w:rPr>
                <w:rFonts w:hint="eastAsia"/>
                <w:highlight w:val="none"/>
                <w:lang w:val="en-US" w:eastAsia="zh-CN"/>
              </w:rPr>
              <w:t>23</w:t>
            </w:r>
          </w:p>
        </w:tc>
        <w:tc>
          <w:tcPr>
            <w:tcW w:w="1711" w:type="pct"/>
            <w:vMerge w:val="restart"/>
            <w:vAlign w:val="center"/>
          </w:tcPr>
          <w:p w14:paraId="536E9490">
            <w:pPr>
              <w:pStyle w:val="8"/>
              <w:suppressLineNumbers w:val="0"/>
              <w:bidi w:val="0"/>
              <w:spacing w:before="0" w:beforeAutospacing="0" w:after="0" w:afterAutospacing="0"/>
              <w:ind w:left="0" w:right="0"/>
              <w:rPr>
                <w:rFonts w:hint="eastAsia"/>
                <w:highlight w:val="none"/>
                <w:lang w:val="en-US" w:eastAsia="zh-CN"/>
              </w:rPr>
            </w:pPr>
            <w:r>
              <w:rPr>
                <w:rFonts w:hint="default"/>
                <w:highlight w:val="none"/>
                <w:lang w:val="en-US" w:eastAsia="en-US"/>
              </w:rPr>
              <w:t>《大气污染物综合排放标准》（GB16297-1996）表2中二级标准</w:t>
            </w:r>
          </w:p>
        </w:tc>
      </w:tr>
      <w:tr w14:paraId="78FE8C4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6" w:type="dxa"/>
            <w:bottom w:w="0" w:type="dxa"/>
            <w:right w:w="56" w:type="dxa"/>
          </w:tblCellMar>
        </w:tblPrEx>
        <w:trPr>
          <w:cantSplit/>
          <w:trHeight w:val="0" w:hRule="atLeast"/>
          <w:jc w:val="center"/>
        </w:trPr>
        <w:tc>
          <w:tcPr>
            <w:tcW w:w="791" w:type="pct"/>
            <w:shd w:val="clear" w:color="auto" w:fill="auto"/>
            <w:vAlign w:val="center"/>
          </w:tcPr>
          <w:p w14:paraId="4B74C8F9">
            <w:pPr>
              <w:pStyle w:val="8"/>
              <w:suppressLineNumbers w:val="0"/>
              <w:bidi w:val="0"/>
              <w:spacing w:before="0" w:beforeAutospacing="0" w:after="0" w:afterAutospacing="0"/>
              <w:ind w:left="0" w:right="0"/>
              <w:rPr>
                <w:rFonts w:hint="eastAsia"/>
                <w:highlight w:val="none"/>
                <w:lang w:val="en-US" w:eastAsia="zh-CN"/>
              </w:rPr>
            </w:pPr>
            <w:r>
              <w:rPr>
                <w:rFonts w:hint="eastAsia"/>
                <w:highlight w:val="none"/>
                <w:lang w:val="en-US" w:eastAsia="zh-CN"/>
              </w:rPr>
              <w:t>氮氧化物</w:t>
            </w:r>
          </w:p>
        </w:tc>
        <w:tc>
          <w:tcPr>
            <w:tcW w:w="504" w:type="pct"/>
            <w:vMerge w:val="restart"/>
            <w:vAlign w:val="center"/>
          </w:tcPr>
          <w:p w14:paraId="2A8E16B3">
            <w:pPr>
              <w:pStyle w:val="8"/>
              <w:suppressLineNumbers w:val="0"/>
              <w:bidi w:val="0"/>
              <w:spacing w:before="0" w:beforeAutospacing="0" w:after="0" w:afterAutospacing="0"/>
              <w:ind w:left="0" w:right="0"/>
              <w:rPr>
                <w:rFonts w:hint="default" w:eastAsia="宋体"/>
                <w:highlight w:val="none"/>
                <w:lang w:val="en-US" w:eastAsia="zh-CN"/>
              </w:rPr>
            </w:pPr>
            <w:r>
              <w:rPr>
                <w:rFonts w:hint="eastAsia"/>
                <w:highlight w:val="none"/>
                <w:lang w:val="en-US" w:eastAsia="zh-CN"/>
              </w:rPr>
              <w:t>DA064</w:t>
            </w:r>
            <w:r>
              <w:rPr>
                <w:rFonts w:hint="default"/>
                <w:highlight w:val="none"/>
                <w:lang w:val="en-US" w:eastAsia="en-US"/>
              </w:rPr>
              <w:t>排气筒</w:t>
            </w:r>
          </w:p>
        </w:tc>
        <w:tc>
          <w:tcPr>
            <w:tcW w:w="595" w:type="pct"/>
            <w:vAlign w:val="center"/>
          </w:tcPr>
          <w:p w14:paraId="332EB42F">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2.23</w:t>
            </w:r>
          </w:p>
        </w:tc>
        <w:tc>
          <w:tcPr>
            <w:tcW w:w="829" w:type="pct"/>
            <w:vAlign w:val="center"/>
          </w:tcPr>
          <w:p w14:paraId="2125B723">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240</w:t>
            </w:r>
          </w:p>
        </w:tc>
        <w:tc>
          <w:tcPr>
            <w:tcW w:w="568" w:type="pct"/>
            <w:vMerge w:val="restart"/>
            <w:vAlign w:val="center"/>
          </w:tcPr>
          <w:p w14:paraId="5874414D">
            <w:pPr>
              <w:pStyle w:val="8"/>
              <w:suppressLineNumbers w:val="0"/>
              <w:bidi w:val="0"/>
              <w:spacing w:before="0" w:beforeAutospacing="0" w:after="0" w:afterAutospacing="0"/>
              <w:ind w:left="0" w:right="0"/>
              <w:rPr>
                <w:rFonts w:hint="default" w:eastAsia="宋体"/>
                <w:highlight w:val="none"/>
                <w:lang w:val="en-US" w:eastAsia="zh-CN"/>
              </w:rPr>
            </w:pPr>
            <w:r>
              <w:rPr>
                <w:rFonts w:hint="eastAsia"/>
                <w:highlight w:val="none"/>
                <w:lang w:val="en-US" w:eastAsia="zh-CN"/>
              </w:rPr>
              <w:t>23</w:t>
            </w:r>
          </w:p>
        </w:tc>
        <w:tc>
          <w:tcPr>
            <w:tcW w:w="1711" w:type="pct"/>
            <w:vMerge w:val="continue"/>
            <w:vAlign w:val="center"/>
          </w:tcPr>
          <w:p w14:paraId="0ADB8615">
            <w:pPr>
              <w:pStyle w:val="8"/>
              <w:suppressLineNumbers w:val="0"/>
              <w:bidi w:val="0"/>
              <w:spacing w:before="0" w:beforeAutospacing="0" w:after="0" w:afterAutospacing="0"/>
              <w:ind w:left="0" w:right="0"/>
              <w:rPr>
                <w:rFonts w:hint="eastAsia"/>
                <w:highlight w:val="none"/>
                <w:lang w:val="en-US" w:eastAsia="zh-CN"/>
              </w:rPr>
            </w:pPr>
          </w:p>
        </w:tc>
      </w:tr>
      <w:tr w14:paraId="2936BBF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6" w:type="dxa"/>
            <w:bottom w:w="0" w:type="dxa"/>
            <w:right w:w="56" w:type="dxa"/>
          </w:tblCellMar>
        </w:tblPrEx>
        <w:trPr>
          <w:cantSplit/>
          <w:trHeight w:val="0" w:hRule="atLeast"/>
          <w:jc w:val="center"/>
        </w:trPr>
        <w:tc>
          <w:tcPr>
            <w:tcW w:w="791" w:type="pct"/>
            <w:shd w:val="clear" w:color="auto" w:fill="auto"/>
            <w:vAlign w:val="center"/>
          </w:tcPr>
          <w:p w14:paraId="66B8A057">
            <w:pPr>
              <w:pStyle w:val="8"/>
              <w:suppressLineNumbers w:val="0"/>
              <w:bidi w:val="0"/>
              <w:spacing w:before="0" w:beforeAutospacing="0" w:after="0" w:afterAutospacing="0"/>
              <w:ind w:left="0" w:right="0"/>
              <w:rPr>
                <w:rFonts w:hint="eastAsia"/>
                <w:highlight w:val="none"/>
                <w:lang w:val="en-US" w:eastAsia="zh-CN"/>
              </w:rPr>
            </w:pPr>
            <w:r>
              <w:rPr>
                <w:rFonts w:hint="eastAsia"/>
                <w:highlight w:val="none"/>
                <w:lang w:val="en-US" w:eastAsia="zh-CN"/>
              </w:rPr>
              <w:t>非甲烷总烃</w:t>
            </w:r>
          </w:p>
        </w:tc>
        <w:tc>
          <w:tcPr>
            <w:tcW w:w="504" w:type="pct"/>
            <w:vMerge w:val="continue"/>
            <w:vAlign w:val="center"/>
          </w:tcPr>
          <w:p w14:paraId="6398D5CC">
            <w:pPr>
              <w:pStyle w:val="8"/>
              <w:suppressLineNumbers w:val="0"/>
              <w:bidi w:val="0"/>
              <w:spacing w:before="0" w:beforeAutospacing="0" w:after="0" w:afterAutospacing="0"/>
              <w:ind w:left="0" w:right="0"/>
              <w:rPr>
                <w:rFonts w:hint="default"/>
                <w:highlight w:val="none"/>
                <w:lang w:val="en-US" w:eastAsia="en-US"/>
              </w:rPr>
            </w:pPr>
          </w:p>
        </w:tc>
        <w:tc>
          <w:tcPr>
            <w:tcW w:w="595" w:type="pct"/>
            <w:vAlign w:val="center"/>
          </w:tcPr>
          <w:p w14:paraId="20D69FB0">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27.8</w:t>
            </w:r>
          </w:p>
        </w:tc>
        <w:tc>
          <w:tcPr>
            <w:tcW w:w="829" w:type="pct"/>
            <w:vAlign w:val="center"/>
          </w:tcPr>
          <w:p w14:paraId="7970906F">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120</w:t>
            </w:r>
          </w:p>
        </w:tc>
        <w:tc>
          <w:tcPr>
            <w:tcW w:w="568" w:type="pct"/>
            <w:vMerge w:val="continue"/>
            <w:vAlign w:val="center"/>
          </w:tcPr>
          <w:p w14:paraId="45AE1D8A">
            <w:pPr>
              <w:pStyle w:val="8"/>
              <w:suppressLineNumbers w:val="0"/>
              <w:bidi w:val="0"/>
              <w:spacing w:before="0" w:beforeAutospacing="0" w:after="0" w:afterAutospacing="0"/>
              <w:ind w:left="0" w:right="0"/>
              <w:rPr>
                <w:rFonts w:hint="default"/>
                <w:highlight w:val="none"/>
                <w:lang w:val="en-US" w:eastAsia="en-US"/>
              </w:rPr>
            </w:pPr>
          </w:p>
        </w:tc>
        <w:tc>
          <w:tcPr>
            <w:tcW w:w="1711" w:type="pct"/>
            <w:vMerge w:val="continue"/>
            <w:vAlign w:val="center"/>
          </w:tcPr>
          <w:p w14:paraId="6D6CE88E">
            <w:pPr>
              <w:pStyle w:val="8"/>
              <w:suppressLineNumbers w:val="0"/>
              <w:bidi w:val="0"/>
              <w:spacing w:before="0" w:beforeAutospacing="0" w:after="0" w:afterAutospacing="0"/>
              <w:ind w:left="0" w:right="0"/>
              <w:rPr>
                <w:rFonts w:hint="eastAsia"/>
                <w:highlight w:val="none"/>
                <w:lang w:val="en-US" w:eastAsia="zh-CN"/>
              </w:rPr>
            </w:pPr>
          </w:p>
        </w:tc>
      </w:tr>
      <w:tr w14:paraId="423C121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6" w:type="dxa"/>
            <w:bottom w:w="0" w:type="dxa"/>
            <w:right w:w="56" w:type="dxa"/>
          </w:tblCellMar>
        </w:tblPrEx>
        <w:trPr>
          <w:cantSplit/>
          <w:trHeight w:val="0" w:hRule="atLeast"/>
          <w:jc w:val="center"/>
        </w:trPr>
        <w:tc>
          <w:tcPr>
            <w:tcW w:w="791" w:type="pct"/>
            <w:vAlign w:val="center"/>
          </w:tcPr>
          <w:p w14:paraId="2CCD08F9">
            <w:pPr>
              <w:pStyle w:val="8"/>
              <w:suppressLineNumbers w:val="0"/>
              <w:bidi w:val="0"/>
              <w:spacing w:before="0" w:beforeAutospacing="0" w:after="0" w:afterAutospacing="0"/>
              <w:ind w:left="0" w:right="0"/>
              <w:rPr>
                <w:rFonts w:hint="eastAsia"/>
                <w:highlight w:val="none"/>
                <w:lang w:val="en-US" w:eastAsia="zh-CN"/>
              </w:rPr>
            </w:pPr>
            <w:r>
              <w:rPr>
                <w:rFonts w:hint="eastAsia"/>
                <w:highlight w:val="none"/>
                <w:lang w:val="en-US" w:eastAsia="zh-CN"/>
              </w:rPr>
              <w:t>臭气浓度</w:t>
            </w:r>
          </w:p>
        </w:tc>
        <w:tc>
          <w:tcPr>
            <w:tcW w:w="504" w:type="pct"/>
            <w:vMerge w:val="restart"/>
            <w:vAlign w:val="center"/>
          </w:tcPr>
          <w:p w14:paraId="69110762">
            <w:pPr>
              <w:pStyle w:val="8"/>
              <w:suppressLineNumbers w:val="0"/>
              <w:bidi w:val="0"/>
              <w:spacing w:before="0" w:beforeAutospacing="0" w:after="0" w:afterAutospacing="0"/>
              <w:ind w:left="0" w:right="0"/>
              <w:rPr>
                <w:rFonts w:hint="default"/>
                <w:highlight w:val="none"/>
                <w:lang w:val="en-US" w:eastAsia="en-US"/>
              </w:rPr>
            </w:pPr>
            <w:r>
              <w:rPr>
                <w:rFonts w:hint="default"/>
                <w:highlight w:val="none"/>
                <w:lang w:val="en-US" w:eastAsia="en-US"/>
              </w:rPr>
              <w:t>厂界无组织</w:t>
            </w:r>
          </w:p>
        </w:tc>
        <w:tc>
          <w:tcPr>
            <w:tcW w:w="1992" w:type="pct"/>
            <w:gridSpan w:val="3"/>
            <w:vAlign w:val="center"/>
          </w:tcPr>
          <w:p w14:paraId="77DD1B32">
            <w:pPr>
              <w:pStyle w:val="8"/>
              <w:suppressLineNumbers w:val="0"/>
              <w:bidi w:val="0"/>
              <w:spacing w:before="0" w:beforeAutospacing="0" w:after="0" w:afterAutospacing="0"/>
              <w:ind w:left="0" w:right="0"/>
              <w:rPr>
                <w:rFonts w:hint="default"/>
                <w:highlight w:val="none"/>
                <w:lang w:val="en-US" w:eastAsia="en-US"/>
              </w:rPr>
            </w:pPr>
            <w:r>
              <w:rPr>
                <w:rFonts w:hint="default" w:hAnsiTheme="minorEastAsia" w:eastAsiaTheme="minorEastAsia"/>
                <w:szCs w:val="21"/>
                <w:highlight w:val="none"/>
              </w:rPr>
              <w:t>厂界标准值：</w:t>
            </w:r>
            <w:r>
              <w:rPr>
                <w:rFonts w:hint="eastAsia" w:hAnsiTheme="minorEastAsia" w:eastAsiaTheme="minorEastAsia"/>
                <w:szCs w:val="21"/>
                <w:highlight w:val="none"/>
              </w:rPr>
              <w:t>20无量纲</w:t>
            </w:r>
          </w:p>
        </w:tc>
        <w:tc>
          <w:tcPr>
            <w:tcW w:w="1711" w:type="pct"/>
            <w:vMerge w:val="restart"/>
            <w:vAlign w:val="center"/>
          </w:tcPr>
          <w:p w14:paraId="41EA6EBD">
            <w:pPr>
              <w:pStyle w:val="8"/>
              <w:suppressLineNumbers w:val="0"/>
              <w:bidi w:val="0"/>
              <w:spacing w:before="0" w:beforeAutospacing="0" w:after="0" w:afterAutospacing="0"/>
              <w:ind w:left="0" w:right="0"/>
              <w:rPr>
                <w:rFonts w:hint="default"/>
                <w:highlight w:val="none"/>
                <w:lang w:val="en-US" w:eastAsia="en-US"/>
              </w:rPr>
            </w:pPr>
            <w:r>
              <w:rPr>
                <w:rFonts w:hint="eastAsia"/>
                <w:highlight w:val="none"/>
                <w:lang w:val="en-US" w:eastAsia="zh-CN"/>
              </w:rPr>
              <w:t>《恶臭污染物排放标准》（GB14554-93）表1中标准</w:t>
            </w:r>
          </w:p>
        </w:tc>
      </w:tr>
      <w:tr w14:paraId="181D52C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6" w:type="dxa"/>
            <w:bottom w:w="0" w:type="dxa"/>
            <w:right w:w="56" w:type="dxa"/>
          </w:tblCellMar>
        </w:tblPrEx>
        <w:trPr>
          <w:cantSplit/>
          <w:trHeight w:val="0" w:hRule="atLeast"/>
          <w:jc w:val="center"/>
        </w:trPr>
        <w:tc>
          <w:tcPr>
            <w:tcW w:w="791" w:type="pct"/>
            <w:vAlign w:val="center"/>
          </w:tcPr>
          <w:p w14:paraId="5E628A5D">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氨</w:t>
            </w:r>
          </w:p>
        </w:tc>
        <w:tc>
          <w:tcPr>
            <w:tcW w:w="504" w:type="pct"/>
            <w:vMerge w:val="continue"/>
            <w:vAlign w:val="center"/>
          </w:tcPr>
          <w:p w14:paraId="597261BF">
            <w:pPr>
              <w:pStyle w:val="8"/>
              <w:suppressLineNumbers w:val="0"/>
              <w:bidi w:val="0"/>
              <w:spacing w:before="0" w:beforeAutospacing="0" w:after="0" w:afterAutospacing="0"/>
              <w:ind w:left="0" w:right="0"/>
              <w:rPr>
                <w:rFonts w:hint="default"/>
                <w:highlight w:val="none"/>
                <w:lang w:val="en-US" w:eastAsia="en-US"/>
              </w:rPr>
            </w:pPr>
          </w:p>
        </w:tc>
        <w:tc>
          <w:tcPr>
            <w:tcW w:w="1992" w:type="pct"/>
            <w:gridSpan w:val="3"/>
            <w:vAlign w:val="center"/>
          </w:tcPr>
          <w:p w14:paraId="14F5B5E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sz w:val="21"/>
                <w:szCs w:val="21"/>
                <w:highlight w:val="none"/>
                <w:lang w:val="en-US" w:eastAsia="zh-CN"/>
              </w:rPr>
            </w:pPr>
            <w:r>
              <w:rPr>
                <w:rFonts w:hint="default" w:hAnsiTheme="minorEastAsia" w:eastAsiaTheme="minorEastAsia"/>
                <w:sz w:val="21"/>
                <w:szCs w:val="21"/>
                <w:highlight w:val="none"/>
              </w:rPr>
              <w:t>厂界标准值：</w:t>
            </w:r>
            <w:r>
              <w:rPr>
                <w:rFonts w:hint="eastAsia" w:hAnsiTheme="minorEastAsia" w:eastAsiaTheme="minorEastAsia"/>
                <w:sz w:val="21"/>
                <w:szCs w:val="21"/>
                <w:highlight w:val="none"/>
              </w:rPr>
              <w:t>1.5mg/m</w:t>
            </w:r>
            <w:r>
              <w:rPr>
                <w:rFonts w:hint="eastAsia" w:hAnsiTheme="minorEastAsia" w:eastAsiaTheme="minorEastAsia"/>
                <w:sz w:val="21"/>
                <w:szCs w:val="21"/>
                <w:highlight w:val="none"/>
                <w:vertAlign w:val="superscript"/>
              </w:rPr>
              <w:t>3</w:t>
            </w:r>
          </w:p>
        </w:tc>
        <w:tc>
          <w:tcPr>
            <w:tcW w:w="1711" w:type="pct"/>
            <w:vMerge w:val="continue"/>
            <w:vAlign w:val="center"/>
          </w:tcPr>
          <w:p w14:paraId="66848370">
            <w:pPr>
              <w:pStyle w:val="8"/>
              <w:suppressLineNumbers w:val="0"/>
              <w:bidi w:val="0"/>
              <w:spacing w:before="0" w:beforeAutospacing="0" w:after="0" w:afterAutospacing="0"/>
              <w:ind w:left="0" w:right="0"/>
              <w:rPr>
                <w:rFonts w:hint="eastAsia"/>
                <w:highlight w:val="none"/>
                <w:lang w:val="en-US" w:eastAsia="zh-CN"/>
              </w:rPr>
            </w:pPr>
          </w:p>
        </w:tc>
      </w:tr>
      <w:tr w14:paraId="6CBB86E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6" w:type="dxa"/>
            <w:bottom w:w="0" w:type="dxa"/>
            <w:right w:w="56" w:type="dxa"/>
          </w:tblCellMar>
        </w:tblPrEx>
        <w:trPr>
          <w:cantSplit/>
          <w:trHeight w:val="0" w:hRule="atLeast"/>
          <w:jc w:val="center"/>
        </w:trPr>
        <w:tc>
          <w:tcPr>
            <w:tcW w:w="791" w:type="pct"/>
            <w:vAlign w:val="center"/>
          </w:tcPr>
          <w:p w14:paraId="41D1F23A">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硫化氢</w:t>
            </w:r>
          </w:p>
        </w:tc>
        <w:tc>
          <w:tcPr>
            <w:tcW w:w="504" w:type="pct"/>
            <w:vMerge w:val="continue"/>
            <w:vAlign w:val="center"/>
          </w:tcPr>
          <w:p w14:paraId="26F23C83">
            <w:pPr>
              <w:pStyle w:val="8"/>
              <w:suppressLineNumbers w:val="0"/>
              <w:bidi w:val="0"/>
              <w:spacing w:before="0" w:beforeAutospacing="0" w:after="0" w:afterAutospacing="0"/>
              <w:ind w:left="0" w:right="0"/>
              <w:rPr>
                <w:rFonts w:hint="default"/>
                <w:highlight w:val="none"/>
                <w:lang w:val="en-US" w:eastAsia="en-US"/>
              </w:rPr>
            </w:pPr>
          </w:p>
        </w:tc>
        <w:tc>
          <w:tcPr>
            <w:tcW w:w="1992" w:type="pct"/>
            <w:gridSpan w:val="3"/>
            <w:vAlign w:val="center"/>
          </w:tcPr>
          <w:p w14:paraId="4A75496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sz w:val="21"/>
                <w:szCs w:val="21"/>
                <w:highlight w:val="none"/>
                <w:lang w:val="en-US" w:eastAsia="zh-CN"/>
              </w:rPr>
            </w:pPr>
            <w:r>
              <w:rPr>
                <w:rFonts w:hint="default" w:hAnsiTheme="minorEastAsia" w:eastAsiaTheme="minorEastAsia"/>
                <w:sz w:val="21"/>
                <w:szCs w:val="21"/>
                <w:highlight w:val="none"/>
              </w:rPr>
              <w:t>厂界标准值：</w:t>
            </w:r>
            <w:r>
              <w:rPr>
                <w:rFonts w:hint="eastAsia" w:hAnsiTheme="minorEastAsia" w:eastAsiaTheme="minorEastAsia"/>
                <w:sz w:val="21"/>
                <w:szCs w:val="21"/>
                <w:highlight w:val="none"/>
              </w:rPr>
              <w:t>0.06mg/m</w:t>
            </w:r>
            <w:r>
              <w:rPr>
                <w:rFonts w:hint="eastAsia" w:hAnsiTheme="minorEastAsia" w:eastAsiaTheme="minorEastAsia"/>
                <w:sz w:val="21"/>
                <w:szCs w:val="21"/>
                <w:highlight w:val="none"/>
                <w:vertAlign w:val="superscript"/>
              </w:rPr>
              <w:t>3</w:t>
            </w:r>
          </w:p>
        </w:tc>
        <w:tc>
          <w:tcPr>
            <w:tcW w:w="1711" w:type="pct"/>
            <w:vMerge w:val="continue"/>
            <w:vAlign w:val="center"/>
          </w:tcPr>
          <w:p w14:paraId="47EFE88E">
            <w:pPr>
              <w:pStyle w:val="8"/>
              <w:suppressLineNumbers w:val="0"/>
              <w:bidi w:val="0"/>
              <w:spacing w:before="0" w:beforeAutospacing="0" w:after="0" w:afterAutospacing="0"/>
              <w:ind w:left="0" w:right="0"/>
              <w:rPr>
                <w:rFonts w:hint="eastAsia"/>
                <w:highlight w:val="none"/>
                <w:lang w:val="en-US" w:eastAsia="zh-CN"/>
              </w:rPr>
            </w:pPr>
          </w:p>
        </w:tc>
      </w:tr>
      <w:tr w14:paraId="33341C8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6" w:type="dxa"/>
            <w:bottom w:w="0" w:type="dxa"/>
            <w:right w:w="56" w:type="dxa"/>
          </w:tblCellMar>
        </w:tblPrEx>
        <w:trPr>
          <w:cantSplit/>
          <w:trHeight w:val="0" w:hRule="atLeast"/>
          <w:jc w:val="center"/>
        </w:trPr>
        <w:tc>
          <w:tcPr>
            <w:tcW w:w="791" w:type="pct"/>
            <w:vAlign w:val="center"/>
          </w:tcPr>
          <w:p w14:paraId="7D36249E">
            <w:pPr>
              <w:pStyle w:val="8"/>
              <w:suppressLineNumbers w:val="0"/>
              <w:bidi w:val="0"/>
              <w:spacing w:before="0" w:beforeAutospacing="0" w:after="0" w:afterAutospacing="0"/>
              <w:ind w:left="0" w:right="0"/>
              <w:rPr>
                <w:rFonts w:hint="eastAsia"/>
                <w:highlight w:val="none"/>
                <w:lang w:val="en-US" w:eastAsia="zh-CN"/>
              </w:rPr>
            </w:pPr>
            <w:r>
              <w:rPr>
                <w:rFonts w:hint="eastAsia"/>
                <w:highlight w:val="none"/>
                <w:lang w:val="en-US" w:eastAsia="zh-CN"/>
              </w:rPr>
              <w:t>颗粒物</w:t>
            </w:r>
          </w:p>
        </w:tc>
        <w:tc>
          <w:tcPr>
            <w:tcW w:w="504" w:type="pct"/>
            <w:vMerge w:val="continue"/>
            <w:vAlign w:val="center"/>
          </w:tcPr>
          <w:p w14:paraId="0127E7FD">
            <w:pPr>
              <w:pStyle w:val="8"/>
              <w:suppressLineNumbers w:val="0"/>
              <w:bidi w:val="0"/>
              <w:spacing w:before="0" w:beforeAutospacing="0" w:after="0" w:afterAutospacing="0"/>
              <w:ind w:left="0" w:right="0"/>
              <w:rPr>
                <w:rFonts w:hint="default"/>
                <w:highlight w:val="none"/>
                <w:lang w:val="en-US" w:eastAsia="en-US"/>
              </w:rPr>
            </w:pPr>
          </w:p>
        </w:tc>
        <w:tc>
          <w:tcPr>
            <w:tcW w:w="1992" w:type="pct"/>
            <w:gridSpan w:val="3"/>
            <w:vAlign w:val="center"/>
          </w:tcPr>
          <w:p w14:paraId="30EB530B">
            <w:pPr>
              <w:pStyle w:val="8"/>
              <w:suppressLineNumbers w:val="0"/>
              <w:bidi w:val="0"/>
              <w:spacing w:before="0" w:beforeAutospacing="0" w:after="0" w:afterAutospacing="0"/>
              <w:ind w:left="0" w:right="0"/>
              <w:rPr>
                <w:rFonts w:hint="default"/>
                <w:highlight w:val="none"/>
                <w:lang w:val="en-US" w:eastAsia="en-US"/>
              </w:rPr>
            </w:pPr>
            <w:r>
              <w:rPr>
                <w:rFonts w:hint="default"/>
                <w:highlight w:val="none"/>
                <w:lang w:val="en-US" w:eastAsia="en-US"/>
              </w:rPr>
              <w:t>周界外浓度最高点：</w:t>
            </w:r>
            <w:r>
              <w:rPr>
                <w:rFonts w:hint="eastAsia"/>
                <w:highlight w:val="none"/>
                <w:lang w:val="en-US" w:eastAsia="zh-CN"/>
              </w:rPr>
              <w:t>1</w:t>
            </w:r>
            <w:r>
              <w:rPr>
                <w:rFonts w:hint="default"/>
                <w:highlight w:val="none"/>
                <w:lang w:val="en-US" w:eastAsia="en-US"/>
              </w:rPr>
              <w:t>.0mg/m</w:t>
            </w:r>
            <w:r>
              <w:rPr>
                <w:rFonts w:hint="default"/>
                <w:highlight w:val="none"/>
                <w:vertAlign w:val="superscript"/>
                <w:lang w:val="en-US" w:eastAsia="en-US"/>
              </w:rPr>
              <w:t>3</w:t>
            </w:r>
          </w:p>
        </w:tc>
        <w:tc>
          <w:tcPr>
            <w:tcW w:w="1711" w:type="pct"/>
            <w:vMerge w:val="restart"/>
            <w:vAlign w:val="center"/>
          </w:tcPr>
          <w:p w14:paraId="067D9232">
            <w:pPr>
              <w:pStyle w:val="8"/>
              <w:suppressLineNumbers w:val="0"/>
              <w:bidi w:val="0"/>
              <w:spacing w:before="0" w:beforeAutospacing="0" w:after="0" w:afterAutospacing="0"/>
              <w:ind w:left="0" w:right="0"/>
              <w:rPr>
                <w:rFonts w:hint="default"/>
                <w:highlight w:val="none"/>
                <w:lang w:val="en-US" w:eastAsia="en-US"/>
              </w:rPr>
            </w:pPr>
            <w:r>
              <w:rPr>
                <w:rFonts w:hint="default"/>
                <w:highlight w:val="none"/>
                <w:lang w:val="en-US" w:eastAsia="en-US"/>
              </w:rPr>
              <w:t>《大气污染物综合排放标准》（GB16297-1996）</w:t>
            </w:r>
            <w:r>
              <w:rPr>
                <w:rFonts w:hint="eastAsia"/>
                <w:highlight w:val="none"/>
                <w:lang w:val="en-US" w:eastAsia="zh-CN"/>
              </w:rPr>
              <w:t>表2</w:t>
            </w:r>
            <w:r>
              <w:rPr>
                <w:rFonts w:hint="default"/>
                <w:highlight w:val="none"/>
                <w:lang w:val="en-US" w:eastAsia="en-US"/>
              </w:rPr>
              <w:t>无组织排放监控浓度限值</w:t>
            </w:r>
          </w:p>
        </w:tc>
      </w:tr>
      <w:tr w14:paraId="32BC316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6" w:type="dxa"/>
            <w:bottom w:w="0" w:type="dxa"/>
            <w:right w:w="56" w:type="dxa"/>
          </w:tblCellMar>
        </w:tblPrEx>
        <w:trPr>
          <w:cantSplit/>
          <w:trHeight w:val="0" w:hRule="atLeast"/>
          <w:jc w:val="center"/>
        </w:trPr>
        <w:tc>
          <w:tcPr>
            <w:tcW w:w="791" w:type="pct"/>
            <w:vAlign w:val="center"/>
          </w:tcPr>
          <w:p w14:paraId="1A1CA439">
            <w:pPr>
              <w:pStyle w:val="8"/>
              <w:suppressLineNumbers w:val="0"/>
              <w:bidi w:val="0"/>
              <w:spacing w:before="0" w:beforeAutospacing="0" w:after="0" w:afterAutospacing="0"/>
              <w:ind w:left="0" w:right="0"/>
              <w:rPr>
                <w:rFonts w:hint="default"/>
                <w:highlight w:val="none"/>
                <w:lang w:val="en-US" w:eastAsia="en-US"/>
              </w:rPr>
            </w:pPr>
            <w:r>
              <w:rPr>
                <w:rFonts w:hint="default" w:hAnsiTheme="minorEastAsia" w:eastAsiaTheme="minorEastAsia"/>
                <w:szCs w:val="21"/>
                <w:highlight w:val="none"/>
              </w:rPr>
              <w:t>非甲烷总烃</w:t>
            </w:r>
          </w:p>
        </w:tc>
        <w:tc>
          <w:tcPr>
            <w:tcW w:w="504" w:type="pct"/>
            <w:vMerge w:val="continue"/>
            <w:vAlign w:val="center"/>
          </w:tcPr>
          <w:p w14:paraId="41062294">
            <w:pPr>
              <w:pStyle w:val="8"/>
              <w:suppressLineNumbers w:val="0"/>
              <w:bidi w:val="0"/>
              <w:spacing w:before="0" w:beforeAutospacing="0" w:after="0" w:afterAutospacing="0"/>
              <w:ind w:left="0" w:right="0"/>
              <w:rPr>
                <w:rFonts w:hint="default"/>
                <w:highlight w:val="none"/>
                <w:lang w:val="en-US" w:eastAsia="en-US"/>
              </w:rPr>
            </w:pPr>
          </w:p>
        </w:tc>
        <w:tc>
          <w:tcPr>
            <w:tcW w:w="1992" w:type="pct"/>
            <w:gridSpan w:val="3"/>
            <w:vAlign w:val="center"/>
          </w:tcPr>
          <w:p w14:paraId="35F4BCC7">
            <w:pPr>
              <w:pStyle w:val="8"/>
              <w:suppressLineNumbers w:val="0"/>
              <w:bidi w:val="0"/>
              <w:spacing w:before="0" w:beforeAutospacing="0" w:after="0" w:afterAutospacing="0"/>
              <w:ind w:left="0" w:right="0"/>
              <w:rPr>
                <w:rFonts w:hint="default"/>
                <w:highlight w:val="none"/>
                <w:lang w:val="en-US" w:eastAsia="en-US"/>
              </w:rPr>
            </w:pPr>
            <w:r>
              <w:rPr>
                <w:rFonts w:hint="default"/>
                <w:highlight w:val="none"/>
                <w:lang w:val="en-US" w:eastAsia="en-US"/>
              </w:rPr>
              <w:t>周界外浓度最高点：4.0mg/m</w:t>
            </w:r>
            <w:r>
              <w:rPr>
                <w:rFonts w:hint="default"/>
                <w:highlight w:val="none"/>
                <w:vertAlign w:val="superscript"/>
                <w:lang w:val="en-US" w:eastAsia="en-US"/>
              </w:rPr>
              <w:t>3</w:t>
            </w:r>
          </w:p>
        </w:tc>
        <w:tc>
          <w:tcPr>
            <w:tcW w:w="1711" w:type="pct"/>
            <w:vMerge w:val="continue"/>
            <w:vAlign w:val="center"/>
          </w:tcPr>
          <w:p w14:paraId="6AEED6AF">
            <w:pPr>
              <w:pStyle w:val="8"/>
              <w:suppressLineNumbers w:val="0"/>
              <w:bidi w:val="0"/>
              <w:spacing w:before="0" w:beforeAutospacing="0" w:after="0" w:afterAutospacing="0"/>
              <w:ind w:left="0" w:right="0"/>
              <w:rPr>
                <w:rFonts w:hint="default"/>
                <w:highlight w:val="none"/>
                <w:lang w:val="en-US" w:eastAsia="en-US"/>
              </w:rPr>
            </w:pPr>
          </w:p>
        </w:tc>
      </w:tr>
      <w:tr w14:paraId="467DFAE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6" w:type="dxa"/>
            <w:bottom w:w="0" w:type="dxa"/>
            <w:right w:w="56" w:type="dxa"/>
          </w:tblCellMar>
        </w:tblPrEx>
        <w:trPr>
          <w:cantSplit/>
          <w:trHeight w:val="0" w:hRule="atLeast"/>
          <w:jc w:val="center"/>
        </w:trPr>
        <w:tc>
          <w:tcPr>
            <w:tcW w:w="791" w:type="pct"/>
            <w:vAlign w:val="center"/>
          </w:tcPr>
          <w:p w14:paraId="76640A98">
            <w:pPr>
              <w:pStyle w:val="8"/>
              <w:suppressLineNumbers w:val="0"/>
              <w:bidi w:val="0"/>
              <w:spacing w:before="0" w:beforeAutospacing="0" w:after="0" w:afterAutospacing="0"/>
              <w:ind w:left="0" w:right="0"/>
              <w:rPr>
                <w:rFonts w:hint="default"/>
                <w:highlight w:val="none"/>
                <w:lang w:val="en-US" w:eastAsia="en-US"/>
              </w:rPr>
            </w:pPr>
            <w:r>
              <w:rPr>
                <w:rFonts w:hint="default" w:hAnsiTheme="minorEastAsia" w:eastAsiaTheme="minorEastAsia"/>
                <w:szCs w:val="21"/>
                <w:highlight w:val="none"/>
              </w:rPr>
              <w:t>非甲烷总烃</w:t>
            </w:r>
          </w:p>
        </w:tc>
        <w:tc>
          <w:tcPr>
            <w:tcW w:w="504" w:type="pct"/>
            <w:vAlign w:val="center"/>
          </w:tcPr>
          <w:p w14:paraId="2AD39065">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厂区内</w:t>
            </w:r>
          </w:p>
        </w:tc>
        <w:tc>
          <w:tcPr>
            <w:tcW w:w="1992" w:type="pct"/>
            <w:gridSpan w:val="3"/>
            <w:vAlign w:val="center"/>
          </w:tcPr>
          <w:p w14:paraId="23F40CAF">
            <w:pPr>
              <w:pStyle w:val="8"/>
              <w:suppressLineNumbers w:val="0"/>
              <w:bidi w:val="0"/>
              <w:spacing w:before="0" w:beforeAutospacing="0" w:after="0" w:afterAutospacing="0"/>
              <w:ind w:left="0" w:right="0"/>
              <w:rPr>
                <w:rFonts w:hint="default"/>
                <w:highlight w:val="none"/>
                <w:lang w:val="en-US" w:eastAsia="en-US"/>
              </w:rPr>
            </w:pPr>
            <w:r>
              <w:rPr>
                <w:rFonts w:hint="default"/>
                <w:highlight w:val="none"/>
                <w:lang w:val="zh-CN" w:eastAsia="zh-CN"/>
              </w:rPr>
              <w:t>1h平均浓度＜10mg/m</w:t>
            </w:r>
            <w:r>
              <w:rPr>
                <w:rFonts w:hint="default"/>
                <w:highlight w:val="none"/>
                <w:vertAlign w:val="superscript"/>
                <w:lang w:val="zh-CN" w:eastAsia="zh-CN"/>
              </w:rPr>
              <w:t>3</w:t>
            </w:r>
            <w:r>
              <w:rPr>
                <w:rFonts w:hint="default"/>
                <w:highlight w:val="none"/>
                <w:lang w:val="zh-CN" w:eastAsia="zh-CN"/>
              </w:rPr>
              <w:t>，任意一次浓度值：30mg/m</w:t>
            </w:r>
            <w:r>
              <w:rPr>
                <w:rFonts w:hint="default"/>
                <w:highlight w:val="none"/>
                <w:vertAlign w:val="superscript"/>
                <w:lang w:val="zh-CN" w:eastAsia="zh-CN"/>
              </w:rPr>
              <w:t>3</w:t>
            </w:r>
          </w:p>
        </w:tc>
        <w:tc>
          <w:tcPr>
            <w:tcW w:w="1711" w:type="pct"/>
            <w:vAlign w:val="center"/>
          </w:tcPr>
          <w:p w14:paraId="71F7102F">
            <w:pPr>
              <w:pStyle w:val="8"/>
              <w:suppressLineNumbers w:val="0"/>
              <w:bidi w:val="0"/>
              <w:spacing w:before="0" w:beforeAutospacing="0" w:after="0" w:afterAutospacing="0"/>
              <w:ind w:left="0" w:right="0"/>
              <w:rPr>
                <w:rFonts w:hint="default"/>
                <w:highlight w:val="none"/>
                <w:lang w:val="en-US" w:eastAsia="en-US"/>
              </w:rPr>
            </w:pPr>
            <w:r>
              <w:rPr>
                <w:rFonts w:hint="default"/>
                <w:highlight w:val="none"/>
                <w:lang w:val="en-US" w:eastAsia="en-US"/>
              </w:rPr>
              <w:t>《挥发性有机物无组织排放控制标准》（GB37822-2019）</w:t>
            </w:r>
          </w:p>
        </w:tc>
      </w:tr>
    </w:tbl>
    <w:p w14:paraId="53D0A5A0">
      <w:pPr>
        <w:pStyle w:val="6"/>
        <w:bidi w:val="0"/>
        <w:rPr>
          <w:highlight w:val="none"/>
        </w:rPr>
      </w:pPr>
      <w:r>
        <w:rPr>
          <w:highlight w:val="none"/>
        </w:rPr>
        <w:t>2.3.2.2废水污染物排放标准</w:t>
      </w:r>
    </w:p>
    <w:p w14:paraId="1A869362">
      <w:pPr>
        <w:keepNext w:val="0"/>
        <w:keepLines w:val="0"/>
        <w:pageBreakBefore w:val="0"/>
        <w:widowControl w:val="0"/>
        <w:kinsoku/>
        <w:overflowPunct/>
        <w:topLinePunct w:val="0"/>
        <w:bidi w:val="0"/>
        <w:spacing w:line="360" w:lineRule="auto"/>
        <w:ind w:firstLine="480" w:firstLineChars="200"/>
        <w:outlineLvl w:val="9"/>
        <w:rPr>
          <w:rFonts w:eastAsiaTheme="minorEastAsia"/>
          <w:bCs/>
          <w:sz w:val="24"/>
          <w:highlight w:val="none"/>
        </w:rPr>
      </w:pPr>
      <w:r>
        <w:rPr>
          <w:rFonts w:hAnsiTheme="minorEastAsia" w:eastAsiaTheme="minorEastAsia"/>
          <w:kern w:val="0"/>
          <w:sz w:val="24"/>
          <w:highlight w:val="none"/>
        </w:rPr>
        <w:t>项目</w:t>
      </w:r>
      <w:r>
        <w:rPr>
          <w:rFonts w:hint="eastAsia" w:hAnsiTheme="minorEastAsia" w:eastAsiaTheme="minorEastAsia"/>
          <w:kern w:val="0"/>
          <w:sz w:val="24"/>
          <w:highlight w:val="none"/>
          <w:lang w:val="en-US" w:eastAsia="zh-CN"/>
        </w:rPr>
        <w:t>不新增生活污水</w:t>
      </w:r>
      <w:r>
        <w:rPr>
          <w:rFonts w:hAnsiTheme="minorEastAsia" w:eastAsiaTheme="minorEastAsia"/>
          <w:kern w:val="0"/>
          <w:sz w:val="24"/>
          <w:highlight w:val="none"/>
        </w:rPr>
        <w:t>；生产废水排入</w:t>
      </w:r>
      <w:r>
        <w:rPr>
          <w:rFonts w:hint="eastAsia" w:hAnsiTheme="minorEastAsia" w:eastAsiaTheme="minorEastAsia"/>
          <w:sz w:val="24"/>
          <w:highlight w:val="none"/>
          <w:lang w:val="en-US" w:eastAsia="zh-CN"/>
        </w:rPr>
        <w:t>现有</w:t>
      </w:r>
      <w:r>
        <w:rPr>
          <w:rFonts w:eastAsiaTheme="minorEastAsia"/>
          <w:sz w:val="24"/>
          <w:highlight w:val="none"/>
        </w:rPr>
        <w:t>4</w:t>
      </w:r>
      <w:r>
        <w:rPr>
          <w:rFonts w:hAnsiTheme="minorEastAsia" w:eastAsiaTheme="minorEastAsia"/>
          <w:sz w:val="24"/>
          <w:highlight w:val="none"/>
        </w:rPr>
        <w:t>号联合厂房内污水处理站处理达标后，排入管网，进入</w:t>
      </w:r>
      <w:r>
        <w:rPr>
          <w:rFonts w:hint="eastAsia" w:hAnsiTheme="minorEastAsia" w:eastAsiaTheme="minorEastAsia"/>
          <w:sz w:val="24"/>
          <w:highlight w:val="none"/>
          <w:lang w:val="en-US" w:eastAsia="zh-CN"/>
        </w:rPr>
        <w:t>哈尔滨市朝阳水质净化厂</w:t>
      </w:r>
      <w:r>
        <w:rPr>
          <w:rFonts w:hAnsiTheme="minorEastAsia" w:eastAsiaTheme="minorEastAsia"/>
          <w:sz w:val="24"/>
          <w:highlight w:val="none"/>
        </w:rPr>
        <w:t>，</w:t>
      </w:r>
      <w:r>
        <w:rPr>
          <w:rFonts w:hAnsiTheme="minorEastAsia" w:eastAsiaTheme="minorEastAsia"/>
          <w:kern w:val="0"/>
          <w:sz w:val="24"/>
          <w:highlight w:val="none"/>
        </w:rPr>
        <w:t>处理达标后排入</w:t>
      </w:r>
      <w:r>
        <w:rPr>
          <w:rFonts w:hint="eastAsia" w:hAnsiTheme="minorEastAsia" w:eastAsiaTheme="minorEastAsia"/>
          <w:kern w:val="0"/>
          <w:sz w:val="24"/>
          <w:highlight w:val="none"/>
          <w:lang w:eastAsia="zh-CN"/>
        </w:rPr>
        <w:t>马家沟河</w:t>
      </w:r>
      <w:r>
        <w:rPr>
          <w:rFonts w:hAnsiTheme="minorEastAsia" w:eastAsiaTheme="minorEastAsia"/>
          <w:kern w:val="0"/>
          <w:sz w:val="24"/>
          <w:highlight w:val="none"/>
        </w:rPr>
        <w:t>，最终汇入松花江</w:t>
      </w:r>
      <w:r>
        <w:rPr>
          <w:rFonts w:hAnsiTheme="minorEastAsia" w:eastAsiaTheme="minorEastAsia"/>
          <w:sz w:val="24"/>
          <w:highlight w:val="none"/>
        </w:rPr>
        <w:t>。根据该污水处理站的环评标准，污水执行</w:t>
      </w:r>
      <w:r>
        <w:rPr>
          <w:rFonts w:hAnsiTheme="minorEastAsia" w:eastAsiaTheme="minorEastAsia"/>
          <w:bCs/>
          <w:sz w:val="24"/>
          <w:highlight w:val="none"/>
        </w:rPr>
        <w:t>《污水综合排放标准》（</w:t>
      </w:r>
      <w:r>
        <w:rPr>
          <w:rFonts w:eastAsiaTheme="minorEastAsia"/>
          <w:bCs/>
          <w:sz w:val="24"/>
          <w:highlight w:val="none"/>
        </w:rPr>
        <w:t>GB8978-1996</w:t>
      </w:r>
      <w:r>
        <w:rPr>
          <w:rFonts w:hAnsiTheme="minorEastAsia" w:eastAsiaTheme="minorEastAsia"/>
          <w:bCs/>
          <w:sz w:val="24"/>
          <w:highlight w:val="none"/>
        </w:rPr>
        <w:t>）表</w:t>
      </w:r>
      <w:r>
        <w:rPr>
          <w:rFonts w:eastAsiaTheme="minorEastAsia"/>
          <w:bCs/>
          <w:sz w:val="24"/>
          <w:highlight w:val="none"/>
        </w:rPr>
        <w:t>4</w:t>
      </w:r>
      <w:r>
        <w:rPr>
          <w:rFonts w:hAnsiTheme="minorEastAsia" w:eastAsiaTheme="minorEastAsia"/>
          <w:bCs/>
          <w:sz w:val="24"/>
          <w:highlight w:val="none"/>
        </w:rPr>
        <w:t>中三级标准值。</w:t>
      </w:r>
    </w:p>
    <w:p w14:paraId="76D067FA">
      <w:pPr>
        <w:keepNext w:val="0"/>
        <w:keepLines w:val="0"/>
        <w:pageBreakBefore w:val="0"/>
        <w:widowControl w:val="0"/>
        <w:kinsoku/>
        <w:overflowPunct/>
        <w:topLinePunct w:val="0"/>
        <w:bidi w:val="0"/>
        <w:spacing w:line="360" w:lineRule="auto"/>
        <w:jc w:val="center"/>
        <w:outlineLvl w:val="9"/>
        <w:rPr>
          <w:rFonts w:eastAsiaTheme="minorEastAsia"/>
          <w:b/>
          <w:sz w:val="24"/>
          <w:highlight w:val="none"/>
        </w:rPr>
      </w:pPr>
      <w:r>
        <w:rPr>
          <w:rFonts w:hAnsiTheme="minorEastAsia" w:eastAsiaTheme="minorEastAsia"/>
          <w:b/>
          <w:sz w:val="24"/>
          <w:highlight w:val="none"/>
        </w:rPr>
        <w:t>表</w:t>
      </w:r>
      <w:r>
        <w:rPr>
          <w:rFonts w:eastAsiaTheme="minorEastAsia"/>
          <w:b/>
          <w:sz w:val="24"/>
          <w:highlight w:val="none"/>
        </w:rPr>
        <w:t>2-3-</w:t>
      </w:r>
      <w:r>
        <w:rPr>
          <w:rFonts w:hint="eastAsia" w:eastAsiaTheme="minorEastAsia"/>
          <w:b/>
          <w:sz w:val="24"/>
          <w:highlight w:val="none"/>
          <w:lang w:val="en-US" w:eastAsia="zh-CN"/>
        </w:rPr>
        <w:t>5</w:t>
      </w:r>
      <w:r>
        <w:rPr>
          <w:rFonts w:hAnsiTheme="minorEastAsia" w:eastAsiaTheme="minorEastAsia"/>
          <w:b/>
          <w:sz w:val="24"/>
          <w:highlight w:val="none"/>
        </w:rPr>
        <w:t>水污染物控制标准</w:t>
      </w:r>
    </w:p>
    <w:tbl>
      <w:tblPr>
        <w:tblStyle w:val="45"/>
        <w:tblW w:w="8130"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0" w:type="dxa"/>
          <w:bottom w:w="0" w:type="dxa"/>
          <w:right w:w="0" w:type="dxa"/>
        </w:tblCellMar>
      </w:tblPr>
      <w:tblGrid>
        <w:gridCol w:w="951"/>
        <w:gridCol w:w="2930"/>
        <w:gridCol w:w="2274"/>
        <w:gridCol w:w="1975"/>
      </w:tblGrid>
      <w:tr w14:paraId="59A131F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atLeast"/>
          <w:tblHeader/>
          <w:jc w:val="center"/>
        </w:trPr>
        <w:tc>
          <w:tcPr>
            <w:tcW w:w="951" w:type="dxa"/>
            <w:vAlign w:val="center"/>
          </w:tcPr>
          <w:p w14:paraId="0927997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bCs/>
                <w:sz w:val="21"/>
                <w:szCs w:val="21"/>
                <w:highlight w:val="none"/>
              </w:rPr>
            </w:pPr>
            <w:r>
              <w:rPr>
                <w:rFonts w:hint="default" w:hAnsiTheme="minorEastAsia" w:eastAsiaTheme="minorEastAsia"/>
                <w:bCs/>
                <w:sz w:val="21"/>
                <w:szCs w:val="21"/>
                <w:highlight w:val="none"/>
              </w:rPr>
              <w:t>序号</w:t>
            </w:r>
          </w:p>
        </w:tc>
        <w:tc>
          <w:tcPr>
            <w:tcW w:w="2930" w:type="dxa"/>
            <w:vAlign w:val="center"/>
          </w:tcPr>
          <w:p w14:paraId="7CDABCD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bCs/>
                <w:sz w:val="21"/>
                <w:szCs w:val="21"/>
                <w:highlight w:val="none"/>
              </w:rPr>
            </w:pPr>
            <w:r>
              <w:rPr>
                <w:rFonts w:hint="default" w:hAnsiTheme="minorEastAsia" w:eastAsiaTheme="minorEastAsia"/>
                <w:bCs/>
                <w:sz w:val="21"/>
                <w:szCs w:val="21"/>
                <w:highlight w:val="none"/>
              </w:rPr>
              <w:t>项目</w:t>
            </w:r>
          </w:p>
        </w:tc>
        <w:tc>
          <w:tcPr>
            <w:tcW w:w="2274" w:type="dxa"/>
            <w:noWrap/>
            <w:tcMar>
              <w:top w:w="17" w:type="dxa"/>
              <w:left w:w="17" w:type="dxa"/>
              <w:bottom w:w="0" w:type="dxa"/>
              <w:right w:w="17" w:type="dxa"/>
            </w:tcMar>
            <w:vAlign w:val="center"/>
          </w:tcPr>
          <w:p w14:paraId="1378405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eastAsiaTheme="minorEastAsia"/>
                <w:bCs/>
                <w:sz w:val="21"/>
                <w:szCs w:val="21"/>
                <w:highlight w:val="none"/>
                <w:lang w:eastAsia="zh-CN"/>
              </w:rPr>
            </w:pPr>
            <w:r>
              <w:rPr>
                <w:rFonts w:hint="default" w:hAnsiTheme="minorEastAsia" w:eastAsiaTheme="minorEastAsia"/>
                <w:bCs/>
                <w:sz w:val="21"/>
                <w:szCs w:val="21"/>
                <w:highlight w:val="none"/>
              </w:rPr>
              <w:t>排放限值</w:t>
            </w:r>
          </w:p>
        </w:tc>
        <w:tc>
          <w:tcPr>
            <w:tcW w:w="1975" w:type="dxa"/>
            <w:noWrap/>
            <w:tcMar>
              <w:top w:w="17" w:type="dxa"/>
              <w:left w:w="17" w:type="dxa"/>
              <w:bottom w:w="0" w:type="dxa"/>
              <w:right w:w="17" w:type="dxa"/>
            </w:tcMar>
            <w:vAlign w:val="center"/>
          </w:tcPr>
          <w:p w14:paraId="3B8D0C4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bCs/>
                <w:sz w:val="21"/>
                <w:szCs w:val="21"/>
                <w:highlight w:val="none"/>
              </w:rPr>
            </w:pPr>
            <w:r>
              <w:rPr>
                <w:rFonts w:hint="default" w:hAnsiTheme="minorEastAsia" w:eastAsiaTheme="minorEastAsia"/>
                <w:bCs/>
                <w:sz w:val="21"/>
                <w:szCs w:val="21"/>
                <w:highlight w:val="none"/>
              </w:rPr>
              <w:t>标准来源</w:t>
            </w:r>
          </w:p>
        </w:tc>
      </w:tr>
      <w:tr w14:paraId="38B1A57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951" w:type="dxa"/>
            <w:vAlign w:val="center"/>
          </w:tcPr>
          <w:p w14:paraId="685A645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bCs/>
                <w:sz w:val="21"/>
                <w:szCs w:val="21"/>
                <w:highlight w:val="none"/>
              </w:rPr>
            </w:pPr>
            <w:r>
              <w:rPr>
                <w:rFonts w:hint="default" w:eastAsiaTheme="minorEastAsia"/>
                <w:bCs/>
                <w:sz w:val="21"/>
                <w:szCs w:val="21"/>
                <w:highlight w:val="none"/>
              </w:rPr>
              <w:t>1</w:t>
            </w:r>
          </w:p>
        </w:tc>
        <w:tc>
          <w:tcPr>
            <w:tcW w:w="2930" w:type="dxa"/>
            <w:vAlign w:val="center"/>
          </w:tcPr>
          <w:p w14:paraId="2730A66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bCs/>
                <w:sz w:val="21"/>
                <w:szCs w:val="21"/>
                <w:highlight w:val="none"/>
              </w:rPr>
            </w:pPr>
            <w:r>
              <w:rPr>
                <w:rFonts w:hint="default" w:eastAsiaTheme="minorEastAsia"/>
                <w:bCs/>
                <w:sz w:val="21"/>
                <w:szCs w:val="21"/>
                <w:highlight w:val="none"/>
              </w:rPr>
              <w:t>pH</w:t>
            </w:r>
            <w:r>
              <w:rPr>
                <w:rFonts w:hint="default" w:hAnsiTheme="minorEastAsia" w:eastAsiaTheme="minorEastAsia"/>
                <w:bCs/>
                <w:sz w:val="21"/>
                <w:szCs w:val="21"/>
                <w:highlight w:val="none"/>
              </w:rPr>
              <w:t>（无量纲）</w:t>
            </w:r>
          </w:p>
        </w:tc>
        <w:tc>
          <w:tcPr>
            <w:tcW w:w="2274" w:type="dxa"/>
            <w:vAlign w:val="center"/>
          </w:tcPr>
          <w:p w14:paraId="0F342FB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bCs/>
                <w:sz w:val="21"/>
                <w:szCs w:val="21"/>
                <w:highlight w:val="none"/>
              </w:rPr>
            </w:pPr>
            <w:r>
              <w:rPr>
                <w:rFonts w:hint="default" w:eastAsiaTheme="minorEastAsia"/>
                <w:bCs/>
                <w:sz w:val="21"/>
                <w:szCs w:val="21"/>
                <w:highlight w:val="none"/>
              </w:rPr>
              <w:t>6.0</w:t>
            </w:r>
            <w:r>
              <w:rPr>
                <w:rFonts w:hint="default" w:hAnsiTheme="minorEastAsia" w:eastAsiaTheme="minorEastAsia"/>
                <w:bCs/>
                <w:sz w:val="21"/>
                <w:szCs w:val="21"/>
                <w:highlight w:val="none"/>
              </w:rPr>
              <w:t>～</w:t>
            </w:r>
            <w:r>
              <w:rPr>
                <w:rFonts w:hint="default" w:eastAsiaTheme="minorEastAsia"/>
                <w:bCs/>
                <w:sz w:val="21"/>
                <w:szCs w:val="21"/>
                <w:highlight w:val="none"/>
              </w:rPr>
              <w:t>9.0</w:t>
            </w:r>
          </w:p>
        </w:tc>
        <w:tc>
          <w:tcPr>
            <w:tcW w:w="1975" w:type="dxa"/>
            <w:vMerge w:val="restart"/>
            <w:vAlign w:val="center"/>
          </w:tcPr>
          <w:p w14:paraId="38E03ED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bCs/>
                <w:sz w:val="21"/>
                <w:szCs w:val="21"/>
                <w:highlight w:val="none"/>
              </w:rPr>
            </w:pPr>
            <w:r>
              <w:rPr>
                <w:rFonts w:hint="default" w:hAnsiTheme="minorEastAsia" w:eastAsiaTheme="minorEastAsia"/>
                <w:bCs/>
                <w:sz w:val="21"/>
                <w:szCs w:val="21"/>
                <w:highlight w:val="none"/>
              </w:rPr>
              <w:t>《污水综合排放标准》（</w:t>
            </w:r>
            <w:r>
              <w:rPr>
                <w:rFonts w:hint="default" w:eastAsiaTheme="minorEastAsia"/>
                <w:bCs/>
                <w:sz w:val="21"/>
                <w:szCs w:val="21"/>
                <w:highlight w:val="none"/>
              </w:rPr>
              <w:t>GB8978-1996</w:t>
            </w:r>
            <w:r>
              <w:rPr>
                <w:rFonts w:hint="default" w:hAnsiTheme="minorEastAsia" w:eastAsiaTheme="minorEastAsia"/>
                <w:bCs/>
                <w:sz w:val="21"/>
                <w:szCs w:val="21"/>
                <w:highlight w:val="none"/>
              </w:rPr>
              <w:t>）表</w:t>
            </w:r>
            <w:r>
              <w:rPr>
                <w:rFonts w:hint="default" w:eastAsiaTheme="minorEastAsia"/>
                <w:bCs/>
                <w:sz w:val="21"/>
                <w:szCs w:val="21"/>
                <w:highlight w:val="none"/>
              </w:rPr>
              <w:t>4</w:t>
            </w:r>
            <w:r>
              <w:rPr>
                <w:rFonts w:hint="default" w:hAnsiTheme="minorEastAsia" w:eastAsiaTheme="minorEastAsia"/>
                <w:bCs/>
                <w:sz w:val="21"/>
                <w:szCs w:val="21"/>
                <w:highlight w:val="none"/>
              </w:rPr>
              <w:t>中三级标准值</w:t>
            </w:r>
          </w:p>
        </w:tc>
      </w:tr>
      <w:tr w14:paraId="0A4A493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951" w:type="dxa"/>
            <w:vAlign w:val="center"/>
          </w:tcPr>
          <w:p w14:paraId="65E971E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bCs/>
                <w:sz w:val="21"/>
                <w:szCs w:val="21"/>
                <w:highlight w:val="none"/>
              </w:rPr>
            </w:pPr>
            <w:r>
              <w:rPr>
                <w:rFonts w:hint="default" w:eastAsiaTheme="minorEastAsia"/>
                <w:bCs/>
                <w:sz w:val="21"/>
                <w:szCs w:val="21"/>
                <w:highlight w:val="none"/>
              </w:rPr>
              <w:t>2</w:t>
            </w:r>
          </w:p>
        </w:tc>
        <w:tc>
          <w:tcPr>
            <w:tcW w:w="2930" w:type="dxa"/>
            <w:vAlign w:val="center"/>
          </w:tcPr>
          <w:p w14:paraId="222AA49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bCs/>
                <w:sz w:val="21"/>
                <w:szCs w:val="21"/>
                <w:highlight w:val="none"/>
              </w:rPr>
            </w:pPr>
            <w:r>
              <w:rPr>
                <w:rFonts w:hint="default" w:eastAsiaTheme="minorEastAsia"/>
                <w:bCs/>
                <w:sz w:val="21"/>
                <w:szCs w:val="21"/>
                <w:highlight w:val="none"/>
              </w:rPr>
              <w:t>SS</w:t>
            </w:r>
            <w:r>
              <w:rPr>
                <w:rFonts w:hint="default" w:hAnsiTheme="minorEastAsia" w:eastAsiaTheme="minorEastAsia"/>
                <w:bCs/>
                <w:sz w:val="21"/>
                <w:szCs w:val="21"/>
                <w:highlight w:val="none"/>
              </w:rPr>
              <w:t>（</w:t>
            </w:r>
            <w:r>
              <w:rPr>
                <w:rFonts w:hint="default" w:eastAsiaTheme="minorEastAsia"/>
                <w:bCs/>
                <w:sz w:val="21"/>
                <w:szCs w:val="21"/>
                <w:highlight w:val="none"/>
              </w:rPr>
              <w:t>mg/L</w:t>
            </w:r>
            <w:r>
              <w:rPr>
                <w:rFonts w:hint="default" w:hAnsiTheme="minorEastAsia" w:eastAsiaTheme="minorEastAsia"/>
                <w:bCs/>
                <w:sz w:val="21"/>
                <w:szCs w:val="21"/>
                <w:highlight w:val="none"/>
              </w:rPr>
              <w:t>）</w:t>
            </w:r>
          </w:p>
        </w:tc>
        <w:tc>
          <w:tcPr>
            <w:tcW w:w="2274" w:type="dxa"/>
            <w:vAlign w:val="center"/>
          </w:tcPr>
          <w:p w14:paraId="7D7E97A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bCs/>
                <w:sz w:val="21"/>
                <w:szCs w:val="21"/>
                <w:highlight w:val="none"/>
              </w:rPr>
            </w:pPr>
            <w:r>
              <w:rPr>
                <w:rFonts w:hint="default" w:eastAsiaTheme="minorEastAsia"/>
                <w:bCs/>
                <w:sz w:val="21"/>
                <w:szCs w:val="21"/>
                <w:highlight w:val="none"/>
              </w:rPr>
              <w:t>≤400</w:t>
            </w:r>
          </w:p>
        </w:tc>
        <w:tc>
          <w:tcPr>
            <w:tcW w:w="1975" w:type="dxa"/>
            <w:vMerge w:val="continue"/>
            <w:vAlign w:val="center"/>
          </w:tcPr>
          <w:p w14:paraId="200EBDB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bCs/>
                <w:sz w:val="21"/>
                <w:szCs w:val="21"/>
                <w:highlight w:val="none"/>
              </w:rPr>
            </w:pPr>
          </w:p>
        </w:tc>
      </w:tr>
      <w:tr w14:paraId="63BCDD1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951" w:type="dxa"/>
            <w:vAlign w:val="center"/>
          </w:tcPr>
          <w:p w14:paraId="6A666F6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bCs/>
                <w:sz w:val="21"/>
                <w:szCs w:val="21"/>
                <w:highlight w:val="none"/>
              </w:rPr>
            </w:pPr>
            <w:r>
              <w:rPr>
                <w:rFonts w:hint="default" w:eastAsiaTheme="minorEastAsia"/>
                <w:bCs/>
                <w:sz w:val="21"/>
                <w:szCs w:val="21"/>
                <w:highlight w:val="none"/>
              </w:rPr>
              <w:t>3</w:t>
            </w:r>
          </w:p>
        </w:tc>
        <w:tc>
          <w:tcPr>
            <w:tcW w:w="2930" w:type="dxa"/>
            <w:vAlign w:val="center"/>
          </w:tcPr>
          <w:p w14:paraId="2295AC3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bCs/>
                <w:sz w:val="21"/>
                <w:szCs w:val="21"/>
                <w:highlight w:val="none"/>
              </w:rPr>
            </w:pPr>
            <w:r>
              <w:rPr>
                <w:rFonts w:hint="default" w:eastAsiaTheme="minorEastAsia"/>
                <w:bCs/>
                <w:sz w:val="21"/>
                <w:szCs w:val="21"/>
                <w:highlight w:val="none"/>
              </w:rPr>
              <w:t>COD</w:t>
            </w:r>
            <w:r>
              <w:rPr>
                <w:rFonts w:hint="default" w:hAnsiTheme="minorEastAsia" w:eastAsiaTheme="minorEastAsia"/>
                <w:bCs/>
                <w:sz w:val="21"/>
                <w:szCs w:val="21"/>
                <w:highlight w:val="none"/>
              </w:rPr>
              <w:t>（</w:t>
            </w:r>
            <w:r>
              <w:rPr>
                <w:rFonts w:hint="default" w:eastAsiaTheme="minorEastAsia"/>
                <w:bCs/>
                <w:sz w:val="21"/>
                <w:szCs w:val="21"/>
                <w:highlight w:val="none"/>
              </w:rPr>
              <w:t>mg/L</w:t>
            </w:r>
            <w:r>
              <w:rPr>
                <w:rFonts w:hint="default" w:hAnsiTheme="minorEastAsia" w:eastAsiaTheme="minorEastAsia"/>
                <w:bCs/>
                <w:sz w:val="21"/>
                <w:szCs w:val="21"/>
                <w:highlight w:val="none"/>
              </w:rPr>
              <w:t>）</w:t>
            </w:r>
          </w:p>
        </w:tc>
        <w:tc>
          <w:tcPr>
            <w:tcW w:w="2274" w:type="dxa"/>
            <w:noWrap/>
            <w:tcMar>
              <w:top w:w="17" w:type="dxa"/>
              <w:left w:w="17" w:type="dxa"/>
              <w:bottom w:w="0" w:type="dxa"/>
              <w:right w:w="17" w:type="dxa"/>
            </w:tcMar>
            <w:vAlign w:val="center"/>
          </w:tcPr>
          <w:p w14:paraId="0554E31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bCs/>
                <w:sz w:val="21"/>
                <w:szCs w:val="21"/>
                <w:highlight w:val="none"/>
              </w:rPr>
            </w:pPr>
            <w:r>
              <w:rPr>
                <w:rFonts w:hint="default" w:eastAsiaTheme="minorEastAsia"/>
                <w:bCs/>
                <w:sz w:val="21"/>
                <w:szCs w:val="21"/>
                <w:highlight w:val="none"/>
              </w:rPr>
              <w:t>≤500</w:t>
            </w:r>
          </w:p>
        </w:tc>
        <w:tc>
          <w:tcPr>
            <w:tcW w:w="1975" w:type="dxa"/>
            <w:vMerge w:val="continue"/>
            <w:noWrap/>
            <w:tcMar>
              <w:top w:w="17" w:type="dxa"/>
              <w:left w:w="17" w:type="dxa"/>
              <w:bottom w:w="0" w:type="dxa"/>
              <w:right w:w="17" w:type="dxa"/>
            </w:tcMar>
            <w:vAlign w:val="center"/>
          </w:tcPr>
          <w:p w14:paraId="5CC1142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bCs/>
                <w:sz w:val="21"/>
                <w:szCs w:val="21"/>
                <w:highlight w:val="none"/>
              </w:rPr>
            </w:pPr>
          </w:p>
        </w:tc>
      </w:tr>
      <w:tr w14:paraId="781B9C5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951" w:type="dxa"/>
            <w:vAlign w:val="center"/>
          </w:tcPr>
          <w:p w14:paraId="1CE1A2A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bCs/>
                <w:sz w:val="21"/>
                <w:szCs w:val="21"/>
                <w:highlight w:val="none"/>
              </w:rPr>
            </w:pPr>
            <w:r>
              <w:rPr>
                <w:rFonts w:hint="default" w:eastAsiaTheme="minorEastAsia"/>
                <w:bCs/>
                <w:sz w:val="21"/>
                <w:szCs w:val="21"/>
                <w:highlight w:val="none"/>
              </w:rPr>
              <w:t>4</w:t>
            </w:r>
          </w:p>
        </w:tc>
        <w:tc>
          <w:tcPr>
            <w:tcW w:w="2930" w:type="dxa"/>
            <w:vAlign w:val="center"/>
          </w:tcPr>
          <w:p w14:paraId="7E1B5C0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bCs/>
                <w:sz w:val="21"/>
                <w:szCs w:val="21"/>
                <w:highlight w:val="none"/>
              </w:rPr>
            </w:pPr>
            <w:r>
              <w:rPr>
                <w:rFonts w:hint="default" w:hAnsiTheme="minorEastAsia" w:eastAsiaTheme="minorEastAsia"/>
                <w:bCs/>
                <w:sz w:val="21"/>
                <w:szCs w:val="21"/>
                <w:highlight w:val="none"/>
              </w:rPr>
              <w:t>氨氮（</w:t>
            </w:r>
            <w:r>
              <w:rPr>
                <w:rFonts w:hint="default" w:eastAsiaTheme="minorEastAsia"/>
                <w:bCs/>
                <w:sz w:val="21"/>
                <w:szCs w:val="21"/>
                <w:highlight w:val="none"/>
              </w:rPr>
              <w:t>mg/L</w:t>
            </w:r>
            <w:r>
              <w:rPr>
                <w:rFonts w:hint="default" w:hAnsiTheme="minorEastAsia" w:eastAsiaTheme="minorEastAsia"/>
                <w:bCs/>
                <w:sz w:val="21"/>
                <w:szCs w:val="21"/>
                <w:highlight w:val="none"/>
              </w:rPr>
              <w:t>）</w:t>
            </w:r>
          </w:p>
        </w:tc>
        <w:tc>
          <w:tcPr>
            <w:tcW w:w="2274" w:type="dxa"/>
            <w:noWrap/>
            <w:tcMar>
              <w:top w:w="17" w:type="dxa"/>
              <w:left w:w="17" w:type="dxa"/>
              <w:bottom w:w="0" w:type="dxa"/>
              <w:right w:w="17" w:type="dxa"/>
            </w:tcMar>
            <w:vAlign w:val="center"/>
          </w:tcPr>
          <w:p w14:paraId="5491E6A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bCs/>
                <w:sz w:val="21"/>
                <w:szCs w:val="21"/>
                <w:highlight w:val="none"/>
              </w:rPr>
            </w:pPr>
            <w:r>
              <w:rPr>
                <w:rFonts w:hint="default" w:eastAsiaTheme="minorEastAsia"/>
                <w:bCs/>
                <w:sz w:val="21"/>
                <w:szCs w:val="21"/>
                <w:highlight w:val="none"/>
              </w:rPr>
              <w:t>/</w:t>
            </w:r>
          </w:p>
        </w:tc>
        <w:tc>
          <w:tcPr>
            <w:tcW w:w="1975" w:type="dxa"/>
            <w:vMerge w:val="continue"/>
            <w:noWrap/>
            <w:tcMar>
              <w:top w:w="17" w:type="dxa"/>
              <w:left w:w="17" w:type="dxa"/>
              <w:bottom w:w="0" w:type="dxa"/>
              <w:right w:w="17" w:type="dxa"/>
            </w:tcMar>
            <w:vAlign w:val="center"/>
          </w:tcPr>
          <w:p w14:paraId="443CF1A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bCs/>
                <w:sz w:val="21"/>
                <w:szCs w:val="21"/>
                <w:highlight w:val="none"/>
              </w:rPr>
            </w:pPr>
          </w:p>
        </w:tc>
      </w:tr>
      <w:tr w14:paraId="4D5E245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951" w:type="dxa"/>
            <w:vAlign w:val="center"/>
          </w:tcPr>
          <w:p w14:paraId="1D181F0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bCs/>
                <w:sz w:val="21"/>
                <w:szCs w:val="21"/>
                <w:highlight w:val="none"/>
              </w:rPr>
            </w:pPr>
            <w:r>
              <w:rPr>
                <w:rFonts w:hint="default" w:eastAsiaTheme="minorEastAsia"/>
                <w:bCs/>
                <w:sz w:val="21"/>
                <w:szCs w:val="21"/>
                <w:highlight w:val="none"/>
              </w:rPr>
              <w:t>5</w:t>
            </w:r>
          </w:p>
        </w:tc>
        <w:tc>
          <w:tcPr>
            <w:tcW w:w="2930" w:type="dxa"/>
            <w:vAlign w:val="center"/>
          </w:tcPr>
          <w:p w14:paraId="23F8DDD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bCs/>
                <w:sz w:val="21"/>
                <w:szCs w:val="21"/>
                <w:highlight w:val="none"/>
              </w:rPr>
            </w:pPr>
            <w:r>
              <w:rPr>
                <w:rFonts w:hint="default" w:eastAsiaTheme="minorEastAsia"/>
                <w:bCs/>
                <w:sz w:val="21"/>
                <w:szCs w:val="21"/>
                <w:highlight w:val="none"/>
              </w:rPr>
              <w:t>BOD</w:t>
            </w:r>
            <w:r>
              <w:rPr>
                <w:rFonts w:hint="default" w:eastAsiaTheme="minorEastAsia"/>
                <w:bCs/>
                <w:sz w:val="21"/>
                <w:szCs w:val="21"/>
                <w:highlight w:val="none"/>
                <w:vertAlign w:val="subscript"/>
              </w:rPr>
              <w:t>5</w:t>
            </w:r>
            <w:r>
              <w:rPr>
                <w:rFonts w:hint="default" w:hAnsiTheme="minorEastAsia" w:eastAsiaTheme="minorEastAsia"/>
                <w:bCs/>
                <w:sz w:val="21"/>
                <w:szCs w:val="21"/>
                <w:highlight w:val="none"/>
              </w:rPr>
              <w:t>（</w:t>
            </w:r>
            <w:r>
              <w:rPr>
                <w:rFonts w:hint="default" w:eastAsiaTheme="minorEastAsia"/>
                <w:bCs/>
                <w:sz w:val="21"/>
                <w:szCs w:val="21"/>
                <w:highlight w:val="none"/>
              </w:rPr>
              <w:t>mg/L</w:t>
            </w:r>
            <w:r>
              <w:rPr>
                <w:rFonts w:hint="default" w:hAnsiTheme="minorEastAsia" w:eastAsiaTheme="minorEastAsia"/>
                <w:bCs/>
                <w:sz w:val="21"/>
                <w:szCs w:val="21"/>
                <w:highlight w:val="none"/>
              </w:rPr>
              <w:t>）</w:t>
            </w:r>
          </w:p>
        </w:tc>
        <w:tc>
          <w:tcPr>
            <w:tcW w:w="2274" w:type="dxa"/>
            <w:noWrap/>
            <w:tcMar>
              <w:top w:w="17" w:type="dxa"/>
              <w:left w:w="17" w:type="dxa"/>
              <w:bottom w:w="0" w:type="dxa"/>
              <w:right w:w="17" w:type="dxa"/>
            </w:tcMar>
            <w:vAlign w:val="center"/>
          </w:tcPr>
          <w:p w14:paraId="0E7F51D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bCs/>
                <w:sz w:val="21"/>
                <w:szCs w:val="21"/>
                <w:highlight w:val="none"/>
              </w:rPr>
            </w:pPr>
            <w:r>
              <w:rPr>
                <w:rFonts w:hint="default" w:eastAsiaTheme="minorEastAsia"/>
                <w:bCs/>
                <w:sz w:val="21"/>
                <w:szCs w:val="21"/>
                <w:highlight w:val="none"/>
              </w:rPr>
              <w:t>≤300</w:t>
            </w:r>
          </w:p>
        </w:tc>
        <w:tc>
          <w:tcPr>
            <w:tcW w:w="1975" w:type="dxa"/>
            <w:vMerge w:val="continue"/>
            <w:noWrap/>
            <w:tcMar>
              <w:top w:w="17" w:type="dxa"/>
              <w:left w:w="17" w:type="dxa"/>
              <w:bottom w:w="0" w:type="dxa"/>
              <w:right w:w="17" w:type="dxa"/>
            </w:tcMar>
            <w:vAlign w:val="center"/>
          </w:tcPr>
          <w:p w14:paraId="691B170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bCs/>
                <w:sz w:val="21"/>
                <w:szCs w:val="21"/>
                <w:highlight w:val="none"/>
              </w:rPr>
            </w:pPr>
          </w:p>
        </w:tc>
      </w:tr>
      <w:tr w14:paraId="51B24F4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951" w:type="dxa"/>
            <w:vAlign w:val="center"/>
          </w:tcPr>
          <w:p w14:paraId="4387585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bCs/>
                <w:sz w:val="21"/>
                <w:szCs w:val="21"/>
                <w:highlight w:val="none"/>
              </w:rPr>
            </w:pPr>
            <w:r>
              <w:rPr>
                <w:rFonts w:hint="default" w:eastAsiaTheme="minorEastAsia"/>
                <w:bCs/>
                <w:sz w:val="21"/>
                <w:szCs w:val="21"/>
                <w:highlight w:val="none"/>
              </w:rPr>
              <w:t>6</w:t>
            </w:r>
          </w:p>
        </w:tc>
        <w:tc>
          <w:tcPr>
            <w:tcW w:w="2930" w:type="dxa"/>
            <w:vAlign w:val="center"/>
          </w:tcPr>
          <w:p w14:paraId="6271F47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bCs/>
                <w:sz w:val="21"/>
                <w:szCs w:val="21"/>
                <w:highlight w:val="none"/>
              </w:rPr>
            </w:pPr>
            <w:r>
              <w:rPr>
                <w:rFonts w:hint="default" w:hAnsiTheme="minorEastAsia" w:eastAsiaTheme="minorEastAsia"/>
                <w:bCs/>
                <w:sz w:val="21"/>
                <w:szCs w:val="21"/>
                <w:highlight w:val="none"/>
              </w:rPr>
              <w:t>石油类（</w:t>
            </w:r>
            <w:r>
              <w:rPr>
                <w:rFonts w:hint="default" w:eastAsiaTheme="minorEastAsia"/>
                <w:bCs/>
                <w:sz w:val="21"/>
                <w:szCs w:val="21"/>
                <w:highlight w:val="none"/>
              </w:rPr>
              <w:t>mg/L</w:t>
            </w:r>
            <w:r>
              <w:rPr>
                <w:rFonts w:hint="default" w:hAnsiTheme="minorEastAsia" w:eastAsiaTheme="minorEastAsia"/>
                <w:bCs/>
                <w:sz w:val="21"/>
                <w:szCs w:val="21"/>
                <w:highlight w:val="none"/>
              </w:rPr>
              <w:t>）</w:t>
            </w:r>
          </w:p>
        </w:tc>
        <w:tc>
          <w:tcPr>
            <w:tcW w:w="2274" w:type="dxa"/>
            <w:noWrap/>
            <w:tcMar>
              <w:top w:w="17" w:type="dxa"/>
              <w:left w:w="17" w:type="dxa"/>
              <w:bottom w:w="0" w:type="dxa"/>
              <w:right w:w="17" w:type="dxa"/>
            </w:tcMar>
            <w:vAlign w:val="center"/>
          </w:tcPr>
          <w:p w14:paraId="7F4ECE4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bCs/>
                <w:sz w:val="21"/>
                <w:szCs w:val="21"/>
                <w:highlight w:val="none"/>
              </w:rPr>
            </w:pPr>
            <w:r>
              <w:rPr>
                <w:rFonts w:hint="default" w:eastAsiaTheme="minorEastAsia"/>
                <w:bCs/>
                <w:sz w:val="21"/>
                <w:szCs w:val="21"/>
                <w:highlight w:val="none"/>
              </w:rPr>
              <w:t>≤20</w:t>
            </w:r>
          </w:p>
        </w:tc>
        <w:tc>
          <w:tcPr>
            <w:tcW w:w="1975" w:type="dxa"/>
            <w:vMerge w:val="continue"/>
            <w:noWrap/>
            <w:tcMar>
              <w:top w:w="17" w:type="dxa"/>
              <w:left w:w="17" w:type="dxa"/>
              <w:bottom w:w="0" w:type="dxa"/>
              <w:right w:w="17" w:type="dxa"/>
            </w:tcMar>
            <w:vAlign w:val="center"/>
          </w:tcPr>
          <w:p w14:paraId="0BD1B88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bCs/>
                <w:sz w:val="21"/>
                <w:szCs w:val="21"/>
                <w:highlight w:val="none"/>
              </w:rPr>
            </w:pPr>
          </w:p>
        </w:tc>
      </w:tr>
      <w:tr w14:paraId="43C256E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951" w:type="dxa"/>
            <w:vAlign w:val="center"/>
          </w:tcPr>
          <w:p w14:paraId="1B03BED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bCs/>
                <w:sz w:val="21"/>
                <w:szCs w:val="21"/>
                <w:highlight w:val="none"/>
              </w:rPr>
            </w:pPr>
            <w:r>
              <w:rPr>
                <w:rFonts w:hint="default" w:eastAsiaTheme="minorEastAsia"/>
                <w:bCs/>
                <w:sz w:val="21"/>
                <w:szCs w:val="21"/>
                <w:highlight w:val="none"/>
              </w:rPr>
              <w:t>7</w:t>
            </w:r>
          </w:p>
        </w:tc>
        <w:tc>
          <w:tcPr>
            <w:tcW w:w="2930" w:type="dxa"/>
            <w:vAlign w:val="center"/>
          </w:tcPr>
          <w:p w14:paraId="115CACA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bCs/>
                <w:sz w:val="21"/>
                <w:szCs w:val="21"/>
                <w:highlight w:val="none"/>
              </w:rPr>
            </w:pPr>
            <w:r>
              <w:rPr>
                <w:rFonts w:hint="default" w:hAnsiTheme="minorEastAsia" w:eastAsiaTheme="minorEastAsia"/>
                <w:bCs/>
                <w:sz w:val="21"/>
                <w:szCs w:val="21"/>
                <w:highlight w:val="none"/>
              </w:rPr>
              <w:t>总磷（</w:t>
            </w:r>
            <w:r>
              <w:rPr>
                <w:rFonts w:hint="default" w:eastAsiaTheme="minorEastAsia"/>
                <w:bCs/>
                <w:sz w:val="21"/>
                <w:szCs w:val="21"/>
                <w:highlight w:val="none"/>
              </w:rPr>
              <w:t>mg/L</w:t>
            </w:r>
            <w:r>
              <w:rPr>
                <w:rFonts w:hint="default" w:hAnsiTheme="minorEastAsia" w:eastAsiaTheme="minorEastAsia"/>
                <w:bCs/>
                <w:sz w:val="21"/>
                <w:szCs w:val="21"/>
                <w:highlight w:val="none"/>
              </w:rPr>
              <w:t>）</w:t>
            </w:r>
          </w:p>
        </w:tc>
        <w:tc>
          <w:tcPr>
            <w:tcW w:w="2274" w:type="dxa"/>
            <w:noWrap/>
            <w:tcMar>
              <w:top w:w="17" w:type="dxa"/>
              <w:left w:w="17" w:type="dxa"/>
              <w:bottom w:w="0" w:type="dxa"/>
              <w:right w:w="17" w:type="dxa"/>
            </w:tcMar>
            <w:vAlign w:val="center"/>
          </w:tcPr>
          <w:p w14:paraId="1ADE1DC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bCs/>
                <w:sz w:val="21"/>
                <w:szCs w:val="21"/>
                <w:highlight w:val="none"/>
              </w:rPr>
            </w:pPr>
            <w:r>
              <w:rPr>
                <w:rFonts w:hint="default" w:eastAsiaTheme="minorEastAsia"/>
                <w:bCs/>
                <w:sz w:val="21"/>
                <w:szCs w:val="21"/>
                <w:highlight w:val="none"/>
              </w:rPr>
              <w:t>/</w:t>
            </w:r>
          </w:p>
        </w:tc>
        <w:tc>
          <w:tcPr>
            <w:tcW w:w="1975" w:type="dxa"/>
            <w:vMerge w:val="continue"/>
            <w:noWrap/>
            <w:tcMar>
              <w:top w:w="17" w:type="dxa"/>
              <w:left w:w="17" w:type="dxa"/>
              <w:bottom w:w="0" w:type="dxa"/>
              <w:right w:w="17" w:type="dxa"/>
            </w:tcMar>
            <w:vAlign w:val="center"/>
          </w:tcPr>
          <w:p w14:paraId="6211F15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bCs/>
                <w:sz w:val="21"/>
                <w:szCs w:val="21"/>
                <w:highlight w:val="none"/>
              </w:rPr>
            </w:pPr>
          </w:p>
        </w:tc>
      </w:tr>
    </w:tbl>
    <w:p w14:paraId="72B8678F">
      <w:pPr>
        <w:pStyle w:val="6"/>
        <w:bidi w:val="0"/>
        <w:rPr>
          <w:highlight w:val="none"/>
        </w:rPr>
      </w:pPr>
      <w:r>
        <w:rPr>
          <w:highlight w:val="none"/>
        </w:rPr>
        <w:t>2.3.2.3噪声排放标准</w:t>
      </w:r>
    </w:p>
    <w:p w14:paraId="2017A6F4">
      <w:pPr>
        <w:keepNext w:val="0"/>
        <w:keepLines w:val="0"/>
        <w:pageBreakBefore w:val="0"/>
        <w:widowControl w:val="0"/>
        <w:kinsoku/>
        <w:overflowPunct/>
        <w:topLinePunct w:val="0"/>
        <w:bidi w:val="0"/>
        <w:spacing w:line="360" w:lineRule="auto"/>
        <w:ind w:firstLine="424" w:firstLineChars="177"/>
        <w:outlineLvl w:val="9"/>
        <w:rPr>
          <w:rFonts w:eastAsiaTheme="minorEastAsia"/>
          <w:b/>
          <w:bCs/>
          <w:sz w:val="24"/>
          <w:highlight w:val="none"/>
        </w:rPr>
      </w:pPr>
      <w:r>
        <w:rPr>
          <w:rFonts w:hAnsiTheme="minorEastAsia" w:eastAsiaTheme="minorEastAsia"/>
          <w:sz w:val="24"/>
          <w:highlight w:val="none"/>
        </w:rPr>
        <w:t>施工期执行《</w:t>
      </w:r>
      <w:r>
        <w:rPr>
          <w:rFonts w:hAnsiTheme="minorEastAsia" w:eastAsiaTheme="minorEastAsia"/>
          <w:bCs/>
          <w:sz w:val="24"/>
          <w:highlight w:val="none"/>
        </w:rPr>
        <w:t>建筑施工场界环境噪声排放标准</w:t>
      </w:r>
      <w:r>
        <w:rPr>
          <w:rFonts w:hAnsiTheme="minorEastAsia" w:eastAsiaTheme="minorEastAsia"/>
          <w:sz w:val="24"/>
          <w:highlight w:val="none"/>
        </w:rPr>
        <w:t>》（</w:t>
      </w:r>
      <w:r>
        <w:rPr>
          <w:rFonts w:eastAsiaTheme="minorEastAsia"/>
          <w:sz w:val="24"/>
          <w:highlight w:val="none"/>
        </w:rPr>
        <w:t>GB12523-2011</w:t>
      </w:r>
      <w:r>
        <w:rPr>
          <w:rFonts w:hAnsiTheme="minorEastAsia" w:eastAsiaTheme="minorEastAsia"/>
          <w:sz w:val="24"/>
          <w:highlight w:val="none"/>
        </w:rPr>
        <w:t>）；</w:t>
      </w:r>
      <w:r>
        <w:rPr>
          <w:rFonts w:hAnsiTheme="minorEastAsia" w:eastAsiaTheme="minorEastAsia"/>
          <w:kern w:val="0"/>
          <w:sz w:val="24"/>
          <w:highlight w:val="none"/>
        </w:rPr>
        <w:t>根据《哈尔滨市城市环境噪声功能区划分调整方案》（哈</w:t>
      </w:r>
      <w:r>
        <w:rPr>
          <w:rFonts w:hint="eastAsia" w:hAnsiTheme="minorEastAsia" w:eastAsiaTheme="minorEastAsia"/>
          <w:kern w:val="0"/>
          <w:sz w:val="24"/>
          <w:highlight w:val="none"/>
          <w:lang w:val="en-US" w:eastAsia="zh-CN"/>
        </w:rPr>
        <w:t>政</w:t>
      </w:r>
      <w:r>
        <w:rPr>
          <w:rFonts w:hAnsiTheme="minorEastAsia" w:eastAsiaTheme="minorEastAsia"/>
          <w:kern w:val="0"/>
          <w:sz w:val="24"/>
          <w:highlight w:val="none"/>
        </w:rPr>
        <w:t>规</w:t>
      </w:r>
      <w:r>
        <w:rPr>
          <w:rFonts w:eastAsiaTheme="minorEastAsia"/>
          <w:kern w:val="0"/>
          <w:sz w:val="24"/>
          <w:highlight w:val="none"/>
        </w:rPr>
        <w:t>[202</w:t>
      </w:r>
      <w:r>
        <w:rPr>
          <w:rFonts w:hint="eastAsia" w:eastAsiaTheme="minorEastAsia"/>
          <w:kern w:val="0"/>
          <w:sz w:val="24"/>
          <w:highlight w:val="none"/>
          <w:lang w:val="en-US" w:eastAsia="zh-CN"/>
        </w:rPr>
        <w:t>1</w:t>
      </w:r>
      <w:r>
        <w:rPr>
          <w:rFonts w:eastAsiaTheme="minorEastAsia"/>
          <w:kern w:val="0"/>
          <w:sz w:val="24"/>
          <w:highlight w:val="none"/>
        </w:rPr>
        <w:t>]</w:t>
      </w:r>
      <w:r>
        <w:rPr>
          <w:rFonts w:hint="eastAsia" w:eastAsiaTheme="minorEastAsia"/>
          <w:kern w:val="0"/>
          <w:sz w:val="24"/>
          <w:highlight w:val="none"/>
          <w:lang w:val="en-US" w:eastAsia="zh-CN"/>
        </w:rPr>
        <w:t>3</w:t>
      </w:r>
      <w:r>
        <w:rPr>
          <w:rFonts w:hAnsiTheme="minorEastAsia" w:eastAsiaTheme="minorEastAsia"/>
          <w:kern w:val="0"/>
          <w:sz w:val="24"/>
          <w:highlight w:val="none"/>
        </w:rPr>
        <w:t>号）中哈尔滨市平房区声环境功能区划分图，厂址所在区域处于《声环境质量标准》（</w:t>
      </w:r>
      <w:r>
        <w:rPr>
          <w:rFonts w:eastAsiaTheme="minorEastAsia"/>
          <w:kern w:val="0"/>
          <w:sz w:val="24"/>
          <w:highlight w:val="none"/>
        </w:rPr>
        <w:t>GB3096-2008</w:t>
      </w:r>
      <w:r>
        <w:rPr>
          <w:rFonts w:hAnsiTheme="minorEastAsia" w:eastAsiaTheme="minorEastAsia"/>
          <w:kern w:val="0"/>
          <w:sz w:val="24"/>
          <w:highlight w:val="none"/>
        </w:rPr>
        <w:t>）规定的</w:t>
      </w:r>
      <w:r>
        <w:rPr>
          <w:rFonts w:eastAsiaTheme="minorEastAsia"/>
          <w:kern w:val="0"/>
          <w:sz w:val="24"/>
          <w:highlight w:val="none"/>
        </w:rPr>
        <w:t>3</w:t>
      </w:r>
      <w:r>
        <w:rPr>
          <w:rFonts w:hAnsiTheme="minorEastAsia" w:eastAsiaTheme="minorEastAsia"/>
          <w:kern w:val="0"/>
          <w:sz w:val="24"/>
          <w:highlight w:val="none"/>
        </w:rPr>
        <w:t>类声环境功能区；</w:t>
      </w:r>
      <w:r>
        <w:rPr>
          <w:rFonts w:hAnsiTheme="minorEastAsia" w:eastAsiaTheme="minorEastAsia"/>
          <w:sz w:val="24"/>
          <w:highlight w:val="none"/>
        </w:rPr>
        <w:t>项目运营期噪声排放执行《工业企业厂界环境噪声排放标准》（</w:t>
      </w:r>
      <w:r>
        <w:rPr>
          <w:rFonts w:eastAsiaTheme="minorEastAsia"/>
          <w:sz w:val="24"/>
          <w:highlight w:val="none"/>
        </w:rPr>
        <w:t>GB12348-2008</w:t>
      </w:r>
      <w:r>
        <w:rPr>
          <w:rFonts w:hAnsiTheme="minorEastAsia" w:eastAsiaTheme="minorEastAsia"/>
          <w:sz w:val="24"/>
          <w:highlight w:val="none"/>
        </w:rPr>
        <w:t>）表</w:t>
      </w:r>
      <w:r>
        <w:rPr>
          <w:rFonts w:eastAsiaTheme="minorEastAsia"/>
          <w:sz w:val="24"/>
          <w:highlight w:val="none"/>
        </w:rPr>
        <w:t>1</w:t>
      </w:r>
      <w:r>
        <w:rPr>
          <w:rFonts w:hAnsiTheme="minorEastAsia" w:eastAsiaTheme="minorEastAsia"/>
          <w:sz w:val="24"/>
          <w:highlight w:val="none"/>
        </w:rPr>
        <w:t>中的</w:t>
      </w:r>
      <w:r>
        <w:rPr>
          <w:rFonts w:eastAsiaTheme="minorEastAsia"/>
          <w:sz w:val="24"/>
          <w:highlight w:val="none"/>
        </w:rPr>
        <w:t>3</w:t>
      </w:r>
      <w:r>
        <w:rPr>
          <w:rFonts w:hAnsiTheme="minorEastAsia" w:eastAsiaTheme="minorEastAsia"/>
          <w:sz w:val="24"/>
          <w:highlight w:val="none"/>
        </w:rPr>
        <w:t>类声环境功能区标准限值。</w:t>
      </w:r>
    </w:p>
    <w:p w14:paraId="0689E11B">
      <w:pPr>
        <w:keepNext w:val="0"/>
        <w:keepLines w:val="0"/>
        <w:pageBreakBefore w:val="0"/>
        <w:widowControl w:val="0"/>
        <w:kinsoku/>
        <w:overflowPunct/>
        <w:topLinePunct w:val="0"/>
        <w:bidi w:val="0"/>
        <w:spacing w:line="360" w:lineRule="auto"/>
        <w:jc w:val="center"/>
        <w:outlineLvl w:val="9"/>
        <w:rPr>
          <w:rFonts w:hint="eastAsia" w:eastAsiaTheme="minorEastAsia"/>
          <w:b/>
          <w:kern w:val="0"/>
          <w:sz w:val="24"/>
          <w:highlight w:val="none"/>
          <w:lang w:eastAsia="zh-CN"/>
        </w:rPr>
      </w:pPr>
      <w:r>
        <w:rPr>
          <w:rFonts w:hAnsiTheme="minorEastAsia" w:eastAsiaTheme="minorEastAsia"/>
          <w:b/>
          <w:kern w:val="0"/>
          <w:sz w:val="24"/>
          <w:highlight w:val="none"/>
        </w:rPr>
        <w:t>表</w:t>
      </w:r>
      <w:r>
        <w:rPr>
          <w:rFonts w:eastAsiaTheme="minorEastAsia"/>
          <w:b/>
          <w:kern w:val="0"/>
          <w:sz w:val="24"/>
          <w:highlight w:val="none"/>
        </w:rPr>
        <w:t>2-3</w:t>
      </w:r>
      <w:r>
        <w:rPr>
          <w:rFonts w:hint="eastAsia" w:eastAsiaTheme="minorEastAsia"/>
          <w:b/>
          <w:kern w:val="0"/>
          <w:sz w:val="24"/>
          <w:highlight w:val="none"/>
          <w:lang w:val="en-US" w:eastAsia="zh-CN"/>
        </w:rPr>
        <w:t>-6</w:t>
      </w:r>
      <w:r>
        <w:rPr>
          <w:rFonts w:hAnsiTheme="minorEastAsia" w:eastAsiaTheme="minorEastAsia"/>
          <w:b/>
          <w:kern w:val="0"/>
          <w:sz w:val="24"/>
          <w:highlight w:val="none"/>
        </w:rPr>
        <w:t>噪声排放标准单位：</w:t>
      </w:r>
      <w:r>
        <w:rPr>
          <w:rFonts w:eastAsiaTheme="minorEastAsia"/>
          <w:b/>
          <w:kern w:val="0"/>
          <w:sz w:val="24"/>
          <w:highlight w:val="none"/>
        </w:rPr>
        <w:t>dB</w:t>
      </w:r>
      <w:r>
        <w:rPr>
          <w:rFonts w:hint="eastAsia" w:eastAsiaTheme="minorEastAsia"/>
          <w:b/>
          <w:kern w:val="0"/>
          <w:sz w:val="24"/>
          <w:highlight w:val="none"/>
          <w:lang w:eastAsia="zh-CN"/>
        </w:rPr>
        <w:t>（</w:t>
      </w:r>
      <w:r>
        <w:rPr>
          <w:rFonts w:eastAsiaTheme="minorEastAsia"/>
          <w:b/>
          <w:kern w:val="0"/>
          <w:sz w:val="24"/>
          <w:highlight w:val="none"/>
        </w:rPr>
        <w:t>A</w:t>
      </w:r>
      <w:r>
        <w:rPr>
          <w:rFonts w:hint="eastAsia" w:eastAsiaTheme="minorEastAsia"/>
          <w:b/>
          <w:kern w:val="0"/>
          <w:sz w:val="24"/>
          <w:highlight w:val="none"/>
          <w:lang w:eastAsia="zh-CN"/>
        </w:rPr>
        <w:t>）</w:t>
      </w:r>
    </w:p>
    <w:tbl>
      <w:tblPr>
        <w:tblStyle w:val="45"/>
        <w:tblW w:w="0" w:type="auto"/>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108" w:type="dxa"/>
          <w:bottom w:w="0" w:type="dxa"/>
          <w:right w:w="108" w:type="dxa"/>
        </w:tblCellMar>
      </w:tblPr>
      <w:tblGrid>
        <w:gridCol w:w="1686"/>
        <w:gridCol w:w="1290"/>
        <w:gridCol w:w="1300"/>
        <w:gridCol w:w="998"/>
        <w:gridCol w:w="3248"/>
      </w:tblGrid>
      <w:tr w14:paraId="45AEFA4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jc w:val="center"/>
        </w:trPr>
        <w:tc>
          <w:tcPr>
            <w:tcW w:w="1686" w:type="dxa"/>
            <w:vAlign w:val="center"/>
          </w:tcPr>
          <w:p w14:paraId="6F016739">
            <w:pPr>
              <w:pStyle w:val="182"/>
              <w:keepNext w:val="0"/>
              <w:keepLines w:val="0"/>
              <w:pageBreakBefore w:val="0"/>
              <w:widowControl w:val="0"/>
              <w:suppressLineNumbers w:val="0"/>
              <w:kinsoku/>
              <w:overflowPunct/>
              <w:topLinePunct w:val="0"/>
              <w:autoSpaceDE w:val="0"/>
              <w:autoSpaceDN w:val="0"/>
              <w:bidi w:val="0"/>
              <w:spacing w:before="0" w:beforeAutospacing="0" w:after="0" w:afterAutospacing="0" w:line="240" w:lineRule="auto"/>
              <w:ind w:left="0" w:right="0"/>
              <w:jc w:val="center"/>
              <w:textAlignment w:val="bottom"/>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执行范围</w:t>
            </w:r>
          </w:p>
        </w:tc>
        <w:tc>
          <w:tcPr>
            <w:tcW w:w="1290" w:type="dxa"/>
            <w:vAlign w:val="center"/>
          </w:tcPr>
          <w:p w14:paraId="76C0A779">
            <w:pPr>
              <w:pStyle w:val="182"/>
              <w:keepNext w:val="0"/>
              <w:keepLines w:val="0"/>
              <w:pageBreakBefore w:val="0"/>
              <w:widowControl w:val="0"/>
              <w:suppressLineNumbers w:val="0"/>
              <w:kinsoku/>
              <w:overflowPunct/>
              <w:topLinePunct w:val="0"/>
              <w:autoSpaceDE w:val="0"/>
              <w:autoSpaceDN w:val="0"/>
              <w:bidi w:val="0"/>
              <w:spacing w:before="0" w:beforeAutospacing="0" w:after="0" w:afterAutospacing="0" w:line="240" w:lineRule="auto"/>
              <w:ind w:left="0" w:right="0"/>
              <w:jc w:val="center"/>
              <w:textAlignment w:val="bottom"/>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评价时段</w:t>
            </w:r>
          </w:p>
        </w:tc>
        <w:tc>
          <w:tcPr>
            <w:tcW w:w="1300" w:type="dxa"/>
            <w:vAlign w:val="center"/>
          </w:tcPr>
          <w:p w14:paraId="49DE06F8">
            <w:pPr>
              <w:pStyle w:val="182"/>
              <w:keepNext w:val="0"/>
              <w:keepLines w:val="0"/>
              <w:pageBreakBefore w:val="0"/>
              <w:widowControl w:val="0"/>
              <w:suppressLineNumbers w:val="0"/>
              <w:kinsoku/>
              <w:overflowPunct/>
              <w:topLinePunct w:val="0"/>
              <w:autoSpaceDE w:val="0"/>
              <w:autoSpaceDN w:val="0"/>
              <w:bidi w:val="0"/>
              <w:spacing w:before="0" w:beforeAutospacing="0" w:after="0" w:afterAutospacing="0" w:line="240" w:lineRule="auto"/>
              <w:ind w:left="0" w:right="0"/>
              <w:jc w:val="center"/>
              <w:textAlignment w:val="bottom"/>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昼间</w:t>
            </w:r>
          </w:p>
        </w:tc>
        <w:tc>
          <w:tcPr>
            <w:tcW w:w="998" w:type="dxa"/>
            <w:vAlign w:val="center"/>
          </w:tcPr>
          <w:p w14:paraId="581E4D81">
            <w:pPr>
              <w:pStyle w:val="182"/>
              <w:keepNext w:val="0"/>
              <w:keepLines w:val="0"/>
              <w:pageBreakBefore w:val="0"/>
              <w:widowControl w:val="0"/>
              <w:suppressLineNumbers w:val="0"/>
              <w:kinsoku/>
              <w:overflowPunct/>
              <w:topLinePunct w:val="0"/>
              <w:autoSpaceDE w:val="0"/>
              <w:autoSpaceDN w:val="0"/>
              <w:bidi w:val="0"/>
              <w:spacing w:before="0" w:beforeAutospacing="0" w:after="0" w:afterAutospacing="0" w:line="240" w:lineRule="auto"/>
              <w:ind w:left="0" w:right="0"/>
              <w:jc w:val="center"/>
              <w:textAlignment w:val="bottom"/>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夜间</w:t>
            </w:r>
          </w:p>
        </w:tc>
        <w:tc>
          <w:tcPr>
            <w:tcW w:w="3248" w:type="dxa"/>
          </w:tcPr>
          <w:p w14:paraId="54F2BCF2">
            <w:pPr>
              <w:pStyle w:val="182"/>
              <w:keepNext w:val="0"/>
              <w:keepLines w:val="0"/>
              <w:pageBreakBefore w:val="0"/>
              <w:widowControl w:val="0"/>
              <w:suppressLineNumbers w:val="0"/>
              <w:kinsoku/>
              <w:overflowPunct/>
              <w:topLinePunct w:val="0"/>
              <w:autoSpaceDE w:val="0"/>
              <w:autoSpaceDN w:val="0"/>
              <w:bidi w:val="0"/>
              <w:spacing w:before="0" w:beforeAutospacing="0" w:after="0" w:afterAutospacing="0" w:line="240" w:lineRule="auto"/>
              <w:ind w:left="0" w:right="0"/>
              <w:jc w:val="center"/>
              <w:textAlignment w:val="bottom"/>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标准来源</w:t>
            </w:r>
          </w:p>
        </w:tc>
      </w:tr>
      <w:tr w14:paraId="26E261E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jc w:val="center"/>
        </w:trPr>
        <w:tc>
          <w:tcPr>
            <w:tcW w:w="1686" w:type="dxa"/>
            <w:vAlign w:val="center"/>
          </w:tcPr>
          <w:p w14:paraId="4A7325F2">
            <w:pPr>
              <w:pStyle w:val="182"/>
              <w:keepNext w:val="0"/>
              <w:keepLines w:val="0"/>
              <w:pageBreakBefore w:val="0"/>
              <w:widowControl w:val="0"/>
              <w:suppressLineNumbers w:val="0"/>
              <w:kinsoku/>
              <w:overflowPunct/>
              <w:topLinePunct w:val="0"/>
              <w:autoSpaceDE w:val="0"/>
              <w:autoSpaceDN w:val="0"/>
              <w:bidi w:val="0"/>
              <w:spacing w:before="0" w:beforeAutospacing="0" w:after="0" w:afterAutospacing="0" w:line="240" w:lineRule="auto"/>
              <w:ind w:left="0" w:right="0"/>
              <w:jc w:val="center"/>
              <w:textAlignment w:val="bottom"/>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厂界</w:t>
            </w:r>
          </w:p>
        </w:tc>
        <w:tc>
          <w:tcPr>
            <w:tcW w:w="1290" w:type="dxa"/>
            <w:vAlign w:val="center"/>
          </w:tcPr>
          <w:p w14:paraId="5A1E64F8">
            <w:pPr>
              <w:pStyle w:val="182"/>
              <w:keepNext w:val="0"/>
              <w:keepLines w:val="0"/>
              <w:pageBreakBefore w:val="0"/>
              <w:widowControl w:val="0"/>
              <w:suppressLineNumbers w:val="0"/>
              <w:kinsoku/>
              <w:overflowPunct/>
              <w:topLinePunct w:val="0"/>
              <w:autoSpaceDE w:val="0"/>
              <w:autoSpaceDN w:val="0"/>
              <w:bidi w:val="0"/>
              <w:spacing w:before="0" w:beforeAutospacing="0" w:after="0" w:afterAutospacing="0" w:line="240" w:lineRule="auto"/>
              <w:ind w:left="0" w:right="0"/>
              <w:jc w:val="center"/>
              <w:textAlignment w:val="bottom"/>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施工期</w:t>
            </w:r>
          </w:p>
        </w:tc>
        <w:tc>
          <w:tcPr>
            <w:tcW w:w="1300" w:type="dxa"/>
            <w:vAlign w:val="center"/>
          </w:tcPr>
          <w:p w14:paraId="29BB5BF8">
            <w:pPr>
              <w:pStyle w:val="182"/>
              <w:keepNext w:val="0"/>
              <w:keepLines w:val="0"/>
              <w:pageBreakBefore w:val="0"/>
              <w:widowControl w:val="0"/>
              <w:suppressLineNumbers w:val="0"/>
              <w:kinsoku/>
              <w:overflowPunct/>
              <w:topLinePunct w:val="0"/>
              <w:autoSpaceDE w:val="0"/>
              <w:autoSpaceDN w:val="0"/>
              <w:bidi w:val="0"/>
              <w:spacing w:before="0" w:beforeAutospacing="0" w:after="0" w:afterAutospacing="0" w:line="240" w:lineRule="auto"/>
              <w:ind w:left="0" w:right="0"/>
              <w:jc w:val="center"/>
              <w:textAlignment w:val="bottom"/>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70</w:t>
            </w:r>
          </w:p>
        </w:tc>
        <w:tc>
          <w:tcPr>
            <w:tcW w:w="998" w:type="dxa"/>
            <w:vAlign w:val="center"/>
          </w:tcPr>
          <w:p w14:paraId="7AD8867D">
            <w:pPr>
              <w:pStyle w:val="182"/>
              <w:keepNext w:val="0"/>
              <w:keepLines w:val="0"/>
              <w:pageBreakBefore w:val="0"/>
              <w:widowControl w:val="0"/>
              <w:suppressLineNumbers w:val="0"/>
              <w:kinsoku/>
              <w:overflowPunct/>
              <w:topLinePunct w:val="0"/>
              <w:autoSpaceDE w:val="0"/>
              <w:autoSpaceDN w:val="0"/>
              <w:bidi w:val="0"/>
              <w:spacing w:before="0" w:beforeAutospacing="0" w:after="0" w:afterAutospacing="0" w:line="240" w:lineRule="auto"/>
              <w:ind w:left="0" w:right="0"/>
              <w:jc w:val="center"/>
              <w:textAlignment w:val="bottom"/>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55</w:t>
            </w:r>
          </w:p>
        </w:tc>
        <w:tc>
          <w:tcPr>
            <w:tcW w:w="3248" w:type="dxa"/>
          </w:tcPr>
          <w:p w14:paraId="027AAD96">
            <w:pPr>
              <w:pStyle w:val="182"/>
              <w:keepNext w:val="0"/>
              <w:keepLines w:val="0"/>
              <w:pageBreakBefore w:val="0"/>
              <w:widowControl w:val="0"/>
              <w:suppressLineNumbers w:val="0"/>
              <w:kinsoku/>
              <w:overflowPunct/>
              <w:topLinePunct w:val="0"/>
              <w:autoSpaceDE w:val="0"/>
              <w:autoSpaceDN w:val="0"/>
              <w:bidi w:val="0"/>
              <w:spacing w:before="0" w:beforeAutospacing="0" w:after="0" w:afterAutospacing="0" w:line="240" w:lineRule="auto"/>
              <w:ind w:left="0" w:right="0"/>
              <w:jc w:val="center"/>
              <w:textAlignment w:val="bottom"/>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《建筑施工场界环境噪声排放标准》（GB12523-2011）</w:t>
            </w:r>
          </w:p>
        </w:tc>
      </w:tr>
      <w:tr w14:paraId="4C7C445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jc w:val="center"/>
        </w:trPr>
        <w:tc>
          <w:tcPr>
            <w:tcW w:w="1686" w:type="dxa"/>
            <w:vAlign w:val="center"/>
          </w:tcPr>
          <w:p w14:paraId="7383FC09">
            <w:pPr>
              <w:pStyle w:val="182"/>
              <w:keepNext w:val="0"/>
              <w:keepLines w:val="0"/>
              <w:pageBreakBefore w:val="0"/>
              <w:widowControl w:val="0"/>
              <w:suppressLineNumbers w:val="0"/>
              <w:kinsoku/>
              <w:overflowPunct/>
              <w:topLinePunct w:val="0"/>
              <w:autoSpaceDE w:val="0"/>
              <w:autoSpaceDN w:val="0"/>
              <w:bidi w:val="0"/>
              <w:spacing w:before="0" w:beforeAutospacing="0" w:after="0" w:afterAutospacing="0" w:line="240" w:lineRule="auto"/>
              <w:ind w:left="0" w:right="0"/>
              <w:jc w:val="center"/>
              <w:textAlignment w:val="bottom"/>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厂界</w:t>
            </w:r>
          </w:p>
        </w:tc>
        <w:tc>
          <w:tcPr>
            <w:tcW w:w="1290" w:type="dxa"/>
            <w:vAlign w:val="center"/>
          </w:tcPr>
          <w:p w14:paraId="291F262B">
            <w:pPr>
              <w:pStyle w:val="182"/>
              <w:keepNext w:val="0"/>
              <w:keepLines w:val="0"/>
              <w:pageBreakBefore w:val="0"/>
              <w:widowControl w:val="0"/>
              <w:suppressLineNumbers w:val="0"/>
              <w:kinsoku/>
              <w:overflowPunct/>
              <w:topLinePunct w:val="0"/>
              <w:autoSpaceDE w:val="0"/>
              <w:autoSpaceDN w:val="0"/>
              <w:bidi w:val="0"/>
              <w:spacing w:before="0" w:beforeAutospacing="0" w:after="0" w:afterAutospacing="0" w:line="240" w:lineRule="auto"/>
              <w:ind w:left="0" w:right="0"/>
              <w:jc w:val="center"/>
              <w:textAlignment w:val="bottom"/>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营运期</w:t>
            </w:r>
          </w:p>
        </w:tc>
        <w:tc>
          <w:tcPr>
            <w:tcW w:w="1300" w:type="dxa"/>
            <w:vAlign w:val="center"/>
          </w:tcPr>
          <w:p w14:paraId="287AC63A">
            <w:pPr>
              <w:pStyle w:val="182"/>
              <w:keepNext w:val="0"/>
              <w:keepLines w:val="0"/>
              <w:pageBreakBefore w:val="0"/>
              <w:widowControl w:val="0"/>
              <w:suppressLineNumbers w:val="0"/>
              <w:kinsoku/>
              <w:overflowPunct/>
              <w:topLinePunct w:val="0"/>
              <w:autoSpaceDE w:val="0"/>
              <w:autoSpaceDN w:val="0"/>
              <w:bidi w:val="0"/>
              <w:spacing w:before="0" w:beforeAutospacing="0" w:after="0" w:afterAutospacing="0" w:line="240" w:lineRule="auto"/>
              <w:ind w:left="0" w:right="0"/>
              <w:jc w:val="center"/>
              <w:textAlignment w:val="bottom"/>
              <w:outlineLvl w:val="9"/>
              <w:rPr>
                <w:rFonts w:hint="default" w:ascii="Times New Roman" w:hAnsi="Times New Roman" w:eastAsia="宋体" w:cs="Times New Roman"/>
                <w:color w:val="auto"/>
                <w:sz w:val="21"/>
                <w:szCs w:val="21"/>
                <w:highlight w:val="none"/>
                <w:lang w:val="en-US"/>
              </w:rPr>
            </w:pPr>
            <w:r>
              <w:rPr>
                <w:rFonts w:hint="eastAsia" w:ascii="Times New Roman" w:cs="Times New Roman"/>
                <w:color w:val="auto"/>
                <w:sz w:val="21"/>
                <w:szCs w:val="21"/>
                <w:highlight w:val="none"/>
                <w:lang w:val="en-US" w:eastAsia="zh-CN"/>
              </w:rPr>
              <w:t>65</w:t>
            </w:r>
          </w:p>
        </w:tc>
        <w:tc>
          <w:tcPr>
            <w:tcW w:w="998" w:type="dxa"/>
            <w:vAlign w:val="center"/>
          </w:tcPr>
          <w:p w14:paraId="02310453">
            <w:pPr>
              <w:pStyle w:val="182"/>
              <w:keepNext w:val="0"/>
              <w:keepLines w:val="0"/>
              <w:pageBreakBefore w:val="0"/>
              <w:widowControl w:val="0"/>
              <w:suppressLineNumbers w:val="0"/>
              <w:kinsoku/>
              <w:overflowPunct/>
              <w:topLinePunct w:val="0"/>
              <w:autoSpaceDE w:val="0"/>
              <w:autoSpaceDN w:val="0"/>
              <w:bidi w:val="0"/>
              <w:spacing w:before="0" w:beforeAutospacing="0" w:after="0" w:afterAutospacing="0" w:line="240" w:lineRule="auto"/>
              <w:ind w:left="0" w:right="0"/>
              <w:jc w:val="center"/>
              <w:textAlignment w:val="bottom"/>
              <w:outlineLvl w:val="9"/>
              <w:rPr>
                <w:rFonts w:hint="default" w:ascii="Times New Roman" w:hAnsi="Times New Roman" w:eastAsia="宋体" w:cs="Times New Roman"/>
                <w:color w:val="auto"/>
                <w:sz w:val="21"/>
                <w:szCs w:val="21"/>
                <w:highlight w:val="none"/>
                <w:lang w:val="en-US"/>
              </w:rPr>
            </w:pPr>
            <w:r>
              <w:rPr>
                <w:rFonts w:hint="eastAsia" w:ascii="Times New Roman" w:cs="Times New Roman"/>
                <w:color w:val="auto"/>
                <w:sz w:val="21"/>
                <w:szCs w:val="21"/>
                <w:highlight w:val="none"/>
                <w:lang w:val="en-US" w:eastAsia="zh-CN"/>
              </w:rPr>
              <w:t>55</w:t>
            </w:r>
          </w:p>
        </w:tc>
        <w:tc>
          <w:tcPr>
            <w:tcW w:w="3248" w:type="dxa"/>
          </w:tcPr>
          <w:p w14:paraId="3C6595A8">
            <w:pPr>
              <w:pStyle w:val="182"/>
              <w:keepNext w:val="0"/>
              <w:keepLines w:val="0"/>
              <w:pageBreakBefore w:val="0"/>
              <w:widowControl w:val="0"/>
              <w:suppressLineNumbers w:val="0"/>
              <w:kinsoku/>
              <w:overflowPunct/>
              <w:topLinePunct w:val="0"/>
              <w:autoSpaceDE w:val="0"/>
              <w:autoSpaceDN w:val="0"/>
              <w:bidi w:val="0"/>
              <w:spacing w:before="0" w:beforeAutospacing="0" w:after="0" w:afterAutospacing="0" w:line="240" w:lineRule="auto"/>
              <w:ind w:left="0" w:right="0"/>
              <w:jc w:val="center"/>
              <w:textAlignment w:val="bottom"/>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《工业企业厂界环境噪声排放标准》（GB12348-2008）</w:t>
            </w:r>
            <w:r>
              <w:rPr>
                <w:rFonts w:hint="eastAsia" w:ascii="Times New Roman"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类</w:t>
            </w:r>
          </w:p>
        </w:tc>
      </w:tr>
    </w:tbl>
    <w:p w14:paraId="6F7623F2">
      <w:pPr>
        <w:pStyle w:val="6"/>
        <w:bidi w:val="0"/>
        <w:rPr>
          <w:highlight w:val="none"/>
        </w:rPr>
      </w:pPr>
      <w:r>
        <w:rPr>
          <w:highlight w:val="none"/>
        </w:rPr>
        <w:t>2.3.2.4固体废物</w:t>
      </w:r>
    </w:p>
    <w:p w14:paraId="41C2B8B1">
      <w:pPr>
        <w:keepNext w:val="0"/>
        <w:keepLines w:val="0"/>
        <w:pageBreakBefore w:val="0"/>
        <w:widowControl w:val="0"/>
        <w:kinsoku/>
        <w:overflowPunct/>
        <w:topLinePunct w:val="0"/>
        <w:bidi w:val="0"/>
        <w:spacing w:line="360" w:lineRule="auto"/>
        <w:ind w:firstLine="480" w:firstLineChars="200"/>
        <w:outlineLvl w:val="9"/>
        <w:rPr>
          <w:rFonts w:eastAsiaTheme="minorEastAsia"/>
          <w:kern w:val="0"/>
          <w:sz w:val="24"/>
          <w:highlight w:val="none"/>
        </w:rPr>
      </w:pPr>
      <w:r>
        <w:rPr>
          <w:rFonts w:hAnsiTheme="minorEastAsia" w:eastAsiaTheme="minorEastAsia"/>
          <w:kern w:val="0"/>
          <w:sz w:val="24"/>
          <w:highlight w:val="none"/>
        </w:rPr>
        <w:t>危险废物贮存执行</w:t>
      </w:r>
      <w:r>
        <w:rPr>
          <w:rFonts w:hAnsiTheme="minorEastAsia" w:eastAsiaTheme="minorEastAsia"/>
          <w:kern w:val="21"/>
          <w:sz w:val="24"/>
          <w:highlight w:val="none"/>
        </w:rPr>
        <w:t>《危险废物贮存污染控制标准》（GB18597-2023）</w:t>
      </w:r>
      <w:r>
        <w:rPr>
          <w:rFonts w:hAnsiTheme="minorEastAsia" w:eastAsiaTheme="minorEastAsia"/>
          <w:kern w:val="0"/>
          <w:sz w:val="24"/>
          <w:highlight w:val="none"/>
        </w:rPr>
        <w:t>。</w:t>
      </w:r>
    </w:p>
    <w:p w14:paraId="00748C82">
      <w:pPr>
        <w:pStyle w:val="3"/>
        <w:bidi w:val="0"/>
        <w:rPr>
          <w:highlight w:val="none"/>
        </w:rPr>
      </w:pPr>
      <w:bookmarkStart w:id="155" w:name="_Toc31133"/>
      <w:bookmarkStart w:id="156" w:name="_Toc20051"/>
      <w:r>
        <w:rPr>
          <w:highlight w:val="none"/>
        </w:rPr>
        <w:t>2.4评价工作等级</w:t>
      </w:r>
      <w:bookmarkEnd w:id="155"/>
      <w:bookmarkEnd w:id="156"/>
    </w:p>
    <w:p w14:paraId="00AB0DDB">
      <w:pPr>
        <w:pStyle w:val="4"/>
        <w:bidi w:val="0"/>
        <w:rPr>
          <w:highlight w:val="none"/>
        </w:rPr>
      </w:pPr>
      <w:bookmarkStart w:id="157" w:name="_Toc30031"/>
      <w:bookmarkStart w:id="158" w:name="_Toc14697"/>
      <w:bookmarkStart w:id="159" w:name="_Toc88900493"/>
      <w:bookmarkStart w:id="160" w:name="_Toc88968910"/>
      <w:bookmarkStart w:id="161" w:name="_Toc88969053"/>
      <w:bookmarkStart w:id="162" w:name="_Toc89231863"/>
      <w:r>
        <w:rPr>
          <w:highlight w:val="none"/>
        </w:rPr>
        <w:t>2.4.1环境空气评价工作等级</w:t>
      </w:r>
      <w:bookmarkEnd w:id="157"/>
      <w:bookmarkEnd w:id="158"/>
    </w:p>
    <w:bookmarkEnd w:id="159"/>
    <w:bookmarkEnd w:id="160"/>
    <w:bookmarkEnd w:id="161"/>
    <w:bookmarkEnd w:id="162"/>
    <w:p w14:paraId="4835590B">
      <w:pPr>
        <w:bidi w:val="0"/>
        <w:rPr>
          <w:rFonts w:eastAsiaTheme="minorEastAsia"/>
          <w:sz w:val="24"/>
          <w:highlight w:val="none"/>
        </w:rPr>
      </w:pPr>
      <w:r>
        <w:rPr>
          <w:rFonts w:hAnsiTheme="minorEastAsia" w:eastAsiaTheme="minorEastAsia"/>
          <w:sz w:val="24"/>
          <w:highlight w:val="none"/>
        </w:rPr>
        <w:t>依据《环境影响评价技术导则</w:t>
      </w:r>
      <w:r>
        <w:rPr>
          <w:rFonts w:eastAsiaTheme="minorEastAsia"/>
          <w:sz w:val="24"/>
          <w:highlight w:val="none"/>
        </w:rPr>
        <w:t>-</w:t>
      </w:r>
      <w:r>
        <w:rPr>
          <w:rFonts w:hAnsiTheme="minorEastAsia" w:eastAsiaTheme="minorEastAsia"/>
          <w:sz w:val="24"/>
          <w:highlight w:val="none"/>
        </w:rPr>
        <w:t>大气环境》</w:t>
      </w:r>
      <w:r>
        <w:rPr>
          <w:rFonts w:hint="eastAsia" w:eastAsiaTheme="minorEastAsia"/>
          <w:sz w:val="24"/>
          <w:highlight w:val="none"/>
          <w:lang w:eastAsia="zh-CN"/>
        </w:rPr>
        <w:t>（</w:t>
      </w:r>
      <w:r>
        <w:rPr>
          <w:rFonts w:eastAsiaTheme="minorEastAsia"/>
          <w:sz w:val="24"/>
          <w:highlight w:val="none"/>
        </w:rPr>
        <w:t>HJ2.2-2018</w:t>
      </w:r>
      <w:r>
        <w:rPr>
          <w:rFonts w:hint="eastAsia" w:eastAsiaTheme="minorEastAsia"/>
          <w:sz w:val="24"/>
          <w:highlight w:val="none"/>
          <w:lang w:eastAsia="zh-CN"/>
        </w:rPr>
        <w:t>）</w:t>
      </w:r>
      <w:r>
        <w:rPr>
          <w:rFonts w:hAnsiTheme="minorEastAsia" w:eastAsiaTheme="minorEastAsia"/>
          <w:sz w:val="24"/>
          <w:highlight w:val="none"/>
        </w:rPr>
        <w:t>中</w:t>
      </w:r>
      <w:r>
        <w:rPr>
          <w:rFonts w:eastAsiaTheme="minorEastAsia"/>
          <w:sz w:val="24"/>
          <w:highlight w:val="none"/>
        </w:rPr>
        <w:t>5.3</w:t>
      </w:r>
      <w:r>
        <w:rPr>
          <w:rFonts w:hAnsiTheme="minorEastAsia" w:eastAsiaTheme="minorEastAsia"/>
          <w:sz w:val="24"/>
          <w:highlight w:val="none"/>
        </w:rPr>
        <w:t>节工作等级的确定方法，结合项目工程分析结果，选择正常排放的主要污染物及排放参数，采用附录</w:t>
      </w:r>
      <w:r>
        <w:rPr>
          <w:rFonts w:eastAsiaTheme="minorEastAsia"/>
          <w:sz w:val="24"/>
          <w:highlight w:val="none"/>
        </w:rPr>
        <w:t>A</w:t>
      </w:r>
      <w:r>
        <w:rPr>
          <w:rFonts w:hAnsiTheme="minorEastAsia" w:eastAsiaTheme="minorEastAsia"/>
          <w:sz w:val="24"/>
          <w:highlight w:val="none"/>
        </w:rPr>
        <w:t>推荐模型中的</w:t>
      </w:r>
      <w:r>
        <w:rPr>
          <w:rFonts w:eastAsiaTheme="minorEastAsia"/>
          <w:sz w:val="24"/>
          <w:highlight w:val="none"/>
        </w:rPr>
        <w:t>AERSCREEN</w:t>
      </w:r>
      <w:r>
        <w:rPr>
          <w:rFonts w:hAnsiTheme="minorEastAsia" w:eastAsiaTheme="minorEastAsia"/>
          <w:sz w:val="24"/>
          <w:highlight w:val="none"/>
        </w:rPr>
        <w:t>模式计算项目污染源的最大环境影响，然后按评价工作分级判据进行分级。</w:t>
      </w:r>
    </w:p>
    <w:p w14:paraId="2E2ABC51">
      <w:pPr>
        <w:pageBreakBefore w:val="0"/>
        <w:kinsoku/>
        <w:overflowPunct/>
        <w:topLinePunct w:val="0"/>
        <w:bidi w:val="0"/>
        <w:outlineLvl w:val="9"/>
        <w:rPr>
          <w:rFonts w:eastAsiaTheme="minorEastAsia"/>
          <w:b/>
          <w:sz w:val="24"/>
          <w:highlight w:val="none"/>
        </w:rPr>
      </w:pPr>
      <w:bookmarkStart w:id="163" w:name="_Toc8488"/>
      <w:r>
        <w:rPr>
          <w:rFonts w:hint="eastAsia" w:eastAsiaTheme="minorEastAsia"/>
          <w:b/>
          <w:sz w:val="24"/>
          <w:highlight w:val="none"/>
          <w:lang w:eastAsia="zh-CN"/>
        </w:rPr>
        <w:t>（</w:t>
      </w:r>
      <w:r>
        <w:rPr>
          <w:rFonts w:hint="eastAsia" w:eastAsiaTheme="minorEastAsia"/>
          <w:b/>
          <w:sz w:val="24"/>
          <w:highlight w:val="none"/>
          <w:lang w:val="en-US" w:eastAsia="zh-CN"/>
        </w:rPr>
        <w:t>1</w:t>
      </w:r>
      <w:r>
        <w:rPr>
          <w:rFonts w:hint="eastAsia" w:eastAsiaTheme="minorEastAsia"/>
          <w:b/>
          <w:sz w:val="24"/>
          <w:highlight w:val="none"/>
          <w:lang w:eastAsia="zh-CN"/>
        </w:rPr>
        <w:t>）</w:t>
      </w:r>
      <w:r>
        <w:rPr>
          <w:rFonts w:eastAsiaTheme="minorEastAsia"/>
          <w:b/>
          <w:sz w:val="24"/>
          <w:highlight w:val="none"/>
        </w:rPr>
        <w:t>P</w:t>
      </w:r>
      <w:r>
        <w:rPr>
          <w:rFonts w:eastAsiaTheme="minorEastAsia"/>
          <w:b/>
          <w:sz w:val="24"/>
          <w:highlight w:val="none"/>
          <w:vertAlign w:val="subscript"/>
        </w:rPr>
        <w:t>max</w:t>
      </w:r>
      <w:r>
        <w:rPr>
          <w:rFonts w:hAnsiTheme="minorEastAsia" w:eastAsiaTheme="minorEastAsia"/>
          <w:b/>
          <w:sz w:val="24"/>
          <w:highlight w:val="none"/>
        </w:rPr>
        <w:t>及</w:t>
      </w:r>
      <w:r>
        <w:rPr>
          <w:rFonts w:eastAsiaTheme="minorEastAsia"/>
          <w:b/>
          <w:sz w:val="24"/>
          <w:highlight w:val="none"/>
        </w:rPr>
        <w:t>D</w:t>
      </w:r>
      <w:r>
        <w:rPr>
          <w:rFonts w:eastAsiaTheme="minorEastAsia"/>
          <w:b/>
          <w:sz w:val="24"/>
          <w:highlight w:val="none"/>
          <w:vertAlign w:val="subscript"/>
        </w:rPr>
        <w:t>10%</w:t>
      </w:r>
      <w:r>
        <w:rPr>
          <w:rFonts w:hAnsiTheme="minorEastAsia" w:eastAsiaTheme="minorEastAsia"/>
          <w:b/>
          <w:sz w:val="24"/>
          <w:highlight w:val="none"/>
        </w:rPr>
        <w:t>的确定</w:t>
      </w:r>
      <w:bookmarkEnd w:id="163"/>
    </w:p>
    <w:p w14:paraId="650CE340">
      <w:pPr>
        <w:pageBreakBefore w:val="0"/>
        <w:kinsoku/>
        <w:overflowPunct/>
        <w:topLinePunct w:val="0"/>
        <w:bidi w:val="0"/>
        <w:outlineLvl w:val="9"/>
        <w:rPr>
          <w:highlight w:val="none"/>
        </w:rPr>
      </w:pPr>
      <w:r>
        <w:rPr>
          <w:rFonts w:hAnsiTheme="minorEastAsia" w:eastAsiaTheme="minorEastAsia"/>
          <w:highlight w:val="none"/>
        </w:rPr>
        <w:t>依据《环</w:t>
      </w:r>
      <w:r>
        <w:rPr>
          <w:highlight w:val="none"/>
        </w:rPr>
        <w:t>境影响评价技术导则大气环境》</w:t>
      </w:r>
      <w:r>
        <w:rPr>
          <w:rFonts w:hint="eastAsia"/>
          <w:highlight w:val="none"/>
          <w:lang w:eastAsia="zh-CN"/>
        </w:rPr>
        <w:t>（</w:t>
      </w:r>
      <w:r>
        <w:rPr>
          <w:highlight w:val="none"/>
        </w:rPr>
        <w:t>HJ2.2-2018</w:t>
      </w:r>
      <w:r>
        <w:rPr>
          <w:rFonts w:hint="eastAsia"/>
          <w:highlight w:val="none"/>
          <w:lang w:eastAsia="zh-CN"/>
        </w:rPr>
        <w:t>）</w:t>
      </w:r>
      <w:r>
        <w:rPr>
          <w:highlight w:val="none"/>
        </w:rPr>
        <w:t>中最大地面浓度占标率Pi定义如下：</w:t>
      </w:r>
    </w:p>
    <w:p w14:paraId="0D7EE9CC">
      <w:pPr>
        <w:pageBreakBefore w:val="0"/>
        <w:kinsoku/>
        <w:overflowPunct/>
        <w:topLinePunct w:val="0"/>
        <w:bidi w:val="0"/>
        <w:outlineLvl w:val="9"/>
        <w:rPr>
          <w:highlight w:val="none"/>
        </w:rPr>
      </w:pPr>
      <m:oMathPara>
        <m:oMath>
          <m:sSub>
            <m:sSubPr>
              <m:ctrlPr>
                <w:rPr>
                  <w:rFonts w:ascii="Cambria Math" w:hAnsi="Cambria Math"/>
                  <w:highlight w:val="none"/>
                </w:rPr>
              </m:ctrlPr>
            </m:sSubPr>
            <m:e>
              <m:r>
                <m:rPr>
                  <m:sty m:val="p"/>
                </m:rPr>
                <w:rPr>
                  <w:rFonts w:ascii="Cambria Math" w:hAnsi="Cambria Math"/>
                  <w:highlight w:val="none"/>
                </w:rPr>
                <m:t>P</m:t>
              </m:r>
              <m:ctrlPr>
                <w:rPr>
                  <w:rFonts w:ascii="Cambria Math" w:hAnsi="Cambria Math"/>
                  <w:highlight w:val="none"/>
                </w:rPr>
              </m:ctrlPr>
            </m:e>
            <m:sub>
              <m:r>
                <m:rPr>
                  <m:sty m:val="p"/>
                </m:rPr>
                <w:rPr>
                  <w:rFonts w:ascii="Cambria Math" w:hAnsi="Cambria Math"/>
                  <w:highlight w:val="none"/>
                </w:rPr>
                <m:t>i</m:t>
              </m:r>
              <m:ctrlPr>
                <w:rPr>
                  <w:rFonts w:ascii="Cambria Math" w:hAnsi="Cambria Math"/>
                  <w:highlight w:val="none"/>
                </w:rPr>
              </m:ctrlPr>
            </m:sub>
          </m:sSub>
          <m:r>
            <m:rPr>
              <m:sty m:val="p"/>
            </m:rPr>
            <w:rPr>
              <w:rFonts w:ascii="Cambria Math" w:hAnsi="Cambria Math"/>
              <w:highlight w:val="none"/>
            </w:rPr>
            <m:t>=</m:t>
          </m:r>
          <m:f>
            <m:fPr>
              <m:ctrlPr>
                <w:rPr>
                  <w:rFonts w:ascii="Cambria Math" w:hAnsi="Cambria Math"/>
                  <w:highlight w:val="none"/>
                </w:rPr>
              </m:ctrlPr>
            </m:fPr>
            <m:num>
              <m:sSub>
                <m:sSubPr>
                  <m:ctrlPr>
                    <w:rPr>
                      <w:rFonts w:ascii="Cambria Math" w:hAnsi="Cambria Math"/>
                      <w:highlight w:val="none"/>
                    </w:rPr>
                  </m:ctrlPr>
                </m:sSubPr>
                <m:e>
                  <m:r>
                    <m:rPr>
                      <m:sty m:val="p"/>
                    </m:rPr>
                    <w:rPr>
                      <w:rFonts w:ascii="Cambria Math" w:hAnsi="Cambria Math"/>
                      <w:highlight w:val="none"/>
                    </w:rPr>
                    <m:t>C</m:t>
                  </m:r>
                  <m:ctrlPr>
                    <w:rPr>
                      <w:rFonts w:ascii="Cambria Math" w:hAnsi="Cambria Math"/>
                      <w:highlight w:val="none"/>
                    </w:rPr>
                  </m:ctrlPr>
                </m:e>
                <m:sub>
                  <m:r>
                    <m:rPr>
                      <m:sty m:val="p"/>
                    </m:rPr>
                    <w:rPr>
                      <w:rFonts w:ascii="Cambria Math" w:hAnsi="Cambria Math"/>
                      <w:highlight w:val="none"/>
                    </w:rPr>
                    <m:t>i</m:t>
                  </m:r>
                  <m:ctrlPr>
                    <w:rPr>
                      <w:rFonts w:ascii="Cambria Math" w:hAnsi="Cambria Math"/>
                      <w:highlight w:val="none"/>
                    </w:rPr>
                  </m:ctrlPr>
                </m:sub>
              </m:sSub>
              <m:ctrlPr>
                <w:rPr>
                  <w:rFonts w:ascii="Cambria Math" w:hAnsi="Cambria Math"/>
                  <w:highlight w:val="none"/>
                </w:rPr>
              </m:ctrlPr>
            </m:num>
            <m:den>
              <m:sSub>
                <m:sSubPr>
                  <m:ctrlPr>
                    <w:rPr>
                      <w:rFonts w:ascii="Cambria Math" w:hAnsi="Cambria Math"/>
                      <w:highlight w:val="none"/>
                    </w:rPr>
                  </m:ctrlPr>
                </m:sSubPr>
                <m:e>
                  <m:r>
                    <m:rPr>
                      <m:sty m:val="p"/>
                    </m:rPr>
                    <w:rPr>
                      <w:rFonts w:ascii="Cambria Math" w:hAnsi="Cambria Math"/>
                      <w:highlight w:val="none"/>
                    </w:rPr>
                    <m:t>C</m:t>
                  </m:r>
                  <m:ctrlPr>
                    <w:rPr>
                      <w:rFonts w:ascii="Cambria Math" w:hAnsi="Cambria Math"/>
                      <w:highlight w:val="none"/>
                    </w:rPr>
                  </m:ctrlPr>
                </m:e>
                <m:sub>
                  <m:r>
                    <m:rPr>
                      <m:sty m:val="p"/>
                    </m:rPr>
                    <w:rPr>
                      <w:rFonts w:ascii="Cambria Math" w:hAnsi="Cambria Math"/>
                      <w:highlight w:val="none"/>
                    </w:rPr>
                    <m:t>0i</m:t>
                  </m:r>
                  <m:ctrlPr>
                    <w:rPr>
                      <w:rFonts w:ascii="Cambria Math" w:hAnsi="Cambria Math"/>
                      <w:highlight w:val="none"/>
                    </w:rPr>
                  </m:ctrlPr>
                </m:sub>
              </m:sSub>
              <m:ctrlPr>
                <w:rPr>
                  <w:rFonts w:ascii="Cambria Math" w:hAnsi="Cambria Math"/>
                  <w:highlight w:val="none"/>
                </w:rPr>
              </m:ctrlPr>
            </m:den>
          </m:f>
          <m:r>
            <m:rPr>
              <m:sty m:val="p"/>
            </m:rPr>
            <w:rPr>
              <w:rFonts w:ascii="Cambria Math" w:hAnsi="Cambria Math"/>
              <w:highlight w:val="none"/>
            </w:rPr>
            <m:t>×100%</m:t>
          </m:r>
        </m:oMath>
      </m:oMathPara>
    </w:p>
    <w:p w14:paraId="5E162142">
      <w:pPr>
        <w:pageBreakBefore w:val="0"/>
        <w:kinsoku/>
        <w:overflowPunct/>
        <w:topLinePunct w:val="0"/>
        <w:bidi w:val="0"/>
        <w:outlineLvl w:val="9"/>
        <w:rPr>
          <w:highlight w:val="none"/>
        </w:rPr>
      </w:pPr>
      <m:oMath>
        <m:sSub>
          <m:sSubPr>
            <m:ctrlPr>
              <w:rPr>
                <w:rFonts w:ascii="Cambria Math" w:hAnsi="Cambria Math"/>
                <w:highlight w:val="none"/>
              </w:rPr>
            </m:ctrlPr>
          </m:sSubPr>
          <m:e>
            <m:r>
              <m:rPr>
                <m:sty m:val="p"/>
              </m:rPr>
              <w:rPr>
                <w:rFonts w:ascii="Cambria Math" w:hAnsi="Cambria Math"/>
                <w:highlight w:val="none"/>
              </w:rPr>
              <m:t>P</m:t>
            </m:r>
            <m:ctrlPr>
              <w:rPr>
                <w:rFonts w:ascii="Cambria Math" w:hAnsi="Cambria Math"/>
                <w:highlight w:val="none"/>
              </w:rPr>
            </m:ctrlPr>
          </m:e>
          <m:sub>
            <m:r>
              <m:rPr>
                <m:sty m:val="p"/>
              </m:rPr>
              <w:rPr>
                <w:rFonts w:ascii="Cambria Math" w:hAnsi="Cambria Math"/>
                <w:highlight w:val="none"/>
              </w:rPr>
              <m:t>i</m:t>
            </m:r>
            <m:ctrlPr>
              <w:rPr>
                <w:rFonts w:ascii="Cambria Math" w:hAnsi="Cambria Math"/>
                <w:highlight w:val="none"/>
              </w:rPr>
            </m:ctrlPr>
          </m:sub>
        </m:sSub>
      </m:oMath>
      <w:r>
        <w:rPr>
          <w:highlight w:val="none"/>
        </w:rPr>
        <w:t>——第i个污染物的最大地面空气质量浓度占标率，%；</w:t>
      </w:r>
    </w:p>
    <w:p w14:paraId="53B41542">
      <w:pPr>
        <w:pageBreakBefore w:val="0"/>
        <w:kinsoku/>
        <w:overflowPunct/>
        <w:topLinePunct w:val="0"/>
        <w:bidi w:val="0"/>
        <w:outlineLvl w:val="9"/>
        <w:rPr>
          <w:highlight w:val="none"/>
        </w:rPr>
      </w:pPr>
      <m:oMath>
        <m:sSub>
          <m:sSubPr>
            <m:ctrlPr>
              <w:rPr>
                <w:rFonts w:ascii="Cambria Math" w:hAnsi="Cambria Math"/>
                <w:highlight w:val="none"/>
              </w:rPr>
            </m:ctrlPr>
          </m:sSubPr>
          <m:e>
            <m:r>
              <m:rPr>
                <m:sty m:val="p"/>
              </m:rPr>
              <w:rPr>
                <w:rFonts w:ascii="Cambria Math" w:hAnsi="Cambria Math"/>
                <w:highlight w:val="none"/>
              </w:rPr>
              <m:t>C</m:t>
            </m:r>
            <m:ctrlPr>
              <w:rPr>
                <w:rFonts w:ascii="Cambria Math" w:hAnsi="Cambria Math"/>
                <w:highlight w:val="none"/>
              </w:rPr>
            </m:ctrlPr>
          </m:e>
          <m:sub>
            <m:r>
              <m:rPr>
                <m:sty m:val="p"/>
              </m:rPr>
              <w:rPr>
                <w:rFonts w:ascii="Cambria Math" w:hAnsi="Cambria Math"/>
                <w:highlight w:val="none"/>
              </w:rPr>
              <m:t>i</m:t>
            </m:r>
            <m:ctrlPr>
              <w:rPr>
                <w:rFonts w:ascii="Cambria Math" w:hAnsi="Cambria Math"/>
                <w:highlight w:val="none"/>
              </w:rPr>
            </m:ctrlPr>
          </m:sub>
        </m:sSub>
      </m:oMath>
      <w:r>
        <w:rPr>
          <w:highlight w:val="none"/>
        </w:rPr>
        <w:t>——采用估算模型计算出的第i个污染物的最大1h地面空气质量浓度，μg/m3；</w:t>
      </w:r>
    </w:p>
    <w:p w14:paraId="1C82DA4F">
      <w:pPr>
        <w:pageBreakBefore w:val="0"/>
        <w:kinsoku/>
        <w:overflowPunct/>
        <w:topLinePunct w:val="0"/>
        <w:bidi w:val="0"/>
        <w:outlineLvl w:val="9"/>
        <w:rPr>
          <w:rFonts w:eastAsiaTheme="minorEastAsia"/>
          <w:highlight w:val="none"/>
        </w:rPr>
      </w:pPr>
      <m:oMath>
        <m:sSub>
          <m:sSubPr>
            <m:ctrlPr>
              <w:rPr>
                <w:rFonts w:ascii="Cambria Math" w:hAnsi="Cambria Math"/>
                <w:highlight w:val="none"/>
              </w:rPr>
            </m:ctrlPr>
          </m:sSubPr>
          <m:e>
            <m:r>
              <m:rPr>
                <m:sty m:val="p"/>
              </m:rPr>
              <w:rPr>
                <w:rFonts w:ascii="Cambria Math" w:hAnsi="Cambria Math"/>
                <w:highlight w:val="none"/>
              </w:rPr>
              <m:t>C</m:t>
            </m:r>
            <m:ctrlPr>
              <w:rPr>
                <w:rFonts w:ascii="Cambria Math" w:hAnsi="Cambria Math"/>
                <w:highlight w:val="none"/>
              </w:rPr>
            </m:ctrlPr>
          </m:e>
          <m:sub>
            <m:r>
              <m:rPr>
                <m:sty m:val="p"/>
              </m:rPr>
              <w:rPr>
                <w:rFonts w:ascii="Cambria Math" w:hAnsi="Cambria Math"/>
                <w:highlight w:val="none"/>
              </w:rPr>
              <m:t>0i</m:t>
            </m:r>
            <m:ctrlPr>
              <w:rPr>
                <w:rFonts w:ascii="Cambria Math" w:hAnsi="Cambria Math"/>
                <w:highlight w:val="none"/>
              </w:rPr>
            </m:ctrlPr>
          </m:sub>
        </m:sSub>
      </m:oMath>
      <w:r>
        <w:rPr>
          <w:highlight w:val="none"/>
        </w:rPr>
        <w:t>——第i个</w:t>
      </w:r>
      <w:r>
        <w:rPr>
          <w:rFonts w:hAnsiTheme="minorEastAsia" w:eastAsiaTheme="minorEastAsia"/>
          <w:highlight w:val="none"/>
        </w:rPr>
        <w:t>污染物的环境空气质量浓度标准，</w:t>
      </w:r>
      <w:r>
        <w:rPr>
          <w:rFonts w:eastAsiaTheme="minorEastAsia"/>
          <w:highlight w:val="none"/>
        </w:rPr>
        <w:t>μg/m</w:t>
      </w:r>
      <w:r>
        <w:rPr>
          <w:rFonts w:eastAsiaTheme="minorEastAsia"/>
          <w:highlight w:val="none"/>
          <w:vertAlign w:val="superscript"/>
        </w:rPr>
        <w:t>3</w:t>
      </w:r>
      <w:r>
        <w:rPr>
          <w:rFonts w:hAnsiTheme="minorEastAsia" w:eastAsiaTheme="minorEastAsia"/>
          <w:highlight w:val="none"/>
        </w:rPr>
        <w:t>。</w:t>
      </w:r>
    </w:p>
    <w:p w14:paraId="53DFF6A6">
      <w:pPr>
        <w:pageBreakBefore w:val="0"/>
        <w:kinsoku/>
        <w:overflowPunct/>
        <w:topLinePunct w:val="0"/>
        <w:bidi w:val="0"/>
        <w:outlineLvl w:val="9"/>
        <w:rPr>
          <w:rFonts w:eastAsiaTheme="minorEastAsia"/>
          <w:b/>
          <w:sz w:val="24"/>
          <w:highlight w:val="none"/>
        </w:rPr>
      </w:pPr>
      <w:bookmarkStart w:id="164" w:name="_Toc9926"/>
      <w:r>
        <w:rPr>
          <w:rFonts w:hint="eastAsia" w:eastAsiaTheme="minorEastAsia"/>
          <w:b/>
          <w:sz w:val="24"/>
          <w:highlight w:val="none"/>
          <w:lang w:eastAsia="zh-CN"/>
        </w:rPr>
        <w:t>（</w:t>
      </w:r>
      <w:r>
        <w:rPr>
          <w:rFonts w:hint="eastAsia" w:eastAsiaTheme="minorEastAsia"/>
          <w:b/>
          <w:sz w:val="24"/>
          <w:highlight w:val="none"/>
          <w:lang w:val="en-US" w:eastAsia="zh-CN"/>
        </w:rPr>
        <w:t>2</w:t>
      </w:r>
      <w:r>
        <w:rPr>
          <w:rFonts w:hint="eastAsia" w:eastAsiaTheme="minorEastAsia"/>
          <w:b/>
          <w:sz w:val="24"/>
          <w:highlight w:val="none"/>
          <w:lang w:eastAsia="zh-CN"/>
        </w:rPr>
        <w:t>）</w:t>
      </w:r>
      <w:r>
        <w:rPr>
          <w:rFonts w:hAnsiTheme="minorEastAsia" w:eastAsiaTheme="minorEastAsia"/>
          <w:b/>
          <w:sz w:val="24"/>
          <w:highlight w:val="none"/>
        </w:rPr>
        <w:t>评价等级判别表</w:t>
      </w:r>
      <w:bookmarkEnd w:id="164"/>
    </w:p>
    <w:p w14:paraId="2709D423">
      <w:pPr>
        <w:pageBreakBefore w:val="0"/>
        <w:kinsoku/>
        <w:overflowPunct/>
        <w:topLinePunct w:val="0"/>
        <w:bidi w:val="0"/>
        <w:outlineLvl w:val="9"/>
        <w:rPr>
          <w:highlight w:val="none"/>
        </w:rPr>
      </w:pPr>
      <w:r>
        <w:rPr>
          <w:highlight w:val="none"/>
        </w:rPr>
        <w:t>评价等级按下表的分级判据进行划分。</w:t>
      </w:r>
    </w:p>
    <w:p w14:paraId="17C7749B">
      <w:pPr>
        <w:pageBreakBefore w:val="0"/>
        <w:kinsoku/>
        <w:overflowPunct/>
        <w:topLinePunct w:val="0"/>
        <w:bidi w:val="0"/>
        <w:spacing w:line="360" w:lineRule="auto"/>
        <w:jc w:val="center"/>
        <w:outlineLvl w:val="9"/>
        <w:rPr>
          <w:rFonts w:eastAsiaTheme="minorEastAsia"/>
          <w:b/>
          <w:kern w:val="0"/>
          <w:sz w:val="24"/>
          <w:highlight w:val="none"/>
        </w:rPr>
      </w:pPr>
      <w:r>
        <w:rPr>
          <w:rFonts w:hAnsiTheme="minorEastAsia" w:eastAsiaTheme="minorEastAsia"/>
          <w:b/>
          <w:kern w:val="0"/>
          <w:sz w:val="24"/>
          <w:highlight w:val="none"/>
        </w:rPr>
        <w:t>表</w:t>
      </w:r>
      <w:r>
        <w:rPr>
          <w:rFonts w:eastAsiaTheme="minorEastAsia"/>
          <w:b/>
          <w:kern w:val="0"/>
          <w:sz w:val="24"/>
          <w:highlight w:val="none"/>
        </w:rPr>
        <w:t>2-4-1</w:t>
      </w:r>
      <w:r>
        <w:rPr>
          <w:rFonts w:hAnsiTheme="minorEastAsia" w:eastAsiaTheme="minorEastAsia"/>
          <w:b/>
          <w:kern w:val="0"/>
          <w:sz w:val="24"/>
          <w:highlight w:val="none"/>
        </w:rPr>
        <w:t>大气评价等级确定表</w:t>
      </w:r>
    </w:p>
    <w:tbl>
      <w:tblPr>
        <w:tblStyle w:val="45"/>
        <w:tblW w:w="8306"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4962"/>
        <w:gridCol w:w="3344"/>
      </w:tblGrid>
      <w:tr w14:paraId="018C52A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4962" w:type="dxa"/>
            <w:vAlign w:val="center"/>
          </w:tcPr>
          <w:p w14:paraId="6FC6B5BA">
            <w:pPr>
              <w:pStyle w:val="182"/>
              <w:keepNext w:val="0"/>
              <w:keepLines w:val="0"/>
              <w:pageBreakBefore w:val="0"/>
              <w:suppressLineNumbers w:val="0"/>
              <w:kinsoku/>
              <w:overflowPunct/>
              <w:topLinePunct w:val="0"/>
              <w:autoSpaceDE w:val="0"/>
              <w:autoSpaceDN w:val="0"/>
              <w:bidi w:val="0"/>
              <w:spacing w:before="0" w:beforeAutospacing="0" w:after="0" w:afterAutospacing="0" w:line="240" w:lineRule="auto"/>
              <w:ind w:left="0" w:right="0"/>
              <w:jc w:val="center"/>
              <w:textAlignment w:val="bottom"/>
              <w:outlineLvl w:val="9"/>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zh-CN"/>
              </w:rPr>
              <w:t>评价工作等级判据</w:t>
            </w:r>
          </w:p>
        </w:tc>
        <w:tc>
          <w:tcPr>
            <w:tcW w:w="3344" w:type="dxa"/>
            <w:vAlign w:val="center"/>
          </w:tcPr>
          <w:p w14:paraId="36D21CD1">
            <w:pPr>
              <w:pStyle w:val="182"/>
              <w:keepNext w:val="0"/>
              <w:keepLines w:val="0"/>
              <w:pageBreakBefore w:val="0"/>
              <w:suppressLineNumbers w:val="0"/>
              <w:kinsoku/>
              <w:overflowPunct/>
              <w:topLinePunct w:val="0"/>
              <w:autoSpaceDE w:val="0"/>
              <w:autoSpaceDN w:val="0"/>
              <w:bidi w:val="0"/>
              <w:spacing w:before="0" w:beforeAutospacing="0" w:after="0" w:afterAutospacing="0" w:line="240" w:lineRule="auto"/>
              <w:ind w:left="0" w:right="0"/>
              <w:jc w:val="center"/>
              <w:textAlignment w:val="bottom"/>
              <w:outlineLvl w:val="9"/>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zh-CN"/>
              </w:rPr>
              <w:t>评价工作等级</w:t>
            </w:r>
          </w:p>
        </w:tc>
      </w:tr>
      <w:tr w14:paraId="2EC5DBA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4962" w:type="dxa"/>
            <w:vAlign w:val="center"/>
          </w:tcPr>
          <w:p w14:paraId="6BA5C48D">
            <w:pPr>
              <w:pStyle w:val="182"/>
              <w:keepNext w:val="0"/>
              <w:keepLines w:val="0"/>
              <w:pageBreakBefore w:val="0"/>
              <w:suppressLineNumbers w:val="0"/>
              <w:kinsoku/>
              <w:overflowPunct/>
              <w:topLinePunct w:val="0"/>
              <w:autoSpaceDE w:val="0"/>
              <w:autoSpaceDN w:val="0"/>
              <w:bidi w:val="0"/>
              <w:spacing w:before="0" w:beforeAutospacing="0" w:after="0" w:afterAutospacing="0" w:line="240" w:lineRule="auto"/>
              <w:ind w:left="0" w:right="0"/>
              <w:jc w:val="center"/>
              <w:textAlignment w:val="bottom"/>
              <w:outlineLvl w:val="9"/>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zh-CN"/>
              </w:rPr>
              <w:t>Pmax≥10%</w:t>
            </w:r>
          </w:p>
        </w:tc>
        <w:tc>
          <w:tcPr>
            <w:tcW w:w="3344" w:type="dxa"/>
            <w:vAlign w:val="center"/>
          </w:tcPr>
          <w:p w14:paraId="060FD585">
            <w:pPr>
              <w:pStyle w:val="182"/>
              <w:keepNext w:val="0"/>
              <w:keepLines w:val="0"/>
              <w:pageBreakBefore w:val="0"/>
              <w:suppressLineNumbers w:val="0"/>
              <w:kinsoku/>
              <w:overflowPunct/>
              <w:topLinePunct w:val="0"/>
              <w:autoSpaceDE w:val="0"/>
              <w:autoSpaceDN w:val="0"/>
              <w:bidi w:val="0"/>
              <w:spacing w:before="0" w:beforeAutospacing="0" w:after="0" w:afterAutospacing="0" w:line="240" w:lineRule="auto"/>
              <w:ind w:left="0" w:right="0"/>
              <w:jc w:val="center"/>
              <w:textAlignment w:val="bottom"/>
              <w:outlineLvl w:val="9"/>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zh-CN"/>
              </w:rPr>
              <w:t>一级</w:t>
            </w:r>
          </w:p>
        </w:tc>
      </w:tr>
      <w:tr w14:paraId="67CED45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4962" w:type="dxa"/>
            <w:vAlign w:val="center"/>
          </w:tcPr>
          <w:p w14:paraId="6B233B55">
            <w:pPr>
              <w:pStyle w:val="182"/>
              <w:keepNext w:val="0"/>
              <w:keepLines w:val="0"/>
              <w:pageBreakBefore w:val="0"/>
              <w:suppressLineNumbers w:val="0"/>
              <w:kinsoku/>
              <w:overflowPunct/>
              <w:topLinePunct w:val="0"/>
              <w:autoSpaceDE w:val="0"/>
              <w:autoSpaceDN w:val="0"/>
              <w:bidi w:val="0"/>
              <w:spacing w:before="0" w:beforeAutospacing="0" w:after="0" w:afterAutospacing="0" w:line="240" w:lineRule="auto"/>
              <w:ind w:left="0" w:right="0"/>
              <w:jc w:val="center"/>
              <w:textAlignment w:val="bottom"/>
              <w:outlineLvl w:val="9"/>
              <w:rPr>
                <w:rFonts w:hint="default" w:ascii="Times New Roman" w:hAnsi="Times New Roman" w:eastAsia="宋体" w:cs="Times New Roman"/>
                <w:b w:val="0"/>
                <w:bCs w:val="0"/>
                <w:color w:val="auto"/>
                <w:sz w:val="21"/>
                <w:szCs w:val="21"/>
                <w:highlight w:val="none"/>
                <w:lang w:val="zh-CN"/>
              </w:rPr>
            </w:pPr>
            <w:r>
              <w:rPr>
                <w:rFonts w:hint="default" w:ascii="Times New Roman" w:hAnsi="Times New Roman" w:eastAsia="宋体" w:cs="Times New Roman"/>
                <w:b w:val="0"/>
                <w:bCs w:val="0"/>
                <w:color w:val="auto"/>
                <w:sz w:val="21"/>
                <w:szCs w:val="21"/>
                <w:highlight w:val="none"/>
                <w:lang w:val="zh-CN"/>
              </w:rPr>
              <w:t>1%≤Pmax＜10%</w:t>
            </w:r>
          </w:p>
        </w:tc>
        <w:tc>
          <w:tcPr>
            <w:tcW w:w="3344" w:type="dxa"/>
            <w:vAlign w:val="center"/>
          </w:tcPr>
          <w:p w14:paraId="0D0F9D10">
            <w:pPr>
              <w:pStyle w:val="182"/>
              <w:keepNext w:val="0"/>
              <w:keepLines w:val="0"/>
              <w:pageBreakBefore w:val="0"/>
              <w:suppressLineNumbers w:val="0"/>
              <w:kinsoku/>
              <w:overflowPunct/>
              <w:topLinePunct w:val="0"/>
              <w:autoSpaceDE w:val="0"/>
              <w:autoSpaceDN w:val="0"/>
              <w:bidi w:val="0"/>
              <w:spacing w:before="0" w:beforeAutospacing="0" w:after="0" w:afterAutospacing="0" w:line="240" w:lineRule="auto"/>
              <w:ind w:left="0" w:right="0"/>
              <w:jc w:val="center"/>
              <w:textAlignment w:val="bottom"/>
              <w:outlineLvl w:val="9"/>
              <w:rPr>
                <w:rFonts w:hint="default" w:ascii="Times New Roman" w:hAnsi="Times New Roman" w:eastAsia="宋体" w:cs="Times New Roman"/>
                <w:b w:val="0"/>
                <w:bCs w:val="0"/>
                <w:color w:val="auto"/>
                <w:sz w:val="21"/>
                <w:szCs w:val="21"/>
                <w:highlight w:val="none"/>
                <w:lang w:val="zh-CN"/>
              </w:rPr>
            </w:pPr>
            <w:r>
              <w:rPr>
                <w:rFonts w:hint="default" w:ascii="Times New Roman" w:hAnsi="Times New Roman" w:eastAsia="宋体" w:cs="Times New Roman"/>
                <w:b/>
                <w:bCs/>
                <w:color w:val="auto"/>
                <w:sz w:val="21"/>
                <w:szCs w:val="21"/>
                <w:highlight w:val="none"/>
                <w:lang w:val="zh-CN"/>
              </w:rPr>
              <w:t>二级</w:t>
            </w:r>
          </w:p>
        </w:tc>
      </w:tr>
      <w:tr w14:paraId="21FDA97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4962" w:type="dxa"/>
            <w:vAlign w:val="center"/>
          </w:tcPr>
          <w:p w14:paraId="450A31AE">
            <w:pPr>
              <w:pStyle w:val="182"/>
              <w:keepNext w:val="0"/>
              <w:keepLines w:val="0"/>
              <w:pageBreakBefore w:val="0"/>
              <w:suppressLineNumbers w:val="0"/>
              <w:kinsoku/>
              <w:overflowPunct/>
              <w:topLinePunct w:val="0"/>
              <w:autoSpaceDE w:val="0"/>
              <w:autoSpaceDN w:val="0"/>
              <w:bidi w:val="0"/>
              <w:spacing w:before="0" w:beforeAutospacing="0" w:after="0" w:afterAutospacing="0" w:line="240" w:lineRule="auto"/>
              <w:ind w:left="0" w:right="0"/>
              <w:jc w:val="center"/>
              <w:textAlignment w:val="bottom"/>
              <w:outlineLvl w:val="9"/>
              <w:rPr>
                <w:rFonts w:hint="default" w:ascii="Times New Roman" w:hAnsi="Times New Roman" w:eastAsia="宋体" w:cs="Times New Roman"/>
                <w:b/>
                <w:bCs/>
                <w:color w:val="auto"/>
                <w:sz w:val="21"/>
                <w:szCs w:val="21"/>
                <w:highlight w:val="none"/>
                <w:lang w:val="zh-CN"/>
              </w:rPr>
            </w:pPr>
            <w:r>
              <w:rPr>
                <w:rFonts w:hint="default" w:ascii="Times New Roman" w:hAnsi="Times New Roman" w:eastAsia="宋体" w:cs="Times New Roman"/>
                <w:b/>
                <w:bCs/>
                <w:color w:val="auto"/>
                <w:sz w:val="21"/>
                <w:szCs w:val="21"/>
                <w:highlight w:val="none"/>
                <w:lang w:val="zh-CN"/>
              </w:rPr>
              <w:t>Pmax＜1%</w:t>
            </w:r>
          </w:p>
        </w:tc>
        <w:tc>
          <w:tcPr>
            <w:tcW w:w="3344" w:type="dxa"/>
            <w:vAlign w:val="center"/>
          </w:tcPr>
          <w:p w14:paraId="19F68F41">
            <w:pPr>
              <w:pStyle w:val="182"/>
              <w:keepNext w:val="0"/>
              <w:keepLines w:val="0"/>
              <w:pageBreakBefore w:val="0"/>
              <w:suppressLineNumbers w:val="0"/>
              <w:kinsoku/>
              <w:overflowPunct/>
              <w:topLinePunct w:val="0"/>
              <w:autoSpaceDE w:val="0"/>
              <w:autoSpaceDN w:val="0"/>
              <w:bidi w:val="0"/>
              <w:spacing w:before="0" w:beforeAutospacing="0" w:after="0" w:afterAutospacing="0" w:line="240" w:lineRule="auto"/>
              <w:ind w:left="0" w:right="0"/>
              <w:jc w:val="center"/>
              <w:textAlignment w:val="bottom"/>
              <w:outlineLvl w:val="9"/>
              <w:rPr>
                <w:rFonts w:hint="default" w:ascii="Times New Roman" w:hAnsi="Times New Roman" w:eastAsia="宋体" w:cs="Times New Roman"/>
                <w:b/>
                <w:bCs/>
                <w:color w:val="auto"/>
                <w:sz w:val="21"/>
                <w:szCs w:val="21"/>
                <w:highlight w:val="none"/>
                <w:lang w:val="zh-CN"/>
              </w:rPr>
            </w:pPr>
            <w:r>
              <w:rPr>
                <w:rFonts w:hint="default" w:ascii="Times New Roman" w:hAnsi="Times New Roman" w:eastAsia="宋体" w:cs="Times New Roman"/>
                <w:b w:val="0"/>
                <w:bCs w:val="0"/>
                <w:color w:val="auto"/>
                <w:sz w:val="21"/>
                <w:szCs w:val="21"/>
                <w:highlight w:val="none"/>
                <w:lang w:val="zh-CN"/>
              </w:rPr>
              <w:t>三级</w:t>
            </w:r>
          </w:p>
        </w:tc>
      </w:tr>
    </w:tbl>
    <w:p w14:paraId="78750CCD">
      <w:pPr>
        <w:pageBreakBefore w:val="0"/>
        <w:kinsoku/>
        <w:overflowPunct/>
        <w:topLinePunct w:val="0"/>
        <w:bidi w:val="0"/>
        <w:outlineLvl w:val="9"/>
        <w:rPr>
          <w:rFonts w:eastAsiaTheme="minorEastAsia"/>
          <w:b/>
          <w:sz w:val="24"/>
          <w:highlight w:val="none"/>
        </w:rPr>
      </w:pPr>
      <w:bookmarkStart w:id="165" w:name="_Toc13628"/>
      <w:r>
        <w:rPr>
          <w:rFonts w:hint="eastAsia" w:eastAsiaTheme="minorEastAsia"/>
          <w:b/>
          <w:sz w:val="24"/>
          <w:highlight w:val="none"/>
          <w:lang w:eastAsia="zh-CN"/>
        </w:rPr>
        <w:t>（</w:t>
      </w:r>
      <w:r>
        <w:rPr>
          <w:rFonts w:hint="eastAsia" w:eastAsiaTheme="minorEastAsia"/>
          <w:b/>
          <w:sz w:val="24"/>
          <w:highlight w:val="none"/>
          <w:lang w:val="en-US" w:eastAsia="zh-CN"/>
        </w:rPr>
        <w:t>3</w:t>
      </w:r>
      <w:r>
        <w:rPr>
          <w:rFonts w:hint="eastAsia" w:eastAsiaTheme="minorEastAsia"/>
          <w:b/>
          <w:sz w:val="24"/>
          <w:highlight w:val="none"/>
          <w:lang w:eastAsia="zh-CN"/>
        </w:rPr>
        <w:t>）</w:t>
      </w:r>
      <w:r>
        <w:rPr>
          <w:rFonts w:hAnsiTheme="minorEastAsia" w:eastAsiaTheme="minorEastAsia"/>
          <w:b/>
          <w:sz w:val="24"/>
          <w:highlight w:val="none"/>
        </w:rPr>
        <w:t>污染物评价标准</w:t>
      </w:r>
      <w:bookmarkEnd w:id="165"/>
    </w:p>
    <w:p w14:paraId="03E03D36">
      <w:pPr>
        <w:pageBreakBefore w:val="0"/>
        <w:kinsoku/>
        <w:overflowPunct/>
        <w:topLinePunct w:val="0"/>
        <w:bidi w:val="0"/>
        <w:outlineLvl w:val="9"/>
        <w:rPr>
          <w:highlight w:val="none"/>
        </w:rPr>
      </w:pPr>
      <w:r>
        <w:rPr>
          <w:highlight w:val="none"/>
        </w:rPr>
        <w:t>污染物评价标准和来源见下表。</w:t>
      </w:r>
    </w:p>
    <w:p w14:paraId="083C8AF4">
      <w:pPr>
        <w:pStyle w:val="7"/>
        <w:bidi w:val="0"/>
        <w:rPr>
          <w:highlight w:val="none"/>
        </w:rPr>
      </w:pPr>
      <w:r>
        <w:rPr>
          <w:highlight w:val="none"/>
        </w:rPr>
        <w:t>表2-4-2评价因子及评价标准表</w:t>
      </w:r>
    </w:p>
    <w:tbl>
      <w:tblPr>
        <w:tblStyle w:val="45"/>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904"/>
        <w:gridCol w:w="1077"/>
        <w:gridCol w:w="1820"/>
        <w:gridCol w:w="3505"/>
      </w:tblGrid>
      <w:tr w14:paraId="391B24F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21" w:hRule="atLeast"/>
          <w:jc w:val="center"/>
        </w:trPr>
        <w:tc>
          <w:tcPr>
            <w:tcW w:w="1146" w:type="pct"/>
            <w:vAlign w:val="center"/>
          </w:tcPr>
          <w:p w14:paraId="7B5F0D46">
            <w:pPr>
              <w:pStyle w:val="730"/>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eastAsiaTheme="minorEastAsia"/>
                <w:bCs/>
                <w:sz w:val="21"/>
                <w:szCs w:val="21"/>
                <w:highlight w:val="none"/>
                <w:lang w:eastAsia="en-US"/>
              </w:rPr>
            </w:pPr>
            <w:bookmarkStart w:id="166" w:name="_Toc28953"/>
            <w:r>
              <w:rPr>
                <w:rFonts w:hint="default" w:ascii="Times New Roman" w:hAnsiTheme="minorEastAsia" w:eastAsiaTheme="minorEastAsia"/>
                <w:bCs/>
                <w:sz w:val="21"/>
                <w:szCs w:val="21"/>
                <w:highlight w:val="none"/>
                <w:lang w:eastAsia="en-US"/>
              </w:rPr>
              <w:t>预测因子</w:t>
            </w:r>
          </w:p>
        </w:tc>
        <w:tc>
          <w:tcPr>
            <w:tcW w:w="648" w:type="pct"/>
            <w:vAlign w:val="center"/>
          </w:tcPr>
          <w:p w14:paraId="746D512E">
            <w:pPr>
              <w:pStyle w:val="730"/>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eastAsiaTheme="minorEastAsia"/>
                <w:bCs/>
                <w:sz w:val="21"/>
                <w:szCs w:val="21"/>
                <w:highlight w:val="none"/>
                <w:lang w:eastAsia="en-US"/>
              </w:rPr>
            </w:pPr>
            <w:r>
              <w:rPr>
                <w:rFonts w:hint="default" w:ascii="Times New Roman" w:hAnsiTheme="minorEastAsia" w:eastAsiaTheme="minorEastAsia"/>
                <w:bCs/>
                <w:sz w:val="21"/>
                <w:szCs w:val="21"/>
                <w:highlight w:val="none"/>
                <w:lang w:eastAsia="en-US"/>
              </w:rPr>
              <w:t>平均时段</w:t>
            </w:r>
          </w:p>
        </w:tc>
        <w:tc>
          <w:tcPr>
            <w:tcW w:w="1095" w:type="pct"/>
            <w:vAlign w:val="center"/>
          </w:tcPr>
          <w:p w14:paraId="708D40E8">
            <w:pPr>
              <w:pStyle w:val="730"/>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eastAsiaTheme="minorEastAsia"/>
                <w:bCs/>
                <w:sz w:val="21"/>
                <w:szCs w:val="21"/>
                <w:highlight w:val="none"/>
                <w:lang w:eastAsia="en-US"/>
              </w:rPr>
            </w:pPr>
            <w:r>
              <w:rPr>
                <w:rFonts w:hint="default" w:ascii="Times New Roman" w:hAnsiTheme="minorEastAsia" w:eastAsiaTheme="minorEastAsia"/>
                <w:bCs/>
                <w:sz w:val="21"/>
                <w:szCs w:val="21"/>
                <w:highlight w:val="none"/>
                <w:lang w:eastAsia="en-US"/>
              </w:rPr>
              <w:t>标准值（</w:t>
            </w:r>
            <w:r>
              <w:rPr>
                <w:rFonts w:hint="default" w:ascii="Times New Roman" w:hAnsi="Times New Roman" w:eastAsiaTheme="minorEastAsia"/>
                <w:bCs/>
                <w:sz w:val="21"/>
                <w:szCs w:val="21"/>
                <w:highlight w:val="none"/>
                <w:lang w:eastAsia="en-US"/>
              </w:rPr>
              <w:t>μg/m</w:t>
            </w:r>
            <w:r>
              <w:rPr>
                <w:rFonts w:hint="default" w:ascii="Times New Roman" w:hAnsi="Times New Roman" w:eastAsiaTheme="minorEastAsia"/>
                <w:bCs/>
                <w:sz w:val="21"/>
                <w:szCs w:val="21"/>
                <w:highlight w:val="none"/>
                <w:vertAlign w:val="superscript"/>
                <w:lang w:eastAsia="en-US"/>
              </w:rPr>
              <w:t>3</w:t>
            </w:r>
            <w:r>
              <w:rPr>
                <w:rFonts w:hint="default" w:ascii="Times New Roman" w:hAnsiTheme="minorEastAsia" w:eastAsiaTheme="minorEastAsia"/>
                <w:bCs/>
                <w:sz w:val="21"/>
                <w:szCs w:val="21"/>
                <w:highlight w:val="none"/>
                <w:lang w:eastAsia="en-US"/>
              </w:rPr>
              <w:t>）</w:t>
            </w:r>
          </w:p>
        </w:tc>
        <w:tc>
          <w:tcPr>
            <w:tcW w:w="2109" w:type="pct"/>
            <w:vAlign w:val="center"/>
          </w:tcPr>
          <w:p w14:paraId="7604911D">
            <w:pPr>
              <w:pStyle w:val="730"/>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eastAsiaTheme="minorEastAsia"/>
                <w:bCs/>
                <w:sz w:val="21"/>
                <w:szCs w:val="21"/>
                <w:highlight w:val="none"/>
                <w:lang w:eastAsia="en-US"/>
              </w:rPr>
            </w:pPr>
            <w:r>
              <w:rPr>
                <w:rFonts w:hint="default" w:ascii="Times New Roman" w:hAnsiTheme="minorEastAsia" w:eastAsiaTheme="minorEastAsia"/>
                <w:bCs/>
                <w:sz w:val="21"/>
                <w:szCs w:val="21"/>
                <w:highlight w:val="none"/>
                <w:lang w:eastAsia="en-US"/>
              </w:rPr>
              <w:t>标准来源</w:t>
            </w:r>
          </w:p>
        </w:tc>
      </w:tr>
      <w:tr w14:paraId="72B5A6A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3" w:hRule="atLeast"/>
          <w:jc w:val="center"/>
        </w:trPr>
        <w:tc>
          <w:tcPr>
            <w:tcW w:w="1146" w:type="pct"/>
            <w:vAlign w:val="center"/>
          </w:tcPr>
          <w:p w14:paraId="3BB80FA9">
            <w:pPr>
              <w:pStyle w:val="730"/>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eastAsiaTheme="minorEastAsia"/>
                <w:bCs/>
                <w:sz w:val="21"/>
                <w:szCs w:val="21"/>
                <w:highlight w:val="none"/>
              </w:rPr>
            </w:pPr>
            <w:r>
              <w:rPr>
                <w:rFonts w:hint="default" w:ascii="Times New Roman" w:hAnsiTheme="minorEastAsia" w:eastAsiaTheme="minorEastAsia"/>
                <w:bCs/>
                <w:sz w:val="21"/>
                <w:szCs w:val="21"/>
                <w:highlight w:val="none"/>
              </w:rPr>
              <w:t>非甲烷总烃（</w:t>
            </w:r>
            <w:r>
              <w:rPr>
                <w:rFonts w:hint="default" w:ascii="Times New Roman" w:hAnsi="Times New Roman" w:eastAsiaTheme="minorEastAsia"/>
                <w:bCs/>
                <w:sz w:val="21"/>
                <w:szCs w:val="21"/>
                <w:highlight w:val="none"/>
              </w:rPr>
              <w:t>NMHC</w:t>
            </w:r>
            <w:r>
              <w:rPr>
                <w:rFonts w:hint="default" w:ascii="Times New Roman" w:hAnsiTheme="minorEastAsia" w:eastAsiaTheme="minorEastAsia"/>
                <w:bCs/>
                <w:sz w:val="21"/>
                <w:szCs w:val="21"/>
                <w:highlight w:val="none"/>
              </w:rPr>
              <w:t>）</w:t>
            </w:r>
          </w:p>
        </w:tc>
        <w:tc>
          <w:tcPr>
            <w:tcW w:w="648" w:type="pct"/>
            <w:vAlign w:val="center"/>
          </w:tcPr>
          <w:p w14:paraId="76EDFF86">
            <w:pPr>
              <w:pStyle w:val="730"/>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eastAsiaTheme="minorEastAsia"/>
                <w:bCs/>
                <w:sz w:val="21"/>
                <w:szCs w:val="21"/>
                <w:highlight w:val="none"/>
                <w:lang w:eastAsia="en-US"/>
              </w:rPr>
            </w:pPr>
            <w:r>
              <w:rPr>
                <w:rFonts w:hint="default" w:ascii="Times New Roman" w:hAnsi="Times New Roman" w:eastAsiaTheme="minorEastAsia"/>
                <w:bCs/>
                <w:sz w:val="21"/>
                <w:szCs w:val="21"/>
                <w:highlight w:val="none"/>
                <w:lang w:eastAsia="en-US"/>
              </w:rPr>
              <w:t>1</w:t>
            </w:r>
            <w:r>
              <w:rPr>
                <w:rFonts w:hint="default" w:ascii="Times New Roman" w:hAnsiTheme="minorEastAsia" w:eastAsiaTheme="minorEastAsia"/>
                <w:bCs/>
                <w:sz w:val="21"/>
                <w:szCs w:val="21"/>
                <w:highlight w:val="none"/>
                <w:lang w:eastAsia="en-US"/>
              </w:rPr>
              <w:t>小时</w:t>
            </w:r>
          </w:p>
        </w:tc>
        <w:tc>
          <w:tcPr>
            <w:tcW w:w="1095" w:type="pct"/>
            <w:vAlign w:val="center"/>
          </w:tcPr>
          <w:p w14:paraId="1B9E28A7">
            <w:pPr>
              <w:pStyle w:val="730"/>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eastAsiaTheme="minorEastAsia"/>
                <w:bCs/>
                <w:sz w:val="21"/>
                <w:szCs w:val="21"/>
                <w:highlight w:val="none"/>
              </w:rPr>
            </w:pPr>
            <w:r>
              <w:rPr>
                <w:rFonts w:hint="default" w:ascii="Times New Roman" w:hAnsi="Times New Roman" w:eastAsiaTheme="minorEastAsia"/>
                <w:bCs/>
                <w:sz w:val="21"/>
                <w:szCs w:val="21"/>
                <w:highlight w:val="none"/>
              </w:rPr>
              <w:t>2000</w:t>
            </w:r>
          </w:p>
        </w:tc>
        <w:tc>
          <w:tcPr>
            <w:tcW w:w="2109" w:type="pct"/>
            <w:vAlign w:val="center"/>
          </w:tcPr>
          <w:p w14:paraId="20763461">
            <w:pPr>
              <w:pStyle w:val="730"/>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eastAsiaTheme="minorEastAsia"/>
                <w:bCs/>
                <w:sz w:val="21"/>
                <w:szCs w:val="21"/>
                <w:highlight w:val="none"/>
              </w:rPr>
            </w:pPr>
            <w:r>
              <w:rPr>
                <w:rFonts w:hint="default" w:ascii="Times New Roman" w:hAnsiTheme="minorEastAsia" w:eastAsiaTheme="minorEastAsia"/>
                <w:bCs/>
                <w:sz w:val="21"/>
                <w:szCs w:val="21"/>
                <w:highlight w:val="none"/>
              </w:rPr>
              <w:t>《大气污染物综合排放标准详解》</w:t>
            </w:r>
          </w:p>
        </w:tc>
      </w:tr>
      <w:tr w14:paraId="3C2B104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3" w:hRule="atLeast"/>
          <w:jc w:val="center"/>
        </w:trPr>
        <w:tc>
          <w:tcPr>
            <w:tcW w:w="1146" w:type="pct"/>
            <w:vAlign w:val="center"/>
          </w:tcPr>
          <w:p w14:paraId="36B3C42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Cs/>
                <w:kern w:val="0"/>
                <w:sz w:val="21"/>
                <w:szCs w:val="21"/>
                <w:highlight w:val="none"/>
                <w:lang w:eastAsia="en-US"/>
              </w:rPr>
            </w:pPr>
            <w:r>
              <w:rPr>
                <w:rFonts w:hint="eastAsia"/>
                <w:bCs/>
                <w:kern w:val="0"/>
                <w:sz w:val="21"/>
                <w:szCs w:val="21"/>
                <w:highlight w:val="none"/>
              </w:rPr>
              <w:t>氮氧化物</w:t>
            </w:r>
            <w:r>
              <w:rPr>
                <w:rFonts w:hint="default"/>
                <w:bCs/>
                <w:kern w:val="0"/>
                <w:sz w:val="21"/>
                <w:szCs w:val="21"/>
                <w:highlight w:val="none"/>
                <w:lang w:eastAsia="en-US"/>
              </w:rPr>
              <w:t>（NO</w:t>
            </w:r>
            <w:r>
              <w:rPr>
                <w:rFonts w:hint="eastAsia"/>
                <w:bCs/>
                <w:kern w:val="0"/>
                <w:sz w:val="21"/>
                <w:szCs w:val="21"/>
                <w:highlight w:val="none"/>
              </w:rPr>
              <w:t>x</w:t>
            </w:r>
            <w:r>
              <w:rPr>
                <w:rFonts w:hint="default"/>
                <w:bCs/>
                <w:kern w:val="0"/>
                <w:sz w:val="21"/>
                <w:szCs w:val="21"/>
                <w:highlight w:val="none"/>
                <w:lang w:eastAsia="en-US"/>
              </w:rPr>
              <w:t>）</w:t>
            </w:r>
          </w:p>
        </w:tc>
        <w:tc>
          <w:tcPr>
            <w:tcW w:w="648" w:type="pct"/>
            <w:vAlign w:val="center"/>
          </w:tcPr>
          <w:p w14:paraId="6EB6A24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Cs/>
                <w:kern w:val="0"/>
                <w:sz w:val="21"/>
                <w:szCs w:val="21"/>
                <w:highlight w:val="none"/>
                <w:lang w:eastAsia="en-US"/>
              </w:rPr>
            </w:pPr>
            <w:r>
              <w:rPr>
                <w:rFonts w:hint="default"/>
                <w:bCs/>
                <w:kern w:val="0"/>
                <w:sz w:val="21"/>
                <w:szCs w:val="21"/>
                <w:highlight w:val="none"/>
                <w:lang w:eastAsia="en-US"/>
              </w:rPr>
              <w:t>1小时</w:t>
            </w:r>
          </w:p>
        </w:tc>
        <w:tc>
          <w:tcPr>
            <w:tcW w:w="1095" w:type="pct"/>
            <w:vAlign w:val="center"/>
          </w:tcPr>
          <w:p w14:paraId="773AFA5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Cs/>
                <w:kern w:val="0"/>
                <w:sz w:val="21"/>
                <w:szCs w:val="21"/>
                <w:highlight w:val="none"/>
              </w:rPr>
            </w:pPr>
            <w:r>
              <w:rPr>
                <w:rFonts w:hint="eastAsia"/>
                <w:bCs/>
                <w:kern w:val="0"/>
                <w:sz w:val="21"/>
                <w:szCs w:val="21"/>
                <w:highlight w:val="none"/>
              </w:rPr>
              <w:t>250</w:t>
            </w:r>
          </w:p>
        </w:tc>
        <w:tc>
          <w:tcPr>
            <w:tcW w:w="2109" w:type="pct"/>
            <w:vMerge w:val="restart"/>
            <w:vAlign w:val="center"/>
          </w:tcPr>
          <w:p w14:paraId="0C1F14C0">
            <w:pPr>
              <w:pStyle w:val="730"/>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heme="minorEastAsia" w:eastAsiaTheme="minorEastAsia"/>
                <w:bCs/>
                <w:sz w:val="21"/>
                <w:szCs w:val="21"/>
                <w:highlight w:val="none"/>
              </w:rPr>
            </w:pPr>
            <w:r>
              <w:rPr>
                <w:rFonts w:hint="default" w:ascii="Times New Roman" w:hAnsi="Times New Roman"/>
                <w:bCs/>
                <w:kern w:val="0"/>
                <w:sz w:val="21"/>
                <w:szCs w:val="21"/>
                <w:highlight w:val="none"/>
              </w:rPr>
              <w:t>《环境空气质量标准》（GB3095-2012）二级标准</w:t>
            </w:r>
          </w:p>
        </w:tc>
      </w:tr>
      <w:tr w14:paraId="5A03F10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3" w:hRule="atLeast"/>
          <w:jc w:val="center"/>
        </w:trPr>
        <w:tc>
          <w:tcPr>
            <w:tcW w:w="1146" w:type="pct"/>
            <w:vAlign w:val="center"/>
          </w:tcPr>
          <w:p w14:paraId="58548CB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Cs/>
                <w:kern w:val="0"/>
                <w:sz w:val="21"/>
                <w:szCs w:val="21"/>
                <w:highlight w:val="none"/>
              </w:rPr>
            </w:pPr>
            <w:r>
              <w:rPr>
                <w:rFonts w:hint="eastAsia"/>
                <w:bCs/>
                <w:kern w:val="0"/>
                <w:sz w:val="21"/>
                <w:szCs w:val="21"/>
                <w:highlight w:val="none"/>
              </w:rPr>
              <w:t>CO</w:t>
            </w:r>
          </w:p>
        </w:tc>
        <w:tc>
          <w:tcPr>
            <w:tcW w:w="648" w:type="pct"/>
            <w:vAlign w:val="center"/>
          </w:tcPr>
          <w:p w14:paraId="05FBB1C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Cs/>
                <w:kern w:val="0"/>
                <w:sz w:val="21"/>
                <w:szCs w:val="21"/>
                <w:highlight w:val="none"/>
                <w:lang w:eastAsia="en-US"/>
              </w:rPr>
            </w:pPr>
            <w:r>
              <w:rPr>
                <w:rFonts w:hint="default"/>
                <w:bCs/>
                <w:kern w:val="0"/>
                <w:sz w:val="21"/>
                <w:szCs w:val="21"/>
                <w:highlight w:val="none"/>
                <w:lang w:eastAsia="en-US"/>
              </w:rPr>
              <w:t>1小时</w:t>
            </w:r>
          </w:p>
        </w:tc>
        <w:tc>
          <w:tcPr>
            <w:tcW w:w="1095" w:type="pct"/>
            <w:vAlign w:val="center"/>
          </w:tcPr>
          <w:p w14:paraId="0F90A4E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Cs/>
                <w:kern w:val="0"/>
                <w:sz w:val="21"/>
                <w:szCs w:val="21"/>
                <w:highlight w:val="none"/>
              </w:rPr>
            </w:pPr>
            <w:r>
              <w:rPr>
                <w:rFonts w:hint="eastAsia"/>
                <w:bCs/>
                <w:kern w:val="0"/>
                <w:sz w:val="21"/>
                <w:szCs w:val="21"/>
                <w:highlight w:val="none"/>
              </w:rPr>
              <w:t>10000</w:t>
            </w:r>
          </w:p>
        </w:tc>
        <w:tc>
          <w:tcPr>
            <w:tcW w:w="2109" w:type="pct"/>
            <w:vMerge w:val="continue"/>
            <w:vAlign w:val="center"/>
          </w:tcPr>
          <w:p w14:paraId="19C30EE5">
            <w:pPr>
              <w:pStyle w:val="730"/>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heme="minorEastAsia" w:eastAsiaTheme="minorEastAsia"/>
                <w:bCs/>
                <w:sz w:val="21"/>
                <w:szCs w:val="21"/>
                <w:highlight w:val="none"/>
              </w:rPr>
            </w:pPr>
          </w:p>
        </w:tc>
      </w:tr>
      <w:tr w14:paraId="4C1DC3F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3" w:hRule="atLeast"/>
          <w:jc w:val="center"/>
        </w:trPr>
        <w:tc>
          <w:tcPr>
            <w:tcW w:w="1146" w:type="pct"/>
            <w:vAlign w:val="center"/>
          </w:tcPr>
          <w:p w14:paraId="1171A2D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Cs/>
                <w:kern w:val="0"/>
                <w:sz w:val="21"/>
                <w:szCs w:val="21"/>
                <w:highlight w:val="none"/>
              </w:rPr>
            </w:pPr>
            <w:r>
              <w:rPr>
                <w:rFonts w:hint="eastAsia"/>
                <w:bCs/>
                <w:kern w:val="0"/>
                <w:sz w:val="21"/>
                <w:szCs w:val="21"/>
                <w:highlight w:val="none"/>
              </w:rPr>
              <w:t>颗粒物（PM</w:t>
            </w:r>
            <w:r>
              <w:rPr>
                <w:rFonts w:hint="eastAsia"/>
                <w:bCs/>
                <w:kern w:val="0"/>
                <w:sz w:val="21"/>
                <w:szCs w:val="21"/>
                <w:highlight w:val="none"/>
                <w:vertAlign w:val="subscript"/>
              </w:rPr>
              <w:t>10</w:t>
            </w:r>
            <w:r>
              <w:rPr>
                <w:rFonts w:hint="eastAsia"/>
                <w:bCs/>
                <w:kern w:val="0"/>
                <w:sz w:val="21"/>
                <w:szCs w:val="21"/>
                <w:highlight w:val="none"/>
              </w:rPr>
              <w:t>）</w:t>
            </w:r>
          </w:p>
        </w:tc>
        <w:tc>
          <w:tcPr>
            <w:tcW w:w="648" w:type="pct"/>
            <w:vAlign w:val="center"/>
          </w:tcPr>
          <w:p w14:paraId="5A662CD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Cs/>
                <w:kern w:val="0"/>
                <w:sz w:val="21"/>
                <w:szCs w:val="21"/>
                <w:highlight w:val="none"/>
              </w:rPr>
            </w:pPr>
            <w:r>
              <w:rPr>
                <w:rFonts w:hint="eastAsia"/>
                <w:bCs/>
                <w:kern w:val="0"/>
                <w:sz w:val="21"/>
                <w:szCs w:val="21"/>
                <w:highlight w:val="none"/>
              </w:rPr>
              <w:t>24小时</w:t>
            </w:r>
          </w:p>
        </w:tc>
        <w:tc>
          <w:tcPr>
            <w:tcW w:w="1095" w:type="pct"/>
            <w:vAlign w:val="center"/>
          </w:tcPr>
          <w:p w14:paraId="5B1588A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Cs/>
                <w:kern w:val="0"/>
                <w:sz w:val="21"/>
                <w:szCs w:val="21"/>
                <w:highlight w:val="none"/>
              </w:rPr>
            </w:pPr>
            <w:r>
              <w:rPr>
                <w:rFonts w:hint="eastAsia"/>
                <w:bCs/>
                <w:kern w:val="0"/>
                <w:sz w:val="21"/>
                <w:szCs w:val="21"/>
                <w:highlight w:val="none"/>
              </w:rPr>
              <w:t>150</w:t>
            </w:r>
          </w:p>
        </w:tc>
        <w:tc>
          <w:tcPr>
            <w:tcW w:w="2109" w:type="pct"/>
            <w:vMerge w:val="continue"/>
            <w:vAlign w:val="center"/>
          </w:tcPr>
          <w:p w14:paraId="54B22D07">
            <w:pPr>
              <w:pStyle w:val="730"/>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heme="minorEastAsia" w:eastAsiaTheme="minorEastAsia"/>
                <w:bCs/>
                <w:sz w:val="21"/>
                <w:szCs w:val="21"/>
                <w:highlight w:val="none"/>
              </w:rPr>
            </w:pPr>
          </w:p>
        </w:tc>
      </w:tr>
    </w:tbl>
    <w:p w14:paraId="20285BAE">
      <w:pPr>
        <w:keepNext w:val="0"/>
        <w:keepLines w:val="0"/>
        <w:pageBreakBefore w:val="0"/>
        <w:widowControl w:val="0"/>
        <w:kinsoku/>
        <w:wordWrap w:val="0"/>
        <w:overflowPunct/>
        <w:topLinePunct w:val="0"/>
        <w:autoSpaceDE/>
        <w:autoSpaceDN/>
        <w:bidi w:val="0"/>
        <w:adjustRightInd w:val="0"/>
        <w:snapToGrid w:val="0"/>
        <w:spacing w:line="360" w:lineRule="auto"/>
        <w:ind w:firstLine="482" w:firstLineChars="200"/>
        <w:jc w:val="left"/>
        <w:textAlignment w:val="auto"/>
        <w:outlineLvl w:val="9"/>
        <w:rPr>
          <w:rFonts w:eastAsiaTheme="minorEastAsia"/>
          <w:b/>
          <w:sz w:val="24"/>
          <w:highlight w:val="none"/>
        </w:rPr>
      </w:pPr>
      <w:r>
        <w:rPr>
          <w:rFonts w:hint="eastAsia" w:eastAsiaTheme="minorEastAsia"/>
          <w:b/>
          <w:sz w:val="24"/>
          <w:highlight w:val="none"/>
          <w:lang w:eastAsia="zh-CN"/>
        </w:rPr>
        <w:t>（</w:t>
      </w:r>
      <w:r>
        <w:rPr>
          <w:rFonts w:hint="eastAsia" w:eastAsiaTheme="minorEastAsia"/>
          <w:b/>
          <w:sz w:val="24"/>
          <w:highlight w:val="none"/>
          <w:lang w:val="en-US" w:eastAsia="zh-CN"/>
        </w:rPr>
        <w:t>4</w:t>
      </w:r>
      <w:r>
        <w:rPr>
          <w:rFonts w:hint="eastAsia" w:eastAsiaTheme="minorEastAsia"/>
          <w:b/>
          <w:sz w:val="24"/>
          <w:highlight w:val="none"/>
          <w:lang w:eastAsia="zh-CN"/>
        </w:rPr>
        <w:t>）</w:t>
      </w:r>
      <w:r>
        <w:rPr>
          <w:rFonts w:hAnsiTheme="minorEastAsia" w:eastAsiaTheme="minorEastAsia"/>
          <w:b/>
          <w:sz w:val="24"/>
          <w:highlight w:val="none"/>
        </w:rPr>
        <w:t>污染源参数</w:t>
      </w:r>
      <w:bookmarkEnd w:id="166"/>
    </w:p>
    <w:p w14:paraId="68A39B54">
      <w:pPr>
        <w:pageBreakBefore w:val="0"/>
        <w:kinsoku/>
        <w:overflowPunct/>
        <w:topLinePunct w:val="0"/>
        <w:bidi w:val="0"/>
        <w:outlineLvl w:val="9"/>
        <w:rPr>
          <w:rFonts w:ascii="Times New Roman" w:cs="Times New Roman" w:hAnsiTheme="minorEastAsia" w:eastAsiaTheme="minorEastAsia"/>
          <w:bCs/>
          <w:color w:val="auto"/>
          <w:highlight w:val="none"/>
        </w:rPr>
      </w:pPr>
      <w:r>
        <w:rPr>
          <w:rFonts w:hint="eastAsia" w:cs="Times New Roman" w:hAnsiTheme="minorEastAsia" w:eastAsiaTheme="minorEastAsia"/>
          <w:bCs/>
          <w:color w:val="auto"/>
          <w:highlight w:val="none"/>
          <w:lang w:val="en-US" w:eastAsia="zh-CN"/>
        </w:rPr>
        <w:t>估算模式参数表、</w:t>
      </w:r>
      <w:r>
        <w:rPr>
          <w:rFonts w:ascii="Times New Roman" w:cs="Times New Roman" w:hAnsiTheme="minorEastAsia" w:eastAsiaTheme="minorEastAsia"/>
          <w:bCs/>
          <w:color w:val="auto"/>
          <w:highlight w:val="none"/>
        </w:rPr>
        <w:t>污染源点源参数调查清单</w:t>
      </w:r>
      <w:r>
        <w:rPr>
          <w:rFonts w:hint="eastAsia" w:cs="Times New Roman" w:hAnsiTheme="minorEastAsia" w:eastAsiaTheme="minorEastAsia"/>
          <w:bCs/>
          <w:color w:val="auto"/>
          <w:highlight w:val="none"/>
          <w:lang w:eastAsia="zh-CN"/>
        </w:rPr>
        <w:t>、</w:t>
      </w:r>
      <w:r>
        <w:rPr>
          <w:rFonts w:ascii="Times New Roman" w:cs="Times New Roman" w:hAnsiTheme="minorEastAsia" w:eastAsiaTheme="minorEastAsia"/>
          <w:bCs/>
          <w:color w:val="auto"/>
          <w:highlight w:val="none"/>
        </w:rPr>
        <w:t>污染源面源参数调查清单参见</w:t>
      </w:r>
      <w:r>
        <w:rPr>
          <w:rFonts w:hint="eastAsia" w:cs="Times New Roman" w:hAnsiTheme="minorEastAsia" w:eastAsiaTheme="minorEastAsia"/>
          <w:bCs/>
          <w:color w:val="auto"/>
          <w:highlight w:val="none"/>
          <w:lang w:val="en-US" w:eastAsia="zh-CN"/>
        </w:rPr>
        <w:t>下</w:t>
      </w:r>
      <w:r>
        <w:rPr>
          <w:rFonts w:ascii="Times New Roman" w:cs="Times New Roman" w:hAnsiTheme="minorEastAsia" w:eastAsiaTheme="minorEastAsia"/>
          <w:bCs/>
          <w:color w:val="auto"/>
          <w:highlight w:val="none"/>
        </w:rPr>
        <w:t>表。</w:t>
      </w:r>
    </w:p>
    <w:p w14:paraId="41CE88E1">
      <w:pPr>
        <w:pStyle w:val="18"/>
        <w:spacing w:after="0" w:line="360" w:lineRule="auto"/>
        <w:jc w:val="center"/>
        <w:rPr>
          <w:rFonts w:ascii="Times New Roman" w:hAnsi="Times New Roman" w:eastAsia="宋体" w:cs="Times New Roman"/>
          <w:b/>
          <w:color w:val="000000"/>
          <w:kern w:val="0"/>
          <w:sz w:val="24"/>
          <w:szCs w:val="28"/>
          <w:highlight w:val="none"/>
          <w:lang w:val="en-US" w:eastAsia="zh-CN" w:bidi="ar-SA"/>
        </w:rPr>
      </w:pPr>
      <w:r>
        <w:rPr>
          <w:rFonts w:ascii="Times New Roman" w:hAnsi="Times New Roman" w:eastAsia="宋体" w:cs="Times New Roman"/>
          <w:b/>
          <w:color w:val="000000"/>
          <w:kern w:val="0"/>
          <w:sz w:val="24"/>
          <w:szCs w:val="28"/>
          <w:highlight w:val="none"/>
          <w:lang w:val="en-US" w:eastAsia="zh-CN" w:bidi="ar-SA"/>
        </w:rPr>
        <w:t>表2-4-</w:t>
      </w:r>
      <w:r>
        <w:rPr>
          <w:rFonts w:hint="eastAsia" w:cs="Times New Roman"/>
          <w:b/>
          <w:color w:val="000000"/>
          <w:kern w:val="0"/>
          <w:sz w:val="24"/>
          <w:szCs w:val="28"/>
          <w:highlight w:val="none"/>
          <w:lang w:val="en-US" w:eastAsia="zh-CN" w:bidi="ar-SA"/>
        </w:rPr>
        <w:t>3</w:t>
      </w:r>
      <w:r>
        <w:rPr>
          <w:rFonts w:ascii="Times New Roman" w:hAnsi="Times New Roman" w:eastAsia="宋体" w:cs="Times New Roman"/>
          <w:b/>
          <w:color w:val="000000"/>
          <w:kern w:val="0"/>
          <w:sz w:val="24"/>
          <w:szCs w:val="28"/>
          <w:highlight w:val="none"/>
          <w:lang w:val="en-US" w:eastAsia="zh-CN" w:bidi="ar-SA"/>
        </w:rPr>
        <w:t>估算模型参数表</w:t>
      </w:r>
    </w:p>
    <w:tbl>
      <w:tblPr>
        <w:tblStyle w:val="45"/>
        <w:tblW w:w="5000"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1838"/>
        <w:gridCol w:w="3769"/>
        <w:gridCol w:w="2699"/>
      </w:tblGrid>
      <w:tr w14:paraId="6C0EBD8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5316" w:type="dxa"/>
            <w:gridSpan w:val="2"/>
            <w:vAlign w:val="center"/>
          </w:tcPr>
          <w:p w14:paraId="0FA99DF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Cs/>
                <w:kern w:val="0"/>
                <w:sz w:val="21"/>
                <w:szCs w:val="21"/>
                <w:highlight w:val="none"/>
              </w:rPr>
            </w:pPr>
            <w:r>
              <w:rPr>
                <w:rFonts w:hint="eastAsia"/>
                <w:bCs/>
                <w:kern w:val="0"/>
                <w:sz w:val="21"/>
                <w:szCs w:val="21"/>
                <w:highlight w:val="none"/>
              </w:rPr>
              <w:t>参数</w:t>
            </w:r>
          </w:p>
        </w:tc>
        <w:tc>
          <w:tcPr>
            <w:tcW w:w="2559" w:type="dxa"/>
            <w:vAlign w:val="center"/>
          </w:tcPr>
          <w:p w14:paraId="640A95F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Cs/>
                <w:kern w:val="0"/>
                <w:sz w:val="21"/>
                <w:szCs w:val="21"/>
                <w:highlight w:val="none"/>
              </w:rPr>
            </w:pPr>
            <w:r>
              <w:rPr>
                <w:rFonts w:hint="eastAsia"/>
                <w:bCs/>
                <w:kern w:val="0"/>
                <w:sz w:val="21"/>
                <w:szCs w:val="21"/>
                <w:highlight w:val="none"/>
              </w:rPr>
              <w:t>取值</w:t>
            </w:r>
          </w:p>
        </w:tc>
      </w:tr>
      <w:tr w14:paraId="5BD21CF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2" w:hRule="atLeast"/>
          <w:jc w:val="center"/>
        </w:trPr>
        <w:tc>
          <w:tcPr>
            <w:tcW w:w="1743" w:type="dxa"/>
            <w:vMerge w:val="restart"/>
            <w:vAlign w:val="center"/>
          </w:tcPr>
          <w:p w14:paraId="223180E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Cs/>
                <w:kern w:val="0"/>
                <w:sz w:val="21"/>
                <w:szCs w:val="21"/>
                <w:highlight w:val="none"/>
              </w:rPr>
            </w:pPr>
            <w:r>
              <w:rPr>
                <w:rFonts w:hint="eastAsia"/>
                <w:bCs/>
                <w:kern w:val="0"/>
                <w:sz w:val="21"/>
                <w:szCs w:val="21"/>
                <w:highlight w:val="none"/>
              </w:rPr>
              <w:t>城市/农村选项</w:t>
            </w:r>
          </w:p>
        </w:tc>
        <w:tc>
          <w:tcPr>
            <w:tcW w:w="3573" w:type="dxa"/>
            <w:vAlign w:val="center"/>
          </w:tcPr>
          <w:p w14:paraId="4B7DD33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Cs/>
                <w:kern w:val="0"/>
                <w:sz w:val="21"/>
                <w:szCs w:val="21"/>
                <w:highlight w:val="none"/>
              </w:rPr>
            </w:pPr>
            <w:r>
              <w:rPr>
                <w:rFonts w:hint="eastAsia"/>
                <w:bCs/>
                <w:kern w:val="0"/>
                <w:sz w:val="21"/>
                <w:szCs w:val="21"/>
                <w:highlight w:val="none"/>
              </w:rPr>
              <w:t>城市/农村</w:t>
            </w:r>
          </w:p>
        </w:tc>
        <w:tc>
          <w:tcPr>
            <w:tcW w:w="2559" w:type="dxa"/>
            <w:vAlign w:val="center"/>
          </w:tcPr>
          <w:p w14:paraId="1215980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Cs/>
                <w:kern w:val="0"/>
                <w:sz w:val="21"/>
                <w:szCs w:val="21"/>
                <w:highlight w:val="none"/>
              </w:rPr>
            </w:pPr>
            <w:r>
              <w:rPr>
                <w:rFonts w:hint="eastAsia"/>
                <w:bCs/>
                <w:kern w:val="0"/>
                <w:sz w:val="21"/>
                <w:szCs w:val="21"/>
                <w:highlight w:val="none"/>
              </w:rPr>
              <w:t>城市</w:t>
            </w:r>
          </w:p>
        </w:tc>
      </w:tr>
      <w:tr w14:paraId="6BBD2C4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08" w:hRule="atLeast"/>
          <w:jc w:val="center"/>
        </w:trPr>
        <w:tc>
          <w:tcPr>
            <w:tcW w:w="1743" w:type="dxa"/>
            <w:vMerge w:val="continue"/>
            <w:vAlign w:val="center"/>
          </w:tcPr>
          <w:p w14:paraId="0321A8F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Cs/>
                <w:kern w:val="0"/>
                <w:sz w:val="21"/>
                <w:szCs w:val="21"/>
                <w:highlight w:val="none"/>
              </w:rPr>
            </w:pPr>
          </w:p>
        </w:tc>
        <w:tc>
          <w:tcPr>
            <w:tcW w:w="3573" w:type="dxa"/>
            <w:vAlign w:val="center"/>
          </w:tcPr>
          <w:p w14:paraId="442A89A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Cs/>
                <w:kern w:val="0"/>
                <w:sz w:val="21"/>
                <w:szCs w:val="21"/>
                <w:highlight w:val="none"/>
              </w:rPr>
            </w:pPr>
            <w:r>
              <w:rPr>
                <w:rFonts w:hint="eastAsia"/>
                <w:bCs/>
                <w:kern w:val="0"/>
                <w:sz w:val="21"/>
                <w:szCs w:val="21"/>
                <w:highlight w:val="none"/>
              </w:rPr>
              <w:t>人口数（城市选项时）</w:t>
            </w:r>
          </w:p>
        </w:tc>
        <w:tc>
          <w:tcPr>
            <w:tcW w:w="2559" w:type="dxa"/>
            <w:vAlign w:val="center"/>
          </w:tcPr>
          <w:p w14:paraId="111ECFD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Cs/>
                <w:kern w:val="0"/>
                <w:sz w:val="21"/>
                <w:szCs w:val="21"/>
                <w:highlight w:val="none"/>
              </w:rPr>
            </w:pPr>
            <w:r>
              <w:rPr>
                <w:rFonts w:hint="eastAsia"/>
                <w:bCs/>
                <w:kern w:val="0"/>
                <w:sz w:val="21"/>
                <w:szCs w:val="21"/>
                <w:highlight w:val="none"/>
              </w:rPr>
              <w:t>192000</w:t>
            </w:r>
          </w:p>
        </w:tc>
      </w:tr>
      <w:tr w14:paraId="63493D8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12" w:hRule="atLeast"/>
          <w:jc w:val="center"/>
        </w:trPr>
        <w:tc>
          <w:tcPr>
            <w:tcW w:w="5316" w:type="dxa"/>
            <w:gridSpan w:val="2"/>
            <w:vAlign w:val="center"/>
          </w:tcPr>
          <w:p w14:paraId="7249C50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Cs/>
                <w:kern w:val="0"/>
                <w:sz w:val="21"/>
                <w:szCs w:val="21"/>
                <w:highlight w:val="none"/>
              </w:rPr>
            </w:pPr>
            <w:r>
              <w:rPr>
                <w:rFonts w:hint="eastAsia"/>
                <w:bCs/>
                <w:kern w:val="0"/>
                <w:sz w:val="21"/>
                <w:szCs w:val="21"/>
                <w:highlight w:val="none"/>
              </w:rPr>
              <w:t>最高环境温度/℃</w:t>
            </w:r>
          </w:p>
        </w:tc>
        <w:tc>
          <w:tcPr>
            <w:tcW w:w="2559" w:type="dxa"/>
            <w:vAlign w:val="center"/>
          </w:tcPr>
          <w:p w14:paraId="51F6EDB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Cs/>
                <w:kern w:val="0"/>
                <w:sz w:val="21"/>
                <w:szCs w:val="21"/>
                <w:highlight w:val="none"/>
              </w:rPr>
            </w:pPr>
            <w:r>
              <w:rPr>
                <w:rFonts w:hint="eastAsia"/>
                <w:bCs/>
                <w:kern w:val="0"/>
                <w:sz w:val="21"/>
                <w:szCs w:val="21"/>
                <w:highlight w:val="none"/>
              </w:rPr>
              <w:t>39.2</w:t>
            </w:r>
          </w:p>
        </w:tc>
      </w:tr>
      <w:tr w14:paraId="4A2BF07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2" w:hRule="atLeast"/>
          <w:jc w:val="center"/>
        </w:trPr>
        <w:tc>
          <w:tcPr>
            <w:tcW w:w="5316" w:type="dxa"/>
            <w:gridSpan w:val="2"/>
            <w:vAlign w:val="center"/>
          </w:tcPr>
          <w:p w14:paraId="6ACCBD8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Cs/>
                <w:kern w:val="0"/>
                <w:sz w:val="21"/>
                <w:szCs w:val="21"/>
                <w:highlight w:val="none"/>
              </w:rPr>
            </w:pPr>
            <w:r>
              <w:rPr>
                <w:rFonts w:hint="eastAsia"/>
                <w:bCs/>
                <w:kern w:val="0"/>
                <w:sz w:val="21"/>
                <w:szCs w:val="21"/>
                <w:highlight w:val="none"/>
              </w:rPr>
              <w:t>最低环境温度/℃</w:t>
            </w:r>
          </w:p>
        </w:tc>
        <w:tc>
          <w:tcPr>
            <w:tcW w:w="2559" w:type="dxa"/>
            <w:vAlign w:val="center"/>
          </w:tcPr>
          <w:p w14:paraId="49F46C1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Cs/>
                <w:kern w:val="0"/>
                <w:sz w:val="21"/>
                <w:szCs w:val="21"/>
                <w:highlight w:val="none"/>
              </w:rPr>
            </w:pPr>
            <w:r>
              <w:rPr>
                <w:rFonts w:hint="eastAsia"/>
                <w:bCs/>
                <w:kern w:val="0"/>
                <w:sz w:val="21"/>
                <w:szCs w:val="21"/>
                <w:highlight w:val="none"/>
              </w:rPr>
              <w:t>-38.1</w:t>
            </w:r>
          </w:p>
        </w:tc>
      </w:tr>
      <w:tr w14:paraId="6DF1A87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67" w:hRule="atLeast"/>
          <w:jc w:val="center"/>
        </w:trPr>
        <w:tc>
          <w:tcPr>
            <w:tcW w:w="5316" w:type="dxa"/>
            <w:gridSpan w:val="2"/>
            <w:vAlign w:val="center"/>
          </w:tcPr>
          <w:p w14:paraId="060443B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Cs/>
                <w:kern w:val="0"/>
                <w:sz w:val="21"/>
                <w:szCs w:val="21"/>
                <w:highlight w:val="none"/>
              </w:rPr>
            </w:pPr>
            <w:r>
              <w:rPr>
                <w:rFonts w:hint="eastAsia"/>
                <w:bCs/>
                <w:kern w:val="0"/>
                <w:sz w:val="21"/>
                <w:szCs w:val="21"/>
                <w:highlight w:val="none"/>
              </w:rPr>
              <w:t>土地利用类型</w:t>
            </w:r>
          </w:p>
        </w:tc>
        <w:tc>
          <w:tcPr>
            <w:tcW w:w="2559" w:type="dxa"/>
            <w:vAlign w:val="center"/>
          </w:tcPr>
          <w:p w14:paraId="6E3227F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Cs/>
                <w:kern w:val="0"/>
                <w:sz w:val="21"/>
                <w:szCs w:val="21"/>
                <w:highlight w:val="none"/>
              </w:rPr>
            </w:pPr>
            <w:r>
              <w:rPr>
                <w:rFonts w:hint="eastAsia"/>
                <w:bCs/>
                <w:kern w:val="0"/>
                <w:sz w:val="21"/>
                <w:szCs w:val="21"/>
                <w:highlight w:val="none"/>
              </w:rPr>
              <w:t>城市</w:t>
            </w:r>
          </w:p>
        </w:tc>
      </w:tr>
      <w:tr w14:paraId="74582BF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0" w:hRule="atLeast"/>
          <w:jc w:val="center"/>
        </w:trPr>
        <w:tc>
          <w:tcPr>
            <w:tcW w:w="5316" w:type="dxa"/>
            <w:gridSpan w:val="2"/>
            <w:vAlign w:val="center"/>
          </w:tcPr>
          <w:p w14:paraId="6A9B13A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Cs/>
                <w:kern w:val="0"/>
                <w:sz w:val="21"/>
                <w:szCs w:val="21"/>
                <w:highlight w:val="none"/>
              </w:rPr>
            </w:pPr>
            <w:r>
              <w:rPr>
                <w:rFonts w:hint="eastAsia"/>
                <w:bCs/>
                <w:kern w:val="0"/>
                <w:sz w:val="21"/>
                <w:szCs w:val="21"/>
                <w:highlight w:val="none"/>
              </w:rPr>
              <w:t>区域湿度条件</w:t>
            </w:r>
          </w:p>
        </w:tc>
        <w:tc>
          <w:tcPr>
            <w:tcW w:w="2559" w:type="dxa"/>
            <w:vAlign w:val="center"/>
          </w:tcPr>
          <w:p w14:paraId="4F4C08F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Cs/>
                <w:kern w:val="0"/>
                <w:sz w:val="21"/>
                <w:szCs w:val="21"/>
                <w:highlight w:val="none"/>
              </w:rPr>
            </w:pPr>
            <w:r>
              <w:rPr>
                <w:rFonts w:hint="eastAsia"/>
                <w:bCs/>
                <w:kern w:val="0"/>
                <w:sz w:val="21"/>
                <w:szCs w:val="21"/>
                <w:highlight w:val="none"/>
              </w:rPr>
              <w:t>中等湿度</w:t>
            </w:r>
          </w:p>
        </w:tc>
      </w:tr>
      <w:tr w14:paraId="6C204F3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1743" w:type="dxa"/>
            <w:vMerge w:val="restart"/>
            <w:vAlign w:val="center"/>
          </w:tcPr>
          <w:p w14:paraId="3511565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Cs/>
                <w:kern w:val="0"/>
                <w:sz w:val="21"/>
                <w:szCs w:val="21"/>
                <w:highlight w:val="none"/>
              </w:rPr>
            </w:pPr>
            <w:r>
              <w:rPr>
                <w:rFonts w:hint="eastAsia"/>
                <w:bCs/>
                <w:kern w:val="0"/>
                <w:sz w:val="21"/>
                <w:szCs w:val="21"/>
                <w:highlight w:val="none"/>
              </w:rPr>
              <w:t>是否考虑地形</w:t>
            </w:r>
          </w:p>
        </w:tc>
        <w:tc>
          <w:tcPr>
            <w:tcW w:w="3573" w:type="dxa"/>
            <w:vAlign w:val="center"/>
          </w:tcPr>
          <w:p w14:paraId="19E7D2F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Cs/>
                <w:kern w:val="0"/>
                <w:sz w:val="21"/>
                <w:szCs w:val="21"/>
                <w:highlight w:val="none"/>
              </w:rPr>
            </w:pPr>
            <w:r>
              <w:rPr>
                <w:rFonts w:hint="eastAsia"/>
                <w:bCs/>
                <w:kern w:val="0"/>
                <w:sz w:val="21"/>
                <w:szCs w:val="21"/>
                <w:highlight w:val="none"/>
              </w:rPr>
              <w:t>考虑地形</w:t>
            </w:r>
          </w:p>
        </w:tc>
        <w:tc>
          <w:tcPr>
            <w:tcW w:w="2559" w:type="dxa"/>
            <w:vAlign w:val="center"/>
          </w:tcPr>
          <w:p w14:paraId="512EB8F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Cs/>
                <w:kern w:val="0"/>
                <w:sz w:val="21"/>
                <w:szCs w:val="21"/>
                <w:highlight w:val="none"/>
              </w:rPr>
            </w:pPr>
            <w:r>
              <w:rPr>
                <w:rFonts w:hint="eastAsia"/>
                <w:bCs/>
                <w:kern w:val="0"/>
                <w:sz w:val="21"/>
                <w:szCs w:val="21"/>
                <w:highlight w:val="none"/>
              </w:rPr>
              <w:t>是</w:t>
            </w:r>
          </w:p>
        </w:tc>
      </w:tr>
      <w:tr w14:paraId="7BC15AF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1743" w:type="dxa"/>
            <w:vMerge w:val="continue"/>
            <w:vAlign w:val="center"/>
          </w:tcPr>
          <w:p w14:paraId="3AA9124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Cs/>
                <w:kern w:val="0"/>
                <w:sz w:val="21"/>
                <w:szCs w:val="21"/>
                <w:highlight w:val="none"/>
              </w:rPr>
            </w:pPr>
          </w:p>
        </w:tc>
        <w:tc>
          <w:tcPr>
            <w:tcW w:w="3573" w:type="dxa"/>
            <w:vAlign w:val="center"/>
          </w:tcPr>
          <w:p w14:paraId="5C255DD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Cs/>
                <w:kern w:val="0"/>
                <w:sz w:val="21"/>
                <w:szCs w:val="21"/>
                <w:highlight w:val="none"/>
              </w:rPr>
            </w:pPr>
            <w:r>
              <w:rPr>
                <w:rFonts w:hint="eastAsia"/>
                <w:bCs/>
                <w:kern w:val="0"/>
                <w:sz w:val="21"/>
                <w:szCs w:val="21"/>
                <w:highlight w:val="none"/>
              </w:rPr>
              <w:t>地形数据分辨率/m</w:t>
            </w:r>
          </w:p>
        </w:tc>
        <w:tc>
          <w:tcPr>
            <w:tcW w:w="2559" w:type="dxa"/>
            <w:vAlign w:val="center"/>
          </w:tcPr>
          <w:p w14:paraId="13DB274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Cs/>
                <w:kern w:val="0"/>
                <w:sz w:val="21"/>
                <w:szCs w:val="21"/>
                <w:highlight w:val="none"/>
              </w:rPr>
            </w:pPr>
            <w:r>
              <w:rPr>
                <w:rFonts w:hint="eastAsia"/>
                <w:bCs/>
                <w:kern w:val="0"/>
                <w:sz w:val="21"/>
                <w:szCs w:val="21"/>
                <w:highlight w:val="none"/>
              </w:rPr>
              <w:t>90</w:t>
            </w:r>
          </w:p>
        </w:tc>
      </w:tr>
      <w:tr w14:paraId="0A82FF3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68" w:hRule="atLeast"/>
          <w:jc w:val="center"/>
        </w:trPr>
        <w:tc>
          <w:tcPr>
            <w:tcW w:w="1743" w:type="dxa"/>
            <w:vMerge w:val="restart"/>
            <w:vAlign w:val="center"/>
          </w:tcPr>
          <w:p w14:paraId="484D29C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Cs/>
                <w:kern w:val="0"/>
                <w:sz w:val="21"/>
                <w:szCs w:val="21"/>
                <w:highlight w:val="none"/>
              </w:rPr>
            </w:pPr>
            <w:r>
              <w:rPr>
                <w:rFonts w:hint="eastAsia"/>
                <w:bCs/>
                <w:kern w:val="0"/>
                <w:sz w:val="21"/>
                <w:szCs w:val="21"/>
                <w:highlight w:val="none"/>
              </w:rPr>
              <w:t>是否考虑岸线熏烟</w:t>
            </w:r>
          </w:p>
        </w:tc>
        <w:tc>
          <w:tcPr>
            <w:tcW w:w="3573" w:type="dxa"/>
            <w:vAlign w:val="center"/>
          </w:tcPr>
          <w:p w14:paraId="5E861E1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Cs/>
                <w:kern w:val="0"/>
                <w:sz w:val="21"/>
                <w:szCs w:val="21"/>
                <w:highlight w:val="none"/>
              </w:rPr>
            </w:pPr>
            <w:r>
              <w:rPr>
                <w:rFonts w:hint="eastAsia"/>
                <w:bCs/>
                <w:kern w:val="0"/>
                <w:sz w:val="21"/>
                <w:szCs w:val="21"/>
                <w:highlight w:val="none"/>
              </w:rPr>
              <w:t>考虑岸线熏烟</w:t>
            </w:r>
          </w:p>
        </w:tc>
        <w:tc>
          <w:tcPr>
            <w:tcW w:w="2559" w:type="dxa"/>
            <w:vAlign w:val="center"/>
          </w:tcPr>
          <w:p w14:paraId="45DFC4D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Cs/>
                <w:kern w:val="0"/>
                <w:sz w:val="21"/>
                <w:szCs w:val="21"/>
                <w:highlight w:val="none"/>
              </w:rPr>
            </w:pPr>
            <w:r>
              <w:rPr>
                <w:rFonts w:hint="eastAsia"/>
                <w:bCs/>
                <w:kern w:val="0"/>
                <w:sz w:val="21"/>
                <w:szCs w:val="21"/>
                <w:highlight w:val="none"/>
              </w:rPr>
              <w:t>否</w:t>
            </w:r>
          </w:p>
        </w:tc>
      </w:tr>
      <w:tr w14:paraId="1D59C1A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30" w:hRule="atLeast"/>
          <w:jc w:val="center"/>
        </w:trPr>
        <w:tc>
          <w:tcPr>
            <w:tcW w:w="1743" w:type="dxa"/>
            <w:vMerge w:val="continue"/>
            <w:vAlign w:val="center"/>
          </w:tcPr>
          <w:p w14:paraId="5726C1C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Cs/>
                <w:kern w:val="0"/>
                <w:sz w:val="21"/>
                <w:szCs w:val="21"/>
                <w:highlight w:val="none"/>
              </w:rPr>
            </w:pPr>
          </w:p>
        </w:tc>
        <w:tc>
          <w:tcPr>
            <w:tcW w:w="3573" w:type="dxa"/>
            <w:vAlign w:val="center"/>
          </w:tcPr>
          <w:p w14:paraId="6AB1C39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Cs/>
                <w:kern w:val="0"/>
                <w:sz w:val="21"/>
                <w:szCs w:val="21"/>
                <w:highlight w:val="none"/>
              </w:rPr>
            </w:pPr>
            <w:r>
              <w:rPr>
                <w:rFonts w:hint="eastAsia"/>
                <w:bCs/>
                <w:kern w:val="0"/>
                <w:sz w:val="21"/>
                <w:szCs w:val="21"/>
                <w:highlight w:val="none"/>
              </w:rPr>
              <w:t>岸线距离/km</w:t>
            </w:r>
          </w:p>
        </w:tc>
        <w:tc>
          <w:tcPr>
            <w:tcW w:w="2559" w:type="dxa"/>
            <w:vAlign w:val="center"/>
          </w:tcPr>
          <w:p w14:paraId="493BF74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Cs/>
                <w:kern w:val="0"/>
                <w:sz w:val="21"/>
                <w:szCs w:val="21"/>
                <w:highlight w:val="none"/>
              </w:rPr>
            </w:pPr>
            <w:r>
              <w:rPr>
                <w:rFonts w:hint="eastAsia"/>
                <w:bCs/>
                <w:kern w:val="0"/>
                <w:sz w:val="21"/>
                <w:szCs w:val="21"/>
                <w:highlight w:val="none"/>
              </w:rPr>
              <w:t>/</w:t>
            </w:r>
          </w:p>
        </w:tc>
      </w:tr>
      <w:tr w14:paraId="51E85AC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34" w:hRule="atLeast"/>
          <w:jc w:val="center"/>
        </w:trPr>
        <w:tc>
          <w:tcPr>
            <w:tcW w:w="1743" w:type="dxa"/>
            <w:vMerge w:val="continue"/>
            <w:vAlign w:val="center"/>
          </w:tcPr>
          <w:p w14:paraId="513EF52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Cs/>
                <w:kern w:val="0"/>
                <w:sz w:val="21"/>
                <w:szCs w:val="21"/>
                <w:highlight w:val="none"/>
              </w:rPr>
            </w:pPr>
          </w:p>
        </w:tc>
        <w:tc>
          <w:tcPr>
            <w:tcW w:w="3573" w:type="dxa"/>
            <w:vAlign w:val="center"/>
          </w:tcPr>
          <w:p w14:paraId="4749E68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Cs/>
                <w:kern w:val="0"/>
                <w:sz w:val="21"/>
                <w:szCs w:val="21"/>
                <w:highlight w:val="none"/>
              </w:rPr>
            </w:pPr>
            <w:r>
              <w:rPr>
                <w:rFonts w:hint="eastAsia"/>
                <w:bCs/>
                <w:kern w:val="0"/>
                <w:sz w:val="21"/>
                <w:szCs w:val="21"/>
                <w:highlight w:val="none"/>
              </w:rPr>
              <w:t>岸线方向/°</w:t>
            </w:r>
          </w:p>
        </w:tc>
        <w:tc>
          <w:tcPr>
            <w:tcW w:w="2559" w:type="dxa"/>
            <w:vAlign w:val="center"/>
          </w:tcPr>
          <w:p w14:paraId="787147E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Cs/>
                <w:kern w:val="0"/>
                <w:sz w:val="21"/>
                <w:szCs w:val="21"/>
                <w:highlight w:val="none"/>
              </w:rPr>
            </w:pPr>
            <w:r>
              <w:rPr>
                <w:rFonts w:hint="eastAsia"/>
                <w:bCs/>
                <w:kern w:val="0"/>
                <w:sz w:val="21"/>
                <w:szCs w:val="21"/>
                <w:highlight w:val="none"/>
              </w:rPr>
              <w:t>/</w:t>
            </w:r>
          </w:p>
        </w:tc>
      </w:tr>
    </w:tbl>
    <w:p w14:paraId="63F5792D">
      <w:pPr>
        <w:pStyle w:val="731"/>
        <w:pageBreakBefore w:val="0"/>
        <w:kinsoku/>
        <w:overflowPunct/>
        <w:topLinePunct w:val="0"/>
        <w:bidi w:val="0"/>
        <w:adjustRightInd/>
        <w:spacing w:line="360" w:lineRule="auto"/>
        <w:jc w:val="both"/>
        <w:outlineLvl w:val="9"/>
        <w:rPr>
          <w:rFonts w:ascii="Times New Roman" w:cs="Times New Roman" w:hAnsiTheme="minorEastAsia" w:eastAsiaTheme="minorEastAsia"/>
          <w:bCs/>
          <w:color w:val="auto"/>
          <w:highlight w:val="none"/>
        </w:rPr>
        <w:sectPr>
          <w:pgSz w:w="11906" w:h="16838"/>
          <w:pgMar w:top="1440" w:right="1800" w:bottom="1440" w:left="1800" w:header="851" w:footer="992" w:gutter="0"/>
          <w:pgBorders w:offsetFrom="page">
            <w:top w:val="none" w:sz="0" w:space="0"/>
            <w:left w:val="none" w:sz="0" w:space="0"/>
            <w:bottom w:val="none" w:sz="0" w:space="0"/>
            <w:right w:val="none" w:sz="0" w:space="0"/>
          </w:pgBorders>
          <w:cols w:space="425" w:num="1"/>
          <w:docGrid w:type="lines" w:linePitch="312" w:charSpace="0"/>
        </w:sectPr>
      </w:pPr>
    </w:p>
    <w:p w14:paraId="3B71E78E">
      <w:pPr>
        <w:pStyle w:val="7"/>
        <w:bidi w:val="0"/>
        <w:rPr>
          <w:highlight w:val="none"/>
        </w:rPr>
      </w:pPr>
      <w:r>
        <w:rPr>
          <w:highlight w:val="none"/>
        </w:rPr>
        <w:t>表2-4-</w:t>
      </w:r>
      <w:r>
        <w:rPr>
          <w:rFonts w:hint="eastAsia"/>
          <w:highlight w:val="none"/>
          <w:lang w:val="en-US" w:eastAsia="zh-CN"/>
        </w:rPr>
        <w:t>4</w:t>
      </w:r>
      <w:r>
        <w:rPr>
          <w:highlight w:val="none"/>
        </w:rPr>
        <w:t>主要废气污染源参数一览表（点源）</w:t>
      </w:r>
    </w:p>
    <w:tbl>
      <w:tblPr>
        <w:tblStyle w:val="45"/>
        <w:tblpPr w:leftFromText="180" w:rightFromText="180" w:vertAnchor="text" w:tblpXSpec="center" w:tblpY="1"/>
        <w:tblOverlap w:val="never"/>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499"/>
        <w:gridCol w:w="1139"/>
        <w:gridCol w:w="1055"/>
        <w:gridCol w:w="1162"/>
        <w:gridCol w:w="1277"/>
        <w:gridCol w:w="847"/>
        <w:gridCol w:w="1133"/>
        <w:gridCol w:w="1133"/>
        <w:gridCol w:w="850"/>
        <w:gridCol w:w="990"/>
        <w:gridCol w:w="704"/>
        <w:gridCol w:w="850"/>
        <w:gridCol w:w="847"/>
        <w:gridCol w:w="854"/>
        <w:gridCol w:w="674"/>
      </w:tblGrid>
      <w:tr w14:paraId="0F0C79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5" w:hRule="atLeast"/>
        </w:trPr>
        <w:tc>
          <w:tcPr>
            <w:tcW w:w="178" w:type="pct"/>
            <w:vMerge w:val="restart"/>
            <w:vAlign w:val="center"/>
          </w:tcPr>
          <w:p w14:paraId="11138A8D">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sz w:val="21"/>
                <w:szCs w:val="21"/>
                <w:highlight w:val="none"/>
              </w:rPr>
              <w:t>编号</w:t>
            </w:r>
          </w:p>
        </w:tc>
        <w:tc>
          <w:tcPr>
            <w:tcW w:w="406" w:type="pct"/>
            <w:vMerge w:val="restart"/>
            <w:vAlign w:val="center"/>
          </w:tcPr>
          <w:p w14:paraId="79787ADD">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sz w:val="21"/>
                <w:szCs w:val="21"/>
                <w:highlight w:val="none"/>
              </w:rPr>
              <w:t>名称</w:t>
            </w:r>
          </w:p>
        </w:tc>
        <w:tc>
          <w:tcPr>
            <w:tcW w:w="790" w:type="pct"/>
            <w:gridSpan w:val="2"/>
            <w:vAlign w:val="center"/>
          </w:tcPr>
          <w:p w14:paraId="260CA73B">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sz w:val="21"/>
                <w:szCs w:val="21"/>
                <w:highlight w:val="none"/>
              </w:rPr>
              <w:t>排气筒底部中心坐标（</w:t>
            </w:r>
            <w:r>
              <w:rPr>
                <w:rFonts w:hint="default" w:eastAsiaTheme="minorEastAsia"/>
                <w:sz w:val="21"/>
                <w:szCs w:val="21"/>
                <w:highlight w:val="none"/>
                <w:vertAlign w:val="superscript"/>
              </w:rPr>
              <w:t>o</w:t>
            </w:r>
            <w:r>
              <w:rPr>
                <w:rFonts w:hint="default" w:hAnsiTheme="minorEastAsia" w:eastAsiaTheme="minorEastAsia"/>
                <w:sz w:val="21"/>
                <w:szCs w:val="21"/>
                <w:highlight w:val="none"/>
              </w:rPr>
              <w:t>）</w:t>
            </w:r>
          </w:p>
        </w:tc>
        <w:tc>
          <w:tcPr>
            <w:tcW w:w="455" w:type="pct"/>
            <w:vMerge w:val="restart"/>
            <w:vAlign w:val="center"/>
          </w:tcPr>
          <w:p w14:paraId="2E630BDA">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sz w:val="21"/>
                <w:szCs w:val="21"/>
                <w:highlight w:val="none"/>
              </w:rPr>
              <w:t>排气筒底部海拔高度（</w:t>
            </w:r>
            <w:r>
              <w:rPr>
                <w:rFonts w:hint="default" w:eastAsiaTheme="minorEastAsia"/>
                <w:sz w:val="21"/>
                <w:szCs w:val="21"/>
                <w:highlight w:val="none"/>
              </w:rPr>
              <w:t>m</w:t>
            </w:r>
            <w:r>
              <w:rPr>
                <w:rFonts w:hint="default" w:hAnsiTheme="minorEastAsia" w:eastAsiaTheme="minorEastAsia"/>
                <w:sz w:val="21"/>
                <w:szCs w:val="21"/>
                <w:highlight w:val="none"/>
              </w:rPr>
              <w:t>）</w:t>
            </w:r>
          </w:p>
        </w:tc>
        <w:tc>
          <w:tcPr>
            <w:tcW w:w="302" w:type="pct"/>
            <w:vMerge w:val="restart"/>
            <w:vAlign w:val="center"/>
          </w:tcPr>
          <w:p w14:paraId="75B8B04C">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sz w:val="21"/>
                <w:szCs w:val="21"/>
                <w:highlight w:val="none"/>
              </w:rPr>
              <w:t>排气筒高度（</w:t>
            </w:r>
            <w:r>
              <w:rPr>
                <w:rFonts w:hint="default" w:eastAsiaTheme="minorEastAsia"/>
                <w:sz w:val="21"/>
                <w:szCs w:val="21"/>
                <w:highlight w:val="none"/>
              </w:rPr>
              <w:t>m</w:t>
            </w:r>
            <w:r>
              <w:rPr>
                <w:rFonts w:hint="default" w:hAnsiTheme="minorEastAsia" w:eastAsiaTheme="minorEastAsia"/>
                <w:sz w:val="21"/>
                <w:szCs w:val="21"/>
                <w:highlight w:val="none"/>
              </w:rPr>
              <w:t>）</w:t>
            </w:r>
          </w:p>
        </w:tc>
        <w:tc>
          <w:tcPr>
            <w:tcW w:w="404" w:type="pct"/>
            <w:vMerge w:val="restart"/>
            <w:vAlign w:val="center"/>
          </w:tcPr>
          <w:p w14:paraId="7928CECB">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sz w:val="21"/>
                <w:szCs w:val="21"/>
                <w:highlight w:val="none"/>
              </w:rPr>
              <w:t>排气筒出口内径（</w:t>
            </w:r>
            <w:r>
              <w:rPr>
                <w:rFonts w:hint="default" w:eastAsiaTheme="minorEastAsia"/>
                <w:sz w:val="21"/>
                <w:szCs w:val="21"/>
                <w:highlight w:val="none"/>
              </w:rPr>
              <w:t>m</w:t>
            </w:r>
            <w:r>
              <w:rPr>
                <w:rFonts w:hint="default" w:hAnsiTheme="minorEastAsia" w:eastAsiaTheme="minorEastAsia"/>
                <w:sz w:val="21"/>
                <w:szCs w:val="21"/>
                <w:highlight w:val="none"/>
              </w:rPr>
              <w:t>）</w:t>
            </w:r>
          </w:p>
        </w:tc>
        <w:tc>
          <w:tcPr>
            <w:tcW w:w="404" w:type="pct"/>
            <w:vMerge w:val="restart"/>
            <w:vAlign w:val="center"/>
          </w:tcPr>
          <w:p w14:paraId="1D4BE6F5">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sz w:val="21"/>
                <w:szCs w:val="21"/>
                <w:highlight w:val="none"/>
              </w:rPr>
              <w:t>烟气</w:t>
            </w:r>
          </w:p>
          <w:p w14:paraId="6DB92EF9">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sz w:val="21"/>
                <w:szCs w:val="21"/>
                <w:highlight w:val="none"/>
              </w:rPr>
              <w:t>流速（</w:t>
            </w:r>
            <w:r>
              <w:rPr>
                <w:rFonts w:hint="default" w:eastAsiaTheme="minorEastAsia"/>
                <w:sz w:val="21"/>
                <w:szCs w:val="21"/>
                <w:highlight w:val="none"/>
              </w:rPr>
              <w:t>m/s</w:t>
            </w:r>
            <w:r>
              <w:rPr>
                <w:rFonts w:hint="default" w:hAnsiTheme="minorEastAsia" w:eastAsiaTheme="minorEastAsia"/>
                <w:sz w:val="21"/>
                <w:szCs w:val="21"/>
                <w:highlight w:val="none"/>
              </w:rPr>
              <w:t>）</w:t>
            </w:r>
          </w:p>
        </w:tc>
        <w:tc>
          <w:tcPr>
            <w:tcW w:w="303" w:type="pct"/>
            <w:vMerge w:val="restart"/>
            <w:vAlign w:val="center"/>
          </w:tcPr>
          <w:p w14:paraId="7B149716">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sz w:val="21"/>
                <w:szCs w:val="21"/>
                <w:highlight w:val="none"/>
              </w:rPr>
              <w:t>烟气温度</w:t>
            </w:r>
          </w:p>
          <w:p w14:paraId="07675EDA">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w:t>
            </w:r>
          </w:p>
        </w:tc>
        <w:tc>
          <w:tcPr>
            <w:tcW w:w="353" w:type="pct"/>
            <w:vMerge w:val="restart"/>
            <w:vAlign w:val="center"/>
          </w:tcPr>
          <w:p w14:paraId="193A18F7">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sz w:val="21"/>
                <w:szCs w:val="21"/>
                <w:highlight w:val="none"/>
              </w:rPr>
              <w:t>年排放小时数（</w:t>
            </w:r>
            <w:r>
              <w:rPr>
                <w:rFonts w:hint="default" w:eastAsiaTheme="minorEastAsia"/>
                <w:sz w:val="21"/>
                <w:szCs w:val="21"/>
                <w:highlight w:val="none"/>
              </w:rPr>
              <w:t>h</w:t>
            </w:r>
            <w:r>
              <w:rPr>
                <w:rFonts w:hint="default" w:hAnsiTheme="minorEastAsia" w:eastAsiaTheme="minorEastAsia"/>
                <w:sz w:val="21"/>
                <w:szCs w:val="21"/>
                <w:highlight w:val="none"/>
              </w:rPr>
              <w:t>）</w:t>
            </w:r>
          </w:p>
        </w:tc>
        <w:tc>
          <w:tcPr>
            <w:tcW w:w="251" w:type="pct"/>
            <w:vMerge w:val="restart"/>
            <w:vAlign w:val="center"/>
          </w:tcPr>
          <w:p w14:paraId="203BEB12">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hAnsiTheme="minorEastAsia" w:eastAsiaTheme="minorEastAsia"/>
                <w:sz w:val="21"/>
                <w:szCs w:val="21"/>
                <w:highlight w:val="none"/>
              </w:rPr>
              <w:t>排放工况</w:t>
            </w:r>
          </w:p>
        </w:tc>
        <w:tc>
          <w:tcPr>
            <w:tcW w:w="1149" w:type="pct"/>
            <w:gridSpan w:val="4"/>
            <w:vMerge w:val="restart"/>
            <w:vAlign w:val="center"/>
          </w:tcPr>
          <w:p w14:paraId="759FFAA6">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hAnsiTheme="minorEastAsia" w:eastAsiaTheme="minorEastAsia"/>
                <w:sz w:val="21"/>
                <w:szCs w:val="21"/>
                <w:highlight w:val="none"/>
              </w:rPr>
              <w:t>污染物排放速率（</w:t>
            </w:r>
            <w:r>
              <w:rPr>
                <w:rFonts w:hint="default" w:eastAsiaTheme="minorEastAsia"/>
                <w:sz w:val="21"/>
                <w:szCs w:val="21"/>
                <w:highlight w:val="none"/>
              </w:rPr>
              <w:t>kg/h</w:t>
            </w:r>
            <w:r>
              <w:rPr>
                <w:rFonts w:hint="default" w:hAnsiTheme="minorEastAsia" w:eastAsiaTheme="minorEastAsia"/>
                <w:sz w:val="21"/>
                <w:szCs w:val="21"/>
                <w:highlight w:val="none"/>
              </w:rPr>
              <w:t>）</w:t>
            </w:r>
          </w:p>
        </w:tc>
      </w:tr>
      <w:tr w14:paraId="7DCA60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72" w:hRule="atLeast"/>
        </w:trPr>
        <w:tc>
          <w:tcPr>
            <w:tcW w:w="178" w:type="pct"/>
            <w:vMerge w:val="continue"/>
            <w:vAlign w:val="center"/>
          </w:tcPr>
          <w:p w14:paraId="22948208">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406" w:type="pct"/>
            <w:vMerge w:val="continue"/>
            <w:vAlign w:val="center"/>
          </w:tcPr>
          <w:p w14:paraId="0E91C524">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376" w:type="pct"/>
            <w:vMerge w:val="restart"/>
            <w:vAlign w:val="center"/>
          </w:tcPr>
          <w:p w14:paraId="21D98BE1">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sz w:val="21"/>
                <w:szCs w:val="21"/>
                <w:highlight w:val="none"/>
              </w:rPr>
              <w:t>经度</w:t>
            </w:r>
          </w:p>
        </w:tc>
        <w:tc>
          <w:tcPr>
            <w:tcW w:w="414" w:type="pct"/>
            <w:vMerge w:val="restart"/>
            <w:vAlign w:val="center"/>
          </w:tcPr>
          <w:p w14:paraId="76A978E4">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sz w:val="21"/>
                <w:szCs w:val="21"/>
                <w:highlight w:val="none"/>
              </w:rPr>
              <w:t>纬度</w:t>
            </w:r>
          </w:p>
        </w:tc>
        <w:tc>
          <w:tcPr>
            <w:tcW w:w="455" w:type="pct"/>
            <w:vMerge w:val="continue"/>
            <w:vAlign w:val="center"/>
          </w:tcPr>
          <w:p w14:paraId="16A21530">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302" w:type="pct"/>
            <w:vMerge w:val="continue"/>
            <w:vAlign w:val="center"/>
          </w:tcPr>
          <w:p w14:paraId="6338E14F">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404" w:type="pct"/>
            <w:vMerge w:val="continue"/>
            <w:vAlign w:val="center"/>
          </w:tcPr>
          <w:p w14:paraId="23A6B4B0">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404" w:type="pct"/>
            <w:vMerge w:val="continue"/>
            <w:vAlign w:val="center"/>
          </w:tcPr>
          <w:p w14:paraId="7196A235">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303" w:type="pct"/>
            <w:vMerge w:val="continue"/>
            <w:vAlign w:val="center"/>
          </w:tcPr>
          <w:p w14:paraId="73948861">
            <w:pPr>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353" w:type="pct"/>
            <w:vMerge w:val="continue"/>
            <w:vAlign w:val="center"/>
          </w:tcPr>
          <w:p w14:paraId="7EA4C26C">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251" w:type="pct"/>
            <w:vMerge w:val="continue"/>
            <w:vAlign w:val="center"/>
          </w:tcPr>
          <w:p w14:paraId="0873CCF9">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1149" w:type="pct"/>
            <w:gridSpan w:val="4"/>
            <w:vMerge w:val="continue"/>
            <w:vAlign w:val="center"/>
          </w:tcPr>
          <w:p w14:paraId="60422F17">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r>
      <w:tr w14:paraId="21EA08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3" w:hRule="atLeast"/>
        </w:trPr>
        <w:tc>
          <w:tcPr>
            <w:tcW w:w="178" w:type="pct"/>
            <w:vMerge w:val="continue"/>
            <w:vAlign w:val="center"/>
          </w:tcPr>
          <w:p w14:paraId="02931D4D">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406" w:type="pct"/>
            <w:vMerge w:val="continue"/>
            <w:vAlign w:val="center"/>
          </w:tcPr>
          <w:p w14:paraId="4A8BA4EF">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376" w:type="pct"/>
            <w:vMerge w:val="continue"/>
            <w:vAlign w:val="center"/>
          </w:tcPr>
          <w:p w14:paraId="4C5DE23F">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414" w:type="pct"/>
            <w:vMerge w:val="continue"/>
            <w:vAlign w:val="center"/>
          </w:tcPr>
          <w:p w14:paraId="711FFC23">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455" w:type="pct"/>
            <w:vMerge w:val="continue"/>
            <w:vAlign w:val="center"/>
          </w:tcPr>
          <w:p w14:paraId="3C9A8917">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302" w:type="pct"/>
            <w:vMerge w:val="continue"/>
            <w:vAlign w:val="center"/>
          </w:tcPr>
          <w:p w14:paraId="435B0803">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404" w:type="pct"/>
            <w:vMerge w:val="continue"/>
            <w:vAlign w:val="center"/>
          </w:tcPr>
          <w:p w14:paraId="17F44E79">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404" w:type="pct"/>
            <w:vMerge w:val="continue"/>
            <w:vAlign w:val="center"/>
          </w:tcPr>
          <w:p w14:paraId="76007D55">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303" w:type="pct"/>
            <w:vMerge w:val="continue"/>
            <w:vAlign w:val="center"/>
          </w:tcPr>
          <w:p w14:paraId="055F94E0">
            <w:pPr>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353" w:type="pct"/>
            <w:vMerge w:val="continue"/>
            <w:vAlign w:val="center"/>
          </w:tcPr>
          <w:p w14:paraId="5CED3F08">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251" w:type="pct"/>
            <w:vMerge w:val="continue"/>
            <w:vAlign w:val="center"/>
          </w:tcPr>
          <w:p w14:paraId="7B12475D">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303" w:type="pct"/>
            <w:vAlign w:val="center"/>
          </w:tcPr>
          <w:p w14:paraId="2D2507BF">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NMHC</w:t>
            </w:r>
          </w:p>
        </w:tc>
        <w:tc>
          <w:tcPr>
            <w:tcW w:w="302" w:type="pct"/>
            <w:vAlign w:val="center"/>
          </w:tcPr>
          <w:p w14:paraId="13E98CEB">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eastAsia" w:eastAsiaTheme="minorEastAsia"/>
                <w:sz w:val="21"/>
                <w:szCs w:val="21"/>
                <w:highlight w:val="none"/>
              </w:rPr>
              <w:t>NO</w:t>
            </w:r>
            <w:r>
              <w:rPr>
                <w:rFonts w:hint="eastAsia" w:eastAsiaTheme="minorEastAsia"/>
                <w:sz w:val="21"/>
                <w:szCs w:val="21"/>
                <w:highlight w:val="none"/>
                <w:vertAlign w:val="subscript"/>
              </w:rPr>
              <w:t>X</w:t>
            </w:r>
          </w:p>
        </w:tc>
        <w:tc>
          <w:tcPr>
            <w:tcW w:w="304" w:type="pct"/>
            <w:vAlign w:val="center"/>
          </w:tcPr>
          <w:p w14:paraId="09DE8536">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eastAsia" w:eastAsiaTheme="minorEastAsia"/>
                <w:sz w:val="21"/>
                <w:szCs w:val="21"/>
                <w:highlight w:val="none"/>
              </w:rPr>
              <w:t>CO</w:t>
            </w:r>
          </w:p>
        </w:tc>
        <w:tc>
          <w:tcPr>
            <w:tcW w:w="239" w:type="pct"/>
            <w:vAlign w:val="center"/>
          </w:tcPr>
          <w:p w14:paraId="476B6C8B">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eastAsia" w:eastAsiaTheme="minorEastAsia"/>
                <w:sz w:val="21"/>
                <w:szCs w:val="21"/>
                <w:highlight w:val="none"/>
              </w:rPr>
              <w:t>PM</w:t>
            </w:r>
            <w:r>
              <w:rPr>
                <w:rFonts w:hint="eastAsia" w:eastAsiaTheme="minorEastAsia"/>
                <w:sz w:val="21"/>
                <w:szCs w:val="21"/>
                <w:highlight w:val="none"/>
                <w:vertAlign w:val="subscript"/>
              </w:rPr>
              <w:t>10</w:t>
            </w:r>
          </w:p>
        </w:tc>
      </w:tr>
      <w:tr w14:paraId="1FC727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57" w:hRule="atLeast"/>
        </w:trPr>
        <w:tc>
          <w:tcPr>
            <w:tcW w:w="178" w:type="pct"/>
            <w:vAlign w:val="center"/>
          </w:tcPr>
          <w:p w14:paraId="2950838B">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sz w:val="21"/>
                <w:szCs w:val="21"/>
                <w:highlight w:val="none"/>
              </w:rPr>
            </w:pPr>
            <w:r>
              <w:rPr>
                <w:rFonts w:hint="default" w:eastAsiaTheme="minorEastAsia"/>
                <w:bCs/>
                <w:sz w:val="21"/>
                <w:szCs w:val="21"/>
                <w:highlight w:val="none"/>
              </w:rPr>
              <w:t>1</w:t>
            </w:r>
          </w:p>
        </w:tc>
        <w:tc>
          <w:tcPr>
            <w:tcW w:w="406" w:type="pct"/>
            <w:vAlign w:val="center"/>
          </w:tcPr>
          <w:p w14:paraId="04A91DB7">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sz w:val="21"/>
                <w:szCs w:val="21"/>
                <w:highlight w:val="none"/>
              </w:rPr>
            </w:pPr>
            <w:r>
              <w:rPr>
                <w:rFonts w:hint="default" w:hAnsiTheme="minorEastAsia" w:eastAsiaTheme="minorEastAsia"/>
                <w:bCs/>
                <w:sz w:val="21"/>
                <w:szCs w:val="21"/>
                <w:highlight w:val="none"/>
              </w:rPr>
              <w:t>热试验</w:t>
            </w:r>
            <w:r>
              <w:rPr>
                <w:rFonts w:hint="eastAsia" w:hAnsiTheme="minorEastAsia" w:eastAsiaTheme="minorEastAsia"/>
                <w:bCs/>
                <w:sz w:val="21"/>
                <w:szCs w:val="21"/>
                <w:highlight w:val="none"/>
              </w:rPr>
              <w:t>DA0</w:t>
            </w:r>
            <w:r>
              <w:rPr>
                <w:rFonts w:hint="eastAsia" w:hAnsiTheme="minorEastAsia" w:eastAsiaTheme="minorEastAsia"/>
                <w:bCs/>
                <w:sz w:val="21"/>
                <w:szCs w:val="21"/>
                <w:highlight w:val="none"/>
                <w:lang w:val="en-US" w:eastAsia="zh-CN"/>
              </w:rPr>
              <w:t>64</w:t>
            </w:r>
            <w:r>
              <w:rPr>
                <w:rFonts w:hint="eastAsia" w:hAnsiTheme="minorEastAsia" w:eastAsiaTheme="minorEastAsia"/>
                <w:bCs/>
                <w:sz w:val="21"/>
                <w:szCs w:val="21"/>
                <w:highlight w:val="none"/>
              </w:rPr>
              <w:t>排气筒</w:t>
            </w:r>
          </w:p>
        </w:tc>
        <w:tc>
          <w:tcPr>
            <w:tcW w:w="376" w:type="pct"/>
            <w:vAlign w:val="center"/>
          </w:tcPr>
          <w:p w14:paraId="30D6D30C">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eastAsia" w:eastAsiaTheme="minorEastAsia"/>
                <w:sz w:val="21"/>
                <w:szCs w:val="21"/>
                <w:highlight w:val="none"/>
              </w:rPr>
              <w:t>126.659182764</w:t>
            </w:r>
          </w:p>
        </w:tc>
        <w:tc>
          <w:tcPr>
            <w:tcW w:w="414" w:type="pct"/>
            <w:vAlign w:val="center"/>
          </w:tcPr>
          <w:p w14:paraId="33DDCB33">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eastAsia" w:eastAsiaTheme="minorEastAsia"/>
                <w:sz w:val="21"/>
                <w:szCs w:val="21"/>
                <w:highlight w:val="none"/>
              </w:rPr>
              <w:t>45.607676418</w:t>
            </w:r>
          </w:p>
        </w:tc>
        <w:tc>
          <w:tcPr>
            <w:tcW w:w="455" w:type="pct"/>
            <w:vAlign w:val="center"/>
          </w:tcPr>
          <w:p w14:paraId="5F1E7A0A">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181</w:t>
            </w:r>
          </w:p>
        </w:tc>
        <w:tc>
          <w:tcPr>
            <w:tcW w:w="302" w:type="pct"/>
            <w:vAlign w:val="center"/>
          </w:tcPr>
          <w:p w14:paraId="25D38C6E">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23</w:t>
            </w:r>
          </w:p>
        </w:tc>
        <w:tc>
          <w:tcPr>
            <w:tcW w:w="404" w:type="pct"/>
            <w:vAlign w:val="center"/>
          </w:tcPr>
          <w:p w14:paraId="49FE25EA">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w:t>
            </w:r>
            <w:r>
              <w:rPr>
                <w:rFonts w:hint="eastAsia" w:eastAsiaTheme="minorEastAsia"/>
                <w:sz w:val="21"/>
                <w:szCs w:val="21"/>
                <w:highlight w:val="none"/>
              </w:rPr>
              <w:t>5</w:t>
            </w:r>
          </w:p>
        </w:tc>
        <w:tc>
          <w:tcPr>
            <w:tcW w:w="404" w:type="pct"/>
            <w:vAlign w:val="center"/>
          </w:tcPr>
          <w:p w14:paraId="373F2DEE">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15.74</w:t>
            </w:r>
          </w:p>
        </w:tc>
        <w:tc>
          <w:tcPr>
            <w:tcW w:w="303" w:type="pct"/>
            <w:vAlign w:val="center"/>
          </w:tcPr>
          <w:p w14:paraId="40913632">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28.8</w:t>
            </w:r>
          </w:p>
        </w:tc>
        <w:tc>
          <w:tcPr>
            <w:tcW w:w="353" w:type="pct"/>
            <w:vAlign w:val="center"/>
          </w:tcPr>
          <w:p w14:paraId="29668751">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2000</w:t>
            </w:r>
          </w:p>
        </w:tc>
        <w:tc>
          <w:tcPr>
            <w:tcW w:w="251" w:type="pct"/>
            <w:vMerge w:val="restart"/>
            <w:vAlign w:val="center"/>
          </w:tcPr>
          <w:p w14:paraId="164A5873">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sz w:val="21"/>
                <w:szCs w:val="21"/>
                <w:highlight w:val="none"/>
              </w:rPr>
              <w:t>正常排放工况</w:t>
            </w:r>
          </w:p>
        </w:tc>
        <w:tc>
          <w:tcPr>
            <w:tcW w:w="303" w:type="pct"/>
            <w:vAlign w:val="center"/>
          </w:tcPr>
          <w:p w14:paraId="35E6BC5D">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0.156</w:t>
            </w:r>
          </w:p>
        </w:tc>
        <w:tc>
          <w:tcPr>
            <w:tcW w:w="302" w:type="pct"/>
            <w:vAlign w:val="center"/>
          </w:tcPr>
          <w:p w14:paraId="58A12F5B">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0.002</w:t>
            </w:r>
          </w:p>
        </w:tc>
        <w:tc>
          <w:tcPr>
            <w:tcW w:w="304" w:type="pct"/>
            <w:vAlign w:val="center"/>
          </w:tcPr>
          <w:p w14:paraId="46F5E781">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0.004</w:t>
            </w:r>
          </w:p>
        </w:tc>
        <w:tc>
          <w:tcPr>
            <w:tcW w:w="239" w:type="pct"/>
            <w:vAlign w:val="center"/>
          </w:tcPr>
          <w:p w14:paraId="2D85B6B8">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0.21</w:t>
            </w:r>
          </w:p>
        </w:tc>
      </w:tr>
      <w:tr w14:paraId="5A551E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57" w:hRule="atLeast"/>
        </w:trPr>
        <w:tc>
          <w:tcPr>
            <w:tcW w:w="178" w:type="pct"/>
            <w:vAlign w:val="center"/>
          </w:tcPr>
          <w:p w14:paraId="7BC1660B">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sz w:val="21"/>
                <w:szCs w:val="21"/>
                <w:highlight w:val="none"/>
              </w:rPr>
            </w:pPr>
            <w:r>
              <w:rPr>
                <w:rFonts w:hint="eastAsia" w:eastAsiaTheme="minorEastAsia"/>
                <w:bCs/>
                <w:sz w:val="21"/>
                <w:szCs w:val="21"/>
                <w:highlight w:val="none"/>
              </w:rPr>
              <w:t>2</w:t>
            </w:r>
          </w:p>
        </w:tc>
        <w:tc>
          <w:tcPr>
            <w:tcW w:w="406" w:type="pct"/>
            <w:vAlign w:val="center"/>
          </w:tcPr>
          <w:p w14:paraId="0D3AC234">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bCs/>
                <w:sz w:val="21"/>
                <w:szCs w:val="21"/>
                <w:highlight w:val="none"/>
              </w:rPr>
            </w:pPr>
            <w:r>
              <w:rPr>
                <w:rFonts w:hint="default" w:hAnsiTheme="minorEastAsia" w:eastAsiaTheme="minorEastAsia"/>
                <w:bCs/>
                <w:sz w:val="21"/>
                <w:szCs w:val="21"/>
                <w:highlight w:val="none"/>
              </w:rPr>
              <w:t>机加生产线</w:t>
            </w:r>
            <w:r>
              <w:rPr>
                <w:rFonts w:hint="default" w:eastAsiaTheme="minorEastAsia"/>
                <w:bCs/>
                <w:sz w:val="21"/>
                <w:szCs w:val="21"/>
                <w:highlight w:val="none"/>
              </w:rPr>
              <w:t>DA0</w:t>
            </w:r>
            <w:r>
              <w:rPr>
                <w:rFonts w:hint="eastAsia" w:eastAsiaTheme="minorEastAsia"/>
                <w:bCs/>
                <w:sz w:val="21"/>
                <w:szCs w:val="21"/>
                <w:highlight w:val="none"/>
                <w:lang w:val="en-US" w:eastAsia="zh-CN"/>
              </w:rPr>
              <w:t>65</w:t>
            </w:r>
            <w:r>
              <w:rPr>
                <w:rFonts w:hint="default" w:hAnsiTheme="minorEastAsia" w:eastAsiaTheme="minorEastAsia"/>
                <w:bCs/>
                <w:sz w:val="21"/>
                <w:szCs w:val="21"/>
                <w:highlight w:val="none"/>
              </w:rPr>
              <w:t>排气筒</w:t>
            </w:r>
          </w:p>
        </w:tc>
        <w:tc>
          <w:tcPr>
            <w:tcW w:w="376" w:type="pct"/>
            <w:shd w:val="clear" w:color="auto" w:fill="auto"/>
            <w:vAlign w:val="center"/>
          </w:tcPr>
          <w:p w14:paraId="476EF378">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kern w:val="2"/>
                <w:sz w:val="21"/>
                <w:szCs w:val="21"/>
                <w:highlight w:val="none"/>
                <w:lang w:val="en-US" w:eastAsia="zh-CN" w:bidi="ar-SA"/>
              </w:rPr>
            </w:pPr>
            <w:r>
              <w:rPr>
                <w:rFonts w:hint="eastAsia" w:eastAsiaTheme="minorEastAsia"/>
                <w:sz w:val="21"/>
                <w:szCs w:val="21"/>
                <w:highlight w:val="none"/>
              </w:rPr>
              <w:t>126.655921198</w:t>
            </w:r>
          </w:p>
        </w:tc>
        <w:tc>
          <w:tcPr>
            <w:tcW w:w="414" w:type="pct"/>
            <w:shd w:val="clear" w:color="auto" w:fill="auto"/>
            <w:vAlign w:val="center"/>
          </w:tcPr>
          <w:p w14:paraId="3C9977F0">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kern w:val="2"/>
                <w:sz w:val="21"/>
                <w:szCs w:val="21"/>
                <w:highlight w:val="none"/>
                <w:lang w:val="en-US" w:eastAsia="zh-CN" w:bidi="ar-SA"/>
              </w:rPr>
            </w:pPr>
            <w:r>
              <w:rPr>
                <w:rFonts w:hint="eastAsia" w:eastAsiaTheme="minorEastAsia"/>
                <w:sz w:val="21"/>
                <w:szCs w:val="21"/>
                <w:highlight w:val="none"/>
              </w:rPr>
              <w:t>45.607526214</w:t>
            </w:r>
          </w:p>
        </w:tc>
        <w:tc>
          <w:tcPr>
            <w:tcW w:w="455" w:type="pct"/>
            <w:vAlign w:val="center"/>
          </w:tcPr>
          <w:p w14:paraId="4D02C29E">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179</w:t>
            </w:r>
          </w:p>
        </w:tc>
        <w:tc>
          <w:tcPr>
            <w:tcW w:w="302" w:type="pct"/>
            <w:vAlign w:val="center"/>
          </w:tcPr>
          <w:p w14:paraId="15FF0415">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23</w:t>
            </w:r>
          </w:p>
        </w:tc>
        <w:tc>
          <w:tcPr>
            <w:tcW w:w="404" w:type="pct"/>
            <w:vAlign w:val="center"/>
          </w:tcPr>
          <w:p w14:paraId="41105BFF">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eastAsia" w:eastAsiaTheme="minorEastAsia"/>
                <w:sz w:val="21"/>
                <w:szCs w:val="21"/>
                <w:highlight w:val="none"/>
              </w:rPr>
              <w:t>0.5</w:t>
            </w:r>
          </w:p>
        </w:tc>
        <w:tc>
          <w:tcPr>
            <w:tcW w:w="404" w:type="pct"/>
            <w:vAlign w:val="center"/>
          </w:tcPr>
          <w:p w14:paraId="4FA6A3DC">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16.83</w:t>
            </w:r>
          </w:p>
        </w:tc>
        <w:tc>
          <w:tcPr>
            <w:tcW w:w="303" w:type="pct"/>
            <w:vAlign w:val="center"/>
          </w:tcPr>
          <w:p w14:paraId="37F1F448">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15</w:t>
            </w:r>
          </w:p>
        </w:tc>
        <w:tc>
          <w:tcPr>
            <w:tcW w:w="353" w:type="pct"/>
            <w:vAlign w:val="center"/>
          </w:tcPr>
          <w:p w14:paraId="19D36846">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2000</w:t>
            </w:r>
          </w:p>
        </w:tc>
        <w:tc>
          <w:tcPr>
            <w:tcW w:w="251" w:type="pct"/>
            <w:vMerge w:val="continue"/>
            <w:vAlign w:val="center"/>
          </w:tcPr>
          <w:p w14:paraId="6704D6DA">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sz w:val="21"/>
                <w:szCs w:val="21"/>
                <w:highlight w:val="none"/>
              </w:rPr>
            </w:pPr>
          </w:p>
        </w:tc>
        <w:tc>
          <w:tcPr>
            <w:tcW w:w="303" w:type="pct"/>
            <w:vAlign w:val="center"/>
          </w:tcPr>
          <w:p w14:paraId="098081A7">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0.26</w:t>
            </w:r>
          </w:p>
        </w:tc>
        <w:tc>
          <w:tcPr>
            <w:tcW w:w="302" w:type="pct"/>
            <w:vAlign w:val="center"/>
          </w:tcPr>
          <w:p w14:paraId="34436C3E">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eastAsia" w:eastAsiaTheme="minorEastAsia"/>
                <w:sz w:val="21"/>
                <w:szCs w:val="21"/>
                <w:highlight w:val="none"/>
              </w:rPr>
              <w:t>/</w:t>
            </w:r>
          </w:p>
        </w:tc>
        <w:tc>
          <w:tcPr>
            <w:tcW w:w="304" w:type="pct"/>
            <w:vAlign w:val="center"/>
          </w:tcPr>
          <w:p w14:paraId="65652B9C">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eastAsia" w:eastAsiaTheme="minorEastAsia"/>
                <w:sz w:val="21"/>
                <w:szCs w:val="21"/>
                <w:highlight w:val="none"/>
              </w:rPr>
              <w:t>/</w:t>
            </w:r>
          </w:p>
        </w:tc>
        <w:tc>
          <w:tcPr>
            <w:tcW w:w="239" w:type="pct"/>
            <w:vAlign w:val="center"/>
          </w:tcPr>
          <w:p w14:paraId="58927048">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eastAsia" w:eastAsiaTheme="minorEastAsia"/>
                <w:sz w:val="21"/>
                <w:szCs w:val="21"/>
                <w:highlight w:val="none"/>
              </w:rPr>
              <w:t>/</w:t>
            </w:r>
          </w:p>
        </w:tc>
      </w:tr>
      <w:tr w14:paraId="4D25D9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57" w:hRule="atLeast"/>
        </w:trPr>
        <w:tc>
          <w:tcPr>
            <w:tcW w:w="178" w:type="pct"/>
            <w:vAlign w:val="center"/>
          </w:tcPr>
          <w:p w14:paraId="23895F38">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Theme="minorEastAsia"/>
                <w:bCs/>
                <w:sz w:val="21"/>
                <w:szCs w:val="21"/>
                <w:highlight w:val="none"/>
                <w:lang w:val="en-US" w:eastAsia="zh-CN"/>
              </w:rPr>
            </w:pPr>
            <w:r>
              <w:rPr>
                <w:rFonts w:hint="eastAsia" w:eastAsiaTheme="minorEastAsia"/>
                <w:bCs/>
                <w:sz w:val="21"/>
                <w:szCs w:val="21"/>
                <w:highlight w:val="none"/>
                <w:lang w:val="en-US" w:eastAsia="zh-CN"/>
              </w:rPr>
              <w:t>3</w:t>
            </w:r>
          </w:p>
        </w:tc>
        <w:tc>
          <w:tcPr>
            <w:tcW w:w="406" w:type="pct"/>
            <w:vAlign w:val="center"/>
          </w:tcPr>
          <w:p w14:paraId="4F9608FC">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bCs/>
                <w:sz w:val="21"/>
                <w:szCs w:val="21"/>
                <w:highlight w:val="none"/>
              </w:rPr>
            </w:pPr>
            <w:r>
              <w:rPr>
                <w:rFonts w:hint="default" w:hAnsiTheme="minorEastAsia" w:eastAsiaTheme="minorEastAsia"/>
                <w:bCs/>
                <w:sz w:val="21"/>
                <w:szCs w:val="21"/>
                <w:highlight w:val="none"/>
              </w:rPr>
              <w:t>机加生产线</w:t>
            </w:r>
            <w:r>
              <w:rPr>
                <w:rFonts w:hint="default" w:eastAsiaTheme="minorEastAsia"/>
                <w:bCs/>
                <w:sz w:val="21"/>
                <w:szCs w:val="21"/>
                <w:highlight w:val="none"/>
              </w:rPr>
              <w:t>DA0</w:t>
            </w:r>
            <w:r>
              <w:rPr>
                <w:rFonts w:hint="eastAsia" w:eastAsiaTheme="minorEastAsia"/>
                <w:bCs/>
                <w:sz w:val="21"/>
                <w:szCs w:val="21"/>
                <w:highlight w:val="none"/>
                <w:lang w:val="en-US" w:eastAsia="zh-CN"/>
              </w:rPr>
              <w:t>66</w:t>
            </w:r>
            <w:r>
              <w:rPr>
                <w:rFonts w:hint="default" w:hAnsiTheme="minorEastAsia" w:eastAsiaTheme="minorEastAsia"/>
                <w:bCs/>
                <w:sz w:val="21"/>
                <w:szCs w:val="21"/>
                <w:highlight w:val="none"/>
              </w:rPr>
              <w:t>排气筒</w:t>
            </w:r>
          </w:p>
        </w:tc>
        <w:tc>
          <w:tcPr>
            <w:tcW w:w="376" w:type="pct"/>
            <w:shd w:val="clear" w:color="auto" w:fill="auto"/>
            <w:vAlign w:val="center"/>
          </w:tcPr>
          <w:p w14:paraId="54138087">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kern w:val="2"/>
                <w:sz w:val="21"/>
                <w:szCs w:val="21"/>
                <w:highlight w:val="none"/>
                <w:lang w:val="en-US" w:eastAsia="zh-CN" w:bidi="ar-SA"/>
              </w:rPr>
            </w:pPr>
            <w:r>
              <w:rPr>
                <w:rFonts w:hint="eastAsia" w:eastAsiaTheme="minorEastAsia"/>
                <w:sz w:val="21"/>
                <w:szCs w:val="21"/>
                <w:highlight w:val="none"/>
              </w:rPr>
              <w:t>126.656457640</w:t>
            </w:r>
          </w:p>
        </w:tc>
        <w:tc>
          <w:tcPr>
            <w:tcW w:w="414" w:type="pct"/>
            <w:shd w:val="clear" w:color="auto" w:fill="auto"/>
            <w:vAlign w:val="center"/>
          </w:tcPr>
          <w:p w14:paraId="382A9D97">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kern w:val="2"/>
                <w:sz w:val="21"/>
                <w:szCs w:val="21"/>
                <w:highlight w:val="none"/>
                <w:lang w:val="en-US" w:eastAsia="zh-CN" w:bidi="ar-SA"/>
              </w:rPr>
            </w:pPr>
            <w:r>
              <w:rPr>
                <w:rFonts w:hint="eastAsia" w:eastAsiaTheme="minorEastAsia"/>
                <w:sz w:val="21"/>
                <w:szCs w:val="21"/>
                <w:highlight w:val="none"/>
              </w:rPr>
              <w:t>45.607740791</w:t>
            </w:r>
          </w:p>
        </w:tc>
        <w:tc>
          <w:tcPr>
            <w:tcW w:w="455" w:type="pct"/>
            <w:vAlign w:val="center"/>
          </w:tcPr>
          <w:p w14:paraId="1DE31B71">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179</w:t>
            </w:r>
          </w:p>
        </w:tc>
        <w:tc>
          <w:tcPr>
            <w:tcW w:w="302" w:type="pct"/>
            <w:vAlign w:val="center"/>
          </w:tcPr>
          <w:p w14:paraId="55CC2B78">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23</w:t>
            </w:r>
          </w:p>
        </w:tc>
        <w:tc>
          <w:tcPr>
            <w:tcW w:w="404" w:type="pct"/>
            <w:vAlign w:val="center"/>
          </w:tcPr>
          <w:p w14:paraId="30E1893B">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Theme="minorEastAsia"/>
                <w:sz w:val="21"/>
                <w:szCs w:val="21"/>
                <w:highlight w:val="none"/>
              </w:rPr>
            </w:pPr>
            <w:r>
              <w:rPr>
                <w:rFonts w:hint="default" w:eastAsiaTheme="minorEastAsia"/>
                <w:sz w:val="21"/>
                <w:szCs w:val="21"/>
                <w:highlight w:val="none"/>
              </w:rPr>
              <w:t>0.</w:t>
            </w:r>
            <w:r>
              <w:rPr>
                <w:rFonts w:hint="eastAsia" w:eastAsiaTheme="minorEastAsia"/>
                <w:sz w:val="21"/>
                <w:szCs w:val="21"/>
                <w:highlight w:val="none"/>
              </w:rPr>
              <w:t>5</w:t>
            </w:r>
          </w:p>
        </w:tc>
        <w:tc>
          <w:tcPr>
            <w:tcW w:w="404" w:type="pct"/>
            <w:vAlign w:val="center"/>
          </w:tcPr>
          <w:p w14:paraId="061D9333">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17.56</w:t>
            </w:r>
          </w:p>
        </w:tc>
        <w:tc>
          <w:tcPr>
            <w:tcW w:w="303" w:type="pct"/>
            <w:vAlign w:val="center"/>
          </w:tcPr>
          <w:p w14:paraId="660ACB11">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15</w:t>
            </w:r>
          </w:p>
        </w:tc>
        <w:tc>
          <w:tcPr>
            <w:tcW w:w="353" w:type="pct"/>
            <w:vAlign w:val="center"/>
          </w:tcPr>
          <w:p w14:paraId="3AE95B70">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2000</w:t>
            </w:r>
          </w:p>
        </w:tc>
        <w:tc>
          <w:tcPr>
            <w:tcW w:w="251" w:type="pct"/>
            <w:vMerge w:val="continue"/>
            <w:vAlign w:val="center"/>
          </w:tcPr>
          <w:p w14:paraId="031438E4">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sz w:val="21"/>
                <w:szCs w:val="21"/>
                <w:highlight w:val="none"/>
              </w:rPr>
            </w:pPr>
          </w:p>
        </w:tc>
        <w:tc>
          <w:tcPr>
            <w:tcW w:w="303" w:type="pct"/>
            <w:vAlign w:val="center"/>
          </w:tcPr>
          <w:p w14:paraId="5BFE6386">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0.26</w:t>
            </w:r>
          </w:p>
        </w:tc>
        <w:tc>
          <w:tcPr>
            <w:tcW w:w="302" w:type="pct"/>
            <w:vAlign w:val="center"/>
          </w:tcPr>
          <w:p w14:paraId="43C1E686">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Theme="minorEastAsia"/>
                <w:sz w:val="21"/>
                <w:szCs w:val="21"/>
                <w:highlight w:val="none"/>
              </w:rPr>
            </w:pPr>
            <w:r>
              <w:rPr>
                <w:rFonts w:hint="eastAsia" w:eastAsiaTheme="minorEastAsia"/>
                <w:sz w:val="21"/>
                <w:szCs w:val="21"/>
                <w:highlight w:val="none"/>
              </w:rPr>
              <w:t>/</w:t>
            </w:r>
          </w:p>
        </w:tc>
        <w:tc>
          <w:tcPr>
            <w:tcW w:w="304" w:type="pct"/>
            <w:vAlign w:val="center"/>
          </w:tcPr>
          <w:p w14:paraId="59E63FA1">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Theme="minorEastAsia"/>
                <w:sz w:val="21"/>
                <w:szCs w:val="21"/>
                <w:highlight w:val="none"/>
              </w:rPr>
            </w:pPr>
            <w:r>
              <w:rPr>
                <w:rFonts w:hint="eastAsia" w:eastAsiaTheme="minorEastAsia"/>
                <w:sz w:val="21"/>
                <w:szCs w:val="21"/>
                <w:highlight w:val="none"/>
              </w:rPr>
              <w:t>/</w:t>
            </w:r>
          </w:p>
        </w:tc>
        <w:tc>
          <w:tcPr>
            <w:tcW w:w="239" w:type="pct"/>
            <w:vAlign w:val="center"/>
          </w:tcPr>
          <w:p w14:paraId="3CC69D55">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Theme="minorEastAsia"/>
                <w:sz w:val="21"/>
                <w:szCs w:val="21"/>
                <w:highlight w:val="none"/>
              </w:rPr>
            </w:pPr>
            <w:r>
              <w:rPr>
                <w:rFonts w:hint="eastAsia" w:eastAsiaTheme="minorEastAsia"/>
                <w:sz w:val="21"/>
                <w:szCs w:val="21"/>
                <w:highlight w:val="none"/>
              </w:rPr>
              <w:t>/</w:t>
            </w:r>
          </w:p>
        </w:tc>
      </w:tr>
      <w:tr w14:paraId="024E1A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57" w:hRule="atLeast"/>
        </w:trPr>
        <w:tc>
          <w:tcPr>
            <w:tcW w:w="178" w:type="pct"/>
            <w:vAlign w:val="center"/>
          </w:tcPr>
          <w:p w14:paraId="11F0A2CB">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Theme="minorEastAsia"/>
                <w:bCs/>
                <w:sz w:val="21"/>
                <w:szCs w:val="21"/>
                <w:highlight w:val="none"/>
                <w:lang w:val="en-US" w:eastAsia="zh-CN"/>
              </w:rPr>
            </w:pPr>
            <w:r>
              <w:rPr>
                <w:rFonts w:hint="eastAsia" w:eastAsiaTheme="minorEastAsia"/>
                <w:bCs/>
                <w:sz w:val="21"/>
                <w:szCs w:val="21"/>
                <w:highlight w:val="none"/>
                <w:lang w:val="en-US" w:eastAsia="zh-CN"/>
              </w:rPr>
              <w:t>4</w:t>
            </w:r>
          </w:p>
        </w:tc>
        <w:tc>
          <w:tcPr>
            <w:tcW w:w="406" w:type="pct"/>
            <w:vAlign w:val="center"/>
          </w:tcPr>
          <w:p w14:paraId="7B3260F2">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bCs/>
                <w:sz w:val="21"/>
                <w:szCs w:val="21"/>
                <w:highlight w:val="none"/>
                <w:lang w:val="en-US" w:eastAsia="zh-CN"/>
              </w:rPr>
            </w:pPr>
            <w:r>
              <w:rPr>
                <w:rFonts w:hint="eastAsia" w:hAnsiTheme="minorEastAsia" w:eastAsiaTheme="minorEastAsia"/>
                <w:bCs/>
                <w:sz w:val="21"/>
                <w:szCs w:val="21"/>
                <w:highlight w:val="none"/>
                <w:lang w:val="en-US" w:eastAsia="zh-CN"/>
              </w:rPr>
              <w:t>甩干生产线DA067排气筒</w:t>
            </w:r>
          </w:p>
        </w:tc>
        <w:tc>
          <w:tcPr>
            <w:tcW w:w="376" w:type="pct"/>
            <w:vAlign w:val="center"/>
          </w:tcPr>
          <w:p w14:paraId="3C106D8C">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eastAsia" w:eastAsiaTheme="minorEastAsia"/>
                <w:sz w:val="21"/>
                <w:szCs w:val="21"/>
                <w:highlight w:val="none"/>
              </w:rPr>
              <w:t>126.661328532</w:t>
            </w:r>
          </w:p>
        </w:tc>
        <w:tc>
          <w:tcPr>
            <w:tcW w:w="414" w:type="pct"/>
            <w:vAlign w:val="center"/>
          </w:tcPr>
          <w:p w14:paraId="7DB0DE64">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eastAsia" w:eastAsiaTheme="minorEastAsia"/>
                <w:sz w:val="21"/>
                <w:szCs w:val="21"/>
                <w:highlight w:val="none"/>
              </w:rPr>
              <w:t>45.604607971</w:t>
            </w:r>
          </w:p>
        </w:tc>
        <w:tc>
          <w:tcPr>
            <w:tcW w:w="455" w:type="pct"/>
            <w:vAlign w:val="center"/>
          </w:tcPr>
          <w:p w14:paraId="0FCD3D65">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183</w:t>
            </w:r>
          </w:p>
        </w:tc>
        <w:tc>
          <w:tcPr>
            <w:tcW w:w="302" w:type="pct"/>
            <w:vAlign w:val="center"/>
          </w:tcPr>
          <w:p w14:paraId="28164805">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23</w:t>
            </w:r>
          </w:p>
        </w:tc>
        <w:tc>
          <w:tcPr>
            <w:tcW w:w="404" w:type="pct"/>
            <w:vAlign w:val="center"/>
          </w:tcPr>
          <w:p w14:paraId="5D05682C">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Theme="minorEastAsia"/>
                <w:sz w:val="21"/>
                <w:szCs w:val="21"/>
                <w:highlight w:val="none"/>
              </w:rPr>
            </w:pPr>
            <w:r>
              <w:rPr>
                <w:rFonts w:hint="eastAsia" w:eastAsiaTheme="minorEastAsia"/>
                <w:sz w:val="21"/>
                <w:szCs w:val="21"/>
                <w:highlight w:val="none"/>
              </w:rPr>
              <w:t>0.5</w:t>
            </w:r>
          </w:p>
        </w:tc>
        <w:tc>
          <w:tcPr>
            <w:tcW w:w="404" w:type="pct"/>
            <w:vAlign w:val="center"/>
          </w:tcPr>
          <w:p w14:paraId="26D99C9A">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15.99</w:t>
            </w:r>
          </w:p>
        </w:tc>
        <w:tc>
          <w:tcPr>
            <w:tcW w:w="303" w:type="pct"/>
            <w:vAlign w:val="center"/>
          </w:tcPr>
          <w:p w14:paraId="2C9D569B">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15</w:t>
            </w:r>
          </w:p>
        </w:tc>
        <w:tc>
          <w:tcPr>
            <w:tcW w:w="353" w:type="pct"/>
            <w:vAlign w:val="center"/>
          </w:tcPr>
          <w:p w14:paraId="4A5CBB99">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2000</w:t>
            </w:r>
          </w:p>
        </w:tc>
        <w:tc>
          <w:tcPr>
            <w:tcW w:w="251" w:type="pct"/>
            <w:vMerge w:val="continue"/>
            <w:vAlign w:val="center"/>
          </w:tcPr>
          <w:p w14:paraId="14A9CAEB">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sz w:val="21"/>
                <w:szCs w:val="21"/>
                <w:highlight w:val="none"/>
              </w:rPr>
            </w:pPr>
          </w:p>
        </w:tc>
        <w:tc>
          <w:tcPr>
            <w:tcW w:w="303" w:type="pct"/>
            <w:vAlign w:val="center"/>
          </w:tcPr>
          <w:p w14:paraId="50029367">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0.05</w:t>
            </w:r>
          </w:p>
        </w:tc>
        <w:tc>
          <w:tcPr>
            <w:tcW w:w="302" w:type="pct"/>
            <w:vAlign w:val="center"/>
          </w:tcPr>
          <w:p w14:paraId="19636A24">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Theme="minorEastAsia"/>
                <w:sz w:val="21"/>
                <w:szCs w:val="21"/>
                <w:highlight w:val="none"/>
              </w:rPr>
            </w:pPr>
            <w:r>
              <w:rPr>
                <w:rFonts w:hint="eastAsia" w:eastAsiaTheme="minorEastAsia"/>
                <w:sz w:val="21"/>
                <w:szCs w:val="21"/>
                <w:highlight w:val="none"/>
              </w:rPr>
              <w:t>/</w:t>
            </w:r>
          </w:p>
        </w:tc>
        <w:tc>
          <w:tcPr>
            <w:tcW w:w="304" w:type="pct"/>
            <w:vAlign w:val="center"/>
          </w:tcPr>
          <w:p w14:paraId="2821C523">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Theme="minorEastAsia"/>
                <w:sz w:val="21"/>
                <w:szCs w:val="21"/>
                <w:highlight w:val="none"/>
              </w:rPr>
            </w:pPr>
            <w:r>
              <w:rPr>
                <w:rFonts w:hint="eastAsia" w:eastAsiaTheme="minorEastAsia"/>
                <w:sz w:val="21"/>
                <w:szCs w:val="21"/>
                <w:highlight w:val="none"/>
              </w:rPr>
              <w:t>/</w:t>
            </w:r>
          </w:p>
        </w:tc>
        <w:tc>
          <w:tcPr>
            <w:tcW w:w="239" w:type="pct"/>
            <w:vAlign w:val="center"/>
          </w:tcPr>
          <w:p w14:paraId="0E9FEB42">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0.01</w:t>
            </w:r>
          </w:p>
        </w:tc>
      </w:tr>
    </w:tbl>
    <w:p w14:paraId="2BB3B88D">
      <w:pPr>
        <w:pStyle w:val="7"/>
        <w:bidi w:val="0"/>
        <w:rPr>
          <w:highlight w:val="none"/>
        </w:rPr>
      </w:pPr>
      <w:r>
        <w:rPr>
          <w:highlight w:val="none"/>
        </w:rPr>
        <w:t>表2-4-</w:t>
      </w:r>
      <w:r>
        <w:rPr>
          <w:rFonts w:hint="eastAsia"/>
          <w:highlight w:val="none"/>
          <w:lang w:val="en-US" w:eastAsia="zh-CN"/>
        </w:rPr>
        <w:t>5</w:t>
      </w:r>
      <w:r>
        <w:rPr>
          <w:highlight w:val="none"/>
        </w:rPr>
        <w:t>矩形面源参数表</w:t>
      </w:r>
    </w:p>
    <w:tbl>
      <w:tblPr>
        <w:tblStyle w:val="4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45"/>
        <w:gridCol w:w="1118"/>
        <w:gridCol w:w="1215"/>
        <w:gridCol w:w="1391"/>
        <w:gridCol w:w="1155"/>
        <w:gridCol w:w="915"/>
        <w:gridCol w:w="1040"/>
        <w:gridCol w:w="980"/>
        <w:gridCol w:w="1020"/>
        <w:gridCol w:w="980"/>
        <w:gridCol w:w="1090"/>
        <w:gridCol w:w="1362"/>
        <w:gridCol w:w="1363"/>
      </w:tblGrid>
      <w:tr w14:paraId="14CEFE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 w:hRule="atLeast"/>
          <w:jc w:val="center"/>
        </w:trPr>
        <w:tc>
          <w:tcPr>
            <w:tcW w:w="192" w:type="pct"/>
            <w:vMerge w:val="restart"/>
            <w:vAlign w:val="center"/>
          </w:tcPr>
          <w:p w14:paraId="3E678C9C">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编号</w:t>
            </w:r>
          </w:p>
        </w:tc>
        <w:tc>
          <w:tcPr>
            <w:tcW w:w="394" w:type="pct"/>
            <w:vMerge w:val="restart"/>
            <w:vAlign w:val="center"/>
          </w:tcPr>
          <w:p w14:paraId="6BFC7A28">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名称</w:t>
            </w:r>
          </w:p>
        </w:tc>
        <w:tc>
          <w:tcPr>
            <w:tcW w:w="919" w:type="pct"/>
            <w:gridSpan w:val="2"/>
            <w:vAlign w:val="center"/>
          </w:tcPr>
          <w:p w14:paraId="2B7B6B57">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面源各顶点坐标（°）</w:t>
            </w:r>
          </w:p>
        </w:tc>
        <w:tc>
          <w:tcPr>
            <w:tcW w:w="407" w:type="pct"/>
            <w:vMerge w:val="restart"/>
            <w:vAlign w:val="center"/>
          </w:tcPr>
          <w:p w14:paraId="78F495F4">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面源海拔高度（m）</w:t>
            </w:r>
          </w:p>
        </w:tc>
        <w:tc>
          <w:tcPr>
            <w:tcW w:w="322" w:type="pct"/>
            <w:vMerge w:val="restart"/>
            <w:vAlign w:val="center"/>
          </w:tcPr>
          <w:p w14:paraId="02FC13DC">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面源长度（m）</w:t>
            </w:r>
          </w:p>
        </w:tc>
        <w:tc>
          <w:tcPr>
            <w:tcW w:w="366" w:type="pct"/>
            <w:vMerge w:val="restart"/>
            <w:vAlign w:val="center"/>
          </w:tcPr>
          <w:p w14:paraId="478D4376">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面源宽度（m）</w:t>
            </w:r>
          </w:p>
        </w:tc>
        <w:tc>
          <w:tcPr>
            <w:tcW w:w="345" w:type="pct"/>
            <w:vMerge w:val="restart"/>
            <w:vAlign w:val="center"/>
          </w:tcPr>
          <w:p w14:paraId="3C3D9736">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与正北向夹角（°）</w:t>
            </w:r>
          </w:p>
        </w:tc>
        <w:tc>
          <w:tcPr>
            <w:tcW w:w="359" w:type="pct"/>
            <w:vMerge w:val="restart"/>
            <w:vAlign w:val="center"/>
          </w:tcPr>
          <w:p w14:paraId="59D118D7">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面源有效排放高度（m）</w:t>
            </w:r>
          </w:p>
        </w:tc>
        <w:tc>
          <w:tcPr>
            <w:tcW w:w="345" w:type="pct"/>
            <w:vMerge w:val="restart"/>
            <w:vAlign w:val="center"/>
          </w:tcPr>
          <w:p w14:paraId="638F68DB">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年排放小时数（h）</w:t>
            </w:r>
          </w:p>
        </w:tc>
        <w:tc>
          <w:tcPr>
            <w:tcW w:w="384" w:type="pct"/>
            <w:vMerge w:val="restart"/>
            <w:vAlign w:val="center"/>
          </w:tcPr>
          <w:p w14:paraId="530297B6">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排放工况</w:t>
            </w:r>
          </w:p>
        </w:tc>
        <w:tc>
          <w:tcPr>
            <w:tcW w:w="961" w:type="pct"/>
            <w:gridSpan w:val="2"/>
            <w:vAlign w:val="center"/>
          </w:tcPr>
          <w:p w14:paraId="6DF7C5BD">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污染物排放速率（kg/h）</w:t>
            </w:r>
          </w:p>
        </w:tc>
      </w:tr>
      <w:tr w14:paraId="2DF70F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 w:hRule="atLeast"/>
          <w:jc w:val="center"/>
        </w:trPr>
        <w:tc>
          <w:tcPr>
            <w:tcW w:w="192" w:type="pct"/>
            <w:vMerge w:val="continue"/>
            <w:vAlign w:val="center"/>
          </w:tcPr>
          <w:p w14:paraId="428C6C81">
            <w:pPr>
              <w:pStyle w:val="8"/>
              <w:suppressLineNumbers w:val="0"/>
              <w:bidi w:val="0"/>
              <w:spacing w:before="0" w:beforeAutospacing="0" w:after="0" w:afterAutospacing="0"/>
              <w:ind w:left="0" w:right="0"/>
              <w:rPr>
                <w:rFonts w:hint="default"/>
                <w:highlight w:val="none"/>
                <w:lang w:val="en-US" w:eastAsia="zh-CN"/>
              </w:rPr>
            </w:pPr>
          </w:p>
        </w:tc>
        <w:tc>
          <w:tcPr>
            <w:tcW w:w="394" w:type="pct"/>
            <w:vMerge w:val="continue"/>
            <w:vAlign w:val="center"/>
          </w:tcPr>
          <w:p w14:paraId="709D14FB">
            <w:pPr>
              <w:pStyle w:val="8"/>
              <w:suppressLineNumbers w:val="0"/>
              <w:bidi w:val="0"/>
              <w:spacing w:before="0" w:beforeAutospacing="0" w:after="0" w:afterAutospacing="0"/>
              <w:ind w:left="0" w:right="0"/>
              <w:rPr>
                <w:rFonts w:hint="default"/>
                <w:highlight w:val="none"/>
                <w:lang w:val="en-US" w:eastAsia="zh-CN"/>
              </w:rPr>
            </w:pPr>
          </w:p>
        </w:tc>
        <w:tc>
          <w:tcPr>
            <w:tcW w:w="428" w:type="pct"/>
            <w:vAlign w:val="center"/>
          </w:tcPr>
          <w:p w14:paraId="0468EC01">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经度</w:t>
            </w:r>
          </w:p>
        </w:tc>
        <w:tc>
          <w:tcPr>
            <w:tcW w:w="490" w:type="pct"/>
            <w:vAlign w:val="center"/>
          </w:tcPr>
          <w:p w14:paraId="65DAF6EF">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纬度</w:t>
            </w:r>
          </w:p>
        </w:tc>
        <w:tc>
          <w:tcPr>
            <w:tcW w:w="407" w:type="pct"/>
            <w:vMerge w:val="continue"/>
            <w:vAlign w:val="center"/>
          </w:tcPr>
          <w:p w14:paraId="5449776B">
            <w:pPr>
              <w:pStyle w:val="8"/>
              <w:suppressLineNumbers w:val="0"/>
              <w:bidi w:val="0"/>
              <w:spacing w:before="0" w:beforeAutospacing="0" w:after="0" w:afterAutospacing="0"/>
              <w:ind w:left="0" w:right="0"/>
              <w:rPr>
                <w:rFonts w:hint="default"/>
                <w:highlight w:val="none"/>
                <w:lang w:val="en-US" w:eastAsia="zh-CN"/>
              </w:rPr>
            </w:pPr>
          </w:p>
        </w:tc>
        <w:tc>
          <w:tcPr>
            <w:tcW w:w="322" w:type="pct"/>
            <w:vMerge w:val="continue"/>
            <w:vAlign w:val="center"/>
          </w:tcPr>
          <w:p w14:paraId="545AEEEA">
            <w:pPr>
              <w:pStyle w:val="8"/>
              <w:suppressLineNumbers w:val="0"/>
              <w:bidi w:val="0"/>
              <w:spacing w:before="0" w:beforeAutospacing="0" w:after="0" w:afterAutospacing="0"/>
              <w:ind w:left="0" w:right="0"/>
              <w:rPr>
                <w:rFonts w:hint="default"/>
                <w:highlight w:val="none"/>
                <w:lang w:val="en-US" w:eastAsia="zh-CN"/>
              </w:rPr>
            </w:pPr>
          </w:p>
        </w:tc>
        <w:tc>
          <w:tcPr>
            <w:tcW w:w="366" w:type="pct"/>
            <w:vMerge w:val="continue"/>
            <w:vAlign w:val="center"/>
          </w:tcPr>
          <w:p w14:paraId="653BED05">
            <w:pPr>
              <w:pStyle w:val="8"/>
              <w:suppressLineNumbers w:val="0"/>
              <w:bidi w:val="0"/>
              <w:spacing w:before="0" w:beforeAutospacing="0" w:after="0" w:afterAutospacing="0"/>
              <w:ind w:left="0" w:right="0"/>
              <w:rPr>
                <w:rFonts w:hint="default"/>
                <w:highlight w:val="none"/>
                <w:lang w:val="en-US" w:eastAsia="zh-CN"/>
              </w:rPr>
            </w:pPr>
          </w:p>
        </w:tc>
        <w:tc>
          <w:tcPr>
            <w:tcW w:w="345" w:type="pct"/>
            <w:vMerge w:val="continue"/>
            <w:vAlign w:val="center"/>
          </w:tcPr>
          <w:p w14:paraId="2FA47C27">
            <w:pPr>
              <w:pStyle w:val="8"/>
              <w:suppressLineNumbers w:val="0"/>
              <w:bidi w:val="0"/>
              <w:spacing w:before="0" w:beforeAutospacing="0" w:after="0" w:afterAutospacing="0"/>
              <w:ind w:left="0" w:right="0"/>
              <w:rPr>
                <w:rFonts w:hint="default"/>
                <w:highlight w:val="none"/>
                <w:lang w:val="en-US" w:eastAsia="zh-CN"/>
              </w:rPr>
            </w:pPr>
          </w:p>
        </w:tc>
        <w:tc>
          <w:tcPr>
            <w:tcW w:w="359" w:type="pct"/>
            <w:vMerge w:val="continue"/>
            <w:vAlign w:val="center"/>
          </w:tcPr>
          <w:p w14:paraId="0CA92B99">
            <w:pPr>
              <w:pStyle w:val="8"/>
              <w:suppressLineNumbers w:val="0"/>
              <w:bidi w:val="0"/>
              <w:spacing w:before="0" w:beforeAutospacing="0" w:after="0" w:afterAutospacing="0"/>
              <w:ind w:left="0" w:right="0"/>
              <w:rPr>
                <w:rFonts w:hint="default"/>
                <w:highlight w:val="none"/>
                <w:lang w:val="en-US" w:eastAsia="zh-CN"/>
              </w:rPr>
            </w:pPr>
          </w:p>
        </w:tc>
        <w:tc>
          <w:tcPr>
            <w:tcW w:w="345" w:type="pct"/>
            <w:vMerge w:val="continue"/>
            <w:vAlign w:val="center"/>
          </w:tcPr>
          <w:p w14:paraId="5E41BA3B">
            <w:pPr>
              <w:pStyle w:val="8"/>
              <w:suppressLineNumbers w:val="0"/>
              <w:bidi w:val="0"/>
              <w:spacing w:before="0" w:beforeAutospacing="0" w:after="0" w:afterAutospacing="0"/>
              <w:ind w:left="0" w:right="0"/>
              <w:rPr>
                <w:rFonts w:hint="default"/>
                <w:highlight w:val="none"/>
                <w:lang w:val="en-US" w:eastAsia="zh-CN"/>
              </w:rPr>
            </w:pPr>
          </w:p>
        </w:tc>
        <w:tc>
          <w:tcPr>
            <w:tcW w:w="384" w:type="pct"/>
            <w:vMerge w:val="continue"/>
            <w:vAlign w:val="center"/>
          </w:tcPr>
          <w:p w14:paraId="189DA771">
            <w:pPr>
              <w:pStyle w:val="8"/>
              <w:suppressLineNumbers w:val="0"/>
              <w:bidi w:val="0"/>
              <w:spacing w:before="0" w:beforeAutospacing="0" w:after="0" w:afterAutospacing="0"/>
              <w:ind w:left="0" w:right="0"/>
              <w:rPr>
                <w:rFonts w:hint="default"/>
                <w:highlight w:val="none"/>
                <w:lang w:val="en-US" w:eastAsia="zh-CN"/>
              </w:rPr>
            </w:pPr>
          </w:p>
        </w:tc>
        <w:tc>
          <w:tcPr>
            <w:tcW w:w="480" w:type="pct"/>
            <w:vAlign w:val="center"/>
          </w:tcPr>
          <w:p w14:paraId="2D84B04D">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NMHC</w:t>
            </w:r>
          </w:p>
        </w:tc>
        <w:tc>
          <w:tcPr>
            <w:tcW w:w="480" w:type="pct"/>
            <w:vAlign w:val="center"/>
          </w:tcPr>
          <w:p w14:paraId="00C11464">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TSP</w:t>
            </w:r>
          </w:p>
        </w:tc>
      </w:tr>
      <w:tr w14:paraId="70BA67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 w:hRule="atLeast"/>
          <w:jc w:val="center"/>
        </w:trPr>
        <w:tc>
          <w:tcPr>
            <w:tcW w:w="192" w:type="pct"/>
            <w:vAlign w:val="center"/>
          </w:tcPr>
          <w:p w14:paraId="47E973AB">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1</w:t>
            </w:r>
          </w:p>
        </w:tc>
        <w:tc>
          <w:tcPr>
            <w:tcW w:w="394" w:type="pct"/>
            <w:vAlign w:val="center"/>
          </w:tcPr>
          <w:p w14:paraId="259C9439">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2号厂房</w:t>
            </w:r>
          </w:p>
        </w:tc>
        <w:tc>
          <w:tcPr>
            <w:tcW w:w="428" w:type="pct"/>
            <w:vAlign w:val="center"/>
          </w:tcPr>
          <w:p w14:paraId="12D0ED0D">
            <w:pPr>
              <w:keepNext w:val="0"/>
              <w:keepLines w:val="0"/>
              <w:pageBreakBefore w:val="0"/>
              <w:widowControl/>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color w:val="000000" w:themeColor="text1"/>
                <w:highlight w:val="none"/>
                <w:lang w:val="en-US" w:eastAsia="zh-CN"/>
              </w:rPr>
            </w:pPr>
            <w:r>
              <w:rPr>
                <w:rFonts w:hint="eastAsia" w:ascii="Times New Roman" w:hAnsi="Times New Roman"/>
                <w:color w:val="000000" w:themeColor="text1"/>
                <w:kern w:val="21"/>
                <w:sz w:val="21"/>
                <w:szCs w:val="21"/>
                <w:highlight w:val="none"/>
              </w:rPr>
              <w:t>126.656739</w:t>
            </w:r>
          </w:p>
        </w:tc>
        <w:tc>
          <w:tcPr>
            <w:tcW w:w="490" w:type="pct"/>
            <w:vAlign w:val="center"/>
          </w:tcPr>
          <w:p w14:paraId="09F96D3B">
            <w:pPr>
              <w:keepNext w:val="0"/>
              <w:keepLines w:val="0"/>
              <w:pageBreakBefore w:val="0"/>
              <w:widowControl/>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color w:val="000000" w:themeColor="text1"/>
                <w:highlight w:val="none"/>
                <w:lang w:val="en-US" w:eastAsia="zh-CN"/>
              </w:rPr>
            </w:pPr>
            <w:r>
              <w:rPr>
                <w:rFonts w:hint="eastAsia" w:ascii="Times New Roman" w:hAnsi="Times New Roman"/>
                <w:color w:val="000000" w:themeColor="text1"/>
                <w:kern w:val="21"/>
                <w:sz w:val="21"/>
                <w:szCs w:val="21"/>
                <w:highlight w:val="none"/>
              </w:rPr>
              <w:t>45.607001</w:t>
            </w:r>
          </w:p>
        </w:tc>
        <w:tc>
          <w:tcPr>
            <w:tcW w:w="407" w:type="pct"/>
            <w:vAlign w:val="center"/>
          </w:tcPr>
          <w:p w14:paraId="601FB4EF">
            <w:pPr>
              <w:pStyle w:val="8"/>
              <w:suppressLineNumbers w:val="0"/>
              <w:bidi w:val="0"/>
              <w:spacing w:before="0" w:beforeAutospacing="0" w:after="0" w:afterAutospacing="0"/>
              <w:ind w:left="0" w:right="0"/>
              <w:rPr>
                <w:rFonts w:hint="default"/>
                <w:color w:val="000000" w:themeColor="text1"/>
                <w:highlight w:val="none"/>
                <w:lang w:val="en-US" w:eastAsia="zh-CN"/>
              </w:rPr>
            </w:pPr>
            <w:r>
              <w:rPr>
                <w:rFonts w:hint="eastAsia"/>
                <w:color w:val="000000" w:themeColor="text1"/>
                <w:highlight w:val="none"/>
                <w:lang w:val="en-US" w:eastAsia="zh-CN"/>
              </w:rPr>
              <w:t>179</w:t>
            </w:r>
          </w:p>
        </w:tc>
        <w:tc>
          <w:tcPr>
            <w:tcW w:w="322" w:type="pct"/>
            <w:vAlign w:val="center"/>
          </w:tcPr>
          <w:p w14:paraId="7CE49179">
            <w:pPr>
              <w:keepNext w:val="0"/>
              <w:keepLines w:val="0"/>
              <w:pageBreakBefore w:val="0"/>
              <w:widowControl/>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color w:val="000000" w:themeColor="text1"/>
                <w:highlight w:val="none"/>
                <w:lang w:val="en-US" w:eastAsia="zh-CN"/>
              </w:rPr>
            </w:pPr>
            <w:r>
              <w:rPr>
                <w:rFonts w:hint="eastAsia" w:ascii="Times New Roman" w:hAnsi="Times New Roman"/>
                <w:color w:val="000000" w:themeColor="text1"/>
                <w:kern w:val="21"/>
                <w:sz w:val="21"/>
                <w:szCs w:val="21"/>
                <w:highlight w:val="none"/>
              </w:rPr>
              <w:t>208</w:t>
            </w:r>
          </w:p>
        </w:tc>
        <w:tc>
          <w:tcPr>
            <w:tcW w:w="366" w:type="pct"/>
            <w:vAlign w:val="center"/>
          </w:tcPr>
          <w:p w14:paraId="476E3543">
            <w:pPr>
              <w:keepNext w:val="0"/>
              <w:keepLines w:val="0"/>
              <w:pageBreakBefore w:val="0"/>
              <w:widowControl/>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color w:val="000000" w:themeColor="text1"/>
                <w:highlight w:val="none"/>
                <w:lang w:val="en-US" w:eastAsia="zh-CN"/>
              </w:rPr>
            </w:pPr>
            <w:r>
              <w:rPr>
                <w:rFonts w:hint="eastAsia" w:ascii="Times New Roman" w:hAnsi="Times New Roman"/>
                <w:color w:val="000000" w:themeColor="text1"/>
                <w:kern w:val="21"/>
                <w:sz w:val="21"/>
                <w:szCs w:val="21"/>
                <w:highlight w:val="none"/>
              </w:rPr>
              <w:t>106</w:t>
            </w:r>
          </w:p>
        </w:tc>
        <w:tc>
          <w:tcPr>
            <w:tcW w:w="345" w:type="pct"/>
            <w:vAlign w:val="center"/>
          </w:tcPr>
          <w:p w14:paraId="239353EE">
            <w:pPr>
              <w:pStyle w:val="8"/>
              <w:suppressLineNumbers w:val="0"/>
              <w:bidi w:val="0"/>
              <w:spacing w:before="0" w:beforeAutospacing="0" w:after="0" w:afterAutospacing="0"/>
              <w:ind w:left="0" w:right="0"/>
              <w:rPr>
                <w:rFonts w:hint="default" w:eastAsia="宋体"/>
                <w:highlight w:val="none"/>
                <w:lang w:val="en-US" w:eastAsia="zh-CN"/>
              </w:rPr>
            </w:pPr>
            <w:r>
              <w:rPr>
                <w:rFonts w:hint="eastAsia"/>
                <w:szCs w:val="21"/>
                <w:highlight w:val="none"/>
                <w:lang w:val="en-US" w:eastAsia="zh-CN"/>
              </w:rPr>
              <w:t>232</w:t>
            </w:r>
          </w:p>
        </w:tc>
        <w:tc>
          <w:tcPr>
            <w:tcW w:w="359" w:type="pct"/>
            <w:shd w:val="clear" w:color="auto" w:fill="auto"/>
            <w:vAlign w:val="center"/>
          </w:tcPr>
          <w:p w14:paraId="0476880B">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kern w:val="0"/>
                <w:sz w:val="21"/>
                <w:szCs w:val="24"/>
                <w:highlight w:val="none"/>
                <w:lang w:val="en-US" w:eastAsia="zh-CN" w:bidi="ar-SA"/>
              </w:rPr>
            </w:pPr>
            <w:r>
              <w:rPr>
                <w:rFonts w:hint="eastAsia"/>
                <w:highlight w:val="none"/>
                <w:lang w:val="en-US" w:eastAsia="zh-CN"/>
              </w:rPr>
              <w:t>1.5</w:t>
            </w:r>
          </w:p>
        </w:tc>
        <w:tc>
          <w:tcPr>
            <w:tcW w:w="345" w:type="pct"/>
            <w:shd w:val="clear" w:color="auto" w:fill="auto"/>
            <w:vAlign w:val="center"/>
          </w:tcPr>
          <w:p w14:paraId="4689A5D3">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kern w:val="0"/>
                <w:sz w:val="21"/>
                <w:szCs w:val="24"/>
                <w:highlight w:val="none"/>
                <w:lang w:val="en-US" w:eastAsia="zh-CN" w:bidi="ar-SA"/>
              </w:rPr>
            </w:pPr>
            <w:r>
              <w:rPr>
                <w:rFonts w:hint="eastAsia"/>
                <w:highlight w:val="none"/>
                <w:lang w:val="en-US" w:eastAsia="zh-CN"/>
              </w:rPr>
              <w:t>2000</w:t>
            </w:r>
          </w:p>
        </w:tc>
        <w:tc>
          <w:tcPr>
            <w:tcW w:w="384" w:type="pct"/>
            <w:vMerge w:val="restart"/>
            <w:shd w:val="clear" w:color="auto" w:fill="auto"/>
            <w:vAlign w:val="center"/>
          </w:tcPr>
          <w:p w14:paraId="3D44A91F">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kern w:val="0"/>
                <w:sz w:val="21"/>
                <w:szCs w:val="24"/>
                <w:highlight w:val="none"/>
                <w:lang w:val="en-US" w:eastAsia="zh-CN" w:bidi="ar-SA"/>
              </w:rPr>
            </w:pPr>
            <w:r>
              <w:rPr>
                <w:rFonts w:hint="default"/>
                <w:highlight w:val="none"/>
                <w:lang w:val="en-US" w:eastAsia="zh-CN"/>
              </w:rPr>
              <w:t>正常排放</w:t>
            </w:r>
          </w:p>
        </w:tc>
        <w:tc>
          <w:tcPr>
            <w:tcW w:w="480" w:type="pct"/>
            <w:shd w:val="clear" w:color="auto" w:fill="auto"/>
            <w:vAlign w:val="center"/>
          </w:tcPr>
          <w:p w14:paraId="1DC682AC">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kern w:val="0"/>
                <w:sz w:val="21"/>
                <w:szCs w:val="24"/>
                <w:highlight w:val="none"/>
                <w:lang w:val="en-US" w:eastAsia="zh-CN" w:bidi="ar-SA"/>
              </w:rPr>
            </w:pPr>
            <w:r>
              <w:rPr>
                <w:rFonts w:hint="eastAsia" w:cs="Times New Roman"/>
                <w:color w:val="000000"/>
                <w:kern w:val="0"/>
                <w:sz w:val="21"/>
                <w:szCs w:val="24"/>
                <w:highlight w:val="none"/>
                <w:lang w:val="en-US" w:eastAsia="zh-CN" w:bidi="ar-SA"/>
              </w:rPr>
              <w:t>0.33</w:t>
            </w:r>
          </w:p>
        </w:tc>
        <w:tc>
          <w:tcPr>
            <w:tcW w:w="480" w:type="pct"/>
            <w:shd w:val="clear" w:color="auto" w:fill="auto"/>
            <w:vAlign w:val="center"/>
          </w:tcPr>
          <w:p w14:paraId="4AE6BFBE">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kern w:val="0"/>
                <w:sz w:val="21"/>
                <w:szCs w:val="24"/>
                <w:highlight w:val="none"/>
                <w:lang w:val="en-US" w:eastAsia="zh-CN" w:bidi="ar-SA"/>
              </w:rPr>
            </w:pPr>
            <w:r>
              <w:rPr>
                <w:rFonts w:hint="eastAsia" w:cs="Times New Roman"/>
                <w:color w:val="000000"/>
                <w:kern w:val="0"/>
                <w:sz w:val="21"/>
                <w:szCs w:val="24"/>
                <w:highlight w:val="none"/>
                <w:lang w:val="en-US" w:eastAsia="zh-CN" w:bidi="ar-SA"/>
              </w:rPr>
              <w:t>//</w:t>
            </w:r>
          </w:p>
        </w:tc>
      </w:tr>
      <w:tr w14:paraId="72A5CD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 w:hRule="atLeast"/>
          <w:jc w:val="center"/>
        </w:trPr>
        <w:tc>
          <w:tcPr>
            <w:tcW w:w="192" w:type="pct"/>
            <w:vAlign w:val="center"/>
          </w:tcPr>
          <w:p w14:paraId="4E89A391">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w:t>
            </w:r>
          </w:p>
        </w:tc>
        <w:tc>
          <w:tcPr>
            <w:tcW w:w="394" w:type="pct"/>
            <w:vAlign w:val="center"/>
          </w:tcPr>
          <w:p w14:paraId="13E8DC42">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4号厂房</w:t>
            </w:r>
          </w:p>
        </w:tc>
        <w:tc>
          <w:tcPr>
            <w:tcW w:w="428" w:type="pct"/>
            <w:vAlign w:val="center"/>
          </w:tcPr>
          <w:p w14:paraId="6800DA2A">
            <w:pPr>
              <w:keepNext w:val="0"/>
              <w:keepLines w:val="0"/>
              <w:pageBreakBefore w:val="0"/>
              <w:widowControl/>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eastAsia"/>
                <w:color w:val="000000" w:themeColor="text1"/>
                <w:highlight w:val="none"/>
                <w:lang w:val="en-US" w:eastAsia="zh-CN"/>
              </w:rPr>
            </w:pPr>
            <w:r>
              <w:rPr>
                <w:rFonts w:hint="eastAsia" w:ascii="Times New Roman" w:hAnsi="Times New Roman"/>
                <w:color w:val="000000" w:themeColor="text1"/>
                <w:kern w:val="21"/>
                <w:sz w:val="21"/>
                <w:szCs w:val="21"/>
                <w:highlight w:val="none"/>
              </w:rPr>
              <w:t>126.661717</w:t>
            </w:r>
          </w:p>
        </w:tc>
        <w:tc>
          <w:tcPr>
            <w:tcW w:w="490" w:type="pct"/>
            <w:vAlign w:val="center"/>
          </w:tcPr>
          <w:p w14:paraId="1AAD8163">
            <w:pPr>
              <w:keepNext w:val="0"/>
              <w:keepLines w:val="0"/>
              <w:pageBreakBefore w:val="0"/>
              <w:widowControl/>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eastAsia"/>
                <w:color w:val="000000" w:themeColor="text1"/>
                <w:highlight w:val="none"/>
                <w:lang w:val="en-US" w:eastAsia="zh-CN"/>
              </w:rPr>
            </w:pPr>
            <w:r>
              <w:rPr>
                <w:rFonts w:hint="eastAsia" w:ascii="Times New Roman" w:hAnsi="Times New Roman"/>
                <w:color w:val="000000" w:themeColor="text1"/>
                <w:kern w:val="21"/>
                <w:sz w:val="21"/>
                <w:szCs w:val="21"/>
                <w:highlight w:val="none"/>
              </w:rPr>
              <w:t>45.607548</w:t>
            </w:r>
          </w:p>
        </w:tc>
        <w:tc>
          <w:tcPr>
            <w:tcW w:w="407" w:type="pct"/>
            <w:vAlign w:val="center"/>
          </w:tcPr>
          <w:p w14:paraId="34382BBC">
            <w:pPr>
              <w:pStyle w:val="8"/>
              <w:suppressLineNumbers w:val="0"/>
              <w:bidi w:val="0"/>
              <w:spacing w:before="0" w:beforeAutospacing="0" w:after="0" w:afterAutospacing="0"/>
              <w:ind w:left="0" w:right="0"/>
              <w:rPr>
                <w:rFonts w:hint="default"/>
                <w:color w:val="000000" w:themeColor="text1"/>
                <w:highlight w:val="none"/>
                <w:lang w:val="en-US" w:eastAsia="zh-CN"/>
              </w:rPr>
            </w:pPr>
            <w:r>
              <w:rPr>
                <w:rFonts w:hint="eastAsia"/>
                <w:color w:val="000000" w:themeColor="text1"/>
                <w:highlight w:val="none"/>
                <w:lang w:val="en-US" w:eastAsia="zh-CN"/>
              </w:rPr>
              <w:t>179</w:t>
            </w:r>
          </w:p>
        </w:tc>
        <w:tc>
          <w:tcPr>
            <w:tcW w:w="322" w:type="pct"/>
            <w:vAlign w:val="center"/>
          </w:tcPr>
          <w:p w14:paraId="6F6AC3B7">
            <w:pPr>
              <w:keepNext w:val="0"/>
              <w:keepLines w:val="0"/>
              <w:pageBreakBefore w:val="0"/>
              <w:widowControl/>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eastAsia"/>
                <w:color w:val="000000" w:themeColor="text1"/>
                <w:highlight w:val="none"/>
                <w:lang w:val="en-US" w:eastAsia="zh-CN"/>
              </w:rPr>
            </w:pPr>
            <w:r>
              <w:rPr>
                <w:rFonts w:hint="eastAsia" w:ascii="Times New Roman" w:hAnsi="Times New Roman"/>
                <w:color w:val="000000" w:themeColor="text1"/>
                <w:kern w:val="21"/>
                <w:sz w:val="21"/>
                <w:szCs w:val="21"/>
                <w:highlight w:val="none"/>
              </w:rPr>
              <w:t>30</w:t>
            </w:r>
          </w:p>
        </w:tc>
        <w:tc>
          <w:tcPr>
            <w:tcW w:w="366" w:type="pct"/>
            <w:vAlign w:val="center"/>
          </w:tcPr>
          <w:p w14:paraId="3EB45094">
            <w:pPr>
              <w:keepNext w:val="0"/>
              <w:keepLines w:val="0"/>
              <w:pageBreakBefore w:val="0"/>
              <w:widowControl/>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eastAsia"/>
                <w:color w:val="000000" w:themeColor="text1"/>
                <w:highlight w:val="none"/>
                <w:lang w:val="en-US" w:eastAsia="zh-CN"/>
              </w:rPr>
            </w:pPr>
            <w:r>
              <w:rPr>
                <w:rFonts w:hint="eastAsia" w:ascii="Times New Roman" w:hAnsi="Times New Roman"/>
                <w:color w:val="000000" w:themeColor="text1"/>
                <w:kern w:val="21"/>
                <w:sz w:val="21"/>
                <w:szCs w:val="21"/>
                <w:highlight w:val="none"/>
              </w:rPr>
              <w:t>13</w:t>
            </w:r>
          </w:p>
        </w:tc>
        <w:tc>
          <w:tcPr>
            <w:tcW w:w="345" w:type="pct"/>
            <w:vAlign w:val="center"/>
          </w:tcPr>
          <w:p w14:paraId="700FCCD7">
            <w:pPr>
              <w:pStyle w:val="8"/>
              <w:suppressLineNumbers w:val="0"/>
              <w:bidi w:val="0"/>
              <w:spacing w:before="0" w:beforeAutospacing="0" w:after="0" w:afterAutospacing="0"/>
              <w:ind w:left="0" w:right="0"/>
              <w:rPr>
                <w:rFonts w:hint="default" w:eastAsia="宋体"/>
                <w:highlight w:val="none"/>
                <w:lang w:val="en-US" w:eastAsia="zh-CN"/>
              </w:rPr>
            </w:pPr>
            <w:r>
              <w:rPr>
                <w:rFonts w:hint="eastAsia"/>
                <w:szCs w:val="21"/>
                <w:highlight w:val="none"/>
                <w:lang w:val="en-US" w:eastAsia="zh-CN"/>
              </w:rPr>
              <w:t>212</w:t>
            </w:r>
          </w:p>
        </w:tc>
        <w:tc>
          <w:tcPr>
            <w:tcW w:w="359" w:type="pct"/>
            <w:shd w:val="clear" w:color="auto" w:fill="auto"/>
            <w:vAlign w:val="center"/>
          </w:tcPr>
          <w:p w14:paraId="637FCFC4">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1.5</w:t>
            </w:r>
          </w:p>
        </w:tc>
        <w:tc>
          <w:tcPr>
            <w:tcW w:w="345" w:type="pct"/>
            <w:shd w:val="clear" w:color="auto" w:fill="auto"/>
            <w:vAlign w:val="center"/>
          </w:tcPr>
          <w:p w14:paraId="63EC4813">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2000</w:t>
            </w:r>
          </w:p>
        </w:tc>
        <w:tc>
          <w:tcPr>
            <w:tcW w:w="384" w:type="pct"/>
            <w:vMerge w:val="continue"/>
            <w:shd w:val="clear" w:color="auto" w:fill="auto"/>
            <w:vAlign w:val="center"/>
          </w:tcPr>
          <w:p w14:paraId="47F51343">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p>
        </w:tc>
        <w:tc>
          <w:tcPr>
            <w:tcW w:w="480" w:type="pct"/>
            <w:shd w:val="clear" w:color="auto" w:fill="auto"/>
            <w:vAlign w:val="center"/>
          </w:tcPr>
          <w:p w14:paraId="4FE5338B">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0.16</w:t>
            </w:r>
          </w:p>
        </w:tc>
        <w:tc>
          <w:tcPr>
            <w:tcW w:w="480" w:type="pct"/>
            <w:shd w:val="clear" w:color="auto" w:fill="auto"/>
            <w:vAlign w:val="center"/>
          </w:tcPr>
          <w:p w14:paraId="00AEAFAE">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w:t>
            </w:r>
          </w:p>
        </w:tc>
      </w:tr>
      <w:tr w14:paraId="0D3D96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 w:hRule="atLeast"/>
          <w:jc w:val="center"/>
        </w:trPr>
        <w:tc>
          <w:tcPr>
            <w:tcW w:w="192" w:type="pct"/>
            <w:vAlign w:val="center"/>
          </w:tcPr>
          <w:p w14:paraId="38A4BDBC">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3</w:t>
            </w:r>
          </w:p>
        </w:tc>
        <w:tc>
          <w:tcPr>
            <w:tcW w:w="394" w:type="pct"/>
            <w:vAlign w:val="center"/>
          </w:tcPr>
          <w:p w14:paraId="632B8FFD">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甩干生产区域</w:t>
            </w:r>
          </w:p>
        </w:tc>
        <w:tc>
          <w:tcPr>
            <w:tcW w:w="428" w:type="pct"/>
            <w:vAlign w:val="center"/>
          </w:tcPr>
          <w:p w14:paraId="73C4FF00">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olor w:val="000000" w:themeColor="text1"/>
                <w:highlight w:val="none"/>
                <w:lang w:val="en-US" w:eastAsia="zh-CN"/>
              </w:rPr>
            </w:pPr>
            <w:r>
              <w:rPr>
                <w:rFonts w:hint="eastAsia" w:eastAsiaTheme="minorEastAsia"/>
                <w:color w:val="000000" w:themeColor="text1"/>
                <w:sz w:val="21"/>
                <w:szCs w:val="21"/>
                <w:highlight w:val="none"/>
              </w:rPr>
              <w:t>126.661328</w:t>
            </w:r>
          </w:p>
        </w:tc>
        <w:tc>
          <w:tcPr>
            <w:tcW w:w="490" w:type="pct"/>
            <w:vAlign w:val="center"/>
          </w:tcPr>
          <w:p w14:paraId="3343A7FB">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olor w:val="000000" w:themeColor="text1"/>
                <w:highlight w:val="none"/>
                <w:lang w:val="en-US" w:eastAsia="zh-CN"/>
              </w:rPr>
            </w:pPr>
            <w:r>
              <w:rPr>
                <w:rFonts w:hint="eastAsia" w:eastAsiaTheme="minorEastAsia"/>
                <w:color w:val="000000" w:themeColor="text1"/>
                <w:sz w:val="21"/>
                <w:szCs w:val="21"/>
                <w:highlight w:val="none"/>
              </w:rPr>
              <w:t>45.604607</w:t>
            </w:r>
          </w:p>
        </w:tc>
        <w:tc>
          <w:tcPr>
            <w:tcW w:w="407" w:type="pct"/>
            <w:vAlign w:val="center"/>
          </w:tcPr>
          <w:p w14:paraId="570FA804">
            <w:pPr>
              <w:pStyle w:val="8"/>
              <w:suppressLineNumbers w:val="0"/>
              <w:bidi w:val="0"/>
              <w:spacing w:before="0" w:beforeAutospacing="0" w:after="0" w:afterAutospacing="0"/>
              <w:ind w:left="0" w:right="0"/>
              <w:rPr>
                <w:rFonts w:hint="default"/>
                <w:color w:val="000000" w:themeColor="text1"/>
                <w:highlight w:val="none"/>
                <w:lang w:val="en-US" w:eastAsia="zh-CN"/>
              </w:rPr>
            </w:pPr>
            <w:r>
              <w:rPr>
                <w:rFonts w:hint="eastAsia"/>
                <w:color w:val="000000" w:themeColor="text1"/>
                <w:highlight w:val="none"/>
                <w:lang w:val="en-US" w:eastAsia="zh-CN"/>
              </w:rPr>
              <w:t>183</w:t>
            </w:r>
          </w:p>
        </w:tc>
        <w:tc>
          <w:tcPr>
            <w:tcW w:w="322" w:type="pct"/>
            <w:vAlign w:val="center"/>
          </w:tcPr>
          <w:p w14:paraId="6EE6DDCE">
            <w:pPr>
              <w:pStyle w:val="8"/>
              <w:suppressLineNumbers w:val="0"/>
              <w:bidi w:val="0"/>
              <w:spacing w:before="0" w:beforeAutospacing="0" w:after="0" w:afterAutospacing="0"/>
              <w:ind w:left="0" w:right="0"/>
              <w:rPr>
                <w:rFonts w:hint="default"/>
                <w:color w:val="000000" w:themeColor="text1"/>
                <w:highlight w:val="none"/>
                <w:lang w:val="en-US" w:eastAsia="zh-CN"/>
              </w:rPr>
            </w:pPr>
            <w:r>
              <w:rPr>
                <w:rFonts w:hint="eastAsia"/>
                <w:color w:val="000000" w:themeColor="text1"/>
                <w:highlight w:val="none"/>
                <w:lang w:val="en-US" w:eastAsia="zh-CN"/>
              </w:rPr>
              <w:t>60</w:t>
            </w:r>
          </w:p>
        </w:tc>
        <w:tc>
          <w:tcPr>
            <w:tcW w:w="366" w:type="pct"/>
            <w:vAlign w:val="center"/>
          </w:tcPr>
          <w:p w14:paraId="3B887472">
            <w:pPr>
              <w:pStyle w:val="8"/>
              <w:suppressLineNumbers w:val="0"/>
              <w:bidi w:val="0"/>
              <w:spacing w:before="0" w:beforeAutospacing="0" w:after="0" w:afterAutospacing="0"/>
              <w:ind w:left="0" w:right="0"/>
              <w:rPr>
                <w:rFonts w:hint="default"/>
                <w:color w:val="000000" w:themeColor="text1"/>
                <w:highlight w:val="none"/>
                <w:lang w:val="en-US" w:eastAsia="zh-CN"/>
              </w:rPr>
            </w:pPr>
            <w:r>
              <w:rPr>
                <w:rFonts w:hint="eastAsia"/>
                <w:color w:val="000000" w:themeColor="text1"/>
                <w:highlight w:val="none"/>
                <w:lang w:val="en-US" w:eastAsia="zh-CN"/>
              </w:rPr>
              <w:t>10</w:t>
            </w:r>
          </w:p>
        </w:tc>
        <w:tc>
          <w:tcPr>
            <w:tcW w:w="345" w:type="pct"/>
            <w:vAlign w:val="center"/>
          </w:tcPr>
          <w:p w14:paraId="2463E952">
            <w:pPr>
              <w:pStyle w:val="8"/>
              <w:suppressLineNumbers w:val="0"/>
              <w:bidi w:val="0"/>
              <w:spacing w:before="0" w:beforeAutospacing="0" w:after="0" w:afterAutospacing="0"/>
              <w:ind w:left="0" w:right="0"/>
              <w:rPr>
                <w:rFonts w:hint="default" w:eastAsia="宋体"/>
                <w:highlight w:val="none"/>
                <w:lang w:val="en-US" w:eastAsia="zh-CN"/>
              </w:rPr>
            </w:pPr>
            <w:r>
              <w:rPr>
                <w:rFonts w:hint="eastAsia"/>
                <w:szCs w:val="21"/>
                <w:highlight w:val="none"/>
                <w:lang w:val="en-US" w:eastAsia="zh-CN"/>
              </w:rPr>
              <w:t>242</w:t>
            </w:r>
          </w:p>
        </w:tc>
        <w:tc>
          <w:tcPr>
            <w:tcW w:w="359" w:type="pct"/>
            <w:shd w:val="clear" w:color="auto" w:fill="auto"/>
            <w:vAlign w:val="center"/>
          </w:tcPr>
          <w:p w14:paraId="7E2DB97E">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1.5</w:t>
            </w:r>
          </w:p>
        </w:tc>
        <w:tc>
          <w:tcPr>
            <w:tcW w:w="345" w:type="pct"/>
            <w:shd w:val="clear" w:color="auto" w:fill="auto"/>
            <w:vAlign w:val="center"/>
          </w:tcPr>
          <w:p w14:paraId="106E7B29">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2000</w:t>
            </w:r>
          </w:p>
        </w:tc>
        <w:tc>
          <w:tcPr>
            <w:tcW w:w="384" w:type="pct"/>
            <w:vMerge w:val="continue"/>
            <w:shd w:val="clear" w:color="auto" w:fill="auto"/>
            <w:vAlign w:val="center"/>
          </w:tcPr>
          <w:p w14:paraId="0742BECE">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p>
        </w:tc>
        <w:tc>
          <w:tcPr>
            <w:tcW w:w="480" w:type="pct"/>
            <w:shd w:val="clear" w:color="auto" w:fill="auto"/>
            <w:vAlign w:val="center"/>
          </w:tcPr>
          <w:p w14:paraId="4C7BF9EC">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0.42</w:t>
            </w:r>
          </w:p>
        </w:tc>
        <w:tc>
          <w:tcPr>
            <w:tcW w:w="480" w:type="pct"/>
            <w:shd w:val="clear" w:color="auto" w:fill="auto"/>
            <w:vAlign w:val="center"/>
          </w:tcPr>
          <w:p w14:paraId="2D476E9E">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0.01</w:t>
            </w:r>
          </w:p>
        </w:tc>
      </w:tr>
    </w:tbl>
    <w:p w14:paraId="5D939D93">
      <w:pPr>
        <w:pageBreakBefore w:val="0"/>
        <w:kinsoku/>
        <w:overflowPunct/>
        <w:topLinePunct w:val="0"/>
        <w:bidi w:val="0"/>
        <w:spacing w:line="360" w:lineRule="auto"/>
        <w:ind w:firstLine="482" w:firstLineChars="200"/>
        <w:outlineLvl w:val="9"/>
        <w:rPr>
          <w:rFonts w:eastAsiaTheme="minorEastAsia"/>
          <w:b/>
          <w:sz w:val="24"/>
          <w:highlight w:val="none"/>
        </w:rPr>
        <w:sectPr>
          <w:pgSz w:w="16838" w:h="11906" w:orient="landscape"/>
          <w:pgMar w:top="1800" w:right="1440" w:bottom="1800" w:left="1440" w:header="851" w:footer="992" w:gutter="0"/>
          <w:pgBorders w:offsetFrom="page">
            <w:top w:val="none" w:sz="0" w:space="0"/>
            <w:left w:val="none" w:sz="0" w:space="0"/>
            <w:bottom w:val="none" w:sz="0" w:space="0"/>
            <w:right w:val="none" w:sz="0" w:space="0"/>
          </w:pgBorders>
          <w:cols w:space="425" w:num="1"/>
          <w:docGrid w:type="lines" w:linePitch="312" w:charSpace="0"/>
        </w:sectPr>
      </w:pPr>
    </w:p>
    <w:p w14:paraId="7E13DF03">
      <w:pPr>
        <w:keepNext w:val="0"/>
        <w:keepLines w:val="0"/>
        <w:pageBreakBefore w:val="0"/>
        <w:widowControl w:val="0"/>
        <w:kinsoku/>
        <w:wordWrap w:val="0"/>
        <w:overflowPunct/>
        <w:topLinePunct w:val="0"/>
        <w:autoSpaceDE/>
        <w:autoSpaceDN/>
        <w:bidi w:val="0"/>
        <w:adjustRightInd w:val="0"/>
        <w:snapToGrid w:val="0"/>
        <w:spacing w:line="360" w:lineRule="auto"/>
        <w:ind w:firstLine="482" w:firstLineChars="200"/>
        <w:textAlignment w:val="auto"/>
        <w:outlineLvl w:val="9"/>
        <w:rPr>
          <w:rFonts w:eastAsiaTheme="minorEastAsia"/>
          <w:b/>
          <w:sz w:val="24"/>
          <w:highlight w:val="none"/>
        </w:rPr>
      </w:pPr>
      <w:bookmarkStart w:id="167" w:name="_Toc30766"/>
      <w:r>
        <w:rPr>
          <w:rFonts w:hint="eastAsia" w:eastAsiaTheme="minorEastAsia"/>
          <w:b/>
          <w:sz w:val="24"/>
          <w:highlight w:val="none"/>
          <w:lang w:val="en-US" w:eastAsia="zh-CN"/>
        </w:rPr>
        <w:t>（5）</w:t>
      </w:r>
      <w:r>
        <w:rPr>
          <w:rFonts w:hAnsiTheme="minorEastAsia" w:eastAsiaTheme="minorEastAsia"/>
          <w:b/>
          <w:sz w:val="24"/>
          <w:highlight w:val="none"/>
        </w:rPr>
        <w:t>评级工作等级确定</w:t>
      </w:r>
      <w:bookmarkEnd w:id="167"/>
    </w:p>
    <w:p w14:paraId="647E2F23">
      <w:pPr>
        <w:pageBreakBefore w:val="0"/>
        <w:kinsoku/>
        <w:overflowPunct/>
        <w:topLinePunct w:val="0"/>
        <w:bidi w:val="0"/>
        <w:outlineLvl w:val="9"/>
        <w:rPr>
          <w:highlight w:val="none"/>
        </w:rPr>
      </w:pPr>
      <w:r>
        <w:rPr>
          <w:highlight w:val="none"/>
        </w:rPr>
        <w:t>本项目所有污染源的正常排放的污染物的Pmax和D10%预测结果如下：</w:t>
      </w:r>
    </w:p>
    <w:p w14:paraId="371619F8">
      <w:pPr>
        <w:pStyle w:val="7"/>
        <w:bidi w:val="0"/>
        <w:rPr>
          <w:highlight w:val="none"/>
        </w:rPr>
      </w:pPr>
      <w:r>
        <w:rPr>
          <w:highlight w:val="none"/>
        </w:rPr>
        <w:t>表2-4-</w:t>
      </w:r>
      <w:r>
        <w:rPr>
          <w:rFonts w:hint="eastAsia"/>
          <w:highlight w:val="none"/>
          <w:lang w:val="en-US" w:eastAsia="zh-CN"/>
        </w:rPr>
        <w:t>6</w:t>
      </w:r>
      <w:r>
        <w:rPr>
          <w:highlight w:val="none"/>
        </w:rPr>
        <w:t>Pmax和D10%预测和计算结果一览表</w:t>
      </w:r>
    </w:p>
    <w:tbl>
      <w:tblPr>
        <w:tblStyle w:val="45"/>
        <w:tblW w:w="8042"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2583"/>
        <w:gridCol w:w="847"/>
        <w:gridCol w:w="1142"/>
        <w:gridCol w:w="1360"/>
        <w:gridCol w:w="1054"/>
        <w:gridCol w:w="1056"/>
      </w:tblGrid>
      <w:tr w14:paraId="5A2AB17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9" w:hRule="atLeast"/>
          <w:jc w:val="center"/>
        </w:trPr>
        <w:tc>
          <w:tcPr>
            <w:tcW w:w="2583" w:type="dxa"/>
            <w:vAlign w:val="center"/>
          </w:tcPr>
          <w:p w14:paraId="4FDB177E">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hAnsiTheme="minorEastAsia" w:eastAsiaTheme="minorEastAsia"/>
                <w:sz w:val="21"/>
                <w:szCs w:val="21"/>
                <w:highlight w:val="none"/>
              </w:rPr>
              <w:t>污染源名称</w:t>
            </w:r>
          </w:p>
        </w:tc>
        <w:tc>
          <w:tcPr>
            <w:tcW w:w="847" w:type="dxa"/>
            <w:vAlign w:val="center"/>
          </w:tcPr>
          <w:p w14:paraId="51CBCAC7">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hAnsiTheme="minorEastAsia" w:eastAsiaTheme="minorEastAsia"/>
                <w:sz w:val="21"/>
                <w:szCs w:val="21"/>
                <w:highlight w:val="none"/>
              </w:rPr>
              <w:t>评价</w:t>
            </w:r>
          </w:p>
          <w:p w14:paraId="1CDFDE67">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hAnsiTheme="minorEastAsia" w:eastAsiaTheme="minorEastAsia"/>
                <w:sz w:val="21"/>
                <w:szCs w:val="21"/>
                <w:highlight w:val="none"/>
              </w:rPr>
              <w:t>因子</w:t>
            </w:r>
          </w:p>
        </w:tc>
        <w:tc>
          <w:tcPr>
            <w:tcW w:w="1142" w:type="dxa"/>
            <w:vAlign w:val="center"/>
          </w:tcPr>
          <w:p w14:paraId="48861C81">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hAnsiTheme="minorEastAsia" w:eastAsiaTheme="minorEastAsia"/>
                <w:sz w:val="21"/>
                <w:szCs w:val="21"/>
                <w:highlight w:val="none"/>
              </w:rPr>
              <w:t>评价标准</w:t>
            </w:r>
            <w:r>
              <w:rPr>
                <w:rFonts w:hint="default" w:eastAsiaTheme="minorEastAsia"/>
                <w:sz w:val="21"/>
                <w:szCs w:val="21"/>
                <w:highlight w:val="none"/>
              </w:rPr>
              <w:t>(μg/m³)</w:t>
            </w:r>
          </w:p>
        </w:tc>
        <w:tc>
          <w:tcPr>
            <w:tcW w:w="1360" w:type="dxa"/>
            <w:vAlign w:val="center"/>
          </w:tcPr>
          <w:p w14:paraId="7487C08E">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Cmax(μg/m³)</w:t>
            </w:r>
          </w:p>
        </w:tc>
        <w:tc>
          <w:tcPr>
            <w:tcW w:w="1054" w:type="dxa"/>
            <w:vAlign w:val="center"/>
          </w:tcPr>
          <w:p w14:paraId="64ABCCB9">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Pmax(%)</w:t>
            </w:r>
          </w:p>
        </w:tc>
        <w:tc>
          <w:tcPr>
            <w:tcW w:w="1056" w:type="dxa"/>
            <w:vAlign w:val="center"/>
          </w:tcPr>
          <w:p w14:paraId="2024F2A0">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D10%(m)</w:t>
            </w:r>
          </w:p>
        </w:tc>
      </w:tr>
      <w:tr w14:paraId="0BD6014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35" w:hRule="atLeast"/>
          <w:jc w:val="center"/>
        </w:trPr>
        <w:tc>
          <w:tcPr>
            <w:tcW w:w="2583" w:type="dxa"/>
            <w:vAlign w:val="center"/>
          </w:tcPr>
          <w:p w14:paraId="1E1966F6">
            <w:pPr>
              <w:pStyle w:val="8"/>
              <w:suppressLineNumbers w:val="0"/>
              <w:bidi w:val="0"/>
              <w:spacing w:before="0" w:beforeAutospacing="0" w:after="0" w:afterAutospacing="0"/>
              <w:ind w:left="0" w:leftChars="0" w:right="0" w:rightChars="0" w:firstLine="0" w:firstLineChars="0"/>
              <w:rPr>
                <w:rFonts w:hint="default" w:eastAsiaTheme="minorEastAsia"/>
                <w:sz w:val="21"/>
                <w:szCs w:val="21"/>
                <w:highlight w:val="none"/>
              </w:rPr>
            </w:pPr>
            <w:r>
              <w:rPr>
                <w:rFonts w:hint="eastAsia"/>
                <w:highlight w:val="none"/>
                <w:lang w:val="en-US" w:eastAsia="zh-CN"/>
              </w:rPr>
              <w:t>2号厂房</w:t>
            </w:r>
          </w:p>
        </w:tc>
        <w:tc>
          <w:tcPr>
            <w:tcW w:w="847" w:type="dxa"/>
            <w:vAlign w:val="center"/>
          </w:tcPr>
          <w:p w14:paraId="1EEF0009">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NMHC</w:t>
            </w:r>
          </w:p>
        </w:tc>
        <w:tc>
          <w:tcPr>
            <w:tcW w:w="1142" w:type="dxa"/>
            <w:vAlign w:val="center"/>
          </w:tcPr>
          <w:p w14:paraId="3D663A4F">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2000.0</w:t>
            </w:r>
          </w:p>
        </w:tc>
        <w:tc>
          <w:tcPr>
            <w:tcW w:w="1360" w:type="dxa"/>
            <w:vAlign w:val="center"/>
          </w:tcPr>
          <w:p w14:paraId="349BEB66">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21.5780</w:t>
            </w:r>
          </w:p>
        </w:tc>
        <w:tc>
          <w:tcPr>
            <w:tcW w:w="1054" w:type="dxa"/>
            <w:vAlign w:val="center"/>
          </w:tcPr>
          <w:p w14:paraId="566AA280">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1.0789</w:t>
            </w:r>
          </w:p>
        </w:tc>
        <w:tc>
          <w:tcPr>
            <w:tcW w:w="1056" w:type="dxa"/>
            <w:vAlign w:val="center"/>
          </w:tcPr>
          <w:p w14:paraId="5C013EF2">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w:t>
            </w:r>
          </w:p>
        </w:tc>
      </w:tr>
      <w:tr w14:paraId="104F571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35" w:hRule="atLeast"/>
          <w:jc w:val="center"/>
        </w:trPr>
        <w:tc>
          <w:tcPr>
            <w:tcW w:w="2583" w:type="dxa"/>
            <w:vAlign w:val="center"/>
          </w:tcPr>
          <w:p w14:paraId="7892CC6A">
            <w:pPr>
              <w:pStyle w:val="8"/>
              <w:suppressLineNumbers w:val="0"/>
              <w:bidi w:val="0"/>
              <w:spacing w:before="0" w:beforeAutospacing="0" w:after="0" w:afterAutospacing="0"/>
              <w:ind w:left="0" w:leftChars="0" w:right="0" w:rightChars="0" w:firstLine="0" w:firstLineChars="0"/>
              <w:rPr>
                <w:rFonts w:hint="eastAsia" w:eastAsiaTheme="minorEastAsia"/>
                <w:sz w:val="21"/>
                <w:szCs w:val="21"/>
                <w:highlight w:val="none"/>
                <w:lang w:val="en-US" w:eastAsia="zh-CN"/>
              </w:rPr>
            </w:pPr>
            <w:r>
              <w:rPr>
                <w:rFonts w:hint="eastAsia"/>
                <w:highlight w:val="none"/>
                <w:lang w:val="en-US" w:eastAsia="zh-CN"/>
              </w:rPr>
              <w:t>4号厂房</w:t>
            </w:r>
          </w:p>
        </w:tc>
        <w:tc>
          <w:tcPr>
            <w:tcW w:w="847" w:type="dxa"/>
            <w:vAlign w:val="center"/>
          </w:tcPr>
          <w:p w14:paraId="44FAB754">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NMHC</w:t>
            </w:r>
          </w:p>
        </w:tc>
        <w:tc>
          <w:tcPr>
            <w:tcW w:w="1142" w:type="dxa"/>
            <w:vAlign w:val="center"/>
          </w:tcPr>
          <w:p w14:paraId="5425E4DE">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2000.0</w:t>
            </w:r>
          </w:p>
        </w:tc>
        <w:tc>
          <w:tcPr>
            <w:tcW w:w="1360" w:type="dxa"/>
            <w:vAlign w:val="center"/>
          </w:tcPr>
          <w:p w14:paraId="601E0EAF">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21.5780</w:t>
            </w:r>
          </w:p>
        </w:tc>
        <w:tc>
          <w:tcPr>
            <w:tcW w:w="1054" w:type="dxa"/>
            <w:vAlign w:val="center"/>
          </w:tcPr>
          <w:p w14:paraId="3126F118">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1.0789</w:t>
            </w:r>
          </w:p>
        </w:tc>
        <w:tc>
          <w:tcPr>
            <w:tcW w:w="1056" w:type="dxa"/>
            <w:vAlign w:val="center"/>
          </w:tcPr>
          <w:p w14:paraId="4DB91DD2">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p>
        </w:tc>
      </w:tr>
      <w:tr w14:paraId="7013311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35" w:hRule="atLeast"/>
          <w:jc w:val="center"/>
        </w:trPr>
        <w:tc>
          <w:tcPr>
            <w:tcW w:w="2583" w:type="dxa"/>
            <w:vAlign w:val="center"/>
          </w:tcPr>
          <w:p w14:paraId="4714B44C">
            <w:pPr>
              <w:pStyle w:val="8"/>
              <w:suppressLineNumbers w:val="0"/>
              <w:bidi w:val="0"/>
              <w:spacing w:before="0" w:beforeAutospacing="0" w:after="0" w:afterAutospacing="0"/>
              <w:ind w:left="0" w:leftChars="0" w:right="0" w:rightChars="0" w:firstLine="0" w:firstLineChars="0"/>
              <w:rPr>
                <w:rFonts w:hint="eastAsia" w:eastAsiaTheme="minorEastAsia"/>
                <w:sz w:val="21"/>
                <w:szCs w:val="21"/>
                <w:highlight w:val="none"/>
                <w:lang w:val="en-US" w:eastAsia="zh-CN"/>
              </w:rPr>
            </w:pPr>
            <w:r>
              <w:rPr>
                <w:rFonts w:hint="eastAsia"/>
                <w:highlight w:val="none"/>
                <w:lang w:val="en-US" w:eastAsia="zh-CN"/>
              </w:rPr>
              <w:t>甩干生产区域</w:t>
            </w:r>
          </w:p>
        </w:tc>
        <w:tc>
          <w:tcPr>
            <w:tcW w:w="847" w:type="dxa"/>
            <w:vAlign w:val="center"/>
          </w:tcPr>
          <w:p w14:paraId="1DE60B3B">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NMHC</w:t>
            </w:r>
          </w:p>
        </w:tc>
        <w:tc>
          <w:tcPr>
            <w:tcW w:w="1142" w:type="dxa"/>
            <w:vAlign w:val="center"/>
          </w:tcPr>
          <w:p w14:paraId="0643881A">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2000.0</w:t>
            </w:r>
          </w:p>
        </w:tc>
        <w:tc>
          <w:tcPr>
            <w:tcW w:w="1360" w:type="dxa"/>
            <w:vAlign w:val="center"/>
          </w:tcPr>
          <w:p w14:paraId="49DF68C8">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21.5780</w:t>
            </w:r>
          </w:p>
        </w:tc>
        <w:tc>
          <w:tcPr>
            <w:tcW w:w="1054" w:type="dxa"/>
            <w:vAlign w:val="center"/>
          </w:tcPr>
          <w:p w14:paraId="1549CFDD">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1.0789</w:t>
            </w:r>
          </w:p>
        </w:tc>
        <w:tc>
          <w:tcPr>
            <w:tcW w:w="1056" w:type="dxa"/>
            <w:vAlign w:val="center"/>
          </w:tcPr>
          <w:p w14:paraId="386A890C">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p>
        </w:tc>
      </w:tr>
      <w:tr w14:paraId="7E95246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35" w:hRule="atLeast"/>
          <w:jc w:val="center"/>
        </w:trPr>
        <w:tc>
          <w:tcPr>
            <w:tcW w:w="2583" w:type="dxa"/>
            <w:vAlign w:val="center"/>
          </w:tcPr>
          <w:p w14:paraId="1550CFA0">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bCs/>
                <w:sz w:val="21"/>
                <w:szCs w:val="21"/>
                <w:highlight w:val="none"/>
              </w:rPr>
              <w:t>机加生产线</w:t>
            </w:r>
            <w:r>
              <w:rPr>
                <w:rFonts w:hint="default" w:eastAsiaTheme="minorEastAsia"/>
                <w:bCs/>
                <w:sz w:val="21"/>
                <w:szCs w:val="21"/>
                <w:highlight w:val="none"/>
              </w:rPr>
              <w:t>DA0</w:t>
            </w:r>
            <w:r>
              <w:rPr>
                <w:rFonts w:hint="eastAsia" w:eastAsiaTheme="minorEastAsia"/>
                <w:bCs/>
                <w:sz w:val="21"/>
                <w:szCs w:val="21"/>
                <w:highlight w:val="none"/>
                <w:lang w:val="en-US" w:eastAsia="zh-CN"/>
              </w:rPr>
              <w:t>65</w:t>
            </w:r>
            <w:r>
              <w:rPr>
                <w:rFonts w:hint="default" w:hAnsiTheme="minorEastAsia" w:eastAsiaTheme="minorEastAsia"/>
                <w:bCs/>
                <w:sz w:val="21"/>
                <w:szCs w:val="21"/>
                <w:highlight w:val="none"/>
              </w:rPr>
              <w:t>排气筒</w:t>
            </w:r>
          </w:p>
        </w:tc>
        <w:tc>
          <w:tcPr>
            <w:tcW w:w="847" w:type="dxa"/>
            <w:vAlign w:val="center"/>
          </w:tcPr>
          <w:p w14:paraId="1EF3CDF0">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NMHC</w:t>
            </w:r>
          </w:p>
        </w:tc>
        <w:tc>
          <w:tcPr>
            <w:tcW w:w="1142" w:type="dxa"/>
            <w:vAlign w:val="center"/>
          </w:tcPr>
          <w:p w14:paraId="46F1880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2000.0</w:t>
            </w:r>
          </w:p>
        </w:tc>
        <w:tc>
          <w:tcPr>
            <w:tcW w:w="1360" w:type="dxa"/>
            <w:vAlign w:val="center"/>
          </w:tcPr>
          <w:p w14:paraId="59D0268A">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12.0780</w:t>
            </w:r>
          </w:p>
        </w:tc>
        <w:tc>
          <w:tcPr>
            <w:tcW w:w="1054" w:type="dxa"/>
            <w:vAlign w:val="center"/>
          </w:tcPr>
          <w:p w14:paraId="56F3E7F0">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6.0390</w:t>
            </w:r>
          </w:p>
        </w:tc>
        <w:tc>
          <w:tcPr>
            <w:tcW w:w="1056" w:type="dxa"/>
            <w:vAlign w:val="center"/>
          </w:tcPr>
          <w:p w14:paraId="583ED4BD">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eastAsia" w:eastAsiaTheme="minorEastAsia"/>
                <w:sz w:val="21"/>
                <w:szCs w:val="21"/>
                <w:highlight w:val="none"/>
              </w:rPr>
              <w:t>/</w:t>
            </w:r>
          </w:p>
        </w:tc>
      </w:tr>
      <w:tr w14:paraId="089A25B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35" w:hRule="atLeast"/>
          <w:jc w:val="center"/>
        </w:trPr>
        <w:tc>
          <w:tcPr>
            <w:tcW w:w="2583" w:type="dxa"/>
            <w:vAlign w:val="center"/>
          </w:tcPr>
          <w:p w14:paraId="615E422D">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sz w:val="21"/>
                <w:szCs w:val="21"/>
                <w:highlight w:val="none"/>
              </w:rPr>
            </w:pPr>
            <w:r>
              <w:rPr>
                <w:rFonts w:hint="default" w:hAnsiTheme="minorEastAsia" w:eastAsiaTheme="minorEastAsia"/>
                <w:bCs/>
                <w:sz w:val="21"/>
                <w:szCs w:val="21"/>
                <w:highlight w:val="none"/>
              </w:rPr>
              <w:t>机加生产线</w:t>
            </w:r>
            <w:r>
              <w:rPr>
                <w:rFonts w:hint="default" w:eastAsiaTheme="minorEastAsia"/>
                <w:bCs/>
                <w:sz w:val="21"/>
                <w:szCs w:val="21"/>
                <w:highlight w:val="none"/>
              </w:rPr>
              <w:t>DA0</w:t>
            </w:r>
            <w:r>
              <w:rPr>
                <w:rFonts w:hint="eastAsia" w:eastAsiaTheme="minorEastAsia"/>
                <w:bCs/>
                <w:sz w:val="21"/>
                <w:szCs w:val="21"/>
                <w:highlight w:val="none"/>
                <w:lang w:val="en-US" w:eastAsia="zh-CN"/>
              </w:rPr>
              <w:t>66</w:t>
            </w:r>
            <w:r>
              <w:rPr>
                <w:rFonts w:hint="default" w:hAnsiTheme="minorEastAsia" w:eastAsiaTheme="minorEastAsia"/>
                <w:bCs/>
                <w:sz w:val="21"/>
                <w:szCs w:val="21"/>
                <w:highlight w:val="none"/>
              </w:rPr>
              <w:t>排气筒</w:t>
            </w:r>
          </w:p>
        </w:tc>
        <w:tc>
          <w:tcPr>
            <w:tcW w:w="847" w:type="dxa"/>
            <w:vAlign w:val="center"/>
          </w:tcPr>
          <w:p w14:paraId="6F7F728A">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NMHC</w:t>
            </w:r>
          </w:p>
        </w:tc>
        <w:tc>
          <w:tcPr>
            <w:tcW w:w="1142" w:type="dxa"/>
            <w:vAlign w:val="center"/>
          </w:tcPr>
          <w:p w14:paraId="3820BFF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2000.0</w:t>
            </w:r>
          </w:p>
        </w:tc>
        <w:tc>
          <w:tcPr>
            <w:tcW w:w="1360" w:type="dxa"/>
            <w:vAlign w:val="center"/>
          </w:tcPr>
          <w:p w14:paraId="4F5D1E5E">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0.4026</w:t>
            </w:r>
          </w:p>
        </w:tc>
        <w:tc>
          <w:tcPr>
            <w:tcW w:w="1054" w:type="dxa"/>
            <w:vAlign w:val="center"/>
          </w:tcPr>
          <w:p w14:paraId="1323C335">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4.0260</w:t>
            </w:r>
          </w:p>
        </w:tc>
        <w:tc>
          <w:tcPr>
            <w:tcW w:w="1056" w:type="dxa"/>
            <w:vAlign w:val="center"/>
          </w:tcPr>
          <w:p w14:paraId="57491763">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eastAsia" w:eastAsiaTheme="minorEastAsia"/>
                <w:sz w:val="21"/>
                <w:szCs w:val="21"/>
                <w:highlight w:val="none"/>
              </w:rPr>
              <w:t>/</w:t>
            </w:r>
          </w:p>
        </w:tc>
      </w:tr>
      <w:tr w14:paraId="616EC1F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73" w:hRule="atLeast"/>
          <w:jc w:val="center"/>
        </w:trPr>
        <w:tc>
          <w:tcPr>
            <w:tcW w:w="2583" w:type="dxa"/>
            <w:vMerge w:val="restart"/>
            <w:vAlign w:val="center"/>
          </w:tcPr>
          <w:p w14:paraId="1FAD5E07">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eastAsia" w:hAnsiTheme="minorEastAsia" w:eastAsiaTheme="minorEastAsia"/>
                <w:bCs/>
                <w:sz w:val="21"/>
                <w:szCs w:val="21"/>
                <w:highlight w:val="none"/>
                <w:lang w:val="en-US" w:eastAsia="zh-CN"/>
              </w:rPr>
              <w:t>甩干生产线DA067排气筒</w:t>
            </w:r>
          </w:p>
        </w:tc>
        <w:tc>
          <w:tcPr>
            <w:tcW w:w="847" w:type="dxa"/>
            <w:vAlign w:val="center"/>
          </w:tcPr>
          <w:p w14:paraId="210C22F4">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NMHC</w:t>
            </w:r>
          </w:p>
        </w:tc>
        <w:tc>
          <w:tcPr>
            <w:tcW w:w="1142" w:type="dxa"/>
            <w:vAlign w:val="center"/>
          </w:tcPr>
          <w:p w14:paraId="42A45855">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2000.0</w:t>
            </w:r>
          </w:p>
        </w:tc>
        <w:tc>
          <w:tcPr>
            <w:tcW w:w="1360" w:type="dxa"/>
            <w:vAlign w:val="center"/>
          </w:tcPr>
          <w:p w14:paraId="7B237455">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0.1320</w:t>
            </w:r>
          </w:p>
        </w:tc>
        <w:tc>
          <w:tcPr>
            <w:tcW w:w="1054" w:type="dxa"/>
            <w:vAlign w:val="center"/>
          </w:tcPr>
          <w:p w14:paraId="6974354F">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0.0066</w:t>
            </w:r>
          </w:p>
        </w:tc>
        <w:tc>
          <w:tcPr>
            <w:tcW w:w="1056" w:type="dxa"/>
            <w:vAlign w:val="center"/>
          </w:tcPr>
          <w:p w14:paraId="52D07749">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w:t>
            </w:r>
          </w:p>
        </w:tc>
      </w:tr>
      <w:tr w14:paraId="07BA4F1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73" w:hRule="atLeast"/>
          <w:jc w:val="center"/>
        </w:trPr>
        <w:tc>
          <w:tcPr>
            <w:tcW w:w="2583" w:type="dxa"/>
            <w:vMerge w:val="continue"/>
            <w:vAlign w:val="center"/>
          </w:tcPr>
          <w:p w14:paraId="37BACE82">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hAnsiTheme="minorEastAsia" w:eastAsiaTheme="minorEastAsia"/>
                <w:bCs/>
                <w:sz w:val="21"/>
                <w:szCs w:val="21"/>
                <w:highlight w:val="none"/>
                <w:lang w:val="en-US" w:eastAsia="zh-CN"/>
              </w:rPr>
            </w:pPr>
          </w:p>
        </w:tc>
        <w:tc>
          <w:tcPr>
            <w:tcW w:w="847" w:type="dxa"/>
            <w:vAlign w:val="center"/>
          </w:tcPr>
          <w:p w14:paraId="777E6994">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PM</w:t>
            </w:r>
            <w:r>
              <w:rPr>
                <w:rFonts w:hint="default" w:eastAsiaTheme="minorEastAsia"/>
                <w:sz w:val="21"/>
                <w:szCs w:val="21"/>
                <w:highlight w:val="none"/>
                <w:vertAlign w:val="subscript"/>
              </w:rPr>
              <w:t>10</w:t>
            </w:r>
          </w:p>
        </w:tc>
        <w:tc>
          <w:tcPr>
            <w:tcW w:w="1142" w:type="dxa"/>
            <w:vAlign w:val="center"/>
          </w:tcPr>
          <w:p w14:paraId="5673D2E3">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450.0</w:t>
            </w:r>
          </w:p>
        </w:tc>
        <w:tc>
          <w:tcPr>
            <w:tcW w:w="1360" w:type="dxa"/>
            <w:vAlign w:val="center"/>
          </w:tcPr>
          <w:p w14:paraId="3057B9E8">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1.3937</w:t>
            </w:r>
          </w:p>
        </w:tc>
        <w:tc>
          <w:tcPr>
            <w:tcW w:w="1054" w:type="dxa"/>
            <w:vAlign w:val="center"/>
          </w:tcPr>
          <w:p w14:paraId="273A1A4A">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0.3097</w:t>
            </w:r>
          </w:p>
        </w:tc>
        <w:tc>
          <w:tcPr>
            <w:tcW w:w="1056" w:type="dxa"/>
            <w:vAlign w:val="center"/>
          </w:tcPr>
          <w:p w14:paraId="57A9DF2F">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eastAsiaTheme="minorEastAsia"/>
                <w:sz w:val="21"/>
                <w:szCs w:val="21"/>
                <w:highlight w:val="none"/>
                <w:lang w:val="en-US" w:eastAsia="zh-CN"/>
              </w:rPr>
            </w:pPr>
            <w:r>
              <w:rPr>
                <w:rFonts w:hint="eastAsia" w:eastAsiaTheme="minorEastAsia"/>
                <w:sz w:val="21"/>
                <w:szCs w:val="21"/>
                <w:highlight w:val="none"/>
                <w:lang w:val="en-US" w:eastAsia="zh-CN"/>
              </w:rPr>
              <w:t>/</w:t>
            </w:r>
          </w:p>
        </w:tc>
      </w:tr>
      <w:tr w14:paraId="61161CE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73" w:hRule="atLeast"/>
          <w:jc w:val="center"/>
        </w:trPr>
        <w:tc>
          <w:tcPr>
            <w:tcW w:w="2583" w:type="dxa"/>
            <w:vMerge w:val="restart"/>
            <w:vAlign w:val="center"/>
          </w:tcPr>
          <w:p w14:paraId="0F83E6CE">
            <w:pPr>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bCs/>
                <w:sz w:val="21"/>
                <w:szCs w:val="21"/>
                <w:highlight w:val="none"/>
              </w:rPr>
            </w:pPr>
            <w:r>
              <w:rPr>
                <w:rFonts w:hint="eastAsia" w:hAnsiTheme="minorEastAsia" w:eastAsiaTheme="minorEastAsia"/>
                <w:bCs/>
                <w:sz w:val="21"/>
                <w:szCs w:val="21"/>
                <w:highlight w:val="none"/>
              </w:rPr>
              <w:t>热试验DA0</w:t>
            </w:r>
            <w:r>
              <w:rPr>
                <w:rFonts w:hint="eastAsia" w:hAnsiTheme="minorEastAsia" w:eastAsiaTheme="minorEastAsia"/>
                <w:bCs/>
                <w:sz w:val="21"/>
                <w:szCs w:val="21"/>
                <w:highlight w:val="none"/>
                <w:lang w:val="en-US" w:eastAsia="zh-CN"/>
              </w:rPr>
              <w:t>64</w:t>
            </w:r>
            <w:r>
              <w:rPr>
                <w:rFonts w:hint="eastAsia" w:hAnsiTheme="minorEastAsia" w:eastAsiaTheme="minorEastAsia"/>
                <w:bCs/>
                <w:sz w:val="21"/>
                <w:szCs w:val="21"/>
                <w:highlight w:val="none"/>
              </w:rPr>
              <w:t>排气筒</w:t>
            </w:r>
          </w:p>
        </w:tc>
        <w:tc>
          <w:tcPr>
            <w:tcW w:w="847" w:type="dxa"/>
            <w:vAlign w:val="center"/>
          </w:tcPr>
          <w:p w14:paraId="164BBBB1">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NMHC</w:t>
            </w:r>
          </w:p>
        </w:tc>
        <w:tc>
          <w:tcPr>
            <w:tcW w:w="1142" w:type="dxa"/>
            <w:vAlign w:val="center"/>
          </w:tcPr>
          <w:p w14:paraId="209A5539">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2000.0</w:t>
            </w:r>
          </w:p>
        </w:tc>
        <w:tc>
          <w:tcPr>
            <w:tcW w:w="1360" w:type="dxa"/>
            <w:vAlign w:val="center"/>
          </w:tcPr>
          <w:p w14:paraId="7810156F">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4.6283</w:t>
            </w:r>
          </w:p>
        </w:tc>
        <w:tc>
          <w:tcPr>
            <w:tcW w:w="1054" w:type="dxa"/>
            <w:vAlign w:val="center"/>
          </w:tcPr>
          <w:p w14:paraId="5376E3E8">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0.2314</w:t>
            </w:r>
          </w:p>
        </w:tc>
        <w:tc>
          <w:tcPr>
            <w:tcW w:w="1056" w:type="dxa"/>
            <w:vAlign w:val="center"/>
          </w:tcPr>
          <w:p w14:paraId="6BD483A1">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w:t>
            </w:r>
          </w:p>
        </w:tc>
      </w:tr>
      <w:tr w14:paraId="0C562A7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73" w:hRule="atLeast"/>
          <w:jc w:val="center"/>
        </w:trPr>
        <w:tc>
          <w:tcPr>
            <w:tcW w:w="2583" w:type="dxa"/>
            <w:vMerge w:val="continue"/>
            <w:vAlign w:val="center"/>
          </w:tcPr>
          <w:p w14:paraId="128F572D">
            <w:pPr>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bCs/>
                <w:sz w:val="21"/>
                <w:szCs w:val="21"/>
                <w:highlight w:val="none"/>
              </w:rPr>
            </w:pPr>
          </w:p>
        </w:tc>
        <w:tc>
          <w:tcPr>
            <w:tcW w:w="847" w:type="dxa"/>
            <w:vAlign w:val="center"/>
          </w:tcPr>
          <w:p w14:paraId="03522003">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NOx</w:t>
            </w:r>
          </w:p>
        </w:tc>
        <w:tc>
          <w:tcPr>
            <w:tcW w:w="1142" w:type="dxa"/>
            <w:vAlign w:val="center"/>
          </w:tcPr>
          <w:p w14:paraId="7FB21A2C">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250.0</w:t>
            </w:r>
          </w:p>
        </w:tc>
        <w:tc>
          <w:tcPr>
            <w:tcW w:w="1360" w:type="dxa"/>
            <w:vAlign w:val="center"/>
          </w:tcPr>
          <w:p w14:paraId="21A8C912">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17.6454</w:t>
            </w:r>
          </w:p>
        </w:tc>
        <w:tc>
          <w:tcPr>
            <w:tcW w:w="1054" w:type="dxa"/>
            <w:vAlign w:val="center"/>
          </w:tcPr>
          <w:p w14:paraId="74A7F7E3">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7.0582</w:t>
            </w:r>
          </w:p>
        </w:tc>
        <w:tc>
          <w:tcPr>
            <w:tcW w:w="1056" w:type="dxa"/>
            <w:vAlign w:val="center"/>
          </w:tcPr>
          <w:p w14:paraId="733F7DD5">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eastAsia" w:eastAsiaTheme="minorEastAsia"/>
                <w:sz w:val="21"/>
                <w:szCs w:val="21"/>
                <w:highlight w:val="none"/>
              </w:rPr>
              <w:t>/</w:t>
            </w:r>
          </w:p>
        </w:tc>
      </w:tr>
      <w:tr w14:paraId="207023D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73" w:hRule="atLeast"/>
          <w:jc w:val="center"/>
        </w:trPr>
        <w:tc>
          <w:tcPr>
            <w:tcW w:w="2583" w:type="dxa"/>
            <w:vMerge w:val="continue"/>
            <w:vAlign w:val="center"/>
          </w:tcPr>
          <w:p w14:paraId="4C68D20F">
            <w:pPr>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bCs/>
                <w:sz w:val="21"/>
                <w:szCs w:val="21"/>
                <w:highlight w:val="none"/>
              </w:rPr>
            </w:pPr>
          </w:p>
        </w:tc>
        <w:tc>
          <w:tcPr>
            <w:tcW w:w="847" w:type="dxa"/>
            <w:vAlign w:val="center"/>
          </w:tcPr>
          <w:p w14:paraId="7289B536">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CO</w:t>
            </w:r>
          </w:p>
        </w:tc>
        <w:tc>
          <w:tcPr>
            <w:tcW w:w="1142" w:type="dxa"/>
            <w:vAlign w:val="center"/>
          </w:tcPr>
          <w:p w14:paraId="5601A301">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10000.0</w:t>
            </w:r>
          </w:p>
        </w:tc>
        <w:tc>
          <w:tcPr>
            <w:tcW w:w="1360" w:type="dxa"/>
            <w:vAlign w:val="center"/>
          </w:tcPr>
          <w:p w14:paraId="6B23E714">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30.9781</w:t>
            </w:r>
          </w:p>
        </w:tc>
        <w:tc>
          <w:tcPr>
            <w:tcW w:w="1054" w:type="dxa"/>
            <w:vAlign w:val="center"/>
          </w:tcPr>
          <w:p w14:paraId="4A08438D">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0.3098</w:t>
            </w:r>
          </w:p>
        </w:tc>
        <w:tc>
          <w:tcPr>
            <w:tcW w:w="1056" w:type="dxa"/>
            <w:vAlign w:val="center"/>
          </w:tcPr>
          <w:p w14:paraId="7EBE69A0">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eastAsia" w:eastAsiaTheme="minorEastAsia"/>
                <w:sz w:val="21"/>
                <w:szCs w:val="21"/>
                <w:highlight w:val="none"/>
              </w:rPr>
              <w:t>/</w:t>
            </w:r>
          </w:p>
        </w:tc>
      </w:tr>
      <w:tr w14:paraId="40CA05C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73" w:hRule="atLeast"/>
          <w:jc w:val="center"/>
        </w:trPr>
        <w:tc>
          <w:tcPr>
            <w:tcW w:w="2583" w:type="dxa"/>
            <w:vMerge w:val="continue"/>
            <w:vAlign w:val="center"/>
          </w:tcPr>
          <w:p w14:paraId="2E92D6A5">
            <w:pPr>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bCs/>
                <w:sz w:val="21"/>
                <w:szCs w:val="21"/>
                <w:highlight w:val="none"/>
              </w:rPr>
            </w:pPr>
          </w:p>
        </w:tc>
        <w:tc>
          <w:tcPr>
            <w:tcW w:w="847" w:type="dxa"/>
            <w:vAlign w:val="center"/>
          </w:tcPr>
          <w:p w14:paraId="1C37C571">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PM</w:t>
            </w:r>
            <w:r>
              <w:rPr>
                <w:rFonts w:hint="default" w:eastAsiaTheme="minorEastAsia"/>
                <w:sz w:val="21"/>
                <w:szCs w:val="21"/>
                <w:highlight w:val="none"/>
                <w:vertAlign w:val="subscript"/>
              </w:rPr>
              <w:t>10</w:t>
            </w:r>
          </w:p>
        </w:tc>
        <w:tc>
          <w:tcPr>
            <w:tcW w:w="1142" w:type="dxa"/>
            <w:vAlign w:val="center"/>
          </w:tcPr>
          <w:p w14:paraId="6045A8D3">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450.0</w:t>
            </w:r>
          </w:p>
        </w:tc>
        <w:tc>
          <w:tcPr>
            <w:tcW w:w="1360" w:type="dxa"/>
            <w:vAlign w:val="center"/>
          </w:tcPr>
          <w:p w14:paraId="0506C6B6">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1.3937</w:t>
            </w:r>
          </w:p>
        </w:tc>
        <w:tc>
          <w:tcPr>
            <w:tcW w:w="1054" w:type="dxa"/>
            <w:vAlign w:val="center"/>
          </w:tcPr>
          <w:p w14:paraId="07A6F33E">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0.3097</w:t>
            </w:r>
          </w:p>
        </w:tc>
        <w:tc>
          <w:tcPr>
            <w:tcW w:w="1056" w:type="dxa"/>
            <w:vAlign w:val="center"/>
          </w:tcPr>
          <w:p w14:paraId="1892D61A">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w:t>
            </w:r>
          </w:p>
        </w:tc>
      </w:tr>
    </w:tbl>
    <w:p w14:paraId="0EC23874">
      <w:pPr>
        <w:pageBreakBefore w:val="0"/>
        <w:kinsoku/>
        <w:overflowPunct/>
        <w:topLinePunct w:val="0"/>
        <w:bidi w:val="0"/>
        <w:outlineLvl w:val="9"/>
        <w:rPr>
          <w:rFonts w:eastAsiaTheme="minorEastAsia"/>
          <w:sz w:val="24"/>
          <w:highlight w:val="none"/>
        </w:rPr>
      </w:pPr>
      <w:r>
        <w:rPr>
          <w:rFonts w:hAnsiTheme="minorEastAsia" w:eastAsiaTheme="minorEastAsia"/>
          <w:sz w:val="24"/>
          <w:highlight w:val="none"/>
        </w:rPr>
        <w:t>由上表可知，本项目产生的大气污染物预测最大地面质量浓度占标率最大值为</w:t>
      </w:r>
      <w:r>
        <w:rPr>
          <w:rFonts w:hint="default" w:eastAsiaTheme="minorEastAsia"/>
          <w:sz w:val="21"/>
          <w:szCs w:val="21"/>
          <w:highlight w:val="none"/>
        </w:rPr>
        <w:t>7.0582</w:t>
      </w:r>
      <w:r>
        <w:rPr>
          <w:rFonts w:eastAsiaTheme="minorEastAsia"/>
          <w:sz w:val="24"/>
          <w:highlight w:val="none"/>
        </w:rPr>
        <w:t>%</w:t>
      </w:r>
      <w:r>
        <w:rPr>
          <w:rFonts w:hAnsiTheme="minorEastAsia" w:eastAsiaTheme="minorEastAsia"/>
          <w:sz w:val="24"/>
          <w:highlight w:val="none"/>
        </w:rPr>
        <w:t>，因此，确定本项目大气环境影响评价等级为</w:t>
      </w:r>
      <w:r>
        <w:rPr>
          <w:rFonts w:hint="eastAsia" w:hAnsiTheme="minorEastAsia" w:eastAsiaTheme="minorEastAsia"/>
          <w:sz w:val="24"/>
          <w:highlight w:val="none"/>
          <w:lang w:val="en-US" w:eastAsia="zh-CN"/>
        </w:rPr>
        <w:t>二</w:t>
      </w:r>
      <w:r>
        <w:rPr>
          <w:rFonts w:hAnsiTheme="minorEastAsia" w:eastAsiaTheme="minorEastAsia"/>
          <w:sz w:val="24"/>
          <w:highlight w:val="none"/>
        </w:rPr>
        <w:t>级。</w:t>
      </w:r>
    </w:p>
    <w:p w14:paraId="2637C68C">
      <w:pPr>
        <w:pStyle w:val="4"/>
        <w:bidi w:val="0"/>
        <w:rPr>
          <w:highlight w:val="none"/>
        </w:rPr>
      </w:pPr>
      <w:bookmarkStart w:id="168" w:name="_Toc10510"/>
      <w:bookmarkStart w:id="169" w:name="_Toc25176"/>
      <w:r>
        <w:rPr>
          <w:highlight w:val="none"/>
        </w:rPr>
        <w:t>2.4.2地表水环境</w:t>
      </w:r>
      <w:bookmarkEnd w:id="168"/>
      <w:bookmarkEnd w:id="169"/>
    </w:p>
    <w:p w14:paraId="71975CA8">
      <w:pPr>
        <w:bidi w:val="0"/>
        <w:rPr>
          <w:rFonts w:eastAsiaTheme="minorEastAsia"/>
          <w:snapToGrid w:val="0"/>
          <w:kern w:val="0"/>
          <w:sz w:val="24"/>
          <w:highlight w:val="none"/>
        </w:rPr>
      </w:pPr>
      <w:r>
        <w:rPr>
          <w:rFonts w:hAnsiTheme="minorEastAsia" w:eastAsiaTheme="minorEastAsia"/>
          <w:snapToGrid w:val="0"/>
          <w:kern w:val="0"/>
          <w:sz w:val="24"/>
          <w:highlight w:val="none"/>
        </w:rPr>
        <w:t>根据《环境影响评价技术导则地表水环境》（</w:t>
      </w:r>
      <w:r>
        <w:rPr>
          <w:rFonts w:eastAsiaTheme="minorEastAsia"/>
          <w:snapToGrid w:val="0"/>
          <w:kern w:val="0"/>
          <w:sz w:val="24"/>
          <w:highlight w:val="none"/>
        </w:rPr>
        <w:t>HJ2.3-2018</w:t>
      </w:r>
      <w:r>
        <w:rPr>
          <w:rFonts w:hAnsiTheme="minorEastAsia" w:eastAsiaTheme="minorEastAsia"/>
          <w:snapToGrid w:val="0"/>
          <w:kern w:val="0"/>
          <w:sz w:val="24"/>
          <w:highlight w:val="none"/>
        </w:rPr>
        <w:t>）中的有关规定，将地表水环境影响评价工作等级分为一级、二级、三级</w:t>
      </w:r>
      <w:r>
        <w:rPr>
          <w:rFonts w:eastAsiaTheme="minorEastAsia"/>
          <w:snapToGrid w:val="0"/>
          <w:kern w:val="0"/>
          <w:sz w:val="24"/>
          <w:highlight w:val="none"/>
        </w:rPr>
        <w:t>A</w:t>
      </w:r>
      <w:r>
        <w:rPr>
          <w:rFonts w:hAnsiTheme="minorEastAsia" w:eastAsiaTheme="minorEastAsia"/>
          <w:snapToGrid w:val="0"/>
          <w:kern w:val="0"/>
          <w:sz w:val="24"/>
          <w:highlight w:val="none"/>
        </w:rPr>
        <w:t>、三级</w:t>
      </w:r>
      <w:r>
        <w:rPr>
          <w:rFonts w:eastAsiaTheme="minorEastAsia"/>
          <w:snapToGrid w:val="0"/>
          <w:kern w:val="0"/>
          <w:sz w:val="24"/>
          <w:highlight w:val="none"/>
        </w:rPr>
        <w:t>B</w:t>
      </w:r>
      <w:r>
        <w:rPr>
          <w:rFonts w:hAnsiTheme="minorEastAsia" w:eastAsiaTheme="minorEastAsia"/>
          <w:snapToGrid w:val="0"/>
          <w:kern w:val="0"/>
          <w:sz w:val="24"/>
          <w:highlight w:val="none"/>
        </w:rPr>
        <w:t>，划分依据见</w:t>
      </w:r>
      <w:r>
        <w:rPr>
          <w:rFonts w:hint="eastAsia" w:hAnsiTheme="minorEastAsia" w:eastAsiaTheme="minorEastAsia"/>
          <w:snapToGrid w:val="0"/>
          <w:kern w:val="0"/>
          <w:sz w:val="24"/>
          <w:highlight w:val="none"/>
          <w:lang w:val="en-US" w:eastAsia="zh-CN"/>
        </w:rPr>
        <w:t>下表</w:t>
      </w:r>
      <w:r>
        <w:rPr>
          <w:rFonts w:hAnsiTheme="minorEastAsia" w:eastAsiaTheme="minorEastAsia"/>
          <w:snapToGrid w:val="0"/>
          <w:kern w:val="0"/>
          <w:sz w:val="24"/>
          <w:highlight w:val="none"/>
        </w:rPr>
        <w:t>。</w:t>
      </w:r>
    </w:p>
    <w:p w14:paraId="1B898671">
      <w:pPr>
        <w:pStyle w:val="7"/>
        <w:bidi w:val="0"/>
        <w:rPr>
          <w:highlight w:val="none"/>
        </w:rPr>
      </w:pPr>
      <w:bookmarkStart w:id="170" w:name="_Hlk10134411"/>
      <w:r>
        <w:rPr>
          <w:highlight w:val="none"/>
        </w:rPr>
        <w:t>表2-4-</w:t>
      </w:r>
      <w:r>
        <w:rPr>
          <w:rFonts w:hint="eastAsia"/>
          <w:highlight w:val="none"/>
          <w:lang w:val="en-US" w:eastAsia="zh-CN"/>
        </w:rPr>
        <w:t>7</w:t>
      </w:r>
      <w:r>
        <w:rPr>
          <w:highlight w:val="none"/>
        </w:rPr>
        <w:t>地表水评价等级确定表</w:t>
      </w:r>
    </w:p>
    <w:bookmarkEnd w:id="170"/>
    <w:tbl>
      <w:tblPr>
        <w:tblStyle w:val="45"/>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890"/>
        <w:gridCol w:w="2327"/>
        <w:gridCol w:w="4305"/>
      </w:tblGrid>
      <w:tr w14:paraId="2F1240E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842" w:type="dxa"/>
            <w:vMerge w:val="restart"/>
            <w:vAlign w:val="center"/>
          </w:tcPr>
          <w:p w14:paraId="7F74446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napToGrid w:val="0"/>
                <w:kern w:val="0"/>
                <w:sz w:val="21"/>
                <w:szCs w:val="21"/>
                <w:highlight w:val="none"/>
                <w:lang w:val="zh-CN"/>
              </w:rPr>
            </w:pPr>
            <w:r>
              <w:rPr>
                <w:rFonts w:hint="default" w:hAnsiTheme="minorEastAsia" w:eastAsiaTheme="minorEastAsia"/>
                <w:snapToGrid w:val="0"/>
                <w:kern w:val="0"/>
                <w:sz w:val="21"/>
                <w:szCs w:val="21"/>
                <w:highlight w:val="none"/>
                <w:lang w:val="zh-CN"/>
              </w:rPr>
              <w:t>评价等级</w:t>
            </w:r>
          </w:p>
        </w:tc>
        <w:tc>
          <w:tcPr>
            <w:tcW w:w="6464" w:type="dxa"/>
            <w:gridSpan w:val="2"/>
          </w:tcPr>
          <w:p w14:paraId="199809E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napToGrid w:val="0"/>
                <w:kern w:val="0"/>
                <w:sz w:val="21"/>
                <w:szCs w:val="21"/>
                <w:highlight w:val="none"/>
                <w:lang w:val="zh-CN"/>
              </w:rPr>
            </w:pPr>
            <w:r>
              <w:rPr>
                <w:rFonts w:hint="default" w:hAnsiTheme="minorEastAsia" w:eastAsiaTheme="minorEastAsia"/>
                <w:snapToGrid w:val="0"/>
                <w:kern w:val="0"/>
                <w:sz w:val="21"/>
                <w:szCs w:val="21"/>
                <w:highlight w:val="none"/>
                <w:lang w:val="zh-CN"/>
              </w:rPr>
              <w:t>判定依据</w:t>
            </w:r>
          </w:p>
        </w:tc>
      </w:tr>
      <w:tr w14:paraId="7CE51ED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842" w:type="dxa"/>
            <w:vMerge w:val="continue"/>
            <w:vAlign w:val="center"/>
          </w:tcPr>
          <w:p w14:paraId="2ED1980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napToGrid w:val="0"/>
                <w:kern w:val="0"/>
                <w:sz w:val="21"/>
                <w:szCs w:val="21"/>
                <w:highlight w:val="none"/>
                <w:lang w:val="zh-CN"/>
              </w:rPr>
            </w:pPr>
          </w:p>
        </w:tc>
        <w:tc>
          <w:tcPr>
            <w:tcW w:w="2268" w:type="dxa"/>
            <w:vAlign w:val="center"/>
          </w:tcPr>
          <w:p w14:paraId="6B4573C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napToGrid w:val="0"/>
                <w:kern w:val="0"/>
                <w:sz w:val="21"/>
                <w:szCs w:val="21"/>
                <w:highlight w:val="none"/>
                <w:lang w:val="zh-CN"/>
              </w:rPr>
            </w:pPr>
            <w:r>
              <w:rPr>
                <w:rFonts w:hint="default" w:hAnsiTheme="minorEastAsia" w:eastAsiaTheme="minorEastAsia"/>
                <w:snapToGrid w:val="0"/>
                <w:kern w:val="0"/>
                <w:sz w:val="21"/>
                <w:szCs w:val="21"/>
                <w:highlight w:val="none"/>
                <w:lang w:val="zh-CN"/>
              </w:rPr>
              <w:t>排放方式</w:t>
            </w:r>
          </w:p>
        </w:tc>
        <w:tc>
          <w:tcPr>
            <w:tcW w:w="4196" w:type="dxa"/>
            <w:vAlign w:val="center"/>
          </w:tcPr>
          <w:p w14:paraId="419F52B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napToGrid w:val="0"/>
                <w:kern w:val="0"/>
                <w:sz w:val="21"/>
                <w:szCs w:val="21"/>
                <w:highlight w:val="none"/>
                <w:lang w:val="zh-CN"/>
              </w:rPr>
            </w:pPr>
            <w:r>
              <w:rPr>
                <w:rFonts w:hint="default" w:hAnsiTheme="minorEastAsia" w:eastAsiaTheme="minorEastAsia"/>
                <w:snapToGrid w:val="0"/>
                <w:kern w:val="0"/>
                <w:sz w:val="21"/>
                <w:szCs w:val="21"/>
                <w:highlight w:val="none"/>
                <w:lang w:val="zh-CN"/>
              </w:rPr>
              <w:t>废水排放量</w:t>
            </w:r>
            <w:r>
              <w:rPr>
                <w:rFonts w:hint="default" w:eastAsiaTheme="minorEastAsia"/>
                <w:snapToGrid w:val="0"/>
                <w:kern w:val="0"/>
                <w:sz w:val="21"/>
                <w:szCs w:val="21"/>
                <w:highlight w:val="none"/>
                <w:lang w:val="zh-CN"/>
              </w:rPr>
              <w:t>Q/</w:t>
            </w:r>
            <w:r>
              <w:rPr>
                <w:rFonts w:hint="default" w:hAnsiTheme="minorEastAsia" w:eastAsiaTheme="minorEastAsia"/>
                <w:snapToGrid w:val="0"/>
                <w:kern w:val="0"/>
                <w:sz w:val="21"/>
                <w:szCs w:val="21"/>
                <w:highlight w:val="none"/>
                <w:lang w:val="zh-CN"/>
              </w:rPr>
              <w:t>（</w:t>
            </w:r>
            <w:r>
              <w:rPr>
                <w:rFonts w:hint="default" w:eastAsiaTheme="minorEastAsia"/>
                <w:snapToGrid w:val="0"/>
                <w:kern w:val="0"/>
                <w:sz w:val="21"/>
                <w:szCs w:val="21"/>
                <w:highlight w:val="none"/>
                <w:lang w:val="zh-CN"/>
              </w:rPr>
              <w:t>m</w:t>
            </w:r>
            <w:r>
              <w:rPr>
                <w:rFonts w:hint="default" w:eastAsiaTheme="minorEastAsia"/>
                <w:snapToGrid w:val="0"/>
                <w:kern w:val="0"/>
                <w:sz w:val="21"/>
                <w:szCs w:val="21"/>
                <w:highlight w:val="none"/>
                <w:vertAlign w:val="superscript"/>
                <w:lang w:val="zh-CN"/>
              </w:rPr>
              <w:t>3</w:t>
            </w:r>
            <w:r>
              <w:rPr>
                <w:rFonts w:hint="default" w:eastAsiaTheme="minorEastAsia"/>
                <w:snapToGrid w:val="0"/>
                <w:kern w:val="0"/>
                <w:sz w:val="21"/>
                <w:szCs w:val="21"/>
                <w:highlight w:val="none"/>
                <w:lang w:val="zh-CN"/>
              </w:rPr>
              <w:t>/d</w:t>
            </w:r>
            <w:r>
              <w:rPr>
                <w:rFonts w:hint="default" w:hAnsiTheme="minorEastAsia" w:eastAsiaTheme="minorEastAsia"/>
                <w:snapToGrid w:val="0"/>
                <w:kern w:val="0"/>
                <w:sz w:val="21"/>
                <w:szCs w:val="21"/>
                <w:highlight w:val="none"/>
                <w:lang w:val="zh-CN"/>
              </w:rPr>
              <w:t>）；</w:t>
            </w:r>
          </w:p>
          <w:p w14:paraId="2D9ED81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napToGrid w:val="0"/>
                <w:kern w:val="0"/>
                <w:sz w:val="21"/>
                <w:szCs w:val="21"/>
                <w:highlight w:val="none"/>
                <w:lang w:val="zh-CN"/>
              </w:rPr>
            </w:pPr>
            <w:r>
              <w:rPr>
                <w:rFonts w:hint="default" w:hAnsiTheme="minorEastAsia" w:eastAsiaTheme="minorEastAsia"/>
                <w:snapToGrid w:val="0"/>
                <w:kern w:val="0"/>
                <w:sz w:val="21"/>
                <w:szCs w:val="21"/>
                <w:highlight w:val="none"/>
                <w:lang w:val="zh-CN"/>
              </w:rPr>
              <w:t>水污染物当量数</w:t>
            </w:r>
            <w:r>
              <w:rPr>
                <w:rFonts w:hint="default" w:eastAsiaTheme="minorEastAsia"/>
                <w:snapToGrid w:val="0"/>
                <w:kern w:val="0"/>
                <w:sz w:val="21"/>
                <w:szCs w:val="21"/>
                <w:highlight w:val="none"/>
                <w:lang w:val="zh-CN"/>
              </w:rPr>
              <w:t>W/</w:t>
            </w:r>
            <w:r>
              <w:rPr>
                <w:rFonts w:hint="default" w:hAnsiTheme="minorEastAsia" w:eastAsiaTheme="minorEastAsia"/>
                <w:snapToGrid w:val="0"/>
                <w:kern w:val="0"/>
                <w:sz w:val="21"/>
                <w:szCs w:val="21"/>
                <w:highlight w:val="none"/>
                <w:lang w:val="zh-CN"/>
              </w:rPr>
              <w:t>（无量纲）</w:t>
            </w:r>
          </w:p>
        </w:tc>
      </w:tr>
      <w:tr w14:paraId="3F8A617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842" w:type="dxa"/>
            <w:vAlign w:val="center"/>
          </w:tcPr>
          <w:p w14:paraId="7C255D3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napToGrid w:val="0"/>
                <w:kern w:val="0"/>
                <w:sz w:val="21"/>
                <w:szCs w:val="21"/>
                <w:highlight w:val="none"/>
                <w:lang w:val="zh-CN"/>
              </w:rPr>
            </w:pPr>
            <w:r>
              <w:rPr>
                <w:rFonts w:hint="default" w:hAnsiTheme="minorEastAsia" w:eastAsiaTheme="minorEastAsia"/>
                <w:snapToGrid w:val="0"/>
                <w:kern w:val="0"/>
                <w:sz w:val="21"/>
                <w:szCs w:val="21"/>
                <w:highlight w:val="none"/>
                <w:lang w:val="zh-CN"/>
              </w:rPr>
              <w:t>一级</w:t>
            </w:r>
          </w:p>
        </w:tc>
        <w:tc>
          <w:tcPr>
            <w:tcW w:w="2268" w:type="dxa"/>
            <w:vAlign w:val="center"/>
          </w:tcPr>
          <w:p w14:paraId="227AAD6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napToGrid w:val="0"/>
                <w:kern w:val="0"/>
                <w:sz w:val="21"/>
                <w:szCs w:val="21"/>
                <w:highlight w:val="none"/>
                <w:lang w:val="zh-CN"/>
              </w:rPr>
            </w:pPr>
            <w:r>
              <w:rPr>
                <w:rFonts w:hint="default" w:hAnsiTheme="minorEastAsia" w:eastAsiaTheme="minorEastAsia"/>
                <w:snapToGrid w:val="0"/>
                <w:kern w:val="0"/>
                <w:sz w:val="21"/>
                <w:szCs w:val="21"/>
                <w:highlight w:val="none"/>
                <w:lang w:val="zh-CN"/>
              </w:rPr>
              <w:t>直接排放</w:t>
            </w:r>
          </w:p>
        </w:tc>
        <w:tc>
          <w:tcPr>
            <w:tcW w:w="4196" w:type="dxa"/>
            <w:vAlign w:val="center"/>
          </w:tcPr>
          <w:p w14:paraId="7F68813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napToGrid w:val="0"/>
                <w:kern w:val="0"/>
                <w:sz w:val="21"/>
                <w:szCs w:val="21"/>
                <w:highlight w:val="none"/>
                <w:lang w:val="zh-CN"/>
              </w:rPr>
            </w:pPr>
            <w:r>
              <w:rPr>
                <w:rFonts w:hint="default" w:eastAsiaTheme="minorEastAsia"/>
                <w:snapToGrid w:val="0"/>
                <w:kern w:val="0"/>
                <w:sz w:val="21"/>
                <w:szCs w:val="21"/>
                <w:highlight w:val="none"/>
                <w:lang w:val="zh-CN"/>
              </w:rPr>
              <w:t>Q≥20000</w:t>
            </w:r>
            <w:r>
              <w:rPr>
                <w:rFonts w:hint="default" w:hAnsiTheme="minorEastAsia" w:eastAsiaTheme="minorEastAsia"/>
                <w:snapToGrid w:val="0"/>
                <w:kern w:val="0"/>
                <w:sz w:val="21"/>
                <w:szCs w:val="21"/>
                <w:highlight w:val="none"/>
                <w:lang w:val="zh-CN"/>
              </w:rPr>
              <w:t>或</w:t>
            </w:r>
            <w:r>
              <w:rPr>
                <w:rFonts w:hint="default" w:eastAsiaTheme="minorEastAsia"/>
                <w:snapToGrid w:val="0"/>
                <w:kern w:val="0"/>
                <w:sz w:val="21"/>
                <w:szCs w:val="21"/>
                <w:highlight w:val="none"/>
                <w:lang w:val="zh-CN"/>
              </w:rPr>
              <w:t>W≥600000</w:t>
            </w:r>
          </w:p>
        </w:tc>
      </w:tr>
      <w:tr w14:paraId="67B77A4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842" w:type="dxa"/>
            <w:vAlign w:val="center"/>
          </w:tcPr>
          <w:p w14:paraId="4A0D480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napToGrid w:val="0"/>
                <w:kern w:val="0"/>
                <w:sz w:val="21"/>
                <w:szCs w:val="21"/>
                <w:highlight w:val="none"/>
                <w:lang w:val="zh-CN"/>
              </w:rPr>
            </w:pPr>
            <w:r>
              <w:rPr>
                <w:rFonts w:hint="default" w:hAnsiTheme="minorEastAsia" w:eastAsiaTheme="minorEastAsia"/>
                <w:snapToGrid w:val="0"/>
                <w:kern w:val="0"/>
                <w:sz w:val="21"/>
                <w:szCs w:val="21"/>
                <w:highlight w:val="none"/>
                <w:lang w:val="zh-CN"/>
              </w:rPr>
              <w:t>二级</w:t>
            </w:r>
          </w:p>
        </w:tc>
        <w:tc>
          <w:tcPr>
            <w:tcW w:w="2268" w:type="dxa"/>
            <w:vAlign w:val="center"/>
          </w:tcPr>
          <w:p w14:paraId="30ED87F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napToGrid w:val="0"/>
                <w:kern w:val="0"/>
                <w:sz w:val="21"/>
                <w:szCs w:val="21"/>
                <w:highlight w:val="none"/>
                <w:lang w:val="zh-CN"/>
              </w:rPr>
            </w:pPr>
            <w:r>
              <w:rPr>
                <w:rFonts w:hint="default" w:hAnsiTheme="minorEastAsia" w:eastAsiaTheme="minorEastAsia"/>
                <w:snapToGrid w:val="0"/>
                <w:kern w:val="0"/>
                <w:sz w:val="21"/>
                <w:szCs w:val="21"/>
                <w:highlight w:val="none"/>
                <w:lang w:val="zh-CN"/>
              </w:rPr>
              <w:t>直接排放</w:t>
            </w:r>
          </w:p>
        </w:tc>
        <w:tc>
          <w:tcPr>
            <w:tcW w:w="4196" w:type="dxa"/>
            <w:vAlign w:val="center"/>
          </w:tcPr>
          <w:p w14:paraId="64145F0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napToGrid w:val="0"/>
                <w:kern w:val="0"/>
                <w:sz w:val="21"/>
                <w:szCs w:val="21"/>
                <w:highlight w:val="none"/>
                <w:lang w:val="zh-CN"/>
              </w:rPr>
            </w:pPr>
            <w:r>
              <w:rPr>
                <w:rFonts w:hint="default" w:hAnsiTheme="minorEastAsia" w:eastAsiaTheme="minorEastAsia"/>
                <w:snapToGrid w:val="0"/>
                <w:kern w:val="0"/>
                <w:sz w:val="21"/>
                <w:szCs w:val="21"/>
                <w:highlight w:val="none"/>
                <w:lang w:val="zh-CN"/>
              </w:rPr>
              <w:t>其他</w:t>
            </w:r>
          </w:p>
        </w:tc>
      </w:tr>
      <w:tr w14:paraId="29BBB38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842" w:type="dxa"/>
            <w:vAlign w:val="center"/>
          </w:tcPr>
          <w:p w14:paraId="0545A6E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napToGrid w:val="0"/>
                <w:kern w:val="0"/>
                <w:sz w:val="21"/>
                <w:szCs w:val="21"/>
                <w:highlight w:val="none"/>
                <w:lang w:val="zh-CN"/>
              </w:rPr>
            </w:pPr>
            <w:r>
              <w:rPr>
                <w:rFonts w:hint="default" w:hAnsiTheme="minorEastAsia" w:eastAsiaTheme="minorEastAsia"/>
                <w:snapToGrid w:val="0"/>
                <w:kern w:val="0"/>
                <w:sz w:val="21"/>
                <w:szCs w:val="21"/>
                <w:highlight w:val="none"/>
              </w:rPr>
              <w:t>三级</w:t>
            </w:r>
            <w:r>
              <w:rPr>
                <w:rFonts w:hint="default" w:eastAsiaTheme="minorEastAsia"/>
                <w:snapToGrid w:val="0"/>
                <w:kern w:val="0"/>
                <w:sz w:val="21"/>
                <w:szCs w:val="21"/>
                <w:highlight w:val="none"/>
              </w:rPr>
              <w:t>A</w:t>
            </w:r>
          </w:p>
        </w:tc>
        <w:tc>
          <w:tcPr>
            <w:tcW w:w="2268" w:type="dxa"/>
            <w:vAlign w:val="center"/>
          </w:tcPr>
          <w:p w14:paraId="5CBC75A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napToGrid w:val="0"/>
                <w:kern w:val="0"/>
                <w:sz w:val="21"/>
                <w:szCs w:val="21"/>
                <w:highlight w:val="none"/>
                <w:lang w:val="zh-CN"/>
              </w:rPr>
            </w:pPr>
            <w:r>
              <w:rPr>
                <w:rFonts w:hint="default" w:hAnsiTheme="minorEastAsia" w:eastAsiaTheme="minorEastAsia"/>
                <w:snapToGrid w:val="0"/>
                <w:kern w:val="0"/>
                <w:sz w:val="21"/>
                <w:szCs w:val="21"/>
                <w:highlight w:val="none"/>
                <w:lang w:val="zh-CN"/>
              </w:rPr>
              <w:t>直接排放</w:t>
            </w:r>
          </w:p>
        </w:tc>
        <w:tc>
          <w:tcPr>
            <w:tcW w:w="4196" w:type="dxa"/>
            <w:vAlign w:val="center"/>
          </w:tcPr>
          <w:p w14:paraId="62104AE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napToGrid w:val="0"/>
                <w:kern w:val="0"/>
                <w:sz w:val="21"/>
                <w:szCs w:val="21"/>
                <w:highlight w:val="none"/>
                <w:lang w:val="zh-CN"/>
              </w:rPr>
            </w:pPr>
            <w:r>
              <w:rPr>
                <w:rFonts w:hint="default" w:eastAsiaTheme="minorEastAsia"/>
                <w:snapToGrid w:val="0"/>
                <w:kern w:val="0"/>
                <w:sz w:val="21"/>
                <w:szCs w:val="21"/>
                <w:highlight w:val="none"/>
                <w:lang w:val="zh-CN"/>
              </w:rPr>
              <w:t>Q</w:t>
            </w:r>
            <w:r>
              <w:rPr>
                <w:rFonts w:hint="default" w:hAnsiTheme="minorEastAsia" w:eastAsiaTheme="minorEastAsia"/>
                <w:snapToGrid w:val="0"/>
                <w:kern w:val="0"/>
                <w:sz w:val="21"/>
                <w:szCs w:val="21"/>
                <w:highlight w:val="none"/>
                <w:lang w:val="zh-CN"/>
              </w:rPr>
              <w:t>＜</w:t>
            </w:r>
            <w:r>
              <w:rPr>
                <w:rFonts w:hint="default" w:eastAsiaTheme="minorEastAsia"/>
                <w:snapToGrid w:val="0"/>
                <w:kern w:val="0"/>
                <w:sz w:val="21"/>
                <w:szCs w:val="21"/>
                <w:highlight w:val="none"/>
                <w:lang w:val="zh-CN"/>
              </w:rPr>
              <w:t>200</w:t>
            </w:r>
            <w:r>
              <w:rPr>
                <w:rFonts w:hint="default" w:hAnsiTheme="minorEastAsia" w:eastAsiaTheme="minorEastAsia"/>
                <w:snapToGrid w:val="0"/>
                <w:kern w:val="0"/>
                <w:sz w:val="21"/>
                <w:szCs w:val="21"/>
                <w:highlight w:val="none"/>
                <w:lang w:val="zh-CN"/>
              </w:rPr>
              <w:t>或</w:t>
            </w:r>
            <w:r>
              <w:rPr>
                <w:rFonts w:hint="default" w:eastAsiaTheme="minorEastAsia"/>
                <w:snapToGrid w:val="0"/>
                <w:kern w:val="0"/>
                <w:sz w:val="21"/>
                <w:szCs w:val="21"/>
                <w:highlight w:val="none"/>
                <w:lang w:val="zh-CN"/>
              </w:rPr>
              <w:t>W</w:t>
            </w:r>
            <w:r>
              <w:rPr>
                <w:rFonts w:hint="default" w:hAnsiTheme="minorEastAsia" w:eastAsiaTheme="minorEastAsia"/>
                <w:snapToGrid w:val="0"/>
                <w:kern w:val="0"/>
                <w:sz w:val="21"/>
                <w:szCs w:val="21"/>
                <w:highlight w:val="none"/>
                <w:lang w:val="zh-CN"/>
              </w:rPr>
              <w:t>＜</w:t>
            </w:r>
            <w:r>
              <w:rPr>
                <w:rFonts w:hint="default" w:eastAsiaTheme="minorEastAsia"/>
                <w:snapToGrid w:val="0"/>
                <w:kern w:val="0"/>
                <w:sz w:val="21"/>
                <w:szCs w:val="21"/>
                <w:highlight w:val="none"/>
                <w:lang w:val="zh-CN"/>
              </w:rPr>
              <w:t>6000</w:t>
            </w:r>
          </w:p>
        </w:tc>
      </w:tr>
      <w:tr w14:paraId="1E5F075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842" w:type="dxa"/>
            <w:vAlign w:val="center"/>
          </w:tcPr>
          <w:p w14:paraId="7D4CA48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
                <w:snapToGrid w:val="0"/>
                <w:kern w:val="0"/>
                <w:sz w:val="21"/>
                <w:szCs w:val="21"/>
                <w:highlight w:val="none"/>
              </w:rPr>
            </w:pPr>
            <w:r>
              <w:rPr>
                <w:rFonts w:hint="default" w:hAnsiTheme="minorEastAsia" w:eastAsiaTheme="minorEastAsia"/>
                <w:b/>
                <w:snapToGrid w:val="0"/>
                <w:kern w:val="0"/>
                <w:sz w:val="21"/>
                <w:szCs w:val="21"/>
                <w:highlight w:val="none"/>
              </w:rPr>
              <w:t>三级</w:t>
            </w:r>
            <w:r>
              <w:rPr>
                <w:rFonts w:hint="default" w:eastAsiaTheme="minorEastAsia"/>
                <w:b/>
                <w:snapToGrid w:val="0"/>
                <w:kern w:val="0"/>
                <w:sz w:val="21"/>
                <w:szCs w:val="21"/>
                <w:highlight w:val="none"/>
              </w:rPr>
              <w:t>B</w:t>
            </w:r>
          </w:p>
        </w:tc>
        <w:tc>
          <w:tcPr>
            <w:tcW w:w="2268" w:type="dxa"/>
            <w:vAlign w:val="center"/>
          </w:tcPr>
          <w:p w14:paraId="2481A88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
                <w:snapToGrid w:val="0"/>
                <w:kern w:val="0"/>
                <w:sz w:val="21"/>
                <w:szCs w:val="21"/>
                <w:highlight w:val="none"/>
                <w:lang w:val="zh-CN"/>
              </w:rPr>
            </w:pPr>
            <w:r>
              <w:rPr>
                <w:rFonts w:hint="default" w:hAnsiTheme="minorEastAsia" w:eastAsiaTheme="minorEastAsia"/>
                <w:b/>
                <w:snapToGrid w:val="0"/>
                <w:kern w:val="0"/>
                <w:sz w:val="21"/>
                <w:szCs w:val="21"/>
                <w:highlight w:val="none"/>
                <w:lang w:val="zh-CN"/>
              </w:rPr>
              <w:t>间接排放</w:t>
            </w:r>
          </w:p>
        </w:tc>
        <w:tc>
          <w:tcPr>
            <w:tcW w:w="4196" w:type="dxa"/>
            <w:vAlign w:val="center"/>
          </w:tcPr>
          <w:p w14:paraId="7A113E9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
                <w:snapToGrid w:val="0"/>
                <w:kern w:val="0"/>
                <w:sz w:val="21"/>
                <w:szCs w:val="21"/>
                <w:highlight w:val="none"/>
                <w:lang w:val="zh-CN"/>
              </w:rPr>
            </w:pPr>
            <w:r>
              <w:rPr>
                <w:rFonts w:hint="default" w:eastAsiaTheme="minorEastAsia"/>
                <w:b/>
                <w:snapToGrid w:val="0"/>
                <w:kern w:val="0"/>
                <w:sz w:val="21"/>
                <w:szCs w:val="21"/>
                <w:highlight w:val="none"/>
                <w:lang w:val="zh-CN"/>
              </w:rPr>
              <w:t>/</w:t>
            </w:r>
          </w:p>
        </w:tc>
      </w:tr>
      <w:tr w14:paraId="5A95FD6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8306" w:type="dxa"/>
            <w:gridSpan w:val="3"/>
            <w:vAlign w:val="center"/>
          </w:tcPr>
          <w:p w14:paraId="7BD3E694">
            <w:pPr>
              <w:pStyle w:val="86"/>
              <w:keepNext w:val="0"/>
              <w:keepLines w:val="0"/>
              <w:suppressLineNumbers w:val="0"/>
              <w:spacing w:before="0" w:beforeAutospacing="0" w:after="0" w:afterAutospacing="0" w:line="0" w:lineRule="atLeast"/>
              <w:ind w:left="0" w:right="0" w:firstLine="318"/>
              <w:jc w:val="both"/>
              <w:rPr>
                <w:rFonts w:hint="default" w:ascii="Times New Roman" w:cs="Times New Roman" w:eastAsiaTheme="minorEastAsia"/>
                <w:sz w:val="18"/>
                <w:szCs w:val="22"/>
                <w:highlight w:val="none"/>
              </w:rPr>
            </w:pPr>
            <w:r>
              <w:rPr>
                <w:rFonts w:hint="default" w:ascii="Times New Roman" w:cs="Times New Roman" w:eastAsiaTheme="minorEastAsia"/>
                <w:sz w:val="18"/>
                <w:szCs w:val="22"/>
                <w:highlight w:val="none"/>
              </w:rPr>
              <w:t>注1：水污染物当量数等于该污染物的年排放量除以该污染物的污染当量值（见附录A），计算排放污染物的污染物当量数，应区分第一类水污染物和其他类水污染物，统计第一类污染物当量数总和，然后与其他类污染物按照污染物当量数从大到小排序，取最大当量数作为建设项目评价等级确定的依据。</w:t>
            </w:r>
          </w:p>
          <w:p w14:paraId="72288E5D">
            <w:pPr>
              <w:pStyle w:val="86"/>
              <w:keepNext w:val="0"/>
              <w:keepLines w:val="0"/>
              <w:suppressLineNumbers w:val="0"/>
              <w:spacing w:before="0" w:beforeAutospacing="0" w:after="0" w:afterAutospacing="0" w:line="0" w:lineRule="atLeast"/>
              <w:ind w:left="0" w:right="0" w:firstLine="318"/>
              <w:jc w:val="both"/>
              <w:rPr>
                <w:rFonts w:hint="default" w:ascii="Times New Roman" w:cs="Times New Roman" w:eastAsiaTheme="minorEastAsia"/>
                <w:sz w:val="18"/>
                <w:szCs w:val="22"/>
                <w:highlight w:val="none"/>
              </w:rPr>
            </w:pPr>
            <w:r>
              <w:rPr>
                <w:rFonts w:hint="default" w:ascii="Times New Roman" w:cs="Times New Roman" w:eastAsiaTheme="minorEastAsia"/>
                <w:sz w:val="18"/>
                <w:szCs w:val="22"/>
                <w:highlight w:val="none"/>
              </w:rPr>
              <w:t>注2：废水排放量按行业排放标准中规定的废水种类统计，没有相关行业排放标准要求的通过工程分析合理确定，应统计含热量大的冷却水的排放量，可不统计间接冷却水、循环水以及其他含污染物极少的清净下水的排放量。</w:t>
            </w:r>
          </w:p>
          <w:p w14:paraId="06226424">
            <w:pPr>
              <w:pStyle w:val="86"/>
              <w:keepNext w:val="0"/>
              <w:keepLines w:val="0"/>
              <w:suppressLineNumbers w:val="0"/>
              <w:spacing w:before="0" w:beforeAutospacing="0" w:after="0" w:afterAutospacing="0" w:line="0" w:lineRule="atLeast"/>
              <w:ind w:left="0" w:right="0" w:firstLine="318"/>
              <w:jc w:val="both"/>
              <w:rPr>
                <w:rFonts w:hint="default" w:ascii="Times New Roman" w:cs="Times New Roman" w:eastAsiaTheme="minorEastAsia"/>
                <w:sz w:val="18"/>
                <w:szCs w:val="22"/>
                <w:highlight w:val="none"/>
              </w:rPr>
            </w:pPr>
            <w:r>
              <w:rPr>
                <w:rFonts w:hint="default" w:ascii="Times New Roman" w:cs="Times New Roman" w:eastAsiaTheme="minorEastAsia"/>
                <w:sz w:val="18"/>
                <w:szCs w:val="22"/>
                <w:highlight w:val="none"/>
              </w:rPr>
              <w:t>注3：厂区存在堆积物（露天堆放的原料、燃料、废渣等以及垃圾堆放场）、降尘污染的，应将初期雨污水纳入废水排放量，相应的主要污染物纳入水污染当量计算。</w:t>
            </w:r>
          </w:p>
          <w:p w14:paraId="01A13EA3">
            <w:pPr>
              <w:pStyle w:val="86"/>
              <w:keepNext w:val="0"/>
              <w:keepLines w:val="0"/>
              <w:suppressLineNumbers w:val="0"/>
              <w:spacing w:before="0" w:beforeAutospacing="0" w:after="0" w:afterAutospacing="0" w:line="0" w:lineRule="atLeast"/>
              <w:ind w:left="0" w:right="0" w:firstLine="318"/>
              <w:jc w:val="both"/>
              <w:rPr>
                <w:rFonts w:hint="default" w:eastAsiaTheme="minorEastAsia"/>
                <w:sz w:val="18"/>
                <w:szCs w:val="22"/>
                <w:highlight w:val="none"/>
              </w:rPr>
            </w:pPr>
            <w:r>
              <w:rPr>
                <w:rFonts w:hint="default" w:ascii="Times New Roman" w:cs="Times New Roman" w:eastAsiaTheme="minorEastAsia"/>
                <w:sz w:val="18"/>
                <w:szCs w:val="22"/>
                <w:highlight w:val="none"/>
              </w:rPr>
              <w:t>注4：建设项目直接排放第一类污染物的，其评价等级为一级；建设项目直接排放的污染物为受</w:t>
            </w:r>
            <w:r>
              <w:rPr>
                <w:rFonts w:hint="eastAsia" w:cs="Times New Roman" w:eastAsiaTheme="minorEastAsia"/>
                <w:sz w:val="18"/>
                <w:szCs w:val="22"/>
                <w:highlight w:val="none"/>
                <w:lang w:val="en-US" w:eastAsia="zh-CN"/>
              </w:rPr>
              <w:t>纳</w:t>
            </w:r>
            <w:r>
              <w:rPr>
                <w:rFonts w:hint="default" w:ascii="Times New Roman" w:cs="Times New Roman" w:eastAsiaTheme="minorEastAsia"/>
                <w:sz w:val="18"/>
                <w:szCs w:val="22"/>
                <w:highlight w:val="none"/>
              </w:rPr>
              <w:t>水</w:t>
            </w:r>
            <w:r>
              <w:rPr>
                <w:rFonts w:hint="default" w:eastAsiaTheme="minorEastAsia"/>
                <w:sz w:val="18"/>
                <w:szCs w:val="22"/>
                <w:highlight w:val="none"/>
              </w:rPr>
              <w:t>体超标因子的，评价等级不低于二级。</w:t>
            </w:r>
          </w:p>
          <w:p w14:paraId="4DB3A72A">
            <w:pPr>
              <w:pStyle w:val="86"/>
              <w:keepNext w:val="0"/>
              <w:keepLines w:val="0"/>
              <w:suppressLineNumbers w:val="0"/>
              <w:spacing w:before="0" w:beforeAutospacing="0" w:after="0" w:afterAutospacing="0" w:line="0" w:lineRule="atLeast"/>
              <w:ind w:left="0" w:right="0" w:firstLine="318"/>
              <w:jc w:val="both"/>
              <w:rPr>
                <w:rFonts w:hint="default" w:hAnsi="Times New Roman" w:eastAsiaTheme="minorEastAsia"/>
                <w:sz w:val="18"/>
                <w:szCs w:val="22"/>
                <w:highlight w:val="none"/>
              </w:rPr>
            </w:pPr>
            <w:r>
              <w:rPr>
                <w:rFonts w:hint="default" w:eastAsiaTheme="minorEastAsia"/>
                <w:sz w:val="18"/>
                <w:szCs w:val="22"/>
                <w:highlight w:val="none"/>
              </w:rPr>
              <w:t>注</w:t>
            </w:r>
            <w:r>
              <w:rPr>
                <w:rFonts w:hint="default" w:hAnsi="Times New Roman" w:eastAsiaTheme="minorEastAsia"/>
                <w:sz w:val="18"/>
                <w:szCs w:val="22"/>
                <w:highlight w:val="none"/>
              </w:rPr>
              <w:t>5</w:t>
            </w:r>
            <w:r>
              <w:rPr>
                <w:rFonts w:hint="default" w:eastAsiaTheme="minorEastAsia"/>
                <w:sz w:val="18"/>
                <w:szCs w:val="22"/>
                <w:highlight w:val="none"/>
              </w:rPr>
              <w:t>：直接排放受纳水体影响范围涉及饮用水水源保护区、饮用水取水口、重点保护与珍稀水生生物的栖息地、重要水生生物的自然产卵场等保护目标时，评价等级不低于二级。</w:t>
            </w:r>
          </w:p>
          <w:p w14:paraId="078E2146">
            <w:pPr>
              <w:pStyle w:val="86"/>
              <w:keepNext w:val="0"/>
              <w:keepLines w:val="0"/>
              <w:suppressLineNumbers w:val="0"/>
              <w:spacing w:before="0" w:beforeAutospacing="0" w:after="0" w:afterAutospacing="0" w:line="0" w:lineRule="atLeast"/>
              <w:ind w:left="0" w:right="0" w:firstLine="318"/>
              <w:jc w:val="both"/>
              <w:rPr>
                <w:rFonts w:hint="default" w:hAnsi="Times New Roman" w:eastAsiaTheme="minorEastAsia"/>
                <w:b/>
                <w:snapToGrid w:val="0"/>
                <w:kern w:val="0"/>
                <w:highlight w:val="none"/>
                <w:lang w:val="zh-CN"/>
              </w:rPr>
            </w:pPr>
            <w:r>
              <w:rPr>
                <w:rFonts w:hint="default" w:eastAsiaTheme="minorEastAsia"/>
                <w:sz w:val="18"/>
                <w:szCs w:val="22"/>
                <w:highlight w:val="none"/>
              </w:rPr>
              <w:t>注</w:t>
            </w:r>
            <w:r>
              <w:rPr>
                <w:rFonts w:hint="default" w:hAnsi="Times New Roman" w:eastAsiaTheme="minorEastAsia"/>
                <w:sz w:val="18"/>
                <w:szCs w:val="22"/>
                <w:highlight w:val="none"/>
              </w:rPr>
              <w:t>6</w:t>
            </w:r>
            <w:r>
              <w:rPr>
                <w:rFonts w:hint="default" w:eastAsiaTheme="minorEastAsia"/>
                <w:sz w:val="18"/>
                <w:szCs w:val="22"/>
                <w:highlight w:val="none"/>
              </w:rPr>
              <w:t>：建设项目向河流、湖库排放温排水引起受纳水体水温变化超过水环境质量标准要求，且评价范围有水温敏感目标时，评价等级为一级。</w:t>
            </w:r>
          </w:p>
          <w:p w14:paraId="79F749D9">
            <w:pPr>
              <w:pStyle w:val="86"/>
              <w:keepNext w:val="0"/>
              <w:keepLines w:val="0"/>
              <w:suppressLineNumbers w:val="0"/>
              <w:spacing w:before="0" w:beforeAutospacing="0" w:after="0" w:afterAutospacing="0" w:line="0" w:lineRule="atLeast"/>
              <w:ind w:left="0" w:right="0" w:firstLine="318"/>
              <w:jc w:val="both"/>
              <w:rPr>
                <w:rFonts w:hint="default" w:hAnsi="Times New Roman" w:eastAsiaTheme="minorEastAsia"/>
                <w:sz w:val="18"/>
                <w:szCs w:val="22"/>
                <w:highlight w:val="none"/>
              </w:rPr>
            </w:pPr>
            <w:r>
              <w:rPr>
                <w:rFonts w:hint="default" w:eastAsiaTheme="minorEastAsia"/>
                <w:sz w:val="18"/>
                <w:szCs w:val="22"/>
                <w:highlight w:val="none"/>
              </w:rPr>
              <w:t>注</w:t>
            </w:r>
            <w:r>
              <w:rPr>
                <w:rFonts w:hint="default" w:hAnsi="Times New Roman" w:eastAsiaTheme="minorEastAsia"/>
                <w:sz w:val="18"/>
                <w:szCs w:val="22"/>
                <w:highlight w:val="none"/>
              </w:rPr>
              <w:t>7</w:t>
            </w:r>
            <w:r>
              <w:rPr>
                <w:rFonts w:hint="default" w:eastAsiaTheme="minorEastAsia"/>
                <w:sz w:val="18"/>
                <w:szCs w:val="22"/>
                <w:highlight w:val="none"/>
              </w:rPr>
              <w:t>：建设项目利用海水作为调节温度介质，排水量</w:t>
            </w:r>
            <w:r>
              <w:rPr>
                <w:rFonts w:hint="default" w:hAnsi="Times New Roman" w:eastAsiaTheme="minorEastAsia"/>
                <w:sz w:val="18"/>
                <w:szCs w:val="22"/>
                <w:highlight w:val="none"/>
              </w:rPr>
              <w:t>≥500</w:t>
            </w:r>
            <w:r>
              <w:rPr>
                <w:rFonts w:hint="default" w:eastAsiaTheme="minorEastAsia"/>
                <w:sz w:val="18"/>
                <w:szCs w:val="22"/>
                <w:highlight w:val="none"/>
              </w:rPr>
              <w:t>万</w:t>
            </w:r>
            <w:r>
              <w:rPr>
                <w:rFonts w:hint="default" w:hAnsi="Times New Roman" w:eastAsiaTheme="minorEastAsia"/>
                <w:sz w:val="18"/>
                <w:szCs w:val="22"/>
                <w:highlight w:val="none"/>
              </w:rPr>
              <w:t>m</w:t>
            </w:r>
            <w:r>
              <w:rPr>
                <w:rFonts w:hint="default" w:hAnsi="Times New Roman" w:eastAsiaTheme="minorEastAsia"/>
                <w:sz w:val="18"/>
                <w:szCs w:val="22"/>
                <w:highlight w:val="none"/>
                <w:vertAlign w:val="superscript"/>
              </w:rPr>
              <w:t>3</w:t>
            </w:r>
            <w:r>
              <w:rPr>
                <w:rFonts w:hint="default" w:hAnsi="Times New Roman" w:eastAsiaTheme="minorEastAsia"/>
                <w:sz w:val="18"/>
                <w:szCs w:val="22"/>
                <w:highlight w:val="none"/>
              </w:rPr>
              <w:t>/d</w:t>
            </w:r>
            <w:r>
              <w:rPr>
                <w:rFonts w:hint="default" w:eastAsiaTheme="minorEastAsia"/>
                <w:sz w:val="18"/>
                <w:szCs w:val="22"/>
                <w:highlight w:val="none"/>
              </w:rPr>
              <w:t>，评价等级为一级；排水量＜</w:t>
            </w:r>
            <w:r>
              <w:rPr>
                <w:rFonts w:hint="default" w:hAnsi="Times New Roman" w:eastAsiaTheme="minorEastAsia"/>
                <w:sz w:val="18"/>
                <w:szCs w:val="22"/>
                <w:highlight w:val="none"/>
              </w:rPr>
              <w:t>500</w:t>
            </w:r>
            <w:r>
              <w:rPr>
                <w:rFonts w:hint="default" w:eastAsiaTheme="minorEastAsia"/>
                <w:sz w:val="18"/>
                <w:szCs w:val="22"/>
                <w:highlight w:val="none"/>
              </w:rPr>
              <w:t>万</w:t>
            </w:r>
            <w:r>
              <w:rPr>
                <w:rFonts w:hint="default" w:hAnsi="Times New Roman" w:eastAsiaTheme="minorEastAsia"/>
                <w:sz w:val="18"/>
                <w:szCs w:val="22"/>
                <w:highlight w:val="none"/>
              </w:rPr>
              <w:t>m</w:t>
            </w:r>
            <w:r>
              <w:rPr>
                <w:rFonts w:hint="default" w:hAnsi="Times New Roman" w:eastAsiaTheme="minorEastAsia"/>
                <w:sz w:val="18"/>
                <w:szCs w:val="22"/>
                <w:highlight w:val="none"/>
                <w:vertAlign w:val="superscript"/>
              </w:rPr>
              <w:t>3</w:t>
            </w:r>
            <w:r>
              <w:rPr>
                <w:rFonts w:hint="default" w:hAnsi="Times New Roman" w:eastAsiaTheme="minorEastAsia"/>
                <w:sz w:val="18"/>
                <w:szCs w:val="22"/>
                <w:highlight w:val="none"/>
              </w:rPr>
              <w:t>/d</w:t>
            </w:r>
            <w:r>
              <w:rPr>
                <w:rFonts w:hint="default" w:eastAsiaTheme="minorEastAsia"/>
                <w:sz w:val="18"/>
                <w:szCs w:val="22"/>
                <w:highlight w:val="none"/>
              </w:rPr>
              <w:t>，评价等级为二级。注</w:t>
            </w:r>
            <w:r>
              <w:rPr>
                <w:rFonts w:hint="default" w:hAnsi="Times New Roman" w:eastAsiaTheme="minorEastAsia"/>
                <w:sz w:val="18"/>
                <w:szCs w:val="22"/>
                <w:highlight w:val="none"/>
              </w:rPr>
              <w:t>8</w:t>
            </w:r>
            <w:r>
              <w:rPr>
                <w:rFonts w:hint="default" w:eastAsiaTheme="minorEastAsia"/>
                <w:sz w:val="18"/>
                <w:szCs w:val="22"/>
                <w:highlight w:val="none"/>
              </w:rPr>
              <w:t>：仅涉及清净下水排放的，如其排放水质满足受纳水体水环境质量标准要求的，评价等级为三级</w:t>
            </w:r>
            <w:r>
              <w:rPr>
                <w:rFonts w:hint="default" w:hAnsi="Times New Roman" w:eastAsiaTheme="minorEastAsia"/>
                <w:sz w:val="18"/>
                <w:szCs w:val="22"/>
                <w:highlight w:val="none"/>
              </w:rPr>
              <w:t>A</w:t>
            </w:r>
            <w:r>
              <w:rPr>
                <w:rFonts w:hint="default" w:eastAsiaTheme="minorEastAsia"/>
                <w:sz w:val="18"/>
                <w:szCs w:val="22"/>
                <w:highlight w:val="none"/>
              </w:rPr>
              <w:t>。</w:t>
            </w:r>
          </w:p>
          <w:p w14:paraId="4B9656AE">
            <w:pPr>
              <w:pStyle w:val="86"/>
              <w:keepNext w:val="0"/>
              <w:keepLines w:val="0"/>
              <w:suppressLineNumbers w:val="0"/>
              <w:spacing w:before="0" w:beforeAutospacing="0" w:after="0" w:afterAutospacing="0" w:line="0" w:lineRule="atLeast"/>
              <w:ind w:left="0" w:right="0" w:firstLine="318"/>
              <w:jc w:val="both"/>
              <w:rPr>
                <w:rFonts w:hint="default" w:hAnsi="Times New Roman" w:eastAsiaTheme="minorEastAsia"/>
                <w:sz w:val="18"/>
                <w:szCs w:val="22"/>
                <w:highlight w:val="none"/>
              </w:rPr>
            </w:pPr>
            <w:r>
              <w:rPr>
                <w:rFonts w:hint="default" w:eastAsiaTheme="minorEastAsia"/>
                <w:sz w:val="18"/>
                <w:szCs w:val="22"/>
                <w:highlight w:val="none"/>
              </w:rPr>
              <w:t>注</w:t>
            </w:r>
            <w:r>
              <w:rPr>
                <w:rFonts w:hint="default" w:hAnsi="Times New Roman" w:eastAsiaTheme="minorEastAsia"/>
                <w:sz w:val="18"/>
                <w:szCs w:val="22"/>
                <w:highlight w:val="none"/>
              </w:rPr>
              <w:t>9</w:t>
            </w:r>
            <w:r>
              <w:rPr>
                <w:rFonts w:hint="default" w:eastAsiaTheme="minorEastAsia"/>
                <w:sz w:val="18"/>
                <w:szCs w:val="22"/>
                <w:highlight w:val="none"/>
              </w:rPr>
              <w:t>：依托现有排放口，且对外环境未新增排放污染物的直接排放建设项目，评价等级参照间接排放，定为三级</w:t>
            </w:r>
            <w:r>
              <w:rPr>
                <w:rFonts w:hint="default" w:hAnsi="Times New Roman" w:eastAsiaTheme="minorEastAsia"/>
                <w:sz w:val="18"/>
                <w:szCs w:val="22"/>
                <w:highlight w:val="none"/>
              </w:rPr>
              <w:t>B</w:t>
            </w:r>
            <w:r>
              <w:rPr>
                <w:rFonts w:hint="default" w:eastAsiaTheme="minorEastAsia"/>
                <w:sz w:val="18"/>
                <w:szCs w:val="22"/>
                <w:highlight w:val="none"/>
              </w:rPr>
              <w:t>。</w:t>
            </w:r>
          </w:p>
          <w:p w14:paraId="12F1E32B">
            <w:pPr>
              <w:pStyle w:val="86"/>
              <w:keepNext w:val="0"/>
              <w:keepLines w:val="0"/>
              <w:suppressLineNumbers w:val="0"/>
              <w:spacing w:before="0" w:beforeAutospacing="0" w:after="0" w:afterAutospacing="0" w:line="0" w:lineRule="atLeast"/>
              <w:ind w:left="0" w:right="0" w:firstLine="318"/>
              <w:jc w:val="both"/>
              <w:rPr>
                <w:rFonts w:hint="default" w:eastAsiaTheme="minorEastAsia"/>
                <w:sz w:val="18"/>
                <w:szCs w:val="22"/>
                <w:highlight w:val="none"/>
              </w:rPr>
            </w:pPr>
            <w:r>
              <w:rPr>
                <w:rFonts w:hint="default" w:eastAsiaTheme="minorEastAsia"/>
                <w:sz w:val="18"/>
                <w:szCs w:val="22"/>
                <w:highlight w:val="none"/>
              </w:rPr>
              <w:t>注</w:t>
            </w:r>
            <w:r>
              <w:rPr>
                <w:rFonts w:hint="default" w:hAnsi="Times New Roman" w:eastAsiaTheme="minorEastAsia"/>
                <w:sz w:val="18"/>
                <w:szCs w:val="22"/>
                <w:highlight w:val="none"/>
              </w:rPr>
              <w:t>10</w:t>
            </w:r>
            <w:r>
              <w:rPr>
                <w:rFonts w:hint="default" w:eastAsiaTheme="minorEastAsia"/>
                <w:sz w:val="18"/>
                <w:szCs w:val="22"/>
                <w:highlight w:val="none"/>
              </w:rPr>
              <w:t>：建设项目生产工艺中有废水产生，但作为回水利用，不排放到外环境的，按三级</w:t>
            </w:r>
            <w:r>
              <w:rPr>
                <w:rFonts w:hint="default" w:hAnsi="Times New Roman" w:eastAsiaTheme="minorEastAsia"/>
                <w:sz w:val="18"/>
                <w:szCs w:val="22"/>
                <w:highlight w:val="none"/>
              </w:rPr>
              <w:t>B</w:t>
            </w:r>
            <w:r>
              <w:rPr>
                <w:rFonts w:hint="default" w:eastAsiaTheme="minorEastAsia"/>
                <w:sz w:val="18"/>
                <w:szCs w:val="22"/>
                <w:highlight w:val="none"/>
              </w:rPr>
              <w:t>评价。</w:t>
            </w:r>
          </w:p>
        </w:tc>
      </w:tr>
    </w:tbl>
    <w:p w14:paraId="69131CA0">
      <w:pPr>
        <w:bidi w:val="0"/>
        <w:rPr>
          <w:rFonts w:eastAsiaTheme="minorEastAsia"/>
          <w:kern w:val="0"/>
          <w:sz w:val="24"/>
          <w:highlight w:val="none"/>
        </w:rPr>
      </w:pPr>
      <w:r>
        <w:rPr>
          <w:rFonts w:hAnsiTheme="minorEastAsia" w:eastAsiaTheme="minorEastAsia"/>
          <w:kern w:val="0"/>
          <w:sz w:val="24"/>
          <w:highlight w:val="none"/>
        </w:rPr>
        <w:t>根据工程的排污特点，</w:t>
      </w:r>
      <w:r>
        <w:rPr>
          <w:rFonts w:hint="eastAsia" w:hAnsiTheme="minorEastAsia" w:eastAsiaTheme="minorEastAsia"/>
          <w:kern w:val="0"/>
          <w:sz w:val="24"/>
          <w:highlight w:val="none"/>
          <w:lang w:val="en-US" w:eastAsia="zh-CN"/>
        </w:rPr>
        <w:t>本项目</w:t>
      </w:r>
      <w:r>
        <w:rPr>
          <w:rFonts w:hAnsiTheme="minorEastAsia" w:eastAsiaTheme="minorEastAsia"/>
          <w:kern w:val="0"/>
          <w:sz w:val="24"/>
          <w:highlight w:val="none"/>
        </w:rPr>
        <w:t>生产废水</w:t>
      </w:r>
      <w:r>
        <w:rPr>
          <w:rFonts w:hint="eastAsia" w:hAnsiTheme="minorEastAsia" w:eastAsiaTheme="minorEastAsia"/>
          <w:kern w:val="0"/>
          <w:sz w:val="24"/>
          <w:highlight w:val="none"/>
          <w:lang w:val="en-US" w:eastAsia="zh-CN"/>
        </w:rPr>
        <w:t>依托现有</w:t>
      </w:r>
      <w:r>
        <w:rPr>
          <w:rFonts w:eastAsiaTheme="minorEastAsia"/>
          <w:kern w:val="0"/>
          <w:sz w:val="24"/>
          <w:highlight w:val="none"/>
        </w:rPr>
        <w:t>4</w:t>
      </w:r>
      <w:r>
        <w:rPr>
          <w:rFonts w:hAnsiTheme="minorEastAsia" w:eastAsiaTheme="minorEastAsia"/>
          <w:kern w:val="0"/>
          <w:sz w:val="24"/>
          <w:highlight w:val="none"/>
        </w:rPr>
        <w:t>号联合厂房内污水处理站，处理达标后排入</w:t>
      </w:r>
      <w:r>
        <w:rPr>
          <w:rFonts w:hint="eastAsia" w:hAnsiTheme="minorEastAsia" w:eastAsiaTheme="minorEastAsia"/>
          <w:kern w:val="0"/>
          <w:sz w:val="24"/>
          <w:highlight w:val="none"/>
          <w:lang w:val="en-US" w:eastAsia="zh-CN"/>
        </w:rPr>
        <w:t>哈尔滨市朝阳水质净化厂</w:t>
      </w:r>
      <w:r>
        <w:rPr>
          <w:rFonts w:hAnsiTheme="minorEastAsia" w:eastAsiaTheme="minorEastAsia"/>
          <w:kern w:val="0"/>
          <w:sz w:val="24"/>
          <w:highlight w:val="none"/>
        </w:rPr>
        <w:t>处理，达标后排入</w:t>
      </w:r>
      <w:r>
        <w:rPr>
          <w:rFonts w:hint="eastAsia" w:hAnsiTheme="minorEastAsia" w:eastAsiaTheme="minorEastAsia"/>
          <w:kern w:val="0"/>
          <w:sz w:val="24"/>
          <w:highlight w:val="none"/>
          <w:lang w:eastAsia="zh-CN"/>
        </w:rPr>
        <w:t>马家沟河</w:t>
      </w:r>
      <w:r>
        <w:rPr>
          <w:rFonts w:hAnsiTheme="minorEastAsia" w:eastAsiaTheme="minorEastAsia"/>
          <w:kern w:val="0"/>
          <w:sz w:val="24"/>
          <w:highlight w:val="none"/>
        </w:rPr>
        <w:t>，最终汇入松花江；</w:t>
      </w:r>
      <w:r>
        <w:rPr>
          <w:rFonts w:hint="eastAsia" w:hAnsiTheme="minorEastAsia" w:eastAsiaTheme="minorEastAsia"/>
          <w:kern w:val="0"/>
          <w:sz w:val="24"/>
          <w:highlight w:val="none"/>
          <w:lang w:val="en-US" w:eastAsia="zh-CN"/>
        </w:rPr>
        <w:t>不新增生活污水</w:t>
      </w:r>
      <w:r>
        <w:rPr>
          <w:rFonts w:hAnsiTheme="minorEastAsia" w:eastAsiaTheme="minorEastAsia"/>
          <w:kern w:val="0"/>
          <w:sz w:val="24"/>
          <w:highlight w:val="none"/>
        </w:rPr>
        <w:t>，属于间接排放，按照《环境影响评价技术导则</w:t>
      </w:r>
      <w:r>
        <w:rPr>
          <w:rFonts w:eastAsiaTheme="minorEastAsia"/>
          <w:kern w:val="0"/>
          <w:sz w:val="24"/>
          <w:highlight w:val="none"/>
        </w:rPr>
        <w:t>—</w:t>
      </w:r>
      <w:r>
        <w:rPr>
          <w:rFonts w:hAnsiTheme="minorEastAsia" w:eastAsiaTheme="minorEastAsia"/>
          <w:kern w:val="0"/>
          <w:sz w:val="24"/>
          <w:highlight w:val="none"/>
        </w:rPr>
        <w:t>地表水环境》（</w:t>
      </w:r>
      <w:r>
        <w:rPr>
          <w:rFonts w:eastAsiaTheme="minorEastAsia"/>
          <w:kern w:val="0"/>
          <w:sz w:val="24"/>
          <w:highlight w:val="none"/>
        </w:rPr>
        <w:t>HJ2.3-2018</w:t>
      </w:r>
      <w:r>
        <w:rPr>
          <w:rFonts w:hAnsiTheme="minorEastAsia" w:eastAsiaTheme="minorEastAsia"/>
          <w:kern w:val="0"/>
          <w:sz w:val="24"/>
          <w:highlight w:val="none"/>
        </w:rPr>
        <w:t>）的有关规定，本项目产生的评价等级为三级</w:t>
      </w:r>
      <w:r>
        <w:rPr>
          <w:rFonts w:eastAsiaTheme="minorEastAsia"/>
          <w:kern w:val="0"/>
          <w:sz w:val="24"/>
          <w:highlight w:val="none"/>
        </w:rPr>
        <w:t>B</w:t>
      </w:r>
      <w:r>
        <w:rPr>
          <w:rFonts w:hAnsiTheme="minorEastAsia" w:eastAsiaTheme="minorEastAsia"/>
          <w:kern w:val="0"/>
          <w:sz w:val="24"/>
          <w:highlight w:val="none"/>
        </w:rPr>
        <w:t>。</w:t>
      </w:r>
    </w:p>
    <w:p w14:paraId="746561F8">
      <w:pPr>
        <w:pStyle w:val="4"/>
        <w:bidi w:val="0"/>
        <w:rPr>
          <w:highlight w:val="none"/>
        </w:rPr>
      </w:pPr>
      <w:bookmarkStart w:id="171" w:name="_Toc1795"/>
      <w:bookmarkStart w:id="172" w:name="_Toc4778"/>
      <w:r>
        <w:rPr>
          <w:highlight w:val="none"/>
        </w:rPr>
        <w:t>2.4.3地下水环境</w:t>
      </w:r>
      <w:bookmarkEnd w:id="171"/>
      <w:bookmarkEnd w:id="172"/>
    </w:p>
    <w:p w14:paraId="07E909E5">
      <w:pPr>
        <w:bidi w:val="0"/>
        <w:rPr>
          <w:highlight w:val="none"/>
        </w:rPr>
      </w:pPr>
      <w:r>
        <w:rPr>
          <w:highlight w:val="none"/>
        </w:rPr>
        <w:t>根据《环境影响评价技术导则地下水环境》（HJ610-2016）评价工作等级的划分应依据建设项目行业分类和地下水环境敏感程度分级进行判定。</w:t>
      </w:r>
    </w:p>
    <w:p w14:paraId="06515C05">
      <w:pPr>
        <w:bidi w:val="0"/>
        <w:rPr>
          <w:highlight w:val="none"/>
        </w:rPr>
      </w:pPr>
      <w:r>
        <w:rPr>
          <w:highlight w:val="none"/>
        </w:rPr>
        <w:t>（1）根据《环境影响评价技术导则地下水环境》附录A确定本项目所属的地下水环境影响评价项目类别为</w:t>
      </w:r>
      <w:r>
        <w:rPr>
          <w:rFonts w:hint="default"/>
          <w:highlight w:val="none"/>
        </w:rPr>
        <w:fldChar w:fldCharType="begin"/>
      </w:r>
      <w:r>
        <w:rPr>
          <w:rFonts w:hint="default"/>
          <w:highlight w:val="none"/>
        </w:rPr>
        <w:instrText xml:space="preserve"> = 3 \* ROMAN </w:instrText>
      </w:r>
      <w:r>
        <w:rPr>
          <w:rFonts w:hint="default"/>
          <w:highlight w:val="none"/>
        </w:rPr>
        <w:fldChar w:fldCharType="separate"/>
      </w:r>
      <w:r>
        <w:rPr>
          <w:rFonts w:hint="default"/>
          <w:highlight w:val="none"/>
        </w:rPr>
        <w:t>I</w:t>
      </w:r>
      <w:r>
        <w:rPr>
          <w:rFonts w:hint="default"/>
          <w:highlight w:val="none"/>
        </w:rPr>
        <w:fldChar w:fldCharType="end"/>
      </w:r>
      <w:r>
        <w:rPr>
          <w:highlight w:val="none"/>
        </w:rPr>
        <w:t>类。</w:t>
      </w:r>
    </w:p>
    <w:p w14:paraId="415300FA">
      <w:pPr>
        <w:bidi w:val="0"/>
        <w:rPr>
          <w:highlight w:val="none"/>
        </w:rPr>
      </w:pPr>
      <w:r>
        <w:rPr>
          <w:highlight w:val="none"/>
        </w:rPr>
        <w:t>（2）建设项目场地的地下水环境敏感程度可分为敏感、较敏感、不敏感三级，分级原则见</w:t>
      </w:r>
      <w:r>
        <w:rPr>
          <w:rFonts w:hint="eastAsia"/>
          <w:highlight w:val="none"/>
          <w:lang w:val="en-US" w:eastAsia="zh-CN"/>
        </w:rPr>
        <w:t>下表</w:t>
      </w:r>
      <w:r>
        <w:rPr>
          <w:highlight w:val="none"/>
        </w:rPr>
        <w:t>。</w:t>
      </w:r>
    </w:p>
    <w:p w14:paraId="27003F5E">
      <w:pPr>
        <w:pStyle w:val="7"/>
        <w:bidi w:val="0"/>
        <w:rPr>
          <w:highlight w:val="none"/>
        </w:rPr>
      </w:pPr>
      <w:r>
        <w:rPr>
          <w:highlight w:val="none"/>
        </w:rPr>
        <w:t>表2-4-</w:t>
      </w:r>
      <w:r>
        <w:rPr>
          <w:rFonts w:hint="eastAsia"/>
          <w:highlight w:val="none"/>
          <w:lang w:val="en-US" w:eastAsia="zh-CN"/>
        </w:rPr>
        <w:t>8</w:t>
      </w:r>
      <w:r>
        <w:rPr>
          <w:highlight w:val="none"/>
        </w:rPr>
        <w:t>地下水环境敏感程度分级</w:t>
      </w:r>
    </w:p>
    <w:tbl>
      <w:tblPr>
        <w:tblStyle w:val="45"/>
        <w:tblW w:w="868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85"/>
        <w:gridCol w:w="7800"/>
      </w:tblGrid>
      <w:tr w14:paraId="36FAE3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885" w:type="dxa"/>
            <w:vAlign w:val="center"/>
          </w:tcPr>
          <w:p w14:paraId="613543D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cs="Times New Roman" w:hAnsiTheme="minorEastAsia" w:eastAsiaTheme="minorEastAsia"/>
                <w:snapToGrid w:val="0"/>
                <w:kern w:val="0"/>
                <w:sz w:val="21"/>
                <w:szCs w:val="21"/>
                <w:highlight w:val="none"/>
                <w:lang w:val="zh-CN"/>
              </w:rPr>
            </w:pPr>
            <w:r>
              <w:rPr>
                <w:rFonts w:hint="default" w:ascii="Times New Roman" w:cs="Times New Roman" w:hAnsiTheme="minorEastAsia" w:eastAsiaTheme="minorEastAsia"/>
                <w:snapToGrid w:val="0"/>
                <w:kern w:val="0"/>
                <w:sz w:val="21"/>
                <w:szCs w:val="21"/>
                <w:highlight w:val="none"/>
                <w:lang w:val="zh-CN"/>
              </w:rPr>
              <w:t>分级</w:t>
            </w:r>
          </w:p>
        </w:tc>
        <w:tc>
          <w:tcPr>
            <w:tcW w:w="7800" w:type="dxa"/>
            <w:vAlign w:val="center"/>
          </w:tcPr>
          <w:p w14:paraId="5F73B3E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cs="Times New Roman" w:hAnsiTheme="minorEastAsia" w:eastAsiaTheme="minorEastAsia"/>
                <w:snapToGrid w:val="0"/>
                <w:kern w:val="0"/>
                <w:sz w:val="21"/>
                <w:szCs w:val="21"/>
                <w:highlight w:val="none"/>
                <w:lang w:val="zh-CN"/>
              </w:rPr>
            </w:pPr>
            <w:r>
              <w:rPr>
                <w:rFonts w:hint="default" w:ascii="Times New Roman" w:cs="Times New Roman" w:hAnsiTheme="minorEastAsia" w:eastAsiaTheme="minorEastAsia"/>
                <w:snapToGrid w:val="0"/>
                <w:kern w:val="0"/>
                <w:sz w:val="21"/>
                <w:szCs w:val="21"/>
                <w:highlight w:val="none"/>
                <w:lang w:val="zh-CN"/>
              </w:rPr>
              <w:t>项目场地的地下水环境敏感特征</w:t>
            </w:r>
          </w:p>
        </w:tc>
      </w:tr>
      <w:tr w14:paraId="438E8C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96" w:hRule="exact"/>
          <w:jc w:val="center"/>
        </w:trPr>
        <w:tc>
          <w:tcPr>
            <w:tcW w:w="885" w:type="dxa"/>
            <w:vAlign w:val="center"/>
          </w:tcPr>
          <w:p w14:paraId="044F019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cs="Times New Roman" w:hAnsiTheme="minorEastAsia" w:eastAsiaTheme="minorEastAsia"/>
                <w:snapToGrid w:val="0"/>
                <w:kern w:val="0"/>
                <w:sz w:val="21"/>
                <w:szCs w:val="21"/>
                <w:highlight w:val="none"/>
                <w:lang w:val="zh-CN"/>
              </w:rPr>
            </w:pPr>
            <w:r>
              <w:rPr>
                <w:rFonts w:hint="default" w:ascii="Times New Roman" w:cs="Times New Roman" w:hAnsiTheme="minorEastAsia" w:eastAsiaTheme="minorEastAsia"/>
                <w:snapToGrid w:val="0"/>
                <w:kern w:val="0"/>
                <w:sz w:val="21"/>
                <w:szCs w:val="21"/>
                <w:highlight w:val="none"/>
                <w:lang w:val="zh-CN"/>
              </w:rPr>
              <w:t>敏感</w:t>
            </w:r>
          </w:p>
        </w:tc>
        <w:tc>
          <w:tcPr>
            <w:tcW w:w="7800" w:type="dxa"/>
            <w:vAlign w:val="center"/>
          </w:tcPr>
          <w:p w14:paraId="7A190EF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cs="Times New Roman" w:hAnsiTheme="minorEastAsia" w:eastAsiaTheme="minorEastAsia"/>
                <w:snapToGrid w:val="0"/>
                <w:kern w:val="0"/>
                <w:sz w:val="21"/>
                <w:szCs w:val="21"/>
                <w:highlight w:val="none"/>
                <w:lang w:val="zh-CN"/>
              </w:rPr>
            </w:pPr>
            <w:r>
              <w:rPr>
                <w:rFonts w:hint="default" w:ascii="Times New Roman" w:cs="Times New Roman" w:hAnsiTheme="minorEastAsia" w:eastAsiaTheme="minorEastAsia"/>
                <w:snapToGrid w:val="0"/>
                <w:kern w:val="0"/>
                <w:sz w:val="21"/>
                <w:szCs w:val="21"/>
                <w:highlight w:val="none"/>
                <w:lang w:val="zh-CN"/>
              </w:rP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14:paraId="580092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51" w:hRule="exact"/>
          <w:jc w:val="center"/>
        </w:trPr>
        <w:tc>
          <w:tcPr>
            <w:tcW w:w="885" w:type="dxa"/>
            <w:vAlign w:val="center"/>
          </w:tcPr>
          <w:p w14:paraId="62FC57E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cs="Times New Roman" w:hAnsiTheme="minorEastAsia" w:eastAsiaTheme="minorEastAsia"/>
                <w:snapToGrid w:val="0"/>
                <w:kern w:val="0"/>
                <w:sz w:val="21"/>
                <w:szCs w:val="21"/>
                <w:highlight w:val="none"/>
                <w:lang w:val="zh-CN"/>
              </w:rPr>
            </w:pPr>
            <w:r>
              <w:rPr>
                <w:rFonts w:hint="default" w:ascii="Times New Roman" w:cs="Times New Roman" w:hAnsiTheme="minorEastAsia" w:eastAsiaTheme="minorEastAsia"/>
                <w:snapToGrid w:val="0"/>
                <w:kern w:val="0"/>
                <w:sz w:val="21"/>
                <w:szCs w:val="21"/>
                <w:highlight w:val="none"/>
                <w:lang w:val="zh-CN"/>
              </w:rPr>
              <w:t>较敏感</w:t>
            </w:r>
          </w:p>
        </w:tc>
        <w:tc>
          <w:tcPr>
            <w:tcW w:w="7800" w:type="dxa"/>
            <w:vAlign w:val="center"/>
          </w:tcPr>
          <w:p w14:paraId="0AD1B4C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cs="Times New Roman" w:hAnsiTheme="minorEastAsia" w:eastAsiaTheme="minorEastAsia"/>
                <w:snapToGrid w:val="0"/>
                <w:kern w:val="0"/>
                <w:sz w:val="21"/>
                <w:szCs w:val="21"/>
                <w:highlight w:val="none"/>
                <w:lang w:val="zh-CN"/>
              </w:rPr>
            </w:pPr>
            <w:r>
              <w:rPr>
                <w:rFonts w:hint="default" w:ascii="Times New Roman" w:cs="Times New Roman" w:hAnsiTheme="minorEastAsia" w:eastAsiaTheme="minorEastAsia"/>
                <w:snapToGrid w:val="0"/>
                <w:kern w:val="0"/>
                <w:sz w:val="21"/>
                <w:szCs w:val="21"/>
                <w:highlight w:val="none"/>
                <w:lang w:val="zh-CN"/>
              </w:rPr>
              <w:t>集中式饮用水水源（包括已建成的在用、备用、应急水源，在建和规划的饮用水水源）准保护区以外的补给径流区；未划定准保护区的集中式饮用水水源，其保护区以外的补给径流区；分散式饮用水水源地；特殊地下水资源（如矿泉水、温泉等）保护区以外的分布区等其他未列入上述敏感分级的环境敏感区a</w:t>
            </w:r>
          </w:p>
        </w:tc>
      </w:tr>
      <w:tr w14:paraId="56B8C4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885" w:type="dxa"/>
            <w:vAlign w:val="center"/>
          </w:tcPr>
          <w:p w14:paraId="2E2352E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cs="Times New Roman" w:hAnsiTheme="minorEastAsia" w:eastAsiaTheme="minorEastAsia"/>
                <w:snapToGrid w:val="0"/>
                <w:kern w:val="0"/>
                <w:sz w:val="21"/>
                <w:szCs w:val="21"/>
                <w:highlight w:val="none"/>
                <w:lang w:val="zh-CN"/>
              </w:rPr>
            </w:pPr>
            <w:r>
              <w:rPr>
                <w:rFonts w:hint="default" w:ascii="Times New Roman" w:cs="Times New Roman" w:hAnsiTheme="minorEastAsia" w:eastAsiaTheme="minorEastAsia"/>
                <w:snapToGrid w:val="0"/>
                <w:kern w:val="0"/>
                <w:sz w:val="21"/>
                <w:szCs w:val="21"/>
                <w:highlight w:val="none"/>
                <w:lang w:val="zh-CN"/>
              </w:rPr>
              <w:t>不敏感</w:t>
            </w:r>
          </w:p>
        </w:tc>
        <w:tc>
          <w:tcPr>
            <w:tcW w:w="7800" w:type="dxa"/>
            <w:vAlign w:val="center"/>
          </w:tcPr>
          <w:p w14:paraId="3E06F4C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cs="Times New Roman" w:hAnsiTheme="minorEastAsia" w:eastAsiaTheme="minorEastAsia"/>
                <w:snapToGrid w:val="0"/>
                <w:kern w:val="0"/>
                <w:sz w:val="21"/>
                <w:szCs w:val="21"/>
                <w:highlight w:val="none"/>
                <w:lang w:val="zh-CN"/>
              </w:rPr>
            </w:pPr>
            <w:r>
              <w:rPr>
                <w:rFonts w:hint="default" w:ascii="Times New Roman" w:cs="Times New Roman" w:hAnsiTheme="minorEastAsia" w:eastAsiaTheme="minorEastAsia"/>
                <w:snapToGrid w:val="0"/>
                <w:kern w:val="0"/>
                <w:sz w:val="21"/>
                <w:szCs w:val="21"/>
                <w:highlight w:val="none"/>
                <w:lang w:val="zh-CN"/>
              </w:rPr>
              <w:t>上述地区之外的其他地区。</w:t>
            </w:r>
          </w:p>
        </w:tc>
      </w:tr>
      <w:tr w14:paraId="32F252A8">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 w:hRule="atLeast"/>
          <w:jc w:val="center"/>
        </w:trPr>
        <w:tc>
          <w:tcPr>
            <w:tcW w:w="8685" w:type="dxa"/>
            <w:gridSpan w:val="2"/>
            <w:vAlign w:val="center"/>
          </w:tcPr>
          <w:p w14:paraId="430E963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cs="Times New Roman" w:hAnsiTheme="minorEastAsia" w:eastAsiaTheme="minorEastAsia"/>
                <w:snapToGrid w:val="0"/>
                <w:kern w:val="0"/>
                <w:sz w:val="21"/>
                <w:szCs w:val="21"/>
                <w:highlight w:val="none"/>
                <w:lang w:val="zh-CN"/>
              </w:rPr>
            </w:pPr>
            <w:r>
              <w:rPr>
                <w:rFonts w:hint="default" w:ascii="Times New Roman" w:cs="Times New Roman" w:hAnsiTheme="minorEastAsia" w:eastAsiaTheme="minorEastAsia"/>
                <w:snapToGrid w:val="0"/>
                <w:kern w:val="0"/>
                <w:sz w:val="18"/>
                <w:szCs w:val="18"/>
                <w:highlight w:val="none"/>
                <w:lang w:val="zh-CN"/>
              </w:rPr>
              <w:t>注：a</w:t>
            </w:r>
            <w:r>
              <w:rPr>
                <w:rFonts w:hint="eastAsia" w:ascii="Times New Roman" w:cs="Times New Roman" w:hAnsiTheme="minorEastAsia" w:eastAsiaTheme="minorEastAsia"/>
                <w:snapToGrid w:val="0"/>
                <w:kern w:val="0"/>
                <w:sz w:val="18"/>
                <w:szCs w:val="18"/>
                <w:highlight w:val="none"/>
                <w:lang w:val="zh-CN" w:eastAsia="zh-CN"/>
              </w:rPr>
              <w:t>“</w:t>
            </w:r>
            <w:r>
              <w:rPr>
                <w:rFonts w:hint="default" w:ascii="Times New Roman" w:cs="Times New Roman" w:hAnsiTheme="minorEastAsia" w:eastAsiaTheme="minorEastAsia"/>
                <w:snapToGrid w:val="0"/>
                <w:kern w:val="0"/>
                <w:sz w:val="18"/>
                <w:szCs w:val="18"/>
                <w:highlight w:val="none"/>
                <w:lang w:val="zh-CN"/>
              </w:rPr>
              <w:t>环境敏感区</w:t>
            </w:r>
            <w:r>
              <w:rPr>
                <w:rFonts w:hint="eastAsia" w:ascii="Times New Roman" w:cs="Times New Roman" w:hAnsiTheme="minorEastAsia" w:eastAsiaTheme="minorEastAsia"/>
                <w:snapToGrid w:val="0"/>
                <w:kern w:val="0"/>
                <w:sz w:val="18"/>
                <w:szCs w:val="18"/>
                <w:highlight w:val="none"/>
                <w:lang w:val="zh-CN" w:eastAsia="zh-CN"/>
              </w:rPr>
              <w:t>”</w:t>
            </w:r>
            <w:r>
              <w:rPr>
                <w:rFonts w:hint="default" w:ascii="Times New Roman" w:cs="Times New Roman" w:hAnsiTheme="minorEastAsia" w:eastAsiaTheme="minorEastAsia"/>
                <w:snapToGrid w:val="0"/>
                <w:kern w:val="0"/>
                <w:sz w:val="18"/>
                <w:szCs w:val="18"/>
                <w:highlight w:val="none"/>
                <w:lang w:val="zh-CN"/>
              </w:rPr>
              <w:t>是指《建设项目环境影响评价分类管理名录》中所界定的涉及地下水的环境敏感区</w:t>
            </w:r>
            <w:r>
              <w:rPr>
                <w:rFonts w:hint="default" w:ascii="Times New Roman" w:cs="Times New Roman" w:hAnsiTheme="minorEastAsia" w:eastAsiaTheme="minorEastAsia"/>
                <w:snapToGrid w:val="0"/>
                <w:kern w:val="0"/>
                <w:sz w:val="21"/>
                <w:szCs w:val="21"/>
                <w:highlight w:val="none"/>
                <w:lang w:val="zh-CN"/>
              </w:rPr>
              <w:t>。</w:t>
            </w:r>
          </w:p>
        </w:tc>
      </w:tr>
    </w:tbl>
    <w:p w14:paraId="5D5E47FD">
      <w:pPr>
        <w:spacing w:line="360" w:lineRule="auto"/>
        <w:ind w:firstLine="480" w:firstLineChars="200"/>
        <w:rPr>
          <w:rFonts w:hAnsiTheme="minorEastAsia" w:eastAsiaTheme="minorEastAsia"/>
          <w:sz w:val="24"/>
          <w:highlight w:val="none"/>
        </w:rPr>
      </w:pPr>
      <w:r>
        <w:rPr>
          <w:rFonts w:hint="default"/>
          <w:highlight w:val="none"/>
        </w:rPr>
        <w:t>根据调查，本项目不在地下水集中式水源地（包括已建成的在用、备用、应急水源，在建和规划的饮用水水源）保护区范围内</w:t>
      </w:r>
      <w:r>
        <w:rPr>
          <w:rFonts w:hint="eastAsia"/>
          <w:highlight w:val="none"/>
          <w:lang w:eastAsia="zh-CN"/>
        </w:rPr>
        <w:t>，</w:t>
      </w:r>
      <w:r>
        <w:rPr>
          <w:rFonts w:hint="default"/>
          <w:highlight w:val="none"/>
        </w:rPr>
        <w:t>不在除集中式饮用水水源以外的国家或地方政府设定的与地下水环境相关的其它保护区，如热水、矿泉水、温泉等特殊地下水资源保护区。不在集中式饮用水水源（包括已建成的在用、备用、应急水源，在建和规划的饮用水水源）准保护区以外的补给径流区；不在未划定准保护区的集中水式饮用水水源，其保护区以外的补给径流区；不在特殊地下水资源（如矿泉水、温泉等）保护区以外的分布区等其他未列入上述敏感分级的环境敏感区内</w:t>
      </w:r>
      <w:r>
        <w:rPr>
          <w:rFonts w:hint="eastAsia"/>
          <w:highlight w:val="none"/>
          <w:lang w:eastAsia="zh-CN"/>
        </w:rPr>
        <w:t>。</w:t>
      </w:r>
      <w:r>
        <w:rPr>
          <w:rFonts w:hAnsiTheme="minorEastAsia" w:eastAsiaTheme="minorEastAsia"/>
          <w:sz w:val="24"/>
          <w:highlight w:val="none"/>
        </w:rPr>
        <w:t>本项目评价范围内的刘家村饮用水由村自打的分散式（供水人口数小于</w:t>
      </w:r>
      <w:r>
        <w:rPr>
          <w:rFonts w:eastAsiaTheme="minorEastAsia"/>
          <w:sz w:val="24"/>
          <w:highlight w:val="none"/>
        </w:rPr>
        <w:t>1000</w:t>
      </w:r>
      <w:r>
        <w:rPr>
          <w:rFonts w:hAnsiTheme="minorEastAsia" w:eastAsiaTheme="minorEastAsia"/>
          <w:sz w:val="24"/>
          <w:highlight w:val="none"/>
        </w:rPr>
        <w:t>人）饮用水水井提供，距离本项目厂界</w:t>
      </w:r>
      <w:r>
        <w:rPr>
          <w:rFonts w:eastAsiaTheme="minorEastAsia"/>
          <w:sz w:val="24"/>
          <w:highlight w:val="none"/>
        </w:rPr>
        <w:t>290m</w:t>
      </w:r>
      <w:r>
        <w:rPr>
          <w:rFonts w:hAnsiTheme="minorEastAsia" w:eastAsiaTheme="minorEastAsia"/>
          <w:sz w:val="24"/>
          <w:highlight w:val="none"/>
        </w:rPr>
        <w:t>，此饮用水井供水人口为</w:t>
      </w:r>
      <w:r>
        <w:rPr>
          <w:rFonts w:eastAsiaTheme="minorEastAsia"/>
          <w:sz w:val="24"/>
          <w:highlight w:val="none"/>
        </w:rPr>
        <w:t>850</w:t>
      </w:r>
      <w:r>
        <w:rPr>
          <w:rFonts w:hAnsiTheme="minorEastAsia" w:eastAsiaTheme="minorEastAsia"/>
          <w:sz w:val="24"/>
          <w:highlight w:val="none"/>
        </w:rPr>
        <w:t>人，该水井未划定保护区，考虑未划定保护区的分散水井按</w:t>
      </w:r>
      <w:r>
        <w:rPr>
          <w:rFonts w:eastAsiaTheme="minorEastAsia"/>
          <w:sz w:val="24"/>
          <w:highlight w:val="none"/>
        </w:rPr>
        <w:t>30m</w:t>
      </w:r>
      <w:r>
        <w:rPr>
          <w:rFonts w:hAnsiTheme="minorEastAsia" w:eastAsiaTheme="minorEastAsia"/>
          <w:sz w:val="24"/>
          <w:highlight w:val="none"/>
        </w:rPr>
        <w:t>划定一级保护区，因此本项目不在保护区范围内；其他评价区域饮用水由市政自来水提供，评价范围无其他饮用水井。</w:t>
      </w:r>
    </w:p>
    <w:p w14:paraId="22999A66">
      <w:pPr>
        <w:bidi w:val="0"/>
        <w:rPr>
          <w:rFonts w:hint="eastAsia"/>
          <w:color w:val="000000" w:themeColor="text1"/>
          <w:highlight w:val="none"/>
          <w:lang w:val="en-US" w:eastAsia="zh-CN"/>
        </w:rPr>
      </w:pPr>
      <w:r>
        <w:rPr>
          <w:rFonts w:hint="eastAsia" w:ascii="Times New Roman" w:hAnsi="Times New Roman"/>
          <w:color w:val="000000" w:themeColor="text1"/>
          <w:kern w:val="0"/>
          <w:highlight w:val="none"/>
        </w:rPr>
        <w:t>以敏感区边界外扩3000天的质点迁移距离范围作为较敏感区</w:t>
      </w:r>
      <w:r>
        <w:rPr>
          <w:rFonts w:hint="eastAsia"/>
          <w:color w:val="000000" w:themeColor="text1"/>
          <w:highlight w:val="none"/>
          <w:lang w:val="en-US" w:eastAsia="zh-CN"/>
        </w:rPr>
        <w:t>。</w:t>
      </w:r>
    </w:p>
    <w:p w14:paraId="28FFC39A">
      <w:pPr>
        <w:keepNext w:val="0"/>
        <w:keepLines w:val="0"/>
        <w:pageBreakBefore w:val="0"/>
        <w:widowControl w:val="0"/>
        <w:wordWrap/>
        <w:overflowPunct/>
        <w:topLinePunct w:val="0"/>
        <w:bidi w:val="0"/>
        <w:adjustRightInd/>
        <w:snapToGrid/>
        <w:spacing w:line="480" w:lineRule="exact"/>
        <w:ind w:firstLine="482" w:firstLineChars="0"/>
        <w:jc w:val="center"/>
        <w:rPr>
          <w:rFonts w:eastAsia="仿宋_GB2312"/>
          <w:color w:val="000000" w:themeColor="text1"/>
          <w:highlight w:val="none"/>
          <w:vertAlign w:val="subscript"/>
          <w:lang w:val="en-GB"/>
        </w:rPr>
      </w:pPr>
      <w:r>
        <w:rPr>
          <w:rFonts w:eastAsia="仿宋_GB2312"/>
          <w:color w:val="000000" w:themeColor="text1"/>
          <w:highlight w:val="none"/>
          <w:lang w:val="en-GB"/>
        </w:rPr>
        <w:t>L=a×K×I×T/n</w:t>
      </w:r>
      <w:r>
        <w:rPr>
          <w:rFonts w:eastAsia="仿宋_GB2312"/>
          <w:color w:val="000000" w:themeColor="text1"/>
          <w:highlight w:val="none"/>
          <w:vertAlign w:val="subscript"/>
          <w:lang w:val="en-GB"/>
        </w:rPr>
        <w:t>e</w:t>
      </w:r>
    </w:p>
    <w:p w14:paraId="0CA40754">
      <w:pPr>
        <w:bidi w:val="0"/>
        <w:rPr>
          <w:rFonts w:hint="eastAsia"/>
          <w:color w:val="000000" w:themeColor="text1"/>
          <w:highlight w:val="none"/>
          <w:lang w:val="en-GB" w:eastAsia="zh-CN"/>
        </w:rPr>
      </w:pPr>
      <w:r>
        <w:rPr>
          <w:rFonts w:hint="eastAsia" w:ascii="Times New Roman" w:hAnsi="Times New Roman" w:eastAsia="宋体" w:cs="Times New Roman"/>
          <w:b w:val="0"/>
          <w:bCs w:val="0"/>
          <w:color w:val="000000" w:themeColor="text1"/>
          <w:kern w:val="0"/>
          <w:szCs w:val="28"/>
          <w:highlight w:val="none"/>
          <w:lang w:val="en-GB" w:eastAsia="zh-CN" w:bidi="ar-SA"/>
        </w:rPr>
        <w:t>L－下游迁移距</w:t>
      </w:r>
      <w:r>
        <w:rPr>
          <w:rFonts w:hint="eastAsia"/>
          <w:color w:val="000000" w:themeColor="text1"/>
          <w:highlight w:val="none"/>
          <w:lang w:val="en-GB" w:eastAsia="zh-CN"/>
        </w:rPr>
        <w:t>离，m</w:t>
      </w:r>
    </w:p>
    <w:p w14:paraId="765D6AC8">
      <w:pPr>
        <w:bidi w:val="0"/>
        <w:rPr>
          <w:rFonts w:hint="eastAsia"/>
          <w:color w:val="000000" w:themeColor="text1"/>
          <w:highlight w:val="none"/>
          <w:lang w:val="en-GB" w:eastAsia="zh-CN"/>
        </w:rPr>
      </w:pPr>
      <w:r>
        <w:rPr>
          <w:rFonts w:hint="eastAsia"/>
          <w:color w:val="000000" w:themeColor="text1"/>
          <w:highlight w:val="none"/>
          <w:lang w:val="en-GB" w:eastAsia="zh-CN"/>
        </w:rPr>
        <w:t>a－变化系数，a</w:t>
      </w:r>
      <w:r>
        <w:rPr>
          <w:rFonts w:hint="default" w:ascii="Times New Roman" w:hAnsi="Times New Roman" w:cs="Times New Roman"/>
          <w:color w:val="000000" w:themeColor="text1"/>
          <w:highlight w:val="none"/>
          <w:lang w:val="en-GB" w:eastAsia="zh-CN"/>
        </w:rPr>
        <w:t>≥</w:t>
      </w:r>
      <w:r>
        <w:rPr>
          <w:rFonts w:hint="eastAsia"/>
          <w:color w:val="000000" w:themeColor="text1"/>
          <w:highlight w:val="none"/>
          <w:lang w:val="en-GB" w:eastAsia="zh-CN"/>
        </w:rPr>
        <w:t>1，一般取2；</w:t>
      </w:r>
    </w:p>
    <w:p w14:paraId="0441A720">
      <w:pPr>
        <w:bidi w:val="0"/>
        <w:rPr>
          <w:rFonts w:hint="eastAsia"/>
          <w:color w:val="000000" w:themeColor="text1"/>
          <w:highlight w:val="none"/>
          <w:lang w:val="en-GB" w:eastAsia="zh-CN"/>
        </w:rPr>
      </w:pPr>
      <w:r>
        <w:rPr>
          <w:rFonts w:hint="eastAsia"/>
          <w:color w:val="000000" w:themeColor="text1"/>
          <w:highlight w:val="none"/>
          <w:lang w:val="en-GB" w:eastAsia="zh-CN"/>
        </w:rPr>
        <w:t>K－渗透系数，</w:t>
      </w:r>
      <w:r>
        <w:rPr>
          <w:rFonts w:hint="eastAsia"/>
          <w:color w:val="000000" w:themeColor="text1"/>
          <w:highlight w:val="none"/>
          <w:lang w:val="en-US" w:eastAsia="zh-CN"/>
        </w:rPr>
        <w:t>20</w:t>
      </w:r>
      <w:r>
        <w:rPr>
          <w:rFonts w:hint="eastAsia"/>
          <w:color w:val="000000" w:themeColor="text1"/>
          <w:highlight w:val="none"/>
          <w:lang w:val="en-GB" w:eastAsia="zh-CN"/>
        </w:rPr>
        <w:t>m/d；</w:t>
      </w:r>
    </w:p>
    <w:p w14:paraId="2FB98BE5">
      <w:pPr>
        <w:bidi w:val="0"/>
        <w:rPr>
          <w:rFonts w:hint="eastAsia"/>
          <w:color w:val="000000" w:themeColor="text1"/>
          <w:highlight w:val="none"/>
          <w:lang w:val="en-GB" w:eastAsia="zh-CN"/>
        </w:rPr>
      </w:pPr>
      <w:r>
        <w:rPr>
          <w:rFonts w:hint="eastAsia"/>
          <w:color w:val="000000" w:themeColor="text1"/>
          <w:highlight w:val="none"/>
          <w:lang w:val="en-GB" w:eastAsia="zh-CN"/>
        </w:rPr>
        <w:t>I－水力坡度，</w:t>
      </w:r>
      <w:r>
        <w:rPr>
          <w:rFonts w:hint="eastAsia"/>
          <w:color w:val="000000" w:themeColor="text1"/>
          <w:highlight w:val="none"/>
          <w:lang w:val="en-US" w:eastAsia="zh-CN"/>
        </w:rPr>
        <w:t>0.001</w:t>
      </w:r>
      <w:r>
        <w:rPr>
          <w:rFonts w:hint="eastAsia"/>
          <w:color w:val="000000" w:themeColor="text1"/>
          <w:highlight w:val="none"/>
          <w:lang w:val="en-GB" w:eastAsia="zh-CN"/>
        </w:rPr>
        <w:t>无量纲；</w:t>
      </w:r>
    </w:p>
    <w:p w14:paraId="1E1E8F56">
      <w:pPr>
        <w:bidi w:val="0"/>
        <w:rPr>
          <w:rFonts w:hint="eastAsia"/>
          <w:color w:val="000000" w:themeColor="text1"/>
          <w:highlight w:val="none"/>
          <w:lang w:val="en-GB" w:eastAsia="zh-CN"/>
        </w:rPr>
      </w:pPr>
      <w:r>
        <w:rPr>
          <w:rFonts w:hint="eastAsia"/>
          <w:color w:val="000000" w:themeColor="text1"/>
          <w:highlight w:val="none"/>
          <w:lang w:val="en-GB" w:eastAsia="zh-CN"/>
        </w:rPr>
        <w:t>T－质点运移天数，</w:t>
      </w:r>
      <w:r>
        <w:rPr>
          <w:rFonts w:hint="eastAsia"/>
          <w:color w:val="000000" w:themeColor="text1"/>
          <w:highlight w:val="none"/>
          <w:lang w:val="en-US" w:eastAsia="zh-CN"/>
        </w:rPr>
        <w:t>3</w:t>
      </w:r>
      <w:r>
        <w:rPr>
          <w:rFonts w:hint="eastAsia"/>
          <w:color w:val="000000" w:themeColor="text1"/>
          <w:highlight w:val="none"/>
          <w:lang w:val="en-GB" w:eastAsia="zh-CN"/>
        </w:rPr>
        <w:t>000d；</w:t>
      </w:r>
    </w:p>
    <w:p w14:paraId="340162A2">
      <w:pPr>
        <w:bidi w:val="0"/>
        <w:rPr>
          <w:rFonts w:hint="eastAsia" w:ascii="Times New Roman" w:hAnsi="Times New Roman" w:eastAsia="宋体" w:cs="Times New Roman"/>
          <w:b w:val="0"/>
          <w:bCs w:val="0"/>
          <w:color w:val="000000" w:themeColor="text1"/>
          <w:kern w:val="0"/>
          <w:szCs w:val="28"/>
          <w:highlight w:val="none"/>
          <w:lang w:val="en-GB" w:eastAsia="zh-CN" w:bidi="ar-SA"/>
        </w:rPr>
      </w:pPr>
      <w:r>
        <w:rPr>
          <w:rFonts w:hint="eastAsia"/>
          <w:color w:val="000000" w:themeColor="text1"/>
          <w:highlight w:val="none"/>
          <w:lang w:val="en-GB" w:eastAsia="zh-CN"/>
        </w:rPr>
        <w:t>ne－有效孔隙度，无量</w:t>
      </w:r>
      <w:r>
        <w:rPr>
          <w:rFonts w:hint="eastAsia" w:ascii="Times New Roman" w:hAnsi="Times New Roman" w:eastAsia="宋体" w:cs="Times New Roman"/>
          <w:b w:val="0"/>
          <w:bCs w:val="0"/>
          <w:color w:val="000000" w:themeColor="text1"/>
          <w:kern w:val="0"/>
          <w:szCs w:val="28"/>
          <w:highlight w:val="none"/>
          <w:lang w:val="en-GB" w:eastAsia="zh-CN" w:bidi="ar-SA"/>
        </w:rPr>
        <w:t>纲。</w:t>
      </w:r>
    </w:p>
    <w:p w14:paraId="3C5807E1">
      <w:pPr>
        <w:bidi w:val="0"/>
        <w:rPr>
          <w:rFonts w:hint="default"/>
          <w:color w:val="000000" w:themeColor="text1"/>
          <w:highlight w:val="none"/>
          <w:lang w:val="en-US" w:eastAsia="zh-CN"/>
        </w:rPr>
      </w:pPr>
      <w:r>
        <w:rPr>
          <w:rFonts w:hint="eastAsia" w:ascii="Times New Roman" w:hAnsi="Times New Roman" w:eastAsia="宋体" w:cs="Times New Roman"/>
          <w:b w:val="0"/>
          <w:bCs w:val="0"/>
          <w:color w:val="000000" w:themeColor="text1"/>
          <w:kern w:val="0"/>
          <w:sz w:val="24"/>
          <w:szCs w:val="28"/>
          <w:highlight w:val="none"/>
          <w:lang w:val="en-GB" w:eastAsia="zh-CN" w:bidi="ar-SA"/>
        </w:rPr>
        <w:t>根据项目所在区域水文地质资料的初步判断，区域地下水类型为第四系松散岩类孔隙潜水，含水层岩性为细砂、中粗砂为主。根据地下水导则附录B，细砂、中砂渗透系数在5</w:t>
      </w:r>
      <w:r>
        <w:rPr>
          <w:rFonts w:hint="eastAsia" w:eastAsia="宋体" w:cs="Times New Roman"/>
          <w:b w:val="0"/>
          <w:bCs w:val="0"/>
          <w:color w:val="000000" w:themeColor="text1"/>
          <w:kern w:val="0"/>
          <w:sz w:val="24"/>
          <w:szCs w:val="28"/>
          <w:highlight w:val="none"/>
          <w:lang w:val="en-GB" w:eastAsia="zh-CN" w:bidi="ar-SA"/>
        </w:rPr>
        <w:t>～</w:t>
      </w:r>
      <w:r>
        <w:rPr>
          <w:rFonts w:hint="eastAsia" w:ascii="Times New Roman" w:hAnsi="Times New Roman" w:eastAsia="宋体" w:cs="Times New Roman"/>
          <w:b w:val="0"/>
          <w:bCs w:val="0"/>
          <w:color w:val="000000" w:themeColor="text1"/>
          <w:kern w:val="0"/>
          <w:sz w:val="24"/>
          <w:szCs w:val="28"/>
          <w:highlight w:val="none"/>
          <w:lang w:val="en-GB" w:eastAsia="zh-CN" w:bidi="ar-SA"/>
        </w:rPr>
        <w:t>25m/d之间。本项目渗透系数取值为</w:t>
      </w:r>
      <w:r>
        <w:rPr>
          <w:rFonts w:hint="eastAsia" w:eastAsia="宋体" w:cs="Times New Roman"/>
          <w:b w:val="0"/>
          <w:bCs w:val="0"/>
          <w:color w:val="000000" w:themeColor="text1"/>
          <w:kern w:val="0"/>
          <w:sz w:val="24"/>
          <w:szCs w:val="28"/>
          <w:highlight w:val="none"/>
          <w:lang w:val="en-US" w:eastAsia="zh-CN" w:bidi="ar-SA"/>
        </w:rPr>
        <w:t>20</w:t>
      </w:r>
      <w:r>
        <w:rPr>
          <w:rFonts w:hint="eastAsia" w:ascii="Times New Roman" w:hAnsi="Times New Roman" w:eastAsia="宋体" w:cs="Times New Roman"/>
          <w:b w:val="0"/>
          <w:bCs w:val="0"/>
          <w:color w:val="000000" w:themeColor="text1"/>
          <w:kern w:val="0"/>
          <w:sz w:val="24"/>
          <w:szCs w:val="28"/>
          <w:highlight w:val="none"/>
          <w:lang w:val="en-GB" w:eastAsia="zh-CN" w:bidi="ar-SA"/>
        </w:rPr>
        <w:t>m/d，有效孔隙度取0.3，水力坡度根据实际情况取0.00</w:t>
      </w:r>
      <w:r>
        <w:rPr>
          <w:rFonts w:hint="eastAsia" w:ascii="Times New Roman" w:hAnsi="Times New Roman" w:eastAsia="宋体" w:cs="Times New Roman"/>
          <w:b w:val="0"/>
          <w:bCs w:val="0"/>
          <w:color w:val="000000" w:themeColor="text1"/>
          <w:kern w:val="0"/>
          <w:sz w:val="24"/>
          <w:szCs w:val="28"/>
          <w:highlight w:val="none"/>
          <w:lang w:val="en-US" w:eastAsia="zh-CN" w:bidi="ar-SA"/>
        </w:rPr>
        <w:t>2</w:t>
      </w:r>
      <w:r>
        <w:rPr>
          <w:rFonts w:hint="eastAsia" w:ascii="Times New Roman" w:hAnsi="Times New Roman" w:eastAsia="宋体" w:cs="Times New Roman"/>
          <w:b w:val="0"/>
          <w:bCs w:val="0"/>
          <w:color w:val="000000" w:themeColor="text1"/>
          <w:kern w:val="0"/>
          <w:sz w:val="24"/>
          <w:szCs w:val="28"/>
          <w:highlight w:val="none"/>
          <w:lang w:val="en-GB" w:eastAsia="zh-CN" w:bidi="ar-SA"/>
        </w:rPr>
        <w:t>进行计算，则L=2×</w:t>
      </w:r>
      <w:r>
        <w:rPr>
          <w:rFonts w:hint="eastAsia" w:eastAsia="宋体" w:cs="Times New Roman"/>
          <w:b w:val="0"/>
          <w:bCs w:val="0"/>
          <w:color w:val="000000" w:themeColor="text1"/>
          <w:kern w:val="0"/>
          <w:sz w:val="24"/>
          <w:szCs w:val="28"/>
          <w:highlight w:val="none"/>
          <w:lang w:val="en-US" w:eastAsia="zh-CN" w:bidi="ar-SA"/>
        </w:rPr>
        <w:t>20</w:t>
      </w:r>
      <w:r>
        <w:rPr>
          <w:rFonts w:hint="eastAsia" w:ascii="Times New Roman" w:hAnsi="Times New Roman" w:eastAsia="宋体" w:cs="Times New Roman"/>
          <w:b w:val="0"/>
          <w:bCs w:val="0"/>
          <w:color w:val="000000" w:themeColor="text1"/>
          <w:kern w:val="0"/>
          <w:sz w:val="24"/>
          <w:szCs w:val="28"/>
          <w:highlight w:val="none"/>
          <w:lang w:val="en-GB" w:eastAsia="zh-CN" w:bidi="ar-SA"/>
        </w:rPr>
        <w:t>×0.00</w:t>
      </w:r>
      <w:r>
        <w:rPr>
          <w:rFonts w:hint="eastAsia" w:cs="Times New Roman"/>
          <w:b w:val="0"/>
          <w:bCs w:val="0"/>
          <w:color w:val="000000" w:themeColor="text1"/>
          <w:kern w:val="0"/>
          <w:sz w:val="24"/>
          <w:szCs w:val="28"/>
          <w:highlight w:val="none"/>
          <w:lang w:val="en-US" w:eastAsia="zh-CN" w:bidi="ar-SA"/>
        </w:rPr>
        <w:t>1</w:t>
      </w:r>
      <w:r>
        <w:rPr>
          <w:rFonts w:hint="eastAsia" w:ascii="Times New Roman" w:hAnsi="Times New Roman" w:eastAsia="宋体" w:cs="Times New Roman"/>
          <w:b w:val="0"/>
          <w:bCs w:val="0"/>
          <w:color w:val="000000" w:themeColor="text1"/>
          <w:kern w:val="0"/>
          <w:sz w:val="24"/>
          <w:szCs w:val="28"/>
          <w:highlight w:val="none"/>
          <w:lang w:val="en-GB" w:eastAsia="zh-CN" w:bidi="ar-SA"/>
        </w:rPr>
        <w:t>×</w:t>
      </w:r>
      <w:r>
        <w:rPr>
          <w:rFonts w:hint="eastAsia" w:cs="Times New Roman"/>
          <w:b w:val="0"/>
          <w:bCs w:val="0"/>
          <w:color w:val="000000" w:themeColor="text1"/>
          <w:kern w:val="0"/>
          <w:sz w:val="24"/>
          <w:szCs w:val="28"/>
          <w:highlight w:val="none"/>
          <w:lang w:val="en-US" w:eastAsia="zh-CN" w:bidi="ar-SA"/>
        </w:rPr>
        <w:t>3</w:t>
      </w:r>
      <w:r>
        <w:rPr>
          <w:rFonts w:hint="eastAsia" w:ascii="Times New Roman" w:hAnsi="Times New Roman" w:eastAsia="宋体" w:cs="Times New Roman"/>
          <w:b w:val="0"/>
          <w:bCs w:val="0"/>
          <w:color w:val="000000" w:themeColor="text1"/>
          <w:kern w:val="0"/>
          <w:sz w:val="24"/>
          <w:szCs w:val="28"/>
          <w:highlight w:val="none"/>
          <w:lang w:val="en-GB" w:eastAsia="zh-CN" w:bidi="ar-SA"/>
        </w:rPr>
        <w:t>000/0.3=</w:t>
      </w:r>
      <w:r>
        <w:rPr>
          <w:rFonts w:hint="eastAsia" w:cs="Times New Roman"/>
          <w:b w:val="0"/>
          <w:bCs w:val="0"/>
          <w:color w:val="000000" w:themeColor="text1"/>
          <w:kern w:val="0"/>
          <w:sz w:val="24"/>
          <w:szCs w:val="28"/>
          <w:highlight w:val="none"/>
          <w:lang w:val="en-US" w:eastAsia="zh-CN" w:bidi="ar-SA"/>
        </w:rPr>
        <w:t>400</w:t>
      </w:r>
      <w:r>
        <w:rPr>
          <w:rFonts w:hint="eastAsia" w:ascii="Times New Roman" w:hAnsi="Times New Roman" w:eastAsia="宋体" w:cs="Times New Roman"/>
          <w:b w:val="0"/>
          <w:bCs w:val="0"/>
          <w:color w:val="000000" w:themeColor="text1"/>
          <w:kern w:val="0"/>
          <w:sz w:val="24"/>
          <w:szCs w:val="28"/>
          <w:highlight w:val="none"/>
          <w:lang w:val="en-GB" w:eastAsia="zh-CN" w:bidi="ar-SA"/>
        </w:rPr>
        <w:t>m。</w:t>
      </w:r>
    </w:p>
    <w:p w14:paraId="3B33D14C">
      <w:pPr>
        <w:bidi w:val="0"/>
        <w:rPr>
          <w:highlight w:val="none"/>
        </w:rPr>
      </w:pPr>
      <w:r>
        <w:rPr>
          <w:rFonts w:hint="eastAsia" w:ascii="Times New Roman" w:hAnsi="Times New Roman"/>
          <w:color w:val="000000" w:themeColor="text1"/>
          <w:kern w:val="0"/>
          <w:highlight w:val="none"/>
        </w:rPr>
        <w:t>计算，较敏感区为500m范围（即水源边界至较敏感区边界为530m）。本项目距引用水源</w:t>
      </w:r>
      <w:r>
        <w:rPr>
          <w:rFonts w:hint="eastAsia" w:ascii="Times New Roman" w:hAnsi="Times New Roman"/>
          <w:color w:val="000000" w:themeColor="text1"/>
          <w:kern w:val="0"/>
          <w:highlight w:val="none"/>
          <w:lang w:val="en-US" w:eastAsia="zh-CN"/>
        </w:rPr>
        <w:t>290</w:t>
      </w:r>
      <w:r>
        <w:rPr>
          <w:rFonts w:hint="eastAsia" w:ascii="Times New Roman" w:hAnsi="Times New Roman"/>
          <w:color w:val="000000" w:themeColor="text1"/>
          <w:kern w:val="0"/>
          <w:highlight w:val="none"/>
        </w:rPr>
        <w:t>m，位于较敏感区内</w:t>
      </w:r>
      <w:r>
        <w:rPr>
          <w:rFonts w:hint="eastAsia" w:ascii="Times New Roman" w:hAnsi="Times New Roman"/>
          <w:color w:val="000000" w:themeColor="text1"/>
          <w:kern w:val="0"/>
          <w:highlight w:val="none"/>
          <w:lang w:eastAsia="zh-CN"/>
        </w:rPr>
        <w:t>。</w:t>
      </w:r>
      <w:r>
        <w:rPr>
          <w:color w:val="000000" w:themeColor="text1"/>
          <w:highlight w:val="none"/>
        </w:rPr>
        <w:t>根据</w:t>
      </w:r>
      <w:r>
        <w:rPr>
          <w:highlight w:val="none"/>
        </w:rPr>
        <w:t>《环境影响评价技术导则地下水环境》（HJ610-2016），建设项目地下水环境影响评价工作等级划分见</w:t>
      </w:r>
      <w:r>
        <w:rPr>
          <w:rFonts w:hint="eastAsia"/>
          <w:highlight w:val="none"/>
          <w:lang w:val="en-US" w:eastAsia="zh-CN"/>
        </w:rPr>
        <w:t>下表</w:t>
      </w:r>
      <w:r>
        <w:rPr>
          <w:highlight w:val="none"/>
        </w:rPr>
        <w:t>。</w:t>
      </w:r>
    </w:p>
    <w:p w14:paraId="03CF5729">
      <w:pPr>
        <w:pStyle w:val="7"/>
        <w:bidi w:val="0"/>
        <w:rPr>
          <w:highlight w:val="none"/>
        </w:rPr>
      </w:pPr>
      <w:r>
        <w:rPr>
          <w:highlight w:val="none"/>
        </w:rPr>
        <w:t>表2-4-</w:t>
      </w:r>
      <w:r>
        <w:rPr>
          <w:rFonts w:hint="eastAsia"/>
          <w:highlight w:val="none"/>
          <w:lang w:val="en-US" w:eastAsia="zh-CN"/>
        </w:rPr>
        <w:t>9</w:t>
      </w:r>
      <w:r>
        <w:rPr>
          <w:highlight w:val="none"/>
        </w:rPr>
        <w:t>地下水环境影响评价工作等级表</w:t>
      </w:r>
    </w:p>
    <w:tbl>
      <w:tblPr>
        <w:tblStyle w:val="45"/>
        <w:tblW w:w="0" w:type="auto"/>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2854"/>
        <w:gridCol w:w="1327"/>
        <w:gridCol w:w="2075"/>
        <w:gridCol w:w="1803"/>
      </w:tblGrid>
      <w:tr w14:paraId="2DCDBE4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84" w:hRule="atLeast"/>
          <w:jc w:val="center"/>
        </w:trPr>
        <w:tc>
          <w:tcPr>
            <w:tcW w:w="2854" w:type="dxa"/>
            <w:tcBorders>
              <w:top w:val="single" w:color="000000" w:sz="12" w:space="0"/>
              <w:left w:val="nil"/>
              <w:bottom w:val="single" w:color="000000" w:sz="4" w:space="0"/>
              <w:right w:val="single" w:color="000000" w:sz="4" w:space="0"/>
            </w:tcBorders>
            <w:vAlign w:val="center"/>
          </w:tcPr>
          <w:p w14:paraId="1C82F88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kern w:val="0"/>
                <w:sz w:val="21"/>
                <w:szCs w:val="21"/>
                <w:highlight w:val="none"/>
              </w:rPr>
            </w:pPr>
            <w:r>
              <w:rPr>
                <w:rFonts w:hint="default" w:eastAsiaTheme="minorEastAsia"/>
                <w:kern w:val="0"/>
                <w:sz w:val="21"/>
                <w:szCs w:val="21"/>
                <w:highlight w:val="none"/>
              </w:rPr>
              <w:pict>
                <v:shape id="_x0000_s2061" o:spid="_x0000_s2061" o:spt="32" type="#_x0000_t32" style="position:absolute;left:0pt;margin-left:-4.4pt;margin-top:-0.15pt;height:30pt;width:141.5pt;z-index:251665408;mso-width-relative:page;mso-height-relative:page;" o:connectortype="straight" filled="f" coordsize="21600,21600">
                  <v:path arrowok="t"/>
                  <v:fill on="f" focussize="0,0"/>
                  <v:stroke/>
                  <v:imagedata o:title=""/>
                  <o:lock v:ext="edit"/>
                </v:shape>
              </w:pict>
            </w:r>
            <w:r>
              <w:rPr>
                <w:rFonts w:hint="default" w:hAnsiTheme="minorEastAsia" w:eastAsiaTheme="minorEastAsia"/>
                <w:kern w:val="0"/>
                <w:sz w:val="21"/>
                <w:szCs w:val="21"/>
                <w:highlight w:val="none"/>
              </w:rPr>
              <w:t>项目类别</w:t>
            </w:r>
          </w:p>
          <w:p w14:paraId="4584DAB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eastAsiaTheme="minorEastAsia"/>
                <w:sz w:val="21"/>
                <w:szCs w:val="21"/>
                <w:highlight w:val="none"/>
              </w:rPr>
            </w:pPr>
            <w:r>
              <w:rPr>
                <w:rFonts w:hint="default" w:hAnsiTheme="minorEastAsia" w:eastAsiaTheme="minorEastAsia"/>
                <w:kern w:val="0"/>
                <w:sz w:val="21"/>
                <w:szCs w:val="21"/>
                <w:highlight w:val="none"/>
              </w:rPr>
              <w:t>环境敏感程度</w:t>
            </w:r>
          </w:p>
        </w:tc>
        <w:tc>
          <w:tcPr>
            <w:tcW w:w="1327" w:type="dxa"/>
            <w:tcBorders>
              <w:top w:val="single" w:color="000000" w:sz="12" w:space="0"/>
              <w:left w:val="single" w:color="000000" w:sz="4" w:space="0"/>
              <w:bottom w:val="single" w:color="000000" w:sz="4" w:space="0"/>
              <w:right w:val="single" w:color="000000" w:sz="4" w:space="0"/>
            </w:tcBorders>
            <w:vAlign w:val="center"/>
          </w:tcPr>
          <w:p w14:paraId="4C21872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kern w:val="0"/>
                <w:sz w:val="21"/>
                <w:szCs w:val="21"/>
                <w:highlight w:val="none"/>
              </w:rPr>
              <w:t>Ⅰ</w:t>
            </w:r>
            <w:r>
              <w:rPr>
                <w:rFonts w:hint="default" w:hAnsiTheme="minorEastAsia" w:eastAsiaTheme="minorEastAsia"/>
                <w:kern w:val="0"/>
                <w:sz w:val="21"/>
                <w:szCs w:val="21"/>
                <w:highlight w:val="none"/>
              </w:rPr>
              <w:t>类项目</w:t>
            </w:r>
          </w:p>
        </w:tc>
        <w:tc>
          <w:tcPr>
            <w:tcW w:w="2075" w:type="dxa"/>
            <w:tcBorders>
              <w:top w:val="single" w:color="000000" w:sz="12" w:space="0"/>
              <w:left w:val="single" w:color="000000" w:sz="4" w:space="0"/>
              <w:bottom w:val="single" w:color="000000" w:sz="4" w:space="0"/>
              <w:right w:val="single" w:color="000000" w:sz="4" w:space="0"/>
            </w:tcBorders>
            <w:vAlign w:val="center"/>
          </w:tcPr>
          <w:p w14:paraId="5DBD644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kern w:val="0"/>
                <w:sz w:val="21"/>
                <w:szCs w:val="21"/>
                <w:highlight w:val="none"/>
              </w:rPr>
              <w:t>Ⅱ</w:t>
            </w:r>
            <w:r>
              <w:rPr>
                <w:rFonts w:hint="default" w:hAnsiTheme="minorEastAsia" w:eastAsiaTheme="minorEastAsia"/>
                <w:kern w:val="0"/>
                <w:sz w:val="21"/>
                <w:szCs w:val="21"/>
                <w:highlight w:val="none"/>
              </w:rPr>
              <w:t>类项目</w:t>
            </w:r>
          </w:p>
        </w:tc>
        <w:tc>
          <w:tcPr>
            <w:tcW w:w="1803" w:type="dxa"/>
            <w:tcBorders>
              <w:top w:val="single" w:color="000000" w:sz="12" w:space="0"/>
              <w:left w:val="single" w:color="000000" w:sz="4" w:space="0"/>
              <w:bottom w:val="single" w:color="000000" w:sz="4" w:space="0"/>
              <w:right w:val="nil"/>
            </w:tcBorders>
            <w:vAlign w:val="center"/>
          </w:tcPr>
          <w:p w14:paraId="506A1F2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kern w:val="0"/>
                <w:sz w:val="21"/>
                <w:szCs w:val="21"/>
                <w:highlight w:val="none"/>
              </w:rPr>
              <w:t>Ⅲ</w:t>
            </w:r>
            <w:r>
              <w:rPr>
                <w:rFonts w:hint="default" w:hAnsiTheme="minorEastAsia" w:eastAsiaTheme="minorEastAsia"/>
                <w:kern w:val="0"/>
                <w:sz w:val="21"/>
                <w:szCs w:val="21"/>
                <w:highlight w:val="none"/>
              </w:rPr>
              <w:t>类项目</w:t>
            </w:r>
          </w:p>
        </w:tc>
      </w:tr>
      <w:tr w14:paraId="5DAD36C0">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6" w:hRule="atLeast"/>
          <w:jc w:val="center"/>
        </w:trPr>
        <w:tc>
          <w:tcPr>
            <w:tcW w:w="2854" w:type="dxa"/>
            <w:tcBorders>
              <w:top w:val="single" w:color="000000" w:sz="4" w:space="0"/>
              <w:left w:val="nil"/>
              <w:bottom w:val="single" w:color="000000" w:sz="4" w:space="0"/>
              <w:right w:val="single" w:color="000000" w:sz="4" w:space="0"/>
            </w:tcBorders>
            <w:vAlign w:val="center"/>
          </w:tcPr>
          <w:p w14:paraId="635398A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kern w:val="0"/>
                <w:sz w:val="21"/>
                <w:szCs w:val="21"/>
                <w:highlight w:val="none"/>
              </w:rPr>
              <w:t>敏感</w:t>
            </w:r>
          </w:p>
        </w:tc>
        <w:tc>
          <w:tcPr>
            <w:tcW w:w="1327" w:type="dxa"/>
            <w:tcBorders>
              <w:top w:val="single" w:color="000000" w:sz="4" w:space="0"/>
              <w:left w:val="single" w:color="000000" w:sz="4" w:space="0"/>
              <w:bottom w:val="single" w:color="000000" w:sz="4" w:space="0"/>
              <w:right w:val="single" w:color="000000" w:sz="4" w:space="0"/>
            </w:tcBorders>
            <w:vAlign w:val="center"/>
          </w:tcPr>
          <w:p w14:paraId="118D1FD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kern w:val="0"/>
                <w:sz w:val="21"/>
                <w:szCs w:val="21"/>
                <w:highlight w:val="none"/>
              </w:rPr>
              <w:t>一</w:t>
            </w:r>
          </w:p>
        </w:tc>
        <w:tc>
          <w:tcPr>
            <w:tcW w:w="2075" w:type="dxa"/>
            <w:tcBorders>
              <w:top w:val="single" w:color="000000" w:sz="4" w:space="0"/>
              <w:left w:val="single" w:color="000000" w:sz="4" w:space="0"/>
              <w:bottom w:val="single" w:color="000000" w:sz="4" w:space="0"/>
              <w:right w:val="single" w:color="000000" w:sz="4" w:space="0"/>
            </w:tcBorders>
            <w:vAlign w:val="center"/>
          </w:tcPr>
          <w:p w14:paraId="24615DE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kern w:val="0"/>
                <w:sz w:val="21"/>
                <w:szCs w:val="21"/>
                <w:highlight w:val="none"/>
              </w:rPr>
              <w:t>一</w:t>
            </w:r>
          </w:p>
        </w:tc>
        <w:tc>
          <w:tcPr>
            <w:tcW w:w="1803" w:type="dxa"/>
            <w:tcBorders>
              <w:top w:val="single" w:color="000000" w:sz="4" w:space="0"/>
              <w:left w:val="single" w:color="000000" w:sz="4" w:space="0"/>
              <w:bottom w:val="single" w:color="000000" w:sz="4" w:space="0"/>
              <w:right w:val="nil"/>
            </w:tcBorders>
            <w:vAlign w:val="center"/>
          </w:tcPr>
          <w:p w14:paraId="55AAE3B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kern w:val="0"/>
                <w:sz w:val="21"/>
                <w:szCs w:val="21"/>
                <w:highlight w:val="none"/>
              </w:rPr>
              <w:t>二</w:t>
            </w:r>
          </w:p>
        </w:tc>
      </w:tr>
      <w:tr w14:paraId="56CAE5DD">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6" w:hRule="atLeast"/>
          <w:jc w:val="center"/>
        </w:trPr>
        <w:tc>
          <w:tcPr>
            <w:tcW w:w="2854" w:type="dxa"/>
            <w:tcBorders>
              <w:top w:val="single" w:color="000000" w:sz="4" w:space="0"/>
              <w:left w:val="nil"/>
              <w:bottom w:val="single" w:color="000000" w:sz="4" w:space="0"/>
              <w:right w:val="single" w:color="000000" w:sz="4" w:space="0"/>
            </w:tcBorders>
            <w:vAlign w:val="center"/>
          </w:tcPr>
          <w:p w14:paraId="7B35263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kern w:val="0"/>
                <w:sz w:val="21"/>
                <w:szCs w:val="21"/>
                <w:highlight w:val="none"/>
              </w:rPr>
              <w:t>较敏感</w:t>
            </w:r>
          </w:p>
        </w:tc>
        <w:tc>
          <w:tcPr>
            <w:tcW w:w="1327" w:type="dxa"/>
            <w:tcBorders>
              <w:top w:val="single" w:color="000000" w:sz="4" w:space="0"/>
              <w:left w:val="single" w:color="000000" w:sz="4" w:space="0"/>
              <w:bottom w:val="single" w:color="000000" w:sz="4" w:space="0"/>
              <w:right w:val="single" w:color="000000" w:sz="4" w:space="0"/>
            </w:tcBorders>
            <w:vAlign w:val="center"/>
          </w:tcPr>
          <w:p w14:paraId="2DB8951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kern w:val="0"/>
                <w:sz w:val="21"/>
                <w:szCs w:val="21"/>
                <w:highlight w:val="none"/>
              </w:rPr>
              <w:t>一</w:t>
            </w:r>
          </w:p>
        </w:tc>
        <w:tc>
          <w:tcPr>
            <w:tcW w:w="2075" w:type="dxa"/>
            <w:tcBorders>
              <w:top w:val="single" w:color="000000" w:sz="4" w:space="0"/>
              <w:left w:val="single" w:color="000000" w:sz="4" w:space="0"/>
              <w:bottom w:val="single" w:color="000000" w:sz="4" w:space="0"/>
              <w:right w:val="single" w:color="000000" w:sz="4" w:space="0"/>
            </w:tcBorders>
            <w:vAlign w:val="center"/>
          </w:tcPr>
          <w:p w14:paraId="5F7FD7C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kern w:val="0"/>
                <w:sz w:val="21"/>
                <w:szCs w:val="21"/>
                <w:highlight w:val="none"/>
              </w:rPr>
              <w:t>二</w:t>
            </w:r>
          </w:p>
        </w:tc>
        <w:tc>
          <w:tcPr>
            <w:tcW w:w="1803" w:type="dxa"/>
            <w:tcBorders>
              <w:top w:val="single" w:color="000000" w:sz="4" w:space="0"/>
              <w:left w:val="single" w:color="000000" w:sz="4" w:space="0"/>
              <w:bottom w:val="single" w:color="000000" w:sz="4" w:space="0"/>
              <w:right w:val="nil"/>
            </w:tcBorders>
            <w:vAlign w:val="center"/>
          </w:tcPr>
          <w:p w14:paraId="08AF5FF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
                <w:bCs/>
                <w:sz w:val="21"/>
                <w:szCs w:val="21"/>
                <w:highlight w:val="none"/>
              </w:rPr>
            </w:pPr>
            <w:r>
              <w:rPr>
                <w:rFonts w:hint="default" w:hAnsiTheme="minorEastAsia" w:eastAsiaTheme="minorEastAsia"/>
                <w:b/>
                <w:bCs/>
                <w:kern w:val="0"/>
                <w:sz w:val="21"/>
                <w:szCs w:val="21"/>
                <w:highlight w:val="none"/>
              </w:rPr>
              <w:t>三</w:t>
            </w:r>
          </w:p>
        </w:tc>
      </w:tr>
      <w:tr w14:paraId="04C7AEF2">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6" w:hRule="atLeast"/>
          <w:jc w:val="center"/>
        </w:trPr>
        <w:tc>
          <w:tcPr>
            <w:tcW w:w="2854" w:type="dxa"/>
            <w:tcBorders>
              <w:top w:val="single" w:color="000000" w:sz="4" w:space="0"/>
              <w:left w:val="nil"/>
              <w:bottom w:val="single" w:color="000000" w:sz="12" w:space="0"/>
              <w:right w:val="single" w:color="000000" w:sz="4" w:space="0"/>
            </w:tcBorders>
            <w:vAlign w:val="center"/>
          </w:tcPr>
          <w:p w14:paraId="1B9F4E6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kern w:val="0"/>
                <w:sz w:val="21"/>
                <w:szCs w:val="21"/>
                <w:highlight w:val="none"/>
              </w:rPr>
              <w:t>不敏感</w:t>
            </w:r>
          </w:p>
        </w:tc>
        <w:tc>
          <w:tcPr>
            <w:tcW w:w="1327" w:type="dxa"/>
            <w:tcBorders>
              <w:top w:val="single" w:color="000000" w:sz="4" w:space="0"/>
              <w:left w:val="single" w:color="000000" w:sz="4" w:space="0"/>
              <w:bottom w:val="single" w:color="000000" w:sz="12" w:space="0"/>
              <w:right w:val="single" w:color="000000" w:sz="4" w:space="0"/>
            </w:tcBorders>
            <w:vAlign w:val="center"/>
          </w:tcPr>
          <w:p w14:paraId="22BB71D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b/>
                <w:bCs/>
                <w:kern w:val="0"/>
                <w:sz w:val="21"/>
                <w:szCs w:val="21"/>
                <w:highlight w:val="none"/>
              </w:rPr>
              <w:t>二</w:t>
            </w:r>
          </w:p>
        </w:tc>
        <w:tc>
          <w:tcPr>
            <w:tcW w:w="2075" w:type="dxa"/>
            <w:tcBorders>
              <w:top w:val="single" w:color="000000" w:sz="4" w:space="0"/>
              <w:left w:val="single" w:color="000000" w:sz="4" w:space="0"/>
              <w:bottom w:val="single" w:color="000000" w:sz="12" w:space="0"/>
              <w:right w:val="single" w:color="000000" w:sz="4" w:space="0"/>
            </w:tcBorders>
            <w:vAlign w:val="center"/>
          </w:tcPr>
          <w:p w14:paraId="09253C4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kern w:val="0"/>
                <w:sz w:val="21"/>
                <w:szCs w:val="21"/>
                <w:highlight w:val="none"/>
              </w:rPr>
              <w:t>三</w:t>
            </w:r>
          </w:p>
        </w:tc>
        <w:tc>
          <w:tcPr>
            <w:tcW w:w="1803" w:type="dxa"/>
            <w:tcBorders>
              <w:top w:val="single" w:color="000000" w:sz="4" w:space="0"/>
              <w:left w:val="single" w:color="000000" w:sz="4" w:space="0"/>
              <w:bottom w:val="single" w:color="000000" w:sz="12" w:space="0"/>
              <w:right w:val="nil"/>
            </w:tcBorders>
            <w:vAlign w:val="center"/>
          </w:tcPr>
          <w:p w14:paraId="1EDA3FB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kern w:val="0"/>
                <w:sz w:val="21"/>
                <w:szCs w:val="21"/>
                <w:highlight w:val="none"/>
              </w:rPr>
              <w:t>三</w:t>
            </w:r>
          </w:p>
        </w:tc>
      </w:tr>
    </w:tbl>
    <w:p w14:paraId="34099F19">
      <w:pPr>
        <w:widowControl/>
        <w:spacing w:line="360" w:lineRule="auto"/>
        <w:ind w:firstLine="480" w:firstLineChars="200"/>
        <w:contextualSpacing/>
        <w:rPr>
          <w:rFonts w:hAnsiTheme="minorEastAsia" w:eastAsiaTheme="minorEastAsia"/>
          <w:kern w:val="0"/>
          <w:sz w:val="24"/>
          <w:highlight w:val="none"/>
        </w:rPr>
      </w:pPr>
      <w:r>
        <w:rPr>
          <w:rFonts w:hAnsiTheme="minorEastAsia" w:eastAsiaTheme="minorEastAsia"/>
          <w:kern w:val="0"/>
          <w:sz w:val="24"/>
          <w:highlight w:val="none"/>
        </w:rPr>
        <w:t>综上分析，本项目属于地下水环境影响评价分类的</w:t>
      </w:r>
      <w:r>
        <w:rPr>
          <w:rFonts w:hint="default"/>
          <w:highlight w:val="none"/>
        </w:rPr>
        <w:fldChar w:fldCharType="begin"/>
      </w:r>
      <w:r>
        <w:rPr>
          <w:rFonts w:hint="default"/>
          <w:highlight w:val="none"/>
        </w:rPr>
        <w:instrText xml:space="preserve"> = 3 \* ROMAN </w:instrText>
      </w:r>
      <w:r>
        <w:rPr>
          <w:rFonts w:hint="default"/>
          <w:highlight w:val="none"/>
        </w:rPr>
        <w:fldChar w:fldCharType="separate"/>
      </w:r>
      <w:r>
        <w:rPr>
          <w:rFonts w:hint="default"/>
          <w:highlight w:val="none"/>
        </w:rPr>
        <w:t>I</w:t>
      </w:r>
      <w:r>
        <w:rPr>
          <w:rFonts w:hint="default"/>
          <w:highlight w:val="none"/>
        </w:rPr>
        <w:fldChar w:fldCharType="end"/>
      </w:r>
      <w:r>
        <w:rPr>
          <w:rFonts w:hAnsiTheme="minorEastAsia" w:eastAsiaTheme="minorEastAsia"/>
          <w:kern w:val="0"/>
          <w:sz w:val="24"/>
          <w:highlight w:val="none"/>
        </w:rPr>
        <w:t>类项目，地下水环境敏感程度为</w:t>
      </w:r>
      <w:r>
        <w:rPr>
          <w:rFonts w:hint="eastAsia" w:hAnsiTheme="minorEastAsia" w:eastAsiaTheme="minorEastAsia"/>
          <w:kern w:val="0"/>
          <w:sz w:val="24"/>
          <w:highlight w:val="none"/>
          <w:lang w:val="en-US" w:eastAsia="zh-CN"/>
        </w:rPr>
        <w:t>不</w:t>
      </w:r>
      <w:r>
        <w:rPr>
          <w:rFonts w:hAnsiTheme="minorEastAsia" w:eastAsiaTheme="minorEastAsia"/>
          <w:kern w:val="0"/>
          <w:sz w:val="24"/>
          <w:highlight w:val="none"/>
        </w:rPr>
        <w:t>敏感，因此评价工作等级确定为</w:t>
      </w:r>
      <w:r>
        <w:rPr>
          <w:rFonts w:hint="eastAsia" w:hAnsiTheme="minorEastAsia" w:eastAsiaTheme="minorEastAsia"/>
          <w:b/>
          <w:kern w:val="0"/>
          <w:sz w:val="24"/>
          <w:highlight w:val="none"/>
          <w:lang w:val="en-US" w:eastAsia="zh-CN"/>
        </w:rPr>
        <w:t>一</w:t>
      </w:r>
      <w:r>
        <w:rPr>
          <w:rFonts w:hAnsiTheme="minorEastAsia" w:eastAsiaTheme="minorEastAsia"/>
          <w:b/>
          <w:kern w:val="0"/>
          <w:sz w:val="24"/>
          <w:highlight w:val="none"/>
        </w:rPr>
        <w:t>级</w:t>
      </w:r>
      <w:r>
        <w:rPr>
          <w:rFonts w:hAnsiTheme="minorEastAsia" w:eastAsiaTheme="minorEastAsia"/>
          <w:kern w:val="0"/>
          <w:sz w:val="24"/>
          <w:highlight w:val="none"/>
        </w:rPr>
        <w:t>。</w:t>
      </w:r>
    </w:p>
    <w:p w14:paraId="535F16B8">
      <w:pPr>
        <w:pStyle w:val="4"/>
        <w:bidi w:val="0"/>
        <w:rPr>
          <w:highlight w:val="none"/>
        </w:rPr>
      </w:pPr>
      <w:bookmarkStart w:id="173" w:name="_Toc2688"/>
      <w:bookmarkStart w:id="174" w:name="_Toc14800"/>
      <w:r>
        <w:rPr>
          <w:highlight w:val="none"/>
        </w:rPr>
        <w:t>2.</w:t>
      </w:r>
      <w:bookmarkStart w:id="175" w:name="_Toc88969056"/>
      <w:bookmarkStart w:id="176" w:name="_Toc88968913"/>
      <w:bookmarkStart w:id="177" w:name="_Toc88900496"/>
      <w:bookmarkStart w:id="178" w:name="_Toc89231866"/>
      <w:r>
        <w:rPr>
          <w:highlight w:val="none"/>
        </w:rPr>
        <w:t>4.4声环境</w:t>
      </w:r>
      <w:bookmarkEnd w:id="175"/>
      <w:bookmarkEnd w:id="176"/>
      <w:bookmarkEnd w:id="177"/>
      <w:bookmarkEnd w:id="178"/>
      <w:r>
        <w:rPr>
          <w:highlight w:val="none"/>
        </w:rPr>
        <w:t>评价工作等级</w:t>
      </w:r>
      <w:bookmarkEnd w:id="173"/>
      <w:bookmarkEnd w:id="174"/>
    </w:p>
    <w:p w14:paraId="27DED0D9">
      <w:pPr>
        <w:widowControl/>
        <w:spacing w:line="360" w:lineRule="auto"/>
        <w:ind w:firstLine="480" w:firstLineChars="200"/>
        <w:contextualSpacing/>
        <w:rPr>
          <w:rFonts w:eastAsiaTheme="minorEastAsia"/>
          <w:kern w:val="0"/>
          <w:sz w:val="24"/>
          <w:highlight w:val="none"/>
        </w:rPr>
      </w:pPr>
      <w:r>
        <w:rPr>
          <w:rFonts w:hint="default" w:ascii="Times New Roman" w:hAnsi="Times New Roman" w:cs="Times New Roman" w:eastAsiaTheme="minorEastAsia"/>
          <w:kern w:val="0"/>
          <w:sz w:val="24"/>
          <w:highlight w:val="none"/>
        </w:rPr>
        <w:t>根据</w:t>
      </w:r>
      <w:r>
        <w:rPr>
          <w:rFonts w:hAnsiTheme="minorEastAsia" w:eastAsiaTheme="minorEastAsia"/>
          <w:kern w:val="0"/>
          <w:sz w:val="24"/>
          <w:highlight w:val="none"/>
        </w:rPr>
        <w:t>《哈尔滨市城市环境噪声功能区划分调整方案》（哈</w:t>
      </w:r>
      <w:r>
        <w:rPr>
          <w:rFonts w:hint="eastAsia" w:hAnsiTheme="minorEastAsia" w:eastAsiaTheme="minorEastAsia"/>
          <w:kern w:val="0"/>
          <w:sz w:val="24"/>
          <w:highlight w:val="none"/>
          <w:lang w:val="en-US" w:eastAsia="zh-CN"/>
        </w:rPr>
        <w:t>政</w:t>
      </w:r>
      <w:r>
        <w:rPr>
          <w:rFonts w:hAnsiTheme="minorEastAsia" w:eastAsiaTheme="minorEastAsia"/>
          <w:kern w:val="0"/>
          <w:sz w:val="24"/>
          <w:highlight w:val="none"/>
        </w:rPr>
        <w:t>规</w:t>
      </w:r>
      <w:r>
        <w:rPr>
          <w:rFonts w:eastAsiaTheme="minorEastAsia"/>
          <w:kern w:val="0"/>
          <w:sz w:val="24"/>
          <w:highlight w:val="none"/>
        </w:rPr>
        <w:t>[202</w:t>
      </w:r>
      <w:r>
        <w:rPr>
          <w:rFonts w:hint="eastAsia" w:eastAsiaTheme="minorEastAsia"/>
          <w:kern w:val="0"/>
          <w:sz w:val="24"/>
          <w:highlight w:val="none"/>
          <w:lang w:val="en-US" w:eastAsia="zh-CN"/>
        </w:rPr>
        <w:t>1</w:t>
      </w:r>
      <w:r>
        <w:rPr>
          <w:rFonts w:eastAsiaTheme="minorEastAsia"/>
          <w:kern w:val="0"/>
          <w:sz w:val="24"/>
          <w:highlight w:val="none"/>
        </w:rPr>
        <w:t>]</w:t>
      </w:r>
      <w:r>
        <w:rPr>
          <w:rFonts w:hint="eastAsia" w:eastAsiaTheme="minorEastAsia"/>
          <w:kern w:val="0"/>
          <w:sz w:val="24"/>
          <w:highlight w:val="none"/>
          <w:lang w:val="en-US" w:eastAsia="zh-CN"/>
        </w:rPr>
        <w:t>3</w:t>
      </w:r>
      <w:r>
        <w:rPr>
          <w:rFonts w:hAnsiTheme="minorEastAsia" w:eastAsiaTheme="minorEastAsia"/>
          <w:kern w:val="0"/>
          <w:sz w:val="24"/>
          <w:highlight w:val="none"/>
        </w:rPr>
        <w:t>号）</w:t>
      </w:r>
      <w:r>
        <w:rPr>
          <w:rFonts w:hint="default" w:ascii="Times New Roman" w:hAnsi="Times New Roman" w:cs="Times New Roman" w:eastAsiaTheme="minorEastAsia"/>
          <w:kern w:val="0"/>
          <w:sz w:val="24"/>
          <w:highlight w:val="none"/>
        </w:rPr>
        <w:t>中哈尔滨市平房区声环境功能区划分图，</w:t>
      </w:r>
      <w:r>
        <w:rPr>
          <w:rFonts w:hint="default" w:ascii="Times New Roman" w:hAnsi="Times New Roman" w:eastAsia="宋体" w:cs="Times New Roman"/>
          <w:sz w:val="24"/>
          <w:szCs w:val="24"/>
          <w:highlight w:val="none"/>
        </w:rPr>
        <w:t>建设项目所处的声环境功能区为GB3096规定的</w:t>
      </w:r>
      <w:r>
        <w:rPr>
          <w:rFonts w:hint="eastAsia" w:cs="Times New Roman"/>
          <w:sz w:val="24"/>
          <w:szCs w:val="24"/>
          <w:highlight w:val="none"/>
          <w:lang w:val="en-US" w:eastAsia="zh-CN"/>
        </w:rPr>
        <w:t>3</w:t>
      </w:r>
      <w:r>
        <w:rPr>
          <w:rFonts w:hint="default" w:ascii="Times New Roman" w:hAnsi="Times New Roman" w:eastAsia="宋体" w:cs="Times New Roman"/>
          <w:sz w:val="24"/>
          <w:szCs w:val="24"/>
          <w:highlight w:val="none"/>
        </w:rPr>
        <w:t>类地区，</w:t>
      </w:r>
      <w:r>
        <w:rPr>
          <w:rFonts w:hint="default" w:ascii="Times New Roman" w:hAnsi="Times New Roman" w:cs="Times New Roman"/>
          <w:spacing w:val="0"/>
          <w:position w:val="0"/>
          <w:sz w:val="24"/>
          <w:highlight w:val="none"/>
          <w:lang w:bidi="ar"/>
        </w:rPr>
        <w:t>根据《环境影响评价技术导则—声环境》（HJ2.4-2021）中的规定：“建设项目所处的声环境功能区为GB3096规定的3类、4类地区，或建设项目建设前后评价范围内声环境保护目标噪声级增量在3dB(A)以下（不含3dB(A)），且受影响人口数量变化不大时，按三级评价”确定本项目声环境影响评价等级为</w:t>
      </w:r>
      <w:r>
        <w:rPr>
          <w:rFonts w:hint="eastAsia" w:cs="Times New Roman"/>
          <w:b/>
          <w:bCs/>
          <w:spacing w:val="0"/>
          <w:position w:val="0"/>
          <w:sz w:val="24"/>
          <w:highlight w:val="none"/>
          <w:lang w:val="en-US" w:eastAsia="zh-CN" w:bidi="ar"/>
        </w:rPr>
        <w:t>三</w:t>
      </w:r>
      <w:r>
        <w:rPr>
          <w:rFonts w:hint="default" w:ascii="Times New Roman" w:hAnsi="Times New Roman" w:cs="Times New Roman"/>
          <w:b/>
          <w:bCs/>
          <w:spacing w:val="0"/>
          <w:position w:val="0"/>
          <w:sz w:val="24"/>
          <w:highlight w:val="none"/>
          <w:lang w:bidi="ar"/>
        </w:rPr>
        <w:t>级</w:t>
      </w:r>
      <w:r>
        <w:rPr>
          <w:rFonts w:hint="default" w:ascii="Times New Roman" w:hAnsi="Times New Roman" w:cs="Times New Roman"/>
          <w:spacing w:val="0"/>
          <w:position w:val="0"/>
          <w:sz w:val="24"/>
          <w:highlight w:val="none"/>
          <w:lang w:bidi="ar"/>
        </w:rPr>
        <w:t>。评价范围：厂界外200m范围</w:t>
      </w:r>
      <w:r>
        <w:rPr>
          <w:rFonts w:hAnsiTheme="minorEastAsia" w:eastAsiaTheme="minorEastAsia"/>
          <w:kern w:val="0"/>
          <w:sz w:val="24"/>
          <w:highlight w:val="none"/>
        </w:rPr>
        <w:t>。</w:t>
      </w:r>
    </w:p>
    <w:p w14:paraId="618D21A1">
      <w:pPr>
        <w:keepNext w:val="0"/>
        <w:keepLines w:val="0"/>
        <w:pageBreakBefore w:val="0"/>
        <w:widowControl/>
        <w:kinsoku/>
        <w:wordWrap w:val="0"/>
        <w:overflowPunct/>
        <w:topLinePunct w:val="0"/>
        <w:autoSpaceDE/>
        <w:autoSpaceDN/>
        <w:bidi w:val="0"/>
        <w:adjustRightInd w:val="0"/>
        <w:snapToGrid w:val="0"/>
        <w:spacing w:line="240" w:lineRule="auto"/>
        <w:ind w:firstLine="0" w:firstLineChars="0"/>
        <w:jc w:val="center"/>
        <w:textAlignment w:val="auto"/>
        <w:rPr>
          <w:rFonts w:eastAsiaTheme="minorEastAsia"/>
          <w:kern w:val="0"/>
          <w:sz w:val="24"/>
          <w:highlight w:val="none"/>
        </w:rPr>
      </w:pPr>
      <w:r>
        <w:rPr>
          <w:sz w:val="21"/>
          <w:highlight w:val="none"/>
        </w:rPr>
        <w:pict>
          <v:shape id="_x0000_s2062" o:spid="_x0000_s2062" o:spt="202" type="#_x0000_t202" style="position:absolute;left:0pt;margin-left:219.45pt;margin-top:114pt;height:24pt;width:56.35pt;z-index:251671552;mso-width-relative:page;mso-height-relative:page;" filled="f" stroked="f" coordsize="21600,21600">
            <v:path/>
            <v:fill on="f" focussize="0,0"/>
            <v:stroke on="f"/>
            <v:imagedata o:title=""/>
            <o:lock v:ext="edit" aspectratio="f"/>
            <v:textbox>
              <w:txbxContent>
                <w:p w14:paraId="62618672">
                  <w:pPr>
                    <w:ind w:left="0" w:leftChars="0" w:firstLine="0" w:firstLineChars="0"/>
                    <w:rPr>
                      <w:rFonts w:hint="eastAsia" w:eastAsia="宋体"/>
                      <w:color w:val="FF0000"/>
                      <w:lang w:val="en-US" w:eastAsia="zh-CN"/>
                    </w:rPr>
                  </w:pPr>
                  <w:r>
                    <w:rPr>
                      <w:rFonts w:hint="eastAsia"/>
                      <w:color w:val="FF0000"/>
                      <w:lang w:val="en-US" w:eastAsia="zh-CN"/>
                    </w:rPr>
                    <w:t>本项目</w:t>
                  </w:r>
                </w:p>
              </w:txbxContent>
            </v:textbox>
          </v:shape>
        </w:pict>
      </w:r>
      <w:r>
        <w:rPr>
          <w:sz w:val="21"/>
          <w:highlight w:val="none"/>
        </w:rPr>
        <w:pict>
          <v:shape id="_x0000_s2063" o:spid="_x0000_s2063" o:spt="12" type="#_x0000_t12" style="position:absolute;left:0pt;margin-left:208.2pt;margin-top:120.65pt;height:11.2pt;width:13.5pt;z-index:251670528;mso-width-relative:page;mso-height-relative:page;" fillcolor="#FF0000" filled="t" stroked="t" coordsize="21600,21600">
            <v:path/>
            <v:fill on="t" color2="#FFFFFF" focussize="0,0"/>
            <v:stroke color="#000000" joinstyle="miter"/>
            <v:imagedata o:title=""/>
            <o:lock v:ext="edit" aspectratio="f"/>
          </v:shape>
        </w:pict>
      </w:r>
      <w:r>
        <w:rPr>
          <w:rFonts w:eastAsiaTheme="minorEastAsia"/>
          <w:kern w:val="0"/>
          <w:sz w:val="24"/>
          <w:highlight w:val="none"/>
        </w:rPr>
        <w:drawing>
          <wp:inline distT="0" distB="0" distL="0" distR="0">
            <wp:extent cx="5527675" cy="3024505"/>
            <wp:effectExtent l="9525" t="9525" r="25400" b="1397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noChangeArrowheads="1"/>
                    </pic:cNvPicPr>
                  </pic:nvPicPr>
                  <pic:blipFill>
                    <a:blip r:embed="rId27"/>
                    <a:srcRect/>
                    <a:stretch>
                      <a:fillRect/>
                    </a:stretch>
                  </pic:blipFill>
                  <pic:spPr>
                    <a:xfrm>
                      <a:off x="0" y="0"/>
                      <a:ext cx="5527675" cy="3024505"/>
                    </a:xfrm>
                    <a:prstGeom prst="rect">
                      <a:avLst/>
                    </a:prstGeom>
                    <a:noFill/>
                    <a:ln w="9525">
                      <a:solidFill>
                        <a:schemeClr val="tx1"/>
                      </a:solidFill>
                      <a:miter lim="800000"/>
                      <a:headEnd/>
                      <a:tailEnd/>
                    </a:ln>
                  </pic:spPr>
                </pic:pic>
              </a:graphicData>
            </a:graphic>
          </wp:inline>
        </w:drawing>
      </w:r>
    </w:p>
    <w:p w14:paraId="0D32A859">
      <w:pPr>
        <w:pStyle w:val="7"/>
        <w:bidi w:val="0"/>
        <w:rPr>
          <w:rFonts w:eastAsiaTheme="minorEastAsia"/>
          <w:b/>
          <w:highlight w:val="none"/>
        </w:rPr>
      </w:pPr>
      <w:r>
        <w:rPr>
          <w:highlight w:val="none"/>
        </w:rPr>
        <w:t>图2-4-1声环境功能区划分图</w:t>
      </w:r>
    </w:p>
    <w:p w14:paraId="1C5528E5">
      <w:pPr>
        <w:pStyle w:val="4"/>
        <w:bidi w:val="0"/>
        <w:rPr>
          <w:highlight w:val="none"/>
        </w:rPr>
      </w:pPr>
      <w:bookmarkStart w:id="179" w:name="_Toc31596"/>
      <w:bookmarkStart w:id="180" w:name="_Toc366"/>
      <w:r>
        <w:rPr>
          <w:highlight w:val="none"/>
        </w:rPr>
        <w:t>2.4.5生态环境评价工作等级</w:t>
      </w:r>
      <w:bookmarkEnd w:id="179"/>
      <w:bookmarkEnd w:id="180"/>
    </w:p>
    <w:p w14:paraId="7137AC2E">
      <w:pPr>
        <w:ind w:firstLine="480" w:firstLineChars="200"/>
        <w:rPr>
          <w:rFonts w:ascii="Times New Roman" w:hAnsi="Times New Roman"/>
          <w:kern w:val="0"/>
          <w:highlight w:val="none"/>
        </w:rPr>
      </w:pPr>
      <w:r>
        <w:rPr>
          <w:rFonts w:hint="eastAsia" w:ascii="Times New Roman" w:hAnsi="Times New Roman"/>
          <w:kern w:val="0"/>
          <w:highlight w:val="none"/>
        </w:rPr>
        <w:t>本项目位于哈尔滨市平房区征仪南路6号哈尔滨东安汽车发动机制造有限公司现有厂房内，该厂区占地27.4850hm</w:t>
      </w:r>
      <w:r>
        <w:rPr>
          <w:rFonts w:hint="eastAsia" w:ascii="Times New Roman" w:hAnsi="Times New Roman"/>
          <w:kern w:val="0"/>
          <w:highlight w:val="none"/>
          <w:vertAlign w:val="superscript"/>
        </w:rPr>
        <w:t>2</w:t>
      </w:r>
      <w:r>
        <w:rPr>
          <w:rFonts w:hint="eastAsia" w:ascii="Times New Roman" w:hAnsi="Times New Roman"/>
          <w:kern w:val="0"/>
          <w:highlight w:val="none"/>
        </w:rPr>
        <w:t>（0.275km</w:t>
      </w:r>
      <w:r>
        <w:rPr>
          <w:rFonts w:hint="eastAsia" w:ascii="Times New Roman" w:hAnsi="Times New Roman"/>
          <w:kern w:val="0"/>
          <w:highlight w:val="none"/>
          <w:vertAlign w:val="superscript"/>
        </w:rPr>
        <w:t>2</w:t>
      </w:r>
      <w:r>
        <w:rPr>
          <w:rFonts w:hint="eastAsia" w:ascii="Times New Roman" w:hAnsi="Times New Roman"/>
          <w:kern w:val="0"/>
          <w:highlight w:val="none"/>
        </w:rPr>
        <w:t>），占地类型为工业用地，本项目在原有厂区1号厂房、2号厂房、4号厂房进行建设，不新增占地，项目不涉及国家公园、自然保护、世界自然遗产、重要生境、自然公园、生态保护红线等。该项目地下水和土壤影响范围内不涉及天然林、公益林、湿地等生态保护目标，根据《环境影响评价技术导则-生态影响》（HJ19-2022）要求，符合生态分区管控要求且位于原厂界（或永久占地）范围内的污染影响类改扩建项目，可不确定评价等级，直接进行生态影响简单分析。因此本项目生态影响为简单分析。</w:t>
      </w:r>
    </w:p>
    <w:p w14:paraId="353B7E95">
      <w:pPr>
        <w:pStyle w:val="4"/>
        <w:bidi w:val="0"/>
        <w:rPr>
          <w:highlight w:val="none"/>
        </w:rPr>
      </w:pPr>
      <w:bookmarkStart w:id="181" w:name="_Toc818"/>
      <w:bookmarkStart w:id="182" w:name="_Toc31755"/>
      <w:r>
        <w:rPr>
          <w:highlight w:val="none"/>
        </w:rPr>
        <w:t>2.4.6风险评价工作等级</w:t>
      </w:r>
      <w:bookmarkEnd w:id="181"/>
      <w:bookmarkEnd w:id="182"/>
    </w:p>
    <w:p w14:paraId="1B713419">
      <w:pPr>
        <w:pageBreakBefore w:val="0"/>
        <w:kinsoku/>
        <w:wordWrap w:val="0"/>
        <w:overflowPunct/>
        <w:topLinePunct w:val="0"/>
        <w:autoSpaceDE/>
        <w:autoSpaceDN/>
        <w:bidi w:val="0"/>
        <w:adjustRightInd w:val="0"/>
        <w:snapToGrid w:val="0"/>
        <w:outlineLvl w:val="9"/>
        <w:rPr>
          <w:highlight w:val="none"/>
        </w:rPr>
      </w:pPr>
      <w:r>
        <w:rPr>
          <w:highlight w:val="none"/>
        </w:rPr>
        <w:t>根据《建设项目环境风险评价技术导则》（HJ169-2018）的有关规定，确定本项目环境风险评价工作的等级。</w:t>
      </w:r>
    </w:p>
    <w:p w14:paraId="3C11608E">
      <w:pPr>
        <w:pageBreakBefore w:val="0"/>
        <w:kinsoku/>
        <w:wordWrap w:val="0"/>
        <w:overflowPunct/>
        <w:topLinePunct w:val="0"/>
        <w:autoSpaceDE/>
        <w:autoSpaceDN/>
        <w:bidi w:val="0"/>
        <w:adjustRightInd w:val="0"/>
        <w:snapToGrid w:val="0"/>
        <w:outlineLvl w:val="9"/>
        <w:rPr>
          <w:highlight w:val="none"/>
        </w:rPr>
      </w:pPr>
      <w:bookmarkStart w:id="183" w:name="_Toc8604"/>
      <w:r>
        <w:rPr>
          <w:rFonts w:hint="eastAsia"/>
          <w:highlight w:val="none"/>
          <w:lang w:eastAsia="zh-CN"/>
        </w:rPr>
        <w:t>（</w:t>
      </w:r>
      <w:r>
        <w:rPr>
          <w:rFonts w:hint="eastAsia"/>
          <w:highlight w:val="none"/>
          <w:lang w:val="en-US" w:eastAsia="zh-CN"/>
        </w:rPr>
        <w:t>1</w:t>
      </w:r>
      <w:r>
        <w:rPr>
          <w:rFonts w:hint="eastAsia"/>
          <w:highlight w:val="none"/>
          <w:lang w:eastAsia="zh-CN"/>
        </w:rPr>
        <w:t>）</w:t>
      </w:r>
      <w:r>
        <w:rPr>
          <w:highlight w:val="none"/>
        </w:rPr>
        <w:t>环境风险评价等级划分依据</w:t>
      </w:r>
      <w:bookmarkEnd w:id="183"/>
    </w:p>
    <w:p w14:paraId="75F18D6C">
      <w:pPr>
        <w:pageBreakBefore w:val="0"/>
        <w:kinsoku/>
        <w:wordWrap w:val="0"/>
        <w:overflowPunct/>
        <w:topLinePunct w:val="0"/>
        <w:autoSpaceDE/>
        <w:autoSpaceDN/>
        <w:bidi w:val="0"/>
        <w:adjustRightInd w:val="0"/>
        <w:snapToGrid w:val="0"/>
        <w:outlineLvl w:val="9"/>
        <w:rPr>
          <w:rFonts w:eastAsiaTheme="minorEastAsia"/>
          <w:kern w:val="0"/>
          <w:highlight w:val="none"/>
        </w:rPr>
      </w:pPr>
      <w:r>
        <w:rPr>
          <w:highlight w:val="none"/>
        </w:rPr>
        <w:t>风险评价等级根据评价项目的物质危险性和功能单元重大危险源判定结果，以及环境敏感程度进行判定。环境风险评价工作</w:t>
      </w:r>
      <w:r>
        <w:rPr>
          <w:rFonts w:hAnsiTheme="minorEastAsia" w:eastAsiaTheme="minorEastAsia"/>
          <w:kern w:val="0"/>
          <w:highlight w:val="none"/>
        </w:rPr>
        <w:t>等级划分依据详见</w:t>
      </w:r>
      <w:r>
        <w:rPr>
          <w:rFonts w:hint="eastAsia" w:hAnsiTheme="minorEastAsia" w:eastAsiaTheme="minorEastAsia"/>
          <w:kern w:val="0"/>
          <w:highlight w:val="none"/>
          <w:lang w:val="en-US" w:eastAsia="zh-CN"/>
        </w:rPr>
        <w:t>下表</w:t>
      </w:r>
      <w:r>
        <w:rPr>
          <w:rFonts w:hAnsiTheme="minorEastAsia" w:eastAsiaTheme="minorEastAsia"/>
          <w:kern w:val="0"/>
          <w:highlight w:val="none"/>
        </w:rPr>
        <w:t>。</w:t>
      </w:r>
    </w:p>
    <w:p w14:paraId="05B3BBE2">
      <w:pPr>
        <w:pStyle w:val="7"/>
        <w:bidi w:val="0"/>
        <w:rPr>
          <w:highlight w:val="none"/>
        </w:rPr>
      </w:pPr>
      <w:r>
        <w:rPr>
          <w:highlight w:val="none"/>
        </w:rPr>
        <w:t>表2-4-</w:t>
      </w:r>
      <w:r>
        <w:rPr>
          <w:rFonts w:hint="eastAsia"/>
          <w:highlight w:val="none"/>
          <w:lang w:val="en-US" w:eastAsia="zh-CN"/>
        </w:rPr>
        <w:t>11</w:t>
      </w:r>
      <w:r>
        <w:rPr>
          <w:highlight w:val="none"/>
        </w:rPr>
        <w:t>评价工作级别划分依据一览表。</w:t>
      </w:r>
    </w:p>
    <w:tbl>
      <w:tblPr>
        <w:tblStyle w:val="739"/>
        <w:tblW w:w="8419"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1738"/>
        <w:gridCol w:w="1814"/>
        <w:gridCol w:w="1393"/>
        <w:gridCol w:w="1564"/>
        <w:gridCol w:w="1910"/>
      </w:tblGrid>
      <w:tr w14:paraId="3018FAA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7" w:hRule="atLeast"/>
          <w:jc w:val="center"/>
        </w:trPr>
        <w:tc>
          <w:tcPr>
            <w:tcW w:w="1738" w:type="dxa"/>
            <w:vAlign w:val="center"/>
          </w:tcPr>
          <w:p w14:paraId="1C4E140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eastAsiaTheme="minorEastAsia"/>
                <w:snapToGrid w:val="0"/>
                <w:color w:val="auto"/>
                <w:kern w:val="0"/>
                <w:sz w:val="21"/>
                <w:szCs w:val="21"/>
                <w:highlight w:val="none"/>
              </w:rPr>
            </w:pPr>
            <w:r>
              <w:rPr>
                <w:rFonts w:hint="default" w:hAnsiTheme="minorEastAsia" w:eastAsiaTheme="minorEastAsia"/>
                <w:snapToGrid w:val="0"/>
                <w:color w:val="auto"/>
                <w:spacing w:val="-2"/>
                <w:kern w:val="0"/>
                <w:sz w:val="21"/>
                <w:szCs w:val="21"/>
                <w:highlight w:val="none"/>
              </w:rPr>
              <w:t>环境风险潜势</w:t>
            </w:r>
          </w:p>
        </w:tc>
        <w:tc>
          <w:tcPr>
            <w:tcW w:w="1814" w:type="dxa"/>
            <w:vAlign w:val="center"/>
          </w:tcPr>
          <w:p w14:paraId="235C767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eastAsiaTheme="minorEastAsia"/>
                <w:snapToGrid w:val="0"/>
                <w:color w:val="auto"/>
                <w:kern w:val="0"/>
                <w:sz w:val="21"/>
                <w:szCs w:val="21"/>
                <w:highlight w:val="none"/>
              </w:rPr>
            </w:pPr>
            <w:r>
              <w:rPr>
                <w:rFonts w:hint="default" w:eastAsiaTheme="minorEastAsia"/>
                <w:snapToGrid w:val="0"/>
                <w:color w:val="auto"/>
                <w:spacing w:val="-8"/>
                <w:kern w:val="0"/>
                <w:sz w:val="21"/>
                <w:szCs w:val="21"/>
                <w:highlight w:val="none"/>
              </w:rPr>
              <w:t>Ⅳ</w:t>
            </w:r>
            <w:r>
              <w:rPr>
                <w:rFonts w:hint="default" w:hAnsiTheme="minorEastAsia" w:eastAsiaTheme="minorEastAsia"/>
                <w:snapToGrid w:val="0"/>
                <w:color w:val="auto"/>
                <w:spacing w:val="-8"/>
                <w:kern w:val="0"/>
                <w:sz w:val="21"/>
                <w:szCs w:val="21"/>
                <w:highlight w:val="none"/>
              </w:rPr>
              <w:t>、</w:t>
            </w:r>
            <w:r>
              <w:rPr>
                <w:rFonts w:hint="default" w:eastAsiaTheme="minorEastAsia"/>
                <w:snapToGrid w:val="0"/>
                <w:color w:val="auto"/>
                <w:spacing w:val="-8"/>
                <w:kern w:val="0"/>
                <w:sz w:val="21"/>
                <w:szCs w:val="21"/>
                <w:highlight w:val="none"/>
              </w:rPr>
              <w:t>Ⅳ+</w:t>
            </w:r>
          </w:p>
        </w:tc>
        <w:tc>
          <w:tcPr>
            <w:tcW w:w="1393" w:type="dxa"/>
            <w:vAlign w:val="center"/>
          </w:tcPr>
          <w:p w14:paraId="2E6503F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eastAsiaTheme="minorEastAsia"/>
                <w:snapToGrid w:val="0"/>
                <w:color w:val="auto"/>
                <w:kern w:val="0"/>
                <w:sz w:val="21"/>
                <w:szCs w:val="21"/>
                <w:highlight w:val="none"/>
              </w:rPr>
            </w:pPr>
            <w:r>
              <w:rPr>
                <w:rFonts w:hint="default" w:eastAsiaTheme="minorEastAsia"/>
                <w:snapToGrid w:val="0"/>
                <w:color w:val="auto"/>
                <w:kern w:val="0"/>
                <w:sz w:val="21"/>
                <w:szCs w:val="21"/>
                <w:highlight w:val="none"/>
              </w:rPr>
              <w:t>Ⅲ</w:t>
            </w:r>
          </w:p>
        </w:tc>
        <w:tc>
          <w:tcPr>
            <w:tcW w:w="1564" w:type="dxa"/>
            <w:vAlign w:val="center"/>
          </w:tcPr>
          <w:p w14:paraId="50D7E9E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eastAsiaTheme="minorEastAsia"/>
                <w:snapToGrid w:val="0"/>
                <w:color w:val="auto"/>
                <w:kern w:val="0"/>
                <w:sz w:val="21"/>
                <w:szCs w:val="21"/>
                <w:highlight w:val="none"/>
              </w:rPr>
            </w:pPr>
            <w:r>
              <w:rPr>
                <w:rFonts w:hint="default" w:eastAsiaTheme="minorEastAsia"/>
                <w:snapToGrid w:val="0"/>
                <w:color w:val="auto"/>
                <w:kern w:val="0"/>
                <w:sz w:val="21"/>
                <w:szCs w:val="21"/>
                <w:highlight w:val="none"/>
              </w:rPr>
              <w:t>Ⅱ</w:t>
            </w:r>
          </w:p>
        </w:tc>
        <w:tc>
          <w:tcPr>
            <w:tcW w:w="1910" w:type="dxa"/>
            <w:vAlign w:val="center"/>
          </w:tcPr>
          <w:p w14:paraId="5DD5E4F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eastAsiaTheme="minorEastAsia"/>
                <w:snapToGrid w:val="0"/>
                <w:color w:val="auto"/>
                <w:kern w:val="0"/>
                <w:sz w:val="21"/>
                <w:szCs w:val="21"/>
                <w:highlight w:val="none"/>
              </w:rPr>
            </w:pPr>
            <w:r>
              <w:rPr>
                <w:rFonts w:hint="default" w:eastAsiaTheme="minorEastAsia"/>
                <w:snapToGrid w:val="0"/>
                <w:color w:val="auto"/>
                <w:kern w:val="0"/>
                <w:sz w:val="21"/>
                <w:szCs w:val="21"/>
                <w:highlight w:val="none"/>
              </w:rPr>
              <w:t>Ⅰ</w:t>
            </w:r>
          </w:p>
        </w:tc>
      </w:tr>
      <w:tr w14:paraId="7DB9C1F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8" w:hRule="atLeast"/>
          <w:jc w:val="center"/>
        </w:trPr>
        <w:tc>
          <w:tcPr>
            <w:tcW w:w="1738" w:type="dxa"/>
            <w:vAlign w:val="center"/>
          </w:tcPr>
          <w:p w14:paraId="657B386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eastAsiaTheme="minorEastAsia"/>
                <w:snapToGrid w:val="0"/>
                <w:color w:val="auto"/>
                <w:kern w:val="0"/>
                <w:sz w:val="21"/>
                <w:szCs w:val="21"/>
                <w:highlight w:val="none"/>
              </w:rPr>
            </w:pPr>
            <w:r>
              <w:rPr>
                <w:rFonts w:hint="default" w:hAnsiTheme="minorEastAsia" w:eastAsiaTheme="minorEastAsia"/>
                <w:snapToGrid w:val="0"/>
                <w:color w:val="auto"/>
                <w:spacing w:val="-2"/>
                <w:kern w:val="0"/>
                <w:sz w:val="21"/>
                <w:szCs w:val="21"/>
                <w:highlight w:val="none"/>
              </w:rPr>
              <w:t>评价工作等级</w:t>
            </w:r>
          </w:p>
        </w:tc>
        <w:tc>
          <w:tcPr>
            <w:tcW w:w="1814" w:type="dxa"/>
            <w:vAlign w:val="center"/>
          </w:tcPr>
          <w:p w14:paraId="7315E65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eastAsiaTheme="minorEastAsia"/>
                <w:snapToGrid w:val="0"/>
                <w:color w:val="auto"/>
                <w:kern w:val="0"/>
                <w:sz w:val="21"/>
                <w:szCs w:val="21"/>
                <w:highlight w:val="none"/>
              </w:rPr>
            </w:pPr>
            <w:r>
              <w:rPr>
                <w:rFonts w:hint="default" w:hAnsiTheme="minorEastAsia" w:eastAsiaTheme="minorEastAsia"/>
                <w:snapToGrid w:val="0"/>
                <w:color w:val="auto"/>
                <w:spacing w:val="30"/>
                <w:w w:val="167"/>
                <w:kern w:val="0"/>
                <w:sz w:val="21"/>
                <w:szCs w:val="21"/>
                <w:highlight w:val="none"/>
              </w:rPr>
              <w:t>一</w:t>
            </w:r>
          </w:p>
        </w:tc>
        <w:tc>
          <w:tcPr>
            <w:tcW w:w="1393" w:type="dxa"/>
            <w:vAlign w:val="center"/>
          </w:tcPr>
          <w:p w14:paraId="0C2835F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eastAsiaTheme="minorEastAsia"/>
                <w:snapToGrid w:val="0"/>
                <w:color w:val="auto"/>
                <w:kern w:val="0"/>
                <w:sz w:val="21"/>
                <w:szCs w:val="21"/>
                <w:highlight w:val="none"/>
              </w:rPr>
            </w:pPr>
            <w:r>
              <w:rPr>
                <w:rFonts w:hint="default" w:hAnsiTheme="minorEastAsia" w:eastAsiaTheme="minorEastAsia"/>
                <w:snapToGrid w:val="0"/>
                <w:color w:val="auto"/>
                <w:kern w:val="0"/>
                <w:sz w:val="21"/>
                <w:szCs w:val="21"/>
                <w:highlight w:val="none"/>
              </w:rPr>
              <w:t>二</w:t>
            </w:r>
          </w:p>
        </w:tc>
        <w:tc>
          <w:tcPr>
            <w:tcW w:w="1564" w:type="dxa"/>
            <w:vAlign w:val="center"/>
          </w:tcPr>
          <w:p w14:paraId="1280CE5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eastAsiaTheme="minorEastAsia"/>
                <w:snapToGrid w:val="0"/>
                <w:color w:val="auto"/>
                <w:kern w:val="0"/>
                <w:sz w:val="21"/>
                <w:szCs w:val="21"/>
                <w:highlight w:val="none"/>
              </w:rPr>
            </w:pPr>
            <w:r>
              <w:rPr>
                <w:rFonts w:hint="default" w:hAnsiTheme="minorEastAsia" w:eastAsiaTheme="minorEastAsia"/>
                <w:snapToGrid w:val="0"/>
                <w:color w:val="auto"/>
                <w:kern w:val="0"/>
                <w:sz w:val="21"/>
                <w:szCs w:val="21"/>
                <w:highlight w:val="none"/>
              </w:rPr>
              <w:t>三</w:t>
            </w:r>
          </w:p>
        </w:tc>
        <w:tc>
          <w:tcPr>
            <w:tcW w:w="1910" w:type="dxa"/>
            <w:vAlign w:val="center"/>
          </w:tcPr>
          <w:p w14:paraId="5A7DD9C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eastAsiaTheme="minorEastAsia"/>
                <w:snapToGrid w:val="0"/>
                <w:color w:val="auto"/>
                <w:kern w:val="0"/>
                <w:sz w:val="21"/>
                <w:szCs w:val="21"/>
                <w:highlight w:val="none"/>
              </w:rPr>
            </w:pPr>
            <w:r>
              <w:rPr>
                <w:rFonts w:hint="default" w:hAnsiTheme="minorEastAsia" w:eastAsiaTheme="minorEastAsia"/>
                <w:snapToGrid w:val="0"/>
                <w:color w:val="auto"/>
                <w:spacing w:val="-3"/>
                <w:kern w:val="0"/>
                <w:sz w:val="21"/>
                <w:szCs w:val="21"/>
                <w:highlight w:val="none"/>
              </w:rPr>
              <w:t>简单分析</w:t>
            </w:r>
            <w:r>
              <w:rPr>
                <w:rFonts w:hint="default" w:eastAsiaTheme="minorEastAsia"/>
                <w:snapToGrid w:val="0"/>
                <w:color w:val="auto"/>
                <w:spacing w:val="-3"/>
                <w:kern w:val="0"/>
                <w:sz w:val="21"/>
                <w:szCs w:val="21"/>
                <w:highlight w:val="none"/>
              </w:rPr>
              <w:t>a</w:t>
            </w:r>
          </w:p>
        </w:tc>
      </w:tr>
      <w:tr w14:paraId="55E1083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61" w:hRule="atLeast"/>
          <w:jc w:val="center"/>
        </w:trPr>
        <w:tc>
          <w:tcPr>
            <w:tcW w:w="8419" w:type="dxa"/>
            <w:gridSpan w:val="5"/>
            <w:vAlign w:val="center"/>
          </w:tcPr>
          <w:p w14:paraId="4E5D431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eastAsiaTheme="minorEastAsia"/>
                <w:snapToGrid w:val="0"/>
                <w:color w:val="auto"/>
                <w:kern w:val="0"/>
                <w:sz w:val="21"/>
                <w:szCs w:val="21"/>
                <w:highlight w:val="none"/>
              </w:rPr>
            </w:pPr>
            <w:r>
              <w:rPr>
                <w:rFonts w:hint="default" w:eastAsiaTheme="minorEastAsia"/>
                <w:snapToGrid w:val="0"/>
                <w:color w:val="auto"/>
                <w:spacing w:val="-3"/>
                <w:kern w:val="0"/>
                <w:sz w:val="21"/>
                <w:szCs w:val="21"/>
                <w:highlight w:val="none"/>
              </w:rPr>
              <w:t>a</w:t>
            </w:r>
            <w:r>
              <w:rPr>
                <w:rFonts w:hint="default" w:hAnsiTheme="minorEastAsia" w:eastAsiaTheme="minorEastAsia"/>
                <w:snapToGrid w:val="0"/>
                <w:color w:val="auto"/>
                <w:spacing w:val="-3"/>
                <w:kern w:val="0"/>
                <w:sz w:val="21"/>
                <w:szCs w:val="21"/>
                <w:highlight w:val="none"/>
              </w:rPr>
              <w:t>是相对于详细评价工作内容而言，在描述危险物质、环境影响途径、环境危害后果、风险</w:t>
            </w:r>
            <w:r>
              <w:rPr>
                <w:rFonts w:hint="default" w:hAnsiTheme="minorEastAsia" w:eastAsiaTheme="minorEastAsia"/>
                <w:snapToGrid w:val="0"/>
                <w:color w:val="auto"/>
                <w:spacing w:val="-2"/>
                <w:kern w:val="0"/>
                <w:sz w:val="21"/>
                <w:szCs w:val="21"/>
                <w:highlight w:val="none"/>
              </w:rPr>
              <w:t>防范措施等方面给出定性的说明。</w:t>
            </w:r>
          </w:p>
        </w:tc>
      </w:tr>
    </w:tbl>
    <w:p w14:paraId="1A5208AF">
      <w:pPr>
        <w:pageBreakBefore w:val="0"/>
        <w:kinsoku/>
        <w:wordWrap w:val="0"/>
        <w:overflowPunct/>
        <w:topLinePunct w:val="0"/>
        <w:autoSpaceDE/>
        <w:autoSpaceDN/>
        <w:bidi w:val="0"/>
        <w:adjustRightInd w:val="0"/>
        <w:snapToGrid w:val="0"/>
        <w:outlineLvl w:val="9"/>
        <w:rPr>
          <w:highlight w:val="none"/>
        </w:rPr>
      </w:pPr>
      <w:bookmarkStart w:id="184" w:name="_Toc23871"/>
      <w:r>
        <w:rPr>
          <w:rFonts w:hint="eastAsia"/>
          <w:highlight w:val="none"/>
          <w:lang w:eastAsia="zh-CN"/>
        </w:rPr>
        <w:t>（</w:t>
      </w:r>
      <w:r>
        <w:rPr>
          <w:rFonts w:hint="eastAsia"/>
          <w:highlight w:val="none"/>
          <w:lang w:val="en-US" w:eastAsia="zh-CN"/>
        </w:rPr>
        <w:t>2</w:t>
      </w:r>
      <w:r>
        <w:rPr>
          <w:rFonts w:hint="eastAsia"/>
          <w:highlight w:val="none"/>
          <w:lang w:eastAsia="zh-CN"/>
        </w:rPr>
        <w:t>）</w:t>
      </w:r>
      <w:r>
        <w:rPr>
          <w:highlight w:val="none"/>
        </w:rPr>
        <w:t>环境风险物质数量与临界量比值（Q）</w:t>
      </w:r>
      <w:bookmarkEnd w:id="184"/>
    </w:p>
    <w:p w14:paraId="1BC0ADCB">
      <w:pPr>
        <w:pageBreakBefore w:val="0"/>
        <w:kinsoku/>
        <w:wordWrap w:val="0"/>
        <w:overflowPunct/>
        <w:topLinePunct w:val="0"/>
        <w:autoSpaceDE/>
        <w:autoSpaceDN/>
        <w:bidi w:val="0"/>
        <w:adjustRightInd w:val="0"/>
        <w:snapToGrid w:val="0"/>
        <w:outlineLvl w:val="9"/>
        <w:rPr>
          <w:rFonts w:eastAsiaTheme="minorEastAsia"/>
          <w:kern w:val="0"/>
          <w:highlight w:val="none"/>
        </w:rPr>
      </w:pPr>
      <w:r>
        <w:rPr>
          <w:highlight w:val="none"/>
        </w:rPr>
        <w:t>按《建设项目环境风险影响评价技术导则》（HJ169-2018）的规定，当存在多种危险物质时，则按下式计算物质总量</w:t>
      </w:r>
      <w:r>
        <w:rPr>
          <w:rFonts w:hAnsiTheme="minorEastAsia" w:eastAsiaTheme="minorEastAsia"/>
          <w:kern w:val="0"/>
          <w:highlight w:val="none"/>
        </w:rPr>
        <w:t>与其临界量比值：</w:t>
      </w:r>
    </w:p>
    <w:p w14:paraId="0B35B9E7">
      <w:pPr>
        <w:pageBreakBefore w:val="0"/>
        <w:widowControl/>
        <w:kinsoku/>
        <w:wordWrap w:val="0"/>
        <w:overflowPunct/>
        <w:topLinePunct w:val="0"/>
        <w:autoSpaceDE/>
        <w:autoSpaceDN/>
        <w:bidi w:val="0"/>
        <w:adjustRightInd w:val="0"/>
        <w:snapToGrid w:val="0"/>
        <w:spacing w:line="360" w:lineRule="auto"/>
        <w:ind w:firstLine="482" w:firstLineChars="200"/>
        <w:contextualSpacing/>
        <w:jc w:val="center"/>
        <w:outlineLvl w:val="9"/>
        <w:rPr>
          <w:rFonts w:eastAsiaTheme="minorEastAsia"/>
          <w:b/>
          <w:kern w:val="0"/>
          <w:sz w:val="24"/>
          <w:highlight w:val="none"/>
        </w:rPr>
      </w:pPr>
      <w:r>
        <w:rPr>
          <w:rFonts w:eastAsiaTheme="minorEastAsia"/>
          <w:b/>
          <w:kern w:val="0"/>
          <w:sz w:val="24"/>
          <w:highlight w:val="none"/>
        </w:rPr>
        <w:drawing>
          <wp:inline distT="0" distB="0" distL="0" distR="0">
            <wp:extent cx="1814830" cy="459740"/>
            <wp:effectExtent l="1905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28" cstate="print"/>
                    <a:srcRect t="16867" r="5413" b="8434"/>
                    <a:stretch>
                      <a:fillRect/>
                    </a:stretch>
                  </pic:blipFill>
                  <pic:spPr>
                    <a:xfrm>
                      <a:off x="0" y="0"/>
                      <a:ext cx="1814838" cy="460006"/>
                    </a:xfrm>
                    <a:prstGeom prst="rect">
                      <a:avLst/>
                    </a:prstGeom>
                    <a:noFill/>
                    <a:ln w="9525">
                      <a:noFill/>
                      <a:miter lim="800000"/>
                      <a:headEnd/>
                      <a:tailEnd/>
                    </a:ln>
                  </pic:spPr>
                </pic:pic>
              </a:graphicData>
            </a:graphic>
          </wp:inline>
        </w:drawing>
      </w:r>
    </w:p>
    <w:p w14:paraId="10226AF3">
      <w:pPr>
        <w:pageBreakBefore w:val="0"/>
        <w:kinsoku/>
        <w:wordWrap w:val="0"/>
        <w:overflowPunct/>
        <w:topLinePunct w:val="0"/>
        <w:autoSpaceDE/>
        <w:autoSpaceDN/>
        <w:bidi w:val="0"/>
        <w:adjustRightInd w:val="0"/>
        <w:snapToGrid w:val="0"/>
        <w:spacing w:line="360" w:lineRule="auto"/>
        <w:ind w:firstLine="480" w:firstLineChars="200"/>
        <w:outlineLvl w:val="9"/>
        <w:rPr>
          <w:rFonts w:eastAsiaTheme="minorEastAsia"/>
          <w:sz w:val="24"/>
          <w:highlight w:val="none"/>
        </w:rPr>
      </w:pPr>
      <w:r>
        <w:rPr>
          <w:rFonts w:hAnsiTheme="minorEastAsia" w:eastAsiaTheme="minorEastAsia"/>
          <w:sz w:val="24"/>
          <w:highlight w:val="none"/>
        </w:rPr>
        <w:t>式中：</w:t>
      </w:r>
      <w:r>
        <w:rPr>
          <w:rFonts w:eastAsiaTheme="minorEastAsia"/>
          <w:sz w:val="24"/>
          <w:highlight w:val="none"/>
        </w:rPr>
        <w:t>q1</w:t>
      </w:r>
      <w:r>
        <w:rPr>
          <w:rFonts w:hAnsiTheme="minorEastAsia" w:eastAsiaTheme="minorEastAsia"/>
          <w:sz w:val="24"/>
          <w:highlight w:val="none"/>
        </w:rPr>
        <w:t>，</w:t>
      </w:r>
      <w:r>
        <w:rPr>
          <w:rFonts w:eastAsiaTheme="minorEastAsia"/>
          <w:sz w:val="24"/>
          <w:highlight w:val="none"/>
        </w:rPr>
        <w:t>q2</w:t>
      </w:r>
      <w:r>
        <w:rPr>
          <w:rFonts w:hAnsiTheme="minorEastAsia" w:eastAsiaTheme="minorEastAsia"/>
          <w:sz w:val="24"/>
          <w:highlight w:val="none"/>
        </w:rPr>
        <w:t>，</w:t>
      </w:r>
      <w:r>
        <w:rPr>
          <w:rFonts w:eastAsiaTheme="minorEastAsia"/>
          <w:sz w:val="24"/>
          <w:highlight w:val="none"/>
        </w:rPr>
        <w:t>…</w:t>
      </w:r>
      <w:r>
        <w:rPr>
          <w:rFonts w:hAnsiTheme="minorEastAsia" w:eastAsiaTheme="minorEastAsia"/>
          <w:sz w:val="24"/>
          <w:highlight w:val="none"/>
        </w:rPr>
        <w:t>，</w:t>
      </w:r>
      <w:r>
        <w:rPr>
          <w:rFonts w:eastAsiaTheme="minorEastAsia"/>
          <w:sz w:val="24"/>
          <w:highlight w:val="none"/>
        </w:rPr>
        <w:t>qn——</w:t>
      </w:r>
      <w:r>
        <w:rPr>
          <w:rFonts w:hAnsiTheme="minorEastAsia" w:eastAsiaTheme="minorEastAsia"/>
          <w:sz w:val="24"/>
          <w:highlight w:val="none"/>
        </w:rPr>
        <w:t>每种危险物质的最大存在总量，</w:t>
      </w:r>
      <w:r>
        <w:rPr>
          <w:rFonts w:eastAsiaTheme="minorEastAsia"/>
          <w:sz w:val="24"/>
          <w:highlight w:val="none"/>
        </w:rPr>
        <w:t>t</w:t>
      </w:r>
      <w:r>
        <w:rPr>
          <w:rFonts w:hAnsiTheme="minorEastAsia" w:eastAsiaTheme="minorEastAsia"/>
          <w:sz w:val="24"/>
          <w:highlight w:val="none"/>
        </w:rPr>
        <w:t>；</w:t>
      </w:r>
    </w:p>
    <w:p w14:paraId="5200466A">
      <w:pPr>
        <w:pageBreakBefore w:val="0"/>
        <w:kinsoku/>
        <w:wordWrap w:val="0"/>
        <w:overflowPunct/>
        <w:topLinePunct w:val="0"/>
        <w:autoSpaceDE/>
        <w:autoSpaceDN/>
        <w:bidi w:val="0"/>
        <w:adjustRightInd w:val="0"/>
        <w:snapToGrid w:val="0"/>
        <w:spacing w:line="360" w:lineRule="auto"/>
        <w:ind w:firstLine="480" w:firstLineChars="200"/>
        <w:outlineLvl w:val="9"/>
        <w:rPr>
          <w:rFonts w:eastAsiaTheme="minorEastAsia"/>
          <w:sz w:val="24"/>
          <w:highlight w:val="none"/>
        </w:rPr>
      </w:pPr>
      <w:r>
        <w:rPr>
          <w:rFonts w:eastAsiaTheme="minorEastAsia"/>
          <w:sz w:val="24"/>
          <w:highlight w:val="none"/>
        </w:rPr>
        <w:t>Q1</w:t>
      </w:r>
      <w:r>
        <w:rPr>
          <w:rFonts w:hAnsiTheme="minorEastAsia" w:eastAsiaTheme="minorEastAsia"/>
          <w:sz w:val="24"/>
          <w:highlight w:val="none"/>
        </w:rPr>
        <w:t>，</w:t>
      </w:r>
      <w:r>
        <w:rPr>
          <w:rFonts w:eastAsiaTheme="minorEastAsia"/>
          <w:sz w:val="24"/>
          <w:highlight w:val="none"/>
        </w:rPr>
        <w:t>Q2</w:t>
      </w:r>
      <w:r>
        <w:rPr>
          <w:rFonts w:hAnsiTheme="minorEastAsia" w:eastAsiaTheme="minorEastAsia"/>
          <w:sz w:val="24"/>
          <w:highlight w:val="none"/>
        </w:rPr>
        <w:t>，</w:t>
      </w:r>
      <w:r>
        <w:rPr>
          <w:rFonts w:eastAsiaTheme="minorEastAsia"/>
          <w:sz w:val="24"/>
          <w:highlight w:val="none"/>
        </w:rPr>
        <w:t>…</w:t>
      </w:r>
      <w:r>
        <w:rPr>
          <w:rFonts w:hAnsiTheme="minorEastAsia" w:eastAsiaTheme="minorEastAsia"/>
          <w:sz w:val="24"/>
          <w:highlight w:val="none"/>
        </w:rPr>
        <w:t>，</w:t>
      </w:r>
      <w:r>
        <w:rPr>
          <w:rFonts w:eastAsiaTheme="minorEastAsia"/>
          <w:sz w:val="24"/>
          <w:highlight w:val="none"/>
        </w:rPr>
        <w:t>Qn——</w:t>
      </w:r>
      <w:r>
        <w:rPr>
          <w:rFonts w:hAnsiTheme="minorEastAsia" w:eastAsiaTheme="minorEastAsia"/>
          <w:sz w:val="24"/>
          <w:highlight w:val="none"/>
        </w:rPr>
        <w:t>每种危险物质的临界量，</w:t>
      </w:r>
      <w:r>
        <w:rPr>
          <w:rFonts w:eastAsiaTheme="minorEastAsia"/>
          <w:sz w:val="24"/>
          <w:highlight w:val="none"/>
        </w:rPr>
        <w:t>t</w:t>
      </w:r>
      <w:r>
        <w:rPr>
          <w:rFonts w:hAnsiTheme="minorEastAsia" w:eastAsiaTheme="minorEastAsia"/>
          <w:sz w:val="24"/>
          <w:highlight w:val="none"/>
        </w:rPr>
        <w:t>；</w:t>
      </w:r>
    </w:p>
    <w:p w14:paraId="490FFCAE">
      <w:pPr>
        <w:pageBreakBefore w:val="0"/>
        <w:kinsoku/>
        <w:wordWrap w:val="0"/>
        <w:overflowPunct/>
        <w:topLinePunct w:val="0"/>
        <w:autoSpaceDE/>
        <w:autoSpaceDN/>
        <w:bidi w:val="0"/>
        <w:adjustRightInd w:val="0"/>
        <w:snapToGrid w:val="0"/>
        <w:spacing w:line="360" w:lineRule="auto"/>
        <w:ind w:firstLine="480" w:firstLineChars="200"/>
        <w:outlineLvl w:val="9"/>
        <w:rPr>
          <w:rFonts w:eastAsiaTheme="minorEastAsia"/>
          <w:sz w:val="24"/>
          <w:highlight w:val="none"/>
        </w:rPr>
      </w:pPr>
      <w:r>
        <w:rPr>
          <w:rFonts w:hAnsiTheme="minorEastAsia" w:eastAsiaTheme="minorEastAsia"/>
          <w:sz w:val="24"/>
          <w:highlight w:val="none"/>
        </w:rPr>
        <w:t>当</w:t>
      </w:r>
      <w:r>
        <w:rPr>
          <w:rFonts w:eastAsiaTheme="minorEastAsia"/>
          <w:sz w:val="24"/>
          <w:highlight w:val="none"/>
        </w:rPr>
        <w:t>Q</w:t>
      </w:r>
      <w:r>
        <w:rPr>
          <w:rFonts w:hAnsiTheme="minorEastAsia" w:eastAsiaTheme="minorEastAsia"/>
          <w:sz w:val="24"/>
          <w:highlight w:val="none"/>
        </w:rPr>
        <w:t>＜</w:t>
      </w:r>
      <w:r>
        <w:rPr>
          <w:rFonts w:eastAsiaTheme="minorEastAsia"/>
          <w:sz w:val="24"/>
          <w:highlight w:val="none"/>
        </w:rPr>
        <w:t>1</w:t>
      </w:r>
      <w:r>
        <w:rPr>
          <w:rFonts w:hAnsiTheme="minorEastAsia" w:eastAsiaTheme="minorEastAsia"/>
          <w:sz w:val="24"/>
          <w:highlight w:val="none"/>
        </w:rPr>
        <w:t>时，本项目环境风险潜势为</w:t>
      </w:r>
      <w:r>
        <w:rPr>
          <w:rFonts w:eastAsiaTheme="minorEastAsia"/>
          <w:sz w:val="24"/>
          <w:highlight w:val="none"/>
        </w:rPr>
        <w:t>Ⅰ</w:t>
      </w:r>
      <w:r>
        <w:rPr>
          <w:rFonts w:hAnsiTheme="minorEastAsia" w:eastAsiaTheme="minorEastAsia"/>
          <w:sz w:val="24"/>
          <w:highlight w:val="none"/>
        </w:rPr>
        <w:t>；</w:t>
      </w:r>
    </w:p>
    <w:p w14:paraId="18610C92">
      <w:pPr>
        <w:pageBreakBefore w:val="0"/>
        <w:kinsoku/>
        <w:wordWrap w:val="0"/>
        <w:overflowPunct/>
        <w:topLinePunct w:val="0"/>
        <w:autoSpaceDE/>
        <w:autoSpaceDN/>
        <w:bidi w:val="0"/>
        <w:adjustRightInd w:val="0"/>
        <w:snapToGrid w:val="0"/>
        <w:outlineLvl w:val="9"/>
        <w:rPr>
          <w:rFonts w:eastAsiaTheme="minorEastAsia"/>
          <w:sz w:val="24"/>
          <w:highlight w:val="none"/>
        </w:rPr>
      </w:pPr>
      <w:r>
        <w:rPr>
          <w:rFonts w:hAnsiTheme="minorEastAsia" w:eastAsiaTheme="minorEastAsia"/>
          <w:sz w:val="24"/>
          <w:highlight w:val="none"/>
        </w:rPr>
        <w:t>当</w:t>
      </w:r>
      <w:r>
        <w:rPr>
          <w:rFonts w:eastAsiaTheme="minorEastAsia"/>
          <w:sz w:val="24"/>
          <w:highlight w:val="none"/>
        </w:rPr>
        <w:t>Q≥1</w:t>
      </w:r>
      <w:r>
        <w:rPr>
          <w:rFonts w:hAnsiTheme="minorEastAsia" w:eastAsiaTheme="minorEastAsia"/>
          <w:sz w:val="24"/>
          <w:highlight w:val="none"/>
        </w:rPr>
        <w:t>时，将</w:t>
      </w:r>
      <w:r>
        <w:rPr>
          <w:rFonts w:eastAsiaTheme="minorEastAsia"/>
          <w:sz w:val="24"/>
          <w:highlight w:val="none"/>
        </w:rPr>
        <w:t>Q</w:t>
      </w:r>
      <w:r>
        <w:rPr>
          <w:rFonts w:hAnsiTheme="minorEastAsia" w:eastAsiaTheme="minorEastAsia"/>
          <w:sz w:val="24"/>
          <w:highlight w:val="none"/>
        </w:rPr>
        <w:t>值划分为：</w:t>
      </w:r>
      <w:r>
        <w:rPr>
          <w:rFonts w:eastAsiaTheme="minorEastAsia"/>
          <w:sz w:val="24"/>
          <w:highlight w:val="none"/>
        </w:rPr>
        <w:t>1≤Q</w:t>
      </w:r>
      <w:r>
        <w:rPr>
          <w:rFonts w:hAnsiTheme="minorEastAsia" w:eastAsiaTheme="minorEastAsia"/>
          <w:sz w:val="24"/>
          <w:highlight w:val="none"/>
        </w:rPr>
        <w:t>＜</w:t>
      </w:r>
      <w:r>
        <w:rPr>
          <w:rFonts w:eastAsiaTheme="minorEastAsia"/>
          <w:sz w:val="24"/>
          <w:highlight w:val="none"/>
        </w:rPr>
        <w:t>10</w:t>
      </w:r>
      <w:r>
        <w:rPr>
          <w:rFonts w:hAnsiTheme="minorEastAsia" w:eastAsiaTheme="minorEastAsia"/>
          <w:sz w:val="24"/>
          <w:highlight w:val="none"/>
        </w:rPr>
        <w:t>；</w:t>
      </w:r>
      <w:r>
        <w:rPr>
          <w:rFonts w:eastAsiaTheme="minorEastAsia"/>
          <w:sz w:val="24"/>
          <w:highlight w:val="none"/>
        </w:rPr>
        <w:t>10≤Q</w:t>
      </w:r>
      <w:r>
        <w:rPr>
          <w:rFonts w:hAnsiTheme="minorEastAsia" w:eastAsiaTheme="minorEastAsia"/>
          <w:sz w:val="24"/>
          <w:highlight w:val="none"/>
        </w:rPr>
        <w:t>＜</w:t>
      </w:r>
      <w:r>
        <w:rPr>
          <w:rFonts w:eastAsiaTheme="minorEastAsia"/>
          <w:sz w:val="24"/>
          <w:highlight w:val="none"/>
        </w:rPr>
        <w:t>100</w:t>
      </w:r>
      <w:r>
        <w:rPr>
          <w:rFonts w:hAnsiTheme="minorEastAsia" w:eastAsiaTheme="minorEastAsia"/>
          <w:sz w:val="24"/>
          <w:highlight w:val="none"/>
        </w:rPr>
        <w:t>；</w:t>
      </w:r>
      <w:r>
        <w:rPr>
          <w:rFonts w:eastAsiaTheme="minorEastAsia"/>
          <w:sz w:val="24"/>
          <w:highlight w:val="none"/>
        </w:rPr>
        <w:t>Q≥100</w:t>
      </w:r>
      <w:r>
        <w:rPr>
          <w:rFonts w:hAnsiTheme="minorEastAsia" w:eastAsiaTheme="minorEastAsia"/>
          <w:sz w:val="24"/>
          <w:highlight w:val="none"/>
        </w:rPr>
        <w:t>。</w:t>
      </w:r>
    </w:p>
    <w:p w14:paraId="23FFFCA5">
      <w:pPr>
        <w:pageBreakBefore w:val="0"/>
        <w:kinsoku/>
        <w:wordWrap w:val="0"/>
        <w:overflowPunct/>
        <w:topLinePunct w:val="0"/>
        <w:autoSpaceDE/>
        <w:autoSpaceDN/>
        <w:bidi w:val="0"/>
        <w:adjustRightInd w:val="0"/>
        <w:snapToGrid w:val="0"/>
        <w:spacing w:line="360" w:lineRule="auto"/>
        <w:ind w:firstLine="480" w:firstLineChars="200"/>
        <w:outlineLvl w:val="9"/>
        <w:rPr>
          <w:rFonts w:hint="eastAsia" w:eastAsiaTheme="minorEastAsia"/>
          <w:sz w:val="24"/>
          <w:highlight w:val="none"/>
          <w:lang w:val="en-US" w:eastAsia="zh-CN"/>
        </w:rPr>
      </w:pPr>
      <w:r>
        <w:rPr>
          <w:rFonts w:hAnsiTheme="minorEastAsia" w:eastAsiaTheme="minorEastAsia"/>
          <w:snapToGrid w:val="0"/>
          <w:sz w:val="24"/>
          <w:highlight w:val="none"/>
        </w:rPr>
        <w:t>根据项目使用的原辅材料、产品、污染物</w:t>
      </w:r>
      <w:r>
        <w:rPr>
          <w:rFonts w:hint="eastAsia" w:hAnsiTheme="minorEastAsia" w:eastAsiaTheme="minorEastAsia"/>
          <w:snapToGrid w:val="0"/>
          <w:sz w:val="24"/>
          <w:highlight w:val="none"/>
          <w:lang w:eastAsia="zh-CN"/>
        </w:rPr>
        <w:t>、</w:t>
      </w:r>
      <w:r>
        <w:rPr>
          <w:rFonts w:hAnsiTheme="minorEastAsia" w:eastAsiaTheme="minorEastAsia"/>
          <w:snapToGrid w:val="0"/>
          <w:sz w:val="24"/>
          <w:highlight w:val="none"/>
        </w:rPr>
        <w:t>火灾伴生物等，对照《建设项目环境风险评价技术导则》</w:t>
      </w:r>
      <w:r>
        <w:rPr>
          <w:rFonts w:hint="eastAsia" w:eastAsiaTheme="minorEastAsia"/>
          <w:snapToGrid w:val="0"/>
          <w:sz w:val="24"/>
          <w:highlight w:val="none"/>
          <w:lang w:eastAsia="zh-CN"/>
        </w:rPr>
        <w:t>（</w:t>
      </w:r>
      <w:r>
        <w:rPr>
          <w:rFonts w:eastAsiaTheme="minorEastAsia"/>
          <w:snapToGrid w:val="0"/>
          <w:sz w:val="24"/>
          <w:highlight w:val="none"/>
        </w:rPr>
        <w:t>HJ169-2018</w:t>
      </w:r>
      <w:r>
        <w:rPr>
          <w:rFonts w:hAnsiTheme="minorEastAsia" w:eastAsiaTheme="minorEastAsia"/>
          <w:snapToGrid w:val="0"/>
          <w:sz w:val="24"/>
          <w:highlight w:val="none"/>
        </w:rPr>
        <w:t>）附录</w:t>
      </w:r>
      <w:r>
        <w:rPr>
          <w:rFonts w:eastAsiaTheme="minorEastAsia"/>
          <w:snapToGrid w:val="0"/>
          <w:sz w:val="24"/>
          <w:highlight w:val="none"/>
        </w:rPr>
        <w:t>B</w:t>
      </w:r>
      <w:r>
        <w:rPr>
          <w:rFonts w:hAnsiTheme="minorEastAsia" w:eastAsiaTheme="minorEastAsia"/>
          <w:snapToGrid w:val="0"/>
          <w:sz w:val="24"/>
          <w:highlight w:val="none"/>
        </w:rPr>
        <w:t>表</w:t>
      </w:r>
      <w:r>
        <w:rPr>
          <w:rFonts w:eastAsiaTheme="minorEastAsia"/>
          <w:snapToGrid w:val="0"/>
          <w:sz w:val="24"/>
          <w:highlight w:val="none"/>
        </w:rPr>
        <w:t>B.1</w:t>
      </w:r>
      <w:r>
        <w:rPr>
          <w:rFonts w:hAnsiTheme="minorEastAsia" w:eastAsiaTheme="minorEastAsia"/>
          <w:snapToGrid w:val="0"/>
          <w:sz w:val="24"/>
          <w:highlight w:val="none"/>
        </w:rPr>
        <w:t>，本项目</w:t>
      </w:r>
      <w:r>
        <w:rPr>
          <w:rFonts w:hint="eastAsia" w:hAnsiTheme="minorEastAsia" w:eastAsiaTheme="minorEastAsia"/>
          <w:snapToGrid w:val="0"/>
          <w:sz w:val="24"/>
          <w:highlight w:val="none"/>
          <w:lang w:eastAsia="zh-CN"/>
        </w:rPr>
        <w:t>涉及的</w:t>
      </w:r>
      <w:r>
        <w:rPr>
          <w:rFonts w:hAnsiTheme="minorEastAsia" w:eastAsiaTheme="minorEastAsia"/>
          <w:snapToGrid w:val="0"/>
          <w:sz w:val="24"/>
          <w:highlight w:val="none"/>
        </w:rPr>
        <w:t>风险物质是油类</w:t>
      </w:r>
      <w:r>
        <w:rPr>
          <w:rFonts w:hAnsiTheme="minorEastAsia" w:eastAsiaTheme="minorEastAsia"/>
          <w:snapToGrid w:val="0"/>
          <w:color w:val="000000" w:themeColor="text1"/>
          <w:sz w:val="24"/>
          <w:highlight w:val="none"/>
        </w:rPr>
        <w:t>物质</w:t>
      </w:r>
      <w:r>
        <w:rPr>
          <w:rFonts w:hint="eastAsia" w:ascii="Times New Roman" w:hAnsi="宋体"/>
          <w:snapToGrid w:val="0"/>
          <w:color w:val="000000" w:themeColor="text1"/>
          <w:highlight w:val="none"/>
        </w:rPr>
        <w:t>、</w:t>
      </w:r>
      <w:r>
        <w:rPr>
          <w:rFonts w:hint="eastAsia" w:ascii="Times New Roman" w:hAnsi="Times New Roman"/>
          <w:color w:val="000000" w:themeColor="text1"/>
          <w:highlight w:val="none"/>
          <w:lang w:val="zh-CN"/>
        </w:rPr>
        <w:t>废切削液和清洗液废水（</w:t>
      </w:r>
      <w:r>
        <w:rPr>
          <w:rFonts w:hint="eastAsia" w:ascii="Times New Roman" w:hAnsi="Times New Roman"/>
          <w:color w:val="000000" w:themeColor="text1"/>
          <w:highlight w:val="none"/>
        </w:rPr>
        <w:t>COD</w:t>
      </w:r>
      <w:r>
        <w:rPr>
          <w:rFonts w:ascii="Times New Roman" w:hAnsi="Times New Roman"/>
          <w:color w:val="000000" w:themeColor="text1"/>
          <w:highlight w:val="none"/>
        </w:rPr>
        <w:t>≥</w:t>
      </w:r>
      <w:r>
        <w:rPr>
          <w:rFonts w:hint="eastAsia" w:ascii="Times New Roman" w:hAnsi="Times New Roman"/>
          <w:color w:val="000000" w:themeColor="text1"/>
          <w:highlight w:val="none"/>
        </w:rPr>
        <w:t>10000mg/L</w:t>
      </w:r>
      <w:r>
        <w:rPr>
          <w:rFonts w:hint="eastAsia" w:ascii="Times New Roman" w:hAnsi="Times New Roman"/>
          <w:color w:val="000000" w:themeColor="text1"/>
          <w:highlight w:val="none"/>
          <w:lang w:val="zh-CN"/>
        </w:rPr>
        <w:t>）</w:t>
      </w:r>
      <w:r>
        <w:rPr>
          <w:rFonts w:hint="eastAsia" w:ascii="Times New Roman" w:hAnsi="宋体"/>
          <w:snapToGrid w:val="0"/>
          <w:color w:val="000000" w:themeColor="text1"/>
          <w:highlight w:val="none"/>
        </w:rPr>
        <w:t>以及封口胶（</w:t>
      </w:r>
      <w:r>
        <w:rPr>
          <w:rFonts w:hint="eastAsia" w:ascii="Times New Roman" w:hAnsi="宋体"/>
          <w:snapToGrid w:val="0"/>
          <w:color w:val="000000" w:themeColor="text1"/>
          <w:highlight w:val="none"/>
          <w:lang w:val="zh-CN"/>
        </w:rPr>
        <w:t>根据其产品质量报告以及对照《化学品分类和标签规范</w:t>
      </w:r>
      <w:r>
        <w:rPr>
          <w:rFonts w:hint="eastAsia" w:ascii="Times New Roman" w:hAnsi="宋体"/>
          <w:snapToGrid w:val="0"/>
          <w:color w:val="000000" w:themeColor="text1"/>
          <w:highlight w:val="none"/>
        </w:rPr>
        <w:t>第18部分：急性中毒</w:t>
      </w:r>
      <w:r>
        <w:rPr>
          <w:rFonts w:hint="eastAsia" w:ascii="Times New Roman" w:hAnsi="宋体"/>
          <w:snapToGrid w:val="0"/>
          <w:color w:val="000000" w:themeColor="text1"/>
          <w:highlight w:val="none"/>
          <w:lang w:val="zh-CN"/>
        </w:rPr>
        <w:t>》（</w:t>
      </w:r>
      <w:r>
        <w:rPr>
          <w:rFonts w:hint="eastAsia" w:ascii="Times New Roman" w:hAnsi="宋体"/>
          <w:snapToGrid w:val="0"/>
          <w:color w:val="000000" w:themeColor="text1"/>
          <w:highlight w:val="none"/>
        </w:rPr>
        <w:t>GB30000.18-2013</w:t>
      </w:r>
      <w:r>
        <w:rPr>
          <w:rFonts w:hint="eastAsia" w:ascii="Times New Roman" w:hAnsi="宋体"/>
          <w:snapToGrid w:val="0"/>
          <w:color w:val="000000" w:themeColor="text1"/>
          <w:highlight w:val="none"/>
          <w:lang w:val="zh-CN"/>
        </w:rPr>
        <w:t>）其急性毒性危害为</w:t>
      </w:r>
      <w:r>
        <w:rPr>
          <w:rFonts w:hint="eastAsia" w:ascii="Times New Roman" w:hAnsi="宋体"/>
          <w:snapToGrid w:val="0"/>
          <w:color w:val="000000" w:themeColor="text1"/>
          <w:highlight w:val="none"/>
        </w:rPr>
        <w:t>3类）</w:t>
      </w:r>
      <w:r>
        <w:rPr>
          <w:rFonts w:hint="eastAsia" w:ascii="Times New Roman" w:hAnsi="Times New Roman"/>
          <w:color w:val="000000" w:themeColor="text1"/>
          <w:kern w:val="0"/>
          <w:highlight w:val="none"/>
        </w:rPr>
        <w:t>。</w:t>
      </w:r>
      <w:r>
        <w:rPr>
          <w:rFonts w:hint="eastAsia" w:hAnsiTheme="minorEastAsia" w:eastAsiaTheme="minorEastAsia"/>
          <w:kern w:val="0"/>
          <w:sz w:val="24"/>
          <w:highlight w:val="none"/>
        </w:rPr>
        <w:t>封口胶成分中含有二甲基硅氧烷，属于易燃危险品，但</w:t>
      </w:r>
      <w:r>
        <w:rPr>
          <w:rFonts w:hAnsiTheme="minorEastAsia" w:eastAsiaTheme="minorEastAsia"/>
          <w:sz w:val="24"/>
          <w:highlight w:val="none"/>
        </w:rPr>
        <w:t>《建设项目环境风险评价技术导则》（</w:t>
      </w:r>
      <w:r>
        <w:rPr>
          <w:rFonts w:eastAsiaTheme="minorEastAsia"/>
          <w:sz w:val="24"/>
          <w:highlight w:val="none"/>
        </w:rPr>
        <w:t>HJ169-2018</w:t>
      </w:r>
      <w:r>
        <w:rPr>
          <w:rFonts w:hAnsiTheme="minorEastAsia" w:eastAsiaTheme="minorEastAsia"/>
          <w:sz w:val="24"/>
          <w:highlight w:val="none"/>
        </w:rPr>
        <w:t>）中无该物质的临界量，且对于封口胶作为</w:t>
      </w:r>
      <w:r>
        <w:rPr>
          <w:rFonts w:hint="eastAsia" w:hAnsiTheme="minorEastAsia" w:eastAsiaTheme="minorEastAsia"/>
          <w:sz w:val="24"/>
          <w:highlight w:val="none"/>
        </w:rPr>
        <w:t>风险</w:t>
      </w:r>
      <w:r>
        <w:rPr>
          <w:rFonts w:hAnsiTheme="minorEastAsia" w:eastAsiaTheme="minorEastAsia"/>
          <w:sz w:val="24"/>
          <w:highlight w:val="none"/>
        </w:rPr>
        <w:t>物质整体计算</w:t>
      </w:r>
      <w:r>
        <w:rPr>
          <w:rFonts w:hint="eastAsia" w:hAnsiTheme="minorEastAsia" w:eastAsiaTheme="minorEastAsia"/>
          <w:sz w:val="24"/>
          <w:highlight w:val="none"/>
        </w:rPr>
        <w:t>Q值，因此本项目Q值计算，不再单独考虑</w:t>
      </w:r>
      <w:r>
        <w:rPr>
          <w:rFonts w:hint="eastAsia" w:hAnsiTheme="minorEastAsia" w:eastAsiaTheme="minorEastAsia"/>
          <w:kern w:val="0"/>
          <w:sz w:val="24"/>
          <w:highlight w:val="none"/>
        </w:rPr>
        <w:t>二甲基硅氧烷</w:t>
      </w:r>
      <w:r>
        <w:rPr>
          <w:rFonts w:hint="eastAsia" w:hAnsiTheme="minorEastAsia" w:eastAsiaTheme="minorEastAsia"/>
          <w:kern w:val="0"/>
          <w:sz w:val="24"/>
          <w:highlight w:val="none"/>
          <w:lang w:val="en-US" w:eastAsia="zh-CN"/>
        </w:rPr>
        <w:t>.</w:t>
      </w:r>
    </w:p>
    <w:p w14:paraId="4A67EA45">
      <w:pPr>
        <w:pageBreakBefore w:val="0"/>
        <w:kinsoku/>
        <w:wordWrap w:val="0"/>
        <w:overflowPunct/>
        <w:topLinePunct w:val="0"/>
        <w:autoSpaceDE/>
        <w:autoSpaceDN/>
        <w:bidi w:val="0"/>
        <w:adjustRightInd w:val="0"/>
        <w:snapToGrid w:val="0"/>
        <w:spacing w:line="360" w:lineRule="auto"/>
        <w:ind w:firstLine="480" w:firstLineChars="200"/>
        <w:outlineLvl w:val="9"/>
        <w:rPr>
          <w:rFonts w:hAnsiTheme="minorEastAsia" w:eastAsiaTheme="minorEastAsia"/>
          <w:sz w:val="24"/>
          <w:highlight w:val="none"/>
        </w:rPr>
      </w:pPr>
      <w:r>
        <w:rPr>
          <w:rFonts w:hAnsiTheme="minorEastAsia" w:eastAsiaTheme="minorEastAsia"/>
          <w:sz w:val="24"/>
          <w:highlight w:val="none"/>
        </w:rPr>
        <w:t>根据以上物质危险特性，参照《建设项目环境风险评价技术导则》（</w:t>
      </w:r>
      <w:r>
        <w:rPr>
          <w:rFonts w:eastAsiaTheme="minorEastAsia"/>
          <w:sz w:val="24"/>
          <w:highlight w:val="none"/>
        </w:rPr>
        <w:t>HJ169-2018</w:t>
      </w:r>
      <w:r>
        <w:rPr>
          <w:rFonts w:hAnsiTheme="minorEastAsia" w:eastAsiaTheme="minorEastAsia"/>
          <w:sz w:val="24"/>
          <w:highlight w:val="none"/>
        </w:rPr>
        <w:t>）中物质危险性标准分类原则，本项目所涉及的物质属于</w:t>
      </w:r>
      <w:r>
        <w:rPr>
          <w:rFonts w:hint="eastAsia" w:hAnsiTheme="minorEastAsia" w:eastAsiaTheme="minorEastAsia"/>
          <w:sz w:val="24"/>
          <w:highlight w:val="none"/>
          <w:lang w:val="en-US" w:eastAsia="zh-CN"/>
        </w:rPr>
        <w:t>油类物质</w:t>
      </w:r>
      <w:r>
        <w:rPr>
          <w:rFonts w:hAnsiTheme="minorEastAsia" w:eastAsiaTheme="minorEastAsia"/>
          <w:sz w:val="24"/>
          <w:highlight w:val="none"/>
        </w:rPr>
        <w:t>（矿物油类，如石油、汽油、柴油等；生物柴油等），根据原辅材料消耗表，</w:t>
      </w:r>
      <w:r>
        <w:rPr>
          <w:rFonts w:hint="eastAsia" w:hAnsiTheme="minorEastAsia" w:eastAsiaTheme="minorEastAsia"/>
          <w:sz w:val="24"/>
          <w:highlight w:val="none"/>
          <w:lang w:val="en-US" w:eastAsia="zh-CN"/>
        </w:rPr>
        <w:t>废液全年产生量125.8t，每月转运一次，最大储存量约10.5t，含油金属屑中的油最大储存量14t，故</w:t>
      </w:r>
      <w:r>
        <w:rPr>
          <w:rFonts w:hAnsiTheme="minorEastAsia" w:eastAsiaTheme="minorEastAsia"/>
          <w:sz w:val="24"/>
          <w:highlight w:val="none"/>
        </w:rPr>
        <w:t>本项目油类物质最大储存量为</w:t>
      </w:r>
      <w:r>
        <w:rPr>
          <w:rFonts w:hint="eastAsia" w:eastAsiaTheme="minorEastAsia"/>
          <w:sz w:val="24"/>
          <w:highlight w:val="none"/>
          <w:lang w:val="en-US" w:eastAsia="zh-CN"/>
        </w:rPr>
        <w:t>29</w:t>
      </w:r>
      <w:r>
        <w:rPr>
          <w:rFonts w:eastAsiaTheme="minorEastAsia"/>
          <w:sz w:val="24"/>
          <w:highlight w:val="none"/>
        </w:rPr>
        <w:t>t</w:t>
      </w:r>
      <w:r>
        <w:rPr>
          <w:rFonts w:hAnsiTheme="minorEastAsia" w:eastAsiaTheme="minorEastAsia"/>
          <w:sz w:val="24"/>
          <w:highlight w:val="none"/>
        </w:rPr>
        <w:t>。废切削液和清洗液废水（</w:t>
      </w:r>
      <w:r>
        <w:rPr>
          <w:rFonts w:eastAsiaTheme="minorEastAsia"/>
          <w:sz w:val="24"/>
          <w:highlight w:val="none"/>
        </w:rPr>
        <w:t>COD≥10000mg/L</w:t>
      </w:r>
      <w:r>
        <w:rPr>
          <w:rFonts w:hAnsiTheme="minorEastAsia" w:eastAsiaTheme="minorEastAsia"/>
          <w:sz w:val="24"/>
          <w:highlight w:val="none"/>
        </w:rPr>
        <w:t>）最大存在量</w:t>
      </w:r>
      <w:r>
        <w:rPr>
          <w:rFonts w:hint="eastAsia" w:hAnsiTheme="minorEastAsia" w:eastAsiaTheme="minorEastAsia"/>
          <w:sz w:val="24"/>
          <w:highlight w:val="none"/>
        </w:rPr>
        <w:t>为</w:t>
      </w:r>
      <w:r>
        <w:rPr>
          <w:rFonts w:hAnsiTheme="minorEastAsia" w:eastAsiaTheme="minorEastAsia"/>
          <w:sz w:val="24"/>
          <w:highlight w:val="none"/>
        </w:rPr>
        <w:t>废切削液年</w:t>
      </w:r>
      <w:r>
        <w:rPr>
          <w:rFonts w:hint="eastAsia" w:hAnsiTheme="minorEastAsia" w:eastAsiaTheme="minorEastAsia"/>
          <w:sz w:val="24"/>
          <w:highlight w:val="none"/>
        </w:rPr>
        <w:t>存在</w:t>
      </w:r>
      <w:r>
        <w:rPr>
          <w:rFonts w:hAnsiTheme="minorEastAsia" w:eastAsiaTheme="minorEastAsia"/>
          <w:sz w:val="24"/>
          <w:highlight w:val="none"/>
        </w:rPr>
        <w:t>量与清洗液废水单次存在量的和，最大存在量为</w:t>
      </w:r>
      <w:r>
        <w:rPr>
          <w:rFonts w:hint="eastAsia" w:hAnsiTheme="minorEastAsia" w:eastAsiaTheme="minorEastAsia"/>
          <w:sz w:val="24"/>
          <w:highlight w:val="none"/>
          <w:lang w:val="en-US" w:eastAsia="zh-CN"/>
        </w:rPr>
        <w:t>173.5</w:t>
      </w:r>
      <w:r>
        <w:rPr>
          <w:rFonts w:eastAsiaTheme="minorEastAsia"/>
          <w:sz w:val="24"/>
          <w:highlight w:val="none"/>
        </w:rPr>
        <w:t>t</w:t>
      </w:r>
      <w:r>
        <w:rPr>
          <w:rFonts w:hAnsiTheme="minorEastAsia" w:eastAsiaTheme="minorEastAsia"/>
          <w:sz w:val="24"/>
          <w:highlight w:val="none"/>
        </w:rPr>
        <w:t>，封口胶最大存储量为</w:t>
      </w:r>
      <w:r>
        <w:rPr>
          <w:rFonts w:hint="eastAsia" w:eastAsiaTheme="minorEastAsia"/>
          <w:sz w:val="24"/>
          <w:highlight w:val="none"/>
          <w:lang w:val="en-US" w:eastAsia="zh-CN"/>
        </w:rPr>
        <w:t>0.5</w:t>
      </w:r>
      <w:r>
        <w:rPr>
          <w:rFonts w:eastAsiaTheme="minorEastAsia"/>
          <w:sz w:val="24"/>
          <w:highlight w:val="none"/>
        </w:rPr>
        <w:t>t</w:t>
      </w:r>
      <w:r>
        <w:rPr>
          <w:rFonts w:hAnsiTheme="minorEastAsia" w:eastAsiaTheme="minorEastAsia"/>
          <w:sz w:val="24"/>
          <w:highlight w:val="none"/>
        </w:rPr>
        <w:t>。</w:t>
      </w:r>
    </w:p>
    <w:p w14:paraId="3BABF748">
      <w:pPr>
        <w:pStyle w:val="7"/>
        <w:bidi w:val="0"/>
        <w:rPr>
          <w:highlight w:val="none"/>
        </w:rPr>
      </w:pPr>
      <w:r>
        <w:rPr>
          <w:highlight w:val="none"/>
        </w:rPr>
        <w:t>表2-4-1</w:t>
      </w:r>
      <w:r>
        <w:rPr>
          <w:rFonts w:hint="eastAsia"/>
          <w:highlight w:val="none"/>
          <w:lang w:val="en-US" w:eastAsia="zh-CN"/>
        </w:rPr>
        <w:t>2</w:t>
      </w:r>
      <w:r>
        <w:rPr>
          <w:highlight w:val="none"/>
        </w:rPr>
        <w:t>最大储存量与临界量辨识表</w:t>
      </w:r>
    </w:p>
    <w:p w14:paraId="36327E1B">
      <w:pPr>
        <w:pageBreakBefore w:val="0"/>
        <w:kinsoku/>
        <w:wordWrap w:val="0"/>
        <w:overflowPunct/>
        <w:topLinePunct w:val="0"/>
        <w:autoSpaceDE/>
        <w:autoSpaceDN/>
        <w:bidi w:val="0"/>
        <w:adjustRightInd w:val="0"/>
        <w:snapToGrid w:val="0"/>
        <w:spacing w:line="53" w:lineRule="exact"/>
        <w:outlineLvl w:val="9"/>
        <w:rPr>
          <w:rFonts w:eastAsiaTheme="minorEastAsia"/>
          <w:highlight w:val="none"/>
        </w:rPr>
      </w:pPr>
    </w:p>
    <w:tbl>
      <w:tblPr>
        <w:tblStyle w:val="739"/>
        <w:tblW w:w="7943"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127"/>
        <w:gridCol w:w="2180"/>
        <w:gridCol w:w="1990"/>
        <w:gridCol w:w="1646"/>
      </w:tblGrid>
      <w:tr w14:paraId="2E87DF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2127" w:type="dxa"/>
            <w:tcBorders>
              <w:top w:val="single" w:color="000000" w:sz="12" w:space="0"/>
              <w:left w:val="nil"/>
            </w:tcBorders>
            <w:shd w:val="clear" w:color="auto" w:fill="FFFFFF"/>
            <w:vAlign w:val="center"/>
          </w:tcPr>
          <w:p w14:paraId="17F15F9C">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outlineLvl w:val="9"/>
              <w:rPr>
                <w:rFonts w:hint="default" w:eastAsiaTheme="minorEastAsia"/>
                <w:snapToGrid w:val="0"/>
                <w:color w:val="auto"/>
                <w:kern w:val="0"/>
                <w:sz w:val="21"/>
                <w:szCs w:val="21"/>
                <w:highlight w:val="none"/>
              </w:rPr>
            </w:pPr>
            <w:r>
              <w:rPr>
                <w:rFonts w:hint="default" w:hAnsiTheme="minorEastAsia" w:eastAsiaTheme="minorEastAsia"/>
                <w:snapToGrid w:val="0"/>
                <w:color w:val="auto"/>
                <w:spacing w:val="-3"/>
                <w:kern w:val="0"/>
                <w:sz w:val="21"/>
                <w:szCs w:val="21"/>
                <w:highlight w:val="none"/>
              </w:rPr>
              <w:t>化学品名称</w:t>
            </w:r>
          </w:p>
        </w:tc>
        <w:tc>
          <w:tcPr>
            <w:tcW w:w="2180" w:type="dxa"/>
            <w:tcBorders>
              <w:top w:val="single" w:color="000000" w:sz="12" w:space="0"/>
            </w:tcBorders>
            <w:shd w:val="clear" w:color="auto" w:fill="FFFFFF"/>
            <w:vAlign w:val="center"/>
          </w:tcPr>
          <w:p w14:paraId="50F50FE9">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outlineLvl w:val="9"/>
              <w:rPr>
                <w:rFonts w:hint="default" w:eastAsiaTheme="minorEastAsia"/>
                <w:snapToGrid w:val="0"/>
                <w:color w:val="auto"/>
                <w:kern w:val="0"/>
                <w:sz w:val="21"/>
                <w:szCs w:val="21"/>
                <w:highlight w:val="none"/>
              </w:rPr>
            </w:pPr>
            <w:r>
              <w:rPr>
                <w:rFonts w:hint="default" w:hAnsiTheme="minorEastAsia" w:eastAsiaTheme="minorEastAsia"/>
                <w:snapToGrid w:val="0"/>
                <w:color w:val="auto"/>
                <w:spacing w:val="-1"/>
                <w:kern w:val="0"/>
                <w:sz w:val="21"/>
                <w:szCs w:val="21"/>
                <w:highlight w:val="none"/>
              </w:rPr>
              <w:t>全厂最大存在量（</w:t>
            </w:r>
            <w:r>
              <w:rPr>
                <w:rFonts w:hint="default" w:eastAsiaTheme="minorEastAsia"/>
                <w:snapToGrid w:val="0"/>
                <w:color w:val="auto"/>
                <w:spacing w:val="-1"/>
                <w:kern w:val="0"/>
                <w:sz w:val="21"/>
                <w:szCs w:val="21"/>
                <w:highlight w:val="none"/>
              </w:rPr>
              <w:t>t</w:t>
            </w:r>
            <w:r>
              <w:rPr>
                <w:rFonts w:hint="default" w:hAnsiTheme="minorEastAsia" w:eastAsiaTheme="minorEastAsia"/>
                <w:snapToGrid w:val="0"/>
                <w:color w:val="auto"/>
                <w:spacing w:val="-1"/>
                <w:kern w:val="0"/>
                <w:sz w:val="21"/>
                <w:szCs w:val="21"/>
                <w:highlight w:val="none"/>
              </w:rPr>
              <w:t>）</w:t>
            </w:r>
          </w:p>
        </w:tc>
        <w:tc>
          <w:tcPr>
            <w:tcW w:w="1990" w:type="dxa"/>
            <w:tcBorders>
              <w:top w:val="single" w:color="000000" w:sz="12" w:space="0"/>
            </w:tcBorders>
            <w:shd w:val="clear" w:color="auto" w:fill="FFFFFF"/>
            <w:vAlign w:val="center"/>
          </w:tcPr>
          <w:p w14:paraId="2735BF77">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outlineLvl w:val="9"/>
              <w:rPr>
                <w:rFonts w:hint="default" w:eastAsiaTheme="minorEastAsia"/>
                <w:snapToGrid w:val="0"/>
                <w:color w:val="auto"/>
                <w:kern w:val="0"/>
                <w:sz w:val="21"/>
                <w:szCs w:val="21"/>
                <w:highlight w:val="none"/>
              </w:rPr>
            </w:pPr>
            <w:r>
              <w:rPr>
                <w:rFonts w:hint="default" w:hAnsiTheme="minorEastAsia" w:eastAsiaTheme="minorEastAsia"/>
                <w:snapToGrid w:val="0"/>
                <w:color w:val="auto"/>
                <w:spacing w:val="-4"/>
                <w:kern w:val="0"/>
                <w:sz w:val="21"/>
                <w:szCs w:val="21"/>
                <w:highlight w:val="none"/>
              </w:rPr>
              <w:t>临界量（</w:t>
            </w:r>
            <w:r>
              <w:rPr>
                <w:rFonts w:hint="default" w:eastAsiaTheme="minorEastAsia"/>
                <w:snapToGrid w:val="0"/>
                <w:color w:val="auto"/>
                <w:spacing w:val="-4"/>
                <w:kern w:val="0"/>
                <w:sz w:val="21"/>
                <w:szCs w:val="21"/>
                <w:highlight w:val="none"/>
              </w:rPr>
              <w:t>t</w:t>
            </w:r>
            <w:r>
              <w:rPr>
                <w:rFonts w:hint="default" w:hAnsiTheme="minorEastAsia" w:eastAsiaTheme="minorEastAsia"/>
                <w:snapToGrid w:val="0"/>
                <w:color w:val="auto"/>
                <w:spacing w:val="-4"/>
                <w:kern w:val="0"/>
                <w:sz w:val="21"/>
                <w:szCs w:val="21"/>
                <w:highlight w:val="none"/>
              </w:rPr>
              <w:t>）</w:t>
            </w:r>
          </w:p>
        </w:tc>
        <w:tc>
          <w:tcPr>
            <w:tcW w:w="1646" w:type="dxa"/>
            <w:tcBorders>
              <w:top w:val="single" w:color="000000" w:sz="12" w:space="0"/>
              <w:right w:val="nil"/>
            </w:tcBorders>
            <w:shd w:val="clear" w:color="auto" w:fill="FFFFFF"/>
            <w:vAlign w:val="center"/>
          </w:tcPr>
          <w:p w14:paraId="6B22F325">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outlineLvl w:val="9"/>
              <w:rPr>
                <w:rFonts w:hint="default" w:eastAsiaTheme="minorEastAsia"/>
                <w:snapToGrid w:val="0"/>
                <w:color w:val="auto"/>
                <w:kern w:val="0"/>
                <w:sz w:val="21"/>
                <w:szCs w:val="21"/>
                <w:highlight w:val="none"/>
              </w:rPr>
            </w:pPr>
            <w:r>
              <w:rPr>
                <w:rFonts w:hint="default" w:eastAsiaTheme="minorEastAsia"/>
                <w:snapToGrid w:val="0"/>
                <w:color w:val="auto"/>
                <w:spacing w:val="-2"/>
                <w:kern w:val="0"/>
                <w:sz w:val="21"/>
                <w:szCs w:val="21"/>
                <w:highlight w:val="none"/>
              </w:rPr>
              <w:t>q/Q</w:t>
            </w:r>
            <w:r>
              <w:rPr>
                <w:rFonts w:hint="default" w:hAnsiTheme="minorEastAsia" w:eastAsiaTheme="minorEastAsia"/>
                <w:snapToGrid w:val="0"/>
                <w:color w:val="auto"/>
                <w:spacing w:val="-2"/>
                <w:kern w:val="0"/>
                <w:sz w:val="21"/>
                <w:szCs w:val="21"/>
                <w:highlight w:val="none"/>
              </w:rPr>
              <w:t>值</w:t>
            </w:r>
          </w:p>
        </w:tc>
      </w:tr>
      <w:tr w14:paraId="3D44913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0" w:hRule="atLeast"/>
        </w:trPr>
        <w:tc>
          <w:tcPr>
            <w:tcW w:w="2127" w:type="dxa"/>
            <w:tcBorders>
              <w:left w:val="nil"/>
            </w:tcBorders>
            <w:vAlign w:val="center"/>
          </w:tcPr>
          <w:p w14:paraId="1E366FA7">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outlineLvl w:val="9"/>
              <w:rPr>
                <w:rFonts w:hint="default" w:eastAsiaTheme="minorEastAsia"/>
                <w:snapToGrid w:val="0"/>
                <w:color w:val="auto"/>
                <w:kern w:val="0"/>
                <w:sz w:val="21"/>
                <w:szCs w:val="21"/>
                <w:highlight w:val="none"/>
              </w:rPr>
            </w:pPr>
            <w:r>
              <w:rPr>
                <w:rFonts w:hint="eastAsia" w:ascii="Calibri" w:hAnsi="Calibri" w:cs="Times New Roman"/>
                <w:snapToGrid w:val="0"/>
                <w:color w:val="000000"/>
                <w:kern w:val="2"/>
                <w:sz w:val="21"/>
                <w:szCs w:val="21"/>
                <w:highlight w:val="none"/>
                <w:lang w:val="en-US" w:eastAsia="zh-CN" w:bidi="ar"/>
              </w:rPr>
              <w:t>废油</w:t>
            </w:r>
          </w:p>
        </w:tc>
        <w:tc>
          <w:tcPr>
            <w:tcW w:w="2180" w:type="dxa"/>
            <w:vAlign w:val="center"/>
          </w:tcPr>
          <w:p w14:paraId="6C3AE9C5">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outlineLvl w:val="9"/>
              <w:rPr>
                <w:rFonts w:hint="default" w:ascii="Times New Roman" w:hAnsi="Times New Roman" w:cs="Times New Roman" w:eastAsiaTheme="minorEastAsia"/>
                <w:snapToGrid w:val="0"/>
                <w:color w:val="auto"/>
                <w:kern w:val="0"/>
                <w:sz w:val="21"/>
                <w:szCs w:val="21"/>
                <w:highlight w:val="none"/>
                <w:lang w:val="en-US" w:eastAsia="zh-CN"/>
              </w:rPr>
            </w:pPr>
            <w:r>
              <w:rPr>
                <w:rFonts w:hint="eastAsia" w:cs="Times New Roman" w:eastAsiaTheme="minorEastAsia"/>
                <w:snapToGrid w:val="0"/>
                <w:color w:val="auto"/>
                <w:kern w:val="0"/>
                <w:sz w:val="21"/>
                <w:szCs w:val="21"/>
                <w:highlight w:val="none"/>
                <w:lang w:val="en-US" w:eastAsia="zh-CN"/>
              </w:rPr>
              <w:t>10.5</w:t>
            </w:r>
          </w:p>
        </w:tc>
        <w:tc>
          <w:tcPr>
            <w:tcW w:w="1990" w:type="dxa"/>
            <w:vAlign w:val="center"/>
          </w:tcPr>
          <w:p w14:paraId="06C1A26F">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outlineLvl w:val="9"/>
              <w:rPr>
                <w:rFonts w:hint="default" w:ascii="Times New Roman" w:hAnsi="Times New Roman" w:cs="Times New Roman" w:eastAsiaTheme="minorEastAsia"/>
                <w:snapToGrid w:val="0"/>
                <w:color w:val="auto"/>
                <w:kern w:val="0"/>
                <w:sz w:val="21"/>
                <w:szCs w:val="21"/>
                <w:highlight w:val="none"/>
              </w:rPr>
            </w:pPr>
            <w:r>
              <w:rPr>
                <w:rFonts w:hint="default" w:ascii="Times New Roman" w:hAnsi="Times New Roman" w:cs="Times New Roman" w:eastAsiaTheme="minorEastAsia"/>
                <w:snapToGrid w:val="0"/>
                <w:color w:val="auto"/>
                <w:spacing w:val="-1"/>
                <w:kern w:val="0"/>
                <w:sz w:val="21"/>
                <w:szCs w:val="21"/>
                <w:highlight w:val="none"/>
              </w:rPr>
              <w:t>2500</w:t>
            </w:r>
          </w:p>
        </w:tc>
        <w:tc>
          <w:tcPr>
            <w:tcW w:w="1646" w:type="dxa"/>
            <w:tcBorders>
              <w:right w:val="nil"/>
            </w:tcBorders>
            <w:vAlign w:val="center"/>
          </w:tcPr>
          <w:p w14:paraId="66D121CB">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outlineLvl w:val="9"/>
              <w:rPr>
                <w:rFonts w:hint="default" w:ascii="Times New Roman" w:hAnsi="Times New Roman" w:cs="Times New Roman" w:eastAsiaTheme="minorEastAsia"/>
                <w:snapToGrid w:val="0"/>
                <w:color w:val="auto"/>
                <w:spacing w:val="-1"/>
                <w:kern w:val="0"/>
                <w:sz w:val="21"/>
                <w:szCs w:val="21"/>
                <w:highlight w:val="none"/>
                <w:lang w:val="en-US" w:eastAsia="zh-CN"/>
              </w:rPr>
            </w:pPr>
            <w:r>
              <w:rPr>
                <w:rFonts w:hint="eastAsia" w:cs="Times New Roman" w:eastAsiaTheme="minorEastAsia"/>
                <w:snapToGrid w:val="0"/>
                <w:color w:val="auto"/>
                <w:spacing w:val="-1"/>
                <w:kern w:val="0"/>
                <w:sz w:val="21"/>
                <w:szCs w:val="21"/>
                <w:highlight w:val="none"/>
                <w:lang w:val="en-US" w:eastAsia="zh-CN"/>
              </w:rPr>
              <w:t>0.0042</w:t>
            </w:r>
          </w:p>
        </w:tc>
      </w:tr>
      <w:tr w14:paraId="03DA64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7" w:hRule="atLeast"/>
        </w:trPr>
        <w:tc>
          <w:tcPr>
            <w:tcW w:w="2127" w:type="dxa"/>
            <w:tcBorders>
              <w:left w:val="nil"/>
            </w:tcBorders>
            <w:vAlign w:val="center"/>
          </w:tcPr>
          <w:p w14:paraId="6CD4FB35">
            <w:pPr>
              <w:pStyle w:val="758"/>
              <w:keepNext w:val="0"/>
              <w:keepLines w:val="0"/>
              <w:pageBreakBefore w:val="0"/>
              <w:widowControl/>
              <w:kinsoku/>
              <w:wordWrap w:val="0"/>
              <w:overflowPunct/>
              <w:topLinePunct w:val="0"/>
              <w:autoSpaceDE/>
              <w:autoSpaceDN/>
              <w:bidi w:val="0"/>
              <w:adjustRightInd w:val="0"/>
              <w:snapToGrid w:val="0"/>
              <w:spacing w:line="240" w:lineRule="auto"/>
              <w:ind w:left="0" w:leftChars="0" w:right="0" w:rightChars="0" w:firstLine="0" w:firstLineChars="0"/>
              <w:outlineLvl w:val="9"/>
              <w:rPr>
                <w:rFonts w:hint="default" w:eastAsiaTheme="minorEastAsia"/>
                <w:snapToGrid w:val="0"/>
                <w:color w:val="auto"/>
                <w:spacing w:val="-5"/>
                <w:kern w:val="0"/>
                <w:sz w:val="21"/>
                <w:szCs w:val="21"/>
                <w:highlight w:val="none"/>
                <w:lang w:val="en-US" w:eastAsia="zh-CN"/>
              </w:rPr>
            </w:pPr>
            <w:r>
              <w:rPr>
                <w:rFonts w:hint="eastAsia" w:cs="宋体"/>
                <w:snapToGrid w:val="0"/>
                <w:color w:val="000000"/>
                <w:sz w:val="21"/>
                <w:szCs w:val="21"/>
                <w:highlight w:val="none"/>
                <w:lang w:val="en-US" w:eastAsia="zh-CN"/>
              </w:rPr>
              <w:t>含油金属屑中的油</w:t>
            </w:r>
          </w:p>
        </w:tc>
        <w:tc>
          <w:tcPr>
            <w:tcW w:w="2180" w:type="dxa"/>
            <w:vAlign w:val="center"/>
          </w:tcPr>
          <w:p w14:paraId="0F3008FF">
            <w:pPr>
              <w:pStyle w:val="758"/>
              <w:keepNext w:val="0"/>
              <w:keepLines w:val="0"/>
              <w:pageBreakBefore w:val="0"/>
              <w:widowControl/>
              <w:kinsoku/>
              <w:wordWrap w:val="0"/>
              <w:overflowPunct/>
              <w:topLinePunct w:val="0"/>
              <w:autoSpaceDE/>
              <w:autoSpaceDN/>
              <w:bidi w:val="0"/>
              <w:adjustRightInd w:val="0"/>
              <w:snapToGrid w:val="0"/>
              <w:spacing w:line="240" w:lineRule="auto"/>
              <w:ind w:left="0" w:leftChars="0" w:right="0" w:rightChars="0" w:firstLine="0" w:firstLineChars="0"/>
              <w:outlineLvl w:val="9"/>
              <w:rPr>
                <w:rFonts w:hint="default" w:ascii="Times New Roman" w:hAnsi="Times New Roman" w:cs="Times New Roman" w:eastAsiaTheme="minorEastAsia"/>
                <w:snapToGrid w:val="0"/>
                <w:color w:val="auto"/>
                <w:spacing w:val="-8"/>
                <w:kern w:val="0"/>
                <w:sz w:val="21"/>
                <w:szCs w:val="21"/>
                <w:highlight w:val="none"/>
                <w:lang w:val="en-US" w:eastAsia="zh-CN"/>
              </w:rPr>
            </w:pPr>
            <w:r>
              <w:rPr>
                <w:rFonts w:hint="eastAsia" w:cs="Times New Roman" w:eastAsiaTheme="minorEastAsia"/>
                <w:snapToGrid w:val="0"/>
                <w:color w:val="auto"/>
                <w:spacing w:val="-8"/>
                <w:kern w:val="0"/>
                <w:sz w:val="21"/>
                <w:szCs w:val="21"/>
                <w:highlight w:val="none"/>
                <w:lang w:val="en-US" w:eastAsia="zh-CN"/>
              </w:rPr>
              <w:t>14</w:t>
            </w:r>
          </w:p>
        </w:tc>
        <w:tc>
          <w:tcPr>
            <w:tcW w:w="1990" w:type="dxa"/>
            <w:vAlign w:val="center"/>
          </w:tcPr>
          <w:p w14:paraId="306F39B5">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outlineLvl w:val="9"/>
              <w:rPr>
                <w:rFonts w:hint="default" w:ascii="Times New Roman" w:hAnsi="Times New Roman" w:cs="Times New Roman" w:eastAsiaTheme="minorEastAsia"/>
                <w:snapToGrid w:val="0"/>
                <w:color w:val="auto"/>
                <w:spacing w:val="-1"/>
                <w:kern w:val="0"/>
                <w:sz w:val="21"/>
                <w:szCs w:val="21"/>
                <w:highlight w:val="none"/>
              </w:rPr>
            </w:pPr>
            <w:r>
              <w:rPr>
                <w:rFonts w:hint="default" w:ascii="Times New Roman" w:hAnsi="Times New Roman" w:cs="Times New Roman" w:eastAsiaTheme="minorEastAsia"/>
                <w:snapToGrid w:val="0"/>
                <w:color w:val="auto"/>
                <w:spacing w:val="-1"/>
                <w:kern w:val="0"/>
                <w:sz w:val="21"/>
                <w:szCs w:val="21"/>
                <w:highlight w:val="none"/>
              </w:rPr>
              <w:t>2500</w:t>
            </w:r>
          </w:p>
        </w:tc>
        <w:tc>
          <w:tcPr>
            <w:tcW w:w="1646" w:type="dxa"/>
            <w:tcBorders>
              <w:right w:val="nil"/>
            </w:tcBorders>
            <w:vAlign w:val="center"/>
          </w:tcPr>
          <w:p w14:paraId="1D679209">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outlineLvl w:val="9"/>
              <w:rPr>
                <w:rFonts w:hint="default" w:ascii="Times New Roman" w:hAnsi="Times New Roman" w:cs="Times New Roman" w:eastAsiaTheme="minorEastAsia"/>
                <w:snapToGrid w:val="0"/>
                <w:color w:val="auto"/>
                <w:spacing w:val="-1"/>
                <w:kern w:val="0"/>
                <w:sz w:val="21"/>
                <w:szCs w:val="21"/>
                <w:highlight w:val="none"/>
                <w:lang w:val="en-US" w:eastAsia="zh-CN"/>
              </w:rPr>
            </w:pPr>
            <w:r>
              <w:rPr>
                <w:rFonts w:hint="eastAsia" w:cs="Times New Roman" w:eastAsiaTheme="minorEastAsia"/>
                <w:snapToGrid w:val="0"/>
                <w:color w:val="auto"/>
                <w:spacing w:val="-1"/>
                <w:kern w:val="0"/>
                <w:sz w:val="21"/>
                <w:szCs w:val="21"/>
                <w:highlight w:val="none"/>
                <w:lang w:val="en-US" w:eastAsia="zh-CN"/>
              </w:rPr>
              <w:t>0.0056</w:t>
            </w:r>
          </w:p>
        </w:tc>
      </w:tr>
      <w:tr w14:paraId="6DADA4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0" w:hRule="atLeast"/>
        </w:trPr>
        <w:tc>
          <w:tcPr>
            <w:tcW w:w="2127" w:type="dxa"/>
            <w:tcBorders>
              <w:left w:val="nil"/>
            </w:tcBorders>
            <w:vAlign w:val="center"/>
          </w:tcPr>
          <w:p w14:paraId="3EA57056">
            <w:pPr>
              <w:pStyle w:val="758"/>
              <w:keepNext w:val="0"/>
              <w:keepLines w:val="0"/>
              <w:pageBreakBefore w:val="0"/>
              <w:widowControl/>
              <w:kinsoku/>
              <w:wordWrap w:val="0"/>
              <w:overflowPunct/>
              <w:topLinePunct w:val="0"/>
              <w:autoSpaceDE/>
              <w:autoSpaceDN/>
              <w:bidi w:val="0"/>
              <w:adjustRightInd w:val="0"/>
              <w:snapToGrid w:val="0"/>
              <w:spacing w:line="240" w:lineRule="auto"/>
              <w:ind w:left="0" w:leftChars="0" w:right="0" w:rightChars="0" w:firstLine="0" w:firstLineChars="0"/>
              <w:outlineLvl w:val="9"/>
              <w:rPr>
                <w:rFonts w:hint="eastAsia" w:cs="宋体"/>
                <w:snapToGrid w:val="0"/>
                <w:color w:val="000000"/>
                <w:sz w:val="21"/>
                <w:szCs w:val="21"/>
                <w:highlight w:val="none"/>
                <w:lang w:val="en-US" w:eastAsia="zh-CN"/>
              </w:rPr>
            </w:pPr>
            <w:r>
              <w:rPr>
                <w:rFonts w:hint="eastAsia" w:cs="宋体"/>
                <w:snapToGrid w:val="0"/>
                <w:color w:val="000000"/>
                <w:sz w:val="21"/>
                <w:szCs w:val="21"/>
                <w:highlight w:val="none"/>
                <w:lang w:val="en-US" w:eastAsia="zh-CN"/>
              </w:rPr>
              <w:t>机油</w:t>
            </w:r>
          </w:p>
        </w:tc>
        <w:tc>
          <w:tcPr>
            <w:tcW w:w="2180" w:type="dxa"/>
            <w:vAlign w:val="center"/>
          </w:tcPr>
          <w:p w14:paraId="6C70F53D">
            <w:pPr>
              <w:pStyle w:val="758"/>
              <w:keepNext w:val="0"/>
              <w:keepLines w:val="0"/>
              <w:pageBreakBefore w:val="0"/>
              <w:widowControl/>
              <w:kinsoku/>
              <w:wordWrap w:val="0"/>
              <w:overflowPunct/>
              <w:topLinePunct w:val="0"/>
              <w:autoSpaceDE/>
              <w:autoSpaceDN/>
              <w:bidi w:val="0"/>
              <w:adjustRightInd w:val="0"/>
              <w:snapToGrid w:val="0"/>
              <w:spacing w:line="240" w:lineRule="auto"/>
              <w:ind w:left="0" w:leftChars="0" w:right="0" w:rightChars="0" w:firstLine="0" w:firstLineChars="0"/>
              <w:outlineLvl w:val="9"/>
              <w:rPr>
                <w:rFonts w:hint="default" w:cs="宋体"/>
                <w:snapToGrid w:val="0"/>
                <w:color w:val="000000"/>
                <w:sz w:val="21"/>
                <w:szCs w:val="21"/>
                <w:highlight w:val="none"/>
                <w:lang w:val="en-US" w:eastAsia="zh-CN"/>
              </w:rPr>
            </w:pPr>
            <w:r>
              <w:rPr>
                <w:rFonts w:hint="eastAsia" w:cs="宋体"/>
                <w:snapToGrid w:val="0"/>
                <w:color w:val="000000"/>
                <w:sz w:val="21"/>
                <w:szCs w:val="21"/>
                <w:highlight w:val="none"/>
                <w:lang w:val="en-US" w:eastAsia="zh-CN"/>
              </w:rPr>
              <w:t>2.5</w:t>
            </w:r>
          </w:p>
        </w:tc>
        <w:tc>
          <w:tcPr>
            <w:tcW w:w="1990" w:type="dxa"/>
            <w:vAlign w:val="center"/>
          </w:tcPr>
          <w:p w14:paraId="00AD9C0A">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outlineLvl w:val="9"/>
              <w:rPr>
                <w:rFonts w:hint="default" w:ascii="Times New Roman" w:hAnsi="Times New Roman" w:cs="Times New Roman" w:eastAsiaTheme="minorEastAsia"/>
                <w:snapToGrid w:val="0"/>
                <w:color w:val="auto"/>
                <w:spacing w:val="-1"/>
                <w:kern w:val="0"/>
                <w:sz w:val="21"/>
                <w:szCs w:val="21"/>
                <w:highlight w:val="none"/>
              </w:rPr>
            </w:pPr>
            <w:r>
              <w:rPr>
                <w:rFonts w:hint="default" w:ascii="Times New Roman" w:hAnsi="Times New Roman" w:cs="Times New Roman" w:eastAsiaTheme="minorEastAsia"/>
                <w:snapToGrid w:val="0"/>
                <w:color w:val="auto"/>
                <w:spacing w:val="-1"/>
                <w:kern w:val="0"/>
                <w:sz w:val="21"/>
                <w:szCs w:val="21"/>
                <w:highlight w:val="none"/>
              </w:rPr>
              <w:t>2500</w:t>
            </w:r>
          </w:p>
        </w:tc>
        <w:tc>
          <w:tcPr>
            <w:tcW w:w="1646" w:type="dxa"/>
            <w:tcBorders>
              <w:right w:val="nil"/>
            </w:tcBorders>
            <w:vAlign w:val="center"/>
          </w:tcPr>
          <w:p w14:paraId="58FF0CD0">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outlineLvl w:val="9"/>
              <w:rPr>
                <w:rFonts w:hint="default" w:ascii="Times New Roman" w:hAnsi="Times New Roman" w:cs="Times New Roman" w:eastAsiaTheme="minorEastAsia"/>
                <w:snapToGrid w:val="0"/>
                <w:color w:val="auto"/>
                <w:spacing w:val="-1"/>
                <w:kern w:val="0"/>
                <w:sz w:val="21"/>
                <w:szCs w:val="21"/>
                <w:highlight w:val="none"/>
                <w:lang w:val="en-US" w:eastAsia="zh-CN"/>
              </w:rPr>
            </w:pPr>
            <w:r>
              <w:rPr>
                <w:rFonts w:hint="eastAsia" w:cs="Times New Roman" w:eastAsiaTheme="minorEastAsia"/>
                <w:snapToGrid w:val="0"/>
                <w:color w:val="auto"/>
                <w:spacing w:val="-1"/>
                <w:kern w:val="0"/>
                <w:sz w:val="21"/>
                <w:szCs w:val="21"/>
                <w:highlight w:val="none"/>
                <w:lang w:val="en-US" w:eastAsia="zh-CN"/>
              </w:rPr>
              <w:t>0.001</w:t>
            </w:r>
          </w:p>
        </w:tc>
      </w:tr>
      <w:tr w14:paraId="6FDC2A9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0" w:hRule="atLeast"/>
        </w:trPr>
        <w:tc>
          <w:tcPr>
            <w:tcW w:w="2127" w:type="dxa"/>
            <w:tcBorders>
              <w:left w:val="nil"/>
            </w:tcBorders>
            <w:vAlign w:val="center"/>
          </w:tcPr>
          <w:p w14:paraId="00C63E63">
            <w:pPr>
              <w:pStyle w:val="758"/>
              <w:keepNext w:val="0"/>
              <w:keepLines w:val="0"/>
              <w:pageBreakBefore w:val="0"/>
              <w:widowControl/>
              <w:kinsoku/>
              <w:wordWrap w:val="0"/>
              <w:overflowPunct/>
              <w:topLinePunct w:val="0"/>
              <w:autoSpaceDE/>
              <w:autoSpaceDN/>
              <w:bidi w:val="0"/>
              <w:adjustRightInd w:val="0"/>
              <w:snapToGrid w:val="0"/>
              <w:spacing w:line="240" w:lineRule="auto"/>
              <w:ind w:left="0" w:leftChars="0" w:right="0" w:rightChars="0" w:firstLine="0" w:firstLineChars="0"/>
              <w:outlineLvl w:val="9"/>
              <w:rPr>
                <w:rFonts w:hint="eastAsia" w:cs="宋体"/>
                <w:snapToGrid w:val="0"/>
                <w:color w:val="000000"/>
                <w:sz w:val="21"/>
                <w:szCs w:val="21"/>
                <w:highlight w:val="none"/>
                <w:lang w:val="en-US" w:eastAsia="zh-CN"/>
              </w:rPr>
            </w:pPr>
            <w:r>
              <w:rPr>
                <w:rFonts w:hint="eastAsia" w:cs="宋体"/>
                <w:snapToGrid w:val="0"/>
                <w:color w:val="000000"/>
                <w:sz w:val="21"/>
                <w:szCs w:val="21"/>
                <w:highlight w:val="none"/>
                <w:lang w:val="en-US" w:eastAsia="zh-CN"/>
              </w:rPr>
              <w:t>切削液母液</w:t>
            </w:r>
          </w:p>
        </w:tc>
        <w:tc>
          <w:tcPr>
            <w:tcW w:w="2180" w:type="dxa"/>
            <w:vAlign w:val="center"/>
          </w:tcPr>
          <w:p w14:paraId="30EA677F">
            <w:pPr>
              <w:pStyle w:val="758"/>
              <w:keepNext w:val="0"/>
              <w:keepLines w:val="0"/>
              <w:pageBreakBefore w:val="0"/>
              <w:widowControl/>
              <w:kinsoku/>
              <w:wordWrap w:val="0"/>
              <w:overflowPunct/>
              <w:topLinePunct w:val="0"/>
              <w:autoSpaceDE/>
              <w:autoSpaceDN/>
              <w:bidi w:val="0"/>
              <w:adjustRightInd w:val="0"/>
              <w:snapToGrid w:val="0"/>
              <w:spacing w:line="240" w:lineRule="auto"/>
              <w:ind w:left="0" w:leftChars="0" w:right="0" w:rightChars="0" w:firstLine="0" w:firstLineChars="0"/>
              <w:outlineLvl w:val="9"/>
              <w:rPr>
                <w:rFonts w:hint="eastAsia" w:cs="宋体"/>
                <w:snapToGrid w:val="0"/>
                <w:color w:val="000000"/>
                <w:sz w:val="21"/>
                <w:szCs w:val="21"/>
                <w:highlight w:val="none"/>
                <w:lang w:val="en-US" w:eastAsia="zh-CN"/>
              </w:rPr>
            </w:pPr>
            <w:r>
              <w:rPr>
                <w:rFonts w:hint="eastAsia" w:cs="宋体"/>
                <w:snapToGrid w:val="0"/>
                <w:color w:val="000000"/>
                <w:sz w:val="21"/>
                <w:szCs w:val="21"/>
                <w:highlight w:val="none"/>
                <w:lang w:val="en-US" w:eastAsia="zh-CN"/>
              </w:rPr>
              <w:t>2</w:t>
            </w:r>
          </w:p>
        </w:tc>
        <w:tc>
          <w:tcPr>
            <w:tcW w:w="1990" w:type="dxa"/>
            <w:vAlign w:val="center"/>
          </w:tcPr>
          <w:p w14:paraId="4D934499">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outlineLvl w:val="9"/>
              <w:rPr>
                <w:rFonts w:hint="default" w:ascii="Times New Roman" w:hAnsi="Times New Roman" w:cs="Times New Roman" w:eastAsiaTheme="minorEastAsia"/>
                <w:snapToGrid w:val="0"/>
                <w:color w:val="auto"/>
                <w:spacing w:val="-1"/>
                <w:kern w:val="0"/>
                <w:sz w:val="21"/>
                <w:szCs w:val="21"/>
                <w:highlight w:val="none"/>
              </w:rPr>
            </w:pPr>
            <w:r>
              <w:rPr>
                <w:rFonts w:hint="default" w:ascii="Times New Roman" w:hAnsi="Times New Roman" w:cs="Times New Roman" w:eastAsiaTheme="minorEastAsia"/>
                <w:snapToGrid w:val="0"/>
                <w:color w:val="auto"/>
                <w:spacing w:val="-1"/>
                <w:kern w:val="0"/>
                <w:sz w:val="21"/>
                <w:szCs w:val="21"/>
                <w:highlight w:val="none"/>
              </w:rPr>
              <w:t>2500</w:t>
            </w:r>
          </w:p>
        </w:tc>
        <w:tc>
          <w:tcPr>
            <w:tcW w:w="1646" w:type="dxa"/>
            <w:tcBorders>
              <w:right w:val="nil"/>
            </w:tcBorders>
            <w:vAlign w:val="center"/>
          </w:tcPr>
          <w:p w14:paraId="051F93E7">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outlineLvl w:val="9"/>
              <w:rPr>
                <w:rFonts w:hint="default" w:ascii="Times New Roman" w:hAnsi="Times New Roman" w:cs="Times New Roman" w:eastAsiaTheme="minorEastAsia"/>
                <w:snapToGrid w:val="0"/>
                <w:color w:val="auto"/>
                <w:spacing w:val="-1"/>
                <w:kern w:val="0"/>
                <w:sz w:val="21"/>
                <w:szCs w:val="21"/>
                <w:highlight w:val="none"/>
                <w:lang w:val="en-US" w:eastAsia="zh-CN"/>
              </w:rPr>
            </w:pPr>
            <w:r>
              <w:rPr>
                <w:rFonts w:hint="eastAsia" w:cs="Times New Roman" w:eastAsiaTheme="minorEastAsia"/>
                <w:snapToGrid w:val="0"/>
                <w:color w:val="auto"/>
                <w:spacing w:val="-1"/>
                <w:kern w:val="0"/>
                <w:sz w:val="21"/>
                <w:szCs w:val="21"/>
                <w:highlight w:val="none"/>
                <w:lang w:val="en-US" w:eastAsia="zh-CN"/>
              </w:rPr>
              <w:t>0.0008</w:t>
            </w:r>
          </w:p>
        </w:tc>
      </w:tr>
      <w:tr w14:paraId="522365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0" w:hRule="atLeast"/>
        </w:trPr>
        <w:tc>
          <w:tcPr>
            <w:tcW w:w="2127" w:type="dxa"/>
            <w:tcBorders>
              <w:left w:val="nil"/>
            </w:tcBorders>
            <w:vAlign w:val="center"/>
          </w:tcPr>
          <w:p w14:paraId="1D1C52BD">
            <w:pPr>
              <w:pStyle w:val="758"/>
              <w:keepNext w:val="0"/>
              <w:keepLines w:val="0"/>
              <w:pageBreakBefore w:val="0"/>
              <w:widowControl/>
              <w:kinsoku/>
              <w:wordWrap w:val="0"/>
              <w:overflowPunct/>
              <w:topLinePunct w:val="0"/>
              <w:autoSpaceDE/>
              <w:autoSpaceDN/>
              <w:bidi w:val="0"/>
              <w:adjustRightInd w:val="0"/>
              <w:snapToGrid w:val="0"/>
              <w:spacing w:line="240" w:lineRule="auto"/>
              <w:ind w:left="0" w:leftChars="0" w:right="0" w:rightChars="0" w:firstLine="0" w:firstLineChars="0"/>
              <w:outlineLvl w:val="9"/>
              <w:rPr>
                <w:rFonts w:hint="default" w:cs="宋体"/>
                <w:snapToGrid w:val="0"/>
                <w:color w:val="000000"/>
                <w:sz w:val="21"/>
                <w:szCs w:val="21"/>
                <w:highlight w:val="none"/>
                <w:lang w:val="en-US" w:eastAsia="zh-CN"/>
              </w:rPr>
            </w:pPr>
            <w:r>
              <w:rPr>
                <w:rFonts w:hint="eastAsia" w:cs="宋体"/>
                <w:snapToGrid w:val="0"/>
                <w:color w:val="000000"/>
                <w:sz w:val="21"/>
                <w:szCs w:val="21"/>
                <w:highlight w:val="none"/>
                <w:lang w:val="en-US" w:eastAsia="zh-CN"/>
              </w:rPr>
              <w:t>封口胶</w:t>
            </w:r>
          </w:p>
        </w:tc>
        <w:tc>
          <w:tcPr>
            <w:tcW w:w="2180" w:type="dxa"/>
            <w:vAlign w:val="center"/>
          </w:tcPr>
          <w:p w14:paraId="05ED0A04">
            <w:pPr>
              <w:pStyle w:val="758"/>
              <w:keepNext w:val="0"/>
              <w:keepLines w:val="0"/>
              <w:pageBreakBefore w:val="0"/>
              <w:widowControl/>
              <w:kinsoku/>
              <w:wordWrap w:val="0"/>
              <w:overflowPunct/>
              <w:topLinePunct w:val="0"/>
              <w:autoSpaceDE/>
              <w:autoSpaceDN/>
              <w:bidi w:val="0"/>
              <w:adjustRightInd w:val="0"/>
              <w:snapToGrid w:val="0"/>
              <w:spacing w:line="240" w:lineRule="auto"/>
              <w:ind w:left="0" w:leftChars="0" w:right="0" w:rightChars="0" w:firstLine="0" w:firstLineChars="0"/>
              <w:outlineLvl w:val="9"/>
              <w:rPr>
                <w:rFonts w:hint="default" w:cs="宋体"/>
                <w:snapToGrid w:val="0"/>
                <w:color w:val="000000"/>
                <w:sz w:val="21"/>
                <w:szCs w:val="21"/>
                <w:highlight w:val="none"/>
                <w:lang w:val="en-US" w:eastAsia="zh-CN"/>
              </w:rPr>
            </w:pPr>
            <w:r>
              <w:rPr>
                <w:rFonts w:hint="eastAsia" w:cs="宋体"/>
                <w:snapToGrid w:val="0"/>
                <w:color w:val="000000"/>
                <w:sz w:val="21"/>
                <w:szCs w:val="21"/>
                <w:highlight w:val="none"/>
                <w:lang w:val="en-US" w:eastAsia="zh-CN"/>
              </w:rPr>
              <w:t>0.5</w:t>
            </w:r>
          </w:p>
        </w:tc>
        <w:tc>
          <w:tcPr>
            <w:tcW w:w="1990" w:type="dxa"/>
            <w:vAlign w:val="center"/>
          </w:tcPr>
          <w:p w14:paraId="3F92E5E6">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outlineLvl w:val="9"/>
              <w:rPr>
                <w:rFonts w:hint="default" w:ascii="Times New Roman" w:hAnsi="Times New Roman" w:cs="Times New Roman" w:eastAsiaTheme="minorEastAsia"/>
                <w:snapToGrid w:val="0"/>
                <w:color w:val="auto"/>
                <w:spacing w:val="-1"/>
                <w:kern w:val="0"/>
                <w:sz w:val="21"/>
                <w:szCs w:val="21"/>
                <w:highlight w:val="none"/>
                <w:lang w:val="en-US" w:eastAsia="zh-CN"/>
              </w:rPr>
            </w:pPr>
            <w:r>
              <w:rPr>
                <w:rFonts w:hint="eastAsia" w:cs="Times New Roman" w:eastAsiaTheme="minorEastAsia"/>
                <w:snapToGrid w:val="0"/>
                <w:color w:val="auto"/>
                <w:spacing w:val="-1"/>
                <w:kern w:val="0"/>
                <w:sz w:val="21"/>
                <w:szCs w:val="21"/>
                <w:highlight w:val="none"/>
                <w:lang w:val="en-US" w:eastAsia="zh-CN"/>
              </w:rPr>
              <w:t>50</w:t>
            </w:r>
          </w:p>
        </w:tc>
        <w:tc>
          <w:tcPr>
            <w:tcW w:w="1646" w:type="dxa"/>
            <w:tcBorders>
              <w:right w:val="nil"/>
            </w:tcBorders>
            <w:vAlign w:val="center"/>
          </w:tcPr>
          <w:p w14:paraId="35716AD2">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outlineLvl w:val="9"/>
              <w:rPr>
                <w:rFonts w:hint="default" w:ascii="Times New Roman" w:hAnsi="Times New Roman" w:cs="Times New Roman" w:eastAsiaTheme="minorEastAsia"/>
                <w:snapToGrid w:val="0"/>
                <w:color w:val="auto"/>
                <w:spacing w:val="-1"/>
                <w:kern w:val="0"/>
                <w:sz w:val="21"/>
                <w:szCs w:val="21"/>
                <w:highlight w:val="none"/>
                <w:lang w:val="en-US" w:eastAsia="zh-CN"/>
              </w:rPr>
            </w:pPr>
            <w:r>
              <w:rPr>
                <w:rFonts w:hint="eastAsia" w:cs="Times New Roman" w:eastAsiaTheme="minorEastAsia"/>
                <w:snapToGrid w:val="0"/>
                <w:color w:val="auto"/>
                <w:spacing w:val="-1"/>
                <w:kern w:val="0"/>
                <w:sz w:val="21"/>
                <w:szCs w:val="21"/>
                <w:highlight w:val="none"/>
                <w:lang w:val="en-US" w:eastAsia="zh-CN"/>
              </w:rPr>
              <w:t>0.01</w:t>
            </w:r>
          </w:p>
        </w:tc>
      </w:tr>
      <w:tr w14:paraId="5ED6DE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0" w:hRule="atLeast"/>
        </w:trPr>
        <w:tc>
          <w:tcPr>
            <w:tcW w:w="2127" w:type="dxa"/>
            <w:tcBorders>
              <w:left w:val="nil"/>
            </w:tcBorders>
            <w:vAlign w:val="center"/>
          </w:tcPr>
          <w:p w14:paraId="47B02BAD">
            <w:pPr>
              <w:pStyle w:val="758"/>
              <w:keepNext w:val="0"/>
              <w:keepLines w:val="0"/>
              <w:pageBreakBefore w:val="0"/>
              <w:widowControl/>
              <w:kinsoku/>
              <w:wordWrap w:val="0"/>
              <w:overflowPunct/>
              <w:topLinePunct w:val="0"/>
              <w:autoSpaceDE/>
              <w:autoSpaceDN/>
              <w:bidi w:val="0"/>
              <w:adjustRightInd w:val="0"/>
              <w:snapToGrid w:val="0"/>
              <w:spacing w:line="240" w:lineRule="auto"/>
              <w:ind w:left="0" w:leftChars="0" w:right="0" w:rightChars="0" w:firstLine="0" w:firstLineChars="0"/>
              <w:outlineLvl w:val="9"/>
              <w:rPr>
                <w:rFonts w:hint="eastAsia" w:cs="宋体"/>
                <w:snapToGrid w:val="0"/>
                <w:color w:val="000000"/>
                <w:sz w:val="21"/>
                <w:szCs w:val="21"/>
                <w:highlight w:val="none"/>
                <w:lang w:val="en-US" w:eastAsia="zh-CN"/>
              </w:rPr>
            </w:pPr>
            <w:r>
              <w:rPr>
                <w:rFonts w:hint="eastAsia" w:cs="宋体"/>
                <w:snapToGrid w:val="0"/>
                <w:color w:val="000000"/>
                <w:sz w:val="21"/>
                <w:szCs w:val="21"/>
                <w:highlight w:val="none"/>
                <w:lang w:val="en-US" w:eastAsia="zh-CN"/>
              </w:rPr>
              <w:t>废切削液和清洗液废水（COD≥10000mg/L）</w:t>
            </w:r>
          </w:p>
        </w:tc>
        <w:tc>
          <w:tcPr>
            <w:tcW w:w="2180" w:type="dxa"/>
            <w:vAlign w:val="center"/>
          </w:tcPr>
          <w:p w14:paraId="1C2BFC06">
            <w:pPr>
              <w:pStyle w:val="758"/>
              <w:keepNext w:val="0"/>
              <w:keepLines w:val="0"/>
              <w:pageBreakBefore w:val="0"/>
              <w:widowControl/>
              <w:kinsoku/>
              <w:wordWrap w:val="0"/>
              <w:overflowPunct/>
              <w:topLinePunct w:val="0"/>
              <w:autoSpaceDE/>
              <w:autoSpaceDN/>
              <w:bidi w:val="0"/>
              <w:adjustRightInd w:val="0"/>
              <w:snapToGrid w:val="0"/>
              <w:spacing w:line="240" w:lineRule="auto"/>
              <w:ind w:left="0" w:leftChars="0" w:right="0" w:rightChars="0" w:firstLine="0" w:firstLineChars="0"/>
              <w:outlineLvl w:val="9"/>
              <w:rPr>
                <w:rFonts w:hint="default" w:cs="宋体"/>
                <w:snapToGrid w:val="0"/>
                <w:color w:val="000000"/>
                <w:sz w:val="21"/>
                <w:szCs w:val="21"/>
                <w:highlight w:val="none"/>
                <w:lang w:val="en-US" w:eastAsia="zh-CN"/>
              </w:rPr>
            </w:pPr>
            <w:r>
              <w:rPr>
                <w:rFonts w:hint="eastAsia" w:cs="宋体"/>
                <w:snapToGrid w:val="0"/>
                <w:color w:val="000000"/>
                <w:sz w:val="21"/>
                <w:szCs w:val="21"/>
                <w:highlight w:val="none"/>
                <w:lang w:val="en-US" w:eastAsia="zh-CN"/>
              </w:rPr>
              <w:t>173.5</w:t>
            </w:r>
          </w:p>
        </w:tc>
        <w:tc>
          <w:tcPr>
            <w:tcW w:w="1990" w:type="dxa"/>
            <w:vAlign w:val="center"/>
          </w:tcPr>
          <w:p w14:paraId="5030F34F">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outlineLvl w:val="9"/>
              <w:rPr>
                <w:rFonts w:hint="default" w:cs="Times New Roman" w:eastAsiaTheme="minorEastAsia"/>
                <w:snapToGrid w:val="0"/>
                <w:color w:val="auto"/>
                <w:spacing w:val="-1"/>
                <w:kern w:val="0"/>
                <w:sz w:val="21"/>
                <w:szCs w:val="21"/>
                <w:highlight w:val="none"/>
                <w:lang w:val="en-US" w:eastAsia="zh-CN"/>
              </w:rPr>
            </w:pPr>
            <w:r>
              <w:rPr>
                <w:rFonts w:hint="eastAsia" w:cs="Times New Roman" w:eastAsiaTheme="minorEastAsia"/>
                <w:snapToGrid w:val="0"/>
                <w:color w:val="auto"/>
                <w:spacing w:val="-1"/>
                <w:kern w:val="0"/>
                <w:sz w:val="21"/>
                <w:szCs w:val="21"/>
                <w:highlight w:val="none"/>
                <w:lang w:val="en-US" w:eastAsia="zh-CN"/>
              </w:rPr>
              <w:t>10</w:t>
            </w:r>
          </w:p>
        </w:tc>
        <w:tc>
          <w:tcPr>
            <w:tcW w:w="1646" w:type="dxa"/>
            <w:tcBorders>
              <w:right w:val="nil"/>
            </w:tcBorders>
            <w:vAlign w:val="center"/>
          </w:tcPr>
          <w:p w14:paraId="2DD0EE9B">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outlineLvl w:val="9"/>
              <w:rPr>
                <w:rFonts w:hint="default" w:ascii="Times New Roman" w:hAnsi="Times New Roman" w:cs="Times New Roman" w:eastAsiaTheme="minorEastAsia"/>
                <w:snapToGrid w:val="0"/>
                <w:color w:val="auto"/>
                <w:spacing w:val="-1"/>
                <w:kern w:val="0"/>
                <w:sz w:val="21"/>
                <w:szCs w:val="21"/>
                <w:highlight w:val="none"/>
                <w:lang w:val="en-US" w:eastAsia="zh-CN"/>
              </w:rPr>
            </w:pPr>
            <w:r>
              <w:rPr>
                <w:rFonts w:hint="eastAsia" w:cs="Times New Roman" w:eastAsiaTheme="minorEastAsia"/>
                <w:snapToGrid w:val="0"/>
                <w:color w:val="auto"/>
                <w:spacing w:val="-1"/>
                <w:kern w:val="0"/>
                <w:sz w:val="21"/>
                <w:szCs w:val="21"/>
                <w:highlight w:val="none"/>
                <w:lang w:val="en-US" w:eastAsia="zh-CN"/>
              </w:rPr>
              <w:t>17.35</w:t>
            </w:r>
          </w:p>
        </w:tc>
      </w:tr>
      <w:tr w14:paraId="02A60E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1" w:hRule="atLeast"/>
        </w:trPr>
        <w:tc>
          <w:tcPr>
            <w:tcW w:w="6297" w:type="dxa"/>
            <w:gridSpan w:val="3"/>
            <w:tcBorders>
              <w:left w:val="nil"/>
              <w:bottom w:val="single" w:color="000000" w:sz="12" w:space="0"/>
            </w:tcBorders>
            <w:vAlign w:val="center"/>
          </w:tcPr>
          <w:p w14:paraId="20F313BB">
            <w:pPr>
              <w:pStyle w:val="758"/>
              <w:keepNext w:val="0"/>
              <w:keepLines w:val="0"/>
              <w:pageBreakBefore w:val="0"/>
              <w:widowControl/>
              <w:kinsoku/>
              <w:wordWrap w:val="0"/>
              <w:overflowPunct/>
              <w:topLinePunct w:val="0"/>
              <w:autoSpaceDE/>
              <w:autoSpaceDN/>
              <w:bidi w:val="0"/>
              <w:adjustRightInd w:val="0"/>
              <w:snapToGrid w:val="0"/>
              <w:spacing w:line="240" w:lineRule="auto"/>
              <w:ind w:left="0" w:leftChars="0" w:right="0" w:rightChars="0" w:firstLine="0" w:firstLineChars="0"/>
              <w:outlineLvl w:val="9"/>
              <w:rPr>
                <w:rFonts w:hint="default" w:cs="宋体"/>
                <w:snapToGrid w:val="0"/>
                <w:color w:val="000000"/>
                <w:sz w:val="21"/>
                <w:szCs w:val="21"/>
                <w:highlight w:val="none"/>
                <w:lang w:val="en-US" w:eastAsia="zh-CN"/>
              </w:rPr>
            </w:pPr>
            <w:r>
              <w:rPr>
                <w:rFonts w:hint="eastAsia" w:cs="宋体"/>
                <w:snapToGrid w:val="0"/>
                <w:color w:val="000000"/>
                <w:sz w:val="21"/>
                <w:szCs w:val="21"/>
                <w:highlight w:val="none"/>
                <w:lang w:val="en-US" w:eastAsia="zh-CN"/>
              </w:rPr>
              <w:t>合计</w:t>
            </w:r>
          </w:p>
        </w:tc>
        <w:tc>
          <w:tcPr>
            <w:tcW w:w="1646" w:type="dxa"/>
            <w:tcBorders>
              <w:bottom w:val="single" w:color="000000" w:sz="12" w:space="0"/>
              <w:right w:val="nil"/>
            </w:tcBorders>
            <w:vAlign w:val="center"/>
          </w:tcPr>
          <w:p w14:paraId="409B75BC">
            <w:pPr>
              <w:pStyle w:val="758"/>
              <w:keepNext w:val="0"/>
              <w:keepLines w:val="0"/>
              <w:pageBreakBefore w:val="0"/>
              <w:widowControl/>
              <w:kinsoku/>
              <w:wordWrap w:val="0"/>
              <w:overflowPunct/>
              <w:topLinePunct w:val="0"/>
              <w:autoSpaceDE/>
              <w:autoSpaceDN/>
              <w:bidi w:val="0"/>
              <w:adjustRightInd w:val="0"/>
              <w:snapToGrid w:val="0"/>
              <w:spacing w:line="240" w:lineRule="auto"/>
              <w:ind w:left="0" w:leftChars="0" w:right="0" w:rightChars="0" w:firstLine="0" w:firstLineChars="0"/>
              <w:outlineLvl w:val="9"/>
              <w:rPr>
                <w:rFonts w:hint="default" w:cs="宋体"/>
                <w:snapToGrid w:val="0"/>
                <w:color w:val="000000"/>
                <w:sz w:val="21"/>
                <w:szCs w:val="21"/>
                <w:highlight w:val="none"/>
                <w:lang w:val="en-US" w:eastAsia="zh-CN"/>
              </w:rPr>
            </w:pPr>
            <w:r>
              <w:rPr>
                <w:rFonts w:hint="eastAsia" w:cs="宋体"/>
                <w:snapToGrid w:val="0"/>
                <w:color w:val="000000"/>
                <w:sz w:val="21"/>
                <w:szCs w:val="21"/>
                <w:highlight w:val="none"/>
                <w:lang w:val="en-US" w:eastAsia="zh-CN"/>
              </w:rPr>
              <w:t>17.3716</w:t>
            </w:r>
          </w:p>
        </w:tc>
      </w:tr>
    </w:tbl>
    <w:p w14:paraId="30982050">
      <w:pPr>
        <w:widowControl/>
        <w:spacing w:line="360" w:lineRule="auto"/>
        <w:ind w:firstLine="480" w:firstLineChars="200"/>
        <w:contextualSpacing/>
        <w:rPr>
          <w:sz w:val="24"/>
          <w:highlight w:val="none"/>
        </w:rPr>
      </w:pPr>
      <w:r>
        <w:rPr>
          <w:rFonts w:hint="eastAsia"/>
          <w:highlight w:val="none"/>
          <w:lang w:eastAsia="zh-CN"/>
        </w:rPr>
        <w:t>（</w:t>
      </w:r>
      <w:r>
        <w:rPr>
          <w:rFonts w:hint="eastAsia"/>
          <w:highlight w:val="none"/>
          <w:lang w:val="en-US" w:eastAsia="zh-CN"/>
        </w:rPr>
        <w:t>3</w:t>
      </w:r>
      <w:r>
        <w:rPr>
          <w:rFonts w:hint="eastAsia"/>
          <w:highlight w:val="none"/>
          <w:lang w:eastAsia="zh-CN"/>
        </w:rPr>
        <w:t>）</w:t>
      </w:r>
      <w:r>
        <w:rPr>
          <w:sz w:val="24"/>
          <w:highlight w:val="none"/>
        </w:rPr>
        <w:t>行业及生产工艺（M）</w:t>
      </w:r>
    </w:p>
    <w:p w14:paraId="29377017">
      <w:pPr>
        <w:widowControl/>
        <w:spacing w:line="360" w:lineRule="auto"/>
        <w:ind w:firstLine="480" w:firstLineChars="200"/>
        <w:contextualSpacing/>
        <w:rPr>
          <w:rFonts w:hAnsiTheme="minorEastAsia" w:eastAsiaTheme="minorEastAsia"/>
          <w:kern w:val="0"/>
          <w:sz w:val="24"/>
          <w:highlight w:val="none"/>
        </w:rPr>
      </w:pPr>
      <w:r>
        <w:rPr>
          <w:rFonts w:hAnsiTheme="minorEastAsia" w:eastAsiaTheme="minorEastAsia"/>
          <w:kern w:val="0"/>
          <w:sz w:val="24"/>
          <w:highlight w:val="none"/>
        </w:rPr>
        <w:t>分析项目所属行业及生产工艺特点，按照</w:t>
      </w:r>
      <w:r>
        <w:rPr>
          <w:rFonts w:hint="eastAsia" w:hAnsiTheme="minorEastAsia" w:eastAsiaTheme="minorEastAsia"/>
          <w:kern w:val="0"/>
          <w:sz w:val="24"/>
          <w:highlight w:val="none"/>
        </w:rPr>
        <w:t>下表</w:t>
      </w:r>
      <w:r>
        <w:rPr>
          <w:rFonts w:hAnsiTheme="minorEastAsia" w:eastAsiaTheme="minorEastAsia"/>
          <w:kern w:val="0"/>
          <w:sz w:val="24"/>
          <w:highlight w:val="none"/>
        </w:rPr>
        <w:t>评估生产工艺情况。具有多套工艺单元的项目，对每套生产工艺分别评分并求和。将M划分为（1）M＞20；（2）10＜M≤20；（3）5＜M≤10；（4）M=5，分别以M1、M2、M3和M4表示。</w:t>
      </w:r>
    </w:p>
    <w:p w14:paraId="34482A1A">
      <w:pPr>
        <w:pStyle w:val="7"/>
        <w:bidi w:val="0"/>
        <w:rPr>
          <w:highlight w:val="none"/>
        </w:rPr>
      </w:pPr>
      <w:r>
        <w:rPr>
          <w:rFonts w:hint="eastAsia"/>
          <w:highlight w:val="none"/>
        </w:rPr>
        <w:t>表2-4-12 行业及生产工艺（M）</w:t>
      </w:r>
    </w:p>
    <w:tbl>
      <w:tblPr>
        <w:tblStyle w:val="4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42"/>
        <w:gridCol w:w="6237"/>
        <w:gridCol w:w="1043"/>
      </w:tblGrid>
      <w:tr w14:paraId="0DB121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2" w:type="dxa"/>
            <w:vAlign w:val="center"/>
          </w:tcPr>
          <w:p w14:paraId="5FD8058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hAnsiTheme="minorEastAsia" w:eastAsiaTheme="minorEastAsia"/>
                <w:kern w:val="0"/>
                <w:sz w:val="21"/>
                <w:szCs w:val="21"/>
                <w:highlight w:val="none"/>
              </w:rPr>
            </w:pPr>
            <w:r>
              <w:rPr>
                <w:rFonts w:hint="eastAsia" w:hAnsiTheme="minorEastAsia" w:eastAsiaTheme="minorEastAsia"/>
                <w:kern w:val="0"/>
                <w:sz w:val="21"/>
                <w:szCs w:val="21"/>
                <w:highlight w:val="none"/>
              </w:rPr>
              <w:t>行业</w:t>
            </w:r>
          </w:p>
        </w:tc>
        <w:tc>
          <w:tcPr>
            <w:tcW w:w="6237" w:type="dxa"/>
            <w:vAlign w:val="center"/>
          </w:tcPr>
          <w:p w14:paraId="0B77C55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hAnsiTheme="minorEastAsia" w:eastAsiaTheme="minorEastAsia"/>
                <w:kern w:val="0"/>
                <w:sz w:val="21"/>
                <w:szCs w:val="21"/>
                <w:highlight w:val="none"/>
              </w:rPr>
            </w:pPr>
            <w:r>
              <w:rPr>
                <w:rFonts w:hint="eastAsia" w:hAnsiTheme="minorEastAsia" w:eastAsiaTheme="minorEastAsia"/>
                <w:kern w:val="0"/>
                <w:sz w:val="21"/>
                <w:szCs w:val="21"/>
                <w:highlight w:val="none"/>
              </w:rPr>
              <w:t>评估依据</w:t>
            </w:r>
          </w:p>
        </w:tc>
        <w:tc>
          <w:tcPr>
            <w:tcW w:w="1043" w:type="dxa"/>
            <w:vAlign w:val="center"/>
          </w:tcPr>
          <w:p w14:paraId="1934227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hAnsiTheme="minorEastAsia" w:eastAsiaTheme="minorEastAsia"/>
                <w:kern w:val="0"/>
                <w:sz w:val="21"/>
                <w:szCs w:val="21"/>
                <w:highlight w:val="none"/>
              </w:rPr>
            </w:pPr>
            <w:r>
              <w:rPr>
                <w:rFonts w:hint="eastAsia" w:hAnsiTheme="minorEastAsia" w:eastAsiaTheme="minorEastAsia"/>
                <w:kern w:val="0"/>
                <w:sz w:val="21"/>
                <w:szCs w:val="21"/>
                <w:highlight w:val="none"/>
              </w:rPr>
              <w:t>分值</w:t>
            </w:r>
          </w:p>
        </w:tc>
      </w:tr>
      <w:tr w14:paraId="6284CC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2" w:type="dxa"/>
            <w:vMerge w:val="restart"/>
            <w:vAlign w:val="center"/>
          </w:tcPr>
          <w:p w14:paraId="201459D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宋体" w:hAnsi="宋体" w:cs="宋体"/>
                <w:kern w:val="0"/>
                <w:sz w:val="21"/>
                <w:szCs w:val="21"/>
                <w:highlight w:val="none"/>
              </w:rPr>
            </w:pPr>
            <w:r>
              <w:rPr>
                <w:rStyle w:val="83"/>
                <w:rFonts w:hint="default"/>
                <w:color w:val="auto"/>
                <w:kern w:val="0"/>
                <w:sz w:val="21"/>
                <w:szCs w:val="21"/>
                <w:highlight w:val="none"/>
              </w:rPr>
              <w:t>石化、化工、医药、轻工、化纤、有色冶炼</w:t>
            </w:r>
          </w:p>
        </w:tc>
        <w:tc>
          <w:tcPr>
            <w:tcW w:w="6237" w:type="dxa"/>
            <w:vAlign w:val="center"/>
          </w:tcPr>
          <w:p w14:paraId="4968C26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left"/>
              <w:textAlignment w:val="auto"/>
              <w:rPr>
                <w:rFonts w:hint="default" w:ascii="宋体" w:hAnsi="宋体" w:cs="宋体"/>
                <w:kern w:val="0"/>
                <w:sz w:val="21"/>
                <w:szCs w:val="21"/>
                <w:highlight w:val="none"/>
              </w:rPr>
            </w:pPr>
            <w:r>
              <w:rPr>
                <w:rStyle w:val="83"/>
                <w:rFonts w:hint="default"/>
                <w:color w:val="auto"/>
                <w:kern w:val="0"/>
                <w:sz w:val="21"/>
                <w:szCs w:val="21"/>
                <w:highlight w:val="none"/>
              </w:rP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1043" w:type="dxa"/>
            <w:vAlign w:val="center"/>
          </w:tcPr>
          <w:p w14:paraId="7A7DF9F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hAnsiTheme="minorEastAsia" w:eastAsiaTheme="minorEastAsia"/>
                <w:kern w:val="0"/>
                <w:sz w:val="21"/>
                <w:szCs w:val="21"/>
                <w:highlight w:val="none"/>
              </w:rPr>
            </w:pPr>
            <w:r>
              <w:rPr>
                <w:rFonts w:hint="eastAsia" w:hAnsiTheme="minorEastAsia" w:eastAsiaTheme="minorEastAsia"/>
                <w:kern w:val="0"/>
                <w:sz w:val="21"/>
                <w:szCs w:val="21"/>
                <w:highlight w:val="none"/>
              </w:rPr>
              <w:t>10/套</w:t>
            </w:r>
          </w:p>
        </w:tc>
      </w:tr>
      <w:tr w14:paraId="25E047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14:paraId="5B515BD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hAnsiTheme="minorEastAsia" w:eastAsiaTheme="minorEastAsia"/>
                <w:kern w:val="0"/>
                <w:sz w:val="21"/>
                <w:szCs w:val="21"/>
                <w:highlight w:val="none"/>
              </w:rPr>
            </w:pPr>
          </w:p>
        </w:tc>
        <w:tc>
          <w:tcPr>
            <w:tcW w:w="6237" w:type="dxa"/>
            <w:vAlign w:val="center"/>
          </w:tcPr>
          <w:p w14:paraId="02D1DD1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left"/>
              <w:textAlignment w:val="auto"/>
              <w:rPr>
                <w:rFonts w:hint="default" w:ascii="宋体" w:hAnsi="宋体" w:cs="宋体"/>
                <w:kern w:val="0"/>
                <w:sz w:val="21"/>
                <w:szCs w:val="21"/>
                <w:highlight w:val="none"/>
              </w:rPr>
            </w:pPr>
            <w:r>
              <w:rPr>
                <w:rStyle w:val="83"/>
                <w:rFonts w:hint="default"/>
                <w:color w:val="auto"/>
                <w:kern w:val="0"/>
                <w:sz w:val="21"/>
                <w:szCs w:val="21"/>
                <w:highlight w:val="none"/>
              </w:rPr>
              <w:t>无机酸制酸工艺、焦化工艺</w:t>
            </w:r>
          </w:p>
        </w:tc>
        <w:tc>
          <w:tcPr>
            <w:tcW w:w="1043" w:type="dxa"/>
            <w:vAlign w:val="center"/>
          </w:tcPr>
          <w:p w14:paraId="6A5619B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hAnsiTheme="minorEastAsia" w:eastAsiaTheme="minorEastAsia"/>
                <w:kern w:val="0"/>
                <w:sz w:val="21"/>
                <w:szCs w:val="21"/>
                <w:highlight w:val="none"/>
              </w:rPr>
            </w:pPr>
            <w:r>
              <w:rPr>
                <w:rFonts w:hint="eastAsia" w:hAnsiTheme="minorEastAsia" w:eastAsiaTheme="minorEastAsia"/>
                <w:kern w:val="0"/>
                <w:sz w:val="21"/>
                <w:szCs w:val="21"/>
                <w:highlight w:val="none"/>
              </w:rPr>
              <w:t>5/套</w:t>
            </w:r>
          </w:p>
        </w:tc>
      </w:tr>
      <w:tr w14:paraId="687774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2" w:type="dxa"/>
            <w:vMerge w:val="continue"/>
            <w:vAlign w:val="center"/>
          </w:tcPr>
          <w:p w14:paraId="38D2661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hAnsiTheme="minorEastAsia" w:eastAsiaTheme="minorEastAsia"/>
                <w:kern w:val="0"/>
                <w:sz w:val="21"/>
                <w:szCs w:val="21"/>
                <w:highlight w:val="none"/>
              </w:rPr>
            </w:pPr>
          </w:p>
        </w:tc>
        <w:tc>
          <w:tcPr>
            <w:tcW w:w="6237" w:type="dxa"/>
            <w:vAlign w:val="center"/>
          </w:tcPr>
          <w:p w14:paraId="45C4952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left"/>
              <w:textAlignment w:val="auto"/>
              <w:rPr>
                <w:rFonts w:hint="default" w:ascii="宋体" w:hAnsi="宋体" w:cs="宋体"/>
                <w:kern w:val="0"/>
                <w:sz w:val="21"/>
                <w:szCs w:val="21"/>
                <w:highlight w:val="none"/>
              </w:rPr>
            </w:pPr>
            <w:r>
              <w:rPr>
                <w:rStyle w:val="83"/>
                <w:rFonts w:hint="default"/>
                <w:color w:val="auto"/>
                <w:kern w:val="0"/>
                <w:sz w:val="21"/>
                <w:szCs w:val="21"/>
                <w:highlight w:val="none"/>
              </w:rPr>
              <w:t>其他高温或高压，且涉及危险物质的工艺过程</w:t>
            </w:r>
            <w:r>
              <w:rPr>
                <w:rStyle w:val="559"/>
                <w:color w:val="auto"/>
                <w:kern w:val="0"/>
                <w:sz w:val="21"/>
                <w:szCs w:val="21"/>
                <w:highlight w:val="none"/>
                <w:vertAlign w:val="superscript"/>
              </w:rPr>
              <w:t>a</w:t>
            </w:r>
            <w:r>
              <w:rPr>
                <w:rStyle w:val="83"/>
                <w:rFonts w:hint="default"/>
                <w:color w:val="auto"/>
                <w:kern w:val="0"/>
                <w:sz w:val="21"/>
                <w:szCs w:val="21"/>
                <w:highlight w:val="none"/>
              </w:rPr>
              <w:t>、危险物质贮存罐区</w:t>
            </w:r>
          </w:p>
        </w:tc>
        <w:tc>
          <w:tcPr>
            <w:tcW w:w="1043" w:type="dxa"/>
            <w:vAlign w:val="center"/>
          </w:tcPr>
          <w:p w14:paraId="6F322B0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hAnsiTheme="minorEastAsia" w:eastAsiaTheme="minorEastAsia"/>
                <w:kern w:val="0"/>
                <w:sz w:val="21"/>
                <w:szCs w:val="21"/>
                <w:highlight w:val="none"/>
              </w:rPr>
            </w:pPr>
            <w:r>
              <w:rPr>
                <w:rFonts w:hint="eastAsia" w:hAnsiTheme="minorEastAsia" w:eastAsiaTheme="minorEastAsia"/>
                <w:kern w:val="0"/>
                <w:sz w:val="21"/>
                <w:szCs w:val="21"/>
                <w:highlight w:val="none"/>
              </w:rPr>
              <w:t>5/套（罐区）</w:t>
            </w:r>
          </w:p>
        </w:tc>
      </w:tr>
      <w:tr w14:paraId="26B305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2" w:type="dxa"/>
            <w:vAlign w:val="center"/>
          </w:tcPr>
          <w:p w14:paraId="0403D27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宋体" w:hAnsi="宋体" w:cs="宋体"/>
                <w:kern w:val="0"/>
                <w:sz w:val="21"/>
                <w:szCs w:val="21"/>
                <w:highlight w:val="none"/>
              </w:rPr>
            </w:pPr>
            <w:r>
              <w:rPr>
                <w:rStyle w:val="83"/>
                <w:rFonts w:hint="default"/>
                <w:color w:val="auto"/>
                <w:kern w:val="0"/>
                <w:sz w:val="21"/>
                <w:szCs w:val="21"/>
                <w:highlight w:val="none"/>
              </w:rPr>
              <w:t>管道、港口</w:t>
            </w:r>
            <w:r>
              <w:rPr>
                <w:rStyle w:val="84"/>
                <w:rFonts w:hint="eastAsia" w:ascii="宋体" w:hAnsi="宋体" w:cs="宋体"/>
                <w:color w:val="auto"/>
                <w:kern w:val="0"/>
                <w:sz w:val="21"/>
                <w:szCs w:val="21"/>
                <w:highlight w:val="none"/>
              </w:rPr>
              <w:t>/</w:t>
            </w:r>
            <w:r>
              <w:rPr>
                <w:rStyle w:val="83"/>
                <w:rFonts w:hint="default"/>
                <w:color w:val="auto"/>
                <w:kern w:val="0"/>
                <w:sz w:val="21"/>
                <w:szCs w:val="21"/>
                <w:highlight w:val="none"/>
              </w:rPr>
              <w:t>码头等</w:t>
            </w:r>
          </w:p>
        </w:tc>
        <w:tc>
          <w:tcPr>
            <w:tcW w:w="6237" w:type="dxa"/>
            <w:vAlign w:val="center"/>
          </w:tcPr>
          <w:p w14:paraId="1ACC108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left"/>
              <w:textAlignment w:val="auto"/>
              <w:rPr>
                <w:rFonts w:hint="default" w:ascii="宋体" w:hAnsi="宋体" w:cs="宋体"/>
                <w:kern w:val="0"/>
                <w:sz w:val="21"/>
                <w:szCs w:val="21"/>
                <w:highlight w:val="none"/>
              </w:rPr>
            </w:pPr>
            <w:r>
              <w:rPr>
                <w:rStyle w:val="83"/>
                <w:rFonts w:hint="default"/>
                <w:color w:val="auto"/>
                <w:kern w:val="0"/>
                <w:sz w:val="21"/>
                <w:szCs w:val="21"/>
                <w:highlight w:val="none"/>
              </w:rPr>
              <w:t>涉及危险物质管道运输项目、港口</w:t>
            </w:r>
            <w:r>
              <w:rPr>
                <w:rStyle w:val="84"/>
                <w:rFonts w:hint="eastAsia" w:ascii="宋体" w:hAnsi="宋体" w:cs="宋体"/>
                <w:color w:val="auto"/>
                <w:kern w:val="0"/>
                <w:sz w:val="21"/>
                <w:szCs w:val="21"/>
                <w:highlight w:val="none"/>
              </w:rPr>
              <w:t>//</w:t>
            </w:r>
            <w:r>
              <w:rPr>
                <w:rStyle w:val="83"/>
                <w:rFonts w:hint="default"/>
                <w:color w:val="auto"/>
                <w:kern w:val="0"/>
                <w:sz w:val="21"/>
                <w:szCs w:val="21"/>
                <w:highlight w:val="none"/>
              </w:rPr>
              <w:t>码头等</w:t>
            </w:r>
          </w:p>
        </w:tc>
        <w:tc>
          <w:tcPr>
            <w:tcW w:w="1043" w:type="dxa"/>
            <w:vAlign w:val="center"/>
          </w:tcPr>
          <w:p w14:paraId="741707E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hAnsiTheme="minorEastAsia" w:eastAsiaTheme="minorEastAsia"/>
                <w:kern w:val="0"/>
                <w:sz w:val="21"/>
                <w:szCs w:val="21"/>
                <w:highlight w:val="none"/>
              </w:rPr>
            </w:pPr>
            <w:r>
              <w:rPr>
                <w:rFonts w:hint="eastAsia" w:hAnsiTheme="minorEastAsia" w:eastAsiaTheme="minorEastAsia"/>
                <w:kern w:val="0"/>
                <w:sz w:val="21"/>
                <w:szCs w:val="21"/>
                <w:highlight w:val="none"/>
              </w:rPr>
              <w:t xml:space="preserve">10 </w:t>
            </w:r>
          </w:p>
        </w:tc>
      </w:tr>
      <w:tr w14:paraId="54E409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2" w:type="dxa"/>
            <w:vAlign w:val="center"/>
          </w:tcPr>
          <w:p w14:paraId="4047C77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宋体" w:hAnsi="宋体" w:cs="宋体"/>
                <w:kern w:val="0"/>
                <w:sz w:val="21"/>
                <w:szCs w:val="21"/>
                <w:highlight w:val="none"/>
              </w:rPr>
            </w:pPr>
            <w:r>
              <w:rPr>
                <w:rStyle w:val="83"/>
                <w:rFonts w:hint="default"/>
                <w:color w:val="auto"/>
                <w:kern w:val="0"/>
                <w:sz w:val="21"/>
                <w:szCs w:val="21"/>
                <w:highlight w:val="none"/>
              </w:rPr>
              <w:t>石油天然气</w:t>
            </w:r>
          </w:p>
        </w:tc>
        <w:tc>
          <w:tcPr>
            <w:tcW w:w="6237" w:type="dxa"/>
            <w:vAlign w:val="center"/>
          </w:tcPr>
          <w:p w14:paraId="03D639E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left"/>
              <w:textAlignment w:val="auto"/>
              <w:rPr>
                <w:rFonts w:hint="default" w:ascii="宋体" w:hAnsi="宋体" w:cs="宋体"/>
                <w:kern w:val="0"/>
                <w:sz w:val="21"/>
                <w:szCs w:val="21"/>
                <w:highlight w:val="none"/>
              </w:rPr>
            </w:pPr>
            <w:r>
              <w:rPr>
                <w:rStyle w:val="83"/>
                <w:rFonts w:hint="default"/>
                <w:color w:val="auto"/>
                <w:kern w:val="0"/>
                <w:sz w:val="21"/>
                <w:szCs w:val="21"/>
                <w:highlight w:val="none"/>
              </w:rPr>
              <w:t>石油、天然气、页岩气开采（含净化），气库（不含加气站的气库），油库（不含加气站的油库）、油气管线</w:t>
            </w:r>
            <w:r>
              <w:rPr>
                <w:rStyle w:val="559"/>
                <w:color w:val="auto"/>
                <w:kern w:val="0"/>
                <w:sz w:val="21"/>
                <w:szCs w:val="21"/>
                <w:highlight w:val="none"/>
                <w:vertAlign w:val="superscript"/>
              </w:rPr>
              <w:t>b</w:t>
            </w:r>
            <w:r>
              <w:rPr>
                <w:rStyle w:val="83"/>
                <w:rFonts w:hint="default"/>
                <w:color w:val="auto"/>
                <w:kern w:val="0"/>
                <w:sz w:val="21"/>
                <w:szCs w:val="21"/>
                <w:highlight w:val="none"/>
              </w:rPr>
              <w:t>（不含城镇燃气管线）</w:t>
            </w:r>
          </w:p>
        </w:tc>
        <w:tc>
          <w:tcPr>
            <w:tcW w:w="1043" w:type="dxa"/>
            <w:vAlign w:val="center"/>
          </w:tcPr>
          <w:p w14:paraId="02F26F4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hAnsiTheme="minorEastAsia" w:eastAsiaTheme="minorEastAsia"/>
                <w:kern w:val="0"/>
                <w:sz w:val="21"/>
                <w:szCs w:val="21"/>
                <w:highlight w:val="none"/>
              </w:rPr>
            </w:pPr>
            <w:r>
              <w:rPr>
                <w:rFonts w:hint="eastAsia" w:hAnsiTheme="minorEastAsia" w:eastAsiaTheme="minorEastAsia"/>
                <w:kern w:val="0"/>
                <w:sz w:val="21"/>
                <w:szCs w:val="21"/>
                <w:highlight w:val="none"/>
              </w:rPr>
              <w:t xml:space="preserve">10 </w:t>
            </w:r>
          </w:p>
        </w:tc>
      </w:tr>
      <w:tr w14:paraId="24931F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2" w:type="dxa"/>
            <w:vAlign w:val="center"/>
          </w:tcPr>
          <w:p w14:paraId="0ED4848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hAnsiTheme="minorEastAsia" w:eastAsiaTheme="minorEastAsia"/>
                <w:kern w:val="0"/>
                <w:sz w:val="21"/>
                <w:szCs w:val="21"/>
                <w:highlight w:val="none"/>
              </w:rPr>
            </w:pPr>
            <w:r>
              <w:rPr>
                <w:rFonts w:hint="eastAsia" w:hAnsiTheme="minorEastAsia" w:eastAsiaTheme="minorEastAsia"/>
                <w:kern w:val="0"/>
                <w:sz w:val="21"/>
                <w:szCs w:val="21"/>
                <w:highlight w:val="none"/>
              </w:rPr>
              <w:t>其他</w:t>
            </w:r>
          </w:p>
        </w:tc>
        <w:tc>
          <w:tcPr>
            <w:tcW w:w="6237" w:type="dxa"/>
            <w:vAlign w:val="center"/>
          </w:tcPr>
          <w:p w14:paraId="23F47FB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left"/>
              <w:textAlignment w:val="auto"/>
              <w:rPr>
                <w:rFonts w:hint="default" w:ascii="宋体" w:hAnsi="宋体" w:cs="宋体"/>
                <w:kern w:val="0"/>
                <w:sz w:val="21"/>
                <w:szCs w:val="21"/>
                <w:highlight w:val="none"/>
              </w:rPr>
            </w:pPr>
            <w:r>
              <w:rPr>
                <w:rStyle w:val="83"/>
                <w:rFonts w:hint="default"/>
                <w:color w:val="auto"/>
                <w:kern w:val="0"/>
                <w:sz w:val="21"/>
                <w:szCs w:val="21"/>
                <w:highlight w:val="none"/>
              </w:rPr>
              <w:t>涉及危险物质使用、贮存的项目</w:t>
            </w:r>
          </w:p>
        </w:tc>
        <w:tc>
          <w:tcPr>
            <w:tcW w:w="1043" w:type="dxa"/>
            <w:vAlign w:val="center"/>
          </w:tcPr>
          <w:p w14:paraId="68280A1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hAnsiTheme="minorEastAsia" w:eastAsiaTheme="minorEastAsia"/>
                <w:kern w:val="0"/>
                <w:sz w:val="21"/>
                <w:szCs w:val="21"/>
                <w:highlight w:val="none"/>
              </w:rPr>
            </w:pPr>
            <w:r>
              <w:rPr>
                <w:rFonts w:hint="eastAsia" w:hAnsiTheme="minorEastAsia" w:eastAsiaTheme="minorEastAsia"/>
                <w:kern w:val="0"/>
                <w:sz w:val="21"/>
                <w:szCs w:val="21"/>
                <w:highlight w:val="none"/>
              </w:rPr>
              <w:t>5</w:t>
            </w:r>
          </w:p>
        </w:tc>
      </w:tr>
      <w:tr w14:paraId="0126C6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22" w:type="dxa"/>
            <w:gridSpan w:val="3"/>
            <w:vAlign w:val="center"/>
          </w:tcPr>
          <w:p w14:paraId="27B3AAE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left"/>
              <w:textAlignment w:val="auto"/>
              <w:rPr>
                <w:rStyle w:val="83"/>
                <w:rFonts w:hint="default" w:ascii="Times New Roman"/>
                <w:color w:val="auto"/>
                <w:kern w:val="0"/>
                <w:sz w:val="21"/>
                <w:szCs w:val="21"/>
                <w:highlight w:val="none"/>
              </w:rPr>
            </w:pPr>
            <w:r>
              <w:rPr>
                <w:rFonts w:hint="default" w:eastAsiaTheme="minorEastAsia"/>
                <w:kern w:val="0"/>
                <w:sz w:val="21"/>
                <w:szCs w:val="21"/>
                <w:highlight w:val="none"/>
                <w:vertAlign w:val="superscript"/>
              </w:rPr>
              <w:t>a</w:t>
            </w:r>
            <w:r>
              <w:rPr>
                <w:rStyle w:val="83"/>
                <w:rFonts w:hint="default" w:ascii="Times New Roman"/>
                <w:color w:val="auto"/>
                <w:kern w:val="0"/>
                <w:sz w:val="21"/>
                <w:szCs w:val="21"/>
                <w:highlight w:val="none"/>
              </w:rPr>
              <w:t>高温指工艺温度</w:t>
            </w:r>
            <w:r>
              <w:rPr>
                <w:rStyle w:val="83"/>
                <w:rFonts w:hint="default" w:ascii="Times New Roman" w:hAnsi="Times New Roman"/>
                <w:color w:val="auto"/>
                <w:kern w:val="0"/>
                <w:sz w:val="21"/>
                <w:szCs w:val="21"/>
                <w:highlight w:val="none"/>
              </w:rPr>
              <w:t>≥</w:t>
            </w:r>
            <w:r>
              <w:rPr>
                <w:rStyle w:val="559"/>
                <w:color w:val="auto"/>
                <w:kern w:val="0"/>
                <w:sz w:val="21"/>
                <w:szCs w:val="21"/>
                <w:highlight w:val="none"/>
              </w:rPr>
              <w:t>300</w:t>
            </w:r>
            <w:r>
              <w:rPr>
                <w:rStyle w:val="83"/>
                <w:rFonts w:hint="default" w:ascii="Times New Roman" w:hAnsi="Times New Roman"/>
                <w:color w:val="auto"/>
                <w:kern w:val="0"/>
                <w:sz w:val="21"/>
                <w:szCs w:val="21"/>
                <w:highlight w:val="none"/>
              </w:rPr>
              <w:t>℃</w:t>
            </w:r>
            <w:r>
              <w:rPr>
                <w:rStyle w:val="83"/>
                <w:rFonts w:hint="default" w:ascii="Times New Roman"/>
                <w:color w:val="auto"/>
                <w:kern w:val="0"/>
                <w:sz w:val="21"/>
                <w:szCs w:val="21"/>
                <w:highlight w:val="none"/>
              </w:rPr>
              <w:t>，高压指压力容器的设计压力（</w:t>
            </w:r>
            <w:r>
              <w:rPr>
                <w:rStyle w:val="566"/>
                <w:rFonts w:ascii="Times New Roman" w:hAnsi="Times New Roman"/>
                <w:i w:val="0"/>
                <w:color w:val="auto"/>
                <w:kern w:val="0"/>
                <w:sz w:val="21"/>
                <w:szCs w:val="21"/>
                <w:highlight w:val="none"/>
              </w:rPr>
              <w:t>P</w:t>
            </w:r>
            <w:r>
              <w:rPr>
                <w:rStyle w:val="83"/>
                <w:rFonts w:hint="default" w:ascii="Times New Roman"/>
                <w:color w:val="auto"/>
                <w:kern w:val="0"/>
                <w:sz w:val="21"/>
                <w:szCs w:val="21"/>
                <w:highlight w:val="none"/>
              </w:rPr>
              <w:t>）</w:t>
            </w:r>
            <w:r>
              <w:rPr>
                <w:rStyle w:val="83"/>
                <w:rFonts w:hint="default" w:ascii="Times New Roman" w:hAnsi="Times New Roman"/>
                <w:color w:val="auto"/>
                <w:kern w:val="0"/>
                <w:sz w:val="21"/>
                <w:szCs w:val="21"/>
                <w:highlight w:val="none"/>
              </w:rPr>
              <w:t>≥</w:t>
            </w:r>
            <w:r>
              <w:rPr>
                <w:rStyle w:val="559"/>
                <w:color w:val="auto"/>
                <w:kern w:val="0"/>
                <w:sz w:val="21"/>
                <w:szCs w:val="21"/>
                <w:highlight w:val="none"/>
              </w:rPr>
              <w:t>10.0 MPa</w:t>
            </w:r>
            <w:r>
              <w:rPr>
                <w:rStyle w:val="83"/>
                <w:rFonts w:hint="default" w:ascii="Times New Roman"/>
                <w:color w:val="auto"/>
                <w:kern w:val="0"/>
                <w:sz w:val="21"/>
                <w:szCs w:val="21"/>
                <w:highlight w:val="none"/>
              </w:rPr>
              <w:t>；</w:t>
            </w:r>
          </w:p>
          <w:p w14:paraId="44F20AD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left"/>
              <w:textAlignment w:val="auto"/>
              <w:rPr>
                <w:rFonts w:hint="default"/>
                <w:kern w:val="0"/>
                <w:sz w:val="21"/>
                <w:szCs w:val="21"/>
                <w:highlight w:val="none"/>
              </w:rPr>
            </w:pPr>
            <w:r>
              <w:rPr>
                <w:rStyle w:val="559"/>
                <w:color w:val="auto"/>
                <w:kern w:val="0"/>
                <w:sz w:val="21"/>
                <w:szCs w:val="21"/>
                <w:highlight w:val="none"/>
                <w:vertAlign w:val="superscript"/>
              </w:rPr>
              <w:t>b</w:t>
            </w:r>
            <w:r>
              <w:rPr>
                <w:rStyle w:val="83"/>
                <w:rFonts w:hint="default" w:ascii="Times New Roman"/>
                <w:color w:val="auto"/>
                <w:kern w:val="0"/>
                <w:sz w:val="21"/>
                <w:szCs w:val="21"/>
                <w:highlight w:val="none"/>
              </w:rPr>
              <w:t>长输管道运输项目应按站场、管线分段进行评价。</w:t>
            </w:r>
          </w:p>
        </w:tc>
      </w:tr>
    </w:tbl>
    <w:p w14:paraId="2135C4FC">
      <w:pPr>
        <w:spacing w:line="360" w:lineRule="auto"/>
        <w:rPr>
          <w:rFonts w:hAnsiTheme="minorEastAsia" w:eastAsiaTheme="minorEastAsia"/>
          <w:sz w:val="24"/>
          <w:highlight w:val="none"/>
        </w:rPr>
      </w:pPr>
      <w:r>
        <w:rPr>
          <w:rFonts w:hint="eastAsia" w:hAnsiTheme="minorEastAsia" w:eastAsiaTheme="minorEastAsia"/>
          <w:sz w:val="24"/>
          <w:highlight w:val="none"/>
        </w:rPr>
        <w:t>本项目为涉及</w:t>
      </w:r>
      <w:r>
        <w:rPr>
          <w:rFonts w:hAnsiTheme="minorEastAsia" w:eastAsiaTheme="minorEastAsia"/>
          <w:sz w:val="24"/>
          <w:highlight w:val="none"/>
        </w:rPr>
        <w:t>危险物质使用、贮存的项目，因此属于</w:t>
      </w:r>
      <w:r>
        <w:rPr>
          <w:rFonts w:hint="eastAsia" w:hAnsiTheme="minorEastAsia" w:eastAsiaTheme="minorEastAsia"/>
          <w:sz w:val="24"/>
          <w:highlight w:val="none"/>
        </w:rPr>
        <w:t>M4。</w:t>
      </w:r>
    </w:p>
    <w:p w14:paraId="1116D269">
      <w:pPr>
        <w:spacing w:line="360" w:lineRule="auto"/>
        <w:ind w:firstLine="480" w:firstLineChars="200"/>
        <w:rPr>
          <w:rFonts w:hAnsiTheme="minorEastAsia" w:eastAsiaTheme="minorEastAsia"/>
          <w:sz w:val="24"/>
          <w:highlight w:val="none"/>
        </w:rPr>
      </w:pPr>
      <w:r>
        <w:rPr>
          <w:rFonts w:hint="eastAsia" w:hAnsiTheme="minorEastAsia" w:eastAsiaTheme="minorEastAsia"/>
          <w:sz w:val="24"/>
          <w:highlight w:val="none"/>
          <w:lang w:eastAsia="zh-CN"/>
        </w:rPr>
        <w:t>（</w:t>
      </w:r>
      <w:r>
        <w:rPr>
          <w:rFonts w:hint="eastAsia" w:hAnsiTheme="minorEastAsia" w:eastAsiaTheme="minorEastAsia"/>
          <w:sz w:val="24"/>
          <w:highlight w:val="none"/>
          <w:lang w:val="en-US" w:eastAsia="zh-CN"/>
        </w:rPr>
        <w:t>4</w:t>
      </w:r>
      <w:r>
        <w:rPr>
          <w:rFonts w:hint="eastAsia" w:hAnsiTheme="minorEastAsia" w:eastAsiaTheme="minorEastAsia"/>
          <w:sz w:val="24"/>
          <w:highlight w:val="none"/>
          <w:lang w:eastAsia="zh-CN"/>
        </w:rPr>
        <w:t>）</w:t>
      </w:r>
      <w:r>
        <w:rPr>
          <w:rFonts w:hAnsiTheme="minorEastAsia" w:eastAsiaTheme="minorEastAsia"/>
          <w:sz w:val="24"/>
          <w:highlight w:val="none"/>
        </w:rPr>
        <w:t>危险物质及工艺系统危险性（P）分级</w:t>
      </w:r>
    </w:p>
    <w:p w14:paraId="30A598E7">
      <w:pPr>
        <w:spacing w:line="360" w:lineRule="auto"/>
        <w:ind w:firstLine="480" w:firstLineChars="200"/>
        <w:rPr>
          <w:rFonts w:hAnsiTheme="minorEastAsia" w:eastAsiaTheme="minorEastAsia"/>
          <w:sz w:val="24"/>
          <w:highlight w:val="none"/>
        </w:rPr>
      </w:pPr>
      <w:r>
        <w:rPr>
          <w:rFonts w:hAnsiTheme="minorEastAsia" w:eastAsiaTheme="minorEastAsia"/>
          <w:sz w:val="24"/>
          <w:highlight w:val="none"/>
        </w:rPr>
        <w:t>根据危险物质数量与临界量比值（</w:t>
      </w:r>
      <w:r>
        <w:rPr>
          <w:rFonts w:hAnsiTheme="minorEastAsia" w:eastAsiaTheme="minorEastAsia"/>
          <w:iCs/>
          <w:sz w:val="24"/>
          <w:highlight w:val="none"/>
        </w:rPr>
        <w:t>Q</w:t>
      </w:r>
      <w:r>
        <w:rPr>
          <w:rFonts w:hAnsiTheme="minorEastAsia" w:eastAsiaTheme="minorEastAsia"/>
          <w:sz w:val="24"/>
          <w:highlight w:val="none"/>
        </w:rPr>
        <w:t>）和行业及生产工艺（M），按照</w:t>
      </w:r>
      <w:r>
        <w:rPr>
          <w:rFonts w:hint="eastAsia" w:hAnsiTheme="minorEastAsia" w:eastAsiaTheme="minorEastAsia"/>
          <w:sz w:val="24"/>
          <w:highlight w:val="none"/>
        </w:rPr>
        <w:t>下</w:t>
      </w:r>
      <w:r>
        <w:rPr>
          <w:rFonts w:hAnsiTheme="minorEastAsia" w:eastAsiaTheme="minorEastAsia"/>
          <w:sz w:val="24"/>
          <w:highlight w:val="none"/>
        </w:rPr>
        <w:t>表确定危险物质及工艺系统危险性等级（P），分别以P1、P2、P3、P4表示。</w:t>
      </w:r>
    </w:p>
    <w:p w14:paraId="7DF8EC91">
      <w:pPr>
        <w:pStyle w:val="7"/>
        <w:bidi w:val="0"/>
        <w:rPr>
          <w:highlight w:val="none"/>
        </w:rPr>
      </w:pPr>
      <w:r>
        <w:rPr>
          <w:rFonts w:hint="eastAsia"/>
          <w:highlight w:val="none"/>
        </w:rPr>
        <w:t xml:space="preserve">表2-4-13 </w:t>
      </w:r>
      <w:r>
        <w:rPr>
          <w:highlight w:val="none"/>
        </w:rPr>
        <w:t>危险物质及工艺系统危险性等级判断（P）</w:t>
      </w:r>
    </w:p>
    <w:tbl>
      <w:tblPr>
        <w:tblStyle w:val="46"/>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704"/>
        <w:gridCol w:w="1704"/>
        <w:gridCol w:w="1705"/>
        <w:gridCol w:w="1705"/>
      </w:tblGrid>
      <w:tr w14:paraId="41017E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Merge w:val="restart"/>
            <w:vAlign w:val="center"/>
          </w:tcPr>
          <w:p w14:paraId="09E02AB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kern w:val="0"/>
                <w:sz w:val="21"/>
                <w:szCs w:val="21"/>
                <w:highlight w:val="none"/>
              </w:rPr>
            </w:pPr>
            <w:r>
              <w:rPr>
                <w:rStyle w:val="83"/>
                <w:rFonts w:hint="default" w:ascii="Times New Roman"/>
                <w:color w:val="auto"/>
                <w:kern w:val="0"/>
                <w:sz w:val="21"/>
                <w:szCs w:val="21"/>
                <w:highlight w:val="none"/>
              </w:rPr>
              <w:t>危险物质数量与临界量比值（</w:t>
            </w:r>
            <w:r>
              <w:rPr>
                <w:rStyle w:val="559"/>
                <w:color w:val="auto"/>
                <w:kern w:val="0"/>
                <w:sz w:val="21"/>
                <w:szCs w:val="21"/>
                <w:highlight w:val="none"/>
              </w:rPr>
              <w:t>Q</w:t>
            </w:r>
            <w:r>
              <w:rPr>
                <w:rStyle w:val="83"/>
                <w:rFonts w:hint="default" w:ascii="Times New Roman"/>
                <w:color w:val="auto"/>
                <w:kern w:val="0"/>
                <w:sz w:val="21"/>
                <w:szCs w:val="21"/>
                <w:highlight w:val="none"/>
              </w:rPr>
              <w:t>）</w:t>
            </w:r>
          </w:p>
        </w:tc>
        <w:tc>
          <w:tcPr>
            <w:tcW w:w="6818" w:type="dxa"/>
            <w:gridSpan w:val="4"/>
            <w:vAlign w:val="center"/>
          </w:tcPr>
          <w:p w14:paraId="762DC8D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kern w:val="0"/>
                <w:sz w:val="21"/>
                <w:szCs w:val="21"/>
                <w:highlight w:val="none"/>
              </w:rPr>
            </w:pPr>
            <w:r>
              <w:rPr>
                <w:rStyle w:val="83"/>
                <w:rFonts w:hint="default" w:ascii="Times New Roman"/>
                <w:color w:val="auto"/>
                <w:kern w:val="0"/>
                <w:sz w:val="21"/>
                <w:szCs w:val="21"/>
                <w:highlight w:val="none"/>
              </w:rPr>
              <w:t>行业及生产工艺</w:t>
            </w:r>
            <w:r>
              <w:rPr>
                <w:rStyle w:val="84"/>
                <w:rFonts w:ascii="Times New Roman"/>
                <w:color w:val="auto"/>
                <w:kern w:val="0"/>
                <w:sz w:val="21"/>
                <w:szCs w:val="21"/>
                <w:highlight w:val="none"/>
              </w:rPr>
              <w:t>（</w:t>
            </w:r>
            <w:r>
              <w:rPr>
                <w:rStyle w:val="566"/>
                <w:rFonts w:ascii="Times New Roman" w:hAnsi="Times New Roman"/>
                <w:i w:val="0"/>
                <w:color w:val="auto"/>
                <w:kern w:val="0"/>
                <w:sz w:val="21"/>
                <w:szCs w:val="21"/>
                <w:highlight w:val="none"/>
              </w:rPr>
              <w:t>M</w:t>
            </w:r>
            <w:r>
              <w:rPr>
                <w:rStyle w:val="84"/>
                <w:rFonts w:ascii="Times New Roman"/>
                <w:color w:val="auto"/>
                <w:kern w:val="0"/>
                <w:sz w:val="21"/>
                <w:szCs w:val="21"/>
                <w:highlight w:val="none"/>
              </w:rPr>
              <w:t>）</w:t>
            </w:r>
          </w:p>
        </w:tc>
      </w:tr>
      <w:tr w14:paraId="48A7A8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Merge w:val="continue"/>
            <w:vAlign w:val="center"/>
          </w:tcPr>
          <w:p w14:paraId="6B6D115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p>
        </w:tc>
        <w:tc>
          <w:tcPr>
            <w:tcW w:w="1704" w:type="dxa"/>
            <w:vAlign w:val="center"/>
          </w:tcPr>
          <w:p w14:paraId="403B681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kern w:val="0"/>
                <w:sz w:val="21"/>
                <w:szCs w:val="21"/>
                <w:highlight w:val="none"/>
              </w:rPr>
            </w:pPr>
            <w:r>
              <w:rPr>
                <w:rStyle w:val="83"/>
                <w:rFonts w:hint="default" w:ascii="Times New Roman" w:hAnsi="Times New Roman"/>
                <w:color w:val="auto"/>
                <w:kern w:val="0"/>
                <w:sz w:val="21"/>
                <w:szCs w:val="21"/>
                <w:highlight w:val="none"/>
              </w:rPr>
              <w:t>M1</w:t>
            </w:r>
          </w:p>
        </w:tc>
        <w:tc>
          <w:tcPr>
            <w:tcW w:w="1704" w:type="dxa"/>
            <w:vAlign w:val="center"/>
          </w:tcPr>
          <w:p w14:paraId="67DF45A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kern w:val="0"/>
                <w:sz w:val="21"/>
                <w:szCs w:val="21"/>
                <w:highlight w:val="none"/>
              </w:rPr>
            </w:pPr>
            <w:r>
              <w:rPr>
                <w:rStyle w:val="83"/>
                <w:rFonts w:hint="default" w:ascii="Times New Roman" w:hAnsi="Times New Roman"/>
                <w:color w:val="auto"/>
                <w:kern w:val="0"/>
                <w:sz w:val="21"/>
                <w:szCs w:val="21"/>
                <w:highlight w:val="none"/>
              </w:rPr>
              <w:t>M2</w:t>
            </w:r>
          </w:p>
        </w:tc>
        <w:tc>
          <w:tcPr>
            <w:tcW w:w="1705" w:type="dxa"/>
            <w:vAlign w:val="center"/>
          </w:tcPr>
          <w:p w14:paraId="4D0239F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kern w:val="0"/>
                <w:sz w:val="21"/>
                <w:szCs w:val="21"/>
                <w:highlight w:val="none"/>
              </w:rPr>
            </w:pPr>
            <w:r>
              <w:rPr>
                <w:rStyle w:val="83"/>
                <w:rFonts w:hint="default" w:ascii="Times New Roman" w:hAnsi="Times New Roman"/>
                <w:color w:val="auto"/>
                <w:kern w:val="0"/>
                <w:sz w:val="21"/>
                <w:szCs w:val="21"/>
                <w:highlight w:val="none"/>
              </w:rPr>
              <w:t>M3</w:t>
            </w:r>
          </w:p>
        </w:tc>
        <w:tc>
          <w:tcPr>
            <w:tcW w:w="1705" w:type="dxa"/>
            <w:vAlign w:val="center"/>
          </w:tcPr>
          <w:p w14:paraId="67DFB15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kern w:val="0"/>
                <w:sz w:val="21"/>
                <w:szCs w:val="21"/>
                <w:highlight w:val="none"/>
              </w:rPr>
            </w:pPr>
            <w:r>
              <w:rPr>
                <w:rStyle w:val="83"/>
                <w:rFonts w:hint="default" w:ascii="Times New Roman" w:hAnsi="Times New Roman"/>
                <w:color w:val="auto"/>
                <w:kern w:val="0"/>
                <w:sz w:val="21"/>
                <w:szCs w:val="21"/>
                <w:highlight w:val="none"/>
              </w:rPr>
              <w:t>M4</w:t>
            </w:r>
          </w:p>
        </w:tc>
      </w:tr>
      <w:tr w14:paraId="3E3208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6B689E9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eastAsiaTheme="minorEastAsia"/>
                <w:kern w:val="0"/>
                <w:sz w:val="21"/>
                <w:szCs w:val="21"/>
                <w:highlight w:val="none"/>
              </w:rPr>
              <w:t>Q≥100</w:t>
            </w:r>
          </w:p>
        </w:tc>
        <w:tc>
          <w:tcPr>
            <w:tcW w:w="1704" w:type="dxa"/>
            <w:vAlign w:val="center"/>
          </w:tcPr>
          <w:p w14:paraId="2E80E8C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kern w:val="0"/>
                <w:sz w:val="21"/>
                <w:szCs w:val="21"/>
                <w:highlight w:val="none"/>
              </w:rPr>
            </w:pPr>
            <w:r>
              <w:rPr>
                <w:rStyle w:val="83"/>
                <w:rFonts w:hint="default" w:ascii="Times New Roman" w:hAnsi="Times New Roman"/>
                <w:color w:val="auto"/>
                <w:kern w:val="0"/>
                <w:sz w:val="21"/>
                <w:szCs w:val="21"/>
                <w:highlight w:val="none"/>
              </w:rPr>
              <w:t>P1</w:t>
            </w:r>
          </w:p>
        </w:tc>
        <w:tc>
          <w:tcPr>
            <w:tcW w:w="1704" w:type="dxa"/>
            <w:vAlign w:val="center"/>
          </w:tcPr>
          <w:p w14:paraId="7B26FB8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kern w:val="0"/>
                <w:sz w:val="21"/>
                <w:szCs w:val="21"/>
                <w:highlight w:val="none"/>
              </w:rPr>
            </w:pPr>
            <w:r>
              <w:rPr>
                <w:rStyle w:val="83"/>
                <w:rFonts w:hint="default" w:ascii="Times New Roman" w:hAnsi="Times New Roman"/>
                <w:color w:val="auto"/>
                <w:kern w:val="0"/>
                <w:sz w:val="21"/>
                <w:szCs w:val="21"/>
                <w:highlight w:val="none"/>
              </w:rPr>
              <w:t>P1</w:t>
            </w:r>
          </w:p>
        </w:tc>
        <w:tc>
          <w:tcPr>
            <w:tcW w:w="1705" w:type="dxa"/>
            <w:vAlign w:val="center"/>
          </w:tcPr>
          <w:p w14:paraId="5707367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kern w:val="0"/>
                <w:sz w:val="21"/>
                <w:szCs w:val="21"/>
                <w:highlight w:val="none"/>
              </w:rPr>
            </w:pPr>
            <w:r>
              <w:rPr>
                <w:rStyle w:val="83"/>
                <w:rFonts w:hint="default" w:ascii="Times New Roman" w:hAnsi="Times New Roman"/>
                <w:color w:val="auto"/>
                <w:kern w:val="0"/>
                <w:sz w:val="21"/>
                <w:szCs w:val="21"/>
                <w:highlight w:val="none"/>
              </w:rPr>
              <w:t>P2</w:t>
            </w:r>
          </w:p>
        </w:tc>
        <w:tc>
          <w:tcPr>
            <w:tcW w:w="1705" w:type="dxa"/>
            <w:vAlign w:val="center"/>
          </w:tcPr>
          <w:p w14:paraId="0994AAA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kern w:val="0"/>
                <w:sz w:val="21"/>
                <w:szCs w:val="21"/>
                <w:highlight w:val="none"/>
              </w:rPr>
            </w:pPr>
            <w:r>
              <w:rPr>
                <w:rStyle w:val="83"/>
                <w:rFonts w:hint="default" w:ascii="Times New Roman" w:hAnsi="Times New Roman"/>
                <w:color w:val="auto"/>
                <w:kern w:val="0"/>
                <w:sz w:val="21"/>
                <w:szCs w:val="21"/>
                <w:highlight w:val="none"/>
              </w:rPr>
              <w:t>P3</w:t>
            </w:r>
          </w:p>
        </w:tc>
      </w:tr>
      <w:tr w14:paraId="2557A3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5E65D9F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eastAsiaTheme="minorEastAsia"/>
                <w:kern w:val="0"/>
                <w:sz w:val="21"/>
                <w:szCs w:val="21"/>
                <w:highlight w:val="none"/>
              </w:rPr>
              <w:t>10≤Q＜100</w:t>
            </w:r>
          </w:p>
        </w:tc>
        <w:tc>
          <w:tcPr>
            <w:tcW w:w="1704" w:type="dxa"/>
            <w:vAlign w:val="center"/>
          </w:tcPr>
          <w:p w14:paraId="7EB4675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kern w:val="0"/>
                <w:sz w:val="21"/>
                <w:szCs w:val="21"/>
                <w:highlight w:val="none"/>
              </w:rPr>
            </w:pPr>
            <w:r>
              <w:rPr>
                <w:rStyle w:val="83"/>
                <w:rFonts w:hint="default" w:ascii="Times New Roman" w:hAnsi="Times New Roman"/>
                <w:color w:val="auto"/>
                <w:kern w:val="0"/>
                <w:sz w:val="21"/>
                <w:szCs w:val="21"/>
                <w:highlight w:val="none"/>
              </w:rPr>
              <w:t>P1</w:t>
            </w:r>
          </w:p>
        </w:tc>
        <w:tc>
          <w:tcPr>
            <w:tcW w:w="1704" w:type="dxa"/>
            <w:vAlign w:val="center"/>
          </w:tcPr>
          <w:p w14:paraId="034738C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kern w:val="0"/>
                <w:sz w:val="21"/>
                <w:szCs w:val="21"/>
                <w:highlight w:val="none"/>
              </w:rPr>
            </w:pPr>
            <w:r>
              <w:rPr>
                <w:rStyle w:val="83"/>
                <w:rFonts w:hint="default" w:ascii="Times New Roman" w:hAnsi="Times New Roman"/>
                <w:color w:val="auto"/>
                <w:kern w:val="0"/>
                <w:sz w:val="21"/>
                <w:szCs w:val="21"/>
                <w:highlight w:val="none"/>
              </w:rPr>
              <w:t>P2</w:t>
            </w:r>
          </w:p>
        </w:tc>
        <w:tc>
          <w:tcPr>
            <w:tcW w:w="1705" w:type="dxa"/>
            <w:vAlign w:val="center"/>
          </w:tcPr>
          <w:p w14:paraId="3BA2519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kern w:val="0"/>
                <w:sz w:val="21"/>
                <w:szCs w:val="21"/>
                <w:highlight w:val="none"/>
              </w:rPr>
            </w:pPr>
            <w:r>
              <w:rPr>
                <w:rStyle w:val="83"/>
                <w:rFonts w:hint="default" w:ascii="Times New Roman" w:hAnsi="Times New Roman"/>
                <w:color w:val="auto"/>
                <w:kern w:val="0"/>
                <w:sz w:val="21"/>
                <w:szCs w:val="21"/>
                <w:highlight w:val="none"/>
              </w:rPr>
              <w:t>P3</w:t>
            </w:r>
          </w:p>
        </w:tc>
        <w:tc>
          <w:tcPr>
            <w:tcW w:w="1705" w:type="dxa"/>
            <w:vAlign w:val="center"/>
          </w:tcPr>
          <w:p w14:paraId="4D090B9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kern w:val="0"/>
                <w:sz w:val="21"/>
                <w:szCs w:val="21"/>
                <w:highlight w:val="none"/>
              </w:rPr>
            </w:pPr>
            <w:r>
              <w:rPr>
                <w:rStyle w:val="83"/>
                <w:rFonts w:hint="default" w:ascii="Times New Roman" w:hAnsi="Times New Roman"/>
                <w:b/>
                <w:color w:val="auto"/>
                <w:kern w:val="0"/>
                <w:sz w:val="21"/>
                <w:szCs w:val="21"/>
                <w:highlight w:val="none"/>
              </w:rPr>
              <w:t>P4</w:t>
            </w:r>
          </w:p>
        </w:tc>
      </w:tr>
      <w:tr w14:paraId="11C091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3938C7C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eastAsiaTheme="minorEastAsia"/>
                <w:kern w:val="0"/>
                <w:sz w:val="21"/>
                <w:szCs w:val="21"/>
                <w:highlight w:val="none"/>
              </w:rPr>
              <w:t>1≤Q＜10</w:t>
            </w:r>
          </w:p>
        </w:tc>
        <w:tc>
          <w:tcPr>
            <w:tcW w:w="1704" w:type="dxa"/>
            <w:vAlign w:val="center"/>
          </w:tcPr>
          <w:p w14:paraId="242679C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kern w:val="0"/>
                <w:sz w:val="21"/>
                <w:szCs w:val="21"/>
                <w:highlight w:val="none"/>
              </w:rPr>
            </w:pPr>
            <w:r>
              <w:rPr>
                <w:rStyle w:val="83"/>
                <w:rFonts w:hint="default" w:ascii="Times New Roman" w:hAnsi="Times New Roman"/>
                <w:color w:val="auto"/>
                <w:kern w:val="0"/>
                <w:sz w:val="21"/>
                <w:szCs w:val="21"/>
                <w:highlight w:val="none"/>
              </w:rPr>
              <w:t>P2</w:t>
            </w:r>
          </w:p>
        </w:tc>
        <w:tc>
          <w:tcPr>
            <w:tcW w:w="1704" w:type="dxa"/>
            <w:vAlign w:val="center"/>
          </w:tcPr>
          <w:p w14:paraId="30DD126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kern w:val="0"/>
                <w:sz w:val="21"/>
                <w:szCs w:val="21"/>
                <w:highlight w:val="none"/>
              </w:rPr>
            </w:pPr>
            <w:r>
              <w:rPr>
                <w:rStyle w:val="83"/>
                <w:rFonts w:hint="default" w:ascii="Times New Roman" w:hAnsi="Times New Roman"/>
                <w:color w:val="auto"/>
                <w:kern w:val="0"/>
                <w:sz w:val="21"/>
                <w:szCs w:val="21"/>
                <w:highlight w:val="none"/>
              </w:rPr>
              <w:t>P3</w:t>
            </w:r>
          </w:p>
        </w:tc>
        <w:tc>
          <w:tcPr>
            <w:tcW w:w="1705" w:type="dxa"/>
            <w:vAlign w:val="center"/>
          </w:tcPr>
          <w:p w14:paraId="61BC842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kern w:val="0"/>
                <w:sz w:val="21"/>
                <w:szCs w:val="21"/>
                <w:highlight w:val="none"/>
              </w:rPr>
            </w:pPr>
            <w:r>
              <w:rPr>
                <w:rStyle w:val="83"/>
                <w:rFonts w:hint="default" w:ascii="Times New Roman" w:hAnsi="Times New Roman"/>
                <w:color w:val="auto"/>
                <w:kern w:val="0"/>
                <w:sz w:val="21"/>
                <w:szCs w:val="21"/>
                <w:highlight w:val="none"/>
              </w:rPr>
              <w:t>P4</w:t>
            </w:r>
          </w:p>
        </w:tc>
        <w:tc>
          <w:tcPr>
            <w:tcW w:w="1705" w:type="dxa"/>
            <w:vAlign w:val="center"/>
          </w:tcPr>
          <w:p w14:paraId="093B64D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kern w:val="0"/>
                <w:sz w:val="21"/>
                <w:szCs w:val="21"/>
                <w:highlight w:val="none"/>
              </w:rPr>
            </w:pPr>
            <w:r>
              <w:rPr>
                <w:rStyle w:val="83"/>
                <w:rFonts w:hint="default" w:ascii="Times New Roman" w:hAnsi="Times New Roman"/>
                <w:color w:val="auto"/>
                <w:kern w:val="0"/>
                <w:sz w:val="21"/>
                <w:szCs w:val="21"/>
                <w:highlight w:val="none"/>
              </w:rPr>
              <w:t>P4</w:t>
            </w:r>
          </w:p>
        </w:tc>
      </w:tr>
    </w:tbl>
    <w:p w14:paraId="6CD77655">
      <w:pPr>
        <w:bidi w:val="0"/>
        <w:rPr>
          <w:highlight w:val="none"/>
        </w:rPr>
      </w:pPr>
      <w:r>
        <w:rPr>
          <w:rFonts w:hint="eastAsia"/>
          <w:highlight w:val="none"/>
        </w:rPr>
        <w:t>本项目属于P4。</w:t>
      </w:r>
    </w:p>
    <w:p w14:paraId="67443039">
      <w:pPr>
        <w:bidi w:val="0"/>
        <w:rPr>
          <w:highlight w:val="none"/>
        </w:rPr>
      </w:pPr>
      <w:r>
        <w:rPr>
          <w:rFonts w:hint="eastAsia"/>
          <w:highlight w:val="none"/>
          <w:lang w:eastAsia="zh-CN"/>
        </w:rPr>
        <w:t>（</w:t>
      </w:r>
      <w:r>
        <w:rPr>
          <w:rFonts w:hint="eastAsia"/>
          <w:highlight w:val="none"/>
          <w:lang w:val="en-US" w:eastAsia="zh-CN"/>
        </w:rPr>
        <w:t>5</w:t>
      </w:r>
      <w:r>
        <w:rPr>
          <w:rFonts w:hint="eastAsia"/>
          <w:highlight w:val="none"/>
          <w:lang w:eastAsia="zh-CN"/>
        </w:rPr>
        <w:t>）</w:t>
      </w:r>
      <w:r>
        <w:rPr>
          <w:rFonts w:hint="eastAsia"/>
          <w:highlight w:val="none"/>
        </w:rPr>
        <w:t>环境敏感程度（E）的分级</w:t>
      </w:r>
    </w:p>
    <w:p w14:paraId="45EF5CE9">
      <w:pPr>
        <w:bidi w:val="0"/>
        <w:rPr>
          <w:highlight w:val="none"/>
        </w:rPr>
      </w:pPr>
      <w:r>
        <w:rPr>
          <w:rFonts w:hint="default"/>
          <w:highlight w:val="none"/>
        </w:rPr>
        <w:t>①</w:t>
      </w:r>
      <w:r>
        <w:rPr>
          <w:rFonts w:hint="eastAsia"/>
          <w:highlight w:val="none"/>
        </w:rPr>
        <w:t>大气环境：</w:t>
      </w:r>
      <w:r>
        <w:rPr>
          <w:highlight w:val="none"/>
        </w:rPr>
        <w:t>依据环境敏感目标环境敏感性及人口密度划分环境风险受体的敏感性，共分为三种类型，E1为环境高度敏感区，E2为环境中度敏感区，E3为环境低度敏感区，分级原则见下表</w:t>
      </w:r>
      <w:r>
        <w:rPr>
          <w:rFonts w:hint="eastAsia"/>
          <w:highlight w:val="none"/>
        </w:rPr>
        <w:t>。</w:t>
      </w:r>
    </w:p>
    <w:p w14:paraId="119DE376">
      <w:pPr>
        <w:pStyle w:val="7"/>
        <w:bidi w:val="0"/>
        <w:rPr>
          <w:highlight w:val="none"/>
        </w:rPr>
      </w:pPr>
      <w:r>
        <w:rPr>
          <w:rFonts w:hint="eastAsia"/>
          <w:highlight w:val="none"/>
        </w:rPr>
        <w:t xml:space="preserve">表2-4-14 </w:t>
      </w:r>
      <w:r>
        <w:rPr>
          <w:highlight w:val="none"/>
        </w:rPr>
        <w:t>大气环境敏感程度分级</w:t>
      </w:r>
    </w:p>
    <w:tbl>
      <w:tblPr>
        <w:tblStyle w:val="4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01"/>
        <w:gridCol w:w="7421"/>
      </w:tblGrid>
      <w:tr w14:paraId="6E6F3F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14:paraId="3327302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分级</w:t>
            </w:r>
          </w:p>
        </w:tc>
        <w:tc>
          <w:tcPr>
            <w:tcW w:w="7421" w:type="dxa"/>
            <w:vAlign w:val="center"/>
          </w:tcPr>
          <w:p w14:paraId="2839B9C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大气环境敏感</w:t>
            </w:r>
            <w:r>
              <w:rPr>
                <w:rFonts w:hint="eastAsia" w:ascii="Times New Roman" w:hAnsi="Times New Roman" w:cs="Times New Roman" w:eastAsiaTheme="minorEastAsia"/>
                <w:kern w:val="0"/>
                <w:sz w:val="21"/>
                <w:szCs w:val="21"/>
                <w:highlight w:val="none"/>
              </w:rPr>
              <w:t>性</w:t>
            </w:r>
          </w:p>
        </w:tc>
      </w:tr>
      <w:tr w14:paraId="402E93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14:paraId="5E462FE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E1</w:t>
            </w:r>
          </w:p>
        </w:tc>
        <w:tc>
          <w:tcPr>
            <w:tcW w:w="7421" w:type="dxa"/>
          </w:tcPr>
          <w:p w14:paraId="27814B6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周边5km范围内居住区、医疗卫生、文化教育、科研、行政办公等机构人口总数大于5万人，或其他需要特殊保护区域；或周边500m范围内人口总数大于1000人；油气、化学品输送管线管段周边200m范围内，每千米管段人口数大于200人</w:t>
            </w:r>
          </w:p>
        </w:tc>
      </w:tr>
      <w:tr w14:paraId="09C638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14:paraId="1058472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E2</w:t>
            </w:r>
          </w:p>
        </w:tc>
        <w:tc>
          <w:tcPr>
            <w:tcW w:w="7421" w:type="dxa"/>
          </w:tcPr>
          <w:p w14:paraId="560FF22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周边5km范围内居住区、医疗卫生、文化教育、科研、行政办公等机构人口总数大于1万人，小于5万人；或周边500m范围内人口总数大于500人，小于1000人；油气、化学品输送管线管段周边200m范围内，每千米管段人口数大于100人，小于200人</w:t>
            </w:r>
          </w:p>
        </w:tc>
      </w:tr>
      <w:tr w14:paraId="498B51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14:paraId="41CB425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E3</w:t>
            </w:r>
          </w:p>
        </w:tc>
        <w:tc>
          <w:tcPr>
            <w:tcW w:w="7421" w:type="dxa"/>
          </w:tcPr>
          <w:p w14:paraId="509E75A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周边5km范围内居住区、医疗卫生、文化教育、科研、行政办公等机构人口总数小于1万人；或周边500m范围内人口总数小于500人；油气、化学品输送管线管段周边200m范围内，每千米管段人口数小于100人</w:t>
            </w:r>
          </w:p>
        </w:tc>
      </w:tr>
    </w:tbl>
    <w:p w14:paraId="6E71EC3F">
      <w:pPr>
        <w:bidi w:val="0"/>
        <w:rPr>
          <w:highlight w:val="none"/>
        </w:rPr>
      </w:pPr>
      <w:r>
        <w:rPr>
          <w:rFonts w:hint="eastAsia"/>
          <w:highlight w:val="none"/>
        </w:rPr>
        <w:t>本项目属于E1。</w:t>
      </w:r>
    </w:p>
    <w:p w14:paraId="40328BC6">
      <w:pPr>
        <w:bidi w:val="0"/>
        <w:rPr>
          <w:rFonts w:hAnsiTheme="minorEastAsia" w:eastAsiaTheme="minorEastAsia"/>
          <w:highlight w:val="none"/>
        </w:rPr>
      </w:pPr>
      <w:r>
        <w:rPr>
          <w:rFonts w:hint="default" w:ascii="Times New Roman" w:hAnsi="Times New Roman" w:cs="Times New Roman"/>
          <w:highlight w:val="none"/>
        </w:rPr>
        <w:t>②地表</w:t>
      </w:r>
      <w:r>
        <w:rPr>
          <w:rFonts w:hint="eastAsia"/>
          <w:highlight w:val="none"/>
        </w:rPr>
        <w:t>水环境：</w:t>
      </w:r>
      <w:r>
        <w:rPr>
          <w:highlight w:val="none"/>
        </w:rPr>
        <w:t>依据事故情况下危险物质泄漏到水体的排放点受纳地表水体功能敏感性，与下游环境敏感目标情况，共分为三种类型，E1为环境高度敏感区，E2为环境中度敏感区，E3为环境低度敏感区，分级原则见表</w:t>
      </w:r>
      <w:r>
        <w:rPr>
          <w:rFonts w:hint="eastAsia"/>
          <w:highlight w:val="none"/>
        </w:rPr>
        <w:t>2-4-15</w:t>
      </w:r>
      <w:r>
        <w:rPr>
          <w:highlight w:val="none"/>
        </w:rPr>
        <w:t>。其中地表水功能敏感性分区和环境敏感目标分级分别见表</w:t>
      </w:r>
      <w:r>
        <w:rPr>
          <w:rFonts w:hint="eastAsia"/>
          <w:highlight w:val="none"/>
        </w:rPr>
        <w:t>2-4-16</w:t>
      </w:r>
      <w:r>
        <w:rPr>
          <w:highlight w:val="none"/>
        </w:rPr>
        <w:t>和表</w:t>
      </w:r>
      <w:r>
        <w:rPr>
          <w:rFonts w:hint="eastAsia"/>
          <w:highlight w:val="none"/>
        </w:rPr>
        <w:t>2-4-1</w:t>
      </w:r>
      <w:r>
        <w:rPr>
          <w:rFonts w:hint="eastAsia"/>
          <w:szCs w:val="22"/>
          <w:highlight w:val="none"/>
        </w:rPr>
        <w:t>7。</w:t>
      </w:r>
    </w:p>
    <w:p w14:paraId="35341DE1">
      <w:pPr>
        <w:pStyle w:val="7"/>
        <w:bidi w:val="0"/>
        <w:rPr>
          <w:highlight w:val="none"/>
        </w:rPr>
      </w:pPr>
      <w:r>
        <w:rPr>
          <w:rFonts w:hint="eastAsia"/>
          <w:highlight w:val="none"/>
        </w:rPr>
        <w:t xml:space="preserve">表2-4-15 </w:t>
      </w:r>
      <w:r>
        <w:rPr>
          <w:highlight w:val="none"/>
        </w:rPr>
        <w:t>地表水环境敏感程度分级</w:t>
      </w:r>
    </w:p>
    <w:tbl>
      <w:tblPr>
        <w:tblStyle w:val="4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2130"/>
        <w:gridCol w:w="2131"/>
        <w:gridCol w:w="2131"/>
      </w:tblGrid>
      <w:tr w14:paraId="542EC8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30" w:type="dxa"/>
            <w:vMerge w:val="restart"/>
            <w:vAlign w:val="center"/>
          </w:tcPr>
          <w:p w14:paraId="031F3EE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环境敏感目标</w:t>
            </w:r>
          </w:p>
        </w:tc>
        <w:tc>
          <w:tcPr>
            <w:tcW w:w="6392" w:type="dxa"/>
            <w:gridSpan w:val="3"/>
            <w:vAlign w:val="center"/>
          </w:tcPr>
          <w:p w14:paraId="21EDF84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地表水功能敏感性</w:t>
            </w:r>
          </w:p>
        </w:tc>
      </w:tr>
      <w:tr w14:paraId="28F24A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30" w:type="dxa"/>
            <w:vMerge w:val="continue"/>
            <w:vAlign w:val="center"/>
          </w:tcPr>
          <w:p w14:paraId="5C05124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p>
        </w:tc>
        <w:tc>
          <w:tcPr>
            <w:tcW w:w="2130" w:type="dxa"/>
            <w:vAlign w:val="center"/>
          </w:tcPr>
          <w:p w14:paraId="032A11C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F1</w:t>
            </w:r>
          </w:p>
        </w:tc>
        <w:tc>
          <w:tcPr>
            <w:tcW w:w="2131" w:type="dxa"/>
            <w:vAlign w:val="center"/>
          </w:tcPr>
          <w:p w14:paraId="3D73AB1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F2</w:t>
            </w:r>
          </w:p>
        </w:tc>
        <w:tc>
          <w:tcPr>
            <w:tcW w:w="2131" w:type="dxa"/>
            <w:vAlign w:val="center"/>
          </w:tcPr>
          <w:p w14:paraId="0403712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F3</w:t>
            </w:r>
          </w:p>
        </w:tc>
      </w:tr>
      <w:tr w14:paraId="56ACFB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30" w:type="dxa"/>
            <w:vAlign w:val="center"/>
          </w:tcPr>
          <w:p w14:paraId="4BA1FBF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S1</w:t>
            </w:r>
          </w:p>
        </w:tc>
        <w:tc>
          <w:tcPr>
            <w:tcW w:w="2130" w:type="dxa"/>
            <w:vAlign w:val="center"/>
          </w:tcPr>
          <w:p w14:paraId="4C33264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E1</w:t>
            </w:r>
          </w:p>
        </w:tc>
        <w:tc>
          <w:tcPr>
            <w:tcW w:w="2131" w:type="dxa"/>
            <w:vAlign w:val="center"/>
          </w:tcPr>
          <w:p w14:paraId="07E626F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E1</w:t>
            </w:r>
          </w:p>
        </w:tc>
        <w:tc>
          <w:tcPr>
            <w:tcW w:w="2131" w:type="dxa"/>
            <w:vAlign w:val="center"/>
          </w:tcPr>
          <w:p w14:paraId="1280AED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E2</w:t>
            </w:r>
          </w:p>
        </w:tc>
      </w:tr>
      <w:tr w14:paraId="35500B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30" w:type="dxa"/>
            <w:vAlign w:val="center"/>
          </w:tcPr>
          <w:p w14:paraId="6D685C9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S2</w:t>
            </w:r>
          </w:p>
        </w:tc>
        <w:tc>
          <w:tcPr>
            <w:tcW w:w="2130" w:type="dxa"/>
            <w:vAlign w:val="center"/>
          </w:tcPr>
          <w:p w14:paraId="3393257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E1</w:t>
            </w:r>
          </w:p>
        </w:tc>
        <w:tc>
          <w:tcPr>
            <w:tcW w:w="2131" w:type="dxa"/>
            <w:vAlign w:val="center"/>
          </w:tcPr>
          <w:p w14:paraId="35DB3A3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E2</w:t>
            </w:r>
          </w:p>
        </w:tc>
        <w:tc>
          <w:tcPr>
            <w:tcW w:w="2131" w:type="dxa"/>
            <w:vAlign w:val="center"/>
          </w:tcPr>
          <w:p w14:paraId="107BFE4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E3</w:t>
            </w:r>
          </w:p>
        </w:tc>
      </w:tr>
      <w:tr w14:paraId="18F1B8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30" w:type="dxa"/>
            <w:vAlign w:val="center"/>
          </w:tcPr>
          <w:p w14:paraId="0A4CDCD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S3</w:t>
            </w:r>
          </w:p>
        </w:tc>
        <w:tc>
          <w:tcPr>
            <w:tcW w:w="2130" w:type="dxa"/>
            <w:vAlign w:val="center"/>
          </w:tcPr>
          <w:p w14:paraId="32E6F12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E1</w:t>
            </w:r>
          </w:p>
        </w:tc>
        <w:tc>
          <w:tcPr>
            <w:tcW w:w="2131" w:type="dxa"/>
            <w:vAlign w:val="center"/>
          </w:tcPr>
          <w:p w14:paraId="64DA357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E2</w:t>
            </w:r>
          </w:p>
        </w:tc>
        <w:tc>
          <w:tcPr>
            <w:tcW w:w="2131" w:type="dxa"/>
            <w:vAlign w:val="center"/>
          </w:tcPr>
          <w:p w14:paraId="3D463F3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E3</w:t>
            </w:r>
          </w:p>
        </w:tc>
      </w:tr>
    </w:tbl>
    <w:p w14:paraId="571A8CF7">
      <w:pPr>
        <w:bidi w:val="0"/>
        <w:rPr>
          <w:highlight w:val="none"/>
        </w:rPr>
      </w:pPr>
      <w:r>
        <w:rPr>
          <w:rFonts w:hint="eastAsia"/>
          <w:highlight w:val="none"/>
        </w:rPr>
        <w:t>本项目属于E3。</w:t>
      </w:r>
    </w:p>
    <w:p w14:paraId="3DF33349">
      <w:pPr>
        <w:pStyle w:val="7"/>
        <w:bidi w:val="0"/>
        <w:rPr>
          <w:highlight w:val="none"/>
        </w:rPr>
      </w:pPr>
      <w:r>
        <w:rPr>
          <w:rFonts w:hint="eastAsia"/>
          <w:highlight w:val="none"/>
        </w:rPr>
        <w:t xml:space="preserve">表2-4-16 </w:t>
      </w:r>
      <w:r>
        <w:rPr>
          <w:highlight w:val="none"/>
        </w:rPr>
        <w:t>地表水功能敏感性分区</w:t>
      </w:r>
    </w:p>
    <w:tbl>
      <w:tblPr>
        <w:tblStyle w:val="4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84"/>
        <w:gridCol w:w="7138"/>
      </w:tblGrid>
      <w:tr w14:paraId="69AE1D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4" w:type="dxa"/>
            <w:vAlign w:val="center"/>
          </w:tcPr>
          <w:p w14:paraId="2FB2CB1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敏感性</w:t>
            </w:r>
          </w:p>
        </w:tc>
        <w:tc>
          <w:tcPr>
            <w:tcW w:w="7138" w:type="dxa"/>
            <w:vAlign w:val="center"/>
          </w:tcPr>
          <w:p w14:paraId="00A5A71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地表水环境敏感特征</w:t>
            </w:r>
          </w:p>
        </w:tc>
      </w:tr>
      <w:tr w14:paraId="31D92F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4" w:type="dxa"/>
            <w:vAlign w:val="center"/>
          </w:tcPr>
          <w:p w14:paraId="027D32E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敏感F1</w:t>
            </w:r>
          </w:p>
        </w:tc>
        <w:tc>
          <w:tcPr>
            <w:tcW w:w="7138" w:type="dxa"/>
            <w:vAlign w:val="center"/>
          </w:tcPr>
          <w:p w14:paraId="1E5AB10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排放点进入地表水水域环境功能为Ⅱ类及以上，或海水水质分类第一类；或以发生事故时，危险物质泄漏到水体的排放点算起，排放进入受纳河流最大流速时，24h流经范围内涉跨国界的</w:t>
            </w:r>
          </w:p>
        </w:tc>
      </w:tr>
      <w:tr w14:paraId="64A2B8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4" w:type="dxa"/>
            <w:vAlign w:val="center"/>
          </w:tcPr>
          <w:p w14:paraId="2189927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较敏感F2</w:t>
            </w:r>
          </w:p>
        </w:tc>
        <w:tc>
          <w:tcPr>
            <w:tcW w:w="7138" w:type="dxa"/>
            <w:vAlign w:val="center"/>
          </w:tcPr>
          <w:p w14:paraId="39FD2A5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排放点进入地表水水域环境功能为Ⅲ类，或海水水质分类第二类；或以发生事故时，危险物质泄漏到水体的排放点算起，排放进入受纳河流最大流速时，24h流经范围内涉跨省界的</w:t>
            </w:r>
          </w:p>
        </w:tc>
      </w:tr>
      <w:tr w14:paraId="753163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4" w:type="dxa"/>
            <w:vAlign w:val="center"/>
          </w:tcPr>
          <w:p w14:paraId="637F65F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低敏感F3</w:t>
            </w:r>
          </w:p>
        </w:tc>
        <w:tc>
          <w:tcPr>
            <w:tcW w:w="7138" w:type="dxa"/>
            <w:vAlign w:val="center"/>
          </w:tcPr>
          <w:p w14:paraId="6BF76ED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上述地区之外的其他地区</w:t>
            </w:r>
          </w:p>
        </w:tc>
      </w:tr>
    </w:tbl>
    <w:p w14:paraId="0B1CCB4E">
      <w:pPr>
        <w:spacing w:line="360" w:lineRule="auto"/>
        <w:ind w:firstLine="480" w:firstLineChars="200"/>
        <w:rPr>
          <w:rFonts w:hAnsiTheme="minorEastAsia" w:eastAsiaTheme="minorEastAsia"/>
          <w:sz w:val="24"/>
          <w:highlight w:val="none"/>
        </w:rPr>
      </w:pPr>
      <w:r>
        <w:rPr>
          <w:rFonts w:hint="eastAsia" w:hAnsiTheme="minorEastAsia" w:eastAsiaTheme="minorEastAsia"/>
          <w:sz w:val="24"/>
          <w:highlight w:val="none"/>
        </w:rPr>
        <w:t>本项目属于F3。</w:t>
      </w:r>
    </w:p>
    <w:p w14:paraId="3392B33D">
      <w:pPr>
        <w:pStyle w:val="7"/>
        <w:bidi w:val="0"/>
        <w:rPr>
          <w:highlight w:val="none"/>
        </w:rPr>
      </w:pPr>
      <w:r>
        <w:rPr>
          <w:rFonts w:hint="eastAsia"/>
          <w:highlight w:val="none"/>
        </w:rPr>
        <w:t>表2-4-17 环境</w:t>
      </w:r>
      <w:r>
        <w:rPr>
          <w:highlight w:val="none"/>
        </w:rPr>
        <w:t>敏感目标分级</w:t>
      </w:r>
    </w:p>
    <w:tbl>
      <w:tblPr>
        <w:tblStyle w:val="4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84"/>
        <w:gridCol w:w="7138"/>
      </w:tblGrid>
      <w:tr w14:paraId="79A707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4" w:type="dxa"/>
            <w:vAlign w:val="center"/>
          </w:tcPr>
          <w:p w14:paraId="5DE2E92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分级</w:t>
            </w:r>
          </w:p>
        </w:tc>
        <w:tc>
          <w:tcPr>
            <w:tcW w:w="7138" w:type="dxa"/>
            <w:vAlign w:val="center"/>
          </w:tcPr>
          <w:p w14:paraId="1EACC66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环境敏感目标</w:t>
            </w:r>
          </w:p>
        </w:tc>
      </w:tr>
      <w:tr w14:paraId="463551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4" w:type="dxa"/>
            <w:vAlign w:val="center"/>
          </w:tcPr>
          <w:p w14:paraId="343138E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S1</w:t>
            </w:r>
          </w:p>
        </w:tc>
        <w:tc>
          <w:tcPr>
            <w:tcW w:w="7138" w:type="dxa"/>
            <w:vAlign w:val="center"/>
          </w:tcPr>
          <w:p w14:paraId="016FAEB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发生事故时，危险物质泄漏到内陆水体的排放点下游（顺水流向）10km范围内、近岸海域一个潮周期水质点可能达到的最大水平距离的两倍范围内，有如下一类或多类环境风险受体：集中式地表水饮用水水源保护区（包括一级保护区、二级保护区及准保护区）；农村及分散式饮用水水源保护区；自然保护区；重要湿地；珍稀濒危野生动植物天然集中分布区；重要水生生物的自然产卵场及索饵场、越冬场和洄游通道；世界文化和自然遗产地；红树林、珊瑚礁等滨海湿地生态系统；珍稀、濒危海洋生物的天然集中分布区；海洋特别保护区；海上自然保护区；盐场保护区；海水浴场；海洋自然历史遗迹；风景名胜区；或其他特殊重要保护区域</w:t>
            </w:r>
          </w:p>
        </w:tc>
      </w:tr>
      <w:tr w14:paraId="673BA5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4" w:type="dxa"/>
            <w:vAlign w:val="center"/>
          </w:tcPr>
          <w:p w14:paraId="6462357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S2</w:t>
            </w:r>
          </w:p>
        </w:tc>
        <w:tc>
          <w:tcPr>
            <w:tcW w:w="7138" w:type="dxa"/>
            <w:vAlign w:val="center"/>
          </w:tcPr>
          <w:p w14:paraId="3CD854B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发生事故时，危险物质泄漏到内陆水体的排放点下游（顺水流向） 10 km 范围内、近岸海域一个潮周期水质点可能达到的最大水平距离的两倍范围内，有如下一类或多类环境风险受体的：水产养殖区；天然渔场；森林公园；地质公园；海滨风景游览区；具有重要经济价值的海洋生物生存区域</w:t>
            </w:r>
          </w:p>
        </w:tc>
      </w:tr>
      <w:tr w14:paraId="4ABAD3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4" w:type="dxa"/>
            <w:vAlign w:val="center"/>
          </w:tcPr>
          <w:p w14:paraId="5031A36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S3</w:t>
            </w:r>
          </w:p>
        </w:tc>
        <w:tc>
          <w:tcPr>
            <w:tcW w:w="7138" w:type="dxa"/>
            <w:vAlign w:val="center"/>
          </w:tcPr>
          <w:p w14:paraId="08A48A8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排放点下游（顺水流向）10km范围、近岸海域一个潮周期水质点可能达到的最大水平距离的两倍范围内无上述类型1和类型2包括的敏感保护目标</w:t>
            </w:r>
          </w:p>
        </w:tc>
      </w:tr>
    </w:tbl>
    <w:p w14:paraId="29B80E2A">
      <w:pPr>
        <w:bidi w:val="0"/>
        <w:rPr>
          <w:highlight w:val="none"/>
        </w:rPr>
      </w:pPr>
      <w:r>
        <w:rPr>
          <w:rFonts w:hint="eastAsia"/>
          <w:highlight w:val="none"/>
        </w:rPr>
        <w:t>本项目属于S3。</w:t>
      </w:r>
    </w:p>
    <w:p w14:paraId="55F1D793">
      <w:pPr>
        <w:bidi w:val="0"/>
        <w:rPr>
          <w:rFonts w:hAnsiTheme="minorEastAsia" w:eastAsiaTheme="minorEastAsia"/>
          <w:highlight w:val="none"/>
        </w:rPr>
      </w:pPr>
      <w:r>
        <w:rPr>
          <w:rFonts w:hint="default"/>
          <w:highlight w:val="none"/>
        </w:rPr>
        <w:t>③</w:t>
      </w:r>
      <w:r>
        <w:rPr>
          <w:rFonts w:hint="eastAsia"/>
          <w:highlight w:val="none"/>
        </w:rPr>
        <w:t>地下水环境：</w:t>
      </w:r>
      <w:r>
        <w:rPr>
          <w:highlight w:val="none"/>
        </w:rPr>
        <w:t>依据地下水功能敏感性与包气带防污性能，共分为三种类型，E1为环境高度敏感区，E2为环境中度敏感区，E3为环境低度敏感区，分级原则见表</w:t>
      </w:r>
      <w:r>
        <w:rPr>
          <w:rFonts w:hint="eastAsia"/>
          <w:highlight w:val="none"/>
        </w:rPr>
        <w:t>2-4-18</w:t>
      </w:r>
      <w:r>
        <w:rPr>
          <w:highlight w:val="none"/>
        </w:rPr>
        <w:t>。其中地下水功能敏感性分区和包气带防污性能分级分别见表</w:t>
      </w:r>
      <w:r>
        <w:rPr>
          <w:rFonts w:hint="eastAsia"/>
          <w:highlight w:val="none"/>
        </w:rPr>
        <w:t>2-4-19</w:t>
      </w:r>
      <w:r>
        <w:rPr>
          <w:highlight w:val="none"/>
        </w:rPr>
        <w:t>和表</w:t>
      </w:r>
      <w:r>
        <w:rPr>
          <w:rFonts w:hint="eastAsia"/>
          <w:highlight w:val="none"/>
        </w:rPr>
        <w:t>2-4-20</w:t>
      </w:r>
      <w:r>
        <w:rPr>
          <w:highlight w:val="none"/>
        </w:rPr>
        <w:t>。</w:t>
      </w:r>
      <w:r>
        <w:rPr>
          <w:rFonts w:hAnsiTheme="minorEastAsia" w:eastAsiaTheme="minorEastAsia"/>
          <w:highlight w:val="none"/>
        </w:rPr>
        <w:t>当同一建设项目涉及两个G分区或D分级及以上时，取相对高值。</w:t>
      </w:r>
    </w:p>
    <w:p w14:paraId="52D1110C">
      <w:pPr>
        <w:pStyle w:val="7"/>
        <w:bidi w:val="0"/>
        <w:rPr>
          <w:highlight w:val="none"/>
        </w:rPr>
      </w:pPr>
      <w:r>
        <w:rPr>
          <w:rFonts w:hint="eastAsia"/>
          <w:highlight w:val="none"/>
        </w:rPr>
        <w:t xml:space="preserve">表2-4-18 </w:t>
      </w:r>
      <w:r>
        <w:rPr>
          <w:highlight w:val="none"/>
        </w:rPr>
        <w:t>地</w:t>
      </w:r>
      <w:r>
        <w:rPr>
          <w:rFonts w:hint="eastAsia"/>
          <w:highlight w:val="none"/>
        </w:rPr>
        <w:t>下</w:t>
      </w:r>
      <w:r>
        <w:rPr>
          <w:highlight w:val="none"/>
        </w:rPr>
        <w:t>水环境敏感程度分级</w:t>
      </w:r>
    </w:p>
    <w:tbl>
      <w:tblPr>
        <w:tblStyle w:val="46"/>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2130"/>
        <w:gridCol w:w="2131"/>
        <w:gridCol w:w="2131"/>
      </w:tblGrid>
      <w:tr w14:paraId="477165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30" w:type="dxa"/>
            <w:vMerge w:val="restart"/>
            <w:vAlign w:val="center"/>
          </w:tcPr>
          <w:p w14:paraId="1A717A3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环境敏感目标</w:t>
            </w:r>
          </w:p>
        </w:tc>
        <w:tc>
          <w:tcPr>
            <w:tcW w:w="6392" w:type="dxa"/>
            <w:gridSpan w:val="3"/>
            <w:vAlign w:val="center"/>
          </w:tcPr>
          <w:p w14:paraId="2571441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地</w:t>
            </w:r>
            <w:r>
              <w:rPr>
                <w:rFonts w:hint="eastAsia" w:ascii="Times New Roman" w:hAnsi="Times New Roman" w:cs="Times New Roman" w:eastAsiaTheme="minorEastAsia"/>
                <w:kern w:val="0"/>
                <w:sz w:val="21"/>
                <w:szCs w:val="21"/>
                <w:highlight w:val="none"/>
              </w:rPr>
              <w:t>下</w:t>
            </w:r>
            <w:r>
              <w:rPr>
                <w:rFonts w:hint="default" w:ascii="Times New Roman" w:hAnsi="Times New Roman" w:cs="Times New Roman" w:eastAsiaTheme="minorEastAsia"/>
                <w:kern w:val="0"/>
                <w:sz w:val="21"/>
                <w:szCs w:val="21"/>
                <w:highlight w:val="none"/>
              </w:rPr>
              <w:t>水功能敏感性</w:t>
            </w:r>
          </w:p>
        </w:tc>
      </w:tr>
      <w:tr w14:paraId="14BB45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30" w:type="dxa"/>
            <w:vMerge w:val="continue"/>
            <w:vAlign w:val="center"/>
          </w:tcPr>
          <w:p w14:paraId="6A559B1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p>
        </w:tc>
        <w:tc>
          <w:tcPr>
            <w:tcW w:w="2130" w:type="dxa"/>
            <w:vAlign w:val="center"/>
          </w:tcPr>
          <w:p w14:paraId="7A629B2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G</w:t>
            </w:r>
            <w:r>
              <w:rPr>
                <w:rFonts w:hint="default" w:ascii="Times New Roman" w:hAnsi="Times New Roman" w:cs="Times New Roman" w:eastAsiaTheme="minorEastAsia"/>
                <w:kern w:val="0"/>
                <w:sz w:val="21"/>
                <w:szCs w:val="21"/>
                <w:highlight w:val="none"/>
              </w:rPr>
              <w:t>1</w:t>
            </w:r>
          </w:p>
        </w:tc>
        <w:tc>
          <w:tcPr>
            <w:tcW w:w="2131" w:type="dxa"/>
            <w:vAlign w:val="center"/>
          </w:tcPr>
          <w:p w14:paraId="06BE9AE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G</w:t>
            </w:r>
            <w:r>
              <w:rPr>
                <w:rFonts w:hint="default" w:ascii="Times New Roman" w:hAnsi="Times New Roman" w:cs="Times New Roman" w:eastAsiaTheme="minorEastAsia"/>
                <w:kern w:val="0"/>
                <w:sz w:val="21"/>
                <w:szCs w:val="21"/>
                <w:highlight w:val="none"/>
              </w:rPr>
              <w:t>2</w:t>
            </w:r>
          </w:p>
        </w:tc>
        <w:tc>
          <w:tcPr>
            <w:tcW w:w="2131" w:type="dxa"/>
            <w:vAlign w:val="center"/>
          </w:tcPr>
          <w:p w14:paraId="53A9E27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G</w:t>
            </w:r>
            <w:r>
              <w:rPr>
                <w:rFonts w:hint="default" w:ascii="Times New Roman" w:hAnsi="Times New Roman" w:cs="Times New Roman" w:eastAsiaTheme="minorEastAsia"/>
                <w:kern w:val="0"/>
                <w:sz w:val="21"/>
                <w:szCs w:val="21"/>
                <w:highlight w:val="none"/>
              </w:rPr>
              <w:t>3</w:t>
            </w:r>
          </w:p>
        </w:tc>
      </w:tr>
      <w:tr w14:paraId="202E88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30" w:type="dxa"/>
            <w:vAlign w:val="center"/>
          </w:tcPr>
          <w:p w14:paraId="45C5215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D1</w:t>
            </w:r>
          </w:p>
        </w:tc>
        <w:tc>
          <w:tcPr>
            <w:tcW w:w="2130" w:type="dxa"/>
            <w:vAlign w:val="center"/>
          </w:tcPr>
          <w:p w14:paraId="010B1FE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E1</w:t>
            </w:r>
          </w:p>
        </w:tc>
        <w:tc>
          <w:tcPr>
            <w:tcW w:w="2131" w:type="dxa"/>
            <w:vAlign w:val="center"/>
          </w:tcPr>
          <w:p w14:paraId="7DB84BE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E1</w:t>
            </w:r>
          </w:p>
        </w:tc>
        <w:tc>
          <w:tcPr>
            <w:tcW w:w="2131" w:type="dxa"/>
            <w:vAlign w:val="center"/>
          </w:tcPr>
          <w:p w14:paraId="0EB9B61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E2</w:t>
            </w:r>
          </w:p>
        </w:tc>
      </w:tr>
      <w:tr w14:paraId="084122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30" w:type="dxa"/>
            <w:vAlign w:val="center"/>
          </w:tcPr>
          <w:p w14:paraId="1C507DD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D2</w:t>
            </w:r>
          </w:p>
        </w:tc>
        <w:tc>
          <w:tcPr>
            <w:tcW w:w="2130" w:type="dxa"/>
            <w:vAlign w:val="center"/>
          </w:tcPr>
          <w:p w14:paraId="75CB749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E1</w:t>
            </w:r>
          </w:p>
        </w:tc>
        <w:tc>
          <w:tcPr>
            <w:tcW w:w="2131" w:type="dxa"/>
            <w:vAlign w:val="center"/>
          </w:tcPr>
          <w:p w14:paraId="2E29D3D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E2</w:t>
            </w:r>
          </w:p>
        </w:tc>
        <w:tc>
          <w:tcPr>
            <w:tcW w:w="2131" w:type="dxa"/>
            <w:vAlign w:val="center"/>
          </w:tcPr>
          <w:p w14:paraId="73BF49B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E3</w:t>
            </w:r>
          </w:p>
        </w:tc>
      </w:tr>
      <w:tr w14:paraId="5CE23F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30" w:type="dxa"/>
            <w:vAlign w:val="center"/>
          </w:tcPr>
          <w:p w14:paraId="56FEDB6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D3</w:t>
            </w:r>
          </w:p>
        </w:tc>
        <w:tc>
          <w:tcPr>
            <w:tcW w:w="2130" w:type="dxa"/>
            <w:vAlign w:val="center"/>
          </w:tcPr>
          <w:p w14:paraId="25897A7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E1</w:t>
            </w:r>
          </w:p>
        </w:tc>
        <w:tc>
          <w:tcPr>
            <w:tcW w:w="2131" w:type="dxa"/>
            <w:vAlign w:val="center"/>
          </w:tcPr>
          <w:p w14:paraId="40510AD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E2</w:t>
            </w:r>
          </w:p>
        </w:tc>
        <w:tc>
          <w:tcPr>
            <w:tcW w:w="2131" w:type="dxa"/>
            <w:vAlign w:val="center"/>
          </w:tcPr>
          <w:p w14:paraId="4FB1D59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E3</w:t>
            </w:r>
          </w:p>
        </w:tc>
      </w:tr>
    </w:tbl>
    <w:p w14:paraId="44B962CB">
      <w:pPr>
        <w:widowControl/>
        <w:spacing w:line="360" w:lineRule="auto"/>
        <w:ind w:firstLine="480" w:firstLineChars="200"/>
        <w:contextualSpacing/>
        <w:rPr>
          <w:rFonts w:hAnsiTheme="minorEastAsia" w:eastAsiaTheme="minorEastAsia"/>
          <w:kern w:val="0"/>
          <w:sz w:val="24"/>
          <w:highlight w:val="none"/>
        </w:rPr>
      </w:pPr>
      <w:r>
        <w:rPr>
          <w:rFonts w:hint="eastAsia" w:hAnsiTheme="minorEastAsia" w:eastAsiaTheme="minorEastAsia"/>
          <w:kern w:val="0"/>
          <w:sz w:val="24"/>
          <w:highlight w:val="none"/>
        </w:rPr>
        <w:t>本项目属于E1。</w:t>
      </w:r>
    </w:p>
    <w:p w14:paraId="1F978FDB">
      <w:pPr>
        <w:pStyle w:val="7"/>
        <w:bidi w:val="0"/>
        <w:rPr>
          <w:highlight w:val="none"/>
        </w:rPr>
      </w:pPr>
      <w:r>
        <w:rPr>
          <w:rFonts w:hint="eastAsia"/>
          <w:highlight w:val="none"/>
        </w:rPr>
        <w:t xml:space="preserve">表2-4-19 </w:t>
      </w:r>
      <w:r>
        <w:rPr>
          <w:highlight w:val="none"/>
        </w:rPr>
        <w:t>地表水功能敏感性分区</w:t>
      </w:r>
    </w:p>
    <w:tbl>
      <w:tblPr>
        <w:tblStyle w:val="46"/>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84"/>
        <w:gridCol w:w="7138"/>
      </w:tblGrid>
      <w:tr w14:paraId="7667AF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4" w:type="dxa"/>
            <w:vAlign w:val="center"/>
          </w:tcPr>
          <w:p w14:paraId="22C3C31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敏感性</w:t>
            </w:r>
          </w:p>
        </w:tc>
        <w:tc>
          <w:tcPr>
            <w:tcW w:w="7138" w:type="dxa"/>
            <w:vAlign w:val="center"/>
          </w:tcPr>
          <w:p w14:paraId="2E38B55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地下水环境敏感特征</w:t>
            </w:r>
          </w:p>
        </w:tc>
      </w:tr>
      <w:tr w14:paraId="552300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4" w:type="dxa"/>
            <w:vAlign w:val="center"/>
          </w:tcPr>
          <w:p w14:paraId="1CC8F94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敏感G1</w:t>
            </w:r>
          </w:p>
        </w:tc>
        <w:tc>
          <w:tcPr>
            <w:tcW w:w="7138" w:type="dxa"/>
            <w:vAlign w:val="center"/>
          </w:tcPr>
          <w:p w14:paraId="3D37527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集中式饮用水水源（包括已建成的在用、备用、应急水源，在建和规划的饮用水水源）准保护区；除集中式饮用水水源以外的国家或地方政府设定的与地下水环境相关的其他保护区，如热水、矿泉水、温泉等特殊地下水资源保护区</w:t>
            </w:r>
          </w:p>
        </w:tc>
      </w:tr>
      <w:tr w14:paraId="7FDE67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4" w:type="dxa"/>
            <w:vAlign w:val="center"/>
          </w:tcPr>
          <w:p w14:paraId="68F588C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较敏感G2</w:t>
            </w:r>
          </w:p>
        </w:tc>
        <w:tc>
          <w:tcPr>
            <w:tcW w:w="7138" w:type="dxa"/>
            <w:vAlign w:val="center"/>
          </w:tcPr>
          <w:p w14:paraId="6AAF71E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集中式饮用水水源（包括已建成的在用、备用、应急水源，在建和规划的饮用水水源）准保护区以外的补给径流区；未划定准保护区的集中式饮用水水源，其保护区以外的补给径流区；分散式饮用水水源地；特殊地下水资源（如热水、矿泉水、温泉等）保护区以外的分布区等其他未列入上述敏感分级的环境敏感区a</w:t>
            </w:r>
          </w:p>
        </w:tc>
      </w:tr>
      <w:tr w14:paraId="5463EB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4" w:type="dxa"/>
            <w:vAlign w:val="center"/>
          </w:tcPr>
          <w:p w14:paraId="7D6942F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低敏感G3</w:t>
            </w:r>
          </w:p>
        </w:tc>
        <w:tc>
          <w:tcPr>
            <w:tcW w:w="7138" w:type="dxa"/>
            <w:vAlign w:val="center"/>
          </w:tcPr>
          <w:p w14:paraId="58B60F3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上述地区之外的其他地区</w:t>
            </w:r>
          </w:p>
        </w:tc>
      </w:tr>
      <w:tr w14:paraId="77406A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22" w:type="dxa"/>
            <w:gridSpan w:val="2"/>
            <w:vAlign w:val="center"/>
          </w:tcPr>
          <w:p w14:paraId="6492908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a“环境敏感区”是指《建设项目环境影响评价分类管理名录》中所界定的涉及地下水的环境敏感区</w:t>
            </w:r>
          </w:p>
        </w:tc>
      </w:tr>
    </w:tbl>
    <w:p w14:paraId="5BF0DD09">
      <w:pPr>
        <w:spacing w:line="360" w:lineRule="auto"/>
        <w:ind w:firstLine="480" w:firstLineChars="200"/>
        <w:rPr>
          <w:rFonts w:hAnsiTheme="minorEastAsia" w:eastAsiaTheme="minorEastAsia"/>
          <w:sz w:val="24"/>
          <w:highlight w:val="none"/>
        </w:rPr>
      </w:pPr>
      <w:r>
        <w:rPr>
          <w:rFonts w:hint="eastAsia" w:hAnsiTheme="minorEastAsia" w:eastAsiaTheme="minorEastAsia"/>
          <w:sz w:val="24"/>
          <w:highlight w:val="none"/>
        </w:rPr>
        <w:t>本项目属于G2。</w:t>
      </w:r>
    </w:p>
    <w:p w14:paraId="535DD470">
      <w:pPr>
        <w:pStyle w:val="7"/>
        <w:bidi w:val="0"/>
        <w:rPr>
          <w:highlight w:val="none"/>
        </w:rPr>
      </w:pPr>
      <w:r>
        <w:rPr>
          <w:rFonts w:hint="eastAsia"/>
          <w:highlight w:val="none"/>
        </w:rPr>
        <w:t>表2-4-20 包气带防污性能分级</w:t>
      </w:r>
    </w:p>
    <w:tbl>
      <w:tblPr>
        <w:tblStyle w:val="46"/>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84"/>
        <w:gridCol w:w="7138"/>
      </w:tblGrid>
      <w:tr w14:paraId="49DD1C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4" w:type="dxa"/>
            <w:vAlign w:val="center"/>
          </w:tcPr>
          <w:p w14:paraId="0C10731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kern w:val="0"/>
                <w:sz w:val="21"/>
                <w:szCs w:val="21"/>
                <w:highlight w:val="none"/>
              </w:rPr>
            </w:pPr>
            <w:r>
              <w:rPr>
                <w:rStyle w:val="83"/>
                <w:rFonts w:hint="default" w:ascii="Times New Roman"/>
                <w:color w:val="auto"/>
                <w:kern w:val="0"/>
                <w:sz w:val="21"/>
                <w:szCs w:val="21"/>
                <w:highlight w:val="none"/>
              </w:rPr>
              <w:t>分级</w:t>
            </w:r>
          </w:p>
        </w:tc>
        <w:tc>
          <w:tcPr>
            <w:tcW w:w="7138" w:type="dxa"/>
            <w:vAlign w:val="center"/>
          </w:tcPr>
          <w:p w14:paraId="4E7EFFE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kern w:val="0"/>
                <w:sz w:val="21"/>
                <w:szCs w:val="21"/>
                <w:highlight w:val="none"/>
              </w:rPr>
            </w:pPr>
            <w:r>
              <w:rPr>
                <w:rStyle w:val="83"/>
                <w:rFonts w:hint="default" w:ascii="Times New Roman"/>
                <w:color w:val="auto"/>
                <w:kern w:val="0"/>
                <w:sz w:val="21"/>
                <w:szCs w:val="21"/>
                <w:highlight w:val="none"/>
              </w:rPr>
              <w:t>包气带岩土的渗透性能</w:t>
            </w:r>
          </w:p>
        </w:tc>
      </w:tr>
      <w:tr w14:paraId="223B50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4" w:type="dxa"/>
            <w:vAlign w:val="center"/>
          </w:tcPr>
          <w:p w14:paraId="1AC54B7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kern w:val="0"/>
                <w:sz w:val="21"/>
                <w:szCs w:val="21"/>
                <w:highlight w:val="none"/>
              </w:rPr>
            </w:pPr>
            <w:r>
              <w:rPr>
                <w:rStyle w:val="83"/>
                <w:rFonts w:hint="default" w:ascii="Times New Roman" w:hAnsi="Times New Roman"/>
                <w:color w:val="auto"/>
                <w:kern w:val="0"/>
                <w:sz w:val="21"/>
                <w:szCs w:val="21"/>
                <w:highlight w:val="none"/>
              </w:rPr>
              <w:t>D3</w:t>
            </w:r>
          </w:p>
        </w:tc>
        <w:tc>
          <w:tcPr>
            <w:tcW w:w="7138" w:type="dxa"/>
            <w:vAlign w:val="center"/>
          </w:tcPr>
          <w:p w14:paraId="48B1DF5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kern w:val="0"/>
                <w:sz w:val="21"/>
                <w:szCs w:val="21"/>
                <w:highlight w:val="none"/>
              </w:rPr>
            </w:pPr>
            <w:r>
              <w:rPr>
                <w:rStyle w:val="83"/>
                <w:rFonts w:hint="default" w:ascii="Times New Roman" w:hAnsi="Times New Roman"/>
                <w:color w:val="auto"/>
                <w:kern w:val="0"/>
                <w:sz w:val="21"/>
                <w:szCs w:val="21"/>
                <w:highlight w:val="none"/>
              </w:rPr>
              <w:t>Mb</w:t>
            </w:r>
            <w:r>
              <w:rPr>
                <w:rStyle w:val="559"/>
                <w:color w:val="auto"/>
                <w:kern w:val="0"/>
                <w:sz w:val="21"/>
                <w:szCs w:val="21"/>
                <w:highlight w:val="none"/>
              </w:rPr>
              <w:t>≥</w:t>
            </w:r>
            <w:r>
              <w:rPr>
                <w:rStyle w:val="83"/>
                <w:rFonts w:hint="default" w:ascii="Times New Roman" w:hAnsi="Times New Roman"/>
                <w:color w:val="auto"/>
                <w:kern w:val="0"/>
                <w:sz w:val="21"/>
                <w:szCs w:val="21"/>
                <w:highlight w:val="none"/>
              </w:rPr>
              <w:t>1.0m</w:t>
            </w:r>
            <w:r>
              <w:rPr>
                <w:rStyle w:val="559"/>
                <w:color w:val="auto"/>
                <w:kern w:val="0"/>
                <w:sz w:val="21"/>
                <w:szCs w:val="21"/>
                <w:highlight w:val="none"/>
              </w:rPr>
              <w:t>，</w:t>
            </w:r>
            <w:r>
              <w:rPr>
                <w:rStyle w:val="566"/>
                <w:rFonts w:ascii="Times New Roman" w:hAnsi="Times New Roman"/>
                <w:i w:val="0"/>
                <w:color w:val="auto"/>
                <w:kern w:val="0"/>
                <w:sz w:val="21"/>
                <w:szCs w:val="21"/>
                <w:highlight w:val="none"/>
              </w:rPr>
              <w:t>K</w:t>
            </w:r>
            <w:r>
              <w:rPr>
                <w:rStyle w:val="559"/>
                <w:color w:val="auto"/>
                <w:kern w:val="0"/>
                <w:sz w:val="21"/>
                <w:szCs w:val="21"/>
                <w:highlight w:val="none"/>
              </w:rPr>
              <w:t>≤</w:t>
            </w:r>
            <w:r>
              <w:rPr>
                <w:rStyle w:val="83"/>
                <w:rFonts w:hint="default" w:ascii="Times New Roman" w:hAnsi="Times New Roman"/>
                <w:color w:val="auto"/>
                <w:kern w:val="0"/>
                <w:sz w:val="21"/>
                <w:szCs w:val="21"/>
                <w:highlight w:val="none"/>
              </w:rPr>
              <w:t>1.0×10</w:t>
            </w:r>
            <w:r>
              <w:rPr>
                <w:rStyle w:val="83"/>
                <w:rFonts w:hint="default" w:ascii="Times New Roman" w:hAnsi="Times New Roman"/>
                <w:color w:val="auto"/>
                <w:kern w:val="0"/>
                <w:sz w:val="21"/>
                <w:szCs w:val="21"/>
                <w:highlight w:val="none"/>
                <w:vertAlign w:val="superscript"/>
              </w:rPr>
              <w:t>-6</w:t>
            </w:r>
            <w:r>
              <w:rPr>
                <w:rStyle w:val="83"/>
                <w:rFonts w:hint="default" w:ascii="Times New Roman" w:hAnsi="Times New Roman"/>
                <w:color w:val="auto"/>
                <w:kern w:val="0"/>
                <w:sz w:val="21"/>
                <w:szCs w:val="21"/>
                <w:highlight w:val="none"/>
              </w:rPr>
              <w:t>cm/s</w:t>
            </w:r>
            <w:r>
              <w:rPr>
                <w:rStyle w:val="559"/>
                <w:color w:val="auto"/>
                <w:kern w:val="0"/>
                <w:sz w:val="21"/>
                <w:szCs w:val="21"/>
                <w:highlight w:val="none"/>
              </w:rPr>
              <w:t>，且分布连续、稳定</w:t>
            </w:r>
          </w:p>
        </w:tc>
      </w:tr>
      <w:tr w14:paraId="3E8465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4" w:type="dxa"/>
            <w:vAlign w:val="center"/>
          </w:tcPr>
          <w:p w14:paraId="33AC93A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kern w:val="0"/>
                <w:sz w:val="21"/>
                <w:szCs w:val="21"/>
                <w:highlight w:val="none"/>
              </w:rPr>
            </w:pPr>
            <w:r>
              <w:rPr>
                <w:rStyle w:val="83"/>
                <w:rFonts w:hint="default" w:ascii="Times New Roman" w:hAnsi="Times New Roman"/>
                <w:color w:val="auto"/>
                <w:kern w:val="0"/>
                <w:sz w:val="21"/>
                <w:szCs w:val="21"/>
                <w:highlight w:val="none"/>
              </w:rPr>
              <w:t>D2</w:t>
            </w:r>
          </w:p>
        </w:tc>
        <w:tc>
          <w:tcPr>
            <w:tcW w:w="7138" w:type="dxa"/>
            <w:vAlign w:val="center"/>
          </w:tcPr>
          <w:p w14:paraId="59DEADA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kern w:val="0"/>
                <w:sz w:val="21"/>
                <w:szCs w:val="21"/>
                <w:highlight w:val="none"/>
              </w:rPr>
            </w:pPr>
            <w:r>
              <w:rPr>
                <w:rStyle w:val="83"/>
                <w:rFonts w:hint="default" w:ascii="Times New Roman" w:hAnsi="Times New Roman"/>
                <w:color w:val="auto"/>
                <w:kern w:val="0"/>
                <w:sz w:val="21"/>
                <w:szCs w:val="21"/>
                <w:highlight w:val="none"/>
              </w:rPr>
              <w:t>0.5m</w:t>
            </w:r>
            <w:r>
              <w:rPr>
                <w:rStyle w:val="559"/>
                <w:color w:val="auto"/>
                <w:kern w:val="0"/>
                <w:sz w:val="21"/>
                <w:szCs w:val="21"/>
                <w:highlight w:val="none"/>
              </w:rPr>
              <w:t>≤</w:t>
            </w:r>
            <w:r>
              <w:rPr>
                <w:rStyle w:val="83"/>
                <w:rFonts w:hint="default" w:ascii="Times New Roman" w:hAnsi="Times New Roman"/>
                <w:color w:val="auto"/>
                <w:kern w:val="0"/>
                <w:sz w:val="21"/>
                <w:szCs w:val="21"/>
                <w:highlight w:val="none"/>
              </w:rPr>
              <w:t>Mb&lt;1.0m</w:t>
            </w:r>
            <w:r>
              <w:rPr>
                <w:rStyle w:val="559"/>
                <w:color w:val="auto"/>
                <w:kern w:val="0"/>
                <w:sz w:val="21"/>
                <w:szCs w:val="21"/>
                <w:highlight w:val="none"/>
              </w:rPr>
              <w:t>，</w:t>
            </w:r>
            <w:r>
              <w:rPr>
                <w:rStyle w:val="566"/>
                <w:rFonts w:ascii="Times New Roman" w:hAnsi="Times New Roman"/>
                <w:i w:val="0"/>
                <w:color w:val="auto"/>
                <w:kern w:val="0"/>
                <w:sz w:val="21"/>
                <w:szCs w:val="21"/>
                <w:highlight w:val="none"/>
              </w:rPr>
              <w:t>K</w:t>
            </w:r>
            <w:r>
              <w:rPr>
                <w:rStyle w:val="559"/>
                <w:color w:val="auto"/>
                <w:kern w:val="0"/>
                <w:sz w:val="21"/>
                <w:szCs w:val="21"/>
                <w:highlight w:val="none"/>
              </w:rPr>
              <w:t>≤</w:t>
            </w:r>
            <w:r>
              <w:rPr>
                <w:rStyle w:val="83"/>
                <w:rFonts w:hint="default" w:ascii="Times New Roman" w:hAnsi="Times New Roman"/>
                <w:color w:val="auto"/>
                <w:kern w:val="0"/>
                <w:sz w:val="21"/>
                <w:szCs w:val="21"/>
                <w:highlight w:val="none"/>
              </w:rPr>
              <w:t>1.0×10</w:t>
            </w:r>
            <w:r>
              <w:rPr>
                <w:rStyle w:val="83"/>
                <w:rFonts w:hint="default" w:ascii="Times New Roman" w:hAnsi="Times New Roman"/>
                <w:color w:val="auto"/>
                <w:kern w:val="0"/>
                <w:sz w:val="21"/>
                <w:szCs w:val="21"/>
                <w:highlight w:val="none"/>
                <w:vertAlign w:val="superscript"/>
              </w:rPr>
              <w:t>-6</w:t>
            </w:r>
            <w:r>
              <w:rPr>
                <w:rStyle w:val="83"/>
                <w:rFonts w:hint="default" w:ascii="Times New Roman" w:hAnsi="Times New Roman"/>
                <w:color w:val="auto"/>
                <w:kern w:val="0"/>
                <w:sz w:val="21"/>
                <w:szCs w:val="21"/>
                <w:highlight w:val="none"/>
              </w:rPr>
              <w:t>cm/s</w:t>
            </w:r>
            <w:r>
              <w:rPr>
                <w:rStyle w:val="559"/>
                <w:color w:val="auto"/>
                <w:kern w:val="0"/>
                <w:sz w:val="21"/>
                <w:szCs w:val="21"/>
                <w:highlight w:val="none"/>
              </w:rPr>
              <w:t>，且分布连续、稳定</w:t>
            </w:r>
            <w:r>
              <w:rPr>
                <w:rFonts w:hint="default"/>
                <w:kern w:val="0"/>
                <w:sz w:val="21"/>
                <w:szCs w:val="21"/>
                <w:highlight w:val="none"/>
              </w:rPr>
              <w:br w:type="textWrapping"/>
            </w:r>
            <w:r>
              <w:rPr>
                <w:rStyle w:val="83"/>
                <w:rFonts w:hint="default" w:ascii="Times New Roman" w:hAnsi="Times New Roman"/>
                <w:color w:val="auto"/>
                <w:kern w:val="0"/>
                <w:sz w:val="21"/>
                <w:szCs w:val="21"/>
                <w:highlight w:val="none"/>
              </w:rPr>
              <w:t>Mb</w:t>
            </w:r>
            <w:r>
              <w:rPr>
                <w:rStyle w:val="559"/>
                <w:color w:val="auto"/>
                <w:kern w:val="0"/>
                <w:sz w:val="21"/>
                <w:szCs w:val="21"/>
                <w:highlight w:val="none"/>
              </w:rPr>
              <w:t>≥</w:t>
            </w:r>
            <w:r>
              <w:rPr>
                <w:rStyle w:val="83"/>
                <w:rFonts w:hint="default" w:ascii="Times New Roman" w:hAnsi="Times New Roman"/>
                <w:color w:val="auto"/>
                <w:kern w:val="0"/>
                <w:sz w:val="21"/>
                <w:szCs w:val="21"/>
                <w:highlight w:val="none"/>
              </w:rPr>
              <w:t>1.0m</w:t>
            </w:r>
            <w:r>
              <w:rPr>
                <w:rStyle w:val="559"/>
                <w:color w:val="auto"/>
                <w:kern w:val="0"/>
                <w:sz w:val="21"/>
                <w:szCs w:val="21"/>
                <w:highlight w:val="none"/>
              </w:rPr>
              <w:t>，</w:t>
            </w:r>
            <w:r>
              <w:rPr>
                <w:rStyle w:val="83"/>
                <w:rFonts w:hint="default" w:ascii="Times New Roman" w:hAnsi="Times New Roman"/>
                <w:color w:val="auto"/>
                <w:kern w:val="0"/>
                <w:sz w:val="21"/>
                <w:szCs w:val="21"/>
                <w:highlight w:val="none"/>
              </w:rPr>
              <w:t>1.0×10</w:t>
            </w:r>
            <w:r>
              <w:rPr>
                <w:rStyle w:val="83"/>
                <w:rFonts w:hint="default" w:ascii="Times New Roman" w:hAnsi="Times New Roman"/>
                <w:color w:val="auto"/>
                <w:kern w:val="0"/>
                <w:sz w:val="21"/>
                <w:szCs w:val="21"/>
                <w:highlight w:val="none"/>
                <w:vertAlign w:val="superscript"/>
              </w:rPr>
              <w:t>-6</w:t>
            </w:r>
            <w:r>
              <w:rPr>
                <w:rStyle w:val="83"/>
                <w:rFonts w:hint="default" w:ascii="Times New Roman" w:hAnsi="Times New Roman"/>
                <w:color w:val="auto"/>
                <w:kern w:val="0"/>
                <w:sz w:val="21"/>
                <w:szCs w:val="21"/>
                <w:highlight w:val="none"/>
              </w:rPr>
              <w:t>cm/s</w:t>
            </w:r>
            <w:r>
              <w:rPr>
                <w:rStyle w:val="559"/>
                <w:color w:val="auto"/>
                <w:kern w:val="0"/>
                <w:sz w:val="21"/>
                <w:szCs w:val="21"/>
                <w:highlight w:val="none"/>
              </w:rPr>
              <w:t>＜</w:t>
            </w:r>
            <w:r>
              <w:rPr>
                <w:rStyle w:val="566"/>
                <w:rFonts w:ascii="Times New Roman" w:hAnsi="Times New Roman"/>
                <w:i w:val="0"/>
                <w:color w:val="auto"/>
                <w:kern w:val="0"/>
                <w:sz w:val="21"/>
                <w:szCs w:val="21"/>
                <w:highlight w:val="none"/>
              </w:rPr>
              <w:t>K</w:t>
            </w:r>
            <w:r>
              <w:rPr>
                <w:rStyle w:val="559"/>
                <w:color w:val="auto"/>
                <w:kern w:val="0"/>
                <w:sz w:val="21"/>
                <w:szCs w:val="21"/>
                <w:highlight w:val="none"/>
              </w:rPr>
              <w:t>≤</w:t>
            </w:r>
            <w:r>
              <w:rPr>
                <w:rStyle w:val="83"/>
                <w:rFonts w:hint="default" w:ascii="Times New Roman" w:hAnsi="Times New Roman"/>
                <w:color w:val="auto"/>
                <w:kern w:val="0"/>
                <w:sz w:val="21"/>
                <w:szCs w:val="21"/>
                <w:highlight w:val="none"/>
              </w:rPr>
              <w:t>1.0×10</w:t>
            </w:r>
            <w:r>
              <w:rPr>
                <w:rStyle w:val="83"/>
                <w:rFonts w:hint="default" w:ascii="Times New Roman" w:hAnsi="Times New Roman"/>
                <w:color w:val="auto"/>
                <w:kern w:val="0"/>
                <w:sz w:val="21"/>
                <w:szCs w:val="21"/>
                <w:highlight w:val="none"/>
                <w:vertAlign w:val="superscript"/>
              </w:rPr>
              <w:t>-4</w:t>
            </w:r>
            <w:r>
              <w:rPr>
                <w:rStyle w:val="83"/>
                <w:rFonts w:hint="default" w:ascii="Times New Roman" w:hAnsi="Times New Roman"/>
                <w:color w:val="auto"/>
                <w:kern w:val="0"/>
                <w:sz w:val="21"/>
                <w:szCs w:val="21"/>
                <w:highlight w:val="none"/>
              </w:rPr>
              <w:t>cm/s</w:t>
            </w:r>
            <w:r>
              <w:rPr>
                <w:rStyle w:val="559"/>
                <w:color w:val="auto"/>
                <w:kern w:val="0"/>
                <w:sz w:val="21"/>
                <w:szCs w:val="21"/>
                <w:highlight w:val="none"/>
              </w:rPr>
              <w:t>，且分布连续、稳定</w:t>
            </w:r>
          </w:p>
        </w:tc>
      </w:tr>
      <w:tr w14:paraId="38B468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4" w:type="dxa"/>
            <w:vAlign w:val="center"/>
          </w:tcPr>
          <w:p w14:paraId="370FB8A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kern w:val="0"/>
                <w:sz w:val="21"/>
                <w:szCs w:val="21"/>
                <w:highlight w:val="none"/>
              </w:rPr>
            </w:pPr>
            <w:r>
              <w:rPr>
                <w:rStyle w:val="83"/>
                <w:rFonts w:hint="default" w:ascii="Times New Roman" w:hAnsi="Times New Roman"/>
                <w:color w:val="auto"/>
                <w:kern w:val="0"/>
                <w:sz w:val="21"/>
                <w:szCs w:val="21"/>
                <w:highlight w:val="none"/>
              </w:rPr>
              <w:t>D1</w:t>
            </w:r>
          </w:p>
        </w:tc>
        <w:tc>
          <w:tcPr>
            <w:tcW w:w="7138" w:type="dxa"/>
            <w:vAlign w:val="center"/>
          </w:tcPr>
          <w:p w14:paraId="6A57652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kern w:val="0"/>
                <w:sz w:val="21"/>
                <w:szCs w:val="21"/>
                <w:highlight w:val="none"/>
              </w:rPr>
            </w:pPr>
            <w:r>
              <w:rPr>
                <w:rStyle w:val="559"/>
                <w:color w:val="auto"/>
                <w:kern w:val="0"/>
                <w:sz w:val="21"/>
                <w:szCs w:val="21"/>
                <w:highlight w:val="none"/>
              </w:rPr>
              <w:t>岩（土）层不满足上述</w:t>
            </w:r>
            <w:r>
              <w:rPr>
                <w:rStyle w:val="83"/>
                <w:rFonts w:hint="default" w:ascii="Times New Roman" w:hAnsi="Times New Roman"/>
                <w:color w:val="auto"/>
                <w:kern w:val="0"/>
                <w:sz w:val="21"/>
                <w:szCs w:val="21"/>
                <w:highlight w:val="none"/>
              </w:rPr>
              <w:t>“D2”</w:t>
            </w:r>
            <w:r>
              <w:rPr>
                <w:rStyle w:val="559"/>
                <w:color w:val="auto"/>
                <w:kern w:val="0"/>
                <w:sz w:val="21"/>
                <w:szCs w:val="21"/>
                <w:highlight w:val="none"/>
              </w:rPr>
              <w:t>和</w:t>
            </w:r>
            <w:r>
              <w:rPr>
                <w:rStyle w:val="83"/>
                <w:rFonts w:hint="default" w:ascii="Times New Roman" w:hAnsi="Times New Roman"/>
                <w:color w:val="auto"/>
                <w:kern w:val="0"/>
                <w:sz w:val="21"/>
                <w:szCs w:val="21"/>
                <w:highlight w:val="none"/>
              </w:rPr>
              <w:t>“D3”</w:t>
            </w:r>
            <w:r>
              <w:rPr>
                <w:rStyle w:val="559"/>
                <w:color w:val="auto"/>
                <w:kern w:val="0"/>
                <w:sz w:val="21"/>
                <w:szCs w:val="21"/>
                <w:highlight w:val="none"/>
              </w:rPr>
              <w:t>条件</w:t>
            </w:r>
          </w:p>
        </w:tc>
      </w:tr>
      <w:tr w14:paraId="75CBE0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22" w:type="dxa"/>
            <w:gridSpan w:val="2"/>
            <w:vAlign w:val="center"/>
          </w:tcPr>
          <w:p w14:paraId="3A16C92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left"/>
              <w:textAlignment w:val="auto"/>
              <w:rPr>
                <w:rFonts w:hint="default"/>
                <w:kern w:val="0"/>
                <w:sz w:val="21"/>
                <w:szCs w:val="21"/>
                <w:highlight w:val="none"/>
              </w:rPr>
            </w:pPr>
            <w:r>
              <w:rPr>
                <w:rStyle w:val="83"/>
                <w:rFonts w:hint="default" w:ascii="Times New Roman" w:hAnsi="Times New Roman"/>
                <w:color w:val="auto"/>
                <w:kern w:val="0"/>
                <w:sz w:val="21"/>
                <w:szCs w:val="21"/>
                <w:highlight w:val="none"/>
              </w:rPr>
              <w:t>Mb</w:t>
            </w:r>
            <w:r>
              <w:rPr>
                <w:rStyle w:val="559"/>
                <w:color w:val="auto"/>
                <w:kern w:val="0"/>
                <w:sz w:val="21"/>
                <w:szCs w:val="21"/>
                <w:highlight w:val="none"/>
              </w:rPr>
              <w:t>：岩土层单层厚度。</w:t>
            </w:r>
          </w:p>
          <w:p w14:paraId="676E68C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left"/>
              <w:textAlignment w:val="auto"/>
              <w:rPr>
                <w:rFonts w:hint="default"/>
                <w:kern w:val="0"/>
                <w:sz w:val="21"/>
                <w:szCs w:val="21"/>
                <w:highlight w:val="none"/>
              </w:rPr>
            </w:pPr>
            <w:r>
              <w:rPr>
                <w:rStyle w:val="566"/>
                <w:rFonts w:ascii="Times New Roman" w:hAnsi="Times New Roman"/>
                <w:i w:val="0"/>
                <w:color w:val="auto"/>
                <w:kern w:val="0"/>
                <w:sz w:val="21"/>
                <w:szCs w:val="21"/>
                <w:highlight w:val="none"/>
              </w:rPr>
              <w:t>K</w:t>
            </w:r>
            <w:r>
              <w:rPr>
                <w:rStyle w:val="559"/>
                <w:color w:val="auto"/>
                <w:kern w:val="0"/>
                <w:sz w:val="21"/>
                <w:szCs w:val="21"/>
                <w:highlight w:val="none"/>
              </w:rPr>
              <w:t>：渗透系数。</w:t>
            </w:r>
          </w:p>
        </w:tc>
      </w:tr>
    </w:tbl>
    <w:p w14:paraId="3D31A9D7">
      <w:pPr>
        <w:bidi w:val="0"/>
        <w:rPr>
          <w:highlight w:val="none"/>
        </w:rPr>
      </w:pPr>
      <w:r>
        <w:rPr>
          <w:rFonts w:hint="eastAsia" w:hAnsiTheme="minorEastAsia" w:eastAsiaTheme="minorEastAsia"/>
          <w:highlight w:val="none"/>
        </w:rPr>
        <w:t>本项目属</w:t>
      </w:r>
      <w:r>
        <w:rPr>
          <w:rFonts w:hint="eastAsia"/>
          <w:highlight w:val="none"/>
        </w:rPr>
        <w:t>于D1。</w:t>
      </w:r>
    </w:p>
    <w:p w14:paraId="31F1DD88">
      <w:pPr>
        <w:bidi w:val="0"/>
        <w:rPr>
          <w:highlight w:val="none"/>
        </w:rPr>
      </w:pPr>
      <w:r>
        <w:rPr>
          <w:rFonts w:hint="eastAsia"/>
          <w:highlight w:val="none"/>
          <w:lang w:eastAsia="zh-CN"/>
        </w:rPr>
        <w:t>（</w:t>
      </w:r>
      <w:r>
        <w:rPr>
          <w:rFonts w:hint="eastAsia"/>
          <w:highlight w:val="none"/>
          <w:lang w:val="en-US" w:eastAsia="zh-CN"/>
        </w:rPr>
        <w:t>6</w:t>
      </w:r>
      <w:r>
        <w:rPr>
          <w:rFonts w:hint="eastAsia"/>
          <w:highlight w:val="none"/>
          <w:lang w:eastAsia="zh-CN"/>
        </w:rPr>
        <w:t>）</w:t>
      </w:r>
      <w:r>
        <w:rPr>
          <w:rFonts w:hint="eastAsia"/>
          <w:highlight w:val="none"/>
        </w:rPr>
        <w:t>建设</w:t>
      </w:r>
      <w:r>
        <w:rPr>
          <w:highlight w:val="none"/>
        </w:rPr>
        <w:t>项目环境风险潜势划分</w:t>
      </w:r>
    </w:p>
    <w:p w14:paraId="0A677AD1">
      <w:pPr>
        <w:pStyle w:val="7"/>
        <w:bidi w:val="0"/>
        <w:rPr>
          <w:highlight w:val="none"/>
        </w:rPr>
      </w:pPr>
      <w:r>
        <w:rPr>
          <w:rFonts w:hint="eastAsia"/>
          <w:highlight w:val="none"/>
        </w:rPr>
        <w:t>表2-4-21 建设</w:t>
      </w:r>
      <w:r>
        <w:rPr>
          <w:highlight w:val="none"/>
        </w:rPr>
        <w:t>项目环境风险潜势划分</w:t>
      </w:r>
    </w:p>
    <w:tbl>
      <w:tblPr>
        <w:tblStyle w:val="75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35"/>
        <w:gridCol w:w="1451"/>
        <w:gridCol w:w="1559"/>
        <w:gridCol w:w="1559"/>
        <w:gridCol w:w="1487"/>
      </w:tblGrid>
      <w:tr w14:paraId="2D535F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35" w:type="dxa"/>
            <w:vMerge w:val="restart"/>
            <w:vAlign w:val="center"/>
          </w:tcPr>
          <w:p w14:paraId="29BB4B3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Style w:val="83"/>
                <w:rFonts w:hint="default" w:ascii="Times New Roman" w:hAnsi="Times New Roman" w:eastAsia="宋体" w:cs="Times New Roman"/>
                <w:color w:val="auto"/>
                <w:kern w:val="0"/>
                <w:sz w:val="21"/>
                <w:szCs w:val="21"/>
                <w:highlight w:val="none"/>
              </w:rPr>
            </w:pPr>
            <w:r>
              <w:rPr>
                <w:rStyle w:val="83"/>
                <w:rFonts w:hint="default" w:ascii="Times New Roman" w:hAnsi="Times New Roman" w:eastAsia="宋体" w:cs="Times New Roman"/>
                <w:color w:val="auto"/>
                <w:kern w:val="0"/>
                <w:sz w:val="21"/>
                <w:szCs w:val="21"/>
                <w:highlight w:val="none"/>
              </w:rPr>
              <w:t>环境敏感程度（E）</w:t>
            </w:r>
          </w:p>
        </w:tc>
        <w:tc>
          <w:tcPr>
            <w:tcW w:w="6056" w:type="dxa"/>
            <w:gridSpan w:val="4"/>
            <w:vAlign w:val="center"/>
          </w:tcPr>
          <w:p w14:paraId="4CC3039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Style w:val="83"/>
                <w:rFonts w:hint="default" w:ascii="Times New Roman" w:hAnsi="Times New Roman" w:eastAsia="宋体" w:cs="Times New Roman"/>
                <w:color w:val="auto"/>
                <w:kern w:val="0"/>
                <w:sz w:val="21"/>
                <w:szCs w:val="21"/>
                <w:highlight w:val="none"/>
              </w:rPr>
            </w:pPr>
            <w:r>
              <w:rPr>
                <w:rStyle w:val="83"/>
                <w:rFonts w:hint="default" w:ascii="Times New Roman" w:hAnsi="Times New Roman" w:eastAsia="宋体" w:cs="Times New Roman"/>
                <w:color w:val="auto"/>
                <w:kern w:val="0"/>
                <w:sz w:val="21"/>
                <w:szCs w:val="21"/>
                <w:highlight w:val="none"/>
              </w:rPr>
              <w:t>危险物质及工艺系统危险性（P）</w:t>
            </w:r>
          </w:p>
        </w:tc>
      </w:tr>
      <w:tr w14:paraId="22B953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35" w:type="dxa"/>
            <w:vMerge w:val="continue"/>
            <w:vAlign w:val="center"/>
          </w:tcPr>
          <w:p w14:paraId="184CD22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Style w:val="83"/>
                <w:rFonts w:hint="default" w:ascii="Times New Roman" w:hAnsi="Times New Roman" w:eastAsia="宋体" w:cs="Times New Roman"/>
                <w:color w:val="auto"/>
                <w:kern w:val="0"/>
                <w:sz w:val="21"/>
                <w:szCs w:val="21"/>
                <w:highlight w:val="none"/>
              </w:rPr>
            </w:pPr>
          </w:p>
        </w:tc>
        <w:tc>
          <w:tcPr>
            <w:tcW w:w="1451" w:type="dxa"/>
            <w:vAlign w:val="center"/>
          </w:tcPr>
          <w:p w14:paraId="0EB02F6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Style w:val="83"/>
                <w:rFonts w:hint="default" w:ascii="Times New Roman" w:hAnsi="Times New Roman" w:eastAsia="宋体" w:cs="Times New Roman"/>
                <w:color w:val="auto"/>
                <w:kern w:val="0"/>
                <w:sz w:val="21"/>
                <w:szCs w:val="21"/>
                <w:highlight w:val="none"/>
              </w:rPr>
            </w:pPr>
            <w:r>
              <w:rPr>
                <w:rStyle w:val="83"/>
                <w:rFonts w:hint="default" w:ascii="Times New Roman" w:hAnsi="Times New Roman" w:eastAsia="宋体" w:cs="Times New Roman"/>
                <w:color w:val="auto"/>
                <w:kern w:val="0"/>
                <w:sz w:val="21"/>
                <w:szCs w:val="21"/>
                <w:highlight w:val="none"/>
              </w:rPr>
              <w:t>极高危害(P1)</w:t>
            </w:r>
          </w:p>
        </w:tc>
        <w:tc>
          <w:tcPr>
            <w:tcW w:w="1559" w:type="dxa"/>
            <w:vAlign w:val="center"/>
          </w:tcPr>
          <w:p w14:paraId="14C3282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Style w:val="83"/>
                <w:rFonts w:hint="default" w:ascii="Times New Roman" w:hAnsi="Times New Roman" w:eastAsia="宋体" w:cs="Times New Roman"/>
                <w:color w:val="auto"/>
                <w:kern w:val="0"/>
                <w:sz w:val="21"/>
                <w:szCs w:val="21"/>
                <w:highlight w:val="none"/>
              </w:rPr>
            </w:pPr>
            <w:r>
              <w:rPr>
                <w:rStyle w:val="83"/>
                <w:rFonts w:hint="default" w:ascii="Times New Roman" w:hAnsi="Times New Roman" w:eastAsia="宋体" w:cs="Times New Roman"/>
                <w:color w:val="auto"/>
                <w:kern w:val="0"/>
                <w:sz w:val="21"/>
                <w:szCs w:val="21"/>
                <w:highlight w:val="none"/>
              </w:rPr>
              <w:t>高度危害(P2)</w:t>
            </w:r>
          </w:p>
        </w:tc>
        <w:tc>
          <w:tcPr>
            <w:tcW w:w="1559" w:type="dxa"/>
            <w:vAlign w:val="center"/>
          </w:tcPr>
          <w:p w14:paraId="3807827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Style w:val="83"/>
                <w:rFonts w:hint="default" w:ascii="Times New Roman" w:hAnsi="Times New Roman" w:eastAsia="宋体" w:cs="Times New Roman"/>
                <w:color w:val="auto"/>
                <w:kern w:val="0"/>
                <w:sz w:val="21"/>
                <w:szCs w:val="21"/>
                <w:highlight w:val="none"/>
              </w:rPr>
            </w:pPr>
            <w:r>
              <w:rPr>
                <w:rStyle w:val="83"/>
                <w:rFonts w:hint="default" w:ascii="Times New Roman" w:hAnsi="Times New Roman" w:eastAsia="宋体" w:cs="Times New Roman"/>
                <w:color w:val="auto"/>
                <w:kern w:val="0"/>
                <w:sz w:val="21"/>
                <w:szCs w:val="21"/>
                <w:highlight w:val="none"/>
              </w:rPr>
              <w:t>中度危害(P3)</w:t>
            </w:r>
          </w:p>
        </w:tc>
        <w:tc>
          <w:tcPr>
            <w:tcW w:w="1487" w:type="dxa"/>
            <w:vAlign w:val="center"/>
          </w:tcPr>
          <w:p w14:paraId="34045E7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Style w:val="83"/>
                <w:rFonts w:hint="default" w:ascii="Times New Roman" w:hAnsi="Times New Roman" w:eastAsia="宋体" w:cs="Times New Roman"/>
                <w:color w:val="auto"/>
                <w:kern w:val="0"/>
                <w:sz w:val="21"/>
                <w:szCs w:val="21"/>
                <w:highlight w:val="none"/>
              </w:rPr>
            </w:pPr>
            <w:r>
              <w:rPr>
                <w:rStyle w:val="83"/>
                <w:rFonts w:hint="default" w:ascii="Times New Roman" w:hAnsi="Times New Roman" w:eastAsia="宋体" w:cs="Times New Roman"/>
                <w:color w:val="auto"/>
                <w:kern w:val="0"/>
                <w:sz w:val="21"/>
                <w:szCs w:val="21"/>
                <w:highlight w:val="none"/>
              </w:rPr>
              <w:t>轻度危害(P4)</w:t>
            </w:r>
          </w:p>
        </w:tc>
      </w:tr>
      <w:tr w14:paraId="3AB87C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35" w:type="dxa"/>
            <w:vAlign w:val="center"/>
          </w:tcPr>
          <w:p w14:paraId="4AAFAD6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Style w:val="83"/>
                <w:rFonts w:hint="default" w:ascii="Times New Roman" w:hAnsi="Times New Roman" w:eastAsia="宋体" w:cs="Times New Roman"/>
                <w:color w:val="auto"/>
                <w:kern w:val="0"/>
                <w:sz w:val="21"/>
                <w:szCs w:val="21"/>
                <w:highlight w:val="none"/>
              </w:rPr>
            </w:pPr>
            <w:r>
              <w:rPr>
                <w:rStyle w:val="83"/>
                <w:rFonts w:hint="default" w:ascii="Times New Roman" w:hAnsi="Times New Roman" w:eastAsia="宋体" w:cs="Times New Roman"/>
                <w:color w:val="auto"/>
                <w:kern w:val="0"/>
                <w:sz w:val="21"/>
                <w:szCs w:val="21"/>
                <w:highlight w:val="none"/>
              </w:rPr>
              <w:t>环境高度敏感区（E1）</w:t>
            </w:r>
          </w:p>
        </w:tc>
        <w:tc>
          <w:tcPr>
            <w:tcW w:w="1451" w:type="dxa"/>
            <w:vAlign w:val="center"/>
          </w:tcPr>
          <w:p w14:paraId="39E46BA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Style w:val="83"/>
                <w:rFonts w:hint="default" w:ascii="Times New Roman" w:hAnsi="Times New Roman" w:eastAsia="宋体" w:cs="Times New Roman"/>
                <w:color w:val="auto"/>
                <w:kern w:val="0"/>
                <w:sz w:val="21"/>
                <w:szCs w:val="21"/>
                <w:highlight w:val="none"/>
              </w:rPr>
            </w:pPr>
            <w:r>
              <w:rPr>
                <w:rStyle w:val="83"/>
                <w:rFonts w:hint="default" w:ascii="Times New Roman" w:hAnsi="Times New Roman" w:eastAsia="宋体" w:cs="Times New Roman"/>
                <w:color w:val="auto"/>
                <w:kern w:val="0"/>
                <w:sz w:val="21"/>
                <w:szCs w:val="21"/>
                <w:highlight w:val="none"/>
              </w:rPr>
              <w:fldChar w:fldCharType="begin"/>
            </w:r>
            <w:r>
              <w:rPr>
                <w:rStyle w:val="83"/>
                <w:rFonts w:hint="default" w:ascii="Times New Roman" w:hAnsi="Times New Roman" w:eastAsia="宋体" w:cs="Times New Roman"/>
                <w:color w:val="auto"/>
                <w:kern w:val="0"/>
                <w:sz w:val="21"/>
                <w:szCs w:val="21"/>
                <w:highlight w:val="none"/>
              </w:rPr>
              <w:instrText xml:space="preserve"> = 4 \* ROMAN </w:instrText>
            </w:r>
            <w:r>
              <w:rPr>
                <w:rStyle w:val="83"/>
                <w:rFonts w:hint="default" w:ascii="Times New Roman" w:hAnsi="Times New Roman" w:eastAsia="宋体" w:cs="Times New Roman"/>
                <w:color w:val="auto"/>
                <w:kern w:val="0"/>
                <w:sz w:val="21"/>
                <w:szCs w:val="21"/>
                <w:highlight w:val="none"/>
              </w:rPr>
              <w:fldChar w:fldCharType="separate"/>
            </w:r>
            <w:r>
              <w:rPr>
                <w:rStyle w:val="83"/>
                <w:rFonts w:hint="default" w:ascii="Times New Roman" w:hAnsi="Times New Roman" w:eastAsia="宋体" w:cs="Times New Roman"/>
                <w:color w:val="auto"/>
                <w:kern w:val="0"/>
                <w:sz w:val="21"/>
                <w:szCs w:val="21"/>
                <w:highlight w:val="none"/>
              </w:rPr>
              <w:t>IV</w:t>
            </w:r>
            <w:r>
              <w:rPr>
                <w:rStyle w:val="83"/>
                <w:rFonts w:hint="default" w:ascii="Times New Roman" w:hAnsi="Times New Roman" w:eastAsia="宋体" w:cs="Times New Roman"/>
                <w:color w:val="auto"/>
                <w:kern w:val="0"/>
                <w:sz w:val="21"/>
                <w:szCs w:val="21"/>
                <w:highlight w:val="none"/>
              </w:rPr>
              <w:fldChar w:fldCharType="end"/>
            </w:r>
            <w:r>
              <w:rPr>
                <w:rStyle w:val="83"/>
                <w:rFonts w:hint="default" w:ascii="Times New Roman" w:hAnsi="Times New Roman" w:eastAsia="宋体" w:cs="Times New Roman"/>
                <w:color w:val="auto"/>
                <w:kern w:val="0"/>
                <w:sz w:val="21"/>
                <w:szCs w:val="21"/>
                <w:highlight w:val="none"/>
              </w:rPr>
              <w:t>+</w:t>
            </w:r>
          </w:p>
        </w:tc>
        <w:tc>
          <w:tcPr>
            <w:tcW w:w="1559" w:type="dxa"/>
            <w:vAlign w:val="center"/>
          </w:tcPr>
          <w:p w14:paraId="7449216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Style w:val="83"/>
                <w:rFonts w:hint="default" w:ascii="Times New Roman" w:hAnsi="Times New Roman" w:eastAsia="宋体" w:cs="Times New Roman"/>
                <w:color w:val="auto"/>
                <w:kern w:val="0"/>
                <w:sz w:val="21"/>
                <w:szCs w:val="21"/>
                <w:highlight w:val="none"/>
              </w:rPr>
            </w:pPr>
            <w:r>
              <w:rPr>
                <w:rStyle w:val="83"/>
                <w:rFonts w:hint="default" w:ascii="Times New Roman" w:hAnsi="Times New Roman" w:eastAsia="宋体" w:cs="Times New Roman"/>
                <w:color w:val="auto"/>
                <w:kern w:val="0"/>
                <w:sz w:val="21"/>
                <w:szCs w:val="21"/>
                <w:highlight w:val="none"/>
              </w:rPr>
              <w:fldChar w:fldCharType="begin"/>
            </w:r>
            <w:r>
              <w:rPr>
                <w:rStyle w:val="83"/>
                <w:rFonts w:hint="default" w:ascii="Times New Roman" w:hAnsi="Times New Roman" w:eastAsia="宋体" w:cs="Times New Roman"/>
                <w:color w:val="auto"/>
                <w:kern w:val="0"/>
                <w:sz w:val="21"/>
                <w:szCs w:val="21"/>
                <w:highlight w:val="none"/>
              </w:rPr>
              <w:instrText xml:space="preserve"> = 4 \* ROMAN </w:instrText>
            </w:r>
            <w:r>
              <w:rPr>
                <w:rStyle w:val="83"/>
                <w:rFonts w:hint="default" w:ascii="Times New Roman" w:hAnsi="Times New Roman" w:eastAsia="宋体" w:cs="Times New Roman"/>
                <w:color w:val="auto"/>
                <w:kern w:val="0"/>
                <w:sz w:val="21"/>
                <w:szCs w:val="21"/>
                <w:highlight w:val="none"/>
              </w:rPr>
              <w:fldChar w:fldCharType="separate"/>
            </w:r>
            <w:r>
              <w:rPr>
                <w:rStyle w:val="83"/>
                <w:rFonts w:hint="default" w:ascii="Times New Roman" w:hAnsi="Times New Roman" w:eastAsia="宋体" w:cs="Times New Roman"/>
                <w:color w:val="auto"/>
                <w:kern w:val="0"/>
                <w:sz w:val="21"/>
                <w:szCs w:val="21"/>
                <w:highlight w:val="none"/>
              </w:rPr>
              <w:t>IV</w:t>
            </w:r>
            <w:r>
              <w:rPr>
                <w:rStyle w:val="83"/>
                <w:rFonts w:hint="default" w:ascii="Times New Roman" w:hAnsi="Times New Roman" w:eastAsia="宋体" w:cs="Times New Roman"/>
                <w:color w:val="auto"/>
                <w:kern w:val="0"/>
                <w:sz w:val="21"/>
                <w:szCs w:val="21"/>
                <w:highlight w:val="none"/>
              </w:rPr>
              <w:fldChar w:fldCharType="end"/>
            </w:r>
          </w:p>
        </w:tc>
        <w:tc>
          <w:tcPr>
            <w:tcW w:w="1559" w:type="dxa"/>
            <w:vAlign w:val="center"/>
          </w:tcPr>
          <w:p w14:paraId="7E0C781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Style w:val="83"/>
                <w:rFonts w:hint="default" w:ascii="Times New Roman" w:hAnsi="Times New Roman" w:eastAsia="宋体" w:cs="Times New Roman"/>
                <w:color w:val="auto"/>
                <w:kern w:val="0"/>
                <w:sz w:val="21"/>
                <w:szCs w:val="21"/>
                <w:highlight w:val="none"/>
              </w:rPr>
            </w:pPr>
            <w:r>
              <w:rPr>
                <w:rStyle w:val="83"/>
                <w:rFonts w:hint="default" w:ascii="Times New Roman" w:hAnsi="Times New Roman" w:eastAsia="宋体" w:cs="Times New Roman"/>
                <w:color w:val="auto"/>
                <w:kern w:val="0"/>
                <w:sz w:val="21"/>
                <w:szCs w:val="21"/>
                <w:highlight w:val="none"/>
              </w:rPr>
              <w:fldChar w:fldCharType="begin"/>
            </w:r>
            <w:r>
              <w:rPr>
                <w:rStyle w:val="83"/>
                <w:rFonts w:hint="default" w:ascii="Times New Roman" w:hAnsi="Times New Roman" w:eastAsia="宋体" w:cs="Times New Roman"/>
                <w:color w:val="auto"/>
                <w:kern w:val="0"/>
                <w:sz w:val="21"/>
                <w:szCs w:val="21"/>
                <w:highlight w:val="none"/>
              </w:rPr>
              <w:instrText xml:space="preserve"> = 3 \* ROMAN </w:instrText>
            </w:r>
            <w:r>
              <w:rPr>
                <w:rStyle w:val="83"/>
                <w:rFonts w:hint="default" w:ascii="Times New Roman" w:hAnsi="Times New Roman" w:eastAsia="宋体" w:cs="Times New Roman"/>
                <w:color w:val="auto"/>
                <w:kern w:val="0"/>
                <w:sz w:val="21"/>
                <w:szCs w:val="21"/>
                <w:highlight w:val="none"/>
              </w:rPr>
              <w:fldChar w:fldCharType="separate"/>
            </w:r>
            <w:r>
              <w:rPr>
                <w:rStyle w:val="83"/>
                <w:rFonts w:hint="default" w:ascii="Times New Roman" w:hAnsi="Times New Roman" w:eastAsia="宋体" w:cs="Times New Roman"/>
                <w:color w:val="auto"/>
                <w:kern w:val="0"/>
                <w:sz w:val="21"/>
                <w:szCs w:val="21"/>
                <w:highlight w:val="none"/>
              </w:rPr>
              <w:t>III</w:t>
            </w:r>
            <w:r>
              <w:rPr>
                <w:rStyle w:val="83"/>
                <w:rFonts w:hint="default" w:ascii="Times New Roman" w:hAnsi="Times New Roman" w:eastAsia="宋体" w:cs="Times New Roman"/>
                <w:color w:val="auto"/>
                <w:kern w:val="0"/>
                <w:sz w:val="21"/>
                <w:szCs w:val="21"/>
                <w:highlight w:val="none"/>
              </w:rPr>
              <w:fldChar w:fldCharType="end"/>
            </w:r>
          </w:p>
        </w:tc>
        <w:tc>
          <w:tcPr>
            <w:tcW w:w="1487" w:type="dxa"/>
            <w:vAlign w:val="center"/>
          </w:tcPr>
          <w:p w14:paraId="3A6D993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Style w:val="83"/>
                <w:rFonts w:hint="default" w:ascii="Times New Roman" w:hAnsi="Times New Roman" w:eastAsia="宋体" w:cs="Times New Roman"/>
                <w:color w:val="auto"/>
                <w:kern w:val="0"/>
                <w:sz w:val="21"/>
                <w:szCs w:val="21"/>
                <w:highlight w:val="none"/>
              </w:rPr>
            </w:pPr>
            <w:r>
              <w:rPr>
                <w:rStyle w:val="83"/>
                <w:rFonts w:hint="default" w:ascii="Times New Roman" w:hAnsi="Times New Roman" w:eastAsia="宋体" w:cs="Times New Roman"/>
                <w:color w:val="auto"/>
                <w:kern w:val="0"/>
                <w:sz w:val="21"/>
                <w:szCs w:val="21"/>
                <w:highlight w:val="none"/>
              </w:rPr>
              <w:fldChar w:fldCharType="begin"/>
            </w:r>
            <w:r>
              <w:rPr>
                <w:rStyle w:val="83"/>
                <w:rFonts w:hint="default" w:ascii="Times New Roman" w:hAnsi="Times New Roman" w:eastAsia="宋体" w:cs="Times New Roman"/>
                <w:color w:val="auto"/>
                <w:kern w:val="0"/>
                <w:sz w:val="21"/>
                <w:szCs w:val="21"/>
                <w:highlight w:val="none"/>
              </w:rPr>
              <w:instrText xml:space="preserve"> = 3 \* ROMAN </w:instrText>
            </w:r>
            <w:r>
              <w:rPr>
                <w:rStyle w:val="83"/>
                <w:rFonts w:hint="default" w:ascii="Times New Roman" w:hAnsi="Times New Roman" w:eastAsia="宋体" w:cs="Times New Roman"/>
                <w:color w:val="auto"/>
                <w:kern w:val="0"/>
                <w:sz w:val="21"/>
                <w:szCs w:val="21"/>
                <w:highlight w:val="none"/>
              </w:rPr>
              <w:fldChar w:fldCharType="separate"/>
            </w:r>
            <w:r>
              <w:rPr>
                <w:rStyle w:val="83"/>
                <w:rFonts w:hint="default" w:ascii="Times New Roman" w:hAnsi="Times New Roman" w:eastAsia="宋体" w:cs="Times New Roman"/>
                <w:color w:val="auto"/>
                <w:kern w:val="0"/>
                <w:sz w:val="21"/>
                <w:szCs w:val="21"/>
                <w:highlight w:val="none"/>
              </w:rPr>
              <w:t>III</w:t>
            </w:r>
            <w:r>
              <w:rPr>
                <w:rStyle w:val="83"/>
                <w:rFonts w:hint="default" w:ascii="Times New Roman" w:hAnsi="Times New Roman" w:eastAsia="宋体" w:cs="Times New Roman"/>
                <w:color w:val="auto"/>
                <w:kern w:val="0"/>
                <w:sz w:val="21"/>
                <w:szCs w:val="21"/>
                <w:highlight w:val="none"/>
              </w:rPr>
              <w:fldChar w:fldCharType="end"/>
            </w:r>
          </w:p>
        </w:tc>
      </w:tr>
      <w:tr w14:paraId="378076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35" w:type="dxa"/>
            <w:vAlign w:val="center"/>
          </w:tcPr>
          <w:p w14:paraId="258E656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Style w:val="83"/>
                <w:rFonts w:hint="default" w:ascii="Times New Roman" w:hAnsi="Times New Roman" w:eastAsia="宋体" w:cs="Times New Roman"/>
                <w:color w:val="auto"/>
                <w:kern w:val="0"/>
                <w:sz w:val="21"/>
                <w:szCs w:val="21"/>
                <w:highlight w:val="none"/>
              </w:rPr>
            </w:pPr>
            <w:r>
              <w:rPr>
                <w:rStyle w:val="83"/>
                <w:rFonts w:hint="default" w:ascii="Times New Roman" w:hAnsi="Times New Roman" w:eastAsia="宋体" w:cs="Times New Roman"/>
                <w:color w:val="auto"/>
                <w:kern w:val="0"/>
                <w:sz w:val="21"/>
                <w:szCs w:val="21"/>
                <w:highlight w:val="none"/>
              </w:rPr>
              <w:t>环境中度敏感区（E2）</w:t>
            </w:r>
          </w:p>
        </w:tc>
        <w:tc>
          <w:tcPr>
            <w:tcW w:w="1451" w:type="dxa"/>
            <w:vAlign w:val="center"/>
          </w:tcPr>
          <w:p w14:paraId="1ED916A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Style w:val="83"/>
                <w:rFonts w:hint="default" w:ascii="Times New Roman" w:hAnsi="Times New Roman" w:eastAsia="宋体" w:cs="Times New Roman"/>
                <w:color w:val="auto"/>
                <w:kern w:val="0"/>
                <w:sz w:val="21"/>
                <w:szCs w:val="21"/>
                <w:highlight w:val="none"/>
              </w:rPr>
            </w:pPr>
            <w:r>
              <w:rPr>
                <w:rStyle w:val="83"/>
                <w:rFonts w:hint="default" w:ascii="Times New Roman" w:hAnsi="Times New Roman" w:eastAsia="宋体" w:cs="Times New Roman"/>
                <w:color w:val="auto"/>
                <w:kern w:val="0"/>
                <w:sz w:val="21"/>
                <w:szCs w:val="21"/>
                <w:highlight w:val="none"/>
              </w:rPr>
              <w:fldChar w:fldCharType="begin"/>
            </w:r>
            <w:r>
              <w:rPr>
                <w:rStyle w:val="83"/>
                <w:rFonts w:hint="default" w:ascii="Times New Roman" w:hAnsi="Times New Roman" w:eastAsia="宋体" w:cs="Times New Roman"/>
                <w:color w:val="auto"/>
                <w:kern w:val="0"/>
                <w:sz w:val="21"/>
                <w:szCs w:val="21"/>
                <w:highlight w:val="none"/>
              </w:rPr>
              <w:instrText xml:space="preserve"> = 4 \* ROMAN </w:instrText>
            </w:r>
            <w:r>
              <w:rPr>
                <w:rStyle w:val="83"/>
                <w:rFonts w:hint="default" w:ascii="Times New Roman" w:hAnsi="Times New Roman" w:eastAsia="宋体" w:cs="Times New Roman"/>
                <w:color w:val="auto"/>
                <w:kern w:val="0"/>
                <w:sz w:val="21"/>
                <w:szCs w:val="21"/>
                <w:highlight w:val="none"/>
              </w:rPr>
              <w:fldChar w:fldCharType="separate"/>
            </w:r>
            <w:r>
              <w:rPr>
                <w:rStyle w:val="83"/>
                <w:rFonts w:hint="default" w:ascii="Times New Roman" w:hAnsi="Times New Roman" w:eastAsia="宋体" w:cs="Times New Roman"/>
                <w:color w:val="auto"/>
                <w:kern w:val="0"/>
                <w:sz w:val="21"/>
                <w:szCs w:val="21"/>
                <w:highlight w:val="none"/>
              </w:rPr>
              <w:t>IV</w:t>
            </w:r>
            <w:r>
              <w:rPr>
                <w:rStyle w:val="83"/>
                <w:rFonts w:hint="default" w:ascii="Times New Roman" w:hAnsi="Times New Roman" w:eastAsia="宋体" w:cs="Times New Roman"/>
                <w:color w:val="auto"/>
                <w:kern w:val="0"/>
                <w:sz w:val="21"/>
                <w:szCs w:val="21"/>
                <w:highlight w:val="none"/>
              </w:rPr>
              <w:fldChar w:fldCharType="end"/>
            </w:r>
          </w:p>
        </w:tc>
        <w:tc>
          <w:tcPr>
            <w:tcW w:w="1559" w:type="dxa"/>
            <w:vAlign w:val="center"/>
          </w:tcPr>
          <w:p w14:paraId="575F5BC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Style w:val="83"/>
                <w:rFonts w:hint="default" w:ascii="Times New Roman" w:hAnsi="Times New Roman" w:eastAsia="宋体" w:cs="Times New Roman"/>
                <w:color w:val="auto"/>
                <w:kern w:val="0"/>
                <w:sz w:val="21"/>
                <w:szCs w:val="21"/>
                <w:highlight w:val="none"/>
              </w:rPr>
            </w:pPr>
            <w:r>
              <w:rPr>
                <w:rStyle w:val="83"/>
                <w:rFonts w:hint="default" w:ascii="Times New Roman" w:hAnsi="Times New Roman" w:eastAsia="宋体" w:cs="Times New Roman"/>
                <w:color w:val="auto"/>
                <w:kern w:val="0"/>
                <w:sz w:val="21"/>
                <w:szCs w:val="21"/>
                <w:highlight w:val="none"/>
              </w:rPr>
              <w:fldChar w:fldCharType="begin"/>
            </w:r>
            <w:r>
              <w:rPr>
                <w:rStyle w:val="83"/>
                <w:rFonts w:hint="default" w:ascii="Times New Roman" w:hAnsi="Times New Roman" w:eastAsia="宋体" w:cs="Times New Roman"/>
                <w:color w:val="auto"/>
                <w:kern w:val="0"/>
                <w:sz w:val="21"/>
                <w:szCs w:val="21"/>
                <w:highlight w:val="none"/>
              </w:rPr>
              <w:instrText xml:space="preserve"> = 3 \* ROMAN </w:instrText>
            </w:r>
            <w:r>
              <w:rPr>
                <w:rStyle w:val="83"/>
                <w:rFonts w:hint="default" w:ascii="Times New Roman" w:hAnsi="Times New Roman" w:eastAsia="宋体" w:cs="Times New Roman"/>
                <w:color w:val="auto"/>
                <w:kern w:val="0"/>
                <w:sz w:val="21"/>
                <w:szCs w:val="21"/>
                <w:highlight w:val="none"/>
              </w:rPr>
              <w:fldChar w:fldCharType="separate"/>
            </w:r>
            <w:r>
              <w:rPr>
                <w:rStyle w:val="83"/>
                <w:rFonts w:hint="default" w:ascii="Times New Roman" w:hAnsi="Times New Roman" w:eastAsia="宋体" w:cs="Times New Roman"/>
                <w:color w:val="auto"/>
                <w:kern w:val="0"/>
                <w:sz w:val="21"/>
                <w:szCs w:val="21"/>
                <w:highlight w:val="none"/>
              </w:rPr>
              <w:t>III</w:t>
            </w:r>
            <w:r>
              <w:rPr>
                <w:rStyle w:val="83"/>
                <w:rFonts w:hint="default" w:ascii="Times New Roman" w:hAnsi="Times New Roman" w:eastAsia="宋体" w:cs="Times New Roman"/>
                <w:color w:val="auto"/>
                <w:kern w:val="0"/>
                <w:sz w:val="21"/>
                <w:szCs w:val="21"/>
                <w:highlight w:val="none"/>
              </w:rPr>
              <w:fldChar w:fldCharType="end"/>
            </w:r>
          </w:p>
        </w:tc>
        <w:tc>
          <w:tcPr>
            <w:tcW w:w="1559" w:type="dxa"/>
            <w:vAlign w:val="center"/>
          </w:tcPr>
          <w:p w14:paraId="55B4A44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Style w:val="83"/>
                <w:rFonts w:hint="default" w:ascii="Times New Roman" w:hAnsi="Times New Roman" w:eastAsia="宋体" w:cs="Times New Roman"/>
                <w:color w:val="auto"/>
                <w:kern w:val="0"/>
                <w:sz w:val="21"/>
                <w:szCs w:val="21"/>
                <w:highlight w:val="none"/>
              </w:rPr>
            </w:pPr>
            <w:r>
              <w:rPr>
                <w:rStyle w:val="83"/>
                <w:rFonts w:hint="default" w:ascii="Times New Roman" w:hAnsi="Times New Roman" w:eastAsia="宋体" w:cs="Times New Roman"/>
                <w:color w:val="auto"/>
                <w:kern w:val="0"/>
                <w:sz w:val="21"/>
                <w:szCs w:val="21"/>
                <w:highlight w:val="none"/>
              </w:rPr>
              <w:fldChar w:fldCharType="begin"/>
            </w:r>
            <w:r>
              <w:rPr>
                <w:rStyle w:val="83"/>
                <w:rFonts w:hint="default" w:ascii="Times New Roman" w:hAnsi="Times New Roman" w:eastAsia="宋体" w:cs="Times New Roman"/>
                <w:color w:val="auto"/>
                <w:kern w:val="0"/>
                <w:sz w:val="21"/>
                <w:szCs w:val="21"/>
                <w:highlight w:val="none"/>
              </w:rPr>
              <w:instrText xml:space="preserve"> = 3 \* ROMAN </w:instrText>
            </w:r>
            <w:r>
              <w:rPr>
                <w:rStyle w:val="83"/>
                <w:rFonts w:hint="default" w:ascii="Times New Roman" w:hAnsi="Times New Roman" w:eastAsia="宋体" w:cs="Times New Roman"/>
                <w:color w:val="auto"/>
                <w:kern w:val="0"/>
                <w:sz w:val="21"/>
                <w:szCs w:val="21"/>
                <w:highlight w:val="none"/>
              </w:rPr>
              <w:fldChar w:fldCharType="separate"/>
            </w:r>
            <w:r>
              <w:rPr>
                <w:rStyle w:val="83"/>
                <w:rFonts w:hint="default" w:ascii="Times New Roman" w:hAnsi="Times New Roman" w:eastAsia="宋体" w:cs="Times New Roman"/>
                <w:color w:val="auto"/>
                <w:kern w:val="0"/>
                <w:sz w:val="21"/>
                <w:szCs w:val="21"/>
                <w:highlight w:val="none"/>
              </w:rPr>
              <w:t>III</w:t>
            </w:r>
            <w:r>
              <w:rPr>
                <w:rStyle w:val="83"/>
                <w:rFonts w:hint="default" w:ascii="Times New Roman" w:hAnsi="Times New Roman" w:eastAsia="宋体" w:cs="Times New Roman"/>
                <w:color w:val="auto"/>
                <w:kern w:val="0"/>
                <w:sz w:val="21"/>
                <w:szCs w:val="21"/>
                <w:highlight w:val="none"/>
              </w:rPr>
              <w:fldChar w:fldCharType="end"/>
            </w:r>
          </w:p>
        </w:tc>
        <w:tc>
          <w:tcPr>
            <w:tcW w:w="1487" w:type="dxa"/>
            <w:vAlign w:val="center"/>
          </w:tcPr>
          <w:p w14:paraId="2421205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Style w:val="83"/>
                <w:rFonts w:hint="default" w:ascii="Times New Roman" w:hAnsi="Times New Roman" w:eastAsia="宋体" w:cs="Times New Roman"/>
                <w:color w:val="auto"/>
                <w:kern w:val="0"/>
                <w:sz w:val="21"/>
                <w:szCs w:val="21"/>
                <w:highlight w:val="none"/>
              </w:rPr>
            </w:pPr>
            <w:r>
              <w:rPr>
                <w:rStyle w:val="83"/>
                <w:rFonts w:hint="default" w:ascii="Times New Roman" w:hAnsi="Times New Roman" w:eastAsia="宋体" w:cs="Times New Roman"/>
                <w:color w:val="auto"/>
                <w:kern w:val="0"/>
                <w:sz w:val="21"/>
                <w:szCs w:val="21"/>
                <w:highlight w:val="none"/>
              </w:rPr>
              <w:fldChar w:fldCharType="begin"/>
            </w:r>
            <w:r>
              <w:rPr>
                <w:rStyle w:val="83"/>
                <w:rFonts w:hint="default" w:ascii="Times New Roman" w:hAnsi="Times New Roman" w:eastAsia="宋体" w:cs="Times New Roman"/>
                <w:color w:val="auto"/>
                <w:kern w:val="0"/>
                <w:sz w:val="21"/>
                <w:szCs w:val="21"/>
                <w:highlight w:val="none"/>
              </w:rPr>
              <w:instrText xml:space="preserve"> = 2 \* ROMAN </w:instrText>
            </w:r>
            <w:r>
              <w:rPr>
                <w:rStyle w:val="83"/>
                <w:rFonts w:hint="default" w:ascii="Times New Roman" w:hAnsi="Times New Roman" w:eastAsia="宋体" w:cs="Times New Roman"/>
                <w:color w:val="auto"/>
                <w:kern w:val="0"/>
                <w:sz w:val="21"/>
                <w:szCs w:val="21"/>
                <w:highlight w:val="none"/>
              </w:rPr>
              <w:fldChar w:fldCharType="separate"/>
            </w:r>
            <w:r>
              <w:rPr>
                <w:rStyle w:val="83"/>
                <w:rFonts w:hint="default" w:ascii="Times New Roman" w:hAnsi="Times New Roman" w:eastAsia="宋体" w:cs="Times New Roman"/>
                <w:color w:val="auto"/>
                <w:kern w:val="0"/>
                <w:sz w:val="21"/>
                <w:szCs w:val="21"/>
                <w:highlight w:val="none"/>
              </w:rPr>
              <w:t>II</w:t>
            </w:r>
            <w:r>
              <w:rPr>
                <w:rStyle w:val="83"/>
                <w:rFonts w:hint="default" w:ascii="Times New Roman" w:hAnsi="Times New Roman" w:eastAsia="宋体" w:cs="Times New Roman"/>
                <w:color w:val="auto"/>
                <w:kern w:val="0"/>
                <w:sz w:val="21"/>
                <w:szCs w:val="21"/>
                <w:highlight w:val="none"/>
              </w:rPr>
              <w:fldChar w:fldCharType="end"/>
            </w:r>
          </w:p>
        </w:tc>
      </w:tr>
      <w:tr w14:paraId="233067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35" w:type="dxa"/>
            <w:vAlign w:val="center"/>
          </w:tcPr>
          <w:p w14:paraId="4BD6594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Style w:val="83"/>
                <w:rFonts w:hint="default" w:ascii="Times New Roman" w:hAnsi="Times New Roman" w:eastAsia="宋体" w:cs="Times New Roman"/>
                <w:color w:val="auto"/>
                <w:kern w:val="0"/>
                <w:sz w:val="21"/>
                <w:szCs w:val="21"/>
                <w:highlight w:val="none"/>
              </w:rPr>
            </w:pPr>
            <w:r>
              <w:rPr>
                <w:rStyle w:val="83"/>
                <w:rFonts w:hint="default" w:ascii="Times New Roman" w:hAnsi="Times New Roman" w:eastAsia="宋体" w:cs="Times New Roman"/>
                <w:color w:val="auto"/>
                <w:kern w:val="0"/>
                <w:sz w:val="21"/>
                <w:szCs w:val="21"/>
                <w:highlight w:val="none"/>
              </w:rPr>
              <w:t>环境低度敏感区（E3）</w:t>
            </w:r>
          </w:p>
        </w:tc>
        <w:tc>
          <w:tcPr>
            <w:tcW w:w="1451" w:type="dxa"/>
            <w:vAlign w:val="center"/>
          </w:tcPr>
          <w:p w14:paraId="1458915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Style w:val="83"/>
                <w:rFonts w:hint="default" w:ascii="Times New Roman" w:hAnsi="Times New Roman" w:eastAsia="宋体" w:cs="Times New Roman"/>
                <w:color w:val="auto"/>
                <w:kern w:val="0"/>
                <w:sz w:val="21"/>
                <w:szCs w:val="21"/>
                <w:highlight w:val="none"/>
              </w:rPr>
            </w:pPr>
            <w:r>
              <w:rPr>
                <w:rStyle w:val="83"/>
                <w:rFonts w:hint="default" w:ascii="Times New Roman" w:hAnsi="Times New Roman" w:eastAsia="宋体" w:cs="Times New Roman"/>
                <w:color w:val="auto"/>
                <w:kern w:val="0"/>
                <w:sz w:val="21"/>
                <w:szCs w:val="21"/>
                <w:highlight w:val="none"/>
              </w:rPr>
              <w:fldChar w:fldCharType="begin"/>
            </w:r>
            <w:r>
              <w:rPr>
                <w:rStyle w:val="83"/>
                <w:rFonts w:hint="default" w:ascii="Times New Roman" w:hAnsi="Times New Roman" w:eastAsia="宋体" w:cs="Times New Roman"/>
                <w:color w:val="auto"/>
                <w:kern w:val="0"/>
                <w:sz w:val="21"/>
                <w:szCs w:val="21"/>
                <w:highlight w:val="none"/>
              </w:rPr>
              <w:instrText xml:space="preserve"> = 3 \* ROMAN </w:instrText>
            </w:r>
            <w:r>
              <w:rPr>
                <w:rStyle w:val="83"/>
                <w:rFonts w:hint="default" w:ascii="Times New Roman" w:hAnsi="Times New Roman" w:eastAsia="宋体" w:cs="Times New Roman"/>
                <w:color w:val="auto"/>
                <w:kern w:val="0"/>
                <w:sz w:val="21"/>
                <w:szCs w:val="21"/>
                <w:highlight w:val="none"/>
              </w:rPr>
              <w:fldChar w:fldCharType="separate"/>
            </w:r>
            <w:r>
              <w:rPr>
                <w:rStyle w:val="83"/>
                <w:rFonts w:hint="default" w:ascii="Times New Roman" w:hAnsi="Times New Roman" w:eastAsia="宋体" w:cs="Times New Roman"/>
                <w:color w:val="auto"/>
                <w:kern w:val="0"/>
                <w:sz w:val="21"/>
                <w:szCs w:val="21"/>
                <w:highlight w:val="none"/>
              </w:rPr>
              <w:t>III</w:t>
            </w:r>
            <w:r>
              <w:rPr>
                <w:rStyle w:val="83"/>
                <w:rFonts w:hint="default" w:ascii="Times New Roman" w:hAnsi="Times New Roman" w:eastAsia="宋体" w:cs="Times New Roman"/>
                <w:color w:val="auto"/>
                <w:kern w:val="0"/>
                <w:sz w:val="21"/>
                <w:szCs w:val="21"/>
                <w:highlight w:val="none"/>
              </w:rPr>
              <w:fldChar w:fldCharType="end"/>
            </w:r>
          </w:p>
        </w:tc>
        <w:tc>
          <w:tcPr>
            <w:tcW w:w="1559" w:type="dxa"/>
            <w:vAlign w:val="center"/>
          </w:tcPr>
          <w:p w14:paraId="05DBC2B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Style w:val="83"/>
                <w:rFonts w:hint="default" w:ascii="Times New Roman" w:hAnsi="Times New Roman" w:eastAsia="宋体" w:cs="Times New Roman"/>
                <w:color w:val="auto"/>
                <w:kern w:val="0"/>
                <w:sz w:val="21"/>
                <w:szCs w:val="21"/>
                <w:highlight w:val="none"/>
              </w:rPr>
            </w:pPr>
            <w:r>
              <w:rPr>
                <w:rStyle w:val="83"/>
                <w:rFonts w:hint="default" w:ascii="Times New Roman" w:hAnsi="Times New Roman" w:eastAsia="宋体" w:cs="Times New Roman"/>
                <w:color w:val="auto"/>
                <w:kern w:val="0"/>
                <w:sz w:val="21"/>
                <w:szCs w:val="21"/>
                <w:highlight w:val="none"/>
              </w:rPr>
              <w:fldChar w:fldCharType="begin"/>
            </w:r>
            <w:r>
              <w:rPr>
                <w:rStyle w:val="83"/>
                <w:rFonts w:hint="default" w:ascii="Times New Roman" w:hAnsi="Times New Roman" w:eastAsia="宋体" w:cs="Times New Roman"/>
                <w:color w:val="auto"/>
                <w:kern w:val="0"/>
                <w:sz w:val="21"/>
                <w:szCs w:val="21"/>
                <w:highlight w:val="none"/>
              </w:rPr>
              <w:instrText xml:space="preserve"> = 3 \* ROMAN </w:instrText>
            </w:r>
            <w:r>
              <w:rPr>
                <w:rStyle w:val="83"/>
                <w:rFonts w:hint="default" w:ascii="Times New Roman" w:hAnsi="Times New Roman" w:eastAsia="宋体" w:cs="Times New Roman"/>
                <w:color w:val="auto"/>
                <w:kern w:val="0"/>
                <w:sz w:val="21"/>
                <w:szCs w:val="21"/>
                <w:highlight w:val="none"/>
              </w:rPr>
              <w:fldChar w:fldCharType="separate"/>
            </w:r>
            <w:r>
              <w:rPr>
                <w:rStyle w:val="83"/>
                <w:rFonts w:hint="default" w:ascii="Times New Roman" w:hAnsi="Times New Roman" w:eastAsia="宋体" w:cs="Times New Roman"/>
                <w:color w:val="auto"/>
                <w:kern w:val="0"/>
                <w:sz w:val="21"/>
                <w:szCs w:val="21"/>
                <w:highlight w:val="none"/>
              </w:rPr>
              <w:t>III</w:t>
            </w:r>
            <w:r>
              <w:rPr>
                <w:rStyle w:val="83"/>
                <w:rFonts w:hint="default" w:ascii="Times New Roman" w:hAnsi="Times New Roman" w:eastAsia="宋体" w:cs="Times New Roman"/>
                <w:color w:val="auto"/>
                <w:kern w:val="0"/>
                <w:sz w:val="21"/>
                <w:szCs w:val="21"/>
                <w:highlight w:val="none"/>
              </w:rPr>
              <w:fldChar w:fldCharType="end"/>
            </w:r>
          </w:p>
        </w:tc>
        <w:tc>
          <w:tcPr>
            <w:tcW w:w="1559" w:type="dxa"/>
            <w:vAlign w:val="center"/>
          </w:tcPr>
          <w:p w14:paraId="4C6D522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Style w:val="83"/>
                <w:rFonts w:hint="default" w:ascii="Times New Roman" w:hAnsi="Times New Roman" w:eastAsia="宋体" w:cs="Times New Roman"/>
                <w:color w:val="auto"/>
                <w:kern w:val="0"/>
                <w:sz w:val="21"/>
                <w:szCs w:val="21"/>
                <w:highlight w:val="none"/>
              </w:rPr>
            </w:pPr>
            <w:r>
              <w:rPr>
                <w:rStyle w:val="83"/>
                <w:rFonts w:hint="default" w:ascii="Times New Roman" w:hAnsi="Times New Roman" w:eastAsia="宋体" w:cs="Times New Roman"/>
                <w:color w:val="auto"/>
                <w:kern w:val="0"/>
                <w:sz w:val="21"/>
                <w:szCs w:val="21"/>
                <w:highlight w:val="none"/>
              </w:rPr>
              <w:fldChar w:fldCharType="begin"/>
            </w:r>
            <w:r>
              <w:rPr>
                <w:rStyle w:val="83"/>
                <w:rFonts w:hint="default" w:ascii="Times New Roman" w:hAnsi="Times New Roman" w:eastAsia="宋体" w:cs="Times New Roman"/>
                <w:color w:val="auto"/>
                <w:kern w:val="0"/>
                <w:sz w:val="21"/>
                <w:szCs w:val="21"/>
                <w:highlight w:val="none"/>
              </w:rPr>
              <w:instrText xml:space="preserve"> = 2 \* ROMAN </w:instrText>
            </w:r>
            <w:r>
              <w:rPr>
                <w:rStyle w:val="83"/>
                <w:rFonts w:hint="default" w:ascii="Times New Roman" w:hAnsi="Times New Roman" w:eastAsia="宋体" w:cs="Times New Roman"/>
                <w:color w:val="auto"/>
                <w:kern w:val="0"/>
                <w:sz w:val="21"/>
                <w:szCs w:val="21"/>
                <w:highlight w:val="none"/>
              </w:rPr>
              <w:fldChar w:fldCharType="separate"/>
            </w:r>
            <w:r>
              <w:rPr>
                <w:rStyle w:val="83"/>
                <w:rFonts w:hint="default" w:ascii="Times New Roman" w:hAnsi="Times New Roman" w:eastAsia="宋体" w:cs="Times New Roman"/>
                <w:color w:val="auto"/>
                <w:kern w:val="0"/>
                <w:sz w:val="21"/>
                <w:szCs w:val="21"/>
                <w:highlight w:val="none"/>
              </w:rPr>
              <w:t>II</w:t>
            </w:r>
            <w:r>
              <w:rPr>
                <w:rStyle w:val="83"/>
                <w:rFonts w:hint="default" w:ascii="Times New Roman" w:hAnsi="Times New Roman" w:eastAsia="宋体" w:cs="Times New Roman"/>
                <w:color w:val="auto"/>
                <w:kern w:val="0"/>
                <w:sz w:val="21"/>
                <w:szCs w:val="21"/>
                <w:highlight w:val="none"/>
              </w:rPr>
              <w:fldChar w:fldCharType="end"/>
            </w:r>
          </w:p>
        </w:tc>
        <w:tc>
          <w:tcPr>
            <w:tcW w:w="1487" w:type="dxa"/>
            <w:vAlign w:val="center"/>
          </w:tcPr>
          <w:p w14:paraId="4F5DDAB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Style w:val="83"/>
                <w:rFonts w:hint="default" w:ascii="Times New Roman" w:hAnsi="Times New Roman" w:eastAsia="宋体" w:cs="Times New Roman"/>
                <w:color w:val="auto"/>
                <w:kern w:val="0"/>
                <w:sz w:val="21"/>
                <w:szCs w:val="21"/>
                <w:highlight w:val="none"/>
              </w:rPr>
            </w:pPr>
            <w:r>
              <w:rPr>
                <w:rStyle w:val="83"/>
                <w:rFonts w:hint="default" w:ascii="Times New Roman" w:hAnsi="Times New Roman" w:eastAsia="宋体" w:cs="Times New Roman"/>
                <w:color w:val="auto"/>
                <w:kern w:val="0"/>
                <w:sz w:val="21"/>
                <w:szCs w:val="21"/>
                <w:highlight w:val="none"/>
              </w:rPr>
              <w:fldChar w:fldCharType="begin"/>
            </w:r>
            <w:r>
              <w:rPr>
                <w:rStyle w:val="83"/>
                <w:rFonts w:hint="default" w:ascii="Times New Roman" w:hAnsi="Times New Roman" w:eastAsia="宋体" w:cs="Times New Roman"/>
                <w:color w:val="auto"/>
                <w:kern w:val="0"/>
                <w:sz w:val="21"/>
                <w:szCs w:val="21"/>
                <w:highlight w:val="none"/>
              </w:rPr>
              <w:instrText xml:space="preserve"> = 1 \* ROMAN </w:instrText>
            </w:r>
            <w:r>
              <w:rPr>
                <w:rStyle w:val="83"/>
                <w:rFonts w:hint="default" w:ascii="Times New Roman" w:hAnsi="Times New Roman" w:eastAsia="宋体" w:cs="Times New Roman"/>
                <w:color w:val="auto"/>
                <w:kern w:val="0"/>
                <w:sz w:val="21"/>
                <w:szCs w:val="21"/>
                <w:highlight w:val="none"/>
              </w:rPr>
              <w:fldChar w:fldCharType="separate"/>
            </w:r>
            <w:r>
              <w:rPr>
                <w:rStyle w:val="83"/>
                <w:rFonts w:hint="default" w:ascii="Times New Roman" w:hAnsi="Times New Roman" w:eastAsia="宋体" w:cs="Times New Roman"/>
                <w:color w:val="auto"/>
                <w:kern w:val="0"/>
                <w:sz w:val="21"/>
                <w:szCs w:val="21"/>
                <w:highlight w:val="none"/>
              </w:rPr>
              <w:t>I</w:t>
            </w:r>
            <w:r>
              <w:rPr>
                <w:rStyle w:val="83"/>
                <w:rFonts w:hint="default" w:ascii="Times New Roman" w:hAnsi="Times New Roman" w:eastAsia="宋体" w:cs="Times New Roman"/>
                <w:color w:val="auto"/>
                <w:kern w:val="0"/>
                <w:sz w:val="21"/>
                <w:szCs w:val="21"/>
                <w:highlight w:val="none"/>
              </w:rPr>
              <w:fldChar w:fldCharType="end"/>
            </w:r>
          </w:p>
        </w:tc>
      </w:tr>
      <w:tr w14:paraId="6CF632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91" w:type="dxa"/>
            <w:gridSpan w:val="5"/>
            <w:vAlign w:val="center"/>
          </w:tcPr>
          <w:p w14:paraId="3E94266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Style w:val="83"/>
                <w:rFonts w:hint="default" w:ascii="Times New Roman" w:hAnsi="Times New Roman" w:eastAsia="宋体" w:cs="Times New Roman"/>
                <w:color w:val="auto"/>
                <w:kern w:val="0"/>
                <w:sz w:val="21"/>
                <w:szCs w:val="21"/>
                <w:highlight w:val="none"/>
              </w:rPr>
            </w:pPr>
            <w:r>
              <w:rPr>
                <w:rStyle w:val="83"/>
                <w:rFonts w:hint="default" w:ascii="Times New Roman" w:hAnsi="Times New Roman" w:eastAsia="宋体" w:cs="Times New Roman"/>
                <w:color w:val="auto"/>
                <w:kern w:val="0"/>
                <w:sz w:val="21"/>
                <w:szCs w:val="21"/>
                <w:highlight w:val="none"/>
              </w:rPr>
              <w:t>注：</w:t>
            </w:r>
            <w:r>
              <w:rPr>
                <w:rStyle w:val="83"/>
                <w:rFonts w:hint="default" w:ascii="Times New Roman" w:hAnsi="Times New Roman" w:eastAsia="宋体" w:cs="Times New Roman"/>
                <w:color w:val="auto"/>
                <w:kern w:val="0"/>
                <w:sz w:val="21"/>
                <w:szCs w:val="21"/>
                <w:highlight w:val="none"/>
              </w:rPr>
              <w:fldChar w:fldCharType="begin"/>
            </w:r>
            <w:r>
              <w:rPr>
                <w:rStyle w:val="83"/>
                <w:rFonts w:hint="default" w:ascii="Times New Roman" w:hAnsi="Times New Roman" w:eastAsia="宋体" w:cs="Times New Roman"/>
                <w:color w:val="auto"/>
                <w:kern w:val="0"/>
                <w:sz w:val="21"/>
                <w:szCs w:val="21"/>
                <w:highlight w:val="none"/>
              </w:rPr>
              <w:instrText xml:space="preserve"> = 4 \* ROMAN </w:instrText>
            </w:r>
            <w:r>
              <w:rPr>
                <w:rStyle w:val="83"/>
                <w:rFonts w:hint="default" w:ascii="Times New Roman" w:hAnsi="Times New Roman" w:eastAsia="宋体" w:cs="Times New Roman"/>
                <w:color w:val="auto"/>
                <w:kern w:val="0"/>
                <w:sz w:val="21"/>
                <w:szCs w:val="21"/>
                <w:highlight w:val="none"/>
              </w:rPr>
              <w:fldChar w:fldCharType="separate"/>
            </w:r>
            <w:r>
              <w:rPr>
                <w:rStyle w:val="83"/>
                <w:rFonts w:hint="default" w:ascii="Times New Roman" w:hAnsi="Times New Roman" w:eastAsia="宋体" w:cs="Times New Roman"/>
                <w:color w:val="auto"/>
                <w:kern w:val="0"/>
                <w:sz w:val="21"/>
                <w:szCs w:val="21"/>
                <w:highlight w:val="none"/>
              </w:rPr>
              <w:t>IV</w:t>
            </w:r>
            <w:r>
              <w:rPr>
                <w:rStyle w:val="83"/>
                <w:rFonts w:hint="default" w:ascii="Times New Roman" w:hAnsi="Times New Roman" w:eastAsia="宋体" w:cs="Times New Roman"/>
                <w:color w:val="auto"/>
                <w:kern w:val="0"/>
                <w:sz w:val="21"/>
                <w:szCs w:val="21"/>
                <w:highlight w:val="none"/>
              </w:rPr>
              <w:fldChar w:fldCharType="end"/>
            </w:r>
            <w:r>
              <w:rPr>
                <w:rStyle w:val="83"/>
                <w:rFonts w:hint="default" w:ascii="Times New Roman" w:hAnsi="Times New Roman" w:eastAsia="宋体" w:cs="Times New Roman"/>
                <w:color w:val="auto"/>
                <w:kern w:val="0"/>
                <w:sz w:val="21"/>
                <w:szCs w:val="21"/>
                <w:highlight w:val="none"/>
              </w:rPr>
              <w:t>+为极高环境风险</w:t>
            </w:r>
          </w:p>
        </w:tc>
      </w:tr>
    </w:tbl>
    <w:p w14:paraId="456DB4B5">
      <w:pPr>
        <w:bidi w:val="0"/>
        <w:rPr>
          <w:highlight w:val="none"/>
        </w:rPr>
      </w:pPr>
      <w:r>
        <w:rPr>
          <w:rFonts w:hint="eastAsia"/>
          <w:highlight w:val="none"/>
        </w:rPr>
        <w:t>环境敏程度按照最高取值，因此本项目环境风险潜势为</w:t>
      </w:r>
      <w:r>
        <w:rPr>
          <w:highlight w:val="none"/>
        </w:rPr>
        <w:fldChar w:fldCharType="begin"/>
      </w:r>
      <w:r>
        <w:rPr>
          <w:highlight w:val="none"/>
        </w:rPr>
        <w:instrText xml:space="preserve"> </w:instrText>
      </w:r>
      <w:r>
        <w:rPr>
          <w:rFonts w:hint="eastAsia"/>
          <w:highlight w:val="none"/>
        </w:rPr>
        <w:instrText xml:space="preserve">= 3 \* ROMAN</w:instrText>
      </w:r>
      <w:r>
        <w:rPr>
          <w:highlight w:val="none"/>
        </w:rPr>
        <w:instrText xml:space="preserve"> </w:instrText>
      </w:r>
      <w:r>
        <w:rPr>
          <w:highlight w:val="none"/>
        </w:rPr>
        <w:fldChar w:fldCharType="separate"/>
      </w:r>
      <w:r>
        <w:rPr>
          <w:highlight w:val="none"/>
        </w:rPr>
        <w:t>III</w:t>
      </w:r>
      <w:r>
        <w:rPr>
          <w:highlight w:val="none"/>
        </w:rPr>
        <w:fldChar w:fldCharType="end"/>
      </w:r>
      <w:r>
        <w:rPr>
          <w:highlight w:val="none"/>
        </w:rPr>
        <w:t>，风险评价等级为</w:t>
      </w:r>
      <w:r>
        <w:rPr>
          <w:rFonts w:hint="eastAsia"/>
          <w:highlight w:val="none"/>
        </w:rPr>
        <w:t>二级。</w:t>
      </w:r>
    </w:p>
    <w:p w14:paraId="4580A2E0">
      <w:pPr>
        <w:pStyle w:val="4"/>
        <w:bidi w:val="0"/>
        <w:rPr>
          <w:highlight w:val="none"/>
        </w:rPr>
      </w:pPr>
      <w:bookmarkStart w:id="185" w:name="_Toc18944"/>
      <w:bookmarkStart w:id="186" w:name="_Toc10745"/>
      <w:r>
        <w:rPr>
          <w:highlight w:val="none"/>
        </w:rPr>
        <w:t>2.4.7土壤评价工作等级</w:t>
      </w:r>
      <w:bookmarkEnd w:id="185"/>
      <w:bookmarkEnd w:id="186"/>
    </w:p>
    <w:p w14:paraId="12200A9C">
      <w:pPr>
        <w:spacing w:line="360" w:lineRule="auto"/>
        <w:ind w:firstLine="480" w:firstLineChars="200"/>
        <w:contextualSpacing/>
        <w:rPr>
          <w:rFonts w:eastAsiaTheme="minorEastAsia"/>
          <w:snapToGrid w:val="0"/>
          <w:kern w:val="0"/>
          <w:sz w:val="24"/>
          <w:szCs w:val="22"/>
          <w:highlight w:val="none"/>
        </w:rPr>
      </w:pPr>
      <w:r>
        <w:rPr>
          <w:rFonts w:hAnsiTheme="minorEastAsia" w:eastAsiaTheme="minorEastAsia"/>
          <w:snapToGrid w:val="0"/>
          <w:kern w:val="0"/>
          <w:sz w:val="24"/>
          <w:szCs w:val="22"/>
          <w:highlight w:val="none"/>
        </w:rPr>
        <w:t>根据《环境影响评价技术导则</w:t>
      </w:r>
      <w:r>
        <w:rPr>
          <w:rFonts w:hAnsiTheme="minorEastAsia" w:eastAsiaTheme="minorEastAsia"/>
          <w:snapToGrid w:val="0"/>
          <w:sz w:val="24"/>
          <w:szCs w:val="22"/>
          <w:highlight w:val="none"/>
        </w:rPr>
        <w:t>土壤环境（试行）</w:t>
      </w:r>
      <w:r>
        <w:rPr>
          <w:rFonts w:hAnsiTheme="minorEastAsia" w:eastAsiaTheme="minorEastAsia"/>
          <w:snapToGrid w:val="0"/>
          <w:kern w:val="0"/>
          <w:sz w:val="24"/>
          <w:szCs w:val="22"/>
          <w:highlight w:val="none"/>
        </w:rPr>
        <w:t>》（</w:t>
      </w:r>
      <w:r>
        <w:rPr>
          <w:rFonts w:eastAsiaTheme="minorEastAsia"/>
          <w:snapToGrid w:val="0"/>
          <w:kern w:val="0"/>
          <w:sz w:val="24"/>
          <w:szCs w:val="22"/>
          <w:highlight w:val="none"/>
        </w:rPr>
        <w:t>HJ</w:t>
      </w:r>
      <w:r>
        <w:rPr>
          <w:rFonts w:eastAsiaTheme="minorEastAsia"/>
          <w:snapToGrid w:val="0"/>
          <w:sz w:val="24"/>
          <w:szCs w:val="22"/>
          <w:highlight w:val="none"/>
        </w:rPr>
        <w:t>964</w:t>
      </w:r>
      <w:r>
        <w:rPr>
          <w:rFonts w:eastAsiaTheme="minorEastAsia"/>
          <w:snapToGrid w:val="0"/>
          <w:kern w:val="0"/>
          <w:sz w:val="24"/>
          <w:szCs w:val="22"/>
          <w:highlight w:val="none"/>
        </w:rPr>
        <w:t>-201</w:t>
      </w:r>
      <w:r>
        <w:rPr>
          <w:rFonts w:eastAsiaTheme="minorEastAsia"/>
          <w:snapToGrid w:val="0"/>
          <w:sz w:val="24"/>
          <w:szCs w:val="22"/>
          <w:highlight w:val="none"/>
        </w:rPr>
        <w:t>8</w:t>
      </w:r>
      <w:r>
        <w:rPr>
          <w:rFonts w:hAnsiTheme="minorEastAsia" w:eastAsiaTheme="minorEastAsia"/>
          <w:snapToGrid w:val="0"/>
          <w:kern w:val="0"/>
          <w:sz w:val="24"/>
          <w:szCs w:val="22"/>
          <w:highlight w:val="none"/>
        </w:rPr>
        <w:t>），本项目属于污染影响型项目。根据附录</w:t>
      </w:r>
      <w:r>
        <w:rPr>
          <w:rFonts w:eastAsiaTheme="minorEastAsia"/>
          <w:snapToGrid w:val="0"/>
          <w:kern w:val="0"/>
          <w:sz w:val="24"/>
          <w:szCs w:val="22"/>
          <w:highlight w:val="none"/>
        </w:rPr>
        <w:t>A</w:t>
      </w:r>
      <w:r>
        <w:rPr>
          <w:rFonts w:hAnsiTheme="minorEastAsia" w:eastAsiaTheme="minorEastAsia"/>
          <w:snapToGrid w:val="0"/>
          <w:kern w:val="0"/>
          <w:sz w:val="24"/>
          <w:szCs w:val="22"/>
          <w:highlight w:val="none"/>
        </w:rPr>
        <w:t>土壤环境影响评价项目类别判断本项目类别，具体见下表。</w:t>
      </w:r>
    </w:p>
    <w:p w14:paraId="1ECD794E">
      <w:pPr>
        <w:pStyle w:val="7"/>
        <w:bidi w:val="0"/>
        <w:rPr>
          <w:highlight w:val="none"/>
        </w:rPr>
      </w:pPr>
      <w:r>
        <w:rPr>
          <w:highlight w:val="none"/>
        </w:rPr>
        <w:t>表2-4-</w:t>
      </w:r>
      <w:r>
        <w:rPr>
          <w:rFonts w:hint="eastAsia"/>
          <w:highlight w:val="none"/>
          <w:lang w:val="en-US" w:eastAsia="zh-CN"/>
        </w:rPr>
        <w:t>13</w:t>
      </w:r>
      <w:r>
        <w:rPr>
          <w:highlight w:val="none"/>
        </w:rPr>
        <w:t>土壤环境影响评价项目类别</w:t>
      </w:r>
    </w:p>
    <w:tbl>
      <w:tblPr>
        <w:tblStyle w:val="739"/>
        <w:tblW w:w="5000" w:type="pct"/>
        <w:tblInd w:w="108"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2363"/>
        <w:gridCol w:w="3101"/>
        <w:gridCol w:w="2842"/>
      </w:tblGrid>
      <w:tr w14:paraId="2B4CA62C">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09" w:hRule="atLeast"/>
        </w:trPr>
        <w:tc>
          <w:tcPr>
            <w:tcW w:w="2363" w:type="dxa"/>
            <w:tcBorders>
              <w:top w:val="single" w:color="000000" w:sz="12" w:space="0"/>
              <w:left w:val="nil"/>
              <w:bottom w:val="single" w:color="000000" w:sz="6" w:space="0"/>
              <w:right w:val="single" w:color="000000" w:sz="6" w:space="0"/>
            </w:tcBorders>
            <w:shd w:val="clear" w:color="auto" w:fill="auto"/>
            <w:vAlign w:val="center"/>
          </w:tcPr>
          <w:p w14:paraId="5CCC5E9D">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行业类别</w:t>
            </w:r>
          </w:p>
        </w:tc>
        <w:tc>
          <w:tcPr>
            <w:tcW w:w="3101" w:type="dxa"/>
            <w:tcBorders>
              <w:top w:val="single" w:color="000000" w:sz="12" w:space="0"/>
              <w:left w:val="single" w:color="000000" w:sz="6" w:space="0"/>
              <w:bottom w:val="single" w:color="000000" w:sz="6" w:space="0"/>
              <w:right w:val="single" w:color="000000" w:sz="6" w:space="0"/>
            </w:tcBorders>
            <w:shd w:val="clear" w:color="auto" w:fill="auto"/>
            <w:vAlign w:val="center"/>
          </w:tcPr>
          <w:p w14:paraId="5EE6D7DC">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环评类别</w:t>
            </w:r>
          </w:p>
        </w:tc>
        <w:tc>
          <w:tcPr>
            <w:tcW w:w="2842" w:type="dxa"/>
            <w:tcBorders>
              <w:top w:val="single" w:color="000000" w:sz="12" w:space="0"/>
              <w:left w:val="single" w:color="000000" w:sz="6" w:space="0"/>
              <w:bottom w:val="single" w:color="000000" w:sz="6" w:space="0"/>
              <w:right w:val="nil"/>
            </w:tcBorders>
            <w:shd w:val="clear" w:color="auto" w:fill="auto"/>
            <w:vAlign w:val="center"/>
          </w:tcPr>
          <w:p w14:paraId="3AE20937">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土壤环境影响评价项目类别</w:t>
            </w:r>
          </w:p>
        </w:tc>
      </w:tr>
      <w:tr w14:paraId="1692EAF6">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9" w:hRule="atLeast"/>
        </w:trPr>
        <w:tc>
          <w:tcPr>
            <w:tcW w:w="2363" w:type="dxa"/>
            <w:tcBorders>
              <w:top w:val="single" w:color="000000" w:sz="6" w:space="0"/>
              <w:left w:val="nil"/>
              <w:bottom w:val="single" w:color="000000" w:sz="6" w:space="0"/>
              <w:right w:val="single" w:color="000000" w:sz="6" w:space="0"/>
            </w:tcBorders>
            <w:shd w:val="clear" w:color="auto" w:fill="auto"/>
            <w:vAlign w:val="center"/>
          </w:tcPr>
          <w:p w14:paraId="556A3AF0">
            <w:pPr>
              <w:pStyle w:val="8"/>
              <w:suppressLineNumbers w:val="0"/>
              <w:bidi w:val="0"/>
              <w:spacing w:before="0" w:beforeAutospacing="0" w:after="0" w:afterAutospacing="0"/>
              <w:ind w:left="0" w:right="0"/>
              <w:rPr>
                <w:rFonts w:hint="default"/>
                <w:snapToGrid w:val="0"/>
                <w:color w:val="000000" w:themeColor="text1"/>
                <w:highlight w:val="none"/>
              </w:rPr>
            </w:pPr>
            <w:r>
              <w:rPr>
                <w:rFonts w:hint="default"/>
                <w:snapToGrid w:val="0"/>
                <w:color w:val="000000" w:themeColor="text1"/>
                <w:highlight w:val="none"/>
              </w:rPr>
              <w:t>环境和公共设施管理业</w:t>
            </w:r>
          </w:p>
        </w:tc>
        <w:tc>
          <w:tcPr>
            <w:tcW w:w="3101" w:type="dxa"/>
            <w:tcBorders>
              <w:top w:val="single" w:color="000000" w:sz="6" w:space="0"/>
              <w:left w:val="single" w:color="000000" w:sz="6" w:space="0"/>
              <w:bottom w:val="single" w:color="000000" w:sz="6" w:space="0"/>
              <w:right w:val="single" w:color="000000" w:sz="2" w:space="0"/>
            </w:tcBorders>
            <w:shd w:val="clear" w:color="auto" w:fill="auto"/>
            <w:vAlign w:val="center"/>
          </w:tcPr>
          <w:p w14:paraId="7AB38656">
            <w:pPr>
              <w:pStyle w:val="8"/>
              <w:suppressLineNumbers w:val="0"/>
              <w:bidi w:val="0"/>
              <w:spacing w:before="0" w:beforeAutospacing="0" w:after="0" w:afterAutospacing="0"/>
              <w:ind w:left="0" w:right="0"/>
              <w:rPr>
                <w:rFonts w:hint="default"/>
                <w:snapToGrid w:val="0"/>
                <w:color w:val="000000" w:themeColor="text1"/>
                <w:highlight w:val="none"/>
                <w:lang w:eastAsia="en-US"/>
              </w:rPr>
            </w:pPr>
            <w:r>
              <w:rPr>
                <w:rFonts w:hint="default"/>
                <w:snapToGrid w:val="0"/>
                <w:color w:val="000000" w:themeColor="text1"/>
                <w:highlight w:val="none"/>
                <w:lang w:eastAsia="en-US"/>
              </w:rPr>
              <w:t>危险废物利用及处置</w:t>
            </w:r>
          </w:p>
        </w:tc>
        <w:tc>
          <w:tcPr>
            <w:tcW w:w="2842" w:type="dxa"/>
            <w:tcBorders>
              <w:top w:val="single" w:color="000000" w:sz="6" w:space="0"/>
              <w:left w:val="single" w:color="000000" w:sz="2" w:space="0"/>
              <w:bottom w:val="single" w:color="000000" w:sz="6" w:space="0"/>
              <w:right w:val="nil"/>
            </w:tcBorders>
            <w:shd w:val="clear" w:color="auto" w:fill="auto"/>
            <w:vAlign w:val="center"/>
          </w:tcPr>
          <w:p w14:paraId="7B9AFD04">
            <w:pPr>
              <w:pStyle w:val="8"/>
              <w:suppressLineNumbers w:val="0"/>
              <w:bidi w:val="0"/>
              <w:spacing w:before="0" w:beforeAutospacing="0" w:after="0" w:afterAutospacing="0"/>
              <w:ind w:left="0" w:right="0"/>
              <w:rPr>
                <w:rFonts w:hint="default"/>
                <w:snapToGrid w:val="0"/>
                <w:color w:val="000000" w:themeColor="text1"/>
                <w:highlight w:val="none"/>
                <w:lang w:eastAsia="en-US"/>
              </w:rPr>
            </w:pPr>
            <w:r>
              <w:rPr>
                <w:rFonts w:hint="default"/>
                <w:snapToGrid w:val="0"/>
                <w:color w:val="000000" w:themeColor="text1"/>
                <w:highlight w:val="none"/>
                <w:lang w:eastAsia="en-US"/>
              </w:rPr>
              <w:t>Ⅰ类</w:t>
            </w:r>
          </w:p>
        </w:tc>
      </w:tr>
      <w:tr w14:paraId="6B6DBABF">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9" w:hRule="atLeast"/>
        </w:trPr>
        <w:tc>
          <w:tcPr>
            <w:tcW w:w="2363" w:type="dxa"/>
            <w:tcBorders>
              <w:top w:val="single" w:color="000000" w:sz="6" w:space="0"/>
              <w:left w:val="nil"/>
              <w:bottom w:val="single" w:color="000000" w:sz="12" w:space="0"/>
              <w:right w:val="single" w:color="000000" w:sz="6" w:space="0"/>
            </w:tcBorders>
            <w:shd w:val="clear" w:color="auto" w:fill="auto"/>
            <w:vAlign w:val="center"/>
          </w:tcPr>
          <w:p w14:paraId="09D53E1F">
            <w:pPr>
              <w:pStyle w:val="8"/>
              <w:suppressLineNumbers w:val="0"/>
              <w:bidi w:val="0"/>
              <w:spacing w:before="0" w:beforeAutospacing="0" w:after="0" w:afterAutospacing="0"/>
              <w:ind w:left="0" w:right="0"/>
              <w:rPr>
                <w:rFonts w:hint="default"/>
                <w:snapToGrid w:val="0"/>
                <w:color w:val="000000" w:themeColor="text1"/>
                <w:highlight w:val="none"/>
              </w:rPr>
            </w:pPr>
            <w:r>
              <w:rPr>
                <w:rFonts w:hint="default" w:ascii="Times New Roman" w:hAnsi="Times New Roman"/>
                <w:snapToGrid w:val="0"/>
                <w:color w:val="000000" w:themeColor="text1"/>
                <w:sz w:val="21"/>
                <w:szCs w:val="21"/>
                <w:highlight w:val="none"/>
              </w:rPr>
              <w:t>制造业</w:t>
            </w:r>
          </w:p>
        </w:tc>
        <w:tc>
          <w:tcPr>
            <w:tcW w:w="3101" w:type="dxa"/>
            <w:tcBorders>
              <w:top w:val="single" w:color="000000" w:sz="6" w:space="0"/>
              <w:left w:val="single" w:color="000000" w:sz="6" w:space="0"/>
              <w:bottom w:val="single" w:color="000000" w:sz="12" w:space="0"/>
              <w:right w:val="single" w:color="000000" w:sz="2" w:space="0"/>
            </w:tcBorders>
            <w:shd w:val="clear" w:color="auto" w:fill="auto"/>
            <w:vAlign w:val="center"/>
          </w:tcPr>
          <w:p w14:paraId="6F869AA7">
            <w:pPr>
              <w:pStyle w:val="8"/>
              <w:suppressLineNumbers w:val="0"/>
              <w:bidi w:val="0"/>
              <w:spacing w:before="0" w:beforeAutospacing="0" w:after="0" w:afterAutospacing="0"/>
              <w:ind w:left="0" w:right="0"/>
              <w:rPr>
                <w:rFonts w:hint="default"/>
                <w:snapToGrid w:val="0"/>
                <w:color w:val="000000" w:themeColor="text1"/>
                <w:highlight w:val="none"/>
                <w:lang w:eastAsia="en-US"/>
              </w:rPr>
            </w:pPr>
            <w:r>
              <w:rPr>
                <w:rFonts w:hint="default" w:ascii="Times New Roman" w:hAnsi="Times New Roman"/>
                <w:snapToGrid w:val="0"/>
                <w:color w:val="000000" w:themeColor="text1"/>
                <w:sz w:val="21"/>
                <w:szCs w:val="21"/>
                <w:highlight w:val="none"/>
              </w:rPr>
              <w:t>设备制备、金属制品、汽车制造及其它用品制造</w:t>
            </w:r>
          </w:p>
        </w:tc>
        <w:tc>
          <w:tcPr>
            <w:tcW w:w="2842" w:type="dxa"/>
            <w:tcBorders>
              <w:top w:val="single" w:color="000000" w:sz="6" w:space="0"/>
              <w:left w:val="single" w:color="000000" w:sz="2" w:space="0"/>
              <w:bottom w:val="single" w:color="000000" w:sz="12" w:space="0"/>
              <w:right w:val="nil"/>
            </w:tcBorders>
            <w:shd w:val="clear" w:color="auto" w:fill="auto"/>
            <w:vAlign w:val="center"/>
          </w:tcPr>
          <w:p w14:paraId="4B77D212">
            <w:pPr>
              <w:pStyle w:val="8"/>
              <w:suppressLineNumbers w:val="0"/>
              <w:bidi w:val="0"/>
              <w:spacing w:before="0" w:beforeAutospacing="0" w:after="0" w:afterAutospacing="0"/>
              <w:ind w:left="0" w:right="0"/>
              <w:rPr>
                <w:rFonts w:hint="default"/>
                <w:snapToGrid w:val="0"/>
                <w:color w:val="000000" w:themeColor="text1"/>
                <w:highlight w:val="none"/>
                <w:lang w:eastAsia="en-US"/>
              </w:rPr>
            </w:pPr>
            <w:r>
              <w:rPr>
                <w:rFonts w:hint="default" w:ascii="Times New Roman" w:hAnsi="Times New Roman"/>
                <w:snapToGrid w:val="0"/>
                <w:color w:val="000000" w:themeColor="text1"/>
                <w:sz w:val="21"/>
                <w:szCs w:val="21"/>
                <w:highlight w:val="none"/>
              </w:rPr>
              <w:t>Ⅲ类</w:t>
            </w:r>
          </w:p>
        </w:tc>
      </w:tr>
    </w:tbl>
    <w:p w14:paraId="6550EF80">
      <w:pPr>
        <w:bidi w:val="0"/>
        <w:rPr>
          <w:rFonts w:eastAsiaTheme="minorEastAsia"/>
          <w:highlight w:val="none"/>
        </w:rPr>
      </w:pPr>
      <w:r>
        <w:rPr>
          <w:color w:val="000000" w:themeColor="text1"/>
          <w:highlight w:val="none"/>
        </w:rPr>
        <w:t>建设项目的占地规模分为大型</w:t>
      </w:r>
      <w:r>
        <w:rPr>
          <w:rFonts w:hint="eastAsia"/>
          <w:color w:val="000000" w:themeColor="text1"/>
          <w:highlight w:val="none"/>
          <w:lang w:eastAsia="zh-CN"/>
        </w:rPr>
        <w:t>（</w:t>
      </w:r>
      <w:r>
        <w:rPr>
          <w:color w:val="000000" w:themeColor="text1"/>
          <w:highlight w:val="none"/>
        </w:rPr>
        <w:t>≥50hm</w:t>
      </w:r>
      <w:r>
        <w:rPr>
          <w:color w:val="000000" w:themeColor="text1"/>
          <w:highlight w:val="none"/>
          <w:vertAlign w:val="superscript"/>
        </w:rPr>
        <w:t>2</w:t>
      </w:r>
      <w:r>
        <w:rPr>
          <w:rFonts w:hint="eastAsia"/>
          <w:color w:val="000000" w:themeColor="text1"/>
          <w:highlight w:val="none"/>
          <w:lang w:eastAsia="zh-CN"/>
        </w:rPr>
        <w:t>）</w:t>
      </w:r>
      <w:r>
        <w:rPr>
          <w:color w:val="000000" w:themeColor="text1"/>
          <w:highlight w:val="none"/>
        </w:rPr>
        <w:t>、中型（5~50hm</w:t>
      </w:r>
      <w:r>
        <w:rPr>
          <w:color w:val="000000" w:themeColor="text1"/>
          <w:highlight w:val="none"/>
          <w:vertAlign w:val="superscript"/>
        </w:rPr>
        <w:t>2</w:t>
      </w:r>
      <w:r>
        <w:rPr>
          <w:color w:val="000000" w:themeColor="text1"/>
          <w:highlight w:val="none"/>
        </w:rPr>
        <w:t>）、小型（≤5hm</w:t>
      </w:r>
      <w:r>
        <w:rPr>
          <w:color w:val="000000" w:themeColor="text1"/>
          <w:highlight w:val="none"/>
          <w:vertAlign w:val="superscript"/>
        </w:rPr>
        <w:t>2</w:t>
      </w:r>
      <w:r>
        <w:rPr>
          <w:color w:val="000000" w:themeColor="text1"/>
          <w:highlight w:val="none"/>
        </w:rPr>
        <w:t>），建设项目占地为永久占地。本项目</w:t>
      </w:r>
      <w:r>
        <w:rPr>
          <w:rFonts w:hint="eastAsia"/>
          <w:color w:val="000000" w:themeColor="text1"/>
          <w:highlight w:val="none"/>
          <w:lang w:val="en-US" w:eastAsia="zh-CN"/>
        </w:rPr>
        <w:t>租赁</w:t>
      </w:r>
      <w:r>
        <w:rPr>
          <w:color w:val="000000" w:themeColor="text1"/>
          <w:highlight w:val="none"/>
        </w:rPr>
        <w:t>面积约为</w:t>
      </w:r>
      <w:r>
        <w:rPr>
          <w:rFonts w:hint="eastAsia" w:ascii="Times New Roman" w:hAnsi="Times New Roman"/>
          <w:color w:val="000000" w:themeColor="text1"/>
          <w:kern w:val="0"/>
          <w:highlight w:val="none"/>
        </w:rPr>
        <w:t>27.4850hm</w:t>
      </w:r>
      <w:r>
        <w:rPr>
          <w:rFonts w:hint="eastAsia" w:ascii="Times New Roman" w:hAnsi="Times New Roman"/>
          <w:color w:val="000000" w:themeColor="text1"/>
          <w:kern w:val="0"/>
          <w:highlight w:val="none"/>
          <w:vertAlign w:val="superscript"/>
        </w:rPr>
        <w:t>2</w:t>
      </w:r>
      <w:r>
        <w:rPr>
          <w:color w:val="000000" w:themeColor="text1"/>
          <w:highlight w:val="none"/>
        </w:rPr>
        <w:t>，用地性质为</w:t>
      </w:r>
      <w:r>
        <w:rPr>
          <w:rFonts w:hint="eastAsia"/>
          <w:color w:val="000000" w:themeColor="text1"/>
          <w:highlight w:val="none"/>
          <w:lang w:val="en-US" w:eastAsia="zh-CN"/>
        </w:rPr>
        <w:t>工业</w:t>
      </w:r>
      <w:r>
        <w:rPr>
          <w:color w:val="000000" w:themeColor="text1"/>
          <w:highlight w:val="none"/>
        </w:rPr>
        <w:t>用地。项目占地规模</w:t>
      </w:r>
      <w:r>
        <w:rPr>
          <w:rFonts w:hAnsiTheme="minorEastAsia" w:eastAsiaTheme="minorEastAsia"/>
          <w:color w:val="000000" w:themeColor="text1"/>
          <w:highlight w:val="none"/>
        </w:rPr>
        <w:t>为</w:t>
      </w:r>
      <w:r>
        <w:rPr>
          <w:rFonts w:hint="eastAsia" w:hAnsiTheme="minorEastAsia" w:eastAsiaTheme="minorEastAsia"/>
          <w:color w:val="000000" w:themeColor="text1"/>
          <w:highlight w:val="none"/>
          <w:lang w:val="en-US" w:eastAsia="zh-CN"/>
        </w:rPr>
        <w:t>中</w:t>
      </w:r>
      <w:r>
        <w:rPr>
          <w:rFonts w:hAnsiTheme="minorEastAsia" w:eastAsiaTheme="minorEastAsia"/>
          <w:color w:val="000000" w:themeColor="text1"/>
          <w:highlight w:val="none"/>
        </w:rPr>
        <w:t>型（</w:t>
      </w:r>
      <w:r>
        <w:rPr>
          <w:rFonts w:hint="eastAsia" w:ascii="Times New Roman" w:hAnsi="Times New Roman"/>
          <w:color w:val="000000" w:themeColor="text1"/>
          <w:kern w:val="0"/>
          <w:highlight w:val="none"/>
        </w:rPr>
        <w:t>5~50hm</w:t>
      </w:r>
      <w:r>
        <w:rPr>
          <w:rFonts w:hint="eastAsia" w:ascii="Times New Roman" w:hAnsi="Times New Roman"/>
          <w:color w:val="000000" w:themeColor="text1"/>
          <w:kern w:val="0"/>
          <w:highlight w:val="none"/>
          <w:vertAlign w:val="superscript"/>
        </w:rPr>
        <w:t>2</w:t>
      </w:r>
      <w:r>
        <w:rPr>
          <w:rFonts w:hAnsiTheme="minorEastAsia" w:eastAsiaTheme="minorEastAsia"/>
          <w:color w:val="000000" w:themeColor="text1"/>
          <w:highlight w:val="none"/>
        </w:rPr>
        <w:t>）。</w:t>
      </w:r>
      <w:r>
        <w:rPr>
          <w:rFonts w:hAnsiTheme="minorEastAsia" w:eastAsiaTheme="minorEastAsia"/>
          <w:snapToGrid w:val="0"/>
          <w:color w:val="000000" w:themeColor="text1"/>
          <w:szCs w:val="22"/>
          <w:highlight w:val="none"/>
        </w:rPr>
        <w:t>建设项目所</w:t>
      </w:r>
      <w:r>
        <w:rPr>
          <w:rFonts w:hAnsiTheme="minorEastAsia" w:eastAsiaTheme="minorEastAsia"/>
          <w:snapToGrid w:val="0"/>
          <w:szCs w:val="22"/>
          <w:highlight w:val="none"/>
        </w:rPr>
        <w:t>在地周边的土壤环境敏感程度分为敏感、较敏感、不敏感，判别依据见下表。</w:t>
      </w:r>
    </w:p>
    <w:p w14:paraId="4D037A88">
      <w:pPr>
        <w:pStyle w:val="7"/>
        <w:bidi w:val="0"/>
        <w:rPr>
          <w:highlight w:val="none"/>
        </w:rPr>
      </w:pPr>
      <w:r>
        <w:rPr>
          <w:highlight w:val="none"/>
        </w:rPr>
        <w:t>表2-4-</w:t>
      </w:r>
      <w:r>
        <w:rPr>
          <w:rFonts w:hint="eastAsia"/>
          <w:highlight w:val="none"/>
          <w:lang w:val="en-US" w:eastAsia="zh-CN"/>
        </w:rPr>
        <w:t>14</w:t>
      </w:r>
      <w:r>
        <w:rPr>
          <w:highlight w:val="none"/>
        </w:rPr>
        <w:t>污染影响型敏感程度分级表</w:t>
      </w:r>
    </w:p>
    <w:tbl>
      <w:tblPr>
        <w:tblStyle w:val="45"/>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242"/>
        <w:gridCol w:w="7280"/>
      </w:tblGrid>
      <w:tr w14:paraId="210FF69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1242" w:type="dxa"/>
            <w:vAlign w:val="center"/>
          </w:tcPr>
          <w:p w14:paraId="250A3B23">
            <w:pPr>
              <w:pStyle w:val="8"/>
              <w:suppressLineNumbers w:val="0"/>
              <w:bidi w:val="0"/>
              <w:spacing w:before="0" w:beforeAutospacing="0" w:after="0" w:afterAutospacing="0"/>
              <w:ind w:left="0" w:right="0"/>
              <w:rPr>
                <w:rFonts w:hint="default"/>
                <w:highlight w:val="none"/>
              </w:rPr>
            </w:pPr>
            <w:r>
              <w:rPr>
                <w:rFonts w:hint="default"/>
                <w:highlight w:val="none"/>
              </w:rPr>
              <w:t>敏感程度</w:t>
            </w:r>
          </w:p>
        </w:tc>
        <w:tc>
          <w:tcPr>
            <w:tcW w:w="7280" w:type="dxa"/>
            <w:vAlign w:val="center"/>
          </w:tcPr>
          <w:p w14:paraId="672EFC2D">
            <w:pPr>
              <w:pStyle w:val="8"/>
              <w:suppressLineNumbers w:val="0"/>
              <w:bidi w:val="0"/>
              <w:spacing w:before="0" w:beforeAutospacing="0" w:after="0" w:afterAutospacing="0"/>
              <w:ind w:left="0" w:right="0"/>
              <w:rPr>
                <w:rFonts w:hint="default"/>
                <w:highlight w:val="none"/>
              </w:rPr>
            </w:pPr>
            <w:r>
              <w:rPr>
                <w:rFonts w:hint="default"/>
                <w:highlight w:val="none"/>
              </w:rPr>
              <w:t>判别依据</w:t>
            </w:r>
          </w:p>
        </w:tc>
      </w:tr>
      <w:tr w14:paraId="1C020F6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1242" w:type="dxa"/>
            <w:vAlign w:val="center"/>
          </w:tcPr>
          <w:p w14:paraId="31EB9B73">
            <w:pPr>
              <w:pStyle w:val="8"/>
              <w:suppressLineNumbers w:val="0"/>
              <w:bidi w:val="0"/>
              <w:spacing w:before="0" w:beforeAutospacing="0" w:after="0" w:afterAutospacing="0"/>
              <w:ind w:left="0" w:right="0"/>
              <w:rPr>
                <w:rFonts w:hint="default"/>
                <w:highlight w:val="none"/>
              </w:rPr>
            </w:pPr>
            <w:r>
              <w:rPr>
                <w:rFonts w:hint="default"/>
                <w:highlight w:val="none"/>
              </w:rPr>
              <w:t>敏感</w:t>
            </w:r>
          </w:p>
        </w:tc>
        <w:tc>
          <w:tcPr>
            <w:tcW w:w="7280" w:type="dxa"/>
            <w:vAlign w:val="center"/>
          </w:tcPr>
          <w:p w14:paraId="29B4E4E9">
            <w:pPr>
              <w:pStyle w:val="8"/>
              <w:suppressLineNumbers w:val="0"/>
              <w:bidi w:val="0"/>
              <w:spacing w:before="0" w:beforeAutospacing="0" w:after="0" w:afterAutospacing="0"/>
              <w:ind w:left="0" w:right="0"/>
              <w:rPr>
                <w:rFonts w:hint="default"/>
                <w:highlight w:val="none"/>
              </w:rPr>
            </w:pPr>
            <w:r>
              <w:rPr>
                <w:rFonts w:hint="default"/>
                <w:highlight w:val="none"/>
              </w:rPr>
              <w:t>建设项目周边存在耕地、园地、牧草地、饮用水水源地或居民区、学校、医院、疗养院、养老院等土壤环境敏感目标的</w:t>
            </w:r>
          </w:p>
        </w:tc>
      </w:tr>
      <w:tr w14:paraId="0DC8706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1242" w:type="dxa"/>
            <w:vAlign w:val="center"/>
          </w:tcPr>
          <w:p w14:paraId="66B7786D">
            <w:pPr>
              <w:pStyle w:val="8"/>
              <w:suppressLineNumbers w:val="0"/>
              <w:bidi w:val="0"/>
              <w:spacing w:before="0" w:beforeAutospacing="0" w:after="0" w:afterAutospacing="0"/>
              <w:ind w:left="0" w:right="0"/>
              <w:rPr>
                <w:rFonts w:hint="default"/>
                <w:highlight w:val="none"/>
              </w:rPr>
            </w:pPr>
            <w:r>
              <w:rPr>
                <w:rFonts w:hint="default"/>
                <w:highlight w:val="none"/>
              </w:rPr>
              <w:t>较敏感</w:t>
            </w:r>
          </w:p>
        </w:tc>
        <w:tc>
          <w:tcPr>
            <w:tcW w:w="7280" w:type="dxa"/>
            <w:vAlign w:val="center"/>
          </w:tcPr>
          <w:p w14:paraId="6A2AFD89">
            <w:pPr>
              <w:pStyle w:val="8"/>
              <w:suppressLineNumbers w:val="0"/>
              <w:bidi w:val="0"/>
              <w:spacing w:before="0" w:beforeAutospacing="0" w:after="0" w:afterAutospacing="0"/>
              <w:ind w:left="0" w:right="0"/>
              <w:rPr>
                <w:rFonts w:hint="default"/>
                <w:highlight w:val="none"/>
              </w:rPr>
            </w:pPr>
            <w:r>
              <w:rPr>
                <w:rFonts w:hint="default"/>
                <w:highlight w:val="none"/>
              </w:rPr>
              <w:t>建设项目周边存在其他土壤环境敏感目标的</w:t>
            </w:r>
          </w:p>
        </w:tc>
      </w:tr>
      <w:tr w14:paraId="115CF6E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1242" w:type="dxa"/>
            <w:vAlign w:val="center"/>
          </w:tcPr>
          <w:p w14:paraId="4FAD2BF1">
            <w:pPr>
              <w:pStyle w:val="8"/>
              <w:suppressLineNumbers w:val="0"/>
              <w:bidi w:val="0"/>
              <w:spacing w:before="0" w:beforeAutospacing="0" w:after="0" w:afterAutospacing="0"/>
              <w:ind w:left="0" w:right="0"/>
              <w:rPr>
                <w:rFonts w:hint="default"/>
                <w:highlight w:val="none"/>
              </w:rPr>
            </w:pPr>
            <w:r>
              <w:rPr>
                <w:rFonts w:hint="default"/>
                <w:highlight w:val="none"/>
              </w:rPr>
              <w:t>不敏感</w:t>
            </w:r>
          </w:p>
        </w:tc>
        <w:tc>
          <w:tcPr>
            <w:tcW w:w="7280" w:type="dxa"/>
            <w:vAlign w:val="center"/>
          </w:tcPr>
          <w:p w14:paraId="7101E49E">
            <w:pPr>
              <w:pStyle w:val="8"/>
              <w:suppressLineNumbers w:val="0"/>
              <w:bidi w:val="0"/>
              <w:spacing w:before="0" w:beforeAutospacing="0" w:after="0" w:afterAutospacing="0"/>
              <w:ind w:left="0" w:right="0"/>
              <w:rPr>
                <w:rFonts w:hint="default"/>
                <w:highlight w:val="none"/>
              </w:rPr>
            </w:pPr>
            <w:r>
              <w:rPr>
                <w:rFonts w:hint="default"/>
                <w:highlight w:val="none"/>
              </w:rPr>
              <w:t>其他情况</w:t>
            </w:r>
          </w:p>
        </w:tc>
      </w:tr>
    </w:tbl>
    <w:p w14:paraId="76A979EF">
      <w:pPr>
        <w:spacing w:line="360" w:lineRule="auto"/>
        <w:ind w:firstLine="480" w:firstLineChars="200"/>
        <w:rPr>
          <w:rFonts w:eastAsiaTheme="minorEastAsia"/>
          <w:snapToGrid w:val="0"/>
          <w:sz w:val="24"/>
          <w:szCs w:val="22"/>
          <w:highlight w:val="none"/>
        </w:rPr>
      </w:pPr>
      <w:r>
        <w:rPr>
          <w:rFonts w:hAnsiTheme="minorEastAsia" w:eastAsiaTheme="minorEastAsia"/>
          <w:snapToGrid w:val="0"/>
          <w:sz w:val="24"/>
          <w:szCs w:val="22"/>
          <w:highlight w:val="none"/>
        </w:rPr>
        <w:t>本项目周</w:t>
      </w:r>
      <w:r>
        <w:rPr>
          <w:rFonts w:hint="eastAsia" w:hAnsiTheme="minorEastAsia" w:eastAsiaTheme="minorEastAsia"/>
          <w:snapToGrid w:val="0"/>
          <w:sz w:val="24"/>
          <w:szCs w:val="22"/>
          <w:highlight w:val="none"/>
          <w:lang w:val="en-US" w:eastAsia="zh-CN"/>
        </w:rPr>
        <w:t>边290m范围内</w:t>
      </w:r>
      <w:r>
        <w:rPr>
          <w:rFonts w:hint="default" w:ascii="Times New Roman" w:hAnsi="Times New Roman" w:cs="Times New Roman" w:eastAsiaTheme="minorEastAsia"/>
          <w:snapToGrid w:val="0"/>
          <w:spacing w:val="0"/>
          <w:position w:val="0"/>
          <w:sz w:val="24"/>
          <w:szCs w:val="22"/>
          <w:highlight w:val="none"/>
        </w:rPr>
        <w:t>存在居民</w:t>
      </w:r>
      <w:r>
        <w:rPr>
          <w:rFonts w:hAnsiTheme="minorEastAsia" w:eastAsiaTheme="minorEastAsia"/>
          <w:snapToGrid w:val="0"/>
          <w:sz w:val="24"/>
          <w:szCs w:val="22"/>
          <w:highlight w:val="none"/>
        </w:rPr>
        <w:t>，因此污染影响敏感程度为敏感。</w:t>
      </w:r>
    </w:p>
    <w:p w14:paraId="6DD387EE">
      <w:pPr>
        <w:spacing w:line="360" w:lineRule="auto"/>
        <w:ind w:firstLine="480" w:firstLineChars="200"/>
        <w:rPr>
          <w:rFonts w:hAnsiTheme="minorEastAsia" w:eastAsiaTheme="minorEastAsia"/>
          <w:snapToGrid w:val="0"/>
          <w:sz w:val="24"/>
          <w:szCs w:val="22"/>
          <w:highlight w:val="none"/>
        </w:rPr>
      </w:pPr>
      <w:r>
        <w:rPr>
          <w:rFonts w:hAnsiTheme="minorEastAsia" w:eastAsiaTheme="minorEastAsia"/>
          <w:snapToGrid w:val="0"/>
          <w:sz w:val="24"/>
          <w:szCs w:val="22"/>
          <w:highlight w:val="none"/>
        </w:rPr>
        <w:t>根据土壤环境影响评价项目类别、占地规模与敏感程度划分评价工作等级，详见下表。</w:t>
      </w:r>
    </w:p>
    <w:p w14:paraId="0E516BBC">
      <w:pPr>
        <w:pStyle w:val="7"/>
        <w:bidi w:val="0"/>
        <w:rPr>
          <w:highlight w:val="none"/>
        </w:rPr>
      </w:pPr>
      <w:r>
        <w:rPr>
          <w:rFonts w:hint="default"/>
          <w:highlight w:val="none"/>
        </w:rPr>
        <w:pict>
          <v:shape id="_x0000_s2064" o:spid="_x0000_s2064" o:spt="202" type="#_x0000_t202" style="position:absolute;left:0pt;margin-left:41.05pt;margin-top:23.05pt;height:24.75pt;width:53.5pt;z-index:251662336;mso-width-relative:page;mso-height-relative:page;" filled="f" stroked="f" coordsize="21600,21600">
            <v:path/>
            <v:fill on="f" o:opacity2="39322f" focussize="0,0"/>
            <v:stroke on="f" joinstyle="miter"/>
            <v:imagedata o:title=""/>
            <o:lock v:ext="edit"/>
            <v:textbox>
              <w:txbxContent>
                <w:p w14:paraId="5B458525">
                  <w:pPr>
                    <w:ind w:left="0" w:leftChars="0" w:firstLine="0" w:firstLineChars="0"/>
                    <w:rPr>
                      <w:sz w:val="18"/>
                      <w:szCs w:val="18"/>
                    </w:rPr>
                  </w:pPr>
                  <w:r>
                    <w:rPr>
                      <w:rFonts w:hint="eastAsia"/>
                      <w:sz w:val="18"/>
                      <w:szCs w:val="18"/>
                    </w:rPr>
                    <w:t>占地规模</w:t>
                  </w:r>
                </w:p>
              </w:txbxContent>
            </v:textbox>
          </v:shape>
        </w:pict>
      </w:r>
      <w:r>
        <w:rPr>
          <w:highlight w:val="none"/>
        </w:rPr>
        <w:t>表2-4-</w:t>
      </w:r>
      <w:r>
        <w:rPr>
          <w:rFonts w:hint="eastAsia"/>
          <w:highlight w:val="none"/>
          <w:lang w:val="en-US" w:eastAsia="zh-CN"/>
        </w:rPr>
        <w:t>15</w:t>
      </w:r>
      <w:r>
        <w:rPr>
          <w:highlight w:val="none"/>
        </w:rPr>
        <w:t>污染影响性评价工作等级划分表</w:t>
      </w:r>
    </w:p>
    <w:tbl>
      <w:tblPr>
        <w:tblStyle w:val="45"/>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09"/>
        <w:gridCol w:w="709"/>
        <w:gridCol w:w="851"/>
        <w:gridCol w:w="850"/>
        <w:gridCol w:w="709"/>
        <w:gridCol w:w="709"/>
        <w:gridCol w:w="708"/>
        <w:gridCol w:w="709"/>
        <w:gridCol w:w="709"/>
        <w:gridCol w:w="759"/>
      </w:tblGrid>
      <w:tr w14:paraId="17EA2C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09" w:type="dxa"/>
            <w:vMerge w:val="restart"/>
            <w:tcBorders>
              <w:top w:val="single" w:color="auto" w:sz="12" w:space="0"/>
              <w:left w:val="nil"/>
              <w:bottom w:val="single" w:color="auto" w:sz="4" w:space="0"/>
              <w:right w:val="single" w:color="auto" w:sz="4" w:space="0"/>
            </w:tcBorders>
            <w:vAlign w:val="center"/>
          </w:tcPr>
          <w:p w14:paraId="2904BA1F">
            <w:pPr>
              <w:pStyle w:val="8"/>
              <w:suppressLineNumbers w:val="0"/>
              <w:bidi w:val="0"/>
              <w:spacing w:before="0" w:beforeAutospacing="0" w:after="0" w:afterAutospacing="0"/>
              <w:ind w:left="0" w:right="0"/>
              <w:rPr>
                <w:rFonts w:hint="default"/>
                <w:highlight w:val="none"/>
              </w:rPr>
            </w:pPr>
            <w:r>
              <w:rPr>
                <w:rFonts w:hint="default"/>
                <w:highlight w:val="none"/>
              </w:rPr>
              <w:pict>
                <v:shape id="_x0000_s2065" o:spid="_x0000_s2065" o:spt="202" type="#_x0000_t202" style="position:absolute;left:0pt;margin-left:-17.6pt;margin-top:4.5pt;height:18.5pt;width:74.1pt;z-index:251663360;mso-width-relative:page;mso-height-relative:page;" filled="f" stroked="f" coordsize="21600,21600">
                  <v:path/>
                  <v:fill on="f" o:opacity2="39322f" focussize="0,0"/>
                  <v:stroke on="f" joinstyle="miter"/>
                  <v:imagedata o:title=""/>
                  <o:lock v:ext="edit"/>
                  <v:textbox>
                    <w:txbxContent>
                      <w:p w14:paraId="4AFF147E">
                        <w:pPr>
                          <w:ind w:left="0" w:leftChars="0" w:firstLine="0" w:firstLineChars="0"/>
                          <w:rPr>
                            <w:sz w:val="18"/>
                            <w:szCs w:val="18"/>
                          </w:rPr>
                        </w:pPr>
                        <w:r>
                          <w:rPr>
                            <w:rFonts w:hint="eastAsia"/>
                            <w:sz w:val="18"/>
                            <w:szCs w:val="18"/>
                          </w:rPr>
                          <w:t>评价工作等级</w:t>
                        </w:r>
                      </w:p>
                    </w:txbxContent>
                  </v:textbox>
                </v:shape>
              </w:pict>
            </w:r>
            <w:r>
              <w:rPr>
                <w:rFonts w:hint="default"/>
                <w:highlight w:val="none"/>
              </w:rPr>
              <w:pict>
                <v:shape id="_x0000_s2068" o:spid="_x0000_s2068" o:spt="202" type="#_x0000_t202" style="position:absolute;left:0pt;margin-left:-11.35pt;margin-top:30.5pt;height:20.65pt;width:74.1pt;z-index:251664384;mso-width-relative:page;mso-height-relative:page;" filled="f" stroked="f" coordsize="21600,21600">
                  <v:path/>
                  <v:fill on="f" o:opacity2="39322f" focussize="0,0"/>
                  <v:stroke on="f" joinstyle="miter"/>
                  <v:imagedata o:title=""/>
                  <o:lock v:ext="edit"/>
                  <v:textbox>
                    <w:txbxContent>
                      <w:p w14:paraId="4EFCB61B">
                        <w:pPr>
                          <w:ind w:left="0" w:leftChars="0" w:firstLine="0" w:firstLineChars="0"/>
                          <w:rPr>
                            <w:sz w:val="18"/>
                            <w:szCs w:val="18"/>
                          </w:rPr>
                        </w:pPr>
                        <w:r>
                          <w:rPr>
                            <w:rFonts w:hint="eastAsia"/>
                            <w:sz w:val="18"/>
                            <w:szCs w:val="18"/>
                          </w:rPr>
                          <w:t>敏感程度</w:t>
                        </w:r>
                      </w:p>
                    </w:txbxContent>
                  </v:textbox>
                </v:shape>
              </w:pict>
            </w:r>
            <w:r>
              <w:rPr>
                <w:rFonts w:hint="default"/>
                <w:highlight w:val="none"/>
              </w:rPr>
              <w:pict>
                <v:shape id="_x0000_s2066" o:spid="_x0000_s2066" o:spt="32" type="#_x0000_t32" style="position:absolute;left:0pt;margin-left:-10.35pt;margin-top:19.5pt;height:28.65pt;width:94.9pt;z-index:251661312;mso-width-relative:page;mso-height-relative:page;" o:connectortype="straight" filled="f" coordsize="21600,21600">
                  <v:path arrowok="t"/>
                  <v:fill on="f" focussize="0,0"/>
                  <v:stroke weight="0.5pt"/>
                  <v:imagedata o:title=""/>
                  <o:lock v:ext="edit"/>
                </v:shape>
              </w:pict>
            </w:r>
            <w:r>
              <w:rPr>
                <w:rFonts w:hint="default"/>
                <w:highlight w:val="none"/>
                <w:lang w:val="zh-CN"/>
              </w:rPr>
              <w:pict>
                <v:shape id="_x0000_s2067" o:spid="_x0000_s2067" o:spt="32" type="#_x0000_t32" style="position:absolute;left:0pt;margin-left:32.85pt;margin-top:1pt;height:46.95pt;width:51.95pt;z-index:251660288;mso-width-relative:page;mso-height-relative:page;" o:connectortype="straight" filled="f" coordsize="21600,21600">
                  <v:path arrowok="t"/>
                  <v:fill on="f" focussize="0,0"/>
                  <v:stroke weight="0.5pt"/>
                  <v:imagedata o:title=""/>
                  <o:lock v:ext="edit"/>
                </v:shape>
              </w:pict>
            </w:r>
          </w:p>
        </w:tc>
        <w:tc>
          <w:tcPr>
            <w:tcW w:w="2410" w:type="dxa"/>
            <w:gridSpan w:val="3"/>
            <w:tcBorders>
              <w:top w:val="single" w:color="auto" w:sz="12" w:space="0"/>
              <w:left w:val="single" w:color="auto" w:sz="4" w:space="0"/>
              <w:bottom w:val="single" w:color="auto" w:sz="4" w:space="0"/>
              <w:right w:val="single" w:color="auto" w:sz="4" w:space="0"/>
            </w:tcBorders>
            <w:vAlign w:val="center"/>
          </w:tcPr>
          <w:p w14:paraId="7A57B2A7">
            <w:pPr>
              <w:pStyle w:val="8"/>
              <w:suppressLineNumbers w:val="0"/>
              <w:bidi w:val="0"/>
              <w:spacing w:before="0" w:beforeAutospacing="0" w:after="0" w:afterAutospacing="0"/>
              <w:ind w:left="0" w:right="0"/>
              <w:rPr>
                <w:rFonts w:hint="default"/>
                <w:highlight w:val="none"/>
              </w:rPr>
            </w:pPr>
            <w:r>
              <w:rPr>
                <w:rFonts w:hint="default"/>
                <w:highlight w:val="none"/>
              </w:rPr>
              <w:t>Ⅰ类</w:t>
            </w:r>
          </w:p>
        </w:tc>
        <w:tc>
          <w:tcPr>
            <w:tcW w:w="2126" w:type="dxa"/>
            <w:gridSpan w:val="3"/>
            <w:tcBorders>
              <w:top w:val="single" w:color="auto" w:sz="12" w:space="0"/>
              <w:left w:val="single" w:color="auto" w:sz="4" w:space="0"/>
              <w:bottom w:val="single" w:color="auto" w:sz="4" w:space="0"/>
              <w:right w:val="single" w:color="auto" w:sz="4" w:space="0"/>
            </w:tcBorders>
            <w:vAlign w:val="center"/>
          </w:tcPr>
          <w:p w14:paraId="3EC7B8DF">
            <w:pPr>
              <w:pStyle w:val="8"/>
              <w:suppressLineNumbers w:val="0"/>
              <w:bidi w:val="0"/>
              <w:spacing w:before="0" w:beforeAutospacing="0" w:after="0" w:afterAutospacing="0"/>
              <w:ind w:left="0" w:right="0"/>
              <w:rPr>
                <w:rFonts w:hint="default"/>
                <w:highlight w:val="none"/>
              </w:rPr>
            </w:pPr>
            <w:r>
              <w:rPr>
                <w:rFonts w:hint="default"/>
                <w:highlight w:val="none"/>
              </w:rPr>
              <w:t>Ⅱ类</w:t>
            </w:r>
          </w:p>
        </w:tc>
        <w:tc>
          <w:tcPr>
            <w:tcW w:w="2177" w:type="dxa"/>
            <w:gridSpan w:val="3"/>
            <w:tcBorders>
              <w:top w:val="single" w:color="auto" w:sz="12" w:space="0"/>
              <w:left w:val="single" w:color="auto" w:sz="4" w:space="0"/>
              <w:bottom w:val="single" w:color="auto" w:sz="4" w:space="0"/>
              <w:right w:val="nil"/>
            </w:tcBorders>
            <w:vAlign w:val="center"/>
          </w:tcPr>
          <w:p w14:paraId="48BD3CF3">
            <w:pPr>
              <w:pStyle w:val="8"/>
              <w:suppressLineNumbers w:val="0"/>
              <w:bidi w:val="0"/>
              <w:spacing w:before="0" w:beforeAutospacing="0" w:after="0" w:afterAutospacing="0"/>
              <w:ind w:left="0" w:right="0"/>
              <w:rPr>
                <w:rFonts w:hint="default"/>
                <w:highlight w:val="none"/>
              </w:rPr>
            </w:pPr>
            <w:r>
              <w:rPr>
                <w:rFonts w:hint="default"/>
                <w:highlight w:val="none"/>
              </w:rPr>
              <w:t>Ⅲ类</w:t>
            </w:r>
          </w:p>
        </w:tc>
      </w:tr>
      <w:tr w14:paraId="7CD918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6" w:hRule="atLeast"/>
          <w:jc w:val="center"/>
        </w:trPr>
        <w:tc>
          <w:tcPr>
            <w:tcW w:w="0" w:type="auto"/>
            <w:vMerge w:val="continue"/>
            <w:tcBorders>
              <w:top w:val="single" w:color="auto" w:sz="12" w:space="0"/>
              <w:left w:val="nil"/>
              <w:bottom w:val="single" w:color="auto" w:sz="4" w:space="0"/>
              <w:right w:val="single" w:color="auto" w:sz="4" w:space="0"/>
            </w:tcBorders>
            <w:vAlign w:val="center"/>
          </w:tcPr>
          <w:p w14:paraId="614AF7DB">
            <w:pPr>
              <w:pStyle w:val="8"/>
              <w:suppressLineNumbers w:val="0"/>
              <w:bidi w:val="0"/>
              <w:spacing w:before="0" w:beforeAutospacing="0" w:after="0" w:afterAutospacing="0"/>
              <w:ind w:left="0" w:right="0"/>
              <w:rPr>
                <w:rFonts w:hint="default"/>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14:paraId="66F62C20">
            <w:pPr>
              <w:pStyle w:val="8"/>
              <w:suppressLineNumbers w:val="0"/>
              <w:bidi w:val="0"/>
              <w:spacing w:before="0" w:beforeAutospacing="0" w:after="0" w:afterAutospacing="0"/>
              <w:ind w:left="0" w:right="0"/>
              <w:rPr>
                <w:rFonts w:hint="default"/>
                <w:highlight w:val="none"/>
              </w:rPr>
            </w:pPr>
            <w:r>
              <w:rPr>
                <w:rFonts w:hint="default"/>
                <w:highlight w:val="none"/>
              </w:rPr>
              <w:t>大</w:t>
            </w:r>
          </w:p>
        </w:tc>
        <w:tc>
          <w:tcPr>
            <w:tcW w:w="851" w:type="dxa"/>
            <w:tcBorders>
              <w:top w:val="single" w:color="auto" w:sz="4" w:space="0"/>
              <w:left w:val="single" w:color="auto" w:sz="4" w:space="0"/>
              <w:bottom w:val="single" w:color="auto" w:sz="4" w:space="0"/>
              <w:right w:val="single" w:color="auto" w:sz="4" w:space="0"/>
            </w:tcBorders>
            <w:vAlign w:val="center"/>
          </w:tcPr>
          <w:p w14:paraId="7943AB48">
            <w:pPr>
              <w:pStyle w:val="8"/>
              <w:suppressLineNumbers w:val="0"/>
              <w:bidi w:val="0"/>
              <w:spacing w:before="0" w:beforeAutospacing="0" w:after="0" w:afterAutospacing="0"/>
              <w:ind w:left="0" w:right="0"/>
              <w:rPr>
                <w:rFonts w:hint="default"/>
                <w:highlight w:val="none"/>
              </w:rPr>
            </w:pPr>
            <w:r>
              <w:rPr>
                <w:rFonts w:hint="default"/>
                <w:highlight w:val="none"/>
              </w:rPr>
              <w:t>中</w:t>
            </w:r>
          </w:p>
        </w:tc>
        <w:tc>
          <w:tcPr>
            <w:tcW w:w="850" w:type="dxa"/>
            <w:tcBorders>
              <w:top w:val="single" w:color="auto" w:sz="4" w:space="0"/>
              <w:left w:val="single" w:color="auto" w:sz="4" w:space="0"/>
              <w:bottom w:val="single" w:color="auto" w:sz="4" w:space="0"/>
              <w:right w:val="single" w:color="auto" w:sz="4" w:space="0"/>
            </w:tcBorders>
            <w:vAlign w:val="center"/>
          </w:tcPr>
          <w:p w14:paraId="192AD296">
            <w:pPr>
              <w:pStyle w:val="8"/>
              <w:suppressLineNumbers w:val="0"/>
              <w:bidi w:val="0"/>
              <w:spacing w:before="0" w:beforeAutospacing="0" w:after="0" w:afterAutospacing="0"/>
              <w:ind w:left="0" w:right="0"/>
              <w:rPr>
                <w:rFonts w:hint="default"/>
                <w:highlight w:val="none"/>
              </w:rPr>
            </w:pPr>
            <w:r>
              <w:rPr>
                <w:rFonts w:hint="default"/>
                <w:highlight w:val="none"/>
              </w:rPr>
              <w:t>小</w:t>
            </w:r>
          </w:p>
        </w:tc>
        <w:tc>
          <w:tcPr>
            <w:tcW w:w="709" w:type="dxa"/>
            <w:tcBorders>
              <w:top w:val="single" w:color="auto" w:sz="4" w:space="0"/>
              <w:left w:val="single" w:color="auto" w:sz="4" w:space="0"/>
              <w:bottom w:val="single" w:color="auto" w:sz="4" w:space="0"/>
              <w:right w:val="single" w:color="auto" w:sz="4" w:space="0"/>
            </w:tcBorders>
            <w:vAlign w:val="center"/>
          </w:tcPr>
          <w:p w14:paraId="77DBED21">
            <w:pPr>
              <w:pStyle w:val="8"/>
              <w:suppressLineNumbers w:val="0"/>
              <w:bidi w:val="0"/>
              <w:spacing w:before="0" w:beforeAutospacing="0" w:after="0" w:afterAutospacing="0"/>
              <w:ind w:left="0" w:right="0"/>
              <w:rPr>
                <w:rFonts w:hint="default"/>
                <w:highlight w:val="none"/>
              </w:rPr>
            </w:pPr>
            <w:r>
              <w:rPr>
                <w:rFonts w:hint="default"/>
                <w:highlight w:val="none"/>
              </w:rPr>
              <w:t>大</w:t>
            </w:r>
          </w:p>
        </w:tc>
        <w:tc>
          <w:tcPr>
            <w:tcW w:w="709" w:type="dxa"/>
            <w:tcBorders>
              <w:top w:val="single" w:color="auto" w:sz="4" w:space="0"/>
              <w:left w:val="single" w:color="auto" w:sz="4" w:space="0"/>
              <w:bottom w:val="single" w:color="auto" w:sz="4" w:space="0"/>
              <w:right w:val="single" w:color="auto" w:sz="4" w:space="0"/>
            </w:tcBorders>
            <w:vAlign w:val="center"/>
          </w:tcPr>
          <w:p w14:paraId="435D79BA">
            <w:pPr>
              <w:pStyle w:val="8"/>
              <w:suppressLineNumbers w:val="0"/>
              <w:bidi w:val="0"/>
              <w:spacing w:before="0" w:beforeAutospacing="0" w:after="0" w:afterAutospacing="0"/>
              <w:ind w:left="0" w:right="0"/>
              <w:rPr>
                <w:rFonts w:hint="default"/>
                <w:highlight w:val="none"/>
              </w:rPr>
            </w:pPr>
            <w:r>
              <w:rPr>
                <w:rFonts w:hint="default"/>
                <w:highlight w:val="none"/>
              </w:rPr>
              <w:t>中</w:t>
            </w:r>
          </w:p>
        </w:tc>
        <w:tc>
          <w:tcPr>
            <w:tcW w:w="708" w:type="dxa"/>
            <w:tcBorders>
              <w:top w:val="single" w:color="auto" w:sz="4" w:space="0"/>
              <w:left w:val="single" w:color="auto" w:sz="4" w:space="0"/>
              <w:bottom w:val="single" w:color="auto" w:sz="4" w:space="0"/>
              <w:right w:val="single" w:color="auto" w:sz="4" w:space="0"/>
            </w:tcBorders>
            <w:vAlign w:val="center"/>
          </w:tcPr>
          <w:p w14:paraId="497E870C">
            <w:pPr>
              <w:pStyle w:val="8"/>
              <w:suppressLineNumbers w:val="0"/>
              <w:bidi w:val="0"/>
              <w:spacing w:before="0" w:beforeAutospacing="0" w:after="0" w:afterAutospacing="0"/>
              <w:ind w:left="0" w:right="0"/>
              <w:rPr>
                <w:rFonts w:hint="default"/>
                <w:highlight w:val="none"/>
              </w:rPr>
            </w:pPr>
            <w:r>
              <w:rPr>
                <w:rFonts w:hint="default"/>
                <w:highlight w:val="none"/>
              </w:rPr>
              <w:t>小</w:t>
            </w:r>
          </w:p>
        </w:tc>
        <w:tc>
          <w:tcPr>
            <w:tcW w:w="709" w:type="dxa"/>
            <w:tcBorders>
              <w:top w:val="single" w:color="auto" w:sz="4" w:space="0"/>
              <w:left w:val="single" w:color="auto" w:sz="4" w:space="0"/>
              <w:bottom w:val="single" w:color="auto" w:sz="4" w:space="0"/>
              <w:right w:val="single" w:color="auto" w:sz="4" w:space="0"/>
            </w:tcBorders>
            <w:vAlign w:val="center"/>
          </w:tcPr>
          <w:p w14:paraId="21F76DF4">
            <w:pPr>
              <w:pStyle w:val="8"/>
              <w:suppressLineNumbers w:val="0"/>
              <w:bidi w:val="0"/>
              <w:spacing w:before="0" w:beforeAutospacing="0" w:after="0" w:afterAutospacing="0"/>
              <w:ind w:left="0" w:right="0"/>
              <w:rPr>
                <w:rFonts w:hint="default"/>
                <w:highlight w:val="none"/>
              </w:rPr>
            </w:pPr>
            <w:r>
              <w:rPr>
                <w:rFonts w:hint="default"/>
                <w:highlight w:val="none"/>
              </w:rPr>
              <w:t>大</w:t>
            </w:r>
          </w:p>
        </w:tc>
        <w:tc>
          <w:tcPr>
            <w:tcW w:w="709" w:type="dxa"/>
            <w:tcBorders>
              <w:top w:val="single" w:color="auto" w:sz="4" w:space="0"/>
              <w:left w:val="single" w:color="auto" w:sz="4" w:space="0"/>
              <w:bottom w:val="single" w:color="auto" w:sz="4" w:space="0"/>
              <w:right w:val="single" w:color="auto" w:sz="4" w:space="0"/>
            </w:tcBorders>
            <w:vAlign w:val="center"/>
          </w:tcPr>
          <w:p w14:paraId="13D66B79">
            <w:pPr>
              <w:pStyle w:val="8"/>
              <w:suppressLineNumbers w:val="0"/>
              <w:bidi w:val="0"/>
              <w:spacing w:before="0" w:beforeAutospacing="0" w:after="0" w:afterAutospacing="0"/>
              <w:ind w:left="0" w:right="0"/>
              <w:rPr>
                <w:rFonts w:hint="default"/>
                <w:highlight w:val="none"/>
              </w:rPr>
            </w:pPr>
            <w:r>
              <w:rPr>
                <w:rFonts w:hint="default"/>
                <w:highlight w:val="none"/>
              </w:rPr>
              <w:t>中</w:t>
            </w:r>
          </w:p>
        </w:tc>
        <w:tc>
          <w:tcPr>
            <w:tcW w:w="759" w:type="dxa"/>
            <w:tcBorders>
              <w:top w:val="single" w:color="auto" w:sz="4" w:space="0"/>
              <w:left w:val="single" w:color="auto" w:sz="4" w:space="0"/>
              <w:bottom w:val="single" w:color="auto" w:sz="4" w:space="0"/>
              <w:right w:val="nil"/>
            </w:tcBorders>
            <w:vAlign w:val="center"/>
          </w:tcPr>
          <w:p w14:paraId="50BF2EBA">
            <w:pPr>
              <w:pStyle w:val="8"/>
              <w:suppressLineNumbers w:val="0"/>
              <w:bidi w:val="0"/>
              <w:spacing w:before="0" w:beforeAutospacing="0" w:after="0" w:afterAutospacing="0"/>
              <w:ind w:left="0" w:right="0"/>
              <w:rPr>
                <w:rFonts w:hint="default"/>
                <w:highlight w:val="none"/>
              </w:rPr>
            </w:pPr>
            <w:r>
              <w:rPr>
                <w:rFonts w:hint="default"/>
                <w:highlight w:val="none"/>
              </w:rPr>
              <w:t>小</w:t>
            </w:r>
          </w:p>
        </w:tc>
      </w:tr>
      <w:tr w14:paraId="776D6B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09" w:type="dxa"/>
            <w:tcBorders>
              <w:top w:val="single" w:color="auto" w:sz="4" w:space="0"/>
              <w:left w:val="nil"/>
              <w:bottom w:val="single" w:color="auto" w:sz="4" w:space="0"/>
              <w:right w:val="single" w:color="auto" w:sz="4" w:space="0"/>
            </w:tcBorders>
            <w:vAlign w:val="center"/>
          </w:tcPr>
          <w:p w14:paraId="1AAA03A7">
            <w:pPr>
              <w:pStyle w:val="8"/>
              <w:suppressLineNumbers w:val="0"/>
              <w:bidi w:val="0"/>
              <w:spacing w:before="0" w:beforeAutospacing="0" w:after="0" w:afterAutospacing="0"/>
              <w:ind w:left="0" w:right="0"/>
              <w:rPr>
                <w:rFonts w:hint="default"/>
                <w:highlight w:val="none"/>
              </w:rPr>
            </w:pPr>
            <w:r>
              <w:rPr>
                <w:rFonts w:hint="default"/>
                <w:highlight w:val="none"/>
              </w:rPr>
              <w:t>敏感</w:t>
            </w:r>
          </w:p>
        </w:tc>
        <w:tc>
          <w:tcPr>
            <w:tcW w:w="709" w:type="dxa"/>
            <w:tcBorders>
              <w:top w:val="single" w:color="auto" w:sz="4" w:space="0"/>
              <w:left w:val="single" w:color="auto" w:sz="4" w:space="0"/>
              <w:bottom w:val="single" w:color="auto" w:sz="4" w:space="0"/>
              <w:right w:val="single" w:color="auto" w:sz="4" w:space="0"/>
            </w:tcBorders>
            <w:vAlign w:val="center"/>
          </w:tcPr>
          <w:p w14:paraId="7AD1C647">
            <w:pPr>
              <w:pStyle w:val="8"/>
              <w:suppressLineNumbers w:val="0"/>
              <w:bidi w:val="0"/>
              <w:spacing w:before="0" w:beforeAutospacing="0" w:after="0" w:afterAutospacing="0"/>
              <w:ind w:left="0" w:right="0"/>
              <w:rPr>
                <w:rFonts w:hint="default"/>
                <w:highlight w:val="none"/>
              </w:rPr>
            </w:pPr>
            <w:r>
              <w:rPr>
                <w:rFonts w:hint="default"/>
                <w:highlight w:val="none"/>
              </w:rPr>
              <w:t>一级</w:t>
            </w:r>
          </w:p>
        </w:tc>
        <w:tc>
          <w:tcPr>
            <w:tcW w:w="851" w:type="dxa"/>
            <w:tcBorders>
              <w:top w:val="single" w:color="auto" w:sz="4" w:space="0"/>
              <w:left w:val="single" w:color="auto" w:sz="4" w:space="0"/>
              <w:bottom w:val="single" w:color="auto" w:sz="4" w:space="0"/>
              <w:right w:val="single" w:color="auto" w:sz="4" w:space="0"/>
            </w:tcBorders>
            <w:vAlign w:val="center"/>
          </w:tcPr>
          <w:p w14:paraId="10543F74">
            <w:pPr>
              <w:pStyle w:val="8"/>
              <w:suppressLineNumbers w:val="0"/>
              <w:bidi w:val="0"/>
              <w:spacing w:before="0" w:beforeAutospacing="0" w:after="0" w:afterAutospacing="0"/>
              <w:ind w:left="0" w:right="0"/>
              <w:rPr>
                <w:rFonts w:hint="default"/>
                <w:highlight w:val="none"/>
              </w:rPr>
            </w:pPr>
            <w:r>
              <w:rPr>
                <w:rFonts w:hint="default"/>
                <w:highlight w:val="none"/>
              </w:rPr>
              <w:t>一级</w:t>
            </w:r>
          </w:p>
        </w:tc>
        <w:tc>
          <w:tcPr>
            <w:tcW w:w="850" w:type="dxa"/>
            <w:tcBorders>
              <w:top w:val="single" w:color="auto" w:sz="4" w:space="0"/>
              <w:left w:val="single" w:color="auto" w:sz="4" w:space="0"/>
              <w:bottom w:val="single" w:color="auto" w:sz="4" w:space="0"/>
              <w:right w:val="single" w:color="auto" w:sz="4" w:space="0"/>
            </w:tcBorders>
            <w:vAlign w:val="center"/>
          </w:tcPr>
          <w:p w14:paraId="235852FE">
            <w:pPr>
              <w:pStyle w:val="8"/>
              <w:suppressLineNumbers w:val="0"/>
              <w:bidi w:val="0"/>
              <w:spacing w:before="0" w:beforeAutospacing="0" w:after="0" w:afterAutospacing="0"/>
              <w:ind w:left="0" w:right="0"/>
              <w:rPr>
                <w:rFonts w:hint="default"/>
                <w:highlight w:val="none"/>
              </w:rPr>
            </w:pPr>
            <w:r>
              <w:rPr>
                <w:rFonts w:hint="default"/>
                <w:b/>
                <w:bCs/>
                <w:highlight w:val="none"/>
              </w:rPr>
              <w:t>一级</w:t>
            </w:r>
          </w:p>
        </w:tc>
        <w:tc>
          <w:tcPr>
            <w:tcW w:w="709" w:type="dxa"/>
            <w:tcBorders>
              <w:top w:val="single" w:color="auto" w:sz="4" w:space="0"/>
              <w:left w:val="single" w:color="auto" w:sz="4" w:space="0"/>
              <w:bottom w:val="single" w:color="auto" w:sz="4" w:space="0"/>
              <w:right w:val="single" w:color="auto" w:sz="4" w:space="0"/>
            </w:tcBorders>
            <w:vAlign w:val="center"/>
          </w:tcPr>
          <w:p w14:paraId="6FC0590B">
            <w:pPr>
              <w:pStyle w:val="8"/>
              <w:suppressLineNumbers w:val="0"/>
              <w:bidi w:val="0"/>
              <w:spacing w:before="0" w:beforeAutospacing="0" w:after="0" w:afterAutospacing="0"/>
              <w:ind w:left="0" w:right="0"/>
              <w:rPr>
                <w:rFonts w:hint="default"/>
                <w:highlight w:val="none"/>
              </w:rPr>
            </w:pPr>
            <w:r>
              <w:rPr>
                <w:rFonts w:hint="default"/>
                <w:highlight w:val="none"/>
              </w:rPr>
              <w:t>二级</w:t>
            </w:r>
          </w:p>
        </w:tc>
        <w:tc>
          <w:tcPr>
            <w:tcW w:w="709" w:type="dxa"/>
            <w:tcBorders>
              <w:top w:val="single" w:color="auto" w:sz="4" w:space="0"/>
              <w:left w:val="single" w:color="auto" w:sz="4" w:space="0"/>
              <w:bottom w:val="single" w:color="auto" w:sz="4" w:space="0"/>
              <w:right w:val="single" w:color="auto" w:sz="4" w:space="0"/>
            </w:tcBorders>
            <w:vAlign w:val="center"/>
          </w:tcPr>
          <w:p w14:paraId="63794464">
            <w:pPr>
              <w:pStyle w:val="8"/>
              <w:suppressLineNumbers w:val="0"/>
              <w:bidi w:val="0"/>
              <w:spacing w:before="0" w:beforeAutospacing="0" w:after="0" w:afterAutospacing="0"/>
              <w:ind w:left="0" w:right="0"/>
              <w:rPr>
                <w:rFonts w:hint="default"/>
                <w:highlight w:val="none"/>
              </w:rPr>
            </w:pPr>
            <w:r>
              <w:rPr>
                <w:rFonts w:hint="default"/>
                <w:highlight w:val="none"/>
              </w:rPr>
              <w:t>二级</w:t>
            </w:r>
          </w:p>
        </w:tc>
        <w:tc>
          <w:tcPr>
            <w:tcW w:w="708" w:type="dxa"/>
            <w:tcBorders>
              <w:top w:val="single" w:color="auto" w:sz="4" w:space="0"/>
              <w:left w:val="single" w:color="auto" w:sz="4" w:space="0"/>
              <w:bottom w:val="single" w:color="auto" w:sz="4" w:space="0"/>
              <w:right w:val="single" w:color="auto" w:sz="4" w:space="0"/>
            </w:tcBorders>
            <w:vAlign w:val="center"/>
          </w:tcPr>
          <w:p w14:paraId="31853D94">
            <w:pPr>
              <w:pStyle w:val="8"/>
              <w:suppressLineNumbers w:val="0"/>
              <w:bidi w:val="0"/>
              <w:spacing w:before="0" w:beforeAutospacing="0" w:after="0" w:afterAutospacing="0"/>
              <w:ind w:left="0" w:right="0"/>
              <w:rPr>
                <w:rFonts w:hint="default"/>
                <w:highlight w:val="none"/>
              </w:rPr>
            </w:pPr>
            <w:r>
              <w:rPr>
                <w:rFonts w:hint="default"/>
                <w:highlight w:val="none"/>
              </w:rPr>
              <w:t>二级</w:t>
            </w:r>
          </w:p>
        </w:tc>
        <w:tc>
          <w:tcPr>
            <w:tcW w:w="709" w:type="dxa"/>
            <w:tcBorders>
              <w:top w:val="single" w:color="auto" w:sz="4" w:space="0"/>
              <w:left w:val="single" w:color="auto" w:sz="4" w:space="0"/>
              <w:bottom w:val="single" w:color="auto" w:sz="4" w:space="0"/>
              <w:right w:val="single" w:color="auto" w:sz="4" w:space="0"/>
            </w:tcBorders>
            <w:vAlign w:val="center"/>
          </w:tcPr>
          <w:p w14:paraId="1D3210F3">
            <w:pPr>
              <w:pStyle w:val="8"/>
              <w:suppressLineNumbers w:val="0"/>
              <w:bidi w:val="0"/>
              <w:spacing w:before="0" w:beforeAutospacing="0" w:after="0" w:afterAutospacing="0"/>
              <w:ind w:left="0" w:right="0"/>
              <w:rPr>
                <w:rFonts w:hint="default"/>
                <w:highlight w:val="none"/>
              </w:rPr>
            </w:pPr>
            <w:r>
              <w:rPr>
                <w:rFonts w:hint="default"/>
                <w:highlight w:val="none"/>
              </w:rPr>
              <w:t>三级</w:t>
            </w:r>
          </w:p>
        </w:tc>
        <w:tc>
          <w:tcPr>
            <w:tcW w:w="709" w:type="dxa"/>
            <w:tcBorders>
              <w:top w:val="single" w:color="auto" w:sz="4" w:space="0"/>
              <w:left w:val="single" w:color="auto" w:sz="4" w:space="0"/>
              <w:bottom w:val="single" w:color="auto" w:sz="4" w:space="0"/>
              <w:right w:val="single" w:color="auto" w:sz="4" w:space="0"/>
            </w:tcBorders>
            <w:vAlign w:val="center"/>
          </w:tcPr>
          <w:p w14:paraId="4748F476">
            <w:pPr>
              <w:pStyle w:val="8"/>
              <w:suppressLineNumbers w:val="0"/>
              <w:bidi w:val="0"/>
              <w:spacing w:before="0" w:beforeAutospacing="0" w:after="0" w:afterAutospacing="0"/>
              <w:ind w:left="0" w:right="0"/>
              <w:rPr>
                <w:rFonts w:hint="default"/>
                <w:highlight w:val="none"/>
              </w:rPr>
            </w:pPr>
            <w:r>
              <w:rPr>
                <w:rFonts w:hint="default"/>
                <w:highlight w:val="none"/>
              </w:rPr>
              <w:t>三级</w:t>
            </w:r>
          </w:p>
        </w:tc>
        <w:tc>
          <w:tcPr>
            <w:tcW w:w="759" w:type="dxa"/>
            <w:tcBorders>
              <w:top w:val="single" w:color="auto" w:sz="4" w:space="0"/>
              <w:left w:val="single" w:color="auto" w:sz="4" w:space="0"/>
              <w:bottom w:val="single" w:color="auto" w:sz="4" w:space="0"/>
              <w:right w:val="nil"/>
            </w:tcBorders>
            <w:vAlign w:val="center"/>
          </w:tcPr>
          <w:p w14:paraId="65D92FD4">
            <w:pPr>
              <w:pStyle w:val="8"/>
              <w:suppressLineNumbers w:val="0"/>
              <w:bidi w:val="0"/>
              <w:spacing w:before="0" w:beforeAutospacing="0" w:after="0" w:afterAutospacing="0"/>
              <w:ind w:left="0" w:right="0"/>
              <w:rPr>
                <w:rFonts w:hint="default"/>
                <w:highlight w:val="none"/>
              </w:rPr>
            </w:pPr>
            <w:r>
              <w:rPr>
                <w:rFonts w:hint="default"/>
                <w:highlight w:val="none"/>
              </w:rPr>
              <w:t>三级</w:t>
            </w:r>
          </w:p>
        </w:tc>
      </w:tr>
      <w:tr w14:paraId="420A7A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09" w:type="dxa"/>
            <w:tcBorders>
              <w:top w:val="single" w:color="auto" w:sz="4" w:space="0"/>
              <w:left w:val="nil"/>
              <w:bottom w:val="single" w:color="auto" w:sz="4" w:space="0"/>
              <w:right w:val="single" w:color="auto" w:sz="4" w:space="0"/>
            </w:tcBorders>
            <w:vAlign w:val="center"/>
          </w:tcPr>
          <w:p w14:paraId="2B2FF320">
            <w:pPr>
              <w:pStyle w:val="8"/>
              <w:suppressLineNumbers w:val="0"/>
              <w:bidi w:val="0"/>
              <w:spacing w:before="0" w:beforeAutospacing="0" w:after="0" w:afterAutospacing="0"/>
              <w:ind w:left="0" w:right="0"/>
              <w:rPr>
                <w:rFonts w:hint="default"/>
                <w:highlight w:val="none"/>
              </w:rPr>
            </w:pPr>
            <w:r>
              <w:rPr>
                <w:rFonts w:hint="default"/>
                <w:highlight w:val="none"/>
              </w:rPr>
              <w:t>较敏感</w:t>
            </w:r>
          </w:p>
        </w:tc>
        <w:tc>
          <w:tcPr>
            <w:tcW w:w="709" w:type="dxa"/>
            <w:tcBorders>
              <w:top w:val="single" w:color="auto" w:sz="4" w:space="0"/>
              <w:left w:val="single" w:color="auto" w:sz="4" w:space="0"/>
              <w:bottom w:val="single" w:color="auto" w:sz="4" w:space="0"/>
              <w:right w:val="single" w:color="auto" w:sz="4" w:space="0"/>
            </w:tcBorders>
            <w:vAlign w:val="center"/>
          </w:tcPr>
          <w:p w14:paraId="4A4EF603">
            <w:pPr>
              <w:pStyle w:val="8"/>
              <w:suppressLineNumbers w:val="0"/>
              <w:bidi w:val="0"/>
              <w:spacing w:before="0" w:beforeAutospacing="0" w:after="0" w:afterAutospacing="0"/>
              <w:ind w:left="0" w:right="0"/>
              <w:rPr>
                <w:rFonts w:hint="default"/>
                <w:highlight w:val="none"/>
              </w:rPr>
            </w:pPr>
            <w:r>
              <w:rPr>
                <w:rFonts w:hint="default"/>
                <w:highlight w:val="none"/>
              </w:rPr>
              <w:t>一级</w:t>
            </w:r>
          </w:p>
        </w:tc>
        <w:tc>
          <w:tcPr>
            <w:tcW w:w="851" w:type="dxa"/>
            <w:tcBorders>
              <w:top w:val="single" w:color="auto" w:sz="4" w:space="0"/>
              <w:left w:val="single" w:color="auto" w:sz="4" w:space="0"/>
              <w:bottom w:val="single" w:color="auto" w:sz="4" w:space="0"/>
              <w:right w:val="single" w:color="auto" w:sz="4" w:space="0"/>
            </w:tcBorders>
            <w:vAlign w:val="center"/>
          </w:tcPr>
          <w:p w14:paraId="23F5FFE0">
            <w:pPr>
              <w:pStyle w:val="8"/>
              <w:suppressLineNumbers w:val="0"/>
              <w:bidi w:val="0"/>
              <w:spacing w:before="0" w:beforeAutospacing="0" w:after="0" w:afterAutospacing="0"/>
              <w:ind w:left="0" w:right="0"/>
              <w:rPr>
                <w:rFonts w:hint="default"/>
                <w:highlight w:val="none"/>
              </w:rPr>
            </w:pPr>
            <w:r>
              <w:rPr>
                <w:rFonts w:hint="default"/>
                <w:highlight w:val="none"/>
              </w:rPr>
              <w:t>一级</w:t>
            </w:r>
          </w:p>
        </w:tc>
        <w:tc>
          <w:tcPr>
            <w:tcW w:w="850" w:type="dxa"/>
            <w:tcBorders>
              <w:top w:val="single" w:color="auto" w:sz="4" w:space="0"/>
              <w:left w:val="single" w:color="auto" w:sz="4" w:space="0"/>
              <w:bottom w:val="single" w:color="auto" w:sz="4" w:space="0"/>
              <w:right w:val="single" w:color="auto" w:sz="4" w:space="0"/>
            </w:tcBorders>
            <w:vAlign w:val="center"/>
          </w:tcPr>
          <w:p w14:paraId="47524F42">
            <w:pPr>
              <w:pStyle w:val="8"/>
              <w:suppressLineNumbers w:val="0"/>
              <w:bidi w:val="0"/>
              <w:spacing w:before="0" w:beforeAutospacing="0" w:after="0" w:afterAutospacing="0"/>
              <w:ind w:left="0" w:right="0"/>
              <w:rPr>
                <w:rFonts w:hint="default"/>
                <w:highlight w:val="none"/>
              </w:rPr>
            </w:pPr>
            <w:r>
              <w:rPr>
                <w:rFonts w:hint="default"/>
                <w:highlight w:val="none"/>
              </w:rPr>
              <w:t>二级</w:t>
            </w:r>
          </w:p>
        </w:tc>
        <w:tc>
          <w:tcPr>
            <w:tcW w:w="709" w:type="dxa"/>
            <w:tcBorders>
              <w:top w:val="single" w:color="auto" w:sz="4" w:space="0"/>
              <w:left w:val="single" w:color="auto" w:sz="4" w:space="0"/>
              <w:bottom w:val="single" w:color="auto" w:sz="4" w:space="0"/>
              <w:right w:val="single" w:color="auto" w:sz="4" w:space="0"/>
            </w:tcBorders>
            <w:vAlign w:val="center"/>
          </w:tcPr>
          <w:p w14:paraId="07057B47">
            <w:pPr>
              <w:pStyle w:val="8"/>
              <w:suppressLineNumbers w:val="0"/>
              <w:bidi w:val="0"/>
              <w:spacing w:before="0" w:beforeAutospacing="0" w:after="0" w:afterAutospacing="0"/>
              <w:ind w:left="0" w:right="0"/>
              <w:rPr>
                <w:rFonts w:hint="default"/>
                <w:highlight w:val="none"/>
              </w:rPr>
            </w:pPr>
            <w:r>
              <w:rPr>
                <w:rFonts w:hint="default"/>
                <w:highlight w:val="none"/>
              </w:rPr>
              <w:t>二级</w:t>
            </w:r>
          </w:p>
        </w:tc>
        <w:tc>
          <w:tcPr>
            <w:tcW w:w="709" w:type="dxa"/>
            <w:tcBorders>
              <w:top w:val="single" w:color="auto" w:sz="4" w:space="0"/>
              <w:left w:val="single" w:color="auto" w:sz="4" w:space="0"/>
              <w:bottom w:val="single" w:color="auto" w:sz="4" w:space="0"/>
              <w:right w:val="single" w:color="auto" w:sz="4" w:space="0"/>
            </w:tcBorders>
            <w:vAlign w:val="center"/>
          </w:tcPr>
          <w:p w14:paraId="031CD558">
            <w:pPr>
              <w:pStyle w:val="8"/>
              <w:suppressLineNumbers w:val="0"/>
              <w:bidi w:val="0"/>
              <w:spacing w:before="0" w:beforeAutospacing="0" w:after="0" w:afterAutospacing="0"/>
              <w:ind w:left="0" w:right="0"/>
              <w:rPr>
                <w:rFonts w:hint="default"/>
                <w:highlight w:val="none"/>
              </w:rPr>
            </w:pPr>
            <w:r>
              <w:rPr>
                <w:rFonts w:hint="default"/>
                <w:highlight w:val="none"/>
              </w:rPr>
              <w:t>二级</w:t>
            </w:r>
          </w:p>
        </w:tc>
        <w:tc>
          <w:tcPr>
            <w:tcW w:w="708" w:type="dxa"/>
            <w:tcBorders>
              <w:top w:val="single" w:color="auto" w:sz="4" w:space="0"/>
              <w:left w:val="single" w:color="auto" w:sz="4" w:space="0"/>
              <w:bottom w:val="single" w:color="auto" w:sz="4" w:space="0"/>
              <w:right w:val="single" w:color="auto" w:sz="4" w:space="0"/>
            </w:tcBorders>
            <w:vAlign w:val="center"/>
          </w:tcPr>
          <w:p w14:paraId="702FC017">
            <w:pPr>
              <w:pStyle w:val="8"/>
              <w:suppressLineNumbers w:val="0"/>
              <w:bidi w:val="0"/>
              <w:spacing w:before="0" w:beforeAutospacing="0" w:after="0" w:afterAutospacing="0"/>
              <w:ind w:left="0" w:right="0"/>
              <w:rPr>
                <w:rFonts w:hint="default"/>
                <w:highlight w:val="none"/>
              </w:rPr>
            </w:pPr>
            <w:r>
              <w:rPr>
                <w:rFonts w:hint="default"/>
                <w:highlight w:val="none"/>
              </w:rPr>
              <w:t>三级</w:t>
            </w:r>
          </w:p>
        </w:tc>
        <w:tc>
          <w:tcPr>
            <w:tcW w:w="709" w:type="dxa"/>
            <w:tcBorders>
              <w:top w:val="single" w:color="auto" w:sz="4" w:space="0"/>
              <w:left w:val="single" w:color="auto" w:sz="4" w:space="0"/>
              <w:bottom w:val="single" w:color="auto" w:sz="4" w:space="0"/>
              <w:right w:val="single" w:color="auto" w:sz="4" w:space="0"/>
            </w:tcBorders>
            <w:vAlign w:val="center"/>
          </w:tcPr>
          <w:p w14:paraId="73985FF1">
            <w:pPr>
              <w:pStyle w:val="8"/>
              <w:suppressLineNumbers w:val="0"/>
              <w:bidi w:val="0"/>
              <w:spacing w:before="0" w:beforeAutospacing="0" w:after="0" w:afterAutospacing="0"/>
              <w:ind w:left="0" w:right="0"/>
              <w:rPr>
                <w:rFonts w:hint="default"/>
                <w:highlight w:val="none"/>
              </w:rPr>
            </w:pPr>
            <w:r>
              <w:rPr>
                <w:rFonts w:hint="default"/>
                <w:highlight w:val="none"/>
              </w:rPr>
              <w:t>三级</w:t>
            </w:r>
          </w:p>
        </w:tc>
        <w:tc>
          <w:tcPr>
            <w:tcW w:w="709" w:type="dxa"/>
            <w:tcBorders>
              <w:top w:val="single" w:color="auto" w:sz="4" w:space="0"/>
              <w:left w:val="single" w:color="auto" w:sz="4" w:space="0"/>
              <w:bottom w:val="single" w:color="auto" w:sz="4" w:space="0"/>
              <w:right w:val="single" w:color="auto" w:sz="4" w:space="0"/>
            </w:tcBorders>
            <w:vAlign w:val="center"/>
          </w:tcPr>
          <w:p w14:paraId="13828C2C">
            <w:pPr>
              <w:pStyle w:val="8"/>
              <w:suppressLineNumbers w:val="0"/>
              <w:bidi w:val="0"/>
              <w:spacing w:before="0" w:beforeAutospacing="0" w:after="0" w:afterAutospacing="0"/>
              <w:ind w:left="0" w:right="0"/>
              <w:rPr>
                <w:rFonts w:hint="default"/>
                <w:highlight w:val="none"/>
              </w:rPr>
            </w:pPr>
            <w:r>
              <w:rPr>
                <w:rFonts w:hint="default"/>
                <w:highlight w:val="none"/>
              </w:rPr>
              <w:t>三级</w:t>
            </w:r>
          </w:p>
        </w:tc>
        <w:tc>
          <w:tcPr>
            <w:tcW w:w="759" w:type="dxa"/>
            <w:tcBorders>
              <w:top w:val="single" w:color="auto" w:sz="4" w:space="0"/>
              <w:left w:val="single" w:color="auto" w:sz="4" w:space="0"/>
              <w:bottom w:val="single" w:color="auto" w:sz="4" w:space="0"/>
              <w:right w:val="nil"/>
            </w:tcBorders>
            <w:vAlign w:val="center"/>
          </w:tcPr>
          <w:p w14:paraId="5A6DC026">
            <w:pPr>
              <w:pStyle w:val="8"/>
              <w:suppressLineNumbers w:val="0"/>
              <w:bidi w:val="0"/>
              <w:spacing w:before="0" w:beforeAutospacing="0" w:after="0" w:afterAutospacing="0"/>
              <w:ind w:left="0" w:right="0"/>
              <w:rPr>
                <w:rFonts w:hint="default"/>
                <w:highlight w:val="none"/>
              </w:rPr>
            </w:pPr>
            <w:r>
              <w:rPr>
                <w:rFonts w:hint="default"/>
                <w:highlight w:val="none"/>
              </w:rPr>
              <w:t>-</w:t>
            </w:r>
          </w:p>
        </w:tc>
      </w:tr>
      <w:tr w14:paraId="72EFE9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09" w:type="dxa"/>
            <w:tcBorders>
              <w:top w:val="single" w:color="auto" w:sz="4" w:space="0"/>
              <w:left w:val="nil"/>
              <w:bottom w:val="single" w:color="auto" w:sz="4" w:space="0"/>
              <w:right w:val="single" w:color="auto" w:sz="4" w:space="0"/>
            </w:tcBorders>
            <w:vAlign w:val="center"/>
          </w:tcPr>
          <w:p w14:paraId="745359D9">
            <w:pPr>
              <w:pStyle w:val="8"/>
              <w:suppressLineNumbers w:val="0"/>
              <w:bidi w:val="0"/>
              <w:spacing w:before="0" w:beforeAutospacing="0" w:after="0" w:afterAutospacing="0"/>
              <w:ind w:left="0" w:right="0"/>
              <w:rPr>
                <w:rFonts w:hint="default"/>
                <w:highlight w:val="none"/>
              </w:rPr>
            </w:pPr>
            <w:r>
              <w:rPr>
                <w:rFonts w:hint="default"/>
                <w:highlight w:val="none"/>
              </w:rPr>
              <w:t>不敏感</w:t>
            </w:r>
          </w:p>
        </w:tc>
        <w:tc>
          <w:tcPr>
            <w:tcW w:w="709" w:type="dxa"/>
            <w:tcBorders>
              <w:top w:val="single" w:color="auto" w:sz="4" w:space="0"/>
              <w:left w:val="single" w:color="auto" w:sz="4" w:space="0"/>
              <w:bottom w:val="single" w:color="auto" w:sz="4" w:space="0"/>
              <w:right w:val="single" w:color="auto" w:sz="4" w:space="0"/>
            </w:tcBorders>
            <w:vAlign w:val="center"/>
          </w:tcPr>
          <w:p w14:paraId="40A6AFC1">
            <w:pPr>
              <w:pStyle w:val="8"/>
              <w:suppressLineNumbers w:val="0"/>
              <w:bidi w:val="0"/>
              <w:spacing w:before="0" w:beforeAutospacing="0" w:after="0" w:afterAutospacing="0"/>
              <w:ind w:left="0" w:right="0"/>
              <w:rPr>
                <w:rFonts w:hint="default"/>
                <w:highlight w:val="none"/>
              </w:rPr>
            </w:pPr>
            <w:r>
              <w:rPr>
                <w:rFonts w:hint="default"/>
                <w:highlight w:val="none"/>
              </w:rPr>
              <w:t>一级</w:t>
            </w:r>
          </w:p>
        </w:tc>
        <w:tc>
          <w:tcPr>
            <w:tcW w:w="851" w:type="dxa"/>
            <w:tcBorders>
              <w:top w:val="single" w:color="auto" w:sz="4" w:space="0"/>
              <w:left w:val="single" w:color="auto" w:sz="4" w:space="0"/>
              <w:bottom w:val="single" w:color="auto" w:sz="4" w:space="0"/>
              <w:right w:val="single" w:color="auto" w:sz="4" w:space="0"/>
            </w:tcBorders>
            <w:vAlign w:val="center"/>
          </w:tcPr>
          <w:p w14:paraId="1D329F3B">
            <w:pPr>
              <w:pStyle w:val="8"/>
              <w:suppressLineNumbers w:val="0"/>
              <w:bidi w:val="0"/>
              <w:spacing w:before="0" w:beforeAutospacing="0" w:after="0" w:afterAutospacing="0"/>
              <w:ind w:left="0" w:right="0"/>
              <w:rPr>
                <w:rFonts w:hint="default"/>
                <w:highlight w:val="none"/>
              </w:rPr>
            </w:pPr>
            <w:r>
              <w:rPr>
                <w:rFonts w:hint="default"/>
                <w:highlight w:val="none"/>
              </w:rPr>
              <w:t>二级</w:t>
            </w:r>
          </w:p>
        </w:tc>
        <w:tc>
          <w:tcPr>
            <w:tcW w:w="850" w:type="dxa"/>
            <w:tcBorders>
              <w:top w:val="single" w:color="auto" w:sz="4" w:space="0"/>
              <w:left w:val="single" w:color="auto" w:sz="4" w:space="0"/>
              <w:bottom w:val="single" w:color="auto" w:sz="4" w:space="0"/>
              <w:right w:val="single" w:color="auto" w:sz="4" w:space="0"/>
            </w:tcBorders>
            <w:vAlign w:val="center"/>
          </w:tcPr>
          <w:p w14:paraId="1E44E6D2">
            <w:pPr>
              <w:pStyle w:val="8"/>
              <w:suppressLineNumbers w:val="0"/>
              <w:bidi w:val="0"/>
              <w:spacing w:before="0" w:beforeAutospacing="0" w:after="0" w:afterAutospacing="0"/>
              <w:ind w:left="0" w:right="0"/>
              <w:rPr>
                <w:rFonts w:hint="default"/>
                <w:highlight w:val="none"/>
              </w:rPr>
            </w:pPr>
            <w:r>
              <w:rPr>
                <w:rFonts w:hint="default"/>
                <w:highlight w:val="none"/>
              </w:rPr>
              <w:t>二级</w:t>
            </w:r>
          </w:p>
        </w:tc>
        <w:tc>
          <w:tcPr>
            <w:tcW w:w="709" w:type="dxa"/>
            <w:tcBorders>
              <w:top w:val="single" w:color="auto" w:sz="4" w:space="0"/>
              <w:left w:val="single" w:color="auto" w:sz="4" w:space="0"/>
              <w:bottom w:val="single" w:color="auto" w:sz="4" w:space="0"/>
              <w:right w:val="single" w:color="auto" w:sz="4" w:space="0"/>
            </w:tcBorders>
            <w:vAlign w:val="center"/>
          </w:tcPr>
          <w:p w14:paraId="0DEA289D">
            <w:pPr>
              <w:pStyle w:val="8"/>
              <w:suppressLineNumbers w:val="0"/>
              <w:bidi w:val="0"/>
              <w:spacing w:before="0" w:beforeAutospacing="0" w:after="0" w:afterAutospacing="0"/>
              <w:ind w:left="0" w:right="0"/>
              <w:rPr>
                <w:rFonts w:hint="default"/>
                <w:highlight w:val="none"/>
              </w:rPr>
            </w:pPr>
            <w:r>
              <w:rPr>
                <w:rFonts w:hint="default"/>
                <w:highlight w:val="none"/>
              </w:rPr>
              <w:t>二级</w:t>
            </w:r>
          </w:p>
        </w:tc>
        <w:tc>
          <w:tcPr>
            <w:tcW w:w="709" w:type="dxa"/>
            <w:tcBorders>
              <w:top w:val="single" w:color="auto" w:sz="4" w:space="0"/>
              <w:left w:val="single" w:color="auto" w:sz="4" w:space="0"/>
              <w:bottom w:val="single" w:color="auto" w:sz="4" w:space="0"/>
              <w:right w:val="single" w:color="auto" w:sz="4" w:space="0"/>
            </w:tcBorders>
            <w:vAlign w:val="center"/>
          </w:tcPr>
          <w:p w14:paraId="5C873FC5">
            <w:pPr>
              <w:pStyle w:val="8"/>
              <w:suppressLineNumbers w:val="0"/>
              <w:bidi w:val="0"/>
              <w:spacing w:before="0" w:beforeAutospacing="0" w:after="0" w:afterAutospacing="0"/>
              <w:ind w:left="0" w:right="0"/>
              <w:rPr>
                <w:rFonts w:hint="default"/>
                <w:highlight w:val="none"/>
              </w:rPr>
            </w:pPr>
            <w:r>
              <w:rPr>
                <w:rFonts w:hint="default"/>
                <w:highlight w:val="none"/>
              </w:rPr>
              <w:t>三级</w:t>
            </w:r>
          </w:p>
        </w:tc>
        <w:tc>
          <w:tcPr>
            <w:tcW w:w="708" w:type="dxa"/>
            <w:tcBorders>
              <w:top w:val="single" w:color="auto" w:sz="4" w:space="0"/>
              <w:left w:val="single" w:color="auto" w:sz="4" w:space="0"/>
              <w:bottom w:val="single" w:color="auto" w:sz="4" w:space="0"/>
              <w:right w:val="single" w:color="auto" w:sz="4" w:space="0"/>
            </w:tcBorders>
            <w:vAlign w:val="center"/>
          </w:tcPr>
          <w:p w14:paraId="4A9D96F6">
            <w:pPr>
              <w:pStyle w:val="8"/>
              <w:suppressLineNumbers w:val="0"/>
              <w:bidi w:val="0"/>
              <w:spacing w:before="0" w:beforeAutospacing="0" w:after="0" w:afterAutospacing="0"/>
              <w:ind w:left="0" w:right="0"/>
              <w:rPr>
                <w:rFonts w:hint="default"/>
                <w:highlight w:val="none"/>
              </w:rPr>
            </w:pPr>
            <w:r>
              <w:rPr>
                <w:rFonts w:hint="default"/>
                <w:highlight w:val="none"/>
              </w:rPr>
              <w:t>三级</w:t>
            </w:r>
          </w:p>
        </w:tc>
        <w:tc>
          <w:tcPr>
            <w:tcW w:w="709" w:type="dxa"/>
            <w:tcBorders>
              <w:top w:val="single" w:color="auto" w:sz="4" w:space="0"/>
              <w:left w:val="single" w:color="auto" w:sz="4" w:space="0"/>
              <w:bottom w:val="single" w:color="auto" w:sz="4" w:space="0"/>
              <w:right w:val="single" w:color="auto" w:sz="4" w:space="0"/>
            </w:tcBorders>
            <w:vAlign w:val="center"/>
          </w:tcPr>
          <w:p w14:paraId="1A50D83C">
            <w:pPr>
              <w:pStyle w:val="8"/>
              <w:suppressLineNumbers w:val="0"/>
              <w:bidi w:val="0"/>
              <w:spacing w:before="0" w:beforeAutospacing="0" w:after="0" w:afterAutospacing="0"/>
              <w:ind w:left="0" w:right="0"/>
              <w:rPr>
                <w:rFonts w:hint="default"/>
                <w:highlight w:val="none"/>
              </w:rPr>
            </w:pPr>
            <w:r>
              <w:rPr>
                <w:rFonts w:hint="default"/>
                <w:highlight w:val="none"/>
              </w:rPr>
              <w:t>三级</w:t>
            </w:r>
          </w:p>
        </w:tc>
        <w:tc>
          <w:tcPr>
            <w:tcW w:w="709" w:type="dxa"/>
            <w:tcBorders>
              <w:top w:val="single" w:color="auto" w:sz="4" w:space="0"/>
              <w:left w:val="single" w:color="auto" w:sz="4" w:space="0"/>
              <w:bottom w:val="single" w:color="auto" w:sz="4" w:space="0"/>
              <w:right w:val="single" w:color="auto" w:sz="4" w:space="0"/>
            </w:tcBorders>
            <w:vAlign w:val="center"/>
          </w:tcPr>
          <w:p w14:paraId="50D6CE9B">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759" w:type="dxa"/>
            <w:tcBorders>
              <w:top w:val="single" w:color="auto" w:sz="4" w:space="0"/>
              <w:left w:val="single" w:color="auto" w:sz="4" w:space="0"/>
              <w:bottom w:val="single" w:color="auto" w:sz="4" w:space="0"/>
              <w:right w:val="nil"/>
            </w:tcBorders>
            <w:vAlign w:val="center"/>
          </w:tcPr>
          <w:p w14:paraId="174FD17D">
            <w:pPr>
              <w:pStyle w:val="8"/>
              <w:suppressLineNumbers w:val="0"/>
              <w:bidi w:val="0"/>
              <w:spacing w:before="0" w:beforeAutospacing="0" w:after="0" w:afterAutospacing="0"/>
              <w:ind w:left="0" w:right="0"/>
              <w:rPr>
                <w:rFonts w:hint="default"/>
                <w:highlight w:val="none"/>
              </w:rPr>
            </w:pPr>
            <w:r>
              <w:rPr>
                <w:rFonts w:hint="default"/>
                <w:highlight w:val="none"/>
              </w:rPr>
              <w:t>-</w:t>
            </w:r>
          </w:p>
        </w:tc>
      </w:tr>
      <w:tr w14:paraId="5DB84A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8522" w:type="dxa"/>
            <w:gridSpan w:val="10"/>
            <w:tcBorders>
              <w:top w:val="single" w:color="auto" w:sz="4" w:space="0"/>
              <w:left w:val="nil"/>
              <w:bottom w:val="single" w:color="auto" w:sz="12" w:space="0"/>
              <w:right w:val="nil"/>
            </w:tcBorders>
            <w:vAlign w:val="center"/>
          </w:tcPr>
          <w:p w14:paraId="22A0A4B9">
            <w:pPr>
              <w:pStyle w:val="8"/>
              <w:suppressLineNumbers w:val="0"/>
              <w:bidi w:val="0"/>
              <w:spacing w:before="0" w:beforeAutospacing="0" w:after="0" w:afterAutospacing="0"/>
              <w:ind w:left="0" w:right="0"/>
              <w:rPr>
                <w:rFonts w:hint="default"/>
                <w:highlight w:val="none"/>
              </w:rPr>
            </w:pPr>
            <w:r>
              <w:rPr>
                <w:rFonts w:hint="default"/>
                <w:highlight w:val="none"/>
              </w:rPr>
              <w:t>注：</w:t>
            </w:r>
            <w:r>
              <w:rPr>
                <w:rFonts w:hint="eastAsia"/>
                <w:highlight w:val="none"/>
                <w:lang w:eastAsia="zh-CN"/>
              </w:rPr>
              <w:t>“</w:t>
            </w:r>
            <w:r>
              <w:rPr>
                <w:rFonts w:hint="default"/>
                <w:highlight w:val="none"/>
              </w:rPr>
              <w:t>-</w:t>
            </w:r>
            <w:r>
              <w:rPr>
                <w:rFonts w:hint="eastAsia"/>
                <w:highlight w:val="none"/>
                <w:lang w:eastAsia="zh-CN"/>
              </w:rPr>
              <w:t>”</w:t>
            </w:r>
            <w:r>
              <w:rPr>
                <w:rFonts w:hint="default"/>
                <w:highlight w:val="none"/>
              </w:rPr>
              <w:t>表示可不开展土壤环境影响评价工作。</w:t>
            </w:r>
          </w:p>
        </w:tc>
      </w:tr>
    </w:tbl>
    <w:p w14:paraId="01E73BFB">
      <w:pPr>
        <w:keepNext w:val="0"/>
        <w:keepLines w:val="0"/>
        <w:pageBreakBefore w:val="0"/>
        <w:widowControl w:val="0"/>
        <w:kinsoku/>
        <w:wordWrap/>
        <w:overflowPunct/>
        <w:topLinePunct w:val="0"/>
        <w:autoSpaceDE/>
        <w:autoSpaceDN/>
        <w:bidi w:val="0"/>
        <w:adjustRightInd/>
        <w:snapToGrid/>
        <w:spacing w:line="360" w:lineRule="auto"/>
        <w:ind w:firstLine="480" w:firstLineChars="200"/>
        <w:contextualSpacing/>
        <w:jc w:val="both"/>
        <w:textAlignment w:val="auto"/>
        <w:rPr>
          <w:rFonts w:eastAsiaTheme="minorEastAsia"/>
          <w:snapToGrid w:val="0"/>
          <w:sz w:val="24"/>
          <w:szCs w:val="22"/>
          <w:highlight w:val="none"/>
        </w:rPr>
      </w:pPr>
      <w:r>
        <w:rPr>
          <w:rFonts w:hAnsiTheme="minorEastAsia" w:eastAsiaTheme="minorEastAsia"/>
          <w:snapToGrid w:val="0"/>
          <w:sz w:val="24"/>
          <w:szCs w:val="22"/>
          <w:highlight w:val="none"/>
        </w:rPr>
        <w:t>本项目属于</w:t>
      </w:r>
      <w:r>
        <w:rPr>
          <w:rFonts w:hint="default" w:ascii="Times New Roman" w:hAnsi="Times New Roman" w:cs="Times New Roman" w:eastAsiaTheme="minorEastAsia"/>
          <w:snapToGrid w:val="0"/>
          <w:sz w:val="24"/>
          <w:szCs w:val="22"/>
          <w:highlight w:val="none"/>
        </w:rPr>
        <w:t>Ⅰ</w:t>
      </w:r>
      <w:r>
        <w:rPr>
          <w:rFonts w:hAnsiTheme="minorEastAsia" w:eastAsiaTheme="minorEastAsia"/>
          <w:snapToGrid w:val="0"/>
          <w:sz w:val="24"/>
          <w:szCs w:val="22"/>
          <w:highlight w:val="none"/>
        </w:rPr>
        <w:t>类项目，占地规模为</w:t>
      </w:r>
      <w:r>
        <w:rPr>
          <w:rFonts w:hint="eastAsia" w:hAnsiTheme="minorEastAsia" w:eastAsiaTheme="minorEastAsia"/>
          <w:snapToGrid w:val="0"/>
          <w:sz w:val="24"/>
          <w:szCs w:val="22"/>
          <w:highlight w:val="none"/>
          <w:lang w:val="en-US" w:eastAsia="zh-CN"/>
        </w:rPr>
        <w:t>中</w:t>
      </w:r>
      <w:r>
        <w:rPr>
          <w:rFonts w:hAnsiTheme="minorEastAsia" w:eastAsiaTheme="minorEastAsia"/>
          <w:snapToGrid w:val="0"/>
          <w:sz w:val="24"/>
          <w:szCs w:val="22"/>
          <w:highlight w:val="none"/>
        </w:rPr>
        <w:t>型，敏感程度为敏感，</w:t>
      </w:r>
      <w:r>
        <w:rPr>
          <w:rFonts w:hint="eastAsia" w:hAnsiTheme="minorEastAsia" w:eastAsiaTheme="minorEastAsia"/>
          <w:snapToGrid w:val="0"/>
          <w:sz w:val="24"/>
          <w:szCs w:val="22"/>
          <w:highlight w:val="none"/>
          <w:lang w:val="zh-CN" w:eastAsia="zh-CN"/>
        </w:rPr>
        <w:t>土壤评价工作等级为</w:t>
      </w:r>
      <w:r>
        <w:rPr>
          <w:rFonts w:hint="eastAsia" w:hAnsiTheme="minorEastAsia" w:eastAsiaTheme="minorEastAsia"/>
          <w:snapToGrid w:val="0"/>
          <w:sz w:val="24"/>
          <w:szCs w:val="22"/>
          <w:highlight w:val="none"/>
          <w:lang w:val="en-US" w:eastAsia="zh-CN"/>
        </w:rPr>
        <w:t>一</w:t>
      </w:r>
      <w:r>
        <w:rPr>
          <w:rFonts w:hint="eastAsia" w:hAnsiTheme="minorEastAsia" w:eastAsiaTheme="minorEastAsia"/>
          <w:snapToGrid w:val="0"/>
          <w:sz w:val="24"/>
          <w:szCs w:val="22"/>
          <w:highlight w:val="none"/>
          <w:lang w:val="zh-CN" w:eastAsia="zh-CN"/>
        </w:rPr>
        <w:t>级</w:t>
      </w:r>
      <w:r>
        <w:rPr>
          <w:rFonts w:hAnsiTheme="minorEastAsia" w:eastAsiaTheme="minorEastAsia"/>
          <w:snapToGrid w:val="0"/>
          <w:sz w:val="24"/>
          <w:szCs w:val="22"/>
          <w:highlight w:val="none"/>
        </w:rPr>
        <w:t>。</w:t>
      </w:r>
    </w:p>
    <w:p w14:paraId="3E8553CA">
      <w:pPr>
        <w:pStyle w:val="3"/>
        <w:bidi w:val="0"/>
        <w:rPr>
          <w:highlight w:val="none"/>
        </w:rPr>
      </w:pPr>
      <w:bookmarkStart w:id="187" w:name="_Toc21247"/>
      <w:bookmarkStart w:id="188" w:name="_Toc10421"/>
      <w:bookmarkStart w:id="189" w:name="_Toc11997"/>
      <w:r>
        <w:rPr>
          <w:highlight w:val="none"/>
        </w:rPr>
        <w:t>2.5评价范围及评价时段</w:t>
      </w:r>
      <w:bookmarkEnd w:id="187"/>
      <w:bookmarkEnd w:id="188"/>
      <w:bookmarkEnd w:id="189"/>
    </w:p>
    <w:p w14:paraId="06903E20">
      <w:pPr>
        <w:pStyle w:val="4"/>
        <w:bidi w:val="0"/>
        <w:rPr>
          <w:highlight w:val="none"/>
        </w:rPr>
      </w:pPr>
      <w:bookmarkStart w:id="190" w:name="_Toc11758479"/>
      <w:bookmarkStart w:id="191" w:name="_Toc14574"/>
      <w:bookmarkStart w:id="192" w:name="_Toc14042"/>
      <w:r>
        <w:rPr>
          <w:highlight w:val="none"/>
        </w:rPr>
        <w:t>2.5.1评价范围</w:t>
      </w:r>
      <w:bookmarkEnd w:id="190"/>
      <w:bookmarkEnd w:id="191"/>
      <w:bookmarkEnd w:id="192"/>
    </w:p>
    <w:p w14:paraId="7B2D1459">
      <w:pPr>
        <w:spacing w:line="360" w:lineRule="auto"/>
        <w:ind w:firstLine="480" w:firstLineChars="200"/>
        <w:contextualSpacing/>
        <w:rPr>
          <w:rFonts w:eastAsiaTheme="minorEastAsia"/>
          <w:snapToGrid w:val="0"/>
          <w:kern w:val="0"/>
          <w:sz w:val="24"/>
          <w:highlight w:val="none"/>
        </w:rPr>
      </w:pPr>
      <w:r>
        <w:rPr>
          <w:rFonts w:hAnsiTheme="minorEastAsia" w:eastAsiaTheme="minorEastAsia"/>
          <w:snapToGrid w:val="0"/>
          <w:kern w:val="0"/>
          <w:sz w:val="24"/>
          <w:highlight w:val="none"/>
        </w:rPr>
        <w:t>由于施工期对周围环境影响较小，并且为短期影响，因此施工期只作影响分析；营运期对周围环境影响程度因工序污染物排放不同而不同，而且为长期影响，因此本评价以营运期为重点评价时段。根据评价区域环境特点、建设项目工程污染特征及环境影响评价工作等级要求，确定各环境要素评价范围。</w:t>
      </w:r>
    </w:p>
    <w:p w14:paraId="55250A23">
      <w:pPr>
        <w:tabs>
          <w:tab w:val="left" w:leader="middleDot" w:pos="0"/>
        </w:tabs>
        <w:spacing w:line="360" w:lineRule="auto"/>
        <w:ind w:firstLine="480" w:firstLineChars="200"/>
        <w:contextualSpacing/>
        <w:rPr>
          <w:rFonts w:eastAsiaTheme="minorEastAsia"/>
          <w:sz w:val="24"/>
          <w:highlight w:val="none"/>
        </w:rPr>
      </w:pPr>
      <w:r>
        <w:rPr>
          <w:rFonts w:hAnsiTheme="minorEastAsia" w:eastAsiaTheme="minorEastAsia"/>
          <w:sz w:val="24"/>
          <w:highlight w:val="none"/>
        </w:rPr>
        <w:t>根据工程特征与环境现状确定该项目评价范围见表</w:t>
      </w:r>
      <w:r>
        <w:rPr>
          <w:rFonts w:eastAsiaTheme="minorEastAsia"/>
          <w:sz w:val="24"/>
          <w:highlight w:val="none"/>
        </w:rPr>
        <w:t>2-5-1</w:t>
      </w:r>
      <w:r>
        <w:rPr>
          <w:rFonts w:hAnsiTheme="minorEastAsia" w:eastAsiaTheme="minorEastAsia"/>
          <w:sz w:val="24"/>
          <w:highlight w:val="none"/>
        </w:rPr>
        <w:t>。</w:t>
      </w:r>
    </w:p>
    <w:p w14:paraId="0A0C7E65">
      <w:pPr>
        <w:pStyle w:val="7"/>
        <w:bidi w:val="0"/>
        <w:rPr>
          <w:highlight w:val="none"/>
        </w:rPr>
      </w:pPr>
      <w:r>
        <w:rPr>
          <w:highlight w:val="none"/>
        </w:rPr>
        <w:t>表2-5-1工程评价范围表</w:t>
      </w:r>
    </w:p>
    <w:tbl>
      <w:tblPr>
        <w:tblStyle w:val="45"/>
        <w:tblW w:w="7981"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108" w:type="dxa"/>
          <w:bottom w:w="0" w:type="dxa"/>
          <w:right w:w="108" w:type="dxa"/>
        </w:tblCellMar>
      </w:tblPr>
      <w:tblGrid>
        <w:gridCol w:w="1233"/>
        <w:gridCol w:w="6748"/>
      </w:tblGrid>
      <w:tr w14:paraId="02DA581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53" w:hRule="atLeast"/>
          <w:jc w:val="center"/>
        </w:trPr>
        <w:tc>
          <w:tcPr>
            <w:tcW w:w="1233" w:type="dxa"/>
            <w:vAlign w:val="center"/>
          </w:tcPr>
          <w:p w14:paraId="7147E470">
            <w:pPr>
              <w:pStyle w:val="8"/>
              <w:suppressLineNumbers w:val="0"/>
              <w:bidi w:val="0"/>
              <w:spacing w:before="0" w:beforeAutospacing="0" w:after="0" w:afterAutospacing="0"/>
              <w:ind w:left="0" w:right="0"/>
              <w:rPr>
                <w:rFonts w:hint="default"/>
                <w:highlight w:val="none"/>
              </w:rPr>
            </w:pPr>
            <w:r>
              <w:rPr>
                <w:rFonts w:hint="default"/>
                <w:highlight w:val="none"/>
              </w:rPr>
              <w:t>评价因子</w:t>
            </w:r>
          </w:p>
        </w:tc>
        <w:tc>
          <w:tcPr>
            <w:tcW w:w="6748" w:type="dxa"/>
            <w:vAlign w:val="center"/>
          </w:tcPr>
          <w:p w14:paraId="62086F02">
            <w:pPr>
              <w:pStyle w:val="8"/>
              <w:suppressLineNumbers w:val="0"/>
              <w:bidi w:val="0"/>
              <w:spacing w:before="0" w:beforeAutospacing="0" w:after="0" w:afterAutospacing="0"/>
              <w:ind w:left="0" w:right="0"/>
              <w:rPr>
                <w:rFonts w:hint="default"/>
                <w:highlight w:val="none"/>
              </w:rPr>
            </w:pPr>
            <w:r>
              <w:rPr>
                <w:rFonts w:hint="default"/>
                <w:highlight w:val="none"/>
              </w:rPr>
              <w:t>评价范围</w:t>
            </w:r>
          </w:p>
        </w:tc>
      </w:tr>
      <w:tr w14:paraId="3087524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63" w:hRule="atLeast"/>
          <w:jc w:val="center"/>
        </w:trPr>
        <w:tc>
          <w:tcPr>
            <w:tcW w:w="1233" w:type="dxa"/>
            <w:vAlign w:val="center"/>
          </w:tcPr>
          <w:p w14:paraId="0E6051ED">
            <w:pPr>
              <w:pStyle w:val="8"/>
              <w:suppressLineNumbers w:val="0"/>
              <w:bidi w:val="0"/>
              <w:spacing w:before="0" w:beforeAutospacing="0" w:after="0" w:afterAutospacing="0"/>
              <w:ind w:left="0" w:right="0"/>
              <w:rPr>
                <w:rFonts w:hint="default"/>
                <w:highlight w:val="none"/>
              </w:rPr>
            </w:pPr>
            <w:r>
              <w:rPr>
                <w:rFonts w:hint="default"/>
                <w:highlight w:val="none"/>
              </w:rPr>
              <w:t>地下水</w:t>
            </w:r>
          </w:p>
        </w:tc>
        <w:tc>
          <w:tcPr>
            <w:tcW w:w="6748" w:type="dxa"/>
            <w:vAlign w:val="center"/>
          </w:tcPr>
          <w:p w14:paraId="2224B023">
            <w:pPr>
              <w:pStyle w:val="8"/>
              <w:suppressLineNumbers w:val="0"/>
              <w:bidi w:val="0"/>
              <w:spacing w:before="0" w:beforeAutospacing="0" w:after="0" w:afterAutospacing="0"/>
              <w:ind w:left="0" w:right="0"/>
              <w:rPr>
                <w:rFonts w:hint="default"/>
                <w:highlight w:val="none"/>
              </w:rPr>
            </w:pPr>
            <w:r>
              <w:rPr>
                <w:rFonts w:hint="default"/>
                <w:highlight w:val="none"/>
              </w:rPr>
              <w:t>沿地下水流向，以场区为中心，场区上游</w:t>
            </w:r>
            <w:r>
              <w:rPr>
                <w:rFonts w:hint="eastAsia"/>
                <w:highlight w:val="none"/>
                <w:lang w:val="en-US" w:eastAsia="zh-CN"/>
              </w:rPr>
              <w:t>2k</w:t>
            </w:r>
            <w:r>
              <w:rPr>
                <w:rFonts w:hint="default"/>
                <w:highlight w:val="none"/>
              </w:rPr>
              <w:t>m、下游</w:t>
            </w:r>
            <w:r>
              <w:rPr>
                <w:rFonts w:hint="eastAsia"/>
                <w:highlight w:val="none"/>
                <w:lang w:val="en-US" w:eastAsia="zh-CN"/>
              </w:rPr>
              <w:t>3k</w:t>
            </w:r>
            <w:r>
              <w:rPr>
                <w:rFonts w:hint="default"/>
                <w:highlight w:val="none"/>
              </w:rPr>
              <w:t>m，两侧各</w:t>
            </w:r>
            <w:r>
              <w:rPr>
                <w:rFonts w:hint="eastAsia"/>
                <w:highlight w:val="none"/>
                <w:lang w:val="en-US" w:eastAsia="zh-CN"/>
              </w:rPr>
              <w:t>2k</w:t>
            </w:r>
            <w:r>
              <w:rPr>
                <w:rFonts w:hint="default"/>
                <w:highlight w:val="none"/>
              </w:rPr>
              <w:t>m范围内的矩形</w:t>
            </w:r>
          </w:p>
        </w:tc>
      </w:tr>
      <w:tr w14:paraId="342836D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53" w:hRule="atLeast"/>
          <w:jc w:val="center"/>
        </w:trPr>
        <w:tc>
          <w:tcPr>
            <w:tcW w:w="1233" w:type="dxa"/>
            <w:vAlign w:val="center"/>
          </w:tcPr>
          <w:p w14:paraId="240075C6">
            <w:pPr>
              <w:pStyle w:val="8"/>
              <w:suppressLineNumbers w:val="0"/>
              <w:bidi w:val="0"/>
              <w:spacing w:before="0" w:beforeAutospacing="0" w:after="0" w:afterAutospacing="0"/>
              <w:ind w:left="0" w:right="0"/>
              <w:rPr>
                <w:rFonts w:hint="default"/>
                <w:highlight w:val="none"/>
              </w:rPr>
            </w:pPr>
            <w:r>
              <w:rPr>
                <w:rFonts w:hint="default"/>
                <w:highlight w:val="none"/>
              </w:rPr>
              <w:t>噪声</w:t>
            </w:r>
          </w:p>
        </w:tc>
        <w:tc>
          <w:tcPr>
            <w:tcW w:w="6748" w:type="dxa"/>
            <w:vAlign w:val="center"/>
          </w:tcPr>
          <w:p w14:paraId="4AD98C40">
            <w:pPr>
              <w:pStyle w:val="8"/>
              <w:suppressLineNumbers w:val="0"/>
              <w:bidi w:val="0"/>
              <w:spacing w:before="0" w:beforeAutospacing="0" w:after="0" w:afterAutospacing="0"/>
              <w:ind w:left="0" w:right="0"/>
              <w:rPr>
                <w:rFonts w:hint="default"/>
                <w:highlight w:val="none"/>
              </w:rPr>
            </w:pPr>
            <w:r>
              <w:rPr>
                <w:rFonts w:hint="default"/>
                <w:highlight w:val="none"/>
              </w:rPr>
              <w:t>厂界外200m范围</w:t>
            </w:r>
          </w:p>
        </w:tc>
      </w:tr>
      <w:tr w14:paraId="3FD19B0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19" w:hRule="atLeast"/>
          <w:jc w:val="center"/>
        </w:trPr>
        <w:tc>
          <w:tcPr>
            <w:tcW w:w="1233" w:type="dxa"/>
            <w:vAlign w:val="center"/>
          </w:tcPr>
          <w:p w14:paraId="69CDDB69">
            <w:pPr>
              <w:pStyle w:val="8"/>
              <w:suppressLineNumbers w:val="0"/>
              <w:bidi w:val="0"/>
              <w:spacing w:before="0" w:beforeAutospacing="0" w:after="0" w:afterAutospacing="0"/>
              <w:ind w:left="0" w:right="0"/>
              <w:rPr>
                <w:rFonts w:hint="eastAsia"/>
                <w:highlight w:val="none"/>
                <w:lang w:val="en-US" w:eastAsia="zh-CN"/>
              </w:rPr>
            </w:pPr>
            <w:r>
              <w:rPr>
                <w:rFonts w:hint="eastAsia"/>
                <w:highlight w:val="none"/>
                <w:lang w:val="en-US" w:eastAsia="zh-CN"/>
              </w:rPr>
              <w:t>土壤</w:t>
            </w:r>
          </w:p>
        </w:tc>
        <w:tc>
          <w:tcPr>
            <w:tcW w:w="6748" w:type="dxa"/>
            <w:vAlign w:val="center"/>
          </w:tcPr>
          <w:p w14:paraId="2BD73956">
            <w:pPr>
              <w:pStyle w:val="8"/>
              <w:suppressLineNumbers w:val="0"/>
              <w:bidi w:val="0"/>
              <w:spacing w:before="0" w:beforeAutospacing="0" w:after="0" w:afterAutospacing="0"/>
              <w:ind w:left="0" w:right="0"/>
              <w:rPr>
                <w:rFonts w:hint="default"/>
                <w:highlight w:val="none"/>
              </w:rPr>
            </w:pPr>
            <w:r>
              <w:rPr>
                <w:rFonts w:hint="eastAsia"/>
                <w:highlight w:val="none"/>
                <w:lang w:val="zh-CN" w:eastAsia="zh-CN"/>
              </w:rPr>
              <w:t>项目占地范围及占地范围外</w:t>
            </w:r>
            <w:r>
              <w:rPr>
                <w:rFonts w:hint="eastAsia"/>
                <w:highlight w:val="none"/>
                <w:lang w:val="en-US" w:eastAsia="zh-CN"/>
              </w:rPr>
              <w:t>1</w:t>
            </w:r>
            <w:r>
              <w:rPr>
                <w:rFonts w:hint="default"/>
                <w:highlight w:val="none"/>
                <w:lang w:val="zh-CN" w:eastAsia="zh-CN"/>
              </w:rPr>
              <w:t>km</w:t>
            </w:r>
            <w:r>
              <w:rPr>
                <w:rFonts w:hint="eastAsia"/>
                <w:highlight w:val="none"/>
                <w:lang w:val="zh-CN" w:eastAsia="zh-CN"/>
              </w:rPr>
              <w:t>范围内</w:t>
            </w:r>
          </w:p>
        </w:tc>
      </w:tr>
      <w:tr w14:paraId="0A45441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19" w:hRule="atLeast"/>
          <w:jc w:val="center"/>
        </w:trPr>
        <w:tc>
          <w:tcPr>
            <w:tcW w:w="1233" w:type="dxa"/>
            <w:vAlign w:val="center"/>
          </w:tcPr>
          <w:p w14:paraId="3308C786">
            <w:pPr>
              <w:pStyle w:val="8"/>
              <w:suppressLineNumbers w:val="0"/>
              <w:bidi w:val="0"/>
              <w:spacing w:before="0" w:beforeAutospacing="0" w:after="0" w:afterAutospacing="0"/>
              <w:ind w:left="0" w:leftChars="0" w:right="0" w:rightChars="0" w:firstLine="0" w:firstLineChars="0"/>
              <w:rPr>
                <w:rFonts w:hint="eastAsia"/>
                <w:highlight w:val="none"/>
                <w:lang w:val="en-US" w:eastAsia="zh-CN"/>
              </w:rPr>
            </w:pPr>
            <w:bookmarkStart w:id="193" w:name="_Toc18697"/>
            <w:bookmarkStart w:id="194" w:name="_Toc15991636"/>
            <w:bookmarkStart w:id="195" w:name="_Toc524431294"/>
            <w:r>
              <w:rPr>
                <w:rFonts w:hint="default"/>
                <w:highlight w:val="none"/>
              </w:rPr>
              <w:t>环境空气</w:t>
            </w:r>
          </w:p>
        </w:tc>
        <w:tc>
          <w:tcPr>
            <w:tcW w:w="6748" w:type="dxa"/>
            <w:vAlign w:val="center"/>
          </w:tcPr>
          <w:p w14:paraId="19B8A896">
            <w:pPr>
              <w:pStyle w:val="8"/>
              <w:suppressLineNumbers w:val="0"/>
              <w:bidi w:val="0"/>
              <w:spacing w:before="0" w:beforeAutospacing="0" w:after="0" w:afterAutospacing="0"/>
              <w:ind w:left="0" w:leftChars="0" w:right="0" w:rightChars="0" w:firstLine="0" w:firstLineChars="0"/>
              <w:rPr>
                <w:rFonts w:hint="eastAsia"/>
                <w:highlight w:val="none"/>
                <w:lang w:val="zh-CN" w:eastAsia="zh-CN"/>
              </w:rPr>
            </w:pPr>
            <w:r>
              <w:rPr>
                <w:rFonts w:hint="default"/>
                <w:highlight w:val="none"/>
              </w:rPr>
              <w:t>以项目厂址为中心，边长5km的矩形区域</w:t>
            </w:r>
          </w:p>
        </w:tc>
      </w:tr>
    </w:tbl>
    <w:p w14:paraId="6C2164D4">
      <w:pPr>
        <w:pStyle w:val="4"/>
        <w:bidi w:val="0"/>
        <w:rPr>
          <w:highlight w:val="none"/>
        </w:rPr>
      </w:pPr>
      <w:bookmarkStart w:id="196" w:name="_Toc14286"/>
      <w:r>
        <w:rPr>
          <w:highlight w:val="none"/>
        </w:rPr>
        <w:t>2.5.2评价时段</w:t>
      </w:r>
      <w:bookmarkEnd w:id="193"/>
      <w:bookmarkEnd w:id="194"/>
      <w:bookmarkEnd w:id="195"/>
      <w:bookmarkEnd w:id="196"/>
    </w:p>
    <w:p w14:paraId="5D78AC0B">
      <w:pPr>
        <w:spacing w:line="360" w:lineRule="auto"/>
        <w:ind w:firstLine="480" w:firstLineChars="200"/>
        <w:rPr>
          <w:rFonts w:eastAsiaTheme="minorEastAsia"/>
          <w:snapToGrid w:val="0"/>
          <w:kern w:val="0"/>
          <w:sz w:val="24"/>
          <w:highlight w:val="none"/>
        </w:rPr>
      </w:pPr>
      <w:r>
        <w:rPr>
          <w:rFonts w:hAnsiTheme="minorEastAsia" w:eastAsiaTheme="minorEastAsia"/>
          <w:snapToGrid w:val="0"/>
          <w:kern w:val="0"/>
          <w:sz w:val="24"/>
          <w:highlight w:val="none"/>
        </w:rPr>
        <w:t>评价时段为施工期、营运期。由于施工期对周围环境影响较小，并且为短期影响，因此施工期只作影响分析；营运期对周围环境影响程度因工序污染物排放不同而不同，而且为长期影响，因此本评价以营运期为重点评价时段。</w:t>
      </w:r>
    </w:p>
    <w:p w14:paraId="2D903507">
      <w:pPr>
        <w:pStyle w:val="3"/>
        <w:bidi w:val="0"/>
        <w:rPr>
          <w:highlight w:val="none"/>
        </w:rPr>
      </w:pPr>
      <w:bookmarkStart w:id="197" w:name="_Toc6514"/>
      <w:bookmarkStart w:id="198" w:name="_Toc22471"/>
      <w:bookmarkStart w:id="199" w:name="_Toc28185"/>
      <w:r>
        <w:rPr>
          <w:highlight w:val="none"/>
        </w:rPr>
        <w:t>2.6环境功能区划</w:t>
      </w:r>
      <w:bookmarkEnd w:id="197"/>
      <w:bookmarkEnd w:id="198"/>
      <w:bookmarkEnd w:id="199"/>
    </w:p>
    <w:p w14:paraId="7A6B53E1">
      <w:pPr>
        <w:ind w:firstLine="480"/>
        <w:contextualSpacing/>
        <w:jc w:val="left"/>
        <w:rPr>
          <w:rFonts w:ascii="Times New Roman" w:hAnsi="Times New Roman"/>
          <w:snapToGrid w:val="0"/>
          <w:color w:val="000000" w:themeColor="text1"/>
          <w:szCs w:val="22"/>
          <w:highlight w:val="none"/>
        </w:rPr>
      </w:pPr>
      <w:r>
        <w:rPr>
          <w:rFonts w:hint="eastAsia"/>
          <w:snapToGrid w:val="0"/>
          <w:color w:val="000000" w:themeColor="text1"/>
          <w:szCs w:val="22"/>
          <w:highlight w:val="none"/>
          <w:lang w:eastAsia="zh-CN"/>
        </w:rPr>
        <w:t>（</w:t>
      </w:r>
      <w:r>
        <w:rPr>
          <w:rFonts w:hint="eastAsia"/>
          <w:snapToGrid w:val="0"/>
          <w:color w:val="000000" w:themeColor="text1"/>
          <w:szCs w:val="22"/>
          <w:highlight w:val="none"/>
          <w:lang w:val="en-US" w:eastAsia="zh-CN"/>
        </w:rPr>
        <w:t>1</w:t>
      </w:r>
      <w:r>
        <w:rPr>
          <w:rFonts w:hint="eastAsia"/>
          <w:snapToGrid w:val="0"/>
          <w:color w:val="000000" w:themeColor="text1"/>
          <w:szCs w:val="22"/>
          <w:highlight w:val="none"/>
          <w:lang w:eastAsia="zh-CN"/>
        </w:rPr>
        <w:t>）</w:t>
      </w:r>
      <w:r>
        <w:rPr>
          <w:rFonts w:ascii="Times New Roman" w:hAnsi="Times New Roman"/>
          <w:snapToGrid w:val="0"/>
          <w:color w:val="000000" w:themeColor="text1"/>
          <w:szCs w:val="22"/>
          <w:highlight w:val="none"/>
        </w:rPr>
        <w:t>本项目位于哈尔滨市平房区</w:t>
      </w:r>
      <w:r>
        <w:rPr>
          <w:rFonts w:hint="eastAsia" w:ascii="Times New Roman" w:hAnsi="Times New Roman"/>
          <w:snapToGrid w:val="0"/>
          <w:color w:val="000000" w:themeColor="text1"/>
          <w:szCs w:val="22"/>
          <w:highlight w:val="none"/>
        </w:rPr>
        <w:t>征仪南路6号</w:t>
      </w:r>
      <w:r>
        <w:rPr>
          <w:rFonts w:ascii="Times New Roman" w:hAnsi="Times New Roman"/>
          <w:snapToGrid w:val="0"/>
          <w:color w:val="000000" w:themeColor="text1"/>
          <w:szCs w:val="22"/>
          <w:highlight w:val="none"/>
        </w:rPr>
        <w:t>哈尔滨东安汽车发动机制造有限公司</w:t>
      </w:r>
      <w:r>
        <w:rPr>
          <w:rFonts w:hint="eastAsia" w:ascii="Times New Roman" w:hAnsi="Times New Roman"/>
          <w:snapToGrid w:val="0"/>
          <w:color w:val="000000" w:themeColor="text1"/>
          <w:szCs w:val="22"/>
          <w:highlight w:val="none"/>
        </w:rPr>
        <w:t>现有厂房内</w:t>
      </w:r>
      <w:r>
        <w:rPr>
          <w:rFonts w:ascii="Times New Roman" w:hAnsi="Times New Roman"/>
          <w:snapToGrid w:val="0"/>
          <w:color w:val="000000" w:themeColor="text1"/>
          <w:szCs w:val="22"/>
          <w:highlight w:val="none"/>
        </w:rPr>
        <w:t>，该区域为一般工业区、居住区、商业交通居民混合区，环境空气质量功能区划为二类区。</w:t>
      </w:r>
    </w:p>
    <w:p w14:paraId="7B128169">
      <w:pPr>
        <w:widowControl/>
        <w:ind w:firstLine="480" w:firstLineChars="200"/>
        <w:jc w:val="left"/>
        <w:rPr>
          <w:rFonts w:ascii="Times New Roman" w:hAnsi="Times New Roman"/>
          <w:snapToGrid w:val="0"/>
          <w:color w:val="000000" w:themeColor="text1"/>
          <w:szCs w:val="22"/>
          <w:highlight w:val="none"/>
        </w:rPr>
      </w:pPr>
      <w:r>
        <w:rPr>
          <w:rFonts w:hint="eastAsia"/>
          <w:snapToGrid w:val="0"/>
          <w:color w:val="000000" w:themeColor="text1"/>
          <w:szCs w:val="22"/>
          <w:highlight w:val="none"/>
          <w:lang w:eastAsia="zh-CN"/>
        </w:rPr>
        <w:t>（</w:t>
      </w:r>
      <w:r>
        <w:rPr>
          <w:rFonts w:hint="eastAsia"/>
          <w:snapToGrid w:val="0"/>
          <w:color w:val="000000" w:themeColor="text1"/>
          <w:szCs w:val="22"/>
          <w:highlight w:val="none"/>
          <w:lang w:val="en-US" w:eastAsia="zh-CN"/>
        </w:rPr>
        <w:t>2</w:t>
      </w:r>
      <w:r>
        <w:rPr>
          <w:rFonts w:hint="eastAsia"/>
          <w:snapToGrid w:val="0"/>
          <w:color w:val="000000" w:themeColor="text1"/>
          <w:szCs w:val="22"/>
          <w:highlight w:val="none"/>
          <w:lang w:eastAsia="zh-CN"/>
        </w:rPr>
        <w:t>）</w:t>
      </w:r>
      <w:r>
        <w:rPr>
          <w:rFonts w:hint="eastAsia" w:ascii="Times New Roman" w:hAnsi="Times New Roman"/>
          <w:snapToGrid w:val="0"/>
          <w:color w:val="000000" w:themeColor="text1"/>
          <w:szCs w:val="22"/>
          <w:highlight w:val="none"/>
        </w:rPr>
        <w:t>根据</w:t>
      </w:r>
      <w:r>
        <w:rPr>
          <w:rFonts w:ascii="新宋体" w:hAnsi="新宋体" w:eastAsia="新宋体" w:cs="新宋体"/>
          <w:color w:val="000000" w:themeColor="text1"/>
          <w:kern w:val="0"/>
          <w:highlight w:val="none"/>
        </w:rPr>
        <w:t>《黑龙江省水利厅黑龙江省发展和改革委员会黑龙江省环境保护厅</w:t>
      </w:r>
      <w:r>
        <w:rPr>
          <w:rFonts w:hint="eastAsia" w:ascii="新宋体" w:hAnsi="新宋体" w:eastAsia="新宋体" w:cs="新宋体"/>
          <w:color w:val="000000" w:themeColor="text1"/>
          <w:kern w:val="0"/>
          <w:highlight w:val="none"/>
        </w:rPr>
        <w:t>关于转发《水利部国家发展和改革委员会环境保护部关于印发全国重要江河湖泊水功能区划</w:t>
      </w:r>
      <w:r>
        <w:rPr>
          <w:rFonts w:ascii="Times New Roman" w:hAnsi="Times New Roman"/>
          <w:color w:val="000000" w:themeColor="text1"/>
          <w:kern w:val="0"/>
          <w:highlight w:val="none"/>
        </w:rPr>
        <w:t>(2011-2030</w:t>
      </w:r>
      <w:r>
        <w:rPr>
          <w:rFonts w:hint="eastAsia" w:ascii="新宋体" w:hAnsi="新宋体" w:eastAsia="新宋体" w:cs="新宋体"/>
          <w:color w:val="000000" w:themeColor="text1"/>
          <w:kern w:val="0"/>
          <w:highlight w:val="none"/>
        </w:rPr>
        <w:t>年</w:t>
      </w:r>
      <w:r>
        <w:rPr>
          <w:rFonts w:ascii="Times New Roman" w:hAnsi="Times New Roman"/>
          <w:color w:val="000000" w:themeColor="text1"/>
          <w:kern w:val="0"/>
          <w:highlight w:val="none"/>
        </w:rPr>
        <w:t>)</w:t>
      </w:r>
      <w:r>
        <w:rPr>
          <w:rFonts w:hint="eastAsia" w:ascii="新宋体" w:hAnsi="新宋体" w:eastAsia="新宋体" w:cs="新宋体"/>
          <w:color w:val="000000" w:themeColor="text1"/>
          <w:kern w:val="0"/>
          <w:highlight w:val="none"/>
        </w:rPr>
        <w:t>的通知》的通知》（黑水发</w:t>
      </w:r>
      <w:r>
        <w:rPr>
          <w:rFonts w:ascii="Times New Roman" w:hAnsi="Times New Roman"/>
          <w:color w:val="000000" w:themeColor="text1"/>
          <w:kern w:val="0"/>
          <w:highlight w:val="none"/>
        </w:rPr>
        <w:t>[2012]359</w:t>
      </w:r>
      <w:r>
        <w:rPr>
          <w:rFonts w:hint="eastAsia" w:ascii="新宋体" w:hAnsi="新宋体" w:eastAsia="新宋体" w:cs="新宋体"/>
          <w:color w:val="000000" w:themeColor="text1"/>
          <w:kern w:val="0"/>
          <w:highlight w:val="none"/>
        </w:rPr>
        <w:t>号）</w:t>
      </w:r>
      <w:r>
        <w:rPr>
          <w:rFonts w:ascii="Times New Roman" w:hAnsi="Times New Roman"/>
          <w:snapToGrid w:val="0"/>
          <w:color w:val="000000" w:themeColor="text1"/>
          <w:szCs w:val="22"/>
          <w:highlight w:val="none"/>
          <w:lang w:eastAsia="zh-TW"/>
        </w:rPr>
        <w:t>，</w:t>
      </w:r>
      <w:r>
        <w:rPr>
          <w:rFonts w:hint="eastAsia" w:ascii="Times New Roman" w:hAnsi="Times New Roman"/>
          <w:snapToGrid w:val="0"/>
          <w:color w:val="000000" w:themeColor="text1"/>
          <w:szCs w:val="22"/>
          <w:highlight w:val="none"/>
          <w:lang w:eastAsia="zh-TW"/>
        </w:rPr>
        <w:t>本项目</w:t>
      </w:r>
      <w:r>
        <w:rPr>
          <w:rFonts w:hint="eastAsia" w:ascii="Times New Roman" w:hAnsi="Times New Roman"/>
          <w:snapToGrid w:val="0"/>
          <w:color w:val="000000" w:themeColor="text1"/>
          <w:szCs w:val="22"/>
          <w:highlight w:val="none"/>
        </w:rPr>
        <w:t>纳污水体</w:t>
      </w:r>
      <w:r>
        <w:rPr>
          <w:rFonts w:hint="eastAsia"/>
          <w:snapToGrid w:val="0"/>
          <w:color w:val="000000" w:themeColor="text1"/>
          <w:szCs w:val="22"/>
          <w:highlight w:val="none"/>
          <w:lang w:val="en-US" w:eastAsia="zh-CN"/>
        </w:rPr>
        <w:t>为</w:t>
      </w:r>
      <w:r>
        <w:rPr>
          <w:rFonts w:hint="eastAsia" w:ascii="Times New Roman" w:hAnsi="Times New Roman"/>
          <w:snapToGrid w:val="0"/>
          <w:color w:val="000000" w:themeColor="text1"/>
          <w:szCs w:val="22"/>
          <w:highlight w:val="none"/>
          <w:lang w:val="en-US" w:eastAsia="zh-CN"/>
        </w:rPr>
        <w:t>马家沟河</w:t>
      </w:r>
      <w:r>
        <w:rPr>
          <w:rFonts w:hint="eastAsia" w:ascii="Times New Roman" w:hAnsi="Times New Roman"/>
          <w:snapToGrid w:val="0"/>
          <w:color w:val="000000" w:themeColor="text1"/>
          <w:szCs w:val="22"/>
          <w:highlight w:val="none"/>
          <w:lang w:eastAsia="zh-TW"/>
        </w:rPr>
        <w:t>，规划水体类别为</w:t>
      </w:r>
      <w:r>
        <w:rPr>
          <w:rFonts w:ascii="Times New Roman" w:hAnsi="Times New Roman"/>
          <w:snapToGrid w:val="0"/>
          <w:color w:val="000000" w:themeColor="text1"/>
          <w:szCs w:val="22"/>
          <w:highlight w:val="none"/>
        </w:rPr>
        <w:t>Ⅳ</w:t>
      </w:r>
      <w:r>
        <w:rPr>
          <w:rFonts w:ascii="Times New Roman" w:hAnsi="Times New Roman"/>
          <w:snapToGrid w:val="0"/>
          <w:color w:val="000000" w:themeColor="text1"/>
          <w:szCs w:val="22"/>
          <w:highlight w:val="none"/>
          <w:lang w:eastAsia="zh-TW"/>
        </w:rPr>
        <w:t>类</w:t>
      </w:r>
      <w:r>
        <w:rPr>
          <w:rFonts w:hint="eastAsia" w:ascii="Times New Roman" w:hAnsi="Times New Roman"/>
          <w:snapToGrid w:val="0"/>
          <w:color w:val="000000" w:themeColor="text1"/>
          <w:szCs w:val="22"/>
          <w:highlight w:val="none"/>
        </w:rPr>
        <w:t>。</w:t>
      </w:r>
    </w:p>
    <w:p w14:paraId="381F6F78">
      <w:pPr>
        <w:ind w:firstLine="480"/>
        <w:contextualSpacing/>
        <w:jc w:val="left"/>
        <w:rPr>
          <w:rFonts w:ascii="Times New Roman" w:hAnsi="Times New Roman"/>
          <w:snapToGrid w:val="0"/>
          <w:color w:val="000000" w:themeColor="text1"/>
          <w:szCs w:val="22"/>
          <w:highlight w:val="none"/>
        </w:rPr>
      </w:pPr>
      <w:bookmarkStart w:id="200" w:name="_Toc9467"/>
      <w:r>
        <w:rPr>
          <w:rFonts w:hint="eastAsia"/>
          <w:snapToGrid w:val="0"/>
          <w:color w:val="000000" w:themeColor="text1"/>
          <w:szCs w:val="22"/>
          <w:highlight w:val="none"/>
          <w:lang w:eastAsia="zh-CN"/>
        </w:rPr>
        <w:t>（</w:t>
      </w:r>
      <w:r>
        <w:rPr>
          <w:rFonts w:hint="eastAsia"/>
          <w:snapToGrid w:val="0"/>
          <w:color w:val="000000" w:themeColor="text1"/>
          <w:szCs w:val="22"/>
          <w:highlight w:val="none"/>
          <w:lang w:val="en-US" w:eastAsia="zh-CN"/>
        </w:rPr>
        <w:t>3</w:t>
      </w:r>
      <w:r>
        <w:rPr>
          <w:rFonts w:hint="eastAsia"/>
          <w:snapToGrid w:val="0"/>
          <w:color w:val="000000" w:themeColor="text1"/>
          <w:szCs w:val="22"/>
          <w:highlight w:val="none"/>
          <w:lang w:eastAsia="zh-CN"/>
        </w:rPr>
        <w:t>）</w:t>
      </w:r>
      <w:r>
        <w:rPr>
          <w:rFonts w:ascii="Times New Roman" w:hAnsi="Times New Roman"/>
          <w:snapToGrid w:val="0"/>
          <w:color w:val="000000" w:themeColor="text1"/>
          <w:szCs w:val="22"/>
          <w:highlight w:val="none"/>
        </w:rPr>
        <w:t>项目所在区地下水质量环境功能区划为</w:t>
      </w:r>
      <w:r>
        <w:rPr>
          <w:rFonts w:hint="default" w:ascii="Times New Roman" w:hAnsi="Times New Roman" w:cs="Times New Roman"/>
          <w:snapToGrid w:val="0"/>
          <w:color w:val="000000" w:themeColor="text1"/>
          <w:szCs w:val="22"/>
          <w:highlight w:val="none"/>
        </w:rPr>
        <w:t>Ⅲ</w:t>
      </w:r>
      <w:r>
        <w:rPr>
          <w:rFonts w:ascii="Times New Roman" w:hAnsi="Times New Roman"/>
          <w:snapToGrid w:val="0"/>
          <w:color w:val="000000" w:themeColor="text1"/>
          <w:szCs w:val="22"/>
          <w:highlight w:val="none"/>
        </w:rPr>
        <w:t>类</w:t>
      </w:r>
      <w:r>
        <w:rPr>
          <w:rFonts w:hint="eastAsia" w:ascii="Times New Roman" w:hAnsi="Times New Roman"/>
          <w:snapToGrid w:val="0"/>
          <w:color w:val="000000" w:themeColor="text1"/>
          <w:szCs w:val="22"/>
          <w:highlight w:val="none"/>
        </w:rPr>
        <w:t>水体。</w:t>
      </w:r>
      <w:bookmarkEnd w:id="200"/>
    </w:p>
    <w:p w14:paraId="6F29E7CA">
      <w:pPr>
        <w:widowControl/>
        <w:ind w:firstLine="480" w:firstLineChars="200"/>
        <w:jc w:val="left"/>
        <w:rPr>
          <w:rFonts w:hint="eastAsia" w:ascii="Times New Roman" w:hAnsi="Times New Roman"/>
          <w:snapToGrid w:val="0"/>
          <w:color w:val="000000" w:themeColor="text1"/>
          <w:szCs w:val="22"/>
          <w:highlight w:val="none"/>
          <w:lang w:eastAsia="zh-TW"/>
        </w:rPr>
      </w:pPr>
      <w:r>
        <w:rPr>
          <w:rFonts w:hint="eastAsia"/>
          <w:snapToGrid w:val="0"/>
          <w:color w:val="000000" w:themeColor="text1"/>
          <w:szCs w:val="22"/>
          <w:highlight w:val="none"/>
          <w:lang w:eastAsia="zh-CN"/>
        </w:rPr>
        <w:t>（</w:t>
      </w:r>
      <w:r>
        <w:rPr>
          <w:rFonts w:hint="eastAsia"/>
          <w:snapToGrid w:val="0"/>
          <w:color w:val="000000" w:themeColor="text1"/>
          <w:szCs w:val="22"/>
          <w:highlight w:val="none"/>
          <w:lang w:val="en-US" w:eastAsia="zh-CN"/>
        </w:rPr>
        <w:t>4</w:t>
      </w:r>
      <w:r>
        <w:rPr>
          <w:rFonts w:hint="eastAsia"/>
          <w:snapToGrid w:val="0"/>
          <w:color w:val="000000" w:themeColor="text1"/>
          <w:szCs w:val="22"/>
          <w:highlight w:val="none"/>
          <w:lang w:eastAsia="zh-CN"/>
        </w:rPr>
        <w:t>）</w:t>
      </w:r>
      <w:r>
        <w:rPr>
          <w:rFonts w:ascii="Times New Roman" w:hAnsi="Times New Roman"/>
          <w:snapToGrid w:val="0"/>
          <w:color w:val="000000" w:themeColor="text1"/>
          <w:szCs w:val="22"/>
          <w:highlight w:val="none"/>
        </w:rPr>
        <w:t>根据</w:t>
      </w:r>
      <w:r>
        <w:rPr>
          <w:rFonts w:hint="eastAsia" w:ascii="Times New Roman" w:hAnsi="Times New Roman"/>
          <w:snapToGrid w:val="0"/>
          <w:color w:val="000000" w:themeColor="text1"/>
          <w:szCs w:val="22"/>
          <w:highlight w:val="none"/>
        </w:rPr>
        <w:t>《哈尔滨市人民政府关于调整城市区域环境噪声适用区域的通知》（哈政发[2021]3号）</w:t>
      </w:r>
      <w:r>
        <w:rPr>
          <w:rFonts w:ascii="Times New Roman" w:hAnsi="Times New Roman"/>
          <w:snapToGrid w:val="0"/>
          <w:color w:val="000000" w:themeColor="text1"/>
          <w:szCs w:val="22"/>
          <w:highlight w:val="none"/>
        </w:rPr>
        <w:t>可知，</w:t>
      </w:r>
      <w:r>
        <w:rPr>
          <w:rFonts w:hint="eastAsia" w:ascii="Times New Roman" w:hAnsi="Times New Roman"/>
          <w:snapToGrid w:val="0"/>
          <w:color w:val="000000" w:themeColor="text1"/>
          <w:szCs w:val="22"/>
          <w:highlight w:val="none"/>
        </w:rPr>
        <w:t>所在位置</w:t>
      </w:r>
      <w:r>
        <w:rPr>
          <w:rFonts w:ascii="Times New Roman" w:hAnsi="Times New Roman"/>
          <w:snapToGrid w:val="0"/>
          <w:color w:val="000000" w:themeColor="text1"/>
          <w:szCs w:val="22"/>
          <w:highlight w:val="none"/>
        </w:rPr>
        <w:t>声环境</w:t>
      </w:r>
      <w:r>
        <w:rPr>
          <w:rFonts w:hint="eastAsia" w:ascii="Times New Roman" w:hAnsi="Times New Roman"/>
          <w:snapToGrid w:val="0"/>
          <w:color w:val="000000" w:themeColor="text1"/>
          <w:szCs w:val="22"/>
          <w:highlight w:val="none"/>
        </w:rPr>
        <w:t>功能区</w:t>
      </w:r>
      <w:r>
        <w:rPr>
          <w:rFonts w:ascii="Times New Roman" w:hAnsi="Times New Roman"/>
          <w:snapToGrid w:val="0"/>
          <w:color w:val="000000" w:themeColor="text1"/>
          <w:szCs w:val="22"/>
          <w:highlight w:val="none"/>
        </w:rPr>
        <w:t>为</w:t>
      </w:r>
      <w:r>
        <w:rPr>
          <w:rFonts w:hint="eastAsia" w:ascii="Times New Roman" w:hAnsi="Times New Roman"/>
          <w:snapToGrid w:val="0"/>
          <w:color w:val="000000" w:themeColor="text1"/>
          <w:szCs w:val="22"/>
          <w:highlight w:val="none"/>
        </w:rPr>
        <w:t>3类，本项目东北侧27m处刘</w:t>
      </w:r>
      <w:r>
        <w:rPr>
          <w:rFonts w:hint="eastAsia" w:ascii="Times New Roman" w:hAnsi="Times New Roman"/>
          <w:snapToGrid w:val="0"/>
          <w:color w:val="000000" w:themeColor="text1"/>
          <w:szCs w:val="22"/>
          <w:highlight w:val="none"/>
          <w:lang w:eastAsia="zh-TW"/>
        </w:rPr>
        <w:t>家村位于2类声环境功能区，执行2类标准。</w:t>
      </w:r>
    </w:p>
    <w:p w14:paraId="342A855A">
      <w:pPr>
        <w:widowControl/>
        <w:ind w:firstLine="480" w:firstLineChars="200"/>
        <w:jc w:val="left"/>
        <w:rPr>
          <w:rFonts w:hint="eastAsia" w:ascii="Times New Roman" w:hAnsi="Times New Roman"/>
          <w:snapToGrid w:val="0"/>
          <w:color w:val="000000" w:themeColor="text1"/>
          <w:szCs w:val="22"/>
          <w:highlight w:val="none"/>
          <w:lang w:eastAsia="zh-TW"/>
        </w:rPr>
      </w:pPr>
      <w:r>
        <w:rPr>
          <w:rFonts w:hint="eastAsia"/>
          <w:snapToGrid w:val="0"/>
          <w:color w:val="000000" w:themeColor="text1"/>
          <w:szCs w:val="22"/>
          <w:highlight w:val="none"/>
          <w:lang w:eastAsia="zh-CN"/>
        </w:rPr>
        <w:t>（</w:t>
      </w:r>
      <w:r>
        <w:rPr>
          <w:rFonts w:hint="eastAsia"/>
          <w:snapToGrid w:val="0"/>
          <w:color w:val="000000" w:themeColor="text1"/>
          <w:szCs w:val="22"/>
          <w:highlight w:val="none"/>
          <w:lang w:val="en-US" w:eastAsia="zh-CN"/>
        </w:rPr>
        <w:t>5</w:t>
      </w:r>
      <w:r>
        <w:rPr>
          <w:rFonts w:hint="eastAsia"/>
          <w:snapToGrid w:val="0"/>
          <w:color w:val="000000" w:themeColor="text1"/>
          <w:szCs w:val="22"/>
          <w:highlight w:val="none"/>
          <w:lang w:eastAsia="zh-CN"/>
        </w:rPr>
        <w:t>）</w:t>
      </w:r>
      <w:r>
        <w:rPr>
          <w:rFonts w:hint="eastAsia" w:ascii="Times New Roman" w:hAnsi="Times New Roman"/>
          <w:snapToGrid w:val="0"/>
          <w:color w:val="000000" w:themeColor="text1"/>
          <w:szCs w:val="22"/>
          <w:highlight w:val="none"/>
          <w:lang w:eastAsia="zh-TW"/>
        </w:rPr>
        <w:t>根据《土壤环境质量建设用地土壤污染风险管控标准（试行）》（GB36600-2018），本项目占地性质为工业用地，属于建设用地中的第二类用地。</w:t>
      </w:r>
    </w:p>
    <w:p w14:paraId="49DDA9FE">
      <w:pPr>
        <w:pStyle w:val="3"/>
        <w:bidi w:val="0"/>
        <w:rPr>
          <w:highlight w:val="none"/>
        </w:rPr>
      </w:pPr>
      <w:bookmarkStart w:id="201" w:name="_Toc9127"/>
      <w:bookmarkStart w:id="202" w:name="_Toc12725"/>
      <w:r>
        <w:rPr>
          <w:highlight w:val="none"/>
        </w:rPr>
        <w:t>2.7主要环境保护目标</w:t>
      </w:r>
      <w:bookmarkEnd w:id="201"/>
      <w:bookmarkEnd w:id="202"/>
    </w:p>
    <w:p w14:paraId="445A5DDA">
      <w:pPr>
        <w:spacing w:line="360" w:lineRule="auto"/>
        <w:ind w:firstLine="480" w:firstLineChars="200"/>
        <w:rPr>
          <w:rFonts w:hAnsiTheme="minorEastAsia" w:eastAsiaTheme="minorEastAsia"/>
          <w:snapToGrid w:val="0"/>
          <w:kern w:val="0"/>
          <w:sz w:val="24"/>
          <w:highlight w:val="none"/>
        </w:rPr>
      </w:pPr>
      <w:r>
        <w:rPr>
          <w:rFonts w:hAnsiTheme="minorEastAsia" w:eastAsiaTheme="minorEastAsia"/>
          <w:snapToGrid w:val="0"/>
          <w:sz w:val="24"/>
          <w:highlight w:val="none"/>
        </w:rPr>
        <w:t>本评价区内无国家、省级自然保护区，名胜古迹，以及重要人文设施及水源地。本项目</w:t>
      </w:r>
      <w:r>
        <w:rPr>
          <w:rFonts w:eastAsiaTheme="minorEastAsia"/>
          <w:snapToGrid w:val="0"/>
          <w:sz w:val="24"/>
          <w:highlight w:val="none"/>
        </w:rPr>
        <w:t>200m</w:t>
      </w:r>
      <w:r>
        <w:rPr>
          <w:rFonts w:hAnsiTheme="minorEastAsia" w:eastAsiaTheme="minorEastAsia"/>
          <w:snapToGrid w:val="0"/>
          <w:sz w:val="24"/>
          <w:highlight w:val="none"/>
        </w:rPr>
        <w:t>范围内指医院、学校、机关、科研单位、住宅等需要保持安静的建筑物。根据项目特点及周边环境要素，确定本项目控制污染与环境保护目标为：</w:t>
      </w:r>
      <w:r>
        <w:rPr>
          <w:rFonts w:hAnsiTheme="minorEastAsia" w:eastAsiaTheme="minorEastAsia"/>
          <w:snapToGrid w:val="0"/>
          <w:kern w:val="0"/>
          <w:sz w:val="24"/>
          <w:highlight w:val="none"/>
        </w:rPr>
        <w:t>环境空气</w:t>
      </w:r>
      <w:r>
        <w:rPr>
          <w:rFonts w:hint="eastAsia" w:hAnsiTheme="minorEastAsia" w:eastAsiaTheme="minorEastAsia"/>
          <w:snapToGrid w:val="0"/>
          <w:kern w:val="0"/>
          <w:sz w:val="24"/>
          <w:highlight w:val="none"/>
          <w:lang w:val="en-US" w:eastAsia="zh-CN"/>
        </w:rPr>
        <w:t>保护</w:t>
      </w:r>
      <w:r>
        <w:rPr>
          <w:rFonts w:hAnsiTheme="minorEastAsia" w:eastAsiaTheme="minorEastAsia"/>
          <w:snapToGrid w:val="0"/>
          <w:kern w:val="0"/>
          <w:sz w:val="24"/>
          <w:highlight w:val="none"/>
        </w:rPr>
        <w:t>目标见表</w:t>
      </w:r>
      <w:r>
        <w:rPr>
          <w:rFonts w:hint="eastAsia" w:hAnsiTheme="minorEastAsia" w:eastAsiaTheme="minorEastAsia"/>
          <w:snapToGrid w:val="0"/>
          <w:kern w:val="0"/>
          <w:sz w:val="24"/>
          <w:highlight w:val="none"/>
        </w:rPr>
        <w:t>2-7-1，</w:t>
      </w:r>
      <w:r>
        <w:rPr>
          <w:rFonts w:hint="eastAsia" w:hAnsiTheme="minorEastAsia" w:eastAsiaTheme="minorEastAsia"/>
          <w:snapToGrid w:val="0"/>
          <w:kern w:val="0"/>
          <w:sz w:val="24"/>
          <w:highlight w:val="none"/>
          <w:lang w:val="en-US" w:eastAsia="zh-CN"/>
        </w:rPr>
        <w:t>声环境保护</w:t>
      </w:r>
      <w:r>
        <w:rPr>
          <w:rFonts w:hAnsiTheme="minorEastAsia" w:eastAsiaTheme="minorEastAsia"/>
          <w:snapToGrid w:val="0"/>
          <w:kern w:val="0"/>
          <w:sz w:val="24"/>
          <w:highlight w:val="none"/>
        </w:rPr>
        <w:t>目标见表</w:t>
      </w:r>
      <w:r>
        <w:rPr>
          <w:rFonts w:eastAsiaTheme="minorEastAsia"/>
          <w:snapToGrid w:val="0"/>
          <w:kern w:val="0"/>
          <w:sz w:val="24"/>
          <w:highlight w:val="none"/>
        </w:rPr>
        <w:t>2-7-</w:t>
      </w:r>
      <w:r>
        <w:rPr>
          <w:rFonts w:hint="eastAsia" w:eastAsiaTheme="minorEastAsia"/>
          <w:snapToGrid w:val="0"/>
          <w:kern w:val="0"/>
          <w:sz w:val="24"/>
          <w:highlight w:val="none"/>
        </w:rPr>
        <w:t>2</w:t>
      </w:r>
      <w:r>
        <w:rPr>
          <w:rFonts w:hAnsiTheme="minorEastAsia" w:eastAsiaTheme="minorEastAsia"/>
          <w:snapToGrid w:val="0"/>
          <w:kern w:val="0"/>
          <w:sz w:val="24"/>
          <w:highlight w:val="none"/>
        </w:rPr>
        <w:t>，</w:t>
      </w:r>
      <w:r>
        <w:rPr>
          <w:rFonts w:hint="eastAsia" w:hAnsiTheme="minorEastAsia" w:eastAsiaTheme="minorEastAsia"/>
          <w:snapToGrid w:val="0"/>
          <w:kern w:val="0"/>
          <w:sz w:val="24"/>
          <w:highlight w:val="none"/>
          <w:lang w:val="en-US" w:eastAsia="zh-CN"/>
        </w:rPr>
        <w:t>其他</w:t>
      </w:r>
      <w:r>
        <w:rPr>
          <w:rFonts w:hAnsiTheme="minorEastAsia" w:eastAsiaTheme="minorEastAsia"/>
          <w:snapToGrid w:val="0"/>
          <w:kern w:val="0"/>
          <w:sz w:val="24"/>
          <w:highlight w:val="none"/>
        </w:rPr>
        <w:t>敏感目标见表</w:t>
      </w:r>
      <w:r>
        <w:rPr>
          <w:rFonts w:eastAsiaTheme="minorEastAsia"/>
          <w:snapToGrid w:val="0"/>
          <w:kern w:val="0"/>
          <w:sz w:val="24"/>
          <w:highlight w:val="none"/>
        </w:rPr>
        <w:t>2-7-</w:t>
      </w:r>
      <w:r>
        <w:rPr>
          <w:rFonts w:hint="eastAsia" w:eastAsiaTheme="minorEastAsia"/>
          <w:snapToGrid w:val="0"/>
          <w:kern w:val="0"/>
          <w:sz w:val="24"/>
          <w:highlight w:val="none"/>
          <w:lang w:val="en-US" w:eastAsia="zh-CN"/>
        </w:rPr>
        <w:t>3</w:t>
      </w:r>
      <w:r>
        <w:rPr>
          <w:rFonts w:hAnsiTheme="minorEastAsia" w:eastAsiaTheme="minorEastAsia"/>
          <w:snapToGrid w:val="0"/>
          <w:kern w:val="0"/>
          <w:sz w:val="24"/>
          <w:highlight w:val="none"/>
        </w:rPr>
        <w:t>，保护目标分布图见附图</w:t>
      </w:r>
      <w:r>
        <w:rPr>
          <w:rFonts w:eastAsiaTheme="minorEastAsia"/>
          <w:snapToGrid w:val="0"/>
          <w:kern w:val="0"/>
          <w:sz w:val="24"/>
          <w:highlight w:val="none"/>
        </w:rPr>
        <w:t>3</w:t>
      </w:r>
      <w:r>
        <w:rPr>
          <w:rFonts w:hAnsiTheme="minorEastAsia" w:eastAsiaTheme="minorEastAsia"/>
          <w:snapToGrid w:val="0"/>
          <w:kern w:val="0"/>
          <w:sz w:val="24"/>
          <w:highlight w:val="none"/>
        </w:rPr>
        <w:t>。</w:t>
      </w:r>
    </w:p>
    <w:p w14:paraId="1291CEEC">
      <w:pPr>
        <w:pStyle w:val="7"/>
        <w:bidi w:val="0"/>
        <w:rPr>
          <w:highlight w:val="none"/>
        </w:rPr>
      </w:pPr>
      <w:bookmarkStart w:id="203" w:name="_Hlk10463811"/>
      <w:r>
        <w:rPr>
          <w:highlight w:val="none"/>
        </w:rPr>
        <w:t>表2-7-1环境空气保护目标一览表</w:t>
      </w:r>
    </w:p>
    <w:tbl>
      <w:tblPr>
        <w:tblStyle w:val="45"/>
        <w:tblW w:w="842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09"/>
        <w:gridCol w:w="1350"/>
        <w:gridCol w:w="1290"/>
        <w:gridCol w:w="910"/>
        <w:gridCol w:w="710"/>
        <w:gridCol w:w="890"/>
        <w:gridCol w:w="654"/>
        <w:gridCol w:w="911"/>
      </w:tblGrid>
      <w:tr w14:paraId="2B4AC4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709" w:type="dxa"/>
            <w:vMerge w:val="restart"/>
            <w:shd w:val="clear" w:color="auto" w:fill="auto"/>
            <w:vAlign w:val="center"/>
          </w:tcPr>
          <w:p w14:paraId="35A862C4">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bookmarkStart w:id="204" w:name="_Hlk10134467"/>
            <w:bookmarkStart w:id="205" w:name="_Hlk10134549"/>
            <w:r>
              <w:rPr>
                <w:rFonts w:hint="default" w:ascii="Times New Roman" w:hAnsi="Times New Roman"/>
                <w:snapToGrid w:val="0"/>
                <w:color w:val="000000" w:themeColor="text1"/>
                <w:kern w:val="21"/>
                <w:sz w:val="21"/>
                <w:szCs w:val="21"/>
                <w:highlight w:val="none"/>
              </w:rPr>
              <w:t>名称</w:t>
            </w:r>
          </w:p>
        </w:tc>
        <w:tc>
          <w:tcPr>
            <w:tcW w:w="2640" w:type="dxa"/>
            <w:gridSpan w:val="2"/>
            <w:vAlign w:val="center"/>
          </w:tcPr>
          <w:p w14:paraId="290F582A">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坐标</w:t>
            </w:r>
          </w:p>
        </w:tc>
        <w:tc>
          <w:tcPr>
            <w:tcW w:w="910" w:type="dxa"/>
            <w:vMerge w:val="restart"/>
            <w:vAlign w:val="center"/>
          </w:tcPr>
          <w:p w14:paraId="3CB37196">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保护对象</w:t>
            </w:r>
          </w:p>
        </w:tc>
        <w:tc>
          <w:tcPr>
            <w:tcW w:w="710" w:type="dxa"/>
            <w:vMerge w:val="restart"/>
            <w:vAlign w:val="center"/>
          </w:tcPr>
          <w:p w14:paraId="314849EE">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保护</w:t>
            </w:r>
          </w:p>
          <w:p w14:paraId="56F9B7DC">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内容</w:t>
            </w:r>
          </w:p>
        </w:tc>
        <w:tc>
          <w:tcPr>
            <w:tcW w:w="890" w:type="dxa"/>
            <w:vMerge w:val="restart"/>
            <w:vAlign w:val="center"/>
          </w:tcPr>
          <w:p w14:paraId="0A20B2BD">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环境功能区</w:t>
            </w:r>
          </w:p>
        </w:tc>
        <w:tc>
          <w:tcPr>
            <w:tcW w:w="654" w:type="dxa"/>
            <w:vMerge w:val="restart"/>
            <w:vAlign w:val="center"/>
          </w:tcPr>
          <w:p w14:paraId="574452C4">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相对厂址方位</w:t>
            </w:r>
          </w:p>
        </w:tc>
        <w:tc>
          <w:tcPr>
            <w:tcW w:w="911" w:type="dxa"/>
            <w:vMerge w:val="restart"/>
            <w:shd w:val="clear" w:color="auto" w:fill="auto"/>
            <w:vAlign w:val="center"/>
          </w:tcPr>
          <w:p w14:paraId="59429F8D">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相对厂界距离/m</w:t>
            </w:r>
          </w:p>
        </w:tc>
      </w:tr>
      <w:tr w14:paraId="42DE4B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4" w:hRule="atLeast"/>
        </w:trPr>
        <w:tc>
          <w:tcPr>
            <w:tcW w:w="1709" w:type="dxa"/>
            <w:vMerge w:val="continue"/>
            <w:shd w:val="clear" w:color="auto" w:fill="auto"/>
            <w:vAlign w:val="center"/>
          </w:tcPr>
          <w:p w14:paraId="07FAA1C1">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p>
        </w:tc>
        <w:tc>
          <w:tcPr>
            <w:tcW w:w="1350" w:type="dxa"/>
            <w:vAlign w:val="center"/>
          </w:tcPr>
          <w:p w14:paraId="414115C7">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东经</w:t>
            </w:r>
          </w:p>
        </w:tc>
        <w:tc>
          <w:tcPr>
            <w:tcW w:w="1290" w:type="dxa"/>
            <w:tcBorders>
              <w:bottom w:val="single" w:color="auto" w:sz="4" w:space="0"/>
            </w:tcBorders>
            <w:vAlign w:val="center"/>
          </w:tcPr>
          <w:p w14:paraId="36AE58E2">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北纬</w:t>
            </w:r>
          </w:p>
        </w:tc>
        <w:tc>
          <w:tcPr>
            <w:tcW w:w="910" w:type="dxa"/>
            <w:vMerge w:val="continue"/>
            <w:tcBorders>
              <w:bottom w:val="single" w:color="auto" w:sz="4" w:space="0"/>
            </w:tcBorders>
            <w:vAlign w:val="center"/>
          </w:tcPr>
          <w:p w14:paraId="367B22F8">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p>
        </w:tc>
        <w:tc>
          <w:tcPr>
            <w:tcW w:w="710" w:type="dxa"/>
            <w:vMerge w:val="continue"/>
            <w:vAlign w:val="center"/>
          </w:tcPr>
          <w:p w14:paraId="1FCCCBAC">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p>
        </w:tc>
        <w:tc>
          <w:tcPr>
            <w:tcW w:w="890" w:type="dxa"/>
            <w:vMerge w:val="continue"/>
            <w:vAlign w:val="center"/>
          </w:tcPr>
          <w:p w14:paraId="177747F3">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p>
        </w:tc>
        <w:tc>
          <w:tcPr>
            <w:tcW w:w="654" w:type="dxa"/>
            <w:vMerge w:val="continue"/>
            <w:vAlign w:val="center"/>
          </w:tcPr>
          <w:p w14:paraId="0A2DDC00">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p>
        </w:tc>
        <w:tc>
          <w:tcPr>
            <w:tcW w:w="911" w:type="dxa"/>
            <w:vMerge w:val="continue"/>
            <w:shd w:val="clear" w:color="auto" w:fill="auto"/>
            <w:vAlign w:val="center"/>
          </w:tcPr>
          <w:p w14:paraId="0569A128">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p>
        </w:tc>
      </w:tr>
      <w:tr w14:paraId="001A5E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3E447003">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刘家村</w:t>
            </w:r>
          </w:p>
        </w:tc>
        <w:tc>
          <w:tcPr>
            <w:tcW w:w="1350" w:type="dxa"/>
            <w:vAlign w:val="center"/>
          </w:tcPr>
          <w:p w14:paraId="7D773E3A">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126.6613767</w:t>
            </w:r>
          </w:p>
        </w:tc>
        <w:tc>
          <w:tcPr>
            <w:tcW w:w="1290" w:type="dxa"/>
            <w:vAlign w:val="center"/>
          </w:tcPr>
          <w:p w14:paraId="6456F1E1">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45.6128368</w:t>
            </w:r>
          </w:p>
        </w:tc>
        <w:tc>
          <w:tcPr>
            <w:tcW w:w="910" w:type="dxa"/>
            <w:vMerge w:val="restart"/>
            <w:vAlign w:val="center"/>
          </w:tcPr>
          <w:p w14:paraId="34B6128B">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农村地区中人群较集中的区域</w:t>
            </w:r>
          </w:p>
        </w:tc>
        <w:tc>
          <w:tcPr>
            <w:tcW w:w="710" w:type="dxa"/>
            <w:vAlign w:val="center"/>
          </w:tcPr>
          <w:p w14:paraId="53BAC6EE">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人群</w:t>
            </w:r>
          </w:p>
        </w:tc>
        <w:tc>
          <w:tcPr>
            <w:tcW w:w="890" w:type="dxa"/>
            <w:vAlign w:val="center"/>
          </w:tcPr>
          <w:p w14:paraId="0242B537">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78B7D6D0">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color w:val="000000" w:themeColor="text1"/>
                <w:kern w:val="21"/>
                <w:sz w:val="21"/>
                <w:szCs w:val="21"/>
                <w:highlight w:val="none"/>
              </w:rPr>
              <w:t>NE</w:t>
            </w:r>
          </w:p>
        </w:tc>
        <w:tc>
          <w:tcPr>
            <w:tcW w:w="911" w:type="dxa"/>
            <w:shd w:val="clear" w:color="auto" w:fill="auto"/>
            <w:vAlign w:val="center"/>
          </w:tcPr>
          <w:p w14:paraId="01AFB2DD">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snapToGrid w:val="0"/>
                <w:color w:val="000000" w:themeColor="text1"/>
                <w:kern w:val="21"/>
                <w:sz w:val="21"/>
                <w:szCs w:val="21"/>
                <w:highlight w:val="none"/>
                <w:lang w:eastAsia="zh-CN"/>
              </w:rPr>
            </w:pPr>
            <w:r>
              <w:rPr>
                <w:rFonts w:hint="default" w:ascii="Times New Roman" w:hAnsi="Times New Roman"/>
                <w:color w:val="000000" w:themeColor="text1"/>
                <w:kern w:val="21"/>
                <w:sz w:val="21"/>
                <w:szCs w:val="21"/>
                <w:highlight w:val="none"/>
              </w:rPr>
              <w:t>2</w:t>
            </w:r>
            <w:r>
              <w:rPr>
                <w:rFonts w:hint="eastAsia" w:ascii="Times New Roman" w:hAnsi="Times New Roman"/>
                <w:color w:val="000000" w:themeColor="text1"/>
                <w:kern w:val="21"/>
                <w:sz w:val="21"/>
                <w:szCs w:val="21"/>
                <w:highlight w:val="none"/>
                <w:lang w:val="en-US" w:eastAsia="zh-CN"/>
              </w:rPr>
              <w:t>9</w:t>
            </w:r>
          </w:p>
        </w:tc>
      </w:tr>
      <w:tr w14:paraId="6F714F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71EDD1FC">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富民村</w:t>
            </w:r>
          </w:p>
        </w:tc>
        <w:tc>
          <w:tcPr>
            <w:tcW w:w="1350" w:type="dxa"/>
            <w:vAlign w:val="center"/>
          </w:tcPr>
          <w:p w14:paraId="052F4615">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126.6762684</w:t>
            </w:r>
          </w:p>
        </w:tc>
        <w:tc>
          <w:tcPr>
            <w:tcW w:w="1290" w:type="dxa"/>
            <w:vAlign w:val="center"/>
          </w:tcPr>
          <w:p w14:paraId="21D337E3">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45.6190657</w:t>
            </w:r>
          </w:p>
        </w:tc>
        <w:tc>
          <w:tcPr>
            <w:tcW w:w="910" w:type="dxa"/>
            <w:vMerge w:val="continue"/>
            <w:vAlign w:val="center"/>
          </w:tcPr>
          <w:p w14:paraId="531A9694">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170889B1">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人群</w:t>
            </w:r>
          </w:p>
        </w:tc>
        <w:tc>
          <w:tcPr>
            <w:tcW w:w="890" w:type="dxa"/>
            <w:vAlign w:val="center"/>
          </w:tcPr>
          <w:p w14:paraId="3DD9ADA6">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0F489858">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color w:val="000000" w:themeColor="text1"/>
                <w:kern w:val="21"/>
                <w:sz w:val="21"/>
                <w:szCs w:val="21"/>
                <w:highlight w:val="none"/>
              </w:rPr>
              <w:t>NE</w:t>
            </w:r>
          </w:p>
        </w:tc>
        <w:tc>
          <w:tcPr>
            <w:tcW w:w="911" w:type="dxa"/>
            <w:shd w:val="clear" w:color="auto" w:fill="auto"/>
            <w:vAlign w:val="center"/>
          </w:tcPr>
          <w:p w14:paraId="5370703F">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color w:val="000000" w:themeColor="text1"/>
                <w:kern w:val="21"/>
                <w:sz w:val="21"/>
                <w:szCs w:val="21"/>
                <w:highlight w:val="none"/>
              </w:rPr>
              <w:t>1140</w:t>
            </w:r>
          </w:p>
        </w:tc>
      </w:tr>
      <w:tr w14:paraId="6F3954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728864E2">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东二道沟村</w:t>
            </w:r>
          </w:p>
        </w:tc>
        <w:tc>
          <w:tcPr>
            <w:tcW w:w="1350" w:type="dxa"/>
            <w:vAlign w:val="center"/>
          </w:tcPr>
          <w:p w14:paraId="61CC945C">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126.6960952</w:t>
            </w:r>
          </w:p>
        </w:tc>
        <w:tc>
          <w:tcPr>
            <w:tcW w:w="1290" w:type="dxa"/>
            <w:vAlign w:val="center"/>
          </w:tcPr>
          <w:p w14:paraId="5D1AED54">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45.6053328</w:t>
            </w:r>
          </w:p>
        </w:tc>
        <w:tc>
          <w:tcPr>
            <w:tcW w:w="910" w:type="dxa"/>
            <w:vMerge w:val="continue"/>
            <w:vAlign w:val="center"/>
          </w:tcPr>
          <w:p w14:paraId="310EE341">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16B25DC8">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人群</w:t>
            </w:r>
          </w:p>
        </w:tc>
        <w:tc>
          <w:tcPr>
            <w:tcW w:w="890" w:type="dxa"/>
            <w:vAlign w:val="center"/>
          </w:tcPr>
          <w:p w14:paraId="7EBE3DB4">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3DCF9E35">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color w:val="000000" w:themeColor="text1"/>
                <w:kern w:val="21"/>
                <w:sz w:val="21"/>
                <w:szCs w:val="21"/>
                <w:highlight w:val="none"/>
              </w:rPr>
              <w:t>SE</w:t>
            </w:r>
          </w:p>
        </w:tc>
        <w:tc>
          <w:tcPr>
            <w:tcW w:w="911" w:type="dxa"/>
            <w:shd w:val="clear" w:color="auto" w:fill="auto"/>
            <w:vAlign w:val="center"/>
          </w:tcPr>
          <w:p w14:paraId="567CC20D">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2350</w:t>
            </w:r>
          </w:p>
        </w:tc>
      </w:tr>
      <w:tr w14:paraId="471749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5F254A1E">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老五屯</w:t>
            </w:r>
          </w:p>
        </w:tc>
        <w:tc>
          <w:tcPr>
            <w:tcW w:w="1350" w:type="dxa"/>
            <w:vAlign w:val="center"/>
          </w:tcPr>
          <w:p w14:paraId="313703D5">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126.6288469</w:t>
            </w:r>
          </w:p>
        </w:tc>
        <w:tc>
          <w:tcPr>
            <w:tcW w:w="1290" w:type="dxa"/>
            <w:vAlign w:val="center"/>
          </w:tcPr>
          <w:p w14:paraId="063F9EF1">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45.6200327</w:t>
            </w:r>
          </w:p>
        </w:tc>
        <w:tc>
          <w:tcPr>
            <w:tcW w:w="910" w:type="dxa"/>
            <w:vMerge w:val="continue"/>
            <w:vAlign w:val="center"/>
          </w:tcPr>
          <w:p w14:paraId="701E285E">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5C267607">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人群</w:t>
            </w:r>
          </w:p>
        </w:tc>
        <w:tc>
          <w:tcPr>
            <w:tcW w:w="890" w:type="dxa"/>
            <w:vAlign w:val="center"/>
          </w:tcPr>
          <w:p w14:paraId="05E320EA">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13D0E21A">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NW</w:t>
            </w:r>
          </w:p>
        </w:tc>
        <w:tc>
          <w:tcPr>
            <w:tcW w:w="911" w:type="dxa"/>
            <w:shd w:val="clear" w:color="auto" w:fill="auto"/>
            <w:vAlign w:val="center"/>
          </w:tcPr>
          <w:p w14:paraId="0158AF5F">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w:t>
            </w:r>
            <w:r>
              <w:rPr>
                <w:rFonts w:hint="eastAsia" w:ascii="Times New Roman" w:hAnsi="Times New Roman"/>
                <w:snapToGrid w:val="0"/>
                <w:color w:val="000000" w:themeColor="text1"/>
                <w:kern w:val="21"/>
                <w:sz w:val="21"/>
                <w:szCs w:val="21"/>
                <w:highlight w:val="none"/>
              </w:rPr>
              <w:t>600</w:t>
            </w:r>
          </w:p>
        </w:tc>
      </w:tr>
      <w:tr w14:paraId="736574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4" w:hRule="atLeast"/>
        </w:trPr>
        <w:tc>
          <w:tcPr>
            <w:tcW w:w="1709" w:type="dxa"/>
            <w:shd w:val="clear" w:color="auto" w:fill="auto"/>
            <w:vAlign w:val="center"/>
          </w:tcPr>
          <w:p w14:paraId="3B521D7E">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平顺村</w:t>
            </w:r>
          </w:p>
        </w:tc>
        <w:tc>
          <w:tcPr>
            <w:tcW w:w="1350" w:type="dxa"/>
            <w:vAlign w:val="center"/>
          </w:tcPr>
          <w:p w14:paraId="4E1B574C">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126.6336534</w:t>
            </w:r>
          </w:p>
        </w:tc>
        <w:tc>
          <w:tcPr>
            <w:tcW w:w="1290" w:type="dxa"/>
            <w:vAlign w:val="center"/>
          </w:tcPr>
          <w:p w14:paraId="75F2CB98">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45.6133088</w:t>
            </w:r>
          </w:p>
        </w:tc>
        <w:tc>
          <w:tcPr>
            <w:tcW w:w="910" w:type="dxa"/>
            <w:vMerge w:val="continue"/>
            <w:vAlign w:val="center"/>
          </w:tcPr>
          <w:p w14:paraId="6231FC64">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3CCCB754">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人群</w:t>
            </w:r>
          </w:p>
        </w:tc>
        <w:tc>
          <w:tcPr>
            <w:tcW w:w="890" w:type="dxa"/>
            <w:vAlign w:val="center"/>
          </w:tcPr>
          <w:p w14:paraId="5A87D44E">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5118A51A">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NW</w:t>
            </w:r>
          </w:p>
        </w:tc>
        <w:tc>
          <w:tcPr>
            <w:tcW w:w="911" w:type="dxa"/>
            <w:shd w:val="clear" w:color="auto" w:fill="auto"/>
            <w:vAlign w:val="center"/>
          </w:tcPr>
          <w:p w14:paraId="76F30378">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1160</w:t>
            </w:r>
          </w:p>
        </w:tc>
      </w:tr>
      <w:tr w14:paraId="2CBC7D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3928B279">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三家子屯</w:t>
            </w:r>
          </w:p>
        </w:tc>
        <w:tc>
          <w:tcPr>
            <w:tcW w:w="1350" w:type="dxa"/>
            <w:vAlign w:val="center"/>
          </w:tcPr>
          <w:p w14:paraId="3CC60963">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126.6345546</w:t>
            </w:r>
          </w:p>
        </w:tc>
        <w:tc>
          <w:tcPr>
            <w:tcW w:w="1290" w:type="dxa"/>
            <w:vAlign w:val="center"/>
          </w:tcPr>
          <w:p w14:paraId="2C872C2C">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45.5908437</w:t>
            </w:r>
          </w:p>
        </w:tc>
        <w:tc>
          <w:tcPr>
            <w:tcW w:w="910" w:type="dxa"/>
            <w:vMerge w:val="continue"/>
            <w:vAlign w:val="center"/>
          </w:tcPr>
          <w:p w14:paraId="03090B42">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070A0F12">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人群</w:t>
            </w:r>
          </w:p>
        </w:tc>
        <w:tc>
          <w:tcPr>
            <w:tcW w:w="890" w:type="dxa"/>
            <w:vAlign w:val="center"/>
          </w:tcPr>
          <w:p w14:paraId="06FBF01D">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1D46C9D9">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SW</w:t>
            </w:r>
          </w:p>
        </w:tc>
        <w:tc>
          <w:tcPr>
            <w:tcW w:w="911" w:type="dxa"/>
            <w:shd w:val="clear" w:color="auto" w:fill="auto"/>
            <w:vAlign w:val="center"/>
          </w:tcPr>
          <w:p w14:paraId="3796E0F4">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2280</w:t>
            </w:r>
          </w:p>
        </w:tc>
      </w:tr>
      <w:tr w14:paraId="6E6037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6AA55455">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平房镇</w:t>
            </w:r>
          </w:p>
        </w:tc>
        <w:tc>
          <w:tcPr>
            <w:tcW w:w="1350" w:type="dxa"/>
            <w:vAlign w:val="center"/>
          </w:tcPr>
          <w:p w14:paraId="6D0F1618">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126.6767833</w:t>
            </w:r>
          </w:p>
        </w:tc>
        <w:tc>
          <w:tcPr>
            <w:tcW w:w="1290" w:type="dxa"/>
            <w:vAlign w:val="center"/>
          </w:tcPr>
          <w:p w14:paraId="6DD53B6C">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45.5925316</w:t>
            </w:r>
          </w:p>
        </w:tc>
        <w:tc>
          <w:tcPr>
            <w:tcW w:w="910" w:type="dxa"/>
            <w:vMerge w:val="restart"/>
            <w:vAlign w:val="center"/>
          </w:tcPr>
          <w:p w14:paraId="552859A7">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居住区</w:t>
            </w:r>
          </w:p>
        </w:tc>
        <w:tc>
          <w:tcPr>
            <w:tcW w:w="710" w:type="dxa"/>
            <w:vAlign w:val="center"/>
          </w:tcPr>
          <w:p w14:paraId="45B3F7B4">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人群</w:t>
            </w:r>
          </w:p>
        </w:tc>
        <w:tc>
          <w:tcPr>
            <w:tcW w:w="890" w:type="dxa"/>
            <w:vAlign w:val="center"/>
          </w:tcPr>
          <w:p w14:paraId="0E82F1E5">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2B0D506C">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color w:val="000000" w:themeColor="text1"/>
                <w:kern w:val="21"/>
                <w:sz w:val="21"/>
                <w:szCs w:val="21"/>
                <w:highlight w:val="none"/>
              </w:rPr>
              <w:t>SE</w:t>
            </w:r>
          </w:p>
        </w:tc>
        <w:tc>
          <w:tcPr>
            <w:tcW w:w="911" w:type="dxa"/>
            <w:shd w:val="clear" w:color="auto" w:fill="auto"/>
            <w:vAlign w:val="center"/>
          </w:tcPr>
          <w:p w14:paraId="1EE2D886">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color w:val="000000" w:themeColor="text1"/>
                <w:kern w:val="21"/>
                <w:sz w:val="21"/>
                <w:szCs w:val="21"/>
                <w:highlight w:val="none"/>
              </w:rPr>
              <w:t>1530</w:t>
            </w:r>
          </w:p>
        </w:tc>
      </w:tr>
      <w:tr w14:paraId="777271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3327035F">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朝阳镇</w:t>
            </w:r>
          </w:p>
        </w:tc>
        <w:tc>
          <w:tcPr>
            <w:tcW w:w="1350" w:type="dxa"/>
            <w:vAlign w:val="center"/>
          </w:tcPr>
          <w:p w14:paraId="70A5514F">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126.6614411</w:t>
            </w:r>
          </w:p>
        </w:tc>
        <w:tc>
          <w:tcPr>
            <w:tcW w:w="1290" w:type="dxa"/>
            <w:vAlign w:val="center"/>
          </w:tcPr>
          <w:p w14:paraId="6EC23003">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45.6319039</w:t>
            </w:r>
          </w:p>
        </w:tc>
        <w:tc>
          <w:tcPr>
            <w:tcW w:w="910" w:type="dxa"/>
            <w:vMerge w:val="continue"/>
            <w:vAlign w:val="center"/>
          </w:tcPr>
          <w:p w14:paraId="385DBE5F">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63FC7763">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人群</w:t>
            </w:r>
          </w:p>
        </w:tc>
        <w:tc>
          <w:tcPr>
            <w:tcW w:w="890" w:type="dxa"/>
            <w:vAlign w:val="center"/>
          </w:tcPr>
          <w:p w14:paraId="5486B720">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529FE88A">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N</w:t>
            </w:r>
          </w:p>
        </w:tc>
        <w:tc>
          <w:tcPr>
            <w:tcW w:w="911" w:type="dxa"/>
            <w:shd w:val="clear" w:color="auto" w:fill="auto"/>
            <w:vAlign w:val="center"/>
          </w:tcPr>
          <w:p w14:paraId="79414191">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18</w:t>
            </w:r>
            <w:r>
              <w:rPr>
                <w:rFonts w:hint="eastAsia" w:ascii="Times New Roman" w:hAnsi="Times New Roman"/>
                <w:color w:val="000000" w:themeColor="text1"/>
                <w:kern w:val="21"/>
                <w:sz w:val="21"/>
                <w:szCs w:val="21"/>
                <w:highlight w:val="none"/>
              </w:rPr>
              <w:t>10</w:t>
            </w:r>
          </w:p>
        </w:tc>
      </w:tr>
      <w:tr w14:paraId="35A633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19790E77">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东升村</w:t>
            </w:r>
          </w:p>
        </w:tc>
        <w:tc>
          <w:tcPr>
            <w:tcW w:w="1350" w:type="dxa"/>
            <w:vAlign w:val="center"/>
          </w:tcPr>
          <w:p w14:paraId="6145F679">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126.6937134</w:t>
            </w:r>
          </w:p>
        </w:tc>
        <w:tc>
          <w:tcPr>
            <w:tcW w:w="1290" w:type="dxa"/>
            <w:vAlign w:val="center"/>
          </w:tcPr>
          <w:p w14:paraId="6C996833">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45.6327441</w:t>
            </w:r>
          </w:p>
        </w:tc>
        <w:tc>
          <w:tcPr>
            <w:tcW w:w="910" w:type="dxa"/>
            <w:vMerge w:val="continue"/>
            <w:vAlign w:val="center"/>
          </w:tcPr>
          <w:p w14:paraId="2F144BC4">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50E7912A">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人群</w:t>
            </w:r>
          </w:p>
        </w:tc>
        <w:tc>
          <w:tcPr>
            <w:tcW w:w="890" w:type="dxa"/>
            <w:vAlign w:val="center"/>
          </w:tcPr>
          <w:p w14:paraId="68EB4FB3">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6F60D7E6">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color w:val="000000" w:themeColor="text1"/>
                <w:kern w:val="21"/>
                <w:sz w:val="21"/>
                <w:szCs w:val="21"/>
                <w:highlight w:val="none"/>
              </w:rPr>
              <w:t>NE</w:t>
            </w:r>
          </w:p>
        </w:tc>
        <w:tc>
          <w:tcPr>
            <w:tcW w:w="911" w:type="dxa"/>
            <w:shd w:val="clear" w:color="auto" w:fill="auto"/>
            <w:vAlign w:val="center"/>
          </w:tcPr>
          <w:p w14:paraId="12067EEB">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color w:val="000000" w:themeColor="text1"/>
                <w:kern w:val="21"/>
                <w:sz w:val="21"/>
                <w:szCs w:val="21"/>
                <w:highlight w:val="none"/>
              </w:rPr>
              <w:t>3360</w:t>
            </w:r>
          </w:p>
        </w:tc>
      </w:tr>
      <w:tr w14:paraId="3876CF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4E050C62">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哈飞住宅</w:t>
            </w:r>
          </w:p>
        </w:tc>
        <w:tc>
          <w:tcPr>
            <w:tcW w:w="1350" w:type="dxa"/>
            <w:vAlign w:val="center"/>
          </w:tcPr>
          <w:p w14:paraId="3A41B663">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126.6465495</w:t>
            </w:r>
          </w:p>
        </w:tc>
        <w:tc>
          <w:tcPr>
            <w:tcW w:w="1290" w:type="dxa"/>
            <w:vAlign w:val="center"/>
          </w:tcPr>
          <w:p w14:paraId="27100107">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45.5845819</w:t>
            </w:r>
          </w:p>
        </w:tc>
        <w:tc>
          <w:tcPr>
            <w:tcW w:w="910" w:type="dxa"/>
            <w:vMerge w:val="continue"/>
            <w:vAlign w:val="center"/>
          </w:tcPr>
          <w:p w14:paraId="793C563C">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1F107A64">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人群</w:t>
            </w:r>
          </w:p>
        </w:tc>
        <w:tc>
          <w:tcPr>
            <w:tcW w:w="890" w:type="dxa"/>
            <w:vAlign w:val="center"/>
          </w:tcPr>
          <w:p w14:paraId="47A1EC08">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4EA242E0">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SW</w:t>
            </w:r>
          </w:p>
        </w:tc>
        <w:tc>
          <w:tcPr>
            <w:tcW w:w="911" w:type="dxa"/>
            <w:shd w:val="clear" w:color="auto" w:fill="auto"/>
            <w:vAlign w:val="center"/>
          </w:tcPr>
          <w:p w14:paraId="3197DADD">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2340</w:t>
            </w:r>
          </w:p>
        </w:tc>
      </w:tr>
      <w:tr w14:paraId="4022E6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237C4EA0">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花园小区</w:t>
            </w:r>
          </w:p>
        </w:tc>
        <w:tc>
          <w:tcPr>
            <w:tcW w:w="1350" w:type="dxa"/>
            <w:vAlign w:val="center"/>
          </w:tcPr>
          <w:p w14:paraId="2FC440A4">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126.6292492</w:t>
            </w:r>
          </w:p>
        </w:tc>
        <w:tc>
          <w:tcPr>
            <w:tcW w:w="1290" w:type="dxa"/>
            <w:vAlign w:val="center"/>
          </w:tcPr>
          <w:p w14:paraId="2750EA09">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45.5976378</w:t>
            </w:r>
          </w:p>
        </w:tc>
        <w:tc>
          <w:tcPr>
            <w:tcW w:w="910" w:type="dxa"/>
            <w:vMerge w:val="continue"/>
            <w:vAlign w:val="center"/>
          </w:tcPr>
          <w:p w14:paraId="102D3D2E">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23D3A472">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人群</w:t>
            </w:r>
          </w:p>
        </w:tc>
        <w:tc>
          <w:tcPr>
            <w:tcW w:w="890" w:type="dxa"/>
            <w:vAlign w:val="center"/>
          </w:tcPr>
          <w:p w14:paraId="6E2E4E52">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405FD547">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SW</w:t>
            </w:r>
          </w:p>
        </w:tc>
        <w:tc>
          <w:tcPr>
            <w:tcW w:w="911" w:type="dxa"/>
            <w:shd w:val="clear" w:color="auto" w:fill="auto"/>
            <w:vAlign w:val="center"/>
          </w:tcPr>
          <w:p w14:paraId="6AE30A86">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2200</w:t>
            </w:r>
          </w:p>
        </w:tc>
      </w:tr>
      <w:tr w14:paraId="1C0F83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7780D9B8">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哈飞家园</w:t>
            </w:r>
          </w:p>
        </w:tc>
        <w:tc>
          <w:tcPr>
            <w:tcW w:w="1350" w:type="dxa"/>
            <w:vAlign w:val="center"/>
          </w:tcPr>
          <w:p w14:paraId="546C2DF6">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126.6458628</w:t>
            </w:r>
          </w:p>
        </w:tc>
        <w:tc>
          <w:tcPr>
            <w:tcW w:w="1290" w:type="dxa"/>
            <w:vAlign w:val="center"/>
          </w:tcPr>
          <w:p w14:paraId="20F077AB">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45.6029450</w:t>
            </w:r>
          </w:p>
        </w:tc>
        <w:tc>
          <w:tcPr>
            <w:tcW w:w="910" w:type="dxa"/>
            <w:vMerge w:val="continue"/>
            <w:vAlign w:val="center"/>
          </w:tcPr>
          <w:p w14:paraId="0E82291A">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54C10D1C">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人群</w:t>
            </w:r>
          </w:p>
        </w:tc>
        <w:tc>
          <w:tcPr>
            <w:tcW w:w="890" w:type="dxa"/>
            <w:vAlign w:val="center"/>
          </w:tcPr>
          <w:p w14:paraId="0B06724F">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5E9B8239">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W</w:t>
            </w:r>
          </w:p>
        </w:tc>
        <w:tc>
          <w:tcPr>
            <w:tcW w:w="911" w:type="dxa"/>
            <w:shd w:val="clear" w:color="auto" w:fill="auto"/>
            <w:vAlign w:val="center"/>
          </w:tcPr>
          <w:p w14:paraId="1079DA54">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720</w:t>
            </w:r>
          </w:p>
        </w:tc>
      </w:tr>
      <w:tr w14:paraId="67B302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36030701">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兴建小区</w:t>
            </w:r>
          </w:p>
        </w:tc>
        <w:tc>
          <w:tcPr>
            <w:tcW w:w="1350" w:type="dxa"/>
            <w:vAlign w:val="center"/>
          </w:tcPr>
          <w:p w14:paraId="0A5B22F1">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126.6421077</w:t>
            </w:r>
          </w:p>
        </w:tc>
        <w:tc>
          <w:tcPr>
            <w:tcW w:w="1290" w:type="dxa"/>
            <w:vAlign w:val="center"/>
          </w:tcPr>
          <w:p w14:paraId="24D86DAE">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45.6015338</w:t>
            </w:r>
          </w:p>
        </w:tc>
        <w:tc>
          <w:tcPr>
            <w:tcW w:w="910" w:type="dxa"/>
            <w:vMerge w:val="continue"/>
            <w:vAlign w:val="center"/>
          </w:tcPr>
          <w:p w14:paraId="344FFD10">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5DF01A3F">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人群</w:t>
            </w:r>
          </w:p>
        </w:tc>
        <w:tc>
          <w:tcPr>
            <w:tcW w:w="890" w:type="dxa"/>
            <w:vAlign w:val="center"/>
          </w:tcPr>
          <w:p w14:paraId="071C263A">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64D2764E">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W</w:t>
            </w:r>
          </w:p>
        </w:tc>
        <w:tc>
          <w:tcPr>
            <w:tcW w:w="911" w:type="dxa"/>
            <w:shd w:val="clear" w:color="auto" w:fill="auto"/>
            <w:vAlign w:val="center"/>
          </w:tcPr>
          <w:p w14:paraId="53382063">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1150</w:t>
            </w:r>
          </w:p>
        </w:tc>
      </w:tr>
      <w:tr w14:paraId="1486E4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792B4642">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新城里东区</w:t>
            </w:r>
          </w:p>
        </w:tc>
        <w:tc>
          <w:tcPr>
            <w:tcW w:w="1350" w:type="dxa"/>
            <w:vAlign w:val="center"/>
          </w:tcPr>
          <w:p w14:paraId="5F81FEE3">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126.6371510</w:t>
            </w:r>
          </w:p>
        </w:tc>
        <w:tc>
          <w:tcPr>
            <w:tcW w:w="1290" w:type="dxa"/>
            <w:vAlign w:val="center"/>
          </w:tcPr>
          <w:p w14:paraId="5A0A5EC6">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45.5970899</w:t>
            </w:r>
          </w:p>
        </w:tc>
        <w:tc>
          <w:tcPr>
            <w:tcW w:w="910" w:type="dxa"/>
            <w:vMerge w:val="continue"/>
            <w:vAlign w:val="center"/>
          </w:tcPr>
          <w:p w14:paraId="55FFCFBA">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364B62B3">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人群</w:t>
            </w:r>
          </w:p>
        </w:tc>
        <w:tc>
          <w:tcPr>
            <w:tcW w:w="890" w:type="dxa"/>
            <w:vAlign w:val="center"/>
          </w:tcPr>
          <w:p w14:paraId="685C56E0">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6CED9C2C">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SW</w:t>
            </w:r>
          </w:p>
        </w:tc>
        <w:tc>
          <w:tcPr>
            <w:tcW w:w="911" w:type="dxa"/>
            <w:shd w:val="clear" w:color="auto" w:fill="auto"/>
            <w:vAlign w:val="center"/>
          </w:tcPr>
          <w:p w14:paraId="5C16B4B1">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1680</w:t>
            </w:r>
          </w:p>
        </w:tc>
      </w:tr>
      <w:tr w14:paraId="6D9E6C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3E196E03">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国际花都</w:t>
            </w:r>
          </w:p>
        </w:tc>
        <w:tc>
          <w:tcPr>
            <w:tcW w:w="1350" w:type="dxa"/>
            <w:vAlign w:val="center"/>
          </w:tcPr>
          <w:p w14:paraId="00B023CA">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126.6239921</w:t>
            </w:r>
          </w:p>
        </w:tc>
        <w:tc>
          <w:tcPr>
            <w:tcW w:w="1290" w:type="dxa"/>
            <w:vAlign w:val="center"/>
          </w:tcPr>
          <w:p w14:paraId="3FA45B85">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45.5912341</w:t>
            </w:r>
          </w:p>
        </w:tc>
        <w:tc>
          <w:tcPr>
            <w:tcW w:w="910" w:type="dxa"/>
            <w:vMerge w:val="continue"/>
            <w:vAlign w:val="center"/>
          </w:tcPr>
          <w:p w14:paraId="29104F07">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7F604A88">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人群</w:t>
            </w:r>
          </w:p>
        </w:tc>
        <w:tc>
          <w:tcPr>
            <w:tcW w:w="890" w:type="dxa"/>
            <w:vAlign w:val="center"/>
          </w:tcPr>
          <w:p w14:paraId="36F4563D">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151BBB72">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SW</w:t>
            </w:r>
          </w:p>
        </w:tc>
        <w:tc>
          <w:tcPr>
            <w:tcW w:w="911" w:type="dxa"/>
            <w:shd w:val="clear" w:color="auto" w:fill="auto"/>
            <w:vAlign w:val="center"/>
          </w:tcPr>
          <w:p w14:paraId="489BCEFC">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2850</w:t>
            </w:r>
          </w:p>
        </w:tc>
      </w:tr>
      <w:tr w14:paraId="40943F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09D075CF">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绿地世纪城</w:t>
            </w:r>
          </w:p>
        </w:tc>
        <w:tc>
          <w:tcPr>
            <w:tcW w:w="1350" w:type="dxa"/>
            <w:vAlign w:val="center"/>
          </w:tcPr>
          <w:p w14:paraId="500A631E">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126.6237561</w:t>
            </w:r>
          </w:p>
        </w:tc>
        <w:tc>
          <w:tcPr>
            <w:tcW w:w="1290" w:type="dxa"/>
            <w:vAlign w:val="center"/>
          </w:tcPr>
          <w:p w14:paraId="1D111ED9">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45.5864739</w:t>
            </w:r>
          </w:p>
        </w:tc>
        <w:tc>
          <w:tcPr>
            <w:tcW w:w="910" w:type="dxa"/>
            <w:vMerge w:val="continue"/>
            <w:vAlign w:val="center"/>
          </w:tcPr>
          <w:p w14:paraId="3B3BB19E">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1FD80B41">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人群</w:t>
            </w:r>
          </w:p>
        </w:tc>
        <w:tc>
          <w:tcPr>
            <w:tcW w:w="890" w:type="dxa"/>
            <w:vAlign w:val="center"/>
          </w:tcPr>
          <w:p w14:paraId="4B80611C">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533699C7">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SW</w:t>
            </w:r>
          </w:p>
        </w:tc>
        <w:tc>
          <w:tcPr>
            <w:tcW w:w="911" w:type="dxa"/>
            <w:shd w:val="clear" w:color="auto" w:fill="auto"/>
            <w:vAlign w:val="center"/>
          </w:tcPr>
          <w:p w14:paraId="79FB8929">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3070</w:t>
            </w:r>
          </w:p>
        </w:tc>
      </w:tr>
      <w:tr w14:paraId="4B2ED9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5A657AB8">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东方小区</w:t>
            </w:r>
          </w:p>
        </w:tc>
        <w:tc>
          <w:tcPr>
            <w:tcW w:w="1350" w:type="dxa"/>
            <w:vAlign w:val="center"/>
          </w:tcPr>
          <w:p w14:paraId="5CF63D29">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126.6747824</w:t>
            </w:r>
          </w:p>
        </w:tc>
        <w:tc>
          <w:tcPr>
            <w:tcW w:w="1290" w:type="dxa"/>
            <w:vAlign w:val="center"/>
          </w:tcPr>
          <w:p w14:paraId="7030FE01">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45.5869545</w:t>
            </w:r>
          </w:p>
        </w:tc>
        <w:tc>
          <w:tcPr>
            <w:tcW w:w="910" w:type="dxa"/>
            <w:vMerge w:val="continue"/>
            <w:vAlign w:val="center"/>
          </w:tcPr>
          <w:p w14:paraId="1348784E">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2916617C">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人群</w:t>
            </w:r>
          </w:p>
        </w:tc>
        <w:tc>
          <w:tcPr>
            <w:tcW w:w="890" w:type="dxa"/>
            <w:vAlign w:val="center"/>
          </w:tcPr>
          <w:p w14:paraId="5F509B22">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36816B29">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SE</w:t>
            </w:r>
          </w:p>
        </w:tc>
        <w:tc>
          <w:tcPr>
            <w:tcW w:w="911" w:type="dxa"/>
            <w:shd w:val="clear" w:color="auto" w:fill="auto"/>
            <w:vAlign w:val="center"/>
          </w:tcPr>
          <w:p w14:paraId="023E2DD6">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2140</w:t>
            </w:r>
          </w:p>
        </w:tc>
      </w:tr>
      <w:tr w14:paraId="443EB6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29B1B18F">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自建小区</w:t>
            </w:r>
          </w:p>
        </w:tc>
        <w:tc>
          <w:tcPr>
            <w:tcW w:w="1350" w:type="dxa"/>
            <w:vAlign w:val="center"/>
          </w:tcPr>
          <w:p w14:paraId="5691593D">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126.6629159</w:t>
            </w:r>
          </w:p>
        </w:tc>
        <w:tc>
          <w:tcPr>
            <w:tcW w:w="1290" w:type="dxa"/>
            <w:vAlign w:val="center"/>
          </w:tcPr>
          <w:p w14:paraId="2A132803">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45.5845067</w:t>
            </w:r>
          </w:p>
        </w:tc>
        <w:tc>
          <w:tcPr>
            <w:tcW w:w="910" w:type="dxa"/>
            <w:vMerge w:val="continue"/>
            <w:vAlign w:val="center"/>
          </w:tcPr>
          <w:p w14:paraId="134E9A6F">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0E579ABA">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人群</w:t>
            </w:r>
          </w:p>
        </w:tc>
        <w:tc>
          <w:tcPr>
            <w:tcW w:w="890" w:type="dxa"/>
            <w:vAlign w:val="center"/>
          </w:tcPr>
          <w:p w14:paraId="2088E222">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24457942">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S</w:t>
            </w:r>
          </w:p>
        </w:tc>
        <w:tc>
          <w:tcPr>
            <w:tcW w:w="911" w:type="dxa"/>
            <w:shd w:val="clear" w:color="auto" w:fill="auto"/>
            <w:vAlign w:val="center"/>
          </w:tcPr>
          <w:p w14:paraId="2474C9E1">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2390</w:t>
            </w:r>
          </w:p>
        </w:tc>
      </w:tr>
      <w:tr w14:paraId="0778E9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7C321C10">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中润老区小区</w:t>
            </w:r>
          </w:p>
        </w:tc>
        <w:tc>
          <w:tcPr>
            <w:tcW w:w="1350" w:type="dxa"/>
            <w:vAlign w:val="center"/>
          </w:tcPr>
          <w:p w14:paraId="7AF038C1">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126.6639355</w:t>
            </w:r>
          </w:p>
        </w:tc>
        <w:tc>
          <w:tcPr>
            <w:tcW w:w="1290" w:type="dxa"/>
            <w:vAlign w:val="center"/>
          </w:tcPr>
          <w:p w14:paraId="34680398">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45.5873896</w:t>
            </w:r>
          </w:p>
        </w:tc>
        <w:tc>
          <w:tcPr>
            <w:tcW w:w="910" w:type="dxa"/>
            <w:vMerge w:val="continue"/>
            <w:vAlign w:val="center"/>
          </w:tcPr>
          <w:p w14:paraId="0B18BD90">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680E958F">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人群</w:t>
            </w:r>
          </w:p>
        </w:tc>
        <w:tc>
          <w:tcPr>
            <w:tcW w:w="890" w:type="dxa"/>
            <w:vAlign w:val="center"/>
          </w:tcPr>
          <w:p w14:paraId="6EE7823E">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48668A84">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S</w:t>
            </w:r>
          </w:p>
        </w:tc>
        <w:tc>
          <w:tcPr>
            <w:tcW w:w="911" w:type="dxa"/>
            <w:shd w:val="clear" w:color="auto" w:fill="auto"/>
            <w:vAlign w:val="center"/>
          </w:tcPr>
          <w:p w14:paraId="285EA270">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1960</w:t>
            </w:r>
          </w:p>
        </w:tc>
      </w:tr>
      <w:tr w14:paraId="77BCC5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7B6CC177">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老区小区</w:t>
            </w:r>
          </w:p>
        </w:tc>
        <w:tc>
          <w:tcPr>
            <w:tcW w:w="1350" w:type="dxa"/>
            <w:vAlign w:val="center"/>
          </w:tcPr>
          <w:p w14:paraId="2CF4BCA1">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126.6609100</w:t>
            </w:r>
          </w:p>
        </w:tc>
        <w:tc>
          <w:tcPr>
            <w:tcW w:w="1290" w:type="dxa"/>
            <w:vAlign w:val="center"/>
          </w:tcPr>
          <w:p w14:paraId="409180D4">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45.5857832</w:t>
            </w:r>
          </w:p>
        </w:tc>
        <w:tc>
          <w:tcPr>
            <w:tcW w:w="910" w:type="dxa"/>
            <w:vMerge w:val="continue"/>
            <w:vAlign w:val="center"/>
          </w:tcPr>
          <w:p w14:paraId="2933826F">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0FCDD28C">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人群</w:t>
            </w:r>
          </w:p>
        </w:tc>
        <w:tc>
          <w:tcPr>
            <w:tcW w:w="890" w:type="dxa"/>
            <w:vAlign w:val="center"/>
          </w:tcPr>
          <w:p w14:paraId="1334D67D">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6E3D3C99">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S</w:t>
            </w:r>
          </w:p>
        </w:tc>
        <w:tc>
          <w:tcPr>
            <w:tcW w:w="911" w:type="dxa"/>
            <w:shd w:val="clear" w:color="auto" w:fill="auto"/>
            <w:vAlign w:val="center"/>
          </w:tcPr>
          <w:p w14:paraId="3226801E">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2180</w:t>
            </w:r>
          </w:p>
        </w:tc>
      </w:tr>
      <w:tr w14:paraId="667B1F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5E7990A1">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东升小区</w:t>
            </w:r>
          </w:p>
        </w:tc>
        <w:tc>
          <w:tcPr>
            <w:tcW w:w="1350" w:type="dxa"/>
            <w:vAlign w:val="center"/>
          </w:tcPr>
          <w:p w14:paraId="0B17078C">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126.6681734</w:t>
            </w:r>
          </w:p>
        </w:tc>
        <w:tc>
          <w:tcPr>
            <w:tcW w:w="1290" w:type="dxa"/>
            <w:vAlign w:val="center"/>
          </w:tcPr>
          <w:p w14:paraId="427D5BEE">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45.5883322</w:t>
            </w:r>
          </w:p>
        </w:tc>
        <w:tc>
          <w:tcPr>
            <w:tcW w:w="910" w:type="dxa"/>
            <w:vMerge w:val="continue"/>
            <w:vAlign w:val="center"/>
          </w:tcPr>
          <w:p w14:paraId="535E8177">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5A40ED5F">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人群</w:t>
            </w:r>
          </w:p>
        </w:tc>
        <w:tc>
          <w:tcPr>
            <w:tcW w:w="890" w:type="dxa"/>
            <w:vAlign w:val="center"/>
          </w:tcPr>
          <w:p w14:paraId="13F391ED">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0FD47AFA">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SE</w:t>
            </w:r>
          </w:p>
        </w:tc>
        <w:tc>
          <w:tcPr>
            <w:tcW w:w="911" w:type="dxa"/>
            <w:shd w:val="clear" w:color="auto" w:fill="auto"/>
            <w:vAlign w:val="center"/>
          </w:tcPr>
          <w:p w14:paraId="131D4D14">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1880</w:t>
            </w:r>
          </w:p>
        </w:tc>
      </w:tr>
      <w:tr w14:paraId="79BE55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53D455C7">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东安名苑</w:t>
            </w:r>
          </w:p>
        </w:tc>
        <w:tc>
          <w:tcPr>
            <w:tcW w:w="1350" w:type="dxa"/>
            <w:vAlign w:val="center"/>
          </w:tcPr>
          <w:p w14:paraId="059DEA91">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126.6605130</w:t>
            </w:r>
          </w:p>
        </w:tc>
        <w:tc>
          <w:tcPr>
            <w:tcW w:w="1290" w:type="dxa"/>
            <w:vAlign w:val="center"/>
          </w:tcPr>
          <w:p w14:paraId="4EB6352C">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45.5872548</w:t>
            </w:r>
          </w:p>
        </w:tc>
        <w:tc>
          <w:tcPr>
            <w:tcW w:w="910" w:type="dxa"/>
            <w:vMerge w:val="continue"/>
            <w:vAlign w:val="center"/>
          </w:tcPr>
          <w:p w14:paraId="5FA4341C">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5EB43D91">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人群</w:t>
            </w:r>
          </w:p>
        </w:tc>
        <w:tc>
          <w:tcPr>
            <w:tcW w:w="890" w:type="dxa"/>
            <w:vAlign w:val="center"/>
          </w:tcPr>
          <w:p w14:paraId="3E87E624">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2751A7B8">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S</w:t>
            </w:r>
          </w:p>
        </w:tc>
        <w:tc>
          <w:tcPr>
            <w:tcW w:w="911" w:type="dxa"/>
            <w:shd w:val="clear" w:color="auto" w:fill="auto"/>
            <w:vAlign w:val="center"/>
          </w:tcPr>
          <w:p w14:paraId="3B190039">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2000</w:t>
            </w:r>
          </w:p>
        </w:tc>
      </w:tr>
      <w:tr w14:paraId="1054CD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340E33C9">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朝阳小区</w:t>
            </w:r>
          </w:p>
        </w:tc>
        <w:tc>
          <w:tcPr>
            <w:tcW w:w="1350" w:type="dxa"/>
            <w:vAlign w:val="center"/>
          </w:tcPr>
          <w:p w14:paraId="5CE8A694">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126.6648260</w:t>
            </w:r>
          </w:p>
        </w:tc>
        <w:tc>
          <w:tcPr>
            <w:tcW w:w="1290" w:type="dxa"/>
            <w:vAlign w:val="center"/>
          </w:tcPr>
          <w:p w14:paraId="4941B34F">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45.5863538</w:t>
            </w:r>
          </w:p>
        </w:tc>
        <w:tc>
          <w:tcPr>
            <w:tcW w:w="910" w:type="dxa"/>
            <w:vMerge w:val="continue"/>
            <w:vAlign w:val="center"/>
          </w:tcPr>
          <w:p w14:paraId="13287A5B">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1DA6A9BE">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人群</w:t>
            </w:r>
          </w:p>
        </w:tc>
        <w:tc>
          <w:tcPr>
            <w:tcW w:w="890" w:type="dxa"/>
            <w:vAlign w:val="center"/>
          </w:tcPr>
          <w:p w14:paraId="1D1351FD">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0522DE8E">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S</w:t>
            </w:r>
          </w:p>
        </w:tc>
        <w:tc>
          <w:tcPr>
            <w:tcW w:w="911" w:type="dxa"/>
            <w:shd w:val="clear" w:color="auto" w:fill="auto"/>
            <w:vAlign w:val="center"/>
          </w:tcPr>
          <w:p w14:paraId="4106FD58">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2200</w:t>
            </w:r>
          </w:p>
        </w:tc>
      </w:tr>
      <w:tr w14:paraId="57C6FF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53DA3B91">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文锦小区</w:t>
            </w:r>
          </w:p>
        </w:tc>
        <w:tc>
          <w:tcPr>
            <w:tcW w:w="1350" w:type="dxa"/>
            <w:vAlign w:val="center"/>
          </w:tcPr>
          <w:p w14:paraId="150B4AF9">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126.6713277</w:t>
            </w:r>
          </w:p>
        </w:tc>
        <w:tc>
          <w:tcPr>
            <w:tcW w:w="1290" w:type="dxa"/>
            <w:vAlign w:val="center"/>
          </w:tcPr>
          <w:p w14:paraId="085E7597">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45.5878555</w:t>
            </w:r>
          </w:p>
        </w:tc>
        <w:tc>
          <w:tcPr>
            <w:tcW w:w="910" w:type="dxa"/>
            <w:vMerge w:val="continue"/>
            <w:vAlign w:val="center"/>
          </w:tcPr>
          <w:p w14:paraId="2C1DD079">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342C0BBC">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人群</w:t>
            </w:r>
          </w:p>
        </w:tc>
        <w:tc>
          <w:tcPr>
            <w:tcW w:w="890" w:type="dxa"/>
            <w:vAlign w:val="center"/>
          </w:tcPr>
          <w:p w14:paraId="02140D2E">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1D45946D">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S</w:t>
            </w:r>
          </w:p>
        </w:tc>
        <w:tc>
          <w:tcPr>
            <w:tcW w:w="911" w:type="dxa"/>
            <w:shd w:val="clear" w:color="auto" w:fill="auto"/>
            <w:vAlign w:val="center"/>
          </w:tcPr>
          <w:p w14:paraId="38902BAC">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2000</w:t>
            </w:r>
          </w:p>
        </w:tc>
      </w:tr>
      <w:tr w14:paraId="3E9AEF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09" w:type="dxa"/>
            <w:shd w:val="clear" w:color="auto" w:fill="auto"/>
            <w:vAlign w:val="center"/>
          </w:tcPr>
          <w:p w14:paraId="62CEC2D6">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卫国小区</w:t>
            </w:r>
          </w:p>
        </w:tc>
        <w:tc>
          <w:tcPr>
            <w:tcW w:w="1350" w:type="dxa"/>
            <w:vAlign w:val="center"/>
          </w:tcPr>
          <w:p w14:paraId="385421EB">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126.6653196</w:t>
            </w:r>
          </w:p>
        </w:tc>
        <w:tc>
          <w:tcPr>
            <w:tcW w:w="1290" w:type="dxa"/>
            <w:vAlign w:val="center"/>
          </w:tcPr>
          <w:p w14:paraId="03A76704">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45.5845743</w:t>
            </w:r>
          </w:p>
        </w:tc>
        <w:tc>
          <w:tcPr>
            <w:tcW w:w="910" w:type="dxa"/>
            <w:vMerge w:val="continue"/>
            <w:vAlign w:val="center"/>
          </w:tcPr>
          <w:p w14:paraId="766F7B9D">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2AEE5A87">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人群</w:t>
            </w:r>
          </w:p>
        </w:tc>
        <w:tc>
          <w:tcPr>
            <w:tcW w:w="890" w:type="dxa"/>
            <w:vAlign w:val="center"/>
          </w:tcPr>
          <w:p w14:paraId="040DB8F9">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4F6CD7B5">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S</w:t>
            </w:r>
          </w:p>
        </w:tc>
        <w:tc>
          <w:tcPr>
            <w:tcW w:w="911" w:type="dxa"/>
            <w:shd w:val="clear" w:color="auto" w:fill="auto"/>
            <w:vAlign w:val="center"/>
          </w:tcPr>
          <w:p w14:paraId="24A61C09">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2330</w:t>
            </w:r>
          </w:p>
        </w:tc>
      </w:tr>
      <w:tr w14:paraId="7609F6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3C208871">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百利小区</w:t>
            </w:r>
          </w:p>
        </w:tc>
        <w:tc>
          <w:tcPr>
            <w:tcW w:w="1350" w:type="dxa"/>
            <w:vAlign w:val="center"/>
          </w:tcPr>
          <w:p w14:paraId="7A0EA6CD">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126.6258965</w:t>
            </w:r>
          </w:p>
        </w:tc>
        <w:tc>
          <w:tcPr>
            <w:tcW w:w="1290" w:type="dxa"/>
            <w:vAlign w:val="center"/>
          </w:tcPr>
          <w:p w14:paraId="661BA0DD">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45.5963016</w:t>
            </w:r>
          </w:p>
        </w:tc>
        <w:tc>
          <w:tcPr>
            <w:tcW w:w="910" w:type="dxa"/>
            <w:vMerge w:val="continue"/>
            <w:vAlign w:val="center"/>
          </w:tcPr>
          <w:p w14:paraId="0EDD61DB">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61FAC257">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人群</w:t>
            </w:r>
          </w:p>
        </w:tc>
        <w:tc>
          <w:tcPr>
            <w:tcW w:w="890" w:type="dxa"/>
            <w:vAlign w:val="center"/>
          </w:tcPr>
          <w:p w14:paraId="3326466A">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0626438D">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SW</w:t>
            </w:r>
          </w:p>
        </w:tc>
        <w:tc>
          <w:tcPr>
            <w:tcW w:w="911" w:type="dxa"/>
            <w:shd w:val="clear" w:color="auto" w:fill="auto"/>
            <w:vAlign w:val="center"/>
          </w:tcPr>
          <w:p w14:paraId="11A50820">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2220</w:t>
            </w:r>
          </w:p>
        </w:tc>
      </w:tr>
      <w:tr w14:paraId="6A69D3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21DFECB6">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建平小区</w:t>
            </w:r>
          </w:p>
        </w:tc>
        <w:tc>
          <w:tcPr>
            <w:tcW w:w="1350" w:type="dxa"/>
            <w:vAlign w:val="center"/>
          </w:tcPr>
          <w:p w14:paraId="57B1CB73">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126.6356812</w:t>
            </w:r>
          </w:p>
        </w:tc>
        <w:tc>
          <w:tcPr>
            <w:tcW w:w="1290" w:type="dxa"/>
            <w:vAlign w:val="center"/>
          </w:tcPr>
          <w:p w14:paraId="62F7CDB1">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45.5993043</w:t>
            </w:r>
          </w:p>
        </w:tc>
        <w:tc>
          <w:tcPr>
            <w:tcW w:w="910" w:type="dxa"/>
            <w:vMerge w:val="continue"/>
            <w:vAlign w:val="center"/>
          </w:tcPr>
          <w:p w14:paraId="26BA0EA1">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6B60E6B8">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人群</w:t>
            </w:r>
          </w:p>
        </w:tc>
        <w:tc>
          <w:tcPr>
            <w:tcW w:w="890" w:type="dxa"/>
            <w:vAlign w:val="center"/>
          </w:tcPr>
          <w:p w14:paraId="11E6B75B">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3BF413EC">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W</w:t>
            </w:r>
          </w:p>
        </w:tc>
        <w:tc>
          <w:tcPr>
            <w:tcW w:w="911" w:type="dxa"/>
            <w:shd w:val="clear" w:color="auto" w:fill="auto"/>
            <w:vAlign w:val="center"/>
          </w:tcPr>
          <w:p w14:paraId="621D3EB3">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1730</w:t>
            </w:r>
          </w:p>
        </w:tc>
      </w:tr>
      <w:tr w14:paraId="5FE59E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0C7122BA">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宜居新家园</w:t>
            </w:r>
          </w:p>
        </w:tc>
        <w:tc>
          <w:tcPr>
            <w:tcW w:w="1350" w:type="dxa"/>
            <w:vAlign w:val="center"/>
          </w:tcPr>
          <w:p w14:paraId="09D403E8">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126.6220770</w:t>
            </w:r>
          </w:p>
        </w:tc>
        <w:tc>
          <w:tcPr>
            <w:tcW w:w="1290" w:type="dxa"/>
            <w:vAlign w:val="center"/>
          </w:tcPr>
          <w:p w14:paraId="77859F06">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45.5975928</w:t>
            </w:r>
          </w:p>
        </w:tc>
        <w:tc>
          <w:tcPr>
            <w:tcW w:w="910" w:type="dxa"/>
            <w:vMerge w:val="continue"/>
            <w:vAlign w:val="center"/>
          </w:tcPr>
          <w:p w14:paraId="2FB040D2">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74B54FF8">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人群</w:t>
            </w:r>
          </w:p>
        </w:tc>
        <w:tc>
          <w:tcPr>
            <w:tcW w:w="890" w:type="dxa"/>
            <w:vAlign w:val="center"/>
          </w:tcPr>
          <w:p w14:paraId="554D3844">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7E888DD8">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SW</w:t>
            </w:r>
          </w:p>
        </w:tc>
        <w:tc>
          <w:tcPr>
            <w:tcW w:w="911" w:type="dxa"/>
            <w:shd w:val="clear" w:color="auto" w:fill="auto"/>
            <w:vAlign w:val="center"/>
          </w:tcPr>
          <w:p w14:paraId="12D061A0">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2720</w:t>
            </w:r>
          </w:p>
        </w:tc>
      </w:tr>
      <w:tr w14:paraId="6885F3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32EE8628">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金色嘉园</w:t>
            </w:r>
          </w:p>
        </w:tc>
        <w:tc>
          <w:tcPr>
            <w:tcW w:w="1350" w:type="dxa"/>
            <w:vAlign w:val="center"/>
          </w:tcPr>
          <w:p w14:paraId="4BD14EA8">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126.6368453</w:t>
            </w:r>
          </w:p>
        </w:tc>
        <w:tc>
          <w:tcPr>
            <w:tcW w:w="1290" w:type="dxa"/>
            <w:vAlign w:val="center"/>
          </w:tcPr>
          <w:p w14:paraId="0810303E">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45.6049415</w:t>
            </w:r>
          </w:p>
        </w:tc>
        <w:tc>
          <w:tcPr>
            <w:tcW w:w="910" w:type="dxa"/>
            <w:vMerge w:val="continue"/>
            <w:vAlign w:val="center"/>
          </w:tcPr>
          <w:p w14:paraId="3F3D855F">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185F9F52">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人群</w:t>
            </w:r>
          </w:p>
        </w:tc>
        <w:tc>
          <w:tcPr>
            <w:tcW w:w="890" w:type="dxa"/>
            <w:vAlign w:val="center"/>
          </w:tcPr>
          <w:p w14:paraId="2F843E23">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7EA5507C">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W</w:t>
            </w:r>
          </w:p>
        </w:tc>
        <w:tc>
          <w:tcPr>
            <w:tcW w:w="911" w:type="dxa"/>
            <w:shd w:val="clear" w:color="auto" w:fill="auto"/>
            <w:vAlign w:val="center"/>
          </w:tcPr>
          <w:p w14:paraId="7C936806">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1380</w:t>
            </w:r>
          </w:p>
        </w:tc>
      </w:tr>
      <w:tr w14:paraId="4C428D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17139F9B">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天丽园小区</w:t>
            </w:r>
          </w:p>
        </w:tc>
        <w:tc>
          <w:tcPr>
            <w:tcW w:w="1350" w:type="dxa"/>
            <w:vAlign w:val="center"/>
          </w:tcPr>
          <w:p w14:paraId="2B1889AF">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126.6351716</w:t>
            </w:r>
          </w:p>
        </w:tc>
        <w:tc>
          <w:tcPr>
            <w:tcW w:w="1290" w:type="dxa"/>
            <w:vAlign w:val="center"/>
          </w:tcPr>
          <w:p w14:paraId="3FBD27C4">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45.6044611</w:t>
            </w:r>
          </w:p>
        </w:tc>
        <w:tc>
          <w:tcPr>
            <w:tcW w:w="910" w:type="dxa"/>
            <w:vMerge w:val="continue"/>
            <w:vAlign w:val="center"/>
          </w:tcPr>
          <w:p w14:paraId="4A9DE454">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5C0A1546">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人群</w:t>
            </w:r>
          </w:p>
        </w:tc>
        <w:tc>
          <w:tcPr>
            <w:tcW w:w="890" w:type="dxa"/>
            <w:vAlign w:val="center"/>
          </w:tcPr>
          <w:p w14:paraId="308DBE98">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0D27B144">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W</w:t>
            </w:r>
          </w:p>
        </w:tc>
        <w:tc>
          <w:tcPr>
            <w:tcW w:w="911" w:type="dxa"/>
            <w:shd w:val="clear" w:color="auto" w:fill="auto"/>
            <w:vAlign w:val="center"/>
          </w:tcPr>
          <w:p w14:paraId="024B0494">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1540</w:t>
            </w:r>
          </w:p>
        </w:tc>
      </w:tr>
      <w:tr w14:paraId="25BCF8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03221D3F">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青年小区</w:t>
            </w:r>
          </w:p>
        </w:tc>
        <w:tc>
          <w:tcPr>
            <w:tcW w:w="1350" w:type="dxa"/>
            <w:vAlign w:val="center"/>
          </w:tcPr>
          <w:p w14:paraId="2AC7A5BF">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126.6330472</w:t>
            </w:r>
          </w:p>
        </w:tc>
        <w:tc>
          <w:tcPr>
            <w:tcW w:w="1290" w:type="dxa"/>
            <w:vAlign w:val="center"/>
          </w:tcPr>
          <w:p w14:paraId="7B8FFF6E">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45.6033052</w:t>
            </w:r>
          </w:p>
        </w:tc>
        <w:tc>
          <w:tcPr>
            <w:tcW w:w="910" w:type="dxa"/>
            <w:vMerge w:val="continue"/>
            <w:vAlign w:val="center"/>
          </w:tcPr>
          <w:p w14:paraId="3D280BB4">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1F8A5729">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人群</w:t>
            </w:r>
          </w:p>
        </w:tc>
        <w:tc>
          <w:tcPr>
            <w:tcW w:w="890" w:type="dxa"/>
            <w:vAlign w:val="center"/>
          </w:tcPr>
          <w:p w14:paraId="4DB2B124">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0247C9CA">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W</w:t>
            </w:r>
          </w:p>
        </w:tc>
        <w:tc>
          <w:tcPr>
            <w:tcW w:w="911" w:type="dxa"/>
            <w:shd w:val="clear" w:color="auto" w:fill="auto"/>
            <w:vAlign w:val="center"/>
          </w:tcPr>
          <w:p w14:paraId="4D5C5261">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1730</w:t>
            </w:r>
          </w:p>
        </w:tc>
      </w:tr>
      <w:tr w14:paraId="539C67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47804D00">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文化小区</w:t>
            </w:r>
          </w:p>
        </w:tc>
        <w:tc>
          <w:tcPr>
            <w:tcW w:w="1350" w:type="dxa"/>
            <w:vAlign w:val="center"/>
          </w:tcPr>
          <w:p w14:paraId="3B7C8B40">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126.6334067</w:t>
            </w:r>
          </w:p>
        </w:tc>
        <w:tc>
          <w:tcPr>
            <w:tcW w:w="1290" w:type="dxa"/>
            <w:vAlign w:val="center"/>
          </w:tcPr>
          <w:p w14:paraId="710AFCB3">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45.6028548</w:t>
            </w:r>
          </w:p>
        </w:tc>
        <w:tc>
          <w:tcPr>
            <w:tcW w:w="910" w:type="dxa"/>
            <w:vMerge w:val="continue"/>
            <w:vAlign w:val="center"/>
          </w:tcPr>
          <w:p w14:paraId="3268A8E0">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13081744">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人群</w:t>
            </w:r>
          </w:p>
        </w:tc>
        <w:tc>
          <w:tcPr>
            <w:tcW w:w="890" w:type="dxa"/>
            <w:vAlign w:val="center"/>
          </w:tcPr>
          <w:p w14:paraId="4B1DA1DE">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34860BB9">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W</w:t>
            </w:r>
          </w:p>
        </w:tc>
        <w:tc>
          <w:tcPr>
            <w:tcW w:w="911" w:type="dxa"/>
            <w:shd w:val="clear" w:color="auto" w:fill="auto"/>
            <w:vAlign w:val="center"/>
          </w:tcPr>
          <w:p w14:paraId="2DA826E7">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1450</w:t>
            </w:r>
          </w:p>
        </w:tc>
      </w:tr>
      <w:tr w14:paraId="7C9BD0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6D40AFB7">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香悦蓝天下</w:t>
            </w:r>
          </w:p>
        </w:tc>
        <w:tc>
          <w:tcPr>
            <w:tcW w:w="1350" w:type="dxa"/>
            <w:vAlign w:val="center"/>
          </w:tcPr>
          <w:p w14:paraId="7ACBA9F1">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126.6451601</w:t>
            </w:r>
          </w:p>
        </w:tc>
        <w:tc>
          <w:tcPr>
            <w:tcW w:w="1290" w:type="dxa"/>
            <w:vAlign w:val="center"/>
          </w:tcPr>
          <w:p w14:paraId="10DE09E0">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45.6037931</w:t>
            </w:r>
          </w:p>
        </w:tc>
        <w:tc>
          <w:tcPr>
            <w:tcW w:w="910" w:type="dxa"/>
            <w:vMerge w:val="continue"/>
            <w:vAlign w:val="center"/>
          </w:tcPr>
          <w:p w14:paraId="3AA01831">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0A360FCD">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人群</w:t>
            </w:r>
          </w:p>
        </w:tc>
        <w:tc>
          <w:tcPr>
            <w:tcW w:w="890" w:type="dxa"/>
            <w:vAlign w:val="center"/>
          </w:tcPr>
          <w:p w14:paraId="1CBC8942">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600A8CC2">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W</w:t>
            </w:r>
          </w:p>
        </w:tc>
        <w:tc>
          <w:tcPr>
            <w:tcW w:w="911" w:type="dxa"/>
            <w:shd w:val="clear" w:color="auto" w:fill="auto"/>
            <w:vAlign w:val="center"/>
          </w:tcPr>
          <w:p w14:paraId="64F22E23">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750</w:t>
            </w:r>
          </w:p>
        </w:tc>
      </w:tr>
      <w:tr w14:paraId="7208EE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419C3706">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香悦馨领域</w:t>
            </w:r>
          </w:p>
        </w:tc>
        <w:tc>
          <w:tcPr>
            <w:tcW w:w="1350" w:type="dxa"/>
            <w:vAlign w:val="center"/>
          </w:tcPr>
          <w:p w14:paraId="3B3E4663">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126.6492907</w:t>
            </w:r>
          </w:p>
        </w:tc>
        <w:tc>
          <w:tcPr>
            <w:tcW w:w="1290" w:type="dxa"/>
            <w:vAlign w:val="center"/>
          </w:tcPr>
          <w:p w14:paraId="6B6A9668">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45.3616713</w:t>
            </w:r>
          </w:p>
        </w:tc>
        <w:tc>
          <w:tcPr>
            <w:tcW w:w="910" w:type="dxa"/>
            <w:vMerge w:val="continue"/>
            <w:vAlign w:val="center"/>
          </w:tcPr>
          <w:p w14:paraId="676CE556">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6F1DB5A6">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人群</w:t>
            </w:r>
          </w:p>
        </w:tc>
        <w:tc>
          <w:tcPr>
            <w:tcW w:w="890" w:type="dxa"/>
            <w:vAlign w:val="center"/>
          </w:tcPr>
          <w:p w14:paraId="32BD9342">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4AD54AF1">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W</w:t>
            </w:r>
          </w:p>
        </w:tc>
        <w:tc>
          <w:tcPr>
            <w:tcW w:w="911" w:type="dxa"/>
            <w:shd w:val="clear" w:color="auto" w:fill="auto"/>
            <w:vAlign w:val="center"/>
          </w:tcPr>
          <w:p w14:paraId="7690789C">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480</w:t>
            </w:r>
          </w:p>
        </w:tc>
      </w:tr>
      <w:tr w14:paraId="1E8460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483B6C06">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哈飞住宅</w:t>
            </w:r>
          </w:p>
        </w:tc>
        <w:tc>
          <w:tcPr>
            <w:tcW w:w="1350" w:type="dxa"/>
            <w:vAlign w:val="center"/>
          </w:tcPr>
          <w:p w14:paraId="4F02CF5F">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126.6320612</w:t>
            </w:r>
          </w:p>
        </w:tc>
        <w:tc>
          <w:tcPr>
            <w:tcW w:w="1290" w:type="dxa"/>
            <w:vAlign w:val="center"/>
          </w:tcPr>
          <w:p w14:paraId="01A328F2">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45.6048064</w:t>
            </w:r>
          </w:p>
        </w:tc>
        <w:tc>
          <w:tcPr>
            <w:tcW w:w="910" w:type="dxa"/>
            <w:vMerge w:val="continue"/>
            <w:vAlign w:val="center"/>
          </w:tcPr>
          <w:p w14:paraId="2E52CC9A">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6F97C01F">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人群</w:t>
            </w:r>
          </w:p>
        </w:tc>
        <w:tc>
          <w:tcPr>
            <w:tcW w:w="890" w:type="dxa"/>
            <w:vAlign w:val="center"/>
          </w:tcPr>
          <w:p w14:paraId="1B0D2690">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78D1623F">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W</w:t>
            </w:r>
          </w:p>
        </w:tc>
        <w:tc>
          <w:tcPr>
            <w:tcW w:w="911" w:type="dxa"/>
            <w:shd w:val="clear" w:color="auto" w:fill="auto"/>
            <w:vAlign w:val="center"/>
          </w:tcPr>
          <w:p w14:paraId="79AA48C6">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19</w:t>
            </w:r>
            <w:r>
              <w:rPr>
                <w:rFonts w:hint="eastAsia" w:ascii="Times New Roman" w:hAnsi="Times New Roman"/>
                <w:snapToGrid w:val="0"/>
                <w:color w:val="000000" w:themeColor="text1"/>
                <w:kern w:val="21"/>
                <w:sz w:val="21"/>
                <w:szCs w:val="21"/>
                <w:highlight w:val="none"/>
              </w:rPr>
              <w:t>50</w:t>
            </w:r>
          </w:p>
        </w:tc>
      </w:tr>
      <w:tr w14:paraId="6B9E93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5B38E220">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东平小区</w:t>
            </w:r>
          </w:p>
        </w:tc>
        <w:tc>
          <w:tcPr>
            <w:tcW w:w="1350" w:type="dxa"/>
            <w:vAlign w:val="center"/>
          </w:tcPr>
          <w:p w14:paraId="16C3EA29">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126.6294316</w:t>
            </w:r>
          </w:p>
        </w:tc>
        <w:tc>
          <w:tcPr>
            <w:tcW w:w="1290" w:type="dxa"/>
            <w:vAlign w:val="center"/>
          </w:tcPr>
          <w:p w14:paraId="5E026B88">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45.6036805</w:t>
            </w:r>
          </w:p>
        </w:tc>
        <w:tc>
          <w:tcPr>
            <w:tcW w:w="910" w:type="dxa"/>
            <w:vMerge w:val="continue"/>
            <w:vAlign w:val="center"/>
          </w:tcPr>
          <w:p w14:paraId="06F644E4">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4AA08D31">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人群</w:t>
            </w:r>
          </w:p>
        </w:tc>
        <w:tc>
          <w:tcPr>
            <w:tcW w:w="890" w:type="dxa"/>
            <w:vAlign w:val="center"/>
          </w:tcPr>
          <w:p w14:paraId="6E3E18E0">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1223D783">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W</w:t>
            </w:r>
          </w:p>
        </w:tc>
        <w:tc>
          <w:tcPr>
            <w:tcW w:w="911" w:type="dxa"/>
            <w:shd w:val="clear" w:color="auto" w:fill="auto"/>
            <w:vAlign w:val="center"/>
          </w:tcPr>
          <w:p w14:paraId="5B5CD9E1">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1830</w:t>
            </w:r>
          </w:p>
        </w:tc>
      </w:tr>
      <w:tr w14:paraId="5D1651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0967C41A">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新祥里小区</w:t>
            </w:r>
          </w:p>
        </w:tc>
        <w:tc>
          <w:tcPr>
            <w:tcW w:w="1350" w:type="dxa"/>
            <w:vAlign w:val="center"/>
          </w:tcPr>
          <w:p w14:paraId="17700B47">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126.6247002</w:t>
            </w:r>
          </w:p>
        </w:tc>
        <w:tc>
          <w:tcPr>
            <w:tcW w:w="1290" w:type="dxa"/>
            <w:vAlign w:val="center"/>
          </w:tcPr>
          <w:p w14:paraId="6B38229A">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45.6055345</w:t>
            </w:r>
          </w:p>
        </w:tc>
        <w:tc>
          <w:tcPr>
            <w:tcW w:w="910" w:type="dxa"/>
            <w:vMerge w:val="continue"/>
            <w:vAlign w:val="center"/>
          </w:tcPr>
          <w:p w14:paraId="2C30158E">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677E24B7">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人群</w:t>
            </w:r>
          </w:p>
        </w:tc>
        <w:tc>
          <w:tcPr>
            <w:tcW w:w="890" w:type="dxa"/>
            <w:vAlign w:val="center"/>
          </w:tcPr>
          <w:p w14:paraId="242D6743">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5F806C4C">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W</w:t>
            </w:r>
          </w:p>
        </w:tc>
        <w:tc>
          <w:tcPr>
            <w:tcW w:w="911" w:type="dxa"/>
            <w:shd w:val="clear" w:color="auto" w:fill="auto"/>
            <w:vAlign w:val="center"/>
          </w:tcPr>
          <w:p w14:paraId="158583F0">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2210</w:t>
            </w:r>
          </w:p>
        </w:tc>
      </w:tr>
      <w:tr w14:paraId="4890AA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3D7723B8">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建文小区</w:t>
            </w:r>
          </w:p>
        </w:tc>
        <w:tc>
          <w:tcPr>
            <w:tcW w:w="1350" w:type="dxa"/>
            <w:vAlign w:val="center"/>
          </w:tcPr>
          <w:p w14:paraId="3B97D2A6">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126.6219590</w:t>
            </w:r>
          </w:p>
        </w:tc>
        <w:tc>
          <w:tcPr>
            <w:tcW w:w="1290" w:type="dxa"/>
            <w:vAlign w:val="center"/>
          </w:tcPr>
          <w:p w14:paraId="1C451B45">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45.6009858</w:t>
            </w:r>
          </w:p>
        </w:tc>
        <w:tc>
          <w:tcPr>
            <w:tcW w:w="910" w:type="dxa"/>
            <w:vMerge w:val="continue"/>
            <w:vAlign w:val="center"/>
          </w:tcPr>
          <w:p w14:paraId="768FB6C7">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385F5F9E">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人群</w:t>
            </w:r>
          </w:p>
        </w:tc>
        <w:tc>
          <w:tcPr>
            <w:tcW w:w="890" w:type="dxa"/>
            <w:vAlign w:val="center"/>
          </w:tcPr>
          <w:p w14:paraId="5F5101E4">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1FFD42DA">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SW</w:t>
            </w:r>
          </w:p>
        </w:tc>
        <w:tc>
          <w:tcPr>
            <w:tcW w:w="911" w:type="dxa"/>
            <w:shd w:val="clear" w:color="auto" w:fill="auto"/>
            <w:vAlign w:val="center"/>
          </w:tcPr>
          <w:p w14:paraId="158DD4F6">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2730</w:t>
            </w:r>
          </w:p>
        </w:tc>
      </w:tr>
      <w:tr w14:paraId="1251E6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3256D5BC">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上河东郡</w:t>
            </w:r>
          </w:p>
        </w:tc>
        <w:tc>
          <w:tcPr>
            <w:tcW w:w="1350" w:type="dxa"/>
            <w:vAlign w:val="center"/>
          </w:tcPr>
          <w:p w14:paraId="37A3AF85">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126.6218517</w:t>
            </w:r>
          </w:p>
        </w:tc>
        <w:tc>
          <w:tcPr>
            <w:tcW w:w="1290" w:type="dxa"/>
            <w:vAlign w:val="center"/>
          </w:tcPr>
          <w:p w14:paraId="579F9820">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45.5998673</w:t>
            </w:r>
          </w:p>
        </w:tc>
        <w:tc>
          <w:tcPr>
            <w:tcW w:w="910" w:type="dxa"/>
            <w:vMerge w:val="continue"/>
            <w:vAlign w:val="center"/>
          </w:tcPr>
          <w:p w14:paraId="61AEF10B">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619303DF">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人群</w:t>
            </w:r>
          </w:p>
        </w:tc>
        <w:tc>
          <w:tcPr>
            <w:tcW w:w="890" w:type="dxa"/>
            <w:vAlign w:val="center"/>
          </w:tcPr>
          <w:p w14:paraId="6A747929">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0EE50207">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W</w:t>
            </w:r>
          </w:p>
        </w:tc>
        <w:tc>
          <w:tcPr>
            <w:tcW w:w="911" w:type="dxa"/>
            <w:shd w:val="clear" w:color="auto" w:fill="auto"/>
            <w:vAlign w:val="center"/>
          </w:tcPr>
          <w:p w14:paraId="2C08E060">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2740</w:t>
            </w:r>
          </w:p>
        </w:tc>
      </w:tr>
      <w:tr w14:paraId="0DA7AE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267DC309">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哈平东飞小区</w:t>
            </w:r>
          </w:p>
        </w:tc>
        <w:tc>
          <w:tcPr>
            <w:tcW w:w="1350" w:type="dxa"/>
            <w:vAlign w:val="center"/>
          </w:tcPr>
          <w:p w14:paraId="0A079BA4">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126.6297857</w:t>
            </w:r>
          </w:p>
        </w:tc>
        <w:tc>
          <w:tcPr>
            <w:tcW w:w="1290" w:type="dxa"/>
            <w:vAlign w:val="center"/>
          </w:tcPr>
          <w:p w14:paraId="6A7DC941">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45.6020892</w:t>
            </w:r>
          </w:p>
        </w:tc>
        <w:tc>
          <w:tcPr>
            <w:tcW w:w="910" w:type="dxa"/>
            <w:vMerge w:val="continue"/>
            <w:vAlign w:val="center"/>
          </w:tcPr>
          <w:p w14:paraId="377F25BF">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0CD20DD3">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人群</w:t>
            </w:r>
          </w:p>
        </w:tc>
        <w:tc>
          <w:tcPr>
            <w:tcW w:w="890" w:type="dxa"/>
            <w:vAlign w:val="center"/>
          </w:tcPr>
          <w:p w14:paraId="60B9E753">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1B69571C">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W</w:t>
            </w:r>
          </w:p>
        </w:tc>
        <w:tc>
          <w:tcPr>
            <w:tcW w:w="911" w:type="dxa"/>
            <w:shd w:val="clear" w:color="auto" w:fill="auto"/>
            <w:vAlign w:val="center"/>
          </w:tcPr>
          <w:p w14:paraId="5DE62B86">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19</w:t>
            </w:r>
            <w:r>
              <w:rPr>
                <w:rFonts w:hint="eastAsia" w:ascii="Times New Roman" w:hAnsi="Times New Roman"/>
                <w:snapToGrid w:val="0"/>
                <w:color w:val="000000" w:themeColor="text1"/>
                <w:kern w:val="21"/>
                <w:sz w:val="21"/>
                <w:szCs w:val="21"/>
                <w:highlight w:val="none"/>
              </w:rPr>
              <w:t>60</w:t>
            </w:r>
          </w:p>
        </w:tc>
      </w:tr>
      <w:tr w14:paraId="13D609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240E8EB0">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友协社区</w:t>
            </w:r>
          </w:p>
        </w:tc>
        <w:tc>
          <w:tcPr>
            <w:tcW w:w="1350" w:type="dxa"/>
            <w:vAlign w:val="center"/>
          </w:tcPr>
          <w:p w14:paraId="5BCCB857">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126.6254244</w:t>
            </w:r>
          </w:p>
        </w:tc>
        <w:tc>
          <w:tcPr>
            <w:tcW w:w="1290" w:type="dxa"/>
            <w:vAlign w:val="center"/>
          </w:tcPr>
          <w:p w14:paraId="4785A2AF">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45.6011847</w:t>
            </w:r>
          </w:p>
        </w:tc>
        <w:tc>
          <w:tcPr>
            <w:tcW w:w="910" w:type="dxa"/>
            <w:vMerge w:val="continue"/>
            <w:vAlign w:val="center"/>
          </w:tcPr>
          <w:p w14:paraId="4AC519C7">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65EDF87A">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人群</w:t>
            </w:r>
          </w:p>
        </w:tc>
        <w:tc>
          <w:tcPr>
            <w:tcW w:w="890" w:type="dxa"/>
            <w:vAlign w:val="center"/>
          </w:tcPr>
          <w:p w14:paraId="4CE72C46">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33327B7B">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W</w:t>
            </w:r>
          </w:p>
        </w:tc>
        <w:tc>
          <w:tcPr>
            <w:tcW w:w="911" w:type="dxa"/>
            <w:shd w:val="clear" w:color="auto" w:fill="auto"/>
            <w:vAlign w:val="center"/>
          </w:tcPr>
          <w:p w14:paraId="39934D19">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2350</w:t>
            </w:r>
          </w:p>
        </w:tc>
      </w:tr>
      <w:tr w14:paraId="370493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4287505A">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万宇园小区</w:t>
            </w:r>
          </w:p>
        </w:tc>
        <w:tc>
          <w:tcPr>
            <w:tcW w:w="1350" w:type="dxa"/>
            <w:vAlign w:val="center"/>
          </w:tcPr>
          <w:p w14:paraId="5C486E00">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126.6387067</w:t>
            </w:r>
          </w:p>
        </w:tc>
        <w:tc>
          <w:tcPr>
            <w:tcW w:w="1290" w:type="dxa"/>
            <w:vAlign w:val="center"/>
          </w:tcPr>
          <w:p w14:paraId="35568101">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45.6112724</w:t>
            </w:r>
          </w:p>
        </w:tc>
        <w:tc>
          <w:tcPr>
            <w:tcW w:w="910" w:type="dxa"/>
            <w:vMerge w:val="continue"/>
            <w:vAlign w:val="center"/>
          </w:tcPr>
          <w:p w14:paraId="386F8327">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4B45AD00">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人群</w:t>
            </w:r>
          </w:p>
        </w:tc>
        <w:tc>
          <w:tcPr>
            <w:tcW w:w="890" w:type="dxa"/>
            <w:vAlign w:val="center"/>
          </w:tcPr>
          <w:p w14:paraId="48945C2F">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4071A9F3">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NW</w:t>
            </w:r>
          </w:p>
        </w:tc>
        <w:tc>
          <w:tcPr>
            <w:tcW w:w="911" w:type="dxa"/>
            <w:shd w:val="clear" w:color="auto" w:fill="auto"/>
            <w:vAlign w:val="center"/>
          </w:tcPr>
          <w:p w14:paraId="6B24FECE">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1140</w:t>
            </w:r>
          </w:p>
        </w:tc>
      </w:tr>
      <w:tr w14:paraId="7C38C5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3EAFFC81">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市一六二中学校</w:t>
            </w:r>
          </w:p>
        </w:tc>
        <w:tc>
          <w:tcPr>
            <w:tcW w:w="1350" w:type="dxa"/>
            <w:vAlign w:val="center"/>
          </w:tcPr>
          <w:p w14:paraId="6A035B96">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126.6395060</w:t>
            </w:r>
          </w:p>
        </w:tc>
        <w:tc>
          <w:tcPr>
            <w:tcW w:w="1290" w:type="dxa"/>
            <w:vAlign w:val="center"/>
          </w:tcPr>
          <w:p w14:paraId="48AFD4D2">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45.6032752</w:t>
            </w:r>
          </w:p>
        </w:tc>
        <w:tc>
          <w:tcPr>
            <w:tcW w:w="910" w:type="dxa"/>
            <w:vMerge w:val="restart"/>
            <w:vAlign w:val="center"/>
          </w:tcPr>
          <w:p w14:paraId="0ADB0729">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文化区</w:t>
            </w:r>
          </w:p>
        </w:tc>
        <w:tc>
          <w:tcPr>
            <w:tcW w:w="710" w:type="dxa"/>
            <w:vAlign w:val="center"/>
          </w:tcPr>
          <w:p w14:paraId="73C43BDE">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师生</w:t>
            </w:r>
          </w:p>
        </w:tc>
        <w:tc>
          <w:tcPr>
            <w:tcW w:w="890" w:type="dxa"/>
            <w:vAlign w:val="center"/>
          </w:tcPr>
          <w:p w14:paraId="662AD1BC">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26A0F137">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W</w:t>
            </w:r>
          </w:p>
        </w:tc>
        <w:tc>
          <w:tcPr>
            <w:tcW w:w="911" w:type="dxa"/>
            <w:shd w:val="clear" w:color="auto" w:fill="auto"/>
            <w:vAlign w:val="center"/>
          </w:tcPr>
          <w:p w14:paraId="305C894A">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1190</w:t>
            </w:r>
          </w:p>
        </w:tc>
      </w:tr>
      <w:tr w14:paraId="3F1599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18F86A6F">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市第二十五中学</w:t>
            </w:r>
          </w:p>
        </w:tc>
        <w:tc>
          <w:tcPr>
            <w:tcW w:w="1350" w:type="dxa"/>
            <w:vAlign w:val="center"/>
          </w:tcPr>
          <w:p w14:paraId="4B720E78">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126.6296623</w:t>
            </w:r>
          </w:p>
        </w:tc>
        <w:tc>
          <w:tcPr>
            <w:tcW w:w="1290" w:type="dxa"/>
            <w:vAlign w:val="center"/>
          </w:tcPr>
          <w:p w14:paraId="4711FB9D">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45.6056621</w:t>
            </w:r>
          </w:p>
        </w:tc>
        <w:tc>
          <w:tcPr>
            <w:tcW w:w="910" w:type="dxa"/>
            <w:vMerge w:val="continue"/>
            <w:vAlign w:val="center"/>
          </w:tcPr>
          <w:p w14:paraId="56320442">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4EAD66C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师生</w:t>
            </w:r>
          </w:p>
        </w:tc>
        <w:tc>
          <w:tcPr>
            <w:tcW w:w="890" w:type="dxa"/>
            <w:vAlign w:val="center"/>
          </w:tcPr>
          <w:p w14:paraId="481433F1">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69A9E201">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W</w:t>
            </w:r>
          </w:p>
        </w:tc>
        <w:tc>
          <w:tcPr>
            <w:tcW w:w="911" w:type="dxa"/>
            <w:shd w:val="clear" w:color="auto" w:fill="auto"/>
            <w:vAlign w:val="center"/>
          </w:tcPr>
          <w:p w14:paraId="5A17D514">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1960</w:t>
            </w:r>
          </w:p>
        </w:tc>
      </w:tr>
      <w:tr w14:paraId="3EA006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18D36D46">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朝阳镇第四小学</w:t>
            </w:r>
          </w:p>
        </w:tc>
        <w:tc>
          <w:tcPr>
            <w:tcW w:w="1350" w:type="dxa"/>
            <w:vAlign w:val="center"/>
          </w:tcPr>
          <w:p w14:paraId="2D6945CB">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126.6297910</w:t>
            </w:r>
          </w:p>
        </w:tc>
        <w:tc>
          <w:tcPr>
            <w:tcW w:w="1290" w:type="dxa"/>
            <w:vAlign w:val="center"/>
          </w:tcPr>
          <w:p w14:paraId="446FB033">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45.6183305</w:t>
            </w:r>
          </w:p>
        </w:tc>
        <w:tc>
          <w:tcPr>
            <w:tcW w:w="910" w:type="dxa"/>
            <w:vMerge w:val="continue"/>
            <w:vAlign w:val="center"/>
          </w:tcPr>
          <w:p w14:paraId="1C2C20C0">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0A01DF8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师生</w:t>
            </w:r>
          </w:p>
        </w:tc>
        <w:tc>
          <w:tcPr>
            <w:tcW w:w="890" w:type="dxa"/>
            <w:vAlign w:val="center"/>
          </w:tcPr>
          <w:p w14:paraId="248D1D38">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609F59C6">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NW</w:t>
            </w:r>
          </w:p>
        </w:tc>
        <w:tc>
          <w:tcPr>
            <w:tcW w:w="911" w:type="dxa"/>
            <w:shd w:val="clear" w:color="auto" w:fill="auto"/>
            <w:vAlign w:val="center"/>
          </w:tcPr>
          <w:p w14:paraId="3D8347B7">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2090</w:t>
            </w:r>
          </w:p>
        </w:tc>
      </w:tr>
      <w:tr w14:paraId="7BF2CB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2559AD62">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保国第一小学</w:t>
            </w:r>
          </w:p>
        </w:tc>
        <w:tc>
          <w:tcPr>
            <w:tcW w:w="1350" w:type="dxa"/>
            <w:vAlign w:val="center"/>
          </w:tcPr>
          <w:p w14:paraId="78ED687A">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126.6616181</w:t>
            </w:r>
          </w:p>
        </w:tc>
        <w:tc>
          <w:tcPr>
            <w:tcW w:w="1290" w:type="dxa"/>
            <w:vAlign w:val="center"/>
          </w:tcPr>
          <w:p w14:paraId="61FE091E">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45.5849985</w:t>
            </w:r>
          </w:p>
        </w:tc>
        <w:tc>
          <w:tcPr>
            <w:tcW w:w="910" w:type="dxa"/>
            <w:vMerge w:val="continue"/>
            <w:vAlign w:val="center"/>
          </w:tcPr>
          <w:p w14:paraId="25DB756E">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1366978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师生</w:t>
            </w:r>
          </w:p>
        </w:tc>
        <w:tc>
          <w:tcPr>
            <w:tcW w:w="890" w:type="dxa"/>
            <w:vAlign w:val="center"/>
          </w:tcPr>
          <w:p w14:paraId="433A8F71">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19DBBC89">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SW</w:t>
            </w:r>
          </w:p>
        </w:tc>
        <w:tc>
          <w:tcPr>
            <w:tcW w:w="911" w:type="dxa"/>
            <w:shd w:val="clear" w:color="auto" w:fill="auto"/>
            <w:vAlign w:val="center"/>
          </w:tcPr>
          <w:p w14:paraId="26DB21CF">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2240</w:t>
            </w:r>
          </w:p>
        </w:tc>
      </w:tr>
      <w:tr w14:paraId="0D14B3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6B8F537F">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市二十四中学</w:t>
            </w:r>
          </w:p>
        </w:tc>
        <w:tc>
          <w:tcPr>
            <w:tcW w:w="1350" w:type="dxa"/>
            <w:vAlign w:val="center"/>
          </w:tcPr>
          <w:p w14:paraId="12885B03">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126.6651157</w:t>
            </w:r>
          </w:p>
        </w:tc>
        <w:tc>
          <w:tcPr>
            <w:tcW w:w="1290" w:type="dxa"/>
            <w:vAlign w:val="center"/>
          </w:tcPr>
          <w:p w14:paraId="2AA37A1A">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45.5907048</w:t>
            </w:r>
          </w:p>
        </w:tc>
        <w:tc>
          <w:tcPr>
            <w:tcW w:w="910" w:type="dxa"/>
            <w:vMerge w:val="continue"/>
            <w:vAlign w:val="center"/>
          </w:tcPr>
          <w:p w14:paraId="13644037">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5F3ACF6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师生</w:t>
            </w:r>
          </w:p>
        </w:tc>
        <w:tc>
          <w:tcPr>
            <w:tcW w:w="890" w:type="dxa"/>
            <w:vAlign w:val="center"/>
          </w:tcPr>
          <w:p w14:paraId="5C7FE9CD">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437C699A">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S</w:t>
            </w:r>
          </w:p>
        </w:tc>
        <w:tc>
          <w:tcPr>
            <w:tcW w:w="911" w:type="dxa"/>
            <w:shd w:val="clear" w:color="auto" w:fill="auto"/>
            <w:vAlign w:val="center"/>
          </w:tcPr>
          <w:p w14:paraId="1A97B675">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1750</w:t>
            </w:r>
          </w:p>
        </w:tc>
      </w:tr>
      <w:tr w14:paraId="60ED20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76C48686">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保国第二小学</w:t>
            </w:r>
          </w:p>
        </w:tc>
        <w:tc>
          <w:tcPr>
            <w:tcW w:w="1350" w:type="dxa"/>
            <w:vAlign w:val="center"/>
          </w:tcPr>
          <w:p w14:paraId="3F3F1474">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126.6727010</w:t>
            </w:r>
          </w:p>
        </w:tc>
        <w:tc>
          <w:tcPr>
            <w:tcW w:w="1290" w:type="dxa"/>
            <w:vAlign w:val="center"/>
          </w:tcPr>
          <w:p w14:paraId="427242BF">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45.5915531</w:t>
            </w:r>
          </w:p>
        </w:tc>
        <w:tc>
          <w:tcPr>
            <w:tcW w:w="910" w:type="dxa"/>
            <w:vMerge w:val="continue"/>
            <w:vAlign w:val="center"/>
          </w:tcPr>
          <w:p w14:paraId="6CF4A7A8">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7F57070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师生</w:t>
            </w:r>
          </w:p>
        </w:tc>
        <w:tc>
          <w:tcPr>
            <w:tcW w:w="890" w:type="dxa"/>
            <w:vAlign w:val="center"/>
          </w:tcPr>
          <w:p w14:paraId="72AD7CCD">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59A7D7DB">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SE</w:t>
            </w:r>
          </w:p>
        </w:tc>
        <w:tc>
          <w:tcPr>
            <w:tcW w:w="911" w:type="dxa"/>
            <w:shd w:val="clear" w:color="auto" w:fill="auto"/>
            <w:vAlign w:val="center"/>
          </w:tcPr>
          <w:p w14:paraId="0754B217">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1850</w:t>
            </w:r>
          </w:p>
        </w:tc>
      </w:tr>
      <w:tr w14:paraId="7B8CA9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389C2F0E">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哈尔滨市友协第一小学校</w:t>
            </w:r>
          </w:p>
        </w:tc>
        <w:tc>
          <w:tcPr>
            <w:tcW w:w="1350" w:type="dxa"/>
            <w:vAlign w:val="center"/>
          </w:tcPr>
          <w:p w14:paraId="791F7E9D">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126.6402463</w:t>
            </w:r>
          </w:p>
        </w:tc>
        <w:tc>
          <w:tcPr>
            <w:tcW w:w="1290" w:type="dxa"/>
            <w:vAlign w:val="center"/>
          </w:tcPr>
          <w:p w14:paraId="762435F7">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45.6043786</w:t>
            </w:r>
          </w:p>
        </w:tc>
        <w:tc>
          <w:tcPr>
            <w:tcW w:w="910" w:type="dxa"/>
            <w:vMerge w:val="continue"/>
            <w:vAlign w:val="center"/>
          </w:tcPr>
          <w:p w14:paraId="7C0D48CD">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1C7D1F3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师生</w:t>
            </w:r>
          </w:p>
        </w:tc>
        <w:tc>
          <w:tcPr>
            <w:tcW w:w="890" w:type="dxa"/>
            <w:vAlign w:val="center"/>
          </w:tcPr>
          <w:p w14:paraId="6DEF330B">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3DAB1DED">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W</w:t>
            </w:r>
          </w:p>
        </w:tc>
        <w:tc>
          <w:tcPr>
            <w:tcW w:w="911" w:type="dxa"/>
            <w:shd w:val="clear" w:color="auto" w:fill="auto"/>
            <w:vAlign w:val="center"/>
          </w:tcPr>
          <w:p w14:paraId="72C6FEF2">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1240</w:t>
            </w:r>
          </w:p>
        </w:tc>
      </w:tr>
      <w:tr w14:paraId="502306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36AA1290">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市一00中学</w:t>
            </w:r>
          </w:p>
        </w:tc>
        <w:tc>
          <w:tcPr>
            <w:tcW w:w="1350" w:type="dxa"/>
            <w:vAlign w:val="center"/>
          </w:tcPr>
          <w:p w14:paraId="7BEAA50B">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126.6864876</w:t>
            </w:r>
          </w:p>
        </w:tc>
        <w:tc>
          <w:tcPr>
            <w:tcW w:w="1290" w:type="dxa"/>
            <w:vAlign w:val="center"/>
          </w:tcPr>
          <w:p w14:paraId="06C4BC91">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45.6025320</w:t>
            </w:r>
          </w:p>
        </w:tc>
        <w:tc>
          <w:tcPr>
            <w:tcW w:w="910" w:type="dxa"/>
            <w:vMerge w:val="continue"/>
            <w:vAlign w:val="center"/>
          </w:tcPr>
          <w:p w14:paraId="24602332">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4881764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师生</w:t>
            </w:r>
          </w:p>
        </w:tc>
        <w:tc>
          <w:tcPr>
            <w:tcW w:w="890" w:type="dxa"/>
            <w:vAlign w:val="center"/>
          </w:tcPr>
          <w:p w14:paraId="73A14735">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0B9C0DA3">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SE</w:t>
            </w:r>
          </w:p>
        </w:tc>
        <w:tc>
          <w:tcPr>
            <w:tcW w:w="911" w:type="dxa"/>
            <w:shd w:val="clear" w:color="auto" w:fill="auto"/>
            <w:vAlign w:val="center"/>
          </w:tcPr>
          <w:p w14:paraId="471B749D">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1890</w:t>
            </w:r>
          </w:p>
        </w:tc>
      </w:tr>
      <w:tr w14:paraId="1B82B3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68447430">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百威英博爱心小学校</w:t>
            </w:r>
          </w:p>
        </w:tc>
        <w:tc>
          <w:tcPr>
            <w:tcW w:w="1350" w:type="dxa"/>
            <w:vAlign w:val="center"/>
          </w:tcPr>
          <w:p w14:paraId="2E931EC8">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126.6881184</w:t>
            </w:r>
          </w:p>
        </w:tc>
        <w:tc>
          <w:tcPr>
            <w:tcW w:w="1290" w:type="dxa"/>
            <w:vAlign w:val="center"/>
          </w:tcPr>
          <w:p w14:paraId="5A9FAEFF">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45.6029824</w:t>
            </w:r>
          </w:p>
        </w:tc>
        <w:tc>
          <w:tcPr>
            <w:tcW w:w="910" w:type="dxa"/>
            <w:vMerge w:val="continue"/>
            <w:vAlign w:val="center"/>
          </w:tcPr>
          <w:p w14:paraId="0BF4123D">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39C481B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师生</w:t>
            </w:r>
          </w:p>
        </w:tc>
        <w:tc>
          <w:tcPr>
            <w:tcW w:w="890" w:type="dxa"/>
            <w:vAlign w:val="center"/>
          </w:tcPr>
          <w:p w14:paraId="05016E3F">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二类区</w:t>
            </w:r>
          </w:p>
        </w:tc>
        <w:tc>
          <w:tcPr>
            <w:tcW w:w="654" w:type="dxa"/>
            <w:vAlign w:val="center"/>
          </w:tcPr>
          <w:p w14:paraId="3FBBA4A2">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default" w:ascii="Times New Roman" w:hAnsi="Times New Roman"/>
                <w:color w:val="000000" w:themeColor="text1"/>
                <w:kern w:val="21"/>
                <w:sz w:val="21"/>
                <w:szCs w:val="21"/>
                <w:highlight w:val="none"/>
              </w:rPr>
              <w:t>SE</w:t>
            </w:r>
          </w:p>
        </w:tc>
        <w:tc>
          <w:tcPr>
            <w:tcW w:w="911" w:type="dxa"/>
            <w:shd w:val="clear" w:color="auto" w:fill="auto"/>
            <w:vAlign w:val="center"/>
          </w:tcPr>
          <w:p w14:paraId="5981EF41">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2010</w:t>
            </w:r>
          </w:p>
        </w:tc>
      </w:tr>
      <w:tr w14:paraId="358001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9" w:type="dxa"/>
            <w:shd w:val="clear" w:color="auto" w:fill="auto"/>
            <w:vAlign w:val="center"/>
          </w:tcPr>
          <w:p w14:paraId="3213463C">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eastAsia" w:ascii="Times New Roman" w:hAnsi="Times New Roman"/>
                <w:snapToGrid w:val="0"/>
                <w:color w:val="000000" w:themeColor="text1"/>
                <w:kern w:val="21"/>
                <w:sz w:val="21"/>
                <w:szCs w:val="21"/>
                <w:highlight w:val="none"/>
              </w:rPr>
              <w:t>朝阳镇第一小学</w:t>
            </w:r>
          </w:p>
        </w:tc>
        <w:tc>
          <w:tcPr>
            <w:tcW w:w="1350" w:type="dxa"/>
            <w:vAlign w:val="center"/>
          </w:tcPr>
          <w:p w14:paraId="1FD7B476">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126.6670504</w:t>
            </w:r>
          </w:p>
        </w:tc>
        <w:tc>
          <w:tcPr>
            <w:tcW w:w="1290" w:type="dxa"/>
            <w:vAlign w:val="center"/>
          </w:tcPr>
          <w:p w14:paraId="735DB765">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default" w:ascii="Times New Roman" w:hAnsi="Times New Roman"/>
                <w:snapToGrid w:val="0"/>
                <w:color w:val="000000" w:themeColor="text1"/>
                <w:kern w:val="21"/>
                <w:sz w:val="21"/>
                <w:szCs w:val="21"/>
                <w:highlight w:val="none"/>
              </w:rPr>
              <w:t>45.6319656</w:t>
            </w:r>
          </w:p>
        </w:tc>
        <w:tc>
          <w:tcPr>
            <w:tcW w:w="910" w:type="dxa"/>
            <w:vMerge w:val="continue"/>
            <w:vAlign w:val="center"/>
          </w:tcPr>
          <w:p w14:paraId="0EAAADC9">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p>
        </w:tc>
        <w:tc>
          <w:tcPr>
            <w:tcW w:w="710" w:type="dxa"/>
            <w:vAlign w:val="center"/>
          </w:tcPr>
          <w:p w14:paraId="4066D97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snapToGrid w:val="0"/>
                <w:color w:val="000000" w:themeColor="text1"/>
                <w:kern w:val="21"/>
                <w:sz w:val="21"/>
                <w:szCs w:val="21"/>
                <w:highlight w:val="none"/>
              </w:rPr>
            </w:pPr>
            <w:r>
              <w:rPr>
                <w:rFonts w:hint="eastAsia" w:ascii="Times New Roman" w:hAnsi="Times New Roman"/>
                <w:snapToGrid w:val="0"/>
                <w:color w:val="000000" w:themeColor="text1"/>
                <w:kern w:val="21"/>
                <w:sz w:val="21"/>
                <w:szCs w:val="21"/>
                <w:highlight w:val="none"/>
              </w:rPr>
              <w:t>师生</w:t>
            </w:r>
          </w:p>
        </w:tc>
        <w:tc>
          <w:tcPr>
            <w:tcW w:w="890" w:type="dxa"/>
            <w:vAlign w:val="center"/>
          </w:tcPr>
          <w:p w14:paraId="471FA00E">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eastAsia" w:ascii="Times New Roman" w:hAnsi="Times New Roman"/>
                <w:snapToGrid w:val="0"/>
                <w:color w:val="000000" w:themeColor="text1"/>
                <w:kern w:val="21"/>
                <w:sz w:val="21"/>
                <w:szCs w:val="21"/>
                <w:highlight w:val="none"/>
              </w:rPr>
              <w:t>二类区</w:t>
            </w:r>
          </w:p>
        </w:tc>
        <w:tc>
          <w:tcPr>
            <w:tcW w:w="654" w:type="dxa"/>
            <w:vAlign w:val="center"/>
          </w:tcPr>
          <w:p w14:paraId="19C2EFE5">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color w:val="000000" w:themeColor="text1"/>
                <w:kern w:val="21"/>
                <w:sz w:val="21"/>
                <w:szCs w:val="21"/>
                <w:highlight w:val="none"/>
              </w:rPr>
            </w:pPr>
            <w:r>
              <w:rPr>
                <w:rFonts w:hint="eastAsia" w:ascii="Times New Roman" w:hAnsi="Times New Roman"/>
                <w:color w:val="000000" w:themeColor="text1"/>
                <w:kern w:val="21"/>
                <w:sz w:val="21"/>
                <w:szCs w:val="21"/>
                <w:highlight w:val="none"/>
              </w:rPr>
              <w:t>NE</w:t>
            </w:r>
          </w:p>
        </w:tc>
        <w:tc>
          <w:tcPr>
            <w:tcW w:w="911" w:type="dxa"/>
            <w:shd w:val="clear" w:color="auto" w:fill="auto"/>
            <w:vAlign w:val="center"/>
          </w:tcPr>
          <w:p w14:paraId="00A5CAD4">
            <w:pPr>
              <w:pStyle w:val="86"/>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textAlignment w:val="auto"/>
              <w:rPr>
                <w:rFonts w:hint="default" w:ascii="Times New Roman" w:hAnsi="Times New Roman"/>
                <w:snapToGrid w:val="0"/>
                <w:color w:val="000000" w:themeColor="text1"/>
                <w:kern w:val="21"/>
                <w:sz w:val="21"/>
                <w:szCs w:val="21"/>
                <w:highlight w:val="none"/>
              </w:rPr>
            </w:pPr>
            <w:r>
              <w:rPr>
                <w:rFonts w:hint="eastAsia" w:ascii="Times New Roman" w:hAnsi="Times New Roman"/>
                <w:snapToGrid w:val="0"/>
                <w:color w:val="000000" w:themeColor="text1"/>
                <w:kern w:val="21"/>
                <w:sz w:val="21"/>
                <w:szCs w:val="21"/>
                <w:highlight w:val="none"/>
              </w:rPr>
              <w:t>2160</w:t>
            </w:r>
          </w:p>
        </w:tc>
      </w:tr>
      <w:bookmarkEnd w:id="203"/>
      <w:bookmarkEnd w:id="204"/>
      <w:bookmarkEnd w:id="205"/>
    </w:tbl>
    <w:p w14:paraId="70861DFE">
      <w:pPr>
        <w:pStyle w:val="7"/>
        <w:bidi w:val="0"/>
        <w:rPr>
          <w:highlight w:val="none"/>
        </w:rPr>
      </w:pPr>
      <w:r>
        <w:rPr>
          <w:highlight w:val="none"/>
        </w:rPr>
        <w:t>表</w:t>
      </w:r>
      <w:r>
        <w:rPr>
          <w:rFonts w:hint="eastAsia"/>
          <w:highlight w:val="none"/>
          <w:lang w:val="en-US" w:eastAsia="zh-CN"/>
        </w:rPr>
        <w:t>2-7-2</w:t>
      </w:r>
      <w:r>
        <w:rPr>
          <w:highlight w:val="none"/>
        </w:rPr>
        <w:t>声环境保护目标一览表</w:t>
      </w:r>
    </w:p>
    <w:tbl>
      <w:tblPr>
        <w:tblStyle w:val="46"/>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07"/>
        <w:gridCol w:w="1246"/>
        <w:gridCol w:w="927"/>
        <w:gridCol w:w="927"/>
        <w:gridCol w:w="928"/>
        <w:gridCol w:w="928"/>
        <w:gridCol w:w="624"/>
        <w:gridCol w:w="690"/>
        <w:gridCol w:w="1470"/>
      </w:tblGrid>
      <w:tr w14:paraId="0EDF76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7" w:type="dxa"/>
            <w:vMerge w:val="restart"/>
            <w:tcBorders>
              <w:tl2br w:val="nil"/>
              <w:tr2bl w:val="nil"/>
            </w:tcBorders>
            <w:vAlign w:val="center"/>
          </w:tcPr>
          <w:p w14:paraId="0B786619">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序号</w:t>
            </w:r>
          </w:p>
        </w:tc>
        <w:tc>
          <w:tcPr>
            <w:tcW w:w="1246" w:type="dxa"/>
            <w:vMerge w:val="restart"/>
            <w:tcBorders>
              <w:tl2br w:val="nil"/>
              <w:tr2bl w:val="nil"/>
            </w:tcBorders>
            <w:vAlign w:val="center"/>
          </w:tcPr>
          <w:p w14:paraId="4B1DEA3E">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声环境保护目标名称</w:t>
            </w:r>
          </w:p>
        </w:tc>
        <w:tc>
          <w:tcPr>
            <w:tcW w:w="2782" w:type="dxa"/>
            <w:gridSpan w:val="3"/>
            <w:tcBorders>
              <w:tl2br w:val="nil"/>
              <w:tr2bl w:val="nil"/>
            </w:tcBorders>
            <w:vAlign w:val="center"/>
          </w:tcPr>
          <w:p w14:paraId="1CA837C0">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空间相对位置/m</w:t>
            </w:r>
          </w:p>
        </w:tc>
        <w:tc>
          <w:tcPr>
            <w:tcW w:w="928" w:type="dxa"/>
            <w:vMerge w:val="restart"/>
            <w:tcBorders>
              <w:tl2br w:val="nil"/>
              <w:tr2bl w:val="nil"/>
            </w:tcBorders>
            <w:vAlign w:val="center"/>
          </w:tcPr>
          <w:p w14:paraId="6EF5A511">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距厂界最近距离/m</w:t>
            </w:r>
          </w:p>
        </w:tc>
        <w:tc>
          <w:tcPr>
            <w:tcW w:w="624" w:type="dxa"/>
            <w:vMerge w:val="restart"/>
            <w:tcBorders>
              <w:tl2br w:val="nil"/>
              <w:tr2bl w:val="nil"/>
            </w:tcBorders>
            <w:vAlign w:val="center"/>
          </w:tcPr>
          <w:p w14:paraId="34E619B9">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方位</w:t>
            </w:r>
          </w:p>
        </w:tc>
        <w:tc>
          <w:tcPr>
            <w:tcW w:w="690" w:type="dxa"/>
            <w:vMerge w:val="restart"/>
            <w:tcBorders>
              <w:tl2br w:val="nil"/>
              <w:tr2bl w:val="nil"/>
            </w:tcBorders>
            <w:vAlign w:val="center"/>
          </w:tcPr>
          <w:p w14:paraId="78BE865E">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功能区类别</w:t>
            </w:r>
          </w:p>
        </w:tc>
        <w:tc>
          <w:tcPr>
            <w:tcW w:w="1470" w:type="dxa"/>
            <w:vMerge w:val="restart"/>
            <w:tcBorders>
              <w:tl2br w:val="nil"/>
              <w:tr2bl w:val="nil"/>
            </w:tcBorders>
            <w:vAlign w:val="center"/>
          </w:tcPr>
          <w:p w14:paraId="042EC559">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声环境保护目标情况</w:t>
            </w:r>
          </w:p>
        </w:tc>
      </w:tr>
      <w:tr w14:paraId="40EB0F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07" w:type="dxa"/>
            <w:vMerge w:val="continue"/>
            <w:tcBorders>
              <w:tl2br w:val="nil"/>
              <w:tr2bl w:val="nil"/>
            </w:tcBorders>
            <w:vAlign w:val="center"/>
          </w:tcPr>
          <w:p w14:paraId="12F364F6">
            <w:pPr>
              <w:pStyle w:val="8"/>
              <w:suppressLineNumbers w:val="0"/>
              <w:bidi w:val="0"/>
              <w:spacing w:before="0" w:beforeAutospacing="0" w:after="0" w:afterAutospacing="0"/>
              <w:ind w:left="0" w:right="0"/>
              <w:rPr>
                <w:rFonts w:hint="default"/>
                <w:highlight w:val="none"/>
                <w:lang w:val="en-US" w:eastAsia="zh-CN"/>
              </w:rPr>
            </w:pPr>
          </w:p>
        </w:tc>
        <w:tc>
          <w:tcPr>
            <w:tcW w:w="1246" w:type="dxa"/>
            <w:vMerge w:val="continue"/>
            <w:tcBorders>
              <w:tl2br w:val="nil"/>
              <w:tr2bl w:val="nil"/>
            </w:tcBorders>
            <w:vAlign w:val="center"/>
          </w:tcPr>
          <w:p w14:paraId="5EFC07A5">
            <w:pPr>
              <w:pStyle w:val="8"/>
              <w:suppressLineNumbers w:val="0"/>
              <w:bidi w:val="0"/>
              <w:spacing w:before="0" w:beforeAutospacing="0" w:after="0" w:afterAutospacing="0"/>
              <w:ind w:left="0" w:right="0"/>
              <w:rPr>
                <w:rFonts w:hint="default"/>
                <w:highlight w:val="none"/>
                <w:lang w:val="en-US" w:eastAsia="zh-CN"/>
              </w:rPr>
            </w:pPr>
          </w:p>
        </w:tc>
        <w:tc>
          <w:tcPr>
            <w:tcW w:w="927" w:type="dxa"/>
            <w:tcBorders>
              <w:tl2br w:val="nil"/>
              <w:tr2bl w:val="nil"/>
            </w:tcBorders>
            <w:vAlign w:val="center"/>
          </w:tcPr>
          <w:p w14:paraId="6A95F83A">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X</w:t>
            </w:r>
          </w:p>
        </w:tc>
        <w:tc>
          <w:tcPr>
            <w:tcW w:w="927" w:type="dxa"/>
            <w:tcBorders>
              <w:tl2br w:val="nil"/>
              <w:tr2bl w:val="nil"/>
            </w:tcBorders>
            <w:vAlign w:val="center"/>
          </w:tcPr>
          <w:p w14:paraId="64BFEE8E">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Y</w:t>
            </w:r>
          </w:p>
        </w:tc>
        <w:tc>
          <w:tcPr>
            <w:tcW w:w="928" w:type="dxa"/>
            <w:tcBorders>
              <w:tl2br w:val="nil"/>
              <w:tr2bl w:val="nil"/>
            </w:tcBorders>
            <w:vAlign w:val="center"/>
          </w:tcPr>
          <w:p w14:paraId="532B0E8D">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Z</w:t>
            </w:r>
          </w:p>
        </w:tc>
        <w:tc>
          <w:tcPr>
            <w:tcW w:w="928" w:type="dxa"/>
            <w:vMerge w:val="continue"/>
            <w:tcBorders>
              <w:tl2br w:val="nil"/>
              <w:tr2bl w:val="nil"/>
            </w:tcBorders>
            <w:vAlign w:val="center"/>
          </w:tcPr>
          <w:p w14:paraId="69520F2A">
            <w:pPr>
              <w:pStyle w:val="8"/>
              <w:suppressLineNumbers w:val="0"/>
              <w:bidi w:val="0"/>
              <w:spacing w:before="0" w:beforeAutospacing="0" w:after="0" w:afterAutospacing="0"/>
              <w:ind w:left="0" w:right="0"/>
              <w:rPr>
                <w:rFonts w:hint="default"/>
                <w:highlight w:val="none"/>
                <w:lang w:val="en-US" w:eastAsia="zh-CN"/>
              </w:rPr>
            </w:pPr>
          </w:p>
        </w:tc>
        <w:tc>
          <w:tcPr>
            <w:tcW w:w="624" w:type="dxa"/>
            <w:vMerge w:val="continue"/>
            <w:tcBorders>
              <w:tl2br w:val="nil"/>
              <w:tr2bl w:val="nil"/>
            </w:tcBorders>
            <w:vAlign w:val="center"/>
          </w:tcPr>
          <w:p w14:paraId="5860A576">
            <w:pPr>
              <w:pStyle w:val="8"/>
              <w:suppressLineNumbers w:val="0"/>
              <w:bidi w:val="0"/>
              <w:spacing w:before="0" w:beforeAutospacing="0" w:after="0" w:afterAutospacing="0"/>
              <w:ind w:left="0" w:right="0"/>
              <w:rPr>
                <w:rFonts w:hint="default"/>
                <w:highlight w:val="none"/>
                <w:lang w:val="en-US" w:eastAsia="zh-CN"/>
              </w:rPr>
            </w:pPr>
          </w:p>
        </w:tc>
        <w:tc>
          <w:tcPr>
            <w:tcW w:w="690" w:type="dxa"/>
            <w:vMerge w:val="continue"/>
            <w:tcBorders>
              <w:tl2br w:val="nil"/>
              <w:tr2bl w:val="nil"/>
            </w:tcBorders>
            <w:vAlign w:val="center"/>
          </w:tcPr>
          <w:p w14:paraId="52069D69">
            <w:pPr>
              <w:pStyle w:val="8"/>
              <w:suppressLineNumbers w:val="0"/>
              <w:bidi w:val="0"/>
              <w:spacing w:before="0" w:beforeAutospacing="0" w:after="0" w:afterAutospacing="0"/>
              <w:ind w:left="0" w:right="0"/>
              <w:rPr>
                <w:rFonts w:hint="default"/>
                <w:highlight w:val="none"/>
                <w:lang w:val="en-US" w:eastAsia="zh-CN"/>
              </w:rPr>
            </w:pPr>
          </w:p>
        </w:tc>
        <w:tc>
          <w:tcPr>
            <w:tcW w:w="1470" w:type="dxa"/>
            <w:vMerge w:val="continue"/>
            <w:tcBorders>
              <w:tl2br w:val="nil"/>
              <w:tr2bl w:val="nil"/>
            </w:tcBorders>
            <w:vAlign w:val="center"/>
          </w:tcPr>
          <w:p w14:paraId="56B8827E">
            <w:pPr>
              <w:pStyle w:val="8"/>
              <w:suppressLineNumbers w:val="0"/>
              <w:bidi w:val="0"/>
              <w:spacing w:before="0" w:beforeAutospacing="0" w:after="0" w:afterAutospacing="0"/>
              <w:ind w:left="0" w:right="0"/>
              <w:rPr>
                <w:rFonts w:hint="default"/>
                <w:highlight w:val="none"/>
                <w:lang w:val="en-US" w:eastAsia="zh-CN"/>
              </w:rPr>
            </w:pPr>
          </w:p>
        </w:tc>
      </w:tr>
      <w:tr w14:paraId="0EE671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607" w:type="dxa"/>
            <w:tcBorders>
              <w:tl2br w:val="nil"/>
              <w:tr2bl w:val="nil"/>
            </w:tcBorders>
            <w:vAlign w:val="center"/>
          </w:tcPr>
          <w:p w14:paraId="21204B18">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1</w:t>
            </w:r>
          </w:p>
        </w:tc>
        <w:tc>
          <w:tcPr>
            <w:tcW w:w="1246" w:type="dxa"/>
            <w:tcBorders>
              <w:tl2br w:val="nil"/>
              <w:tr2bl w:val="nil"/>
            </w:tcBorders>
            <w:vAlign w:val="center"/>
          </w:tcPr>
          <w:p w14:paraId="30458FFF">
            <w:pPr>
              <w:pStyle w:val="8"/>
              <w:suppressLineNumbers w:val="0"/>
              <w:bidi w:val="0"/>
              <w:spacing w:before="0" w:beforeAutospacing="0" w:after="0" w:afterAutospacing="0"/>
              <w:ind w:left="0" w:right="0"/>
              <w:rPr>
                <w:rFonts w:hint="eastAsia" w:eastAsia="宋体"/>
                <w:highlight w:val="none"/>
                <w:lang w:val="en-US" w:eastAsia="zh-CN"/>
              </w:rPr>
            </w:pPr>
            <w:r>
              <w:rPr>
                <w:rFonts w:hint="eastAsia"/>
                <w:highlight w:val="none"/>
                <w:lang w:val="en-US" w:eastAsia="zh-CN"/>
              </w:rPr>
              <w:t>东北</w:t>
            </w:r>
            <w:r>
              <w:rPr>
                <w:rFonts w:hint="default"/>
                <w:highlight w:val="none"/>
                <w:lang w:val="en-US" w:eastAsia="zh-CN"/>
              </w:rPr>
              <w:t>侧</w:t>
            </w:r>
            <w:r>
              <w:rPr>
                <w:rFonts w:hint="eastAsia"/>
                <w:snapToGrid w:val="0"/>
                <w:highlight w:val="none"/>
                <w:lang w:val="en-US" w:eastAsia="zh-CN"/>
              </w:rPr>
              <w:t>刘家村</w:t>
            </w:r>
          </w:p>
        </w:tc>
        <w:tc>
          <w:tcPr>
            <w:tcW w:w="927" w:type="dxa"/>
            <w:tcBorders>
              <w:tl2br w:val="nil"/>
              <w:tr2bl w:val="nil"/>
            </w:tcBorders>
            <w:vAlign w:val="center"/>
          </w:tcPr>
          <w:p w14:paraId="780B9FEE">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3</w:t>
            </w:r>
          </w:p>
        </w:tc>
        <w:tc>
          <w:tcPr>
            <w:tcW w:w="927" w:type="dxa"/>
            <w:tcBorders>
              <w:tl2br w:val="nil"/>
              <w:tr2bl w:val="nil"/>
            </w:tcBorders>
            <w:vAlign w:val="center"/>
          </w:tcPr>
          <w:p w14:paraId="4933ADC1">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560</w:t>
            </w:r>
          </w:p>
        </w:tc>
        <w:tc>
          <w:tcPr>
            <w:tcW w:w="928" w:type="dxa"/>
            <w:tcBorders>
              <w:tl2br w:val="nil"/>
              <w:tr2bl w:val="nil"/>
            </w:tcBorders>
            <w:vAlign w:val="center"/>
          </w:tcPr>
          <w:p w14:paraId="4BD497DA">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0</w:t>
            </w:r>
          </w:p>
        </w:tc>
        <w:tc>
          <w:tcPr>
            <w:tcW w:w="928" w:type="dxa"/>
            <w:tcBorders>
              <w:tl2br w:val="nil"/>
              <w:tr2bl w:val="nil"/>
            </w:tcBorders>
            <w:vAlign w:val="center"/>
          </w:tcPr>
          <w:p w14:paraId="39EDC4DC">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29</w:t>
            </w:r>
          </w:p>
        </w:tc>
        <w:tc>
          <w:tcPr>
            <w:tcW w:w="624" w:type="dxa"/>
            <w:tcBorders>
              <w:tl2br w:val="nil"/>
              <w:tr2bl w:val="nil"/>
            </w:tcBorders>
            <w:vAlign w:val="center"/>
          </w:tcPr>
          <w:p w14:paraId="715274D3">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NE</w:t>
            </w:r>
          </w:p>
        </w:tc>
        <w:tc>
          <w:tcPr>
            <w:tcW w:w="690" w:type="dxa"/>
            <w:tcBorders>
              <w:tl2br w:val="nil"/>
              <w:tr2bl w:val="nil"/>
            </w:tcBorders>
            <w:vAlign w:val="center"/>
          </w:tcPr>
          <w:p w14:paraId="7751DC4D">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w:t>
            </w:r>
            <w:r>
              <w:rPr>
                <w:rFonts w:hint="default"/>
                <w:highlight w:val="none"/>
              </w:rPr>
              <w:t>类</w:t>
            </w:r>
          </w:p>
        </w:tc>
        <w:tc>
          <w:tcPr>
            <w:tcW w:w="1470" w:type="dxa"/>
            <w:tcBorders>
              <w:tl2br w:val="nil"/>
              <w:tr2bl w:val="nil"/>
            </w:tcBorders>
            <w:vAlign w:val="center"/>
          </w:tcPr>
          <w:p w14:paraId="632087B6">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1层</w:t>
            </w:r>
            <w:r>
              <w:rPr>
                <w:rFonts w:hint="eastAsia"/>
                <w:highlight w:val="none"/>
                <w:lang w:val="en-US" w:eastAsia="zh-CN"/>
              </w:rPr>
              <w:t>砖结构</w:t>
            </w:r>
            <w:r>
              <w:rPr>
                <w:rFonts w:hint="default"/>
                <w:highlight w:val="none"/>
                <w:lang w:val="en-US" w:eastAsia="zh-CN"/>
              </w:rPr>
              <w:t>居民民房</w:t>
            </w:r>
          </w:p>
        </w:tc>
      </w:tr>
    </w:tbl>
    <w:p w14:paraId="0A907ED5">
      <w:pPr>
        <w:pStyle w:val="7"/>
        <w:bidi w:val="0"/>
        <w:rPr>
          <w:rFonts w:hint="default"/>
          <w:highlight w:val="none"/>
        </w:rPr>
      </w:pPr>
      <w:r>
        <w:rPr>
          <w:rFonts w:hint="default"/>
          <w:highlight w:val="none"/>
        </w:rPr>
        <w:t>表2-7-</w:t>
      </w:r>
      <w:r>
        <w:rPr>
          <w:rFonts w:hint="eastAsia"/>
          <w:highlight w:val="none"/>
          <w:lang w:val="en-US" w:eastAsia="zh-CN"/>
        </w:rPr>
        <w:t>3</w:t>
      </w:r>
      <w:r>
        <w:rPr>
          <w:rFonts w:hint="default"/>
          <w:highlight w:val="none"/>
        </w:rPr>
        <w:tab/>
      </w:r>
      <w:r>
        <w:rPr>
          <w:rFonts w:hint="default"/>
          <w:highlight w:val="none"/>
        </w:rPr>
        <w:t>本项目敏感保护目标一览表</w:t>
      </w:r>
    </w:p>
    <w:tbl>
      <w:tblPr>
        <w:tblStyle w:val="739"/>
        <w:tblW w:w="8546"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974"/>
        <w:gridCol w:w="1490"/>
        <w:gridCol w:w="1781"/>
        <w:gridCol w:w="4301"/>
      </w:tblGrid>
      <w:tr w14:paraId="19CEEA4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67" w:hRule="atLeast"/>
          <w:jc w:val="center"/>
        </w:trPr>
        <w:tc>
          <w:tcPr>
            <w:tcW w:w="974" w:type="dxa"/>
            <w:tcBorders>
              <w:tl2br w:val="nil"/>
              <w:tr2bl w:val="nil"/>
            </w:tcBorders>
            <w:shd w:val="clear" w:color="auto" w:fill="auto"/>
            <w:vAlign w:val="center"/>
          </w:tcPr>
          <w:p w14:paraId="2C9A5D52">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环境要素</w:t>
            </w:r>
          </w:p>
        </w:tc>
        <w:tc>
          <w:tcPr>
            <w:tcW w:w="1490" w:type="dxa"/>
            <w:tcBorders>
              <w:tl2br w:val="nil"/>
              <w:tr2bl w:val="nil"/>
            </w:tcBorders>
            <w:shd w:val="clear" w:color="auto" w:fill="auto"/>
            <w:vAlign w:val="center"/>
          </w:tcPr>
          <w:p w14:paraId="6919EC5A">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保护目标名称</w:t>
            </w:r>
          </w:p>
        </w:tc>
        <w:tc>
          <w:tcPr>
            <w:tcW w:w="1781" w:type="dxa"/>
            <w:tcBorders>
              <w:tl2br w:val="nil"/>
              <w:tr2bl w:val="nil"/>
            </w:tcBorders>
            <w:shd w:val="clear" w:color="auto" w:fill="auto"/>
            <w:vAlign w:val="center"/>
          </w:tcPr>
          <w:p w14:paraId="2E7D1104">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与厂址</w:t>
            </w:r>
          </w:p>
          <w:p w14:paraId="7D880D37">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方位及距离</w:t>
            </w:r>
          </w:p>
        </w:tc>
        <w:tc>
          <w:tcPr>
            <w:tcW w:w="4301" w:type="dxa"/>
            <w:tcBorders>
              <w:tl2br w:val="nil"/>
              <w:tr2bl w:val="nil"/>
            </w:tcBorders>
            <w:shd w:val="clear" w:color="auto" w:fill="auto"/>
            <w:vAlign w:val="center"/>
          </w:tcPr>
          <w:p w14:paraId="4502AAA3">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环境功能区类别/执行标准</w:t>
            </w:r>
          </w:p>
        </w:tc>
      </w:tr>
      <w:tr w14:paraId="28447C5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65" w:hRule="atLeast"/>
          <w:jc w:val="center"/>
        </w:trPr>
        <w:tc>
          <w:tcPr>
            <w:tcW w:w="974" w:type="dxa"/>
            <w:tcBorders>
              <w:tl2br w:val="nil"/>
              <w:tr2bl w:val="nil"/>
            </w:tcBorders>
            <w:shd w:val="clear" w:color="auto" w:fill="auto"/>
            <w:vAlign w:val="center"/>
          </w:tcPr>
          <w:p w14:paraId="015F56F7">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土壤</w:t>
            </w:r>
          </w:p>
        </w:tc>
        <w:tc>
          <w:tcPr>
            <w:tcW w:w="1490" w:type="dxa"/>
            <w:tcBorders>
              <w:tl2br w:val="nil"/>
              <w:tr2bl w:val="nil"/>
            </w:tcBorders>
            <w:shd w:val="clear" w:color="auto" w:fill="auto"/>
            <w:vAlign w:val="center"/>
          </w:tcPr>
          <w:p w14:paraId="67EA2E4A">
            <w:pPr>
              <w:pStyle w:val="8"/>
              <w:suppressLineNumbers w:val="0"/>
              <w:bidi w:val="0"/>
              <w:spacing w:before="0" w:beforeAutospacing="0" w:after="0" w:afterAutospacing="0"/>
              <w:ind w:left="0" w:right="0"/>
              <w:rPr>
                <w:rFonts w:hint="default" w:eastAsia="宋体"/>
                <w:snapToGrid w:val="0"/>
                <w:highlight w:val="none"/>
                <w:lang w:val="en-US" w:eastAsia="zh-CN"/>
              </w:rPr>
            </w:pPr>
            <w:r>
              <w:rPr>
                <w:rFonts w:hint="eastAsia"/>
                <w:snapToGrid w:val="0"/>
                <w:highlight w:val="none"/>
                <w:lang w:val="en-US" w:eastAsia="zh-CN"/>
              </w:rPr>
              <w:t>东北</w:t>
            </w:r>
            <w:r>
              <w:rPr>
                <w:rFonts w:hint="default"/>
                <w:snapToGrid w:val="0"/>
                <w:highlight w:val="none"/>
                <w:lang w:val="en-US" w:eastAsia="zh-CN"/>
              </w:rPr>
              <w:t>侧</w:t>
            </w:r>
            <w:r>
              <w:rPr>
                <w:rFonts w:hint="eastAsia"/>
                <w:snapToGrid w:val="0"/>
                <w:highlight w:val="none"/>
                <w:lang w:val="en-US" w:eastAsia="zh-CN"/>
              </w:rPr>
              <w:t>刘家村</w:t>
            </w:r>
          </w:p>
        </w:tc>
        <w:tc>
          <w:tcPr>
            <w:tcW w:w="1781" w:type="dxa"/>
            <w:tcBorders>
              <w:tl2br w:val="nil"/>
              <w:tr2bl w:val="nil"/>
            </w:tcBorders>
            <w:shd w:val="clear" w:color="auto" w:fill="auto"/>
            <w:vAlign w:val="center"/>
          </w:tcPr>
          <w:p w14:paraId="113C09CC">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NE</w:t>
            </w:r>
            <w:r>
              <w:rPr>
                <w:rFonts w:hint="eastAsia"/>
                <w:snapToGrid w:val="0"/>
                <w:highlight w:val="none"/>
                <w:lang w:eastAsia="zh-CN"/>
              </w:rPr>
              <w:t>，</w:t>
            </w:r>
            <w:r>
              <w:rPr>
                <w:rFonts w:hint="eastAsia"/>
                <w:snapToGrid w:val="0"/>
                <w:highlight w:val="none"/>
                <w:lang w:val="en-US" w:eastAsia="zh-CN"/>
              </w:rPr>
              <w:t>29m</w:t>
            </w:r>
          </w:p>
        </w:tc>
        <w:tc>
          <w:tcPr>
            <w:tcW w:w="4301" w:type="dxa"/>
            <w:tcBorders>
              <w:tl2br w:val="nil"/>
              <w:tr2bl w:val="nil"/>
            </w:tcBorders>
            <w:shd w:val="clear" w:color="auto" w:fill="auto"/>
            <w:vAlign w:val="center"/>
          </w:tcPr>
          <w:p w14:paraId="3F478873">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rPr>
              <w:t>《土壤环境</w:t>
            </w:r>
            <w:r>
              <w:rPr>
                <w:rFonts w:hint="default" w:ascii="Times New Roman" w:hAnsi="Times New Roman" w:cs="Times New Roman"/>
                <w:snapToGrid w:val="0"/>
                <w:highlight w:val="none"/>
              </w:rPr>
              <w:t>质量建设用地土壤污染风险管控标准（试行）》</w:t>
            </w:r>
            <w:r>
              <w:rPr>
                <w:rFonts w:hint="default" w:ascii="Times New Roman" w:hAnsi="Times New Roman" w:cs="Times New Roman"/>
                <w:snapToGrid w:val="0"/>
                <w:sz w:val="21"/>
                <w:szCs w:val="21"/>
                <w:highlight w:val="none"/>
                <w:lang w:eastAsia="zh-CN"/>
              </w:rPr>
              <w:t>（</w:t>
            </w:r>
            <w:r>
              <w:rPr>
                <w:rFonts w:hint="default" w:ascii="Times New Roman" w:hAnsi="Times New Roman" w:cs="Times New Roman"/>
                <w:snapToGrid w:val="0"/>
                <w:sz w:val="21"/>
                <w:szCs w:val="21"/>
                <w:highlight w:val="none"/>
                <w:lang w:val="en-US" w:eastAsia="zh-CN"/>
              </w:rPr>
              <w:t>G</w:t>
            </w:r>
            <w:r>
              <w:rPr>
                <w:rFonts w:hint="default" w:ascii="Times New Roman" w:hAnsi="Times New Roman" w:cs="Times New Roman"/>
                <w:snapToGrid w:val="0"/>
                <w:highlight w:val="none"/>
              </w:rPr>
              <w:t>B36600-2018）表1中第</w:t>
            </w:r>
            <w:r>
              <w:rPr>
                <w:rFonts w:hint="eastAsia" w:cs="Times New Roman"/>
                <w:snapToGrid w:val="0"/>
                <w:highlight w:val="none"/>
                <w:lang w:val="en-US" w:eastAsia="zh-CN"/>
              </w:rPr>
              <w:t>一</w:t>
            </w:r>
            <w:r>
              <w:rPr>
                <w:rFonts w:hint="default" w:ascii="Times New Roman" w:hAnsi="Times New Roman" w:cs="Times New Roman"/>
                <w:snapToGrid w:val="0"/>
                <w:highlight w:val="none"/>
              </w:rPr>
              <w:t>类</w:t>
            </w:r>
            <w:r>
              <w:rPr>
                <w:rFonts w:hint="default" w:ascii="Times New Roman" w:hAnsi="Times New Roman" w:cs="Times New Roman"/>
                <w:snapToGrid w:val="0"/>
                <w:highlight w:val="none"/>
                <w:lang w:eastAsia="en-US"/>
              </w:rPr>
              <w:t>用地标准</w:t>
            </w:r>
            <w:r>
              <w:rPr>
                <w:rFonts w:hint="default"/>
                <w:snapToGrid w:val="0"/>
                <w:highlight w:val="none"/>
                <w:lang w:eastAsia="en-US"/>
              </w:rPr>
              <w:t>限值</w:t>
            </w:r>
          </w:p>
        </w:tc>
      </w:tr>
      <w:tr w14:paraId="02808F3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65" w:hRule="atLeast"/>
          <w:jc w:val="center"/>
        </w:trPr>
        <w:tc>
          <w:tcPr>
            <w:tcW w:w="974" w:type="dxa"/>
            <w:tcBorders>
              <w:tl2br w:val="nil"/>
              <w:tr2bl w:val="nil"/>
            </w:tcBorders>
            <w:shd w:val="clear" w:color="auto" w:fill="auto"/>
            <w:vAlign w:val="center"/>
          </w:tcPr>
          <w:p w14:paraId="4D082180">
            <w:pPr>
              <w:pStyle w:val="8"/>
              <w:suppressLineNumbers w:val="0"/>
              <w:bidi w:val="0"/>
              <w:spacing w:before="0" w:beforeAutospacing="0" w:after="0" w:afterAutospacing="0"/>
              <w:ind w:left="0" w:leftChars="0" w:right="0" w:rightChars="0" w:firstLine="0" w:firstLineChars="0"/>
              <w:rPr>
                <w:rFonts w:hint="default"/>
                <w:snapToGrid w:val="0"/>
                <w:highlight w:val="none"/>
                <w:lang w:eastAsia="en-US"/>
              </w:rPr>
            </w:pPr>
            <w:r>
              <w:rPr>
                <w:rFonts w:hint="default"/>
                <w:snapToGrid w:val="0"/>
                <w:highlight w:val="none"/>
                <w:lang w:eastAsia="en-US"/>
              </w:rPr>
              <w:t>地下水</w:t>
            </w:r>
          </w:p>
        </w:tc>
        <w:tc>
          <w:tcPr>
            <w:tcW w:w="1490" w:type="dxa"/>
            <w:tcBorders>
              <w:tl2br w:val="nil"/>
              <w:tr2bl w:val="nil"/>
            </w:tcBorders>
            <w:shd w:val="clear" w:color="auto" w:fill="auto"/>
            <w:vAlign w:val="center"/>
          </w:tcPr>
          <w:p w14:paraId="02F98404">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刘家村分散式饮用水井</w:t>
            </w:r>
          </w:p>
        </w:tc>
        <w:tc>
          <w:tcPr>
            <w:tcW w:w="1781" w:type="dxa"/>
            <w:tcBorders>
              <w:tl2br w:val="nil"/>
              <w:tr2bl w:val="nil"/>
            </w:tcBorders>
            <w:shd w:val="clear" w:color="auto" w:fill="auto"/>
            <w:vAlign w:val="center"/>
          </w:tcPr>
          <w:p w14:paraId="5E4124E8">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NE，290m</w:t>
            </w:r>
          </w:p>
        </w:tc>
        <w:tc>
          <w:tcPr>
            <w:tcW w:w="4301" w:type="dxa"/>
            <w:tcBorders>
              <w:tl2br w:val="nil"/>
              <w:tr2bl w:val="nil"/>
            </w:tcBorders>
            <w:shd w:val="clear" w:color="auto" w:fill="auto"/>
            <w:vAlign w:val="center"/>
          </w:tcPr>
          <w:p w14:paraId="0B3E44CF">
            <w:pPr>
              <w:pStyle w:val="8"/>
              <w:suppressLineNumbers w:val="0"/>
              <w:bidi w:val="0"/>
              <w:spacing w:before="0" w:beforeAutospacing="0" w:after="0" w:afterAutospacing="0"/>
              <w:ind w:left="0" w:leftChars="0" w:right="0" w:rightChars="0" w:firstLine="0" w:firstLineChars="0"/>
              <w:rPr>
                <w:rFonts w:hint="default"/>
                <w:snapToGrid w:val="0"/>
                <w:highlight w:val="none"/>
                <w:lang w:eastAsia="en-US"/>
              </w:rPr>
            </w:pPr>
            <w:r>
              <w:rPr>
                <w:rFonts w:hint="default"/>
                <w:snapToGrid w:val="0"/>
                <w:highlight w:val="none"/>
              </w:rPr>
              <w:t>《地下水质量标准》（GB/T14848-2017）Ⅲ类标准</w:t>
            </w:r>
          </w:p>
        </w:tc>
      </w:tr>
      <w:tr w14:paraId="1A2A264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67" w:hRule="atLeast"/>
          <w:jc w:val="center"/>
        </w:trPr>
        <w:tc>
          <w:tcPr>
            <w:tcW w:w="974" w:type="dxa"/>
            <w:tcBorders>
              <w:tl2br w:val="nil"/>
              <w:tr2bl w:val="nil"/>
            </w:tcBorders>
            <w:shd w:val="clear" w:color="auto" w:fill="auto"/>
            <w:vAlign w:val="center"/>
          </w:tcPr>
          <w:p w14:paraId="09DBF472">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环境风险</w:t>
            </w:r>
          </w:p>
        </w:tc>
        <w:tc>
          <w:tcPr>
            <w:tcW w:w="7572" w:type="dxa"/>
            <w:gridSpan w:val="3"/>
            <w:tcBorders>
              <w:tl2br w:val="nil"/>
              <w:tr2bl w:val="nil"/>
            </w:tcBorders>
            <w:shd w:val="clear" w:color="auto" w:fill="auto"/>
            <w:vAlign w:val="center"/>
          </w:tcPr>
          <w:p w14:paraId="1191612B">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本项目环境风险评价工作等级为简单分析，不需给出环境风险评价范围，且经现场调查，本项目周边所在区域不存在需要特别关注的环境敏感目标</w:t>
            </w:r>
          </w:p>
        </w:tc>
      </w:tr>
    </w:tbl>
    <w:p w14:paraId="3C43EF71">
      <w:pPr>
        <w:pStyle w:val="2"/>
        <w:bidi w:val="0"/>
        <w:rPr>
          <w:highlight w:val="none"/>
        </w:rPr>
        <w:sectPr>
          <w:headerReference r:id="rId13" w:type="default"/>
          <w:pgSz w:w="11906" w:h="16838"/>
          <w:pgMar w:top="1440" w:right="1800" w:bottom="1440" w:left="1800" w:header="851" w:footer="992" w:gutter="0"/>
          <w:pgBorders w:offsetFrom="page">
            <w:top w:val="none" w:sz="0" w:space="0"/>
            <w:left w:val="none" w:sz="0" w:space="0"/>
            <w:bottom w:val="none" w:sz="0" w:space="0"/>
            <w:right w:val="none" w:sz="0" w:space="0"/>
          </w:pgBorders>
          <w:cols w:space="425" w:num="1"/>
          <w:docGrid w:type="lines" w:linePitch="312" w:charSpace="0"/>
        </w:sectPr>
      </w:pPr>
      <w:bookmarkStart w:id="206" w:name="_Toc23021"/>
      <w:bookmarkStart w:id="207" w:name="_Toc26139"/>
      <w:bookmarkStart w:id="208" w:name="_Toc5507"/>
    </w:p>
    <w:p w14:paraId="394591CA">
      <w:pPr>
        <w:pStyle w:val="2"/>
        <w:bidi w:val="0"/>
        <w:rPr>
          <w:highlight w:val="none"/>
        </w:rPr>
      </w:pPr>
      <w:r>
        <w:rPr>
          <w:highlight w:val="none"/>
        </w:rPr>
        <w:t>3建设项目工程分析</w:t>
      </w:r>
      <w:bookmarkEnd w:id="206"/>
      <w:bookmarkEnd w:id="207"/>
      <w:bookmarkEnd w:id="208"/>
    </w:p>
    <w:p w14:paraId="1B4BFE08">
      <w:pPr>
        <w:pStyle w:val="3"/>
        <w:bidi w:val="0"/>
        <w:rPr>
          <w:highlight w:val="none"/>
        </w:rPr>
      </w:pPr>
      <w:bookmarkStart w:id="209" w:name="_Toc513985568"/>
      <w:bookmarkStart w:id="210" w:name="_Toc28060"/>
      <w:bookmarkStart w:id="211" w:name="_Toc15593"/>
      <w:bookmarkStart w:id="212" w:name="_Toc28692"/>
      <w:r>
        <w:rPr>
          <w:rFonts w:hint="eastAsia"/>
          <w:highlight w:val="none"/>
        </w:rPr>
        <w:t>3.1现有工程基本情况</w:t>
      </w:r>
      <w:bookmarkEnd w:id="209"/>
      <w:bookmarkEnd w:id="210"/>
    </w:p>
    <w:p w14:paraId="4035F6B0">
      <w:pPr>
        <w:pStyle w:val="4"/>
        <w:bidi w:val="0"/>
        <w:rPr>
          <w:highlight w:val="none"/>
        </w:rPr>
      </w:pPr>
      <w:bookmarkStart w:id="213" w:name="_Toc19371"/>
      <w:r>
        <w:rPr>
          <w:rFonts w:hint="eastAsia"/>
          <w:highlight w:val="none"/>
        </w:rPr>
        <w:t>3.1.1哈尔滨东安汽车发动机制造有限公司简介</w:t>
      </w:r>
      <w:bookmarkEnd w:id="213"/>
    </w:p>
    <w:p w14:paraId="08EDE56F">
      <w:pPr>
        <w:ind w:firstLine="480"/>
        <w:contextualSpacing/>
        <w:jc w:val="left"/>
        <w:rPr>
          <w:rFonts w:ascii="Times New Roman" w:hAnsi="Times New Roman"/>
          <w:snapToGrid w:val="0"/>
          <w:szCs w:val="22"/>
          <w:highlight w:val="none"/>
        </w:rPr>
      </w:pPr>
      <w:r>
        <w:rPr>
          <w:rFonts w:hint="eastAsia" w:ascii="Times New Roman" w:hAnsi="Times New Roman"/>
          <w:snapToGrid w:val="0"/>
          <w:szCs w:val="22"/>
          <w:highlight w:val="none"/>
        </w:rPr>
        <w:t>哈尔滨东安汽车发动机制造有限公司</w:t>
      </w:r>
      <w:r>
        <w:rPr>
          <w:rFonts w:ascii="Times New Roman" w:hAnsi="Times New Roman"/>
          <w:snapToGrid w:val="0"/>
          <w:szCs w:val="22"/>
          <w:highlight w:val="none"/>
        </w:rPr>
        <w:t>。DAE自2002年投产以来，取得了优良业绩。目前已发展壮大到拥有资产46亿元，职工人数1511余人的汽车发动机及变速器的专业化研发、制造、生产企业，其中研发与实验人员占公司人数的12.18%。截止到2017年在45家发动机生产企业中销量排名第27位。</w:t>
      </w:r>
    </w:p>
    <w:p w14:paraId="45B1E87E">
      <w:pPr>
        <w:ind w:firstLine="480"/>
        <w:contextualSpacing/>
        <w:jc w:val="left"/>
        <w:rPr>
          <w:rFonts w:ascii="Times New Roman" w:hAnsi="Times New Roman"/>
          <w:snapToGrid w:val="0"/>
          <w:szCs w:val="22"/>
          <w:highlight w:val="none"/>
        </w:rPr>
      </w:pPr>
      <w:r>
        <w:rPr>
          <w:rFonts w:ascii="Times New Roman" w:hAnsi="Times New Roman"/>
          <w:snapToGrid w:val="0"/>
          <w:szCs w:val="22"/>
          <w:highlight w:val="none"/>
        </w:rPr>
        <w:t>公司共设16个单位和职能部门，包括负责发动机、自动变速器、手动变速器产品设计研发、试验、工艺规划的</w:t>
      </w:r>
      <w:r>
        <w:rPr>
          <w:rFonts w:hint="eastAsia" w:ascii="Times New Roman" w:hAnsi="Times New Roman"/>
          <w:snapToGrid w:val="0"/>
          <w:szCs w:val="22"/>
          <w:highlight w:val="none"/>
        </w:rPr>
        <w:t>增程动力研究院</w:t>
      </w:r>
      <w:r>
        <w:rPr>
          <w:rFonts w:ascii="Times New Roman" w:hAnsi="Times New Roman"/>
          <w:snapToGrid w:val="0"/>
          <w:szCs w:val="22"/>
          <w:highlight w:val="none"/>
        </w:rPr>
        <w:t>，负责产品检验和质量控制技术的质量</w:t>
      </w:r>
      <w:r>
        <w:rPr>
          <w:rFonts w:hint="eastAsia" w:ascii="Times New Roman" w:hAnsi="Times New Roman"/>
          <w:snapToGrid w:val="0"/>
          <w:szCs w:val="22"/>
          <w:highlight w:val="none"/>
        </w:rPr>
        <w:t>管理部</w:t>
      </w:r>
      <w:r>
        <w:rPr>
          <w:rFonts w:ascii="Times New Roman" w:hAnsi="Times New Roman"/>
          <w:snapToGrid w:val="0"/>
          <w:szCs w:val="22"/>
          <w:highlight w:val="none"/>
        </w:rPr>
        <w:t>，负责产品市场推广和售后服务支持的市场销售部，负责产品生产制造的装试厂、机加厂、自动变速器厂及生产保障部、生产</w:t>
      </w:r>
      <w:r>
        <w:rPr>
          <w:rFonts w:hint="eastAsia" w:ascii="Times New Roman" w:hAnsi="Times New Roman"/>
          <w:snapToGrid w:val="0"/>
          <w:szCs w:val="22"/>
          <w:highlight w:val="none"/>
        </w:rPr>
        <w:t>管理</w:t>
      </w:r>
      <w:r>
        <w:rPr>
          <w:rFonts w:ascii="Times New Roman" w:hAnsi="Times New Roman"/>
          <w:snapToGrid w:val="0"/>
          <w:szCs w:val="22"/>
          <w:highlight w:val="none"/>
        </w:rPr>
        <w:t>部、</w:t>
      </w:r>
      <w:r>
        <w:rPr>
          <w:rFonts w:hint="eastAsia" w:ascii="Times New Roman" w:hAnsi="Times New Roman"/>
          <w:snapToGrid w:val="0"/>
          <w:szCs w:val="22"/>
          <w:highlight w:val="none"/>
        </w:rPr>
        <w:t>工艺技术</w:t>
      </w:r>
      <w:r>
        <w:rPr>
          <w:rFonts w:ascii="Times New Roman" w:hAnsi="Times New Roman"/>
          <w:snapToGrid w:val="0"/>
          <w:szCs w:val="22"/>
          <w:highlight w:val="none"/>
        </w:rPr>
        <w:t>部、采购供应部、财务会计部、人力资源部、综合管理部、</w:t>
      </w:r>
      <w:r>
        <w:rPr>
          <w:rFonts w:hint="eastAsia" w:ascii="Times New Roman" w:hAnsi="Times New Roman"/>
          <w:snapToGrid w:val="0"/>
          <w:szCs w:val="22"/>
          <w:highlight w:val="none"/>
        </w:rPr>
        <w:t>纪检部</w:t>
      </w:r>
      <w:r>
        <w:rPr>
          <w:rFonts w:ascii="Times New Roman" w:hAnsi="Times New Roman"/>
          <w:snapToGrid w:val="0"/>
          <w:szCs w:val="22"/>
          <w:highlight w:val="none"/>
        </w:rPr>
        <w:t>、</w:t>
      </w:r>
      <w:r>
        <w:rPr>
          <w:rFonts w:hint="eastAsia" w:ascii="Times New Roman" w:hAnsi="Times New Roman"/>
          <w:snapToGrid w:val="0"/>
          <w:szCs w:val="22"/>
          <w:highlight w:val="none"/>
        </w:rPr>
        <w:t>技安环保办等</w:t>
      </w:r>
      <w:r>
        <w:rPr>
          <w:rFonts w:ascii="Times New Roman" w:hAnsi="Times New Roman"/>
          <w:snapToGrid w:val="0"/>
          <w:szCs w:val="22"/>
          <w:highlight w:val="none"/>
        </w:rPr>
        <w:t>；员工总数</w:t>
      </w:r>
      <w:r>
        <w:rPr>
          <w:rFonts w:hint="eastAsia" w:ascii="Times New Roman" w:hAnsi="Times New Roman"/>
          <w:snapToGrid w:val="0"/>
          <w:szCs w:val="22"/>
          <w:highlight w:val="none"/>
        </w:rPr>
        <w:t>13</w:t>
      </w:r>
      <w:r>
        <w:rPr>
          <w:rFonts w:hint="eastAsia" w:ascii="Times New Roman" w:hAnsi="Times New Roman"/>
          <w:snapToGrid w:val="0"/>
          <w:szCs w:val="22"/>
          <w:highlight w:val="none"/>
          <w:lang w:val="en-US" w:eastAsia="zh-CN"/>
        </w:rPr>
        <w:t>26</w:t>
      </w:r>
      <w:r>
        <w:rPr>
          <w:rFonts w:ascii="Times New Roman" w:hAnsi="Times New Roman"/>
          <w:snapToGrid w:val="0"/>
          <w:szCs w:val="22"/>
          <w:highlight w:val="none"/>
        </w:rPr>
        <w:t>人。</w:t>
      </w:r>
    </w:p>
    <w:p w14:paraId="18D3A1E1">
      <w:pPr>
        <w:ind w:firstLine="480"/>
        <w:contextualSpacing/>
        <w:jc w:val="left"/>
        <w:rPr>
          <w:rFonts w:ascii="Times New Roman" w:hAnsi="Times New Roman"/>
          <w:snapToGrid w:val="0"/>
          <w:szCs w:val="22"/>
          <w:highlight w:val="none"/>
        </w:rPr>
      </w:pPr>
      <w:r>
        <w:rPr>
          <w:rFonts w:ascii="Times New Roman" w:hAnsi="Times New Roman"/>
          <w:snapToGrid w:val="0"/>
          <w:szCs w:val="22"/>
          <w:highlight w:val="none"/>
        </w:rPr>
        <w:t>公司占地面积274850平方米，建筑面积</w:t>
      </w:r>
      <w:r>
        <w:rPr>
          <w:rFonts w:hint="eastAsia" w:ascii="Times New Roman" w:hAnsi="Times New Roman"/>
          <w:snapToGrid w:val="0"/>
          <w:szCs w:val="22"/>
          <w:highlight w:val="none"/>
        </w:rPr>
        <w:t>174280</w:t>
      </w:r>
      <w:r>
        <w:rPr>
          <w:rFonts w:ascii="Times New Roman" w:hAnsi="Times New Roman"/>
          <w:snapToGrid w:val="0"/>
          <w:szCs w:val="22"/>
          <w:highlight w:val="none"/>
        </w:rPr>
        <w:t>平方米。</w:t>
      </w:r>
    </w:p>
    <w:p w14:paraId="3716DF31">
      <w:pPr>
        <w:pStyle w:val="4"/>
        <w:bidi w:val="0"/>
        <w:rPr>
          <w:rFonts w:hint="eastAsia"/>
          <w:highlight w:val="none"/>
          <w:lang w:val="en-US" w:eastAsia="zh-CN"/>
        </w:rPr>
      </w:pPr>
      <w:bookmarkStart w:id="214" w:name="_Toc4845"/>
      <w:r>
        <w:rPr>
          <w:rFonts w:hint="eastAsia"/>
          <w:highlight w:val="none"/>
          <w:lang w:val="en-US" w:eastAsia="zh-CN"/>
        </w:rPr>
        <w:t>3.1.2现有工程环评及验收情况</w:t>
      </w:r>
      <w:bookmarkEnd w:id="214"/>
    </w:p>
    <w:p w14:paraId="6A4DA761">
      <w:pPr>
        <w:ind w:firstLine="480"/>
        <w:contextualSpacing/>
        <w:jc w:val="left"/>
        <w:rPr>
          <w:rFonts w:ascii="Times New Roman" w:hAnsi="Times New Roman"/>
          <w:snapToGrid w:val="0"/>
          <w:szCs w:val="22"/>
          <w:highlight w:val="none"/>
        </w:rPr>
      </w:pPr>
      <w:r>
        <w:rPr>
          <w:rFonts w:hint="eastAsia" w:ascii="Times New Roman" w:hAnsi="Times New Roman"/>
          <w:snapToGrid w:val="0"/>
          <w:szCs w:val="22"/>
          <w:highlight w:val="none"/>
        </w:rPr>
        <w:t>现有工程主要环评及验收情况见表3-1-1。</w:t>
      </w:r>
    </w:p>
    <w:p w14:paraId="4C34ACE9">
      <w:pPr>
        <w:pStyle w:val="78"/>
        <w:spacing w:line="240" w:lineRule="auto"/>
        <w:ind w:firstLine="0" w:firstLineChars="0"/>
        <w:rPr>
          <w:rFonts w:ascii="Times New Roman" w:hAnsi="Times New Roman" w:cs="Times New Roman"/>
          <w:kern w:val="21"/>
          <w:sz w:val="21"/>
          <w:highlight w:val="none"/>
        </w:rPr>
      </w:pPr>
      <w:r>
        <w:rPr>
          <w:rFonts w:ascii="Times New Roman" w:hAnsi="Times New Roman" w:cs="Times New Roman"/>
          <w:kern w:val="21"/>
          <w:sz w:val="21"/>
          <w:highlight w:val="none"/>
        </w:rPr>
        <w:t>表3-1-1哈尔滨东安汽车发动机制造有限公司历年实施建设项目汇总表</w:t>
      </w:r>
    </w:p>
    <w:tbl>
      <w:tblPr>
        <w:tblStyle w:val="4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51"/>
        <w:gridCol w:w="3101"/>
        <w:gridCol w:w="905"/>
        <w:gridCol w:w="1817"/>
        <w:gridCol w:w="2148"/>
      </w:tblGrid>
      <w:tr w14:paraId="0EB5D4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1" w:type="dxa"/>
            <w:tcBorders>
              <w:tl2br w:val="nil"/>
              <w:tr2bl w:val="nil"/>
            </w:tcBorders>
            <w:shd w:val="clear" w:color="auto" w:fill="auto"/>
            <w:vAlign w:val="center"/>
          </w:tcPr>
          <w:p w14:paraId="1FBE6E8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bookmarkStart w:id="215" w:name="_Toc12683"/>
            <w:r>
              <w:rPr>
                <w:rFonts w:hint="eastAsia" w:ascii="Times New Roman" w:hAnsi="Times New Roman" w:cs="Times New Roman" w:eastAsiaTheme="minorEastAsia"/>
                <w:sz w:val="21"/>
                <w:szCs w:val="21"/>
                <w:highlight w:val="none"/>
                <w:vertAlign w:val="baseline"/>
                <w:lang w:val="en-US" w:eastAsia="zh-CN"/>
              </w:rPr>
              <w:t>序号</w:t>
            </w:r>
          </w:p>
        </w:tc>
        <w:tc>
          <w:tcPr>
            <w:tcW w:w="3215" w:type="dxa"/>
            <w:tcBorders>
              <w:tl2br w:val="nil"/>
              <w:tr2bl w:val="nil"/>
            </w:tcBorders>
            <w:shd w:val="clear" w:color="auto" w:fill="auto"/>
            <w:vAlign w:val="center"/>
          </w:tcPr>
          <w:p w14:paraId="1604D95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项目名称</w:t>
            </w:r>
          </w:p>
        </w:tc>
        <w:tc>
          <w:tcPr>
            <w:tcW w:w="1442" w:type="dxa"/>
            <w:tcBorders>
              <w:tl2br w:val="nil"/>
              <w:tr2bl w:val="nil"/>
            </w:tcBorders>
            <w:shd w:val="clear" w:color="auto" w:fill="auto"/>
            <w:vAlign w:val="center"/>
          </w:tcPr>
          <w:p w14:paraId="761A4FB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环评批复时间</w:t>
            </w:r>
          </w:p>
        </w:tc>
        <w:tc>
          <w:tcPr>
            <w:tcW w:w="2034" w:type="dxa"/>
            <w:tcBorders>
              <w:tl2br w:val="nil"/>
              <w:tr2bl w:val="nil"/>
            </w:tcBorders>
            <w:shd w:val="clear" w:color="auto" w:fill="auto"/>
            <w:vAlign w:val="center"/>
          </w:tcPr>
          <w:p w14:paraId="504F5A8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环评批复文号</w:t>
            </w:r>
          </w:p>
        </w:tc>
        <w:tc>
          <w:tcPr>
            <w:tcW w:w="2361" w:type="dxa"/>
            <w:tcBorders>
              <w:tl2br w:val="nil"/>
              <w:tr2bl w:val="nil"/>
            </w:tcBorders>
            <w:shd w:val="clear" w:color="auto" w:fill="auto"/>
            <w:vAlign w:val="center"/>
          </w:tcPr>
          <w:p w14:paraId="2F502A9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验收情况</w:t>
            </w:r>
          </w:p>
        </w:tc>
      </w:tr>
      <w:tr w14:paraId="03C4BC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1" w:type="dxa"/>
            <w:vMerge w:val="restart"/>
            <w:tcBorders>
              <w:tl2br w:val="nil"/>
              <w:tr2bl w:val="nil"/>
            </w:tcBorders>
            <w:shd w:val="clear" w:color="auto" w:fill="auto"/>
            <w:vAlign w:val="center"/>
          </w:tcPr>
          <w:p w14:paraId="08FC6FB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p>
          <w:p w14:paraId="7558FE6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p>
          <w:p w14:paraId="7F7E8BA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1</w:t>
            </w:r>
          </w:p>
        </w:tc>
        <w:tc>
          <w:tcPr>
            <w:tcW w:w="3215" w:type="dxa"/>
            <w:vMerge w:val="restart"/>
            <w:tcBorders>
              <w:tl2br w:val="nil"/>
              <w:tr2bl w:val="nil"/>
            </w:tcBorders>
            <w:shd w:val="clear" w:color="auto" w:fill="auto"/>
            <w:vAlign w:val="center"/>
          </w:tcPr>
          <w:p w14:paraId="5D7F812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p>
          <w:p w14:paraId="6EE898F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4G1型系列汽车发动机生产线项目</w:t>
            </w:r>
          </w:p>
        </w:tc>
        <w:tc>
          <w:tcPr>
            <w:tcW w:w="1442" w:type="dxa"/>
            <w:vMerge w:val="restart"/>
            <w:tcBorders>
              <w:tl2br w:val="nil"/>
              <w:tr2bl w:val="nil"/>
            </w:tcBorders>
            <w:shd w:val="clear" w:color="auto" w:fill="auto"/>
            <w:vAlign w:val="center"/>
          </w:tcPr>
          <w:p w14:paraId="3D6A2E4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p>
          <w:p w14:paraId="653F740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1996.3.14</w:t>
            </w:r>
          </w:p>
        </w:tc>
        <w:tc>
          <w:tcPr>
            <w:tcW w:w="2034" w:type="dxa"/>
            <w:tcBorders>
              <w:tl2br w:val="nil"/>
              <w:tr2bl w:val="nil"/>
            </w:tcBorders>
            <w:shd w:val="clear" w:color="auto" w:fill="auto"/>
            <w:vAlign w:val="center"/>
          </w:tcPr>
          <w:p w14:paraId="715C367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黑环监字[1996]9号</w:t>
            </w:r>
          </w:p>
        </w:tc>
        <w:tc>
          <w:tcPr>
            <w:tcW w:w="2361" w:type="dxa"/>
            <w:tcBorders>
              <w:tl2br w:val="nil"/>
              <w:tr2bl w:val="nil"/>
            </w:tcBorders>
            <w:shd w:val="clear" w:color="auto" w:fill="auto"/>
            <w:vAlign w:val="center"/>
          </w:tcPr>
          <w:p w14:paraId="051AD8E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黑环函[2004]47号</w:t>
            </w:r>
          </w:p>
        </w:tc>
      </w:tr>
      <w:tr w14:paraId="6FA60A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1" w:type="dxa"/>
            <w:vMerge w:val="continue"/>
            <w:tcBorders>
              <w:tl2br w:val="nil"/>
              <w:tr2bl w:val="nil"/>
            </w:tcBorders>
            <w:vAlign w:val="center"/>
          </w:tcPr>
          <w:p w14:paraId="750F1C4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p>
        </w:tc>
        <w:tc>
          <w:tcPr>
            <w:tcW w:w="3215" w:type="dxa"/>
            <w:vMerge w:val="continue"/>
            <w:tcBorders>
              <w:tl2br w:val="nil"/>
              <w:tr2bl w:val="nil"/>
            </w:tcBorders>
            <w:vAlign w:val="center"/>
          </w:tcPr>
          <w:p w14:paraId="70212BF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p>
        </w:tc>
        <w:tc>
          <w:tcPr>
            <w:tcW w:w="1442" w:type="dxa"/>
            <w:vMerge w:val="continue"/>
            <w:tcBorders>
              <w:tl2br w:val="nil"/>
              <w:tr2bl w:val="nil"/>
            </w:tcBorders>
            <w:vAlign w:val="center"/>
          </w:tcPr>
          <w:p w14:paraId="11B65EE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p>
        </w:tc>
        <w:tc>
          <w:tcPr>
            <w:tcW w:w="2034" w:type="dxa"/>
            <w:tcBorders>
              <w:tl2br w:val="nil"/>
              <w:tr2bl w:val="nil"/>
            </w:tcBorders>
            <w:shd w:val="clear" w:color="auto" w:fill="auto"/>
            <w:vAlign w:val="center"/>
          </w:tcPr>
          <w:p w14:paraId="016460C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840" w:right="0" w:hanging="840" w:hangingChars="40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环监[1996]266号</w:t>
            </w:r>
          </w:p>
        </w:tc>
        <w:tc>
          <w:tcPr>
            <w:tcW w:w="2361" w:type="dxa"/>
            <w:tcBorders>
              <w:tl2br w:val="nil"/>
              <w:tr2bl w:val="nil"/>
            </w:tcBorders>
            <w:shd w:val="clear" w:color="auto" w:fill="auto"/>
            <w:vAlign w:val="center"/>
          </w:tcPr>
          <w:p w14:paraId="54A84EC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总站环监字[2003]第063号</w:t>
            </w:r>
          </w:p>
        </w:tc>
      </w:tr>
      <w:tr w14:paraId="794DFC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1" w:type="dxa"/>
            <w:tcBorders>
              <w:tl2br w:val="nil"/>
              <w:tr2bl w:val="nil"/>
            </w:tcBorders>
            <w:shd w:val="clear" w:color="auto" w:fill="auto"/>
            <w:vAlign w:val="center"/>
          </w:tcPr>
          <w:p w14:paraId="6DA95E4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2</w:t>
            </w:r>
          </w:p>
        </w:tc>
        <w:tc>
          <w:tcPr>
            <w:tcW w:w="3215" w:type="dxa"/>
            <w:tcBorders>
              <w:tl2br w:val="nil"/>
              <w:tr2bl w:val="nil"/>
            </w:tcBorders>
            <w:shd w:val="clear" w:color="auto" w:fill="auto"/>
            <w:vAlign w:val="center"/>
          </w:tcPr>
          <w:p w14:paraId="3D16479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4G9发动机装配生产线技术改造项目</w:t>
            </w:r>
          </w:p>
        </w:tc>
        <w:tc>
          <w:tcPr>
            <w:tcW w:w="1442" w:type="dxa"/>
            <w:tcBorders>
              <w:tl2br w:val="nil"/>
              <w:tr2bl w:val="nil"/>
            </w:tcBorders>
            <w:shd w:val="clear" w:color="auto" w:fill="auto"/>
            <w:vAlign w:val="center"/>
          </w:tcPr>
          <w:p w14:paraId="68A0F87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2004.4.28</w:t>
            </w:r>
          </w:p>
        </w:tc>
        <w:tc>
          <w:tcPr>
            <w:tcW w:w="2034" w:type="dxa"/>
            <w:tcBorders>
              <w:tl2br w:val="nil"/>
              <w:tr2bl w:val="nil"/>
            </w:tcBorders>
            <w:shd w:val="clear" w:color="auto" w:fill="auto"/>
            <w:vAlign w:val="center"/>
          </w:tcPr>
          <w:p w14:paraId="395FA43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黑环建审</w:t>
            </w:r>
          </w:p>
          <w:p w14:paraId="3DCA039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[2004]33号</w:t>
            </w:r>
          </w:p>
        </w:tc>
        <w:tc>
          <w:tcPr>
            <w:tcW w:w="2361" w:type="dxa"/>
            <w:tcBorders>
              <w:tl2br w:val="nil"/>
              <w:tr2bl w:val="nil"/>
            </w:tcBorders>
            <w:shd w:val="clear" w:color="auto" w:fill="auto"/>
            <w:vAlign w:val="center"/>
          </w:tcPr>
          <w:p w14:paraId="3A40A19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通过验收；</w:t>
            </w:r>
          </w:p>
          <w:p w14:paraId="1924E21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黑环验[2006]第26号</w:t>
            </w:r>
          </w:p>
        </w:tc>
      </w:tr>
      <w:tr w14:paraId="5E07D3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1" w:type="dxa"/>
            <w:tcBorders>
              <w:tl2br w:val="nil"/>
              <w:tr2bl w:val="nil"/>
            </w:tcBorders>
            <w:shd w:val="clear" w:color="auto" w:fill="auto"/>
            <w:vAlign w:val="center"/>
          </w:tcPr>
          <w:p w14:paraId="39696E0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3</w:t>
            </w:r>
          </w:p>
        </w:tc>
        <w:tc>
          <w:tcPr>
            <w:tcW w:w="3215" w:type="dxa"/>
            <w:tcBorders>
              <w:tl2br w:val="nil"/>
              <w:tr2bl w:val="nil"/>
            </w:tcBorders>
            <w:shd w:val="clear" w:color="auto" w:fill="auto"/>
            <w:vAlign w:val="center"/>
          </w:tcPr>
          <w:p w14:paraId="2206451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4G9发动机热试线技术改造项目</w:t>
            </w:r>
          </w:p>
        </w:tc>
        <w:tc>
          <w:tcPr>
            <w:tcW w:w="1442" w:type="dxa"/>
            <w:tcBorders>
              <w:tl2br w:val="nil"/>
              <w:tr2bl w:val="nil"/>
            </w:tcBorders>
            <w:shd w:val="clear" w:color="auto" w:fill="auto"/>
            <w:vAlign w:val="center"/>
          </w:tcPr>
          <w:p w14:paraId="6FC2EA2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2004.4.28</w:t>
            </w:r>
          </w:p>
        </w:tc>
        <w:tc>
          <w:tcPr>
            <w:tcW w:w="2034" w:type="dxa"/>
            <w:tcBorders>
              <w:tl2br w:val="nil"/>
              <w:tr2bl w:val="nil"/>
            </w:tcBorders>
            <w:shd w:val="clear" w:color="auto" w:fill="auto"/>
            <w:vAlign w:val="center"/>
          </w:tcPr>
          <w:p w14:paraId="7758817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黑环建审</w:t>
            </w:r>
          </w:p>
          <w:p w14:paraId="731EFE6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[2004]34号</w:t>
            </w:r>
          </w:p>
        </w:tc>
        <w:tc>
          <w:tcPr>
            <w:tcW w:w="2361" w:type="dxa"/>
            <w:tcBorders>
              <w:tl2br w:val="nil"/>
              <w:tr2bl w:val="nil"/>
            </w:tcBorders>
            <w:shd w:val="clear" w:color="auto" w:fill="auto"/>
            <w:vAlign w:val="center"/>
          </w:tcPr>
          <w:p w14:paraId="06D83AA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通过验收；</w:t>
            </w:r>
          </w:p>
          <w:p w14:paraId="49BECFC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黑环验[2006]第30号</w:t>
            </w:r>
          </w:p>
        </w:tc>
      </w:tr>
      <w:tr w14:paraId="0674AE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1" w:type="dxa"/>
            <w:tcBorders>
              <w:tl2br w:val="nil"/>
              <w:tr2bl w:val="nil"/>
            </w:tcBorders>
            <w:shd w:val="clear" w:color="auto" w:fill="auto"/>
            <w:vAlign w:val="center"/>
          </w:tcPr>
          <w:p w14:paraId="1C2D8E3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4</w:t>
            </w:r>
          </w:p>
        </w:tc>
        <w:tc>
          <w:tcPr>
            <w:tcW w:w="3215" w:type="dxa"/>
            <w:tcBorders>
              <w:tl2br w:val="nil"/>
              <w:tr2bl w:val="nil"/>
            </w:tcBorders>
            <w:shd w:val="clear" w:color="auto" w:fill="auto"/>
            <w:vAlign w:val="center"/>
          </w:tcPr>
          <w:p w14:paraId="4833FB8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4G9发动机机加线技术改造项目</w:t>
            </w:r>
          </w:p>
        </w:tc>
        <w:tc>
          <w:tcPr>
            <w:tcW w:w="1442" w:type="dxa"/>
            <w:tcBorders>
              <w:tl2br w:val="nil"/>
              <w:tr2bl w:val="nil"/>
            </w:tcBorders>
            <w:shd w:val="clear" w:color="auto" w:fill="auto"/>
            <w:vAlign w:val="center"/>
          </w:tcPr>
          <w:p w14:paraId="6127EEF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2007.9.29</w:t>
            </w:r>
          </w:p>
        </w:tc>
        <w:tc>
          <w:tcPr>
            <w:tcW w:w="2034" w:type="dxa"/>
            <w:tcBorders>
              <w:tl2br w:val="nil"/>
              <w:tr2bl w:val="nil"/>
            </w:tcBorders>
            <w:shd w:val="clear" w:color="auto" w:fill="auto"/>
            <w:vAlign w:val="center"/>
          </w:tcPr>
          <w:p w14:paraId="7BE11C5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黑环建审</w:t>
            </w:r>
          </w:p>
          <w:p w14:paraId="405EE70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[2007]131号</w:t>
            </w:r>
          </w:p>
        </w:tc>
        <w:tc>
          <w:tcPr>
            <w:tcW w:w="2361" w:type="dxa"/>
            <w:tcBorders>
              <w:tl2br w:val="nil"/>
              <w:tr2bl w:val="nil"/>
            </w:tcBorders>
            <w:shd w:val="clear" w:color="auto" w:fill="auto"/>
            <w:vAlign w:val="center"/>
          </w:tcPr>
          <w:p w14:paraId="1BE322C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通过验收；</w:t>
            </w:r>
          </w:p>
          <w:p w14:paraId="23A8A3A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黑环验[2008]53号</w:t>
            </w:r>
          </w:p>
        </w:tc>
      </w:tr>
      <w:tr w14:paraId="32CA31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tcBorders>
              <w:tl2br w:val="nil"/>
              <w:tr2bl w:val="nil"/>
            </w:tcBorders>
            <w:shd w:val="clear" w:color="auto" w:fill="auto"/>
            <w:vAlign w:val="center"/>
          </w:tcPr>
          <w:p w14:paraId="32818DE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5</w:t>
            </w:r>
          </w:p>
        </w:tc>
        <w:tc>
          <w:tcPr>
            <w:tcW w:w="0" w:type="auto"/>
            <w:tcBorders>
              <w:tl2br w:val="nil"/>
              <w:tr2bl w:val="nil"/>
            </w:tcBorders>
            <w:shd w:val="clear" w:color="auto" w:fill="auto"/>
            <w:vAlign w:val="center"/>
          </w:tcPr>
          <w:p w14:paraId="7791C9B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4G15MIVEC发动机生产线技术改造项目</w:t>
            </w:r>
          </w:p>
        </w:tc>
        <w:tc>
          <w:tcPr>
            <w:tcW w:w="0" w:type="auto"/>
            <w:tcBorders>
              <w:tl2br w:val="nil"/>
              <w:tr2bl w:val="nil"/>
            </w:tcBorders>
            <w:shd w:val="clear" w:color="auto" w:fill="auto"/>
            <w:vAlign w:val="center"/>
          </w:tcPr>
          <w:p w14:paraId="01762CC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2008.1.17</w:t>
            </w:r>
          </w:p>
        </w:tc>
        <w:tc>
          <w:tcPr>
            <w:tcW w:w="0" w:type="auto"/>
            <w:tcBorders>
              <w:tl2br w:val="nil"/>
              <w:tr2bl w:val="nil"/>
            </w:tcBorders>
            <w:shd w:val="clear" w:color="auto" w:fill="auto"/>
            <w:vAlign w:val="center"/>
          </w:tcPr>
          <w:p w14:paraId="6F3FD91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黑环建审</w:t>
            </w:r>
          </w:p>
          <w:p w14:paraId="629FEA6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[2008]05号</w:t>
            </w:r>
          </w:p>
        </w:tc>
        <w:tc>
          <w:tcPr>
            <w:tcW w:w="0" w:type="auto"/>
            <w:tcBorders>
              <w:tl2br w:val="nil"/>
              <w:tr2bl w:val="nil"/>
            </w:tcBorders>
            <w:shd w:val="clear" w:color="auto" w:fill="auto"/>
            <w:vAlign w:val="center"/>
          </w:tcPr>
          <w:p w14:paraId="3724E9D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通过验收；</w:t>
            </w:r>
          </w:p>
          <w:p w14:paraId="23B8290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黑环验[2012]134号</w:t>
            </w:r>
          </w:p>
        </w:tc>
      </w:tr>
      <w:tr w14:paraId="66C254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tcBorders>
              <w:tl2br w:val="nil"/>
              <w:tr2bl w:val="nil"/>
            </w:tcBorders>
            <w:shd w:val="clear" w:color="auto" w:fill="auto"/>
            <w:vAlign w:val="center"/>
          </w:tcPr>
          <w:p w14:paraId="6A3FFA5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6</w:t>
            </w:r>
          </w:p>
        </w:tc>
        <w:tc>
          <w:tcPr>
            <w:tcW w:w="0" w:type="auto"/>
            <w:tcBorders>
              <w:tl2br w:val="nil"/>
              <w:tr2bl w:val="nil"/>
            </w:tcBorders>
            <w:shd w:val="clear" w:color="auto" w:fill="auto"/>
            <w:vAlign w:val="center"/>
          </w:tcPr>
          <w:p w14:paraId="73A6380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自动变速器项目</w:t>
            </w:r>
          </w:p>
        </w:tc>
        <w:tc>
          <w:tcPr>
            <w:tcW w:w="0" w:type="auto"/>
            <w:tcBorders>
              <w:tl2br w:val="nil"/>
              <w:tr2bl w:val="nil"/>
            </w:tcBorders>
            <w:shd w:val="clear" w:color="auto" w:fill="auto"/>
            <w:vAlign w:val="center"/>
          </w:tcPr>
          <w:p w14:paraId="4EF0F84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2008.4.15</w:t>
            </w:r>
          </w:p>
        </w:tc>
        <w:tc>
          <w:tcPr>
            <w:tcW w:w="0" w:type="auto"/>
            <w:tcBorders>
              <w:tl2br w:val="nil"/>
              <w:tr2bl w:val="nil"/>
            </w:tcBorders>
            <w:shd w:val="clear" w:color="auto" w:fill="auto"/>
            <w:vAlign w:val="center"/>
          </w:tcPr>
          <w:p w14:paraId="4B1E2FD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黑环建审</w:t>
            </w:r>
          </w:p>
          <w:p w14:paraId="2DABEE0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[2008]53号</w:t>
            </w:r>
          </w:p>
        </w:tc>
        <w:tc>
          <w:tcPr>
            <w:tcW w:w="0" w:type="auto"/>
            <w:tcBorders>
              <w:tl2br w:val="nil"/>
              <w:tr2bl w:val="nil"/>
            </w:tcBorders>
            <w:shd w:val="clear" w:color="auto" w:fill="auto"/>
            <w:vAlign w:val="center"/>
          </w:tcPr>
          <w:p w14:paraId="5C80C38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通过验收；</w:t>
            </w:r>
          </w:p>
          <w:p w14:paraId="21EAB73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黑环验[2012]133号</w:t>
            </w:r>
          </w:p>
        </w:tc>
      </w:tr>
      <w:tr w14:paraId="4776E0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tcBorders>
              <w:tl2br w:val="nil"/>
              <w:tr2bl w:val="nil"/>
            </w:tcBorders>
            <w:shd w:val="clear" w:color="auto" w:fill="auto"/>
            <w:vAlign w:val="center"/>
          </w:tcPr>
          <w:p w14:paraId="5098271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7</w:t>
            </w:r>
          </w:p>
        </w:tc>
        <w:tc>
          <w:tcPr>
            <w:tcW w:w="0" w:type="auto"/>
            <w:tcBorders>
              <w:tl2br w:val="nil"/>
              <w:tr2bl w:val="nil"/>
            </w:tcBorders>
            <w:shd w:val="clear" w:color="auto" w:fill="auto"/>
            <w:vAlign w:val="center"/>
          </w:tcPr>
          <w:p w14:paraId="19BE1AB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D系列发动机一期项目</w:t>
            </w:r>
          </w:p>
        </w:tc>
        <w:tc>
          <w:tcPr>
            <w:tcW w:w="0" w:type="auto"/>
            <w:tcBorders>
              <w:tl2br w:val="nil"/>
              <w:tr2bl w:val="nil"/>
            </w:tcBorders>
            <w:shd w:val="clear" w:color="auto" w:fill="auto"/>
            <w:vAlign w:val="center"/>
          </w:tcPr>
          <w:p w14:paraId="4BA5ACC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2016.7.12</w:t>
            </w:r>
          </w:p>
        </w:tc>
        <w:tc>
          <w:tcPr>
            <w:tcW w:w="0" w:type="auto"/>
            <w:tcBorders>
              <w:tl2br w:val="nil"/>
              <w:tr2bl w:val="nil"/>
            </w:tcBorders>
            <w:shd w:val="clear" w:color="auto" w:fill="auto"/>
            <w:vAlign w:val="center"/>
          </w:tcPr>
          <w:p w14:paraId="34D59E8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哈环经审表[2016]43号</w:t>
            </w:r>
          </w:p>
        </w:tc>
        <w:tc>
          <w:tcPr>
            <w:tcW w:w="0" w:type="auto"/>
            <w:tcBorders>
              <w:tl2br w:val="nil"/>
              <w:tr2bl w:val="nil"/>
            </w:tcBorders>
            <w:shd w:val="clear" w:color="auto" w:fill="auto"/>
            <w:vAlign w:val="center"/>
          </w:tcPr>
          <w:p w14:paraId="0AE0026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通过验收；</w:t>
            </w:r>
          </w:p>
          <w:p w14:paraId="4AD2E98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哈环经审验[2016]48号</w:t>
            </w:r>
          </w:p>
        </w:tc>
      </w:tr>
      <w:tr w14:paraId="780124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tcBorders>
              <w:tl2br w:val="nil"/>
              <w:tr2bl w:val="nil"/>
            </w:tcBorders>
            <w:shd w:val="clear" w:color="auto" w:fill="auto"/>
            <w:vAlign w:val="center"/>
          </w:tcPr>
          <w:p w14:paraId="3876F99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8</w:t>
            </w:r>
          </w:p>
        </w:tc>
        <w:tc>
          <w:tcPr>
            <w:tcW w:w="0" w:type="auto"/>
            <w:tcBorders>
              <w:tl2br w:val="nil"/>
              <w:tr2bl w:val="nil"/>
            </w:tcBorders>
            <w:shd w:val="clear" w:color="auto" w:fill="auto"/>
            <w:vAlign w:val="center"/>
          </w:tcPr>
          <w:p w14:paraId="03E7E93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4G15M2项目</w:t>
            </w:r>
          </w:p>
        </w:tc>
        <w:tc>
          <w:tcPr>
            <w:tcW w:w="0" w:type="auto"/>
            <w:tcBorders>
              <w:tl2br w:val="nil"/>
              <w:tr2bl w:val="nil"/>
            </w:tcBorders>
            <w:shd w:val="clear" w:color="auto" w:fill="auto"/>
            <w:vAlign w:val="center"/>
          </w:tcPr>
          <w:p w14:paraId="2156764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2016.7.13</w:t>
            </w:r>
          </w:p>
        </w:tc>
        <w:tc>
          <w:tcPr>
            <w:tcW w:w="0" w:type="auto"/>
            <w:tcBorders>
              <w:tl2br w:val="nil"/>
              <w:tr2bl w:val="nil"/>
            </w:tcBorders>
            <w:shd w:val="clear" w:color="auto" w:fill="auto"/>
            <w:vAlign w:val="center"/>
          </w:tcPr>
          <w:p w14:paraId="784A5D0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哈环经审表[2016]45号</w:t>
            </w:r>
          </w:p>
        </w:tc>
        <w:tc>
          <w:tcPr>
            <w:tcW w:w="0" w:type="auto"/>
            <w:tcBorders>
              <w:tl2br w:val="nil"/>
              <w:tr2bl w:val="nil"/>
            </w:tcBorders>
            <w:shd w:val="clear" w:color="auto" w:fill="auto"/>
            <w:vAlign w:val="center"/>
          </w:tcPr>
          <w:p w14:paraId="515F4B2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通过验收；</w:t>
            </w:r>
          </w:p>
          <w:p w14:paraId="4A444D0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哈环经审验[2017]14号</w:t>
            </w:r>
          </w:p>
        </w:tc>
      </w:tr>
      <w:tr w14:paraId="78557B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tcBorders>
              <w:tl2br w:val="nil"/>
              <w:tr2bl w:val="nil"/>
            </w:tcBorders>
            <w:shd w:val="clear" w:color="auto" w:fill="auto"/>
            <w:vAlign w:val="center"/>
          </w:tcPr>
          <w:p w14:paraId="224D009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9</w:t>
            </w:r>
          </w:p>
        </w:tc>
        <w:tc>
          <w:tcPr>
            <w:tcW w:w="0" w:type="auto"/>
            <w:tcBorders>
              <w:tl2br w:val="nil"/>
              <w:tr2bl w:val="nil"/>
            </w:tcBorders>
            <w:shd w:val="clear" w:color="auto" w:fill="auto"/>
            <w:vAlign w:val="center"/>
          </w:tcPr>
          <w:p w14:paraId="143C6E2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D系列发动机扩能项目</w:t>
            </w:r>
          </w:p>
        </w:tc>
        <w:tc>
          <w:tcPr>
            <w:tcW w:w="0" w:type="auto"/>
            <w:tcBorders>
              <w:tl2br w:val="nil"/>
              <w:tr2bl w:val="nil"/>
            </w:tcBorders>
            <w:shd w:val="clear" w:color="auto" w:fill="auto"/>
            <w:vAlign w:val="center"/>
          </w:tcPr>
          <w:p w14:paraId="4165A11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2016.12.28</w:t>
            </w:r>
          </w:p>
        </w:tc>
        <w:tc>
          <w:tcPr>
            <w:tcW w:w="0" w:type="auto"/>
            <w:tcBorders>
              <w:tl2br w:val="nil"/>
              <w:tr2bl w:val="nil"/>
            </w:tcBorders>
            <w:shd w:val="clear" w:color="auto" w:fill="auto"/>
            <w:vAlign w:val="center"/>
          </w:tcPr>
          <w:p w14:paraId="2AD71E7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哈环经审表[2016]72号</w:t>
            </w:r>
          </w:p>
        </w:tc>
        <w:tc>
          <w:tcPr>
            <w:tcW w:w="0" w:type="auto"/>
            <w:tcBorders>
              <w:tl2br w:val="nil"/>
              <w:tr2bl w:val="nil"/>
            </w:tcBorders>
            <w:shd w:val="clear" w:color="auto" w:fill="auto"/>
            <w:vAlign w:val="center"/>
          </w:tcPr>
          <w:p w14:paraId="5F44175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通过验收；</w:t>
            </w:r>
          </w:p>
          <w:p w14:paraId="23751B5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哈环经审验[2017]16号</w:t>
            </w:r>
          </w:p>
        </w:tc>
      </w:tr>
      <w:tr w14:paraId="269C40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tcBorders>
              <w:tl2br w:val="nil"/>
              <w:tr2bl w:val="nil"/>
            </w:tcBorders>
            <w:shd w:val="clear" w:color="auto" w:fill="auto"/>
            <w:vAlign w:val="center"/>
          </w:tcPr>
          <w:p w14:paraId="0B8944A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10</w:t>
            </w:r>
          </w:p>
        </w:tc>
        <w:tc>
          <w:tcPr>
            <w:tcW w:w="0" w:type="auto"/>
            <w:tcBorders>
              <w:tl2br w:val="nil"/>
              <w:tr2bl w:val="nil"/>
            </w:tcBorders>
            <w:shd w:val="clear" w:color="auto" w:fill="auto"/>
            <w:vAlign w:val="center"/>
          </w:tcPr>
          <w:p w14:paraId="4008D8D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6AT项目</w:t>
            </w:r>
          </w:p>
        </w:tc>
        <w:tc>
          <w:tcPr>
            <w:tcW w:w="0" w:type="auto"/>
            <w:tcBorders>
              <w:tl2br w:val="nil"/>
              <w:tr2bl w:val="nil"/>
            </w:tcBorders>
            <w:shd w:val="clear" w:color="auto" w:fill="auto"/>
            <w:vAlign w:val="center"/>
          </w:tcPr>
          <w:p w14:paraId="69D5CB5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2017.10.17</w:t>
            </w:r>
          </w:p>
        </w:tc>
        <w:tc>
          <w:tcPr>
            <w:tcW w:w="0" w:type="auto"/>
            <w:tcBorders>
              <w:tl2br w:val="nil"/>
              <w:tr2bl w:val="nil"/>
            </w:tcBorders>
            <w:shd w:val="clear" w:color="auto" w:fill="auto"/>
            <w:vAlign w:val="center"/>
          </w:tcPr>
          <w:p w14:paraId="18E37E4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哈环经审表[2017]36号</w:t>
            </w:r>
          </w:p>
        </w:tc>
        <w:tc>
          <w:tcPr>
            <w:tcW w:w="0" w:type="auto"/>
            <w:tcBorders>
              <w:tl2br w:val="nil"/>
              <w:tr2bl w:val="nil"/>
            </w:tcBorders>
            <w:shd w:val="clear" w:color="auto" w:fill="auto"/>
            <w:vAlign w:val="center"/>
          </w:tcPr>
          <w:p w14:paraId="463ABD2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通过验收；</w:t>
            </w:r>
          </w:p>
          <w:p w14:paraId="1807771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哈环经审验[2018]14号</w:t>
            </w:r>
          </w:p>
        </w:tc>
      </w:tr>
      <w:tr w14:paraId="0D976D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tcBorders>
              <w:tl2br w:val="nil"/>
              <w:tr2bl w:val="nil"/>
            </w:tcBorders>
            <w:shd w:val="clear" w:color="auto" w:fill="auto"/>
            <w:vAlign w:val="center"/>
          </w:tcPr>
          <w:p w14:paraId="3268C5C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11</w:t>
            </w:r>
          </w:p>
        </w:tc>
        <w:tc>
          <w:tcPr>
            <w:tcW w:w="0" w:type="auto"/>
            <w:tcBorders>
              <w:tl2br w:val="nil"/>
              <w:tr2bl w:val="nil"/>
            </w:tcBorders>
            <w:shd w:val="clear" w:color="auto" w:fill="auto"/>
            <w:vAlign w:val="center"/>
          </w:tcPr>
          <w:p w14:paraId="489AE29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变速器配送中心项目</w:t>
            </w:r>
          </w:p>
        </w:tc>
        <w:tc>
          <w:tcPr>
            <w:tcW w:w="0" w:type="auto"/>
            <w:tcBorders>
              <w:tl2br w:val="nil"/>
              <w:tr2bl w:val="nil"/>
            </w:tcBorders>
            <w:shd w:val="clear" w:color="auto" w:fill="auto"/>
            <w:vAlign w:val="center"/>
          </w:tcPr>
          <w:p w14:paraId="721F2BB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2018.7.18</w:t>
            </w:r>
          </w:p>
        </w:tc>
        <w:tc>
          <w:tcPr>
            <w:tcW w:w="0" w:type="auto"/>
            <w:tcBorders>
              <w:tl2br w:val="nil"/>
              <w:tr2bl w:val="nil"/>
            </w:tcBorders>
            <w:shd w:val="clear" w:color="auto" w:fill="auto"/>
            <w:vAlign w:val="center"/>
          </w:tcPr>
          <w:p w14:paraId="3EED4B2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哈环经审表[2018]23号</w:t>
            </w:r>
          </w:p>
        </w:tc>
        <w:tc>
          <w:tcPr>
            <w:tcW w:w="0" w:type="auto"/>
            <w:tcBorders>
              <w:tl2br w:val="nil"/>
              <w:tr2bl w:val="nil"/>
            </w:tcBorders>
            <w:shd w:val="clear" w:color="auto" w:fill="auto"/>
            <w:vAlign w:val="center"/>
          </w:tcPr>
          <w:p w14:paraId="32B1817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通过验收；</w:t>
            </w:r>
          </w:p>
          <w:p w14:paraId="1EBE4B4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哈环平审验[2019]20号</w:t>
            </w:r>
          </w:p>
        </w:tc>
      </w:tr>
      <w:tr w14:paraId="7172A4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tcBorders>
              <w:tl2br w:val="nil"/>
              <w:tr2bl w:val="nil"/>
            </w:tcBorders>
            <w:shd w:val="clear" w:color="auto" w:fill="auto"/>
            <w:vAlign w:val="center"/>
          </w:tcPr>
          <w:p w14:paraId="16270B8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12</w:t>
            </w:r>
          </w:p>
        </w:tc>
        <w:tc>
          <w:tcPr>
            <w:tcW w:w="0" w:type="auto"/>
            <w:tcBorders>
              <w:tl2br w:val="nil"/>
              <w:tr2bl w:val="nil"/>
            </w:tcBorders>
            <w:shd w:val="clear" w:color="auto" w:fill="auto"/>
            <w:vAlign w:val="center"/>
          </w:tcPr>
          <w:p w14:paraId="6191688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D20TGDI升级发动机项目</w:t>
            </w:r>
          </w:p>
        </w:tc>
        <w:tc>
          <w:tcPr>
            <w:tcW w:w="0" w:type="auto"/>
            <w:tcBorders>
              <w:tl2br w:val="nil"/>
              <w:tr2bl w:val="nil"/>
            </w:tcBorders>
            <w:shd w:val="clear" w:color="auto" w:fill="auto"/>
            <w:vAlign w:val="center"/>
          </w:tcPr>
          <w:p w14:paraId="461ED2C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2018.7.24</w:t>
            </w:r>
          </w:p>
        </w:tc>
        <w:tc>
          <w:tcPr>
            <w:tcW w:w="0" w:type="auto"/>
            <w:tcBorders>
              <w:tl2br w:val="nil"/>
              <w:tr2bl w:val="nil"/>
            </w:tcBorders>
            <w:shd w:val="clear" w:color="auto" w:fill="auto"/>
            <w:vAlign w:val="center"/>
          </w:tcPr>
          <w:p w14:paraId="76AAC5E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哈环审书</w:t>
            </w:r>
          </w:p>
          <w:p w14:paraId="468D60F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[2018]23号</w:t>
            </w:r>
          </w:p>
        </w:tc>
        <w:tc>
          <w:tcPr>
            <w:tcW w:w="0" w:type="auto"/>
            <w:tcBorders>
              <w:tl2br w:val="nil"/>
              <w:tr2bl w:val="nil"/>
            </w:tcBorders>
            <w:shd w:val="clear" w:color="auto" w:fill="auto"/>
            <w:vAlign w:val="center"/>
          </w:tcPr>
          <w:p w14:paraId="4CC79BE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通过验收；2021年3月14日自主验收</w:t>
            </w:r>
          </w:p>
        </w:tc>
      </w:tr>
      <w:tr w14:paraId="00CD5D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tcBorders>
              <w:tl2br w:val="nil"/>
              <w:tr2bl w:val="nil"/>
            </w:tcBorders>
            <w:shd w:val="clear" w:color="auto" w:fill="auto"/>
            <w:vAlign w:val="center"/>
          </w:tcPr>
          <w:p w14:paraId="5537035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13</w:t>
            </w:r>
          </w:p>
        </w:tc>
        <w:tc>
          <w:tcPr>
            <w:tcW w:w="0" w:type="auto"/>
            <w:tcBorders>
              <w:tl2br w:val="nil"/>
              <w:tr2bl w:val="nil"/>
            </w:tcBorders>
            <w:shd w:val="clear" w:color="auto" w:fill="auto"/>
            <w:vAlign w:val="center"/>
          </w:tcPr>
          <w:p w14:paraId="1B74DFB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6AT自动变速器扩能项目</w:t>
            </w:r>
          </w:p>
        </w:tc>
        <w:tc>
          <w:tcPr>
            <w:tcW w:w="0" w:type="auto"/>
            <w:tcBorders>
              <w:tl2br w:val="nil"/>
              <w:tr2bl w:val="nil"/>
            </w:tcBorders>
            <w:shd w:val="clear" w:color="auto" w:fill="auto"/>
            <w:vAlign w:val="center"/>
          </w:tcPr>
          <w:p w14:paraId="38B66F4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2018.9.19</w:t>
            </w:r>
          </w:p>
        </w:tc>
        <w:tc>
          <w:tcPr>
            <w:tcW w:w="0" w:type="auto"/>
            <w:tcBorders>
              <w:tl2br w:val="nil"/>
              <w:tr2bl w:val="nil"/>
            </w:tcBorders>
            <w:shd w:val="clear" w:color="auto" w:fill="auto"/>
            <w:vAlign w:val="center"/>
          </w:tcPr>
          <w:p w14:paraId="249A5B6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哈环经审表[2018]33号</w:t>
            </w:r>
          </w:p>
        </w:tc>
        <w:tc>
          <w:tcPr>
            <w:tcW w:w="0" w:type="auto"/>
            <w:tcBorders>
              <w:tl2br w:val="nil"/>
              <w:tr2bl w:val="nil"/>
            </w:tcBorders>
            <w:shd w:val="clear" w:color="auto" w:fill="auto"/>
            <w:vAlign w:val="center"/>
          </w:tcPr>
          <w:p w14:paraId="117179E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通过验收；2021年1月14日自主验收</w:t>
            </w:r>
          </w:p>
        </w:tc>
      </w:tr>
      <w:tr w14:paraId="09EF95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tcBorders>
              <w:tl2br w:val="nil"/>
              <w:tr2bl w:val="nil"/>
            </w:tcBorders>
            <w:shd w:val="clear" w:color="auto" w:fill="auto"/>
            <w:vAlign w:val="center"/>
          </w:tcPr>
          <w:p w14:paraId="4BCFDF6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14</w:t>
            </w:r>
          </w:p>
        </w:tc>
        <w:tc>
          <w:tcPr>
            <w:tcW w:w="0" w:type="auto"/>
            <w:tcBorders>
              <w:tl2br w:val="nil"/>
              <w:tr2bl w:val="nil"/>
            </w:tcBorders>
            <w:shd w:val="clear" w:color="auto" w:fill="auto"/>
            <w:vAlign w:val="center"/>
          </w:tcPr>
          <w:p w14:paraId="1E9D131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6AT在线验证能力及产能补齐项目</w:t>
            </w:r>
          </w:p>
        </w:tc>
        <w:tc>
          <w:tcPr>
            <w:tcW w:w="0" w:type="auto"/>
            <w:tcBorders>
              <w:tl2br w:val="nil"/>
              <w:tr2bl w:val="nil"/>
            </w:tcBorders>
            <w:shd w:val="clear" w:color="auto" w:fill="auto"/>
            <w:vAlign w:val="center"/>
          </w:tcPr>
          <w:p w14:paraId="1518A0D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2018.10.8</w:t>
            </w:r>
          </w:p>
        </w:tc>
        <w:tc>
          <w:tcPr>
            <w:tcW w:w="0" w:type="auto"/>
            <w:tcBorders>
              <w:tl2br w:val="nil"/>
              <w:tr2bl w:val="nil"/>
            </w:tcBorders>
            <w:shd w:val="clear" w:color="auto" w:fill="auto"/>
            <w:vAlign w:val="center"/>
          </w:tcPr>
          <w:p w14:paraId="7B188CD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哈环经审表[2018]38号</w:t>
            </w:r>
          </w:p>
        </w:tc>
        <w:tc>
          <w:tcPr>
            <w:tcW w:w="0" w:type="auto"/>
            <w:tcBorders>
              <w:tl2br w:val="nil"/>
              <w:tr2bl w:val="nil"/>
            </w:tcBorders>
            <w:shd w:val="clear" w:color="auto" w:fill="auto"/>
            <w:vAlign w:val="center"/>
          </w:tcPr>
          <w:p w14:paraId="57753EE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通过验收；</w:t>
            </w:r>
          </w:p>
          <w:p w14:paraId="56A12A7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哈环经审验[2019]2号</w:t>
            </w:r>
          </w:p>
        </w:tc>
      </w:tr>
      <w:tr w14:paraId="1DFDDF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tcBorders>
              <w:tl2br w:val="nil"/>
              <w:tr2bl w:val="nil"/>
            </w:tcBorders>
            <w:shd w:val="clear" w:color="auto" w:fill="auto"/>
            <w:vAlign w:val="center"/>
          </w:tcPr>
          <w:p w14:paraId="609754E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15</w:t>
            </w:r>
          </w:p>
        </w:tc>
        <w:tc>
          <w:tcPr>
            <w:tcW w:w="0" w:type="auto"/>
            <w:tcBorders>
              <w:tl2br w:val="nil"/>
              <w:tr2bl w:val="nil"/>
            </w:tcBorders>
            <w:shd w:val="clear" w:color="auto" w:fill="auto"/>
            <w:vAlign w:val="center"/>
          </w:tcPr>
          <w:p w14:paraId="5715842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8AT生产线建设项目</w:t>
            </w:r>
          </w:p>
        </w:tc>
        <w:tc>
          <w:tcPr>
            <w:tcW w:w="0" w:type="auto"/>
            <w:tcBorders>
              <w:tl2br w:val="nil"/>
              <w:tr2bl w:val="nil"/>
            </w:tcBorders>
            <w:shd w:val="clear" w:color="auto" w:fill="auto"/>
            <w:vAlign w:val="center"/>
          </w:tcPr>
          <w:p w14:paraId="03F3733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2022.10.13</w:t>
            </w:r>
          </w:p>
        </w:tc>
        <w:tc>
          <w:tcPr>
            <w:tcW w:w="0" w:type="auto"/>
            <w:tcBorders>
              <w:tl2br w:val="nil"/>
              <w:tr2bl w:val="nil"/>
            </w:tcBorders>
            <w:shd w:val="clear" w:color="auto" w:fill="auto"/>
            <w:vAlign w:val="center"/>
          </w:tcPr>
          <w:p w14:paraId="787761F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哈环平审表[2022]44号</w:t>
            </w:r>
          </w:p>
        </w:tc>
        <w:tc>
          <w:tcPr>
            <w:tcW w:w="0" w:type="auto"/>
            <w:tcBorders>
              <w:tl2br w:val="nil"/>
              <w:tr2bl w:val="nil"/>
            </w:tcBorders>
            <w:shd w:val="clear" w:color="auto" w:fill="auto"/>
            <w:vAlign w:val="center"/>
          </w:tcPr>
          <w:p w14:paraId="63D7DE5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通过验收；2023年8月16日自主验收</w:t>
            </w:r>
          </w:p>
        </w:tc>
      </w:tr>
      <w:tr w14:paraId="5E1FF8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tcBorders>
              <w:tl2br w:val="nil"/>
              <w:tr2bl w:val="nil"/>
            </w:tcBorders>
            <w:shd w:val="clear" w:color="auto" w:fill="auto"/>
            <w:vAlign w:val="center"/>
          </w:tcPr>
          <w:p w14:paraId="1C9F4A3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16</w:t>
            </w:r>
          </w:p>
        </w:tc>
        <w:tc>
          <w:tcPr>
            <w:tcW w:w="0" w:type="auto"/>
            <w:tcBorders>
              <w:tl2br w:val="nil"/>
              <w:tr2bl w:val="nil"/>
            </w:tcBorders>
            <w:shd w:val="clear" w:color="auto" w:fill="auto"/>
            <w:vAlign w:val="center"/>
          </w:tcPr>
          <w:p w14:paraId="4406248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高效增程发动机生产线建设项目</w:t>
            </w:r>
          </w:p>
        </w:tc>
        <w:tc>
          <w:tcPr>
            <w:tcW w:w="0" w:type="auto"/>
            <w:tcBorders>
              <w:tl2br w:val="nil"/>
              <w:tr2bl w:val="nil"/>
            </w:tcBorders>
            <w:shd w:val="clear" w:color="auto" w:fill="auto"/>
            <w:vAlign w:val="center"/>
          </w:tcPr>
          <w:p w14:paraId="2EB4534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2023.1.6</w:t>
            </w:r>
          </w:p>
        </w:tc>
        <w:tc>
          <w:tcPr>
            <w:tcW w:w="0" w:type="auto"/>
            <w:tcBorders>
              <w:tl2br w:val="nil"/>
              <w:tr2bl w:val="nil"/>
            </w:tcBorders>
            <w:shd w:val="clear" w:color="auto" w:fill="auto"/>
            <w:vAlign w:val="center"/>
          </w:tcPr>
          <w:p w14:paraId="37F7E2C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哈环平审书</w:t>
            </w:r>
          </w:p>
          <w:p w14:paraId="1DCEACF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[2023]1号</w:t>
            </w:r>
          </w:p>
        </w:tc>
        <w:tc>
          <w:tcPr>
            <w:tcW w:w="0" w:type="auto"/>
            <w:tcBorders>
              <w:tl2br w:val="nil"/>
              <w:tr2bl w:val="nil"/>
            </w:tcBorders>
            <w:shd w:val="clear" w:color="auto" w:fill="auto"/>
            <w:vAlign w:val="center"/>
          </w:tcPr>
          <w:p w14:paraId="45CECDE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通过验收；2023年12月14日自主验收</w:t>
            </w:r>
          </w:p>
        </w:tc>
      </w:tr>
      <w:tr w14:paraId="35858A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tcBorders>
              <w:tl2br w:val="nil"/>
              <w:tr2bl w:val="nil"/>
            </w:tcBorders>
            <w:shd w:val="clear" w:color="auto" w:fill="auto"/>
            <w:vAlign w:val="center"/>
          </w:tcPr>
          <w:p w14:paraId="77E0B57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r>
              <w:rPr>
                <w:rFonts w:hint="default" w:ascii="Times New Roman" w:hAnsi="Times New Roman" w:cs="Times New Roman" w:eastAsiaTheme="minorEastAsia"/>
                <w:color w:val="000000" w:themeColor="text1"/>
                <w:sz w:val="21"/>
                <w:szCs w:val="21"/>
                <w:highlight w:val="none"/>
                <w:vertAlign w:val="baseline"/>
                <w:lang w:val="en-US" w:eastAsia="zh-CN"/>
              </w:rPr>
              <w:t>17</w:t>
            </w:r>
          </w:p>
        </w:tc>
        <w:tc>
          <w:tcPr>
            <w:tcW w:w="0" w:type="auto"/>
            <w:tcBorders>
              <w:tl2br w:val="nil"/>
              <w:tr2bl w:val="nil"/>
            </w:tcBorders>
            <w:shd w:val="clear" w:color="auto" w:fill="auto"/>
            <w:vAlign w:val="center"/>
          </w:tcPr>
          <w:p w14:paraId="44F7A97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r>
              <w:rPr>
                <w:rFonts w:hint="default" w:ascii="Times New Roman" w:hAnsi="Times New Roman" w:cs="Times New Roman" w:eastAsiaTheme="minorEastAsia"/>
                <w:color w:val="000000" w:themeColor="text1"/>
                <w:sz w:val="21"/>
                <w:szCs w:val="21"/>
                <w:highlight w:val="none"/>
                <w:vertAlign w:val="baseline"/>
                <w:lang w:val="en-US" w:eastAsia="zh-CN"/>
              </w:rPr>
              <w:t>混动研发能力提升项目</w:t>
            </w:r>
          </w:p>
        </w:tc>
        <w:tc>
          <w:tcPr>
            <w:tcW w:w="0" w:type="auto"/>
            <w:tcBorders>
              <w:tl2br w:val="nil"/>
              <w:tr2bl w:val="nil"/>
            </w:tcBorders>
            <w:shd w:val="clear" w:color="auto" w:fill="auto"/>
            <w:vAlign w:val="center"/>
          </w:tcPr>
          <w:p w14:paraId="44F9772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r>
              <w:rPr>
                <w:rFonts w:hint="default" w:ascii="Times New Roman" w:hAnsi="Times New Roman" w:cs="Times New Roman" w:eastAsiaTheme="minorEastAsia"/>
                <w:color w:val="000000" w:themeColor="text1"/>
                <w:sz w:val="21"/>
                <w:szCs w:val="21"/>
                <w:highlight w:val="none"/>
                <w:vertAlign w:val="baseline"/>
                <w:lang w:val="en-US" w:eastAsia="zh-CN"/>
              </w:rPr>
              <w:t>2023.10.16</w:t>
            </w:r>
          </w:p>
        </w:tc>
        <w:tc>
          <w:tcPr>
            <w:tcW w:w="0" w:type="auto"/>
            <w:tcBorders>
              <w:tl2br w:val="nil"/>
              <w:tr2bl w:val="nil"/>
            </w:tcBorders>
            <w:shd w:val="clear" w:color="auto" w:fill="auto"/>
            <w:vAlign w:val="center"/>
          </w:tcPr>
          <w:p w14:paraId="63D1F4B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r>
              <w:rPr>
                <w:rFonts w:hint="default" w:ascii="Times New Roman" w:hAnsi="Times New Roman" w:cs="Times New Roman" w:eastAsiaTheme="minorEastAsia"/>
                <w:color w:val="000000" w:themeColor="text1"/>
                <w:sz w:val="21"/>
                <w:szCs w:val="21"/>
                <w:highlight w:val="none"/>
                <w:vertAlign w:val="baseline"/>
                <w:lang w:val="en-US" w:eastAsia="zh-CN"/>
              </w:rPr>
              <w:t>哈环平审表[2023]35号</w:t>
            </w:r>
          </w:p>
        </w:tc>
        <w:tc>
          <w:tcPr>
            <w:tcW w:w="0" w:type="auto"/>
            <w:tcBorders>
              <w:tl2br w:val="nil"/>
              <w:tr2bl w:val="nil"/>
            </w:tcBorders>
            <w:shd w:val="clear" w:color="auto" w:fill="auto"/>
            <w:vAlign w:val="center"/>
          </w:tcPr>
          <w:p w14:paraId="66B6D72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r>
              <w:rPr>
                <w:rFonts w:hint="default" w:ascii="Times New Roman" w:hAnsi="Times New Roman" w:cs="Times New Roman" w:eastAsiaTheme="minorEastAsia"/>
                <w:color w:val="000000" w:themeColor="text1"/>
                <w:sz w:val="21"/>
                <w:szCs w:val="21"/>
                <w:highlight w:val="none"/>
                <w:vertAlign w:val="baseline"/>
                <w:lang w:val="en-US" w:eastAsia="zh-CN"/>
              </w:rPr>
              <w:t>仍处于建设阶段-验收阶段</w:t>
            </w:r>
          </w:p>
        </w:tc>
      </w:tr>
      <w:tr w14:paraId="2A819F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tcBorders>
              <w:tl2br w:val="nil"/>
              <w:tr2bl w:val="nil"/>
            </w:tcBorders>
            <w:shd w:val="clear" w:color="auto" w:fill="auto"/>
            <w:vAlign w:val="center"/>
          </w:tcPr>
          <w:p w14:paraId="3003980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r>
              <w:rPr>
                <w:rFonts w:hint="default" w:ascii="Times New Roman" w:hAnsi="Times New Roman" w:cs="Times New Roman" w:eastAsiaTheme="minorEastAsia"/>
                <w:color w:val="000000" w:themeColor="text1"/>
                <w:sz w:val="21"/>
                <w:szCs w:val="21"/>
                <w:highlight w:val="none"/>
                <w:vertAlign w:val="baseline"/>
                <w:lang w:val="en-US" w:eastAsia="zh-CN"/>
              </w:rPr>
              <w:t>18</w:t>
            </w:r>
          </w:p>
        </w:tc>
        <w:tc>
          <w:tcPr>
            <w:tcW w:w="0" w:type="auto"/>
            <w:tcBorders>
              <w:tl2br w:val="nil"/>
              <w:tr2bl w:val="nil"/>
            </w:tcBorders>
            <w:shd w:val="clear" w:color="auto" w:fill="auto"/>
            <w:vAlign w:val="center"/>
          </w:tcPr>
          <w:p w14:paraId="2127A6E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r>
              <w:rPr>
                <w:rFonts w:hint="default" w:ascii="Times New Roman" w:hAnsi="Times New Roman" w:cs="Times New Roman" w:eastAsiaTheme="minorEastAsia"/>
                <w:color w:val="000000" w:themeColor="text1"/>
                <w:sz w:val="21"/>
                <w:szCs w:val="21"/>
                <w:highlight w:val="none"/>
                <w:vertAlign w:val="baseline"/>
                <w:lang w:val="en-US" w:eastAsia="zh-CN"/>
              </w:rPr>
              <w:t>哈尔滨东安汽车发动机制造有限公司研发及信息化能力提升项目</w:t>
            </w:r>
          </w:p>
        </w:tc>
        <w:tc>
          <w:tcPr>
            <w:tcW w:w="0" w:type="auto"/>
            <w:tcBorders>
              <w:tl2br w:val="nil"/>
              <w:tr2bl w:val="nil"/>
            </w:tcBorders>
            <w:shd w:val="clear" w:color="auto" w:fill="auto"/>
            <w:vAlign w:val="center"/>
          </w:tcPr>
          <w:p w14:paraId="49BE934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r>
              <w:rPr>
                <w:rFonts w:hint="default" w:ascii="Times New Roman" w:hAnsi="Times New Roman" w:cs="Times New Roman" w:eastAsiaTheme="minorEastAsia"/>
                <w:color w:val="000000" w:themeColor="text1"/>
                <w:sz w:val="21"/>
                <w:szCs w:val="21"/>
                <w:highlight w:val="none"/>
                <w:vertAlign w:val="baseline"/>
                <w:lang w:val="en-US" w:eastAsia="zh-CN"/>
              </w:rPr>
              <w:t>2025.2.8</w:t>
            </w:r>
          </w:p>
        </w:tc>
        <w:tc>
          <w:tcPr>
            <w:tcW w:w="0" w:type="auto"/>
            <w:tcBorders>
              <w:tl2br w:val="nil"/>
              <w:tr2bl w:val="nil"/>
            </w:tcBorders>
            <w:shd w:val="clear" w:color="auto" w:fill="auto"/>
            <w:vAlign w:val="center"/>
          </w:tcPr>
          <w:p w14:paraId="7363603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r>
              <w:rPr>
                <w:rFonts w:hint="default" w:ascii="Times New Roman" w:hAnsi="Times New Roman" w:cs="Times New Roman" w:eastAsiaTheme="minorEastAsia"/>
                <w:color w:val="000000" w:themeColor="text1"/>
                <w:sz w:val="21"/>
                <w:szCs w:val="21"/>
                <w:highlight w:val="none"/>
                <w:vertAlign w:val="baseline"/>
                <w:lang w:val="en-US" w:eastAsia="zh-CN"/>
              </w:rPr>
              <w:t>哈环平审表[2025]10号</w:t>
            </w:r>
          </w:p>
        </w:tc>
        <w:tc>
          <w:tcPr>
            <w:tcW w:w="0" w:type="auto"/>
            <w:tcBorders>
              <w:tl2br w:val="nil"/>
              <w:tr2bl w:val="nil"/>
            </w:tcBorders>
            <w:shd w:val="clear" w:color="auto" w:fill="auto"/>
            <w:vAlign w:val="center"/>
          </w:tcPr>
          <w:p w14:paraId="010745A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r>
              <w:rPr>
                <w:rFonts w:hint="default" w:ascii="Times New Roman" w:hAnsi="Times New Roman" w:cs="Times New Roman" w:eastAsiaTheme="minorEastAsia"/>
                <w:color w:val="000000" w:themeColor="text1"/>
                <w:sz w:val="21"/>
                <w:szCs w:val="21"/>
                <w:highlight w:val="none"/>
                <w:vertAlign w:val="baseline"/>
                <w:lang w:val="en-US" w:eastAsia="zh-CN"/>
              </w:rPr>
              <w:t>仍处于建设阶段</w:t>
            </w:r>
          </w:p>
        </w:tc>
      </w:tr>
    </w:tbl>
    <w:p w14:paraId="3A87FD82">
      <w:pPr>
        <w:pStyle w:val="4"/>
        <w:bidi w:val="0"/>
        <w:rPr>
          <w:highlight w:val="none"/>
        </w:rPr>
      </w:pPr>
      <w:r>
        <w:rPr>
          <w:rFonts w:hint="eastAsia"/>
          <w:highlight w:val="none"/>
        </w:rPr>
        <w:t>3.1.3排污许可执行情况</w:t>
      </w:r>
      <w:bookmarkEnd w:id="215"/>
    </w:p>
    <w:p w14:paraId="6A38B5B6">
      <w:pPr>
        <w:bidi w:val="0"/>
        <w:rPr>
          <w:highlight w:val="none"/>
        </w:rPr>
      </w:pPr>
      <w:r>
        <w:rPr>
          <w:highlight w:val="none"/>
        </w:rPr>
        <w:t>哈尔滨东安汽车发动机制造有限公司</w:t>
      </w:r>
      <w:r>
        <w:rPr>
          <w:spacing w:val="4"/>
          <w:highlight w:val="none"/>
        </w:rPr>
        <w:t>于</w:t>
      </w:r>
      <w:r>
        <w:rPr>
          <w:rFonts w:ascii="Times New Roman" w:hAnsi="Times New Roman" w:eastAsia="Times New Roman" w:cs="Times New Roman"/>
          <w:spacing w:val="-4"/>
          <w:highlight w:val="none"/>
        </w:rPr>
        <w:t>2023</w:t>
      </w:r>
      <w:r>
        <w:rPr>
          <w:spacing w:val="-4"/>
          <w:highlight w:val="none"/>
        </w:rPr>
        <w:t>年</w:t>
      </w:r>
      <w:r>
        <w:rPr>
          <w:rFonts w:ascii="Times New Roman" w:hAnsi="Times New Roman" w:eastAsia="Times New Roman" w:cs="Times New Roman"/>
          <w:spacing w:val="-4"/>
          <w:highlight w:val="none"/>
        </w:rPr>
        <w:t>11</w:t>
      </w:r>
      <w:r>
        <w:rPr>
          <w:spacing w:val="-4"/>
          <w:highlight w:val="none"/>
        </w:rPr>
        <w:t>月</w:t>
      </w:r>
      <w:r>
        <w:rPr>
          <w:rFonts w:ascii="Times New Roman" w:hAnsi="Times New Roman" w:eastAsia="Times New Roman" w:cs="Times New Roman"/>
          <w:spacing w:val="-4"/>
          <w:highlight w:val="none"/>
        </w:rPr>
        <w:t>24</w:t>
      </w:r>
      <w:r>
        <w:rPr>
          <w:spacing w:val="-4"/>
          <w:highlight w:val="none"/>
        </w:rPr>
        <w:t>日申领最新版排污许可证，有效期到</w:t>
      </w:r>
      <w:r>
        <w:rPr>
          <w:rFonts w:ascii="Times New Roman" w:hAnsi="Times New Roman" w:eastAsia="Times New Roman" w:cs="Times New Roman"/>
          <w:spacing w:val="-4"/>
          <w:highlight w:val="none"/>
        </w:rPr>
        <w:t>202</w:t>
      </w:r>
      <w:r>
        <w:rPr>
          <w:rFonts w:ascii="Times New Roman" w:hAnsi="Times New Roman" w:eastAsia="Times New Roman" w:cs="Times New Roman"/>
          <w:spacing w:val="-5"/>
          <w:highlight w:val="none"/>
        </w:rPr>
        <w:t>8</w:t>
      </w:r>
      <w:r>
        <w:rPr>
          <w:spacing w:val="-5"/>
          <w:highlight w:val="none"/>
        </w:rPr>
        <w:t>年</w:t>
      </w:r>
      <w:r>
        <w:rPr>
          <w:rFonts w:ascii="Times New Roman" w:hAnsi="Times New Roman" w:eastAsia="Times New Roman" w:cs="Times New Roman"/>
          <w:spacing w:val="-5"/>
          <w:highlight w:val="none"/>
        </w:rPr>
        <w:t>11</w:t>
      </w:r>
      <w:r>
        <w:rPr>
          <w:spacing w:val="-5"/>
          <w:highlight w:val="none"/>
        </w:rPr>
        <w:t>月</w:t>
      </w:r>
      <w:r>
        <w:rPr>
          <w:rFonts w:ascii="Times New Roman" w:hAnsi="Times New Roman" w:eastAsia="Times New Roman" w:cs="Times New Roman"/>
          <w:spacing w:val="-5"/>
          <w:highlight w:val="none"/>
        </w:rPr>
        <w:t>23</w:t>
      </w:r>
      <w:r>
        <w:rPr>
          <w:spacing w:val="-5"/>
          <w:highlight w:val="none"/>
        </w:rPr>
        <w:t>日</w:t>
      </w:r>
      <w:r>
        <w:rPr>
          <w:highlight w:val="none"/>
        </w:rPr>
        <w:t>，排序许可证编号为</w:t>
      </w:r>
      <w:r>
        <w:rPr>
          <w:rFonts w:ascii="Times New Roman" w:hAnsi="Times New Roman" w:eastAsia="Times New Roman" w:cs="Times New Roman"/>
          <w:highlight w:val="none"/>
        </w:rPr>
        <w:t>9123010071201745XG</w:t>
      </w:r>
      <w:r>
        <w:rPr>
          <w:rFonts w:ascii="Times New Roman" w:hAnsi="Times New Roman" w:eastAsia="Times New Roman" w:cs="Times New Roman"/>
          <w:spacing w:val="-1"/>
          <w:highlight w:val="none"/>
        </w:rPr>
        <w:t>001R</w:t>
      </w:r>
      <w:r>
        <w:rPr>
          <w:highlight w:val="none"/>
        </w:rPr>
        <w:t>。</w:t>
      </w:r>
    </w:p>
    <w:p w14:paraId="322739AC">
      <w:pPr>
        <w:bidi w:val="0"/>
        <w:rPr>
          <w:highlight w:val="none"/>
          <w:lang w:val="en-US"/>
        </w:rPr>
      </w:pPr>
      <w:r>
        <w:rPr>
          <w:highlight w:val="none"/>
        </w:rPr>
        <w:t>哈尔滨东安汽车发动机制造有限公司</w:t>
      </w:r>
      <w:r>
        <w:rPr>
          <w:highlight w:val="none"/>
          <w:lang w:val="en-US"/>
        </w:rPr>
        <w:t>属于《固定污染源排污许可证分类管理名录》（2019年版）中</w:t>
      </w:r>
      <w:r>
        <w:rPr>
          <w:rFonts w:hint="eastAsia"/>
          <w:highlight w:val="none"/>
          <w:lang w:val="en-US"/>
        </w:rPr>
        <w:t>三十一、汽车制造业36、汽车用发动机制造362</w:t>
      </w:r>
      <w:r>
        <w:rPr>
          <w:highlight w:val="none"/>
          <w:lang w:val="en-US"/>
        </w:rPr>
        <w:t>，属于重点管理。</w:t>
      </w:r>
    </w:p>
    <w:p w14:paraId="7DEABA25">
      <w:pPr>
        <w:bidi w:val="0"/>
        <w:rPr>
          <w:highlight w:val="none"/>
          <w:lang w:val="en-US"/>
        </w:rPr>
      </w:pPr>
      <w:r>
        <w:rPr>
          <w:highlight w:val="none"/>
        </w:rPr>
        <w:t>哈尔滨东安汽车发动机制造有限公司</w:t>
      </w:r>
      <w:r>
        <w:rPr>
          <w:highlight w:val="none"/>
          <w:lang w:val="en-US"/>
        </w:rPr>
        <w:t>按照《排污许可证申请与核发技术规范</w:t>
      </w:r>
      <w:r>
        <w:rPr>
          <w:rFonts w:hint="eastAsia"/>
          <w:highlight w:val="none"/>
          <w:lang w:val="en-US"/>
        </w:rPr>
        <w:t>汽车制造业</w:t>
      </w:r>
      <w:r>
        <w:rPr>
          <w:highlight w:val="none"/>
          <w:lang w:val="en-US"/>
        </w:rPr>
        <w:t>》（HJ</w:t>
      </w:r>
      <w:r>
        <w:rPr>
          <w:rFonts w:hint="eastAsia"/>
          <w:highlight w:val="none"/>
          <w:lang w:val="en-US"/>
        </w:rPr>
        <w:t>971-2018</w:t>
      </w:r>
      <w:r>
        <w:rPr>
          <w:highlight w:val="none"/>
          <w:lang w:val="en-US"/>
        </w:rPr>
        <w:t>）相关要求，进行环境管理台帐与排污许可执行报告上传工作。执行报告中填报了</w:t>
      </w:r>
      <w:r>
        <w:rPr>
          <w:rFonts w:hint="eastAsia"/>
          <w:highlight w:val="none"/>
          <w:lang w:val="en-US"/>
        </w:rPr>
        <w:t>车间</w:t>
      </w:r>
      <w:r>
        <w:rPr>
          <w:highlight w:val="none"/>
          <w:lang w:val="en-US"/>
        </w:rPr>
        <w:t>废气排放情况、污水处理站排水情况</w:t>
      </w:r>
      <w:r>
        <w:rPr>
          <w:rFonts w:hint="eastAsia"/>
          <w:highlight w:val="none"/>
          <w:lang w:val="en-US"/>
        </w:rPr>
        <w:t>、</w:t>
      </w:r>
      <w:r>
        <w:rPr>
          <w:highlight w:val="none"/>
          <w:lang w:val="en-US"/>
        </w:rPr>
        <w:t>噪声及固体废物产生及处置情况</w:t>
      </w:r>
      <w:r>
        <w:rPr>
          <w:rFonts w:hint="eastAsia"/>
          <w:highlight w:val="none"/>
          <w:lang w:val="en-US"/>
        </w:rPr>
        <w:t>。</w:t>
      </w:r>
    </w:p>
    <w:p w14:paraId="116F1096">
      <w:pPr>
        <w:pStyle w:val="4"/>
        <w:bidi w:val="0"/>
        <w:rPr>
          <w:highlight w:val="none"/>
        </w:rPr>
      </w:pPr>
      <w:bookmarkStart w:id="216" w:name="_Toc28273"/>
      <w:r>
        <w:rPr>
          <w:rFonts w:hint="eastAsia"/>
          <w:highlight w:val="none"/>
        </w:rPr>
        <w:t>3.1.4现有工程建设情况</w:t>
      </w:r>
      <w:bookmarkEnd w:id="216"/>
    </w:p>
    <w:p w14:paraId="4A7AF046">
      <w:pPr>
        <w:ind w:firstLine="480"/>
        <w:contextualSpacing/>
        <w:jc w:val="left"/>
        <w:rPr>
          <w:rFonts w:ascii="Times New Roman" w:hAnsi="Times New Roman"/>
          <w:snapToGrid w:val="0"/>
          <w:szCs w:val="22"/>
          <w:highlight w:val="none"/>
        </w:rPr>
      </w:pPr>
      <w:r>
        <w:rPr>
          <w:rFonts w:ascii="Times New Roman" w:hAnsi="Times New Roman"/>
          <w:snapToGrid w:val="0"/>
          <w:szCs w:val="22"/>
          <w:highlight w:val="none"/>
        </w:rPr>
        <w:t>现有工程</w:t>
      </w:r>
      <w:r>
        <w:rPr>
          <w:rFonts w:hint="eastAsia" w:ascii="Times New Roman" w:hAnsi="Times New Roman"/>
          <w:snapToGrid w:val="0"/>
          <w:szCs w:val="22"/>
          <w:highlight w:val="none"/>
        </w:rPr>
        <w:t>建设内容</w:t>
      </w:r>
      <w:r>
        <w:rPr>
          <w:rFonts w:ascii="Times New Roman" w:hAnsi="Times New Roman"/>
          <w:snapToGrid w:val="0"/>
          <w:szCs w:val="22"/>
          <w:highlight w:val="none"/>
        </w:rPr>
        <w:t>情况见表3-1-</w:t>
      </w:r>
      <w:r>
        <w:rPr>
          <w:rFonts w:hint="eastAsia" w:ascii="Times New Roman" w:hAnsi="Times New Roman"/>
          <w:snapToGrid w:val="0"/>
          <w:szCs w:val="22"/>
          <w:highlight w:val="none"/>
        </w:rPr>
        <w:t>2</w:t>
      </w:r>
      <w:r>
        <w:rPr>
          <w:rFonts w:ascii="Times New Roman" w:hAnsi="Times New Roman"/>
          <w:snapToGrid w:val="0"/>
          <w:szCs w:val="22"/>
          <w:highlight w:val="none"/>
        </w:rPr>
        <w:t>。</w:t>
      </w:r>
    </w:p>
    <w:p w14:paraId="7B89D1C2">
      <w:pPr>
        <w:pStyle w:val="78"/>
        <w:spacing w:line="240" w:lineRule="auto"/>
        <w:ind w:firstLine="0" w:firstLineChars="0"/>
        <w:rPr>
          <w:rFonts w:ascii="Times New Roman" w:hAnsi="Times New Roman" w:cs="Times New Roman"/>
          <w:kern w:val="21"/>
          <w:sz w:val="21"/>
          <w:highlight w:val="none"/>
        </w:rPr>
      </w:pPr>
      <w:r>
        <w:rPr>
          <w:rFonts w:ascii="Times New Roman" w:hAnsi="Times New Roman" w:cs="Times New Roman"/>
          <w:kern w:val="21"/>
          <w:sz w:val="21"/>
          <w:highlight w:val="none"/>
        </w:rPr>
        <w:t>表3-1-</w:t>
      </w:r>
      <w:r>
        <w:rPr>
          <w:rFonts w:hint="eastAsia" w:ascii="Times New Roman" w:hAnsi="Times New Roman" w:cs="Times New Roman"/>
          <w:kern w:val="21"/>
          <w:sz w:val="21"/>
          <w:highlight w:val="none"/>
        </w:rPr>
        <w:t>2</w:t>
      </w:r>
      <w:r>
        <w:rPr>
          <w:rFonts w:ascii="Times New Roman" w:hAnsi="Times New Roman" w:cs="Times New Roman"/>
          <w:kern w:val="21"/>
          <w:sz w:val="21"/>
          <w:highlight w:val="none"/>
        </w:rPr>
        <w:t>现有工程</w:t>
      </w:r>
      <w:r>
        <w:rPr>
          <w:rFonts w:hint="eastAsia" w:ascii="Times New Roman" w:hAnsi="Times New Roman" w:cs="Times New Roman"/>
          <w:kern w:val="21"/>
          <w:sz w:val="21"/>
          <w:highlight w:val="none"/>
        </w:rPr>
        <w:t>建设内容情况</w:t>
      </w:r>
      <w:r>
        <w:rPr>
          <w:rFonts w:ascii="Times New Roman" w:hAnsi="Times New Roman" w:cs="Times New Roman"/>
          <w:kern w:val="21"/>
          <w:sz w:val="21"/>
          <w:highlight w:val="none"/>
        </w:rPr>
        <w:t>一览表</w:t>
      </w:r>
    </w:p>
    <w:tbl>
      <w:tblPr>
        <w:tblStyle w:val="4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55"/>
        <w:gridCol w:w="1583"/>
        <w:gridCol w:w="5884"/>
      </w:tblGrid>
      <w:tr w14:paraId="0D2874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5" w:type="dxa"/>
            <w:tcBorders>
              <w:tl2br w:val="nil"/>
              <w:tr2bl w:val="nil"/>
            </w:tcBorders>
            <w:shd w:val="clear" w:color="auto" w:fill="auto"/>
            <w:vAlign w:val="center"/>
          </w:tcPr>
          <w:p w14:paraId="5FE1944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bookmarkStart w:id="217" w:name="_Toc7596"/>
            <w:r>
              <w:rPr>
                <w:rFonts w:hint="default" w:ascii="Times New Roman" w:hAnsi="Times New Roman" w:cs="Times New Roman" w:eastAsiaTheme="minorEastAsia"/>
                <w:color w:val="000000" w:themeColor="text1"/>
                <w:sz w:val="21"/>
                <w:szCs w:val="21"/>
                <w:highlight w:val="none"/>
                <w:vertAlign w:val="baseline"/>
                <w:lang w:val="en-US" w:eastAsia="zh-CN"/>
              </w:rPr>
              <w:t>工程类别</w:t>
            </w:r>
          </w:p>
        </w:tc>
        <w:tc>
          <w:tcPr>
            <w:tcW w:w="1583" w:type="dxa"/>
            <w:tcBorders>
              <w:tl2br w:val="nil"/>
              <w:tr2bl w:val="nil"/>
            </w:tcBorders>
            <w:shd w:val="clear" w:color="auto" w:fill="auto"/>
            <w:vAlign w:val="center"/>
          </w:tcPr>
          <w:p w14:paraId="224C44C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r>
              <w:rPr>
                <w:rFonts w:hint="default" w:ascii="Times New Roman" w:hAnsi="Times New Roman" w:cs="Times New Roman" w:eastAsiaTheme="minorEastAsia"/>
                <w:color w:val="000000" w:themeColor="text1"/>
                <w:sz w:val="21"/>
                <w:szCs w:val="21"/>
                <w:highlight w:val="none"/>
                <w:vertAlign w:val="baseline"/>
                <w:lang w:val="en-US" w:eastAsia="zh-CN"/>
              </w:rPr>
              <w:t>工程名称</w:t>
            </w:r>
          </w:p>
        </w:tc>
        <w:tc>
          <w:tcPr>
            <w:tcW w:w="5884" w:type="dxa"/>
            <w:tcBorders>
              <w:tl2br w:val="nil"/>
              <w:tr2bl w:val="nil"/>
            </w:tcBorders>
            <w:shd w:val="clear" w:color="auto" w:fill="auto"/>
            <w:vAlign w:val="center"/>
          </w:tcPr>
          <w:p w14:paraId="3AD1389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r>
              <w:rPr>
                <w:rFonts w:hint="default" w:ascii="Times New Roman" w:hAnsi="Times New Roman" w:cs="Times New Roman" w:eastAsiaTheme="minorEastAsia"/>
                <w:color w:val="000000" w:themeColor="text1"/>
                <w:sz w:val="21"/>
                <w:szCs w:val="21"/>
                <w:highlight w:val="none"/>
                <w:vertAlign w:val="baseline"/>
                <w:lang w:val="en-US" w:eastAsia="zh-CN"/>
              </w:rPr>
              <w:t>主要建设内容</w:t>
            </w:r>
          </w:p>
        </w:tc>
      </w:tr>
      <w:tr w14:paraId="57E90D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5" w:type="dxa"/>
            <w:vMerge w:val="restart"/>
            <w:tcBorders>
              <w:tl2br w:val="nil"/>
              <w:tr2bl w:val="nil"/>
            </w:tcBorders>
            <w:shd w:val="clear" w:color="auto" w:fill="auto"/>
            <w:vAlign w:val="center"/>
          </w:tcPr>
          <w:p w14:paraId="23ACD04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r>
              <w:rPr>
                <w:rFonts w:hint="default" w:ascii="Times New Roman" w:hAnsi="Times New Roman" w:cs="Times New Roman" w:eastAsiaTheme="minorEastAsia"/>
                <w:color w:val="000000" w:themeColor="text1"/>
                <w:sz w:val="21"/>
                <w:szCs w:val="21"/>
                <w:highlight w:val="none"/>
                <w:vertAlign w:val="baseline"/>
                <w:lang w:val="en-US" w:eastAsia="zh-CN"/>
              </w:rPr>
              <w:t>主体工程</w:t>
            </w:r>
          </w:p>
        </w:tc>
        <w:tc>
          <w:tcPr>
            <w:tcW w:w="1583" w:type="dxa"/>
            <w:tcBorders>
              <w:tl2br w:val="nil"/>
              <w:tr2bl w:val="nil"/>
            </w:tcBorders>
            <w:shd w:val="clear" w:color="auto" w:fill="auto"/>
            <w:vAlign w:val="center"/>
          </w:tcPr>
          <w:p w14:paraId="418F7D5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r>
              <w:rPr>
                <w:rFonts w:hint="default" w:ascii="Times New Roman" w:hAnsi="Times New Roman" w:cs="Times New Roman" w:eastAsiaTheme="minorEastAsia"/>
                <w:color w:val="000000" w:themeColor="text1"/>
                <w:sz w:val="21"/>
                <w:szCs w:val="21"/>
                <w:highlight w:val="none"/>
                <w:vertAlign w:val="baseline"/>
                <w:lang w:val="en-US" w:eastAsia="zh-CN"/>
              </w:rPr>
              <w:t>1#厂房</w:t>
            </w:r>
          </w:p>
        </w:tc>
        <w:tc>
          <w:tcPr>
            <w:tcW w:w="5884" w:type="dxa"/>
            <w:tcBorders>
              <w:tl2br w:val="nil"/>
              <w:tr2bl w:val="nil"/>
            </w:tcBorders>
            <w:shd w:val="clear" w:color="auto" w:fill="auto"/>
            <w:vAlign w:val="center"/>
          </w:tcPr>
          <w:p w14:paraId="7E51FB9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r>
              <w:rPr>
                <w:rFonts w:hint="default" w:ascii="Times New Roman" w:hAnsi="Times New Roman" w:cs="Times New Roman" w:eastAsiaTheme="minorEastAsia"/>
                <w:color w:val="000000" w:themeColor="text1"/>
                <w:sz w:val="21"/>
                <w:szCs w:val="21"/>
                <w:highlight w:val="none"/>
                <w:vertAlign w:val="baseline"/>
                <w:lang w:val="en-US" w:eastAsia="zh-CN"/>
              </w:rPr>
              <w:t>1栋1层，占地面积26598.6m</w:t>
            </w:r>
            <w:r>
              <w:rPr>
                <w:rFonts w:hint="default" w:ascii="Times New Roman" w:hAnsi="Times New Roman" w:cs="Times New Roman" w:eastAsiaTheme="minorEastAsia"/>
                <w:color w:val="000000" w:themeColor="text1"/>
                <w:sz w:val="21"/>
                <w:szCs w:val="21"/>
                <w:highlight w:val="none"/>
                <w:vertAlign w:val="superscript"/>
                <w:lang w:val="en-US" w:eastAsia="zh-CN"/>
              </w:rPr>
              <w:t>2</w:t>
            </w:r>
            <w:r>
              <w:rPr>
                <w:rFonts w:hint="default" w:ascii="Times New Roman" w:hAnsi="Times New Roman" w:cs="Times New Roman" w:eastAsiaTheme="minorEastAsia"/>
                <w:color w:val="000000" w:themeColor="text1"/>
                <w:sz w:val="21"/>
                <w:szCs w:val="21"/>
                <w:highlight w:val="none"/>
                <w:vertAlign w:val="baseline"/>
                <w:lang w:val="en-US" w:eastAsia="zh-CN"/>
              </w:rPr>
              <w:t>，4G1系列发动机生产</w:t>
            </w:r>
          </w:p>
        </w:tc>
      </w:tr>
      <w:tr w14:paraId="5BFC09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5" w:type="dxa"/>
            <w:vMerge w:val="continue"/>
            <w:tcBorders>
              <w:tl2br w:val="nil"/>
              <w:tr2bl w:val="nil"/>
            </w:tcBorders>
            <w:vAlign w:val="center"/>
          </w:tcPr>
          <w:p w14:paraId="7991DB8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1583" w:type="dxa"/>
            <w:tcBorders>
              <w:tl2br w:val="nil"/>
              <w:tr2bl w:val="nil"/>
            </w:tcBorders>
            <w:shd w:val="clear" w:color="auto" w:fill="auto"/>
            <w:vAlign w:val="center"/>
          </w:tcPr>
          <w:p w14:paraId="7BE3814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r>
              <w:rPr>
                <w:rFonts w:hint="default" w:ascii="Times New Roman" w:hAnsi="Times New Roman" w:cs="Times New Roman" w:eastAsiaTheme="minorEastAsia"/>
                <w:color w:val="000000" w:themeColor="text1"/>
                <w:sz w:val="21"/>
                <w:szCs w:val="21"/>
                <w:highlight w:val="none"/>
                <w:vertAlign w:val="baseline"/>
                <w:lang w:val="en-US" w:eastAsia="zh-CN"/>
              </w:rPr>
              <w:t>2#厂房</w:t>
            </w:r>
          </w:p>
        </w:tc>
        <w:tc>
          <w:tcPr>
            <w:tcW w:w="5884" w:type="dxa"/>
            <w:tcBorders>
              <w:tl2br w:val="nil"/>
              <w:tr2bl w:val="nil"/>
            </w:tcBorders>
            <w:shd w:val="clear" w:color="auto" w:fill="auto"/>
            <w:vAlign w:val="center"/>
          </w:tcPr>
          <w:p w14:paraId="57500A9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r>
              <w:rPr>
                <w:rFonts w:hint="default" w:ascii="Times New Roman" w:hAnsi="Times New Roman" w:cs="Times New Roman" w:eastAsiaTheme="minorEastAsia"/>
                <w:color w:val="000000" w:themeColor="text1"/>
                <w:sz w:val="21"/>
                <w:szCs w:val="21"/>
                <w:highlight w:val="none"/>
                <w:vertAlign w:val="baseline"/>
                <w:lang w:val="en-US" w:eastAsia="zh-CN"/>
              </w:rPr>
              <w:t>1栋1层，占地面积26598.6m</w:t>
            </w:r>
            <w:r>
              <w:rPr>
                <w:rFonts w:hint="default" w:ascii="Times New Roman" w:hAnsi="Times New Roman" w:cs="Times New Roman" w:eastAsiaTheme="minorEastAsia"/>
                <w:color w:val="000000" w:themeColor="text1"/>
                <w:sz w:val="21"/>
                <w:szCs w:val="21"/>
                <w:highlight w:val="none"/>
                <w:vertAlign w:val="superscript"/>
                <w:lang w:val="en-US" w:eastAsia="zh-CN"/>
              </w:rPr>
              <w:t>2</w:t>
            </w:r>
            <w:r>
              <w:rPr>
                <w:rFonts w:hint="default" w:ascii="Times New Roman" w:hAnsi="Times New Roman" w:cs="Times New Roman" w:eastAsiaTheme="minorEastAsia"/>
                <w:color w:val="000000" w:themeColor="text1"/>
                <w:sz w:val="21"/>
                <w:szCs w:val="21"/>
                <w:highlight w:val="none"/>
                <w:vertAlign w:val="baseline"/>
                <w:lang w:val="en-US" w:eastAsia="zh-CN"/>
              </w:rPr>
              <w:t>，用于4G9</w:t>
            </w:r>
            <w:r>
              <w:rPr>
                <w:rFonts w:hint="eastAsia" w:cs="Times New Roman" w:eastAsiaTheme="minorEastAsia"/>
                <w:color w:val="000000" w:themeColor="text1"/>
                <w:sz w:val="21"/>
                <w:szCs w:val="21"/>
                <w:highlight w:val="none"/>
                <w:vertAlign w:val="baseline"/>
                <w:lang w:val="en-US" w:eastAsia="zh-CN"/>
              </w:rPr>
              <w:t>、</w:t>
            </w:r>
            <w:r>
              <w:rPr>
                <w:rFonts w:hint="default" w:ascii="Times New Roman" w:hAnsi="Times New Roman" w:cs="Times New Roman" w:eastAsiaTheme="minorEastAsia"/>
                <w:color w:val="000000" w:themeColor="text1"/>
                <w:sz w:val="21"/>
                <w:szCs w:val="21"/>
                <w:highlight w:val="none"/>
                <w:vertAlign w:val="baseline"/>
                <w:lang w:val="en-US" w:eastAsia="zh-CN"/>
              </w:rPr>
              <w:t>D系列发动机生产</w:t>
            </w:r>
          </w:p>
        </w:tc>
      </w:tr>
      <w:tr w14:paraId="410B83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trPr>
        <w:tc>
          <w:tcPr>
            <w:tcW w:w="1055" w:type="dxa"/>
            <w:vMerge w:val="continue"/>
            <w:tcBorders>
              <w:tl2br w:val="nil"/>
              <w:tr2bl w:val="nil"/>
            </w:tcBorders>
            <w:vAlign w:val="center"/>
          </w:tcPr>
          <w:p w14:paraId="7536F7B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1583" w:type="dxa"/>
            <w:tcBorders>
              <w:tl2br w:val="nil"/>
              <w:tr2bl w:val="nil"/>
            </w:tcBorders>
            <w:shd w:val="clear" w:color="auto" w:fill="auto"/>
            <w:vAlign w:val="center"/>
          </w:tcPr>
          <w:p w14:paraId="665C3F9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r>
              <w:rPr>
                <w:rFonts w:hint="default" w:ascii="Times New Roman" w:hAnsi="Times New Roman" w:cs="Times New Roman" w:eastAsiaTheme="minorEastAsia"/>
                <w:color w:val="000000" w:themeColor="text1"/>
                <w:sz w:val="21"/>
                <w:szCs w:val="21"/>
                <w:highlight w:val="none"/>
                <w:vertAlign w:val="baseline"/>
                <w:lang w:val="en-US" w:eastAsia="zh-CN"/>
              </w:rPr>
              <w:t>3#厂房</w:t>
            </w:r>
          </w:p>
        </w:tc>
        <w:tc>
          <w:tcPr>
            <w:tcW w:w="5884" w:type="dxa"/>
            <w:tcBorders>
              <w:tl2br w:val="nil"/>
              <w:tr2bl w:val="nil"/>
            </w:tcBorders>
            <w:shd w:val="clear" w:color="auto" w:fill="auto"/>
            <w:vAlign w:val="center"/>
          </w:tcPr>
          <w:p w14:paraId="0A8CAED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r>
              <w:rPr>
                <w:rFonts w:hint="default" w:ascii="Times New Roman" w:hAnsi="Times New Roman" w:cs="Times New Roman" w:eastAsiaTheme="minorEastAsia"/>
                <w:color w:val="000000" w:themeColor="text1"/>
                <w:sz w:val="21"/>
                <w:szCs w:val="21"/>
                <w:highlight w:val="none"/>
                <w:vertAlign w:val="baseline"/>
                <w:lang w:val="en-US" w:eastAsia="zh-CN"/>
              </w:rPr>
              <w:t>1栋1层，占地面积26598.6m</w:t>
            </w:r>
            <w:r>
              <w:rPr>
                <w:rFonts w:hint="default" w:ascii="Times New Roman" w:hAnsi="Times New Roman" w:cs="Times New Roman" w:eastAsiaTheme="minorEastAsia"/>
                <w:color w:val="000000" w:themeColor="text1"/>
                <w:sz w:val="21"/>
                <w:szCs w:val="21"/>
                <w:highlight w:val="none"/>
                <w:vertAlign w:val="superscript"/>
                <w:lang w:val="en-US" w:eastAsia="zh-CN"/>
              </w:rPr>
              <w:t>2</w:t>
            </w:r>
            <w:r>
              <w:rPr>
                <w:rFonts w:hint="default" w:ascii="Times New Roman" w:hAnsi="Times New Roman" w:cs="Times New Roman" w:eastAsiaTheme="minorEastAsia"/>
                <w:color w:val="000000" w:themeColor="text1"/>
                <w:sz w:val="21"/>
                <w:szCs w:val="21"/>
                <w:highlight w:val="none"/>
                <w:vertAlign w:val="baseline"/>
                <w:lang w:val="en-US" w:eastAsia="zh-CN"/>
              </w:rPr>
              <w:t>，用于</w:t>
            </w:r>
            <w:r>
              <w:rPr>
                <w:rFonts w:hint="eastAsia" w:ascii="Times New Roman" w:hAnsi="Times New Roman" w:cs="Times New Roman" w:eastAsiaTheme="minorEastAsia"/>
                <w:color w:val="000000" w:themeColor="text1"/>
                <w:sz w:val="21"/>
                <w:szCs w:val="21"/>
                <w:highlight w:val="none"/>
                <w:vertAlign w:val="baseline"/>
                <w:lang w:val="en-US" w:eastAsia="zh-CN"/>
              </w:rPr>
              <w:t>变速器</w:t>
            </w:r>
            <w:r>
              <w:rPr>
                <w:rFonts w:hint="default" w:ascii="Times New Roman" w:hAnsi="Times New Roman" w:cs="Times New Roman" w:eastAsiaTheme="minorEastAsia"/>
                <w:color w:val="000000" w:themeColor="text1"/>
                <w:sz w:val="21"/>
                <w:szCs w:val="21"/>
                <w:highlight w:val="none"/>
                <w:vertAlign w:val="baseline"/>
                <w:lang w:val="en-US" w:eastAsia="zh-CN"/>
              </w:rPr>
              <w:t>生产</w:t>
            </w:r>
          </w:p>
        </w:tc>
      </w:tr>
      <w:tr w14:paraId="1CB51C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5" w:type="dxa"/>
            <w:vMerge w:val="continue"/>
            <w:tcBorders>
              <w:tl2br w:val="nil"/>
              <w:tr2bl w:val="nil"/>
            </w:tcBorders>
            <w:vAlign w:val="center"/>
          </w:tcPr>
          <w:p w14:paraId="32F57D6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1583" w:type="dxa"/>
            <w:tcBorders>
              <w:tl2br w:val="nil"/>
              <w:tr2bl w:val="nil"/>
            </w:tcBorders>
            <w:shd w:val="clear" w:color="auto" w:fill="auto"/>
            <w:vAlign w:val="center"/>
          </w:tcPr>
          <w:p w14:paraId="4AEF9EF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r>
              <w:rPr>
                <w:rFonts w:hint="default" w:ascii="Times New Roman" w:hAnsi="Times New Roman" w:cs="Times New Roman" w:eastAsiaTheme="minorEastAsia"/>
                <w:color w:val="000000" w:themeColor="text1"/>
                <w:sz w:val="21"/>
                <w:szCs w:val="21"/>
                <w:highlight w:val="none"/>
                <w:vertAlign w:val="baseline"/>
                <w:lang w:val="en-US" w:eastAsia="zh-CN"/>
              </w:rPr>
              <w:t>4#厂房</w:t>
            </w:r>
          </w:p>
        </w:tc>
        <w:tc>
          <w:tcPr>
            <w:tcW w:w="5884" w:type="dxa"/>
            <w:tcBorders>
              <w:tl2br w:val="nil"/>
              <w:tr2bl w:val="nil"/>
            </w:tcBorders>
            <w:shd w:val="clear" w:color="auto" w:fill="auto"/>
            <w:vAlign w:val="center"/>
          </w:tcPr>
          <w:p w14:paraId="0E290A0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r>
              <w:rPr>
                <w:rFonts w:hint="default" w:ascii="Times New Roman" w:hAnsi="Times New Roman" w:cs="Times New Roman" w:eastAsiaTheme="minorEastAsia"/>
                <w:color w:val="000000" w:themeColor="text1"/>
                <w:sz w:val="21"/>
                <w:szCs w:val="21"/>
                <w:highlight w:val="none"/>
                <w:vertAlign w:val="baseline"/>
                <w:lang w:val="en-US" w:eastAsia="zh-CN"/>
              </w:rPr>
              <w:t>1栋1层，占地面积39897.9m</w:t>
            </w:r>
            <w:r>
              <w:rPr>
                <w:rFonts w:hint="default" w:ascii="Times New Roman" w:hAnsi="Times New Roman" w:cs="Times New Roman" w:eastAsiaTheme="minorEastAsia"/>
                <w:color w:val="000000" w:themeColor="text1"/>
                <w:sz w:val="21"/>
                <w:szCs w:val="21"/>
                <w:highlight w:val="none"/>
                <w:vertAlign w:val="superscript"/>
                <w:lang w:val="en-US" w:eastAsia="zh-CN"/>
              </w:rPr>
              <w:t>2</w:t>
            </w:r>
            <w:r>
              <w:rPr>
                <w:rFonts w:hint="default" w:ascii="Times New Roman" w:hAnsi="Times New Roman" w:cs="Times New Roman" w:eastAsiaTheme="minorEastAsia"/>
                <w:color w:val="000000" w:themeColor="text1"/>
                <w:sz w:val="21"/>
                <w:szCs w:val="21"/>
                <w:highlight w:val="none"/>
                <w:vertAlign w:val="baseline"/>
                <w:lang w:val="en-US" w:eastAsia="zh-CN"/>
              </w:rPr>
              <w:t>，用于D20TGDI系列发动机生产</w:t>
            </w:r>
          </w:p>
        </w:tc>
      </w:tr>
      <w:tr w14:paraId="757DE1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5" w:type="dxa"/>
            <w:vMerge w:val="continue"/>
            <w:tcBorders>
              <w:tl2br w:val="nil"/>
              <w:tr2bl w:val="nil"/>
            </w:tcBorders>
            <w:vAlign w:val="center"/>
          </w:tcPr>
          <w:p w14:paraId="1AB1508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1583" w:type="dxa"/>
            <w:tcBorders>
              <w:tl2br w:val="nil"/>
              <w:tr2bl w:val="nil"/>
            </w:tcBorders>
            <w:shd w:val="clear" w:color="auto" w:fill="auto"/>
            <w:vAlign w:val="center"/>
          </w:tcPr>
          <w:p w14:paraId="108DEE6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r>
              <w:rPr>
                <w:rFonts w:hint="default" w:ascii="Times New Roman" w:hAnsi="Times New Roman" w:cs="Times New Roman" w:eastAsiaTheme="minorEastAsia"/>
                <w:color w:val="000000" w:themeColor="text1"/>
                <w:sz w:val="21"/>
                <w:szCs w:val="21"/>
                <w:highlight w:val="none"/>
                <w:vertAlign w:val="baseline"/>
                <w:lang w:val="en-US" w:eastAsia="zh-CN"/>
              </w:rPr>
              <w:t>技术研发中心</w:t>
            </w:r>
          </w:p>
        </w:tc>
        <w:tc>
          <w:tcPr>
            <w:tcW w:w="5884" w:type="dxa"/>
            <w:tcBorders>
              <w:tl2br w:val="nil"/>
              <w:tr2bl w:val="nil"/>
            </w:tcBorders>
            <w:shd w:val="clear" w:color="auto" w:fill="auto"/>
            <w:vAlign w:val="center"/>
          </w:tcPr>
          <w:p w14:paraId="0070899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r>
              <w:rPr>
                <w:rFonts w:hint="default" w:ascii="Times New Roman" w:hAnsi="Times New Roman" w:cs="Times New Roman" w:eastAsiaTheme="minorEastAsia"/>
                <w:color w:val="000000" w:themeColor="text1"/>
                <w:sz w:val="21"/>
                <w:szCs w:val="21"/>
                <w:highlight w:val="none"/>
                <w:vertAlign w:val="baseline"/>
                <w:lang w:val="en-US" w:eastAsia="zh-CN"/>
              </w:rPr>
              <w:t>1栋2层，占地面积为14560m</w:t>
            </w:r>
            <w:r>
              <w:rPr>
                <w:rFonts w:hint="default" w:ascii="Times New Roman" w:hAnsi="Times New Roman" w:cs="Times New Roman" w:eastAsiaTheme="minorEastAsia"/>
                <w:color w:val="000000" w:themeColor="text1"/>
                <w:sz w:val="21"/>
                <w:szCs w:val="21"/>
                <w:highlight w:val="none"/>
                <w:vertAlign w:val="superscript"/>
                <w:lang w:val="en-US" w:eastAsia="zh-CN"/>
              </w:rPr>
              <w:t>2</w:t>
            </w:r>
            <w:r>
              <w:rPr>
                <w:rFonts w:hint="default" w:ascii="Times New Roman" w:hAnsi="Times New Roman" w:cs="Times New Roman" w:eastAsiaTheme="minorEastAsia"/>
                <w:color w:val="000000" w:themeColor="text1"/>
                <w:sz w:val="21"/>
                <w:szCs w:val="21"/>
                <w:highlight w:val="none"/>
                <w:vertAlign w:val="baseline"/>
                <w:lang w:val="en-US" w:eastAsia="zh-CN"/>
              </w:rPr>
              <w:t>，用于企业研发试验</w:t>
            </w:r>
          </w:p>
        </w:tc>
      </w:tr>
      <w:tr w14:paraId="14ECC9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5" w:type="dxa"/>
            <w:vMerge w:val="restart"/>
            <w:tcBorders>
              <w:tl2br w:val="nil"/>
              <w:tr2bl w:val="nil"/>
            </w:tcBorders>
            <w:shd w:val="clear" w:color="auto" w:fill="auto"/>
            <w:vAlign w:val="center"/>
          </w:tcPr>
          <w:p w14:paraId="5ED9ECC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r>
              <w:rPr>
                <w:rFonts w:hint="default" w:ascii="Times New Roman" w:hAnsi="Times New Roman" w:cs="Times New Roman" w:eastAsiaTheme="minorEastAsia"/>
                <w:color w:val="000000" w:themeColor="text1"/>
                <w:sz w:val="21"/>
                <w:szCs w:val="21"/>
                <w:highlight w:val="none"/>
                <w:vertAlign w:val="baseline"/>
                <w:lang w:val="en-US" w:eastAsia="zh-CN"/>
              </w:rPr>
              <w:t>储运工程</w:t>
            </w:r>
          </w:p>
        </w:tc>
        <w:tc>
          <w:tcPr>
            <w:tcW w:w="1583" w:type="dxa"/>
            <w:vMerge w:val="restart"/>
            <w:tcBorders>
              <w:tl2br w:val="nil"/>
              <w:tr2bl w:val="nil"/>
            </w:tcBorders>
            <w:shd w:val="clear" w:color="auto" w:fill="auto"/>
            <w:vAlign w:val="center"/>
          </w:tcPr>
          <w:p w14:paraId="3C41F81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r>
              <w:rPr>
                <w:rFonts w:hint="default" w:ascii="Times New Roman" w:hAnsi="Times New Roman" w:cs="Times New Roman" w:eastAsiaTheme="minorEastAsia"/>
                <w:color w:val="000000" w:themeColor="text1"/>
                <w:sz w:val="21"/>
                <w:szCs w:val="21"/>
                <w:highlight w:val="none"/>
                <w:vertAlign w:val="baseline"/>
                <w:lang w:val="en-US" w:eastAsia="zh-CN"/>
              </w:rPr>
              <w:t>原料储存区</w:t>
            </w:r>
          </w:p>
        </w:tc>
        <w:tc>
          <w:tcPr>
            <w:tcW w:w="5884" w:type="dxa"/>
            <w:tcBorders>
              <w:tl2br w:val="nil"/>
              <w:tr2bl w:val="nil"/>
            </w:tcBorders>
            <w:shd w:val="clear" w:color="auto" w:fill="auto"/>
            <w:vAlign w:val="center"/>
          </w:tcPr>
          <w:p w14:paraId="5035B67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r>
              <w:rPr>
                <w:rFonts w:hint="default" w:ascii="Times New Roman" w:hAnsi="Times New Roman" w:cs="Times New Roman" w:eastAsiaTheme="minorEastAsia"/>
                <w:color w:val="000000" w:themeColor="text1"/>
                <w:sz w:val="21"/>
                <w:szCs w:val="21"/>
                <w:highlight w:val="none"/>
                <w:vertAlign w:val="baseline"/>
                <w:lang w:val="en-US" w:eastAsia="zh-CN"/>
              </w:rPr>
              <w:t>1#-4#联合厂房内，均设置占地面积为50m</w:t>
            </w:r>
            <w:r>
              <w:rPr>
                <w:rFonts w:hint="default" w:ascii="Times New Roman" w:hAnsi="Times New Roman" w:cs="Times New Roman" w:eastAsiaTheme="minorEastAsia"/>
                <w:color w:val="000000" w:themeColor="text1"/>
                <w:sz w:val="21"/>
                <w:szCs w:val="21"/>
                <w:highlight w:val="none"/>
                <w:vertAlign w:val="superscript"/>
                <w:lang w:val="en-US" w:eastAsia="zh-CN"/>
              </w:rPr>
              <w:t>2</w:t>
            </w:r>
            <w:r>
              <w:rPr>
                <w:rFonts w:hint="default" w:ascii="Times New Roman" w:hAnsi="Times New Roman" w:cs="Times New Roman" w:eastAsiaTheme="minorEastAsia"/>
                <w:color w:val="000000" w:themeColor="text1"/>
                <w:sz w:val="21"/>
                <w:szCs w:val="21"/>
                <w:highlight w:val="none"/>
                <w:vertAlign w:val="baseline"/>
                <w:lang w:val="en-US" w:eastAsia="zh-CN"/>
              </w:rPr>
              <w:t>，储存能力为50t，油类等液态原料存储于密闭桶装内，原料采取分区储存，围堰高0.2m，采取重点防渗</w:t>
            </w:r>
          </w:p>
        </w:tc>
      </w:tr>
      <w:tr w14:paraId="2BD8C0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5" w:type="dxa"/>
            <w:vMerge w:val="continue"/>
            <w:tcBorders>
              <w:tl2br w:val="nil"/>
              <w:tr2bl w:val="nil"/>
            </w:tcBorders>
            <w:vAlign w:val="center"/>
          </w:tcPr>
          <w:p w14:paraId="022FC7C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1583" w:type="dxa"/>
            <w:vMerge w:val="continue"/>
            <w:tcBorders>
              <w:tl2br w:val="nil"/>
              <w:tr2bl w:val="nil"/>
            </w:tcBorders>
            <w:vAlign w:val="center"/>
          </w:tcPr>
          <w:p w14:paraId="1F09D84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5884" w:type="dxa"/>
            <w:tcBorders>
              <w:tl2br w:val="nil"/>
              <w:tr2bl w:val="nil"/>
            </w:tcBorders>
            <w:shd w:val="clear" w:color="auto" w:fill="auto"/>
            <w:vAlign w:val="center"/>
          </w:tcPr>
          <w:p w14:paraId="0A6043F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r>
              <w:rPr>
                <w:rFonts w:hint="default" w:ascii="Times New Roman" w:hAnsi="Times New Roman" w:cs="Times New Roman" w:eastAsiaTheme="minorEastAsia"/>
                <w:color w:val="000000" w:themeColor="text1"/>
                <w:sz w:val="21"/>
                <w:szCs w:val="21"/>
                <w:highlight w:val="none"/>
                <w:vertAlign w:val="baseline"/>
                <w:lang w:val="en-US" w:eastAsia="zh-CN"/>
              </w:rPr>
              <w:t>试验试制厂房内，占地面积为35m</w:t>
            </w:r>
            <w:r>
              <w:rPr>
                <w:rFonts w:hint="default" w:ascii="Times New Roman" w:hAnsi="Times New Roman" w:cs="Times New Roman" w:eastAsiaTheme="minorEastAsia"/>
                <w:color w:val="000000" w:themeColor="text1"/>
                <w:sz w:val="21"/>
                <w:szCs w:val="21"/>
                <w:highlight w:val="none"/>
                <w:vertAlign w:val="superscript"/>
                <w:lang w:val="en-US" w:eastAsia="zh-CN"/>
              </w:rPr>
              <w:t>2</w:t>
            </w:r>
            <w:r>
              <w:rPr>
                <w:rFonts w:hint="default" w:ascii="Times New Roman" w:hAnsi="Times New Roman" w:cs="Times New Roman" w:eastAsiaTheme="minorEastAsia"/>
                <w:color w:val="000000" w:themeColor="text1"/>
                <w:sz w:val="21"/>
                <w:szCs w:val="21"/>
                <w:highlight w:val="none"/>
                <w:vertAlign w:val="baseline"/>
                <w:lang w:val="en-US" w:eastAsia="zh-CN"/>
              </w:rPr>
              <w:t>，储存能力为50t，油类等液态原料存储于密闭桶装内，原料采取分区储存，围堰高0.2m，采取重点防渗</w:t>
            </w:r>
          </w:p>
        </w:tc>
      </w:tr>
      <w:tr w14:paraId="6B7DCF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5" w:type="dxa"/>
            <w:vMerge w:val="continue"/>
            <w:tcBorders>
              <w:tl2br w:val="nil"/>
              <w:tr2bl w:val="nil"/>
            </w:tcBorders>
            <w:vAlign w:val="center"/>
          </w:tcPr>
          <w:p w14:paraId="7192D87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1583" w:type="dxa"/>
            <w:vMerge w:val="restart"/>
            <w:tcBorders>
              <w:tl2br w:val="nil"/>
              <w:tr2bl w:val="nil"/>
            </w:tcBorders>
            <w:shd w:val="clear" w:color="auto" w:fill="auto"/>
            <w:vAlign w:val="center"/>
          </w:tcPr>
          <w:p w14:paraId="3AA9137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r>
              <w:rPr>
                <w:rFonts w:hint="default" w:ascii="Times New Roman" w:hAnsi="Times New Roman" w:cs="Times New Roman" w:eastAsiaTheme="minorEastAsia"/>
                <w:color w:val="000000" w:themeColor="text1"/>
                <w:sz w:val="21"/>
                <w:szCs w:val="21"/>
                <w:highlight w:val="none"/>
                <w:vertAlign w:val="baseline"/>
                <w:lang w:val="en-US" w:eastAsia="zh-CN"/>
              </w:rPr>
              <w:t>成品储存区</w:t>
            </w:r>
          </w:p>
        </w:tc>
        <w:tc>
          <w:tcPr>
            <w:tcW w:w="5884" w:type="dxa"/>
            <w:tcBorders>
              <w:tl2br w:val="nil"/>
              <w:tr2bl w:val="nil"/>
            </w:tcBorders>
            <w:shd w:val="clear" w:color="auto" w:fill="auto"/>
            <w:vAlign w:val="center"/>
          </w:tcPr>
          <w:p w14:paraId="43C9986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r>
              <w:rPr>
                <w:rFonts w:hint="default" w:ascii="Times New Roman" w:hAnsi="Times New Roman" w:cs="Times New Roman" w:eastAsiaTheme="minorEastAsia"/>
                <w:color w:val="000000" w:themeColor="text1"/>
                <w:sz w:val="21"/>
                <w:szCs w:val="21"/>
                <w:highlight w:val="none"/>
                <w:vertAlign w:val="baseline"/>
                <w:lang w:val="en-US" w:eastAsia="zh-CN"/>
              </w:rPr>
              <w:t>1#-4#联合厂房内，占地面积为150m</w:t>
            </w:r>
            <w:r>
              <w:rPr>
                <w:rFonts w:hint="default" w:ascii="Times New Roman" w:hAnsi="Times New Roman" w:cs="Times New Roman" w:eastAsiaTheme="minorEastAsia"/>
                <w:color w:val="000000" w:themeColor="text1"/>
                <w:sz w:val="21"/>
                <w:szCs w:val="21"/>
                <w:highlight w:val="none"/>
                <w:vertAlign w:val="superscript"/>
                <w:lang w:val="en-US" w:eastAsia="zh-CN"/>
              </w:rPr>
              <w:t>2</w:t>
            </w:r>
            <w:r>
              <w:rPr>
                <w:rFonts w:hint="default" w:ascii="Times New Roman" w:hAnsi="Times New Roman" w:cs="Times New Roman" w:eastAsiaTheme="minorEastAsia"/>
                <w:color w:val="000000" w:themeColor="text1"/>
                <w:sz w:val="21"/>
                <w:szCs w:val="21"/>
                <w:highlight w:val="none"/>
                <w:vertAlign w:val="baseline"/>
                <w:lang w:val="en-US" w:eastAsia="zh-CN"/>
              </w:rPr>
              <w:t>，储存能力为2000台</w:t>
            </w:r>
          </w:p>
        </w:tc>
      </w:tr>
      <w:tr w14:paraId="5470EE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5" w:type="dxa"/>
            <w:vMerge w:val="continue"/>
            <w:tcBorders>
              <w:tl2br w:val="nil"/>
              <w:tr2bl w:val="nil"/>
            </w:tcBorders>
            <w:vAlign w:val="center"/>
          </w:tcPr>
          <w:p w14:paraId="76C3D1E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1583" w:type="dxa"/>
            <w:vMerge w:val="continue"/>
            <w:tcBorders>
              <w:tl2br w:val="nil"/>
              <w:tr2bl w:val="nil"/>
            </w:tcBorders>
            <w:vAlign w:val="center"/>
          </w:tcPr>
          <w:p w14:paraId="795D670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5884" w:type="dxa"/>
            <w:tcBorders>
              <w:tl2br w:val="nil"/>
              <w:tr2bl w:val="nil"/>
            </w:tcBorders>
            <w:shd w:val="clear" w:color="auto" w:fill="auto"/>
            <w:vAlign w:val="center"/>
          </w:tcPr>
          <w:p w14:paraId="00E009E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r>
              <w:rPr>
                <w:rFonts w:hint="default" w:ascii="Times New Roman" w:hAnsi="Times New Roman" w:cs="Times New Roman" w:eastAsiaTheme="minorEastAsia"/>
                <w:color w:val="000000" w:themeColor="text1"/>
                <w:sz w:val="21"/>
                <w:szCs w:val="21"/>
                <w:highlight w:val="none"/>
                <w:vertAlign w:val="baseline"/>
                <w:lang w:val="en-US" w:eastAsia="zh-CN"/>
              </w:rPr>
              <w:t>试验试制厂房内，占地面积为224m</w:t>
            </w:r>
            <w:r>
              <w:rPr>
                <w:rFonts w:hint="default" w:ascii="Times New Roman" w:hAnsi="Times New Roman" w:cs="Times New Roman" w:eastAsiaTheme="minorEastAsia"/>
                <w:color w:val="000000" w:themeColor="text1"/>
                <w:sz w:val="21"/>
                <w:szCs w:val="21"/>
                <w:highlight w:val="none"/>
                <w:vertAlign w:val="superscript"/>
                <w:lang w:val="en-US" w:eastAsia="zh-CN"/>
              </w:rPr>
              <w:t>2</w:t>
            </w:r>
          </w:p>
        </w:tc>
      </w:tr>
      <w:tr w14:paraId="6BCAFF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5" w:type="dxa"/>
            <w:vMerge w:val="continue"/>
            <w:tcBorders>
              <w:tl2br w:val="nil"/>
              <w:tr2bl w:val="nil"/>
            </w:tcBorders>
            <w:vAlign w:val="center"/>
          </w:tcPr>
          <w:p w14:paraId="16508A8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1583" w:type="dxa"/>
            <w:tcBorders>
              <w:tl2br w:val="nil"/>
              <w:tr2bl w:val="nil"/>
            </w:tcBorders>
            <w:shd w:val="clear" w:color="auto" w:fill="auto"/>
            <w:vAlign w:val="center"/>
          </w:tcPr>
          <w:p w14:paraId="3A6416A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r>
              <w:rPr>
                <w:rFonts w:hint="default" w:ascii="Times New Roman" w:hAnsi="Times New Roman" w:cs="Times New Roman" w:eastAsiaTheme="minorEastAsia"/>
                <w:color w:val="000000" w:themeColor="text1"/>
                <w:sz w:val="21"/>
                <w:szCs w:val="21"/>
                <w:highlight w:val="none"/>
                <w:vertAlign w:val="baseline"/>
                <w:lang w:val="en-US" w:eastAsia="zh-CN"/>
              </w:rPr>
              <w:t>供油站</w:t>
            </w:r>
          </w:p>
        </w:tc>
        <w:tc>
          <w:tcPr>
            <w:tcW w:w="5884" w:type="dxa"/>
            <w:tcBorders>
              <w:tl2br w:val="nil"/>
              <w:tr2bl w:val="nil"/>
            </w:tcBorders>
            <w:shd w:val="clear" w:color="auto" w:fill="auto"/>
            <w:vAlign w:val="center"/>
          </w:tcPr>
          <w:p w14:paraId="52910E5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r>
              <w:rPr>
                <w:rFonts w:hint="default" w:ascii="Times New Roman" w:hAnsi="Times New Roman" w:cs="Times New Roman" w:eastAsiaTheme="minorEastAsia"/>
                <w:color w:val="000000" w:themeColor="text1"/>
                <w:sz w:val="21"/>
                <w:szCs w:val="21"/>
                <w:highlight w:val="none"/>
                <w:vertAlign w:val="baseline"/>
                <w:lang w:val="en-US" w:eastAsia="zh-CN"/>
              </w:rPr>
              <w:t>1栋1层，建筑面积为103.83m</w:t>
            </w:r>
            <w:r>
              <w:rPr>
                <w:rFonts w:hint="default" w:ascii="Times New Roman" w:hAnsi="Times New Roman" w:cs="Times New Roman" w:eastAsiaTheme="minorEastAsia"/>
                <w:color w:val="000000" w:themeColor="text1"/>
                <w:sz w:val="21"/>
                <w:szCs w:val="21"/>
                <w:highlight w:val="none"/>
                <w:vertAlign w:val="superscript"/>
                <w:lang w:val="en-US" w:eastAsia="zh-CN"/>
              </w:rPr>
              <w:t>2</w:t>
            </w:r>
            <w:r>
              <w:rPr>
                <w:rFonts w:hint="default" w:ascii="Times New Roman" w:hAnsi="Times New Roman" w:cs="Times New Roman" w:eastAsiaTheme="minorEastAsia"/>
                <w:color w:val="000000" w:themeColor="text1"/>
                <w:sz w:val="21"/>
                <w:szCs w:val="21"/>
                <w:highlight w:val="none"/>
                <w:vertAlign w:val="baseline"/>
                <w:lang w:val="en-US" w:eastAsia="zh-CN"/>
              </w:rPr>
              <w:t>，直埋1个20m</w:t>
            </w:r>
            <w:r>
              <w:rPr>
                <w:rFonts w:hint="default" w:ascii="Times New Roman" w:hAnsi="Times New Roman" w:cs="Times New Roman" w:eastAsiaTheme="minorEastAsia"/>
                <w:color w:val="000000" w:themeColor="text1"/>
                <w:sz w:val="21"/>
                <w:szCs w:val="21"/>
                <w:highlight w:val="none"/>
                <w:vertAlign w:val="superscript"/>
                <w:lang w:val="en-US" w:eastAsia="zh-CN"/>
              </w:rPr>
              <w:t>3</w:t>
            </w:r>
            <w:r>
              <w:rPr>
                <w:rFonts w:hint="default" w:ascii="Times New Roman" w:hAnsi="Times New Roman" w:cs="Times New Roman" w:eastAsiaTheme="minorEastAsia"/>
                <w:color w:val="000000" w:themeColor="text1"/>
                <w:sz w:val="21"/>
                <w:szCs w:val="21"/>
                <w:highlight w:val="none"/>
                <w:vertAlign w:val="baseline"/>
                <w:lang w:val="en-US" w:eastAsia="zh-CN"/>
              </w:rPr>
              <w:t>92#汽油罐、1个5m</w:t>
            </w:r>
            <w:r>
              <w:rPr>
                <w:rFonts w:hint="default" w:ascii="Times New Roman" w:hAnsi="Times New Roman" w:cs="Times New Roman" w:eastAsiaTheme="minorEastAsia"/>
                <w:color w:val="000000" w:themeColor="text1"/>
                <w:sz w:val="21"/>
                <w:szCs w:val="21"/>
                <w:highlight w:val="none"/>
                <w:vertAlign w:val="superscript"/>
                <w:lang w:val="en-US" w:eastAsia="zh-CN"/>
              </w:rPr>
              <w:t>3</w:t>
            </w:r>
            <w:r>
              <w:rPr>
                <w:rFonts w:hint="default" w:ascii="Times New Roman" w:hAnsi="Times New Roman" w:cs="Times New Roman" w:eastAsiaTheme="minorEastAsia"/>
                <w:color w:val="000000" w:themeColor="text1"/>
                <w:sz w:val="21"/>
                <w:szCs w:val="21"/>
                <w:highlight w:val="none"/>
                <w:vertAlign w:val="baseline"/>
                <w:lang w:val="en-US" w:eastAsia="zh-CN"/>
              </w:rPr>
              <w:t>92#汽油罐，2个5m</w:t>
            </w:r>
            <w:r>
              <w:rPr>
                <w:rFonts w:hint="default" w:ascii="Times New Roman" w:hAnsi="Times New Roman" w:cs="Times New Roman" w:eastAsiaTheme="minorEastAsia"/>
                <w:color w:val="000000" w:themeColor="text1"/>
                <w:sz w:val="21"/>
                <w:szCs w:val="21"/>
                <w:highlight w:val="none"/>
                <w:vertAlign w:val="superscript"/>
                <w:lang w:val="en-US" w:eastAsia="zh-CN"/>
              </w:rPr>
              <w:t>3</w:t>
            </w:r>
            <w:r>
              <w:rPr>
                <w:rFonts w:hint="default" w:ascii="Times New Roman" w:hAnsi="Times New Roman" w:cs="Times New Roman" w:eastAsiaTheme="minorEastAsia"/>
                <w:color w:val="000000" w:themeColor="text1"/>
                <w:sz w:val="21"/>
                <w:szCs w:val="21"/>
                <w:highlight w:val="none"/>
                <w:vertAlign w:val="baseline"/>
                <w:lang w:val="en-US" w:eastAsia="zh-CN"/>
              </w:rPr>
              <w:t>95#汽油罐，均采用双层油罐</w:t>
            </w:r>
          </w:p>
        </w:tc>
      </w:tr>
      <w:tr w14:paraId="39409E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5" w:type="dxa"/>
            <w:vMerge w:val="continue"/>
            <w:tcBorders>
              <w:tl2br w:val="nil"/>
              <w:tr2bl w:val="nil"/>
            </w:tcBorders>
            <w:vAlign w:val="center"/>
          </w:tcPr>
          <w:p w14:paraId="216716A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1583" w:type="dxa"/>
            <w:tcBorders>
              <w:tl2br w:val="nil"/>
              <w:tr2bl w:val="nil"/>
            </w:tcBorders>
            <w:shd w:val="clear" w:color="auto" w:fill="auto"/>
            <w:vAlign w:val="center"/>
          </w:tcPr>
          <w:p w14:paraId="5B6BD0C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en-US"/>
              </w:rPr>
            </w:pPr>
            <w:r>
              <w:rPr>
                <w:rFonts w:hint="default" w:ascii="Times New Roman" w:hAnsi="Times New Roman" w:cs="Times New Roman" w:eastAsiaTheme="minorEastAsia"/>
                <w:color w:val="000000" w:themeColor="text1"/>
                <w:sz w:val="21"/>
                <w:szCs w:val="21"/>
                <w:highlight w:val="none"/>
                <w:vertAlign w:val="baseline"/>
                <w:lang w:val="en-US" w:eastAsia="zh-CN"/>
              </w:rPr>
              <w:t>危废贮存库</w:t>
            </w:r>
          </w:p>
        </w:tc>
        <w:tc>
          <w:tcPr>
            <w:tcW w:w="5884" w:type="dxa"/>
            <w:tcBorders>
              <w:tl2br w:val="nil"/>
              <w:tr2bl w:val="nil"/>
            </w:tcBorders>
            <w:shd w:val="clear" w:color="auto" w:fill="auto"/>
            <w:vAlign w:val="center"/>
          </w:tcPr>
          <w:p w14:paraId="6E2F902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en-US"/>
              </w:rPr>
            </w:pPr>
            <w:r>
              <w:rPr>
                <w:rFonts w:hint="default" w:ascii="Times New Roman" w:hAnsi="Times New Roman" w:cs="Times New Roman" w:eastAsiaTheme="minorEastAsia"/>
                <w:color w:val="000000" w:themeColor="text1"/>
                <w:sz w:val="21"/>
                <w:szCs w:val="21"/>
                <w:highlight w:val="none"/>
                <w:vertAlign w:val="baseline"/>
                <w:lang w:val="en-US" w:eastAsia="zh-CN"/>
              </w:rPr>
              <w:t>1栋1层，占地面积</w:t>
            </w:r>
            <w:r>
              <w:rPr>
                <w:rFonts w:hint="eastAsia" w:ascii="Times New Roman" w:hAnsi="Times New Roman" w:cs="Times New Roman" w:eastAsiaTheme="minorEastAsia"/>
                <w:color w:val="000000" w:themeColor="text1"/>
                <w:sz w:val="21"/>
                <w:szCs w:val="21"/>
                <w:highlight w:val="none"/>
                <w:vertAlign w:val="baseline"/>
                <w:lang w:val="en-US" w:eastAsia="zh-CN"/>
              </w:rPr>
              <w:t>198</w:t>
            </w:r>
            <w:r>
              <w:rPr>
                <w:rFonts w:hint="default" w:ascii="Times New Roman" w:hAnsi="Times New Roman" w:cs="Times New Roman" w:eastAsiaTheme="minorEastAsia"/>
                <w:color w:val="000000" w:themeColor="text1"/>
                <w:sz w:val="21"/>
                <w:szCs w:val="21"/>
                <w:highlight w:val="none"/>
                <w:vertAlign w:val="baseline"/>
                <w:lang w:val="en-US" w:eastAsia="zh-CN"/>
              </w:rPr>
              <w:t>m</w:t>
            </w:r>
            <w:r>
              <w:rPr>
                <w:rFonts w:hint="default" w:ascii="Times New Roman" w:hAnsi="Times New Roman" w:cs="Times New Roman" w:eastAsiaTheme="minorEastAsia"/>
                <w:color w:val="000000" w:themeColor="text1"/>
                <w:sz w:val="21"/>
                <w:szCs w:val="21"/>
                <w:highlight w:val="none"/>
                <w:vertAlign w:val="superscript"/>
                <w:lang w:val="en-US" w:eastAsia="zh-CN"/>
              </w:rPr>
              <w:t>2</w:t>
            </w:r>
            <w:r>
              <w:rPr>
                <w:rFonts w:hint="default" w:ascii="Times New Roman" w:hAnsi="Times New Roman" w:cs="Times New Roman" w:eastAsiaTheme="minorEastAsia"/>
                <w:color w:val="000000" w:themeColor="text1"/>
                <w:sz w:val="21"/>
                <w:szCs w:val="21"/>
                <w:highlight w:val="none"/>
                <w:vertAlign w:val="baseline"/>
                <w:lang w:val="en-US" w:eastAsia="zh-CN"/>
              </w:rPr>
              <w:t>，设置导流沟、事故收集池、废液池，最大储存能力为</w:t>
            </w:r>
            <w:r>
              <w:rPr>
                <w:rFonts w:hint="eastAsia" w:ascii="Times New Roman" w:hAnsi="Times New Roman" w:cs="Times New Roman" w:eastAsiaTheme="minorEastAsia"/>
                <w:color w:val="000000" w:themeColor="text1"/>
                <w:sz w:val="21"/>
                <w:szCs w:val="21"/>
                <w:highlight w:val="none"/>
                <w:vertAlign w:val="baseline"/>
                <w:lang w:val="en-US" w:eastAsia="zh-CN"/>
              </w:rPr>
              <w:t>60</w:t>
            </w:r>
            <w:r>
              <w:rPr>
                <w:rFonts w:hint="default" w:ascii="Times New Roman" w:hAnsi="Times New Roman" w:cs="Times New Roman" w:eastAsiaTheme="minorEastAsia"/>
                <w:color w:val="000000" w:themeColor="text1"/>
                <w:sz w:val="21"/>
                <w:szCs w:val="21"/>
                <w:highlight w:val="none"/>
                <w:vertAlign w:val="baseline"/>
                <w:lang w:val="en-US" w:eastAsia="zh-CN"/>
              </w:rPr>
              <w:t>t</w:t>
            </w:r>
          </w:p>
        </w:tc>
      </w:tr>
      <w:tr w14:paraId="0013DF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5" w:type="dxa"/>
            <w:vMerge w:val="restart"/>
            <w:tcBorders>
              <w:tl2br w:val="nil"/>
              <w:tr2bl w:val="nil"/>
            </w:tcBorders>
            <w:shd w:val="clear" w:color="auto" w:fill="auto"/>
            <w:vAlign w:val="center"/>
          </w:tcPr>
          <w:p w14:paraId="24C5B14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r>
              <w:rPr>
                <w:rFonts w:hint="default" w:ascii="Times New Roman" w:hAnsi="Times New Roman" w:cs="Times New Roman" w:eastAsiaTheme="minorEastAsia"/>
                <w:color w:val="000000" w:themeColor="text1"/>
                <w:sz w:val="21"/>
                <w:szCs w:val="21"/>
                <w:highlight w:val="none"/>
                <w:vertAlign w:val="baseline"/>
                <w:lang w:val="en-US" w:eastAsia="zh-CN"/>
              </w:rPr>
              <w:t>公用工程</w:t>
            </w:r>
          </w:p>
        </w:tc>
        <w:tc>
          <w:tcPr>
            <w:tcW w:w="1583" w:type="dxa"/>
            <w:tcBorders>
              <w:tl2br w:val="nil"/>
              <w:tr2bl w:val="nil"/>
            </w:tcBorders>
            <w:shd w:val="clear" w:color="auto" w:fill="auto"/>
            <w:vAlign w:val="center"/>
          </w:tcPr>
          <w:p w14:paraId="4032AE8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en-US"/>
              </w:rPr>
            </w:pPr>
            <w:r>
              <w:rPr>
                <w:rFonts w:hint="default" w:ascii="Times New Roman" w:hAnsi="Times New Roman" w:cs="Times New Roman" w:eastAsiaTheme="minorEastAsia"/>
                <w:color w:val="000000" w:themeColor="text1"/>
                <w:sz w:val="21"/>
                <w:szCs w:val="21"/>
                <w:highlight w:val="none"/>
                <w:vertAlign w:val="baseline"/>
                <w:lang w:val="en-US" w:eastAsia="zh-CN"/>
              </w:rPr>
              <w:t>给水</w:t>
            </w:r>
          </w:p>
        </w:tc>
        <w:tc>
          <w:tcPr>
            <w:tcW w:w="5884" w:type="dxa"/>
            <w:tcBorders>
              <w:tl2br w:val="nil"/>
              <w:tr2bl w:val="nil"/>
            </w:tcBorders>
            <w:shd w:val="clear" w:color="auto" w:fill="auto"/>
            <w:vAlign w:val="center"/>
          </w:tcPr>
          <w:p w14:paraId="3157684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en-US"/>
              </w:rPr>
            </w:pPr>
            <w:r>
              <w:rPr>
                <w:rFonts w:hint="default" w:ascii="Times New Roman" w:hAnsi="Times New Roman" w:cs="Times New Roman" w:eastAsiaTheme="minorEastAsia"/>
                <w:color w:val="000000" w:themeColor="text1"/>
                <w:sz w:val="21"/>
                <w:szCs w:val="21"/>
                <w:highlight w:val="none"/>
                <w:vertAlign w:val="baseline"/>
                <w:lang w:val="en-US" w:eastAsia="zh-CN"/>
              </w:rPr>
              <w:t>由市政供水管网供给</w:t>
            </w:r>
          </w:p>
        </w:tc>
      </w:tr>
      <w:tr w14:paraId="24F2DD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5" w:type="dxa"/>
            <w:vMerge w:val="continue"/>
            <w:tcBorders>
              <w:tl2br w:val="nil"/>
              <w:tr2bl w:val="nil"/>
            </w:tcBorders>
            <w:vAlign w:val="center"/>
          </w:tcPr>
          <w:p w14:paraId="7F51648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1583" w:type="dxa"/>
            <w:tcBorders>
              <w:tl2br w:val="nil"/>
              <w:tr2bl w:val="nil"/>
            </w:tcBorders>
            <w:shd w:val="clear" w:color="auto" w:fill="auto"/>
            <w:vAlign w:val="center"/>
          </w:tcPr>
          <w:p w14:paraId="710C27C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en-US"/>
              </w:rPr>
            </w:pPr>
            <w:r>
              <w:rPr>
                <w:rFonts w:hint="default" w:ascii="Times New Roman" w:hAnsi="Times New Roman" w:cs="Times New Roman" w:eastAsiaTheme="minorEastAsia"/>
                <w:color w:val="000000" w:themeColor="text1"/>
                <w:sz w:val="21"/>
                <w:szCs w:val="21"/>
                <w:highlight w:val="none"/>
                <w:vertAlign w:val="baseline"/>
                <w:lang w:val="en-US" w:eastAsia="zh-CN"/>
              </w:rPr>
              <w:t>排水</w:t>
            </w:r>
          </w:p>
        </w:tc>
        <w:tc>
          <w:tcPr>
            <w:tcW w:w="5884" w:type="dxa"/>
            <w:tcBorders>
              <w:tl2br w:val="nil"/>
              <w:tr2bl w:val="nil"/>
            </w:tcBorders>
            <w:shd w:val="clear" w:color="auto" w:fill="auto"/>
            <w:vAlign w:val="center"/>
          </w:tcPr>
          <w:p w14:paraId="6CD2111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en-US"/>
              </w:rPr>
            </w:pPr>
            <w:r>
              <w:rPr>
                <w:rFonts w:hint="default" w:ascii="Times New Roman" w:hAnsi="Times New Roman" w:cs="Times New Roman" w:eastAsiaTheme="minorEastAsia"/>
                <w:color w:val="000000" w:themeColor="text1"/>
                <w:sz w:val="21"/>
                <w:szCs w:val="21"/>
                <w:highlight w:val="none"/>
                <w:vertAlign w:val="baseline"/>
                <w:lang w:val="en-US" w:eastAsia="zh-CN"/>
              </w:rPr>
              <w:t>本项目不新增废水排放</w:t>
            </w:r>
          </w:p>
        </w:tc>
      </w:tr>
      <w:tr w14:paraId="2EDCAC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5" w:type="dxa"/>
            <w:vMerge w:val="continue"/>
            <w:tcBorders>
              <w:tl2br w:val="nil"/>
              <w:tr2bl w:val="nil"/>
            </w:tcBorders>
            <w:vAlign w:val="center"/>
          </w:tcPr>
          <w:p w14:paraId="4BD96C1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1583" w:type="dxa"/>
            <w:tcBorders>
              <w:tl2br w:val="nil"/>
              <w:tr2bl w:val="nil"/>
            </w:tcBorders>
            <w:shd w:val="clear" w:color="auto" w:fill="auto"/>
            <w:vAlign w:val="center"/>
          </w:tcPr>
          <w:p w14:paraId="5DBE56B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en-US"/>
              </w:rPr>
            </w:pPr>
            <w:r>
              <w:rPr>
                <w:rFonts w:hint="default" w:ascii="Times New Roman" w:hAnsi="Times New Roman" w:cs="Times New Roman" w:eastAsiaTheme="minorEastAsia"/>
                <w:color w:val="000000" w:themeColor="text1"/>
                <w:sz w:val="21"/>
                <w:szCs w:val="21"/>
                <w:highlight w:val="none"/>
                <w:vertAlign w:val="baseline"/>
                <w:lang w:val="en-US" w:eastAsia="zh-CN"/>
              </w:rPr>
              <w:t>供电</w:t>
            </w:r>
          </w:p>
        </w:tc>
        <w:tc>
          <w:tcPr>
            <w:tcW w:w="5884" w:type="dxa"/>
            <w:tcBorders>
              <w:tl2br w:val="nil"/>
              <w:tr2bl w:val="nil"/>
            </w:tcBorders>
            <w:shd w:val="clear" w:color="auto" w:fill="auto"/>
            <w:vAlign w:val="center"/>
          </w:tcPr>
          <w:p w14:paraId="03C8490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en-US"/>
              </w:rPr>
            </w:pPr>
            <w:r>
              <w:rPr>
                <w:rFonts w:hint="default" w:ascii="Times New Roman" w:hAnsi="Times New Roman" w:cs="Times New Roman" w:eastAsiaTheme="minorEastAsia"/>
                <w:color w:val="000000" w:themeColor="text1"/>
                <w:sz w:val="21"/>
                <w:szCs w:val="21"/>
                <w:highlight w:val="none"/>
                <w:vertAlign w:val="baseline"/>
                <w:lang w:val="en-US" w:eastAsia="zh-CN"/>
              </w:rPr>
              <w:t>由国家电网供给</w:t>
            </w:r>
          </w:p>
        </w:tc>
      </w:tr>
      <w:tr w14:paraId="2124BC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5" w:type="dxa"/>
            <w:vMerge w:val="continue"/>
            <w:tcBorders>
              <w:tl2br w:val="nil"/>
              <w:tr2bl w:val="nil"/>
            </w:tcBorders>
            <w:vAlign w:val="center"/>
          </w:tcPr>
          <w:p w14:paraId="6A15C4E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1583" w:type="dxa"/>
            <w:tcBorders>
              <w:tl2br w:val="nil"/>
              <w:tr2bl w:val="nil"/>
            </w:tcBorders>
            <w:shd w:val="clear" w:color="auto" w:fill="auto"/>
            <w:vAlign w:val="center"/>
          </w:tcPr>
          <w:p w14:paraId="482745E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en-US"/>
              </w:rPr>
            </w:pPr>
            <w:r>
              <w:rPr>
                <w:rFonts w:hint="default" w:ascii="Times New Roman" w:hAnsi="Times New Roman" w:cs="Times New Roman" w:eastAsiaTheme="minorEastAsia"/>
                <w:color w:val="000000" w:themeColor="text1"/>
                <w:sz w:val="21"/>
                <w:szCs w:val="21"/>
                <w:highlight w:val="none"/>
                <w:vertAlign w:val="baseline"/>
                <w:lang w:val="en-US" w:eastAsia="zh-CN"/>
              </w:rPr>
              <w:t>供热</w:t>
            </w:r>
          </w:p>
        </w:tc>
        <w:tc>
          <w:tcPr>
            <w:tcW w:w="5884" w:type="dxa"/>
            <w:tcBorders>
              <w:tl2br w:val="nil"/>
              <w:tr2bl w:val="nil"/>
            </w:tcBorders>
            <w:shd w:val="clear" w:color="auto" w:fill="auto"/>
            <w:vAlign w:val="center"/>
          </w:tcPr>
          <w:p w14:paraId="56E59DD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en-US"/>
              </w:rPr>
            </w:pPr>
            <w:r>
              <w:rPr>
                <w:rFonts w:hint="default" w:ascii="Times New Roman" w:hAnsi="Times New Roman" w:cs="Times New Roman" w:eastAsiaTheme="minorEastAsia"/>
                <w:color w:val="000000" w:themeColor="text1"/>
                <w:sz w:val="21"/>
                <w:szCs w:val="21"/>
                <w:highlight w:val="none"/>
                <w:vertAlign w:val="baseline"/>
                <w:lang w:val="en-US" w:eastAsia="zh-CN"/>
              </w:rPr>
              <w:t>冬季取暖由</w:t>
            </w:r>
            <w:r>
              <w:rPr>
                <w:rFonts w:hint="eastAsia" w:ascii="Times New Roman" w:hAnsi="Times New Roman" w:cs="Times New Roman" w:eastAsiaTheme="minorEastAsia"/>
                <w:color w:val="000000" w:themeColor="text1"/>
                <w:sz w:val="21"/>
                <w:szCs w:val="21"/>
                <w:highlight w:val="none"/>
                <w:vertAlign w:val="baseline"/>
                <w:lang w:val="en-US" w:eastAsia="zh-CN"/>
              </w:rPr>
              <w:t>哈尔滨哈南供热有限公司</w:t>
            </w:r>
            <w:r>
              <w:rPr>
                <w:rFonts w:hint="default" w:ascii="Times New Roman" w:hAnsi="Times New Roman" w:cs="Times New Roman" w:eastAsiaTheme="minorEastAsia"/>
                <w:color w:val="000000" w:themeColor="text1"/>
                <w:sz w:val="21"/>
                <w:szCs w:val="21"/>
                <w:highlight w:val="none"/>
                <w:vertAlign w:val="baseline"/>
                <w:lang w:val="en-US" w:eastAsia="zh-CN"/>
              </w:rPr>
              <w:t>提供</w:t>
            </w:r>
          </w:p>
        </w:tc>
      </w:tr>
      <w:tr w14:paraId="468C1B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5" w:type="dxa"/>
            <w:vMerge w:val="restart"/>
            <w:tcBorders>
              <w:tl2br w:val="nil"/>
              <w:tr2bl w:val="nil"/>
            </w:tcBorders>
            <w:shd w:val="clear" w:color="auto" w:fill="auto"/>
            <w:vAlign w:val="center"/>
          </w:tcPr>
          <w:p w14:paraId="3F997D1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r>
              <w:rPr>
                <w:rFonts w:hint="default" w:ascii="Times New Roman" w:hAnsi="Times New Roman" w:cs="Times New Roman" w:eastAsiaTheme="minorEastAsia"/>
                <w:color w:val="000000" w:themeColor="text1"/>
                <w:sz w:val="21"/>
                <w:szCs w:val="21"/>
                <w:highlight w:val="none"/>
                <w:vertAlign w:val="baseline"/>
                <w:lang w:val="en-US" w:eastAsia="zh-CN"/>
              </w:rPr>
              <w:t>环保工程</w:t>
            </w:r>
          </w:p>
        </w:tc>
        <w:tc>
          <w:tcPr>
            <w:tcW w:w="1583" w:type="dxa"/>
            <w:vMerge w:val="restart"/>
            <w:tcBorders>
              <w:tl2br w:val="nil"/>
              <w:tr2bl w:val="nil"/>
            </w:tcBorders>
            <w:shd w:val="clear" w:color="auto" w:fill="auto"/>
            <w:vAlign w:val="center"/>
          </w:tcPr>
          <w:p w14:paraId="714F22A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en-US"/>
              </w:rPr>
            </w:pPr>
            <w:r>
              <w:rPr>
                <w:rFonts w:hint="default" w:ascii="Times New Roman" w:hAnsi="Times New Roman" w:cs="Times New Roman" w:eastAsiaTheme="minorEastAsia"/>
                <w:color w:val="000000" w:themeColor="text1"/>
                <w:sz w:val="21"/>
                <w:szCs w:val="21"/>
                <w:highlight w:val="none"/>
                <w:vertAlign w:val="baseline"/>
                <w:lang w:val="en-US" w:eastAsia="zh-CN"/>
              </w:rPr>
              <w:t>废水</w:t>
            </w:r>
          </w:p>
        </w:tc>
        <w:tc>
          <w:tcPr>
            <w:tcW w:w="5884" w:type="dxa"/>
            <w:tcBorders>
              <w:tl2br w:val="nil"/>
              <w:tr2bl w:val="nil"/>
            </w:tcBorders>
            <w:shd w:val="clear" w:color="auto" w:fill="auto"/>
            <w:vAlign w:val="center"/>
          </w:tcPr>
          <w:p w14:paraId="531D621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en-US"/>
              </w:rPr>
            </w:pPr>
            <w:r>
              <w:rPr>
                <w:rFonts w:hint="default" w:ascii="Times New Roman" w:hAnsi="Times New Roman" w:cs="Times New Roman" w:eastAsiaTheme="minorEastAsia"/>
                <w:color w:val="000000" w:themeColor="text1"/>
                <w:sz w:val="21"/>
                <w:szCs w:val="21"/>
                <w:highlight w:val="none"/>
                <w:vertAlign w:val="baseline"/>
                <w:lang w:val="en-US" w:eastAsia="zh-CN"/>
              </w:rPr>
              <w:t>生活污水通过市政污水管网排入</w:t>
            </w:r>
            <w:r>
              <w:rPr>
                <w:rFonts w:hint="eastAsia" w:ascii="Times New Roman" w:hAnsi="Times New Roman" w:cs="Times New Roman" w:eastAsiaTheme="minorEastAsia"/>
                <w:color w:val="000000" w:themeColor="text1"/>
                <w:sz w:val="21"/>
                <w:szCs w:val="21"/>
                <w:highlight w:val="none"/>
                <w:vertAlign w:val="baseline"/>
                <w:lang w:val="en-US" w:eastAsia="zh-CN"/>
              </w:rPr>
              <w:t>哈尔滨市朝阳水质净化厂</w:t>
            </w:r>
            <w:r>
              <w:rPr>
                <w:rFonts w:hint="default" w:ascii="Times New Roman" w:hAnsi="Times New Roman" w:cs="Times New Roman" w:eastAsiaTheme="minorEastAsia"/>
                <w:color w:val="000000" w:themeColor="text1"/>
                <w:sz w:val="21"/>
                <w:szCs w:val="21"/>
                <w:highlight w:val="none"/>
                <w:vertAlign w:val="baseline"/>
                <w:lang w:val="en-US" w:eastAsia="zh-CN"/>
              </w:rPr>
              <w:t>处理</w:t>
            </w:r>
          </w:p>
        </w:tc>
      </w:tr>
      <w:tr w14:paraId="31EF0E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5" w:type="dxa"/>
            <w:vMerge w:val="continue"/>
            <w:tcBorders>
              <w:tl2br w:val="nil"/>
              <w:tr2bl w:val="nil"/>
            </w:tcBorders>
            <w:vAlign w:val="center"/>
          </w:tcPr>
          <w:p w14:paraId="79B1DBD0">
            <w:pPr>
              <w:keepNext w:val="0"/>
              <w:keepLines w:val="0"/>
              <w:pageBreakBefore w:val="0"/>
              <w:widowControl w:val="0"/>
              <w:numPr>
                <w:ilvl w:val="0"/>
                <w:numId w:val="0"/>
              </w:numPr>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1583" w:type="dxa"/>
            <w:vMerge w:val="continue"/>
            <w:tcBorders>
              <w:tl2br w:val="nil"/>
              <w:tr2bl w:val="nil"/>
            </w:tcBorders>
            <w:vAlign w:val="center"/>
          </w:tcPr>
          <w:p w14:paraId="3FBD020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5884" w:type="dxa"/>
            <w:tcBorders>
              <w:tl2br w:val="nil"/>
              <w:tr2bl w:val="nil"/>
            </w:tcBorders>
            <w:shd w:val="clear" w:color="auto" w:fill="auto"/>
            <w:vAlign w:val="center"/>
          </w:tcPr>
          <w:p w14:paraId="6075737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en-US"/>
              </w:rPr>
            </w:pPr>
            <w:r>
              <w:rPr>
                <w:rFonts w:hint="default" w:ascii="Times New Roman" w:hAnsi="Times New Roman" w:cs="Times New Roman" w:eastAsiaTheme="minorEastAsia"/>
                <w:color w:val="000000" w:themeColor="text1"/>
                <w:sz w:val="21"/>
                <w:szCs w:val="21"/>
                <w:highlight w:val="none"/>
                <w:vertAlign w:val="baseline"/>
                <w:lang w:val="en-US" w:eastAsia="zh-CN"/>
              </w:rPr>
              <w:t>生产废水经企业自建污水处理站处理后，通过市政污水管网排入</w:t>
            </w:r>
            <w:r>
              <w:rPr>
                <w:rFonts w:hint="eastAsia" w:ascii="Times New Roman" w:hAnsi="Times New Roman" w:cs="Times New Roman" w:eastAsiaTheme="minorEastAsia"/>
                <w:color w:val="000000" w:themeColor="text1"/>
                <w:sz w:val="21"/>
                <w:szCs w:val="21"/>
                <w:highlight w:val="none"/>
                <w:vertAlign w:val="baseline"/>
                <w:lang w:val="en-US" w:eastAsia="zh-CN"/>
              </w:rPr>
              <w:t>哈尔滨市朝阳水质净化厂</w:t>
            </w:r>
            <w:r>
              <w:rPr>
                <w:rFonts w:hint="default" w:ascii="Times New Roman" w:hAnsi="Times New Roman" w:cs="Times New Roman" w:eastAsiaTheme="minorEastAsia"/>
                <w:color w:val="000000" w:themeColor="text1"/>
                <w:sz w:val="21"/>
                <w:szCs w:val="21"/>
                <w:highlight w:val="none"/>
                <w:vertAlign w:val="baseline"/>
                <w:lang w:val="en-US" w:eastAsia="zh-CN"/>
              </w:rPr>
              <w:t>处理</w:t>
            </w:r>
          </w:p>
        </w:tc>
      </w:tr>
      <w:tr w14:paraId="4FE75B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5" w:type="dxa"/>
            <w:vMerge w:val="continue"/>
            <w:tcBorders>
              <w:tl2br w:val="nil"/>
              <w:tr2bl w:val="nil"/>
            </w:tcBorders>
            <w:vAlign w:val="center"/>
          </w:tcPr>
          <w:p w14:paraId="70C313BB">
            <w:pPr>
              <w:keepNext w:val="0"/>
              <w:keepLines w:val="0"/>
              <w:pageBreakBefore w:val="0"/>
              <w:widowControl w:val="0"/>
              <w:numPr>
                <w:ilvl w:val="0"/>
                <w:numId w:val="0"/>
              </w:numPr>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1583" w:type="dxa"/>
            <w:vMerge w:val="restart"/>
            <w:tcBorders>
              <w:tl2br w:val="nil"/>
              <w:tr2bl w:val="nil"/>
            </w:tcBorders>
            <w:shd w:val="clear" w:color="auto" w:fill="auto"/>
            <w:vAlign w:val="center"/>
          </w:tcPr>
          <w:p w14:paraId="37B2052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en-US"/>
              </w:rPr>
            </w:pPr>
            <w:r>
              <w:rPr>
                <w:rFonts w:hint="default" w:ascii="Times New Roman" w:hAnsi="Times New Roman" w:cs="Times New Roman" w:eastAsiaTheme="minorEastAsia"/>
                <w:color w:val="000000" w:themeColor="text1"/>
                <w:sz w:val="21"/>
                <w:szCs w:val="21"/>
                <w:highlight w:val="none"/>
                <w:vertAlign w:val="baseline"/>
                <w:lang w:val="en-US" w:eastAsia="zh-CN"/>
              </w:rPr>
              <w:t>废气</w:t>
            </w:r>
          </w:p>
        </w:tc>
        <w:tc>
          <w:tcPr>
            <w:tcW w:w="5884" w:type="dxa"/>
            <w:tcBorders>
              <w:tl2br w:val="nil"/>
              <w:tr2bl w:val="nil"/>
            </w:tcBorders>
            <w:shd w:val="clear" w:color="auto" w:fill="auto"/>
            <w:vAlign w:val="center"/>
          </w:tcPr>
          <w:p w14:paraId="5821837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en-US"/>
              </w:rPr>
            </w:pPr>
            <w:r>
              <w:rPr>
                <w:rFonts w:hint="default" w:ascii="Times New Roman" w:hAnsi="Times New Roman" w:cs="Times New Roman" w:eastAsiaTheme="minorEastAsia"/>
                <w:color w:val="000000" w:themeColor="text1"/>
                <w:sz w:val="21"/>
                <w:szCs w:val="21"/>
                <w:highlight w:val="none"/>
                <w:vertAlign w:val="baseline"/>
                <w:lang w:val="en-US" w:eastAsia="zh-CN"/>
              </w:rPr>
              <w:t>1#厂房4G1热试验废气：密闭收集+三元催化装置（自带）+18m排气筒（DA001、DA003、DA005、DA007）</w:t>
            </w:r>
          </w:p>
        </w:tc>
      </w:tr>
      <w:tr w14:paraId="1B0249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5" w:type="dxa"/>
            <w:vMerge w:val="continue"/>
            <w:tcBorders>
              <w:tl2br w:val="nil"/>
              <w:tr2bl w:val="nil"/>
            </w:tcBorders>
            <w:vAlign w:val="center"/>
          </w:tcPr>
          <w:p w14:paraId="0F680A7F">
            <w:pPr>
              <w:keepNext w:val="0"/>
              <w:keepLines w:val="0"/>
              <w:pageBreakBefore w:val="0"/>
              <w:widowControl w:val="0"/>
              <w:numPr>
                <w:ilvl w:val="0"/>
                <w:numId w:val="0"/>
              </w:numPr>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1583" w:type="dxa"/>
            <w:vMerge w:val="continue"/>
            <w:tcBorders>
              <w:tl2br w:val="nil"/>
              <w:tr2bl w:val="nil"/>
            </w:tcBorders>
            <w:vAlign w:val="center"/>
          </w:tcPr>
          <w:p w14:paraId="558317A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5884" w:type="dxa"/>
            <w:tcBorders>
              <w:tl2br w:val="nil"/>
              <w:tr2bl w:val="nil"/>
            </w:tcBorders>
            <w:shd w:val="clear" w:color="auto" w:fill="auto"/>
            <w:vAlign w:val="center"/>
          </w:tcPr>
          <w:p w14:paraId="4F5B3CD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en-US"/>
              </w:rPr>
            </w:pPr>
            <w:r>
              <w:rPr>
                <w:rFonts w:hint="default" w:ascii="Times New Roman" w:hAnsi="Times New Roman" w:cs="Times New Roman" w:eastAsiaTheme="minorEastAsia"/>
                <w:color w:val="000000" w:themeColor="text1"/>
                <w:sz w:val="21"/>
                <w:szCs w:val="21"/>
                <w:highlight w:val="none"/>
                <w:vertAlign w:val="baseline"/>
                <w:lang w:val="en-US" w:eastAsia="zh-CN"/>
              </w:rPr>
              <w:t>1#厂房研发实验室热试验废气：密闭收集+三元催化装置（自带）+15m排气筒（DA021、DA023、DA025、DA027、DA031）</w:t>
            </w:r>
          </w:p>
        </w:tc>
      </w:tr>
      <w:tr w14:paraId="117292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5" w:type="dxa"/>
            <w:vMerge w:val="continue"/>
            <w:tcBorders>
              <w:tl2br w:val="nil"/>
              <w:tr2bl w:val="nil"/>
            </w:tcBorders>
            <w:vAlign w:val="center"/>
          </w:tcPr>
          <w:p w14:paraId="2B028483">
            <w:pPr>
              <w:keepNext w:val="0"/>
              <w:keepLines w:val="0"/>
              <w:pageBreakBefore w:val="0"/>
              <w:widowControl w:val="0"/>
              <w:numPr>
                <w:ilvl w:val="0"/>
                <w:numId w:val="0"/>
              </w:numPr>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1583" w:type="dxa"/>
            <w:vMerge w:val="continue"/>
            <w:tcBorders>
              <w:tl2br w:val="nil"/>
              <w:tr2bl w:val="nil"/>
            </w:tcBorders>
            <w:vAlign w:val="center"/>
          </w:tcPr>
          <w:p w14:paraId="589F29E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5884" w:type="dxa"/>
            <w:tcBorders>
              <w:tl2br w:val="nil"/>
              <w:tr2bl w:val="nil"/>
            </w:tcBorders>
            <w:shd w:val="clear" w:color="auto" w:fill="auto"/>
            <w:vAlign w:val="center"/>
          </w:tcPr>
          <w:p w14:paraId="2236F9F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en-US"/>
              </w:rPr>
            </w:pPr>
            <w:r>
              <w:rPr>
                <w:rFonts w:hint="default" w:ascii="Times New Roman" w:hAnsi="Times New Roman" w:cs="Times New Roman" w:eastAsiaTheme="minorEastAsia"/>
                <w:color w:val="000000" w:themeColor="text1"/>
                <w:sz w:val="21"/>
                <w:szCs w:val="21"/>
                <w:highlight w:val="none"/>
                <w:vertAlign w:val="baseline"/>
                <w:lang w:val="en-US" w:eastAsia="zh-CN"/>
              </w:rPr>
              <w:t>2#厂房D系列热试验废气：密闭收集+三元催化装置（自带）+15m排气筒（DA009）</w:t>
            </w:r>
          </w:p>
        </w:tc>
      </w:tr>
      <w:tr w14:paraId="4959D6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5" w:type="dxa"/>
            <w:vMerge w:val="continue"/>
            <w:tcBorders>
              <w:tl2br w:val="nil"/>
              <w:tr2bl w:val="nil"/>
            </w:tcBorders>
            <w:vAlign w:val="center"/>
          </w:tcPr>
          <w:p w14:paraId="41DA5B74">
            <w:pPr>
              <w:keepNext w:val="0"/>
              <w:keepLines w:val="0"/>
              <w:pageBreakBefore w:val="0"/>
              <w:widowControl w:val="0"/>
              <w:numPr>
                <w:ilvl w:val="0"/>
                <w:numId w:val="0"/>
              </w:numPr>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1583" w:type="dxa"/>
            <w:vMerge w:val="continue"/>
            <w:tcBorders>
              <w:tl2br w:val="nil"/>
              <w:tr2bl w:val="nil"/>
            </w:tcBorders>
            <w:vAlign w:val="center"/>
          </w:tcPr>
          <w:p w14:paraId="5B9757A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5884" w:type="dxa"/>
            <w:tcBorders>
              <w:tl2br w:val="nil"/>
              <w:tr2bl w:val="nil"/>
            </w:tcBorders>
            <w:shd w:val="clear" w:color="auto" w:fill="auto"/>
            <w:vAlign w:val="center"/>
          </w:tcPr>
          <w:p w14:paraId="793BB68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en-US"/>
              </w:rPr>
            </w:pPr>
            <w:r>
              <w:rPr>
                <w:rFonts w:hint="default" w:ascii="Times New Roman" w:hAnsi="Times New Roman" w:cs="Times New Roman" w:eastAsiaTheme="minorEastAsia"/>
                <w:color w:val="000000" w:themeColor="text1"/>
                <w:sz w:val="21"/>
                <w:szCs w:val="21"/>
                <w:highlight w:val="none"/>
                <w:vertAlign w:val="baseline"/>
                <w:lang w:val="en-US" w:eastAsia="zh-CN"/>
              </w:rPr>
              <w:t>2#厂房4G9热试验废气：密闭收集+三元催化装置（自带）+15m排气筒（DA047、DA049）</w:t>
            </w:r>
          </w:p>
        </w:tc>
      </w:tr>
      <w:tr w14:paraId="47DE23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5" w:type="dxa"/>
            <w:vMerge w:val="continue"/>
            <w:tcBorders>
              <w:tl2br w:val="nil"/>
              <w:tr2bl w:val="nil"/>
            </w:tcBorders>
            <w:vAlign w:val="center"/>
          </w:tcPr>
          <w:p w14:paraId="2CDF1A45">
            <w:pPr>
              <w:keepNext w:val="0"/>
              <w:keepLines w:val="0"/>
              <w:pageBreakBefore w:val="0"/>
              <w:widowControl w:val="0"/>
              <w:numPr>
                <w:ilvl w:val="0"/>
                <w:numId w:val="0"/>
              </w:numPr>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1583" w:type="dxa"/>
            <w:vMerge w:val="continue"/>
            <w:tcBorders>
              <w:tl2br w:val="nil"/>
              <w:tr2bl w:val="nil"/>
            </w:tcBorders>
            <w:vAlign w:val="center"/>
          </w:tcPr>
          <w:p w14:paraId="0901C89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5884" w:type="dxa"/>
            <w:tcBorders>
              <w:tl2br w:val="nil"/>
              <w:tr2bl w:val="nil"/>
            </w:tcBorders>
            <w:shd w:val="clear" w:color="auto" w:fill="auto"/>
            <w:vAlign w:val="center"/>
          </w:tcPr>
          <w:p w14:paraId="772A741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en-US"/>
              </w:rPr>
            </w:pPr>
            <w:r>
              <w:rPr>
                <w:rFonts w:hint="default" w:ascii="Times New Roman" w:hAnsi="Times New Roman" w:cs="Times New Roman" w:eastAsiaTheme="minorEastAsia"/>
                <w:color w:val="000000" w:themeColor="text1"/>
                <w:sz w:val="21"/>
                <w:szCs w:val="21"/>
                <w:highlight w:val="none"/>
                <w:vertAlign w:val="baseline"/>
                <w:lang w:val="en-US" w:eastAsia="zh-CN"/>
              </w:rPr>
              <w:t>4#厂房D20TGDI热试废气：密闭收集+三元催化装置（自带）+15m排气筒（DA057）</w:t>
            </w:r>
          </w:p>
        </w:tc>
      </w:tr>
      <w:tr w14:paraId="007E96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5" w:type="dxa"/>
            <w:vMerge w:val="continue"/>
            <w:tcBorders>
              <w:tl2br w:val="nil"/>
              <w:tr2bl w:val="nil"/>
            </w:tcBorders>
            <w:vAlign w:val="center"/>
          </w:tcPr>
          <w:p w14:paraId="41135EB8">
            <w:pPr>
              <w:keepNext w:val="0"/>
              <w:keepLines w:val="0"/>
              <w:pageBreakBefore w:val="0"/>
              <w:widowControl w:val="0"/>
              <w:numPr>
                <w:ilvl w:val="0"/>
                <w:numId w:val="0"/>
              </w:numPr>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1583" w:type="dxa"/>
            <w:vMerge w:val="continue"/>
            <w:tcBorders>
              <w:tl2br w:val="nil"/>
              <w:tr2bl w:val="nil"/>
            </w:tcBorders>
            <w:vAlign w:val="center"/>
          </w:tcPr>
          <w:p w14:paraId="70CB17F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5884" w:type="dxa"/>
            <w:tcBorders>
              <w:tl2br w:val="nil"/>
              <w:tr2bl w:val="nil"/>
            </w:tcBorders>
            <w:shd w:val="clear" w:color="auto" w:fill="auto"/>
            <w:vAlign w:val="center"/>
          </w:tcPr>
          <w:p w14:paraId="542D00D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en-US"/>
              </w:rPr>
            </w:pPr>
            <w:r>
              <w:rPr>
                <w:rFonts w:hint="eastAsia" w:ascii="Times New Roman" w:hAnsi="Times New Roman" w:cs="Times New Roman" w:eastAsiaTheme="minorEastAsia"/>
                <w:color w:val="000000" w:themeColor="text1"/>
                <w:sz w:val="21"/>
                <w:szCs w:val="21"/>
                <w:highlight w:val="none"/>
                <w:vertAlign w:val="baseline"/>
                <w:lang w:val="en-US" w:eastAsia="zh-CN"/>
              </w:rPr>
              <w:t>1</w:t>
            </w:r>
            <w:r>
              <w:rPr>
                <w:rFonts w:hint="default" w:ascii="Times New Roman" w:hAnsi="Times New Roman" w:cs="Times New Roman" w:eastAsiaTheme="minorEastAsia"/>
                <w:color w:val="000000" w:themeColor="text1"/>
                <w:sz w:val="21"/>
                <w:szCs w:val="21"/>
                <w:highlight w:val="none"/>
                <w:vertAlign w:val="baseline"/>
                <w:lang w:val="en-US" w:eastAsia="zh-CN"/>
              </w:rPr>
              <w:t>#厂房</w:t>
            </w:r>
            <w:r>
              <w:rPr>
                <w:rFonts w:hint="eastAsia" w:ascii="Times New Roman" w:hAnsi="Times New Roman" w:cs="Times New Roman" w:eastAsiaTheme="minorEastAsia"/>
                <w:color w:val="000000" w:themeColor="text1"/>
                <w:sz w:val="21"/>
                <w:szCs w:val="21"/>
                <w:highlight w:val="none"/>
                <w:vertAlign w:val="baseline"/>
                <w:lang w:val="en-US" w:eastAsia="zh-CN"/>
              </w:rPr>
              <w:t>、2#厂房</w:t>
            </w:r>
            <w:r>
              <w:rPr>
                <w:rFonts w:hint="default" w:ascii="Times New Roman" w:hAnsi="Times New Roman" w:cs="Times New Roman" w:eastAsiaTheme="minorEastAsia"/>
                <w:color w:val="000000" w:themeColor="text1"/>
                <w:sz w:val="21"/>
                <w:szCs w:val="21"/>
                <w:highlight w:val="none"/>
                <w:vertAlign w:val="baseline"/>
                <w:lang w:val="en-US" w:eastAsia="zh-CN"/>
              </w:rPr>
              <w:t>研发测试废气：密闭收集+三元催化装置（自带）+18m排气筒（DA058、DA059）</w:t>
            </w:r>
          </w:p>
        </w:tc>
      </w:tr>
      <w:tr w14:paraId="664938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5" w:type="dxa"/>
            <w:vMerge w:val="continue"/>
            <w:tcBorders>
              <w:tl2br w:val="nil"/>
              <w:tr2bl w:val="nil"/>
            </w:tcBorders>
            <w:vAlign w:val="center"/>
          </w:tcPr>
          <w:p w14:paraId="69003698">
            <w:pPr>
              <w:keepNext w:val="0"/>
              <w:keepLines w:val="0"/>
              <w:pageBreakBefore w:val="0"/>
              <w:widowControl w:val="0"/>
              <w:numPr>
                <w:ilvl w:val="0"/>
                <w:numId w:val="0"/>
              </w:numPr>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1583" w:type="dxa"/>
            <w:vMerge w:val="continue"/>
            <w:tcBorders>
              <w:tl2br w:val="nil"/>
              <w:tr2bl w:val="nil"/>
            </w:tcBorders>
            <w:vAlign w:val="center"/>
          </w:tcPr>
          <w:p w14:paraId="301F150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5884" w:type="dxa"/>
            <w:tcBorders>
              <w:tl2br w:val="nil"/>
              <w:tr2bl w:val="nil"/>
            </w:tcBorders>
            <w:shd w:val="clear" w:color="auto" w:fill="auto"/>
            <w:vAlign w:val="center"/>
          </w:tcPr>
          <w:p w14:paraId="59DFAC8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r>
              <w:rPr>
                <w:rFonts w:hint="default" w:ascii="Times New Roman" w:hAnsi="Times New Roman" w:cs="Times New Roman" w:eastAsiaTheme="minorEastAsia"/>
                <w:color w:val="000000" w:themeColor="text1"/>
                <w:sz w:val="21"/>
                <w:szCs w:val="21"/>
                <w:highlight w:val="none"/>
                <w:vertAlign w:val="baseline"/>
                <w:lang w:val="en-US" w:eastAsia="zh-CN"/>
              </w:rPr>
              <w:t>4#厂房试制中心总成试验废气：密闭收集+三元催化装置（自带）+18m排气筒（DA060、DA061）</w:t>
            </w:r>
          </w:p>
        </w:tc>
      </w:tr>
      <w:tr w14:paraId="383F18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5" w:type="dxa"/>
            <w:vMerge w:val="continue"/>
            <w:tcBorders>
              <w:tl2br w:val="nil"/>
              <w:tr2bl w:val="nil"/>
            </w:tcBorders>
            <w:vAlign w:val="center"/>
          </w:tcPr>
          <w:p w14:paraId="4E4C188B">
            <w:pPr>
              <w:keepNext w:val="0"/>
              <w:keepLines w:val="0"/>
              <w:pageBreakBefore w:val="0"/>
              <w:widowControl w:val="0"/>
              <w:numPr>
                <w:ilvl w:val="0"/>
                <w:numId w:val="0"/>
              </w:numPr>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1583" w:type="dxa"/>
            <w:vMerge w:val="continue"/>
            <w:tcBorders>
              <w:tl2br w:val="nil"/>
              <w:tr2bl w:val="nil"/>
            </w:tcBorders>
            <w:vAlign w:val="center"/>
          </w:tcPr>
          <w:p w14:paraId="11539E5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5884" w:type="dxa"/>
            <w:tcBorders>
              <w:tl2br w:val="nil"/>
              <w:tr2bl w:val="nil"/>
            </w:tcBorders>
            <w:shd w:val="clear" w:color="auto" w:fill="auto"/>
            <w:vAlign w:val="center"/>
          </w:tcPr>
          <w:p w14:paraId="35FEA1F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en-US"/>
              </w:rPr>
            </w:pPr>
            <w:r>
              <w:rPr>
                <w:rFonts w:hint="default" w:ascii="Times New Roman" w:hAnsi="Times New Roman" w:cs="Times New Roman" w:eastAsiaTheme="minorEastAsia"/>
                <w:color w:val="000000" w:themeColor="text1"/>
                <w:sz w:val="21"/>
                <w:szCs w:val="21"/>
                <w:highlight w:val="none"/>
                <w:vertAlign w:val="baseline"/>
                <w:lang w:val="en-US" w:eastAsia="zh-CN"/>
              </w:rPr>
              <w:t>试验试制厂房热试废气：密闭收集+三元催化装置（自带）+23m排气筒（DA062、DA063：依托东安动力DA003、DA004排气筒）</w:t>
            </w:r>
          </w:p>
        </w:tc>
      </w:tr>
      <w:tr w14:paraId="2AF573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5" w:type="dxa"/>
            <w:vMerge w:val="continue"/>
            <w:tcBorders>
              <w:tl2br w:val="nil"/>
              <w:tr2bl w:val="nil"/>
            </w:tcBorders>
            <w:vAlign w:val="center"/>
          </w:tcPr>
          <w:p w14:paraId="48CB84A3">
            <w:pPr>
              <w:keepNext w:val="0"/>
              <w:keepLines w:val="0"/>
              <w:pageBreakBefore w:val="0"/>
              <w:widowControl w:val="0"/>
              <w:numPr>
                <w:ilvl w:val="0"/>
                <w:numId w:val="0"/>
              </w:numPr>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1583" w:type="dxa"/>
            <w:vMerge w:val="continue"/>
            <w:tcBorders>
              <w:tl2br w:val="nil"/>
              <w:tr2bl w:val="nil"/>
            </w:tcBorders>
            <w:vAlign w:val="center"/>
          </w:tcPr>
          <w:p w14:paraId="0FA3C79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5884" w:type="dxa"/>
            <w:tcBorders>
              <w:tl2br w:val="nil"/>
              <w:tr2bl w:val="nil"/>
            </w:tcBorders>
            <w:shd w:val="clear" w:color="auto" w:fill="auto"/>
            <w:vAlign w:val="center"/>
          </w:tcPr>
          <w:p w14:paraId="4A5200D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en-US"/>
              </w:rPr>
            </w:pPr>
            <w:r>
              <w:rPr>
                <w:rFonts w:hint="default" w:ascii="Times New Roman" w:hAnsi="Times New Roman" w:cs="Times New Roman" w:eastAsiaTheme="minorEastAsia"/>
                <w:color w:val="000000" w:themeColor="text1"/>
                <w:sz w:val="21"/>
                <w:szCs w:val="21"/>
                <w:highlight w:val="none"/>
                <w:vertAlign w:val="baseline"/>
                <w:lang w:val="en-US" w:eastAsia="zh-CN"/>
              </w:rPr>
              <w:t>技术研发中心热试验废气：密闭收集+三元催化装置（自带）+18m排气筒（DA011、DA013、DA015、DA017、DA033、DA035、DA039、DA041、DA045、DA051、DA053、DA055）</w:t>
            </w:r>
          </w:p>
        </w:tc>
      </w:tr>
      <w:tr w14:paraId="4E82D7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5" w:type="dxa"/>
            <w:vMerge w:val="continue"/>
            <w:tcBorders>
              <w:tl2br w:val="nil"/>
              <w:tr2bl w:val="nil"/>
            </w:tcBorders>
            <w:vAlign w:val="center"/>
          </w:tcPr>
          <w:p w14:paraId="11AA4181">
            <w:pPr>
              <w:keepNext w:val="0"/>
              <w:keepLines w:val="0"/>
              <w:pageBreakBefore w:val="0"/>
              <w:widowControl w:val="0"/>
              <w:numPr>
                <w:ilvl w:val="0"/>
                <w:numId w:val="0"/>
              </w:numPr>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1583" w:type="dxa"/>
            <w:tcBorders>
              <w:tl2br w:val="nil"/>
              <w:tr2bl w:val="nil"/>
            </w:tcBorders>
            <w:shd w:val="clear" w:color="auto" w:fill="auto"/>
            <w:vAlign w:val="center"/>
          </w:tcPr>
          <w:p w14:paraId="328E93B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en-US"/>
              </w:rPr>
            </w:pPr>
            <w:r>
              <w:rPr>
                <w:rFonts w:hint="default" w:ascii="Times New Roman" w:hAnsi="Times New Roman" w:cs="Times New Roman" w:eastAsiaTheme="minorEastAsia"/>
                <w:color w:val="000000" w:themeColor="text1"/>
                <w:sz w:val="21"/>
                <w:szCs w:val="21"/>
                <w:highlight w:val="none"/>
                <w:vertAlign w:val="baseline"/>
                <w:lang w:val="en-US" w:eastAsia="zh-CN"/>
              </w:rPr>
              <w:t>噪声</w:t>
            </w:r>
          </w:p>
        </w:tc>
        <w:tc>
          <w:tcPr>
            <w:tcW w:w="5884" w:type="dxa"/>
            <w:tcBorders>
              <w:tl2br w:val="nil"/>
              <w:tr2bl w:val="nil"/>
            </w:tcBorders>
            <w:shd w:val="clear" w:color="auto" w:fill="auto"/>
            <w:vAlign w:val="center"/>
          </w:tcPr>
          <w:p w14:paraId="7A8FDA6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en-US"/>
              </w:rPr>
            </w:pPr>
            <w:r>
              <w:rPr>
                <w:rFonts w:hint="default" w:ascii="Times New Roman" w:hAnsi="Times New Roman" w:cs="Times New Roman" w:eastAsiaTheme="minorEastAsia"/>
                <w:color w:val="000000" w:themeColor="text1"/>
                <w:sz w:val="21"/>
                <w:szCs w:val="21"/>
                <w:highlight w:val="none"/>
                <w:vertAlign w:val="baseline"/>
                <w:lang w:val="en-US" w:eastAsia="zh-CN"/>
              </w:rPr>
              <w:t>基础减震+房屋隔声</w:t>
            </w:r>
          </w:p>
        </w:tc>
      </w:tr>
      <w:tr w14:paraId="2B3038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5" w:type="dxa"/>
            <w:vMerge w:val="continue"/>
            <w:tcBorders>
              <w:tl2br w:val="nil"/>
              <w:tr2bl w:val="nil"/>
            </w:tcBorders>
            <w:vAlign w:val="center"/>
          </w:tcPr>
          <w:p w14:paraId="53D837CD">
            <w:pPr>
              <w:keepNext w:val="0"/>
              <w:keepLines w:val="0"/>
              <w:pageBreakBefore w:val="0"/>
              <w:widowControl w:val="0"/>
              <w:numPr>
                <w:ilvl w:val="0"/>
                <w:numId w:val="0"/>
              </w:numPr>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1583" w:type="dxa"/>
            <w:vMerge w:val="restart"/>
            <w:tcBorders>
              <w:tl2br w:val="nil"/>
              <w:tr2bl w:val="nil"/>
            </w:tcBorders>
            <w:shd w:val="clear" w:color="auto" w:fill="auto"/>
            <w:vAlign w:val="center"/>
          </w:tcPr>
          <w:p w14:paraId="6A1431F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en-US"/>
              </w:rPr>
            </w:pPr>
            <w:r>
              <w:rPr>
                <w:rFonts w:hint="default" w:ascii="Times New Roman" w:hAnsi="Times New Roman" w:cs="Times New Roman" w:eastAsiaTheme="minorEastAsia"/>
                <w:color w:val="000000" w:themeColor="text1"/>
                <w:sz w:val="21"/>
                <w:szCs w:val="21"/>
                <w:highlight w:val="none"/>
                <w:vertAlign w:val="baseline"/>
                <w:lang w:val="en-US" w:eastAsia="zh-CN"/>
              </w:rPr>
              <w:t>固废</w:t>
            </w:r>
          </w:p>
        </w:tc>
        <w:tc>
          <w:tcPr>
            <w:tcW w:w="5884" w:type="dxa"/>
            <w:tcBorders>
              <w:tl2br w:val="nil"/>
              <w:tr2bl w:val="nil"/>
            </w:tcBorders>
            <w:shd w:val="clear" w:color="auto" w:fill="auto"/>
            <w:vAlign w:val="center"/>
          </w:tcPr>
          <w:p w14:paraId="7BD29C9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en-US"/>
              </w:rPr>
            </w:pPr>
            <w:r>
              <w:rPr>
                <w:rFonts w:hint="default" w:ascii="Times New Roman" w:hAnsi="Times New Roman" w:cs="Times New Roman" w:eastAsiaTheme="minorEastAsia"/>
                <w:color w:val="000000" w:themeColor="text1"/>
                <w:sz w:val="21"/>
                <w:szCs w:val="21"/>
                <w:highlight w:val="none"/>
                <w:vertAlign w:val="baseline"/>
                <w:lang w:val="en-US" w:eastAsia="zh-CN"/>
              </w:rPr>
              <w:t>废金属屑</w:t>
            </w:r>
            <w:r>
              <w:rPr>
                <w:rFonts w:hint="eastAsia" w:ascii="Times New Roman" w:hAnsi="Times New Roman" w:cs="Times New Roman" w:eastAsiaTheme="minorEastAsia"/>
                <w:color w:val="000000" w:themeColor="text1"/>
                <w:sz w:val="21"/>
                <w:szCs w:val="21"/>
                <w:highlight w:val="none"/>
                <w:vertAlign w:val="baseline"/>
                <w:lang w:val="en-US" w:eastAsia="zh-CN"/>
              </w:rPr>
              <w:t>交由哈尔滨鹏鑫盛物资回收有限公司</w:t>
            </w:r>
            <w:r>
              <w:rPr>
                <w:rFonts w:hint="default" w:ascii="Times New Roman" w:hAnsi="Times New Roman" w:cs="Times New Roman" w:eastAsiaTheme="minorEastAsia"/>
                <w:color w:val="000000" w:themeColor="text1"/>
                <w:sz w:val="21"/>
                <w:szCs w:val="21"/>
                <w:highlight w:val="none"/>
                <w:vertAlign w:val="baseline"/>
                <w:lang w:val="en-US" w:eastAsia="zh-CN"/>
              </w:rPr>
              <w:t>处置</w:t>
            </w:r>
          </w:p>
        </w:tc>
      </w:tr>
      <w:tr w14:paraId="552169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5" w:type="dxa"/>
            <w:vMerge w:val="continue"/>
            <w:tcBorders>
              <w:tl2br w:val="nil"/>
              <w:tr2bl w:val="nil"/>
            </w:tcBorders>
            <w:vAlign w:val="center"/>
          </w:tcPr>
          <w:p w14:paraId="7AF04B2B">
            <w:pPr>
              <w:keepNext w:val="0"/>
              <w:keepLines w:val="0"/>
              <w:pageBreakBefore w:val="0"/>
              <w:widowControl w:val="0"/>
              <w:numPr>
                <w:ilvl w:val="0"/>
                <w:numId w:val="0"/>
              </w:numPr>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1583" w:type="dxa"/>
            <w:vMerge w:val="continue"/>
            <w:tcBorders>
              <w:tl2br w:val="nil"/>
              <w:tr2bl w:val="nil"/>
            </w:tcBorders>
            <w:vAlign w:val="center"/>
          </w:tcPr>
          <w:p w14:paraId="7962678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5884" w:type="dxa"/>
            <w:tcBorders>
              <w:tl2br w:val="nil"/>
              <w:tr2bl w:val="nil"/>
            </w:tcBorders>
            <w:shd w:val="clear" w:color="auto" w:fill="auto"/>
            <w:vAlign w:val="center"/>
          </w:tcPr>
          <w:p w14:paraId="7123805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en-US"/>
              </w:rPr>
            </w:pPr>
            <w:r>
              <w:rPr>
                <w:rFonts w:hint="default" w:ascii="Times New Roman" w:hAnsi="Times New Roman" w:cs="Times New Roman" w:eastAsiaTheme="minorEastAsia"/>
                <w:color w:val="000000" w:themeColor="text1"/>
                <w:sz w:val="21"/>
                <w:szCs w:val="21"/>
                <w:highlight w:val="none"/>
                <w:vertAlign w:val="baseline"/>
                <w:lang w:val="en-US" w:eastAsia="zh-CN"/>
              </w:rPr>
              <w:t>废机油经密闭收集包装后，暂存于危险废贮存点内，定期委托</w:t>
            </w:r>
            <w:r>
              <w:rPr>
                <w:rFonts w:hint="eastAsia" w:ascii="Times New Roman" w:hAnsi="Times New Roman" w:cs="Times New Roman" w:eastAsiaTheme="minorEastAsia"/>
                <w:color w:val="000000" w:themeColor="text1"/>
                <w:sz w:val="21"/>
                <w:szCs w:val="21"/>
                <w:highlight w:val="none"/>
                <w:vertAlign w:val="baseline"/>
                <w:lang w:val="en-US" w:eastAsia="zh-CN"/>
              </w:rPr>
              <w:t>大庆圣德雷特化工有限公司</w:t>
            </w:r>
            <w:r>
              <w:rPr>
                <w:rFonts w:hint="default" w:ascii="Times New Roman" w:hAnsi="Times New Roman" w:cs="Times New Roman" w:eastAsiaTheme="minorEastAsia"/>
                <w:color w:val="000000" w:themeColor="text1"/>
                <w:sz w:val="21"/>
                <w:szCs w:val="21"/>
                <w:highlight w:val="none"/>
                <w:vertAlign w:val="baseline"/>
                <w:lang w:val="en-US" w:eastAsia="zh-CN"/>
              </w:rPr>
              <w:t>处置</w:t>
            </w:r>
          </w:p>
        </w:tc>
      </w:tr>
      <w:tr w14:paraId="3258CE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5" w:type="dxa"/>
            <w:vMerge w:val="continue"/>
            <w:tcBorders>
              <w:tl2br w:val="nil"/>
              <w:tr2bl w:val="nil"/>
            </w:tcBorders>
            <w:vAlign w:val="center"/>
          </w:tcPr>
          <w:p w14:paraId="698AC5A4">
            <w:pPr>
              <w:keepNext w:val="0"/>
              <w:keepLines w:val="0"/>
              <w:pageBreakBefore w:val="0"/>
              <w:widowControl w:val="0"/>
              <w:numPr>
                <w:ilvl w:val="0"/>
                <w:numId w:val="0"/>
              </w:numPr>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1583" w:type="dxa"/>
            <w:vMerge w:val="continue"/>
            <w:tcBorders>
              <w:tl2br w:val="nil"/>
              <w:tr2bl w:val="nil"/>
            </w:tcBorders>
            <w:vAlign w:val="center"/>
          </w:tcPr>
          <w:p w14:paraId="52D57A3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5884" w:type="dxa"/>
            <w:tcBorders>
              <w:tl2br w:val="nil"/>
              <w:tr2bl w:val="nil"/>
            </w:tcBorders>
            <w:shd w:val="clear" w:color="auto" w:fill="auto"/>
            <w:vAlign w:val="top"/>
          </w:tcPr>
          <w:p w14:paraId="3F1D0A3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en-US"/>
              </w:rPr>
            </w:pPr>
            <w:r>
              <w:rPr>
                <w:rFonts w:hint="eastAsia" w:ascii="Times New Roman" w:hAnsi="Times New Roman" w:cs="Times New Roman" w:eastAsiaTheme="minorEastAsia"/>
                <w:color w:val="000000" w:themeColor="text1"/>
                <w:sz w:val="21"/>
                <w:szCs w:val="21"/>
                <w:highlight w:val="none"/>
                <w:vertAlign w:val="baseline"/>
                <w:lang w:val="en-US" w:eastAsia="zh-CN"/>
              </w:rPr>
              <w:t>含油抹布、废滤布和废过滤材料经密闭收集包装后，暂存于危险废贮存点内，定期委托黑龙江京盛华环保科技有限公司处置</w:t>
            </w:r>
          </w:p>
        </w:tc>
      </w:tr>
      <w:tr w14:paraId="24548F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5" w:type="dxa"/>
            <w:vMerge w:val="continue"/>
            <w:tcBorders>
              <w:tl2br w:val="nil"/>
              <w:tr2bl w:val="nil"/>
            </w:tcBorders>
            <w:vAlign w:val="center"/>
          </w:tcPr>
          <w:p w14:paraId="2FCA16F8">
            <w:pPr>
              <w:keepNext w:val="0"/>
              <w:keepLines w:val="0"/>
              <w:pageBreakBefore w:val="0"/>
              <w:widowControl w:val="0"/>
              <w:numPr>
                <w:ilvl w:val="0"/>
                <w:numId w:val="0"/>
              </w:numPr>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1583" w:type="dxa"/>
            <w:vMerge w:val="continue"/>
            <w:tcBorders>
              <w:tl2br w:val="nil"/>
              <w:tr2bl w:val="nil"/>
            </w:tcBorders>
            <w:vAlign w:val="center"/>
          </w:tcPr>
          <w:p w14:paraId="0BCACA6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5884" w:type="dxa"/>
            <w:tcBorders>
              <w:tl2br w:val="nil"/>
              <w:tr2bl w:val="nil"/>
            </w:tcBorders>
            <w:shd w:val="clear" w:color="auto" w:fill="auto"/>
            <w:vAlign w:val="top"/>
          </w:tcPr>
          <w:p w14:paraId="2D3DF9D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en-US"/>
              </w:rPr>
            </w:pPr>
            <w:r>
              <w:rPr>
                <w:rFonts w:hint="eastAsia" w:ascii="Times New Roman" w:hAnsi="Times New Roman" w:cs="Times New Roman" w:eastAsiaTheme="minorEastAsia"/>
                <w:color w:val="000000" w:themeColor="text1"/>
                <w:sz w:val="21"/>
                <w:szCs w:val="21"/>
                <w:highlight w:val="none"/>
                <w:vertAlign w:val="baseline"/>
                <w:lang w:val="en-US" w:eastAsia="zh-CN"/>
              </w:rPr>
              <w:t>化学品包装桶经密闭收集包装后，暂存于危险废贮存点内，定期委托黑龙江文武环保科技有限责任公司处置</w:t>
            </w:r>
          </w:p>
        </w:tc>
      </w:tr>
      <w:tr w14:paraId="3DD001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5" w:type="dxa"/>
            <w:vMerge w:val="continue"/>
            <w:tcBorders>
              <w:tl2br w:val="nil"/>
              <w:tr2bl w:val="nil"/>
            </w:tcBorders>
            <w:vAlign w:val="center"/>
          </w:tcPr>
          <w:p w14:paraId="3D2DD111">
            <w:pPr>
              <w:keepNext w:val="0"/>
              <w:keepLines w:val="0"/>
              <w:pageBreakBefore w:val="0"/>
              <w:widowControl w:val="0"/>
              <w:numPr>
                <w:ilvl w:val="0"/>
                <w:numId w:val="0"/>
              </w:numPr>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1583" w:type="dxa"/>
            <w:vMerge w:val="continue"/>
            <w:tcBorders>
              <w:tl2br w:val="nil"/>
              <w:tr2bl w:val="nil"/>
            </w:tcBorders>
            <w:vAlign w:val="center"/>
          </w:tcPr>
          <w:p w14:paraId="709F0F5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5884" w:type="dxa"/>
            <w:tcBorders>
              <w:tl2br w:val="nil"/>
              <w:tr2bl w:val="nil"/>
            </w:tcBorders>
            <w:shd w:val="clear" w:color="auto" w:fill="auto"/>
            <w:vAlign w:val="top"/>
          </w:tcPr>
          <w:p w14:paraId="0D847BB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en-US"/>
              </w:rPr>
            </w:pPr>
            <w:r>
              <w:rPr>
                <w:rFonts w:hint="eastAsia" w:ascii="Times New Roman" w:hAnsi="Times New Roman" w:cs="Times New Roman" w:eastAsiaTheme="minorEastAsia"/>
                <w:color w:val="000000" w:themeColor="text1"/>
                <w:sz w:val="21"/>
                <w:szCs w:val="21"/>
                <w:highlight w:val="none"/>
                <w:vertAlign w:val="baseline"/>
                <w:lang w:val="en-US" w:eastAsia="zh-CN"/>
              </w:rPr>
              <w:t>珩磨油泥经密闭收集包装后，暂存于危险废贮存点内，定期委托黑龙江京盛华环保科技有限公司处置</w:t>
            </w:r>
          </w:p>
        </w:tc>
      </w:tr>
      <w:tr w14:paraId="76675D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5" w:type="dxa"/>
            <w:vMerge w:val="continue"/>
            <w:tcBorders>
              <w:tl2br w:val="nil"/>
              <w:tr2bl w:val="nil"/>
            </w:tcBorders>
            <w:vAlign w:val="center"/>
          </w:tcPr>
          <w:p w14:paraId="0F646BEF">
            <w:pPr>
              <w:keepNext w:val="0"/>
              <w:keepLines w:val="0"/>
              <w:pageBreakBefore w:val="0"/>
              <w:widowControl w:val="0"/>
              <w:numPr>
                <w:ilvl w:val="0"/>
                <w:numId w:val="0"/>
              </w:numPr>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1583" w:type="dxa"/>
            <w:vMerge w:val="continue"/>
            <w:tcBorders>
              <w:tl2br w:val="nil"/>
              <w:tr2bl w:val="nil"/>
            </w:tcBorders>
            <w:vAlign w:val="center"/>
          </w:tcPr>
          <w:p w14:paraId="0B54C51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5884" w:type="dxa"/>
            <w:tcBorders>
              <w:tl2br w:val="nil"/>
              <w:tr2bl w:val="nil"/>
            </w:tcBorders>
            <w:shd w:val="clear" w:color="auto" w:fill="auto"/>
            <w:vAlign w:val="center"/>
          </w:tcPr>
          <w:p w14:paraId="118BCBA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en-US"/>
              </w:rPr>
            </w:pPr>
            <w:r>
              <w:rPr>
                <w:rFonts w:hint="default" w:ascii="Times New Roman" w:hAnsi="Times New Roman" w:cs="Times New Roman" w:eastAsiaTheme="minorEastAsia"/>
                <w:color w:val="000000" w:themeColor="text1"/>
                <w:sz w:val="21"/>
                <w:szCs w:val="21"/>
                <w:highlight w:val="none"/>
                <w:vertAlign w:val="baseline"/>
                <w:lang w:val="en-US" w:eastAsia="zh-CN"/>
              </w:rPr>
              <w:t>实验室废液经密闭收集包装后，暂存于危险废贮存点内，定期委托黑龙江京盛华环保科技有限公司处置</w:t>
            </w:r>
          </w:p>
        </w:tc>
      </w:tr>
      <w:tr w14:paraId="27EC0F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5" w:type="dxa"/>
            <w:vMerge w:val="continue"/>
            <w:tcBorders>
              <w:tl2br w:val="nil"/>
              <w:tr2bl w:val="nil"/>
            </w:tcBorders>
            <w:vAlign w:val="center"/>
          </w:tcPr>
          <w:p w14:paraId="1A58F27A">
            <w:pPr>
              <w:keepNext w:val="0"/>
              <w:keepLines w:val="0"/>
              <w:pageBreakBefore w:val="0"/>
              <w:widowControl w:val="0"/>
              <w:numPr>
                <w:ilvl w:val="0"/>
                <w:numId w:val="0"/>
              </w:numPr>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1583" w:type="dxa"/>
            <w:vMerge w:val="continue"/>
            <w:tcBorders>
              <w:tl2br w:val="nil"/>
              <w:tr2bl w:val="nil"/>
            </w:tcBorders>
            <w:vAlign w:val="center"/>
          </w:tcPr>
          <w:p w14:paraId="1745443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5884" w:type="dxa"/>
            <w:tcBorders>
              <w:tl2br w:val="nil"/>
              <w:tr2bl w:val="nil"/>
            </w:tcBorders>
            <w:shd w:val="clear" w:color="auto" w:fill="auto"/>
            <w:vAlign w:val="top"/>
          </w:tcPr>
          <w:p w14:paraId="15674DD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en-US"/>
              </w:rPr>
            </w:pPr>
            <w:r>
              <w:rPr>
                <w:rFonts w:hint="eastAsia" w:ascii="Times New Roman" w:hAnsi="Times New Roman" w:cs="Times New Roman" w:eastAsiaTheme="minorEastAsia"/>
                <w:color w:val="000000" w:themeColor="text1"/>
                <w:sz w:val="21"/>
                <w:szCs w:val="21"/>
                <w:highlight w:val="none"/>
                <w:vertAlign w:val="baseline"/>
                <w:lang w:val="en-US" w:eastAsia="zh-CN"/>
              </w:rPr>
              <w:t>废乳化液经过切削液循环系统集中报废后定期委托黑龙江红森林环保科技有限责任公司处置</w:t>
            </w:r>
          </w:p>
        </w:tc>
      </w:tr>
      <w:tr w14:paraId="3D893B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5" w:type="dxa"/>
            <w:vMerge w:val="continue"/>
            <w:tcBorders>
              <w:tl2br w:val="nil"/>
              <w:tr2bl w:val="nil"/>
            </w:tcBorders>
            <w:vAlign w:val="center"/>
          </w:tcPr>
          <w:p w14:paraId="0136CCC9">
            <w:pPr>
              <w:keepNext w:val="0"/>
              <w:keepLines w:val="0"/>
              <w:pageBreakBefore w:val="0"/>
              <w:widowControl w:val="0"/>
              <w:numPr>
                <w:ilvl w:val="0"/>
                <w:numId w:val="0"/>
              </w:numPr>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1583" w:type="dxa"/>
            <w:vMerge w:val="continue"/>
            <w:tcBorders>
              <w:tl2br w:val="nil"/>
              <w:tr2bl w:val="nil"/>
            </w:tcBorders>
            <w:vAlign w:val="center"/>
          </w:tcPr>
          <w:p w14:paraId="0693BBF9">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eastAsiaTheme="minorEastAsia"/>
                <w:color w:val="000000" w:themeColor="text1"/>
                <w:spacing w:val="7"/>
                <w:sz w:val="21"/>
                <w:szCs w:val="21"/>
                <w:highlight w:val="none"/>
              </w:rPr>
            </w:pPr>
          </w:p>
        </w:tc>
        <w:tc>
          <w:tcPr>
            <w:tcW w:w="5884" w:type="dxa"/>
            <w:tcBorders>
              <w:tl2br w:val="nil"/>
              <w:tr2bl w:val="nil"/>
            </w:tcBorders>
            <w:shd w:val="clear" w:color="auto" w:fill="auto"/>
            <w:vAlign w:val="top"/>
          </w:tcPr>
          <w:p w14:paraId="6261FC3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r>
              <w:rPr>
                <w:rFonts w:hint="eastAsia" w:ascii="Times New Roman" w:hAnsi="Times New Roman" w:cs="Times New Roman" w:eastAsiaTheme="minorEastAsia"/>
                <w:color w:val="000000" w:themeColor="text1"/>
                <w:sz w:val="21"/>
                <w:szCs w:val="21"/>
                <w:highlight w:val="none"/>
                <w:vertAlign w:val="baseline"/>
                <w:lang w:val="en-US" w:eastAsia="zh-CN"/>
              </w:rPr>
              <w:t>污水处理污泥经密封包装后，暂存于危险废贮存点内，定期委托安达市先锋化工有限公司处置</w:t>
            </w:r>
          </w:p>
        </w:tc>
      </w:tr>
      <w:tr w14:paraId="7F6B63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55" w:type="dxa"/>
            <w:tcBorders>
              <w:tl2br w:val="nil"/>
              <w:tr2bl w:val="nil"/>
            </w:tcBorders>
            <w:vAlign w:val="center"/>
          </w:tcPr>
          <w:p w14:paraId="24AA1828">
            <w:pPr>
              <w:keepNext w:val="0"/>
              <w:keepLines w:val="0"/>
              <w:pageBreakBefore w:val="0"/>
              <w:widowControl w:val="0"/>
              <w:numPr>
                <w:ilvl w:val="0"/>
                <w:numId w:val="0"/>
              </w:numPr>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p>
        </w:tc>
        <w:tc>
          <w:tcPr>
            <w:tcW w:w="1583" w:type="dxa"/>
            <w:vMerge w:val="continue"/>
            <w:tcBorders>
              <w:tl2br w:val="nil"/>
              <w:tr2bl w:val="nil"/>
            </w:tcBorders>
            <w:vAlign w:val="center"/>
          </w:tcPr>
          <w:p w14:paraId="3983E7AB">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eastAsiaTheme="minorEastAsia"/>
                <w:color w:val="000000" w:themeColor="text1"/>
                <w:spacing w:val="7"/>
                <w:sz w:val="21"/>
                <w:szCs w:val="21"/>
                <w:highlight w:val="none"/>
              </w:rPr>
            </w:pPr>
          </w:p>
        </w:tc>
        <w:tc>
          <w:tcPr>
            <w:tcW w:w="5884" w:type="dxa"/>
            <w:tcBorders>
              <w:tl2br w:val="nil"/>
              <w:tr2bl w:val="nil"/>
            </w:tcBorders>
            <w:shd w:val="clear" w:color="auto" w:fill="auto"/>
            <w:vAlign w:val="top"/>
          </w:tcPr>
          <w:p w14:paraId="7CEB174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rPr>
            </w:pPr>
            <w:r>
              <w:rPr>
                <w:rFonts w:hint="eastAsia" w:ascii="Times New Roman" w:hAnsi="Times New Roman" w:cs="Times New Roman" w:eastAsiaTheme="minorEastAsia"/>
                <w:color w:val="000000" w:themeColor="text1"/>
                <w:sz w:val="21"/>
                <w:szCs w:val="21"/>
                <w:highlight w:val="none"/>
                <w:vertAlign w:val="baseline"/>
                <w:lang w:val="en-US" w:eastAsia="zh-CN"/>
              </w:rPr>
              <w:t>废胶、废密封剂经密封包装后，暂存于危险废贮存点内，定期委托黑龙江京盛华环保科技有限公司处置</w:t>
            </w:r>
          </w:p>
        </w:tc>
      </w:tr>
    </w:tbl>
    <w:p w14:paraId="3C5057CB">
      <w:pPr>
        <w:pStyle w:val="4"/>
        <w:bidi w:val="0"/>
        <w:rPr>
          <w:highlight w:val="none"/>
        </w:rPr>
      </w:pPr>
      <w:r>
        <w:rPr>
          <w:rFonts w:hint="eastAsia"/>
          <w:highlight w:val="none"/>
        </w:rPr>
        <w:t>3.1.5现有工程产品</w:t>
      </w:r>
      <w:bookmarkEnd w:id="217"/>
    </w:p>
    <w:p w14:paraId="7DE9EBC9">
      <w:pPr>
        <w:spacing w:line="480" w:lineRule="exact"/>
        <w:ind w:firstLine="480" w:firstLineChars="200"/>
        <w:jc w:val="left"/>
        <w:rPr>
          <w:rFonts w:ascii="Times New Roman" w:hAnsi="Times New Roman"/>
          <w:kern w:val="24"/>
          <w:highlight w:val="none"/>
        </w:rPr>
      </w:pPr>
      <w:r>
        <w:rPr>
          <w:rFonts w:ascii="Times New Roman" w:hAnsi="Times New Roman"/>
          <w:kern w:val="24"/>
          <w:highlight w:val="none"/>
        </w:rPr>
        <w:t>现有工程产品情况见表3-1-3。</w:t>
      </w:r>
    </w:p>
    <w:p w14:paraId="3AEFF817">
      <w:pPr>
        <w:spacing w:line="240" w:lineRule="auto"/>
        <w:jc w:val="center"/>
        <w:rPr>
          <w:rFonts w:ascii="Times New Roman" w:hAnsi="Times New Roman"/>
          <w:sz w:val="21"/>
          <w:szCs w:val="21"/>
          <w:highlight w:val="none"/>
        </w:rPr>
      </w:pPr>
      <w:r>
        <w:rPr>
          <w:rFonts w:ascii="Times New Roman" w:hAnsi="Times New Roman"/>
          <w:b/>
          <w:bCs/>
          <w:sz w:val="21"/>
          <w:szCs w:val="21"/>
          <w:highlight w:val="none"/>
        </w:rPr>
        <w:t>表3-1-3现有工程产品情况表</w:t>
      </w:r>
    </w:p>
    <w:tbl>
      <w:tblPr>
        <w:tblStyle w:val="739"/>
        <w:tblW w:w="9013" w:type="dxa"/>
        <w:tblInd w:w="7"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696"/>
        <w:gridCol w:w="3182"/>
        <w:gridCol w:w="2271"/>
        <w:gridCol w:w="2395"/>
      </w:tblGrid>
      <w:tr w14:paraId="1ED34FF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696" w:type="dxa"/>
            <w:tcBorders>
              <w:tl2br w:val="nil"/>
              <w:tr2bl w:val="nil"/>
            </w:tcBorders>
            <w:vAlign w:val="center"/>
          </w:tcPr>
          <w:p w14:paraId="11881AD7">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bookmarkStart w:id="218" w:name="_Toc14921"/>
            <w:r>
              <w:rPr>
                <w:rFonts w:hint="default" w:ascii="Times New Roman" w:hAnsi="Times New Roman" w:cs="Times New Roman" w:eastAsiaTheme="minorEastAsia"/>
                <w:b/>
                <w:bCs/>
                <w:snapToGrid w:val="0"/>
                <w:color w:val="000000"/>
                <w:spacing w:val="4"/>
                <w:sz w:val="21"/>
                <w:szCs w:val="21"/>
                <w:highlight w:val="none"/>
              </w:rPr>
              <w:t>序号</w:t>
            </w:r>
          </w:p>
        </w:tc>
        <w:tc>
          <w:tcPr>
            <w:tcW w:w="3182" w:type="dxa"/>
            <w:tcBorders>
              <w:tl2br w:val="nil"/>
              <w:tr2bl w:val="nil"/>
            </w:tcBorders>
            <w:vAlign w:val="center"/>
          </w:tcPr>
          <w:p w14:paraId="581DF7FF">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b/>
                <w:bCs/>
                <w:snapToGrid w:val="0"/>
                <w:color w:val="000000"/>
                <w:spacing w:val="6"/>
                <w:sz w:val="21"/>
                <w:szCs w:val="21"/>
                <w:highlight w:val="none"/>
              </w:rPr>
              <w:t>产品名称</w:t>
            </w:r>
          </w:p>
        </w:tc>
        <w:tc>
          <w:tcPr>
            <w:tcW w:w="2271" w:type="dxa"/>
            <w:tcBorders>
              <w:tl2br w:val="nil"/>
              <w:tr2bl w:val="nil"/>
            </w:tcBorders>
            <w:vAlign w:val="center"/>
          </w:tcPr>
          <w:p w14:paraId="16A0A1E3">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b/>
                <w:bCs/>
                <w:snapToGrid w:val="0"/>
                <w:color w:val="000000"/>
                <w:spacing w:val="3"/>
                <w:sz w:val="21"/>
                <w:szCs w:val="21"/>
                <w:highlight w:val="none"/>
              </w:rPr>
              <w:t>产量</w:t>
            </w:r>
          </w:p>
        </w:tc>
        <w:tc>
          <w:tcPr>
            <w:tcW w:w="2395" w:type="dxa"/>
            <w:tcBorders>
              <w:tl2br w:val="nil"/>
              <w:tr2bl w:val="nil"/>
            </w:tcBorders>
            <w:vAlign w:val="center"/>
          </w:tcPr>
          <w:p w14:paraId="7B519C16">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b/>
                <w:bCs/>
                <w:snapToGrid w:val="0"/>
                <w:color w:val="000000"/>
                <w:spacing w:val="2"/>
                <w:sz w:val="21"/>
                <w:szCs w:val="21"/>
                <w:highlight w:val="none"/>
              </w:rPr>
              <w:t>备注</w:t>
            </w:r>
          </w:p>
        </w:tc>
      </w:tr>
      <w:tr w14:paraId="3B57309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6" w:hRule="atLeast"/>
        </w:trPr>
        <w:tc>
          <w:tcPr>
            <w:tcW w:w="696" w:type="dxa"/>
            <w:tcBorders>
              <w:tl2br w:val="nil"/>
              <w:tr2bl w:val="nil"/>
            </w:tcBorders>
            <w:vAlign w:val="center"/>
          </w:tcPr>
          <w:p w14:paraId="54A2E83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z w:val="21"/>
                <w:szCs w:val="21"/>
                <w:highlight w:val="none"/>
              </w:rPr>
              <w:t>1</w:t>
            </w:r>
          </w:p>
        </w:tc>
        <w:tc>
          <w:tcPr>
            <w:tcW w:w="3182" w:type="dxa"/>
            <w:tcBorders>
              <w:tl2br w:val="nil"/>
              <w:tr2bl w:val="nil"/>
            </w:tcBorders>
            <w:vAlign w:val="center"/>
          </w:tcPr>
          <w:p w14:paraId="5534B3E5">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6"/>
                <w:sz w:val="21"/>
                <w:szCs w:val="21"/>
                <w:highlight w:val="none"/>
              </w:rPr>
              <w:t>4G1系列发动机</w:t>
            </w:r>
          </w:p>
        </w:tc>
        <w:tc>
          <w:tcPr>
            <w:tcW w:w="2271" w:type="dxa"/>
            <w:tcBorders>
              <w:tl2br w:val="nil"/>
              <w:tr2bl w:val="nil"/>
            </w:tcBorders>
            <w:vAlign w:val="center"/>
          </w:tcPr>
          <w:p w14:paraId="320CF595">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1"/>
                <w:sz w:val="21"/>
                <w:szCs w:val="21"/>
                <w:highlight w:val="none"/>
              </w:rPr>
              <w:t>15万台/a</w:t>
            </w:r>
          </w:p>
        </w:tc>
        <w:tc>
          <w:tcPr>
            <w:tcW w:w="2395" w:type="dxa"/>
            <w:tcBorders>
              <w:tl2br w:val="nil"/>
              <w:tr2bl w:val="nil"/>
            </w:tcBorders>
            <w:vAlign w:val="center"/>
          </w:tcPr>
          <w:p w14:paraId="6980536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10"/>
                <w:position w:val="-2"/>
                <w:sz w:val="21"/>
                <w:szCs w:val="21"/>
                <w:highlight w:val="none"/>
              </w:rPr>
              <w:t>——</w:t>
            </w:r>
          </w:p>
        </w:tc>
      </w:tr>
      <w:tr w14:paraId="3E8E42A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6" w:hRule="atLeast"/>
        </w:trPr>
        <w:tc>
          <w:tcPr>
            <w:tcW w:w="696" w:type="dxa"/>
            <w:tcBorders>
              <w:tl2br w:val="nil"/>
              <w:tr2bl w:val="nil"/>
            </w:tcBorders>
            <w:vAlign w:val="center"/>
          </w:tcPr>
          <w:p w14:paraId="59CCDC0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z w:val="21"/>
                <w:szCs w:val="21"/>
                <w:highlight w:val="none"/>
              </w:rPr>
              <w:t>2</w:t>
            </w:r>
          </w:p>
        </w:tc>
        <w:tc>
          <w:tcPr>
            <w:tcW w:w="3182" w:type="dxa"/>
            <w:tcBorders>
              <w:tl2br w:val="nil"/>
              <w:tr2bl w:val="nil"/>
            </w:tcBorders>
            <w:vAlign w:val="center"/>
          </w:tcPr>
          <w:p w14:paraId="43CFAC5D">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6"/>
                <w:sz w:val="21"/>
                <w:szCs w:val="21"/>
                <w:highlight w:val="none"/>
              </w:rPr>
              <w:t>4G9系列发动机</w:t>
            </w:r>
          </w:p>
        </w:tc>
        <w:tc>
          <w:tcPr>
            <w:tcW w:w="2271" w:type="dxa"/>
            <w:tcBorders>
              <w:tl2br w:val="nil"/>
              <w:tr2bl w:val="nil"/>
            </w:tcBorders>
            <w:vAlign w:val="center"/>
          </w:tcPr>
          <w:p w14:paraId="675CC423">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1"/>
                <w:sz w:val="21"/>
                <w:szCs w:val="21"/>
                <w:highlight w:val="none"/>
              </w:rPr>
              <w:t>15万台/a</w:t>
            </w:r>
          </w:p>
        </w:tc>
        <w:tc>
          <w:tcPr>
            <w:tcW w:w="2395" w:type="dxa"/>
            <w:tcBorders>
              <w:tl2br w:val="nil"/>
              <w:tr2bl w:val="nil"/>
            </w:tcBorders>
            <w:vAlign w:val="center"/>
          </w:tcPr>
          <w:p w14:paraId="29DF64B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10"/>
                <w:position w:val="-2"/>
                <w:sz w:val="21"/>
                <w:szCs w:val="21"/>
                <w:highlight w:val="none"/>
              </w:rPr>
              <w:t>——</w:t>
            </w:r>
          </w:p>
        </w:tc>
      </w:tr>
      <w:tr w14:paraId="43C96C5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6" w:hRule="atLeast"/>
        </w:trPr>
        <w:tc>
          <w:tcPr>
            <w:tcW w:w="696" w:type="dxa"/>
            <w:tcBorders>
              <w:tl2br w:val="nil"/>
              <w:tr2bl w:val="nil"/>
            </w:tcBorders>
            <w:vAlign w:val="center"/>
          </w:tcPr>
          <w:p w14:paraId="319EF32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z w:val="21"/>
                <w:szCs w:val="21"/>
                <w:highlight w:val="none"/>
              </w:rPr>
              <w:t>3</w:t>
            </w:r>
          </w:p>
        </w:tc>
        <w:tc>
          <w:tcPr>
            <w:tcW w:w="3182" w:type="dxa"/>
            <w:tcBorders>
              <w:tl2br w:val="nil"/>
              <w:tr2bl w:val="nil"/>
            </w:tcBorders>
            <w:vAlign w:val="center"/>
          </w:tcPr>
          <w:p w14:paraId="64BDE366">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6"/>
                <w:sz w:val="21"/>
                <w:szCs w:val="21"/>
                <w:highlight w:val="none"/>
              </w:rPr>
              <w:t>D系列发动机</w:t>
            </w:r>
          </w:p>
        </w:tc>
        <w:tc>
          <w:tcPr>
            <w:tcW w:w="2271" w:type="dxa"/>
            <w:tcBorders>
              <w:tl2br w:val="nil"/>
              <w:tr2bl w:val="nil"/>
            </w:tcBorders>
            <w:vAlign w:val="center"/>
          </w:tcPr>
          <w:p w14:paraId="7E606F36">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1"/>
                <w:sz w:val="21"/>
                <w:szCs w:val="21"/>
                <w:highlight w:val="none"/>
              </w:rPr>
              <w:t>15万台/a</w:t>
            </w:r>
          </w:p>
        </w:tc>
        <w:tc>
          <w:tcPr>
            <w:tcW w:w="2395" w:type="dxa"/>
            <w:tcBorders>
              <w:tl2br w:val="nil"/>
              <w:tr2bl w:val="nil"/>
            </w:tcBorders>
            <w:vAlign w:val="center"/>
          </w:tcPr>
          <w:p w14:paraId="62A4063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p>
        </w:tc>
      </w:tr>
      <w:tr w14:paraId="5388F34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7" w:hRule="atLeast"/>
        </w:trPr>
        <w:tc>
          <w:tcPr>
            <w:tcW w:w="696" w:type="dxa"/>
            <w:tcBorders>
              <w:tl2br w:val="nil"/>
              <w:tr2bl w:val="nil"/>
            </w:tcBorders>
            <w:vAlign w:val="center"/>
          </w:tcPr>
          <w:p w14:paraId="0B320D6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1"/>
                <w:sz w:val="21"/>
                <w:szCs w:val="21"/>
                <w:highlight w:val="none"/>
              </w:rPr>
              <w:t>4</w:t>
            </w:r>
          </w:p>
        </w:tc>
        <w:tc>
          <w:tcPr>
            <w:tcW w:w="3182" w:type="dxa"/>
            <w:tcBorders>
              <w:tl2br w:val="nil"/>
              <w:tr2bl w:val="nil"/>
            </w:tcBorders>
            <w:vAlign w:val="center"/>
          </w:tcPr>
          <w:p w14:paraId="1861B154">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9"/>
                <w:sz w:val="21"/>
                <w:szCs w:val="21"/>
                <w:highlight w:val="none"/>
              </w:rPr>
              <w:t>D20</w:t>
            </w:r>
            <w:r>
              <w:rPr>
                <w:rFonts w:hint="default" w:ascii="Times New Roman" w:hAnsi="Times New Roman" w:cs="Times New Roman" w:eastAsiaTheme="minorEastAsia"/>
                <w:snapToGrid w:val="0"/>
                <w:color w:val="000000"/>
                <w:sz w:val="21"/>
                <w:szCs w:val="21"/>
                <w:highlight w:val="none"/>
              </w:rPr>
              <w:t>TGDI</w:t>
            </w:r>
            <w:r>
              <w:rPr>
                <w:rFonts w:hint="default" w:ascii="Times New Roman" w:hAnsi="Times New Roman" w:cs="Times New Roman" w:eastAsiaTheme="minorEastAsia"/>
                <w:snapToGrid w:val="0"/>
                <w:color w:val="000000"/>
                <w:spacing w:val="9"/>
                <w:sz w:val="21"/>
                <w:szCs w:val="21"/>
                <w:highlight w:val="none"/>
              </w:rPr>
              <w:t>发动机</w:t>
            </w:r>
          </w:p>
        </w:tc>
        <w:tc>
          <w:tcPr>
            <w:tcW w:w="2271" w:type="dxa"/>
            <w:tcBorders>
              <w:tl2br w:val="nil"/>
              <w:tr2bl w:val="nil"/>
            </w:tcBorders>
            <w:vAlign w:val="center"/>
          </w:tcPr>
          <w:p w14:paraId="691675B6">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1"/>
                <w:sz w:val="21"/>
                <w:szCs w:val="21"/>
                <w:highlight w:val="none"/>
              </w:rPr>
              <w:t>15万台/a</w:t>
            </w:r>
          </w:p>
        </w:tc>
        <w:tc>
          <w:tcPr>
            <w:tcW w:w="2395" w:type="dxa"/>
            <w:tcBorders>
              <w:tl2br w:val="nil"/>
              <w:tr2bl w:val="nil"/>
            </w:tcBorders>
            <w:vAlign w:val="center"/>
          </w:tcPr>
          <w:p w14:paraId="5D005C6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p>
        </w:tc>
      </w:tr>
      <w:tr w14:paraId="52BEC1C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7" w:hRule="atLeast"/>
        </w:trPr>
        <w:tc>
          <w:tcPr>
            <w:tcW w:w="696" w:type="dxa"/>
            <w:tcBorders>
              <w:tl2br w:val="nil"/>
              <w:tr2bl w:val="nil"/>
            </w:tcBorders>
            <w:vAlign w:val="center"/>
          </w:tcPr>
          <w:p w14:paraId="566BB2D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z w:val="21"/>
                <w:szCs w:val="21"/>
                <w:highlight w:val="none"/>
              </w:rPr>
              <w:t>5</w:t>
            </w:r>
          </w:p>
        </w:tc>
        <w:tc>
          <w:tcPr>
            <w:tcW w:w="3182" w:type="dxa"/>
            <w:tcBorders>
              <w:tl2br w:val="nil"/>
              <w:tr2bl w:val="nil"/>
            </w:tcBorders>
            <w:vAlign w:val="center"/>
          </w:tcPr>
          <w:p w14:paraId="312AE00D">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10"/>
                <w:sz w:val="21"/>
                <w:szCs w:val="21"/>
                <w:highlight w:val="none"/>
              </w:rPr>
              <w:t>4G15</w:t>
            </w:r>
            <w:r>
              <w:rPr>
                <w:rFonts w:hint="default" w:ascii="Times New Roman" w:hAnsi="Times New Roman" w:cs="Times New Roman" w:eastAsiaTheme="minorEastAsia"/>
                <w:snapToGrid w:val="0"/>
                <w:color w:val="000000"/>
                <w:sz w:val="21"/>
                <w:szCs w:val="21"/>
                <w:highlight w:val="none"/>
              </w:rPr>
              <w:t>MIVEC</w:t>
            </w:r>
            <w:r>
              <w:rPr>
                <w:rFonts w:hint="default" w:ascii="Times New Roman" w:hAnsi="Times New Roman" w:cs="Times New Roman" w:eastAsiaTheme="minorEastAsia"/>
                <w:snapToGrid w:val="0"/>
                <w:color w:val="000000"/>
                <w:spacing w:val="10"/>
                <w:sz w:val="21"/>
                <w:szCs w:val="21"/>
                <w:highlight w:val="none"/>
              </w:rPr>
              <w:t>发动机缸盖</w:t>
            </w:r>
          </w:p>
        </w:tc>
        <w:tc>
          <w:tcPr>
            <w:tcW w:w="2271" w:type="dxa"/>
            <w:tcBorders>
              <w:tl2br w:val="nil"/>
              <w:tr2bl w:val="nil"/>
            </w:tcBorders>
            <w:vAlign w:val="center"/>
          </w:tcPr>
          <w:p w14:paraId="65A38B86">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1"/>
                <w:sz w:val="21"/>
                <w:szCs w:val="21"/>
                <w:highlight w:val="none"/>
              </w:rPr>
              <w:t>6万件/a</w:t>
            </w:r>
          </w:p>
        </w:tc>
        <w:tc>
          <w:tcPr>
            <w:tcW w:w="2395" w:type="dxa"/>
            <w:tcBorders>
              <w:tl2br w:val="nil"/>
              <w:tr2bl w:val="nil"/>
            </w:tcBorders>
            <w:vAlign w:val="center"/>
          </w:tcPr>
          <w:p w14:paraId="62921BD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10"/>
                <w:position w:val="-2"/>
                <w:sz w:val="21"/>
                <w:szCs w:val="21"/>
                <w:highlight w:val="none"/>
              </w:rPr>
              <w:t>——</w:t>
            </w:r>
          </w:p>
        </w:tc>
      </w:tr>
      <w:tr w14:paraId="1B9CF0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7" w:hRule="atLeast"/>
        </w:trPr>
        <w:tc>
          <w:tcPr>
            <w:tcW w:w="696" w:type="dxa"/>
            <w:tcBorders>
              <w:tl2br w:val="nil"/>
              <w:tr2bl w:val="nil"/>
            </w:tcBorders>
            <w:vAlign w:val="center"/>
          </w:tcPr>
          <w:p w14:paraId="5EB937B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z w:val="21"/>
                <w:szCs w:val="21"/>
                <w:highlight w:val="none"/>
              </w:rPr>
              <w:t>6</w:t>
            </w:r>
          </w:p>
        </w:tc>
        <w:tc>
          <w:tcPr>
            <w:tcW w:w="3182" w:type="dxa"/>
            <w:tcBorders>
              <w:tl2br w:val="nil"/>
              <w:tr2bl w:val="nil"/>
            </w:tcBorders>
            <w:vAlign w:val="center"/>
          </w:tcPr>
          <w:p w14:paraId="3392DBD4">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6"/>
                <w:sz w:val="21"/>
                <w:szCs w:val="21"/>
                <w:highlight w:val="none"/>
              </w:rPr>
              <w:t>4G15M2发动机缸盖</w:t>
            </w:r>
          </w:p>
        </w:tc>
        <w:tc>
          <w:tcPr>
            <w:tcW w:w="2271" w:type="dxa"/>
            <w:tcBorders>
              <w:tl2br w:val="nil"/>
              <w:tr2bl w:val="nil"/>
            </w:tcBorders>
            <w:vAlign w:val="center"/>
          </w:tcPr>
          <w:p w14:paraId="619C02F1">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1"/>
                <w:sz w:val="21"/>
                <w:szCs w:val="21"/>
                <w:highlight w:val="none"/>
              </w:rPr>
              <w:t>10万件/a</w:t>
            </w:r>
          </w:p>
        </w:tc>
        <w:tc>
          <w:tcPr>
            <w:tcW w:w="2395" w:type="dxa"/>
            <w:tcBorders>
              <w:tl2br w:val="nil"/>
              <w:tr2bl w:val="nil"/>
            </w:tcBorders>
            <w:vAlign w:val="center"/>
          </w:tcPr>
          <w:p w14:paraId="2D2E298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10"/>
                <w:position w:val="-2"/>
                <w:sz w:val="21"/>
                <w:szCs w:val="21"/>
                <w:highlight w:val="none"/>
              </w:rPr>
              <w:t>——</w:t>
            </w:r>
          </w:p>
        </w:tc>
      </w:tr>
      <w:tr w14:paraId="162EF9C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7" w:hRule="atLeast"/>
        </w:trPr>
        <w:tc>
          <w:tcPr>
            <w:tcW w:w="696" w:type="dxa"/>
            <w:tcBorders>
              <w:tl2br w:val="nil"/>
              <w:tr2bl w:val="nil"/>
            </w:tcBorders>
            <w:vAlign w:val="center"/>
          </w:tcPr>
          <w:p w14:paraId="56A19E6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z w:val="21"/>
                <w:szCs w:val="21"/>
                <w:highlight w:val="none"/>
              </w:rPr>
              <w:t>7</w:t>
            </w:r>
          </w:p>
        </w:tc>
        <w:tc>
          <w:tcPr>
            <w:tcW w:w="3182" w:type="dxa"/>
            <w:tcBorders>
              <w:tl2br w:val="nil"/>
              <w:tr2bl w:val="nil"/>
            </w:tcBorders>
            <w:vAlign w:val="center"/>
          </w:tcPr>
          <w:p w14:paraId="1AB270B5">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1"/>
                <w:sz w:val="21"/>
                <w:szCs w:val="21"/>
                <w:highlight w:val="none"/>
              </w:rPr>
              <w:t>AT自动变速器</w:t>
            </w:r>
          </w:p>
        </w:tc>
        <w:tc>
          <w:tcPr>
            <w:tcW w:w="2271" w:type="dxa"/>
            <w:tcBorders>
              <w:tl2br w:val="nil"/>
              <w:tr2bl w:val="nil"/>
            </w:tcBorders>
            <w:vAlign w:val="center"/>
          </w:tcPr>
          <w:p w14:paraId="5786CDA0">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2"/>
                <w:sz w:val="21"/>
                <w:szCs w:val="21"/>
                <w:highlight w:val="none"/>
              </w:rPr>
              <w:t>30万台/a</w:t>
            </w:r>
          </w:p>
        </w:tc>
        <w:tc>
          <w:tcPr>
            <w:tcW w:w="2395" w:type="dxa"/>
            <w:tcBorders>
              <w:tl2br w:val="nil"/>
              <w:tr2bl w:val="nil"/>
            </w:tcBorders>
            <w:vAlign w:val="center"/>
          </w:tcPr>
          <w:p w14:paraId="036AE8B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p>
        </w:tc>
      </w:tr>
      <w:tr w14:paraId="147AB97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7" w:hRule="atLeast"/>
        </w:trPr>
        <w:tc>
          <w:tcPr>
            <w:tcW w:w="696" w:type="dxa"/>
            <w:tcBorders>
              <w:tl2br w:val="nil"/>
              <w:tr2bl w:val="nil"/>
            </w:tcBorders>
            <w:vAlign w:val="center"/>
          </w:tcPr>
          <w:p w14:paraId="48C4F60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z w:val="21"/>
                <w:szCs w:val="21"/>
                <w:highlight w:val="none"/>
              </w:rPr>
              <w:t>8</w:t>
            </w:r>
          </w:p>
        </w:tc>
        <w:tc>
          <w:tcPr>
            <w:tcW w:w="3182" w:type="dxa"/>
            <w:tcBorders>
              <w:tl2br w:val="nil"/>
              <w:tr2bl w:val="nil"/>
            </w:tcBorders>
            <w:vAlign w:val="center"/>
          </w:tcPr>
          <w:p w14:paraId="037CAA14">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3"/>
                <w:sz w:val="21"/>
                <w:szCs w:val="21"/>
                <w:highlight w:val="none"/>
              </w:rPr>
              <w:t>6</w:t>
            </w:r>
            <w:r>
              <w:rPr>
                <w:rFonts w:hint="default" w:ascii="Times New Roman" w:hAnsi="Times New Roman" w:cs="Times New Roman" w:eastAsiaTheme="minorEastAsia"/>
                <w:snapToGrid w:val="0"/>
                <w:color w:val="000000"/>
                <w:sz w:val="21"/>
                <w:szCs w:val="21"/>
                <w:highlight w:val="none"/>
              </w:rPr>
              <w:t>AT</w:t>
            </w:r>
            <w:r>
              <w:rPr>
                <w:rFonts w:hint="default" w:ascii="Times New Roman" w:hAnsi="Times New Roman" w:cs="Times New Roman" w:eastAsiaTheme="minorEastAsia"/>
                <w:snapToGrid w:val="0"/>
                <w:color w:val="000000"/>
                <w:spacing w:val="3"/>
                <w:sz w:val="21"/>
                <w:szCs w:val="21"/>
                <w:highlight w:val="none"/>
              </w:rPr>
              <w:t>变速器</w:t>
            </w:r>
          </w:p>
        </w:tc>
        <w:tc>
          <w:tcPr>
            <w:tcW w:w="2271" w:type="dxa"/>
            <w:tcBorders>
              <w:tl2br w:val="nil"/>
              <w:tr2bl w:val="nil"/>
            </w:tcBorders>
            <w:vAlign w:val="center"/>
          </w:tcPr>
          <w:p w14:paraId="2F48D707">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1"/>
                <w:sz w:val="21"/>
                <w:szCs w:val="21"/>
                <w:highlight w:val="none"/>
              </w:rPr>
              <w:t>15万台/a</w:t>
            </w:r>
          </w:p>
        </w:tc>
        <w:tc>
          <w:tcPr>
            <w:tcW w:w="2395" w:type="dxa"/>
            <w:tcBorders>
              <w:tl2br w:val="nil"/>
              <w:tr2bl w:val="nil"/>
            </w:tcBorders>
            <w:vAlign w:val="center"/>
          </w:tcPr>
          <w:p w14:paraId="5852255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p>
        </w:tc>
      </w:tr>
      <w:tr w14:paraId="4214938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6" w:hRule="atLeast"/>
        </w:trPr>
        <w:tc>
          <w:tcPr>
            <w:tcW w:w="696" w:type="dxa"/>
            <w:tcBorders>
              <w:tl2br w:val="nil"/>
              <w:tr2bl w:val="nil"/>
            </w:tcBorders>
            <w:vAlign w:val="center"/>
          </w:tcPr>
          <w:p w14:paraId="52C25EA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z w:val="21"/>
                <w:szCs w:val="21"/>
                <w:highlight w:val="none"/>
              </w:rPr>
              <w:t>9</w:t>
            </w:r>
          </w:p>
        </w:tc>
        <w:tc>
          <w:tcPr>
            <w:tcW w:w="3182" w:type="dxa"/>
            <w:tcBorders>
              <w:tl2br w:val="nil"/>
              <w:tr2bl w:val="nil"/>
            </w:tcBorders>
            <w:vAlign w:val="center"/>
          </w:tcPr>
          <w:p w14:paraId="3D426603">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2"/>
                <w:sz w:val="21"/>
                <w:szCs w:val="21"/>
                <w:highlight w:val="none"/>
              </w:rPr>
              <w:t>8</w:t>
            </w:r>
            <w:r>
              <w:rPr>
                <w:rFonts w:hint="default" w:ascii="Times New Roman" w:hAnsi="Times New Roman" w:cs="Times New Roman" w:eastAsiaTheme="minorEastAsia"/>
                <w:snapToGrid w:val="0"/>
                <w:color w:val="000000"/>
                <w:sz w:val="21"/>
                <w:szCs w:val="21"/>
                <w:highlight w:val="none"/>
              </w:rPr>
              <w:t>AT</w:t>
            </w:r>
            <w:r>
              <w:rPr>
                <w:rFonts w:hint="default" w:ascii="Times New Roman" w:hAnsi="Times New Roman" w:cs="Times New Roman" w:eastAsiaTheme="minorEastAsia"/>
                <w:snapToGrid w:val="0"/>
                <w:color w:val="000000"/>
                <w:spacing w:val="2"/>
                <w:sz w:val="21"/>
                <w:szCs w:val="21"/>
                <w:highlight w:val="none"/>
              </w:rPr>
              <w:t>变速器</w:t>
            </w:r>
          </w:p>
        </w:tc>
        <w:tc>
          <w:tcPr>
            <w:tcW w:w="2271" w:type="dxa"/>
            <w:tcBorders>
              <w:tl2br w:val="nil"/>
              <w:tr2bl w:val="nil"/>
            </w:tcBorders>
            <w:vAlign w:val="center"/>
          </w:tcPr>
          <w:p w14:paraId="7B11E567">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1"/>
                <w:sz w:val="21"/>
                <w:szCs w:val="21"/>
                <w:highlight w:val="none"/>
              </w:rPr>
              <w:t>5万台/a</w:t>
            </w:r>
          </w:p>
        </w:tc>
        <w:tc>
          <w:tcPr>
            <w:tcW w:w="2395" w:type="dxa"/>
            <w:tcBorders>
              <w:tl2br w:val="nil"/>
              <w:tr2bl w:val="nil"/>
            </w:tcBorders>
            <w:vAlign w:val="center"/>
          </w:tcPr>
          <w:p w14:paraId="59C02CC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p>
        </w:tc>
      </w:tr>
    </w:tbl>
    <w:p w14:paraId="426FBF7D">
      <w:pPr>
        <w:pStyle w:val="4"/>
        <w:bidi w:val="0"/>
        <w:rPr>
          <w:highlight w:val="none"/>
        </w:rPr>
      </w:pPr>
      <w:r>
        <w:rPr>
          <w:rFonts w:hint="eastAsia"/>
          <w:highlight w:val="none"/>
        </w:rPr>
        <w:t>3.1.6现有工程主要生产工艺</w:t>
      </w:r>
      <w:bookmarkEnd w:id="218"/>
    </w:p>
    <w:p w14:paraId="3CFF9FA0">
      <w:pPr>
        <w:bidi w:val="0"/>
        <w:rPr>
          <w:highlight w:val="none"/>
          <w:lang w:val="zh-CN"/>
        </w:rPr>
      </w:pPr>
      <w:bookmarkStart w:id="219" w:name="_Toc6122"/>
      <w:r>
        <w:rPr>
          <w:rFonts w:hint="eastAsia"/>
          <w:highlight w:val="none"/>
          <w:lang w:eastAsia="zh-CN"/>
        </w:rPr>
        <w:t>（</w:t>
      </w:r>
      <w:r>
        <w:rPr>
          <w:rFonts w:hint="eastAsia"/>
          <w:highlight w:val="none"/>
          <w:lang w:val="en-US" w:eastAsia="zh-CN"/>
        </w:rPr>
        <w:t>1</w:t>
      </w:r>
      <w:r>
        <w:rPr>
          <w:rFonts w:hint="eastAsia"/>
          <w:highlight w:val="none"/>
          <w:lang w:eastAsia="zh-CN"/>
        </w:rPr>
        <w:t>）</w:t>
      </w:r>
      <w:r>
        <w:rPr>
          <w:highlight w:val="none"/>
          <w:lang w:val="zh-CN"/>
        </w:rPr>
        <w:t>4G1分厂主要生产工艺</w:t>
      </w:r>
      <w:bookmarkEnd w:id="219"/>
    </w:p>
    <w:p w14:paraId="332C4B01">
      <w:pPr>
        <w:bidi w:val="0"/>
        <w:rPr>
          <w:highlight w:val="none"/>
          <w:lang w:val="zh-CN"/>
        </w:rPr>
      </w:pPr>
      <w:r>
        <w:rPr>
          <w:highlight w:val="none"/>
          <w:lang w:val="zh-CN"/>
        </w:rPr>
        <w:t>①缸体加工生产线</w:t>
      </w:r>
    </w:p>
    <w:p w14:paraId="33060A21">
      <w:pPr>
        <w:bidi w:val="0"/>
        <w:rPr>
          <w:highlight w:val="none"/>
          <w:lang w:val="zh-CN"/>
        </w:rPr>
      </w:pPr>
      <w:r>
        <w:rPr>
          <w:highlight w:val="none"/>
          <w:lang w:val="zh-CN"/>
        </w:rPr>
        <w:t>缸体加工生产线采用单机和分段自动线组成的大流量冷却冲屑的湿式加工，由5段自动线组成，生产线设备共58台套，其中引进设备14台套。生产线设有故障自动诊断报警装置，各段之间自动连接，毛坯上线后，各工序加工直到成品全部自动完成。</w:t>
      </w:r>
    </w:p>
    <w:p w14:paraId="22FD09BA">
      <w:pPr>
        <w:bidi w:val="0"/>
        <w:rPr>
          <w:highlight w:val="none"/>
          <w:lang w:val="zh-CN"/>
        </w:rPr>
      </w:pPr>
      <w:r>
        <w:rPr>
          <w:highlight w:val="none"/>
          <w:lang w:val="zh-CN"/>
        </w:rPr>
        <w:t>②缸盖生产线</w:t>
      </w:r>
    </w:p>
    <w:p w14:paraId="7A2BCB3D">
      <w:pPr>
        <w:bidi w:val="0"/>
        <w:rPr>
          <w:highlight w:val="none"/>
          <w:lang w:val="zh-CN"/>
        </w:rPr>
      </w:pPr>
      <w:r>
        <w:rPr>
          <w:highlight w:val="none"/>
          <w:lang w:val="zh-CN"/>
        </w:rPr>
        <w:t>缸盖生产线是由自动线和引进设备组成的自动生产线，线前单机与自动线之间采用自动传送带连接，单机自动化程度高。整线采用大流量湿式加工，大防护结构，自动线全部配置计算机故障诊断系统，生产线共有设备42台套，其中引进设备15台套。</w:t>
      </w:r>
    </w:p>
    <w:p w14:paraId="09170C44">
      <w:pPr>
        <w:bidi w:val="0"/>
        <w:rPr>
          <w:highlight w:val="none"/>
          <w:lang w:val="zh-CN"/>
        </w:rPr>
      </w:pPr>
      <w:r>
        <w:rPr>
          <w:highlight w:val="none"/>
          <w:lang w:val="zh-CN"/>
        </w:rPr>
        <w:t>③曲轴生产线</w:t>
      </w:r>
    </w:p>
    <w:p w14:paraId="1E0AA91D">
      <w:pPr>
        <w:bidi w:val="0"/>
        <w:rPr>
          <w:highlight w:val="none"/>
          <w:lang w:val="zh-CN"/>
        </w:rPr>
      </w:pPr>
      <w:r>
        <w:rPr>
          <w:highlight w:val="none"/>
          <w:lang w:val="zh-CN"/>
        </w:rPr>
        <w:t>曲轴生产线是由数控机床、专用机床、孔加工自动线以及精加工设备组成的U型生产线。各机床之间采用传递带连接。该生产线共有设备44台套，其中引进设备17台套。</w:t>
      </w:r>
    </w:p>
    <w:p w14:paraId="278FFD47">
      <w:pPr>
        <w:bidi w:val="0"/>
        <w:rPr>
          <w:highlight w:val="none"/>
          <w:lang w:val="zh-CN"/>
        </w:rPr>
      </w:pPr>
      <w:r>
        <w:rPr>
          <w:highlight w:val="none"/>
          <w:lang w:val="zh-CN"/>
        </w:rPr>
        <w:t>④装配、试车生产线</w:t>
      </w:r>
    </w:p>
    <w:p w14:paraId="411699B0">
      <w:pPr>
        <w:bidi w:val="0"/>
        <w:rPr>
          <w:highlight w:val="none"/>
          <w:lang w:val="zh-CN"/>
        </w:rPr>
      </w:pPr>
      <w:r>
        <w:rPr>
          <w:highlight w:val="none"/>
          <w:lang w:val="zh-CN"/>
        </w:rPr>
        <w:t>装配生产线包括发动机装配生产线和变速箱、离合器装配生产线。发动机装配生产线将缸体总成、缸盖总成装配线连接在主装线前面，组成一条总装线。总装配线尾部通过传送带与试车线连接。装配试车生产线共有设备266台套，其中引进设备13台套。</w:t>
      </w:r>
    </w:p>
    <w:p w14:paraId="0F2C5D7F">
      <w:pPr>
        <w:pStyle w:val="40"/>
        <w:keepNext w:val="0"/>
        <w:keepLines w:val="0"/>
        <w:pageBreakBefore w:val="0"/>
        <w:widowControl w:val="0"/>
        <w:kinsoku/>
        <w:wordWrap w:val="0"/>
        <w:overflowPunct/>
        <w:topLinePunct w:val="0"/>
        <w:autoSpaceDE/>
        <w:autoSpaceDN/>
        <w:bidi w:val="0"/>
        <w:adjustRightInd w:val="0"/>
        <w:snapToGrid w:val="0"/>
        <w:spacing w:beforeAutospacing="0" w:afterAutospacing="0"/>
        <w:ind w:firstLine="0" w:firstLineChars="0"/>
        <w:textAlignment w:val="auto"/>
        <w:rPr>
          <w:highlight w:val="none"/>
          <w:lang w:val="zh-CN"/>
        </w:rPr>
      </w:pPr>
      <w:r>
        <w:rPr>
          <w:rFonts w:hint="eastAsia" w:ascii="Times New Roman" w:hAnsi="Times New Roman"/>
          <w:sz w:val="28"/>
          <w:szCs w:val="28"/>
          <w:highlight w:val="none"/>
        </w:rPr>
        <w:object>
          <v:shape id="_x0000_i1025" o:spt="75" type="#_x0000_t75" style="height:111pt;width:414.75pt;" o:ole="t" filled="f" o:preferrelative="t" stroked="t" coordsize="21600,21600">
            <v:path/>
            <v:fill on="f" focussize="0,0"/>
            <v:stroke color="#000000"/>
            <v:imagedata r:id="rId30" o:title=""/>
            <o:lock v:ext="edit" aspectratio="f"/>
            <w10:wrap type="none"/>
            <w10:anchorlock/>
          </v:shape>
          <o:OLEObject Type="Embed" ProgID="Visio.Drawing.11" ShapeID="_x0000_i1025" DrawAspect="Content" ObjectID="_1468075725" r:id="rId29">
            <o:LockedField>false</o:LockedField>
          </o:OLEObject>
        </w:object>
      </w:r>
      <w:r>
        <w:rPr>
          <w:highlight w:val="none"/>
          <w:lang w:val="zh-CN"/>
        </w:rPr>
        <w:t>图3</w:t>
      </w:r>
      <w:r>
        <w:rPr>
          <w:rFonts w:hint="eastAsia"/>
          <w:highlight w:val="none"/>
        </w:rPr>
        <w:t>-1</w:t>
      </w:r>
      <w:r>
        <w:rPr>
          <w:highlight w:val="none"/>
          <w:lang w:val="zh-CN"/>
        </w:rPr>
        <w:t>-14G1生产线工艺流程简图</w:t>
      </w:r>
    </w:p>
    <w:p w14:paraId="76AC93B3">
      <w:pPr>
        <w:bidi w:val="0"/>
        <w:rPr>
          <w:highlight w:val="none"/>
          <w:lang w:val="zh-CN"/>
        </w:rPr>
      </w:pPr>
      <w:bookmarkStart w:id="220" w:name="_Toc7250"/>
      <w:r>
        <w:rPr>
          <w:rFonts w:hint="eastAsia"/>
          <w:highlight w:val="none"/>
          <w:lang w:eastAsia="zh-CN"/>
        </w:rPr>
        <w:t>（</w:t>
      </w:r>
      <w:r>
        <w:rPr>
          <w:rFonts w:hint="eastAsia"/>
          <w:highlight w:val="none"/>
          <w:lang w:val="en-US" w:eastAsia="zh-CN"/>
        </w:rPr>
        <w:t>2</w:t>
      </w:r>
      <w:r>
        <w:rPr>
          <w:rFonts w:hint="eastAsia"/>
          <w:highlight w:val="none"/>
          <w:lang w:eastAsia="zh-CN"/>
        </w:rPr>
        <w:t>）</w:t>
      </w:r>
      <w:r>
        <w:rPr>
          <w:highlight w:val="none"/>
          <w:lang w:val="zh-CN"/>
        </w:rPr>
        <w:t>4G9分厂主要生产工艺</w:t>
      </w:r>
      <w:bookmarkEnd w:id="220"/>
    </w:p>
    <w:p w14:paraId="1A519A64">
      <w:pPr>
        <w:bidi w:val="0"/>
        <w:rPr>
          <w:highlight w:val="none"/>
          <w:lang w:val="zh-CN"/>
        </w:rPr>
      </w:pPr>
      <w:r>
        <w:rPr>
          <w:highlight w:val="none"/>
          <w:lang w:val="zh-CN"/>
        </w:rPr>
        <w:t>发动机总成装配采用非同步摩擦辊道式环形装配线。环形装配线两侧分别为短发动机装配线和长发动机装配线，环形线中间设通道，长短发动机装配线之间利用移载机相连。</w:t>
      </w:r>
    </w:p>
    <w:p w14:paraId="258907FF">
      <w:pPr>
        <w:bidi w:val="0"/>
        <w:rPr>
          <w:highlight w:val="none"/>
          <w:lang w:val="zh-CN"/>
        </w:rPr>
      </w:pPr>
      <w:r>
        <w:rPr>
          <w:highlight w:val="none"/>
          <w:lang w:val="zh-CN"/>
        </w:rPr>
        <w:t>加工合格的缸体用厂内叉车运送到联合厂房经清洗后，用悬挂起重机吊放在发动机总成装配线的托盘上，托盘运行到预定的装配工位时，自动停止（或人工停止）进行装配作业，完成该工位的装配内容后，托盘向前运行，直至完成发动机的总成装配工作。</w:t>
      </w:r>
    </w:p>
    <w:p w14:paraId="519538E4">
      <w:pPr>
        <w:bidi w:val="0"/>
        <w:rPr>
          <w:highlight w:val="none"/>
          <w:lang w:val="zh-CN"/>
        </w:rPr>
      </w:pPr>
      <w:r>
        <w:rPr>
          <w:highlight w:val="none"/>
          <w:lang w:val="zh-CN"/>
        </w:rPr>
        <w:t>在发动机总成装配线上短发动机总成装配完成后，用移载机将其转送到长发动机装配线上，完成长发动机的装配工作，经密封检测后送至试验输送线托盘上。</w:t>
      </w:r>
    </w:p>
    <w:p w14:paraId="5FDA0D77">
      <w:pPr>
        <w:bidi w:val="0"/>
        <w:rPr>
          <w:highlight w:val="none"/>
          <w:lang w:val="zh-CN"/>
        </w:rPr>
      </w:pPr>
      <w:r>
        <w:rPr>
          <w:highlight w:val="none"/>
          <w:lang w:val="zh-CN"/>
        </w:rPr>
        <w:t>缸盖总成装配线采用有计算机控制的柔性装配线；发动机总成及变总成合件装配均采用固定式装配；其余发动机分总成的装配均采用固定式装配。</w:t>
      </w:r>
    </w:p>
    <w:p w14:paraId="3B402D49">
      <w:pPr>
        <w:bidi w:val="0"/>
        <w:rPr>
          <w:highlight w:val="none"/>
          <w:lang w:val="zh-CN"/>
        </w:rPr>
      </w:pPr>
      <w:r>
        <w:rPr>
          <w:highlight w:val="none"/>
          <w:lang w:val="zh-CN"/>
        </w:rPr>
        <w:t>发动机总成出厂试验采用集中的燃油系统，设有集中的冷却水循环系统，集中的发动机废气排出系统及局部通风系统，试验区设自动报警及CO2自动消防系统，试验不合格的发动机返回修理，根据返修情况的不同，有部分发动机返修后重新进行试验。</w:t>
      </w:r>
    </w:p>
    <w:p w14:paraId="0335A8B8">
      <w:pPr>
        <w:pStyle w:val="7"/>
        <w:bidi w:val="0"/>
        <w:rPr>
          <w:highlight w:val="none"/>
          <w:lang w:val="zh-CN"/>
        </w:rPr>
      </w:pPr>
      <w:r>
        <w:rPr>
          <w:rFonts w:hint="eastAsia" w:ascii="Times New Roman" w:hAnsi="Times New Roman"/>
          <w:sz w:val="28"/>
          <w:szCs w:val="28"/>
          <w:highlight w:val="none"/>
        </w:rPr>
        <w:object>
          <v:shape id="_x0000_i1026" o:spt="75" type="#_x0000_t75" style="height:111pt;width:414.75pt;" o:ole="t" filled="f" o:preferrelative="t" stroked="t" coordsize="21600,21600">
            <v:path/>
            <v:fill on="f" focussize="0,0"/>
            <v:stroke color="#000000"/>
            <v:imagedata r:id="rId30" o:title=""/>
            <o:lock v:ext="edit" aspectratio="f"/>
            <w10:wrap type="none"/>
            <w10:anchorlock/>
          </v:shape>
          <o:OLEObject Type="Embed" ProgID="Visio.Drawing.11" ShapeID="_x0000_i1026" DrawAspect="Content" ObjectID="_1468075726" r:id="rId31">
            <o:LockedField>false</o:LockedField>
          </o:OLEObject>
        </w:object>
      </w:r>
      <w:bookmarkStart w:id="221" w:name="_Toc31967"/>
      <w:r>
        <w:rPr>
          <w:highlight w:val="none"/>
          <w:lang w:val="zh-CN"/>
        </w:rPr>
        <w:t>图3</w:t>
      </w:r>
      <w:r>
        <w:rPr>
          <w:rFonts w:hint="eastAsia"/>
          <w:highlight w:val="none"/>
        </w:rPr>
        <w:t>-1</w:t>
      </w:r>
      <w:r>
        <w:rPr>
          <w:highlight w:val="none"/>
          <w:lang w:val="zh-CN"/>
        </w:rPr>
        <w:t>-24G9生产线工艺流程简图</w:t>
      </w:r>
      <w:bookmarkEnd w:id="221"/>
    </w:p>
    <w:p w14:paraId="307C7A59">
      <w:pPr>
        <w:bidi w:val="0"/>
        <w:rPr>
          <w:highlight w:val="none"/>
          <w:lang w:val="zh-CN"/>
        </w:rPr>
      </w:pPr>
      <w:bookmarkStart w:id="222" w:name="_Toc23"/>
      <w:r>
        <w:rPr>
          <w:rFonts w:hint="eastAsia"/>
          <w:highlight w:val="none"/>
          <w:lang w:eastAsia="zh-CN"/>
        </w:rPr>
        <w:t>（</w:t>
      </w:r>
      <w:r>
        <w:rPr>
          <w:rFonts w:hint="eastAsia"/>
          <w:highlight w:val="none"/>
          <w:lang w:val="en-US" w:eastAsia="zh-CN"/>
        </w:rPr>
        <w:t>3</w:t>
      </w:r>
      <w:r>
        <w:rPr>
          <w:rFonts w:hint="eastAsia"/>
          <w:highlight w:val="none"/>
          <w:lang w:eastAsia="zh-CN"/>
        </w:rPr>
        <w:t>）</w:t>
      </w:r>
      <w:r>
        <w:rPr>
          <w:rFonts w:hint="eastAsia"/>
          <w:highlight w:val="none"/>
        </w:rPr>
        <w:t>D20发动机</w:t>
      </w:r>
      <w:r>
        <w:rPr>
          <w:highlight w:val="none"/>
          <w:lang w:val="zh-CN"/>
        </w:rPr>
        <w:t>主要生产工艺</w:t>
      </w:r>
    </w:p>
    <w:p w14:paraId="235B2769">
      <w:pPr>
        <w:bidi w:val="0"/>
        <w:rPr>
          <w:highlight w:val="none"/>
        </w:rPr>
      </w:pPr>
      <w:r>
        <w:rPr>
          <w:rFonts w:hint="eastAsia"/>
          <w:highlight w:val="none"/>
        </w:rPr>
        <w:t>缸体、缸盖机械加工均采用高效数控加工设备（加工中心），为一封闭加工设备，根据设计要求，自动完成铣、铰等金属加工过程。加工中心采用湿式加工，使用切削液，切削液加满槽子后循环使用，平时不断添加，定期全槽排放。各加工中心均为封闭设备，清洗机为封闭设备，使用清洗剂，清洗剂加满槽子后循环使用，平时不断添加，定期全槽排放。</w:t>
      </w:r>
    </w:p>
    <w:p w14:paraId="48E0DEE4">
      <w:pPr>
        <w:bidi w:val="0"/>
        <w:rPr>
          <w:highlight w:val="none"/>
          <w:lang w:val="zh-CN"/>
        </w:rPr>
      </w:pPr>
      <w:r>
        <w:rPr>
          <w:rFonts w:hint="eastAsia"/>
          <w:highlight w:val="none"/>
          <w:lang w:val="zh-CN"/>
        </w:rPr>
        <w:t>缸体、缸盖机械加工完成后送入发动机装配生产线，</w:t>
      </w:r>
      <w:r>
        <w:rPr>
          <w:highlight w:val="none"/>
          <w:lang w:val="zh-CN"/>
        </w:rPr>
        <w:t>在发动机总成装配线上短发动机总成装配完成后，用移载机将其转送到长发动机装配线上，完成长发动机的装配工作，经密封检测后送至试验输送线托盘上。</w:t>
      </w:r>
    </w:p>
    <w:p w14:paraId="545DEC0B">
      <w:pPr>
        <w:bidi w:val="0"/>
        <w:rPr>
          <w:highlight w:val="none"/>
          <w:lang w:val="zh-CN"/>
        </w:rPr>
      </w:pPr>
      <w:r>
        <w:rPr>
          <w:highlight w:val="none"/>
          <w:lang w:val="zh-CN"/>
        </w:rPr>
        <w:t>缸盖总成装配线采用有计算机控制的柔性装配线；发动机总成及变总成合件装配均采用固定式装配；其余发动机分总成的装配均采用固定式装配。</w:t>
      </w:r>
    </w:p>
    <w:p w14:paraId="5AB59797">
      <w:pPr>
        <w:bidi w:val="0"/>
        <w:rPr>
          <w:highlight w:val="none"/>
        </w:rPr>
      </w:pPr>
      <w:r>
        <w:rPr>
          <w:highlight w:val="none"/>
          <w:lang w:val="zh-CN"/>
        </w:rPr>
        <w:t>发动机总成出厂试验采用集中的燃油系统，设有集中的冷却水循环系统，集中的发动机废气排出系统及局部通风系统，试验区设自动报警及CO2自动消防系统，试验不合格的发动机返回修理，根据返修情况的不同，有部分发动机返修后重新进行试验。</w:t>
      </w:r>
    </w:p>
    <w:p w14:paraId="44138FA6">
      <w:pPr>
        <w:pStyle w:val="19"/>
        <w:rPr>
          <w:highlight w:val="none"/>
        </w:rPr>
      </w:pPr>
    </w:p>
    <w:p w14:paraId="6042CBFD">
      <w:pPr>
        <w:spacing w:line="500" w:lineRule="exact"/>
        <w:ind w:firstLine="560" w:firstLineChars="200"/>
        <w:rPr>
          <w:rFonts w:ascii="Times New Roman" w:hAnsi="Times New Roman"/>
          <w:bCs/>
          <w:sz w:val="28"/>
          <w:szCs w:val="28"/>
          <w:highlight w:val="none"/>
        </w:rPr>
      </w:pPr>
      <w:r>
        <w:rPr>
          <w:rFonts w:ascii="Times New Roman" w:hAnsi="Times New Roman"/>
          <w:bCs/>
          <w:sz w:val="28"/>
          <w:szCs w:val="28"/>
          <w:highlight w:val="none"/>
        </w:rPr>
        <w:pict>
          <v:shape id="_x0000_s2463" o:spid="_x0000_s2463" o:spt="75" type="#_x0000_t75" style="position:absolute;left:0pt;margin-left:33.25pt;margin-top:-6pt;height:526.5pt;width:320.25pt;mso-wrap-distance-bottom:0pt;mso-wrap-distance-left:9pt;mso-wrap-distance-right:9pt;mso-wrap-distance-top:0pt;z-index:251697152;mso-width-relative:page;mso-height-relative:page;" o:ole="t" filled="f" o:preferrelative="t" stroked="t" coordsize="21600,21600">
            <v:path/>
            <v:fill on="f" focussize="0,0"/>
            <v:stroke color="#000000"/>
            <v:imagedata r:id="rId33" o:title=""/>
            <o:lock v:ext="edit" aspectratio="f"/>
            <w10:wrap type="square"/>
          </v:shape>
          <o:OLEObject Type="Embed" ProgID="Visio.Drawing.11" ShapeID="_x0000_s2463" DrawAspect="Content" ObjectID="_1468075727" r:id="rId32">
            <o:LockedField>false</o:LockedField>
          </o:OLEObject>
        </w:pict>
      </w:r>
    </w:p>
    <w:p w14:paraId="776BF8F6">
      <w:pPr>
        <w:spacing w:line="500" w:lineRule="exact"/>
        <w:ind w:firstLine="560" w:firstLineChars="200"/>
        <w:rPr>
          <w:rFonts w:ascii="Times New Roman" w:hAnsi="Times New Roman"/>
          <w:bCs/>
          <w:sz w:val="28"/>
          <w:szCs w:val="28"/>
          <w:highlight w:val="none"/>
        </w:rPr>
      </w:pPr>
    </w:p>
    <w:p w14:paraId="234CC59D">
      <w:pPr>
        <w:spacing w:line="500" w:lineRule="exact"/>
        <w:ind w:firstLine="560" w:firstLineChars="200"/>
        <w:rPr>
          <w:rFonts w:ascii="Times New Roman" w:hAnsi="Times New Roman"/>
          <w:bCs/>
          <w:sz w:val="28"/>
          <w:szCs w:val="28"/>
          <w:highlight w:val="none"/>
        </w:rPr>
      </w:pPr>
    </w:p>
    <w:p w14:paraId="1BDD4BBE">
      <w:pPr>
        <w:spacing w:line="500" w:lineRule="exact"/>
        <w:ind w:firstLine="560" w:firstLineChars="200"/>
        <w:rPr>
          <w:rFonts w:ascii="Times New Roman" w:hAnsi="Times New Roman"/>
          <w:bCs/>
          <w:sz w:val="28"/>
          <w:szCs w:val="28"/>
          <w:highlight w:val="none"/>
        </w:rPr>
      </w:pPr>
    </w:p>
    <w:p w14:paraId="4D12C5BB">
      <w:pPr>
        <w:spacing w:line="500" w:lineRule="exact"/>
        <w:ind w:firstLine="560" w:firstLineChars="200"/>
        <w:rPr>
          <w:rFonts w:ascii="Times New Roman" w:hAnsi="Times New Roman"/>
          <w:bCs/>
          <w:sz w:val="28"/>
          <w:szCs w:val="28"/>
          <w:highlight w:val="none"/>
        </w:rPr>
      </w:pPr>
    </w:p>
    <w:p w14:paraId="1D67F9BE">
      <w:pPr>
        <w:spacing w:line="500" w:lineRule="exact"/>
        <w:ind w:firstLine="560" w:firstLineChars="200"/>
        <w:rPr>
          <w:rFonts w:ascii="Times New Roman" w:hAnsi="Times New Roman"/>
          <w:bCs/>
          <w:sz w:val="28"/>
          <w:szCs w:val="28"/>
          <w:highlight w:val="none"/>
        </w:rPr>
      </w:pPr>
    </w:p>
    <w:p w14:paraId="763EEB10">
      <w:pPr>
        <w:spacing w:line="500" w:lineRule="exact"/>
        <w:ind w:firstLine="560" w:firstLineChars="200"/>
        <w:rPr>
          <w:rFonts w:ascii="Times New Roman" w:hAnsi="Times New Roman"/>
          <w:bCs/>
          <w:sz w:val="28"/>
          <w:szCs w:val="28"/>
          <w:highlight w:val="none"/>
        </w:rPr>
      </w:pPr>
    </w:p>
    <w:p w14:paraId="558B6803">
      <w:pPr>
        <w:spacing w:line="500" w:lineRule="exact"/>
        <w:ind w:firstLine="560" w:firstLineChars="200"/>
        <w:rPr>
          <w:rFonts w:ascii="Times New Roman" w:hAnsi="Times New Roman"/>
          <w:bCs/>
          <w:sz w:val="28"/>
          <w:szCs w:val="28"/>
          <w:highlight w:val="none"/>
        </w:rPr>
      </w:pPr>
    </w:p>
    <w:p w14:paraId="5A0EFB12">
      <w:pPr>
        <w:spacing w:line="500" w:lineRule="exact"/>
        <w:ind w:firstLine="560" w:firstLineChars="200"/>
        <w:rPr>
          <w:rFonts w:ascii="Times New Roman" w:hAnsi="Times New Roman"/>
          <w:bCs/>
          <w:sz w:val="28"/>
          <w:szCs w:val="28"/>
          <w:highlight w:val="none"/>
        </w:rPr>
      </w:pPr>
    </w:p>
    <w:p w14:paraId="7F07E982">
      <w:pPr>
        <w:spacing w:line="500" w:lineRule="exact"/>
        <w:ind w:firstLine="560" w:firstLineChars="200"/>
        <w:rPr>
          <w:rFonts w:ascii="Times New Roman" w:hAnsi="Times New Roman"/>
          <w:bCs/>
          <w:sz w:val="28"/>
          <w:szCs w:val="28"/>
          <w:highlight w:val="none"/>
        </w:rPr>
      </w:pPr>
    </w:p>
    <w:p w14:paraId="54321C8E">
      <w:pPr>
        <w:spacing w:line="500" w:lineRule="exact"/>
        <w:ind w:firstLine="560" w:firstLineChars="200"/>
        <w:rPr>
          <w:rFonts w:ascii="Times New Roman" w:hAnsi="Times New Roman"/>
          <w:bCs/>
          <w:sz w:val="28"/>
          <w:szCs w:val="28"/>
          <w:highlight w:val="none"/>
        </w:rPr>
      </w:pPr>
    </w:p>
    <w:p w14:paraId="314FEBE6">
      <w:pPr>
        <w:spacing w:line="500" w:lineRule="exact"/>
        <w:ind w:firstLine="560" w:firstLineChars="200"/>
        <w:rPr>
          <w:rFonts w:ascii="Times New Roman" w:hAnsi="Times New Roman"/>
          <w:bCs/>
          <w:sz w:val="28"/>
          <w:szCs w:val="28"/>
          <w:highlight w:val="none"/>
        </w:rPr>
      </w:pPr>
    </w:p>
    <w:p w14:paraId="04EA476A">
      <w:pPr>
        <w:spacing w:line="500" w:lineRule="exact"/>
        <w:ind w:firstLine="560" w:firstLineChars="200"/>
        <w:rPr>
          <w:rFonts w:ascii="Times New Roman" w:hAnsi="Times New Roman"/>
          <w:bCs/>
          <w:sz w:val="28"/>
          <w:szCs w:val="28"/>
          <w:highlight w:val="none"/>
        </w:rPr>
      </w:pPr>
    </w:p>
    <w:p w14:paraId="0B335C41">
      <w:pPr>
        <w:spacing w:line="500" w:lineRule="exact"/>
        <w:ind w:firstLine="560" w:firstLineChars="200"/>
        <w:rPr>
          <w:rFonts w:ascii="Times New Roman" w:hAnsi="Times New Roman"/>
          <w:bCs/>
          <w:sz w:val="28"/>
          <w:szCs w:val="28"/>
          <w:highlight w:val="none"/>
        </w:rPr>
      </w:pPr>
    </w:p>
    <w:p w14:paraId="59C12ECA">
      <w:pPr>
        <w:spacing w:line="500" w:lineRule="exact"/>
        <w:ind w:firstLine="560" w:firstLineChars="200"/>
        <w:rPr>
          <w:rFonts w:ascii="Times New Roman" w:hAnsi="Times New Roman"/>
          <w:bCs/>
          <w:sz w:val="28"/>
          <w:szCs w:val="28"/>
          <w:highlight w:val="none"/>
        </w:rPr>
      </w:pPr>
    </w:p>
    <w:p w14:paraId="5E05E654">
      <w:pPr>
        <w:spacing w:line="500" w:lineRule="exact"/>
        <w:ind w:firstLine="560" w:firstLineChars="200"/>
        <w:rPr>
          <w:rFonts w:ascii="Times New Roman" w:hAnsi="Times New Roman"/>
          <w:bCs/>
          <w:sz w:val="28"/>
          <w:szCs w:val="28"/>
          <w:highlight w:val="none"/>
        </w:rPr>
      </w:pPr>
    </w:p>
    <w:p w14:paraId="00FCD86A">
      <w:pPr>
        <w:spacing w:line="500" w:lineRule="exact"/>
        <w:ind w:firstLine="560" w:firstLineChars="200"/>
        <w:rPr>
          <w:rFonts w:ascii="Times New Roman" w:hAnsi="Times New Roman"/>
          <w:bCs/>
          <w:sz w:val="28"/>
          <w:szCs w:val="28"/>
          <w:highlight w:val="none"/>
        </w:rPr>
      </w:pPr>
    </w:p>
    <w:p w14:paraId="60074EF5">
      <w:pPr>
        <w:spacing w:line="500" w:lineRule="exact"/>
        <w:ind w:firstLine="560" w:firstLineChars="200"/>
        <w:rPr>
          <w:rFonts w:ascii="Times New Roman" w:hAnsi="Times New Roman"/>
          <w:bCs/>
          <w:sz w:val="28"/>
          <w:szCs w:val="28"/>
          <w:highlight w:val="none"/>
        </w:rPr>
      </w:pPr>
    </w:p>
    <w:p w14:paraId="6F45128C">
      <w:pPr>
        <w:spacing w:line="500" w:lineRule="exact"/>
        <w:ind w:firstLine="560" w:firstLineChars="200"/>
        <w:rPr>
          <w:rFonts w:ascii="Times New Roman" w:hAnsi="Times New Roman"/>
          <w:bCs/>
          <w:sz w:val="28"/>
          <w:szCs w:val="28"/>
          <w:highlight w:val="none"/>
        </w:rPr>
      </w:pPr>
    </w:p>
    <w:p w14:paraId="3EF0C71F">
      <w:pPr>
        <w:spacing w:line="500" w:lineRule="exact"/>
        <w:ind w:firstLine="560" w:firstLineChars="200"/>
        <w:rPr>
          <w:rFonts w:ascii="Times New Roman" w:hAnsi="Times New Roman"/>
          <w:bCs/>
          <w:sz w:val="28"/>
          <w:szCs w:val="28"/>
          <w:highlight w:val="none"/>
        </w:rPr>
      </w:pPr>
    </w:p>
    <w:p w14:paraId="04AC5EBC">
      <w:pPr>
        <w:spacing w:line="500" w:lineRule="exact"/>
        <w:ind w:firstLine="560" w:firstLineChars="200"/>
        <w:rPr>
          <w:rFonts w:ascii="Times New Roman" w:hAnsi="Times New Roman"/>
          <w:bCs/>
          <w:sz w:val="28"/>
          <w:szCs w:val="28"/>
          <w:highlight w:val="none"/>
        </w:rPr>
      </w:pPr>
    </w:p>
    <w:p w14:paraId="4D9EAB83">
      <w:pPr>
        <w:pStyle w:val="7"/>
        <w:bidi w:val="0"/>
        <w:rPr>
          <w:highlight w:val="none"/>
        </w:rPr>
      </w:pPr>
      <w:r>
        <w:rPr>
          <w:highlight w:val="none"/>
        </w:rPr>
        <w:t>图3-1-3D20D20TGDI发动机生产工艺流程简图</w:t>
      </w:r>
    </w:p>
    <w:p w14:paraId="672B1EC8">
      <w:pPr>
        <w:bidi w:val="0"/>
        <w:rPr>
          <w:highlight w:val="none"/>
          <w:lang w:val="zh-CN"/>
        </w:rPr>
      </w:pPr>
      <w:r>
        <w:rPr>
          <w:rFonts w:hint="eastAsia"/>
          <w:highlight w:val="none"/>
        </w:rPr>
        <w:t>4、</w:t>
      </w:r>
      <w:r>
        <w:rPr>
          <w:highlight w:val="none"/>
          <w:lang w:val="zh-CN"/>
        </w:rPr>
        <w:t>自动变速器生产线</w:t>
      </w:r>
      <w:bookmarkEnd w:id="222"/>
    </w:p>
    <w:p w14:paraId="77FDC6C1">
      <w:pPr>
        <w:bidi w:val="0"/>
        <w:rPr>
          <w:highlight w:val="none"/>
          <w:lang w:val="zh-CN"/>
        </w:rPr>
      </w:pPr>
      <w:r>
        <w:rPr>
          <w:highlight w:val="none"/>
          <w:lang w:val="zh-CN"/>
        </w:rPr>
        <w:t>变速器壳体加工过程：铸造的毛坯件在打号机上打号后，经生产线转入加工中心铣基准面，以基准面为基准加工孔。初加工的工件经运输线运至清洗机，在清洗机下清洗，在研磨机内研磨去毛刺。经生产线送入试漏机内试漏，合格的产品再次经生产线进清洗机清洗后，经人工外观检查去毛刺后进入装配区，待组装。</w:t>
      </w:r>
    </w:p>
    <w:p w14:paraId="7CAFA5E8">
      <w:pPr>
        <w:bidi w:val="0"/>
        <w:rPr>
          <w:highlight w:val="none"/>
          <w:lang w:val="zh-CN"/>
        </w:rPr>
      </w:pPr>
      <w:r>
        <w:rPr>
          <w:highlight w:val="none"/>
          <w:lang w:val="zh-CN"/>
        </w:rPr>
        <w:t>变速器壳装配、试验工艺流程：上道工序加工好的变速器壳体进入生产线后，进入钳工工段有小型压力机压入输入、输出轴，工人在前轴端上锁紧螺母固定轴端，在自动拧紧机下紧固螺母，生产线呆着工件进入轴套装配区，工人固定工件后，加调整垫片，接着工件到涂胶密封区，工人将工件放入固定的夹具内，自动涂胶机在液压系统的控制下，在工件相应部分挤出一层密封胶，接着在生产线的相应工位安装分离轴，轴承挡板及变速器齿轮，接着在自动涂胶机下密封轴承的后端面。总装完成后，经生产线到试漏机检测变速器的气密性。合格产品下线，包装后待售。</w:t>
      </w:r>
    </w:p>
    <w:p w14:paraId="19C0E63B">
      <w:pPr>
        <w:bidi w:val="0"/>
        <w:rPr>
          <w:highlight w:val="none"/>
          <w:lang w:val="zh-CN"/>
        </w:rPr>
      </w:pPr>
      <w:bookmarkStart w:id="223" w:name="_Toc32069"/>
      <w:r>
        <w:rPr>
          <w:rFonts w:hint="eastAsia"/>
          <w:highlight w:val="none"/>
        </w:rPr>
        <w:t>5、</w:t>
      </w:r>
      <w:bookmarkEnd w:id="223"/>
      <w:r>
        <w:rPr>
          <w:rFonts w:hint="eastAsia"/>
          <w:highlight w:val="none"/>
          <w:lang w:val="zh-CN"/>
        </w:rPr>
        <w:t>技术研发中心</w:t>
      </w:r>
    </w:p>
    <w:p w14:paraId="45962B66">
      <w:pPr>
        <w:bidi w:val="0"/>
        <w:rPr>
          <w:highlight w:val="none"/>
        </w:rPr>
      </w:pPr>
      <w:r>
        <w:rPr>
          <w:rFonts w:hint="eastAsia"/>
          <w:highlight w:val="none"/>
          <w:lang w:val="zh-CN"/>
        </w:rPr>
        <w:t>技术研发中心</w:t>
      </w:r>
      <w:r>
        <w:rPr>
          <w:highlight w:val="none"/>
          <w:lang w:val="zh-CN"/>
        </w:rPr>
        <w:t>主要承担以下任务：承担新开发的发动机各种性能开发试验及可靠性试验任务；承担与发动机匹配的变速器的各种性能及可靠性试验任务；承担现生产的发动机及变速器不断改进性实验；承担主要附件及电器设备的性能和寿命试验；进行整车动力性试验、燃油经济性试验；整车在低温下进行冷启动试验、除雾除霜试验；整车在高温下热启动试验、空调降温性能试验；整车在常温和低温下的排放实验；承担发动机、变速器的噪声试验。</w:t>
      </w:r>
    </w:p>
    <w:p w14:paraId="323D9DA8">
      <w:pPr>
        <w:pStyle w:val="4"/>
        <w:bidi w:val="0"/>
        <w:rPr>
          <w:rFonts w:hint="default"/>
          <w:highlight w:val="none"/>
          <w:lang w:val="en-US" w:eastAsia="zh-CN"/>
        </w:rPr>
      </w:pPr>
      <w:bookmarkStart w:id="224" w:name="_Toc32131"/>
      <w:r>
        <w:rPr>
          <w:rFonts w:hint="eastAsia"/>
          <w:highlight w:val="none"/>
        </w:rPr>
        <w:t>3.1.7现有工程</w:t>
      </w:r>
      <w:bookmarkEnd w:id="224"/>
      <w:r>
        <w:rPr>
          <w:rFonts w:hint="eastAsia"/>
          <w:highlight w:val="none"/>
          <w:lang w:val="en-US" w:eastAsia="zh-CN"/>
        </w:rPr>
        <w:t>污染物排放及防治措施</w:t>
      </w:r>
    </w:p>
    <w:p w14:paraId="4940215C">
      <w:pPr>
        <w:spacing w:line="480" w:lineRule="exact"/>
        <w:ind w:firstLine="480" w:firstLineChars="200"/>
        <w:jc w:val="left"/>
        <w:rPr>
          <w:rFonts w:ascii="Times New Roman" w:hAnsi="Times New Roman"/>
          <w:kern w:val="24"/>
          <w:highlight w:val="none"/>
        </w:rPr>
      </w:pPr>
      <w:r>
        <w:rPr>
          <w:rFonts w:hint="eastAsia" w:ascii="Times New Roman" w:hAnsi="Times New Roman"/>
          <w:kern w:val="24"/>
          <w:highlight w:val="none"/>
        </w:rPr>
        <w:t>（1）废气污染防治措施</w:t>
      </w:r>
    </w:p>
    <w:p w14:paraId="488478E9">
      <w:pPr>
        <w:spacing w:line="480" w:lineRule="exact"/>
        <w:ind w:firstLine="480" w:firstLineChars="200"/>
        <w:jc w:val="left"/>
        <w:rPr>
          <w:rFonts w:ascii="Times New Roman" w:hAnsi="Times New Roman"/>
          <w:kern w:val="24"/>
          <w:highlight w:val="none"/>
        </w:rPr>
      </w:pPr>
      <w:r>
        <w:rPr>
          <w:rFonts w:hint="eastAsia" w:ascii="Times New Roman" w:hAnsi="Times New Roman"/>
          <w:kern w:val="24"/>
          <w:highlight w:val="none"/>
        </w:rPr>
        <w:t>各热试生产线发动机热试尾气（氮氧化物、非甲烷总烃、一氧化碳）均经过三元净化装置净化满足《大气污染物综合排放标准》（GB162</w:t>
      </w:r>
      <w:r>
        <w:rPr>
          <w:rFonts w:hint="eastAsia" w:ascii="Times New Roman" w:hAnsi="Times New Roman"/>
          <w:color w:val="000000" w:themeColor="text1"/>
          <w:kern w:val="24"/>
          <w:highlight w:val="none"/>
        </w:rPr>
        <w:t>97-1996）</w:t>
      </w:r>
      <w:r>
        <w:rPr>
          <w:rFonts w:ascii="Times New Roman" w:hAnsi="Times New Roman"/>
          <w:color w:val="000000" w:themeColor="text1"/>
          <w:kern w:val="24"/>
          <w:highlight w:val="none"/>
        </w:rPr>
        <w:t>中</w:t>
      </w:r>
      <w:r>
        <w:rPr>
          <w:rFonts w:hint="eastAsia" w:ascii="Times New Roman" w:hAnsi="Times New Roman"/>
          <w:color w:val="000000" w:themeColor="text1"/>
          <w:kern w:val="24"/>
          <w:highlight w:val="none"/>
        </w:rPr>
        <w:t>表2新污染源大气污染物排放限值二级要求后，分别经</w:t>
      </w:r>
      <w:r>
        <w:rPr>
          <w:rFonts w:hint="eastAsia" w:ascii="Times New Roman" w:hAnsi="Times New Roman"/>
          <w:color w:val="000000" w:themeColor="text1"/>
          <w:kern w:val="24"/>
          <w:highlight w:val="none"/>
          <w:lang w:val="en-US" w:eastAsia="zh-CN"/>
        </w:rPr>
        <w:t>各自</w:t>
      </w:r>
      <w:r>
        <w:rPr>
          <w:rFonts w:hint="eastAsia" w:ascii="Times New Roman" w:hAnsi="Times New Roman"/>
          <w:color w:val="000000" w:themeColor="text1"/>
          <w:kern w:val="24"/>
          <w:highlight w:val="none"/>
        </w:rPr>
        <w:t>排气筒排放；厂区机械加工线为密闭一体化设备，排气口设置油雾净化装置，处理后的废气在车间内无组织排放，油雾净化效率为90%；</w:t>
      </w:r>
      <w:r>
        <w:rPr>
          <w:rFonts w:hint="eastAsia" w:ascii="Times New Roman" w:hAnsi="Times New Roman"/>
          <w:color w:val="000000" w:themeColor="text1"/>
          <w:kern w:val="24"/>
          <w:highlight w:val="none"/>
          <w:lang w:val="en-US" w:eastAsia="zh-CN"/>
        </w:rPr>
        <w:t>4G1缸体缸盖</w:t>
      </w:r>
      <w:r>
        <w:rPr>
          <w:rFonts w:hint="eastAsia" w:ascii="Times New Roman" w:hAnsi="Times New Roman"/>
          <w:color w:val="000000" w:themeColor="text1"/>
          <w:kern w:val="24"/>
          <w:highlight w:val="none"/>
        </w:rPr>
        <w:t>机械加工线为密闭一体化设备，排气口设置油雾净化装置，处理后的废气</w:t>
      </w:r>
      <w:r>
        <w:rPr>
          <w:rFonts w:hint="eastAsia" w:ascii="Times New Roman" w:hAnsi="Times New Roman"/>
          <w:color w:val="000000" w:themeColor="text1"/>
          <w:kern w:val="24"/>
          <w:highlight w:val="none"/>
          <w:lang w:val="en-US" w:eastAsia="zh-CN"/>
        </w:rPr>
        <w:t>经2根排气筒</w:t>
      </w:r>
      <w:r>
        <w:rPr>
          <w:rFonts w:hint="eastAsia" w:ascii="Times New Roman" w:hAnsi="Times New Roman"/>
          <w:color w:val="000000" w:themeColor="text1"/>
          <w:kern w:val="24"/>
          <w:highlight w:val="none"/>
        </w:rPr>
        <w:t>排放，油雾净化效率为90%；</w:t>
      </w:r>
      <w:r>
        <w:rPr>
          <w:rFonts w:hint="eastAsia" w:ascii="Times New Roman" w:hAnsi="Times New Roman"/>
          <w:kern w:val="24"/>
          <w:highlight w:val="none"/>
        </w:rPr>
        <w:t>厂区使用封口胶，均属于低VOCs含量的胶粘剂，从源头减少有机废气产生，物料储存于密闭容器内，物料输运密闭，厂房密闭减少挥发性有机物排放</w:t>
      </w:r>
      <w:r>
        <w:rPr>
          <w:rFonts w:hint="eastAsia" w:ascii="Times New Roman" w:hAnsi="Times New Roman"/>
          <w:kern w:val="24"/>
          <w:highlight w:val="none"/>
          <w:lang w:eastAsia="zh-CN"/>
        </w:rPr>
        <w:t>，</w:t>
      </w:r>
      <w:r>
        <w:rPr>
          <w:rFonts w:hint="eastAsia" w:ascii="Times New Roman" w:hAnsi="Times New Roman"/>
          <w:kern w:val="24"/>
          <w:highlight w:val="none"/>
          <w:lang w:val="en-US" w:eastAsia="zh-CN"/>
        </w:rPr>
        <w:t>涂胶工序废气经活性炭吸附装置处理后于封闭厂房内无组织排放</w:t>
      </w:r>
      <w:r>
        <w:rPr>
          <w:rFonts w:hint="eastAsia" w:ascii="Times New Roman" w:hAnsi="Times New Roman"/>
          <w:kern w:val="24"/>
          <w:highlight w:val="none"/>
          <w:lang w:eastAsia="zh-CN"/>
        </w:rPr>
        <w:t>；</w:t>
      </w:r>
      <w:r>
        <w:rPr>
          <w:rFonts w:hint="eastAsia" w:ascii="Times New Roman" w:hAnsi="Times New Roman"/>
          <w:kern w:val="24"/>
          <w:highlight w:val="none"/>
        </w:rPr>
        <w:t>厂区卸油采用油气回收装置，回收效率为90%，厂界非甲烷总烃</w:t>
      </w:r>
      <w:r>
        <w:rPr>
          <w:rFonts w:ascii="Times New Roman" w:hAnsi="Times New Roman"/>
          <w:kern w:val="24"/>
          <w:highlight w:val="none"/>
        </w:rPr>
        <w:t>执行《大气污染物综合排放标准》（GB16297-1996）表2中无组织排放监控浓度限值要求</w:t>
      </w:r>
      <w:r>
        <w:rPr>
          <w:rFonts w:hint="eastAsia" w:ascii="Times New Roman" w:hAnsi="Times New Roman"/>
          <w:kern w:val="24"/>
          <w:highlight w:val="none"/>
        </w:rPr>
        <w:t>；厂房外非甲烷总烃排放执行《挥发性有机物无组织排放控制标准》（GB37822-2019）表A.1中排放限值标准；</w:t>
      </w:r>
      <w:r>
        <w:rPr>
          <w:rFonts w:hint="eastAsia" w:ascii="Times New Roman" w:hAnsi="Times New Roman"/>
          <w:kern w:val="24"/>
          <w:highlight w:val="none"/>
          <w:lang w:val="en-US" w:eastAsia="zh-CN"/>
        </w:rPr>
        <w:t>3号厂房</w:t>
      </w:r>
      <w:r>
        <w:rPr>
          <w:rFonts w:hint="eastAsia" w:ascii="Times New Roman" w:hAnsi="Times New Roman"/>
          <w:kern w:val="24"/>
          <w:highlight w:val="none"/>
        </w:rPr>
        <w:t>污水处理站、</w:t>
      </w:r>
      <w:r>
        <w:rPr>
          <w:rFonts w:hint="eastAsia" w:ascii="Times New Roman" w:hAnsi="Times New Roman"/>
          <w:kern w:val="24"/>
          <w:highlight w:val="none"/>
          <w:lang w:val="en-US" w:eastAsia="zh-CN"/>
        </w:rPr>
        <w:t>4号厂房</w:t>
      </w:r>
      <w:r>
        <w:rPr>
          <w:rFonts w:hint="eastAsia" w:ascii="Times New Roman" w:hAnsi="Times New Roman"/>
          <w:kern w:val="24"/>
          <w:highlight w:val="none"/>
        </w:rPr>
        <w:t>污水处理站采用地下式池体设计，采取密闭措施，定期喷洒生物除臭剂，无组织氨、硫化氢、臭气浓度满足《恶臭污染物排放标准》（GB14554-93）中表1恶臭污染物厂界二级标准。</w:t>
      </w:r>
    </w:p>
    <w:p w14:paraId="4115406C">
      <w:pPr>
        <w:spacing w:line="480" w:lineRule="exact"/>
        <w:ind w:firstLine="480" w:firstLineChars="200"/>
        <w:jc w:val="left"/>
        <w:rPr>
          <w:rFonts w:ascii="Times New Roman" w:hAnsi="Times New Roman"/>
          <w:kern w:val="24"/>
          <w:highlight w:val="none"/>
        </w:rPr>
      </w:pPr>
      <w:r>
        <w:rPr>
          <w:rFonts w:hint="eastAsia" w:ascii="Times New Roman" w:hAnsi="Times New Roman"/>
          <w:kern w:val="24"/>
          <w:highlight w:val="none"/>
        </w:rPr>
        <w:t>（2）废水污染防治措施</w:t>
      </w:r>
    </w:p>
    <w:p w14:paraId="515A1121">
      <w:pPr>
        <w:spacing w:line="480" w:lineRule="exact"/>
        <w:ind w:firstLine="480" w:firstLineChars="200"/>
        <w:jc w:val="left"/>
        <w:rPr>
          <w:rFonts w:ascii="Times New Roman" w:hAnsi="Times New Roman"/>
          <w:kern w:val="24"/>
          <w:highlight w:val="none"/>
        </w:rPr>
      </w:pPr>
      <w:r>
        <w:rPr>
          <w:rFonts w:hint="eastAsia" w:ascii="Times New Roman" w:hAnsi="Times New Roman"/>
          <w:bCs/>
          <w:kern w:val="21"/>
          <w:highlight w:val="none"/>
        </w:rPr>
        <w:t>厂区</w:t>
      </w:r>
      <w:r>
        <w:rPr>
          <w:rFonts w:ascii="Times New Roman" w:hAnsi="Times New Roman"/>
          <w:bCs/>
          <w:kern w:val="21"/>
          <w:highlight w:val="none"/>
        </w:rPr>
        <w:t>生活污水进入市政管</w:t>
      </w:r>
      <w:r>
        <w:rPr>
          <w:rFonts w:ascii="Times New Roman" w:hAnsi="Times New Roman"/>
          <w:bCs/>
          <w:color w:val="000000" w:themeColor="text1"/>
          <w:kern w:val="21"/>
          <w:highlight w:val="none"/>
        </w:rPr>
        <w:t>网排入</w:t>
      </w:r>
      <w:r>
        <w:rPr>
          <w:rFonts w:hint="eastAsia"/>
          <w:color w:val="000000" w:themeColor="text1"/>
          <w:highlight w:val="none"/>
          <w:vertAlign w:val="baseline"/>
          <w:lang w:val="en-US" w:eastAsia="zh-CN"/>
        </w:rPr>
        <w:t>哈尔滨市朝阳水质净化厂</w:t>
      </w:r>
      <w:r>
        <w:rPr>
          <w:rFonts w:ascii="Times New Roman" w:hAnsi="Times New Roman"/>
          <w:bCs/>
          <w:color w:val="000000" w:themeColor="text1"/>
          <w:kern w:val="21"/>
          <w:highlight w:val="none"/>
        </w:rPr>
        <w:t>，</w:t>
      </w:r>
      <w:r>
        <w:rPr>
          <w:rFonts w:hint="eastAsia" w:ascii="Times New Roman" w:hAnsi="Times New Roman"/>
          <w:bCs/>
          <w:color w:val="000000" w:themeColor="text1"/>
          <w:kern w:val="21"/>
          <w:highlight w:val="none"/>
        </w:rPr>
        <w:t>1号厂房、</w:t>
      </w:r>
      <w:r>
        <w:rPr>
          <w:rFonts w:hint="eastAsia" w:ascii="Times New Roman" w:hAnsi="Times New Roman"/>
          <w:bCs/>
          <w:color w:val="000000" w:themeColor="text1"/>
          <w:kern w:val="21"/>
          <w:highlight w:val="none"/>
          <w:lang w:val="en-US" w:eastAsia="zh-CN"/>
        </w:rPr>
        <w:t>3</w:t>
      </w:r>
      <w:r>
        <w:rPr>
          <w:rFonts w:hint="eastAsia" w:ascii="Times New Roman" w:hAnsi="Times New Roman"/>
          <w:bCs/>
          <w:color w:val="000000" w:themeColor="text1"/>
          <w:kern w:val="21"/>
          <w:highlight w:val="none"/>
        </w:rPr>
        <w:t>号厂房</w:t>
      </w:r>
      <w:r>
        <w:rPr>
          <w:rFonts w:ascii="Times New Roman" w:hAnsi="Times New Roman"/>
          <w:bCs/>
          <w:color w:val="000000" w:themeColor="text1"/>
          <w:kern w:val="21"/>
          <w:highlight w:val="none"/>
        </w:rPr>
        <w:t>生产产生的</w:t>
      </w:r>
      <w:r>
        <w:rPr>
          <w:rFonts w:hint="eastAsia" w:ascii="Times New Roman" w:hAnsi="Times New Roman"/>
          <w:bCs/>
          <w:color w:val="000000" w:themeColor="text1"/>
          <w:kern w:val="21"/>
          <w:highlight w:val="none"/>
        </w:rPr>
        <w:t>清洗液废水</w:t>
      </w:r>
      <w:r>
        <w:rPr>
          <w:rFonts w:ascii="Times New Roman" w:hAnsi="Times New Roman"/>
          <w:bCs/>
          <w:color w:val="000000" w:themeColor="text1"/>
          <w:kern w:val="21"/>
          <w:highlight w:val="none"/>
        </w:rPr>
        <w:t>、废</w:t>
      </w:r>
      <w:r>
        <w:rPr>
          <w:rFonts w:hint="eastAsia" w:ascii="Times New Roman" w:hAnsi="Times New Roman"/>
          <w:bCs/>
          <w:color w:val="000000" w:themeColor="text1"/>
          <w:kern w:val="21"/>
          <w:highlight w:val="none"/>
        </w:rPr>
        <w:t>切削液</w:t>
      </w:r>
      <w:r>
        <w:rPr>
          <w:rFonts w:ascii="Times New Roman" w:hAnsi="Times New Roman"/>
          <w:bCs/>
          <w:color w:val="000000" w:themeColor="text1"/>
          <w:kern w:val="21"/>
          <w:highlight w:val="none"/>
        </w:rPr>
        <w:t>送至</w:t>
      </w:r>
      <w:r>
        <w:rPr>
          <w:rFonts w:hint="eastAsia" w:ascii="Times New Roman" w:hAnsi="Times New Roman"/>
          <w:bCs/>
          <w:color w:val="000000" w:themeColor="text1"/>
          <w:kern w:val="21"/>
          <w:highlight w:val="none"/>
          <w:lang w:val="en-US" w:eastAsia="zh-CN"/>
        </w:rPr>
        <w:t>3</w:t>
      </w:r>
      <w:r>
        <w:rPr>
          <w:rFonts w:hint="eastAsia" w:ascii="Times New Roman" w:hAnsi="Times New Roman"/>
          <w:bCs/>
          <w:color w:val="000000" w:themeColor="text1"/>
          <w:kern w:val="21"/>
          <w:highlight w:val="none"/>
        </w:rPr>
        <w:t>号厂房污水处理站，</w:t>
      </w:r>
      <w:r>
        <w:rPr>
          <w:rFonts w:hint="eastAsia" w:ascii="Times New Roman" w:hAnsi="Times New Roman"/>
          <w:bCs/>
          <w:color w:val="000000" w:themeColor="text1"/>
          <w:kern w:val="21"/>
          <w:highlight w:val="none"/>
          <w:lang w:val="en-US" w:eastAsia="zh-CN"/>
        </w:rPr>
        <w:t>2</w:t>
      </w:r>
      <w:r>
        <w:rPr>
          <w:rFonts w:hint="eastAsia" w:ascii="Times New Roman" w:hAnsi="Times New Roman"/>
          <w:bCs/>
          <w:color w:val="000000" w:themeColor="text1"/>
          <w:kern w:val="21"/>
          <w:highlight w:val="none"/>
        </w:rPr>
        <w:t>号厂房、4号厂房</w:t>
      </w:r>
      <w:r>
        <w:rPr>
          <w:rFonts w:ascii="Times New Roman" w:hAnsi="Times New Roman"/>
          <w:bCs/>
          <w:color w:val="000000" w:themeColor="text1"/>
          <w:kern w:val="21"/>
          <w:highlight w:val="none"/>
        </w:rPr>
        <w:t>生产产生的</w:t>
      </w:r>
      <w:r>
        <w:rPr>
          <w:rFonts w:hint="eastAsia" w:ascii="Times New Roman" w:hAnsi="Times New Roman"/>
          <w:bCs/>
          <w:color w:val="000000" w:themeColor="text1"/>
          <w:kern w:val="21"/>
          <w:highlight w:val="none"/>
        </w:rPr>
        <w:t>清洗液废水</w:t>
      </w:r>
      <w:r>
        <w:rPr>
          <w:rFonts w:ascii="Times New Roman" w:hAnsi="Times New Roman"/>
          <w:bCs/>
          <w:color w:val="000000" w:themeColor="text1"/>
          <w:kern w:val="21"/>
          <w:highlight w:val="none"/>
        </w:rPr>
        <w:t>、废</w:t>
      </w:r>
      <w:r>
        <w:rPr>
          <w:rFonts w:hint="eastAsia" w:ascii="Times New Roman" w:hAnsi="Times New Roman"/>
          <w:bCs/>
          <w:color w:val="000000" w:themeColor="text1"/>
          <w:kern w:val="21"/>
          <w:highlight w:val="none"/>
        </w:rPr>
        <w:t>切削液</w:t>
      </w:r>
      <w:r>
        <w:rPr>
          <w:rFonts w:ascii="Times New Roman" w:hAnsi="Times New Roman"/>
          <w:bCs/>
          <w:color w:val="000000" w:themeColor="text1"/>
          <w:kern w:val="21"/>
          <w:highlight w:val="none"/>
        </w:rPr>
        <w:t>送至</w:t>
      </w:r>
      <w:r>
        <w:rPr>
          <w:rFonts w:hint="eastAsia" w:ascii="Times New Roman" w:hAnsi="Times New Roman"/>
          <w:bCs/>
          <w:color w:val="000000" w:themeColor="text1"/>
          <w:kern w:val="21"/>
          <w:highlight w:val="none"/>
          <w:lang w:val="en-US" w:eastAsia="zh-CN"/>
        </w:rPr>
        <w:t>4</w:t>
      </w:r>
      <w:r>
        <w:rPr>
          <w:rFonts w:hint="eastAsia" w:ascii="Times New Roman" w:hAnsi="Times New Roman"/>
          <w:bCs/>
          <w:color w:val="000000" w:themeColor="text1"/>
          <w:kern w:val="21"/>
          <w:highlight w:val="none"/>
        </w:rPr>
        <w:t>号厂房污水处理站，</w:t>
      </w:r>
      <w:r>
        <w:rPr>
          <w:rFonts w:ascii="Times New Roman" w:hAnsi="Times New Roman"/>
          <w:bCs/>
          <w:color w:val="000000" w:themeColor="text1"/>
          <w:kern w:val="21"/>
          <w:highlight w:val="none"/>
        </w:rPr>
        <w:t>车间污水处理站处理达《污水综合排放标准》（GB8978-1996）表4中三级级标准后排入市政管网，最终进入</w:t>
      </w:r>
      <w:r>
        <w:rPr>
          <w:rFonts w:hint="eastAsia"/>
          <w:color w:val="000000" w:themeColor="text1"/>
          <w:highlight w:val="none"/>
          <w:vertAlign w:val="baseline"/>
          <w:lang w:val="en-US" w:eastAsia="zh-CN"/>
        </w:rPr>
        <w:t>哈尔滨市朝阳水质净化厂</w:t>
      </w:r>
      <w:r>
        <w:rPr>
          <w:rFonts w:hint="eastAsia" w:ascii="Times New Roman" w:hAnsi="Times New Roman"/>
          <w:bCs/>
          <w:color w:val="000000" w:themeColor="text1"/>
          <w:kern w:val="21"/>
          <w:highlight w:val="none"/>
        </w:rPr>
        <w:t>。</w:t>
      </w:r>
    </w:p>
    <w:p w14:paraId="1157DF53">
      <w:pPr>
        <w:spacing w:line="480" w:lineRule="exact"/>
        <w:ind w:firstLine="480" w:firstLineChars="200"/>
        <w:jc w:val="left"/>
        <w:rPr>
          <w:rFonts w:ascii="Times New Roman" w:hAnsi="Times New Roman"/>
          <w:kern w:val="24"/>
          <w:highlight w:val="none"/>
        </w:rPr>
      </w:pPr>
      <w:r>
        <w:rPr>
          <w:rFonts w:hint="eastAsia" w:ascii="Times New Roman" w:hAnsi="Times New Roman"/>
          <w:kern w:val="24"/>
          <w:highlight w:val="none"/>
        </w:rPr>
        <w:t>污水处理站工艺流程</w:t>
      </w:r>
    </w:p>
    <w:p w14:paraId="25B3D008">
      <w:pPr>
        <w:keepNext w:val="0"/>
        <w:keepLines w:val="0"/>
        <w:pageBreakBefore w:val="0"/>
        <w:widowControl w:val="0"/>
        <w:kinsoku/>
        <w:wordWrap w:val="0"/>
        <w:overflowPunct/>
        <w:topLinePunct w:val="0"/>
        <w:autoSpaceDE/>
        <w:autoSpaceDN/>
        <w:bidi w:val="0"/>
        <w:adjustRightInd w:val="0"/>
        <w:snapToGrid w:val="0"/>
        <w:spacing w:line="240" w:lineRule="auto"/>
        <w:ind w:firstLine="0" w:firstLineChars="0"/>
        <w:jc w:val="center"/>
        <w:textAlignment w:val="auto"/>
        <w:rPr>
          <w:rFonts w:hint="eastAsia" w:hAnsi="宋体" w:eastAsia="宋体"/>
          <w:b/>
          <w:highlight w:val="none"/>
          <w:lang w:eastAsia="zh-CN"/>
        </w:rPr>
      </w:pPr>
      <w:r>
        <w:rPr>
          <w:rFonts w:hint="eastAsia" w:hAnsi="宋体" w:eastAsia="宋体"/>
          <w:b/>
          <w:highlight w:val="none"/>
          <w:lang w:eastAsia="zh-CN"/>
        </w:rPr>
        <w:drawing>
          <wp:inline distT="0" distB="0" distL="114300" distR="114300">
            <wp:extent cx="5274310" cy="2006600"/>
            <wp:effectExtent l="9525" t="9525" r="12065" b="22225"/>
            <wp:docPr id="16" name="图片 16" descr="污水站处理工艺流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污水站处理工艺流程"/>
                    <pic:cNvPicPr>
                      <a:picLocks noChangeAspect="1"/>
                    </pic:cNvPicPr>
                  </pic:nvPicPr>
                  <pic:blipFill>
                    <a:blip r:embed="rId34"/>
                    <a:stretch>
                      <a:fillRect/>
                    </a:stretch>
                  </pic:blipFill>
                  <pic:spPr>
                    <a:xfrm>
                      <a:off x="0" y="0"/>
                      <a:ext cx="5274310" cy="2006600"/>
                    </a:xfrm>
                    <a:prstGeom prst="rect">
                      <a:avLst/>
                    </a:prstGeom>
                    <a:ln>
                      <a:solidFill>
                        <a:schemeClr val="tx1"/>
                      </a:solidFill>
                    </a:ln>
                  </pic:spPr>
                </pic:pic>
              </a:graphicData>
            </a:graphic>
          </wp:inline>
        </w:drawing>
      </w:r>
    </w:p>
    <w:p w14:paraId="58829197">
      <w:pPr>
        <w:ind w:firstLine="738" w:firstLineChars="350"/>
        <w:jc w:val="center"/>
        <w:rPr>
          <w:rFonts w:ascii="Times New Roman" w:hAnsi="Times New Roman" w:eastAsiaTheme="minorEastAsia"/>
          <w:b/>
          <w:bCs/>
          <w:sz w:val="21"/>
          <w:szCs w:val="21"/>
          <w:highlight w:val="none"/>
        </w:rPr>
      </w:pPr>
      <w:r>
        <w:rPr>
          <w:rFonts w:ascii="Times New Roman" w:hAnsi="Times New Roman" w:eastAsiaTheme="minorEastAsia"/>
          <w:b/>
          <w:bCs/>
          <w:sz w:val="21"/>
          <w:szCs w:val="21"/>
          <w:highlight w:val="none"/>
        </w:rPr>
        <w:t>图</w:t>
      </w:r>
      <w:r>
        <w:rPr>
          <w:rFonts w:hint="eastAsia" w:ascii="Times New Roman" w:hAnsi="Times New Roman" w:eastAsiaTheme="minorEastAsia"/>
          <w:b/>
          <w:bCs/>
          <w:sz w:val="21"/>
          <w:szCs w:val="21"/>
          <w:highlight w:val="none"/>
        </w:rPr>
        <w:t>3-1</w:t>
      </w:r>
      <w:r>
        <w:rPr>
          <w:rFonts w:ascii="Times New Roman" w:hAnsi="Times New Roman" w:eastAsiaTheme="minorEastAsia"/>
          <w:b/>
          <w:bCs/>
          <w:sz w:val="21"/>
          <w:szCs w:val="21"/>
          <w:highlight w:val="none"/>
        </w:rPr>
        <w:t>-</w:t>
      </w:r>
      <w:r>
        <w:rPr>
          <w:rFonts w:hint="eastAsia" w:ascii="Times New Roman" w:hAnsi="Times New Roman" w:eastAsiaTheme="minorEastAsia"/>
          <w:b/>
          <w:bCs/>
          <w:sz w:val="21"/>
          <w:szCs w:val="21"/>
          <w:highlight w:val="none"/>
          <w:lang w:val="en-US" w:eastAsia="zh-CN"/>
        </w:rPr>
        <w:t>1</w:t>
      </w:r>
      <w:r>
        <w:rPr>
          <w:rFonts w:hint="eastAsia" w:ascii="Times New Roman" w:hAnsi="Times New Roman" w:eastAsiaTheme="minorEastAsia"/>
          <w:b/>
          <w:bCs/>
          <w:sz w:val="21"/>
          <w:szCs w:val="21"/>
          <w:highlight w:val="none"/>
        </w:rPr>
        <w:t>污水处理站</w:t>
      </w:r>
      <w:r>
        <w:rPr>
          <w:rFonts w:ascii="Times New Roman" w:hAnsi="Times New Roman" w:eastAsiaTheme="minorEastAsia"/>
          <w:b/>
          <w:bCs/>
          <w:sz w:val="21"/>
          <w:szCs w:val="21"/>
          <w:highlight w:val="none"/>
        </w:rPr>
        <w:t>工艺流程</w:t>
      </w:r>
    </w:p>
    <w:p w14:paraId="04CA823A">
      <w:pPr>
        <w:ind w:firstLine="480" w:firstLineChars="200"/>
        <w:rPr>
          <w:rFonts w:ascii="Times New Roman" w:hAnsi="Times New Roman" w:eastAsiaTheme="minorEastAsia"/>
          <w:highlight w:val="none"/>
        </w:rPr>
      </w:pPr>
      <w:r>
        <w:rPr>
          <w:rFonts w:ascii="Times New Roman" w:hAnsi="Times New Roman" w:eastAsiaTheme="minorEastAsia"/>
          <w:highlight w:val="none"/>
        </w:rPr>
        <w:t>工艺简述：</w:t>
      </w:r>
    </w:p>
    <w:p w14:paraId="5A0D0E35">
      <w:pPr>
        <w:ind w:firstLine="480" w:firstLineChars="200"/>
        <w:rPr>
          <w:rFonts w:ascii="Times New Roman" w:hAnsi="宋体"/>
          <w:snapToGrid w:val="0"/>
          <w:highlight w:val="none"/>
        </w:rPr>
      </w:pPr>
      <w:r>
        <w:rPr>
          <w:rFonts w:hint="eastAsia" w:ascii="Times New Roman" w:hAnsi="宋体"/>
          <w:snapToGrid w:val="0"/>
          <w:highlight w:val="none"/>
        </w:rPr>
        <w:t>切削液废液、清洗液废水预处理工艺：切削液泵入切削液调节池，加温至65度，并投加硫酸控制pH值进行破乳，通过打回流操作，使硫酸与切削液充分反应，增强破乳效果，上层浮油通过隔油池进行回收，产生的废水中含有一部分分解油、乳化油和溶解油分散在水中，废水经中间水箱进入油水分离膜系统，通过进液隔膜泵泵入分散器内，分散器将处理液均匀分散，分理处的油液经顶部出油阀泵入浓液回收罐，废水进入综合水池。</w:t>
      </w:r>
    </w:p>
    <w:p w14:paraId="101EF779">
      <w:pPr>
        <w:pStyle w:val="76"/>
        <w:adjustRightInd/>
        <w:snapToGrid/>
        <w:jc w:val="both"/>
        <w:rPr>
          <w:rFonts w:ascii="Times New Roman" w:hAnsi="宋体" w:eastAsia="宋体" w:cs="Times New Roman"/>
          <w:snapToGrid w:val="0"/>
          <w:highlight w:val="none"/>
        </w:rPr>
      </w:pPr>
      <w:r>
        <w:rPr>
          <w:rFonts w:hint="eastAsia" w:ascii="Times New Roman" w:hAnsi="宋体" w:eastAsia="宋体" w:cs="Times New Roman"/>
          <w:snapToGrid w:val="0"/>
          <w:highlight w:val="none"/>
        </w:rPr>
        <w:t>A</w:t>
      </w:r>
      <w:r>
        <w:rPr>
          <w:rFonts w:hint="eastAsia" w:ascii="Times New Roman" w:hAnsi="宋体" w:eastAsia="宋体" w:cs="Times New Roman"/>
          <w:snapToGrid w:val="0"/>
          <w:highlight w:val="none"/>
          <w:vertAlign w:val="superscript"/>
        </w:rPr>
        <w:t>2</w:t>
      </w:r>
      <w:r>
        <w:rPr>
          <w:rFonts w:hint="eastAsia" w:ascii="Times New Roman" w:hAnsi="宋体" w:eastAsia="宋体" w:cs="Times New Roman"/>
          <w:snapToGrid w:val="0"/>
          <w:highlight w:val="none"/>
        </w:rPr>
        <w:t>/O（厌氧-缺氧池-好氧池）：厌氧池主要功能为释放磷，从MBR池进入沉淀回流的含磷污泥使水中的磷浓度升高，溶解性有机物被微生物细胞吸收而使污水中的BOD</w:t>
      </w:r>
      <w:r>
        <w:rPr>
          <w:rFonts w:hint="eastAsia" w:ascii="Times New Roman" w:hAnsi="宋体" w:eastAsia="宋体" w:cs="Times New Roman"/>
          <w:snapToGrid w:val="0"/>
          <w:highlight w:val="none"/>
          <w:vertAlign w:val="subscript"/>
        </w:rPr>
        <w:t>5</w:t>
      </w:r>
      <w:r>
        <w:rPr>
          <w:rFonts w:hint="eastAsia" w:ascii="Times New Roman" w:hAnsi="宋体" w:eastAsia="宋体" w:cs="Times New Roman"/>
          <w:snapToGrid w:val="0"/>
          <w:highlight w:val="none"/>
        </w:rPr>
        <w:t>浓度下降，另外，NH</w:t>
      </w:r>
      <w:r>
        <w:rPr>
          <w:rFonts w:hint="eastAsia" w:ascii="Times New Roman" w:hAnsi="宋体" w:eastAsia="宋体" w:cs="Times New Roman"/>
          <w:snapToGrid w:val="0"/>
          <w:highlight w:val="none"/>
          <w:vertAlign w:val="subscript"/>
        </w:rPr>
        <w:t>3</w:t>
      </w:r>
      <w:r>
        <w:rPr>
          <w:rFonts w:hint="eastAsia" w:ascii="Times New Roman" w:hAnsi="宋体" w:eastAsia="宋体" w:cs="Times New Roman"/>
          <w:snapToGrid w:val="0"/>
          <w:highlight w:val="none"/>
        </w:rPr>
        <w:t>-N因细胞合成而被去除一部分，使污水中的氨氮浓度下降，但NO</w:t>
      </w:r>
      <w:r>
        <w:rPr>
          <w:rFonts w:hint="eastAsia" w:ascii="Times New Roman" w:hAnsi="宋体" w:eastAsia="宋体" w:cs="Times New Roman"/>
          <w:snapToGrid w:val="0"/>
          <w:highlight w:val="none"/>
          <w:vertAlign w:val="subscript"/>
        </w:rPr>
        <w:t>3</w:t>
      </w:r>
      <w:r>
        <w:rPr>
          <w:rFonts w:hint="eastAsia" w:ascii="Times New Roman" w:hAnsi="宋体" w:eastAsia="宋体" w:cs="Times New Roman"/>
          <w:snapToGrid w:val="0"/>
          <w:highlight w:val="none"/>
        </w:rPr>
        <w:t>-N含量没有变化。在缺氧池中，反硝化菌利用污水中的有机物作为碳源，将回流混合液中带入大量的NO</w:t>
      </w:r>
      <w:r>
        <w:rPr>
          <w:rFonts w:hint="eastAsia" w:ascii="Times New Roman" w:hAnsi="宋体" w:eastAsia="宋体" w:cs="Times New Roman"/>
          <w:snapToGrid w:val="0"/>
          <w:highlight w:val="none"/>
          <w:vertAlign w:val="subscript"/>
        </w:rPr>
        <w:t>3</w:t>
      </w:r>
      <w:r>
        <w:rPr>
          <w:rFonts w:hint="eastAsia" w:ascii="Times New Roman" w:hAnsi="宋体" w:eastAsia="宋体" w:cs="Times New Roman"/>
          <w:snapToGrid w:val="0"/>
          <w:highlight w:val="none"/>
        </w:rPr>
        <w:t>-N和NO</w:t>
      </w:r>
      <w:r>
        <w:rPr>
          <w:rFonts w:hint="eastAsia" w:ascii="Times New Roman" w:hAnsi="宋体" w:eastAsia="宋体" w:cs="Times New Roman"/>
          <w:snapToGrid w:val="0"/>
          <w:highlight w:val="none"/>
          <w:vertAlign w:val="subscript"/>
        </w:rPr>
        <w:t>2</w:t>
      </w:r>
      <w:r>
        <w:rPr>
          <w:rFonts w:hint="eastAsia" w:ascii="Times New Roman" w:hAnsi="宋体" w:eastAsia="宋体" w:cs="Times New Roman"/>
          <w:snapToGrid w:val="0"/>
          <w:highlight w:val="none"/>
        </w:rPr>
        <w:t>-N还原为N</w:t>
      </w:r>
      <w:r>
        <w:rPr>
          <w:rFonts w:hint="eastAsia" w:ascii="Times New Roman" w:hAnsi="宋体" w:eastAsia="宋体" w:cs="Times New Roman"/>
          <w:snapToGrid w:val="0"/>
          <w:highlight w:val="none"/>
          <w:vertAlign w:val="subscript"/>
        </w:rPr>
        <w:t>2</w:t>
      </w:r>
      <w:r>
        <w:rPr>
          <w:rFonts w:hint="eastAsia" w:ascii="Times New Roman" w:hAnsi="宋体" w:eastAsia="宋体" w:cs="Times New Roman"/>
          <w:snapToGrid w:val="0"/>
          <w:highlight w:val="none"/>
        </w:rPr>
        <w:t>释放至空气，因此BOD</w:t>
      </w:r>
      <w:r>
        <w:rPr>
          <w:rFonts w:hint="eastAsia" w:ascii="Times New Roman" w:hAnsi="宋体" w:eastAsia="宋体" w:cs="Times New Roman"/>
          <w:snapToGrid w:val="0"/>
          <w:highlight w:val="none"/>
          <w:vertAlign w:val="subscript"/>
        </w:rPr>
        <w:t>5</w:t>
      </w:r>
      <w:r>
        <w:rPr>
          <w:rFonts w:hint="eastAsia" w:ascii="Times New Roman" w:hAnsi="宋体" w:eastAsia="宋体" w:cs="Times New Roman"/>
          <w:snapToGrid w:val="0"/>
          <w:highlight w:val="none"/>
        </w:rPr>
        <w:t>浓度下降，NO</w:t>
      </w:r>
      <w:r>
        <w:rPr>
          <w:rFonts w:hint="eastAsia" w:ascii="Times New Roman" w:hAnsi="宋体" w:eastAsia="宋体" w:cs="Times New Roman"/>
          <w:snapToGrid w:val="0"/>
          <w:highlight w:val="none"/>
          <w:vertAlign w:val="subscript"/>
        </w:rPr>
        <w:t>3</w:t>
      </w:r>
      <w:r>
        <w:rPr>
          <w:rFonts w:hint="eastAsia" w:ascii="Times New Roman" w:hAnsi="宋体" w:eastAsia="宋体" w:cs="Times New Roman"/>
          <w:snapToGrid w:val="0"/>
          <w:highlight w:val="none"/>
        </w:rPr>
        <w:t>-N浓度大幅度下降，而磷的变化很小。在好氧池中，有机物被微生物生化姜姐，而继续下降，有机氮被氨化继而被硝化，使NH</w:t>
      </w:r>
      <w:r>
        <w:rPr>
          <w:rFonts w:hint="eastAsia" w:ascii="Times New Roman" w:hAnsi="宋体" w:eastAsia="宋体" w:cs="Times New Roman"/>
          <w:snapToGrid w:val="0"/>
          <w:highlight w:val="none"/>
          <w:vertAlign w:val="subscript"/>
        </w:rPr>
        <w:t>3</w:t>
      </w:r>
      <w:r>
        <w:rPr>
          <w:rFonts w:hint="eastAsia" w:ascii="Times New Roman" w:hAnsi="宋体" w:eastAsia="宋体" w:cs="Times New Roman"/>
          <w:snapToGrid w:val="0"/>
          <w:highlight w:val="none"/>
        </w:rPr>
        <w:t>-N浓度显著下降，但随着硝化过程使NO</w:t>
      </w:r>
      <w:r>
        <w:rPr>
          <w:rFonts w:hint="eastAsia" w:ascii="Times New Roman" w:hAnsi="宋体" w:eastAsia="宋体" w:cs="Times New Roman"/>
          <w:snapToGrid w:val="0"/>
          <w:highlight w:val="none"/>
          <w:vertAlign w:val="subscript"/>
        </w:rPr>
        <w:t>3</w:t>
      </w:r>
      <w:r>
        <w:rPr>
          <w:rFonts w:hint="eastAsia" w:ascii="Times New Roman" w:hAnsi="宋体" w:eastAsia="宋体" w:cs="Times New Roman"/>
          <w:snapToGrid w:val="0"/>
          <w:highlight w:val="none"/>
        </w:rPr>
        <w:t>-N的浓度增加，P随着聚磷菌的过量摄取，也以较快的速度下降。A</w:t>
      </w:r>
      <w:r>
        <w:rPr>
          <w:rFonts w:hint="eastAsia" w:ascii="Times New Roman" w:hAnsi="宋体" w:eastAsia="宋体" w:cs="Times New Roman"/>
          <w:snapToGrid w:val="0"/>
          <w:highlight w:val="none"/>
          <w:vertAlign w:val="superscript"/>
        </w:rPr>
        <w:t>2</w:t>
      </w:r>
      <w:r>
        <w:rPr>
          <w:rFonts w:hint="eastAsia" w:ascii="Times New Roman" w:hAnsi="宋体" w:eastAsia="宋体" w:cs="Times New Roman"/>
          <w:snapToGrid w:val="0"/>
          <w:highlight w:val="none"/>
        </w:rPr>
        <w:t>/O工艺可以同时完成有机物的去除、硝化脱氮、磷的过量摄取而被去除等功能，脱氮的前提是NO</w:t>
      </w:r>
      <w:r>
        <w:rPr>
          <w:rFonts w:hint="eastAsia" w:ascii="Times New Roman" w:hAnsi="宋体" w:eastAsia="宋体" w:cs="Times New Roman"/>
          <w:snapToGrid w:val="0"/>
          <w:highlight w:val="none"/>
          <w:vertAlign w:val="subscript"/>
        </w:rPr>
        <w:t>3</w:t>
      </w:r>
      <w:r>
        <w:rPr>
          <w:rFonts w:hint="eastAsia" w:ascii="Times New Roman" w:hAnsi="宋体" w:eastAsia="宋体" w:cs="Times New Roman"/>
          <w:snapToGrid w:val="0"/>
          <w:highlight w:val="none"/>
        </w:rPr>
        <w:t>-N应完全硝化，好氧池能完成这一功能，缺氧池则完成脱氮功能。厌氧池和好氧池联合完成除磷功能。</w:t>
      </w:r>
    </w:p>
    <w:p w14:paraId="3DC92341">
      <w:pPr>
        <w:pStyle w:val="76"/>
        <w:adjustRightInd/>
        <w:snapToGrid/>
        <w:jc w:val="both"/>
        <w:rPr>
          <w:rFonts w:ascii="Times New Roman" w:hAnsi="Times New Roman" w:eastAsiaTheme="minorEastAsia"/>
          <w:highlight w:val="none"/>
        </w:rPr>
      </w:pPr>
      <w:r>
        <w:rPr>
          <w:rFonts w:hint="eastAsia" w:ascii="Times New Roman" w:hAnsi="宋体" w:eastAsia="宋体" w:cs="Times New Roman"/>
          <w:snapToGrid w:val="0"/>
          <w:highlight w:val="none"/>
        </w:rPr>
        <w:t>MBR膜池：是将膜过滤技术与活性污泥生化技术结合起来的水处理工艺。MBR膜池里面是有活性污泥的。它是利用膜的过滤功能将活性污泥截留在MBR膜池里，增加污泥浓度，加强生化效果。MBR池的进水通过水泵送入，出水水泵与池内的膜系统连接，负压抽吸，使清洁的水透过膜被抽吸出来，污泥则被截在膜外面，留在池子里。污泥浓缩、脱水、干化：污泥浓缩采用固液分离的方式，可有效减少污泥处理后续脱水所需的处理容量，有助于降低污泥处理成本，污泥浓缩后含水率一般可达94%-96%。浓缩后的废水进入厌氧-缺氧工序，浓缩后污泥送入叠螺式污泥脱水机。污泥通过机械脱水后，污泥体积可减少约4倍，含水率可达80%左右。脱水后的污泥进入污泥干化设备进一步深度脱水，含水率可控制在20%以下，污泥干化除了有脱水的效果外，干化时所用的热源还具有热处理的作用，可有效抑制污泥中的微生物活性。</w:t>
      </w:r>
    </w:p>
    <w:p w14:paraId="6868E66F">
      <w:pPr>
        <w:bidi w:val="0"/>
        <w:rPr>
          <w:highlight w:val="none"/>
        </w:rPr>
      </w:pPr>
      <w:r>
        <w:rPr>
          <w:rFonts w:hint="eastAsia"/>
          <w:highlight w:val="none"/>
        </w:rPr>
        <w:t>（3）地下水污染防治措施</w:t>
      </w:r>
    </w:p>
    <w:p w14:paraId="1E55DB7C">
      <w:pPr>
        <w:bidi w:val="0"/>
        <w:rPr>
          <w:highlight w:val="none"/>
        </w:rPr>
      </w:pPr>
      <w:r>
        <w:rPr>
          <w:rFonts w:hint="eastAsia"/>
          <w:highlight w:val="none"/>
        </w:rPr>
        <w:t>厂区内1#、2#、3#、4#厂房采用一般防渗，污水处理站、</w:t>
      </w:r>
      <w:r>
        <w:rPr>
          <w:rFonts w:hint="eastAsia"/>
          <w:highlight w:val="none"/>
          <w:lang w:val="en-US" w:eastAsia="zh-CN"/>
        </w:rPr>
        <w:t>危险废物贮存库</w:t>
      </w:r>
      <w:r>
        <w:rPr>
          <w:rFonts w:hint="eastAsia"/>
          <w:highlight w:val="none"/>
        </w:rPr>
        <w:t>、罐区、车间供油站及油料化学品库采用重点防渗，厂区道路硬化。</w:t>
      </w:r>
    </w:p>
    <w:p w14:paraId="2599C4CE">
      <w:pPr>
        <w:bidi w:val="0"/>
        <w:rPr>
          <w:highlight w:val="none"/>
        </w:rPr>
      </w:pPr>
      <w:r>
        <w:rPr>
          <w:rFonts w:hint="eastAsia"/>
          <w:highlight w:val="none"/>
        </w:rPr>
        <w:t>（4）固体废物污染防治措施</w:t>
      </w:r>
    </w:p>
    <w:p w14:paraId="4DC6BE64">
      <w:pPr>
        <w:bidi w:val="0"/>
        <w:rPr>
          <w:highlight w:val="none"/>
        </w:rPr>
      </w:pPr>
      <w:r>
        <w:rPr>
          <w:color w:val="000000" w:themeColor="text1"/>
          <w:highlight w:val="none"/>
        </w:rPr>
        <w:t>现有工程</w:t>
      </w:r>
      <w:r>
        <w:rPr>
          <w:rFonts w:hint="eastAsia"/>
          <w:color w:val="000000" w:themeColor="text1"/>
          <w:highlight w:val="none"/>
        </w:rPr>
        <w:t>现有工程废金属屑收集后外售于</w:t>
      </w:r>
      <w:r>
        <w:rPr>
          <w:rFonts w:hint="eastAsia"/>
          <w:color w:val="000000" w:themeColor="text1"/>
          <w:highlight w:val="none"/>
          <w:vertAlign w:val="baseline"/>
          <w:lang w:val="en-US" w:eastAsia="zh-CN"/>
        </w:rPr>
        <w:t>哈尔滨鹏鑫盛物资回收有限公司</w:t>
      </w:r>
      <w:r>
        <w:rPr>
          <w:rFonts w:hint="eastAsia"/>
          <w:color w:val="000000" w:themeColor="text1"/>
          <w:highlight w:val="none"/>
        </w:rPr>
        <w:t>，一般固体包装物收集后外售于废品回收站，机械加工和装配产生的</w:t>
      </w:r>
      <w:r>
        <w:rPr>
          <w:rFonts w:hint="eastAsia"/>
          <w:color w:val="000000" w:themeColor="text1"/>
          <w:highlight w:val="none"/>
          <w:vertAlign w:val="baseline"/>
          <w:lang w:val="en-US" w:eastAsia="zh-CN"/>
        </w:rPr>
        <w:t>废机油经密闭收集包装后，暂存于危险废贮存点内，定期委托大庆圣德雷特化工有限公司处置</w:t>
      </w:r>
      <w:r>
        <w:rPr>
          <w:rFonts w:hint="eastAsia"/>
          <w:color w:val="000000" w:themeColor="text1"/>
          <w:highlight w:val="none"/>
        </w:rPr>
        <w:t>，</w:t>
      </w:r>
      <w:r>
        <w:rPr>
          <w:rFonts w:hint="eastAsia"/>
          <w:color w:val="000000" w:themeColor="text1"/>
          <w:highlight w:val="none"/>
          <w:vertAlign w:val="baseline"/>
          <w:lang w:val="en-US" w:eastAsia="zh-CN"/>
        </w:rPr>
        <w:t>含油抹布、废滤布和废过滤材料经密闭收集包装后，暂存于危险废贮存点内，定期委托黑龙江京盛华环保科技有限公司处置</w:t>
      </w:r>
      <w:r>
        <w:rPr>
          <w:rFonts w:hint="eastAsia"/>
          <w:color w:val="000000" w:themeColor="text1"/>
          <w:highlight w:val="none"/>
        </w:rPr>
        <w:t>，原材料化学品（矿物油、胶类）</w:t>
      </w:r>
      <w:r>
        <w:rPr>
          <w:rFonts w:hint="eastAsia"/>
          <w:color w:val="000000" w:themeColor="text1"/>
          <w:highlight w:val="none"/>
          <w:vertAlign w:val="baseline"/>
          <w:lang w:val="en-US" w:eastAsia="zh-CN"/>
        </w:rPr>
        <w:t>化学品包装桶经密闭收集包装后，暂存于危险废贮存点内，定期委托黑龙江文武环保科技有限责任公司处置</w:t>
      </w:r>
      <w:r>
        <w:rPr>
          <w:rFonts w:hint="eastAsia"/>
          <w:color w:val="000000" w:themeColor="text1"/>
          <w:highlight w:val="none"/>
        </w:rPr>
        <w:t>，珩磨过程产生的</w:t>
      </w:r>
      <w:r>
        <w:rPr>
          <w:rFonts w:hint="eastAsia"/>
          <w:color w:val="000000" w:themeColor="text1"/>
          <w:highlight w:val="none"/>
          <w:vertAlign w:val="baseline"/>
          <w:lang w:val="en-US" w:eastAsia="zh-CN"/>
        </w:rPr>
        <w:t>珩磨油泥经密闭收集包装后，暂存于危险废贮存点内，定期委托黑龙江京盛华环保科技有限公司处置</w:t>
      </w:r>
      <w:r>
        <w:rPr>
          <w:rFonts w:hint="eastAsia"/>
          <w:color w:val="000000" w:themeColor="text1"/>
          <w:highlight w:val="none"/>
        </w:rPr>
        <w:t>，</w:t>
      </w:r>
      <w:r>
        <w:rPr>
          <w:rFonts w:hint="eastAsia"/>
          <w:color w:val="000000" w:themeColor="text1"/>
          <w:highlight w:val="none"/>
          <w:vertAlign w:val="baseline"/>
          <w:lang w:val="en-US" w:eastAsia="zh-CN"/>
        </w:rPr>
        <w:t>实验室废液经密闭收集包装后，暂存于危险废贮存点内，定期委托黑龙江京盛华环保科技有限公司处置</w:t>
      </w:r>
      <w:r>
        <w:rPr>
          <w:rFonts w:hint="eastAsia"/>
          <w:color w:val="000000" w:themeColor="text1"/>
          <w:highlight w:val="none"/>
        </w:rPr>
        <w:t>，</w:t>
      </w:r>
      <w:r>
        <w:rPr>
          <w:rFonts w:hint="eastAsia"/>
          <w:color w:val="000000" w:themeColor="text1"/>
          <w:highlight w:val="none"/>
          <w:vertAlign w:val="baseline"/>
          <w:lang w:val="en-US" w:eastAsia="zh-CN"/>
        </w:rPr>
        <w:t>废切削液经过切削液循环系统集中报废后定期委托黑龙江红森林环保科技有限责任公司处置；污水处理污泥经密封包装后，暂存于危险废贮存点内，定期委托安达市先锋化工有限公司处置；废胶、废密封剂经密封包装后，暂存于危险废贮存点内，定期委托黑龙江京盛华环保科技有限公司处置</w:t>
      </w:r>
      <w:r>
        <w:rPr>
          <w:color w:val="000000" w:themeColor="text1"/>
          <w:highlight w:val="none"/>
        </w:rPr>
        <w:t>。</w:t>
      </w:r>
      <w:r>
        <w:rPr>
          <w:rFonts w:hint="eastAsia"/>
          <w:highlight w:val="none"/>
        </w:rPr>
        <w:t>危废暂存间位于2号厂房东侧40m处，属于独立暂存设施，建筑面积</w:t>
      </w:r>
      <w:r>
        <w:rPr>
          <w:rFonts w:hint="eastAsia"/>
          <w:highlight w:val="none"/>
          <w:lang w:val="en-US" w:eastAsia="zh-CN"/>
        </w:rPr>
        <w:t>198</w:t>
      </w:r>
      <w:r>
        <w:rPr>
          <w:rFonts w:hint="eastAsia"/>
          <w:highlight w:val="none"/>
        </w:rPr>
        <w:t>m</w:t>
      </w:r>
      <w:r>
        <w:rPr>
          <w:rFonts w:hint="eastAsia"/>
          <w:highlight w:val="none"/>
          <w:vertAlign w:val="superscript"/>
        </w:rPr>
        <w:t>2</w:t>
      </w:r>
      <w:r>
        <w:rPr>
          <w:rFonts w:hint="eastAsia"/>
          <w:highlight w:val="none"/>
        </w:rPr>
        <w:t>，总存储能力</w:t>
      </w:r>
      <w:r>
        <w:rPr>
          <w:rFonts w:hint="eastAsia"/>
          <w:highlight w:val="none"/>
          <w:lang w:val="en-US" w:eastAsia="zh-CN"/>
        </w:rPr>
        <w:t>60</w:t>
      </w:r>
      <w:r>
        <w:rPr>
          <w:rFonts w:hint="eastAsia"/>
          <w:highlight w:val="none"/>
        </w:rPr>
        <w:t>t，存储周期20天；生活垃圾由厂内集中收集，送市政环卫部门统一处理。</w:t>
      </w:r>
    </w:p>
    <w:p w14:paraId="34B715B5">
      <w:pPr>
        <w:pStyle w:val="4"/>
        <w:bidi w:val="0"/>
        <w:rPr>
          <w:highlight w:val="none"/>
        </w:rPr>
      </w:pPr>
      <w:bookmarkStart w:id="225" w:name="_Toc13776"/>
      <w:r>
        <w:rPr>
          <w:rFonts w:hint="eastAsia"/>
          <w:highlight w:val="none"/>
        </w:rPr>
        <w:t>3.1.8现有工程污染物排放及达标情况</w:t>
      </w:r>
      <w:bookmarkEnd w:id="225"/>
    </w:p>
    <w:p w14:paraId="636E73C1">
      <w:pPr>
        <w:pStyle w:val="6"/>
        <w:bidi w:val="0"/>
        <w:ind w:firstLine="0"/>
        <w:rPr>
          <w:rFonts w:hint="eastAsia" w:ascii="Times New Roman" w:hAnsi="Times New Roman"/>
          <w:highlight w:val="none"/>
        </w:rPr>
      </w:pPr>
      <w:r>
        <w:rPr>
          <w:rFonts w:hint="eastAsia" w:ascii="Times New Roman" w:hAnsi="Times New Roman"/>
          <w:highlight w:val="none"/>
        </w:rPr>
        <w:t>3.1.8.1废气</w:t>
      </w:r>
    </w:p>
    <w:p w14:paraId="4F7FC187">
      <w:pPr>
        <w:ind w:firstLine="480" w:firstLineChars="200"/>
        <w:rPr>
          <w:rFonts w:ascii="Times New Roman" w:hAnsi="Times New Roman"/>
          <w:kern w:val="24"/>
          <w:highlight w:val="none"/>
        </w:rPr>
      </w:pPr>
      <w:r>
        <w:rPr>
          <w:rFonts w:ascii="Times New Roman" w:hAnsi="Times New Roman"/>
          <w:kern w:val="24"/>
          <w:highlight w:val="none"/>
        </w:rPr>
        <w:t>现有厂区固定污染源主要有1</w:t>
      </w:r>
      <w:r>
        <w:rPr>
          <w:rFonts w:hint="eastAsia" w:ascii="Times New Roman" w:hAnsi="Times New Roman"/>
          <w:kern w:val="24"/>
          <w:highlight w:val="none"/>
        </w:rPr>
        <w:t>号</w:t>
      </w:r>
      <w:r>
        <w:rPr>
          <w:rFonts w:ascii="Times New Roman" w:hAnsi="Times New Roman"/>
          <w:kern w:val="24"/>
          <w:highlight w:val="none"/>
        </w:rPr>
        <w:t>厂房4G1发动机热试线排放口（DA001</w:t>
      </w:r>
      <w:r>
        <w:rPr>
          <w:rFonts w:hint="eastAsia" w:ascii="Times New Roman" w:hAnsi="Times New Roman"/>
          <w:kern w:val="24"/>
          <w:highlight w:val="none"/>
        </w:rPr>
        <w:t>、</w:t>
      </w:r>
      <w:r>
        <w:rPr>
          <w:rFonts w:ascii="Times New Roman" w:hAnsi="Times New Roman"/>
          <w:kern w:val="24"/>
          <w:highlight w:val="none"/>
        </w:rPr>
        <w:t>DA00</w:t>
      </w:r>
      <w:r>
        <w:rPr>
          <w:rFonts w:hint="eastAsia" w:ascii="Times New Roman" w:hAnsi="Times New Roman"/>
          <w:kern w:val="24"/>
          <w:highlight w:val="none"/>
        </w:rPr>
        <w:t>3、</w:t>
      </w:r>
      <w:r>
        <w:rPr>
          <w:rFonts w:ascii="Times New Roman" w:hAnsi="Times New Roman"/>
          <w:kern w:val="24"/>
          <w:highlight w:val="none"/>
        </w:rPr>
        <w:t>DA00</w:t>
      </w:r>
      <w:r>
        <w:rPr>
          <w:rFonts w:hint="eastAsia" w:ascii="Times New Roman" w:hAnsi="Times New Roman"/>
          <w:kern w:val="24"/>
          <w:highlight w:val="none"/>
        </w:rPr>
        <w:t>5、</w:t>
      </w:r>
      <w:r>
        <w:rPr>
          <w:rFonts w:ascii="Times New Roman" w:hAnsi="Times New Roman"/>
          <w:kern w:val="24"/>
          <w:highlight w:val="none"/>
        </w:rPr>
        <w:t>DA00</w:t>
      </w:r>
      <w:r>
        <w:rPr>
          <w:rFonts w:hint="eastAsia" w:ascii="Times New Roman" w:hAnsi="Times New Roman"/>
          <w:kern w:val="24"/>
          <w:highlight w:val="none"/>
        </w:rPr>
        <w:t>7</w:t>
      </w:r>
      <w:r>
        <w:rPr>
          <w:rFonts w:ascii="Times New Roman" w:hAnsi="Times New Roman"/>
          <w:kern w:val="24"/>
          <w:highlight w:val="none"/>
        </w:rPr>
        <w:t>）、1#厂房发动机研发实验室排放口（DA0</w:t>
      </w:r>
      <w:r>
        <w:rPr>
          <w:rFonts w:hint="eastAsia" w:ascii="Times New Roman" w:hAnsi="Times New Roman"/>
          <w:kern w:val="24"/>
          <w:highlight w:val="none"/>
        </w:rPr>
        <w:t>21、</w:t>
      </w:r>
      <w:r>
        <w:rPr>
          <w:rFonts w:ascii="Times New Roman" w:hAnsi="Times New Roman"/>
          <w:kern w:val="24"/>
          <w:highlight w:val="none"/>
        </w:rPr>
        <w:t>DA0</w:t>
      </w:r>
      <w:r>
        <w:rPr>
          <w:rFonts w:hint="eastAsia" w:ascii="Times New Roman" w:hAnsi="Times New Roman"/>
          <w:kern w:val="24"/>
          <w:highlight w:val="none"/>
        </w:rPr>
        <w:t>23、</w:t>
      </w:r>
      <w:r>
        <w:rPr>
          <w:rFonts w:ascii="Times New Roman" w:hAnsi="Times New Roman"/>
          <w:kern w:val="24"/>
          <w:highlight w:val="none"/>
        </w:rPr>
        <w:t>DA0</w:t>
      </w:r>
      <w:r>
        <w:rPr>
          <w:rFonts w:hint="eastAsia" w:ascii="Times New Roman" w:hAnsi="Times New Roman"/>
          <w:kern w:val="24"/>
          <w:highlight w:val="none"/>
        </w:rPr>
        <w:t>25、</w:t>
      </w:r>
      <w:r>
        <w:rPr>
          <w:rFonts w:ascii="Times New Roman" w:hAnsi="Times New Roman"/>
          <w:kern w:val="24"/>
          <w:highlight w:val="none"/>
        </w:rPr>
        <w:t>DA0</w:t>
      </w:r>
      <w:r>
        <w:rPr>
          <w:rFonts w:hint="eastAsia" w:ascii="Times New Roman" w:hAnsi="Times New Roman"/>
          <w:kern w:val="24"/>
          <w:highlight w:val="none"/>
        </w:rPr>
        <w:t>27、DA031</w:t>
      </w:r>
      <w:r>
        <w:rPr>
          <w:rFonts w:ascii="Times New Roman" w:hAnsi="Times New Roman"/>
          <w:kern w:val="24"/>
          <w:highlight w:val="none"/>
        </w:rPr>
        <w:t>）；2#厂房4G9发动机热试线排放口（DA0</w:t>
      </w:r>
      <w:r>
        <w:rPr>
          <w:rFonts w:hint="eastAsia" w:ascii="Times New Roman" w:hAnsi="Times New Roman"/>
          <w:kern w:val="24"/>
          <w:highlight w:val="none"/>
        </w:rPr>
        <w:t>47、</w:t>
      </w:r>
      <w:r>
        <w:rPr>
          <w:rFonts w:ascii="Times New Roman" w:hAnsi="Times New Roman"/>
          <w:kern w:val="24"/>
          <w:highlight w:val="none"/>
        </w:rPr>
        <w:t>DA0</w:t>
      </w:r>
      <w:r>
        <w:rPr>
          <w:rFonts w:hint="eastAsia" w:ascii="Times New Roman" w:hAnsi="Times New Roman"/>
          <w:kern w:val="24"/>
          <w:highlight w:val="none"/>
        </w:rPr>
        <w:t>49</w:t>
      </w:r>
      <w:r>
        <w:rPr>
          <w:rFonts w:ascii="Times New Roman" w:hAnsi="Times New Roman"/>
          <w:kern w:val="24"/>
          <w:highlight w:val="none"/>
        </w:rPr>
        <w:t>）、2#厂房D系列发动机热试线排放口（DA0</w:t>
      </w:r>
      <w:r>
        <w:rPr>
          <w:rFonts w:hint="eastAsia" w:ascii="Times New Roman" w:hAnsi="Times New Roman"/>
          <w:kern w:val="24"/>
          <w:highlight w:val="none"/>
        </w:rPr>
        <w:t>09</w:t>
      </w:r>
      <w:r>
        <w:rPr>
          <w:rFonts w:ascii="Times New Roman" w:hAnsi="Times New Roman"/>
          <w:kern w:val="24"/>
          <w:highlight w:val="none"/>
        </w:rPr>
        <w:t>）；4#厂房D20TGDI系列发动机热试线排放口（DA0</w:t>
      </w:r>
      <w:r>
        <w:rPr>
          <w:rFonts w:hint="eastAsia" w:ascii="Times New Roman" w:hAnsi="Times New Roman"/>
          <w:kern w:val="24"/>
          <w:highlight w:val="none"/>
        </w:rPr>
        <w:t>57</w:t>
      </w:r>
      <w:r>
        <w:rPr>
          <w:rFonts w:ascii="Times New Roman" w:hAnsi="Times New Roman"/>
          <w:kern w:val="24"/>
          <w:highlight w:val="none"/>
        </w:rPr>
        <w:t>）及研发中心实验室排放口（DA0</w:t>
      </w:r>
      <w:r>
        <w:rPr>
          <w:rFonts w:hint="eastAsia" w:ascii="Times New Roman" w:hAnsi="Times New Roman"/>
          <w:kern w:val="24"/>
          <w:highlight w:val="none"/>
        </w:rPr>
        <w:t>11、</w:t>
      </w:r>
      <w:r>
        <w:rPr>
          <w:rFonts w:ascii="Times New Roman" w:hAnsi="Times New Roman"/>
          <w:kern w:val="24"/>
          <w:highlight w:val="none"/>
        </w:rPr>
        <w:t>DA0</w:t>
      </w:r>
      <w:r>
        <w:rPr>
          <w:rFonts w:hint="eastAsia" w:ascii="Times New Roman" w:hAnsi="Times New Roman"/>
          <w:kern w:val="24"/>
          <w:highlight w:val="none"/>
        </w:rPr>
        <w:t>13、</w:t>
      </w:r>
      <w:r>
        <w:rPr>
          <w:rFonts w:ascii="Times New Roman" w:hAnsi="Times New Roman"/>
          <w:kern w:val="24"/>
          <w:highlight w:val="none"/>
        </w:rPr>
        <w:t>DA0</w:t>
      </w:r>
      <w:r>
        <w:rPr>
          <w:rFonts w:hint="eastAsia" w:ascii="Times New Roman" w:hAnsi="Times New Roman"/>
          <w:kern w:val="24"/>
          <w:highlight w:val="none"/>
        </w:rPr>
        <w:t>15、</w:t>
      </w:r>
      <w:r>
        <w:rPr>
          <w:rFonts w:ascii="Times New Roman" w:hAnsi="Times New Roman"/>
          <w:kern w:val="24"/>
          <w:highlight w:val="none"/>
        </w:rPr>
        <w:t>DA0</w:t>
      </w:r>
      <w:r>
        <w:rPr>
          <w:rFonts w:hint="eastAsia" w:ascii="Times New Roman" w:hAnsi="Times New Roman"/>
          <w:kern w:val="24"/>
          <w:highlight w:val="none"/>
        </w:rPr>
        <w:t>17、DA033、</w:t>
      </w:r>
      <w:r>
        <w:rPr>
          <w:rFonts w:ascii="Times New Roman" w:hAnsi="Times New Roman"/>
          <w:kern w:val="24"/>
          <w:highlight w:val="none"/>
        </w:rPr>
        <w:t>DA0</w:t>
      </w:r>
      <w:r>
        <w:rPr>
          <w:rFonts w:hint="eastAsia" w:ascii="Times New Roman" w:hAnsi="Times New Roman"/>
          <w:kern w:val="24"/>
          <w:highlight w:val="none"/>
        </w:rPr>
        <w:t>35、</w:t>
      </w:r>
      <w:r>
        <w:rPr>
          <w:rFonts w:ascii="Times New Roman" w:hAnsi="Times New Roman"/>
          <w:kern w:val="24"/>
          <w:highlight w:val="none"/>
        </w:rPr>
        <w:t>DA0</w:t>
      </w:r>
      <w:r>
        <w:rPr>
          <w:rFonts w:hint="eastAsia" w:ascii="Times New Roman" w:hAnsi="Times New Roman"/>
          <w:kern w:val="24"/>
          <w:highlight w:val="none"/>
        </w:rPr>
        <w:t>39、</w:t>
      </w:r>
      <w:r>
        <w:rPr>
          <w:rFonts w:ascii="Times New Roman" w:hAnsi="Times New Roman"/>
          <w:kern w:val="24"/>
          <w:highlight w:val="none"/>
        </w:rPr>
        <w:t>DA0</w:t>
      </w:r>
      <w:r>
        <w:rPr>
          <w:rFonts w:hint="eastAsia" w:ascii="Times New Roman" w:hAnsi="Times New Roman"/>
          <w:kern w:val="24"/>
          <w:highlight w:val="none"/>
        </w:rPr>
        <w:t>41、</w:t>
      </w:r>
      <w:r>
        <w:rPr>
          <w:rFonts w:ascii="Times New Roman" w:hAnsi="Times New Roman"/>
          <w:kern w:val="24"/>
          <w:highlight w:val="none"/>
        </w:rPr>
        <w:t>DA0</w:t>
      </w:r>
      <w:r>
        <w:rPr>
          <w:rFonts w:hint="eastAsia" w:ascii="Times New Roman" w:hAnsi="Times New Roman"/>
          <w:kern w:val="24"/>
          <w:highlight w:val="none"/>
        </w:rPr>
        <w:t>45、DA051、</w:t>
      </w:r>
      <w:r>
        <w:rPr>
          <w:rFonts w:ascii="Times New Roman" w:hAnsi="Times New Roman"/>
          <w:kern w:val="24"/>
          <w:highlight w:val="none"/>
        </w:rPr>
        <w:t>DA0</w:t>
      </w:r>
      <w:r>
        <w:rPr>
          <w:rFonts w:hint="eastAsia" w:ascii="Times New Roman" w:hAnsi="Times New Roman"/>
          <w:kern w:val="24"/>
          <w:highlight w:val="none"/>
        </w:rPr>
        <w:t>53、</w:t>
      </w:r>
      <w:r>
        <w:rPr>
          <w:rFonts w:ascii="Times New Roman" w:hAnsi="Times New Roman"/>
          <w:kern w:val="24"/>
          <w:highlight w:val="none"/>
        </w:rPr>
        <w:t>DA0</w:t>
      </w:r>
      <w:r>
        <w:rPr>
          <w:rFonts w:hint="eastAsia" w:ascii="Times New Roman" w:hAnsi="Times New Roman"/>
          <w:kern w:val="24"/>
          <w:highlight w:val="none"/>
        </w:rPr>
        <w:t>55</w:t>
      </w:r>
      <w:r>
        <w:rPr>
          <w:rFonts w:ascii="Times New Roman" w:hAnsi="Times New Roman"/>
          <w:kern w:val="24"/>
          <w:highlight w:val="none"/>
        </w:rPr>
        <w:t>）</w:t>
      </w:r>
      <w:r>
        <w:rPr>
          <w:rFonts w:hint="eastAsia" w:ascii="Times New Roman" w:hAnsi="Times New Roman"/>
          <w:kern w:val="24"/>
          <w:highlight w:val="none"/>
          <w:lang w:eastAsia="zh-CN"/>
        </w:rPr>
        <w:t>、</w:t>
      </w:r>
      <w:r>
        <w:rPr>
          <w:rFonts w:hint="eastAsia" w:ascii="Times New Roman" w:hAnsi="Times New Roman"/>
          <w:kern w:val="24"/>
          <w:highlight w:val="none"/>
          <w:lang w:val="en-US" w:eastAsia="zh-CN"/>
        </w:rPr>
        <w:t>1#厂房研发测试排放口（DA058）、2#厂房研发测试排放口（DA059）、</w:t>
      </w:r>
      <w:r>
        <w:rPr>
          <w:rFonts w:hint="eastAsia"/>
          <w:highlight w:val="none"/>
          <w:vertAlign w:val="baseline"/>
          <w:lang w:val="en-US" w:eastAsia="zh-CN"/>
        </w:rPr>
        <w:t>4#厂房试制中心总成试验废气排放口（DA060、DA061）、试验试制厂房热试废气排放口（DA062、DA063：依托东安动力DA003、DA004排气筒）</w:t>
      </w:r>
      <w:r>
        <w:rPr>
          <w:rFonts w:ascii="Times New Roman" w:hAnsi="Times New Roman"/>
          <w:kern w:val="24"/>
          <w:highlight w:val="none"/>
        </w:rPr>
        <w:t>，主要污染物为氮氧化物、非甲烷总烃</w:t>
      </w:r>
      <w:r>
        <w:rPr>
          <w:rFonts w:hint="eastAsia" w:ascii="Times New Roman" w:hAnsi="Times New Roman"/>
          <w:kern w:val="24"/>
          <w:highlight w:val="none"/>
        </w:rPr>
        <w:t>、一氧化碳</w:t>
      </w:r>
      <w:r>
        <w:rPr>
          <w:rFonts w:ascii="Times New Roman" w:hAnsi="Times New Roman"/>
          <w:kern w:val="24"/>
          <w:highlight w:val="none"/>
        </w:rPr>
        <w:t>。根据哈尔滨东安汽车发动机制造有限公司202</w:t>
      </w:r>
      <w:r>
        <w:rPr>
          <w:rFonts w:hint="eastAsia" w:ascii="Times New Roman" w:hAnsi="Times New Roman"/>
          <w:kern w:val="24"/>
          <w:highlight w:val="none"/>
          <w:lang w:val="en-US" w:eastAsia="zh-CN"/>
        </w:rPr>
        <w:t>4</w:t>
      </w:r>
      <w:r>
        <w:rPr>
          <w:rFonts w:ascii="Times New Roman" w:hAnsi="Times New Roman"/>
          <w:kern w:val="24"/>
          <w:highlight w:val="none"/>
        </w:rPr>
        <w:t>年排污许可例行监测报告，</w:t>
      </w:r>
      <w:r>
        <w:rPr>
          <w:rFonts w:hint="eastAsia" w:ascii="Times New Roman" w:hAnsi="Times New Roman"/>
          <w:kern w:val="24"/>
          <w:highlight w:val="none"/>
          <w:lang w:val="en-US" w:eastAsia="zh-CN"/>
        </w:rPr>
        <w:t>各污染物均满足</w:t>
      </w:r>
      <w:r>
        <w:rPr>
          <w:rFonts w:ascii="Times New Roman" w:hAnsi="Times New Roman"/>
          <w:kern w:val="24"/>
          <w:highlight w:val="none"/>
        </w:rPr>
        <w:t>《大气污染物综合排放标准》（GB16297-1996）要求，</w:t>
      </w:r>
      <w:r>
        <w:rPr>
          <w:rFonts w:hint="eastAsia" w:ascii="Times New Roman" w:hAnsi="Times New Roman"/>
          <w:kern w:val="24"/>
          <w:highlight w:val="none"/>
        </w:rPr>
        <w:t>厂区有组织</w:t>
      </w:r>
      <w:r>
        <w:rPr>
          <w:rFonts w:ascii="Times New Roman" w:hAnsi="Times New Roman"/>
          <w:kern w:val="24"/>
          <w:highlight w:val="none"/>
        </w:rPr>
        <w:t>废气排放情况及评价标准见表3-1-4。</w:t>
      </w:r>
    </w:p>
    <w:p w14:paraId="5B3AA8CA">
      <w:pPr>
        <w:pStyle w:val="7"/>
        <w:bidi w:val="0"/>
        <w:rPr>
          <w:rFonts w:hint="default"/>
          <w:highlight w:val="none"/>
          <w:lang w:val="en-US" w:eastAsia="zh-CN"/>
        </w:rPr>
      </w:pPr>
      <w:r>
        <w:rPr>
          <w:rFonts w:hint="eastAsia"/>
          <w:highlight w:val="none"/>
          <w:lang w:val="en-US" w:eastAsia="zh-CN"/>
        </w:rPr>
        <w:t>表3-1-4</w:t>
      </w:r>
      <w:r>
        <w:rPr>
          <w:highlight w:val="none"/>
        </w:rPr>
        <w:t>现有工程有组织废气排放情况一览表</w:t>
      </w:r>
    </w:p>
    <w:tbl>
      <w:tblPr>
        <w:tblStyle w:val="739"/>
        <w:tblW w:w="5000" w:type="pct"/>
        <w:tblInd w:w="6"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897"/>
        <w:gridCol w:w="663"/>
        <w:gridCol w:w="1021"/>
        <w:gridCol w:w="1005"/>
        <w:gridCol w:w="1125"/>
        <w:gridCol w:w="1260"/>
        <w:gridCol w:w="960"/>
        <w:gridCol w:w="1375"/>
      </w:tblGrid>
      <w:tr w14:paraId="669EE2D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1560" w:type="dxa"/>
            <w:gridSpan w:val="2"/>
            <w:vMerge w:val="restart"/>
            <w:tcBorders>
              <w:tl2br w:val="nil"/>
              <w:tr2bl w:val="nil"/>
            </w:tcBorders>
            <w:vAlign w:val="center"/>
          </w:tcPr>
          <w:p w14:paraId="082C7A1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bCs/>
                <w:snapToGrid w:val="0"/>
                <w:color w:val="000000"/>
                <w:sz w:val="21"/>
                <w:szCs w:val="21"/>
                <w:highlight w:val="none"/>
              </w:rPr>
            </w:pPr>
          </w:p>
          <w:p w14:paraId="07485E14">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bCs/>
                <w:snapToGrid w:val="0"/>
                <w:color w:val="000000"/>
                <w:sz w:val="21"/>
                <w:szCs w:val="21"/>
                <w:highlight w:val="none"/>
              </w:rPr>
            </w:pPr>
            <w:r>
              <w:rPr>
                <w:rFonts w:hint="default" w:ascii="Times New Roman" w:hAnsi="Times New Roman" w:cs="Times New Roman"/>
                <w:b/>
                <w:bCs/>
                <w:snapToGrid w:val="0"/>
                <w:color w:val="000000"/>
                <w:spacing w:val="6"/>
                <w:sz w:val="21"/>
                <w:szCs w:val="21"/>
                <w:highlight w:val="none"/>
              </w:rPr>
              <w:t>监测点位</w:t>
            </w:r>
          </w:p>
        </w:tc>
        <w:tc>
          <w:tcPr>
            <w:tcW w:w="6746" w:type="dxa"/>
            <w:gridSpan w:val="6"/>
            <w:tcBorders>
              <w:tl2br w:val="nil"/>
              <w:tr2bl w:val="nil"/>
            </w:tcBorders>
            <w:vAlign w:val="center"/>
          </w:tcPr>
          <w:p w14:paraId="2C3CF3DD">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bCs/>
                <w:snapToGrid w:val="0"/>
                <w:color w:val="000000"/>
                <w:spacing w:val="6"/>
                <w:sz w:val="21"/>
                <w:szCs w:val="21"/>
                <w:highlight w:val="none"/>
              </w:rPr>
            </w:pPr>
            <w:r>
              <w:rPr>
                <w:rFonts w:hint="default" w:ascii="Times New Roman" w:hAnsi="Times New Roman" w:cs="Times New Roman"/>
                <w:b/>
                <w:bCs/>
                <w:snapToGrid w:val="0"/>
                <w:color w:val="000000"/>
                <w:spacing w:val="6"/>
                <w:sz w:val="21"/>
                <w:szCs w:val="21"/>
                <w:highlight w:val="none"/>
              </w:rPr>
              <w:t>监测项目</w:t>
            </w:r>
          </w:p>
        </w:tc>
      </w:tr>
      <w:tr w14:paraId="15C89C5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1560" w:type="dxa"/>
            <w:gridSpan w:val="2"/>
            <w:vMerge w:val="continue"/>
            <w:tcBorders>
              <w:tl2br w:val="nil"/>
              <w:tr2bl w:val="nil"/>
            </w:tcBorders>
            <w:vAlign w:val="center"/>
          </w:tcPr>
          <w:p w14:paraId="45D8528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bCs/>
                <w:snapToGrid w:val="0"/>
                <w:color w:val="000000"/>
                <w:sz w:val="21"/>
                <w:szCs w:val="21"/>
                <w:highlight w:val="none"/>
              </w:rPr>
            </w:pPr>
          </w:p>
        </w:tc>
        <w:tc>
          <w:tcPr>
            <w:tcW w:w="2026" w:type="dxa"/>
            <w:gridSpan w:val="2"/>
            <w:tcBorders>
              <w:tl2br w:val="nil"/>
              <w:tr2bl w:val="nil"/>
            </w:tcBorders>
            <w:vAlign w:val="center"/>
          </w:tcPr>
          <w:p w14:paraId="45AFDEF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bCs/>
                <w:snapToGrid w:val="0"/>
                <w:color w:val="000000"/>
                <w:sz w:val="21"/>
                <w:szCs w:val="21"/>
                <w:highlight w:val="none"/>
                <w:lang w:val="en-US" w:eastAsia="zh-CN"/>
              </w:rPr>
            </w:pPr>
            <w:r>
              <w:rPr>
                <w:rFonts w:hint="default" w:ascii="Times New Roman" w:hAnsi="Times New Roman" w:eastAsia="Times New Roman" w:cs="Times New Roman"/>
                <w:b/>
                <w:bCs/>
                <w:snapToGrid w:val="0"/>
                <w:color w:val="000000"/>
                <w:spacing w:val="5"/>
                <w:sz w:val="21"/>
                <w:szCs w:val="21"/>
                <w:highlight w:val="none"/>
              </w:rPr>
              <w:t>NO</w:t>
            </w:r>
            <w:r>
              <w:rPr>
                <w:rFonts w:hint="eastAsia" w:ascii="Times New Roman" w:hAnsi="Times New Roman" w:eastAsia="宋体" w:cs="Times New Roman"/>
                <w:b/>
                <w:bCs/>
                <w:snapToGrid w:val="0"/>
                <w:color w:val="000000"/>
                <w:spacing w:val="5"/>
                <w:sz w:val="21"/>
                <w:szCs w:val="21"/>
                <w:highlight w:val="none"/>
                <w:lang w:val="en-US" w:eastAsia="zh-CN"/>
              </w:rPr>
              <w:t>x</w:t>
            </w:r>
          </w:p>
        </w:tc>
        <w:tc>
          <w:tcPr>
            <w:tcW w:w="2385" w:type="dxa"/>
            <w:gridSpan w:val="2"/>
            <w:tcBorders>
              <w:tl2br w:val="nil"/>
              <w:tr2bl w:val="nil"/>
            </w:tcBorders>
            <w:vAlign w:val="center"/>
          </w:tcPr>
          <w:p w14:paraId="4F3FCD65">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bCs/>
                <w:snapToGrid w:val="0"/>
                <w:color w:val="000000"/>
                <w:sz w:val="21"/>
                <w:szCs w:val="21"/>
                <w:highlight w:val="none"/>
              </w:rPr>
            </w:pPr>
            <w:r>
              <w:rPr>
                <w:rFonts w:hint="default" w:ascii="Times New Roman" w:hAnsi="Times New Roman" w:cs="Times New Roman"/>
                <w:b/>
                <w:bCs/>
                <w:snapToGrid w:val="0"/>
                <w:color w:val="000000"/>
                <w:spacing w:val="5"/>
                <w:sz w:val="21"/>
                <w:szCs w:val="21"/>
                <w:highlight w:val="none"/>
              </w:rPr>
              <w:t>非甲烷总烃</w:t>
            </w:r>
          </w:p>
        </w:tc>
        <w:tc>
          <w:tcPr>
            <w:tcW w:w="2335" w:type="dxa"/>
            <w:gridSpan w:val="2"/>
            <w:tcBorders>
              <w:tl2br w:val="nil"/>
              <w:tr2bl w:val="nil"/>
            </w:tcBorders>
            <w:vAlign w:val="center"/>
          </w:tcPr>
          <w:p w14:paraId="22571445">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bCs/>
                <w:snapToGrid w:val="0"/>
                <w:color w:val="000000"/>
                <w:spacing w:val="5"/>
                <w:sz w:val="21"/>
                <w:szCs w:val="21"/>
                <w:highlight w:val="none"/>
                <w:lang w:val="en-US" w:eastAsia="zh-CN"/>
              </w:rPr>
            </w:pPr>
            <w:r>
              <w:rPr>
                <w:rFonts w:hint="eastAsia" w:ascii="Times New Roman" w:hAnsi="Times New Roman" w:cs="Times New Roman"/>
                <w:b/>
                <w:bCs/>
                <w:snapToGrid w:val="0"/>
                <w:color w:val="000000"/>
                <w:spacing w:val="5"/>
                <w:sz w:val="21"/>
                <w:szCs w:val="21"/>
                <w:highlight w:val="none"/>
                <w:lang w:val="en-US" w:eastAsia="zh-CN"/>
              </w:rPr>
              <w:t>颗粒物</w:t>
            </w:r>
          </w:p>
        </w:tc>
      </w:tr>
      <w:tr w14:paraId="0E4DFBB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1560" w:type="dxa"/>
            <w:gridSpan w:val="2"/>
            <w:vMerge w:val="continue"/>
            <w:tcBorders>
              <w:tl2br w:val="nil"/>
              <w:tr2bl w:val="nil"/>
            </w:tcBorders>
            <w:vAlign w:val="center"/>
          </w:tcPr>
          <w:p w14:paraId="7888319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bCs/>
                <w:snapToGrid w:val="0"/>
                <w:color w:val="000000"/>
                <w:sz w:val="21"/>
                <w:szCs w:val="21"/>
                <w:highlight w:val="none"/>
              </w:rPr>
            </w:pPr>
          </w:p>
        </w:tc>
        <w:tc>
          <w:tcPr>
            <w:tcW w:w="1021" w:type="dxa"/>
            <w:tcBorders>
              <w:tl2br w:val="nil"/>
              <w:tr2bl w:val="nil"/>
            </w:tcBorders>
            <w:vAlign w:val="center"/>
          </w:tcPr>
          <w:p w14:paraId="6B563707">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bCs/>
                <w:snapToGrid w:val="0"/>
                <w:color w:val="000000"/>
                <w:sz w:val="21"/>
                <w:szCs w:val="21"/>
                <w:highlight w:val="none"/>
                <w:lang w:val="en-US" w:eastAsia="zh-CN"/>
              </w:rPr>
            </w:pPr>
            <w:r>
              <w:rPr>
                <w:rFonts w:hint="default" w:ascii="Times New Roman" w:hAnsi="Times New Roman" w:cs="Times New Roman"/>
                <w:b/>
                <w:bCs/>
                <w:snapToGrid w:val="0"/>
                <w:color w:val="000000"/>
                <w:spacing w:val="6"/>
                <w:sz w:val="21"/>
                <w:szCs w:val="21"/>
                <w:highlight w:val="none"/>
              </w:rPr>
              <w:t>排放浓度</w:t>
            </w:r>
            <w:r>
              <w:rPr>
                <w:rFonts w:hint="default" w:ascii="Times New Roman" w:hAnsi="Times New Roman" w:eastAsia="Times New Roman" w:cs="Times New Roman"/>
                <w:b/>
                <w:bCs/>
                <w:snapToGrid w:val="0"/>
                <w:color w:val="000000"/>
                <w:sz w:val="21"/>
                <w:szCs w:val="21"/>
                <w:highlight w:val="none"/>
              </w:rPr>
              <w:t>mg</w:t>
            </w:r>
            <w:r>
              <w:rPr>
                <w:rFonts w:hint="default" w:ascii="Times New Roman" w:hAnsi="Times New Roman" w:eastAsia="Times New Roman" w:cs="Times New Roman"/>
                <w:b/>
                <w:bCs/>
                <w:snapToGrid w:val="0"/>
                <w:color w:val="000000"/>
                <w:spacing w:val="6"/>
                <w:sz w:val="21"/>
                <w:szCs w:val="21"/>
                <w:highlight w:val="none"/>
              </w:rPr>
              <w:t>/m</w:t>
            </w:r>
            <w:r>
              <w:rPr>
                <w:rFonts w:hint="eastAsia" w:ascii="Times New Roman" w:hAnsi="Times New Roman" w:eastAsia="宋体" w:cs="Times New Roman"/>
                <w:b/>
                <w:bCs/>
                <w:snapToGrid w:val="0"/>
                <w:color w:val="000000"/>
                <w:spacing w:val="6"/>
                <w:sz w:val="21"/>
                <w:szCs w:val="21"/>
                <w:highlight w:val="none"/>
                <w:vertAlign w:val="superscript"/>
                <w:lang w:val="en-US" w:eastAsia="zh-CN"/>
              </w:rPr>
              <w:t>3</w:t>
            </w:r>
          </w:p>
        </w:tc>
        <w:tc>
          <w:tcPr>
            <w:tcW w:w="1005" w:type="dxa"/>
            <w:tcBorders>
              <w:tl2br w:val="nil"/>
              <w:tr2bl w:val="nil"/>
            </w:tcBorders>
            <w:vAlign w:val="center"/>
          </w:tcPr>
          <w:p w14:paraId="03F9BFDB">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bCs/>
                <w:snapToGrid w:val="0"/>
                <w:color w:val="000000"/>
                <w:sz w:val="21"/>
                <w:szCs w:val="21"/>
                <w:highlight w:val="none"/>
              </w:rPr>
            </w:pPr>
            <w:r>
              <w:rPr>
                <w:rFonts w:hint="default" w:ascii="Times New Roman" w:hAnsi="Times New Roman" w:cs="Times New Roman"/>
                <w:b/>
                <w:bCs/>
                <w:snapToGrid w:val="0"/>
                <w:color w:val="000000"/>
                <w:spacing w:val="6"/>
                <w:sz w:val="21"/>
                <w:szCs w:val="21"/>
                <w:highlight w:val="none"/>
              </w:rPr>
              <w:t>排放速率</w:t>
            </w:r>
          </w:p>
          <w:p w14:paraId="4FD3EF2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b/>
                <w:bCs/>
                <w:snapToGrid w:val="0"/>
                <w:color w:val="000000"/>
                <w:sz w:val="21"/>
                <w:szCs w:val="21"/>
                <w:highlight w:val="none"/>
              </w:rPr>
            </w:pPr>
            <w:r>
              <w:rPr>
                <w:rFonts w:hint="default" w:ascii="Times New Roman" w:hAnsi="Times New Roman" w:eastAsia="Times New Roman" w:cs="Times New Roman"/>
                <w:b/>
                <w:bCs/>
                <w:snapToGrid w:val="0"/>
                <w:color w:val="000000"/>
                <w:sz w:val="21"/>
                <w:szCs w:val="21"/>
                <w:highlight w:val="none"/>
              </w:rPr>
              <w:t>kg</w:t>
            </w:r>
            <w:r>
              <w:rPr>
                <w:rFonts w:hint="default" w:ascii="Times New Roman" w:hAnsi="Times New Roman" w:eastAsia="Times New Roman" w:cs="Times New Roman"/>
                <w:b/>
                <w:bCs/>
                <w:snapToGrid w:val="0"/>
                <w:color w:val="000000"/>
                <w:spacing w:val="4"/>
                <w:sz w:val="21"/>
                <w:szCs w:val="21"/>
                <w:highlight w:val="none"/>
              </w:rPr>
              <w:t>/h</w:t>
            </w:r>
          </w:p>
        </w:tc>
        <w:tc>
          <w:tcPr>
            <w:tcW w:w="1125" w:type="dxa"/>
            <w:tcBorders>
              <w:tl2br w:val="nil"/>
              <w:tr2bl w:val="nil"/>
            </w:tcBorders>
            <w:vAlign w:val="center"/>
          </w:tcPr>
          <w:p w14:paraId="555B3E30">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Times New Roman" w:cs="Times New Roman"/>
                <w:b/>
                <w:bCs/>
                <w:snapToGrid w:val="0"/>
                <w:color w:val="000000"/>
                <w:sz w:val="21"/>
                <w:szCs w:val="21"/>
                <w:highlight w:val="none"/>
              </w:rPr>
            </w:pPr>
            <w:r>
              <w:rPr>
                <w:rFonts w:hint="default" w:ascii="Times New Roman" w:hAnsi="Times New Roman" w:cs="Times New Roman"/>
                <w:b/>
                <w:bCs/>
                <w:snapToGrid w:val="0"/>
                <w:color w:val="000000"/>
                <w:spacing w:val="6"/>
                <w:sz w:val="21"/>
                <w:szCs w:val="21"/>
                <w:highlight w:val="none"/>
              </w:rPr>
              <w:t>排放浓度</w:t>
            </w:r>
            <w:r>
              <w:rPr>
                <w:rFonts w:hint="default" w:ascii="Times New Roman" w:hAnsi="Times New Roman" w:eastAsia="Times New Roman" w:cs="Times New Roman"/>
                <w:b/>
                <w:bCs/>
                <w:snapToGrid w:val="0"/>
                <w:color w:val="000000"/>
                <w:sz w:val="21"/>
                <w:szCs w:val="21"/>
                <w:highlight w:val="none"/>
              </w:rPr>
              <w:t>mg</w:t>
            </w:r>
            <w:r>
              <w:rPr>
                <w:rFonts w:hint="default" w:ascii="Times New Roman" w:hAnsi="Times New Roman" w:eastAsia="Times New Roman" w:cs="Times New Roman"/>
                <w:b/>
                <w:bCs/>
                <w:snapToGrid w:val="0"/>
                <w:color w:val="000000"/>
                <w:spacing w:val="6"/>
                <w:sz w:val="21"/>
                <w:szCs w:val="21"/>
                <w:highlight w:val="none"/>
              </w:rPr>
              <w:t>/m</w:t>
            </w:r>
            <w:r>
              <w:rPr>
                <w:rFonts w:hint="eastAsia" w:ascii="Times New Roman" w:hAnsi="Times New Roman" w:eastAsia="宋体" w:cs="Times New Roman"/>
                <w:b/>
                <w:bCs/>
                <w:snapToGrid w:val="0"/>
                <w:color w:val="000000"/>
                <w:spacing w:val="6"/>
                <w:sz w:val="21"/>
                <w:szCs w:val="21"/>
                <w:highlight w:val="none"/>
                <w:vertAlign w:val="superscript"/>
                <w:lang w:val="en-US" w:eastAsia="zh-CN"/>
              </w:rPr>
              <w:t>3</w:t>
            </w:r>
          </w:p>
        </w:tc>
        <w:tc>
          <w:tcPr>
            <w:tcW w:w="1260" w:type="dxa"/>
            <w:tcBorders>
              <w:tl2br w:val="nil"/>
              <w:tr2bl w:val="nil"/>
            </w:tcBorders>
            <w:vAlign w:val="center"/>
          </w:tcPr>
          <w:p w14:paraId="7483F680">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bCs/>
                <w:snapToGrid w:val="0"/>
                <w:color w:val="000000"/>
                <w:sz w:val="21"/>
                <w:szCs w:val="21"/>
                <w:highlight w:val="none"/>
              </w:rPr>
            </w:pPr>
            <w:r>
              <w:rPr>
                <w:rFonts w:hint="default" w:ascii="Times New Roman" w:hAnsi="Times New Roman" w:cs="Times New Roman"/>
                <w:b/>
                <w:bCs/>
                <w:snapToGrid w:val="0"/>
                <w:color w:val="000000"/>
                <w:spacing w:val="6"/>
                <w:sz w:val="21"/>
                <w:szCs w:val="21"/>
                <w:highlight w:val="none"/>
              </w:rPr>
              <w:t>排放速率</w:t>
            </w:r>
          </w:p>
          <w:p w14:paraId="4C3AF24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Times New Roman" w:cs="Times New Roman"/>
                <w:b/>
                <w:bCs/>
                <w:snapToGrid w:val="0"/>
                <w:color w:val="000000"/>
                <w:sz w:val="21"/>
                <w:szCs w:val="21"/>
                <w:highlight w:val="none"/>
              </w:rPr>
            </w:pPr>
            <w:r>
              <w:rPr>
                <w:rFonts w:hint="default" w:ascii="Times New Roman" w:hAnsi="Times New Roman" w:eastAsia="Times New Roman" w:cs="Times New Roman"/>
                <w:b/>
                <w:bCs/>
                <w:snapToGrid w:val="0"/>
                <w:color w:val="000000"/>
                <w:sz w:val="21"/>
                <w:szCs w:val="21"/>
                <w:highlight w:val="none"/>
              </w:rPr>
              <w:t>kg</w:t>
            </w:r>
            <w:r>
              <w:rPr>
                <w:rFonts w:hint="default" w:ascii="Times New Roman" w:hAnsi="Times New Roman" w:eastAsia="Times New Roman" w:cs="Times New Roman"/>
                <w:b/>
                <w:bCs/>
                <w:snapToGrid w:val="0"/>
                <w:color w:val="000000"/>
                <w:spacing w:val="4"/>
                <w:sz w:val="21"/>
                <w:szCs w:val="21"/>
                <w:highlight w:val="none"/>
              </w:rPr>
              <w:t>/h</w:t>
            </w:r>
          </w:p>
        </w:tc>
        <w:tc>
          <w:tcPr>
            <w:tcW w:w="960" w:type="dxa"/>
            <w:tcBorders>
              <w:tl2br w:val="nil"/>
              <w:tr2bl w:val="nil"/>
            </w:tcBorders>
            <w:vAlign w:val="center"/>
          </w:tcPr>
          <w:p w14:paraId="696B7202">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Times New Roman" w:cs="Times New Roman"/>
                <w:b/>
                <w:bCs/>
                <w:snapToGrid w:val="0"/>
                <w:color w:val="000000"/>
                <w:sz w:val="21"/>
                <w:szCs w:val="21"/>
                <w:highlight w:val="none"/>
              </w:rPr>
            </w:pPr>
            <w:r>
              <w:rPr>
                <w:rFonts w:hint="default" w:ascii="Times New Roman" w:hAnsi="Times New Roman" w:cs="Times New Roman"/>
                <w:b/>
                <w:bCs/>
                <w:snapToGrid w:val="0"/>
                <w:color w:val="000000"/>
                <w:spacing w:val="6"/>
                <w:sz w:val="21"/>
                <w:szCs w:val="21"/>
                <w:highlight w:val="none"/>
              </w:rPr>
              <w:t>排放浓度</w:t>
            </w:r>
            <w:r>
              <w:rPr>
                <w:rFonts w:hint="default" w:ascii="Times New Roman" w:hAnsi="Times New Roman" w:eastAsia="Times New Roman" w:cs="Times New Roman"/>
                <w:b/>
                <w:bCs/>
                <w:snapToGrid w:val="0"/>
                <w:color w:val="000000"/>
                <w:sz w:val="21"/>
                <w:szCs w:val="21"/>
                <w:highlight w:val="none"/>
              </w:rPr>
              <w:t>mg</w:t>
            </w:r>
            <w:r>
              <w:rPr>
                <w:rFonts w:hint="default" w:ascii="Times New Roman" w:hAnsi="Times New Roman" w:eastAsia="Times New Roman" w:cs="Times New Roman"/>
                <w:b/>
                <w:bCs/>
                <w:snapToGrid w:val="0"/>
                <w:color w:val="000000"/>
                <w:spacing w:val="6"/>
                <w:sz w:val="21"/>
                <w:szCs w:val="21"/>
                <w:highlight w:val="none"/>
              </w:rPr>
              <w:t>/m</w:t>
            </w:r>
            <w:r>
              <w:rPr>
                <w:rFonts w:hint="eastAsia" w:ascii="Times New Roman" w:hAnsi="Times New Roman" w:eastAsia="宋体" w:cs="Times New Roman"/>
                <w:b/>
                <w:bCs/>
                <w:snapToGrid w:val="0"/>
                <w:color w:val="000000"/>
                <w:spacing w:val="6"/>
                <w:sz w:val="21"/>
                <w:szCs w:val="21"/>
                <w:highlight w:val="none"/>
                <w:vertAlign w:val="superscript"/>
                <w:lang w:val="en-US" w:eastAsia="zh-CN"/>
              </w:rPr>
              <w:t>3</w:t>
            </w:r>
          </w:p>
        </w:tc>
        <w:tc>
          <w:tcPr>
            <w:tcW w:w="1375" w:type="dxa"/>
            <w:tcBorders>
              <w:tl2br w:val="nil"/>
              <w:tr2bl w:val="nil"/>
            </w:tcBorders>
            <w:vAlign w:val="center"/>
          </w:tcPr>
          <w:p w14:paraId="23BB8BE9">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bCs/>
                <w:snapToGrid w:val="0"/>
                <w:color w:val="000000"/>
                <w:sz w:val="21"/>
                <w:szCs w:val="21"/>
                <w:highlight w:val="none"/>
              </w:rPr>
            </w:pPr>
            <w:r>
              <w:rPr>
                <w:rFonts w:hint="default" w:ascii="Times New Roman" w:hAnsi="Times New Roman" w:cs="Times New Roman"/>
                <w:b/>
                <w:bCs/>
                <w:snapToGrid w:val="0"/>
                <w:color w:val="000000"/>
                <w:spacing w:val="6"/>
                <w:sz w:val="21"/>
                <w:szCs w:val="21"/>
                <w:highlight w:val="none"/>
              </w:rPr>
              <w:t>排放速率</w:t>
            </w:r>
          </w:p>
          <w:p w14:paraId="28FA950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Times New Roman" w:cs="Times New Roman"/>
                <w:b/>
                <w:bCs/>
                <w:snapToGrid w:val="0"/>
                <w:color w:val="000000"/>
                <w:sz w:val="21"/>
                <w:szCs w:val="21"/>
                <w:highlight w:val="none"/>
              </w:rPr>
            </w:pPr>
            <w:r>
              <w:rPr>
                <w:rFonts w:hint="default" w:ascii="Times New Roman" w:hAnsi="Times New Roman" w:eastAsia="Times New Roman" w:cs="Times New Roman"/>
                <w:b/>
                <w:bCs/>
                <w:snapToGrid w:val="0"/>
                <w:color w:val="000000"/>
                <w:sz w:val="21"/>
                <w:szCs w:val="21"/>
                <w:highlight w:val="none"/>
              </w:rPr>
              <w:t>kg</w:t>
            </w:r>
            <w:r>
              <w:rPr>
                <w:rFonts w:hint="default" w:ascii="Times New Roman" w:hAnsi="Times New Roman" w:eastAsia="Times New Roman" w:cs="Times New Roman"/>
                <w:b/>
                <w:bCs/>
                <w:snapToGrid w:val="0"/>
                <w:color w:val="000000"/>
                <w:spacing w:val="4"/>
                <w:sz w:val="21"/>
                <w:szCs w:val="21"/>
                <w:highlight w:val="none"/>
              </w:rPr>
              <w:t>/h</w:t>
            </w:r>
          </w:p>
        </w:tc>
      </w:tr>
      <w:tr w14:paraId="219BB6B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897" w:type="dxa"/>
            <w:vMerge w:val="restart"/>
            <w:tcBorders>
              <w:tl2br w:val="nil"/>
              <w:tr2bl w:val="nil"/>
            </w:tcBorders>
            <w:vAlign w:val="center"/>
          </w:tcPr>
          <w:p w14:paraId="1D8D353D">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pacing w:val="1"/>
                <w:sz w:val="21"/>
                <w:szCs w:val="21"/>
                <w:highlight w:val="none"/>
              </w:rPr>
              <w:t>1#</w:t>
            </w:r>
            <w:r>
              <w:rPr>
                <w:rFonts w:hint="default" w:ascii="Times New Roman" w:hAnsi="Times New Roman" w:cs="Times New Roman"/>
                <w:snapToGrid w:val="0"/>
                <w:color w:val="000000"/>
                <w:spacing w:val="1"/>
                <w:sz w:val="21"/>
                <w:szCs w:val="21"/>
                <w:highlight w:val="none"/>
              </w:rPr>
              <w:t>厂房</w:t>
            </w:r>
            <w:r>
              <w:rPr>
                <w:rFonts w:hint="default" w:ascii="Times New Roman" w:hAnsi="Times New Roman" w:eastAsia="Times New Roman" w:cs="Times New Roman"/>
                <w:snapToGrid w:val="0"/>
                <w:color w:val="000000"/>
                <w:spacing w:val="4"/>
                <w:sz w:val="21"/>
                <w:szCs w:val="21"/>
                <w:highlight w:val="none"/>
              </w:rPr>
              <w:t>4G1</w:t>
            </w:r>
            <w:r>
              <w:rPr>
                <w:rFonts w:hint="default" w:ascii="Times New Roman" w:hAnsi="Times New Roman" w:cs="Times New Roman"/>
                <w:snapToGrid w:val="0"/>
                <w:color w:val="000000"/>
                <w:spacing w:val="4"/>
                <w:sz w:val="21"/>
                <w:szCs w:val="21"/>
                <w:highlight w:val="none"/>
              </w:rPr>
              <w:t>热试验</w:t>
            </w:r>
          </w:p>
        </w:tc>
        <w:tc>
          <w:tcPr>
            <w:tcW w:w="663" w:type="dxa"/>
            <w:tcBorders>
              <w:tl2br w:val="nil"/>
              <w:tr2bl w:val="nil"/>
            </w:tcBorders>
            <w:vAlign w:val="center"/>
          </w:tcPr>
          <w:p w14:paraId="28ADFFB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z w:val="21"/>
                <w:szCs w:val="21"/>
                <w:highlight w:val="none"/>
              </w:rPr>
              <w:t>DA</w:t>
            </w:r>
            <w:r>
              <w:rPr>
                <w:rFonts w:hint="default" w:ascii="Times New Roman" w:hAnsi="Times New Roman" w:eastAsia="Times New Roman" w:cs="Times New Roman"/>
                <w:snapToGrid w:val="0"/>
                <w:color w:val="000000"/>
                <w:spacing w:val="8"/>
                <w:sz w:val="21"/>
                <w:szCs w:val="21"/>
                <w:highlight w:val="none"/>
              </w:rPr>
              <w:t>001</w:t>
            </w:r>
          </w:p>
        </w:tc>
        <w:tc>
          <w:tcPr>
            <w:tcW w:w="1021" w:type="dxa"/>
            <w:tcBorders>
              <w:tl2br w:val="nil"/>
              <w:tr2bl w:val="nil"/>
            </w:tcBorders>
            <w:vAlign w:val="center"/>
          </w:tcPr>
          <w:p w14:paraId="6F1512E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20</w:t>
            </w:r>
          </w:p>
        </w:tc>
        <w:tc>
          <w:tcPr>
            <w:tcW w:w="1005" w:type="dxa"/>
            <w:tcBorders>
              <w:tl2br w:val="nil"/>
              <w:tr2bl w:val="nil"/>
            </w:tcBorders>
            <w:vAlign w:val="center"/>
          </w:tcPr>
          <w:p w14:paraId="7EEB386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0.108</w:t>
            </w:r>
          </w:p>
        </w:tc>
        <w:tc>
          <w:tcPr>
            <w:tcW w:w="1125" w:type="dxa"/>
            <w:tcBorders>
              <w:tl2br w:val="nil"/>
              <w:tr2bl w:val="nil"/>
            </w:tcBorders>
            <w:vAlign w:val="center"/>
          </w:tcPr>
          <w:p w14:paraId="597424E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1.77</w:t>
            </w:r>
          </w:p>
        </w:tc>
        <w:tc>
          <w:tcPr>
            <w:tcW w:w="1260" w:type="dxa"/>
            <w:tcBorders>
              <w:tl2br w:val="nil"/>
              <w:tr2bl w:val="nil"/>
            </w:tcBorders>
            <w:vAlign w:val="center"/>
          </w:tcPr>
          <w:p w14:paraId="41F4C00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0.009</w:t>
            </w:r>
          </w:p>
        </w:tc>
        <w:tc>
          <w:tcPr>
            <w:tcW w:w="960" w:type="dxa"/>
            <w:tcBorders>
              <w:tl2br w:val="nil"/>
              <w:tr2bl w:val="nil"/>
            </w:tcBorders>
            <w:vAlign w:val="center"/>
          </w:tcPr>
          <w:p w14:paraId="410D75C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11.8</w:t>
            </w:r>
          </w:p>
        </w:tc>
        <w:tc>
          <w:tcPr>
            <w:tcW w:w="1375" w:type="dxa"/>
            <w:tcBorders>
              <w:tl2br w:val="nil"/>
              <w:tr2bl w:val="nil"/>
            </w:tcBorders>
            <w:vAlign w:val="center"/>
          </w:tcPr>
          <w:p w14:paraId="11F6BE1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0.06</w:t>
            </w:r>
          </w:p>
        </w:tc>
      </w:tr>
      <w:tr w14:paraId="04075BE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897" w:type="dxa"/>
            <w:vMerge w:val="continue"/>
            <w:tcBorders>
              <w:tl2br w:val="nil"/>
              <w:tr2bl w:val="nil"/>
            </w:tcBorders>
            <w:vAlign w:val="center"/>
          </w:tcPr>
          <w:p w14:paraId="34FC92F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napToGrid w:val="0"/>
                <w:color w:val="000000"/>
                <w:sz w:val="21"/>
                <w:szCs w:val="21"/>
                <w:highlight w:val="none"/>
              </w:rPr>
            </w:pPr>
          </w:p>
        </w:tc>
        <w:tc>
          <w:tcPr>
            <w:tcW w:w="663" w:type="dxa"/>
            <w:tcBorders>
              <w:tl2br w:val="nil"/>
              <w:tr2bl w:val="nil"/>
            </w:tcBorders>
            <w:vAlign w:val="center"/>
          </w:tcPr>
          <w:p w14:paraId="4418BC0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z w:val="21"/>
                <w:szCs w:val="21"/>
                <w:highlight w:val="none"/>
              </w:rPr>
              <w:t>DA</w:t>
            </w:r>
            <w:r>
              <w:rPr>
                <w:rFonts w:hint="default" w:ascii="Times New Roman" w:hAnsi="Times New Roman" w:eastAsia="Times New Roman" w:cs="Times New Roman"/>
                <w:snapToGrid w:val="0"/>
                <w:color w:val="000000"/>
                <w:spacing w:val="8"/>
                <w:sz w:val="21"/>
                <w:szCs w:val="21"/>
                <w:highlight w:val="none"/>
              </w:rPr>
              <w:t>003</w:t>
            </w:r>
          </w:p>
        </w:tc>
        <w:tc>
          <w:tcPr>
            <w:tcW w:w="1021" w:type="dxa"/>
            <w:tcBorders>
              <w:tl2br w:val="nil"/>
              <w:tr2bl w:val="nil"/>
            </w:tcBorders>
            <w:vAlign w:val="center"/>
          </w:tcPr>
          <w:p w14:paraId="7DCC12C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19</w:t>
            </w:r>
          </w:p>
        </w:tc>
        <w:tc>
          <w:tcPr>
            <w:tcW w:w="1005" w:type="dxa"/>
            <w:tcBorders>
              <w:tl2br w:val="nil"/>
              <w:tr2bl w:val="nil"/>
            </w:tcBorders>
            <w:vAlign w:val="center"/>
          </w:tcPr>
          <w:p w14:paraId="758E8D2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0.101</w:t>
            </w:r>
          </w:p>
        </w:tc>
        <w:tc>
          <w:tcPr>
            <w:tcW w:w="1125" w:type="dxa"/>
            <w:tcBorders>
              <w:tl2br w:val="nil"/>
              <w:tr2bl w:val="nil"/>
            </w:tcBorders>
            <w:vAlign w:val="center"/>
          </w:tcPr>
          <w:p w14:paraId="5132ECD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1.94</w:t>
            </w:r>
          </w:p>
        </w:tc>
        <w:tc>
          <w:tcPr>
            <w:tcW w:w="1260" w:type="dxa"/>
            <w:tcBorders>
              <w:tl2br w:val="nil"/>
              <w:tr2bl w:val="nil"/>
            </w:tcBorders>
            <w:vAlign w:val="center"/>
          </w:tcPr>
          <w:p w14:paraId="6FF1F85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0.010</w:t>
            </w:r>
          </w:p>
        </w:tc>
        <w:tc>
          <w:tcPr>
            <w:tcW w:w="960" w:type="dxa"/>
            <w:tcBorders>
              <w:tl2br w:val="nil"/>
              <w:tr2bl w:val="nil"/>
            </w:tcBorders>
            <w:vAlign w:val="center"/>
          </w:tcPr>
          <w:p w14:paraId="3CEFCB5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11.9</w:t>
            </w:r>
          </w:p>
        </w:tc>
        <w:tc>
          <w:tcPr>
            <w:tcW w:w="1375" w:type="dxa"/>
            <w:tcBorders>
              <w:tl2br w:val="nil"/>
              <w:tr2bl w:val="nil"/>
            </w:tcBorders>
            <w:vAlign w:val="center"/>
          </w:tcPr>
          <w:p w14:paraId="52318E9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0.06</w:t>
            </w:r>
          </w:p>
        </w:tc>
      </w:tr>
      <w:tr w14:paraId="5A4A8DA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897" w:type="dxa"/>
            <w:vMerge w:val="continue"/>
            <w:tcBorders>
              <w:tl2br w:val="nil"/>
              <w:tr2bl w:val="nil"/>
            </w:tcBorders>
            <w:vAlign w:val="center"/>
          </w:tcPr>
          <w:p w14:paraId="5DF4E35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napToGrid w:val="0"/>
                <w:color w:val="000000"/>
                <w:sz w:val="21"/>
                <w:szCs w:val="21"/>
                <w:highlight w:val="none"/>
              </w:rPr>
            </w:pPr>
          </w:p>
        </w:tc>
        <w:tc>
          <w:tcPr>
            <w:tcW w:w="663" w:type="dxa"/>
            <w:tcBorders>
              <w:tl2br w:val="nil"/>
              <w:tr2bl w:val="nil"/>
            </w:tcBorders>
            <w:vAlign w:val="center"/>
          </w:tcPr>
          <w:p w14:paraId="2630558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z w:val="21"/>
                <w:szCs w:val="21"/>
                <w:highlight w:val="none"/>
              </w:rPr>
              <w:t>DA</w:t>
            </w:r>
            <w:r>
              <w:rPr>
                <w:rFonts w:hint="default" w:ascii="Times New Roman" w:hAnsi="Times New Roman" w:eastAsia="Times New Roman" w:cs="Times New Roman"/>
                <w:snapToGrid w:val="0"/>
                <w:color w:val="000000"/>
                <w:spacing w:val="8"/>
                <w:sz w:val="21"/>
                <w:szCs w:val="21"/>
                <w:highlight w:val="none"/>
              </w:rPr>
              <w:t>005</w:t>
            </w:r>
          </w:p>
        </w:tc>
        <w:tc>
          <w:tcPr>
            <w:tcW w:w="1021" w:type="dxa"/>
            <w:tcBorders>
              <w:tl2br w:val="nil"/>
              <w:tr2bl w:val="nil"/>
            </w:tcBorders>
            <w:vAlign w:val="center"/>
          </w:tcPr>
          <w:p w14:paraId="6870352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19</w:t>
            </w:r>
          </w:p>
        </w:tc>
        <w:tc>
          <w:tcPr>
            <w:tcW w:w="1005" w:type="dxa"/>
            <w:tcBorders>
              <w:tl2br w:val="nil"/>
              <w:tr2bl w:val="nil"/>
            </w:tcBorders>
            <w:vAlign w:val="center"/>
          </w:tcPr>
          <w:p w14:paraId="53C6C39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0.104</w:t>
            </w:r>
          </w:p>
        </w:tc>
        <w:tc>
          <w:tcPr>
            <w:tcW w:w="1125" w:type="dxa"/>
            <w:tcBorders>
              <w:tl2br w:val="nil"/>
              <w:tr2bl w:val="nil"/>
            </w:tcBorders>
            <w:vAlign w:val="center"/>
          </w:tcPr>
          <w:p w14:paraId="77DB679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1.89</w:t>
            </w:r>
          </w:p>
        </w:tc>
        <w:tc>
          <w:tcPr>
            <w:tcW w:w="1260" w:type="dxa"/>
            <w:tcBorders>
              <w:tl2br w:val="nil"/>
              <w:tr2bl w:val="nil"/>
            </w:tcBorders>
            <w:vAlign w:val="center"/>
          </w:tcPr>
          <w:p w14:paraId="5EEAD58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0.010</w:t>
            </w:r>
          </w:p>
        </w:tc>
        <w:tc>
          <w:tcPr>
            <w:tcW w:w="960" w:type="dxa"/>
            <w:tcBorders>
              <w:tl2br w:val="nil"/>
              <w:tr2bl w:val="nil"/>
            </w:tcBorders>
            <w:vAlign w:val="center"/>
          </w:tcPr>
          <w:p w14:paraId="32D2BCA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10.4</w:t>
            </w:r>
          </w:p>
        </w:tc>
        <w:tc>
          <w:tcPr>
            <w:tcW w:w="1375" w:type="dxa"/>
            <w:tcBorders>
              <w:tl2br w:val="nil"/>
              <w:tr2bl w:val="nil"/>
            </w:tcBorders>
            <w:vAlign w:val="center"/>
          </w:tcPr>
          <w:p w14:paraId="05F8624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0.06</w:t>
            </w:r>
          </w:p>
        </w:tc>
      </w:tr>
      <w:tr w14:paraId="2CFA822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897" w:type="dxa"/>
            <w:vMerge w:val="continue"/>
            <w:tcBorders>
              <w:tl2br w:val="nil"/>
              <w:tr2bl w:val="nil"/>
            </w:tcBorders>
            <w:vAlign w:val="center"/>
          </w:tcPr>
          <w:p w14:paraId="2234853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napToGrid w:val="0"/>
                <w:color w:val="000000"/>
                <w:sz w:val="21"/>
                <w:szCs w:val="21"/>
                <w:highlight w:val="none"/>
              </w:rPr>
            </w:pPr>
          </w:p>
        </w:tc>
        <w:tc>
          <w:tcPr>
            <w:tcW w:w="663" w:type="dxa"/>
            <w:tcBorders>
              <w:tl2br w:val="nil"/>
              <w:tr2bl w:val="nil"/>
            </w:tcBorders>
            <w:vAlign w:val="center"/>
          </w:tcPr>
          <w:p w14:paraId="3C646B4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z w:val="21"/>
                <w:szCs w:val="21"/>
                <w:highlight w:val="none"/>
              </w:rPr>
              <w:t>DA</w:t>
            </w:r>
            <w:r>
              <w:rPr>
                <w:rFonts w:hint="default" w:ascii="Times New Roman" w:hAnsi="Times New Roman" w:eastAsia="Times New Roman" w:cs="Times New Roman"/>
                <w:snapToGrid w:val="0"/>
                <w:color w:val="000000"/>
                <w:spacing w:val="8"/>
                <w:sz w:val="21"/>
                <w:szCs w:val="21"/>
                <w:highlight w:val="none"/>
              </w:rPr>
              <w:t>007</w:t>
            </w:r>
          </w:p>
        </w:tc>
        <w:tc>
          <w:tcPr>
            <w:tcW w:w="1021" w:type="dxa"/>
            <w:tcBorders>
              <w:tl2br w:val="nil"/>
              <w:tr2bl w:val="nil"/>
            </w:tcBorders>
            <w:vAlign w:val="center"/>
          </w:tcPr>
          <w:p w14:paraId="288F93D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19</w:t>
            </w:r>
          </w:p>
        </w:tc>
        <w:tc>
          <w:tcPr>
            <w:tcW w:w="1005" w:type="dxa"/>
            <w:tcBorders>
              <w:tl2br w:val="nil"/>
              <w:tr2bl w:val="nil"/>
            </w:tcBorders>
            <w:vAlign w:val="center"/>
          </w:tcPr>
          <w:p w14:paraId="40C1A58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0.100</w:t>
            </w:r>
          </w:p>
        </w:tc>
        <w:tc>
          <w:tcPr>
            <w:tcW w:w="1125" w:type="dxa"/>
            <w:tcBorders>
              <w:tl2br w:val="nil"/>
              <w:tr2bl w:val="nil"/>
            </w:tcBorders>
            <w:vAlign w:val="center"/>
          </w:tcPr>
          <w:p w14:paraId="33D71EF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1.95</w:t>
            </w:r>
          </w:p>
        </w:tc>
        <w:tc>
          <w:tcPr>
            <w:tcW w:w="1260" w:type="dxa"/>
            <w:tcBorders>
              <w:tl2br w:val="nil"/>
              <w:tr2bl w:val="nil"/>
            </w:tcBorders>
            <w:vAlign w:val="center"/>
          </w:tcPr>
          <w:p w14:paraId="08AC616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0.112</w:t>
            </w:r>
          </w:p>
        </w:tc>
        <w:tc>
          <w:tcPr>
            <w:tcW w:w="960" w:type="dxa"/>
            <w:tcBorders>
              <w:tl2br w:val="nil"/>
              <w:tr2bl w:val="nil"/>
            </w:tcBorders>
            <w:vAlign w:val="center"/>
          </w:tcPr>
          <w:p w14:paraId="120400F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11.08</w:t>
            </w:r>
          </w:p>
        </w:tc>
        <w:tc>
          <w:tcPr>
            <w:tcW w:w="1375" w:type="dxa"/>
            <w:tcBorders>
              <w:tl2br w:val="nil"/>
              <w:tr2bl w:val="nil"/>
            </w:tcBorders>
            <w:vAlign w:val="center"/>
          </w:tcPr>
          <w:p w14:paraId="61C2199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0.06</w:t>
            </w:r>
          </w:p>
        </w:tc>
      </w:tr>
      <w:tr w14:paraId="0269130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897" w:type="dxa"/>
            <w:vMerge w:val="restart"/>
            <w:tcBorders>
              <w:tl2br w:val="nil"/>
              <w:tr2bl w:val="nil"/>
            </w:tcBorders>
            <w:vAlign w:val="center"/>
          </w:tcPr>
          <w:p w14:paraId="6BD9F7E6">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pacing w:val="1"/>
                <w:sz w:val="21"/>
                <w:szCs w:val="21"/>
                <w:highlight w:val="none"/>
              </w:rPr>
              <w:t>1#</w:t>
            </w:r>
            <w:r>
              <w:rPr>
                <w:rFonts w:hint="default" w:ascii="Times New Roman" w:hAnsi="Times New Roman" w:cs="Times New Roman"/>
                <w:snapToGrid w:val="0"/>
                <w:color w:val="000000"/>
                <w:spacing w:val="1"/>
                <w:sz w:val="21"/>
                <w:szCs w:val="21"/>
                <w:highlight w:val="none"/>
              </w:rPr>
              <w:t>厂房</w:t>
            </w:r>
            <w:r>
              <w:rPr>
                <w:rFonts w:hint="default" w:ascii="Times New Roman" w:hAnsi="Times New Roman" w:cs="Times New Roman"/>
                <w:snapToGrid w:val="0"/>
                <w:color w:val="000000"/>
                <w:spacing w:val="8"/>
                <w:sz w:val="21"/>
                <w:szCs w:val="21"/>
                <w:highlight w:val="none"/>
              </w:rPr>
              <w:t>研发实验室</w:t>
            </w:r>
            <w:r>
              <w:rPr>
                <w:rFonts w:hint="default" w:ascii="Times New Roman" w:hAnsi="Times New Roman" w:cs="Times New Roman"/>
                <w:snapToGrid w:val="0"/>
                <w:color w:val="000000"/>
                <w:spacing w:val="5"/>
                <w:sz w:val="21"/>
                <w:szCs w:val="21"/>
                <w:highlight w:val="none"/>
              </w:rPr>
              <w:t>热试验</w:t>
            </w:r>
          </w:p>
        </w:tc>
        <w:tc>
          <w:tcPr>
            <w:tcW w:w="663" w:type="dxa"/>
            <w:tcBorders>
              <w:tl2br w:val="nil"/>
              <w:tr2bl w:val="nil"/>
            </w:tcBorders>
            <w:vAlign w:val="center"/>
          </w:tcPr>
          <w:p w14:paraId="2003DCC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z w:val="21"/>
                <w:szCs w:val="21"/>
                <w:highlight w:val="none"/>
              </w:rPr>
              <w:t>DA</w:t>
            </w:r>
            <w:r>
              <w:rPr>
                <w:rFonts w:hint="default" w:ascii="Times New Roman" w:hAnsi="Times New Roman" w:eastAsia="Times New Roman" w:cs="Times New Roman"/>
                <w:snapToGrid w:val="0"/>
                <w:color w:val="000000"/>
                <w:spacing w:val="8"/>
                <w:sz w:val="21"/>
                <w:szCs w:val="21"/>
                <w:highlight w:val="none"/>
              </w:rPr>
              <w:t>021</w:t>
            </w:r>
          </w:p>
        </w:tc>
        <w:tc>
          <w:tcPr>
            <w:tcW w:w="1021" w:type="dxa"/>
            <w:tcBorders>
              <w:tl2br w:val="nil"/>
              <w:tr2bl w:val="nil"/>
            </w:tcBorders>
            <w:vAlign w:val="center"/>
          </w:tcPr>
          <w:p w14:paraId="2CA3A7B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19</w:t>
            </w:r>
          </w:p>
        </w:tc>
        <w:tc>
          <w:tcPr>
            <w:tcW w:w="1005" w:type="dxa"/>
            <w:tcBorders>
              <w:tl2br w:val="nil"/>
              <w:tr2bl w:val="nil"/>
            </w:tcBorders>
            <w:vAlign w:val="center"/>
          </w:tcPr>
          <w:p w14:paraId="7ECA5B5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0.156</w:t>
            </w:r>
          </w:p>
        </w:tc>
        <w:tc>
          <w:tcPr>
            <w:tcW w:w="1125" w:type="dxa"/>
            <w:tcBorders>
              <w:tl2br w:val="nil"/>
              <w:tr2bl w:val="nil"/>
            </w:tcBorders>
            <w:shd w:val="clear" w:color="auto" w:fill="auto"/>
            <w:vAlign w:val="center"/>
          </w:tcPr>
          <w:p w14:paraId="3A303FE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napToGrid w:val="0"/>
                <w:color w:val="000000"/>
                <w:kern w:val="2"/>
                <w:sz w:val="21"/>
                <w:szCs w:val="21"/>
                <w:highlight w:val="none"/>
                <w:lang w:val="en-US" w:eastAsia="zh-CN" w:bidi="ar-SA"/>
              </w:rPr>
            </w:pPr>
            <w:r>
              <w:rPr>
                <w:rFonts w:hint="eastAsia" w:ascii="Times New Roman" w:hAnsi="Times New Roman" w:eastAsia="宋体" w:cs="Times New Roman"/>
                <w:snapToGrid w:val="0"/>
                <w:color w:val="000000"/>
                <w:sz w:val="21"/>
                <w:szCs w:val="21"/>
                <w:highlight w:val="none"/>
                <w:lang w:val="en-US" w:eastAsia="zh-CN"/>
              </w:rPr>
              <w:t>1.92</w:t>
            </w:r>
          </w:p>
        </w:tc>
        <w:tc>
          <w:tcPr>
            <w:tcW w:w="1260" w:type="dxa"/>
            <w:tcBorders>
              <w:tl2br w:val="nil"/>
              <w:tr2bl w:val="nil"/>
            </w:tcBorders>
            <w:shd w:val="clear" w:color="auto" w:fill="auto"/>
            <w:vAlign w:val="center"/>
          </w:tcPr>
          <w:p w14:paraId="60165DC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napToGrid w:val="0"/>
                <w:color w:val="000000"/>
                <w:kern w:val="2"/>
                <w:sz w:val="21"/>
                <w:szCs w:val="21"/>
                <w:highlight w:val="none"/>
                <w:lang w:val="en-US" w:eastAsia="zh-CN" w:bidi="ar-SA"/>
              </w:rPr>
            </w:pPr>
            <w:r>
              <w:rPr>
                <w:rFonts w:hint="eastAsia" w:ascii="Times New Roman" w:hAnsi="Times New Roman" w:eastAsia="宋体" w:cs="Times New Roman"/>
                <w:snapToGrid w:val="0"/>
                <w:color w:val="000000"/>
                <w:sz w:val="21"/>
                <w:szCs w:val="21"/>
                <w:highlight w:val="none"/>
                <w:lang w:val="en-US" w:eastAsia="zh-CN"/>
              </w:rPr>
              <w:t>0.016</w:t>
            </w:r>
          </w:p>
        </w:tc>
        <w:tc>
          <w:tcPr>
            <w:tcW w:w="960" w:type="dxa"/>
            <w:tcBorders>
              <w:tl2br w:val="nil"/>
              <w:tr2bl w:val="nil"/>
            </w:tcBorders>
            <w:vAlign w:val="center"/>
          </w:tcPr>
          <w:p w14:paraId="6509668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w:t>
            </w:r>
          </w:p>
        </w:tc>
        <w:tc>
          <w:tcPr>
            <w:tcW w:w="1375" w:type="dxa"/>
            <w:tcBorders>
              <w:tl2br w:val="nil"/>
              <w:tr2bl w:val="nil"/>
            </w:tcBorders>
            <w:vAlign w:val="center"/>
          </w:tcPr>
          <w:p w14:paraId="60EAC73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eastAsia" w:ascii="Times New Roman" w:hAnsi="Times New Roman" w:eastAsia="宋体" w:cs="Times New Roman"/>
                <w:snapToGrid w:val="0"/>
                <w:color w:val="000000"/>
                <w:sz w:val="21"/>
                <w:szCs w:val="21"/>
                <w:highlight w:val="none"/>
                <w:lang w:val="en-US" w:eastAsia="zh-CN"/>
              </w:rPr>
              <w:t>/</w:t>
            </w:r>
          </w:p>
        </w:tc>
      </w:tr>
      <w:tr w14:paraId="4187F6E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897" w:type="dxa"/>
            <w:vMerge w:val="continue"/>
            <w:tcBorders>
              <w:tl2br w:val="nil"/>
              <w:tr2bl w:val="nil"/>
            </w:tcBorders>
            <w:vAlign w:val="center"/>
          </w:tcPr>
          <w:p w14:paraId="12051AC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napToGrid w:val="0"/>
                <w:color w:val="000000"/>
                <w:sz w:val="21"/>
                <w:szCs w:val="21"/>
                <w:highlight w:val="none"/>
              </w:rPr>
            </w:pPr>
          </w:p>
        </w:tc>
        <w:tc>
          <w:tcPr>
            <w:tcW w:w="663" w:type="dxa"/>
            <w:tcBorders>
              <w:tl2br w:val="nil"/>
              <w:tr2bl w:val="nil"/>
            </w:tcBorders>
            <w:vAlign w:val="center"/>
          </w:tcPr>
          <w:p w14:paraId="261D9ED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z w:val="21"/>
                <w:szCs w:val="21"/>
                <w:highlight w:val="none"/>
              </w:rPr>
              <w:t>DA</w:t>
            </w:r>
            <w:r>
              <w:rPr>
                <w:rFonts w:hint="default" w:ascii="Times New Roman" w:hAnsi="Times New Roman" w:eastAsia="Times New Roman" w:cs="Times New Roman"/>
                <w:snapToGrid w:val="0"/>
                <w:color w:val="000000"/>
                <w:spacing w:val="8"/>
                <w:sz w:val="21"/>
                <w:szCs w:val="21"/>
                <w:highlight w:val="none"/>
              </w:rPr>
              <w:t>023</w:t>
            </w:r>
          </w:p>
        </w:tc>
        <w:tc>
          <w:tcPr>
            <w:tcW w:w="1021" w:type="dxa"/>
            <w:tcBorders>
              <w:tl2br w:val="nil"/>
              <w:tr2bl w:val="nil"/>
            </w:tcBorders>
            <w:vAlign w:val="center"/>
          </w:tcPr>
          <w:p w14:paraId="2F60F8F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19</w:t>
            </w:r>
          </w:p>
        </w:tc>
        <w:tc>
          <w:tcPr>
            <w:tcW w:w="1005" w:type="dxa"/>
            <w:tcBorders>
              <w:tl2br w:val="nil"/>
              <w:tr2bl w:val="nil"/>
            </w:tcBorders>
            <w:vAlign w:val="center"/>
          </w:tcPr>
          <w:p w14:paraId="3615A8A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0.097</w:t>
            </w:r>
          </w:p>
        </w:tc>
        <w:tc>
          <w:tcPr>
            <w:tcW w:w="1125" w:type="dxa"/>
            <w:tcBorders>
              <w:tl2br w:val="nil"/>
              <w:tr2bl w:val="nil"/>
            </w:tcBorders>
            <w:vAlign w:val="center"/>
          </w:tcPr>
          <w:p w14:paraId="08B9557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1.29</w:t>
            </w:r>
          </w:p>
        </w:tc>
        <w:tc>
          <w:tcPr>
            <w:tcW w:w="1260" w:type="dxa"/>
            <w:tcBorders>
              <w:tl2br w:val="nil"/>
              <w:tr2bl w:val="nil"/>
            </w:tcBorders>
            <w:vAlign w:val="center"/>
          </w:tcPr>
          <w:p w14:paraId="76BF836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0.007</w:t>
            </w:r>
          </w:p>
        </w:tc>
        <w:tc>
          <w:tcPr>
            <w:tcW w:w="960" w:type="dxa"/>
            <w:tcBorders>
              <w:tl2br w:val="nil"/>
              <w:tr2bl w:val="nil"/>
            </w:tcBorders>
            <w:vAlign w:val="center"/>
          </w:tcPr>
          <w:p w14:paraId="5EED802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eastAsia" w:ascii="Times New Roman" w:hAnsi="Times New Roman" w:eastAsia="宋体" w:cs="Times New Roman"/>
                <w:snapToGrid w:val="0"/>
                <w:color w:val="000000"/>
                <w:sz w:val="21"/>
                <w:szCs w:val="21"/>
                <w:highlight w:val="none"/>
                <w:lang w:val="en-US" w:eastAsia="zh-CN"/>
              </w:rPr>
              <w:t>/</w:t>
            </w:r>
          </w:p>
        </w:tc>
        <w:tc>
          <w:tcPr>
            <w:tcW w:w="1375" w:type="dxa"/>
            <w:tcBorders>
              <w:tl2br w:val="nil"/>
              <w:tr2bl w:val="nil"/>
            </w:tcBorders>
            <w:vAlign w:val="center"/>
          </w:tcPr>
          <w:p w14:paraId="62C47D1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eastAsia" w:ascii="Times New Roman" w:hAnsi="Times New Roman" w:eastAsia="宋体" w:cs="Times New Roman"/>
                <w:snapToGrid w:val="0"/>
                <w:color w:val="000000"/>
                <w:sz w:val="21"/>
                <w:szCs w:val="21"/>
                <w:highlight w:val="none"/>
                <w:lang w:val="en-US" w:eastAsia="zh-CN"/>
              </w:rPr>
              <w:t>/</w:t>
            </w:r>
          </w:p>
        </w:tc>
      </w:tr>
      <w:tr w14:paraId="49A5C4E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897" w:type="dxa"/>
            <w:vMerge w:val="continue"/>
            <w:tcBorders>
              <w:tl2br w:val="nil"/>
              <w:tr2bl w:val="nil"/>
            </w:tcBorders>
            <w:vAlign w:val="center"/>
          </w:tcPr>
          <w:p w14:paraId="7301B22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napToGrid w:val="0"/>
                <w:color w:val="000000"/>
                <w:sz w:val="21"/>
                <w:szCs w:val="21"/>
                <w:highlight w:val="none"/>
              </w:rPr>
            </w:pPr>
          </w:p>
        </w:tc>
        <w:tc>
          <w:tcPr>
            <w:tcW w:w="663" w:type="dxa"/>
            <w:tcBorders>
              <w:tl2br w:val="nil"/>
              <w:tr2bl w:val="nil"/>
            </w:tcBorders>
            <w:vAlign w:val="center"/>
          </w:tcPr>
          <w:p w14:paraId="06EB202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z w:val="21"/>
                <w:szCs w:val="21"/>
                <w:highlight w:val="none"/>
              </w:rPr>
              <w:t>DA</w:t>
            </w:r>
            <w:r>
              <w:rPr>
                <w:rFonts w:hint="default" w:ascii="Times New Roman" w:hAnsi="Times New Roman" w:eastAsia="Times New Roman" w:cs="Times New Roman"/>
                <w:snapToGrid w:val="0"/>
                <w:color w:val="000000"/>
                <w:spacing w:val="8"/>
                <w:sz w:val="21"/>
                <w:szCs w:val="21"/>
                <w:highlight w:val="none"/>
              </w:rPr>
              <w:t>025</w:t>
            </w:r>
          </w:p>
        </w:tc>
        <w:tc>
          <w:tcPr>
            <w:tcW w:w="1021" w:type="dxa"/>
            <w:tcBorders>
              <w:tl2br w:val="nil"/>
              <w:tr2bl w:val="nil"/>
            </w:tcBorders>
            <w:vAlign w:val="center"/>
          </w:tcPr>
          <w:p w14:paraId="120CDE4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19</w:t>
            </w:r>
          </w:p>
        </w:tc>
        <w:tc>
          <w:tcPr>
            <w:tcW w:w="1005" w:type="dxa"/>
            <w:tcBorders>
              <w:tl2br w:val="nil"/>
              <w:tr2bl w:val="nil"/>
            </w:tcBorders>
            <w:vAlign w:val="center"/>
          </w:tcPr>
          <w:p w14:paraId="4DEFF7D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0.150</w:t>
            </w:r>
          </w:p>
        </w:tc>
        <w:tc>
          <w:tcPr>
            <w:tcW w:w="1125" w:type="dxa"/>
            <w:tcBorders>
              <w:tl2br w:val="nil"/>
              <w:tr2bl w:val="nil"/>
            </w:tcBorders>
            <w:vAlign w:val="center"/>
          </w:tcPr>
          <w:p w14:paraId="68EB430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1.90</w:t>
            </w:r>
          </w:p>
        </w:tc>
        <w:tc>
          <w:tcPr>
            <w:tcW w:w="1260" w:type="dxa"/>
            <w:tcBorders>
              <w:tl2br w:val="nil"/>
              <w:tr2bl w:val="nil"/>
            </w:tcBorders>
            <w:vAlign w:val="center"/>
          </w:tcPr>
          <w:p w14:paraId="2D33236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0.0015</w:t>
            </w:r>
          </w:p>
        </w:tc>
        <w:tc>
          <w:tcPr>
            <w:tcW w:w="960" w:type="dxa"/>
            <w:tcBorders>
              <w:tl2br w:val="nil"/>
              <w:tr2bl w:val="nil"/>
            </w:tcBorders>
            <w:vAlign w:val="center"/>
          </w:tcPr>
          <w:p w14:paraId="675A28C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eastAsia" w:ascii="Times New Roman" w:hAnsi="Times New Roman" w:eastAsia="宋体" w:cs="Times New Roman"/>
                <w:snapToGrid w:val="0"/>
                <w:color w:val="000000"/>
                <w:sz w:val="21"/>
                <w:szCs w:val="21"/>
                <w:highlight w:val="none"/>
                <w:lang w:val="en-US" w:eastAsia="zh-CN"/>
              </w:rPr>
              <w:t>/</w:t>
            </w:r>
          </w:p>
        </w:tc>
        <w:tc>
          <w:tcPr>
            <w:tcW w:w="1375" w:type="dxa"/>
            <w:tcBorders>
              <w:tl2br w:val="nil"/>
              <w:tr2bl w:val="nil"/>
            </w:tcBorders>
            <w:vAlign w:val="center"/>
          </w:tcPr>
          <w:p w14:paraId="06D1484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eastAsia" w:ascii="Times New Roman" w:hAnsi="Times New Roman" w:eastAsia="宋体" w:cs="Times New Roman"/>
                <w:snapToGrid w:val="0"/>
                <w:color w:val="000000"/>
                <w:sz w:val="21"/>
                <w:szCs w:val="21"/>
                <w:highlight w:val="none"/>
                <w:lang w:val="en-US" w:eastAsia="zh-CN"/>
              </w:rPr>
              <w:t>/</w:t>
            </w:r>
          </w:p>
        </w:tc>
      </w:tr>
      <w:tr w14:paraId="50DC5F5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897" w:type="dxa"/>
            <w:vMerge w:val="continue"/>
            <w:tcBorders>
              <w:tl2br w:val="nil"/>
              <w:tr2bl w:val="nil"/>
            </w:tcBorders>
            <w:vAlign w:val="center"/>
          </w:tcPr>
          <w:p w14:paraId="4A3FBAF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napToGrid w:val="0"/>
                <w:color w:val="000000"/>
                <w:sz w:val="21"/>
                <w:szCs w:val="21"/>
                <w:highlight w:val="none"/>
              </w:rPr>
            </w:pPr>
          </w:p>
        </w:tc>
        <w:tc>
          <w:tcPr>
            <w:tcW w:w="663" w:type="dxa"/>
            <w:tcBorders>
              <w:tl2br w:val="nil"/>
              <w:tr2bl w:val="nil"/>
            </w:tcBorders>
            <w:vAlign w:val="center"/>
          </w:tcPr>
          <w:p w14:paraId="2C72B0B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z w:val="21"/>
                <w:szCs w:val="21"/>
                <w:highlight w:val="none"/>
              </w:rPr>
              <w:t>DA</w:t>
            </w:r>
            <w:r>
              <w:rPr>
                <w:rFonts w:hint="default" w:ascii="Times New Roman" w:hAnsi="Times New Roman" w:eastAsia="Times New Roman" w:cs="Times New Roman"/>
                <w:snapToGrid w:val="0"/>
                <w:color w:val="000000"/>
                <w:spacing w:val="8"/>
                <w:sz w:val="21"/>
                <w:szCs w:val="21"/>
                <w:highlight w:val="none"/>
              </w:rPr>
              <w:t>027</w:t>
            </w:r>
          </w:p>
        </w:tc>
        <w:tc>
          <w:tcPr>
            <w:tcW w:w="1021" w:type="dxa"/>
            <w:tcBorders>
              <w:tl2br w:val="nil"/>
              <w:tr2bl w:val="nil"/>
            </w:tcBorders>
            <w:vAlign w:val="center"/>
          </w:tcPr>
          <w:p w14:paraId="3FB2EE2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20</w:t>
            </w:r>
          </w:p>
        </w:tc>
        <w:tc>
          <w:tcPr>
            <w:tcW w:w="1005" w:type="dxa"/>
            <w:tcBorders>
              <w:tl2br w:val="nil"/>
              <w:tr2bl w:val="nil"/>
            </w:tcBorders>
            <w:vAlign w:val="center"/>
          </w:tcPr>
          <w:p w14:paraId="17A0883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0.155</w:t>
            </w:r>
          </w:p>
        </w:tc>
        <w:tc>
          <w:tcPr>
            <w:tcW w:w="1125" w:type="dxa"/>
            <w:tcBorders>
              <w:tl2br w:val="nil"/>
              <w:tr2bl w:val="nil"/>
            </w:tcBorders>
            <w:vAlign w:val="center"/>
          </w:tcPr>
          <w:p w14:paraId="4A2C375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1.90</w:t>
            </w:r>
          </w:p>
        </w:tc>
        <w:tc>
          <w:tcPr>
            <w:tcW w:w="1260" w:type="dxa"/>
            <w:tcBorders>
              <w:tl2br w:val="nil"/>
              <w:tr2bl w:val="nil"/>
            </w:tcBorders>
            <w:vAlign w:val="center"/>
          </w:tcPr>
          <w:p w14:paraId="284BFAA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0.015</w:t>
            </w:r>
          </w:p>
        </w:tc>
        <w:tc>
          <w:tcPr>
            <w:tcW w:w="960" w:type="dxa"/>
            <w:tcBorders>
              <w:tl2br w:val="nil"/>
              <w:tr2bl w:val="nil"/>
            </w:tcBorders>
            <w:vAlign w:val="center"/>
          </w:tcPr>
          <w:p w14:paraId="03C550F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eastAsia" w:ascii="Times New Roman" w:hAnsi="Times New Roman" w:eastAsia="宋体" w:cs="Times New Roman"/>
                <w:snapToGrid w:val="0"/>
                <w:color w:val="000000"/>
                <w:sz w:val="21"/>
                <w:szCs w:val="21"/>
                <w:highlight w:val="none"/>
                <w:lang w:val="en-US" w:eastAsia="zh-CN"/>
              </w:rPr>
              <w:t>/</w:t>
            </w:r>
          </w:p>
        </w:tc>
        <w:tc>
          <w:tcPr>
            <w:tcW w:w="1375" w:type="dxa"/>
            <w:tcBorders>
              <w:tl2br w:val="nil"/>
              <w:tr2bl w:val="nil"/>
            </w:tcBorders>
            <w:vAlign w:val="center"/>
          </w:tcPr>
          <w:p w14:paraId="1974C15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eastAsia" w:ascii="Times New Roman" w:hAnsi="Times New Roman" w:eastAsia="宋体" w:cs="Times New Roman"/>
                <w:snapToGrid w:val="0"/>
                <w:color w:val="000000"/>
                <w:sz w:val="21"/>
                <w:szCs w:val="21"/>
                <w:highlight w:val="none"/>
                <w:lang w:val="en-US" w:eastAsia="zh-CN"/>
              </w:rPr>
              <w:t>/</w:t>
            </w:r>
          </w:p>
        </w:tc>
      </w:tr>
      <w:tr w14:paraId="47636A7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897" w:type="dxa"/>
            <w:vMerge w:val="continue"/>
            <w:tcBorders>
              <w:tl2br w:val="nil"/>
              <w:tr2bl w:val="nil"/>
            </w:tcBorders>
            <w:vAlign w:val="center"/>
          </w:tcPr>
          <w:p w14:paraId="4E2CB18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napToGrid w:val="0"/>
                <w:color w:val="000000"/>
                <w:sz w:val="21"/>
                <w:szCs w:val="21"/>
                <w:highlight w:val="none"/>
              </w:rPr>
            </w:pPr>
          </w:p>
        </w:tc>
        <w:tc>
          <w:tcPr>
            <w:tcW w:w="663" w:type="dxa"/>
            <w:tcBorders>
              <w:tl2br w:val="nil"/>
              <w:tr2bl w:val="nil"/>
            </w:tcBorders>
            <w:vAlign w:val="center"/>
          </w:tcPr>
          <w:p w14:paraId="28C4769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z w:val="21"/>
                <w:szCs w:val="21"/>
                <w:highlight w:val="none"/>
              </w:rPr>
              <w:t>DA</w:t>
            </w:r>
            <w:r>
              <w:rPr>
                <w:rFonts w:hint="default" w:ascii="Times New Roman" w:hAnsi="Times New Roman" w:eastAsia="Times New Roman" w:cs="Times New Roman"/>
                <w:snapToGrid w:val="0"/>
                <w:color w:val="000000"/>
                <w:spacing w:val="8"/>
                <w:sz w:val="21"/>
                <w:szCs w:val="21"/>
                <w:highlight w:val="none"/>
              </w:rPr>
              <w:t>031</w:t>
            </w:r>
          </w:p>
        </w:tc>
        <w:tc>
          <w:tcPr>
            <w:tcW w:w="1021" w:type="dxa"/>
            <w:tcBorders>
              <w:tl2br w:val="nil"/>
              <w:tr2bl w:val="nil"/>
            </w:tcBorders>
            <w:vAlign w:val="center"/>
          </w:tcPr>
          <w:p w14:paraId="65044D7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18</w:t>
            </w:r>
          </w:p>
        </w:tc>
        <w:tc>
          <w:tcPr>
            <w:tcW w:w="1005" w:type="dxa"/>
            <w:tcBorders>
              <w:tl2br w:val="nil"/>
              <w:tr2bl w:val="nil"/>
            </w:tcBorders>
            <w:vAlign w:val="center"/>
          </w:tcPr>
          <w:p w14:paraId="39B6F54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0.106</w:t>
            </w:r>
          </w:p>
        </w:tc>
        <w:tc>
          <w:tcPr>
            <w:tcW w:w="1125" w:type="dxa"/>
            <w:tcBorders>
              <w:tl2br w:val="nil"/>
              <w:tr2bl w:val="nil"/>
            </w:tcBorders>
            <w:vAlign w:val="center"/>
          </w:tcPr>
          <w:p w14:paraId="4C8D652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1.72</w:t>
            </w:r>
          </w:p>
        </w:tc>
        <w:tc>
          <w:tcPr>
            <w:tcW w:w="1260" w:type="dxa"/>
            <w:tcBorders>
              <w:tl2br w:val="nil"/>
              <w:tr2bl w:val="nil"/>
            </w:tcBorders>
            <w:vAlign w:val="center"/>
          </w:tcPr>
          <w:p w14:paraId="4FAD403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0.011</w:t>
            </w:r>
          </w:p>
        </w:tc>
        <w:tc>
          <w:tcPr>
            <w:tcW w:w="960" w:type="dxa"/>
            <w:tcBorders>
              <w:tl2br w:val="nil"/>
              <w:tr2bl w:val="nil"/>
            </w:tcBorders>
            <w:vAlign w:val="center"/>
          </w:tcPr>
          <w:p w14:paraId="2C13A88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eastAsia" w:ascii="Times New Roman" w:hAnsi="Times New Roman" w:eastAsia="宋体" w:cs="Times New Roman"/>
                <w:snapToGrid w:val="0"/>
                <w:color w:val="000000"/>
                <w:sz w:val="21"/>
                <w:szCs w:val="21"/>
                <w:highlight w:val="none"/>
                <w:lang w:val="en-US" w:eastAsia="zh-CN"/>
              </w:rPr>
              <w:t>/</w:t>
            </w:r>
          </w:p>
        </w:tc>
        <w:tc>
          <w:tcPr>
            <w:tcW w:w="1375" w:type="dxa"/>
            <w:tcBorders>
              <w:tl2br w:val="nil"/>
              <w:tr2bl w:val="nil"/>
            </w:tcBorders>
            <w:vAlign w:val="center"/>
          </w:tcPr>
          <w:p w14:paraId="3454509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eastAsia" w:ascii="Times New Roman" w:hAnsi="Times New Roman" w:eastAsia="宋体" w:cs="Times New Roman"/>
                <w:snapToGrid w:val="0"/>
                <w:color w:val="000000"/>
                <w:sz w:val="21"/>
                <w:szCs w:val="21"/>
                <w:highlight w:val="none"/>
                <w:lang w:val="en-US" w:eastAsia="zh-CN"/>
              </w:rPr>
              <w:t>/</w:t>
            </w:r>
          </w:p>
        </w:tc>
      </w:tr>
      <w:tr w14:paraId="5D632E3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897" w:type="dxa"/>
            <w:tcBorders>
              <w:tl2br w:val="nil"/>
              <w:tr2bl w:val="nil"/>
            </w:tcBorders>
            <w:vAlign w:val="center"/>
          </w:tcPr>
          <w:p w14:paraId="5CCE4ED1">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pacing w:val="6"/>
                <w:sz w:val="21"/>
                <w:szCs w:val="21"/>
                <w:highlight w:val="none"/>
              </w:rPr>
              <w:t>2#</w:t>
            </w:r>
            <w:r>
              <w:rPr>
                <w:rFonts w:hint="default" w:ascii="Times New Roman" w:hAnsi="Times New Roman" w:cs="Times New Roman"/>
                <w:snapToGrid w:val="0"/>
                <w:color w:val="000000"/>
                <w:spacing w:val="6"/>
                <w:sz w:val="21"/>
                <w:szCs w:val="21"/>
                <w:highlight w:val="none"/>
              </w:rPr>
              <w:t>厂房</w:t>
            </w:r>
            <w:r>
              <w:rPr>
                <w:rFonts w:hint="default" w:ascii="Times New Roman" w:hAnsi="Times New Roman" w:eastAsia="Times New Roman" w:cs="Times New Roman"/>
                <w:snapToGrid w:val="0"/>
                <w:color w:val="000000"/>
                <w:spacing w:val="6"/>
                <w:sz w:val="21"/>
                <w:szCs w:val="21"/>
                <w:highlight w:val="none"/>
              </w:rPr>
              <w:t>D</w:t>
            </w:r>
            <w:r>
              <w:rPr>
                <w:rFonts w:hint="default" w:ascii="Times New Roman" w:hAnsi="Times New Roman" w:cs="Times New Roman"/>
                <w:snapToGrid w:val="0"/>
                <w:color w:val="000000"/>
                <w:spacing w:val="6"/>
                <w:sz w:val="21"/>
                <w:szCs w:val="21"/>
                <w:highlight w:val="none"/>
              </w:rPr>
              <w:t>系列热试验</w:t>
            </w:r>
          </w:p>
        </w:tc>
        <w:tc>
          <w:tcPr>
            <w:tcW w:w="663" w:type="dxa"/>
            <w:tcBorders>
              <w:tl2br w:val="nil"/>
              <w:tr2bl w:val="nil"/>
            </w:tcBorders>
            <w:vAlign w:val="center"/>
          </w:tcPr>
          <w:p w14:paraId="2D6A613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z w:val="21"/>
                <w:szCs w:val="21"/>
                <w:highlight w:val="none"/>
              </w:rPr>
              <w:t>DA</w:t>
            </w:r>
            <w:r>
              <w:rPr>
                <w:rFonts w:hint="default" w:ascii="Times New Roman" w:hAnsi="Times New Roman" w:eastAsia="Times New Roman" w:cs="Times New Roman"/>
                <w:snapToGrid w:val="0"/>
                <w:color w:val="000000"/>
                <w:spacing w:val="8"/>
                <w:sz w:val="21"/>
                <w:szCs w:val="21"/>
                <w:highlight w:val="none"/>
              </w:rPr>
              <w:t>009</w:t>
            </w:r>
          </w:p>
        </w:tc>
        <w:tc>
          <w:tcPr>
            <w:tcW w:w="1021" w:type="dxa"/>
            <w:tcBorders>
              <w:tl2br w:val="nil"/>
              <w:tr2bl w:val="nil"/>
            </w:tcBorders>
            <w:vAlign w:val="center"/>
          </w:tcPr>
          <w:p w14:paraId="0BA563C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19</w:t>
            </w:r>
          </w:p>
        </w:tc>
        <w:tc>
          <w:tcPr>
            <w:tcW w:w="1005" w:type="dxa"/>
            <w:tcBorders>
              <w:tl2br w:val="nil"/>
              <w:tr2bl w:val="nil"/>
            </w:tcBorders>
            <w:vAlign w:val="center"/>
          </w:tcPr>
          <w:p w14:paraId="3D1D30A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0.107</w:t>
            </w:r>
          </w:p>
        </w:tc>
        <w:tc>
          <w:tcPr>
            <w:tcW w:w="1125" w:type="dxa"/>
            <w:tcBorders>
              <w:tl2br w:val="nil"/>
              <w:tr2bl w:val="nil"/>
            </w:tcBorders>
            <w:vAlign w:val="center"/>
          </w:tcPr>
          <w:p w14:paraId="748B44B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1.72</w:t>
            </w:r>
          </w:p>
        </w:tc>
        <w:tc>
          <w:tcPr>
            <w:tcW w:w="1260" w:type="dxa"/>
            <w:tcBorders>
              <w:tl2br w:val="nil"/>
              <w:tr2bl w:val="nil"/>
            </w:tcBorders>
            <w:vAlign w:val="center"/>
          </w:tcPr>
          <w:p w14:paraId="0AF91BB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0.010</w:t>
            </w:r>
          </w:p>
        </w:tc>
        <w:tc>
          <w:tcPr>
            <w:tcW w:w="960" w:type="dxa"/>
            <w:tcBorders>
              <w:tl2br w:val="nil"/>
              <w:tr2bl w:val="nil"/>
            </w:tcBorders>
            <w:vAlign w:val="center"/>
          </w:tcPr>
          <w:p w14:paraId="5F50F6A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eastAsia" w:ascii="Times New Roman" w:hAnsi="Times New Roman" w:eastAsia="宋体" w:cs="Times New Roman"/>
                <w:snapToGrid w:val="0"/>
                <w:color w:val="000000"/>
                <w:sz w:val="21"/>
                <w:szCs w:val="21"/>
                <w:highlight w:val="none"/>
                <w:lang w:val="en-US" w:eastAsia="zh-CN"/>
              </w:rPr>
              <w:t>/</w:t>
            </w:r>
          </w:p>
        </w:tc>
        <w:tc>
          <w:tcPr>
            <w:tcW w:w="1375" w:type="dxa"/>
            <w:tcBorders>
              <w:tl2br w:val="nil"/>
              <w:tr2bl w:val="nil"/>
            </w:tcBorders>
            <w:vAlign w:val="center"/>
          </w:tcPr>
          <w:p w14:paraId="1A20B88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eastAsia" w:ascii="Times New Roman" w:hAnsi="Times New Roman" w:eastAsia="宋体" w:cs="Times New Roman"/>
                <w:snapToGrid w:val="0"/>
                <w:color w:val="000000"/>
                <w:sz w:val="21"/>
                <w:szCs w:val="21"/>
                <w:highlight w:val="none"/>
                <w:lang w:val="en-US" w:eastAsia="zh-CN"/>
              </w:rPr>
              <w:t>/</w:t>
            </w:r>
          </w:p>
        </w:tc>
      </w:tr>
      <w:tr w14:paraId="605DD6F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897" w:type="dxa"/>
            <w:vMerge w:val="restart"/>
            <w:tcBorders>
              <w:tl2br w:val="nil"/>
              <w:tr2bl w:val="nil"/>
            </w:tcBorders>
            <w:vAlign w:val="center"/>
          </w:tcPr>
          <w:p w14:paraId="2FB46702">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pacing w:val="6"/>
                <w:sz w:val="21"/>
                <w:szCs w:val="21"/>
                <w:highlight w:val="none"/>
              </w:rPr>
              <w:t>2#</w:t>
            </w:r>
            <w:r>
              <w:rPr>
                <w:rFonts w:hint="default" w:ascii="Times New Roman" w:hAnsi="Times New Roman" w:cs="Times New Roman"/>
                <w:snapToGrid w:val="0"/>
                <w:color w:val="000000"/>
                <w:spacing w:val="6"/>
                <w:sz w:val="21"/>
                <w:szCs w:val="21"/>
                <w:highlight w:val="none"/>
              </w:rPr>
              <w:t>厂房</w:t>
            </w:r>
            <w:r>
              <w:rPr>
                <w:rFonts w:hint="default" w:ascii="Times New Roman" w:hAnsi="Times New Roman" w:eastAsia="Times New Roman" w:cs="Times New Roman"/>
                <w:snapToGrid w:val="0"/>
                <w:color w:val="000000"/>
                <w:spacing w:val="4"/>
                <w:sz w:val="21"/>
                <w:szCs w:val="21"/>
                <w:highlight w:val="none"/>
              </w:rPr>
              <w:t>4G9</w:t>
            </w:r>
            <w:r>
              <w:rPr>
                <w:rFonts w:hint="default" w:ascii="Times New Roman" w:hAnsi="Times New Roman" w:cs="Times New Roman"/>
                <w:snapToGrid w:val="0"/>
                <w:color w:val="000000"/>
                <w:spacing w:val="4"/>
                <w:sz w:val="21"/>
                <w:szCs w:val="21"/>
                <w:highlight w:val="none"/>
              </w:rPr>
              <w:t>热试验</w:t>
            </w:r>
          </w:p>
        </w:tc>
        <w:tc>
          <w:tcPr>
            <w:tcW w:w="663" w:type="dxa"/>
            <w:tcBorders>
              <w:tl2br w:val="nil"/>
              <w:tr2bl w:val="nil"/>
            </w:tcBorders>
            <w:vAlign w:val="center"/>
          </w:tcPr>
          <w:p w14:paraId="038714E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z w:val="21"/>
                <w:szCs w:val="21"/>
                <w:highlight w:val="none"/>
              </w:rPr>
              <w:t>DA</w:t>
            </w:r>
            <w:r>
              <w:rPr>
                <w:rFonts w:hint="default" w:ascii="Times New Roman" w:hAnsi="Times New Roman" w:eastAsia="Times New Roman" w:cs="Times New Roman"/>
                <w:snapToGrid w:val="0"/>
                <w:color w:val="000000"/>
                <w:spacing w:val="8"/>
                <w:sz w:val="21"/>
                <w:szCs w:val="21"/>
                <w:highlight w:val="none"/>
              </w:rPr>
              <w:t>047</w:t>
            </w:r>
          </w:p>
        </w:tc>
        <w:tc>
          <w:tcPr>
            <w:tcW w:w="1021" w:type="dxa"/>
            <w:tcBorders>
              <w:tl2br w:val="nil"/>
              <w:tr2bl w:val="nil"/>
            </w:tcBorders>
            <w:vAlign w:val="center"/>
          </w:tcPr>
          <w:p w14:paraId="493459D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17</w:t>
            </w:r>
          </w:p>
        </w:tc>
        <w:tc>
          <w:tcPr>
            <w:tcW w:w="1005" w:type="dxa"/>
            <w:tcBorders>
              <w:tl2br w:val="nil"/>
              <w:tr2bl w:val="nil"/>
            </w:tcBorders>
            <w:vAlign w:val="center"/>
          </w:tcPr>
          <w:p w14:paraId="4A1CED3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0.102</w:t>
            </w:r>
          </w:p>
        </w:tc>
        <w:tc>
          <w:tcPr>
            <w:tcW w:w="1125" w:type="dxa"/>
            <w:tcBorders>
              <w:tl2br w:val="nil"/>
              <w:tr2bl w:val="nil"/>
            </w:tcBorders>
            <w:vAlign w:val="center"/>
          </w:tcPr>
          <w:p w14:paraId="353F723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1.39</w:t>
            </w:r>
          </w:p>
        </w:tc>
        <w:tc>
          <w:tcPr>
            <w:tcW w:w="1260" w:type="dxa"/>
            <w:tcBorders>
              <w:tl2br w:val="nil"/>
              <w:tr2bl w:val="nil"/>
            </w:tcBorders>
            <w:vAlign w:val="center"/>
          </w:tcPr>
          <w:p w14:paraId="4CE7F01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0.008</w:t>
            </w:r>
          </w:p>
        </w:tc>
        <w:tc>
          <w:tcPr>
            <w:tcW w:w="960" w:type="dxa"/>
            <w:tcBorders>
              <w:tl2br w:val="nil"/>
              <w:tr2bl w:val="nil"/>
            </w:tcBorders>
            <w:vAlign w:val="center"/>
          </w:tcPr>
          <w:p w14:paraId="1EADA90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eastAsia" w:ascii="Times New Roman" w:hAnsi="Times New Roman" w:eastAsia="宋体" w:cs="Times New Roman"/>
                <w:snapToGrid w:val="0"/>
                <w:color w:val="000000"/>
                <w:sz w:val="21"/>
                <w:szCs w:val="21"/>
                <w:highlight w:val="none"/>
                <w:lang w:val="en-US" w:eastAsia="zh-CN"/>
              </w:rPr>
              <w:t>/</w:t>
            </w:r>
          </w:p>
        </w:tc>
        <w:tc>
          <w:tcPr>
            <w:tcW w:w="1375" w:type="dxa"/>
            <w:tcBorders>
              <w:tl2br w:val="nil"/>
              <w:tr2bl w:val="nil"/>
            </w:tcBorders>
            <w:vAlign w:val="center"/>
          </w:tcPr>
          <w:p w14:paraId="709E30F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eastAsia" w:ascii="Times New Roman" w:hAnsi="Times New Roman" w:eastAsia="宋体" w:cs="Times New Roman"/>
                <w:snapToGrid w:val="0"/>
                <w:color w:val="000000"/>
                <w:sz w:val="21"/>
                <w:szCs w:val="21"/>
                <w:highlight w:val="none"/>
                <w:lang w:val="en-US" w:eastAsia="zh-CN"/>
              </w:rPr>
              <w:t>/</w:t>
            </w:r>
          </w:p>
        </w:tc>
      </w:tr>
      <w:tr w14:paraId="4235AF4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897" w:type="dxa"/>
            <w:vMerge w:val="continue"/>
            <w:tcBorders>
              <w:tl2br w:val="nil"/>
              <w:tr2bl w:val="nil"/>
            </w:tcBorders>
            <w:vAlign w:val="center"/>
          </w:tcPr>
          <w:p w14:paraId="4016E76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napToGrid w:val="0"/>
                <w:color w:val="000000"/>
                <w:sz w:val="21"/>
                <w:szCs w:val="21"/>
                <w:highlight w:val="none"/>
              </w:rPr>
            </w:pPr>
          </w:p>
        </w:tc>
        <w:tc>
          <w:tcPr>
            <w:tcW w:w="663" w:type="dxa"/>
            <w:tcBorders>
              <w:tl2br w:val="nil"/>
              <w:tr2bl w:val="nil"/>
            </w:tcBorders>
            <w:vAlign w:val="center"/>
          </w:tcPr>
          <w:p w14:paraId="656523D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z w:val="21"/>
                <w:szCs w:val="21"/>
                <w:highlight w:val="none"/>
              </w:rPr>
              <w:t>DA</w:t>
            </w:r>
            <w:r>
              <w:rPr>
                <w:rFonts w:hint="default" w:ascii="Times New Roman" w:hAnsi="Times New Roman" w:eastAsia="Times New Roman" w:cs="Times New Roman"/>
                <w:snapToGrid w:val="0"/>
                <w:color w:val="000000"/>
                <w:spacing w:val="8"/>
                <w:sz w:val="21"/>
                <w:szCs w:val="21"/>
                <w:highlight w:val="none"/>
              </w:rPr>
              <w:t>049</w:t>
            </w:r>
          </w:p>
        </w:tc>
        <w:tc>
          <w:tcPr>
            <w:tcW w:w="1021" w:type="dxa"/>
            <w:tcBorders>
              <w:tl2br w:val="nil"/>
              <w:tr2bl w:val="nil"/>
            </w:tcBorders>
            <w:vAlign w:val="center"/>
          </w:tcPr>
          <w:p w14:paraId="411D126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18</w:t>
            </w:r>
          </w:p>
        </w:tc>
        <w:tc>
          <w:tcPr>
            <w:tcW w:w="1005" w:type="dxa"/>
            <w:tcBorders>
              <w:tl2br w:val="nil"/>
              <w:tr2bl w:val="nil"/>
            </w:tcBorders>
            <w:vAlign w:val="center"/>
          </w:tcPr>
          <w:p w14:paraId="790AA5A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0.104</w:t>
            </w:r>
          </w:p>
        </w:tc>
        <w:tc>
          <w:tcPr>
            <w:tcW w:w="1125" w:type="dxa"/>
            <w:tcBorders>
              <w:tl2br w:val="nil"/>
              <w:tr2bl w:val="nil"/>
            </w:tcBorders>
            <w:vAlign w:val="center"/>
          </w:tcPr>
          <w:p w14:paraId="4FC2470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1.86</w:t>
            </w:r>
          </w:p>
        </w:tc>
        <w:tc>
          <w:tcPr>
            <w:tcW w:w="1260" w:type="dxa"/>
            <w:tcBorders>
              <w:tl2br w:val="nil"/>
              <w:tr2bl w:val="nil"/>
            </w:tcBorders>
            <w:vAlign w:val="center"/>
          </w:tcPr>
          <w:p w14:paraId="58D3D06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0.010</w:t>
            </w:r>
          </w:p>
        </w:tc>
        <w:tc>
          <w:tcPr>
            <w:tcW w:w="960" w:type="dxa"/>
            <w:tcBorders>
              <w:tl2br w:val="nil"/>
              <w:tr2bl w:val="nil"/>
            </w:tcBorders>
            <w:vAlign w:val="center"/>
          </w:tcPr>
          <w:p w14:paraId="3595166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eastAsia" w:ascii="Times New Roman" w:hAnsi="Times New Roman" w:eastAsia="宋体" w:cs="Times New Roman"/>
                <w:snapToGrid w:val="0"/>
                <w:color w:val="000000"/>
                <w:sz w:val="21"/>
                <w:szCs w:val="21"/>
                <w:highlight w:val="none"/>
                <w:lang w:val="en-US" w:eastAsia="zh-CN"/>
              </w:rPr>
              <w:t>/</w:t>
            </w:r>
          </w:p>
        </w:tc>
        <w:tc>
          <w:tcPr>
            <w:tcW w:w="1375" w:type="dxa"/>
            <w:tcBorders>
              <w:tl2br w:val="nil"/>
              <w:tr2bl w:val="nil"/>
            </w:tcBorders>
            <w:vAlign w:val="center"/>
          </w:tcPr>
          <w:p w14:paraId="3FB64F8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eastAsia" w:ascii="Times New Roman" w:hAnsi="Times New Roman" w:eastAsia="宋体" w:cs="Times New Roman"/>
                <w:snapToGrid w:val="0"/>
                <w:color w:val="000000"/>
                <w:sz w:val="21"/>
                <w:szCs w:val="21"/>
                <w:highlight w:val="none"/>
                <w:lang w:val="en-US" w:eastAsia="zh-CN"/>
              </w:rPr>
              <w:t>/</w:t>
            </w:r>
          </w:p>
        </w:tc>
      </w:tr>
      <w:tr w14:paraId="63DF8CD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897" w:type="dxa"/>
            <w:tcBorders>
              <w:tl2br w:val="nil"/>
              <w:tr2bl w:val="nil"/>
            </w:tcBorders>
            <w:vAlign w:val="center"/>
          </w:tcPr>
          <w:p w14:paraId="5FF39C8B">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pacing w:val="6"/>
                <w:sz w:val="21"/>
                <w:szCs w:val="21"/>
                <w:highlight w:val="none"/>
              </w:rPr>
              <w:t>4#</w:t>
            </w:r>
            <w:r>
              <w:rPr>
                <w:rFonts w:hint="default" w:ascii="Times New Roman" w:hAnsi="Times New Roman" w:cs="Times New Roman"/>
                <w:snapToGrid w:val="0"/>
                <w:color w:val="000000"/>
                <w:spacing w:val="6"/>
                <w:sz w:val="21"/>
                <w:szCs w:val="21"/>
                <w:highlight w:val="none"/>
              </w:rPr>
              <w:t>厂房</w:t>
            </w:r>
            <w:r>
              <w:rPr>
                <w:rFonts w:hint="default" w:ascii="Times New Roman" w:hAnsi="Times New Roman" w:eastAsia="Times New Roman" w:cs="Times New Roman"/>
                <w:snapToGrid w:val="0"/>
                <w:color w:val="000000"/>
                <w:spacing w:val="11"/>
                <w:sz w:val="21"/>
                <w:szCs w:val="21"/>
                <w:highlight w:val="none"/>
              </w:rPr>
              <w:t>D20</w:t>
            </w:r>
            <w:r>
              <w:rPr>
                <w:rFonts w:hint="default" w:ascii="Times New Roman" w:hAnsi="Times New Roman" w:eastAsia="Times New Roman" w:cs="Times New Roman"/>
                <w:snapToGrid w:val="0"/>
                <w:color w:val="000000"/>
                <w:sz w:val="21"/>
                <w:szCs w:val="21"/>
                <w:highlight w:val="none"/>
              </w:rPr>
              <w:t>TGDI</w:t>
            </w:r>
            <w:r>
              <w:rPr>
                <w:rFonts w:hint="default" w:ascii="Times New Roman" w:hAnsi="Times New Roman" w:cs="Times New Roman"/>
                <w:snapToGrid w:val="0"/>
                <w:color w:val="000000"/>
                <w:spacing w:val="5"/>
                <w:sz w:val="21"/>
                <w:szCs w:val="21"/>
                <w:highlight w:val="none"/>
              </w:rPr>
              <w:t>热试验</w:t>
            </w:r>
          </w:p>
        </w:tc>
        <w:tc>
          <w:tcPr>
            <w:tcW w:w="663" w:type="dxa"/>
            <w:tcBorders>
              <w:tl2br w:val="nil"/>
              <w:tr2bl w:val="nil"/>
            </w:tcBorders>
            <w:vAlign w:val="center"/>
          </w:tcPr>
          <w:p w14:paraId="50064A2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napToGrid w:val="0"/>
                <w:color w:val="000000"/>
                <w:sz w:val="21"/>
                <w:szCs w:val="21"/>
                <w:highlight w:val="none"/>
              </w:rPr>
            </w:pPr>
          </w:p>
          <w:p w14:paraId="44E835C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z w:val="21"/>
                <w:szCs w:val="21"/>
                <w:highlight w:val="none"/>
              </w:rPr>
              <w:t>DA</w:t>
            </w:r>
            <w:r>
              <w:rPr>
                <w:rFonts w:hint="default" w:ascii="Times New Roman" w:hAnsi="Times New Roman" w:eastAsia="Times New Roman" w:cs="Times New Roman"/>
                <w:snapToGrid w:val="0"/>
                <w:color w:val="000000"/>
                <w:spacing w:val="8"/>
                <w:sz w:val="21"/>
                <w:szCs w:val="21"/>
                <w:highlight w:val="none"/>
              </w:rPr>
              <w:t>057</w:t>
            </w:r>
          </w:p>
        </w:tc>
        <w:tc>
          <w:tcPr>
            <w:tcW w:w="1021" w:type="dxa"/>
            <w:tcBorders>
              <w:tl2br w:val="nil"/>
              <w:tr2bl w:val="nil"/>
            </w:tcBorders>
            <w:vAlign w:val="center"/>
          </w:tcPr>
          <w:p w14:paraId="49500AC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21</w:t>
            </w:r>
          </w:p>
        </w:tc>
        <w:tc>
          <w:tcPr>
            <w:tcW w:w="1005" w:type="dxa"/>
            <w:tcBorders>
              <w:tl2br w:val="nil"/>
              <w:tr2bl w:val="nil"/>
            </w:tcBorders>
            <w:vAlign w:val="center"/>
          </w:tcPr>
          <w:p w14:paraId="678ED34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0.141</w:t>
            </w:r>
          </w:p>
        </w:tc>
        <w:tc>
          <w:tcPr>
            <w:tcW w:w="1125" w:type="dxa"/>
            <w:tcBorders>
              <w:tl2br w:val="nil"/>
              <w:tr2bl w:val="nil"/>
            </w:tcBorders>
            <w:vAlign w:val="center"/>
          </w:tcPr>
          <w:p w14:paraId="5318EE4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1.45</w:t>
            </w:r>
          </w:p>
        </w:tc>
        <w:tc>
          <w:tcPr>
            <w:tcW w:w="1260" w:type="dxa"/>
            <w:tcBorders>
              <w:tl2br w:val="nil"/>
              <w:tr2bl w:val="nil"/>
            </w:tcBorders>
            <w:vAlign w:val="center"/>
          </w:tcPr>
          <w:p w14:paraId="4E72A12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0.010</w:t>
            </w:r>
          </w:p>
        </w:tc>
        <w:tc>
          <w:tcPr>
            <w:tcW w:w="960" w:type="dxa"/>
            <w:tcBorders>
              <w:tl2br w:val="nil"/>
              <w:tr2bl w:val="nil"/>
            </w:tcBorders>
            <w:vAlign w:val="center"/>
          </w:tcPr>
          <w:p w14:paraId="6899EF2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eastAsia" w:ascii="Times New Roman" w:hAnsi="Times New Roman" w:eastAsia="宋体" w:cs="Times New Roman"/>
                <w:snapToGrid w:val="0"/>
                <w:color w:val="000000"/>
                <w:sz w:val="21"/>
                <w:szCs w:val="21"/>
                <w:highlight w:val="none"/>
                <w:lang w:val="en-US" w:eastAsia="zh-CN"/>
              </w:rPr>
              <w:t>/</w:t>
            </w:r>
          </w:p>
        </w:tc>
        <w:tc>
          <w:tcPr>
            <w:tcW w:w="1375" w:type="dxa"/>
            <w:tcBorders>
              <w:tl2br w:val="nil"/>
              <w:tr2bl w:val="nil"/>
            </w:tcBorders>
            <w:vAlign w:val="center"/>
          </w:tcPr>
          <w:p w14:paraId="6CA695B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eastAsia" w:ascii="Times New Roman" w:hAnsi="Times New Roman" w:eastAsia="宋体" w:cs="Times New Roman"/>
                <w:snapToGrid w:val="0"/>
                <w:color w:val="000000"/>
                <w:sz w:val="21"/>
                <w:szCs w:val="21"/>
                <w:highlight w:val="none"/>
                <w:lang w:val="en-US" w:eastAsia="zh-CN"/>
              </w:rPr>
              <w:t>/</w:t>
            </w:r>
          </w:p>
        </w:tc>
      </w:tr>
      <w:tr w14:paraId="70B5F64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897" w:type="dxa"/>
            <w:vMerge w:val="restart"/>
            <w:tcBorders>
              <w:tl2br w:val="nil"/>
              <w:tr2bl w:val="nil"/>
            </w:tcBorders>
            <w:vAlign w:val="center"/>
          </w:tcPr>
          <w:p w14:paraId="53819CE4">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napToGrid w:val="0"/>
                <w:color w:val="000000"/>
                <w:sz w:val="21"/>
                <w:szCs w:val="21"/>
                <w:highlight w:val="none"/>
              </w:rPr>
            </w:pPr>
            <w:r>
              <w:rPr>
                <w:rFonts w:hint="default" w:ascii="Times New Roman" w:hAnsi="Times New Roman" w:cs="Times New Roman"/>
                <w:snapToGrid w:val="0"/>
                <w:color w:val="000000"/>
                <w:spacing w:val="8"/>
                <w:sz w:val="21"/>
                <w:szCs w:val="21"/>
                <w:highlight w:val="none"/>
              </w:rPr>
              <w:t>技术研发中心</w:t>
            </w:r>
          </w:p>
          <w:p w14:paraId="2E73E327">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napToGrid w:val="0"/>
                <w:color w:val="000000"/>
                <w:sz w:val="21"/>
                <w:szCs w:val="21"/>
                <w:highlight w:val="none"/>
              </w:rPr>
            </w:pPr>
            <w:r>
              <w:rPr>
                <w:rFonts w:hint="default" w:ascii="Times New Roman" w:hAnsi="Times New Roman" w:cs="Times New Roman"/>
                <w:snapToGrid w:val="0"/>
                <w:color w:val="000000"/>
                <w:spacing w:val="5"/>
                <w:sz w:val="21"/>
                <w:szCs w:val="21"/>
                <w:highlight w:val="none"/>
              </w:rPr>
              <w:t>热试验</w:t>
            </w:r>
          </w:p>
        </w:tc>
        <w:tc>
          <w:tcPr>
            <w:tcW w:w="663" w:type="dxa"/>
            <w:tcBorders>
              <w:tl2br w:val="nil"/>
              <w:tr2bl w:val="nil"/>
            </w:tcBorders>
            <w:vAlign w:val="center"/>
          </w:tcPr>
          <w:p w14:paraId="5A4DADA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z w:val="21"/>
                <w:szCs w:val="21"/>
                <w:highlight w:val="none"/>
              </w:rPr>
              <w:t>DA</w:t>
            </w:r>
            <w:r>
              <w:rPr>
                <w:rFonts w:hint="default" w:ascii="Times New Roman" w:hAnsi="Times New Roman" w:eastAsia="Times New Roman" w:cs="Times New Roman"/>
                <w:snapToGrid w:val="0"/>
                <w:color w:val="000000"/>
                <w:spacing w:val="8"/>
                <w:sz w:val="21"/>
                <w:szCs w:val="21"/>
                <w:highlight w:val="none"/>
              </w:rPr>
              <w:t>011</w:t>
            </w:r>
          </w:p>
        </w:tc>
        <w:tc>
          <w:tcPr>
            <w:tcW w:w="1021" w:type="dxa"/>
            <w:tcBorders>
              <w:tl2br w:val="nil"/>
              <w:tr2bl w:val="nil"/>
            </w:tcBorders>
            <w:vAlign w:val="center"/>
          </w:tcPr>
          <w:p w14:paraId="137CF7D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19</w:t>
            </w:r>
          </w:p>
        </w:tc>
        <w:tc>
          <w:tcPr>
            <w:tcW w:w="1005" w:type="dxa"/>
            <w:tcBorders>
              <w:tl2br w:val="nil"/>
              <w:tr2bl w:val="nil"/>
            </w:tcBorders>
            <w:vAlign w:val="center"/>
          </w:tcPr>
          <w:p w14:paraId="083BC83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0.158</w:t>
            </w:r>
          </w:p>
        </w:tc>
        <w:tc>
          <w:tcPr>
            <w:tcW w:w="1125" w:type="dxa"/>
            <w:tcBorders>
              <w:tl2br w:val="nil"/>
              <w:tr2bl w:val="nil"/>
            </w:tcBorders>
            <w:vAlign w:val="center"/>
          </w:tcPr>
          <w:p w14:paraId="5A17663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1.59</w:t>
            </w:r>
          </w:p>
        </w:tc>
        <w:tc>
          <w:tcPr>
            <w:tcW w:w="1260" w:type="dxa"/>
            <w:tcBorders>
              <w:tl2br w:val="nil"/>
              <w:tr2bl w:val="nil"/>
            </w:tcBorders>
            <w:vAlign w:val="center"/>
          </w:tcPr>
          <w:p w14:paraId="3C0BF15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0.012</w:t>
            </w:r>
          </w:p>
        </w:tc>
        <w:tc>
          <w:tcPr>
            <w:tcW w:w="960" w:type="dxa"/>
            <w:tcBorders>
              <w:tl2br w:val="nil"/>
              <w:tr2bl w:val="nil"/>
            </w:tcBorders>
            <w:vAlign w:val="center"/>
          </w:tcPr>
          <w:p w14:paraId="588781E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eastAsia" w:ascii="Times New Roman" w:hAnsi="Times New Roman" w:eastAsia="宋体" w:cs="Times New Roman"/>
                <w:snapToGrid w:val="0"/>
                <w:color w:val="000000"/>
                <w:sz w:val="21"/>
                <w:szCs w:val="21"/>
                <w:highlight w:val="none"/>
                <w:lang w:val="en-US" w:eastAsia="zh-CN"/>
              </w:rPr>
              <w:t>/</w:t>
            </w:r>
          </w:p>
        </w:tc>
        <w:tc>
          <w:tcPr>
            <w:tcW w:w="1375" w:type="dxa"/>
            <w:tcBorders>
              <w:tl2br w:val="nil"/>
              <w:tr2bl w:val="nil"/>
            </w:tcBorders>
            <w:vAlign w:val="center"/>
          </w:tcPr>
          <w:p w14:paraId="56EDC88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eastAsia" w:ascii="Times New Roman" w:hAnsi="Times New Roman" w:eastAsia="宋体" w:cs="Times New Roman"/>
                <w:snapToGrid w:val="0"/>
                <w:color w:val="000000"/>
                <w:sz w:val="21"/>
                <w:szCs w:val="21"/>
                <w:highlight w:val="none"/>
                <w:lang w:val="en-US" w:eastAsia="zh-CN"/>
              </w:rPr>
              <w:t>/</w:t>
            </w:r>
          </w:p>
        </w:tc>
      </w:tr>
      <w:tr w14:paraId="4476905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897" w:type="dxa"/>
            <w:vMerge w:val="continue"/>
            <w:tcBorders>
              <w:tl2br w:val="nil"/>
              <w:tr2bl w:val="nil"/>
            </w:tcBorders>
            <w:vAlign w:val="center"/>
          </w:tcPr>
          <w:p w14:paraId="6CC3F54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napToGrid w:val="0"/>
                <w:color w:val="000000"/>
                <w:sz w:val="21"/>
                <w:szCs w:val="21"/>
                <w:highlight w:val="none"/>
              </w:rPr>
            </w:pPr>
          </w:p>
        </w:tc>
        <w:tc>
          <w:tcPr>
            <w:tcW w:w="663" w:type="dxa"/>
            <w:tcBorders>
              <w:tl2br w:val="nil"/>
              <w:tr2bl w:val="nil"/>
            </w:tcBorders>
            <w:vAlign w:val="center"/>
          </w:tcPr>
          <w:p w14:paraId="4CA05F5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z w:val="21"/>
                <w:szCs w:val="21"/>
                <w:highlight w:val="none"/>
              </w:rPr>
              <w:t>DA</w:t>
            </w:r>
            <w:r>
              <w:rPr>
                <w:rFonts w:hint="default" w:ascii="Times New Roman" w:hAnsi="Times New Roman" w:eastAsia="Times New Roman" w:cs="Times New Roman"/>
                <w:snapToGrid w:val="0"/>
                <w:color w:val="000000"/>
                <w:spacing w:val="8"/>
                <w:sz w:val="21"/>
                <w:szCs w:val="21"/>
                <w:highlight w:val="none"/>
              </w:rPr>
              <w:t>013</w:t>
            </w:r>
          </w:p>
        </w:tc>
        <w:tc>
          <w:tcPr>
            <w:tcW w:w="1021" w:type="dxa"/>
            <w:tcBorders>
              <w:tl2br w:val="nil"/>
              <w:tr2bl w:val="nil"/>
            </w:tcBorders>
            <w:vAlign w:val="center"/>
          </w:tcPr>
          <w:p w14:paraId="7DC241D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18</w:t>
            </w:r>
          </w:p>
        </w:tc>
        <w:tc>
          <w:tcPr>
            <w:tcW w:w="1005" w:type="dxa"/>
            <w:tcBorders>
              <w:tl2br w:val="nil"/>
              <w:tr2bl w:val="nil"/>
            </w:tcBorders>
            <w:vAlign w:val="center"/>
          </w:tcPr>
          <w:p w14:paraId="23B93EA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0.244</w:t>
            </w:r>
          </w:p>
        </w:tc>
        <w:tc>
          <w:tcPr>
            <w:tcW w:w="1125" w:type="dxa"/>
            <w:tcBorders>
              <w:tl2br w:val="nil"/>
              <w:tr2bl w:val="nil"/>
            </w:tcBorders>
            <w:vAlign w:val="center"/>
          </w:tcPr>
          <w:p w14:paraId="5175108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2.24</w:t>
            </w:r>
          </w:p>
        </w:tc>
        <w:tc>
          <w:tcPr>
            <w:tcW w:w="1260" w:type="dxa"/>
            <w:tcBorders>
              <w:tl2br w:val="nil"/>
              <w:tr2bl w:val="nil"/>
            </w:tcBorders>
            <w:vAlign w:val="center"/>
          </w:tcPr>
          <w:p w14:paraId="67EDC96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0.030</w:t>
            </w:r>
          </w:p>
        </w:tc>
        <w:tc>
          <w:tcPr>
            <w:tcW w:w="960" w:type="dxa"/>
            <w:tcBorders>
              <w:tl2br w:val="nil"/>
              <w:tr2bl w:val="nil"/>
            </w:tcBorders>
            <w:vAlign w:val="center"/>
          </w:tcPr>
          <w:p w14:paraId="2DFE698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eastAsia" w:ascii="Times New Roman" w:hAnsi="Times New Roman" w:eastAsia="宋体" w:cs="Times New Roman"/>
                <w:snapToGrid w:val="0"/>
                <w:color w:val="000000"/>
                <w:sz w:val="21"/>
                <w:szCs w:val="21"/>
                <w:highlight w:val="none"/>
                <w:lang w:val="en-US" w:eastAsia="zh-CN"/>
              </w:rPr>
              <w:t>/</w:t>
            </w:r>
          </w:p>
        </w:tc>
        <w:tc>
          <w:tcPr>
            <w:tcW w:w="1375" w:type="dxa"/>
            <w:tcBorders>
              <w:tl2br w:val="nil"/>
              <w:tr2bl w:val="nil"/>
            </w:tcBorders>
            <w:vAlign w:val="center"/>
          </w:tcPr>
          <w:p w14:paraId="34643B4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eastAsia" w:ascii="Times New Roman" w:hAnsi="Times New Roman" w:eastAsia="宋体" w:cs="Times New Roman"/>
                <w:snapToGrid w:val="0"/>
                <w:color w:val="000000"/>
                <w:sz w:val="21"/>
                <w:szCs w:val="21"/>
                <w:highlight w:val="none"/>
                <w:lang w:val="en-US" w:eastAsia="zh-CN"/>
              </w:rPr>
              <w:t>/</w:t>
            </w:r>
          </w:p>
        </w:tc>
      </w:tr>
      <w:tr w14:paraId="060AC67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897" w:type="dxa"/>
            <w:vMerge w:val="continue"/>
            <w:tcBorders>
              <w:tl2br w:val="nil"/>
              <w:tr2bl w:val="nil"/>
            </w:tcBorders>
            <w:vAlign w:val="center"/>
          </w:tcPr>
          <w:p w14:paraId="5D8A58B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napToGrid w:val="0"/>
                <w:color w:val="000000"/>
                <w:sz w:val="21"/>
                <w:szCs w:val="21"/>
                <w:highlight w:val="none"/>
              </w:rPr>
            </w:pPr>
          </w:p>
        </w:tc>
        <w:tc>
          <w:tcPr>
            <w:tcW w:w="663" w:type="dxa"/>
            <w:tcBorders>
              <w:tl2br w:val="nil"/>
              <w:tr2bl w:val="nil"/>
            </w:tcBorders>
            <w:vAlign w:val="center"/>
          </w:tcPr>
          <w:p w14:paraId="6E2BBB5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z w:val="21"/>
                <w:szCs w:val="21"/>
                <w:highlight w:val="none"/>
              </w:rPr>
              <w:t>DA</w:t>
            </w:r>
            <w:r>
              <w:rPr>
                <w:rFonts w:hint="default" w:ascii="Times New Roman" w:hAnsi="Times New Roman" w:eastAsia="Times New Roman" w:cs="Times New Roman"/>
                <w:snapToGrid w:val="0"/>
                <w:color w:val="000000"/>
                <w:spacing w:val="8"/>
                <w:sz w:val="21"/>
                <w:szCs w:val="21"/>
                <w:highlight w:val="none"/>
              </w:rPr>
              <w:t>015</w:t>
            </w:r>
          </w:p>
        </w:tc>
        <w:tc>
          <w:tcPr>
            <w:tcW w:w="1021" w:type="dxa"/>
            <w:tcBorders>
              <w:tl2br w:val="nil"/>
              <w:tr2bl w:val="nil"/>
            </w:tcBorders>
            <w:vAlign w:val="center"/>
          </w:tcPr>
          <w:p w14:paraId="2763E29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18</w:t>
            </w:r>
          </w:p>
        </w:tc>
        <w:tc>
          <w:tcPr>
            <w:tcW w:w="1005" w:type="dxa"/>
            <w:tcBorders>
              <w:tl2br w:val="nil"/>
              <w:tr2bl w:val="nil"/>
            </w:tcBorders>
            <w:vAlign w:val="center"/>
          </w:tcPr>
          <w:p w14:paraId="677E537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0.145</w:t>
            </w:r>
          </w:p>
        </w:tc>
        <w:tc>
          <w:tcPr>
            <w:tcW w:w="1125" w:type="dxa"/>
            <w:tcBorders>
              <w:tl2br w:val="nil"/>
              <w:tr2bl w:val="nil"/>
            </w:tcBorders>
            <w:vAlign w:val="center"/>
          </w:tcPr>
          <w:p w14:paraId="49E992F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1.87</w:t>
            </w:r>
          </w:p>
        </w:tc>
        <w:tc>
          <w:tcPr>
            <w:tcW w:w="1260" w:type="dxa"/>
            <w:tcBorders>
              <w:tl2br w:val="nil"/>
              <w:tr2bl w:val="nil"/>
            </w:tcBorders>
            <w:vAlign w:val="center"/>
          </w:tcPr>
          <w:p w14:paraId="65B9D34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0.014</w:t>
            </w:r>
          </w:p>
        </w:tc>
        <w:tc>
          <w:tcPr>
            <w:tcW w:w="960" w:type="dxa"/>
            <w:tcBorders>
              <w:tl2br w:val="nil"/>
              <w:tr2bl w:val="nil"/>
            </w:tcBorders>
            <w:vAlign w:val="center"/>
          </w:tcPr>
          <w:p w14:paraId="65B626F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eastAsia" w:ascii="Times New Roman" w:hAnsi="Times New Roman" w:eastAsia="宋体" w:cs="Times New Roman"/>
                <w:snapToGrid w:val="0"/>
                <w:color w:val="000000"/>
                <w:sz w:val="21"/>
                <w:szCs w:val="21"/>
                <w:highlight w:val="none"/>
                <w:lang w:val="en-US" w:eastAsia="zh-CN"/>
              </w:rPr>
              <w:t>/</w:t>
            </w:r>
          </w:p>
        </w:tc>
        <w:tc>
          <w:tcPr>
            <w:tcW w:w="1375" w:type="dxa"/>
            <w:tcBorders>
              <w:tl2br w:val="nil"/>
              <w:tr2bl w:val="nil"/>
            </w:tcBorders>
            <w:vAlign w:val="center"/>
          </w:tcPr>
          <w:p w14:paraId="7E24D00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eastAsia" w:ascii="Times New Roman" w:hAnsi="Times New Roman" w:eastAsia="宋体" w:cs="Times New Roman"/>
                <w:snapToGrid w:val="0"/>
                <w:color w:val="000000"/>
                <w:sz w:val="21"/>
                <w:szCs w:val="21"/>
                <w:highlight w:val="none"/>
                <w:lang w:val="en-US" w:eastAsia="zh-CN"/>
              </w:rPr>
              <w:t>/</w:t>
            </w:r>
          </w:p>
        </w:tc>
      </w:tr>
      <w:tr w14:paraId="7AE41B5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897" w:type="dxa"/>
            <w:vMerge w:val="continue"/>
            <w:tcBorders>
              <w:tl2br w:val="nil"/>
              <w:tr2bl w:val="nil"/>
            </w:tcBorders>
            <w:vAlign w:val="center"/>
          </w:tcPr>
          <w:p w14:paraId="2213A07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napToGrid w:val="0"/>
                <w:color w:val="000000"/>
                <w:sz w:val="21"/>
                <w:szCs w:val="21"/>
                <w:highlight w:val="none"/>
              </w:rPr>
            </w:pPr>
          </w:p>
        </w:tc>
        <w:tc>
          <w:tcPr>
            <w:tcW w:w="663" w:type="dxa"/>
            <w:tcBorders>
              <w:tl2br w:val="nil"/>
              <w:tr2bl w:val="nil"/>
            </w:tcBorders>
            <w:vAlign w:val="center"/>
          </w:tcPr>
          <w:p w14:paraId="55265BC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z w:val="21"/>
                <w:szCs w:val="21"/>
                <w:highlight w:val="none"/>
              </w:rPr>
              <w:t>DA</w:t>
            </w:r>
            <w:r>
              <w:rPr>
                <w:rFonts w:hint="default" w:ascii="Times New Roman" w:hAnsi="Times New Roman" w:eastAsia="Times New Roman" w:cs="Times New Roman"/>
                <w:snapToGrid w:val="0"/>
                <w:color w:val="000000"/>
                <w:spacing w:val="8"/>
                <w:sz w:val="21"/>
                <w:szCs w:val="21"/>
                <w:highlight w:val="none"/>
              </w:rPr>
              <w:t>017</w:t>
            </w:r>
          </w:p>
        </w:tc>
        <w:tc>
          <w:tcPr>
            <w:tcW w:w="1021" w:type="dxa"/>
            <w:tcBorders>
              <w:tl2br w:val="nil"/>
              <w:tr2bl w:val="nil"/>
            </w:tcBorders>
            <w:vAlign w:val="center"/>
          </w:tcPr>
          <w:p w14:paraId="3830CB4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24</w:t>
            </w:r>
          </w:p>
        </w:tc>
        <w:tc>
          <w:tcPr>
            <w:tcW w:w="1005" w:type="dxa"/>
            <w:tcBorders>
              <w:tl2br w:val="nil"/>
              <w:tr2bl w:val="nil"/>
            </w:tcBorders>
            <w:vAlign w:val="center"/>
          </w:tcPr>
          <w:p w14:paraId="751FEE0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0.172</w:t>
            </w:r>
          </w:p>
        </w:tc>
        <w:tc>
          <w:tcPr>
            <w:tcW w:w="1125" w:type="dxa"/>
            <w:tcBorders>
              <w:tl2br w:val="nil"/>
              <w:tr2bl w:val="nil"/>
            </w:tcBorders>
            <w:vAlign w:val="center"/>
          </w:tcPr>
          <w:p w14:paraId="34E24E7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1.43</w:t>
            </w:r>
          </w:p>
        </w:tc>
        <w:tc>
          <w:tcPr>
            <w:tcW w:w="1260" w:type="dxa"/>
            <w:tcBorders>
              <w:tl2br w:val="nil"/>
              <w:tr2bl w:val="nil"/>
            </w:tcBorders>
            <w:vAlign w:val="center"/>
          </w:tcPr>
          <w:p w14:paraId="649725A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0.011</w:t>
            </w:r>
          </w:p>
        </w:tc>
        <w:tc>
          <w:tcPr>
            <w:tcW w:w="960" w:type="dxa"/>
            <w:tcBorders>
              <w:tl2br w:val="nil"/>
              <w:tr2bl w:val="nil"/>
            </w:tcBorders>
            <w:vAlign w:val="center"/>
          </w:tcPr>
          <w:p w14:paraId="2AB8E8C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eastAsia" w:ascii="Times New Roman" w:hAnsi="Times New Roman" w:eastAsia="宋体" w:cs="Times New Roman"/>
                <w:snapToGrid w:val="0"/>
                <w:color w:val="000000"/>
                <w:sz w:val="21"/>
                <w:szCs w:val="21"/>
                <w:highlight w:val="none"/>
                <w:lang w:val="en-US" w:eastAsia="zh-CN"/>
              </w:rPr>
              <w:t>/</w:t>
            </w:r>
          </w:p>
        </w:tc>
        <w:tc>
          <w:tcPr>
            <w:tcW w:w="1375" w:type="dxa"/>
            <w:tcBorders>
              <w:tl2br w:val="nil"/>
              <w:tr2bl w:val="nil"/>
            </w:tcBorders>
            <w:vAlign w:val="center"/>
          </w:tcPr>
          <w:p w14:paraId="0C70AAF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eastAsia" w:ascii="Times New Roman" w:hAnsi="Times New Roman" w:eastAsia="宋体" w:cs="Times New Roman"/>
                <w:snapToGrid w:val="0"/>
                <w:color w:val="000000"/>
                <w:sz w:val="21"/>
                <w:szCs w:val="21"/>
                <w:highlight w:val="none"/>
                <w:lang w:val="en-US" w:eastAsia="zh-CN"/>
              </w:rPr>
              <w:t>/</w:t>
            </w:r>
          </w:p>
        </w:tc>
      </w:tr>
      <w:tr w14:paraId="595F9C9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897" w:type="dxa"/>
            <w:vMerge w:val="continue"/>
            <w:tcBorders>
              <w:tl2br w:val="nil"/>
              <w:tr2bl w:val="nil"/>
            </w:tcBorders>
            <w:vAlign w:val="center"/>
          </w:tcPr>
          <w:p w14:paraId="6D31F0F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napToGrid w:val="0"/>
                <w:color w:val="000000"/>
                <w:sz w:val="21"/>
                <w:szCs w:val="21"/>
                <w:highlight w:val="none"/>
              </w:rPr>
            </w:pPr>
          </w:p>
        </w:tc>
        <w:tc>
          <w:tcPr>
            <w:tcW w:w="663" w:type="dxa"/>
            <w:tcBorders>
              <w:tl2br w:val="nil"/>
              <w:tr2bl w:val="nil"/>
            </w:tcBorders>
            <w:vAlign w:val="center"/>
          </w:tcPr>
          <w:p w14:paraId="785B183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z w:val="21"/>
                <w:szCs w:val="21"/>
                <w:highlight w:val="none"/>
              </w:rPr>
              <w:t>DA</w:t>
            </w:r>
            <w:r>
              <w:rPr>
                <w:rFonts w:hint="default" w:ascii="Times New Roman" w:hAnsi="Times New Roman" w:eastAsia="Times New Roman" w:cs="Times New Roman"/>
                <w:snapToGrid w:val="0"/>
                <w:color w:val="000000"/>
                <w:spacing w:val="8"/>
                <w:sz w:val="21"/>
                <w:szCs w:val="21"/>
                <w:highlight w:val="none"/>
              </w:rPr>
              <w:t>033</w:t>
            </w:r>
          </w:p>
        </w:tc>
        <w:tc>
          <w:tcPr>
            <w:tcW w:w="1021" w:type="dxa"/>
            <w:tcBorders>
              <w:tl2br w:val="nil"/>
              <w:tr2bl w:val="nil"/>
            </w:tcBorders>
            <w:vAlign w:val="center"/>
          </w:tcPr>
          <w:p w14:paraId="2644F2C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17</w:t>
            </w:r>
          </w:p>
        </w:tc>
        <w:tc>
          <w:tcPr>
            <w:tcW w:w="1005" w:type="dxa"/>
            <w:tcBorders>
              <w:tl2br w:val="nil"/>
              <w:tr2bl w:val="nil"/>
            </w:tcBorders>
            <w:vAlign w:val="center"/>
          </w:tcPr>
          <w:p w14:paraId="43BFDD2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0.126</w:t>
            </w:r>
          </w:p>
        </w:tc>
        <w:tc>
          <w:tcPr>
            <w:tcW w:w="1125" w:type="dxa"/>
            <w:tcBorders>
              <w:tl2br w:val="nil"/>
              <w:tr2bl w:val="nil"/>
            </w:tcBorders>
            <w:vAlign w:val="center"/>
          </w:tcPr>
          <w:p w14:paraId="15CE300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1.90</w:t>
            </w:r>
          </w:p>
        </w:tc>
        <w:tc>
          <w:tcPr>
            <w:tcW w:w="1260" w:type="dxa"/>
            <w:tcBorders>
              <w:tl2br w:val="nil"/>
              <w:tr2bl w:val="nil"/>
            </w:tcBorders>
            <w:vAlign w:val="center"/>
          </w:tcPr>
          <w:p w14:paraId="5570023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0.014</w:t>
            </w:r>
          </w:p>
        </w:tc>
        <w:tc>
          <w:tcPr>
            <w:tcW w:w="960" w:type="dxa"/>
            <w:tcBorders>
              <w:tl2br w:val="nil"/>
              <w:tr2bl w:val="nil"/>
            </w:tcBorders>
            <w:vAlign w:val="center"/>
          </w:tcPr>
          <w:p w14:paraId="6E05A77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eastAsia" w:ascii="Times New Roman" w:hAnsi="Times New Roman" w:eastAsia="宋体" w:cs="Times New Roman"/>
                <w:snapToGrid w:val="0"/>
                <w:color w:val="000000"/>
                <w:sz w:val="21"/>
                <w:szCs w:val="21"/>
                <w:highlight w:val="none"/>
                <w:lang w:val="en-US" w:eastAsia="zh-CN"/>
              </w:rPr>
              <w:t>/</w:t>
            </w:r>
          </w:p>
        </w:tc>
        <w:tc>
          <w:tcPr>
            <w:tcW w:w="1375" w:type="dxa"/>
            <w:tcBorders>
              <w:tl2br w:val="nil"/>
              <w:tr2bl w:val="nil"/>
            </w:tcBorders>
            <w:vAlign w:val="center"/>
          </w:tcPr>
          <w:p w14:paraId="677A294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eastAsia" w:ascii="Times New Roman" w:hAnsi="Times New Roman" w:eastAsia="宋体" w:cs="Times New Roman"/>
                <w:snapToGrid w:val="0"/>
                <w:color w:val="000000"/>
                <w:sz w:val="21"/>
                <w:szCs w:val="21"/>
                <w:highlight w:val="none"/>
                <w:lang w:val="en-US" w:eastAsia="zh-CN"/>
              </w:rPr>
              <w:t>/</w:t>
            </w:r>
          </w:p>
        </w:tc>
      </w:tr>
      <w:tr w14:paraId="41676EA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897" w:type="dxa"/>
            <w:vMerge w:val="continue"/>
            <w:tcBorders>
              <w:tl2br w:val="nil"/>
              <w:tr2bl w:val="nil"/>
            </w:tcBorders>
            <w:vAlign w:val="center"/>
          </w:tcPr>
          <w:p w14:paraId="0E35674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napToGrid w:val="0"/>
                <w:color w:val="000000"/>
                <w:sz w:val="21"/>
                <w:szCs w:val="21"/>
                <w:highlight w:val="none"/>
              </w:rPr>
            </w:pPr>
          </w:p>
        </w:tc>
        <w:tc>
          <w:tcPr>
            <w:tcW w:w="663" w:type="dxa"/>
            <w:tcBorders>
              <w:tl2br w:val="nil"/>
              <w:tr2bl w:val="nil"/>
            </w:tcBorders>
            <w:vAlign w:val="center"/>
          </w:tcPr>
          <w:p w14:paraId="0CE0A8E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z w:val="21"/>
                <w:szCs w:val="21"/>
                <w:highlight w:val="none"/>
              </w:rPr>
              <w:t>DA</w:t>
            </w:r>
            <w:r>
              <w:rPr>
                <w:rFonts w:hint="default" w:ascii="Times New Roman" w:hAnsi="Times New Roman" w:eastAsia="Times New Roman" w:cs="Times New Roman"/>
                <w:snapToGrid w:val="0"/>
                <w:color w:val="000000"/>
                <w:spacing w:val="8"/>
                <w:sz w:val="21"/>
                <w:szCs w:val="21"/>
                <w:highlight w:val="none"/>
              </w:rPr>
              <w:t>035</w:t>
            </w:r>
          </w:p>
        </w:tc>
        <w:tc>
          <w:tcPr>
            <w:tcW w:w="1021" w:type="dxa"/>
            <w:tcBorders>
              <w:tl2br w:val="nil"/>
              <w:tr2bl w:val="nil"/>
            </w:tcBorders>
            <w:vAlign w:val="center"/>
          </w:tcPr>
          <w:p w14:paraId="1129E21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17</w:t>
            </w:r>
          </w:p>
        </w:tc>
        <w:tc>
          <w:tcPr>
            <w:tcW w:w="1005" w:type="dxa"/>
            <w:tcBorders>
              <w:tl2br w:val="nil"/>
              <w:tr2bl w:val="nil"/>
            </w:tcBorders>
            <w:vAlign w:val="center"/>
          </w:tcPr>
          <w:p w14:paraId="2CADC29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0.101</w:t>
            </w:r>
          </w:p>
        </w:tc>
        <w:tc>
          <w:tcPr>
            <w:tcW w:w="1125" w:type="dxa"/>
            <w:tcBorders>
              <w:tl2br w:val="nil"/>
              <w:tr2bl w:val="nil"/>
            </w:tcBorders>
            <w:vAlign w:val="center"/>
          </w:tcPr>
          <w:p w14:paraId="6960E01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1.55</w:t>
            </w:r>
          </w:p>
        </w:tc>
        <w:tc>
          <w:tcPr>
            <w:tcW w:w="1260" w:type="dxa"/>
            <w:tcBorders>
              <w:tl2br w:val="nil"/>
              <w:tr2bl w:val="nil"/>
            </w:tcBorders>
            <w:vAlign w:val="center"/>
          </w:tcPr>
          <w:p w14:paraId="4CFBE03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0.009</w:t>
            </w:r>
          </w:p>
        </w:tc>
        <w:tc>
          <w:tcPr>
            <w:tcW w:w="960" w:type="dxa"/>
            <w:tcBorders>
              <w:tl2br w:val="nil"/>
              <w:tr2bl w:val="nil"/>
            </w:tcBorders>
            <w:vAlign w:val="center"/>
          </w:tcPr>
          <w:p w14:paraId="2CBF780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eastAsia" w:ascii="Times New Roman" w:hAnsi="Times New Roman" w:eastAsia="宋体" w:cs="Times New Roman"/>
                <w:snapToGrid w:val="0"/>
                <w:color w:val="000000"/>
                <w:sz w:val="21"/>
                <w:szCs w:val="21"/>
                <w:highlight w:val="none"/>
                <w:lang w:val="en-US" w:eastAsia="zh-CN"/>
              </w:rPr>
              <w:t>/</w:t>
            </w:r>
          </w:p>
        </w:tc>
        <w:tc>
          <w:tcPr>
            <w:tcW w:w="1375" w:type="dxa"/>
            <w:tcBorders>
              <w:tl2br w:val="nil"/>
              <w:tr2bl w:val="nil"/>
            </w:tcBorders>
            <w:vAlign w:val="center"/>
          </w:tcPr>
          <w:p w14:paraId="58FE144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eastAsia" w:ascii="Times New Roman" w:hAnsi="Times New Roman" w:eastAsia="宋体" w:cs="Times New Roman"/>
                <w:snapToGrid w:val="0"/>
                <w:color w:val="000000"/>
                <w:sz w:val="21"/>
                <w:szCs w:val="21"/>
                <w:highlight w:val="none"/>
                <w:lang w:val="en-US" w:eastAsia="zh-CN"/>
              </w:rPr>
              <w:t>/</w:t>
            </w:r>
          </w:p>
        </w:tc>
      </w:tr>
      <w:tr w14:paraId="36C0BCB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897" w:type="dxa"/>
            <w:vMerge w:val="continue"/>
            <w:tcBorders>
              <w:tl2br w:val="nil"/>
              <w:tr2bl w:val="nil"/>
            </w:tcBorders>
            <w:vAlign w:val="center"/>
          </w:tcPr>
          <w:p w14:paraId="1B693F4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napToGrid w:val="0"/>
                <w:color w:val="000000"/>
                <w:sz w:val="21"/>
                <w:szCs w:val="21"/>
                <w:highlight w:val="none"/>
              </w:rPr>
            </w:pPr>
          </w:p>
        </w:tc>
        <w:tc>
          <w:tcPr>
            <w:tcW w:w="663" w:type="dxa"/>
            <w:tcBorders>
              <w:tl2br w:val="nil"/>
              <w:tr2bl w:val="nil"/>
            </w:tcBorders>
            <w:vAlign w:val="center"/>
          </w:tcPr>
          <w:p w14:paraId="5152B53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z w:val="21"/>
                <w:szCs w:val="21"/>
                <w:highlight w:val="none"/>
              </w:rPr>
              <w:t>DA</w:t>
            </w:r>
            <w:r>
              <w:rPr>
                <w:rFonts w:hint="default" w:ascii="Times New Roman" w:hAnsi="Times New Roman" w:eastAsia="Times New Roman" w:cs="Times New Roman"/>
                <w:snapToGrid w:val="0"/>
                <w:color w:val="000000"/>
                <w:spacing w:val="8"/>
                <w:sz w:val="21"/>
                <w:szCs w:val="21"/>
                <w:highlight w:val="none"/>
              </w:rPr>
              <w:t>039</w:t>
            </w:r>
          </w:p>
        </w:tc>
        <w:tc>
          <w:tcPr>
            <w:tcW w:w="1021" w:type="dxa"/>
            <w:tcBorders>
              <w:tl2br w:val="nil"/>
              <w:tr2bl w:val="nil"/>
            </w:tcBorders>
            <w:vAlign w:val="center"/>
          </w:tcPr>
          <w:p w14:paraId="1B2F3E9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22</w:t>
            </w:r>
          </w:p>
        </w:tc>
        <w:tc>
          <w:tcPr>
            <w:tcW w:w="1005" w:type="dxa"/>
            <w:tcBorders>
              <w:tl2br w:val="nil"/>
              <w:tr2bl w:val="nil"/>
            </w:tcBorders>
            <w:vAlign w:val="center"/>
          </w:tcPr>
          <w:p w14:paraId="2E34C88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0.153</w:t>
            </w:r>
          </w:p>
        </w:tc>
        <w:tc>
          <w:tcPr>
            <w:tcW w:w="1125" w:type="dxa"/>
            <w:tcBorders>
              <w:tl2br w:val="nil"/>
              <w:tr2bl w:val="nil"/>
            </w:tcBorders>
            <w:vAlign w:val="center"/>
          </w:tcPr>
          <w:p w14:paraId="54A45A3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1.54</w:t>
            </w:r>
          </w:p>
        </w:tc>
        <w:tc>
          <w:tcPr>
            <w:tcW w:w="1260" w:type="dxa"/>
            <w:tcBorders>
              <w:tl2br w:val="nil"/>
              <w:tr2bl w:val="nil"/>
            </w:tcBorders>
            <w:vAlign w:val="center"/>
          </w:tcPr>
          <w:p w14:paraId="2F7503A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0.011</w:t>
            </w:r>
          </w:p>
        </w:tc>
        <w:tc>
          <w:tcPr>
            <w:tcW w:w="960" w:type="dxa"/>
            <w:tcBorders>
              <w:tl2br w:val="nil"/>
              <w:tr2bl w:val="nil"/>
            </w:tcBorders>
            <w:vAlign w:val="center"/>
          </w:tcPr>
          <w:p w14:paraId="67A6728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eastAsia" w:ascii="Times New Roman" w:hAnsi="Times New Roman" w:eastAsia="宋体" w:cs="Times New Roman"/>
                <w:snapToGrid w:val="0"/>
                <w:color w:val="000000"/>
                <w:sz w:val="21"/>
                <w:szCs w:val="21"/>
                <w:highlight w:val="none"/>
                <w:lang w:val="en-US" w:eastAsia="zh-CN"/>
              </w:rPr>
              <w:t>/</w:t>
            </w:r>
          </w:p>
        </w:tc>
        <w:tc>
          <w:tcPr>
            <w:tcW w:w="1375" w:type="dxa"/>
            <w:tcBorders>
              <w:tl2br w:val="nil"/>
              <w:tr2bl w:val="nil"/>
            </w:tcBorders>
            <w:vAlign w:val="center"/>
          </w:tcPr>
          <w:p w14:paraId="1A7EAB3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eastAsia" w:ascii="Times New Roman" w:hAnsi="Times New Roman" w:eastAsia="宋体" w:cs="Times New Roman"/>
                <w:snapToGrid w:val="0"/>
                <w:color w:val="000000"/>
                <w:sz w:val="21"/>
                <w:szCs w:val="21"/>
                <w:highlight w:val="none"/>
                <w:lang w:val="en-US" w:eastAsia="zh-CN"/>
              </w:rPr>
              <w:t>/</w:t>
            </w:r>
          </w:p>
        </w:tc>
      </w:tr>
      <w:tr w14:paraId="35FEF30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897" w:type="dxa"/>
            <w:vMerge w:val="continue"/>
            <w:tcBorders>
              <w:tl2br w:val="nil"/>
              <w:tr2bl w:val="nil"/>
            </w:tcBorders>
            <w:vAlign w:val="center"/>
          </w:tcPr>
          <w:p w14:paraId="08B1778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napToGrid w:val="0"/>
                <w:color w:val="000000"/>
                <w:sz w:val="21"/>
                <w:szCs w:val="21"/>
                <w:highlight w:val="none"/>
              </w:rPr>
            </w:pPr>
          </w:p>
        </w:tc>
        <w:tc>
          <w:tcPr>
            <w:tcW w:w="663" w:type="dxa"/>
            <w:tcBorders>
              <w:tl2br w:val="nil"/>
              <w:tr2bl w:val="nil"/>
            </w:tcBorders>
            <w:vAlign w:val="center"/>
          </w:tcPr>
          <w:p w14:paraId="07749B1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z w:val="21"/>
                <w:szCs w:val="21"/>
                <w:highlight w:val="none"/>
              </w:rPr>
              <w:t>DA</w:t>
            </w:r>
            <w:r>
              <w:rPr>
                <w:rFonts w:hint="default" w:ascii="Times New Roman" w:hAnsi="Times New Roman" w:eastAsia="Times New Roman" w:cs="Times New Roman"/>
                <w:snapToGrid w:val="0"/>
                <w:color w:val="000000"/>
                <w:spacing w:val="8"/>
                <w:sz w:val="21"/>
                <w:szCs w:val="21"/>
                <w:highlight w:val="none"/>
              </w:rPr>
              <w:t>041</w:t>
            </w:r>
          </w:p>
        </w:tc>
        <w:tc>
          <w:tcPr>
            <w:tcW w:w="1021" w:type="dxa"/>
            <w:tcBorders>
              <w:tl2br w:val="nil"/>
              <w:tr2bl w:val="nil"/>
            </w:tcBorders>
            <w:vAlign w:val="center"/>
          </w:tcPr>
          <w:p w14:paraId="3270AB0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25</w:t>
            </w:r>
          </w:p>
        </w:tc>
        <w:tc>
          <w:tcPr>
            <w:tcW w:w="1005" w:type="dxa"/>
            <w:tcBorders>
              <w:tl2br w:val="nil"/>
              <w:tr2bl w:val="nil"/>
            </w:tcBorders>
            <w:vAlign w:val="center"/>
          </w:tcPr>
          <w:p w14:paraId="20D0579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0.176</w:t>
            </w:r>
          </w:p>
        </w:tc>
        <w:tc>
          <w:tcPr>
            <w:tcW w:w="1125" w:type="dxa"/>
            <w:tcBorders>
              <w:tl2br w:val="nil"/>
              <w:tr2bl w:val="nil"/>
            </w:tcBorders>
            <w:vAlign w:val="center"/>
          </w:tcPr>
          <w:p w14:paraId="479F462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1.48</w:t>
            </w:r>
          </w:p>
        </w:tc>
        <w:tc>
          <w:tcPr>
            <w:tcW w:w="1260" w:type="dxa"/>
            <w:tcBorders>
              <w:tl2br w:val="nil"/>
              <w:tr2bl w:val="nil"/>
            </w:tcBorders>
            <w:vAlign w:val="center"/>
          </w:tcPr>
          <w:p w14:paraId="065EA00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0.011</w:t>
            </w:r>
          </w:p>
        </w:tc>
        <w:tc>
          <w:tcPr>
            <w:tcW w:w="960" w:type="dxa"/>
            <w:tcBorders>
              <w:tl2br w:val="nil"/>
              <w:tr2bl w:val="nil"/>
            </w:tcBorders>
            <w:vAlign w:val="center"/>
          </w:tcPr>
          <w:p w14:paraId="6AAADA4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eastAsia" w:ascii="Times New Roman" w:hAnsi="Times New Roman" w:eastAsia="宋体" w:cs="Times New Roman"/>
                <w:snapToGrid w:val="0"/>
                <w:color w:val="000000"/>
                <w:sz w:val="21"/>
                <w:szCs w:val="21"/>
                <w:highlight w:val="none"/>
                <w:lang w:val="en-US" w:eastAsia="zh-CN"/>
              </w:rPr>
              <w:t>/</w:t>
            </w:r>
          </w:p>
        </w:tc>
        <w:tc>
          <w:tcPr>
            <w:tcW w:w="1375" w:type="dxa"/>
            <w:tcBorders>
              <w:tl2br w:val="nil"/>
              <w:tr2bl w:val="nil"/>
            </w:tcBorders>
            <w:vAlign w:val="center"/>
          </w:tcPr>
          <w:p w14:paraId="5BA736F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eastAsia" w:ascii="Times New Roman" w:hAnsi="Times New Roman" w:eastAsia="宋体" w:cs="Times New Roman"/>
                <w:snapToGrid w:val="0"/>
                <w:color w:val="000000"/>
                <w:sz w:val="21"/>
                <w:szCs w:val="21"/>
                <w:highlight w:val="none"/>
                <w:lang w:val="en-US" w:eastAsia="zh-CN"/>
              </w:rPr>
              <w:t>/</w:t>
            </w:r>
          </w:p>
        </w:tc>
      </w:tr>
      <w:tr w14:paraId="6BC4D46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897" w:type="dxa"/>
            <w:vMerge w:val="continue"/>
            <w:tcBorders>
              <w:tl2br w:val="nil"/>
              <w:tr2bl w:val="nil"/>
            </w:tcBorders>
            <w:vAlign w:val="center"/>
          </w:tcPr>
          <w:p w14:paraId="7A82449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napToGrid w:val="0"/>
                <w:color w:val="000000"/>
                <w:sz w:val="21"/>
                <w:szCs w:val="21"/>
                <w:highlight w:val="none"/>
              </w:rPr>
            </w:pPr>
          </w:p>
        </w:tc>
        <w:tc>
          <w:tcPr>
            <w:tcW w:w="663" w:type="dxa"/>
            <w:tcBorders>
              <w:tl2br w:val="nil"/>
              <w:tr2bl w:val="nil"/>
            </w:tcBorders>
            <w:vAlign w:val="center"/>
          </w:tcPr>
          <w:p w14:paraId="70F09C6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z w:val="21"/>
                <w:szCs w:val="21"/>
                <w:highlight w:val="none"/>
              </w:rPr>
              <w:t>DA</w:t>
            </w:r>
            <w:r>
              <w:rPr>
                <w:rFonts w:hint="default" w:ascii="Times New Roman" w:hAnsi="Times New Roman" w:eastAsia="Times New Roman" w:cs="Times New Roman"/>
                <w:snapToGrid w:val="0"/>
                <w:color w:val="000000"/>
                <w:spacing w:val="8"/>
                <w:sz w:val="21"/>
                <w:szCs w:val="21"/>
                <w:highlight w:val="none"/>
              </w:rPr>
              <w:t>045</w:t>
            </w:r>
          </w:p>
        </w:tc>
        <w:tc>
          <w:tcPr>
            <w:tcW w:w="1021" w:type="dxa"/>
            <w:tcBorders>
              <w:tl2br w:val="nil"/>
              <w:tr2bl w:val="nil"/>
            </w:tcBorders>
            <w:vAlign w:val="center"/>
          </w:tcPr>
          <w:p w14:paraId="201ADB6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19</w:t>
            </w:r>
          </w:p>
        </w:tc>
        <w:tc>
          <w:tcPr>
            <w:tcW w:w="1005" w:type="dxa"/>
            <w:tcBorders>
              <w:tl2br w:val="nil"/>
              <w:tr2bl w:val="nil"/>
            </w:tcBorders>
            <w:vAlign w:val="center"/>
          </w:tcPr>
          <w:p w14:paraId="559BCCA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0.090</w:t>
            </w:r>
          </w:p>
        </w:tc>
        <w:tc>
          <w:tcPr>
            <w:tcW w:w="1125" w:type="dxa"/>
            <w:tcBorders>
              <w:tl2br w:val="nil"/>
              <w:tr2bl w:val="nil"/>
            </w:tcBorders>
            <w:vAlign w:val="center"/>
          </w:tcPr>
          <w:p w14:paraId="43510D8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1.98</w:t>
            </w:r>
          </w:p>
        </w:tc>
        <w:tc>
          <w:tcPr>
            <w:tcW w:w="1260" w:type="dxa"/>
            <w:tcBorders>
              <w:tl2br w:val="nil"/>
              <w:tr2bl w:val="nil"/>
            </w:tcBorders>
            <w:vAlign w:val="center"/>
          </w:tcPr>
          <w:p w14:paraId="624FF6E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0.009</w:t>
            </w:r>
          </w:p>
        </w:tc>
        <w:tc>
          <w:tcPr>
            <w:tcW w:w="960" w:type="dxa"/>
            <w:tcBorders>
              <w:tl2br w:val="nil"/>
              <w:tr2bl w:val="nil"/>
            </w:tcBorders>
            <w:vAlign w:val="center"/>
          </w:tcPr>
          <w:p w14:paraId="07AA9AC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eastAsia" w:ascii="Times New Roman" w:hAnsi="Times New Roman" w:eastAsia="宋体" w:cs="Times New Roman"/>
                <w:snapToGrid w:val="0"/>
                <w:color w:val="000000"/>
                <w:sz w:val="21"/>
                <w:szCs w:val="21"/>
                <w:highlight w:val="none"/>
                <w:lang w:val="en-US" w:eastAsia="zh-CN"/>
              </w:rPr>
              <w:t>/</w:t>
            </w:r>
          </w:p>
        </w:tc>
        <w:tc>
          <w:tcPr>
            <w:tcW w:w="1375" w:type="dxa"/>
            <w:tcBorders>
              <w:tl2br w:val="nil"/>
              <w:tr2bl w:val="nil"/>
            </w:tcBorders>
            <w:vAlign w:val="center"/>
          </w:tcPr>
          <w:p w14:paraId="4E979C0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eastAsia" w:ascii="Times New Roman" w:hAnsi="Times New Roman" w:eastAsia="宋体" w:cs="Times New Roman"/>
                <w:snapToGrid w:val="0"/>
                <w:color w:val="000000"/>
                <w:sz w:val="21"/>
                <w:szCs w:val="21"/>
                <w:highlight w:val="none"/>
                <w:lang w:val="en-US" w:eastAsia="zh-CN"/>
              </w:rPr>
              <w:t>/</w:t>
            </w:r>
          </w:p>
        </w:tc>
      </w:tr>
      <w:tr w14:paraId="69ABAE5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897" w:type="dxa"/>
            <w:vMerge w:val="continue"/>
            <w:tcBorders>
              <w:tl2br w:val="nil"/>
              <w:tr2bl w:val="nil"/>
            </w:tcBorders>
            <w:vAlign w:val="center"/>
          </w:tcPr>
          <w:p w14:paraId="60500F1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napToGrid w:val="0"/>
                <w:color w:val="000000"/>
                <w:sz w:val="21"/>
                <w:szCs w:val="21"/>
                <w:highlight w:val="none"/>
              </w:rPr>
            </w:pPr>
          </w:p>
        </w:tc>
        <w:tc>
          <w:tcPr>
            <w:tcW w:w="663" w:type="dxa"/>
            <w:tcBorders>
              <w:tl2br w:val="nil"/>
              <w:tr2bl w:val="nil"/>
            </w:tcBorders>
            <w:vAlign w:val="center"/>
          </w:tcPr>
          <w:p w14:paraId="4E1C62B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z w:val="21"/>
                <w:szCs w:val="21"/>
                <w:highlight w:val="none"/>
              </w:rPr>
              <w:t>DA</w:t>
            </w:r>
            <w:r>
              <w:rPr>
                <w:rFonts w:hint="default" w:ascii="Times New Roman" w:hAnsi="Times New Roman" w:eastAsia="Times New Roman" w:cs="Times New Roman"/>
                <w:snapToGrid w:val="0"/>
                <w:color w:val="000000"/>
                <w:spacing w:val="8"/>
                <w:sz w:val="21"/>
                <w:szCs w:val="21"/>
                <w:highlight w:val="none"/>
              </w:rPr>
              <w:t>051</w:t>
            </w:r>
          </w:p>
        </w:tc>
        <w:tc>
          <w:tcPr>
            <w:tcW w:w="1021" w:type="dxa"/>
            <w:tcBorders>
              <w:tl2br w:val="nil"/>
              <w:tr2bl w:val="nil"/>
            </w:tcBorders>
            <w:vAlign w:val="center"/>
          </w:tcPr>
          <w:p w14:paraId="2F2C2F4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17</w:t>
            </w:r>
          </w:p>
        </w:tc>
        <w:tc>
          <w:tcPr>
            <w:tcW w:w="1005" w:type="dxa"/>
            <w:tcBorders>
              <w:tl2br w:val="nil"/>
              <w:tr2bl w:val="nil"/>
            </w:tcBorders>
            <w:vAlign w:val="center"/>
          </w:tcPr>
          <w:p w14:paraId="79E5FCA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0.85</w:t>
            </w:r>
          </w:p>
        </w:tc>
        <w:tc>
          <w:tcPr>
            <w:tcW w:w="1125" w:type="dxa"/>
            <w:tcBorders>
              <w:tl2br w:val="nil"/>
              <w:tr2bl w:val="nil"/>
            </w:tcBorders>
            <w:vAlign w:val="center"/>
          </w:tcPr>
          <w:p w14:paraId="5B0D0EE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1.34</w:t>
            </w:r>
          </w:p>
        </w:tc>
        <w:tc>
          <w:tcPr>
            <w:tcW w:w="1260" w:type="dxa"/>
            <w:tcBorders>
              <w:tl2br w:val="nil"/>
              <w:tr2bl w:val="nil"/>
            </w:tcBorders>
            <w:vAlign w:val="center"/>
          </w:tcPr>
          <w:p w14:paraId="0572EEB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0.07</w:t>
            </w:r>
          </w:p>
        </w:tc>
        <w:tc>
          <w:tcPr>
            <w:tcW w:w="960" w:type="dxa"/>
            <w:tcBorders>
              <w:tl2br w:val="nil"/>
              <w:tr2bl w:val="nil"/>
            </w:tcBorders>
            <w:vAlign w:val="center"/>
          </w:tcPr>
          <w:p w14:paraId="5A3EFE7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w:t>
            </w:r>
          </w:p>
        </w:tc>
        <w:tc>
          <w:tcPr>
            <w:tcW w:w="1375" w:type="dxa"/>
            <w:tcBorders>
              <w:tl2br w:val="nil"/>
              <w:tr2bl w:val="nil"/>
            </w:tcBorders>
            <w:vAlign w:val="center"/>
          </w:tcPr>
          <w:p w14:paraId="2F99DAD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w:t>
            </w:r>
          </w:p>
        </w:tc>
      </w:tr>
      <w:tr w14:paraId="2457BF6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897" w:type="dxa"/>
            <w:vMerge w:val="continue"/>
            <w:tcBorders>
              <w:tl2br w:val="nil"/>
              <w:tr2bl w:val="nil"/>
            </w:tcBorders>
            <w:vAlign w:val="center"/>
          </w:tcPr>
          <w:p w14:paraId="44201B2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napToGrid w:val="0"/>
                <w:color w:val="000000"/>
                <w:sz w:val="21"/>
                <w:szCs w:val="21"/>
                <w:highlight w:val="none"/>
              </w:rPr>
            </w:pPr>
          </w:p>
        </w:tc>
        <w:tc>
          <w:tcPr>
            <w:tcW w:w="663" w:type="dxa"/>
            <w:tcBorders>
              <w:tl2br w:val="nil"/>
              <w:tr2bl w:val="nil"/>
            </w:tcBorders>
            <w:vAlign w:val="center"/>
          </w:tcPr>
          <w:p w14:paraId="404C183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z w:val="21"/>
                <w:szCs w:val="21"/>
                <w:highlight w:val="none"/>
              </w:rPr>
              <w:t>DA</w:t>
            </w:r>
            <w:r>
              <w:rPr>
                <w:rFonts w:hint="default" w:ascii="Times New Roman" w:hAnsi="Times New Roman" w:eastAsia="Times New Roman" w:cs="Times New Roman"/>
                <w:snapToGrid w:val="0"/>
                <w:color w:val="000000"/>
                <w:spacing w:val="8"/>
                <w:sz w:val="21"/>
                <w:szCs w:val="21"/>
                <w:highlight w:val="none"/>
              </w:rPr>
              <w:t>053</w:t>
            </w:r>
          </w:p>
        </w:tc>
        <w:tc>
          <w:tcPr>
            <w:tcW w:w="1021" w:type="dxa"/>
            <w:tcBorders>
              <w:tl2br w:val="nil"/>
              <w:tr2bl w:val="nil"/>
            </w:tcBorders>
            <w:vAlign w:val="center"/>
          </w:tcPr>
          <w:p w14:paraId="7DF512A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21</w:t>
            </w:r>
          </w:p>
        </w:tc>
        <w:tc>
          <w:tcPr>
            <w:tcW w:w="1005" w:type="dxa"/>
            <w:tcBorders>
              <w:tl2br w:val="nil"/>
              <w:tr2bl w:val="nil"/>
            </w:tcBorders>
            <w:vAlign w:val="center"/>
          </w:tcPr>
          <w:p w14:paraId="23923A1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0.222</w:t>
            </w:r>
          </w:p>
        </w:tc>
        <w:tc>
          <w:tcPr>
            <w:tcW w:w="1125" w:type="dxa"/>
            <w:tcBorders>
              <w:tl2br w:val="nil"/>
              <w:tr2bl w:val="nil"/>
            </w:tcBorders>
            <w:vAlign w:val="center"/>
          </w:tcPr>
          <w:p w14:paraId="1A3A453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1.78</w:t>
            </w:r>
          </w:p>
        </w:tc>
        <w:tc>
          <w:tcPr>
            <w:tcW w:w="1260" w:type="dxa"/>
            <w:tcBorders>
              <w:tl2br w:val="nil"/>
              <w:tr2bl w:val="nil"/>
            </w:tcBorders>
            <w:vAlign w:val="center"/>
          </w:tcPr>
          <w:p w14:paraId="79A9950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0.019</w:t>
            </w:r>
          </w:p>
        </w:tc>
        <w:tc>
          <w:tcPr>
            <w:tcW w:w="960" w:type="dxa"/>
            <w:tcBorders>
              <w:tl2br w:val="nil"/>
              <w:tr2bl w:val="nil"/>
            </w:tcBorders>
            <w:vAlign w:val="center"/>
          </w:tcPr>
          <w:p w14:paraId="2E305DE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eastAsia" w:ascii="Times New Roman" w:hAnsi="Times New Roman" w:eastAsia="宋体" w:cs="Times New Roman"/>
                <w:snapToGrid w:val="0"/>
                <w:color w:val="000000"/>
                <w:sz w:val="21"/>
                <w:szCs w:val="21"/>
                <w:highlight w:val="none"/>
                <w:lang w:val="en-US" w:eastAsia="zh-CN"/>
              </w:rPr>
              <w:t>/</w:t>
            </w:r>
          </w:p>
        </w:tc>
        <w:tc>
          <w:tcPr>
            <w:tcW w:w="1375" w:type="dxa"/>
            <w:tcBorders>
              <w:tl2br w:val="nil"/>
              <w:tr2bl w:val="nil"/>
            </w:tcBorders>
            <w:vAlign w:val="center"/>
          </w:tcPr>
          <w:p w14:paraId="1D57B19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eastAsia" w:ascii="Times New Roman" w:hAnsi="Times New Roman" w:eastAsia="宋体" w:cs="Times New Roman"/>
                <w:snapToGrid w:val="0"/>
                <w:color w:val="000000"/>
                <w:sz w:val="21"/>
                <w:szCs w:val="21"/>
                <w:highlight w:val="none"/>
                <w:lang w:val="en-US" w:eastAsia="zh-CN"/>
              </w:rPr>
              <w:t>/</w:t>
            </w:r>
          </w:p>
        </w:tc>
      </w:tr>
      <w:tr w14:paraId="39CB5D8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897" w:type="dxa"/>
            <w:vMerge w:val="continue"/>
            <w:tcBorders>
              <w:tl2br w:val="nil"/>
              <w:tr2bl w:val="nil"/>
            </w:tcBorders>
            <w:vAlign w:val="center"/>
          </w:tcPr>
          <w:p w14:paraId="6220B00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napToGrid w:val="0"/>
                <w:color w:val="000000"/>
                <w:sz w:val="21"/>
                <w:szCs w:val="21"/>
                <w:highlight w:val="none"/>
              </w:rPr>
            </w:pPr>
          </w:p>
        </w:tc>
        <w:tc>
          <w:tcPr>
            <w:tcW w:w="663" w:type="dxa"/>
            <w:tcBorders>
              <w:tl2br w:val="nil"/>
              <w:tr2bl w:val="nil"/>
            </w:tcBorders>
            <w:vAlign w:val="center"/>
          </w:tcPr>
          <w:p w14:paraId="44544DA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z w:val="21"/>
                <w:szCs w:val="21"/>
                <w:highlight w:val="none"/>
              </w:rPr>
              <w:t>DA</w:t>
            </w:r>
            <w:r>
              <w:rPr>
                <w:rFonts w:hint="default" w:ascii="Times New Roman" w:hAnsi="Times New Roman" w:eastAsia="Times New Roman" w:cs="Times New Roman"/>
                <w:snapToGrid w:val="0"/>
                <w:color w:val="000000"/>
                <w:spacing w:val="8"/>
                <w:sz w:val="21"/>
                <w:szCs w:val="21"/>
                <w:highlight w:val="none"/>
              </w:rPr>
              <w:t>055</w:t>
            </w:r>
          </w:p>
        </w:tc>
        <w:tc>
          <w:tcPr>
            <w:tcW w:w="1021" w:type="dxa"/>
            <w:tcBorders>
              <w:tl2br w:val="nil"/>
              <w:tr2bl w:val="nil"/>
            </w:tcBorders>
            <w:vAlign w:val="center"/>
          </w:tcPr>
          <w:p w14:paraId="7963041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19</w:t>
            </w:r>
          </w:p>
        </w:tc>
        <w:tc>
          <w:tcPr>
            <w:tcW w:w="1005" w:type="dxa"/>
            <w:tcBorders>
              <w:tl2br w:val="nil"/>
              <w:tr2bl w:val="nil"/>
            </w:tcBorders>
            <w:vAlign w:val="center"/>
          </w:tcPr>
          <w:p w14:paraId="1BA4027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0.149</w:t>
            </w:r>
          </w:p>
        </w:tc>
        <w:tc>
          <w:tcPr>
            <w:tcW w:w="1125" w:type="dxa"/>
            <w:tcBorders>
              <w:tl2br w:val="nil"/>
              <w:tr2bl w:val="nil"/>
            </w:tcBorders>
            <w:vAlign w:val="center"/>
          </w:tcPr>
          <w:p w14:paraId="525E8FD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2.54</w:t>
            </w:r>
          </w:p>
        </w:tc>
        <w:tc>
          <w:tcPr>
            <w:tcW w:w="1260" w:type="dxa"/>
            <w:tcBorders>
              <w:tl2br w:val="nil"/>
              <w:tr2bl w:val="nil"/>
            </w:tcBorders>
            <w:vAlign w:val="center"/>
          </w:tcPr>
          <w:p w14:paraId="40E0ACC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0.020</w:t>
            </w:r>
          </w:p>
        </w:tc>
        <w:tc>
          <w:tcPr>
            <w:tcW w:w="960" w:type="dxa"/>
            <w:tcBorders>
              <w:tl2br w:val="nil"/>
              <w:tr2bl w:val="nil"/>
            </w:tcBorders>
            <w:vAlign w:val="center"/>
          </w:tcPr>
          <w:p w14:paraId="3C03108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eastAsia" w:ascii="Times New Roman" w:hAnsi="Times New Roman" w:eastAsia="宋体" w:cs="Times New Roman"/>
                <w:snapToGrid w:val="0"/>
                <w:color w:val="000000"/>
                <w:sz w:val="21"/>
                <w:szCs w:val="21"/>
                <w:highlight w:val="none"/>
                <w:lang w:val="en-US" w:eastAsia="zh-CN"/>
              </w:rPr>
              <w:t>/</w:t>
            </w:r>
          </w:p>
        </w:tc>
        <w:tc>
          <w:tcPr>
            <w:tcW w:w="1375" w:type="dxa"/>
            <w:tcBorders>
              <w:tl2br w:val="nil"/>
              <w:tr2bl w:val="nil"/>
            </w:tcBorders>
            <w:vAlign w:val="center"/>
          </w:tcPr>
          <w:p w14:paraId="3613C95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eastAsia" w:ascii="Times New Roman" w:hAnsi="Times New Roman" w:eastAsia="宋体" w:cs="Times New Roman"/>
                <w:snapToGrid w:val="0"/>
                <w:color w:val="000000"/>
                <w:sz w:val="21"/>
                <w:szCs w:val="21"/>
                <w:highlight w:val="none"/>
                <w:lang w:val="en-US" w:eastAsia="zh-CN"/>
              </w:rPr>
              <w:t>/</w:t>
            </w:r>
          </w:p>
        </w:tc>
      </w:tr>
      <w:tr w14:paraId="4BEF4B9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8306" w:type="dxa"/>
            <w:gridSpan w:val="8"/>
            <w:tcBorders>
              <w:tl2br w:val="nil"/>
              <w:tr2bl w:val="nil"/>
            </w:tcBorders>
            <w:vAlign w:val="center"/>
          </w:tcPr>
          <w:p w14:paraId="0438D4A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注：DA058、DA059排气筒长时间未生产，无监测数据，DA060-DA063</w:t>
            </w:r>
            <w:r>
              <w:rPr>
                <w:rFonts w:hint="eastAsia" w:cs="Times New Roman"/>
                <w:snapToGrid w:val="0"/>
                <w:color w:val="000000"/>
                <w:sz w:val="21"/>
                <w:szCs w:val="21"/>
                <w:highlight w:val="none"/>
                <w:lang w:val="en-US" w:eastAsia="zh-CN"/>
              </w:rPr>
              <w:t>所在项目</w:t>
            </w:r>
            <w:r>
              <w:rPr>
                <w:rFonts w:hint="eastAsia" w:ascii="Times New Roman" w:hAnsi="Times New Roman" w:eastAsia="宋体" w:cs="Times New Roman"/>
                <w:snapToGrid w:val="0"/>
                <w:color w:val="000000"/>
                <w:sz w:val="21"/>
                <w:szCs w:val="21"/>
                <w:highlight w:val="none"/>
                <w:lang w:val="en-US" w:eastAsia="zh-CN"/>
              </w:rPr>
              <w:t>暂未建成，未进行检测</w:t>
            </w:r>
          </w:p>
        </w:tc>
      </w:tr>
    </w:tbl>
    <w:p w14:paraId="2AD8BB90">
      <w:pPr>
        <w:bidi w:val="0"/>
        <w:rPr>
          <w:rFonts w:hint="eastAsia"/>
          <w:highlight w:val="none"/>
        </w:rPr>
      </w:pPr>
      <w:r>
        <w:rPr>
          <w:highlight w:val="none"/>
        </w:rPr>
        <w:t>根据</w:t>
      </w:r>
      <w:r>
        <w:rPr>
          <w:rFonts w:ascii="Times New Roman" w:hAnsi="Times New Roman"/>
          <w:kern w:val="24"/>
          <w:highlight w:val="none"/>
        </w:rPr>
        <w:t>据哈尔滨东安汽车发动机制造有限公司202</w:t>
      </w:r>
      <w:r>
        <w:rPr>
          <w:rFonts w:hint="eastAsia" w:ascii="Times New Roman" w:hAnsi="Times New Roman"/>
          <w:kern w:val="24"/>
          <w:highlight w:val="none"/>
          <w:lang w:val="en-US" w:eastAsia="zh-CN"/>
        </w:rPr>
        <w:t>4</w:t>
      </w:r>
      <w:r>
        <w:rPr>
          <w:rFonts w:ascii="Times New Roman" w:hAnsi="Times New Roman"/>
          <w:kern w:val="24"/>
          <w:highlight w:val="none"/>
        </w:rPr>
        <w:t>年</w:t>
      </w:r>
      <w:r>
        <w:rPr>
          <w:rFonts w:hint="eastAsia" w:ascii="Times New Roman" w:hAnsi="Times New Roman"/>
          <w:kern w:val="24"/>
          <w:highlight w:val="none"/>
          <w:lang w:val="en-US" w:eastAsia="zh-CN"/>
        </w:rPr>
        <w:t>7月、10月</w:t>
      </w:r>
      <w:r>
        <w:rPr>
          <w:rFonts w:ascii="Times New Roman" w:hAnsi="Times New Roman"/>
          <w:kern w:val="24"/>
          <w:highlight w:val="none"/>
        </w:rPr>
        <w:t>排污许可例行监测报告</w:t>
      </w:r>
      <w:r>
        <w:rPr>
          <w:rFonts w:hint="eastAsia"/>
          <w:highlight w:val="none"/>
        </w:rPr>
        <w:t>，厂界总悬浮颗粒物、非甲烷总烃、氨、硫化氢、臭气浓度监测结果见下表3-1-5。</w:t>
      </w:r>
    </w:p>
    <w:p w14:paraId="498A0494">
      <w:pPr>
        <w:pStyle w:val="7"/>
        <w:bidi w:val="0"/>
        <w:rPr>
          <w:rFonts w:hint="default"/>
          <w:highlight w:val="none"/>
          <w:lang w:val="en-US" w:eastAsia="zh-CN"/>
        </w:rPr>
      </w:pPr>
      <w:r>
        <w:rPr>
          <w:rFonts w:hint="eastAsia"/>
          <w:highlight w:val="none"/>
          <w:lang w:val="en-US" w:eastAsia="zh-CN"/>
        </w:rPr>
        <w:t>表3-1-5</w:t>
      </w:r>
      <w:r>
        <w:rPr>
          <w:highlight w:val="none"/>
        </w:rPr>
        <w:t>现有工程有组织废气排放情况一览表</w:t>
      </w:r>
    </w:p>
    <w:tbl>
      <w:tblPr>
        <w:tblStyle w:val="739"/>
        <w:tblW w:w="5006" w:type="pct"/>
        <w:tblInd w:w="6"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513"/>
        <w:gridCol w:w="2522"/>
        <w:gridCol w:w="2822"/>
        <w:gridCol w:w="1459"/>
      </w:tblGrid>
      <w:tr w14:paraId="35DB7FC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1513" w:type="dxa"/>
            <w:tcBorders>
              <w:tl2br w:val="nil"/>
              <w:tr2bl w:val="nil"/>
            </w:tcBorders>
            <w:vAlign w:val="top"/>
          </w:tcPr>
          <w:p w14:paraId="248FDC6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z w:val="21"/>
                <w:szCs w:val="21"/>
                <w:highlight w:val="none"/>
              </w:rPr>
              <w:t>监测点位</w:t>
            </w:r>
          </w:p>
        </w:tc>
        <w:tc>
          <w:tcPr>
            <w:tcW w:w="2522" w:type="dxa"/>
            <w:tcBorders>
              <w:tl2br w:val="nil"/>
              <w:tr2bl w:val="nil"/>
            </w:tcBorders>
            <w:vAlign w:val="top"/>
          </w:tcPr>
          <w:p w14:paraId="55933A4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z w:val="21"/>
                <w:szCs w:val="21"/>
                <w:highlight w:val="none"/>
              </w:rPr>
              <w:t>监测项目</w:t>
            </w:r>
          </w:p>
        </w:tc>
        <w:tc>
          <w:tcPr>
            <w:tcW w:w="2822" w:type="dxa"/>
            <w:tcBorders>
              <w:tl2br w:val="nil"/>
              <w:tr2bl w:val="nil"/>
            </w:tcBorders>
            <w:vAlign w:val="top"/>
          </w:tcPr>
          <w:p w14:paraId="6EF1BEE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z w:val="21"/>
                <w:szCs w:val="21"/>
                <w:highlight w:val="none"/>
              </w:rPr>
              <w:t>检测结果</w:t>
            </w:r>
          </w:p>
        </w:tc>
        <w:tc>
          <w:tcPr>
            <w:tcW w:w="1459" w:type="dxa"/>
            <w:tcBorders>
              <w:tl2br w:val="nil"/>
              <w:tr2bl w:val="nil"/>
            </w:tcBorders>
            <w:vAlign w:val="top"/>
          </w:tcPr>
          <w:p w14:paraId="0AB2318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z w:val="21"/>
                <w:szCs w:val="21"/>
                <w:highlight w:val="none"/>
              </w:rPr>
              <w:t>单位</w:t>
            </w:r>
          </w:p>
        </w:tc>
      </w:tr>
      <w:tr w14:paraId="02B7D8B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1513" w:type="dxa"/>
            <w:vMerge w:val="restart"/>
            <w:tcBorders>
              <w:tl2br w:val="nil"/>
              <w:tr2bl w:val="nil"/>
            </w:tcBorders>
            <w:vAlign w:val="center"/>
          </w:tcPr>
          <w:p w14:paraId="67FA498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z w:val="21"/>
                <w:szCs w:val="21"/>
                <w:highlight w:val="none"/>
              </w:rPr>
              <w:t>厂界</w:t>
            </w:r>
          </w:p>
        </w:tc>
        <w:tc>
          <w:tcPr>
            <w:tcW w:w="2522" w:type="dxa"/>
            <w:tcBorders>
              <w:tl2br w:val="nil"/>
              <w:tr2bl w:val="nil"/>
            </w:tcBorders>
            <w:vAlign w:val="top"/>
          </w:tcPr>
          <w:p w14:paraId="0B5507E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z w:val="21"/>
                <w:szCs w:val="21"/>
                <w:highlight w:val="none"/>
              </w:rPr>
              <w:t>NH</w:t>
            </w:r>
            <w:r>
              <w:rPr>
                <w:rFonts w:hint="default" w:ascii="Times New Roman" w:hAnsi="Times New Roman" w:eastAsia="Times New Roman" w:cs="Times New Roman"/>
                <w:snapToGrid w:val="0"/>
                <w:color w:val="000000"/>
                <w:sz w:val="21"/>
                <w:szCs w:val="21"/>
                <w:highlight w:val="none"/>
                <w:vertAlign w:val="subscript"/>
              </w:rPr>
              <w:t>3</w:t>
            </w:r>
          </w:p>
        </w:tc>
        <w:tc>
          <w:tcPr>
            <w:tcW w:w="2822" w:type="dxa"/>
            <w:tcBorders>
              <w:tl2br w:val="nil"/>
              <w:tr2bl w:val="nil"/>
            </w:tcBorders>
            <w:vAlign w:val="top"/>
          </w:tcPr>
          <w:p w14:paraId="35BE559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0.01L</w:t>
            </w:r>
          </w:p>
        </w:tc>
        <w:tc>
          <w:tcPr>
            <w:tcW w:w="1459" w:type="dxa"/>
            <w:tcBorders>
              <w:tl2br w:val="nil"/>
              <w:tr2bl w:val="nil"/>
            </w:tcBorders>
            <w:vAlign w:val="top"/>
          </w:tcPr>
          <w:p w14:paraId="6E579A3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z w:val="21"/>
                <w:szCs w:val="21"/>
                <w:highlight w:val="none"/>
              </w:rPr>
              <w:t>mg/m</w:t>
            </w:r>
            <w:r>
              <w:rPr>
                <w:rFonts w:hint="default" w:ascii="Times New Roman" w:hAnsi="Times New Roman" w:eastAsia="Times New Roman" w:cs="Times New Roman"/>
                <w:snapToGrid w:val="0"/>
                <w:color w:val="000000"/>
                <w:sz w:val="21"/>
                <w:szCs w:val="21"/>
                <w:highlight w:val="none"/>
                <w:vertAlign w:val="superscript"/>
              </w:rPr>
              <w:t>3</w:t>
            </w:r>
          </w:p>
        </w:tc>
      </w:tr>
      <w:tr w14:paraId="4D6C9D0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1513" w:type="dxa"/>
            <w:vMerge w:val="continue"/>
            <w:tcBorders>
              <w:tl2br w:val="nil"/>
              <w:tr2bl w:val="nil"/>
            </w:tcBorders>
            <w:vAlign w:val="top"/>
          </w:tcPr>
          <w:p w14:paraId="23A15B9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p>
        </w:tc>
        <w:tc>
          <w:tcPr>
            <w:tcW w:w="2522" w:type="dxa"/>
            <w:tcBorders>
              <w:tl2br w:val="nil"/>
              <w:tr2bl w:val="nil"/>
            </w:tcBorders>
            <w:vAlign w:val="top"/>
          </w:tcPr>
          <w:p w14:paraId="618AC2E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z w:val="21"/>
                <w:szCs w:val="21"/>
                <w:highlight w:val="none"/>
              </w:rPr>
              <w:t>H</w:t>
            </w:r>
            <w:r>
              <w:rPr>
                <w:rFonts w:hint="default" w:ascii="Times New Roman" w:hAnsi="Times New Roman" w:eastAsia="Times New Roman" w:cs="Times New Roman"/>
                <w:snapToGrid w:val="0"/>
                <w:color w:val="000000"/>
                <w:sz w:val="21"/>
                <w:szCs w:val="21"/>
                <w:highlight w:val="none"/>
                <w:vertAlign w:val="subscript"/>
              </w:rPr>
              <w:t>2</w:t>
            </w:r>
            <w:r>
              <w:rPr>
                <w:rFonts w:hint="default" w:ascii="Times New Roman" w:hAnsi="Times New Roman" w:eastAsia="Times New Roman" w:cs="Times New Roman"/>
                <w:snapToGrid w:val="0"/>
                <w:color w:val="000000"/>
                <w:sz w:val="21"/>
                <w:szCs w:val="21"/>
                <w:highlight w:val="none"/>
              </w:rPr>
              <w:t>S</w:t>
            </w:r>
          </w:p>
        </w:tc>
        <w:tc>
          <w:tcPr>
            <w:tcW w:w="2822" w:type="dxa"/>
            <w:tcBorders>
              <w:tl2br w:val="nil"/>
              <w:tr2bl w:val="nil"/>
            </w:tcBorders>
            <w:vAlign w:val="top"/>
          </w:tcPr>
          <w:p w14:paraId="17851E2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z w:val="21"/>
                <w:szCs w:val="21"/>
                <w:highlight w:val="none"/>
              </w:rPr>
              <w:t>0.001L</w:t>
            </w:r>
          </w:p>
        </w:tc>
        <w:tc>
          <w:tcPr>
            <w:tcW w:w="1459" w:type="dxa"/>
            <w:tcBorders>
              <w:tl2br w:val="nil"/>
              <w:tr2bl w:val="nil"/>
            </w:tcBorders>
            <w:vAlign w:val="top"/>
          </w:tcPr>
          <w:p w14:paraId="6BC99B3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z w:val="21"/>
                <w:szCs w:val="21"/>
                <w:highlight w:val="none"/>
              </w:rPr>
              <w:t>mg/m</w:t>
            </w:r>
            <w:r>
              <w:rPr>
                <w:rFonts w:hint="default" w:ascii="Times New Roman" w:hAnsi="Times New Roman" w:eastAsia="Times New Roman" w:cs="Times New Roman"/>
                <w:snapToGrid w:val="0"/>
                <w:color w:val="000000"/>
                <w:sz w:val="21"/>
                <w:szCs w:val="21"/>
                <w:highlight w:val="none"/>
                <w:vertAlign w:val="superscript"/>
              </w:rPr>
              <w:t>3</w:t>
            </w:r>
          </w:p>
        </w:tc>
      </w:tr>
      <w:tr w14:paraId="202EDE5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1513" w:type="dxa"/>
            <w:vMerge w:val="continue"/>
            <w:tcBorders>
              <w:tl2br w:val="nil"/>
              <w:tr2bl w:val="nil"/>
            </w:tcBorders>
            <w:vAlign w:val="top"/>
          </w:tcPr>
          <w:p w14:paraId="59097E6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p>
        </w:tc>
        <w:tc>
          <w:tcPr>
            <w:tcW w:w="2522" w:type="dxa"/>
            <w:tcBorders>
              <w:tl2br w:val="nil"/>
              <w:tr2bl w:val="nil"/>
            </w:tcBorders>
            <w:vAlign w:val="top"/>
          </w:tcPr>
          <w:p w14:paraId="2DD9E75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z w:val="21"/>
                <w:szCs w:val="21"/>
                <w:highlight w:val="none"/>
              </w:rPr>
              <w:t>臭气浓度</w:t>
            </w:r>
          </w:p>
        </w:tc>
        <w:tc>
          <w:tcPr>
            <w:tcW w:w="2822" w:type="dxa"/>
            <w:tcBorders>
              <w:tl2br w:val="nil"/>
              <w:tr2bl w:val="nil"/>
            </w:tcBorders>
            <w:vAlign w:val="top"/>
          </w:tcPr>
          <w:p w14:paraId="5B7125B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z w:val="21"/>
                <w:szCs w:val="21"/>
                <w:highlight w:val="none"/>
              </w:rPr>
              <w:t>&lt;10</w:t>
            </w:r>
          </w:p>
        </w:tc>
        <w:tc>
          <w:tcPr>
            <w:tcW w:w="1459" w:type="dxa"/>
            <w:tcBorders>
              <w:tl2br w:val="nil"/>
              <w:tr2bl w:val="nil"/>
            </w:tcBorders>
            <w:vAlign w:val="top"/>
          </w:tcPr>
          <w:p w14:paraId="5F49CC7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z w:val="21"/>
                <w:szCs w:val="21"/>
                <w:highlight w:val="none"/>
              </w:rPr>
              <w:t>无量纲</w:t>
            </w:r>
          </w:p>
        </w:tc>
      </w:tr>
      <w:tr w14:paraId="5C281ED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1513" w:type="dxa"/>
            <w:vMerge w:val="continue"/>
            <w:tcBorders>
              <w:tl2br w:val="nil"/>
              <w:tr2bl w:val="nil"/>
            </w:tcBorders>
            <w:vAlign w:val="top"/>
          </w:tcPr>
          <w:p w14:paraId="1454D9D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p>
        </w:tc>
        <w:tc>
          <w:tcPr>
            <w:tcW w:w="2522" w:type="dxa"/>
            <w:tcBorders>
              <w:tl2br w:val="nil"/>
              <w:tr2bl w:val="nil"/>
            </w:tcBorders>
            <w:vAlign w:val="top"/>
          </w:tcPr>
          <w:p w14:paraId="2D86966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z w:val="21"/>
                <w:szCs w:val="21"/>
                <w:highlight w:val="none"/>
              </w:rPr>
              <w:t>TSP</w:t>
            </w:r>
          </w:p>
        </w:tc>
        <w:tc>
          <w:tcPr>
            <w:tcW w:w="2822" w:type="dxa"/>
            <w:tcBorders>
              <w:tl2br w:val="nil"/>
              <w:tr2bl w:val="nil"/>
            </w:tcBorders>
            <w:vAlign w:val="top"/>
          </w:tcPr>
          <w:p w14:paraId="6B5EFB9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0.216-0.243</w:t>
            </w:r>
          </w:p>
        </w:tc>
        <w:tc>
          <w:tcPr>
            <w:tcW w:w="1459" w:type="dxa"/>
            <w:tcBorders>
              <w:tl2br w:val="nil"/>
              <w:tr2bl w:val="nil"/>
            </w:tcBorders>
            <w:vAlign w:val="top"/>
          </w:tcPr>
          <w:p w14:paraId="590C1D1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z w:val="21"/>
                <w:szCs w:val="21"/>
                <w:highlight w:val="none"/>
              </w:rPr>
              <w:t>mg/m</w:t>
            </w:r>
            <w:r>
              <w:rPr>
                <w:rFonts w:hint="default" w:ascii="Times New Roman" w:hAnsi="Times New Roman" w:eastAsia="Times New Roman" w:cs="Times New Roman"/>
                <w:snapToGrid w:val="0"/>
                <w:color w:val="000000"/>
                <w:sz w:val="21"/>
                <w:szCs w:val="21"/>
                <w:highlight w:val="none"/>
                <w:vertAlign w:val="superscript"/>
              </w:rPr>
              <w:t>3</w:t>
            </w:r>
          </w:p>
        </w:tc>
      </w:tr>
      <w:tr w14:paraId="02FDDF6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1513" w:type="dxa"/>
            <w:vMerge w:val="continue"/>
            <w:tcBorders>
              <w:tl2br w:val="nil"/>
              <w:tr2bl w:val="nil"/>
            </w:tcBorders>
            <w:vAlign w:val="top"/>
          </w:tcPr>
          <w:p w14:paraId="64C14E7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p>
        </w:tc>
        <w:tc>
          <w:tcPr>
            <w:tcW w:w="2522" w:type="dxa"/>
            <w:tcBorders>
              <w:tl2br w:val="nil"/>
              <w:tr2bl w:val="nil"/>
            </w:tcBorders>
            <w:vAlign w:val="top"/>
          </w:tcPr>
          <w:p w14:paraId="3561CCC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napToGrid w:val="0"/>
                <w:color w:val="000000"/>
                <w:sz w:val="21"/>
                <w:szCs w:val="21"/>
                <w:highlight w:val="none"/>
                <w:lang w:eastAsia="zh-CN"/>
              </w:rPr>
            </w:pPr>
            <w:r>
              <w:rPr>
                <w:rFonts w:hint="default" w:ascii="Times New Roman" w:hAnsi="Times New Roman" w:eastAsia="Times New Roman" w:cs="Times New Roman"/>
                <w:snapToGrid w:val="0"/>
                <w:color w:val="000000"/>
                <w:sz w:val="21"/>
                <w:szCs w:val="21"/>
                <w:highlight w:val="none"/>
              </w:rPr>
              <w:t>非甲烷总烃</w:t>
            </w:r>
            <w:r>
              <w:rPr>
                <w:rFonts w:hint="eastAsia" w:ascii="Times New Roman" w:hAnsi="Times New Roman" w:eastAsia="宋体" w:cs="Times New Roman"/>
                <w:snapToGrid w:val="0"/>
                <w:color w:val="000000"/>
                <w:sz w:val="21"/>
                <w:szCs w:val="21"/>
                <w:highlight w:val="none"/>
                <w:lang w:eastAsia="zh-CN"/>
              </w:rPr>
              <w:t>（</w:t>
            </w:r>
            <w:r>
              <w:rPr>
                <w:rFonts w:hint="eastAsia" w:ascii="Times New Roman" w:hAnsi="Times New Roman" w:eastAsia="宋体" w:cs="Times New Roman"/>
                <w:snapToGrid w:val="0"/>
                <w:color w:val="000000"/>
                <w:sz w:val="21"/>
                <w:szCs w:val="21"/>
                <w:highlight w:val="none"/>
                <w:lang w:val="en-US" w:eastAsia="zh-CN"/>
              </w:rPr>
              <w:t>下风向</w:t>
            </w:r>
            <w:r>
              <w:rPr>
                <w:rFonts w:hint="eastAsia" w:ascii="Times New Roman" w:hAnsi="Times New Roman" w:eastAsia="宋体" w:cs="Times New Roman"/>
                <w:snapToGrid w:val="0"/>
                <w:color w:val="000000"/>
                <w:sz w:val="21"/>
                <w:szCs w:val="21"/>
                <w:highlight w:val="none"/>
                <w:lang w:eastAsia="zh-CN"/>
              </w:rPr>
              <w:t>）</w:t>
            </w:r>
          </w:p>
        </w:tc>
        <w:tc>
          <w:tcPr>
            <w:tcW w:w="2822" w:type="dxa"/>
            <w:tcBorders>
              <w:tl2br w:val="nil"/>
              <w:tr2bl w:val="nil"/>
            </w:tcBorders>
            <w:vAlign w:val="top"/>
          </w:tcPr>
          <w:p w14:paraId="4C73F7D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0.78-0.98</w:t>
            </w:r>
          </w:p>
        </w:tc>
        <w:tc>
          <w:tcPr>
            <w:tcW w:w="1459" w:type="dxa"/>
            <w:tcBorders>
              <w:tl2br w:val="nil"/>
              <w:tr2bl w:val="nil"/>
            </w:tcBorders>
            <w:vAlign w:val="top"/>
          </w:tcPr>
          <w:p w14:paraId="74EB9E0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z w:val="21"/>
                <w:szCs w:val="21"/>
                <w:highlight w:val="none"/>
              </w:rPr>
              <w:t>mg/m</w:t>
            </w:r>
            <w:r>
              <w:rPr>
                <w:rFonts w:hint="default" w:ascii="Times New Roman" w:hAnsi="Times New Roman" w:eastAsia="Times New Roman" w:cs="Times New Roman"/>
                <w:snapToGrid w:val="0"/>
                <w:color w:val="000000"/>
                <w:sz w:val="21"/>
                <w:szCs w:val="21"/>
                <w:highlight w:val="none"/>
                <w:vertAlign w:val="superscript"/>
              </w:rPr>
              <w:t>3</w:t>
            </w:r>
          </w:p>
        </w:tc>
      </w:tr>
      <w:tr w14:paraId="2D61FD3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1513" w:type="dxa"/>
            <w:vMerge w:val="continue"/>
            <w:tcBorders>
              <w:tl2br w:val="nil"/>
              <w:tr2bl w:val="nil"/>
            </w:tcBorders>
            <w:vAlign w:val="top"/>
          </w:tcPr>
          <w:p w14:paraId="40EC50B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p>
        </w:tc>
        <w:tc>
          <w:tcPr>
            <w:tcW w:w="2522" w:type="dxa"/>
            <w:tcBorders>
              <w:tl2br w:val="nil"/>
              <w:tr2bl w:val="nil"/>
            </w:tcBorders>
            <w:vAlign w:val="top"/>
          </w:tcPr>
          <w:p w14:paraId="21DE1AF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z w:val="21"/>
                <w:szCs w:val="21"/>
                <w:highlight w:val="none"/>
              </w:rPr>
              <w:t>非甲烷总烃</w:t>
            </w:r>
            <w:r>
              <w:rPr>
                <w:rFonts w:hint="eastAsia" w:ascii="Times New Roman" w:hAnsi="Times New Roman" w:eastAsia="宋体" w:cs="Times New Roman"/>
                <w:snapToGrid w:val="0"/>
                <w:color w:val="000000"/>
                <w:sz w:val="21"/>
                <w:szCs w:val="21"/>
                <w:highlight w:val="none"/>
                <w:lang w:eastAsia="zh-CN"/>
              </w:rPr>
              <w:t>（</w:t>
            </w:r>
            <w:r>
              <w:rPr>
                <w:rFonts w:hint="eastAsia" w:ascii="Times New Roman" w:hAnsi="Times New Roman" w:eastAsia="宋体" w:cs="Times New Roman"/>
                <w:snapToGrid w:val="0"/>
                <w:color w:val="000000"/>
                <w:sz w:val="21"/>
                <w:szCs w:val="21"/>
                <w:highlight w:val="none"/>
                <w:lang w:val="en-US" w:eastAsia="zh-CN"/>
              </w:rPr>
              <w:t>厂区内</w:t>
            </w:r>
            <w:r>
              <w:rPr>
                <w:rFonts w:hint="eastAsia" w:ascii="Times New Roman" w:hAnsi="Times New Roman" w:eastAsia="宋体" w:cs="Times New Roman"/>
                <w:snapToGrid w:val="0"/>
                <w:color w:val="000000"/>
                <w:sz w:val="21"/>
                <w:szCs w:val="21"/>
                <w:highlight w:val="none"/>
                <w:lang w:eastAsia="zh-CN"/>
              </w:rPr>
              <w:t>）</w:t>
            </w:r>
          </w:p>
        </w:tc>
        <w:tc>
          <w:tcPr>
            <w:tcW w:w="2822" w:type="dxa"/>
            <w:tcBorders>
              <w:tl2br w:val="nil"/>
              <w:tr2bl w:val="nil"/>
            </w:tcBorders>
            <w:vAlign w:val="top"/>
          </w:tcPr>
          <w:p w14:paraId="30A9D45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sz w:val="21"/>
                <w:szCs w:val="21"/>
                <w:highlight w:val="none"/>
                <w:lang w:val="en-US" w:eastAsia="zh-CN"/>
              </w:rPr>
            </w:pPr>
            <w:r>
              <w:rPr>
                <w:rFonts w:hint="eastAsia" w:ascii="Times New Roman" w:hAnsi="Times New Roman" w:eastAsia="宋体" w:cs="Times New Roman"/>
                <w:snapToGrid w:val="0"/>
                <w:color w:val="000000"/>
                <w:sz w:val="21"/>
                <w:szCs w:val="21"/>
                <w:highlight w:val="none"/>
                <w:lang w:val="en-US" w:eastAsia="zh-CN"/>
              </w:rPr>
              <w:t>0.67-0.83</w:t>
            </w:r>
          </w:p>
        </w:tc>
        <w:tc>
          <w:tcPr>
            <w:tcW w:w="1459" w:type="dxa"/>
            <w:tcBorders>
              <w:tl2br w:val="nil"/>
              <w:tr2bl w:val="nil"/>
            </w:tcBorders>
            <w:vAlign w:val="top"/>
          </w:tcPr>
          <w:p w14:paraId="0C1005D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snapToGrid w:val="0"/>
                <w:color w:val="000000"/>
                <w:sz w:val="21"/>
                <w:szCs w:val="21"/>
                <w:highlight w:val="none"/>
              </w:rPr>
            </w:pPr>
            <w:r>
              <w:rPr>
                <w:rFonts w:hint="default" w:ascii="Times New Roman" w:hAnsi="Times New Roman" w:eastAsia="Times New Roman" w:cs="Times New Roman"/>
                <w:snapToGrid w:val="0"/>
                <w:color w:val="000000"/>
                <w:sz w:val="21"/>
                <w:szCs w:val="21"/>
                <w:highlight w:val="none"/>
              </w:rPr>
              <w:t>mg/m</w:t>
            </w:r>
            <w:r>
              <w:rPr>
                <w:rFonts w:hint="default" w:ascii="Times New Roman" w:hAnsi="Times New Roman" w:eastAsia="Times New Roman" w:cs="Times New Roman"/>
                <w:snapToGrid w:val="0"/>
                <w:color w:val="000000"/>
                <w:sz w:val="21"/>
                <w:szCs w:val="21"/>
                <w:highlight w:val="none"/>
                <w:vertAlign w:val="superscript"/>
              </w:rPr>
              <w:t>3</w:t>
            </w:r>
          </w:p>
        </w:tc>
      </w:tr>
    </w:tbl>
    <w:p w14:paraId="18A69DC1">
      <w:pPr>
        <w:bidi w:val="0"/>
        <w:rPr>
          <w:highlight w:val="none"/>
        </w:rPr>
      </w:pPr>
      <w:r>
        <w:rPr>
          <w:rFonts w:hint="eastAsia"/>
          <w:highlight w:val="none"/>
        </w:rPr>
        <w:t>氨、硫化氢、臭气浓度无组织排放废气符合</w:t>
      </w:r>
      <w:r>
        <w:rPr>
          <w:highlight w:val="none"/>
        </w:rPr>
        <w:t>《</w:t>
      </w:r>
      <w:r>
        <w:rPr>
          <w:rFonts w:hint="eastAsia"/>
          <w:highlight w:val="none"/>
        </w:rPr>
        <w:t>恶臭</w:t>
      </w:r>
      <w:r>
        <w:rPr>
          <w:highlight w:val="none"/>
        </w:rPr>
        <w:t>污染物排放标准》（GB</w:t>
      </w:r>
      <w:r>
        <w:rPr>
          <w:rFonts w:hint="eastAsia"/>
          <w:highlight w:val="none"/>
        </w:rPr>
        <w:t>14554-93</w:t>
      </w:r>
      <w:r>
        <w:rPr>
          <w:highlight w:val="none"/>
        </w:rPr>
        <w:t>）表</w:t>
      </w:r>
      <w:r>
        <w:rPr>
          <w:rFonts w:hint="eastAsia"/>
          <w:highlight w:val="none"/>
        </w:rPr>
        <w:t>1</w:t>
      </w:r>
      <w:r>
        <w:rPr>
          <w:highlight w:val="none"/>
        </w:rPr>
        <w:t>厂界</w:t>
      </w:r>
      <w:r>
        <w:rPr>
          <w:rFonts w:hint="eastAsia"/>
          <w:highlight w:val="none"/>
        </w:rPr>
        <w:t>二级标准限值；厂界总悬浮颗粒物、非甲烷总烃满足</w:t>
      </w:r>
      <w:r>
        <w:rPr>
          <w:highlight w:val="none"/>
        </w:rPr>
        <w:t>《大气污染物综合排放标准》(GB116297-1996)表2</w:t>
      </w:r>
      <w:r>
        <w:rPr>
          <w:rFonts w:hint="eastAsia"/>
          <w:highlight w:val="none"/>
        </w:rPr>
        <w:t>无组织控制标准，厂房外非甲烷总烃</w:t>
      </w:r>
      <w:r>
        <w:rPr>
          <w:highlight w:val="none"/>
        </w:rPr>
        <w:t>《挥发性有机物无组织排放控制标准》（GB37822—2019）表A.1排放标准限值</w:t>
      </w:r>
      <w:r>
        <w:rPr>
          <w:rFonts w:hint="eastAsia"/>
          <w:highlight w:val="none"/>
        </w:rPr>
        <w:t>。</w:t>
      </w:r>
    </w:p>
    <w:p w14:paraId="5248E75F">
      <w:pPr>
        <w:pStyle w:val="6"/>
        <w:bidi w:val="0"/>
        <w:rPr>
          <w:highlight w:val="none"/>
        </w:rPr>
      </w:pPr>
      <w:r>
        <w:rPr>
          <w:rFonts w:hint="eastAsia"/>
          <w:highlight w:val="none"/>
        </w:rPr>
        <w:t>3.1.8.2废水</w:t>
      </w:r>
    </w:p>
    <w:p w14:paraId="4E5A030F">
      <w:pPr>
        <w:spacing w:line="480" w:lineRule="exact"/>
        <w:ind w:firstLine="480" w:firstLineChars="200"/>
        <w:rPr>
          <w:rFonts w:hint="eastAsia" w:ascii="Times New Roman" w:hAnsi="Times New Roman"/>
          <w:kern w:val="24"/>
          <w:highlight w:val="none"/>
        </w:rPr>
      </w:pPr>
      <w:r>
        <w:rPr>
          <w:highlight w:val="none"/>
        </w:rPr>
        <w:t>根据</w:t>
      </w:r>
      <w:r>
        <w:rPr>
          <w:rFonts w:ascii="Times New Roman" w:hAnsi="Times New Roman"/>
          <w:kern w:val="24"/>
          <w:highlight w:val="none"/>
        </w:rPr>
        <w:t>据哈尔滨东安汽车发动机制造有限公司202</w:t>
      </w:r>
      <w:r>
        <w:rPr>
          <w:rFonts w:hint="eastAsia" w:ascii="Times New Roman" w:hAnsi="Times New Roman"/>
          <w:kern w:val="24"/>
          <w:highlight w:val="none"/>
          <w:lang w:val="en-US" w:eastAsia="zh-CN"/>
        </w:rPr>
        <w:t>4</w:t>
      </w:r>
      <w:r>
        <w:rPr>
          <w:rFonts w:ascii="Times New Roman" w:hAnsi="Times New Roman"/>
          <w:kern w:val="24"/>
          <w:highlight w:val="none"/>
        </w:rPr>
        <w:t>年</w:t>
      </w:r>
      <w:r>
        <w:rPr>
          <w:rFonts w:hint="eastAsia" w:ascii="Times New Roman" w:hAnsi="Times New Roman"/>
          <w:kern w:val="24"/>
          <w:highlight w:val="none"/>
          <w:lang w:val="en-US" w:eastAsia="zh-CN"/>
        </w:rPr>
        <w:t>7月、10月</w:t>
      </w:r>
      <w:r>
        <w:rPr>
          <w:rFonts w:ascii="Times New Roman" w:hAnsi="Times New Roman"/>
          <w:kern w:val="24"/>
          <w:highlight w:val="none"/>
        </w:rPr>
        <w:t>排污许可例行监测报告</w:t>
      </w:r>
      <w:r>
        <w:rPr>
          <w:rFonts w:hint="eastAsia"/>
          <w:highlight w:val="none"/>
        </w:rPr>
        <w:t>，</w:t>
      </w:r>
      <w:r>
        <w:rPr>
          <w:rFonts w:hint="eastAsia" w:ascii="Times New Roman" w:hAnsi="Times New Roman"/>
          <w:kern w:val="24"/>
          <w:highlight w:val="none"/>
        </w:rPr>
        <w:t>现有工程</w:t>
      </w:r>
      <w:r>
        <w:rPr>
          <w:rFonts w:hint="eastAsia" w:ascii="Times New Roman" w:hAnsi="Times New Roman"/>
          <w:kern w:val="24"/>
          <w:highlight w:val="none"/>
          <w:lang w:val="en-US" w:eastAsia="zh-CN"/>
        </w:rPr>
        <w:t>4</w:t>
      </w:r>
      <w:r>
        <w:rPr>
          <w:rFonts w:hint="eastAsia" w:ascii="Times New Roman" w:hAnsi="Times New Roman"/>
          <w:kern w:val="24"/>
          <w:highlight w:val="none"/>
        </w:rPr>
        <w:t>号厂房</w:t>
      </w:r>
      <w:r>
        <w:rPr>
          <w:rFonts w:hint="eastAsia" w:ascii="Times New Roman" w:hAnsi="Times New Roman"/>
          <w:kern w:val="24"/>
          <w:highlight w:val="none"/>
          <w:lang w:val="en-US" w:eastAsia="zh-CN"/>
        </w:rPr>
        <w:t>污水处理站排口DW003</w:t>
      </w:r>
      <w:r>
        <w:rPr>
          <w:rFonts w:hint="eastAsia" w:ascii="Times New Roman" w:hAnsi="Times New Roman"/>
          <w:kern w:val="24"/>
          <w:highlight w:val="none"/>
        </w:rPr>
        <w:t>、</w:t>
      </w:r>
      <w:r>
        <w:rPr>
          <w:rFonts w:hint="eastAsia" w:ascii="Times New Roman" w:hAnsi="Times New Roman"/>
          <w:kern w:val="24"/>
          <w:highlight w:val="none"/>
          <w:lang w:val="en-US" w:eastAsia="zh-CN"/>
        </w:rPr>
        <w:t>厂区总排口DW001</w:t>
      </w:r>
      <w:r>
        <w:rPr>
          <w:rFonts w:hint="eastAsia" w:ascii="Times New Roman" w:hAnsi="Times New Roman"/>
          <w:kern w:val="24"/>
          <w:highlight w:val="none"/>
        </w:rPr>
        <w:t>、雨水排放口</w:t>
      </w:r>
      <w:r>
        <w:rPr>
          <w:rFonts w:hint="eastAsia" w:ascii="Times New Roman" w:hAnsi="Times New Roman"/>
          <w:kern w:val="24"/>
          <w:highlight w:val="none"/>
          <w:lang w:val="en-US" w:eastAsia="zh-CN"/>
        </w:rPr>
        <w:t>YS001</w:t>
      </w:r>
      <w:r>
        <w:rPr>
          <w:rFonts w:hint="eastAsia" w:ascii="Times New Roman" w:hAnsi="Times New Roman"/>
          <w:kern w:val="24"/>
          <w:highlight w:val="none"/>
        </w:rPr>
        <w:t>污染物检测结果见表3-1-6。</w:t>
      </w:r>
    </w:p>
    <w:p w14:paraId="791CB810">
      <w:pPr>
        <w:pStyle w:val="7"/>
        <w:bidi w:val="0"/>
        <w:rPr>
          <w:highlight w:val="none"/>
        </w:rPr>
      </w:pPr>
      <w:r>
        <w:rPr>
          <w:rFonts w:hint="eastAsia"/>
          <w:highlight w:val="none"/>
        </w:rPr>
        <w:t>表3-1-6废水检测结果</w:t>
      </w:r>
    </w:p>
    <w:tbl>
      <w:tblPr>
        <w:tblStyle w:val="46"/>
        <w:tblW w:w="4998"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551"/>
        <w:gridCol w:w="2172"/>
        <w:gridCol w:w="1183"/>
        <w:gridCol w:w="1185"/>
        <w:gridCol w:w="1187"/>
        <w:gridCol w:w="2241"/>
      </w:tblGrid>
      <w:tr w14:paraId="398093A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23" w:type="pct"/>
            <w:vMerge w:val="restart"/>
            <w:tcBorders>
              <w:tl2br w:val="nil"/>
              <w:tr2bl w:val="nil"/>
            </w:tcBorders>
            <w:vAlign w:val="center"/>
          </w:tcPr>
          <w:p w14:paraId="411294B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检测类别</w:t>
            </w:r>
          </w:p>
        </w:tc>
        <w:tc>
          <w:tcPr>
            <w:tcW w:w="1274" w:type="pct"/>
            <w:vMerge w:val="restart"/>
            <w:tcBorders>
              <w:tl2br w:val="nil"/>
              <w:tr2bl w:val="nil"/>
            </w:tcBorders>
            <w:vAlign w:val="center"/>
          </w:tcPr>
          <w:p w14:paraId="3893A9C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检测项目</w:t>
            </w:r>
          </w:p>
        </w:tc>
        <w:tc>
          <w:tcPr>
            <w:tcW w:w="694" w:type="pct"/>
            <w:vMerge w:val="restart"/>
            <w:tcBorders>
              <w:tl2br w:val="nil"/>
              <w:tr2bl w:val="nil"/>
            </w:tcBorders>
            <w:vAlign w:val="center"/>
          </w:tcPr>
          <w:p w14:paraId="20F2E7B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DW001</w:t>
            </w:r>
          </w:p>
        </w:tc>
        <w:tc>
          <w:tcPr>
            <w:tcW w:w="695" w:type="pct"/>
            <w:vMerge w:val="restart"/>
            <w:tcBorders>
              <w:tl2br w:val="nil"/>
              <w:tr2bl w:val="nil"/>
            </w:tcBorders>
            <w:vAlign w:val="center"/>
          </w:tcPr>
          <w:p w14:paraId="74E8196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DW003</w:t>
            </w:r>
          </w:p>
        </w:tc>
        <w:tc>
          <w:tcPr>
            <w:tcW w:w="696" w:type="pct"/>
            <w:vMerge w:val="restart"/>
            <w:tcBorders>
              <w:tl2br w:val="nil"/>
              <w:tr2bl w:val="nil"/>
            </w:tcBorders>
            <w:vAlign w:val="center"/>
          </w:tcPr>
          <w:p w14:paraId="33A32E6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雨水</w:t>
            </w:r>
          </w:p>
        </w:tc>
        <w:tc>
          <w:tcPr>
            <w:tcW w:w="1314" w:type="pct"/>
            <w:tcBorders>
              <w:tl2br w:val="nil"/>
              <w:tr2bl w:val="nil"/>
            </w:tcBorders>
            <w:vAlign w:val="center"/>
          </w:tcPr>
          <w:p w14:paraId="126463D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《污水综合排放标准》表4第二类污染物最高允许排放浓度</w:t>
            </w:r>
          </w:p>
        </w:tc>
      </w:tr>
      <w:tr w14:paraId="14F5C2B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23" w:type="pct"/>
            <w:vMerge w:val="continue"/>
            <w:tcBorders>
              <w:tl2br w:val="nil"/>
              <w:tr2bl w:val="nil"/>
            </w:tcBorders>
            <w:vAlign w:val="center"/>
          </w:tcPr>
          <w:p w14:paraId="43468F4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p>
        </w:tc>
        <w:tc>
          <w:tcPr>
            <w:tcW w:w="1274" w:type="pct"/>
            <w:vMerge w:val="continue"/>
            <w:tcBorders>
              <w:tl2br w:val="nil"/>
              <w:tr2bl w:val="nil"/>
            </w:tcBorders>
            <w:vAlign w:val="center"/>
          </w:tcPr>
          <w:p w14:paraId="036D1E6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p>
        </w:tc>
        <w:tc>
          <w:tcPr>
            <w:tcW w:w="694" w:type="pct"/>
            <w:vMerge w:val="continue"/>
            <w:tcBorders>
              <w:tl2br w:val="nil"/>
              <w:tr2bl w:val="nil"/>
            </w:tcBorders>
            <w:vAlign w:val="center"/>
          </w:tcPr>
          <w:p w14:paraId="4A36ED1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p>
        </w:tc>
        <w:tc>
          <w:tcPr>
            <w:tcW w:w="695" w:type="pct"/>
            <w:vMerge w:val="continue"/>
            <w:tcBorders>
              <w:tl2br w:val="nil"/>
              <w:tr2bl w:val="nil"/>
            </w:tcBorders>
            <w:vAlign w:val="center"/>
          </w:tcPr>
          <w:p w14:paraId="5B0FA1A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p>
        </w:tc>
        <w:tc>
          <w:tcPr>
            <w:tcW w:w="696" w:type="pct"/>
            <w:vMerge w:val="continue"/>
            <w:tcBorders>
              <w:tl2br w:val="nil"/>
              <w:tr2bl w:val="nil"/>
            </w:tcBorders>
            <w:vAlign w:val="center"/>
          </w:tcPr>
          <w:p w14:paraId="0E6A1E1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p>
        </w:tc>
        <w:tc>
          <w:tcPr>
            <w:tcW w:w="1314" w:type="pct"/>
            <w:tcBorders>
              <w:tl2br w:val="nil"/>
              <w:tr2bl w:val="nil"/>
            </w:tcBorders>
            <w:vAlign w:val="center"/>
          </w:tcPr>
          <w:p w14:paraId="1D710FD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三级标准</w:t>
            </w:r>
          </w:p>
        </w:tc>
      </w:tr>
      <w:tr w14:paraId="7C73C2B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23" w:type="pct"/>
            <w:vMerge w:val="restart"/>
            <w:tcBorders>
              <w:tl2br w:val="nil"/>
              <w:tr2bl w:val="nil"/>
            </w:tcBorders>
            <w:vAlign w:val="center"/>
          </w:tcPr>
          <w:p w14:paraId="7C8D1B0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废水</w:t>
            </w:r>
          </w:p>
        </w:tc>
        <w:tc>
          <w:tcPr>
            <w:tcW w:w="1274" w:type="pct"/>
            <w:tcBorders>
              <w:tl2br w:val="nil"/>
              <w:tr2bl w:val="nil"/>
            </w:tcBorders>
            <w:vAlign w:val="center"/>
          </w:tcPr>
          <w:p w14:paraId="268EFCD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pH（无量纲）</w:t>
            </w:r>
          </w:p>
        </w:tc>
        <w:tc>
          <w:tcPr>
            <w:tcW w:w="694" w:type="pct"/>
            <w:tcBorders>
              <w:tl2br w:val="nil"/>
              <w:tr2bl w:val="nil"/>
            </w:tcBorders>
            <w:vAlign w:val="center"/>
          </w:tcPr>
          <w:p w14:paraId="7725CD5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7.4</w:t>
            </w:r>
          </w:p>
        </w:tc>
        <w:tc>
          <w:tcPr>
            <w:tcW w:w="695" w:type="pct"/>
            <w:tcBorders>
              <w:tl2br w:val="nil"/>
              <w:tr2bl w:val="nil"/>
            </w:tcBorders>
            <w:vAlign w:val="center"/>
          </w:tcPr>
          <w:p w14:paraId="1938BEF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6.9</w:t>
            </w:r>
          </w:p>
        </w:tc>
        <w:tc>
          <w:tcPr>
            <w:tcW w:w="696" w:type="pct"/>
            <w:tcBorders>
              <w:tl2br w:val="nil"/>
              <w:tr2bl w:val="nil"/>
            </w:tcBorders>
            <w:vAlign w:val="center"/>
          </w:tcPr>
          <w:p w14:paraId="21B5383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w:t>
            </w:r>
          </w:p>
        </w:tc>
        <w:tc>
          <w:tcPr>
            <w:tcW w:w="1314" w:type="pct"/>
            <w:tcBorders>
              <w:tl2br w:val="nil"/>
              <w:tr2bl w:val="nil"/>
            </w:tcBorders>
            <w:vAlign w:val="center"/>
          </w:tcPr>
          <w:p w14:paraId="39C97C4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6~9</w:t>
            </w:r>
          </w:p>
        </w:tc>
      </w:tr>
      <w:tr w14:paraId="03AB931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23" w:type="pct"/>
            <w:vMerge w:val="continue"/>
            <w:tcBorders>
              <w:tl2br w:val="nil"/>
              <w:tr2bl w:val="nil"/>
            </w:tcBorders>
            <w:vAlign w:val="center"/>
          </w:tcPr>
          <w:p w14:paraId="53DAE4F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p>
        </w:tc>
        <w:tc>
          <w:tcPr>
            <w:tcW w:w="1274" w:type="pct"/>
            <w:tcBorders>
              <w:tl2br w:val="nil"/>
              <w:tr2bl w:val="nil"/>
            </w:tcBorders>
            <w:vAlign w:val="center"/>
          </w:tcPr>
          <w:p w14:paraId="2C0EBA2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化学需氧量（mg/</w:t>
            </w:r>
            <w:r>
              <w:rPr>
                <w:rFonts w:hint="eastAsia" w:ascii="Times New Roman" w:hAnsi="Times New Roman" w:cs="Times New Roman"/>
                <w:sz w:val="21"/>
                <w:szCs w:val="21"/>
                <w:highlight w:val="none"/>
                <w:lang w:val="en-US" w:eastAsia="zh-CN"/>
              </w:rPr>
              <w:t>L</w:t>
            </w:r>
            <w:r>
              <w:rPr>
                <w:rFonts w:hint="default" w:ascii="Times New Roman" w:hAnsi="Times New Roman" w:cs="Times New Roman"/>
                <w:sz w:val="21"/>
                <w:szCs w:val="21"/>
                <w:highlight w:val="none"/>
              </w:rPr>
              <w:t>）</w:t>
            </w:r>
          </w:p>
        </w:tc>
        <w:tc>
          <w:tcPr>
            <w:tcW w:w="694" w:type="pct"/>
            <w:tcBorders>
              <w:tl2br w:val="nil"/>
              <w:tr2bl w:val="nil"/>
            </w:tcBorders>
            <w:vAlign w:val="center"/>
          </w:tcPr>
          <w:p w14:paraId="0335D6B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161</w:t>
            </w:r>
          </w:p>
        </w:tc>
        <w:tc>
          <w:tcPr>
            <w:tcW w:w="695" w:type="pct"/>
            <w:tcBorders>
              <w:tl2br w:val="nil"/>
              <w:tr2bl w:val="nil"/>
            </w:tcBorders>
            <w:vAlign w:val="center"/>
          </w:tcPr>
          <w:p w14:paraId="0C09B4B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56</w:t>
            </w:r>
          </w:p>
        </w:tc>
        <w:tc>
          <w:tcPr>
            <w:tcW w:w="696" w:type="pct"/>
            <w:tcBorders>
              <w:tl2br w:val="nil"/>
              <w:tr2bl w:val="nil"/>
            </w:tcBorders>
            <w:vAlign w:val="center"/>
          </w:tcPr>
          <w:p w14:paraId="5E57C9B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56</w:t>
            </w:r>
          </w:p>
        </w:tc>
        <w:tc>
          <w:tcPr>
            <w:tcW w:w="1314" w:type="pct"/>
            <w:tcBorders>
              <w:tl2br w:val="nil"/>
              <w:tr2bl w:val="nil"/>
            </w:tcBorders>
            <w:vAlign w:val="center"/>
          </w:tcPr>
          <w:p w14:paraId="1376FEC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500</w:t>
            </w:r>
          </w:p>
        </w:tc>
      </w:tr>
      <w:tr w14:paraId="0E2C036D">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23" w:type="pct"/>
            <w:vMerge w:val="continue"/>
            <w:tcBorders>
              <w:tl2br w:val="nil"/>
              <w:tr2bl w:val="nil"/>
            </w:tcBorders>
            <w:vAlign w:val="center"/>
          </w:tcPr>
          <w:p w14:paraId="3CEA2D5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p>
        </w:tc>
        <w:tc>
          <w:tcPr>
            <w:tcW w:w="1274" w:type="pct"/>
            <w:tcBorders>
              <w:tl2br w:val="nil"/>
              <w:tr2bl w:val="nil"/>
            </w:tcBorders>
            <w:vAlign w:val="center"/>
          </w:tcPr>
          <w:p w14:paraId="2B3E46A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悬浮物（mg/</w:t>
            </w:r>
            <w:r>
              <w:rPr>
                <w:rFonts w:hint="eastAsia" w:ascii="Times New Roman" w:hAnsi="Times New Roman" w:cs="Times New Roman"/>
                <w:sz w:val="21"/>
                <w:szCs w:val="21"/>
                <w:highlight w:val="none"/>
                <w:lang w:val="en-US" w:eastAsia="zh-CN"/>
              </w:rPr>
              <w:t>L</w:t>
            </w:r>
            <w:r>
              <w:rPr>
                <w:rFonts w:hint="default" w:ascii="Times New Roman" w:hAnsi="Times New Roman" w:cs="Times New Roman"/>
                <w:sz w:val="21"/>
                <w:szCs w:val="21"/>
                <w:highlight w:val="none"/>
              </w:rPr>
              <w:t>）</w:t>
            </w:r>
          </w:p>
        </w:tc>
        <w:tc>
          <w:tcPr>
            <w:tcW w:w="694" w:type="pct"/>
            <w:tcBorders>
              <w:tl2br w:val="nil"/>
              <w:tr2bl w:val="nil"/>
            </w:tcBorders>
            <w:vAlign w:val="center"/>
          </w:tcPr>
          <w:p w14:paraId="7626012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16</w:t>
            </w:r>
          </w:p>
        </w:tc>
        <w:tc>
          <w:tcPr>
            <w:tcW w:w="695" w:type="pct"/>
            <w:tcBorders>
              <w:tl2br w:val="nil"/>
              <w:tr2bl w:val="nil"/>
            </w:tcBorders>
            <w:vAlign w:val="center"/>
          </w:tcPr>
          <w:p w14:paraId="2A6ECB7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36</w:t>
            </w:r>
          </w:p>
        </w:tc>
        <w:tc>
          <w:tcPr>
            <w:tcW w:w="696" w:type="pct"/>
            <w:tcBorders>
              <w:tl2br w:val="nil"/>
              <w:tr2bl w:val="nil"/>
            </w:tcBorders>
            <w:vAlign w:val="center"/>
          </w:tcPr>
          <w:p w14:paraId="4ADFD90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32</w:t>
            </w:r>
          </w:p>
        </w:tc>
        <w:tc>
          <w:tcPr>
            <w:tcW w:w="1314" w:type="pct"/>
            <w:tcBorders>
              <w:tl2br w:val="nil"/>
              <w:tr2bl w:val="nil"/>
            </w:tcBorders>
            <w:vAlign w:val="center"/>
          </w:tcPr>
          <w:p w14:paraId="47428D6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400</w:t>
            </w:r>
          </w:p>
        </w:tc>
      </w:tr>
      <w:tr w14:paraId="043714C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23" w:type="pct"/>
            <w:vMerge w:val="continue"/>
            <w:tcBorders>
              <w:tl2br w:val="nil"/>
              <w:tr2bl w:val="nil"/>
            </w:tcBorders>
            <w:vAlign w:val="center"/>
          </w:tcPr>
          <w:p w14:paraId="59DEE63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p>
        </w:tc>
        <w:tc>
          <w:tcPr>
            <w:tcW w:w="1274" w:type="pct"/>
            <w:tcBorders>
              <w:tl2br w:val="nil"/>
              <w:tr2bl w:val="nil"/>
            </w:tcBorders>
            <w:vAlign w:val="center"/>
          </w:tcPr>
          <w:p w14:paraId="42EA7B3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五日生化需氧量（mg/</w:t>
            </w:r>
            <w:r>
              <w:rPr>
                <w:rFonts w:hint="eastAsia" w:ascii="Times New Roman" w:hAnsi="Times New Roman" w:cs="Times New Roman"/>
                <w:sz w:val="21"/>
                <w:szCs w:val="21"/>
                <w:highlight w:val="none"/>
                <w:lang w:val="en-US" w:eastAsia="zh-CN"/>
              </w:rPr>
              <w:t>L</w:t>
            </w:r>
            <w:r>
              <w:rPr>
                <w:rFonts w:hint="default" w:ascii="Times New Roman" w:hAnsi="Times New Roman" w:cs="Times New Roman"/>
                <w:sz w:val="21"/>
                <w:szCs w:val="21"/>
                <w:highlight w:val="none"/>
              </w:rPr>
              <w:t>）</w:t>
            </w:r>
          </w:p>
        </w:tc>
        <w:tc>
          <w:tcPr>
            <w:tcW w:w="694" w:type="pct"/>
            <w:tcBorders>
              <w:tl2br w:val="nil"/>
              <w:tr2bl w:val="nil"/>
            </w:tcBorders>
            <w:vAlign w:val="center"/>
          </w:tcPr>
          <w:p w14:paraId="332182C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41.2</w:t>
            </w:r>
          </w:p>
        </w:tc>
        <w:tc>
          <w:tcPr>
            <w:tcW w:w="695" w:type="pct"/>
            <w:tcBorders>
              <w:tl2br w:val="nil"/>
              <w:tr2bl w:val="nil"/>
            </w:tcBorders>
            <w:vAlign w:val="center"/>
          </w:tcPr>
          <w:p w14:paraId="7984A85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14.3</w:t>
            </w:r>
          </w:p>
        </w:tc>
        <w:tc>
          <w:tcPr>
            <w:tcW w:w="696" w:type="pct"/>
            <w:tcBorders>
              <w:tl2br w:val="nil"/>
              <w:tr2bl w:val="nil"/>
            </w:tcBorders>
            <w:vAlign w:val="center"/>
          </w:tcPr>
          <w:p w14:paraId="2ACEF7B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w:t>
            </w:r>
          </w:p>
        </w:tc>
        <w:tc>
          <w:tcPr>
            <w:tcW w:w="1314" w:type="pct"/>
            <w:tcBorders>
              <w:tl2br w:val="nil"/>
              <w:tr2bl w:val="nil"/>
            </w:tcBorders>
            <w:vAlign w:val="center"/>
          </w:tcPr>
          <w:p w14:paraId="3AD4CF5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300</w:t>
            </w:r>
          </w:p>
        </w:tc>
      </w:tr>
      <w:tr w14:paraId="75CA3B4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323" w:type="pct"/>
            <w:vMerge w:val="continue"/>
            <w:tcBorders>
              <w:tl2br w:val="nil"/>
              <w:tr2bl w:val="nil"/>
            </w:tcBorders>
            <w:vAlign w:val="center"/>
          </w:tcPr>
          <w:p w14:paraId="7B533AF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p>
        </w:tc>
        <w:tc>
          <w:tcPr>
            <w:tcW w:w="1274" w:type="pct"/>
            <w:tcBorders>
              <w:tl2br w:val="nil"/>
              <w:tr2bl w:val="nil"/>
            </w:tcBorders>
            <w:vAlign w:val="center"/>
          </w:tcPr>
          <w:p w14:paraId="4B57383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氨氮（mg/</w:t>
            </w:r>
            <w:r>
              <w:rPr>
                <w:rFonts w:hint="eastAsia" w:ascii="Times New Roman" w:hAnsi="Times New Roman" w:cs="Times New Roman"/>
                <w:sz w:val="21"/>
                <w:szCs w:val="21"/>
                <w:highlight w:val="none"/>
                <w:lang w:val="en-US" w:eastAsia="zh-CN"/>
              </w:rPr>
              <w:t>L</w:t>
            </w:r>
            <w:r>
              <w:rPr>
                <w:rFonts w:hint="default" w:ascii="Times New Roman" w:hAnsi="Times New Roman" w:cs="Times New Roman"/>
                <w:sz w:val="21"/>
                <w:szCs w:val="21"/>
                <w:highlight w:val="none"/>
              </w:rPr>
              <w:t>）</w:t>
            </w:r>
          </w:p>
        </w:tc>
        <w:tc>
          <w:tcPr>
            <w:tcW w:w="694" w:type="pct"/>
            <w:tcBorders>
              <w:tl2br w:val="nil"/>
              <w:tr2bl w:val="nil"/>
            </w:tcBorders>
            <w:vAlign w:val="center"/>
          </w:tcPr>
          <w:p w14:paraId="638993B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1.27</w:t>
            </w:r>
          </w:p>
        </w:tc>
        <w:tc>
          <w:tcPr>
            <w:tcW w:w="695" w:type="pct"/>
            <w:tcBorders>
              <w:tl2br w:val="nil"/>
              <w:tr2bl w:val="nil"/>
            </w:tcBorders>
            <w:vAlign w:val="center"/>
          </w:tcPr>
          <w:p w14:paraId="0F78510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3.61</w:t>
            </w:r>
          </w:p>
        </w:tc>
        <w:tc>
          <w:tcPr>
            <w:tcW w:w="696" w:type="pct"/>
            <w:tcBorders>
              <w:tl2br w:val="nil"/>
              <w:tr2bl w:val="nil"/>
            </w:tcBorders>
            <w:vAlign w:val="center"/>
          </w:tcPr>
          <w:p w14:paraId="3D278B1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w:t>
            </w:r>
          </w:p>
        </w:tc>
        <w:tc>
          <w:tcPr>
            <w:tcW w:w="1314" w:type="pct"/>
            <w:tcBorders>
              <w:tl2br w:val="nil"/>
              <w:tr2bl w:val="nil"/>
            </w:tcBorders>
            <w:vAlign w:val="center"/>
          </w:tcPr>
          <w:p w14:paraId="19A15C1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w:t>
            </w:r>
          </w:p>
        </w:tc>
      </w:tr>
      <w:tr w14:paraId="0113733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23" w:type="pct"/>
            <w:vMerge w:val="continue"/>
            <w:tcBorders>
              <w:tl2br w:val="nil"/>
              <w:tr2bl w:val="nil"/>
            </w:tcBorders>
            <w:vAlign w:val="center"/>
          </w:tcPr>
          <w:p w14:paraId="64F6A7A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p>
        </w:tc>
        <w:tc>
          <w:tcPr>
            <w:tcW w:w="1274" w:type="pct"/>
            <w:tcBorders>
              <w:tl2br w:val="nil"/>
              <w:tr2bl w:val="nil"/>
            </w:tcBorders>
            <w:vAlign w:val="center"/>
          </w:tcPr>
          <w:p w14:paraId="3071CAD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阴离子表面活性剂（mg/</w:t>
            </w:r>
            <w:r>
              <w:rPr>
                <w:rFonts w:hint="eastAsia" w:ascii="Times New Roman" w:hAnsi="Times New Roman" w:cs="Times New Roman"/>
                <w:sz w:val="21"/>
                <w:szCs w:val="21"/>
                <w:highlight w:val="none"/>
                <w:lang w:val="en-US" w:eastAsia="zh-CN"/>
              </w:rPr>
              <w:t>L</w:t>
            </w:r>
            <w:r>
              <w:rPr>
                <w:rFonts w:hint="default" w:ascii="Times New Roman" w:hAnsi="Times New Roman" w:cs="Times New Roman"/>
                <w:sz w:val="21"/>
                <w:szCs w:val="21"/>
                <w:highlight w:val="none"/>
              </w:rPr>
              <w:t>）</w:t>
            </w:r>
          </w:p>
        </w:tc>
        <w:tc>
          <w:tcPr>
            <w:tcW w:w="694" w:type="pct"/>
            <w:tcBorders>
              <w:tl2br w:val="nil"/>
              <w:tr2bl w:val="nil"/>
            </w:tcBorders>
            <w:vAlign w:val="center"/>
          </w:tcPr>
          <w:p w14:paraId="756F82E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0.05L</w:t>
            </w:r>
          </w:p>
        </w:tc>
        <w:tc>
          <w:tcPr>
            <w:tcW w:w="1185" w:type="dxa"/>
            <w:tcBorders>
              <w:tl2br w:val="nil"/>
              <w:tr2bl w:val="nil"/>
            </w:tcBorders>
            <w:vAlign w:val="center"/>
          </w:tcPr>
          <w:p w14:paraId="552424E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0.05L</w:t>
            </w:r>
          </w:p>
        </w:tc>
        <w:tc>
          <w:tcPr>
            <w:tcW w:w="696" w:type="pct"/>
            <w:tcBorders>
              <w:tl2br w:val="nil"/>
              <w:tr2bl w:val="nil"/>
            </w:tcBorders>
            <w:vAlign w:val="center"/>
          </w:tcPr>
          <w:p w14:paraId="12700DC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w:t>
            </w:r>
          </w:p>
        </w:tc>
        <w:tc>
          <w:tcPr>
            <w:tcW w:w="1314" w:type="pct"/>
            <w:tcBorders>
              <w:tl2br w:val="nil"/>
              <w:tr2bl w:val="nil"/>
            </w:tcBorders>
            <w:vAlign w:val="center"/>
          </w:tcPr>
          <w:p w14:paraId="1C463D3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20</w:t>
            </w:r>
          </w:p>
        </w:tc>
      </w:tr>
      <w:tr w14:paraId="0494C5B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23" w:type="pct"/>
            <w:vMerge w:val="continue"/>
            <w:tcBorders>
              <w:tl2br w:val="nil"/>
              <w:tr2bl w:val="nil"/>
            </w:tcBorders>
            <w:vAlign w:val="center"/>
          </w:tcPr>
          <w:p w14:paraId="29BC6E6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p>
        </w:tc>
        <w:tc>
          <w:tcPr>
            <w:tcW w:w="1274" w:type="pct"/>
            <w:tcBorders>
              <w:tl2br w:val="nil"/>
              <w:tr2bl w:val="nil"/>
            </w:tcBorders>
            <w:vAlign w:val="center"/>
          </w:tcPr>
          <w:p w14:paraId="1C108CE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动植物油（mg/</w:t>
            </w:r>
            <w:r>
              <w:rPr>
                <w:rFonts w:hint="eastAsia" w:ascii="Times New Roman" w:hAnsi="Times New Roman" w:cs="Times New Roman"/>
                <w:sz w:val="21"/>
                <w:szCs w:val="21"/>
                <w:highlight w:val="none"/>
                <w:lang w:val="en-US" w:eastAsia="zh-CN"/>
              </w:rPr>
              <w:t>L</w:t>
            </w:r>
            <w:r>
              <w:rPr>
                <w:rFonts w:hint="default" w:ascii="Times New Roman" w:hAnsi="Times New Roman" w:cs="Times New Roman"/>
                <w:sz w:val="21"/>
                <w:szCs w:val="21"/>
                <w:highlight w:val="none"/>
              </w:rPr>
              <w:t>）</w:t>
            </w:r>
          </w:p>
        </w:tc>
        <w:tc>
          <w:tcPr>
            <w:tcW w:w="694" w:type="pct"/>
            <w:tcBorders>
              <w:tl2br w:val="nil"/>
              <w:tr2bl w:val="nil"/>
            </w:tcBorders>
            <w:vAlign w:val="center"/>
          </w:tcPr>
          <w:p w14:paraId="147C0F3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0.06L</w:t>
            </w:r>
          </w:p>
        </w:tc>
        <w:tc>
          <w:tcPr>
            <w:tcW w:w="1185" w:type="dxa"/>
            <w:tcBorders>
              <w:tl2br w:val="nil"/>
              <w:tr2bl w:val="nil"/>
            </w:tcBorders>
            <w:vAlign w:val="center"/>
          </w:tcPr>
          <w:p w14:paraId="5CC2AD4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0.06L</w:t>
            </w:r>
          </w:p>
        </w:tc>
        <w:tc>
          <w:tcPr>
            <w:tcW w:w="696" w:type="pct"/>
            <w:tcBorders>
              <w:tl2br w:val="nil"/>
              <w:tr2bl w:val="nil"/>
            </w:tcBorders>
            <w:vAlign w:val="center"/>
          </w:tcPr>
          <w:p w14:paraId="3F084F6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w:t>
            </w:r>
          </w:p>
        </w:tc>
        <w:tc>
          <w:tcPr>
            <w:tcW w:w="1314" w:type="pct"/>
            <w:tcBorders>
              <w:tl2br w:val="nil"/>
              <w:tr2bl w:val="nil"/>
            </w:tcBorders>
            <w:vAlign w:val="center"/>
          </w:tcPr>
          <w:p w14:paraId="0FFF204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100</w:t>
            </w:r>
          </w:p>
        </w:tc>
      </w:tr>
      <w:tr w14:paraId="22376F4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23" w:type="pct"/>
            <w:vMerge w:val="continue"/>
            <w:tcBorders>
              <w:tl2br w:val="nil"/>
              <w:tr2bl w:val="nil"/>
            </w:tcBorders>
            <w:vAlign w:val="center"/>
          </w:tcPr>
          <w:p w14:paraId="4DC4587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p>
        </w:tc>
        <w:tc>
          <w:tcPr>
            <w:tcW w:w="1274" w:type="pct"/>
            <w:tcBorders>
              <w:tl2br w:val="nil"/>
              <w:tr2bl w:val="nil"/>
            </w:tcBorders>
            <w:vAlign w:val="center"/>
          </w:tcPr>
          <w:p w14:paraId="595FAB8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石油类（mg/</w:t>
            </w:r>
            <w:r>
              <w:rPr>
                <w:rFonts w:hint="eastAsia" w:ascii="Times New Roman" w:hAnsi="Times New Roman" w:cs="Times New Roman"/>
                <w:sz w:val="21"/>
                <w:szCs w:val="21"/>
                <w:highlight w:val="none"/>
                <w:lang w:val="en-US" w:eastAsia="zh-CN"/>
              </w:rPr>
              <w:t>L</w:t>
            </w:r>
            <w:r>
              <w:rPr>
                <w:rFonts w:hint="default" w:ascii="Times New Roman" w:hAnsi="Times New Roman" w:cs="Times New Roman"/>
                <w:sz w:val="21"/>
                <w:szCs w:val="21"/>
                <w:highlight w:val="none"/>
              </w:rPr>
              <w:t>）</w:t>
            </w:r>
          </w:p>
        </w:tc>
        <w:tc>
          <w:tcPr>
            <w:tcW w:w="694" w:type="pct"/>
            <w:tcBorders>
              <w:tl2br w:val="nil"/>
              <w:tr2bl w:val="nil"/>
            </w:tcBorders>
            <w:vAlign w:val="center"/>
          </w:tcPr>
          <w:p w14:paraId="2FC890B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0.06L</w:t>
            </w:r>
          </w:p>
        </w:tc>
        <w:tc>
          <w:tcPr>
            <w:tcW w:w="1185" w:type="dxa"/>
            <w:tcBorders>
              <w:tl2br w:val="nil"/>
              <w:tr2bl w:val="nil"/>
            </w:tcBorders>
            <w:vAlign w:val="center"/>
          </w:tcPr>
          <w:p w14:paraId="0005E76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0.06L</w:t>
            </w:r>
          </w:p>
        </w:tc>
        <w:tc>
          <w:tcPr>
            <w:tcW w:w="696" w:type="pct"/>
            <w:tcBorders>
              <w:tl2br w:val="nil"/>
              <w:tr2bl w:val="nil"/>
            </w:tcBorders>
            <w:vAlign w:val="center"/>
          </w:tcPr>
          <w:p w14:paraId="3912D23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w:t>
            </w:r>
          </w:p>
        </w:tc>
        <w:tc>
          <w:tcPr>
            <w:tcW w:w="1314" w:type="pct"/>
            <w:tcBorders>
              <w:tl2br w:val="nil"/>
              <w:tr2bl w:val="nil"/>
            </w:tcBorders>
            <w:vAlign w:val="center"/>
          </w:tcPr>
          <w:p w14:paraId="5BBA724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20</w:t>
            </w:r>
          </w:p>
        </w:tc>
      </w:tr>
      <w:tr w14:paraId="6039B7F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23" w:type="pct"/>
            <w:vMerge w:val="continue"/>
            <w:tcBorders>
              <w:tl2br w:val="nil"/>
              <w:tr2bl w:val="nil"/>
            </w:tcBorders>
            <w:vAlign w:val="center"/>
          </w:tcPr>
          <w:p w14:paraId="6FA8E01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p>
        </w:tc>
        <w:tc>
          <w:tcPr>
            <w:tcW w:w="1274" w:type="pct"/>
            <w:tcBorders>
              <w:tl2br w:val="nil"/>
              <w:tr2bl w:val="nil"/>
            </w:tcBorders>
            <w:vAlign w:val="center"/>
          </w:tcPr>
          <w:p w14:paraId="772E420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r>
              <w:rPr>
                <w:rFonts w:hint="eastAsia" w:ascii="Times New Roman" w:hAnsi="Times New Roman" w:cs="Times New Roman"/>
                <w:sz w:val="21"/>
                <w:szCs w:val="21"/>
                <w:highlight w:val="none"/>
                <w:lang w:val="en-US" w:eastAsia="zh-CN"/>
              </w:rPr>
              <w:t>磷酸盐</w:t>
            </w:r>
            <w:r>
              <w:rPr>
                <w:rFonts w:hint="default" w:ascii="Times New Roman" w:hAnsi="Times New Roman" w:cs="Times New Roman"/>
                <w:sz w:val="21"/>
                <w:szCs w:val="21"/>
                <w:highlight w:val="none"/>
              </w:rPr>
              <w:t>（mg/</w:t>
            </w:r>
            <w:r>
              <w:rPr>
                <w:rFonts w:hint="eastAsia" w:ascii="Times New Roman" w:hAnsi="Times New Roman" w:cs="Times New Roman"/>
                <w:sz w:val="21"/>
                <w:szCs w:val="21"/>
                <w:highlight w:val="none"/>
                <w:lang w:val="en-US" w:eastAsia="zh-CN"/>
              </w:rPr>
              <w:t>L</w:t>
            </w:r>
            <w:r>
              <w:rPr>
                <w:rFonts w:hint="default" w:ascii="Times New Roman" w:hAnsi="Times New Roman" w:cs="Times New Roman"/>
                <w:sz w:val="21"/>
                <w:szCs w:val="21"/>
                <w:highlight w:val="none"/>
              </w:rPr>
              <w:t>）</w:t>
            </w:r>
          </w:p>
        </w:tc>
        <w:tc>
          <w:tcPr>
            <w:tcW w:w="694" w:type="pct"/>
            <w:tcBorders>
              <w:tl2br w:val="nil"/>
              <w:tr2bl w:val="nil"/>
            </w:tcBorders>
            <w:vAlign w:val="center"/>
          </w:tcPr>
          <w:p w14:paraId="2988E2F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0.051L</w:t>
            </w:r>
          </w:p>
        </w:tc>
        <w:tc>
          <w:tcPr>
            <w:tcW w:w="1185" w:type="dxa"/>
            <w:tcBorders>
              <w:tl2br w:val="nil"/>
              <w:tr2bl w:val="nil"/>
            </w:tcBorders>
            <w:vAlign w:val="center"/>
          </w:tcPr>
          <w:p w14:paraId="72B454B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0.051L</w:t>
            </w:r>
          </w:p>
        </w:tc>
        <w:tc>
          <w:tcPr>
            <w:tcW w:w="696" w:type="pct"/>
            <w:tcBorders>
              <w:tl2br w:val="nil"/>
              <w:tr2bl w:val="nil"/>
            </w:tcBorders>
            <w:vAlign w:val="center"/>
          </w:tcPr>
          <w:p w14:paraId="3CDB106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w:t>
            </w:r>
          </w:p>
        </w:tc>
        <w:tc>
          <w:tcPr>
            <w:tcW w:w="1314" w:type="pct"/>
            <w:tcBorders>
              <w:tl2br w:val="nil"/>
              <w:tr2bl w:val="nil"/>
            </w:tcBorders>
            <w:vAlign w:val="center"/>
          </w:tcPr>
          <w:p w14:paraId="2125545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w:t>
            </w:r>
          </w:p>
        </w:tc>
      </w:tr>
    </w:tbl>
    <w:p w14:paraId="062A1F2C">
      <w:pPr>
        <w:spacing w:line="480" w:lineRule="exact"/>
        <w:ind w:firstLine="480" w:firstLineChars="200"/>
        <w:rPr>
          <w:rFonts w:ascii="Times New Roman" w:hAnsi="Times New Roman"/>
          <w:kern w:val="24"/>
          <w:highlight w:val="none"/>
        </w:rPr>
      </w:pPr>
      <w:r>
        <w:rPr>
          <w:rFonts w:hint="eastAsia" w:ascii="Times New Roman" w:hAnsi="Times New Roman"/>
          <w:kern w:val="24"/>
          <w:highlight w:val="none"/>
        </w:rPr>
        <w:t>厂区雨水进水市政雨水管网，厂区</w:t>
      </w:r>
      <w:r>
        <w:rPr>
          <w:rFonts w:hint="eastAsia" w:ascii="Times New Roman" w:hAnsi="Times New Roman"/>
          <w:kern w:val="24"/>
          <w:highlight w:val="none"/>
          <w:lang w:val="en-US" w:eastAsia="zh-CN"/>
        </w:rPr>
        <w:t>总排口及4</w:t>
      </w:r>
      <w:r>
        <w:rPr>
          <w:rFonts w:hint="eastAsia" w:ascii="Times New Roman" w:hAnsi="Times New Roman"/>
          <w:kern w:val="24"/>
          <w:highlight w:val="none"/>
        </w:rPr>
        <w:t>号厂房</w:t>
      </w:r>
      <w:r>
        <w:rPr>
          <w:rFonts w:hint="eastAsia" w:ascii="Times New Roman" w:hAnsi="Times New Roman"/>
          <w:kern w:val="24"/>
          <w:highlight w:val="none"/>
          <w:lang w:val="en-US" w:eastAsia="zh-CN"/>
        </w:rPr>
        <w:t>污水处理站排口</w:t>
      </w:r>
      <w:r>
        <w:rPr>
          <w:rFonts w:hint="eastAsia" w:ascii="Times New Roman" w:hAnsi="Times New Roman"/>
          <w:kern w:val="24"/>
          <w:highlight w:val="none"/>
        </w:rPr>
        <w:t>检测结果符</w:t>
      </w:r>
      <w:r>
        <w:rPr>
          <w:rFonts w:hint="eastAsia" w:ascii="Times New Roman" w:hAnsi="Times New Roman"/>
          <w:color w:val="000000" w:themeColor="text1"/>
          <w:kern w:val="24"/>
          <w:highlight w:val="none"/>
        </w:rPr>
        <w:t>合《污水综合排放标准》（GB8978-1996）表4第二类污染物最高允许排放浓度三级标准要求，通过市政污水管网排入</w:t>
      </w:r>
      <w:r>
        <w:rPr>
          <w:rFonts w:hint="eastAsia"/>
          <w:color w:val="000000" w:themeColor="text1"/>
          <w:highlight w:val="none"/>
          <w:vertAlign w:val="baseline"/>
          <w:lang w:val="en-US" w:eastAsia="zh-CN"/>
        </w:rPr>
        <w:t>哈尔滨市朝阳水质净化厂</w:t>
      </w:r>
      <w:r>
        <w:rPr>
          <w:rFonts w:hint="eastAsia" w:ascii="Times New Roman" w:hAnsi="Times New Roman"/>
          <w:color w:val="000000" w:themeColor="text1"/>
          <w:kern w:val="24"/>
          <w:highlight w:val="none"/>
        </w:rPr>
        <w:t>处理达后，排入松花江。</w:t>
      </w:r>
    </w:p>
    <w:p w14:paraId="54BE315B">
      <w:pPr>
        <w:pStyle w:val="6"/>
        <w:bidi w:val="0"/>
        <w:rPr>
          <w:highlight w:val="none"/>
        </w:rPr>
      </w:pPr>
      <w:r>
        <w:rPr>
          <w:rFonts w:hint="eastAsia"/>
          <w:highlight w:val="none"/>
        </w:rPr>
        <w:t>3.1.8.3噪声</w:t>
      </w:r>
    </w:p>
    <w:p w14:paraId="42E65AC0">
      <w:pPr>
        <w:spacing w:line="480" w:lineRule="exact"/>
        <w:ind w:firstLine="480" w:firstLineChars="200"/>
        <w:rPr>
          <w:rFonts w:hint="eastAsia" w:ascii="Times New Roman" w:hAnsi="Times New Roman"/>
          <w:kern w:val="24"/>
          <w:highlight w:val="none"/>
        </w:rPr>
      </w:pPr>
      <w:r>
        <w:rPr>
          <w:rFonts w:hint="eastAsia" w:ascii="Times New Roman" w:hAnsi="Times New Roman"/>
          <w:kern w:val="24"/>
          <w:highlight w:val="none"/>
        </w:rPr>
        <w:t>根据哈尔滨东安汽车发动机制造有限公司202</w:t>
      </w:r>
      <w:r>
        <w:rPr>
          <w:rFonts w:hint="eastAsia" w:ascii="Times New Roman" w:hAnsi="Times New Roman"/>
          <w:kern w:val="24"/>
          <w:highlight w:val="none"/>
          <w:lang w:val="en-US" w:eastAsia="zh-CN"/>
        </w:rPr>
        <w:t>4</w:t>
      </w:r>
      <w:r>
        <w:rPr>
          <w:rFonts w:hint="eastAsia" w:ascii="Times New Roman" w:hAnsi="Times New Roman"/>
          <w:kern w:val="24"/>
          <w:highlight w:val="none"/>
        </w:rPr>
        <w:t>年</w:t>
      </w:r>
      <w:r>
        <w:rPr>
          <w:rFonts w:hint="eastAsia" w:ascii="Times New Roman" w:hAnsi="Times New Roman"/>
          <w:kern w:val="24"/>
          <w:highlight w:val="none"/>
          <w:lang w:val="en-US" w:eastAsia="zh-CN"/>
        </w:rPr>
        <w:t>7</w:t>
      </w:r>
      <w:r>
        <w:rPr>
          <w:rFonts w:hint="eastAsia" w:ascii="Times New Roman" w:hAnsi="Times New Roman"/>
          <w:kern w:val="24"/>
          <w:highlight w:val="none"/>
        </w:rPr>
        <w:t>月排污许可例行监测报告，厂界噪声监测点昼间监测结果在5</w:t>
      </w:r>
      <w:r>
        <w:rPr>
          <w:rFonts w:hint="eastAsia" w:ascii="Times New Roman" w:hAnsi="Times New Roman"/>
          <w:kern w:val="24"/>
          <w:highlight w:val="none"/>
          <w:lang w:val="en-US" w:eastAsia="zh-CN"/>
        </w:rPr>
        <w:t>3</w:t>
      </w:r>
      <w:r>
        <w:rPr>
          <w:rFonts w:hint="eastAsia" w:ascii="Times New Roman" w:hAnsi="Times New Roman"/>
          <w:kern w:val="24"/>
          <w:highlight w:val="none"/>
        </w:rPr>
        <w:t>~5</w:t>
      </w:r>
      <w:r>
        <w:rPr>
          <w:rFonts w:hint="eastAsia" w:ascii="Times New Roman" w:hAnsi="Times New Roman"/>
          <w:kern w:val="24"/>
          <w:highlight w:val="none"/>
          <w:lang w:val="en-US" w:eastAsia="zh-CN"/>
        </w:rPr>
        <w:t>4</w:t>
      </w:r>
      <w:r>
        <w:rPr>
          <w:rFonts w:hint="eastAsia" w:ascii="Times New Roman" w:hAnsi="Times New Roman"/>
          <w:kern w:val="24"/>
          <w:highlight w:val="none"/>
        </w:rPr>
        <w:t>dB(A)，夜间噪声监测结果在4</w:t>
      </w:r>
      <w:r>
        <w:rPr>
          <w:rFonts w:hint="eastAsia" w:ascii="Times New Roman" w:hAnsi="Times New Roman"/>
          <w:kern w:val="24"/>
          <w:highlight w:val="none"/>
          <w:lang w:val="en-US" w:eastAsia="zh-CN"/>
        </w:rPr>
        <w:t>4</w:t>
      </w:r>
      <w:r>
        <w:rPr>
          <w:rFonts w:hint="eastAsia" w:ascii="Times New Roman" w:hAnsi="Times New Roman"/>
          <w:kern w:val="24"/>
          <w:highlight w:val="none"/>
        </w:rPr>
        <w:t>~4</w:t>
      </w:r>
      <w:r>
        <w:rPr>
          <w:rFonts w:hint="eastAsia" w:ascii="Times New Roman" w:hAnsi="Times New Roman"/>
          <w:kern w:val="24"/>
          <w:highlight w:val="none"/>
          <w:lang w:val="en-US" w:eastAsia="zh-CN"/>
        </w:rPr>
        <w:t>5</w:t>
      </w:r>
      <w:r>
        <w:rPr>
          <w:rFonts w:hint="eastAsia" w:ascii="Times New Roman" w:hAnsi="Times New Roman"/>
          <w:kern w:val="24"/>
          <w:highlight w:val="none"/>
        </w:rPr>
        <w:t>dB(A)，监测点位的噪声监测结果均满足《工业企业厂界环境噪声排放标准》（GB12348-2008）3类标准要求（昼间：65dB(A)，夜间：55dB(A)）。现有工程厂界噪声验收监测结果详见表3-1-7。</w:t>
      </w:r>
    </w:p>
    <w:p w14:paraId="3BE5C7DB">
      <w:pPr>
        <w:pStyle w:val="7"/>
        <w:bidi w:val="0"/>
        <w:rPr>
          <w:highlight w:val="none"/>
        </w:rPr>
      </w:pPr>
      <w:r>
        <w:rPr>
          <w:rFonts w:hint="eastAsia"/>
          <w:highlight w:val="none"/>
        </w:rPr>
        <w:t>表3-1-7现有工程厂界噪声监测结果单位：dB(A)</w:t>
      </w:r>
    </w:p>
    <w:tbl>
      <w:tblPr>
        <w:tblStyle w:val="45"/>
        <w:tblW w:w="5000" w:type="pct"/>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1724"/>
        <w:gridCol w:w="3416"/>
        <w:gridCol w:w="3382"/>
      </w:tblGrid>
      <w:tr w14:paraId="75DBB1A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0" w:hRule="atLeast"/>
        </w:trPr>
        <w:tc>
          <w:tcPr>
            <w:tcW w:w="1011" w:type="pct"/>
            <w:vMerge w:val="restart"/>
            <w:tcBorders>
              <w:tl2br w:val="nil"/>
              <w:tr2bl w:val="nil"/>
            </w:tcBorders>
            <w:vAlign w:val="center"/>
          </w:tcPr>
          <w:p w14:paraId="0D0526B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监测点位</w:t>
            </w:r>
          </w:p>
        </w:tc>
        <w:tc>
          <w:tcPr>
            <w:tcW w:w="3988" w:type="pct"/>
            <w:gridSpan w:val="2"/>
            <w:tcBorders>
              <w:tl2br w:val="nil"/>
              <w:tr2bl w:val="nil"/>
            </w:tcBorders>
            <w:vAlign w:val="center"/>
          </w:tcPr>
          <w:p w14:paraId="16541D1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测量值（dB(A)）</w:t>
            </w:r>
          </w:p>
        </w:tc>
      </w:tr>
      <w:tr w14:paraId="5414106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0" w:hRule="atLeast"/>
        </w:trPr>
        <w:tc>
          <w:tcPr>
            <w:tcW w:w="1011" w:type="pct"/>
            <w:vMerge w:val="continue"/>
            <w:tcBorders>
              <w:tl2br w:val="nil"/>
              <w:tr2bl w:val="nil"/>
            </w:tcBorders>
            <w:vAlign w:val="center"/>
          </w:tcPr>
          <w:p w14:paraId="7F064A1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p>
        </w:tc>
        <w:tc>
          <w:tcPr>
            <w:tcW w:w="2004" w:type="pct"/>
            <w:tcBorders>
              <w:tl2br w:val="nil"/>
              <w:tr2bl w:val="nil"/>
            </w:tcBorders>
            <w:vAlign w:val="center"/>
          </w:tcPr>
          <w:p w14:paraId="0C8C161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昼间</w:t>
            </w:r>
          </w:p>
        </w:tc>
        <w:tc>
          <w:tcPr>
            <w:tcW w:w="1984" w:type="pct"/>
            <w:tcBorders>
              <w:tl2br w:val="nil"/>
              <w:tr2bl w:val="nil"/>
            </w:tcBorders>
            <w:vAlign w:val="center"/>
          </w:tcPr>
          <w:p w14:paraId="3446EC8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夜间</w:t>
            </w:r>
          </w:p>
        </w:tc>
      </w:tr>
      <w:tr w14:paraId="3E2B5FD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0" w:hRule="atLeast"/>
        </w:trPr>
        <w:tc>
          <w:tcPr>
            <w:tcW w:w="1011" w:type="pct"/>
            <w:vMerge w:val="continue"/>
            <w:tcBorders>
              <w:tl2br w:val="nil"/>
              <w:tr2bl w:val="nil"/>
            </w:tcBorders>
            <w:vAlign w:val="center"/>
          </w:tcPr>
          <w:p w14:paraId="69D2913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p>
        </w:tc>
        <w:tc>
          <w:tcPr>
            <w:tcW w:w="2004" w:type="pct"/>
            <w:tcBorders>
              <w:tl2br w:val="nil"/>
              <w:tr2bl w:val="nil"/>
            </w:tcBorders>
            <w:vAlign w:val="center"/>
          </w:tcPr>
          <w:p w14:paraId="49D81B0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检测结果</w:t>
            </w:r>
          </w:p>
        </w:tc>
        <w:tc>
          <w:tcPr>
            <w:tcW w:w="1984" w:type="pct"/>
            <w:tcBorders>
              <w:tl2br w:val="nil"/>
              <w:tr2bl w:val="nil"/>
            </w:tcBorders>
            <w:vAlign w:val="center"/>
          </w:tcPr>
          <w:p w14:paraId="661C7E2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检测结果</w:t>
            </w:r>
          </w:p>
        </w:tc>
      </w:tr>
      <w:tr w14:paraId="1FB0B50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0" w:hRule="atLeast"/>
        </w:trPr>
        <w:tc>
          <w:tcPr>
            <w:tcW w:w="1011" w:type="pct"/>
            <w:tcBorders>
              <w:tl2br w:val="nil"/>
              <w:tr2bl w:val="nil"/>
            </w:tcBorders>
            <w:vAlign w:val="center"/>
          </w:tcPr>
          <w:p w14:paraId="13E2EE5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厂界南侧外1m</w:t>
            </w:r>
          </w:p>
        </w:tc>
        <w:tc>
          <w:tcPr>
            <w:tcW w:w="2004" w:type="pct"/>
            <w:tcBorders>
              <w:tl2br w:val="nil"/>
              <w:tr2bl w:val="nil"/>
            </w:tcBorders>
            <w:vAlign w:val="center"/>
          </w:tcPr>
          <w:p w14:paraId="7D93276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53</w:t>
            </w:r>
          </w:p>
        </w:tc>
        <w:tc>
          <w:tcPr>
            <w:tcW w:w="1984" w:type="pct"/>
            <w:tcBorders>
              <w:tl2br w:val="nil"/>
              <w:tr2bl w:val="nil"/>
            </w:tcBorders>
            <w:vAlign w:val="center"/>
          </w:tcPr>
          <w:p w14:paraId="3A6ACB0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45</w:t>
            </w:r>
          </w:p>
        </w:tc>
      </w:tr>
      <w:tr w14:paraId="56741C3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0" w:hRule="atLeast"/>
        </w:trPr>
        <w:tc>
          <w:tcPr>
            <w:tcW w:w="1011" w:type="pct"/>
            <w:tcBorders>
              <w:tl2br w:val="nil"/>
              <w:tr2bl w:val="nil"/>
            </w:tcBorders>
            <w:vAlign w:val="center"/>
          </w:tcPr>
          <w:p w14:paraId="0BCBF16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厂界西侧外1m</w:t>
            </w:r>
          </w:p>
        </w:tc>
        <w:tc>
          <w:tcPr>
            <w:tcW w:w="2004" w:type="pct"/>
            <w:tcBorders>
              <w:tl2br w:val="nil"/>
              <w:tr2bl w:val="nil"/>
            </w:tcBorders>
            <w:vAlign w:val="center"/>
          </w:tcPr>
          <w:p w14:paraId="0003DC1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54</w:t>
            </w:r>
          </w:p>
        </w:tc>
        <w:tc>
          <w:tcPr>
            <w:tcW w:w="1984" w:type="pct"/>
            <w:tcBorders>
              <w:tl2br w:val="nil"/>
              <w:tr2bl w:val="nil"/>
            </w:tcBorders>
            <w:vAlign w:val="center"/>
          </w:tcPr>
          <w:p w14:paraId="7040F4E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44</w:t>
            </w:r>
          </w:p>
        </w:tc>
      </w:tr>
      <w:tr w14:paraId="669E18A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0" w:hRule="atLeast"/>
        </w:trPr>
        <w:tc>
          <w:tcPr>
            <w:tcW w:w="1011" w:type="pct"/>
            <w:tcBorders>
              <w:tl2br w:val="nil"/>
              <w:tr2bl w:val="nil"/>
            </w:tcBorders>
            <w:vAlign w:val="center"/>
          </w:tcPr>
          <w:p w14:paraId="46D5E56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厂界北侧外1m</w:t>
            </w:r>
          </w:p>
        </w:tc>
        <w:tc>
          <w:tcPr>
            <w:tcW w:w="2004" w:type="pct"/>
            <w:tcBorders>
              <w:tl2br w:val="nil"/>
              <w:tr2bl w:val="nil"/>
            </w:tcBorders>
            <w:vAlign w:val="center"/>
          </w:tcPr>
          <w:p w14:paraId="310EBA5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53</w:t>
            </w:r>
          </w:p>
        </w:tc>
        <w:tc>
          <w:tcPr>
            <w:tcW w:w="1984" w:type="pct"/>
            <w:tcBorders>
              <w:tl2br w:val="nil"/>
              <w:tr2bl w:val="nil"/>
            </w:tcBorders>
            <w:vAlign w:val="center"/>
          </w:tcPr>
          <w:p w14:paraId="0C0AC9B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45</w:t>
            </w:r>
          </w:p>
        </w:tc>
      </w:tr>
      <w:tr w14:paraId="7731E1D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0" w:hRule="atLeast"/>
        </w:trPr>
        <w:tc>
          <w:tcPr>
            <w:tcW w:w="1011" w:type="pct"/>
            <w:tcBorders>
              <w:tl2br w:val="nil"/>
              <w:tr2bl w:val="nil"/>
            </w:tcBorders>
            <w:vAlign w:val="center"/>
          </w:tcPr>
          <w:p w14:paraId="5F2CC9A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厂界东侧外1m</w:t>
            </w:r>
          </w:p>
        </w:tc>
        <w:tc>
          <w:tcPr>
            <w:tcW w:w="2004" w:type="pct"/>
            <w:tcBorders>
              <w:tl2br w:val="nil"/>
              <w:tr2bl w:val="nil"/>
            </w:tcBorders>
            <w:vAlign w:val="center"/>
          </w:tcPr>
          <w:p w14:paraId="45B23C3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54</w:t>
            </w:r>
          </w:p>
        </w:tc>
        <w:tc>
          <w:tcPr>
            <w:tcW w:w="1984" w:type="pct"/>
            <w:tcBorders>
              <w:tl2br w:val="nil"/>
              <w:tr2bl w:val="nil"/>
            </w:tcBorders>
            <w:vAlign w:val="center"/>
          </w:tcPr>
          <w:p w14:paraId="5A0E3AD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44</w:t>
            </w:r>
          </w:p>
        </w:tc>
      </w:tr>
    </w:tbl>
    <w:p w14:paraId="0C186EF5">
      <w:pPr>
        <w:pStyle w:val="6"/>
        <w:bidi w:val="0"/>
        <w:ind w:firstLine="0"/>
        <w:rPr>
          <w:rFonts w:hint="eastAsia" w:ascii="Times New Roman" w:hAnsi="Times New Roman"/>
          <w:highlight w:val="none"/>
        </w:rPr>
      </w:pPr>
      <w:r>
        <w:rPr>
          <w:rFonts w:hint="eastAsia" w:ascii="Times New Roman" w:hAnsi="Times New Roman"/>
          <w:highlight w:val="none"/>
        </w:rPr>
        <w:t>3.1.8.4固体废物</w:t>
      </w:r>
    </w:p>
    <w:p w14:paraId="56760990">
      <w:pPr>
        <w:ind w:firstLine="480" w:firstLineChars="200"/>
        <w:rPr>
          <w:rFonts w:ascii="Times New Roman" w:hAnsi="Times New Roman"/>
          <w:kern w:val="24"/>
          <w:highlight w:val="none"/>
        </w:rPr>
      </w:pPr>
      <w:r>
        <w:rPr>
          <w:color w:val="000000" w:themeColor="text1"/>
          <w:highlight w:val="none"/>
        </w:rPr>
        <w:t>现有工程</w:t>
      </w:r>
      <w:r>
        <w:rPr>
          <w:rFonts w:hint="eastAsia"/>
          <w:color w:val="000000" w:themeColor="text1"/>
          <w:highlight w:val="none"/>
        </w:rPr>
        <w:t>现有工程废金属屑收集后外售于</w:t>
      </w:r>
      <w:r>
        <w:rPr>
          <w:rFonts w:hint="eastAsia"/>
          <w:color w:val="000000" w:themeColor="text1"/>
          <w:highlight w:val="none"/>
          <w:vertAlign w:val="baseline"/>
          <w:lang w:val="en-US" w:eastAsia="zh-CN"/>
        </w:rPr>
        <w:t>哈尔滨鹏鑫盛物资回收有限公司</w:t>
      </w:r>
      <w:r>
        <w:rPr>
          <w:rFonts w:hint="eastAsia"/>
          <w:color w:val="000000" w:themeColor="text1"/>
          <w:highlight w:val="none"/>
        </w:rPr>
        <w:t>，一般固体包装物收集后外售于废品回收站，机械加工和装配产生的</w:t>
      </w:r>
      <w:r>
        <w:rPr>
          <w:rFonts w:hint="eastAsia"/>
          <w:color w:val="000000" w:themeColor="text1"/>
          <w:highlight w:val="none"/>
          <w:vertAlign w:val="baseline"/>
          <w:lang w:val="en-US" w:eastAsia="zh-CN"/>
        </w:rPr>
        <w:t>废机油经密闭收集包装后，暂存于危险废贮存点内，定期委托大庆圣德雷特化工有限公司处置</w:t>
      </w:r>
      <w:r>
        <w:rPr>
          <w:rFonts w:hint="eastAsia"/>
          <w:color w:val="000000" w:themeColor="text1"/>
          <w:highlight w:val="none"/>
        </w:rPr>
        <w:t>，</w:t>
      </w:r>
      <w:r>
        <w:rPr>
          <w:rFonts w:hint="eastAsia"/>
          <w:color w:val="000000" w:themeColor="text1"/>
          <w:highlight w:val="none"/>
          <w:vertAlign w:val="baseline"/>
          <w:lang w:val="en-US" w:eastAsia="zh-CN"/>
        </w:rPr>
        <w:t>含油抹布、废滤布和废过滤材料经密闭收集包装后，暂存于危险废贮存点内，定期委托黑龙江京盛华环保科技有限公司处置</w:t>
      </w:r>
      <w:r>
        <w:rPr>
          <w:rFonts w:hint="eastAsia"/>
          <w:color w:val="000000" w:themeColor="text1"/>
          <w:highlight w:val="none"/>
        </w:rPr>
        <w:t>，原材料化学品（矿物油、胶类）</w:t>
      </w:r>
      <w:r>
        <w:rPr>
          <w:rFonts w:hint="eastAsia"/>
          <w:color w:val="000000" w:themeColor="text1"/>
          <w:highlight w:val="none"/>
          <w:vertAlign w:val="baseline"/>
          <w:lang w:val="en-US" w:eastAsia="zh-CN"/>
        </w:rPr>
        <w:t>化学品包装桶经密闭收集包装后，暂存于危险废贮存点内，定期委托黑龙江文武环保科技有限责任公司处置</w:t>
      </w:r>
      <w:r>
        <w:rPr>
          <w:rFonts w:hint="eastAsia"/>
          <w:color w:val="000000" w:themeColor="text1"/>
          <w:highlight w:val="none"/>
        </w:rPr>
        <w:t>，珩磨过程产生的</w:t>
      </w:r>
      <w:r>
        <w:rPr>
          <w:rFonts w:hint="eastAsia"/>
          <w:color w:val="000000" w:themeColor="text1"/>
          <w:highlight w:val="none"/>
          <w:vertAlign w:val="baseline"/>
          <w:lang w:val="en-US" w:eastAsia="zh-CN"/>
        </w:rPr>
        <w:t>珩磨油泥经密闭收集包装后，暂存于危险废贮存点内，定期委托黑龙江京盛华环保科技有限公司处置</w:t>
      </w:r>
      <w:r>
        <w:rPr>
          <w:rFonts w:hint="eastAsia"/>
          <w:color w:val="000000" w:themeColor="text1"/>
          <w:highlight w:val="none"/>
        </w:rPr>
        <w:t>，</w:t>
      </w:r>
      <w:r>
        <w:rPr>
          <w:rFonts w:hint="eastAsia"/>
          <w:color w:val="000000" w:themeColor="text1"/>
          <w:highlight w:val="none"/>
          <w:vertAlign w:val="baseline"/>
          <w:lang w:val="en-US" w:eastAsia="zh-CN"/>
        </w:rPr>
        <w:t>实验室废液经密闭收集包装后，暂存于危险废贮存点内，定期委托黑龙江京盛华环保科技有限公司处置</w:t>
      </w:r>
      <w:r>
        <w:rPr>
          <w:rFonts w:hint="eastAsia"/>
          <w:color w:val="000000" w:themeColor="text1"/>
          <w:highlight w:val="none"/>
        </w:rPr>
        <w:t>，</w:t>
      </w:r>
      <w:r>
        <w:rPr>
          <w:rFonts w:hint="eastAsia"/>
          <w:color w:val="000000" w:themeColor="text1"/>
          <w:highlight w:val="none"/>
          <w:vertAlign w:val="baseline"/>
          <w:lang w:val="en-US" w:eastAsia="zh-CN"/>
        </w:rPr>
        <w:t>废切削液经过切削液循环系统集中报废后定期委托黑龙江红森林环保科技有限责任公司处置；污水处理污泥经密封包装后，暂存于危险废贮存点内，定期委托安达市先锋化工有限公司处置；废胶、废密封剂经密封包装后，暂存于危险废贮存点内，定期委托黑龙江京盛华环保科技有限公司处置</w:t>
      </w:r>
      <w:r>
        <w:rPr>
          <w:color w:val="000000" w:themeColor="text1"/>
          <w:highlight w:val="none"/>
        </w:rPr>
        <w:t>。</w:t>
      </w:r>
      <w:r>
        <w:rPr>
          <w:rFonts w:hint="eastAsia"/>
          <w:highlight w:val="none"/>
        </w:rPr>
        <w:t>危废暂存间位于2号厂房东侧40m处，属于独立暂存设施，建筑面积</w:t>
      </w:r>
      <w:r>
        <w:rPr>
          <w:rFonts w:hint="eastAsia"/>
          <w:highlight w:val="none"/>
          <w:lang w:val="en-US" w:eastAsia="zh-CN"/>
        </w:rPr>
        <w:t>198</w:t>
      </w:r>
      <w:r>
        <w:rPr>
          <w:rFonts w:hint="eastAsia"/>
          <w:highlight w:val="none"/>
        </w:rPr>
        <w:t>m</w:t>
      </w:r>
      <w:r>
        <w:rPr>
          <w:rFonts w:hint="eastAsia"/>
          <w:highlight w:val="none"/>
          <w:vertAlign w:val="superscript"/>
        </w:rPr>
        <w:t>2</w:t>
      </w:r>
      <w:r>
        <w:rPr>
          <w:rFonts w:hint="eastAsia"/>
          <w:highlight w:val="none"/>
        </w:rPr>
        <w:t>，总存储能力</w:t>
      </w:r>
      <w:r>
        <w:rPr>
          <w:rFonts w:hint="eastAsia"/>
          <w:highlight w:val="none"/>
          <w:lang w:val="en-US" w:eastAsia="zh-CN"/>
        </w:rPr>
        <w:t>60</w:t>
      </w:r>
      <w:r>
        <w:rPr>
          <w:rFonts w:hint="eastAsia"/>
          <w:highlight w:val="none"/>
        </w:rPr>
        <w:t>t，存储周期20天；生活垃圾由厂内集中收集，送市政环卫部门统一处理</w:t>
      </w:r>
      <w:r>
        <w:rPr>
          <w:rFonts w:hint="eastAsia" w:ascii="Times New Roman" w:hAnsi="Times New Roman"/>
          <w:kern w:val="24"/>
          <w:highlight w:val="none"/>
        </w:rPr>
        <w:t>。</w:t>
      </w:r>
    </w:p>
    <w:p w14:paraId="3C349850">
      <w:pPr>
        <w:pStyle w:val="6"/>
        <w:bidi w:val="0"/>
        <w:rPr>
          <w:highlight w:val="none"/>
        </w:rPr>
      </w:pPr>
      <w:r>
        <w:rPr>
          <w:rFonts w:hint="eastAsia"/>
          <w:highlight w:val="none"/>
        </w:rPr>
        <w:t>3.1.8.5环境风险</w:t>
      </w:r>
    </w:p>
    <w:p w14:paraId="29CC95E6">
      <w:pPr>
        <w:bidi w:val="0"/>
        <w:rPr>
          <w:highlight w:val="none"/>
        </w:rPr>
      </w:pPr>
      <w:r>
        <w:rPr>
          <w:rFonts w:hint="eastAsia"/>
          <w:highlight w:val="none"/>
        </w:rPr>
        <w:t>目前，企业已编制了《</w:t>
      </w:r>
      <w:r>
        <w:rPr>
          <w:highlight w:val="none"/>
        </w:rPr>
        <w:t>哈尔滨东安汽车发动机制造有限公司</w:t>
      </w:r>
      <w:r>
        <w:rPr>
          <w:highlight w:val="none"/>
        </w:rPr>
        <w:fldChar w:fldCharType="begin"/>
      </w:r>
      <w:r>
        <w:rPr>
          <w:highlight w:val="none"/>
        </w:rPr>
        <w:instrText xml:space="preserve"> HYPERLINK "http://www.baidu.com/link?url=77ZYysTA84-TMjB-Jz0Xm5njU4Zo4GWxM5_zV2ZUh0YC08GvdR6rokTmWX6U8OYrRfvC9yCTtlavAagTL0CRdOg1PEn0vsH2DdOIPwa0wRiikRTmz7wpHN2Tzin_Kwub" \t "_blank" </w:instrText>
      </w:r>
      <w:r>
        <w:rPr>
          <w:highlight w:val="none"/>
        </w:rPr>
        <w:fldChar w:fldCharType="separate"/>
      </w:r>
      <w:r>
        <w:rPr>
          <w:rFonts w:hint="eastAsia"/>
          <w:highlight w:val="none"/>
        </w:rPr>
        <w:t>突发环境环境事件应急预案</w:t>
      </w:r>
      <w:r>
        <w:rPr>
          <w:rFonts w:hint="eastAsia"/>
          <w:highlight w:val="none"/>
        </w:rPr>
        <w:fldChar w:fldCharType="end"/>
      </w:r>
      <w:r>
        <w:rPr>
          <w:rFonts w:hint="eastAsia"/>
          <w:highlight w:val="none"/>
        </w:rPr>
        <w:t>》，并于202</w:t>
      </w:r>
      <w:r>
        <w:rPr>
          <w:rFonts w:hint="eastAsia"/>
          <w:highlight w:val="none"/>
          <w:lang w:val="en-US" w:eastAsia="zh-CN"/>
        </w:rPr>
        <w:t>5</w:t>
      </w:r>
      <w:r>
        <w:rPr>
          <w:rFonts w:hint="eastAsia"/>
          <w:highlight w:val="none"/>
        </w:rPr>
        <w:t>年</w:t>
      </w:r>
      <w:r>
        <w:rPr>
          <w:rFonts w:hint="eastAsia"/>
          <w:highlight w:val="none"/>
          <w:lang w:val="en-US" w:eastAsia="zh-CN"/>
        </w:rPr>
        <w:t>6</w:t>
      </w:r>
      <w:r>
        <w:rPr>
          <w:rFonts w:hint="eastAsia"/>
          <w:highlight w:val="none"/>
        </w:rPr>
        <w:t>月在哈尔滨市平房区生态环境局备案。</w:t>
      </w:r>
    </w:p>
    <w:p w14:paraId="646BFC99">
      <w:pPr>
        <w:pStyle w:val="4"/>
        <w:bidi w:val="0"/>
        <w:rPr>
          <w:highlight w:val="none"/>
        </w:rPr>
      </w:pPr>
      <w:bookmarkStart w:id="226" w:name="_Toc18077"/>
      <w:bookmarkStart w:id="227" w:name="_Toc8663"/>
      <w:r>
        <w:rPr>
          <w:rFonts w:hint="eastAsia"/>
          <w:highlight w:val="none"/>
        </w:rPr>
        <w:t>3.1.11现有工程污染物排放情况</w:t>
      </w:r>
      <w:bookmarkEnd w:id="226"/>
      <w:bookmarkEnd w:id="227"/>
    </w:p>
    <w:p w14:paraId="0962FCCC">
      <w:pPr>
        <w:bidi w:val="0"/>
        <w:rPr>
          <w:highlight w:val="none"/>
        </w:rPr>
      </w:pPr>
      <w:r>
        <w:rPr>
          <w:rFonts w:hint="eastAsia"/>
          <w:highlight w:val="none"/>
          <w:lang w:val="en-US" w:eastAsia="zh-CN"/>
        </w:rPr>
        <w:t>由于企业2024年度执行报告中未给废气各污染物实际排放量，且</w:t>
      </w:r>
      <w:r>
        <w:rPr>
          <w:rFonts w:hint="eastAsia" w:cs="Times New Roman"/>
          <w:b w:val="0"/>
          <w:bCs w:val="0"/>
          <w:kern w:val="0"/>
          <w:sz w:val="24"/>
          <w:szCs w:val="24"/>
          <w:highlight w:val="none"/>
          <w:lang w:val="en-US" w:eastAsia="zh-CN" w:bidi="zh-CN"/>
        </w:rPr>
        <w:t>根据排污许可证（重点管理）中，废气为一般排放口，未许可排放量，</w:t>
      </w:r>
      <w:r>
        <w:rPr>
          <w:rFonts w:hint="eastAsia"/>
          <w:highlight w:val="none"/>
          <w:lang w:val="en-US" w:eastAsia="zh-CN"/>
        </w:rPr>
        <w:t>故实际排放量采用</w:t>
      </w:r>
      <w:r>
        <w:rPr>
          <w:rFonts w:hint="eastAsia"/>
          <w:spacing w:val="-1"/>
          <w:highlight w:val="none"/>
          <w:lang w:val="en-US" w:eastAsia="zh-CN"/>
        </w:rPr>
        <w:t>《哈尔滨东安汽车发动机制造有限公司研发及信息化能力提升项目环境影响评价报告表》中相关数据</w:t>
      </w:r>
      <w:r>
        <w:rPr>
          <w:rFonts w:hint="eastAsia"/>
          <w:spacing w:val="-1"/>
          <w:highlight w:val="none"/>
          <w:lang w:eastAsia="zh-CN"/>
        </w:rPr>
        <w:t>，</w:t>
      </w:r>
      <w:r>
        <w:rPr>
          <w:rFonts w:hint="eastAsia"/>
          <w:highlight w:val="none"/>
        </w:rPr>
        <w:t>现有工程污染物排放情况见表3-1-11。</w:t>
      </w:r>
    </w:p>
    <w:p w14:paraId="0560F53A">
      <w:pPr>
        <w:pStyle w:val="7"/>
        <w:bidi w:val="0"/>
        <w:rPr>
          <w:highlight w:val="none"/>
        </w:rPr>
      </w:pPr>
      <w:r>
        <w:rPr>
          <w:rFonts w:hint="eastAsia"/>
          <w:highlight w:val="none"/>
        </w:rPr>
        <w:t>表3-1-11现有工程污染物排放情况表</w:t>
      </w:r>
    </w:p>
    <w:tbl>
      <w:tblPr>
        <w:tblStyle w:val="45"/>
        <w:tblW w:w="4996"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40"/>
        <w:gridCol w:w="3175"/>
        <w:gridCol w:w="1399"/>
        <w:gridCol w:w="3101"/>
      </w:tblGrid>
      <w:tr w14:paraId="29C7612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3" w:type="dxa"/>
            <w:tcBorders>
              <w:tl2br w:val="nil"/>
              <w:tr2bl w:val="nil"/>
            </w:tcBorders>
            <w:vAlign w:val="center"/>
          </w:tcPr>
          <w:p w14:paraId="4B6174D3">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cs="Times New Roman"/>
                <w:b w:val="0"/>
                <w:bCs w:val="0"/>
                <w:spacing w:val="3"/>
                <w:sz w:val="21"/>
                <w:szCs w:val="21"/>
                <w:highlight w:val="none"/>
              </w:rPr>
              <w:t>类别</w:t>
            </w:r>
          </w:p>
        </w:tc>
        <w:tc>
          <w:tcPr>
            <w:tcW w:w="3466" w:type="dxa"/>
            <w:tcBorders>
              <w:tl2br w:val="nil"/>
              <w:tr2bl w:val="nil"/>
            </w:tcBorders>
            <w:vAlign w:val="center"/>
          </w:tcPr>
          <w:p w14:paraId="3813B2FC">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cs="Times New Roman"/>
                <w:b w:val="0"/>
                <w:bCs w:val="0"/>
                <w:spacing w:val="5"/>
                <w:sz w:val="21"/>
                <w:szCs w:val="21"/>
                <w:highlight w:val="none"/>
              </w:rPr>
              <w:t>污染物</w:t>
            </w:r>
          </w:p>
        </w:tc>
        <w:tc>
          <w:tcPr>
            <w:tcW w:w="1502" w:type="dxa"/>
            <w:tcBorders>
              <w:tl2br w:val="nil"/>
              <w:tr2bl w:val="nil"/>
            </w:tcBorders>
            <w:vAlign w:val="center"/>
          </w:tcPr>
          <w:p w14:paraId="66F2F8BB">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cs="Times New Roman"/>
                <w:b w:val="0"/>
                <w:bCs w:val="0"/>
                <w:spacing w:val="3"/>
                <w:sz w:val="21"/>
                <w:szCs w:val="21"/>
                <w:highlight w:val="none"/>
              </w:rPr>
              <w:t>计算</w:t>
            </w:r>
          </w:p>
          <w:p w14:paraId="627CE956">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cs="Times New Roman"/>
                <w:b w:val="0"/>
                <w:bCs w:val="0"/>
                <w:spacing w:val="5"/>
                <w:sz w:val="21"/>
                <w:szCs w:val="21"/>
                <w:highlight w:val="none"/>
              </w:rPr>
              <w:t>排放量</w:t>
            </w:r>
          </w:p>
        </w:tc>
        <w:tc>
          <w:tcPr>
            <w:tcW w:w="3384" w:type="dxa"/>
            <w:tcBorders>
              <w:tl2br w:val="nil"/>
              <w:tr2bl w:val="nil"/>
            </w:tcBorders>
            <w:vAlign w:val="center"/>
          </w:tcPr>
          <w:p w14:paraId="4BFD60C0">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cs="Times New Roman"/>
                <w:b w:val="0"/>
                <w:bCs w:val="0"/>
                <w:spacing w:val="3"/>
                <w:sz w:val="21"/>
                <w:szCs w:val="21"/>
                <w:highlight w:val="none"/>
              </w:rPr>
              <w:t>许可</w:t>
            </w:r>
          </w:p>
          <w:p w14:paraId="1BDDB9FD">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cs="Times New Roman"/>
                <w:b w:val="0"/>
                <w:bCs w:val="0"/>
                <w:spacing w:val="5"/>
                <w:sz w:val="21"/>
                <w:szCs w:val="21"/>
                <w:highlight w:val="none"/>
              </w:rPr>
              <w:t>排放量</w:t>
            </w:r>
          </w:p>
        </w:tc>
      </w:tr>
      <w:tr w14:paraId="00CC03A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3" w:type="dxa"/>
            <w:vMerge w:val="restart"/>
            <w:tcBorders>
              <w:tl2br w:val="nil"/>
              <w:tr2bl w:val="nil"/>
            </w:tcBorders>
            <w:vAlign w:val="center"/>
          </w:tcPr>
          <w:p w14:paraId="1C5E55C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z w:val="21"/>
                <w:szCs w:val="21"/>
                <w:highlight w:val="none"/>
              </w:rPr>
            </w:pPr>
          </w:p>
          <w:p w14:paraId="36E55D68">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cs="Times New Roman"/>
                <w:b w:val="0"/>
                <w:bCs w:val="0"/>
                <w:spacing w:val="5"/>
                <w:sz w:val="21"/>
                <w:szCs w:val="21"/>
                <w:highlight w:val="none"/>
              </w:rPr>
              <w:t>废气</w:t>
            </w:r>
          </w:p>
        </w:tc>
        <w:tc>
          <w:tcPr>
            <w:tcW w:w="3466" w:type="dxa"/>
            <w:tcBorders>
              <w:tl2br w:val="nil"/>
              <w:tr2bl w:val="nil"/>
            </w:tcBorders>
            <w:vAlign w:val="center"/>
          </w:tcPr>
          <w:p w14:paraId="4B3A2B4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eastAsia="Times New Roman" w:cs="Times New Roman"/>
                <w:b w:val="0"/>
                <w:bCs w:val="0"/>
                <w:spacing w:val="5"/>
                <w:sz w:val="21"/>
                <w:szCs w:val="21"/>
                <w:highlight w:val="none"/>
              </w:rPr>
              <w:t>VOCs</w:t>
            </w:r>
          </w:p>
        </w:tc>
        <w:tc>
          <w:tcPr>
            <w:tcW w:w="1502" w:type="dxa"/>
            <w:tcBorders>
              <w:tl2br w:val="nil"/>
              <w:tr2bl w:val="nil"/>
            </w:tcBorders>
            <w:vAlign w:val="center"/>
          </w:tcPr>
          <w:p w14:paraId="39F2805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eastAsia="Times New Roman" w:cs="Times New Roman"/>
                <w:b w:val="0"/>
                <w:bCs w:val="0"/>
                <w:spacing w:val="2"/>
                <w:sz w:val="21"/>
                <w:szCs w:val="21"/>
                <w:highlight w:val="none"/>
              </w:rPr>
              <w:t>0.899t/a</w:t>
            </w:r>
          </w:p>
        </w:tc>
        <w:tc>
          <w:tcPr>
            <w:tcW w:w="3384" w:type="dxa"/>
            <w:tcBorders>
              <w:tl2br w:val="nil"/>
              <w:tr2bl w:val="nil"/>
            </w:tcBorders>
            <w:vAlign w:val="center"/>
          </w:tcPr>
          <w:p w14:paraId="26757FA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eastAsia" w:ascii="Times New Roman" w:hAnsi="Times New Roman" w:eastAsia="宋体" w:cs="Times New Roman"/>
                <w:b w:val="0"/>
                <w:bCs w:val="0"/>
                <w:spacing w:val="2"/>
                <w:sz w:val="21"/>
                <w:szCs w:val="21"/>
                <w:highlight w:val="none"/>
                <w:lang w:val="en-US" w:eastAsia="zh-CN"/>
              </w:rPr>
              <w:t>10.126</w:t>
            </w:r>
            <w:r>
              <w:rPr>
                <w:rFonts w:hint="default" w:ascii="Times New Roman" w:hAnsi="Times New Roman" w:eastAsia="Times New Roman" w:cs="Times New Roman"/>
                <w:b w:val="0"/>
                <w:bCs w:val="0"/>
                <w:spacing w:val="2"/>
                <w:sz w:val="21"/>
                <w:szCs w:val="21"/>
                <w:highlight w:val="none"/>
              </w:rPr>
              <w:t>t/a</w:t>
            </w:r>
          </w:p>
        </w:tc>
      </w:tr>
      <w:tr w14:paraId="0F388A5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3" w:type="dxa"/>
            <w:vMerge w:val="continue"/>
            <w:tcBorders>
              <w:tl2br w:val="nil"/>
              <w:tr2bl w:val="nil"/>
            </w:tcBorders>
            <w:vAlign w:val="center"/>
          </w:tcPr>
          <w:p w14:paraId="306224C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z w:val="21"/>
                <w:szCs w:val="21"/>
                <w:highlight w:val="none"/>
              </w:rPr>
            </w:pPr>
          </w:p>
        </w:tc>
        <w:tc>
          <w:tcPr>
            <w:tcW w:w="3466" w:type="dxa"/>
            <w:tcBorders>
              <w:tl2br w:val="nil"/>
              <w:tr2bl w:val="nil"/>
            </w:tcBorders>
            <w:vAlign w:val="center"/>
          </w:tcPr>
          <w:p w14:paraId="409490B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eastAsia="Times New Roman" w:cs="Times New Roman"/>
                <w:b w:val="0"/>
                <w:bCs w:val="0"/>
                <w:spacing w:val="6"/>
                <w:sz w:val="21"/>
                <w:szCs w:val="21"/>
                <w:highlight w:val="none"/>
              </w:rPr>
              <w:t>NOx</w:t>
            </w:r>
          </w:p>
        </w:tc>
        <w:tc>
          <w:tcPr>
            <w:tcW w:w="1502" w:type="dxa"/>
            <w:tcBorders>
              <w:tl2br w:val="nil"/>
              <w:tr2bl w:val="nil"/>
            </w:tcBorders>
            <w:vAlign w:val="center"/>
          </w:tcPr>
          <w:p w14:paraId="6C245A0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eastAsia="Times New Roman" w:cs="Times New Roman"/>
                <w:b w:val="0"/>
                <w:bCs w:val="0"/>
                <w:spacing w:val="3"/>
                <w:sz w:val="21"/>
                <w:szCs w:val="21"/>
                <w:highlight w:val="none"/>
              </w:rPr>
              <w:t>2.508t/a</w:t>
            </w:r>
          </w:p>
        </w:tc>
        <w:tc>
          <w:tcPr>
            <w:tcW w:w="3384" w:type="dxa"/>
            <w:tcBorders>
              <w:tl2br w:val="nil"/>
              <w:tr2bl w:val="nil"/>
            </w:tcBorders>
            <w:vAlign w:val="center"/>
          </w:tcPr>
          <w:p w14:paraId="5860CD3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eastAsia" w:ascii="Times New Roman" w:hAnsi="Times New Roman" w:eastAsia="宋体" w:cs="Times New Roman"/>
                <w:b w:val="0"/>
                <w:bCs w:val="0"/>
                <w:spacing w:val="2"/>
                <w:sz w:val="21"/>
                <w:szCs w:val="21"/>
                <w:highlight w:val="none"/>
                <w:lang w:val="en-US" w:eastAsia="zh-CN"/>
              </w:rPr>
              <w:t>8.755</w:t>
            </w:r>
            <w:r>
              <w:rPr>
                <w:rFonts w:hint="default" w:ascii="Times New Roman" w:hAnsi="Times New Roman" w:eastAsia="Times New Roman" w:cs="Times New Roman"/>
                <w:b w:val="0"/>
                <w:bCs w:val="0"/>
                <w:spacing w:val="2"/>
                <w:sz w:val="21"/>
                <w:szCs w:val="21"/>
                <w:highlight w:val="none"/>
              </w:rPr>
              <w:t>t/a</w:t>
            </w:r>
          </w:p>
        </w:tc>
      </w:tr>
      <w:tr w14:paraId="1679B58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3" w:type="dxa"/>
            <w:vMerge w:val="continue"/>
            <w:tcBorders>
              <w:tl2br w:val="nil"/>
              <w:tr2bl w:val="nil"/>
            </w:tcBorders>
            <w:vAlign w:val="center"/>
          </w:tcPr>
          <w:p w14:paraId="7E013FB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z w:val="21"/>
                <w:szCs w:val="21"/>
                <w:highlight w:val="none"/>
              </w:rPr>
            </w:pPr>
          </w:p>
        </w:tc>
        <w:tc>
          <w:tcPr>
            <w:tcW w:w="3466" w:type="dxa"/>
            <w:tcBorders>
              <w:tl2br w:val="nil"/>
              <w:tr2bl w:val="nil"/>
            </w:tcBorders>
            <w:vAlign w:val="center"/>
          </w:tcPr>
          <w:p w14:paraId="41E167C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eastAsia="Times New Roman" w:cs="Times New Roman"/>
                <w:b w:val="0"/>
                <w:bCs w:val="0"/>
                <w:spacing w:val="6"/>
                <w:sz w:val="21"/>
                <w:szCs w:val="21"/>
                <w:highlight w:val="none"/>
              </w:rPr>
              <w:t>NH</w:t>
            </w:r>
            <w:r>
              <w:rPr>
                <w:rFonts w:hint="default" w:ascii="Times New Roman" w:hAnsi="Times New Roman" w:eastAsia="Times New Roman" w:cs="Times New Roman"/>
                <w:b w:val="0"/>
                <w:bCs w:val="0"/>
                <w:spacing w:val="6"/>
                <w:position w:val="-1"/>
                <w:sz w:val="21"/>
                <w:szCs w:val="21"/>
                <w:highlight w:val="none"/>
                <w:vertAlign w:val="subscript"/>
              </w:rPr>
              <w:t>3</w:t>
            </w:r>
          </w:p>
        </w:tc>
        <w:tc>
          <w:tcPr>
            <w:tcW w:w="1502" w:type="dxa"/>
            <w:tcBorders>
              <w:tl2br w:val="nil"/>
              <w:tr2bl w:val="nil"/>
            </w:tcBorders>
            <w:vAlign w:val="center"/>
          </w:tcPr>
          <w:p w14:paraId="26CDB98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eastAsia="Times New Roman" w:cs="Times New Roman"/>
                <w:b w:val="0"/>
                <w:bCs w:val="0"/>
                <w:spacing w:val="2"/>
                <w:sz w:val="21"/>
                <w:szCs w:val="21"/>
                <w:highlight w:val="none"/>
              </w:rPr>
              <w:t>0.004t/a</w:t>
            </w:r>
          </w:p>
        </w:tc>
        <w:tc>
          <w:tcPr>
            <w:tcW w:w="3384" w:type="dxa"/>
            <w:tcBorders>
              <w:tl2br w:val="nil"/>
              <w:tr2bl w:val="nil"/>
            </w:tcBorders>
            <w:vAlign w:val="center"/>
          </w:tcPr>
          <w:p w14:paraId="5BED644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eastAsia="Times New Roman" w:cs="Times New Roman"/>
                <w:b w:val="0"/>
                <w:bCs w:val="0"/>
                <w:spacing w:val="10"/>
                <w:position w:val="-2"/>
                <w:sz w:val="21"/>
                <w:szCs w:val="21"/>
                <w:highlight w:val="none"/>
              </w:rPr>
              <w:t>——</w:t>
            </w:r>
          </w:p>
        </w:tc>
      </w:tr>
      <w:tr w14:paraId="2479D17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3" w:type="dxa"/>
            <w:vMerge w:val="continue"/>
            <w:tcBorders>
              <w:tl2br w:val="nil"/>
              <w:tr2bl w:val="nil"/>
            </w:tcBorders>
            <w:vAlign w:val="center"/>
          </w:tcPr>
          <w:p w14:paraId="4ADCBD7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z w:val="21"/>
                <w:szCs w:val="21"/>
                <w:highlight w:val="none"/>
              </w:rPr>
            </w:pPr>
          </w:p>
        </w:tc>
        <w:tc>
          <w:tcPr>
            <w:tcW w:w="3466" w:type="dxa"/>
            <w:tcBorders>
              <w:tl2br w:val="nil"/>
              <w:tr2bl w:val="nil"/>
            </w:tcBorders>
            <w:vAlign w:val="center"/>
          </w:tcPr>
          <w:p w14:paraId="355CD9C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eastAsia="Times New Roman" w:cs="Times New Roman"/>
                <w:b w:val="0"/>
                <w:bCs w:val="0"/>
                <w:spacing w:val="3"/>
                <w:sz w:val="21"/>
                <w:szCs w:val="21"/>
                <w:highlight w:val="none"/>
              </w:rPr>
              <w:t>H</w:t>
            </w:r>
            <w:r>
              <w:rPr>
                <w:rFonts w:hint="default" w:ascii="Times New Roman" w:hAnsi="Times New Roman" w:eastAsia="Times New Roman" w:cs="Times New Roman"/>
                <w:b w:val="0"/>
                <w:bCs w:val="0"/>
                <w:spacing w:val="3"/>
                <w:position w:val="-1"/>
                <w:sz w:val="21"/>
                <w:szCs w:val="21"/>
                <w:highlight w:val="none"/>
                <w:vertAlign w:val="subscript"/>
              </w:rPr>
              <w:t>2</w:t>
            </w:r>
            <w:r>
              <w:rPr>
                <w:rFonts w:hint="default" w:ascii="Times New Roman" w:hAnsi="Times New Roman" w:eastAsia="Times New Roman" w:cs="Times New Roman"/>
                <w:b w:val="0"/>
                <w:bCs w:val="0"/>
                <w:spacing w:val="3"/>
                <w:sz w:val="21"/>
                <w:szCs w:val="21"/>
                <w:highlight w:val="none"/>
              </w:rPr>
              <w:t>S</w:t>
            </w:r>
          </w:p>
        </w:tc>
        <w:tc>
          <w:tcPr>
            <w:tcW w:w="1502" w:type="dxa"/>
            <w:tcBorders>
              <w:tl2br w:val="nil"/>
              <w:tr2bl w:val="nil"/>
            </w:tcBorders>
            <w:vAlign w:val="center"/>
          </w:tcPr>
          <w:p w14:paraId="43121B8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eastAsia="Times New Roman" w:cs="Times New Roman"/>
                <w:b w:val="0"/>
                <w:bCs w:val="0"/>
                <w:spacing w:val="3"/>
                <w:sz w:val="21"/>
                <w:szCs w:val="21"/>
                <w:highlight w:val="none"/>
              </w:rPr>
              <w:t>0.0002t/a</w:t>
            </w:r>
          </w:p>
        </w:tc>
        <w:tc>
          <w:tcPr>
            <w:tcW w:w="3384" w:type="dxa"/>
            <w:tcBorders>
              <w:tl2br w:val="nil"/>
              <w:tr2bl w:val="nil"/>
            </w:tcBorders>
            <w:vAlign w:val="center"/>
          </w:tcPr>
          <w:p w14:paraId="0B0AB5F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eastAsia="Times New Roman" w:cs="Times New Roman"/>
                <w:b w:val="0"/>
                <w:bCs w:val="0"/>
                <w:spacing w:val="10"/>
                <w:position w:val="-2"/>
                <w:sz w:val="21"/>
                <w:szCs w:val="21"/>
                <w:highlight w:val="none"/>
              </w:rPr>
              <w:t>——</w:t>
            </w:r>
          </w:p>
        </w:tc>
      </w:tr>
      <w:tr w14:paraId="103551F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883" w:type="dxa"/>
            <w:vMerge w:val="restart"/>
            <w:tcBorders>
              <w:tl2br w:val="nil"/>
              <w:tr2bl w:val="nil"/>
            </w:tcBorders>
            <w:vAlign w:val="center"/>
          </w:tcPr>
          <w:p w14:paraId="7F1E643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z w:val="21"/>
                <w:szCs w:val="21"/>
                <w:highlight w:val="none"/>
              </w:rPr>
            </w:pPr>
          </w:p>
          <w:p w14:paraId="06C133A7">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cs="Times New Roman"/>
                <w:b w:val="0"/>
                <w:bCs w:val="0"/>
                <w:spacing w:val="5"/>
                <w:sz w:val="21"/>
                <w:szCs w:val="21"/>
                <w:highlight w:val="none"/>
              </w:rPr>
              <w:t>废水</w:t>
            </w:r>
          </w:p>
        </w:tc>
        <w:tc>
          <w:tcPr>
            <w:tcW w:w="3466" w:type="dxa"/>
            <w:tcBorders>
              <w:tl2br w:val="nil"/>
              <w:tr2bl w:val="nil"/>
            </w:tcBorders>
            <w:vAlign w:val="center"/>
          </w:tcPr>
          <w:p w14:paraId="4218A6E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eastAsia="Times New Roman" w:cs="Times New Roman"/>
                <w:b w:val="0"/>
                <w:bCs w:val="0"/>
                <w:spacing w:val="3"/>
                <w:sz w:val="21"/>
                <w:szCs w:val="21"/>
                <w:highlight w:val="none"/>
              </w:rPr>
              <w:t>COD</w:t>
            </w:r>
          </w:p>
        </w:tc>
        <w:tc>
          <w:tcPr>
            <w:tcW w:w="1502" w:type="dxa"/>
            <w:tcBorders>
              <w:tl2br w:val="nil"/>
              <w:tr2bl w:val="nil"/>
            </w:tcBorders>
            <w:vAlign w:val="center"/>
          </w:tcPr>
          <w:p w14:paraId="500B30E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eastAsia" w:ascii="Times New Roman" w:hAnsi="Times New Roman" w:eastAsia="宋体" w:cs="Times New Roman"/>
                <w:b w:val="0"/>
                <w:bCs w:val="0"/>
                <w:spacing w:val="-1"/>
                <w:sz w:val="21"/>
                <w:szCs w:val="21"/>
                <w:highlight w:val="none"/>
                <w:lang w:val="en-US" w:eastAsia="zh-CN"/>
              </w:rPr>
              <w:t>2.434</w:t>
            </w:r>
            <w:r>
              <w:rPr>
                <w:rFonts w:hint="default" w:ascii="Times New Roman" w:hAnsi="Times New Roman" w:eastAsia="Times New Roman" w:cs="Times New Roman"/>
                <w:b w:val="0"/>
                <w:bCs w:val="0"/>
                <w:spacing w:val="-1"/>
                <w:sz w:val="21"/>
                <w:szCs w:val="21"/>
                <w:highlight w:val="none"/>
              </w:rPr>
              <w:t>t/a</w:t>
            </w:r>
          </w:p>
        </w:tc>
        <w:tc>
          <w:tcPr>
            <w:tcW w:w="3384" w:type="dxa"/>
            <w:tcBorders>
              <w:tl2br w:val="nil"/>
              <w:tr2bl w:val="nil"/>
            </w:tcBorders>
            <w:vAlign w:val="center"/>
          </w:tcPr>
          <w:p w14:paraId="2CAB497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eastAsia" w:ascii="Times New Roman" w:hAnsi="Times New Roman" w:eastAsia="宋体" w:cs="Times New Roman"/>
                <w:b w:val="0"/>
                <w:bCs w:val="0"/>
                <w:spacing w:val="1"/>
                <w:sz w:val="21"/>
                <w:szCs w:val="21"/>
                <w:highlight w:val="none"/>
                <w:lang w:val="en-US" w:eastAsia="zh-CN"/>
              </w:rPr>
              <w:t>10.7337</w:t>
            </w:r>
            <w:r>
              <w:rPr>
                <w:rFonts w:hint="default" w:ascii="Times New Roman" w:hAnsi="Times New Roman" w:eastAsia="Times New Roman" w:cs="Times New Roman"/>
                <w:b w:val="0"/>
                <w:bCs w:val="0"/>
                <w:spacing w:val="1"/>
                <w:sz w:val="21"/>
                <w:szCs w:val="21"/>
                <w:highlight w:val="none"/>
              </w:rPr>
              <w:t>t/a</w:t>
            </w:r>
          </w:p>
        </w:tc>
      </w:tr>
      <w:tr w14:paraId="604D46D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3" w:type="dxa"/>
            <w:vMerge w:val="continue"/>
            <w:tcBorders>
              <w:tl2br w:val="nil"/>
              <w:tr2bl w:val="nil"/>
            </w:tcBorders>
            <w:vAlign w:val="center"/>
          </w:tcPr>
          <w:p w14:paraId="18E1046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z w:val="21"/>
                <w:szCs w:val="21"/>
                <w:highlight w:val="none"/>
              </w:rPr>
            </w:pPr>
          </w:p>
        </w:tc>
        <w:tc>
          <w:tcPr>
            <w:tcW w:w="3466" w:type="dxa"/>
            <w:tcBorders>
              <w:tl2br w:val="nil"/>
              <w:tr2bl w:val="nil"/>
            </w:tcBorders>
            <w:vAlign w:val="center"/>
          </w:tcPr>
          <w:p w14:paraId="42F178D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eastAsia" w:ascii="Times New Roman" w:hAnsi="Times New Roman" w:eastAsia="宋体" w:cs="Times New Roman"/>
                <w:b w:val="0"/>
                <w:bCs w:val="0"/>
                <w:sz w:val="21"/>
                <w:szCs w:val="21"/>
                <w:highlight w:val="none"/>
                <w:lang w:val="en-US" w:eastAsia="zh-CN"/>
              </w:rPr>
            </w:pPr>
            <w:r>
              <w:rPr>
                <w:rFonts w:hint="default" w:ascii="Times New Roman" w:hAnsi="Times New Roman" w:eastAsia="Times New Roman" w:cs="Times New Roman"/>
                <w:b w:val="0"/>
                <w:bCs w:val="0"/>
                <w:sz w:val="21"/>
                <w:szCs w:val="21"/>
                <w:highlight w:val="none"/>
              </w:rPr>
              <w:t>BOD</w:t>
            </w:r>
            <w:r>
              <w:rPr>
                <w:rFonts w:hint="eastAsia" w:ascii="Times New Roman" w:hAnsi="Times New Roman" w:eastAsia="宋体" w:cs="Times New Roman"/>
                <w:b w:val="0"/>
                <w:bCs w:val="0"/>
                <w:sz w:val="21"/>
                <w:szCs w:val="21"/>
                <w:highlight w:val="none"/>
                <w:vertAlign w:val="subscript"/>
                <w:lang w:val="en-US" w:eastAsia="zh-CN"/>
              </w:rPr>
              <w:t>5</w:t>
            </w:r>
          </w:p>
        </w:tc>
        <w:tc>
          <w:tcPr>
            <w:tcW w:w="1502" w:type="dxa"/>
            <w:tcBorders>
              <w:tl2br w:val="nil"/>
              <w:tr2bl w:val="nil"/>
            </w:tcBorders>
            <w:vAlign w:val="center"/>
          </w:tcPr>
          <w:p w14:paraId="46EAE7E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eastAsia="Times New Roman" w:cs="Times New Roman"/>
                <w:b w:val="0"/>
                <w:bCs w:val="0"/>
                <w:sz w:val="21"/>
                <w:szCs w:val="21"/>
                <w:highlight w:val="none"/>
              </w:rPr>
              <w:t>1.901t/a</w:t>
            </w:r>
          </w:p>
        </w:tc>
        <w:tc>
          <w:tcPr>
            <w:tcW w:w="3384" w:type="dxa"/>
            <w:tcBorders>
              <w:tl2br w:val="nil"/>
              <w:tr2bl w:val="nil"/>
            </w:tcBorders>
            <w:vAlign w:val="center"/>
          </w:tcPr>
          <w:p w14:paraId="5391536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eastAsia="Times New Roman" w:cs="Times New Roman"/>
                <w:b w:val="0"/>
                <w:bCs w:val="0"/>
                <w:spacing w:val="10"/>
                <w:position w:val="-2"/>
                <w:sz w:val="21"/>
                <w:szCs w:val="21"/>
                <w:highlight w:val="none"/>
              </w:rPr>
              <w:t>——</w:t>
            </w:r>
          </w:p>
        </w:tc>
      </w:tr>
      <w:tr w14:paraId="27C13CB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883" w:type="dxa"/>
            <w:vMerge w:val="continue"/>
            <w:tcBorders>
              <w:tl2br w:val="nil"/>
              <w:tr2bl w:val="nil"/>
            </w:tcBorders>
            <w:vAlign w:val="center"/>
          </w:tcPr>
          <w:p w14:paraId="0753999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z w:val="21"/>
                <w:szCs w:val="21"/>
                <w:highlight w:val="none"/>
              </w:rPr>
            </w:pPr>
          </w:p>
        </w:tc>
        <w:tc>
          <w:tcPr>
            <w:tcW w:w="3466" w:type="dxa"/>
            <w:tcBorders>
              <w:tl2br w:val="nil"/>
              <w:tr2bl w:val="nil"/>
            </w:tcBorders>
            <w:vAlign w:val="center"/>
          </w:tcPr>
          <w:p w14:paraId="4A5CDA2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eastAsia="Times New Roman" w:cs="Times New Roman"/>
                <w:b w:val="0"/>
                <w:bCs w:val="0"/>
                <w:spacing w:val="-3"/>
                <w:sz w:val="21"/>
                <w:szCs w:val="21"/>
                <w:highlight w:val="none"/>
              </w:rPr>
              <w:t>SS</w:t>
            </w:r>
          </w:p>
        </w:tc>
        <w:tc>
          <w:tcPr>
            <w:tcW w:w="1502" w:type="dxa"/>
            <w:tcBorders>
              <w:tl2br w:val="nil"/>
              <w:tr2bl w:val="nil"/>
            </w:tcBorders>
            <w:vAlign w:val="center"/>
          </w:tcPr>
          <w:p w14:paraId="3884B3D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eastAsia="Times New Roman" w:cs="Times New Roman"/>
                <w:b w:val="0"/>
                <w:bCs w:val="0"/>
                <w:sz w:val="21"/>
                <w:szCs w:val="21"/>
                <w:highlight w:val="none"/>
              </w:rPr>
              <w:t>1.267t/a</w:t>
            </w:r>
          </w:p>
        </w:tc>
        <w:tc>
          <w:tcPr>
            <w:tcW w:w="3384" w:type="dxa"/>
            <w:tcBorders>
              <w:tl2br w:val="nil"/>
              <w:tr2bl w:val="nil"/>
            </w:tcBorders>
            <w:vAlign w:val="center"/>
          </w:tcPr>
          <w:p w14:paraId="7876065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eastAsia="Times New Roman" w:cs="Times New Roman"/>
                <w:b w:val="0"/>
                <w:bCs w:val="0"/>
                <w:spacing w:val="10"/>
                <w:position w:val="-2"/>
                <w:sz w:val="21"/>
                <w:szCs w:val="21"/>
                <w:highlight w:val="none"/>
              </w:rPr>
              <w:t>——</w:t>
            </w:r>
          </w:p>
        </w:tc>
      </w:tr>
      <w:tr w14:paraId="786F77C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883" w:type="dxa"/>
            <w:vMerge w:val="continue"/>
            <w:tcBorders>
              <w:tl2br w:val="nil"/>
              <w:tr2bl w:val="nil"/>
            </w:tcBorders>
            <w:vAlign w:val="center"/>
          </w:tcPr>
          <w:p w14:paraId="17B36A0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z w:val="21"/>
                <w:szCs w:val="21"/>
                <w:highlight w:val="none"/>
              </w:rPr>
            </w:pPr>
          </w:p>
        </w:tc>
        <w:tc>
          <w:tcPr>
            <w:tcW w:w="3466" w:type="dxa"/>
            <w:tcBorders>
              <w:tl2br w:val="nil"/>
              <w:tr2bl w:val="nil"/>
            </w:tcBorders>
            <w:vAlign w:val="center"/>
          </w:tcPr>
          <w:p w14:paraId="0527D42A">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cs="Times New Roman"/>
                <w:b w:val="0"/>
                <w:bCs w:val="0"/>
                <w:spacing w:val="4"/>
                <w:sz w:val="21"/>
                <w:szCs w:val="21"/>
                <w:highlight w:val="none"/>
              </w:rPr>
              <w:t>氨氮</w:t>
            </w:r>
          </w:p>
        </w:tc>
        <w:tc>
          <w:tcPr>
            <w:tcW w:w="1502" w:type="dxa"/>
            <w:tcBorders>
              <w:tl2br w:val="nil"/>
              <w:tr2bl w:val="nil"/>
            </w:tcBorders>
            <w:vAlign w:val="center"/>
          </w:tcPr>
          <w:p w14:paraId="6CC1164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eastAsia" w:ascii="Times New Roman" w:hAnsi="Times New Roman" w:eastAsia="宋体" w:cs="Times New Roman"/>
                <w:b w:val="0"/>
                <w:bCs w:val="0"/>
                <w:spacing w:val="2"/>
                <w:sz w:val="21"/>
                <w:szCs w:val="21"/>
                <w:highlight w:val="none"/>
                <w:lang w:val="en-US" w:eastAsia="zh-CN"/>
              </w:rPr>
              <w:t>0.192</w:t>
            </w:r>
            <w:r>
              <w:rPr>
                <w:rFonts w:hint="default" w:ascii="Times New Roman" w:hAnsi="Times New Roman" w:eastAsia="Times New Roman" w:cs="Times New Roman"/>
                <w:b w:val="0"/>
                <w:bCs w:val="0"/>
                <w:spacing w:val="2"/>
                <w:sz w:val="21"/>
                <w:szCs w:val="21"/>
                <w:highlight w:val="none"/>
              </w:rPr>
              <w:t>t/a</w:t>
            </w:r>
          </w:p>
        </w:tc>
        <w:tc>
          <w:tcPr>
            <w:tcW w:w="3384" w:type="dxa"/>
            <w:tcBorders>
              <w:tl2br w:val="nil"/>
              <w:tr2bl w:val="nil"/>
            </w:tcBorders>
            <w:vAlign w:val="center"/>
          </w:tcPr>
          <w:p w14:paraId="7176D09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eastAsia" w:ascii="Times New Roman" w:hAnsi="Times New Roman" w:eastAsia="宋体" w:cs="Times New Roman"/>
                <w:b w:val="0"/>
                <w:bCs w:val="0"/>
                <w:sz w:val="21"/>
                <w:szCs w:val="21"/>
                <w:highlight w:val="none"/>
                <w:lang w:val="en-US" w:eastAsia="zh-CN"/>
              </w:rPr>
              <w:t>0.9661</w:t>
            </w:r>
            <w:r>
              <w:rPr>
                <w:rFonts w:hint="default" w:ascii="Times New Roman" w:hAnsi="Times New Roman" w:eastAsia="Times New Roman" w:cs="Times New Roman"/>
                <w:b w:val="0"/>
                <w:bCs w:val="0"/>
                <w:sz w:val="21"/>
                <w:szCs w:val="21"/>
                <w:highlight w:val="none"/>
              </w:rPr>
              <w:t>t/a</w:t>
            </w:r>
          </w:p>
        </w:tc>
      </w:tr>
      <w:tr w14:paraId="3B99677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3" w:type="dxa"/>
            <w:vMerge w:val="restart"/>
            <w:tcBorders>
              <w:tl2br w:val="nil"/>
              <w:tr2bl w:val="nil"/>
            </w:tcBorders>
            <w:vAlign w:val="center"/>
          </w:tcPr>
          <w:p w14:paraId="3A7EC1A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z w:val="21"/>
                <w:szCs w:val="21"/>
                <w:highlight w:val="none"/>
              </w:rPr>
            </w:pPr>
          </w:p>
          <w:p w14:paraId="21B337A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z w:val="21"/>
                <w:szCs w:val="21"/>
                <w:highlight w:val="none"/>
              </w:rPr>
            </w:pPr>
          </w:p>
          <w:p w14:paraId="5313B26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z w:val="21"/>
                <w:szCs w:val="21"/>
                <w:highlight w:val="none"/>
              </w:rPr>
            </w:pPr>
          </w:p>
          <w:p w14:paraId="3F9DFE8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z w:val="21"/>
                <w:szCs w:val="21"/>
                <w:highlight w:val="none"/>
              </w:rPr>
            </w:pPr>
          </w:p>
          <w:p w14:paraId="7965807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z w:val="21"/>
                <w:szCs w:val="21"/>
                <w:highlight w:val="none"/>
              </w:rPr>
            </w:pPr>
          </w:p>
          <w:p w14:paraId="03247FE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z w:val="21"/>
                <w:szCs w:val="21"/>
                <w:highlight w:val="none"/>
              </w:rPr>
            </w:pPr>
          </w:p>
          <w:p w14:paraId="65A497C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z w:val="21"/>
                <w:szCs w:val="21"/>
                <w:highlight w:val="none"/>
              </w:rPr>
            </w:pPr>
          </w:p>
          <w:p w14:paraId="728F77C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z w:val="21"/>
                <w:szCs w:val="21"/>
                <w:highlight w:val="none"/>
              </w:rPr>
            </w:pPr>
          </w:p>
          <w:p w14:paraId="62F0B24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z w:val="21"/>
                <w:szCs w:val="21"/>
                <w:highlight w:val="none"/>
              </w:rPr>
            </w:pPr>
          </w:p>
          <w:p w14:paraId="22C2B37B">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cs="Times New Roman"/>
                <w:b w:val="0"/>
                <w:bCs w:val="0"/>
                <w:spacing w:val="-5"/>
                <w:sz w:val="21"/>
                <w:szCs w:val="21"/>
                <w:highlight w:val="none"/>
              </w:rPr>
              <w:t>固废</w:t>
            </w:r>
          </w:p>
        </w:tc>
        <w:tc>
          <w:tcPr>
            <w:tcW w:w="3466" w:type="dxa"/>
            <w:tcBorders>
              <w:tl2br w:val="nil"/>
              <w:tr2bl w:val="nil"/>
            </w:tcBorders>
            <w:vAlign w:val="center"/>
          </w:tcPr>
          <w:p w14:paraId="3BFEC3F2">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cs="Times New Roman"/>
                <w:b w:val="0"/>
                <w:bCs w:val="0"/>
                <w:spacing w:val="6"/>
                <w:sz w:val="21"/>
                <w:szCs w:val="21"/>
                <w:highlight w:val="none"/>
              </w:rPr>
              <w:t>生活垃圾</w:t>
            </w:r>
          </w:p>
        </w:tc>
        <w:tc>
          <w:tcPr>
            <w:tcW w:w="1502" w:type="dxa"/>
            <w:tcBorders>
              <w:tl2br w:val="nil"/>
              <w:tr2bl w:val="nil"/>
            </w:tcBorders>
            <w:vAlign w:val="center"/>
          </w:tcPr>
          <w:p w14:paraId="45F7EA0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eastAsia="Times New Roman" w:cs="Times New Roman"/>
                <w:b w:val="0"/>
                <w:bCs w:val="0"/>
                <w:spacing w:val="3"/>
                <w:sz w:val="21"/>
                <w:szCs w:val="21"/>
                <w:highlight w:val="none"/>
              </w:rPr>
              <w:t>45t/a</w:t>
            </w:r>
          </w:p>
        </w:tc>
        <w:tc>
          <w:tcPr>
            <w:tcW w:w="3384" w:type="dxa"/>
            <w:tcBorders>
              <w:tl2br w:val="nil"/>
              <w:tr2bl w:val="nil"/>
            </w:tcBorders>
            <w:vAlign w:val="center"/>
          </w:tcPr>
          <w:p w14:paraId="1CC036F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eastAsia="Times New Roman" w:cs="Times New Roman"/>
                <w:b w:val="0"/>
                <w:bCs w:val="0"/>
                <w:spacing w:val="10"/>
                <w:position w:val="-2"/>
                <w:sz w:val="21"/>
                <w:szCs w:val="21"/>
                <w:highlight w:val="none"/>
              </w:rPr>
              <w:t>——</w:t>
            </w:r>
          </w:p>
        </w:tc>
      </w:tr>
      <w:tr w14:paraId="2B64DFD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3" w:type="dxa"/>
            <w:vMerge w:val="continue"/>
            <w:tcBorders>
              <w:tl2br w:val="nil"/>
              <w:tr2bl w:val="nil"/>
            </w:tcBorders>
            <w:vAlign w:val="center"/>
          </w:tcPr>
          <w:p w14:paraId="42C307F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z w:val="21"/>
                <w:szCs w:val="21"/>
                <w:highlight w:val="none"/>
              </w:rPr>
            </w:pPr>
          </w:p>
        </w:tc>
        <w:tc>
          <w:tcPr>
            <w:tcW w:w="3466" w:type="dxa"/>
            <w:tcBorders>
              <w:tl2br w:val="nil"/>
              <w:tr2bl w:val="nil"/>
            </w:tcBorders>
            <w:vAlign w:val="center"/>
          </w:tcPr>
          <w:p w14:paraId="1B5BFF08">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cs="Times New Roman"/>
                <w:b w:val="0"/>
                <w:bCs w:val="0"/>
                <w:spacing w:val="7"/>
                <w:sz w:val="21"/>
                <w:szCs w:val="21"/>
                <w:highlight w:val="none"/>
              </w:rPr>
              <w:t>废金属屑</w:t>
            </w:r>
          </w:p>
        </w:tc>
        <w:tc>
          <w:tcPr>
            <w:tcW w:w="1502" w:type="dxa"/>
            <w:tcBorders>
              <w:tl2br w:val="nil"/>
              <w:tr2bl w:val="nil"/>
            </w:tcBorders>
            <w:vAlign w:val="center"/>
          </w:tcPr>
          <w:p w14:paraId="32CE650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eastAsia="Times New Roman" w:cs="Times New Roman"/>
                <w:b w:val="0"/>
                <w:bCs w:val="0"/>
                <w:spacing w:val="-2"/>
                <w:sz w:val="21"/>
                <w:szCs w:val="21"/>
                <w:highlight w:val="none"/>
              </w:rPr>
              <w:t>10t/a</w:t>
            </w:r>
          </w:p>
        </w:tc>
        <w:tc>
          <w:tcPr>
            <w:tcW w:w="3384" w:type="dxa"/>
            <w:tcBorders>
              <w:tl2br w:val="nil"/>
              <w:tr2bl w:val="nil"/>
            </w:tcBorders>
            <w:vAlign w:val="center"/>
          </w:tcPr>
          <w:p w14:paraId="6415499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eastAsia="Times New Roman" w:cs="Times New Roman"/>
                <w:b w:val="0"/>
                <w:bCs w:val="0"/>
                <w:spacing w:val="10"/>
                <w:position w:val="-2"/>
                <w:sz w:val="21"/>
                <w:szCs w:val="21"/>
                <w:highlight w:val="none"/>
              </w:rPr>
              <w:t>——</w:t>
            </w:r>
          </w:p>
        </w:tc>
      </w:tr>
      <w:tr w14:paraId="4E52522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3" w:type="dxa"/>
            <w:vMerge w:val="continue"/>
            <w:tcBorders>
              <w:tl2br w:val="nil"/>
              <w:tr2bl w:val="nil"/>
            </w:tcBorders>
            <w:vAlign w:val="center"/>
          </w:tcPr>
          <w:p w14:paraId="0FD86C8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z w:val="21"/>
                <w:szCs w:val="21"/>
                <w:highlight w:val="none"/>
              </w:rPr>
            </w:pPr>
          </w:p>
        </w:tc>
        <w:tc>
          <w:tcPr>
            <w:tcW w:w="3466" w:type="dxa"/>
            <w:tcBorders>
              <w:tl2br w:val="nil"/>
              <w:tr2bl w:val="nil"/>
            </w:tcBorders>
            <w:vAlign w:val="center"/>
          </w:tcPr>
          <w:p w14:paraId="1D2E7180">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cs="Times New Roman"/>
                <w:b w:val="0"/>
                <w:bCs w:val="0"/>
                <w:spacing w:val="8"/>
                <w:sz w:val="21"/>
                <w:szCs w:val="21"/>
                <w:highlight w:val="none"/>
              </w:rPr>
              <w:t>一般固废包装物</w:t>
            </w:r>
          </w:p>
        </w:tc>
        <w:tc>
          <w:tcPr>
            <w:tcW w:w="1502" w:type="dxa"/>
            <w:tcBorders>
              <w:tl2br w:val="nil"/>
              <w:tr2bl w:val="nil"/>
            </w:tcBorders>
            <w:vAlign w:val="center"/>
          </w:tcPr>
          <w:p w14:paraId="00F4159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eastAsia="Times New Roman" w:cs="Times New Roman"/>
                <w:b w:val="0"/>
                <w:bCs w:val="0"/>
                <w:spacing w:val="-2"/>
                <w:sz w:val="21"/>
                <w:szCs w:val="21"/>
                <w:highlight w:val="none"/>
              </w:rPr>
              <w:t>0.1t/a</w:t>
            </w:r>
          </w:p>
        </w:tc>
        <w:tc>
          <w:tcPr>
            <w:tcW w:w="3384" w:type="dxa"/>
            <w:tcBorders>
              <w:tl2br w:val="nil"/>
              <w:tr2bl w:val="nil"/>
            </w:tcBorders>
            <w:vAlign w:val="center"/>
          </w:tcPr>
          <w:p w14:paraId="376C0CB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eastAsia="Times New Roman" w:cs="Times New Roman"/>
                <w:b w:val="0"/>
                <w:bCs w:val="0"/>
                <w:spacing w:val="10"/>
                <w:position w:val="-2"/>
                <w:sz w:val="21"/>
                <w:szCs w:val="21"/>
                <w:highlight w:val="none"/>
              </w:rPr>
              <w:t>——</w:t>
            </w:r>
          </w:p>
        </w:tc>
      </w:tr>
      <w:tr w14:paraId="15C21E5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3" w:type="dxa"/>
            <w:vMerge w:val="continue"/>
            <w:tcBorders>
              <w:tl2br w:val="nil"/>
              <w:tr2bl w:val="nil"/>
            </w:tcBorders>
            <w:vAlign w:val="center"/>
          </w:tcPr>
          <w:p w14:paraId="494C5D1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z w:val="21"/>
                <w:szCs w:val="21"/>
                <w:highlight w:val="none"/>
              </w:rPr>
            </w:pPr>
          </w:p>
        </w:tc>
        <w:tc>
          <w:tcPr>
            <w:tcW w:w="3466" w:type="dxa"/>
            <w:tcBorders>
              <w:tl2br w:val="nil"/>
              <w:tr2bl w:val="nil"/>
            </w:tcBorders>
            <w:vAlign w:val="center"/>
          </w:tcPr>
          <w:p w14:paraId="09289D7E">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cs="Times New Roman"/>
                <w:b w:val="0"/>
                <w:bCs w:val="0"/>
                <w:spacing w:val="7"/>
                <w:sz w:val="21"/>
                <w:szCs w:val="21"/>
                <w:highlight w:val="none"/>
              </w:rPr>
              <w:t>废机油</w:t>
            </w:r>
          </w:p>
        </w:tc>
        <w:tc>
          <w:tcPr>
            <w:tcW w:w="1502" w:type="dxa"/>
            <w:tcBorders>
              <w:tl2br w:val="nil"/>
              <w:tr2bl w:val="nil"/>
            </w:tcBorders>
            <w:vAlign w:val="center"/>
          </w:tcPr>
          <w:p w14:paraId="68C690E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eastAsia="Times New Roman" w:cs="Times New Roman"/>
                <w:b w:val="0"/>
                <w:bCs w:val="0"/>
                <w:spacing w:val="2"/>
                <w:sz w:val="21"/>
                <w:szCs w:val="21"/>
                <w:highlight w:val="none"/>
              </w:rPr>
              <w:t>2t/a</w:t>
            </w:r>
          </w:p>
        </w:tc>
        <w:tc>
          <w:tcPr>
            <w:tcW w:w="3384" w:type="dxa"/>
            <w:tcBorders>
              <w:tl2br w:val="nil"/>
              <w:tr2bl w:val="nil"/>
            </w:tcBorders>
            <w:vAlign w:val="center"/>
          </w:tcPr>
          <w:p w14:paraId="1134CBE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eastAsia="Times New Roman" w:cs="Times New Roman"/>
                <w:b w:val="0"/>
                <w:bCs w:val="0"/>
                <w:spacing w:val="10"/>
                <w:position w:val="-2"/>
                <w:sz w:val="21"/>
                <w:szCs w:val="21"/>
                <w:highlight w:val="none"/>
              </w:rPr>
              <w:t>——</w:t>
            </w:r>
          </w:p>
        </w:tc>
      </w:tr>
      <w:tr w14:paraId="325C27E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3" w:type="dxa"/>
            <w:vMerge w:val="continue"/>
            <w:tcBorders>
              <w:tl2br w:val="nil"/>
              <w:tr2bl w:val="nil"/>
            </w:tcBorders>
            <w:vAlign w:val="center"/>
          </w:tcPr>
          <w:p w14:paraId="2FD5B11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z w:val="21"/>
                <w:szCs w:val="21"/>
                <w:highlight w:val="none"/>
              </w:rPr>
            </w:pPr>
          </w:p>
        </w:tc>
        <w:tc>
          <w:tcPr>
            <w:tcW w:w="3466" w:type="dxa"/>
            <w:tcBorders>
              <w:tl2br w:val="nil"/>
              <w:tr2bl w:val="nil"/>
            </w:tcBorders>
            <w:vAlign w:val="center"/>
          </w:tcPr>
          <w:p w14:paraId="644C3300">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cs="Times New Roman"/>
                <w:b w:val="0"/>
                <w:bCs w:val="0"/>
                <w:spacing w:val="7"/>
                <w:sz w:val="21"/>
                <w:szCs w:val="21"/>
                <w:highlight w:val="none"/>
              </w:rPr>
              <w:t>废冷却液</w:t>
            </w:r>
          </w:p>
        </w:tc>
        <w:tc>
          <w:tcPr>
            <w:tcW w:w="1502" w:type="dxa"/>
            <w:tcBorders>
              <w:tl2br w:val="nil"/>
              <w:tr2bl w:val="nil"/>
            </w:tcBorders>
            <w:vAlign w:val="center"/>
          </w:tcPr>
          <w:p w14:paraId="09DB650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eastAsia="Times New Roman" w:cs="Times New Roman"/>
                <w:b w:val="0"/>
                <w:bCs w:val="0"/>
                <w:sz w:val="21"/>
                <w:szCs w:val="21"/>
                <w:highlight w:val="none"/>
              </w:rPr>
              <w:t>5t/a</w:t>
            </w:r>
          </w:p>
        </w:tc>
        <w:tc>
          <w:tcPr>
            <w:tcW w:w="3384" w:type="dxa"/>
            <w:tcBorders>
              <w:tl2br w:val="nil"/>
              <w:tr2bl w:val="nil"/>
            </w:tcBorders>
            <w:vAlign w:val="center"/>
          </w:tcPr>
          <w:p w14:paraId="5F8842B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kern w:val="24"/>
                <w:sz w:val="21"/>
                <w:szCs w:val="21"/>
                <w:highlight w:val="none"/>
              </w:rPr>
            </w:pPr>
            <w:r>
              <w:rPr>
                <w:rFonts w:hint="default" w:ascii="Times New Roman" w:hAnsi="Times New Roman" w:eastAsia="Times New Roman" w:cs="Times New Roman"/>
                <w:b w:val="0"/>
                <w:bCs w:val="0"/>
                <w:spacing w:val="10"/>
                <w:position w:val="-2"/>
                <w:sz w:val="21"/>
                <w:szCs w:val="21"/>
                <w:highlight w:val="none"/>
              </w:rPr>
              <w:t>——</w:t>
            </w:r>
          </w:p>
        </w:tc>
      </w:tr>
      <w:tr w14:paraId="11755F3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3" w:type="dxa"/>
            <w:vMerge w:val="continue"/>
            <w:tcBorders>
              <w:tl2br w:val="nil"/>
              <w:tr2bl w:val="nil"/>
            </w:tcBorders>
            <w:vAlign w:val="center"/>
          </w:tcPr>
          <w:p w14:paraId="5690B2D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z w:val="21"/>
                <w:szCs w:val="21"/>
                <w:highlight w:val="none"/>
              </w:rPr>
            </w:pPr>
          </w:p>
        </w:tc>
        <w:tc>
          <w:tcPr>
            <w:tcW w:w="3466" w:type="dxa"/>
            <w:tcBorders>
              <w:tl2br w:val="nil"/>
              <w:tr2bl w:val="nil"/>
            </w:tcBorders>
            <w:vAlign w:val="center"/>
          </w:tcPr>
          <w:p w14:paraId="6F21AAD1">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cs="Times New Roman"/>
                <w:b w:val="0"/>
                <w:bCs w:val="0"/>
                <w:spacing w:val="7"/>
                <w:sz w:val="21"/>
                <w:szCs w:val="21"/>
                <w:highlight w:val="none"/>
              </w:rPr>
              <w:t>清洗废油</w:t>
            </w:r>
          </w:p>
        </w:tc>
        <w:tc>
          <w:tcPr>
            <w:tcW w:w="1502" w:type="dxa"/>
            <w:tcBorders>
              <w:tl2br w:val="nil"/>
              <w:tr2bl w:val="nil"/>
            </w:tcBorders>
            <w:vAlign w:val="center"/>
          </w:tcPr>
          <w:p w14:paraId="62427AA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eastAsia="Times New Roman" w:cs="Times New Roman"/>
                <w:b w:val="0"/>
                <w:bCs w:val="0"/>
                <w:spacing w:val="-2"/>
                <w:sz w:val="21"/>
                <w:szCs w:val="21"/>
                <w:highlight w:val="none"/>
              </w:rPr>
              <w:t>0.1t/a</w:t>
            </w:r>
          </w:p>
        </w:tc>
        <w:tc>
          <w:tcPr>
            <w:tcW w:w="3384" w:type="dxa"/>
            <w:tcBorders>
              <w:tl2br w:val="nil"/>
              <w:tr2bl w:val="nil"/>
            </w:tcBorders>
            <w:vAlign w:val="center"/>
          </w:tcPr>
          <w:p w14:paraId="78D9A79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eastAsia="Times New Roman" w:cs="Times New Roman"/>
                <w:b w:val="0"/>
                <w:bCs w:val="0"/>
                <w:spacing w:val="10"/>
                <w:position w:val="-2"/>
                <w:sz w:val="21"/>
                <w:szCs w:val="21"/>
                <w:highlight w:val="none"/>
              </w:rPr>
              <w:t>——</w:t>
            </w:r>
          </w:p>
        </w:tc>
      </w:tr>
      <w:tr w14:paraId="62E4B9A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3" w:type="dxa"/>
            <w:vMerge w:val="continue"/>
            <w:tcBorders>
              <w:tl2br w:val="nil"/>
              <w:tr2bl w:val="nil"/>
            </w:tcBorders>
            <w:vAlign w:val="center"/>
          </w:tcPr>
          <w:p w14:paraId="43F2656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z w:val="21"/>
                <w:szCs w:val="21"/>
                <w:highlight w:val="none"/>
              </w:rPr>
            </w:pPr>
          </w:p>
        </w:tc>
        <w:tc>
          <w:tcPr>
            <w:tcW w:w="3466" w:type="dxa"/>
            <w:tcBorders>
              <w:tl2br w:val="nil"/>
              <w:tr2bl w:val="nil"/>
            </w:tcBorders>
            <w:vAlign w:val="center"/>
          </w:tcPr>
          <w:p w14:paraId="692EEEA5">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cs="Times New Roman"/>
                <w:b w:val="0"/>
                <w:bCs w:val="0"/>
                <w:spacing w:val="7"/>
                <w:sz w:val="21"/>
                <w:szCs w:val="21"/>
                <w:highlight w:val="none"/>
              </w:rPr>
              <w:t>废油</w:t>
            </w:r>
          </w:p>
        </w:tc>
        <w:tc>
          <w:tcPr>
            <w:tcW w:w="1502" w:type="dxa"/>
            <w:tcBorders>
              <w:tl2br w:val="nil"/>
              <w:tr2bl w:val="nil"/>
            </w:tcBorders>
            <w:vAlign w:val="center"/>
          </w:tcPr>
          <w:p w14:paraId="6C0ED18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eastAsia="Times New Roman" w:cs="Times New Roman"/>
                <w:b w:val="0"/>
                <w:bCs w:val="0"/>
                <w:spacing w:val="-2"/>
                <w:sz w:val="21"/>
                <w:szCs w:val="21"/>
                <w:highlight w:val="none"/>
              </w:rPr>
              <w:t>01t/a</w:t>
            </w:r>
          </w:p>
        </w:tc>
        <w:tc>
          <w:tcPr>
            <w:tcW w:w="3384" w:type="dxa"/>
            <w:tcBorders>
              <w:tl2br w:val="nil"/>
              <w:tr2bl w:val="nil"/>
            </w:tcBorders>
            <w:vAlign w:val="center"/>
          </w:tcPr>
          <w:p w14:paraId="4D71DFD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eastAsia="Times New Roman" w:cs="Times New Roman"/>
                <w:b w:val="0"/>
                <w:bCs w:val="0"/>
                <w:spacing w:val="10"/>
                <w:position w:val="-2"/>
                <w:sz w:val="21"/>
                <w:szCs w:val="21"/>
                <w:highlight w:val="none"/>
              </w:rPr>
              <w:t>——</w:t>
            </w:r>
          </w:p>
        </w:tc>
      </w:tr>
      <w:tr w14:paraId="659C7AC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3" w:type="dxa"/>
            <w:vMerge w:val="continue"/>
            <w:tcBorders>
              <w:tl2br w:val="nil"/>
              <w:tr2bl w:val="nil"/>
            </w:tcBorders>
            <w:vAlign w:val="center"/>
          </w:tcPr>
          <w:p w14:paraId="6D48516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z w:val="21"/>
                <w:szCs w:val="21"/>
                <w:highlight w:val="none"/>
              </w:rPr>
            </w:pPr>
          </w:p>
        </w:tc>
        <w:tc>
          <w:tcPr>
            <w:tcW w:w="3466" w:type="dxa"/>
            <w:tcBorders>
              <w:tl2br w:val="nil"/>
              <w:tr2bl w:val="nil"/>
            </w:tcBorders>
            <w:vAlign w:val="center"/>
          </w:tcPr>
          <w:p w14:paraId="5CF16786">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cs="Times New Roman"/>
                <w:b w:val="0"/>
                <w:bCs w:val="0"/>
                <w:spacing w:val="7"/>
                <w:sz w:val="21"/>
                <w:szCs w:val="21"/>
                <w:highlight w:val="none"/>
              </w:rPr>
              <w:t>含油抹布</w:t>
            </w:r>
          </w:p>
        </w:tc>
        <w:tc>
          <w:tcPr>
            <w:tcW w:w="1502" w:type="dxa"/>
            <w:tcBorders>
              <w:tl2br w:val="nil"/>
              <w:tr2bl w:val="nil"/>
            </w:tcBorders>
            <w:vAlign w:val="center"/>
          </w:tcPr>
          <w:p w14:paraId="746E3EC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eastAsia="Times New Roman" w:cs="Times New Roman"/>
                <w:b w:val="0"/>
                <w:bCs w:val="0"/>
                <w:spacing w:val="-2"/>
                <w:sz w:val="21"/>
                <w:szCs w:val="21"/>
                <w:highlight w:val="none"/>
              </w:rPr>
              <w:t>10t/a</w:t>
            </w:r>
          </w:p>
        </w:tc>
        <w:tc>
          <w:tcPr>
            <w:tcW w:w="3384" w:type="dxa"/>
            <w:tcBorders>
              <w:tl2br w:val="nil"/>
              <w:tr2bl w:val="nil"/>
            </w:tcBorders>
            <w:vAlign w:val="center"/>
          </w:tcPr>
          <w:p w14:paraId="0D7FF43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eastAsia="Times New Roman" w:cs="Times New Roman"/>
                <w:b w:val="0"/>
                <w:bCs w:val="0"/>
                <w:spacing w:val="10"/>
                <w:position w:val="-2"/>
                <w:sz w:val="21"/>
                <w:szCs w:val="21"/>
                <w:highlight w:val="none"/>
              </w:rPr>
              <w:t>——</w:t>
            </w:r>
          </w:p>
        </w:tc>
      </w:tr>
      <w:tr w14:paraId="704485A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3" w:type="dxa"/>
            <w:vMerge w:val="continue"/>
            <w:tcBorders>
              <w:tl2br w:val="nil"/>
              <w:tr2bl w:val="nil"/>
            </w:tcBorders>
            <w:vAlign w:val="center"/>
          </w:tcPr>
          <w:p w14:paraId="621F803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z w:val="21"/>
                <w:szCs w:val="21"/>
                <w:highlight w:val="none"/>
              </w:rPr>
            </w:pPr>
          </w:p>
        </w:tc>
        <w:tc>
          <w:tcPr>
            <w:tcW w:w="3466" w:type="dxa"/>
            <w:tcBorders>
              <w:tl2br w:val="nil"/>
              <w:tr2bl w:val="nil"/>
            </w:tcBorders>
            <w:vAlign w:val="center"/>
          </w:tcPr>
          <w:p w14:paraId="5C8D018B">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cs="Times New Roman"/>
                <w:b w:val="0"/>
                <w:bCs w:val="0"/>
                <w:spacing w:val="7"/>
                <w:sz w:val="21"/>
                <w:szCs w:val="21"/>
                <w:highlight w:val="none"/>
              </w:rPr>
              <w:t>废滤布</w:t>
            </w:r>
          </w:p>
        </w:tc>
        <w:tc>
          <w:tcPr>
            <w:tcW w:w="1502" w:type="dxa"/>
            <w:tcBorders>
              <w:tl2br w:val="nil"/>
              <w:tr2bl w:val="nil"/>
            </w:tcBorders>
            <w:vAlign w:val="center"/>
          </w:tcPr>
          <w:p w14:paraId="5696E12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eastAsia="Times New Roman" w:cs="Times New Roman"/>
                <w:b w:val="0"/>
                <w:bCs w:val="0"/>
                <w:spacing w:val="2"/>
                <w:sz w:val="21"/>
                <w:szCs w:val="21"/>
                <w:highlight w:val="none"/>
              </w:rPr>
              <w:t>0.001t/a</w:t>
            </w:r>
          </w:p>
        </w:tc>
        <w:tc>
          <w:tcPr>
            <w:tcW w:w="3384" w:type="dxa"/>
            <w:tcBorders>
              <w:tl2br w:val="nil"/>
              <w:tr2bl w:val="nil"/>
            </w:tcBorders>
            <w:vAlign w:val="center"/>
          </w:tcPr>
          <w:p w14:paraId="5D2F695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eastAsia="Times New Roman" w:cs="Times New Roman"/>
                <w:b w:val="0"/>
                <w:bCs w:val="0"/>
                <w:spacing w:val="10"/>
                <w:position w:val="-2"/>
                <w:sz w:val="21"/>
                <w:szCs w:val="21"/>
                <w:highlight w:val="none"/>
              </w:rPr>
              <w:t>——</w:t>
            </w:r>
          </w:p>
        </w:tc>
      </w:tr>
      <w:tr w14:paraId="4C61D4B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3" w:type="dxa"/>
            <w:vMerge w:val="continue"/>
            <w:tcBorders>
              <w:tl2br w:val="nil"/>
              <w:tr2bl w:val="nil"/>
            </w:tcBorders>
            <w:vAlign w:val="center"/>
          </w:tcPr>
          <w:p w14:paraId="488C06E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z w:val="21"/>
                <w:szCs w:val="21"/>
                <w:highlight w:val="none"/>
              </w:rPr>
            </w:pPr>
          </w:p>
        </w:tc>
        <w:tc>
          <w:tcPr>
            <w:tcW w:w="3466" w:type="dxa"/>
            <w:tcBorders>
              <w:tl2br w:val="nil"/>
              <w:tr2bl w:val="nil"/>
            </w:tcBorders>
            <w:vAlign w:val="center"/>
          </w:tcPr>
          <w:p w14:paraId="18E067DB">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cs="Times New Roman"/>
                <w:b w:val="0"/>
                <w:bCs w:val="0"/>
                <w:spacing w:val="8"/>
                <w:sz w:val="21"/>
                <w:szCs w:val="21"/>
                <w:highlight w:val="none"/>
              </w:rPr>
              <w:t>废过滤材料</w:t>
            </w:r>
          </w:p>
        </w:tc>
        <w:tc>
          <w:tcPr>
            <w:tcW w:w="1502" w:type="dxa"/>
            <w:tcBorders>
              <w:tl2br w:val="nil"/>
              <w:tr2bl w:val="nil"/>
            </w:tcBorders>
            <w:vAlign w:val="center"/>
          </w:tcPr>
          <w:p w14:paraId="47D942D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eastAsia="Times New Roman" w:cs="Times New Roman"/>
                <w:b w:val="0"/>
                <w:bCs w:val="0"/>
                <w:spacing w:val="2"/>
                <w:sz w:val="21"/>
                <w:szCs w:val="21"/>
                <w:highlight w:val="none"/>
              </w:rPr>
              <w:t>0.01t/a</w:t>
            </w:r>
          </w:p>
        </w:tc>
        <w:tc>
          <w:tcPr>
            <w:tcW w:w="3384" w:type="dxa"/>
            <w:tcBorders>
              <w:tl2br w:val="nil"/>
              <w:tr2bl w:val="nil"/>
            </w:tcBorders>
            <w:vAlign w:val="center"/>
          </w:tcPr>
          <w:p w14:paraId="301758B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eastAsia="Times New Roman" w:cs="Times New Roman"/>
                <w:b w:val="0"/>
                <w:bCs w:val="0"/>
                <w:spacing w:val="10"/>
                <w:position w:val="-2"/>
                <w:sz w:val="21"/>
                <w:szCs w:val="21"/>
                <w:highlight w:val="none"/>
              </w:rPr>
              <w:t>——</w:t>
            </w:r>
          </w:p>
        </w:tc>
      </w:tr>
      <w:tr w14:paraId="0A1BE73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3" w:type="dxa"/>
            <w:vMerge w:val="continue"/>
            <w:tcBorders>
              <w:tl2br w:val="nil"/>
              <w:tr2bl w:val="nil"/>
            </w:tcBorders>
            <w:vAlign w:val="center"/>
          </w:tcPr>
          <w:p w14:paraId="4013A4B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z w:val="21"/>
                <w:szCs w:val="21"/>
                <w:highlight w:val="none"/>
              </w:rPr>
            </w:pPr>
          </w:p>
        </w:tc>
        <w:tc>
          <w:tcPr>
            <w:tcW w:w="3466" w:type="dxa"/>
            <w:tcBorders>
              <w:tl2br w:val="nil"/>
              <w:tr2bl w:val="nil"/>
            </w:tcBorders>
            <w:vAlign w:val="center"/>
          </w:tcPr>
          <w:p w14:paraId="1B9E8CB3">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cs="Times New Roman"/>
                <w:b w:val="0"/>
                <w:bCs w:val="0"/>
                <w:spacing w:val="8"/>
                <w:sz w:val="21"/>
                <w:szCs w:val="21"/>
                <w:highlight w:val="none"/>
              </w:rPr>
              <w:t>化学品包装桶</w:t>
            </w:r>
          </w:p>
        </w:tc>
        <w:tc>
          <w:tcPr>
            <w:tcW w:w="1502" w:type="dxa"/>
            <w:tcBorders>
              <w:tl2br w:val="nil"/>
              <w:tr2bl w:val="nil"/>
            </w:tcBorders>
            <w:vAlign w:val="center"/>
          </w:tcPr>
          <w:p w14:paraId="495AA45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eastAsia="Times New Roman" w:cs="Times New Roman"/>
                <w:b w:val="0"/>
                <w:bCs w:val="0"/>
                <w:spacing w:val="-3"/>
                <w:sz w:val="21"/>
                <w:szCs w:val="21"/>
                <w:highlight w:val="none"/>
              </w:rPr>
              <w:t>1t/a</w:t>
            </w:r>
          </w:p>
        </w:tc>
        <w:tc>
          <w:tcPr>
            <w:tcW w:w="3384" w:type="dxa"/>
            <w:tcBorders>
              <w:tl2br w:val="nil"/>
              <w:tr2bl w:val="nil"/>
            </w:tcBorders>
            <w:vAlign w:val="center"/>
          </w:tcPr>
          <w:p w14:paraId="376994D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eastAsia="Times New Roman" w:cs="Times New Roman"/>
                <w:b w:val="0"/>
                <w:bCs w:val="0"/>
                <w:spacing w:val="10"/>
                <w:position w:val="-2"/>
                <w:sz w:val="21"/>
                <w:szCs w:val="21"/>
                <w:highlight w:val="none"/>
              </w:rPr>
              <w:t>——</w:t>
            </w:r>
          </w:p>
        </w:tc>
      </w:tr>
      <w:tr w14:paraId="6F7DB04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3" w:type="dxa"/>
            <w:vMerge w:val="continue"/>
            <w:tcBorders>
              <w:tl2br w:val="nil"/>
              <w:tr2bl w:val="nil"/>
            </w:tcBorders>
            <w:vAlign w:val="center"/>
          </w:tcPr>
          <w:p w14:paraId="1A8A423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z w:val="21"/>
                <w:szCs w:val="21"/>
                <w:highlight w:val="none"/>
              </w:rPr>
            </w:pPr>
          </w:p>
        </w:tc>
        <w:tc>
          <w:tcPr>
            <w:tcW w:w="3466" w:type="dxa"/>
            <w:tcBorders>
              <w:tl2br w:val="nil"/>
              <w:tr2bl w:val="nil"/>
            </w:tcBorders>
            <w:vAlign w:val="center"/>
          </w:tcPr>
          <w:p w14:paraId="66CED276">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cs="Times New Roman"/>
                <w:b w:val="0"/>
                <w:bCs w:val="0"/>
                <w:spacing w:val="7"/>
                <w:sz w:val="21"/>
                <w:szCs w:val="21"/>
                <w:highlight w:val="none"/>
              </w:rPr>
              <w:t>珩磨油泥</w:t>
            </w:r>
          </w:p>
        </w:tc>
        <w:tc>
          <w:tcPr>
            <w:tcW w:w="1502" w:type="dxa"/>
            <w:tcBorders>
              <w:tl2br w:val="nil"/>
              <w:tr2bl w:val="nil"/>
            </w:tcBorders>
            <w:vAlign w:val="center"/>
          </w:tcPr>
          <w:p w14:paraId="58C083B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eastAsia="Times New Roman" w:cs="Times New Roman"/>
                <w:b w:val="0"/>
                <w:bCs w:val="0"/>
                <w:spacing w:val="-2"/>
                <w:sz w:val="21"/>
                <w:szCs w:val="21"/>
                <w:highlight w:val="none"/>
              </w:rPr>
              <w:t>0.1t/a</w:t>
            </w:r>
          </w:p>
        </w:tc>
        <w:tc>
          <w:tcPr>
            <w:tcW w:w="3384" w:type="dxa"/>
            <w:tcBorders>
              <w:tl2br w:val="nil"/>
              <w:tr2bl w:val="nil"/>
            </w:tcBorders>
            <w:vAlign w:val="center"/>
          </w:tcPr>
          <w:p w14:paraId="7378B78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eastAsia="Times New Roman" w:cs="Times New Roman"/>
                <w:b w:val="0"/>
                <w:bCs w:val="0"/>
                <w:spacing w:val="10"/>
                <w:position w:val="-2"/>
                <w:sz w:val="21"/>
                <w:szCs w:val="21"/>
                <w:highlight w:val="none"/>
              </w:rPr>
              <w:t>——</w:t>
            </w:r>
          </w:p>
        </w:tc>
      </w:tr>
      <w:tr w14:paraId="3175EDD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3" w:type="dxa"/>
            <w:vMerge w:val="continue"/>
            <w:tcBorders>
              <w:tl2br w:val="nil"/>
              <w:tr2bl w:val="nil"/>
            </w:tcBorders>
            <w:vAlign w:val="center"/>
          </w:tcPr>
          <w:p w14:paraId="55D8EE7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z w:val="21"/>
                <w:szCs w:val="21"/>
                <w:highlight w:val="none"/>
              </w:rPr>
            </w:pPr>
          </w:p>
        </w:tc>
        <w:tc>
          <w:tcPr>
            <w:tcW w:w="3466" w:type="dxa"/>
            <w:tcBorders>
              <w:tl2br w:val="nil"/>
              <w:tr2bl w:val="nil"/>
            </w:tcBorders>
            <w:vAlign w:val="center"/>
          </w:tcPr>
          <w:p w14:paraId="0B07DDE5">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cs="Times New Roman"/>
                <w:b w:val="0"/>
                <w:bCs w:val="0"/>
                <w:spacing w:val="7"/>
                <w:sz w:val="21"/>
                <w:szCs w:val="21"/>
                <w:highlight w:val="none"/>
              </w:rPr>
              <w:t>化验室废液</w:t>
            </w:r>
          </w:p>
        </w:tc>
        <w:tc>
          <w:tcPr>
            <w:tcW w:w="1502" w:type="dxa"/>
            <w:tcBorders>
              <w:tl2br w:val="nil"/>
              <w:tr2bl w:val="nil"/>
            </w:tcBorders>
            <w:vAlign w:val="center"/>
          </w:tcPr>
          <w:p w14:paraId="54FE246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eastAsia="Times New Roman" w:cs="Times New Roman"/>
                <w:b w:val="0"/>
                <w:bCs w:val="0"/>
                <w:spacing w:val="2"/>
                <w:sz w:val="21"/>
                <w:szCs w:val="21"/>
                <w:highlight w:val="none"/>
              </w:rPr>
              <w:t>0.001t/a</w:t>
            </w:r>
          </w:p>
        </w:tc>
        <w:tc>
          <w:tcPr>
            <w:tcW w:w="3384" w:type="dxa"/>
            <w:tcBorders>
              <w:tl2br w:val="nil"/>
              <w:tr2bl w:val="nil"/>
            </w:tcBorders>
            <w:vAlign w:val="center"/>
          </w:tcPr>
          <w:p w14:paraId="18854AF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eastAsia="Times New Roman" w:cs="Times New Roman"/>
                <w:b w:val="0"/>
                <w:bCs w:val="0"/>
                <w:spacing w:val="10"/>
                <w:position w:val="-2"/>
                <w:sz w:val="21"/>
                <w:szCs w:val="21"/>
                <w:highlight w:val="none"/>
              </w:rPr>
              <w:t>——</w:t>
            </w:r>
          </w:p>
        </w:tc>
      </w:tr>
      <w:tr w14:paraId="6902ED8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3" w:type="dxa"/>
            <w:vMerge w:val="continue"/>
            <w:tcBorders>
              <w:tl2br w:val="nil"/>
              <w:tr2bl w:val="nil"/>
            </w:tcBorders>
            <w:vAlign w:val="center"/>
          </w:tcPr>
          <w:p w14:paraId="7FE0746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z w:val="21"/>
                <w:szCs w:val="21"/>
                <w:highlight w:val="none"/>
              </w:rPr>
            </w:pPr>
          </w:p>
        </w:tc>
        <w:tc>
          <w:tcPr>
            <w:tcW w:w="3466" w:type="dxa"/>
            <w:tcBorders>
              <w:tl2br w:val="nil"/>
              <w:tr2bl w:val="nil"/>
            </w:tcBorders>
            <w:vAlign w:val="center"/>
          </w:tcPr>
          <w:p w14:paraId="27493261">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cs="Times New Roman"/>
                <w:b w:val="0"/>
                <w:bCs w:val="0"/>
                <w:spacing w:val="6"/>
                <w:sz w:val="21"/>
                <w:szCs w:val="21"/>
                <w:highlight w:val="none"/>
              </w:rPr>
              <w:t>油罐底泥</w:t>
            </w:r>
          </w:p>
        </w:tc>
        <w:tc>
          <w:tcPr>
            <w:tcW w:w="1502" w:type="dxa"/>
            <w:tcBorders>
              <w:tl2br w:val="nil"/>
              <w:tr2bl w:val="nil"/>
            </w:tcBorders>
            <w:vAlign w:val="center"/>
          </w:tcPr>
          <w:p w14:paraId="76A14CF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eastAsia="Times New Roman" w:cs="Times New Roman"/>
                <w:b w:val="0"/>
                <w:bCs w:val="0"/>
                <w:spacing w:val="2"/>
                <w:sz w:val="21"/>
                <w:szCs w:val="21"/>
                <w:highlight w:val="none"/>
              </w:rPr>
              <w:t>0.5t/a</w:t>
            </w:r>
          </w:p>
        </w:tc>
        <w:tc>
          <w:tcPr>
            <w:tcW w:w="3384" w:type="dxa"/>
            <w:tcBorders>
              <w:tl2br w:val="nil"/>
              <w:tr2bl w:val="nil"/>
            </w:tcBorders>
            <w:vAlign w:val="center"/>
          </w:tcPr>
          <w:p w14:paraId="13EBAC4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val="0"/>
                <w:bCs w:val="0"/>
                <w:sz w:val="21"/>
                <w:szCs w:val="21"/>
                <w:highlight w:val="none"/>
              </w:rPr>
            </w:pPr>
            <w:r>
              <w:rPr>
                <w:rFonts w:hint="default" w:ascii="Times New Roman" w:hAnsi="Times New Roman" w:eastAsia="Times New Roman" w:cs="Times New Roman"/>
                <w:b w:val="0"/>
                <w:bCs w:val="0"/>
                <w:spacing w:val="10"/>
                <w:position w:val="-2"/>
                <w:sz w:val="21"/>
                <w:szCs w:val="21"/>
                <w:highlight w:val="none"/>
              </w:rPr>
              <w:t>——</w:t>
            </w:r>
          </w:p>
        </w:tc>
      </w:tr>
    </w:tbl>
    <w:p w14:paraId="51D39126">
      <w:pPr>
        <w:pStyle w:val="4"/>
        <w:bidi w:val="0"/>
        <w:rPr>
          <w:highlight w:val="none"/>
        </w:rPr>
      </w:pPr>
      <w:bookmarkStart w:id="228" w:name="_Toc14550"/>
      <w:bookmarkStart w:id="229" w:name="_Toc31811"/>
      <w:r>
        <w:rPr>
          <w:rFonts w:hint="eastAsia"/>
          <w:highlight w:val="none"/>
          <w:lang w:val="en-US" w:eastAsia="zh-CN"/>
        </w:rPr>
        <w:t>3.1.12</w:t>
      </w:r>
      <w:r>
        <w:rPr>
          <w:highlight w:val="none"/>
        </w:rPr>
        <w:t>在建工程污染物排放情况</w:t>
      </w:r>
    </w:p>
    <w:p w14:paraId="3129FFB4">
      <w:pPr>
        <w:bidi w:val="0"/>
        <w:rPr>
          <w:highlight w:val="none"/>
        </w:rPr>
      </w:pPr>
      <w:r>
        <w:rPr>
          <w:highlight w:val="none"/>
        </w:rPr>
        <w:t>建设单位</w:t>
      </w:r>
      <w:r>
        <w:rPr>
          <w:rFonts w:hint="eastAsia"/>
          <w:highlight w:val="none"/>
          <w:lang w:eastAsia="zh-CN"/>
        </w:rPr>
        <w:t>“</w:t>
      </w:r>
      <w:r>
        <w:rPr>
          <w:highlight w:val="none"/>
        </w:rPr>
        <w:t>混动研发能力提升项目</w:t>
      </w:r>
      <w:r>
        <w:rPr>
          <w:rFonts w:hint="eastAsia"/>
          <w:highlight w:val="none"/>
          <w:lang w:eastAsia="zh-CN"/>
        </w:rPr>
        <w:t>”、“</w:t>
      </w:r>
      <w:r>
        <w:rPr>
          <w:rFonts w:hint="eastAsia"/>
          <w:spacing w:val="-1"/>
          <w:highlight w:val="none"/>
          <w:lang w:val="en-US" w:eastAsia="zh-CN"/>
        </w:rPr>
        <w:t>研发及信息化能力提升项目</w:t>
      </w:r>
      <w:r>
        <w:rPr>
          <w:rFonts w:hint="eastAsia"/>
          <w:highlight w:val="none"/>
          <w:lang w:eastAsia="zh-CN"/>
        </w:rPr>
        <w:t>”</w:t>
      </w:r>
      <w:r>
        <w:rPr>
          <w:highlight w:val="none"/>
        </w:rPr>
        <w:t>目前仍处于建设阶段，项目产生的污染物主要为废气、噪声和固废。</w:t>
      </w:r>
    </w:p>
    <w:p w14:paraId="09393DC8">
      <w:pPr>
        <w:bidi w:val="0"/>
        <w:rPr>
          <w:highlight w:val="none"/>
        </w:rPr>
      </w:pPr>
      <w:r>
        <w:rPr>
          <w:highlight w:val="none"/>
        </w:rPr>
        <w:t>（1）废气</w:t>
      </w:r>
    </w:p>
    <w:p w14:paraId="54F2466A">
      <w:pPr>
        <w:bidi w:val="0"/>
        <w:rPr>
          <w:rFonts w:hint="eastAsia"/>
          <w:highlight w:val="none"/>
          <w:lang w:eastAsia="zh-CN"/>
        </w:rPr>
      </w:pPr>
      <w:r>
        <w:rPr>
          <w:highlight w:val="none"/>
        </w:rPr>
        <w:t>在建工程产生的废气为测试尾气，主要污染物为非甲烷总烃和氮氧化物，经设备自带的三元催化器处理后，密闭收集通过排气筒</w:t>
      </w:r>
      <w:r>
        <w:rPr>
          <w:rFonts w:hint="eastAsia"/>
          <w:highlight w:val="none"/>
          <w:lang w:val="en-US" w:eastAsia="zh-CN"/>
        </w:rPr>
        <w:t>排放</w:t>
      </w:r>
      <w:r>
        <w:rPr>
          <w:highlight w:val="none"/>
        </w:rPr>
        <w:t>（DA0</w:t>
      </w:r>
      <w:r>
        <w:rPr>
          <w:rFonts w:hint="eastAsia"/>
          <w:highlight w:val="none"/>
          <w:lang w:val="en-US" w:eastAsia="zh-CN"/>
        </w:rPr>
        <w:t>60~DA063</w:t>
      </w:r>
      <w:r>
        <w:rPr>
          <w:highlight w:val="none"/>
        </w:rPr>
        <w:t>）</w:t>
      </w:r>
      <w:r>
        <w:rPr>
          <w:rFonts w:hint="eastAsia"/>
          <w:highlight w:val="none"/>
          <w:lang w:eastAsia="zh-CN"/>
        </w:rPr>
        <w:t>。</w:t>
      </w:r>
    </w:p>
    <w:tbl>
      <w:tblPr>
        <w:tblStyle w:val="739"/>
        <w:tblW w:w="5013" w:type="pct"/>
        <w:tblInd w:w="6"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744"/>
        <w:gridCol w:w="3291"/>
        <w:gridCol w:w="3293"/>
      </w:tblGrid>
      <w:tr w14:paraId="7FDED4F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1745" w:type="dxa"/>
            <w:tcBorders>
              <w:tl2br w:val="nil"/>
              <w:tr2bl w:val="nil"/>
            </w:tcBorders>
            <w:vAlign w:val="center"/>
          </w:tcPr>
          <w:p w14:paraId="7B6FC3C9">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napToGrid w:val="0"/>
                <w:color w:val="000000"/>
                <w:sz w:val="21"/>
                <w:szCs w:val="21"/>
                <w:highlight w:val="none"/>
              </w:rPr>
            </w:pPr>
            <w:r>
              <w:rPr>
                <w:rFonts w:hint="default" w:ascii="Times New Roman" w:hAnsi="Times New Roman" w:cs="Times New Roman"/>
                <w:b w:val="0"/>
                <w:bCs w:val="0"/>
                <w:snapToGrid w:val="0"/>
                <w:color w:val="000000"/>
                <w:spacing w:val="3"/>
                <w:sz w:val="21"/>
                <w:szCs w:val="21"/>
                <w:highlight w:val="none"/>
              </w:rPr>
              <w:t>类别</w:t>
            </w:r>
          </w:p>
        </w:tc>
        <w:tc>
          <w:tcPr>
            <w:tcW w:w="3291" w:type="dxa"/>
            <w:tcBorders>
              <w:tl2br w:val="nil"/>
              <w:tr2bl w:val="nil"/>
            </w:tcBorders>
            <w:vAlign w:val="center"/>
          </w:tcPr>
          <w:p w14:paraId="693737EA">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napToGrid w:val="0"/>
                <w:color w:val="000000"/>
                <w:sz w:val="21"/>
                <w:szCs w:val="21"/>
                <w:highlight w:val="none"/>
              </w:rPr>
            </w:pPr>
            <w:r>
              <w:rPr>
                <w:rFonts w:hint="default" w:ascii="Times New Roman" w:hAnsi="Times New Roman" w:cs="Times New Roman"/>
                <w:b w:val="0"/>
                <w:bCs w:val="0"/>
                <w:snapToGrid w:val="0"/>
                <w:color w:val="000000"/>
                <w:spacing w:val="5"/>
                <w:sz w:val="21"/>
                <w:szCs w:val="21"/>
                <w:highlight w:val="none"/>
              </w:rPr>
              <w:t>污染物</w:t>
            </w:r>
          </w:p>
        </w:tc>
        <w:tc>
          <w:tcPr>
            <w:tcW w:w="3293" w:type="dxa"/>
            <w:tcBorders>
              <w:tl2br w:val="nil"/>
              <w:tr2bl w:val="nil"/>
            </w:tcBorders>
            <w:vAlign w:val="center"/>
          </w:tcPr>
          <w:p w14:paraId="2523C328">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napToGrid w:val="0"/>
                <w:color w:val="000000"/>
                <w:sz w:val="21"/>
                <w:szCs w:val="21"/>
                <w:highlight w:val="none"/>
              </w:rPr>
            </w:pPr>
            <w:r>
              <w:rPr>
                <w:rFonts w:hint="default" w:ascii="Times New Roman" w:hAnsi="Times New Roman" w:cs="Times New Roman"/>
                <w:b w:val="0"/>
                <w:bCs w:val="0"/>
                <w:snapToGrid w:val="0"/>
                <w:color w:val="000000"/>
                <w:spacing w:val="5"/>
                <w:sz w:val="21"/>
                <w:szCs w:val="21"/>
                <w:highlight w:val="none"/>
              </w:rPr>
              <w:t>排放量</w:t>
            </w:r>
          </w:p>
        </w:tc>
      </w:tr>
      <w:tr w14:paraId="6496877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1745" w:type="dxa"/>
            <w:vMerge w:val="restart"/>
            <w:tcBorders>
              <w:tl2br w:val="nil"/>
              <w:tr2bl w:val="nil"/>
            </w:tcBorders>
            <w:vAlign w:val="center"/>
          </w:tcPr>
          <w:p w14:paraId="755E1F45">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napToGrid w:val="0"/>
                <w:color w:val="000000"/>
                <w:sz w:val="21"/>
                <w:szCs w:val="21"/>
                <w:highlight w:val="none"/>
              </w:rPr>
            </w:pPr>
            <w:r>
              <w:rPr>
                <w:rFonts w:hint="default" w:ascii="Times New Roman" w:hAnsi="Times New Roman" w:cs="Times New Roman"/>
                <w:b w:val="0"/>
                <w:bCs w:val="0"/>
                <w:snapToGrid w:val="0"/>
                <w:color w:val="000000"/>
                <w:spacing w:val="5"/>
                <w:sz w:val="21"/>
                <w:szCs w:val="21"/>
                <w:highlight w:val="none"/>
              </w:rPr>
              <w:t>废气</w:t>
            </w:r>
          </w:p>
        </w:tc>
        <w:tc>
          <w:tcPr>
            <w:tcW w:w="3291" w:type="dxa"/>
            <w:tcBorders>
              <w:tl2br w:val="nil"/>
              <w:tr2bl w:val="nil"/>
            </w:tcBorders>
            <w:vAlign w:val="center"/>
          </w:tcPr>
          <w:p w14:paraId="6CCE34B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b w:val="0"/>
                <w:bCs w:val="0"/>
                <w:snapToGrid w:val="0"/>
                <w:color w:val="000000"/>
                <w:sz w:val="21"/>
                <w:szCs w:val="21"/>
                <w:highlight w:val="none"/>
              </w:rPr>
            </w:pPr>
            <w:r>
              <w:rPr>
                <w:rFonts w:hint="default" w:ascii="Times New Roman" w:hAnsi="Times New Roman" w:eastAsia="Times New Roman" w:cs="Times New Roman"/>
                <w:b w:val="0"/>
                <w:bCs w:val="0"/>
                <w:snapToGrid w:val="0"/>
                <w:color w:val="000000"/>
                <w:spacing w:val="5"/>
                <w:sz w:val="21"/>
                <w:szCs w:val="21"/>
                <w:highlight w:val="none"/>
              </w:rPr>
              <w:t>VOCs</w:t>
            </w:r>
          </w:p>
        </w:tc>
        <w:tc>
          <w:tcPr>
            <w:tcW w:w="3293" w:type="dxa"/>
            <w:tcBorders>
              <w:tl2br w:val="nil"/>
              <w:tr2bl w:val="nil"/>
            </w:tcBorders>
            <w:vAlign w:val="center"/>
          </w:tcPr>
          <w:p w14:paraId="20DA72C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b w:val="0"/>
                <w:bCs w:val="0"/>
                <w:snapToGrid w:val="0"/>
                <w:color w:val="000000"/>
                <w:sz w:val="21"/>
                <w:szCs w:val="21"/>
                <w:highlight w:val="none"/>
              </w:rPr>
            </w:pPr>
            <w:r>
              <w:rPr>
                <w:rFonts w:hint="default" w:ascii="Times New Roman" w:hAnsi="Times New Roman" w:eastAsia="Times New Roman" w:cs="Times New Roman"/>
                <w:b w:val="0"/>
                <w:bCs w:val="0"/>
                <w:snapToGrid w:val="0"/>
                <w:color w:val="000000"/>
                <w:spacing w:val="2"/>
                <w:sz w:val="21"/>
                <w:szCs w:val="21"/>
                <w:highlight w:val="none"/>
              </w:rPr>
              <w:t>0.</w:t>
            </w:r>
            <w:r>
              <w:rPr>
                <w:rFonts w:hint="eastAsia" w:eastAsia="宋体" w:cs="Times New Roman"/>
                <w:b w:val="0"/>
                <w:bCs w:val="0"/>
                <w:snapToGrid w:val="0"/>
                <w:color w:val="000000"/>
                <w:spacing w:val="2"/>
                <w:sz w:val="21"/>
                <w:szCs w:val="21"/>
                <w:highlight w:val="none"/>
                <w:lang w:val="en-US" w:eastAsia="zh-CN"/>
              </w:rPr>
              <w:t>400</w:t>
            </w:r>
            <w:r>
              <w:rPr>
                <w:rFonts w:hint="default" w:ascii="Times New Roman" w:hAnsi="Times New Roman" w:eastAsia="Times New Roman" w:cs="Times New Roman"/>
                <w:b w:val="0"/>
                <w:bCs w:val="0"/>
                <w:snapToGrid w:val="0"/>
                <w:color w:val="000000"/>
                <w:spacing w:val="2"/>
                <w:sz w:val="21"/>
                <w:szCs w:val="21"/>
                <w:highlight w:val="none"/>
              </w:rPr>
              <w:t>t/a</w:t>
            </w:r>
          </w:p>
        </w:tc>
      </w:tr>
      <w:tr w14:paraId="1C65FA4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1745" w:type="dxa"/>
            <w:vMerge w:val="continue"/>
            <w:tcBorders>
              <w:tl2br w:val="nil"/>
              <w:tr2bl w:val="nil"/>
            </w:tcBorders>
            <w:vAlign w:val="center"/>
          </w:tcPr>
          <w:p w14:paraId="78FE864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napToGrid w:val="0"/>
                <w:color w:val="000000"/>
                <w:sz w:val="21"/>
                <w:szCs w:val="21"/>
                <w:highlight w:val="none"/>
              </w:rPr>
            </w:pPr>
          </w:p>
        </w:tc>
        <w:tc>
          <w:tcPr>
            <w:tcW w:w="3291" w:type="dxa"/>
            <w:tcBorders>
              <w:tl2br w:val="nil"/>
              <w:tr2bl w:val="nil"/>
            </w:tcBorders>
            <w:vAlign w:val="center"/>
          </w:tcPr>
          <w:p w14:paraId="4640CDE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b w:val="0"/>
                <w:bCs w:val="0"/>
                <w:snapToGrid w:val="0"/>
                <w:color w:val="000000"/>
                <w:sz w:val="21"/>
                <w:szCs w:val="21"/>
                <w:highlight w:val="none"/>
              </w:rPr>
            </w:pPr>
            <w:r>
              <w:rPr>
                <w:rFonts w:hint="default" w:ascii="Times New Roman" w:hAnsi="Times New Roman" w:eastAsia="Times New Roman" w:cs="Times New Roman"/>
                <w:b w:val="0"/>
                <w:bCs w:val="0"/>
                <w:snapToGrid w:val="0"/>
                <w:color w:val="000000"/>
                <w:spacing w:val="6"/>
                <w:sz w:val="21"/>
                <w:szCs w:val="21"/>
                <w:highlight w:val="none"/>
              </w:rPr>
              <w:t>NOx</w:t>
            </w:r>
          </w:p>
        </w:tc>
        <w:tc>
          <w:tcPr>
            <w:tcW w:w="3293" w:type="dxa"/>
            <w:tcBorders>
              <w:tl2br w:val="nil"/>
              <w:tr2bl w:val="nil"/>
            </w:tcBorders>
            <w:vAlign w:val="center"/>
          </w:tcPr>
          <w:p w14:paraId="4C067C6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b w:val="0"/>
                <w:bCs w:val="0"/>
                <w:snapToGrid w:val="0"/>
                <w:color w:val="000000"/>
                <w:sz w:val="21"/>
                <w:szCs w:val="21"/>
                <w:highlight w:val="none"/>
              </w:rPr>
            </w:pPr>
            <w:r>
              <w:rPr>
                <w:rFonts w:hint="default" w:ascii="Times New Roman" w:hAnsi="Times New Roman" w:eastAsia="Times New Roman" w:cs="Times New Roman"/>
                <w:b w:val="0"/>
                <w:bCs w:val="0"/>
                <w:snapToGrid w:val="0"/>
                <w:color w:val="000000"/>
                <w:spacing w:val="-1"/>
                <w:sz w:val="21"/>
                <w:szCs w:val="21"/>
                <w:highlight w:val="none"/>
              </w:rPr>
              <w:t>3.1</w:t>
            </w:r>
            <w:r>
              <w:rPr>
                <w:rFonts w:hint="eastAsia" w:eastAsia="宋体" w:cs="Times New Roman"/>
                <w:b w:val="0"/>
                <w:bCs w:val="0"/>
                <w:snapToGrid w:val="0"/>
                <w:color w:val="000000"/>
                <w:spacing w:val="-1"/>
                <w:sz w:val="21"/>
                <w:szCs w:val="21"/>
                <w:highlight w:val="none"/>
                <w:lang w:val="en-US" w:eastAsia="zh-CN"/>
              </w:rPr>
              <w:t>6</w:t>
            </w:r>
            <w:r>
              <w:rPr>
                <w:rFonts w:hint="default" w:ascii="Times New Roman" w:hAnsi="Times New Roman" w:eastAsia="Times New Roman" w:cs="Times New Roman"/>
                <w:b w:val="0"/>
                <w:bCs w:val="0"/>
                <w:snapToGrid w:val="0"/>
                <w:color w:val="000000"/>
                <w:spacing w:val="-1"/>
                <w:sz w:val="21"/>
                <w:szCs w:val="21"/>
                <w:highlight w:val="none"/>
              </w:rPr>
              <w:t>8t/a</w:t>
            </w:r>
          </w:p>
        </w:tc>
      </w:tr>
      <w:tr w14:paraId="2F05FE1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1745" w:type="dxa"/>
            <w:vMerge w:val="restart"/>
            <w:tcBorders>
              <w:tl2br w:val="nil"/>
              <w:tr2bl w:val="nil"/>
            </w:tcBorders>
            <w:vAlign w:val="center"/>
          </w:tcPr>
          <w:p w14:paraId="7F9BCFE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napToGrid w:val="0"/>
                <w:color w:val="000000"/>
                <w:sz w:val="21"/>
                <w:szCs w:val="21"/>
                <w:highlight w:val="none"/>
              </w:rPr>
            </w:pPr>
          </w:p>
          <w:p w14:paraId="3E552F8E">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napToGrid w:val="0"/>
                <w:color w:val="000000"/>
                <w:sz w:val="21"/>
                <w:szCs w:val="21"/>
                <w:highlight w:val="none"/>
              </w:rPr>
            </w:pPr>
            <w:r>
              <w:rPr>
                <w:rFonts w:hint="default" w:ascii="Times New Roman" w:hAnsi="Times New Roman" w:cs="Times New Roman"/>
                <w:b w:val="0"/>
                <w:bCs w:val="0"/>
                <w:snapToGrid w:val="0"/>
                <w:color w:val="000000"/>
                <w:spacing w:val="-5"/>
                <w:sz w:val="21"/>
                <w:szCs w:val="21"/>
                <w:highlight w:val="none"/>
              </w:rPr>
              <w:t>固废</w:t>
            </w:r>
          </w:p>
        </w:tc>
        <w:tc>
          <w:tcPr>
            <w:tcW w:w="3291" w:type="dxa"/>
            <w:tcBorders>
              <w:tl2br w:val="nil"/>
              <w:tr2bl w:val="nil"/>
            </w:tcBorders>
            <w:vAlign w:val="center"/>
          </w:tcPr>
          <w:p w14:paraId="4F25C139">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napToGrid w:val="0"/>
                <w:color w:val="000000"/>
                <w:sz w:val="21"/>
                <w:szCs w:val="21"/>
                <w:highlight w:val="none"/>
              </w:rPr>
            </w:pPr>
            <w:r>
              <w:rPr>
                <w:rFonts w:hint="default" w:ascii="Times New Roman" w:hAnsi="Times New Roman" w:cs="Times New Roman"/>
                <w:b w:val="0"/>
                <w:bCs w:val="0"/>
                <w:snapToGrid w:val="0"/>
                <w:color w:val="000000"/>
                <w:spacing w:val="7"/>
                <w:sz w:val="21"/>
                <w:szCs w:val="21"/>
                <w:highlight w:val="none"/>
              </w:rPr>
              <w:t>含油抹布</w:t>
            </w:r>
          </w:p>
        </w:tc>
        <w:tc>
          <w:tcPr>
            <w:tcW w:w="3293" w:type="dxa"/>
            <w:tcBorders>
              <w:tl2br w:val="nil"/>
              <w:tr2bl w:val="nil"/>
            </w:tcBorders>
            <w:vAlign w:val="center"/>
          </w:tcPr>
          <w:p w14:paraId="45040D7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b w:val="0"/>
                <w:bCs w:val="0"/>
                <w:snapToGrid w:val="0"/>
                <w:color w:val="000000"/>
                <w:sz w:val="21"/>
                <w:szCs w:val="21"/>
                <w:highlight w:val="none"/>
              </w:rPr>
            </w:pPr>
            <w:r>
              <w:rPr>
                <w:rFonts w:hint="default" w:ascii="Times New Roman" w:hAnsi="Times New Roman" w:eastAsia="Times New Roman" w:cs="Times New Roman"/>
                <w:b w:val="0"/>
                <w:bCs w:val="0"/>
                <w:snapToGrid w:val="0"/>
                <w:color w:val="000000"/>
                <w:spacing w:val="-1"/>
                <w:sz w:val="21"/>
                <w:szCs w:val="21"/>
                <w:highlight w:val="none"/>
              </w:rPr>
              <w:t>1.8t/a</w:t>
            </w:r>
          </w:p>
        </w:tc>
      </w:tr>
      <w:tr w14:paraId="5409857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1745" w:type="dxa"/>
            <w:vMerge w:val="continue"/>
            <w:tcBorders>
              <w:tl2br w:val="nil"/>
              <w:tr2bl w:val="nil"/>
            </w:tcBorders>
            <w:vAlign w:val="center"/>
          </w:tcPr>
          <w:p w14:paraId="01FAAD6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napToGrid w:val="0"/>
                <w:color w:val="000000"/>
                <w:sz w:val="21"/>
                <w:szCs w:val="21"/>
                <w:highlight w:val="none"/>
              </w:rPr>
            </w:pPr>
          </w:p>
        </w:tc>
        <w:tc>
          <w:tcPr>
            <w:tcW w:w="3291" w:type="dxa"/>
            <w:tcBorders>
              <w:tl2br w:val="nil"/>
              <w:tr2bl w:val="nil"/>
            </w:tcBorders>
            <w:vAlign w:val="center"/>
          </w:tcPr>
          <w:p w14:paraId="6E9917E4">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napToGrid w:val="0"/>
                <w:color w:val="000000"/>
                <w:sz w:val="21"/>
                <w:szCs w:val="21"/>
                <w:highlight w:val="none"/>
              </w:rPr>
            </w:pPr>
            <w:r>
              <w:rPr>
                <w:rFonts w:hint="default" w:ascii="Times New Roman" w:hAnsi="Times New Roman" w:cs="Times New Roman"/>
                <w:b w:val="0"/>
                <w:bCs w:val="0"/>
                <w:snapToGrid w:val="0"/>
                <w:color w:val="000000"/>
                <w:spacing w:val="7"/>
                <w:sz w:val="21"/>
                <w:szCs w:val="21"/>
                <w:highlight w:val="none"/>
              </w:rPr>
              <w:t>废机油</w:t>
            </w:r>
          </w:p>
        </w:tc>
        <w:tc>
          <w:tcPr>
            <w:tcW w:w="3293" w:type="dxa"/>
            <w:tcBorders>
              <w:tl2br w:val="nil"/>
              <w:tr2bl w:val="nil"/>
            </w:tcBorders>
            <w:vAlign w:val="center"/>
          </w:tcPr>
          <w:p w14:paraId="4A48AEA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b w:val="0"/>
                <w:bCs w:val="0"/>
                <w:snapToGrid w:val="0"/>
                <w:color w:val="000000"/>
                <w:sz w:val="21"/>
                <w:szCs w:val="21"/>
                <w:highlight w:val="none"/>
              </w:rPr>
            </w:pPr>
            <w:r>
              <w:rPr>
                <w:rFonts w:hint="eastAsia" w:ascii="Times New Roman" w:hAnsi="Times New Roman" w:eastAsia="宋体" w:cs="Times New Roman"/>
                <w:b w:val="0"/>
                <w:bCs w:val="0"/>
                <w:snapToGrid w:val="0"/>
                <w:color w:val="000000"/>
                <w:spacing w:val="-2"/>
                <w:sz w:val="21"/>
                <w:szCs w:val="21"/>
                <w:highlight w:val="none"/>
                <w:lang w:val="en-US" w:eastAsia="zh-CN"/>
              </w:rPr>
              <w:t>1.17</w:t>
            </w:r>
            <w:r>
              <w:rPr>
                <w:rFonts w:hint="default" w:ascii="Times New Roman" w:hAnsi="Times New Roman" w:eastAsia="Times New Roman" w:cs="Times New Roman"/>
                <w:b w:val="0"/>
                <w:bCs w:val="0"/>
                <w:snapToGrid w:val="0"/>
                <w:color w:val="000000"/>
                <w:spacing w:val="-2"/>
                <w:sz w:val="21"/>
                <w:szCs w:val="21"/>
                <w:highlight w:val="none"/>
              </w:rPr>
              <w:t>t/a</w:t>
            </w:r>
          </w:p>
        </w:tc>
      </w:tr>
      <w:tr w14:paraId="4348A55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1745" w:type="dxa"/>
            <w:vMerge w:val="continue"/>
            <w:tcBorders>
              <w:tl2br w:val="nil"/>
              <w:tr2bl w:val="nil"/>
            </w:tcBorders>
            <w:vAlign w:val="center"/>
          </w:tcPr>
          <w:p w14:paraId="25B3EE7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napToGrid w:val="0"/>
                <w:color w:val="000000"/>
                <w:sz w:val="21"/>
                <w:szCs w:val="21"/>
                <w:highlight w:val="none"/>
              </w:rPr>
            </w:pPr>
          </w:p>
        </w:tc>
        <w:tc>
          <w:tcPr>
            <w:tcW w:w="3291" w:type="dxa"/>
            <w:tcBorders>
              <w:tl2br w:val="nil"/>
              <w:tr2bl w:val="nil"/>
            </w:tcBorders>
            <w:vAlign w:val="center"/>
          </w:tcPr>
          <w:p w14:paraId="48416F8A">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napToGrid w:val="0"/>
                <w:color w:val="000000"/>
                <w:sz w:val="21"/>
                <w:szCs w:val="21"/>
                <w:highlight w:val="none"/>
              </w:rPr>
            </w:pPr>
            <w:r>
              <w:rPr>
                <w:rFonts w:hint="default" w:ascii="Times New Roman" w:hAnsi="Times New Roman" w:cs="Times New Roman"/>
                <w:b w:val="0"/>
                <w:bCs w:val="0"/>
                <w:snapToGrid w:val="0"/>
                <w:color w:val="000000"/>
                <w:spacing w:val="7"/>
                <w:sz w:val="21"/>
                <w:szCs w:val="21"/>
                <w:highlight w:val="none"/>
              </w:rPr>
              <w:t>废冷却液</w:t>
            </w:r>
          </w:p>
        </w:tc>
        <w:tc>
          <w:tcPr>
            <w:tcW w:w="3293" w:type="dxa"/>
            <w:tcBorders>
              <w:tl2br w:val="nil"/>
              <w:tr2bl w:val="nil"/>
            </w:tcBorders>
            <w:vAlign w:val="center"/>
          </w:tcPr>
          <w:p w14:paraId="6A22ECF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b w:val="0"/>
                <w:bCs w:val="0"/>
                <w:snapToGrid w:val="0"/>
                <w:color w:val="000000"/>
                <w:sz w:val="21"/>
                <w:szCs w:val="21"/>
                <w:highlight w:val="none"/>
              </w:rPr>
            </w:pPr>
            <w:r>
              <w:rPr>
                <w:rFonts w:hint="eastAsia" w:ascii="Times New Roman" w:hAnsi="Times New Roman" w:eastAsia="宋体" w:cs="Times New Roman"/>
                <w:b w:val="0"/>
                <w:bCs w:val="0"/>
                <w:snapToGrid w:val="0"/>
                <w:color w:val="000000"/>
                <w:spacing w:val="2"/>
                <w:sz w:val="21"/>
                <w:szCs w:val="21"/>
                <w:highlight w:val="none"/>
                <w:lang w:val="en-US" w:eastAsia="zh-CN"/>
              </w:rPr>
              <w:t>0.72</w:t>
            </w:r>
            <w:r>
              <w:rPr>
                <w:rFonts w:hint="default" w:ascii="Times New Roman" w:hAnsi="Times New Roman" w:eastAsia="Times New Roman" w:cs="Times New Roman"/>
                <w:b w:val="0"/>
                <w:bCs w:val="0"/>
                <w:snapToGrid w:val="0"/>
                <w:color w:val="000000"/>
                <w:spacing w:val="2"/>
                <w:sz w:val="21"/>
                <w:szCs w:val="21"/>
                <w:highlight w:val="none"/>
              </w:rPr>
              <w:t>t/a</w:t>
            </w:r>
          </w:p>
        </w:tc>
      </w:tr>
      <w:tr w14:paraId="5176A91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1745" w:type="dxa"/>
            <w:vMerge w:val="continue"/>
            <w:tcBorders>
              <w:tl2br w:val="nil"/>
              <w:tr2bl w:val="nil"/>
            </w:tcBorders>
            <w:vAlign w:val="center"/>
          </w:tcPr>
          <w:p w14:paraId="5348433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snapToGrid w:val="0"/>
                <w:color w:val="000000"/>
                <w:sz w:val="21"/>
                <w:szCs w:val="21"/>
                <w:highlight w:val="none"/>
              </w:rPr>
            </w:pPr>
          </w:p>
        </w:tc>
        <w:tc>
          <w:tcPr>
            <w:tcW w:w="3291" w:type="dxa"/>
            <w:tcBorders>
              <w:tl2br w:val="nil"/>
              <w:tr2bl w:val="nil"/>
            </w:tcBorders>
            <w:vAlign w:val="center"/>
          </w:tcPr>
          <w:p w14:paraId="11C291B6">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snapToGrid w:val="0"/>
                <w:color w:val="000000"/>
                <w:spacing w:val="7"/>
                <w:sz w:val="21"/>
                <w:szCs w:val="21"/>
                <w:highlight w:val="none"/>
                <w:lang w:val="en-US" w:eastAsia="zh-CN"/>
              </w:rPr>
            </w:pPr>
            <w:r>
              <w:rPr>
                <w:rFonts w:hint="eastAsia" w:ascii="Times New Roman" w:hAnsi="Times New Roman" w:cs="Times New Roman"/>
                <w:b w:val="0"/>
                <w:bCs w:val="0"/>
                <w:snapToGrid w:val="0"/>
                <w:color w:val="000000"/>
                <w:spacing w:val="7"/>
                <w:sz w:val="21"/>
                <w:szCs w:val="21"/>
                <w:highlight w:val="none"/>
                <w:lang w:val="en-US" w:eastAsia="zh-CN"/>
              </w:rPr>
              <w:t>废油</w:t>
            </w:r>
          </w:p>
        </w:tc>
        <w:tc>
          <w:tcPr>
            <w:tcW w:w="3293" w:type="dxa"/>
            <w:tcBorders>
              <w:tl2br w:val="nil"/>
              <w:tr2bl w:val="nil"/>
            </w:tcBorders>
            <w:vAlign w:val="center"/>
          </w:tcPr>
          <w:p w14:paraId="4204D0C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napToGrid w:val="0"/>
                <w:color w:val="000000"/>
                <w:spacing w:val="2"/>
                <w:sz w:val="21"/>
                <w:szCs w:val="21"/>
                <w:highlight w:val="none"/>
                <w:lang w:val="en-US" w:eastAsia="zh-CN"/>
              </w:rPr>
            </w:pPr>
            <w:r>
              <w:rPr>
                <w:rFonts w:hint="eastAsia" w:ascii="Times New Roman" w:hAnsi="Times New Roman" w:eastAsia="宋体" w:cs="Times New Roman"/>
                <w:b w:val="0"/>
                <w:bCs w:val="0"/>
                <w:snapToGrid w:val="0"/>
                <w:color w:val="000000"/>
                <w:spacing w:val="2"/>
                <w:sz w:val="21"/>
                <w:szCs w:val="21"/>
                <w:highlight w:val="none"/>
                <w:lang w:val="en-US" w:eastAsia="zh-CN"/>
              </w:rPr>
              <w:t>0.26</w:t>
            </w:r>
          </w:p>
        </w:tc>
      </w:tr>
      <w:tr w14:paraId="51E5337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8329" w:type="dxa"/>
            <w:gridSpan w:val="3"/>
            <w:tcBorders>
              <w:tl2br w:val="nil"/>
              <w:tr2bl w:val="nil"/>
            </w:tcBorders>
            <w:vAlign w:val="center"/>
          </w:tcPr>
          <w:p w14:paraId="614FA62B">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snapToGrid w:val="0"/>
                <w:color w:val="000000"/>
                <w:spacing w:val="2"/>
                <w:sz w:val="21"/>
                <w:szCs w:val="21"/>
                <w:highlight w:val="none"/>
                <w:lang w:val="en-US" w:eastAsia="zh-CN"/>
              </w:rPr>
            </w:pPr>
            <w:r>
              <w:rPr>
                <w:rFonts w:hint="default" w:ascii="Times New Roman" w:hAnsi="Times New Roman" w:eastAsia="宋体" w:cs="Times New Roman"/>
                <w:b w:val="0"/>
                <w:bCs w:val="0"/>
                <w:snapToGrid w:val="0"/>
                <w:color w:val="000000"/>
                <w:spacing w:val="7"/>
                <w:sz w:val="21"/>
                <w:szCs w:val="21"/>
                <w:highlight w:val="none"/>
              </w:rPr>
              <w:t>注：由于</w:t>
            </w:r>
            <w:r>
              <w:rPr>
                <w:rFonts w:hint="eastAsia" w:ascii="Times New Roman" w:hAnsi="Times New Roman" w:cs="Times New Roman"/>
                <w:b w:val="0"/>
                <w:bCs w:val="0"/>
                <w:snapToGrid w:val="0"/>
                <w:color w:val="000000"/>
                <w:spacing w:val="7"/>
                <w:sz w:val="21"/>
                <w:szCs w:val="21"/>
                <w:highlight w:val="none"/>
                <w:lang w:val="en-US" w:eastAsia="zh-CN"/>
              </w:rPr>
              <w:t>该部分工程</w:t>
            </w:r>
            <w:r>
              <w:rPr>
                <w:rFonts w:hint="default" w:ascii="Times New Roman" w:hAnsi="Times New Roman" w:eastAsia="宋体" w:cs="Times New Roman"/>
                <w:b w:val="0"/>
                <w:bCs w:val="0"/>
                <w:snapToGrid w:val="0"/>
                <w:color w:val="000000"/>
                <w:spacing w:val="7"/>
                <w:sz w:val="21"/>
                <w:szCs w:val="21"/>
                <w:highlight w:val="none"/>
              </w:rPr>
              <w:t>尚未投产，无例行监测数据，因此在建项目污染物</w:t>
            </w:r>
            <w:r>
              <w:rPr>
                <w:rFonts w:hint="eastAsia" w:ascii="Times New Roman" w:hAnsi="Times New Roman" w:eastAsia="宋体" w:cs="Times New Roman"/>
                <w:b w:val="0"/>
                <w:bCs w:val="0"/>
                <w:snapToGrid w:val="0"/>
                <w:color w:val="000000"/>
                <w:spacing w:val="7"/>
                <w:sz w:val="21"/>
                <w:szCs w:val="21"/>
                <w:highlight w:val="none"/>
                <w:lang w:val="en-US" w:eastAsia="zh-CN"/>
              </w:rPr>
              <w:t>采用</w:t>
            </w:r>
            <w:r>
              <w:rPr>
                <w:rFonts w:hint="default" w:ascii="Times New Roman" w:hAnsi="Times New Roman" w:eastAsia="宋体" w:cs="Times New Roman"/>
                <w:b w:val="0"/>
                <w:bCs w:val="0"/>
                <w:snapToGrid w:val="0"/>
                <w:color w:val="000000"/>
                <w:spacing w:val="7"/>
                <w:sz w:val="21"/>
                <w:szCs w:val="21"/>
                <w:highlight w:val="none"/>
              </w:rPr>
              <w:t>核定排放量</w:t>
            </w:r>
            <w:r>
              <w:rPr>
                <w:rFonts w:hint="eastAsia" w:ascii="Times New Roman" w:hAnsi="Times New Roman" w:eastAsia="宋体" w:cs="Times New Roman"/>
                <w:b w:val="0"/>
                <w:bCs w:val="0"/>
                <w:snapToGrid w:val="0"/>
                <w:color w:val="000000"/>
                <w:spacing w:val="7"/>
                <w:sz w:val="21"/>
                <w:szCs w:val="21"/>
                <w:highlight w:val="none"/>
                <w:lang w:val="en-US" w:eastAsia="zh-CN"/>
              </w:rPr>
              <w:t>作为</w:t>
            </w:r>
            <w:r>
              <w:rPr>
                <w:rFonts w:hint="default" w:ascii="Times New Roman" w:hAnsi="Times New Roman" w:eastAsia="宋体" w:cs="Times New Roman"/>
                <w:b w:val="0"/>
                <w:bCs w:val="0"/>
                <w:snapToGrid w:val="0"/>
                <w:color w:val="000000"/>
                <w:spacing w:val="7"/>
                <w:sz w:val="21"/>
                <w:szCs w:val="21"/>
                <w:highlight w:val="none"/>
              </w:rPr>
              <w:t>排放量。</w:t>
            </w:r>
          </w:p>
        </w:tc>
      </w:tr>
      <w:bookmarkEnd w:id="228"/>
      <w:bookmarkEnd w:id="229"/>
    </w:tbl>
    <w:p w14:paraId="30ED4C20">
      <w:pPr>
        <w:pStyle w:val="4"/>
        <w:bidi w:val="0"/>
        <w:rPr>
          <w:highlight w:val="none"/>
        </w:rPr>
      </w:pPr>
      <w:bookmarkStart w:id="230" w:name="_Toc17699"/>
      <w:bookmarkStart w:id="231" w:name="_Toc20640"/>
      <w:r>
        <w:rPr>
          <w:rFonts w:hint="eastAsia"/>
          <w:highlight w:val="none"/>
        </w:rPr>
        <w:t>3.1.13现有工程环境问题</w:t>
      </w:r>
      <w:bookmarkEnd w:id="230"/>
      <w:bookmarkEnd w:id="231"/>
    </w:p>
    <w:p w14:paraId="32D68FCF">
      <w:pPr>
        <w:spacing w:line="480" w:lineRule="exact"/>
        <w:ind w:firstLine="480" w:firstLineChars="200"/>
        <w:jc w:val="left"/>
        <w:rPr>
          <w:highlight w:val="none"/>
        </w:rPr>
      </w:pPr>
      <w:r>
        <w:rPr>
          <w:rFonts w:hint="eastAsia" w:ascii="Times New Roman" w:hAnsi="Times New Roman"/>
          <w:kern w:val="24"/>
          <w:highlight w:val="none"/>
        </w:rPr>
        <w:t>根据对企业现有污染物产生及处理情况调查和分析，该企业废水</w:t>
      </w:r>
      <w:r>
        <w:rPr>
          <w:rFonts w:hint="eastAsia"/>
          <w:kern w:val="24"/>
          <w:highlight w:val="none"/>
          <w:lang w:eastAsia="zh-CN"/>
        </w:rPr>
        <w:t>、</w:t>
      </w:r>
      <w:r>
        <w:rPr>
          <w:rFonts w:hint="eastAsia" w:ascii="Times New Roman" w:hAnsi="Times New Roman"/>
          <w:kern w:val="24"/>
          <w:highlight w:val="none"/>
        </w:rPr>
        <w:t>废气</w:t>
      </w:r>
      <w:r>
        <w:rPr>
          <w:rFonts w:hint="eastAsia"/>
          <w:kern w:val="24"/>
          <w:highlight w:val="none"/>
          <w:lang w:val="en-US" w:eastAsia="zh-CN"/>
        </w:rPr>
        <w:t>均</w:t>
      </w:r>
      <w:r>
        <w:rPr>
          <w:rFonts w:hint="eastAsia" w:ascii="Times New Roman" w:hAnsi="Times New Roman"/>
          <w:kern w:val="24"/>
          <w:highlight w:val="none"/>
        </w:rPr>
        <w:t>达标排放，厂界无组织排放达标，噪声达标排放，固体废物合理处理处置。现有工程已按照环评及其批复的要求落实了环保措施，各项设施运行正常，通过建设项目竣工环境保护验收</w:t>
      </w:r>
      <w:r>
        <w:rPr>
          <w:highlight w:val="none"/>
        </w:rPr>
        <w:t>。</w:t>
      </w:r>
    </w:p>
    <w:p w14:paraId="59079DD2">
      <w:pPr>
        <w:pStyle w:val="3"/>
        <w:bidi w:val="0"/>
        <w:rPr>
          <w:rFonts w:hint="eastAsia"/>
          <w:highlight w:val="none"/>
          <w:lang w:val="en-US" w:eastAsia="zh-CN"/>
        </w:rPr>
      </w:pPr>
      <w:r>
        <w:rPr>
          <w:highlight w:val="none"/>
        </w:rPr>
        <w:t>3.</w:t>
      </w:r>
      <w:r>
        <w:rPr>
          <w:rFonts w:hint="eastAsia"/>
          <w:highlight w:val="none"/>
          <w:lang w:val="en-US" w:eastAsia="zh-CN"/>
        </w:rPr>
        <w:t>2项目概况</w:t>
      </w:r>
      <w:bookmarkEnd w:id="211"/>
      <w:bookmarkEnd w:id="212"/>
    </w:p>
    <w:p w14:paraId="1C234CA9">
      <w:pPr>
        <w:pStyle w:val="4"/>
        <w:bidi w:val="0"/>
        <w:rPr>
          <w:highlight w:val="none"/>
        </w:rPr>
      </w:pPr>
      <w:bookmarkStart w:id="232" w:name="_Toc113078920"/>
      <w:bookmarkStart w:id="233" w:name="_Toc182022280"/>
      <w:bookmarkStart w:id="234" w:name="_Toc118086779"/>
      <w:bookmarkStart w:id="235" w:name="_Toc112420350"/>
      <w:bookmarkStart w:id="236" w:name="_Toc11758487"/>
      <w:bookmarkStart w:id="237" w:name="_Toc11807"/>
      <w:bookmarkStart w:id="238" w:name="_Toc2941"/>
      <w:r>
        <w:rPr>
          <w:highlight w:val="none"/>
        </w:rPr>
        <w:t>3.</w:t>
      </w:r>
      <w:r>
        <w:rPr>
          <w:rFonts w:hint="eastAsia"/>
          <w:highlight w:val="none"/>
          <w:lang w:val="en-US" w:eastAsia="zh-CN"/>
        </w:rPr>
        <w:t>2</w:t>
      </w:r>
      <w:r>
        <w:rPr>
          <w:highlight w:val="none"/>
        </w:rPr>
        <w:t>.1</w:t>
      </w:r>
      <w:bookmarkEnd w:id="232"/>
      <w:bookmarkEnd w:id="233"/>
      <w:bookmarkEnd w:id="234"/>
      <w:bookmarkEnd w:id="235"/>
      <w:r>
        <w:rPr>
          <w:rFonts w:hint="eastAsia"/>
          <w:highlight w:val="none"/>
          <w:lang w:val="en-US" w:eastAsia="zh-CN"/>
        </w:rPr>
        <w:t>本</w:t>
      </w:r>
      <w:r>
        <w:rPr>
          <w:highlight w:val="none"/>
        </w:rPr>
        <w:t>项目名称及基本组成</w:t>
      </w:r>
      <w:bookmarkEnd w:id="236"/>
      <w:bookmarkEnd w:id="237"/>
      <w:bookmarkEnd w:id="238"/>
    </w:p>
    <w:p w14:paraId="46D70D0E">
      <w:pPr>
        <w:bidi w:val="0"/>
        <w:rPr>
          <w:rFonts w:hint="eastAsia"/>
          <w:highlight w:val="none"/>
          <w:lang w:eastAsia="zh-CN"/>
        </w:rPr>
      </w:pPr>
      <w:r>
        <w:rPr>
          <w:highlight w:val="none"/>
        </w:rPr>
        <w:t>项目名称：</w:t>
      </w:r>
      <w:r>
        <w:rPr>
          <w:rFonts w:hint="eastAsia"/>
          <w:highlight w:val="none"/>
          <w:lang w:eastAsia="zh-CN"/>
        </w:rPr>
        <w:t>4G9生产线更新改造项目</w:t>
      </w:r>
    </w:p>
    <w:p w14:paraId="406C7EF9">
      <w:pPr>
        <w:bidi w:val="0"/>
        <w:rPr>
          <w:rFonts w:hint="eastAsia"/>
          <w:highlight w:val="none"/>
          <w:lang w:eastAsia="zh-CN"/>
        </w:rPr>
      </w:pPr>
      <w:r>
        <w:rPr>
          <w:highlight w:val="none"/>
        </w:rPr>
        <w:t>项目建设单位：</w:t>
      </w:r>
      <w:r>
        <w:rPr>
          <w:rFonts w:hint="eastAsia"/>
          <w:highlight w:val="none"/>
          <w:lang w:eastAsia="zh-CN"/>
        </w:rPr>
        <w:t>哈尔滨东安汽车发动机制造有限公司</w:t>
      </w:r>
    </w:p>
    <w:p w14:paraId="6E03FB12">
      <w:pPr>
        <w:bidi w:val="0"/>
        <w:rPr>
          <w:rFonts w:hint="eastAsia"/>
          <w:highlight w:val="none"/>
          <w:lang w:eastAsia="zh-CN"/>
        </w:rPr>
      </w:pPr>
      <w:r>
        <w:rPr>
          <w:highlight w:val="none"/>
        </w:rPr>
        <w:t>项目性质：</w:t>
      </w:r>
      <w:r>
        <w:rPr>
          <w:rFonts w:hint="eastAsia"/>
          <w:highlight w:val="none"/>
          <w:lang w:val="en-US" w:eastAsia="zh-CN"/>
        </w:rPr>
        <w:t>新建</w:t>
      </w:r>
    </w:p>
    <w:p w14:paraId="72AEAD84">
      <w:pPr>
        <w:bidi w:val="0"/>
        <w:rPr>
          <w:rFonts w:hint="eastAsia"/>
          <w:highlight w:val="none"/>
          <w:lang w:val="en-US" w:eastAsia="zh-CN"/>
        </w:rPr>
      </w:pPr>
      <w:r>
        <w:rPr>
          <w:highlight w:val="none"/>
        </w:rPr>
        <w:t>建设地点：</w:t>
      </w:r>
      <w:r>
        <w:rPr>
          <w:rFonts w:hint="eastAsia"/>
          <w:highlight w:val="none"/>
          <w:lang w:val="en-US" w:eastAsia="zh-CN"/>
        </w:rPr>
        <w:t>位于黑龙江省哈尔滨市开发区哈平路集中区征仪南路6号</w:t>
      </w:r>
    </w:p>
    <w:p w14:paraId="27EB66F2">
      <w:pPr>
        <w:bidi w:val="0"/>
        <w:rPr>
          <w:highlight w:val="none"/>
        </w:rPr>
      </w:pPr>
      <w:r>
        <w:rPr>
          <w:highlight w:val="none"/>
        </w:rPr>
        <w:t>工程投资：</w:t>
      </w:r>
      <w:r>
        <w:rPr>
          <w:rFonts w:hint="eastAsia"/>
          <w:highlight w:val="none"/>
          <w:lang w:val="en-US" w:eastAsia="zh-CN"/>
        </w:rPr>
        <w:t>37296</w:t>
      </w:r>
      <w:r>
        <w:rPr>
          <w:highlight w:val="none"/>
        </w:rPr>
        <w:t>万元</w:t>
      </w:r>
    </w:p>
    <w:p w14:paraId="23744788">
      <w:pPr>
        <w:bidi w:val="0"/>
        <w:rPr>
          <w:highlight w:val="none"/>
        </w:rPr>
      </w:pPr>
      <w:r>
        <w:rPr>
          <w:highlight w:val="none"/>
        </w:rPr>
        <w:t>占地面积：</w:t>
      </w:r>
      <w:r>
        <w:rPr>
          <w:rFonts w:hint="eastAsia" w:ascii="Times New Roman" w:hAnsi="Times New Roman"/>
          <w:color w:val="000000" w:themeColor="text1"/>
          <w:kern w:val="0"/>
          <w:highlight w:val="none"/>
        </w:rPr>
        <w:t>27.</w:t>
      </w:r>
      <w:r>
        <w:rPr>
          <w:rFonts w:hint="eastAsia"/>
          <w:color w:val="000000" w:themeColor="text1"/>
          <w:kern w:val="0"/>
          <w:highlight w:val="none"/>
          <w:lang w:val="en-US" w:eastAsia="zh-CN"/>
        </w:rPr>
        <w:t>5</w:t>
      </w:r>
      <w:r>
        <w:rPr>
          <w:rFonts w:hint="eastAsia" w:ascii="Times New Roman" w:hAnsi="Times New Roman"/>
          <w:color w:val="000000" w:themeColor="text1"/>
          <w:kern w:val="0"/>
          <w:highlight w:val="none"/>
        </w:rPr>
        <w:t>hm</w:t>
      </w:r>
      <w:r>
        <w:rPr>
          <w:rFonts w:hint="eastAsia" w:ascii="Times New Roman" w:hAnsi="Times New Roman"/>
          <w:color w:val="000000" w:themeColor="text1"/>
          <w:kern w:val="0"/>
          <w:highlight w:val="none"/>
          <w:vertAlign w:val="superscript"/>
        </w:rPr>
        <w:t>2</w:t>
      </w:r>
    </w:p>
    <w:p w14:paraId="7055828A">
      <w:pPr>
        <w:bidi w:val="0"/>
        <w:rPr>
          <w:highlight w:val="none"/>
        </w:rPr>
      </w:pPr>
      <w:r>
        <w:rPr>
          <w:highlight w:val="none"/>
        </w:rPr>
        <w:t>占地类型：</w:t>
      </w:r>
      <w:r>
        <w:rPr>
          <w:rFonts w:hint="eastAsia"/>
          <w:highlight w:val="none"/>
          <w:lang w:val="en-US" w:eastAsia="zh-CN"/>
        </w:rPr>
        <w:t>工业</w:t>
      </w:r>
      <w:r>
        <w:rPr>
          <w:highlight w:val="none"/>
        </w:rPr>
        <w:t>用地</w:t>
      </w:r>
    </w:p>
    <w:p w14:paraId="019BD653">
      <w:pPr>
        <w:bidi w:val="0"/>
        <w:rPr>
          <w:rFonts w:hint="eastAsia"/>
          <w:highlight w:val="none"/>
          <w:shd w:val="clear"/>
          <w:lang w:val="en-US" w:eastAsia="zh-CN"/>
        </w:rPr>
      </w:pPr>
      <w:r>
        <w:rPr>
          <w:highlight w:val="none"/>
        </w:rPr>
        <w:t>劳动定员及工作制度</w:t>
      </w:r>
      <w:r>
        <w:rPr>
          <w:highlight w:val="none"/>
          <w:shd w:val="clear"/>
        </w:rPr>
        <w:t>：本项目</w:t>
      </w:r>
      <w:r>
        <w:rPr>
          <w:rFonts w:hint="eastAsia"/>
          <w:highlight w:val="none"/>
          <w:shd w:val="clear"/>
          <w:lang w:val="en-US" w:eastAsia="zh-CN"/>
        </w:rPr>
        <w:t>不新增</w:t>
      </w:r>
      <w:r>
        <w:rPr>
          <w:highlight w:val="none"/>
          <w:shd w:val="clear"/>
        </w:rPr>
        <w:t>劳动定员，工作天数为</w:t>
      </w:r>
      <w:r>
        <w:rPr>
          <w:rFonts w:hint="eastAsia"/>
          <w:highlight w:val="none"/>
          <w:shd w:val="clear"/>
          <w:lang w:val="en-US" w:eastAsia="zh-CN"/>
        </w:rPr>
        <w:t>250</w:t>
      </w:r>
      <w:r>
        <w:rPr>
          <w:highlight w:val="none"/>
          <w:shd w:val="clear"/>
        </w:rPr>
        <w:t>天</w:t>
      </w:r>
      <w:r>
        <w:rPr>
          <w:rFonts w:hint="eastAsia"/>
          <w:highlight w:val="none"/>
          <w:shd w:val="clear"/>
          <w:lang w:val="en-US" w:eastAsia="zh-CN"/>
        </w:rPr>
        <w:t>1</w:t>
      </w:r>
      <w:r>
        <w:rPr>
          <w:highlight w:val="none"/>
          <w:shd w:val="clear"/>
        </w:rPr>
        <w:t>班制，</w:t>
      </w:r>
      <w:r>
        <w:rPr>
          <w:rFonts w:hint="eastAsia"/>
          <w:highlight w:val="none"/>
          <w:shd w:val="clear"/>
          <w:lang w:val="en-US" w:eastAsia="zh-CN"/>
        </w:rPr>
        <w:t>8</w:t>
      </w:r>
      <w:r>
        <w:rPr>
          <w:highlight w:val="none"/>
          <w:shd w:val="clear"/>
        </w:rPr>
        <w:t>小时</w:t>
      </w:r>
      <w:r>
        <w:rPr>
          <w:rFonts w:hint="eastAsia"/>
          <w:highlight w:val="none"/>
          <w:shd w:val="clear"/>
          <w:lang w:val="en-US" w:eastAsia="zh-CN"/>
        </w:rPr>
        <w:t>。</w:t>
      </w:r>
    </w:p>
    <w:p w14:paraId="143CEB15">
      <w:pPr>
        <w:bidi w:val="0"/>
        <w:rPr>
          <w:rFonts w:hint="eastAsia" w:eastAsia="宋体"/>
          <w:highlight w:val="none"/>
          <w:lang w:val="en-US" w:eastAsia="zh-CN"/>
        </w:rPr>
      </w:pPr>
      <w:r>
        <w:rPr>
          <w:highlight w:val="none"/>
        </w:rPr>
        <w:t>建设周期：项目建设期</w:t>
      </w:r>
      <w:r>
        <w:rPr>
          <w:rFonts w:hint="eastAsia"/>
          <w:highlight w:val="none"/>
          <w:lang w:val="en-US" w:eastAsia="zh-CN"/>
        </w:rPr>
        <w:t>11</w:t>
      </w:r>
      <w:r>
        <w:rPr>
          <w:highlight w:val="none"/>
        </w:rPr>
        <w:t>个月，为202</w:t>
      </w:r>
      <w:r>
        <w:rPr>
          <w:rFonts w:hint="eastAsia"/>
          <w:highlight w:val="none"/>
          <w:lang w:val="en-US" w:eastAsia="zh-CN"/>
        </w:rPr>
        <w:t>5</w:t>
      </w:r>
      <w:r>
        <w:rPr>
          <w:highlight w:val="none"/>
        </w:rPr>
        <w:t>年</w:t>
      </w:r>
      <w:r>
        <w:rPr>
          <w:rFonts w:hint="eastAsia"/>
          <w:highlight w:val="none"/>
          <w:lang w:val="en-US" w:eastAsia="zh-CN"/>
        </w:rPr>
        <w:t>12</w:t>
      </w:r>
      <w:r>
        <w:rPr>
          <w:highlight w:val="none"/>
        </w:rPr>
        <w:t>月至202</w:t>
      </w:r>
      <w:r>
        <w:rPr>
          <w:rFonts w:hint="eastAsia"/>
          <w:highlight w:val="none"/>
          <w:lang w:val="en-US" w:eastAsia="zh-CN"/>
        </w:rPr>
        <w:t>6</w:t>
      </w:r>
      <w:r>
        <w:rPr>
          <w:highlight w:val="none"/>
        </w:rPr>
        <w:t>年</w:t>
      </w:r>
      <w:r>
        <w:rPr>
          <w:rFonts w:hint="eastAsia"/>
          <w:highlight w:val="none"/>
          <w:lang w:val="en-US" w:eastAsia="zh-CN"/>
        </w:rPr>
        <w:t>10</w:t>
      </w:r>
      <w:r>
        <w:rPr>
          <w:highlight w:val="none"/>
        </w:rPr>
        <w:t>月，计划于202</w:t>
      </w:r>
      <w:r>
        <w:rPr>
          <w:rFonts w:hint="eastAsia"/>
          <w:highlight w:val="none"/>
          <w:lang w:val="en-US" w:eastAsia="zh-CN"/>
        </w:rPr>
        <w:t>6</w:t>
      </w:r>
      <w:r>
        <w:rPr>
          <w:highlight w:val="none"/>
        </w:rPr>
        <w:t>年</w:t>
      </w:r>
      <w:r>
        <w:rPr>
          <w:rFonts w:hint="eastAsia"/>
          <w:highlight w:val="none"/>
          <w:lang w:val="en-US" w:eastAsia="zh-CN"/>
        </w:rPr>
        <w:t>11</w:t>
      </w:r>
      <w:r>
        <w:rPr>
          <w:highlight w:val="none"/>
        </w:rPr>
        <w:t>月投产</w:t>
      </w:r>
      <w:r>
        <w:rPr>
          <w:rFonts w:hint="eastAsia"/>
          <w:highlight w:val="none"/>
          <w:lang w:eastAsia="zh-CN"/>
        </w:rPr>
        <w:t>。</w:t>
      </w:r>
    </w:p>
    <w:p w14:paraId="5A226533">
      <w:pPr>
        <w:pStyle w:val="4"/>
        <w:bidi w:val="0"/>
        <w:rPr>
          <w:highlight w:val="none"/>
        </w:rPr>
      </w:pPr>
      <w:bookmarkStart w:id="239" w:name="_Toc15991641"/>
      <w:bookmarkStart w:id="240" w:name="_Toc6630"/>
      <w:bookmarkStart w:id="241" w:name="_Toc12363"/>
      <w:r>
        <w:rPr>
          <w:highlight w:val="none"/>
        </w:rPr>
        <w:t>3.</w:t>
      </w:r>
      <w:r>
        <w:rPr>
          <w:rFonts w:hint="eastAsia"/>
          <w:highlight w:val="none"/>
          <w:lang w:val="en-US" w:eastAsia="zh-CN"/>
        </w:rPr>
        <w:t>2</w:t>
      </w:r>
      <w:r>
        <w:rPr>
          <w:highlight w:val="none"/>
        </w:rPr>
        <w:t>.2建设规模及建设内容</w:t>
      </w:r>
      <w:bookmarkEnd w:id="239"/>
      <w:bookmarkEnd w:id="240"/>
      <w:bookmarkEnd w:id="241"/>
    </w:p>
    <w:p w14:paraId="116FB5AE">
      <w:pPr>
        <w:spacing w:line="360" w:lineRule="auto"/>
        <w:ind w:firstLine="480" w:firstLineChars="200"/>
        <w:contextualSpacing/>
        <w:rPr>
          <w:rFonts w:hint="default"/>
          <w:highlight w:val="none"/>
          <w:lang w:val="en-US"/>
        </w:rPr>
      </w:pPr>
      <w:r>
        <w:rPr>
          <w:rFonts w:eastAsiaTheme="minorEastAsia"/>
          <w:color w:val="000000" w:themeColor="text1"/>
          <w:sz w:val="24"/>
          <w:highlight w:val="none"/>
        </w:rPr>
        <w:t>本项目为</w:t>
      </w:r>
      <w:r>
        <w:rPr>
          <w:rFonts w:hint="eastAsia"/>
          <w:highlight w:val="none"/>
          <w:lang w:eastAsia="zh-CN"/>
        </w:rPr>
        <w:t>4G9生产线更新改造项目</w:t>
      </w:r>
      <w:r>
        <w:rPr>
          <w:rFonts w:eastAsiaTheme="minorEastAsia"/>
          <w:color w:val="000000" w:themeColor="text1"/>
          <w:sz w:val="24"/>
          <w:highlight w:val="none"/>
        </w:rPr>
        <w:t>，位于</w:t>
      </w:r>
      <w:r>
        <w:rPr>
          <w:rFonts w:hint="eastAsia" w:ascii="Times New Roman" w:hAnsi="Times New Roman" w:cs="Times New Roman" w:eastAsiaTheme="minorEastAsia"/>
          <w:sz w:val="24"/>
          <w:szCs w:val="24"/>
          <w:highlight w:val="none"/>
          <w:lang w:val="en-US" w:eastAsia="zh-CN"/>
        </w:rPr>
        <w:t>黑龙江省哈尔滨市开发区哈平路集中区征仪南路6号，哈尔滨东安汽车发动机制造有限公司院内</w:t>
      </w:r>
      <w:r>
        <w:rPr>
          <w:rFonts w:eastAsiaTheme="minorEastAsia"/>
          <w:color w:val="000000" w:themeColor="text1"/>
          <w:sz w:val="24"/>
          <w:highlight w:val="none"/>
        </w:rPr>
        <w:t>，占地面积为</w:t>
      </w:r>
      <w:r>
        <w:rPr>
          <w:rFonts w:hint="eastAsia"/>
          <w:highlight w:val="none"/>
          <w:lang w:val="en-US" w:eastAsia="zh-CN"/>
        </w:rPr>
        <w:t>826.75</w:t>
      </w:r>
      <w:r>
        <w:rPr>
          <w:rFonts w:eastAsiaTheme="minorEastAsia"/>
          <w:color w:val="000000" w:themeColor="text1"/>
          <w:sz w:val="24"/>
          <w:highlight w:val="none"/>
        </w:rPr>
        <w:t>m</w:t>
      </w:r>
      <w:r>
        <w:rPr>
          <w:rFonts w:eastAsiaTheme="minorEastAsia"/>
          <w:color w:val="000000" w:themeColor="text1"/>
          <w:sz w:val="24"/>
          <w:highlight w:val="none"/>
          <w:vertAlign w:val="superscript"/>
        </w:rPr>
        <w:t>2</w:t>
      </w:r>
      <w:r>
        <w:rPr>
          <w:rFonts w:eastAsiaTheme="minorEastAsia"/>
          <w:color w:val="000000" w:themeColor="text1"/>
          <w:sz w:val="24"/>
          <w:highlight w:val="none"/>
        </w:rPr>
        <w:t>，</w:t>
      </w:r>
      <w:r>
        <w:rPr>
          <w:rFonts w:hint="eastAsia" w:eastAsiaTheme="minorEastAsia"/>
          <w:color w:val="000000" w:themeColor="text1"/>
          <w:sz w:val="24"/>
          <w:highlight w:val="none"/>
        </w:rPr>
        <w:t>不新增占地，用地性质为工业用地</w:t>
      </w:r>
      <w:r>
        <w:rPr>
          <w:rFonts w:hint="eastAsia" w:eastAsiaTheme="minorEastAsia"/>
          <w:color w:val="000000" w:themeColor="text1"/>
          <w:sz w:val="24"/>
          <w:highlight w:val="none"/>
          <w:lang w:eastAsia="zh-CN"/>
        </w:rPr>
        <w:t>，</w:t>
      </w:r>
      <w:r>
        <w:rPr>
          <w:rFonts w:hint="eastAsia" w:eastAsiaTheme="minorEastAsia"/>
          <w:snapToGrid w:val="0"/>
          <w:color w:val="000000" w:themeColor="text1"/>
          <w:kern w:val="0"/>
          <w:sz w:val="24"/>
          <w:highlight w:val="none"/>
          <w:lang w:val="en-US" w:eastAsia="zh-CN"/>
        </w:rPr>
        <w:t>主要改造现有2#、4#厂房中现有4G9生产线设备建设WE20TG发动机生产线；租赁变速器机加厂外闲置厂房建设一条含油金属屑收集处理生产线。本项目建成后年处理含油金属屑（类别HW08，代码900-200-08、类别HW09，代码900-006-09）2125t、年生产WE20TG发动机系列发动机15万台</w:t>
      </w:r>
      <w:r>
        <w:rPr>
          <w:rFonts w:eastAsiaTheme="minorEastAsia"/>
          <w:color w:val="000000" w:themeColor="text1"/>
          <w:sz w:val="24"/>
          <w:highlight w:val="none"/>
        </w:rPr>
        <w:t>。</w:t>
      </w:r>
    </w:p>
    <w:p w14:paraId="3474E198">
      <w:pPr>
        <w:bidi w:val="0"/>
        <w:rPr>
          <w:highlight w:val="none"/>
        </w:rPr>
      </w:pPr>
      <w:r>
        <w:rPr>
          <w:highlight w:val="none"/>
        </w:rPr>
        <w:t>具体建设内容见表3-</w:t>
      </w:r>
      <w:r>
        <w:rPr>
          <w:rFonts w:hint="eastAsia"/>
          <w:highlight w:val="none"/>
          <w:lang w:val="en-US" w:eastAsia="zh-CN"/>
        </w:rPr>
        <w:t>2</w:t>
      </w:r>
      <w:r>
        <w:rPr>
          <w:highlight w:val="none"/>
        </w:rPr>
        <w:t>-1。</w:t>
      </w:r>
    </w:p>
    <w:p w14:paraId="6A3896C1">
      <w:pPr>
        <w:pStyle w:val="7"/>
        <w:bidi w:val="0"/>
        <w:rPr>
          <w:highlight w:val="none"/>
        </w:rPr>
      </w:pPr>
      <w:r>
        <w:rPr>
          <w:highlight w:val="none"/>
        </w:rPr>
        <w:t>表3-</w:t>
      </w:r>
      <w:r>
        <w:rPr>
          <w:rFonts w:hint="eastAsia"/>
          <w:highlight w:val="none"/>
          <w:lang w:val="en-US" w:eastAsia="zh-CN"/>
        </w:rPr>
        <w:t>2</w:t>
      </w:r>
      <w:r>
        <w:rPr>
          <w:highlight w:val="none"/>
        </w:rPr>
        <w:t>-1工程组成一览表</w:t>
      </w:r>
    </w:p>
    <w:tbl>
      <w:tblPr>
        <w:tblStyle w:val="4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53"/>
        <w:gridCol w:w="5"/>
        <w:gridCol w:w="1113"/>
        <w:gridCol w:w="5994"/>
        <w:gridCol w:w="757"/>
      </w:tblGrid>
      <w:tr w14:paraId="0FB1C6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5" w:hRule="atLeast"/>
          <w:jc w:val="center"/>
        </w:trPr>
        <w:tc>
          <w:tcPr>
            <w:tcW w:w="386" w:type="pct"/>
            <w:gridSpan w:val="2"/>
            <w:vAlign w:val="center"/>
          </w:tcPr>
          <w:p w14:paraId="16D28BF5">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bookmarkStart w:id="242" w:name="_Hlk527725606"/>
            <w:r>
              <w:rPr>
                <w:rFonts w:hint="default"/>
                <w:highlight w:val="none"/>
              </w:rPr>
              <w:t>工程类别</w:t>
            </w:r>
          </w:p>
        </w:tc>
        <w:tc>
          <w:tcPr>
            <w:tcW w:w="653" w:type="pct"/>
            <w:vAlign w:val="center"/>
          </w:tcPr>
          <w:p w14:paraId="155B7AB9">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工程名称</w:t>
            </w:r>
          </w:p>
        </w:tc>
        <w:tc>
          <w:tcPr>
            <w:tcW w:w="3516" w:type="pct"/>
            <w:vAlign w:val="center"/>
          </w:tcPr>
          <w:p w14:paraId="684B22DC">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主要建设内容</w:t>
            </w:r>
          </w:p>
        </w:tc>
        <w:tc>
          <w:tcPr>
            <w:tcW w:w="444" w:type="pct"/>
            <w:vAlign w:val="center"/>
          </w:tcPr>
          <w:p w14:paraId="24C5A2A0">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备注</w:t>
            </w:r>
          </w:p>
        </w:tc>
      </w:tr>
      <w:tr w14:paraId="5FB499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5" w:hRule="atLeast"/>
          <w:jc w:val="center"/>
        </w:trPr>
        <w:tc>
          <w:tcPr>
            <w:tcW w:w="386" w:type="pct"/>
            <w:gridSpan w:val="2"/>
            <w:vMerge w:val="restart"/>
            <w:vAlign w:val="center"/>
          </w:tcPr>
          <w:p w14:paraId="4A99AF25">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主体工程</w:t>
            </w:r>
          </w:p>
        </w:tc>
        <w:tc>
          <w:tcPr>
            <w:tcW w:w="653" w:type="pct"/>
            <w:shd w:val="clear" w:color="auto" w:fill="auto"/>
            <w:vAlign w:val="center"/>
          </w:tcPr>
          <w:p w14:paraId="739162E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sz w:val="21"/>
                <w:szCs w:val="21"/>
                <w:highlight w:val="none"/>
              </w:rPr>
              <w:t>缸体生产线</w:t>
            </w:r>
          </w:p>
        </w:tc>
        <w:tc>
          <w:tcPr>
            <w:tcW w:w="3516" w:type="pct"/>
            <w:vAlign w:val="center"/>
          </w:tcPr>
          <w:p w14:paraId="27FAF39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420" w:firstLineChars="200"/>
              <w:jc w:val="left"/>
              <w:textAlignment w:val="auto"/>
              <w:rPr>
                <w:rFonts w:hint="default"/>
                <w:color w:val="000000" w:themeColor="text1"/>
                <w:highlight w:val="none"/>
                <w:lang w:val="en-US" w:eastAsia="zh-CN"/>
              </w:rPr>
            </w:pPr>
            <w:r>
              <w:rPr>
                <w:rFonts w:hint="default" w:ascii="Times New Roman" w:hAnsi="Times New Roman"/>
                <w:color w:val="000000" w:themeColor="text1"/>
                <w:sz w:val="21"/>
                <w:szCs w:val="21"/>
                <w:highlight w:val="none"/>
              </w:rPr>
              <w:t>改造2号厂房现有4G</w:t>
            </w:r>
            <w:r>
              <w:rPr>
                <w:rFonts w:hint="eastAsia" w:ascii="Times New Roman" w:hAnsi="Times New Roman"/>
                <w:color w:val="000000" w:themeColor="text1"/>
                <w:sz w:val="21"/>
                <w:szCs w:val="21"/>
                <w:highlight w:val="none"/>
                <w:lang w:val="en-US" w:eastAsia="zh-CN"/>
              </w:rPr>
              <w:t>9</w:t>
            </w:r>
            <w:r>
              <w:rPr>
                <w:rFonts w:hint="default" w:ascii="Times New Roman" w:hAnsi="Times New Roman"/>
                <w:color w:val="000000" w:themeColor="text1"/>
                <w:sz w:val="21"/>
                <w:szCs w:val="21"/>
                <w:highlight w:val="none"/>
              </w:rPr>
              <w:t>系列发动机缸体生产线，</w:t>
            </w:r>
            <w:r>
              <w:rPr>
                <w:rFonts w:hint="default" w:ascii="Times New Roman" w:hAnsi="Times New Roman"/>
                <w:color w:val="000000" w:themeColor="text1"/>
                <w:sz w:val="21"/>
                <w:szCs w:val="21"/>
                <w:highlight w:val="none"/>
                <w:lang w:val="en-US" w:eastAsia="zh-CN"/>
              </w:rPr>
              <w:t>改造原4G9缸体生产线</w:t>
            </w:r>
            <w:r>
              <w:rPr>
                <w:rFonts w:hint="eastAsia"/>
                <w:color w:val="000000" w:themeColor="text1"/>
                <w:sz w:val="21"/>
                <w:szCs w:val="21"/>
                <w:highlight w:val="none"/>
                <w:lang w:val="en-US" w:eastAsia="zh-CN"/>
              </w:rPr>
              <w:t>14台加工中心</w:t>
            </w:r>
            <w:r>
              <w:rPr>
                <w:rFonts w:hint="default" w:ascii="Times New Roman" w:hAnsi="Times New Roman"/>
                <w:color w:val="000000" w:themeColor="text1"/>
                <w:sz w:val="21"/>
                <w:szCs w:val="21"/>
                <w:highlight w:val="none"/>
                <w:lang w:val="en-US" w:eastAsia="zh-CN"/>
              </w:rPr>
              <w:t>，增加5台二手加工中心及相应辅机</w:t>
            </w:r>
            <w:r>
              <w:rPr>
                <w:rFonts w:hint="eastAsia" w:ascii="Times New Roman" w:hAnsi="Times New Roman"/>
                <w:color w:val="000000" w:themeColor="text1"/>
                <w:sz w:val="21"/>
                <w:szCs w:val="21"/>
                <w:highlight w:val="none"/>
              </w:rPr>
              <w:t>。2号标准厂房占地面积22045</w:t>
            </w:r>
            <w:r>
              <w:rPr>
                <w:rFonts w:hint="eastAsia" w:ascii="Times New Roman" w:hAnsi="Times New Roman"/>
                <w:color w:val="000000" w:themeColor="text1"/>
                <w:kern w:val="24"/>
                <w:sz w:val="21"/>
                <w:szCs w:val="21"/>
                <w:highlight w:val="none"/>
              </w:rPr>
              <w:t>m</w:t>
            </w:r>
            <w:r>
              <w:rPr>
                <w:rFonts w:hint="eastAsia" w:ascii="Times New Roman" w:hAnsi="Times New Roman"/>
                <w:color w:val="000000" w:themeColor="text1"/>
                <w:kern w:val="24"/>
                <w:sz w:val="21"/>
                <w:szCs w:val="21"/>
                <w:highlight w:val="none"/>
                <w:vertAlign w:val="superscript"/>
              </w:rPr>
              <w:t>2</w:t>
            </w:r>
            <w:r>
              <w:rPr>
                <w:rFonts w:hint="eastAsia" w:ascii="Times New Roman" w:hAnsi="Times New Roman"/>
                <w:color w:val="000000" w:themeColor="text1"/>
                <w:kern w:val="24"/>
                <w:sz w:val="21"/>
                <w:szCs w:val="21"/>
                <w:highlight w:val="none"/>
              </w:rPr>
              <w:t>，单层结构，厂房平均高度13m</w:t>
            </w:r>
          </w:p>
        </w:tc>
        <w:tc>
          <w:tcPr>
            <w:tcW w:w="444" w:type="pct"/>
            <w:vMerge w:val="restart"/>
            <w:vAlign w:val="center"/>
          </w:tcPr>
          <w:p w14:paraId="4EFF8971">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lang w:val="en-US" w:eastAsia="zh-CN"/>
              </w:rPr>
            </w:pPr>
            <w:r>
              <w:rPr>
                <w:rFonts w:hint="eastAsia"/>
                <w:highlight w:val="none"/>
                <w:lang w:val="en-US" w:eastAsia="zh-CN"/>
              </w:rPr>
              <w:t>现有生产线改造</w:t>
            </w:r>
          </w:p>
        </w:tc>
      </w:tr>
      <w:tr w14:paraId="5F4994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5" w:hRule="atLeast"/>
          <w:jc w:val="center"/>
        </w:trPr>
        <w:tc>
          <w:tcPr>
            <w:tcW w:w="386" w:type="pct"/>
            <w:gridSpan w:val="2"/>
            <w:vMerge w:val="continue"/>
            <w:vAlign w:val="center"/>
          </w:tcPr>
          <w:p w14:paraId="37B93454">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p>
        </w:tc>
        <w:tc>
          <w:tcPr>
            <w:tcW w:w="653" w:type="pct"/>
            <w:shd w:val="clear" w:color="auto" w:fill="auto"/>
            <w:vAlign w:val="center"/>
          </w:tcPr>
          <w:p w14:paraId="612DBF8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kern w:val="2"/>
                <w:sz w:val="21"/>
                <w:szCs w:val="21"/>
                <w:highlight w:val="none"/>
                <w:lang w:val="en-US" w:eastAsia="zh-CN" w:bidi="ar-SA"/>
              </w:rPr>
            </w:pPr>
            <w:r>
              <w:rPr>
                <w:rFonts w:hint="default" w:ascii="Times New Roman" w:hAnsi="Times New Roman"/>
                <w:sz w:val="21"/>
                <w:szCs w:val="21"/>
                <w:highlight w:val="none"/>
              </w:rPr>
              <w:t>缸盖生产线</w:t>
            </w:r>
          </w:p>
        </w:tc>
        <w:tc>
          <w:tcPr>
            <w:tcW w:w="3516" w:type="pct"/>
            <w:vAlign w:val="center"/>
          </w:tcPr>
          <w:p w14:paraId="2CA3721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420" w:firstLineChars="200"/>
              <w:jc w:val="left"/>
              <w:textAlignment w:val="auto"/>
              <w:rPr>
                <w:rFonts w:hint="eastAsia"/>
                <w:color w:val="000000" w:themeColor="text1"/>
                <w:sz w:val="21"/>
                <w:szCs w:val="21"/>
                <w:highlight w:val="none"/>
                <w:lang w:val="en-US" w:eastAsia="zh-CN"/>
              </w:rPr>
            </w:pPr>
            <w:r>
              <w:rPr>
                <w:rFonts w:hint="default" w:ascii="Times New Roman" w:hAnsi="Times New Roman"/>
                <w:color w:val="000000" w:themeColor="text1"/>
                <w:sz w:val="21"/>
                <w:szCs w:val="21"/>
                <w:highlight w:val="none"/>
              </w:rPr>
              <w:t>改造2号厂房现有4G</w:t>
            </w:r>
            <w:r>
              <w:rPr>
                <w:rFonts w:hint="eastAsia" w:ascii="Times New Roman" w:hAnsi="Times New Roman"/>
                <w:color w:val="000000" w:themeColor="text1"/>
                <w:sz w:val="21"/>
                <w:szCs w:val="21"/>
                <w:highlight w:val="none"/>
                <w:lang w:val="en-US" w:eastAsia="zh-CN"/>
              </w:rPr>
              <w:t>9</w:t>
            </w:r>
            <w:r>
              <w:rPr>
                <w:rFonts w:hint="default" w:ascii="Times New Roman" w:hAnsi="Times New Roman"/>
                <w:color w:val="000000" w:themeColor="text1"/>
                <w:sz w:val="21"/>
                <w:szCs w:val="21"/>
                <w:highlight w:val="none"/>
              </w:rPr>
              <w:t>系列发动机缸</w:t>
            </w:r>
            <w:r>
              <w:rPr>
                <w:rFonts w:hint="eastAsia"/>
                <w:color w:val="000000" w:themeColor="text1"/>
                <w:sz w:val="21"/>
                <w:szCs w:val="21"/>
                <w:highlight w:val="none"/>
                <w:lang w:val="en-US" w:eastAsia="zh-CN"/>
              </w:rPr>
              <w:t>盖</w:t>
            </w:r>
            <w:r>
              <w:rPr>
                <w:rFonts w:hint="default" w:ascii="Times New Roman" w:hAnsi="Times New Roman"/>
                <w:color w:val="000000" w:themeColor="text1"/>
                <w:sz w:val="21"/>
                <w:szCs w:val="21"/>
                <w:highlight w:val="none"/>
              </w:rPr>
              <w:t>生产线，</w:t>
            </w:r>
            <w:r>
              <w:rPr>
                <w:rFonts w:hint="default" w:ascii="Times New Roman" w:hAnsi="Times New Roman"/>
                <w:color w:val="000000" w:themeColor="text1"/>
                <w:sz w:val="21"/>
                <w:szCs w:val="21"/>
                <w:highlight w:val="none"/>
                <w:lang w:val="en-US" w:eastAsia="zh-CN"/>
              </w:rPr>
              <w:t>改造原4G9缸</w:t>
            </w:r>
            <w:r>
              <w:rPr>
                <w:rFonts w:hint="eastAsia"/>
                <w:color w:val="000000" w:themeColor="text1"/>
                <w:sz w:val="21"/>
                <w:szCs w:val="21"/>
                <w:highlight w:val="none"/>
                <w:lang w:val="en-US" w:eastAsia="zh-CN"/>
              </w:rPr>
              <w:t>盖</w:t>
            </w:r>
            <w:r>
              <w:rPr>
                <w:rFonts w:hint="default" w:ascii="Times New Roman" w:hAnsi="Times New Roman"/>
                <w:color w:val="000000" w:themeColor="text1"/>
                <w:sz w:val="21"/>
                <w:szCs w:val="21"/>
                <w:highlight w:val="none"/>
                <w:lang w:val="en-US" w:eastAsia="zh-CN"/>
              </w:rPr>
              <w:t>生产线</w:t>
            </w:r>
            <w:r>
              <w:rPr>
                <w:rFonts w:hint="eastAsia"/>
                <w:color w:val="000000" w:themeColor="text1"/>
                <w:sz w:val="21"/>
                <w:szCs w:val="21"/>
                <w:highlight w:val="none"/>
                <w:lang w:val="en-US" w:eastAsia="zh-CN"/>
              </w:rPr>
              <w:t>12台加工中心</w:t>
            </w:r>
            <w:r>
              <w:rPr>
                <w:rFonts w:hint="default" w:ascii="Times New Roman" w:hAnsi="Times New Roman"/>
                <w:color w:val="000000" w:themeColor="text1"/>
                <w:sz w:val="21"/>
                <w:szCs w:val="21"/>
                <w:highlight w:val="none"/>
                <w:lang w:val="en-US" w:eastAsia="zh-CN"/>
              </w:rPr>
              <w:t>，增加5台二手加工中心及相应辅机</w:t>
            </w:r>
            <w:r>
              <w:rPr>
                <w:rFonts w:hint="eastAsia" w:ascii="Times New Roman" w:hAnsi="Times New Roman"/>
                <w:color w:val="000000" w:themeColor="text1"/>
                <w:sz w:val="21"/>
                <w:szCs w:val="21"/>
                <w:highlight w:val="none"/>
              </w:rPr>
              <w:t>。2号标准厂房占地面积</w:t>
            </w:r>
            <w:r>
              <w:rPr>
                <w:rFonts w:hint="eastAsia"/>
                <w:color w:val="000000" w:themeColor="text1"/>
                <w:sz w:val="21"/>
                <w:szCs w:val="21"/>
                <w:highlight w:val="none"/>
                <w:vertAlign w:val="baseline"/>
                <w:lang w:val="en-US" w:eastAsia="zh-CN"/>
              </w:rPr>
              <w:t>26598.6</w:t>
            </w:r>
            <w:r>
              <w:rPr>
                <w:rFonts w:hint="eastAsia" w:ascii="Times New Roman" w:hAnsi="Times New Roman"/>
                <w:color w:val="000000" w:themeColor="text1"/>
                <w:kern w:val="24"/>
                <w:sz w:val="21"/>
                <w:szCs w:val="21"/>
                <w:highlight w:val="none"/>
              </w:rPr>
              <w:t>m</w:t>
            </w:r>
            <w:r>
              <w:rPr>
                <w:rFonts w:hint="eastAsia" w:ascii="Times New Roman" w:hAnsi="Times New Roman"/>
                <w:color w:val="000000" w:themeColor="text1"/>
                <w:kern w:val="24"/>
                <w:sz w:val="21"/>
                <w:szCs w:val="21"/>
                <w:highlight w:val="none"/>
                <w:vertAlign w:val="superscript"/>
              </w:rPr>
              <w:t>2</w:t>
            </w:r>
            <w:r>
              <w:rPr>
                <w:rFonts w:hint="eastAsia" w:ascii="Times New Roman" w:hAnsi="Times New Roman"/>
                <w:color w:val="000000" w:themeColor="text1"/>
                <w:kern w:val="24"/>
                <w:sz w:val="21"/>
                <w:szCs w:val="21"/>
                <w:highlight w:val="none"/>
              </w:rPr>
              <w:t>，单层结构，厂房平均高度13m</w:t>
            </w:r>
          </w:p>
        </w:tc>
        <w:tc>
          <w:tcPr>
            <w:tcW w:w="444" w:type="pct"/>
            <w:vMerge w:val="continue"/>
            <w:vAlign w:val="center"/>
          </w:tcPr>
          <w:p w14:paraId="52C4D64C">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eastAsia"/>
                <w:highlight w:val="none"/>
                <w:lang w:val="en-US" w:eastAsia="zh-CN"/>
              </w:rPr>
            </w:pPr>
          </w:p>
        </w:tc>
      </w:tr>
      <w:tr w14:paraId="7861C4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5" w:hRule="atLeast"/>
          <w:jc w:val="center"/>
        </w:trPr>
        <w:tc>
          <w:tcPr>
            <w:tcW w:w="386" w:type="pct"/>
            <w:gridSpan w:val="2"/>
            <w:vMerge w:val="continue"/>
            <w:vAlign w:val="center"/>
          </w:tcPr>
          <w:p w14:paraId="6426BB21">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p>
        </w:tc>
        <w:tc>
          <w:tcPr>
            <w:tcW w:w="653" w:type="pct"/>
            <w:shd w:val="clear" w:color="auto" w:fill="auto"/>
            <w:vAlign w:val="center"/>
          </w:tcPr>
          <w:p w14:paraId="091C061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kern w:val="2"/>
                <w:sz w:val="21"/>
                <w:szCs w:val="21"/>
                <w:highlight w:val="none"/>
                <w:lang w:val="en-US" w:eastAsia="zh-CN" w:bidi="ar-SA"/>
              </w:rPr>
            </w:pPr>
            <w:r>
              <w:rPr>
                <w:rFonts w:hint="default" w:ascii="Times New Roman" w:hAnsi="Times New Roman"/>
                <w:sz w:val="21"/>
                <w:szCs w:val="21"/>
                <w:highlight w:val="none"/>
              </w:rPr>
              <w:t>装</w:t>
            </w:r>
            <w:r>
              <w:rPr>
                <w:rFonts w:hint="eastAsia"/>
                <w:sz w:val="21"/>
                <w:szCs w:val="21"/>
                <w:highlight w:val="none"/>
                <w:lang w:val="en-US" w:eastAsia="zh-CN"/>
              </w:rPr>
              <w:t>试</w:t>
            </w:r>
            <w:r>
              <w:rPr>
                <w:rFonts w:hint="default" w:ascii="Times New Roman" w:hAnsi="Times New Roman"/>
                <w:sz w:val="21"/>
                <w:szCs w:val="21"/>
                <w:highlight w:val="none"/>
              </w:rPr>
              <w:t>生产线</w:t>
            </w:r>
          </w:p>
        </w:tc>
        <w:tc>
          <w:tcPr>
            <w:tcW w:w="3516" w:type="pct"/>
            <w:vAlign w:val="center"/>
          </w:tcPr>
          <w:p w14:paraId="6C5A1DF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420" w:firstLineChars="200"/>
              <w:jc w:val="left"/>
              <w:textAlignment w:val="auto"/>
              <w:rPr>
                <w:rFonts w:hint="eastAsia"/>
                <w:color w:val="000000" w:themeColor="text1"/>
                <w:sz w:val="21"/>
                <w:szCs w:val="21"/>
                <w:highlight w:val="none"/>
                <w:lang w:val="en-US" w:eastAsia="zh-CN"/>
              </w:rPr>
            </w:pPr>
            <w:r>
              <w:rPr>
                <w:rFonts w:hint="default" w:ascii="Times New Roman" w:hAnsi="Times New Roman"/>
                <w:color w:val="000000" w:themeColor="text1"/>
                <w:sz w:val="21"/>
                <w:szCs w:val="21"/>
                <w:highlight w:val="none"/>
              </w:rPr>
              <w:t>改造</w:t>
            </w:r>
            <w:r>
              <w:rPr>
                <w:rFonts w:hint="eastAsia"/>
                <w:color w:val="000000" w:themeColor="text1"/>
                <w:sz w:val="21"/>
                <w:szCs w:val="21"/>
                <w:highlight w:val="none"/>
                <w:lang w:val="en-US" w:eastAsia="zh-CN"/>
              </w:rPr>
              <w:t>4</w:t>
            </w:r>
            <w:r>
              <w:rPr>
                <w:rFonts w:hint="default" w:ascii="Times New Roman" w:hAnsi="Times New Roman"/>
                <w:color w:val="000000" w:themeColor="text1"/>
                <w:sz w:val="21"/>
                <w:szCs w:val="21"/>
                <w:highlight w:val="none"/>
              </w:rPr>
              <w:t>号厂房现有4G</w:t>
            </w:r>
            <w:r>
              <w:rPr>
                <w:rFonts w:hint="eastAsia"/>
                <w:color w:val="000000" w:themeColor="text1"/>
                <w:sz w:val="21"/>
                <w:szCs w:val="21"/>
                <w:highlight w:val="none"/>
                <w:lang w:val="en-US" w:eastAsia="zh-CN"/>
              </w:rPr>
              <w:t>9</w:t>
            </w:r>
            <w:r>
              <w:rPr>
                <w:rFonts w:hint="default" w:ascii="Times New Roman" w:hAnsi="Times New Roman"/>
                <w:color w:val="000000" w:themeColor="text1"/>
                <w:sz w:val="21"/>
                <w:szCs w:val="21"/>
                <w:highlight w:val="none"/>
              </w:rPr>
              <w:t>系列</w:t>
            </w:r>
            <w:r>
              <w:rPr>
                <w:rFonts w:hint="eastAsia"/>
                <w:color w:val="000000" w:themeColor="text1"/>
                <w:sz w:val="21"/>
                <w:szCs w:val="21"/>
                <w:highlight w:val="none"/>
                <w:lang w:val="en-US" w:eastAsia="zh-CN"/>
              </w:rPr>
              <w:t>试车</w:t>
            </w:r>
            <w:r>
              <w:rPr>
                <w:rFonts w:hint="default" w:ascii="Times New Roman" w:hAnsi="Times New Roman"/>
                <w:color w:val="000000" w:themeColor="text1"/>
                <w:sz w:val="21"/>
                <w:szCs w:val="21"/>
                <w:highlight w:val="none"/>
              </w:rPr>
              <w:t>线</w:t>
            </w:r>
            <w:r>
              <w:rPr>
                <w:rFonts w:hint="eastAsia"/>
                <w:color w:val="000000" w:themeColor="text1"/>
                <w:sz w:val="21"/>
                <w:szCs w:val="21"/>
                <w:highlight w:val="none"/>
                <w:lang w:val="en-US" w:eastAsia="zh-CN"/>
              </w:rPr>
              <w:t>6套热试台架</w:t>
            </w:r>
            <w:r>
              <w:rPr>
                <w:rFonts w:hint="default" w:ascii="Times New Roman" w:hAnsi="Times New Roman"/>
                <w:color w:val="000000" w:themeColor="text1"/>
                <w:sz w:val="21"/>
                <w:szCs w:val="21"/>
                <w:highlight w:val="none"/>
              </w:rPr>
              <w:t>，现有4</w:t>
            </w:r>
            <w:r>
              <w:rPr>
                <w:rFonts w:hint="eastAsia" w:ascii="Times New Roman" w:hAnsi="Times New Roman"/>
                <w:color w:val="000000" w:themeColor="text1"/>
                <w:sz w:val="21"/>
                <w:szCs w:val="21"/>
                <w:highlight w:val="none"/>
              </w:rPr>
              <w:t>G</w:t>
            </w:r>
            <w:r>
              <w:rPr>
                <w:rFonts w:hint="eastAsia"/>
                <w:color w:val="000000" w:themeColor="text1"/>
                <w:sz w:val="21"/>
                <w:szCs w:val="21"/>
                <w:highlight w:val="none"/>
                <w:lang w:val="en-US" w:eastAsia="zh-CN"/>
              </w:rPr>
              <w:t>9</w:t>
            </w:r>
            <w:r>
              <w:rPr>
                <w:rFonts w:hint="eastAsia" w:ascii="Times New Roman" w:hAnsi="Times New Roman"/>
                <w:color w:val="000000" w:themeColor="text1"/>
                <w:sz w:val="21"/>
                <w:szCs w:val="21"/>
                <w:highlight w:val="none"/>
              </w:rPr>
              <w:t>系列发动机</w:t>
            </w:r>
            <w:r>
              <w:rPr>
                <w:rFonts w:hint="eastAsia"/>
                <w:color w:val="000000" w:themeColor="text1"/>
                <w:sz w:val="21"/>
                <w:szCs w:val="21"/>
                <w:highlight w:val="none"/>
                <w:lang w:val="en-US" w:eastAsia="zh-CN"/>
              </w:rPr>
              <w:t>热试</w:t>
            </w:r>
            <w:r>
              <w:rPr>
                <w:rFonts w:hint="default" w:ascii="Times New Roman" w:hAnsi="Times New Roman"/>
                <w:color w:val="000000" w:themeColor="text1"/>
                <w:sz w:val="21"/>
                <w:szCs w:val="21"/>
                <w:highlight w:val="none"/>
              </w:rPr>
              <w:t>线产能</w:t>
            </w:r>
            <w:r>
              <w:rPr>
                <w:rFonts w:hint="eastAsia" w:ascii="Times New Roman" w:hAnsi="Times New Roman"/>
                <w:color w:val="000000" w:themeColor="text1"/>
                <w:sz w:val="21"/>
                <w:szCs w:val="21"/>
                <w:highlight w:val="none"/>
              </w:rPr>
              <w:t>15</w:t>
            </w:r>
            <w:r>
              <w:rPr>
                <w:rFonts w:hint="default" w:ascii="Times New Roman" w:hAnsi="Times New Roman"/>
                <w:color w:val="000000" w:themeColor="text1"/>
                <w:sz w:val="21"/>
                <w:szCs w:val="21"/>
                <w:highlight w:val="none"/>
              </w:rPr>
              <w:t>万件</w:t>
            </w:r>
            <w:r>
              <w:rPr>
                <w:rFonts w:hint="eastAsia" w:ascii="Times New Roman" w:hAnsi="Times New Roman"/>
                <w:color w:val="000000" w:themeColor="text1"/>
                <w:sz w:val="21"/>
                <w:szCs w:val="21"/>
                <w:highlight w:val="none"/>
              </w:rPr>
              <w:t>/年，</w:t>
            </w:r>
            <w:r>
              <w:rPr>
                <w:rFonts w:hint="default" w:ascii="Times New Roman" w:hAnsi="Times New Roman"/>
                <w:color w:val="000000" w:themeColor="text1"/>
                <w:sz w:val="21"/>
                <w:szCs w:val="21"/>
                <w:highlight w:val="none"/>
              </w:rPr>
              <w:t>改建后</w:t>
            </w:r>
            <w:r>
              <w:rPr>
                <w:rFonts w:hint="eastAsia" w:ascii="Times New Roman" w:hAnsi="Times New Roman"/>
                <w:color w:val="000000" w:themeColor="text1"/>
                <w:sz w:val="21"/>
                <w:szCs w:val="21"/>
                <w:highlight w:val="none"/>
              </w:rPr>
              <w:t>生产线</w:t>
            </w:r>
            <w:r>
              <w:rPr>
                <w:rFonts w:hint="eastAsia"/>
                <w:color w:val="000000" w:themeColor="text1"/>
                <w:sz w:val="21"/>
                <w:szCs w:val="21"/>
                <w:highlight w:val="none"/>
                <w:lang w:val="en-US" w:eastAsia="zh-CN"/>
              </w:rPr>
              <w:t>热试产能不变</w:t>
            </w:r>
            <w:r>
              <w:rPr>
                <w:rFonts w:hint="eastAsia" w:ascii="Times New Roman" w:hAnsi="Times New Roman"/>
                <w:color w:val="000000" w:themeColor="text1"/>
                <w:sz w:val="21"/>
                <w:szCs w:val="21"/>
                <w:highlight w:val="none"/>
              </w:rPr>
              <w:t>。</w:t>
            </w:r>
            <w:r>
              <w:rPr>
                <w:rFonts w:hint="eastAsia"/>
                <w:color w:val="000000" w:themeColor="text1"/>
                <w:sz w:val="21"/>
                <w:szCs w:val="21"/>
                <w:highlight w:val="none"/>
                <w:lang w:val="en-US" w:eastAsia="zh-CN"/>
              </w:rPr>
              <w:t>4</w:t>
            </w:r>
            <w:r>
              <w:rPr>
                <w:rFonts w:hint="eastAsia" w:ascii="Times New Roman" w:hAnsi="Times New Roman"/>
                <w:color w:val="000000" w:themeColor="text1"/>
                <w:sz w:val="21"/>
                <w:szCs w:val="21"/>
                <w:highlight w:val="none"/>
              </w:rPr>
              <w:t>号标准厂房占地面积</w:t>
            </w:r>
            <w:r>
              <w:rPr>
                <w:rFonts w:hint="eastAsia"/>
                <w:color w:val="000000" w:themeColor="text1"/>
                <w:sz w:val="21"/>
                <w:szCs w:val="21"/>
                <w:highlight w:val="none"/>
                <w:vertAlign w:val="baseline"/>
                <w:lang w:val="en-US" w:eastAsia="zh-CN"/>
              </w:rPr>
              <w:t>39897.9</w:t>
            </w:r>
            <w:r>
              <w:rPr>
                <w:rFonts w:hint="eastAsia" w:ascii="Times New Roman" w:hAnsi="Times New Roman"/>
                <w:color w:val="000000" w:themeColor="text1"/>
                <w:kern w:val="24"/>
                <w:sz w:val="21"/>
                <w:szCs w:val="21"/>
                <w:highlight w:val="none"/>
              </w:rPr>
              <w:t>m</w:t>
            </w:r>
            <w:r>
              <w:rPr>
                <w:rFonts w:hint="eastAsia" w:ascii="Times New Roman" w:hAnsi="Times New Roman"/>
                <w:color w:val="000000" w:themeColor="text1"/>
                <w:kern w:val="24"/>
                <w:sz w:val="21"/>
                <w:szCs w:val="21"/>
                <w:highlight w:val="none"/>
                <w:vertAlign w:val="superscript"/>
              </w:rPr>
              <w:t>2</w:t>
            </w:r>
            <w:r>
              <w:rPr>
                <w:rFonts w:hint="eastAsia" w:ascii="Times New Roman" w:hAnsi="Times New Roman"/>
                <w:color w:val="000000" w:themeColor="text1"/>
                <w:kern w:val="24"/>
                <w:sz w:val="21"/>
                <w:szCs w:val="21"/>
                <w:highlight w:val="none"/>
              </w:rPr>
              <w:t>，单层结构，厂房平均高度13m</w:t>
            </w:r>
          </w:p>
        </w:tc>
        <w:tc>
          <w:tcPr>
            <w:tcW w:w="444" w:type="pct"/>
            <w:vMerge w:val="continue"/>
            <w:vAlign w:val="center"/>
          </w:tcPr>
          <w:p w14:paraId="6356A996">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eastAsia"/>
                <w:highlight w:val="none"/>
                <w:lang w:val="en-US" w:eastAsia="zh-CN"/>
              </w:rPr>
            </w:pPr>
          </w:p>
        </w:tc>
      </w:tr>
      <w:tr w14:paraId="424D9E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86" w:type="pct"/>
            <w:gridSpan w:val="2"/>
            <w:vMerge w:val="continue"/>
            <w:vAlign w:val="center"/>
          </w:tcPr>
          <w:p w14:paraId="301A681D">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p>
        </w:tc>
        <w:tc>
          <w:tcPr>
            <w:tcW w:w="653" w:type="pct"/>
            <w:vAlign w:val="center"/>
          </w:tcPr>
          <w:p w14:paraId="06296946">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含油金属屑收集处理生产线</w:t>
            </w:r>
          </w:p>
        </w:tc>
        <w:tc>
          <w:tcPr>
            <w:tcW w:w="3516" w:type="pct"/>
            <w:vAlign w:val="center"/>
          </w:tcPr>
          <w:p w14:paraId="56E3B870">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lang w:val="en-US" w:eastAsia="zh-CN"/>
              </w:rPr>
            </w:pPr>
            <w:r>
              <w:rPr>
                <w:rFonts w:hint="eastAsia"/>
                <w:highlight w:val="none"/>
                <w:lang w:val="en-US" w:eastAsia="zh-CN"/>
              </w:rPr>
              <w:t>租赁变速器机加厂外闲置厂房建设一条含油金属屑收集处理生产线</w:t>
            </w:r>
            <w:r>
              <w:rPr>
                <w:rFonts w:hint="eastAsia" w:cs="Times New Roman"/>
                <w:color w:val="auto"/>
                <w:kern w:val="2"/>
                <w:sz w:val="21"/>
                <w:szCs w:val="21"/>
                <w:highlight w:val="none"/>
                <w:lang w:val="en-US" w:eastAsia="zh-CN" w:bidi="ar-SA"/>
              </w:rPr>
              <w:t>，厂房面积为608m</w:t>
            </w:r>
            <w:r>
              <w:rPr>
                <w:rFonts w:hint="eastAsia" w:cs="Times New Roman"/>
                <w:color w:val="auto"/>
                <w:kern w:val="2"/>
                <w:sz w:val="21"/>
                <w:szCs w:val="21"/>
                <w:highlight w:val="none"/>
                <w:vertAlign w:val="superscript"/>
                <w:lang w:val="en-US" w:eastAsia="zh-CN" w:bidi="ar-SA"/>
              </w:rPr>
              <w:t>2</w:t>
            </w:r>
            <w:r>
              <w:rPr>
                <w:rFonts w:hint="eastAsia" w:cs="Times New Roman"/>
                <w:color w:val="auto"/>
                <w:kern w:val="2"/>
                <w:sz w:val="21"/>
                <w:szCs w:val="21"/>
                <w:highlight w:val="none"/>
                <w:lang w:val="en-US" w:eastAsia="zh-CN" w:bidi="ar-SA"/>
              </w:rPr>
              <w:t>，高度约8m。</w:t>
            </w:r>
          </w:p>
        </w:tc>
        <w:tc>
          <w:tcPr>
            <w:tcW w:w="444" w:type="pct"/>
            <w:vMerge w:val="restart"/>
            <w:vAlign w:val="center"/>
          </w:tcPr>
          <w:p w14:paraId="3B54A170">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lang w:val="en-US" w:eastAsia="zh-CN"/>
              </w:rPr>
            </w:pPr>
            <w:r>
              <w:rPr>
                <w:rFonts w:hint="eastAsia"/>
                <w:highlight w:val="none"/>
                <w:lang w:val="en-US" w:eastAsia="zh-CN"/>
              </w:rPr>
              <w:t>新建</w:t>
            </w:r>
          </w:p>
        </w:tc>
      </w:tr>
      <w:tr w14:paraId="14F2B7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86" w:type="pct"/>
            <w:gridSpan w:val="2"/>
            <w:vMerge w:val="restart"/>
            <w:vAlign w:val="center"/>
          </w:tcPr>
          <w:p w14:paraId="735676E1">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储运工程</w:t>
            </w:r>
          </w:p>
        </w:tc>
        <w:tc>
          <w:tcPr>
            <w:tcW w:w="653" w:type="pct"/>
            <w:vMerge w:val="restart"/>
            <w:vAlign w:val="center"/>
          </w:tcPr>
          <w:p w14:paraId="7B863496">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eastAsia"/>
                <w:highlight w:val="none"/>
                <w:lang w:eastAsia="zh-CN"/>
              </w:rPr>
            </w:pPr>
            <w:r>
              <w:rPr>
                <w:rFonts w:hint="eastAsia"/>
                <w:highlight w:val="none"/>
                <w:lang w:val="en-US" w:eastAsia="zh-CN"/>
              </w:rPr>
              <w:t>原料贮存区</w:t>
            </w:r>
          </w:p>
        </w:tc>
        <w:tc>
          <w:tcPr>
            <w:tcW w:w="3516" w:type="pct"/>
            <w:vAlign w:val="center"/>
          </w:tcPr>
          <w:p w14:paraId="35A2DA9F">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位于</w:t>
            </w:r>
            <w:r>
              <w:rPr>
                <w:rFonts w:hint="eastAsia" w:ascii="Times New Roman" w:hAnsi="Times New Roman" w:eastAsia="宋体" w:cs="Times New Roman"/>
                <w:color w:val="auto"/>
                <w:kern w:val="2"/>
                <w:sz w:val="21"/>
                <w:szCs w:val="21"/>
                <w:highlight w:val="none"/>
                <w:lang w:val="en-US" w:eastAsia="zh-CN" w:bidi="ar-SA"/>
              </w:rPr>
              <w:t>含油金属屑收集处理</w:t>
            </w:r>
            <w:r>
              <w:rPr>
                <w:rFonts w:hint="default" w:ascii="Times New Roman" w:hAnsi="Times New Roman" w:cs="Times New Roman"/>
                <w:sz w:val="21"/>
                <w:szCs w:val="21"/>
                <w:highlight w:val="none"/>
                <w:lang w:val="en-US" w:eastAsia="zh-CN"/>
              </w:rPr>
              <w:t>生产车间西侧，</w:t>
            </w:r>
            <w:r>
              <w:rPr>
                <w:rFonts w:hint="eastAsia" w:ascii="Times New Roman" w:hAnsi="Times New Roman" w:cs="Times New Roman"/>
                <w:sz w:val="21"/>
                <w:szCs w:val="21"/>
                <w:highlight w:val="none"/>
                <w:lang w:val="en-US" w:eastAsia="zh-CN"/>
              </w:rPr>
              <w:t>占地</w:t>
            </w:r>
            <w:r>
              <w:rPr>
                <w:rFonts w:hint="default" w:ascii="Times New Roman" w:hAnsi="Times New Roman" w:cs="Times New Roman"/>
                <w:sz w:val="21"/>
                <w:szCs w:val="21"/>
                <w:highlight w:val="none"/>
                <w:lang w:val="en-US" w:eastAsia="zh-CN"/>
              </w:rPr>
              <w:t>面积约为50m</w:t>
            </w:r>
            <w:r>
              <w:rPr>
                <w:rFonts w:hint="default" w:ascii="Times New Roman" w:hAnsi="Times New Roman" w:cs="Times New Roman"/>
                <w:sz w:val="21"/>
                <w:szCs w:val="21"/>
                <w:highlight w:val="none"/>
                <w:vertAlign w:val="superscript"/>
                <w:lang w:val="en-US" w:eastAsia="zh-CN"/>
              </w:rPr>
              <w:t>2</w:t>
            </w:r>
            <w:r>
              <w:rPr>
                <w:rFonts w:hint="default" w:ascii="Times New Roman" w:hAnsi="Times New Roman" w:cs="Times New Roman"/>
                <w:sz w:val="21"/>
                <w:szCs w:val="21"/>
                <w:highlight w:val="none"/>
                <w:lang w:val="en-US" w:eastAsia="zh-CN"/>
              </w:rPr>
              <w:t>，用于储存含油金属屑</w:t>
            </w:r>
            <w:r>
              <w:rPr>
                <w:rFonts w:hint="eastAsia" w:cs="Times New Roman"/>
                <w:sz w:val="21"/>
                <w:szCs w:val="21"/>
                <w:highlight w:val="none"/>
                <w:lang w:val="en-US" w:eastAsia="zh-CN"/>
              </w:rPr>
              <w:t>，储存能力为100t。</w:t>
            </w:r>
          </w:p>
        </w:tc>
        <w:tc>
          <w:tcPr>
            <w:tcW w:w="444" w:type="pct"/>
            <w:vMerge w:val="continue"/>
            <w:vAlign w:val="center"/>
          </w:tcPr>
          <w:p w14:paraId="18139BDC">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p>
        </w:tc>
      </w:tr>
      <w:tr w14:paraId="62EE13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4" w:hRule="atLeast"/>
          <w:jc w:val="center"/>
        </w:trPr>
        <w:tc>
          <w:tcPr>
            <w:tcW w:w="386" w:type="pct"/>
            <w:gridSpan w:val="2"/>
            <w:vMerge w:val="continue"/>
            <w:vAlign w:val="center"/>
          </w:tcPr>
          <w:p w14:paraId="296722F9">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p>
        </w:tc>
        <w:tc>
          <w:tcPr>
            <w:tcW w:w="653" w:type="pct"/>
            <w:vMerge w:val="continue"/>
            <w:vAlign w:val="center"/>
          </w:tcPr>
          <w:p w14:paraId="7F772BE0">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eastAsia"/>
                <w:highlight w:val="none"/>
                <w:lang w:val="en-US" w:eastAsia="zh-CN"/>
              </w:rPr>
            </w:pPr>
          </w:p>
        </w:tc>
        <w:tc>
          <w:tcPr>
            <w:tcW w:w="3516" w:type="pct"/>
            <w:vAlign w:val="center"/>
          </w:tcPr>
          <w:p w14:paraId="64410A95">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cs="Times New Roman"/>
                <w:sz w:val="21"/>
                <w:szCs w:val="21"/>
                <w:highlight w:val="none"/>
                <w:lang w:val="en-US" w:eastAsia="zh-CN"/>
              </w:rPr>
            </w:pPr>
            <w:r>
              <w:rPr>
                <w:rFonts w:hint="default" w:ascii="Times New Roman" w:hAnsi="Times New Roman" w:eastAsia="宋体" w:cs="Times New Roman"/>
                <w:spacing w:val="7"/>
                <w:sz w:val="21"/>
                <w:szCs w:val="21"/>
                <w:highlight w:val="none"/>
                <w:lang w:val="en-US" w:eastAsia="zh-CN"/>
              </w:rPr>
              <w:t>2</w:t>
            </w:r>
            <w:r>
              <w:rPr>
                <w:rFonts w:hint="eastAsia" w:eastAsia="宋体" w:cs="Times New Roman"/>
                <w:spacing w:val="7"/>
                <w:sz w:val="21"/>
                <w:szCs w:val="21"/>
                <w:highlight w:val="none"/>
                <w:lang w:val="en-US" w:eastAsia="zh-CN"/>
              </w:rPr>
              <w:t>号</w:t>
            </w:r>
            <w:r>
              <w:rPr>
                <w:rFonts w:hint="default" w:ascii="Times New Roman" w:hAnsi="Times New Roman" w:eastAsia="宋体" w:cs="Times New Roman"/>
                <w:spacing w:val="7"/>
                <w:sz w:val="21"/>
                <w:szCs w:val="21"/>
                <w:highlight w:val="none"/>
                <w:lang w:eastAsia="zh-CN"/>
              </w:rPr>
              <w:t>、</w:t>
            </w:r>
            <w:r>
              <w:rPr>
                <w:rFonts w:hint="default" w:ascii="Times New Roman" w:hAnsi="Times New Roman" w:eastAsia="Times New Roman" w:cs="Times New Roman"/>
                <w:spacing w:val="7"/>
                <w:sz w:val="21"/>
                <w:szCs w:val="21"/>
                <w:highlight w:val="none"/>
              </w:rPr>
              <w:t>4</w:t>
            </w:r>
            <w:r>
              <w:rPr>
                <w:rFonts w:hint="eastAsia" w:eastAsia="宋体" w:cs="Times New Roman"/>
                <w:spacing w:val="7"/>
                <w:sz w:val="21"/>
                <w:szCs w:val="21"/>
                <w:highlight w:val="none"/>
                <w:lang w:val="en-US" w:eastAsia="zh-CN"/>
              </w:rPr>
              <w:t>号</w:t>
            </w:r>
            <w:r>
              <w:rPr>
                <w:rFonts w:hint="default" w:ascii="Times New Roman" w:hAnsi="Times New Roman" w:cs="Times New Roman"/>
                <w:spacing w:val="7"/>
                <w:sz w:val="21"/>
                <w:szCs w:val="21"/>
                <w:highlight w:val="none"/>
              </w:rPr>
              <w:t>厂房内，均设置占地面积</w:t>
            </w:r>
            <w:r>
              <w:rPr>
                <w:rFonts w:hint="default" w:ascii="Times New Roman" w:hAnsi="Times New Roman" w:eastAsia="Times New Roman" w:cs="Times New Roman"/>
                <w:spacing w:val="7"/>
                <w:sz w:val="21"/>
                <w:szCs w:val="21"/>
                <w:highlight w:val="none"/>
              </w:rPr>
              <w:t>50m</w:t>
            </w:r>
            <w:r>
              <w:rPr>
                <w:rFonts w:hint="eastAsia" w:ascii="Times New Roman" w:hAnsi="Times New Roman" w:eastAsia="宋体" w:cs="Times New Roman"/>
                <w:spacing w:val="7"/>
                <w:sz w:val="21"/>
                <w:szCs w:val="21"/>
                <w:highlight w:val="none"/>
                <w:vertAlign w:val="superscript"/>
                <w:lang w:val="en-US" w:eastAsia="zh-CN"/>
              </w:rPr>
              <w:t>2</w:t>
            </w:r>
            <w:r>
              <w:rPr>
                <w:rFonts w:hint="default" w:ascii="Times New Roman" w:hAnsi="Times New Roman" w:cs="Times New Roman"/>
                <w:spacing w:val="7"/>
                <w:sz w:val="21"/>
                <w:szCs w:val="21"/>
                <w:highlight w:val="none"/>
              </w:rPr>
              <w:t>，储存能力为</w:t>
            </w:r>
            <w:r>
              <w:rPr>
                <w:rFonts w:hint="default" w:ascii="Times New Roman" w:hAnsi="Times New Roman" w:eastAsia="Times New Roman" w:cs="Times New Roman"/>
                <w:spacing w:val="7"/>
                <w:sz w:val="21"/>
                <w:szCs w:val="21"/>
                <w:highlight w:val="none"/>
              </w:rPr>
              <w:t>50t</w:t>
            </w:r>
            <w:r>
              <w:rPr>
                <w:rFonts w:hint="default" w:ascii="Times New Roman" w:hAnsi="Times New Roman" w:cs="Times New Roman"/>
                <w:spacing w:val="7"/>
                <w:sz w:val="21"/>
                <w:szCs w:val="21"/>
                <w:highlight w:val="none"/>
              </w:rPr>
              <w:t>，油类等液态原料存储于密闭桶装内，原料采取分区储存，围堰高</w:t>
            </w:r>
            <w:r>
              <w:rPr>
                <w:rFonts w:hint="eastAsia" w:ascii="Times New Roman" w:hAnsi="Times New Roman" w:cs="Times New Roman"/>
                <w:spacing w:val="7"/>
                <w:sz w:val="21"/>
                <w:szCs w:val="21"/>
                <w:highlight w:val="none"/>
                <w:lang w:val="en-US" w:eastAsia="zh-CN"/>
              </w:rPr>
              <w:t>0</w:t>
            </w:r>
            <w:r>
              <w:rPr>
                <w:rFonts w:hint="default" w:ascii="Times New Roman" w:hAnsi="Times New Roman" w:eastAsia="Times New Roman" w:cs="Times New Roman"/>
                <w:spacing w:val="5"/>
                <w:sz w:val="21"/>
                <w:szCs w:val="21"/>
                <w:highlight w:val="none"/>
              </w:rPr>
              <w:t>.2m</w:t>
            </w:r>
            <w:r>
              <w:rPr>
                <w:rFonts w:hint="default" w:ascii="Times New Roman" w:hAnsi="Times New Roman" w:cs="Times New Roman"/>
                <w:spacing w:val="5"/>
                <w:sz w:val="21"/>
                <w:szCs w:val="21"/>
                <w:highlight w:val="none"/>
              </w:rPr>
              <w:t>，采取重点防渗</w:t>
            </w:r>
          </w:p>
        </w:tc>
        <w:tc>
          <w:tcPr>
            <w:tcW w:w="444" w:type="pct"/>
            <w:vMerge w:val="restart"/>
            <w:vAlign w:val="center"/>
          </w:tcPr>
          <w:p w14:paraId="7DC0D337">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eastAsia" w:eastAsia="宋体"/>
                <w:highlight w:val="none"/>
                <w:lang w:val="en-US" w:eastAsia="zh-CN"/>
              </w:rPr>
            </w:pPr>
            <w:r>
              <w:rPr>
                <w:rFonts w:hint="eastAsia"/>
                <w:highlight w:val="none"/>
                <w:lang w:val="en-US" w:eastAsia="zh-CN"/>
              </w:rPr>
              <w:t>依托现有</w:t>
            </w:r>
          </w:p>
        </w:tc>
      </w:tr>
      <w:tr w14:paraId="037307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4" w:hRule="atLeast"/>
          <w:jc w:val="center"/>
        </w:trPr>
        <w:tc>
          <w:tcPr>
            <w:tcW w:w="386" w:type="pct"/>
            <w:gridSpan w:val="2"/>
            <w:vMerge w:val="continue"/>
            <w:vAlign w:val="center"/>
          </w:tcPr>
          <w:p w14:paraId="555448C7">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p>
        </w:tc>
        <w:tc>
          <w:tcPr>
            <w:tcW w:w="653" w:type="pct"/>
            <w:vMerge w:val="restart"/>
            <w:vAlign w:val="center"/>
          </w:tcPr>
          <w:p w14:paraId="1D3B4ACC">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default"/>
                <w:highlight w:val="none"/>
              </w:rPr>
              <w:t>成品</w:t>
            </w:r>
            <w:r>
              <w:rPr>
                <w:rFonts w:hint="eastAsia"/>
                <w:highlight w:val="none"/>
                <w:lang w:val="en-US" w:eastAsia="zh-CN"/>
              </w:rPr>
              <w:t>贮存区</w:t>
            </w:r>
          </w:p>
        </w:tc>
        <w:tc>
          <w:tcPr>
            <w:tcW w:w="3516" w:type="pct"/>
            <w:vAlign w:val="center"/>
          </w:tcPr>
          <w:p w14:paraId="0D6AAAAA">
            <w:pPr>
              <w:pStyle w:val="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default" w:ascii="Times New Roman" w:hAnsi="Times New Roman" w:eastAsia="宋体" w:cs="Times New Roman"/>
                <w:spacing w:val="7"/>
                <w:sz w:val="21"/>
                <w:szCs w:val="21"/>
                <w:highlight w:val="none"/>
                <w:lang w:val="en-US" w:eastAsia="zh-CN"/>
              </w:rPr>
              <w:t>2</w:t>
            </w:r>
            <w:r>
              <w:rPr>
                <w:rFonts w:hint="default" w:ascii="Times New Roman" w:hAnsi="Times New Roman" w:eastAsia="Times New Roman" w:cs="Times New Roman"/>
                <w:spacing w:val="7"/>
                <w:sz w:val="21"/>
                <w:szCs w:val="21"/>
                <w:highlight w:val="none"/>
              </w:rPr>
              <w:t>#</w:t>
            </w:r>
            <w:r>
              <w:rPr>
                <w:rFonts w:hint="default" w:ascii="Times New Roman" w:hAnsi="Times New Roman" w:eastAsia="宋体" w:cs="Times New Roman"/>
                <w:spacing w:val="7"/>
                <w:sz w:val="21"/>
                <w:szCs w:val="21"/>
                <w:highlight w:val="none"/>
                <w:lang w:eastAsia="zh-CN"/>
              </w:rPr>
              <w:t>、</w:t>
            </w:r>
            <w:r>
              <w:rPr>
                <w:rFonts w:hint="default" w:ascii="Times New Roman" w:hAnsi="Times New Roman" w:eastAsia="Times New Roman" w:cs="Times New Roman"/>
                <w:spacing w:val="7"/>
                <w:sz w:val="21"/>
                <w:szCs w:val="21"/>
                <w:highlight w:val="none"/>
              </w:rPr>
              <w:t>4#</w:t>
            </w:r>
            <w:r>
              <w:rPr>
                <w:rFonts w:hint="default" w:ascii="Times New Roman" w:hAnsi="Times New Roman" w:cs="Times New Roman"/>
                <w:spacing w:val="7"/>
                <w:sz w:val="21"/>
                <w:szCs w:val="21"/>
                <w:highlight w:val="none"/>
              </w:rPr>
              <w:t>厂房内，均设置占地面积</w:t>
            </w:r>
            <w:r>
              <w:rPr>
                <w:rFonts w:hint="eastAsia" w:cs="Times New Roman"/>
                <w:spacing w:val="7"/>
                <w:sz w:val="21"/>
                <w:szCs w:val="21"/>
                <w:highlight w:val="none"/>
                <w:lang w:val="en-US" w:eastAsia="zh-CN"/>
              </w:rPr>
              <w:t>1</w:t>
            </w:r>
            <w:r>
              <w:rPr>
                <w:rFonts w:hint="default" w:ascii="Times New Roman" w:hAnsi="Times New Roman" w:eastAsia="Times New Roman" w:cs="Times New Roman"/>
                <w:spacing w:val="7"/>
                <w:sz w:val="21"/>
                <w:szCs w:val="21"/>
                <w:highlight w:val="none"/>
              </w:rPr>
              <w:t>50m</w:t>
            </w:r>
            <w:r>
              <w:rPr>
                <w:rFonts w:hint="eastAsia" w:ascii="Times New Roman" w:hAnsi="Times New Roman" w:eastAsia="宋体" w:cs="Times New Roman"/>
                <w:spacing w:val="7"/>
                <w:sz w:val="21"/>
                <w:szCs w:val="21"/>
                <w:highlight w:val="none"/>
                <w:vertAlign w:val="superscript"/>
                <w:lang w:val="en-US" w:eastAsia="zh-CN"/>
              </w:rPr>
              <w:t>2</w:t>
            </w:r>
            <w:r>
              <w:rPr>
                <w:rFonts w:hint="default" w:ascii="Times New Roman" w:hAnsi="Times New Roman" w:cs="Times New Roman"/>
                <w:spacing w:val="7"/>
                <w:sz w:val="21"/>
                <w:szCs w:val="21"/>
                <w:highlight w:val="none"/>
              </w:rPr>
              <w:t>，储存能</w:t>
            </w:r>
            <w:r>
              <w:rPr>
                <w:rFonts w:hint="default" w:ascii="Times New Roman" w:hAnsi="Times New Roman" w:cs="Times New Roman"/>
                <w:spacing w:val="5"/>
                <w:sz w:val="21"/>
                <w:szCs w:val="21"/>
                <w:highlight w:val="none"/>
              </w:rPr>
              <w:t>力为</w:t>
            </w:r>
            <w:r>
              <w:rPr>
                <w:rFonts w:hint="eastAsia" w:ascii="Times New Roman" w:hAnsi="Times New Roman" w:cs="Times New Roman"/>
                <w:spacing w:val="5"/>
                <w:sz w:val="21"/>
                <w:szCs w:val="21"/>
                <w:highlight w:val="none"/>
                <w:lang w:val="en-US" w:eastAsia="zh-CN"/>
              </w:rPr>
              <w:t>2000台</w:t>
            </w:r>
            <w:r>
              <w:rPr>
                <w:rFonts w:hint="eastAsia" w:ascii="Times New Roman" w:hAnsi="Times New Roman" w:cs="Times New Roman"/>
                <w:spacing w:val="5"/>
                <w:sz w:val="21"/>
                <w:szCs w:val="21"/>
                <w:highlight w:val="none"/>
                <w:lang w:eastAsia="zh-CN"/>
              </w:rPr>
              <w:t>。</w:t>
            </w:r>
          </w:p>
        </w:tc>
        <w:tc>
          <w:tcPr>
            <w:tcW w:w="444" w:type="pct"/>
            <w:vMerge w:val="continue"/>
            <w:vAlign w:val="center"/>
          </w:tcPr>
          <w:p w14:paraId="1D1CC600">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p>
        </w:tc>
      </w:tr>
      <w:tr w14:paraId="1BCDFF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4" w:hRule="atLeast"/>
          <w:jc w:val="center"/>
        </w:trPr>
        <w:tc>
          <w:tcPr>
            <w:tcW w:w="386" w:type="pct"/>
            <w:gridSpan w:val="2"/>
            <w:vMerge w:val="continue"/>
            <w:vAlign w:val="center"/>
          </w:tcPr>
          <w:p w14:paraId="6A9B2710">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p>
        </w:tc>
        <w:tc>
          <w:tcPr>
            <w:tcW w:w="653" w:type="pct"/>
            <w:vMerge w:val="continue"/>
            <w:vAlign w:val="center"/>
          </w:tcPr>
          <w:p w14:paraId="5AFAC207">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highlight w:val="none"/>
              </w:rPr>
            </w:pPr>
          </w:p>
        </w:tc>
        <w:tc>
          <w:tcPr>
            <w:tcW w:w="3516" w:type="pct"/>
            <w:vAlign w:val="center"/>
          </w:tcPr>
          <w:p w14:paraId="50E69FBA">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leftChars="0" w:right="0" w:rightChars="0" w:firstLine="0" w:firstLineChars="0"/>
              <w:textAlignment w:val="auto"/>
              <w:rPr>
                <w:rFonts w:hint="default" w:ascii="Times New Roman" w:hAnsi="Times New Roman" w:eastAsia="Times New Roman" w:cs="Times New Roman"/>
                <w:spacing w:val="2"/>
                <w:sz w:val="20"/>
                <w:szCs w:val="20"/>
                <w:highlight w:val="none"/>
              </w:rPr>
            </w:pPr>
            <w:r>
              <w:rPr>
                <w:rFonts w:hint="default" w:ascii="Times New Roman" w:hAnsi="Times New Roman" w:cs="Times New Roman"/>
                <w:sz w:val="21"/>
                <w:szCs w:val="21"/>
                <w:highlight w:val="none"/>
                <w:lang w:val="en-US" w:eastAsia="zh-CN"/>
              </w:rPr>
              <w:t>位于</w:t>
            </w:r>
            <w:r>
              <w:rPr>
                <w:rFonts w:hint="eastAsia" w:ascii="Times New Roman" w:hAnsi="Times New Roman" w:eastAsia="宋体" w:cs="Times New Roman"/>
                <w:color w:val="auto"/>
                <w:kern w:val="2"/>
                <w:sz w:val="21"/>
                <w:szCs w:val="21"/>
                <w:highlight w:val="none"/>
                <w:lang w:val="en-US" w:eastAsia="zh-CN" w:bidi="ar-SA"/>
              </w:rPr>
              <w:t>含油金属屑收集处理</w:t>
            </w:r>
            <w:r>
              <w:rPr>
                <w:rFonts w:hint="default" w:ascii="Times New Roman" w:hAnsi="Times New Roman" w:cs="Times New Roman"/>
                <w:sz w:val="21"/>
                <w:szCs w:val="21"/>
                <w:highlight w:val="none"/>
                <w:lang w:val="en-US" w:eastAsia="zh-CN"/>
              </w:rPr>
              <w:t>生产车间西侧，</w:t>
            </w:r>
            <w:r>
              <w:rPr>
                <w:rFonts w:hint="eastAsia" w:ascii="Times New Roman" w:hAnsi="Times New Roman" w:cs="Times New Roman"/>
                <w:sz w:val="21"/>
                <w:szCs w:val="21"/>
                <w:highlight w:val="none"/>
                <w:lang w:val="en-US" w:eastAsia="zh-CN"/>
              </w:rPr>
              <w:t>占地</w:t>
            </w:r>
            <w:r>
              <w:rPr>
                <w:rFonts w:hint="default" w:ascii="Times New Roman" w:hAnsi="Times New Roman" w:cs="Times New Roman"/>
                <w:sz w:val="21"/>
                <w:szCs w:val="21"/>
                <w:highlight w:val="none"/>
                <w:lang w:val="en-US" w:eastAsia="zh-CN"/>
              </w:rPr>
              <w:t>面积约为50m</w:t>
            </w:r>
            <w:r>
              <w:rPr>
                <w:rFonts w:hint="default" w:ascii="Times New Roman" w:hAnsi="Times New Roman" w:cs="Times New Roman"/>
                <w:sz w:val="21"/>
                <w:szCs w:val="21"/>
                <w:highlight w:val="none"/>
                <w:vertAlign w:val="superscript"/>
                <w:lang w:val="en-US" w:eastAsia="zh-CN"/>
              </w:rPr>
              <w:t>2</w:t>
            </w:r>
            <w:r>
              <w:rPr>
                <w:rFonts w:hint="default" w:ascii="Times New Roman" w:hAnsi="Times New Roman" w:cs="Times New Roman"/>
                <w:sz w:val="21"/>
                <w:szCs w:val="21"/>
                <w:highlight w:val="none"/>
                <w:lang w:val="en-US" w:eastAsia="zh-CN"/>
              </w:rPr>
              <w:t>，用于储存含油金属屑</w:t>
            </w:r>
          </w:p>
        </w:tc>
        <w:tc>
          <w:tcPr>
            <w:tcW w:w="444" w:type="pct"/>
            <w:vAlign w:val="center"/>
          </w:tcPr>
          <w:p w14:paraId="21573100">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p>
        </w:tc>
      </w:tr>
      <w:tr w14:paraId="42B2E6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3" w:type="pct"/>
            <w:vMerge w:val="restart"/>
            <w:vAlign w:val="center"/>
          </w:tcPr>
          <w:p w14:paraId="65787A75">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公用工程</w:t>
            </w:r>
          </w:p>
        </w:tc>
        <w:tc>
          <w:tcPr>
            <w:tcW w:w="655" w:type="pct"/>
            <w:gridSpan w:val="2"/>
            <w:vAlign w:val="center"/>
          </w:tcPr>
          <w:p w14:paraId="11FC5294">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给水</w:t>
            </w:r>
          </w:p>
        </w:tc>
        <w:tc>
          <w:tcPr>
            <w:tcW w:w="3516" w:type="pct"/>
            <w:vAlign w:val="center"/>
          </w:tcPr>
          <w:p w14:paraId="7CA8A178">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用水由市政自来水提供</w:t>
            </w:r>
          </w:p>
        </w:tc>
        <w:tc>
          <w:tcPr>
            <w:tcW w:w="444" w:type="pct"/>
            <w:vMerge w:val="restart"/>
            <w:vAlign w:val="center"/>
          </w:tcPr>
          <w:p w14:paraId="23AE6B38">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eastAsia" w:eastAsia="宋体"/>
                <w:highlight w:val="none"/>
                <w:lang w:val="en-US" w:eastAsia="zh-CN"/>
              </w:rPr>
            </w:pPr>
            <w:r>
              <w:rPr>
                <w:rFonts w:hint="eastAsia"/>
                <w:highlight w:val="none"/>
                <w:lang w:val="en-US" w:eastAsia="zh-CN"/>
              </w:rPr>
              <w:t>依托</w:t>
            </w:r>
          </w:p>
        </w:tc>
      </w:tr>
      <w:tr w14:paraId="7CD1DF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3" w:type="pct"/>
            <w:vMerge w:val="continue"/>
            <w:vAlign w:val="center"/>
          </w:tcPr>
          <w:p w14:paraId="4E9AE686">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p>
        </w:tc>
        <w:tc>
          <w:tcPr>
            <w:tcW w:w="655" w:type="pct"/>
            <w:gridSpan w:val="2"/>
            <w:vAlign w:val="center"/>
          </w:tcPr>
          <w:p w14:paraId="2C970394">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排水</w:t>
            </w:r>
          </w:p>
        </w:tc>
        <w:tc>
          <w:tcPr>
            <w:tcW w:w="3516" w:type="pct"/>
            <w:vAlign w:val="center"/>
          </w:tcPr>
          <w:p w14:paraId="4AEF31A2">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lang w:val="en-US"/>
              </w:rPr>
            </w:pPr>
            <w:r>
              <w:rPr>
                <w:rFonts w:hint="eastAsia"/>
                <w:highlight w:val="none"/>
                <w:lang w:val="en-US" w:eastAsia="zh-CN"/>
              </w:rPr>
              <w:t>本项目不新增生活污水</w:t>
            </w:r>
            <w:r>
              <w:rPr>
                <w:rFonts w:hint="eastAsia"/>
                <w:highlight w:val="none"/>
                <w:lang w:val="zh-CN" w:eastAsia="zh-CN"/>
              </w:rPr>
              <w:t>，</w:t>
            </w:r>
            <w:r>
              <w:rPr>
                <w:rFonts w:hint="eastAsia"/>
                <w:highlight w:val="none"/>
                <w:lang w:val="en-US" w:eastAsia="zh-CN"/>
              </w:rPr>
              <w:t>生产过程产生的少量生产废水经过现有4号厂房污水处理站处理</w:t>
            </w:r>
            <w:r>
              <w:rPr>
                <w:rFonts w:hint="eastAsia"/>
                <w:highlight w:val="none"/>
                <w:lang w:val="zh-CN" w:eastAsia="zh-CN"/>
              </w:rPr>
              <w:t>后排入市政管网，进入朝阳污水处理厂，处理达标后排入马家沟河，最终汇入松花江。</w:t>
            </w:r>
          </w:p>
        </w:tc>
        <w:tc>
          <w:tcPr>
            <w:tcW w:w="444" w:type="pct"/>
            <w:vMerge w:val="continue"/>
            <w:vAlign w:val="center"/>
          </w:tcPr>
          <w:p w14:paraId="43893256">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p>
        </w:tc>
      </w:tr>
      <w:tr w14:paraId="54D196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3" w:type="pct"/>
            <w:vMerge w:val="continue"/>
            <w:vAlign w:val="center"/>
          </w:tcPr>
          <w:p w14:paraId="65DACEB2">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p>
        </w:tc>
        <w:tc>
          <w:tcPr>
            <w:tcW w:w="655" w:type="pct"/>
            <w:gridSpan w:val="2"/>
            <w:vAlign w:val="center"/>
          </w:tcPr>
          <w:p w14:paraId="6F315255">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供电</w:t>
            </w:r>
          </w:p>
        </w:tc>
        <w:tc>
          <w:tcPr>
            <w:tcW w:w="3516" w:type="pct"/>
            <w:vAlign w:val="center"/>
          </w:tcPr>
          <w:p w14:paraId="2130D6D8">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color w:val="000000" w:themeColor="text1"/>
                <w:highlight w:val="none"/>
              </w:rPr>
            </w:pPr>
            <w:r>
              <w:rPr>
                <w:rFonts w:hint="default"/>
                <w:color w:val="000000" w:themeColor="text1"/>
                <w:highlight w:val="none"/>
              </w:rPr>
              <w:t>供电由哈尔滨市电业局供给</w:t>
            </w:r>
          </w:p>
        </w:tc>
        <w:tc>
          <w:tcPr>
            <w:tcW w:w="444" w:type="pct"/>
            <w:vMerge w:val="continue"/>
            <w:vAlign w:val="center"/>
          </w:tcPr>
          <w:p w14:paraId="1F0110F2">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p>
        </w:tc>
      </w:tr>
      <w:tr w14:paraId="699BEC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3" w:type="pct"/>
            <w:vMerge w:val="continue"/>
            <w:tcBorders>
              <w:tl2br w:val="nil"/>
              <w:tr2bl w:val="nil"/>
            </w:tcBorders>
            <w:vAlign w:val="center"/>
          </w:tcPr>
          <w:p w14:paraId="606F89EA">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p>
        </w:tc>
        <w:tc>
          <w:tcPr>
            <w:tcW w:w="655" w:type="pct"/>
            <w:gridSpan w:val="2"/>
            <w:tcBorders>
              <w:tl2br w:val="nil"/>
              <w:tr2bl w:val="nil"/>
            </w:tcBorders>
            <w:vAlign w:val="center"/>
          </w:tcPr>
          <w:p w14:paraId="0252FA74">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供热</w:t>
            </w:r>
          </w:p>
        </w:tc>
        <w:tc>
          <w:tcPr>
            <w:tcW w:w="3516" w:type="pct"/>
            <w:tcBorders>
              <w:tl2br w:val="nil"/>
              <w:tr2bl w:val="nil"/>
            </w:tcBorders>
            <w:vAlign w:val="center"/>
          </w:tcPr>
          <w:p w14:paraId="325B6A01">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color w:val="000000" w:themeColor="text1"/>
                <w:highlight w:val="none"/>
                <w:lang w:val="en-US" w:eastAsia="zh-CN"/>
              </w:rPr>
            </w:pPr>
            <w:r>
              <w:rPr>
                <w:rFonts w:hint="eastAsia"/>
                <w:color w:val="000000" w:themeColor="text1"/>
                <w:highlight w:val="none"/>
                <w:vertAlign w:val="baseline"/>
                <w:lang w:val="en-US" w:eastAsia="zh-CN"/>
              </w:rPr>
              <w:t>冬季取暖由哈尔滨哈南供热有限公司提供</w:t>
            </w:r>
          </w:p>
        </w:tc>
        <w:tc>
          <w:tcPr>
            <w:tcW w:w="444" w:type="pct"/>
            <w:tcBorders>
              <w:tl2br w:val="nil"/>
              <w:tr2bl w:val="nil"/>
            </w:tcBorders>
            <w:vAlign w:val="center"/>
          </w:tcPr>
          <w:p w14:paraId="27D9EDC8">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新建</w:t>
            </w:r>
          </w:p>
        </w:tc>
      </w:tr>
      <w:tr w14:paraId="586C0A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3" w:type="pct"/>
            <w:vMerge w:val="restart"/>
            <w:tcBorders>
              <w:tl2br w:val="nil"/>
              <w:tr2bl w:val="nil"/>
            </w:tcBorders>
            <w:vAlign w:val="center"/>
          </w:tcPr>
          <w:p w14:paraId="3225D1D3">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环保工程</w:t>
            </w:r>
          </w:p>
        </w:tc>
        <w:tc>
          <w:tcPr>
            <w:tcW w:w="655" w:type="pct"/>
            <w:gridSpan w:val="2"/>
            <w:vMerge w:val="restart"/>
            <w:tcBorders>
              <w:tl2br w:val="nil"/>
              <w:tr2bl w:val="nil"/>
            </w:tcBorders>
            <w:vAlign w:val="center"/>
          </w:tcPr>
          <w:p w14:paraId="02826157">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firstLine="0" w:firstLineChars="0"/>
              <w:textAlignment w:val="auto"/>
              <w:rPr>
                <w:rFonts w:hint="default"/>
                <w:highlight w:val="none"/>
              </w:rPr>
            </w:pPr>
            <w:r>
              <w:rPr>
                <w:rFonts w:hint="default"/>
                <w:highlight w:val="none"/>
              </w:rPr>
              <w:t>废气</w:t>
            </w:r>
          </w:p>
        </w:tc>
        <w:tc>
          <w:tcPr>
            <w:tcW w:w="3516" w:type="pct"/>
            <w:tcBorders>
              <w:tl2br w:val="nil"/>
              <w:tr2bl w:val="nil"/>
            </w:tcBorders>
            <w:vAlign w:val="center"/>
          </w:tcPr>
          <w:p w14:paraId="7C7C1376">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firstLine="0" w:firstLineChars="0"/>
              <w:textAlignment w:val="auto"/>
              <w:rPr>
                <w:rFonts w:hint="default" w:eastAsia="宋体"/>
                <w:color w:val="000000" w:themeColor="text1"/>
                <w:highlight w:val="none"/>
                <w:lang w:val="en-US" w:eastAsia="zh-CN"/>
              </w:rPr>
            </w:pPr>
            <w:r>
              <w:rPr>
                <w:rFonts w:hint="eastAsia"/>
                <w:color w:val="000000" w:themeColor="text1"/>
                <w:highlight w:val="none"/>
                <w:lang w:val="en-US" w:eastAsia="zh-CN"/>
              </w:rPr>
              <w:t>机加工序设置于2号厂房内，加工中心均为封闭设备，机械加工工序设置2套油雾净化装置，产生的油雾废气分别经油雾净化装置处理后，经集气罩收集，由2根新建23m排气筒（DA065、DA066）排放；装配工序及热试验工序设置于4号厂房内，热试验间及装配区域产生的尾气采用三元催化器进行处理，后由1根新建23m排气筒（DA064）排放；含油金属屑加工生产线位于变速器机加厂房北侧，产生的油雾、挥发性有机物（以非甲烷总烃计）、颗粒物及臭气浓度通过油雾净化装置+活性炭吸附装置处理后由1根新建23m排气筒（DA067）排放；</w:t>
            </w:r>
          </w:p>
        </w:tc>
        <w:tc>
          <w:tcPr>
            <w:tcW w:w="444" w:type="pct"/>
            <w:tcBorders>
              <w:tl2br w:val="nil"/>
              <w:tr2bl w:val="nil"/>
            </w:tcBorders>
            <w:vAlign w:val="center"/>
          </w:tcPr>
          <w:p w14:paraId="269FB7A3">
            <w:pPr>
              <w:pStyle w:val="8"/>
              <w:suppressLineNumbers w:val="0"/>
              <w:bidi w:val="0"/>
              <w:spacing w:before="0" w:beforeAutospacing="0" w:after="0" w:afterAutospacing="0"/>
              <w:ind w:left="0" w:right="0"/>
              <w:rPr>
                <w:rFonts w:hint="default"/>
                <w:highlight w:val="none"/>
              </w:rPr>
            </w:pPr>
            <w:r>
              <w:rPr>
                <w:rFonts w:hint="default"/>
                <w:highlight w:val="none"/>
              </w:rPr>
              <w:t>新建</w:t>
            </w:r>
          </w:p>
        </w:tc>
      </w:tr>
      <w:tr w14:paraId="6A04F7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3" w:type="pct"/>
            <w:vMerge w:val="continue"/>
            <w:tcBorders>
              <w:tl2br w:val="nil"/>
              <w:tr2bl w:val="nil"/>
            </w:tcBorders>
            <w:vAlign w:val="center"/>
          </w:tcPr>
          <w:p w14:paraId="17272C1F">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p>
        </w:tc>
        <w:tc>
          <w:tcPr>
            <w:tcW w:w="655" w:type="pct"/>
            <w:gridSpan w:val="2"/>
            <w:vMerge w:val="continue"/>
            <w:tcBorders>
              <w:tl2br w:val="nil"/>
              <w:tr2bl w:val="nil"/>
            </w:tcBorders>
            <w:vAlign w:val="center"/>
          </w:tcPr>
          <w:p w14:paraId="31C2CEB2">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firstLine="0" w:firstLineChars="0"/>
              <w:textAlignment w:val="auto"/>
              <w:rPr>
                <w:rFonts w:hint="default"/>
                <w:highlight w:val="none"/>
              </w:rPr>
            </w:pPr>
          </w:p>
        </w:tc>
        <w:tc>
          <w:tcPr>
            <w:tcW w:w="3516" w:type="pct"/>
            <w:tcBorders>
              <w:tl2br w:val="nil"/>
              <w:tr2bl w:val="nil"/>
            </w:tcBorders>
            <w:vAlign w:val="center"/>
          </w:tcPr>
          <w:p w14:paraId="68EEF280">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firstLine="0" w:firstLineChars="0"/>
              <w:textAlignment w:val="auto"/>
              <w:rPr>
                <w:rFonts w:hint="eastAsia"/>
                <w:highlight w:val="none"/>
                <w:lang w:val="en-US" w:eastAsia="zh-CN"/>
              </w:rPr>
            </w:pPr>
            <w:r>
              <w:rPr>
                <w:rFonts w:hint="default" w:ascii="Times New Roman" w:hAnsi="Times New Roman" w:eastAsia="宋体" w:cs="Times New Roman"/>
                <w:color w:val="auto"/>
                <w:sz w:val="21"/>
                <w:szCs w:val="21"/>
                <w:highlight w:val="none"/>
              </w:rPr>
              <w:t>本项目使用</w:t>
            </w:r>
            <w:r>
              <w:rPr>
                <w:rFonts w:hint="default" w:ascii="Times New Roman" w:hAnsi="Times New Roman" w:eastAsia="宋体" w:cs="Times New Roman"/>
                <w:bCs/>
                <w:color w:val="auto"/>
                <w:sz w:val="21"/>
                <w:szCs w:val="21"/>
                <w:highlight w:val="none"/>
              </w:rPr>
              <w:t>封口胶</w:t>
            </w:r>
            <w:r>
              <w:rPr>
                <w:rFonts w:hint="default" w:ascii="Times New Roman" w:hAnsi="Times New Roman" w:eastAsia="宋体" w:cs="Times New Roman"/>
                <w:color w:val="auto"/>
                <w:sz w:val="21"/>
                <w:szCs w:val="21"/>
                <w:highlight w:val="none"/>
              </w:rPr>
              <w:t>，均属于低VOCs含量的胶粘剂，从源头减少有机废气产生，物料储存于密闭容器内，物料输运密闭，厂房密闭减少挥发性有机物排放</w:t>
            </w:r>
          </w:p>
        </w:tc>
        <w:tc>
          <w:tcPr>
            <w:tcW w:w="444" w:type="pct"/>
            <w:tcBorders>
              <w:tl2br w:val="nil"/>
              <w:tr2bl w:val="nil"/>
            </w:tcBorders>
            <w:vAlign w:val="center"/>
          </w:tcPr>
          <w:p w14:paraId="79B71D50">
            <w:pPr>
              <w:pStyle w:val="8"/>
              <w:suppressLineNumbers w:val="0"/>
              <w:bidi w:val="0"/>
              <w:spacing w:before="0" w:beforeAutospacing="0" w:after="0" w:afterAutospacing="0"/>
              <w:ind w:left="0" w:right="0"/>
              <w:rPr>
                <w:rFonts w:hint="default"/>
                <w:highlight w:val="none"/>
              </w:rPr>
            </w:pPr>
          </w:p>
        </w:tc>
      </w:tr>
      <w:tr w14:paraId="431835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3" w:type="pct"/>
            <w:vMerge w:val="continue"/>
            <w:tcBorders>
              <w:tl2br w:val="nil"/>
              <w:tr2bl w:val="nil"/>
            </w:tcBorders>
            <w:vAlign w:val="center"/>
          </w:tcPr>
          <w:p w14:paraId="01361D8B">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p>
        </w:tc>
        <w:tc>
          <w:tcPr>
            <w:tcW w:w="655" w:type="pct"/>
            <w:gridSpan w:val="2"/>
            <w:tcBorders>
              <w:tl2br w:val="nil"/>
              <w:tr2bl w:val="nil"/>
            </w:tcBorders>
            <w:vAlign w:val="center"/>
          </w:tcPr>
          <w:p w14:paraId="0A7200E2">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firstLine="0" w:firstLineChars="0"/>
              <w:textAlignment w:val="auto"/>
              <w:rPr>
                <w:rFonts w:hint="eastAsia" w:eastAsia="宋体"/>
                <w:highlight w:val="none"/>
                <w:lang w:val="en-US" w:eastAsia="zh-CN"/>
              </w:rPr>
            </w:pPr>
            <w:r>
              <w:rPr>
                <w:rFonts w:hint="eastAsia"/>
                <w:highlight w:val="none"/>
                <w:lang w:val="en-US" w:eastAsia="zh-CN"/>
              </w:rPr>
              <w:t>废水</w:t>
            </w:r>
          </w:p>
        </w:tc>
        <w:tc>
          <w:tcPr>
            <w:tcW w:w="3516" w:type="pct"/>
            <w:tcBorders>
              <w:tl2br w:val="nil"/>
              <w:tr2bl w:val="nil"/>
            </w:tcBorders>
            <w:vAlign w:val="center"/>
          </w:tcPr>
          <w:p w14:paraId="748E1CF0">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本项目利用厂区现有排水系统。厂区排水采用分流制，分质处理排放</w:t>
            </w:r>
            <w:r>
              <w:rPr>
                <w:rFonts w:hint="eastAsia" w:ascii="Times New Roman" w:hAnsi="Times New Roman"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雨水经厂区雨水管排入市政干管。本项目不新增工作人员，不新增生活污水。本项目生产废水量相较于改造前</w:t>
            </w:r>
            <w:r>
              <w:rPr>
                <w:rFonts w:hint="eastAsia" w:eastAsia="宋体" w:cs="Times New Roman"/>
                <w:b w:val="0"/>
                <w:bCs w:val="0"/>
                <w:color w:val="auto"/>
                <w:sz w:val="21"/>
                <w:szCs w:val="21"/>
                <w:highlight w:val="none"/>
                <w:lang w:val="en-US" w:eastAsia="zh-CN"/>
              </w:rPr>
              <w:t>无变化</w:t>
            </w:r>
            <w:r>
              <w:rPr>
                <w:rFonts w:hint="default" w:ascii="Times New Roman" w:hAnsi="Times New Roman" w:eastAsia="宋体" w:cs="Times New Roman"/>
                <w:b w:val="0"/>
                <w:bCs w:val="0"/>
                <w:color w:val="auto"/>
                <w:sz w:val="21"/>
                <w:szCs w:val="21"/>
                <w:highlight w:val="none"/>
                <w:lang w:val="en-US" w:eastAsia="zh-CN"/>
              </w:rPr>
              <w:t>，生产废水主要为零件清洗产生的清洗液</w:t>
            </w:r>
            <w:r>
              <w:rPr>
                <w:rFonts w:hint="eastAsia" w:ascii="Times New Roman" w:hAnsi="Times New Roman" w:cs="Times New Roman"/>
                <w:b w:val="0"/>
                <w:bCs w:val="0"/>
                <w:color w:val="auto"/>
                <w:sz w:val="21"/>
                <w:szCs w:val="21"/>
                <w:highlight w:val="none"/>
                <w:lang w:val="en-US" w:eastAsia="zh-CN"/>
              </w:rPr>
              <w:t>废水</w:t>
            </w:r>
            <w:r>
              <w:rPr>
                <w:rFonts w:hint="default" w:ascii="Times New Roman" w:hAnsi="Times New Roman" w:eastAsia="宋体" w:cs="Times New Roman"/>
                <w:b w:val="0"/>
                <w:bCs w:val="0"/>
                <w:color w:val="auto"/>
                <w:sz w:val="21"/>
                <w:szCs w:val="21"/>
                <w:highlight w:val="none"/>
                <w:lang w:val="en-US" w:eastAsia="zh-CN"/>
              </w:rPr>
              <w:t>以及</w:t>
            </w:r>
            <w:r>
              <w:rPr>
                <w:rFonts w:hint="eastAsia" w:ascii="Times New Roman" w:hAnsi="Times New Roman" w:cs="Times New Roman"/>
                <w:b w:val="0"/>
                <w:bCs w:val="0"/>
                <w:color w:val="auto"/>
                <w:sz w:val="21"/>
                <w:szCs w:val="21"/>
                <w:highlight w:val="none"/>
                <w:lang w:val="en-US" w:eastAsia="zh-CN"/>
              </w:rPr>
              <w:t>切</w:t>
            </w:r>
            <w:r>
              <w:rPr>
                <w:rFonts w:hint="default" w:ascii="Times New Roman" w:hAnsi="Times New Roman" w:eastAsia="宋体" w:cs="Times New Roman"/>
                <w:b w:val="0"/>
                <w:bCs w:val="0"/>
                <w:color w:val="auto"/>
                <w:sz w:val="21"/>
                <w:szCs w:val="21"/>
                <w:highlight w:val="none"/>
                <w:lang w:val="en-US" w:eastAsia="zh-CN"/>
              </w:rPr>
              <w:t>削过程中产生的废</w:t>
            </w:r>
            <w:r>
              <w:rPr>
                <w:rFonts w:hint="eastAsia" w:ascii="Times New Roman" w:hAnsi="Times New Roman" w:cs="Times New Roman"/>
                <w:b w:val="0"/>
                <w:bCs w:val="0"/>
                <w:color w:val="auto"/>
                <w:sz w:val="21"/>
                <w:szCs w:val="21"/>
                <w:highlight w:val="none"/>
                <w:lang w:val="en-US" w:eastAsia="zh-CN"/>
              </w:rPr>
              <w:t>切削液</w:t>
            </w:r>
            <w:r>
              <w:rPr>
                <w:rFonts w:hint="default" w:ascii="Times New Roman" w:hAnsi="Times New Roman" w:eastAsia="宋体" w:cs="Times New Roman"/>
                <w:b w:val="0"/>
                <w:bCs w:val="0"/>
                <w:color w:val="auto"/>
                <w:sz w:val="21"/>
                <w:szCs w:val="21"/>
                <w:highlight w:val="none"/>
                <w:lang w:val="en-US" w:eastAsia="zh-CN"/>
              </w:rPr>
              <w:t>，</w:t>
            </w:r>
            <w:r>
              <w:rPr>
                <w:rFonts w:hint="eastAsia" w:ascii="Times New Roman" w:hAnsi="Times New Roman" w:cs="Times New Roman"/>
                <w:b w:val="0"/>
                <w:bCs w:val="0"/>
                <w:color w:val="auto"/>
                <w:sz w:val="21"/>
                <w:szCs w:val="21"/>
                <w:highlight w:val="none"/>
                <w:lang w:val="en-US" w:eastAsia="zh-CN"/>
              </w:rPr>
              <w:t>废切削液和清洗液废水间歇排放，</w:t>
            </w:r>
            <w:r>
              <w:rPr>
                <w:rFonts w:hint="default" w:ascii="Times New Roman" w:hAnsi="Times New Roman" w:eastAsia="宋体" w:cs="Times New Roman"/>
                <w:b w:val="0"/>
                <w:bCs w:val="0"/>
                <w:color w:val="auto"/>
                <w:sz w:val="21"/>
                <w:szCs w:val="21"/>
                <w:highlight w:val="none"/>
                <w:lang w:val="en-US" w:eastAsia="zh-CN"/>
              </w:rPr>
              <w:t>生产废水</w:t>
            </w:r>
            <w:r>
              <w:rPr>
                <w:rFonts w:hint="eastAsia" w:ascii="Times New Roman" w:hAnsi="Times New Roman" w:cs="Times New Roman"/>
                <w:b w:val="0"/>
                <w:bCs w:val="0"/>
                <w:color w:val="auto"/>
                <w:sz w:val="21"/>
                <w:szCs w:val="21"/>
                <w:highlight w:val="none"/>
                <w:lang w:val="en-US" w:eastAsia="zh-CN"/>
              </w:rPr>
              <w:t>经</w:t>
            </w:r>
            <w:r>
              <w:rPr>
                <w:rFonts w:hint="default" w:ascii="Times New Roman" w:hAnsi="Times New Roman" w:eastAsia="宋体" w:cs="Times New Roman"/>
                <w:b w:val="0"/>
                <w:bCs w:val="0"/>
                <w:color w:val="auto"/>
                <w:sz w:val="21"/>
                <w:szCs w:val="21"/>
                <w:highlight w:val="none"/>
                <w:lang w:val="en-US" w:eastAsia="zh-CN"/>
              </w:rPr>
              <w:t>4号厂房污水处理站排放的废水达到</w:t>
            </w:r>
            <w:r>
              <w:rPr>
                <w:rFonts w:hint="default" w:ascii="Times New Roman" w:hAnsi="Times New Roman" w:eastAsia="宋体" w:cs="Times New Roman"/>
                <w:b w:val="0"/>
                <w:bCs w:val="0"/>
                <w:color w:val="000000" w:themeColor="text1"/>
                <w:sz w:val="21"/>
                <w:szCs w:val="21"/>
                <w:highlight w:val="none"/>
                <w:lang w:val="en-US" w:eastAsia="zh-CN"/>
              </w:rPr>
              <w:t>《污水综合排放标准》（GB8978-1996）三级标准经市政管网进入</w:t>
            </w:r>
            <w:r>
              <w:rPr>
                <w:rFonts w:hint="eastAsia"/>
                <w:color w:val="000000" w:themeColor="text1"/>
                <w:highlight w:val="none"/>
                <w:vertAlign w:val="baseline"/>
                <w:lang w:val="en-US" w:eastAsia="zh-CN"/>
              </w:rPr>
              <w:t>哈尔滨市朝阳水质净化厂</w:t>
            </w:r>
            <w:r>
              <w:rPr>
                <w:rFonts w:hint="default" w:ascii="Times New Roman" w:hAnsi="Times New Roman" w:eastAsia="宋体" w:cs="Times New Roman"/>
                <w:b w:val="0"/>
                <w:bCs w:val="0"/>
                <w:color w:val="000000" w:themeColor="text1"/>
                <w:sz w:val="21"/>
                <w:szCs w:val="21"/>
                <w:highlight w:val="none"/>
                <w:lang w:val="en-US" w:eastAsia="zh-CN"/>
              </w:rPr>
              <w:t>，</w:t>
            </w:r>
            <w:r>
              <w:rPr>
                <w:rFonts w:hint="eastAsia" w:ascii="Times New Roman" w:hAnsi="Times New Roman" w:eastAsia="宋体" w:cs="Times New Roman"/>
                <w:b w:val="0"/>
                <w:bCs w:val="0"/>
                <w:color w:val="000000" w:themeColor="text1"/>
                <w:sz w:val="21"/>
                <w:szCs w:val="21"/>
                <w:highlight w:val="none"/>
                <w:lang w:val="en-US" w:eastAsia="zh-CN"/>
              </w:rPr>
              <w:t>处理后达到《城镇污水处理厂污染物排放标准》（GB18918-2002）中表1中一级A标准，排入</w:t>
            </w:r>
            <w:r>
              <w:rPr>
                <w:rFonts w:hint="eastAsia" w:eastAsia="宋体" w:cs="Times New Roman"/>
                <w:b w:val="0"/>
                <w:bCs w:val="0"/>
                <w:color w:val="000000" w:themeColor="text1"/>
                <w:sz w:val="21"/>
                <w:szCs w:val="21"/>
                <w:highlight w:val="none"/>
                <w:lang w:val="en-US" w:eastAsia="zh-CN"/>
              </w:rPr>
              <w:t>马家沟</w:t>
            </w:r>
            <w:r>
              <w:rPr>
                <w:rFonts w:hint="eastAsia" w:ascii="Times New Roman" w:hAnsi="Times New Roman" w:eastAsia="宋体" w:cs="Times New Roman"/>
                <w:b w:val="0"/>
                <w:bCs w:val="0"/>
                <w:color w:val="000000" w:themeColor="text1"/>
                <w:sz w:val="21"/>
                <w:szCs w:val="21"/>
                <w:highlight w:val="none"/>
                <w:lang w:val="en-US" w:eastAsia="zh-CN"/>
              </w:rPr>
              <w:t>河，最终汇入松花江</w:t>
            </w:r>
          </w:p>
        </w:tc>
        <w:tc>
          <w:tcPr>
            <w:tcW w:w="444" w:type="pct"/>
            <w:tcBorders>
              <w:tl2br w:val="nil"/>
              <w:tr2bl w:val="nil"/>
            </w:tcBorders>
            <w:vAlign w:val="center"/>
          </w:tcPr>
          <w:p w14:paraId="1E83589E">
            <w:pPr>
              <w:pStyle w:val="8"/>
              <w:suppressLineNumbers w:val="0"/>
              <w:bidi w:val="0"/>
              <w:spacing w:before="0" w:beforeAutospacing="0" w:after="0" w:afterAutospacing="0"/>
              <w:ind w:left="0" w:right="0"/>
              <w:rPr>
                <w:rFonts w:hint="default"/>
                <w:highlight w:val="none"/>
              </w:rPr>
            </w:pPr>
          </w:p>
        </w:tc>
      </w:tr>
      <w:tr w14:paraId="75EE84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3" w:type="pct"/>
            <w:vMerge w:val="continue"/>
            <w:tcBorders>
              <w:tl2br w:val="nil"/>
              <w:tr2bl w:val="nil"/>
            </w:tcBorders>
            <w:vAlign w:val="center"/>
          </w:tcPr>
          <w:p w14:paraId="5EB39D82">
            <w:pPr>
              <w:pStyle w:val="8"/>
              <w:suppressLineNumbers w:val="0"/>
              <w:bidi w:val="0"/>
              <w:spacing w:before="0" w:beforeAutospacing="0" w:after="0" w:afterAutospacing="0"/>
              <w:ind w:left="0" w:right="0"/>
              <w:rPr>
                <w:rFonts w:hint="default"/>
                <w:highlight w:val="none"/>
              </w:rPr>
            </w:pPr>
          </w:p>
        </w:tc>
        <w:tc>
          <w:tcPr>
            <w:tcW w:w="655" w:type="pct"/>
            <w:gridSpan w:val="2"/>
            <w:tcBorders>
              <w:tl2br w:val="nil"/>
              <w:tr2bl w:val="nil"/>
            </w:tcBorders>
            <w:vAlign w:val="center"/>
          </w:tcPr>
          <w:p w14:paraId="1E54AB96">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噪声</w:t>
            </w:r>
          </w:p>
        </w:tc>
        <w:tc>
          <w:tcPr>
            <w:tcW w:w="3516" w:type="pct"/>
            <w:tcBorders>
              <w:tl2br w:val="nil"/>
              <w:tr2bl w:val="nil"/>
            </w:tcBorders>
            <w:vAlign w:val="center"/>
          </w:tcPr>
          <w:p w14:paraId="1A2FE488">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选用低噪声设备，定期对设备进行维护，保证设备处于良好的运行状态；项目采用厂房隔声、基础减振等措施降低噪声</w:t>
            </w:r>
          </w:p>
        </w:tc>
        <w:tc>
          <w:tcPr>
            <w:tcW w:w="444" w:type="pct"/>
            <w:tcBorders>
              <w:tl2br w:val="nil"/>
              <w:tr2bl w:val="nil"/>
            </w:tcBorders>
            <w:vAlign w:val="center"/>
          </w:tcPr>
          <w:p w14:paraId="3F5A27E5">
            <w:pPr>
              <w:pStyle w:val="8"/>
              <w:suppressLineNumbers w:val="0"/>
              <w:bidi w:val="0"/>
              <w:spacing w:before="0" w:beforeAutospacing="0" w:after="0" w:afterAutospacing="0"/>
              <w:ind w:left="0" w:right="0"/>
              <w:rPr>
                <w:rFonts w:hint="default"/>
                <w:highlight w:val="none"/>
              </w:rPr>
            </w:pPr>
            <w:r>
              <w:rPr>
                <w:rFonts w:hint="default"/>
                <w:highlight w:val="none"/>
              </w:rPr>
              <w:t>新建</w:t>
            </w:r>
          </w:p>
        </w:tc>
      </w:tr>
      <w:tr w14:paraId="21DFD3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3" w:type="pct"/>
            <w:vMerge w:val="continue"/>
            <w:tcBorders>
              <w:tl2br w:val="nil"/>
              <w:tr2bl w:val="nil"/>
            </w:tcBorders>
            <w:vAlign w:val="center"/>
          </w:tcPr>
          <w:p w14:paraId="1DEBD718">
            <w:pPr>
              <w:pStyle w:val="8"/>
              <w:suppressLineNumbers w:val="0"/>
              <w:bidi w:val="0"/>
              <w:spacing w:before="0" w:beforeAutospacing="0" w:after="0" w:afterAutospacing="0"/>
              <w:ind w:left="0" w:right="0"/>
              <w:rPr>
                <w:rFonts w:hint="default"/>
                <w:highlight w:val="none"/>
              </w:rPr>
            </w:pPr>
          </w:p>
        </w:tc>
        <w:tc>
          <w:tcPr>
            <w:tcW w:w="655" w:type="pct"/>
            <w:gridSpan w:val="2"/>
            <w:vMerge w:val="restart"/>
            <w:tcBorders>
              <w:tl2br w:val="nil"/>
              <w:tr2bl w:val="nil"/>
            </w:tcBorders>
            <w:vAlign w:val="center"/>
          </w:tcPr>
          <w:p w14:paraId="7A784AB7">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eastAsia" w:eastAsia="宋体"/>
                <w:highlight w:val="none"/>
                <w:lang w:eastAsia="zh-CN"/>
              </w:rPr>
            </w:pPr>
            <w:r>
              <w:rPr>
                <w:rFonts w:hint="eastAsia"/>
                <w:highlight w:val="none"/>
                <w:lang w:val="en-US" w:eastAsia="zh-CN"/>
              </w:rPr>
              <w:t>固体废物</w:t>
            </w:r>
          </w:p>
        </w:tc>
        <w:tc>
          <w:tcPr>
            <w:tcW w:w="3516" w:type="pct"/>
            <w:tcBorders>
              <w:tl2br w:val="nil"/>
              <w:tr2bl w:val="nil"/>
            </w:tcBorders>
            <w:vAlign w:val="center"/>
          </w:tcPr>
          <w:p w14:paraId="25624832">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eastAsia"/>
                <w:highlight w:val="none"/>
                <w:lang w:val="en-US" w:eastAsia="zh-CN"/>
              </w:rPr>
              <w:t>不新增</w:t>
            </w:r>
            <w:r>
              <w:rPr>
                <w:rFonts w:hint="default"/>
                <w:highlight w:val="none"/>
              </w:rPr>
              <w:t>生活垃圾</w:t>
            </w:r>
          </w:p>
        </w:tc>
        <w:tc>
          <w:tcPr>
            <w:tcW w:w="444" w:type="pct"/>
            <w:tcBorders>
              <w:tl2br w:val="nil"/>
              <w:tr2bl w:val="nil"/>
            </w:tcBorders>
            <w:vAlign w:val="center"/>
          </w:tcPr>
          <w:p w14:paraId="47D82483">
            <w:pPr>
              <w:pStyle w:val="8"/>
              <w:suppressLineNumbers w:val="0"/>
              <w:bidi w:val="0"/>
              <w:spacing w:before="0" w:beforeAutospacing="0" w:after="0" w:afterAutospacing="0"/>
              <w:ind w:left="0" w:right="0"/>
              <w:rPr>
                <w:rFonts w:hint="default"/>
                <w:highlight w:val="none"/>
              </w:rPr>
            </w:pPr>
            <w:r>
              <w:rPr>
                <w:rFonts w:hint="default"/>
                <w:highlight w:val="none"/>
              </w:rPr>
              <w:t>新建</w:t>
            </w:r>
          </w:p>
        </w:tc>
      </w:tr>
      <w:tr w14:paraId="6838C6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3" w:type="pct"/>
            <w:vMerge w:val="continue"/>
            <w:tcBorders>
              <w:tl2br w:val="nil"/>
              <w:tr2bl w:val="nil"/>
            </w:tcBorders>
            <w:vAlign w:val="center"/>
          </w:tcPr>
          <w:p w14:paraId="3B1654BA">
            <w:pPr>
              <w:pStyle w:val="8"/>
              <w:suppressLineNumbers w:val="0"/>
              <w:bidi w:val="0"/>
              <w:spacing w:before="0" w:beforeAutospacing="0" w:after="0" w:afterAutospacing="0"/>
              <w:ind w:left="0" w:right="0"/>
              <w:rPr>
                <w:rFonts w:hint="default"/>
                <w:highlight w:val="none"/>
              </w:rPr>
            </w:pPr>
          </w:p>
        </w:tc>
        <w:tc>
          <w:tcPr>
            <w:tcW w:w="655" w:type="pct"/>
            <w:gridSpan w:val="2"/>
            <w:vMerge w:val="continue"/>
            <w:tcBorders>
              <w:tl2br w:val="nil"/>
              <w:tr2bl w:val="nil"/>
            </w:tcBorders>
            <w:vAlign w:val="center"/>
          </w:tcPr>
          <w:p w14:paraId="3611A4B6">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p>
        </w:tc>
        <w:tc>
          <w:tcPr>
            <w:tcW w:w="3516" w:type="pct"/>
            <w:tcBorders>
              <w:tl2br w:val="nil"/>
              <w:tr2bl w:val="nil"/>
            </w:tcBorders>
            <w:vAlign w:val="center"/>
          </w:tcPr>
          <w:p w14:paraId="5E8E16F3">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eastAsia" w:eastAsia="宋体"/>
                <w:color w:val="000000" w:themeColor="text1"/>
                <w:highlight w:val="none"/>
                <w:lang w:val="en-US" w:eastAsia="zh-CN"/>
              </w:rPr>
            </w:pPr>
            <w:r>
              <w:rPr>
                <w:rFonts w:hint="eastAsia"/>
                <w:color w:val="000000" w:themeColor="text1"/>
                <w:highlight w:val="none"/>
                <w:lang w:val="en-US" w:eastAsia="zh-CN"/>
              </w:rPr>
              <w:t>产品</w:t>
            </w:r>
            <w:r>
              <w:rPr>
                <w:rFonts w:hint="default"/>
                <w:color w:val="000000" w:themeColor="text1"/>
                <w:highlight w:val="none"/>
              </w:rPr>
              <w:t>金属屑</w:t>
            </w:r>
            <w:r>
              <w:rPr>
                <w:rFonts w:hint="eastAsia"/>
                <w:color w:val="000000" w:themeColor="text1"/>
                <w:highlight w:val="none"/>
                <w:lang w:val="en-US" w:eastAsia="zh-CN"/>
              </w:rPr>
              <w:t>块</w:t>
            </w:r>
            <w:r>
              <w:rPr>
                <w:rFonts w:hint="default"/>
                <w:color w:val="000000" w:themeColor="text1"/>
                <w:highlight w:val="none"/>
              </w:rPr>
              <w:t>产品金属块（除铝块外）优先交由哈尔滨东安动力股份有限公司黑色铸造厂使用，其余部分外售给有需求的金属冶炼厂作为下游企业原料使用</w:t>
            </w:r>
            <w:r>
              <w:rPr>
                <w:rFonts w:hint="eastAsia"/>
                <w:color w:val="000000" w:themeColor="text1"/>
                <w:highlight w:val="none"/>
                <w:lang w:eastAsia="zh-CN"/>
              </w:rPr>
              <w:t>。</w:t>
            </w:r>
          </w:p>
        </w:tc>
        <w:tc>
          <w:tcPr>
            <w:tcW w:w="444" w:type="pct"/>
            <w:tcBorders>
              <w:tl2br w:val="nil"/>
              <w:tr2bl w:val="nil"/>
            </w:tcBorders>
            <w:vAlign w:val="center"/>
          </w:tcPr>
          <w:p w14:paraId="247C00C6">
            <w:pPr>
              <w:pStyle w:val="8"/>
              <w:suppressLineNumbers w:val="0"/>
              <w:bidi w:val="0"/>
              <w:spacing w:before="0" w:beforeAutospacing="0" w:after="0" w:afterAutospacing="0"/>
              <w:ind w:left="0" w:right="0"/>
              <w:rPr>
                <w:rFonts w:hint="default"/>
                <w:highlight w:val="none"/>
              </w:rPr>
            </w:pPr>
            <w:r>
              <w:rPr>
                <w:rFonts w:hint="default"/>
                <w:highlight w:val="none"/>
              </w:rPr>
              <w:t>新建</w:t>
            </w:r>
          </w:p>
        </w:tc>
      </w:tr>
      <w:tr w14:paraId="5027D9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3" w:type="pct"/>
            <w:vMerge w:val="continue"/>
            <w:tcBorders>
              <w:tl2br w:val="nil"/>
              <w:tr2bl w:val="nil"/>
            </w:tcBorders>
            <w:vAlign w:val="center"/>
          </w:tcPr>
          <w:p w14:paraId="4747F45F">
            <w:pPr>
              <w:pStyle w:val="8"/>
              <w:suppressLineNumbers w:val="0"/>
              <w:bidi w:val="0"/>
              <w:spacing w:before="0" w:beforeAutospacing="0" w:after="0" w:afterAutospacing="0"/>
              <w:ind w:left="0" w:right="0"/>
              <w:rPr>
                <w:rFonts w:hint="default"/>
                <w:highlight w:val="none"/>
              </w:rPr>
            </w:pPr>
          </w:p>
        </w:tc>
        <w:tc>
          <w:tcPr>
            <w:tcW w:w="655" w:type="pct"/>
            <w:gridSpan w:val="2"/>
            <w:vMerge w:val="continue"/>
            <w:tcBorders>
              <w:tl2br w:val="nil"/>
              <w:tr2bl w:val="nil"/>
            </w:tcBorders>
            <w:vAlign w:val="center"/>
          </w:tcPr>
          <w:p w14:paraId="1B71E3A3">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p>
        </w:tc>
        <w:tc>
          <w:tcPr>
            <w:tcW w:w="3516" w:type="pct"/>
            <w:tcBorders>
              <w:tl2br w:val="nil"/>
              <w:tr2bl w:val="nil"/>
            </w:tcBorders>
            <w:vAlign w:val="center"/>
          </w:tcPr>
          <w:p w14:paraId="30A2E401">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eastAsia"/>
                <w:color w:val="000000" w:themeColor="text1"/>
                <w:highlight w:val="none"/>
                <w:lang w:val="en-US" w:eastAsia="zh-CN"/>
              </w:rPr>
            </w:pPr>
            <w:r>
              <w:rPr>
                <w:rFonts w:hint="eastAsia"/>
                <w:color w:val="000000" w:themeColor="text1"/>
                <w:highlight w:val="none"/>
                <w:vertAlign w:val="baseline"/>
                <w:lang w:val="en-US" w:eastAsia="zh-CN"/>
              </w:rPr>
              <w:t>废切削液经过切削液循环系统集中报废后与废油一同定期委托黑龙江红森林环保科技有限责任公司处置</w:t>
            </w:r>
          </w:p>
        </w:tc>
        <w:tc>
          <w:tcPr>
            <w:tcW w:w="444" w:type="pct"/>
            <w:tcBorders>
              <w:tl2br w:val="nil"/>
              <w:tr2bl w:val="nil"/>
            </w:tcBorders>
            <w:vAlign w:val="center"/>
          </w:tcPr>
          <w:p w14:paraId="0028C6AE">
            <w:pPr>
              <w:pStyle w:val="8"/>
              <w:suppressLineNumbers w:val="0"/>
              <w:bidi w:val="0"/>
              <w:spacing w:before="0" w:beforeAutospacing="0" w:after="0" w:afterAutospacing="0"/>
              <w:ind w:left="0" w:right="0"/>
              <w:rPr>
                <w:rFonts w:hint="default"/>
                <w:highlight w:val="none"/>
              </w:rPr>
            </w:pPr>
          </w:p>
        </w:tc>
      </w:tr>
      <w:tr w14:paraId="4A611A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3" w:type="pct"/>
            <w:vMerge w:val="continue"/>
            <w:tcBorders>
              <w:tl2br w:val="nil"/>
              <w:tr2bl w:val="nil"/>
            </w:tcBorders>
            <w:vAlign w:val="center"/>
          </w:tcPr>
          <w:p w14:paraId="3D3FCAD8">
            <w:pPr>
              <w:pStyle w:val="8"/>
              <w:suppressLineNumbers w:val="0"/>
              <w:bidi w:val="0"/>
              <w:spacing w:before="0" w:beforeAutospacing="0" w:after="0" w:afterAutospacing="0"/>
              <w:ind w:left="0" w:right="0"/>
              <w:rPr>
                <w:rFonts w:hint="default"/>
                <w:highlight w:val="none"/>
              </w:rPr>
            </w:pPr>
          </w:p>
        </w:tc>
        <w:tc>
          <w:tcPr>
            <w:tcW w:w="655" w:type="pct"/>
            <w:gridSpan w:val="2"/>
            <w:vMerge w:val="continue"/>
            <w:tcBorders>
              <w:tl2br w:val="nil"/>
              <w:tr2bl w:val="nil"/>
            </w:tcBorders>
            <w:vAlign w:val="center"/>
          </w:tcPr>
          <w:p w14:paraId="241EC519">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p>
        </w:tc>
        <w:tc>
          <w:tcPr>
            <w:tcW w:w="3516" w:type="pct"/>
            <w:tcBorders>
              <w:tl2br w:val="nil"/>
              <w:tr2bl w:val="nil"/>
            </w:tcBorders>
            <w:vAlign w:val="center"/>
          </w:tcPr>
          <w:p w14:paraId="335BA4CD">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eastAsia"/>
                <w:color w:val="000000" w:themeColor="text1"/>
                <w:highlight w:val="none"/>
                <w:lang w:val="en-US" w:eastAsia="zh-CN"/>
              </w:rPr>
            </w:pPr>
            <w:r>
              <w:rPr>
                <w:rFonts w:hint="eastAsia"/>
                <w:color w:val="000000" w:themeColor="text1"/>
                <w:highlight w:val="none"/>
                <w:lang w:val="en-US" w:eastAsia="zh-CN"/>
              </w:rPr>
              <w:t>化学品包装桶</w:t>
            </w:r>
            <w:r>
              <w:rPr>
                <w:rFonts w:hint="eastAsia"/>
                <w:color w:val="000000" w:themeColor="text1"/>
                <w:highlight w:val="none"/>
                <w:vertAlign w:val="baseline"/>
                <w:lang w:val="en-US" w:eastAsia="zh-CN"/>
              </w:rPr>
              <w:t>经密闭收集包装后，暂存于危险废贮存点内，定期委托黑龙江文武环保科技有限责任公司处置</w:t>
            </w:r>
          </w:p>
        </w:tc>
        <w:tc>
          <w:tcPr>
            <w:tcW w:w="444" w:type="pct"/>
            <w:tcBorders>
              <w:tl2br w:val="nil"/>
              <w:tr2bl w:val="nil"/>
            </w:tcBorders>
            <w:vAlign w:val="center"/>
          </w:tcPr>
          <w:p w14:paraId="2090CED8">
            <w:pPr>
              <w:pStyle w:val="8"/>
              <w:suppressLineNumbers w:val="0"/>
              <w:bidi w:val="0"/>
              <w:spacing w:before="0" w:beforeAutospacing="0" w:after="0" w:afterAutospacing="0"/>
              <w:ind w:left="0" w:right="0"/>
              <w:rPr>
                <w:rFonts w:hint="default"/>
                <w:highlight w:val="none"/>
              </w:rPr>
            </w:pPr>
          </w:p>
        </w:tc>
      </w:tr>
      <w:tr w14:paraId="6E38AF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3" w:type="pct"/>
            <w:vMerge w:val="continue"/>
            <w:tcBorders>
              <w:tl2br w:val="nil"/>
              <w:tr2bl w:val="nil"/>
            </w:tcBorders>
            <w:vAlign w:val="center"/>
          </w:tcPr>
          <w:p w14:paraId="16A19330">
            <w:pPr>
              <w:pStyle w:val="8"/>
              <w:suppressLineNumbers w:val="0"/>
              <w:bidi w:val="0"/>
              <w:spacing w:before="0" w:beforeAutospacing="0" w:after="0" w:afterAutospacing="0"/>
              <w:ind w:left="0" w:right="0"/>
              <w:rPr>
                <w:rFonts w:hint="default"/>
                <w:highlight w:val="none"/>
              </w:rPr>
            </w:pPr>
          </w:p>
        </w:tc>
        <w:tc>
          <w:tcPr>
            <w:tcW w:w="655" w:type="pct"/>
            <w:gridSpan w:val="2"/>
            <w:vMerge w:val="continue"/>
            <w:tcBorders>
              <w:tl2br w:val="nil"/>
              <w:tr2bl w:val="nil"/>
            </w:tcBorders>
            <w:vAlign w:val="center"/>
          </w:tcPr>
          <w:p w14:paraId="6489FCB6">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p>
        </w:tc>
        <w:tc>
          <w:tcPr>
            <w:tcW w:w="3516" w:type="pct"/>
            <w:tcBorders>
              <w:tl2br w:val="nil"/>
              <w:tr2bl w:val="nil"/>
            </w:tcBorders>
            <w:vAlign w:val="center"/>
          </w:tcPr>
          <w:p w14:paraId="1E18BE6B">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eastAsia"/>
                <w:color w:val="000000" w:themeColor="text1"/>
                <w:highlight w:val="none"/>
                <w:lang w:val="en-US" w:eastAsia="zh-CN"/>
              </w:rPr>
            </w:pPr>
            <w:r>
              <w:rPr>
                <w:rFonts w:hint="eastAsia"/>
                <w:color w:val="000000" w:themeColor="text1"/>
                <w:highlight w:val="none"/>
                <w:vertAlign w:val="baseline"/>
                <w:lang w:val="en-US" w:eastAsia="zh-CN"/>
              </w:rPr>
              <w:t>珩磨油泥经密闭收集包装后，暂存于危险废贮存点内，定期委托黑龙江京盛华环保科技有限公司处置</w:t>
            </w:r>
          </w:p>
        </w:tc>
        <w:tc>
          <w:tcPr>
            <w:tcW w:w="444" w:type="pct"/>
            <w:tcBorders>
              <w:tl2br w:val="nil"/>
              <w:tr2bl w:val="nil"/>
            </w:tcBorders>
            <w:vAlign w:val="center"/>
          </w:tcPr>
          <w:p w14:paraId="65B5A36B">
            <w:pPr>
              <w:pStyle w:val="8"/>
              <w:suppressLineNumbers w:val="0"/>
              <w:bidi w:val="0"/>
              <w:spacing w:before="0" w:beforeAutospacing="0" w:after="0" w:afterAutospacing="0"/>
              <w:ind w:left="0" w:right="0"/>
              <w:rPr>
                <w:rFonts w:hint="default"/>
                <w:highlight w:val="none"/>
              </w:rPr>
            </w:pPr>
          </w:p>
        </w:tc>
      </w:tr>
      <w:tr w14:paraId="3366E8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3" w:type="pct"/>
            <w:vMerge w:val="continue"/>
            <w:tcBorders>
              <w:tl2br w:val="nil"/>
              <w:tr2bl w:val="nil"/>
            </w:tcBorders>
            <w:vAlign w:val="center"/>
          </w:tcPr>
          <w:p w14:paraId="4C394816">
            <w:pPr>
              <w:pStyle w:val="8"/>
              <w:suppressLineNumbers w:val="0"/>
              <w:bidi w:val="0"/>
              <w:spacing w:before="0" w:beforeAutospacing="0" w:after="0" w:afterAutospacing="0"/>
              <w:ind w:left="0" w:right="0"/>
              <w:rPr>
                <w:rFonts w:hint="default"/>
                <w:highlight w:val="none"/>
              </w:rPr>
            </w:pPr>
          </w:p>
        </w:tc>
        <w:tc>
          <w:tcPr>
            <w:tcW w:w="655" w:type="pct"/>
            <w:gridSpan w:val="2"/>
            <w:vMerge w:val="continue"/>
            <w:tcBorders>
              <w:tl2br w:val="nil"/>
              <w:tr2bl w:val="nil"/>
            </w:tcBorders>
            <w:vAlign w:val="center"/>
          </w:tcPr>
          <w:p w14:paraId="7AFC91C2">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p>
        </w:tc>
        <w:tc>
          <w:tcPr>
            <w:tcW w:w="3516" w:type="pct"/>
            <w:tcBorders>
              <w:tl2br w:val="nil"/>
              <w:tr2bl w:val="nil"/>
            </w:tcBorders>
            <w:vAlign w:val="center"/>
          </w:tcPr>
          <w:p w14:paraId="069BD648">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eastAsia"/>
                <w:color w:val="000000" w:themeColor="text1"/>
                <w:highlight w:val="none"/>
                <w:lang w:val="en-US" w:eastAsia="zh-CN"/>
              </w:rPr>
            </w:pPr>
            <w:r>
              <w:rPr>
                <w:rFonts w:hint="eastAsia"/>
                <w:color w:val="000000" w:themeColor="text1"/>
                <w:highlight w:val="none"/>
                <w:vertAlign w:val="baseline"/>
                <w:lang w:val="en-US" w:eastAsia="zh-CN"/>
              </w:rPr>
              <w:t>含油抹布、废手套、废活性炭和废过滤材料经密闭收集包装后，暂存于危险废贮存点内，定期委托黑龙江京盛华环保科技有限公司处置</w:t>
            </w:r>
          </w:p>
        </w:tc>
        <w:tc>
          <w:tcPr>
            <w:tcW w:w="444" w:type="pct"/>
            <w:tcBorders>
              <w:tl2br w:val="nil"/>
              <w:tr2bl w:val="nil"/>
            </w:tcBorders>
            <w:vAlign w:val="center"/>
          </w:tcPr>
          <w:p w14:paraId="490B049B">
            <w:pPr>
              <w:pStyle w:val="8"/>
              <w:suppressLineNumbers w:val="0"/>
              <w:bidi w:val="0"/>
              <w:spacing w:before="0" w:beforeAutospacing="0" w:after="0" w:afterAutospacing="0"/>
              <w:ind w:left="0" w:right="0"/>
              <w:rPr>
                <w:rFonts w:hint="default"/>
                <w:highlight w:val="none"/>
              </w:rPr>
            </w:pPr>
          </w:p>
        </w:tc>
      </w:tr>
      <w:tr w14:paraId="21CE5C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3" w:type="pct"/>
            <w:vMerge w:val="continue"/>
            <w:tcBorders>
              <w:tl2br w:val="nil"/>
              <w:tr2bl w:val="nil"/>
            </w:tcBorders>
            <w:vAlign w:val="center"/>
          </w:tcPr>
          <w:p w14:paraId="2158A3C3">
            <w:pPr>
              <w:pStyle w:val="8"/>
              <w:suppressLineNumbers w:val="0"/>
              <w:bidi w:val="0"/>
              <w:spacing w:before="0" w:beforeAutospacing="0" w:after="0" w:afterAutospacing="0"/>
              <w:ind w:left="0" w:right="0"/>
              <w:rPr>
                <w:rFonts w:hint="default"/>
                <w:highlight w:val="none"/>
              </w:rPr>
            </w:pPr>
          </w:p>
        </w:tc>
        <w:tc>
          <w:tcPr>
            <w:tcW w:w="655" w:type="pct"/>
            <w:gridSpan w:val="2"/>
            <w:vMerge w:val="continue"/>
            <w:tcBorders>
              <w:tl2br w:val="nil"/>
              <w:tr2bl w:val="nil"/>
            </w:tcBorders>
            <w:vAlign w:val="center"/>
          </w:tcPr>
          <w:p w14:paraId="5BFCB6DA">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p>
        </w:tc>
        <w:tc>
          <w:tcPr>
            <w:tcW w:w="3516" w:type="pct"/>
            <w:tcBorders>
              <w:tl2br w:val="nil"/>
              <w:tr2bl w:val="nil"/>
            </w:tcBorders>
            <w:vAlign w:val="center"/>
          </w:tcPr>
          <w:p w14:paraId="183E7A8B">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eastAsia"/>
                <w:color w:val="000000" w:themeColor="text1"/>
                <w:highlight w:val="none"/>
                <w:lang w:val="en-US" w:eastAsia="zh-CN"/>
              </w:rPr>
            </w:pPr>
            <w:r>
              <w:rPr>
                <w:rFonts w:hint="eastAsia"/>
                <w:color w:val="000000" w:themeColor="text1"/>
                <w:highlight w:val="none"/>
                <w:vertAlign w:val="baseline"/>
                <w:lang w:val="en-US" w:eastAsia="zh-CN"/>
              </w:rPr>
              <w:t>废机油经密闭收集包装后，暂存于危险废贮存点内，定期委托大庆圣德雷特化工有限公司处置</w:t>
            </w:r>
          </w:p>
        </w:tc>
        <w:tc>
          <w:tcPr>
            <w:tcW w:w="444" w:type="pct"/>
            <w:tcBorders>
              <w:tl2br w:val="nil"/>
              <w:tr2bl w:val="nil"/>
            </w:tcBorders>
            <w:vAlign w:val="center"/>
          </w:tcPr>
          <w:p w14:paraId="12A456BE">
            <w:pPr>
              <w:pStyle w:val="8"/>
              <w:suppressLineNumbers w:val="0"/>
              <w:bidi w:val="0"/>
              <w:spacing w:before="0" w:beforeAutospacing="0" w:after="0" w:afterAutospacing="0"/>
              <w:ind w:left="0" w:right="0"/>
              <w:rPr>
                <w:rFonts w:hint="default"/>
                <w:highlight w:val="none"/>
              </w:rPr>
            </w:pPr>
          </w:p>
        </w:tc>
      </w:tr>
      <w:tr w14:paraId="5B7FB8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3" w:type="pct"/>
            <w:vMerge w:val="continue"/>
            <w:tcBorders>
              <w:tl2br w:val="nil"/>
              <w:tr2bl w:val="nil"/>
            </w:tcBorders>
            <w:vAlign w:val="center"/>
          </w:tcPr>
          <w:p w14:paraId="3C23EC9E">
            <w:pPr>
              <w:pStyle w:val="8"/>
              <w:suppressLineNumbers w:val="0"/>
              <w:bidi w:val="0"/>
              <w:spacing w:before="0" w:beforeAutospacing="0" w:after="0" w:afterAutospacing="0"/>
              <w:ind w:left="0" w:right="0"/>
              <w:rPr>
                <w:rFonts w:hint="default"/>
                <w:highlight w:val="none"/>
              </w:rPr>
            </w:pPr>
          </w:p>
        </w:tc>
        <w:tc>
          <w:tcPr>
            <w:tcW w:w="655" w:type="pct"/>
            <w:gridSpan w:val="2"/>
            <w:vMerge w:val="continue"/>
            <w:tcBorders>
              <w:tl2br w:val="nil"/>
              <w:tr2bl w:val="nil"/>
            </w:tcBorders>
            <w:vAlign w:val="center"/>
          </w:tcPr>
          <w:p w14:paraId="6D7E7B0F">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p>
        </w:tc>
        <w:tc>
          <w:tcPr>
            <w:tcW w:w="3516" w:type="pct"/>
            <w:tcBorders>
              <w:tl2br w:val="nil"/>
              <w:tr2bl w:val="nil"/>
            </w:tcBorders>
            <w:vAlign w:val="center"/>
          </w:tcPr>
          <w:p w14:paraId="7D913DD9">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eastAsia"/>
                <w:color w:val="000000" w:themeColor="text1"/>
                <w:highlight w:val="none"/>
                <w:lang w:val="en-US" w:eastAsia="zh-CN"/>
              </w:rPr>
            </w:pPr>
            <w:r>
              <w:rPr>
                <w:rFonts w:hint="eastAsia"/>
                <w:color w:val="000000" w:themeColor="text1"/>
                <w:highlight w:val="none"/>
                <w:vertAlign w:val="baseline"/>
                <w:lang w:val="en-US" w:eastAsia="zh-CN"/>
              </w:rPr>
              <w:t>废胶经密封包装后，暂存于危险废贮存点内，定期委托黑龙江京盛华环保科技有限公司处置</w:t>
            </w:r>
          </w:p>
        </w:tc>
        <w:tc>
          <w:tcPr>
            <w:tcW w:w="444" w:type="pct"/>
            <w:tcBorders>
              <w:tl2br w:val="nil"/>
              <w:tr2bl w:val="nil"/>
            </w:tcBorders>
            <w:vAlign w:val="center"/>
          </w:tcPr>
          <w:p w14:paraId="69947E8F">
            <w:pPr>
              <w:pStyle w:val="8"/>
              <w:suppressLineNumbers w:val="0"/>
              <w:bidi w:val="0"/>
              <w:spacing w:before="0" w:beforeAutospacing="0" w:after="0" w:afterAutospacing="0"/>
              <w:ind w:left="0" w:right="0"/>
              <w:rPr>
                <w:rFonts w:hint="default"/>
                <w:highlight w:val="none"/>
              </w:rPr>
            </w:pPr>
          </w:p>
        </w:tc>
      </w:tr>
      <w:tr w14:paraId="092935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3" w:type="pct"/>
            <w:vMerge w:val="continue"/>
            <w:tcBorders>
              <w:tl2br w:val="nil"/>
              <w:tr2bl w:val="nil"/>
            </w:tcBorders>
            <w:vAlign w:val="center"/>
          </w:tcPr>
          <w:p w14:paraId="16AA19D4">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p>
        </w:tc>
        <w:tc>
          <w:tcPr>
            <w:tcW w:w="655" w:type="pct"/>
            <w:gridSpan w:val="2"/>
            <w:tcBorders>
              <w:tl2br w:val="nil"/>
              <w:tr2bl w:val="nil"/>
            </w:tcBorders>
            <w:vAlign w:val="center"/>
          </w:tcPr>
          <w:p w14:paraId="7038BE93">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防渗</w:t>
            </w:r>
          </w:p>
          <w:p w14:paraId="4B598D11">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工程</w:t>
            </w:r>
          </w:p>
        </w:tc>
        <w:tc>
          <w:tcPr>
            <w:tcW w:w="3516" w:type="pct"/>
            <w:tcBorders>
              <w:tl2br w:val="nil"/>
              <w:tr2bl w:val="nil"/>
            </w:tcBorders>
            <w:vAlign w:val="center"/>
          </w:tcPr>
          <w:p w14:paraId="5E9AE18D">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eastAsia" w:eastAsia="宋体"/>
                <w:highlight w:val="none"/>
                <w:lang w:eastAsia="zh-CN"/>
              </w:rPr>
            </w:pPr>
            <w:r>
              <w:rPr>
                <w:rFonts w:hint="eastAsia" w:eastAsia="宋体" w:cs="Times New Roman"/>
                <w:b w:val="0"/>
                <w:bCs w:val="0"/>
                <w:color w:val="auto"/>
                <w:sz w:val="21"/>
                <w:szCs w:val="21"/>
                <w:highlight w:val="none"/>
                <w:lang w:val="en-US" w:eastAsia="zh-CN"/>
              </w:rPr>
              <w:t>2</w:t>
            </w:r>
            <w:r>
              <w:rPr>
                <w:rFonts w:hint="eastAsia" w:ascii="Times New Roman" w:hAnsi="Times New Roman" w:cs="Times New Roman"/>
                <w:b w:val="0"/>
                <w:bCs w:val="0"/>
                <w:color w:val="auto"/>
                <w:sz w:val="21"/>
                <w:szCs w:val="21"/>
                <w:highlight w:val="none"/>
                <w:lang w:val="en-US" w:eastAsia="zh-CN"/>
              </w:rPr>
              <w:t>号</w:t>
            </w:r>
            <w:r>
              <w:rPr>
                <w:rFonts w:hint="default" w:ascii="Times New Roman" w:hAnsi="Times New Roman" w:eastAsia="宋体" w:cs="Times New Roman"/>
                <w:b w:val="0"/>
                <w:bCs w:val="0"/>
                <w:color w:val="auto"/>
                <w:sz w:val="21"/>
                <w:szCs w:val="21"/>
                <w:highlight w:val="none"/>
                <w:lang w:val="en-US" w:eastAsia="zh-CN"/>
              </w:rPr>
              <w:t>厂房、</w:t>
            </w:r>
            <w:r>
              <w:rPr>
                <w:rFonts w:hint="eastAsia" w:eastAsia="宋体" w:cs="Times New Roman"/>
                <w:b w:val="0"/>
                <w:bCs w:val="0"/>
                <w:color w:val="auto"/>
                <w:sz w:val="21"/>
                <w:szCs w:val="21"/>
                <w:highlight w:val="none"/>
                <w:lang w:val="en-US" w:eastAsia="zh-CN"/>
              </w:rPr>
              <w:t>4</w:t>
            </w:r>
            <w:r>
              <w:rPr>
                <w:rFonts w:hint="eastAsia" w:ascii="Times New Roman" w:hAnsi="Times New Roman" w:cs="Times New Roman"/>
                <w:b w:val="0"/>
                <w:bCs w:val="0"/>
                <w:color w:val="auto"/>
                <w:sz w:val="21"/>
                <w:szCs w:val="21"/>
                <w:highlight w:val="none"/>
                <w:lang w:val="en-US" w:eastAsia="zh-CN"/>
              </w:rPr>
              <w:t>号</w:t>
            </w:r>
            <w:r>
              <w:rPr>
                <w:rFonts w:hint="default" w:ascii="Times New Roman" w:hAnsi="Times New Roman" w:eastAsia="宋体" w:cs="Times New Roman"/>
                <w:b w:val="0"/>
                <w:bCs w:val="0"/>
                <w:color w:val="auto"/>
                <w:sz w:val="21"/>
                <w:szCs w:val="21"/>
                <w:highlight w:val="none"/>
                <w:lang w:val="en-US" w:eastAsia="zh-CN"/>
              </w:rPr>
              <w:t>厂房采用一般防渗，地面采用</w:t>
            </w:r>
            <w:r>
              <w:rPr>
                <w:rFonts w:hint="default" w:ascii="Times New Roman" w:hAnsi="Times New Roman" w:eastAsia="宋体" w:cs="Times New Roman"/>
                <w:color w:val="auto"/>
                <w:kern w:val="0"/>
                <w:sz w:val="21"/>
                <w:szCs w:val="21"/>
                <w:highlight w:val="none"/>
              </w:rPr>
              <w:t>抗渗混凝土</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厚度150mm，抗渗等级P8，强度等级C25</w:t>
            </w:r>
            <w:r>
              <w:rPr>
                <w:rFonts w:hint="eastAsia" w:ascii="Times New Roman" w:hAnsi="Times New Roman" w:cs="Times New Roman"/>
                <w:color w:val="auto"/>
                <w:kern w:val="0"/>
                <w:sz w:val="21"/>
                <w:szCs w:val="21"/>
                <w:highlight w:val="none"/>
                <w:lang w:eastAsia="zh-CN"/>
              </w:rPr>
              <w:t>，</w:t>
            </w:r>
            <w:r>
              <w:rPr>
                <w:rFonts w:hint="eastAsia" w:ascii="Times New Roman" w:hAnsi="Times New Roman" w:eastAsia="宋体" w:cs="Times New Roman"/>
                <w:color w:val="auto"/>
                <w:sz w:val="21"/>
                <w:szCs w:val="21"/>
                <w:highlight w:val="none"/>
              </w:rPr>
              <w:t>防渗技术要求</w:t>
            </w:r>
            <w:r>
              <w:rPr>
                <w:rFonts w:hint="eastAsia" w:ascii="Times New Roman" w:hAnsi="Times New Roman" w:cs="Times New Roman"/>
                <w:color w:val="auto"/>
                <w:sz w:val="21"/>
                <w:szCs w:val="21"/>
                <w:highlight w:val="none"/>
                <w:lang w:eastAsia="zh-CN"/>
              </w:rPr>
              <w:t>满足</w:t>
            </w:r>
            <w:r>
              <w:rPr>
                <w:rFonts w:hint="eastAsia" w:ascii="Times New Roman" w:hAnsi="Times New Roman" w:eastAsia="宋体" w:cs="Times New Roman"/>
                <w:color w:val="auto"/>
                <w:sz w:val="21"/>
                <w:szCs w:val="21"/>
                <w:highlight w:val="none"/>
              </w:rPr>
              <w:t>：等效黏土防渗层厚度Mb≥</w:t>
            </w:r>
            <w:r>
              <w:rPr>
                <w:rFonts w:hint="eastAsia" w:ascii="Times New Roman" w:hAnsi="Times New Roman" w:cs="Times New Roman"/>
                <w:color w:val="auto"/>
                <w:sz w:val="21"/>
                <w:szCs w:val="21"/>
                <w:highlight w:val="none"/>
                <w:lang w:val="en-US" w:eastAsia="zh-CN"/>
              </w:rPr>
              <w:t>1.5</w:t>
            </w:r>
            <w:r>
              <w:rPr>
                <w:rFonts w:hint="eastAsia" w:ascii="Times New Roman" w:hAnsi="Times New Roman" w:eastAsia="宋体" w:cs="Times New Roman"/>
                <w:color w:val="auto"/>
                <w:sz w:val="21"/>
                <w:szCs w:val="21"/>
                <w:highlight w:val="none"/>
              </w:rPr>
              <w:t>m，渗透系数K≤1.0×10</w:t>
            </w:r>
            <w:r>
              <w:rPr>
                <w:rFonts w:hint="eastAsia" w:ascii="Times New Roman" w:hAnsi="Times New Roman" w:eastAsia="宋体" w:cs="Times New Roman"/>
                <w:color w:val="auto"/>
                <w:sz w:val="21"/>
                <w:szCs w:val="21"/>
                <w:highlight w:val="none"/>
                <w:vertAlign w:val="superscript"/>
              </w:rPr>
              <w:t>-7</w:t>
            </w:r>
            <w:r>
              <w:rPr>
                <w:rFonts w:hint="eastAsia" w:ascii="Times New Roman" w:hAnsi="Times New Roman" w:eastAsia="宋体" w:cs="Times New Roman"/>
                <w:color w:val="auto"/>
                <w:sz w:val="21"/>
                <w:szCs w:val="21"/>
                <w:highlight w:val="none"/>
              </w:rPr>
              <w:t>cm/s</w:t>
            </w:r>
            <w:r>
              <w:rPr>
                <w:rFonts w:hint="default" w:ascii="Times New Roman" w:hAnsi="Times New Roman" w:eastAsia="宋体" w:cs="Times New Roman"/>
                <w:b w:val="0"/>
                <w:bCs w:val="0"/>
                <w:color w:val="auto"/>
                <w:sz w:val="21"/>
                <w:szCs w:val="21"/>
                <w:highlight w:val="none"/>
                <w:lang w:val="en-US" w:eastAsia="zh-CN"/>
              </w:rPr>
              <w:t>；</w:t>
            </w:r>
            <w:r>
              <w:rPr>
                <w:rFonts w:hint="eastAsia" w:eastAsia="宋体" w:cs="Times New Roman"/>
                <w:b w:val="0"/>
                <w:bCs/>
                <w:color w:val="auto"/>
                <w:kern w:val="21"/>
                <w:sz w:val="21"/>
                <w:szCs w:val="21"/>
                <w:highlight w:val="none"/>
                <w:lang w:val="en-US" w:eastAsia="zh-CN"/>
              </w:rPr>
              <w:t>含油金属屑生产线所在厂房</w:t>
            </w:r>
            <w:r>
              <w:rPr>
                <w:rFonts w:hint="eastAsia" w:ascii="Times New Roman" w:hAnsi="Times New Roman" w:eastAsia="宋体" w:cs="Times New Roman"/>
                <w:b w:val="0"/>
                <w:bCs/>
                <w:color w:val="auto"/>
                <w:kern w:val="21"/>
                <w:sz w:val="21"/>
                <w:szCs w:val="21"/>
                <w:highlight w:val="none"/>
              </w:rPr>
              <w:t>按照重点防渗建设，</w:t>
            </w:r>
            <w:r>
              <w:rPr>
                <w:rFonts w:hint="default" w:ascii="Times New Roman" w:hAnsi="Times New Roman" w:eastAsia="宋体" w:cs="Times New Roman"/>
                <w:b w:val="0"/>
                <w:bCs/>
                <w:color w:val="auto"/>
                <w:kern w:val="21"/>
                <w:sz w:val="21"/>
                <w:szCs w:val="21"/>
                <w:highlight w:val="none"/>
              </w:rPr>
              <w:t>地面自下而上为防护垫层+2mmHDPE膜+保护层+防渗水泥硬化，防渗系数≤1.0×10</w:t>
            </w:r>
            <w:r>
              <w:rPr>
                <w:rFonts w:hint="default" w:ascii="Times New Roman" w:hAnsi="Times New Roman" w:eastAsia="宋体" w:cs="Times New Roman"/>
                <w:b w:val="0"/>
                <w:bCs/>
                <w:color w:val="auto"/>
                <w:kern w:val="21"/>
                <w:sz w:val="21"/>
                <w:szCs w:val="21"/>
                <w:highlight w:val="none"/>
                <w:vertAlign w:val="superscript"/>
              </w:rPr>
              <w:t>-10</w:t>
            </w:r>
            <w:r>
              <w:rPr>
                <w:rFonts w:hint="default" w:ascii="Times New Roman" w:hAnsi="Times New Roman" w:eastAsia="宋体" w:cs="Times New Roman"/>
                <w:b w:val="0"/>
                <w:bCs/>
                <w:color w:val="auto"/>
                <w:kern w:val="21"/>
                <w:sz w:val="21"/>
                <w:szCs w:val="21"/>
                <w:highlight w:val="none"/>
              </w:rPr>
              <w:t>cm/s</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lang w:val="en-US" w:eastAsia="zh-CN"/>
              </w:rPr>
              <w:t>厂区道路硬化。</w:t>
            </w:r>
          </w:p>
        </w:tc>
        <w:tc>
          <w:tcPr>
            <w:tcW w:w="444" w:type="pct"/>
            <w:tcBorders>
              <w:tl2br w:val="nil"/>
              <w:tr2bl w:val="nil"/>
            </w:tcBorders>
            <w:vAlign w:val="center"/>
          </w:tcPr>
          <w:p w14:paraId="22DB6D12">
            <w:pPr>
              <w:pStyle w:val="8"/>
              <w:suppressLineNumbers w:val="0"/>
              <w:bidi w:val="0"/>
              <w:spacing w:before="0" w:beforeAutospacing="0" w:after="0" w:afterAutospacing="0"/>
              <w:ind w:left="0" w:right="0"/>
              <w:rPr>
                <w:rFonts w:hint="default"/>
                <w:highlight w:val="none"/>
              </w:rPr>
            </w:pPr>
            <w:r>
              <w:rPr>
                <w:rFonts w:hint="default"/>
                <w:highlight w:val="none"/>
              </w:rPr>
              <w:t>新建</w:t>
            </w:r>
          </w:p>
        </w:tc>
      </w:tr>
      <w:tr w14:paraId="23EB3093">
        <w:tblPrEx>
          <w:tblBorders>
            <w:top w:val="single" w:color="auto" w:sz="12" w:space="0"/>
            <w:left w:val="none" w:color="auto" w:sz="0" w:space="0"/>
            <w:bottom w:val="single" w:color="auto" w:sz="12" w:space="0"/>
            <w:right w:val="none" w:color="auto" w:sz="0" w:space="0"/>
            <w:insideH w:val="none" w:color="auto" w:sz="0" w:space="0"/>
            <w:insideV w:val="single" w:color="auto" w:sz="2" w:space="0"/>
          </w:tblBorders>
          <w:tblCellMar>
            <w:top w:w="0" w:type="dxa"/>
            <w:left w:w="108" w:type="dxa"/>
            <w:bottom w:w="0" w:type="dxa"/>
            <w:right w:w="108" w:type="dxa"/>
          </w:tblCellMar>
        </w:tblPrEx>
        <w:trPr>
          <w:trHeight w:val="0" w:hRule="atLeast"/>
          <w:jc w:val="center"/>
        </w:trPr>
        <w:tc>
          <w:tcPr>
            <w:tcW w:w="383" w:type="pct"/>
            <w:vMerge w:val="restart"/>
            <w:tcBorders>
              <w:tl2br w:val="nil"/>
              <w:tr2bl w:val="nil"/>
            </w:tcBorders>
            <w:vAlign w:val="center"/>
          </w:tcPr>
          <w:p w14:paraId="340BC974">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依托工程</w:t>
            </w:r>
          </w:p>
        </w:tc>
        <w:tc>
          <w:tcPr>
            <w:tcW w:w="655" w:type="pct"/>
            <w:gridSpan w:val="2"/>
            <w:tcBorders>
              <w:bottom w:val="single" w:color="auto" w:sz="4" w:space="0"/>
              <w:tl2br w:val="nil"/>
              <w:tr2bl w:val="nil"/>
            </w:tcBorders>
            <w:vAlign w:val="center"/>
          </w:tcPr>
          <w:p w14:paraId="3140A091">
            <w:pPr>
              <w:pStyle w:val="8"/>
              <w:suppressLineNumbers w:val="0"/>
              <w:bidi w:val="0"/>
              <w:spacing w:before="0" w:beforeAutospacing="0" w:after="0" w:afterAutospacing="0"/>
              <w:ind w:left="0" w:right="0"/>
              <w:rPr>
                <w:rFonts w:hint="default" w:eastAsia="宋体"/>
                <w:highlight w:val="none"/>
                <w:lang w:val="en-US" w:eastAsia="zh-CN"/>
              </w:rPr>
            </w:pPr>
            <w:r>
              <w:rPr>
                <w:rFonts w:hint="eastAsia"/>
                <w:highlight w:val="none"/>
                <w:lang w:val="en-US" w:eastAsia="zh-CN"/>
              </w:rPr>
              <w:t>4号厂房污水处理站</w:t>
            </w:r>
          </w:p>
        </w:tc>
        <w:tc>
          <w:tcPr>
            <w:tcW w:w="3516" w:type="pct"/>
            <w:tcBorders>
              <w:bottom w:val="single" w:color="auto" w:sz="4" w:space="0"/>
              <w:tl2br w:val="nil"/>
              <w:tr2bl w:val="nil"/>
            </w:tcBorders>
            <w:vAlign w:val="center"/>
          </w:tcPr>
          <w:p w14:paraId="3DD02797">
            <w:pPr>
              <w:pStyle w:val="8"/>
              <w:suppressLineNumbers w:val="0"/>
              <w:bidi w:val="0"/>
              <w:spacing w:before="0" w:beforeAutospacing="0" w:after="0" w:afterAutospacing="0"/>
              <w:ind w:left="0" w:right="0"/>
              <w:jc w:val="center"/>
              <w:rPr>
                <w:rFonts w:hint="default" w:eastAsia="宋体"/>
                <w:highlight w:val="none"/>
                <w:lang w:val="en-US" w:eastAsia="zh-CN"/>
              </w:rPr>
            </w:pPr>
            <w:r>
              <w:rPr>
                <w:rFonts w:hint="eastAsia"/>
                <w:kern w:val="24"/>
                <w:highlight w:val="none"/>
                <w:lang w:val="en-US" w:eastAsia="zh-CN"/>
              </w:rPr>
              <w:t>4#厂房污水</w:t>
            </w:r>
            <w:r>
              <w:rPr>
                <w:rFonts w:hint="eastAsia" w:ascii="Times New Roman" w:hAnsi="Times New Roman"/>
                <w:kern w:val="24"/>
                <w:highlight w:val="none"/>
              </w:rPr>
              <w:t>处理站，处理能力为</w:t>
            </w:r>
            <w:r>
              <w:rPr>
                <w:rFonts w:hint="eastAsia"/>
                <w:kern w:val="24"/>
                <w:highlight w:val="none"/>
                <w:lang w:val="en-US" w:eastAsia="zh-CN"/>
              </w:rPr>
              <w:t>120</w:t>
            </w:r>
            <w:r>
              <w:rPr>
                <w:rFonts w:hint="eastAsia" w:ascii="Times New Roman" w:hAnsi="Times New Roman"/>
                <w:kern w:val="24"/>
                <w:highlight w:val="none"/>
              </w:rPr>
              <w:t>t/d，主要处理废切削液及清洗液废水，处理工艺为</w:t>
            </w:r>
            <w:r>
              <w:rPr>
                <w:rFonts w:hint="eastAsia" w:ascii="Times New Roman" w:hAnsi="Times New Roman"/>
                <w:highlight w:val="none"/>
              </w:rPr>
              <w:t>除胶、</w:t>
            </w:r>
            <w:r>
              <w:rPr>
                <w:rFonts w:hint="default" w:ascii="Times New Roman" w:hAnsi="Times New Roman"/>
                <w:highlight w:val="none"/>
              </w:rPr>
              <w:t>破乳、隔油、厌氧-缺氧、好氧、MBR膜池、污泥浓缩</w:t>
            </w:r>
            <w:r>
              <w:rPr>
                <w:rFonts w:hint="eastAsia" w:ascii="Times New Roman" w:hAnsi="Times New Roman"/>
                <w:highlight w:val="none"/>
              </w:rPr>
              <w:t>等工艺</w:t>
            </w:r>
            <w:r>
              <w:rPr>
                <w:rFonts w:hint="eastAsia" w:ascii="Times New Roman" w:hAnsi="Times New Roman"/>
                <w:kern w:val="24"/>
                <w:highlight w:val="none"/>
              </w:rPr>
              <w:t>，出水水质满足《污水综合排放标准》（GB8978-1996）表4中三级标准。</w:t>
            </w:r>
            <w:r>
              <w:rPr>
                <w:rFonts w:hint="eastAsia"/>
                <w:kern w:val="24"/>
                <w:highlight w:val="none"/>
                <w:lang w:val="en-US" w:eastAsia="zh-CN"/>
              </w:rPr>
              <w:t>根据企业2024年度执行报告，</w:t>
            </w:r>
            <w:r>
              <w:rPr>
                <w:rFonts w:hint="eastAsia" w:ascii="Times New Roman" w:hAnsi="Times New Roman"/>
                <w:kern w:val="24"/>
                <w:highlight w:val="none"/>
              </w:rPr>
              <w:t>目前处理水量约</w:t>
            </w:r>
            <w:r>
              <w:rPr>
                <w:rFonts w:hint="eastAsia"/>
                <w:kern w:val="24"/>
                <w:highlight w:val="none"/>
                <w:lang w:val="en-US" w:eastAsia="zh-CN"/>
              </w:rPr>
              <w:t>27.47</w:t>
            </w:r>
            <w:r>
              <w:rPr>
                <w:rFonts w:hint="eastAsia" w:ascii="Times New Roman" w:hAnsi="Times New Roman"/>
                <w:kern w:val="24"/>
                <w:highlight w:val="none"/>
              </w:rPr>
              <w:t>t/d，本项目</w:t>
            </w:r>
            <w:r>
              <w:rPr>
                <w:rFonts w:hint="eastAsia"/>
                <w:kern w:val="24"/>
                <w:highlight w:val="none"/>
                <w:lang w:val="en-US" w:eastAsia="zh-CN"/>
              </w:rPr>
              <w:t>改造后，不新增发动机产能</w:t>
            </w:r>
            <w:r>
              <w:rPr>
                <w:rFonts w:hint="eastAsia" w:ascii="Times New Roman" w:hAnsi="Times New Roman"/>
                <w:kern w:val="24"/>
                <w:highlight w:val="none"/>
              </w:rPr>
              <w:t>，</w:t>
            </w:r>
            <w:r>
              <w:rPr>
                <w:rFonts w:hint="eastAsia"/>
                <w:kern w:val="24"/>
                <w:highlight w:val="none"/>
                <w:lang w:val="en-US" w:eastAsia="zh-CN"/>
              </w:rPr>
              <w:t>不新增废水，且含油金属屑加工生产线不产生生产废水，废水排放量无变化，因此，依托</w:t>
            </w:r>
            <w:r>
              <w:rPr>
                <w:rFonts w:hint="eastAsia"/>
                <w:highlight w:val="none"/>
                <w:lang w:val="en-US" w:eastAsia="zh-CN"/>
              </w:rPr>
              <w:t>4号厂房污水处理站可行</w:t>
            </w:r>
            <w:r>
              <w:rPr>
                <w:rFonts w:hint="eastAsia" w:ascii="Times New Roman" w:hAnsi="Times New Roman"/>
                <w:kern w:val="24"/>
                <w:highlight w:val="none"/>
              </w:rPr>
              <w:t>。</w:t>
            </w:r>
          </w:p>
        </w:tc>
        <w:tc>
          <w:tcPr>
            <w:tcW w:w="444" w:type="pct"/>
            <w:tcBorders>
              <w:bottom w:val="single" w:color="auto" w:sz="4" w:space="0"/>
              <w:tl2br w:val="nil"/>
              <w:tr2bl w:val="nil"/>
            </w:tcBorders>
            <w:vAlign w:val="center"/>
          </w:tcPr>
          <w:p w14:paraId="30909113">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依托</w:t>
            </w:r>
          </w:p>
        </w:tc>
      </w:tr>
      <w:tr w14:paraId="7B9B6818">
        <w:tblPrEx>
          <w:tblBorders>
            <w:top w:val="single" w:color="auto" w:sz="12" w:space="0"/>
            <w:left w:val="none" w:color="auto" w:sz="0" w:space="0"/>
            <w:bottom w:val="single" w:color="auto" w:sz="12" w:space="0"/>
            <w:right w:val="none" w:color="auto" w:sz="0" w:space="0"/>
            <w:insideH w:val="none" w:color="auto" w:sz="0" w:space="0"/>
            <w:insideV w:val="single" w:color="auto" w:sz="2" w:space="0"/>
          </w:tblBorders>
          <w:tblCellMar>
            <w:top w:w="0" w:type="dxa"/>
            <w:left w:w="108" w:type="dxa"/>
            <w:bottom w:w="0" w:type="dxa"/>
            <w:right w:w="108" w:type="dxa"/>
          </w:tblCellMar>
        </w:tblPrEx>
        <w:trPr>
          <w:trHeight w:val="0" w:hRule="atLeast"/>
          <w:jc w:val="center"/>
        </w:trPr>
        <w:tc>
          <w:tcPr>
            <w:tcW w:w="383" w:type="pct"/>
            <w:vMerge w:val="continue"/>
            <w:tcBorders>
              <w:tl2br w:val="nil"/>
              <w:tr2bl w:val="nil"/>
            </w:tcBorders>
            <w:vAlign w:val="center"/>
          </w:tcPr>
          <w:p w14:paraId="2CDA23D8">
            <w:pPr>
              <w:pStyle w:val="8"/>
              <w:suppressLineNumbers w:val="0"/>
              <w:bidi w:val="0"/>
              <w:spacing w:before="0" w:beforeAutospacing="0" w:after="0" w:afterAutospacing="0"/>
              <w:ind w:left="0" w:right="0"/>
              <w:rPr>
                <w:rFonts w:hint="eastAsia"/>
                <w:highlight w:val="none"/>
                <w:lang w:val="en-US" w:eastAsia="zh-CN"/>
              </w:rPr>
            </w:pPr>
            <w:bookmarkStart w:id="243" w:name="_Toc11101"/>
            <w:bookmarkStart w:id="244" w:name="_Hlk479506277"/>
          </w:p>
        </w:tc>
        <w:tc>
          <w:tcPr>
            <w:tcW w:w="655" w:type="pct"/>
            <w:gridSpan w:val="2"/>
            <w:tcBorders>
              <w:bottom w:val="single" w:color="auto" w:sz="4" w:space="0"/>
              <w:tl2br w:val="nil"/>
              <w:tr2bl w:val="nil"/>
            </w:tcBorders>
            <w:vAlign w:val="center"/>
          </w:tcPr>
          <w:p w14:paraId="502F11B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储罐</w:t>
            </w:r>
          </w:p>
        </w:tc>
        <w:tc>
          <w:tcPr>
            <w:tcW w:w="3516" w:type="pct"/>
            <w:tcBorders>
              <w:bottom w:val="single" w:color="auto" w:sz="4" w:space="0"/>
              <w:tl2br w:val="nil"/>
              <w:tr2bl w:val="nil"/>
            </w:tcBorders>
            <w:vAlign w:val="center"/>
          </w:tcPr>
          <w:p w14:paraId="123A19A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highlight w:val="none"/>
                <w:lang w:val="en-US" w:eastAsia="zh-CN"/>
              </w:rPr>
            </w:pPr>
            <w:r>
              <w:rPr>
                <w:rFonts w:hint="eastAsia" w:eastAsia="宋体" w:cs="Times New Roman"/>
                <w:b w:val="0"/>
                <w:bCs w:val="0"/>
                <w:color w:val="auto"/>
                <w:sz w:val="21"/>
                <w:szCs w:val="21"/>
                <w:highlight w:val="none"/>
                <w:lang w:val="en-US" w:eastAsia="zh-CN"/>
              </w:rPr>
              <w:t>厂区</w:t>
            </w:r>
            <w:r>
              <w:rPr>
                <w:rFonts w:hint="default" w:ascii="Times New Roman" w:hAnsi="Times New Roman" w:eastAsia="宋体" w:cs="Times New Roman"/>
                <w:b w:val="0"/>
                <w:bCs w:val="0"/>
                <w:color w:val="auto"/>
                <w:sz w:val="21"/>
                <w:szCs w:val="21"/>
                <w:highlight w:val="none"/>
                <w:lang w:val="en-US" w:eastAsia="zh-CN"/>
              </w:rPr>
              <w:t>1号厂房北侧建有3个5m</w:t>
            </w:r>
            <w:r>
              <w:rPr>
                <w:rFonts w:hint="default" w:ascii="Times New Roman" w:hAnsi="Times New Roman" w:eastAsia="宋体" w:cs="Times New Roman"/>
                <w:b w:val="0"/>
                <w:bCs w:val="0"/>
                <w:color w:val="auto"/>
                <w:sz w:val="21"/>
                <w:szCs w:val="21"/>
                <w:highlight w:val="none"/>
                <w:vertAlign w:val="superscript"/>
                <w:lang w:val="en-US" w:eastAsia="zh-CN"/>
              </w:rPr>
              <w:t>3</w:t>
            </w:r>
            <w:r>
              <w:rPr>
                <w:rFonts w:hint="default" w:ascii="Times New Roman" w:hAnsi="Times New Roman" w:eastAsia="宋体" w:cs="Times New Roman"/>
                <w:b w:val="0"/>
                <w:bCs w:val="0"/>
                <w:color w:val="auto"/>
                <w:sz w:val="21"/>
                <w:szCs w:val="21"/>
                <w:highlight w:val="none"/>
                <w:lang w:val="en-US" w:eastAsia="zh-CN"/>
              </w:rPr>
              <w:t>汽油储罐</w:t>
            </w:r>
            <w:r>
              <w:rPr>
                <w:rFonts w:hint="eastAsia" w:eastAsia="宋体" w:cs="Times New Roman"/>
                <w:b w:val="0"/>
                <w:bCs w:val="0"/>
                <w:color w:val="auto"/>
                <w:sz w:val="21"/>
                <w:szCs w:val="21"/>
                <w:highlight w:val="none"/>
                <w:lang w:val="en-US" w:eastAsia="zh-CN"/>
              </w:rPr>
              <w:t>，本项目热试能力较改造前无变化，因此现有汽油储罐可满足本项目要求。</w:t>
            </w:r>
          </w:p>
        </w:tc>
        <w:tc>
          <w:tcPr>
            <w:tcW w:w="444" w:type="pct"/>
            <w:tcBorders>
              <w:bottom w:val="single" w:color="auto" w:sz="4" w:space="0"/>
              <w:tl2br w:val="nil"/>
              <w:tr2bl w:val="nil"/>
            </w:tcBorders>
            <w:vAlign w:val="center"/>
          </w:tcPr>
          <w:p w14:paraId="5FF91B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highlight w:val="none"/>
                <w:lang w:val="en-US" w:eastAsia="zh-CN"/>
              </w:rPr>
            </w:pPr>
          </w:p>
        </w:tc>
      </w:tr>
      <w:tr w14:paraId="4D0FD0D9">
        <w:tblPrEx>
          <w:tblBorders>
            <w:top w:val="single" w:color="auto" w:sz="12" w:space="0"/>
            <w:left w:val="none" w:color="auto" w:sz="0" w:space="0"/>
            <w:bottom w:val="single" w:color="auto" w:sz="12" w:space="0"/>
            <w:right w:val="none" w:color="auto" w:sz="0" w:space="0"/>
            <w:insideH w:val="none" w:color="auto" w:sz="0" w:space="0"/>
            <w:insideV w:val="single" w:color="auto" w:sz="2" w:space="0"/>
          </w:tblBorders>
          <w:tblCellMar>
            <w:top w:w="0" w:type="dxa"/>
            <w:left w:w="108" w:type="dxa"/>
            <w:bottom w:w="0" w:type="dxa"/>
            <w:right w:w="108" w:type="dxa"/>
          </w:tblCellMar>
        </w:tblPrEx>
        <w:trPr>
          <w:trHeight w:val="0" w:hRule="atLeast"/>
          <w:jc w:val="center"/>
        </w:trPr>
        <w:tc>
          <w:tcPr>
            <w:tcW w:w="383" w:type="pct"/>
            <w:vMerge w:val="continue"/>
            <w:tcBorders>
              <w:tl2br w:val="nil"/>
              <w:tr2bl w:val="nil"/>
            </w:tcBorders>
            <w:vAlign w:val="center"/>
          </w:tcPr>
          <w:p w14:paraId="226F9952">
            <w:pPr>
              <w:pStyle w:val="8"/>
              <w:suppressLineNumbers w:val="0"/>
              <w:bidi w:val="0"/>
              <w:spacing w:before="0" w:beforeAutospacing="0" w:after="0" w:afterAutospacing="0"/>
              <w:ind w:left="0" w:right="0"/>
              <w:rPr>
                <w:rFonts w:hint="eastAsia"/>
                <w:highlight w:val="none"/>
                <w:lang w:val="en-US" w:eastAsia="zh-CN"/>
              </w:rPr>
            </w:pPr>
          </w:p>
        </w:tc>
        <w:tc>
          <w:tcPr>
            <w:tcW w:w="655" w:type="pct"/>
            <w:gridSpan w:val="2"/>
            <w:tcBorders>
              <w:bottom w:val="single" w:color="auto" w:sz="4" w:space="0"/>
              <w:tl2br w:val="nil"/>
              <w:tr2bl w:val="nil"/>
            </w:tcBorders>
            <w:vAlign w:val="center"/>
          </w:tcPr>
          <w:p w14:paraId="4364E8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油料化学品库</w:t>
            </w:r>
          </w:p>
        </w:tc>
        <w:tc>
          <w:tcPr>
            <w:tcW w:w="3516" w:type="pct"/>
            <w:tcBorders>
              <w:bottom w:val="single" w:color="auto" w:sz="4" w:space="0"/>
              <w:tl2br w:val="nil"/>
              <w:tr2bl w:val="nil"/>
            </w:tcBorders>
            <w:vAlign w:val="center"/>
          </w:tcPr>
          <w:p w14:paraId="16B672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公司建有油料化学品储存库房，用于储存清洗剂、</w:t>
            </w:r>
            <w:r>
              <w:rPr>
                <w:rFonts w:hint="eastAsia" w:ascii="Times New Roman" w:hAnsi="Times New Roman" w:cs="Times New Roman"/>
                <w:b w:val="0"/>
                <w:bCs w:val="0"/>
                <w:color w:val="auto"/>
                <w:sz w:val="21"/>
                <w:szCs w:val="21"/>
                <w:highlight w:val="none"/>
                <w:lang w:val="en-US" w:eastAsia="zh-CN"/>
              </w:rPr>
              <w:t>切削液、封口胶</w:t>
            </w:r>
            <w:r>
              <w:rPr>
                <w:rFonts w:hint="default" w:ascii="Times New Roman" w:hAnsi="Times New Roman" w:eastAsia="宋体" w:cs="Times New Roman"/>
                <w:b w:val="0"/>
                <w:bCs w:val="0"/>
                <w:color w:val="auto"/>
                <w:sz w:val="21"/>
                <w:szCs w:val="21"/>
                <w:highlight w:val="none"/>
                <w:lang w:val="en-US" w:eastAsia="zh-CN"/>
              </w:rPr>
              <w:t>等。位于厂区东南处，建筑面积500m</w:t>
            </w:r>
            <w:r>
              <w:rPr>
                <w:rFonts w:hint="default" w:ascii="Times New Roman" w:hAnsi="Times New Roman" w:eastAsia="宋体" w:cs="Times New Roman"/>
                <w:b w:val="0"/>
                <w:bCs w:val="0"/>
                <w:color w:val="auto"/>
                <w:sz w:val="21"/>
                <w:szCs w:val="21"/>
                <w:highlight w:val="none"/>
                <w:vertAlign w:val="superscript"/>
                <w:lang w:val="en-US" w:eastAsia="zh-CN"/>
              </w:rPr>
              <w:t>2</w:t>
            </w:r>
            <w:r>
              <w:rPr>
                <w:rFonts w:hint="default" w:ascii="Times New Roman" w:hAnsi="Times New Roman" w:eastAsia="宋体" w:cs="Times New Roman"/>
                <w:b w:val="0"/>
                <w:bCs w:val="0"/>
                <w:color w:val="auto"/>
                <w:sz w:val="21"/>
                <w:szCs w:val="21"/>
                <w:highlight w:val="none"/>
                <w:lang w:val="en-US" w:eastAsia="zh-CN"/>
              </w:rPr>
              <w:t>，总储存能力</w:t>
            </w:r>
            <w:r>
              <w:rPr>
                <w:rFonts w:hint="eastAsia" w:ascii="Times New Roman" w:hAnsi="Times New Roman" w:cs="Times New Roman"/>
                <w:b w:val="0"/>
                <w:bCs w:val="0"/>
                <w:color w:val="auto"/>
                <w:sz w:val="21"/>
                <w:szCs w:val="21"/>
                <w:highlight w:val="none"/>
                <w:lang w:val="en-US" w:eastAsia="zh-CN"/>
              </w:rPr>
              <w:t>可达到</w:t>
            </w:r>
            <w:r>
              <w:rPr>
                <w:rFonts w:hint="default" w:ascii="Times New Roman" w:hAnsi="Times New Roman" w:eastAsia="宋体" w:cs="Times New Roman"/>
                <w:b w:val="0"/>
                <w:bCs w:val="0"/>
                <w:color w:val="auto"/>
                <w:sz w:val="21"/>
                <w:szCs w:val="21"/>
                <w:highlight w:val="none"/>
                <w:lang w:val="en-US" w:eastAsia="zh-CN"/>
              </w:rPr>
              <w:t>300桶，</w:t>
            </w:r>
            <w:r>
              <w:rPr>
                <w:rFonts w:hint="eastAsia" w:ascii="Times New Roman" w:hAnsi="Times New Roman" w:cs="Times New Roman"/>
                <w:b w:val="0"/>
                <w:bCs w:val="0"/>
                <w:color w:val="auto"/>
                <w:sz w:val="21"/>
                <w:szCs w:val="21"/>
                <w:highlight w:val="none"/>
                <w:lang w:val="en-US" w:eastAsia="zh-CN"/>
              </w:rPr>
              <w:t>企业每次采购数量为200桶</w:t>
            </w:r>
            <w:r>
              <w:rPr>
                <w:rFonts w:hint="default" w:ascii="Times New Roman" w:hAnsi="Times New Roman" w:eastAsia="宋体" w:cs="Times New Roman"/>
                <w:b w:val="0"/>
                <w:bCs w:val="0"/>
                <w:color w:val="auto"/>
                <w:sz w:val="21"/>
                <w:szCs w:val="21"/>
                <w:highlight w:val="none"/>
                <w:lang w:val="en-US" w:eastAsia="zh-CN"/>
              </w:rPr>
              <w:t>，</w:t>
            </w:r>
            <w:r>
              <w:rPr>
                <w:rFonts w:hint="eastAsia" w:ascii="Times New Roman" w:hAnsi="Times New Roman" w:cs="Times New Roman"/>
                <w:b w:val="0"/>
                <w:bCs w:val="0"/>
                <w:color w:val="auto"/>
                <w:sz w:val="21"/>
                <w:szCs w:val="21"/>
                <w:highlight w:val="none"/>
                <w:lang w:val="en-US" w:eastAsia="zh-CN"/>
              </w:rPr>
              <w:t>剩余100桶的存储能力，</w:t>
            </w:r>
            <w:r>
              <w:rPr>
                <w:rFonts w:hint="default" w:ascii="Times New Roman" w:hAnsi="Times New Roman" w:eastAsia="宋体" w:cs="Times New Roman"/>
                <w:b w:val="0"/>
                <w:bCs w:val="0"/>
                <w:color w:val="auto"/>
                <w:sz w:val="21"/>
                <w:szCs w:val="21"/>
                <w:highlight w:val="none"/>
                <w:lang w:val="en-US" w:eastAsia="zh-CN"/>
              </w:rPr>
              <w:t>本项目辅料用量相较于</w:t>
            </w:r>
            <w:r>
              <w:rPr>
                <w:rFonts w:hint="eastAsia" w:ascii="Times New Roman" w:hAnsi="Times New Roman" w:cs="Times New Roman"/>
                <w:b w:val="0"/>
                <w:bCs w:val="0"/>
                <w:color w:val="auto"/>
                <w:sz w:val="21"/>
                <w:szCs w:val="21"/>
                <w:highlight w:val="none"/>
                <w:lang w:val="en-US" w:eastAsia="zh-CN"/>
              </w:rPr>
              <w:t>生产线</w:t>
            </w:r>
            <w:r>
              <w:rPr>
                <w:rFonts w:hint="default" w:ascii="Times New Roman" w:hAnsi="Times New Roman" w:eastAsia="宋体" w:cs="Times New Roman"/>
                <w:b w:val="0"/>
                <w:bCs w:val="0"/>
                <w:color w:val="auto"/>
                <w:sz w:val="21"/>
                <w:szCs w:val="21"/>
                <w:highlight w:val="none"/>
                <w:lang w:val="en-US" w:eastAsia="zh-CN"/>
              </w:rPr>
              <w:t>改造前</w:t>
            </w:r>
            <w:r>
              <w:rPr>
                <w:rFonts w:hint="eastAsia" w:eastAsia="宋体" w:cs="Times New Roman"/>
                <w:b w:val="0"/>
                <w:bCs w:val="0"/>
                <w:color w:val="auto"/>
                <w:sz w:val="21"/>
                <w:szCs w:val="21"/>
                <w:highlight w:val="none"/>
                <w:lang w:val="en-US" w:eastAsia="zh-CN"/>
              </w:rPr>
              <w:t>无变化</w:t>
            </w:r>
            <w:r>
              <w:rPr>
                <w:rFonts w:hint="eastAsia" w:ascii="Times New Roman" w:hAnsi="Times New Roman" w:cs="Times New Roman"/>
                <w:b w:val="0"/>
                <w:bCs w:val="0"/>
                <w:color w:val="auto"/>
                <w:sz w:val="21"/>
                <w:szCs w:val="21"/>
                <w:highlight w:val="none"/>
                <w:lang w:val="en-US" w:eastAsia="zh-CN"/>
              </w:rPr>
              <w:t>，因此</w:t>
            </w:r>
            <w:r>
              <w:rPr>
                <w:rFonts w:hint="default" w:ascii="Times New Roman" w:hAnsi="Times New Roman" w:eastAsia="宋体" w:cs="Times New Roman"/>
                <w:b w:val="0"/>
                <w:bCs w:val="0"/>
                <w:color w:val="auto"/>
                <w:sz w:val="21"/>
                <w:szCs w:val="21"/>
                <w:highlight w:val="none"/>
                <w:lang w:val="en-US" w:eastAsia="zh-CN"/>
              </w:rPr>
              <w:t>油料化学品</w:t>
            </w:r>
            <w:r>
              <w:rPr>
                <w:rFonts w:hint="eastAsia" w:ascii="Times New Roman" w:hAnsi="Times New Roman" w:cs="Times New Roman"/>
                <w:b w:val="0"/>
                <w:bCs w:val="0"/>
                <w:color w:val="auto"/>
                <w:sz w:val="21"/>
                <w:szCs w:val="21"/>
                <w:highlight w:val="none"/>
                <w:lang w:val="en-US" w:eastAsia="zh-CN"/>
              </w:rPr>
              <w:t>库房存储能力能满足本项目要求</w:t>
            </w:r>
          </w:p>
        </w:tc>
        <w:tc>
          <w:tcPr>
            <w:tcW w:w="444" w:type="pct"/>
            <w:tcBorders>
              <w:bottom w:val="single" w:color="auto" w:sz="4" w:space="0"/>
              <w:tl2br w:val="nil"/>
              <w:tr2bl w:val="nil"/>
            </w:tcBorders>
            <w:vAlign w:val="center"/>
          </w:tcPr>
          <w:p w14:paraId="0DCF7A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highlight w:val="none"/>
                <w:lang w:val="en-US" w:eastAsia="zh-CN"/>
              </w:rPr>
            </w:pPr>
          </w:p>
        </w:tc>
      </w:tr>
      <w:tr w14:paraId="306496F0">
        <w:tblPrEx>
          <w:tblBorders>
            <w:top w:val="single" w:color="auto" w:sz="12" w:space="0"/>
            <w:left w:val="none" w:color="auto" w:sz="0" w:space="0"/>
            <w:bottom w:val="single" w:color="auto" w:sz="12" w:space="0"/>
            <w:right w:val="none" w:color="auto" w:sz="0" w:space="0"/>
            <w:insideH w:val="none" w:color="auto" w:sz="0" w:space="0"/>
            <w:insideV w:val="single" w:color="auto" w:sz="2" w:space="0"/>
          </w:tblBorders>
          <w:tblCellMar>
            <w:top w:w="0" w:type="dxa"/>
            <w:left w:w="108" w:type="dxa"/>
            <w:bottom w:w="0" w:type="dxa"/>
            <w:right w:w="108" w:type="dxa"/>
          </w:tblCellMar>
        </w:tblPrEx>
        <w:trPr>
          <w:trHeight w:val="0" w:hRule="atLeast"/>
          <w:jc w:val="center"/>
        </w:trPr>
        <w:tc>
          <w:tcPr>
            <w:tcW w:w="383" w:type="pct"/>
            <w:vMerge w:val="continue"/>
            <w:tcBorders>
              <w:tl2br w:val="nil"/>
              <w:tr2bl w:val="nil"/>
            </w:tcBorders>
            <w:vAlign w:val="center"/>
          </w:tcPr>
          <w:p w14:paraId="6BBD7469">
            <w:pPr>
              <w:pStyle w:val="8"/>
              <w:suppressLineNumbers w:val="0"/>
              <w:bidi w:val="0"/>
              <w:spacing w:before="0" w:beforeAutospacing="0" w:after="0" w:afterAutospacing="0"/>
              <w:ind w:left="0" w:right="0"/>
              <w:rPr>
                <w:rFonts w:hint="eastAsia"/>
                <w:highlight w:val="none"/>
                <w:lang w:val="en-US" w:eastAsia="zh-CN"/>
              </w:rPr>
            </w:pPr>
          </w:p>
        </w:tc>
        <w:tc>
          <w:tcPr>
            <w:tcW w:w="655" w:type="pct"/>
            <w:gridSpan w:val="2"/>
            <w:tcBorders>
              <w:bottom w:val="single" w:color="auto" w:sz="4" w:space="0"/>
              <w:tl2br w:val="nil"/>
              <w:tr2bl w:val="nil"/>
            </w:tcBorders>
            <w:vAlign w:val="center"/>
          </w:tcPr>
          <w:p w14:paraId="4DCD61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eastAsia="宋体" w:cs="Times New Roman"/>
                <w:b w:val="0"/>
                <w:bCs w:val="0"/>
                <w:color w:val="auto"/>
                <w:sz w:val="21"/>
                <w:szCs w:val="21"/>
                <w:highlight w:val="none"/>
                <w:lang w:val="en-US" w:eastAsia="zh-CN"/>
              </w:rPr>
              <w:t>危险废物贮存库</w:t>
            </w:r>
          </w:p>
        </w:tc>
        <w:tc>
          <w:tcPr>
            <w:tcW w:w="3516" w:type="pct"/>
            <w:tcBorders>
              <w:bottom w:val="single" w:color="auto" w:sz="4" w:space="0"/>
              <w:tl2br w:val="nil"/>
              <w:tr2bl w:val="nil"/>
            </w:tcBorders>
            <w:vAlign w:val="center"/>
          </w:tcPr>
          <w:p w14:paraId="2EEFD65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eastAsiaTheme="minorEastAsia"/>
                <w:color w:val="000000" w:themeColor="text1"/>
                <w:sz w:val="21"/>
                <w:szCs w:val="21"/>
                <w:highlight w:val="none"/>
                <w:vertAlign w:val="baseline"/>
                <w:lang w:val="en-US" w:eastAsia="zh-CN"/>
              </w:rPr>
              <w:t>现有</w:t>
            </w:r>
            <w:r>
              <w:rPr>
                <w:rFonts w:hint="default" w:ascii="Times New Roman" w:hAnsi="Times New Roman" w:cs="Times New Roman" w:eastAsiaTheme="minorEastAsia"/>
                <w:color w:val="000000" w:themeColor="text1"/>
                <w:sz w:val="21"/>
                <w:szCs w:val="21"/>
                <w:highlight w:val="none"/>
                <w:vertAlign w:val="baseline"/>
                <w:lang w:val="en-US" w:eastAsia="zh-CN"/>
              </w:rPr>
              <w:t>1栋1层，占地面积</w:t>
            </w:r>
            <w:r>
              <w:rPr>
                <w:rFonts w:hint="eastAsia" w:ascii="Times New Roman" w:hAnsi="Times New Roman" w:cs="Times New Roman" w:eastAsiaTheme="minorEastAsia"/>
                <w:color w:val="000000" w:themeColor="text1"/>
                <w:sz w:val="21"/>
                <w:szCs w:val="21"/>
                <w:highlight w:val="none"/>
                <w:vertAlign w:val="baseline"/>
                <w:lang w:val="en-US" w:eastAsia="zh-CN"/>
              </w:rPr>
              <w:t>198</w:t>
            </w:r>
            <w:r>
              <w:rPr>
                <w:rFonts w:hint="default" w:ascii="Times New Roman" w:hAnsi="Times New Roman" w:cs="Times New Roman" w:eastAsiaTheme="minorEastAsia"/>
                <w:color w:val="000000" w:themeColor="text1"/>
                <w:sz w:val="21"/>
                <w:szCs w:val="21"/>
                <w:highlight w:val="none"/>
                <w:vertAlign w:val="baseline"/>
                <w:lang w:val="en-US" w:eastAsia="zh-CN"/>
              </w:rPr>
              <w:t>m</w:t>
            </w:r>
            <w:r>
              <w:rPr>
                <w:rFonts w:hint="default" w:ascii="Times New Roman" w:hAnsi="Times New Roman" w:cs="Times New Roman" w:eastAsiaTheme="minorEastAsia"/>
                <w:color w:val="000000" w:themeColor="text1"/>
                <w:sz w:val="21"/>
                <w:szCs w:val="21"/>
                <w:highlight w:val="none"/>
                <w:vertAlign w:val="superscript"/>
                <w:lang w:val="en-US" w:eastAsia="zh-CN"/>
              </w:rPr>
              <w:t>2</w:t>
            </w:r>
            <w:r>
              <w:rPr>
                <w:rFonts w:hint="default" w:ascii="Times New Roman" w:hAnsi="Times New Roman" w:cs="Times New Roman" w:eastAsiaTheme="minorEastAsia"/>
                <w:color w:val="000000" w:themeColor="text1"/>
                <w:sz w:val="21"/>
                <w:szCs w:val="21"/>
                <w:highlight w:val="none"/>
                <w:vertAlign w:val="baseline"/>
                <w:lang w:val="en-US" w:eastAsia="zh-CN"/>
              </w:rPr>
              <w:t>，设置导流沟、事故收集池、废液池，最大储存能力为</w:t>
            </w:r>
            <w:r>
              <w:rPr>
                <w:rFonts w:hint="eastAsia" w:ascii="Times New Roman" w:hAnsi="Times New Roman" w:cs="Times New Roman" w:eastAsiaTheme="minorEastAsia"/>
                <w:color w:val="000000" w:themeColor="text1"/>
                <w:sz w:val="21"/>
                <w:szCs w:val="21"/>
                <w:highlight w:val="none"/>
                <w:vertAlign w:val="baseline"/>
                <w:lang w:val="en-US" w:eastAsia="zh-CN"/>
              </w:rPr>
              <w:t>60</w:t>
            </w:r>
            <w:r>
              <w:rPr>
                <w:rFonts w:hint="default" w:ascii="Times New Roman" w:hAnsi="Times New Roman" w:cs="Times New Roman" w:eastAsiaTheme="minorEastAsia"/>
                <w:color w:val="000000" w:themeColor="text1"/>
                <w:sz w:val="21"/>
                <w:szCs w:val="21"/>
                <w:highlight w:val="none"/>
                <w:vertAlign w:val="baseline"/>
                <w:lang w:val="en-US" w:eastAsia="zh-CN"/>
              </w:rPr>
              <w:t>t</w:t>
            </w:r>
            <w:r>
              <w:rPr>
                <w:rFonts w:hint="eastAsia" w:cs="Times New Roman" w:eastAsiaTheme="minorEastAsia"/>
                <w:color w:val="000000" w:themeColor="text1"/>
                <w:sz w:val="21"/>
                <w:szCs w:val="21"/>
                <w:highlight w:val="none"/>
                <w:vertAlign w:val="baseline"/>
                <w:lang w:val="en-US" w:eastAsia="zh-CN"/>
              </w:rPr>
              <w:t>。</w:t>
            </w:r>
          </w:p>
        </w:tc>
        <w:tc>
          <w:tcPr>
            <w:tcW w:w="444" w:type="pct"/>
            <w:tcBorders>
              <w:bottom w:val="single" w:color="auto" w:sz="4" w:space="0"/>
              <w:tl2br w:val="nil"/>
              <w:tr2bl w:val="nil"/>
            </w:tcBorders>
            <w:vAlign w:val="center"/>
          </w:tcPr>
          <w:p w14:paraId="6512DD5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r>
      <w:tr w14:paraId="59393072">
        <w:tblPrEx>
          <w:tblBorders>
            <w:top w:val="single" w:color="auto" w:sz="12" w:space="0"/>
            <w:left w:val="none" w:color="auto" w:sz="0" w:space="0"/>
            <w:bottom w:val="single" w:color="auto" w:sz="12" w:space="0"/>
            <w:right w:val="none" w:color="auto" w:sz="0" w:space="0"/>
            <w:insideH w:val="none" w:color="auto" w:sz="0" w:space="0"/>
            <w:insideV w:val="single" w:color="auto" w:sz="2" w:space="0"/>
          </w:tblBorders>
          <w:tblCellMar>
            <w:top w:w="0" w:type="dxa"/>
            <w:left w:w="108" w:type="dxa"/>
            <w:bottom w:w="0" w:type="dxa"/>
            <w:right w:w="108" w:type="dxa"/>
          </w:tblCellMar>
        </w:tblPrEx>
        <w:trPr>
          <w:trHeight w:val="0" w:hRule="atLeast"/>
          <w:jc w:val="center"/>
        </w:trPr>
        <w:tc>
          <w:tcPr>
            <w:tcW w:w="383" w:type="pct"/>
            <w:vMerge w:val="continue"/>
            <w:vAlign w:val="center"/>
          </w:tcPr>
          <w:p w14:paraId="75230F29">
            <w:pPr>
              <w:pStyle w:val="8"/>
              <w:suppressLineNumbers w:val="0"/>
              <w:bidi w:val="0"/>
              <w:spacing w:before="0" w:beforeAutospacing="0" w:after="0" w:afterAutospacing="0"/>
              <w:ind w:left="0" w:right="0"/>
              <w:rPr>
                <w:rFonts w:hint="eastAsia"/>
                <w:highlight w:val="none"/>
                <w:lang w:val="en-US" w:eastAsia="zh-CN"/>
              </w:rPr>
            </w:pPr>
          </w:p>
        </w:tc>
        <w:tc>
          <w:tcPr>
            <w:tcW w:w="655" w:type="pct"/>
            <w:gridSpan w:val="2"/>
            <w:tcBorders>
              <w:top w:val="single" w:color="auto" w:sz="4" w:space="0"/>
            </w:tcBorders>
            <w:vAlign w:val="center"/>
          </w:tcPr>
          <w:p w14:paraId="12713644">
            <w:pPr>
              <w:pStyle w:val="8"/>
              <w:suppressLineNumbers w:val="0"/>
              <w:bidi w:val="0"/>
              <w:spacing w:before="0" w:beforeAutospacing="0" w:after="0" w:afterAutospacing="0"/>
              <w:ind w:left="0" w:right="0"/>
              <w:rPr>
                <w:rFonts w:hint="eastAsia"/>
                <w:color w:val="000000" w:themeColor="text1"/>
                <w:highlight w:val="none"/>
                <w:lang w:val="en-US" w:eastAsia="zh-CN"/>
              </w:rPr>
            </w:pPr>
            <w:r>
              <w:rPr>
                <w:rFonts w:hint="eastAsia"/>
                <w:color w:val="000000" w:themeColor="text1"/>
                <w:highlight w:val="none"/>
                <w:vertAlign w:val="baseline"/>
                <w:lang w:val="en-US" w:eastAsia="zh-CN"/>
              </w:rPr>
              <w:t>哈尔滨市朝阳水质净化厂</w:t>
            </w:r>
          </w:p>
        </w:tc>
        <w:tc>
          <w:tcPr>
            <w:tcW w:w="3516" w:type="pct"/>
            <w:tcBorders>
              <w:top w:val="single" w:color="auto" w:sz="4" w:space="0"/>
            </w:tcBorders>
            <w:vAlign w:val="center"/>
          </w:tcPr>
          <w:p w14:paraId="471613DA">
            <w:pPr>
              <w:pStyle w:val="8"/>
              <w:suppressLineNumbers w:val="0"/>
              <w:bidi w:val="0"/>
              <w:spacing w:before="0" w:beforeAutospacing="0" w:after="0" w:afterAutospacing="0"/>
              <w:ind w:left="0" w:right="0"/>
              <w:rPr>
                <w:rFonts w:hint="eastAsia"/>
                <w:color w:val="000000" w:themeColor="text1"/>
                <w:highlight w:val="none"/>
                <w:lang w:val="en-US" w:eastAsia="zh-CN"/>
              </w:rPr>
            </w:pPr>
            <w:r>
              <w:rPr>
                <w:rFonts w:hint="eastAsia"/>
                <w:color w:val="000000" w:themeColor="text1"/>
                <w:highlight w:val="none"/>
                <w:vertAlign w:val="baseline"/>
                <w:lang w:val="en-US" w:eastAsia="zh-CN"/>
              </w:rPr>
              <w:t>哈尔滨市朝阳水质净化厂</w:t>
            </w:r>
            <w:r>
              <w:rPr>
                <w:rFonts w:hint="default"/>
                <w:color w:val="000000" w:themeColor="text1"/>
                <w:highlight w:val="none"/>
              </w:rPr>
              <w:t>，污水处理工艺为</w:t>
            </w:r>
            <w:r>
              <w:rPr>
                <w:rFonts w:hint="eastAsia"/>
                <w:color w:val="000000" w:themeColor="text1"/>
                <w:highlight w:val="none"/>
                <w:lang w:val="en-US" w:eastAsia="zh-CN"/>
              </w:rPr>
              <w:t>VT</w:t>
            </w:r>
            <w:r>
              <w:rPr>
                <w:rFonts w:hint="default"/>
                <w:color w:val="000000" w:themeColor="text1"/>
                <w:highlight w:val="none"/>
              </w:rPr>
              <w:t>工艺，设计规模为5万m</w:t>
            </w:r>
            <w:r>
              <w:rPr>
                <w:rFonts w:hint="default"/>
                <w:color w:val="000000" w:themeColor="text1"/>
                <w:highlight w:val="none"/>
                <w:vertAlign w:val="superscript"/>
              </w:rPr>
              <w:t>3</w:t>
            </w:r>
            <w:r>
              <w:rPr>
                <w:rFonts w:hint="default"/>
                <w:color w:val="000000" w:themeColor="text1"/>
                <w:highlight w:val="none"/>
              </w:rPr>
              <w:t>/d，出水水质达到《城镇污水处理厂污染物排放标准》一级A标准。该污水处理厂现处理量为</w:t>
            </w:r>
            <w:r>
              <w:rPr>
                <w:rFonts w:hint="eastAsia"/>
                <w:color w:val="000000" w:themeColor="text1"/>
                <w:highlight w:val="none"/>
                <w:lang w:val="en-US" w:eastAsia="zh-CN"/>
              </w:rPr>
              <w:t>2.7</w:t>
            </w:r>
            <w:r>
              <w:rPr>
                <w:rFonts w:hint="default"/>
                <w:color w:val="000000" w:themeColor="text1"/>
                <w:highlight w:val="none"/>
              </w:rPr>
              <w:t>万m</w:t>
            </w:r>
            <w:r>
              <w:rPr>
                <w:rFonts w:hint="default"/>
                <w:color w:val="000000" w:themeColor="text1"/>
                <w:highlight w:val="none"/>
                <w:vertAlign w:val="superscript"/>
              </w:rPr>
              <w:t>3</w:t>
            </w:r>
            <w:r>
              <w:rPr>
                <w:rFonts w:hint="default"/>
                <w:color w:val="000000" w:themeColor="text1"/>
                <w:highlight w:val="none"/>
              </w:rPr>
              <w:t>/d</w:t>
            </w:r>
            <w:r>
              <w:rPr>
                <w:rFonts w:hint="eastAsia"/>
                <w:color w:val="000000" w:themeColor="text1"/>
                <w:highlight w:val="none"/>
                <w:lang w:eastAsia="zh-CN"/>
              </w:rPr>
              <w:t>，</w:t>
            </w:r>
            <w:r>
              <w:rPr>
                <w:rFonts w:hint="default"/>
                <w:color w:val="000000" w:themeColor="text1"/>
                <w:highlight w:val="none"/>
              </w:rPr>
              <w:t>本项目污水日排放量</w:t>
            </w:r>
            <w:r>
              <w:rPr>
                <w:rFonts w:hint="eastAsia"/>
                <w:color w:val="000000" w:themeColor="text1"/>
                <w:highlight w:val="none"/>
                <w:lang w:val="en-US" w:eastAsia="zh-CN"/>
              </w:rPr>
              <w:t>较改造前无变化，</w:t>
            </w:r>
            <w:r>
              <w:rPr>
                <w:rFonts w:hint="default"/>
                <w:color w:val="000000" w:themeColor="text1"/>
                <w:highlight w:val="none"/>
              </w:rPr>
              <w:t>远小于污水处理厂剩余日处理规模，且本项目在其管辖范围内，因此本项目污水进入</w:t>
            </w:r>
            <w:r>
              <w:rPr>
                <w:rFonts w:hint="eastAsia"/>
                <w:color w:val="000000" w:themeColor="text1"/>
                <w:highlight w:val="none"/>
                <w:lang w:val="en-US" w:eastAsia="zh-CN"/>
              </w:rPr>
              <w:t>该</w:t>
            </w:r>
            <w:r>
              <w:rPr>
                <w:rFonts w:hint="default"/>
                <w:color w:val="000000" w:themeColor="text1"/>
                <w:highlight w:val="none"/>
              </w:rPr>
              <w:t>污水处理厂可行</w:t>
            </w:r>
            <w:r>
              <w:rPr>
                <w:rFonts w:hint="eastAsia"/>
                <w:color w:val="000000" w:themeColor="text1"/>
                <w:highlight w:val="none"/>
                <w:lang w:eastAsia="zh-CN"/>
              </w:rPr>
              <w:t>。</w:t>
            </w:r>
          </w:p>
        </w:tc>
        <w:tc>
          <w:tcPr>
            <w:tcW w:w="444" w:type="pct"/>
            <w:tcBorders>
              <w:top w:val="single" w:color="auto" w:sz="4" w:space="0"/>
            </w:tcBorders>
            <w:vAlign w:val="center"/>
          </w:tcPr>
          <w:p w14:paraId="55E1D296">
            <w:pPr>
              <w:pStyle w:val="8"/>
              <w:suppressLineNumbers w:val="0"/>
              <w:bidi w:val="0"/>
              <w:spacing w:before="0" w:beforeAutospacing="0" w:after="0" w:afterAutospacing="0"/>
              <w:ind w:left="0" w:right="0"/>
              <w:rPr>
                <w:rFonts w:hint="eastAsia"/>
                <w:highlight w:val="none"/>
                <w:lang w:val="en-US" w:eastAsia="zh-CN"/>
              </w:rPr>
            </w:pPr>
            <w:r>
              <w:rPr>
                <w:rFonts w:hint="eastAsia"/>
                <w:highlight w:val="none"/>
                <w:lang w:val="en-US" w:eastAsia="zh-CN"/>
              </w:rPr>
              <w:t>依托</w:t>
            </w:r>
          </w:p>
        </w:tc>
      </w:tr>
      <w:bookmarkEnd w:id="242"/>
    </w:tbl>
    <w:p w14:paraId="4D91B99F">
      <w:pPr>
        <w:pStyle w:val="4"/>
        <w:bidi w:val="0"/>
        <w:rPr>
          <w:highlight w:val="none"/>
        </w:rPr>
      </w:pPr>
      <w:bookmarkStart w:id="245" w:name="_Toc17488"/>
      <w:r>
        <w:rPr>
          <w:highlight w:val="none"/>
        </w:rPr>
        <w:t>3.</w:t>
      </w:r>
      <w:r>
        <w:rPr>
          <w:rFonts w:hint="eastAsia"/>
          <w:highlight w:val="none"/>
          <w:lang w:val="en-US" w:eastAsia="zh-CN"/>
        </w:rPr>
        <w:t>2</w:t>
      </w:r>
      <w:r>
        <w:rPr>
          <w:highlight w:val="none"/>
        </w:rPr>
        <w:t>.3设备清单</w:t>
      </w:r>
      <w:bookmarkEnd w:id="243"/>
      <w:bookmarkEnd w:id="245"/>
    </w:p>
    <w:p w14:paraId="643CD6DE">
      <w:pPr>
        <w:pStyle w:val="86"/>
        <w:spacing w:line="360" w:lineRule="auto"/>
        <w:ind w:firstLine="480" w:firstLineChars="200"/>
        <w:jc w:val="both"/>
        <w:rPr>
          <w:rFonts w:hAnsi="Times New Roman" w:eastAsiaTheme="minorEastAsia"/>
          <w:sz w:val="24"/>
          <w:szCs w:val="24"/>
          <w:highlight w:val="none"/>
        </w:rPr>
      </w:pPr>
      <w:r>
        <w:rPr>
          <w:rFonts w:eastAsiaTheme="minorEastAsia"/>
          <w:sz w:val="24"/>
          <w:szCs w:val="24"/>
          <w:highlight w:val="none"/>
        </w:rPr>
        <w:t>本项目主要设备见下表。</w:t>
      </w:r>
    </w:p>
    <w:p w14:paraId="388BCB4C">
      <w:pPr>
        <w:pStyle w:val="7"/>
        <w:bidi w:val="0"/>
        <w:rPr>
          <w:rFonts w:hint="eastAsia"/>
          <w:highlight w:val="none"/>
        </w:rPr>
      </w:pPr>
      <w:bookmarkStart w:id="246" w:name="_Hlk93944434"/>
      <w:r>
        <w:rPr>
          <w:rFonts w:hint="eastAsia"/>
          <w:highlight w:val="none"/>
        </w:rPr>
        <w:t>表3-</w:t>
      </w:r>
      <w:r>
        <w:rPr>
          <w:rFonts w:hint="eastAsia"/>
          <w:highlight w:val="none"/>
          <w:lang w:val="en-US" w:eastAsia="zh-CN"/>
        </w:rPr>
        <w:t>2</w:t>
      </w:r>
      <w:r>
        <w:rPr>
          <w:rFonts w:hint="eastAsia"/>
          <w:highlight w:val="none"/>
        </w:rPr>
        <w:t>-2主要设备一览表</w:t>
      </w:r>
    </w:p>
    <w:tbl>
      <w:tblPr>
        <w:tblStyle w:val="45"/>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170"/>
        <w:gridCol w:w="1860"/>
        <w:gridCol w:w="1650"/>
        <w:gridCol w:w="660"/>
        <w:gridCol w:w="705"/>
        <w:gridCol w:w="2308"/>
      </w:tblGrid>
      <w:tr w14:paraId="14CCF5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70" w:type="dxa"/>
            <w:tcBorders>
              <w:tl2br w:val="nil"/>
              <w:tr2bl w:val="nil"/>
            </w:tcBorders>
            <w:shd w:val="clear" w:color="auto" w:fill="auto"/>
            <w:noWrap/>
            <w:vAlign w:val="center"/>
          </w:tcPr>
          <w:p w14:paraId="542AD71A">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工段</w:t>
            </w:r>
          </w:p>
        </w:tc>
        <w:tc>
          <w:tcPr>
            <w:tcW w:w="1860" w:type="dxa"/>
            <w:tcBorders>
              <w:tl2br w:val="nil"/>
              <w:tr2bl w:val="nil"/>
            </w:tcBorders>
            <w:shd w:val="clear" w:color="auto" w:fill="auto"/>
            <w:vAlign w:val="top"/>
          </w:tcPr>
          <w:p w14:paraId="0212F5D0">
            <w:pPr>
              <w:pStyle w:val="8"/>
              <w:suppressLineNumbers w:val="0"/>
              <w:bidi w:val="0"/>
              <w:spacing w:before="0" w:beforeAutospacing="0" w:after="0" w:afterAutospacing="0"/>
              <w:ind w:left="0" w:right="0"/>
              <w:rPr>
                <w:rFonts w:hint="default"/>
                <w:highlight w:val="none"/>
                <w:lang w:val="en-US"/>
              </w:rPr>
            </w:pPr>
            <w:r>
              <w:rPr>
                <w:rFonts w:hint="default"/>
                <w:highlight w:val="none"/>
                <w:lang w:val="en-US" w:eastAsia="zh-CN"/>
              </w:rPr>
              <w:t>设备名称</w:t>
            </w:r>
          </w:p>
        </w:tc>
        <w:tc>
          <w:tcPr>
            <w:tcW w:w="1650" w:type="dxa"/>
            <w:tcBorders>
              <w:tl2br w:val="nil"/>
              <w:tr2bl w:val="nil"/>
            </w:tcBorders>
            <w:shd w:val="clear" w:color="auto" w:fill="auto"/>
            <w:vAlign w:val="top"/>
          </w:tcPr>
          <w:p w14:paraId="48ADC8ED">
            <w:pPr>
              <w:pStyle w:val="8"/>
              <w:suppressLineNumbers w:val="0"/>
              <w:bidi w:val="0"/>
              <w:spacing w:before="0" w:beforeAutospacing="0" w:after="0" w:afterAutospacing="0"/>
              <w:ind w:left="0" w:right="0"/>
              <w:rPr>
                <w:rFonts w:hint="default"/>
                <w:highlight w:val="none"/>
                <w:lang w:val="en-US"/>
              </w:rPr>
            </w:pPr>
            <w:r>
              <w:rPr>
                <w:rFonts w:hint="default"/>
                <w:highlight w:val="none"/>
                <w:lang w:val="en-US" w:eastAsia="zh-CN"/>
              </w:rPr>
              <w:t>型号</w:t>
            </w:r>
          </w:p>
        </w:tc>
        <w:tc>
          <w:tcPr>
            <w:tcW w:w="660" w:type="dxa"/>
            <w:tcBorders>
              <w:tl2br w:val="nil"/>
              <w:tr2bl w:val="nil"/>
            </w:tcBorders>
            <w:shd w:val="clear" w:color="auto" w:fill="auto"/>
            <w:noWrap/>
            <w:vAlign w:val="center"/>
          </w:tcPr>
          <w:p w14:paraId="2A4BEE9F">
            <w:pPr>
              <w:pStyle w:val="8"/>
              <w:suppressLineNumbers w:val="0"/>
              <w:bidi w:val="0"/>
              <w:spacing w:before="0" w:beforeAutospacing="0" w:after="0" w:afterAutospacing="0"/>
              <w:ind w:left="0" w:right="0"/>
              <w:rPr>
                <w:rFonts w:hint="default"/>
                <w:highlight w:val="none"/>
                <w:lang w:val="en-US"/>
              </w:rPr>
            </w:pPr>
            <w:r>
              <w:rPr>
                <w:rFonts w:hint="default"/>
                <w:highlight w:val="none"/>
                <w:lang w:val="en-US" w:eastAsia="zh-CN"/>
              </w:rPr>
              <w:t>单位</w:t>
            </w:r>
          </w:p>
        </w:tc>
        <w:tc>
          <w:tcPr>
            <w:tcW w:w="705" w:type="dxa"/>
            <w:tcBorders>
              <w:tl2br w:val="nil"/>
              <w:tr2bl w:val="nil"/>
            </w:tcBorders>
            <w:shd w:val="clear" w:color="auto" w:fill="auto"/>
            <w:vAlign w:val="top"/>
          </w:tcPr>
          <w:p w14:paraId="1F8425DE">
            <w:pPr>
              <w:pStyle w:val="8"/>
              <w:suppressLineNumbers w:val="0"/>
              <w:bidi w:val="0"/>
              <w:spacing w:before="0" w:beforeAutospacing="0" w:after="0" w:afterAutospacing="0"/>
              <w:ind w:left="0" w:right="0"/>
              <w:rPr>
                <w:rFonts w:hint="default"/>
                <w:highlight w:val="none"/>
                <w:lang w:val="en-US"/>
              </w:rPr>
            </w:pPr>
            <w:r>
              <w:rPr>
                <w:rFonts w:hint="default"/>
                <w:highlight w:val="none"/>
                <w:lang w:val="en-US" w:eastAsia="zh-CN"/>
              </w:rPr>
              <w:t>数量</w:t>
            </w:r>
          </w:p>
        </w:tc>
        <w:tc>
          <w:tcPr>
            <w:tcW w:w="2308" w:type="dxa"/>
            <w:tcBorders>
              <w:tl2br w:val="nil"/>
              <w:tr2bl w:val="nil"/>
            </w:tcBorders>
            <w:shd w:val="clear" w:color="auto" w:fill="auto"/>
            <w:vAlign w:val="top"/>
          </w:tcPr>
          <w:p w14:paraId="34088A9D">
            <w:pPr>
              <w:pStyle w:val="8"/>
              <w:suppressLineNumbers w:val="0"/>
              <w:bidi w:val="0"/>
              <w:spacing w:before="0" w:beforeAutospacing="0" w:after="0" w:afterAutospacing="0"/>
              <w:ind w:left="0" w:right="0"/>
              <w:rPr>
                <w:rFonts w:hint="default"/>
                <w:highlight w:val="none"/>
                <w:lang w:val="en-US"/>
              </w:rPr>
            </w:pPr>
            <w:r>
              <w:rPr>
                <w:rFonts w:hint="default"/>
                <w:highlight w:val="none"/>
                <w:lang w:val="en-US" w:eastAsia="zh-CN"/>
              </w:rPr>
              <w:t>备注</w:t>
            </w:r>
          </w:p>
        </w:tc>
      </w:tr>
      <w:tr w14:paraId="7FD30F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170" w:type="dxa"/>
            <w:vMerge w:val="restart"/>
            <w:tcBorders>
              <w:tl2br w:val="nil"/>
              <w:tr2bl w:val="nil"/>
            </w:tcBorders>
            <w:shd w:val="clear" w:color="auto" w:fill="auto"/>
            <w:noWrap/>
            <w:vAlign w:val="center"/>
          </w:tcPr>
          <w:p w14:paraId="7ACAF6BD">
            <w:pPr>
              <w:pStyle w:val="8"/>
              <w:suppressLineNumbers w:val="0"/>
              <w:bidi w:val="0"/>
              <w:spacing w:before="0" w:beforeAutospacing="0" w:after="0" w:afterAutospacing="0"/>
              <w:ind w:left="0" w:right="0"/>
              <w:rPr>
                <w:rFonts w:hint="default" w:eastAsia="宋体"/>
                <w:highlight w:val="none"/>
                <w:lang w:val="en-US" w:eastAsia="zh-CN"/>
              </w:rPr>
            </w:pPr>
            <w:r>
              <w:rPr>
                <w:rFonts w:hint="eastAsia"/>
                <w:highlight w:val="none"/>
                <w:lang w:val="en-US" w:eastAsia="zh-CN"/>
              </w:rPr>
              <w:t>含油金属屑收集处理线</w:t>
            </w:r>
          </w:p>
        </w:tc>
        <w:tc>
          <w:tcPr>
            <w:tcW w:w="1860" w:type="dxa"/>
            <w:tcBorders>
              <w:tl2br w:val="nil"/>
              <w:tr2bl w:val="nil"/>
            </w:tcBorders>
            <w:shd w:val="clear" w:color="auto" w:fill="auto"/>
            <w:vAlign w:val="center"/>
          </w:tcPr>
          <w:p w14:paraId="24EF0E1F">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上料系统</w:t>
            </w:r>
          </w:p>
        </w:tc>
        <w:tc>
          <w:tcPr>
            <w:tcW w:w="1650" w:type="dxa"/>
            <w:tcBorders>
              <w:tl2br w:val="nil"/>
              <w:tr2bl w:val="nil"/>
            </w:tcBorders>
            <w:shd w:val="clear" w:color="auto" w:fill="auto"/>
            <w:vAlign w:val="center"/>
          </w:tcPr>
          <w:p w14:paraId="289E3819">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ZZ-RM2000</w:t>
            </w:r>
          </w:p>
        </w:tc>
        <w:tc>
          <w:tcPr>
            <w:tcW w:w="660" w:type="dxa"/>
            <w:tcBorders>
              <w:tl2br w:val="nil"/>
              <w:tr2bl w:val="nil"/>
            </w:tcBorders>
            <w:shd w:val="clear" w:color="auto" w:fill="auto"/>
            <w:noWrap/>
            <w:vAlign w:val="center"/>
          </w:tcPr>
          <w:p w14:paraId="754C84C6">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4"/>
                <w:highlight w:val="none"/>
                <w:lang w:val="en-US" w:eastAsia="zh-CN" w:bidi="ar-SA"/>
              </w:rPr>
            </w:pPr>
            <w:r>
              <w:rPr>
                <w:rFonts w:hint="default" w:ascii="Times New Roman" w:hAnsi="Times New Roman" w:eastAsia="宋体" w:cs="Times New Roman"/>
                <w:color w:val="000000"/>
                <w:kern w:val="0"/>
                <w:sz w:val="21"/>
                <w:szCs w:val="24"/>
                <w:highlight w:val="none"/>
                <w:lang w:val="en-US" w:eastAsia="zh-CN" w:bidi="ar-SA"/>
              </w:rPr>
              <w:t>台</w:t>
            </w:r>
          </w:p>
        </w:tc>
        <w:tc>
          <w:tcPr>
            <w:tcW w:w="705" w:type="dxa"/>
            <w:tcBorders>
              <w:tl2br w:val="nil"/>
              <w:tr2bl w:val="nil"/>
            </w:tcBorders>
            <w:shd w:val="clear" w:color="auto" w:fill="auto"/>
            <w:vAlign w:val="center"/>
          </w:tcPr>
          <w:p w14:paraId="6D3639F5">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1</w:t>
            </w:r>
          </w:p>
        </w:tc>
        <w:tc>
          <w:tcPr>
            <w:tcW w:w="2308" w:type="dxa"/>
            <w:tcBorders>
              <w:tl2br w:val="nil"/>
              <w:tr2bl w:val="nil"/>
            </w:tcBorders>
            <w:shd w:val="clear" w:color="auto" w:fill="auto"/>
            <w:vAlign w:val="center"/>
          </w:tcPr>
          <w:p w14:paraId="7CC08797">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新建</w:t>
            </w:r>
          </w:p>
        </w:tc>
      </w:tr>
      <w:tr w14:paraId="024B09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170" w:type="dxa"/>
            <w:vMerge w:val="continue"/>
            <w:tcBorders>
              <w:tl2br w:val="nil"/>
              <w:tr2bl w:val="nil"/>
            </w:tcBorders>
            <w:shd w:val="clear" w:color="auto" w:fill="auto"/>
            <w:noWrap/>
            <w:vAlign w:val="center"/>
          </w:tcPr>
          <w:p w14:paraId="7E6C6D50">
            <w:pPr>
              <w:pStyle w:val="8"/>
              <w:suppressLineNumbers w:val="0"/>
              <w:bidi w:val="0"/>
              <w:spacing w:before="0" w:beforeAutospacing="0" w:after="0" w:afterAutospacing="0"/>
              <w:ind w:left="0" w:right="0"/>
              <w:rPr>
                <w:rFonts w:hint="default"/>
                <w:highlight w:val="none"/>
                <w:lang w:val="en-US"/>
              </w:rPr>
            </w:pPr>
          </w:p>
        </w:tc>
        <w:tc>
          <w:tcPr>
            <w:tcW w:w="1860" w:type="dxa"/>
            <w:tcBorders>
              <w:tl2br w:val="nil"/>
              <w:tr2bl w:val="nil"/>
            </w:tcBorders>
            <w:shd w:val="clear" w:color="auto" w:fill="auto"/>
            <w:vAlign w:val="center"/>
          </w:tcPr>
          <w:p w14:paraId="45356646">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上料系统</w:t>
            </w:r>
          </w:p>
        </w:tc>
        <w:tc>
          <w:tcPr>
            <w:tcW w:w="1650" w:type="dxa"/>
            <w:tcBorders>
              <w:tl2br w:val="nil"/>
              <w:tr2bl w:val="nil"/>
            </w:tcBorders>
            <w:shd w:val="clear" w:color="auto" w:fill="auto"/>
            <w:vAlign w:val="center"/>
          </w:tcPr>
          <w:p w14:paraId="5F3B8C22">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ZZ-RC2000</w:t>
            </w:r>
          </w:p>
        </w:tc>
        <w:tc>
          <w:tcPr>
            <w:tcW w:w="660" w:type="dxa"/>
            <w:tcBorders>
              <w:tl2br w:val="nil"/>
              <w:tr2bl w:val="nil"/>
            </w:tcBorders>
            <w:shd w:val="clear" w:color="auto" w:fill="auto"/>
            <w:noWrap/>
            <w:vAlign w:val="center"/>
          </w:tcPr>
          <w:p w14:paraId="5891F2FA">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000000"/>
                <w:kern w:val="0"/>
                <w:sz w:val="21"/>
                <w:szCs w:val="24"/>
                <w:highlight w:val="none"/>
                <w:lang w:val="en-US" w:eastAsia="zh-CN" w:bidi="ar-SA"/>
              </w:rPr>
            </w:pPr>
            <w:r>
              <w:rPr>
                <w:rFonts w:hint="default" w:ascii="Times New Roman" w:hAnsi="Times New Roman" w:eastAsia="宋体" w:cs="Times New Roman"/>
                <w:color w:val="000000"/>
                <w:kern w:val="0"/>
                <w:sz w:val="21"/>
                <w:szCs w:val="24"/>
                <w:highlight w:val="none"/>
                <w:lang w:val="en-US" w:eastAsia="zh-CN" w:bidi="ar-SA"/>
              </w:rPr>
              <w:t>台</w:t>
            </w:r>
          </w:p>
        </w:tc>
        <w:tc>
          <w:tcPr>
            <w:tcW w:w="705" w:type="dxa"/>
            <w:tcBorders>
              <w:tl2br w:val="nil"/>
              <w:tr2bl w:val="nil"/>
            </w:tcBorders>
            <w:shd w:val="clear" w:color="auto" w:fill="auto"/>
            <w:vAlign w:val="center"/>
          </w:tcPr>
          <w:p w14:paraId="584C58CB">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1</w:t>
            </w:r>
          </w:p>
        </w:tc>
        <w:tc>
          <w:tcPr>
            <w:tcW w:w="2308" w:type="dxa"/>
            <w:tcBorders>
              <w:tl2br w:val="nil"/>
              <w:tr2bl w:val="nil"/>
            </w:tcBorders>
            <w:shd w:val="clear" w:color="auto" w:fill="auto"/>
            <w:vAlign w:val="top"/>
          </w:tcPr>
          <w:p w14:paraId="67D22FF2">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新建</w:t>
            </w:r>
          </w:p>
        </w:tc>
      </w:tr>
      <w:tr w14:paraId="647C12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170" w:type="dxa"/>
            <w:vMerge w:val="continue"/>
            <w:tcBorders>
              <w:tl2br w:val="nil"/>
              <w:tr2bl w:val="nil"/>
            </w:tcBorders>
            <w:shd w:val="clear" w:color="auto" w:fill="auto"/>
            <w:noWrap/>
            <w:vAlign w:val="center"/>
          </w:tcPr>
          <w:p w14:paraId="4C77E5A0">
            <w:pPr>
              <w:pStyle w:val="8"/>
              <w:suppressLineNumbers w:val="0"/>
              <w:bidi w:val="0"/>
              <w:spacing w:before="0" w:beforeAutospacing="0" w:after="0" w:afterAutospacing="0"/>
              <w:ind w:left="0" w:right="0"/>
              <w:rPr>
                <w:rFonts w:hint="default"/>
                <w:highlight w:val="none"/>
                <w:lang w:val="en-US"/>
              </w:rPr>
            </w:pPr>
          </w:p>
        </w:tc>
        <w:tc>
          <w:tcPr>
            <w:tcW w:w="1860" w:type="dxa"/>
            <w:tcBorders>
              <w:tl2br w:val="nil"/>
              <w:tr2bl w:val="nil"/>
            </w:tcBorders>
            <w:shd w:val="clear" w:color="auto" w:fill="auto"/>
            <w:vAlign w:val="center"/>
          </w:tcPr>
          <w:p w14:paraId="13305C0E">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粉碎机</w:t>
            </w:r>
          </w:p>
        </w:tc>
        <w:tc>
          <w:tcPr>
            <w:tcW w:w="1650" w:type="dxa"/>
            <w:tcBorders>
              <w:tl2br w:val="nil"/>
              <w:tr2bl w:val="nil"/>
            </w:tcBorders>
            <w:shd w:val="clear" w:color="auto" w:fill="auto"/>
            <w:vAlign w:val="center"/>
          </w:tcPr>
          <w:p w14:paraId="7578AFF8">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ZZ-KP2000</w:t>
            </w:r>
          </w:p>
        </w:tc>
        <w:tc>
          <w:tcPr>
            <w:tcW w:w="660" w:type="dxa"/>
            <w:tcBorders>
              <w:tl2br w:val="nil"/>
              <w:tr2bl w:val="nil"/>
            </w:tcBorders>
            <w:shd w:val="clear" w:color="auto" w:fill="auto"/>
            <w:noWrap/>
            <w:vAlign w:val="center"/>
          </w:tcPr>
          <w:p w14:paraId="3B45A107">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000000"/>
                <w:kern w:val="0"/>
                <w:sz w:val="21"/>
                <w:szCs w:val="24"/>
                <w:highlight w:val="none"/>
                <w:lang w:val="en-US" w:eastAsia="zh-CN" w:bidi="ar-SA"/>
              </w:rPr>
            </w:pPr>
            <w:r>
              <w:rPr>
                <w:rFonts w:hint="default" w:ascii="Times New Roman" w:hAnsi="Times New Roman" w:eastAsia="宋体" w:cs="Times New Roman"/>
                <w:color w:val="000000"/>
                <w:kern w:val="0"/>
                <w:sz w:val="21"/>
                <w:szCs w:val="24"/>
                <w:highlight w:val="none"/>
                <w:lang w:val="en-US" w:eastAsia="zh-CN" w:bidi="ar-SA"/>
              </w:rPr>
              <w:t>台</w:t>
            </w:r>
          </w:p>
        </w:tc>
        <w:tc>
          <w:tcPr>
            <w:tcW w:w="705" w:type="dxa"/>
            <w:tcBorders>
              <w:tl2br w:val="nil"/>
              <w:tr2bl w:val="nil"/>
            </w:tcBorders>
            <w:shd w:val="clear" w:color="auto" w:fill="auto"/>
            <w:vAlign w:val="center"/>
          </w:tcPr>
          <w:p w14:paraId="7C67D662">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1</w:t>
            </w:r>
          </w:p>
        </w:tc>
        <w:tc>
          <w:tcPr>
            <w:tcW w:w="2308" w:type="dxa"/>
            <w:tcBorders>
              <w:tl2br w:val="nil"/>
              <w:tr2bl w:val="nil"/>
            </w:tcBorders>
            <w:shd w:val="clear" w:color="auto" w:fill="auto"/>
            <w:vAlign w:val="top"/>
          </w:tcPr>
          <w:p w14:paraId="4FAC1893">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新建</w:t>
            </w:r>
          </w:p>
        </w:tc>
      </w:tr>
      <w:tr w14:paraId="4C3BA9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170" w:type="dxa"/>
            <w:vMerge w:val="continue"/>
            <w:tcBorders>
              <w:tl2br w:val="nil"/>
              <w:tr2bl w:val="nil"/>
            </w:tcBorders>
            <w:shd w:val="clear" w:color="auto" w:fill="auto"/>
            <w:noWrap/>
            <w:vAlign w:val="center"/>
          </w:tcPr>
          <w:p w14:paraId="7BFB5139">
            <w:pPr>
              <w:pStyle w:val="8"/>
              <w:suppressLineNumbers w:val="0"/>
              <w:bidi w:val="0"/>
              <w:spacing w:before="0" w:beforeAutospacing="0" w:after="0" w:afterAutospacing="0"/>
              <w:ind w:left="0" w:right="0"/>
              <w:rPr>
                <w:rFonts w:hint="default"/>
                <w:highlight w:val="none"/>
                <w:lang w:val="en-US" w:eastAsia="zh-CN"/>
              </w:rPr>
            </w:pPr>
          </w:p>
        </w:tc>
        <w:tc>
          <w:tcPr>
            <w:tcW w:w="1860" w:type="dxa"/>
            <w:tcBorders>
              <w:tl2br w:val="nil"/>
              <w:tr2bl w:val="nil"/>
            </w:tcBorders>
            <w:shd w:val="clear" w:color="auto" w:fill="auto"/>
            <w:vAlign w:val="center"/>
          </w:tcPr>
          <w:p w14:paraId="776CFA0B">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输送机</w:t>
            </w:r>
          </w:p>
        </w:tc>
        <w:tc>
          <w:tcPr>
            <w:tcW w:w="1650" w:type="dxa"/>
            <w:tcBorders>
              <w:tl2br w:val="nil"/>
              <w:tr2bl w:val="nil"/>
            </w:tcBorders>
            <w:shd w:val="clear" w:color="auto" w:fill="auto"/>
            <w:vAlign w:val="center"/>
          </w:tcPr>
          <w:p w14:paraId="0FB792C2">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ZZ-RC1000</w:t>
            </w:r>
          </w:p>
        </w:tc>
        <w:tc>
          <w:tcPr>
            <w:tcW w:w="660" w:type="dxa"/>
            <w:tcBorders>
              <w:tl2br w:val="nil"/>
              <w:tr2bl w:val="nil"/>
            </w:tcBorders>
            <w:shd w:val="clear" w:color="auto" w:fill="auto"/>
            <w:noWrap/>
            <w:vAlign w:val="center"/>
          </w:tcPr>
          <w:p w14:paraId="32D7C3B5">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textAlignment w:val="auto"/>
              <w:rPr>
                <w:rFonts w:hint="default" w:ascii="Times New Roman" w:hAnsi="Times New Roman" w:eastAsia="宋体" w:cs="Times New Roman"/>
                <w:color w:val="000000"/>
                <w:kern w:val="0"/>
                <w:sz w:val="21"/>
                <w:szCs w:val="24"/>
                <w:highlight w:val="none"/>
                <w:lang w:val="en-US" w:eastAsia="zh-CN" w:bidi="ar-SA"/>
              </w:rPr>
            </w:pPr>
            <w:r>
              <w:rPr>
                <w:rFonts w:hint="default" w:ascii="Times New Roman" w:hAnsi="Times New Roman" w:eastAsia="宋体" w:cs="Times New Roman"/>
                <w:color w:val="000000"/>
                <w:kern w:val="0"/>
                <w:sz w:val="21"/>
                <w:szCs w:val="24"/>
                <w:highlight w:val="none"/>
                <w:lang w:val="en-US" w:eastAsia="zh-CN" w:bidi="ar-SA"/>
              </w:rPr>
              <w:t>台</w:t>
            </w:r>
          </w:p>
        </w:tc>
        <w:tc>
          <w:tcPr>
            <w:tcW w:w="705" w:type="dxa"/>
            <w:tcBorders>
              <w:tl2br w:val="nil"/>
              <w:tr2bl w:val="nil"/>
            </w:tcBorders>
            <w:shd w:val="clear" w:color="auto" w:fill="auto"/>
            <w:vAlign w:val="center"/>
          </w:tcPr>
          <w:p w14:paraId="0FDC3222">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eastAsia="宋体" w:cs="Times New Roman"/>
                <w:color w:val="000000"/>
                <w:kern w:val="0"/>
                <w:sz w:val="21"/>
                <w:szCs w:val="24"/>
                <w:highlight w:val="none"/>
                <w:lang w:val="en-US" w:eastAsia="zh-CN" w:bidi="ar-SA"/>
              </w:rPr>
              <w:t>2</w:t>
            </w:r>
          </w:p>
        </w:tc>
        <w:tc>
          <w:tcPr>
            <w:tcW w:w="2308" w:type="dxa"/>
            <w:tcBorders>
              <w:tl2br w:val="nil"/>
              <w:tr2bl w:val="nil"/>
            </w:tcBorders>
            <w:shd w:val="clear" w:color="auto" w:fill="auto"/>
            <w:vAlign w:val="top"/>
          </w:tcPr>
          <w:p w14:paraId="62F41DB6">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新建</w:t>
            </w:r>
          </w:p>
        </w:tc>
      </w:tr>
      <w:tr w14:paraId="0AD892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170" w:type="dxa"/>
            <w:vMerge w:val="continue"/>
            <w:tcBorders>
              <w:tl2br w:val="nil"/>
              <w:tr2bl w:val="nil"/>
            </w:tcBorders>
            <w:shd w:val="clear" w:color="auto" w:fill="auto"/>
            <w:noWrap/>
            <w:vAlign w:val="center"/>
          </w:tcPr>
          <w:p w14:paraId="0CF7226E">
            <w:pPr>
              <w:pStyle w:val="8"/>
              <w:suppressLineNumbers w:val="0"/>
              <w:bidi w:val="0"/>
              <w:spacing w:before="0" w:beforeAutospacing="0" w:after="0" w:afterAutospacing="0"/>
              <w:ind w:left="0" w:right="0"/>
              <w:rPr>
                <w:rFonts w:hint="default"/>
                <w:highlight w:val="none"/>
                <w:lang w:val="en-US" w:eastAsia="zh-CN"/>
              </w:rPr>
            </w:pPr>
          </w:p>
        </w:tc>
        <w:tc>
          <w:tcPr>
            <w:tcW w:w="1860" w:type="dxa"/>
            <w:tcBorders>
              <w:tl2br w:val="nil"/>
              <w:tr2bl w:val="nil"/>
            </w:tcBorders>
            <w:shd w:val="clear" w:color="auto" w:fill="auto"/>
            <w:vAlign w:val="center"/>
          </w:tcPr>
          <w:p w14:paraId="166F16F4">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脱油机</w:t>
            </w:r>
          </w:p>
        </w:tc>
        <w:tc>
          <w:tcPr>
            <w:tcW w:w="1650" w:type="dxa"/>
            <w:tcBorders>
              <w:tl2br w:val="nil"/>
              <w:tr2bl w:val="nil"/>
            </w:tcBorders>
            <w:shd w:val="clear" w:color="auto" w:fill="auto"/>
            <w:vAlign w:val="center"/>
          </w:tcPr>
          <w:p w14:paraId="136B7F23">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ZZ-DB2000</w:t>
            </w:r>
          </w:p>
        </w:tc>
        <w:tc>
          <w:tcPr>
            <w:tcW w:w="660" w:type="dxa"/>
            <w:tcBorders>
              <w:tl2br w:val="nil"/>
              <w:tr2bl w:val="nil"/>
            </w:tcBorders>
            <w:shd w:val="clear" w:color="auto" w:fill="auto"/>
            <w:noWrap/>
            <w:vAlign w:val="center"/>
          </w:tcPr>
          <w:p w14:paraId="0D91CF43">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textAlignment w:val="auto"/>
              <w:rPr>
                <w:rFonts w:hint="default" w:ascii="Times New Roman" w:hAnsi="Times New Roman" w:eastAsia="宋体" w:cs="Times New Roman"/>
                <w:color w:val="000000"/>
                <w:kern w:val="0"/>
                <w:sz w:val="21"/>
                <w:szCs w:val="24"/>
                <w:highlight w:val="none"/>
                <w:lang w:val="en-US" w:eastAsia="zh-CN" w:bidi="ar-SA"/>
              </w:rPr>
            </w:pPr>
            <w:r>
              <w:rPr>
                <w:rFonts w:hint="default" w:ascii="Times New Roman" w:hAnsi="Times New Roman" w:eastAsia="宋体" w:cs="Times New Roman"/>
                <w:color w:val="000000"/>
                <w:kern w:val="0"/>
                <w:sz w:val="21"/>
                <w:szCs w:val="24"/>
                <w:highlight w:val="none"/>
                <w:lang w:val="en-US" w:eastAsia="zh-CN" w:bidi="ar-SA"/>
              </w:rPr>
              <w:t>台</w:t>
            </w:r>
          </w:p>
        </w:tc>
        <w:tc>
          <w:tcPr>
            <w:tcW w:w="705" w:type="dxa"/>
            <w:tcBorders>
              <w:tl2br w:val="nil"/>
              <w:tr2bl w:val="nil"/>
            </w:tcBorders>
            <w:shd w:val="clear" w:color="auto" w:fill="auto"/>
            <w:vAlign w:val="center"/>
          </w:tcPr>
          <w:p w14:paraId="6C1E847E">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1</w:t>
            </w:r>
          </w:p>
        </w:tc>
        <w:tc>
          <w:tcPr>
            <w:tcW w:w="2308" w:type="dxa"/>
            <w:tcBorders>
              <w:tl2br w:val="nil"/>
              <w:tr2bl w:val="nil"/>
            </w:tcBorders>
            <w:shd w:val="clear" w:color="auto" w:fill="auto"/>
            <w:vAlign w:val="top"/>
          </w:tcPr>
          <w:p w14:paraId="45E8E13F">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新建</w:t>
            </w:r>
          </w:p>
        </w:tc>
      </w:tr>
      <w:tr w14:paraId="117C13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170" w:type="dxa"/>
            <w:vMerge w:val="continue"/>
            <w:tcBorders>
              <w:tl2br w:val="nil"/>
              <w:tr2bl w:val="nil"/>
            </w:tcBorders>
            <w:shd w:val="clear" w:color="auto" w:fill="auto"/>
            <w:noWrap/>
            <w:vAlign w:val="center"/>
          </w:tcPr>
          <w:p w14:paraId="39124C5F">
            <w:pPr>
              <w:pStyle w:val="8"/>
              <w:suppressLineNumbers w:val="0"/>
              <w:bidi w:val="0"/>
              <w:spacing w:before="0" w:beforeAutospacing="0" w:after="0" w:afterAutospacing="0"/>
              <w:ind w:left="0" w:right="0"/>
              <w:rPr>
                <w:rFonts w:hint="default"/>
                <w:highlight w:val="none"/>
                <w:lang w:val="en-US" w:eastAsia="zh-CN"/>
              </w:rPr>
            </w:pPr>
          </w:p>
        </w:tc>
        <w:tc>
          <w:tcPr>
            <w:tcW w:w="1860" w:type="dxa"/>
            <w:tcBorders>
              <w:tl2br w:val="nil"/>
              <w:tr2bl w:val="nil"/>
            </w:tcBorders>
            <w:shd w:val="clear" w:color="auto" w:fill="auto"/>
            <w:vAlign w:val="center"/>
          </w:tcPr>
          <w:p w14:paraId="61F8BB70">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压块机</w:t>
            </w:r>
          </w:p>
        </w:tc>
        <w:tc>
          <w:tcPr>
            <w:tcW w:w="1650" w:type="dxa"/>
            <w:tcBorders>
              <w:tl2br w:val="nil"/>
              <w:tr2bl w:val="nil"/>
            </w:tcBorders>
            <w:shd w:val="clear" w:color="auto" w:fill="auto"/>
            <w:vAlign w:val="center"/>
          </w:tcPr>
          <w:p w14:paraId="4BD68F78">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ZZ-BS2000</w:t>
            </w:r>
          </w:p>
        </w:tc>
        <w:tc>
          <w:tcPr>
            <w:tcW w:w="660" w:type="dxa"/>
            <w:tcBorders>
              <w:tl2br w:val="nil"/>
              <w:tr2bl w:val="nil"/>
            </w:tcBorders>
            <w:shd w:val="clear" w:color="auto" w:fill="auto"/>
            <w:noWrap/>
            <w:vAlign w:val="center"/>
          </w:tcPr>
          <w:p w14:paraId="6296C90F">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textAlignment w:val="auto"/>
              <w:rPr>
                <w:rFonts w:hint="default" w:ascii="Times New Roman" w:hAnsi="Times New Roman" w:eastAsia="宋体" w:cs="Times New Roman"/>
                <w:color w:val="000000"/>
                <w:kern w:val="0"/>
                <w:sz w:val="21"/>
                <w:szCs w:val="24"/>
                <w:highlight w:val="none"/>
                <w:lang w:val="en-US" w:eastAsia="zh-CN" w:bidi="ar-SA"/>
              </w:rPr>
            </w:pPr>
            <w:r>
              <w:rPr>
                <w:rFonts w:hint="default" w:ascii="Times New Roman" w:hAnsi="Times New Roman" w:eastAsia="宋体" w:cs="Times New Roman"/>
                <w:color w:val="000000"/>
                <w:kern w:val="0"/>
                <w:sz w:val="21"/>
                <w:szCs w:val="24"/>
                <w:highlight w:val="none"/>
                <w:lang w:val="en-US" w:eastAsia="zh-CN" w:bidi="ar-SA"/>
              </w:rPr>
              <w:t>台</w:t>
            </w:r>
          </w:p>
        </w:tc>
        <w:tc>
          <w:tcPr>
            <w:tcW w:w="705" w:type="dxa"/>
            <w:tcBorders>
              <w:tl2br w:val="nil"/>
              <w:tr2bl w:val="nil"/>
            </w:tcBorders>
            <w:shd w:val="clear" w:color="auto" w:fill="auto"/>
            <w:vAlign w:val="center"/>
          </w:tcPr>
          <w:p w14:paraId="41A2B471">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1</w:t>
            </w:r>
          </w:p>
        </w:tc>
        <w:tc>
          <w:tcPr>
            <w:tcW w:w="2308" w:type="dxa"/>
            <w:tcBorders>
              <w:tl2br w:val="nil"/>
              <w:tr2bl w:val="nil"/>
            </w:tcBorders>
            <w:shd w:val="clear" w:color="auto" w:fill="auto"/>
            <w:vAlign w:val="top"/>
          </w:tcPr>
          <w:p w14:paraId="4BC25130">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新建</w:t>
            </w:r>
          </w:p>
        </w:tc>
      </w:tr>
      <w:tr w14:paraId="7D03A7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170" w:type="dxa"/>
            <w:vMerge w:val="continue"/>
            <w:tcBorders>
              <w:tl2br w:val="nil"/>
              <w:tr2bl w:val="nil"/>
            </w:tcBorders>
            <w:shd w:val="clear" w:color="auto" w:fill="auto"/>
            <w:noWrap/>
            <w:vAlign w:val="center"/>
          </w:tcPr>
          <w:p w14:paraId="374DD251">
            <w:pPr>
              <w:pStyle w:val="8"/>
              <w:suppressLineNumbers w:val="0"/>
              <w:bidi w:val="0"/>
              <w:spacing w:before="0" w:beforeAutospacing="0" w:after="0" w:afterAutospacing="0"/>
              <w:ind w:left="0" w:right="0"/>
              <w:rPr>
                <w:rFonts w:hint="default"/>
                <w:highlight w:val="none"/>
                <w:lang w:val="en-US" w:eastAsia="zh-CN"/>
              </w:rPr>
            </w:pPr>
          </w:p>
        </w:tc>
        <w:tc>
          <w:tcPr>
            <w:tcW w:w="1860" w:type="dxa"/>
            <w:tcBorders>
              <w:tl2br w:val="nil"/>
              <w:tr2bl w:val="nil"/>
            </w:tcBorders>
            <w:shd w:val="clear" w:color="auto" w:fill="auto"/>
            <w:vAlign w:val="center"/>
          </w:tcPr>
          <w:p w14:paraId="36FE9B25">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切削液回收装置</w:t>
            </w:r>
          </w:p>
        </w:tc>
        <w:tc>
          <w:tcPr>
            <w:tcW w:w="1650" w:type="dxa"/>
            <w:tcBorders>
              <w:tl2br w:val="nil"/>
              <w:tr2bl w:val="nil"/>
            </w:tcBorders>
            <w:shd w:val="clear" w:color="auto" w:fill="auto"/>
            <w:vAlign w:val="center"/>
          </w:tcPr>
          <w:p w14:paraId="746A646F">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ZZ-FC</w:t>
            </w:r>
          </w:p>
        </w:tc>
        <w:tc>
          <w:tcPr>
            <w:tcW w:w="660" w:type="dxa"/>
            <w:tcBorders>
              <w:tl2br w:val="nil"/>
              <w:tr2bl w:val="nil"/>
            </w:tcBorders>
            <w:shd w:val="clear" w:color="auto" w:fill="auto"/>
            <w:noWrap/>
            <w:vAlign w:val="center"/>
          </w:tcPr>
          <w:p w14:paraId="422AFD69">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textAlignment w:val="auto"/>
              <w:rPr>
                <w:rFonts w:hint="default" w:ascii="Times New Roman" w:hAnsi="Times New Roman" w:eastAsia="宋体" w:cs="Times New Roman"/>
                <w:color w:val="000000"/>
                <w:kern w:val="0"/>
                <w:sz w:val="21"/>
                <w:szCs w:val="24"/>
                <w:highlight w:val="none"/>
                <w:lang w:val="en-US" w:eastAsia="zh-CN" w:bidi="ar-SA"/>
              </w:rPr>
            </w:pPr>
            <w:r>
              <w:rPr>
                <w:rFonts w:hint="default" w:ascii="Times New Roman" w:hAnsi="Times New Roman" w:eastAsia="宋体" w:cs="Times New Roman"/>
                <w:color w:val="000000"/>
                <w:kern w:val="0"/>
                <w:sz w:val="21"/>
                <w:szCs w:val="24"/>
                <w:highlight w:val="none"/>
                <w:lang w:val="en-US" w:eastAsia="zh-CN" w:bidi="ar-SA"/>
              </w:rPr>
              <w:t>台</w:t>
            </w:r>
          </w:p>
        </w:tc>
        <w:tc>
          <w:tcPr>
            <w:tcW w:w="705" w:type="dxa"/>
            <w:tcBorders>
              <w:tl2br w:val="nil"/>
              <w:tr2bl w:val="nil"/>
            </w:tcBorders>
            <w:shd w:val="clear" w:color="auto" w:fill="auto"/>
            <w:vAlign w:val="center"/>
          </w:tcPr>
          <w:p w14:paraId="0A556AEA">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2</w:t>
            </w:r>
          </w:p>
        </w:tc>
        <w:tc>
          <w:tcPr>
            <w:tcW w:w="2308" w:type="dxa"/>
            <w:tcBorders>
              <w:tl2br w:val="nil"/>
              <w:tr2bl w:val="nil"/>
            </w:tcBorders>
            <w:shd w:val="clear" w:color="auto" w:fill="auto"/>
            <w:vAlign w:val="top"/>
          </w:tcPr>
          <w:p w14:paraId="2CFFED6A">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新建</w:t>
            </w:r>
          </w:p>
        </w:tc>
      </w:tr>
      <w:tr w14:paraId="76B6DA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170" w:type="dxa"/>
            <w:vMerge w:val="continue"/>
            <w:tcBorders>
              <w:tl2br w:val="nil"/>
              <w:tr2bl w:val="nil"/>
            </w:tcBorders>
            <w:shd w:val="clear" w:color="auto" w:fill="auto"/>
            <w:noWrap/>
            <w:vAlign w:val="center"/>
          </w:tcPr>
          <w:p w14:paraId="690949C1">
            <w:pPr>
              <w:pStyle w:val="8"/>
              <w:suppressLineNumbers w:val="0"/>
              <w:bidi w:val="0"/>
              <w:spacing w:before="0" w:beforeAutospacing="0" w:after="0" w:afterAutospacing="0"/>
              <w:ind w:left="0" w:right="0"/>
              <w:rPr>
                <w:rFonts w:hint="default"/>
                <w:highlight w:val="none"/>
                <w:lang w:val="en-US" w:eastAsia="zh-CN"/>
              </w:rPr>
            </w:pPr>
          </w:p>
        </w:tc>
        <w:tc>
          <w:tcPr>
            <w:tcW w:w="1860" w:type="dxa"/>
            <w:tcBorders>
              <w:tl2br w:val="nil"/>
              <w:tr2bl w:val="nil"/>
            </w:tcBorders>
            <w:shd w:val="clear" w:color="auto" w:fill="auto"/>
            <w:vAlign w:val="center"/>
          </w:tcPr>
          <w:p w14:paraId="41A9150C">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油雾净化器</w:t>
            </w:r>
          </w:p>
        </w:tc>
        <w:tc>
          <w:tcPr>
            <w:tcW w:w="1650" w:type="dxa"/>
            <w:tcBorders>
              <w:tl2br w:val="nil"/>
              <w:tr2bl w:val="nil"/>
            </w:tcBorders>
            <w:shd w:val="clear" w:color="auto" w:fill="auto"/>
            <w:vAlign w:val="center"/>
          </w:tcPr>
          <w:p w14:paraId="3115A9DD">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w:t>
            </w:r>
          </w:p>
        </w:tc>
        <w:tc>
          <w:tcPr>
            <w:tcW w:w="660" w:type="dxa"/>
            <w:tcBorders>
              <w:tl2br w:val="nil"/>
              <w:tr2bl w:val="nil"/>
            </w:tcBorders>
            <w:shd w:val="clear" w:color="auto" w:fill="auto"/>
            <w:noWrap/>
            <w:vAlign w:val="center"/>
          </w:tcPr>
          <w:p w14:paraId="465D7B25">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000000"/>
                <w:kern w:val="0"/>
                <w:sz w:val="21"/>
                <w:szCs w:val="24"/>
                <w:highlight w:val="none"/>
                <w:lang w:val="en-US" w:eastAsia="zh-CN" w:bidi="ar-SA"/>
              </w:rPr>
            </w:pPr>
            <w:r>
              <w:rPr>
                <w:rFonts w:hint="default" w:ascii="Times New Roman" w:hAnsi="Times New Roman" w:eastAsia="宋体" w:cs="Times New Roman"/>
                <w:color w:val="000000"/>
                <w:kern w:val="0"/>
                <w:sz w:val="21"/>
                <w:szCs w:val="24"/>
                <w:highlight w:val="none"/>
                <w:lang w:val="en-US" w:eastAsia="zh-CN" w:bidi="ar-SA"/>
              </w:rPr>
              <w:t>台</w:t>
            </w:r>
          </w:p>
        </w:tc>
        <w:tc>
          <w:tcPr>
            <w:tcW w:w="705" w:type="dxa"/>
            <w:tcBorders>
              <w:tl2br w:val="nil"/>
              <w:tr2bl w:val="nil"/>
            </w:tcBorders>
            <w:shd w:val="clear" w:color="auto" w:fill="auto"/>
            <w:vAlign w:val="center"/>
          </w:tcPr>
          <w:p w14:paraId="21C861AC">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1</w:t>
            </w:r>
          </w:p>
        </w:tc>
        <w:tc>
          <w:tcPr>
            <w:tcW w:w="2308" w:type="dxa"/>
            <w:tcBorders>
              <w:tl2br w:val="nil"/>
              <w:tr2bl w:val="nil"/>
            </w:tcBorders>
            <w:shd w:val="clear" w:color="auto" w:fill="auto"/>
            <w:vAlign w:val="top"/>
          </w:tcPr>
          <w:p w14:paraId="729955AA">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新建</w:t>
            </w:r>
          </w:p>
        </w:tc>
      </w:tr>
      <w:tr w14:paraId="1F19EB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170" w:type="dxa"/>
            <w:vMerge w:val="continue"/>
            <w:tcBorders>
              <w:tl2br w:val="nil"/>
              <w:tr2bl w:val="nil"/>
            </w:tcBorders>
            <w:shd w:val="clear" w:color="auto" w:fill="auto"/>
            <w:noWrap/>
            <w:vAlign w:val="center"/>
          </w:tcPr>
          <w:p w14:paraId="36A98BAF">
            <w:pPr>
              <w:pStyle w:val="8"/>
              <w:suppressLineNumbers w:val="0"/>
              <w:bidi w:val="0"/>
              <w:spacing w:before="0" w:beforeAutospacing="0" w:after="0" w:afterAutospacing="0"/>
              <w:ind w:left="0" w:right="0"/>
              <w:rPr>
                <w:rFonts w:hint="default"/>
                <w:highlight w:val="none"/>
                <w:lang w:val="en-US" w:eastAsia="zh-CN"/>
              </w:rPr>
            </w:pPr>
            <w:bookmarkStart w:id="247" w:name="_Toc28312"/>
          </w:p>
        </w:tc>
        <w:tc>
          <w:tcPr>
            <w:tcW w:w="1860" w:type="dxa"/>
            <w:tcBorders>
              <w:tl2br w:val="nil"/>
              <w:tr2bl w:val="nil"/>
            </w:tcBorders>
            <w:shd w:val="clear" w:color="auto" w:fill="auto"/>
            <w:vAlign w:val="center"/>
          </w:tcPr>
          <w:p w14:paraId="77662C44">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活性炭吸附装置</w:t>
            </w:r>
          </w:p>
        </w:tc>
        <w:tc>
          <w:tcPr>
            <w:tcW w:w="1650" w:type="dxa"/>
            <w:tcBorders>
              <w:tl2br w:val="nil"/>
              <w:tr2bl w:val="nil"/>
            </w:tcBorders>
            <w:shd w:val="clear" w:color="auto" w:fill="auto"/>
            <w:vAlign w:val="center"/>
          </w:tcPr>
          <w:p w14:paraId="5EA0BD02">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w:t>
            </w:r>
          </w:p>
        </w:tc>
        <w:tc>
          <w:tcPr>
            <w:tcW w:w="660" w:type="dxa"/>
            <w:tcBorders>
              <w:tl2br w:val="nil"/>
              <w:tr2bl w:val="nil"/>
            </w:tcBorders>
            <w:shd w:val="clear" w:color="auto" w:fill="auto"/>
            <w:noWrap/>
            <w:vAlign w:val="center"/>
          </w:tcPr>
          <w:p w14:paraId="76F562B3">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台</w:t>
            </w:r>
          </w:p>
        </w:tc>
        <w:tc>
          <w:tcPr>
            <w:tcW w:w="705" w:type="dxa"/>
            <w:tcBorders>
              <w:tl2br w:val="nil"/>
              <w:tr2bl w:val="nil"/>
            </w:tcBorders>
            <w:shd w:val="clear" w:color="auto" w:fill="auto"/>
            <w:vAlign w:val="center"/>
          </w:tcPr>
          <w:p w14:paraId="75074305">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000000"/>
                <w:kern w:val="0"/>
                <w:sz w:val="21"/>
                <w:szCs w:val="24"/>
                <w:highlight w:val="none"/>
                <w:lang w:val="en-US" w:eastAsia="zh-CN" w:bidi="ar-SA"/>
              </w:rPr>
            </w:pPr>
            <w:r>
              <w:rPr>
                <w:rFonts w:hint="eastAsia" w:eastAsia="宋体" w:cs="Times New Roman"/>
                <w:color w:val="000000"/>
                <w:kern w:val="0"/>
                <w:sz w:val="21"/>
                <w:szCs w:val="24"/>
                <w:highlight w:val="none"/>
                <w:lang w:val="en-US" w:eastAsia="zh-CN" w:bidi="ar-SA"/>
              </w:rPr>
              <w:t>1</w:t>
            </w:r>
          </w:p>
        </w:tc>
        <w:tc>
          <w:tcPr>
            <w:tcW w:w="2308" w:type="dxa"/>
            <w:tcBorders>
              <w:tl2br w:val="nil"/>
              <w:tr2bl w:val="nil"/>
            </w:tcBorders>
            <w:shd w:val="clear" w:color="auto" w:fill="auto"/>
            <w:vAlign w:val="top"/>
          </w:tcPr>
          <w:p w14:paraId="79AF4427">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新建</w:t>
            </w:r>
          </w:p>
        </w:tc>
      </w:tr>
      <w:tr w14:paraId="2838EB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170" w:type="dxa"/>
            <w:vMerge w:val="restart"/>
            <w:tcBorders>
              <w:tl2br w:val="nil"/>
              <w:tr2bl w:val="nil"/>
            </w:tcBorders>
            <w:shd w:val="clear" w:color="auto" w:fill="auto"/>
            <w:noWrap/>
            <w:vAlign w:val="center"/>
          </w:tcPr>
          <w:p w14:paraId="088C3A1D">
            <w:pPr>
              <w:pStyle w:val="8"/>
              <w:suppressLineNumbers w:val="0"/>
              <w:bidi w:val="0"/>
              <w:spacing w:before="0" w:beforeAutospacing="0" w:after="0" w:afterAutospacing="0"/>
              <w:ind w:left="0" w:right="0"/>
              <w:rPr>
                <w:rFonts w:hint="default"/>
                <w:highlight w:val="none"/>
                <w:lang w:val="en-US" w:eastAsia="zh-CN"/>
              </w:rPr>
            </w:pPr>
            <w:bookmarkStart w:id="248" w:name="_Toc2646"/>
            <w:r>
              <w:rPr>
                <w:rFonts w:hint="eastAsia"/>
                <w:highlight w:val="none"/>
                <w:lang w:val="en-US" w:eastAsia="zh-CN"/>
              </w:rPr>
              <w:t>缸体线</w:t>
            </w:r>
          </w:p>
        </w:tc>
        <w:tc>
          <w:tcPr>
            <w:tcW w:w="1860" w:type="dxa"/>
            <w:tcBorders>
              <w:tl2br w:val="nil"/>
              <w:tr2bl w:val="nil"/>
            </w:tcBorders>
            <w:shd w:val="clear" w:color="auto" w:fill="auto"/>
            <w:vAlign w:val="center"/>
          </w:tcPr>
          <w:p w14:paraId="3AA5E48A">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加工中心</w:t>
            </w:r>
          </w:p>
        </w:tc>
        <w:tc>
          <w:tcPr>
            <w:tcW w:w="1650" w:type="dxa"/>
            <w:tcBorders>
              <w:tl2br w:val="nil"/>
              <w:tr2bl w:val="nil"/>
            </w:tcBorders>
            <w:shd w:val="clear" w:color="auto" w:fill="auto"/>
            <w:vAlign w:val="center"/>
          </w:tcPr>
          <w:p w14:paraId="0587D87A">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w:t>
            </w:r>
          </w:p>
        </w:tc>
        <w:tc>
          <w:tcPr>
            <w:tcW w:w="660" w:type="dxa"/>
            <w:tcBorders>
              <w:tl2br w:val="nil"/>
              <w:tr2bl w:val="nil"/>
            </w:tcBorders>
            <w:shd w:val="clear" w:color="auto" w:fill="auto"/>
            <w:noWrap/>
            <w:vAlign w:val="center"/>
          </w:tcPr>
          <w:p w14:paraId="5B2F7BB9">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台</w:t>
            </w:r>
          </w:p>
        </w:tc>
        <w:tc>
          <w:tcPr>
            <w:tcW w:w="705" w:type="dxa"/>
            <w:tcBorders>
              <w:tl2br w:val="nil"/>
              <w:tr2bl w:val="nil"/>
            </w:tcBorders>
            <w:shd w:val="clear" w:color="auto" w:fill="auto"/>
            <w:vAlign w:val="center"/>
          </w:tcPr>
          <w:p w14:paraId="4DB6889C">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22</w:t>
            </w:r>
          </w:p>
        </w:tc>
        <w:tc>
          <w:tcPr>
            <w:tcW w:w="2308" w:type="dxa"/>
            <w:tcBorders>
              <w:tl2br w:val="nil"/>
              <w:tr2bl w:val="nil"/>
            </w:tcBorders>
            <w:shd w:val="clear" w:color="auto" w:fill="auto"/>
            <w:vAlign w:val="top"/>
          </w:tcPr>
          <w:p w14:paraId="58F3C6B7">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改造17</w:t>
            </w:r>
            <w:r>
              <w:rPr>
                <w:rFonts w:hint="eastAsia" w:eastAsia="宋体" w:cs="Times New Roman"/>
                <w:color w:val="000000"/>
                <w:kern w:val="0"/>
                <w:sz w:val="21"/>
                <w:szCs w:val="24"/>
                <w:highlight w:val="none"/>
                <w:lang w:val="en-US" w:eastAsia="zh-CN" w:bidi="ar-SA"/>
              </w:rPr>
              <w:t>台</w:t>
            </w:r>
            <w:r>
              <w:rPr>
                <w:rFonts w:hint="eastAsia" w:ascii="Times New Roman" w:hAnsi="Times New Roman" w:eastAsia="宋体" w:cs="Times New Roman"/>
                <w:color w:val="000000"/>
                <w:kern w:val="0"/>
                <w:sz w:val="21"/>
                <w:szCs w:val="24"/>
                <w:highlight w:val="none"/>
                <w:lang w:val="en-US" w:eastAsia="zh-CN" w:bidi="ar-SA"/>
              </w:rPr>
              <w:t>，新增5</w:t>
            </w:r>
            <w:r>
              <w:rPr>
                <w:rFonts w:hint="eastAsia" w:eastAsia="宋体" w:cs="Times New Roman"/>
                <w:color w:val="000000"/>
                <w:kern w:val="0"/>
                <w:sz w:val="21"/>
                <w:szCs w:val="24"/>
                <w:highlight w:val="none"/>
                <w:lang w:val="en-US" w:eastAsia="zh-CN" w:bidi="ar-SA"/>
              </w:rPr>
              <w:t>台</w:t>
            </w:r>
          </w:p>
        </w:tc>
      </w:tr>
      <w:tr w14:paraId="238D11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170" w:type="dxa"/>
            <w:vMerge w:val="continue"/>
            <w:tcBorders>
              <w:tl2br w:val="nil"/>
              <w:tr2bl w:val="nil"/>
            </w:tcBorders>
            <w:shd w:val="clear" w:color="auto" w:fill="auto"/>
            <w:noWrap/>
            <w:vAlign w:val="center"/>
          </w:tcPr>
          <w:p w14:paraId="50D00C90">
            <w:pPr>
              <w:pStyle w:val="8"/>
              <w:suppressLineNumbers w:val="0"/>
              <w:bidi w:val="0"/>
              <w:spacing w:before="0" w:beforeAutospacing="0" w:after="0" w:afterAutospacing="0"/>
              <w:ind w:left="0" w:right="0"/>
              <w:rPr>
                <w:rFonts w:hint="eastAsia"/>
                <w:highlight w:val="none"/>
                <w:lang w:val="en-US" w:eastAsia="zh-CN"/>
              </w:rPr>
            </w:pPr>
          </w:p>
        </w:tc>
        <w:tc>
          <w:tcPr>
            <w:tcW w:w="1860" w:type="dxa"/>
            <w:tcBorders>
              <w:tl2br w:val="nil"/>
              <w:tr2bl w:val="nil"/>
            </w:tcBorders>
            <w:shd w:val="clear" w:color="auto" w:fill="auto"/>
            <w:vAlign w:val="center"/>
          </w:tcPr>
          <w:p w14:paraId="2B6A79E8">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机械手</w:t>
            </w:r>
          </w:p>
        </w:tc>
        <w:tc>
          <w:tcPr>
            <w:tcW w:w="1650" w:type="dxa"/>
            <w:tcBorders>
              <w:tl2br w:val="nil"/>
              <w:tr2bl w:val="nil"/>
            </w:tcBorders>
            <w:shd w:val="clear" w:color="auto" w:fill="auto"/>
            <w:vAlign w:val="center"/>
          </w:tcPr>
          <w:p w14:paraId="05AED22A">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textAlignment w:val="auto"/>
              <w:rPr>
                <w:rFonts w:hint="eastAsia"/>
                <w:highlight w:val="none"/>
                <w:lang w:val="en-US" w:eastAsia="zh-CN"/>
              </w:rPr>
            </w:pPr>
            <w:r>
              <w:rPr>
                <w:rFonts w:hint="eastAsia" w:ascii="Times New Roman" w:hAnsi="Times New Roman" w:eastAsia="宋体" w:cs="Times New Roman"/>
                <w:color w:val="000000"/>
                <w:kern w:val="0"/>
                <w:sz w:val="21"/>
                <w:szCs w:val="24"/>
                <w:highlight w:val="none"/>
                <w:lang w:val="en-US" w:eastAsia="zh-CN" w:bidi="ar-SA"/>
              </w:rPr>
              <w:t>/</w:t>
            </w:r>
          </w:p>
        </w:tc>
        <w:tc>
          <w:tcPr>
            <w:tcW w:w="660" w:type="dxa"/>
            <w:tcBorders>
              <w:tl2br w:val="nil"/>
              <w:tr2bl w:val="nil"/>
            </w:tcBorders>
            <w:shd w:val="clear" w:color="auto" w:fill="auto"/>
            <w:noWrap/>
            <w:vAlign w:val="center"/>
          </w:tcPr>
          <w:p w14:paraId="75CA9B8F">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台</w:t>
            </w:r>
          </w:p>
        </w:tc>
        <w:tc>
          <w:tcPr>
            <w:tcW w:w="705" w:type="dxa"/>
            <w:tcBorders>
              <w:tl2br w:val="nil"/>
              <w:tr2bl w:val="nil"/>
            </w:tcBorders>
            <w:shd w:val="clear" w:color="auto" w:fill="auto"/>
            <w:vAlign w:val="center"/>
          </w:tcPr>
          <w:p w14:paraId="139FEB9D">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5</w:t>
            </w:r>
          </w:p>
        </w:tc>
        <w:tc>
          <w:tcPr>
            <w:tcW w:w="2308" w:type="dxa"/>
            <w:tcBorders>
              <w:tl2br w:val="nil"/>
              <w:tr2bl w:val="nil"/>
            </w:tcBorders>
            <w:shd w:val="clear" w:color="auto" w:fill="auto"/>
            <w:vAlign w:val="top"/>
          </w:tcPr>
          <w:p w14:paraId="6B66D13F">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改造</w:t>
            </w:r>
          </w:p>
        </w:tc>
      </w:tr>
      <w:tr w14:paraId="4B0F18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170" w:type="dxa"/>
            <w:vMerge w:val="continue"/>
            <w:tcBorders>
              <w:tl2br w:val="nil"/>
              <w:tr2bl w:val="nil"/>
            </w:tcBorders>
            <w:shd w:val="clear" w:color="auto" w:fill="auto"/>
            <w:noWrap/>
            <w:vAlign w:val="center"/>
          </w:tcPr>
          <w:p w14:paraId="14C4D189">
            <w:pPr>
              <w:pStyle w:val="8"/>
              <w:suppressLineNumbers w:val="0"/>
              <w:bidi w:val="0"/>
              <w:spacing w:before="0" w:beforeAutospacing="0" w:after="0" w:afterAutospacing="0"/>
              <w:ind w:left="0" w:right="0"/>
              <w:rPr>
                <w:rFonts w:hint="eastAsia"/>
                <w:highlight w:val="none"/>
                <w:lang w:val="en-US" w:eastAsia="zh-CN"/>
              </w:rPr>
            </w:pPr>
          </w:p>
        </w:tc>
        <w:tc>
          <w:tcPr>
            <w:tcW w:w="1860" w:type="dxa"/>
            <w:tcBorders>
              <w:tl2br w:val="nil"/>
              <w:tr2bl w:val="nil"/>
            </w:tcBorders>
            <w:shd w:val="clear" w:color="auto" w:fill="auto"/>
            <w:vAlign w:val="center"/>
          </w:tcPr>
          <w:p w14:paraId="3DEAE073">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拧紧机</w:t>
            </w:r>
          </w:p>
        </w:tc>
        <w:tc>
          <w:tcPr>
            <w:tcW w:w="1650" w:type="dxa"/>
            <w:tcBorders>
              <w:tl2br w:val="nil"/>
              <w:tr2bl w:val="nil"/>
            </w:tcBorders>
            <w:shd w:val="clear" w:color="auto" w:fill="auto"/>
            <w:vAlign w:val="center"/>
          </w:tcPr>
          <w:p w14:paraId="16287BB3">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textAlignment w:val="auto"/>
              <w:rPr>
                <w:rFonts w:hint="eastAsia"/>
                <w:highlight w:val="none"/>
                <w:lang w:val="en-US" w:eastAsia="zh-CN"/>
              </w:rPr>
            </w:pPr>
            <w:r>
              <w:rPr>
                <w:rFonts w:hint="eastAsia" w:ascii="Times New Roman" w:hAnsi="Times New Roman" w:eastAsia="宋体" w:cs="Times New Roman"/>
                <w:color w:val="000000"/>
                <w:kern w:val="0"/>
                <w:sz w:val="21"/>
                <w:szCs w:val="24"/>
                <w:highlight w:val="none"/>
                <w:lang w:val="en-US" w:eastAsia="zh-CN" w:bidi="ar-SA"/>
              </w:rPr>
              <w:t>/</w:t>
            </w:r>
          </w:p>
        </w:tc>
        <w:tc>
          <w:tcPr>
            <w:tcW w:w="660" w:type="dxa"/>
            <w:tcBorders>
              <w:tl2br w:val="nil"/>
              <w:tr2bl w:val="nil"/>
            </w:tcBorders>
            <w:shd w:val="clear" w:color="auto" w:fill="auto"/>
            <w:noWrap/>
            <w:vAlign w:val="center"/>
          </w:tcPr>
          <w:p w14:paraId="5A5F8361">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台</w:t>
            </w:r>
          </w:p>
        </w:tc>
        <w:tc>
          <w:tcPr>
            <w:tcW w:w="705" w:type="dxa"/>
            <w:tcBorders>
              <w:tl2br w:val="nil"/>
              <w:tr2bl w:val="nil"/>
            </w:tcBorders>
            <w:shd w:val="clear" w:color="auto" w:fill="auto"/>
            <w:vAlign w:val="center"/>
          </w:tcPr>
          <w:p w14:paraId="02EBE969">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w:t>
            </w:r>
          </w:p>
        </w:tc>
        <w:tc>
          <w:tcPr>
            <w:tcW w:w="2308" w:type="dxa"/>
            <w:tcBorders>
              <w:tl2br w:val="nil"/>
              <w:tr2bl w:val="nil"/>
            </w:tcBorders>
            <w:shd w:val="clear" w:color="auto" w:fill="auto"/>
            <w:vAlign w:val="top"/>
          </w:tcPr>
          <w:p w14:paraId="16CB91F7">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新增</w:t>
            </w:r>
          </w:p>
        </w:tc>
      </w:tr>
      <w:tr w14:paraId="057191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170" w:type="dxa"/>
            <w:vMerge w:val="continue"/>
            <w:tcBorders>
              <w:tl2br w:val="nil"/>
              <w:tr2bl w:val="nil"/>
            </w:tcBorders>
            <w:shd w:val="clear" w:color="auto" w:fill="auto"/>
            <w:noWrap/>
            <w:vAlign w:val="center"/>
          </w:tcPr>
          <w:p w14:paraId="02B3A9B9">
            <w:pPr>
              <w:pStyle w:val="8"/>
              <w:suppressLineNumbers w:val="0"/>
              <w:bidi w:val="0"/>
              <w:spacing w:before="0" w:beforeAutospacing="0" w:after="0" w:afterAutospacing="0"/>
              <w:ind w:left="0" w:right="0"/>
              <w:rPr>
                <w:rFonts w:hint="eastAsia"/>
                <w:highlight w:val="none"/>
                <w:lang w:val="en-US" w:eastAsia="zh-CN"/>
              </w:rPr>
            </w:pPr>
          </w:p>
        </w:tc>
        <w:tc>
          <w:tcPr>
            <w:tcW w:w="1860" w:type="dxa"/>
            <w:tcBorders>
              <w:tl2br w:val="nil"/>
              <w:tr2bl w:val="nil"/>
            </w:tcBorders>
            <w:shd w:val="clear" w:color="auto" w:fill="auto"/>
            <w:vAlign w:val="center"/>
          </w:tcPr>
          <w:p w14:paraId="182B3E6A">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研磨机</w:t>
            </w:r>
          </w:p>
        </w:tc>
        <w:tc>
          <w:tcPr>
            <w:tcW w:w="1650" w:type="dxa"/>
            <w:tcBorders>
              <w:tl2br w:val="nil"/>
              <w:tr2bl w:val="nil"/>
            </w:tcBorders>
            <w:shd w:val="clear" w:color="auto" w:fill="auto"/>
            <w:vAlign w:val="center"/>
          </w:tcPr>
          <w:p w14:paraId="52A9A18B">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textAlignment w:val="auto"/>
              <w:rPr>
                <w:rFonts w:hint="eastAsia"/>
                <w:highlight w:val="none"/>
                <w:lang w:val="en-US" w:eastAsia="zh-CN"/>
              </w:rPr>
            </w:pPr>
            <w:r>
              <w:rPr>
                <w:rFonts w:hint="eastAsia" w:ascii="Times New Roman" w:hAnsi="Times New Roman" w:eastAsia="宋体" w:cs="Times New Roman"/>
                <w:color w:val="000000"/>
                <w:kern w:val="0"/>
                <w:sz w:val="21"/>
                <w:szCs w:val="24"/>
                <w:highlight w:val="none"/>
                <w:lang w:val="en-US" w:eastAsia="zh-CN" w:bidi="ar-SA"/>
              </w:rPr>
              <w:t>/</w:t>
            </w:r>
          </w:p>
        </w:tc>
        <w:tc>
          <w:tcPr>
            <w:tcW w:w="660" w:type="dxa"/>
            <w:tcBorders>
              <w:tl2br w:val="nil"/>
              <w:tr2bl w:val="nil"/>
            </w:tcBorders>
            <w:shd w:val="clear" w:color="auto" w:fill="auto"/>
            <w:noWrap/>
            <w:vAlign w:val="center"/>
          </w:tcPr>
          <w:p w14:paraId="545E0B78">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台</w:t>
            </w:r>
          </w:p>
        </w:tc>
        <w:tc>
          <w:tcPr>
            <w:tcW w:w="705" w:type="dxa"/>
            <w:tcBorders>
              <w:tl2br w:val="nil"/>
              <w:tr2bl w:val="nil"/>
            </w:tcBorders>
            <w:shd w:val="clear" w:color="auto" w:fill="auto"/>
            <w:vAlign w:val="center"/>
          </w:tcPr>
          <w:p w14:paraId="21A61674">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w:t>
            </w:r>
          </w:p>
        </w:tc>
        <w:tc>
          <w:tcPr>
            <w:tcW w:w="2308" w:type="dxa"/>
            <w:tcBorders>
              <w:tl2br w:val="nil"/>
              <w:tr2bl w:val="nil"/>
            </w:tcBorders>
            <w:shd w:val="clear" w:color="auto" w:fill="auto"/>
            <w:vAlign w:val="top"/>
          </w:tcPr>
          <w:p w14:paraId="2B324A5E">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改造</w:t>
            </w:r>
          </w:p>
        </w:tc>
      </w:tr>
      <w:tr w14:paraId="5C90B6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170" w:type="dxa"/>
            <w:vMerge w:val="continue"/>
            <w:tcBorders>
              <w:tl2br w:val="nil"/>
              <w:tr2bl w:val="nil"/>
            </w:tcBorders>
            <w:shd w:val="clear" w:color="auto" w:fill="auto"/>
            <w:noWrap/>
            <w:vAlign w:val="center"/>
          </w:tcPr>
          <w:p w14:paraId="3B5C37C9">
            <w:pPr>
              <w:pStyle w:val="8"/>
              <w:suppressLineNumbers w:val="0"/>
              <w:bidi w:val="0"/>
              <w:spacing w:before="0" w:beforeAutospacing="0" w:after="0" w:afterAutospacing="0"/>
              <w:ind w:left="0" w:right="0"/>
              <w:rPr>
                <w:rFonts w:hint="eastAsia"/>
                <w:highlight w:val="none"/>
                <w:lang w:val="en-US" w:eastAsia="zh-CN"/>
              </w:rPr>
            </w:pPr>
          </w:p>
        </w:tc>
        <w:tc>
          <w:tcPr>
            <w:tcW w:w="1860" w:type="dxa"/>
            <w:tcBorders>
              <w:tl2br w:val="nil"/>
              <w:tr2bl w:val="nil"/>
            </w:tcBorders>
            <w:shd w:val="clear" w:color="auto" w:fill="auto"/>
            <w:vAlign w:val="center"/>
          </w:tcPr>
          <w:p w14:paraId="6C16A59A">
            <w:pPr>
              <w:pStyle w:val="8"/>
              <w:suppressLineNumbers w:val="0"/>
              <w:bidi w:val="0"/>
              <w:spacing w:before="0" w:beforeAutospacing="0" w:after="0" w:afterAutospacing="0"/>
              <w:ind w:left="0" w:leftChars="0" w:right="0" w:rightChars="0" w:firstLine="0" w:firstLineChars="0"/>
              <w:rPr>
                <w:rFonts w:hint="eastAsia"/>
                <w:highlight w:val="none"/>
                <w:lang w:val="en-US" w:eastAsia="zh-CN"/>
              </w:rPr>
            </w:pPr>
            <w:r>
              <w:rPr>
                <w:rFonts w:hint="eastAsia"/>
                <w:highlight w:val="none"/>
                <w:lang w:val="en-US" w:eastAsia="zh-CN"/>
              </w:rPr>
              <w:t>切屑液集中过滤系统</w:t>
            </w:r>
          </w:p>
        </w:tc>
        <w:tc>
          <w:tcPr>
            <w:tcW w:w="1650" w:type="dxa"/>
            <w:tcBorders>
              <w:tl2br w:val="nil"/>
              <w:tr2bl w:val="nil"/>
            </w:tcBorders>
            <w:shd w:val="clear" w:color="auto" w:fill="auto"/>
            <w:vAlign w:val="center"/>
          </w:tcPr>
          <w:p w14:paraId="7509E915">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textAlignment w:val="auto"/>
              <w:rPr>
                <w:rFonts w:hint="eastAsia"/>
                <w:highlight w:val="none"/>
                <w:lang w:val="en-US" w:eastAsia="zh-CN"/>
              </w:rPr>
            </w:pPr>
            <w:r>
              <w:rPr>
                <w:rFonts w:hint="eastAsia" w:ascii="Times New Roman" w:hAnsi="Times New Roman" w:eastAsia="宋体" w:cs="Times New Roman"/>
                <w:color w:val="000000"/>
                <w:kern w:val="0"/>
                <w:sz w:val="21"/>
                <w:szCs w:val="24"/>
                <w:highlight w:val="none"/>
                <w:lang w:val="en-US" w:eastAsia="zh-CN" w:bidi="ar-SA"/>
              </w:rPr>
              <w:t>/</w:t>
            </w:r>
          </w:p>
        </w:tc>
        <w:tc>
          <w:tcPr>
            <w:tcW w:w="660" w:type="dxa"/>
            <w:tcBorders>
              <w:tl2br w:val="nil"/>
              <w:tr2bl w:val="nil"/>
            </w:tcBorders>
            <w:shd w:val="clear" w:color="auto" w:fill="auto"/>
            <w:noWrap/>
            <w:vAlign w:val="center"/>
          </w:tcPr>
          <w:p w14:paraId="63E4E740">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台</w:t>
            </w:r>
          </w:p>
        </w:tc>
        <w:tc>
          <w:tcPr>
            <w:tcW w:w="705" w:type="dxa"/>
            <w:tcBorders>
              <w:tl2br w:val="nil"/>
              <w:tr2bl w:val="nil"/>
            </w:tcBorders>
            <w:shd w:val="clear" w:color="auto" w:fill="auto"/>
            <w:vAlign w:val="center"/>
          </w:tcPr>
          <w:p w14:paraId="6438415F">
            <w:pPr>
              <w:pStyle w:val="8"/>
              <w:suppressLineNumbers w:val="0"/>
              <w:bidi w:val="0"/>
              <w:spacing w:before="0" w:beforeAutospacing="0" w:after="0" w:afterAutospacing="0"/>
              <w:ind w:left="0" w:leftChars="0" w:right="0" w:rightChars="0" w:firstLine="0" w:firstLineChars="0"/>
              <w:jc w:val="center"/>
              <w:rPr>
                <w:rFonts w:hint="eastAsia"/>
                <w:highlight w:val="none"/>
                <w:lang w:val="en-US" w:eastAsia="zh-CN"/>
              </w:rPr>
            </w:pPr>
            <w:r>
              <w:rPr>
                <w:rFonts w:hint="eastAsia"/>
                <w:highlight w:val="none"/>
                <w:lang w:val="en-US" w:eastAsia="zh-CN"/>
              </w:rPr>
              <w:t>1</w:t>
            </w:r>
          </w:p>
        </w:tc>
        <w:tc>
          <w:tcPr>
            <w:tcW w:w="2308" w:type="dxa"/>
            <w:tcBorders>
              <w:tl2br w:val="nil"/>
              <w:tr2bl w:val="nil"/>
            </w:tcBorders>
            <w:shd w:val="clear" w:color="auto" w:fill="auto"/>
            <w:vAlign w:val="center"/>
          </w:tcPr>
          <w:p w14:paraId="2431E83D">
            <w:pPr>
              <w:pStyle w:val="8"/>
              <w:suppressLineNumbers w:val="0"/>
              <w:bidi w:val="0"/>
              <w:spacing w:before="0" w:beforeAutospacing="0" w:after="0" w:afterAutospacing="0"/>
              <w:ind w:left="0" w:leftChars="0" w:right="0" w:rightChars="0" w:firstLine="0" w:firstLineChars="0"/>
              <w:jc w:val="center"/>
              <w:rPr>
                <w:rFonts w:hint="eastAsia"/>
                <w:highlight w:val="none"/>
                <w:lang w:val="en-US" w:eastAsia="zh-CN"/>
              </w:rPr>
            </w:pPr>
            <w:r>
              <w:rPr>
                <w:rFonts w:hint="eastAsia"/>
                <w:highlight w:val="none"/>
                <w:lang w:val="en-US" w:eastAsia="zh-CN"/>
              </w:rPr>
              <w:t>改造</w:t>
            </w:r>
          </w:p>
        </w:tc>
      </w:tr>
      <w:tr w14:paraId="6D2525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170" w:type="dxa"/>
            <w:vMerge w:val="continue"/>
            <w:tcBorders>
              <w:tl2br w:val="nil"/>
              <w:tr2bl w:val="nil"/>
            </w:tcBorders>
            <w:shd w:val="clear" w:color="auto" w:fill="auto"/>
            <w:noWrap/>
            <w:vAlign w:val="center"/>
          </w:tcPr>
          <w:p w14:paraId="56DDCA9D">
            <w:pPr>
              <w:pStyle w:val="8"/>
              <w:suppressLineNumbers w:val="0"/>
              <w:bidi w:val="0"/>
              <w:spacing w:before="0" w:beforeAutospacing="0" w:after="0" w:afterAutospacing="0"/>
              <w:ind w:left="0" w:right="0"/>
              <w:rPr>
                <w:rFonts w:hint="eastAsia"/>
                <w:highlight w:val="none"/>
                <w:lang w:val="en-US" w:eastAsia="zh-CN"/>
              </w:rPr>
            </w:pPr>
          </w:p>
        </w:tc>
        <w:tc>
          <w:tcPr>
            <w:tcW w:w="1860" w:type="dxa"/>
            <w:tcBorders>
              <w:tl2br w:val="nil"/>
              <w:tr2bl w:val="nil"/>
            </w:tcBorders>
            <w:shd w:val="clear" w:color="auto" w:fill="auto"/>
            <w:vAlign w:val="center"/>
          </w:tcPr>
          <w:p w14:paraId="0751A4DA">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检测机</w:t>
            </w:r>
          </w:p>
        </w:tc>
        <w:tc>
          <w:tcPr>
            <w:tcW w:w="1650" w:type="dxa"/>
            <w:tcBorders>
              <w:tl2br w:val="nil"/>
              <w:tr2bl w:val="nil"/>
            </w:tcBorders>
            <w:shd w:val="clear" w:color="auto" w:fill="auto"/>
            <w:vAlign w:val="center"/>
          </w:tcPr>
          <w:p w14:paraId="374A98A1">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textAlignment w:val="auto"/>
              <w:rPr>
                <w:rFonts w:hint="eastAsia"/>
                <w:highlight w:val="none"/>
                <w:lang w:val="en-US" w:eastAsia="zh-CN"/>
              </w:rPr>
            </w:pPr>
            <w:r>
              <w:rPr>
                <w:rFonts w:hint="eastAsia" w:ascii="Times New Roman" w:hAnsi="Times New Roman" w:eastAsia="宋体" w:cs="Times New Roman"/>
                <w:color w:val="000000"/>
                <w:kern w:val="0"/>
                <w:sz w:val="21"/>
                <w:szCs w:val="24"/>
                <w:highlight w:val="none"/>
                <w:lang w:val="en-US" w:eastAsia="zh-CN" w:bidi="ar-SA"/>
              </w:rPr>
              <w:t>/</w:t>
            </w:r>
          </w:p>
        </w:tc>
        <w:tc>
          <w:tcPr>
            <w:tcW w:w="660" w:type="dxa"/>
            <w:tcBorders>
              <w:tl2br w:val="nil"/>
              <w:tr2bl w:val="nil"/>
            </w:tcBorders>
            <w:shd w:val="clear" w:color="auto" w:fill="auto"/>
            <w:noWrap/>
            <w:vAlign w:val="center"/>
          </w:tcPr>
          <w:p w14:paraId="2BACB6D9">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台</w:t>
            </w:r>
          </w:p>
        </w:tc>
        <w:tc>
          <w:tcPr>
            <w:tcW w:w="705" w:type="dxa"/>
            <w:tcBorders>
              <w:tl2br w:val="nil"/>
              <w:tr2bl w:val="nil"/>
            </w:tcBorders>
            <w:shd w:val="clear" w:color="auto" w:fill="auto"/>
            <w:vAlign w:val="center"/>
          </w:tcPr>
          <w:p w14:paraId="5F038BE8">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1</w:t>
            </w:r>
          </w:p>
        </w:tc>
        <w:tc>
          <w:tcPr>
            <w:tcW w:w="2308" w:type="dxa"/>
            <w:tcBorders>
              <w:tl2br w:val="nil"/>
              <w:tr2bl w:val="nil"/>
            </w:tcBorders>
            <w:shd w:val="clear" w:color="auto" w:fill="auto"/>
            <w:vAlign w:val="top"/>
          </w:tcPr>
          <w:p w14:paraId="6CA6B585">
            <w:pPr>
              <w:pStyle w:val="8"/>
              <w:suppressLineNumbers w:val="0"/>
              <w:bidi w:val="0"/>
              <w:spacing w:before="0" w:beforeAutospacing="0" w:after="0" w:afterAutospacing="0"/>
              <w:ind w:left="0" w:leftChars="0" w:right="0" w:rightChars="0" w:firstLine="0" w:firstLineChars="0"/>
              <w:rPr>
                <w:rFonts w:hint="eastAsia"/>
                <w:highlight w:val="none"/>
                <w:lang w:val="en-US" w:eastAsia="zh-CN"/>
              </w:rPr>
            </w:pPr>
            <w:r>
              <w:rPr>
                <w:rFonts w:hint="eastAsia"/>
                <w:highlight w:val="none"/>
                <w:lang w:val="en-US" w:eastAsia="zh-CN"/>
              </w:rPr>
              <w:t>改造</w:t>
            </w:r>
          </w:p>
        </w:tc>
      </w:tr>
      <w:tr w14:paraId="2E3A87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170" w:type="dxa"/>
            <w:vMerge w:val="continue"/>
            <w:tcBorders>
              <w:tl2br w:val="nil"/>
              <w:tr2bl w:val="nil"/>
            </w:tcBorders>
            <w:shd w:val="clear" w:color="auto" w:fill="auto"/>
            <w:noWrap/>
            <w:vAlign w:val="center"/>
          </w:tcPr>
          <w:p w14:paraId="0B2A5F85">
            <w:pPr>
              <w:pStyle w:val="8"/>
              <w:suppressLineNumbers w:val="0"/>
              <w:bidi w:val="0"/>
              <w:spacing w:before="0" w:beforeAutospacing="0" w:after="0" w:afterAutospacing="0"/>
              <w:ind w:left="0" w:right="0"/>
              <w:rPr>
                <w:rFonts w:hint="eastAsia"/>
                <w:highlight w:val="none"/>
                <w:lang w:val="en-US" w:eastAsia="zh-CN"/>
              </w:rPr>
            </w:pPr>
          </w:p>
        </w:tc>
        <w:tc>
          <w:tcPr>
            <w:tcW w:w="1860" w:type="dxa"/>
            <w:tcBorders>
              <w:tl2br w:val="nil"/>
              <w:tr2bl w:val="nil"/>
            </w:tcBorders>
            <w:shd w:val="clear" w:color="auto" w:fill="auto"/>
            <w:vAlign w:val="center"/>
          </w:tcPr>
          <w:p w14:paraId="107E47B7">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浸渗筐</w:t>
            </w:r>
          </w:p>
        </w:tc>
        <w:tc>
          <w:tcPr>
            <w:tcW w:w="1650" w:type="dxa"/>
            <w:tcBorders>
              <w:tl2br w:val="nil"/>
              <w:tr2bl w:val="nil"/>
            </w:tcBorders>
            <w:shd w:val="clear" w:color="auto" w:fill="auto"/>
            <w:vAlign w:val="center"/>
          </w:tcPr>
          <w:p w14:paraId="4004C632">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textAlignment w:val="auto"/>
              <w:rPr>
                <w:rFonts w:hint="eastAsia"/>
                <w:highlight w:val="none"/>
                <w:lang w:val="en-US" w:eastAsia="zh-CN"/>
              </w:rPr>
            </w:pPr>
            <w:r>
              <w:rPr>
                <w:rFonts w:hint="eastAsia" w:ascii="Times New Roman" w:hAnsi="Times New Roman" w:eastAsia="宋体" w:cs="Times New Roman"/>
                <w:color w:val="000000"/>
                <w:kern w:val="0"/>
                <w:sz w:val="21"/>
                <w:szCs w:val="24"/>
                <w:highlight w:val="none"/>
                <w:lang w:val="en-US" w:eastAsia="zh-CN" w:bidi="ar-SA"/>
              </w:rPr>
              <w:t>/</w:t>
            </w:r>
          </w:p>
        </w:tc>
        <w:tc>
          <w:tcPr>
            <w:tcW w:w="660" w:type="dxa"/>
            <w:tcBorders>
              <w:tl2br w:val="nil"/>
              <w:tr2bl w:val="nil"/>
            </w:tcBorders>
            <w:shd w:val="clear" w:color="auto" w:fill="auto"/>
            <w:noWrap/>
            <w:vAlign w:val="center"/>
          </w:tcPr>
          <w:p w14:paraId="44D4062F">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台</w:t>
            </w:r>
          </w:p>
        </w:tc>
        <w:tc>
          <w:tcPr>
            <w:tcW w:w="705" w:type="dxa"/>
            <w:tcBorders>
              <w:tl2br w:val="nil"/>
              <w:tr2bl w:val="nil"/>
            </w:tcBorders>
            <w:shd w:val="clear" w:color="auto" w:fill="auto"/>
            <w:vAlign w:val="center"/>
          </w:tcPr>
          <w:p w14:paraId="29A9F189">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1</w:t>
            </w:r>
          </w:p>
        </w:tc>
        <w:tc>
          <w:tcPr>
            <w:tcW w:w="2308" w:type="dxa"/>
            <w:tcBorders>
              <w:tl2br w:val="nil"/>
              <w:tr2bl w:val="nil"/>
            </w:tcBorders>
            <w:shd w:val="clear" w:color="auto" w:fill="auto"/>
            <w:vAlign w:val="top"/>
          </w:tcPr>
          <w:p w14:paraId="2199BD7B">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新增</w:t>
            </w:r>
          </w:p>
        </w:tc>
      </w:tr>
      <w:tr w14:paraId="7EB111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170" w:type="dxa"/>
            <w:vMerge w:val="restart"/>
            <w:tcBorders>
              <w:tl2br w:val="nil"/>
              <w:tr2bl w:val="nil"/>
            </w:tcBorders>
            <w:shd w:val="clear" w:color="auto" w:fill="auto"/>
            <w:noWrap/>
            <w:vAlign w:val="center"/>
          </w:tcPr>
          <w:p w14:paraId="7E5479C5">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缸盖线</w:t>
            </w:r>
          </w:p>
        </w:tc>
        <w:tc>
          <w:tcPr>
            <w:tcW w:w="1860" w:type="dxa"/>
            <w:tcBorders>
              <w:tl2br w:val="nil"/>
              <w:tr2bl w:val="nil"/>
            </w:tcBorders>
            <w:shd w:val="clear" w:color="auto" w:fill="auto"/>
            <w:vAlign w:val="center"/>
          </w:tcPr>
          <w:p w14:paraId="401977B4">
            <w:pPr>
              <w:pStyle w:val="8"/>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color w:val="000000"/>
                <w:kern w:val="0"/>
                <w:sz w:val="21"/>
                <w:szCs w:val="24"/>
                <w:highlight w:val="none"/>
                <w:lang w:val="en-US" w:eastAsia="zh-CN" w:bidi="ar-SA"/>
              </w:rPr>
            </w:pPr>
            <w:r>
              <w:rPr>
                <w:rFonts w:hint="eastAsia"/>
                <w:highlight w:val="none"/>
                <w:lang w:val="en-US" w:eastAsia="zh-CN"/>
              </w:rPr>
              <w:t>加工中心</w:t>
            </w:r>
          </w:p>
        </w:tc>
        <w:tc>
          <w:tcPr>
            <w:tcW w:w="1650" w:type="dxa"/>
            <w:tcBorders>
              <w:tl2br w:val="nil"/>
              <w:tr2bl w:val="nil"/>
            </w:tcBorders>
            <w:shd w:val="clear" w:color="auto" w:fill="auto"/>
            <w:vAlign w:val="center"/>
          </w:tcPr>
          <w:p w14:paraId="31632531">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w:t>
            </w:r>
          </w:p>
        </w:tc>
        <w:tc>
          <w:tcPr>
            <w:tcW w:w="660" w:type="dxa"/>
            <w:tcBorders>
              <w:tl2br w:val="nil"/>
              <w:tr2bl w:val="nil"/>
            </w:tcBorders>
            <w:shd w:val="clear" w:color="auto" w:fill="auto"/>
            <w:noWrap/>
            <w:vAlign w:val="center"/>
          </w:tcPr>
          <w:p w14:paraId="60566F48">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台</w:t>
            </w:r>
          </w:p>
        </w:tc>
        <w:tc>
          <w:tcPr>
            <w:tcW w:w="705" w:type="dxa"/>
            <w:tcBorders>
              <w:tl2br w:val="nil"/>
              <w:tr2bl w:val="nil"/>
            </w:tcBorders>
            <w:shd w:val="clear" w:color="auto" w:fill="auto"/>
            <w:vAlign w:val="center"/>
          </w:tcPr>
          <w:p w14:paraId="729D4888">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kern w:val="0"/>
                <w:sz w:val="21"/>
                <w:szCs w:val="24"/>
                <w:highlight w:val="none"/>
                <w:lang w:val="en-US" w:eastAsia="zh-CN" w:bidi="ar-SA"/>
              </w:rPr>
            </w:pPr>
            <w:r>
              <w:rPr>
                <w:rFonts w:hint="eastAsia"/>
                <w:highlight w:val="none"/>
                <w:lang w:val="en-US" w:eastAsia="zh-CN"/>
              </w:rPr>
              <w:t>24</w:t>
            </w:r>
          </w:p>
        </w:tc>
        <w:tc>
          <w:tcPr>
            <w:tcW w:w="2308" w:type="dxa"/>
            <w:tcBorders>
              <w:tl2br w:val="nil"/>
              <w:tr2bl w:val="nil"/>
            </w:tcBorders>
            <w:shd w:val="clear" w:color="auto" w:fill="auto"/>
            <w:vAlign w:val="top"/>
          </w:tcPr>
          <w:p w14:paraId="1361238D">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改造19</w:t>
            </w:r>
            <w:r>
              <w:rPr>
                <w:rFonts w:hint="eastAsia" w:eastAsia="宋体" w:cs="Times New Roman"/>
                <w:color w:val="000000"/>
                <w:kern w:val="0"/>
                <w:sz w:val="21"/>
                <w:szCs w:val="24"/>
                <w:highlight w:val="none"/>
                <w:lang w:val="en-US" w:eastAsia="zh-CN" w:bidi="ar-SA"/>
              </w:rPr>
              <w:t>台</w:t>
            </w:r>
            <w:r>
              <w:rPr>
                <w:rFonts w:hint="eastAsia" w:ascii="Times New Roman" w:hAnsi="Times New Roman" w:eastAsia="宋体" w:cs="Times New Roman"/>
                <w:color w:val="000000"/>
                <w:kern w:val="0"/>
                <w:sz w:val="21"/>
                <w:szCs w:val="24"/>
                <w:highlight w:val="none"/>
                <w:lang w:val="en-US" w:eastAsia="zh-CN" w:bidi="ar-SA"/>
              </w:rPr>
              <w:t>，新增5</w:t>
            </w:r>
            <w:r>
              <w:rPr>
                <w:rFonts w:hint="eastAsia" w:eastAsia="宋体" w:cs="Times New Roman"/>
                <w:color w:val="000000"/>
                <w:kern w:val="0"/>
                <w:sz w:val="21"/>
                <w:szCs w:val="24"/>
                <w:highlight w:val="none"/>
                <w:lang w:val="en-US" w:eastAsia="zh-CN" w:bidi="ar-SA"/>
              </w:rPr>
              <w:t>台</w:t>
            </w:r>
          </w:p>
        </w:tc>
      </w:tr>
      <w:tr w14:paraId="7E8EBA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170" w:type="dxa"/>
            <w:vMerge w:val="continue"/>
            <w:tcBorders>
              <w:tl2br w:val="nil"/>
              <w:tr2bl w:val="nil"/>
            </w:tcBorders>
            <w:shd w:val="clear" w:color="auto" w:fill="auto"/>
            <w:noWrap/>
            <w:vAlign w:val="center"/>
          </w:tcPr>
          <w:p w14:paraId="649B2ED8">
            <w:pPr>
              <w:pStyle w:val="8"/>
              <w:suppressLineNumbers w:val="0"/>
              <w:bidi w:val="0"/>
              <w:spacing w:before="0" w:beforeAutospacing="0" w:after="0" w:afterAutospacing="0"/>
              <w:ind w:left="0" w:right="0"/>
              <w:rPr>
                <w:rFonts w:hint="default"/>
                <w:highlight w:val="none"/>
                <w:lang w:val="en-US" w:eastAsia="zh-CN"/>
              </w:rPr>
            </w:pPr>
          </w:p>
        </w:tc>
        <w:tc>
          <w:tcPr>
            <w:tcW w:w="1860" w:type="dxa"/>
            <w:tcBorders>
              <w:tl2br w:val="nil"/>
              <w:tr2bl w:val="nil"/>
            </w:tcBorders>
            <w:shd w:val="clear" w:color="auto" w:fill="auto"/>
            <w:vAlign w:val="center"/>
          </w:tcPr>
          <w:p w14:paraId="6239443E">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打号机</w:t>
            </w:r>
          </w:p>
        </w:tc>
        <w:tc>
          <w:tcPr>
            <w:tcW w:w="1650" w:type="dxa"/>
            <w:tcBorders>
              <w:tl2br w:val="nil"/>
              <w:tr2bl w:val="nil"/>
            </w:tcBorders>
            <w:shd w:val="clear" w:color="auto" w:fill="auto"/>
            <w:vAlign w:val="center"/>
          </w:tcPr>
          <w:p w14:paraId="24B143AA">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textAlignment w:val="auto"/>
              <w:rPr>
                <w:rFonts w:hint="eastAsia"/>
                <w:highlight w:val="none"/>
                <w:lang w:val="en-US" w:eastAsia="zh-CN"/>
              </w:rPr>
            </w:pPr>
            <w:r>
              <w:rPr>
                <w:rFonts w:hint="eastAsia" w:ascii="Times New Roman" w:hAnsi="Times New Roman" w:eastAsia="宋体" w:cs="Times New Roman"/>
                <w:color w:val="000000"/>
                <w:kern w:val="0"/>
                <w:sz w:val="21"/>
                <w:szCs w:val="24"/>
                <w:highlight w:val="none"/>
                <w:lang w:val="en-US" w:eastAsia="zh-CN" w:bidi="ar-SA"/>
              </w:rPr>
              <w:t>/</w:t>
            </w:r>
          </w:p>
        </w:tc>
        <w:tc>
          <w:tcPr>
            <w:tcW w:w="660" w:type="dxa"/>
            <w:tcBorders>
              <w:tl2br w:val="nil"/>
              <w:tr2bl w:val="nil"/>
            </w:tcBorders>
            <w:shd w:val="clear" w:color="auto" w:fill="auto"/>
            <w:noWrap/>
            <w:vAlign w:val="center"/>
          </w:tcPr>
          <w:p w14:paraId="05AF3D8B">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台</w:t>
            </w:r>
          </w:p>
        </w:tc>
        <w:tc>
          <w:tcPr>
            <w:tcW w:w="705" w:type="dxa"/>
            <w:tcBorders>
              <w:tl2br w:val="nil"/>
              <w:tr2bl w:val="nil"/>
            </w:tcBorders>
            <w:shd w:val="clear" w:color="auto" w:fill="auto"/>
            <w:vAlign w:val="center"/>
          </w:tcPr>
          <w:p w14:paraId="28CAF7A3">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2</w:t>
            </w:r>
          </w:p>
        </w:tc>
        <w:tc>
          <w:tcPr>
            <w:tcW w:w="2308" w:type="dxa"/>
            <w:tcBorders>
              <w:tl2br w:val="nil"/>
              <w:tr2bl w:val="nil"/>
            </w:tcBorders>
            <w:shd w:val="clear" w:color="auto" w:fill="auto"/>
            <w:vAlign w:val="top"/>
          </w:tcPr>
          <w:p w14:paraId="02CAF5A5">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新增</w:t>
            </w:r>
          </w:p>
        </w:tc>
      </w:tr>
      <w:tr w14:paraId="1040BE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170" w:type="dxa"/>
            <w:vMerge w:val="continue"/>
            <w:tcBorders>
              <w:tl2br w:val="nil"/>
              <w:tr2bl w:val="nil"/>
            </w:tcBorders>
            <w:shd w:val="clear" w:color="auto" w:fill="auto"/>
            <w:noWrap/>
            <w:vAlign w:val="center"/>
          </w:tcPr>
          <w:p w14:paraId="5DF09C4E">
            <w:pPr>
              <w:pStyle w:val="8"/>
              <w:suppressLineNumbers w:val="0"/>
              <w:bidi w:val="0"/>
              <w:spacing w:before="0" w:beforeAutospacing="0" w:after="0" w:afterAutospacing="0"/>
              <w:ind w:left="0" w:right="0"/>
              <w:rPr>
                <w:rFonts w:hint="eastAsia"/>
                <w:highlight w:val="none"/>
                <w:lang w:val="en-US" w:eastAsia="zh-CN"/>
              </w:rPr>
            </w:pPr>
          </w:p>
        </w:tc>
        <w:tc>
          <w:tcPr>
            <w:tcW w:w="1860" w:type="dxa"/>
            <w:tcBorders>
              <w:tl2br w:val="nil"/>
              <w:tr2bl w:val="nil"/>
            </w:tcBorders>
            <w:shd w:val="clear" w:color="auto" w:fill="auto"/>
            <w:vAlign w:val="center"/>
          </w:tcPr>
          <w:p w14:paraId="54975184">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拧紧机</w:t>
            </w:r>
          </w:p>
        </w:tc>
        <w:tc>
          <w:tcPr>
            <w:tcW w:w="1650" w:type="dxa"/>
            <w:tcBorders>
              <w:tl2br w:val="nil"/>
              <w:tr2bl w:val="nil"/>
            </w:tcBorders>
            <w:shd w:val="clear" w:color="auto" w:fill="auto"/>
            <w:vAlign w:val="center"/>
          </w:tcPr>
          <w:p w14:paraId="6FAFB653">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textAlignment w:val="auto"/>
              <w:rPr>
                <w:rFonts w:hint="eastAsia"/>
                <w:highlight w:val="none"/>
                <w:lang w:val="en-US" w:eastAsia="zh-CN"/>
              </w:rPr>
            </w:pPr>
            <w:r>
              <w:rPr>
                <w:rFonts w:hint="eastAsia" w:ascii="Times New Roman" w:hAnsi="Times New Roman" w:eastAsia="宋体" w:cs="Times New Roman"/>
                <w:color w:val="000000"/>
                <w:kern w:val="0"/>
                <w:sz w:val="21"/>
                <w:szCs w:val="24"/>
                <w:highlight w:val="none"/>
                <w:lang w:val="en-US" w:eastAsia="zh-CN" w:bidi="ar-SA"/>
              </w:rPr>
              <w:t>/</w:t>
            </w:r>
          </w:p>
        </w:tc>
        <w:tc>
          <w:tcPr>
            <w:tcW w:w="660" w:type="dxa"/>
            <w:tcBorders>
              <w:tl2br w:val="nil"/>
              <w:tr2bl w:val="nil"/>
            </w:tcBorders>
            <w:shd w:val="clear" w:color="auto" w:fill="auto"/>
            <w:noWrap/>
            <w:vAlign w:val="center"/>
          </w:tcPr>
          <w:p w14:paraId="47693781">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台</w:t>
            </w:r>
          </w:p>
        </w:tc>
        <w:tc>
          <w:tcPr>
            <w:tcW w:w="705" w:type="dxa"/>
            <w:tcBorders>
              <w:tl2br w:val="nil"/>
              <w:tr2bl w:val="nil"/>
            </w:tcBorders>
            <w:shd w:val="clear" w:color="auto" w:fill="auto"/>
            <w:vAlign w:val="center"/>
          </w:tcPr>
          <w:p w14:paraId="7C21F874">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1</w:t>
            </w:r>
          </w:p>
        </w:tc>
        <w:tc>
          <w:tcPr>
            <w:tcW w:w="2308" w:type="dxa"/>
            <w:tcBorders>
              <w:tl2br w:val="nil"/>
              <w:tr2bl w:val="nil"/>
            </w:tcBorders>
            <w:shd w:val="clear" w:color="auto" w:fill="auto"/>
            <w:vAlign w:val="top"/>
          </w:tcPr>
          <w:p w14:paraId="56302334">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新增</w:t>
            </w:r>
          </w:p>
        </w:tc>
      </w:tr>
      <w:tr w14:paraId="7CD3D1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170" w:type="dxa"/>
            <w:vMerge w:val="continue"/>
            <w:tcBorders>
              <w:tl2br w:val="nil"/>
              <w:tr2bl w:val="nil"/>
            </w:tcBorders>
            <w:shd w:val="clear" w:color="auto" w:fill="auto"/>
            <w:noWrap/>
            <w:vAlign w:val="center"/>
          </w:tcPr>
          <w:p w14:paraId="32ED1DE8">
            <w:pPr>
              <w:pStyle w:val="8"/>
              <w:suppressLineNumbers w:val="0"/>
              <w:bidi w:val="0"/>
              <w:spacing w:before="0" w:beforeAutospacing="0" w:after="0" w:afterAutospacing="0"/>
              <w:ind w:left="0" w:right="0"/>
              <w:rPr>
                <w:rFonts w:hint="eastAsia"/>
                <w:highlight w:val="none"/>
                <w:lang w:val="en-US" w:eastAsia="zh-CN"/>
              </w:rPr>
            </w:pPr>
          </w:p>
        </w:tc>
        <w:tc>
          <w:tcPr>
            <w:tcW w:w="1860" w:type="dxa"/>
            <w:tcBorders>
              <w:tl2br w:val="nil"/>
              <w:tr2bl w:val="nil"/>
            </w:tcBorders>
            <w:shd w:val="clear" w:color="auto" w:fill="auto"/>
            <w:vAlign w:val="center"/>
          </w:tcPr>
          <w:p w14:paraId="6C85BB20">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加工中心夹具</w:t>
            </w:r>
          </w:p>
        </w:tc>
        <w:tc>
          <w:tcPr>
            <w:tcW w:w="1650" w:type="dxa"/>
            <w:tcBorders>
              <w:tl2br w:val="nil"/>
              <w:tr2bl w:val="nil"/>
            </w:tcBorders>
            <w:shd w:val="clear" w:color="auto" w:fill="auto"/>
            <w:vAlign w:val="center"/>
          </w:tcPr>
          <w:p w14:paraId="76B03F8E">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textAlignment w:val="auto"/>
              <w:rPr>
                <w:rFonts w:hint="eastAsia"/>
                <w:highlight w:val="none"/>
                <w:lang w:val="en-US" w:eastAsia="zh-CN"/>
              </w:rPr>
            </w:pPr>
            <w:r>
              <w:rPr>
                <w:rFonts w:hint="eastAsia" w:ascii="Times New Roman" w:hAnsi="Times New Roman" w:eastAsia="宋体" w:cs="Times New Roman"/>
                <w:color w:val="000000"/>
                <w:kern w:val="0"/>
                <w:sz w:val="21"/>
                <w:szCs w:val="24"/>
                <w:highlight w:val="none"/>
                <w:lang w:val="en-US" w:eastAsia="zh-CN" w:bidi="ar-SA"/>
              </w:rPr>
              <w:t>/</w:t>
            </w:r>
          </w:p>
        </w:tc>
        <w:tc>
          <w:tcPr>
            <w:tcW w:w="660" w:type="dxa"/>
            <w:tcBorders>
              <w:tl2br w:val="nil"/>
              <w:tr2bl w:val="nil"/>
            </w:tcBorders>
            <w:shd w:val="clear" w:color="auto" w:fill="auto"/>
            <w:noWrap/>
            <w:vAlign w:val="center"/>
          </w:tcPr>
          <w:p w14:paraId="1DE71204">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台</w:t>
            </w:r>
          </w:p>
        </w:tc>
        <w:tc>
          <w:tcPr>
            <w:tcW w:w="705" w:type="dxa"/>
            <w:tcBorders>
              <w:tl2br w:val="nil"/>
              <w:tr2bl w:val="nil"/>
            </w:tcBorders>
            <w:shd w:val="clear" w:color="auto" w:fill="auto"/>
            <w:vAlign w:val="center"/>
          </w:tcPr>
          <w:p w14:paraId="2A9BA1B1">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1</w:t>
            </w:r>
          </w:p>
        </w:tc>
        <w:tc>
          <w:tcPr>
            <w:tcW w:w="2308" w:type="dxa"/>
            <w:tcBorders>
              <w:tl2br w:val="nil"/>
              <w:tr2bl w:val="nil"/>
            </w:tcBorders>
            <w:shd w:val="clear" w:color="auto" w:fill="auto"/>
            <w:vAlign w:val="top"/>
          </w:tcPr>
          <w:p w14:paraId="62570E0D">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新增</w:t>
            </w:r>
          </w:p>
        </w:tc>
      </w:tr>
      <w:tr w14:paraId="65C4F3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170" w:type="dxa"/>
            <w:vMerge w:val="continue"/>
            <w:tcBorders>
              <w:tl2br w:val="nil"/>
              <w:tr2bl w:val="nil"/>
            </w:tcBorders>
            <w:shd w:val="clear" w:color="auto" w:fill="auto"/>
            <w:noWrap/>
            <w:vAlign w:val="center"/>
          </w:tcPr>
          <w:p w14:paraId="1F893355">
            <w:pPr>
              <w:pStyle w:val="8"/>
              <w:suppressLineNumbers w:val="0"/>
              <w:bidi w:val="0"/>
              <w:spacing w:before="0" w:beforeAutospacing="0" w:after="0" w:afterAutospacing="0"/>
              <w:ind w:left="0" w:right="0"/>
              <w:rPr>
                <w:rFonts w:hint="eastAsia"/>
                <w:highlight w:val="none"/>
                <w:lang w:val="en-US" w:eastAsia="zh-CN"/>
              </w:rPr>
            </w:pPr>
          </w:p>
        </w:tc>
        <w:tc>
          <w:tcPr>
            <w:tcW w:w="1860" w:type="dxa"/>
            <w:tcBorders>
              <w:tl2br w:val="nil"/>
              <w:tr2bl w:val="nil"/>
            </w:tcBorders>
            <w:shd w:val="clear" w:color="auto" w:fill="auto"/>
            <w:vAlign w:val="center"/>
          </w:tcPr>
          <w:p w14:paraId="6C660C0D">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机械手上下料机</w:t>
            </w:r>
          </w:p>
        </w:tc>
        <w:tc>
          <w:tcPr>
            <w:tcW w:w="1650" w:type="dxa"/>
            <w:tcBorders>
              <w:tl2br w:val="nil"/>
              <w:tr2bl w:val="nil"/>
            </w:tcBorders>
            <w:shd w:val="clear" w:color="auto" w:fill="auto"/>
            <w:vAlign w:val="center"/>
          </w:tcPr>
          <w:p w14:paraId="00C8B780">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textAlignment w:val="auto"/>
              <w:rPr>
                <w:rFonts w:hint="eastAsia"/>
                <w:highlight w:val="none"/>
                <w:lang w:val="en-US" w:eastAsia="zh-CN"/>
              </w:rPr>
            </w:pPr>
            <w:r>
              <w:rPr>
                <w:rFonts w:hint="eastAsia" w:ascii="Times New Roman" w:hAnsi="Times New Roman" w:eastAsia="宋体" w:cs="Times New Roman"/>
                <w:color w:val="000000"/>
                <w:kern w:val="0"/>
                <w:sz w:val="21"/>
                <w:szCs w:val="24"/>
                <w:highlight w:val="none"/>
                <w:lang w:val="en-US" w:eastAsia="zh-CN" w:bidi="ar-SA"/>
              </w:rPr>
              <w:t>/</w:t>
            </w:r>
          </w:p>
        </w:tc>
        <w:tc>
          <w:tcPr>
            <w:tcW w:w="660" w:type="dxa"/>
            <w:tcBorders>
              <w:tl2br w:val="nil"/>
              <w:tr2bl w:val="nil"/>
            </w:tcBorders>
            <w:shd w:val="clear" w:color="auto" w:fill="auto"/>
            <w:noWrap/>
            <w:vAlign w:val="center"/>
          </w:tcPr>
          <w:p w14:paraId="3A26E84A">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台</w:t>
            </w:r>
          </w:p>
        </w:tc>
        <w:tc>
          <w:tcPr>
            <w:tcW w:w="705" w:type="dxa"/>
            <w:tcBorders>
              <w:tl2br w:val="nil"/>
              <w:tr2bl w:val="nil"/>
            </w:tcBorders>
            <w:shd w:val="clear" w:color="auto" w:fill="auto"/>
            <w:vAlign w:val="center"/>
          </w:tcPr>
          <w:p w14:paraId="043E42A4">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1</w:t>
            </w:r>
          </w:p>
        </w:tc>
        <w:tc>
          <w:tcPr>
            <w:tcW w:w="2308" w:type="dxa"/>
            <w:tcBorders>
              <w:tl2br w:val="nil"/>
              <w:tr2bl w:val="nil"/>
            </w:tcBorders>
            <w:shd w:val="clear" w:color="auto" w:fill="auto"/>
            <w:vAlign w:val="top"/>
          </w:tcPr>
          <w:p w14:paraId="64C0EED5">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新增</w:t>
            </w:r>
          </w:p>
        </w:tc>
      </w:tr>
      <w:tr w14:paraId="32CEC2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170" w:type="dxa"/>
            <w:vMerge w:val="continue"/>
            <w:tcBorders>
              <w:tl2br w:val="nil"/>
              <w:tr2bl w:val="nil"/>
            </w:tcBorders>
            <w:shd w:val="clear" w:color="auto" w:fill="auto"/>
            <w:noWrap/>
            <w:vAlign w:val="center"/>
          </w:tcPr>
          <w:p w14:paraId="2435A3BA">
            <w:pPr>
              <w:pStyle w:val="8"/>
              <w:suppressLineNumbers w:val="0"/>
              <w:bidi w:val="0"/>
              <w:spacing w:before="0" w:beforeAutospacing="0" w:after="0" w:afterAutospacing="0"/>
              <w:ind w:left="0" w:right="0"/>
              <w:rPr>
                <w:rFonts w:hint="eastAsia"/>
                <w:highlight w:val="none"/>
                <w:lang w:val="en-US" w:eastAsia="zh-CN"/>
              </w:rPr>
            </w:pPr>
          </w:p>
        </w:tc>
        <w:tc>
          <w:tcPr>
            <w:tcW w:w="1860" w:type="dxa"/>
            <w:tcBorders>
              <w:tl2br w:val="nil"/>
              <w:tr2bl w:val="nil"/>
            </w:tcBorders>
            <w:shd w:val="clear" w:color="auto" w:fill="auto"/>
            <w:vAlign w:val="center"/>
          </w:tcPr>
          <w:p w14:paraId="0346F890">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检测仪</w:t>
            </w:r>
          </w:p>
        </w:tc>
        <w:tc>
          <w:tcPr>
            <w:tcW w:w="1650" w:type="dxa"/>
            <w:tcBorders>
              <w:tl2br w:val="nil"/>
              <w:tr2bl w:val="nil"/>
            </w:tcBorders>
            <w:shd w:val="clear" w:color="auto" w:fill="auto"/>
            <w:vAlign w:val="center"/>
          </w:tcPr>
          <w:p w14:paraId="4389EBD2">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textAlignment w:val="auto"/>
              <w:rPr>
                <w:rFonts w:hint="eastAsia"/>
                <w:highlight w:val="none"/>
                <w:lang w:val="en-US" w:eastAsia="zh-CN"/>
              </w:rPr>
            </w:pPr>
            <w:r>
              <w:rPr>
                <w:rFonts w:hint="eastAsia" w:ascii="Times New Roman" w:hAnsi="Times New Roman" w:eastAsia="宋体" w:cs="Times New Roman"/>
                <w:color w:val="000000"/>
                <w:kern w:val="0"/>
                <w:sz w:val="21"/>
                <w:szCs w:val="24"/>
                <w:highlight w:val="none"/>
                <w:lang w:val="en-US" w:eastAsia="zh-CN" w:bidi="ar-SA"/>
              </w:rPr>
              <w:t>/</w:t>
            </w:r>
          </w:p>
        </w:tc>
        <w:tc>
          <w:tcPr>
            <w:tcW w:w="660" w:type="dxa"/>
            <w:tcBorders>
              <w:tl2br w:val="nil"/>
              <w:tr2bl w:val="nil"/>
            </w:tcBorders>
            <w:shd w:val="clear" w:color="auto" w:fill="auto"/>
            <w:noWrap/>
            <w:vAlign w:val="center"/>
          </w:tcPr>
          <w:p w14:paraId="35C0B87C">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台</w:t>
            </w:r>
          </w:p>
        </w:tc>
        <w:tc>
          <w:tcPr>
            <w:tcW w:w="705" w:type="dxa"/>
            <w:tcBorders>
              <w:tl2br w:val="nil"/>
              <w:tr2bl w:val="nil"/>
            </w:tcBorders>
            <w:shd w:val="clear" w:color="auto" w:fill="auto"/>
            <w:vAlign w:val="center"/>
          </w:tcPr>
          <w:p w14:paraId="2CDF1D10">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1</w:t>
            </w:r>
          </w:p>
        </w:tc>
        <w:tc>
          <w:tcPr>
            <w:tcW w:w="2308" w:type="dxa"/>
            <w:tcBorders>
              <w:tl2br w:val="nil"/>
              <w:tr2bl w:val="nil"/>
            </w:tcBorders>
            <w:shd w:val="clear" w:color="auto" w:fill="auto"/>
            <w:vAlign w:val="top"/>
          </w:tcPr>
          <w:p w14:paraId="1C199158">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新增</w:t>
            </w:r>
          </w:p>
        </w:tc>
      </w:tr>
      <w:tr w14:paraId="6E8730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70" w:type="dxa"/>
            <w:vMerge w:val="restart"/>
            <w:tcBorders>
              <w:tl2br w:val="nil"/>
              <w:tr2bl w:val="nil"/>
            </w:tcBorders>
            <w:shd w:val="clear" w:color="auto" w:fill="auto"/>
            <w:noWrap/>
            <w:vAlign w:val="center"/>
          </w:tcPr>
          <w:p w14:paraId="31A4B1C3">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总装线</w:t>
            </w:r>
          </w:p>
        </w:tc>
        <w:tc>
          <w:tcPr>
            <w:tcW w:w="1860" w:type="dxa"/>
            <w:tcBorders>
              <w:tl2br w:val="nil"/>
              <w:tr2bl w:val="nil"/>
            </w:tcBorders>
            <w:shd w:val="clear" w:color="auto" w:fill="auto"/>
            <w:vAlign w:val="center"/>
          </w:tcPr>
          <w:p w14:paraId="201B811B">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试漏机</w:t>
            </w:r>
          </w:p>
        </w:tc>
        <w:tc>
          <w:tcPr>
            <w:tcW w:w="1650" w:type="dxa"/>
            <w:tcBorders>
              <w:tl2br w:val="nil"/>
              <w:tr2bl w:val="nil"/>
            </w:tcBorders>
            <w:shd w:val="clear" w:color="auto" w:fill="auto"/>
            <w:vAlign w:val="center"/>
          </w:tcPr>
          <w:p w14:paraId="70D6BBA5">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textAlignment w:val="auto"/>
              <w:rPr>
                <w:rFonts w:hint="eastAsia"/>
                <w:highlight w:val="none"/>
                <w:lang w:val="en-US" w:eastAsia="zh-CN"/>
              </w:rPr>
            </w:pPr>
            <w:r>
              <w:rPr>
                <w:rFonts w:hint="eastAsia" w:ascii="Times New Roman" w:hAnsi="Times New Roman" w:eastAsia="宋体" w:cs="Times New Roman"/>
                <w:color w:val="000000"/>
                <w:kern w:val="0"/>
                <w:sz w:val="21"/>
                <w:szCs w:val="24"/>
                <w:highlight w:val="none"/>
                <w:lang w:val="en-US" w:eastAsia="zh-CN" w:bidi="ar-SA"/>
              </w:rPr>
              <w:t>/</w:t>
            </w:r>
          </w:p>
        </w:tc>
        <w:tc>
          <w:tcPr>
            <w:tcW w:w="660" w:type="dxa"/>
            <w:tcBorders>
              <w:tl2br w:val="nil"/>
              <w:tr2bl w:val="nil"/>
            </w:tcBorders>
            <w:shd w:val="clear" w:color="auto" w:fill="auto"/>
            <w:noWrap/>
            <w:vAlign w:val="center"/>
          </w:tcPr>
          <w:p w14:paraId="5CD9B08B">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台</w:t>
            </w:r>
          </w:p>
        </w:tc>
        <w:tc>
          <w:tcPr>
            <w:tcW w:w="705" w:type="dxa"/>
            <w:tcBorders>
              <w:tl2br w:val="nil"/>
              <w:tr2bl w:val="nil"/>
            </w:tcBorders>
            <w:shd w:val="clear" w:color="auto" w:fill="auto"/>
            <w:vAlign w:val="center"/>
          </w:tcPr>
          <w:p w14:paraId="084058E6">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4</w:t>
            </w:r>
          </w:p>
        </w:tc>
        <w:tc>
          <w:tcPr>
            <w:tcW w:w="2308" w:type="dxa"/>
            <w:tcBorders>
              <w:tl2br w:val="nil"/>
              <w:tr2bl w:val="nil"/>
            </w:tcBorders>
            <w:shd w:val="clear" w:color="auto" w:fill="auto"/>
            <w:vAlign w:val="top"/>
          </w:tcPr>
          <w:p w14:paraId="040F4D98">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改造</w:t>
            </w:r>
          </w:p>
        </w:tc>
      </w:tr>
      <w:tr w14:paraId="207C0E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170" w:type="dxa"/>
            <w:vMerge w:val="continue"/>
            <w:tcBorders>
              <w:tl2br w:val="nil"/>
              <w:tr2bl w:val="nil"/>
            </w:tcBorders>
            <w:shd w:val="clear" w:color="auto" w:fill="auto"/>
            <w:noWrap/>
            <w:vAlign w:val="center"/>
          </w:tcPr>
          <w:p w14:paraId="79CE98B3">
            <w:pPr>
              <w:pStyle w:val="8"/>
              <w:suppressLineNumbers w:val="0"/>
              <w:bidi w:val="0"/>
              <w:spacing w:before="0" w:beforeAutospacing="0" w:after="0" w:afterAutospacing="0"/>
              <w:ind w:left="0" w:right="0"/>
              <w:rPr>
                <w:rFonts w:hint="eastAsia"/>
                <w:highlight w:val="none"/>
                <w:lang w:val="en-US" w:eastAsia="zh-CN"/>
              </w:rPr>
            </w:pPr>
          </w:p>
        </w:tc>
        <w:tc>
          <w:tcPr>
            <w:tcW w:w="1860" w:type="dxa"/>
            <w:tcBorders>
              <w:tl2br w:val="nil"/>
              <w:tr2bl w:val="nil"/>
            </w:tcBorders>
            <w:shd w:val="clear" w:color="auto" w:fill="auto"/>
            <w:vAlign w:val="center"/>
          </w:tcPr>
          <w:p w14:paraId="0F37FF6A">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清洗机</w:t>
            </w:r>
          </w:p>
        </w:tc>
        <w:tc>
          <w:tcPr>
            <w:tcW w:w="1650" w:type="dxa"/>
            <w:tcBorders>
              <w:tl2br w:val="nil"/>
              <w:tr2bl w:val="nil"/>
            </w:tcBorders>
            <w:shd w:val="clear" w:color="auto" w:fill="auto"/>
            <w:vAlign w:val="center"/>
          </w:tcPr>
          <w:p w14:paraId="181BCADA">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textAlignment w:val="auto"/>
              <w:rPr>
                <w:rFonts w:hint="eastAsia"/>
                <w:highlight w:val="none"/>
                <w:lang w:val="en-US" w:eastAsia="zh-CN"/>
              </w:rPr>
            </w:pPr>
            <w:r>
              <w:rPr>
                <w:rFonts w:hint="eastAsia" w:ascii="Times New Roman" w:hAnsi="Times New Roman" w:eastAsia="宋体" w:cs="Times New Roman"/>
                <w:color w:val="000000"/>
                <w:kern w:val="0"/>
                <w:sz w:val="21"/>
                <w:szCs w:val="24"/>
                <w:highlight w:val="none"/>
                <w:lang w:val="en-US" w:eastAsia="zh-CN" w:bidi="ar-SA"/>
              </w:rPr>
              <w:t>/</w:t>
            </w:r>
          </w:p>
        </w:tc>
        <w:tc>
          <w:tcPr>
            <w:tcW w:w="660" w:type="dxa"/>
            <w:tcBorders>
              <w:tl2br w:val="nil"/>
              <w:tr2bl w:val="nil"/>
            </w:tcBorders>
            <w:shd w:val="clear" w:color="auto" w:fill="auto"/>
            <w:noWrap/>
            <w:vAlign w:val="center"/>
          </w:tcPr>
          <w:p w14:paraId="557FDD68">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台</w:t>
            </w:r>
          </w:p>
        </w:tc>
        <w:tc>
          <w:tcPr>
            <w:tcW w:w="705" w:type="dxa"/>
            <w:tcBorders>
              <w:tl2br w:val="nil"/>
              <w:tr2bl w:val="nil"/>
            </w:tcBorders>
            <w:shd w:val="clear" w:color="auto" w:fill="auto"/>
            <w:vAlign w:val="center"/>
          </w:tcPr>
          <w:p w14:paraId="04A852A1">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7</w:t>
            </w:r>
          </w:p>
        </w:tc>
        <w:tc>
          <w:tcPr>
            <w:tcW w:w="2308" w:type="dxa"/>
            <w:tcBorders>
              <w:tl2br w:val="nil"/>
              <w:tr2bl w:val="nil"/>
            </w:tcBorders>
            <w:shd w:val="clear" w:color="auto" w:fill="auto"/>
            <w:vAlign w:val="top"/>
          </w:tcPr>
          <w:p w14:paraId="4252B41A">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改造5</w:t>
            </w:r>
            <w:r>
              <w:rPr>
                <w:rFonts w:hint="eastAsia" w:eastAsia="宋体" w:cs="Times New Roman"/>
                <w:color w:val="000000"/>
                <w:kern w:val="0"/>
                <w:sz w:val="21"/>
                <w:szCs w:val="24"/>
                <w:highlight w:val="none"/>
                <w:lang w:val="en-US" w:eastAsia="zh-CN" w:bidi="ar-SA"/>
              </w:rPr>
              <w:t>台</w:t>
            </w:r>
            <w:r>
              <w:rPr>
                <w:rFonts w:hint="eastAsia" w:ascii="Times New Roman" w:hAnsi="Times New Roman" w:eastAsia="宋体" w:cs="Times New Roman"/>
                <w:color w:val="000000"/>
                <w:kern w:val="0"/>
                <w:sz w:val="21"/>
                <w:szCs w:val="24"/>
                <w:highlight w:val="none"/>
                <w:lang w:val="en-US" w:eastAsia="zh-CN" w:bidi="ar-SA"/>
              </w:rPr>
              <w:t>，新增2</w:t>
            </w:r>
            <w:r>
              <w:rPr>
                <w:rFonts w:hint="eastAsia" w:eastAsia="宋体" w:cs="Times New Roman"/>
                <w:color w:val="000000"/>
                <w:kern w:val="0"/>
                <w:sz w:val="21"/>
                <w:szCs w:val="24"/>
                <w:highlight w:val="none"/>
                <w:lang w:val="en-US" w:eastAsia="zh-CN" w:bidi="ar-SA"/>
              </w:rPr>
              <w:t>台</w:t>
            </w:r>
          </w:p>
        </w:tc>
      </w:tr>
      <w:tr w14:paraId="3E137D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170" w:type="dxa"/>
            <w:vMerge w:val="continue"/>
            <w:tcBorders>
              <w:tl2br w:val="nil"/>
              <w:tr2bl w:val="nil"/>
            </w:tcBorders>
            <w:shd w:val="clear" w:color="auto" w:fill="auto"/>
            <w:noWrap/>
            <w:vAlign w:val="center"/>
          </w:tcPr>
          <w:p w14:paraId="4C64BDE7">
            <w:pPr>
              <w:pStyle w:val="8"/>
              <w:suppressLineNumbers w:val="0"/>
              <w:bidi w:val="0"/>
              <w:spacing w:before="0" w:beforeAutospacing="0" w:after="0" w:afterAutospacing="0"/>
              <w:ind w:left="0" w:right="0"/>
              <w:rPr>
                <w:rFonts w:hint="eastAsia"/>
                <w:highlight w:val="none"/>
                <w:lang w:val="en-US" w:eastAsia="zh-CN"/>
              </w:rPr>
            </w:pPr>
          </w:p>
        </w:tc>
        <w:tc>
          <w:tcPr>
            <w:tcW w:w="1860" w:type="dxa"/>
            <w:tcBorders>
              <w:tl2br w:val="nil"/>
              <w:tr2bl w:val="nil"/>
            </w:tcBorders>
            <w:shd w:val="clear" w:color="auto" w:fill="auto"/>
            <w:vAlign w:val="center"/>
          </w:tcPr>
          <w:p w14:paraId="21135982">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油雾净化系统</w:t>
            </w:r>
          </w:p>
        </w:tc>
        <w:tc>
          <w:tcPr>
            <w:tcW w:w="1650" w:type="dxa"/>
            <w:tcBorders>
              <w:tl2br w:val="nil"/>
              <w:tr2bl w:val="nil"/>
            </w:tcBorders>
            <w:shd w:val="clear" w:color="auto" w:fill="auto"/>
            <w:vAlign w:val="center"/>
          </w:tcPr>
          <w:p w14:paraId="1E77146B">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textAlignment w:val="auto"/>
              <w:rPr>
                <w:rFonts w:hint="eastAsia"/>
                <w:highlight w:val="none"/>
                <w:lang w:val="en-US" w:eastAsia="zh-CN"/>
              </w:rPr>
            </w:pPr>
            <w:r>
              <w:rPr>
                <w:rFonts w:hint="eastAsia" w:ascii="Times New Roman" w:hAnsi="Times New Roman" w:eastAsia="宋体" w:cs="Times New Roman"/>
                <w:color w:val="000000"/>
                <w:kern w:val="0"/>
                <w:sz w:val="21"/>
                <w:szCs w:val="24"/>
                <w:highlight w:val="none"/>
                <w:lang w:val="en-US" w:eastAsia="zh-CN" w:bidi="ar-SA"/>
              </w:rPr>
              <w:t>/</w:t>
            </w:r>
          </w:p>
        </w:tc>
        <w:tc>
          <w:tcPr>
            <w:tcW w:w="660" w:type="dxa"/>
            <w:tcBorders>
              <w:tl2br w:val="nil"/>
              <w:tr2bl w:val="nil"/>
            </w:tcBorders>
            <w:shd w:val="clear" w:color="auto" w:fill="auto"/>
            <w:noWrap/>
            <w:vAlign w:val="center"/>
          </w:tcPr>
          <w:p w14:paraId="25746A33">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台</w:t>
            </w:r>
          </w:p>
        </w:tc>
        <w:tc>
          <w:tcPr>
            <w:tcW w:w="705" w:type="dxa"/>
            <w:tcBorders>
              <w:tl2br w:val="nil"/>
              <w:tr2bl w:val="nil"/>
            </w:tcBorders>
            <w:shd w:val="clear" w:color="auto" w:fill="auto"/>
            <w:vAlign w:val="center"/>
          </w:tcPr>
          <w:p w14:paraId="3273923D">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2</w:t>
            </w:r>
          </w:p>
        </w:tc>
        <w:tc>
          <w:tcPr>
            <w:tcW w:w="2308" w:type="dxa"/>
            <w:tcBorders>
              <w:tl2br w:val="nil"/>
              <w:tr2bl w:val="nil"/>
            </w:tcBorders>
            <w:shd w:val="clear" w:color="auto" w:fill="auto"/>
            <w:vAlign w:val="top"/>
          </w:tcPr>
          <w:p w14:paraId="7F422DDA">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新增</w:t>
            </w:r>
          </w:p>
        </w:tc>
      </w:tr>
      <w:tr w14:paraId="5D3B9A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170" w:type="dxa"/>
            <w:vMerge w:val="continue"/>
            <w:tcBorders>
              <w:tl2br w:val="nil"/>
              <w:tr2bl w:val="nil"/>
            </w:tcBorders>
            <w:shd w:val="clear" w:color="auto" w:fill="auto"/>
            <w:noWrap/>
            <w:vAlign w:val="center"/>
          </w:tcPr>
          <w:p w14:paraId="7A95DF02">
            <w:pPr>
              <w:pStyle w:val="8"/>
              <w:suppressLineNumbers w:val="0"/>
              <w:bidi w:val="0"/>
              <w:spacing w:before="0" w:beforeAutospacing="0" w:after="0" w:afterAutospacing="0"/>
              <w:ind w:left="0" w:right="0"/>
              <w:rPr>
                <w:rFonts w:hint="eastAsia"/>
                <w:highlight w:val="none"/>
                <w:lang w:val="en-US" w:eastAsia="zh-CN"/>
              </w:rPr>
            </w:pPr>
          </w:p>
        </w:tc>
        <w:tc>
          <w:tcPr>
            <w:tcW w:w="1860" w:type="dxa"/>
            <w:tcBorders>
              <w:tl2br w:val="nil"/>
              <w:tr2bl w:val="nil"/>
            </w:tcBorders>
            <w:shd w:val="clear" w:color="auto" w:fill="auto"/>
            <w:vAlign w:val="center"/>
          </w:tcPr>
          <w:p w14:paraId="02A02741">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拧紧机</w:t>
            </w:r>
          </w:p>
        </w:tc>
        <w:tc>
          <w:tcPr>
            <w:tcW w:w="1650" w:type="dxa"/>
            <w:tcBorders>
              <w:tl2br w:val="nil"/>
              <w:tr2bl w:val="nil"/>
            </w:tcBorders>
            <w:shd w:val="clear" w:color="auto" w:fill="auto"/>
            <w:vAlign w:val="center"/>
          </w:tcPr>
          <w:p w14:paraId="42C52B0D">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textAlignment w:val="auto"/>
              <w:rPr>
                <w:rFonts w:hint="eastAsia"/>
                <w:highlight w:val="none"/>
                <w:lang w:val="en-US" w:eastAsia="zh-CN"/>
              </w:rPr>
            </w:pPr>
            <w:r>
              <w:rPr>
                <w:rFonts w:hint="eastAsia" w:ascii="Times New Roman" w:hAnsi="Times New Roman" w:eastAsia="宋体" w:cs="Times New Roman"/>
                <w:color w:val="000000"/>
                <w:kern w:val="0"/>
                <w:sz w:val="21"/>
                <w:szCs w:val="24"/>
                <w:highlight w:val="none"/>
                <w:lang w:val="en-US" w:eastAsia="zh-CN" w:bidi="ar-SA"/>
              </w:rPr>
              <w:t>/</w:t>
            </w:r>
          </w:p>
        </w:tc>
        <w:tc>
          <w:tcPr>
            <w:tcW w:w="660" w:type="dxa"/>
            <w:tcBorders>
              <w:tl2br w:val="nil"/>
              <w:tr2bl w:val="nil"/>
            </w:tcBorders>
            <w:shd w:val="clear" w:color="auto" w:fill="auto"/>
            <w:noWrap/>
            <w:vAlign w:val="center"/>
          </w:tcPr>
          <w:p w14:paraId="13E203F1">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台</w:t>
            </w:r>
          </w:p>
        </w:tc>
        <w:tc>
          <w:tcPr>
            <w:tcW w:w="705" w:type="dxa"/>
            <w:tcBorders>
              <w:tl2br w:val="nil"/>
              <w:tr2bl w:val="nil"/>
            </w:tcBorders>
            <w:shd w:val="clear" w:color="auto" w:fill="auto"/>
            <w:vAlign w:val="center"/>
          </w:tcPr>
          <w:p w14:paraId="3BA527C4">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18</w:t>
            </w:r>
          </w:p>
        </w:tc>
        <w:tc>
          <w:tcPr>
            <w:tcW w:w="2308" w:type="dxa"/>
            <w:tcBorders>
              <w:tl2br w:val="nil"/>
              <w:tr2bl w:val="nil"/>
            </w:tcBorders>
            <w:shd w:val="clear" w:color="auto" w:fill="auto"/>
            <w:vAlign w:val="top"/>
          </w:tcPr>
          <w:p w14:paraId="106B16B1">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新增10</w:t>
            </w:r>
            <w:r>
              <w:rPr>
                <w:rFonts w:hint="eastAsia" w:eastAsia="宋体" w:cs="Times New Roman"/>
                <w:color w:val="000000"/>
                <w:kern w:val="0"/>
                <w:sz w:val="21"/>
                <w:szCs w:val="24"/>
                <w:highlight w:val="none"/>
                <w:lang w:val="en-US" w:eastAsia="zh-CN" w:bidi="ar-SA"/>
              </w:rPr>
              <w:t>台</w:t>
            </w:r>
            <w:r>
              <w:rPr>
                <w:rFonts w:hint="eastAsia" w:ascii="Times New Roman" w:hAnsi="Times New Roman" w:eastAsia="宋体" w:cs="Times New Roman"/>
                <w:color w:val="000000"/>
                <w:kern w:val="0"/>
                <w:sz w:val="21"/>
                <w:szCs w:val="24"/>
                <w:highlight w:val="none"/>
                <w:lang w:val="en-US" w:eastAsia="zh-CN" w:bidi="ar-SA"/>
              </w:rPr>
              <w:t>，改造8</w:t>
            </w:r>
            <w:r>
              <w:rPr>
                <w:rFonts w:hint="eastAsia" w:eastAsia="宋体" w:cs="Times New Roman"/>
                <w:color w:val="000000"/>
                <w:kern w:val="0"/>
                <w:sz w:val="21"/>
                <w:szCs w:val="24"/>
                <w:highlight w:val="none"/>
                <w:lang w:val="en-US" w:eastAsia="zh-CN" w:bidi="ar-SA"/>
              </w:rPr>
              <w:t>台</w:t>
            </w:r>
          </w:p>
        </w:tc>
      </w:tr>
      <w:tr w14:paraId="40BF49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170" w:type="dxa"/>
            <w:vMerge w:val="continue"/>
            <w:tcBorders>
              <w:tl2br w:val="nil"/>
              <w:tr2bl w:val="nil"/>
            </w:tcBorders>
            <w:shd w:val="clear" w:color="auto" w:fill="auto"/>
            <w:noWrap/>
            <w:vAlign w:val="center"/>
          </w:tcPr>
          <w:p w14:paraId="779D4533">
            <w:pPr>
              <w:pStyle w:val="8"/>
              <w:suppressLineNumbers w:val="0"/>
              <w:bidi w:val="0"/>
              <w:spacing w:before="0" w:beforeAutospacing="0" w:after="0" w:afterAutospacing="0"/>
              <w:ind w:left="0" w:right="0"/>
              <w:rPr>
                <w:rFonts w:hint="eastAsia"/>
                <w:highlight w:val="none"/>
                <w:lang w:val="en-US" w:eastAsia="zh-CN"/>
              </w:rPr>
            </w:pPr>
          </w:p>
        </w:tc>
        <w:tc>
          <w:tcPr>
            <w:tcW w:w="1860" w:type="dxa"/>
            <w:tcBorders>
              <w:tl2br w:val="nil"/>
              <w:tr2bl w:val="nil"/>
            </w:tcBorders>
            <w:shd w:val="clear" w:color="auto" w:fill="auto"/>
            <w:vAlign w:val="center"/>
          </w:tcPr>
          <w:p w14:paraId="1A39B56A">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打号机</w:t>
            </w:r>
          </w:p>
        </w:tc>
        <w:tc>
          <w:tcPr>
            <w:tcW w:w="1650" w:type="dxa"/>
            <w:tcBorders>
              <w:tl2br w:val="nil"/>
              <w:tr2bl w:val="nil"/>
            </w:tcBorders>
            <w:shd w:val="clear" w:color="auto" w:fill="auto"/>
            <w:vAlign w:val="center"/>
          </w:tcPr>
          <w:p w14:paraId="0685B7C4">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textAlignment w:val="auto"/>
              <w:rPr>
                <w:rFonts w:hint="eastAsia"/>
                <w:highlight w:val="none"/>
                <w:lang w:val="en-US" w:eastAsia="zh-CN"/>
              </w:rPr>
            </w:pPr>
            <w:r>
              <w:rPr>
                <w:rFonts w:hint="eastAsia" w:ascii="Times New Roman" w:hAnsi="Times New Roman" w:eastAsia="宋体" w:cs="Times New Roman"/>
                <w:color w:val="000000"/>
                <w:kern w:val="0"/>
                <w:sz w:val="21"/>
                <w:szCs w:val="24"/>
                <w:highlight w:val="none"/>
                <w:lang w:val="en-US" w:eastAsia="zh-CN" w:bidi="ar-SA"/>
              </w:rPr>
              <w:t>/</w:t>
            </w:r>
          </w:p>
        </w:tc>
        <w:tc>
          <w:tcPr>
            <w:tcW w:w="660" w:type="dxa"/>
            <w:tcBorders>
              <w:tl2br w:val="nil"/>
              <w:tr2bl w:val="nil"/>
            </w:tcBorders>
            <w:shd w:val="clear" w:color="auto" w:fill="auto"/>
            <w:noWrap/>
            <w:vAlign w:val="center"/>
          </w:tcPr>
          <w:p w14:paraId="4C6B9E44">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台</w:t>
            </w:r>
          </w:p>
        </w:tc>
        <w:tc>
          <w:tcPr>
            <w:tcW w:w="705" w:type="dxa"/>
            <w:tcBorders>
              <w:tl2br w:val="nil"/>
              <w:tr2bl w:val="nil"/>
            </w:tcBorders>
            <w:shd w:val="clear" w:color="auto" w:fill="auto"/>
            <w:vAlign w:val="center"/>
          </w:tcPr>
          <w:p w14:paraId="3932C6F9">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1</w:t>
            </w:r>
          </w:p>
        </w:tc>
        <w:tc>
          <w:tcPr>
            <w:tcW w:w="2308" w:type="dxa"/>
            <w:tcBorders>
              <w:tl2br w:val="nil"/>
              <w:tr2bl w:val="nil"/>
            </w:tcBorders>
            <w:shd w:val="clear" w:color="auto" w:fill="auto"/>
            <w:vAlign w:val="top"/>
          </w:tcPr>
          <w:p w14:paraId="5C3F0B68">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新增1</w:t>
            </w:r>
          </w:p>
        </w:tc>
      </w:tr>
      <w:tr w14:paraId="160821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170" w:type="dxa"/>
            <w:vMerge w:val="continue"/>
            <w:tcBorders>
              <w:tl2br w:val="nil"/>
              <w:tr2bl w:val="nil"/>
            </w:tcBorders>
            <w:shd w:val="clear" w:color="auto" w:fill="auto"/>
            <w:noWrap/>
            <w:vAlign w:val="center"/>
          </w:tcPr>
          <w:p w14:paraId="21D7FC12">
            <w:pPr>
              <w:pStyle w:val="8"/>
              <w:suppressLineNumbers w:val="0"/>
              <w:bidi w:val="0"/>
              <w:spacing w:before="0" w:beforeAutospacing="0" w:after="0" w:afterAutospacing="0"/>
              <w:ind w:left="0" w:right="0"/>
              <w:rPr>
                <w:rFonts w:hint="eastAsia"/>
                <w:highlight w:val="none"/>
                <w:lang w:val="en-US" w:eastAsia="zh-CN"/>
              </w:rPr>
            </w:pPr>
          </w:p>
        </w:tc>
        <w:tc>
          <w:tcPr>
            <w:tcW w:w="1860" w:type="dxa"/>
            <w:tcBorders>
              <w:tl2br w:val="nil"/>
              <w:tr2bl w:val="nil"/>
            </w:tcBorders>
            <w:shd w:val="clear" w:color="auto" w:fill="auto"/>
            <w:vAlign w:val="center"/>
          </w:tcPr>
          <w:p w14:paraId="757817BD">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翻转机</w:t>
            </w:r>
          </w:p>
        </w:tc>
        <w:tc>
          <w:tcPr>
            <w:tcW w:w="1650" w:type="dxa"/>
            <w:tcBorders>
              <w:tl2br w:val="nil"/>
              <w:tr2bl w:val="nil"/>
            </w:tcBorders>
            <w:shd w:val="clear" w:color="auto" w:fill="auto"/>
            <w:vAlign w:val="center"/>
          </w:tcPr>
          <w:p w14:paraId="30E03996">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textAlignment w:val="auto"/>
              <w:rPr>
                <w:rFonts w:hint="eastAsia"/>
                <w:highlight w:val="none"/>
                <w:lang w:val="en-US" w:eastAsia="zh-CN"/>
              </w:rPr>
            </w:pPr>
            <w:r>
              <w:rPr>
                <w:rFonts w:hint="eastAsia" w:ascii="Times New Roman" w:hAnsi="Times New Roman" w:eastAsia="宋体" w:cs="Times New Roman"/>
                <w:color w:val="000000"/>
                <w:kern w:val="0"/>
                <w:sz w:val="21"/>
                <w:szCs w:val="24"/>
                <w:highlight w:val="none"/>
                <w:lang w:val="en-US" w:eastAsia="zh-CN" w:bidi="ar-SA"/>
              </w:rPr>
              <w:t>/</w:t>
            </w:r>
          </w:p>
        </w:tc>
        <w:tc>
          <w:tcPr>
            <w:tcW w:w="660" w:type="dxa"/>
            <w:tcBorders>
              <w:tl2br w:val="nil"/>
              <w:tr2bl w:val="nil"/>
            </w:tcBorders>
            <w:shd w:val="clear" w:color="auto" w:fill="auto"/>
            <w:noWrap/>
            <w:vAlign w:val="center"/>
          </w:tcPr>
          <w:p w14:paraId="47E84D36">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台</w:t>
            </w:r>
          </w:p>
        </w:tc>
        <w:tc>
          <w:tcPr>
            <w:tcW w:w="705" w:type="dxa"/>
            <w:tcBorders>
              <w:tl2br w:val="nil"/>
              <w:tr2bl w:val="nil"/>
            </w:tcBorders>
            <w:shd w:val="clear" w:color="auto" w:fill="auto"/>
            <w:vAlign w:val="center"/>
          </w:tcPr>
          <w:p w14:paraId="73A9A54B">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5</w:t>
            </w:r>
          </w:p>
        </w:tc>
        <w:tc>
          <w:tcPr>
            <w:tcW w:w="2308" w:type="dxa"/>
            <w:tcBorders>
              <w:tl2br w:val="nil"/>
              <w:tr2bl w:val="nil"/>
            </w:tcBorders>
            <w:shd w:val="clear" w:color="auto" w:fill="auto"/>
            <w:vAlign w:val="top"/>
          </w:tcPr>
          <w:p w14:paraId="47726F03">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新增5</w:t>
            </w:r>
          </w:p>
        </w:tc>
      </w:tr>
      <w:tr w14:paraId="682C12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170" w:type="dxa"/>
            <w:vMerge w:val="continue"/>
            <w:tcBorders>
              <w:tl2br w:val="nil"/>
              <w:tr2bl w:val="nil"/>
            </w:tcBorders>
            <w:shd w:val="clear" w:color="auto" w:fill="auto"/>
            <w:noWrap/>
            <w:vAlign w:val="center"/>
          </w:tcPr>
          <w:p w14:paraId="2429C1B7">
            <w:pPr>
              <w:pStyle w:val="8"/>
              <w:suppressLineNumbers w:val="0"/>
              <w:bidi w:val="0"/>
              <w:spacing w:before="0" w:beforeAutospacing="0" w:after="0" w:afterAutospacing="0"/>
              <w:ind w:left="0" w:right="0"/>
              <w:rPr>
                <w:rFonts w:hint="eastAsia"/>
                <w:highlight w:val="none"/>
                <w:lang w:val="en-US" w:eastAsia="zh-CN"/>
              </w:rPr>
            </w:pPr>
          </w:p>
        </w:tc>
        <w:tc>
          <w:tcPr>
            <w:tcW w:w="1860" w:type="dxa"/>
            <w:tcBorders>
              <w:tl2br w:val="nil"/>
              <w:tr2bl w:val="nil"/>
            </w:tcBorders>
            <w:shd w:val="clear" w:color="auto" w:fill="auto"/>
            <w:vAlign w:val="center"/>
          </w:tcPr>
          <w:p w14:paraId="7D15CBEF">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分解机</w:t>
            </w:r>
          </w:p>
        </w:tc>
        <w:tc>
          <w:tcPr>
            <w:tcW w:w="1650" w:type="dxa"/>
            <w:tcBorders>
              <w:tl2br w:val="nil"/>
              <w:tr2bl w:val="nil"/>
            </w:tcBorders>
            <w:shd w:val="clear" w:color="auto" w:fill="auto"/>
            <w:vAlign w:val="center"/>
          </w:tcPr>
          <w:p w14:paraId="6ED9A277">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textAlignment w:val="auto"/>
              <w:rPr>
                <w:rFonts w:hint="eastAsia"/>
                <w:highlight w:val="none"/>
                <w:lang w:val="en-US" w:eastAsia="zh-CN"/>
              </w:rPr>
            </w:pPr>
            <w:r>
              <w:rPr>
                <w:rFonts w:hint="eastAsia" w:ascii="Times New Roman" w:hAnsi="Times New Roman" w:eastAsia="宋体" w:cs="Times New Roman"/>
                <w:color w:val="000000"/>
                <w:kern w:val="0"/>
                <w:sz w:val="21"/>
                <w:szCs w:val="24"/>
                <w:highlight w:val="none"/>
                <w:lang w:val="en-US" w:eastAsia="zh-CN" w:bidi="ar-SA"/>
              </w:rPr>
              <w:t>/</w:t>
            </w:r>
          </w:p>
        </w:tc>
        <w:tc>
          <w:tcPr>
            <w:tcW w:w="660" w:type="dxa"/>
            <w:tcBorders>
              <w:tl2br w:val="nil"/>
              <w:tr2bl w:val="nil"/>
            </w:tcBorders>
            <w:shd w:val="clear" w:color="auto" w:fill="auto"/>
            <w:noWrap/>
            <w:vAlign w:val="center"/>
          </w:tcPr>
          <w:p w14:paraId="3351A409">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台</w:t>
            </w:r>
          </w:p>
        </w:tc>
        <w:tc>
          <w:tcPr>
            <w:tcW w:w="705" w:type="dxa"/>
            <w:tcBorders>
              <w:tl2br w:val="nil"/>
              <w:tr2bl w:val="nil"/>
            </w:tcBorders>
            <w:shd w:val="clear" w:color="auto" w:fill="auto"/>
            <w:vAlign w:val="center"/>
          </w:tcPr>
          <w:p w14:paraId="7B20FF25">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3</w:t>
            </w:r>
          </w:p>
        </w:tc>
        <w:tc>
          <w:tcPr>
            <w:tcW w:w="2308" w:type="dxa"/>
            <w:tcBorders>
              <w:tl2br w:val="nil"/>
              <w:tr2bl w:val="nil"/>
            </w:tcBorders>
            <w:shd w:val="clear" w:color="auto" w:fill="auto"/>
            <w:vAlign w:val="top"/>
          </w:tcPr>
          <w:p w14:paraId="677DCBF8">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新增1</w:t>
            </w:r>
            <w:r>
              <w:rPr>
                <w:rFonts w:hint="eastAsia" w:eastAsia="宋体" w:cs="Times New Roman"/>
                <w:color w:val="000000"/>
                <w:kern w:val="0"/>
                <w:sz w:val="21"/>
                <w:szCs w:val="24"/>
                <w:highlight w:val="none"/>
                <w:lang w:val="en-US" w:eastAsia="zh-CN" w:bidi="ar-SA"/>
              </w:rPr>
              <w:t>台</w:t>
            </w:r>
            <w:r>
              <w:rPr>
                <w:rFonts w:hint="eastAsia"/>
                <w:highlight w:val="none"/>
                <w:lang w:val="en-US" w:eastAsia="zh-CN"/>
              </w:rPr>
              <w:t>，改造2</w:t>
            </w:r>
            <w:r>
              <w:rPr>
                <w:rFonts w:hint="eastAsia" w:eastAsia="宋体" w:cs="Times New Roman"/>
                <w:color w:val="000000"/>
                <w:kern w:val="0"/>
                <w:sz w:val="21"/>
                <w:szCs w:val="24"/>
                <w:highlight w:val="none"/>
                <w:lang w:val="en-US" w:eastAsia="zh-CN" w:bidi="ar-SA"/>
              </w:rPr>
              <w:t>台</w:t>
            </w:r>
          </w:p>
        </w:tc>
      </w:tr>
      <w:tr w14:paraId="184C52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170" w:type="dxa"/>
            <w:vMerge w:val="continue"/>
            <w:tcBorders>
              <w:tl2br w:val="nil"/>
              <w:tr2bl w:val="nil"/>
            </w:tcBorders>
            <w:shd w:val="clear" w:color="auto" w:fill="auto"/>
            <w:noWrap/>
            <w:vAlign w:val="center"/>
          </w:tcPr>
          <w:p w14:paraId="6E2431E7">
            <w:pPr>
              <w:pStyle w:val="8"/>
              <w:suppressLineNumbers w:val="0"/>
              <w:bidi w:val="0"/>
              <w:spacing w:before="0" w:beforeAutospacing="0" w:after="0" w:afterAutospacing="0"/>
              <w:ind w:left="0" w:right="0"/>
              <w:rPr>
                <w:rFonts w:hint="eastAsia"/>
                <w:highlight w:val="none"/>
                <w:lang w:val="en-US" w:eastAsia="zh-CN"/>
              </w:rPr>
            </w:pPr>
          </w:p>
        </w:tc>
        <w:tc>
          <w:tcPr>
            <w:tcW w:w="1860" w:type="dxa"/>
            <w:tcBorders>
              <w:tl2br w:val="nil"/>
              <w:tr2bl w:val="nil"/>
            </w:tcBorders>
            <w:shd w:val="clear" w:color="auto" w:fill="auto"/>
            <w:vAlign w:val="center"/>
          </w:tcPr>
          <w:p w14:paraId="481BDF81">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涂胶机</w:t>
            </w:r>
          </w:p>
        </w:tc>
        <w:tc>
          <w:tcPr>
            <w:tcW w:w="1650" w:type="dxa"/>
            <w:tcBorders>
              <w:tl2br w:val="nil"/>
              <w:tr2bl w:val="nil"/>
            </w:tcBorders>
            <w:shd w:val="clear" w:color="auto" w:fill="auto"/>
            <w:vAlign w:val="center"/>
          </w:tcPr>
          <w:p w14:paraId="7E8E80B0">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textAlignment w:val="auto"/>
              <w:rPr>
                <w:rFonts w:hint="eastAsia"/>
                <w:highlight w:val="none"/>
                <w:lang w:val="en-US" w:eastAsia="zh-CN"/>
              </w:rPr>
            </w:pPr>
            <w:r>
              <w:rPr>
                <w:rFonts w:hint="eastAsia" w:ascii="Times New Roman" w:hAnsi="Times New Roman" w:eastAsia="宋体" w:cs="Times New Roman"/>
                <w:color w:val="000000"/>
                <w:kern w:val="0"/>
                <w:sz w:val="21"/>
                <w:szCs w:val="24"/>
                <w:highlight w:val="none"/>
                <w:lang w:val="en-US" w:eastAsia="zh-CN" w:bidi="ar-SA"/>
              </w:rPr>
              <w:t>/</w:t>
            </w:r>
          </w:p>
        </w:tc>
        <w:tc>
          <w:tcPr>
            <w:tcW w:w="660" w:type="dxa"/>
            <w:tcBorders>
              <w:tl2br w:val="nil"/>
              <w:tr2bl w:val="nil"/>
            </w:tcBorders>
            <w:shd w:val="clear" w:color="auto" w:fill="auto"/>
            <w:noWrap/>
            <w:vAlign w:val="center"/>
          </w:tcPr>
          <w:p w14:paraId="5D58D41B">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台</w:t>
            </w:r>
          </w:p>
        </w:tc>
        <w:tc>
          <w:tcPr>
            <w:tcW w:w="705" w:type="dxa"/>
            <w:tcBorders>
              <w:tl2br w:val="nil"/>
              <w:tr2bl w:val="nil"/>
            </w:tcBorders>
            <w:shd w:val="clear" w:color="auto" w:fill="auto"/>
            <w:vAlign w:val="center"/>
          </w:tcPr>
          <w:p w14:paraId="20E6507D">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3</w:t>
            </w:r>
          </w:p>
        </w:tc>
        <w:tc>
          <w:tcPr>
            <w:tcW w:w="2308" w:type="dxa"/>
            <w:tcBorders>
              <w:tl2br w:val="nil"/>
              <w:tr2bl w:val="nil"/>
            </w:tcBorders>
            <w:shd w:val="clear" w:color="auto" w:fill="auto"/>
            <w:vAlign w:val="top"/>
          </w:tcPr>
          <w:p w14:paraId="7313DE93">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改造3</w:t>
            </w:r>
          </w:p>
        </w:tc>
      </w:tr>
      <w:tr w14:paraId="6F9437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170" w:type="dxa"/>
            <w:vMerge w:val="continue"/>
            <w:tcBorders>
              <w:tl2br w:val="nil"/>
              <w:tr2bl w:val="nil"/>
            </w:tcBorders>
            <w:shd w:val="clear" w:color="auto" w:fill="auto"/>
            <w:noWrap/>
            <w:vAlign w:val="center"/>
          </w:tcPr>
          <w:p w14:paraId="300AC87F">
            <w:pPr>
              <w:pStyle w:val="8"/>
              <w:suppressLineNumbers w:val="0"/>
              <w:bidi w:val="0"/>
              <w:spacing w:before="0" w:beforeAutospacing="0" w:after="0" w:afterAutospacing="0"/>
              <w:ind w:left="0" w:right="0"/>
              <w:rPr>
                <w:rFonts w:hint="eastAsia"/>
                <w:highlight w:val="none"/>
                <w:lang w:val="en-US" w:eastAsia="zh-CN"/>
              </w:rPr>
            </w:pPr>
          </w:p>
        </w:tc>
        <w:tc>
          <w:tcPr>
            <w:tcW w:w="1860" w:type="dxa"/>
            <w:tcBorders>
              <w:tl2br w:val="nil"/>
              <w:tr2bl w:val="nil"/>
            </w:tcBorders>
            <w:shd w:val="clear" w:color="auto" w:fill="auto"/>
            <w:vAlign w:val="center"/>
          </w:tcPr>
          <w:p w14:paraId="75497F5F">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检测机</w:t>
            </w:r>
          </w:p>
        </w:tc>
        <w:tc>
          <w:tcPr>
            <w:tcW w:w="1650" w:type="dxa"/>
            <w:tcBorders>
              <w:tl2br w:val="nil"/>
              <w:tr2bl w:val="nil"/>
            </w:tcBorders>
            <w:shd w:val="clear" w:color="auto" w:fill="auto"/>
            <w:vAlign w:val="center"/>
          </w:tcPr>
          <w:p w14:paraId="26AF5B4A">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textAlignment w:val="auto"/>
              <w:rPr>
                <w:rFonts w:hint="eastAsia"/>
                <w:highlight w:val="none"/>
                <w:lang w:val="en-US" w:eastAsia="zh-CN"/>
              </w:rPr>
            </w:pPr>
            <w:r>
              <w:rPr>
                <w:rFonts w:hint="eastAsia" w:ascii="Times New Roman" w:hAnsi="Times New Roman" w:eastAsia="宋体" w:cs="Times New Roman"/>
                <w:color w:val="000000"/>
                <w:kern w:val="0"/>
                <w:sz w:val="21"/>
                <w:szCs w:val="24"/>
                <w:highlight w:val="none"/>
                <w:lang w:val="en-US" w:eastAsia="zh-CN" w:bidi="ar-SA"/>
              </w:rPr>
              <w:t>/</w:t>
            </w:r>
          </w:p>
        </w:tc>
        <w:tc>
          <w:tcPr>
            <w:tcW w:w="660" w:type="dxa"/>
            <w:tcBorders>
              <w:tl2br w:val="nil"/>
              <w:tr2bl w:val="nil"/>
            </w:tcBorders>
            <w:shd w:val="clear" w:color="auto" w:fill="auto"/>
            <w:noWrap/>
            <w:vAlign w:val="center"/>
          </w:tcPr>
          <w:p w14:paraId="6A3E5503">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台</w:t>
            </w:r>
          </w:p>
        </w:tc>
        <w:tc>
          <w:tcPr>
            <w:tcW w:w="705" w:type="dxa"/>
            <w:tcBorders>
              <w:tl2br w:val="nil"/>
              <w:tr2bl w:val="nil"/>
            </w:tcBorders>
            <w:shd w:val="clear" w:color="auto" w:fill="auto"/>
            <w:vAlign w:val="center"/>
          </w:tcPr>
          <w:p w14:paraId="287540AA">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7</w:t>
            </w:r>
          </w:p>
        </w:tc>
        <w:tc>
          <w:tcPr>
            <w:tcW w:w="2308" w:type="dxa"/>
            <w:tcBorders>
              <w:tl2br w:val="nil"/>
              <w:tr2bl w:val="nil"/>
            </w:tcBorders>
            <w:shd w:val="clear" w:color="auto" w:fill="auto"/>
            <w:vAlign w:val="top"/>
          </w:tcPr>
          <w:p w14:paraId="3892A0DC">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新增4</w:t>
            </w:r>
            <w:r>
              <w:rPr>
                <w:rFonts w:hint="eastAsia" w:eastAsia="宋体" w:cs="Times New Roman"/>
                <w:color w:val="000000"/>
                <w:kern w:val="0"/>
                <w:sz w:val="21"/>
                <w:szCs w:val="24"/>
                <w:highlight w:val="none"/>
                <w:lang w:val="en-US" w:eastAsia="zh-CN" w:bidi="ar-SA"/>
              </w:rPr>
              <w:t>台</w:t>
            </w:r>
            <w:r>
              <w:rPr>
                <w:rFonts w:hint="eastAsia"/>
                <w:highlight w:val="none"/>
                <w:lang w:val="en-US" w:eastAsia="zh-CN"/>
              </w:rPr>
              <w:t>，改造3</w:t>
            </w:r>
            <w:r>
              <w:rPr>
                <w:rFonts w:hint="eastAsia" w:eastAsia="宋体" w:cs="Times New Roman"/>
                <w:color w:val="000000"/>
                <w:kern w:val="0"/>
                <w:sz w:val="21"/>
                <w:szCs w:val="24"/>
                <w:highlight w:val="none"/>
                <w:lang w:val="en-US" w:eastAsia="zh-CN" w:bidi="ar-SA"/>
              </w:rPr>
              <w:t>台</w:t>
            </w:r>
          </w:p>
        </w:tc>
      </w:tr>
      <w:tr w14:paraId="0AB43A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170" w:type="dxa"/>
            <w:vMerge w:val="continue"/>
            <w:tcBorders>
              <w:tl2br w:val="nil"/>
              <w:tr2bl w:val="nil"/>
            </w:tcBorders>
            <w:shd w:val="clear" w:color="auto" w:fill="auto"/>
            <w:noWrap/>
            <w:vAlign w:val="center"/>
          </w:tcPr>
          <w:p w14:paraId="7B317E5B">
            <w:pPr>
              <w:pStyle w:val="8"/>
              <w:suppressLineNumbers w:val="0"/>
              <w:bidi w:val="0"/>
              <w:spacing w:before="0" w:beforeAutospacing="0" w:after="0" w:afterAutospacing="0"/>
              <w:ind w:left="0" w:right="0"/>
              <w:rPr>
                <w:rFonts w:hint="eastAsia"/>
                <w:highlight w:val="none"/>
                <w:lang w:val="en-US" w:eastAsia="zh-CN"/>
              </w:rPr>
            </w:pPr>
          </w:p>
        </w:tc>
        <w:tc>
          <w:tcPr>
            <w:tcW w:w="1860" w:type="dxa"/>
            <w:tcBorders>
              <w:tl2br w:val="nil"/>
              <w:tr2bl w:val="nil"/>
            </w:tcBorders>
            <w:shd w:val="clear" w:color="auto" w:fill="auto"/>
            <w:vAlign w:val="center"/>
          </w:tcPr>
          <w:p w14:paraId="7BF129A7">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试漏机</w:t>
            </w:r>
          </w:p>
        </w:tc>
        <w:tc>
          <w:tcPr>
            <w:tcW w:w="1650" w:type="dxa"/>
            <w:tcBorders>
              <w:tl2br w:val="nil"/>
              <w:tr2bl w:val="nil"/>
            </w:tcBorders>
            <w:shd w:val="clear" w:color="auto" w:fill="auto"/>
            <w:vAlign w:val="center"/>
          </w:tcPr>
          <w:p w14:paraId="25B304C3">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textAlignment w:val="auto"/>
              <w:rPr>
                <w:rFonts w:hint="eastAsia"/>
                <w:highlight w:val="none"/>
                <w:lang w:val="en-US" w:eastAsia="zh-CN"/>
              </w:rPr>
            </w:pPr>
            <w:r>
              <w:rPr>
                <w:rFonts w:hint="eastAsia" w:ascii="Times New Roman" w:hAnsi="Times New Roman" w:eastAsia="宋体" w:cs="Times New Roman"/>
                <w:color w:val="000000"/>
                <w:kern w:val="0"/>
                <w:sz w:val="21"/>
                <w:szCs w:val="24"/>
                <w:highlight w:val="none"/>
                <w:lang w:val="en-US" w:eastAsia="zh-CN" w:bidi="ar-SA"/>
              </w:rPr>
              <w:t>/</w:t>
            </w:r>
          </w:p>
        </w:tc>
        <w:tc>
          <w:tcPr>
            <w:tcW w:w="660" w:type="dxa"/>
            <w:tcBorders>
              <w:tl2br w:val="nil"/>
              <w:tr2bl w:val="nil"/>
            </w:tcBorders>
            <w:shd w:val="clear" w:color="auto" w:fill="auto"/>
            <w:noWrap/>
            <w:vAlign w:val="center"/>
          </w:tcPr>
          <w:p w14:paraId="2AC7A9B9">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台</w:t>
            </w:r>
          </w:p>
        </w:tc>
        <w:tc>
          <w:tcPr>
            <w:tcW w:w="705" w:type="dxa"/>
            <w:tcBorders>
              <w:tl2br w:val="nil"/>
              <w:tr2bl w:val="nil"/>
            </w:tcBorders>
            <w:shd w:val="clear" w:color="auto" w:fill="auto"/>
            <w:vAlign w:val="center"/>
          </w:tcPr>
          <w:p w14:paraId="27049B99">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2</w:t>
            </w:r>
          </w:p>
        </w:tc>
        <w:tc>
          <w:tcPr>
            <w:tcW w:w="2308" w:type="dxa"/>
            <w:tcBorders>
              <w:tl2br w:val="nil"/>
              <w:tr2bl w:val="nil"/>
            </w:tcBorders>
            <w:shd w:val="clear" w:color="auto" w:fill="auto"/>
            <w:vAlign w:val="top"/>
          </w:tcPr>
          <w:p w14:paraId="1561BFB8">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新增1</w:t>
            </w:r>
            <w:r>
              <w:rPr>
                <w:rFonts w:hint="eastAsia" w:eastAsia="宋体" w:cs="Times New Roman"/>
                <w:color w:val="000000"/>
                <w:kern w:val="0"/>
                <w:sz w:val="21"/>
                <w:szCs w:val="24"/>
                <w:highlight w:val="none"/>
                <w:lang w:val="en-US" w:eastAsia="zh-CN" w:bidi="ar-SA"/>
              </w:rPr>
              <w:t>台</w:t>
            </w:r>
            <w:r>
              <w:rPr>
                <w:rFonts w:hint="eastAsia"/>
                <w:highlight w:val="none"/>
                <w:lang w:val="en-US" w:eastAsia="zh-CN"/>
              </w:rPr>
              <w:t>，改造1</w:t>
            </w:r>
            <w:r>
              <w:rPr>
                <w:rFonts w:hint="eastAsia" w:eastAsia="宋体" w:cs="Times New Roman"/>
                <w:color w:val="000000"/>
                <w:kern w:val="0"/>
                <w:sz w:val="21"/>
                <w:szCs w:val="24"/>
                <w:highlight w:val="none"/>
                <w:lang w:val="en-US" w:eastAsia="zh-CN" w:bidi="ar-SA"/>
              </w:rPr>
              <w:t>台</w:t>
            </w:r>
          </w:p>
        </w:tc>
      </w:tr>
      <w:tr w14:paraId="062049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170" w:type="dxa"/>
            <w:vMerge w:val="continue"/>
            <w:tcBorders>
              <w:tl2br w:val="nil"/>
              <w:tr2bl w:val="nil"/>
            </w:tcBorders>
            <w:shd w:val="clear" w:color="auto" w:fill="auto"/>
            <w:noWrap/>
            <w:vAlign w:val="center"/>
          </w:tcPr>
          <w:p w14:paraId="4772C00D">
            <w:pPr>
              <w:pStyle w:val="8"/>
              <w:suppressLineNumbers w:val="0"/>
              <w:bidi w:val="0"/>
              <w:spacing w:before="0" w:beforeAutospacing="0" w:after="0" w:afterAutospacing="0"/>
              <w:ind w:left="0" w:right="0"/>
              <w:rPr>
                <w:rFonts w:hint="eastAsia"/>
                <w:highlight w:val="none"/>
                <w:lang w:val="en-US" w:eastAsia="zh-CN"/>
              </w:rPr>
            </w:pPr>
          </w:p>
        </w:tc>
        <w:tc>
          <w:tcPr>
            <w:tcW w:w="1860" w:type="dxa"/>
            <w:tcBorders>
              <w:tl2br w:val="nil"/>
              <w:tr2bl w:val="nil"/>
            </w:tcBorders>
            <w:shd w:val="clear" w:color="auto" w:fill="auto"/>
            <w:vAlign w:val="center"/>
          </w:tcPr>
          <w:p w14:paraId="1BC1B7A2">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压装机</w:t>
            </w:r>
          </w:p>
        </w:tc>
        <w:tc>
          <w:tcPr>
            <w:tcW w:w="1650" w:type="dxa"/>
            <w:tcBorders>
              <w:tl2br w:val="nil"/>
              <w:tr2bl w:val="nil"/>
            </w:tcBorders>
            <w:shd w:val="clear" w:color="auto" w:fill="auto"/>
            <w:vAlign w:val="center"/>
          </w:tcPr>
          <w:p w14:paraId="047EBFAD">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textAlignment w:val="auto"/>
              <w:rPr>
                <w:rFonts w:hint="eastAsia"/>
                <w:highlight w:val="none"/>
                <w:lang w:val="en-US" w:eastAsia="zh-CN"/>
              </w:rPr>
            </w:pPr>
            <w:r>
              <w:rPr>
                <w:rFonts w:hint="eastAsia" w:ascii="Times New Roman" w:hAnsi="Times New Roman" w:eastAsia="宋体" w:cs="Times New Roman"/>
                <w:color w:val="000000"/>
                <w:kern w:val="0"/>
                <w:sz w:val="21"/>
                <w:szCs w:val="24"/>
                <w:highlight w:val="none"/>
                <w:lang w:val="en-US" w:eastAsia="zh-CN" w:bidi="ar-SA"/>
              </w:rPr>
              <w:t>/</w:t>
            </w:r>
          </w:p>
        </w:tc>
        <w:tc>
          <w:tcPr>
            <w:tcW w:w="660" w:type="dxa"/>
            <w:tcBorders>
              <w:tl2br w:val="nil"/>
              <w:tr2bl w:val="nil"/>
            </w:tcBorders>
            <w:shd w:val="clear" w:color="auto" w:fill="auto"/>
            <w:noWrap/>
            <w:vAlign w:val="center"/>
          </w:tcPr>
          <w:p w14:paraId="4424DB94">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台</w:t>
            </w:r>
          </w:p>
        </w:tc>
        <w:tc>
          <w:tcPr>
            <w:tcW w:w="705" w:type="dxa"/>
            <w:tcBorders>
              <w:tl2br w:val="nil"/>
              <w:tr2bl w:val="nil"/>
            </w:tcBorders>
            <w:shd w:val="clear" w:color="auto" w:fill="auto"/>
            <w:vAlign w:val="center"/>
          </w:tcPr>
          <w:p w14:paraId="4DAAEAAE">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5</w:t>
            </w:r>
          </w:p>
        </w:tc>
        <w:tc>
          <w:tcPr>
            <w:tcW w:w="2308" w:type="dxa"/>
            <w:tcBorders>
              <w:tl2br w:val="nil"/>
              <w:tr2bl w:val="nil"/>
            </w:tcBorders>
            <w:shd w:val="clear" w:color="auto" w:fill="auto"/>
            <w:vAlign w:val="top"/>
          </w:tcPr>
          <w:p w14:paraId="6169D51B">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新增3</w:t>
            </w:r>
            <w:r>
              <w:rPr>
                <w:rFonts w:hint="eastAsia" w:eastAsia="宋体" w:cs="Times New Roman"/>
                <w:color w:val="000000"/>
                <w:kern w:val="0"/>
                <w:sz w:val="21"/>
                <w:szCs w:val="24"/>
                <w:highlight w:val="none"/>
                <w:lang w:val="en-US" w:eastAsia="zh-CN" w:bidi="ar-SA"/>
              </w:rPr>
              <w:t>台</w:t>
            </w:r>
            <w:r>
              <w:rPr>
                <w:rFonts w:hint="eastAsia"/>
                <w:highlight w:val="none"/>
                <w:lang w:val="en-US" w:eastAsia="zh-CN"/>
              </w:rPr>
              <w:t>，改造2</w:t>
            </w:r>
            <w:r>
              <w:rPr>
                <w:rFonts w:hint="eastAsia" w:eastAsia="宋体" w:cs="Times New Roman"/>
                <w:color w:val="000000"/>
                <w:kern w:val="0"/>
                <w:sz w:val="21"/>
                <w:szCs w:val="24"/>
                <w:highlight w:val="none"/>
                <w:lang w:val="en-US" w:eastAsia="zh-CN" w:bidi="ar-SA"/>
              </w:rPr>
              <w:t>台</w:t>
            </w:r>
          </w:p>
        </w:tc>
      </w:tr>
      <w:tr w14:paraId="5EF0AD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170" w:type="dxa"/>
            <w:vMerge w:val="continue"/>
            <w:tcBorders>
              <w:tl2br w:val="nil"/>
              <w:tr2bl w:val="nil"/>
            </w:tcBorders>
            <w:shd w:val="clear" w:color="auto" w:fill="auto"/>
            <w:noWrap/>
            <w:vAlign w:val="center"/>
          </w:tcPr>
          <w:p w14:paraId="79AC8895">
            <w:pPr>
              <w:pStyle w:val="8"/>
              <w:suppressLineNumbers w:val="0"/>
              <w:bidi w:val="0"/>
              <w:spacing w:before="0" w:beforeAutospacing="0" w:after="0" w:afterAutospacing="0"/>
              <w:ind w:left="0" w:right="0"/>
              <w:rPr>
                <w:rFonts w:hint="eastAsia"/>
                <w:highlight w:val="none"/>
                <w:lang w:val="en-US" w:eastAsia="zh-CN"/>
              </w:rPr>
            </w:pPr>
          </w:p>
        </w:tc>
        <w:tc>
          <w:tcPr>
            <w:tcW w:w="1860" w:type="dxa"/>
            <w:tcBorders>
              <w:tl2br w:val="nil"/>
              <w:tr2bl w:val="nil"/>
            </w:tcBorders>
            <w:shd w:val="clear" w:color="auto" w:fill="auto"/>
            <w:vAlign w:val="center"/>
          </w:tcPr>
          <w:p w14:paraId="23CE1F8C">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冷试台</w:t>
            </w:r>
          </w:p>
        </w:tc>
        <w:tc>
          <w:tcPr>
            <w:tcW w:w="1650" w:type="dxa"/>
            <w:tcBorders>
              <w:tl2br w:val="nil"/>
              <w:tr2bl w:val="nil"/>
            </w:tcBorders>
            <w:shd w:val="clear" w:color="auto" w:fill="auto"/>
            <w:vAlign w:val="center"/>
          </w:tcPr>
          <w:p w14:paraId="5D0D51C9">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textAlignment w:val="auto"/>
              <w:rPr>
                <w:rFonts w:hint="eastAsia"/>
                <w:highlight w:val="none"/>
                <w:lang w:val="en-US" w:eastAsia="zh-CN"/>
              </w:rPr>
            </w:pPr>
            <w:r>
              <w:rPr>
                <w:rFonts w:hint="eastAsia" w:ascii="Times New Roman" w:hAnsi="Times New Roman" w:eastAsia="宋体" w:cs="Times New Roman"/>
                <w:color w:val="000000"/>
                <w:kern w:val="0"/>
                <w:sz w:val="21"/>
                <w:szCs w:val="24"/>
                <w:highlight w:val="none"/>
                <w:lang w:val="en-US" w:eastAsia="zh-CN" w:bidi="ar-SA"/>
              </w:rPr>
              <w:t>/</w:t>
            </w:r>
          </w:p>
        </w:tc>
        <w:tc>
          <w:tcPr>
            <w:tcW w:w="660" w:type="dxa"/>
            <w:tcBorders>
              <w:tl2br w:val="nil"/>
              <w:tr2bl w:val="nil"/>
            </w:tcBorders>
            <w:shd w:val="clear" w:color="auto" w:fill="auto"/>
            <w:noWrap/>
            <w:vAlign w:val="center"/>
          </w:tcPr>
          <w:p w14:paraId="7195946B">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台</w:t>
            </w:r>
          </w:p>
        </w:tc>
        <w:tc>
          <w:tcPr>
            <w:tcW w:w="705" w:type="dxa"/>
            <w:tcBorders>
              <w:tl2br w:val="nil"/>
              <w:tr2bl w:val="nil"/>
            </w:tcBorders>
            <w:shd w:val="clear" w:color="auto" w:fill="auto"/>
            <w:vAlign w:val="center"/>
          </w:tcPr>
          <w:p w14:paraId="1CCABC33">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2</w:t>
            </w:r>
          </w:p>
        </w:tc>
        <w:tc>
          <w:tcPr>
            <w:tcW w:w="2308" w:type="dxa"/>
            <w:tcBorders>
              <w:tl2br w:val="nil"/>
              <w:tr2bl w:val="nil"/>
            </w:tcBorders>
            <w:shd w:val="clear" w:color="auto" w:fill="auto"/>
            <w:vAlign w:val="top"/>
          </w:tcPr>
          <w:p w14:paraId="0A95DC89">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新增</w:t>
            </w:r>
          </w:p>
        </w:tc>
      </w:tr>
      <w:tr w14:paraId="7D29AB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170" w:type="dxa"/>
            <w:vMerge w:val="continue"/>
            <w:tcBorders>
              <w:tl2br w:val="nil"/>
              <w:tr2bl w:val="nil"/>
            </w:tcBorders>
            <w:shd w:val="clear" w:color="auto" w:fill="auto"/>
            <w:noWrap/>
            <w:vAlign w:val="center"/>
          </w:tcPr>
          <w:p w14:paraId="0060A125">
            <w:pPr>
              <w:pStyle w:val="8"/>
              <w:suppressLineNumbers w:val="0"/>
              <w:bidi w:val="0"/>
              <w:spacing w:before="0" w:beforeAutospacing="0" w:after="0" w:afterAutospacing="0"/>
              <w:ind w:left="0" w:right="0"/>
              <w:rPr>
                <w:rFonts w:hint="eastAsia"/>
                <w:highlight w:val="none"/>
                <w:lang w:val="en-US" w:eastAsia="zh-CN"/>
              </w:rPr>
            </w:pPr>
          </w:p>
        </w:tc>
        <w:tc>
          <w:tcPr>
            <w:tcW w:w="1860" w:type="dxa"/>
            <w:tcBorders>
              <w:tl2br w:val="nil"/>
              <w:tr2bl w:val="nil"/>
            </w:tcBorders>
            <w:shd w:val="clear" w:color="auto" w:fill="auto"/>
            <w:vAlign w:val="center"/>
          </w:tcPr>
          <w:p w14:paraId="0726A6DD">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热试台</w:t>
            </w:r>
          </w:p>
        </w:tc>
        <w:tc>
          <w:tcPr>
            <w:tcW w:w="1650" w:type="dxa"/>
            <w:tcBorders>
              <w:tl2br w:val="nil"/>
              <w:tr2bl w:val="nil"/>
            </w:tcBorders>
            <w:shd w:val="clear" w:color="auto" w:fill="auto"/>
            <w:vAlign w:val="center"/>
          </w:tcPr>
          <w:p w14:paraId="04ABA1BD">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textAlignment w:val="auto"/>
              <w:rPr>
                <w:rFonts w:hint="eastAsia"/>
                <w:highlight w:val="none"/>
                <w:lang w:val="en-US" w:eastAsia="zh-CN"/>
              </w:rPr>
            </w:pPr>
            <w:r>
              <w:rPr>
                <w:rFonts w:hint="eastAsia" w:ascii="Times New Roman" w:hAnsi="Times New Roman" w:eastAsia="宋体" w:cs="Times New Roman"/>
                <w:color w:val="000000"/>
                <w:kern w:val="0"/>
                <w:sz w:val="21"/>
                <w:szCs w:val="24"/>
                <w:highlight w:val="none"/>
                <w:lang w:val="en-US" w:eastAsia="zh-CN" w:bidi="ar-SA"/>
              </w:rPr>
              <w:t>/</w:t>
            </w:r>
          </w:p>
        </w:tc>
        <w:tc>
          <w:tcPr>
            <w:tcW w:w="660" w:type="dxa"/>
            <w:tcBorders>
              <w:tl2br w:val="nil"/>
              <w:tr2bl w:val="nil"/>
            </w:tcBorders>
            <w:shd w:val="clear" w:color="auto" w:fill="auto"/>
            <w:noWrap/>
            <w:vAlign w:val="center"/>
          </w:tcPr>
          <w:p w14:paraId="5EBBAEBC">
            <w:pPr>
              <w:pStyle w:val="8"/>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台</w:t>
            </w:r>
          </w:p>
        </w:tc>
        <w:tc>
          <w:tcPr>
            <w:tcW w:w="705" w:type="dxa"/>
            <w:tcBorders>
              <w:tl2br w:val="nil"/>
              <w:tr2bl w:val="nil"/>
            </w:tcBorders>
            <w:shd w:val="clear" w:color="auto" w:fill="auto"/>
            <w:vAlign w:val="center"/>
          </w:tcPr>
          <w:p w14:paraId="1CB4666A">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6</w:t>
            </w:r>
          </w:p>
        </w:tc>
        <w:tc>
          <w:tcPr>
            <w:tcW w:w="2308" w:type="dxa"/>
            <w:tcBorders>
              <w:tl2br w:val="nil"/>
              <w:tr2bl w:val="nil"/>
            </w:tcBorders>
            <w:shd w:val="clear" w:color="auto" w:fill="auto"/>
            <w:vAlign w:val="top"/>
          </w:tcPr>
          <w:p w14:paraId="361549CF">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改造</w:t>
            </w:r>
          </w:p>
        </w:tc>
      </w:tr>
      <w:bookmarkEnd w:id="244"/>
      <w:bookmarkEnd w:id="246"/>
    </w:tbl>
    <w:p w14:paraId="4E0A7AD0">
      <w:pPr>
        <w:pStyle w:val="4"/>
        <w:bidi w:val="0"/>
        <w:rPr>
          <w:highlight w:val="none"/>
        </w:rPr>
      </w:pPr>
      <w:r>
        <w:rPr>
          <w:highlight w:val="none"/>
        </w:rPr>
        <w:t>3.</w:t>
      </w:r>
      <w:r>
        <w:rPr>
          <w:rFonts w:hint="eastAsia"/>
          <w:highlight w:val="none"/>
          <w:lang w:val="en-US" w:eastAsia="zh-CN"/>
        </w:rPr>
        <w:t>2</w:t>
      </w:r>
      <w:r>
        <w:rPr>
          <w:highlight w:val="none"/>
        </w:rPr>
        <w:t>.4项目原辅料消耗</w:t>
      </w:r>
      <w:bookmarkEnd w:id="247"/>
      <w:bookmarkEnd w:id="248"/>
    </w:p>
    <w:p w14:paraId="787E69E3">
      <w:pPr>
        <w:spacing w:line="360" w:lineRule="auto"/>
        <w:ind w:firstLine="480" w:firstLineChars="200"/>
        <w:rPr>
          <w:rFonts w:eastAsiaTheme="minorEastAsia"/>
          <w:sz w:val="24"/>
          <w:highlight w:val="none"/>
        </w:rPr>
      </w:pPr>
      <w:r>
        <w:rPr>
          <w:rFonts w:hint="eastAsia" w:hAnsiTheme="minorEastAsia" w:eastAsiaTheme="minorEastAsia"/>
          <w:sz w:val="24"/>
          <w:highlight w:val="none"/>
          <w:lang w:val="en-US" w:eastAsia="zh-CN"/>
        </w:rPr>
        <w:t>本项目原料来源于附近机加企业产生的含油金属屑，</w:t>
      </w:r>
      <w:r>
        <w:rPr>
          <w:rFonts w:hAnsiTheme="minorEastAsia" w:eastAsiaTheme="minorEastAsia"/>
          <w:sz w:val="24"/>
          <w:highlight w:val="none"/>
        </w:rPr>
        <w:t>本项目原辅料用量见下表。</w:t>
      </w:r>
    </w:p>
    <w:p w14:paraId="5F813B1D">
      <w:pPr>
        <w:pStyle w:val="7"/>
        <w:bidi w:val="0"/>
        <w:rPr>
          <w:rFonts w:hint="eastAsia"/>
          <w:highlight w:val="none"/>
        </w:rPr>
      </w:pPr>
      <w:r>
        <w:rPr>
          <w:rFonts w:hint="eastAsia"/>
          <w:highlight w:val="none"/>
        </w:rPr>
        <w:t>表3-</w:t>
      </w:r>
      <w:r>
        <w:rPr>
          <w:rFonts w:hint="eastAsia"/>
          <w:highlight w:val="none"/>
          <w:lang w:val="en-US" w:eastAsia="zh-CN"/>
        </w:rPr>
        <w:t>2</w:t>
      </w:r>
      <w:r>
        <w:rPr>
          <w:rFonts w:hint="eastAsia"/>
          <w:highlight w:val="none"/>
        </w:rPr>
        <w:t>-3本项目原辅料组成表</w:t>
      </w:r>
    </w:p>
    <w:tbl>
      <w:tblPr>
        <w:tblStyle w:val="45"/>
        <w:tblW w:w="4994"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494"/>
        <w:gridCol w:w="2135"/>
        <w:gridCol w:w="729"/>
        <w:gridCol w:w="1158"/>
        <w:gridCol w:w="1158"/>
        <w:gridCol w:w="2838"/>
      </w:tblGrid>
      <w:tr w14:paraId="22AB29A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91" w:type="pct"/>
            <w:vMerge w:val="restart"/>
            <w:vAlign w:val="center"/>
          </w:tcPr>
          <w:p w14:paraId="3B61195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序号</w:t>
            </w:r>
          </w:p>
        </w:tc>
        <w:tc>
          <w:tcPr>
            <w:tcW w:w="1254" w:type="pct"/>
            <w:vMerge w:val="restart"/>
            <w:vAlign w:val="center"/>
          </w:tcPr>
          <w:p w14:paraId="25684DF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材料名称</w:t>
            </w:r>
          </w:p>
        </w:tc>
        <w:tc>
          <w:tcPr>
            <w:tcW w:w="428" w:type="pct"/>
            <w:vMerge w:val="restart"/>
            <w:vAlign w:val="center"/>
          </w:tcPr>
          <w:p w14:paraId="7C0584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单位</w:t>
            </w:r>
          </w:p>
        </w:tc>
        <w:tc>
          <w:tcPr>
            <w:tcW w:w="1360" w:type="pct"/>
            <w:gridSpan w:val="2"/>
            <w:vAlign w:val="center"/>
          </w:tcPr>
          <w:p w14:paraId="55963CD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数量</w:t>
            </w:r>
          </w:p>
        </w:tc>
        <w:tc>
          <w:tcPr>
            <w:tcW w:w="1665" w:type="pct"/>
            <w:vMerge w:val="restart"/>
            <w:vAlign w:val="center"/>
          </w:tcPr>
          <w:p w14:paraId="0AC77D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备注</w:t>
            </w:r>
          </w:p>
        </w:tc>
      </w:tr>
      <w:tr w14:paraId="05D2E0B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91" w:type="pct"/>
            <w:vMerge w:val="continue"/>
            <w:vAlign w:val="center"/>
          </w:tcPr>
          <w:p w14:paraId="583D10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p>
        </w:tc>
        <w:tc>
          <w:tcPr>
            <w:tcW w:w="1254" w:type="pct"/>
            <w:vMerge w:val="continue"/>
            <w:vAlign w:val="center"/>
          </w:tcPr>
          <w:p w14:paraId="5BADB3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p>
        </w:tc>
        <w:tc>
          <w:tcPr>
            <w:tcW w:w="428" w:type="pct"/>
            <w:vMerge w:val="continue"/>
            <w:vAlign w:val="center"/>
          </w:tcPr>
          <w:p w14:paraId="1CB560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p>
        </w:tc>
        <w:tc>
          <w:tcPr>
            <w:tcW w:w="680" w:type="pct"/>
            <w:vAlign w:val="center"/>
          </w:tcPr>
          <w:p w14:paraId="35E3B7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原生产线</w:t>
            </w:r>
          </w:p>
        </w:tc>
        <w:tc>
          <w:tcPr>
            <w:tcW w:w="680" w:type="pct"/>
            <w:vAlign w:val="center"/>
          </w:tcPr>
          <w:p w14:paraId="404834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改造后生产线</w:t>
            </w:r>
          </w:p>
        </w:tc>
        <w:tc>
          <w:tcPr>
            <w:tcW w:w="1665" w:type="pct"/>
            <w:vMerge w:val="continue"/>
            <w:vAlign w:val="center"/>
          </w:tcPr>
          <w:p w14:paraId="4B3C81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p>
        </w:tc>
      </w:tr>
      <w:tr w14:paraId="7CF924C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000" w:type="pct"/>
            <w:gridSpan w:val="6"/>
            <w:vAlign w:val="center"/>
          </w:tcPr>
          <w:p w14:paraId="4BF1C1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一、主要材料</w:t>
            </w:r>
          </w:p>
        </w:tc>
      </w:tr>
      <w:tr w14:paraId="4DCF167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91" w:type="pct"/>
            <w:vAlign w:val="center"/>
          </w:tcPr>
          <w:p w14:paraId="518BF3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w:t>
            </w:r>
          </w:p>
        </w:tc>
        <w:tc>
          <w:tcPr>
            <w:tcW w:w="1254" w:type="pct"/>
            <w:vAlign w:val="center"/>
          </w:tcPr>
          <w:p w14:paraId="76792C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外协件</w:t>
            </w:r>
          </w:p>
        </w:tc>
        <w:tc>
          <w:tcPr>
            <w:tcW w:w="428" w:type="pct"/>
            <w:vAlign w:val="center"/>
          </w:tcPr>
          <w:p w14:paraId="4B1C62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t</w:t>
            </w:r>
          </w:p>
        </w:tc>
        <w:tc>
          <w:tcPr>
            <w:tcW w:w="680" w:type="pct"/>
            <w:vAlign w:val="center"/>
          </w:tcPr>
          <w:p w14:paraId="09F5B1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13140</w:t>
            </w:r>
          </w:p>
        </w:tc>
        <w:tc>
          <w:tcPr>
            <w:tcW w:w="680" w:type="pct"/>
            <w:vAlign w:val="center"/>
          </w:tcPr>
          <w:p w14:paraId="4B3FD8F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13140</w:t>
            </w:r>
          </w:p>
        </w:tc>
        <w:tc>
          <w:tcPr>
            <w:tcW w:w="1665" w:type="pct"/>
            <w:vAlign w:val="center"/>
          </w:tcPr>
          <w:p w14:paraId="71D303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外购的零部件</w:t>
            </w:r>
          </w:p>
        </w:tc>
      </w:tr>
      <w:tr w14:paraId="7EF61C2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91" w:type="pct"/>
            <w:vAlign w:val="center"/>
          </w:tcPr>
          <w:p w14:paraId="196EDD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2</w:t>
            </w:r>
          </w:p>
        </w:tc>
        <w:tc>
          <w:tcPr>
            <w:tcW w:w="1254" w:type="pct"/>
            <w:vAlign w:val="center"/>
          </w:tcPr>
          <w:p w14:paraId="09F0BE7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缸</w:t>
            </w:r>
            <w:r>
              <w:rPr>
                <w:rFonts w:hint="eastAsia" w:ascii="Times New Roman" w:hAnsi="Times New Roman" w:cs="Times New Roman"/>
                <w:b w:val="0"/>
                <w:bCs w:val="0"/>
                <w:color w:val="auto"/>
                <w:sz w:val="21"/>
                <w:szCs w:val="21"/>
                <w:highlight w:val="none"/>
                <w:lang w:val="en-US" w:eastAsia="zh-CN"/>
              </w:rPr>
              <w:t>体</w:t>
            </w:r>
            <w:r>
              <w:rPr>
                <w:rFonts w:hint="eastAsia" w:ascii="Times New Roman" w:hAnsi="Times New Roman" w:eastAsia="宋体" w:cs="Times New Roman"/>
                <w:b w:val="0"/>
                <w:bCs w:val="0"/>
                <w:color w:val="auto"/>
                <w:sz w:val="21"/>
                <w:szCs w:val="21"/>
                <w:highlight w:val="none"/>
                <w:lang w:val="en-US" w:eastAsia="zh-CN"/>
              </w:rPr>
              <w:t>毛坯</w:t>
            </w:r>
          </w:p>
        </w:tc>
        <w:tc>
          <w:tcPr>
            <w:tcW w:w="428" w:type="pct"/>
            <w:vAlign w:val="center"/>
          </w:tcPr>
          <w:p w14:paraId="025BBF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万件</w:t>
            </w:r>
          </w:p>
        </w:tc>
        <w:tc>
          <w:tcPr>
            <w:tcW w:w="680" w:type="pct"/>
            <w:vAlign w:val="center"/>
          </w:tcPr>
          <w:p w14:paraId="21766F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10</w:t>
            </w:r>
          </w:p>
        </w:tc>
        <w:tc>
          <w:tcPr>
            <w:tcW w:w="680" w:type="pct"/>
            <w:vAlign w:val="center"/>
          </w:tcPr>
          <w:p w14:paraId="187287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10</w:t>
            </w:r>
          </w:p>
        </w:tc>
        <w:tc>
          <w:tcPr>
            <w:tcW w:w="1665" w:type="pct"/>
            <w:vAlign w:val="center"/>
          </w:tcPr>
          <w:p w14:paraId="715E788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w:t>
            </w:r>
          </w:p>
        </w:tc>
      </w:tr>
      <w:tr w14:paraId="56F16A9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91" w:type="pct"/>
            <w:vAlign w:val="center"/>
          </w:tcPr>
          <w:p w14:paraId="6C5804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3</w:t>
            </w:r>
          </w:p>
        </w:tc>
        <w:tc>
          <w:tcPr>
            <w:tcW w:w="1254" w:type="pct"/>
            <w:vAlign w:val="center"/>
          </w:tcPr>
          <w:p w14:paraId="1FB105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缸盖毛坯</w:t>
            </w:r>
          </w:p>
        </w:tc>
        <w:tc>
          <w:tcPr>
            <w:tcW w:w="428" w:type="pct"/>
            <w:vAlign w:val="center"/>
          </w:tcPr>
          <w:p w14:paraId="469C13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万件</w:t>
            </w:r>
          </w:p>
        </w:tc>
        <w:tc>
          <w:tcPr>
            <w:tcW w:w="680" w:type="pct"/>
            <w:vAlign w:val="center"/>
          </w:tcPr>
          <w:p w14:paraId="56C85CB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10</w:t>
            </w:r>
          </w:p>
        </w:tc>
        <w:tc>
          <w:tcPr>
            <w:tcW w:w="680" w:type="pct"/>
            <w:vAlign w:val="center"/>
          </w:tcPr>
          <w:p w14:paraId="60407DC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10</w:t>
            </w:r>
          </w:p>
        </w:tc>
        <w:tc>
          <w:tcPr>
            <w:tcW w:w="1665" w:type="pct"/>
            <w:vAlign w:val="center"/>
          </w:tcPr>
          <w:p w14:paraId="27F85A1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w:t>
            </w:r>
          </w:p>
        </w:tc>
      </w:tr>
      <w:tr w14:paraId="6D263D3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91" w:type="pct"/>
            <w:vAlign w:val="center"/>
          </w:tcPr>
          <w:p w14:paraId="2BDDFB8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4</w:t>
            </w:r>
          </w:p>
        </w:tc>
        <w:tc>
          <w:tcPr>
            <w:tcW w:w="1254" w:type="pct"/>
            <w:vAlign w:val="center"/>
          </w:tcPr>
          <w:p w14:paraId="3F1414E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缸体</w:t>
            </w:r>
            <w:r>
              <w:rPr>
                <w:rFonts w:hint="eastAsia" w:eastAsia="宋体" w:cs="Times New Roman"/>
                <w:b w:val="0"/>
                <w:bCs w:val="0"/>
                <w:color w:val="auto"/>
                <w:sz w:val="21"/>
                <w:szCs w:val="21"/>
                <w:highlight w:val="none"/>
                <w:lang w:val="en-US" w:eastAsia="zh-CN"/>
              </w:rPr>
              <w:t>成品</w:t>
            </w:r>
          </w:p>
        </w:tc>
        <w:tc>
          <w:tcPr>
            <w:tcW w:w="428" w:type="pct"/>
            <w:vAlign w:val="center"/>
          </w:tcPr>
          <w:p w14:paraId="768B00F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万件</w:t>
            </w:r>
          </w:p>
        </w:tc>
        <w:tc>
          <w:tcPr>
            <w:tcW w:w="680" w:type="pct"/>
            <w:vAlign w:val="center"/>
          </w:tcPr>
          <w:p w14:paraId="49916C6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5</w:t>
            </w:r>
          </w:p>
        </w:tc>
        <w:tc>
          <w:tcPr>
            <w:tcW w:w="680" w:type="pct"/>
            <w:vAlign w:val="center"/>
          </w:tcPr>
          <w:p w14:paraId="000E56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sz w:val="21"/>
                <w:szCs w:val="21"/>
                <w:highlight w:val="none"/>
                <w:lang w:val="en-US" w:eastAsia="zh-CN"/>
              </w:rPr>
              <w:t>5</w:t>
            </w:r>
          </w:p>
        </w:tc>
        <w:tc>
          <w:tcPr>
            <w:tcW w:w="1665" w:type="pct"/>
            <w:vAlign w:val="center"/>
          </w:tcPr>
          <w:p w14:paraId="2F3285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w:t>
            </w:r>
          </w:p>
        </w:tc>
      </w:tr>
      <w:tr w14:paraId="5FB1776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91" w:type="pct"/>
            <w:vAlign w:val="center"/>
          </w:tcPr>
          <w:p w14:paraId="30A65D6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5</w:t>
            </w:r>
          </w:p>
        </w:tc>
        <w:tc>
          <w:tcPr>
            <w:tcW w:w="1254" w:type="pct"/>
            <w:vAlign w:val="center"/>
          </w:tcPr>
          <w:p w14:paraId="0298A0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color w:val="auto"/>
                <w:kern w:val="24"/>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缸盖</w:t>
            </w:r>
            <w:r>
              <w:rPr>
                <w:rFonts w:hint="eastAsia" w:eastAsia="宋体" w:cs="Times New Roman"/>
                <w:b w:val="0"/>
                <w:bCs w:val="0"/>
                <w:color w:val="auto"/>
                <w:sz w:val="21"/>
                <w:szCs w:val="21"/>
                <w:highlight w:val="none"/>
                <w:lang w:val="en-US" w:eastAsia="zh-CN"/>
              </w:rPr>
              <w:t>成品</w:t>
            </w:r>
          </w:p>
        </w:tc>
        <w:tc>
          <w:tcPr>
            <w:tcW w:w="428" w:type="pct"/>
            <w:vAlign w:val="center"/>
          </w:tcPr>
          <w:p w14:paraId="3F4D01E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万件</w:t>
            </w:r>
          </w:p>
        </w:tc>
        <w:tc>
          <w:tcPr>
            <w:tcW w:w="680" w:type="pct"/>
            <w:vAlign w:val="center"/>
          </w:tcPr>
          <w:p w14:paraId="67735B4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5</w:t>
            </w:r>
          </w:p>
        </w:tc>
        <w:tc>
          <w:tcPr>
            <w:tcW w:w="680" w:type="pct"/>
            <w:vAlign w:val="center"/>
          </w:tcPr>
          <w:p w14:paraId="00E09E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sz w:val="21"/>
                <w:szCs w:val="21"/>
                <w:highlight w:val="none"/>
                <w:lang w:val="en-US" w:eastAsia="zh-CN"/>
              </w:rPr>
              <w:t>5</w:t>
            </w:r>
          </w:p>
        </w:tc>
        <w:tc>
          <w:tcPr>
            <w:tcW w:w="1665" w:type="pct"/>
            <w:vAlign w:val="center"/>
          </w:tcPr>
          <w:p w14:paraId="124B09D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w:t>
            </w:r>
          </w:p>
        </w:tc>
      </w:tr>
      <w:tr w14:paraId="2DE6BCF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000" w:type="pct"/>
            <w:gridSpan w:val="6"/>
            <w:vAlign w:val="center"/>
          </w:tcPr>
          <w:p w14:paraId="3F0FAD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二、辅助材料</w:t>
            </w:r>
          </w:p>
        </w:tc>
      </w:tr>
      <w:tr w14:paraId="6EB364F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91" w:type="pct"/>
            <w:vAlign w:val="center"/>
          </w:tcPr>
          <w:p w14:paraId="177450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w:t>
            </w:r>
          </w:p>
        </w:tc>
        <w:tc>
          <w:tcPr>
            <w:tcW w:w="1254" w:type="pct"/>
            <w:vAlign w:val="center"/>
          </w:tcPr>
          <w:p w14:paraId="46AC5B4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机油</w:t>
            </w:r>
          </w:p>
        </w:tc>
        <w:tc>
          <w:tcPr>
            <w:tcW w:w="428" w:type="pct"/>
            <w:vAlign w:val="center"/>
          </w:tcPr>
          <w:p w14:paraId="61D908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t</w:t>
            </w:r>
          </w:p>
        </w:tc>
        <w:tc>
          <w:tcPr>
            <w:tcW w:w="680" w:type="pct"/>
            <w:vAlign w:val="center"/>
          </w:tcPr>
          <w:p w14:paraId="3F7674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80.0</w:t>
            </w:r>
          </w:p>
        </w:tc>
        <w:tc>
          <w:tcPr>
            <w:tcW w:w="680" w:type="pct"/>
            <w:vAlign w:val="center"/>
          </w:tcPr>
          <w:p w14:paraId="2F8E7DD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80.0</w:t>
            </w:r>
          </w:p>
        </w:tc>
        <w:tc>
          <w:tcPr>
            <w:tcW w:w="1665" w:type="pct"/>
            <w:vAlign w:val="center"/>
          </w:tcPr>
          <w:p w14:paraId="7709CB8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桶装，最大储存量为</w:t>
            </w:r>
            <w:r>
              <w:rPr>
                <w:rFonts w:hint="eastAsia" w:ascii="Times New Roman" w:hAnsi="Times New Roman" w:cs="Times New Roman"/>
                <w:b w:val="0"/>
                <w:bCs w:val="0"/>
                <w:color w:val="auto"/>
                <w:sz w:val="21"/>
                <w:szCs w:val="21"/>
                <w:highlight w:val="none"/>
                <w:lang w:val="en-US" w:eastAsia="zh-CN"/>
              </w:rPr>
              <w:t>5.0</w:t>
            </w:r>
            <w:r>
              <w:rPr>
                <w:rFonts w:hint="eastAsia" w:ascii="Times New Roman" w:hAnsi="Times New Roman" w:eastAsia="宋体" w:cs="Times New Roman"/>
                <w:b w:val="0"/>
                <w:bCs w:val="0"/>
                <w:color w:val="auto"/>
                <w:sz w:val="21"/>
                <w:szCs w:val="21"/>
                <w:highlight w:val="none"/>
                <w:lang w:val="en-US" w:eastAsia="zh-CN"/>
              </w:rPr>
              <w:t>t</w:t>
            </w:r>
          </w:p>
        </w:tc>
      </w:tr>
      <w:tr w14:paraId="0411B91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91" w:type="pct"/>
            <w:vAlign w:val="center"/>
          </w:tcPr>
          <w:p w14:paraId="656411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2</w:t>
            </w:r>
          </w:p>
        </w:tc>
        <w:tc>
          <w:tcPr>
            <w:tcW w:w="1254" w:type="pct"/>
            <w:vAlign w:val="center"/>
          </w:tcPr>
          <w:p w14:paraId="5C4E613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擦布</w:t>
            </w:r>
          </w:p>
        </w:tc>
        <w:tc>
          <w:tcPr>
            <w:tcW w:w="428" w:type="pct"/>
            <w:vAlign w:val="center"/>
          </w:tcPr>
          <w:p w14:paraId="0641E45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t</w:t>
            </w:r>
          </w:p>
        </w:tc>
        <w:tc>
          <w:tcPr>
            <w:tcW w:w="680" w:type="pct"/>
            <w:vAlign w:val="center"/>
          </w:tcPr>
          <w:p w14:paraId="5D29928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2</w:t>
            </w:r>
          </w:p>
        </w:tc>
        <w:tc>
          <w:tcPr>
            <w:tcW w:w="680" w:type="pct"/>
            <w:vAlign w:val="center"/>
          </w:tcPr>
          <w:p w14:paraId="475C0DF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2</w:t>
            </w:r>
          </w:p>
        </w:tc>
        <w:tc>
          <w:tcPr>
            <w:tcW w:w="1665" w:type="pct"/>
            <w:vAlign w:val="center"/>
          </w:tcPr>
          <w:p w14:paraId="34A6F19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袋装，最大储存量为0.5t</w:t>
            </w:r>
          </w:p>
        </w:tc>
      </w:tr>
      <w:tr w14:paraId="29FA5B0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91" w:type="pct"/>
            <w:shd w:val="clear" w:color="auto" w:fill="auto"/>
            <w:vAlign w:val="center"/>
          </w:tcPr>
          <w:p w14:paraId="2638B4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3</w:t>
            </w:r>
          </w:p>
        </w:tc>
        <w:tc>
          <w:tcPr>
            <w:tcW w:w="1254" w:type="pct"/>
            <w:vAlign w:val="center"/>
          </w:tcPr>
          <w:p w14:paraId="01459F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封口胶</w:t>
            </w:r>
          </w:p>
        </w:tc>
        <w:tc>
          <w:tcPr>
            <w:tcW w:w="428" w:type="pct"/>
            <w:vAlign w:val="center"/>
          </w:tcPr>
          <w:p w14:paraId="7F61BF3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t</w:t>
            </w:r>
          </w:p>
        </w:tc>
        <w:tc>
          <w:tcPr>
            <w:tcW w:w="680" w:type="pct"/>
            <w:vAlign w:val="center"/>
          </w:tcPr>
          <w:p w14:paraId="3885836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8</w:t>
            </w:r>
          </w:p>
        </w:tc>
        <w:tc>
          <w:tcPr>
            <w:tcW w:w="680" w:type="pct"/>
            <w:vAlign w:val="center"/>
          </w:tcPr>
          <w:p w14:paraId="372AD85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8</w:t>
            </w:r>
          </w:p>
        </w:tc>
        <w:tc>
          <w:tcPr>
            <w:tcW w:w="1665" w:type="pct"/>
            <w:vAlign w:val="center"/>
          </w:tcPr>
          <w:p w14:paraId="3A0BAC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桶装，最大储存量为</w:t>
            </w:r>
            <w:r>
              <w:rPr>
                <w:rFonts w:hint="eastAsia" w:ascii="Times New Roman" w:hAnsi="Times New Roman" w:cs="Times New Roman"/>
                <w:b w:val="0"/>
                <w:bCs w:val="0"/>
                <w:color w:val="auto"/>
                <w:sz w:val="21"/>
                <w:szCs w:val="21"/>
                <w:highlight w:val="none"/>
                <w:lang w:val="en-US" w:eastAsia="zh-CN"/>
              </w:rPr>
              <w:t>0.5</w:t>
            </w:r>
            <w:r>
              <w:rPr>
                <w:rFonts w:hint="eastAsia" w:ascii="Times New Roman" w:hAnsi="Times New Roman" w:eastAsia="宋体" w:cs="Times New Roman"/>
                <w:b w:val="0"/>
                <w:bCs w:val="0"/>
                <w:color w:val="auto"/>
                <w:sz w:val="21"/>
                <w:szCs w:val="21"/>
                <w:highlight w:val="none"/>
                <w:lang w:val="en-US" w:eastAsia="zh-CN"/>
              </w:rPr>
              <w:t>t</w:t>
            </w:r>
          </w:p>
        </w:tc>
      </w:tr>
      <w:tr w14:paraId="374564B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91" w:type="pct"/>
            <w:shd w:val="clear" w:color="auto" w:fill="auto"/>
            <w:vAlign w:val="center"/>
          </w:tcPr>
          <w:p w14:paraId="29F409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4</w:t>
            </w:r>
          </w:p>
        </w:tc>
        <w:tc>
          <w:tcPr>
            <w:tcW w:w="1254" w:type="pct"/>
            <w:vAlign w:val="center"/>
          </w:tcPr>
          <w:p w14:paraId="4B49C0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清洗剂</w:t>
            </w:r>
          </w:p>
        </w:tc>
        <w:tc>
          <w:tcPr>
            <w:tcW w:w="428" w:type="pct"/>
            <w:vAlign w:val="center"/>
          </w:tcPr>
          <w:p w14:paraId="64FD20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t</w:t>
            </w:r>
          </w:p>
        </w:tc>
        <w:tc>
          <w:tcPr>
            <w:tcW w:w="680" w:type="pct"/>
            <w:vAlign w:val="center"/>
          </w:tcPr>
          <w:p w14:paraId="450C7E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26.8</w:t>
            </w:r>
          </w:p>
        </w:tc>
        <w:tc>
          <w:tcPr>
            <w:tcW w:w="680" w:type="pct"/>
            <w:vAlign w:val="center"/>
          </w:tcPr>
          <w:p w14:paraId="67E620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26.8</w:t>
            </w:r>
          </w:p>
        </w:tc>
        <w:tc>
          <w:tcPr>
            <w:tcW w:w="1665" w:type="pct"/>
            <w:vAlign w:val="center"/>
          </w:tcPr>
          <w:p w14:paraId="6D18CE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桶装，最大储存量为</w:t>
            </w:r>
            <w:r>
              <w:rPr>
                <w:rFonts w:hint="eastAsia" w:ascii="Times New Roman" w:hAnsi="Times New Roman" w:cs="Times New Roman"/>
                <w:b w:val="0"/>
                <w:bCs w:val="0"/>
                <w:color w:val="auto"/>
                <w:sz w:val="21"/>
                <w:szCs w:val="21"/>
                <w:highlight w:val="none"/>
                <w:lang w:val="en-US" w:eastAsia="zh-CN"/>
              </w:rPr>
              <w:t>2.5</w:t>
            </w:r>
            <w:r>
              <w:rPr>
                <w:rFonts w:hint="eastAsia" w:ascii="Times New Roman" w:hAnsi="Times New Roman" w:eastAsia="宋体" w:cs="Times New Roman"/>
                <w:b w:val="0"/>
                <w:bCs w:val="0"/>
                <w:color w:val="auto"/>
                <w:sz w:val="21"/>
                <w:szCs w:val="21"/>
                <w:highlight w:val="none"/>
                <w:lang w:val="en-US" w:eastAsia="zh-CN"/>
              </w:rPr>
              <w:t>t</w:t>
            </w:r>
          </w:p>
        </w:tc>
      </w:tr>
      <w:tr w14:paraId="072ED02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291" w:type="pct"/>
            <w:shd w:val="clear" w:color="auto" w:fill="auto"/>
            <w:vAlign w:val="center"/>
          </w:tcPr>
          <w:p w14:paraId="6E05B45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5</w:t>
            </w:r>
          </w:p>
        </w:tc>
        <w:tc>
          <w:tcPr>
            <w:tcW w:w="1254" w:type="pct"/>
            <w:vAlign w:val="center"/>
          </w:tcPr>
          <w:p w14:paraId="0829EA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切削液</w:t>
            </w:r>
            <w:r>
              <w:rPr>
                <w:rFonts w:hint="eastAsia" w:cs="Times New Roman"/>
                <w:b w:val="0"/>
                <w:bCs w:val="0"/>
                <w:color w:val="auto"/>
                <w:sz w:val="21"/>
                <w:szCs w:val="21"/>
                <w:highlight w:val="none"/>
                <w:lang w:val="en-US" w:eastAsia="zh-CN"/>
              </w:rPr>
              <w:t>母液</w:t>
            </w:r>
          </w:p>
        </w:tc>
        <w:tc>
          <w:tcPr>
            <w:tcW w:w="428" w:type="pct"/>
            <w:vAlign w:val="center"/>
          </w:tcPr>
          <w:p w14:paraId="0073151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T</w:t>
            </w:r>
          </w:p>
        </w:tc>
        <w:tc>
          <w:tcPr>
            <w:tcW w:w="680" w:type="pct"/>
            <w:vAlign w:val="center"/>
          </w:tcPr>
          <w:p w14:paraId="564854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15.2</w:t>
            </w:r>
          </w:p>
        </w:tc>
        <w:tc>
          <w:tcPr>
            <w:tcW w:w="680" w:type="pct"/>
            <w:vAlign w:val="center"/>
          </w:tcPr>
          <w:p w14:paraId="474874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15.2</w:t>
            </w:r>
          </w:p>
        </w:tc>
        <w:tc>
          <w:tcPr>
            <w:tcW w:w="1665" w:type="pct"/>
            <w:vAlign w:val="center"/>
          </w:tcPr>
          <w:p w14:paraId="6B35E64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桶装，最大储存量为</w:t>
            </w:r>
            <w:r>
              <w:rPr>
                <w:rFonts w:hint="eastAsia" w:ascii="Times New Roman" w:hAnsi="Times New Roman" w:cs="Times New Roman"/>
                <w:b w:val="0"/>
                <w:bCs w:val="0"/>
                <w:color w:val="auto"/>
                <w:sz w:val="21"/>
                <w:szCs w:val="21"/>
                <w:highlight w:val="none"/>
                <w:lang w:val="en-US" w:eastAsia="zh-CN"/>
              </w:rPr>
              <w:t>2</w:t>
            </w:r>
            <w:r>
              <w:rPr>
                <w:rFonts w:hint="eastAsia" w:ascii="Times New Roman" w:hAnsi="Times New Roman" w:eastAsia="宋体" w:cs="Times New Roman"/>
                <w:b w:val="0"/>
                <w:bCs w:val="0"/>
                <w:color w:val="auto"/>
                <w:sz w:val="21"/>
                <w:szCs w:val="21"/>
                <w:highlight w:val="none"/>
                <w:lang w:val="en-US" w:eastAsia="zh-CN"/>
              </w:rPr>
              <w:t>t</w:t>
            </w:r>
          </w:p>
        </w:tc>
      </w:tr>
      <w:tr w14:paraId="4544C48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91" w:type="pct"/>
            <w:shd w:val="clear" w:color="auto" w:fill="auto"/>
            <w:vAlign w:val="center"/>
          </w:tcPr>
          <w:p w14:paraId="394FDE6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6</w:t>
            </w:r>
          </w:p>
        </w:tc>
        <w:tc>
          <w:tcPr>
            <w:tcW w:w="1254" w:type="pct"/>
            <w:vAlign w:val="center"/>
          </w:tcPr>
          <w:p w14:paraId="0274ED2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汽油</w:t>
            </w:r>
          </w:p>
        </w:tc>
        <w:tc>
          <w:tcPr>
            <w:tcW w:w="428" w:type="pct"/>
            <w:vAlign w:val="center"/>
          </w:tcPr>
          <w:p w14:paraId="7A7F9E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eastAsia="宋体" w:cs="Times New Roman"/>
                <w:b w:val="0"/>
                <w:bCs w:val="0"/>
                <w:color w:val="auto"/>
                <w:sz w:val="21"/>
                <w:szCs w:val="21"/>
                <w:highlight w:val="none"/>
                <w:lang w:val="en-US" w:eastAsia="zh-CN"/>
              </w:rPr>
              <w:t>t</w:t>
            </w:r>
          </w:p>
        </w:tc>
        <w:tc>
          <w:tcPr>
            <w:tcW w:w="680" w:type="pct"/>
            <w:vAlign w:val="center"/>
          </w:tcPr>
          <w:p w14:paraId="5E1E89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82.5</w:t>
            </w:r>
          </w:p>
        </w:tc>
        <w:tc>
          <w:tcPr>
            <w:tcW w:w="680" w:type="pct"/>
            <w:vAlign w:val="center"/>
          </w:tcPr>
          <w:p w14:paraId="1FDCD8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82.5</w:t>
            </w:r>
          </w:p>
        </w:tc>
        <w:tc>
          <w:tcPr>
            <w:tcW w:w="1665" w:type="pct"/>
            <w:vAlign w:val="center"/>
          </w:tcPr>
          <w:p w14:paraId="3B65DC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1号厂房北侧建有3个5m</w:t>
            </w:r>
            <w:r>
              <w:rPr>
                <w:rFonts w:hint="eastAsia" w:ascii="Times New Roman" w:hAnsi="Times New Roman" w:eastAsia="宋体" w:cs="Times New Roman"/>
                <w:b w:val="0"/>
                <w:bCs w:val="0"/>
                <w:color w:val="auto"/>
                <w:sz w:val="21"/>
                <w:szCs w:val="21"/>
                <w:highlight w:val="none"/>
                <w:vertAlign w:val="superscript"/>
                <w:lang w:val="en-US" w:eastAsia="zh-CN"/>
              </w:rPr>
              <w:t>3</w:t>
            </w:r>
            <w:r>
              <w:rPr>
                <w:rFonts w:hint="eastAsia" w:ascii="Times New Roman" w:hAnsi="Times New Roman" w:eastAsia="宋体" w:cs="Times New Roman"/>
                <w:b w:val="0"/>
                <w:bCs w:val="0"/>
                <w:color w:val="auto"/>
                <w:sz w:val="21"/>
                <w:szCs w:val="21"/>
                <w:highlight w:val="none"/>
                <w:lang w:val="en-US" w:eastAsia="zh-CN"/>
              </w:rPr>
              <w:t>汽油储罐</w:t>
            </w:r>
          </w:p>
        </w:tc>
      </w:tr>
      <w:tr w14:paraId="517D708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91" w:type="pct"/>
            <w:shd w:val="clear" w:color="auto" w:fill="auto"/>
            <w:vAlign w:val="center"/>
          </w:tcPr>
          <w:p w14:paraId="1A2937D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7</w:t>
            </w:r>
          </w:p>
        </w:tc>
        <w:tc>
          <w:tcPr>
            <w:tcW w:w="1254" w:type="pct"/>
            <w:vAlign w:val="center"/>
          </w:tcPr>
          <w:p w14:paraId="7EEF03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新鲜水</w:t>
            </w:r>
          </w:p>
        </w:tc>
        <w:tc>
          <w:tcPr>
            <w:tcW w:w="428" w:type="pct"/>
            <w:vAlign w:val="center"/>
          </w:tcPr>
          <w:p w14:paraId="710518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t</w:t>
            </w:r>
          </w:p>
        </w:tc>
        <w:tc>
          <w:tcPr>
            <w:tcW w:w="680" w:type="pct"/>
            <w:vAlign w:val="center"/>
          </w:tcPr>
          <w:p w14:paraId="0A7114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902.6</w:t>
            </w:r>
          </w:p>
        </w:tc>
        <w:tc>
          <w:tcPr>
            <w:tcW w:w="680" w:type="pct"/>
            <w:vAlign w:val="center"/>
          </w:tcPr>
          <w:p w14:paraId="185B93A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902.6</w:t>
            </w:r>
          </w:p>
        </w:tc>
        <w:tc>
          <w:tcPr>
            <w:tcW w:w="1665" w:type="pct"/>
            <w:vAlign w:val="center"/>
          </w:tcPr>
          <w:p w14:paraId="1CF1DB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w:t>
            </w:r>
          </w:p>
        </w:tc>
      </w:tr>
      <w:tr w14:paraId="3FF45A4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91" w:type="pct"/>
            <w:shd w:val="clear" w:color="auto" w:fill="auto"/>
            <w:vAlign w:val="center"/>
          </w:tcPr>
          <w:p w14:paraId="7936E1B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9</w:t>
            </w:r>
          </w:p>
        </w:tc>
        <w:tc>
          <w:tcPr>
            <w:tcW w:w="1254" w:type="pct"/>
            <w:vAlign w:val="center"/>
          </w:tcPr>
          <w:p w14:paraId="56771AAD">
            <w:pPr>
              <w:pStyle w:val="8"/>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highlight w:val="none"/>
                <w:lang w:val="en-US" w:eastAsia="zh-CN"/>
              </w:rPr>
              <w:t>含油金属屑</w:t>
            </w:r>
            <w:r>
              <w:rPr>
                <w:rFonts w:hint="eastAsia" w:cs="Times New Roman"/>
                <w:highlight w:val="none"/>
                <w:lang w:val="en-US" w:eastAsia="zh-CN"/>
              </w:rPr>
              <w:t>（均为铝、铁材质）</w:t>
            </w:r>
          </w:p>
        </w:tc>
        <w:tc>
          <w:tcPr>
            <w:tcW w:w="428" w:type="pct"/>
            <w:vAlign w:val="center"/>
          </w:tcPr>
          <w:p w14:paraId="19778547">
            <w:pPr>
              <w:pStyle w:val="8"/>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b w:val="0"/>
                <w:bCs w:val="0"/>
                <w:color w:val="auto"/>
                <w:sz w:val="21"/>
                <w:szCs w:val="21"/>
                <w:highlight w:val="none"/>
                <w:lang w:val="en-US" w:eastAsia="zh-CN"/>
              </w:rPr>
            </w:pPr>
            <w:r>
              <w:rPr>
                <w:rFonts w:hint="default"/>
                <w:highlight w:val="none"/>
              </w:rPr>
              <w:t>t</w:t>
            </w:r>
          </w:p>
        </w:tc>
        <w:tc>
          <w:tcPr>
            <w:tcW w:w="680" w:type="pct"/>
            <w:vAlign w:val="center"/>
          </w:tcPr>
          <w:p w14:paraId="4ABF6C6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w:t>
            </w:r>
          </w:p>
        </w:tc>
        <w:tc>
          <w:tcPr>
            <w:tcW w:w="680" w:type="pct"/>
            <w:vAlign w:val="center"/>
          </w:tcPr>
          <w:p w14:paraId="16F724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2125</w:t>
            </w:r>
          </w:p>
        </w:tc>
        <w:tc>
          <w:tcPr>
            <w:tcW w:w="1665" w:type="pct"/>
            <w:vAlign w:val="center"/>
          </w:tcPr>
          <w:p w14:paraId="1B39B14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（类别HW08，代码：900-200-08；类别HW09，代码：900-006-09）</w:t>
            </w:r>
            <w:r>
              <w:rPr>
                <w:rFonts w:hint="default" w:ascii="Times New Roman" w:hAnsi="Times New Roman" w:eastAsia="宋体" w:cs="Times New Roman"/>
                <w:b w:val="0"/>
                <w:bCs w:val="0"/>
                <w:color w:val="auto"/>
                <w:sz w:val="21"/>
                <w:szCs w:val="21"/>
                <w:highlight w:val="none"/>
                <w:lang w:val="en-US" w:eastAsia="zh-CN"/>
              </w:rPr>
              <w:t>储存于</w:t>
            </w:r>
            <w:r>
              <w:rPr>
                <w:rFonts w:hint="eastAsia" w:ascii="Times New Roman" w:hAnsi="Times New Roman" w:eastAsia="宋体" w:cs="Times New Roman"/>
                <w:b w:val="0"/>
                <w:bCs w:val="0"/>
                <w:color w:val="auto"/>
                <w:sz w:val="21"/>
                <w:szCs w:val="21"/>
                <w:highlight w:val="none"/>
                <w:lang w:val="en-US" w:eastAsia="zh-CN"/>
              </w:rPr>
              <w:t>原料贮存区内</w:t>
            </w:r>
            <w:r>
              <w:rPr>
                <w:rFonts w:hint="eastAsia" w:eastAsia="宋体" w:cs="Times New Roman"/>
                <w:b w:val="0"/>
                <w:bCs w:val="0"/>
                <w:color w:val="auto"/>
                <w:sz w:val="21"/>
                <w:szCs w:val="21"/>
                <w:highlight w:val="none"/>
                <w:lang w:val="en-US" w:eastAsia="zh-CN"/>
              </w:rPr>
              <w:t>，最大贮存量100t</w:t>
            </w:r>
          </w:p>
        </w:tc>
      </w:tr>
      <w:tr w14:paraId="2A61473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000" w:type="pct"/>
            <w:gridSpan w:val="6"/>
            <w:vAlign w:val="center"/>
          </w:tcPr>
          <w:p w14:paraId="0F36C0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left"/>
              <w:textAlignment w:val="auto"/>
              <w:rPr>
                <w:rFonts w:hint="eastAsia" w:eastAsiaTheme="minorEastAsia"/>
                <w:sz w:val="21"/>
                <w:szCs w:val="21"/>
                <w:highlight w:val="none"/>
                <w:lang w:eastAsia="zh-CN"/>
              </w:rPr>
            </w:pPr>
            <w:bookmarkStart w:id="249" w:name="_Toc456590362"/>
            <w:r>
              <w:rPr>
                <w:rFonts w:hint="eastAsia" w:eastAsiaTheme="minorEastAsia"/>
                <w:sz w:val="21"/>
                <w:szCs w:val="21"/>
                <w:highlight w:val="none"/>
              </w:rPr>
              <w:t>封口胶用量说明：根据产品质量生产设计，每生产一台发动机用胶量为53.45g。本项目年产</w:t>
            </w:r>
            <w:r>
              <w:rPr>
                <w:rFonts w:hint="eastAsia" w:eastAsiaTheme="minorEastAsia"/>
                <w:sz w:val="21"/>
                <w:szCs w:val="21"/>
                <w:highlight w:val="none"/>
                <w:lang w:val="en-US" w:eastAsia="zh-CN"/>
              </w:rPr>
              <w:t>15</w:t>
            </w:r>
            <w:r>
              <w:rPr>
                <w:rFonts w:hint="eastAsia" w:eastAsiaTheme="minorEastAsia"/>
                <w:sz w:val="21"/>
                <w:szCs w:val="21"/>
                <w:highlight w:val="none"/>
              </w:rPr>
              <w:t>万台，合计用胶量约为</w:t>
            </w:r>
            <w:r>
              <w:rPr>
                <w:rFonts w:hint="eastAsia" w:eastAsiaTheme="minorEastAsia"/>
                <w:sz w:val="21"/>
                <w:szCs w:val="21"/>
                <w:highlight w:val="none"/>
                <w:lang w:val="en-US" w:eastAsia="zh-CN"/>
              </w:rPr>
              <w:t>8</w:t>
            </w:r>
            <w:r>
              <w:rPr>
                <w:rFonts w:hint="eastAsia" w:eastAsiaTheme="minorEastAsia"/>
                <w:sz w:val="21"/>
                <w:szCs w:val="21"/>
                <w:highlight w:val="none"/>
              </w:rPr>
              <w:t>t</w:t>
            </w:r>
            <w:r>
              <w:rPr>
                <w:rFonts w:hint="eastAsia" w:eastAsiaTheme="minorEastAsia"/>
                <w:sz w:val="21"/>
                <w:szCs w:val="21"/>
                <w:highlight w:val="none"/>
                <w:lang w:eastAsia="zh-CN"/>
              </w:rPr>
              <w:t>。</w:t>
            </w:r>
          </w:p>
          <w:p w14:paraId="0D9A2A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left"/>
              <w:textAlignment w:val="auto"/>
              <w:rPr>
                <w:rFonts w:hint="eastAsia" w:eastAsiaTheme="minorEastAsia"/>
                <w:sz w:val="21"/>
                <w:szCs w:val="21"/>
                <w:highlight w:val="none"/>
                <w:lang w:eastAsia="zh-CN"/>
              </w:rPr>
            </w:pPr>
            <w:r>
              <w:rPr>
                <w:rFonts w:hint="eastAsia" w:eastAsiaTheme="minorEastAsia"/>
                <w:sz w:val="21"/>
                <w:szCs w:val="21"/>
                <w:highlight w:val="none"/>
              </w:rPr>
              <w:t>汽油使用量说明：根据研究院提供的试车技术条件，耗油量约为0.55kg/台。本项目年产19万台，合计用汽油约为</w:t>
            </w:r>
            <w:r>
              <w:rPr>
                <w:rFonts w:hint="eastAsia" w:eastAsiaTheme="minorEastAsia"/>
                <w:sz w:val="21"/>
                <w:szCs w:val="21"/>
                <w:highlight w:val="none"/>
                <w:lang w:val="en-US" w:eastAsia="zh-CN"/>
              </w:rPr>
              <w:t>82.5</w:t>
            </w:r>
            <w:r>
              <w:rPr>
                <w:rFonts w:hint="eastAsia" w:eastAsiaTheme="minorEastAsia"/>
                <w:sz w:val="21"/>
                <w:szCs w:val="21"/>
                <w:highlight w:val="none"/>
              </w:rPr>
              <w:t>t</w:t>
            </w:r>
            <w:r>
              <w:rPr>
                <w:rFonts w:hint="eastAsia" w:eastAsiaTheme="minorEastAsia"/>
                <w:sz w:val="21"/>
                <w:szCs w:val="21"/>
                <w:highlight w:val="none"/>
                <w:lang w:eastAsia="zh-CN"/>
              </w:rPr>
              <w:t>。</w:t>
            </w:r>
          </w:p>
          <w:p w14:paraId="2A2A5A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left"/>
              <w:textAlignment w:val="auto"/>
              <w:rPr>
                <w:rFonts w:hint="default" w:ascii="Times New Roman" w:hAnsi="Times New Roman" w:cs="Times New Roman" w:eastAsiaTheme="minorEastAsia"/>
                <w:b w:val="0"/>
                <w:bCs w:val="0"/>
                <w:color w:val="auto"/>
                <w:sz w:val="21"/>
                <w:szCs w:val="21"/>
                <w:highlight w:val="none"/>
                <w:lang w:val="en-US" w:eastAsia="zh-CN"/>
              </w:rPr>
            </w:pPr>
            <w:r>
              <w:rPr>
                <w:rFonts w:hint="eastAsia" w:eastAsiaTheme="minorEastAsia"/>
                <w:sz w:val="21"/>
                <w:szCs w:val="21"/>
                <w:highlight w:val="none"/>
                <w:lang w:val="en-US" w:eastAsia="zh-CN"/>
              </w:rPr>
              <w:t>本项目类比《浙江飞能环保科技有限公司年处理1万吨含油金属屑新建项目》可知含油金属屑含湿率约为8%</w:t>
            </w:r>
            <w:r>
              <w:rPr>
                <w:rFonts w:hint="eastAsia" w:eastAsiaTheme="minorEastAsia"/>
                <w:szCs w:val="21"/>
                <w:highlight w:val="none"/>
                <w:lang w:val="en-US" w:eastAsia="zh-CN"/>
              </w:rPr>
              <w:t>。</w:t>
            </w:r>
          </w:p>
        </w:tc>
      </w:tr>
    </w:tbl>
    <w:p w14:paraId="5D8A2B7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Times New Roman" w:hAnsi="Times New Roman" w:eastAsia="宋体" w:cs="Times New Roman"/>
          <w:b/>
          <w:bCs/>
          <w:color w:val="auto"/>
          <w:sz w:val="21"/>
          <w:szCs w:val="21"/>
          <w:highlight w:val="none"/>
          <w:lang w:val="en-US" w:eastAsia="zh-CN"/>
        </w:rPr>
      </w:pPr>
      <w:bookmarkStart w:id="250" w:name="_Toc29938"/>
      <w:bookmarkStart w:id="251" w:name="_Toc31985"/>
      <w:r>
        <w:rPr>
          <w:rFonts w:hint="eastAsia" w:ascii="Times New Roman" w:hAnsi="Times New Roman" w:eastAsia="宋体" w:cs="Times New Roman"/>
          <w:color w:val="auto"/>
          <w:sz w:val="24"/>
          <w:szCs w:val="24"/>
          <w:highlight w:val="none"/>
        </w:rPr>
        <w:t>项目涉及化学品理化性质及毒性毒理分析见表3-2-4。</w:t>
      </w:r>
    </w:p>
    <w:p w14:paraId="42917A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表3-2-4化学品理化性质及毒性毒理分析一览表</w:t>
      </w:r>
    </w:p>
    <w:tbl>
      <w:tblPr>
        <w:tblStyle w:val="46"/>
        <w:tblW w:w="4963"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525"/>
        <w:gridCol w:w="841"/>
        <w:gridCol w:w="3020"/>
        <w:gridCol w:w="1424"/>
        <w:gridCol w:w="2649"/>
      </w:tblGrid>
      <w:tr w14:paraId="7EE34CF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310" w:type="pct"/>
            <w:vAlign w:val="center"/>
          </w:tcPr>
          <w:p w14:paraId="797170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序号</w:t>
            </w:r>
          </w:p>
        </w:tc>
        <w:tc>
          <w:tcPr>
            <w:tcW w:w="497" w:type="pct"/>
            <w:vAlign w:val="center"/>
          </w:tcPr>
          <w:p w14:paraId="6B7DB1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物料名称</w:t>
            </w:r>
          </w:p>
        </w:tc>
        <w:tc>
          <w:tcPr>
            <w:tcW w:w="1784" w:type="pct"/>
            <w:vAlign w:val="center"/>
          </w:tcPr>
          <w:p w14:paraId="5904593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理化性质</w:t>
            </w:r>
          </w:p>
        </w:tc>
        <w:tc>
          <w:tcPr>
            <w:tcW w:w="841" w:type="pct"/>
            <w:vAlign w:val="center"/>
          </w:tcPr>
          <w:p w14:paraId="24FEAF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燃烧爆炸性</w:t>
            </w:r>
          </w:p>
        </w:tc>
        <w:tc>
          <w:tcPr>
            <w:tcW w:w="1565" w:type="pct"/>
            <w:vAlign w:val="center"/>
          </w:tcPr>
          <w:p w14:paraId="27E229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毒性毒理</w:t>
            </w:r>
          </w:p>
        </w:tc>
      </w:tr>
      <w:tr w14:paraId="6987E89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310" w:type="pct"/>
            <w:vAlign w:val="center"/>
          </w:tcPr>
          <w:p w14:paraId="79C541A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w:t>
            </w:r>
          </w:p>
        </w:tc>
        <w:tc>
          <w:tcPr>
            <w:tcW w:w="497" w:type="pct"/>
            <w:vAlign w:val="center"/>
          </w:tcPr>
          <w:p w14:paraId="1932D25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润滑油（机</w:t>
            </w:r>
          </w:p>
          <w:p w14:paraId="0405EEF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油）</w:t>
            </w:r>
          </w:p>
        </w:tc>
        <w:tc>
          <w:tcPr>
            <w:tcW w:w="1784" w:type="pct"/>
            <w:vAlign w:val="center"/>
          </w:tcPr>
          <w:p w14:paraId="49C38E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由基础油和添加剂组成，基础油一般为石油蒸馏物，烃类及烃类混合物；油状液体，淡黄色至褐色，无气味或略带异味</w:t>
            </w:r>
          </w:p>
        </w:tc>
        <w:tc>
          <w:tcPr>
            <w:tcW w:w="841" w:type="pct"/>
            <w:vAlign w:val="center"/>
          </w:tcPr>
          <w:p w14:paraId="51D9ED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可燃</w:t>
            </w:r>
          </w:p>
        </w:tc>
        <w:tc>
          <w:tcPr>
            <w:tcW w:w="1565" w:type="pct"/>
            <w:vAlign w:val="center"/>
          </w:tcPr>
          <w:p w14:paraId="50A3D7E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急性吸入，可出现乏力、头晕、头痛、恶心，严重者可引起油脂性肺炎。慢接触着，暴露部位可发生油性痤疮和接触性皮炎。可引起神经衰弱综合征，呼吸道和眼刺激症状及慢性油脂性肺炎</w:t>
            </w:r>
          </w:p>
        </w:tc>
      </w:tr>
      <w:tr w14:paraId="423750D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310" w:type="pct"/>
            <w:vAlign w:val="center"/>
          </w:tcPr>
          <w:p w14:paraId="5E87AAB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w:t>
            </w:r>
          </w:p>
        </w:tc>
        <w:tc>
          <w:tcPr>
            <w:tcW w:w="497" w:type="pct"/>
            <w:vAlign w:val="center"/>
          </w:tcPr>
          <w:p w14:paraId="53139C7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汽油</w:t>
            </w:r>
          </w:p>
        </w:tc>
        <w:tc>
          <w:tcPr>
            <w:tcW w:w="1784" w:type="pct"/>
            <w:vAlign w:val="center"/>
          </w:tcPr>
          <w:p w14:paraId="5EF4096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在常温下为无色至淡黄色的易流动液体，很难溶解于水；主要成分为C5～C12脂肪烃和环烷烃类，以及一定量芳香烃，具有芳香味；密度为0.70-0.78g/cm</w:t>
            </w:r>
            <w:r>
              <w:rPr>
                <w:rFonts w:hint="eastAsia" w:ascii="Times New Roman" w:hAnsi="Times New Roman" w:eastAsia="宋体" w:cs="Times New Roman"/>
                <w:b w:val="0"/>
                <w:bCs w:val="0"/>
                <w:color w:val="auto"/>
                <w:sz w:val="21"/>
                <w:szCs w:val="21"/>
                <w:highlight w:val="none"/>
                <w:vertAlign w:val="superscript"/>
                <w:lang w:val="en-US" w:eastAsia="zh-CN"/>
              </w:rPr>
              <w:t>3</w:t>
            </w:r>
          </w:p>
        </w:tc>
        <w:tc>
          <w:tcPr>
            <w:tcW w:w="841" w:type="pct"/>
            <w:vAlign w:val="center"/>
          </w:tcPr>
          <w:p w14:paraId="50416FD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易燃；其蒸气与空气可形成爆炸性混合物；遇明火、高热极易燃烧爆炸。与氧化剂能发生强烈反应；其蒸</w:t>
            </w:r>
          </w:p>
          <w:p w14:paraId="729DD1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气比空气重，能在较低处扩散到相当远的地方，遇明火会引着回燃</w:t>
            </w:r>
          </w:p>
        </w:tc>
        <w:tc>
          <w:tcPr>
            <w:tcW w:w="1565" w:type="pct"/>
          </w:tcPr>
          <w:p w14:paraId="0BF417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属低毒类。急性毒性D5067000mg/kg（小鼠经口）；LC50103000mg/m</w:t>
            </w:r>
            <w:r>
              <w:rPr>
                <w:rFonts w:hint="eastAsia" w:ascii="Times New Roman" w:hAnsi="Times New Roman" w:eastAsia="宋体" w:cs="Times New Roman"/>
                <w:b w:val="0"/>
                <w:bCs w:val="0"/>
                <w:color w:val="auto"/>
                <w:sz w:val="21"/>
                <w:szCs w:val="21"/>
                <w:highlight w:val="none"/>
                <w:vertAlign w:val="superscript"/>
                <w:lang w:val="en-US" w:eastAsia="zh-CN"/>
              </w:rPr>
              <w:t>3</w:t>
            </w:r>
            <w:r>
              <w:rPr>
                <w:rFonts w:hint="eastAsia" w:ascii="Times New Roman" w:hAnsi="Times New Roman" w:eastAsia="宋体" w:cs="Times New Roman"/>
                <w:b w:val="0"/>
                <w:bCs w:val="0"/>
                <w:color w:val="auto"/>
                <w:sz w:val="21"/>
                <w:szCs w:val="21"/>
                <w:highlight w:val="none"/>
                <w:lang w:val="en-US" w:eastAsia="zh-CN"/>
              </w:rPr>
              <w:t>，2小时（小鼠吸入）刺激性：人经眼：140ppm（8小时），轻度刺激。亚急性和慢性毒性：大鼠吸入3g/m</w:t>
            </w:r>
            <w:r>
              <w:rPr>
                <w:rFonts w:hint="eastAsia" w:ascii="Times New Roman" w:hAnsi="Times New Roman" w:eastAsia="宋体" w:cs="Times New Roman"/>
                <w:b w:val="0"/>
                <w:bCs w:val="0"/>
                <w:color w:val="auto"/>
                <w:sz w:val="21"/>
                <w:szCs w:val="21"/>
                <w:highlight w:val="none"/>
                <w:vertAlign w:val="superscript"/>
                <w:lang w:val="en-US" w:eastAsia="zh-CN"/>
              </w:rPr>
              <w:t>3</w:t>
            </w:r>
            <w:r>
              <w:rPr>
                <w:rFonts w:hint="eastAsia" w:ascii="Times New Roman" w:hAnsi="Times New Roman" w:eastAsia="宋体" w:cs="Times New Roman"/>
                <w:b w:val="0"/>
                <w:bCs w:val="0"/>
                <w:color w:val="auto"/>
                <w:sz w:val="21"/>
                <w:szCs w:val="21"/>
                <w:highlight w:val="none"/>
                <w:lang w:val="en-US" w:eastAsia="zh-CN"/>
              </w:rPr>
              <w:t>，</w:t>
            </w:r>
          </w:p>
          <w:p w14:paraId="779E07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12-24小时/天，78天（120号溶剂汽油），未见中毒症状。大鼠吸入2500mg/m</w:t>
            </w:r>
            <w:r>
              <w:rPr>
                <w:rFonts w:hint="eastAsia" w:ascii="Times New Roman" w:hAnsi="Times New Roman" w:eastAsia="宋体" w:cs="Times New Roman"/>
                <w:b w:val="0"/>
                <w:bCs w:val="0"/>
                <w:color w:val="auto"/>
                <w:sz w:val="21"/>
                <w:szCs w:val="21"/>
                <w:highlight w:val="none"/>
                <w:vertAlign w:val="superscript"/>
                <w:lang w:val="en-US" w:eastAsia="zh-CN"/>
              </w:rPr>
              <w:t>3</w:t>
            </w:r>
            <w:r>
              <w:rPr>
                <w:rFonts w:hint="eastAsia" w:ascii="Times New Roman" w:hAnsi="Times New Roman" w:eastAsia="宋体" w:cs="Times New Roman"/>
                <w:b w:val="0"/>
                <w:bCs w:val="0"/>
                <w:color w:val="auto"/>
                <w:sz w:val="21"/>
                <w:szCs w:val="21"/>
                <w:highlight w:val="none"/>
                <w:lang w:val="en-US" w:eastAsia="zh-CN"/>
              </w:rPr>
              <w:t>，130号</w:t>
            </w:r>
          </w:p>
          <w:p w14:paraId="640257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催化裂解汽油，4小时/天，6天/周，8周，体力活动能力降低，神经系统发生机能性改变</w:t>
            </w:r>
          </w:p>
        </w:tc>
      </w:tr>
      <w:tr w14:paraId="7A60190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10" w:type="pct"/>
            <w:vAlign w:val="center"/>
          </w:tcPr>
          <w:p w14:paraId="26A7206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3</w:t>
            </w:r>
          </w:p>
        </w:tc>
        <w:tc>
          <w:tcPr>
            <w:tcW w:w="497" w:type="pct"/>
            <w:vAlign w:val="center"/>
          </w:tcPr>
          <w:p w14:paraId="3438FD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清洗剂原液</w:t>
            </w:r>
          </w:p>
        </w:tc>
        <w:tc>
          <w:tcPr>
            <w:tcW w:w="1784" w:type="pct"/>
            <w:vAlign w:val="center"/>
          </w:tcPr>
          <w:p w14:paraId="3463D1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微白淡黄色液体，无气味或略带气味，密度1.02g/cm</w:t>
            </w:r>
            <w:r>
              <w:rPr>
                <w:rFonts w:hint="eastAsia" w:ascii="Times New Roman" w:hAnsi="Times New Roman" w:eastAsia="宋体" w:cs="Times New Roman"/>
                <w:b w:val="0"/>
                <w:bCs w:val="0"/>
                <w:color w:val="auto"/>
                <w:sz w:val="21"/>
                <w:szCs w:val="21"/>
                <w:highlight w:val="none"/>
                <w:vertAlign w:val="superscript"/>
                <w:lang w:val="en-US" w:eastAsia="zh-CN"/>
              </w:rPr>
              <w:t>3</w:t>
            </w:r>
            <w:r>
              <w:rPr>
                <w:rFonts w:hint="eastAsia" w:ascii="Times New Roman" w:hAnsi="Times New Roman" w:eastAsia="宋体" w:cs="Times New Roman"/>
                <w:b w:val="0"/>
                <w:bCs w:val="0"/>
                <w:color w:val="auto"/>
                <w:sz w:val="21"/>
                <w:szCs w:val="21"/>
                <w:highlight w:val="none"/>
                <w:lang w:val="en-US" w:eastAsia="zh-CN"/>
              </w:rPr>
              <w:t>。主要成分为脂肪酸类，胺类有机磷酸酯类，非离子表面活性剂、消泡剂、杀菌剂，其余水</w:t>
            </w:r>
          </w:p>
        </w:tc>
        <w:tc>
          <w:tcPr>
            <w:tcW w:w="841" w:type="pct"/>
            <w:vAlign w:val="center"/>
          </w:tcPr>
          <w:p w14:paraId="43FAAB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无</w:t>
            </w:r>
          </w:p>
        </w:tc>
        <w:tc>
          <w:tcPr>
            <w:tcW w:w="1565" w:type="pct"/>
            <w:vAlign w:val="center"/>
          </w:tcPr>
          <w:p w14:paraId="1E26DA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进入眼睛时：直接用大量的水冲洗，如有症状立即接受医生治疗溅到皮肤上时：用冷水或温水冲洗。</w:t>
            </w:r>
          </w:p>
          <w:p w14:paraId="1404AD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吸入时：移动到有新鲜空气的场所，安静、迅速地找医生治疗。</w:t>
            </w:r>
          </w:p>
          <w:p w14:paraId="40223B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饮入时：尽量吐出来。用水清洗口腔或直接使用医疗器械</w:t>
            </w:r>
          </w:p>
        </w:tc>
      </w:tr>
      <w:tr w14:paraId="7A7181D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10" w:type="pct"/>
            <w:vAlign w:val="center"/>
          </w:tcPr>
          <w:p w14:paraId="3379E52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4</w:t>
            </w:r>
          </w:p>
        </w:tc>
        <w:tc>
          <w:tcPr>
            <w:tcW w:w="497" w:type="pct"/>
            <w:vAlign w:val="center"/>
          </w:tcPr>
          <w:p w14:paraId="5F2DC23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切削液</w:t>
            </w:r>
            <w:r>
              <w:rPr>
                <w:rFonts w:hint="eastAsia" w:ascii="Times New Roman" w:hAnsi="Times New Roman" w:eastAsia="宋体" w:cs="Times New Roman"/>
                <w:b w:val="0"/>
                <w:bCs w:val="0"/>
                <w:color w:val="auto"/>
                <w:sz w:val="21"/>
                <w:szCs w:val="21"/>
                <w:highlight w:val="none"/>
                <w:lang w:val="en-US" w:eastAsia="zh-CN"/>
              </w:rPr>
              <w:t>原液</w:t>
            </w:r>
          </w:p>
        </w:tc>
        <w:tc>
          <w:tcPr>
            <w:tcW w:w="1784" w:type="pct"/>
            <w:vAlign w:val="center"/>
          </w:tcPr>
          <w:p w14:paraId="4502372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黄色透明液体，无气味或略带气味，密度0.95~0.99g/cm</w:t>
            </w:r>
            <w:r>
              <w:rPr>
                <w:rFonts w:hint="eastAsia" w:ascii="Times New Roman" w:hAnsi="Times New Roman" w:eastAsia="宋体" w:cs="Times New Roman"/>
                <w:b w:val="0"/>
                <w:bCs w:val="0"/>
                <w:color w:val="auto"/>
                <w:sz w:val="21"/>
                <w:szCs w:val="21"/>
                <w:highlight w:val="none"/>
                <w:vertAlign w:val="superscript"/>
                <w:lang w:val="en-US" w:eastAsia="zh-CN"/>
              </w:rPr>
              <w:t>3</w:t>
            </w:r>
            <w:r>
              <w:rPr>
                <w:rFonts w:hint="eastAsia" w:ascii="Times New Roman" w:hAnsi="Times New Roman" w:eastAsia="宋体" w:cs="Times New Roman"/>
                <w:b w:val="0"/>
                <w:bCs w:val="0"/>
                <w:color w:val="auto"/>
                <w:sz w:val="21"/>
                <w:szCs w:val="21"/>
                <w:highlight w:val="none"/>
                <w:lang w:val="en-US" w:eastAsia="zh-CN"/>
              </w:rPr>
              <w:t>。在金属切削加工中起润滑冷却作用。主要成分为矿物油、三羟甲基丙烷三油酸酯、油酸、脂肪醇聚氧乙烯醚、二乙二醇丁醚、氢氧钾、其余水</w:t>
            </w:r>
          </w:p>
        </w:tc>
        <w:tc>
          <w:tcPr>
            <w:tcW w:w="841" w:type="pct"/>
            <w:vAlign w:val="center"/>
          </w:tcPr>
          <w:p w14:paraId="3DF7A3A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可燃</w:t>
            </w:r>
          </w:p>
        </w:tc>
        <w:tc>
          <w:tcPr>
            <w:tcW w:w="1565" w:type="pct"/>
            <w:vAlign w:val="center"/>
          </w:tcPr>
          <w:p w14:paraId="0FE411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皮肤接触可能刺激皮肤和引发过敏；长期接触或皮肤反复接触可导致皮炎，呼吸道和眼刺激症及慢性油脂性肺炎；摄入可导致肠胃刺激，恶心呕吐</w:t>
            </w:r>
          </w:p>
        </w:tc>
      </w:tr>
      <w:tr w14:paraId="51BAA31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10" w:type="pct"/>
            <w:vAlign w:val="center"/>
          </w:tcPr>
          <w:p w14:paraId="6DBCA5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5</w:t>
            </w:r>
          </w:p>
        </w:tc>
        <w:tc>
          <w:tcPr>
            <w:tcW w:w="497" w:type="pct"/>
            <w:vAlign w:val="center"/>
          </w:tcPr>
          <w:p w14:paraId="034CABC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封口胶</w:t>
            </w:r>
            <w:r>
              <w:rPr>
                <w:rFonts w:hint="eastAsia" w:ascii="Times New Roman" w:hAnsi="Times New Roman" w:cs="Times New Roman"/>
                <w:b w:val="0"/>
                <w:bCs w:val="0"/>
                <w:color w:val="auto"/>
                <w:sz w:val="21"/>
                <w:szCs w:val="21"/>
                <w:highlight w:val="none"/>
                <w:lang w:val="en-US" w:eastAsia="zh-CN"/>
              </w:rPr>
              <w:t>（胶粘剂）</w:t>
            </w:r>
          </w:p>
        </w:tc>
        <w:tc>
          <w:tcPr>
            <w:tcW w:w="1784" w:type="pct"/>
            <w:vAlign w:val="center"/>
          </w:tcPr>
          <w:p w14:paraId="423D588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主要成分是碳酸钙，含量为25-50%，二甲基硅氧烷（末端是羟基的聚）含量为30-40%，二甲基硅氧烷（末端是二甲基的聚）含量为5-15%，肟基硅烷含量为1-10%，二氧化硅含量为1-3%，炭黑含量为1-3%，硬脂酸0.5-2%。物理化学性质：黑色膏体，轻微气味。有机物挥发性含量为4.01%，稳定性：稳定；pH：7-8</w:t>
            </w:r>
          </w:p>
          <w:p w14:paraId="1E4275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比重：1.31</w:t>
            </w:r>
          </w:p>
        </w:tc>
        <w:tc>
          <w:tcPr>
            <w:tcW w:w="841" w:type="pct"/>
            <w:vAlign w:val="center"/>
          </w:tcPr>
          <w:p w14:paraId="527933A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可燃</w:t>
            </w:r>
          </w:p>
        </w:tc>
        <w:tc>
          <w:tcPr>
            <w:tcW w:w="1565" w:type="pct"/>
            <w:vAlign w:val="center"/>
          </w:tcPr>
          <w:p w14:paraId="5B1FAF8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摄入：不要催吐。保持平静，寻求医生帮助。</w:t>
            </w:r>
          </w:p>
          <w:p w14:paraId="216110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吸入：移入通风处，如症状持续，寻求医生帮助。</w:t>
            </w:r>
          </w:p>
          <w:p w14:paraId="63C9E48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皮肤接触：用纸巾或布将沾在皮肤上的膏体擦干净,用肥皂水彻底冲洗。</w:t>
            </w:r>
          </w:p>
          <w:p w14:paraId="22625F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眼睛接触：用水冲洗至少15分钟，寻求医生帮助。</w:t>
            </w:r>
          </w:p>
        </w:tc>
      </w:tr>
    </w:tbl>
    <w:p w14:paraId="5C3E2331">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备注：①清洗剂：属于水溶性清洗浓缩液，主要由非离子型表面活性剂、碱性剂、缓蚀剂、水和其它添加剂等组成。浅黄色液体，易溶于水。组分主要为：有机酸5～15%、有机胺5～20%、有色金属防腐剂1～10%、改质聚醚1～10%，基本不含挥发性有机物，符合《清洗剂挥发性有机化合物含量限值》（GB38508-2020）表1水基清洗剂VOC含量限值要求。</w:t>
      </w:r>
    </w:p>
    <w:p w14:paraId="4052EEDB">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②</w:t>
      </w:r>
      <w:r>
        <w:rPr>
          <w:rFonts w:hint="eastAsia" w:ascii="Times New Roman" w:hAnsi="Times New Roman" w:eastAsia="宋体" w:cs="Times New Roman"/>
          <w:color w:val="auto"/>
          <w:kern w:val="0"/>
          <w:sz w:val="21"/>
          <w:szCs w:val="21"/>
          <w:highlight w:val="none"/>
          <w:lang w:val="en-US" w:eastAsia="zh-CN" w:bidi="ar"/>
        </w:rPr>
        <w:t>封口胶</w:t>
      </w:r>
      <w:r>
        <w:rPr>
          <w:rFonts w:hint="default" w:ascii="Times New Roman" w:hAnsi="Times New Roman" w:eastAsia="宋体" w:cs="Times New Roman"/>
          <w:color w:val="auto"/>
          <w:kern w:val="0"/>
          <w:sz w:val="21"/>
          <w:szCs w:val="21"/>
          <w:highlight w:val="none"/>
          <w:lang w:val="en-US" w:eastAsia="zh-CN" w:bidi="ar"/>
        </w:rPr>
        <w:t>：</w:t>
      </w:r>
      <w:r>
        <w:rPr>
          <w:rFonts w:hint="eastAsia" w:ascii="Times New Roman" w:hAnsi="Times New Roman" w:eastAsia="宋体" w:cs="Times New Roman"/>
          <w:color w:val="auto"/>
          <w:kern w:val="0"/>
          <w:sz w:val="21"/>
          <w:szCs w:val="21"/>
          <w:highlight w:val="none"/>
          <w:lang w:val="en-US" w:eastAsia="zh-CN" w:bidi="ar"/>
        </w:rPr>
        <w:t>本项目使用的封口胶为无溶剂型胶粘剂，</w:t>
      </w:r>
      <w:r>
        <w:rPr>
          <w:rFonts w:hint="eastAsia" w:ascii="Times New Roman" w:hAnsi="Times New Roman" w:eastAsia="宋体" w:cs="Times New Roman"/>
          <w:color w:val="auto"/>
          <w:sz w:val="21"/>
          <w:szCs w:val="21"/>
          <w:highlight w:val="none"/>
        </w:rPr>
        <w:t>根据封口胶的</w:t>
      </w:r>
      <w:r>
        <w:rPr>
          <w:rFonts w:hint="eastAsia" w:ascii="Times New Roman" w:hAnsi="Times New Roman" w:cs="Times New Roman"/>
          <w:color w:val="auto"/>
          <w:sz w:val="21"/>
          <w:szCs w:val="21"/>
          <w:highlight w:val="none"/>
          <w:lang w:eastAsia="zh-CN"/>
        </w:rPr>
        <w:t>产品质量报告，其挥发性有机物占比为</w:t>
      </w:r>
      <w:r>
        <w:rPr>
          <w:rFonts w:hint="eastAsia" w:ascii="Times New Roman" w:hAnsi="Times New Roman" w:cs="Times New Roman"/>
          <w:color w:val="auto"/>
          <w:sz w:val="21"/>
          <w:szCs w:val="21"/>
          <w:highlight w:val="none"/>
          <w:lang w:val="en-US" w:eastAsia="zh-CN"/>
        </w:rPr>
        <w:t>4.01%，</w:t>
      </w:r>
      <w:r>
        <w:rPr>
          <w:rFonts w:hint="eastAsia" w:ascii="Times New Roman" w:hAnsi="Times New Roman" w:eastAsia="宋体" w:cs="Times New Roman"/>
          <w:color w:val="auto"/>
          <w:sz w:val="21"/>
          <w:szCs w:val="21"/>
          <w:highlight w:val="none"/>
        </w:rPr>
        <w:t>符合《胶粘剂挥发性有机化合物限量》（GB33372-2020）限值要求，属于低VOCs原料。</w:t>
      </w:r>
    </w:p>
    <w:p w14:paraId="71720171">
      <w:pPr>
        <w:spacing w:line="360" w:lineRule="auto"/>
        <w:ind w:firstLine="480" w:firstLineChars="200"/>
        <w:rPr>
          <w:rFonts w:hAnsiTheme="minorEastAsia" w:eastAsiaTheme="minorEastAsia"/>
          <w:sz w:val="24"/>
          <w:highlight w:val="none"/>
        </w:rPr>
      </w:pPr>
      <w:r>
        <w:rPr>
          <w:rFonts w:hint="eastAsia" w:hAnsiTheme="minorEastAsia" w:eastAsiaTheme="minorEastAsia"/>
          <w:sz w:val="24"/>
          <w:highlight w:val="none"/>
        </w:rPr>
        <w:t>根据《汽车工业污染方式可行技术指南（HJ1181-2021）》附录D，胶粘剂的挥发分（主要成分是VOCs）主要组分质量占比＜5%，</w:t>
      </w:r>
      <w:r>
        <w:rPr>
          <w:rFonts w:hAnsiTheme="minorEastAsia" w:eastAsiaTheme="minorEastAsia"/>
          <w:sz w:val="24"/>
          <w:highlight w:val="none"/>
        </w:rPr>
        <w:t>属于低</w:t>
      </w:r>
      <w:r>
        <w:rPr>
          <w:rFonts w:eastAsiaTheme="minorEastAsia"/>
          <w:sz w:val="24"/>
          <w:highlight w:val="none"/>
        </w:rPr>
        <w:t>VOCs</w:t>
      </w:r>
      <w:r>
        <w:rPr>
          <w:rFonts w:hAnsiTheme="minorEastAsia" w:eastAsiaTheme="minorEastAsia"/>
          <w:sz w:val="24"/>
          <w:highlight w:val="none"/>
        </w:rPr>
        <w:t>原料。根据封口胶分析报告，有机物挥发性为</w:t>
      </w:r>
      <w:r>
        <w:rPr>
          <w:rFonts w:hint="eastAsia" w:hAnsiTheme="minorEastAsia" w:eastAsiaTheme="minorEastAsia"/>
          <w:sz w:val="24"/>
          <w:highlight w:val="none"/>
        </w:rPr>
        <w:t>4.01%。</w:t>
      </w:r>
    </w:p>
    <w:p w14:paraId="17CAAAE8">
      <w:pPr>
        <w:bidi w:val="0"/>
        <w:rPr>
          <w:rFonts w:hAnsiTheme="minorEastAsia" w:eastAsiaTheme="minorEastAsia"/>
          <w:kern w:val="0"/>
          <w:sz w:val="24"/>
          <w:highlight w:val="none"/>
        </w:rPr>
      </w:pPr>
      <w:r>
        <w:rPr>
          <w:rFonts w:hint="eastAsia"/>
          <w:highlight w:val="none"/>
          <w:lang w:val="en-US" w:eastAsia="zh-CN"/>
        </w:rPr>
        <w:t>本项目处理含油金属屑最大量为8.5t/d，根据2022年大连</w:t>
      </w:r>
      <w:r>
        <w:rPr>
          <w:highlight w:val="none"/>
          <w:lang w:val="en-US" w:eastAsia="zh-CN"/>
        </w:rPr>
        <w:t>德迈仕</w:t>
      </w:r>
      <w:r>
        <w:rPr>
          <w:rFonts w:hint="eastAsia"/>
          <w:highlight w:val="none"/>
          <w:lang w:val="en-US" w:eastAsia="zh-CN"/>
        </w:rPr>
        <w:t>公司的</w:t>
      </w:r>
      <w:r>
        <w:rPr>
          <w:highlight w:val="none"/>
          <w:lang w:val="en-US" w:eastAsia="zh-CN"/>
        </w:rPr>
        <w:t>提升-粉碎-脱油</w:t>
      </w:r>
      <w:r>
        <w:rPr>
          <w:rFonts w:hint="eastAsia"/>
          <w:highlight w:val="none"/>
          <w:lang w:val="en-US" w:eastAsia="zh-CN"/>
        </w:rPr>
        <w:t>实例可知，其脱油率约为99%，脱油后金属屑含油率可达到2%以下，脱油过程中，油类物质损耗约1%，本项目按损耗部分全部挥发计。</w:t>
      </w:r>
    </w:p>
    <w:p w14:paraId="771190C9">
      <w:pPr>
        <w:spacing w:line="360" w:lineRule="auto"/>
        <w:ind w:firstLine="480" w:firstLineChars="200"/>
        <w:rPr>
          <w:rFonts w:hAnsiTheme="minorEastAsia" w:eastAsiaTheme="minorEastAsia"/>
          <w:kern w:val="0"/>
          <w:sz w:val="24"/>
          <w:highlight w:val="none"/>
        </w:rPr>
      </w:pPr>
      <w:r>
        <w:rPr>
          <w:rFonts w:hAnsiTheme="minorEastAsia" w:eastAsiaTheme="minorEastAsia"/>
          <w:kern w:val="0"/>
          <w:sz w:val="24"/>
          <w:highlight w:val="none"/>
        </w:rPr>
        <w:t>挥发性有机物的物料平衡：根据封口胶原辅材料中有机物所占的比例，估算非甲烷总烃的挥发量，具体见下表</w:t>
      </w:r>
      <w:r>
        <w:rPr>
          <w:rFonts w:eastAsiaTheme="minorEastAsia"/>
          <w:kern w:val="0"/>
          <w:sz w:val="24"/>
          <w:highlight w:val="none"/>
        </w:rPr>
        <w:t>3-</w:t>
      </w:r>
      <w:r>
        <w:rPr>
          <w:rFonts w:hint="eastAsia" w:eastAsiaTheme="minorEastAsia"/>
          <w:kern w:val="0"/>
          <w:sz w:val="24"/>
          <w:highlight w:val="none"/>
          <w:lang w:val="en-US" w:eastAsia="zh-CN"/>
        </w:rPr>
        <w:t>2</w:t>
      </w:r>
      <w:r>
        <w:rPr>
          <w:rFonts w:eastAsiaTheme="minorEastAsia"/>
          <w:kern w:val="0"/>
          <w:sz w:val="24"/>
          <w:highlight w:val="none"/>
        </w:rPr>
        <w:t>-5</w:t>
      </w:r>
      <w:r>
        <w:rPr>
          <w:rFonts w:hAnsiTheme="minorEastAsia" w:eastAsiaTheme="minorEastAsia"/>
          <w:kern w:val="0"/>
          <w:sz w:val="24"/>
          <w:highlight w:val="none"/>
        </w:rPr>
        <w:t>。</w:t>
      </w:r>
    </w:p>
    <w:p w14:paraId="08CFA010">
      <w:pPr>
        <w:pStyle w:val="7"/>
        <w:bidi w:val="0"/>
        <w:rPr>
          <w:highlight w:val="none"/>
        </w:rPr>
      </w:pPr>
      <w:r>
        <w:rPr>
          <w:highlight w:val="none"/>
        </w:rPr>
        <w:t>表3-</w:t>
      </w:r>
      <w:r>
        <w:rPr>
          <w:rFonts w:hint="eastAsia"/>
          <w:highlight w:val="none"/>
          <w:lang w:val="en-US" w:eastAsia="zh-CN"/>
        </w:rPr>
        <w:t>2</w:t>
      </w:r>
      <w:r>
        <w:rPr>
          <w:highlight w:val="none"/>
        </w:rPr>
        <w:t>-5挥发性有机物平衡表</w:t>
      </w:r>
    </w:p>
    <w:tbl>
      <w:tblPr>
        <w:tblStyle w:val="45"/>
        <w:tblW w:w="511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49"/>
        <w:gridCol w:w="1491"/>
        <w:gridCol w:w="1606"/>
        <w:gridCol w:w="2410"/>
        <w:gridCol w:w="1759"/>
      </w:tblGrid>
      <w:tr w14:paraId="2E5A5D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1" w:type="pct"/>
            <w:vMerge w:val="restart"/>
            <w:tcBorders>
              <w:top w:val="single" w:color="auto" w:sz="12" w:space="0"/>
            </w:tcBorders>
            <w:vAlign w:val="center"/>
          </w:tcPr>
          <w:p w14:paraId="39CCEF64">
            <w:pPr>
              <w:pStyle w:val="743"/>
              <w:suppressLineNumbers w:val="0"/>
              <w:tabs>
                <w:tab w:val="left" w:pos="425"/>
              </w:tabs>
              <w:spacing w:beforeAutospacing="0" w:afterAutospacing="0" w:line="240" w:lineRule="auto"/>
              <w:ind w:left="0" w:right="0"/>
              <w:rPr>
                <w:rFonts w:hint="default" w:ascii="Times New Roman" w:hAnsi="Times New Roman" w:eastAsia="宋体" w:cs="Times New Roman"/>
                <w:bCs w:val="0"/>
                <w:color w:val="000000"/>
                <w:kern w:val="0"/>
                <w:sz w:val="21"/>
                <w:szCs w:val="24"/>
                <w:highlight w:val="none"/>
                <w:lang w:val="en-US" w:eastAsia="zh-CN" w:bidi="ar-SA"/>
              </w:rPr>
            </w:pPr>
            <w:r>
              <w:rPr>
                <w:rFonts w:hint="eastAsia" w:eastAsia="宋体" w:cs="Times New Roman"/>
                <w:bCs w:val="0"/>
                <w:color w:val="000000"/>
                <w:kern w:val="0"/>
                <w:sz w:val="21"/>
                <w:szCs w:val="24"/>
                <w:highlight w:val="none"/>
                <w:lang w:val="en-US" w:eastAsia="zh-CN" w:bidi="ar-SA"/>
              </w:rPr>
              <w:t>工序</w:t>
            </w:r>
          </w:p>
        </w:tc>
        <w:tc>
          <w:tcPr>
            <w:tcW w:w="1776" w:type="pct"/>
            <w:gridSpan w:val="2"/>
            <w:tcBorders>
              <w:top w:val="single" w:color="auto" w:sz="12" w:space="0"/>
            </w:tcBorders>
            <w:vAlign w:val="center"/>
          </w:tcPr>
          <w:p w14:paraId="68D489DE">
            <w:pPr>
              <w:pStyle w:val="743"/>
              <w:suppressLineNumbers w:val="0"/>
              <w:tabs>
                <w:tab w:val="left" w:pos="425"/>
              </w:tabs>
              <w:spacing w:beforeAutospacing="0" w:afterAutospacing="0" w:line="240" w:lineRule="auto"/>
              <w:ind w:left="0" w:right="0"/>
              <w:rPr>
                <w:rFonts w:hint="default" w:ascii="Times New Roman" w:hAnsi="Times New Roman" w:eastAsia="宋体" w:cs="Times New Roman"/>
                <w:bCs w:val="0"/>
                <w:color w:val="000000"/>
                <w:kern w:val="0"/>
                <w:sz w:val="21"/>
                <w:szCs w:val="24"/>
                <w:highlight w:val="none"/>
                <w:lang w:val="en-US" w:eastAsia="zh-CN" w:bidi="ar-SA"/>
              </w:rPr>
            </w:pPr>
            <w:r>
              <w:rPr>
                <w:rFonts w:hint="default" w:ascii="Times New Roman" w:hAnsi="Times New Roman" w:eastAsia="宋体" w:cs="Times New Roman"/>
                <w:bCs w:val="0"/>
                <w:color w:val="000000"/>
                <w:kern w:val="0"/>
                <w:sz w:val="21"/>
                <w:szCs w:val="24"/>
                <w:highlight w:val="none"/>
                <w:lang w:val="en-US" w:eastAsia="zh-CN" w:bidi="ar-SA"/>
              </w:rPr>
              <w:t>投入</w:t>
            </w:r>
          </w:p>
        </w:tc>
        <w:tc>
          <w:tcPr>
            <w:tcW w:w="2391" w:type="pct"/>
            <w:gridSpan w:val="2"/>
            <w:tcBorders>
              <w:top w:val="single" w:color="auto" w:sz="12" w:space="0"/>
            </w:tcBorders>
            <w:vAlign w:val="center"/>
          </w:tcPr>
          <w:p w14:paraId="63DF54C4">
            <w:pPr>
              <w:pStyle w:val="743"/>
              <w:suppressLineNumbers w:val="0"/>
              <w:tabs>
                <w:tab w:val="left" w:pos="425"/>
              </w:tabs>
              <w:spacing w:beforeAutospacing="0" w:afterAutospacing="0" w:line="240" w:lineRule="auto"/>
              <w:ind w:left="0" w:right="0"/>
              <w:rPr>
                <w:rFonts w:hint="default" w:ascii="Times New Roman" w:hAnsi="Times New Roman" w:eastAsia="宋体" w:cs="Times New Roman"/>
                <w:bCs w:val="0"/>
                <w:color w:val="000000"/>
                <w:kern w:val="0"/>
                <w:sz w:val="21"/>
                <w:szCs w:val="24"/>
                <w:highlight w:val="none"/>
                <w:lang w:val="en-US" w:eastAsia="zh-CN" w:bidi="ar-SA"/>
              </w:rPr>
            </w:pPr>
            <w:r>
              <w:rPr>
                <w:rFonts w:hint="default" w:ascii="Times New Roman" w:hAnsi="Times New Roman" w:eastAsia="宋体" w:cs="Times New Roman"/>
                <w:bCs w:val="0"/>
                <w:color w:val="000000"/>
                <w:kern w:val="0"/>
                <w:sz w:val="21"/>
                <w:szCs w:val="24"/>
                <w:highlight w:val="none"/>
                <w:lang w:val="en-US" w:eastAsia="zh-CN" w:bidi="ar-SA"/>
              </w:rPr>
              <w:t>产出</w:t>
            </w:r>
          </w:p>
        </w:tc>
      </w:tr>
      <w:tr w14:paraId="1E486F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1" w:type="pct"/>
            <w:vMerge w:val="continue"/>
            <w:vAlign w:val="center"/>
          </w:tcPr>
          <w:p w14:paraId="3C0A6DCA">
            <w:pPr>
              <w:pStyle w:val="743"/>
              <w:suppressLineNumbers w:val="0"/>
              <w:tabs>
                <w:tab w:val="left" w:pos="425"/>
              </w:tabs>
              <w:spacing w:beforeAutospacing="0" w:afterAutospacing="0" w:line="240" w:lineRule="auto"/>
              <w:ind w:left="0" w:right="0"/>
              <w:rPr>
                <w:rFonts w:hint="default" w:ascii="Times New Roman" w:hAnsi="Times New Roman" w:eastAsia="宋体" w:cs="Times New Roman"/>
                <w:bCs w:val="0"/>
                <w:color w:val="000000"/>
                <w:kern w:val="0"/>
                <w:sz w:val="21"/>
                <w:szCs w:val="24"/>
                <w:highlight w:val="none"/>
                <w:lang w:val="en-US" w:eastAsia="zh-CN" w:bidi="ar-SA"/>
              </w:rPr>
            </w:pPr>
          </w:p>
        </w:tc>
        <w:tc>
          <w:tcPr>
            <w:tcW w:w="855" w:type="pct"/>
            <w:vAlign w:val="center"/>
          </w:tcPr>
          <w:p w14:paraId="54B62CCF">
            <w:pPr>
              <w:pStyle w:val="743"/>
              <w:suppressLineNumbers w:val="0"/>
              <w:tabs>
                <w:tab w:val="left" w:pos="425"/>
              </w:tabs>
              <w:spacing w:beforeAutospacing="0" w:afterAutospacing="0" w:line="240" w:lineRule="auto"/>
              <w:ind w:left="0" w:right="0"/>
              <w:rPr>
                <w:rFonts w:hint="default" w:ascii="Times New Roman" w:hAnsi="Times New Roman" w:eastAsia="宋体" w:cs="Times New Roman"/>
                <w:bCs w:val="0"/>
                <w:color w:val="000000"/>
                <w:kern w:val="0"/>
                <w:sz w:val="21"/>
                <w:szCs w:val="24"/>
                <w:highlight w:val="none"/>
                <w:lang w:val="en-US" w:eastAsia="zh-CN" w:bidi="ar-SA"/>
              </w:rPr>
            </w:pPr>
            <w:r>
              <w:rPr>
                <w:rFonts w:hint="default" w:ascii="Times New Roman" w:hAnsi="Times New Roman" w:eastAsia="宋体" w:cs="Times New Roman"/>
                <w:bCs w:val="0"/>
                <w:color w:val="000000"/>
                <w:kern w:val="0"/>
                <w:sz w:val="21"/>
                <w:szCs w:val="24"/>
                <w:highlight w:val="none"/>
                <w:lang w:val="en-US" w:eastAsia="zh-CN" w:bidi="ar-SA"/>
              </w:rPr>
              <w:t>名称</w:t>
            </w:r>
          </w:p>
        </w:tc>
        <w:tc>
          <w:tcPr>
            <w:tcW w:w="921" w:type="pct"/>
            <w:vAlign w:val="center"/>
          </w:tcPr>
          <w:p w14:paraId="2274F35C">
            <w:pPr>
              <w:pStyle w:val="743"/>
              <w:suppressLineNumbers w:val="0"/>
              <w:tabs>
                <w:tab w:val="left" w:pos="425"/>
              </w:tabs>
              <w:spacing w:beforeAutospacing="0" w:afterAutospacing="0" w:line="240" w:lineRule="auto"/>
              <w:ind w:left="0" w:right="0"/>
              <w:rPr>
                <w:rFonts w:hint="default" w:ascii="Times New Roman" w:hAnsi="Times New Roman" w:eastAsia="宋体" w:cs="Times New Roman"/>
                <w:bCs w:val="0"/>
                <w:color w:val="000000"/>
                <w:kern w:val="0"/>
                <w:sz w:val="21"/>
                <w:szCs w:val="24"/>
                <w:highlight w:val="none"/>
                <w:lang w:val="en-US" w:eastAsia="zh-CN" w:bidi="ar-SA"/>
              </w:rPr>
            </w:pPr>
            <w:r>
              <w:rPr>
                <w:rFonts w:hint="default" w:ascii="Times New Roman" w:hAnsi="Times New Roman" w:eastAsia="宋体" w:cs="Times New Roman"/>
                <w:bCs w:val="0"/>
                <w:color w:val="000000"/>
                <w:kern w:val="0"/>
                <w:sz w:val="21"/>
                <w:szCs w:val="24"/>
                <w:highlight w:val="none"/>
                <w:lang w:val="en-US" w:eastAsia="zh-CN" w:bidi="ar-SA"/>
              </w:rPr>
              <w:t>数量（t/a）</w:t>
            </w:r>
          </w:p>
        </w:tc>
        <w:tc>
          <w:tcPr>
            <w:tcW w:w="1382" w:type="pct"/>
            <w:vAlign w:val="center"/>
          </w:tcPr>
          <w:p w14:paraId="0682E013">
            <w:pPr>
              <w:pStyle w:val="743"/>
              <w:suppressLineNumbers w:val="0"/>
              <w:tabs>
                <w:tab w:val="left" w:pos="425"/>
              </w:tabs>
              <w:spacing w:beforeAutospacing="0" w:afterAutospacing="0" w:line="240" w:lineRule="auto"/>
              <w:ind w:left="0" w:right="0"/>
              <w:rPr>
                <w:rFonts w:hint="default" w:ascii="Times New Roman" w:hAnsi="Times New Roman" w:eastAsia="宋体" w:cs="Times New Roman"/>
                <w:bCs w:val="0"/>
                <w:color w:val="000000"/>
                <w:kern w:val="0"/>
                <w:sz w:val="21"/>
                <w:szCs w:val="24"/>
                <w:highlight w:val="none"/>
                <w:lang w:val="en-US" w:eastAsia="zh-CN" w:bidi="ar-SA"/>
              </w:rPr>
            </w:pPr>
            <w:r>
              <w:rPr>
                <w:rFonts w:hint="default" w:ascii="Times New Roman" w:hAnsi="Times New Roman" w:eastAsia="宋体" w:cs="Times New Roman"/>
                <w:bCs w:val="0"/>
                <w:color w:val="000000"/>
                <w:kern w:val="0"/>
                <w:sz w:val="21"/>
                <w:szCs w:val="24"/>
                <w:highlight w:val="none"/>
                <w:lang w:val="en-US" w:eastAsia="zh-CN" w:bidi="ar-SA"/>
              </w:rPr>
              <w:t>名称</w:t>
            </w:r>
          </w:p>
        </w:tc>
        <w:tc>
          <w:tcPr>
            <w:tcW w:w="1009" w:type="pct"/>
            <w:vAlign w:val="center"/>
          </w:tcPr>
          <w:p w14:paraId="06ADD713">
            <w:pPr>
              <w:pStyle w:val="743"/>
              <w:suppressLineNumbers w:val="0"/>
              <w:tabs>
                <w:tab w:val="left" w:pos="425"/>
              </w:tabs>
              <w:spacing w:beforeAutospacing="0" w:afterAutospacing="0" w:line="240" w:lineRule="auto"/>
              <w:ind w:left="0" w:right="0"/>
              <w:rPr>
                <w:rFonts w:hint="default" w:ascii="Times New Roman" w:hAnsi="Times New Roman" w:eastAsia="宋体" w:cs="Times New Roman"/>
                <w:bCs w:val="0"/>
                <w:color w:val="000000"/>
                <w:kern w:val="0"/>
                <w:sz w:val="21"/>
                <w:szCs w:val="24"/>
                <w:highlight w:val="none"/>
                <w:lang w:val="en-US" w:eastAsia="zh-CN" w:bidi="ar-SA"/>
              </w:rPr>
            </w:pPr>
            <w:r>
              <w:rPr>
                <w:rFonts w:hint="default" w:ascii="Times New Roman" w:hAnsi="Times New Roman" w:eastAsia="宋体" w:cs="Times New Roman"/>
                <w:bCs w:val="0"/>
                <w:color w:val="000000"/>
                <w:kern w:val="0"/>
                <w:sz w:val="21"/>
                <w:szCs w:val="24"/>
                <w:highlight w:val="none"/>
                <w:lang w:val="en-US" w:eastAsia="zh-CN" w:bidi="ar-SA"/>
              </w:rPr>
              <w:t>数量（t/a）</w:t>
            </w:r>
          </w:p>
        </w:tc>
      </w:tr>
      <w:tr w14:paraId="7A8E2E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1" w:type="pct"/>
            <w:vMerge w:val="restart"/>
            <w:vAlign w:val="center"/>
          </w:tcPr>
          <w:p w14:paraId="7898F8B6">
            <w:pPr>
              <w:pStyle w:val="743"/>
              <w:suppressLineNumbers w:val="0"/>
              <w:tabs>
                <w:tab w:val="left" w:pos="425"/>
              </w:tabs>
              <w:spacing w:beforeAutospacing="0" w:afterAutospacing="0" w:line="240" w:lineRule="auto"/>
              <w:ind w:left="0" w:right="0"/>
              <w:rPr>
                <w:rFonts w:hint="default" w:ascii="Times New Roman" w:hAnsi="Times New Roman" w:eastAsia="宋体" w:cs="Times New Roman"/>
                <w:bCs w:val="0"/>
                <w:color w:val="000000"/>
                <w:kern w:val="0"/>
                <w:sz w:val="21"/>
                <w:szCs w:val="24"/>
                <w:highlight w:val="none"/>
                <w:lang w:val="en-US" w:eastAsia="zh-CN" w:bidi="ar-SA"/>
              </w:rPr>
            </w:pPr>
            <w:r>
              <w:rPr>
                <w:rFonts w:hint="eastAsia" w:hAnsiTheme="minorEastAsia" w:eastAsiaTheme="minorEastAsia"/>
                <w:kern w:val="0"/>
                <w:sz w:val="21"/>
                <w:szCs w:val="21"/>
                <w:highlight w:val="none"/>
                <w:lang w:val="en-US" w:eastAsia="zh-CN"/>
              </w:rPr>
              <w:t>含油金属屑收集处理</w:t>
            </w:r>
          </w:p>
        </w:tc>
        <w:tc>
          <w:tcPr>
            <w:tcW w:w="855" w:type="pct"/>
            <w:vMerge w:val="restart"/>
            <w:vAlign w:val="center"/>
          </w:tcPr>
          <w:p w14:paraId="408CB480">
            <w:pPr>
              <w:pStyle w:val="743"/>
              <w:suppressLineNumbers w:val="0"/>
              <w:tabs>
                <w:tab w:val="left" w:pos="425"/>
              </w:tabs>
              <w:spacing w:beforeAutospacing="0" w:afterAutospacing="0" w:line="240" w:lineRule="auto"/>
              <w:ind w:left="0" w:right="0"/>
              <w:rPr>
                <w:rFonts w:hint="default" w:ascii="Times New Roman" w:hAnsi="Times New Roman" w:eastAsia="宋体" w:cs="Times New Roman"/>
                <w:bCs w:val="0"/>
                <w:color w:val="000000"/>
                <w:kern w:val="0"/>
                <w:sz w:val="21"/>
                <w:szCs w:val="24"/>
                <w:highlight w:val="none"/>
                <w:lang w:val="en-US" w:eastAsia="zh-CN" w:bidi="ar-SA"/>
              </w:rPr>
            </w:pPr>
            <w:r>
              <w:rPr>
                <w:rFonts w:hint="eastAsia" w:ascii="Times New Roman" w:hAnsi="Times New Roman" w:eastAsia="宋体" w:cs="Times New Roman"/>
                <w:bCs w:val="0"/>
                <w:color w:val="000000"/>
                <w:kern w:val="0"/>
                <w:sz w:val="21"/>
                <w:szCs w:val="24"/>
                <w:highlight w:val="none"/>
                <w:lang w:val="en-US" w:eastAsia="zh-CN" w:bidi="ar-SA"/>
              </w:rPr>
              <w:t>含油金属屑</w:t>
            </w:r>
          </w:p>
        </w:tc>
        <w:tc>
          <w:tcPr>
            <w:tcW w:w="921" w:type="pct"/>
            <w:vMerge w:val="restart"/>
            <w:vAlign w:val="center"/>
          </w:tcPr>
          <w:p w14:paraId="2307D7DE">
            <w:pPr>
              <w:pStyle w:val="743"/>
              <w:suppressLineNumbers w:val="0"/>
              <w:tabs>
                <w:tab w:val="left" w:pos="425"/>
              </w:tabs>
              <w:spacing w:beforeAutospacing="0" w:afterAutospacing="0" w:line="240" w:lineRule="auto"/>
              <w:ind w:left="0" w:right="0"/>
              <w:rPr>
                <w:rFonts w:hint="default" w:ascii="Times New Roman" w:hAnsi="Times New Roman" w:eastAsia="宋体" w:cs="Times New Roman"/>
                <w:bCs w:val="0"/>
                <w:color w:val="000000"/>
                <w:kern w:val="0"/>
                <w:sz w:val="21"/>
                <w:szCs w:val="24"/>
                <w:highlight w:val="none"/>
                <w:lang w:val="en-US" w:eastAsia="zh-CN" w:bidi="ar-SA"/>
              </w:rPr>
            </w:pPr>
            <w:r>
              <w:rPr>
                <w:rFonts w:hint="eastAsia" w:eastAsia="宋体" w:cs="Times New Roman"/>
                <w:bCs w:val="0"/>
                <w:color w:val="000000"/>
                <w:kern w:val="0"/>
                <w:sz w:val="21"/>
                <w:szCs w:val="24"/>
                <w:highlight w:val="none"/>
                <w:lang w:val="en-US" w:eastAsia="zh-CN" w:bidi="ar-SA"/>
              </w:rPr>
              <w:t>2125</w:t>
            </w:r>
          </w:p>
        </w:tc>
        <w:tc>
          <w:tcPr>
            <w:tcW w:w="1382" w:type="pct"/>
            <w:shd w:val="clear" w:color="auto" w:fill="auto"/>
            <w:vAlign w:val="center"/>
          </w:tcPr>
          <w:p w14:paraId="7377563F">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bCs w:val="0"/>
                <w:color w:val="000000"/>
                <w:kern w:val="0"/>
                <w:sz w:val="21"/>
                <w:szCs w:val="24"/>
                <w:highlight w:val="none"/>
                <w:lang w:val="en-US" w:eastAsia="zh-CN" w:bidi="ar-SA"/>
              </w:rPr>
            </w:pPr>
            <w:r>
              <w:rPr>
                <w:rFonts w:hint="eastAsia" w:ascii="Times New Roman" w:hAnsi="Times New Roman" w:eastAsia="宋体" w:cs="Times New Roman"/>
                <w:bCs w:val="0"/>
                <w:color w:val="000000"/>
                <w:kern w:val="0"/>
                <w:sz w:val="21"/>
                <w:szCs w:val="24"/>
                <w:highlight w:val="none"/>
                <w:lang w:val="en-US" w:eastAsia="zh-CN" w:bidi="ar-SA"/>
              </w:rPr>
              <w:t>产品金属</w:t>
            </w:r>
            <w:r>
              <w:rPr>
                <w:rFonts w:hint="eastAsia" w:cs="Times New Roman"/>
                <w:bCs w:val="0"/>
                <w:color w:val="000000"/>
                <w:kern w:val="0"/>
                <w:sz w:val="21"/>
                <w:szCs w:val="24"/>
                <w:highlight w:val="none"/>
                <w:lang w:val="en-US" w:eastAsia="zh-CN" w:bidi="ar-SA"/>
              </w:rPr>
              <w:t>块</w:t>
            </w:r>
          </w:p>
        </w:tc>
        <w:tc>
          <w:tcPr>
            <w:tcW w:w="1009" w:type="pct"/>
            <w:shd w:val="clear" w:color="auto" w:fill="auto"/>
            <w:vAlign w:val="center"/>
          </w:tcPr>
          <w:p w14:paraId="26310092">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bCs w:val="0"/>
                <w:color w:val="000000"/>
                <w:kern w:val="0"/>
                <w:sz w:val="21"/>
                <w:szCs w:val="24"/>
                <w:highlight w:val="none"/>
                <w:lang w:val="en-US" w:eastAsia="zh-CN" w:bidi="ar-SA"/>
              </w:rPr>
            </w:pPr>
            <w:r>
              <w:rPr>
                <w:rFonts w:hint="eastAsia" w:cs="Times New Roman"/>
                <w:bCs w:val="0"/>
                <w:color w:val="000000"/>
                <w:kern w:val="0"/>
                <w:sz w:val="21"/>
                <w:szCs w:val="24"/>
                <w:highlight w:val="none"/>
                <w:lang w:val="en-US" w:eastAsia="zh-CN" w:bidi="ar-SA"/>
              </w:rPr>
              <w:t>1997.5</w:t>
            </w:r>
          </w:p>
        </w:tc>
      </w:tr>
      <w:tr w14:paraId="7F65EC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1" w:type="pct"/>
            <w:vMerge w:val="continue"/>
            <w:vAlign w:val="center"/>
          </w:tcPr>
          <w:p w14:paraId="20BB6D5B">
            <w:pPr>
              <w:pStyle w:val="743"/>
              <w:suppressLineNumbers w:val="0"/>
              <w:tabs>
                <w:tab w:val="left" w:pos="425"/>
              </w:tabs>
              <w:spacing w:beforeAutospacing="0" w:afterAutospacing="0" w:line="240" w:lineRule="auto"/>
              <w:ind w:left="0" w:right="0"/>
              <w:rPr>
                <w:rFonts w:hint="default" w:ascii="Times New Roman" w:hAnsi="Times New Roman" w:eastAsia="宋体" w:cs="Times New Roman"/>
                <w:bCs w:val="0"/>
                <w:color w:val="000000"/>
                <w:kern w:val="0"/>
                <w:sz w:val="21"/>
                <w:szCs w:val="24"/>
                <w:highlight w:val="none"/>
                <w:lang w:val="en-US" w:eastAsia="zh-CN" w:bidi="ar-SA"/>
              </w:rPr>
            </w:pPr>
          </w:p>
        </w:tc>
        <w:tc>
          <w:tcPr>
            <w:tcW w:w="855" w:type="pct"/>
            <w:vMerge w:val="continue"/>
            <w:vAlign w:val="center"/>
          </w:tcPr>
          <w:p w14:paraId="113C4B29">
            <w:pPr>
              <w:pStyle w:val="743"/>
              <w:suppressLineNumbers w:val="0"/>
              <w:tabs>
                <w:tab w:val="left" w:pos="425"/>
              </w:tabs>
              <w:spacing w:beforeAutospacing="0" w:afterAutospacing="0" w:line="240" w:lineRule="auto"/>
              <w:ind w:left="0" w:right="0"/>
              <w:rPr>
                <w:rFonts w:hint="default" w:ascii="Times New Roman" w:hAnsi="Times New Roman" w:eastAsia="宋体" w:cs="Times New Roman"/>
                <w:bCs w:val="0"/>
                <w:color w:val="000000"/>
                <w:kern w:val="0"/>
                <w:sz w:val="21"/>
                <w:szCs w:val="24"/>
                <w:highlight w:val="none"/>
                <w:lang w:val="en-US" w:eastAsia="zh-CN" w:bidi="ar-SA"/>
              </w:rPr>
            </w:pPr>
          </w:p>
        </w:tc>
        <w:tc>
          <w:tcPr>
            <w:tcW w:w="921" w:type="pct"/>
            <w:vMerge w:val="continue"/>
            <w:vAlign w:val="center"/>
          </w:tcPr>
          <w:p w14:paraId="438C2726">
            <w:pPr>
              <w:pStyle w:val="743"/>
              <w:suppressLineNumbers w:val="0"/>
              <w:tabs>
                <w:tab w:val="left" w:pos="425"/>
              </w:tabs>
              <w:spacing w:beforeAutospacing="0" w:afterAutospacing="0" w:line="240" w:lineRule="auto"/>
              <w:ind w:left="0" w:right="0"/>
              <w:rPr>
                <w:rFonts w:hint="default" w:ascii="Times New Roman" w:hAnsi="Times New Roman" w:eastAsia="宋体" w:cs="Times New Roman"/>
                <w:bCs w:val="0"/>
                <w:color w:val="000000"/>
                <w:kern w:val="0"/>
                <w:sz w:val="21"/>
                <w:szCs w:val="24"/>
                <w:highlight w:val="none"/>
                <w:lang w:val="en-US" w:eastAsia="zh-CN" w:bidi="ar-SA"/>
              </w:rPr>
            </w:pPr>
          </w:p>
        </w:tc>
        <w:tc>
          <w:tcPr>
            <w:tcW w:w="1382" w:type="pct"/>
            <w:shd w:val="clear" w:color="auto" w:fill="auto"/>
            <w:vAlign w:val="center"/>
          </w:tcPr>
          <w:p w14:paraId="55CF871F">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bCs w:val="0"/>
                <w:color w:val="000000"/>
                <w:kern w:val="0"/>
                <w:sz w:val="21"/>
                <w:szCs w:val="24"/>
                <w:highlight w:val="none"/>
                <w:lang w:val="en-US" w:eastAsia="zh-CN" w:bidi="ar-SA"/>
              </w:rPr>
            </w:pPr>
            <w:r>
              <w:rPr>
                <w:rFonts w:hint="eastAsia" w:ascii="Times New Roman" w:hAnsi="Times New Roman" w:eastAsia="宋体" w:cs="Times New Roman"/>
                <w:bCs w:val="0"/>
                <w:color w:val="000000"/>
                <w:kern w:val="0"/>
                <w:sz w:val="21"/>
                <w:szCs w:val="24"/>
                <w:highlight w:val="none"/>
                <w:lang w:val="en-US" w:eastAsia="zh-CN" w:bidi="ar-SA"/>
              </w:rPr>
              <w:t>废</w:t>
            </w:r>
            <w:r>
              <w:rPr>
                <w:rFonts w:hint="eastAsia" w:cs="Times New Roman"/>
                <w:bCs w:val="0"/>
                <w:color w:val="000000"/>
                <w:kern w:val="0"/>
                <w:sz w:val="21"/>
                <w:szCs w:val="24"/>
                <w:highlight w:val="none"/>
                <w:lang w:val="en-US" w:eastAsia="zh-CN" w:bidi="ar-SA"/>
              </w:rPr>
              <w:t>油</w:t>
            </w:r>
          </w:p>
        </w:tc>
        <w:tc>
          <w:tcPr>
            <w:tcW w:w="1009" w:type="pct"/>
            <w:shd w:val="clear" w:color="auto" w:fill="auto"/>
            <w:vAlign w:val="center"/>
          </w:tcPr>
          <w:p w14:paraId="03534A88">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bCs w:val="0"/>
                <w:color w:val="000000"/>
                <w:kern w:val="0"/>
                <w:sz w:val="21"/>
                <w:szCs w:val="24"/>
                <w:highlight w:val="none"/>
                <w:lang w:val="en-US" w:eastAsia="zh-CN" w:bidi="ar-SA"/>
              </w:rPr>
            </w:pPr>
            <w:r>
              <w:rPr>
                <w:rFonts w:hint="eastAsia" w:cs="Times New Roman"/>
                <w:bCs w:val="0"/>
                <w:color w:val="000000"/>
                <w:kern w:val="0"/>
                <w:sz w:val="21"/>
                <w:szCs w:val="24"/>
                <w:highlight w:val="none"/>
                <w:lang w:val="en-US" w:eastAsia="zh-CN" w:bidi="ar-SA"/>
              </w:rPr>
              <w:t>125.8</w:t>
            </w:r>
          </w:p>
        </w:tc>
      </w:tr>
      <w:tr w14:paraId="581855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1" w:type="pct"/>
            <w:vMerge w:val="continue"/>
            <w:vAlign w:val="center"/>
          </w:tcPr>
          <w:p w14:paraId="620C69E6">
            <w:pPr>
              <w:pStyle w:val="743"/>
              <w:suppressLineNumbers w:val="0"/>
              <w:tabs>
                <w:tab w:val="left" w:pos="425"/>
              </w:tabs>
              <w:spacing w:beforeAutospacing="0" w:afterAutospacing="0" w:line="240" w:lineRule="auto"/>
              <w:ind w:left="0" w:right="0"/>
              <w:rPr>
                <w:rFonts w:hint="default" w:ascii="Times New Roman" w:hAnsi="Times New Roman" w:eastAsia="宋体" w:cs="Times New Roman"/>
                <w:bCs w:val="0"/>
                <w:color w:val="000000"/>
                <w:kern w:val="0"/>
                <w:sz w:val="21"/>
                <w:szCs w:val="24"/>
                <w:highlight w:val="none"/>
                <w:lang w:val="en-US" w:eastAsia="zh-CN" w:bidi="ar-SA"/>
              </w:rPr>
            </w:pPr>
          </w:p>
        </w:tc>
        <w:tc>
          <w:tcPr>
            <w:tcW w:w="855" w:type="pct"/>
            <w:vMerge w:val="continue"/>
            <w:vAlign w:val="center"/>
          </w:tcPr>
          <w:p w14:paraId="64ABA5A2">
            <w:pPr>
              <w:pStyle w:val="743"/>
              <w:suppressLineNumbers w:val="0"/>
              <w:tabs>
                <w:tab w:val="left" w:pos="425"/>
              </w:tabs>
              <w:spacing w:beforeAutospacing="0" w:afterAutospacing="0" w:line="240" w:lineRule="auto"/>
              <w:ind w:left="0" w:right="0"/>
              <w:rPr>
                <w:rFonts w:hint="default" w:ascii="Times New Roman" w:hAnsi="Times New Roman" w:eastAsia="宋体" w:cs="Times New Roman"/>
                <w:bCs w:val="0"/>
                <w:color w:val="000000"/>
                <w:kern w:val="0"/>
                <w:sz w:val="21"/>
                <w:szCs w:val="24"/>
                <w:highlight w:val="none"/>
                <w:lang w:val="en-US" w:eastAsia="zh-CN" w:bidi="ar-SA"/>
              </w:rPr>
            </w:pPr>
          </w:p>
        </w:tc>
        <w:tc>
          <w:tcPr>
            <w:tcW w:w="921" w:type="pct"/>
            <w:vMerge w:val="continue"/>
            <w:vAlign w:val="center"/>
          </w:tcPr>
          <w:p w14:paraId="523984C0">
            <w:pPr>
              <w:pStyle w:val="743"/>
              <w:suppressLineNumbers w:val="0"/>
              <w:tabs>
                <w:tab w:val="left" w:pos="425"/>
              </w:tabs>
              <w:spacing w:beforeAutospacing="0" w:afterAutospacing="0" w:line="240" w:lineRule="auto"/>
              <w:ind w:left="0" w:right="0"/>
              <w:rPr>
                <w:rFonts w:hint="default" w:ascii="Times New Roman" w:hAnsi="Times New Roman" w:eastAsia="宋体" w:cs="Times New Roman"/>
                <w:bCs w:val="0"/>
                <w:color w:val="000000"/>
                <w:kern w:val="0"/>
                <w:sz w:val="21"/>
                <w:szCs w:val="24"/>
                <w:highlight w:val="none"/>
                <w:lang w:val="en-US" w:eastAsia="zh-CN" w:bidi="ar-SA"/>
              </w:rPr>
            </w:pPr>
          </w:p>
        </w:tc>
        <w:tc>
          <w:tcPr>
            <w:tcW w:w="1382" w:type="pct"/>
            <w:shd w:val="clear" w:color="auto" w:fill="auto"/>
            <w:vAlign w:val="center"/>
          </w:tcPr>
          <w:p w14:paraId="5621CFC3">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bCs w:val="0"/>
                <w:color w:val="000000"/>
                <w:kern w:val="0"/>
                <w:sz w:val="21"/>
                <w:szCs w:val="24"/>
                <w:highlight w:val="none"/>
                <w:lang w:val="en-US" w:eastAsia="zh-CN" w:bidi="ar-SA"/>
              </w:rPr>
            </w:pPr>
            <w:r>
              <w:rPr>
                <w:rFonts w:hint="eastAsia" w:cs="Times New Roman"/>
                <w:bCs w:val="0"/>
                <w:color w:val="000000"/>
                <w:kern w:val="0"/>
                <w:sz w:val="21"/>
                <w:szCs w:val="24"/>
                <w:highlight w:val="none"/>
                <w:lang w:val="en-US" w:eastAsia="zh-CN" w:bidi="ar-SA"/>
              </w:rPr>
              <w:t>挥发</w:t>
            </w:r>
          </w:p>
        </w:tc>
        <w:tc>
          <w:tcPr>
            <w:tcW w:w="1009" w:type="pct"/>
            <w:shd w:val="clear" w:color="auto" w:fill="auto"/>
            <w:vAlign w:val="center"/>
          </w:tcPr>
          <w:p w14:paraId="76F4BFC2">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bCs w:val="0"/>
                <w:color w:val="000000"/>
                <w:kern w:val="0"/>
                <w:sz w:val="21"/>
                <w:szCs w:val="24"/>
                <w:highlight w:val="none"/>
                <w:lang w:val="en-US" w:eastAsia="zh-CN" w:bidi="ar-SA"/>
              </w:rPr>
            </w:pPr>
            <w:r>
              <w:rPr>
                <w:rFonts w:hint="eastAsia" w:cs="Times New Roman"/>
                <w:bCs w:val="0"/>
                <w:color w:val="000000"/>
                <w:kern w:val="0"/>
                <w:sz w:val="21"/>
                <w:szCs w:val="24"/>
                <w:highlight w:val="none"/>
                <w:lang w:val="en-US" w:eastAsia="zh-CN" w:bidi="ar-SA"/>
              </w:rPr>
              <w:t>1.7</w:t>
            </w:r>
          </w:p>
        </w:tc>
      </w:tr>
      <w:tr w14:paraId="408FCD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1" w:type="pct"/>
            <w:vMerge w:val="restart"/>
            <w:vAlign w:val="center"/>
          </w:tcPr>
          <w:p w14:paraId="24A079F6">
            <w:pPr>
              <w:pStyle w:val="743"/>
              <w:suppressLineNumbers w:val="0"/>
              <w:tabs>
                <w:tab w:val="left" w:pos="425"/>
              </w:tabs>
              <w:spacing w:beforeAutospacing="0" w:afterAutospacing="0" w:line="240" w:lineRule="auto"/>
              <w:ind w:left="0" w:right="0"/>
              <w:rPr>
                <w:rFonts w:hint="default" w:ascii="Times New Roman" w:hAnsi="Times New Roman" w:eastAsia="宋体" w:cs="Times New Roman"/>
                <w:bCs w:val="0"/>
                <w:color w:val="000000"/>
                <w:kern w:val="0"/>
                <w:sz w:val="21"/>
                <w:szCs w:val="24"/>
                <w:highlight w:val="none"/>
                <w:lang w:val="en-US" w:eastAsia="zh-CN" w:bidi="ar-SA"/>
              </w:rPr>
            </w:pPr>
            <w:r>
              <w:rPr>
                <w:rFonts w:hint="default" w:hAnsiTheme="minorEastAsia" w:eastAsiaTheme="minorEastAsia"/>
                <w:kern w:val="0"/>
                <w:sz w:val="21"/>
                <w:szCs w:val="21"/>
                <w:highlight w:val="none"/>
              </w:rPr>
              <w:t>封口工序</w:t>
            </w:r>
          </w:p>
        </w:tc>
        <w:tc>
          <w:tcPr>
            <w:tcW w:w="855" w:type="pct"/>
            <w:vMerge w:val="restart"/>
            <w:vAlign w:val="center"/>
          </w:tcPr>
          <w:p w14:paraId="207E7971">
            <w:pPr>
              <w:pStyle w:val="743"/>
              <w:suppressLineNumbers w:val="0"/>
              <w:tabs>
                <w:tab w:val="left" w:pos="425"/>
              </w:tabs>
              <w:spacing w:beforeAutospacing="0" w:afterAutospacing="0" w:line="240" w:lineRule="auto"/>
              <w:ind w:left="0" w:right="0" w:firstLine="0" w:firstLineChars="0"/>
              <w:rPr>
                <w:rFonts w:hint="default" w:ascii="Times New Roman" w:hAnsi="Times New Roman" w:eastAsia="宋体" w:cs="Times New Roman"/>
                <w:bCs w:val="0"/>
                <w:color w:val="000000"/>
                <w:kern w:val="0"/>
                <w:sz w:val="21"/>
                <w:szCs w:val="24"/>
                <w:highlight w:val="none"/>
                <w:lang w:val="en-US" w:eastAsia="zh-CN" w:bidi="ar-SA"/>
              </w:rPr>
            </w:pPr>
            <w:r>
              <w:rPr>
                <w:rFonts w:hint="eastAsia" w:eastAsia="宋体" w:cs="Times New Roman"/>
                <w:bCs w:val="0"/>
                <w:color w:val="000000"/>
                <w:kern w:val="0"/>
                <w:sz w:val="21"/>
                <w:szCs w:val="24"/>
                <w:highlight w:val="none"/>
                <w:lang w:val="en-US" w:eastAsia="zh-CN" w:bidi="ar-SA"/>
              </w:rPr>
              <w:t>封口胶</w:t>
            </w:r>
          </w:p>
        </w:tc>
        <w:tc>
          <w:tcPr>
            <w:tcW w:w="921" w:type="pct"/>
            <w:vMerge w:val="restart"/>
            <w:vAlign w:val="center"/>
          </w:tcPr>
          <w:p w14:paraId="3735E37F">
            <w:pPr>
              <w:pStyle w:val="743"/>
              <w:suppressLineNumbers w:val="0"/>
              <w:tabs>
                <w:tab w:val="left" w:pos="425"/>
              </w:tabs>
              <w:spacing w:beforeAutospacing="0" w:afterAutospacing="0" w:line="240" w:lineRule="auto"/>
              <w:ind w:left="0" w:right="0" w:firstLine="0" w:firstLineChars="0"/>
              <w:rPr>
                <w:rFonts w:hint="default" w:ascii="Times New Roman" w:hAnsi="Times New Roman" w:eastAsia="宋体" w:cs="Times New Roman"/>
                <w:bCs w:val="0"/>
                <w:color w:val="000000"/>
                <w:kern w:val="0"/>
                <w:sz w:val="21"/>
                <w:szCs w:val="24"/>
                <w:highlight w:val="none"/>
                <w:lang w:val="en-US" w:eastAsia="zh-CN" w:bidi="ar-SA"/>
              </w:rPr>
            </w:pPr>
            <w:r>
              <w:rPr>
                <w:rFonts w:hint="eastAsia" w:eastAsia="宋体" w:cs="Times New Roman"/>
                <w:bCs w:val="0"/>
                <w:color w:val="000000"/>
                <w:kern w:val="0"/>
                <w:sz w:val="21"/>
                <w:szCs w:val="24"/>
                <w:highlight w:val="none"/>
                <w:lang w:val="en-US" w:eastAsia="zh-CN" w:bidi="ar-SA"/>
              </w:rPr>
              <w:t>8</w:t>
            </w:r>
          </w:p>
        </w:tc>
        <w:tc>
          <w:tcPr>
            <w:tcW w:w="1382" w:type="pct"/>
            <w:vAlign w:val="center"/>
          </w:tcPr>
          <w:p w14:paraId="12999ECD">
            <w:pPr>
              <w:pStyle w:val="743"/>
              <w:suppressLineNumbers w:val="0"/>
              <w:tabs>
                <w:tab w:val="left" w:pos="425"/>
              </w:tabs>
              <w:spacing w:beforeAutospacing="0" w:afterAutospacing="0" w:line="240" w:lineRule="auto"/>
              <w:ind w:left="0" w:right="0"/>
              <w:rPr>
                <w:rFonts w:hint="default" w:ascii="Times New Roman" w:hAnsi="Times New Roman" w:eastAsia="宋体" w:cs="Times New Roman"/>
                <w:bCs w:val="0"/>
                <w:color w:val="000000"/>
                <w:kern w:val="0"/>
                <w:sz w:val="21"/>
                <w:szCs w:val="24"/>
                <w:highlight w:val="none"/>
                <w:lang w:val="en-US" w:eastAsia="zh-CN" w:bidi="ar-SA"/>
              </w:rPr>
            </w:pPr>
            <w:r>
              <w:rPr>
                <w:rFonts w:hint="eastAsia" w:eastAsia="宋体" w:cs="Times New Roman"/>
                <w:bCs w:val="0"/>
                <w:color w:val="000000"/>
                <w:kern w:val="0"/>
                <w:sz w:val="21"/>
                <w:szCs w:val="24"/>
                <w:highlight w:val="none"/>
                <w:lang w:val="en-US" w:eastAsia="zh-CN" w:bidi="ar-SA"/>
              </w:rPr>
              <w:t>挥发</w:t>
            </w:r>
          </w:p>
        </w:tc>
        <w:tc>
          <w:tcPr>
            <w:tcW w:w="1009" w:type="pct"/>
            <w:vAlign w:val="center"/>
          </w:tcPr>
          <w:p w14:paraId="7DF24F6B">
            <w:pPr>
              <w:pStyle w:val="743"/>
              <w:suppressLineNumbers w:val="0"/>
              <w:tabs>
                <w:tab w:val="left" w:pos="425"/>
              </w:tabs>
              <w:spacing w:beforeAutospacing="0" w:afterAutospacing="0" w:line="240" w:lineRule="auto"/>
              <w:ind w:left="0" w:right="0"/>
              <w:rPr>
                <w:rFonts w:hint="default" w:ascii="Times New Roman" w:hAnsi="Times New Roman" w:eastAsia="宋体" w:cs="Times New Roman"/>
                <w:bCs w:val="0"/>
                <w:color w:val="000000"/>
                <w:kern w:val="0"/>
                <w:sz w:val="21"/>
                <w:szCs w:val="24"/>
                <w:highlight w:val="none"/>
                <w:lang w:val="en-US" w:eastAsia="zh-CN" w:bidi="ar-SA"/>
              </w:rPr>
            </w:pPr>
            <w:r>
              <w:rPr>
                <w:rFonts w:hint="eastAsia" w:eastAsia="宋体" w:cs="Times New Roman"/>
                <w:bCs w:val="0"/>
                <w:color w:val="000000"/>
                <w:kern w:val="0"/>
                <w:sz w:val="21"/>
                <w:szCs w:val="24"/>
                <w:highlight w:val="none"/>
                <w:lang w:val="en-US" w:eastAsia="zh-CN" w:bidi="ar-SA"/>
              </w:rPr>
              <w:t>0.32</w:t>
            </w:r>
          </w:p>
        </w:tc>
      </w:tr>
      <w:tr w14:paraId="24A7FE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1" w:type="pct"/>
            <w:vMerge w:val="continue"/>
            <w:vAlign w:val="center"/>
          </w:tcPr>
          <w:p w14:paraId="40A1B3C8">
            <w:pPr>
              <w:pStyle w:val="743"/>
              <w:suppressLineNumbers w:val="0"/>
              <w:tabs>
                <w:tab w:val="left" w:pos="425"/>
              </w:tabs>
              <w:spacing w:beforeAutospacing="0" w:afterAutospacing="0" w:line="240" w:lineRule="auto"/>
              <w:ind w:left="0" w:right="0"/>
              <w:rPr>
                <w:rFonts w:hint="default" w:ascii="Times New Roman" w:hAnsi="Times New Roman" w:eastAsia="宋体" w:cs="Times New Roman"/>
                <w:bCs w:val="0"/>
                <w:color w:val="000000"/>
                <w:kern w:val="0"/>
                <w:sz w:val="21"/>
                <w:szCs w:val="24"/>
                <w:highlight w:val="none"/>
                <w:lang w:val="en-US" w:eastAsia="zh-CN" w:bidi="ar-SA"/>
              </w:rPr>
            </w:pPr>
          </w:p>
        </w:tc>
        <w:tc>
          <w:tcPr>
            <w:tcW w:w="855" w:type="pct"/>
            <w:vMerge w:val="continue"/>
            <w:vAlign w:val="center"/>
          </w:tcPr>
          <w:p w14:paraId="68E88490">
            <w:pPr>
              <w:pStyle w:val="743"/>
              <w:suppressLineNumbers w:val="0"/>
              <w:tabs>
                <w:tab w:val="left" w:pos="425"/>
              </w:tabs>
              <w:spacing w:beforeAutospacing="0" w:afterAutospacing="0" w:line="240" w:lineRule="auto"/>
              <w:ind w:left="0" w:right="0" w:firstLine="0" w:firstLineChars="0"/>
              <w:rPr>
                <w:rFonts w:hint="default" w:ascii="Times New Roman" w:hAnsi="Times New Roman" w:eastAsia="宋体" w:cs="Times New Roman"/>
                <w:bCs w:val="0"/>
                <w:color w:val="000000"/>
                <w:kern w:val="0"/>
                <w:sz w:val="21"/>
                <w:szCs w:val="24"/>
                <w:highlight w:val="none"/>
                <w:lang w:val="en-US" w:eastAsia="zh-CN" w:bidi="ar-SA"/>
              </w:rPr>
            </w:pPr>
          </w:p>
        </w:tc>
        <w:tc>
          <w:tcPr>
            <w:tcW w:w="921" w:type="pct"/>
            <w:vMerge w:val="continue"/>
            <w:vAlign w:val="center"/>
          </w:tcPr>
          <w:p w14:paraId="2F6D373F">
            <w:pPr>
              <w:pStyle w:val="743"/>
              <w:suppressLineNumbers w:val="0"/>
              <w:tabs>
                <w:tab w:val="left" w:pos="425"/>
              </w:tabs>
              <w:spacing w:beforeAutospacing="0" w:afterAutospacing="0" w:line="240" w:lineRule="auto"/>
              <w:ind w:left="0" w:right="0" w:firstLine="0" w:firstLineChars="0"/>
              <w:rPr>
                <w:rFonts w:hint="eastAsia" w:ascii="Times New Roman" w:hAnsi="Times New Roman" w:eastAsia="宋体" w:cs="Times New Roman"/>
                <w:bCs w:val="0"/>
                <w:color w:val="000000"/>
                <w:kern w:val="0"/>
                <w:sz w:val="21"/>
                <w:szCs w:val="24"/>
                <w:highlight w:val="none"/>
                <w:lang w:val="en-US" w:eastAsia="zh-CN" w:bidi="ar-SA"/>
              </w:rPr>
            </w:pPr>
          </w:p>
        </w:tc>
        <w:tc>
          <w:tcPr>
            <w:tcW w:w="1382" w:type="pct"/>
            <w:vAlign w:val="center"/>
          </w:tcPr>
          <w:p w14:paraId="1100A2D2">
            <w:pPr>
              <w:pStyle w:val="743"/>
              <w:suppressLineNumbers w:val="0"/>
              <w:tabs>
                <w:tab w:val="left" w:pos="425"/>
              </w:tabs>
              <w:spacing w:beforeAutospacing="0" w:afterAutospacing="0" w:line="240" w:lineRule="auto"/>
              <w:ind w:left="0" w:right="0"/>
              <w:rPr>
                <w:rFonts w:hint="default" w:ascii="Times New Roman" w:hAnsi="Times New Roman" w:eastAsia="宋体" w:cs="Times New Roman"/>
                <w:bCs w:val="0"/>
                <w:color w:val="000000"/>
                <w:kern w:val="0"/>
                <w:sz w:val="21"/>
                <w:szCs w:val="24"/>
                <w:highlight w:val="none"/>
                <w:lang w:val="en-US" w:eastAsia="zh-CN" w:bidi="ar-SA"/>
              </w:rPr>
            </w:pPr>
            <w:r>
              <w:rPr>
                <w:rFonts w:hint="eastAsia" w:eastAsia="宋体" w:cs="Times New Roman"/>
                <w:bCs w:val="0"/>
                <w:color w:val="000000"/>
                <w:kern w:val="0"/>
                <w:sz w:val="21"/>
                <w:szCs w:val="24"/>
                <w:highlight w:val="none"/>
                <w:lang w:val="en-US" w:eastAsia="zh-CN" w:bidi="ar-SA"/>
              </w:rPr>
              <w:t>进入产品</w:t>
            </w:r>
          </w:p>
        </w:tc>
        <w:tc>
          <w:tcPr>
            <w:tcW w:w="1009" w:type="pct"/>
            <w:vAlign w:val="center"/>
          </w:tcPr>
          <w:p w14:paraId="0635990B">
            <w:pPr>
              <w:pStyle w:val="743"/>
              <w:suppressLineNumbers w:val="0"/>
              <w:tabs>
                <w:tab w:val="left" w:pos="425"/>
              </w:tabs>
              <w:spacing w:beforeAutospacing="0" w:afterAutospacing="0" w:line="240" w:lineRule="auto"/>
              <w:ind w:left="0" w:right="0"/>
              <w:rPr>
                <w:rFonts w:hint="default" w:ascii="Times New Roman" w:hAnsi="Times New Roman" w:eastAsia="宋体" w:cs="Times New Roman"/>
                <w:bCs w:val="0"/>
                <w:color w:val="000000"/>
                <w:kern w:val="0"/>
                <w:sz w:val="21"/>
                <w:szCs w:val="24"/>
                <w:highlight w:val="none"/>
                <w:lang w:val="en-US" w:eastAsia="zh-CN" w:bidi="ar-SA"/>
              </w:rPr>
            </w:pPr>
            <w:r>
              <w:rPr>
                <w:rFonts w:hint="eastAsia" w:eastAsia="宋体" w:cs="Times New Roman"/>
                <w:bCs w:val="0"/>
                <w:color w:val="000000"/>
                <w:kern w:val="0"/>
                <w:sz w:val="21"/>
                <w:szCs w:val="24"/>
                <w:highlight w:val="none"/>
                <w:lang w:val="en-US" w:eastAsia="zh-CN" w:bidi="ar-SA"/>
              </w:rPr>
              <w:t>7.68</w:t>
            </w:r>
          </w:p>
        </w:tc>
      </w:tr>
    </w:tbl>
    <w:p w14:paraId="71FB710B">
      <w:pPr>
        <w:pStyle w:val="4"/>
        <w:bidi w:val="0"/>
        <w:rPr>
          <w:highlight w:val="none"/>
        </w:rPr>
      </w:pPr>
      <w:r>
        <w:rPr>
          <w:highlight w:val="none"/>
        </w:rPr>
        <w:t>3.</w:t>
      </w:r>
      <w:r>
        <w:rPr>
          <w:rFonts w:hint="eastAsia"/>
          <w:highlight w:val="none"/>
          <w:lang w:val="en-US" w:eastAsia="zh-CN"/>
        </w:rPr>
        <w:t>2</w:t>
      </w:r>
      <w:r>
        <w:rPr>
          <w:highlight w:val="none"/>
        </w:rPr>
        <w:t>.</w:t>
      </w:r>
      <w:r>
        <w:rPr>
          <w:rFonts w:hint="eastAsia"/>
          <w:highlight w:val="none"/>
          <w:lang w:val="en-US" w:eastAsia="zh-CN"/>
        </w:rPr>
        <w:t>5</w:t>
      </w:r>
      <w:r>
        <w:rPr>
          <w:highlight w:val="none"/>
        </w:rPr>
        <w:t>产品方案</w:t>
      </w:r>
      <w:bookmarkEnd w:id="250"/>
      <w:bookmarkEnd w:id="251"/>
    </w:p>
    <w:p w14:paraId="5AAE3CA4">
      <w:pPr>
        <w:bidi w:val="0"/>
        <w:rPr>
          <w:rFonts w:hint="default" w:eastAsia="宋体"/>
          <w:highlight w:val="none"/>
          <w:lang w:val="en-US" w:eastAsia="zh-CN"/>
        </w:rPr>
      </w:pPr>
      <w:r>
        <w:rPr>
          <w:rFonts w:hint="eastAsia"/>
          <w:highlight w:val="none"/>
          <w:lang w:val="en-US" w:eastAsia="zh-CN"/>
        </w:rPr>
        <w:t>本项目建成后，年加工含油金属屑2125t；年产WE20GT发动机15万台。</w:t>
      </w:r>
    </w:p>
    <w:p w14:paraId="397C1A4E">
      <w:pPr>
        <w:pStyle w:val="7"/>
        <w:bidi w:val="0"/>
        <w:rPr>
          <w:rFonts w:hint="eastAsia"/>
          <w:highlight w:val="none"/>
          <w:lang w:val="en-US" w:eastAsia="zh-CN"/>
        </w:rPr>
      </w:pPr>
      <w:r>
        <w:rPr>
          <w:rFonts w:hint="default"/>
          <w:highlight w:val="none"/>
        </w:rPr>
        <w:t>表3-</w:t>
      </w:r>
      <w:r>
        <w:rPr>
          <w:rFonts w:hint="eastAsia"/>
          <w:highlight w:val="none"/>
          <w:lang w:val="en-US" w:eastAsia="zh-CN"/>
        </w:rPr>
        <w:t>2</w:t>
      </w:r>
      <w:r>
        <w:rPr>
          <w:rFonts w:hint="default"/>
          <w:highlight w:val="none"/>
        </w:rPr>
        <w:t>-</w:t>
      </w:r>
      <w:r>
        <w:rPr>
          <w:rFonts w:hint="eastAsia"/>
          <w:highlight w:val="none"/>
          <w:lang w:val="en-US" w:eastAsia="zh-CN"/>
        </w:rPr>
        <w:t>6</w:t>
      </w:r>
      <w:r>
        <w:rPr>
          <w:rFonts w:hint="default"/>
          <w:highlight w:val="none"/>
        </w:rPr>
        <w:t>本项目产品</w:t>
      </w:r>
      <w:r>
        <w:rPr>
          <w:rFonts w:hint="eastAsia"/>
          <w:highlight w:val="none"/>
          <w:lang w:val="en-US" w:eastAsia="zh-CN"/>
        </w:rPr>
        <w:t>表</w:t>
      </w:r>
    </w:p>
    <w:tbl>
      <w:tblPr>
        <w:tblStyle w:val="4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64"/>
        <w:gridCol w:w="1453"/>
        <w:gridCol w:w="1748"/>
        <w:gridCol w:w="1487"/>
        <w:gridCol w:w="1585"/>
        <w:gridCol w:w="1585"/>
      </w:tblGrid>
      <w:tr w14:paraId="33E1DA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89" w:type="pct"/>
            <w:vAlign w:val="center"/>
          </w:tcPr>
          <w:p w14:paraId="448E4015">
            <w:pPr>
              <w:pStyle w:val="8"/>
              <w:suppressLineNumbers w:val="0"/>
              <w:bidi w:val="0"/>
              <w:spacing w:before="0" w:beforeAutospacing="0" w:after="0" w:afterAutospacing="0"/>
              <w:ind w:left="0" w:right="0"/>
              <w:rPr>
                <w:rFonts w:hint="default" w:eastAsia="宋体"/>
                <w:highlight w:val="none"/>
              </w:rPr>
            </w:pPr>
            <w:r>
              <w:rPr>
                <w:rFonts w:hint="default" w:eastAsia="宋体"/>
                <w:highlight w:val="none"/>
              </w:rPr>
              <w:t>序号</w:t>
            </w:r>
          </w:p>
        </w:tc>
        <w:tc>
          <w:tcPr>
            <w:tcW w:w="852" w:type="pct"/>
            <w:vAlign w:val="center"/>
          </w:tcPr>
          <w:p w14:paraId="46308CB4">
            <w:pPr>
              <w:pStyle w:val="8"/>
              <w:suppressLineNumbers w:val="0"/>
              <w:bidi w:val="0"/>
              <w:spacing w:before="0" w:beforeAutospacing="0" w:after="0" w:afterAutospacing="0"/>
              <w:ind w:left="0" w:right="0"/>
              <w:rPr>
                <w:rFonts w:hint="eastAsia" w:eastAsia="宋体"/>
                <w:highlight w:val="none"/>
                <w:lang w:eastAsia="zh-CN"/>
              </w:rPr>
            </w:pPr>
            <w:r>
              <w:rPr>
                <w:rFonts w:hint="eastAsia" w:eastAsia="宋体"/>
                <w:highlight w:val="none"/>
                <w:lang w:eastAsia="zh-CN"/>
              </w:rPr>
              <w:t>生产线名称</w:t>
            </w:r>
          </w:p>
        </w:tc>
        <w:tc>
          <w:tcPr>
            <w:tcW w:w="1025" w:type="pct"/>
            <w:vAlign w:val="center"/>
          </w:tcPr>
          <w:p w14:paraId="7B049B8F">
            <w:pPr>
              <w:pStyle w:val="8"/>
              <w:suppressLineNumbers w:val="0"/>
              <w:bidi w:val="0"/>
              <w:spacing w:before="0" w:beforeAutospacing="0" w:after="0" w:afterAutospacing="0"/>
              <w:ind w:left="0" w:right="0"/>
              <w:rPr>
                <w:rFonts w:hint="default" w:eastAsia="宋体"/>
                <w:highlight w:val="none"/>
              </w:rPr>
            </w:pPr>
            <w:r>
              <w:rPr>
                <w:rFonts w:hint="default" w:eastAsia="宋体"/>
                <w:highlight w:val="none"/>
              </w:rPr>
              <w:t>产品名称</w:t>
            </w:r>
          </w:p>
        </w:tc>
        <w:tc>
          <w:tcPr>
            <w:tcW w:w="872" w:type="pct"/>
            <w:vAlign w:val="center"/>
          </w:tcPr>
          <w:p w14:paraId="0A7B4531">
            <w:pPr>
              <w:pStyle w:val="8"/>
              <w:suppressLineNumbers w:val="0"/>
              <w:bidi w:val="0"/>
              <w:spacing w:before="0" w:beforeAutospacing="0" w:after="0" w:afterAutospacing="0"/>
              <w:ind w:left="0" w:right="0"/>
              <w:rPr>
                <w:rFonts w:hint="default" w:eastAsia="宋体"/>
                <w:highlight w:val="none"/>
              </w:rPr>
            </w:pPr>
            <w:r>
              <w:rPr>
                <w:rFonts w:hint="eastAsia" w:eastAsia="宋体"/>
                <w:highlight w:val="none"/>
                <w:lang w:eastAsia="zh-CN"/>
              </w:rPr>
              <w:t>改造前</w:t>
            </w:r>
            <w:r>
              <w:rPr>
                <w:rFonts w:hint="default" w:eastAsia="宋体"/>
                <w:highlight w:val="none"/>
              </w:rPr>
              <w:t>产量</w:t>
            </w:r>
          </w:p>
        </w:tc>
        <w:tc>
          <w:tcPr>
            <w:tcW w:w="929" w:type="pct"/>
            <w:vAlign w:val="center"/>
          </w:tcPr>
          <w:p w14:paraId="7C14047D">
            <w:pPr>
              <w:pStyle w:val="8"/>
              <w:suppressLineNumbers w:val="0"/>
              <w:bidi w:val="0"/>
              <w:spacing w:before="0" w:beforeAutospacing="0" w:after="0" w:afterAutospacing="0"/>
              <w:ind w:left="0" w:right="0"/>
              <w:rPr>
                <w:rFonts w:hint="default" w:eastAsia="宋体"/>
                <w:highlight w:val="none"/>
              </w:rPr>
            </w:pPr>
            <w:r>
              <w:rPr>
                <w:rFonts w:hint="eastAsia" w:eastAsia="宋体"/>
                <w:highlight w:val="none"/>
                <w:lang w:eastAsia="zh-CN"/>
              </w:rPr>
              <w:t>改造后</w:t>
            </w:r>
            <w:r>
              <w:rPr>
                <w:rFonts w:hint="default" w:eastAsia="宋体"/>
                <w:highlight w:val="none"/>
              </w:rPr>
              <w:t>产量</w:t>
            </w:r>
          </w:p>
        </w:tc>
        <w:tc>
          <w:tcPr>
            <w:tcW w:w="929" w:type="pct"/>
            <w:vAlign w:val="center"/>
          </w:tcPr>
          <w:p w14:paraId="2F414C62">
            <w:pPr>
              <w:pStyle w:val="8"/>
              <w:suppressLineNumbers w:val="0"/>
              <w:bidi w:val="0"/>
              <w:spacing w:before="0" w:beforeAutospacing="0" w:after="0" w:afterAutospacing="0"/>
              <w:ind w:left="0" w:right="0"/>
              <w:rPr>
                <w:rFonts w:hint="default" w:eastAsia="宋体"/>
                <w:highlight w:val="none"/>
                <w:lang w:val="en-US" w:eastAsia="zh-CN"/>
              </w:rPr>
            </w:pPr>
            <w:r>
              <w:rPr>
                <w:rFonts w:hint="eastAsia" w:eastAsia="宋体"/>
                <w:highlight w:val="none"/>
                <w:lang w:val="en-US" w:eastAsia="zh-CN"/>
              </w:rPr>
              <w:t>备注</w:t>
            </w:r>
          </w:p>
        </w:tc>
      </w:tr>
      <w:tr w14:paraId="566F64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89" w:type="pct"/>
            <w:vAlign w:val="center"/>
          </w:tcPr>
          <w:p w14:paraId="7C2BBF16">
            <w:pPr>
              <w:pStyle w:val="8"/>
              <w:suppressLineNumbers w:val="0"/>
              <w:bidi w:val="0"/>
              <w:spacing w:before="0" w:beforeAutospacing="0" w:after="0" w:afterAutospacing="0"/>
              <w:ind w:left="0" w:right="0"/>
              <w:rPr>
                <w:rFonts w:hint="eastAsia" w:eastAsia="宋体"/>
                <w:highlight w:val="none"/>
                <w:lang w:val="en-US" w:eastAsia="zh-CN"/>
              </w:rPr>
            </w:pPr>
            <w:r>
              <w:rPr>
                <w:rFonts w:hint="eastAsia" w:eastAsia="宋体"/>
                <w:highlight w:val="none"/>
                <w:lang w:val="en-US" w:eastAsia="zh-CN"/>
              </w:rPr>
              <w:t>1</w:t>
            </w:r>
          </w:p>
        </w:tc>
        <w:tc>
          <w:tcPr>
            <w:tcW w:w="852" w:type="pct"/>
            <w:vAlign w:val="center"/>
          </w:tcPr>
          <w:p w14:paraId="7746E3C1">
            <w:pPr>
              <w:pStyle w:val="8"/>
              <w:suppressLineNumbers w:val="0"/>
              <w:bidi w:val="0"/>
              <w:spacing w:before="0" w:beforeAutospacing="0" w:after="0" w:afterAutospacing="0"/>
              <w:ind w:left="0" w:right="0"/>
              <w:rPr>
                <w:rFonts w:hint="eastAsia" w:eastAsia="宋体"/>
                <w:highlight w:val="none"/>
                <w:lang w:eastAsia="zh-CN"/>
              </w:rPr>
            </w:pPr>
            <w:r>
              <w:rPr>
                <w:rFonts w:hint="eastAsia" w:eastAsia="宋体"/>
                <w:highlight w:val="none"/>
                <w:lang w:eastAsia="zh-CN"/>
              </w:rPr>
              <w:t>缸盖生产线</w:t>
            </w:r>
          </w:p>
        </w:tc>
        <w:tc>
          <w:tcPr>
            <w:tcW w:w="1025" w:type="pct"/>
            <w:vAlign w:val="center"/>
          </w:tcPr>
          <w:p w14:paraId="2C1B5EA0">
            <w:pPr>
              <w:pStyle w:val="8"/>
              <w:suppressLineNumbers w:val="0"/>
              <w:bidi w:val="0"/>
              <w:spacing w:before="0" w:beforeAutospacing="0" w:after="0" w:afterAutospacing="0"/>
              <w:ind w:left="0" w:right="0"/>
              <w:rPr>
                <w:rFonts w:hint="default" w:eastAsia="宋体"/>
                <w:highlight w:val="none"/>
                <w:lang w:val="en-US" w:eastAsia="zh-CN"/>
              </w:rPr>
            </w:pPr>
            <w:r>
              <w:rPr>
                <w:rFonts w:hint="eastAsia" w:eastAsia="宋体"/>
                <w:highlight w:val="none"/>
                <w:lang w:val="en-US" w:eastAsia="zh-CN"/>
              </w:rPr>
              <w:t>缸盖</w:t>
            </w:r>
          </w:p>
        </w:tc>
        <w:tc>
          <w:tcPr>
            <w:tcW w:w="1487" w:type="dxa"/>
            <w:vAlign w:val="center"/>
          </w:tcPr>
          <w:p w14:paraId="31760498">
            <w:pPr>
              <w:pStyle w:val="8"/>
              <w:suppressLineNumbers w:val="0"/>
              <w:bidi w:val="0"/>
              <w:spacing w:before="0" w:beforeAutospacing="0" w:after="0" w:afterAutospacing="0"/>
              <w:ind w:left="0" w:leftChars="0" w:right="0" w:rightChars="0" w:firstLine="0" w:firstLineChars="0"/>
              <w:rPr>
                <w:rFonts w:hint="default" w:eastAsia="宋体"/>
                <w:highlight w:val="none"/>
                <w:lang w:val="en-US" w:eastAsia="zh-CN"/>
              </w:rPr>
            </w:pPr>
            <w:r>
              <w:rPr>
                <w:rFonts w:hint="eastAsia" w:eastAsia="宋体"/>
                <w:highlight w:val="none"/>
                <w:lang w:val="en-US" w:eastAsia="zh-CN"/>
              </w:rPr>
              <w:t>10</w:t>
            </w:r>
            <w:r>
              <w:rPr>
                <w:rFonts w:hint="default" w:eastAsia="宋体"/>
                <w:highlight w:val="none"/>
              </w:rPr>
              <w:t>万台</w:t>
            </w:r>
            <w:r>
              <w:rPr>
                <w:rFonts w:hint="eastAsia" w:eastAsia="宋体"/>
                <w:highlight w:val="none"/>
                <w:lang w:val="en-US" w:eastAsia="zh-CN"/>
              </w:rPr>
              <w:t>/年</w:t>
            </w:r>
          </w:p>
        </w:tc>
        <w:tc>
          <w:tcPr>
            <w:tcW w:w="929" w:type="pct"/>
            <w:vAlign w:val="center"/>
          </w:tcPr>
          <w:p w14:paraId="73DB5299">
            <w:pPr>
              <w:pStyle w:val="8"/>
              <w:suppressLineNumbers w:val="0"/>
              <w:bidi w:val="0"/>
              <w:spacing w:before="0" w:beforeAutospacing="0" w:after="0" w:afterAutospacing="0"/>
              <w:ind w:left="0" w:right="0"/>
              <w:rPr>
                <w:rFonts w:hint="default" w:eastAsia="宋体"/>
                <w:highlight w:val="none"/>
                <w:lang w:val="en-US" w:eastAsia="zh-CN"/>
              </w:rPr>
            </w:pPr>
            <w:r>
              <w:rPr>
                <w:rFonts w:hint="eastAsia" w:eastAsia="宋体"/>
                <w:highlight w:val="none"/>
                <w:lang w:val="en-US" w:eastAsia="zh-CN"/>
              </w:rPr>
              <w:t>10</w:t>
            </w:r>
            <w:r>
              <w:rPr>
                <w:rFonts w:hint="default" w:eastAsia="宋体"/>
                <w:highlight w:val="none"/>
              </w:rPr>
              <w:t>万台</w:t>
            </w:r>
            <w:r>
              <w:rPr>
                <w:rFonts w:hint="eastAsia" w:eastAsia="宋体"/>
                <w:highlight w:val="none"/>
                <w:lang w:val="en-US" w:eastAsia="zh-CN"/>
              </w:rPr>
              <w:t>/年</w:t>
            </w:r>
          </w:p>
        </w:tc>
        <w:tc>
          <w:tcPr>
            <w:tcW w:w="929" w:type="pct"/>
            <w:vMerge w:val="restart"/>
            <w:vAlign w:val="center"/>
          </w:tcPr>
          <w:p w14:paraId="71122FF4">
            <w:pPr>
              <w:pStyle w:val="8"/>
              <w:suppressLineNumbers w:val="0"/>
              <w:bidi w:val="0"/>
              <w:spacing w:before="0" w:beforeAutospacing="0" w:after="0" w:afterAutospacing="0"/>
              <w:ind w:left="0" w:right="0"/>
              <w:rPr>
                <w:rFonts w:hint="default" w:eastAsia="宋体"/>
                <w:highlight w:val="none"/>
                <w:lang w:val="en-US" w:eastAsia="zh-CN"/>
              </w:rPr>
            </w:pPr>
            <w:r>
              <w:rPr>
                <w:rFonts w:hint="eastAsia" w:eastAsia="宋体"/>
                <w:highlight w:val="none"/>
                <w:lang w:val="en-US" w:eastAsia="zh-CN"/>
              </w:rPr>
              <w:t>作为中间产品，不外售</w:t>
            </w:r>
          </w:p>
        </w:tc>
      </w:tr>
      <w:tr w14:paraId="215728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89" w:type="pct"/>
            <w:vAlign w:val="center"/>
          </w:tcPr>
          <w:p w14:paraId="6C72938B">
            <w:pPr>
              <w:pStyle w:val="8"/>
              <w:suppressLineNumbers w:val="0"/>
              <w:bidi w:val="0"/>
              <w:spacing w:before="0" w:beforeAutospacing="0" w:after="0" w:afterAutospacing="0"/>
              <w:ind w:left="0" w:right="0"/>
              <w:rPr>
                <w:rFonts w:hint="eastAsia" w:eastAsia="宋体"/>
                <w:highlight w:val="none"/>
                <w:lang w:val="en-US" w:eastAsia="zh-CN"/>
              </w:rPr>
            </w:pPr>
            <w:r>
              <w:rPr>
                <w:rFonts w:hint="eastAsia" w:eastAsia="宋体"/>
                <w:highlight w:val="none"/>
                <w:lang w:val="en-US" w:eastAsia="zh-CN"/>
              </w:rPr>
              <w:t>2</w:t>
            </w:r>
          </w:p>
        </w:tc>
        <w:tc>
          <w:tcPr>
            <w:tcW w:w="852" w:type="pct"/>
            <w:vAlign w:val="center"/>
          </w:tcPr>
          <w:p w14:paraId="3C378231">
            <w:pPr>
              <w:pStyle w:val="8"/>
              <w:suppressLineNumbers w:val="0"/>
              <w:bidi w:val="0"/>
              <w:spacing w:before="0" w:beforeAutospacing="0" w:after="0" w:afterAutospacing="0"/>
              <w:ind w:left="0" w:right="0"/>
              <w:rPr>
                <w:rFonts w:hint="default" w:eastAsia="宋体"/>
                <w:highlight w:val="none"/>
              </w:rPr>
            </w:pPr>
            <w:r>
              <w:rPr>
                <w:rFonts w:hint="eastAsia" w:eastAsia="宋体"/>
                <w:highlight w:val="none"/>
                <w:lang w:eastAsia="zh-CN"/>
              </w:rPr>
              <w:t>缸体生产线</w:t>
            </w:r>
          </w:p>
        </w:tc>
        <w:tc>
          <w:tcPr>
            <w:tcW w:w="1025" w:type="pct"/>
            <w:vAlign w:val="center"/>
          </w:tcPr>
          <w:p w14:paraId="15727FAF">
            <w:pPr>
              <w:pStyle w:val="8"/>
              <w:suppressLineNumbers w:val="0"/>
              <w:bidi w:val="0"/>
              <w:spacing w:before="0" w:beforeAutospacing="0" w:after="0" w:afterAutospacing="0"/>
              <w:ind w:left="0" w:right="0"/>
              <w:rPr>
                <w:rFonts w:hint="default" w:eastAsia="宋体"/>
                <w:highlight w:val="none"/>
                <w:lang w:val="en-US" w:eastAsia="zh-CN"/>
              </w:rPr>
            </w:pPr>
            <w:r>
              <w:rPr>
                <w:rFonts w:hint="eastAsia" w:eastAsia="宋体"/>
                <w:highlight w:val="none"/>
                <w:lang w:val="en-US" w:eastAsia="zh-CN"/>
              </w:rPr>
              <w:t>缸体</w:t>
            </w:r>
          </w:p>
        </w:tc>
        <w:tc>
          <w:tcPr>
            <w:tcW w:w="1487" w:type="dxa"/>
            <w:vAlign w:val="center"/>
          </w:tcPr>
          <w:p w14:paraId="2A0105BF">
            <w:pPr>
              <w:pStyle w:val="8"/>
              <w:suppressLineNumbers w:val="0"/>
              <w:bidi w:val="0"/>
              <w:spacing w:before="0" w:beforeAutospacing="0" w:after="0" w:afterAutospacing="0"/>
              <w:ind w:left="0" w:leftChars="0" w:right="0" w:rightChars="0" w:firstLine="0" w:firstLineChars="0"/>
              <w:rPr>
                <w:rFonts w:hint="default" w:eastAsia="宋体"/>
                <w:highlight w:val="none"/>
                <w:lang w:val="en-US" w:eastAsia="zh-CN"/>
              </w:rPr>
            </w:pPr>
            <w:r>
              <w:rPr>
                <w:rFonts w:hint="eastAsia" w:eastAsia="宋体"/>
                <w:highlight w:val="none"/>
                <w:lang w:val="en-US" w:eastAsia="zh-CN"/>
              </w:rPr>
              <w:t>10</w:t>
            </w:r>
            <w:r>
              <w:rPr>
                <w:rFonts w:hint="default" w:eastAsia="宋体"/>
                <w:highlight w:val="none"/>
              </w:rPr>
              <w:t>万台</w:t>
            </w:r>
            <w:r>
              <w:rPr>
                <w:rFonts w:hint="eastAsia" w:eastAsia="宋体"/>
                <w:highlight w:val="none"/>
                <w:lang w:val="en-US" w:eastAsia="zh-CN"/>
              </w:rPr>
              <w:t>/年</w:t>
            </w:r>
          </w:p>
        </w:tc>
        <w:tc>
          <w:tcPr>
            <w:tcW w:w="929" w:type="pct"/>
            <w:vAlign w:val="center"/>
          </w:tcPr>
          <w:p w14:paraId="4B698523">
            <w:pPr>
              <w:pStyle w:val="8"/>
              <w:suppressLineNumbers w:val="0"/>
              <w:bidi w:val="0"/>
              <w:spacing w:before="0" w:beforeAutospacing="0" w:after="0" w:afterAutospacing="0"/>
              <w:ind w:left="0" w:right="0"/>
              <w:rPr>
                <w:rFonts w:hint="default" w:eastAsia="宋体"/>
                <w:highlight w:val="none"/>
                <w:lang w:val="en-US" w:eastAsia="zh-CN"/>
              </w:rPr>
            </w:pPr>
            <w:r>
              <w:rPr>
                <w:rFonts w:hint="eastAsia" w:eastAsia="宋体"/>
                <w:highlight w:val="none"/>
                <w:lang w:val="en-US" w:eastAsia="zh-CN"/>
              </w:rPr>
              <w:t>10</w:t>
            </w:r>
            <w:r>
              <w:rPr>
                <w:rFonts w:hint="default" w:eastAsia="宋体"/>
                <w:highlight w:val="none"/>
              </w:rPr>
              <w:t>万台</w:t>
            </w:r>
            <w:r>
              <w:rPr>
                <w:rFonts w:hint="eastAsia" w:eastAsia="宋体"/>
                <w:highlight w:val="none"/>
                <w:lang w:val="en-US" w:eastAsia="zh-CN"/>
              </w:rPr>
              <w:t>/年</w:t>
            </w:r>
          </w:p>
        </w:tc>
        <w:tc>
          <w:tcPr>
            <w:tcW w:w="929" w:type="pct"/>
            <w:vMerge w:val="continue"/>
            <w:vAlign w:val="center"/>
          </w:tcPr>
          <w:p w14:paraId="1FE5AD3C">
            <w:pPr>
              <w:pStyle w:val="8"/>
              <w:suppressLineNumbers w:val="0"/>
              <w:bidi w:val="0"/>
              <w:spacing w:before="0" w:beforeAutospacing="0" w:after="0" w:afterAutospacing="0"/>
              <w:ind w:left="0" w:right="0"/>
              <w:rPr>
                <w:rFonts w:hint="eastAsia" w:eastAsia="宋体"/>
                <w:highlight w:val="none"/>
                <w:lang w:val="en-US" w:eastAsia="zh-CN"/>
              </w:rPr>
            </w:pPr>
          </w:p>
        </w:tc>
      </w:tr>
      <w:tr w14:paraId="1D6A1C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89" w:type="pct"/>
            <w:vAlign w:val="center"/>
          </w:tcPr>
          <w:p w14:paraId="1002AA66">
            <w:pPr>
              <w:pStyle w:val="8"/>
              <w:suppressLineNumbers w:val="0"/>
              <w:bidi w:val="0"/>
              <w:spacing w:before="0" w:beforeAutospacing="0" w:after="0" w:afterAutospacing="0"/>
              <w:ind w:left="0" w:right="0"/>
              <w:rPr>
                <w:rFonts w:hint="default" w:eastAsia="宋体"/>
                <w:highlight w:val="none"/>
                <w:lang w:val="en-US" w:eastAsia="zh-CN"/>
              </w:rPr>
            </w:pPr>
            <w:r>
              <w:rPr>
                <w:rFonts w:hint="eastAsia" w:eastAsia="宋体"/>
                <w:highlight w:val="none"/>
                <w:lang w:val="en-US" w:eastAsia="zh-CN"/>
              </w:rPr>
              <w:t>3</w:t>
            </w:r>
          </w:p>
        </w:tc>
        <w:tc>
          <w:tcPr>
            <w:tcW w:w="852" w:type="pct"/>
            <w:vAlign w:val="center"/>
          </w:tcPr>
          <w:p w14:paraId="10EA2D4A">
            <w:pPr>
              <w:pStyle w:val="8"/>
              <w:suppressLineNumbers w:val="0"/>
              <w:bidi w:val="0"/>
              <w:spacing w:before="0" w:beforeAutospacing="0" w:after="0" w:afterAutospacing="0"/>
              <w:ind w:left="0" w:right="0"/>
              <w:rPr>
                <w:rFonts w:hint="default" w:eastAsia="宋体"/>
                <w:highlight w:val="none"/>
                <w:lang w:val="en-US" w:eastAsia="zh-CN"/>
              </w:rPr>
            </w:pPr>
            <w:r>
              <w:rPr>
                <w:rFonts w:hint="eastAsia" w:eastAsia="宋体"/>
                <w:highlight w:val="none"/>
                <w:lang w:val="en-US" w:eastAsia="zh-CN"/>
              </w:rPr>
              <w:t>装试生产线</w:t>
            </w:r>
          </w:p>
        </w:tc>
        <w:tc>
          <w:tcPr>
            <w:tcW w:w="1025" w:type="pct"/>
            <w:vAlign w:val="center"/>
          </w:tcPr>
          <w:p w14:paraId="3B1FE819">
            <w:pPr>
              <w:pStyle w:val="8"/>
              <w:suppressLineNumbers w:val="0"/>
              <w:bidi w:val="0"/>
              <w:spacing w:before="0" w:beforeAutospacing="0" w:after="0" w:afterAutospacing="0"/>
              <w:ind w:left="0" w:right="0"/>
              <w:rPr>
                <w:rFonts w:hint="default" w:eastAsia="宋体"/>
                <w:highlight w:val="none"/>
                <w:lang w:val="en-US" w:eastAsia="zh-CN"/>
              </w:rPr>
            </w:pPr>
            <w:r>
              <w:rPr>
                <w:rFonts w:hint="eastAsia" w:eastAsia="宋体"/>
                <w:highlight w:val="none"/>
                <w:lang w:val="en-US" w:eastAsia="zh-CN"/>
              </w:rPr>
              <w:t>发动机</w:t>
            </w:r>
          </w:p>
        </w:tc>
        <w:tc>
          <w:tcPr>
            <w:tcW w:w="872" w:type="pct"/>
            <w:vAlign w:val="center"/>
          </w:tcPr>
          <w:p w14:paraId="79FB4EFD">
            <w:pPr>
              <w:pStyle w:val="8"/>
              <w:suppressLineNumbers w:val="0"/>
              <w:bidi w:val="0"/>
              <w:spacing w:before="0" w:beforeAutospacing="0" w:after="0" w:afterAutospacing="0"/>
              <w:ind w:left="0" w:right="0"/>
              <w:rPr>
                <w:rFonts w:hint="default" w:eastAsia="宋体"/>
                <w:highlight w:val="none"/>
                <w:lang w:val="en-US" w:eastAsia="zh-CN"/>
              </w:rPr>
            </w:pPr>
            <w:r>
              <w:rPr>
                <w:rFonts w:hint="eastAsia" w:eastAsia="宋体"/>
                <w:highlight w:val="none"/>
                <w:lang w:val="en-US" w:eastAsia="zh-CN"/>
              </w:rPr>
              <w:t>15</w:t>
            </w:r>
            <w:r>
              <w:rPr>
                <w:rFonts w:hint="default" w:eastAsia="宋体"/>
                <w:highlight w:val="none"/>
              </w:rPr>
              <w:t>万台</w:t>
            </w:r>
            <w:r>
              <w:rPr>
                <w:rFonts w:hint="eastAsia" w:eastAsia="宋体"/>
                <w:highlight w:val="none"/>
                <w:lang w:val="en-US" w:eastAsia="zh-CN"/>
              </w:rPr>
              <w:t>/年</w:t>
            </w:r>
          </w:p>
        </w:tc>
        <w:tc>
          <w:tcPr>
            <w:tcW w:w="929" w:type="pct"/>
            <w:vAlign w:val="center"/>
          </w:tcPr>
          <w:p w14:paraId="1FAC68DA">
            <w:pPr>
              <w:pStyle w:val="8"/>
              <w:suppressLineNumbers w:val="0"/>
              <w:bidi w:val="0"/>
              <w:spacing w:before="0" w:beforeAutospacing="0" w:after="0" w:afterAutospacing="0"/>
              <w:ind w:left="0" w:right="0"/>
              <w:rPr>
                <w:rFonts w:hint="default" w:eastAsia="宋体"/>
                <w:highlight w:val="none"/>
                <w:lang w:val="en-US" w:eastAsia="zh-CN"/>
              </w:rPr>
            </w:pPr>
            <w:r>
              <w:rPr>
                <w:rFonts w:hint="eastAsia" w:eastAsia="宋体"/>
                <w:highlight w:val="none"/>
                <w:lang w:val="en-US" w:eastAsia="zh-CN"/>
              </w:rPr>
              <w:t>15</w:t>
            </w:r>
            <w:r>
              <w:rPr>
                <w:rFonts w:hint="default" w:eastAsia="宋体"/>
                <w:highlight w:val="none"/>
              </w:rPr>
              <w:t>万台</w:t>
            </w:r>
            <w:r>
              <w:rPr>
                <w:rFonts w:hint="eastAsia" w:eastAsia="宋体"/>
                <w:highlight w:val="none"/>
                <w:lang w:val="en-US" w:eastAsia="zh-CN"/>
              </w:rPr>
              <w:t>/年</w:t>
            </w:r>
          </w:p>
        </w:tc>
        <w:tc>
          <w:tcPr>
            <w:tcW w:w="929" w:type="pct"/>
            <w:vAlign w:val="center"/>
          </w:tcPr>
          <w:p w14:paraId="024BA68A">
            <w:pPr>
              <w:pStyle w:val="8"/>
              <w:suppressLineNumbers w:val="0"/>
              <w:bidi w:val="0"/>
              <w:spacing w:before="0" w:beforeAutospacing="0" w:after="0" w:afterAutospacing="0"/>
              <w:ind w:left="0" w:right="0"/>
              <w:rPr>
                <w:rFonts w:hint="default" w:eastAsia="宋体"/>
                <w:highlight w:val="none"/>
                <w:lang w:val="en-US" w:eastAsia="zh-CN"/>
              </w:rPr>
            </w:pPr>
            <w:r>
              <w:rPr>
                <w:rFonts w:hint="eastAsia" w:eastAsia="宋体"/>
                <w:highlight w:val="none"/>
                <w:lang w:val="en-US" w:eastAsia="zh-CN"/>
              </w:rPr>
              <w:t>/</w:t>
            </w:r>
          </w:p>
        </w:tc>
      </w:tr>
      <w:tr w14:paraId="7457DB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89" w:type="pct"/>
            <w:vAlign w:val="center"/>
          </w:tcPr>
          <w:p w14:paraId="24786402">
            <w:pPr>
              <w:pStyle w:val="8"/>
              <w:suppressLineNumbers w:val="0"/>
              <w:bidi w:val="0"/>
              <w:spacing w:before="0" w:beforeAutospacing="0" w:after="0" w:afterAutospacing="0"/>
              <w:ind w:left="0" w:right="0"/>
              <w:rPr>
                <w:rFonts w:hint="default" w:eastAsia="宋体"/>
                <w:highlight w:val="none"/>
                <w:lang w:val="en-US" w:eastAsia="zh-CN"/>
              </w:rPr>
            </w:pPr>
            <w:r>
              <w:rPr>
                <w:rFonts w:hint="eastAsia" w:eastAsia="宋体"/>
                <w:highlight w:val="none"/>
                <w:lang w:val="en-US" w:eastAsia="zh-CN"/>
              </w:rPr>
              <w:t>4</w:t>
            </w:r>
          </w:p>
        </w:tc>
        <w:tc>
          <w:tcPr>
            <w:tcW w:w="852" w:type="pct"/>
            <w:vAlign w:val="center"/>
          </w:tcPr>
          <w:p w14:paraId="7F726246">
            <w:pPr>
              <w:pStyle w:val="8"/>
              <w:suppressLineNumbers w:val="0"/>
              <w:bidi w:val="0"/>
              <w:spacing w:before="0" w:beforeAutospacing="0" w:after="0" w:afterAutospacing="0"/>
              <w:ind w:left="0" w:right="0"/>
              <w:rPr>
                <w:rFonts w:hint="default" w:eastAsia="宋体"/>
                <w:highlight w:val="none"/>
                <w:lang w:val="en-US" w:eastAsia="zh-CN"/>
              </w:rPr>
            </w:pPr>
            <w:r>
              <w:rPr>
                <w:rFonts w:hint="eastAsia" w:eastAsia="宋体"/>
                <w:highlight w:val="none"/>
                <w:lang w:val="en-US" w:eastAsia="zh-CN"/>
              </w:rPr>
              <w:t>含油金属屑收集处理生产线</w:t>
            </w:r>
          </w:p>
        </w:tc>
        <w:tc>
          <w:tcPr>
            <w:tcW w:w="1025" w:type="pct"/>
            <w:vAlign w:val="center"/>
          </w:tcPr>
          <w:p w14:paraId="049E5FE6">
            <w:pPr>
              <w:pStyle w:val="8"/>
              <w:suppressLineNumbers w:val="0"/>
              <w:bidi w:val="0"/>
              <w:spacing w:before="0" w:beforeAutospacing="0" w:after="0" w:afterAutospacing="0"/>
              <w:ind w:left="0" w:right="0"/>
              <w:rPr>
                <w:rFonts w:hint="eastAsia" w:eastAsia="宋体"/>
                <w:highlight w:val="none"/>
                <w:lang w:val="en-US" w:eastAsia="zh-CN"/>
              </w:rPr>
            </w:pPr>
            <w:r>
              <w:rPr>
                <w:rFonts w:hint="eastAsia" w:eastAsia="宋体"/>
                <w:highlight w:val="none"/>
                <w:lang w:val="en-US" w:eastAsia="zh-CN"/>
              </w:rPr>
              <w:t>产品金属块</w:t>
            </w:r>
          </w:p>
        </w:tc>
        <w:tc>
          <w:tcPr>
            <w:tcW w:w="872" w:type="pct"/>
            <w:vAlign w:val="center"/>
          </w:tcPr>
          <w:p w14:paraId="719DCB3F">
            <w:pPr>
              <w:pStyle w:val="8"/>
              <w:suppressLineNumbers w:val="0"/>
              <w:bidi w:val="0"/>
              <w:spacing w:before="0" w:beforeAutospacing="0" w:after="0" w:afterAutospacing="0"/>
              <w:ind w:left="0" w:right="0"/>
              <w:rPr>
                <w:rFonts w:hint="default" w:eastAsia="宋体"/>
                <w:highlight w:val="none"/>
                <w:lang w:val="en-US" w:eastAsia="zh-CN"/>
              </w:rPr>
            </w:pPr>
            <w:r>
              <w:rPr>
                <w:rFonts w:hint="eastAsia" w:eastAsia="宋体"/>
                <w:highlight w:val="none"/>
                <w:lang w:val="en-US" w:eastAsia="zh-CN"/>
              </w:rPr>
              <w:t>/</w:t>
            </w:r>
          </w:p>
        </w:tc>
        <w:tc>
          <w:tcPr>
            <w:tcW w:w="929" w:type="pct"/>
            <w:vAlign w:val="center"/>
          </w:tcPr>
          <w:p w14:paraId="3DBD70E4">
            <w:pPr>
              <w:pStyle w:val="8"/>
              <w:suppressLineNumbers w:val="0"/>
              <w:bidi w:val="0"/>
              <w:spacing w:before="0" w:beforeAutospacing="0" w:after="0" w:afterAutospacing="0"/>
              <w:ind w:left="0" w:right="0"/>
              <w:rPr>
                <w:rFonts w:hint="default" w:eastAsia="宋体"/>
                <w:highlight w:val="none"/>
                <w:lang w:val="en-US" w:eastAsia="zh-CN"/>
              </w:rPr>
            </w:pPr>
            <w:r>
              <w:rPr>
                <w:rFonts w:hint="eastAsia" w:eastAsia="宋体"/>
                <w:highlight w:val="none"/>
                <w:lang w:val="en-US" w:eastAsia="zh-CN"/>
              </w:rPr>
              <w:t>1997.5t/a</w:t>
            </w:r>
          </w:p>
        </w:tc>
        <w:tc>
          <w:tcPr>
            <w:tcW w:w="929" w:type="pct"/>
            <w:vAlign w:val="center"/>
          </w:tcPr>
          <w:p w14:paraId="7617B8A4">
            <w:pPr>
              <w:pStyle w:val="8"/>
              <w:suppressLineNumbers w:val="0"/>
              <w:bidi w:val="0"/>
              <w:spacing w:before="0" w:beforeAutospacing="0" w:after="0" w:afterAutospacing="0"/>
              <w:ind w:left="0" w:right="0"/>
              <w:rPr>
                <w:rFonts w:hint="eastAsia" w:eastAsia="宋体"/>
                <w:highlight w:val="none"/>
                <w:lang w:val="en-US" w:eastAsia="zh-CN"/>
              </w:rPr>
            </w:pPr>
            <w:r>
              <w:rPr>
                <w:rFonts w:hint="eastAsia"/>
                <w:highlight w:val="none"/>
                <w:lang w:val="en-US" w:eastAsia="zh-CN"/>
              </w:rPr>
              <w:t>产品应达到《再生钢铁原料》GB/T39733及《回收铝》（GB/T13586-2021）标准</w:t>
            </w:r>
          </w:p>
        </w:tc>
      </w:tr>
      <w:bookmarkEnd w:id="249"/>
    </w:tbl>
    <w:p w14:paraId="2027E4F0">
      <w:pPr>
        <w:pStyle w:val="6"/>
        <w:keepNext/>
        <w:keepLines/>
        <w:pageBreakBefore w:val="0"/>
        <w:widowControl w:val="0"/>
        <w:kinsoku/>
        <w:wordWrap w:val="0"/>
        <w:overflowPunct/>
        <w:topLinePunct w:val="0"/>
        <w:autoSpaceDE/>
        <w:autoSpaceDN/>
        <w:bidi w:val="0"/>
        <w:adjustRightInd/>
        <w:snapToGrid/>
        <w:textAlignment w:val="auto"/>
        <w:rPr>
          <w:highlight w:val="none"/>
        </w:rPr>
      </w:pPr>
      <w:r>
        <w:rPr>
          <w:highlight w:val="none"/>
        </w:rPr>
        <w:fldChar w:fldCharType="begin"/>
      </w:r>
      <w:r>
        <w:rPr>
          <w:highlight w:val="none"/>
        </w:rPr>
        <w:instrText xml:space="preserve"> HYPERLINK "file:///F:\\360用户文件\\游戏大厅\\天兆养猪有限公司环评\\1106天兆养猪\\天兆养猪有限公司环评1117.docx" \l "_Toc110400207" </w:instrText>
      </w:r>
      <w:r>
        <w:rPr>
          <w:highlight w:val="none"/>
        </w:rPr>
        <w:fldChar w:fldCharType="separate"/>
      </w:r>
      <w:bookmarkStart w:id="252" w:name="_Toc118087006"/>
      <w:bookmarkStart w:id="253" w:name="_Toc113078928"/>
      <w:bookmarkStart w:id="254" w:name="_Toc182022287"/>
      <w:bookmarkStart w:id="255" w:name="_Toc112420357"/>
      <w:r>
        <w:rPr>
          <w:highlight w:val="none"/>
        </w:rPr>
        <w:t>3.</w:t>
      </w:r>
      <w:r>
        <w:rPr>
          <w:rFonts w:hint="eastAsia"/>
          <w:highlight w:val="none"/>
          <w:lang w:val="en-US" w:eastAsia="zh-CN"/>
        </w:rPr>
        <w:t>2</w:t>
      </w:r>
      <w:r>
        <w:rPr>
          <w:highlight w:val="none"/>
        </w:rPr>
        <w:t>.6.1供水工程</w:t>
      </w:r>
      <w:bookmarkEnd w:id="252"/>
      <w:bookmarkEnd w:id="253"/>
      <w:bookmarkEnd w:id="254"/>
      <w:bookmarkEnd w:id="255"/>
      <w:r>
        <w:rPr>
          <w:highlight w:val="none"/>
        </w:rPr>
        <w:fldChar w:fldCharType="end"/>
      </w:r>
    </w:p>
    <w:p w14:paraId="7F23593A">
      <w:pPr>
        <w:bidi w:val="0"/>
        <w:rPr>
          <w:highlight w:val="none"/>
        </w:rPr>
      </w:pPr>
      <w:r>
        <w:rPr>
          <w:highlight w:val="none"/>
        </w:rPr>
        <w:t>用水环节主要为生产用水，用水来源由市政自来水提供。生产用水为切削液配置及清洗用水、清洗液配置及清洗用水。</w:t>
      </w:r>
    </w:p>
    <w:p w14:paraId="5AB69761">
      <w:pPr>
        <w:bidi w:val="0"/>
        <w:rPr>
          <w:highlight w:val="none"/>
        </w:rPr>
      </w:pPr>
      <w:r>
        <w:rPr>
          <w:highlight w:val="none"/>
        </w:rPr>
        <w:t>（1）切削液配置及清洗用水</w:t>
      </w:r>
    </w:p>
    <w:p w14:paraId="06FEF8D7">
      <w:pPr>
        <w:bidi w:val="0"/>
        <w:rPr>
          <w:highlight w:val="none"/>
        </w:rPr>
      </w:pPr>
      <w:r>
        <w:rPr>
          <w:highlight w:val="none"/>
        </w:rPr>
        <w:t>根据生产需要切削液浓度为8%，本项目切削液母液总用量为</w:t>
      </w:r>
      <w:r>
        <w:rPr>
          <w:rFonts w:hint="eastAsia"/>
          <w:highlight w:val="none"/>
          <w:lang w:val="en-US" w:eastAsia="zh-CN"/>
        </w:rPr>
        <w:t>15.2</w:t>
      </w:r>
      <w:r>
        <w:rPr>
          <w:highlight w:val="none"/>
        </w:rPr>
        <w:t>t/a，则切削液配置用水为</w:t>
      </w:r>
      <w:r>
        <w:rPr>
          <w:rFonts w:hint="eastAsia"/>
          <w:highlight w:val="none"/>
          <w:lang w:val="en-US" w:eastAsia="zh-CN"/>
        </w:rPr>
        <w:t>174.8</w:t>
      </w:r>
      <w:r>
        <w:rPr>
          <w:highlight w:val="none"/>
        </w:rPr>
        <w:t>t/a，平均日用水量为</w:t>
      </w:r>
      <w:r>
        <w:rPr>
          <w:rFonts w:hint="eastAsia"/>
          <w:highlight w:val="none"/>
          <w:lang w:val="en-US" w:eastAsia="zh-CN"/>
        </w:rPr>
        <w:t>0.70</w:t>
      </w:r>
      <w:r>
        <w:rPr>
          <w:highlight w:val="none"/>
        </w:rPr>
        <w:t>t/d，切削液经过滤后循环回用，定期补充，每年更换一次，系统排放废切削液后需要对系统进行清洗，参考本公司现有相同切削液循环系统清洗用水量为10t/a，因此本项目清洗用水为10t/a，平均日用水量为</w:t>
      </w:r>
      <w:r>
        <w:rPr>
          <w:rFonts w:hint="eastAsia"/>
          <w:highlight w:val="none"/>
        </w:rPr>
        <w:t>0.04t/d</w:t>
      </w:r>
      <w:r>
        <w:rPr>
          <w:highlight w:val="none"/>
        </w:rPr>
        <w:t>。</w:t>
      </w:r>
    </w:p>
    <w:p w14:paraId="469940B2">
      <w:pPr>
        <w:bidi w:val="0"/>
        <w:rPr>
          <w:highlight w:val="none"/>
        </w:rPr>
      </w:pPr>
      <w:r>
        <w:rPr>
          <w:highlight w:val="none"/>
        </w:rPr>
        <w:t>（2）清洗液配置及清洗用水</w:t>
      </w:r>
    </w:p>
    <w:p w14:paraId="588F76C1">
      <w:pPr>
        <w:bidi w:val="0"/>
        <w:rPr>
          <w:highlight w:val="none"/>
        </w:rPr>
      </w:pPr>
      <w:r>
        <w:rPr>
          <w:highlight w:val="none"/>
        </w:rPr>
        <w:t>根据生产需要清洗液浓度为5%，本项目清洗剂总用量为</w:t>
      </w:r>
      <w:r>
        <w:rPr>
          <w:rFonts w:hint="eastAsia"/>
          <w:highlight w:val="none"/>
          <w:lang w:val="en-US" w:eastAsia="zh-CN"/>
        </w:rPr>
        <w:t>26.8</w:t>
      </w:r>
      <w:r>
        <w:rPr>
          <w:highlight w:val="none"/>
        </w:rPr>
        <w:t>t/a，则清洗液配置用水为</w:t>
      </w:r>
      <w:r>
        <w:rPr>
          <w:rFonts w:hint="eastAsia"/>
          <w:highlight w:val="none"/>
          <w:lang w:val="en-US" w:eastAsia="zh-CN"/>
        </w:rPr>
        <w:t>509.2</w:t>
      </w:r>
      <w:r>
        <w:rPr>
          <w:highlight w:val="none"/>
        </w:rPr>
        <w:t>t/a，平均日用水量为</w:t>
      </w:r>
      <w:r>
        <w:rPr>
          <w:rFonts w:hint="eastAsia"/>
          <w:highlight w:val="none"/>
          <w:lang w:val="en-US" w:eastAsia="zh-CN"/>
        </w:rPr>
        <w:t>2.04</w:t>
      </w:r>
      <w:r>
        <w:rPr>
          <w:highlight w:val="none"/>
        </w:rPr>
        <w:t>t/d。清洗液循环使用，不考虑梯级利用的重新配置，每15天更换一次，清洗液排放后，对清洗机进行清洗，参考本公司现有相同清洗机清洗用水量为1.48t/次，因此本项目清洗用水单次最大</w:t>
      </w:r>
      <w:r>
        <w:rPr>
          <w:rFonts w:hint="eastAsia"/>
          <w:highlight w:val="none"/>
        </w:rPr>
        <w:t>用水</w:t>
      </w:r>
      <w:r>
        <w:rPr>
          <w:highlight w:val="none"/>
        </w:rPr>
        <w:t>量为1.48t/次，</w:t>
      </w:r>
      <w:r>
        <w:rPr>
          <w:rFonts w:hint="eastAsia"/>
          <w:highlight w:val="none"/>
          <w:lang w:val="en-US" w:eastAsia="zh-CN"/>
        </w:rPr>
        <w:t>24.67</w:t>
      </w:r>
      <w:r>
        <w:rPr>
          <w:highlight w:val="none"/>
        </w:rPr>
        <w:t>t/a。</w:t>
      </w:r>
    </w:p>
    <w:p w14:paraId="208BD250">
      <w:pPr>
        <w:bidi w:val="0"/>
        <w:rPr>
          <w:rFonts w:hint="eastAsia"/>
          <w:highlight w:val="none"/>
        </w:rPr>
      </w:pPr>
      <w:r>
        <w:rPr>
          <w:rFonts w:hint="eastAsia"/>
          <w:highlight w:val="none"/>
        </w:rPr>
        <w:t>本项目总用水量为</w:t>
      </w:r>
      <w:r>
        <w:rPr>
          <w:rFonts w:hint="eastAsia"/>
          <w:highlight w:val="none"/>
          <w:lang w:val="en-US" w:eastAsia="zh-CN"/>
        </w:rPr>
        <w:t>718.7</w:t>
      </w:r>
      <w:r>
        <w:rPr>
          <w:rFonts w:hint="eastAsia"/>
          <w:highlight w:val="none"/>
        </w:rPr>
        <w:t>t/a。</w:t>
      </w:r>
    </w:p>
    <w:p w14:paraId="29AD65FD">
      <w:pPr>
        <w:pStyle w:val="6"/>
        <w:bidi w:val="0"/>
        <w:rPr>
          <w:highlight w:val="none"/>
        </w:rPr>
      </w:pPr>
      <w:r>
        <w:rPr>
          <w:highlight w:val="none"/>
        </w:rPr>
        <w:fldChar w:fldCharType="begin"/>
      </w:r>
      <w:r>
        <w:rPr>
          <w:highlight w:val="none"/>
        </w:rPr>
        <w:instrText xml:space="preserve"> HYPERLINK "file:///F:\\360用户文件\\游戏大厅\\天兆养猪有限公司环评\\1106天兆养猪\\天兆养猪有限公司环评1117.docx" \l "_Toc110400208" </w:instrText>
      </w:r>
      <w:r>
        <w:rPr>
          <w:highlight w:val="none"/>
        </w:rPr>
        <w:fldChar w:fldCharType="separate"/>
      </w:r>
      <w:r>
        <w:rPr>
          <w:highlight w:val="none"/>
        </w:rPr>
        <w:t>3.</w:t>
      </w:r>
      <w:r>
        <w:rPr>
          <w:rFonts w:hint="eastAsia"/>
          <w:highlight w:val="none"/>
          <w:lang w:val="en-US" w:eastAsia="zh-CN"/>
        </w:rPr>
        <w:t>2</w:t>
      </w:r>
      <w:r>
        <w:rPr>
          <w:highlight w:val="none"/>
        </w:rPr>
        <w:t>.6.2排水工程</w:t>
      </w:r>
      <w:r>
        <w:rPr>
          <w:highlight w:val="none"/>
        </w:rPr>
        <w:fldChar w:fldCharType="end"/>
      </w:r>
    </w:p>
    <w:p w14:paraId="6D870112">
      <w:pPr>
        <w:bidi w:val="0"/>
        <w:rPr>
          <w:highlight w:val="none"/>
        </w:rPr>
      </w:pPr>
      <w:r>
        <w:rPr>
          <w:highlight w:val="none"/>
        </w:rPr>
        <w:t>清洗液废水按用量的</w:t>
      </w:r>
      <w:r>
        <w:rPr>
          <w:rFonts w:hint="eastAsia"/>
          <w:highlight w:val="none"/>
        </w:rPr>
        <w:t>80%计，</w:t>
      </w:r>
      <w:r>
        <w:rPr>
          <w:highlight w:val="none"/>
        </w:rPr>
        <w:t>废水量</w:t>
      </w:r>
      <w:r>
        <w:rPr>
          <w:rFonts w:hint="eastAsia"/>
          <w:highlight w:val="none"/>
          <w:lang w:val="en-US" w:eastAsia="zh-CN"/>
        </w:rPr>
        <w:t>总计</w:t>
      </w:r>
      <w:r>
        <w:rPr>
          <w:highlight w:val="none"/>
        </w:rPr>
        <w:t>为</w:t>
      </w:r>
      <w:r>
        <w:rPr>
          <w:rFonts w:hint="eastAsia"/>
          <w:highlight w:val="none"/>
          <w:lang w:val="en-US" w:eastAsia="zh-CN"/>
        </w:rPr>
        <w:t>448.5</w:t>
      </w:r>
      <w:r>
        <w:rPr>
          <w:highlight w:val="none"/>
        </w:rPr>
        <w:t>t/a，平均日排放量为</w:t>
      </w:r>
      <w:r>
        <w:rPr>
          <w:rFonts w:hint="eastAsia"/>
          <w:highlight w:val="none"/>
          <w:lang w:val="en-US" w:eastAsia="zh-CN"/>
        </w:rPr>
        <w:t>1.80</w:t>
      </w:r>
      <w:r>
        <w:rPr>
          <w:rFonts w:hint="eastAsia"/>
          <w:highlight w:val="none"/>
        </w:rPr>
        <w:t>t/d，</w:t>
      </w:r>
      <w:r>
        <w:rPr>
          <w:highlight w:val="none"/>
        </w:rPr>
        <w:t>间歇性排放，排放周期15天，利用</w:t>
      </w:r>
      <w:r>
        <w:rPr>
          <w:rFonts w:hint="eastAsia"/>
          <w:highlight w:val="none"/>
          <w:lang w:val="en-US" w:eastAsia="zh-CN"/>
        </w:rPr>
        <w:t>现有</w:t>
      </w:r>
      <w:r>
        <w:rPr>
          <w:highlight w:val="none"/>
        </w:rPr>
        <w:t>4号联合厂房内污水处理站，处理达标后排入</w:t>
      </w:r>
      <w:r>
        <w:rPr>
          <w:rFonts w:hint="eastAsia"/>
          <w:highlight w:val="none"/>
          <w:lang w:val="en-US" w:eastAsia="zh-CN"/>
        </w:rPr>
        <w:t>哈尔滨市朝阳水质净化厂</w:t>
      </w:r>
      <w:r>
        <w:rPr>
          <w:highlight w:val="none"/>
        </w:rPr>
        <w:t>，处理达标后排入</w:t>
      </w:r>
      <w:r>
        <w:rPr>
          <w:rFonts w:hint="eastAsia"/>
          <w:highlight w:val="none"/>
          <w:lang w:val="en-US" w:eastAsia="zh-CN"/>
        </w:rPr>
        <w:t>马家沟</w:t>
      </w:r>
      <w:r>
        <w:rPr>
          <w:highlight w:val="none"/>
        </w:rPr>
        <w:t>河，最终汇入松花江。</w:t>
      </w:r>
    </w:p>
    <w:p w14:paraId="62647650">
      <w:pPr>
        <w:bidi w:val="0"/>
        <w:rPr>
          <w:highlight w:val="none"/>
        </w:rPr>
      </w:pPr>
      <w:r>
        <w:rPr>
          <w:highlight w:val="none"/>
        </w:rPr>
        <w:t>高峰期排水情况：间歇性排放周期为</w:t>
      </w:r>
      <w:r>
        <w:rPr>
          <w:rFonts w:hint="eastAsia"/>
          <w:highlight w:val="none"/>
        </w:rPr>
        <w:t>15天一次，</w:t>
      </w:r>
      <w:r>
        <w:rPr>
          <w:highlight w:val="none"/>
        </w:rPr>
        <w:t>折合全年排放</w:t>
      </w:r>
      <w:r>
        <w:rPr>
          <w:rFonts w:hint="eastAsia"/>
          <w:highlight w:val="none"/>
        </w:rPr>
        <w:t>17次，一次排放2天，高峰期排水量为</w:t>
      </w:r>
      <w:r>
        <w:rPr>
          <w:rFonts w:hint="eastAsia"/>
          <w:highlight w:val="none"/>
          <w:lang w:val="en-US" w:eastAsia="zh-CN"/>
        </w:rPr>
        <w:t>13.5</w:t>
      </w:r>
      <w:r>
        <w:rPr>
          <w:rFonts w:hint="eastAsia"/>
          <w:highlight w:val="none"/>
        </w:rPr>
        <w:t>t/d。</w:t>
      </w:r>
    </w:p>
    <w:p w14:paraId="72D861C3">
      <w:pPr>
        <w:bidi w:val="0"/>
        <w:rPr>
          <w:highlight w:val="none"/>
        </w:rPr>
      </w:pPr>
      <w:r>
        <w:rPr>
          <w:rFonts w:hint="eastAsia"/>
          <w:highlight w:val="none"/>
          <w:lang w:val="en-US" w:eastAsia="zh-CN"/>
        </w:rPr>
        <w:t>切削液废水</w:t>
      </w:r>
      <w:r>
        <w:rPr>
          <w:highlight w:val="none"/>
        </w:rPr>
        <w:t>按用量的</w:t>
      </w:r>
      <w:r>
        <w:rPr>
          <w:rFonts w:hint="eastAsia"/>
          <w:highlight w:val="none"/>
        </w:rPr>
        <w:t>80%计，废水量</w:t>
      </w:r>
      <w:r>
        <w:rPr>
          <w:rFonts w:hint="eastAsia"/>
          <w:highlight w:val="none"/>
          <w:lang w:val="en-US" w:eastAsia="zh-CN"/>
        </w:rPr>
        <w:t>总计</w:t>
      </w:r>
      <w:r>
        <w:rPr>
          <w:rFonts w:hint="eastAsia"/>
          <w:highlight w:val="none"/>
        </w:rPr>
        <w:t>为</w:t>
      </w:r>
      <w:r>
        <w:rPr>
          <w:rFonts w:hint="eastAsia"/>
          <w:highlight w:val="none"/>
          <w:lang w:val="en-US" w:eastAsia="zh-CN"/>
        </w:rPr>
        <w:t>160</w:t>
      </w:r>
      <w:r>
        <w:rPr>
          <w:highlight w:val="none"/>
        </w:rPr>
        <w:t>t/a，平均日排放量为</w:t>
      </w:r>
      <w:r>
        <w:rPr>
          <w:rFonts w:hint="eastAsia"/>
          <w:highlight w:val="none"/>
          <w:lang w:val="en-US" w:eastAsia="zh-CN"/>
        </w:rPr>
        <w:t>0.66</w:t>
      </w:r>
      <w:r>
        <w:rPr>
          <w:rFonts w:hint="eastAsia"/>
          <w:highlight w:val="none"/>
        </w:rPr>
        <w:t>t/d，</w:t>
      </w:r>
      <w:r>
        <w:rPr>
          <w:highlight w:val="none"/>
        </w:rPr>
        <w:t>间歇性排放，</w:t>
      </w:r>
      <w:r>
        <w:rPr>
          <w:rFonts w:hint="eastAsia"/>
          <w:highlight w:val="none"/>
        </w:rPr>
        <w:t>每年</w:t>
      </w:r>
      <w:r>
        <w:rPr>
          <w:highlight w:val="none"/>
        </w:rPr>
        <w:t>排放一次</w:t>
      </w:r>
      <w:r>
        <w:rPr>
          <w:rFonts w:hint="eastAsia"/>
          <w:highlight w:val="none"/>
          <w:lang w:eastAsia="zh-CN"/>
        </w:rPr>
        <w:t>，</w:t>
      </w:r>
      <w:r>
        <w:rPr>
          <w:highlight w:val="none"/>
        </w:rPr>
        <w:t>利用</w:t>
      </w:r>
      <w:r>
        <w:rPr>
          <w:rFonts w:hint="eastAsia"/>
          <w:highlight w:val="none"/>
          <w:lang w:val="en-US" w:eastAsia="zh-CN"/>
        </w:rPr>
        <w:t>现有</w:t>
      </w:r>
      <w:r>
        <w:rPr>
          <w:highlight w:val="none"/>
        </w:rPr>
        <w:t>4号联合厂房内污水处理站，处理达标后排入</w:t>
      </w:r>
      <w:r>
        <w:rPr>
          <w:rFonts w:hint="eastAsia"/>
          <w:highlight w:val="none"/>
          <w:lang w:val="en-US" w:eastAsia="zh-CN"/>
        </w:rPr>
        <w:t>哈尔滨市朝阳水质净化厂</w:t>
      </w:r>
      <w:r>
        <w:rPr>
          <w:highlight w:val="none"/>
        </w:rPr>
        <w:t>，处理达标后排入</w:t>
      </w:r>
      <w:r>
        <w:rPr>
          <w:rFonts w:hint="eastAsia"/>
          <w:highlight w:val="none"/>
          <w:lang w:val="en-US" w:eastAsia="zh-CN"/>
        </w:rPr>
        <w:t>马家沟</w:t>
      </w:r>
      <w:r>
        <w:rPr>
          <w:highlight w:val="none"/>
        </w:rPr>
        <w:t>河，最终汇入松花江。</w:t>
      </w:r>
    </w:p>
    <w:p w14:paraId="18E598F1">
      <w:pPr>
        <w:bidi w:val="0"/>
        <w:rPr>
          <w:highlight w:val="none"/>
        </w:rPr>
      </w:pPr>
      <w:r>
        <w:rPr>
          <w:highlight w:val="none"/>
        </w:rPr>
        <w:t>高峰期排水情况：间歇性排放周期为</w:t>
      </w:r>
      <w:r>
        <w:rPr>
          <w:rFonts w:hint="eastAsia"/>
          <w:highlight w:val="none"/>
        </w:rPr>
        <w:t>一年一次，一次排放7天，高峰期排水量为</w:t>
      </w:r>
      <w:r>
        <w:rPr>
          <w:rFonts w:hint="eastAsia"/>
          <w:highlight w:val="none"/>
          <w:lang w:val="en-US" w:eastAsia="zh-CN"/>
        </w:rPr>
        <w:t>22.86</w:t>
      </w:r>
      <w:r>
        <w:rPr>
          <w:rFonts w:hint="eastAsia"/>
          <w:highlight w:val="none"/>
        </w:rPr>
        <w:t>t/d。</w:t>
      </w:r>
    </w:p>
    <w:p w14:paraId="0A5F2410">
      <w:pPr>
        <w:bidi w:val="0"/>
        <w:rPr>
          <w:highlight w:val="none"/>
        </w:rPr>
      </w:pPr>
      <w:r>
        <w:rPr>
          <w:highlight w:val="none"/>
        </w:rPr>
        <w:t>两种生产废水不同时排放，因此高峰期最大排水情况为</w:t>
      </w:r>
      <w:r>
        <w:rPr>
          <w:rFonts w:hint="eastAsia"/>
          <w:highlight w:val="none"/>
          <w:lang w:val="en-US" w:eastAsia="zh-CN"/>
        </w:rPr>
        <w:t>切削液废水</w:t>
      </w:r>
      <w:r>
        <w:rPr>
          <w:highlight w:val="none"/>
        </w:rPr>
        <w:t>排放。</w:t>
      </w:r>
    </w:p>
    <w:p w14:paraId="352E7967">
      <w:pPr>
        <w:keepNext w:val="0"/>
        <w:keepLines w:val="0"/>
        <w:pageBreakBefore w:val="0"/>
        <w:widowControl w:val="0"/>
        <w:kinsoku/>
        <w:wordWrap w:val="0"/>
        <w:overflowPunct/>
        <w:topLinePunct w:val="0"/>
        <w:autoSpaceDE/>
        <w:autoSpaceDN/>
        <w:bidi w:val="0"/>
        <w:adjustRightInd w:val="0"/>
        <w:snapToGrid w:val="0"/>
        <w:spacing w:line="240" w:lineRule="auto"/>
        <w:ind w:firstLine="0" w:firstLineChars="0"/>
        <w:jc w:val="left"/>
        <w:textAlignment w:val="auto"/>
        <w:rPr>
          <w:highlight w:val="none"/>
        </w:rPr>
      </w:pPr>
      <w:r>
        <w:rPr>
          <w:rFonts w:ascii="Times New Roman" w:hAnsi="Times New Roman" w:cs="Times New Roman" w:eastAsiaTheme="minorEastAsia"/>
          <w:kern w:val="0"/>
          <w:sz w:val="24"/>
          <w:highlight w:val="none"/>
        </w:rPr>
        <w:pict>
          <v:group id="_x0000_s2318" o:spid="_x0000_s2318" o:spt="203" style="height:235.2pt;width:440.3pt;" coordorigin="1900,1508" coordsize="8806,4704" editas="canvas">
            <o:lock v:ext="edit"/>
            <v:shape id="_x0000_s2319" o:spid="_x0000_s2319" o:spt="75" type="#_x0000_t75" style="position:absolute;left:1900;top:1508;height:4704;width:8806;" fillcolor="#FFFFFF" filled="t" stroked="t" coordsize="21600,21600">
              <v:fill on="t" color2="#FFFFFF" focussize="0,0"/>
              <v:stroke color="#000000"/>
              <v:imagedata o:title=""/>
              <o:lock v:ext="edit" text="t" aspectratio="t"/>
            </v:shape>
            <v:rect id="_x0000_s2320" o:spid="_x0000_s2320" o:spt="1" style="position:absolute;left:1900;top:3976;height:450;width:945;" fillcolor="#FFFFFF" filled="t" stroked="t" coordsize="21600,21600">
              <v:path/>
              <v:fill on="t" color2="#FFFFFF" focussize="0,0"/>
              <v:stroke color="#000000" joinstyle="miter"/>
              <v:imagedata o:title=""/>
              <o:lock v:ext="edit" aspectratio="f"/>
              <v:textbox>
                <w:txbxContent>
                  <w:p w14:paraId="0C8A3CFA">
                    <w:pPr>
                      <w:wordWrap/>
                      <w:adjustRightInd/>
                      <w:snapToGrid/>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新鲜水</w:t>
                    </w:r>
                  </w:p>
                </w:txbxContent>
              </v:textbox>
            </v:rect>
            <v:shape id="_x0000_s2321" o:spid="_x0000_s2321" o:spt="32" type="#_x0000_t32" style="position:absolute;left:2845;top:4201;height:1;width:590;" filled="f" stroked="t" coordsize="21600,21600">
              <v:path arrowok="t"/>
              <v:fill on="f" focussize="0,0"/>
              <v:stroke color="#000000" endarrow="block"/>
              <v:imagedata o:title=""/>
              <o:lock v:ext="edit" aspectratio="f"/>
            </v:shape>
            <v:shape id="_x0000_s2322" o:spid="_x0000_s2322" o:spt="32" type="#_x0000_t32" style="position:absolute;left:3430;top:3077;height:2187;width:0;" filled="f" stroked="t" coordsize="21600,21600">
              <v:path arrowok="t"/>
              <v:fill on="f" focussize="0,0"/>
              <v:stroke color="#000000"/>
              <v:imagedata o:title=""/>
              <o:lock v:ext="edit" aspectratio="f"/>
            </v:shape>
            <v:rect id="_x0000_s2326" o:spid="_x0000_s2326" o:spt="1" style="position:absolute;left:9517;top:2776;height:3348;width:1085;" fillcolor="#FFFFFF" filled="t" stroked="t" coordsize="21600,21600">
              <v:path/>
              <v:fill on="t" color2="#FFFFFF" focussize="0,0"/>
              <v:stroke color="#000000" joinstyle="miter"/>
              <v:imagedata o:title=""/>
              <o:lock v:ext="edit" aspectratio="f"/>
              <v:textbox>
                <w:txbxContent>
                  <w:p w14:paraId="218D3201">
                    <w:pPr>
                      <w:wordWrap/>
                      <w:adjustRightInd/>
                      <w:snapToGrid/>
                      <w:spacing w:line="240" w:lineRule="auto"/>
                      <w:ind w:firstLine="0" w:firstLineChars="0"/>
                      <w:rPr>
                        <w:rFonts w:ascii="Times New Roman" w:hAnsi="Times New Roman" w:eastAsia="宋体" w:cs="Times New Roman"/>
                        <w:sz w:val="21"/>
                      </w:rPr>
                    </w:pPr>
                    <w:r>
                      <w:rPr>
                        <w:rFonts w:hint="eastAsia" w:ascii="Times New Roman" w:hAnsi="Times New Roman" w:eastAsia="宋体" w:cs="Times New Roman"/>
                        <w:sz w:val="21"/>
                      </w:rPr>
                      <w:t>排入</w:t>
                    </w:r>
                    <w:r>
                      <w:rPr>
                        <w:rFonts w:hint="eastAsia" w:ascii="Times New Roman" w:hAnsi="Times New Roman" w:eastAsia="宋体" w:cs="Times New Roman"/>
                        <w:sz w:val="21"/>
                        <w:lang w:val="en-US" w:eastAsia="zh-CN"/>
                      </w:rPr>
                      <w:t>哈尔滨市朝阳水质净化厂</w:t>
                    </w:r>
                    <w:r>
                      <w:rPr>
                        <w:rFonts w:hint="eastAsia" w:ascii="Times New Roman" w:hAnsi="Times New Roman" w:eastAsia="宋体" w:cs="Times New Roman"/>
                        <w:sz w:val="21"/>
                      </w:rPr>
                      <w:t>理达标后排入</w:t>
                    </w:r>
                    <w:r>
                      <w:rPr>
                        <w:rFonts w:hint="eastAsia" w:ascii="Times New Roman" w:hAnsi="Times New Roman" w:eastAsia="宋体" w:cs="Times New Roman"/>
                        <w:sz w:val="21"/>
                        <w:lang w:val="en-US" w:eastAsia="zh-CN"/>
                      </w:rPr>
                      <w:t>马家沟</w:t>
                    </w:r>
                    <w:r>
                      <w:rPr>
                        <w:rFonts w:hint="eastAsia" w:ascii="Times New Roman" w:hAnsi="Times New Roman" w:eastAsia="宋体" w:cs="Times New Roman"/>
                        <w:sz w:val="21"/>
                      </w:rPr>
                      <w:t>河，最终汇入松花江</w:t>
                    </w:r>
                  </w:p>
                </w:txbxContent>
              </v:textbox>
            </v:rect>
            <v:shape id="_x0000_s2331" o:spid="_x0000_s2331" o:spt="32" type="#_x0000_t32" style="position:absolute;left:3412;top:3098;height:1;width:650;" filled="f" stroked="t" coordsize="21600,21600">
              <v:path arrowok="t"/>
              <v:fill on="f" focussize="0,0"/>
              <v:stroke color="#000000" endarrow="block"/>
              <v:imagedata o:title=""/>
              <o:lock v:ext="edit" aspectratio="f"/>
            </v:shape>
            <v:rect id="_x0000_s2332" o:spid="_x0000_s2332" o:spt="1" style="position:absolute;left:4060;top:2941;height:450;width:1410;" fillcolor="#FFFFFF" filled="t" stroked="t" coordsize="21600,21600">
              <v:path/>
              <v:fill on="t" color2="#FFFFFF" focussize="0,0"/>
              <v:stroke color="#000000" joinstyle="miter"/>
              <v:imagedata o:title=""/>
              <o:lock v:ext="edit" aspectratio="f"/>
              <v:textbox>
                <w:txbxContent>
                  <w:p w14:paraId="3BB62DC1">
                    <w:pPr>
                      <w:wordWrap/>
                      <w:adjustRightInd/>
                      <w:snapToGrid/>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切屑液配置</w:t>
                    </w:r>
                  </w:p>
                </w:txbxContent>
              </v:textbox>
            </v:rect>
            <v:shape id="_x0000_s2333" o:spid="_x0000_s2333" o:spt="32" type="#_x0000_t32" style="position:absolute;left:3429;top:5272;height:1;width:594;" filled="f" stroked="t" coordsize="21600,21600">
              <v:path arrowok="t"/>
              <v:fill on="f" focussize="0,0"/>
              <v:stroke color="#000000" endarrow="block"/>
              <v:imagedata o:title=""/>
              <o:lock v:ext="edit" aspectratio="f"/>
            </v:shape>
            <v:rect id="_x0000_s2334" o:spid="_x0000_s2334" o:spt="1" style="position:absolute;left:4028;top:5006;height:450;width:1448;" fillcolor="#FFFFFF" filled="t" stroked="t" coordsize="21600,21600">
              <v:path/>
              <v:fill on="t" color2="#FFFFFF" focussize="0,0"/>
              <v:stroke color="#000000" joinstyle="miter"/>
              <v:imagedata o:title=""/>
              <o:lock v:ext="edit" aspectratio="f"/>
              <v:textbox>
                <w:txbxContent>
                  <w:p w14:paraId="554562B9">
                    <w:pPr>
                      <w:wordWrap/>
                      <w:adjustRightInd/>
                      <w:snapToGrid/>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清洗液配置</w:t>
                    </w:r>
                  </w:p>
                </w:txbxContent>
              </v:textbox>
            </v:rect>
            <v:shape id="_x0000_s2335" o:spid="_x0000_s2335" o:spt="32" type="#_x0000_t32" style="position:absolute;left:7333;top:5228;height:1;width:1084;" filled="f" stroked="t" coordsize="21600,21600">
              <v:path arrowok="t"/>
              <v:fill on="f" focussize="0,0"/>
              <v:stroke color="#000000" endarrow="block"/>
              <v:imagedata o:title=""/>
              <o:lock v:ext="edit" aspectratio="f"/>
            </v:shape>
            <v:rect id="_x0000_s2336" o:spid="_x0000_s2336" o:spt="1" style="position:absolute;left:8418;top:2804;height:3205;width:470;" fillcolor="#FFFFFF" filled="t" stroked="t" coordsize="21600,21600">
              <v:path/>
              <v:fill on="t" color2="#FFFFFF" focussize="0,0"/>
              <v:stroke color="#000000" joinstyle="miter"/>
              <v:imagedata o:title=""/>
              <o:lock v:ext="edit" aspectratio="f"/>
              <v:textbox>
                <w:txbxContent>
                  <w:p w14:paraId="63D22A28">
                    <w:pPr>
                      <w:wordWrap/>
                      <w:adjustRightInd/>
                      <w:snapToGrid/>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4号厂房</w:t>
                    </w:r>
                  </w:p>
                  <w:p w14:paraId="5F535D88">
                    <w:pPr>
                      <w:wordWrap/>
                      <w:adjustRightInd/>
                      <w:snapToGrid/>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污水处理站</w:t>
                    </w:r>
                  </w:p>
                </w:txbxContent>
              </v:textbox>
            </v:rect>
            <v:shape id="_x0000_s2337" o:spid="_x0000_s2337" o:spt="32" type="#_x0000_t32" style="position:absolute;left:8876;top:4714;height:1;width:665;" filled="f" stroked="t" coordsize="21600,21600">
              <v:path arrowok="t"/>
              <v:fill on="f" focussize="0,0"/>
              <v:stroke color="#000000" endarrow="block"/>
              <v:imagedata o:title=""/>
              <o:lock v:ext="edit" aspectratio="f"/>
            </v:shape>
            <v:rect id="_x0000_s2338" o:spid="_x0000_s2338" o:spt="1" style="position:absolute;left:7141;top:1806;height:391;width:801;" filled="f" stroked="f" coordsize="21600,21600">
              <v:path/>
              <v:fill on="f" focussize="0,0"/>
              <v:stroke on="f"/>
              <v:imagedata o:title=""/>
              <o:lock v:ext="edit" aspectratio="f"/>
              <v:textbox>
                <w:txbxContent>
                  <w:p w14:paraId="51C72F87">
                    <w:pPr>
                      <w:wordWrap/>
                      <w:adjustRightInd/>
                      <w:snapToGrid/>
                      <w:spacing w:line="240" w:lineRule="auto"/>
                      <w:ind w:firstLine="0" w:firstLineChars="0"/>
                      <w:jc w:val="center"/>
                      <w:rPr>
                        <w:rFonts w:hint="default" w:ascii="Times New Roman" w:hAnsi="Times New Roman" w:eastAsia="宋体" w:cs="Times New Roman"/>
                        <w:sz w:val="21"/>
                        <w:lang w:val="en-US" w:eastAsia="zh-CN"/>
                      </w:rPr>
                    </w:pPr>
                    <w:r>
                      <w:rPr>
                        <w:rFonts w:hint="eastAsia" w:ascii="Times New Roman" w:hAnsi="Times New Roman" w:eastAsia="宋体" w:cs="Times New Roman"/>
                        <w:sz w:val="21"/>
                      </w:rPr>
                      <w:t>0.</w:t>
                    </w:r>
                    <w:r>
                      <w:rPr>
                        <w:rFonts w:hint="eastAsia" w:cs="Times New Roman"/>
                        <w:sz w:val="21"/>
                        <w:lang w:val="en-US" w:eastAsia="zh-CN"/>
                      </w:rPr>
                      <w:t>16</w:t>
                    </w:r>
                  </w:p>
                </w:txbxContent>
              </v:textbox>
            </v:rect>
            <v:rect id="_x0000_s2339" o:spid="_x0000_s2339" o:spt="1" style="position:absolute;left:7033;top:1508;height:391;width:921;" filled="f" stroked="f" coordsize="21600,21600">
              <v:path/>
              <v:fill on="f" focussize="0,0"/>
              <v:stroke on="f"/>
              <v:imagedata o:title=""/>
              <o:lock v:ext="edit" aspectratio="f"/>
              <v:textbox>
                <w:txbxContent>
                  <w:p w14:paraId="1A1BDFDD">
                    <w:pPr>
                      <w:wordWrap/>
                      <w:adjustRightInd/>
                      <w:snapToGrid/>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损耗</w:t>
                    </w:r>
                  </w:p>
                </w:txbxContent>
              </v:textbox>
            </v:rect>
            <v:rect id="_x0000_s2340" o:spid="_x0000_s2340" o:spt="1" style="position:absolute;left:6455;top:3711;height:391;width:722;" filled="f" stroked="f" coordsize="21600,21600">
              <v:path/>
              <v:fill on="f" focussize="0,0"/>
              <v:stroke on="f"/>
              <v:imagedata o:title=""/>
              <o:lock v:ext="edit" aspectratio="f"/>
              <v:textbox>
                <w:txbxContent>
                  <w:p w14:paraId="290140C9">
                    <w:pPr>
                      <w:wordWrap/>
                      <w:adjustRightInd/>
                      <w:snapToGrid/>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损耗</w:t>
                    </w:r>
                  </w:p>
                </w:txbxContent>
              </v:textbox>
            </v:rect>
            <v:shape id="_x0000_s2342" o:spid="_x0000_s2342" o:spt="32" type="#_x0000_t32" style="position:absolute;left:6515;top:4986;flip:y;height:295;width:269;" filled="f" stroked="t" coordsize="21600,21600">
              <v:path arrowok="t"/>
              <v:fill on="f" focussize="0,0"/>
              <v:stroke color="#000000" dashstyle="dash" endarrow="block"/>
              <v:imagedata o:title=""/>
              <o:lock v:ext="edit" aspectratio="f"/>
            </v:shape>
            <v:rect id="_x0000_s2343" o:spid="_x0000_s2343" o:spt="1" style="position:absolute;left:6568;top:4013;height:391;width:843;" filled="f" stroked="f" coordsize="21600,21600">
              <v:path/>
              <v:fill on="f" focussize="0,0"/>
              <v:stroke on="f"/>
              <v:imagedata o:title=""/>
              <o:lock v:ext="edit" aspectratio="f"/>
              <v:textbox>
                <w:txbxContent>
                  <w:p w14:paraId="384F5E7A">
                    <w:pPr>
                      <w:wordWrap/>
                      <w:adjustRightInd/>
                      <w:snapToGrid/>
                      <w:spacing w:line="240" w:lineRule="auto"/>
                      <w:ind w:firstLine="0" w:firstLineChars="0"/>
                      <w:jc w:val="center"/>
                      <w:rPr>
                        <w:rFonts w:hint="default" w:ascii="Times New Roman" w:hAnsi="Times New Roman" w:eastAsia="宋体" w:cs="Times New Roman"/>
                        <w:sz w:val="21"/>
                        <w:lang w:val="en-US" w:eastAsia="zh-CN"/>
                      </w:rPr>
                    </w:pPr>
                    <w:r>
                      <w:rPr>
                        <w:rFonts w:hint="eastAsia" w:ascii="Times New Roman" w:hAnsi="Times New Roman" w:eastAsia="宋体" w:cs="Times New Roman"/>
                        <w:sz w:val="21"/>
                      </w:rPr>
                      <w:t>0.</w:t>
                    </w:r>
                    <w:r>
                      <w:rPr>
                        <w:rFonts w:hint="eastAsia" w:cs="Times New Roman"/>
                        <w:sz w:val="21"/>
                        <w:lang w:val="en-US" w:eastAsia="zh-CN"/>
                      </w:rPr>
                      <w:t>45</w:t>
                    </w:r>
                  </w:p>
                </w:txbxContent>
              </v:textbox>
            </v:rect>
            <v:rect id="_x0000_s2344" o:spid="_x0000_s2344" o:spt="1" style="position:absolute;left:3255;top:2710;height:391;width:847;" filled="f" stroked="f" coordsize="21600,21600">
              <v:path/>
              <v:fill on="f" focussize="0,0"/>
              <v:stroke on="f"/>
              <v:imagedata o:title=""/>
              <o:lock v:ext="edit" aspectratio="f"/>
              <v:textbox>
                <w:txbxContent>
                  <w:p w14:paraId="647BB824">
                    <w:pPr>
                      <w:wordWrap/>
                      <w:adjustRightInd/>
                      <w:snapToGrid/>
                      <w:spacing w:line="240" w:lineRule="auto"/>
                      <w:ind w:firstLine="0" w:firstLineChars="0"/>
                      <w:jc w:val="center"/>
                      <w:rPr>
                        <w:rFonts w:hint="default" w:ascii="Times New Roman" w:hAnsi="Times New Roman" w:eastAsia="宋体" w:cs="Times New Roman"/>
                        <w:sz w:val="21"/>
                        <w:lang w:val="en-US" w:eastAsia="zh-CN"/>
                      </w:rPr>
                    </w:pPr>
                    <w:r>
                      <w:rPr>
                        <w:rFonts w:hint="eastAsia" w:ascii="Times New Roman" w:hAnsi="Times New Roman" w:eastAsia="宋体" w:cs="Times New Roman"/>
                        <w:sz w:val="21"/>
                        <w:lang w:val="en-US" w:eastAsia="zh-CN"/>
                      </w:rPr>
                      <w:t>0.</w:t>
                    </w:r>
                    <w:r>
                      <w:rPr>
                        <w:rFonts w:hint="eastAsia" w:cs="Times New Roman"/>
                        <w:sz w:val="21"/>
                        <w:lang w:val="en-US" w:eastAsia="zh-CN"/>
                      </w:rPr>
                      <w:t>70</w:t>
                    </w:r>
                  </w:p>
                </w:txbxContent>
              </v:textbox>
            </v:rect>
            <v:rect id="_x0000_s2346" o:spid="_x0000_s2346" o:spt="1" style="position:absolute;left:2693;top:3787;height:420;width:858;" filled="f" stroked="f" coordsize="21600,21600">
              <v:path/>
              <v:fill on="f" focussize="0,0"/>
              <v:stroke on="f"/>
              <v:imagedata o:title=""/>
              <o:lock v:ext="edit" aspectratio="f"/>
              <v:textbox>
                <w:txbxContent>
                  <w:p w14:paraId="7BA4F720">
                    <w:pPr>
                      <w:wordWrap/>
                      <w:adjustRightInd/>
                      <w:snapToGrid/>
                      <w:spacing w:line="240" w:lineRule="auto"/>
                      <w:ind w:firstLine="0" w:firstLineChars="0"/>
                      <w:jc w:val="center"/>
                      <w:rPr>
                        <w:rFonts w:hint="default" w:ascii="Times New Roman" w:hAnsi="Times New Roman" w:eastAsia="宋体" w:cs="Times New Roman"/>
                        <w:sz w:val="21"/>
                        <w:lang w:val="en-US" w:eastAsia="zh-CN"/>
                      </w:rPr>
                    </w:pPr>
                    <w:r>
                      <w:rPr>
                        <w:rFonts w:hint="eastAsia" w:cs="Times New Roman"/>
                        <w:sz w:val="21"/>
                        <w:lang w:val="en-US" w:eastAsia="zh-CN"/>
                      </w:rPr>
                      <w:t>2.74</w:t>
                    </w:r>
                  </w:p>
                </w:txbxContent>
              </v:textbox>
            </v:rect>
            <v:rect id="_x0000_s2347" o:spid="_x0000_s2347" o:spt="1" style="position:absolute;left:3280;top:4867;height:390;width:871;" filled="f" stroked="f" coordsize="21600,21600">
              <v:path/>
              <v:fill on="f" focussize="0,0"/>
              <v:stroke on="f"/>
              <v:imagedata o:title=""/>
              <o:lock v:ext="edit" aspectratio="f"/>
              <v:textbox>
                <w:txbxContent>
                  <w:p w14:paraId="02C58613">
                    <w:pPr>
                      <w:wordWrap/>
                      <w:adjustRightInd/>
                      <w:snapToGrid/>
                      <w:spacing w:line="240" w:lineRule="auto"/>
                      <w:ind w:firstLine="0" w:firstLineChars="0"/>
                      <w:jc w:val="center"/>
                      <w:rPr>
                        <w:rFonts w:hint="default" w:ascii="Times New Roman" w:hAnsi="Times New Roman" w:eastAsia="宋体" w:cs="Times New Roman"/>
                        <w:sz w:val="21"/>
                        <w:lang w:val="en-US" w:eastAsia="zh-CN"/>
                      </w:rPr>
                    </w:pPr>
                    <w:r>
                      <w:rPr>
                        <w:rFonts w:hint="eastAsia" w:cs="Times New Roman"/>
                        <w:sz w:val="21"/>
                        <w:lang w:val="en-US" w:eastAsia="zh-CN"/>
                      </w:rPr>
                      <w:t>2.04</w:t>
                    </w:r>
                  </w:p>
                </w:txbxContent>
              </v:textbox>
            </v:rect>
            <v:rect id="_x0000_s2348" o:spid="_x0000_s2348" o:spt="1" style="position:absolute;left:7657;top:4859;flip:y;height:411;width:706;" filled="f" stroked="f" coordsize="21600,21600">
              <v:path/>
              <v:fill on="f" focussize="0,0"/>
              <v:stroke on="f"/>
              <v:imagedata o:title=""/>
              <o:lock v:ext="edit" aspectratio="f"/>
              <v:textbox>
                <w:txbxContent>
                  <w:p w14:paraId="20B7CD48">
                    <w:pPr>
                      <w:wordWrap/>
                      <w:adjustRightInd/>
                      <w:snapToGrid/>
                      <w:spacing w:line="240" w:lineRule="auto"/>
                      <w:ind w:firstLine="0" w:firstLineChars="0"/>
                      <w:jc w:val="center"/>
                      <w:rPr>
                        <w:rFonts w:hint="default" w:ascii="Times New Roman" w:hAnsi="Times New Roman" w:eastAsia="宋体" w:cs="Times New Roman"/>
                        <w:sz w:val="21"/>
                        <w:lang w:val="en-US" w:eastAsia="zh-CN"/>
                      </w:rPr>
                    </w:pPr>
                    <w:r>
                      <w:rPr>
                        <w:rFonts w:hint="eastAsia" w:cs="Times New Roman"/>
                        <w:sz w:val="21"/>
                        <w:lang w:val="en-US" w:eastAsia="zh-CN"/>
                      </w:rPr>
                      <w:t>1.8</w:t>
                    </w:r>
                  </w:p>
                </w:txbxContent>
              </v:textbox>
            </v:rect>
            <v:rect id="_x0000_s2349" o:spid="_x0000_s2349" o:spt="1" style="position:absolute;left:7734;top:2805;height:391;width:804;" filled="f" stroked="f" coordsize="21600,21600">
              <v:path/>
              <v:fill on="f" focussize="0,0"/>
              <v:stroke on="f"/>
              <v:imagedata o:title=""/>
              <o:lock v:ext="edit" aspectratio="f"/>
              <v:textbox>
                <w:txbxContent>
                  <w:p w14:paraId="7DC1EB98">
                    <w:pPr>
                      <w:wordWrap/>
                      <w:adjustRightInd/>
                      <w:snapToGrid/>
                      <w:spacing w:line="240" w:lineRule="auto"/>
                      <w:ind w:firstLine="0" w:firstLineChars="0"/>
                      <w:jc w:val="center"/>
                      <w:rPr>
                        <w:rFonts w:hint="default" w:ascii="Times New Roman" w:hAnsi="Times New Roman" w:eastAsia="宋体" w:cs="Times New Roman"/>
                        <w:sz w:val="21"/>
                        <w:lang w:val="en-US" w:eastAsia="zh-CN"/>
                      </w:rPr>
                    </w:pPr>
                    <w:r>
                      <w:rPr>
                        <w:rFonts w:hint="eastAsia" w:ascii="Times New Roman" w:hAnsi="Times New Roman" w:eastAsia="宋体" w:cs="Times New Roman"/>
                        <w:sz w:val="21"/>
                        <w:lang w:val="en-US" w:eastAsia="zh-CN"/>
                      </w:rPr>
                      <w:t>0.</w:t>
                    </w:r>
                    <w:r>
                      <w:rPr>
                        <w:rFonts w:hint="eastAsia" w:cs="Times New Roman"/>
                        <w:sz w:val="21"/>
                        <w:lang w:val="en-US" w:eastAsia="zh-CN"/>
                      </w:rPr>
                      <w:t>64</w:t>
                    </w:r>
                  </w:p>
                </w:txbxContent>
              </v:textbox>
            </v:rect>
            <v:rect id="_x0000_s2350" o:spid="_x0000_s2350" o:spt="1" style="position:absolute;left:5342;top:4874;height:391;width:847;" filled="f" stroked="f" coordsize="21600,21600">
              <v:path/>
              <v:fill on="f" focussize="0,0"/>
              <v:stroke on="f"/>
              <v:imagedata o:title=""/>
              <o:lock v:ext="edit" aspectratio="f"/>
              <v:textbox>
                <w:txbxContent>
                  <w:p w14:paraId="5733AFCB">
                    <w:pPr>
                      <w:wordWrap/>
                      <w:adjustRightInd/>
                      <w:snapToGrid/>
                      <w:spacing w:line="240" w:lineRule="auto"/>
                      <w:ind w:firstLine="0" w:firstLineChars="0"/>
                      <w:jc w:val="center"/>
                      <w:rPr>
                        <w:rFonts w:hint="default" w:ascii="Times New Roman" w:hAnsi="Times New Roman" w:eastAsia="宋体" w:cs="Times New Roman"/>
                        <w:sz w:val="21"/>
                        <w:lang w:val="en-US" w:eastAsia="zh-CN"/>
                      </w:rPr>
                    </w:pPr>
                    <w:r>
                      <w:rPr>
                        <w:rFonts w:hint="eastAsia" w:cs="Times New Roman"/>
                        <w:sz w:val="21"/>
                        <w:lang w:val="en-US" w:eastAsia="zh-CN"/>
                      </w:rPr>
                      <w:t>2.15</w:t>
                    </w:r>
                  </w:p>
                </w:txbxContent>
              </v:textbox>
            </v:rect>
            <v:shape id="_x0000_s2351" o:spid="_x0000_s2351" o:spt="32" type="#_x0000_t32" style="position:absolute;left:5477;top:3197;height:1;width:643;" filled="f" stroked="t" coordsize="21600,21600">
              <v:path arrowok="t"/>
              <v:fill on="f" focussize="0,0"/>
              <v:stroke color="#000000" endarrow="block"/>
              <v:imagedata o:title=""/>
              <o:lock v:ext="edit" aspectratio="f"/>
            </v:shape>
            <v:rect id="_x0000_s2352" o:spid="_x0000_s2352" o:spt="1" style="position:absolute;left:6120;top:2929;height:450;width:1617;" fillcolor="#FFFFFF" filled="t" stroked="t" coordsize="21600,21600">
              <v:path/>
              <v:fill on="t" color2="#FFFFFF" focussize="0,0"/>
              <v:stroke color="#000000" joinstyle="miter"/>
              <v:imagedata o:title=""/>
              <o:lock v:ext="edit" aspectratio="f"/>
              <v:textbox>
                <w:txbxContent>
                  <w:p w14:paraId="002B88C8">
                    <w:pPr>
                      <w:wordWrap/>
                      <w:adjustRightInd/>
                      <w:snapToGrid/>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机械加工设备</w:t>
                    </w:r>
                  </w:p>
                </w:txbxContent>
              </v:textbox>
            </v:rect>
            <v:shape id="_x0000_s2353" o:spid="_x0000_s2353" o:spt="32" type="#_x0000_t32" style="position:absolute;left:7737;top:3161;height:1;width:683;" filled="f" stroked="t" coordsize="21600,21600">
              <v:path arrowok="t"/>
              <v:fill on="f" focussize="0,0"/>
              <v:stroke color="#000000" endarrow="block"/>
              <v:imagedata o:title=""/>
              <o:lock v:ext="edit" aspectratio="f"/>
            </v:shape>
            <v:rect id="_x0000_s2356" o:spid="_x0000_s2356" o:spt="1" style="position:absolute;left:5331;top:2817;height:391;width:879;" filled="f" stroked="f" coordsize="21600,21600">
              <v:path/>
              <v:fill on="f" focussize="0,0"/>
              <v:stroke on="f"/>
              <v:imagedata o:title=""/>
              <o:lock v:ext="edit" aspectratio="f"/>
              <v:textbox>
                <w:txbxContent>
                  <w:p w14:paraId="00C570E6">
                    <w:pPr>
                      <w:wordWrap/>
                      <w:adjustRightInd/>
                      <w:snapToGrid/>
                      <w:spacing w:line="240" w:lineRule="auto"/>
                      <w:ind w:firstLine="0" w:firstLineChars="0"/>
                      <w:jc w:val="center"/>
                      <w:rPr>
                        <w:rFonts w:hint="default" w:ascii="Times New Roman" w:hAnsi="Times New Roman" w:eastAsia="宋体" w:cs="Times New Roman"/>
                        <w:sz w:val="21"/>
                        <w:lang w:val="en-US" w:eastAsia="zh-CN"/>
                      </w:rPr>
                    </w:pPr>
                    <w:r>
                      <w:rPr>
                        <w:rFonts w:hint="eastAsia" w:ascii="Times New Roman" w:hAnsi="Times New Roman" w:eastAsia="宋体" w:cs="Times New Roman"/>
                        <w:sz w:val="21"/>
                      </w:rPr>
                      <w:t>0.</w:t>
                    </w:r>
                    <w:r>
                      <w:rPr>
                        <w:rFonts w:hint="eastAsia" w:cs="Times New Roman"/>
                        <w:sz w:val="21"/>
                        <w:lang w:val="en-US" w:eastAsia="zh-CN"/>
                      </w:rPr>
                      <w:t>80</w:t>
                    </w:r>
                  </w:p>
                </w:txbxContent>
              </v:textbox>
            </v:rect>
            <v:shape id="_x0000_s2358" o:spid="_x0000_s2358" o:spt="32" type="#_x0000_t32" style="position:absolute;left:4752;top:2652;height:299;width:1;" filled="f" stroked="t" coordsize="21600,21600">
              <v:path arrowok="t"/>
              <v:fill on="f" focussize="0,0"/>
              <v:stroke color="#000000" endarrow="block"/>
              <v:imagedata o:title=""/>
              <o:lock v:ext="edit" aspectratio="f"/>
            </v:shape>
            <v:rect id="_x0000_s2359" o:spid="_x0000_s2359" o:spt="1" style="position:absolute;left:4058;top:2245;height:450;width:1410;" filled="f" stroked="f" coordsize="21600,21600">
              <v:path/>
              <v:fill on="f" focussize="0,0"/>
              <v:stroke on="f"/>
              <v:imagedata o:title=""/>
              <o:lock v:ext="edit" aspectratio="f"/>
              <v:textbox>
                <w:txbxContent>
                  <w:p w14:paraId="4EC62636">
                    <w:pPr>
                      <w:wordWrap/>
                      <w:adjustRightInd/>
                      <w:snapToGrid/>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切削液母液</w:t>
                    </w:r>
                  </w:p>
                </w:txbxContent>
              </v:textbox>
            </v:rect>
            <v:rect id="_x0000_s2360" o:spid="_x0000_s2360" o:spt="1" style="position:absolute;left:4810;top:2551;height:391;width:768;" filled="f" stroked="f" coordsize="21600,21600">
              <v:path/>
              <v:fill on="f" focussize="0,0"/>
              <v:stroke on="f"/>
              <v:imagedata o:title=""/>
              <o:lock v:ext="edit" aspectratio="f"/>
              <v:textbox>
                <w:txbxContent>
                  <w:p w14:paraId="3E7B4C2C">
                    <w:pPr>
                      <w:wordWrap/>
                      <w:adjustRightInd/>
                      <w:snapToGrid/>
                      <w:spacing w:line="240" w:lineRule="auto"/>
                      <w:ind w:firstLine="0" w:firstLineChars="0"/>
                      <w:jc w:val="center"/>
                      <w:rPr>
                        <w:rFonts w:hint="eastAsia" w:ascii="Times New Roman" w:hAnsi="Times New Roman" w:eastAsia="宋体" w:cs="Times New Roman"/>
                        <w:sz w:val="21"/>
                        <w:lang w:eastAsia="zh-CN"/>
                      </w:rPr>
                    </w:pPr>
                    <w:r>
                      <w:rPr>
                        <w:rFonts w:hint="eastAsia" w:ascii="Times New Roman" w:hAnsi="Times New Roman" w:eastAsia="宋体" w:cs="Times New Roman"/>
                        <w:sz w:val="21"/>
                      </w:rPr>
                      <w:t>0.0</w:t>
                    </w:r>
                    <w:r>
                      <w:rPr>
                        <w:rFonts w:hint="eastAsia" w:cs="Times New Roman"/>
                        <w:sz w:val="21"/>
                        <w:lang w:val="en-US" w:eastAsia="zh-CN"/>
                      </w:rPr>
                      <w:t>6</w:t>
                    </w:r>
                  </w:p>
                </w:txbxContent>
              </v:textbox>
            </v:rect>
            <v:shape id="_x0000_s2361" o:spid="_x0000_s2361" o:spt="32" type="#_x0000_t32" style="position:absolute;left:5479;top:5227;height:1;width:651;" filled="f" stroked="t" coordsize="21600,21600">
              <v:path arrowok="t"/>
              <v:fill on="f" focussize="0,0"/>
              <v:stroke color="#000000" endarrow="block"/>
              <v:imagedata o:title=""/>
              <o:lock v:ext="edit" aspectratio="f"/>
            </v:shape>
            <v:rect id="_x0000_s2362" o:spid="_x0000_s2362" o:spt="1" style="position:absolute;left:6130;top:5006;height:450;width:1195;" fillcolor="#FFFFFF" filled="t" stroked="t" coordsize="21600,21600">
              <v:path/>
              <v:fill on="t" color2="#FFFFFF" focussize="0,0"/>
              <v:stroke color="#000000" joinstyle="miter"/>
              <v:imagedata o:title=""/>
              <o:lock v:ext="edit" aspectratio="f"/>
              <v:textbox>
                <w:txbxContent>
                  <w:p w14:paraId="44D588A4">
                    <w:pPr>
                      <w:wordWrap/>
                      <w:adjustRightInd/>
                      <w:snapToGrid/>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清洗设备</w:t>
                    </w:r>
                  </w:p>
                </w:txbxContent>
              </v:textbox>
            </v:rect>
            <v:shape id="_x0000_s2363" o:spid="_x0000_s2363" o:spt="32" type="#_x0000_t32" style="position:absolute;left:4622;top:4670;height:299;width:1;" filled="f" stroked="t" coordsize="21600,21600">
              <v:path arrowok="t"/>
              <v:fill on="f" focussize="0,0"/>
              <v:stroke color="#000000" endarrow="block"/>
              <v:imagedata o:title=""/>
              <o:lock v:ext="edit" aspectratio="f"/>
            </v:shape>
            <v:rect id="_x0000_s2364" o:spid="_x0000_s2364" o:spt="1" style="position:absolute;left:4023;top:4344;height:450;width:1410;" filled="f" stroked="f" coordsize="21600,21600">
              <v:path/>
              <v:fill on="f" focussize="0,0"/>
              <v:stroke on="f"/>
              <v:imagedata o:title=""/>
              <o:lock v:ext="edit" aspectratio="f"/>
              <v:textbox>
                <w:txbxContent>
                  <w:p w14:paraId="577839BC">
                    <w:pPr>
                      <w:wordWrap/>
                      <w:adjustRightInd/>
                      <w:snapToGrid/>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清洗液原液</w:t>
                    </w:r>
                  </w:p>
                </w:txbxContent>
              </v:textbox>
            </v:rect>
            <v:rect id="_x0000_s2367" o:spid="_x0000_s2367" o:spt="1" style="position:absolute;left:4592;top:4612;height:391;width:877;" filled="f" stroked="f" coordsize="21600,21600">
              <v:path/>
              <v:fill on="f" focussize="0,0"/>
              <v:stroke on="f"/>
              <v:imagedata o:title=""/>
              <o:lock v:ext="edit" aspectratio="f"/>
              <v:textbox>
                <w:txbxContent>
                  <w:p w14:paraId="06F9F3AF">
                    <w:pPr>
                      <w:wordWrap/>
                      <w:adjustRightInd/>
                      <w:snapToGrid/>
                      <w:spacing w:line="240" w:lineRule="auto"/>
                      <w:ind w:firstLine="0" w:firstLineChars="0"/>
                      <w:jc w:val="center"/>
                      <w:rPr>
                        <w:rFonts w:hint="eastAsia" w:ascii="Times New Roman" w:hAnsi="Times New Roman" w:eastAsia="宋体" w:cs="Times New Roman"/>
                        <w:sz w:val="21"/>
                        <w:lang w:eastAsia="zh-CN"/>
                      </w:rPr>
                    </w:pPr>
                    <w:r>
                      <w:rPr>
                        <w:rFonts w:hint="eastAsia" w:ascii="Times New Roman" w:hAnsi="Times New Roman" w:eastAsia="宋体" w:cs="Times New Roman"/>
                        <w:sz w:val="21"/>
                      </w:rPr>
                      <w:t>0.1</w:t>
                    </w:r>
                    <w:r>
                      <w:rPr>
                        <w:rFonts w:hint="eastAsia" w:cs="Times New Roman"/>
                        <w:sz w:val="21"/>
                        <w:lang w:val="en-US" w:eastAsia="zh-CN"/>
                      </w:rPr>
                      <w:t>1</w:t>
                    </w:r>
                  </w:p>
                </w:txbxContent>
              </v:textbox>
            </v:rect>
            <v:rect id="_x0000_s2368" o:spid="_x0000_s2368" o:spt="1" style="position:absolute;left:3944;top:2144;height:1411;width:3974;" filled="f" stroked="t" coordsize="21600,21600">
              <v:path/>
              <v:fill on="f" focussize="0,0"/>
              <v:stroke color="#000000" joinstyle="miter" dashstyle="dash"/>
              <v:imagedata o:title=""/>
              <o:lock v:ext="edit" aspectratio="f"/>
            </v:rect>
            <v:shape id="_x0000_s2369" o:spid="_x0000_s2369" o:spt="32" type="#_x0000_t32" style="position:absolute;left:6940;top:1865;flip:y;height:279;width:492;" filled="f" stroked="t" coordsize="21600,21600">
              <v:path arrowok="t"/>
              <v:fill on="f" focussize="0,0"/>
              <v:stroke color="#000000" dashstyle="dash" endarrow="block"/>
              <v:imagedata o:title=""/>
              <o:lock v:ext="edit" aspectratio="f"/>
            </v:shape>
            <v:shape id="_x0000_s2370" o:spid="_x0000_s2370" o:spt="32" type="#_x0000_t32" style="position:absolute;left:6939;top:2652;height:299;width:1;" filled="f" stroked="t" coordsize="21600,21600">
              <v:path arrowok="t"/>
              <v:fill on="f" focussize="0,0"/>
              <v:stroke color="#000000" endarrow="block"/>
              <v:imagedata o:title=""/>
              <o:lock v:ext="edit" aspectratio="f"/>
            </v:shape>
            <v:rect id="_x0000_s2371" o:spid="_x0000_s2371" o:spt="1" style="position:absolute;left:6436;top:2316;height:450;width:1006;" filled="f" stroked="f" coordsize="21600,21600">
              <v:path/>
              <v:fill on="f" focussize="0,0"/>
              <v:stroke on="f"/>
              <v:imagedata o:title=""/>
              <o:lock v:ext="edit" aspectratio="f"/>
              <v:textbox>
                <w:txbxContent>
                  <w:p w14:paraId="10B1F37F">
                    <w:pPr>
                      <w:wordWrap/>
                      <w:adjustRightInd/>
                      <w:snapToGrid/>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清洗水</w:t>
                    </w:r>
                  </w:p>
                </w:txbxContent>
              </v:textbox>
            </v:rect>
            <v:rect id="_x0000_s2372" o:spid="_x0000_s2372" o:spt="1" style="position:absolute;left:6890;top:2550;height:391;width:768;" filled="f" stroked="f" coordsize="21600,21600">
              <v:path/>
              <v:fill on="f" focussize="0,0"/>
              <v:stroke on="f"/>
              <v:imagedata o:title=""/>
              <o:lock v:ext="edit" aspectratio="f"/>
              <v:textbox>
                <w:txbxContent>
                  <w:p w14:paraId="45474870">
                    <w:pPr>
                      <w:wordWrap/>
                      <w:adjustRightInd/>
                      <w:snapToGrid/>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0.04</w:t>
                    </w:r>
                  </w:p>
                </w:txbxContent>
              </v:textbox>
            </v:rect>
            <v:rect id="_x0000_s2373" o:spid="_x0000_s2373" o:spt="1" style="position:absolute;left:3819;top:4392;height:1226;width:3974;" filled="f" stroked="t" coordsize="21600,21600">
              <v:path/>
              <v:fill on="f" focussize="0,0"/>
              <v:stroke color="#000000" joinstyle="miter" dashstyle="dash"/>
              <v:imagedata o:title=""/>
              <o:lock v:ext="edit" aspectratio="f"/>
            </v:rect>
            <v:shape id="_x0000_s2374" o:spid="_x0000_s2374" o:spt="32" type="#_x0000_t32" style="position:absolute;left:6737;top:4658;height:299;width:1;" filled="f" stroked="t" coordsize="21600,21600">
              <v:path arrowok="t"/>
              <v:fill on="f" focussize="0,0"/>
              <v:stroke color="#000000" endarrow="block"/>
              <v:imagedata o:title=""/>
              <o:lock v:ext="edit" aspectratio="f"/>
            </v:shape>
            <v:rect id="_x0000_s2375" o:spid="_x0000_s2375" o:spt="1" style="position:absolute;left:6304;top:4318;height:450;width:1006;" filled="f" stroked="f" coordsize="21600,21600">
              <v:path/>
              <v:fill on="f" focussize="0,0"/>
              <v:stroke on="f"/>
              <v:imagedata o:title=""/>
              <o:lock v:ext="edit" aspectratio="f"/>
              <v:textbox>
                <w:txbxContent>
                  <w:p w14:paraId="0A491102">
                    <w:pPr>
                      <w:wordWrap/>
                      <w:adjustRightInd/>
                      <w:snapToGrid/>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清洗水</w:t>
                    </w:r>
                  </w:p>
                </w:txbxContent>
              </v:textbox>
            </v:rect>
            <v:rect id="_x0000_s2376" o:spid="_x0000_s2376" o:spt="1" style="position:absolute;left:6589;top:4612;height:391;width:768;" filled="f" stroked="f" coordsize="21600,21600">
              <v:path/>
              <v:fill on="f" focussize="0,0"/>
              <v:stroke on="f"/>
              <v:imagedata o:title=""/>
              <o:lock v:ext="edit" aspectratio="f"/>
              <v:textbox>
                <w:txbxContent>
                  <w:p w14:paraId="367E8428">
                    <w:pPr>
                      <w:wordWrap/>
                      <w:adjustRightInd/>
                      <w:snapToGrid/>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0.1</w:t>
                    </w:r>
                  </w:p>
                </w:txbxContent>
              </v:textbox>
            </v:rect>
            <v:rect id="_x0000_s2378" o:spid="_x0000_s2378" o:spt="1" style="position:absolute;left:8840;top:4347;flip:y;height:411;width:706;" filled="f" stroked="f" coordsize="21600,21600">
              <v:path/>
              <v:fill on="f" focussize="0,0"/>
              <v:stroke on="f"/>
              <v:imagedata o:title=""/>
              <o:lock v:ext="edit" aspectratio="f"/>
              <v:textbox>
                <w:txbxContent>
                  <w:p w14:paraId="2A47EDB7">
                    <w:pPr>
                      <w:wordWrap/>
                      <w:adjustRightInd/>
                      <w:snapToGrid/>
                      <w:spacing w:line="240" w:lineRule="auto"/>
                      <w:ind w:firstLine="0" w:firstLineChars="0"/>
                      <w:jc w:val="center"/>
                      <w:rPr>
                        <w:rFonts w:hint="default" w:ascii="Times New Roman" w:hAnsi="Times New Roman" w:eastAsia="宋体" w:cs="Times New Roman"/>
                        <w:sz w:val="21"/>
                        <w:lang w:val="en-US" w:eastAsia="zh-CN"/>
                      </w:rPr>
                    </w:pPr>
                    <w:r>
                      <w:rPr>
                        <w:rFonts w:hint="eastAsia" w:cs="Times New Roman"/>
                        <w:sz w:val="21"/>
                        <w:lang w:val="en-US" w:eastAsia="zh-CN"/>
                      </w:rPr>
                      <w:t>2.44</w:t>
                    </w:r>
                  </w:p>
                </w:txbxContent>
              </v:textbox>
            </v:rect>
            <v:shape id="_x0000_s2464" o:spid="_x0000_s2464" o:spt="32" type="#_x0000_t32" style="position:absolute;left:6358;top:4116;flip:y;height:260;width:480;" filled="f" stroked="t" coordsize="21600,21600">
              <v:path arrowok="t"/>
              <v:fill on="f" focussize="0,0"/>
              <v:stroke color="#000000" dashstyle="dash" endarrow="block"/>
              <v:imagedata o:title=""/>
              <o:lock v:ext="edit" aspectratio="f"/>
            </v:shape>
            <w10:wrap type="none"/>
            <w10:anchorlock/>
          </v:group>
        </w:pict>
      </w:r>
    </w:p>
    <w:p w14:paraId="1B71A449">
      <w:pPr>
        <w:pStyle w:val="7"/>
        <w:bidi w:val="0"/>
        <w:rPr>
          <w:highlight w:val="none"/>
        </w:rPr>
      </w:pPr>
      <w:r>
        <w:rPr>
          <w:highlight w:val="none"/>
        </w:rPr>
        <w:t>图3-</w:t>
      </w:r>
      <w:r>
        <w:rPr>
          <w:rFonts w:hint="eastAsia"/>
          <w:highlight w:val="none"/>
          <w:lang w:val="en-US" w:eastAsia="zh-CN"/>
        </w:rPr>
        <w:t>2</w:t>
      </w:r>
      <w:r>
        <w:rPr>
          <w:highlight w:val="none"/>
        </w:rPr>
        <w:t>-</w:t>
      </w:r>
      <w:r>
        <w:rPr>
          <w:rFonts w:hint="eastAsia"/>
          <w:highlight w:val="none"/>
          <w:lang w:val="en-US" w:eastAsia="zh-CN"/>
        </w:rPr>
        <w:t>2</w:t>
      </w:r>
      <w:r>
        <w:rPr>
          <w:highlight w:val="none"/>
        </w:rPr>
        <w:t>本项目水平衡图t/d</w:t>
      </w:r>
    </w:p>
    <w:p w14:paraId="1CE70929">
      <w:pPr>
        <w:keepNext w:val="0"/>
        <w:keepLines w:val="0"/>
        <w:pageBreakBefore w:val="0"/>
        <w:widowControl w:val="0"/>
        <w:kinsoku/>
        <w:wordWrap w:val="0"/>
        <w:overflowPunct/>
        <w:topLinePunct w:val="0"/>
        <w:autoSpaceDE/>
        <w:autoSpaceDN/>
        <w:bidi w:val="0"/>
        <w:adjustRightInd w:val="0"/>
        <w:snapToGrid w:val="0"/>
        <w:spacing w:line="240" w:lineRule="auto"/>
        <w:ind w:firstLine="0" w:firstLineChars="0"/>
        <w:jc w:val="left"/>
        <w:textAlignment w:val="auto"/>
        <w:rPr>
          <w:highlight w:val="none"/>
        </w:rPr>
      </w:pPr>
      <w:r>
        <w:rPr>
          <w:rFonts w:ascii="Times New Roman" w:hAnsi="Times New Roman" w:cs="Times New Roman" w:eastAsiaTheme="minorEastAsia"/>
          <w:kern w:val="0"/>
          <w:sz w:val="24"/>
          <w:highlight w:val="none"/>
        </w:rPr>
        <w:pict>
          <v:group id="_x0000_s2380" o:spid="_x0000_s2380" o:spt="203" style="height:180.9pt;width:440.3pt;" coordorigin="1900,1508" coordsize="8806,3618" editas="canvas">
            <o:lock v:ext="edit"/>
            <v:shape id="_x0000_s2381" o:spid="_x0000_s2381" o:spt="75" type="#_x0000_t75" style="position:absolute;left:1900;top:1508;height:3618;width:8806;" fillcolor="#FFFFFF" filled="t" stroked="t" coordsize="21600,21600">
              <v:fill on="t" color2="#FFFFFF" focussize="0,0"/>
              <v:stroke color="#000000"/>
              <v:imagedata o:title=""/>
              <o:lock v:ext="edit" text="t" aspectratio="t"/>
            </v:shape>
            <v:rect id="_x0000_s2382" o:spid="_x0000_s2382" o:spt="1" style="position:absolute;left:1900;top:3257;height:450;width:945;" fillcolor="#FFFFFF" filled="t" stroked="t" coordsize="21600,21600">
              <v:path/>
              <v:fill on="t" color2="#FFFFFF" focussize="0,0"/>
              <v:stroke color="#000000" joinstyle="miter"/>
              <v:imagedata o:title=""/>
              <o:lock v:ext="edit" aspectratio="f"/>
              <v:textbox>
                <w:txbxContent>
                  <w:p w14:paraId="470647F3">
                    <w:pPr>
                      <w:wordWrap/>
                      <w:adjustRightInd/>
                      <w:snapToGrid/>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新鲜水</w:t>
                    </w:r>
                  </w:p>
                </w:txbxContent>
              </v:textbox>
            </v:rect>
            <v:shape id="_x0000_s2383" o:spid="_x0000_s2383" o:spt="32" type="#_x0000_t32" style="position:absolute;left:2845;top:3502;height:1;width:590;" filled="f" stroked="t" coordsize="21600,21600">
              <v:path arrowok="t"/>
              <v:fill on="f" focussize="0,0"/>
              <v:stroke color="#000000" endarrow="block"/>
              <v:imagedata o:title=""/>
              <o:lock v:ext="edit" aspectratio="f"/>
            </v:shape>
            <v:rect id="_x0000_s2398" o:spid="_x0000_s2398" o:spt="1" style="position:absolute;left:3447;top:3319;height:450;width:1410;" fillcolor="#FFFFFF" filled="t" stroked="t" coordsize="21600,21600">
              <v:path/>
              <v:fill on="t" color2="#FFFFFF" focussize="0,0"/>
              <v:stroke color="#000000" joinstyle="miter"/>
              <v:imagedata o:title=""/>
              <o:lock v:ext="edit" aspectratio="f"/>
              <v:textbox>
                <w:txbxContent>
                  <w:p w14:paraId="0A258935">
                    <w:pPr>
                      <w:wordWrap/>
                      <w:adjustRightInd/>
                      <w:snapToGrid/>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切屑液配置</w:t>
                    </w:r>
                  </w:p>
                </w:txbxContent>
              </v:textbox>
            </v:rect>
            <v:rect id="_x0000_s2410" o:spid="_x0000_s2410" o:spt="1" style="position:absolute;left:7807;top:1743;height:3323;width:470;" fillcolor="#FFFFFF" filled="t" stroked="t" coordsize="21600,21600">
              <v:path/>
              <v:fill on="t" color2="#FFFFFF" focussize="0,0"/>
              <v:stroke color="#000000" joinstyle="miter"/>
              <v:imagedata o:title=""/>
              <o:lock v:ext="edit" aspectratio="f"/>
              <v:textbox>
                <w:txbxContent>
                  <w:p w14:paraId="6B96D6AF">
                    <w:pPr>
                      <w:wordWrap/>
                      <w:adjustRightInd/>
                      <w:snapToGrid/>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4号厂房</w:t>
                    </w:r>
                  </w:p>
                  <w:p w14:paraId="6847009E">
                    <w:pPr>
                      <w:wordWrap/>
                      <w:adjustRightInd/>
                      <w:snapToGrid/>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污水处理站</w:t>
                    </w:r>
                  </w:p>
                </w:txbxContent>
              </v:textbox>
            </v:rect>
            <v:shape id="_x0000_s2415" o:spid="_x0000_s2415" o:spt="32" type="#_x0000_t32" style="position:absolute;left:8277;top:3465;height:1;width:665;" filled="f" stroked="t" coordsize="21600,21600">
              <v:path arrowok="t"/>
              <v:fill on="f" focussize="0,0"/>
              <v:stroke color="#000000" endarrow="block"/>
              <v:imagedata o:title=""/>
              <o:lock v:ext="edit" aspectratio="f"/>
            </v:shape>
            <v:rect id="_x0000_s2416" o:spid="_x0000_s2416" o:spt="1" style="position:absolute;left:6528;top:2184;height:391;width:801;" filled="f" stroked="f" coordsize="21600,21600">
              <v:path/>
              <v:fill on="f" focussize="0,0"/>
              <v:stroke on="f"/>
              <v:imagedata o:title=""/>
              <o:lock v:ext="edit" aspectratio="f"/>
              <v:textbox>
                <w:txbxContent>
                  <w:p w14:paraId="0CA217E1">
                    <w:pPr>
                      <w:wordWrap/>
                      <w:adjustRightInd/>
                      <w:snapToGrid/>
                      <w:spacing w:line="240" w:lineRule="auto"/>
                      <w:ind w:firstLine="0" w:firstLineChars="0"/>
                      <w:jc w:val="center"/>
                      <w:rPr>
                        <w:rFonts w:hint="default" w:ascii="Times New Roman" w:hAnsi="Times New Roman" w:eastAsia="宋体" w:cs="Times New Roman"/>
                        <w:sz w:val="21"/>
                        <w:lang w:val="en-US" w:eastAsia="zh-CN"/>
                      </w:rPr>
                    </w:pPr>
                    <w:r>
                      <w:rPr>
                        <w:rFonts w:hint="eastAsia" w:cs="Times New Roman"/>
                        <w:sz w:val="21"/>
                        <w:lang w:val="en-US" w:eastAsia="zh-CN"/>
                      </w:rPr>
                      <w:t>5.71</w:t>
                    </w:r>
                  </w:p>
                </w:txbxContent>
              </v:textbox>
            </v:rect>
            <v:rect id="_x0000_s2417" o:spid="_x0000_s2417" o:spt="1" style="position:absolute;left:6420;top:1886;height:391;width:921;" filled="f" stroked="f" coordsize="21600,21600">
              <v:path/>
              <v:fill on="f" focussize="0,0"/>
              <v:stroke on="f"/>
              <v:imagedata o:title=""/>
              <o:lock v:ext="edit" aspectratio="f"/>
              <v:textbox>
                <w:txbxContent>
                  <w:p w14:paraId="4FAE9D14">
                    <w:pPr>
                      <w:wordWrap/>
                      <w:adjustRightInd/>
                      <w:snapToGrid/>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损耗</w:t>
                    </w:r>
                  </w:p>
                </w:txbxContent>
              </v:textbox>
            </v:rect>
            <v:rect id="_x0000_s2419" o:spid="_x0000_s2419" o:spt="1" style="position:absolute;left:2685;top:3146;height:383;width:858;" filled="f" stroked="f" coordsize="21600,21600">
              <v:path/>
              <v:fill on="f" focussize="0,0"/>
              <v:stroke on="f"/>
              <v:imagedata o:title=""/>
              <o:lock v:ext="edit" aspectratio="f"/>
              <v:textbox>
                <w:txbxContent>
                  <w:p w14:paraId="473FD911">
                    <w:pPr>
                      <w:wordWrap/>
                      <w:adjustRightInd/>
                      <w:snapToGrid/>
                      <w:spacing w:line="240" w:lineRule="auto"/>
                      <w:ind w:firstLine="0" w:firstLineChars="0"/>
                      <w:jc w:val="center"/>
                      <w:rPr>
                        <w:rFonts w:hint="default" w:ascii="Times New Roman" w:hAnsi="Times New Roman" w:eastAsia="宋体" w:cs="Times New Roman"/>
                        <w:sz w:val="21"/>
                        <w:lang w:val="en-US" w:eastAsia="zh-CN"/>
                      </w:rPr>
                    </w:pPr>
                    <w:r>
                      <w:rPr>
                        <w:rFonts w:hint="eastAsia" w:cs="Times New Roman"/>
                        <w:sz w:val="21"/>
                        <w:lang w:val="en-US" w:eastAsia="zh-CN"/>
                      </w:rPr>
                      <w:t>26.4</w:t>
                    </w:r>
                  </w:p>
                </w:txbxContent>
              </v:textbox>
            </v:rect>
            <v:rect id="_x0000_s2420" o:spid="_x0000_s2420" o:spt="1" style="position:absolute;left:7061;top:3183;height:391;width:804;" filled="f" stroked="f" coordsize="21600,21600">
              <v:path/>
              <v:fill on="f" focussize="0,0"/>
              <v:stroke on="f"/>
              <v:imagedata o:title=""/>
              <o:lock v:ext="edit" aspectratio="f"/>
              <v:textbox>
                <w:txbxContent>
                  <w:p w14:paraId="2B450590">
                    <w:pPr>
                      <w:wordWrap/>
                      <w:adjustRightInd/>
                      <w:snapToGrid/>
                      <w:spacing w:line="240" w:lineRule="auto"/>
                      <w:ind w:firstLine="0" w:firstLineChars="0"/>
                      <w:jc w:val="center"/>
                      <w:rPr>
                        <w:rFonts w:hint="default" w:ascii="Times New Roman" w:hAnsi="Times New Roman" w:eastAsia="宋体" w:cs="Times New Roman"/>
                        <w:sz w:val="21"/>
                        <w:lang w:val="en-US" w:eastAsia="zh-CN"/>
                      </w:rPr>
                    </w:pPr>
                    <w:r>
                      <w:rPr>
                        <w:rFonts w:hint="eastAsia" w:cs="Times New Roman"/>
                        <w:sz w:val="21"/>
                        <w:lang w:val="en-US" w:eastAsia="zh-CN"/>
                      </w:rPr>
                      <w:t>22.86</w:t>
                    </w:r>
                  </w:p>
                </w:txbxContent>
              </v:textbox>
            </v:rect>
            <v:shape id="_x0000_s2421" o:spid="_x0000_s2421" o:spt="32" type="#_x0000_t32" style="position:absolute;left:4864;top:3557;height:1;width:643;" filled="f" stroked="t" coordsize="21600,21600">
              <v:path arrowok="t"/>
              <v:fill on="f" focussize="0,0"/>
              <v:stroke color="#000000" endarrow="block"/>
              <v:imagedata o:title=""/>
              <o:lock v:ext="edit" aspectratio="f"/>
            </v:shape>
            <v:rect id="_x0000_s2422" o:spid="_x0000_s2422" o:spt="1" style="position:absolute;left:5507;top:3324;height:450;width:1617;" fillcolor="#FFFFFF" filled="t" stroked="t" coordsize="21600,21600">
              <v:path/>
              <v:fill on="t" color2="#FFFFFF" focussize="0,0"/>
              <v:stroke color="#000000" joinstyle="miter"/>
              <v:imagedata o:title=""/>
              <o:lock v:ext="edit" aspectratio="f"/>
              <v:textbox>
                <w:txbxContent>
                  <w:p w14:paraId="2DFEAE70">
                    <w:pPr>
                      <w:wordWrap/>
                      <w:adjustRightInd/>
                      <w:snapToGrid/>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机械加工设备</w:t>
                    </w:r>
                  </w:p>
                </w:txbxContent>
              </v:textbox>
            </v:rect>
            <v:shape id="_x0000_s2423" o:spid="_x0000_s2423" o:spt="32" type="#_x0000_t32" style="position:absolute;left:7124;top:3539;height:1;width:683;" filled="f" stroked="t" coordsize="21600,21600">
              <v:path arrowok="t"/>
              <v:fill on="f" focussize="0,0"/>
              <v:stroke color="#000000" endarrow="block"/>
              <v:imagedata o:title=""/>
              <o:lock v:ext="edit" aspectratio="f"/>
            </v:shape>
            <v:rect id="_x0000_s2424" o:spid="_x0000_s2424" o:spt="1" style="position:absolute;left:4718;top:3195;height:391;width:879;" filled="f" stroked="f" coordsize="21600,21600">
              <v:path/>
              <v:fill on="f" focussize="0,0"/>
              <v:stroke on="f"/>
              <v:imagedata o:title=""/>
              <o:lock v:ext="edit" aspectratio="f"/>
              <v:textbox>
                <w:txbxContent>
                  <w:p w14:paraId="751DD2B1">
                    <w:pPr>
                      <w:wordWrap/>
                      <w:adjustRightInd/>
                      <w:snapToGrid/>
                      <w:spacing w:line="240" w:lineRule="auto"/>
                      <w:ind w:firstLine="0" w:firstLineChars="0"/>
                      <w:jc w:val="center"/>
                      <w:rPr>
                        <w:rFonts w:hint="default" w:ascii="Times New Roman" w:hAnsi="Times New Roman" w:eastAsia="宋体" w:cs="Times New Roman"/>
                        <w:sz w:val="21"/>
                        <w:lang w:val="en-US" w:eastAsia="zh-CN"/>
                      </w:rPr>
                    </w:pPr>
                    <w:r>
                      <w:rPr>
                        <w:rFonts w:hint="eastAsia" w:cs="Times New Roman"/>
                        <w:sz w:val="21"/>
                        <w:lang w:val="en-US" w:eastAsia="zh-CN"/>
                      </w:rPr>
                      <w:t>28.57</w:t>
                    </w:r>
                  </w:p>
                </w:txbxContent>
              </v:textbox>
            </v:rect>
            <v:shape id="_x0000_s2425" o:spid="_x0000_s2425" o:spt="32" type="#_x0000_t32" style="position:absolute;left:4151;top:3037;height:299;width:1;" filled="f" stroked="t" coordsize="21600,21600">
              <v:path arrowok="t"/>
              <v:fill on="f" focussize="0,0"/>
              <v:stroke color="#000000" endarrow="block"/>
              <v:imagedata o:title=""/>
              <o:lock v:ext="edit" aspectratio="f"/>
            </v:shape>
            <v:rect id="_x0000_s2426" o:spid="_x0000_s2426" o:spt="1" style="position:absolute;left:3457;top:2611;height:450;width:1410;" filled="f" stroked="f" coordsize="21600,21600">
              <v:path/>
              <v:fill on="f" focussize="0,0"/>
              <v:stroke on="f"/>
              <v:imagedata o:title=""/>
              <o:lock v:ext="edit" aspectratio="f"/>
              <v:textbox>
                <w:txbxContent>
                  <w:p w14:paraId="39B74B60">
                    <w:pPr>
                      <w:wordWrap/>
                      <w:adjustRightInd/>
                      <w:snapToGrid/>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切削液母液</w:t>
                    </w:r>
                  </w:p>
                </w:txbxContent>
              </v:textbox>
            </v:rect>
            <v:rect id="_x0000_s2429" o:spid="_x0000_s2429" o:spt="1" style="position:absolute;left:4097;top:2916;height:391;width:768;" filled="f" stroked="f" coordsize="21600,21600">
              <v:path/>
              <v:fill on="f" focussize="0,0"/>
              <v:stroke on="f"/>
              <v:imagedata o:title=""/>
              <o:lock v:ext="edit" aspectratio="f"/>
              <v:textbox>
                <w:txbxContent>
                  <w:p w14:paraId="06756705">
                    <w:pPr>
                      <w:wordWrap/>
                      <w:adjustRightInd/>
                      <w:snapToGrid/>
                      <w:spacing w:line="240" w:lineRule="auto"/>
                      <w:ind w:firstLine="0" w:firstLineChars="0"/>
                      <w:jc w:val="center"/>
                      <w:rPr>
                        <w:rFonts w:hint="default" w:ascii="Times New Roman" w:hAnsi="Times New Roman" w:eastAsia="宋体" w:cs="Times New Roman"/>
                        <w:sz w:val="21"/>
                        <w:lang w:val="en-US" w:eastAsia="zh-CN"/>
                      </w:rPr>
                    </w:pPr>
                    <w:r>
                      <w:rPr>
                        <w:rFonts w:hint="eastAsia" w:ascii="Times New Roman" w:hAnsi="Times New Roman" w:eastAsia="宋体" w:cs="Times New Roman"/>
                        <w:sz w:val="21"/>
                      </w:rPr>
                      <w:t>2.</w:t>
                    </w:r>
                    <w:r>
                      <w:rPr>
                        <w:rFonts w:hint="eastAsia" w:cs="Times New Roman"/>
                        <w:sz w:val="21"/>
                        <w:lang w:val="en-US" w:eastAsia="zh-CN"/>
                      </w:rPr>
                      <w:t>17</w:t>
                    </w:r>
                  </w:p>
                </w:txbxContent>
              </v:textbox>
            </v:rect>
            <v:rect id="_x0000_s2430" o:spid="_x0000_s2430" o:spt="1" style="position:absolute;left:3331;top:2522;height:1411;width:3862;" filled="f" stroked="t" coordsize="21600,21600">
              <v:path/>
              <v:fill on="f" focussize="0,0"/>
              <v:stroke color="#000000" joinstyle="miter" dashstyle="dash"/>
              <v:imagedata o:title=""/>
              <o:lock v:ext="edit" aspectratio="f"/>
            </v:rect>
            <v:shape id="_x0000_s2431" o:spid="_x0000_s2431" o:spt="32" type="#_x0000_t32" style="position:absolute;left:6327;top:2243;flip:y;height:279;width:492;" filled="f" stroked="t" coordsize="21600,21600">
              <v:path arrowok="t"/>
              <v:fill on="f" focussize="0,0"/>
              <v:stroke color="#000000" dashstyle="dash" endarrow="block"/>
              <v:imagedata o:title=""/>
              <o:lock v:ext="edit" aspectratio="f"/>
            </v:shape>
            <v:shape id="_x0000_s2432" o:spid="_x0000_s2432" o:spt="32" type="#_x0000_t32" style="position:absolute;left:6326;top:3025;height:299;width:1;" filled="f" stroked="t" coordsize="21600,21600">
              <v:path arrowok="t"/>
              <v:fill on="f" focussize="0,0"/>
              <v:stroke color="#000000" endarrow="block"/>
              <v:imagedata o:title=""/>
              <o:lock v:ext="edit" aspectratio="f"/>
            </v:shape>
            <v:rect id="_x0000_s2433" o:spid="_x0000_s2433" o:spt="1" style="position:absolute;left:5823;top:2672;height:450;width:1006;" filled="f" stroked="f" coordsize="21600,21600">
              <v:path/>
              <v:fill on="f" focussize="0,0"/>
              <v:stroke on="f"/>
              <v:imagedata o:title=""/>
              <o:lock v:ext="edit" aspectratio="f"/>
              <v:textbox>
                <w:txbxContent>
                  <w:p w14:paraId="6313C89B">
                    <w:pPr>
                      <w:wordWrap/>
                      <w:adjustRightInd/>
                      <w:snapToGrid/>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清洗水</w:t>
                    </w:r>
                  </w:p>
                </w:txbxContent>
              </v:textbox>
            </v:rect>
            <v:rect id="_x0000_s2436" o:spid="_x0000_s2436" o:spt="1" style="position:absolute;left:6277;top:2928;height:391;width:768;" filled="f" stroked="f" coordsize="21600,21600">
              <v:path/>
              <v:fill on="f" focussize="0,0"/>
              <v:stroke on="f"/>
              <v:imagedata o:title=""/>
              <o:lock v:ext="edit" aspectratio="f"/>
              <v:textbox>
                <w:txbxContent>
                  <w:p w14:paraId="7D910A4E">
                    <w:pPr>
                      <w:wordWrap/>
                      <w:adjustRightInd/>
                      <w:snapToGrid/>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1.43</w:t>
                    </w:r>
                  </w:p>
                </w:txbxContent>
              </v:textbox>
            </v:rect>
            <v:rect id="_x0000_s2439" o:spid="_x0000_s2439" o:spt="1" style="position:absolute;left:8235;top:3010;flip:y;height:411;width:795;" filled="f" stroked="f" coordsize="21600,21600">
              <v:path/>
              <v:fill on="f" focussize="0,0"/>
              <v:stroke on="f"/>
              <v:imagedata o:title=""/>
              <o:lock v:ext="edit" aspectratio="f"/>
              <v:textbox>
                <w:txbxContent>
                  <w:p w14:paraId="14ED85CB">
                    <w:pPr>
                      <w:wordWrap/>
                      <w:adjustRightInd/>
                      <w:snapToGrid/>
                      <w:spacing w:line="240" w:lineRule="auto"/>
                      <w:ind w:firstLine="0" w:firstLineChars="0"/>
                      <w:jc w:val="center"/>
                      <w:rPr>
                        <w:rFonts w:hint="default" w:ascii="Times New Roman" w:hAnsi="Times New Roman" w:eastAsia="宋体" w:cs="Times New Roman"/>
                        <w:sz w:val="21"/>
                        <w:lang w:val="en-US" w:eastAsia="zh-CN"/>
                      </w:rPr>
                    </w:pPr>
                    <w:r>
                      <w:rPr>
                        <w:rFonts w:hint="eastAsia" w:cs="Times New Roman"/>
                        <w:sz w:val="21"/>
                        <w:lang w:val="en-US" w:eastAsia="zh-CN"/>
                      </w:rPr>
                      <w:t>22.86</w:t>
                    </w:r>
                  </w:p>
                </w:txbxContent>
              </v:textbox>
            </v:rect>
            <v:rect id="_x0000_s2465" o:spid="_x0000_s2465" o:spt="1" style="position:absolute;left:8968;top:1687;height:3340;width:1080;" fillcolor="#FFFFFF" filled="t" stroked="t" coordsize="21600,21600">
              <v:path/>
              <v:fill on="t" color2="#FFFFFF" focussize="0,0"/>
              <v:stroke color="#000000" joinstyle="miter"/>
              <v:imagedata o:title=""/>
              <o:lock v:ext="edit" aspectratio="f"/>
              <v:textbox>
                <w:txbxContent>
                  <w:p w14:paraId="6F08EFF4">
                    <w:pPr>
                      <w:wordWrap/>
                      <w:adjustRightInd/>
                      <w:snapToGrid/>
                      <w:spacing w:line="240" w:lineRule="auto"/>
                      <w:ind w:firstLine="0" w:firstLineChars="0"/>
                      <w:rPr>
                        <w:rFonts w:ascii="Times New Roman" w:hAnsi="Times New Roman" w:eastAsia="宋体" w:cs="Times New Roman"/>
                        <w:sz w:val="21"/>
                      </w:rPr>
                    </w:pPr>
                    <w:r>
                      <w:rPr>
                        <w:rFonts w:hint="eastAsia" w:ascii="Times New Roman" w:hAnsi="Times New Roman" w:eastAsia="宋体" w:cs="Times New Roman"/>
                        <w:sz w:val="21"/>
                      </w:rPr>
                      <w:t>排入</w:t>
                    </w:r>
                    <w:r>
                      <w:rPr>
                        <w:rFonts w:hint="eastAsia" w:ascii="Times New Roman" w:hAnsi="Times New Roman" w:eastAsia="宋体" w:cs="Times New Roman"/>
                        <w:sz w:val="21"/>
                        <w:lang w:val="en-US" w:eastAsia="zh-CN"/>
                      </w:rPr>
                      <w:t>哈尔滨市朝阳水质净化厂</w:t>
                    </w:r>
                    <w:r>
                      <w:rPr>
                        <w:rFonts w:hint="eastAsia" w:ascii="Times New Roman" w:hAnsi="Times New Roman" w:eastAsia="宋体" w:cs="Times New Roman"/>
                        <w:sz w:val="21"/>
                      </w:rPr>
                      <w:t>理达标后排入</w:t>
                    </w:r>
                    <w:r>
                      <w:rPr>
                        <w:rFonts w:hint="eastAsia" w:ascii="Times New Roman" w:hAnsi="Times New Roman" w:eastAsia="宋体" w:cs="Times New Roman"/>
                        <w:sz w:val="21"/>
                        <w:lang w:val="en-US" w:eastAsia="zh-CN"/>
                      </w:rPr>
                      <w:t>马家沟</w:t>
                    </w:r>
                    <w:r>
                      <w:rPr>
                        <w:rFonts w:hint="eastAsia" w:ascii="Times New Roman" w:hAnsi="Times New Roman" w:eastAsia="宋体" w:cs="Times New Roman"/>
                        <w:sz w:val="21"/>
                      </w:rPr>
                      <w:t>河，最终汇入松花江</w:t>
                    </w:r>
                  </w:p>
                </w:txbxContent>
              </v:textbox>
            </v:rect>
            <w10:wrap type="none"/>
            <w10:anchorlock/>
          </v:group>
        </w:pict>
      </w:r>
    </w:p>
    <w:p w14:paraId="4D49EA73">
      <w:pPr>
        <w:pStyle w:val="7"/>
        <w:bidi w:val="0"/>
        <w:rPr>
          <w:highlight w:val="none"/>
        </w:rPr>
      </w:pPr>
      <w:r>
        <w:rPr>
          <w:highlight w:val="none"/>
        </w:rPr>
        <w:t>图3-</w:t>
      </w:r>
      <w:r>
        <w:rPr>
          <w:rFonts w:hint="eastAsia"/>
          <w:highlight w:val="none"/>
          <w:lang w:val="en-US" w:eastAsia="zh-CN"/>
        </w:rPr>
        <w:t>2</w:t>
      </w:r>
      <w:r>
        <w:rPr>
          <w:highlight w:val="none"/>
        </w:rPr>
        <w:t>-</w:t>
      </w:r>
      <w:r>
        <w:rPr>
          <w:rFonts w:hint="eastAsia"/>
          <w:highlight w:val="none"/>
        </w:rPr>
        <w:t>3</w:t>
      </w:r>
      <w:r>
        <w:rPr>
          <w:highlight w:val="none"/>
        </w:rPr>
        <w:t>本项目水平衡图（</w:t>
      </w:r>
      <w:r>
        <w:rPr>
          <w:rFonts w:hint="eastAsia"/>
          <w:highlight w:val="none"/>
        </w:rPr>
        <w:t>高峰期</w:t>
      </w:r>
      <w:r>
        <w:rPr>
          <w:highlight w:val="none"/>
        </w:rPr>
        <w:t>每天，t/d）</w:t>
      </w:r>
    </w:p>
    <w:p w14:paraId="288B0CB1">
      <w:pPr>
        <w:ind w:left="0" w:leftChars="0" w:firstLine="0" w:firstLineChars="0"/>
        <w:rPr>
          <w:rFonts w:ascii="Times New Roman" w:hAnsi="Times New Roman" w:cs="Times New Roman" w:eastAsiaTheme="minorEastAsia"/>
          <w:kern w:val="0"/>
          <w:sz w:val="24"/>
          <w:highlight w:val="none"/>
        </w:rPr>
      </w:pPr>
      <w:r>
        <w:rPr>
          <w:rFonts w:ascii="Times New Roman" w:hAnsi="Times New Roman" w:cs="Times New Roman" w:eastAsiaTheme="minorEastAsia"/>
          <w:kern w:val="0"/>
          <w:sz w:val="24"/>
          <w:highlight w:val="none"/>
        </w:rPr>
        <w:pict>
          <v:group id="_x0000_s2466" o:spid="_x0000_s2466" o:spt="203" style="height:439.55pt;width:440.3pt;" coordorigin="1900,1508" coordsize="8806,8791" editas="canvas">
            <o:lock v:ext="edit"/>
            <v:shape id="_x0000_s2467" o:spid="_x0000_s2467" o:spt="75" type="#_x0000_t75" style="position:absolute;left:1900;top:1508;height:8791;width:8806;" fillcolor="#FFFFFF" filled="t" stroked="t" coordsize="21600,21600">
              <v:fill on="t" color2="#FFFFFF" focussize="0,0"/>
              <v:stroke color="#000000" joinstyle="miter"/>
              <v:imagedata o:title=""/>
              <o:lock v:ext="edit" text="t" aspectratio="t"/>
            </v:shape>
            <v:rect id="_x0000_s2468" o:spid="_x0000_s2468" o:spt="1" style="position:absolute;left:1900;top:3976;height:450;width:945;" fillcolor="#FFFFFF" filled="t" stroked="t" coordsize="21600,21600">
              <v:path/>
              <v:fill on="t" color2="#FFFFFF" focussize="0,0"/>
              <v:stroke color="#000000" joinstyle="miter"/>
              <v:imagedata o:title=""/>
              <o:lock v:ext="edit" aspectratio="f"/>
              <v:textbox>
                <w:txbxContent>
                  <w:p w14:paraId="1F1C89AC">
                    <w:pPr>
                      <w:wordWrap/>
                      <w:adjustRightInd/>
                      <w:snapToGrid/>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新鲜水</w:t>
                    </w:r>
                  </w:p>
                </w:txbxContent>
              </v:textbox>
            </v:rect>
            <v:shape id="_x0000_s2469" o:spid="_x0000_s2469" o:spt="32" type="#_x0000_t32" style="position:absolute;left:2845;top:4201;height:1;width:590;" filled="f" stroked="t" coordsize="21600,21600">
              <v:path arrowok="t"/>
              <v:fill on="f" focussize="0,0"/>
              <v:stroke color="#000000" endarrow="block"/>
              <v:imagedata o:title=""/>
              <o:lock v:ext="edit" aspectratio="f"/>
            </v:shape>
            <v:shape id="_x0000_s2470" o:spid="_x0000_s2470" o:spt="32" type="#_x0000_t32" style="position:absolute;left:3430;top:3077;height:6689;width:10;" filled="f" stroked="t" coordsize="21600,21600">
              <v:path arrowok="t"/>
              <v:fill on="f" focussize="0,0"/>
              <v:stroke color="#000000"/>
              <v:imagedata o:title=""/>
              <o:lock v:ext="edit" aspectratio="f"/>
            </v:shape>
            <v:rect id="_x0000_s2471" o:spid="_x0000_s2471" o:spt="1" style="position:absolute;left:9517;top:2776;height:7373;width:1085;" fillcolor="#FFFFFF" filled="t" stroked="t" coordsize="21600,21600">
              <v:path/>
              <v:fill on="t" color2="#FFFFFF" focussize="0,0"/>
              <v:stroke color="#000000" joinstyle="miter"/>
              <v:imagedata o:title=""/>
              <o:lock v:ext="edit" aspectratio="f"/>
              <v:textbox>
                <w:txbxContent>
                  <w:p w14:paraId="674C12CA">
                    <w:pPr>
                      <w:wordWrap/>
                      <w:adjustRightInd/>
                      <w:snapToGrid/>
                      <w:spacing w:line="240" w:lineRule="auto"/>
                      <w:ind w:firstLine="0" w:firstLineChars="0"/>
                      <w:rPr>
                        <w:rFonts w:ascii="Times New Roman" w:hAnsi="Times New Roman" w:eastAsia="宋体" w:cs="Times New Roman"/>
                        <w:sz w:val="21"/>
                      </w:rPr>
                    </w:pPr>
                    <w:r>
                      <w:rPr>
                        <w:rFonts w:hint="eastAsia" w:ascii="Times New Roman" w:hAnsi="Times New Roman" w:eastAsia="宋体" w:cs="Times New Roman"/>
                        <w:sz w:val="21"/>
                      </w:rPr>
                      <w:t>排入</w:t>
                    </w:r>
                    <w:r>
                      <w:rPr>
                        <w:rFonts w:hint="eastAsia" w:ascii="Times New Roman" w:hAnsi="Times New Roman" w:eastAsia="宋体" w:cs="Times New Roman"/>
                        <w:sz w:val="21"/>
                        <w:lang w:val="en-US" w:eastAsia="zh-CN"/>
                      </w:rPr>
                      <w:t>哈尔滨市朝阳水质净化厂</w:t>
                    </w:r>
                    <w:r>
                      <w:rPr>
                        <w:rFonts w:hint="eastAsia" w:ascii="Times New Roman" w:hAnsi="Times New Roman" w:eastAsia="宋体" w:cs="Times New Roman"/>
                        <w:sz w:val="21"/>
                      </w:rPr>
                      <w:t>理达标后排入</w:t>
                    </w:r>
                    <w:r>
                      <w:rPr>
                        <w:rFonts w:hint="eastAsia" w:ascii="Times New Roman" w:hAnsi="Times New Roman" w:eastAsia="宋体" w:cs="Times New Roman"/>
                        <w:sz w:val="21"/>
                        <w:lang w:val="en-US" w:eastAsia="zh-CN"/>
                      </w:rPr>
                      <w:t>马家沟</w:t>
                    </w:r>
                    <w:r>
                      <w:rPr>
                        <w:rFonts w:hint="eastAsia" w:ascii="Times New Roman" w:hAnsi="Times New Roman" w:eastAsia="宋体" w:cs="Times New Roman"/>
                        <w:sz w:val="21"/>
                      </w:rPr>
                      <w:t>河，最终汇入松花江</w:t>
                    </w:r>
                  </w:p>
                </w:txbxContent>
              </v:textbox>
            </v:rect>
            <v:shape id="_x0000_s2472" o:spid="_x0000_s2472" o:spt="32" type="#_x0000_t32" style="position:absolute;left:3412;top:3098;height:1;width:650;" filled="f" stroked="t" coordsize="21600,21600">
              <v:path arrowok="t"/>
              <v:fill on="f" focussize="0,0"/>
              <v:stroke color="#000000" endarrow="block"/>
              <v:imagedata o:title=""/>
              <o:lock v:ext="edit" aspectratio="f"/>
            </v:shape>
            <v:rect id="_x0000_s2473" o:spid="_x0000_s2473" o:spt="1" style="position:absolute;left:4060;top:2941;height:450;width:1410;" fillcolor="#FFFFFF" filled="t" stroked="t" coordsize="21600,21600">
              <v:path/>
              <v:fill on="t" color2="#FFFFFF" focussize="0,0"/>
              <v:stroke color="#000000" joinstyle="miter"/>
              <v:imagedata o:title=""/>
              <o:lock v:ext="edit" aspectratio="f"/>
              <v:textbox>
                <w:txbxContent>
                  <w:p w14:paraId="3F9967BB">
                    <w:pPr>
                      <w:wordWrap/>
                      <w:adjustRightInd/>
                      <w:snapToGrid/>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切屑液配置</w:t>
                    </w:r>
                  </w:p>
                </w:txbxContent>
              </v:textbox>
            </v:rect>
            <v:shape id="_x0000_s2474" o:spid="_x0000_s2474" o:spt="32" type="#_x0000_t32" style="position:absolute;left:3429;top:5272;height:1;width:594;" filled="f" stroked="t" coordsize="21600,21600">
              <v:path arrowok="t"/>
              <v:fill on="f" focussize="0,0"/>
              <v:stroke color="#000000" endarrow="block"/>
              <v:imagedata o:title=""/>
              <o:lock v:ext="edit" aspectratio="f"/>
            </v:shape>
            <v:rect id="_x0000_s2475" o:spid="_x0000_s2475" o:spt="1" style="position:absolute;left:4028;top:5006;height:450;width:1448;" fillcolor="#FFFFFF" filled="t" stroked="t" coordsize="21600,21600">
              <v:path/>
              <v:fill on="t" color2="#FFFFFF" focussize="0,0"/>
              <v:stroke color="#000000" joinstyle="miter"/>
              <v:imagedata o:title=""/>
              <o:lock v:ext="edit" aspectratio="f"/>
              <v:textbox>
                <w:txbxContent>
                  <w:p w14:paraId="5BAE2F0C">
                    <w:pPr>
                      <w:wordWrap/>
                      <w:adjustRightInd/>
                      <w:snapToGrid/>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清洗液配置</w:t>
                    </w:r>
                  </w:p>
                </w:txbxContent>
              </v:textbox>
            </v:rect>
            <v:shape id="_x0000_s2476" o:spid="_x0000_s2476" o:spt="32" type="#_x0000_t32" style="position:absolute;left:7333;top:5228;height:1;width:1084;" filled="f" stroked="t" coordsize="21600,21600">
              <v:path arrowok="t"/>
              <v:fill on="f" focussize="0,0"/>
              <v:stroke color="#000000" endarrow="block"/>
              <v:imagedata o:title=""/>
              <o:lock v:ext="edit" aspectratio="f"/>
            </v:shape>
            <v:rect id="_x0000_s2477" o:spid="_x0000_s2477" o:spt="1" style="position:absolute;left:8418;top:2804;height:4064;width:470;" fillcolor="#FFFFFF" filled="t" stroked="t" coordsize="21600,21600">
              <v:path/>
              <v:fill on="t" color2="#FFFFFF" focussize="0,0"/>
              <v:stroke color="#000000" joinstyle="miter"/>
              <v:imagedata o:title=""/>
              <o:lock v:ext="edit" aspectratio="f"/>
              <v:textbox>
                <w:txbxContent>
                  <w:p w14:paraId="7394E6B6">
                    <w:pPr>
                      <w:wordWrap/>
                      <w:adjustRightInd/>
                      <w:snapToGrid/>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4号厂房</w:t>
                    </w:r>
                  </w:p>
                  <w:p w14:paraId="2E56C440">
                    <w:pPr>
                      <w:wordWrap/>
                      <w:adjustRightInd/>
                      <w:snapToGrid/>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污水处理站</w:t>
                    </w:r>
                  </w:p>
                </w:txbxContent>
              </v:textbox>
            </v:rect>
            <v:shape id="_x0000_s2478" o:spid="_x0000_s2478" o:spt="32" type="#_x0000_t32" style="position:absolute;left:8876;top:4714;height:1;width:665;" filled="f" stroked="t" coordsize="21600,21600">
              <v:path arrowok="t"/>
              <v:fill on="f" focussize="0,0"/>
              <v:stroke color="#000000" endarrow="block"/>
              <v:imagedata o:title=""/>
              <o:lock v:ext="edit" aspectratio="f"/>
            </v:shape>
            <v:rect id="_x0000_s2479" o:spid="_x0000_s2479" o:spt="1" style="position:absolute;left:7141;top:1806;height:391;width:801;" filled="f" stroked="f" coordsize="21600,21600">
              <v:path/>
              <v:fill on="f" focussize="0,0"/>
              <v:stroke on="f"/>
              <v:imagedata o:title=""/>
              <o:lock v:ext="edit" aspectratio="f"/>
              <v:textbox>
                <w:txbxContent>
                  <w:p w14:paraId="67E76230">
                    <w:pPr>
                      <w:wordWrap/>
                      <w:adjustRightInd/>
                      <w:snapToGrid/>
                      <w:spacing w:line="240" w:lineRule="auto"/>
                      <w:ind w:firstLine="0" w:firstLineChars="0"/>
                      <w:jc w:val="center"/>
                      <w:rPr>
                        <w:rFonts w:hint="default" w:ascii="Times New Roman" w:hAnsi="Times New Roman" w:eastAsia="宋体" w:cs="Times New Roman"/>
                        <w:sz w:val="21"/>
                        <w:lang w:val="en-US" w:eastAsia="zh-CN"/>
                      </w:rPr>
                    </w:pPr>
                    <w:r>
                      <w:rPr>
                        <w:rFonts w:hint="eastAsia" w:ascii="Times New Roman" w:hAnsi="Times New Roman" w:eastAsia="宋体" w:cs="Times New Roman"/>
                        <w:sz w:val="21"/>
                      </w:rPr>
                      <w:t>0.</w:t>
                    </w:r>
                    <w:r>
                      <w:rPr>
                        <w:rFonts w:hint="eastAsia" w:cs="Times New Roman"/>
                        <w:sz w:val="21"/>
                        <w:lang w:val="en-US" w:eastAsia="zh-CN"/>
                      </w:rPr>
                      <w:t>16</w:t>
                    </w:r>
                  </w:p>
                </w:txbxContent>
              </v:textbox>
            </v:rect>
            <v:rect id="_x0000_s2480" o:spid="_x0000_s2480" o:spt="1" style="position:absolute;left:7033;top:1508;height:391;width:921;" filled="f" stroked="f" coordsize="21600,21600">
              <v:path/>
              <v:fill on="f" focussize="0,0"/>
              <v:stroke on="f"/>
              <v:imagedata o:title=""/>
              <o:lock v:ext="edit" aspectratio="f"/>
              <v:textbox>
                <w:txbxContent>
                  <w:p w14:paraId="062CD99F">
                    <w:pPr>
                      <w:wordWrap/>
                      <w:adjustRightInd/>
                      <w:snapToGrid/>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损耗</w:t>
                    </w:r>
                  </w:p>
                </w:txbxContent>
              </v:textbox>
            </v:rect>
            <v:rect id="_x0000_s2481" o:spid="_x0000_s2481" o:spt="1" style="position:absolute;left:6455;top:3711;height:391;width:722;" filled="f" stroked="f" coordsize="21600,21600">
              <v:path/>
              <v:fill on="f" focussize="0,0"/>
              <v:stroke on="f"/>
              <v:imagedata o:title=""/>
              <o:lock v:ext="edit" aspectratio="f"/>
              <v:textbox>
                <w:txbxContent>
                  <w:p w14:paraId="46E32038">
                    <w:pPr>
                      <w:wordWrap/>
                      <w:adjustRightInd/>
                      <w:snapToGrid/>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损耗</w:t>
                    </w:r>
                  </w:p>
                </w:txbxContent>
              </v:textbox>
            </v:rect>
            <v:shape id="_x0000_s2482" o:spid="_x0000_s2482" o:spt="32" type="#_x0000_t32" style="position:absolute;left:6515;top:4986;flip:y;height:295;width:269;" filled="f" stroked="t" coordsize="21600,21600">
              <v:path arrowok="t"/>
              <v:fill on="f" focussize="0,0"/>
              <v:stroke color="#000000" dashstyle="dash" endarrow="block"/>
              <v:imagedata o:title=""/>
              <o:lock v:ext="edit" aspectratio="f"/>
            </v:shape>
            <v:rect id="_x0000_s2483" o:spid="_x0000_s2483" o:spt="1" style="position:absolute;left:6568;top:4013;height:391;width:843;" filled="f" stroked="f" coordsize="21600,21600">
              <v:path/>
              <v:fill on="f" focussize="0,0"/>
              <v:stroke on="f"/>
              <v:imagedata o:title=""/>
              <o:lock v:ext="edit" aspectratio="f"/>
              <v:textbox>
                <w:txbxContent>
                  <w:p w14:paraId="3253D40B">
                    <w:pPr>
                      <w:wordWrap/>
                      <w:adjustRightInd/>
                      <w:snapToGrid/>
                      <w:spacing w:line="240" w:lineRule="auto"/>
                      <w:ind w:firstLine="0" w:firstLineChars="0"/>
                      <w:jc w:val="center"/>
                      <w:rPr>
                        <w:rFonts w:hint="default" w:ascii="Times New Roman" w:hAnsi="Times New Roman" w:eastAsia="宋体" w:cs="Times New Roman"/>
                        <w:sz w:val="21"/>
                        <w:lang w:val="en-US" w:eastAsia="zh-CN"/>
                      </w:rPr>
                    </w:pPr>
                    <w:r>
                      <w:rPr>
                        <w:rFonts w:hint="eastAsia" w:ascii="Times New Roman" w:hAnsi="Times New Roman" w:eastAsia="宋体" w:cs="Times New Roman"/>
                        <w:sz w:val="21"/>
                      </w:rPr>
                      <w:t>0.</w:t>
                    </w:r>
                    <w:r>
                      <w:rPr>
                        <w:rFonts w:hint="eastAsia" w:ascii="Times New Roman" w:hAnsi="Times New Roman" w:eastAsia="宋体" w:cs="Times New Roman"/>
                        <w:sz w:val="21"/>
                        <w:lang w:val="en-US" w:eastAsia="zh-CN"/>
                      </w:rPr>
                      <w:t>57</w:t>
                    </w:r>
                  </w:p>
                </w:txbxContent>
              </v:textbox>
            </v:rect>
            <v:rect id="_x0000_s2484" o:spid="_x0000_s2484" o:spt="1" style="position:absolute;left:3255;top:2710;height:391;width:847;" filled="f" stroked="f" coordsize="21600,21600">
              <v:path/>
              <v:fill on="f" focussize="0,0"/>
              <v:stroke on="f"/>
              <v:imagedata o:title=""/>
              <o:lock v:ext="edit" aspectratio="f"/>
              <v:textbox>
                <w:txbxContent>
                  <w:p w14:paraId="7B2510BB">
                    <w:pPr>
                      <w:wordWrap/>
                      <w:adjustRightInd/>
                      <w:snapToGrid/>
                      <w:spacing w:line="240" w:lineRule="auto"/>
                      <w:ind w:firstLine="0" w:firstLineChars="0"/>
                      <w:jc w:val="center"/>
                      <w:rPr>
                        <w:rFonts w:hint="default" w:ascii="Times New Roman" w:hAnsi="Times New Roman" w:eastAsia="宋体" w:cs="Times New Roman"/>
                        <w:sz w:val="21"/>
                        <w:lang w:val="en-US" w:eastAsia="zh-CN"/>
                      </w:rPr>
                    </w:pPr>
                    <w:r>
                      <w:rPr>
                        <w:rFonts w:hint="eastAsia" w:ascii="Times New Roman" w:hAnsi="Times New Roman" w:eastAsia="宋体" w:cs="Times New Roman"/>
                        <w:sz w:val="21"/>
                        <w:lang w:val="en-US" w:eastAsia="zh-CN"/>
                      </w:rPr>
                      <w:t>0.</w:t>
                    </w:r>
                    <w:r>
                      <w:rPr>
                        <w:rFonts w:hint="eastAsia" w:cs="Times New Roman"/>
                        <w:sz w:val="21"/>
                        <w:lang w:val="en-US" w:eastAsia="zh-CN"/>
                      </w:rPr>
                      <w:t>70</w:t>
                    </w:r>
                  </w:p>
                </w:txbxContent>
              </v:textbox>
            </v:rect>
            <v:rect id="_x0000_s2485" o:spid="_x0000_s2485" o:spt="1" style="position:absolute;left:2693;top:3787;height:420;width:962;" filled="f" stroked="f" coordsize="21600,21600">
              <v:path/>
              <v:fill on="f" focussize="0,0"/>
              <v:stroke on="f"/>
              <v:imagedata o:title=""/>
              <o:lock v:ext="edit" aspectratio="f"/>
              <v:textbox>
                <w:txbxContent>
                  <w:p w14:paraId="468CFB9D">
                    <w:pPr>
                      <w:wordWrap/>
                      <w:adjustRightInd/>
                      <w:snapToGrid/>
                      <w:spacing w:line="240" w:lineRule="auto"/>
                      <w:ind w:firstLine="0" w:firstLineChars="0"/>
                      <w:jc w:val="center"/>
                      <w:rPr>
                        <w:rFonts w:hint="default" w:ascii="Times New Roman" w:hAnsi="Times New Roman" w:eastAsia="宋体" w:cs="Times New Roman"/>
                        <w:sz w:val="21"/>
                        <w:lang w:val="en-US" w:eastAsia="zh-CN"/>
                      </w:rPr>
                    </w:pPr>
                    <w:r>
                      <w:rPr>
                        <w:rFonts w:hint="eastAsia" w:cs="Times New Roman"/>
                        <w:sz w:val="21"/>
                        <w:lang w:val="en-US" w:eastAsia="zh-CN"/>
                      </w:rPr>
                      <w:t>407.82</w:t>
                    </w:r>
                  </w:p>
                </w:txbxContent>
              </v:textbox>
            </v:rect>
            <v:rect id="_x0000_s2486" o:spid="_x0000_s2486" o:spt="1" style="position:absolute;left:3280;top:4797;height:437;width:871;" filled="f" stroked="f" coordsize="21600,21600">
              <v:path/>
              <v:fill on="f" focussize="0,0"/>
              <v:stroke on="f"/>
              <v:imagedata o:title=""/>
              <o:lock v:ext="edit" aspectratio="f"/>
              <v:textbox>
                <w:txbxContent>
                  <w:p w14:paraId="30C0DEBB">
                    <w:pPr>
                      <w:wordWrap/>
                      <w:adjustRightInd/>
                      <w:snapToGrid/>
                      <w:spacing w:line="240" w:lineRule="auto"/>
                      <w:ind w:firstLine="0" w:firstLineChars="0"/>
                      <w:jc w:val="center"/>
                      <w:rPr>
                        <w:rFonts w:hint="default" w:ascii="Times New Roman" w:hAnsi="Times New Roman" w:eastAsia="宋体" w:cs="Times New Roman"/>
                        <w:sz w:val="21"/>
                        <w:lang w:val="en-US" w:eastAsia="zh-CN"/>
                      </w:rPr>
                    </w:pPr>
                    <w:r>
                      <w:rPr>
                        <w:rFonts w:hint="eastAsia" w:ascii="Times New Roman" w:hAnsi="Times New Roman" w:eastAsia="宋体" w:cs="Times New Roman"/>
                        <w:sz w:val="21"/>
                      </w:rPr>
                      <w:t>2.</w:t>
                    </w:r>
                    <w:r>
                      <w:rPr>
                        <w:rFonts w:hint="eastAsia" w:cs="Times New Roman"/>
                        <w:sz w:val="21"/>
                        <w:lang w:val="en-US" w:eastAsia="zh-CN"/>
                      </w:rPr>
                      <w:t>04</w:t>
                    </w:r>
                  </w:p>
                </w:txbxContent>
              </v:textbox>
            </v:rect>
            <v:rect id="_x0000_s2487" o:spid="_x0000_s2487" o:spt="1" style="position:absolute;left:7657;top:4859;flip:y;height:411;width:706;" filled="f" stroked="f" coordsize="21600,21600">
              <v:path/>
              <v:fill on="f" focussize="0,0"/>
              <v:stroke on="f"/>
              <v:imagedata o:title=""/>
              <o:lock v:ext="edit" aspectratio="f"/>
              <v:textbox>
                <w:txbxContent>
                  <w:p w14:paraId="538BF1AE">
                    <w:pPr>
                      <w:wordWrap/>
                      <w:adjustRightInd/>
                      <w:snapToGrid/>
                      <w:spacing w:line="240" w:lineRule="auto"/>
                      <w:ind w:firstLine="0" w:firstLineChars="0"/>
                      <w:jc w:val="center"/>
                      <w:rPr>
                        <w:rFonts w:hint="default" w:ascii="Times New Roman" w:hAnsi="Times New Roman" w:eastAsia="宋体" w:cs="Times New Roman"/>
                        <w:sz w:val="21"/>
                        <w:lang w:val="en-US" w:eastAsia="zh-CN"/>
                      </w:rPr>
                    </w:pPr>
                    <w:r>
                      <w:rPr>
                        <w:rFonts w:hint="eastAsia" w:cs="Times New Roman"/>
                        <w:sz w:val="21"/>
                        <w:lang w:val="en-US" w:eastAsia="zh-CN"/>
                      </w:rPr>
                      <w:t>1.8</w:t>
                    </w:r>
                  </w:p>
                </w:txbxContent>
              </v:textbox>
            </v:rect>
            <v:rect id="_x0000_s2488" o:spid="_x0000_s2488" o:spt="1" style="position:absolute;left:7734;top:2805;height:391;width:804;" filled="f" stroked="f" coordsize="21600,21600">
              <v:path/>
              <v:fill on="f" focussize="0,0"/>
              <v:stroke on="f"/>
              <v:imagedata o:title=""/>
              <o:lock v:ext="edit" aspectratio="f"/>
              <v:textbox>
                <w:txbxContent>
                  <w:p w14:paraId="084D6B3A">
                    <w:pPr>
                      <w:wordWrap/>
                      <w:adjustRightInd/>
                      <w:snapToGrid/>
                      <w:spacing w:line="240" w:lineRule="auto"/>
                      <w:ind w:firstLine="0" w:firstLineChars="0"/>
                      <w:jc w:val="center"/>
                      <w:rPr>
                        <w:rFonts w:hint="default" w:ascii="Times New Roman" w:hAnsi="Times New Roman" w:eastAsia="宋体" w:cs="Times New Roman"/>
                        <w:sz w:val="21"/>
                        <w:lang w:val="en-US" w:eastAsia="zh-CN"/>
                      </w:rPr>
                    </w:pPr>
                    <w:r>
                      <w:rPr>
                        <w:rFonts w:hint="eastAsia" w:ascii="Times New Roman" w:hAnsi="Times New Roman" w:eastAsia="宋体" w:cs="Times New Roman"/>
                        <w:sz w:val="21"/>
                        <w:lang w:val="en-US" w:eastAsia="zh-CN"/>
                      </w:rPr>
                      <w:t>0.</w:t>
                    </w:r>
                    <w:r>
                      <w:rPr>
                        <w:rFonts w:hint="eastAsia" w:cs="Times New Roman"/>
                        <w:sz w:val="21"/>
                        <w:lang w:val="en-US" w:eastAsia="zh-CN"/>
                      </w:rPr>
                      <w:t>64</w:t>
                    </w:r>
                  </w:p>
                </w:txbxContent>
              </v:textbox>
            </v:rect>
            <v:rect id="_x0000_s2489" o:spid="_x0000_s2489" o:spt="1" style="position:absolute;left:5342;top:4874;height:391;width:847;" filled="f" stroked="f" coordsize="21600,21600">
              <v:path/>
              <v:fill on="f" focussize="0,0"/>
              <v:stroke on="f"/>
              <v:imagedata o:title=""/>
              <o:lock v:ext="edit" aspectratio="f"/>
              <v:textbox>
                <w:txbxContent>
                  <w:p w14:paraId="4D66A60E">
                    <w:pPr>
                      <w:wordWrap/>
                      <w:adjustRightInd/>
                      <w:snapToGrid/>
                      <w:spacing w:line="240" w:lineRule="auto"/>
                      <w:ind w:firstLine="0" w:firstLineChars="0"/>
                      <w:jc w:val="center"/>
                      <w:rPr>
                        <w:rFonts w:hint="default" w:ascii="Times New Roman" w:hAnsi="Times New Roman" w:eastAsia="宋体" w:cs="Times New Roman"/>
                        <w:sz w:val="21"/>
                        <w:lang w:val="en-US" w:eastAsia="zh-CN"/>
                      </w:rPr>
                    </w:pPr>
                    <w:r>
                      <w:rPr>
                        <w:rFonts w:hint="eastAsia" w:ascii="Times New Roman" w:hAnsi="Times New Roman" w:eastAsia="宋体" w:cs="Times New Roman"/>
                        <w:sz w:val="21"/>
                      </w:rPr>
                      <w:t>2.</w:t>
                    </w:r>
                    <w:r>
                      <w:rPr>
                        <w:rFonts w:hint="eastAsia" w:cs="Times New Roman"/>
                        <w:sz w:val="21"/>
                        <w:lang w:val="en-US" w:eastAsia="zh-CN"/>
                      </w:rPr>
                      <w:t>15</w:t>
                    </w:r>
                  </w:p>
                </w:txbxContent>
              </v:textbox>
            </v:rect>
            <v:shape id="_x0000_s2490" o:spid="_x0000_s2490" o:spt="32" type="#_x0000_t32" style="position:absolute;left:5477;top:3197;height:1;width:643;" filled="f" stroked="t" coordsize="21600,21600">
              <v:path arrowok="t"/>
              <v:fill on="f" focussize="0,0"/>
              <v:stroke color="#000000" endarrow="block"/>
              <v:imagedata o:title=""/>
              <o:lock v:ext="edit" aspectratio="f"/>
            </v:shape>
            <v:rect id="_x0000_s2491" o:spid="_x0000_s2491" o:spt="1" style="position:absolute;left:6120;top:2929;height:450;width:1617;" fillcolor="#FFFFFF" filled="t" stroked="t" coordsize="21600,21600">
              <v:path/>
              <v:fill on="t" color2="#FFFFFF" focussize="0,0"/>
              <v:stroke color="#000000" joinstyle="miter"/>
              <v:imagedata o:title=""/>
              <o:lock v:ext="edit" aspectratio="f"/>
              <v:textbox>
                <w:txbxContent>
                  <w:p w14:paraId="7A471CF7">
                    <w:pPr>
                      <w:wordWrap/>
                      <w:adjustRightInd/>
                      <w:snapToGrid/>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机械加工设备</w:t>
                    </w:r>
                  </w:p>
                </w:txbxContent>
              </v:textbox>
            </v:rect>
            <v:shape id="_x0000_s2492" o:spid="_x0000_s2492" o:spt="32" type="#_x0000_t32" style="position:absolute;left:7737;top:3161;height:1;width:683;" filled="f" stroked="t" coordsize="21600,21600">
              <v:path arrowok="t"/>
              <v:fill on="f" focussize="0,0"/>
              <v:stroke color="#000000" endarrow="block"/>
              <v:imagedata o:title=""/>
              <o:lock v:ext="edit" aspectratio="f"/>
            </v:shape>
            <v:rect id="_x0000_s2493" o:spid="_x0000_s2493" o:spt="1" style="position:absolute;left:5331;top:2817;height:391;width:879;" filled="f" stroked="f" coordsize="21600,21600">
              <v:path/>
              <v:fill on="f" focussize="0,0"/>
              <v:stroke on="f"/>
              <v:imagedata o:title=""/>
              <o:lock v:ext="edit" aspectratio="f"/>
              <v:textbox>
                <w:txbxContent>
                  <w:p w14:paraId="44E73BD0">
                    <w:pPr>
                      <w:wordWrap/>
                      <w:adjustRightInd/>
                      <w:snapToGrid/>
                      <w:spacing w:line="240" w:lineRule="auto"/>
                      <w:ind w:firstLine="0" w:firstLineChars="0"/>
                      <w:jc w:val="center"/>
                      <w:rPr>
                        <w:rFonts w:hint="default" w:ascii="Times New Roman" w:hAnsi="Times New Roman" w:eastAsia="宋体" w:cs="Times New Roman"/>
                        <w:sz w:val="21"/>
                        <w:lang w:val="en-US" w:eastAsia="zh-CN"/>
                      </w:rPr>
                    </w:pPr>
                    <w:r>
                      <w:rPr>
                        <w:rFonts w:hint="eastAsia" w:ascii="Times New Roman" w:hAnsi="Times New Roman" w:eastAsia="宋体" w:cs="Times New Roman"/>
                        <w:sz w:val="21"/>
                      </w:rPr>
                      <w:t>0.</w:t>
                    </w:r>
                    <w:r>
                      <w:rPr>
                        <w:rFonts w:hint="eastAsia" w:cs="Times New Roman"/>
                        <w:sz w:val="21"/>
                        <w:lang w:val="en-US" w:eastAsia="zh-CN"/>
                      </w:rPr>
                      <w:t>80</w:t>
                    </w:r>
                  </w:p>
                </w:txbxContent>
              </v:textbox>
            </v:rect>
            <v:shape id="_x0000_s2494" o:spid="_x0000_s2494" o:spt="32" type="#_x0000_t32" style="position:absolute;left:4752;top:2652;height:299;width:1;" filled="f" stroked="t" coordsize="21600,21600">
              <v:path arrowok="t"/>
              <v:fill on="f" focussize="0,0"/>
              <v:stroke color="#000000" endarrow="block"/>
              <v:imagedata o:title=""/>
              <o:lock v:ext="edit" aspectratio="f"/>
            </v:shape>
            <v:rect id="_x0000_s2495" o:spid="_x0000_s2495" o:spt="1" style="position:absolute;left:4058;top:2245;height:450;width:1410;" filled="f" stroked="f" coordsize="21600,21600">
              <v:path/>
              <v:fill on="f" focussize="0,0"/>
              <v:stroke on="f"/>
              <v:imagedata o:title=""/>
              <o:lock v:ext="edit" aspectratio="f"/>
              <v:textbox>
                <w:txbxContent>
                  <w:p w14:paraId="57531851">
                    <w:pPr>
                      <w:wordWrap/>
                      <w:adjustRightInd/>
                      <w:snapToGrid/>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切削液母液</w:t>
                    </w:r>
                  </w:p>
                </w:txbxContent>
              </v:textbox>
            </v:rect>
            <v:rect id="_x0000_s2496" o:spid="_x0000_s2496" o:spt="1" style="position:absolute;left:4810;top:2551;height:391;width:768;" filled="f" stroked="f" coordsize="21600,21600">
              <v:path/>
              <v:fill on="f" focussize="0,0"/>
              <v:stroke on="f"/>
              <v:imagedata o:title=""/>
              <o:lock v:ext="edit" aspectratio="f"/>
              <v:textbox>
                <w:txbxContent>
                  <w:p w14:paraId="4F46FF90">
                    <w:pPr>
                      <w:wordWrap/>
                      <w:adjustRightInd/>
                      <w:snapToGrid/>
                      <w:spacing w:line="240" w:lineRule="auto"/>
                      <w:ind w:firstLine="0" w:firstLineChars="0"/>
                      <w:jc w:val="center"/>
                      <w:rPr>
                        <w:rFonts w:hint="eastAsia" w:ascii="Times New Roman" w:hAnsi="Times New Roman" w:eastAsia="宋体" w:cs="Times New Roman"/>
                        <w:sz w:val="21"/>
                        <w:lang w:eastAsia="zh-CN"/>
                      </w:rPr>
                    </w:pPr>
                    <w:r>
                      <w:rPr>
                        <w:rFonts w:hint="eastAsia" w:ascii="Times New Roman" w:hAnsi="Times New Roman" w:eastAsia="宋体" w:cs="Times New Roman"/>
                        <w:sz w:val="21"/>
                      </w:rPr>
                      <w:t>0.0</w:t>
                    </w:r>
                    <w:r>
                      <w:rPr>
                        <w:rFonts w:hint="eastAsia" w:cs="Times New Roman"/>
                        <w:sz w:val="21"/>
                        <w:lang w:val="en-US" w:eastAsia="zh-CN"/>
                      </w:rPr>
                      <w:t>6</w:t>
                    </w:r>
                  </w:p>
                </w:txbxContent>
              </v:textbox>
            </v:rect>
            <v:shape id="_x0000_s2497" o:spid="_x0000_s2497" o:spt="32" type="#_x0000_t32" style="position:absolute;left:5479;top:5227;height:1;width:651;" filled="f" stroked="t" coordsize="21600,21600">
              <v:path arrowok="t"/>
              <v:fill on="f" focussize="0,0"/>
              <v:stroke color="#000000" endarrow="block"/>
              <v:imagedata o:title=""/>
              <o:lock v:ext="edit" aspectratio="f"/>
            </v:shape>
            <v:rect id="_x0000_s2498" o:spid="_x0000_s2498" o:spt="1" style="position:absolute;left:6130;top:5006;height:450;width:1195;" fillcolor="#FFFFFF" filled="t" stroked="t" coordsize="21600,21600">
              <v:path/>
              <v:fill on="t" color2="#FFFFFF" focussize="0,0"/>
              <v:stroke color="#000000" joinstyle="miter"/>
              <v:imagedata o:title=""/>
              <o:lock v:ext="edit" aspectratio="f"/>
              <v:textbox>
                <w:txbxContent>
                  <w:p w14:paraId="646C7BAB">
                    <w:pPr>
                      <w:wordWrap/>
                      <w:adjustRightInd/>
                      <w:snapToGrid/>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清洗设备</w:t>
                    </w:r>
                  </w:p>
                </w:txbxContent>
              </v:textbox>
            </v:rect>
            <v:shape id="_x0000_s2499" o:spid="_x0000_s2499" o:spt="32" type="#_x0000_t32" style="position:absolute;left:4622;top:4670;height:299;width:1;" filled="f" stroked="t" coordsize="21600,21600">
              <v:path arrowok="t"/>
              <v:fill on="f" focussize="0,0"/>
              <v:stroke color="#000000" endarrow="block"/>
              <v:imagedata o:title=""/>
              <o:lock v:ext="edit" aspectratio="f"/>
            </v:shape>
            <v:rect id="_x0000_s2500" o:spid="_x0000_s2500" o:spt="1" style="position:absolute;left:4023;top:4344;height:450;width:1410;" filled="f" stroked="f" coordsize="21600,21600">
              <v:path/>
              <v:fill on="f" focussize="0,0"/>
              <v:stroke on="f"/>
              <v:imagedata o:title=""/>
              <o:lock v:ext="edit" aspectratio="f"/>
              <v:textbox>
                <w:txbxContent>
                  <w:p w14:paraId="3E218768">
                    <w:pPr>
                      <w:wordWrap/>
                      <w:adjustRightInd/>
                      <w:snapToGrid/>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清洗液原液</w:t>
                    </w:r>
                  </w:p>
                </w:txbxContent>
              </v:textbox>
            </v:rect>
            <v:rect id="_x0000_s2501" o:spid="_x0000_s2501" o:spt="1" style="position:absolute;left:4592;top:4612;height:391;width:877;" filled="f" stroked="f" coordsize="21600,21600">
              <v:path/>
              <v:fill on="f" focussize="0,0"/>
              <v:stroke on="f"/>
              <v:imagedata o:title=""/>
              <o:lock v:ext="edit" aspectratio="f"/>
              <v:textbox>
                <w:txbxContent>
                  <w:p w14:paraId="74061F00">
                    <w:pPr>
                      <w:wordWrap/>
                      <w:adjustRightInd/>
                      <w:snapToGrid/>
                      <w:spacing w:line="240" w:lineRule="auto"/>
                      <w:ind w:firstLine="0" w:firstLineChars="0"/>
                      <w:jc w:val="center"/>
                      <w:rPr>
                        <w:rFonts w:hint="eastAsia" w:ascii="Times New Roman" w:hAnsi="Times New Roman" w:eastAsia="宋体" w:cs="Times New Roman"/>
                        <w:sz w:val="21"/>
                        <w:lang w:eastAsia="zh-CN"/>
                      </w:rPr>
                    </w:pPr>
                    <w:r>
                      <w:rPr>
                        <w:rFonts w:hint="eastAsia" w:ascii="Times New Roman" w:hAnsi="Times New Roman" w:eastAsia="宋体" w:cs="Times New Roman"/>
                        <w:sz w:val="21"/>
                      </w:rPr>
                      <w:t>0.1</w:t>
                    </w:r>
                    <w:r>
                      <w:rPr>
                        <w:rFonts w:hint="eastAsia" w:cs="Times New Roman"/>
                        <w:sz w:val="21"/>
                        <w:lang w:val="en-US" w:eastAsia="zh-CN"/>
                      </w:rPr>
                      <w:t>1</w:t>
                    </w:r>
                  </w:p>
                </w:txbxContent>
              </v:textbox>
            </v:rect>
            <v:rect id="_x0000_s2502" o:spid="_x0000_s2502" o:spt="1" style="position:absolute;left:3944;top:2144;height:1411;width:3974;" filled="f" stroked="t" coordsize="21600,21600">
              <v:path/>
              <v:fill on="f" focussize="0,0"/>
              <v:stroke color="#000000" joinstyle="miter" dashstyle="dash"/>
              <v:imagedata o:title=""/>
              <o:lock v:ext="edit" aspectratio="f"/>
            </v:rect>
            <v:shape id="_x0000_s2503" o:spid="_x0000_s2503" o:spt="32" type="#_x0000_t32" style="position:absolute;left:6940;top:1865;flip:y;height:279;width:492;" filled="f" stroked="t" coordsize="21600,21600">
              <v:path arrowok="t"/>
              <v:fill on="f" focussize="0,0"/>
              <v:stroke color="#000000" dashstyle="dash" endarrow="block"/>
              <v:imagedata o:title=""/>
              <o:lock v:ext="edit" aspectratio="f"/>
            </v:shape>
            <v:shape id="_x0000_s2504" o:spid="_x0000_s2504" o:spt="32" type="#_x0000_t32" style="position:absolute;left:6939;top:2652;height:299;width:1;" filled="f" stroked="t" coordsize="21600,21600">
              <v:path arrowok="t"/>
              <v:fill on="f" focussize="0,0"/>
              <v:stroke color="#000000" endarrow="block"/>
              <v:imagedata o:title=""/>
              <o:lock v:ext="edit" aspectratio="f"/>
            </v:shape>
            <v:rect id="_x0000_s2505" o:spid="_x0000_s2505" o:spt="1" style="position:absolute;left:6436;top:2316;height:450;width:1006;" filled="f" stroked="f" coordsize="21600,21600">
              <v:path/>
              <v:fill on="f" focussize="0,0"/>
              <v:stroke on="f"/>
              <v:imagedata o:title=""/>
              <o:lock v:ext="edit" aspectratio="f"/>
              <v:textbox>
                <w:txbxContent>
                  <w:p w14:paraId="738D9159">
                    <w:pPr>
                      <w:wordWrap/>
                      <w:adjustRightInd/>
                      <w:snapToGrid/>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清洗水</w:t>
                    </w:r>
                  </w:p>
                </w:txbxContent>
              </v:textbox>
            </v:rect>
            <v:rect id="_x0000_s2506" o:spid="_x0000_s2506" o:spt="1" style="position:absolute;left:6890;top:2550;height:391;width:768;" filled="f" stroked="f" coordsize="21600,21600">
              <v:path/>
              <v:fill on="f" focussize="0,0"/>
              <v:stroke on="f"/>
              <v:imagedata o:title=""/>
              <o:lock v:ext="edit" aspectratio="f"/>
              <v:textbox>
                <w:txbxContent>
                  <w:p w14:paraId="64D69A82">
                    <w:pPr>
                      <w:wordWrap/>
                      <w:adjustRightInd/>
                      <w:snapToGrid/>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0.04</w:t>
                    </w:r>
                  </w:p>
                </w:txbxContent>
              </v:textbox>
            </v:rect>
            <v:rect id="_x0000_s2507" o:spid="_x0000_s2507" o:spt="1" style="position:absolute;left:3819;top:4392;height:1226;width:3974;" filled="f" stroked="t" coordsize="21600,21600">
              <v:path/>
              <v:fill on="f" focussize="0,0"/>
              <v:stroke color="#000000" joinstyle="miter" dashstyle="dash"/>
              <v:imagedata o:title=""/>
              <o:lock v:ext="edit" aspectratio="f"/>
            </v:rect>
            <v:shape id="_x0000_s2508" o:spid="_x0000_s2508" o:spt="32" type="#_x0000_t32" style="position:absolute;left:6737;top:4658;height:299;width:1;" filled="f" stroked="t" coordsize="21600,21600">
              <v:path arrowok="t"/>
              <v:fill on="f" focussize="0,0"/>
              <v:stroke color="#000000" endarrow="block"/>
              <v:imagedata o:title=""/>
              <o:lock v:ext="edit" aspectratio="f"/>
            </v:shape>
            <v:rect id="_x0000_s2509" o:spid="_x0000_s2509" o:spt="1" style="position:absolute;left:6304;top:4318;height:450;width:1006;" filled="f" stroked="f" coordsize="21600,21600">
              <v:path/>
              <v:fill on="f" focussize="0,0"/>
              <v:stroke on="f"/>
              <v:imagedata o:title=""/>
              <o:lock v:ext="edit" aspectratio="f"/>
              <v:textbox>
                <w:txbxContent>
                  <w:p w14:paraId="738F1C6F">
                    <w:pPr>
                      <w:wordWrap/>
                      <w:adjustRightInd/>
                      <w:snapToGrid/>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清洗水</w:t>
                    </w:r>
                  </w:p>
                </w:txbxContent>
              </v:textbox>
            </v:rect>
            <v:rect id="_x0000_s2510" o:spid="_x0000_s2510" o:spt="1" style="position:absolute;left:6589;top:4612;height:391;width:768;" filled="f" stroked="f" coordsize="21600,21600">
              <v:path/>
              <v:fill on="f" focussize="0,0"/>
              <v:stroke on="f"/>
              <v:imagedata o:title=""/>
              <o:lock v:ext="edit" aspectratio="f"/>
              <v:textbox>
                <w:txbxContent>
                  <w:p w14:paraId="2D498D8D">
                    <w:pPr>
                      <w:wordWrap/>
                      <w:adjustRightInd/>
                      <w:snapToGrid/>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0.1</w:t>
                    </w:r>
                  </w:p>
                </w:txbxContent>
              </v:textbox>
            </v:rect>
            <v:rect id="_x0000_s2511" o:spid="_x0000_s2511" o:spt="1" style="position:absolute;left:8840;top:4211;flip:y;height:411;width:809;" filled="f" stroked="f" coordsize="21600,21600">
              <v:path/>
              <v:fill on="f" focussize="0,0"/>
              <v:stroke on="f"/>
              <v:imagedata o:title=""/>
              <o:lock v:ext="edit" aspectratio="f"/>
              <v:textbox>
                <w:txbxContent>
                  <w:p w14:paraId="47FDB5E1">
                    <w:pPr>
                      <w:wordWrap/>
                      <w:adjustRightInd/>
                      <w:snapToGrid/>
                      <w:spacing w:line="240" w:lineRule="auto"/>
                      <w:ind w:firstLine="0" w:firstLineChars="0"/>
                      <w:jc w:val="center"/>
                      <w:rPr>
                        <w:rFonts w:hint="default" w:ascii="Times New Roman" w:hAnsi="Times New Roman" w:eastAsia="宋体" w:cs="Times New Roman"/>
                        <w:sz w:val="21"/>
                        <w:lang w:val="en-US" w:eastAsia="zh-CN"/>
                      </w:rPr>
                    </w:pPr>
                    <w:r>
                      <w:rPr>
                        <w:rFonts w:hint="eastAsia" w:eastAsia="宋体" w:cs="Times New Roman"/>
                        <w:sz w:val="21"/>
                        <w:lang w:val="en-US" w:eastAsia="zh-CN"/>
                      </w:rPr>
                      <w:t>27.47</w:t>
                    </w:r>
                  </w:p>
                </w:txbxContent>
              </v:textbox>
            </v:rect>
            <v:shape id="_x0000_s2512" o:spid="_x0000_s2512" o:spt="32" type="#_x0000_t32" style="position:absolute;left:6358;top:4116;flip:y;height:260;width:480;" filled="f" stroked="t" coordsize="21600,21600">
              <v:path arrowok="t"/>
              <v:fill on="f" focussize="0,0"/>
              <v:stroke color="#000000" dashstyle="dash" endarrow="block"/>
              <v:imagedata o:title=""/>
              <o:lock v:ext="edit" aspectratio="f"/>
            </v:shape>
            <v:shape id="_x0000_s2513" o:spid="_x0000_s2513" o:spt="32" type="#_x0000_t32" style="position:absolute;left:3436;top:6583;height:0;width:580;" filled="f" stroked="t" coordsize="21600,21600">
              <v:path arrowok="t"/>
              <v:fill on="f" focussize="0,0"/>
              <v:stroke color="#000000" endarrow="block"/>
              <v:imagedata o:title=""/>
              <o:lock v:ext="edit" aspectratio="f"/>
            </v:shape>
            <v:rect id="_x0000_s2514" o:spid="_x0000_s2514" o:spt="1" style="position:absolute;left:3984;top:6331;height:440;width:2245;" fillcolor="#FFFFFF" filled="t" stroked="t" coordsize="21600,21600">
              <v:path/>
              <v:fill on="t" color2="#FFFFFF" focussize="0,0"/>
              <v:stroke color="#000000" joinstyle="miter"/>
              <v:imagedata o:title=""/>
              <o:lock v:ext="edit" aspectratio="f"/>
              <v:textbox>
                <w:txbxContent>
                  <w:p w14:paraId="0048C9AF">
                    <w:pPr>
                      <w:wordWrap/>
                      <w:adjustRightInd/>
                      <w:snapToGrid/>
                      <w:spacing w:line="240" w:lineRule="auto"/>
                      <w:ind w:firstLine="0" w:firstLineChars="0"/>
                      <w:jc w:val="center"/>
                      <w:rPr>
                        <w:rFonts w:hint="default" w:ascii="Times New Roman" w:hAnsi="Times New Roman" w:eastAsia="宋体" w:cs="Times New Roman"/>
                        <w:sz w:val="21"/>
                        <w:lang w:val="en-US" w:eastAsia="zh-CN"/>
                      </w:rPr>
                    </w:pPr>
                    <w:r>
                      <w:rPr>
                        <w:rFonts w:hint="eastAsia" w:eastAsia="宋体" w:cs="Times New Roman"/>
                        <w:sz w:val="21"/>
                        <w:lang w:val="en-US" w:eastAsia="zh-CN"/>
                      </w:rPr>
                      <w:t>2号、4号厂房</w:t>
                    </w:r>
                  </w:p>
                </w:txbxContent>
              </v:textbox>
            </v:rect>
            <v:shape id="_x0000_s2515" o:spid="_x0000_s2515" o:spt="32" type="#_x0000_t32" style="position:absolute;left:6239;top:6577;height:0;width:2141;" filled="f" stroked="t" coordsize="21600,21600">
              <v:path arrowok="t"/>
              <v:fill on="f" focussize="0,0"/>
              <v:stroke color="#000000" endarrow="block"/>
              <v:imagedata o:title=""/>
              <o:lock v:ext="edit" aspectratio="f"/>
            </v:shape>
            <v:rect id="_x0000_s2516" o:spid="_x0000_s2516" o:spt="1" style="position:absolute;left:4547;top:5678;height:380;width:720;" filled="f" stroked="f" coordsize="21600,21600">
              <v:path/>
              <v:fill on="f" focussize="0,0"/>
              <v:stroke on="f"/>
              <v:imagedata o:title=""/>
              <o:lock v:ext="edit" aspectratio="f"/>
              <v:textbox>
                <w:txbxContent>
                  <w:p w14:paraId="40C1B7F4">
                    <w:pPr>
                      <w:wordWrap/>
                      <w:adjustRightInd/>
                      <w:snapToGrid/>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损耗</w:t>
                    </w:r>
                  </w:p>
                </w:txbxContent>
              </v:textbox>
            </v:rect>
            <v:rect id="_x0000_s2517" o:spid="_x0000_s2517" o:spt="1" style="position:absolute;left:4667;top:5978;height:380;width:1012;" filled="f" stroked="f" coordsize="21600,21600">
              <v:path/>
              <v:fill on="f" focussize="0,0"/>
              <v:stroke on="f"/>
              <v:imagedata o:title=""/>
              <o:lock v:ext="edit" aspectratio="f"/>
              <v:textbox>
                <w:txbxContent>
                  <w:p w14:paraId="41DCDD7E">
                    <w:pPr>
                      <w:wordWrap/>
                      <w:adjustRightInd/>
                      <w:snapToGrid/>
                      <w:spacing w:line="240" w:lineRule="auto"/>
                      <w:ind w:firstLine="0" w:firstLineChars="0"/>
                      <w:jc w:val="center"/>
                      <w:rPr>
                        <w:rFonts w:hint="default" w:ascii="Times New Roman" w:hAnsi="Times New Roman" w:eastAsia="宋体" w:cs="Times New Roman"/>
                        <w:sz w:val="21"/>
                        <w:lang w:val="en-US" w:eastAsia="zh-CN"/>
                      </w:rPr>
                    </w:pPr>
                    <w:r>
                      <w:rPr>
                        <w:rFonts w:hint="eastAsia" w:eastAsia="宋体" w:cs="Times New Roman"/>
                        <w:sz w:val="21"/>
                        <w:lang w:val="en-US" w:eastAsia="zh-CN"/>
                      </w:rPr>
                      <w:t>131.</w:t>
                    </w:r>
                    <w:r>
                      <w:rPr>
                        <w:rFonts w:hint="eastAsia" w:cs="Times New Roman"/>
                        <w:sz w:val="21"/>
                        <w:lang w:val="en-US" w:eastAsia="zh-CN"/>
                      </w:rPr>
                      <w:t>26</w:t>
                    </w:r>
                  </w:p>
                </w:txbxContent>
              </v:textbox>
            </v:rect>
            <v:shape id="_x0000_s2518" o:spid="_x0000_s2518" o:spt="32" type="#_x0000_t32" style="position:absolute;left:4447;top:6078;flip:y;height:260;width:480;" filled="f" stroked="t" coordsize="21600,21600">
              <v:path arrowok="t"/>
              <v:fill on="f" focussize="0,0"/>
              <v:stroke color="#000000" dashstyle="dash" endarrow="block"/>
              <v:imagedata o:title=""/>
              <o:lock v:ext="edit" aspectratio="f"/>
            </v:shape>
            <v:shape id="_x0000_s2528" o:spid="_x0000_s2528" o:spt="32" type="#_x0000_t32" style="position:absolute;left:3416;top:8394;height:0;width:580;" filled="f" stroked="t" coordsize="21600,21600">
              <v:path arrowok="t"/>
              <v:fill on="f" focussize="0,0"/>
              <v:stroke color="#000000" endarrow="block"/>
              <v:imagedata o:title=""/>
              <o:lock v:ext="edit" aspectratio="f"/>
            </v:shape>
            <v:rect id="_x0000_s2529" o:spid="_x0000_s2529" o:spt="1" style="position:absolute;left:3976;top:8154;height:440;width:2434;" fillcolor="#FFFFFF" filled="t" stroked="t" coordsize="21600,21600">
              <v:path/>
              <v:fill on="t" color2="#FFFFFF" focussize="0,0"/>
              <v:stroke color="#000000" joinstyle="miter"/>
              <v:imagedata o:title=""/>
              <o:lock v:ext="edit" aspectratio="f"/>
              <v:textbox>
                <w:txbxContent>
                  <w:p w14:paraId="03A70BA5">
                    <w:pPr>
                      <w:wordWrap/>
                      <w:adjustRightInd/>
                      <w:snapToGrid/>
                      <w:spacing w:line="240" w:lineRule="auto"/>
                      <w:ind w:firstLine="0" w:firstLineChars="0"/>
                      <w:jc w:val="center"/>
                      <w:rPr>
                        <w:rFonts w:hint="default" w:ascii="Times New Roman" w:hAnsi="Times New Roman" w:eastAsia="宋体" w:cs="Times New Roman"/>
                        <w:sz w:val="21"/>
                        <w:lang w:val="en-US" w:eastAsia="zh-CN"/>
                      </w:rPr>
                    </w:pPr>
                    <w:r>
                      <w:rPr>
                        <w:rFonts w:hint="eastAsia" w:eastAsia="宋体" w:cs="Times New Roman"/>
                        <w:sz w:val="21"/>
                        <w:lang w:val="en-US" w:eastAsia="zh-CN"/>
                      </w:rPr>
                      <w:t>1号、3号厂房</w:t>
                    </w:r>
                  </w:p>
                </w:txbxContent>
              </v:textbox>
            </v:rect>
            <v:shape id="_x0000_s2530" o:spid="_x0000_s2530" o:spt="32" type="#_x0000_t32" style="position:absolute;left:6395;top:8408;height:0;width:1582;" filled="f" stroked="t" coordsize="21600,21600">
              <v:path arrowok="t"/>
              <v:fill on="f" focussize="0,0"/>
              <v:stroke color="#000000" endarrow="block"/>
              <v:imagedata o:title=""/>
              <o:lock v:ext="edit" aspectratio="f"/>
            </v:shape>
            <v:rect id="_x0000_s2531" o:spid="_x0000_s2531" o:spt="1" style="position:absolute;left:4536;top:7494;height:380;width:720;" filled="f" stroked="f" coordsize="21600,21600">
              <v:path/>
              <v:fill on="f" focussize="0,0"/>
              <v:stroke on="f"/>
              <v:imagedata o:title=""/>
              <o:lock v:ext="edit" aspectratio="f"/>
              <v:textbox>
                <w:txbxContent>
                  <w:p w14:paraId="63014588">
                    <w:pPr>
                      <w:wordWrap/>
                      <w:adjustRightInd/>
                      <w:snapToGrid/>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损耗</w:t>
                    </w:r>
                  </w:p>
                </w:txbxContent>
              </v:textbox>
            </v:rect>
            <v:rect id="_x0000_s2532" o:spid="_x0000_s2532" o:spt="1" style="position:absolute;left:4656;top:7794;height:380;width:840;" filled="f" stroked="f" coordsize="21600,21600">
              <v:path/>
              <v:fill on="f" focussize="0,0"/>
              <v:stroke on="f"/>
              <v:imagedata o:title=""/>
              <o:lock v:ext="edit" aspectratio="f"/>
              <v:textbox>
                <w:txbxContent>
                  <w:p w14:paraId="52E8DFD7">
                    <w:pPr>
                      <w:wordWrap/>
                      <w:adjustRightInd/>
                      <w:snapToGrid/>
                      <w:spacing w:line="240" w:lineRule="auto"/>
                      <w:ind w:firstLine="0" w:firstLineChars="0"/>
                      <w:jc w:val="center"/>
                      <w:rPr>
                        <w:rFonts w:hint="default" w:ascii="Times New Roman" w:hAnsi="Times New Roman" w:eastAsia="宋体" w:cs="Times New Roman"/>
                        <w:sz w:val="21"/>
                        <w:lang w:val="en-US" w:eastAsia="zh-CN"/>
                      </w:rPr>
                    </w:pPr>
                    <w:r>
                      <w:rPr>
                        <w:rFonts w:hint="eastAsia" w:eastAsia="宋体" w:cs="Times New Roman"/>
                        <w:sz w:val="21"/>
                        <w:lang w:val="en-US" w:eastAsia="zh-CN"/>
                      </w:rPr>
                      <w:t>55.87</w:t>
                    </w:r>
                  </w:p>
                </w:txbxContent>
              </v:textbox>
            </v:rect>
            <v:shape id="_x0000_s2533" o:spid="_x0000_s2533" o:spt="32" type="#_x0000_t32" style="position:absolute;left:4436;top:7894;flip:y;height:260;width:480;" filled="f" stroked="t" coordsize="21600,21600">
              <v:path arrowok="t"/>
              <v:fill on="f" focussize="0,0"/>
              <v:stroke color="#000000" dashstyle="dash" endarrow="block"/>
              <v:imagedata o:title=""/>
              <o:lock v:ext="edit" aspectratio="f"/>
            </v:shape>
            <v:shape id="_x0000_s2540" o:spid="_x0000_s2540" o:spt="32" type="#_x0000_t32" style="position:absolute;left:3389;top:9757;height:0;width:580;" filled="f" stroked="t" coordsize="21600,21600">
              <v:path arrowok="t"/>
              <v:fill on="f" focussize="0,0"/>
              <v:stroke color="#000000" endarrow="block"/>
              <v:imagedata o:title=""/>
              <o:lock v:ext="edit" aspectratio="f"/>
            </v:shape>
            <v:rect id="_x0000_s2541" o:spid="_x0000_s2541" o:spt="1" style="position:absolute;left:3949;top:9517;height:440;width:1440;" fillcolor="#FFFFFF" filled="t" stroked="t" coordsize="21600,21600">
              <v:path/>
              <v:fill on="t" color2="#FFFFFF" focussize="0,0"/>
              <v:stroke color="#000000" joinstyle="miter"/>
              <v:imagedata o:title=""/>
              <o:lock v:ext="edit" aspectratio="f"/>
              <v:textbox>
                <w:txbxContent>
                  <w:p w14:paraId="3E901E7C">
                    <w:pPr>
                      <w:wordWrap/>
                      <w:adjustRightInd/>
                      <w:snapToGrid/>
                      <w:spacing w:line="240" w:lineRule="auto"/>
                      <w:ind w:firstLine="0" w:firstLineChars="0"/>
                      <w:jc w:val="center"/>
                      <w:rPr>
                        <w:rFonts w:hint="default" w:ascii="Times New Roman" w:hAnsi="Times New Roman" w:eastAsia="宋体" w:cs="Times New Roman"/>
                        <w:sz w:val="21"/>
                        <w:lang w:val="en-US" w:eastAsia="zh-CN"/>
                      </w:rPr>
                    </w:pPr>
                    <w:r>
                      <w:rPr>
                        <w:rFonts w:hint="eastAsia" w:eastAsia="宋体" w:cs="Times New Roman"/>
                        <w:sz w:val="21"/>
                        <w:lang w:val="en-US" w:eastAsia="zh-CN"/>
                      </w:rPr>
                      <w:t>生活污水</w:t>
                    </w:r>
                  </w:p>
                </w:txbxContent>
              </v:textbox>
            </v:rect>
            <v:shape id="_x0000_s2542" o:spid="_x0000_s2542" o:spt="32" type="#_x0000_t32" style="position:absolute;left:5409;top:9757;height:1;width:4109;" filled="f" stroked="t" coordsize="21600,21600">
              <v:path arrowok="t"/>
              <v:fill on="f" focussize="0,0"/>
              <v:stroke color="#000000" endarrow="block"/>
              <v:imagedata o:title=""/>
              <o:lock v:ext="edit" aspectratio="f"/>
            </v:shape>
            <v:rect id="_x0000_s2543" o:spid="_x0000_s2543" o:spt="1" style="position:absolute;left:4509;top:8857;height:380;width:720;" filled="f" stroked="f" coordsize="21600,21600">
              <v:path/>
              <v:fill on="f" focussize="0,0"/>
              <v:stroke on="f"/>
              <v:imagedata o:title=""/>
              <o:lock v:ext="edit" aspectratio="f"/>
              <v:textbox>
                <w:txbxContent>
                  <w:p w14:paraId="4776A69D">
                    <w:pPr>
                      <w:wordWrap/>
                      <w:adjustRightInd/>
                      <w:snapToGrid/>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损耗</w:t>
                    </w:r>
                  </w:p>
                </w:txbxContent>
              </v:textbox>
            </v:rect>
            <v:rect id="_x0000_s2544" o:spid="_x0000_s2544" o:spt="1" style="position:absolute;left:4629;top:9157;height:380;width:840;" filled="f" stroked="f" coordsize="21600,21600">
              <v:path/>
              <v:fill on="f" focussize="0,0"/>
              <v:stroke on="f"/>
              <v:imagedata o:title=""/>
              <o:lock v:ext="edit" aspectratio="f"/>
              <v:textbox>
                <w:txbxContent>
                  <w:p w14:paraId="7A99D71D">
                    <w:pPr>
                      <w:wordWrap/>
                      <w:adjustRightInd/>
                      <w:snapToGrid/>
                      <w:spacing w:line="240" w:lineRule="auto"/>
                      <w:ind w:firstLine="0" w:firstLineChars="0"/>
                      <w:jc w:val="center"/>
                      <w:rPr>
                        <w:rFonts w:hint="default" w:ascii="Times New Roman" w:hAnsi="Times New Roman" w:eastAsia="宋体" w:cs="Times New Roman"/>
                        <w:sz w:val="21"/>
                        <w:lang w:val="en-US" w:eastAsia="zh-CN"/>
                      </w:rPr>
                    </w:pPr>
                    <w:r>
                      <w:rPr>
                        <w:rFonts w:hint="eastAsia" w:cs="Times New Roman"/>
                        <w:sz w:val="21"/>
                        <w:lang w:val="en-US" w:eastAsia="zh-CN"/>
                      </w:rPr>
                      <w:t>26.52</w:t>
                    </w:r>
                  </w:p>
                </w:txbxContent>
              </v:textbox>
            </v:rect>
            <v:shape id="_x0000_s2545" o:spid="_x0000_s2545" o:spt="32" type="#_x0000_t32" style="position:absolute;left:4409;top:9257;flip:y;height:260;width:480;" filled="f" stroked="t" coordsize="21600,21600">
              <v:path arrowok="t"/>
              <v:fill on="f" focussize="0,0"/>
              <v:stroke color="#000000" dashstyle="dash" endarrow="block"/>
              <v:imagedata o:title=""/>
              <o:lock v:ext="edit" aspectratio="f"/>
            </v:shape>
            <v:rect id="_x0000_s2546" o:spid="_x0000_s2546" o:spt="1" style="position:absolute;left:7943;top:7208;height:1850;width:910;" fillcolor="#FFFFFF" filled="t" stroked="t" coordsize="21600,21600">
              <v:path/>
              <v:fill on="t" color2="#FFFFFF" focussize="0,0"/>
              <v:stroke color="#000000" joinstyle="miter"/>
              <v:imagedata o:title=""/>
              <o:lock v:ext="edit" aspectratio="f"/>
              <v:textbox>
                <w:txbxContent>
                  <w:p w14:paraId="34598396">
                    <w:pPr>
                      <w:wordWrap/>
                      <w:adjustRightInd/>
                      <w:snapToGrid/>
                      <w:spacing w:line="240" w:lineRule="auto"/>
                      <w:ind w:firstLine="0" w:firstLineChars="0"/>
                      <w:jc w:val="center"/>
                      <w:rPr>
                        <w:rFonts w:ascii="Times New Roman" w:hAnsi="Times New Roman" w:eastAsia="宋体" w:cs="Times New Roman"/>
                        <w:sz w:val="21"/>
                      </w:rPr>
                    </w:pPr>
                    <w:r>
                      <w:rPr>
                        <w:rFonts w:hint="eastAsia" w:eastAsia="宋体" w:cs="Times New Roman"/>
                        <w:sz w:val="21"/>
                        <w:lang w:val="en-US" w:eastAsia="zh-CN"/>
                      </w:rPr>
                      <w:t>3</w:t>
                    </w:r>
                    <w:r>
                      <w:rPr>
                        <w:rFonts w:hint="eastAsia" w:ascii="Times New Roman" w:hAnsi="Times New Roman" w:eastAsia="宋体" w:cs="Times New Roman"/>
                        <w:sz w:val="21"/>
                      </w:rPr>
                      <w:t>号厂房</w:t>
                    </w:r>
                  </w:p>
                  <w:p w14:paraId="76768278">
                    <w:pPr>
                      <w:wordWrap/>
                      <w:adjustRightInd/>
                      <w:snapToGrid/>
                      <w:spacing w:line="240" w:lineRule="auto"/>
                      <w:ind w:firstLine="0" w:firstLineChars="0"/>
                      <w:jc w:val="center"/>
                      <w:rPr>
                        <w:rFonts w:ascii="Times New Roman" w:hAnsi="Times New Roman" w:eastAsia="宋体" w:cs="Times New Roman"/>
                        <w:sz w:val="21"/>
                      </w:rPr>
                    </w:pPr>
                    <w:r>
                      <w:rPr>
                        <w:rFonts w:hint="eastAsia" w:ascii="Times New Roman" w:hAnsi="Times New Roman" w:eastAsia="宋体" w:cs="Times New Roman"/>
                        <w:sz w:val="21"/>
                      </w:rPr>
                      <w:t>污水处理站</w:t>
                    </w:r>
                  </w:p>
                </w:txbxContent>
              </v:textbox>
            </v:rect>
            <v:shape id="_x0000_s2547" o:spid="_x0000_s2547" o:spt="32" type="#_x0000_t32" style="position:absolute;left:8864;top:8362;height:0;width:660;" filled="f" stroked="t" coordsize="21600,21600">
              <v:path arrowok="t"/>
              <v:fill on="f" focussize="0,0"/>
              <v:stroke color="#000000" endarrow="block"/>
              <v:imagedata o:title=""/>
              <o:lock v:ext="edit" aspectratio="f"/>
            </v:shape>
            <v:rect id="_x0000_s2548" o:spid="_x0000_s2548" o:spt="1" style="position:absolute;left:8844;top:7862;flip:y;height:400;width:768;" filled="f" stroked="f" coordsize="21600,21600">
              <v:path/>
              <v:fill on="f" focussize="0,0"/>
              <v:stroke on="f"/>
              <v:imagedata o:title=""/>
              <o:lock v:ext="edit" aspectratio="f"/>
              <v:textbox>
                <w:txbxContent>
                  <w:p w14:paraId="6A1ED557">
                    <w:pPr>
                      <w:wordWrap/>
                      <w:adjustRightInd/>
                      <w:snapToGrid/>
                      <w:spacing w:line="240" w:lineRule="auto"/>
                      <w:ind w:firstLine="0" w:firstLineChars="0"/>
                      <w:jc w:val="both"/>
                      <w:rPr>
                        <w:rFonts w:hint="default" w:ascii="Times New Roman" w:hAnsi="Times New Roman" w:eastAsia="宋体" w:cs="Times New Roman"/>
                        <w:sz w:val="21"/>
                        <w:lang w:val="en-US" w:eastAsia="zh-CN"/>
                      </w:rPr>
                    </w:pPr>
                    <w:r>
                      <w:rPr>
                        <w:rFonts w:hint="eastAsia" w:cs="Times New Roman"/>
                        <w:sz w:val="21"/>
                        <w:lang w:val="en-US" w:eastAsia="zh-CN"/>
                      </w:rPr>
                      <w:t>6</w:t>
                    </w:r>
                    <w:r>
                      <w:rPr>
                        <w:rFonts w:hint="eastAsia" w:eastAsia="宋体" w:cs="Times New Roman"/>
                        <w:sz w:val="21"/>
                        <w:lang w:val="en-US" w:eastAsia="zh-CN"/>
                      </w:rPr>
                      <w:t>0.32</w:t>
                    </w:r>
                  </w:p>
                </w:txbxContent>
              </v:textbox>
            </v:rect>
            <v:rect id="_x0000_s2555" o:spid="_x0000_s2555" o:spt="1" style="position:absolute;left:3222;top:6210;height:420;width:906;" filled="f" stroked="f" coordsize="21600,21600">
              <v:path/>
              <v:fill on="f" focussize="0,0"/>
              <v:stroke on="f"/>
              <v:imagedata o:title=""/>
              <o:lock v:ext="edit" aspectratio="f"/>
              <v:textbox>
                <w:txbxContent>
                  <w:p w14:paraId="3AFB6181">
                    <w:pPr>
                      <w:wordWrap/>
                      <w:adjustRightInd/>
                      <w:snapToGrid/>
                      <w:spacing w:line="240" w:lineRule="auto"/>
                      <w:ind w:firstLine="0" w:firstLineChars="0"/>
                      <w:jc w:val="center"/>
                      <w:rPr>
                        <w:rFonts w:hint="default" w:ascii="Times New Roman" w:hAnsi="Times New Roman" w:eastAsia="宋体" w:cs="Times New Roman"/>
                        <w:sz w:val="21"/>
                        <w:lang w:val="en-US" w:eastAsia="zh-CN"/>
                      </w:rPr>
                    </w:pPr>
                    <w:r>
                      <w:rPr>
                        <w:rFonts w:hint="eastAsia" w:eastAsia="宋体" w:cs="Times New Roman"/>
                        <w:sz w:val="21"/>
                        <w:lang w:val="en-US" w:eastAsia="zh-CN"/>
                      </w:rPr>
                      <w:t>156.29</w:t>
                    </w:r>
                  </w:p>
                </w:txbxContent>
              </v:textbox>
            </v:rect>
            <v:rect id="_x0000_s2556" o:spid="_x0000_s2556" o:spt="1" style="position:absolute;left:6729;top:8021;height:420;width:860;" filled="f" stroked="f" coordsize="21600,21600">
              <v:path/>
              <v:fill on="f" focussize="0,0"/>
              <v:stroke on="f"/>
              <v:imagedata o:title=""/>
              <o:lock v:ext="edit" aspectratio="f"/>
              <v:textbox>
                <w:txbxContent>
                  <w:p w14:paraId="27FFE5AA">
                    <w:pPr>
                      <w:wordWrap/>
                      <w:adjustRightInd/>
                      <w:snapToGrid/>
                      <w:spacing w:line="240" w:lineRule="auto"/>
                      <w:ind w:firstLine="0" w:firstLineChars="0"/>
                      <w:jc w:val="center"/>
                      <w:rPr>
                        <w:rFonts w:hint="default" w:ascii="Times New Roman" w:hAnsi="Times New Roman" w:eastAsia="宋体" w:cs="Times New Roman"/>
                        <w:sz w:val="21"/>
                        <w:lang w:val="en-US" w:eastAsia="zh-CN"/>
                      </w:rPr>
                    </w:pPr>
                    <w:r>
                      <w:rPr>
                        <w:rFonts w:hint="eastAsia" w:eastAsia="宋体" w:cs="Times New Roman"/>
                        <w:sz w:val="21"/>
                        <w:lang w:val="en-US" w:eastAsia="zh-CN"/>
                      </w:rPr>
                      <w:t>60.32</w:t>
                    </w:r>
                  </w:p>
                </w:txbxContent>
              </v:textbox>
            </v:rect>
            <v:rect id="_x0000_s2557" o:spid="_x0000_s2557" o:spt="1" style="position:absolute;left:3254;top:8008;height:420;width:860;" filled="f" stroked="f" coordsize="21600,21600">
              <v:path/>
              <v:fill on="f" focussize="0,0"/>
              <v:stroke on="f"/>
              <v:imagedata o:title=""/>
              <o:lock v:ext="edit" aspectratio="f"/>
              <v:textbox>
                <w:txbxContent>
                  <w:p w14:paraId="5456D109">
                    <w:pPr>
                      <w:wordWrap/>
                      <w:adjustRightInd/>
                      <w:snapToGrid/>
                      <w:spacing w:line="240" w:lineRule="auto"/>
                      <w:ind w:firstLine="0" w:firstLineChars="0"/>
                      <w:jc w:val="center"/>
                      <w:rPr>
                        <w:rFonts w:hint="default" w:ascii="Times New Roman" w:hAnsi="Times New Roman" w:eastAsia="宋体" w:cs="Times New Roman"/>
                        <w:sz w:val="21"/>
                        <w:lang w:val="en-US" w:eastAsia="zh-CN"/>
                      </w:rPr>
                    </w:pPr>
                    <w:r>
                      <w:rPr>
                        <w:rFonts w:hint="eastAsia" w:eastAsia="宋体" w:cs="Times New Roman"/>
                        <w:sz w:val="21"/>
                        <w:lang w:val="en-US" w:eastAsia="zh-CN"/>
                      </w:rPr>
                      <w:t>116.19</w:t>
                    </w:r>
                  </w:p>
                </w:txbxContent>
              </v:textbox>
            </v:rect>
            <v:rect id="_x0000_s2558" o:spid="_x0000_s2558" o:spt="1" style="position:absolute;left:6793;top:6194;height:420;width:860;" filled="f" stroked="f" coordsize="21600,21600">
              <v:path/>
              <v:fill on="f" focussize="0,0"/>
              <v:stroke on="f"/>
              <v:imagedata o:title=""/>
              <o:lock v:ext="edit" aspectratio="f"/>
              <v:textbox>
                <w:txbxContent>
                  <w:p w14:paraId="63F87939">
                    <w:pPr>
                      <w:wordWrap/>
                      <w:adjustRightInd/>
                      <w:snapToGrid/>
                      <w:spacing w:line="240" w:lineRule="auto"/>
                      <w:ind w:firstLine="0" w:firstLineChars="0"/>
                      <w:jc w:val="center"/>
                      <w:rPr>
                        <w:rFonts w:hint="default" w:ascii="Times New Roman" w:hAnsi="Times New Roman" w:eastAsia="宋体" w:cs="Times New Roman"/>
                        <w:sz w:val="21"/>
                        <w:lang w:val="en-US" w:eastAsia="zh-CN"/>
                      </w:rPr>
                    </w:pPr>
                    <w:r>
                      <w:rPr>
                        <w:rFonts w:hint="eastAsia" w:eastAsia="宋体" w:cs="Times New Roman"/>
                        <w:sz w:val="21"/>
                        <w:lang w:val="en-US" w:eastAsia="zh-CN"/>
                      </w:rPr>
                      <w:t>2</w:t>
                    </w:r>
                    <w:r>
                      <w:rPr>
                        <w:rFonts w:hint="eastAsia" w:cs="Times New Roman"/>
                        <w:sz w:val="21"/>
                        <w:lang w:val="en-US" w:eastAsia="zh-CN"/>
                      </w:rPr>
                      <w:t>5.03</w:t>
                    </w:r>
                  </w:p>
                </w:txbxContent>
              </v:textbox>
            </v:rect>
            <v:rect id="_x0000_s2559" o:spid="_x0000_s2559" o:spt="1" style="position:absolute;left:3303;top:9372;height:420;width:860;" filled="f" stroked="f" coordsize="21600,21600">
              <v:path/>
              <v:fill on="f" focussize="0,0"/>
              <v:stroke on="f"/>
              <v:imagedata o:title=""/>
              <o:lock v:ext="edit" aspectratio="f"/>
              <v:textbox>
                <w:txbxContent>
                  <w:p w14:paraId="63B68B7C">
                    <w:pPr>
                      <w:wordWrap/>
                      <w:adjustRightInd/>
                      <w:snapToGrid/>
                      <w:spacing w:line="240" w:lineRule="auto"/>
                      <w:ind w:firstLine="0" w:firstLineChars="0"/>
                      <w:jc w:val="center"/>
                      <w:rPr>
                        <w:rFonts w:hint="default" w:ascii="Times New Roman" w:hAnsi="Times New Roman" w:eastAsia="宋体" w:cs="Times New Roman"/>
                        <w:sz w:val="21"/>
                        <w:lang w:val="en-US" w:eastAsia="zh-CN"/>
                      </w:rPr>
                    </w:pPr>
                    <w:r>
                      <w:rPr>
                        <w:rFonts w:hint="eastAsia" w:cs="Times New Roman"/>
                        <w:sz w:val="21"/>
                        <w:lang w:val="en-US" w:eastAsia="zh-CN"/>
                      </w:rPr>
                      <w:t>132.6</w:t>
                    </w:r>
                  </w:p>
                </w:txbxContent>
              </v:textbox>
            </v:rect>
            <v:rect id="_x0000_s2560" o:spid="_x0000_s2560" o:spt="1" style="position:absolute;left:6715;top:9381;height:420;width:860;" filled="f" stroked="f" coordsize="21600,21600">
              <v:path/>
              <v:fill on="f" focussize="0,0"/>
              <v:stroke on="f"/>
              <v:imagedata o:title=""/>
              <o:lock v:ext="edit" aspectratio="f"/>
              <v:textbox>
                <w:txbxContent>
                  <w:p w14:paraId="5A404118">
                    <w:pPr>
                      <w:wordWrap/>
                      <w:adjustRightInd/>
                      <w:snapToGrid/>
                      <w:spacing w:line="240" w:lineRule="auto"/>
                      <w:ind w:firstLine="0" w:firstLineChars="0"/>
                      <w:jc w:val="center"/>
                      <w:rPr>
                        <w:rFonts w:hint="default" w:ascii="Times New Roman" w:hAnsi="Times New Roman" w:eastAsia="宋体" w:cs="Times New Roman"/>
                        <w:sz w:val="21"/>
                        <w:lang w:val="en-US" w:eastAsia="zh-CN"/>
                      </w:rPr>
                    </w:pPr>
                    <w:r>
                      <w:rPr>
                        <w:rFonts w:hint="eastAsia" w:cs="Times New Roman"/>
                        <w:sz w:val="21"/>
                        <w:lang w:val="en-US" w:eastAsia="zh-CN"/>
                      </w:rPr>
                      <w:t>106.08</w:t>
                    </w:r>
                  </w:p>
                </w:txbxContent>
              </v:textbox>
            </v:rect>
            <w10:wrap type="none"/>
            <w10:anchorlock/>
          </v:group>
        </w:pict>
      </w:r>
    </w:p>
    <w:p w14:paraId="06B7114F">
      <w:pPr>
        <w:pStyle w:val="7"/>
        <w:bidi w:val="0"/>
        <w:rPr>
          <w:highlight w:val="none"/>
        </w:rPr>
      </w:pPr>
      <w:r>
        <w:rPr>
          <w:highlight w:val="none"/>
        </w:rPr>
        <w:t>图3-</w:t>
      </w:r>
      <w:r>
        <w:rPr>
          <w:rFonts w:hint="eastAsia"/>
          <w:highlight w:val="none"/>
          <w:lang w:val="en-US" w:eastAsia="zh-CN"/>
        </w:rPr>
        <w:t>2</w:t>
      </w:r>
      <w:r>
        <w:rPr>
          <w:highlight w:val="none"/>
        </w:rPr>
        <w:t>-</w:t>
      </w:r>
      <w:r>
        <w:rPr>
          <w:rFonts w:hint="eastAsia"/>
          <w:highlight w:val="none"/>
          <w:lang w:val="en-US" w:eastAsia="zh-CN"/>
        </w:rPr>
        <w:t>4全厂</w:t>
      </w:r>
      <w:r>
        <w:rPr>
          <w:highlight w:val="none"/>
        </w:rPr>
        <w:t>水平衡图（t/d）</w:t>
      </w:r>
    </w:p>
    <w:p w14:paraId="0A2BD10D">
      <w:pPr>
        <w:pStyle w:val="6"/>
        <w:bidi w:val="0"/>
        <w:rPr>
          <w:highlight w:val="none"/>
        </w:rPr>
      </w:pPr>
      <w:r>
        <w:rPr>
          <w:highlight w:val="none"/>
        </w:rPr>
        <w:fldChar w:fldCharType="begin"/>
      </w:r>
      <w:r>
        <w:rPr>
          <w:highlight w:val="none"/>
        </w:rPr>
        <w:instrText xml:space="preserve"> HYPERLINK "file:///F:\\360用户文件\\游戏大厅\\天兆养猪有限公司环评\\1106天兆养猪\\天兆养猪有限公司环评1117.docx" \l "_Toc110400208" </w:instrText>
      </w:r>
      <w:r>
        <w:rPr>
          <w:highlight w:val="none"/>
        </w:rPr>
        <w:fldChar w:fldCharType="separate"/>
      </w:r>
      <w:bookmarkStart w:id="256" w:name="_Toc112420358"/>
      <w:bookmarkStart w:id="257" w:name="_Toc113078929"/>
      <w:bookmarkStart w:id="258" w:name="_Toc118087007"/>
      <w:bookmarkStart w:id="259" w:name="_Toc182022288"/>
      <w:r>
        <w:rPr>
          <w:highlight w:val="none"/>
        </w:rPr>
        <w:t>3.</w:t>
      </w:r>
      <w:r>
        <w:rPr>
          <w:rFonts w:hint="eastAsia"/>
          <w:highlight w:val="none"/>
          <w:lang w:val="en-US" w:eastAsia="zh-CN"/>
        </w:rPr>
        <w:t>2</w:t>
      </w:r>
      <w:r>
        <w:rPr>
          <w:highlight w:val="none"/>
        </w:rPr>
        <w:t>.6.3供电工程</w:t>
      </w:r>
      <w:bookmarkEnd w:id="256"/>
      <w:bookmarkEnd w:id="257"/>
      <w:bookmarkEnd w:id="258"/>
      <w:bookmarkEnd w:id="259"/>
      <w:r>
        <w:rPr>
          <w:highlight w:val="none"/>
        </w:rPr>
        <w:fldChar w:fldCharType="end"/>
      </w:r>
    </w:p>
    <w:p w14:paraId="2C394476">
      <w:pPr>
        <w:spacing w:line="360" w:lineRule="auto"/>
        <w:ind w:firstLine="480" w:firstLineChars="200"/>
        <w:rPr>
          <w:rFonts w:hAnsiTheme="minorEastAsia" w:eastAsiaTheme="minorEastAsia"/>
          <w:bCs/>
          <w:sz w:val="24"/>
          <w:highlight w:val="none"/>
        </w:rPr>
      </w:pPr>
      <w:r>
        <w:rPr>
          <w:rFonts w:hAnsiTheme="minorEastAsia" w:eastAsiaTheme="minorEastAsia"/>
          <w:bCs/>
          <w:sz w:val="24"/>
          <w:highlight w:val="none"/>
        </w:rPr>
        <w:t>供电由当地供电系统提供。</w:t>
      </w:r>
    </w:p>
    <w:p w14:paraId="60C762A1">
      <w:pPr>
        <w:pStyle w:val="6"/>
        <w:bidi w:val="0"/>
        <w:rPr>
          <w:rFonts w:eastAsiaTheme="minorEastAsia"/>
          <w:b/>
          <w:highlight w:val="none"/>
        </w:rPr>
      </w:pPr>
      <w:r>
        <w:rPr>
          <w:highlight w:val="none"/>
        </w:rPr>
        <w:fldChar w:fldCharType="begin"/>
      </w:r>
      <w:r>
        <w:rPr>
          <w:highlight w:val="none"/>
        </w:rPr>
        <w:instrText xml:space="preserve"> HYPERLINK "file:///F:\\360用户文件\\游戏大厅\\天兆养猪有限公司环评\\1106天兆养猪\\天兆养猪有限公司环评1117.docx" \l "_Toc110400209" </w:instrText>
      </w:r>
      <w:r>
        <w:rPr>
          <w:highlight w:val="none"/>
        </w:rPr>
        <w:fldChar w:fldCharType="separate"/>
      </w:r>
      <w:r>
        <w:rPr>
          <w:highlight w:val="none"/>
        </w:rPr>
        <w:t>3.</w:t>
      </w:r>
      <w:r>
        <w:rPr>
          <w:rFonts w:hint="eastAsia"/>
          <w:highlight w:val="none"/>
          <w:lang w:val="en-US" w:eastAsia="zh-CN"/>
        </w:rPr>
        <w:t>2</w:t>
      </w:r>
      <w:r>
        <w:rPr>
          <w:highlight w:val="none"/>
        </w:rPr>
        <w:t>.6.4</w:t>
      </w:r>
      <w:r>
        <w:rPr>
          <w:highlight w:val="none"/>
        </w:rPr>
        <w:fldChar w:fldCharType="end"/>
      </w:r>
      <w:r>
        <w:rPr>
          <w:highlight w:val="none"/>
        </w:rPr>
        <w:t>供热工程</w:t>
      </w:r>
    </w:p>
    <w:p w14:paraId="0E96C3B7">
      <w:pPr>
        <w:bidi w:val="0"/>
        <w:rPr>
          <w:highlight w:val="none"/>
        </w:rPr>
      </w:pPr>
      <w:bookmarkStart w:id="260" w:name="_Toc12883"/>
      <w:bookmarkStart w:id="261" w:name="_Toc31046"/>
      <w:r>
        <w:rPr>
          <w:highlight w:val="none"/>
        </w:rPr>
        <w:t>冬季取暖由</w:t>
      </w:r>
      <w:r>
        <w:rPr>
          <w:rFonts w:hint="eastAsia"/>
          <w:highlight w:val="none"/>
          <w:lang w:val="en-US" w:eastAsia="zh-CN"/>
        </w:rPr>
        <w:t>哈尔滨哈南供热有限公司</w:t>
      </w:r>
      <w:r>
        <w:rPr>
          <w:highlight w:val="none"/>
        </w:rPr>
        <w:t>提供；生产用热采用电加热。</w:t>
      </w:r>
    </w:p>
    <w:p w14:paraId="3D308E29">
      <w:pPr>
        <w:pStyle w:val="4"/>
        <w:bidi w:val="0"/>
        <w:rPr>
          <w:highlight w:val="none"/>
        </w:rPr>
      </w:pPr>
      <w:r>
        <w:rPr>
          <w:highlight w:val="none"/>
        </w:rPr>
        <w:t>3.</w:t>
      </w:r>
      <w:r>
        <w:rPr>
          <w:rFonts w:hint="eastAsia"/>
          <w:highlight w:val="none"/>
          <w:lang w:val="en-US" w:eastAsia="zh-CN"/>
        </w:rPr>
        <w:t>2</w:t>
      </w:r>
      <w:r>
        <w:rPr>
          <w:highlight w:val="none"/>
        </w:rPr>
        <w:t>.7劳动定员及工作制度</w:t>
      </w:r>
      <w:bookmarkEnd w:id="260"/>
      <w:bookmarkEnd w:id="261"/>
    </w:p>
    <w:p w14:paraId="205B5D91">
      <w:pPr>
        <w:bidi w:val="0"/>
        <w:rPr>
          <w:highlight w:val="none"/>
        </w:rPr>
      </w:pPr>
      <w:r>
        <w:rPr>
          <w:rFonts w:hint="eastAsia"/>
          <w:highlight w:val="none"/>
        </w:rPr>
        <w:t>本项目所需劳动定员由现有厂区内部调配。</w:t>
      </w:r>
    </w:p>
    <w:p w14:paraId="5DA3A300">
      <w:pPr>
        <w:bidi w:val="0"/>
        <w:rPr>
          <w:highlight w:val="none"/>
        </w:rPr>
      </w:pPr>
      <w:r>
        <w:rPr>
          <w:rFonts w:hint="eastAsia"/>
          <w:highlight w:val="none"/>
        </w:rPr>
        <w:t>全年法定工作日250天。其中</w:t>
      </w:r>
      <w:r>
        <w:rPr>
          <w:rFonts w:hint="eastAsia"/>
          <w:highlight w:val="none"/>
          <w:lang w:val="en-US" w:eastAsia="zh-CN"/>
        </w:rPr>
        <w:t>发动机</w:t>
      </w:r>
      <w:r>
        <w:rPr>
          <w:rFonts w:hint="eastAsia"/>
          <w:highlight w:val="none"/>
        </w:rPr>
        <w:t>生产线采用</w:t>
      </w:r>
      <w:r>
        <w:rPr>
          <w:rFonts w:hint="eastAsia"/>
          <w:highlight w:val="none"/>
          <w:lang w:val="en-US" w:eastAsia="zh-CN"/>
        </w:rPr>
        <w:t>2</w:t>
      </w:r>
      <w:r>
        <w:rPr>
          <w:rFonts w:hint="eastAsia"/>
          <w:highlight w:val="none"/>
        </w:rPr>
        <w:t>班制，每班工作8h；</w:t>
      </w:r>
      <w:r>
        <w:rPr>
          <w:rFonts w:hint="eastAsia"/>
          <w:highlight w:val="none"/>
          <w:lang w:val="en-US" w:eastAsia="zh-CN"/>
        </w:rPr>
        <w:t>含油金属屑收集处理生产线</w:t>
      </w:r>
      <w:r>
        <w:rPr>
          <w:rFonts w:hint="eastAsia"/>
          <w:highlight w:val="none"/>
        </w:rPr>
        <w:t>采用</w:t>
      </w:r>
      <w:r>
        <w:rPr>
          <w:rFonts w:hint="eastAsia"/>
          <w:highlight w:val="none"/>
          <w:lang w:val="en-US" w:eastAsia="zh-CN"/>
        </w:rPr>
        <w:t>1</w:t>
      </w:r>
      <w:r>
        <w:rPr>
          <w:rFonts w:hint="eastAsia"/>
          <w:highlight w:val="none"/>
        </w:rPr>
        <w:t>班制，每班工作8h</w:t>
      </w:r>
      <w:r>
        <w:rPr>
          <w:highlight w:val="none"/>
        </w:rPr>
        <w:t>。</w:t>
      </w:r>
    </w:p>
    <w:p w14:paraId="4D99D3EA">
      <w:pPr>
        <w:pStyle w:val="4"/>
        <w:bidi w:val="0"/>
        <w:rPr>
          <w:highlight w:val="none"/>
        </w:rPr>
      </w:pPr>
      <w:bookmarkStart w:id="262" w:name="_Toc28370"/>
      <w:bookmarkStart w:id="263" w:name="_Toc15356"/>
      <w:r>
        <w:rPr>
          <w:highlight w:val="none"/>
        </w:rPr>
        <w:t>3.</w:t>
      </w:r>
      <w:r>
        <w:rPr>
          <w:rFonts w:hint="eastAsia"/>
          <w:highlight w:val="none"/>
          <w:lang w:val="en-US" w:eastAsia="zh-CN"/>
        </w:rPr>
        <w:t>2</w:t>
      </w:r>
      <w:r>
        <w:rPr>
          <w:highlight w:val="none"/>
        </w:rPr>
        <w:t>.</w:t>
      </w:r>
      <w:r>
        <w:rPr>
          <w:rFonts w:hint="eastAsia"/>
          <w:highlight w:val="none"/>
        </w:rPr>
        <w:t>8平面</w:t>
      </w:r>
      <w:r>
        <w:rPr>
          <w:highlight w:val="none"/>
        </w:rPr>
        <w:t>布置</w:t>
      </w:r>
      <w:bookmarkEnd w:id="262"/>
      <w:bookmarkEnd w:id="263"/>
    </w:p>
    <w:p w14:paraId="7457F115">
      <w:pPr>
        <w:pStyle w:val="18"/>
        <w:spacing w:after="0" w:line="360" w:lineRule="auto"/>
        <w:ind w:firstLine="480" w:firstLineChars="200"/>
        <w:contextualSpacing/>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哈尔滨东安汽车发动机制造有限公司，厂区中部东西方向布置的主干路将厂区分成南北两区域。主干道以北区域的西北部为工厂食堂，其东侧依次为成品库、配送中心、研发中心及职工停车场。成品库及配送中心南侧为1号联合厂房。1号联合厂房东侧为3号联合厂房。主干道南侧区域西侧为2号联合厂房，区域东部为4号联合厂房。在2号联合厂房及4号联合厂房中间布置</w:t>
      </w:r>
      <w:r>
        <w:rPr>
          <w:rFonts w:hint="eastAsia" w:cs="Times New Roman"/>
          <w:color w:val="auto"/>
          <w:kern w:val="0"/>
          <w:sz w:val="24"/>
          <w:szCs w:val="24"/>
          <w:highlight w:val="none"/>
          <w:lang w:val="en-US" w:eastAsia="zh-CN" w:bidi="ar-SA"/>
        </w:rPr>
        <w:t>部分东安</w:t>
      </w:r>
      <w:r>
        <w:rPr>
          <w:rFonts w:hint="eastAsia" w:ascii="Times New Roman" w:hAnsi="Times New Roman" w:eastAsia="宋体" w:cs="Times New Roman"/>
          <w:color w:val="auto"/>
          <w:kern w:val="0"/>
          <w:sz w:val="24"/>
          <w:szCs w:val="24"/>
          <w:highlight w:val="none"/>
          <w:lang w:val="en-US" w:eastAsia="zh-CN" w:bidi="ar-SA"/>
        </w:rPr>
        <w:t>动力区及工厂其他辅助建筑物。</w:t>
      </w:r>
      <w:r>
        <w:rPr>
          <w:rFonts w:hint="eastAsia" w:cs="Times New Roman"/>
          <w:color w:val="auto"/>
          <w:kern w:val="0"/>
          <w:sz w:val="24"/>
          <w:szCs w:val="24"/>
          <w:highlight w:val="none"/>
          <w:lang w:val="en-US" w:eastAsia="zh-CN" w:bidi="ar-SA"/>
        </w:rPr>
        <w:t>南侧东安动力变速器机加厂房外布置含油金属屑收集处理生产线。</w:t>
      </w:r>
    </w:p>
    <w:p w14:paraId="4D45DA94">
      <w:pPr>
        <w:pStyle w:val="18"/>
        <w:spacing w:after="0" w:line="360" w:lineRule="auto"/>
        <w:ind w:firstLine="480" w:firstLineChars="200"/>
        <w:contextualSpacing/>
        <w:rPr>
          <w:rFonts w:eastAsiaTheme="minorEastAsia"/>
          <w:bCs/>
          <w:sz w:val="24"/>
          <w:highlight w:val="none"/>
        </w:rPr>
      </w:pPr>
      <w:r>
        <w:rPr>
          <w:rFonts w:hint="eastAsia" w:ascii="Times New Roman" w:hAnsi="Times New Roman" w:eastAsia="宋体" w:cs="Times New Roman"/>
          <w:color w:val="auto"/>
          <w:kern w:val="0"/>
          <w:sz w:val="24"/>
          <w:szCs w:val="24"/>
          <w:highlight w:val="none"/>
          <w:lang w:val="en-US" w:eastAsia="zh-CN" w:bidi="ar-SA"/>
        </w:rPr>
        <w:t>本项目利旧的</w:t>
      </w:r>
      <w:r>
        <w:rPr>
          <w:rFonts w:hint="eastAsia" w:cs="Times New Roman"/>
          <w:color w:val="auto"/>
          <w:kern w:val="0"/>
          <w:sz w:val="24"/>
          <w:szCs w:val="24"/>
          <w:highlight w:val="none"/>
          <w:lang w:val="en-US" w:eastAsia="zh-CN" w:bidi="ar-SA"/>
        </w:rPr>
        <w:t>2</w:t>
      </w:r>
      <w:r>
        <w:rPr>
          <w:rFonts w:hint="eastAsia" w:ascii="Times New Roman" w:hAnsi="Times New Roman" w:eastAsia="宋体" w:cs="Times New Roman"/>
          <w:color w:val="auto"/>
          <w:kern w:val="0"/>
          <w:sz w:val="24"/>
          <w:szCs w:val="24"/>
          <w:highlight w:val="none"/>
          <w:lang w:val="en-US" w:eastAsia="zh-CN" w:bidi="ar-SA"/>
        </w:rPr>
        <w:t>号及</w:t>
      </w:r>
      <w:r>
        <w:rPr>
          <w:rFonts w:hint="eastAsia" w:cs="Times New Roman"/>
          <w:color w:val="auto"/>
          <w:kern w:val="0"/>
          <w:sz w:val="24"/>
          <w:szCs w:val="24"/>
          <w:highlight w:val="none"/>
          <w:lang w:val="en-US" w:eastAsia="zh-CN" w:bidi="ar-SA"/>
        </w:rPr>
        <w:t>4</w:t>
      </w:r>
      <w:r>
        <w:rPr>
          <w:rFonts w:hint="eastAsia" w:ascii="Times New Roman" w:hAnsi="Times New Roman" w:eastAsia="宋体" w:cs="Times New Roman"/>
          <w:color w:val="auto"/>
          <w:kern w:val="0"/>
          <w:sz w:val="24"/>
          <w:szCs w:val="24"/>
          <w:highlight w:val="none"/>
          <w:lang w:val="en-US" w:eastAsia="zh-CN" w:bidi="ar-SA"/>
        </w:rPr>
        <w:t>号联合厂房</w:t>
      </w:r>
      <w:r>
        <w:rPr>
          <w:rFonts w:hint="eastAsia" w:cs="Times New Roman"/>
          <w:color w:val="auto"/>
          <w:kern w:val="0"/>
          <w:sz w:val="24"/>
          <w:szCs w:val="24"/>
          <w:highlight w:val="none"/>
          <w:lang w:val="en-US" w:eastAsia="zh-CN" w:bidi="ar-SA"/>
        </w:rPr>
        <w:t>及含油金属屑生产线厂房</w:t>
      </w:r>
      <w:r>
        <w:rPr>
          <w:rFonts w:hint="eastAsia" w:ascii="Times New Roman" w:hAnsi="Times New Roman" w:eastAsia="宋体" w:cs="Times New Roman"/>
          <w:color w:val="auto"/>
          <w:kern w:val="0"/>
          <w:sz w:val="24"/>
          <w:szCs w:val="24"/>
          <w:highlight w:val="none"/>
          <w:lang w:val="en-US" w:eastAsia="zh-CN" w:bidi="ar-SA"/>
        </w:rPr>
        <w:t>为单层建筑物，厂区为平坡式的布置方式，雨水排入周围道路及广场的雨水口内，通过地下雨水管排出厂区。</w:t>
      </w:r>
    </w:p>
    <w:p w14:paraId="19DE2CEF">
      <w:pPr>
        <w:pStyle w:val="3"/>
        <w:bidi w:val="0"/>
        <w:rPr>
          <w:highlight w:val="none"/>
        </w:rPr>
      </w:pPr>
      <w:bookmarkStart w:id="264" w:name="_Toc1707"/>
      <w:bookmarkStart w:id="265" w:name="_Toc30205"/>
      <w:bookmarkStart w:id="266" w:name="_Toc4852"/>
      <w:r>
        <w:rPr>
          <w:highlight w:val="none"/>
        </w:rPr>
        <w:t>3.</w:t>
      </w:r>
      <w:r>
        <w:rPr>
          <w:rFonts w:hint="eastAsia"/>
          <w:highlight w:val="none"/>
          <w:lang w:val="en-US" w:eastAsia="zh-CN"/>
        </w:rPr>
        <w:t>2</w:t>
      </w:r>
      <w:r>
        <w:rPr>
          <w:highlight w:val="none"/>
        </w:rPr>
        <w:t>工程分析</w:t>
      </w:r>
      <w:bookmarkEnd w:id="264"/>
      <w:bookmarkEnd w:id="265"/>
      <w:bookmarkEnd w:id="266"/>
    </w:p>
    <w:p w14:paraId="68CF65F0">
      <w:pPr>
        <w:pStyle w:val="4"/>
        <w:bidi w:val="0"/>
        <w:rPr>
          <w:highlight w:val="none"/>
        </w:rPr>
      </w:pPr>
      <w:bookmarkStart w:id="267" w:name="_Toc3159"/>
      <w:bookmarkStart w:id="268" w:name="_Toc10392"/>
      <w:r>
        <w:rPr>
          <w:highlight w:val="none"/>
        </w:rPr>
        <w:t>3.</w:t>
      </w:r>
      <w:r>
        <w:rPr>
          <w:rFonts w:hint="eastAsia"/>
          <w:highlight w:val="none"/>
          <w:lang w:val="en-US" w:eastAsia="zh-CN"/>
        </w:rPr>
        <w:t>2</w:t>
      </w:r>
      <w:r>
        <w:rPr>
          <w:highlight w:val="none"/>
        </w:rPr>
        <w:t>.1</w:t>
      </w:r>
      <w:r>
        <w:rPr>
          <w:rFonts w:hint="eastAsia"/>
          <w:highlight w:val="none"/>
        </w:rPr>
        <w:t>环境</w:t>
      </w:r>
      <w:r>
        <w:rPr>
          <w:highlight w:val="none"/>
        </w:rPr>
        <w:t>影响识别</w:t>
      </w:r>
      <w:bookmarkEnd w:id="267"/>
      <w:bookmarkEnd w:id="268"/>
    </w:p>
    <w:p w14:paraId="1EB6D546">
      <w:pPr>
        <w:pStyle w:val="76"/>
        <w:adjustRightInd/>
        <w:snapToGrid/>
        <w:jc w:val="both"/>
        <w:rPr>
          <w:rFonts w:ascii="Times New Roman" w:cs="Times New Roman" w:hAnsiTheme="minorEastAsia"/>
          <w:highlight w:val="none"/>
        </w:rPr>
      </w:pPr>
      <w:r>
        <w:rPr>
          <w:rFonts w:ascii="Times New Roman" w:cs="Times New Roman" w:hAnsiTheme="minorEastAsia"/>
          <w:highlight w:val="none"/>
        </w:rPr>
        <w:t>本项目主要环境影响为项目施工期和运行期全过程，</w:t>
      </w:r>
      <w:r>
        <w:rPr>
          <w:rFonts w:hint="eastAsia" w:ascii="Times New Roman" w:cs="Times New Roman" w:hAnsiTheme="minorEastAsia"/>
          <w:highlight w:val="none"/>
        </w:rPr>
        <w:t>其主要污染源分布详见下表。</w:t>
      </w:r>
    </w:p>
    <w:p w14:paraId="29CB9BFC">
      <w:pPr>
        <w:pStyle w:val="7"/>
        <w:bidi w:val="0"/>
        <w:rPr>
          <w:highlight w:val="none"/>
        </w:rPr>
      </w:pPr>
      <w:r>
        <w:rPr>
          <w:highlight w:val="none"/>
        </w:rPr>
        <w:t>表3-</w:t>
      </w:r>
      <w:r>
        <w:rPr>
          <w:rFonts w:hint="eastAsia"/>
          <w:highlight w:val="none"/>
          <w:lang w:val="en-US" w:eastAsia="zh-CN"/>
        </w:rPr>
        <w:t>2</w:t>
      </w:r>
      <w:r>
        <w:rPr>
          <w:highlight w:val="none"/>
        </w:rPr>
        <w:t>-</w:t>
      </w:r>
      <w:r>
        <w:rPr>
          <w:rFonts w:hint="eastAsia"/>
          <w:highlight w:val="none"/>
        </w:rPr>
        <w:t>1</w:t>
      </w:r>
      <w:r>
        <w:rPr>
          <w:highlight w:val="none"/>
        </w:rPr>
        <w:t>项目</w:t>
      </w:r>
      <w:r>
        <w:rPr>
          <w:rFonts w:hint="eastAsia"/>
          <w:highlight w:val="none"/>
        </w:rPr>
        <w:t>主要</w:t>
      </w:r>
      <w:r>
        <w:rPr>
          <w:highlight w:val="none"/>
        </w:rPr>
        <w:t>污染源一览表</w:t>
      </w:r>
    </w:p>
    <w:tbl>
      <w:tblPr>
        <w:tblStyle w:val="46"/>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5"/>
        <w:gridCol w:w="851"/>
        <w:gridCol w:w="1660"/>
        <w:gridCol w:w="3685"/>
        <w:gridCol w:w="1569"/>
      </w:tblGrid>
      <w:tr w14:paraId="469334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675" w:type="dxa"/>
            <w:vAlign w:val="center"/>
          </w:tcPr>
          <w:p w14:paraId="7C86DFA6">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r>
              <w:rPr>
                <w:rFonts w:hint="default" w:hAnsiTheme="minorEastAsia" w:eastAsiaTheme="minorEastAsia"/>
                <w:spacing w:val="20"/>
                <w:kern w:val="0"/>
                <w:sz w:val="21"/>
                <w:szCs w:val="21"/>
                <w:highlight w:val="none"/>
              </w:rPr>
              <w:t>时段</w:t>
            </w:r>
          </w:p>
        </w:tc>
        <w:tc>
          <w:tcPr>
            <w:tcW w:w="851" w:type="dxa"/>
            <w:vAlign w:val="center"/>
          </w:tcPr>
          <w:p w14:paraId="16282172">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r>
              <w:rPr>
                <w:rFonts w:hint="default" w:hAnsiTheme="minorEastAsia" w:eastAsiaTheme="minorEastAsia"/>
                <w:spacing w:val="20"/>
                <w:kern w:val="0"/>
                <w:sz w:val="21"/>
                <w:szCs w:val="21"/>
                <w:highlight w:val="none"/>
              </w:rPr>
              <w:t>污染源</w:t>
            </w:r>
          </w:p>
        </w:tc>
        <w:tc>
          <w:tcPr>
            <w:tcW w:w="1660" w:type="dxa"/>
            <w:vAlign w:val="center"/>
          </w:tcPr>
          <w:p w14:paraId="3A9C6BAB">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r>
              <w:rPr>
                <w:rFonts w:hint="default" w:hAnsiTheme="minorEastAsia" w:eastAsiaTheme="minorEastAsia"/>
                <w:spacing w:val="20"/>
                <w:kern w:val="0"/>
                <w:sz w:val="21"/>
                <w:szCs w:val="21"/>
                <w:highlight w:val="none"/>
              </w:rPr>
              <w:t>产生部位</w:t>
            </w:r>
          </w:p>
        </w:tc>
        <w:tc>
          <w:tcPr>
            <w:tcW w:w="3685" w:type="dxa"/>
            <w:vAlign w:val="center"/>
          </w:tcPr>
          <w:p w14:paraId="2535390E">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r>
              <w:rPr>
                <w:rFonts w:hint="default" w:hAnsiTheme="minorEastAsia" w:eastAsiaTheme="minorEastAsia"/>
                <w:spacing w:val="20"/>
                <w:kern w:val="0"/>
                <w:sz w:val="21"/>
                <w:szCs w:val="21"/>
                <w:highlight w:val="none"/>
              </w:rPr>
              <w:t>主要影响因素</w:t>
            </w:r>
          </w:p>
        </w:tc>
        <w:tc>
          <w:tcPr>
            <w:tcW w:w="1569" w:type="dxa"/>
            <w:vAlign w:val="center"/>
          </w:tcPr>
          <w:p w14:paraId="230923E1">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r>
              <w:rPr>
                <w:rFonts w:hint="default" w:hAnsiTheme="minorEastAsia" w:eastAsiaTheme="minorEastAsia"/>
                <w:spacing w:val="20"/>
                <w:kern w:val="0"/>
                <w:sz w:val="21"/>
                <w:szCs w:val="21"/>
                <w:highlight w:val="none"/>
              </w:rPr>
              <w:t>影响对象</w:t>
            </w:r>
          </w:p>
        </w:tc>
      </w:tr>
      <w:tr w14:paraId="7DB1AF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 w:hRule="atLeast"/>
          <w:jc w:val="center"/>
        </w:trPr>
        <w:tc>
          <w:tcPr>
            <w:tcW w:w="675" w:type="dxa"/>
            <w:vMerge w:val="restart"/>
            <w:vAlign w:val="center"/>
          </w:tcPr>
          <w:p w14:paraId="4619B009">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r>
              <w:rPr>
                <w:rFonts w:hint="default" w:hAnsiTheme="minorEastAsia" w:eastAsiaTheme="minorEastAsia"/>
                <w:spacing w:val="20"/>
                <w:kern w:val="0"/>
                <w:sz w:val="21"/>
                <w:szCs w:val="21"/>
                <w:highlight w:val="none"/>
              </w:rPr>
              <w:t>施工期</w:t>
            </w:r>
          </w:p>
        </w:tc>
        <w:tc>
          <w:tcPr>
            <w:tcW w:w="851" w:type="dxa"/>
            <w:vAlign w:val="center"/>
          </w:tcPr>
          <w:p w14:paraId="7782C652">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r>
              <w:rPr>
                <w:rFonts w:hint="default" w:hAnsiTheme="minorEastAsia" w:eastAsiaTheme="minorEastAsia"/>
                <w:spacing w:val="20"/>
                <w:kern w:val="0"/>
                <w:sz w:val="21"/>
                <w:szCs w:val="21"/>
                <w:highlight w:val="none"/>
              </w:rPr>
              <w:t>噪声</w:t>
            </w:r>
          </w:p>
        </w:tc>
        <w:tc>
          <w:tcPr>
            <w:tcW w:w="1660" w:type="dxa"/>
            <w:vAlign w:val="center"/>
          </w:tcPr>
          <w:p w14:paraId="061B7A23">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r>
              <w:rPr>
                <w:rFonts w:hint="default" w:hAnsiTheme="minorEastAsia" w:eastAsiaTheme="minorEastAsia"/>
                <w:spacing w:val="20"/>
                <w:kern w:val="0"/>
                <w:sz w:val="21"/>
                <w:szCs w:val="21"/>
                <w:highlight w:val="none"/>
              </w:rPr>
              <w:t>施工机械、运输车辆</w:t>
            </w:r>
          </w:p>
        </w:tc>
        <w:tc>
          <w:tcPr>
            <w:tcW w:w="3685" w:type="dxa"/>
            <w:vAlign w:val="center"/>
          </w:tcPr>
          <w:p w14:paraId="2DA77FE6">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r>
              <w:rPr>
                <w:rFonts w:hint="default" w:hAnsiTheme="minorEastAsia" w:eastAsiaTheme="minorEastAsia"/>
                <w:spacing w:val="20"/>
                <w:kern w:val="0"/>
                <w:sz w:val="21"/>
                <w:szCs w:val="21"/>
                <w:highlight w:val="none"/>
              </w:rPr>
              <w:t>施工机械、运输车辆噪声</w:t>
            </w:r>
          </w:p>
        </w:tc>
        <w:tc>
          <w:tcPr>
            <w:tcW w:w="1569" w:type="dxa"/>
            <w:vAlign w:val="center"/>
          </w:tcPr>
          <w:p w14:paraId="16C5E23A">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r>
              <w:rPr>
                <w:rFonts w:hint="default" w:hAnsiTheme="minorEastAsia" w:eastAsiaTheme="minorEastAsia"/>
                <w:spacing w:val="20"/>
                <w:kern w:val="0"/>
                <w:sz w:val="21"/>
                <w:szCs w:val="21"/>
                <w:highlight w:val="none"/>
              </w:rPr>
              <w:t>周围环境敏感点</w:t>
            </w:r>
          </w:p>
        </w:tc>
      </w:tr>
      <w:tr w14:paraId="10421D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 w:hRule="atLeast"/>
          <w:jc w:val="center"/>
        </w:trPr>
        <w:tc>
          <w:tcPr>
            <w:tcW w:w="675" w:type="dxa"/>
            <w:vMerge w:val="continue"/>
            <w:vAlign w:val="center"/>
          </w:tcPr>
          <w:p w14:paraId="1A65D1B5">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p>
        </w:tc>
        <w:tc>
          <w:tcPr>
            <w:tcW w:w="851" w:type="dxa"/>
            <w:vAlign w:val="center"/>
          </w:tcPr>
          <w:p w14:paraId="511AB1EC">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r>
              <w:rPr>
                <w:rFonts w:hint="default" w:hAnsiTheme="minorEastAsia" w:eastAsiaTheme="minorEastAsia"/>
                <w:spacing w:val="20"/>
                <w:kern w:val="0"/>
                <w:sz w:val="21"/>
                <w:szCs w:val="21"/>
                <w:highlight w:val="none"/>
              </w:rPr>
              <w:t>废水</w:t>
            </w:r>
          </w:p>
        </w:tc>
        <w:tc>
          <w:tcPr>
            <w:tcW w:w="1660" w:type="dxa"/>
            <w:vAlign w:val="center"/>
          </w:tcPr>
          <w:p w14:paraId="2353F567">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r>
              <w:rPr>
                <w:rFonts w:hint="default" w:hAnsiTheme="minorEastAsia" w:eastAsiaTheme="minorEastAsia"/>
                <w:spacing w:val="20"/>
                <w:kern w:val="0"/>
                <w:sz w:val="21"/>
                <w:szCs w:val="21"/>
                <w:highlight w:val="none"/>
              </w:rPr>
              <w:t>员工生活</w:t>
            </w:r>
          </w:p>
        </w:tc>
        <w:tc>
          <w:tcPr>
            <w:tcW w:w="3685" w:type="dxa"/>
            <w:vAlign w:val="center"/>
          </w:tcPr>
          <w:p w14:paraId="70477315">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r>
              <w:rPr>
                <w:rFonts w:hint="default" w:eastAsiaTheme="minorEastAsia"/>
                <w:spacing w:val="20"/>
                <w:kern w:val="0"/>
                <w:sz w:val="21"/>
                <w:szCs w:val="21"/>
                <w:highlight w:val="none"/>
              </w:rPr>
              <w:t>COD</w:t>
            </w:r>
            <w:r>
              <w:rPr>
                <w:rFonts w:hint="default" w:hAnsiTheme="minorEastAsia" w:eastAsiaTheme="minorEastAsia"/>
                <w:spacing w:val="20"/>
                <w:kern w:val="0"/>
                <w:sz w:val="21"/>
                <w:szCs w:val="21"/>
                <w:highlight w:val="none"/>
              </w:rPr>
              <w:t>、氨氮、</w:t>
            </w:r>
            <w:r>
              <w:rPr>
                <w:rFonts w:hint="default" w:eastAsiaTheme="minorEastAsia"/>
                <w:spacing w:val="20"/>
                <w:kern w:val="0"/>
                <w:sz w:val="21"/>
                <w:szCs w:val="21"/>
                <w:highlight w:val="none"/>
              </w:rPr>
              <w:t>pH</w:t>
            </w:r>
            <w:r>
              <w:rPr>
                <w:rFonts w:hint="default" w:hAnsiTheme="minorEastAsia" w:eastAsiaTheme="minorEastAsia"/>
                <w:spacing w:val="20"/>
                <w:kern w:val="0"/>
                <w:sz w:val="21"/>
                <w:szCs w:val="21"/>
                <w:highlight w:val="none"/>
              </w:rPr>
              <w:t>、</w:t>
            </w:r>
            <w:r>
              <w:rPr>
                <w:rFonts w:hint="default" w:eastAsiaTheme="minorEastAsia"/>
                <w:spacing w:val="20"/>
                <w:kern w:val="0"/>
                <w:sz w:val="21"/>
                <w:szCs w:val="21"/>
                <w:highlight w:val="none"/>
              </w:rPr>
              <w:t>SS</w:t>
            </w:r>
            <w:r>
              <w:rPr>
                <w:rFonts w:hint="default" w:hAnsiTheme="minorEastAsia" w:eastAsiaTheme="minorEastAsia"/>
                <w:spacing w:val="20"/>
                <w:kern w:val="0"/>
                <w:sz w:val="21"/>
                <w:szCs w:val="21"/>
                <w:highlight w:val="none"/>
              </w:rPr>
              <w:t>、</w:t>
            </w:r>
            <w:r>
              <w:rPr>
                <w:rFonts w:hint="default" w:eastAsiaTheme="minorEastAsia"/>
                <w:spacing w:val="20"/>
                <w:kern w:val="0"/>
                <w:sz w:val="21"/>
                <w:szCs w:val="21"/>
                <w:highlight w:val="none"/>
              </w:rPr>
              <w:t>BOD</w:t>
            </w:r>
            <w:r>
              <w:rPr>
                <w:rFonts w:hint="default" w:eastAsiaTheme="minorEastAsia"/>
                <w:spacing w:val="20"/>
                <w:kern w:val="0"/>
                <w:sz w:val="21"/>
                <w:szCs w:val="21"/>
                <w:highlight w:val="none"/>
                <w:vertAlign w:val="subscript"/>
              </w:rPr>
              <w:t>5</w:t>
            </w:r>
          </w:p>
        </w:tc>
        <w:tc>
          <w:tcPr>
            <w:tcW w:w="1569" w:type="dxa"/>
            <w:vAlign w:val="center"/>
          </w:tcPr>
          <w:p w14:paraId="19BDF988">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r>
              <w:rPr>
                <w:rFonts w:hint="eastAsia" w:hAnsiTheme="minorEastAsia" w:eastAsiaTheme="minorEastAsia"/>
                <w:spacing w:val="20"/>
                <w:kern w:val="0"/>
                <w:sz w:val="21"/>
                <w:szCs w:val="21"/>
                <w:highlight w:val="none"/>
                <w:lang w:val="en-US" w:eastAsia="zh-CN"/>
              </w:rPr>
              <w:t>马家沟</w:t>
            </w:r>
            <w:r>
              <w:rPr>
                <w:rFonts w:hint="default" w:hAnsiTheme="minorEastAsia" w:eastAsiaTheme="minorEastAsia"/>
                <w:spacing w:val="20"/>
                <w:kern w:val="0"/>
                <w:sz w:val="21"/>
                <w:szCs w:val="21"/>
                <w:highlight w:val="none"/>
              </w:rPr>
              <w:t>河地表水环境</w:t>
            </w:r>
          </w:p>
        </w:tc>
      </w:tr>
      <w:tr w14:paraId="6C301C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 w:hRule="atLeast"/>
          <w:jc w:val="center"/>
        </w:trPr>
        <w:tc>
          <w:tcPr>
            <w:tcW w:w="675" w:type="dxa"/>
            <w:vMerge w:val="continue"/>
            <w:vAlign w:val="center"/>
          </w:tcPr>
          <w:p w14:paraId="4FB678D5">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p>
        </w:tc>
        <w:tc>
          <w:tcPr>
            <w:tcW w:w="851" w:type="dxa"/>
            <w:vMerge w:val="restart"/>
            <w:vAlign w:val="center"/>
          </w:tcPr>
          <w:p w14:paraId="0717B1DB">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r>
              <w:rPr>
                <w:rFonts w:hint="default" w:hAnsiTheme="minorEastAsia" w:eastAsiaTheme="minorEastAsia"/>
                <w:spacing w:val="20"/>
                <w:kern w:val="0"/>
                <w:sz w:val="21"/>
                <w:szCs w:val="21"/>
                <w:highlight w:val="none"/>
              </w:rPr>
              <w:t>固废</w:t>
            </w:r>
          </w:p>
        </w:tc>
        <w:tc>
          <w:tcPr>
            <w:tcW w:w="1660" w:type="dxa"/>
            <w:vAlign w:val="center"/>
          </w:tcPr>
          <w:p w14:paraId="1F497D02">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r>
              <w:rPr>
                <w:rFonts w:hint="default" w:hAnsiTheme="minorEastAsia" w:eastAsiaTheme="minorEastAsia"/>
                <w:spacing w:val="20"/>
                <w:kern w:val="0"/>
                <w:sz w:val="21"/>
                <w:szCs w:val="21"/>
                <w:highlight w:val="none"/>
              </w:rPr>
              <w:t>员工生活</w:t>
            </w:r>
          </w:p>
        </w:tc>
        <w:tc>
          <w:tcPr>
            <w:tcW w:w="3685" w:type="dxa"/>
            <w:vAlign w:val="center"/>
          </w:tcPr>
          <w:p w14:paraId="4C5B7355">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r>
              <w:rPr>
                <w:rFonts w:hint="default" w:hAnsiTheme="minorEastAsia" w:eastAsiaTheme="minorEastAsia"/>
                <w:bCs/>
                <w:kern w:val="0"/>
                <w:sz w:val="21"/>
                <w:szCs w:val="21"/>
                <w:highlight w:val="none"/>
              </w:rPr>
              <w:t>生活垃圾</w:t>
            </w:r>
          </w:p>
        </w:tc>
        <w:tc>
          <w:tcPr>
            <w:tcW w:w="1569" w:type="dxa"/>
            <w:vMerge w:val="restart"/>
            <w:vAlign w:val="center"/>
          </w:tcPr>
          <w:p w14:paraId="79DADCFD">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r>
              <w:rPr>
                <w:rFonts w:hint="default" w:hAnsiTheme="minorEastAsia" w:eastAsiaTheme="minorEastAsia"/>
                <w:spacing w:val="20"/>
                <w:kern w:val="0"/>
                <w:sz w:val="21"/>
                <w:szCs w:val="21"/>
                <w:highlight w:val="none"/>
              </w:rPr>
              <w:t>区内环境</w:t>
            </w:r>
          </w:p>
        </w:tc>
      </w:tr>
      <w:tr w14:paraId="01230E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 w:hRule="atLeast"/>
          <w:jc w:val="center"/>
        </w:trPr>
        <w:tc>
          <w:tcPr>
            <w:tcW w:w="675" w:type="dxa"/>
            <w:vMerge w:val="continue"/>
            <w:vAlign w:val="center"/>
          </w:tcPr>
          <w:p w14:paraId="2A9648D7">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p>
        </w:tc>
        <w:tc>
          <w:tcPr>
            <w:tcW w:w="851" w:type="dxa"/>
            <w:vMerge w:val="continue"/>
            <w:vAlign w:val="center"/>
          </w:tcPr>
          <w:p w14:paraId="60189AE5">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p>
        </w:tc>
        <w:tc>
          <w:tcPr>
            <w:tcW w:w="1660" w:type="dxa"/>
            <w:vAlign w:val="center"/>
          </w:tcPr>
          <w:p w14:paraId="1B64CDE1">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bCs/>
                <w:kern w:val="0"/>
                <w:sz w:val="21"/>
                <w:szCs w:val="21"/>
                <w:highlight w:val="none"/>
              </w:rPr>
            </w:pPr>
            <w:r>
              <w:rPr>
                <w:rFonts w:hint="default" w:hAnsiTheme="minorEastAsia" w:eastAsiaTheme="minorEastAsia"/>
                <w:bCs/>
                <w:kern w:val="0"/>
                <w:sz w:val="21"/>
                <w:szCs w:val="21"/>
                <w:highlight w:val="none"/>
              </w:rPr>
              <w:t>设备安装</w:t>
            </w:r>
          </w:p>
        </w:tc>
        <w:tc>
          <w:tcPr>
            <w:tcW w:w="3685" w:type="dxa"/>
            <w:vAlign w:val="center"/>
          </w:tcPr>
          <w:p w14:paraId="6C93ABEE">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bCs/>
                <w:kern w:val="0"/>
                <w:sz w:val="21"/>
                <w:szCs w:val="21"/>
                <w:highlight w:val="none"/>
              </w:rPr>
            </w:pPr>
            <w:r>
              <w:rPr>
                <w:rFonts w:hint="default" w:hAnsiTheme="minorEastAsia" w:eastAsiaTheme="minorEastAsia"/>
                <w:bCs/>
                <w:kern w:val="0"/>
                <w:sz w:val="21"/>
                <w:szCs w:val="21"/>
                <w:highlight w:val="none"/>
              </w:rPr>
              <w:t>建筑垃圾</w:t>
            </w:r>
          </w:p>
        </w:tc>
        <w:tc>
          <w:tcPr>
            <w:tcW w:w="1569" w:type="dxa"/>
            <w:vMerge w:val="continue"/>
            <w:vAlign w:val="center"/>
          </w:tcPr>
          <w:p w14:paraId="52250E76">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p>
        </w:tc>
      </w:tr>
      <w:tr w14:paraId="2D4405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 w:hRule="atLeast"/>
          <w:jc w:val="center"/>
        </w:trPr>
        <w:tc>
          <w:tcPr>
            <w:tcW w:w="675" w:type="dxa"/>
            <w:vMerge w:val="restart"/>
            <w:vAlign w:val="center"/>
          </w:tcPr>
          <w:p w14:paraId="0AD58B19">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r>
              <w:rPr>
                <w:rFonts w:hint="default" w:hAnsiTheme="minorEastAsia" w:eastAsiaTheme="minorEastAsia"/>
                <w:spacing w:val="20"/>
                <w:kern w:val="0"/>
                <w:sz w:val="21"/>
                <w:szCs w:val="21"/>
                <w:highlight w:val="none"/>
              </w:rPr>
              <w:t>营运期</w:t>
            </w:r>
          </w:p>
        </w:tc>
        <w:tc>
          <w:tcPr>
            <w:tcW w:w="851" w:type="dxa"/>
            <w:vMerge w:val="restart"/>
            <w:vAlign w:val="center"/>
          </w:tcPr>
          <w:p w14:paraId="34C6CA8C">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r>
              <w:rPr>
                <w:rFonts w:hint="default" w:hAnsiTheme="minorEastAsia" w:eastAsiaTheme="minorEastAsia"/>
                <w:spacing w:val="20"/>
                <w:kern w:val="0"/>
                <w:sz w:val="21"/>
                <w:szCs w:val="21"/>
                <w:highlight w:val="none"/>
              </w:rPr>
              <w:t>废气</w:t>
            </w:r>
          </w:p>
        </w:tc>
        <w:tc>
          <w:tcPr>
            <w:tcW w:w="1660" w:type="dxa"/>
            <w:vAlign w:val="center"/>
          </w:tcPr>
          <w:p w14:paraId="69FC51E1">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r>
              <w:rPr>
                <w:rFonts w:hint="default" w:hAnsiTheme="minorEastAsia" w:eastAsiaTheme="minorEastAsia"/>
                <w:spacing w:val="20"/>
                <w:kern w:val="0"/>
                <w:sz w:val="21"/>
                <w:szCs w:val="21"/>
                <w:highlight w:val="none"/>
              </w:rPr>
              <w:t>机械加工及封口胶固化</w:t>
            </w:r>
          </w:p>
        </w:tc>
        <w:tc>
          <w:tcPr>
            <w:tcW w:w="3685" w:type="dxa"/>
            <w:vAlign w:val="center"/>
          </w:tcPr>
          <w:p w14:paraId="03220E93">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r>
              <w:rPr>
                <w:rFonts w:hint="default" w:hAnsiTheme="minorEastAsia" w:eastAsiaTheme="minorEastAsia"/>
                <w:spacing w:val="20"/>
                <w:kern w:val="0"/>
                <w:sz w:val="21"/>
                <w:szCs w:val="21"/>
                <w:highlight w:val="none"/>
              </w:rPr>
              <w:t>非甲烷总烃</w:t>
            </w:r>
          </w:p>
        </w:tc>
        <w:tc>
          <w:tcPr>
            <w:tcW w:w="1569" w:type="dxa"/>
            <w:vMerge w:val="restart"/>
            <w:vAlign w:val="center"/>
          </w:tcPr>
          <w:p w14:paraId="616DBA6B">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r>
              <w:rPr>
                <w:rFonts w:hint="default" w:hAnsiTheme="minorEastAsia" w:eastAsiaTheme="minorEastAsia"/>
                <w:spacing w:val="20"/>
                <w:kern w:val="0"/>
                <w:sz w:val="21"/>
                <w:szCs w:val="21"/>
                <w:highlight w:val="none"/>
              </w:rPr>
              <w:t>区域大气环境</w:t>
            </w:r>
          </w:p>
        </w:tc>
      </w:tr>
      <w:tr w14:paraId="19B559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 w:hRule="atLeast"/>
          <w:jc w:val="center"/>
        </w:trPr>
        <w:tc>
          <w:tcPr>
            <w:tcW w:w="675" w:type="dxa"/>
            <w:vMerge w:val="continue"/>
            <w:vAlign w:val="center"/>
          </w:tcPr>
          <w:p w14:paraId="50ECB6E1">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hAnsiTheme="minorEastAsia" w:eastAsiaTheme="minorEastAsia"/>
                <w:spacing w:val="20"/>
                <w:kern w:val="0"/>
                <w:sz w:val="21"/>
                <w:szCs w:val="21"/>
                <w:highlight w:val="none"/>
              </w:rPr>
            </w:pPr>
          </w:p>
        </w:tc>
        <w:tc>
          <w:tcPr>
            <w:tcW w:w="851" w:type="dxa"/>
            <w:vMerge w:val="continue"/>
            <w:vAlign w:val="center"/>
          </w:tcPr>
          <w:p w14:paraId="0191BFC1">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hAnsiTheme="minorEastAsia" w:eastAsiaTheme="minorEastAsia"/>
                <w:spacing w:val="20"/>
                <w:kern w:val="0"/>
                <w:sz w:val="21"/>
                <w:szCs w:val="21"/>
                <w:highlight w:val="none"/>
              </w:rPr>
            </w:pPr>
          </w:p>
        </w:tc>
        <w:tc>
          <w:tcPr>
            <w:tcW w:w="1660" w:type="dxa"/>
            <w:vAlign w:val="center"/>
          </w:tcPr>
          <w:p w14:paraId="7BB43E2C">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hAnsiTheme="minorEastAsia" w:eastAsiaTheme="minorEastAsia"/>
                <w:spacing w:val="20"/>
                <w:kern w:val="0"/>
                <w:sz w:val="21"/>
                <w:szCs w:val="21"/>
                <w:highlight w:val="none"/>
              </w:rPr>
            </w:pPr>
            <w:r>
              <w:rPr>
                <w:rFonts w:hint="default" w:hAnsiTheme="minorEastAsia" w:eastAsiaTheme="minorEastAsia"/>
                <w:spacing w:val="20"/>
                <w:kern w:val="0"/>
                <w:sz w:val="21"/>
                <w:szCs w:val="21"/>
                <w:highlight w:val="none"/>
              </w:rPr>
              <w:t>热试验</w:t>
            </w:r>
          </w:p>
        </w:tc>
        <w:tc>
          <w:tcPr>
            <w:tcW w:w="3685" w:type="dxa"/>
            <w:vAlign w:val="center"/>
          </w:tcPr>
          <w:p w14:paraId="55C3BBD5">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hAnsiTheme="minorEastAsia" w:eastAsiaTheme="minorEastAsia"/>
                <w:spacing w:val="20"/>
                <w:kern w:val="0"/>
                <w:sz w:val="21"/>
                <w:szCs w:val="21"/>
                <w:highlight w:val="none"/>
              </w:rPr>
            </w:pPr>
            <w:r>
              <w:rPr>
                <w:rFonts w:hint="default"/>
                <w:kern w:val="24"/>
                <w:sz w:val="21"/>
                <w:szCs w:val="21"/>
                <w:highlight w:val="none"/>
              </w:rPr>
              <w:t>氮氧化物、非甲烷总烃、颗粒物、一氧化碳</w:t>
            </w:r>
          </w:p>
        </w:tc>
        <w:tc>
          <w:tcPr>
            <w:tcW w:w="1569" w:type="dxa"/>
            <w:vMerge w:val="continue"/>
            <w:vAlign w:val="center"/>
          </w:tcPr>
          <w:p w14:paraId="475295D3">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hAnsiTheme="minorEastAsia" w:eastAsiaTheme="minorEastAsia"/>
                <w:spacing w:val="20"/>
                <w:kern w:val="0"/>
                <w:sz w:val="21"/>
                <w:szCs w:val="21"/>
                <w:highlight w:val="none"/>
              </w:rPr>
            </w:pPr>
          </w:p>
        </w:tc>
      </w:tr>
      <w:tr w14:paraId="49342B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 w:hRule="atLeast"/>
          <w:jc w:val="center"/>
        </w:trPr>
        <w:tc>
          <w:tcPr>
            <w:tcW w:w="675" w:type="dxa"/>
            <w:vMerge w:val="continue"/>
            <w:vAlign w:val="center"/>
          </w:tcPr>
          <w:p w14:paraId="27DB0E05">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hAnsiTheme="minorEastAsia" w:eastAsiaTheme="minorEastAsia"/>
                <w:spacing w:val="20"/>
                <w:kern w:val="0"/>
                <w:sz w:val="21"/>
                <w:szCs w:val="21"/>
                <w:highlight w:val="none"/>
              </w:rPr>
            </w:pPr>
          </w:p>
        </w:tc>
        <w:tc>
          <w:tcPr>
            <w:tcW w:w="851" w:type="dxa"/>
            <w:vMerge w:val="continue"/>
            <w:vAlign w:val="center"/>
          </w:tcPr>
          <w:p w14:paraId="2748A7FD">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hAnsiTheme="minorEastAsia" w:eastAsiaTheme="minorEastAsia"/>
                <w:spacing w:val="20"/>
                <w:kern w:val="0"/>
                <w:sz w:val="21"/>
                <w:szCs w:val="21"/>
                <w:highlight w:val="none"/>
              </w:rPr>
            </w:pPr>
          </w:p>
        </w:tc>
        <w:tc>
          <w:tcPr>
            <w:tcW w:w="1660" w:type="dxa"/>
            <w:vAlign w:val="center"/>
          </w:tcPr>
          <w:p w14:paraId="785049EC">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hAnsiTheme="minorEastAsia" w:eastAsiaTheme="minorEastAsia"/>
                <w:spacing w:val="20"/>
                <w:kern w:val="0"/>
                <w:sz w:val="21"/>
                <w:szCs w:val="21"/>
                <w:highlight w:val="none"/>
                <w:lang w:val="en-US" w:eastAsia="zh-CN"/>
              </w:rPr>
            </w:pPr>
            <w:r>
              <w:rPr>
                <w:rFonts w:hint="eastAsia" w:hAnsiTheme="minorEastAsia" w:eastAsiaTheme="minorEastAsia"/>
                <w:spacing w:val="20"/>
                <w:kern w:val="0"/>
                <w:sz w:val="21"/>
                <w:szCs w:val="21"/>
                <w:highlight w:val="none"/>
                <w:lang w:val="en-US" w:eastAsia="zh-CN"/>
              </w:rPr>
              <w:t>含油金属屑收集处理</w:t>
            </w:r>
          </w:p>
        </w:tc>
        <w:tc>
          <w:tcPr>
            <w:tcW w:w="3685" w:type="dxa"/>
            <w:vAlign w:val="center"/>
          </w:tcPr>
          <w:p w14:paraId="11FC505A">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宋体"/>
                <w:kern w:val="24"/>
                <w:sz w:val="21"/>
                <w:szCs w:val="21"/>
                <w:highlight w:val="none"/>
                <w:lang w:val="en-US" w:eastAsia="zh-CN"/>
              </w:rPr>
            </w:pPr>
            <w:r>
              <w:rPr>
                <w:rFonts w:hint="eastAsia"/>
                <w:kern w:val="24"/>
                <w:sz w:val="21"/>
                <w:szCs w:val="21"/>
                <w:highlight w:val="none"/>
                <w:lang w:val="en-US" w:eastAsia="zh-CN"/>
              </w:rPr>
              <w:t>臭气浓度、非甲烷总烃、颗粒物</w:t>
            </w:r>
          </w:p>
        </w:tc>
        <w:tc>
          <w:tcPr>
            <w:tcW w:w="1569" w:type="dxa"/>
            <w:vMerge w:val="continue"/>
            <w:vAlign w:val="center"/>
          </w:tcPr>
          <w:p w14:paraId="55194532">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hAnsiTheme="minorEastAsia" w:eastAsiaTheme="minorEastAsia"/>
                <w:spacing w:val="20"/>
                <w:kern w:val="0"/>
                <w:sz w:val="21"/>
                <w:szCs w:val="21"/>
                <w:highlight w:val="none"/>
              </w:rPr>
            </w:pPr>
          </w:p>
        </w:tc>
      </w:tr>
      <w:tr w14:paraId="72D835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 w:hRule="atLeast"/>
          <w:jc w:val="center"/>
        </w:trPr>
        <w:tc>
          <w:tcPr>
            <w:tcW w:w="675" w:type="dxa"/>
            <w:vMerge w:val="continue"/>
            <w:vAlign w:val="center"/>
          </w:tcPr>
          <w:p w14:paraId="45D6BEDE">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p>
        </w:tc>
        <w:tc>
          <w:tcPr>
            <w:tcW w:w="851" w:type="dxa"/>
            <w:vAlign w:val="center"/>
          </w:tcPr>
          <w:p w14:paraId="74F9FFFB">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r>
              <w:rPr>
                <w:rFonts w:hint="default" w:hAnsiTheme="minorEastAsia" w:eastAsiaTheme="minorEastAsia"/>
                <w:spacing w:val="20"/>
                <w:kern w:val="0"/>
                <w:sz w:val="21"/>
                <w:szCs w:val="21"/>
                <w:highlight w:val="none"/>
              </w:rPr>
              <w:t>废水</w:t>
            </w:r>
          </w:p>
        </w:tc>
        <w:tc>
          <w:tcPr>
            <w:tcW w:w="1660" w:type="dxa"/>
            <w:vAlign w:val="center"/>
          </w:tcPr>
          <w:p w14:paraId="6E542816">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r>
              <w:rPr>
                <w:rFonts w:hint="default" w:hAnsiTheme="minorEastAsia" w:eastAsiaTheme="minorEastAsia"/>
                <w:spacing w:val="20"/>
                <w:kern w:val="0"/>
                <w:sz w:val="21"/>
                <w:szCs w:val="21"/>
                <w:highlight w:val="none"/>
              </w:rPr>
              <w:t>生产废水</w:t>
            </w:r>
          </w:p>
        </w:tc>
        <w:tc>
          <w:tcPr>
            <w:tcW w:w="3685" w:type="dxa"/>
            <w:vAlign w:val="center"/>
          </w:tcPr>
          <w:p w14:paraId="4A63D8D1">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r>
              <w:rPr>
                <w:rFonts w:hint="default" w:eastAsiaTheme="minorEastAsia"/>
                <w:spacing w:val="20"/>
                <w:kern w:val="0"/>
                <w:sz w:val="21"/>
                <w:szCs w:val="21"/>
                <w:highlight w:val="none"/>
              </w:rPr>
              <w:t>COD</w:t>
            </w:r>
            <w:r>
              <w:rPr>
                <w:rFonts w:hint="default" w:hAnsiTheme="minorEastAsia" w:eastAsiaTheme="minorEastAsia"/>
                <w:spacing w:val="20"/>
                <w:kern w:val="0"/>
                <w:sz w:val="21"/>
                <w:szCs w:val="21"/>
                <w:highlight w:val="none"/>
              </w:rPr>
              <w:t>、</w:t>
            </w:r>
            <w:r>
              <w:rPr>
                <w:rFonts w:hint="default" w:eastAsiaTheme="minorEastAsia"/>
                <w:spacing w:val="20"/>
                <w:kern w:val="0"/>
                <w:sz w:val="21"/>
                <w:szCs w:val="21"/>
                <w:highlight w:val="none"/>
              </w:rPr>
              <w:t>SS</w:t>
            </w:r>
            <w:r>
              <w:rPr>
                <w:rFonts w:hint="default" w:hAnsiTheme="minorEastAsia" w:eastAsiaTheme="minorEastAsia"/>
                <w:spacing w:val="20"/>
                <w:kern w:val="0"/>
                <w:sz w:val="21"/>
                <w:szCs w:val="21"/>
                <w:highlight w:val="none"/>
              </w:rPr>
              <w:t>、石油类、</w:t>
            </w:r>
            <w:r>
              <w:rPr>
                <w:rFonts w:hint="default" w:eastAsiaTheme="minorEastAsia"/>
                <w:spacing w:val="20"/>
                <w:kern w:val="0"/>
                <w:sz w:val="21"/>
                <w:szCs w:val="21"/>
                <w:highlight w:val="none"/>
              </w:rPr>
              <w:t>BOD</w:t>
            </w:r>
            <w:r>
              <w:rPr>
                <w:rFonts w:hint="default" w:eastAsiaTheme="minorEastAsia"/>
                <w:spacing w:val="20"/>
                <w:kern w:val="0"/>
                <w:sz w:val="21"/>
                <w:szCs w:val="21"/>
                <w:highlight w:val="none"/>
                <w:vertAlign w:val="subscript"/>
              </w:rPr>
              <w:t>5</w:t>
            </w:r>
          </w:p>
        </w:tc>
        <w:tc>
          <w:tcPr>
            <w:tcW w:w="1569" w:type="dxa"/>
            <w:vAlign w:val="center"/>
          </w:tcPr>
          <w:p w14:paraId="2ADDF4DC">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r>
              <w:rPr>
                <w:rFonts w:hint="eastAsia" w:hAnsiTheme="minorEastAsia" w:eastAsiaTheme="minorEastAsia"/>
                <w:spacing w:val="20"/>
                <w:kern w:val="0"/>
                <w:sz w:val="21"/>
                <w:szCs w:val="21"/>
                <w:highlight w:val="none"/>
                <w:lang w:val="en-US" w:eastAsia="zh-CN"/>
              </w:rPr>
              <w:t>马家沟</w:t>
            </w:r>
            <w:r>
              <w:rPr>
                <w:rFonts w:hint="default" w:hAnsiTheme="minorEastAsia" w:eastAsiaTheme="minorEastAsia"/>
                <w:spacing w:val="20"/>
                <w:kern w:val="0"/>
                <w:sz w:val="21"/>
                <w:szCs w:val="21"/>
                <w:highlight w:val="none"/>
              </w:rPr>
              <w:t>地表水环境</w:t>
            </w:r>
          </w:p>
        </w:tc>
      </w:tr>
      <w:tr w14:paraId="1E2729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 w:hRule="atLeast"/>
          <w:jc w:val="center"/>
        </w:trPr>
        <w:tc>
          <w:tcPr>
            <w:tcW w:w="675" w:type="dxa"/>
            <w:vMerge w:val="continue"/>
            <w:vAlign w:val="center"/>
          </w:tcPr>
          <w:p w14:paraId="08ECC9C0">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p>
        </w:tc>
        <w:tc>
          <w:tcPr>
            <w:tcW w:w="851" w:type="dxa"/>
            <w:vAlign w:val="center"/>
          </w:tcPr>
          <w:p w14:paraId="0B99F213">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r>
              <w:rPr>
                <w:rFonts w:hint="default" w:hAnsiTheme="minorEastAsia" w:eastAsiaTheme="minorEastAsia"/>
                <w:spacing w:val="20"/>
                <w:kern w:val="0"/>
                <w:sz w:val="21"/>
                <w:szCs w:val="21"/>
                <w:highlight w:val="none"/>
              </w:rPr>
              <w:t>噪声</w:t>
            </w:r>
          </w:p>
        </w:tc>
        <w:tc>
          <w:tcPr>
            <w:tcW w:w="1660" w:type="dxa"/>
            <w:vAlign w:val="center"/>
          </w:tcPr>
          <w:p w14:paraId="265C84DD">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r>
              <w:rPr>
                <w:rFonts w:hint="default" w:hAnsiTheme="minorEastAsia" w:eastAsiaTheme="minorEastAsia"/>
                <w:spacing w:val="20"/>
                <w:kern w:val="0"/>
                <w:sz w:val="21"/>
                <w:szCs w:val="21"/>
                <w:highlight w:val="none"/>
              </w:rPr>
              <w:t>生产设备等</w:t>
            </w:r>
          </w:p>
        </w:tc>
        <w:tc>
          <w:tcPr>
            <w:tcW w:w="3685" w:type="dxa"/>
            <w:vAlign w:val="center"/>
          </w:tcPr>
          <w:p w14:paraId="1762A155">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r>
              <w:rPr>
                <w:rFonts w:hint="default" w:hAnsiTheme="minorEastAsia" w:eastAsiaTheme="minorEastAsia"/>
                <w:spacing w:val="20"/>
                <w:kern w:val="0"/>
                <w:sz w:val="21"/>
                <w:szCs w:val="21"/>
                <w:highlight w:val="none"/>
              </w:rPr>
              <w:t>生产设备</w:t>
            </w:r>
            <w:r>
              <w:rPr>
                <w:rFonts w:hint="eastAsia" w:hAnsiTheme="minorEastAsia" w:eastAsiaTheme="minorEastAsia"/>
                <w:spacing w:val="20"/>
                <w:kern w:val="0"/>
                <w:sz w:val="21"/>
                <w:szCs w:val="21"/>
                <w:highlight w:val="none"/>
              </w:rPr>
              <w:t>噪声</w:t>
            </w:r>
          </w:p>
        </w:tc>
        <w:tc>
          <w:tcPr>
            <w:tcW w:w="1569" w:type="dxa"/>
            <w:vAlign w:val="center"/>
          </w:tcPr>
          <w:p w14:paraId="13E9A853">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r>
              <w:rPr>
                <w:rFonts w:hint="default" w:hAnsiTheme="minorEastAsia" w:eastAsiaTheme="minorEastAsia"/>
                <w:spacing w:val="20"/>
                <w:kern w:val="0"/>
                <w:sz w:val="21"/>
                <w:szCs w:val="21"/>
                <w:highlight w:val="none"/>
              </w:rPr>
              <w:t>周围环境敏感点</w:t>
            </w:r>
          </w:p>
        </w:tc>
      </w:tr>
      <w:tr w14:paraId="78CE81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 w:hRule="atLeast"/>
          <w:jc w:val="center"/>
        </w:trPr>
        <w:tc>
          <w:tcPr>
            <w:tcW w:w="675" w:type="dxa"/>
            <w:vMerge w:val="continue"/>
            <w:vAlign w:val="center"/>
          </w:tcPr>
          <w:p w14:paraId="1536F3A7">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p>
        </w:tc>
        <w:tc>
          <w:tcPr>
            <w:tcW w:w="851" w:type="dxa"/>
            <w:vMerge w:val="restart"/>
            <w:vAlign w:val="center"/>
          </w:tcPr>
          <w:p w14:paraId="64B71BCA">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r>
              <w:rPr>
                <w:rFonts w:hint="default" w:hAnsiTheme="minorEastAsia" w:eastAsiaTheme="minorEastAsia"/>
                <w:spacing w:val="20"/>
                <w:kern w:val="0"/>
                <w:sz w:val="21"/>
                <w:szCs w:val="21"/>
                <w:highlight w:val="none"/>
              </w:rPr>
              <w:t>固废</w:t>
            </w:r>
          </w:p>
        </w:tc>
        <w:tc>
          <w:tcPr>
            <w:tcW w:w="1660" w:type="dxa"/>
            <w:shd w:val="clear" w:color="auto" w:fill="auto"/>
            <w:vAlign w:val="center"/>
          </w:tcPr>
          <w:p w14:paraId="197CF5C9">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ascii="Times New Roman" w:hAnsi="Times New Roman" w:cs="Times New Roman" w:eastAsiaTheme="minorEastAsia"/>
                <w:spacing w:val="20"/>
                <w:kern w:val="0"/>
                <w:sz w:val="21"/>
                <w:szCs w:val="21"/>
                <w:highlight w:val="none"/>
                <w:lang w:val="en-US" w:eastAsia="zh-CN" w:bidi="ar-SA"/>
              </w:rPr>
            </w:pPr>
            <w:r>
              <w:rPr>
                <w:rFonts w:hint="default" w:hAnsiTheme="minorEastAsia" w:eastAsiaTheme="minorEastAsia"/>
                <w:kern w:val="0"/>
                <w:sz w:val="21"/>
                <w:szCs w:val="21"/>
                <w:highlight w:val="none"/>
              </w:rPr>
              <w:t>机械加工</w:t>
            </w:r>
          </w:p>
        </w:tc>
        <w:tc>
          <w:tcPr>
            <w:tcW w:w="3685" w:type="dxa"/>
            <w:shd w:val="clear" w:color="auto" w:fill="auto"/>
            <w:vAlign w:val="center"/>
          </w:tcPr>
          <w:p w14:paraId="60AF1A34">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ascii="Times New Roman" w:hAnsi="Times New Roman" w:cs="Times New Roman" w:eastAsiaTheme="minorEastAsia"/>
                <w:spacing w:val="20"/>
                <w:kern w:val="0"/>
                <w:sz w:val="21"/>
                <w:szCs w:val="21"/>
                <w:highlight w:val="none"/>
                <w:lang w:val="en-US" w:eastAsia="zh-CN" w:bidi="ar-SA"/>
              </w:rPr>
            </w:pPr>
            <w:r>
              <w:rPr>
                <w:rFonts w:hint="eastAsia" w:hAnsiTheme="minorEastAsia" w:eastAsiaTheme="minorEastAsia"/>
                <w:kern w:val="0"/>
                <w:sz w:val="21"/>
                <w:szCs w:val="21"/>
                <w:highlight w:val="none"/>
                <w:lang w:val="en-US" w:eastAsia="zh-CN"/>
              </w:rPr>
              <w:t>边角料、不合格品、废包装材料</w:t>
            </w:r>
          </w:p>
        </w:tc>
        <w:tc>
          <w:tcPr>
            <w:tcW w:w="1569" w:type="dxa"/>
            <w:vMerge w:val="restart"/>
            <w:vAlign w:val="center"/>
          </w:tcPr>
          <w:p w14:paraId="2DC8F01F">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r>
              <w:rPr>
                <w:rFonts w:hint="default" w:hAnsiTheme="minorEastAsia" w:eastAsiaTheme="minorEastAsia"/>
                <w:spacing w:val="20"/>
                <w:kern w:val="0"/>
                <w:sz w:val="21"/>
                <w:szCs w:val="21"/>
                <w:highlight w:val="none"/>
              </w:rPr>
              <w:t>区内环境</w:t>
            </w:r>
          </w:p>
        </w:tc>
      </w:tr>
      <w:tr w14:paraId="661225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 w:hRule="atLeast"/>
          <w:jc w:val="center"/>
        </w:trPr>
        <w:tc>
          <w:tcPr>
            <w:tcW w:w="675" w:type="dxa"/>
            <w:vMerge w:val="continue"/>
            <w:vAlign w:val="center"/>
          </w:tcPr>
          <w:p w14:paraId="7E8244A4">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p>
        </w:tc>
        <w:tc>
          <w:tcPr>
            <w:tcW w:w="851" w:type="dxa"/>
            <w:vMerge w:val="continue"/>
            <w:vAlign w:val="center"/>
          </w:tcPr>
          <w:p w14:paraId="5AE8A679">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p>
        </w:tc>
        <w:tc>
          <w:tcPr>
            <w:tcW w:w="1660" w:type="dxa"/>
            <w:shd w:val="clear" w:color="auto" w:fill="auto"/>
            <w:vAlign w:val="center"/>
          </w:tcPr>
          <w:p w14:paraId="5FAD7C21">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ascii="Times New Roman" w:hAnsi="Times New Roman" w:cs="Times New Roman" w:eastAsiaTheme="minorEastAsia"/>
                <w:spacing w:val="20"/>
                <w:kern w:val="0"/>
                <w:sz w:val="21"/>
                <w:szCs w:val="21"/>
                <w:highlight w:val="none"/>
                <w:lang w:val="en-US" w:eastAsia="zh-CN" w:bidi="ar-SA"/>
              </w:rPr>
            </w:pPr>
            <w:r>
              <w:rPr>
                <w:rFonts w:hint="eastAsia" w:hAnsiTheme="minorEastAsia" w:eastAsiaTheme="minorEastAsia"/>
                <w:bCs/>
                <w:kern w:val="0"/>
                <w:sz w:val="21"/>
                <w:szCs w:val="21"/>
                <w:highlight w:val="none"/>
                <w:lang w:val="en-US" w:eastAsia="zh-CN"/>
              </w:rPr>
              <w:t>含油金属屑收集处理</w:t>
            </w:r>
          </w:p>
        </w:tc>
        <w:tc>
          <w:tcPr>
            <w:tcW w:w="3685" w:type="dxa"/>
            <w:shd w:val="clear" w:color="auto" w:fill="auto"/>
            <w:vAlign w:val="center"/>
          </w:tcPr>
          <w:p w14:paraId="37A3B66B">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ascii="Times New Roman" w:hAnsi="Times New Roman" w:cs="Times New Roman" w:eastAsiaTheme="minorEastAsia"/>
                <w:spacing w:val="20"/>
                <w:kern w:val="0"/>
                <w:sz w:val="21"/>
                <w:szCs w:val="21"/>
                <w:highlight w:val="none"/>
                <w:lang w:val="en-US" w:eastAsia="zh-CN" w:bidi="ar-SA"/>
              </w:rPr>
            </w:pPr>
            <w:r>
              <w:rPr>
                <w:rFonts w:hint="default" w:hAnsiTheme="minorEastAsia" w:eastAsiaTheme="minorEastAsia"/>
                <w:bCs/>
                <w:kern w:val="0"/>
                <w:sz w:val="21"/>
                <w:szCs w:val="21"/>
                <w:highlight w:val="none"/>
              </w:rPr>
              <w:t>废油（类别：HW08，代码：900-249-08、类别：HW09，代码900-007-09）</w:t>
            </w:r>
          </w:p>
        </w:tc>
        <w:tc>
          <w:tcPr>
            <w:tcW w:w="1569" w:type="dxa"/>
            <w:vMerge w:val="continue"/>
            <w:vAlign w:val="center"/>
          </w:tcPr>
          <w:p w14:paraId="49CED92D">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p>
        </w:tc>
      </w:tr>
      <w:tr w14:paraId="046F91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 w:hRule="atLeast"/>
          <w:jc w:val="center"/>
        </w:trPr>
        <w:tc>
          <w:tcPr>
            <w:tcW w:w="675" w:type="dxa"/>
            <w:vMerge w:val="continue"/>
            <w:vAlign w:val="center"/>
          </w:tcPr>
          <w:p w14:paraId="4B593DEE">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p>
        </w:tc>
        <w:tc>
          <w:tcPr>
            <w:tcW w:w="851" w:type="dxa"/>
            <w:vMerge w:val="continue"/>
            <w:vAlign w:val="center"/>
          </w:tcPr>
          <w:p w14:paraId="49B05297">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p>
        </w:tc>
        <w:tc>
          <w:tcPr>
            <w:tcW w:w="1660" w:type="dxa"/>
            <w:shd w:val="clear" w:color="auto" w:fill="auto"/>
            <w:vAlign w:val="center"/>
          </w:tcPr>
          <w:p w14:paraId="7ACA8695">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ascii="Times New Roman" w:hAnsi="Times New Roman" w:cs="Times New Roman" w:eastAsiaTheme="minorEastAsia"/>
                <w:bCs/>
                <w:kern w:val="0"/>
                <w:sz w:val="21"/>
                <w:szCs w:val="21"/>
                <w:highlight w:val="none"/>
                <w:lang w:val="en-US" w:eastAsia="zh-CN" w:bidi="ar-SA"/>
              </w:rPr>
            </w:pPr>
            <w:r>
              <w:rPr>
                <w:rFonts w:hint="default" w:hAnsiTheme="minorEastAsia" w:eastAsiaTheme="minorEastAsia"/>
                <w:bCs/>
                <w:kern w:val="0"/>
                <w:sz w:val="21"/>
                <w:szCs w:val="21"/>
                <w:highlight w:val="none"/>
              </w:rPr>
              <w:t>机械加工和装试</w:t>
            </w:r>
          </w:p>
        </w:tc>
        <w:tc>
          <w:tcPr>
            <w:tcW w:w="3685" w:type="dxa"/>
            <w:shd w:val="clear" w:color="auto" w:fill="auto"/>
            <w:vAlign w:val="center"/>
          </w:tcPr>
          <w:p w14:paraId="4FA0A9A8">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ascii="Times New Roman" w:hAnsi="Times New Roman" w:cs="Times New Roman" w:eastAsiaTheme="minorEastAsia"/>
                <w:bCs/>
                <w:kern w:val="0"/>
                <w:sz w:val="21"/>
                <w:szCs w:val="21"/>
                <w:highlight w:val="none"/>
                <w:lang w:val="en-US" w:eastAsia="zh-CN" w:bidi="ar-SA"/>
              </w:rPr>
            </w:pPr>
            <w:r>
              <w:rPr>
                <w:rFonts w:hint="default" w:hAnsiTheme="minorEastAsia" w:eastAsiaTheme="minorEastAsia"/>
                <w:kern w:val="0"/>
                <w:sz w:val="21"/>
                <w:szCs w:val="21"/>
                <w:highlight w:val="none"/>
              </w:rPr>
              <w:t>废机油</w:t>
            </w:r>
            <w:r>
              <w:rPr>
                <w:rFonts w:hint="default" w:hAnsiTheme="minorEastAsia" w:eastAsiaTheme="minorEastAsia"/>
                <w:bCs/>
                <w:kern w:val="0"/>
                <w:sz w:val="21"/>
                <w:szCs w:val="21"/>
                <w:highlight w:val="none"/>
              </w:rPr>
              <w:t>（类别：</w:t>
            </w:r>
            <w:r>
              <w:rPr>
                <w:rFonts w:hint="default" w:eastAsiaTheme="minorEastAsia"/>
                <w:bCs/>
                <w:kern w:val="0"/>
                <w:sz w:val="21"/>
                <w:szCs w:val="21"/>
                <w:highlight w:val="none"/>
              </w:rPr>
              <w:t>HW08</w:t>
            </w:r>
            <w:r>
              <w:rPr>
                <w:rFonts w:hint="default" w:hAnsiTheme="minorEastAsia" w:eastAsiaTheme="minorEastAsia"/>
                <w:bCs/>
                <w:kern w:val="0"/>
                <w:sz w:val="21"/>
                <w:szCs w:val="21"/>
                <w:highlight w:val="none"/>
              </w:rPr>
              <w:t>，代码：</w:t>
            </w:r>
            <w:r>
              <w:rPr>
                <w:rFonts w:hint="default" w:eastAsiaTheme="minorEastAsia"/>
                <w:bCs/>
                <w:kern w:val="0"/>
                <w:sz w:val="21"/>
                <w:szCs w:val="21"/>
                <w:highlight w:val="none"/>
              </w:rPr>
              <w:t>900-249-08</w:t>
            </w:r>
            <w:r>
              <w:rPr>
                <w:rFonts w:hint="default" w:hAnsiTheme="minorEastAsia" w:eastAsiaTheme="minorEastAsia"/>
                <w:bCs/>
                <w:kern w:val="0"/>
                <w:sz w:val="21"/>
                <w:szCs w:val="21"/>
                <w:highlight w:val="none"/>
              </w:rPr>
              <w:t>）、</w:t>
            </w:r>
            <w:r>
              <w:rPr>
                <w:rFonts w:hint="default" w:hAnsiTheme="minorEastAsia" w:eastAsiaTheme="minorEastAsia"/>
                <w:kern w:val="0"/>
                <w:sz w:val="21"/>
                <w:szCs w:val="21"/>
                <w:highlight w:val="none"/>
              </w:rPr>
              <w:t>含油抹布</w:t>
            </w:r>
            <w:r>
              <w:rPr>
                <w:rFonts w:hint="eastAsia" w:hAnsiTheme="minorEastAsia" w:eastAsiaTheme="minorEastAsia"/>
                <w:kern w:val="0"/>
                <w:sz w:val="21"/>
                <w:szCs w:val="21"/>
                <w:highlight w:val="none"/>
                <w:lang w:val="en-US" w:eastAsia="zh-CN"/>
              </w:rPr>
              <w:t>及废手套</w:t>
            </w:r>
            <w:r>
              <w:rPr>
                <w:rFonts w:hint="default" w:hAnsiTheme="minorEastAsia" w:eastAsiaTheme="minorEastAsia"/>
                <w:bCs/>
                <w:kern w:val="0"/>
                <w:sz w:val="21"/>
                <w:szCs w:val="21"/>
                <w:highlight w:val="none"/>
              </w:rPr>
              <w:t>（类别：</w:t>
            </w:r>
            <w:r>
              <w:rPr>
                <w:rFonts w:hint="default" w:eastAsiaTheme="minorEastAsia"/>
                <w:bCs/>
                <w:kern w:val="0"/>
                <w:sz w:val="21"/>
                <w:szCs w:val="21"/>
                <w:highlight w:val="none"/>
              </w:rPr>
              <w:t>HW49</w:t>
            </w:r>
            <w:r>
              <w:rPr>
                <w:rFonts w:hint="default" w:hAnsiTheme="minorEastAsia" w:eastAsiaTheme="minorEastAsia"/>
                <w:bCs/>
                <w:kern w:val="0"/>
                <w:sz w:val="21"/>
                <w:szCs w:val="21"/>
                <w:highlight w:val="none"/>
              </w:rPr>
              <w:t>，代码：</w:t>
            </w:r>
            <w:r>
              <w:rPr>
                <w:rFonts w:hint="default" w:eastAsiaTheme="minorEastAsia"/>
                <w:bCs/>
                <w:kern w:val="0"/>
                <w:sz w:val="21"/>
                <w:szCs w:val="21"/>
                <w:highlight w:val="none"/>
              </w:rPr>
              <w:t>900-041-49</w:t>
            </w:r>
            <w:r>
              <w:rPr>
                <w:rFonts w:hint="default" w:hAnsiTheme="minorEastAsia" w:eastAsiaTheme="minorEastAsia"/>
                <w:bCs/>
                <w:kern w:val="0"/>
                <w:sz w:val="21"/>
                <w:szCs w:val="21"/>
                <w:highlight w:val="none"/>
              </w:rPr>
              <w:t>）、</w:t>
            </w:r>
            <w:r>
              <w:rPr>
                <w:rFonts w:hint="eastAsia" w:hAnsiTheme="minorEastAsia" w:eastAsiaTheme="minorEastAsia"/>
                <w:bCs/>
                <w:kern w:val="0"/>
                <w:sz w:val="21"/>
                <w:szCs w:val="21"/>
                <w:highlight w:val="none"/>
                <w:lang w:val="en-US" w:eastAsia="zh-CN"/>
              </w:rPr>
              <w:t>化学品</w:t>
            </w:r>
            <w:r>
              <w:rPr>
                <w:rFonts w:hint="default" w:hAnsiTheme="minorEastAsia" w:eastAsiaTheme="minorEastAsia"/>
                <w:bCs/>
                <w:kern w:val="0"/>
                <w:sz w:val="21"/>
                <w:szCs w:val="21"/>
                <w:highlight w:val="none"/>
              </w:rPr>
              <w:t>包装桶（类别：HW</w:t>
            </w:r>
            <w:r>
              <w:rPr>
                <w:rFonts w:hint="eastAsia" w:hAnsiTheme="minorEastAsia" w:eastAsiaTheme="minorEastAsia"/>
                <w:bCs/>
                <w:kern w:val="0"/>
                <w:sz w:val="21"/>
                <w:szCs w:val="21"/>
                <w:highlight w:val="none"/>
                <w:lang w:val="en-US" w:eastAsia="zh-CN"/>
              </w:rPr>
              <w:t>49</w:t>
            </w:r>
            <w:r>
              <w:rPr>
                <w:rFonts w:hint="default" w:hAnsiTheme="minorEastAsia" w:eastAsiaTheme="minorEastAsia"/>
                <w:bCs/>
                <w:kern w:val="0"/>
                <w:sz w:val="21"/>
                <w:szCs w:val="21"/>
                <w:highlight w:val="none"/>
              </w:rPr>
              <w:t>，代码：900-</w:t>
            </w:r>
            <w:r>
              <w:rPr>
                <w:rFonts w:hint="eastAsia" w:hAnsiTheme="minorEastAsia" w:eastAsiaTheme="minorEastAsia"/>
                <w:bCs/>
                <w:kern w:val="0"/>
                <w:sz w:val="21"/>
                <w:szCs w:val="21"/>
                <w:highlight w:val="none"/>
                <w:lang w:val="en-US" w:eastAsia="zh-CN"/>
              </w:rPr>
              <w:t>041</w:t>
            </w:r>
            <w:r>
              <w:rPr>
                <w:rFonts w:hint="default" w:hAnsiTheme="minorEastAsia" w:eastAsiaTheme="minorEastAsia"/>
                <w:bCs/>
                <w:kern w:val="0"/>
                <w:sz w:val="21"/>
                <w:szCs w:val="21"/>
                <w:highlight w:val="none"/>
              </w:rPr>
              <w:t>-</w:t>
            </w:r>
            <w:r>
              <w:rPr>
                <w:rFonts w:hint="eastAsia" w:hAnsiTheme="minorEastAsia" w:eastAsiaTheme="minorEastAsia"/>
                <w:bCs/>
                <w:kern w:val="0"/>
                <w:sz w:val="21"/>
                <w:szCs w:val="21"/>
                <w:highlight w:val="none"/>
                <w:lang w:val="en-US" w:eastAsia="zh-CN"/>
              </w:rPr>
              <w:t>49</w:t>
            </w:r>
            <w:r>
              <w:rPr>
                <w:rFonts w:hint="default" w:hAnsiTheme="minorEastAsia" w:eastAsiaTheme="minorEastAsia"/>
                <w:bCs/>
                <w:kern w:val="0"/>
                <w:sz w:val="21"/>
                <w:szCs w:val="21"/>
                <w:highlight w:val="none"/>
              </w:rPr>
              <w:t>）、</w:t>
            </w:r>
            <w:r>
              <w:rPr>
                <w:rFonts w:hint="eastAsia" w:hAnsiTheme="minorEastAsia" w:eastAsiaTheme="minorEastAsia"/>
                <w:bCs/>
                <w:kern w:val="0"/>
                <w:sz w:val="21"/>
                <w:szCs w:val="21"/>
                <w:highlight w:val="none"/>
                <w:lang w:val="en-US" w:eastAsia="zh-CN"/>
              </w:rPr>
              <w:t>废胶</w:t>
            </w:r>
            <w:r>
              <w:rPr>
                <w:rFonts w:hint="default" w:hAnsiTheme="minorEastAsia" w:eastAsiaTheme="minorEastAsia"/>
                <w:bCs/>
                <w:kern w:val="0"/>
                <w:sz w:val="21"/>
                <w:szCs w:val="21"/>
                <w:highlight w:val="none"/>
              </w:rPr>
              <w:t>（类别：HW49，代码：900-0</w:t>
            </w:r>
            <w:r>
              <w:rPr>
                <w:rFonts w:hint="eastAsia" w:hAnsiTheme="minorEastAsia" w:eastAsiaTheme="minorEastAsia"/>
                <w:bCs/>
                <w:kern w:val="0"/>
                <w:sz w:val="21"/>
                <w:szCs w:val="21"/>
                <w:highlight w:val="none"/>
                <w:lang w:val="en-US" w:eastAsia="zh-CN"/>
              </w:rPr>
              <w:t>14</w:t>
            </w:r>
            <w:r>
              <w:rPr>
                <w:rFonts w:hint="default" w:hAnsiTheme="minorEastAsia" w:eastAsiaTheme="minorEastAsia"/>
                <w:bCs/>
                <w:kern w:val="0"/>
                <w:sz w:val="21"/>
                <w:szCs w:val="21"/>
                <w:highlight w:val="none"/>
              </w:rPr>
              <w:t>-</w:t>
            </w:r>
            <w:r>
              <w:rPr>
                <w:rFonts w:hint="eastAsia" w:hAnsiTheme="minorEastAsia" w:eastAsiaTheme="minorEastAsia"/>
                <w:bCs/>
                <w:kern w:val="0"/>
                <w:sz w:val="21"/>
                <w:szCs w:val="21"/>
                <w:highlight w:val="none"/>
                <w:lang w:val="en-US" w:eastAsia="zh-CN"/>
              </w:rPr>
              <w:t>13</w:t>
            </w:r>
            <w:r>
              <w:rPr>
                <w:rFonts w:hint="default" w:hAnsiTheme="minorEastAsia" w:eastAsiaTheme="minorEastAsia"/>
                <w:bCs/>
                <w:kern w:val="0"/>
                <w:sz w:val="21"/>
                <w:szCs w:val="21"/>
                <w:highlight w:val="none"/>
              </w:rPr>
              <w:t>）</w:t>
            </w:r>
          </w:p>
        </w:tc>
        <w:tc>
          <w:tcPr>
            <w:tcW w:w="1569" w:type="dxa"/>
            <w:vMerge w:val="continue"/>
            <w:vAlign w:val="center"/>
          </w:tcPr>
          <w:p w14:paraId="2ECB4273">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p>
        </w:tc>
      </w:tr>
      <w:tr w14:paraId="282F16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 w:hRule="atLeast"/>
          <w:jc w:val="center"/>
        </w:trPr>
        <w:tc>
          <w:tcPr>
            <w:tcW w:w="675" w:type="dxa"/>
            <w:vMerge w:val="continue"/>
            <w:vAlign w:val="center"/>
          </w:tcPr>
          <w:p w14:paraId="457C8E23">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p>
        </w:tc>
        <w:tc>
          <w:tcPr>
            <w:tcW w:w="851" w:type="dxa"/>
            <w:vMerge w:val="continue"/>
            <w:vAlign w:val="center"/>
          </w:tcPr>
          <w:p w14:paraId="4D7FB6F1">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p>
        </w:tc>
        <w:tc>
          <w:tcPr>
            <w:tcW w:w="1660" w:type="dxa"/>
            <w:shd w:val="clear" w:color="auto" w:fill="auto"/>
            <w:vAlign w:val="center"/>
          </w:tcPr>
          <w:p w14:paraId="00919848">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ascii="Times New Roman" w:hAnsi="Times New Roman" w:cs="Times New Roman" w:eastAsiaTheme="minorEastAsia"/>
                <w:bCs/>
                <w:kern w:val="0"/>
                <w:sz w:val="21"/>
                <w:szCs w:val="21"/>
                <w:highlight w:val="none"/>
                <w:lang w:val="en-US" w:eastAsia="zh-CN" w:bidi="ar-SA"/>
              </w:rPr>
            </w:pPr>
            <w:r>
              <w:rPr>
                <w:rFonts w:hint="default" w:hAnsiTheme="minorEastAsia" w:eastAsiaTheme="minorEastAsia"/>
                <w:bCs/>
                <w:kern w:val="0"/>
                <w:sz w:val="21"/>
                <w:szCs w:val="21"/>
                <w:highlight w:val="none"/>
              </w:rPr>
              <w:t>机械加工</w:t>
            </w:r>
            <w:r>
              <w:rPr>
                <w:rFonts w:hint="default" w:hAnsiTheme="minorEastAsia" w:eastAsiaTheme="minorEastAsia"/>
                <w:snapToGrid w:val="0"/>
                <w:kern w:val="0"/>
                <w:sz w:val="21"/>
                <w:szCs w:val="21"/>
                <w:highlight w:val="none"/>
              </w:rPr>
              <w:t>切削液过滤系统</w:t>
            </w:r>
            <w:r>
              <w:rPr>
                <w:rFonts w:hint="eastAsia" w:hAnsiTheme="minorEastAsia" w:eastAsiaTheme="minorEastAsia"/>
                <w:snapToGrid w:val="0"/>
                <w:kern w:val="0"/>
                <w:sz w:val="21"/>
                <w:szCs w:val="21"/>
                <w:highlight w:val="none"/>
                <w:lang w:eastAsia="zh-CN"/>
              </w:rPr>
              <w:t>、</w:t>
            </w:r>
            <w:r>
              <w:rPr>
                <w:rFonts w:hint="default" w:hAnsiTheme="minorEastAsia" w:eastAsiaTheme="minorEastAsia"/>
                <w:kern w:val="0"/>
                <w:sz w:val="21"/>
                <w:szCs w:val="21"/>
                <w:highlight w:val="none"/>
              </w:rPr>
              <w:t>油雾净化系统</w:t>
            </w:r>
            <w:r>
              <w:rPr>
                <w:rFonts w:hint="eastAsia" w:hAnsiTheme="minorEastAsia" w:eastAsiaTheme="minorEastAsia"/>
                <w:kern w:val="0"/>
                <w:sz w:val="21"/>
                <w:szCs w:val="21"/>
                <w:highlight w:val="none"/>
                <w:lang w:eastAsia="zh-CN"/>
              </w:rPr>
              <w:t>、</w:t>
            </w:r>
            <w:r>
              <w:rPr>
                <w:rFonts w:hint="eastAsia" w:hAnsiTheme="minorEastAsia" w:eastAsiaTheme="minorEastAsia"/>
                <w:kern w:val="0"/>
                <w:sz w:val="21"/>
                <w:szCs w:val="21"/>
                <w:highlight w:val="none"/>
                <w:lang w:val="en-US" w:eastAsia="zh-CN"/>
              </w:rPr>
              <w:t>活性炭吸附装置</w:t>
            </w:r>
          </w:p>
        </w:tc>
        <w:tc>
          <w:tcPr>
            <w:tcW w:w="3685" w:type="dxa"/>
            <w:shd w:val="clear" w:color="auto" w:fill="auto"/>
            <w:vAlign w:val="center"/>
          </w:tcPr>
          <w:p w14:paraId="67F2837E">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ascii="Times New Roman" w:hAnsi="Times New Roman" w:cs="Times New Roman" w:eastAsiaTheme="minorEastAsia"/>
                <w:kern w:val="0"/>
                <w:sz w:val="21"/>
                <w:szCs w:val="21"/>
                <w:highlight w:val="none"/>
                <w:lang w:val="en-US" w:eastAsia="zh-CN" w:bidi="ar-SA"/>
              </w:rPr>
            </w:pPr>
            <w:r>
              <w:rPr>
                <w:rFonts w:hint="eastAsia" w:hAnsiTheme="minorEastAsia" w:eastAsiaTheme="minorEastAsia"/>
                <w:snapToGrid w:val="0"/>
                <w:kern w:val="0"/>
                <w:sz w:val="21"/>
                <w:szCs w:val="21"/>
                <w:highlight w:val="none"/>
                <w:lang w:val="en-US" w:eastAsia="zh-CN"/>
              </w:rPr>
              <w:t>废过滤材料</w:t>
            </w:r>
            <w:r>
              <w:rPr>
                <w:rFonts w:hint="default" w:hAnsiTheme="minorEastAsia" w:eastAsiaTheme="minorEastAsia"/>
                <w:bCs/>
                <w:kern w:val="0"/>
                <w:sz w:val="21"/>
                <w:szCs w:val="21"/>
                <w:highlight w:val="none"/>
              </w:rPr>
              <w:t>（类别：</w:t>
            </w:r>
            <w:r>
              <w:rPr>
                <w:rFonts w:hint="default" w:eastAsiaTheme="minorEastAsia"/>
                <w:bCs/>
                <w:kern w:val="0"/>
                <w:sz w:val="21"/>
                <w:szCs w:val="21"/>
                <w:highlight w:val="none"/>
              </w:rPr>
              <w:t>HW49</w:t>
            </w:r>
            <w:r>
              <w:rPr>
                <w:rFonts w:hint="default" w:hAnsiTheme="minorEastAsia" w:eastAsiaTheme="minorEastAsia"/>
                <w:bCs/>
                <w:kern w:val="0"/>
                <w:sz w:val="21"/>
                <w:szCs w:val="21"/>
                <w:highlight w:val="none"/>
              </w:rPr>
              <w:t>，代码：</w:t>
            </w:r>
            <w:r>
              <w:rPr>
                <w:rFonts w:hint="default" w:eastAsiaTheme="minorEastAsia"/>
                <w:bCs/>
                <w:kern w:val="0"/>
                <w:sz w:val="21"/>
                <w:szCs w:val="21"/>
                <w:highlight w:val="none"/>
              </w:rPr>
              <w:t>900-041-49</w:t>
            </w:r>
            <w:r>
              <w:rPr>
                <w:rFonts w:hint="default" w:hAnsiTheme="minorEastAsia" w:eastAsiaTheme="minorEastAsia"/>
                <w:bCs/>
                <w:kern w:val="0"/>
                <w:sz w:val="21"/>
                <w:szCs w:val="21"/>
                <w:highlight w:val="none"/>
              </w:rPr>
              <w:t>）</w:t>
            </w:r>
            <w:r>
              <w:rPr>
                <w:rFonts w:hint="eastAsia" w:hAnsiTheme="minorEastAsia" w:eastAsiaTheme="minorEastAsia"/>
                <w:bCs/>
                <w:kern w:val="0"/>
                <w:sz w:val="21"/>
                <w:szCs w:val="21"/>
                <w:highlight w:val="none"/>
                <w:lang w:eastAsia="zh-CN"/>
              </w:rPr>
              <w:t>、</w:t>
            </w:r>
            <w:r>
              <w:rPr>
                <w:rFonts w:hint="eastAsia" w:hAnsiTheme="minorEastAsia" w:eastAsiaTheme="minorEastAsia"/>
                <w:bCs/>
                <w:kern w:val="0"/>
                <w:sz w:val="21"/>
                <w:szCs w:val="21"/>
                <w:highlight w:val="none"/>
                <w:lang w:val="en-US" w:eastAsia="zh-CN"/>
              </w:rPr>
              <w:t>废活性炭（</w:t>
            </w:r>
            <w:r>
              <w:rPr>
                <w:rFonts w:hint="default" w:hAnsiTheme="minorEastAsia" w:eastAsiaTheme="minorEastAsia"/>
                <w:bCs/>
                <w:kern w:val="0"/>
                <w:sz w:val="21"/>
                <w:szCs w:val="21"/>
                <w:highlight w:val="none"/>
              </w:rPr>
              <w:t>类别：</w:t>
            </w:r>
            <w:r>
              <w:rPr>
                <w:rFonts w:hint="default" w:eastAsiaTheme="minorEastAsia"/>
                <w:bCs/>
                <w:kern w:val="0"/>
                <w:sz w:val="21"/>
                <w:szCs w:val="21"/>
                <w:highlight w:val="none"/>
              </w:rPr>
              <w:t>HW49</w:t>
            </w:r>
            <w:r>
              <w:rPr>
                <w:rFonts w:hint="default" w:hAnsiTheme="minorEastAsia" w:eastAsiaTheme="minorEastAsia"/>
                <w:bCs/>
                <w:kern w:val="0"/>
                <w:sz w:val="21"/>
                <w:szCs w:val="21"/>
                <w:highlight w:val="none"/>
              </w:rPr>
              <w:t>，代码：</w:t>
            </w:r>
            <w:r>
              <w:rPr>
                <w:rFonts w:hint="default" w:eastAsiaTheme="minorEastAsia"/>
                <w:bCs/>
                <w:kern w:val="0"/>
                <w:sz w:val="21"/>
                <w:szCs w:val="21"/>
                <w:highlight w:val="none"/>
              </w:rPr>
              <w:t>900-0</w:t>
            </w:r>
            <w:r>
              <w:rPr>
                <w:rFonts w:hint="eastAsia" w:eastAsiaTheme="minorEastAsia"/>
                <w:bCs/>
                <w:kern w:val="0"/>
                <w:sz w:val="21"/>
                <w:szCs w:val="21"/>
                <w:highlight w:val="none"/>
                <w:lang w:val="en-US" w:eastAsia="zh-CN"/>
              </w:rPr>
              <w:t>39</w:t>
            </w:r>
            <w:r>
              <w:rPr>
                <w:rFonts w:hint="default" w:eastAsiaTheme="minorEastAsia"/>
                <w:bCs/>
                <w:kern w:val="0"/>
                <w:sz w:val="21"/>
                <w:szCs w:val="21"/>
                <w:highlight w:val="none"/>
              </w:rPr>
              <w:t>-49</w:t>
            </w:r>
            <w:r>
              <w:rPr>
                <w:rFonts w:hint="eastAsia" w:hAnsiTheme="minorEastAsia" w:eastAsiaTheme="minorEastAsia"/>
                <w:bCs/>
                <w:kern w:val="0"/>
                <w:sz w:val="21"/>
                <w:szCs w:val="21"/>
                <w:highlight w:val="none"/>
                <w:lang w:val="en-US" w:eastAsia="zh-CN"/>
              </w:rPr>
              <w:t>）</w:t>
            </w:r>
          </w:p>
        </w:tc>
        <w:tc>
          <w:tcPr>
            <w:tcW w:w="1569" w:type="dxa"/>
            <w:vMerge w:val="continue"/>
            <w:vAlign w:val="center"/>
          </w:tcPr>
          <w:p w14:paraId="1B038F22">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p>
        </w:tc>
      </w:tr>
      <w:tr w14:paraId="49E518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 w:hRule="atLeast"/>
          <w:jc w:val="center"/>
        </w:trPr>
        <w:tc>
          <w:tcPr>
            <w:tcW w:w="675" w:type="dxa"/>
            <w:vMerge w:val="continue"/>
            <w:vAlign w:val="center"/>
          </w:tcPr>
          <w:p w14:paraId="7DD48E9E">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p>
        </w:tc>
        <w:tc>
          <w:tcPr>
            <w:tcW w:w="851" w:type="dxa"/>
            <w:vMerge w:val="continue"/>
            <w:vAlign w:val="center"/>
          </w:tcPr>
          <w:p w14:paraId="22DD3F38">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p>
        </w:tc>
        <w:tc>
          <w:tcPr>
            <w:tcW w:w="1660" w:type="dxa"/>
            <w:shd w:val="clear" w:color="auto" w:fill="auto"/>
            <w:vAlign w:val="center"/>
          </w:tcPr>
          <w:p w14:paraId="6DA57F86">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ascii="Times New Roman" w:hAnsi="Times New Roman" w:cs="Times New Roman" w:eastAsiaTheme="minorEastAsia"/>
                <w:bCs/>
                <w:kern w:val="0"/>
                <w:sz w:val="21"/>
                <w:szCs w:val="21"/>
                <w:highlight w:val="none"/>
                <w:lang w:val="en-US" w:eastAsia="zh-CN" w:bidi="ar-SA"/>
              </w:rPr>
            </w:pPr>
            <w:r>
              <w:rPr>
                <w:rFonts w:hint="default" w:hAnsiTheme="minorEastAsia" w:eastAsiaTheme="minorEastAsia"/>
                <w:kern w:val="0"/>
                <w:sz w:val="21"/>
                <w:szCs w:val="21"/>
                <w:highlight w:val="none"/>
              </w:rPr>
              <w:t>珩磨</w:t>
            </w:r>
          </w:p>
        </w:tc>
        <w:tc>
          <w:tcPr>
            <w:tcW w:w="3685" w:type="dxa"/>
            <w:shd w:val="clear" w:color="auto" w:fill="auto"/>
            <w:vAlign w:val="center"/>
          </w:tcPr>
          <w:p w14:paraId="1E75F25D">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ascii="Times New Roman" w:hAnsi="Times New Roman" w:cs="Times New Roman" w:eastAsiaTheme="minorEastAsia"/>
                <w:kern w:val="0"/>
                <w:sz w:val="21"/>
                <w:szCs w:val="21"/>
                <w:highlight w:val="none"/>
                <w:lang w:val="en-US" w:eastAsia="zh-CN" w:bidi="ar-SA"/>
              </w:rPr>
            </w:pPr>
            <w:r>
              <w:rPr>
                <w:rFonts w:hint="default" w:hAnsiTheme="minorEastAsia" w:eastAsiaTheme="minorEastAsia"/>
                <w:kern w:val="0"/>
                <w:sz w:val="21"/>
                <w:szCs w:val="21"/>
                <w:highlight w:val="none"/>
              </w:rPr>
              <w:t>废油泥（类别：</w:t>
            </w:r>
            <w:r>
              <w:rPr>
                <w:rFonts w:hint="default" w:eastAsiaTheme="minorEastAsia"/>
                <w:kern w:val="0"/>
                <w:sz w:val="21"/>
                <w:szCs w:val="21"/>
                <w:highlight w:val="none"/>
              </w:rPr>
              <w:t>HW08</w:t>
            </w:r>
            <w:r>
              <w:rPr>
                <w:rFonts w:hint="default" w:hAnsiTheme="minorEastAsia" w:eastAsiaTheme="minorEastAsia"/>
                <w:kern w:val="0"/>
                <w:sz w:val="21"/>
                <w:szCs w:val="21"/>
                <w:highlight w:val="none"/>
              </w:rPr>
              <w:t>，代码：</w:t>
            </w:r>
            <w:r>
              <w:rPr>
                <w:rFonts w:hint="default" w:eastAsiaTheme="minorEastAsia"/>
                <w:kern w:val="0"/>
                <w:sz w:val="21"/>
                <w:szCs w:val="21"/>
                <w:highlight w:val="none"/>
              </w:rPr>
              <w:t>900-200-08</w:t>
            </w:r>
            <w:r>
              <w:rPr>
                <w:rFonts w:hint="default" w:hAnsiTheme="minorEastAsia" w:eastAsiaTheme="minorEastAsia"/>
                <w:kern w:val="0"/>
                <w:sz w:val="21"/>
                <w:szCs w:val="21"/>
                <w:highlight w:val="none"/>
              </w:rPr>
              <w:t>）</w:t>
            </w:r>
          </w:p>
        </w:tc>
        <w:tc>
          <w:tcPr>
            <w:tcW w:w="1569" w:type="dxa"/>
            <w:vMerge w:val="continue"/>
            <w:vAlign w:val="center"/>
          </w:tcPr>
          <w:p w14:paraId="420F8126">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p>
        </w:tc>
      </w:tr>
      <w:tr w14:paraId="76C9E4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 w:hRule="atLeast"/>
          <w:jc w:val="center"/>
        </w:trPr>
        <w:tc>
          <w:tcPr>
            <w:tcW w:w="675" w:type="dxa"/>
            <w:vMerge w:val="continue"/>
            <w:vAlign w:val="center"/>
          </w:tcPr>
          <w:p w14:paraId="1E910E92">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p>
        </w:tc>
        <w:tc>
          <w:tcPr>
            <w:tcW w:w="851" w:type="dxa"/>
            <w:vMerge w:val="continue"/>
            <w:vAlign w:val="center"/>
          </w:tcPr>
          <w:p w14:paraId="03AD6745">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p>
        </w:tc>
        <w:tc>
          <w:tcPr>
            <w:tcW w:w="1660" w:type="dxa"/>
            <w:shd w:val="clear" w:color="auto" w:fill="auto"/>
            <w:vAlign w:val="center"/>
          </w:tcPr>
          <w:p w14:paraId="561BBF31">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ascii="Times New Roman" w:cs="Times New Roman" w:hAnsiTheme="minorEastAsia" w:eastAsiaTheme="minorEastAsia"/>
                <w:kern w:val="0"/>
                <w:sz w:val="21"/>
                <w:szCs w:val="21"/>
                <w:highlight w:val="none"/>
                <w:lang w:val="en-US" w:eastAsia="zh-CN" w:bidi="ar-SA"/>
              </w:rPr>
            </w:pPr>
            <w:r>
              <w:rPr>
                <w:rFonts w:hint="default" w:hAnsiTheme="minorEastAsia" w:eastAsiaTheme="minorEastAsia"/>
                <w:kern w:val="0"/>
                <w:sz w:val="21"/>
                <w:szCs w:val="21"/>
                <w:highlight w:val="none"/>
              </w:rPr>
              <w:t>三元催化装置</w:t>
            </w:r>
          </w:p>
        </w:tc>
        <w:tc>
          <w:tcPr>
            <w:tcW w:w="3685" w:type="dxa"/>
            <w:shd w:val="clear" w:color="auto" w:fill="auto"/>
            <w:vAlign w:val="center"/>
          </w:tcPr>
          <w:p w14:paraId="24F3002E">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ascii="Times New Roman" w:cs="Times New Roman" w:hAnsiTheme="minorEastAsia" w:eastAsiaTheme="minorEastAsia"/>
                <w:kern w:val="0"/>
                <w:sz w:val="21"/>
                <w:szCs w:val="21"/>
                <w:highlight w:val="none"/>
                <w:lang w:val="en-US" w:eastAsia="zh-CN" w:bidi="ar-SA"/>
              </w:rPr>
            </w:pPr>
            <w:r>
              <w:rPr>
                <w:rFonts w:hint="default" w:hAnsiTheme="minorEastAsia" w:eastAsiaTheme="minorEastAsia"/>
                <w:kern w:val="0"/>
                <w:sz w:val="21"/>
                <w:szCs w:val="21"/>
                <w:highlight w:val="none"/>
              </w:rPr>
              <w:t>废催化剂（类别：HW50，代码：900-049-50）</w:t>
            </w:r>
          </w:p>
        </w:tc>
        <w:tc>
          <w:tcPr>
            <w:tcW w:w="1569" w:type="dxa"/>
            <w:vMerge w:val="continue"/>
            <w:vAlign w:val="center"/>
          </w:tcPr>
          <w:p w14:paraId="17D9A015">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p>
        </w:tc>
      </w:tr>
      <w:tr w14:paraId="080AB7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 w:hRule="atLeast"/>
          <w:jc w:val="center"/>
        </w:trPr>
        <w:tc>
          <w:tcPr>
            <w:tcW w:w="675" w:type="dxa"/>
            <w:vMerge w:val="continue"/>
            <w:vAlign w:val="center"/>
          </w:tcPr>
          <w:p w14:paraId="4D6372C1">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p>
        </w:tc>
        <w:tc>
          <w:tcPr>
            <w:tcW w:w="851" w:type="dxa"/>
            <w:shd w:val="clear" w:color="auto" w:fill="auto"/>
            <w:vAlign w:val="center"/>
          </w:tcPr>
          <w:p w14:paraId="622CFC4F">
            <w:pPr>
              <w:pStyle w:val="8"/>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color w:val="000000"/>
                <w:kern w:val="0"/>
                <w:sz w:val="21"/>
                <w:szCs w:val="24"/>
                <w:highlight w:val="none"/>
                <w:lang w:val="en-US" w:eastAsia="zh-CN" w:bidi="ar-SA"/>
              </w:rPr>
            </w:pPr>
            <w:r>
              <w:rPr>
                <w:rFonts w:hint="eastAsia"/>
                <w:highlight w:val="none"/>
                <w:lang w:val="en-US" w:eastAsia="zh-CN"/>
              </w:rPr>
              <w:t>风险</w:t>
            </w:r>
          </w:p>
        </w:tc>
        <w:tc>
          <w:tcPr>
            <w:tcW w:w="1660" w:type="dxa"/>
            <w:shd w:val="clear" w:color="auto" w:fill="auto"/>
            <w:vAlign w:val="center"/>
          </w:tcPr>
          <w:p w14:paraId="42ED736B">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kern w:val="0"/>
                <w:sz w:val="21"/>
                <w:szCs w:val="24"/>
                <w:highlight w:val="none"/>
                <w:lang w:val="en-US" w:eastAsia="zh-CN" w:bidi="ar-SA"/>
              </w:rPr>
            </w:pPr>
            <w:r>
              <w:rPr>
                <w:rFonts w:hint="eastAsia"/>
                <w:highlight w:val="none"/>
                <w:lang w:val="en-US" w:eastAsia="zh-CN"/>
              </w:rPr>
              <w:t>生产车间</w:t>
            </w:r>
          </w:p>
        </w:tc>
        <w:tc>
          <w:tcPr>
            <w:tcW w:w="3685" w:type="dxa"/>
            <w:shd w:val="clear" w:color="auto" w:fill="auto"/>
            <w:vAlign w:val="center"/>
          </w:tcPr>
          <w:p w14:paraId="134CC614">
            <w:pPr>
              <w:pStyle w:val="8"/>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color w:val="000000"/>
                <w:kern w:val="0"/>
                <w:sz w:val="21"/>
                <w:szCs w:val="24"/>
                <w:highlight w:val="none"/>
                <w:lang w:val="en-US" w:eastAsia="zh-CN" w:bidi="ar-SA"/>
              </w:rPr>
            </w:pPr>
            <w:r>
              <w:rPr>
                <w:rFonts w:hint="eastAsia"/>
                <w:highlight w:val="none"/>
                <w:lang w:val="en-US" w:eastAsia="zh-CN"/>
              </w:rPr>
              <w:t>油类物质</w:t>
            </w:r>
          </w:p>
        </w:tc>
        <w:tc>
          <w:tcPr>
            <w:tcW w:w="1569" w:type="dxa"/>
            <w:shd w:val="clear" w:color="auto" w:fill="auto"/>
            <w:vAlign w:val="center"/>
          </w:tcPr>
          <w:p w14:paraId="3FC19E72">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kern w:val="0"/>
                <w:sz w:val="21"/>
                <w:szCs w:val="24"/>
                <w:highlight w:val="none"/>
                <w:lang w:val="en-US" w:eastAsia="zh-CN" w:bidi="ar-SA"/>
              </w:rPr>
            </w:pPr>
            <w:r>
              <w:rPr>
                <w:rFonts w:hint="eastAsia"/>
                <w:highlight w:val="none"/>
                <w:lang w:val="en-US" w:eastAsia="zh-CN"/>
              </w:rPr>
              <w:t>地下水和土壤环境</w:t>
            </w:r>
          </w:p>
        </w:tc>
      </w:tr>
      <w:tr w14:paraId="4BC688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 w:hRule="atLeast"/>
          <w:jc w:val="center"/>
        </w:trPr>
        <w:tc>
          <w:tcPr>
            <w:tcW w:w="675" w:type="dxa"/>
            <w:vMerge w:val="continue"/>
            <w:vAlign w:val="center"/>
          </w:tcPr>
          <w:p w14:paraId="2F079F7E">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p>
        </w:tc>
        <w:tc>
          <w:tcPr>
            <w:tcW w:w="851" w:type="dxa"/>
            <w:shd w:val="clear" w:color="auto" w:fill="auto"/>
            <w:vAlign w:val="center"/>
          </w:tcPr>
          <w:p w14:paraId="6B4DD34D">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kern w:val="0"/>
                <w:sz w:val="21"/>
                <w:szCs w:val="24"/>
                <w:highlight w:val="none"/>
                <w:lang w:val="en-US" w:eastAsia="zh-CN" w:bidi="ar-SA"/>
              </w:rPr>
            </w:pPr>
            <w:r>
              <w:rPr>
                <w:rFonts w:hint="eastAsia"/>
                <w:highlight w:val="none"/>
                <w:lang w:val="en-US" w:eastAsia="zh-CN"/>
              </w:rPr>
              <w:t>地下水</w:t>
            </w:r>
          </w:p>
        </w:tc>
        <w:tc>
          <w:tcPr>
            <w:tcW w:w="1660" w:type="dxa"/>
            <w:shd w:val="clear" w:color="auto" w:fill="auto"/>
            <w:vAlign w:val="center"/>
          </w:tcPr>
          <w:p w14:paraId="46D4BBFA">
            <w:pPr>
              <w:pStyle w:val="8"/>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color w:val="000000"/>
                <w:kern w:val="0"/>
                <w:sz w:val="21"/>
                <w:szCs w:val="24"/>
                <w:highlight w:val="none"/>
                <w:lang w:val="en-US" w:eastAsia="zh-CN" w:bidi="ar-SA"/>
              </w:rPr>
            </w:pPr>
            <w:r>
              <w:rPr>
                <w:rFonts w:hint="eastAsia"/>
                <w:highlight w:val="none"/>
                <w:lang w:val="en-US" w:eastAsia="zh-CN"/>
              </w:rPr>
              <w:t>生产车间</w:t>
            </w:r>
          </w:p>
        </w:tc>
        <w:tc>
          <w:tcPr>
            <w:tcW w:w="3685" w:type="dxa"/>
            <w:shd w:val="clear" w:color="auto" w:fill="auto"/>
            <w:vAlign w:val="center"/>
          </w:tcPr>
          <w:p w14:paraId="18C97D13">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kern w:val="0"/>
                <w:sz w:val="21"/>
                <w:szCs w:val="24"/>
                <w:highlight w:val="none"/>
                <w:lang w:val="en-US" w:eastAsia="zh-CN" w:bidi="ar-SA"/>
              </w:rPr>
            </w:pPr>
            <w:r>
              <w:rPr>
                <w:rFonts w:hint="eastAsia"/>
                <w:highlight w:val="none"/>
                <w:lang w:val="en-US" w:eastAsia="zh-CN"/>
              </w:rPr>
              <w:t>石油类</w:t>
            </w:r>
          </w:p>
        </w:tc>
        <w:tc>
          <w:tcPr>
            <w:tcW w:w="1569" w:type="dxa"/>
            <w:shd w:val="clear" w:color="auto" w:fill="auto"/>
            <w:vAlign w:val="center"/>
          </w:tcPr>
          <w:p w14:paraId="6F885814">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kern w:val="0"/>
                <w:sz w:val="21"/>
                <w:szCs w:val="24"/>
                <w:highlight w:val="none"/>
                <w:lang w:val="en-US" w:eastAsia="zh-CN" w:bidi="ar-SA"/>
              </w:rPr>
            </w:pPr>
            <w:r>
              <w:rPr>
                <w:rFonts w:hint="eastAsia"/>
                <w:highlight w:val="none"/>
                <w:lang w:val="en-US" w:eastAsia="zh-CN"/>
              </w:rPr>
              <w:t>地下水环境</w:t>
            </w:r>
          </w:p>
        </w:tc>
      </w:tr>
      <w:tr w14:paraId="72ABE0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 w:hRule="atLeast"/>
          <w:jc w:val="center"/>
        </w:trPr>
        <w:tc>
          <w:tcPr>
            <w:tcW w:w="675" w:type="dxa"/>
            <w:vMerge w:val="continue"/>
            <w:vAlign w:val="center"/>
          </w:tcPr>
          <w:p w14:paraId="60B3469F">
            <w:pPr>
              <w:keepNext w:val="0"/>
              <w:keepLines w:val="0"/>
              <w:pageBreakBefore w:val="0"/>
              <w:widowControl w:val="0"/>
              <w:suppressLineNumbers w:val="0"/>
              <w:tabs>
                <w:tab w:val="left" w:pos="6033"/>
                <w:tab w:val="left" w:pos="6271"/>
              </w:tabs>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ottom"/>
              <w:rPr>
                <w:rFonts w:hint="default" w:eastAsiaTheme="minorEastAsia"/>
                <w:spacing w:val="20"/>
                <w:kern w:val="0"/>
                <w:sz w:val="21"/>
                <w:szCs w:val="21"/>
                <w:highlight w:val="none"/>
              </w:rPr>
            </w:pPr>
          </w:p>
        </w:tc>
        <w:tc>
          <w:tcPr>
            <w:tcW w:w="851" w:type="dxa"/>
            <w:shd w:val="clear" w:color="auto" w:fill="auto"/>
            <w:vAlign w:val="center"/>
          </w:tcPr>
          <w:p w14:paraId="0B079A3A">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kern w:val="0"/>
                <w:sz w:val="21"/>
                <w:szCs w:val="24"/>
                <w:highlight w:val="none"/>
                <w:lang w:val="en-US" w:eastAsia="zh-CN" w:bidi="ar-SA"/>
              </w:rPr>
            </w:pPr>
            <w:r>
              <w:rPr>
                <w:rFonts w:hint="eastAsia"/>
                <w:highlight w:val="none"/>
                <w:lang w:val="en-US" w:eastAsia="zh-CN"/>
              </w:rPr>
              <w:t>土壤</w:t>
            </w:r>
          </w:p>
        </w:tc>
        <w:tc>
          <w:tcPr>
            <w:tcW w:w="1660" w:type="dxa"/>
            <w:shd w:val="clear" w:color="auto" w:fill="auto"/>
            <w:vAlign w:val="center"/>
          </w:tcPr>
          <w:p w14:paraId="5E1F7FDB">
            <w:pPr>
              <w:pStyle w:val="8"/>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color w:val="000000"/>
                <w:kern w:val="0"/>
                <w:sz w:val="21"/>
                <w:szCs w:val="24"/>
                <w:highlight w:val="none"/>
                <w:lang w:val="en-US" w:eastAsia="zh-CN" w:bidi="ar-SA"/>
              </w:rPr>
            </w:pPr>
            <w:r>
              <w:rPr>
                <w:rFonts w:hint="eastAsia"/>
                <w:highlight w:val="none"/>
                <w:lang w:val="en-US" w:eastAsia="zh-CN"/>
              </w:rPr>
              <w:t>生产车间</w:t>
            </w:r>
          </w:p>
        </w:tc>
        <w:tc>
          <w:tcPr>
            <w:tcW w:w="3685" w:type="dxa"/>
            <w:shd w:val="clear" w:color="auto" w:fill="auto"/>
            <w:vAlign w:val="center"/>
          </w:tcPr>
          <w:p w14:paraId="28CA4269">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kern w:val="0"/>
                <w:sz w:val="21"/>
                <w:szCs w:val="24"/>
                <w:highlight w:val="none"/>
                <w:lang w:val="en-US" w:eastAsia="zh-CN" w:bidi="ar-SA"/>
              </w:rPr>
            </w:pPr>
            <w:r>
              <w:rPr>
                <w:rFonts w:hint="eastAsia"/>
                <w:highlight w:val="none"/>
                <w:lang w:val="en-US" w:eastAsia="zh-CN"/>
              </w:rPr>
              <w:t>石油烃</w:t>
            </w:r>
          </w:p>
        </w:tc>
        <w:tc>
          <w:tcPr>
            <w:tcW w:w="1569" w:type="dxa"/>
            <w:shd w:val="clear" w:color="auto" w:fill="auto"/>
            <w:vAlign w:val="center"/>
          </w:tcPr>
          <w:p w14:paraId="70B6B181">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kern w:val="0"/>
                <w:sz w:val="21"/>
                <w:szCs w:val="24"/>
                <w:highlight w:val="none"/>
                <w:lang w:val="en-US" w:eastAsia="zh-CN" w:bidi="ar-SA"/>
              </w:rPr>
            </w:pPr>
            <w:r>
              <w:rPr>
                <w:rFonts w:hint="eastAsia"/>
                <w:highlight w:val="none"/>
                <w:lang w:val="en-US" w:eastAsia="zh-CN"/>
              </w:rPr>
              <w:t>土壤环境</w:t>
            </w:r>
          </w:p>
        </w:tc>
      </w:tr>
      <w:tr w14:paraId="128F0A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 w:hRule="atLeast"/>
          <w:jc w:val="center"/>
        </w:trPr>
        <w:tc>
          <w:tcPr>
            <w:tcW w:w="8440" w:type="dxa"/>
            <w:gridSpan w:val="5"/>
            <w:vAlign w:val="center"/>
          </w:tcPr>
          <w:p w14:paraId="1B7E7BCB">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bookmarkStart w:id="269" w:name="_Toc12180"/>
            <w:bookmarkStart w:id="270" w:name="_Toc19511"/>
            <w:r>
              <w:rPr>
                <w:rFonts w:hint="eastAsia"/>
                <w:highlight w:val="none"/>
                <w:lang w:val="en-US" w:eastAsia="zh-CN"/>
              </w:rPr>
              <w:t>注：《黑龙江省哈尔滨市平房区高效增程发动机生产线建设项目环境影响评价报告书》已按4号污水处理站满负荷运行计算废气、噪声、固体废物各污染物排放量；自2024年7月起，4G9生产线废水均进入4号厂房污水处理站处理；本项目不新增发动机产能，且本项目改造前后污水产生量及排放量无变化，改造后4号厂房污水处理站不新增污染物排放量，故本项目不识别生产废水、污水处理产生废气、噪声及固体废物为影响因子。</w:t>
            </w:r>
          </w:p>
        </w:tc>
      </w:tr>
    </w:tbl>
    <w:p w14:paraId="3D683C30">
      <w:pPr>
        <w:pStyle w:val="4"/>
        <w:bidi w:val="0"/>
        <w:rPr>
          <w:highlight w:val="none"/>
        </w:rPr>
      </w:pPr>
      <w:r>
        <w:rPr>
          <w:highlight w:val="none"/>
        </w:rPr>
        <w:t>3.</w:t>
      </w:r>
      <w:r>
        <w:rPr>
          <w:rFonts w:hint="eastAsia"/>
          <w:highlight w:val="none"/>
          <w:lang w:val="en-US" w:eastAsia="zh-CN"/>
        </w:rPr>
        <w:t>2</w:t>
      </w:r>
      <w:r>
        <w:rPr>
          <w:highlight w:val="none"/>
        </w:rPr>
        <w:t>.</w:t>
      </w:r>
      <w:r>
        <w:rPr>
          <w:rFonts w:hint="eastAsia"/>
          <w:highlight w:val="none"/>
        </w:rPr>
        <w:t>2</w:t>
      </w:r>
      <w:r>
        <w:rPr>
          <w:highlight w:val="none"/>
        </w:rPr>
        <w:t>施工期环境影响因素分析</w:t>
      </w:r>
      <w:bookmarkEnd w:id="269"/>
      <w:bookmarkEnd w:id="270"/>
    </w:p>
    <w:p w14:paraId="5F4EA130">
      <w:pPr>
        <w:bidi w:val="0"/>
        <w:rPr>
          <w:rFonts w:hint="default"/>
          <w:highlight w:val="none"/>
        </w:rPr>
      </w:pPr>
      <w:r>
        <w:rPr>
          <w:rFonts w:hint="default"/>
          <w:highlight w:val="none"/>
        </w:rPr>
        <w:t>本项目施工期</w:t>
      </w:r>
      <w:r>
        <w:rPr>
          <w:rFonts w:hint="eastAsia"/>
          <w:highlight w:val="none"/>
          <w:lang w:val="en-US" w:eastAsia="zh-CN"/>
        </w:rPr>
        <w:t>仅为</w:t>
      </w:r>
      <w:r>
        <w:rPr>
          <w:rFonts w:hint="default"/>
          <w:highlight w:val="none"/>
        </w:rPr>
        <w:t>设备安装，施工期较短，</w:t>
      </w:r>
      <w:r>
        <w:rPr>
          <w:highlight w:val="none"/>
        </w:rPr>
        <w:t>不涉及土方开挖、堆放、回填等工艺。主要影响来自于设备安装噪声、员工生活污水、生活垃圾及建筑垃圾</w:t>
      </w:r>
      <w:r>
        <w:rPr>
          <w:rFonts w:hint="default"/>
          <w:highlight w:val="none"/>
        </w:rPr>
        <w:t>。施工噪声主要为安装设备噪声，采用低噪声施工设备。</w:t>
      </w:r>
    </w:p>
    <w:p w14:paraId="713DC380">
      <w:pPr>
        <w:bidi w:val="0"/>
        <w:rPr>
          <w:rFonts w:hint="default"/>
          <w:highlight w:val="none"/>
        </w:rPr>
      </w:pPr>
      <w:r>
        <w:rPr>
          <w:highlight w:val="none"/>
        </w:rPr>
        <w:t>项目施工期间产生生活污水，施工人员生活污水主要污染物</w:t>
      </w:r>
      <w:r>
        <w:rPr>
          <w:highlight w:val="none"/>
          <w:lang w:val="zh-CN"/>
        </w:rPr>
        <w:t>为COD、氨氮、pH、SS、BOD5，生活污水</w:t>
      </w:r>
      <w:r>
        <w:rPr>
          <w:highlight w:val="none"/>
        </w:rPr>
        <w:t>经市政管网进入</w:t>
      </w:r>
      <w:r>
        <w:rPr>
          <w:rFonts w:hint="eastAsia"/>
          <w:highlight w:val="none"/>
          <w:lang w:val="en-US" w:eastAsia="zh-CN"/>
        </w:rPr>
        <w:t>哈尔滨市朝阳水质净化厂</w:t>
      </w:r>
      <w:r>
        <w:rPr>
          <w:highlight w:val="none"/>
        </w:rPr>
        <w:t>，处理达标后排入</w:t>
      </w:r>
      <w:r>
        <w:rPr>
          <w:rFonts w:hint="eastAsia"/>
          <w:highlight w:val="none"/>
          <w:lang w:val="en-US" w:eastAsia="zh-CN"/>
        </w:rPr>
        <w:t>马家沟</w:t>
      </w:r>
      <w:r>
        <w:rPr>
          <w:highlight w:val="none"/>
        </w:rPr>
        <w:t>河，最终汇入松花江</w:t>
      </w:r>
      <w:r>
        <w:rPr>
          <w:rFonts w:hint="default"/>
          <w:highlight w:val="none"/>
        </w:rPr>
        <w:t>。</w:t>
      </w:r>
    </w:p>
    <w:p w14:paraId="4DAC69B8">
      <w:pPr>
        <w:bidi w:val="0"/>
        <w:rPr>
          <w:highlight w:val="none"/>
        </w:rPr>
      </w:pPr>
      <w:r>
        <w:rPr>
          <w:rFonts w:hint="default"/>
          <w:highlight w:val="none"/>
        </w:rPr>
        <w:t>因此，本项目施工期对周边环境无明显影响</w:t>
      </w:r>
      <w:r>
        <w:rPr>
          <w:highlight w:val="none"/>
        </w:rPr>
        <w:t>。</w:t>
      </w:r>
    </w:p>
    <w:p w14:paraId="43D0FBF7">
      <w:pPr>
        <w:pStyle w:val="4"/>
        <w:bidi w:val="0"/>
        <w:rPr>
          <w:highlight w:val="none"/>
        </w:rPr>
      </w:pPr>
      <w:bookmarkStart w:id="271" w:name="_Toc14542"/>
      <w:bookmarkStart w:id="272" w:name="_Toc13235"/>
      <w:r>
        <w:rPr>
          <w:highlight w:val="none"/>
        </w:rPr>
        <w:t>3.</w:t>
      </w:r>
      <w:r>
        <w:rPr>
          <w:rFonts w:hint="eastAsia"/>
          <w:highlight w:val="none"/>
          <w:lang w:val="en-US" w:eastAsia="zh-CN"/>
        </w:rPr>
        <w:t>2</w:t>
      </w:r>
      <w:r>
        <w:rPr>
          <w:highlight w:val="none"/>
        </w:rPr>
        <w:t>.</w:t>
      </w:r>
      <w:r>
        <w:rPr>
          <w:rFonts w:hint="eastAsia"/>
          <w:highlight w:val="none"/>
        </w:rPr>
        <w:t>3</w:t>
      </w:r>
      <w:r>
        <w:rPr>
          <w:highlight w:val="none"/>
        </w:rPr>
        <w:t>营运期环境影响因素分析</w:t>
      </w:r>
      <w:bookmarkEnd w:id="271"/>
      <w:bookmarkEnd w:id="272"/>
    </w:p>
    <w:p w14:paraId="14EE4EB5">
      <w:pPr>
        <w:pStyle w:val="6"/>
        <w:bidi w:val="0"/>
        <w:rPr>
          <w:highlight w:val="none"/>
        </w:rPr>
      </w:pPr>
      <w:r>
        <w:rPr>
          <w:highlight w:val="none"/>
        </w:rPr>
        <w:t>3.</w:t>
      </w:r>
      <w:r>
        <w:rPr>
          <w:rFonts w:hint="eastAsia"/>
          <w:highlight w:val="none"/>
          <w:lang w:val="en-US" w:eastAsia="zh-CN"/>
        </w:rPr>
        <w:t>2</w:t>
      </w:r>
      <w:r>
        <w:rPr>
          <w:highlight w:val="none"/>
        </w:rPr>
        <w:t>.</w:t>
      </w:r>
      <w:r>
        <w:rPr>
          <w:rFonts w:hint="eastAsia"/>
          <w:highlight w:val="none"/>
        </w:rPr>
        <w:t>3</w:t>
      </w:r>
      <w:r>
        <w:rPr>
          <w:highlight w:val="none"/>
        </w:rPr>
        <w:t>.1工艺流程及产污环节分析</w:t>
      </w:r>
    </w:p>
    <w:p w14:paraId="03C30B15">
      <w:pPr>
        <w:spacing w:line="360" w:lineRule="auto"/>
        <w:ind w:firstLine="480" w:firstLineChars="200"/>
        <w:rPr>
          <w:rFonts w:hAnsiTheme="minorEastAsia" w:eastAsiaTheme="minorEastAsia"/>
          <w:kern w:val="0"/>
          <w:sz w:val="24"/>
          <w:highlight w:val="none"/>
        </w:rPr>
      </w:pPr>
      <w:r>
        <w:rPr>
          <w:rFonts w:hAnsiTheme="minorEastAsia" w:eastAsiaTheme="minorEastAsia"/>
          <w:kern w:val="0"/>
          <w:sz w:val="24"/>
          <w:highlight w:val="none"/>
        </w:rPr>
        <w:t>本项目主要生产工艺包括缸体、缸盖机械加工生产线各一条，发动机试装线生产线一条</w:t>
      </w:r>
      <w:r>
        <w:rPr>
          <w:rFonts w:hint="eastAsia" w:hAnsiTheme="minorEastAsia" w:eastAsiaTheme="minorEastAsia"/>
          <w:kern w:val="0"/>
          <w:sz w:val="24"/>
          <w:highlight w:val="none"/>
          <w:lang w:eastAsia="zh-CN"/>
        </w:rPr>
        <w:t>、</w:t>
      </w:r>
      <w:r>
        <w:rPr>
          <w:rFonts w:hint="eastAsia" w:hAnsiTheme="minorEastAsia" w:eastAsiaTheme="minorEastAsia"/>
          <w:kern w:val="0"/>
          <w:sz w:val="24"/>
          <w:highlight w:val="none"/>
          <w:lang w:val="en-US" w:eastAsia="zh-CN"/>
        </w:rPr>
        <w:t>含油金属屑收集处理生产线一条</w:t>
      </w:r>
      <w:r>
        <w:rPr>
          <w:rFonts w:hAnsiTheme="minorEastAsia" w:eastAsiaTheme="minorEastAsia"/>
          <w:kern w:val="0"/>
          <w:sz w:val="24"/>
          <w:highlight w:val="none"/>
        </w:rPr>
        <w:t>。本项目具体生产工艺总流程见下图。</w:t>
      </w:r>
    </w:p>
    <w:p w14:paraId="5A8F06D0">
      <w:pPr>
        <w:spacing w:line="360" w:lineRule="auto"/>
        <w:ind w:firstLine="480" w:firstLineChars="200"/>
        <w:rPr>
          <w:rFonts w:hAnsiTheme="minorEastAsia" w:eastAsiaTheme="minorEastAsia"/>
          <w:kern w:val="0"/>
          <w:sz w:val="24"/>
          <w:highlight w:val="none"/>
        </w:rPr>
      </w:pPr>
    </w:p>
    <w:p w14:paraId="02896E89">
      <w:pPr>
        <w:pStyle w:val="8"/>
        <w:bidi w:val="0"/>
        <w:rPr>
          <w:rFonts w:hint="default"/>
          <w:sz w:val="21"/>
          <w:szCs w:val="21"/>
          <w:highlight w:val="none"/>
          <w:lang w:val="en-US" w:eastAsia="zh-CN"/>
        </w:rPr>
      </w:pPr>
      <w:r>
        <w:rPr>
          <w:sz w:val="21"/>
          <w:highlight w:val="none"/>
        </w:rPr>
        <w:pict>
          <v:shape id="_x0000_s2414" o:spid="_x0000_s2414" o:spt="34" type="#_x0000_t34" style="position:absolute;left:0pt;margin-left:333.1pt;margin-top:73.75pt;height:32.5pt;width:42.5pt;rotation:-5898240f;z-index:251675648;mso-width-relative:page;mso-height-relative:page;" fillcolor="#FFFFFF" filled="t" stroked="t" coordsize="21600,21600" adj="-253">
            <v:path arrowok="t"/>
            <v:fill on="t" color2="#FFFFFF" focussize="0,0"/>
            <v:stroke color="#000000" joinstyle="miter" dashstyle="dash" endarrow="open"/>
            <v:imagedata o:title=""/>
            <o:lock v:ext="edit" aspectratio="f"/>
          </v:shape>
        </w:pict>
      </w:r>
      <w:r>
        <w:rPr>
          <w:sz w:val="21"/>
          <w:szCs w:val="21"/>
          <w:highlight w:val="none"/>
        </w:rPr>
        <w:pict>
          <v:group id="_x0000_s2224" o:spid="_x0000_s2224" o:spt="203" style="height:265.75pt;width:414.95pt;" coordsize="5209444,3335454" editas="canvas">
            <o:lock v:ext="edit"/>
            <v:shape id="_x0000_s2223" o:spid="_x0000_s2223" o:spt="75" type="#_x0000_t75" style="position:absolute;left:0;top:0;height:3335454;width:5209444;" filled="f" stroked="t" coordsize="21600,21600">
              <v:fill on="f" focussize="0,0"/>
              <v:stroke color="#000000"/>
              <v:imagedata o:title=""/>
              <o:lock v:ext="edit" aspectratio="t"/>
            </v:shape>
            <v:rect id="_x0000_s2225" o:spid="_x0000_s2225" o:spt="1" style="position:absolute;left:1747571;top:58363;height:266083;width:1019416;" fillcolor="#FFFFFF" filled="t" stroked="t" coordsize="21600,21600">
              <v:path/>
              <v:fill on="t" color2="#FFFFFF" focussize="0,0"/>
              <v:stroke color="#000000" joinstyle="miter"/>
              <v:imagedata o:title=""/>
              <o:lock v:ext="edit" aspectratio="f"/>
              <v:textbox>
                <w:txbxContent>
                  <w:p w14:paraId="1AFA31FA">
                    <w:pPr>
                      <w:pStyle w:val="8"/>
                      <w:bidi w:val="0"/>
                      <w:rPr>
                        <w:rFonts w:hint="default"/>
                        <w:lang w:val="en-US" w:eastAsia="zh-CN"/>
                      </w:rPr>
                    </w:pPr>
                    <w:r>
                      <w:rPr>
                        <w:rFonts w:hint="eastAsia"/>
                        <w:lang w:val="en-US" w:eastAsia="zh-CN"/>
                      </w:rPr>
                      <w:t>含油金属屑</w:t>
                    </w:r>
                  </w:p>
                </w:txbxContent>
              </v:textbox>
            </v:rect>
            <v:shape id="_x0000_s2226" o:spid="_x0000_s2226" o:spt="32" type="#_x0000_t32" style="position:absolute;left:2298081;top:343273;height:248511;width:3766;" filled="f" stroked="t" coordsize="21600,21600">
              <v:path arrowok="t"/>
              <v:fill on="f" focussize="0,0"/>
              <v:stroke color="#000000" endarrow="open"/>
              <v:imagedata o:title=""/>
              <o:lock v:ext="edit" aspectratio="f"/>
            </v:shape>
            <v:rect id="_x0000_s2227" o:spid="_x0000_s2227" o:spt="1" style="position:absolute;left:1772052;top:589902;height:257297;width:1015023;" fillcolor="#FFFFFF" filled="t" stroked="t" coordsize="21600,21600">
              <v:path/>
              <v:fill on="t" color2="#FFFFFF" focussize="0,0"/>
              <v:stroke color="#000000" joinstyle="miter"/>
              <v:imagedata o:title=""/>
              <o:lock v:ext="edit" aspectratio="f"/>
              <v:textbox>
                <w:txbxContent>
                  <w:p w14:paraId="72B22075">
                    <w:pPr>
                      <w:pStyle w:val="8"/>
                      <w:bidi w:val="0"/>
                      <w:rPr>
                        <w:rFonts w:hint="default"/>
                        <w:lang w:val="en-US" w:eastAsia="zh-CN"/>
                      </w:rPr>
                    </w:pPr>
                    <w:r>
                      <w:rPr>
                        <w:rFonts w:hint="eastAsia"/>
                        <w:lang w:val="en-US" w:eastAsia="zh-CN"/>
                      </w:rPr>
                      <w:t>原料贮存区</w:t>
                    </w:r>
                  </w:p>
                </w:txbxContent>
              </v:textbox>
            </v:rect>
            <v:shape id="_x0000_s2228" o:spid="_x0000_s2228" o:spt="32" type="#_x0000_t32" style="position:absolute;left:2315029;top:838413;height:243492;width:0;" filled="f" stroked="t" coordsize="21600,21600">
              <v:path arrowok="t"/>
              <v:fill on="f" focussize="0,0"/>
              <v:stroke color="#000000" endarrow="open"/>
              <v:imagedata o:title=""/>
              <o:lock v:ext="edit" aspectratio="f"/>
            </v:shape>
            <v:rect id="_x0000_s2229" o:spid="_x0000_s2229" o:spt="1" style="position:absolute;left:1772052;top:1095084;height:257297;width:1015023;" fillcolor="#FFFFFF" filled="t" stroked="t" coordsize="21600,21600">
              <v:path/>
              <v:fill on="t" color2="#FFFFFF" focussize="0,0"/>
              <v:stroke color="#000000" joinstyle="miter"/>
              <v:imagedata o:title=""/>
              <o:lock v:ext="edit" aspectratio="f"/>
              <v:textbox>
                <w:txbxContent>
                  <w:p w14:paraId="7AE37662">
                    <w:pPr>
                      <w:pStyle w:val="8"/>
                      <w:bidi w:val="0"/>
                      <w:rPr>
                        <w:rFonts w:hint="default"/>
                        <w:lang w:val="en-US" w:eastAsia="zh-CN"/>
                      </w:rPr>
                    </w:pPr>
                    <w:r>
                      <w:rPr>
                        <w:rFonts w:hint="eastAsia"/>
                        <w:lang w:val="en-US" w:eastAsia="zh-CN"/>
                      </w:rPr>
                      <w:t>上料</w:t>
                    </w:r>
                  </w:p>
                </w:txbxContent>
              </v:textbox>
            </v:rect>
            <v:shape id="_x0000_s2230" o:spid="_x0000_s2230" o:spt="32" type="#_x0000_t32" style="position:absolute;left:2321307;top:1370580;height:243491;width:0;" filled="f" stroked="t" coordsize="21600,21600">
              <v:path arrowok="t"/>
              <v:fill on="f" focussize="0,0"/>
              <v:stroke color="#000000" endarrow="open"/>
              <v:imagedata o:title=""/>
              <o:lock v:ext="edit" aspectratio="f"/>
            </v:shape>
            <v:rect id="_x0000_s2231" o:spid="_x0000_s2231" o:spt="1" style="position:absolute;left:1769541;top:1601521;height:262945;width:1014395;" fillcolor="#FFFFFF" filled="t" stroked="t" coordsize="21600,21600">
              <v:path/>
              <v:fill on="t" color2="#FFFFFF" focussize="0,0"/>
              <v:stroke color="#000000" joinstyle="miter"/>
              <v:imagedata o:title=""/>
              <o:lock v:ext="edit" aspectratio="f"/>
              <v:textbox>
                <w:txbxContent>
                  <w:p w14:paraId="416AF97D">
                    <w:pPr>
                      <w:pStyle w:val="8"/>
                      <w:bidi w:val="0"/>
                      <w:rPr>
                        <w:rFonts w:hint="default"/>
                        <w:lang w:val="en-US" w:eastAsia="zh-CN"/>
                      </w:rPr>
                    </w:pPr>
                    <w:r>
                      <w:rPr>
                        <w:rFonts w:hint="eastAsia"/>
                        <w:lang w:val="en-US" w:eastAsia="zh-CN"/>
                      </w:rPr>
                      <w:t>破碎</w:t>
                    </w:r>
                  </w:p>
                </w:txbxContent>
              </v:textbox>
            </v:rect>
            <v:shape id="_x0000_s2232" o:spid="_x0000_s2232" o:spt="32" type="#_x0000_t32" style="position:absolute;left:2324445;top:1875134;height:244119;width:0;" filled="f" stroked="t" coordsize="21600,21600">
              <v:path arrowok="t"/>
              <v:fill on="f" focussize="0,0"/>
              <v:stroke color="#000000" endarrow="open"/>
              <v:imagedata o:title=""/>
              <o:lock v:ext="edit" aspectratio="f"/>
            </v:shape>
            <v:rect id="_x0000_s2233" o:spid="_x0000_s2233" o:spt="1" style="position:absolute;left:1773935;top:2614394;height:257298;width:1014395;" fillcolor="#FFFFFF" filled="t" stroked="t" coordsize="21600,21600">
              <v:path/>
              <v:fill on="t" color2="#FFFFFF" focussize="0,0"/>
              <v:stroke color="#000000" joinstyle="miter"/>
              <v:imagedata o:title=""/>
              <o:lock v:ext="edit" aspectratio="f"/>
              <v:textbox>
                <w:txbxContent>
                  <w:p w14:paraId="342FF48D">
                    <w:pPr>
                      <w:pStyle w:val="8"/>
                      <w:bidi w:val="0"/>
                      <w:rPr>
                        <w:rFonts w:hint="default"/>
                        <w:lang w:val="en-US" w:eastAsia="zh-CN"/>
                      </w:rPr>
                    </w:pPr>
                    <w:r>
                      <w:rPr>
                        <w:rFonts w:hint="eastAsia"/>
                        <w:lang w:val="en-US" w:eastAsia="zh-CN"/>
                      </w:rPr>
                      <w:t>成品库</w:t>
                    </w:r>
                  </w:p>
                </w:txbxContent>
              </v:textbox>
            </v:rect>
            <v:shape id="_x0000_s2234" o:spid="_x0000_s2234" o:spt="32" type="#_x0000_t32" style="position:absolute;left:2318796;top:2372785;flip:x;height:232196;width:3766;" filled="f" stroked="t" coordsize="21600,21600">
              <v:path arrowok="t"/>
              <v:fill on="f" focussize="0,0"/>
              <v:stroke color="#000000" endarrow="open"/>
              <v:imagedata o:title=""/>
              <o:lock v:ext="edit" aspectratio="f"/>
            </v:shape>
            <v:shape id="_x0000_s2254" o:spid="_x0000_s2254" o:spt="32" type="#_x0000_t32" style="position:absolute;left:1536030;top:1244442;flip:x;height:0;width:225351;" filled="f" stroked="t" coordsize="21600,21600">
              <v:path arrowok="t"/>
              <v:fill on="f" focussize="0,0"/>
              <v:stroke color="#000000" endarrow="open"/>
              <v:imagedata o:title=""/>
              <o:lock v:ext="edit" aspectratio="f"/>
            </v:shape>
            <v:rect id="_x0000_s2255" o:spid="_x0000_s2255" o:spt="1" style="position:absolute;left:1021300;top:612494;height:269848;width:583779;" filled="f" stroked="f" coordsize="21600,21600">
              <v:path/>
              <v:fill on="f" focussize="0,0"/>
              <v:stroke on="f"/>
              <v:imagedata o:title=""/>
              <o:lock v:ext="edit" aspectratio="f"/>
              <v:textbox>
                <w:txbxContent>
                  <w:p w14:paraId="787F6A3B">
                    <w:pPr>
                      <w:pStyle w:val="8"/>
                      <w:bidi w:val="0"/>
                      <w:rPr>
                        <w:rFonts w:hint="default"/>
                        <w:lang w:val="en-US" w:eastAsia="zh-CN"/>
                      </w:rPr>
                    </w:pPr>
                    <w:r>
                      <w:rPr>
                        <w:rFonts w:hint="eastAsia"/>
                        <w:lang w:val="en-US" w:eastAsia="zh-CN"/>
                      </w:rPr>
                      <w:t>N</w:t>
                    </w:r>
                  </w:p>
                </w:txbxContent>
              </v:textbox>
            </v:rect>
            <v:shape id="_x0000_s2259" o:spid="_x0000_s2259" o:spt="32" type="#_x0000_t32" style="position:absolute;left:1544190;top:719178;flip:x;height:0;width:213425;" filled="f" stroked="t" coordsize="21600,21600">
              <v:path arrowok="t"/>
              <v:fill on="f" focussize="0,0"/>
              <v:stroke color="#000000" endarrow="open"/>
              <v:imagedata o:title=""/>
              <o:lock v:ext="edit" aspectratio="f"/>
            </v:shape>
            <v:shape id="_x0000_s2264" o:spid="_x0000_s2264" o:spt="32" type="#_x0000_t32" style="position:absolute;left:1544190;top:1754644;flip:x;height:0;width:213425;" filled="f" stroked="t" coordsize="21600,21600">
              <v:path arrowok="t"/>
              <v:fill on="f" focussize="0,0"/>
              <v:stroke color="#000000" endarrow="open"/>
              <v:imagedata o:title=""/>
              <o:lock v:ext="edit" aspectratio="f"/>
            </v:shape>
            <v:shape id="_x0000_s2268" o:spid="_x0000_s2268" o:spt="32" type="#_x0000_t32" style="position:absolute;left:1563022;top:2274887;flip:x;height:0;width:213424;" filled="f" stroked="t" coordsize="21600,21600">
              <v:path arrowok="t"/>
              <v:fill on="f" focussize="0,0"/>
              <v:stroke color="#000000" endarrow="open"/>
              <v:imagedata o:title=""/>
              <o:lock v:ext="edit" aspectratio="f"/>
            </v:shape>
            <v:rect id="_x0000_s2275" o:spid="_x0000_s2275" o:spt="1" style="position:absolute;left:1782723;top:2131177;height:266711;width:1004352;" fillcolor="#FFFFFF" filled="t" stroked="t" coordsize="21600,21600">
              <v:path/>
              <v:fill on="t" color2="#FFFFFF" focussize="0,0"/>
              <v:stroke color="#000000" joinstyle="miter"/>
              <v:imagedata o:title=""/>
              <o:lock v:ext="edit" aspectratio="f"/>
              <v:textbox>
                <w:txbxContent>
                  <w:p w14:paraId="3472F6C0">
                    <w:pPr>
                      <w:pStyle w:val="8"/>
                      <w:bidi w:val="0"/>
                      <w:rPr>
                        <w:rFonts w:hint="default"/>
                        <w:lang w:val="en-US" w:eastAsia="zh-CN"/>
                      </w:rPr>
                    </w:pPr>
                    <w:r>
                      <w:rPr>
                        <w:rFonts w:hint="eastAsia"/>
                        <w:lang w:val="en-US" w:eastAsia="zh-CN"/>
                      </w:rPr>
                      <w:t>甩干</w:t>
                    </w:r>
                  </w:p>
                </w:txbxContent>
              </v:textbox>
            </v:rect>
            <v:rect id="_x0000_s2276" o:spid="_x0000_s2276" o:spt="1" style="position:absolute;left:952250;top:2153141;height:269849;width:744476;" filled="f" stroked="f" coordsize="21600,21600">
              <v:path/>
              <v:fill on="f" focussize="0,0"/>
              <v:stroke on="f"/>
              <v:imagedata o:title=""/>
              <o:lock v:ext="edit" aspectratio="f"/>
              <v:textbox>
                <w:txbxContent>
                  <w:p w14:paraId="062A2291">
                    <w:pPr>
                      <w:pStyle w:val="8"/>
                      <w:bidi w:val="0"/>
                      <w:rPr>
                        <w:rFonts w:hint="default"/>
                        <w:lang w:val="en-US" w:eastAsia="zh-CN"/>
                      </w:rPr>
                    </w:pPr>
                    <w:r>
                      <w:rPr>
                        <w:rFonts w:hint="eastAsia"/>
                        <w:lang w:val="en-US" w:eastAsia="zh-CN"/>
                      </w:rPr>
                      <w:t>N、S1</w:t>
                    </w:r>
                  </w:p>
                </w:txbxContent>
              </v:textbox>
            </v:rect>
            <v:shape id="_x0000_s2295" o:spid="_x0000_s2295" o:spt="202" type="#_x0000_t202" style="position:absolute;left:3495142;top:1850032;height:1444631;width:1619516;" fillcolor="#FFFFFF" filled="t" stroked="t" coordsize="21600,21600">
              <v:path/>
              <v:fill on="t" color2="#FFFFFF" focussize="0,0"/>
              <v:stroke color="#000000" joinstyle="miter"/>
              <v:imagedata o:title=""/>
              <o:lock v:ext="edit" aspectratio="f"/>
              <v:textbox>
                <w:txbxContent>
                  <w:p w14:paraId="2E8BA85B">
                    <w:pPr>
                      <w:pStyle w:val="8"/>
                      <w:bidi w:val="0"/>
                      <w:rPr>
                        <w:rFonts w:hint="default"/>
                        <w:lang w:val="en-US" w:eastAsia="zh-CN"/>
                      </w:rPr>
                    </w:pPr>
                    <w:r>
                      <w:rPr>
                        <w:rFonts w:hint="eastAsia"/>
                        <w:lang w:val="en-US" w:eastAsia="zh-CN"/>
                      </w:rPr>
                      <w:t>图例</w:t>
                    </w:r>
                  </w:p>
                  <w:p w14:paraId="7335D06E">
                    <w:pPr>
                      <w:pStyle w:val="8"/>
                      <w:bidi w:val="0"/>
                      <w:rPr>
                        <w:rFonts w:hint="eastAsia" w:eastAsia="宋体"/>
                        <w:lang w:val="en-US" w:eastAsia="zh-CN"/>
                      </w:rPr>
                    </w:pPr>
                    <w:r>
                      <w:rPr>
                        <w:rFonts w:hint="eastAsia" w:eastAsia="宋体"/>
                        <w:lang w:val="en-US" w:eastAsia="zh-CN"/>
                      </w:rPr>
                      <w:t>N：噪声</w:t>
                    </w:r>
                  </w:p>
                  <w:p w14:paraId="7AB7393D">
                    <w:pPr>
                      <w:pStyle w:val="8"/>
                      <w:bidi w:val="0"/>
                      <w:rPr>
                        <w:rFonts w:hint="default" w:eastAsia="宋体"/>
                        <w:lang w:val="en-US" w:eastAsia="zh-CN"/>
                      </w:rPr>
                    </w:pPr>
                    <w:r>
                      <w:rPr>
                        <w:rFonts w:hint="eastAsia" w:eastAsia="宋体"/>
                        <w:lang w:val="en-US" w:eastAsia="zh-CN"/>
                      </w:rPr>
                      <w:t>G1：</w:t>
                    </w:r>
                    <w:r>
                      <w:rPr>
                        <w:rFonts w:hint="eastAsia"/>
                        <w:lang w:val="en-US" w:eastAsia="zh-CN"/>
                      </w:rPr>
                      <w:t>非甲烷总烃</w:t>
                    </w:r>
                  </w:p>
                  <w:p w14:paraId="0156896D">
                    <w:pPr>
                      <w:pStyle w:val="8"/>
                      <w:bidi w:val="0"/>
                      <w:rPr>
                        <w:rFonts w:hint="eastAsia" w:eastAsia="宋体"/>
                        <w:lang w:val="en-US" w:eastAsia="zh-CN"/>
                      </w:rPr>
                    </w:pPr>
                    <w:r>
                      <w:rPr>
                        <w:rFonts w:hint="eastAsia" w:eastAsia="宋体"/>
                        <w:lang w:val="en-US" w:eastAsia="zh-CN"/>
                      </w:rPr>
                      <w:t>G2：颗粒物</w:t>
                    </w:r>
                  </w:p>
                  <w:p w14:paraId="0F1F5BAC">
                    <w:pPr>
                      <w:pStyle w:val="8"/>
                      <w:bidi w:val="0"/>
                      <w:rPr>
                        <w:rFonts w:hint="eastAsia" w:eastAsia="宋体"/>
                        <w:lang w:val="en-US" w:eastAsia="zh-CN"/>
                      </w:rPr>
                    </w:pPr>
                    <w:r>
                      <w:rPr>
                        <w:rFonts w:hint="eastAsia" w:eastAsia="宋体"/>
                        <w:lang w:val="en-US" w:eastAsia="zh-CN"/>
                      </w:rPr>
                      <w:t>S1：废</w:t>
                    </w:r>
                    <w:r>
                      <w:rPr>
                        <w:rFonts w:hint="eastAsia"/>
                        <w:lang w:val="en-US" w:eastAsia="zh-CN"/>
                      </w:rPr>
                      <w:t>油</w:t>
                    </w:r>
                  </w:p>
                  <w:p w14:paraId="52C8F40C">
                    <w:pPr>
                      <w:pStyle w:val="8"/>
                      <w:bidi w:val="0"/>
                      <w:rPr>
                        <w:rFonts w:hint="eastAsia" w:eastAsia="宋体"/>
                        <w:lang w:val="en-US" w:eastAsia="zh-CN"/>
                      </w:rPr>
                    </w:pPr>
                    <w:r>
                      <w:rPr>
                        <w:rFonts w:hint="eastAsia" w:eastAsia="宋体"/>
                        <w:lang w:val="en-US" w:eastAsia="zh-CN"/>
                      </w:rPr>
                      <w:t>S2：废过滤材料</w:t>
                    </w:r>
                  </w:p>
                  <w:p w14:paraId="61DD34D2">
                    <w:pPr>
                      <w:pStyle w:val="8"/>
                      <w:bidi w:val="0"/>
                      <w:rPr>
                        <w:rFonts w:hint="default"/>
                        <w:lang w:val="en-US" w:eastAsia="zh-CN"/>
                      </w:rPr>
                    </w:pPr>
                    <w:r>
                      <w:rPr>
                        <w:rFonts w:hint="eastAsia" w:eastAsia="宋体"/>
                        <w:lang w:val="en-US" w:eastAsia="zh-CN"/>
                      </w:rPr>
                      <w:t>S</w:t>
                    </w:r>
                    <w:r>
                      <w:rPr>
                        <w:rFonts w:hint="eastAsia"/>
                        <w:lang w:val="en-US" w:eastAsia="zh-CN"/>
                      </w:rPr>
                      <w:t>3</w:t>
                    </w:r>
                    <w:r>
                      <w:rPr>
                        <w:rFonts w:hint="eastAsia" w:eastAsia="宋体"/>
                        <w:lang w:val="en-US" w:eastAsia="zh-CN"/>
                      </w:rPr>
                      <w:t>：废</w:t>
                    </w:r>
                    <w:r>
                      <w:rPr>
                        <w:rFonts w:hint="eastAsia"/>
                        <w:lang w:val="en-US" w:eastAsia="zh-CN"/>
                      </w:rPr>
                      <w:t>活性炭</w:t>
                    </w:r>
                  </w:p>
                </w:txbxContent>
              </v:textbox>
            </v:shape>
            <v:rect id="_x0000_s2296" o:spid="_x0000_s2296" o:spt="1" style="position:absolute;left:1025066;top:1118930;height:263574;width:531051;" filled="f" stroked="f" coordsize="21600,21600">
              <v:path/>
              <v:fill on="f" focussize="0,0"/>
              <v:stroke on="f"/>
              <v:imagedata o:title=""/>
              <o:lock v:ext="edit" aspectratio="f"/>
              <v:textbox>
                <w:txbxContent>
                  <w:p w14:paraId="407F6472">
                    <w:pPr>
                      <w:pStyle w:val="8"/>
                      <w:bidi w:val="0"/>
                      <w:rPr>
                        <w:rFonts w:hint="default"/>
                        <w:lang w:val="en-US" w:eastAsia="zh-CN"/>
                      </w:rPr>
                    </w:pPr>
                    <w:r>
                      <w:rPr>
                        <w:rFonts w:hint="eastAsia"/>
                        <w:lang w:val="en-US" w:eastAsia="zh-CN"/>
                      </w:rPr>
                      <w:t>N、G1</w:t>
                    </w:r>
                  </w:p>
                </w:txbxContent>
              </v:textbox>
            </v:rect>
            <v:rect id="_x0000_s2297" o:spid="_x0000_s2297" o:spt="1" style="position:absolute;left:921492;top:1636663;height:263573;width:709323;" filled="f" stroked="f" coordsize="21600,21600">
              <v:path/>
              <v:fill on="f" focussize="0,0"/>
              <v:stroke on="f"/>
              <v:imagedata o:title=""/>
              <o:lock v:ext="edit" aspectratio="f"/>
              <v:textbox>
                <w:txbxContent>
                  <w:p w14:paraId="281E50D9">
                    <w:pPr>
                      <w:pStyle w:val="8"/>
                      <w:bidi w:val="0"/>
                      <w:rPr>
                        <w:rFonts w:hint="default"/>
                        <w:lang w:val="en-US" w:eastAsia="zh-CN"/>
                      </w:rPr>
                    </w:pPr>
                    <w:r>
                      <w:rPr>
                        <w:rFonts w:hint="eastAsia"/>
                        <w:lang w:val="en-US" w:eastAsia="zh-CN"/>
                      </w:rPr>
                      <w:t>G2、N</w:t>
                    </w:r>
                  </w:p>
                </w:txbxContent>
              </v:textbox>
            </v:rect>
            <v:shape id="_x0000_s2298" o:spid="_x0000_s2298" o:spt="32" type="#_x0000_t32" style="position:absolute;left:2952165;top:1432708;flip:y;height:6276;width:332691;" filled="f" stroked="t" coordsize="21600,21600">
              <v:path arrowok="t"/>
              <v:fill on="f" focussize="0,0"/>
              <v:stroke color="#000000" dashstyle="dash" endarrow="open"/>
              <v:imagedata o:title=""/>
              <o:lock v:ext="edit" aspectratio="f"/>
            </v:shape>
            <v:rect id="_x0000_s2299" o:spid="_x0000_s2299" o:spt="1" style="position:absolute;left:4333147;top:598687;height:263573;width:876297;" filled="f" stroked="f" coordsize="21600,21600">
              <v:path/>
              <v:fill on="f" focussize="0,0"/>
              <v:stroke on="f"/>
              <v:imagedata o:title=""/>
              <o:lock v:ext="edit" aspectratio="f"/>
              <v:textbox>
                <w:txbxContent>
                  <w:p w14:paraId="22E3D32D">
                    <w:pPr>
                      <w:pStyle w:val="8"/>
                      <w:bidi w:val="0"/>
                      <w:rPr>
                        <w:rFonts w:hint="default"/>
                        <w:lang w:val="en-US" w:eastAsia="zh-CN"/>
                      </w:rPr>
                    </w:pPr>
                    <w:r>
                      <w:rPr>
                        <w:rFonts w:hint="eastAsia"/>
                        <w:lang w:val="en-US" w:eastAsia="zh-CN"/>
                      </w:rPr>
                      <w:t>23m排气筒</w:t>
                    </w:r>
                  </w:p>
                </w:txbxContent>
              </v:textbox>
            </v:rect>
            <v:rect id="_x0000_s2300" o:spid="_x0000_s2300" o:spt="1" style="position:absolute;left:3284856;top:1307197;height:449329;width:951623;" fillcolor="#FFFFFF" filled="t" stroked="t" coordsize="21600,21600">
              <v:path/>
              <v:fill on="t" color2="#FFFFFF" focussize="0,0"/>
              <v:stroke color="#000000" joinstyle="miter"/>
              <v:imagedata o:title=""/>
              <o:lock v:ext="edit" aspectratio="f"/>
              <v:textbox>
                <w:txbxContent>
                  <w:p w14:paraId="14883B5A">
                    <w:pPr>
                      <w:pStyle w:val="8"/>
                      <w:bidi w:val="0"/>
                      <w:rPr>
                        <w:rFonts w:hint="eastAsia" w:eastAsia="宋体"/>
                        <w:lang w:val="en-US" w:eastAsia="zh-CN"/>
                      </w:rPr>
                    </w:pPr>
                    <w:r>
                      <w:rPr>
                        <w:rFonts w:hint="eastAsia" w:eastAsia="宋体"/>
                        <w:lang w:val="en-US" w:eastAsia="zh-CN"/>
                      </w:rPr>
                      <w:t>油雾净化器</w:t>
                    </w:r>
                  </w:p>
                  <w:p w14:paraId="3720DC6C">
                    <w:pPr>
                      <w:pStyle w:val="8"/>
                      <w:bidi w:val="0"/>
                      <w:rPr>
                        <w:rFonts w:hint="default" w:eastAsia="宋体"/>
                        <w:lang w:val="en-US" w:eastAsia="zh-CN"/>
                      </w:rPr>
                    </w:pPr>
                    <w:r>
                      <w:rPr>
                        <w:rFonts w:hint="eastAsia" w:eastAsia="宋体"/>
                        <w:lang w:val="en-US" w:eastAsia="zh-CN"/>
                      </w:rPr>
                      <w:t>+活性炭吸附</w:t>
                    </w:r>
                  </w:p>
                </w:txbxContent>
              </v:textbox>
            </v:rect>
            <v:rect id="_x0000_s2301" o:spid="_x0000_s2301" o:spt="1" style="position:absolute;left:2850474;top:1128344;height:216506;width:512219;" filled="f" stroked="f" coordsize="21600,21600">
              <v:path/>
              <v:fill on="f" focussize="0,0"/>
              <v:stroke on="f"/>
              <v:imagedata o:title=""/>
              <o:lock v:ext="edit" aspectratio="f"/>
              <v:textbox>
                <w:txbxContent>
                  <w:p w14:paraId="43CCDE5F">
                    <w:pPr>
                      <w:pStyle w:val="8"/>
                      <w:bidi w:val="0"/>
                      <w:rPr>
                        <w:rFonts w:hint="default"/>
                        <w:lang w:val="en-US" w:eastAsia="zh-CN"/>
                      </w:rPr>
                    </w:pPr>
                    <w:r>
                      <w:rPr>
                        <w:rFonts w:hint="eastAsia"/>
                        <w:lang w:val="en-US" w:eastAsia="zh-CN"/>
                      </w:rPr>
                      <w:t>G1</w:t>
                    </w:r>
                  </w:p>
                </w:txbxContent>
              </v:textbox>
            </v:rect>
            <v:shape id="_x0000_s2303" o:spid="_x0000_s2303" o:spt="32" type="#_x0000_t32" style="position:absolute;left:4246522;top:1668041;height:8786;width:265526;" filled="f" stroked="t" coordsize="21600,21600">
              <v:path arrowok="t"/>
              <v:fill on="f" focussize="0,0"/>
              <v:stroke color="#000000" endarrow="open"/>
              <v:imagedata o:title=""/>
              <o:lock v:ext="edit" aspectratio="f"/>
            </v:shape>
            <v:rect id="_x0000_s2304" o:spid="_x0000_s2304" o:spt="1" style="position:absolute;left:4432327;top:1520565;height:263573;width:611399;" filled="f" stroked="f" coordsize="21600,21600">
              <v:path/>
              <v:fill on="f" focussize="0,0"/>
              <v:stroke on="f"/>
              <v:imagedata o:title=""/>
              <o:lock v:ext="edit" aspectratio="f"/>
              <v:textbox>
                <w:txbxContent>
                  <w:p w14:paraId="6F43A8B8">
                    <w:pPr>
                      <w:pStyle w:val="8"/>
                      <w:bidi w:val="0"/>
                      <w:rPr>
                        <w:rFonts w:hint="default"/>
                        <w:lang w:val="en-US" w:eastAsia="zh-CN"/>
                      </w:rPr>
                    </w:pPr>
                    <w:r>
                      <w:rPr>
                        <w:rFonts w:hint="eastAsia"/>
                        <w:lang w:val="en-US" w:eastAsia="zh-CN"/>
                      </w:rPr>
                      <w:t>S2</w:t>
                    </w:r>
                  </w:p>
                </w:txbxContent>
              </v:textbox>
            </v:rect>
            <v:rect id="_x0000_s2305" o:spid="_x0000_s2305" o:spt="1" style="position:absolute;left:1684171;top:975848;height:1564494;width:1230331;" fillcolor="#000000" filled="t" stroked="t" coordsize="21600,21600">
              <v:path/>
              <v:fill on="t" color2="#FFFFFF" opacity="0f" focussize="0,0"/>
              <v:stroke color="#000000" joinstyle="miter" dashstyle="dash"/>
              <v:imagedata o:title=""/>
              <o:lock v:ext="edit" aspectratio="f"/>
            </v:rect>
            <v:rect id="_x0000_s2406" o:spid="_x0000_s2406" o:spt="1" style="position:absolute;left:3054483;top:42046;height:263573;width:1016906;" fillcolor="#FFFFFF" filled="t" stroked="t" coordsize="21600,21600">
              <v:path/>
              <v:fill on="t" color2="#FFFFFF" focussize="0,0"/>
              <v:stroke color="#000000" joinstyle="miter"/>
              <v:imagedata o:title=""/>
              <o:lock v:ext="edit" aspectratio="f"/>
              <v:textbox>
                <w:txbxContent>
                  <w:p w14:paraId="0C71F7A3">
                    <w:pPr>
                      <w:pStyle w:val="8"/>
                      <w:bidi w:val="0"/>
                      <w:rPr>
                        <w:rFonts w:hint="default"/>
                        <w:lang w:val="en-US" w:eastAsia="zh-CN"/>
                      </w:rPr>
                    </w:pPr>
                    <w:r>
                      <w:rPr>
                        <w:rFonts w:hint="eastAsia"/>
                        <w:lang w:val="en-US" w:eastAsia="zh-CN"/>
                      </w:rPr>
                      <w:t>危险废物贮存库</w:t>
                    </w:r>
                  </w:p>
                </w:txbxContent>
              </v:textbox>
            </v:rect>
            <v:shape id="_x0000_s2407" o:spid="_x0000_s2407" o:spt="32" type="#_x0000_t32" style="position:absolute;left:2782680;top:700351;flip:y;height:0;width:326415;" filled="f" stroked="t" coordsize="21600,21600">
              <v:path arrowok="t"/>
              <v:fill on="f" focussize="0,0"/>
              <v:stroke color="#000000" dashstyle="dash" endarrow="open"/>
              <v:imagedata o:title=""/>
              <o:lock v:ext="edit" aspectratio="f"/>
            </v:shape>
            <v:shape id="_x0000_s2408" o:spid="_x0000_s2408" o:spt="32" type="#_x0000_t32" style="position:absolute;left:3530922;top:298089;height:251021;width:10671;" filled="f" stroked="t" coordsize="21600,21600">
              <v:path arrowok="t"/>
              <v:fill on="f" focussize="0,0"/>
              <v:stroke color="#000000" dashstyle="dash" endarrow="open"/>
              <v:imagedata o:title=""/>
              <o:lock v:ext="edit" aspectratio="f"/>
            </v:shape>
            <v:rect id="_x0000_s2409" o:spid="_x0000_s2409" o:spt="1" style="position:absolute;left:3138597;top:574840;height:293696;width:941580;" fillcolor="#FFFFFF" filled="t" stroked="t" coordsize="21600,21600">
              <v:path/>
              <v:fill on="t" color2="#FFFFFF" focussize="0,0"/>
              <v:stroke color="#000000" joinstyle="miter"/>
              <v:imagedata o:title=""/>
              <o:lock v:ext="edit" aspectratio="f"/>
              <v:textbox>
                <w:txbxContent>
                  <w:p w14:paraId="410AE883">
                    <w:pPr>
                      <w:pStyle w:val="8"/>
                      <w:bidi w:val="0"/>
                      <w:rPr>
                        <w:rFonts w:hint="default" w:eastAsia="宋体"/>
                        <w:lang w:val="en-US" w:eastAsia="zh-CN"/>
                      </w:rPr>
                    </w:pPr>
                    <w:r>
                      <w:rPr>
                        <w:rFonts w:hint="eastAsia" w:eastAsia="宋体"/>
                        <w:lang w:val="en-US" w:eastAsia="zh-CN"/>
                      </w:rPr>
                      <w:t>活性炭吸附</w:t>
                    </w:r>
                  </w:p>
                </w:txbxContent>
              </v:textbox>
            </v:rect>
            <v:rect id="_x0000_s2411" o:spid="_x0000_s2411" o:spt="1" style="position:absolute;left:2682245;top:453722;height:213369;width:502176;" filled="f" stroked="f" coordsize="21600,21600">
              <v:path/>
              <v:fill on="f" focussize="0,0"/>
              <v:stroke on="f"/>
              <v:imagedata o:title=""/>
              <o:lock v:ext="edit" aspectratio="f"/>
              <v:textbox>
                <w:txbxContent>
                  <w:p w14:paraId="22502E21">
                    <w:pPr>
                      <w:pStyle w:val="8"/>
                      <w:bidi w:val="0"/>
                      <w:rPr>
                        <w:rFonts w:hint="default"/>
                        <w:lang w:val="en-US" w:eastAsia="zh-CN"/>
                      </w:rPr>
                    </w:pPr>
                    <w:r>
                      <w:rPr>
                        <w:rFonts w:hint="eastAsia"/>
                        <w:lang w:val="en-US" w:eastAsia="zh-CN"/>
                      </w:rPr>
                      <w:t>G1</w:t>
                    </w:r>
                  </w:p>
                </w:txbxContent>
              </v:textbox>
            </v:rect>
            <v:rect id="_x0000_s2412" o:spid="_x0000_s2412" o:spt="1" style="position:absolute;left:3550381;top:338252;height:213369;width:502176;" filled="f" stroked="f" coordsize="21600,21600">
              <v:path/>
              <v:fill on="f" focussize="0,0"/>
              <v:stroke on="f"/>
              <v:imagedata o:title=""/>
              <o:lock v:ext="edit" aspectratio="f"/>
              <v:textbox>
                <w:txbxContent>
                  <w:p w14:paraId="79E71793">
                    <w:pPr>
                      <w:pStyle w:val="8"/>
                      <w:bidi w:val="0"/>
                      <w:rPr>
                        <w:rFonts w:hint="default"/>
                        <w:lang w:val="en-US" w:eastAsia="zh-CN"/>
                      </w:rPr>
                    </w:pPr>
                    <w:r>
                      <w:rPr>
                        <w:rFonts w:hint="eastAsia"/>
                        <w:lang w:val="en-US" w:eastAsia="zh-CN"/>
                      </w:rPr>
                      <w:t>G1</w:t>
                    </w:r>
                  </w:p>
                </w:txbxContent>
              </v:textbox>
            </v:rect>
            <v:shape id="_x0000_s2413" o:spid="_x0000_s2413" o:spt="32" type="#_x0000_t32" style="position:absolute;left:4100891;top:700351;flip:y;height:0;width:326415;" filled="f" stroked="t" coordsize="21600,21600">
              <v:path arrowok="t"/>
              <v:fill on="f" focussize="0,0"/>
              <v:stroke color="#000000" dashstyle="dash" endarrow="open"/>
              <v:imagedata o:title=""/>
              <o:lock v:ext="edit" aspectratio="f"/>
            </v:shape>
            <v:shape id="_x0000_s2561" o:spid="_x0000_s2561" o:spt="32" type="#_x0000_t32" style="position:absolute;left:3604993;top:874184;height:166302;width:3139;" filled="f" stroked="t" coordsize="21600,21600">
              <v:path arrowok="t"/>
              <v:fill on="f" focussize="0,0"/>
              <v:stroke color="#000000" endarrow="open"/>
              <v:imagedata o:title=""/>
              <o:lock v:ext="edit" aspectratio="f"/>
            </v:shape>
            <v:rect id="_x0000_s2562" o:spid="_x0000_s2562" o:spt="1" style="position:absolute;left:3397846;top:996557;height:263573;width:602610;" filled="f" stroked="f" coordsize="21600,21600">
              <v:path/>
              <v:fill on="f" focussize="0,0"/>
              <v:stroke on="f"/>
              <v:imagedata o:title=""/>
              <o:lock v:ext="edit" aspectratio="f"/>
              <v:textbox>
                <w:txbxContent>
                  <w:p w14:paraId="4F090D3A">
                    <w:pPr>
                      <w:pStyle w:val="8"/>
                      <w:bidi w:val="0"/>
                      <w:rPr>
                        <w:rFonts w:hint="default"/>
                        <w:lang w:val="en-US" w:eastAsia="zh-CN"/>
                      </w:rPr>
                    </w:pPr>
                    <w:r>
                      <w:rPr>
                        <w:rFonts w:hint="eastAsia"/>
                        <w:lang w:val="en-US" w:eastAsia="zh-CN"/>
                      </w:rPr>
                      <w:t>S3</w:t>
                    </w:r>
                  </w:p>
                </w:txbxContent>
              </v:textbox>
            </v:rect>
            <w10:wrap type="none"/>
            <w10:anchorlock/>
          </v:group>
        </w:pict>
      </w:r>
    </w:p>
    <w:p w14:paraId="6FB52EF0">
      <w:pPr>
        <w:pStyle w:val="7"/>
        <w:bidi w:val="0"/>
        <w:rPr>
          <w:highlight w:val="none"/>
        </w:rPr>
      </w:pPr>
      <w:r>
        <w:rPr>
          <w:highlight w:val="none"/>
        </w:rPr>
        <w:t>图3-</w:t>
      </w:r>
      <w:r>
        <w:rPr>
          <w:rFonts w:hint="eastAsia"/>
          <w:highlight w:val="none"/>
          <w:lang w:val="en-US" w:eastAsia="zh-CN"/>
        </w:rPr>
        <w:t>2</w:t>
      </w:r>
      <w:r>
        <w:rPr>
          <w:highlight w:val="none"/>
        </w:rPr>
        <w:t>-</w:t>
      </w:r>
      <w:r>
        <w:rPr>
          <w:rFonts w:hint="eastAsia"/>
          <w:highlight w:val="none"/>
          <w:lang w:val="en-US" w:eastAsia="zh-CN"/>
        </w:rPr>
        <w:t>5含油金属屑</w:t>
      </w:r>
      <w:r>
        <w:rPr>
          <w:highlight w:val="none"/>
        </w:rPr>
        <w:t>生产工艺流程及产排污节点图</w:t>
      </w:r>
    </w:p>
    <w:p w14:paraId="137D50F7">
      <w:pPr>
        <w:bidi w:val="0"/>
        <w:rPr>
          <w:highlight w:val="none"/>
        </w:rPr>
      </w:pPr>
      <w:r>
        <w:rPr>
          <w:highlight w:val="none"/>
        </w:rPr>
        <w:t>主要生产工序及产污环节分析：</w:t>
      </w:r>
    </w:p>
    <w:p w14:paraId="24775437">
      <w:pPr>
        <w:keepNext w:val="0"/>
        <w:keepLines w:val="0"/>
        <w:widowControl/>
        <w:numPr>
          <w:ilvl w:val="0"/>
          <w:numId w:val="9"/>
        </w:numPr>
        <w:suppressLineNumbers w:val="0"/>
        <w:jc w:val="left"/>
        <w:rPr>
          <w:rFonts w:hint="eastAsia"/>
          <w:highlight w:val="none"/>
          <w:lang w:val="en-US" w:eastAsia="zh-CN"/>
        </w:rPr>
      </w:pPr>
      <w:r>
        <w:rPr>
          <w:rFonts w:hint="eastAsia"/>
          <w:highlight w:val="none"/>
          <w:lang w:val="en-US" w:eastAsia="zh-CN"/>
        </w:rPr>
        <w:t>含油</w:t>
      </w:r>
      <w:r>
        <w:rPr>
          <w:rFonts w:hint="default"/>
          <w:highlight w:val="none"/>
          <w:lang w:val="en-US" w:eastAsia="zh-CN"/>
        </w:rPr>
        <w:t>/</w:t>
      </w:r>
      <w:r>
        <w:rPr>
          <w:rFonts w:hint="eastAsia"/>
          <w:highlight w:val="none"/>
          <w:lang w:val="en-US" w:eastAsia="zh-CN"/>
        </w:rPr>
        <w:t>切削液（油）金属屑在产废单位收运时将金属屑直接装入密封转运车，由专业运输车辆经规定的运输线路运至拟建项目原料贮存区进行卸料，车辆不进入堆放区内，避免油污带出车间。卸车前进行危险废物登记及称重，完成卸车后专业运输车回原单位待命，不在厂区内停放和清洗。要求卸车工作人员熟悉危险废物类别及其危险特性，在卸料过程中规范操作避免包装物损坏。危险废物的盛装应足够安全，并经过周密检查，严防在卸料过程中出现渗漏、抛洒等情况。含油金属屑卸料过程在原料贮存区内进行，且卸料时间极短，因此，不单独考虑卸料过程中的废气，纳入原料暂存废气中一并考虑。根据各厂家含油的废金属屑的不同，分质分类进行收集暂存。含油金属屑分类堆放区布置在封闭的原料贮存区内，各暂存区设置隔断，采用贮存池贮存。此工序产生油雾、挥发性有机物、臭气浓度及噪声。</w:t>
      </w:r>
    </w:p>
    <w:p w14:paraId="60BA612B">
      <w:pPr>
        <w:keepNext w:val="0"/>
        <w:keepLines w:val="0"/>
        <w:widowControl/>
        <w:numPr>
          <w:ilvl w:val="0"/>
          <w:numId w:val="9"/>
        </w:numPr>
        <w:suppressLineNumbers w:val="0"/>
        <w:jc w:val="left"/>
        <w:rPr>
          <w:rFonts w:hint="eastAsia"/>
          <w:highlight w:val="none"/>
          <w:lang w:val="en-US" w:eastAsia="zh-CN"/>
        </w:rPr>
      </w:pPr>
      <w:r>
        <w:rPr>
          <w:rFonts w:hint="eastAsia"/>
          <w:highlight w:val="none"/>
          <w:lang w:val="en-US" w:eastAsia="zh-CN"/>
        </w:rPr>
        <w:t>含油金属屑使用传送带送至上料机入料口，进入金属屑粉碎机，传送过程及设备均密闭，金属屑粉碎机将大块金属屑破碎成小块。在粉碎过程中，由于不将金属屑破碎成微细小块或粉尘，破碎后粒径约为3-5cm，且含油金属屑含油率较大，设备密闭，可视为湿法加工。此工序产生非甲烷总烃、臭气浓度、颗粒物、噪声。</w:t>
      </w:r>
    </w:p>
    <w:p w14:paraId="15D60F01">
      <w:pPr>
        <w:keepNext w:val="0"/>
        <w:keepLines w:val="0"/>
        <w:widowControl/>
        <w:numPr>
          <w:ilvl w:val="0"/>
          <w:numId w:val="9"/>
        </w:numPr>
        <w:suppressLineNumbers w:val="0"/>
        <w:jc w:val="left"/>
        <w:rPr>
          <w:rFonts w:hint="eastAsia"/>
          <w:highlight w:val="none"/>
          <w:lang w:val="en-US" w:eastAsia="zh-CN"/>
        </w:rPr>
      </w:pPr>
      <w:r>
        <w:rPr>
          <w:rFonts w:hint="eastAsia"/>
          <w:highlight w:val="none"/>
          <w:lang w:val="en-US" w:eastAsia="zh-CN"/>
        </w:rPr>
        <w:t>含油金属屑破碎后通过密闭输送机输送至脱油机，采用离心力将金属屑与废液分离。本项目脱油过程全密闭，可将金属屑含油量脱至2</w:t>
      </w:r>
      <w:r>
        <w:rPr>
          <w:rFonts w:hint="eastAsia" w:cs="Times New Roman"/>
          <w:highlight w:val="none"/>
          <w:lang w:val="en-US" w:eastAsia="zh-CN"/>
        </w:rPr>
        <w:t>%</w:t>
      </w:r>
      <w:r>
        <w:rPr>
          <w:rFonts w:hint="eastAsia"/>
          <w:highlight w:val="none"/>
          <w:lang w:val="en-US" w:eastAsia="zh-CN"/>
        </w:rPr>
        <w:t>以下，满足《国家危险废物名录（2025版）》附</w:t>
      </w:r>
      <w:r>
        <w:rPr>
          <w:rFonts w:ascii="宋体" w:hAnsi="宋体" w:eastAsia="宋体" w:cs="宋体"/>
          <w:sz w:val="24"/>
          <w:szCs w:val="24"/>
          <w:highlight w:val="none"/>
        </w:rPr>
        <w:t>录《危险废物豁免管理清单》</w:t>
      </w:r>
      <w:r>
        <w:rPr>
          <w:rFonts w:hint="eastAsia" w:ascii="宋体" w:hAnsi="宋体" w:eastAsia="宋体" w:cs="宋体"/>
          <w:sz w:val="24"/>
          <w:szCs w:val="24"/>
          <w:highlight w:val="none"/>
          <w:lang w:val="en-US" w:eastAsia="zh-CN"/>
        </w:rPr>
        <w:t>中“</w:t>
      </w:r>
      <w:r>
        <w:rPr>
          <w:rFonts w:ascii="宋体" w:hAnsi="宋体" w:eastAsia="宋体" w:cs="宋体"/>
          <w:sz w:val="24"/>
          <w:szCs w:val="24"/>
          <w:highlight w:val="none"/>
        </w:rPr>
        <w:t>压榨、压滤、过滤除</w:t>
      </w:r>
      <w:r>
        <w:rPr>
          <w:rFonts w:hint="eastAsia"/>
          <w:highlight w:val="none"/>
          <w:lang w:val="en-US" w:eastAsia="zh-CN"/>
        </w:rPr>
        <w:t>油达到静置无滴漏后打包压块用于金属冶炼。”要求，脱油后金属屑自动排出到输送机排到压块机中压块，自动压块后排出到买方指定容器，外售物资回收单位利用。此工序产生油雾、挥发性有机物、臭气浓度、废油、噪声。</w:t>
      </w:r>
    </w:p>
    <w:p w14:paraId="55768687">
      <w:pPr>
        <w:keepNext w:val="0"/>
        <w:keepLines w:val="0"/>
        <w:widowControl/>
        <w:numPr>
          <w:ilvl w:val="0"/>
          <w:numId w:val="9"/>
        </w:numPr>
        <w:suppressLineNumbers w:val="0"/>
        <w:jc w:val="left"/>
        <w:rPr>
          <w:rFonts w:hint="default"/>
          <w:highlight w:val="none"/>
          <w:lang w:val="en-US" w:eastAsia="zh-CN"/>
        </w:rPr>
      </w:pPr>
      <w:r>
        <w:rPr>
          <w:rFonts w:hint="eastAsia"/>
          <w:highlight w:val="none"/>
          <w:lang w:val="en-US" w:eastAsia="zh-CN"/>
        </w:rPr>
        <w:t>本项目生产及原料贮存产生的废气收集后，经油雾净化器+活性炭吸附装置处理后经1根23m高排气筒（DA067）排放此工序产生废过滤材料、废活性炭。</w:t>
      </w:r>
    </w:p>
    <w:p w14:paraId="7DFAD732">
      <w:pPr>
        <w:keepNext w:val="0"/>
        <w:keepLines w:val="0"/>
        <w:pageBreakBefore w:val="0"/>
        <w:widowControl w:val="0"/>
        <w:kinsoku/>
        <w:wordWrap w:val="0"/>
        <w:overflowPunct/>
        <w:topLinePunct w:val="0"/>
        <w:autoSpaceDE/>
        <w:autoSpaceDN/>
        <w:bidi w:val="0"/>
        <w:adjustRightInd w:val="0"/>
        <w:snapToGrid w:val="0"/>
        <w:spacing w:line="240" w:lineRule="auto"/>
        <w:ind w:firstLine="0" w:firstLineChars="0"/>
        <w:textAlignment w:val="auto"/>
        <w:rPr>
          <w:rFonts w:eastAsiaTheme="minorEastAsia"/>
          <w:kern w:val="0"/>
          <w:sz w:val="24"/>
          <w:highlight w:val="none"/>
        </w:rPr>
      </w:pPr>
      <w:r>
        <w:rPr>
          <w:rFonts w:eastAsiaTheme="minorEastAsia"/>
          <w:kern w:val="0"/>
          <w:sz w:val="24"/>
          <w:highlight w:val="none"/>
        </w:rPr>
        <w:drawing>
          <wp:inline distT="0" distB="0" distL="0" distR="0">
            <wp:extent cx="5221605" cy="4537710"/>
            <wp:effectExtent l="9525" t="9525" r="26670" b="2476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35"/>
                    <a:srcRect l="48900" t="23358" r="9398" b="12019"/>
                    <a:stretch>
                      <a:fillRect/>
                    </a:stretch>
                  </pic:blipFill>
                  <pic:spPr>
                    <a:xfrm>
                      <a:off x="0" y="0"/>
                      <a:ext cx="5221690" cy="4537880"/>
                    </a:xfrm>
                    <a:prstGeom prst="rect">
                      <a:avLst/>
                    </a:prstGeom>
                    <a:noFill/>
                    <a:ln w="9525">
                      <a:solidFill>
                        <a:schemeClr val="tx1"/>
                      </a:solidFill>
                      <a:miter lim="800000"/>
                      <a:headEnd/>
                      <a:tailEnd/>
                    </a:ln>
                  </pic:spPr>
                </pic:pic>
              </a:graphicData>
            </a:graphic>
          </wp:inline>
        </w:drawing>
      </w:r>
    </w:p>
    <w:p w14:paraId="4027E4D9">
      <w:pPr>
        <w:spacing w:line="360" w:lineRule="auto"/>
        <w:jc w:val="center"/>
        <w:rPr>
          <w:rFonts w:eastAsiaTheme="minorEastAsia"/>
          <w:b/>
          <w:bCs/>
          <w:sz w:val="24"/>
          <w:highlight w:val="none"/>
        </w:rPr>
      </w:pPr>
      <w:r>
        <w:rPr>
          <w:rFonts w:hAnsiTheme="minorEastAsia" w:eastAsiaTheme="minorEastAsia"/>
          <w:b/>
          <w:kern w:val="0"/>
          <w:sz w:val="24"/>
          <w:highlight w:val="none"/>
        </w:rPr>
        <w:t>图</w:t>
      </w:r>
      <w:r>
        <w:rPr>
          <w:rFonts w:eastAsiaTheme="minorEastAsia"/>
          <w:b/>
          <w:kern w:val="0"/>
          <w:sz w:val="24"/>
          <w:highlight w:val="none"/>
        </w:rPr>
        <w:t>3-2-1</w:t>
      </w:r>
      <w:r>
        <w:rPr>
          <w:rFonts w:hAnsiTheme="minorEastAsia" w:eastAsiaTheme="minorEastAsia"/>
          <w:b/>
          <w:kern w:val="0"/>
          <w:sz w:val="24"/>
          <w:highlight w:val="none"/>
        </w:rPr>
        <w:t>缸体</w:t>
      </w:r>
      <w:r>
        <w:rPr>
          <w:rFonts w:hAnsiTheme="minorEastAsia" w:eastAsiaTheme="minorEastAsia"/>
          <w:b/>
          <w:bCs/>
          <w:sz w:val="24"/>
          <w:highlight w:val="none"/>
        </w:rPr>
        <w:t>生产工艺流程图及产排污节点图</w:t>
      </w:r>
    </w:p>
    <w:p w14:paraId="53D0EFE4">
      <w:pPr>
        <w:bidi w:val="0"/>
        <w:rPr>
          <w:highlight w:val="none"/>
        </w:rPr>
      </w:pPr>
      <w:r>
        <w:rPr>
          <w:highlight w:val="none"/>
        </w:rPr>
        <w:t>主要生产工序及产污环节分析：</w:t>
      </w:r>
    </w:p>
    <w:p w14:paraId="6A103892">
      <w:pPr>
        <w:bidi w:val="0"/>
        <w:rPr>
          <w:highlight w:val="none"/>
          <w:lang w:val="zh-CN"/>
        </w:rPr>
      </w:pPr>
      <w:r>
        <w:rPr>
          <w:highlight w:val="none"/>
          <w:lang w:val="zh-CN"/>
        </w:rPr>
        <w:t>（1）工件编号：缸体毛坯上线，对毛坯进行打码，采用激光打码，此过程主要产生设备噪声。</w:t>
      </w:r>
    </w:p>
    <w:p w14:paraId="63393D93">
      <w:pPr>
        <w:bidi w:val="0"/>
        <w:rPr>
          <w:highlight w:val="none"/>
        </w:rPr>
      </w:pPr>
      <w:r>
        <w:rPr>
          <w:highlight w:val="none"/>
          <w:lang w:val="zh-CN"/>
        </w:rPr>
        <w:t>（2）机械加工：对毛坯件进行</w:t>
      </w:r>
      <w:r>
        <w:rPr>
          <w:highlight w:val="none"/>
        </w:rPr>
        <w:t>缸体各面及孔系的加工、缸孔及主轴承孔的粗加工、底面及定位销孔的精加工，主要是对毛坯进行切、割</w:t>
      </w:r>
      <w:r>
        <w:rPr>
          <w:highlight w:val="none"/>
          <w:lang w:val="zh-CN"/>
        </w:rPr>
        <w:t>，铣、钻等形状尺寸加工，机加过程中需加入切削液，切削母液与水配制后使用，切削液</w:t>
      </w:r>
      <w:r>
        <w:rPr>
          <w:highlight w:val="none"/>
        </w:rPr>
        <w:t>是一种用来冷却和润滑刀具加工工件的工业用液体，起到润滑、冷却、清洗的作用，</w:t>
      </w:r>
      <w:r>
        <w:rPr>
          <w:highlight w:val="none"/>
          <w:lang w:val="zh-CN"/>
        </w:rPr>
        <w:t>各机加设备均设置有回收槽，使用后的切削液经回收槽回收后再进入切削液集中装置过滤处理后循环使用，定期排放；</w:t>
      </w:r>
      <w:r>
        <w:rPr>
          <w:highlight w:val="none"/>
        </w:rPr>
        <w:t>机械加工线使用切削液在高温状态下挥发或裂解会在空气中形成油雾颗粒，油雾的形成机理有两种：雾化和蒸发，雾化是机械能转化为液滴表面能的过程，主要是由于液体对系统内的固定及旋转单元的激烈冲击，备其打碎，形成细小的液滴：蒸发的过程是由于切削区产生大量的热，这些热量传入切削液，使它的温度明显高于饱和温度，在固-液接触面上就发生沸腾并产生蒸汽，这些蒸汽随后以空气中的小液滴或其他粒子为核心凝结，形成油雾。一般情况下，机械雾化过程产生的液滴粒径稍大，蒸发过程产生的油雾粒径较小。</w:t>
      </w:r>
      <w:r>
        <w:rPr>
          <w:highlight w:val="none"/>
          <w:lang w:val="zh-CN"/>
        </w:rPr>
        <w:t>此工序产生金属碎屑、废切削液、油雾废气、噪声。</w:t>
      </w:r>
    </w:p>
    <w:p w14:paraId="5736735A">
      <w:pPr>
        <w:bidi w:val="0"/>
        <w:rPr>
          <w:highlight w:val="none"/>
          <w:lang w:val="zh-CN"/>
        </w:rPr>
      </w:pPr>
      <w:r>
        <w:rPr>
          <w:highlight w:val="none"/>
          <w:lang w:val="zh-CN"/>
        </w:rPr>
        <w:t>（3）清洗：通过机械传送带将待清洗工件送入密闭清洗机，使用清洗液对表面油污进行清洗，工件清洗后，经过真空干燥、冷风降温。所有清洗液都回流至清洗液槽循环使用，清洗液定期清理，此过程产生清洗液废水和噪声。</w:t>
      </w:r>
    </w:p>
    <w:p w14:paraId="3E421B62">
      <w:pPr>
        <w:bidi w:val="0"/>
        <w:rPr>
          <w:highlight w:val="none"/>
          <w:lang w:val="zh-CN"/>
        </w:rPr>
      </w:pPr>
      <w:r>
        <w:rPr>
          <w:highlight w:val="none"/>
          <w:lang w:val="zh-CN"/>
        </w:rPr>
        <w:t>（4）压装堵片：将螺栓、螺塞、碗形塞装配到缸体的小孔中，使用封口胶对零部件进行胶黏，封口胶涂装方式为挤压式直涂，无需加热固化，封口胶涂抹后自然干燥，此过程产生设备噪声、封口胶挥发废气（以非甲烷总烃计）。</w:t>
      </w:r>
    </w:p>
    <w:p w14:paraId="001224E1">
      <w:pPr>
        <w:bidi w:val="0"/>
        <w:rPr>
          <w:highlight w:val="none"/>
          <w:lang w:val="zh-CN"/>
        </w:rPr>
      </w:pPr>
      <w:r>
        <w:rPr>
          <w:highlight w:val="none"/>
          <w:lang w:val="zh-CN"/>
        </w:rPr>
        <w:t>（5）气密试验：通过缸体密封试漏机对油路及油腔进行气密性检验，对于气密性严重不良工件返回重加工。本过程产生设备噪声。</w:t>
      </w:r>
    </w:p>
    <w:p w14:paraId="56D40A91">
      <w:pPr>
        <w:bidi w:val="0"/>
        <w:rPr>
          <w:highlight w:val="none"/>
          <w:lang w:val="zh-CN"/>
        </w:rPr>
      </w:pPr>
      <w:r>
        <w:rPr>
          <w:highlight w:val="none"/>
          <w:lang w:val="zh-CN"/>
        </w:rPr>
        <w:t>（6）装配：通过装配机进行主轴承盖装配，此过程产生设备噪声。</w:t>
      </w:r>
    </w:p>
    <w:p w14:paraId="3DA90BB4">
      <w:pPr>
        <w:bidi w:val="0"/>
        <w:rPr>
          <w:highlight w:val="none"/>
          <w:lang w:val="zh-CN"/>
        </w:rPr>
      </w:pPr>
      <w:r>
        <w:rPr>
          <w:highlight w:val="none"/>
          <w:lang w:val="zh-CN"/>
        </w:rPr>
        <w:t>（7）精加工：此工序精加工缸孔、主轴承孔，通过对工件进一步加工、切削，提高零件尺寸精度，使其成型。此过程产生金属碎屑、废切削液、油雾废气、设备噪声。</w:t>
      </w:r>
    </w:p>
    <w:p w14:paraId="595BAC5F">
      <w:pPr>
        <w:bidi w:val="0"/>
        <w:rPr>
          <w:highlight w:val="none"/>
          <w:lang w:val="zh-CN"/>
        </w:rPr>
      </w:pPr>
      <w:r>
        <w:rPr>
          <w:highlight w:val="none"/>
          <w:lang w:val="zh-CN"/>
        </w:rPr>
        <w:t>（8）珩磨：将缸体放在珩磨机上打磨缸孔、曲轴孔，降低孔表面粗糙度，以使其光滑。珩磨过程中需加入切削液，</w:t>
      </w:r>
      <w:r>
        <w:rPr>
          <w:highlight w:val="none"/>
        </w:rPr>
        <w:t>起到润滑、冷却、清洗的作用，</w:t>
      </w:r>
      <w:r>
        <w:rPr>
          <w:highlight w:val="none"/>
          <w:lang w:val="zh-CN"/>
        </w:rPr>
        <w:t>各机加设备均设置有回收槽，使用后的切削液经回收槽回收后再进入切削液集中装置过滤处理后循环使用，定期排放；</w:t>
      </w:r>
      <w:r>
        <w:rPr>
          <w:highlight w:val="none"/>
        </w:rPr>
        <w:t>珩磨过程使用切削液中矿物油在高温状态下挥发或裂解形成油雾。</w:t>
      </w:r>
      <w:r>
        <w:rPr>
          <w:highlight w:val="none"/>
          <w:lang w:val="zh-CN"/>
        </w:rPr>
        <w:t>此过程产生金属碎屑、废切削液、油雾废气、设备噪声、珩磨过程产生的废油泥。</w:t>
      </w:r>
    </w:p>
    <w:p w14:paraId="5A38E3C7">
      <w:pPr>
        <w:bidi w:val="0"/>
        <w:rPr>
          <w:highlight w:val="none"/>
          <w:lang w:val="zh-CN"/>
        </w:rPr>
      </w:pPr>
      <w:r>
        <w:rPr>
          <w:highlight w:val="none"/>
          <w:lang w:val="zh-CN"/>
        </w:rPr>
        <w:t>（9）最终检测：对成品进行尺寸、精密度做进一步检测，对不合格的缸体返回重新加工，合格的产品包装入库。此过程产生废含油抹布。</w:t>
      </w:r>
    </w:p>
    <w:p w14:paraId="13057F66">
      <w:pPr>
        <w:pStyle w:val="76"/>
        <w:adjustRightInd/>
        <w:snapToGrid/>
        <w:ind w:firstLine="0" w:firstLineChars="0"/>
        <w:jc w:val="center"/>
        <w:rPr>
          <w:rFonts w:ascii="Times New Roman" w:hAnsi="Times New Roman" w:cs="Times New Roman"/>
          <w:snapToGrid w:val="0"/>
          <w:highlight w:val="none"/>
          <w:lang w:val="zh-CN"/>
        </w:rPr>
      </w:pPr>
      <w:r>
        <w:rPr>
          <w:rFonts w:ascii="Times New Roman" w:hAnsi="Times New Roman" w:cs="Times New Roman"/>
          <w:highlight w:val="none"/>
        </w:rPr>
        <w:pict>
          <v:rect id="_x0000_s2050" o:spid="_x0000_s2050" o:spt="1" style="position:absolute;left:0pt;margin-left:315.85pt;margin-top:132.9pt;height:20.1pt;width:35.5pt;z-index:251709440;mso-width-relative:page;mso-height-relative:page;" filled="f" stroked="f" coordsize="21600,21600">
            <v:path/>
            <v:fill on="f" focussize="0,0"/>
            <v:stroke on="f"/>
            <v:imagedata o:title=""/>
            <o:lock v:ext="edit"/>
            <v:textbox>
              <w:txbxContent>
                <w:p w14:paraId="5726992A">
                  <w:pPr>
                    <w:jc w:val="center"/>
                    <w:rPr>
                      <w:sz w:val="15"/>
                      <w:szCs w:val="15"/>
                    </w:rPr>
                  </w:pPr>
                  <w:r>
                    <w:rPr>
                      <w:rFonts w:hint="eastAsia"/>
                      <w:sz w:val="15"/>
                      <w:szCs w:val="15"/>
                    </w:rPr>
                    <w:t>S3</w:t>
                  </w:r>
                </w:p>
              </w:txbxContent>
            </v:textbox>
          </v:rect>
        </w:pict>
      </w:r>
      <w:r>
        <w:rPr>
          <w:rFonts w:ascii="Times New Roman" w:hAnsi="Times New Roman" w:cs="Times New Roman"/>
          <w:highlight w:val="none"/>
        </w:rPr>
        <w:pict>
          <v:rect id="_x0000_s2051" o:spid="_x0000_s2051" o:spt="1" style="position:absolute;left:0pt;margin-left:318.1pt;margin-top:136.5pt;height:20.1pt;width:35.5pt;z-index:251708416;mso-width-relative:page;mso-height-relative:page;" stroked="f" coordsize="21600,21600">
            <v:path/>
            <v:fill focussize="0,0"/>
            <v:stroke on="f"/>
            <v:imagedata o:title=""/>
            <o:lock v:ext="edit"/>
            <v:textbox>
              <w:txbxContent>
                <w:p w14:paraId="7CDFF5DF"/>
              </w:txbxContent>
            </v:textbox>
          </v:rect>
        </w:pict>
      </w:r>
      <w:r>
        <w:rPr>
          <w:rFonts w:ascii="Times New Roman" w:hAnsi="Times New Roman" w:cs="Times New Roman"/>
          <w:highlight w:val="none"/>
        </w:rPr>
        <w:drawing>
          <wp:inline distT="0" distB="0" distL="0" distR="0">
            <wp:extent cx="5274310" cy="4418965"/>
            <wp:effectExtent l="9525" t="9525" r="12065" b="10160"/>
            <wp:docPr id="1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5"/>
                    <pic:cNvPicPr>
                      <a:picLocks noChangeAspect="1" noChangeArrowheads="1"/>
                    </pic:cNvPicPr>
                  </pic:nvPicPr>
                  <pic:blipFill>
                    <a:blip r:embed="rId36"/>
                    <a:srcRect/>
                    <a:stretch>
                      <a:fillRect/>
                    </a:stretch>
                  </pic:blipFill>
                  <pic:spPr>
                    <a:xfrm>
                      <a:off x="0" y="0"/>
                      <a:ext cx="5274310" cy="4419446"/>
                    </a:xfrm>
                    <a:prstGeom prst="rect">
                      <a:avLst/>
                    </a:prstGeom>
                    <a:noFill/>
                    <a:ln w="9525">
                      <a:solidFill>
                        <a:schemeClr val="tx1"/>
                      </a:solidFill>
                      <a:miter lim="800000"/>
                      <a:headEnd/>
                      <a:tailEnd/>
                    </a:ln>
                  </pic:spPr>
                </pic:pic>
              </a:graphicData>
            </a:graphic>
          </wp:inline>
        </w:drawing>
      </w:r>
    </w:p>
    <w:p w14:paraId="67B20296">
      <w:pPr>
        <w:spacing w:line="360" w:lineRule="auto"/>
        <w:jc w:val="center"/>
        <w:rPr>
          <w:rFonts w:eastAsiaTheme="minorEastAsia"/>
          <w:sz w:val="24"/>
          <w:highlight w:val="none"/>
        </w:rPr>
      </w:pPr>
      <w:r>
        <w:rPr>
          <w:rFonts w:hAnsiTheme="minorEastAsia" w:eastAsiaTheme="minorEastAsia"/>
          <w:b/>
          <w:kern w:val="0"/>
          <w:sz w:val="24"/>
          <w:highlight w:val="none"/>
        </w:rPr>
        <w:t>图</w:t>
      </w:r>
      <w:r>
        <w:rPr>
          <w:rFonts w:eastAsiaTheme="minorEastAsia"/>
          <w:b/>
          <w:kern w:val="0"/>
          <w:sz w:val="24"/>
          <w:highlight w:val="none"/>
        </w:rPr>
        <w:t>3-2-2</w:t>
      </w:r>
      <w:r>
        <w:rPr>
          <w:rFonts w:hAnsiTheme="minorEastAsia" w:eastAsiaTheme="minorEastAsia"/>
          <w:b/>
          <w:kern w:val="0"/>
          <w:sz w:val="24"/>
          <w:highlight w:val="none"/>
        </w:rPr>
        <w:t>缸盖</w:t>
      </w:r>
      <w:r>
        <w:rPr>
          <w:rFonts w:hAnsiTheme="minorEastAsia" w:eastAsiaTheme="minorEastAsia"/>
          <w:b/>
          <w:bCs/>
          <w:sz w:val="24"/>
          <w:highlight w:val="none"/>
        </w:rPr>
        <w:t>生产工艺流程图及产排污节点图</w:t>
      </w:r>
    </w:p>
    <w:p w14:paraId="6AD643AA">
      <w:pPr>
        <w:bidi w:val="0"/>
        <w:rPr>
          <w:highlight w:val="none"/>
        </w:rPr>
      </w:pPr>
      <w:r>
        <w:rPr>
          <w:highlight w:val="none"/>
        </w:rPr>
        <w:t>主要生产工序及产污环节分析：</w:t>
      </w:r>
    </w:p>
    <w:p w14:paraId="127D8EE4">
      <w:pPr>
        <w:bidi w:val="0"/>
        <w:rPr>
          <w:highlight w:val="none"/>
          <w:lang w:val="zh-CN"/>
        </w:rPr>
      </w:pPr>
      <w:r>
        <w:rPr>
          <w:highlight w:val="none"/>
          <w:lang w:val="zh-CN"/>
        </w:rPr>
        <w:t>（1）工件编号：缸盖毛坯上线，对毛坯进行打码，采用激光打码，此过程主要产生设备噪声。</w:t>
      </w:r>
    </w:p>
    <w:p w14:paraId="1C5A945F">
      <w:pPr>
        <w:bidi w:val="0"/>
        <w:rPr>
          <w:highlight w:val="none"/>
          <w:lang w:val="zh-CN"/>
        </w:rPr>
      </w:pPr>
      <w:r>
        <w:rPr>
          <w:highlight w:val="none"/>
          <w:lang w:val="zh-CN"/>
        </w:rPr>
        <w:t>（2）机械加工：对毛坯件进行</w:t>
      </w:r>
      <w:r>
        <w:rPr>
          <w:highlight w:val="none"/>
        </w:rPr>
        <w:t>缸盖各面及孔系的加工、气门座、导管底孔粗加工，主要是对毛坯进行切、割</w:t>
      </w:r>
      <w:r>
        <w:rPr>
          <w:highlight w:val="none"/>
          <w:lang w:val="zh-CN"/>
        </w:rPr>
        <w:t>，铣、钻等形状尺寸加工，机加过程中需加入切削液，</w:t>
      </w:r>
      <w:r>
        <w:rPr>
          <w:highlight w:val="none"/>
        </w:rPr>
        <w:t>起到润滑、冷却、清洗的作用，</w:t>
      </w:r>
      <w:r>
        <w:rPr>
          <w:highlight w:val="none"/>
          <w:lang w:val="zh-CN"/>
        </w:rPr>
        <w:t>各机加设备均设置有回收槽，使用后的切削液经回收槽回收后再进入切削液集中装置过滤处理后循环使用，定期排放；</w:t>
      </w:r>
      <w:r>
        <w:rPr>
          <w:highlight w:val="none"/>
        </w:rPr>
        <w:t>机械加工线使用切削液中矿物油在高温状态下挥发或裂解形成油雾。</w:t>
      </w:r>
      <w:r>
        <w:rPr>
          <w:highlight w:val="none"/>
          <w:lang w:val="zh-CN"/>
        </w:rPr>
        <w:t>此工序产生金属碎屑、废切削液、油雾废气、噪声。</w:t>
      </w:r>
    </w:p>
    <w:p w14:paraId="4D4E9EC6">
      <w:pPr>
        <w:bidi w:val="0"/>
        <w:rPr>
          <w:highlight w:val="none"/>
          <w:lang w:val="zh-CN"/>
        </w:rPr>
      </w:pPr>
      <w:r>
        <w:rPr>
          <w:highlight w:val="none"/>
          <w:lang w:val="zh-CN"/>
        </w:rPr>
        <w:t>（3）清洗：通过机械传送带将待清洗工件送入密闭清洗机，使用清洗液对表面油污进行清洗，工件清洗后，经过真空干燥、冷风降温。所有清洗液都回流至清洗液槽循环使用，清洗液定期清理，此过程产生清洗液废水和噪声。</w:t>
      </w:r>
    </w:p>
    <w:p w14:paraId="4127B20F">
      <w:pPr>
        <w:bidi w:val="0"/>
        <w:rPr>
          <w:highlight w:val="none"/>
          <w:lang w:val="zh-CN"/>
        </w:rPr>
      </w:pPr>
      <w:r>
        <w:rPr>
          <w:highlight w:val="none"/>
          <w:lang w:val="zh-CN"/>
        </w:rPr>
        <w:t>（4）压座/压管：</w:t>
      </w:r>
      <w:r>
        <w:rPr>
          <w:highlight w:val="none"/>
        </w:rPr>
        <w:t>通过压装机把导管和座圈压入缸盖内，此过程产生设备噪声</w:t>
      </w:r>
      <w:r>
        <w:rPr>
          <w:highlight w:val="none"/>
          <w:lang w:val="zh-CN"/>
        </w:rPr>
        <w:t>。</w:t>
      </w:r>
    </w:p>
    <w:p w14:paraId="0451C91A">
      <w:pPr>
        <w:bidi w:val="0"/>
        <w:rPr>
          <w:highlight w:val="none"/>
          <w:lang w:val="zh-CN"/>
        </w:rPr>
      </w:pPr>
      <w:r>
        <w:rPr>
          <w:highlight w:val="none"/>
          <w:lang w:val="zh-CN"/>
        </w:rPr>
        <w:t>（5）精加工：本工序包括精加工顶底面，精铰气门座圈和导管孔，精加过程中需加入切削液，</w:t>
      </w:r>
      <w:r>
        <w:rPr>
          <w:highlight w:val="none"/>
        </w:rPr>
        <w:t>起到润滑、冷却、清洗的作用，</w:t>
      </w:r>
      <w:r>
        <w:rPr>
          <w:highlight w:val="none"/>
          <w:lang w:val="zh-CN"/>
        </w:rPr>
        <w:t>各机加设备均设置有回收槽，使用后的切削液经回收槽回收后再进入切削液集中装置过滤处理后循环使用，定期排放；</w:t>
      </w:r>
      <w:r>
        <w:rPr>
          <w:highlight w:val="none"/>
        </w:rPr>
        <w:t>机械加工线使用切削液中矿物油在高温状态下挥发或裂解形成油雾。</w:t>
      </w:r>
      <w:r>
        <w:rPr>
          <w:highlight w:val="none"/>
          <w:lang w:val="zh-CN"/>
        </w:rPr>
        <w:t>此过程产生金属碎屑、废切削液、油雾废气、设备噪声。</w:t>
      </w:r>
    </w:p>
    <w:p w14:paraId="08E38DD0">
      <w:pPr>
        <w:bidi w:val="0"/>
        <w:rPr>
          <w:highlight w:val="none"/>
          <w:lang w:val="zh-CN"/>
        </w:rPr>
      </w:pPr>
      <w:r>
        <w:rPr>
          <w:highlight w:val="none"/>
          <w:lang w:val="zh-CN"/>
        </w:rPr>
        <w:t>（6）试漏：通过缸盖试漏机对水套、高压油道、气道等进行气密性检验，对于气密性严重不良工件返回重加工。本过程产生设备噪声。</w:t>
      </w:r>
    </w:p>
    <w:p w14:paraId="6368DE82">
      <w:pPr>
        <w:bidi w:val="0"/>
        <w:rPr>
          <w:highlight w:val="none"/>
          <w:lang w:val="zh-CN"/>
        </w:rPr>
      </w:pPr>
      <w:r>
        <w:rPr>
          <w:highlight w:val="none"/>
          <w:lang w:val="zh-CN"/>
        </w:rPr>
        <w:t>（7）装配：通过装配机进行凸轮轴盖装配，此过程产生设备噪声。</w:t>
      </w:r>
    </w:p>
    <w:p w14:paraId="75520E54">
      <w:pPr>
        <w:bidi w:val="0"/>
        <w:rPr>
          <w:highlight w:val="none"/>
          <w:lang w:val="zh-CN"/>
        </w:rPr>
      </w:pPr>
      <w:r>
        <w:rPr>
          <w:highlight w:val="none"/>
          <w:lang w:val="zh-CN"/>
        </w:rPr>
        <w:t>（8）精加工：此工序包括精镗凸轮轴孔、精铣前后断面，以使工件达到精度要求，精加过程中需加入切削液，</w:t>
      </w:r>
      <w:r>
        <w:rPr>
          <w:highlight w:val="none"/>
        </w:rPr>
        <w:t>起到润滑、冷却、清洗的作用，</w:t>
      </w:r>
      <w:r>
        <w:rPr>
          <w:highlight w:val="none"/>
          <w:lang w:val="zh-CN"/>
        </w:rPr>
        <w:t>各机加设备均设置有回收槽，使用后的切削液经回收槽回收后再进入切削液集中装置过滤处理后循环使用，定期排放；</w:t>
      </w:r>
      <w:r>
        <w:rPr>
          <w:highlight w:val="none"/>
        </w:rPr>
        <w:t>机械加工线使用切削液中矿物油在高温状态下挥发或裂解形成油雾。</w:t>
      </w:r>
      <w:r>
        <w:rPr>
          <w:highlight w:val="none"/>
          <w:lang w:val="zh-CN"/>
        </w:rPr>
        <w:t>此过程产生金属碎屑、废切削液、油雾废气、设备噪声。</w:t>
      </w:r>
    </w:p>
    <w:p w14:paraId="7E50A112">
      <w:pPr>
        <w:bidi w:val="0"/>
        <w:rPr>
          <w:highlight w:val="none"/>
          <w:lang w:val="zh-CN"/>
        </w:rPr>
      </w:pPr>
      <w:r>
        <w:rPr>
          <w:highlight w:val="none"/>
          <w:lang w:val="zh-CN"/>
        </w:rPr>
        <w:t>（9）最终检测：对成品进行尺寸、精密度做进一步检测，对不合格的缸盖返回重新加工，合格的产品包装入库。</w:t>
      </w:r>
    </w:p>
    <w:p w14:paraId="5A9117FB">
      <w:pPr>
        <w:pStyle w:val="76"/>
        <w:adjustRightInd/>
        <w:snapToGrid/>
        <w:ind w:firstLine="0" w:firstLineChars="0"/>
        <w:jc w:val="center"/>
        <w:rPr>
          <w:rFonts w:ascii="Times New Roman" w:hAnsi="Times New Roman" w:cs="Times New Roman"/>
          <w:snapToGrid w:val="0"/>
          <w:highlight w:val="none"/>
          <w:lang w:val="zh-CN"/>
        </w:rPr>
      </w:pPr>
      <w:r>
        <w:rPr>
          <w:rFonts w:ascii="Times New Roman" w:hAnsi="Times New Roman" w:cs="Times New Roman"/>
          <w:highlight w:val="none"/>
        </w:rPr>
        <w:pict>
          <v:rect id="_x0000_s2060" o:spid="_x0000_s2060" o:spt="1" style="position:absolute;left:0pt;margin-left:132.35pt;margin-top:377.5pt;height:22.45pt;width:96.2pt;z-index:251698176;mso-width-relative:page;mso-height-relative:page;" stroked="f" coordsize="21600,21600">
            <v:path/>
            <v:fill focussize="0,0"/>
            <v:stroke on="f"/>
            <v:imagedata o:title=""/>
            <o:lock v:ext="edit"/>
            <v:textbox>
              <w:txbxContent>
                <w:p w14:paraId="6B1DA36A">
                  <w:pPr>
                    <w:keepNext w:val="0"/>
                    <w:keepLines w:val="0"/>
                    <w:pageBreakBefore w:val="0"/>
                    <w:widowControl w:val="0"/>
                    <w:kinsoku/>
                    <w:wordWrap w:val="0"/>
                    <w:overflowPunct/>
                    <w:topLinePunct w:val="0"/>
                    <w:bidi w:val="0"/>
                    <w:adjustRightInd w:val="0"/>
                    <w:snapToGrid w:val="0"/>
                    <w:spacing w:line="240" w:lineRule="auto"/>
                    <w:ind w:firstLine="0" w:firstLineChars="0"/>
                    <w:jc w:val="center"/>
                    <w:textAlignment w:val="auto"/>
                    <w:rPr>
                      <w:sz w:val="18"/>
                      <w:szCs w:val="18"/>
                    </w:rPr>
                  </w:pPr>
                  <w:r>
                    <w:rPr>
                      <w:sz w:val="18"/>
                      <w:szCs w:val="18"/>
                    </w:rPr>
                    <w:t>发动机热试</w:t>
                  </w:r>
                </w:p>
              </w:txbxContent>
            </v:textbox>
          </v:rect>
        </w:pict>
      </w:r>
      <w:r>
        <w:rPr>
          <w:rFonts w:ascii="Times New Roman" w:hAnsi="Times New Roman" w:cs="Times New Roman"/>
          <w:highlight w:val="none"/>
        </w:rPr>
        <w:pict>
          <v:rect id="_x0000_s2052" o:spid="_x0000_s2052" o:spt="1" style="position:absolute;left:0pt;margin-left:335.75pt;margin-top:353.65pt;height:22.45pt;width:47.3pt;z-index:251710464;mso-width-relative:page;mso-height-relative:page;" filled="f" stroked="f" coordsize="21600,21600">
            <v:path/>
            <v:fill on="f" focussize="0,0"/>
            <v:stroke on="f"/>
            <v:imagedata o:title=""/>
            <o:lock v:ext="edit"/>
            <v:textbox>
              <w:txbxContent>
                <w:p w14:paraId="7BCA235B">
                  <w:pPr>
                    <w:keepNext w:val="0"/>
                    <w:keepLines w:val="0"/>
                    <w:pageBreakBefore w:val="0"/>
                    <w:widowControl w:val="0"/>
                    <w:kinsoku/>
                    <w:wordWrap w:val="0"/>
                    <w:overflowPunct/>
                    <w:topLinePunct w:val="0"/>
                    <w:bidi w:val="0"/>
                    <w:adjustRightInd w:val="0"/>
                    <w:snapToGrid w:val="0"/>
                    <w:spacing w:line="240" w:lineRule="auto"/>
                    <w:ind w:firstLine="0" w:firstLineChars="0"/>
                    <w:jc w:val="center"/>
                    <w:textAlignment w:val="auto"/>
                    <w:rPr>
                      <w:sz w:val="18"/>
                      <w:szCs w:val="18"/>
                    </w:rPr>
                  </w:pPr>
                  <w:r>
                    <w:rPr>
                      <w:rFonts w:hint="eastAsia"/>
                      <w:sz w:val="18"/>
                      <w:szCs w:val="18"/>
                    </w:rPr>
                    <w:t>S4</w:t>
                  </w:r>
                </w:p>
              </w:txbxContent>
            </v:textbox>
          </v:rect>
        </w:pict>
      </w:r>
      <w:r>
        <w:rPr>
          <w:rFonts w:ascii="Times New Roman" w:hAnsi="Times New Roman" w:cs="Times New Roman"/>
          <w:highlight w:val="none"/>
        </w:rPr>
        <w:pict>
          <v:rect id="_x0000_s2053" o:spid="_x0000_s2053" o:spt="1" style="position:absolute;left:0pt;margin-left:335.75pt;margin-top:274.05pt;height:26.65pt;width:49.25pt;z-index:251706368;mso-width-relative:page;mso-height-relative:page;" coordsize="21600,21600">
            <v:path/>
            <v:fill focussize="0,0"/>
            <v:stroke/>
            <v:imagedata o:title=""/>
            <o:lock v:ext="edit"/>
            <v:textbox>
              <w:txbxContent>
                <w:p w14:paraId="0B4845E1">
                  <w:pPr>
                    <w:keepNext w:val="0"/>
                    <w:keepLines w:val="0"/>
                    <w:pageBreakBefore w:val="0"/>
                    <w:widowControl w:val="0"/>
                    <w:kinsoku/>
                    <w:wordWrap w:val="0"/>
                    <w:overflowPunct/>
                    <w:topLinePunct w:val="0"/>
                    <w:bidi w:val="0"/>
                    <w:adjustRightInd w:val="0"/>
                    <w:snapToGrid w:val="0"/>
                    <w:spacing w:line="240" w:lineRule="auto"/>
                    <w:ind w:firstLine="0" w:firstLineChars="0"/>
                    <w:contextualSpacing/>
                    <w:jc w:val="center"/>
                    <w:textAlignment w:val="auto"/>
                    <w:rPr>
                      <w:sz w:val="15"/>
                      <w:szCs w:val="15"/>
                    </w:rPr>
                  </w:pPr>
                  <w:r>
                    <w:rPr>
                      <w:rFonts w:hint="eastAsia"/>
                      <w:sz w:val="15"/>
                      <w:szCs w:val="15"/>
                    </w:rPr>
                    <w:t>15m高排气筒</w:t>
                  </w:r>
                </w:p>
              </w:txbxContent>
            </v:textbox>
          </v:rect>
        </w:pict>
      </w:r>
      <w:r>
        <w:rPr>
          <w:rFonts w:ascii="Times New Roman" w:hAnsi="Times New Roman" w:cs="Times New Roman"/>
          <w:highlight w:val="none"/>
        </w:rPr>
        <w:pict>
          <v:shape id="_x0000_s2054" o:spid="_x0000_s2054" o:spt="32" type="#_x0000_t32" style="position:absolute;left:0pt;flip:y;margin-left:359.85pt;margin-top:300.7pt;height:15.4pt;width:0pt;z-index:251705344;mso-width-relative:page;mso-height-relative:page;" o:connectortype="straight" filled="f" coordsize="21600,21600">
            <v:path arrowok="t"/>
            <v:fill on="f" focussize="0,0"/>
            <v:stroke endarrow="block"/>
            <v:imagedata o:title=""/>
            <o:lock v:ext="edit"/>
          </v:shape>
        </w:pict>
      </w:r>
      <w:r>
        <w:rPr>
          <w:rFonts w:ascii="Times New Roman" w:hAnsi="Times New Roman" w:cs="Times New Roman"/>
          <w:highlight w:val="none"/>
        </w:rPr>
        <w:pict>
          <v:shape id="_x0000_s2055" o:spid="_x0000_s2055" o:spt="32" type="#_x0000_t32" style="position:absolute;left:0pt;margin-left:359.8pt;margin-top:344.1pt;height:14.9pt;width:0.05pt;z-index:251707392;mso-width-relative:page;mso-height-relative:page;" o:connectortype="straight" filled="f" coordsize="21600,21600">
            <v:path arrowok="t"/>
            <v:fill on="f" focussize="0,0"/>
            <v:stroke dashstyle="dash" endarrow="block"/>
            <v:imagedata o:title=""/>
            <o:lock v:ext="edit"/>
          </v:shape>
        </w:pict>
      </w:r>
      <w:r>
        <w:rPr>
          <w:rFonts w:ascii="Times New Roman" w:hAnsi="Times New Roman" w:cs="Times New Roman"/>
          <w:highlight w:val="none"/>
        </w:rPr>
        <w:pict>
          <v:rect id="_x0000_s2056" o:spid="_x0000_s2056" o:spt="1" style="position:absolute;left:0pt;margin-left:335.75pt;margin-top:316.1pt;height:26.65pt;width:49.25pt;z-index:251704320;mso-width-relative:page;mso-height-relative:page;" coordsize="21600,21600">
            <v:path/>
            <v:fill focussize="0,0"/>
            <v:stroke/>
            <v:imagedata o:title=""/>
            <o:lock v:ext="edit"/>
            <v:textbox>
              <w:txbxContent>
                <w:p w14:paraId="06085007">
                  <w:pPr>
                    <w:keepNext w:val="0"/>
                    <w:keepLines w:val="0"/>
                    <w:pageBreakBefore w:val="0"/>
                    <w:widowControl w:val="0"/>
                    <w:kinsoku/>
                    <w:wordWrap w:val="0"/>
                    <w:overflowPunct/>
                    <w:topLinePunct w:val="0"/>
                    <w:bidi w:val="0"/>
                    <w:adjustRightInd w:val="0"/>
                    <w:snapToGrid w:val="0"/>
                    <w:spacing w:line="240" w:lineRule="auto"/>
                    <w:ind w:firstLine="0" w:firstLineChars="0"/>
                    <w:contextualSpacing/>
                    <w:jc w:val="center"/>
                    <w:textAlignment w:val="auto"/>
                    <w:rPr>
                      <w:sz w:val="15"/>
                      <w:szCs w:val="15"/>
                    </w:rPr>
                  </w:pPr>
                  <w:r>
                    <w:rPr>
                      <w:rFonts w:hint="eastAsia"/>
                      <w:sz w:val="15"/>
                      <w:szCs w:val="15"/>
                    </w:rPr>
                    <w:t>三元</w:t>
                  </w:r>
                  <w:r>
                    <w:rPr>
                      <w:sz w:val="15"/>
                      <w:szCs w:val="15"/>
                    </w:rPr>
                    <w:t>催化装置</w:t>
                  </w:r>
                </w:p>
              </w:txbxContent>
            </v:textbox>
          </v:rect>
        </w:pict>
      </w:r>
      <w:r>
        <w:rPr>
          <w:rFonts w:ascii="Times New Roman" w:hAnsi="Times New Roman" w:cs="Times New Roman"/>
          <w:highlight w:val="none"/>
        </w:rPr>
        <w:pict>
          <v:shape id="_x0000_s2057" o:spid="_x0000_s2057" o:spt="32" type="#_x0000_t32" style="position:absolute;left:0pt;margin-left:316.25pt;margin-top:329.15pt;height:0pt;width:19.5pt;z-index:251703296;mso-width-relative:page;mso-height-relative:page;" o:connectortype="straight" filled="f" coordsize="21600,21600">
            <v:path arrowok="t"/>
            <v:fill on="f" focussize="0,0"/>
            <v:stroke endarrow="block"/>
            <v:imagedata o:title=""/>
            <o:lock v:ext="edit"/>
          </v:shape>
        </w:pict>
      </w:r>
      <w:r>
        <w:rPr>
          <w:rFonts w:ascii="Times New Roman" w:hAnsi="Times New Roman" w:cs="Times New Roman"/>
          <w:highlight w:val="none"/>
        </w:rPr>
        <w:pict>
          <v:rect id="_x0000_s2058" o:spid="_x0000_s2058" o:spt="1" style="position:absolute;left:0pt;margin-left:260.55pt;margin-top:317.45pt;height:26.65pt;width:55.7pt;z-index:251702272;mso-width-relative:page;mso-height-relative:page;" coordsize="21600,21600">
            <v:path/>
            <v:fill focussize="0,0"/>
            <v:stroke/>
            <v:imagedata o:title=""/>
            <o:lock v:ext="edit"/>
            <v:textbox>
              <w:txbxContent>
                <w:p w14:paraId="1EC0662F">
                  <w:pPr>
                    <w:keepNext w:val="0"/>
                    <w:keepLines w:val="0"/>
                    <w:pageBreakBefore w:val="0"/>
                    <w:widowControl w:val="0"/>
                    <w:kinsoku/>
                    <w:wordWrap w:val="0"/>
                    <w:overflowPunct/>
                    <w:topLinePunct w:val="0"/>
                    <w:bidi w:val="0"/>
                    <w:adjustRightInd w:val="0"/>
                    <w:snapToGrid w:val="0"/>
                    <w:spacing w:line="240" w:lineRule="auto"/>
                    <w:ind w:firstLine="0" w:firstLineChars="0"/>
                    <w:contextualSpacing/>
                    <w:jc w:val="center"/>
                    <w:textAlignment w:val="auto"/>
                    <w:rPr>
                      <w:sz w:val="15"/>
                      <w:szCs w:val="15"/>
                    </w:rPr>
                  </w:pPr>
                  <w:r>
                    <w:rPr>
                      <w:sz w:val="15"/>
                      <w:szCs w:val="15"/>
                    </w:rPr>
                    <w:t>热试验废气</w:t>
                  </w:r>
                  <w:r>
                    <w:rPr>
                      <w:rFonts w:hint="eastAsia"/>
                      <w:sz w:val="15"/>
                      <w:szCs w:val="15"/>
                    </w:rPr>
                    <w:t>G3</w:t>
                  </w:r>
                </w:p>
              </w:txbxContent>
            </v:textbox>
          </v:rect>
        </w:pict>
      </w:r>
      <w:r>
        <w:rPr>
          <w:rFonts w:ascii="Times New Roman" w:hAnsi="Times New Roman" w:cs="Times New Roman"/>
          <w:highlight w:val="none"/>
        </w:rPr>
        <w:pict>
          <v:rect id="_x0000_s2059" o:spid="_x0000_s2059" o:spt="1" style="position:absolute;left:0pt;margin-left:267.5pt;margin-top:386.2pt;height:70.15pt;width:101.4pt;z-index:251700224;mso-width-relative:page;mso-height-relative:page;" coordsize="21600,21600">
            <v:path/>
            <v:fill focussize="0,0"/>
            <v:stroke/>
            <v:imagedata o:title=""/>
            <o:lock v:ext="edit"/>
            <v:textbox>
              <w:txbxContent>
                <w:p w14:paraId="7E58F6E0">
                  <w:pPr>
                    <w:keepNext w:val="0"/>
                    <w:keepLines w:val="0"/>
                    <w:pageBreakBefore w:val="0"/>
                    <w:widowControl w:val="0"/>
                    <w:kinsoku/>
                    <w:wordWrap w:val="0"/>
                    <w:overflowPunct/>
                    <w:topLinePunct w:val="0"/>
                    <w:bidi w:val="0"/>
                    <w:adjustRightInd w:val="0"/>
                    <w:snapToGrid w:val="0"/>
                    <w:spacing w:line="240" w:lineRule="auto"/>
                    <w:ind w:firstLine="0" w:firstLineChars="0"/>
                    <w:jc w:val="center"/>
                    <w:textAlignment w:val="auto"/>
                    <w:rPr>
                      <w:sz w:val="18"/>
                      <w:szCs w:val="18"/>
                    </w:rPr>
                  </w:pPr>
                  <w:r>
                    <w:rPr>
                      <w:rFonts w:hint="eastAsia"/>
                      <w:sz w:val="18"/>
                      <w:szCs w:val="18"/>
                    </w:rPr>
                    <w:t>N：噪声</w:t>
                  </w:r>
                </w:p>
                <w:p w14:paraId="1C3C4257">
                  <w:pPr>
                    <w:keepNext w:val="0"/>
                    <w:keepLines w:val="0"/>
                    <w:pageBreakBefore w:val="0"/>
                    <w:widowControl w:val="0"/>
                    <w:kinsoku/>
                    <w:wordWrap w:val="0"/>
                    <w:overflowPunct/>
                    <w:topLinePunct w:val="0"/>
                    <w:bidi w:val="0"/>
                    <w:adjustRightInd w:val="0"/>
                    <w:snapToGrid w:val="0"/>
                    <w:spacing w:line="240" w:lineRule="auto"/>
                    <w:ind w:firstLine="0" w:firstLineChars="0"/>
                    <w:jc w:val="center"/>
                    <w:textAlignment w:val="auto"/>
                    <w:rPr>
                      <w:sz w:val="18"/>
                      <w:szCs w:val="18"/>
                    </w:rPr>
                  </w:pPr>
                  <w:r>
                    <w:rPr>
                      <w:rFonts w:hint="eastAsia"/>
                      <w:sz w:val="18"/>
                      <w:szCs w:val="18"/>
                    </w:rPr>
                    <w:t>G2：封口胶挥发废气</w:t>
                  </w:r>
                </w:p>
                <w:p w14:paraId="3940656D">
                  <w:pPr>
                    <w:keepNext w:val="0"/>
                    <w:keepLines w:val="0"/>
                    <w:pageBreakBefore w:val="0"/>
                    <w:widowControl w:val="0"/>
                    <w:kinsoku/>
                    <w:wordWrap w:val="0"/>
                    <w:overflowPunct/>
                    <w:topLinePunct w:val="0"/>
                    <w:bidi w:val="0"/>
                    <w:adjustRightInd w:val="0"/>
                    <w:snapToGrid w:val="0"/>
                    <w:spacing w:line="240" w:lineRule="auto"/>
                    <w:ind w:firstLine="0" w:firstLineChars="0"/>
                    <w:jc w:val="center"/>
                    <w:textAlignment w:val="auto"/>
                    <w:rPr>
                      <w:sz w:val="18"/>
                      <w:szCs w:val="18"/>
                    </w:rPr>
                  </w:pPr>
                  <w:r>
                    <w:rPr>
                      <w:rFonts w:hint="eastAsia"/>
                      <w:sz w:val="18"/>
                      <w:szCs w:val="18"/>
                    </w:rPr>
                    <w:t>G3：热试验废气</w:t>
                  </w:r>
                </w:p>
                <w:p w14:paraId="58CCD1A2">
                  <w:pPr>
                    <w:keepNext w:val="0"/>
                    <w:keepLines w:val="0"/>
                    <w:pageBreakBefore w:val="0"/>
                    <w:widowControl w:val="0"/>
                    <w:kinsoku/>
                    <w:wordWrap w:val="0"/>
                    <w:overflowPunct/>
                    <w:topLinePunct w:val="0"/>
                    <w:bidi w:val="0"/>
                    <w:adjustRightInd w:val="0"/>
                    <w:snapToGrid w:val="0"/>
                    <w:spacing w:line="240" w:lineRule="auto"/>
                    <w:ind w:firstLine="0" w:firstLineChars="0"/>
                    <w:jc w:val="center"/>
                    <w:textAlignment w:val="auto"/>
                    <w:rPr>
                      <w:sz w:val="18"/>
                      <w:szCs w:val="18"/>
                    </w:rPr>
                  </w:pPr>
                  <w:r>
                    <w:rPr>
                      <w:rFonts w:hint="eastAsia"/>
                      <w:sz w:val="18"/>
                      <w:szCs w:val="18"/>
                    </w:rPr>
                    <w:t>S4：废催化剂</w:t>
                  </w:r>
                </w:p>
              </w:txbxContent>
            </v:textbox>
          </v:rect>
        </w:pict>
      </w:r>
      <w:r>
        <w:rPr>
          <w:rFonts w:ascii="Times New Roman" w:hAnsi="Times New Roman" w:cs="Times New Roman"/>
          <w:highlight w:val="none"/>
        </w:rPr>
        <w:pict>
          <v:rect id="_x0000_s2069" o:spid="_x0000_s2069" o:spt="1" style="position:absolute;left:0pt;margin-left:252.15pt;margin-top:367.95pt;height:22.45pt;width:47.3pt;z-index:251701248;mso-width-relative:page;mso-height-relative:page;" filled="f" stroked="f" coordsize="21600,21600">
            <v:path/>
            <v:fill on="f" focussize="0,0"/>
            <v:stroke on="f"/>
            <v:imagedata o:title=""/>
            <o:lock v:ext="edit"/>
            <v:textbox>
              <w:txbxContent>
                <w:p w14:paraId="2F825219">
                  <w:pPr>
                    <w:keepNext w:val="0"/>
                    <w:keepLines w:val="0"/>
                    <w:pageBreakBefore w:val="0"/>
                    <w:widowControl w:val="0"/>
                    <w:kinsoku/>
                    <w:wordWrap w:val="0"/>
                    <w:overflowPunct/>
                    <w:topLinePunct w:val="0"/>
                    <w:bidi w:val="0"/>
                    <w:adjustRightInd w:val="0"/>
                    <w:snapToGrid w:val="0"/>
                    <w:spacing w:line="240" w:lineRule="auto"/>
                    <w:ind w:firstLine="0" w:firstLineChars="0"/>
                    <w:jc w:val="center"/>
                    <w:textAlignment w:val="auto"/>
                    <w:rPr>
                      <w:sz w:val="18"/>
                      <w:szCs w:val="18"/>
                    </w:rPr>
                  </w:pPr>
                  <w:r>
                    <w:rPr>
                      <w:rFonts w:hint="eastAsia"/>
                      <w:sz w:val="18"/>
                      <w:szCs w:val="18"/>
                    </w:rPr>
                    <w:t>N、G3</w:t>
                  </w:r>
                </w:p>
              </w:txbxContent>
            </v:textbox>
          </v:rect>
        </w:pict>
      </w:r>
      <w:r>
        <w:rPr>
          <w:rFonts w:ascii="Times New Roman" w:hAnsi="Times New Roman" w:cs="Times New Roman"/>
          <w:highlight w:val="none"/>
        </w:rPr>
        <w:pict>
          <v:shape id="_x0000_s2082" o:spid="_x0000_s2082" o:spt="32" type="#_x0000_t32" style="position:absolute;left:0pt;margin-left:234.25pt;margin-top:380.15pt;height:0pt;width:22.5pt;z-index:251699200;mso-width-relative:page;mso-height-relative:page;" o:connectortype="straight" filled="f" coordsize="21600,21600">
            <v:path arrowok="t"/>
            <v:fill on="f" focussize="0,0"/>
            <v:stroke dashstyle="dash" endarrow="block"/>
            <v:imagedata o:title=""/>
            <o:lock v:ext="edit"/>
          </v:shape>
        </w:pict>
      </w:r>
      <w:r>
        <w:rPr>
          <w:rFonts w:ascii="Times New Roman" w:hAnsi="Times New Roman" w:cs="Times New Roman"/>
          <w:highlight w:val="none"/>
        </w:rPr>
        <w:drawing>
          <wp:inline distT="0" distB="0" distL="0" distR="0">
            <wp:extent cx="4492625" cy="5720715"/>
            <wp:effectExtent l="9525" t="9525" r="12700" b="22860"/>
            <wp:docPr id="1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6"/>
                    <pic:cNvPicPr>
                      <a:picLocks noChangeAspect="1" noChangeArrowheads="1"/>
                    </pic:cNvPicPr>
                  </pic:nvPicPr>
                  <pic:blipFill>
                    <a:blip r:embed="rId37"/>
                    <a:srcRect l="50361" t="18851" r="21564" b="17802"/>
                    <a:stretch>
                      <a:fillRect/>
                    </a:stretch>
                  </pic:blipFill>
                  <pic:spPr>
                    <a:xfrm>
                      <a:off x="0" y="0"/>
                      <a:ext cx="4493158" cy="5721176"/>
                    </a:xfrm>
                    <a:prstGeom prst="rect">
                      <a:avLst/>
                    </a:prstGeom>
                    <a:noFill/>
                    <a:ln w="9525">
                      <a:solidFill>
                        <a:schemeClr val="tx1"/>
                      </a:solidFill>
                      <a:miter lim="800000"/>
                      <a:headEnd/>
                      <a:tailEnd/>
                    </a:ln>
                  </pic:spPr>
                </pic:pic>
              </a:graphicData>
            </a:graphic>
          </wp:inline>
        </w:drawing>
      </w:r>
    </w:p>
    <w:p w14:paraId="73D89A59">
      <w:pPr>
        <w:spacing w:line="360" w:lineRule="auto"/>
        <w:jc w:val="center"/>
        <w:rPr>
          <w:rFonts w:eastAsiaTheme="minorEastAsia"/>
          <w:sz w:val="24"/>
          <w:highlight w:val="none"/>
        </w:rPr>
      </w:pPr>
      <w:r>
        <w:rPr>
          <w:rFonts w:hAnsiTheme="minorEastAsia" w:eastAsiaTheme="minorEastAsia"/>
          <w:b/>
          <w:kern w:val="0"/>
          <w:sz w:val="24"/>
          <w:highlight w:val="none"/>
        </w:rPr>
        <w:t>图</w:t>
      </w:r>
      <w:r>
        <w:rPr>
          <w:rFonts w:eastAsiaTheme="minorEastAsia"/>
          <w:b/>
          <w:kern w:val="0"/>
          <w:sz w:val="24"/>
          <w:highlight w:val="none"/>
        </w:rPr>
        <w:t>3-2-3</w:t>
      </w:r>
      <w:r>
        <w:rPr>
          <w:rFonts w:hAnsiTheme="minorEastAsia" w:eastAsiaTheme="minorEastAsia"/>
          <w:b/>
          <w:kern w:val="0"/>
          <w:sz w:val="24"/>
          <w:highlight w:val="none"/>
        </w:rPr>
        <w:t>试装线</w:t>
      </w:r>
      <w:r>
        <w:rPr>
          <w:rFonts w:hAnsiTheme="minorEastAsia" w:eastAsiaTheme="minorEastAsia"/>
          <w:b/>
          <w:bCs/>
          <w:sz w:val="24"/>
          <w:highlight w:val="none"/>
        </w:rPr>
        <w:t>工艺流程图及产排污节点图</w:t>
      </w:r>
    </w:p>
    <w:p w14:paraId="6B3BD074">
      <w:pPr>
        <w:bidi w:val="0"/>
        <w:rPr>
          <w:highlight w:val="none"/>
        </w:rPr>
      </w:pPr>
      <w:r>
        <w:rPr>
          <w:highlight w:val="none"/>
        </w:rPr>
        <w:t>主要生产工序及产污环节分析：</w:t>
      </w:r>
    </w:p>
    <w:p w14:paraId="79B4675C">
      <w:pPr>
        <w:bidi w:val="0"/>
        <w:rPr>
          <w:highlight w:val="none"/>
          <w:lang w:val="zh-CN"/>
        </w:rPr>
      </w:pPr>
      <w:r>
        <w:rPr>
          <w:highlight w:val="none"/>
          <w:lang w:val="zh-CN"/>
        </w:rPr>
        <w:t>（1）曲轴装配、活塞冷却喷嘴装配、活塞连杆装配：此工序包括在缸体上装曲轴、曲轴位置传感器及活塞喷油嘴，装曲轴，测量曲轴轴向间隙，装活塞，扭矩测试，装曲轴后油封总成等。此过程产生噪声。</w:t>
      </w:r>
    </w:p>
    <w:p w14:paraId="07124013">
      <w:pPr>
        <w:bidi w:val="0"/>
        <w:rPr>
          <w:highlight w:val="none"/>
          <w:lang w:val="zh-CN"/>
        </w:rPr>
      </w:pPr>
      <w:r>
        <w:rPr>
          <w:highlight w:val="none"/>
          <w:lang w:val="zh-CN"/>
        </w:rPr>
        <w:t>（2）缸盖分总成装配：先对缸盖进行气门、弹簧及凸轴轮的安装，使用封口胶对安装好的缸盖和缸体进行密封，此过程产生噪声和封口胶挥发废气（以非甲烷总烃计）。</w:t>
      </w:r>
    </w:p>
    <w:p w14:paraId="447E7B6C">
      <w:pPr>
        <w:bidi w:val="0"/>
        <w:rPr>
          <w:highlight w:val="none"/>
          <w:lang w:val="zh-CN"/>
        </w:rPr>
      </w:pPr>
      <w:r>
        <w:rPr>
          <w:highlight w:val="none"/>
          <w:lang w:val="zh-CN"/>
        </w:rPr>
        <w:t>（3）</w:t>
      </w:r>
      <w:r>
        <w:rPr>
          <w:highlight w:val="none"/>
        </w:rPr>
        <w:t>发动机内装配：包括安装正时链条、前罩壳、润滑系统及机油盘、水泵及冷却系统等内部构造件</w:t>
      </w:r>
      <w:r>
        <w:rPr>
          <w:highlight w:val="none"/>
          <w:lang w:val="zh-CN"/>
        </w:rPr>
        <w:t>，此过程产生噪声。在安装前罩壳、</w:t>
      </w:r>
      <w:r>
        <w:rPr>
          <w:highlight w:val="none"/>
        </w:rPr>
        <w:t>滑系统及机油盘时，</w:t>
      </w:r>
      <w:r>
        <w:rPr>
          <w:highlight w:val="none"/>
          <w:lang w:val="zh-CN"/>
        </w:rPr>
        <w:t>使用封口胶对前罩壳及</w:t>
      </w:r>
      <w:r>
        <w:rPr>
          <w:highlight w:val="none"/>
        </w:rPr>
        <w:t>润滑系统及机油盘进行密封，</w:t>
      </w:r>
      <w:r>
        <w:rPr>
          <w:highlight w:val="none"/>
          <w:lang w:val="zh-CN"/>
        </w:rPr>
        <w:t>封口胶涂装方式为挤压式直涂，无需加热固化，封口胶涂抹后自然干燥，</w:t>
      </w:r>
      <w:r>
        <w:rPr>
          <w:highlight w:val="none"/>
        </w:rPr>
        <w:t>此过程产生</w:t>
      </w:r>
      <w:r>
        <w:rPr>
          <w:highlight w:val="none"/>
          <w:lang w:val="zh-CN"/>
        </w:rPr>
        <w:t>封口胶挥发废气（以非甲烷总烃计）。</w:t>
      </w:r>
    </w:p>
    <w:p w14:paraId="50B9FD9E">
      <w:pPr>
        <w:bidi w:val="0"/>
        <w:rPr>
          <w:highlight w:val="none"/>
          <w:lang w:val="zh-CN"/>
        </w:rPr>
      </w:pPr>
      <w:r>
        <w:rPr>
          <w:highlight w:val="none"/>
          <w:lang w:val="zh-CN"/>
        </w:rPr>
        <w:t>（4）</w:t>
      </w:r>
      <w:r>
        <w:rPr>
          <w:highlight w:val="none"/>
        </w:rPr>
        <w:t>发动机外装配：包括安装发动机排气系统、发动机飞轮盘、发动机进气系统、发动机外观件等外部构造件</w:t>
      </w:r>
      <w:r>
        <w:rPr>
          <w:highlight w:val="none"/>
          <w:lang w:val="zh-CN"/>
        </w:rPr>
        <w:t>，此过程产生噪声。</w:t>
      </w:r>
    </w:p>
    <w:p w14:paraId="643C6FD4">
      <w:pPr>
        <w:bidi w:val="0"/>
        <w:rPr>
          <w:highlight w:val="none"/>
          <w:lang w:val="zh-CN"/>
        </w:rPr>
      </w:pPr>
      <w:r>
        <w:rPr>
          <w:highlight w:val="none"/>
          <w:lang w:val="zh-CN"/>
        </w:rPr>
        <w:t>（5）发动机气密性试验：采用空气对发动机气密性进行检验，对于气密性严重不良工件返回重加工。此过程产生设备噪声。</w:t>
      </w:r>
    </w:p>
    <w:p w14:paraId="350BDBB2">
      <w:pPr>
        <w:bidi w:val="0"/>
        <w:rPr>
          <w:highlight w:val="none"/>
          <w:lang w:val="zh-CN"/>
        </w:rPr>
      </w:pPr>
      <w:r>
        <w:rPr>
          <w:highlight w:val="none"/>
          <w:lang w:val="zh-CN"/>
        </w:rPr>
        <w:t>（6）冷试验：采用电动机带动发动机，模拟发动机运转状态，利用传感器动态采集反映发动机性能的各项表征参数，通过系统软件的计算和分析，比对被测参数和标准状态的差异，对发动机质量进行定量判断。此过程产生设备噪声。</w:t>
      </w:r>
    </w:p>
    <w:p w14:paraId="07D3364A">
      <w:pPr>
        <w:bidi w:val="0"/>
        <w:rPr>
          <w:highlight w:val="none"/>
        </w:rPr>
      </w:pPr>
      <w:r>
        <w:rPr>
          <w:rFonts w:hint="eastAsia"/>
          <w:highlight w:val="none"/>
          <w:lang w:val="zh-CN"/>
        </w:rPr>
        <w:t>（</w:t>
      </w:r>
      <w:r>
        <w:rPr>
          <w:rFonts w:hint="eastAsia"/>
          <w:highlight w:val="none"/>
        </w:rPr>
        <w:t>7</w:t>
      </w:r>
      <w:r>
        <w:rPr>
          <w:rFonts w:hint="eastAsia"/>
          <w:highlight w:val="none"/>
          <w:lang w:val="zh-CN"/>
        </w:rPr>
        <w:t>）热试验：出厂点火试验主要检查发动机的零部件质量，装配是否有错漏装，是否漏水、漏气和漏油，以及调速和功率情况，同时检查机械异响等质量问题。此过程产生噪声、热试验尾气（非甲烷总烃、氮氧化物</w:t>
      </w:r>
      <w:r>
        <w:rPr>
          <w:rFonts w:hint="eastAsia"/>
          <w:highlight w:val="none"/>
        </w:rPr>
        <w:t>、一氧化碳、颗粒物</w:t>
      </w:r>
      <w:r>
        <w:rPr>
          <w:rFonts w:hint="eastAsia"/>
          <w:highlight w:val="none"/>
          <w:lang w:val="zh-CN"/>
        </w:rPr>
        <w:t>）</w:t>
      </w:r>
      <w:r>
        <w:rPr>
          <w:rFonts w:hint="eastAsia"/>
          <w:highlight w:val="none"/>
        </w:rPr>
        <w:t>、废机油和废润滑油。</w:t>
      </w:r>
    </w:p>
    <w:p w14:paraId="1B06D22E">
      <w:pPr>
        <w:bidi w:val="0"/>
        <w:rPr>
          <w:rFonts w:hint="eastAsia" w:eastAsia="宋体"/>
          <w:highlight w:val="none"/>
          <w:lang w:eastAsia="zh-CN"/>
        </w:rPr>
      </w:pPr>
      <w:r>
        <w:rPr>
          <w:rFonts w:hint="eastAsia"/>
          <w:highlight w:val="none"/>
        </w:rPr>
        <w:t>每台发动机热试时间约10min。利用热试台架对发动机进行点火试验，通过转速、油压、水温、油温等参数监测系统，检验规定转速下发动机是否存在三漏（漏油、漏气、漏水）及机械异响等质量问题。具体热试工艺为：</w:t>
      </w:r>
    </w:p>
    <w:p w14:paraId="114FD5CB">
      <w:pPr>
        <w:bidi w:val="0"/>
        <w:rPr>
          <w:highlight w:val="none"/>
        </w:rPr>
      </w:pPr>
      <w:r>
        <w:rPr>
          <w:rFonts w:hint="eastAsia"/>
          <w:highlight w:val="none"/>
        </w:rPr>
        <w:t>发动机试验采用带试验托盘的快速对接方式，操作者在输送线上完成循环水管路、线束、各种传感器的连接，并加注发动机润滑油，连接后带托盘的发动机自动进入各试验台，快速对接并进行试验。试验过程中自动记录并显示发动机转速、水温、机油压力、机油温度、冷却水温度等试验数据。经试验不合格的发动机返修后，根据返修情况的不同，部分发动机需重新进行试验。试验合格的发动机运至仓库。发动机总成出厂试验采用集中的燃油供应系统。发动机热试台试验区设有火灾自动报警及自动消防系统。</w:t>
      </w:r>
    </w:p>
    <w:p w14:paraId="39181101">
      <w:pPr>
        <w:bidi w:val="0"/>
        <w:rPr>
          <w:highlight w:val="none"/>
        </w:rPr>
      </w:pPr>
      <w:r>
        <w:rPr>
          <w:rFonts w:hint="eastAsia"/>
          <w:highlight w:val="none"/>
        </w:rPr>
        <w:t>汽油加注过程：汽油</w:t>
      </w:r>
      <w:r>
        <w:rPr>
          <w:rFonts w:hint="eastAsia"/>
          <w:highlight w:val="none"/>
          <w:lang w:val="zh-CN"/>
        </w:rPr>
        <w:t>通过气动隔膜泵提升汽油经管路到达热试台</w:t>
      </w:r>
      <w:r>
        <w:rPr>
          <w:rFonts w:hint="eastAsia"/>
          <w:highlight w:val="none"/>
        </w:rPr>
        <w:t>与发动机汽油管对接使用，在磨合终了时，对接管路处汽油管阀门关闭停止供油，旁通压缩空气管道阀门打开，利用压缩空气压力将发动机端汽油管中残留的汽油供给发动机使用殆尽直至自动熄火，该过程无汽油蒸发挥发排放。</w:t>
      </w:r>
    </w:p>
    <w:p w14:paraId="15E9EB5A">
      <w:pPr>
        <w:pStyle w:val="6"/>
        <w:bidi w:val="0"/>
        <w:rPr>
          <w:highlight w:val="none"/>
        </w:rPr>
      </w:pPr>
      <w:r>
        <w:rPr>
          <w:highlight w:val="none"/>
        </w:rPr>
        <w:t>3.</w:t>
      </w:r>
      <w:r>
        <w:rPr>
          <w:rFonts w:hint="eastAsia"/>
          <w:highlight w:val="none"/>
          <w:lang w:val="en-US" w:eastAsia="zh-CN"/>
        </w:rPr>
        <w:t>2</w:t>
      </w:r>
      <w:r>
        <w:rPr>
          <w:highlight w:val="none"/>
        </w:rPr>
        <w:t>.</w:t>
      </w:r>
      <w:r>
        <w:rPr>
          <w:rFonts w:hint="eastAsia"/>
          <w:highlight w:val="none"/>
        </w:rPr>
        <w:t>3</w:t>
      </w:r>
      <w:r>
        <w:rPr>
          <w:highlight w:val="none"/>
        </w:rPr>
        <w:t>.2废气污染分析</w:t>
      </w:r>
    </w:p>
    <w:p w14:paraId="57EDE701">
      <w:pPr>
        <w:bidi w:val="0"/>
        <w:rPr>
          <w:highlight w:val="none"/>
        </w:rPr>
      </w:pPr>
      <w:r>
        <w:rPr>
          <w:rFonts w:hAnsiTheme="minorEastAsia" w:eastAsiaTheme="minorEastAsia"/>
          <w:sz w:val="24"/>
          <w:highlight w:val="none"/>
        </w:rPr>
        <w:t>根据生产工艺及产排污分析，本项目主要产生机械加工湿式加工产生的油雾（以非甲烷总烃计），封口胶固化产生的挥发性有机物（以非甲烷总烃计），热试验产生的废气（氮氧化物、非甲烷总烃、一氧化碳、颗粒物）</w:t>
      </w:r>
      <w:r>
        <w:rPr>
          <w:rFonts w:hint="eastAsia" w:hAnsiTheme="minorEastAsia" w:eastAsiaTheme="minorEastAsia"/>
          <w:sz w:val="24"/>
          <w:highlight w:val="none"/>
          <w:lang w:eastAsia="zh-CN"/>
        </w:rPr>
        <w:t>，</w:t>
      </w:r>
      <w:r>
        <w:rPr>
          <w:rFonts w:hint="eastAsia"/>
          <w:highlight w:val="none"/>
          <w:lang w:val="en-US" w:eastAsia="zh-CN"/>
        </w:rPr>
        <w:t>含油金属屑收集处理产生</w:t>
      </w:r>
      <w:r>
        <w:rPr>
          <w:rFonts w:hint="default"/>
          <w:highlight w:val="none"/>
        </w:rPr>
        <w:t>油雾</w:t>
      </w:r>
      <w:r>
        <w:rPr>
          <w:rFonts w:hAnsiTheme="minorEastAsia" w:eastAsiaTheme="minorEastAsia"/>
          <w:sz w:val="24"/>
          <w:highlight w:val="none"/>
        </w:rPr>
        <w:t>（以非甲烷总烃计）</w:t>
      </w:r>
      <w:r>
        <w:rPr>
          <w:rFonts w:hint="eastAsia"/>
          <w:highlight w:val="none"/>
          <w:lang w:eastAsia="zh-CN"/>
        </w:rPr>
        <w:t>、</w:t>
      </w:r>
      <w:r>
        <w:rPr>
          <w:rFonts w:hint="eastAsia"/>
          <w:highlight w:val="none"/>
          <w:lang w:val="en-US" w:eastAsia="zh-CN"/>
        </w:rPr>
        <w:t>挥发性有机物</w:t>
      </w:r>
      <w:r>
        <w:rPr>
          <w:rFonts w:hAnsiTheme="minorEastAsia" w:eastAsiaTheme="minorEastAsia"/>
          <w:sz w:val="24"/>
          <w:highlight w:val="none"/>
        </w:rPr>
        <w:t>（以非甲烷总烃计）</w:t>
      </w:r>
      <w:r>
        <w:rPr>
          <w:rFonts w:hint="eastAsia"/>
          <w:highlight w:val="none"/>
          <w:lang w:val="en-US" w:eastAsia="zh-CN"/>
        </w:rPr>
        <w:t>、臭气浓度</w:t>
      </w:r>
      <w:r>
        <w:rPr>
          <w:highlight w:val="none"/>
        </w:rPr>
        <w:t>。</w:t>
      </w:r>
    </w:p>
    <w:p w14:paraId="224C593B">
      <w:pPr>
        <w:pStyle w:val="6"/>
        <w:bidi w:val="0"/>
        <w:rPr>
          <w:highlight w:val="none"/>
        </w:rPr>
      </w:pPr>
      <w:r>
        <w:rPr>
          <w:highlight w:val="none"/>
        </w:rPr>
        <w:t>3.</w:t>
      </w:r>
      <w:r>
        <w:rPr>
          <w:rFonts w:hint="eastAsia"/>
          <w:highlight w:val="none"/>
          <w:lang w:val="en-US" w:eastAsia="zh-CN"/>
        </w:rPr>
        <w:t>2</w:t>
      </w:r>
      <w:r>
        <w:rPr>
          <w:highlight w:val="none"/>
        </w:rPr>
        <w:t>.</w:t>
      </w:r>
      <w:r>
        <w:rPr>
          <w:rFonts w:hint="eastAsia"/>
          <w:highlight w:val="none"/>
        </w:rPr>
        <w:t>3</w:t>
      </w:r>
      <w:r>
        <w:rPr>
          <w:highlight w:val="none"/>
        </w:rPr>
        <w:t>.4噪声污染源分析</w:t>
      </w:r>
    </w:p>
    <w:p w14:paraId="4D9438E6">
      <w:pPr>
        <w:bidi w:val="0"/>
        <w:rPr>
          <w:highlight w:val="none"/>
        </w:rPr>
      </w:pPr>
      <w:r>
        <w:rPr>
          <w:highlight w:val="none"/>
        </w:rPr>
        <w:t>本项目主要噪声源为</w:t>
      </w:r>
      <w:r>
        <w:rPr>
          <w:rFonts w:hint="eastAsia"/>
          <w:highlight w:val="none"/>
          <w:lang w:val="en-US" w:eastAsia="zh-CN"/>
        </w:rPr>
        <w:t>设备运行产生噪声</w:t>
      </w:r>
      <w:r>
        <w:rPr>
          <w:highlight w:val="none"/>
        </w:rPr>
        <w:t>等。</w:t>
      </w:r>
    </w:p>
    <w:p w14:paraId="7A2DB2C8">
      <w:pPr>
        <w:pStyle w:val="6"/>
        <w:bidi w:val="0"/>
        <w:rPr>
          <w:highlight w:val="none"/>
        </w:rPr>
      </w:pPr>
      <w:r>
        <w:rPr>
          <w:highlight w:val="none"/>
        </w:rPr>
        <w:t>3.</w:t>
      </w:r>
      <w:r>
        <w:rPr>
          <w:rFonts w:hint="eastAsia"/>
          <w:highlight w:val="none"/>
          <w:lang w:val="en-US" w:eastAsia="zh-CN"/>
        </w:rPr>
        <w:t>2</w:t>
      </w:r>
      <w:r>
        <w:rPr>
          <w:highlight w:val="none"/>
        </w:rPr>
        <w:t>.</w:t>
      </w:r>
      <w:r>
        <w:rPr>
          <w:rFonts w:hint="eastAsia"/>
          <w:highlight w:val="none"/>
        </w:rPr>
        <w:t>3</w:t>
      </w:r>
      <w:r>
        <w:rPr>
          <w:highlight w:val="none"/>
        </w:rPr>
        <w:t>.5固体废物的污染分析</w:t>
      </w:r>
    </w:p>
    <w:p w14:paraId="2495F742">
      <w:pPr>
        <w:bidi w:val="0"/>
        <w:rPr>
          <w:highlight w:val="none"/>
        </w:rPr>
      </w:pPr>
      <w:r>
        <w:rPr>
          <w:highlight w:val="none"/>
        </w:rPr>
        <w:t>一般工业固体废物：机械加工线加工工序会产生</w:t>
      </w:r>
      <w:r>
        <w:rPr>
          <w:rFonts w:hint="eastAsia"/>
          <w:highlight w:val="none"/>
          <w:lang w:val="en-US" w:eastAsia="zh-CN"/>
        </w:rPr>
        <w:t>边角料、不合格品</w:t>
      </w:r>
      <w:r>
        <w:rPr>
          <w:highlight w:val="none"/>
        </w:rPr>
        <w:t>（代码：362-002-99）</w:t>
      </w:r>
      <w:r>
        <w:rPr>
          <w:rFonts w:hint="eastAsia"/>
          <w:highlight w:val="none"/>
        </w:rPr>
        <w:t>，</w:t>
      </w:r>
      <w:r>
        <w:rPr>
          <w:rFonts w:hint="eastAsia"/>
          <w:highlight w:val="none"/>
          <w:lang w:val="en-US" w:eastAsia="zh-CN"/>
        </w:rPr>
        <w:t>废包装材料</w:t>
      </w:r>
      <w:r>
        <w:rPr>
          <w:highlight w:val="none"/>
        </w:rPr>
        <w:t>（代码：362-002-99），主要为纸箱、包装袋等。</w:t>
      </w:r>
    </w:p>
    <w:p w14:paraId="338C27AB">
      <w:pPr>
        <w:bidi w:val="0"/>
        <w:rPr>
          <w:highlight w:val="none"/>
        </w:rPr>
      </w:pPr>
      <w:r>
        <w:rPr>
          <w:highlight w:val="none"/>
        </w:rPr>
        <w:t>危险废物：</w:t>
      </w:r>
      <w:r>
        <w:rPr>
          <w:rFonts w:hint="eastAsia"/>
          <w:highlight w:val="none"/>
          <w:lang w:val="en-US" w:eastAsia="zh-CN"/>
        </w:rPr>
        <w:t>含油金属屑收集处理产生的废油</w:t>
      </w:r>
      <w:r>
        <w:rPr>
          <w:rFonts w:hint="eastAsia"/>
          <w:highlight w:val="none"/>
        </w:rPr>
        <w:t>(类别:HW08，代码</w:t>
      </w:r>
      <w:r>
        <w:rPr>
          <w:highlight w:val="none"/>
        </w:rPr>
        <w:t>：</w:t>
      </w:r>
      <w:r>
        <w:rPr>
          <w:rFonts w:hint="eastAsia"/>
          <w:highlight w:val="none"/>
        </w:rPr>
        <w:t>900-249-</w:t>
      </w:r>
      <w:r>
        <w:rPr>
          <w:highlight w:val="none"/>
        </w:rPr>
        <w:t>08</w:t>
      </w:r>
      <w:r>
        <w:rPr>
          <w:rFonts w:hint="eastAsia"/>
          <w:highlight w:val="none"/>
        </w:rPr>
        <w:t>、类别</w:t>
      </w:r>
      <w:r>
        <w:rPr>
          <w:highlight w:val="none"/>
        </w:rPr>
        <w:t>：</w:t>
      </w:r>
      <w:r>
        <w:rPr>
          <w:rFonts w:hint="eastAsia"/>
          <w:highlight w:val="none"/>
        </w:rPr>
        <w:t>HW09，代码900-007-09</w:t>
      </w:r>
      <w:r>
        <w:rPr>
          <w:highlight w:val="none"/>
        </w:rPr>
        <w:t>）、机械加工和装试生产线产生的废机油（类别：HW08，代码：900-249-08）、含油抹布</w:t>
      </w:r>
      <w:r>
        <w:rPr>
          <w:rFonts w:hint="eastAsia"/>
          <w:highlight w:val="none"/>
          <w:lang w:val="en-US" w:eastAsia="zh-CN"/>
        </w:rPr>
        <w:t>及废手套</w:t>
      </w:r>
      <w:r>
        <w:rPr>
          <w:highlight w:val="none"/>
        </w:rPr>
        <w:t>（类别：HW49，代码：900-041-49）、</w:t>
      </w:r>
      <w:r>
        <w:rPr>
          <w:rFonts w:hint="eastAsia"/>
          <w:highlight w:val="none"/>
        </w:rPr>
        <w:t>化学品包装桶憎</w:t>
      </w:r>
      <w:r>
        <w:rPr>
          <w:highlight w:val="none"/>
        </w:rPr>
        <w:t>（</w:t>
      </w:r>
      <w:r>
        <w:rPr>
          <w:rFonts w:hint="eastAsia"/>
          <w:highlight w:val="none"/>
        </w:rPr>
        <w:t>类别</w:t>
      </w:r>
      <w:r>
        <w:rPr>
          <w:highlight w:val="none"/>
        </w:rPr>
        <w:t>：</w:t>
      </w:r>
      <w:r>
        <w:rPr>
          <w:rFonts w:hint="eastAsia"/>
          <w:highlight w:val="none"/>
        </w:rPr>
        <w:t>HW49，代码</w:t>
      </w:r>
      <w:r>
        <w:rPr>
          <w:highlight w:val="none"/>
        </w:rPr>
        <w:t>：</w:t>
      </w:r>
      <w:r>
        <w:rPr>
          <w:rFonts w:hint="eastAsia"/>
          <w:highlight w:val="none"/>
        </w:rPr>
        <w:t>900-041-49</w:t>
      </w:r>
      <w:r>
        <w:rPr>
          <w:highlight w:val="none"/>
        </w:rPr>
        <w:t>）</w:t>
      </w:r>
      <w:r>
        <w:rPr>
          <w:rFonts w:hint="eastAsia"/>
          <w:highlight w:val="none"/>
        </w:rPr>
        <w:t>、废胶</w:t>
      </w:r>
      <w:r>
        <w:rPr>
          <w:highlight w:val="none"/>
        </w:rPr>
        <w:t>（</w:t>
      </w:r>
      <w:r>
        <w:rPr>
          <w:rFonts w:hint="eastAsia"/>
          <w:highlight w:val="none"/>
        </w:rPr>
        <w:t>类别</w:t>
      </w:r>
      <w:r>
        <w:rPr>
          <w:highlight w:val="none"/>
        </w:rPr>
        <w:t>：</w:t>
      </w:r>
      <w:r>
        <w:rPr>
          <w:rFonts w:hint="eastAsia"/>
          <w:highlight w:val="none"/>
        </w:rPr>
        <w:t>HW49，代码</w:t>
      </w:r>
      <w:r>
        <w:rPr>
          <w:highlight w:val="none"/>
        </w:rPr>
        <w:t>：</w:t>
      </w:r>
      <w:r>
        <w:rPr>
          <w:rFonts w:hint="eastAsia"/>
          <w:highlight w:val="none"/>
        </w:rPr>
        <w:t>900-014-13</w:t>
      </w:r>
      <w:r>
        <w:rPr>
          <w:highlight w:val="none"/>
        </w:rPr>
        <w:t>）、珩磨过程产生的废油泥（类别：HW08，代码：900-200-08）、</w:t>
      </w:r>
      <w:r>
        <w:rPr>
          <w:rFonts w:hint="eastAsia"/>
          <w:highlight w:val="none"/>
          <w:lang w:val="en-US" w:eastAsia="zh-CN"/>
        </w:rPr>
        <w:t>废气处理</w:t>
      </w:r>
      <w:r>
        <w:rPr>
          <w:highlight w:val="none"/>
        </w:rPr>
        <w:t>产生的废过滤材料（类别：HW49，代码：900-041-49）和废</w:t>
      </w:r>
      <w:r>
        <w:rPr>
          <w:rFonts w:hint="eastAsia"/>
          <w:highlight w:val="none"/>
          <w:lang w:val="en-US" w:eastAsia="zh-CN"/>
        </w:rPr>
        <w:t>活性炭</w:t>
      </w:r>
      <w:r>
        <w:rPr>
          <w:highlight w:val="none"/>
        </w:rPr>
        <w:t>（类别：HW</w:t>
      </w:r>
      <w:r>
        <w:rPr>
          <w:rFonts w:hint="eastAsia"/>
          <w:highlight w:val="none"/>
          <w:lang w:val="en-US" w:eastAsia="zh-CN"/>
        </w:rPr>
        <w:t>49</w:t>
      </w:r>
      <w:r>
        <w:rPr>
          <w:highlight w:val="none"/>
        </w:rPr>
        <w:t>，代码：900-</w:t>
      </w:r>
      <w:r>
        <w:rPr>
          <w:rFonts w:hint="eastAsia"/>
          <w:highlight w:val="none"/>
          <w:lang w:val="en-US" w:eastAsia="zh-CN"/>
        </w:rPr>
        <w:t>039</w:t>
      </w:r>
      <w:r>
        <w:rPr>
          <w:highlight w:val="none"/>
        </w:rPr>
        <w:t>-</w:t>
      </w:r>
      <w:r>
        <w:rPr>
          <w:rFonts w:hint="eastAsia"/>
          <w:highlight w:val="none"/>
          <w:lang w:val="en-US" w:eastAsia="zh-CN"/>
        </w:rPr>
        <w:t>49</w:t>
      </w:r>
      <w:r>
        <w:rPr>
          <w:highlight w:val="none"/>
        </w:rPr>
        <w:t>）、废催化剂（类别：HW50，代码：900-049-50）。</w:t>
      </w:r>
    </w:p>
    <w:p w14:paraId="2FFDC334">
      <w:pPr>
        <w:pStyle w:val="6"/>
        <w:bidi w:val="0"/>
        <w:rPr>
          <w:highlight w:val="none"/>
        </w:rPr>
      </w:pPr>
      <w:r>
        <w:rPr>
          <w:highlight w:val="none"/>
        </w:rPr>
        <w:t>3.</w:t>
      </w:r>
      <w:r>
        <w:rPr>
          <w:rFonts w:hint="eastAsia"/>
          <w:highlight w:val="none"/>
          <w:lang w:val="en-US" w:eastAsia="zh-CN"/>
        </w:rPr>
        <w:t>2</w:t>
      </w:r>
      <w:r>
        <w:rPr>
          <w:highlight w:val="none"/>
        </w:rPr>
        <w:t>.</w:t>
      </w:r>
      <w:r>
        <w:rPr>
          <w:rFonts w:hint="eastAsia"/>
          <w:highlight w:val="none"/>
        </w:rPr>
        <w:t>3</w:t>
      </w:r>
      <w:r>
        <w:rPr>
          <w:highlight w:val="none"/>
        </w:rPr>
        <w:t>.6环境风险的污染分析</w:t>
      </w:r>
    </w:p>
    <w:p w14:paraId="39E1E88B">
      <w:pPr>
        <w:bidi w:val="0"/>
        <w:rPr>
          <w:highlight w:val="none"/>
        </w:rPr>
      </w:pPr>
      <w:r>
        <w:rPr>
          <w:highlight w:val="none"/>
        </w:rPr>
        <w:t>项目</w:t>
      </w:r>
      <w:r>
        <w:rPr>
          <w:rFonts w:hint="eastAsia"/>
          <w:highlight w:val="none"/>
          <w:lang w:eastAsia="zh-CN"/>
        </w:rPr>
        <w:t>涉及的</w:t>
      </w:r>
      <w:r>
        <w:rPr>
          <w:highlight w:val="none"/>
        </w:rPr>
        <w:t>物料多数为</w:t>
      </w:r>
      <w:r>
        <w:rPr>
          <w:rFonts w:hint="eastAsia"/>
          <w:highlight w:val="none"/>
          <w:lang w:val="en-US" w:eastAsia="zh-CN"/>
        </w:rPr>
        <w:t>油类物质</w:t>
      </w:r>
      <w:r>
        <w:rPr>
          <w:highlight w:val="none"/>
        </w:rPr>
        <w:t>，一旦发生事故，会对环境和人体健康造成危害，为落实《关于进一步加强环境影响评价管理防范环境风险的通知》（环发[2012]77号）的要求，采用风险识别、风险分析和后果计算等方法进行环境风险评价提出减少风险事故应急措施及应急预案，为工程设计和环境管理提供资料和依据，以达到降低环境风险的目的。</w:t>
      </w:r>
    </w:p>
    <w:p w14:paraId="2961B4FE">
      <w:pPr>
        <w:bidi w:val="0"/>
        <w:rPr>
          <w:highlight w:val="none"/>
        </w:rPr>
      </w:pPr>
      <w:bookmarkStart w:id="273" w:name="_Toc2802"/>
      <w:r>
        <w:rPr>
          <w:highlight w:val="none"/>
        </w:rPr>
        <w:t>1、风险调查</w:t>
      </w:r>
      <w:bookmarkEnd w:id="273"/>
    </w:p>
    <w:p w14:paraId="16465C1B">
      <w:pPr>
        <w:spacing w:line="360" w:lineRule="auto"/>
        <w:ind w:firstLine="480" w:firstLineChars="200"/>
        <w:rPr>
          <w:rFonts w:eastAsiaTheme="minorEastAsia"/>
          <w:sz w:val="24"/>
          <w:highlight w:val="none"/>
        </w:rPr>
      </w:pPr>
      <w:r>
        <w:rPr>
          <w:rFonts w:hAnsiTheme="minorEastAsia" w:eastAsiaTheme="minorEastAsia"/>
          <w:sz w:val="24"/>
          <w:highlight w:val="none"/>
        </w:rPr>
        <w:t>根据《建设项目环境风险评价技术导则》（</w:t>
      </w:r>
      <w:r>
        <w:rPr>
          <w:rFonts w:eastAsiaTheme="minorEastAsia"/>
          <w:sz w:val="24"/>
          <w:highlight w:val="none"/>
        </w:rPr>
        <w:t>HJ169-2018</w:t>
      </w:r>
      <w:r>
        <w:rPr>
          <w:rFonts w:hAnsiTheme="minorEastAsia" w:eastAsiaTheme="minorEastAsia"/>
          <w:sz w:val="24"/>
          <w:highlight w:val="none"/>
        </w:rPr>
        <w:t>）</w:t>
      </w:r>
      <w:r>
        <w:rPr>
          <w:rFonts w:eastAsiaTheme="minorEastAsia"/>
          <w:sz w:val="24"/>
          <w:highlight w:val="none"/>
        </w:rPr>
        <w:t>“</w:t>
      </w:r>
      <w:r>
        <w:rPr>
          <w:rFonts w:hAnsiTheme="minorEastAsia" w:eastAsiaTheme="minorEastAsia"/>
          <w:sz w:val="24"/>
          <w:highlight w:val="none"/>
        </w:rPr>
        <w:t>附录</w:t>
      </w:r>
      <w:r>
        <w:rPr>
          <w:rFonts w:eastAsiaTheme="minorEastAsia"/>
          <w:sz w:val="24"/>
          <w:highlight w:val="none"/>
        </w:rPr>
        <w:t>B</w:t>
      </w:r>
      <w:r>
        <w:rPr>
          <w:rFonts w:hAnsiTheme="minorEastAsia" w:eastAsiaTheme="minorEastAsia"/>
          <w:sz w:val="24"/>
          <w:highlight w:val="none"/>
        </w:rPr>
        <w:t>重点关注的危险物质及临界量</w:t>
      </w:r>
      <w:r>
        <w:rPr>
          <w:rFonts w:eastAsiaTheme="minorEastAsia"/>
          <w:sz w:val="24"/>
          <w:highlight w:val="none"/>
        </w:rPr>
        <w:t>”</w:t>
      </w:r>
      <w:r>
        <w:rPr>
          <w:rFonts w:hAnsiTheme="minorEastAsia" w:eastAsiaTheme="minorEastAsia"/>
          <w:sz w:val="24"/>
          <w:highlight w:val="none"/>
        </w:rPr>
        <w:t>可知，本项目所涉及的危险物质包括：机油、润滑油、封口胶、切削母液、废切削液和清洗液废水（</w:t>
      </w:r>
      <w:r>
        <w:rPr>
          <w:rFonts w:eastAsiaTheme="minorEastAsia"/>
          <w:sz w:val="24"/>
          <w:highlight w:val="none"/>
        </w:rPr>
        <w:t>COD≥10000mg/L</w:t>
      </w:r>
      <w:r>
        <w:rPr>
          <w:rFonts w:hAnsiTheme="minorEastAsia" w:eastAsiaTheme="minorEastAsia"/>
          <w:sz w:val="24"/>
          <w:highlight w:val="none"/>
        </w:rPr>
        <w:t>），本项目涂胶工序使用的封口胶，根据其产品质量报告以及对照《化学品分类和标签规范第</w:t>
      </w:r>
      <w:r>
        <w:rPr>
          <w:rFonts w:eastAsiaTheme="minorEastAsia"/>
          <w:sz w:val="24"/>
          <w:highlight w:val="none"/>
        </w:rPr>
        <w:t>18</w:t>
      </w:r>
      <w:r>
        <w:rPr>
          <w:rFonts w:hAnsiTheme="minorEastAsia" w:eastAsiaTheme="minorEastAsia"/>
          <w:sz w:val="24"/>
          <w:highlight w:val="none"/>
        </w:rPr>
        <w:t>部分：急性中毒》（</w:t>
      </w:r>
      <w:r>
        <w:rPr>
          <w:rFonts w:eastAsiaTheme="minorEastAsia"/>
          <w:sz w:val="24"/>
          <w:highlight w:val="none"/>
        </w:rPr>
        <w:t>GB30000.18-2013</w:t>
      </w:r>
      <w:r>
        <w:rPr>
          <w:rFonts w:hAnsiTheme="minorEastAsia" w:eastAsiaTheme="minorEastAsia"/>
          <w:sz w:val="24"/>
          <w:highlight w:val="none"/>
        </w:rPr>
        <w:t>），其急性毒性危害为</w:t>
      </w:r>
      <w:r>
        <w:rPr>
          <w:rFonts w:eastAsiaTheme="minorEastAsia"/>
          <w:sz w:val="24"/>
          <w:highlight w:val="none"/>
        </w:rPr>
        <w:t>3</w:t>
      </w:r>
      <w:r>
        <w:rPr>
          <w:rFonts w:hAnsiTheme="minorEastAsia" w:eastAsiaTheme="minorEastAsia"/>
          <w:sz w:val="24"/>
          <w:highlight w:val="none"/>
        </w:rPr>
        <w:t>类。</w:t>
      </w:r>
    </w:p>
    <w:p w14:paraId="3917EBAA">
      <w:pPr>
        <w:spacing w:line="360" w:lineRule="auto"/>
        <w:ind w:firstLine="480" w:firstLineChars="200"/>
        <w:rPr>
          <w:rFonts w:eastAsiaTheme="minorEastAsia"/>
          <w:sz w:val="24"/>
          <w:highlight w:val="none"/>
        </w:rPr>
      </w:pPr>
      <w:r>
        <w:rPr>
          <w:rFonts w:eastAsiaTheme="minorEastAsia"/>
          <w:sz w:val="24"/>
          <w:highlight w:val="none"/>
        </w:rPr>
        <w:t>2</w:t>
      </w:r>
      <w:r>
        <w:rPr>
          <w:rFonts w:hAnsiTheme="minorEastAsia" w:eastAsiaTheme="minorEastAsia"/>
          <w:sz w:val="24"/>
          <w:highlight w:val="none"/>
        </w:rPr>
        <w:t>、风险识别</w:t>
      </w:r>
    </w:p>
    <w:p w14:paraId="6295ED4D">
      <w:pPr>
        <w:spacing w:line="360" w:lineRule="auto"/>
        <w:ind w:firstLine="480" w:firstLineChars="200"/>
        <w:rPr>
          <w:rFonts w:eastAsiaTheme="minorEastAsia"/>
          <w:sz w:val="24"/>
          <w:highlight w:val="none"/>
        </w:rPr>
      </w:pPr>
      <w:r>
        <w:rPr>
          <w:rFonts w:hAnsiTheme="minorEastAsia" w:eastAsiaTheme="minorEastAsia"/>
          <w:sz w:val="24"/>
          <w:highlight w:val="none"/>
        </w:rPr>
        <w:t>（</w:t>
      </w:r>
      <w:r>
        <w:rPr>
          <w:rFonts w:eastAsiaTheme="minorEastAsia"/>
          <w:sz w:val="24"/>
          <w:highlight w:val="none"/>
        </w:rPr>
        <w:t>1</w:t>
      </w:r>
      <w:r>
        <w:rPr>
          <w:rFonts w:hAnsiTheme="minorEastAsia" w:eastAsiaTheme="minorEastAsia"/>
          <w:sz w:val="24"/>
          <w:highlight w:val="none"/>
        </w:rPr>
        <w:t>）物质危险性识别</w:t>
      </w:r>
    </w:p>
    <w:p w14:paraId="2520DBFB">
      <w:pPr>
        <w:spacing w:line="360" w:lineRule="auto"/>
        <w:ind w:firstLine="480" w:firstLineChars="200"/>
        <w:rPr>
          <w:rFonts w:eastAsiaTheme="minorEastAsia"/>
          <w:sz w:val="24"/>
          <w:highlight w:val="none"/>
        </w:rPr>
      </w:pPr>
      <w:r>
        <w:rPr>
          <w:rFonts w:eastAsiaTheme="minorEastAsia"/>
          <w:sz w:val="24"/>
          <w:highlight w:val="none"/>
        </w:rPr>
        <w:fldChar w:fldCharType="begin"/>
      </w:r>
      <w:r>
        <w:rPr>
          <w:rFonts w:eastAsiaTheme="minorEastAsia"/>
          <w:sz w:val="24"/>
          <w:highlight w:val="none"/>
        </w:rPr>
        <w:instrText xml:space="preserve"> = 1 \* GB3 </w:instrText>
      </w:r>
      <w:r>
        <w:rPr>
          <w:rFonts w:eastAsiaTheme="minorEastAsia"/>
          <w:sz w:val="24"/>
          <w:highlight w:val="none"/>
        </w:rPr>
        <w:fldChar w:fldCharType="separate"/>
      </w:r>
      <w:r>
        <w:rPr>
          <w:rFonts w:hAnsiTheme="minorEastAsia" w:eastAsiaTheme="minorEastAsia"/>
          <w:sz w:val="24"/>
          <w:highlight w:val="none"/>
        </w:rPr>
        <w:t>①</w:t>
      </w:r>
      <w:r>
        <w:rPr>
          <w:rFonts w:eastAsiaTheme="minorEastAsia"/>
          <w:sz w:val="24"/>
          <w:highlight w:val="none"/>
        </w:rPr>
        <w:fldChar w:fldCharType="end"/>
      </w:r>
      <w:r>
        <w:rPr>
          <w:rFonts w:hAnsiTheme="minorEastAsia" w:eastAsiaTheme="minorEastAsia"/>
          <w:sz w:val="24"/>
          <w:highlight w:val="none"/>
        </w:rPr>
        <w:t>物质识别</w:t>
      </w:r>
    </w:p>
    <w:p w14:paraId="7969F2E4">
      <w:pPr>
        <w:spacing w:line="360" w:lineRule="auto"/>
        <w:ind w:firstLine="480" w:firstLineChars="200"/>
        <w:rPr>
          <w:rFonts w:eastAsiaTheme="minorEastAsia"/>
          <w:b/>
          <w:highlight w:val="none"/>
        </w:rPr>
      </w:pPr>
      <w:r>
        <w:rPr>
          <w:rFonts w:hAnsiTheme="minorEastAsia" w:eastAsiaTheme="minorEastAsia"/>
          <w:sz w:val="24"/>
          <w:highlight w:val="none"/>
        </w:rPr>
        <w:t>本次评价通过对原辅材料、产品、生产过程排放的</w:t>
      </w:r>
      <w:r>
        <w:rPr>
          <w:rFonts w:eastAsiaTheme="minorEastAsia"/>
          <w:sz w:val="24"/>
          <w:highlight w:val="none"/>
        </w:rPr>
        <w:t>“</w:t>
      </w:r>
      <w:r>
        <w:rPr>
          <w:rFonts w:hAnsiTheme="minorEastAsia" w:eastAsiaTheme="minorEastAsia"/>
          <w:sz w:val="24"/>
          <w:highlight w:val="none"/>
        </w:rPr>
        <w:t>三废</w:t>
      </w:r>
      <w:r>
        <w:rPr>
          <w:rFonts w:eastAsiaTheme="minorEastAsia"/>
          <w:sz w:val="24"/>
          <w:highlight w:val="none"/>
        </w:rPr>
        <w:t>”</w:t>
      </w:r>
      <w:r>
        <w:rPr>
          <w:rFonts w:hAnsiTheme="minorEastAsia" w:eastAsiaTheme="minorEastAsia"/>
          <w:sz w:val="24"/>
          <w:highlight w:val="none"/>
        </w:rPr>
        <w:t>污染物及火灾、爆炸伴生</w:t>
      </w:r>
      <w:r>
        <w:rPr>
          <w:rFonts w:eastAsiaTheme="minorEastAsia"/>
          <w:sz w:val="24"/>
          <w:highlight w:val="none"/>
        </w:rPr>
        <w:t>/</w:t>
      </w:r>
      <w:r>
        <w:rPr>
          <w:rFonts w:hAnsiTheme="minorEastAsia" w:eastAsiaTheme="minorEastAsia"/>
          <w:sz w:val="24"/>
          <w:highlight w:val="none"/>
        </w:rPr>
        <w:t>次生危险物质分析，工程涉及的危险物质理化特性及毒理指标见表下</w:t>
      </w:r>
      <w:r>
        <w:rPr>
          <w:rFonts w:hAnsiTheme="minorEastAsia" w:eastAsiaTheme="minorEastAsia"/>
          <w:highlight w:val="none"/>
        </w:rPr>
        <w:t>。</w:t>
      </w:r>
    </w:p>
    <w:p w14:paraId="111BE957">
      <w:pPr>
        <w:spacing w:line="360" w:lineRule="auto"/>
        <w:jc w:val="center"/>
        <w:rPr>
          <w:rFonts w:eastAsiaTheme="minorEastAsia"/>
          <w:b/>
          <w:bCs/>
          <w:sz w:val="24"/>
          <w:highlight w:val="none"/>
        </w:rPr>
      </w:pPr>
      <w:r>
        <w:rPr>
          <w:rFonts w:hAnsiTheme="minorEastAsia" w:eastAsiaTheme="minorEastAsia"/>
          <w:b/>
          <w:bCs/>
          <w:sz w:val="24"/>
          <w:highlight w:val="none"/>
        </w:rPr>
        <w:t>表</w:t>
      </w:r>
      <w:r>
        <w:rPr>
          <w:rFonts w:eastAsiaTheme="minorEastAsia"/>
          <w:b/>
          <w:bCs/>
          <w:sz w:val="24"/>
          <w:highlight w:val="none"/>
        </w:rPr>
        <w:t>3-</w:t>
      </w:r>
      <w:r>
        <w:rPr>
          <w:rFonts w:hint="eastAsia" w:eastAsiaTheme="minorEastAsia"/>
          <w:b/>
          <w:bCs/>
          <w:sz w:val="24"/>
          <w:highlight w:val="none"/>
        </w:rPr>
        <w:t>2</w:t>
      </w:r>
      <w:r>
        <w:rPr>
          <w:rFonts w:eastAsiaTheme="minorEastAsia"/>
          <w:b/>
          <w:bCs/>
          <w:sz w:val="24"/>
          <w:highlight w:val="none"/>
        </w:rPr>
        <w:t>-</w:t>
      </w:r>
      <w:r>
        <w:rPr>
          <w:rFonts w:hint="eastAsia" w:eastAsiaTheme="minorEastAsia"/>
          <w:b/>
          <w:bCs/>
          <w:sz w:val="24"/>
          <w:highlight w:val="none"/>
        </w:rPr>
        <w:t>2</w:t>
      </w:r>
      <w:r>
        <w:rPr>
          <w:rFonts w:hAnsiTheme="minorEastAsia" w:eastAsiaTheme="minorEastAsia"/>
          <w:b/>
          <w:bCs/>
          <w:sz w:val="24"/>
          <w:highlight w:val="none"/>
        </w:rPr>
        <w:t>机油、润滑油理化性质</w:t>
      </w:r>
    </w:p>
    <w:tbl>
      <w:tblPr>
        <w:tblStyle w:val="46"/>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00"/>
        <w:gridCol w:w="1622"/>
        <w:gridCol w:w="6000"/>
      </w:tblGrid>
      <w:tr w14:paraId="58A41B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00" w:type="dxa"/>
            <w:vAlign w:val="center"/>
          </w:tcPr>
          <w:p w14:paraId="2BD38FC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名称</w:t>
            </w:r>
          </w:p>
        </w:tc>
        <w:tc>
          <w:tcPr>
            <w:tcW w:w="1622" w:type="dxa"/>
            <w:vAlign w:val="center"/>
          </w:tcPr>
          <w:p w14:paraId="77C9339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中文名称</w:t>
            </w:r>
          </w:p>
        </w:tc>
        <w:tc>
          <w:tcPr>
            <w:tcW w:w="6000" w:type="dxa"/>
            <w:vAlign w:val="center"/>
          </w:tcPr>
          <w:p w14:paraId="754E564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机油</w:t>
            </w:r>
          </w:p>
        </w:tc>
      </w:tr>
      <w:tr w14:paraId="39B20D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00" w:type="dxa"/>
            <w:vMerge w:val="restart"/>
            <w:vAlign w:val="center"/>
          </w:tcPr>
          <w:p w14:paraId="4FC5B3F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理化性质</w:t>
            </w:r>
          </w:p>
        </w:tc>
        <w:tc>
          <w:tcPr>
            <w:tcW w:w="1622" w:type="dxa"/>
            <w:vAlign w:val="center"/>
          </w:tcPr>
          <w:p w14:paraId="1AE4CBE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分子量</w:t>
            </w:r>
          </w:p>
        </w:tc>
        <w:tc>
          <w:tcPr>
            <w:tcW w:w="6000" w:type="dxa"/>
            <w:vAlign w:val="center"/>
          </w:tcPr>
          <w:p w14:paraId="0FFAC78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eastAsiaTheme="minorEastAsia"/>
                <w:bCs/>
                <w:kern w:val="0"/>
                <w:sz w:val="21"/>
                <w:szCs w:val="21"/>
                <w:highlight w:val="none"/>
              </w:rPr>
              <w:t>230-500</w:t>
            </w:r>
          </w:p>
        </w:tc>
      </w:tr>
      <w:tr w14:paraId="3B2D61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00" w:type="dxa"/>
            <w:vMerge w:val="continue"/>
            <w:vAlign w:val="center"/>
          </w:tcPr>
          <w:p w14:paraId="3FA8015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p>
        </w:tc>
        <w:tc>
          <w:tcPr>
            <w:tcW w:w="1622" w:type="dxa"/>
            <w:vAlign w:val="center"/>
          </w:tcPr>
          <w:p w14:paraId="5EC4C5B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外观与形状</w:t>
            </w:r>
          </w:p>
        </w:tc>
        <w:tc>
          <w:tcPr>
            <w:tcW w:w="6000" w:type="dxa"/>
            <w:vAlign w:val="center"/>
          </w:tcPr>
          <w:p w14:paraId="109B95B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油状液体，淡黄色至褐色，无气味或略带异味</w:t>
            </w:r>
          </w:p>
        </w:tc>
      </w:tr>
      <w:tr w14:paraId="1358D1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00" w:type="dxa"/>
            <w:vMerge w:val="continue"/>
            <w:vAlign w:val="center"/>
          </w:tcPr>
          <w:p w14:paraId="5F5C73E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p>
        </w:tc>
        <w:tc>
          <w:tcPr>
            <w:tcW w:w="1622" w:type="dxa"/>
            <w:vAlign w:val="center"/>
          </w:tcPr>
          <w:p w14:paraId="398F107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相对密度（水</w:t>
            </w:r>
            <w:r>
              <w:rPr>
                <w:rFonts w:hint="default" w:eastAsiaTheme="minorEastAsia"/>
                <w:bCs/>
                <w:kern w:val="0"/>
                <w:sz w:val="21"/>
                <w:szCs w:val="21"/>
                <w:highlight w:val="none"/>
              </w:rPr>
              <w:t>=1</w:t>
            </w:r>
            <w:r>
              <w:rPr>
                <w:rFonts w:hint="default" w:hAnsiTheme="minorEastAsia" w:eastAsiaTheme="minorEastAsia"/>
                <w:bCs/>
                <w:kern w:val="0"/>
                <w:sz w:val="21"/>
                <w:szCs w:val="21"/>
                <w:highlight w:val="none"/>
              </w:rPr>
              <w:t>）</w:t>
            </w:r>
          </w:p>
        </w:tc>
        <w:tc>
          <w:tcPr>
            <w:tcW w:w="6000" w:type="dxa"/>
            <w:vAlign w:val="center"/>
          </w:tcPr>
          <w:p w14:paraId="27DB568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eastAsiaTheme="minorEastAsia"/>
                <w:bCs/>
                <w:kern w:val="0"/>
                <w:sz w:val="21"/>
                <w:szCs w:val="21"/>
                <w:highlight w:val="none"/>
              </w:rPr>
              <w:t>0.875</w:t>
            </w:r>
          </w:p>
        </w:tc>
      </w:tr>
      <w:tr w14:paraId="77FD20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00" w:type="dxa"/>
            <w:vMerge w:val="continue"/>
            <w:vAlign w:val="center"/>
          </w:tcPr>
          <w:p w14:paraId="5A24A94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p>
        </w:tc>
        <w:tc>
          <w:tcPr>
            <w:tcW w:w="1622" w:type="dxa"/>
            <w:vAlign w:val="center"/>
          </w:tcPr>
          <w:p w14:paraId="20DA54E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凝固点（</w:t>
            </w:r>
            <w:r>
              <w:rPr>
                <w:rFonts w:hint="default" w:eastAsiaTheme="minorEastAsia"/>
                <w:bCs/>
                <w:kern w:val="0"/>
                <w:sz w:val="21"/>
                <w:szCs w:val="21"/>
                <w:highlight w:val="none"/>
              </w:rPr>
              <w:t>℃</w:t>
            </w:r>
            <w:r>
              <w:rPr>
                <w:rFonts w:hint="default" w:hAnsiTheme="minorEastAsia" w:eastAsiaTheme="minorEastAsia"/>
                <w:bCs/>
                <w:kern w:val="0"/>
                <w:sz w:val="21"/>
                <w:szCs w:val="21"/>
                <w:highlight w:val="none"/>
              </w:rPr>
              <w:t>）</w:t>
            </w:r>
          </w:p>
        </w:tc>
        <w:tc>
          <w:tcPr>
            <w:tcW w:w="6000" w:type="dxa"/>
            <w:vAlign w:val="center"/>
          </w:tcPr>
          <w:p w14:paraId="1BEFBAF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w:t>
            </w:r>
            <w:r>
              <w:rPr>
                <w:rFonts w:hint="default" w:eastAsiaTheme="minorEastAsia"/>
                <w:bCs/>
                <w:kern w:val="0"/>
                <w:sz w:val="21"/>
                <w:szCs w:val="21"/>
                <w:highlight w:val="none"/>
              </w:rPr>
              <w:t>-18</w:t>
            </w:r>
          </w:p>
        </w:tc>
      </w:tr>
      <w:tr w14:paraId="4344FE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00" w:type="dxa"/>
            <w:vMerge w:val="continue"/>
            <w:vAlign w:val="center"/>
          </w:tcPr>
          <w:p w14:paraId="5822122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p>
        </w:tc>
        <w:tc>
          <w:tcPr>
            <w:tcW w:w="1622" w:type="dxa"/>
            <w:vAlign w:val="center"/>
          </w:tcPr>
          <w:p w14:paraId="47C6851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沸点（</w:t>
            </w:r>
            <w:r>
              <w:rPr>
                <w:rFonts w:hint="default" w:eastAsiaTheme="minorEastAsia"/>
                <w:bCs/>
                <w:kern w:val="0"/>
                <w:sz w:val="21"/>
                <w:szCs w:val="21"/>
                <w:highlight w:val="none"/>
              </w:rPr>
              <w:t>℃</w:t>
            </w:r>
            <w:r>
              <w:rPr>
                <w:rFonts w:hint="default" w:hAnsiTheme="minorEastAsia" w:eastAsiaTheme="minorEastAsia"/>
                <w:bCs/>
                <w:kern w:val="0"/>
                <w:sz w:val="21"/>
                <w:szCs w:val="21"/>
                <w:highlight w:val="none"/>
              </w:rPr>
              <w:t>）</w:t>
            </w:r>
          </w:p>
        </w:tc>
        <w:tc>
          <w:tcPr>
            <w:tcW w:w="6000" w:type="dxa"/>
            <w:vAlign w:val="center"/>
          </w:tcPr>
          <w:p w14:paraId="51B9B6D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eastAsiaTheme="minorEastAsia"/>
                <w:bCs/>
                <w:kern w:val="0"/>
                <w:sz w:val="21"/>
                <w:szCs w:val="21"/>
                <w:highlight w:val="none"/>
              </w:rPr>
              <w:t>240~400</w:t>
            </w:r>
          </w:p>
        </w:tc>
      </w:tr>
      <w:tr w14:paraId="6A347F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00" w:type="dxa"/>
            <w:vMerge w:val="continue"/>
            <w:vAlign w:val="center"/>
          </w:tcPr>
          <w:p w14:paraId="46A6E44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p>
        </w:tc>
        <w:tc>
          <w:tcPr>
            <w:tcW w:w="1622" w:type="dxa"/>
            <w:vAlign w:val="center"/>
          </w:tcPr>
          <w:p w14:paraId="73F3D9A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闪点（</w:t>
            </w:r>
            <w:r>
              <w:rPr>
                <w:rFonts w:hint="default" w:eastAsiaTheme="minorEastAsia"/>
                <w:bCs/>
                <w:kern w:val="0"/>
                <w:sz w:val="21"/>
                <w:szCs w:val="21"/>
                <w:highlight w:val="none"/>
              </w:rPr>
              <w:t>℃</w:t>
            </w:r>
            <w:r>
              <w:rPr>
                <w:rFonts w:hint="default" w:hAnsiTheme="minorEastAsia" w:eastAsiaTheme="minorEastAsia"/>
                <w:bCs/>
                <w:kern w:val="0"/>
                <w:sz w:val="21"/>
                <w:szCs w:val="21"/>
                <w:highlight w:val="none"/>
              </w:rPr>
              <w:t>）</w:t>
            </w:r>
          </w:p>
        </w:tc>
        <w:tc>
          <w:tcPr>
            <w:tcW w:w="6000" w:type="dxa"/>
            <w:vAlign w:val="center"/>
          </w:tcPr>
          <w:p w14:paraId="1474E8C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eastAsiaTheme="minorEastAsia"/>
                <w:bCs/>
                <w:kern w:val="0"/>
                <w:sz w:val="21"/>
                <w:szCs w:val="21"/>
                <w:highlight w:val="none"/>
              </w:rPr>
              <w:t>76</w:t>
            </w:r>
          </w:p>
        </w:tc>
      </w:tr>
      <w:tr w14:paraId="5EF4BB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00" w:type="dxa"/>
            <w:vMerge w:val="restart"/>
            <w:vAlign w:val="center"/>
          </w:tcPr>
          <w:p w14:paraId="3B2FE73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理化性质</w:t>
            </w:r>
          </w:p>
        </w:tc>
        <w:tc>
          <w:tcPr>
            <w:tcW w:w="1622" w:type="dxa"/>
            <w:vAlign w:val="center"/>
          </w:tcPr>
          <w:p w14:paraId="7F80F95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引燃温度（</w:t>
            </w:r>
            <w:r>
              <w:rPr>
                <w:rFonts w:hint="default" w:eastAsiaTheme="minorEastAsia"/>
                <w:bCs/>
                <w:kern w:val="0"/>
                <w:sz w:val="21"/>
                <w:szCs w:val="21"/>
                <w:highlight w:val="none"/>
              </w:rPr>
              <w:t>℃</w:t>
            </w:r>
            <w:r>
              <w:rPr>
                <w:rFonts w:hint="default" w:hAnsiTheme="minorEastAsia" w:eastAsiaTheme="minorEastAsia"/>
                <w:bCs/>
                <w:kern w:val="0"/>
                <w:sz w:val="21"/>
                <w:szCs w:val="21"/>
                <w:highlight w:val="none"/>
              </w:rPr>
              <w:t>）</w:t>
            </w:r>
          </w:p>
        </w:tc>
        <w:tc>
          <w:tcPr>
            <w:tcW w:w="6000" w:type="dxa"/>
            <w:vAlign w:val="center"/>
          </w:tcPr>
          <w:p w14:paraId="2D81B4D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eastAsiaTheme="minorEastAsia"/>
                <w:bCs/>
                <w:kern w:val="0"/>
                <w:sz w:val="21"/>
                <w:szCs w:val="21"/>
                <w:highlight w:val="none"/>
              </w:rPr>
              <w:t>248</w:t>
            </w:r>
          </w:p>
        </w:tc>
      </w:tr>
      <w:tr w14:paraId="504E53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00" w:type="dxa"/>
            <w:vMerge w:val="continue"/>
            <w:vAlign w:val="center"/>
          </w:tcPr>
          <w:p w14:paraId="6D5C59C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p>
        </w:tc>
        <w:tc>
          <w:tcPr>
            <w:tcW w:w="1622" w:type="dxa"/>
            <w:vAlign w:val="center"/>
          </w:tcPr>
          <w:p w14:paraId="141153A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饱和蒸气压（</w:t>
            </w:r>
            <w:r>
              <w:rPr>
                <w:rFonts w:hint="default" w:eastAsiaTheme="minorEastAsia"/>
                <w:bCs/>
                <w:kern w:val="0"/>
                <w:sz w:val="21"/>
                <w:szCs w:val="21"/>
                <w:highlight w:val="none"/>
              </w:rPr>
              <w:t>KPa</w:t>
            </w:r>
            <w:r>
              <w:rPr>
                <w:rFonts w:hint="default" w:hAnsiTheme="minorEastAsia" w:eastAsiaTheme="minorEastAsia"/>
                <w:bCs/>
                <w:kern w:val="0"/>
                <w:sz w:val="21"/>
                <w:szCs w:val="21"/>
                <w:highlight w:val="none"/>
              </w:rPr>
              <w:t>）</w:t>
            </w:r>
          </w:p>
        </w:tc>
        <w:tc>
          <w:tcPr>
            <w:tcW w:w="6000" w:type="dxa"/>
            <w:vAlign w:val="center"/>
          </w:tcPr>
          <w:p w14:paraId="66F59C1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eastAsiaTheme="minorEastAsia"/>
                <w:bCs/>
                <w:kern w:val="0"/>
                <w:sz w:val="21"/>
                <w:szCs w:val="21"/>
                <w:highlight w:val="none"/>
              </w:rPr>
              <w:t>0.17</w:t>
            </w:r>
            <w:r>
              <w:rPr>
                <w:rFonts w:hint="default" w:hAnsiTheme="minorEastAsia" w:eastAsiaTheme="minorEastAsia"/>
                <w:bCs/>
                <w:kern w:val="0"/>
                <w:sz w:val="21"/>
                <w:szCs w:val="21"/>
                <w:highlight w:val="none"/>
              </w:rPr>
              <w:t>（</w:t>
            </w:r>
            <w:r>
              <w:rPr>
                <w:rFonts w:hint="default" w:eastAsiaTheme="minorEastAsia"/>
                <w:bCs/>
                <w:kern w:val="0"/>
                <w:sz w:val="21"/>
                <w:szCs w:val="21"/>
                <w:highlight w:val="none"/>
              </w:rPr>
              <w:t>145.8℃</w:t>
            </w:r>
            <w:r>
              <w:rPr>
                <w:rFonts w:hint="default" w:hAnsiTheme="minorEastAsia" w:eastAsiaTheme="minorEastAsia"/>
                <w:bCs/>
                <w:kern w:val="0"/>
                <w:sz w:val="21"/>
                <w:szCs w:val="21"/>
                <w:highlight w:val="none"/>
              </w:rPr>
              <w:t>）</w:t>
            </w:r>
          </w:p>
        </w:tc>
      </w:tr>
      <w:tr w14:paraId="43861F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00" w:type="dxa"/>
            <w:vMerge w:val="continue"/>
            <w:vAlign w:val="center"/>
          </w:tcPr>
          <w:p w14:paraId="684C52A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p>
        </w:tc>
        <w:tc>
          <w:tcPr>
            <w:tcW w:w="1622" w:type="dxa"/>
            <w:vAlign w:val="center"/>
          </w:tcPr>
          <w:p w14:paraId="6B4960D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溶解性</w:t>
            </w:r>
          </w:p>
        </w:tc>
        <w:tc>
          <w:tcPr>
            <w:tcW w:w="6000" w:type="dxa"/>
            <w:vAlign w:val="center"/>
          </w:tcPr>
          <w:p w14:paraId="30518C9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不溶于水</w:t>
            </w:r>
          </w:p>
        </w:tc>
      </w:tr>
      <w:tr w14:paraId="0DDC4E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00" w:type="dxa"/>
            <w:vMerge w:val="continue"/>
            <w:vAlign w:val="center"/>
          </w:tcPr>
          <w:p w14:paraId="4D7E7F1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p>
        </w:tc>
        <w:tc>
          <w:tcPr>
            <w:tcW w:w="1622" w:type="dxa"/>
            <w:vAlign w:val="center"/>
          </w:tcPr>
          <w:p w14:paraId="394A877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稳定性</w:t>
            </w:r>
          </w:p>
        </w:tc>
        <w:tc>
          <w:tcPr>
            <w:tcW w:w="6000" w:type="dxa"/>
            <w:vAlign w:val="center"/>
          </w:tcPr>
          <w:p w14:paraId="47D9158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稳定</w:t>
            </w:r>
          </w:p>
        </w:tc>
      </w:tr>
      <w:tr w14:paraId="52CFBC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00" w:type="dxa"/>
            <w:vMerge w:val="continue"/>
            <w:vAlign w:val="center"/>
          </w:tcPr>
          <w:p w14:paraId="07B0B75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p>
        </w:tc>
        <w:tc>
          <w:tcPr>
            <w:tcW w:w="1622" w:type="dxa"/>
            <w:vAlign w:val="center"/>
          </w:tcPr>
          <w:p w14:paraId="2B171E7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聚合危害</w:t>
            </w:r>
          </w:p>
        </w:tc>
        <w:tc>
          <w:tcPr>
            <w:tcW w:w="6000" w:type="dxa"/>
            <w:vAlign w:val="center"/>
          </w:tcPr>
          <w:p w14:paraId="539767F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不聚合</w:t>
            </w:r>
          </w:p>
        </w:tc>
      </w:tr>
      <w:tr w14:paraId="27F163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00" w:type="dxa"/>
            <w:vMerge w:val="restart"/>
            <w:vAlign w:val="center"/>
          </w:tcPr>
          <w:p w14:paraId="714C541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爆炸特性与消防</w:t>
            </w:r>
          </w:p>
        </w:tc>
        <w:tc>
          <w:tcPr>
            <w:tcW w:w="1622" w:type="dxa"/>
            <w:vAlign w:val="center"/>
          </w:tcPr>
          <w:p w14:paraId="6273034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燃烧分解产物</w:t>
            </w:r>
          </w:p>
        </w:tc>
        <w:tc>
          <w:tcPr>
            <w:tcW w:w="6000" w:type="dxa"/>
            <w:vAlign w:val="center"/>
          </w:tcPr>
          <w:p w14:paraId="59E9917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一氧化碳、二氧化碳</w:t>
            </w:r>
          </w:p>
        </w:tc>
      </w:tr>
      <w:tr w14:paraId="65C2EE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00" w:type="dxa"/>
            <w:vMerge w:val="continue"/>
            <w:vAlign w:val="center"/>
          </w:tcPr>
          <w:p w14:paraId="0157150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p>
        </w:tc>
        <w:tc>
          <w:tcPr>
            <w:tcW w:w="1622" w:type="dxa"/>
            <w:vAlign w:val="center"/>
          </w:tcPr>
          <w:p w14:paraId="5EEF624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燃烧性</w:t>
            </w:r>
          </w:p>
        </w:tc>
        <w:tc>
          <w:tcPr>
            <w:tcW w:w="6000" w:type="dxa"/>
            <w:vAlign w:val="center"/>
          </w:tcPr>
          <w:p w14:paraId="5682C67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可燃</w:t>
            </w:r>
          </w:p>
        </w:tc>
      </w:tr>
      <w:tr w14:paraId="04C230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00" w:type="dxa"/>
            <w:vMerge w:val="continue"/>
            <w:vAlign w:val="center"/>
          </w:tcPr>
          <w:p w14:paraId="283E41B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p>
        </w:tc>
        <w:tc>
          <w:tcPr>
            <w:tcW w:w="1622" w:type="dxa"/>
            <w:vAlign w:val="center"/>
          </w:tcPr>
          <w:p w14:paraId="2248720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禁忌物</w:t>
            </w:r>
          </w:p>
        </w:tc>
        <w:tc>
          <w:tcPr>
            <w:tcW w:w="6000" w:type="dxa"/>
            <w:vAlign w:val="center"/>
          </w:tcPr>
          <w:p w14:paraId="22E9E59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硝酸、高锰酸钾等强氧化物</w:t>
            </w:r>
          </w:p>
        </w:tc>
      </w:tr>
      <w:tr w14:paraId="4CCBD1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00" w:type="dxa"/>
            <w:vMerge w:val="continue"/>
            <w:vAlign w:val="center"/>
          </w:tcPr>
          <w:p w14:paraId="73D16F0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p>
        </w:tc>
        <w:tc>
          <w:tcPr>
            <w:tcW w:w="1622" w:type="dxa"/>
            <w:vAlign w:val="center"/>
          </w:tcPr>
          <w:p w14:paraId="67AB486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燃爆危险</w:t>
            </w:r>
          </w:p>
        </w:tc>
        <w:tc>
          <w:tcPr>
            <w:tcW w:w="6000" w:type="dxa"/>
            <w:vAlign w:val="center"/>
          </w:tcPr>
          <w:p w14:paraId="6B4B328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可燃液体，火灾危险性为丙类；遇明火、高热可燃</w:t>
            </w:r>
          </w:p>
        </w:tc>
      </w:tr>
    </w:tbl>
    <w:p w14:paraId="257DFE29">
      <w:pPr>
        <w:spacing w:line="360" w:lineRule="auto"/>
        <w:jc w:val="center"/>
        <w:rPr>
          <w:rFonts w:hAnsiTheme="minorEastAsia" w:eastAsiaTheme="minorEastAsia"/>
          <w:b/>
          <w:bCs/>
          <w:sz w:val="24"/>
          <w:highlight w:val="none"/>
        </w:rPr>
      </w:pPr>
    </w:p>
    <w:p w14:paraId="3901013D">
      <w:pPr>
        <w:spacing w:line="360" w:lineRule="auto"/>
        <w:jc w:val="center"/>
        <w:rPr>
          <w:rFonts w:hAnsiTheme="minorEastAsia" w:eastAsiaTheme="minorEastAsia"/>
          <w:b/>
          <w:bCs/>
          <w:sz w:val="24"/>
          <w:highlight w:val="none"/>
        </w:rPr>
      </w:pPr>
    </w:p>
    <w:p w14:paraId="6B55316F">
      <w:pPr>
        <w:spacing w:line="360" w:lineRule="auto"/>
        <w:jc w:val="center"/>
        <w:rPr>
          <w:rFonts w:eastAsiaTheme="minorEastAsia"/>
          <w:b/>
          <w:bCs/>
          <w:sz w:val="24"/>
          <w:highlight w:val="none"/>
        </w:rPr>
      </w:pPr>
      <w:r>
        <w:rPr>
          <w:rFonts w:hAnsiTheme="minorEastAsia" w:eastAsiaTheme="minorEastAsia"/>
          <w:b/>
          <w:bCs/>
          <w:sz w:val="24"/>
          <w:highlight w:val="none"/>
        </w:rPr>
        <w:t>续表</w:t>
      </w:r>
      <w:r>
        <w:rPr>
          <w:rFonts w:eastAsiaTheme="minorEastAsia"/>
          <w:b/>
          <w:bCs/>
          <w:sz w:val="24"/>
          <w:highlight w:val="none"/>
        </w:rPr>
        <w:t>3-</w:t>
      </w:r>
      <w:r>
        <w:rPr>
          <w:rFonts w:hint="eastAsia" w:eastAsiaTheme="minorEastAsia"/>
          <w:b/>
          <w:bCs/>
          <w:sz w:val="24"/>
          <w:highlight w:val="none"/>
        </w:rPr>
        <w:t>2</w:t>
      </w:r>
      <w:r>
        <w:rPr>
          <w:rFonts w:eastAsiaTheme="minorEastAsia"/>
          <w:b/>
          <w:bCs/>
          <w:sz w:val="24"/>
          <w:highlight w:val="none"/>
        </w:rPr>
        <w:t>-</w:t>
      </w:r>
      <w:r>
        <w:rPr>
          <w:rFonts w:hint="eastAsia" w:eastAsiaTheme="minorEastAsia"/>
          <w:b/>
          <w:bCs/>
          <w:sz w:val="24"/>
          <w:highlight w:val="none"/>
        </w:rPr>
        <w:t>2</w:t>
      </w:r>
      <w:r>
        <w:rPr>
          <w:rFonts w:hAnsiTheme="minorEastAsia" w:eastAsiaTheme="minorEastAsia"/>
          <w:b/>
          <w:bCs/>
          <w:sz w:val="24"/>
          <w:highlight w:val="none"/>
        </w:rPr>
        <w:t>机油、润滑油理化性质</w:t>
      </w:r>
    </w:p>
    <w:tbl>
      <w:tblPr>
        <w:tblStyle w:val="46"/>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00"/>
        <w:gridCol w:w="1622"/>
        <w:gridCol w:w="6000"/>
      </w:tblGrid>
      <w:tr w14:paraId="3AC6EB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00" w:type="dxa"/>
            <w:vAlign w:val="center"/>
          </w:tcPr>
          <w:p w14:paraId="34A3F3F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爆炸特性与消防</w:t>
            </w:r>
          </w:p>
        </w:tc>
        <w:tc>
          <w:tcPr>
            <w:tcW w:w="1622" w:type="dxa"/>
            <w:vAlign w:val="center"/>
          </w:tcPr>
          <w:p w14:paraId="6F6E0C3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灭火方法</w:t>
            </w:r>
          </w:p>
        </w:tc>
        <w:tc>
          <w:tcPr>
            <w:tcW w:w="6000" w:type="dxa"/>
            <w:vAlign w:val="center"/>
          </w:tcPr>
          <w:p w14:paraId="0A0E57A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消防人员须佩戴防毒面具、穿全身消防服，在上风向灭火，尽可能将容器从火场移至空旷处，喷水保持火场容器冷却，纸质灭火结束。处在火场中的容器若已变色或从安全泄压装置中产生声音，必须马上撤离</w:t>
            </w:r>
          </w:p>
          <w:p w14:paraId="4A633AF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灭火剂：雾状水、泡沫、干粉、二氧化碳、沙土</w:t>
            </w:r>
          </w:p>
        </w:tc>
      </w:tr>
      <w:tr w14:paraId="5722ED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900" w:type="dxa"/>
            <w:vMerge w:val="restart"/>
            <w:vAlign w:val="center"/>
          </w:tcPr>
          <w:p w14:paraId="50870D9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健康危害</w:t>
            </w:r>
          </w:p>
        </w:tc>
        <w:tc>
          <w:tcPr>
            <w:tcW w:w="1622" w:type="dxa"/>
            <w:tcBorders>
              <w:right w:val="single" w:color="auto" w:sz="2" w:space="0"/>
            </w:tcBorders>
            <w:vAlign w:val="center"/>
          </w:tcPr>
          <w:p w14:paraId="1296771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急性毒性</w:t>
            </w:r>
          </w:p>
        </w:tc>
        <w:tc>
          <w:tcPr>
            <w:tcW w:w="6000" w:type="dxa"/>
            <w:tcBorders>
              <w:left w:val="single" w:color="auto" w:sz="2" w:space="0"/>
            </w:tcBorders>
            <w:vAlign w:val="center"/>
          </w:tcPr>
          <w:p w14:paraId="26253F4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kern w:val="0"/>
                <w:sz w:val="21"/>
                <w:szCs w:val="21"/>
                <w:highlight w:val="none"/>
              </w:rPr>
              <w:t>无资料</w:t>
            </w:r>
          </w:p>
        </w:tc>
      </w:tr>
      <w:tr w14:paraId="5104F1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900" w:type="dxa"/>
            <w:vMerge w:val="continue"/>
            <w:vAlign w:val="center"/>
          </w:tcPr>
          <w:p w14:paraId="76B43C4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p>
        </w:tc>
        <w:tc>
          <w:tcPr>
            <w:tcW w:w="7622" w:type="dxa"/>
            <w:gridSpan w:val="2"/>
            <w:vAlign w:val="center"/>
          </w:tcPr>
          <w:p w14:paraId="3CF9C5E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急性吸入，可出现乏力、头晕、头痛、恶心、严重者可引起油脂性肺炎。慢性接触者，暴露部位可发生油性痤疮和接触性皮炎。可引起神经衰弱综合症，呼吸道和刺激症状及慢性油脂性肺炎。</w:t>
            </w:r>
          </w:p>
        </w:tc>
      </w:tr>
      <w:tr w14:paraId="7444F2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900" w:type="dxa"/>
            <w:vAlign w:val="center"/>
          </w:tcPr>
          <w:p w14:paraId="637EFB5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急救</w:t>
            </w:r>
          </w:p>
        </w:tc>
        <w:tc>
          <w:tcPr>
            <w:tcW w:w="7622" w:type="dxa"/>
            <w:gridSpan w:val="2"/>
            <w:vAlign w:val="center"/>
          </w:tcPr>
          <w:p w14:paraId="157F7F4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皮肤接触：立即脱去被污染的衣着，用大量清水冲洗；</w:t>
            </w:r>
          </w:p>
          <w:p w14:paraId="43D7F66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眼睛接触：立即提起眼睑，用大量流动清水或生理盐水冲洗，就医；</w:t>
            </w:r>
          </w:p>
          <w:p w14:paraId="47257F2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吸入：迅速脱离现场至空气新鲜处，保持呼吸道通畅，如呼吸困难，给输氧；如呼吸停止，立即进行人工呼吸，就医；</w:t>
            </w:r>
          </w:p>
          <w:p w14:paraId="53E1119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食入：饮足量温水，催吐，就医。</w:t>
            </w:r>
          </w:p>
        </w:tc>
      </w:tr>
    </w:tbl>
    <w:p w14:paraId="44585694">
      <w:pPr>
        <w:spacing w:line="360" w:lineRule="auto"/>
        <w:jc w:val="center"/>
        <w:rPr>
          <w:rFonts w:eastAsiaTheme="minorEastAsia"/>
          <w:bCs/>
          <w:sz w:val="24"/>
          <w:highlight w:val="none"/>
        </w:rPr>
      </w:pPr>
      <w:r>
        <w:rPr>
          <w:rFonts w:hAnsiTheme="minorEastAsia" w:eastAsiaTheme="minorEastAsia"/>
          <w:b/>
          <w:sz w:val="24"/>
          <w:highlight w:val="none"/>
        </w:rPr>
        <w:t>表</w:t>
      </w:r>
      <w:r>
        <w:rPr>
          <w:rFonts w:eastAsiaTheme="minorEastAsia"/>
          <w:b/>
          <w:sz w:val="24"/>
          <w:highlight w:val="none"/>
        </w:rPr>
        <w:t>3-2-</w:t>
      </w:r>
      <w:r>
        <w:rPr>
          <w:rFonts w:hint="eastAsia" w:eastAsiaTheme="minorEastAsia"/>
          <w:b/>
          <w:sz w:val="24"/>
          <w:highlight w:val="none"/>
        </w:rPr>
        <w:t>3</w:t>
      </w:r>
      <w:r>
        <w:rPr>
          <w:rFonts w:hAnsiTheme="minorEastAsia" w:eastAsiaTheme="minorEastAsia"/>
          <w:b/>
          <w:sz w:val="24"/>
          <w:highlight w:val="none"/>
        </w:rPr>
        <w:t>切削液、封口胶理化性质及危险性</w:t>
      </w:r>
    </w:p>
    <w:tbl>
      <w:tblPr>
        <w:tblStyle w:val="4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67"/>
        <w:gridCol w:w="872"/>
        <w:gridCol w:w="781"/>
        <w:gridCol w:w="2559"/>
        <w:gridCol w:w="2742"/>
        <w:gridCol w:w="901"/>
      </w:tblGrid>
      <w:tr w14:paraId="4D74799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67" w:type="dxa"/>
            <w:tcBorders>
              <w:tl2br w:val="nil"/>
              <w:tr2bl w:val="nil"/>
            </w:tcBorders>
            <w:vAlign w:val="center"/>
          </w:tcPr>
          <w:p w14:paraId="0BFDA16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bCs/>
                <w:kern w:val="0"/>
                <w:sz w:val="21"/>
                <w:szCs w:val="21"/>
                <w:highlight w:val="none"/>
              </w:rPr>
            </w:pPr>
            <w:r>
              <w:rPr>
                <w:rFonts w:hint="default" w:hAnsiTheme="minorEastAsia" w:eastAsiaTheme="minorEastAsia"/>
                <w:bCs/>
                <w:kern w:val="0"/>
                <w:sz w:val="21"/>
                <w:szCs w:val="21"/>
                <w:highlight w:val="none"/>
              </w:rPr>
              <w:t>序号</w:t>
            </w:r>
          </w:p>
        </w:tc>
        <w:tc>
          <w:tcPr>
            <w:tcW w:w="872" w:type="dxa"/>
            <w:tcBorders>
              <w:tl2br w:val="nil"/>
              <w:tr2bl w:val="nil"/>
            </w:tcBorders>
            <w:vAlign w:val="center"/>
          </w:tcPr>
          <w:p w14:paraId="510F389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bCs/>
                <w:kern w:val="0"/>
                <w:sz w:val="21"/>
                <w:szCs w:val="21"/>
                <w:highlight w:val="none"/>
              </w:rPr>
            </w:pPr>
            <w:r>
              <w:rPr>
                <w:rFonts w:hint="default" w:hAnsiTheme="minorEastAsia" w:eastAsiaTheme="minorEastAsia"/>
                <w:bCs/>
                <w:kern w:val="0"/>
                <w:sz w:val="21"/>
                <w:szCs w:val="21"/>
                <w:highlight w:val="none"/>
              </w:rPr>
              <w:t>名称</w:t>
            </w:r>
          </w:p>
        </w:tc>
        <w:tc>
          <w:tcPr>
            <w:tcW w:w="781" w:type="dxa"/>
            <w:tcBorders>
              <w:tl2br w:val="nil"/>
              <w:tr2bl w:val="nil"/>
            </w:tcBorders>
            <w:vAlign w:val="center"/>
          </w:tcPr>
          <w:p w14:paraId="59ABDAD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bCs/>
                <w:kern w:val="0"/>
                <w:sz w:val="21"/>
                <w:szCs w:val="21"/>
                <w:highlight w:val="none"/>
              </w:rPr>
            </w:pPr>
            <w:r>
              <w:rPr>
                <w:rFonts w:hint="default" w:hAnsiTheme="minorEastAsia" w:eastAsiaTheme="minorEastAsia"/>
                <w:bCs/>
                <w:kern w:val="0"/>
                <w:sz w:val="21"/>
                <w:szCs w:val="21"/>
                <w:highlight w:val="none"/>
              </w:rPr>
              <w:t>毒性鉴别</w:t>
            </w:r>
          </w:p>
        </w:tc>
        <w:tc>
          <w:tcPr>
            <w:tcW w:w="2559" w:type="dxa"/>
            <w:tcBorders>
              <w:tl2br w:val="nil"/>
              <w:tr2bl w:val="nil"/>
            </w:tcBorders>
            <w:vAlign w:val="center"/>
          </w:tcPr>
          <w:p w14:paraId="2CF4415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bCs/>
                <w:kern w:val="0"/>
                <w:sz w:val="21"/>
                <w:szCs w:val="21"/>
                <w:highlight w:val="none"/>
              </w:rPr>
            </w:pPr>
            <w:r>
              <w:rPr>
                <w:rFonts w:hint="default" w:hAnsiTheme="minorEastAsia" w:eastAsiaTheme="minorEastAsia"/>
                <w:bCs/>
                <w:kern w:val="0"/>
                <w:sz w:val="21"/>
                <w:szCs w:val="21"/>
                <w:highlight w:val="none"/>
              </w:rPr>
              <w:t>理化性质</w:t>
            </w:r>
          </w:p>
        </w:tc>
        <w:tc>
          <w:tcPr>
            <w:tcW w:w="2742" w:type="dxa"/>
            <w:tcBorders>
              <w:tl2br w:val="nil"/>
              <w:tr2bl w:val="nil"/>
            </w:tcBorders>
            <w:vAlign w:val="center"/>
          </w:tcPr>
          <w:p w14:paraId="15BF271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bCs/>
                <w:kern w:val="0"/>
                <w:sz w:val="21"/>
                <w:szCs w:val="21"/>
                <w:highlight w:val="none"/>
              </w:rPr>
            </w:pPr>
            <w:r>
              <w:rPr>
                <w:rFonts w:hint="default" w:hAnsiTheme="minorEastAsia" w:eastAsiaTheme="minorEastAsia"/>
                <w:bCs/>
                <w:kern w:val="0"/>
                <w:sz w:val="21"/>
                <w:szCs w:val="21"/>
                <w:highlight w:val="none"/>
              </w:rPr>
              <w:t>危险特性</w:t>
            </w:r>
          </w:p>
        </w:tc>
        <w:tc>
          <w:tcPr>
            <w:tcW w:w="901" w:type="dxa"/>
            <w:tcBorders>
              <w:tl2br w:val="nil"/>
              <w:tr2bl w:val="nil"/>
            </w:tcBorders>
            <w:vAlign w:val="center"/>
          </w:tcPr>
          <w:p w14:paraId="7163787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bCs/>
                <w:kern w:val="0"/>
                <w:sz w:val="21"/>
                <w:szCs w:val="21"/>
                <w:highlight w:val="none"/>
              </w:rPr>
            </w:pPr>
            <w:r>
              <w:rPr>
                <w:rFonts w:hint="default" w:hAnsiTheme="minorEastAsia" w:eastAsiaTheme="minorEastAsia"/>
                <w:bCs/>
                <w:kern w:val="0"/>
                <w:sz w:val="21"/>
                <w:szCs w:val="21"/>
                <w:highlight w:val="none"/>
              </w:rPr>
              <w:t>毒理指标</w:t>
            </w:r>
          </w:p>
        </w:tc>
      </w:tr>
      <w:tr w14:paraId="3923AB3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67" w:type="dxa"/>
            <w:tcBorders>
              <w:tl2br w:val="nil"/>
              <w:tr2bl w:val="nil"/>
            </w:tcBorders>
            <w:vAlign w:val="center"/>
          </w:tcPr>
          <w:p w14:paraId="65C584F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bCs/>
                <w:kern w:val="0"/>
                <w:sz w:val="21"/>
                <w:szCs w:val="21"/>
                <w:highlight w:val="none"/>
              </w:rPr>
            </w:pPr>
            <w:r>
              <w:rPr>
                <w:rFonts w:hint="default" w:hAnsiTheme="minorEastAsia" w:eastAsiaTheme="minorEastAsia"/>
                <w:bCs/>
                <w:kern w:val="0"/>
                <w:sz w:val="21"/>
                <w:szCs w:val="21"/>
                <w:highlight w:val="none"/>
              </w:rPr>
              <w:t>1</w:t>
            </w:r>
          </w:p>
        </w:tc>
        <w:tc>
          <w:tcPr>
            <w:tcW w:w="872" w:type="dxa"/>
            <w:tcBorders>
              <w:tl2br w:val="nil"/>
              <w:tr2bl w:val="nil"/>
            </w:tcBorders>
            <w:vAlign w:val="center"/>
          </w:tcPr>
          <w:p w14:paraId="4493EAC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bCs/>
                <w:kern w:val="0"/>
                <w:sz w:val="21"/>
                <w:szCs w:val="21"/>
                <w:highlight w:val="none"/>
              </w:rPr>
            </w:pPr>
            <w:r>
              <w:rPr>
                <w:rFonts w:hint="default" w:hAnsiTheme="minorEastAsia" w:eastAsiaTheme="minorEastAsia"/>
                <w:bCs/>
                <w:kern w:val="0"/>
                <w:sz w:val="21"/>
                <w:szCs w:val="21"/>
                <w:highlight w:val="none"/>
              </w:rPr>
              <w:t>切削液母液</w:t>
            </w:r>
          </w:p>
        </w:tc>
        <w:tc>
          <w:tcPr>
            <w:tcW w:w="781" w:type="dxa"/>
            <w:tcBorders>
              <w:tl2br w:val="nil"/>
              <w:tr2bl w:val="nil"/>
            </w:tcBorders>
            <w:vAlign w:val="center"/>
          </w:tcPr>
          <w:p w14:paraId="331FB09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bCs/>
                <w:kern w:val="0"/>
                <w:sz w:val="21"/>
                <w:szCs w:val="21"/>
                <w:highlight w:val="none"/>
              </w:rPr>
            </w:pPr>
            <w:r>
              <w:rPr>
                <w:rFonts w:hint="default" w:hAnsiTheme="minorEastAsia" w:eastAsiaTheme="minorEastAsia"/>
                <w:bCs/>
                <w:kern w:val="0"/>
                <w:sz w:val="21"/>
                <w:szCs w:val="21"/>
                <w:highlight w:val="none"/>
              </w:rPr>
              <w:t>可燃</w:t>
            </w:r>
          </w:p>
        </w:tc>
        <w:tc>
          <w:tcPr>
            <w:tcW w:w="2559" w:type="dxa"/>
            <w:tcBorders>
              <w:tl2br w:val="nil"/>
              <w:tr2bl w:val="nil"/>
            </w:tcBorders>
            <w:vAlign w:val="center"/>
          </w:tcPr>
          <w:p w14:paraId="3A89112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bCs/>
                <w:kern w:val="0"/>
                <w:sz w:val="21"/>
                <w:szCs w:val="21"/>
                <w:highlight w:val="none"/>
              </w:rPr>
            </w:pPr>
            <w:r>
              <w:rPr>
                <w:rFonts w:hint="default" w:hAnsiTheme="minorEastAsia" w:eastAsiaTheme="minorEastAsia"/>
                <w:bCs/>
                <w:kern w:val="0"/>
                <w:sz w:val="21"/>
                <w:szCs w:val="21"/>
                <w:highlight w:val="none"/>
              </w:rPr>
              <w:t>含有特定的脂肪衍生物，以及抗氧、防锈、抗磨极压、阻燃等添加剂与高精炼矿物油调配而成的，黄色透明液体，主要成分为矿物油，密度0.95~0.99g/cm3，pH8.0~10.0，消泡性≤2ml，表面张力≤30dyn/cm，闪点115℃</w:t>
            </w:r>
          </w:p>
        </w:tc>
        <w:tc>
          <w:tcPr>
            <w:tcW w:w="2742" w:type="dxa"/>
            <w:tcBorders>
              <w:tl2br w:val="nil"/>
              <w:tr2bl w:val="nil"/>
            </w:tcBorders>
            <w:vAlign w:val="center"/>
          </w:tcPr>
          <w:p w14:paraId="1835596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bCs/>
                <w:kern w:val="0"/>
                <w:sz w:val="21"/>
                <w:szCs w:val="21"/>
                <w:highlight w:val="none"/>
              </w:rPr>
            </w:pPr>
            <w:r>
              <w:rPr>
                <w:rFonts w:hint="default" w:hAnsiTheme="minorEastAsia" w:eastAsiaTheme="minorEastAsia"/>
                <w:bCs/>
                <w:kern w:val="0"/>
                <w:sz w:val="21"/>
                <w:szCs w:val="21"/>
                <w:highlight w:val="none"/>
              </w:rPr>
              <w:t>遇阳光直射、高温烘烤、火焰及强氧化剂接触，有引起燃烧爆炸的危险；长期接触可引起皮炎；油基切削的雾化会使操作环境恶化，损伤人的呼吸器官</w:t>
            </w:r>
          </w:p>
        </w:tc>
        <w:tc>
          <w:tcPr>
            <w:tcW w:w="901" w:type="dxa"/>
            <w:tcBorders>
              <w:tl2br w:val="nil"/>
              <w:tr2bl w:val="nil"/>
            </w:tcBorders>
            <w:vAlign w:val="center"/>
          </w:tcPr>
          <w:p w14:paraId="4E6D762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bCs/>
                <w:kern w:val="0"/>
                <w:sz w:val="21"/>
                <w:szCs w:val="21"/>
                <w:highlight w:val="none"/>
              </w:rPr>
            </w:pPr>
            <w:r>
              <w:rPr>
                <w:rFonts w:hint="default" w:hAnsiTheme="minorEastAsia" w:eastAsiaTheme="minorEastAsia"/>
                <w:bCs/>
                <w:kern w:val="0"/>
                <w:sz w:val="21"/>
                <w:szCs w:val="21"/>
                <w:highlight w:val="none"/>
              </w:rPr>
              <w:t>/</w:t>
            </w:r>
          </w:p>
        </w:tc>
      </w:tr>
      <w:tr w14:paraId="158C5A8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67" w:type="dxa"/>
            <w:tcBorders>
              <w:tl2br w:val="nil"/>
              <w:tr2bl w:val="nil"/>
            </w:tcBorders>
            <w:vAlign w:val="center"/>
          </w:tcPr>
          <w:p w14:paraId="20D95F3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bCs/>
                <w:kern w:val="0"/>
                <w:sz w:val="21"/>
                <w:szCs w:val="21"/>
                <w:highlight w:val="none"/>
              </w:rPr>
            </w:pPr>
            <w:r>
              <w:rPr>
                <w:rFonts w:hint="default" w:hAnsiTheme="minorEastAsia" w:eastAsiaTheme="minorEastAsia"/>
                <w:bCs/>
                <w:kern w:val="0"/>
                <w:sz w:val="21"/>
                <w:szCs w:val="21"/>
                <w:highlight w:val="none"/>
              </w:rPr>
              <w:t>2</w:t>
            </w:r>
          </w:p>
        </w:tc>
        <w:tc>
          <w:tcPr>
            <w:tcW w:w="872" w:type="dxa"/>
            <w:tcBorders>
              <w:tl2br w:val="nil"/>
              <w:tr2bl w:val="nil"/>
            </w:tcBorders>
            <w:vAlign w:val="center"/>
          </w:tcPr>
          <w:p w14:paraId="11E7FC5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bCs/>
                <w:kern w:val="0"/>
                <w:sz w:val="21"/>
                <w:szCs w:val="21"/>
                <w:highlight w:val="none"/>
              </w:rPr>
            </w:pPr>
            <w:r>
              <w:rPr>
                <w:rFonts w:hint="default" w:hAnsiTheme="minorEastAsia" w:eastAsiaTheme="minorEastAsia"/>
                <w:bCs/>
                <w:kern w:val="0"/>
                <w:sz w:val="21"/>
                <w:szCs w:val="21"/>
                <w:highlight w:val="none"/>
              </w:rPr>
              <w:t>封口胶</w:t>
            </w:r>
          </w:p>
        </w:tc>
        <w:tc>
          <w:tcPr>
            <w:tcW w:w="781" w:type="dxa"/>
            <w:tcBorders>
              <w:tl2br w:val="nil"/>
              <w:tr2bl w:val="nil"/>
            </w:tcBorders>
            <w:vAlign w:val="center"/>
          </w:tcPr>
          <w:p w14:paraId="4F4F8BC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bCs/>
                <w:kern w:val="0"/>
                <w:sz w:val="21"/>
                <w:szCs w:val="21"/>
                <w:highlight w:val="none"/>
              </w:rPr>
            </w:pPr>
            <w:r>
              <w:rPr>
                <w:rFonts w:hint="default" w:hAnsiTheme="minorEastAsia" w:eastAsiaTheme="minorEastAsia"/>
                <w:bCs/>
                <w:kern w:val="0"/>
                <w:sz w:val="21"/>
                <w:szCs w:val="21"/>
                <w:highlight w:val="none"/>
              </w:rPr>
              <w:t>健康危险急性毒性物质（类别3）</w:t>
            </w:r>
          </w:p>
        </w:tc>
        <w:tc>
          <w:tcPr>
            <w:tcW w:w="2559" w:type="dxa"/>
            <w:tcBorders>
              <w:tl2br w:val="nil"/>
              <w:tr2bl w:val="nil"/>
            </w:tcBorders>
            <w:vAlign w:val="center"/>
          </w:tcPr>
          <w:p w14:paraId="17A163C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bCs/>
                <w:kern w:val="0"/>
                <w:sz w:val="21"/>
                <w:szCs w:val="21"/>
                <w:highlight w:val="none"/>
              </w:rPr>
            </w:pPr>
            <w:r>
              <w:rPr>
                <w:rFonts w:hint="default" w:hAnsiTheme="minorEastAsia" w:eastAsiaTheme="minorEastAsia"/>
                <w:bCs/>
                <w:kern w:val="0"/>
                <w:sz w:val="21"/>
                <w:szCs w:val="21"/>
                <w:highlight w:val="none"/>
              </w:rPr>
              <w:t>主要成分为碳酸钙、末端是羟基的聚二甲基硅氧烷，末端是二甲基的聚二甲基硅氧烷等，外观为黑色膏体，具有轻微气味，pH为7~8，与水接触发生聚合反应，密度1.31，在70°F下，蒸汽压力小于5mmHg，蒸汽密度3.0，稳定性强，不会发生危险性聚合，属于强氧化剂，与湿气接触会发生聚合</w:t>
            </w:r>
          </w:p>
        </w:tc>
        <w:tc>
          <w:tcPr>
            <w:tcW w:w="2742" w:type="dxa"/>
            <w:tcBorders>
              <w:tl2br w:val="nil"/>
              <w:tr2bl w:val="nil"/>
            </w:tcBorders>
            <w:vAlign w:val="center"/>
          </w:tcPr>
          <w:p w14:paraId="4C7A40E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bCs/>
                <w:kern w:val="0"/>
                <w:sz w:val="21"/>
                <w:szCs w:val="21"/>
                <w:highlight w:val="none"/>
              </w:rPr>
            </w:pPr>
            <w:r>
              <w:rPr>
                <w:rFonts w:hint="default" w:hAnsiTheme="minorEastAsia" w:eastAsiaTheme="minorEastAsia"/>
                <w:bCs/>
                <w:kern w:val="0"/>
                <w:sz w:val="21"/>
                <w:szCs w:val="21"/>
                <w:highlight w:val="none"/>
              </w:rPr>
              <w:t>刺激眼睛和皮肤，由口摄入后中度中毒，当在空气中加热到温度高于300°F（150°C）时，本产品会产生甲醛蒸汽，甲醛具有潜在的致癌危险，是一种已知的批复和呼吸道致敏剂，蒸汽刺激眼睛，鼻子或喉咙，对甲醛来说，安全的操作条件是要保持蒸汽浓度低于OSHA允许的界限。主要侵入途径为皮肤、吸入、摄入、固化过程中产生出来的甲基乙基酮肟是有毒的，会造成眼睛、鼻子、喉咙刺痛</w:t>
            </w:r>
          </w:p>
        </w:tc>
        <w:tc>
          <w:tcPr>
            <w:tcW w:w="901" w:type="dxa"/>
            <w:tcBorders>
              <w:tl2br w:val="nil"/>
              <w:tr2bl w:val="nil"/>
            </w:tcBorders>
            <w:vAlign w:val="center"/>
          </w:tcPr>
          <w:p w14:paraId="795FB1A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bCs/>
                <w:kern w:val="0"/>
                <w:sz w:val="21"/>
                <w:szCs w:val="21"/>
                <w:highlight w:val="none"/>
              </w:rPr>
            </w:pPr>
            <w:r>
              <w:rPr>
                <w:rFonts w:hint="default" w:hAnsiTheme="minorEastAsia" w:eastAsiaTheme="minorEastAsia"/>
                <w:bCs/>
                <w:kern w:val="0"/>
                <w:sz w:val="21"/>
                <w:szCs w:val="21"/>
                <w:highlight w:val="none"/>
              </w:rPr>
              <w:t>/</w:t>
            </w:r>
          </w:p>
        </w:tc>
      </w:tr>
    </w:tbl>
    <w:p w14:paraId="35A1C4E4">
      <w:pPr>
        <w:spacing w:line="360" w:lineRule="auto"/>
        <w:ind w:firstLine="480" w:firstLineChars="200"/>
        <w:contextualSpacing/>
        <w:rPr>
          <w:rFonts w:eastAsiaTheme="minorEastAsia"/>
          <w:sz w:val="24"/>
          <w:highlight w:val="none"/>
        </w:rPr>
      </w:pPr>
      <w:r>
        <w:rPr>
          <w:rFonts w:hAnsiTheme="minorEastAsia" w:eastAsiaTheme="minorEastAsia"/>
          <w:sz w:val="24"/>
          <w:highlight w:val="none"/>
        </w:rPr>
        <w:t>（</w:t>
      </w:r>
      <w:r>
        <w:rPr>
          <w:rFonts w:eastAsiaTheme="minorEastAsia"/>
          <w:sz w:val="24"/>
          <w:highlight w:val="none"/>
        </w:rPr>
        <w:t>2</w:t>
      </w:r>
      <w:r>
        <w:rPr>
          <w:rFonts w:hAnsiTheme="minorEastAsia" w:eastAsiaTheme="minorEastAsia"/>
          <w:sz w:val="24"/>
          <w:highlight w:val="none"/>
        </w:rPr>
        <w:t>）识别结果</w:t>
      </w:r>
    </w:p>
    <w:p w14:paraId="0231A404">
      <w:pPr>
        <w:pStyle w:val="3"/>
        <w:bidi w:val="0"/>
        <w:rPr>
          <w:rFonts w:hint="eastAsia" w:hAnsiTheme="minorEastAsia" w:eastAsiaTheme="minorEastAsia"/>
          <w:sz w:val="24"/>
          <w:highlight w:val="none"/>
          <w:lang w:val="en-US" w:eastAsia="zh-CN"/>
        </w:rPr>
      </w:pPr>
      <w:r>
        <w:rPr>
          <w:rFonts w:hAnsiTheme="minorEastAsia" w:eastAsiaTheme="minorEastAsia"/>
          <w:sz w:val="24"/>
          <w:highlight w:val="none"/>
        </w:rPr>
        <w:t>根据以上物质危险特性，参照《建设项目环境风险评价技术导则》（</w:t>
      </w:r>
      <w:r>
        <w:rPr>
          <w:rFonts w:eastAsiaTheme="minorEastAsia"/>
          <w:sz w:val="24"/>
          <w:highlight w:val="none"/>
        </w:rPr>
        <w:t>HJ169-2018</w:t>
      </w:r>
      <w:r>
        <w:rPr>
          <w:rFonts w:hAnsiTheme="minorEastAsia" w:eastAsiaTheme="minorEastAsia"/>
          <w:sz w:val="24"/>
          <w:highlight w:val="none"/>
        </w:rPr>
        <w:t>）中物质危险性标准分类原则，本项目所涉及的物质属于可燃和易燃物质（矿物油类，如石油、汽油、柴油等；生物柴油等）、有毒有害物质，根据原辅材料消耗表，本项目油类物质（润滑油、机油、切削液母液）最大储存量为</w:t>
      </w:r>
      <w:r>
        <w:rPr>
          <w:rFonts w:eastAsiaTheme="minorEastAsia"/>
          <w:sz w:val="24"/>
          <w:highlight w:val="none"/>
        </w:rPr>
        <w:t>3</w:t>
      </w:r>
      <w:r>
        <w:rPr>
          <w:rFonts w:hint="eastAsia" w:eastAsiaTheme="minorEastAsia"/>
          <w:sz w:val="24"/>
          <w:highlight w:val="none"/>
        </w:rPr>
        <w:t>3</w:t>
      </w:r>
      <w:r>
        <w:rPr>
          <w:rFonts w:eastAsiaTheme="minorEastAsia"/>
          <w:sz w:val="24"/>
          <w:highlight w:val="none"/>
        </w:rPr>
        <w:t>t</w:t>
      </w:r>
      <w:r>
        <w:rPr>
          <w:rFonts w:hAnsiTheme="minorEastAsia" w:eastAsiaTheme="minorEastAsia"/>
          <w:sz w:val="24"/>
          <w:highlight w:val="none"/>
        </w:rPr>
        <w:t>，废切削液和清洗液废水（</w:t>
      </w:r>
      <w:r>
        <w:rPr>
          <w:rFonts w:eastAsiaTheme="minorEastAsia"/>
          <w:sz w:val="24"/>
          <w:highlight w:val="none"/>
        </w:rPr>
        <w:t>COD≥10000mg/L</w:t>
      </w:r>
      <w:r>
        <w:rPr>
          <w:rFonts w:hAnsiTheme="minorEastAsia" w:eastAsiaTheme="minorEastAsia"/>
          <w:sz w:val="24"/>
          <w:highlight w:val="none"/>
        </w:rPr>
        <w:t>）最大存在量</w:t>
      </w:r>
      <w:r>
        <w:rPr>
          <w:rFonts w:hint="eastAsia" w:hAnsiTheme="minorEastAsia" w:eastAsiaTheme="minorEastAsia"/>
          <w:sz w:val="24"/>
          <w:highlight w:val="none"/>
        </w:rPr>
        <w:t>为</w:t>
      </w:r>
      <w:r>
        <w:rPr>
          <w:rFonts w:hAnsiTheme="minorEastAsia" w:eastAsiaTheme="minorEastAsia"/>
          <w:sz w:val="24"/>
          <w:highlight w:val="none"/>
        </w:rPr>
        <w:t>废切削液年</w:t>
      </w:r>
      <w:r>
        <w:rPr>
          <w:rFonts w:hint="eastAsia" w:hAnsiTheme="minorEastAsia" w:eastAsiaTheme="minorEastAsia"/>
          <w:sz w:val="24"/>
          <w:highlight w:val="none"/>
        </w:rPr>
        <w:t>存在</w:t>
      </w:r>
      <w:r>
        <w:rPr>
          <w:rFonts w:hAnsiTheme="minorEastAsia" w:eastAsiaTheme="minorEastAsia"/>
          <w:sz w:val="24"/>
          <w:highlight w:val="none"/>
        </w:rPr>
        <w:t>量与清洗液废水单次存在量的和，最大存在量为</w:t>
      </w:r>
      <w:r>
        <w:rPr>
          <w:rFonts w:hint="eastAsia" w:hAnsiTheme="minorEastAsia" w:eastAsiaTheme="minorEastAsia"/>
          <w:sz w:val="24"/>
          <w:highlight w:val="none"/>
        </w:rPr>
        <w:t>234.18</w:t>
      </w:r>
      <w:r>
        <w:rPr>
          <w:rFonts w:eastAsiaTheme="minorEastAsia"/>
          <w:sz w:val="24"/>
          <w:highlight w:val="none"/>
        </w:rPr>
        <w:t>t</w:t>
      </w:r>
      <w:r>
        <w:rPr>
          <w:rFonts w:hAnsiTheme="minorEastAsia" w:eastAsiaTheme="minorEastAsia"/>
          <w:sz w:val="24"/>
          <w:highlight w:val="none"/>
        </w:rPr>
        <w:t>，封口胶最大存储量为</w:t>
      </w:r>
      <w:r>
        <w:rPr>
          <w:rFonts w:hint="eastAsia" w:eastAsiaTheme="minorEastAsia"/>
          <w:sz w:val="24"/>
          <w:highlight w:val="none"/>
        </w:rPr>
        <w:t>4</w:t>
      </w:r>
      <w:r>
        <w:rPr>
          <w:rFonts w:eastAsiaTheme="minorEastAsia"/>
          <w:sz w:val="24"/>
          <w:highlight w:val="none"/>
        </w:rPr>
        <w:t>t</w:t>
      </w:r>
      <w:r>
        <w:rPr>
          <w:rFonts w:hAnsiTheme="minorEastAsia" w:eastAsiaTheme="minorEastAsia"/>
          <w:sz w:val="24"/>
          <w:highlight w:val="none"/>
        </w:rPr>
        <w:t>。</w:t>
      </w:r>
      <w:bookmarkStart w:id="274" w:name="_Toc21826"/>
      <w:bookmarkStart w:id="275" w:name="_Toc31955"/>
      <w:bookmarkStart w:id="276" w:name="_Toc27565"/>
    </w:p>
    <w:p w14:paraId="5EF3B0D8">
      <w:pPr>
        <w:pStyle w:val="3"/>
        <w:bidi w:val="0"/>
        <w:rPr>
          <w:highlight w:val="none"/>
        </w:rPr>
      </w:pPr>
      <w:r>
        <w:rPr>
          <w:highlight w:val="none"/>
        </w:rPr>
        <w:t>3.</w:t>
      </w:r>
      <w:r>
        <w:rPr>
          <w:rFonts w:hint="eastAsia"/>
          <w:highlight w:val="none"/>
          <w:lang w:val="en-US" w:eastAsia="zh-CN"/>
        </w:rPr>
        <w:t>3</w:t>
      </w:r>
      <w:r>
        <w:rPr>
          <w:highlight w:val="none"/>
        </w:rPr>
        <w:t>污染源源强核算</w:t>
      </w:r>
      <w:bookmarkEnd w:id="274"/>
      <w:bookmarkEnd w:id="275"/>
      <w:bookmarkEnd w:id="276"/>
    </w:p>
    <w:p w14:paraId="5E8A8B99">
      <w:pPr>
        <w:pStyle w:val="4"/>
        <w:bidi w:val="0"/>
        <w:rPr>
          <w:highlight w:val="none"/>
        </w:rPr>
      </w:pPr>
      <w:bookmarkStart w:id="277" w:name="_Toc25776"/>
      <w:bookmarkStart w:id="278" w:name="_Toc19561"/>
      <w:r>
        <w:rPr>
          <w:highlight w:val="none"/>
        </w:rPr>
        <w:t>3.</w:t>
      </w:r>
      <w:r>
        <w:rPr>
          <w:rFonts w:hint="eastAsia"/>
          <w:highlight w:val="none"/>
          <w:lang w:val="en-US" w:eastAsia="zh-CN"/>
        </w:rPr>
        <w:t>3</w:t>
      </w:r>
      <w:r>
        <w:rPr>
          <w:highlight w:val="none"/>
        </w:rPr>
        <w:t>.1施工期污染源分析</w:t>
      </w:r>
      <w:bookmarkEnd w:id="277"/>
      <w:bookmarkEnd w:id="278"/>
    </w:p>
    <w:p w14:paraId="5E914791">
      <w:pPr>
        <w:pStyle w:val="6"/>
        <w:bidi w:val="0"/>
        <w:rPr>
          <w:highlight w:val="none"/>
        </w:rPr>
      </w:pPr>
      <w:r>
        <w:rPr>
          <w:rFonts w:hint="eastAsia"/>
          <w:highlight w:val="none"/>
          <w:lang w:val="en-US" w:eastAsia="zh-CN"/>
        </w:rPr>
        <w:t>3.3.1.1</w:t>
      </w:r>
      <w:r>
        <w:rPr>
          <w:highlight w:val="none"/>
        </w:rPr>
        <w:t>废水</w:t>
      </w:r>
    </w:p>
    <w:p w14:paraId="4F7FD531">
      <w:pPr>
        <w:bidi w:val="0"/>
        <w:rPr>
          <w:highlight w:val="none"/>
        </w:rPr>
      </w:pPr>
      <w:r>
        <w:rPr>
          <w:rFonts w:ascii="Times New Roman" w:cs="Times New Roman" w:hAnsiTheme="minorEastAsia"/>
          <w:highlight w:val="none"/>
        </w:rPr>
        <w:t>项目施工人员生活污水，施工人员高峰期可达</w:t>
      </w:r>
      <w:r>
        <w:rPr>
          <w:rFonts w:ascii="Times New Roman" w:hAnsi="Times New Roman" w:cs="Times New Roman"/>
          <w:highlight w:val="none"/>
        </w:rPr>
        <w:t>40</w:t>
      </w:r>
      <w:r>
        <w:rPr>
          <w:rFonts w:ascii="Times New Roman" w:cs="Times New Roman" w:hAnsiTheme="minorEastAsia"/>
          <w:highlight w:val="none"/>
        </w:rPr>
        <w:t>人，施工人员用水量按</w:t>
      </w:r>
      <w:r>
        <w:rPr>
          <w:rFonts w:ascii="Times New Roman" w:hAnsi="Times New Roman" w:cs="Times New Roman"/>
          <w:highlight w:val="none"/>
        </w:rPr>
        <w:t>40L/d•</w:t>
      </w:r>
      <w:r>
        <w:rPr>
          <w:rFonts w:ascii="Times New Roman" w:cs="Times New Roman" w:hAnsiTheme="minorEastAsia"/>
          <w:highlight w:val="none"/>
        </w:rPr>
        <w:t>人，则施工人员生活用水量为</w:t>
      </w:r>
      <w:r>
        <w:rPr>
          <w:rFonts w:ascii="Times New Roman" w:hAnsi="Times New Roman" w:cs="Times New Roman"/>
          <w:highlight w:val="none"/>
        </w:rPr>
        <w:t>1.6m</w:t>
      </w:r>
      <w:r>
        <w:rPr>
          <w:rFonts w:ascii="Times New Roman" w:hAnsi="Times New Roman" w:cs="Times New Roman"/>
          <w:highlight w:val="none"/>
          <w:vertAlign w:val="superscript"/>
        </w:rPr>
        <w:t>3</w:t>
      </w:r>
      <w:r>
        <w:rPr>
          <w:rFonts w:ascii="Times New Roman" w:hAnsi="Times New Roman" w:cs="Times New Roman"/>
          <w:highlight w:val="none"/>
        </w:rPr>
        <w:t>/d</w:t>
      </w:r>
      <w:r>
        <w:rPr>
          <w:rFonts w:ascii="Times New Roman" w:cs="Times New Roman" w:hAnsiTheme="minorEastAsia"/>
          <w:highlight w:val="none"/>
        </w:rPr>
        <w:t>；生活污水排放量按用水量的</w:t>
      </w:r>
      <w:r>
        <w:rPr>
          <w:rFonts w:ascii="Times New Roman" w:hAnsi="Times New Roman" w:cs="Times New Roman"/>
          <w:highlight w:val="none"/>
        </w:rPr>
        <w:t>80%</w:t>
      </w:r>
      <w:r>
        <w:rPr>
          <w:rFonts w:ascii="Times New Roman" w:cs="Times New Roman" w:hAnsiTheme="minorEastAsia"/>
          <w:highlight w:val="none"/>
        </w:rPr>
        <w:t>计，则厂区生活污水产生量约为</w:t>
      </w:r>
      <w:r>
        <w:rPr>
          <w:rFonts w:ascii="Times New Roman" w:hAnsi="Times New Roman" w:cs="Times New Roman"/>
          <w:highlight w:val="none"/>
        </w:rPr>
        <w:t>1.28m</w:t>
      </w:r>
      <w:r>
        <w:rPr>
          <w:rFonts w:ascii="Times New Roman" w:hAnsi="Times New Roman" w:cs="Times New Roman"/>
          <w:highlight w:val="none"/>
          <w:vertAlign w:val="superscript"/>
        </w:rPr>
        <w:t>3</w:t>
      </w:r>
      <w:r>
        <w:rPr>
          <w:rFonts w:ascii="Times New Roman" w:hAnsi="Times New Roman" w:cs="Times New Roman"/>
          <w:highlight w:val="none"/>
        </w:rPr>
        <w:t>/d</w:t>
      </w:r>
      <w:r>
        <w:rPr>
          <w:rFonts w:ascii="Times New Roman" w:cs="Times New Roman" w:hAnsiTheme="minorEastAsia"/>
          <w:highlight w:val="none"/>
        </w:rPr>
        <w:t>。废水中主要污染物及浓度为</w:t>
      </w:r>
      <w:r>
        <w:rPr>
          <w:rFonts w:ascii="Times New Roman" w:hAnsi="Times New Roman" w:cs="Times New Roman"/>
          <w:highlight w:val="none"/>
        </w:rPr>
        <w:t>COD350mg/L</w:t>
      </w:r>
      <w:r>
        <w:rPr>
          <w:rFonts w:ascii="Times New Roman" w:cs="Times New Roman" w:hAnsiTheme="minorEastAsia"/>
          <w:highlight w:val="none"/>
        </w:rPr>
        <w:t>、氨氮：</w:t>
      </w:r>
      <w:r>
        <w:rPr>
          <w:rFonts w:ascii="Times New Roman" w:hAnsi="Times New Roman" w:cs="Times New Roman"/>
          <w:highlight w:val="none"/>
        </w:rPr>
        <w:t>30mg/L</w:t>
      </w:r>
      <w:r>
        <w:rPr>
          <w:rFonts w:ascii="Times New Roman" w:cs="Times New Roman" w:hAnsiTheme="minorEastAsia"/>
          <w:highlight w:val="none"/>
        </w:rPr>
        <w:t>、</w:t>
      </w:r>
      <w:r>
        <w:rPr>
          <w:rFonts w:ascii="Times New Roman" w:hAnsi="Times New Roman" w:cs="Times New Roman"/>
          <w:highlight w:val="none"/>
        </w:rPr>
        <w:t>pH</w:t>
      </w:r>
      <w:r>
        <w:rPr>
          <w:rFonts w:ascii="Times New Roman" w:cs="Times New Roman" w:hAnsiTheme="minorEastAsia"/>
          <w:highlight w:val="none"/>
        </w:rPr>
        <w:t>：</w:t>
      </w:r>
      <w:r>
        <w:rPr>
          <w:rFonts w:ascii="Times New Roman" w:hAnsi="Times New Roman" w:cs="Times New Roman"/>
          <w:highlight w:val="none"/>
        </w:rPr>
        <w:t>6.5-7.5</w:t>
      </w:r>
      <w:r>
        <w:rPr>
          <w:rFonts w:ascii="Times New Roman" w:cs="Times New Roman" w:hAnsiTheme="minorEastAsia"/>
          <w:highlight w:val="none"/>
        </w:rPr>
        <w:t>、</w:t>
      </w:r>
      <w:r>
        <w:rPr>
          <w:rFonts w:ascii="Times New Roman" w:hAnsi="Times New Roman" w:cs="Times New Roman"/>
          <w:highlight w:val="none"/>
        </w:rPr>
        <w:t>BOD</w:t>
      </w:r>
      <w:r>
        <w:rPr>
          <w:rFonts w:ascii="Times New Roman" w:hAnsi="Times New Roman" w:cs="Times New Roman"/>
          <w:highlight w:val="none"/>
          <w:vertAlign w:val="subscript"/>
        </w:rPr>
        <w:t>5</w:t>
      </w:r>
      <w:r>
        <w:rPr>
          <w:rFonts w:ascii="Times New Roman" w:cs="Times New Roman" w:hAnsiTheme="minorEastAsia"/>
          <w:highlight w:val="none"/>
        </w:rPr>
        <w:t>：</w:t>
      </w:r>
      <w:r>
        <w:rPr>
          <w:rFonts w:ascii="Times New Roman" w:hAnsi="Times New Roman" w:cs="Times New Roman"/>
          <w:highlight w:val="none"/>
        </w:rPr>
        <w:t>180mg/L</w:t>
      </w:r>
      <w:r>
        <w:rPr>
          <w:rFonts w:ascii="Times New Roman" w:cs="Times New Roman" w:hAnsiTheme="minorEastAsia"/>
          <w:highlight w:val="none"/>
        </w:rPr>
        <w:t>、</w:t>
      </w:r>
      <w:r>
        <w:rPr>
          <w:rFonts w:ascii="Times New Roman" w:hAnsi="Times New Roman" w:cs="Times New Roman"/>
          <w:highlight w:val="none"/>
        </w:rPr>
        <w:t>SS</w:t>
      </w:r>
      <w:r>
        <w:rPr>
          <w:rFonts w:ascii="Times New Roman" w:cs="Times New Roman" w:hAnsiTheme="minorEastAsia"/>
          <w:highlight w:val="none"/>
        </w:rPr>
        <w:t>：</w:t>
      </w:r>
      <w:r>
        <w:rPr>
          <w:rFonts w:ascii="Times New Roman" w:hAnsi="Times New Roman" w:cs="Times New Roman"/>
          <w:highlight w:val="none"/>
        </w:rPr>
        <w:t>200mg/L</w:t>
      </w:r>
      <w:r>
        <w:rPr>
          <w:rFonts w:ascii="Times New Roman" w:cs="Times New Roman" w:hAnsiTheme="minorEastAsia"/>
          <w:highlight w:val="none"/>
        </w:rPr>
        <w:t>。</w:t>
      </w:r>
      <w:r>
        <w:rPr>
          <w:rFonts w:ascii="Times New Roman" w:cs="Times New Roman" w:hAnsiTheme="minorEastAsia"/>
          <w:snapToGrid w:val="0"/>
          <w:highlight w:val="none"/>
          <w:lang w:val="zh-CN"/>
        </w:rPr>
        <w:t>生活污水</w:t>
      </w:r>
      <w:r>
        <w:rPr>
          <w:rFonts w:ascii="Times New Roman" w:cs="Times New Roman" w:hAnsiTheme="minorEastAsia"/>
          <w:highlight w:val="none"/>
        </w:rPr>
        <w:t>依托尔滨东安汽车发动机制造有限公司生活污水排水系统，</w:t>
      </w:r>
      <w:r>
        <w:rPr>
          <w:rFonts w:ascii="Times New Roman" w:cs="Times New Roman" w:hAnsiTheme="minorEastAsia"/>
          <w:snapToGrid w:val="0"/>
          <w:highlight w:val="none"/>
        </w:rPr>
        <w:t>生活污水经市政管网进入文昌污水处理厂，处理达标后排入阿什河，最终汇入松花江</w:t>
      </w:r>
      <w:r>
        <w:rPr>
          <w:highlight w:val="none"/>
        </w:rPr>
        <w:t>。</w:t>
      </w:r>
    </w:p>
    <w:p w14:paraId="6173FDD4">
      <w:pPr>
        <w:pStyle w:val="6"/>
        <w:bidi w:val="0"/>
        <w:rPr>
          <w:highlight w:val="none"/>
        </w:rPr>
      </w:pPr>
      <w:r>
        <w:rPr>
          <w:highlight w:val="none"/>
        </w:rPr>
        <w:t>3.</w:t>
      </w:r>
      <w:r>
        <w:rPr>
          <w:rFonts w:hint="eastAsia"/>
          <w:highlight w:val="none"/>
          <w:lang w:val="en-US" w:eastAsia="zh-CN"/>
        </w:rPr>
        <w:t>3</w:t>
      </w:r>
      <w:r>
        <w:rPr>
          <w:highlight w:val="none"/>
        </w:rPr>
        <w:t>.1.</w:t>
      </w:r>
      <w:r>
        <w:rPr>
          <w:rFonts w:hint="eastAsia"/>
          <w:highlight w:val="none"/>
          <w:lang w:val="en-US" w:eastAsia="zh-CN"/>
        </w:rPr>
        <w:t>3</w:t>
      </w:r>
      <w:r>
        <w:rPr>
          <w:highlight w:val="none"/>
        </w:rPr>
        <w:t>噪声</w:t>
      </w:r>
    </w:p>
    <w:p w14:paraId="54EB5AE4">
      <w:pPr>
        <w:bidi w:val="0"/>
        <w:rPr>
          <w:highlight w:val="none"/>
        </w:rPr>
      </w:pPr>
      <w:r>
        <w:rPr>
          <w:highlight w:val="none"/>
        </w:rPr>
        <w:t>施工期噪声主要来自设备安装及升级改造机器和运输设备噪声，噪声强度均在77～95dB（A）。</w:t>
      </w:r>
    </w:p>
    <w:p w14:paraId="73B418F2">
      <w:pPr>
        <w:pStyle w:val="6"/>
        <w:bidi w:val="0"/>
        <w:rPr>
          <w:highlight w:val="none"/>
        </w:rPr>
      </w:pPr>
      <w:bookmarkStart w:id="279" w:name="_Toc6732"/>
      <w:r>
        <w:rPr>
          <w:highlight w:val="none"/>
        </w:rPr>
        <w:t>3.</w:t>
      </w:r>
      <w:r>
        <w:rPr>
          <w:rFonts w:hint="eastAsia"/>
          <w:highlight w:val="none"/>
          <w:lang w:val="en-US" w:eastAsia="zh-CN"/>
        </w:rPr>
        <w:t>3</w:t>
      </w:r>
      <w:r>
        <w:rPr>
          <w:highlight w:val="none"/>
        </w:rPr>
        <w:t>.1.</w:t>
      </w:r>
      <w:r>
        <w:rPr>
          <w:rFonts w:hint="eastAsia"/>
          <w:highlight w:val="none"/>
          <w:lang w:val="en-US" w:eastAsia="zh-CN"/>
        </w:rPr>
        <w:t>4</w:t>
      </w:r>
      <w:r>
        <w:rPr>
          <w:highlight w:val="none"/>
        </w:rPr>
        <w:t>固废</w:t>
      </w:r>
      <w:bookmarkEnd w:id="279"/>
    </w:p>
    <w:p w14:paraId="4BD146F3">
      <w:pPr>
        <w:bidi w:val="0"/>
        <w:rPr>
          <w:highlight w:val="none"/>
        </w:rPr>
      </w:pPr>
      <w:r>
        <w:rPr>
          <w:highlight w:val="none"/>
        </w:rPr>
        <w:t>施工作业固体废物主要为建筑垃圾及生活垃圾。建筑垃圾产生量为</w:t>
      </w:r>
      <w:r>
        <w:rPr>
          <w:rFonts w:hAnsi="Times New Roman"/>
          <w:highlight w:val="none"/>
        </w:rPr>
        <w:t>4.0t/a</w:t>
      </w:r>
      <w:r>
        <w:rPr>
          <w:highlight w:val="none"/>
        </w:rPr>
        <w:t>；生活垃圾产生量按</w:t>
      </w:r>
      <w:r>
        <w:rPr>
          <w:rFonts w:hAnsi="Times New Roman"/>
          <w:highlight w:val="none"/>
        </w:rPr>
        <w:t>0.2kg/</w:t>
      </w:r>
      <w:r>
        <w:rPr>
          <w:highlight w:val="none"/>
        </w:rPr>
        <w:t>人</w:t>
      </w:r>
      <w:r>
        <w:rPr>
          <w:rFonts w:hAnsi="Times New Roman"/>
          <w:highlight w:val="none"/>
        </w:rPr>
        <w:t>▪d</w:t>
      </w:r>
      <w:r>
        <w:rPr>
          <w:highlight w:val="none"/>
        </w:rPr>
        <w:t>计，施工人员高峰期为</w:t>
      </w:r>
      <w:r>
        <w:rPr>
          <w:rFonts w:hAnsi="Times New Roman"/>
          <w:highlight w:val="none"/>
        </w:rPr>
        <w:t>40</w:t>
      </w:r>
      <w:r>
        <w:rPr>
          <w:highlight w:val="none"/>
        </w:rPr>
        <w:t>人，施工人员生活垃圾产生量为</w:t>
      </w:r>
      <w:r>
        <w:rPr>
          <w:rFonts w:hAnsi="Times New Roman"/>
          <w:highlight w:val="none"/>
        </w:rPr>
        <w:t>20kg/d</w:t>
      </w:r>
      <w:r>
        <w:rPr>
          <w:highlight w:val="none"/>
        </w:rPr>
        <w:t>，收集后由环卫部门统一清运处置。</w:t>
      </w:r>
    </w:p>
    <w:p w14:paraId="1C0D3863">
      <w:pPr>
        <w:pStyle w:val="4"/>
        <w:bidi w:val="0"/>
        <w:rPr>
          <w:highlight w:val="none"/>
        </w:rPr>
      </w:pPr>
      <w:bookmarkStart w:id="280" w:name="_Toc11859"/>
      <w:bookmarkStart w:id="281" w:name="_Toc8309"/>
      <w:r>
        <w:rPr>
          <w:highlight w:val="none"/>
        </w:rPr>
        <w:t>3.</w:t>
      </w:r>
      <w:r>
        <w:rPr>
          <w:rFonts w:hint="eastAsia"/>
          <w:highlight w:val="none"/>
          <w:lang w:val="en-US" w:eastAsia="zh-CN"/>
        </w:rPr>
        <w:t>3</w:t>
      </w:r>
      <w:r>
        <w:rPr>
          <w:highlight w:val="none"/>
        </w:rPr>
        <w:t>.2营运期污染源分析</w:t>
      </w:r>
      <w:bookmarkEnd w:id="280"/>
      <w:bookmarkEnd w:id="281"/>
    </w:p>
    <w:p w14:paraId="05733F57">
      <w:pPr>
        <w:pStyle w:val="6"/>
        <w:bidi w:val="0"/>
        <w:rPr>
          <w:highlight w:val="none"/>
        </w:rPr>
      </w:pPr>
      <w:r>
        <w:rPr>
          <w:highlight w:val="none"/>
        </w:rPr>
        <w:t>3.</w:t>
      </w:r>
      <w:r>
        <w:rPr>
          <w:rFonts w:hint="eastAsia"/>
          <w:highlight w:val="none"/>
          <w:lang w:val="en-US" w:eastAsia="zh-CN"/>
        </w:rPr>
        <w:t>3</w:t>
      </w:r>
      <w:r>
        <w:rPr>
          <w:highlight w:val="none"/>
        </w:rPr>
        <w:t>.2.1废气</w:t>
      </w:r>
    </w:p>
    <w:p w14:paraId="6B463D34">
      <w:pPr>
        <w:bidi w:val="0"/>
        <w:rPr>
          <w:rFonts w:hint="default" w:eastAsia="宋体"/>
          <w:highlight w:val="none"/>
          <w:lang w:val="en-US" w:eastAsia="zh-CN"/>
        </w:rPr>
      </w:pPr>
      <w:bookmarkStart w:id="282" w:name="_Toc15236"/>
      <w:r>
        <w:rPr>
          <w:highlight w:val="none"/>
        </w:rPr>
        <w:t>1、</w:t>
      </w:r>
      <w:bookmarkEnd w:id="282"/>
      <w:r>
        <w:rPr>
          <w:rFonts w:hint="eastAsia"/>
          <w:highlight w:val="none"/>
          <w:lang w:val="en-US" w:eastAsia="zh-CN"/>
        </w:rPr>
        <w:t>原料贮存废气</w:t>
      </w:r>
    </w:p>
    <w:p w14:paraId="0D10482C">
      <w:pPr>
        <w:bidi w:val="0"/>
        <w:rPr>
          <w:rFonts w:hint="eastAsia"/>
          <w:highlight w:val="none"/>
          <w:lang w:val="en-US" w:eastAsia="zh-CN"/>
        </w:rPr>
      </w:pPr>
      <w:r>
        <w:rPr>
          <w:rFonts w:hint="eastAsia"/>
          <w:highlight w:val="none"/>
        </w:rPr>
        <w:t>项目含油</w:t>
      </w:r>
      <w:r>
        <w:rPr>
          <w:rFonts w:hint="eastAsia"/>
          <w:highlight w:val="none"/>
          <w:lang w:val="en-US" w:eastAsia="zh-CN"/>
        </w:rPr>
        <w:t>金属</w:t>
      </w:r>
      <w:r>
        <w:rPr>
          <w:rFonts w:hint="eastAsia"/>
          <w:highlight w:val="none"/>
        </w:rPr>
        <w:t>屑</w:t>
      </w:r>
      <w:r>
        <w:rPr>
          <w:rFonts w:hint="eastAsia"/>
          <w:highlight w:val="none"/>
          <w:lang w:val="en-US" w:eastAsia="zh-CN"/>
        </w:rPr>
        <w:t>贮存</w:t>
      </w:r>
      <w:r>
        <w:rPr>
          <w:rFonts w:hint="eastAsia"/>
          <w:highlight w:val="none"/>
        </w:rPr>
        <w:t>过程中，会有少量</w:t>
      </w:r>
      <w:r>
        <w:rPr>
          <w:rFonts w:hint="eastAsia"/>
          <w:highlight w:val="none"/>
          <w:lang w:val="en-US" w:eastAsia="zh-CN"/>
        </w:rPr>
        <w:t>油雾、挥发性有机物</w:t>
      </w:r>
      <w:r>
        <w:rPr>
          <w:rFonts w:hint="eastAsia"/>
          <w:highlight w:val="none"/>
        </w:rPr>
        <w:t>挥发产生</w:t>
      </w:r>
      <w:r>
        <w:rPr>
          <w:rFonts w:hint="eastAsia"/>
          <w:highlight w:val="none"/>
          <w:lang w:eastAsia="zh-CN"/>
        </w:rPr>
        <w:t>。</w:t>
      </w:r>
      <w:r>
        <w:rPr>
          <w:rFonts w:hint="eastAsia"/>
          <w:highlight w:val="none"/>
          <w:lang w:val="en-US" w:eastAsia="zh-CN"/>
        </w:rPr>
        <w:t>本项目类比《钻井油基岩屑及含油污泥综合利用项目竣工环境保护验收监测报告》中原料暂存库排气筒监测数据，原料暂存库暂存量约为17700t，废气收集后经活性炭吸附装置处理后排放，排放速率最大为0.071kg/h，该项目储存量较本项目大，储存原料含油率约为9%，与本项目类似，且处理措施一致，类比可行。</w:t>
      </w:r>
    </w:p>
    <w:p w14:paraId="6189075A">
      <w:pPr>
        <w:bidi w:val="0"/>
        <w:rPr>
          <w:rFonts w:hint="default" w:ascii="Times New Roman" w:hAnsi="Times New Roman" w:cs="Times New Roman"/>
          <w:highlight w:val="none"/>
          <w:lang w:val="en-US" w:eastAsia="zh-CN"/>
        </w:rPr>
      </w:pPr>
      <w:r>
        <w:rPr>
          <w:rFonts w:hint="eastAsia"/>
          <w:highlight w:val="none"/>
          <w:lang w:val="en-US" w:eastAsia="zh-CN"/>
        </w:rPr>
        <w:t>本项目最大储存量100t，则类比后本项目排放速率约为0.0008kg/h</w:t>
      </w:r>
      <w:r>
        <w:rPr>
          <w:rFonts w:hint="eastAsia" w:ascii="Times New Roman" w:hAnsi="Times New Roman" w:cs="Times New Roman"/>
          <w:highlight w:val="none"/>
          <w:lang w:val="en-US" w:eastAsia="zh-CN"/>
        </w:rPr>
        <w:t>，0.00</w:t>
      </w:r>
      <w:r>
        <w:rPr>
          <w:rFonts w:hint="eastAsia" w:cs="Times New Roman"/>
          <w:highlight w:val="none"/>
          <w:lang w:val="en-US" w:eastAsia="zh-CN"/>
        </w:rPr>
        <w:t>7</w:t>
      </w:r>
      <w:r>
        <w:rPr>
          <w:rFonts w:hint="eastAsia" w:ascii="Times New Roman" w:hAnsi="Times New Roman" w:cs="Times New Roman"/>
          <w:highlight w:val="none"/>
          <w:lang w:val="en-US" w:eastAsia="zh-CN"/>
        </w:rPr>
        <w:t>t/a。根据《吸附法工业有机废气治理工程技术规范》（HJ2026-2013）规定，吸附装置的净化效率不得低于 90%。本项目采用二级活性炭吸附装置</w:t>
      </w:r>
      <w:r>
        <w:rPr>
          <w:rFonts w:hint="eastAsia" w:cs="Times New Roman"/>
          <w:highlight w:val="none"/>
          <w:lang w:val="en-US" w:eastAsia="zh-CN"/>
        </w:rPr>
        <w:t>，效率</w:t>
      </w:r>
      <w:r>
        <w:rPr>
          <w:rFonts w:hint="eastAsia" w:ascii="Times New Roman" w:hAnsi="Times New Roman" w:eastAsia="宋体" w:cs="Times New Roman"/>
          <w:highlight w:val="none"/>
          <w:lang w:val="en-US" w:eastAsia="zh-CN"/>
        </w:rPr>
        <w:t>取</w:t>
      </w:r>
      <w:r>
        <w:rPr>
          <w:rFonts w:hint="eastAsia" w:cs="Times New Roman"/>
          <w:highlight w:val="none"/>
          <w:lang w:val="en-US" w:eastAsia="zh-CN"/>
        </w:rPr>
        <w:t>90</w:t>
      </w:r>
      <w:r>
        <w:rPr>
          <w:rFonts w:hint="eastAsia" w:ascii="Times New Roman" w:hAnsi="Times New Roman" w:eastAsia="宋体" w:cs="Times New Roman"/>
          <w:highlight w:val="none"/>
          <w:lang w:val="en-US" w:eastAsia="zh-CN"/>
        </w:rPr>
        <w:t>%；</w:t>
      </w:r>
      <w:r>
        <w:rPr>
          <w:rFonts w:hint="eastAsia" w:cs="Times New Roman"/>
          <w:highlight w:val="none"/>
          <w:lang w:val="en-US" w:eastAsia="zh-CN"/>
        </w:rPr>
        <w:t>根据通风设计相关要求，</w:t>
      </w:r>
      <w:r>
        <w:rPr>
          <w:rFonts w:hint="eastAsia" w:ascii="Times New Roman" w:hAnsi="Times New Roman" w:cs="Times New Roman"/>
          <w:highlight w:val="none"/>
          <w:lang w:val="en-US" w:eastAsia="zh-CN"/>
        </w:rPr>
        <w:t>废气排放点的吸风装置的风速不低于0.5m/s，故本项目原料贮存区及危险废物贮存库设计风机风量为70000m</w:t>
      </w:r>
      <w:r>
        <w:rPr>
          <w:rFonts w:hint="eastAsia" w:ascii="Times New Roman" w:hAnsi="Times New Roman" w:cs="Times New Roman"/>
          <w:highlight w:val="none"/>
          <w:vertAlign w:val="superscript"/>
          <w:lang w:val="en-US" w:eastAsia="zh-CN"/>
        </w:rPr>
        <w:t>3</w:t>
      </w:r>
      <w:r>
        <w:rPr>
          <w:rFonts w:hint="eastAsia" w:ascii="Times New Roman" w:hAnsi="Times New Roman" w:cs="Times New Roman"/>
          <w:highlight w:val="none"/>
          <w:lang w:val="en-US" w:eastAsia="zh-CN"/>
        </w:rPr>
        <w:t>/h。</w:t>
      </w:r>
    </w:p>
    <w:p w14:paraId="21373824">
      <w:pPr>
        <w:bidi w:val="0"/>
        <w:rPr>
          <w:highlight w:val="none"/>
        </w:rPr>
      </w:pPr>
      <w:r>
        <w:rPr>
          <w:rFonts w:hint="eastAsia" w:ascii="Times New Roman" w:hAnsi="Times New Roman" w:eastAsia="宋体" w:cs="Times New Roman"/>
          <w:highlight w:val="none"/>
          <w:lang w:val="en-US" w:eastAsia="zh-CN"/>
        </w:rPr>
        <w:t>则本项目有组织</w:t>
      </w:r>
      <w:r>
        <w:rPr>
          <w:rFonts w:hint="eastAsia"/>
          <w:highlight w:val="none"/>
          <w:lang w:val="en-US" w:eastAsia="zh-CN"/>
        </w:rPr>
        <w:t>油雾、挥发性有机物</w:t>
      </w:r>
      <w:r>
        <w:rPr>
          <w:rFonts w:hint="eastAsia" w:ascii="Times New Roman" w:hAnsi="Times New Roman" w:eastAsia="宋体" w:cs="Times New Roman"/>
          <w:highlight w:val="none"/>
          <w:lang w:val="en-US" w:eastAsia="zh-CN"/>
        </w:rPr>
        <w:t>产生量为</w:t>
      </w:r>
      <w:r>
        <w:rPr>
          <w:rFonts w:hint="eastAsia" w:cs="Times New Roman"/>
          <w:highlight w:val="none"/>
          <w:lang w:val="en-US" w:eastAsia="zh-CN"/>
        </w:rPr>
        <w:t>0.13</w:t>
      </w:r>
      <w:r>
        <w:rPr>
          <w:rFonts w:hint="eastAsia" w:ascii="Times New Roman" w:hAnsi="Times New Roman" w:eastAsia="宋体" w:cs="Times New Roman"/>
          <w:highlight w:val="none"/>
          <w:lang w:val="en-US" w:eastAsia="zh-CN"/>
        </w:rPr>
        <w:t>mg/m</w:t>
      </w:r>
      <w:r>
        <w:rPr>
          <w:rFonts w:hint="eastAsia" w:ascii="Times New Roman" w:hAnsi="Times New Roman" w:eastAsia="宋体" w:cs="Times New Roman"/>
          <w:highlight w:val="none"/>
          <w:vertAlign w:val="superscript"/>
          <w:lang w:val="en-US" w:eastAsia="zh-CN"/>
        </w:rPr>
        <w:t>3</w:t>
      </w:r>
      <w:r>
        <w:rPr>
          <w:rFonts w:hint="eastAsia" w:ascii="Times New Roman" w:hAnsi="Times New Roman" w:eastAsia="宋体" w:cs="Times New Roman"/>
          <w:highlight w:val="none"/>
          <w:lang w:val="en-US" w:eastAsia="zh-CN"/>
        </w:rPr>
        <w:t>，0.</w:t>
      </w:r>
      <w:r>
        <w:rPr>
          <w:rFonts w:hint="eastAsia" w:cs="Times New Roman"/>
          <w:highlight w:val="none"/>
          <w:lang w:val="en-US" w:eastAsia="zh-CN"/>
        </w:rPr>
        <w:t>009</w:t>
      </w:r>
      <w:r>
        <w:rPr>
          <w:rFonts w:hint="eastAsia" w:ascii="Times New Roman" w:hAnsi="Times New Roman" w:eastAsia="宋体" w:cs="Times New Roman"/>
          <w:highlight w:val="none"/>
          <w:lang w:val="en-US" w:eastAsia="zh-CN"/>
        </w:rPr>
        <w:t>kg/h，0.</w:t>
      </w:r>
      <w:r>
        <w:rPr>
          <w:rFonts w:hint="eastAsia" w:cs="Times New Roman"/>
          <w:highlight w:val="none"/>
          <w:lang w:val="en-US" w:eastAsia="zh-CN"/>
        </w:rPr>
        <w:t>08</w:t>
      </w:r>
      <w:r>
        <w:rPr>
          <w:rFonts w:hint="eastAsia" w:ascii="Times New Roman" w:hAnsi="Times New Roman" w:eastAsia="宋体" w:cs="Times New Roman"/>
          <w:highlight w:val="none"/>
          <w:lang w:val="en-US" w:eastAsia="zh-CN"/>
        </w:rPr>
        <w:t>t/a；无组织</w:t>
      </w:r>
      <w:r>
        <w:rPr>
          <w:rFonts w:hint="eastAsia"/>
          <w:highlight w:val="none"/>
          <w:lang w:val="en-US" w:eastAsia="zh-CN"/>
        </w:rPr>
        <w:t>油雾、挥发性有机物</w:t>
      </w:r>
      <w:r>
        <w:rPr>
          <w:rFonts w:hint="eastAsia"/>
          <w:highlight w:val="none"/>
        </w:rPr>
        <w:t>产生量为</w:t>
      </w:r>
      <w:r>
        <w:rPr>
          <w:rFonts w:hint="eastAsia"/>
          <w:highlight w:val="none"/>
          <w:lang w:val="en-US" w:eastAsia="zh-CN"/>
        </w:rPr>
        <w:t>0.008t/a，0.0009</w:t>
      </w:r>
      <w:r>
        <w:rPr>
          <w:rFonts w:hint="eastAsia"/>
          <w:highlight w:val="none"/>
          <w:vertAlign w:val="baseline"/>
          <w:lang w:val="en-US" w:eastAsia="zh-CN"/>
        </w:rPr>
        <w:t>kg/h</w:t>
      </w:r>
      <w:r>
        <w:rPr>
          <w:highlight w:val="none"/>
        </w:rPr>
        <w:t>。</w:t>
      </w:r>
    </w:p>
    <w:p w14:paraId="6428CA32">
      <w:pPr>
        <w:bidi w:val="0"/>
        <w:rPr>
          <w:rFonts w:hint="default"/>
          <w:highlight w:val="none"/>
          <w:lang w:val="en-US" w:eastAsia="zh-CN"/>
        </w:rPr>
      </w:pPr>
      <w:bookmarkStart w:id="283" w:name="_Toc31033"/>
      <w:r>
        <w:rPr>
          <w:highlight w:val="none"/>
        </w:rPr>
        <w:t>2、</w:t>
      </w:r>
      <w:r>
        <w:rPr>
          <w:rFonts w:hint="eastAsia"/>
          <w:highlight w:val="none"/>
          <w:lang w:val="en-US" w:eastAsia="zh-CN"/>
        </w:rPr>
        <w:t>甩干、破碎废气</w:t>
      </w:r>
      <w:bookmarkEnd w:id="283"/>
    </w:p>
    <w:p w14:paraId="5600F2AB">
      <w:pPr>
        <w:bidi w:val="0"/>
        <w:rPr>
          <w:rFonts w:hint="eastAsia" w:ascii="Times New Roman" w:hAnsi="Times New Roman" w:eastAsia="宋体" w:cs="Times New Roman"/>
          <w:highlight w:val="none"/>
          <w:lang w:val="en-US" w:eastAsia="zh-CN"/>
        </w:rPr>
      </w:pPr>
      <w:r>
        <w:rPr>
          <w:rFonts w:hint="eastAsia"/>
          <w:highlight w:val="none"/>
          <w:lang w:val="en-US" w:eastAsia="zh-CN"/>
        </w:rPr>
        <w:t>根据前文工程实例及物料平衡可知，本项目含油金属屑中的油类物质损耗率约为2%，按最不利情况计，损耗部分全部挥发，则挥发量为6t/a。则油雾、挥发性有机物产生量约为6t/a，年生产时间2400h，产生速率2.5kg/h，产生浓度17.9</w:t>
      </w:r>
      <w:r>
        <w:rPr>
          <w:rFonts w:hint="eastAsia" w:ascii="Times New Roman" w:hAnsi="Times New Roman" w:eastAsia="宋体" w:cs="Times New Roman"/>
          <w:highlight w:val="none"/>
          <w:lang w:val="en-US" w:eastAsia="zh-CN"/>
        </w:rPr>
        <w:t>mg/m</w:t>
      </w:r>
      <w:r>
        <w:rPr>
          <w:rFonts w:hint="eastAsia" w:ascii="Times New Roman" w:hAnsi="Times New Roman" w:eastAsia="宋体" w:cs="Times New Roman"/>
          <w:highlight w:val="none"/>
          <w:vertAlign w:val="superscript"/>
          <w:lang w:val="en-US" w:eastAsia="zh-CN"/>
        </w:rPr>
        <w:t>3</w:t>
      </w:r>
      <w:r>
        <w:rPr>
          <w:rFonts w:hint="eastAsia"/>
          <w:highlight w:val="none"/>
          <w:lang w:val="en-US" w:eastAsia="zh-CN"/>
        </w:rPr>
        <w:t>，</w:t>
      </w:r>
      <w:r>
        <w:rPr>
          <w:rFonts w:hint="eastAsia"/>
          <w:highlight w:val="none"/>
        </w:rPr>
        <w:t>本项目</w:t>
      </w:r>
      <w:r>
        <w:rPr>
          <w:rFonts w:hint="eastAsia" w:ascii="Times New Roman" w:hAnsi="Times New Roman" w:eastAsia="宋体" w:cs="Times New Roman"/>
          <w:highlight w:val="none"/>
          <w:lang w:val="en-US" w:eastAsia="zh-CN"/>
        </w:rPr>
        <w:t>生产</w:t>
      </w:r>
      <w:r>
        <w:rPr>
          <w:rFonts w:hint="eastAsia" w:ascii="Times New Roman" w:hAnsi="Times New Roman" w:eastAsia="宋体" w:cs="Times New Roman"/>
          <w:highlight w:val="none"/>
        </w:rPr>
        <w:t>车间</w:t>
      </w:r>
      <w:r>
        <w:rPr>
          <w:rFonts w:hint="eastAsia" w:ascii="Times New Roman" w:hAnsi="Times New Roman" w:eastAsia="宋体" w:cs="Times New Roman"/>
          <w:highlight w:val="none"/>
          <w:lang w:val="en-US" w:eastAsia="zh-CN"/>
        </w:rPr>
        <w:t>废气集中</w:t>
      </w:r>
      <w:r>
        <w:rPr>
          <w:rFonts w:hint="eastAsia" w:ascii="Times New Roman" w:hAnsi="Times New Roman" w:eastAsia="宋体" w:cs="Times New Roman"/>
          <w:highlight w:val="none"/>
        </w:rPr>
        <w:t>收</w:t>
      </w:r>
      <w:r>
        <w:rPr>
          <w:rFonts w:hint="eastAsia"/>
          <w:highlight w:val="none"/>
        </w:rPr>
        <w:t>集</w:t>
      </w:r>
      <w:r>
        <w:rPr>
          <w:rFonts w:hint="eastAsia"/>
          <w:highlight w:val="none"/>
          <w:lang w:val="en-US" w:eastAsia="zh-CN"/>
        </w:rPr>
        <w:t>（</w:t>
      </w:r>
      <w:r>
        <w:rPr>
          <w:rFonts w:hint="eastAsia"/>
          <w:highlight w:val="none"/>
        </w:rPr>
        <w:t>效率按90%计</w:t>
      </w:r>
      <w:r>
        <w:rPr>
          <w:rFonts w:hint="eastAsia" w:ascii="Times New Roman" w:hAnsi="Times New Roman" w:eastAsia="宋体" w:cs="Times New Roman"/>
          <w:highlight w:val="none"/>
          <w:lang w:val="en-US" w:eastAsia="zh-CN"/>
        </w:rPr>
        <w:t>）后经油雾净化器+活性炭吸附装置处理后排放；</w:t>
      </w:r>
      <w:r>
        <w:rPr>
          <w:rFonts w:hint="eastAsia" w:cs="Times New Roman"/>
          <w:highlight w:val="none"/>
          <w:lang w:val="en-US" w:eastAsia="zh-CN"/>
        </w:rPr>
        <w:t>根据通风设计相关要求，</w:t>
      </w:r>
      <w:r>
        <w:rPr>
          <w:rFonts w:hint="eastAsia" w:ascii="Times New Roman" w:hAnsi="Times New Roman" w:cs="Times New Roman"/>
          <w:highlight w:val="none"/>
          <w:lang w:val="en-US" w:eastAsia="zh-CN"/>
        </w:rPr>
        <w:t>废气排放点的吸风装置的风速不低于0.5m/s，故本项目生产车间设计风机风量为70000m</w:t>
      </w:r>
      <w:r>
        <w:rPr>
          <w:rFonts w:hint="eastAsia" w:ascii="Times New Roman" w:hAnsi="Times New Roman" w:cs="Times New Roman"/>
          <w:highlight w:val="none"/>
          <w:vertAlign w:val="superscript"/>
          <w:lang w:val="en-US" w:eastAsia="zh-CN"/>
        </w:rPr>
        <w:t>3</w:t>
      </w:r>
      <w:r>
        <w:rPr>
          <w:rFonts w:hint="eastAsia" w:ascii="Times New Roman" w:hAnsi="Times New Roman" w:cs="Times New Roman"/>
          <w:highlight w:val="none"/>
          <w:lang w:val="en-US" w:eastAsia="zh-CN"/>
        </w:rPr>
        <w:t>/h</w:t>
      </w:r>
    </w:p>
    <w:p w14:paraId="0A4EC010">
      <w:pPr>
        <w:bidi w:val="0"/>
        <w:rPr>
          <w:rFonts w:ascii="Times New Roman" w:hAnsi="Times New Roman" w:cs="Times New Roman"/>
          <w:highlight w:val="none"/>
        </w:rPr>
      </w:pPr>
      <w:r>
        <w:rPr>
          <w:rFonts w:hint="eastAsia" w:ascii="Times New Roman" w:hAnsi="Times New Roman" w:eastAsia="宋体" w:cs="Times New Roman"/>
          <w:highlight w:val="none"/>
          <w:lang w:val="en-US" w:eastAsia="zh-CN"/>
        </w:rPr>
        <w:t>类比《</w:t>
      </w:r>
      <w:r>
        <w:rPr>
          <w:highlight w:val="none"/>
          <w:lang w:val="en-US" w:eastAsia="zh-CN"/>
        </w:rPr>
        <w:t>太仓泉峻环保科技有限公司</w:t>
      </w:r>
      <w:r>
        <w:rPr>
          <w:rFonts w:hint="eastAsia"/>
          <w:highlight w:val="none"/>
          <w:lang w:val="en-US" w:eastAsia="zh-CN"/>
        </w:rPr>
        <w:t>新建废油、废电池收集贮存，含油金属屑收集处理项目竣工环境保护验收监测报告》中油雾净化器对挥发性有机物处理效率约为43%</w:t>
      </w:r>
      <w:r>
        <w:rPr>
          <w:rFonts w:hint="eastAsia" w:ascii="Times New Roman" w:hAnsi="Times New Roman" w:eastAsia="宋体" w:cs="Times New Roman"/>
          <w:highlight w:val="none"/>
          <w:lang w:val="en-US" w:eastAsia="zh-CN"/>
        </w:rPr>
        <w:t>，则</w:t>
      </w:r>
      <w:r>
        <w:rPr>
          <w:rFonts w:hint="eastAsia" w:cs="Times New Roman"/>
          <w:highlight w:val="none"/>
          <w:lang w:val="en-US" w:eastAsia="zh-CN"/>
        </w:rPr>
        <w:t>经处理后，</w:t>
      </w:r>
      <w:r>
        <w:rPr>
          <w:rFonts w:hint="eastAsia"/>
          <w:highlight w:val="none"/>
          <w:lang w:val="en-US" w:eastAsia="zh-CN"/>
        </w:rPr>
        <w:t>油雾、挥发性有机物排放量为0.31t/a，0.13kg/h</w:t>
      </w:r>
      <w:r>
        <w:rPr>
          <w:rFonts w:hint="eastAsia" w:ascii="Times New Roman" w:hAnsi="Times New Roman" w:eastAsia="宋体" w:cs="Times New Roman"/>
          <w:highlight w:val="none"/>
          <w:vertAlign w:val="baseline"/>
          <w:lang w:val="en-US" w:eastAsia="zh-CN"/>
        </w:rPr>
        <w:t>。</w:t>
      </w:r>
      <w:r>
        <w:rPr>
          <w:rFonts w:hint="eastAsia" w:ascii="Times New Roman" w:hAnsi="Times New Roman" w:eastAsia="宋体" w:cs="Times New Roman"/>
          <w:highlight w:val="none"/>
          <w:lang w:val="en-US" w:eastAsia="zh-CN"/>
        </w:rPr>
        <w:t>无组织</w:t>
      </w:r>
      <w:r>
        <w:rPr>
          <w:rFonts w:hint="eastAsia"/>
          <w:highlight w:val="none"/>
          <w:lang w:val="en-US" w:eastAsia="zh-CN"/>
        </w:rPr>
        <w:t>油雾、挥发性</w:t>
      </w:r>
      <w:r>
        <w:rPr>
          <w:rFonts w:hint="eastAsia" w:ascii="Times New Roman" w:hAnsi="Times New Roman" w:cs="Times New Roman"/>
          <w:highlight w:val="none"/>
          <w:lang w:val="en-US" w:eastAsia="zh-CN"/>
        </w:rPr>
        <w:t>有机物</w:t>
      </w:r>
      <w:r>
        <w:rPr>
          <w:rFonts w:hint="eastAsia" w:ascii="Times New Roman" w:hAnsi="Times New Roman" w:cs="Times New Roman"/>
          <w:highlight w:val="none"/>
        </w:rPr>
        <w:t>产生量为</w:t>
      </w:r>
      <w:r>
        <w:rPr>
          <w:rFonts w:hint="eastAsia" w:ascii="Times New Roman" w:hAnsi="Times New Roman" w:cs="Times New Roman"/>
          <w:highlight w:val="none"/>
          <w:lang w:val="en-US" w:eastAsia="zh-CN"/>
        </w:rPr>
        <w:t>0.6t/a，0.</w:t>
      </w:r>
      <w:r>
        <w:rPr>
          <w:rFonts w:hint="eastAsia" w:cs="Times New Roman"/>
          <w:highlight w:val="none"/>
          <w:lang w:val="en-US" w:eastAsia="zh-CN"/>
        </w:rPr>
        <w:t>25</w:t>
      </w:r>
      <w:r>
        <w:rPr>
          <w:rFonts w:hint="eastAsia" w:ascii="Times New Roman" w:hAnsi="Times New Roman" w:cs="Times New Roman"/>
          <w:highlight w:val="none"/>
          <w:lang w:val="en-US" w:eastAsia="zh-CN"/>
        </w:rPr>
        <w:t>kg/h</w:t>
      </w:r>
      <w:r>
        <w:rPr>
          <w:rFonts w:ascii="Times New Roman" w:hAnsi="Times New Roman" w:cs="Times New Roman"/>
          <w:highlight w:val="none"/>
        </w:rPr>
        <w:t>。</w:t>
      </w:r>
    </w:p>
    <w:p w14:paraId="671298EA">
      <w:pPr>
        <w:bidi w:val="0"/>
        <w:rPr>
          <w:rFonts w:hint="default"/>
          <w:highlight w:val="none"/>
          <w:lang w:val="en-US" w:eastAsia="zh-CN"/>
        </w:rPr>
      </w:pPr>
      <w:r>
        <w:rPr>
          <w:rFonts w:hint="eastAsia" w:ascii="Times New Roman" w:hAnsi="Times New Roman" w:cs="Times New Roman"/>
          <w:highlight w:val="none"/>
          <w:lang w:val="en-US" w:eastAsia="zh-CN"/>
        </w:rPr>
        <w:t>3、</w:t>
      </w:r>
      <w:bookmarkStart w:id="284" w:name="_Toc284"/>
      <w:r>
        <w:rPr>
          <w:rFonts w:hint="eastAsia"/>
          <w:highlight w:val="none"/>
          <w:lang w:val="en-US" w:eastAsia="zh-CN"/>
        </w:rPr>
        <w:t>破碎</w:t>
      </w:r>
      <w:bookmarkEnd w:id="284"/>
      <w:r>
        <w:rPr>
          <w:rFonts w:hint="eastAsia"/>
          <w:highlight w:val="none"/>
          <w:lang w:val="en-US" w:eastAsia="zh-CN"/>
        </w:rPr>
        <w:t>粉尘</w:t>
      </w:r>
    </w:p>
    <w:p w14:paraId="23FF7E91">
      <w:pPr>
        <w:bidi w:val="0"/>
        <w:rPr>
          <w:rFonts w:hint="eastAsia"/>
          <w:highlight w:val="none"/>
          <w:lang w:val="en-US" w:eastAsia="zh-CN"/>
        </w:rPr>
      </w:pPr>
      <w:r>
        <w:rPr>
          <w:rFonts w:hint="eastAsia"/>
          <w:highlight w:val="none"/>
          <w:lang w:val="en-US" w:eastAsia="zh-CN"/>
        </w:rPr>
        <w:t>本项目部分需破碎含油金属屑比较长，需要先进行破碎预处理，破碎过程密闭，且项目收集的含油金属屑自身密度较大，含油率较大，约为8%，可视为湿法加工，破碎后粒径约为2-5cm，不破碎成金属粉，基本不产生破碎过程粉尘；本项目于封闭厂房内进行，颗粒物产生量极小，对周围环境影响较小。</w:t>
      </w:r>
    </w:p>
    <w:p w14:paraId="6126B720">
      <w:pPr>
        <w:bidi w:val="0"/>
        <w:rPr>
          <w:rFonts w:hint="eastAsia"/>
          <w:highlight w:val="none"/>
          <w:lang w:val="en-US" w:eastAsia="zh-CN"/>
        </w:rPr>
      </w:pPr>
      <w:r>
        <w:rPr>
          <w:rFonts w:hint="eastAsia"/>
          <w:highlight w:val="none"/>
          <w:lang w:val="en-US" w:eastAsia="zh-CN"/>
        </w:rPr>
        <w:t>4、臭气浓度</w:t>
      </w:r>
    </w:p>
    <w:p w14:paraId="5C42CA52">
      <w:pPr>
        <w:bidi w:val="0"/>
        <w:rPr>
          <w:rFonts w:hint="eastAsia" w:ascii="Times New Roman" w:hAnsi="Times New Roman" w:cs="Times New Roman"/>
          <w:highlight w:val="none"/>
          <w:lang w:val="en-US" w:eastAsia="zh-CN"/>
        </w:rPr>
      </w:pPr>
      <w:r>
        <w:rPr>
          <w:rFonts w:hint="eastAsia"/>
          <w:highlight w:val="none"/>
          <w:lang w:val="en-US" w:eastAsia="zh-CN"/>
        </w:rPr>
        <w:t>本项目在贮存、生产过程中会产生少量恶臭气体，根据工程实例及类比同类项目，项目仅产生少量恶臭气体，废气经活性炭吸附装置处理后排放，少量未被收集</w:t>
      </w:r>
      <w:r>
        <w:rPr>
          <w:rFonts w:hint="eastAsia" w:ascii="Times New Roman" w:hAnsi="Times New Roman" w:cs="Times New Roman"/>
          <w:highlight w:val="none"/>
          <w:lang w:val="en-US" w:eastAsia="zh-CN"/>
        </w:rPr>
        <w:t>废气无组织排放，对周围环境影响很小。</w:t>
      </w:r>
    </w:p>
    <w:p w14:paraId="72D9E210">
      <w:pPr>
        <w:bidi w:val="0"/>
        <w:rPr>
          <w:rFonts w:hint="eastAsia"/>
          <w:highlight w:val="none"/>
          <w:lang w:val="en-US" w:eastAsia="zh-CN"/>
        </w:rPr>
      </w:pPr>
      <w:r>
        <w:rPr>
          <w:rFonts w:hint="eastAsia" w:ascii="Times New Roman" w:hAnsi="Times New Roman" w:cs="Times New Roman"/>
          <w:highlight w:val="none"/>
          <w:lang w:val="en-US" w:eastAsia="zh-CN"/>
        </w:rPr>
        <w:t>本项目</w:t>
      </w:r>
      <w:r>
        <w:rPr>
          <w:rFonts w:hint="default" w:ascii="Times New Roman" w:hAnsi="Times New Roman" w:cs="Times New Roman"/>
          <w:highlight w:val="none"/>
          <w:lang w:val="en-US" w:eastAsia="zh-CN"/>
        </w:rPr>
        <w:t>生产车间废气收集后经油雾净化器+活性炭吸附装置处理后由15m高排气筒（DA001）排放，危险废物贮存库及原料贮存区废气收集后经活性炭吸附装置处理后由15m高排气筒（DA001）排放。</w:t>
      </w:r>
      <w:r>
        <w:rPr>
          <w:rFonts w:hint="eastAsia" w:ascii="Times New Roman" w:hAnsi="Times New Roman" w:cs="Times New Roman"/>
          <w:highlight w:val="none"/>
          <w:lang w:val="en-US" w:eastAsia="zh-CN"/>
        </w:rPr>
        <w:t>故本项目排气筒DA001</w:t>
      </w:r>
      <w:r>
        <w:rPr>
          <w:rFonts w:hint="eastAsia"/>
          <w:highlight w:val="none"/>
          <w:lang w:val="en-US" w:eastAsia="zh-CN"/>
        </w:rPr>
        <w:t>油雾、挥发性有机物总排放量为0.337t/a，最大排放速率、排放浓度为0.13kg/h，0.95mg/m</w:t>
      </w:r>
      <w:r>
        <w:rPr>
          <w:rFonts w:hint="eastAsia"/>
          <w:highlight w:val="none"/>
          <w:vertAlign w:val="superscript"/>
          <w:lang w:val="en-US" w:eastAsia="zh-CN"/>
        </w:rPr>
        <w:t>3</w:t>
      </w:r>
      <w:r>
        <w:rPr>
          <w:rFonts w:hint="eastAsia"/>
          <w:highlight w:val="none"/>
          <w:lang w:val="en-US" w:eastAsia="zh-CN"/>
        </w:rPr>
        <w:t>。</w:t>
      </w:r>
    </w:p>
    <w:p w14:paraId="68D5FBC9">
      <w:pPr>
        <w:spacing w:line="360" w:lineRule="auto"/>
        <w:ind w:firstLine="480" w:firstLineChars="200"/>
        <w:rPr>
          <w:rFonts w:eastAsiaTheme="minorEastAsia"/>
          <w:sz w:val="24"/>
          <w:highlight w:val="none"/>
        </w:rPr>
      </w:pPr>
      <w:bookmarkStart w:id="285" w:name="_Toc4092"/>
      <w:r>
        <w:rPr>
          <w:rFonts w:hint="eastAsia"/>
          <w:highlight w:val="none"/>
          <w:lang w:val="en-US" w:eastAsia="zh-CN"/>
        </w:rPr>
        <w:t>5</w:t>
      </w:r>
      <w:r>
        <w:rPr>
          <w:rFonts w:hAnsiTheme="minorEastAsia" w:eastAsiaTheme="minorEastAsia"/>
          <w:sz w:val="24"/>
          <w:highlight w:val="none"/>
        </w:rPr>
        <w:t>、机械加工油雾</w:t>
      </w:r>
    </w:p>
    <w:p w14:paraId="5BD4B5DB">
      <w:pPr>
        <w:spacing w:line="360" w:lineRule="auto"/>
        <w:ind w:firstLine="480" w:firstLineChars="200"/>
        <w:rPr>
          <w:rFonts w:eastAsiaTheme="minorEastAsia"/>
          <w:kern w:val="0"/>
          <w:sz w:val="24"/>
          <w:highlight w:val="none"/>
        </w:rPr>
      </w:pPr>
      <w:r>
        <w:rPr>
          <w:rFonts w:hAnsiTheme="minorEastAsia" w:eastAsiaTheme="minorEastAsia"/>
          <w:kern w:val="0"/>
          <w:sz w:val="24"/>
          <w:highlight w:val="none"/>
        </w:rPr>
        <w:t>本项目缸体和缸盖加工过程采用湿式加工，采用的切削母液为水溶性切削液，其主要成分为矿物油、乳化剂、脂肪酸、表面活性剂、防锈剂及蒸馏水等。机械加工切削过程中，由于在高的切削压力和速度下，使切削能转化为热能，释放出大量的能量，进而使切削液雾化，产生油雾废气，以非甲烷总烃计。缸体和缸盖湿式机械加工设备均为一体化封闭设备，</w:t>
      </w:r>
      <w:r>
        <w:rPr>
          <w:rFonts w:hint="eastAsia" w:hAnsiTheme="minorEastAsia" w:eastAsiaTheme="minorEastAsia"/>
          <w:bCs/>
          <w:kern w:val="0"/>
          <w:sz w:val="24"/>
          <w:highlight w:val="none"/>
        </w:rPr>
        <w:t>废气经设备自带</w:t>
      </w:r>
      <w:r>
        <w:rPr>
          <w:rFonts w:hAnsiTheme="minorEastAsia" w:eastAsiaTheme="minorEastAsia"/>
          <w:bCs/>
          <w:kern w:val="0"/>
          <w:sz w:val="24"/>
          <w:highlight w:val="none"/>
        </w:rPr>
        <w:t>油雾净化装置处理后由1根15米高DA001排气筒排放，集气效率为</w:t>
      </w:r>
      <w:r>
        <w:rPr>
          <w:rFonts w:hint="eastAsia" w:hAnsiTheme="minorEastAsia" w:eastAsiaTheme="minorEastAsia"/>
          <w:bCs/>
          <w:kern w:val="0"/>
          <w:sz w:val="24"/>
          <w:highlight w:val="none"/>
        </w:rPr>
        <w:t>95</w:t>
      </w:r>
      <w:r>
        <w:rPr>
          <w:rFonts w:hAnsiTheme="minorEastAsia" w:eastAsiaTheme="minorEastAsia"/>
          <w:bCs/>
          <w:kern w:val="0"/>
          <w:sz w:val="24"/>
          <w:highlight w:val="none"/>
        </w:rPr>
        <w:t>%，处理效率为90%，未收集</w:t>
      </w:r>
      <w:r>
        <w:rPr>
          <w:rFonts w:hint="eastAsia" w:hAnsiTheme="minorEastAsia" w:eastAsiaTheme="minorEastAsia"/>
          <w:bCs/>
          <w:kern w:val="0"/>
          <w:sz w:val="24"/>
          <w:highlight w:val="none"/>
        </w:rPr>
        <w:t>的废气以无组织形式排放</w:t>
      </w:r>
      <w:r>
        <w:rPr>
          <w:rFonts w:hAnsiTheme="minorEastAsia" w:eastAsiaTheme="minorEastAsia"/>
          <w:kern w:val="0"/>
          <w:sz w:val="24"/>
          <w:highlight w:val="none"/>
        </w:rPr>
        <w:t>。</w:t>
      </w:r>
    </w:p>
    <w:p w14:paraId="1BAF3AEE">
      <w:pPr>
        <w:spacing w:line="360" w:lineRule="auto"/>
        <w:ind w:firstLine="480" w:firstLineChars="200"/>
        <w:rPr>
          <w:rFonts w:hAnsiTheme="minorEastAsia" w:eastAsiaTheme="minorEastAsia"/>
          <w:kern w:val="0"/>
          <w:sz w:val="24"/>
          <w:highlight w:val="none"/>
        </w:rPr>
      </w:pPr>
      <w:r>
        <w:rPr>
          <w:rFonts w:hint="eastAsia" w:hAnsiTheme="minorEastAsia" w:eastAsiaTheme="minorEastAsia"/>
          <w:kern w:val="0"/>
          <w:sz w:val="24"/>
          <w:highlight w:val="none"/>
        </w:rPr>
        <w:t>根据《污染源源强核算技术指南汽车制造》（HJ1097-2020）优先使用类比法，其次是系数法。</w:t>
      </w:r>
      <w:r>
        <w:rPr>
          <w:rFonts w:hAnsiTheme="minorEastAsia" w:eastAsiaTheme="minorEastAsia"/>
          <w:kern w:val="0"/>
          <w:sz w:val="24"/>
          <w:highlight w:val="none"/>
        </w:rPr>
        <w:t>哈尔滨东安汽车动力股份有限公司及</w:t>
      </w:r>
      <w:r>
        <w:rPr>
          <w:rFonts w:hAnsiTheme="minorEastAsia" w:eastAsiaTheme="minorEastAsia"/>
          <w:bCs/>
          <w:kern w:val="0"/>
          <w:sz w:val="24"/>
          <w:highlight w:val="none"/>
        </w:rPr>
        <w:t>哈尔滨东安汽车发动机制造有限公司现运行的项目，机加工序</w:t>
      </w:r>
      <w:r>
        <w:rPr>
          <w:rFonts w:hint="eastAsia" w:hAnsiTheme="minorEastAsia" w:eastAsiaTheme="minorEastAsia"/>
          <w:bCs/>
          <w:kern w:val="0"/>
          <w:sz w:val="24"/>
          <w:highlight w:val="none"/>
        </w:rPr>
        <w:t>均</w:t>
      </w:r>
      <w:r>
        <w:rPr>
          <w:rFonts w:hAnsiTheme="minorEastAsia" w:eastAsiaTheme="minorEastAsia"/>
          <w:bCs/>
          <w:kern w:val="0"/>
          <w:sz w:val="24"/>
          <w:highlight w:val="none"/>
        </w:rPr>
        <w:t>无组织排放，且未进行治理措施效率的监测。</w:t>
      </w:r>
      <w:r>
        <w:rPr>
          <w:rFonts w:hint="eastAsia" w:hAnsiTheme="minorEastAsia" w:eastAsiaTheme="minorEastAsia"/>
          <w:bCs/>
          <w:kern w:val="0"/>
          <w:sz w:val="24"/>
          <w:highlight w:val="none"/>
        </w:rPr>
        <w:t>因此</w:t>
      </w:r>
      <w:r>
        <w:rPr>
          <w:rFonts w:hAnsiTheme="minorEastAsia" w:eastAsiaTheme="minorEastAsia"/>
          <w:bCs/>
          <w:kern w:val="0"/>
          <w:sz w:val="24"/>
          <w:highlight w:val="none"/>
        </w:rPr>
        <w:t>，本项目选择使用系数法进行污染物源强核算。</w:t>
      </w:r>
    </w:p>
    <w:p w14:paraId="6B25978E">
      <w:pPr>
        <w:spacing w:line="360" w:lineRule="auto"/>
        <w:ind w:firstLine="480" w:firstLineChars="200"/>
        <w:rPr>
          <w:rFonts w:hAnsiTheme="minorEastAsia" w:eastAsiaTheme="minorEastAsia"/>
          <w:kern w:val="0"/>
          <w:sz w:val="24"/>
          <w:highlight w:val="none"/>
        </w:rPr>
      </w:pPr>
      <w:r>
        <w:rPr>
          <w:rFonts w:hAnsiTheme="minorEastAsia" w:eastAsiaTheme="minorEastAsia"/>
          <w:kern w:val="0"/>
          <w:sz w:val="24"/>
          <w:highlight w:val="none"/>
        </w:rPr>
        <w:t>本项目机械加工产生油雾，根据生态环境部印发的《第二次全国污染源普查产排污核算系数手册（试用版）》</w:t>
      </w:r>
      <w:r>
        <w:rPr>
          <w:rFonts w:hint="eastAsia" w:eastAsiaTheme="minorEastAsia"/>
          <w:kern w:val="0"/>
          <w:sz w:val="24"/>
          <w:highlight w:val="none"/>
        </w:rPr>
        <w:t>33-37，431-434机械行业系数手册中07</w:t>
      </w:r>
      <w:r>
        <w:rPr>
          <w:rFonts w:hAnsiTheme="minorEastAsia" w:eastAsiaTheme="minorEastAsia"/>
          <w:kern w:val="0"/>
          <w:sz w:val="24"/>
          <w:highlight w:val="none"/>
        </w:rPr>
        <w:t>机械加工，湿式机加工件中切削液产污系数核算挥发性有机物产生量，产污系数分别为工业废气量</w:t>
      </w:r>
      <w:r>
        <w:rPr>
          <w:rFonts w:hint="eastAsia" w:hAnsiTheme="minorEastAsia" w:eastAsiaTheme="minorEastAsia"/>
          <w:kern w:val="0"/>
          <w:sz w:val="24"/>
          <w:highlight w:val="none"/>
        </w:rPr>
        <w:t>3175256m</w:t>
      </w:r>
      <w:r>
        <w:rPr>
          <w:rFonts w:hint="eastAsia" w:hAnsiTheme="minorEastAsia" w:eastAsiaTheme="minorEastAsia"/>
          <w:kern w:val="0"/>
          <w:sz w:val="24"/>
          <w:highlight w:val="none"/>
          <w:vertAlign w:val="superscript"/>
        </w:rPr>
        <w:t>3</w:t>
      </w:r>
      <w:r>
        <w:rPr>
          <w:rFonts w:hint="eastAsia" w:hAnsiTheme="minorEastAsia" w:eastAsiaTheme="minorEastAsia"/>
          <w:kern w:val="0"/>
          <w:sz w:val="24"/>
          <w:highlight w:val="none"/>
        </w:rPr>
        <w:t>/t-原料、挥发性</w:t>
      </w:r>
      <w:r>
        <w:rPr>
          <w:rFonts w:hAnsiTheme="minorEastAsia" w:eastAsiaTheme="minorEastAsia"/>
          <w:kern w:val="0"/>
          <w:sz w:val="24"/>
          <w:highlight w:val="none"/>
        </w:rPr>
        <w:t>有机物</w:t>
      </w:r>
      <w:r>
        <w:rPr>
          <w:rFonts w:eastAsiaTheme="minorEastAsia"/>
          <w:kern w:val="0"/>
          <w:sz w:val="24"/>
          <w:highlight w:val="none"/>
        </w:rPr>
        <w:t>5.64kg/t-</w:t>
      </w:r>
      <w:r>
        <w:rPr>
          <w:rFonts w:hAnsiTheme="minorEastAsia" w:eastAsiaTheme="minorEastAsia"/>
          <w:kern w:val="0"/>
          <w:sz w:val="24"/>
          <w:highlight w:val="none"/>
        </w:rPr>
        <w:t>原料。</w:t>
      </w:r>
      <w:bookmarkStart w:id="286" w:name="_Hlk96256813"/>
      <w:r>
        <w:rPr>
          <w:rFonts w:hAnsiTheme="minorEastAsia" w:eastAsiaTheme="minorEastAsia"/>
          <w:kern w:val="0"/>
          <w:sz w:val="24"/>
          <w:highlight w:val="none"/>
        </w:rPr>
        <w:t>本项目切削母液使用量为</w:t>
      </w:r>
      <w:r>
        <w:rPr>
          <w:rFonts w:eastAsiaTheme="minorEastAsia"/>
          <w:kern w:val="0"/>
          <w:sz w:val="24"/>
          <w:highlight w:val="none"/>
        </w:rPr>
        <w:t>19.3t/a</w:t>
      </w:r>
      <w:r>
        <w:rPr>
          <w:rFonts w:hAnsiTheme="minorEastAsia" w:eastAsiaTheme="minorEastAsia"/>
          <w:kern w:val="0"/>
          <w:sz w:val="24"/>
          <w:highlight w:val="none"/>
        </w:rPr>
        <w:t>，</w:t>
      </w:r>
      <w:r>
        <w:rPr>
          <w:rFonts w:hint="eastAsia" w:hAnsiTheme="minorEastAsia" w:eastAsiaTheme="minorEastAsia"/>
          <w:kern w:val="0"/>
          <w:sz w:val="24"/>
          <w:highlight w:val="none"/>
        </w:rPr>
        <w:t>湿式加工时间2000h/a。</w:t>
      </w:r>
    </w:p>
    <w:p w14:paraId="0318E88A">
      <w:pPr>
        <w:spacing w:line="360" w:lineRule="auto"/>
        <w:ind w:firstLine="480" w:firstLineChars="200"/>
        <w:rPr>
          <w:rFonts w:eastAsiaTheme="minorEastAsia"/>
          <w:kern w:val="0"/>
          <w:sz w:val="24"/>
          <w:highlight w:val="none"/>
        </w:rPr>
      </w:pPr>
      <w:r>
        <w:rPr>
          <w:rFonts w:hint="eastAsia" w:hAnsiTheme="minorEastAsia" w:eastAsiaTheme="minorEastAsia"/>
          <w:kern w:val="0"/>
          <w:sz w:val="24"/>
          <w:highlight w:val="none"/>
        </w:rPr>
        <w:t>非甲烷总烃</w:t>
      </w:r>
      <w:r>
        <w:rPr>
          <w:rFonts w:hAnsiTheme="minorEastAsia" w:eastAsiaTheme="minorEastAsia"/>
          <w:kern w:val="0"/>
          <w:sz w:val="24"/>
          <w:highlight w:val="none"/>
        </w:rPr>
        <w:t>产生量为</w:t>
      </w:r>
      <w:r>
        <w:rPr>
          <w:rFonts w:eastAsiaTheme="minorEastAsia"/>
          <w:kern w:val="0"/>
          <w:sz w:val="24"/>
          <w:highlight w:val="none"/>
        </w:rPr>
        <w:t>0.109t/a</w:t>
      </w:r>
      <w:r>
        <w:rPr>
          <w:rFonts w:hint="eastAsia" w:hAnsiTheme="minorEastAsia" w:eastAsiaTheme="minorEastAsia"/>
          <w:kern w:val="0"/>
          <w:sz w:val="24"/>
          <w:highlight w:val="none"/>
        </w:rPr>
        <w:t>，</w:t>
      </w:r>
      <w:r>
        <w:rPr>
          <w:rFonts w:hAnsiTheme="minorEastAsia" w:eastAsiaTheme="minorEastAsia"/>
          <w:kern w:val="0"/>
          <w:sz w:val="24"/>
          <w:highlight w:val="none"/>
        </w:rPr>
        <w:t>产生速率为</w:t>
      </w:r>
      <w:r>
        <w:rPr>
          <w:rFonts w:eastAsiaTheme="minorEastAsia"/>
          <w:kern w:val="0"/>
          <w:sz w:val="24"/>
          <w:highlight w:val="none"/>
        </w:rPr>
        <w:t>0.0</w:t>
      </w:r>
      <w:r>
        <w:rPr>
          <w:rFonts w:hint="eastAsia" w:eastAsiaTheme="minorEastAsia"/>
          <w:kern w:val="0"/>
          <w:sz w:val="24"/>
          <w:highlight w:val="none"/>
        </w:rPr>
        <w:t>54</w:t>
      </w:r>
      <w:r>
        <w:rPr>
          <w:rFonts w:eastAsiaTheme="minorEastAsia"/>
          <w:kern w:val="0"/>
          <w:sz w:val="24"/>
          <w:highlight w:val="none"/>
        </w:rPr>
        <w:t>kg/h</w:t>
      </w:r>
      <w:r>
        <w:rPr>
          <w:rFonts w:hint="eastAsia" w:hAnsiTheme="minorEastAsia" w:eastAsiaTheme="minorEastAsia"/>
          <w:kern w:val="0"/>
          <w:sz w:val="24"/>
          <w:highlight w:val="none"/>
        </w:rPr>
        <w:t>；</w:t>
      </w:r>
      <w:r>
        <w:rPr>
          <w:rFonts w:hAnsiTheme="minorEastAsia" w:eastAsiaTheme="minorEastAsia"/>
          <w:kern w:val="0"/>
          <w:sz w:val="24"/>
          <w:highlight w:val="none"/>
        </w:rPr>
        <w:t>有组织</w:t>
      </w:r>
      <w:r>
        <w:rPr>
          <w:rFonts w:hint="eastAsia" w:hAnsiTheme="minorEastAsia" w:eastAsiaTheme="minorEastAsia"/>
          <w:kern w:val="0"/>
          <w:sz w:val="24"/>
          <w:highlight w:val="none"/>
        </w:rPr>
        <w:t>非甲烷</w:t>
      </w:r>
      <w:r>
        <w:rPr>
          <w:rFonts w:hAnsiTheme="minorEastAsia" w:eastAsiaTheme="minorEastAsia"/>
          <w:kern w:val="0"/>
          <w:sz w:val="24"/>
          <w:highlight w:val="none"/>
        </w:rPr>
        <w:t>总烃产生量为</w:t>
      </w:r>
      <w:r>
        <w:rPr>
          <w:rFonts w:eastAsiaTheme="minorEastAsia"/>
          <w:kern w:val="0"/>
          <w:sz w:val="24"/>
          <w:highlight w:val="none"/>
        </w:rPr>
        <w:t>0.10</w:t>
      </w:r>
      <w:r>
        <w:rPr>
          <w:rFonts w:hint="eastAsia" w:eastAsiaTheme="minorEastAsia"/>
          <w:kern w:val="0"/>
          <w:sz w:val="24"/>
          <w:highlight w:val="none"/>
        </w:rPr>
        <w:t>3</w:t>
      </w:r>
      <w:r>
        <w:rPr>
          <w:rFonts w:eastAsiaTheme="minorEastAsia"/>
          <w:kern w:val="0"/>
          <w:sz w:val="24"/>
          <w:highlight w:val="none"/>
        </w:rPr>
        <w:t>t/a</w:t>
      </w:r>
      <w:r>
        <w:rPr>
          <w:rFonts w:hint="eastAsia" w:hAnsiTheme="minorEastAsia" w:eastAsiaTheme="minorEastAsia"/>
          <w:kern w:val="0"/>
          <w:sz w:val="24"/>
          <w:highlight w:val="none"/>
        </w:rPr>
        <w:t>，</w:t>
      </w:r>
      <w:r>
        <w:rPr>
          <w:rFonts w:hAnsiTheme="minorEastAsia" w:eastAsiaTheme="minorEastAsia"/>
          <w:kern w:val="0"/>
          <w:sz w:val="24"/>
          <w:highlight w:val="none"/>
        </w:rPr>
        <w:t>产生速率为</w:t>
      </w:r>
      <w:r>
        <w:rPr>
          <w:rFonts w:eastAsiaTheme="minorEastAsia"/>
          <w:kern w:val="0"/>
          <w:sz w:val="24"/>
          <w:highlight w:val="none"/>
        </w:rPr>
        <w:t>0.0</w:t>
      </w:r>
      <w:r>
        <w:rPr>
          <w:rFonts w:hint="eastAsia" w:eastAsiaTheme="minorEastAsia"/>
          <w:kern w:val="0"/>
          <w:sz w:val="24"/>
          <w:highlight w:val="none"/>
        </w:rPr>
        <w:t>52</w:t>
      </w:r>
      <w:r>
        <w:rPr>
          <w:rFonts w:eastAsiaTheme="minorEastAsia"/>
          <w:kern w:val="0"/>
          <w:sz w:val="24"/>
          <w:highlight w:val="none"/>
        </w:rPr>
        <w:t>kg/h</w:t>
      </w:r>
      <w:r>
        <w:rPr>
          <w:rFonts w:hint="eastAsia" w:eastAsiaTheme="minorEastAsia"/>
          <w:kern w:val="0"/>
          <w:sz w:val="24"/>
          <w:highlight w:val="none"/>
        </w:rPr>
        <w:t>，</w:t>
      </w:r>
      <w:r>
        <w:rPr>
          <w:rFonts w:hAnsiTheme="minorEastAsia" w:eastAsiaTheme="minorEastAsia"/>
          <w:kern w:val="0"/>
          <w:sz w:val="24"/>
          <w:highlight w:val="none"/>
        </w:rPr>
        <w:t>产生浓度为</w:t>
      </w:r>
      <w:r>
        <w:rPr>
          <w:rFonts w:hint="eastAsia" w:eastAsiaTheme="minorEastAsia"/>
          <w:kern w:val="0"/>
          <w:sz w:val="24"/>
          <w:highlight w:val="none"/>
        </w:rPr>
        <w:t>1.687</w:t>
      </w:r>
      <w:r>
        <w:rPr>
          <w:rFonts w:eastAsiaTheme="minorEastAsia"/>
          <w:kern w:val="0"/>
          <w:sz w:val="24"/>
          <w:highlight w:val="none"/>
        </w:rPr>
        <w:t>mg/m</w:t>
      </w:r>
      <w:r>
        <w:rPr>
          <w:rFonts w:eastAsiaTheme="minorEastAsia"/>
          <w:kern w:val="0"/>
          <w:sz w:val="24"/>
          <w:highlight w:val="none"/>
          <w:vertAlign w:val="superscript"/>
        </w:rPr>
        <w:t>3</w:t>
      </w:r>
      <w:r>
        <w:rPr>
          <w:rFonts w:hint="eastAsia" w:hAnsiTheme="minorEastAsia" w:eastAsiaTheme="minorEastAsia"/>
          <w:kern w:val="0"/>
          <w:sz w:val="24"/>
          <w:highlight w:val="none"/>
        </w:rPr>
        <w:t>；</w:t>
      </w:r>
      <w:r>
        <w:rPr>
          <w:rFonts w:hAnsiTheme="minorEastAsia" w:eastAsiaTheme="minorEastAsia"/>
          <w:kern w:val="0"/>
          <w:sz w:val="24"/>
          <w:highlight w:val="none"/>
        </w:rPr>
        <w:t>有组织</w:t>
      </w:r>
      <w:r>
        <w:rPr>
          <w:rFonts w:hint="eastAsia" w:hAnsiTheme="minorEastAsia" w:eastAsiaTheme="minorEastAsia"/>
          <w:kern w:val="0"/>
          <w:sz w:val="24"/>
          <w:highlight w:val="none"/>
        </w:rPr>
        <w:t>非甲烷</w:t>
      </w:r>
      <w:r>
        <w:rPr>
          <w:rFonts w:hAnsiTheme="minorEastAsia" w:eastAsiaTheme="minorEastAsia"/>
          <w:kern w:val="0"/>
          <w:sz w:val="24"/>
          <w:highlight w:val="none"/>
        </w:rPr>
        <w:t>总烃</w:t>
      </w:r>
      <w:r>
        <w:rPr>
          <w:rFonts w:hint="eastAsia" w:hAnsiTheme="minorEastAsia" w:eastAsiaTheme="minorEastAsia"/>
          <w:kern w:val="0"/>
          <w:sz w:val="24"/>
          <w:highlight w:val="none"/>
        </w:rPr>
        <w:t>排放</w:t>
      </w:r>
      <w:r>
        <w:rPr>
          <w:rFonts w:hAnsiTheme="minorEastAsia" w:eastAsiaTheme="minorEastAsia"/>
          <w:kern w:val="0"/>
          <w:sz w:val="24"/>
          <w:highlight w:val="none"/>
        </w:rPr>
        <w:t>量为</w:t>
      </w:r>
      <w:r>
        <w:rPr>
          <w:rFonts w:eastAsiaTheme="minorEastAsia"/>
          <w:kern w:val="0"/>
          <w:sz w:val="24"/>
          <w:highlight w:val="none"/>
        </w:rPr>
        <w:t>0.</w:t>
      </w:r>
      <w:r>
        <w:rPr>
          <w:rFonts w:hint="eastAsia" w:eastAsiaTheme="minorEastAsia"/>
          <w:kern w:val="0"/>
          <w:sz w:val="24"/>
          <w:highlight w:val="none"/>
        </w:rPr>
        <w:t>01</w:t>
      </w:r>
      <w:r>
        <w:rPr>
          <w:rFonts w:eastAsiaTheme="minorEastAsia"/>
          <w:kern w:val="0"/>
          <w:sz w:val="24"/>
          <w:highlight w:val="none"/>
        </w:rPr>
        <w:t>t/a</w:t>
      </w:r>
      <w:r>
        <w:rPr>
          <w:rFonts w:hint="eastAsia" w:hAnsiTheme="minorEastAsia" w:eastAsiaTheme="minorEastAsia"/>
          <w:kern w:val="0"/>
          <w:sz w:val="24"/>
          <w:highlight w:val="none"/>
        </w:rPr>
        <w:t>，排放</w:t>
      </w:r>
      <w:r>
        <w:rPr>
          <w:rFonts w:hAnsiTheme="minorEastAsia" w:eastAsiaTheme="minorEastAsia"/>
          <w:kern w:val="0"/>
          <w:sz w:val="24"/>
          <w:highlight w:val="none"/>
        </w:rPr>
        <w:t>速率为</w:t>
      </w:r>
      <w:r>
        <w:rPr>
          <w:rFonts w:eastAsiaTheme="minorEastAsia"/>
          <w:kern w:val="0"/>
          <w:sz w:val="24"/>
          <w:highlight w:val="none"/>
        </w:rPr>
        <w:t>0.0</w:t>
      </w:r>
      <w:r>
        <w:rPr>
          <w:rFonts w:hint="eastAsia" w:eastAsiaTheme="minorEastAsia"/>
          <w:kern w:val="0"/>
          <w:sz w:val="24"/>
          <w:highlight w:val="none"/>
        </w:rPr>
        <w:t>05</w:t>
      </w:r>
      <w:r>
        <w:rPr>
          <w:rFonts w:eastAsiaTheme="minorEastAsia"/>
          <w:kern w:val="0"/>
          <w:sz w:val="24"/>
          <w:highlight w:val="none"/>
        </w:rPr>
        <w:t>kg/h，</w:t>
      </w:r>
      <w:r>
        <w:rPr>
          <w:rFonts w:hint="eastAsia" w:hAnsiTheme="minorEastAsia" w:eastAsiaTheme="minorEastAsia"/>
          <w:kern w:val="0"/>
          <w:sz w:val="24"/>
          <w:highlight w:val="none"/>
        </w:rPr>
        <w:t>排放</w:t>
      </w:r>
      <w:r>
        <w:rPr>
          <w:rFonts w:hAnsiTheme="minorEastAsia" w:eastAsiaTheme="minorEastAsia"/>
          <w:kern w:val="0"/>
          <w:sz w:val="24"/>
          <w:highlight w:val="none"/>
        </w:rPr>
        <w:t>浓度为</w:t>
      </w:r>
      <w:r>
        <w:rPr>
          <w:rFonts w:hint="eastAsia" w:eastAsiaTheme="minorEastAsia"/>
          <w:kern w:val="0"/>
          <w:sz w:val="24"/>
          <w:highlight w:val="none"/>
        </w:rPr>
        <w:t>0.169</w:t>
      </w:r>
      <w:r>
        <w:rPr>
          <w:rFonts w:eastAsiaTheme="minorEastAsia"/>
          <w:kern w:val="0"/>
          <w:sz w:val="24"/>
          <w:highlight w:val="none"/>
        </w:rPr>
        <w:t>g/m</w:t>
      </w:r>
      <w:r>
        <w:rPr>
          <w:rFonts w:eastAsiaTheme="minorEastAsia"/>
          <w:kern w:val="0"/>
          <w:sz w:val="24"/>
          <w:highlight w:val="none"/>
          <w:vertAlign w:val="superscript"/>
        </w:rPr>
        <w:t>3</w:t>
      </w:r>
      <w:r>
        <w:rPr>
          <w:rFonts w:hint="eastAsia" w:hAnsiTheme="minorEastAsia" w:eastAsiaTheme="minorEastAsia"/>
          <w:kern w:val="0"/>
          <w:sz w:val="24"/>
          <w:highlight w:val="none"/>
        </w:rPr>
        <w:t>；无</w:t>
      </w:r>
      <w:r>
        <w:rPr>
          <w:rFonts w:hAnsiTheme="minorEastAsia" w:eastAsiaTheme="minorEastAsia"/>
          <w:kern w:val="0"/>
          <w:sz w:val="24"/>
          <w:highlight w:val="none"/>
        </w:rPr>
        <w:t>组织</w:t>
      </w:r>
      <w:r>
        <w:rPr>
          <w:rFonts w:hint="eastAsia" w:hAnsiTheme="minorEastAsia" w:eastAsiaTheme="minorEastAsia"/>
          <w:kern w:val="0"/>
          <w:sz w:val="24"/>
          <w:highlight w:val="none"/>
        </w:rPr>
        <w:t>非甲烷</w:t>
      </w:r>
      <w:r>
        <w:rPr>
          <w:rFonts w:hAnsiTheme="minorEastAsia" w:eastAsiaTheme="minorEastAsia"/>
          <w:kern w:val="0"/>
          <w:sz w:val="24"/>
          <w:highlight w:val="none"/>
        </w:rPr>
        <w:t>总烃</w:t>
      </w:r>
      <w:r>
        <w:rPr>
          <w:rFonts w:hint="eastAsia" w:hAnsiTheme="minorEastAsia" w:eastAsiaTheme="minorEastAsia"/>
          <w:kern w:val="0"/>
          <w:sz w:val="24"/>
          <w:highlight w:val="none"/>
        </w:rPr>
        <w:t>排放</w:t>
      </w:r>
      <w:r>
        <w:rPr>
          <w:rFonts w:hAnsiTheme="minorEastAsia" w:eastAsiaTheme="minorEastAsia"/>
          <w:kern w:val="0"/>
          <w:sz w:val="24"/>
          <w:highlight w:val="none"/>
        </w:rPr>
        <w:t>量为</w:t>
      </w:r>
      <w:r>
        <w:rPr>
          <w:rFonts w:eastAsiaTheme="minorEastAsia"/>
          <w:kern w:val="0"/>
          <w:sz w:val="24"/>
          <w:highlight w:val="none"/>
        </w:rPr>
        <w:t>0.</w:t>
      </w:r>
      <w:r>
        <w:rPr>
          <w:rFonts w:hint="eastAsia" w:eastAsiaTheme="minorEastAsia"/>
          <w:kern w:val="0"/>
          <w:sz w:val="24"/>
          <w:highlight w:val="none"/>
        </w:rPr>
        <w:t>006</w:t>
      </w:r>
      <w:r>
        <w:rPr>
          <w:rFonts w:eastAsiaTheme="minorEastAsia"/>
          <w:kern w:val="0"/>
          <w:sz w:val="24"/>
          <w:highlight w:val="none"/>
        </w:rPr>
        <w:t>t/a</w:t>
      </w:r>
      <w:r>
        <w:rPr>
          <w:rFonts w:hint="eastAsia" w:hAnsiTheme="minorEastAsia" w:eastAsiaTheme="minorEastAsia"/>
          <w:kern w:val="0"/>
          <w:sz w:val="24"/>
          <w:highlight w:val="none"/>
        </w:rPr>
        <w:t>，排放</w:t>
      </w:r>
      <w:r>
        <w:rPr>
          <w:rFonts w:hAnsiTheme="minorEastAsia" w:eastAsiaTheme="minorEastAsia"/>
          <w:kern w:val="0"/>
          <w:sz w:val="24"/>
          <w:highlight w:val="none"/>
        </w:rPr>
        <w:t>速率为</w:t>
      </w:r>
      <w:r>
        <w:rPr>
          <w:rFonts w:eastAsiaTheme="minorEastAsia"/>
          <w:kern w:val="0"/>
          <w:sz w:val="24"/>
          <w:highlight w:val="none"/>
        </w:rPr>
        <w:t>0.0</w:t>
      </w:r>
      <w:r>
        <w:rPr>
          <w:rFonts w:hint="eastAsia" w:eastAsiaTheme="minorEastAsia"/>
          <w:kern w:val="0"/>
          <w:sz w:val="24"/>
          <w:highlight w:val="none"/>
        </w:rPr>
        <w:t>02</w:t>
      </w:r>
      <w:r>
        <w:rPr>
          <w:rFonts w:eastAsiaTheme="minorEastAsia"/>
          <w:kern w:val="0"/>
          <w:sz w:val="24"/>
          <w:highlight w:val="none"/>
        </w:rPr>
        <w:t>kg/h</w:t>
      </w:r>
      <w:r>
        <w:rPr>
          <w:rFonts w:hAnsiTheme="minorEastAsia" w:eastAsiaTheme="minorEastAsia"/>
          <w:kern w:val="0"/>
          <w:sz w:val="24"/>
          <w:highlight w:val="none"/>
        </w:rPr>
        <w:t>。</w:t>
      </w:r>
      <w:bookmarkEnd w:id="286"/>
    </w:p>
    <w:p w14:paraId="2D922BCB">
      <w:pPr>
        <w:spacing w:line="360" w:lineRule="auto"/>
        <w:ind w:firstLine="480" w:firstLineChars="200"/>
        <w:rPr>
          <w:rFonts w:eastAsiaTheme="minorEastAsia"/>
          <w:kern w:val="0"/>
          <w:sz w:val="24"/>
          <w:highlight w:val="none"/>
        </w:rPr>
      </w:pPr>
      <w:r>
        <w:rPr>
          <w:rFonts w:hint="eastAsia" w:eastAsiaTheme="minorEastAsia"/>
          <w:kern w:val="0"/>
          <w:sz w:val="24"/>
          <w:highlight w:val="none"/>
          <w:lang w:val="en-US" w:eastAsia="zh-CN"/>
        </w:rPr>
        <w:t>6</w:t>
      </w:r>
      <w:r>
        <w:rPr>
          <w:rFonts w:hAnsiTheme="minorEastAsia" w:eastAsiaTheme="minorEastAsia"/>
          <w:kern w:val="0"/>
          <w:sz w:val="24"/>
          <w:highlight w:val="none"/>
        </w:rPr>
        <w:t>、封口胶固化废气</w:t>
      </w:r>
    </w:p>
    <w:p w14:paraId="63F1FBCE">
      <w:pPr>
        <w:spacing w:line="360" w:lineRule="auto"/>
        <w:ind w:firstLine="480" w:firstLineChars="200"/>
        <w:rPr>
          <w:rFonts w:hAnsiTheme="minorEastAsia" w:eastAsiaTheme="minorEastAsia"/>
          <w:kern w:val="0"/>
          <w:sz w:val="24"/>
          <w:highlight w:val="none"/>
        </w:rPr>
      </w:pPr>
      <w:r>
        <w:rPr>
          <w:rFonts w:hAnsiTheme="minorEastAsia" w:eastAsiaTheme="minorEastAsia"/>
          <w:kern w:val="0"/>
          <w:sz w:val="24"/>
          <w:highlight w:val="none"/>
        </w:rPr>
        <w:t>零部件装配需使用封口胶，封口胶中含有有机物，根据封口胶分析报告中挥发性有机物含量为</w:t>
      </w:r>
      <w:r>
        <w:rPr>
          <w:rFonts w:eastAsiaTheme="minorEastAsia"/>
          <w:kern w:val="0"/>
          <w:sz w:val="24"/>
          <w:highlight w:val="none"/>
        </w:rPr>
        <w:t>4.01%</w:t>
      </w:r>
      <w:r>
        <w:rPr>
          <w:rFonts w:hAnsiTheme="minorEastAsia" w:eastAsiaTheme="minorEastAsia"/>
          <w:kern w:val="0"/>
          <w:sz w:val="24"/>
          <w:highlight w:val="none"/>
        </w:rPr>
        <w:t>，封口胶使用量</w:t>
      </w:r>
      <w:r>
        <w:rPr>
          <w:rFonts w:hint="eastAsia" w:eastAsiaTheme="minorEastAsia"/>
          <w:kern w:val="0"/>
          <w:sz w:val="24"/>
          <w:highlight w:val="none"/>
        </w:rPr>
        <w:t>10.2</w:t>
      </w:r>
      <w:r>
        <w:rPr>
          <w:rFonts w:eastAsiaTheme="minorEastAsia"/>
          <w:kern w:val="0"/>
          <w:sz w:val="24"/>
          <w:highlight w:val="none"/>
        </w:rPr>
        <w:t>t/a</w:t>
      </w:r>
      <w:r>
        <w:rPr>
          <w:rFonts w:hAnsiTheme="minorEastAsia" w:eastAsiaTheme="minorEastAsia"/>
          <w:kern w:val="0"/>
          <w:sz w:val="24"/>
          <w:highlight w:val="none"/>
        </w:rPr>
        <w:t>，则挥发性有机物（以非甲烷总烃计）产生量为</w:t>
      </w:r>
      <w:r>
        <w:rPr>
          <w:rFonts w:hint="eastAsia" w:eastAsiaTheme="minorEastAsia"/>
          <w:kern w:val="0"/>
          <w:sz w:val="24"/>
          <w:highlight w:val="none"/>
        </w:rPr>
        <w:t>0.41</w:t>
      </w:r>
      <w:r>
        <w:rPr>
          <w:rFonts w:eastAsiaTheme="minorEastAsia"/>
          <w:kern w:val="0"/>
          <w:sz w:val="24"/>
          <w:highlight w:val="none"/>
        </w:rPr>
        <w:t>t/a</w:t>
      </w:r>
      <w:r>
        <w:rPr>
          <w:rFonts w:hAnsiTheme="minorEastAsia" w:eastAsiaTheme="minorEastAsia"/>
          <w:kern w:val="0"/>
          <w:sz w:val="24"/>
          <w:highlight w:val="none"/>
        </w:rPr>
        <w:t>，封口胶固化废气排放时间为</w:t>
      </w:r>
      <w:r>
        <w:rPr>
          <w:rFonts w:eastAsiaTheme="minorEastAsia"/>
          <w:kern w:val="0"/>
          <w:sz w:val="24"/>
          <w:highlight w:val="none"/>
        </w:rPr>
        <w:t>3000h/a</w:t>
      </w:r>
      <w:r>
        <w:rPr>
          <w:rFonts w:hAnsiTheme="minorEastAsia" w:eastAsiaTheme="minorEastAsia"/>
          <w:kern w:val="0"/>
          <w:sz w:val="24"/>
          <w:highlight w:val="none"/>
        </w:rPr>
        <w:t>，产生速率为</w:t>
      </w:r>
      <w:r>
        <w:rPr>
          <w:rFonts w:eastAsiaTheme="minorEastAsia"/>
          <w:kern w:val="0"/>
          <w:sz w:val="24"/>
          <w:highlight w:val="none"/>
        </w:rPr>
        <w:t>0.</w:t>
      </w:r>
      <w:r>
        <w:rPr>
          <w:rFonts w:hint="eastAsia" w:eastAsiaTheme="minorEastAsia"/>
          <w:kern w:val="0"/>
          <w:sz w:val="24"/>
          <w:highlight w:val="none"/>
        </w:rPr>
        <w:t>137</w:t>
      </w:r>
      <w:r>
        <w:rPr>
          <w:rFonts w:eastAsiaTheme="minorEastAsia"/>
          <w:kern w:val="0"/>
          <w:sz w:val="24"/>
          <w:highlight w:val="none"/>
        </w:rPr>
        <w:t>kg/h</w:t>
      </w:r>
      <w:r>
        <w:rPr>
          <w:rFonts w:hAnsiTheme="minorEastAsia" w:eastAsiaTheme="minorEastAsia"/>
          <w:kern w:val="0"/>
          <w:sz w:val="24"/>
          <w:highlight w:val="none"/>
        </w:rPr>
        <w:t>。</w:t>
      </w:r>
      <w:r>
        <w:rPr>
          <w:rFonts w:hint="eastAsia" w:hAnsiTheme="minorEastAsia" w:eastAsiaTheme="minorEastAsia"/>
          <w:sz w:val="24"/>
          <w:highlight w:val="none"/>
        </w:rPr>
        <w:t>本项目使用封口胶挥</w:t>
      </w:r>
      <w:r>
        <w:rPr>
          <w:rFonts w:hAnsiTheme="minorEastAsia" w:eastAsiaTheme="minorEastAsia"/>
          <w:kern w:val="0"/>
          <w:sz w:val="24"/>
          <w:highlight w:val="none"/>
        </w:rPr>
        <w:t>发性有机物含量低于</w:t>
      </w:r>
      <w:r>
        <w:rPr>
          <w:rFonts w:hint="eastAsia" w:hAnsiTheme="minorEastAsia" w:eastAsiaTheme="minorEastAsia"/>
          <w:kern w:val="0"/>
          <w:sz w:val="24"/>
          <w:highlight w:val="none"/>
        </w:rPr>
        <w:t>10%，</w:t>
      </w:r>
      <w:r>
        <w:rPr>
          <w:rFonts w:hAnsiTheme="minorEastAsia" w:eastAsiaTheme="minorEastAsia"/>
          <w:kern w:val="0"/>
          <w:sz w:val="24"/>
          <w:highlight w:val="none"/>
        </w:rPr>
        <w:t>且非甲烷总烃初始排放速率＜</w:t>
      </w:r>
      <w:r>
        <w:rPr>
          <w:rFonts w:eastAsiaTheme="minorEastAsia"/>
          <w:kern w:val="0"/>
          <w:sz w:val="24"/>
          <w:highlight w:val="none"/>
        </w:rPr>
        <w:t>2kg/h</w:t>
      </w:r>
      <w:r>
        <w:rPr>
          <w:rFonts w:hAnsiTheme="minorEastAsia" w:eastAsiaTheme="minorEastAsia"/>
          <w:kern w:val="0"/>
          <w:sz w:val="24"/>
          <w:highlight w:val="none"/>
        </w:rPr>
        <w:t>，封口胶涂胶及固化工序无法密闭，且无设置局部气体收集措施条件，故本项目未对密封胶涂胶及固化工序排放的非甲烷总烃采取收集措施，最终以无组织形式排放。</w:t>
      </w:r>
    </w:p>
    <w:p w14:paraId="326E2216">
      <w:pPr>
        <w:spacing w:line="360" w:lineRule="auto"/>
        <w:ind w:firstLine="480" w:firstLineChars="200"/>
        <w:rPr>
          <w:rFonts w:hAnsiTheme="minorEastAsia" w:eastAsiaTheme="minorEastAsia"/>
          <w:kern w:val="0"/>
          <w:sz w:val="24"/>
          <w:highlight w:val="none"/>
        </w:rPr>
      </w:pPr>
      <w:r>
        <w:rPr>
          <w:rFonts w:hint="eastAsia" w:hAnsiTheme="minorEastAsia" w:eastAsiaTheme="minorEastAsia"/>
          <w:kern w:val="0"/>
          <w:sz w:val="24"/>
          <w:highlight w:val="none"/>
          <w:lang w:val="en-US" w:eastAsia="zh-CN"/>
        </w:rPr>
        <w:t>7</w:t>
      </w:r>
      <w:r>
        <w:rPr>
          <w:rFonts w:hint="eastAsia" w:hAnsiTheme="minorEastAsia" w:eastAsiaTheme="minorEastAsia"/>
          <w:kern w:val="0"/>
          <w:sz w:val="24"/>
          <w:highlight w:val="none"/>
        </w:rPr>
        <w:t>、热试验废气</w:t>
      </w:r>
    </w:p>
    <w:p w14:paraId="4C14E0AB">
      <w:pPr>
        <w:spacing w:line="360" w:lineRule="auto"/>
        <w:ind w:firstLine="480" w:firstLineChars="200"/>
        <w:rPr>
          <w:rFonts w:hAnsiTheme="minorEastAsia" w:eastAsiaTheme="minorEastAsia"/>
          <w:kern w:val="0"/>
          <w:sz w:val="24"/>
          <w:highlight w:val="none"/>
        </w:rPr>
      </w:pPr>
      <w:r>
        <w:rPr>
          <w:rFonts w:hint="eastAsia" w:hAnsiTheme="minorEastAsia" w:eastAsiaTheme="minorEastAsia"/>
          <w:kern w:val="0"/>
          <w:sz w:val="24"/>
          <w:highlight w:val="none"/>
        </w:rPr>
        <w:t>热试验</w:t>
      </w:r>
      <w:r>
        <w:rPr>
          <w:rFonts w:hint="eastAsia" w:hAnsi="宋体"/>
          <w:snapToGrid w:val="0"/>
          <w:sz w:val="24"/>
          <w:highlight w:val="none"/>
        </w:rPr>
        <w:t>为点火试验，使用油品为汽油，汽油点火燃烧为产生废气，主要污染物为颗粒物、非甲烷总烃、氮氧化物、CO。</w:t>
      </w:r>
    </w:p>
    <w:p w14:paraId="71AC6935">
      <w:pPr>
        <w:spacing w:line="360" w:lineRule="auto"/>
        <w:ind w:firstLine="480" w:firstLineChars="200"/>
        <w:rPr>
          <w:sz w:val="24"/>
          <w:highlight w:val="none"/>
        </w:rPr>
      </w:pPr>
      <w:r>
        <w:rPr>
          <w:snapToGrid w:val="0"/>
          <w:sz w:val="24"/>
          <w:highlight w:val="none"/>
        </w:rPr>
        <w:t>颗粒物源强核算采用产排污系数法，</w:t>
      </w:r>
      <w:r>
        <w:rPr>
          <w:sz w:val="24"/>
          <w:highlight w:val="none"/>
        </w:rPr>
        <w:t>根据《环境保护实用数据手册》（胡名操主编，机械工业出版社出版），发动机气缸燃烧1000k</w:t>
      </w:r>
      <w:r>
        <w:rPr>
          <w:rFonts w:hint="eastAsia"/>
          <w:sz w:val="24"/>
          <w:highlight w:val="none"/>
        </w:rPr>
        <w:t>g</w:t>
      </w:r>
      <w:r>
        <w:rPr>
          <w:sz w:val="24"/>
          <w:highlight w:val="none"/>
        </w:rPr>
        <w:t>汽油排放有害物质的量为颗粒物1.34kg。</w:t>
      </w:r>
    </w:p>
    <w:p w14:paraId="64C28821">
      <w:pPr>
        <w:spacing w:line="360" w:lineRule="auto"/>
        <w:ind w:firstLine="480" w:firstLineChars="200"/>
        <w:rPr>
          <w:rFonts w:hAnsi="宋体"/>
          <w:snapToGrid w:val="0"/>
          <w:sz w:val="24"/>
          <w:highlight w:val="none"/>
        </w:rPr>
      </w:pPr>
      <w:r>
        <w:rPr>
          <w:rFonts w:hint="eastAsia"/>
          <w:sz w:val="24"/>
          <w:highlight w:val="none"/>
        </w:rPr>
        <w:t>本项目热试验耗油量为104.5t/a，颗粒物排放量为0.14t/a。</w:t>
      </w:r>
    </w:p>
    <w:p w14:paraId="39F4C69A">
      <w:pPr>
        <w:spacing w:line="360" w:lineRule="auto"/>
        <w:ind w:firstLine="480" w:firstLineChars="200"/>
        <w:jc w:val="left"/>
        <w:rPr>
          <w:rFonts w:hAnsi="宋体"/>
          <w:snapToGrid w:val="0"/>
          <w:sz w:val="24"/>
          <w:highlight w:val="none"/>
        </w:rPr>
      </w:pPr>
      <w:r>
        <w:rPr>
          <w:rFonts w:hint="eastAsia" w:hAnsi="宋体"/>
          <w:snapToGrid w:val="0"/>
          <w:sz w:val="24"/>
          <w:highlight w:val="none"/>
        </w:rPr>
        <w:t>NO</w:t>
      </w:r>
      <w:r>
        <w:rPr>
          <w:rFonts w:hint="eastAsia" w:hAnsi="宋体"/>
          <w:snapToGrid w:val="0"/>
          <w:sz w:val="24"/>
          <w:highlight w:val="none"/>
          <w:vertAlign w:val="subscript"/>
        </w:rPr>
        <w:t>x</w:t>
      </w:r>
      <w:r>
        <w:rPr>
          <w:rFonts w:hint="eastAsia" w:hAnsi="宋体"/>
          <w:snapToGrid w:val="0"/>
          <w:sz w:val="24"/>
          <w:highlight w:val="none"/>
        </w:rPr>
        <w:t>、非甲烷总烃、一氧化碳源强以及废气风量采用类比法。类比现有项目，本项目与类比的现有项目热试工艺相同，发动机热试燃料均为汽油，发动机热试尾气均采用三元催化装置处理，产能相近，因此类比可行。</w:t>
      </w:r>
    </w:p>
    <w:p w14:paraId="51C98584">
      <w:pPr>
        <w:spacing w:line="360" w:lineRule="auto"/>
        <w:ind w:firstLine="480" w:firstLineChars="200"/>
        <w:jc w:val="left"/>
        <w:rPr>
          <w:rFonts w:hAnsi="宋体"/>
          <w:snapToGrid w:val="0"/>
          <w:sz w:val="24"/>
          <w:highlight w:val="none"/>
        </w:rPr>
      </w:pPr>
      <w:r>
        <w:rPr>
          <w:rFonts w:hint="eastAsia" w:hAnsi="宋体"/>
          <w:snapToGrid w:val="0"/>
          <w:sz w:val="24"/>
          <w:highlight w:val="none"/>
        </w:rPr>
        <w:t>现有工程中4G1验发动机热试为15万台/年，每台发动机试车时间7min，1346.2h，耗油量为0.23L，年耗油量3.45万L（密度0.79g/cm</w:t>
      </w:r>
      <w:r>
        <w:rPr>
          <w:rFonts w:hint="eastAsia" w:hAnsi="宋体"/>
          <w:snapToGrid w:val="0"/>
          <w:sz w:val="24"/>
          <w:highlight w:val="none"/>
          <w:vertAlign w:val="superscript"/>
        </w:rPr>
        <w:t>3</w:t>
      </w:r>
      <w:r>
        <w:rPr>
          <w:rFonts w:hint="eastAsia" w:hAnsi="宋体"/>
          <w:snapToGrid w:val="0"/>
          <w:sz w:val="24"/>
          <w:highlight w:val="none"/>
        </w:rPr>
        <w:t>，折合为27.255t）。本项目建设完成后，发动机热试情况详见下表。</w:t>
      </w:r>
    </w:p>
    <w:p w14:paraId="6EE9C591">
      <w:pPr>
        <w:spacing w:line="360" w:lineRule="auto"/>
        <w:jc w:val="center"/>
        <w:rPr>
          <w:rFonts w:ascii="Calibri" w:hAnsi="Calibri"/>
          <w:sz w:val="24"/>
          <w:highlight w:val="none"/>
        </w:rPr>
      </w:pPr>
      <w:r>
        <w:rPr>
          <w:rFonts w:hint="eastAsia"/>
          <w:b/>
          <w:bCs/>
          <w:kern w:val="0"/>
          <w:sz w:val="24"/>
          <w:highlight w:val="none"/>
        </w:rPr>
        <w:t>表3-3-1本项目发动机热试情况一览表</w:t>
      </w:r>
    </w:p>
    <w:tbl>
      <w:tblPr>
        <w:tblStyle w:val="753"/>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951"/>
        <w:gridCol w:w="1984"/>
        <w:gridCol w:w="1560"/>
        <w:gridCol w:w="1561"/>
        <w:gridCol w:w="714"/>
        <w:gridCol w:w="752"/>
      </w:tblGrid>
      <w:tr w14:paraId="5C6B3C9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9" w:hRule="atLeast"/>
        </w:trPr>
        <w:tc>
          <w:tcPr>
            <w:tcW w:w="1145" w:type="pct"/>
            <w:vMerge w:val="restart"/>
            <w:tcBorders>
              <w:right w:val="single" w:color="auto" w:sz="4" w:space="0"/>
              <w:tl2br w:val="nil"/>
              <w:tr2bl w:val="nil"/>
            </w:tcBorders>
            <w:vAlign w:val="center"/>
          </w:tcPr>
          <w:p w14:paraId="32CD1B4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napToGrid w:val="0"/>
                <w:kern w:val="2"/>
                <w:sz w:val="21"/>
                <w:szCs w:val="21"/>
                <w:highlight w:val="none"/>
              </w:rPr>
            </w:pPr>
            <w:r>
              <w:rPr>
                <w:rFonts w:hint="default"/>
                <w:snapToGrid w:val="0"/>
                <w:kern w:val="2"/>
                <w:sz w:val="21"/>
                <w:szCs w:val="21"/>
                <w:highlight w:val="none"/>
              </w:rPr>
              <w:t>热试时间（min/台）</w:t>
            </w:r>
          </w:p>
        </w:tc>
        <w:tc>
          <w:tcPr>
            <w:tcW w:w="1164" w:type="pct"/>
            <w:vMerge w:val="restart"/>
            <w:tcBorders>
              <w:left w:val="single" w:color="auto" w:sz="4" w:space="0"/>
              <w:tl2br w:val="nil"/>
              <w:tr2bl w:val="nil"/>
            </w:tcBorders>
            <w:vAlign w:val="center"/>
          </w:tcPr>
          <w:p w14:paraId="30748E8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napToGrid w:val="0"/>
                <w:kern w:val="0"/>
                <w:sz w:val="20"/>
                <w:szCs w:val="21"/>
                <w:highlight w:val="none"/>
              </w:rPr>
            </w:pPr>
            <w:r>
              <w:rPr>
                <w:rFonts w:hint="default"/>
                <w:snapToGrid w:val="0"/>
                <w:kern w:val="2"/>
                <w:sz w:val="21"/>
                <w:szCs w:val="21"/>
                <w:highlight w:val="none"/>
              </w:rPr>
              <w:t>热试时间（</w:t>
            </w:r>
            <w:r>
              <w:rPr>
                <w:rFonts w:hint="eastAsia"/>
                <w:snapToGrid w:val="0"/>
                <w:kern w:val="2"/>
                <w:sz w:val="21"/>
                <w:szCs w:val="21"/>
                <w:highlight w:val="none"/>
              </w:rPr>
              <w:t>h/</w:t>
            </w:r>
            <w:r>
              <w:rPr>
                <w:rFonts w:hint="default"/>
                <w:snapToGrid w:val="0"/>
                <w:kern w:val="2"/>
                <w:sz w:val="21"/>
                <w:szCs w:val="21"/>
                <w:highlight w:val="none"/>
              </w:rPr>
              <w:t>年）</w:t>
            </w:r>
          </w:p>
        </w:tc>
        <w:tc>
          <w:tcPr>
            <w:tcW w:w="915" w:type="pct"/>
            <w:vMerge w:val="restart"/>
            <w:tcBorders>
              <w:tl2br w:val="nil"/>
              <w:tr2bl w:val="nil"/>
            </w:tcBorders>
            <w:vAlign w:val="center"/>
          </w:tcPr>
          <w:p w14:paraId="316C0DA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napToGrid w:val="0"/>
                <w:kern w:val="2"/>
                <w:sz w:val="21"/>
                <w:szCs w:val="21"/>
                <w:highlight w:val="none"/>
              </w:rPr>
            </w:pPr>
            <w:r>
              <w:rPr>
                <w:rFonts w:hint="default"/>
                <w:snapToGrid w:val="0"/>
                <w:kern w:val="2"/>
                <w:sz w:val="21"/>
                <w:szCs w:val="21"/>
                <w:highlight w:val="none"/>
              </w:rPr>
              <w:t>热试发动机（万台</w:t>
            </w:r>
            <w:r>
              <w:rPr>
                <w:rFonts w:hint="eastAsia"/>
                <w:snapToGrid w:val="0"/>
                <w:kern w:val="2"/>
                <w:sz w:val="21"/>
                <w:szCs w:val="21"/>
                <w:highlight w:val="none"/>
              </w:rPr>
              <w:t>/年</w:t>
            </w:r>
            <w:r>
              <w:rPr>
                <w:rFonts w:hint="default"/>
                <w:snapToGrid w:val="0"/>
                <w:kern w:val="2"/>
                <w:sz w:val="21"/>
                <w:szCs w:val="21"/>
                <w:highlight w:val="none"/>
              </w:rPr>
              <w:t>）</w:t>
            </w:r>
          </w:p>
        </w:tc>
        <w:tc>
          <w:tcPr>
            <w:tcW w:w="916" w:type="pct"/>
            <w:vMerge w:val="restart"/>
            <w:tcBorders>
              <w:tl2br w:val="nil"/>
              <w:tr2bl w:val="nil"/>
            </w:tcBorders>
            <w:vAlign w:val="center"/>
          </w:tcPr>
          <w:p w14:paraId="48863CE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kern w:val="2"/>
                <w:sz w:val="21"/>
                <w:szCs w:val="21"/>
                <w:highlight w:val="none"/>
              </w:rPr>
            </w:pPr>
            <w:r>
              <w:rPr>
                <w:rFonts w:hint="default"/>
                <w:kern w:val="2"/>
                <w:sz w:val="21"/>
                <w:szCs w:val="21"/>
                <w:highlight w:val="none"/>
              </w:rPr>
              <w:t>耗油量（</w:t>
            </w:r>
            <w:r>
              <w:rPr>
                <w:rFonts w:hint="eastAsia"/>
                <w:snapToGrid w:val="0"/>
                <w:kern w:val="2"/>
                <w:sz w:val="21"/>
                <w:szCs w:val="21"/>
                <w:highlight w:val="none"/>
              </w:rPr>
              <w:t>kg</w:t>
            </w:r>
            <w:r>
              <w:rPr>
                <w:rFonts w:hint="default"/>
                <w:snapToGrid w:val="0"/>
                <w:kern w:val="2"/>
                <w:sz w:val="21"/>
                <w:szCs w:val="21"/>
                <w:highlight w:val="none"/>
              </w:rPr>
              <w:t>/台</w:t>
            </w:r>
            <w:r>
              <w:rPr>
                <w:rFonts w:hint="default"/>
                <w:kern w:val="2"/>
                <w:sz w:val="21"/>
                <w:szCs w:val="21"/>
                <w:highlight w:val="none"/>
              </w:rPr>
              <w:t>）</w:t>
            </w:r>
          </w:p>
        </w:tc>
        <w:tc>
          <w:tcPr>
            <w:tcW w:w="860" w:type="pct"/>
            <w:gridSpan w:val="2"/>
            <w:tcBorders>
              <w:bottom w:val="single" w:color="auto" w:sz="4" w:space="0"/>
              <w:tl2br w:val="nil"/>
              <w:tr2bl w:val="nil"/>
            </w:tcBorders>
            <w:vAlign w:val="center"/>
          </w:tcPr>
          <w:p w14:paraId="2DC977C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kern w:val="2"/>
                <w:sz w:val="21"/>
                <w:szCs w:val="21"/>
                <w:highlight w:val="none"/>
              </w:rPr>
            </w:pPr>
            <w:r>
              <w:rPr>
                <w:rFonts w:hint="default"/>
                <w:kern w:val="2"/>
                <w:sz w:val="21"/>
                <w:szCs w:val="21"/>
                <w:highlight w:val="none"/>
              </w:rPr>
              <w:t>耗油量</w:t>
            </w:r>
          </w:p>
        </w:tc>
      </w:tr>
      <w:tr w14:paraId="43460DD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6" w:hRule="atLeast"/>
        </w:trPr>
        <w:tc>
          <w:tcPr>
            <w:tcW w:w="1145" w:type="pct"/>
            <w:vMerge w:val="continue"/>
            <w:tcBorders>
              <w:right w:val="single" w:color="auto" w:sz="4" w:space="0"/>
              <w:tl2br w:val="nil"/>
              <w:tr2bl w:val="nil"/>
            </w:tcBorders>
            <w:vAlign w:val="center"/>
          </w:tcPr>
          <w:p w14:paraId="5CFFAE9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napToGrid w:val="0"/>
                <w:kern w:val="0"/>
                <w:sz w:val="20"/>
                <w:szCs w:val="21"/>
                <w:highlight w:val="none"/>
              </w:rPr>
            </w:pPr>
          </w:p>
        </w:tc>
        <w:tc>
          <w:tcPr>
            <w:tcW w:w="1164" w:type="pct"/>
            <w:vMerge w:val="continue"/>
            <w:tcBorders>
              <w:left w:val="single" w:color="auto" w:sz="4" w:space="0"/>
              <w:tl2br w:val="nil"/>
              <w:tr2bl w:val="nil"/>
            </w:tcBorders>
            <w:vAlign w:val="center"/>
          </w:tcPr>
          <w:p w14:paraId="556D218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napToGrid w:val="0"/>
                <w:kern w:val="0"/>
                <w:sz w:val="20"/>
                <w:szCs w:val="21"/>
                <w:highlight w:val="none"/>
              </w:rPr>
            </w:pPr>
          </w:p>
        </w:tc>
        <w:tc>
          <w:tcPr>
            <w:tcW w:w="915" w:type="pct"/>
            <w:vMerge w:val="continue"/>
            <w:tcBorders>
              <w:tl2br w:val="nil"/>
              <w:tr2bl w:val="nil"/>
            </w:tcBorders>
            <w:vAlign w:val="center"/>
          </w:tcPr>
          <w:p w14:paraId="02BD8DA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napToGrid w:val="0"/>
                <w:kern w:val="0"/>
                <w:sz w:val="20"/>
                <w:szCs w:val="21"/>
                <w:highlight w:val="none"/>
              </w:rPr>
            </w:pPr>
          </w:p>
        </w:tc>
        <w:tc>
          <w:tcPr>
            <w:tcW w:w="916" w:type="pct"/>
            <w:vMerge w:val="continue"/>
            <w:tcBorders>
              <w:tl2br w:val="nil"/>
              <w:tr2bl w:val="nil"/>
            </w:tcBorders>
            <w:vAlign w:val="center"/>
          </w:tcPr>
          <w:p w14:paraId="08FBD66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kern w:val="0"/>
                <w:sz w:val="20"/>
                <w:szCs w:val="21"/>
                <w:highlight w:val="none"/>
              </w:rPr>
            </w:pPr>
          </w:p>
        </w:tc>
        <w:tc>
          <w:tcPr>
            <w:tcW w:w="419" w:type="pct"/>
            <w:tcBorders>
              <w:top w:val="single" w:color="auto" w:sz="4" w:space="0"/>
              <w:right w:val="single" w:color="auto" w:sz="4" w:space="0"/>
              <w:tl2br w:val="nil"/>
              <w:tr2bl w:val="nil"/>
            </w:tcBorders>
            <w:vAlign w:val="center"/>
          </w:tcPr>
          <w:p w14:paraId="2446A2C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kern w:val="0"/>
                <w:sz w:val="20"/>
                <w:szCs w:val="21"/>
                <w:highlight w:val="none"/>
              </w:rPr>
            </w:pPr>
            <w:r>
              <w:rPr>
                <w:rFonts w:hint="eastAsia"/>
                <w:kern w:val="2"/>
                <w:sz w:val="21"/>
                <w:szCs w:val="21"/>
                <w:highlight w:val="none"/>
              </w:rPr>
              <w:t>t</w:t>
            </w:r>
            <w:r>
              <w:rPr>
                <w:rFonts w:hint="default"/>
                <w:kern w:val="2"/>
                <w:sz w:val="21"/>
                <w:szCs w:val="21"/>
                <w:highlight w:val="none"/>
              </w:rPr>
              <w:t>/a</w:t>
            </w:r>
          </w:p>
        </w:tc>
        <w:tc>
          <w:tcPr>
            <w:tcW w:w="441" w:type="pct"/>
            <w:tcBorders>
              <w:top w:val="single" w:color="auto" w:sz="4" w:space="0"/>
              <w:left w:val="single" w:color="auto" w:sz="4" w:space="0"/>
              <w:tl2br w:val="nil"/>
              <w:tr2bl w:val="nil"/>
            </w:tcBorders>
            <w:vAlign w:val="center"/>
          </w:tcPr>
          <w:p w14:paraId="167FD2A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kern w:val="0"/>
                <w:sz w:val="20"/>
                <w:szCs w:val="21"/>
                <w:highlight w:val="none"/>
              </w:rPr>
            </w:pPr>
            <w:r>
              <w:rPr>
                <w:rFonts w:hint="default"/>
                <w:kern w:val="0"/>
                <w:sz w:val="20"/>
                <w:szCs w:val="21"/>
                <w:highlight w:val="none"/>
              </w:rPr>
              <w:t>t/h</w:t>
            </w:r>
          </w:p>
        </w:tc>
      </w:tr>
      <w:tr w14:paraId="62B64CA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45" w:type="pct"/>
            <w:tcBorders>
              <w:right w:val="single" w:color="auto" w:sz="4" w:space="0"/>
              <w:tl2br w:val="nil"/>
              <w:tr2bl w:val="nil"/>
            </w:tcBorders>
            <w:vAlign w:val="center"/>
          </w:tcPr>
          <w:p w14:paraId="57BE147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napToGrid w:val="0"/>
                <w:kern w:val="2"/>
                <w:sz w:val="21"/>
                <w:szCs w:val="21"/>
                <w:highlight w:val="none"/>
              </w:rPr>
            </w:pPr>
            <w:r>
              <w:rPr>
                <w:rFonts w:hint="eastAsia"/>
                <w:snapToGrid w:val="0"/>
                <w:kern w:val="2"/>
                <w:sz w:val="21"/>
                <w:szCs w:val="21"/>
                <w:highlight w:val="none"/>
              </w:rPr>
              <w:t>10</w:t>
            </w:r>
          </w:p>
        </w:tc>
        <w:tc>
          <w:tcPr>
            <w:tcW w:w="1164" w:type="pct"/>
            <w:tcBorders>
              <w:left w:val="single" w:color="auto" w:sz="4" w:space="0"/>
              <w:tl2br w:val="nil"/>
              <w:tr2bl w:val="nil"/>
            </w:tcBorders>
            <w:vAlign w:val="center"/>
          </w:tcPr>
          <w:p w14:paraId="415908A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napToGrid w:val="0"/>
                <w:kern w:val="0"/>
                <w:sz w:val="20"/>
                <w:szCs w:val="21"/>
                <w:highlight w:val="none"/>
              </w:rPr>
            </w:pPr>
            <w:r>
              <w:rPr>
                <w:rFonts w:hint="eastAsia"/>
                <w:snapToGrid w:val="0"/>
                <w:kern w:val="0"/>
                <w:sz w:val="20"/>
                <w:szCs w:val="21"/>
                <w:highlight w:val="none"/>
              </w:rPr>
              <w:t>2639</w:t>
            </w:r>
          </w:p>
        </w:tc>
        <w:tc>
          <w:tcPr>
            <w:tcW w:w="915" w:type="pct"/>
            <w:tcBorders>
              <w:tl2br w:val="nil"/>
              <w:tr2bl w:val="nil"/>
            </w:tcBorders>
            <w:vAlign w:val="center"/>
          </w:tcPr>
          <w:p w14:paraId="2FB77C4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napToGrid w:val="0"/>
                <w:kern w:val="2"/>
                <w:sz w:val="21"/>
                <w:szCs w:val="21"/>
                <w:highlight w:val="none"/>
              </w:rPr>
            </w:pPr>
            <w:r>
              <w:rPr>
                <w:rFonts w:hint="eastAsia"/>
                <w:snapToGrid w:val="0"/>
                <w:kern w:val="2"/>
                <w:sz w:val="21"/>
                <w:szCs w:val="21"/>
                <w:highlight w:val="none"/>
              </w:rPr>
              <w:t>19</w:t>
            </w:r>
          </w:p>
        </w:tc>
        <w:tc>
          <w:tcPr>
            <w:tcW w:w="916" w:type="pct"/>
            <w:tcBorders>
              <w:tl2br w:val="nil"/>
              <w:tr2bl w:val="nil"/>
            </w:tcBorders>
            <w:vAlign w:val="center"/>
          </w:tcPr>
          <w:p w14:paraId="21D2967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napToGrid w:val="0"/>
                <w:kern w:val="2"/>
                <w:sz w:val="21"/>
                <w:szCs w:val="21"/>
                <w:highlight w:val="none"/>
              </w:rPr>
            </w:pPr>
            <w:r>
              <w:rPr>
                <w:rFonts w:hint="eastAsia"/>
                <w:snapToGrid w:val="0"/>
                <w:kern w:val="2"/>
                <w:sz w:val="21"/>
                <w:szCs w:val="21"/>
                <w:highlight w:val="none"/>
              </w:rPr>
              <w:t>0.55</w:t>
            </w:r>
          </w:p>
        </w:tc>
        <w:tc>
          <w:tcPr>
            <w:tcW w:w="419" w:type="pct"/>
            <w:tcBorders>
              <w:right w:val="single" w:color="auto" w:sz="4" w:space="0"/>
              <w:tl2br w:val="nil"/>
              <w:tr2bl w:val="nil"/>
            </w:tcBorders>
            <w:vAlign w:val="center"/>
          </w:tcPr>
          <w:p w14:paraId="3F330F2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napToGrid w:val="0"/>
                <w:kern w:val="2"/>
                <w:sz w:val="21"/>
                <w:szCs w:val="21"/>
                <w:highlight w:val="none"/>
              </w:rPr>
            </w:pPr>
            <w:r>
              <w:rPr>
                <w:rFonts w:hint="eastAsia"/>
                <w:snapToGrid w:val="0"/>
                <w:kern w:val="2"/>
                <w:sz w:val="21"/>
                <w:szCs w:val="21"/>
                <w:highlight w:val="none"/>
              </w:rPr>
              <w:t>104.5</w:t>
            </w:r>
          </w:p>
        </w:tc>
        <w:tc>
          <w:tcPr>
            <w:tcW w:w="441" w:type="pct"/>
            <w:tcBorders>
              <w:left w:val="single" w:color="auto" w:sz="4" w:space="0"/>
              <w:tl2br w:val="nil"/>
              <w:tr2bl w:val="nil"/>
            </w:tcBorders>
            <w:vAlign w:val="center"/>
          </w:tcPr>
          <w:p w14:paraId="41E8AF9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napToGrid w:val="0"/>
                <w:kern w:val="0"/>
                <w:sz w:val="20"/>
                <w:szCs w:val="21"/>
                <w:highlight w:val="none"/>
              </w:rPr>
            </w:pPr>
            <w:r>
              <w:rPr>
                <w:rFonts w:hint="eastAsia"/>
                <w:snapToGrid w:val="0"/>
                <w:kern w:val="0"/>
                <w:sz w:val="20"/>
                <w:szCs w:val="21"/>
                <w:highlight w:val="none"/>
              </w:rPr>
              <w:t>0.04</w:t>
            </w:r>
          </w:p>
        </w:tc>
      </w:tr>
    </w:tbl>
    <w:p w14:paraId="27093FDD">
      <w:pPr>
        <w:spacing w:line="360" w:lineRule="auto"/>
        <w:ind w:firstLine="480" w:firstLineChars="200"/>
        <w:rPr>
          <w:rFonts w:hAnsi="宋体"/>
          <w:snapToGrid w:val="0"/>
          <w:sz w:val="24"/>
          <w:highlight w:val="none"/>
        </w:rPr>
      </w:pPr>
      <w:r>
        <w:rPr>
          <w:rFonts w:hint="eastAsia" w:hAnsi="宋体"/>
          <w:snapToGrid w:val="0"/>
          <w:sz w:val="24"/>
          <w:highlight w:val="none"/>
        </w:rPr>
        <w:t>类比现有1号厂房4G1发动机热试废气的6月份例行监测结果（报告编号：HTH20220116-7）。监测期间类比项目运行情况见下表。</w:t>
      </w:r>
    </w:p>
    <w:p w14:paraId="6F2743F1">
      <w:pPr>
        <w:spacing w:line="360" w:lineRule="auto"/>
        <w:jc w:val="center"/>
        <w:rPr>
          <w:rFonts w:ascii="Calibri" w:hAnsi="Calibri"/>
          <w:sz w:val="24"/>
          <w:highlight w:val="none"/>
        </w:rPr>
      </w:pPr>
      <w:r>
        <w:rPr>
          <w:rFonts w:hint="eastAsia"/>
          <w:b/>
          <w:bCs/>
          <w:kern w:val="0"/>
          <w:sz w:val="24"/>
          <w:highlight w:val="none"/>
        </w:rPr>
        <w:t>表3-3-2类比项目运行情况一览表</w:t>
      </w:r>
    </w:p>
    <w:tbl>
      <w:tblPr>
        <w:tblStyle w:val="753"/>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961"/>
        <w:gridCol w:w="990"/>
        <w:gridCol w:w="2131"/>
        <w:gridCol w:w="989"/>
        <w:gridCol w:w="1701"/>
        <w:gridCol w:w="1750"/>
      </w:tblGrid>
      <w:tr w14:paraId="0689735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64" w:type="pct"/>
            <w:tcBorders>
              <w:right w:val="single" w:color="auto" w:sz="4" w:space="0"/>
              <w:tl2br w:val="nil"/>
              <w:tr2bl w:val="nil"/>
            </w:tcBorders>
            <w:vAlign w:val="center"/>
          </w:tcPr>
          <w:p w14:paraId="6C26C4C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napToGrid w:val="0"/>
                <w:kern w:val="2"/>
                <w:sz w:val="21"/>
                <w:szCs w:val="21"/>
                <w:highlight w:val="none"/>
              </w:rPr>
            </w:pPr>
            <w:r>
              <w:rPr>
                <w:rFonts w:hint="default"/>
                <w:snapToGrid w:val="0"/>
                <w:kern w:val="2"/>
                <w:sz w:val="21"/>
                <w:szCs w:val="21"/>
                <w:highlight w:val="none"/>
              </w:rPr>
              <w:t>排气筒</w:t>
            </w:r>
          </w:p>
        </w:tc>
        <w:tc>
          <w:tcPr>
            <w:tcW w:w="581" w:type="pct"/>
            <w:tcBorders>
              <w:left w:val="single" w:color="auto" w:sz="4" w:space="0"/>
              <w:tl2br w:val="nil"/>
              <w:tr2bl w:val="nil"/>
            </w:tcBorders>
            <w:vAlign w:val="center"/>
          </w:tcPr>
          <w:p w14:paraId="601DB00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napToGrid w:val="0"/>
                <w:kern w:val="0"/>
                <w:sz w:val="21"/>
                <w:szCs w:val="21"/>
                <w:highlight w:val="none"/>
              </w:rPr>
            </w:pPr>
            <w:r>
              <w:rPr>
                <w:rFonts w:hint="eastAsia"/>
                <w:snapToGrid w:val="0"/>
                <w:kern w:val="0"/>
                <w:sz w:val="21"/>
                <w:szCs w:val="21"/>
                <w:highlight w:val="none"/>
              </w:rPr>
              <w:t>热试台</w:t>
            </w:r>
          </w:p>
        </w:tc>
        <w:tc>
          <w:tcPr>
            <w:tcW w:w="1250" w:type="pct"/>
            <w:tcBorders>
              <w:right w:val="single" w:color="auto" w:sz="4" w:space="0"/>
              <w:tl2br w:val="nil"/>
              <w:tr2bl w:val="nil"/>
            </w:tcBorders>
            <w:vAlign w:val="center"/>
          </w:tcPr>
          <w:p w14:paraId="7B247AF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napToGrid w:val="0"/>
                <w:kern w:val="2"/>
                <w:sz w:val="21"/>
                <w:szCs w:val="21"/>
                <w:highlight w:val="none"/>
              </w:rPr>
            </w:pPr>
            <w:r>
              <w:rPr>
                <w:rFonts w:hint="eastAsia"/>
                <w:snapToGrid w:val="0"/>
                <w:kern w:val="2"/>
                <w:sz w:val="21"/>
                <w:szCs w:val="21"/>
                <w:highlight w:val="none"/>
              </w:rPr>
              <w:t>9#-10#热试台合计监测时产量（台/h）</w:t>
            </w:r>
          </w:p>
        </w:tc>
        <w:tc>
          <w:tcPr>
            <w:tcW w:w="580" w:type="pct"/>
            <w:tcBorders>
              <w:left w:val="single" w:color="auto" w:sz="4" w:space="0"/>
              <w:tl2br w:val="nil"/>
              <w:tr2bl w:val="nil"/>
            </w:tcBorders>
            <w:vAlign w:val="center"/>
          </w:tcPr>
          <w:p w14:paraId="7374EA4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napToGrid w:val="0"/>
                <w:kern w:val="0"/>
                <w:sz w:val="21"/>
                <w:szCs w:val="21"/>
                <w:highlight w:val="none"/>
              </w:rPr>
            </w:pPr>
            <w:r>
              <w:rPr>
                <w:rFonts w:hint="default"/>
                <w:snapToGrid w:val="0"/>
                <w:kern w:val="0"/>
                <w:sz w:val="21"/>
                <w:szCs w:val="21"/>
                <w:highlight w:val="none"/>
              </w:rPr>
              <w:t>工况</w:t>
            </w:r>
          </w:p>
        </w:tc>
        <w:tc>
          <w:tcPr>
            <w:tcW w:w="998" w:type="pct"/>
            <w:tcBorders>
              <w:tl2br w:val="nil"/>
              <w:tr2bl w:val="nil"/>
            </w:tcBorders>
            <w:vAlign w:val="center"/>
          </w:tcPr>
          <w:p w14:paraId="50380FB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kern w:val="2"/>
                <w:sz w:val="21"/>
                <w:szCs w:val="21"/>
                <w:highlight w:val="none"/>
              </w:rPr>
            </w:pPr>
            <w:r>
              <w:rPr>
                <w:rFonts w:hint="default"/>
                <w:kern w:val="2"/>
                <w:sz w:val="21"/>
                <w:szCs w:val="21"/>
                <w:highlight w:val="none"/>
              </w:rPr>
              <w:t>单台发动机热试耗油量（</w:t>
            </w:r>
            <w:r>
              <w:rPr>
                <w:rFonts w:hint="eastAsia"/>
                <w:kern w:val="2"/>
                <w:sz w:val="21"/>
                <w:szCs w:val="21"/>
                <w:highlight w:val="none"/>
              </w:rPr>
              <w:t>t/台</w:t>
            </w:r>
            <w:r>
              <w:rPr>
                <w:rFonts w:hint="default"/>
                <w:kern w:val="2"/>
                <w:sz w:val="21"/>
                <w:szCs w:val="21"/>
                <w:highlight w:val="none"/>
              </w:rPr>
              <w:t>）</w:t>
            </w:r>
          </w:p>
        </w:tc>
        <w:tc>
          <w:tcPr>
            <w:tcW w:w="1027" w:type="pct"/>
            <w:tcBorders>
              <w:tl2br w:val="nil"/>
              <w:tr2bl w:val="nil"/>
            </w:tcBorders>
            <w:vAlign w:val="center"/>
          </w:tcPr>
          <w:p w14:paraId="4257B78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kern w:val="2"/>
                <w:sz w:val="21"/>
                <w:szCs w:val="21"/>
                <w:highlight w:val="none"/>
              </w:rPr>
            </w:pPr>
            <w:r>
              <w:rPr>
                <w:rFonts w:hint="default"/>
                <w:kern w:val="2"/>
                <w:sz w:val="21"/>
                <w:szCs w:val="21"/>
                <w:highlight w:val="none"/>
              </w:rPr>
              <w:t>监测期间热试耗油量（t</w:t>
            </w:r>
            <w:r>
              <w:rPr>
                <w:rFonts w:hint="eastAsia"/>
                <w:kern w:val="2"/>
                <w:sz w:val="21"/>
                <w:szCs w:val="21"/>
                <w:highlight w:val="none"/>
              </w:rPr>
              <w:t>/h</w:t>
            </w:r>
            <w:r>
              <w:rPr>
                <w:rFonts w:hint="default"/>
                <w:kern w:val="2"/>
                <w:sz w:val="21"/>
                <w:szCs w:val="21"/>
                <w:highlight w:val="none"/>
              </w:rPr>
              <w:t>）</w:t>
            </w:r>
          </w:p>
        </w:tc>
      </w:tr>
      <w:tr w14:paraId="3ECABF1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64" w:type="pct"/>
            <w:tcBorders>
              <w:right w:val="single" w:color="auto" w:sz="4" w:space="0"/>
              <w:tl2br w:val="nil"/>
              <w:tr2bl w:val="nil"/>
            </w:tcBorders>
            <w:vAlign w:val="center"/>
          </w:tcPr>
          <w:p w14:paraId="196F44C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napToGrid w:val="0"/>
                <w:kern w:val="2"/>
                <w:sz w:val="21"/>
                <w:szCs w:val="21"/>
                <w:highlight w:val="none"/>
              </w:rPr>
            </w:pPr>
            <w:r>
              <w:rPr>
                <w:rFonts w:hint="eastAsia"/>
                <w:snapToGrid w:val="0"/>
                <w:kern w:val="2"/>
                <w:sz w:val="21"/>
                <w:szCs w:val="21"/>
                <w:highlight w:val="none"/>
              </w:rPr>
              <w:t>DA003</w:t>
            </w:r>
          </w:p>
        </w:tc>
        <w:tc>
          <w:tcPr>
            <w:tcW w:w="581" w:type="pct"/>
            <w:tcBorders>
              <w:left w:val="single" w:color="auto" w:sz="4" w:space="0"/>
              <w:tl2br w:val="nil"/>
              <w:tr2bl w:val="nil"/>
            </w:tcBorders>
            <w:vAlign w:val="center"/>
          </w:tcPr>
          <w:p w14:paraId="414BA56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napToGrid w:val="0"/>
                <w:kern w:val="0"/>
                <w:sz w:val="21"/>
                <w:szCs w:val="21"/>
                <w:highlight w:val="none"/>
              </w:rPr>
            </w:pPr>
            <w:r>
              <w:rPr>
                <w:rFonts w:hint="eastAsia"/>
                <w:snapToGrid w:val="0"/>
                <w:kern w:val="0"/>
                <w:sz w:val="21"/>
                <w:szCs w:val="21"/>
                <w:highlight w:val="none"/>
              </w:rPr>
              <w:t>9#-10#</w:t>
            </w:r>
          </w:p>
        </w:tc>
        <w:tc>
          <w:tcPr>
            <w:tcW w:w="1250" w:type="pct"/>
            <w:tcBorders>
              <w:right w:val="single" w:color="auto" w:sz="4" w:space="0"/>
              <w:tl2br w:val="nil"/>
              <w:tr2bl w:val="nil"/>
            </w:tcBorders>
            <w:vAlign w:val="center"/>
          </w:tcPr>
          <w:p w14:paraId="72D8104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napToGrid w:val="0"/>
                <w:kern w:val="2"/>
                <w:sz w:val="21"/>
                <w:szCs w:val="21"/>
                <w:highlight w:val="none"/>
              </w:rPr>
            </w:pPr>
            <w:r>
              <w:rPr>
                <w:rFonts w:hint="eastAsia"/>
                <w:snapToGrid w:val="0"/>
                <w:kern w:val="2"/>
                <w:sz w:val="21"/>
                <w:szCs w:val="21"/>
                <w:highlight w:val="none"/>
              </w:rPr>
              <w:t>20</w:t>
            </w:r>
          </w:p>
        </w:tc>
        <w:tc>
          <w:tcPr>
            <w:tcW w:w="580" w:type="pct"/>
            <w:tcBorders>
              <w:left w:val="single" w:color="auto" w:sz="4" w:space="0"/>
              <w:tl2br w:val="nil"/>
              <w:tr2bl w:val="nil"/>
            </w:tcBorders>
            <w:vAlign w:val="center"/>
          </w:tcPr>
          <w:p w14:paraId="0AE613E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napToGrid w:val="0"/>
                <w:kern w:val="0"/>
                <w:sz w:val="21"/>
                <w:szCs w:val="21"/>
                <w:highlight w:val="none"/>
              </w:rPr>
            </w:pPr>
            <w:r>
              <w:rPr>
                <w:rFonts w:hint="eastAsia"/>
                <w:snapToGrid w:val="0"/>
                <w:kern w:val="0"/>
                <w:sz w:val="21"/>
                <w:szCs w:val="21"/>
                <w:highlight w:val="none"/>
              </w:rPr>
              <w:t>100%</w:t>
            </w:r>
          </w:p>
        </w:tc>
        <w:tc>
          <w:tcPr>
            <w:tcW w:w="998" w:type="pct"/>
            <w:tcBorders>
              <w:tl2br w:val="nil"/>
              <w:tr2bl w:val="nil"/>
            </w:tcBorders>
            <w:vAlign w:val="center"/>
          </w:tcPr>
          <w:p w14:paraId="42B723E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napToGrid w:val="0"/>
                <w:kern w:val="2"/>
                <w:sz w:val="21"/>
                <w:szCs w:val="21"/>
                <w:highlight w:val="none"/>
              </w:rPr>
            </w:pPr>
            <w:r>
              <w:rPr>
                <w:rFonts w:hint="eastAsia"/>
                <w:snapToGrid w:val="0"/>
                <w:kern w:val="2"/>
                <w:sz w:val="21"/>
                <w:szCs w:val="21"/>
                <w:highlight w:val="none"/>
              </w:rPr>
              <w:t>1.817×10</w:t>
            </w:r>
            <w:r>
              <w:rPr>
                <w:rFonts w:hint="eastAsia"/>
                <w:snapToGrid w:val="0"/>
                <w:kern w:val="2"/>
                <w:sz w:val="21"/>
                <w:szCs w:val="21"/>
                <w:highlight w:val="none"/>
                <w:vertAlign w:val="superscript"/>
              </w:rPr>
              <w:t>-4</w:t>
            </w:r>
          </w:p>
        </w:tc>
        <w:tc>
          <w:tcPr>
            <w:tcW w:w="1027" w:type="pct"/>
            <w:tcBorders>
              <w:tl2br w:val="nil"/>
              <w:tr2bl w:val="nil"/>
            </w:tcBorders>
            <w:vAlign w:val="center"/>
          </w:tcPr>
          <w:p w14:paraId="38A633F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snapToGrid w:val="0"/>
                <w:kern w:val="2"/>
                <w:sz w:val="21"/>
                <w:szCs w:val="21"/>
                <w:highlight w:val="none"/>
              </w:rPr>
            </w:pPr>
            <w:r>
              <w:rPr>
                <w:rFonts w:hint="eastAsia"/>
                <w:snapToGrid w:val="0"/>
                <w:kern w:val="2"/>
                <w:sz w:val="21"/>
                <w:szCs w:val="21"/>
                <w:highlight w:val="none"/>
              </w:rPr>
              <w:t>3.634×10</w:t>
            </w:r>
            <w:r>
              <w:rPr>
                <w:rFonts w:hint="eastAsia"/>
                <w:snapToGrid w:val="0"/>
                <w:kern w:val="2"/>
                <w:sz w:val="21"/>
                <w:szCs w:val="21"/>
                <w:highlight w:val="none"/>
                <w:vertAlign w:val="superscript"/>
              </w:rPr>
              <w:t>-3</w:t>
            </w:r>
          </w:p>
        </w:tc>
      </w:tr>
    </w:tbl>
    <w:p w14:paraId="114401AE">
      <w:pPr>
        <w:spacing w:line="360" w:lineRule="auto"/>
        <w:ind w:firstLine="480" w:firstLineChars="200"/>
        <w:rPr>
          <w:rFonts w:ascii="Calibri" w:hAnsi="Calibri"/>
          <w:smallCaps/>
          <w:sz w:val="24"/>
          <w:szCs w:val="20"/>
          <w:highlight w:val="none"/>
        </w:rPr>
      </w:pPr>
      <w:r>
        <w:rPr>
          <w:rFonts w:hint="eastAsia" w:hAnsi="宋体"/>
          <w:snapToGrid w:val="0"/>
          <w:sz w:val="24"/>
          <w:highlight w:val="none"/>
        </w:rPr>
        <w:t>根据监测报告，现有工程废气排放情况监测结果见下表。</w:t>
      </w:r>
    </w:p>
    <w:p w14:paraId="1FAD265E">
      <w:pPr>
        <w:spacing w:line="360" w:lineRule="auto"/>
        <w:contextualSpacing/>
        <w:rPr>
          <w:rFonts w:ascii="Calibri" w:hAnsi="Calibri"/>
          <w:sz w:val="24"/>
          <w:highlight w:val="none"/>
        </w:rPr>
      </w:pPr>
      <w:r>
        <w:rPr>
          <w:rFonts w:hint="eastAsia"/>
          <w:b/>
          <w:bCs/>
          <w:kern w:val="0"/>
          <w:sz w:val="24"/>
          <w:highlight w:val="none"/>
        </w:rPr>
        <w:t>表3-3-3现有1号厂房4G1发动机热试尾气DA003排气筒排放情况表</w:t>
      </w:r>
    </w:p>
    <w:tbl>
      <w:tblPr>
        <w:tblStyle w:val="754"/>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53"/>
        <w:gridCol w:w="784"/>
        <w:gridCol w:w="699"/>
        <w:gridCol w:w="787"/>
        <w:gridCol w:w="992"/>
        <w:gridCol w:w="842"/>
        <w:gridCol w:w="992"/>
        <w:gridCol w:w="842"/>
        <w:gridCol w:w="992"/>
        <w:gridCol w:w="839"/>
      </w:tblGrid>
      <w:tr w14:paraId="62022B2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 w:hRule="atLeast"/>
        </w:trPr>
        <w:tc>
          <w:tcPr>
            <w:tcW w:w="442" w:type="pct"/>
            <w:vMerge w:val="restart"/>
            <w:tcBorders>
              <w:tl2br w:val="nil"/>
              <w:tr2bl w:val="nil"/>
            </w:tcBorders>
            <w:vAlign w:val="center"/>
          </w:tcPr>
          <w:p w14:paraId="51FAB98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eastAsia"/>
                <w:kern w:val="0"/>
                <w:sz w:val="21"/>
                <w:szCs w:val="21"/>
                <w:highlight w:val="none"/>
              </w:rPr>
              <w:t>监测点位</w:t>
            </w:r>
          </w:p>
        </w:tc>
        <w:tc>
          <w:tcPr>
            <w:tcW w:w="460" w:type="pct"/>
            <w:vMerge w:val="restart"/>
            <w:tcBorders>
              <w:tl2br w:val="nil"/>
              <w:tr2bl w:val="nil"/>
            </w:tcBorders>
            <w:vAlign w:val="center"/>
          </w:tcPr>
          <w:p w14:paraId="4E342CB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eastAsia"/>
                <w:kern w:val="0"/>
                <w:sz w:val="21"/>
                <w:szCs w:val="21"/>
                <w:highlight w:val="none"/>
              </w:rPr>
              <w:t>监测时间</w:t>
            </w:r>
          </w:p>
        </w:tc>
        <w:tc>
          <w:tcPr>
            <w:tcW w:w="410" w:type="pct"/>
            <w:vMerge w:val="restart"/>
            <w:tcBorders>
              <w:tl2br w:val="nil"/>
              <w:tr2bl w:val="nil"/>
            </w:tcBorders>
            <w:vAlign w:val="center"/>
          </w:tcPr>
          <w:p w14:paraId="02273E5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eastAsia"/>
                <w:kern w:val="0"/>
                <w:sz w:val="21"/>
                <w:szCs w:val="21"/>
                <w:highlight w:val="none"/>
              </w:rPr>
              <w:t>烟气温度</w:t>
            </w:r>
          </w:p>
          <w:p w14:paraId="5E6DD33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eastAsia"/>
                <w:kern w:val="0"/>
                <w:sz w:val="21"/>
                <w:szCs w:val="21"/>
                <w:highlight w:val="none"/>
              </w:rPr>
              <w:t>℃</w:t>
            </w:r>
          </w:p>
        </w:tc>
        <w:tc>
          <w:tcPr>
            <w:tcW w:w="462" w:type="pct"/>
            <w:vMerge w:val="restart"/>
            <w:tcBorders>
              <w:tl2br w:val="nil"/>
              <w:tr2bl w:val="nil"/>
            </w:tcBorders>
            <w:vAlign w:val="center"/>
          </w:tcPr>
          <w:p w14:paraId="4F1FB94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eastAsia"/>
                <w:kern w:val="0"/>
                <w:sz w:val="21"/>
                <w:szCs w:val="21"/>
                <w:highlight w:val="none"/>
              </w:rPr>
              <w:t>标杆流量m</w:t>
            </w:r>
            <w:r>
              <w:rPr>
                <w:rFonts w:hint="eastAsia"/>
                <w:kern w:val="0"/>
                <w:sz w:val="21"/>
                <w:szCs w:val="21"/>
                <w:highlight w:val="none"/>
                <w:vertAlign w:val="superscript"/>
              </w:rPr>
              <w:t>3</w:t>
            </w:r>
            <w:r>
              <w:rPr>
                <w:rFonts w:hint="eastAsia"/>
                <w:kern w:val="0"/>
                <w:sz w:val="21"/>
                <w:szCs w:val="21"/>
                <w:highlight w:val="none"/>
              </w:rPr>
              <w:t>/h</w:t>
            </w:r>
          </w:p>
        </w:tc>
        <w:tc>
          <w:tcPr>
            <w:tcW w:w="1076" w:type="pct"/>
            <w:gridSpan w:val="2"/>
            <w:tcBorders>
              <w:right w:val="single" w:color="auto" w:sz="4" w:space="0"/>
              <w:tl2br w:val="nil"/>
              <w:tr2bl w:val="nil"/>
            </w:tcBorders>
            <w:vAlign w:val="center"/>
          </w:tcPr>
          <w:p w14:paraId="77AC244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eastAsia"/>
                <w:kern w:val="0"/>
                <w:sz w:val="21"/>
                <w:szCs w:val="21"/>
                <w:highlight w:val="none"/>
              </w:rPr>
              <w:t>氮氧化物</w:t>
            </w:r>
          </w:p>
        </w:tc>
        <w:tc>
          <w:tcPr>
            <w:tcW w:w="1076" w:type="pct"/>
            <w:gridSpan w:val="2"/>
            <w:tcBorders>
              <w:right w:val="single" w:color="auto" w:sz="4" w:space="0"/>
              <w:tl2br w:val="nil"/>
              <w:tr2bl w:val="nil"/>
            </w:tcBorders>
            <w:vAlign w:val="center"/>
          </w:tcPr>
          <w:p w14:paraId="403A074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eastAsia"/>
                <w:kern w:val="0"/>
                <w:sz w:val="21"/>
                <w:szCs w:val="21"/>
                <w:highlight w:val="none"/>
              </w:rPr>
              <w:t>非甲烷总烃</w:t>
            </w:r>
          </w:p>
        </w:tc>
        <w:tc>
          <w:tcPr>
            <w:tcW w:w="1075" w:type="pct"/>
            <w:gridSpan w:val="2"/>
            <w:tcBorders>
              <w:top w:val="single" w:color="auto" w:sz="12" w:space="0"/>
              <w:bottom w:val="single" w:color="auto" w:sz="6" w:space="0"/>
              <w:right w:val="nil"/>
              <w:tl2br w:val="nil"/>
              <w:tr2bl w:val="nil"/>
            </w:tcBorders>
            <w:vAlign w:val="center"/>
          </w:tcPr>
          <w:p w14:paraId="201421F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eastAsia"/>
                <w:kern w:val="0"/>
                <w:sz w:val="21"/>
                <w:szCs w:val="21"/>
                <w:highlight w:val="none"/>
              </w:rPr>
              <w:t>一氧化碳</w:t>
            </w:r>
          </w:p>
        </w:tc>
      </w:tr>
      <w:tr w14:paraId="27EF8D8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7" w:hRule="atLeast"/>
        </w:trPr>
        <w:tc>
          <w:tcPr>
            <w:tcW w:w="442" w:type="pct"/>
            <w:vMerge w:val="continue"/>
            <w:tcBorders>
              <w:tl2br w:val="nil"/>
              <w:tr2bl w:val="nil"/>
            </w:tcBorders>
            <w:vAlign w:val="center"/>
          </w:tcPr>
          <w:p w14:paraId="012473E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p>
        </w:tc>
        <w:tc>
          <w:tcPr>
            <w:tcW w:w="460" w:type="pct"/>
            <w:vMerge w:val="continue"/>
            <w:tcBorders>
              <w:bottom w:val="single" w:color="auto" w:sz="6" w:space="0"/>
              <w:tl2br w:val="nil"/>
              <w:tr2bl w:val="nil"/>
            </w:tcBorders>
            <w:vAlign w:val="center"/>
          </w:tcPr>
          <w:p w14:paraId="1A9BC13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p>
        </w:tc>
        <w:tc>
          <w:tcPr>
            <w:tcW w:w="410" w:type="pct"/>
            <w:vMerge w:val="continue"/>
            <w:tcBorders>
              <w:tl2br w:val="nil"/>
              <w:tr2bl w:val="nil"/>
            </w:tcBorders>
            <w:vAlign w:val="center"/>
          </w:tcPr>
          <w:p w14:paraId="4176AAA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p>
        </w:tc>
        <w:tc>
          <w:tcPr>
            <w:tcW w:w="462" w:type="pct"/>
            <w:vMerge w:val="continue"/>
            <w:tcBorders>
              <w:tl2br w:val="nil"/>
              <w:tr2bl w:val="nil"/>
            </w:tcBorders>
            <w:vAlign w:val="center"/>
          </w:tcPr>
          <w:p w14:paraId="0E318CB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p>
        </w:tc>
        <w:tc>
          <w:tcPr>
            <w:tcW w:w="582" w:type="pct"/>
            <w:tcBorders>
              <w:tl2br w:val="nil"/>
              <w:tr2bl w:val="nil"/>
            </w:tcBorders>
            <w:vAlign w:val="center"/>
          </w:tcPr>
          <w:p w14:paraId="2DDDF59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default"/>
                <w:kern w:val="0"/>
                <w:sz w:val="21"/>
                <w:szCs w:val="21"/>
                <w:highlight w:val="none"/>
              </w:rPr>
              <w:t>排放浓度</w:t>
            </w:r>
          </w:p>
          <w:p w14:paraId="603C7B9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default"/>
                <w:kern w:val="0"/>
                <w:sz w:val="21"/>
                <w:szCs w:val="21"/>
                <w:highlight w:val="none"/>
              </w:rPr>
              <w:t>mg/m</w:t>
            </w:r>
            <w:r>
              <w:rPr>
                <w:rFonts w:hint="default"/>
                <w:kern w:val="0"/>
                <w:sz w:val="21"/>
                <w:szCs w:val="21"/>
                <w:highlight w:val="none"/>
                <w:vertAlign w:val="superscript"/>
              </w:rPr>
              <w:t>3</w:t>
            </w:r>
          </w:p>
        </w:tc>
        <w:tc>
          <w:tcPr>
            <w:tcW w:w="494" w:type="pct"/>
            <w:tcBorders>
              <w:right w:val="single" w:color="auto" w:sz="4" w:space="0"/>
              <w:tl2br w:val="nil"/>
              <w:tr2bl w:val="nil"/>
            </w:tcBorders>
            <w:vAlign w:val="center"/>
          </w:tcPr>
          <w:p w14:paraId="58A7D79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default"/>
                <w:kern w:val="0"/>
                <w:sz w:val="21"/>
                <w:szCs w:val="21"/>
                <w:highlight w:val="none"/>
              </w:rPr>
              <w:t>排放速</w:t>
            </w:r>
          </w:p>
          <w:p w14:paraId="573257F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default"/>
                <w:kern w:val="0"/>
                <w:sz w:val="21"/>
                <w:szCs w:val="21"/>
                <w:highlight w:val="none"/>
              </w:rPr>
              <w:t>率kg/h</w:t>
            </w:r>
          </w:p>
        </w:tc>
        <w:tc>
          <w:tcPr>
            <w:tcW w:w="582" w:type="pct"/>
            <w:tcBorders>
              <w:tl2br w:val="nil"/>
              <w:tr2bl w:val="nil"/>
            </w:tcBorders>
            <w:vAlign w:val="center"/>
          </w:tcPr>
          <w:p w14:paraId="5CCB500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default"/>
                <w:kern w:val="0"/>
                <w:sz w:val="21"/>
                <w:szCs w:val="21"/>
                <w:highlight w:val="none"/>
              </w:rPr>
              <w:t>排放浓度</w:t>
            </w:r>
          </w:p>
          <w:p w14:paraId="57DB2B1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default"/>
                <w:kern w:val="0"/>
                <w:sz w:val="21"/>
                <w:szCs w:val="21"/>
                <w:highlight w:val="none"/>
              </w:rPr>
              <w:t>mg/m</w:t>
            </w:r>
            <w:r>
              <w:rPr>
                <w:rFonts w:hint="default"/>
                <w:kern w:val="0"/>
                <w:sz w:val="21"/>
                <w:szCs w:val="21"/>
                <w:highlight w:val="none"/>
                <w:vertAlign w:val="superscript"/>
              </w:rPr>
              <w:t>3</w:t>
            </w:r>
          </w:p>
        </w:tc>
        <w:tc>
          <w:tcPr>
            <w:tcW w:w="494" w:type="pct"/>
            <w:tcBorders>
              <w:right w:val="single" w:color="auto" w:sz="4" w:space="0"/>
              <w:tl2br w:val="nil"/>
              <w:tr2bl w:val="nil"/>
            </w:tcBorders>
            <w:vAlign w:val="center"/>
          </w:tcPr>
          <w:p w14:paraId="30342C1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default"/>
                <w:kern w:val="0"/>
                <w:sz w:val="21"/>
                <w:szCs w:val="21"/>
                <w:highlight w:val="none"/>
              </w:rPr>
              <w:t>排放速</w:t>
            </w:r>
          </w:p>
          <w:p w14:paraId="1306CE4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default"/>
                <w:kern w:val="0"/>
                <w:sz w:val="21"/>
                <w:szCs w:val="21"/>
                <w:highlight w:val="none"/>
              </w:rPr>
              <w:t>率kg/h</w:t>
            </w:r>
          </w:p>
        </w:tc>
        <w:tc>
          <w:tcPr>
            <w:tcW w:w="582" w:type="pct"/>
            <w:tcBorders>
              <w:tl2br w:val="nil"/>
              <w:tr2bl w:val="nil"/>
            </w:tcBorders>
            <w:vAlign w:val="center"/>
          </w:tcPr>
          <w:p w14:paraId="49F2C29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default"/>
                <w:kern w:val="0"/>
                <w:sz w:val="21"/>
                <w:szCs w:val="21"/>
                <w:highlight w:val="none"/>
              </w:rPr>
              <w:t>排放浓度</w:t>
            </w:r>
          </w:p>
          <w:p w14:paraId="44BFC70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default"/>
                <w:kern w:val="0"/>
                <w:sz w:val="21"/>
                <w:szCs w:val="21"/>
                <w:highlight w:val="none"/>
              </w:rPr>
              <w:t>mg/m</w:t>
            </w:r>
            <w:r>
              <w:rPr>
                <w:rFonts w:hint="default"/>
                <w:kern w:val="0"/>
                <w:sz w:val="21"/>
                <w:szCs w:val="21"/>
                <w:highlight w:val="none"/>
                <w:vertAlign w:val="superscript"/>
              </w:rPr>
              <w:t>3</w:t>
            </w:r>
          </w:p>
        </w:tc>
        <w:tc>
          <w:tcPr>
            <w:tcW w:w="493" w:type="pct"/>
            <w:tcBorders>
              <w:top w:val="single" w:color="auto" w:sz="6" w:space="0"/>
              <w:bottom w:val="single" w:color="auto" w:sz="6" w:space="0"/>
              <w:right w:val="nil"/>
              <w:tl2br w:val="nil"/>
              <w:tr2bl w:val="nil"/>
            </w:tcBorders>
            <w:vAlign w:val="center"/>
          </w:tcPr>
          <w:p w14:paraId="494BB32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default"/>
                <w:kern w:val="0"/>
                <w:sz w:val="21"/>
                <w:szCs w:val="21"/>
                <w:highlight w:val="none"/>
              </w:rPr>
              <w:t>排放速</w:t>
            </w:r>
          </w:p>
          <w:p w14:paraId="30FE4CF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default"/>
                <w:kern w:val="0"/>
                <w:sz w:val="21"/>
                <w:szCs w:val="21"/>
                <w:highlight w:val="none"/>
              </w:rPr>
              <w:t>率kg/h</w:t>
            </w:r>
          </w:p>
        </w:tc>
      </w:tr>
      <w:tr w14:paraId="262753D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1" w:hRule="atLeast"/>
        </w:trPr>
        <w:tc>
          <w:tcPr>
            <w:tcW w:w="442" w:type="pct"/>
            <w:vMerge w:val="restart"/>
            <w:tcBorders>
              <w:tl2br w:val="nil"/>
              <w:tr2bl w:val="nil"/>
            </w:tcBorders>
            <w:vAlign w:val="center"/>
          </w:tcPr>
          <w:p w14:paraId="3006F06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eastAsia"/>
                <w:kern w:val="0"/>
                <w:sz w:val="21"/>
                <w:szCs w:val="21"/>
                <w:highlight w:val="none"/>
              </w:rPr>
              <w:t>DA003</w:t>
            </w:r>
          </w:p>
        </w:tc>
        <w:tc>
          <w:tcPr>
            <w:tcW w:w="460" w:type="pct"/>
            <w:vMerge w:val="restart"/>
            <w:tcBorders>
              <w:top w:val="single" w:color="auto" w:sz="6" w:space="0"/>
              <w:bottom w:val="single" w:color="auto" w:sz="12" w:space="0"/>
              <w:tl2br w:val="nil"/>
              <w:tr2bl w:val="nil"/>
            </w:tcBorders>
            <w:vAlign w:val="center"/>
          </w:tcPr>
          <w:p w14:paraId="69DDBE7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eastAsia"/>
                <w:kern w:val="0"/>
                <w:sz w:val="21"/>
                <w:szCs w:val="21"/>
                <w:highlight w:val="none"/>
              </w:rPr>
              <w:t>2022.06.14</w:t>
            </w:r>
          </w:p>
        </w:tc>
        <w:tc>
          <w:tcPr>
            <w:tcW w:w="410" w:type="pct"/>
            <w:tcBorders>
              <w:tl2br w:val="nil"/>
              <w:tr2bl w:val="nil"/>
            </w:tcBorders>
            <w:vAlign w:val="center"/>
          </w:tcPr>
          <w:p w14:paraId="196A4F6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eastAsia"/>
                <w:kern w:val="0"/>
                <w:sz w:val="21"/>
                <w:szCs w:val="21"/>
                <w:highlight w:val="none"/>
              </w:rPr>
              <w:t>28.8</w:t>
            </w:r>
          </w:p>
        </w:tc>
        <w:tc>
          <w:tcPr>
            <w:tcW w:w="462" w:type="pct"/>
            <w:tcBorders>
              <w:tl2br w:val="nil"/>
              <w:tr2bl w:val="nil"/>
            </w:tcBorders>
            <w:vAlign w:val="center"/>
          </w:tcPr>
          <w:p w14:paraId="649E269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eastAsia"/>
                <w:kern w:val="0"/>
                <w:sz w:val="21"/>
                <w:szCs w:val="21"/>
                <w:highlight w:val="none"/>
              </w:rPr>
              <w:t>3840</w:t>
            </w:r>
          </w:p>
        </w:tc>
        <w:tc>
          <w:tcPr>
            <w:tcW w:w="582" w:type="pct"/>
            <w:tcBorders>
              <w:tl2br w:val="nil"/>
              <w:tr2bl w:val="nil"/>
            </w:tcBorders>
            <w:vAlign w:val="center"/>
          </w:tcPr>
          <w:p w14:paraId="41355AE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eastAsia"/>
                <w:kern w:val="0"/>
                <w:sz w:val="21"/>
                <w:szCs w:val="21"/>
                <w:highlight w:val="none"/>
              </w:rPr>
              <w:t>14.3</w:t>
            </w:r>
          </w:p>
        </w:tc>
        <w:tc>
          <w:tcPr>
            <w:tcW w:w="494" w:type="pct"/>
            <w:tcBorders>
              <w:tl2br w:val="nil"/>
              <w:tr2bl w:val="nil"/>
            </w:tcBorders>
            <w:vAlign w:val="center"/>
          </w:tcPr>
          <w:p w14:paraId="3A46CD5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eastAsia"/>
                <w:kern w:val="0"/>
                <w:sz w:val="21"/>
                <w:szCs w:val="21"/>
                <w:highlight w:val="none"/>
              </w:rPr>
              <w:t>0.055</w:t>
            </w:r>
          </w:p>
        </w:tc>
        <w:tc>
          <w:tcPr>
            <w:tcW w:w="582" w:type="pct"/>
            <w:tcBorders>
              <w:tl2br w:val="nil"/>
              <w:tr2bl w:val="nil"/>
            </w:tcBorders>
            <w:vAlign w:val="center"/>
          </w:tcPr>
          <w:p w14:paraId="6BE95B4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eastAsia"/>
                <w:kern w:val="0"/>
                <w:sz w:val="21"/>
                <w:szCs w:val="21"/>
                <w:highlight w:val="none"/>
              </w:rPr>
              <w:t>3.89</w:t>
            </w:r>
          </w:p>
        </w:tc>
        <w:tc>
          <w:tcPr>
            <w:tcW w:w="494" w:type="pct"/>
            <w:tcBorders>
              <w:tl2br w:val="nil"/>
              <w:tr2bl w:val="nil"/>
            </w:tcBorders>
            <w:vAlign w:val="center"/>
          </w:tcPr>
          <w:p w14:paraId="535C1CA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eastAsia"/>
                <w:kern w:val="0"/>
                <w:sz w:val="21"/>
                <w:szCs w:val="21"/>
                <w:highlight w:val="none"/>
              </w:rPr>
              <w:t>0.015</w:t>
            </w:r>
          </w:p>
        </w:tc>
        <w:tc>
          <w:tcPr>
            <w:tcW w:w="582" w:type="pct"/>
            <w:tcBorders>
              <w:tl2br w:val="nil"/>
              <w:tr2bl w:val="nil"/>
            </w:tcBorders>
            <w:vAlign w:val="center"/>
          </w:tcPr>
          <w:p w14:paraId="116FCD2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eastAsia"/>
                <w:kern w:val="0"/>
                <w:sz w:val="21"/>
                <w:szCs w:val="21"/>
                <w:highlight w:val="none"/>
              </w:rPr>
              <w:t>24.8</w:t>
            </w:r>
          </w:p>
        </w:tc>
        <w:tc>
          <w:tcPr>
            <w:tcW w:w="493" w:type="pct"/>
            <w:tcBorders>
              <w:top w:val="single" w:color="auto" w:sz="6" w:space="0"/>
              <w:tl2br w:val="nil"/>
              <w:tr2bl w:val="nil"/>
            </w:tcBorders>
            <w:vAlign w:val="center"/>
          </w:tcPr>
          <w:p w14:paraId="04B1A07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eastAsia"/>
                <w:kern w:val="0"/>
                <w:sz w:val="21"/>
                <w:szCs w:val="21"/>
                <w:highlight w:val="none"/>
              </w:rPr>
              <w:t>0.095</w:t>
            </w:r>
          </w:p>
        </w:tc>
      </w:tr>
      <w:tr w14:paraId="7762221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 w:hRule="atLeast"/>
        </w:trPr>
        <w:tc>
          <w:tcPr>
            <w:tcW w:w="442" w:type="pct"/>
            <w:vMerge w:val="continue"/>
            <w:tcBorders>
              <w:tl2br w:val="nil"/>
              <w:tr2bl w:val="nil"/>
            </w:tcBorders>
            <w:vAlign w:val="center"/>
          </w:tcPr>
          <w:p w14:paraId="1C4B0D5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p>
        </w:tc>
        <w:tc>
          <w:tcPr>
            <w:tcW w:w="460" w:type="pct"/>
            <w:vMerge w:val="continue"/>
            <w:tcBorders>
              <w:top w:val="single" w:color="auto" w:sz="6" w:space="0"/>
              <w:bottom w:val="single" w:color="auto" w:sz="12" w:space="0"/>
              <w:tl2br w:val="nil"/>
              <w:tr2bl w:val="nil"/>
            </w:tcBorders>
            <w:vAlign w:val="center"/>
          </w:tcPr>
          <w:p w14:paraId="1473280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p>
        </w:tc>
        <w:tc>
          <w:tcPr>
            <w:tcW w:w="410" w:type="pct"/>
            <w:tcBorders>
              <w:tl2br w:val="nil"/>
              <w:tr2bl w:val="nil"/>
            </w:tcBorders>
            <w:vAlign w:val="center"/>
          </w:tcPr>
          <w:p w14:paraId="27906B8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eastAsia"/>
                <w:kern w:val="0"/>
                <w:sz w:val="21"/>
                <w:szCs w:val="21"/>
                <w:highlight w:val="none"/>
              </w:rPr>
              <w:t>28.7</w:t>
            </w:r>
          </w:p>
        </w:tc>
        <w:tc>
          <w:tcPr>
            <w:tcW w:w="462" w:type="pct"/>
            <w:tcBorders>
              <w:tl2br w:val="nil"/>
              <w:tr2bl w:val="nil"/>
            </w:tcBorders>
            <w:vAlign w:val="center"/>
          </w:tcPr>
          <w:p w14:paraId="5459CD1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eastAsia"/>
                <w:kern w:val="0"/>
                <w:sz w:val="21"/>
                <w:szCs w:val="21"/>
                <w:highlight w:val="none"/>
              </w:rPr>
              <w:t>3915</w:t>
            </w:r>
          </w:p>
        </w:tc>
        <w:tc>
          <w:tcPr>
            <w:tcW w:w="582" w:type="pct"/>
            <w:tcBorders>
              <w:tl2br w:val="nil"/>
              <w:tr2bl w:val="nil"/>
            </w:tcBorders>
            <w:vAlign w:val="center"/>
          </w:tcPr>
          <w:p w14:paraId="541FFCB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eastAsia"/>
                <w:kern w:val="0"/>
                <w:sz w:val="21"/>
                <w:szCs w:val="21"/>
                <w:highlight w:val="none"/>
              </w:rPr>
              <w:t>17.4</w:t>
            </w:r>
          </w:p>
        </w:tc>
        <w:tc>
          <w:tcPr>
            <w:tcW w:w="494" w:type="pct"/>
            <w:tcBorders>
              <w:tl2br w:val="nil"/>
              <w:tr2bl w:val="nil"/>
            </w:tcBorders>
            <w:vAlign w:val="center"/>
          </w:tcPr>
          <w:p w14:paraId="48CE741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eastAsia"/>
                <w:kern w:val="0"/>
                <w:sz w:val="21"/>
                <w:szCs w:val="21"/>
                <w:highlight w:val="none"/>
              </w:rPr>
              <w:t>0.068</w:t>
            </w:r>
          </w:p>
        </w:tc>
        <w:tc>
          <w:tcPr>
            <w:tcW w:w="582" w:type="pct"/>
            <w:tcBorders>
              <w:tl2br w:val="nil"/>
              <w:tr2bl w:val="nil"/>
            </w:tcBorders>
            <w:vAlign w:val="center"/>
          </w:tcPr>
          <w:p w14:paraId="641D54E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eastAsia"/>
                <w:kern w:val="0"/>
                <w:sz w:val="21"/>
                <w:szCs w:val="21"/>
                <w:highlight w:val="none"/>
              </w:rPr>
              <w:t>4.02</w:t>
            </w:r>
          </w:p>
        </w:tc>
        <w:tc>
          <w:tcPr>
            <w:tcW w:w="494" w:type="pct"/>
            <w:tcBorders>
              <w:tl2br w:val="nil"/>
              <w:tr2bl w:val="nil"/>
            </w:tcBorders>
            <w:vAlign w:val="center"/>
          </w:tcPr>
          <w:p w14:paraId="48C2DCE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eastAsia"/>
                <w:kern w:val="0"/>
                <w:sz w:val="21"/>
                <w:szCs w:val="21"/>
                <w:highlight w:val="none"/>
              </w:rPr>
              <w:t>0.016</w:t>
            </w:r>
          </w:p>
        </w:tc>
        <w:tc>
          <w:tcPr>
            <w:tcW w:w="582" w:type="pct"/>
            <w:tcBorders>
              <w:tl2br w:val="nil"/>
              <w:tr2bl w:val="nil"/>
            </w:tcBorders>
            <w:vAlign w:val="center"/>
          </w:tcPr>
          <w:p w14:paraId="72DF154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eastAsia"/>
                <w:kern w:val="0"/>
                <w:sz w:val="21"/>
                <w:szCs w:val="21"/>
                <w:highlight w:val="none"/>
              </w:rPr>
              <w:t>30.6</w:t>
            </w:r>
          </w:p>
        </w:tc>
        <w:tc>
          <w:tcPr>
            <w:tcW w:w="493" w:type="pct"/>
            <w:tcBorders>
              <w:tl2br w:val="nil"/>
              <w:tr2bl w:val="nil"/>
            </w:tcBorders>
            <w:vAlign w:val="center"/>
          </w:tcPr>
          <w:p w14:paraId="4B5245E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eastAsia"/>
                <w:kern w:val="0"/>
                <w:sz w:val="21"/>
                <w:szCs w:val="21"/>
                <w:highlight w:val="none"/>
              </w:rPr>
              <w:t>0.120</w:t>
            </w:r>
          </w:p>
        </w:tc>
      </w:tr>
      <w:tr w14:paraId="10BCEBA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 w:hRule="atLeast"/>
        </w:trPr>
        <w:tc>
          <w:tcPr>
            <w:tcW w:w="442" w:type="pct"/>
            <w:vMerge w:val="continue"/>
            <w:tcBorders>
              <w:tl2br w:val="nil"/>
              <w:tr2bl w:val="nil"/>
            </w:tcBorders>
            <w:vAlign w:val="center"/>
          </w:tcPr>
          <w:p w14:paraId="124D5F1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p>
        </w:tc>
        <w:tc>
          <w:tcPr>
            <w:tcW w:w="460" w:type="pct"/>
            <w:vMerge w:val="continue"/>
            <w:tcBorders>
              <w:top w:val="single" w:color="auto" w:sz="6" w:space="0"/>
              <w:bottom w:val="single" w:color="auto" w:sz="6" w:space="0"/>
              <w:tl2br w:val="nil"/>
              <w:tr2bl w:val="nil"/>
            </w:tcBorders>
            <w:vAlign w:val="center"/>
          </w:tcPr>
          <w:p w14:paraId="2433AEC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p>
        </w:tc>
        <w:tc>
          <w:tcPr>
            <w:tcW w:w="410" w:type="pct"/>
            <w:tcBorders>
              <w:tl2br w:val="nil"/>
              <w:tr2bl w:val="nil"/>
            </w:tcBorders>
            <w:vAlign w:val="center"/>
          </w:tcPr>
          <w:p w14:paraId="75D1F80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eastAsia"/>
                <w:kern w:val="0"/>
                <w:sz w:val="21"/>
                <w:szCs w:val="21"/>
                <w:highlight w:val="none"/>
              </w:rPr>
              <w:t>28.9</w:t>
            </w:r>
          </w:p>
        </w:tc>
        <w:tc>
          <w:tcPr>
            <w:tcW w:w="462" w:type="pct"/>
            <w:tcBorders>
              <w:tl2br w:val="nil"/>
              <w:tr2bl w:val="nil"/>
            </w:tcBorders>
            <w:vAlign w:val="center"/>
          </w:tcPr>
          <w:p w14:paraId="72342BC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eastAsia"/>
                <w:kern w:val="0"/>
                <w:sz w:val="21"/>
                <w:szCs w:val="21"/>
                <w:highlight w:val="none"/>
              </w:rPr>
              <w:t>3878</w:t>
            </w:r>
          </w:p>
        </w:tc>
        <w:tc>
          <w:tcPr>
            <w:tcW w:w="582" w:type="pct"/>
            <w:tcBorders>
              <w:tl2br w:val="nil"/>
              <w:tr2bl w:val="nil"/>
            </w:tcBorders>
            <w:vAlign w:val="center"/>
          </w:tcPr>
          <w:p w14:paraId="4836F82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eastAsia"/>
                <w:kern w:val="0"/>
                <w:sz w:val="21"/>
                <w:szCs w:val="21"/>
                <w:highlight w:val="none"/>
              </w:rPr>
              <w:t>15.8</w:t>
            </w:r>
          </w:p>
        </w:tc>
        <w:tc>
          <w:tcPr>
            <w:tcW w:w="494" w:type="pct"/>
            <w:tcBorders>
              <w:tl2br w:val="nil"/>
              <w:tr2bl w:val="nil"/>
            </w:tcBorders>
            <w:vAlign w:val="center"/>
          </w:tcPr>
          <w:p w14:paraId="7D88C00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eastAsia"/>
                <w:kern w:val="0"/>
                <w:sz w:val="21"/>
                <w:szCs w:val="21"/>
                <w:highlight w:val="none"/>
              </w:rPr>
              <w:t>0.061</w:t>
            </w:r>
          </w:p>
        </w:tc>
        <w:tc>
          <w:tcPr>
            <w:tcW w:w="582" w:type="pct"/>
            <w:tcBorders>
              <w:tl2br w:val="nil"/>
              <w:tr2bl w:val="nil"/>
            </w:tcBorders>
            <w:vAlign w:val="center"/>
          </w:tcPr>
          <w:p w14:paraId="33AD37E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eastAsia"/>
                <w:kern w:val="0"/>
                <w:sz w:val="21"/>
                <w:szCs w:val="21"/>
                <w:highlight w:val="none"/>
              </w:rPr>
              <w:t>4.18</w:t>
            </w:r>
          </w:p>
        </w:tc>
        <w:tc>
          <w:tcPr>
            <w:tcW w:w="494" w:type="pct"/>
            <w:tcBorders>
              <w:tl2br w:val="nil"/>
              <w:tr2bl w:val="nil"/>
            </w:tcBorders>
            <w:vAlign w:val="center"/>
          </w:tcPr>
          <w:p w14:paraId="3963D7D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eastAsia"/>
                <w:kern w:val="0"/>
                <w:sz w:val="21"/>
                <w:szCs w:val="21"/>
                <w:highlight w:val="none"/>
              </w:rPr>
              <w:t>0.016</w:t>
            </w:r>
          </w:p>
        </w:tc>
        <w:tc>
          <w:tcPr>
            <w:tcW w:w="582" w:type="pct"/>
            <w:tcBorders>
              <w:tl2br w:val="nil"/>
              <w:tr2bl w:val="nil"/>
            </w:tcBorders>
            <w:vAlign w:val="center"/>
          </w:tcPr>
          <w:p w14:paraId="2635886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eastAsia"/>
                <w:kern w:val="0"/>
                <w:sz w:val="21"/>
                <w:szCs w:val="21"/>
                <w:highlight w:val="none"/>
              </w:rPr>
              <w:t>27.5</w:t>
            </w:r>
          </w:p>
        </w:tc>
        <w:tc>
          <w:tcPr>
            <w:tcW w:w="493" w:type="pct"/>
            <w:tcBorders>
              <w:tl2br w:val="nil"/>
              <w:tr2bl w:val="nil"/>
            </w:tcBorders>
            <w:vAlign w:val="center"/>
          </w:tcPr>
          <w:p w14:paraId="62F3850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eastAsia"/>
                <w:kern w:val="0"/>
                <w:sz w:val="21"/>
                <w:szCs w:val="21"/>
                <w:highlight w:val="none"/>
              </w:rPr>
              <w:t>0.107</w:t>
            </w:r>
          </w:p>
        </w:tc>
      </w:tr>
      <w:tr w14:paraId="6444772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 w:hRule="atLeast"/>
        </w:trPr>
        <w:tc>
          <w:tcPr>
            <w:tcW w:w="902" w:type="pct"/>
            <w:gridSpan w:val="2"/>
            <w:tcBorders>
              <w:tl2br w:val="nil"/>
              <w:tr2bl w:val="nil"/>
            </w:tcBorders>
            <w:vAlign w:val="center"/>
          </w:tcPr>
          <w:p w14:paraId="6ED82AD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kern w:val="0"/>
                <w:sz w:val="21"/>
                <w:szCs w:val="21"/>
                <w:highlight w:val="none"/>
              </w:rPr>
            </w:pPr>
            <w:r>
              <w:rPr>
                <w:rFonts w:hint="default"/>
                <w:kern w:val="0"/>
                <w:sz w:val="21"/>
                <w:szCs w:val="21"/>
                <w:highlight w:val="none"/>
              </w:rPr>
              <w:t>平均值</w:t>
            </w:r>
          </w:p>
        </w:tc>
        <w:tc>
          <w:tcPr>
            <w:tcW w:w="410" w:type="pct"/>
            <w:tcBorders>
              <w:tl2br w:val="nil"/>
              <w:tr2bl w:val="nil"/>
            </w:tcBorders>
            <w:vAlign w:val="center"/>
          </w:tcPr>
          <w:p w14:paraId="0861138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宋体" w:hAnsi="宋体" w:cs="宋体"/>
                <w:kern w:val="0"/>
                <w:sz w:val="21"/>
                <w:szCs w:val="21"/>
                <w:highlight w:val="none"/>
              </w:rPr>
            </w:pPr>
            <w:r>
              <w:rPr>
                <w:rFonts w:hint="eastAsia"/>
                <w:kern w:val="0"/>
                <w:sz w:val="21"/>
                <w:szCs w:val="21"/>
                <w:highlight w:val="none"/>
              </w:rPr>
              <w:t>28.8</w:t>
            </w:r>
          </w:p>
        </w:tc>
        <w:tc>
          <w:tcPr>
            <w:tcW w:w="462" w:type="pct"/>
            <w:tcBorders>
              <w:tl2br w:val="nil"/>
              <w:tr2bl w:val="nil"/>
            </w:tcBorders>
            <w:vAlign w:val="center"/>
          </w:tcPr>
          <w:p w14:paraId="3EDF6BA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宋体" w:hAnsi="宋体" w:cs="宋体"/>
                <w:kern w:val="0"/>
                <w:sz w:val="21"/>
                <w:szCs w:val="21"/>
                <w:highlight w:val="none"/>
              </w:rPr>
            </w:pPr>
            <w:r>
              <w:rPr>
                <w:rFonts w:hint="eastAsia"/>
                <w:kern w:val="0"/>
                <w:sz w:val="21"/>
                <w:szCs w:val="21"/>
                <w:highlight w:val="none"/>
              </w:rPr>
              <w:t>3878</w:t>
            </w:r>
          </w:p>
        </w:tc>
        <w:tc>
          <w:tcPr>
            <w:tcW w:w="582" w:type="pct"/>
            <w:tcBorders>
              <w:tl2br w:val="nil"/>
              <w:tr2bl w:val="nil"/>
            </w:tcBorders>
            <w:vAlign w:val="center"/>
          </w:tcPr>
          <w:p w14:paraId="46DDBF9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宋体" w:hAnsi="宋体" w:cs="宋体"/>
                <w:kern w:val="0"/>
                <w:sz w:val="21"/>
                <w:szCs w:val="21"/>
                <w:highlight w:val="none"/>
              </w:rPr>
            </w:pPr>
            <w:r>
              <w:rPr>
                <w:rFonts w:hint="eastAsia"/>
                <w:kern w:val="0"/>
                <w:sz w:val="21"/>
                <w:szCs w:val="21"/>
                <w:highlight w:val="none"/>
              </w:rPr>
              <w:t>15.8</w:t>
            </w:r>
          </w:p>
        </w:tc>
        <w:tc>
          <w:tcPr>
            <w:tcW w:w="494" w:type="pct"/>
            <w:tcBorders>
              <w:tl2br w:val="nil"/>
              <w:tr2bl w:val="nil"/>
            </w:tcBorders>
            <w:vAlign w:val="center"/>
          </w:tcPr>
          <w:p w14:paraId="4E22A53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宋体" w:hAnsi="宋体" w:cs="宋体"/>
                <w:kern w:val="0"/>
                <w:sz w:val="21"/>
                <w:szCs w:val="21"/>
                <w:highlight w:val="none"/>
              </w:rPr>
            </w:pPr>
            <w:r>
              <w:rPr>
                <w:rFonts w:hint="eastAsia"/>
                <w:kern w:val="0"/>
                <w:sz w:val="21"/>
                <w:szCs w:val="21"/>
                <w:highlight w:val="none"/>
              </w:rPr>
              <w:t>0.061</w:t>
            </w:r>
          </w:p>
        </w:tc>
        <w:tc>
          <w:tcPr>
            <w:tcW w:w="582" w:type="pct"/>
            <w:tcBorders>
              <w:tl2br w:val="nil"/>
              <w:tr2bl w:val="nil"/>
            </w:tcBorders>
            <w:vAlign w:val="center"/>
          </w:tcPr>
          <w:p w14:paraId="2B6334D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宋体" w:hAnsi="宋体" w:cs="宋体"/>
                <w:kern w:val="0"/>
                <w:sz w:val="21"/>
                <w:szCs w:val="21"/>
                <w:highlight w:val="none"/>
              </w:rPr>
            </w:pPr>
            <w:r>
              <w:rPr>
                <w:rFonts w:hint="eastAsia"/>
                <w:kern w:val="0"/>
                <w:sz w:val="21"/>
                <w:szCs w:val="21"/>
                <w:highlight w:val="none"/>
              </w:rPr>
              <w:t>4.03</w:t>
            </w:r>
          </w:p>
        </w:tc>
        <w:tc>
          <w:tcPr>
            <w:tcW w:w="494" w:type="pct"/>
            <w:tcBorders>
              <w:tl2br w:val="nil"/>
              <w:tr2bl w:val="nil"/>
            </w:tcBorders>
            <w:vAlign w:val="center"/>
          </w:tcPr>
          <w:p w14:paraId="7D94107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宋体" w:hAnsi="宋体" w:cs="宋体"/>
                <w:kern w:val="0"/>
                <w:sz w:val="21"/>
                <w:szCs w:val="21"/>
                <w:highlight w:val="none"/>
              </w:rPr>
            </w:pPr>
            <w:r>
              <w:rPr>
                <w:rFonts w:hint="eastAsia"/>
                <w:kern w:val="0"/>
                <w:sz w:val="21"/>
                <w:szCs w:val="21"/>
                <w:highlight w:val="none"/>
              </w:rPr>
              <w:t>0.016</w:t>
            </w:r>
          </w:p>
        </w:tc>
        <w:tc>
          <w:tcPr>
            <w:tcW w:w="582" w:type="pct"/>
            <w:tcBorders>
              <w:tl2br w:val="nil"/>
              <w:tr2bl w:val="nil"/>
            </w:tcBorders>
            <w:vAlign w:val="center"/>
          </w:tcPr>
          <w:p w14:paraId="40E6C1A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宋体" w:hAnsi="宋体" w:cs="宋体"/>
                <w:kern w:val="0"/>
                <w:sz w:val="21"/>
                <w:szCs w:val="21"/>
                <w:highlight w:val="none"/>
              </w:rPr>
            </w:pPr>
            <w:r>
              <w:rPr>
                <w:rFonts w:hint="eastAsia"/>
                <w:kern w:val="0"/>
                <w:sz w:val="21"/>
                <w:szCs w:val="21"/>
                <w:highlight w:val="none"/>
              </w:rPr>
              <w:t>27.6</w:t>
            </w:r>
          </w:p>
        </w:tc>
        <w:tc>
          <w:tcPr>
            <w:tcW w:w="493" w:type="pct"/>
            <w:tcBorders>
              <w:tl2br w:val="nil"/>
              <w:tr2bl w:val="nil"/>
            </w:tcBorders>
            <w:vAlign w:val="center"/>
          </w:tcPr>
          <w:p w14:paraId="7A6648D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宋体" w:hAnsi="宋体" w:cs="宋体"/>
                <w:kern w:val="0"/>
                <w:sz w:val="21"/>
                <w:szCs w:val="21"/>
                <w:highlight w:val="none"/>
              </w:rPr>
            </w:pPr>
            <w:r>
              <w:rPr>
                <w:rFonts w:hint="eastAsia"/>
                <w:kern w:val="0"/>
                <w:sz w:val="21"/>
                <w:szCs w:val="21"/>
                <w:highlight w:val="none"/>
              </w:rPr>
              <w:t>0.107</w:t>
            </w:r>
          </w:p>
        </w:tc>
      </w:tr>
    </w:tbl>
    <w:p w14:paraId="283797FC">
      <w:pPr>
        <w:spacing w:line="360" w:lineRule="auto"/>
        <w:ind w:firstLine="480" w:firstLineChars="200"/>
        <w:contextualSpacing/>
        <w:rPr>
          <w:rFonts w:hAnsiTheme="minorEastAsia" w:eastAsiaTheme="minorEastAsia"/>
          <w:kern w:val="0"/>
          <w:sz w:val="24"/>
          <w:highlight w:val="none"/>
        </w:rPr>
      </w:pPr>
      <w:r>
        <w:rPr>
          <w:rFonts w:hint="eastAsia" w:hAnsiTheme="minorEastAsia" w:eastAsiaTheme="minorEastAsia"/>
          <w:kern w:val="0"/>
          <w:sz w:val="24"/>
          <w:highlight w:val="none"/>
        </w:rPr>
        <w:t>本项目热试验设置有12台热试台架，热试台架均自带三元催化装置，尾气经处理后，集中经1根15m高DA002排气筒排放。</w:t>
      </w:r>
      <w:r>
        <w:rPr>
          <w:rFonts w:ascii="宋体" w:hAnsi="宋体"/>
          <w:sz w:val="24"/>
          <w:highlight w:val="none"/>
        </w:rPr>
        <w:t>热试台架为集装箱封闭形式，</w:t>
      </w:r>
      <w:r>
        <w:rPr>
          <w:rFonts w:hint="eastAsia" w:hAnsiTheme="minorEastAsia" w:eastAsiaTheme="minorEastAsia"/>
          <w:kern w:val="0"/>
          <w:sz w:val="24"/>
          <w:highlight w:val="none"/>
        </w:rPr>
        <w:t>排放管紧紧套在排气管上并以卡子卡紧，废气收集率100%，三元催化装置处理效率为90%。</w:t>
      </w:r>
    </w:p>
    <w:p w14:paraId="129C38DD">
      <w:pPr>
        <w:spacing w:line="360" w:lineRule="auto"/>
        <w:ind w:firstLine="480" w:firstLineChars="200"/>
        <w:rPr>
          <w:rFonts w:hAnsi="Calibri"/>
          <w:sz w:val="24"/>
          <w:highlight w:val="none"/>
        </w:rPr>
      </w:pPr>
      <w:r>
        <w:rPr>
          <w:rFonts w:hAnsi="Calibri"/>
          <w:sz w:val="24"/>
          <w:highlight w:val="none"/>
        </w:rPr>
        <w:t>通过产污系数法及类比法核算，得出本项目污染物的排放情况为氮氧化物排放浓度为</w:t>
      </w:r>
      <w:r>
        <w:rPr>
          <w:rFonts w:hint="eastAsia" w:hAnsi="Calibri"/>
          <w:sz w:val="24"/>
          <w:highlight w:val="none"/>
        </w:rPr>
        <w:t>15.730</w:t>
      </w:r>
      <w:r>
        <w:rPr>
          <w:sz w:val="24"/>
          <w:highlight w:val="none"/>
        </w:rPr>
        <w:t>mg/m</w:t>
      </w:r>
      <w:r>
        <w:rPr>
          <w:sz w:val="24"/>
          <w:highlight w:val="none"/>
          <w:vertAlign w:val="superscript"/>
        </w:rPr>
        <w:t>3</w:t>
      </w:r>
      <w:r>
        <w:rPr>
          <w:rFonts w:hAnsi="Calibri"/>
          <w:sz w:val="24"/>
          <w:highlight w:val="none"/>
        </w:rPr>
        <w:t>、排放速率为</w:t>
      </w:r>
      <w:r>
        <w:rPr>
          <w:rFonts w:hint="eastAsia" w:hAnsi="Calibri"/>
          <w:sz w:val="24"/>
          <w:highlight w:val="none"/>
        </w:rPr>
        <w:t>0.671</w:t>
      </w:r>
      <w:r>
        <w:rPr>
          <w:sz w:val="24"/>
          <w:highlight w:val="none"/>
        </w:rPr>
        <w:t>kg/h</w:t>
      </w:r>
      <w:r>
        <w:rPr>
          <w:rFonts w:hAnsi="Calibri"/>
          <w:sz w:val="24"/>
          <w:highlight w:val="none"/>
        </w:rPr>
        <w:t>、排放量为</w:t>
      </w:r>
      <w:r>
        <w:rPr>
          <w:rFonts w:hint="eastAsia" w:hAnsi="Calibri"/>
          <w:sz w:val="24"/>
          <w:highlight w:val="none"/>
        </w:rPr>
        <w:t>1.772</w:t>
      </w:r>
      <w:r>
        <w:rPr>
          <w:sz w:val="24"/>
          <w:highlight w:val="none"/>
        </w:rPr>
        <w:t>t/a</w:t>
      </w:r>
      <w:r>
        <w:rPr>
          <w:rFonts w:hAnsi="Calibri"/>
          <w:sz w:val="24"/>
          <w:highlight w:val="none"/>
        </w:rPr>
        <w:t>，</w:t>
      </w:r>
      <w:r>
        <w:rPr>
          <w:rFonts w:hint="eastAsia" w:hAnsi="Calibri"/>
          <w:sz w:val="24"/>
          <w:highlight w:val="none"/>
        </w:rPr>
        <w:t>非甲烷</w:t>
      </w:r>
      <w:r>
        <w:rPr>
          <w:rFonts w:hAnsi="Calibri"/>
          <w:sz w:val="24"/>
          <w:highlight w:val="none"/>
        </w:rPr>
        <w:t>总烃排放浓度为</w:t>
      </w:r>
      <w:r>
        <w:rPr>
          <w:rFonts w:hint="eastAsia" w:hAnsi="Calibri"/>
          <w:sz w:val="24"/>
          <w:highlight w:val="none"/>
        </w:rPr>
        <w:t>4.126</w:t>
      </w:r>
      <w:r>
        <w:rPr>
          <w:sz w:val="24"/>
          <w:highlight w:val="none"/>
        </w:rPr>
        <w:t>mg/m</w:t>
      </w:r>
      <w:r>
        <w:rPr>
          <w:sz w:val="24"/>
          <w:highlight w:val="none"/>
          <w:vertAlign w:val="superscript"/>
        </w:rPr>
        <w:t>3</w:t>
      </w:r>
      <w:r>
        <w:rPr>
          <w:rFonts w:hAnsi="Calibri"/>
          <w:sz w:val="24"/>
          <w:highlight w:val="none"/>
        </w:rPr>
        <w:t>、排放速率为</w:t>
      </w:r>
      <w:r>
        <w:rPr>
          <w:rFonts w:hint="eastAsia" w:hAnsi="Calibri"/>
          <w:sz w:val="24"/>
          <w:highlight w:val="none"/>
        </w:rPr>
        <w:t>0.176</w:t>
      </w:r>
      <w:r>
        <w:rPr>
          <w:sz w:val="24"/>
          <w:highlight w:val="none"/>
        </w:rPr>
        <w:t>kg/h</w:t>
      </w:r>
      <w:r>
        <w:rPr>
          <w:rFonts w:hAnsi="Calibri"/>
          <w:sz w:val="24"/>
          <w:highlight w:val="none"/>
        </w:rPr>
        <w:t>、排放量为</w:t>
      </w:r>
      <w:r>
        <w:rPr>
          <w:rFonts w:hint="eastAsia" w:hAnsi="Calibri"/>
          <w:sz w:val="24"/>
          <w:highlight w:val="none"/>
        </w:rPr>
        <w:t>0.465</w:t>
      </w:r>
      <w:r>
        <w:rPr>
          <w:sz w:val="24"/>
          <w:highlight w:val="none"/>
        </w:rPr>
        <w:t>t/a</w:t>
      </w:r>
      <w:r>
        <w:rPr>
          <w:rFonts w:hAnsi="Calibri"/>
          <w:sz w:val="24"/>
          <w:highlight w:val="none"/>
        </w:rPr>
        <w:t>，</w:t>
      </w:r>
      <w:r>
        <w:rPr>
          <w:rFonts w:hint="eastAsia" w:hAnsi="Calibri"/>
          <w:sz w:val="24"/>
          <w:highlight w:val="none"/>
        </w:rPr>
        <w:t>一氧化碳</w:t>
      </w:r>
      <w:r>
        <w:rPr>
          <w:rFonts w:hAnsi="Calibri"/>
          <w:sz w:val="24"/>
          <w:highlight w:val="none"/>
        </w:rPr>
        <w:t>排放浓度为</w:t>
      </w:r>
      <w:r>
        <w:rPr>
          <w:rFonts w:hint="eastAsia" w:hAnsi="Calibri"/>
          <w:sz w:val="24"/>
          <w:highlight w:val="none"/>
        </w:rPr>
        <w:t>27.532</w:t>
      </w:r>
      <w:r>
        <w:rPr>
          <w:sz w:val="24"/>
          <w:highlight w:val="none"/>
        </w:rPr>
        <w:t>mg/m</w:t>
      </w:r>
      <w:r>
        <w:rPr>
          <w:sz w:val="24"/>
          <w:highlight w:val="none"/>
          <w:vertAlign w:val="superscript"/>
        </w:rPr>
        <w:t>3</w:t>
      </w:r>
      <w:r>
        <w:rPr>
          <w:rFonts w:hAnsi="Calibri"/>
          <w:sz w:val="24"/>
          <w:highlight w:val="none"/>
        </w:rPr>
        <w:t>、排放速率为</w:t>
      </w:r>
      <w:r>
        <w:rPr>
          <w:rFonts w:hint="eastAsia" w:hAnsi="Calibri"/>
          <w:sz w:val="24"/>
          <w:highlight w:val="none"/>
        </w:rPr>
        <w:t>1.178</w:t>
      </w:r>
      <w:r>
        <w:rPr>
          <w:sz w:val="24"/>
          <w:highlight w:val="none"/>
        </w:rPr>
        <w:t>kg/h</w:t>
      </w:r>
      <w:r>
        <w:rPr>
          <w:rFonts w:hAnsi="Calibri"/>
          <w:sz w:val="24"/>
          <w:highlight w:val="none"/>
        </w:rPr>
        <w:t>、排放量为</w:t>
      </w:r>
      <w:r>
        <w:rPr>
          <w:rFonts w:hint="eastAsia" w:hAnsi="Calibri"/>
          <w:sz w:val="24"/>
          <w:highlight w:val="none"/>
        </w:rPr>
        <w:t>3.108</w:t>
      </w:r>
      <w:r>
        <w:rPr>
          <w:sz w:val="24"/>
          <w:highlight w:val="none"/>
        </w:rPr>
        <w:t>t/a</w:t>
      </w:r>
      <w:r>
        <w:rPr>
          <w:rFonts w:hAnsi="Calibri"/>
          <w:sz w:val="24"/>
          <w:highlight w:val="none"/>
        </w:rPr>
        <w:t>，</w:t>
      </w:r>
      <w:r>
        <w:rPr>
          <w:rFonts w:hint="eastAsia" w:hAnsi="Calibri"/>
          <w:sz w:val="24"/>
          <w:highlight w:val="none"/>
        </w:rPr>
        <w:t>颗粒物</w:t>
      </w:r>
      <w:r>
        <w:rPr>
          <w:rFonts w:hAnsi="Calibri"/>
          <w:sz w:val="24"/>
          <w:highlight w:val="none"/>
        </w:rPr>
        <w:t>排放浓度为</w:t>
      </w:r>
      <w:r>
        <w:rPr>
          <w:rFonts w:hint="eastAsia" w:hAnsi="Calibri"/>
          <w:sz w:val="24"/>
          <w:highlight w:val="none"/>
        </w:rPr>
        <w:t>1.243</w:t>
      </w:r>
      <w:r>
        <w:rPr>
          <w:sz w:val="24"/>
          <w:highlight w:val="none"/>
        </w:rPr>
        <w:t>mg/m</w:t>
      </w:r>
      <w:r>
        <w:rPr>
          <w:sz w:val="24"/>
          <w:highlight w:val="none"/>
          <w:vertAlign w:val="superscript"/>
        </w:rPr>
        <w:t>3</w:t>
      </w:r>
      <w:r>
        <w:rPr>
          <w:rFonts w:hAnsi="Calibri"/>
          <w:sz w:val="24"/>
          <w:highlight w:val="none"/>
        </w:rPr>
        <w:t>、排放速率为</w:t>
      </w:r>
      <w:r>
        <w:rPr>
          <w:rFonts w:hint="eastAsia" w:hAnsi="Calibri"/>
          <w:sz w:val="24"/>
          <w:highlight w:val="none"/>
        </w:rPr>
        <w:t>0.053</w:t>
      </w:r>
      <w:r>
        <w:rPr>
          <w:sz w:val="24"/>
          <w:highlight w:val="none"/>
        </w:rPr>
        <w:t>kg/h</w:t>
      </w:r>
      <w:r>
        <w:rPr>
          <w:rFonts w:hAnsi="Calibri"/>
          <w:sz w:val="24"/>
          <w:highlight w:val="none"/>
        </w:rPr>
        <w:t>、排放量为</w:t>
      </w:r>
      <w:r>
        <w:rPr>
          <w:rFonts w:hint="eastAsia" w:hAnsi="Calibri"/>
          <w:sz w:val="24"/>
          <w:highlight w:val="none"/>
        </w:rPr>
        <w:t>0.14</w:t>
      </w:r>
      <w:r>
        <w:rPr>
          <w:sz w:val="24"/>
          <w:highlight w:val="none"/>
        </w:rPr>
        <w:t>t/a</w:t>
      </w:r>
      <w:r>
        <w:rPr>
          <w:rFonts w:hint="eastAsia" w:hAnsi="Calibri"/>
          <w:sz w:val="24"/>
          <w:highlight w:val="none"/>
        </w:rPr>
        <w:t>。</w:t>
      </w:r>
    </w:p>
    <w:p w14:paraId="1D8C4C32">
      <w:pPr>
        <w:bidi w:val="0"/>
        <w:rPr>
          <w:highlight w:val="none"/>
        </w:rPr>
      </w:pPr>
      <w:r>
        <w:rPr>
          <w:rFonts w:hint="eastAsia"/>
          <w:highlight w:val="none"/>
          <w:lang w:val="en-US" w:eastAsia="zh-CN"/>
        </w:rPr>
        <w:t>9、</w:t>
      </w:r>
      <w:r>
        <w:rPr>
          <w:highlight w:val="none"/>
        </w:rPr>
        <w:t>非正常工况</w:t>
      </w:r>
      <w:bookmarkEnd w:id="285"/>
    </w:p>
    <w:p w14:paraId="65181470">
      <w:pPr>
        <w:bidi w:val="0"/>
        <w:rPr>
          <w:rFonts w:eastAsiaTheme="minorEastAsia"/>
          <w:bCs/>
          <w:kern w:val="0"/>
          <w:highlight w:val="none"/>
        </w:rPr>
      </w:pPr>
      <w:r>
        <w:rPr>
          <w:highlight w:val="none"/>
        </w:rPr>
        <w:t>非正常工况主要指生产设备、污染防治装置开关停操作不当，设备开停机，设备故障，设备检维修</w:t>
      </w:r>
      <w:r>
        <w:rPr>
          <w:rFonts w:hAnsiTheme="minorEastAsia" w:eastAsiaTheme="minorEastAsia"/>
          <w:bCs/>
          <w:kern w:val="0"/>
          <w:highlight w:val="none"/>
        </w:rPr>
        <w:t>，污染防治装置故障等，致使污染防治装置处理效率降低。本报告废气发生非正常排放工况，油雾净化装置</w:t>
      </w:r>
      <w:r>
        <w:rPr>
          <w:rFonts w:hint="eastAsia" w:hAnsiTheme="minorEastAsia" w:eastAsiaTheme="minorEastAsia"/>
          <w:bCs/>
          <w:kern w:val="0"/>
          <w:highlight w:val="none"/>
          <w:lang w:val="en-US" w:eastAsia="zh-CN"/>
        </w:rPr>
        <w:t>及活性炭吸附装置</w:t>
      </w:r>
      <w:r>
        <w:rPr>
          <w:rFonts w:hAnsiTheme="minorEastAsia" w:eastAsiaTheme="minorEastAsia"/>
          <w:bCs/>
          <w:kern w:val="0"/>
          <w:highlight w:val="none"/>
        </w:rPr>
        <w:t>处理效率为</w:t>
      </w:r>
      <w:r>
        <w:rPr>
          <w:rFonts w:hint="eastAsia" w:eastAsiaTheme="minorEastAsia"/>
          <w:bCs/>
          <w:kern w:val="0"/>
          <w:highlight w:val="none"/>
          <w:lang w:val="en-US" w:eastAsia="zh-CN"/>
        </w:rPr>
        <w:t>50</w:t>
      </w:r>
      <w:r>
        <w:rPr>
          <w:rFonts w:eastAsiaTheme="minorEastAsia"/>
          <w:bCs/>
          <w:kern w:val="0"/>
          <w:highlight w:val="none"/>
        </w:rPr>
        <w:t>%</w:t>
      </w:r>
      <w:r>
        <w:rPr>
          <w:rFonts w:hint="eastAsia" w:eastAsiaTheme="minorEastAsia"/>
          <w:bCs/>
          <w:kern w:val="0"/>
          <w:highlight w:val="none"/>
          <w:lang w:eastAsia="zh-CN"/>
        </w:rPr>
        <w:t>，</w:t>
      </w:r>
      <w:r>
        <w:rPr>
          <w:rFonts w:hAnsiTheme="minorEastAsia" w:eastAsiaTheme="minorEastAsia"/>
          <w:bCs/>
          <w:kern w:val="0"/>
          <w:highlight w:val="none"/>
        </w:rPr>
        <w:t>非正常工况废气污染排放源强</w:t>
      </w:r>
      <w:r>
        <w:rPr>
          <w:rFonts w:hint="eastAsia" w:hAnsiTheme="minorEastAsia" w:eastAsiaTheme="minorEastAsia"/>
          <w:bCs/>
          <w:kern w:val="0"/>
          <w:highlight w:val="none"/>
          <w:lang w:val="en-US" w:eastAsia="zh-CN"/>
        </w:rPr>
        <w:t>见下表</w:t>
      </w:r>
      <w:r>
        <w:rPr>
          <w:rFonts w:hAnsiTheme="minorEastAsia" w:eastAsiaTheme="minorEastAsia"/>
          <w:bCs/>
          <w:kern w:val="0"/>
          <w:highlight w:val="none"/>
        </w:rPr>
        <w:t>。</w:t>
      </w:r>
    </w:p>
    <w:p w14:paraId="03EC887D">
      <w:pPr>
        <w:pStyle w:val="7"/>
        <w:bidi w:val="0"/>
        <w:rPr>
          <w:highlight w:val="none"/>
        </w:rPr>
      </w:pPr>
      <w:r>
        <w:rPr>
          <w:highlight w:val="none"/>
        </w:rPr>
        <w:t>表3-</w:t>
      </w:r>
      <w:r>
        <w:rPr>
          <w:rFonts w:hint="eastAsia"/>
          <w:highlight w:val="none"/>
          <w:lang w:val="en-US" w:eastAsia="zh-CN"/>
        </w:rPr>
        <w:t>3</w:t>
      </w:r>
      <w:r>
        <w:rPr>
          <w:highlight w:val="none"/>
        </w:rPr>
        <w:t>-</w:t>
      </w:r>
      <w:r>
        <w:rPr>
          <w:rFonts w:hint="eastAsia"/>
          <w:highlight w:val="none"/>
          <w:lang w:val="en-US" w:eastAsia="zh-CN"/>
        </w:rPr>
        <w:t>2</w:t>
      </w:r>
      <w:r>
        <w:rPr>
          <w:highlight w:val="none"/>
        </w:rPr>
        <w:t>非正常排放参数表</w:t>
      </w:r>
    </w:p>
    <w:tbl>
      <w:tblPr>
        <w:tblStyle w:val="45"/>
        <w:tblW w:w="8383"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65"/>
        <w:gridCol w:w="1962"/>
        <w:gridCol w:w="1559"/>
        <w:gridCol w:w="1418"/>
        <w:gridCol w:w="1134"/>
        <w:gridCol w:w="1045"/>
      </w:tblGrid>
      <w:tr w14:paraId="5F796A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1265" w:type="dxa"/>
            <w:vAlign w:val="center"/>
          </w:tcPr>
          <w:p w14:paraId="5F07F38F">
            <w:pPr>
              <w:pStyle w:val="76"/>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r>
              <w:rPr>
                <w:rFonts w:hint="default" w:ascii="Times New Roman" w:cs="Times New Roman" w:hAnsiTheme="minorEastAsia"/>
                <w:sz w:val="21"/>
                <w:szCs w:val="21"/>
                <w:highlight w:val="none"/>
              </w:rPr>
              <w:t>非正常排放源</w:t>
            </w:r>
          </w:p>
        </w:tc>
        <w:tc>
          <w:tcPr>
            <w:tcW w:w="1962" w:type="dxa"/>
            <w:vAlign w:val="center"/>
          </w:tcPr>
          <w:p w14:paraId="7740FE73">
            <w:pPr>
              <w:pStyle w:val="76"/>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sz w:val="21"/>
                <w:szCs w:val="21"/>
                <w:highlight w:val="none"/>
              </w:rPr>
            </w:pPr>
            <w:r>
              <w:rPr>
                <w:rFonts w:hint="default" w:ascii="Times New Roman" w:cs="Times New Roman" w:hAnsiTheme="minorEastAsia"/>
                <w:sz w:val="21"/>
                <w:szCs w:val="21"/>
                <w:highlight w:val="none"/>
              </w:rPr>
              <w:t>非正常排放原因</w:t>
            </w:r>
          </w:p>
        </w:tc>
        <w:tc>
          <w:tcPr>
            <w:tcW w:w="1559" w:type="dxa"/>
            <w:vAlign w:val="center"/>
          </w:tcPr>
          <w:p w14:paraId="0E09AC83">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污染物</w:t>
            </w:r>
          </w:p>
        </w:tc>
        <w:tc>
          <w:tcPr>
            <w:tcW w:w="1418" w:type="dxa"/>
            <w:vAlign w:val="center"/>
          </w:tcPr>
          <w:p w14:paraId="19ABC3F4">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非正常排放速率</w:t>
            </w:r>
            <w:r>
              <w:rPr>
                <w:rFonts w:hint="default" w:eastAsiaTheme="minorEastAsia"/>
                <w:kern w:val="0"/>
                <w:sz w:val="21"/>
                <w:szCs w:val="21"/>
                <w:highlight w:val="none"/>
              </w:rPr>
              <w:t>/kg/h</w:t>
            </w:r>
          </w:p>
        </w:tc>
        <w:tc>
          <w:tcPr>
            <w:tcW w:w="1134" w:type="dxa"/>
            <w:vAlign w:val="center"/>
          </w:tcPr>
          <w:p w14:paraId="7EC1571C">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单次持续时间</w:t>
            </w:r>
            <w:r>
              <w:rPr>
                <w:rFonts w:hint="default" w:eastAsiaTheme="minorEastAsia"/>
                <w:kern w:val="0"/>
                <w:sz w:val="21"/>
                <w:szCs w:val="21"/>
                <w:highlight w:val="none"/>
              </w:rPr>
              <w:t>/h</w:t>
            </w:r>
          </w:p>
        </w:tc>
        <w:tc>
          <w:tcPr>
            <w:tcW w:w="1045" w:type="dxa"/>
            <w:vAlign w:val="center"/>
          </w:tcPr>
          <w:p w14:paraId="70602AE5">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年发生频次</w:t>
            </w:r>
            <w:r>
              <w:rPr>
                <w:rFonts w:hint="default" w:eastAsiaTheme="minorEastAsia"/>
                <w:kern w:val="0"/>
                <w:sz w:val="21"/>
                <w:szCs w:val="21"/>
                <w:highlight w:val="none"/>
              </w:rPr>
              <w:t>/</w:t>
            </w:r>
            <w:r>
              <w:rPr>
                <w:rFonts w:hint="default" w:hAnsiTheme="minorEastAsia" w:eastAsiaTheme="minorEastAsia"/>
                <w:kern w:val="0"/>
                <w:sz w:val="21"/>
                <w:szCs w:val="21"/>
                <w:highlight w:val="none"/>
              </w:rPr>
              <w:t>次</w:t>
            </w:r>
          </w:p>
        </w:tc>
      </w:tr>
      <w:tr w14:paraId="00A560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1265" w:type="dxa"/>
            <w:vAlign w:val="center"/>
          </w:tcPr>
          <w:p w14:paraId="7B0BF945">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eastAsia" w:hAnsiTheme="minorEastAsia" w:eastAsiaTheme="minorEastAsia"/>
                <w:sz w:val="21"/>
                <w:szCs w:val="21"/>
                <w:highlight w:val="none"/>
              </w:rPr>
              <w:t>DA001</w:t>
            </w:r>
          </w:p>
        </w:tc>
        <w:tc>
          <w:tcPr>
            <w:tcW w:w="1962" w:type="dxa"/>
            <w:vMerge w:val="restart"/>
            <w:vAlign w:val="center"/>
          </w:tcPr>
          <w:p w14:paraId="0679BAE4">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kern w:val="0"/>
                <w:sz w:val="21"/>
                <w:szCs w:val="21"/>
                <w:highlight w:val="none"/>
              </w:rPr>
            </w:pPr>
            <w:r>
              <w:rPr>
                <w:rFonts w:hint="default" w:hAnsiTheme="minorEastAsia" w:eastAsiaTheme="minorEastAsia"/>
                <w:sz w:val="21"/>
                <w:szCs w:val="21"/>
                <w:highlight w:val="none"/>
              </w:rPr>
              <w:t>环保设备设备不能正常运转时</w:t>
            </w:r>
          </w:p>
        </w:tc>
        <w:tc>
          <w:tcPr>
            <w:tcW w:w="1559" w:type="dxa"/>
            <w:vAlign w:val="center"/>
          </w:tcPr>
          <w:p w14:paraId="27CD9347">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非甲烷总烃</w:t>
            </w:r>
          </w:p>
        </w:tc>
        <w:tc>
          <w:tcPr>
            <w:tcW w:w="1418" w:type="dxa"/>
            <w:vAlign w:val="center"/>
          </w:tcPr>
          <w:p w14:paraId="6EE98546">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w:t>
            </w:r>
            <w:r>
              <w:rPr>
                <w:rFonts w:hint="eastAsia" w:eastAsiaTheme="minorEastAsia"/>
                <w:sz w:val="21"/>
                <w:szCs w:val="21"/>
                <w:highlight w:val="none"/>
              </w:rPr>
              <w:t>36</w:t>
            </w:r>
          </w:p>
        </w:tc>
        <w:tc>
          <w:tcPr>
            <w:tcW w:w="1134" w:type="dxa"/>
            <w:vMerge w:val="restart"/>
            <w:vAlign w:val="center"/>
          </w:tcPr>
          <w:p w14:paraId="06B713E0">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sz w:val="21"/>
                <w:szCs w:val="21"/>
                <w:highlight w:val="none"/>
              </w:rPr>
              <w:t>＜</w:t>
            </w:r>
            <w:r>
              <w:rPr>
                <w:rFonts w:hint="default" w:eastAsiaTheme="minorEastAsia"/>
                <w:sz w:val="21"/>
                <w:szCs w:val="21"/>
                <w:highlight w:val="none"/>
              </w:rPr>
              <w:t>1</w:t>
            </w:r>
          </w:p>
        </w:tc>
        <w:tc>
          <w:tcPr>
            <w:tcW w:w="1045" w:type="dxa"/>
            <w:vMerge w:val="restart"/>
            <w:vAlign w:val="center"/>
          </w:tcPr>
          <w:p w14:paraId="5EABC3F7">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1</w:t>
            </w:r>
          </w:p>
        </w:tc>
      </w:tr>
      <w:tr w14:paraId="0D5F1D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6" w:hRule="atLeast"/>
        </w:trPr>
        <w:tc>
          <w:tcPr>
            <w:tcW w:w="1265" w:type="dxa"/>
            <w:vMerge w:val="restart"/>
            <w:vAlign w:val="center"/>
          </w:tcPr>
          <w:p w14:paraId="37A30B75">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sz w:val="21"/>
                <w:szCs w:val="21"/>
                <w:highlight w:val="none"/>
              </w:rPr>
            </w:pPr>
            <w:r>
              <w:rPr>
                <w:rFonts w:hint="eastAsia" w:hAnsiTheme="minorEastAsia" w:eastAsiaTheme="minorEastAsia"/>
                <w:sz w:val="21"/>
                <w:szCs w:val="21"/>
                <w:highlight w:val="none"/>
              </w:rPr>
              <w:t>DA002</w:t>
            </w:r>
          </w:p>
        </w:tc>
        <w:tc>
          <w:tcPr>
            <w:tcW w:w="1962" w:type="dxa"/>
            <w:vMerge w:val="continue"/>
            <w:vAlign w:val="center"/>
          </w:tcPr>
          <w:p w14:paraId="751257B3">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sz w:val="21"/>
                <w:szCs w:val="21"/>
                <w:highlight w:val="none"/>
              </w:rPr>
            </w:pPr>
          </w:p>
        </w:tc>
        <w:tc>
          <w:tcPr>
            <w:tcW w:w="1559" w:type="dxa"/>
            <w:vAlign w:val="center"/>
          </w:tcPr>
          <w:p w14:paraId="548DB6A4">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氮氧化物</w:t>
            </w:r>
          </w:p>
        </w:tc>
        <w:tc>
          <w:tcPr>
            <w:tcW w:w="1418" w:type="dxa"/>
            <w:vAlign w:val="center"/>
          </w:tcPr>
          <w:p w14:paraId="59963F20">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eastAsia" w:eastAsiaTheme="minorEastAsia"/>
                <w:sz w:val="21"/>
                <w:szCs w:val="21"/>
                <w:highlight w:val="none"/>
              </w:rPr>
              <w:t>4.697</w:t>
            </w:r>
          </w:p>
        </w:tc>
        <w:tc>
          <w:tcPr>
            <w:tcW w:w="1134" w:type="dxa"/>
            <w:vMerge w:val="continue"/>
            <w:vAlign w:val="center"/>
          </w:tcPr>
          <w:p w14:paraId="33948406">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sz w:val="21"/>
                <w:szCs w:val="21"/>
                <w:highlight w:val="none"/>
              </w:rPr>
            </w:pPr>
          </w:p>
        </w:tc>
        <w:tc>
          <w:tcPr>
            <w:tcW w:w="1045" w:type="dxa"/>
            <w:vMerge w:val="continue"/>
            <w:vAlign w:val="center"/>
          </w:tcPr>
          <w:p w14:paraId="240194A6">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r>
      <w:tr w14:paraId="22B3B0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8" w:hRule="atLeast"/>
        </w:trPr>
        <w:tc>
          <w:tcPr>
            <w:tcW w:w="1265" w:type="dxa"/>
            <w:vMerge w:val="continue"/>
            <w:vAlign w:val="center"/>
          </w:tcPr>
          <w:p w14:paraId="53EAB3E0">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sz w:val="21"/>
                <w:szCs w:val="21"/>
                <w:highlight w:val="none"/>
              </w:rPr>
            </w:pPr>
          </w:p>
        </w:tc>
        <w:tc>
          <w:tcPr>
            <w:tcW w:w="1962" w:type="dxa"/>
            <w:vMerge w:val="continue"/>
            <w:vAlign w:val="center"/>
          </w:tcPr>
          <w:p w14:paraId="5307DC70">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sz w:val="21"/>
                <w:szCs w:val="21"/>
                <w:highlight w:val="none"/>
              </w:rPr>
            </w:pPr>
          </w:p>
        </w:tc>
        <w:tc>
          <w:tcPr>
            <w:tcW w:w="1559" w:type="dxa"/>
            <w:vAlign w:val="center"/>
          </w:tcPr>
          <w:p w14:paraId="046340F3">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非甲烷总烃</w:t>
            </w:r>
          </w:p>
        </w:tc>
        <w:tc>
          <w:tcPr>
            <w:tcW w:w="1418" w:type="dxa"/>
            <w:vAlign w:val="center"/>
          </w:tcPr>
          <w:p w14:paraId="5A8917C8">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eastAsia" w:eastAsiaTheme="minorEastAsia"/>
                <w:sz w:val="21"/>
                <w:szCs w:val="21"/>
                <w:highlight w:val="none"/>
              </w:rPr>
              <w:t>1.232</w:t>
            </w:r>
          </w:p>
        </w:tc>
        <w:tc>
          <w:tcPr>
            <w:tcW w:w="1134" w:type="dxa"/>
            <w:vMerge w:val="continue"/>
            <w:vAlign w:val="center"/>
          </w:tcPr>
          <w:p w14:paraId="0ADA896C">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sz w:val="21"/>
                <w:szCs w:val="21"/>
                <w:highlight w:val="none"/>
              </w:rPr>
            </w:pPr>
          </w:p>
        </w:tc>
        <w:tc>
          <w:tcPr>
            <w:tcW w:w="1045" w:type="dxa"/>
            <w:vMerge w:val="continue"/>
            <w:vAlign w:val="center"/>
          </w:tcPr>
          <w:p w14:paraId="315B5A84">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r>
      <w:tr w14:paraId="3B57CB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3" w:hRule="atLeast"/>
        </w:trPr>
        <w:tc>
          <w:tcPr>
            <w:tcW w:w="1265" w:type="dxa"/>
            <w:vMerge w:val="continue"/>
            <w:vAlign w:val="center"/>
          </w:tcPr>
          <w:p w14:paraId="089BE4CE">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sz w:val="21"/>
                <w:szCs w:val="21"/>
                <w:highlight w:val="none"/>
              </w:rPr>
            </w:pPr>
          </w:p>
        </w:tc>
        <w:tc>
          <w:tcPr>
            <w:tcW w:w="1962" w:type="dxa"/>
            <w:vMerge w:val="continue"/>
            <w:vAlign w:val="center"/>
          </w:tcPr>
          <w:p w14:paraId="5FE712E2">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sz w:val="21"/>
                <w:szCs w:val="21"/>
                <w:highlight w:val="none"/>
              </w:rPr>
            </w:pPr>
          </w:p>
        </w:tc>
        <w:tc>
          <w:tcPr>
            <w:tcW w:w="1559" w:type="dxa"/>
            <w:vAlign w:val="center"/>
          </w:tcPr>
          <w:p w14:paraId="32B26980">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eastAsiaTheme="minorEastAsia"/>
                <w:sz w:val="21"/>
                <w:szCs w:val="21"/>
                <w:highlight w:val="none"/>
              </w:rPr>
              <w:t>一氧化碳</w:t>
            </w:r>
          </w:p>
        </w:tc>
        <w:tc>
          <w:tcPr>
            <w:tcW w:w="1418" w:type="dxa"/>
            <w:vAlign w:val="center"/>
          </w:tcPr>
          <w:p w14:paraId="20BBD8AC">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eastAsia" w:eastAsiaTheme="minorEastAsia"/>
                <w:sz w:val="21"/>
                <w:szCs w:val="21"/>
                <w:highlight w:val="none"/>
              </w:rPr>
              <w:t>8.246</w:t>
            </w:r>
          </w:p>
        </w:tc>
        <w:tc>
          <w:tcPr>
            <w:tcW w:w="1134" w:type="dxa"/>
            <w:vMerge w:val="continue"/>
            <w:vAlign w:val="center"/>
          </w:tcPr>
          <w:p w14:paraId="3DEE1F41">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sz w:val="21"/>
                <w:szCs w:val="21"/>
                <w:highlight w:val="none"/>
              </w:rPr>
            </w:pPr>
          </w:p>
        </w:tc>
        <w:tc>
          <w:tcPr>
            <w:tcW w:w="1045" w:type="dxa"/>
            <w:vMerge w:val="continue"/>
            <w:vAlign w:val="center"/>
          </w:tcPr>
          <w:p w14:paraId="0B70E096">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r>
    </w:tbl>
    <w:p w14:paraId="11971DD7">
      <w:pPr>
        <w:pStyle w:val="6"/>
        <w:bidi w:val="0"/>
        <w:rPr>
          <w:rFonts w:hint="eastAsia"/>
          <w:highlight w:val="none"/>
          <w:lang w:val="en-US" w:eastAsia="zh-CN"/>
        </w:rPr>
      </w:pPr>
      <w:r>
        <w:rPr>
          <w:rFonts w:hint="eastAsia"/>
          <w:highlight w:val="none"/>
          <w:lang w:val="en-US" w:eastAsia="zh-CN"/>
        </w:rPr>
        <w:t>3.3.2.4废水</w:t>
      </w:r>
    </w:p>
    <w:p w14:paraId="62ED557D">
      <w:pPr>
        <w:bidi w:val="0"/>
        <w:rPr>
          <w:rFonts w:hint="default" w:eastAsia="宋体"/>
          <w:highlight w:val="none"/>
          <w:lang w:val="en-US" w:eastAsia="zh-CN"/>
        </w:rPr>
      </w:pPr>
      <w:r>
        <w:rPr>
          <w:rFonts w:hint="eastAsia"/>
          <w:highlight w:val="none"/>
        </w:rPr>
        <w:t>自2024年7月起，4G9生产线废水均进入4号厂房污水处理站处理；本项目不新增发动机产能，且本项目改造前后污水产生量及排放量无变化，改造后4号厂房污水处理站不新增污染物排放量，</w:t>
      </w:r>
      <w:r>
        <w:rPr>
          <w:rFonts w:hint="eastAsia"/>
          <w:highlight w:val="none"/>
          <w:lang w:val="en-US" w:eastAsia="zh-CN"/>
        </w:rPr>
        <w:t>故本项目无需重新分析各污染物及其排放量。</w:t>
      </w:r>
    </w:p>
    <w:p w14:paraId="20C934AE">
      <w:pPr>
        <w:bidi w:val="0"/>
        <w:rPr>
          <w:rFonts w:hint="default" w:eastAsiaTheme="minorEastAsia"/>
          <w:b/>
          <w:sz w:val="24"/>
          <w:highlight w:val="none"/>
          <w:lang w:val="en-US" w:eastAsia="zh-CN"/>
        </w:rPr>
        <w:sectPr>
          <w:pgSz w:w="11906" w:h="16838"/>
          <w:pgMar w:top="1440" w:right="1800" w:bottom="1440" w:left="1800" w:header="851" w:footer="992" w:gutter="0"/>
          <w:pgBorders w:offsetFrom="page">
            <w:top w:val="none" w:sz="0" w:space="0"/>
            <w:left w:val="none" w:sz="0" w:space="0"/>
            <w:bottom w:val="none" w:sz="0" w:space="0"/>
            <w:right w:val="none" w:sz="0" w:space="0"/>
          </w:pgBorders>
          <w:cols w:space="425" w:num="1"/>
          <w:docGrid w:type="lines" w:linePitch="312" w:charSpace="0"/>
        </w:sectPr>
      </w:pPr>
    </w:p>
    <w:p w14:paraId="084B5871">
      <w:pPr>
        <w:pStyle w:val="6"/>
        <w:bidi w:val="0"/>
        <w:rPr>
          <w:highlight w:val="none"/>
        </w:rPr>
      </w:pPr>
      <w:r>
        <w:rPr>
          <w:highlight w:val="none"/>
        </w:rPr>
        <w:t>3.</w:t>
      </w:r>
      <w:r>
        <w:rPr>
          <w:rFonts w:hint="eastAsia"/>
          <w:highlight w:val="none"/>
          <w:lang w:val="en-US" w:eastAsia="zh-CN"/>
        </w:rPr>
        <w:t>3</w:t>
      </w:r>
      <w:r>
        <w:rPr>
          <w:highlight w:val="none"/>
        </w:rPr>
        <w:t>.2.3噪声</w:t>
      </w:r>
    </w:p>
    <w:p w14:paraId="3BAB070C">
      <w:pPr>
        <w:tabs>
          <w:tab w:val="left" w:pos="12180"/>
        </w:tabs>
        <w:spacing w:line="360" w:lineRule="auto"/>
        <w:ind w:firstLine="480" w:firstLineChars="200"/>
        <w:rPr>
          <w:rFonts w:hAnsiTheme="minorEastAsia" w:eastAsiaTheme="minorEastAsia"/>
          <w:sz w:val="24"/>
          <w:highlight w:val="none"/>
        </w:rPr>
      </w:pPr>
      <w:r>
        <w:rPr>
          <w:rFonts w:hAnsiTheme="minorEastAsia" w:eastAsiaTheme="minorEastAsia"/>
          <w:sz w:val="24"/>
          <w:highlight w:val="none"/>
        </w:rPr>
        <w:t>本项目主要噪声源为机械加工生产设备等。噪声值在</w:t>
      </w:r>
      <w:r>
        <w:rPr>
          <w:rFonts w:eastAsiaTheme="minorEastAsia"/>
          <w:sz w:val="24"/>
          <w:highlight w:val="none"/>
        </w:rPr>
        <w:t>7</w:t>
      </w:r>
      <w:r>
        <w:rPr>
          <w:rFonts w:hint="eastAsia" w:eastAsiaTheme="minorEastAsia"/>
          <w:sz w:val="24"/>
          <w:highlight w:val="none"/>
          <w:lang w:val="en-US" w:eastAsia="zh-CN"/>
        </w:rPr>
        <w:t>0</w:t>
      </w:r>
      <w:r>
        <w:rPr>
          <w:rFonts w:eastAsiaTheme="minorEastAsia"/>
          <w:sz w:val="24"/>
          <w:highlight w:val="none"/>
        </w:rPr>
        <w:t>-</w:t>
      </w:r>
      <w:r>
        <w:rPr>
          <w:rFonts w:hint="eastAsia" w:eastAsiaTheme="minorEastAsia"/>
          <w:sz w:val="24"/>
          <w:highlight w:val="none"/>
          <w:lang w:val="en-US" w:eastAsia="zh-CN"/>
        </w:rPr>
        <w:t>8</w:t>
      </w:r>
      <w:r>
        <w:rPr>
          <w:rFonts w:eastAsiaTheme="minorEastAsia"/>
          <w:sz w:val="24"/>
          <w:highlight w:val="none"/>
        </w:rPr>
        <w:t>0dB</w:t>
      </w:r>
      <w:r>
        <w:rPr>
          <w:rFonts w:hAnsiTheme="minorEastAsia" w:eastAsiaTheme="minorEastAsia"/>
          <w:sz w:val="24"/>
          <w:highlight w:val="none"/>
        </w:rPr>
        <w:t>（</w:t>
      </w:r>
      <w:r>
        <w:rPr>
          <w:rFonts w:eastAsiaTheme="minorEastAsia"/>
          <w:sz w:val="24"/>
          <w:highlight w:val="none"/>
        </w:rPr>
        <w:t>A</w:t>
      </w:r>
      <w:r>
        <w:rPr>
          <w:rFonts w:hAnsiTheme="minorEastAsia" w:eastAsiaTheme="minorEastAsia"/>
          <w:sz w:val="24"/>
          <w:highlight w:val="none"/>
        </w:rPr>
        <w:t>）。项目设备通过合理布局，采取基础减振、建筑隔声、选用低噪声设备等措施降低对周边声环境影响。本项目噪声源强一览表见表</w:t>
      </w:r>
      <w:r>
        <w:rPr>
          <w:rFonts w:eastAsiaTheme="minorEastAsia"/>
          <w:sz w:val="24"/>
          <w:highlight w:val="none"/>
        </w:rPr>
        <w:t>3-3-</w:t>
      </w:r>
      <w:r>
        <w:rPr>
          <w:rFonts w:hint="eastAsia" w:eastAsiaTheme="minorEastAsia"/>
          <w:sz w:val="24"/>
          <w:highlight w:val="none"/>
        </w:rPr>
        <w:t>7</w:t>
      </w:r>
      <w:r>
        <w:rPr>
          <w:rFonts w:hAnsiTheme="minorEastAsia" w:eastAsiaTheme="minorEastAsia"/>
          <w:sz w:val="24"/>
          <w:highlight w:val="none"/>
        </w:rPr>
        <w:t>。</w:t>
      </w:r>
    </w:p>
    <w:p w14:paraId="39C5AA25">
      <w:pPr>
        <w:pStyle w:val="6"/>
        <w:bidi w:val="0"/>
        <w:rPr>
          <w:highlight w:val="none"/>
        </w:rPr>
      </w:pPr>
      <w:r>
        <w:rPr>
          <w:highlight w:val="none"/>
        </w:rPr>
        <w:t>3.</w:t>
      </w:r>
      <w:r>
        <w:rPr>
          <w:rFonts w:hint="eastAsia"/>
          <w:highlight w:val="none"/>
          <w:lang w:val="en-US" w:eastAsia="zh-CN"/>
        </w:rPr>
        <w:t>3</w:t>
      </w:r>
      <w:r>
        <w:rPr>
          <w:highlight w:val="none"/>
        </w:rPr>
        <w:t>.2.4固废</w:t>
      </w:r>
    </w:p>
    <w:p w14:paraId="11D6DE77">
      <w:pPr>
        <w:spacing w:line="360" w:lineRule="auto"/>
        <w:ind w:firstLine="480" w:firstLineChars="200"/>
        <w:contextualSpacing/>
        <w:rPr>
          <w:rFonts w:eastAsiaTheme="minorEastAsia"/>
          <w:bCs/>
          <w:sz w:val="24"/>
          <w:highlight w:val="none"/>
        </w:rPr>
      </w:pPr>
      <w:r>
        <w:rPr>
          <w:rFonts w:hAnsiTheme="minorEastAsia" w:eastAsiaTheme="minorEastAsia"/>
          <w:bCs/>
          <w:sz w:val="24"/>
          <w:highlight w:val="none"/>
        </w:rPr>
        <w:t>（</w:t>
      </w:r>
      <w:r>
        <w:rPr>
          <w:rFonts w:eastAsiaTheme="minorEastAsia"/>
          <w:bCs/>
          <w:sz w:val="24"/>
          <w:highlight w:val="none"/>
        </w:rPr>
        <w:t>2</w:t>
      </w:r>
      <w:r>
        <w:rPr>
          <w:rFonts w:hAnsiTheme="minorEastAsia" w:eastAsiaTheme="minorEastAsia"/>
          <w:bCs/>
          <w:sz w:val="24"/>
          <w:highlight w:val="none"/>
        </w:rPr>
        <w:t>）金属碎屑</w:t>
      </w:r>
    </w:p>
    <w:p w14:paraId="59A9F314">
      <w:pPr>
        <w:spacing w:line="360" w:lineRule="auto"/>
        <w:ind w:firstLine="480" w:firstLineChars="200"/>
        <w:contextualSpacing/>
        <w:rPr>
          <w:rFonts w:eastAsiaTheme="minorEastAsia"/>
          <w:bCs/>
          <w:sz w:val="24"/>
          <w:highlight w:val="none"/>
        </w:rPr>
      </w:pPr>
      <w:r>
        <w:rPr>
          <w:rFonts w:hAnsiTheme="minorEastAsia" w:eastAsiaTheme="minorEastAsia"/>
          <w:bCs/>
          <w:sz w:val="24"/>
          <w:highlight w:val="none"/>
        </w:rPr>
        <w:t>机械加工线加工工序会产生金属碎屑（代码：362-002-</w:t>
      </w:r>
      <w:r>
        <w:rPr>
          <w:rFonts w:hint="eastAsia" w:hAnsiTheme="minorEastAsia" w:eastAsiaTheme="minorEastAsia"/>
          <w:bCs/>
          <w:sz w:val="24"/>
          <w:highlight w:val="none"/>
        </w:rPr>
        <w:t>09</w:t>
      </w:r>
      <w:r>
        <w:rPr>
          <w:rFonts w:hAnsiTheme="minorEastAsia" w:eastAsiaTheme="minorEastAsia"/>
          <w:bCs/>
          <w:sz w:val="24"/>
          <w:highlight w:val="none"/>
        </w:rPr>
        <w:t>），根据原辅材料消耗表缸体缸盖毛坯量</w:t>
      </w:r>
      <w:r>
        <w:rPr>
          <w:rFonts w:eastAsiaTheme="minorEastAsia"/>
          <w:bCs/>
          <w:sz w:val="24"/>
          <w:highlight w:val="none"/>
        </w:rPr>
        <w:t>5%</w:t>
      </w:r>
      <w:r>
        <w:rPr>
          <w:rFonts w:hAnsiTheme="minorEastAsia" w:eastAsiaTheme="minorEastAsia"/>
          <w:bCs/>
          <w:sz w:val="24"/>
          <w:highlight w:val="none"/>
        </w:rPr>
        <w:t>核算，金属碎屑产生量为</w:t>
      </w:r>
      <w:r>
        <w:rPr>
          <w:rFonts w:eastAsiaTheme="minorEastAsia"/>
          <w:bCs/>
          <w:sz w:val="24"/>
          <w:highlight w:val="none"/>
        </w:rPr>
        <w:t>243.41t/a</w:t>
      </w:r>
      <w:r>
        <w:rPr>
          <w:rFonts w:hAnsiTheme="minorEastAsia" w:eastAsiaTheme="minorEastAsia"/>
          <w:bCs/>
          <w:sz w:val="24"/>
          <w:highlight w:val="none"/>
        </w:rPr>
        <w:t>，收集后作为废品外售。</w:t>
      </w:r>
    </w:p>
    <w:p w14:paraId="08032714">
      <w:pPr>
        <w:spacing w:line="360" w:lineRule="auto"/>
        <w:ind w:firstLine="480" w:firstLineChars="200"/>
        <w:contextualSpacing/>
        <w:rPr>
          <w:rFonts w:eastAsiaTheme="minorEastAsia"/>
          <w:bCs/>
          <w:sz w:val="24"/>
          <w:highlight w:val="none"/>
        </w:rPr>
      </w:pPr>
      <w:r>
        <w:rPr>
          <w:rFonts w:hAnsiTheme="minorEastAsia" w:eastAsiaTheme="minorEastAsia"/>
          <w:bCs/>
          <w:sz w:val="24"/>
          <w:highlight w:val="none"/>
        </w:rPr>
        <w:t>（</w:t>
      </w:r>
      <w:r>
        <w:rPr>
          <w:rFonts w:eastAsiaTheme="minorEastAsia"/>
          <w:bCs/>
          <w:sz w:val="24"/>
          <w:highlight w:val="none"/>
        </w:rPr>
        <w:t>3</w:t>
      </w:r>
      <w:r>
        <w:rPr>
          <w:rFonts w:hAnsiTheme="minorEastAsia" w:eastAsiaTheme="minorEastAsia"/>
          <w:bCs/>
          <w:sz w:val="24"/>
          <w:highlight w:val="none"/>
        </w:rPr>
        <w:t>）机械加工线清洗设备油水分离产生的废油</w:t>
      </w:r>
    </w:p>
    <w:p w14:paraId="70F580E6">
      <w:pPr>
        <w:spacing w:line="360" w:lineRule="auto"/>
        <w:ind w:firstLine="480" w:firstLineChars="200"/>
        <w:contextualSpacing/>
        <w:rPr>
          <w:rFonts w:eastAsiaTheme="minorEastAsia"/>
          <w:bCs/>
          <w:sz w:val="24"/>
          <w:highlight w:val="none"/>
        </w:rPr>
      </w:pPr>
      <w:r>
        <w:rPr>
          <w:rFonts w:hAnsiTheme="minorEastAsia" w:eastAsiaTheme="minorEastAsia"/>
          <w:bCs/>
          <w:sz w:val="24"/>
          <w:highlight w:val="none"/>
        </w:rPr>
        <w:t>清洗机内有除油装置（油水分离器），废油产生量约</w:t>
      </w:r>
      <w:r>
        <w:rPr>
          <w:rFonts w:eastAsiaTheme="minorEastAsia"/>
          <w:bCs/>
          <w:sz w:val="24"/>
          <w:highlight w:val="none"/>
        </w:rPr>
        <w:t>5.0t/a</w:t>
      </w:r>
      <w:r>
        <w:rPr>
          <w:rFonts w:hAnsiTheme="minorEastAsia" w:eastAsiaTheme="minorEastAsia"/>
          <w:bCs/>
          <w:sz w:val="24"/>
          <w:highlight w:val="none"/>
        </w:rPr>
        <w:t>。废油（类别：</w:t>
      </w:r>
      <w:r>
        <w:rPr>
          <w:rFonts w:eastAsiaTheme="minorEastAsia"/>
          <w:bCs/>
          <w:sz w:val="24"/>
          <w:highlight w:val="none"/>
        </w:rPr>
        <w:t>HW08</w:t>
      </w:r>
      <w:r>
        <w:rPr>
          <w:rFonts w:hAnsiTheme="minorEastAsia" w:eastAsiaTheme="minorEastAsia"/>
          <w:bCs/>
          <w:sz w:val="24"/>
          <w:highlight w:val="none"/>
        </w:rPr>
        <w:t>，代码：</w:t>
      </w:r>
      <w:r>
        <w:rPr>
          <w:rFonts w:eastAsiaTheme="minorEastAsia"/>
          <w:bCs/>
          <w:sz w:val="24"/>
          <w:highlight w:val="none"/>
        </w:rPr>
        <w:t>900-210-08</w:t>
      </w:r>
      <w:r>
        <w:rPr>
          <w:rFonts w:hAnsiTheme="minorEastAsia" w:eastAsiaTheme="minorEastAsia"/>
          <w:bCs/>
          <w:sz w:val="24"/>
          <w:highlight w:val="none"/>
        </w:rPr>
        <w:t>）属于危险废物，定期委托有资质单位处理。</w:t>
      </w:r>
    </w:p>
    <w:p w14:paraId="4633E07B">
      <w:pPr>
        <w:spacing w:line="360" w:lineRule="auto"/>
        <w:ind w:firstLine="480" w:firstLineChars="200"/>
        <w:contextualSpacing/>
        <w:rPr>
          <w:rFonts w:eastAsiaTheme="minorEastAsia"/>
          <w:bCs/>
          <w:sz w:val="24"/>
          <w:highlight w:val="none"/>
        </w:rPr>
      </w:pPr>
      <w:r>
        <w:rPr>
          <w:rFonts w:hAnsiTheme="minorEastAsia" w:eastAsiaTheme="minorEastAsia"/>
          <w:bCs/>
          <w:sz w:val="24"/>
          <w:highlight w:val="none"/>
        </w:rPr>
        <w:t>（</w:t>
      </w:r>
      <w:r>
        <w:rPr>
          <w:rFonts w:eastAsiaTheme="minorEastAsia"/>
          <w:bCs/>
          <w:sz w:val="24"/>
          <w:highlight w:val="none"/>
        </w:rPr>
        <w:t>4</w:t>
      </w:r>
      <w:r>
        <w:rPr>
          <w:rFonts w:hAnsiTheme="minorEastAsia" w:eastAsiaTheme="minorEastAsia"/>
          <w:bCs/>
          <w:sz w:val="24"/>
          <w:highlight w:val="none"/>
        </w:rPr>
        <w:t>）废机油、废润滑油</w:t>
      </w:r>
    </w:p>
    <w:p w14:paraId="16231CC7">
      <w:pPr>
        <w:spacing w:line="360" w:lineRule="auto"/>
        <w:ind w:firstLine="480" w:firstLineChars="200"/>
        <w:contextualSpacing/>
        <w:rPr>
          <w:rFonts w:eastAsiaTheme="minorEastAsia"/>
          <w:bCs/>
          <w:sz w:val="24"/>
          <w:highlight w:val="none"/>
        </w:rPr>
      </w:pPr>
      <w:r>
        <w:rPr>
          <w:rFonts w:hAnsiTheme="minorEastAsia" w:eastAsiaTheme="minorEastAsia"/>
          <w:bCs/>
          <w:sz w:val="24"/>
          <w:highlight w:val="none"/>
        </w:rPr>
        <w:t>根据原辅材料消耗表，润滑油使用量为</w:t>
      </w:r>
      <w:r>
        <w:rPr>
          <w:rFonts w:eastAsiaTheme="minorEastAsia"/>
          <w:bCs/>
          <w:sz w:val="24"/>
          <w:highlight w:val="none"/>
        </w:rPr>
        <w:t>2.0t/a</w:t>
      </w:r>
      <w:r>
        <w:rPr>
          <w:rFonts w:hAnsiTheme="minorEastAsia" w:eastAsiaTheme="minorEastAsia"/>
          <w:bCs/>
          <w:sz w:val="24"/>
          <w:highlight w:val="none"/>
        </w:rPr>
        <w:t>，约</w:t>
      </w:r>
      <w:r>
        <w:rPr>
          <w:rFonts w:eastAsiaTheme="minorEastAsia"/>
          <w:bCs/>
          <w:sz w:val="24"/>
          <w:highlight w:val="none"/>
        </w:rPr>
        <w:t>80%</w:t>
      </w:r>
      <w:r>
        <w:rPr>
          <w:rFonts w:hAnsiTheme="minorEastAsia" w:eastAsiaTheme="minorEastAsia"/>
          <w:bCs/>
          <w:sz w:val="24"/>
          <w:highlight w:val="none"/>
        </w:rPr>
        <w:t>被工件带走，废润滑油产生量为</w:t>
      </w:r>
      <w:r>
        <w:rPr>
          <w:rFonts w:eastAsiaTheme="minorEastAsia"/>
          <w:bCs/>
          <w:sz w:val="24"/>
          <w:highlight w:val="none"/>
        </w:rPr>
        <w:t>0.4t/a</w:t>
      </w:r>
      <w:r>
        <w:rPr>
          <w:rFonts w:hAnsiTheme="minorEastAsia" w:eastAsiaTheme="minorEastAsia"/>
          <w:bCs/>
          <w:sz w:val="24"/>
          <w:highlight w:val="none"/>
        </w:rPr>
        <w:t>。</w:t>
      </w:r>
    </w:p>
    <w:p w14:paraId="26E2F47C">
      <w:pPr>
        <w:spacing w:line="360" w:lineRule="auto"/>
        <w:ind w:firstLine="480" w:firstLineChars="200"/>
        <w:contextualSpacing/>
        <w:rPr>
          <w:rFonts w:eastAsiaTheme="minorEastAsia"/>
          <w:bCs/>
          <w:sz w:val="24"/>
          <w:highlight w:val="none"/>
        </w:rPr>
      </w:pPr>
      <w:r>
        <w:rPr>
          <w:rFonts w:hAnsiTheme="minorEastAsia" w:eastAsiaTheme="minorEastAsia"/>
          <w:bCs/>
          <w:sz w:val="24"/>
          <w:highlight w:val="none"/>
        </w:rPr>
        <w:t>根据原辅材料消耗表，机油使用量</w:t>
      </w:r>
      <w:r>
        <w:rPr>
          <w:rFonts w:eastAsiaTheme="minorEastAsia"/>
          <w:bCs/>
          <w:sz w:val="24"/>
          <w:highlight w:val="none"/>
        </w:rPr>
        <w:t>101.3t/a</w:t>
      </w:r>
      <w:r>
        <w:rPr>
          <w:rFonts w:hAnsiTheme="minorEastAsia" w:eastAsiaTheme="minorEastAsia"/>
          <w:bCs/>
          <w:sz w:val="24"/>
          <w:highlight w:val="none"/>
        </w:rPr>
        <w:t>，约</w:t>
      </w:r>
      <w:r>
        <w:rPr>
          <w:rFonts w:eastAsiaTheme="minorEastAsia"/>
          <w:bCs/>
          <w:sz w:val="24"/>
          <w:highlight w:val="none"/>
        </w:rPr>
        <w:t>10%</w:t>
      </w:r>
      <w:r>
        <w:rPr>
          <w:rFonts w:hAnsiTheme="minorEastAsia" w:eastAsiaTheme="minorEastAsia"/>
          <w:bCs/>
          <w:sz w:val="24"/>
          <w:highlight w:val="none"/>
        </w:rPr>
        <w:t>残留在发动机内随产品带出，剩余</w:t>
      </w:r>
      <w:r>
        <w:rPr>
          <w:rFonts w:eastAsiaTheme="minorEastAsia"/>
          <w:bCs/>
          <w:sz w:val="24"/>
          <w:highlight w:val="none"/>
        </w:rPr>
        <w:t>90%</w:t>
      </w:r>
      <w:r>
        <w:rPr>
          <w:rFonts w:hAnsiTheme="minorEastAsia" w:eastAsiaTheme="minorEastAsia"/>
          <w:bCs/>
          <w:sz w:val="24"/>
          <w:highlight w:val="none"/>
        </w:rPr>
        <w:t>废机油作为危险废物，产生量</w:t>
      </w:r>
      <w:r>
        <w:rPr>
          <w:rFonts w:eastAsiaTheme="minorEastAsia"/>
          <w:bCs/>
          <w:sz w:val="24"/>
          <w:highlight w:val="none"/>
        </w:rPr>
        <w:t>91.17t/a</w:t>
      </w:r>
      <w:r>
        <w:rPr>
          <w:rFonts w:hAnsiTheme="minorEastAsia" w:eastAsiaTheme="minorEastAsia"/>
          <w:bCs/>
          <w:sz w:val="24"/>
          <w:highlight w:val="none"/>
        </w:rPr>
        <w:t>。</w:t>
      </w:r>
    </w:p>
    <w:p w14:paraId="796AE9C5">
      <w:pPr>
        <w:spacing w:line="360" w:lineRule="auto"/>
        <w:ind w:firstLine="480" w:firstLineChars="200"/>
        <w:contextualSpacing/>
        <w:rPr>
          <w:rFonts w:eastAsiaTheme="minorEastAsia"/>
          <w:bCs/>
          <w:sz w:val="24"/>
          <w:highlight w:val="none"/>
        </w:rPr>
      </w:pPr>
      <w:r>
        <w:rPr>
          <w:rFonts w:hAnsiTheme="minorEastAsia" w:eastAsiaTheme="minorEastAsia"/>
          <w:bCs/>
          <w:sz w:val="24"/>
          <w:highlight w:val="none"/>
        </w:rPr>
        <w:t>废润滑油（类别：</w:t>
      </w:r>
      <w:r>
        <w:rPr>
          <w:rFonts w:eastAsiaTheme="minorEastAsia"/>
          <w:bCs/>
          <w:sz w:val="24"/>
          <w:highlight w:val="none"/>
        </w:rPr>
        <w:t>HW08</w:t>
      </w:r>
      <w:r>
        <w:rPr>
          <w:rFonts w:hAnsiTheme="minorEastAsia" w:eastAsiaTheme="minorEastAsia"/>
          <w:bCs/>
          <w:sz w:val="24"/>
          <w:highlight w:val="none"/>
        </w:rPr>
        <w:t>，代码：</w:t>
      </w:r>
      <w:r>
        <w:rPr>
          <w:rFonts w:eastAsiaTheme="minorEastAsia"/>
          <w:bCs/>
          <w:sz w:val="24"/>
          <w:highlight w:val="none"/>
        </w:rPr>
        <w:t>900-249-08</w:t>
      </w:r>
      <w:r>
        <w:rPr>
          <w:rFonts w:hAnsiTheme="minorEastAsia" w:eastAsiaTheme="minorEastAsia"/>
          <w:bCs/>
          <w:sz w:val="24"/>
          <w:highlight w:val="none"/>
        </w:rPr>
        <w:t>）及废机油（类别：</w:t>
      </w:r>
      <w:r>
        <w:rPr>
          <w:rFonts w:eastAsiaTheme="minorEastAsia"/>
          <w:bCs/>
          <w:sz w:val="24"/>
          <w:highlight w:val="none"/>
        </w:rPr>
        <w:t>HW08</w:t>
      </w:r>
      <w:r>
        <w:rPr>
          <w:rFonts w:hAnsiTheme="minorEastAsia" w:eastAsiaTheme="minorEastAsia"/>
          <w:bCs/>
          <w:sz w:val="24"/>
          <w:highlight w:val="none"/>
        </w:rPr>
        <w:t>，代码：</w:t>
      </w:r>
      <w:r>
        <w:rPr>
          <w:rFonts w:eastAsiaTheme="minorEastAsia"/>
          <w:bCs/>
          <w:sz w:val="24"/>
          <w:highlight w:val="none"/>
        </w:rPr>
        <w:t>900-249-08</w:t>
      </w:r>
      <w:r>
        <w:rPr>
          <w:rFonts w:hAnsiTheme="minorEastAsia" w:eastAsiaTheme="minorEastAsia"/>
          <w:bCs/>
          <w:sz w:val="24"/>
          <w:highlight w:val="none"/>
        </w:rPr>
        <w:t>）属于危险废物，定期委托有资质单位处理。</w:t>
      </w:r>
    </w:p>
    <w:p w14:paraId="2003D719">
      <w:pPr>
        <w:spacing w:line="360" w:lineRule="auto"/>
        <w:ind w:firstLine="480" w:firstLineChars="200"/>
        <w:contextualSpacing/>
        <w:rPr>
          <w:rFonts w:eastAsiaTheme="minorEastAsia"/>
          <w:bCs/>
          <w:sz w:val="24"/>
          <w:highlight w:val="none"/>
        </w:rPr>
      </w:pPr>
      <w:r>
        <w:rPr>
          <w:rFonts w:hAnsiTheme="minorEastAsia" w:eastAsiaTheme="minorEastAsia"/>
          <w:bCs/>
          <w:sz w:val="24"/>
          <w:highlight w:val="none"/>
        </w:rPr>
        <w:t>（</w:t>
      </w:r>
      <w:r>
        <w:rPr>
          <w:rFonts w:eastAsiaTheme="minorEastAsia"/>
          <w:bCs/>
          <w:sz w:val="24"/>
          <w:highlight w:val="none"/>
        </w:rPr>
        <w:t>5</w:t>
      </w:r>
      <w:r>
        <w:rPr>
          <w:rFonts w:hAnsiTheme="minorEastAsia" w:eastAsiaTheme="minorEastAsia"/>
          <w:bCs/>
          <w:sz w:val="24"/>
          <w:highlight w:val="none"/>
        </w:rPr>
        <w:t>）含油抹布</w:t>
      </w:r>
    </w:p>
    <w:p w14:paraId="336A2B0C">
      <w:pPr>
        <w:spacing w:line="360" w:lineRule="auto"/>
        <w:ind w:firstLine="480" w:firstLineChars="200"/>
        <w:contextualSpacing/>
        <w:rPr>
          <w:rFonts w:eastAsiaTheme="minorEastAsia"/>
          <w:bCs/>
          <w:sz w:val="24"/>
          <w:highlight w:val="none"/>
        </w:rPr>
      </w:pPr>
      <w:r>
        <w:rPr>
          <w:rFonts w:hAnsiTheme="minorEastAsia" w:eastAsiaTheme="minorEastAsia"/>
          <w:bCs/>
          <w:sz w:val="24"/>
          <w:highlight w:val="none"/>
        </w:rPr>
        <w:t>抹布使用量为</w:t>
      </w:r>
      <w:r>
        <w:rPr>
          <w:rFonts w:eastAsiaTheme="minorEastAsia"/>
          <w:bCs/>
          <w:sz w:val="24"/>
          <w:highlight w:val="none"/>
        </w:rPr>
        <w:t>2.0t/a</w:t>
      </w:r>
      <w:r>
        <w:rPr>
          <w:rFonts w:hAnsiTheme="minorEastAsia" w:eastAsiaTheme="minorEastAsia"/>
          <w:bCs/>
          <w:sz w:val="24"/>
          <w:highlight w:val="none"/>
        </w:rPr>
        <w:t>，沾染废矿物油后的含油废抹布产生量约</w:t>
      </w:r>
      <w:r>
        <w:rPr>
          <w:rFonts w:eastAsiaTheme="minorEastAsia"/>
          <w:bCs/>
          <w:sz w:val="24"/>
          <w:highlight w:val="none"/>
        </w:rPr>
        <w:t>2.5t/a</w:t>
      </w:r>
      <w:r>
        <w:rPr>
          <w:rFonts w:hAnsiTheme="minorEastAsia" w:eastAsiaTheme="minorEastAsia"/>
          <w:bCs/>
          <w:sz w:val="24"/>
          <w:highlight w:val="none"/>
        </w:rPr>
        <w:t>。含油抹布（类别：</w:t>
      </w:r>
      <w:r>
        <w:rPr>
          <w:rFonts w:eastAsiaTheme="minorEastAsia"/>
          <w:bCs/>
          <w:sz w:val="24"/>
          <w:highlight w:val="none"/>
        </w:rPr>
        <w:t>HW49</w:t>
      </w:r>
      <w:r>
        <w:rPr>
          <w:rFonts w:hAnsiTheme="minorEastAsia" w:eastAsiaTheme="minorEastAsia"/>
          <w:bCs/>
          <w:sz w:val="24"/>
          <w:highlight w:val="none"/>
        </w:rPr>
        <w:t>，代码：</w:t>
      </w:r>
      <w:r>
        <w:rPr>
          <w:rFonts w:eastAsiaTheme="minorEastAsia"/>
          <w:bCs/>
          <w:sz w:val="24"/>
          <w:highlight w:val="none"/>
        </w:rPr>
        <w:t>900-041-49</w:t>
      </w:r>
      <w:r>
        <w:rPr>
          <w:rFonts w:hAnsiTheme="minorEastAsia" w:eastAsiaTheme="minorEastAsia"/>
          <w:bCs/>
          <w:sz w:val="24"/>
          <w:highlight w:val="none"/>
        </w:rPr>
        <w:t>）属于危险废物，定期委托有资质单位处理。</w:t>
      </w:r>
    </w:p>
    <w:p w14:paraId="2C0CA92E">
      <w:pPr>
        <w:spacing w:line="360" w:lineRule="auto"/>
        <w:ind w:firstLine="480" w:firstLineChars="200"/>
        <w:contextualSpacing/>
        <w:rPr>
          <w:rFonts w:eastAsiaTheme="minorEastAsia"/>
          <w:bCs/>
          <w:sz w:val="24"/>
          <w:highlight w:val="none"/>
        </w:rPr>
      </w:pPr>
      <w:r>
        <w:rPr>
          <w:rFonts w:hAnsiTheme="minorEastAsia" w:eastAsiaTheme="minorEastAsia"/>
          <w:bCs/>
          <w:sz w:val="24"/>
          <w:highlight w:val="none"/>
        </w:rPr>
        <w:t>（</w:t>
      </w:r>
      <w:r>
        <w:rPr>
          <w:rFonts w:eastAsiaTheme="minorEastAsia"/>
          <w:bCs/>
          <w:sz w:val="24"/>
          <w:highlight w:val="none"/>
        </w:rPr>
        <w:t>6</w:t>
      </w:r>
      <w:r>
        <w:rPr>
          <w:rFonts w:hAnsiTheme="minorEastAsia" w:eastAsiaTheme="minorEastAsia"/>
          <w:bCs/>
          <w:sz w:val="24"/>
          <w:highlight w:val="none"/>
        </w:rPr>
        <w:t>）</w:t>
      </w:r>
      <w:r>
        <w:rPr>
          <w:rFonts w:hAnsiTheme="minorEastAsia" w:eastAsiaTheme="minorEastAsia"/>
          <w:snapToGrid w:val="0"/>
          <w:sz w:val="24"/>
          <w:highlight w:val="none"/>
        </w:rPr>
        <w:t>切削液过滤系统产生的滤布</w:t>
      </w:r>
    </w:p>
    <w:p w14:paraId="35CF5049">
      <w:pPr>
        <w:spacing w:line="360" w:lineRule="auto"/>
        <w:ind w:firstLine="480" w:firstLineChars="200"/>
        <w:contextualSpacing/>
        <w:rPr>
          <w:rFonts w:eastAsiaTheme="minorEastAsia"/>
          <w:bCs/>
          <w:sz w:val="24"/>
          <w:highlight w:val="none"/>
        </w:rPr>
      </w:pPr>
      <w:r>
        <w:rPr>
          <w:rFonts w:hAnsiTheme="minorEastAsia" w:eastAsiaTheme="minorEastAsia"/>
          <w:bCs/>
          <w:sz w:val="24"/>
          <w:highlight w:val="none"/>
        </w:rPr>
        <w:t>从机械加工工序返回供液系统的切削液中带有金属碎屑和油，过滤的滤布吸附微量的滤渣和废油，滤布定期更换，产生量</w:t>
      </w:r>
      <w:r>
        <w:rPr>
          <w:rFonts w:eastAsiaTheme="minorEastAsia"/>
          <w:bCs/>
          <w:sz w:val="24"/>
          <w:highlight w:val="none"/>
        </w:rPr>
        <w:t>5t/a</w:t>
      </w:r>
      <w:r>
        <w:rPr>
          <w:rFonts w:hAnsiTheme="minorEastAsia" w:eastAsiaTheme="minorEastAsia"/>
          <w:bCs/>
          <w:sz w:val="24"/>
          <w:highlight w:val="none"/>
        </w:rPr>
        <w:t>（包含附着的滤渣和废油），滤布（类别：</w:t>
      </w:r>
      <w:r>
        <w:rPr>
          <w:rFonts w:eastAsiaTheme="minorEastAsia"/>
          <w:bCs/>
          <w:sz w:val="24"/>
          <w:highlight w:val="none"/>
        </w:rPr>
        <w:t>HW49</w:t>
      </w:r>
      <w:r>
        <w:rPr>
          <w:rFonts w:hAnsiTheme="minorEastAsia" w:eastAsiaTheme="minorEastAsia"/>
          <w:bCs/>
          <w:sz w:val="24"/>
          <w:highlight w:val="none"/>
        </w:rPr>
        <w:t>，代码：</w:t>
      </w:r>
      <w:r>
        <w:rPr>
          <w:rFonts w:eastAsiaTheme="minorEastAsia"/>
          <w:bCs/>
          <w:sz w:val="24"/>
          <w:highlight w:val="none"/>
        </w:rPr>
        <w:t>900-041-49</w:t>
      </w:r>
      <w:r>
        <w:rPr>
          <w:rFonts w:hAnsiTheme="minorEastAsia" w:eastAsiaTheme="minorEastAsia"/>
          <w:bCs/>
          <w:sz w:val="24"/>
          <w:highlight w:val="none"/>
        </w:rPr>
        <w:t>）属于危险废物，定期委托有资质单位处理。</w:t>
      </w:r>
    </w:p>
    <w:p w14:paraId="5654316D">
      <w:pPr>
        <w:spacing w:line="360" w:lineRule="auto"/>
        <w:ind w:firstLine="480" w:firstLineChars="200"/>
        <w:contextualSpacing/>
        <w:rPr>
          <w:rFonts w:eastAsiaTheme="minorEastAsia"/>
          <w:bCs/>
          <w:sz w:val="24"/>
          <w:highlight w:val="none"/>
        </w:rPr>
      </w:pPr>
      <w:r>
        <w:rPr>
          <w:rFonts w:hAnsiTheme="minorEastAsia" w:eastAsiaTheme="minorEastAsia"/>
          <w:bCs/>
          <w:sz w:val="24"/>
          <w:highlight w:val="none"/>
        </w:rPr>
        <w:t>（</w:t>
      </w:r>
      <w:r>
        <w:rPr>
          <w:rFonts w:eastAsiaTheme="minorEastAsia"/>
          <w:bCs/>
          <w:sz w:val="24"/>
          <w:highlight w:val="none"/>
        </w:rPr>
        <w:t>7</w:t>
      </w:r>
      <w:r>
        <w:rPr>
          <w:rFonts w:hAnsiTheme="minorEastAsia" w:eastAsiaTheme="minorEastAsia"/>
          <w:bCs/>
          <w:sz w:val="24"/>
          <w:highlight w:val="none"/>
        </w:rPr>
        <w:t>）废包装材料</w:t>
      </w:r>
    </w:p>
    <w:p w14:paraId="5D194DF2">
      <w:pPr>
        <w:spacing w:line="360" w:lineRule="auto"/>
        <w:ind w:firstLine="480" w:firstLineChars="200"/>
        <w:contextualSpacing/>
        <w:rPr>
          <w:rFonts w:eastAsiaTheme="minorEastAsia"/>
          <w:bCs/>
          <w:sz w:val="24"/>
          <w:highlight w:val="none"/>
        </w:rPr>
      </w:pPr>
      <w:r>
        <w:rPr>
          <w:rFonts w:hAnsiTheme="minorEastAsia" w:eastAsiaTheme="minorEastAsia"/>
          <w:bCs/>
          <w:sz w:val="24"/>
          <w:highlight w:val="none"/>
        </w:rPr>
        <w:t>外购零部件</w:t>
      </w:r>
      <w:r>
        <w:rPr>
          <w:rFonts w:hint="eastAsia" w:hAnsiTheme="minorEastAsia" w:eastAsiaTheme="minorEastAsia"/>
          <w:bCs/>
          <w:sz w:val="24"/>
          <w:highlight w:val="none"/>
        </w:rPr>
        <w:t>、</w:t>
      </w:r>
      <w:r>
        <w:rPr>
          <w:rFonts w:hAnsiTheme="minorEastAsia" w:eastAsiaTheme="minorEastAsia"/>
          <w:bCs/>
          <w:sz w:val="24"/>
          <w:highlight w:val="none"/>
        </w:rPr>
        <w:t>缸体、缸盖毛坯件的包装物，主要为纸箱、包装袋等；切削母液、机油等化学品采用桶装方式进厂，纸箱、包装袋等一般固体包装物（代码：362-002-</w:t>
      </w:r>
      <w:r>
        <w:rPr>
          <w:rFonts w:hint="eastAsia" w:hAnsiTheme="minorEastAsia" w:eastAsiaTheme="minorEastAsia"/>
          <w:bCs/>
          <w:sz w:val="24"/>
          <w:highlight w:val="none"/>
        </w:rPr>
        <w:t>07</w:t>
      </w:r>
      <w:r>
        <w:rPr>
          <w:rFonts w:hAnsiTheme="minorEastAsia" w:eastAsiaTheme="minorEastAsia"/>
          <w:bCs/>
          <w:sz w:val="24"/>
          <w:highlight w:val="none"/>
        </w:rPr>
        <w:t>）产生量约为</w:t>
      </w:r>
      <w:r>
        <w:rPr>
          <w:rFonts w:eastAsiaTheme="minorEastAsia"/>
          <w:bCs/>
          <w:sz w:val="24"/>
          <w:highlight w:val="none"/>
        </w:rPr>
        <w:t>30t/a</w:t>
      </w:r>
      <w:r>
        <w:rPr>
          <w:rFonts w:hAnsiTheme="minorEastAsia" w:eastAsiaTheme="minorEastAsia"/>
          <w:bCs/>
          <w:sz w:val="24"/>
          <w:highlight w:val="none"/>
        </w:rPr>
        <w:t>，收集后作为废品外售</w:t>
      </w:r>
      <w:r>
        <w:rPr>
          <w:rFonts w:hint="eastAsia" w:hAnsiTheme="minorEastAsia" w:eastAsiaTheme="minorEastAsia"/>
          <w:bCs/>
          <w:sz w:val="24"/>
          <w:highlight w:val="none"/>
        </w:rPr>
        <w:t>；</w:t>
      </w:r>
      <w:r>
        <w:rPr>
          <w:rFonts w:hAnsiTheme="minorEastAsia" w:eastAsiaTheme="minorEastAsia"/>
          <w:bCs/>
          <w:sz w:val="24"/>
          <w:highlight w:val="none"/>
        </w:rPr>
        <w:t>矿物油类包装桶（类别：</w:t>
      </w:r>
      <w:r>
        <w:rPr>
          <w:rFonts w:eastAsiaTheme="minorEastAsia"/>
          <w:bCs/>
          <w:sz w:val="24"/>
          <w:highlight w:val="none"/>
        </w:rPr>
        <w:t>HW</w:t>
      </w:r>
      <w:r>
        <w:rPr>
          <w:rFonts w:hint="eastAsia" w:eastAsiaTheme="minorEastAsia"/>
          <w:bCs/>
          <w:sz w:val="24"/>
          <w:highlight w:val="none"/>
        </w:rPr>
        <w:t>08</w:t>
      </w:r>
      <w:r>
        <w:rPr>
          <w:rFonts w:hAnsiTheme="minorEastAsia" w:eastAsiaTheme="minorEastAsia"/>
          <w:bCs/>
          <w:sz w:val="24"/>
          <w:highlight w:val="none"/>
        </w:rPr>
        <w:t>，代码：</w:t>
      </w:r>
      <w:r>
        <w:rPr>
          <w:rFonts w:eastAsiaTheme="minorEastAsia"/>
          <w:bCs/>
          <w:sz w:val="24"/>
          <w:highlight w:val="none"/>
        </w:rPr>
        <w:t>900-</w:t>
      </w:r>
      <w:r>
        <w:rPr>
          <w:rFonts w:hint="eastAsia" w:eastAsiaTheme="minorEastAsia"/>
          <w:bCs/>
          <w:sz w:val="24"/>
          <w:highlight w:val="none"/>
        </w:rPr>
        <w:t>249</w:t>
      </w:r>
      <w:r>
        <w:rPr>
          <w:rFonts w:eastAsiaTheme="minorEastAsia"/>
          <w:bCs/>
          <w:sz w:val="24"/>
          <w:highlight w:val="none"/>
        </w:rPr>
        <w:t>-</w:t>
      </w:r>
      <w:r>
        <w:rPr>
          <w:rFonts w:hint="eastAsia" w:eastAsiaTheme="minorEastAsia"/>
          <w:bCs/>
          <w:sz w:val="24"/>
          <w:highlight w:val="none"/>
        </w:rPr>
        <w:t>08</w:t>
      </w:r>
      <w:r>
        <w:rPr>
          <w:rFonts w:hAnsiTheme="minorEastAsia" w:eastAsiaTheme="minorEastAsia"/>
          <w:bCs/>
          <w:sz w:val="24"/>
          <w:highlight w:val="none"/>
        </w:rPr>
        <w:t>）产生量为</w:t>
      </w:r>
      <w:r>
        <w:rPr>
          <w:rFonts w:hint="eastAsia" w:hAnsiTheme="minorEastAsia" w:eastAsiaTheme="minorEastAsia"/>
          <w:bCs/>
          <w:sz w:val="24"/>
          <w:highlight w:val="none"/>
        </w:rPr>
        <w:t>18.8t/a</w:t>
      </w:r>
      <w:r>
        <w:rPr>
          <w:rFonts w:hAnsiTheme="minorEastAsia" w:eastAsiaTheme="minorEastAsia"/>
          <w:bCs/>
          <w:sz w:val="24"/>
          <w:highlight w:val="none"/>
        </w:rPr>
        <w:t>、胶类包装桶（类别：</w:t>
      </w:r>
      <w:r>
        <w:rPr>
          <w:rFonts w:eastAsiaTheme="minorEastAsia"/>
          <w:bCs/>
          <w:sz w:val="24"/>
          <w:highlight w:val="none"/>
        </w:rPr>
        <w:t>HW49</w:t>
      </w:r>
      <w:r>
        <w:rPr>
          <w:rFonts w:hAnsiTheme="minorEastAsia" w:eastAsiaTheme="minorEastAsia"/>
          <w:bCs/>
          <w:sz w:val="24"/>
          <w:highlight w:val="none"/>
        </w:rPr>
        <w:t>，代码：</w:t>
      </w:r>
      <w:r>
        <w:rPr>
          <w:rFonts w:eastAsiaTheme="minorEastAsia"/>
          <w:bCs/>
          <w:sz w:val="24"/>
          <w:highlight w:val="none"/>
        </w:rPr>
        <w:t>900-041-49</w:t>
      </w:r>
      <w:r>
        <w:rPr>
          <w:rFonts w:hAnsiTheme="minorEastAsia" w:eastAsiaTheme="minorEastAsia"/>
          <w:bCs/>
          <w:sz w:val="24"/>
          <w:highlight w:val="none"/>
        </w:rPr>
        <w:t>）产生量为</w:t>
      </w:r>
      <w:r>
        <w:rPr>
          <w:rFonts w:hint="eastAsia" w:eastAsiaTheme="minorEastAsia"/>
          <w:bCs/>
          <w:sz w:val="24"/>
          <w:highlight w:val="none"/>
        </w:rPr>
        <w:t>1.2</w:t>
      </w:r>
      <w:r>
        <w:rPr>
          <w:rFonts w:eastAsiaTheme="minorEastAsia"/>
          <w:bCs/>
          <w:sz w:val="24"/>
          <w:highlight w:val="none"/>
        </w:rPr>
        <w:t>t/a</w:t>
      </w:r>
      <w:r>
        <w:rPr>
          <w:rFonts w:hAnsiTheme="minorEastAsia" w:eastAsiaTheme="minorEastAsia"/>
          <w:bCs/>
          <w:sz w:val="24"/>
          <w:highlight w:val="none"/>
        </w:rPr>
        <w:t>，定期委托有资质单位处理。</w:t>
      </w:r>
    </w:p>
    <w:p w14:paraId="3BD53E67">
      <w:pPr>
        <w:spacing w:line="360" w:lineRule="auto"/>
        <w:ind w:firstLine="480" w:firstLineChars="200"/>
        <w:rPr>
          <w:rFonts w:eastAsiaTheme="minorEastAsia"/>
          <w:snapToGrid w:val="0"/>
          <w:sz w:val="24"/>
          <w:highlight w:val="none"/>
        </w:rPr>
      </w:pPr>
      <w:r>
        <w:rPr>
          <w:rFonts w:hAnsiTheme="minorEastAsia" w:eastAsiaTheme="minorEastAsia"/>
          <w:snapToGrid w:val="0"/>
          <w:sz w:val="24"/>
          <w:highlight w:val="none"/>
        </w:rPr>
        <w:t>（</w:t>
      </w:r>
      <w:r>
        <w:rPr>
          <w:rFonts w:eastAsiaTheme="minorEastAsia"/>
          <w:snapToGrid w:val="0"/>
          <w:sz w:val="24"/>
          <w:highlight w:val="none"/>
        </w:rPr>
        <w:t>8</w:t>
      </w:r>
      <w:r>
        <w:rPr>
          <w:rFonts w:hAnsiTheme="minorEastAsia" w:eastAsiaTheme="minorEastAsia"/>
          <w:snapToGrid w:val="0"/>
          <w:sz w:val="24"/>
          <w:highlight w:val="none"/>
        </w:rPr>
        <w:t>）珩磨过程产生的废油泥</w:t>
      </w:r>
    </w:p>
    <w:p w14:paraId="60CBF5CE">
      <w:pPr>
        <w:spacing w:line="360" w:lineRule="auto"/>
        <w:ind w:firstLine="480" w:firstLineChars="200"/>
        <w:rPr>
          <w:rFonts w:eastAsiaTheme="minorEastAsia"/>
          <w:snapToGrid w:val="0"/>
          <w:sz w:val="24"/>
          <w:highlight w:val="none"/>
        </w:rPr>
      </w:pPr>
      <w:r>
        <w:rPr>
          <w:rFonts w:hAnsiTheme="minorEastAsia" w:eastAsiaTheme="minorEastAsia"/>
          <w:snapToGrid w:val="0"/>
          <w:sz w:val="24"/>
          <w:highlight w:val="none"/>
        </w:rPr>
        <w:t>珩磨过程会产生少量的废油泥，产生量为</w:t>
      </w:r>
      <w:r>
        <w:rPr>
          <w:rFonts w:eastAsiaTheme="minorEastAsia"/>
          <w:snapToGrid w:val="0"/>
          <w:sz w:val="24"/>
          <w:highlight w:val="none"/>
        </w:rPr>
        <w:t>5t/a</w:t>
      </w:r>
      <w:r>
        <w:rPr>
          <w:rFonts w:hAnsiTheme="minorEastAsia" w:eastAsiaTheme="minorEastAsia"/>
          <w:snapToGrid w:val="0"/>
          <w:sz w:val="24"/>
          <w:highlight w:val="none"/>
        </w:rPr>
        <w:t>，油泥（类别：</w:t>
      </w:r>
      <w:r>
        <w:rPr>
          <w:rFonts w:eastAsiaTheme="minorEastAsia"/>
          <w:snapToGrid w:val="0"/>
          <w:sz w:val="24"/>
          <w:highlight w:val="none"/>
        </w:rPr>
        <w:t>HW08</w:t>
      </w:r>
      <w:r>
        <w:rPr>
          <w:rFonts w:hAnsiTheme="minorEastAsia" w:eastAsiaTheme="minorEastAsia"/>
          <w:snapToGrid w:val="0"/>
          <w:sz w:val="24"/>
          <w:highlight w:val="none"/>
        </w:rPr>
        <w:t>，代码：</w:t>
      </w:r>
      <w:r>
        <w:rPr>
          <w:rFonts w:eastAsiaTheme="minorEastAsia"/>
          <w:snapToGrid w:val="0"/>
          <w:sz w:val="24"/>
          <w:highlight w:val="none"/>
        </w:rPr>
        <w:t>900-200-08</w:t>
      </w:r>
      <w:r>
        <w:rPr>
          <w:rFonts w:hAnsiTheme="minorEastAsia" w:eastAsiaTheme="minorEastAsia"/>
          <w:snapToGrid w:val="0"/>
          <w:sz w:val="24"/>
          <w:highlight w:val="none"/>
        </w:rPr>
        <w:t>）属于危险废物，定</w:t>
      </w:r>
      <w:r>
        <w:rPr>
          <w:rFonts w:hAnsiTheme="minorEastAsia" w:eastAsiaTheme="minorEastAsia"/>
          <w:bCs/>
          <w:sz w:val="24"/>
          <w:highlight w:val="none"/>
        </w:rPr>
        <w:t>期委托有资质单位处理。</w:t>
      </w:r>
    </w:p>
    <w:p w14:paraId="6A45C8BC">
      <w:pPr>
        <w:spacing w:line="360" w:lineRule="auto"/>
        <w:ind w:firstLine="480" w:firstLineChars="200"/>
        <w:contextualSpacing/>
        <w:rPr>
          <w:rFonts w:eastAsiaTheme="minorEastAsia"/>
          <w:bCs/>
          <w:sz w:val="24"/>
          <w:highlight w:val="none"/>
        </w:rPr>
      </w:pPr>
      <w:r>
        <w:rPr>
          <w:rFonts w:hAnsiTheme="minorEastAsia" w:eastAsiaTheme="minorEastAsia"/>
          <w:bCs/>
          <w:sz w:val="24"/>
          <w:highlight w:val="none"/>
        </w:rPr>
        <w:t>（</w:t>
      </w:r>
      <w:r>
        <w:rPr>
          <w:rFonts w:eastAsiaTheme="minorEastAsia"/>
          <w:bCs/>
          <w:sz w:val="24"/>
          <w:highlight w:val="none"/>
        </w:rPr>
        <w:t>9</w:t>
      </w:r>
      <w:r>
        <w:rPr>
          <w:rFonts w:hAnsiTheme="minorEastAsia" w:eastAsiaTheme="minorEastAsia"/>
          <w:bCs/>
          <w:sz w:val="24"/>
          <w:highlight w:val="none"/>
        </w:rPr>
        <w:t>）油雾净化系统产生的废油和废过滤材料</w:t>
      </w:r>
    </w:p>
    <w:p w14:paraId="3808F5D6">
      <w:pPr>
        <w:spacing w:line="360" w:lineRule="auto"/>
        <w:ind w:firstLine="480" w:firstLineChars="200"/>
        <w:contextualSpacing/>
        <w:rPr>
          <w:rFonts w:eastAsiaTheme="minorEastAsia"/>
          <w:bCs/>
          <w:sz w:val="24"/>
          <w:highlight w:val="none"/>
        </w:rPr>
      </w:pPr>
      <w:r>
        <w:rPr>
          <w:rFonts w:hAnsiTheme="minorEastAsia" w:eastAsiaTheme="minorEastAsia"/>
          <w:bCs/>
          <w:sz w:val="24"/>
          <w:highlight w:val="none"/>
        </w:rPr>
        <w:t>机械加工设备产生的油雾经集中式油雾净化系统进行过滤处理，净化过滤效率</w:t>
      </w:r>
      <w:r>
        <w:rPr>
          <w:rFonts w:eastAsiaTheme="minorEastAsia"/>
          <w:bCs/>
          <w:sz w:val="24"/>
          <w:highlight w:val="none"/>
        </w:rPr>
        <w:t>90%</w:t>
      </w:r>
      <w:r>
        <w:rPr>
          <w:rFonts w:hAnsiTheme="minorEastAsia" w:eastAsiaTheme="minorEastAsia"/>
          <w:bCs/>
          <w:sz w:val="24"/>
          <w:highlight w:val="none"/>
        </w:rPr>
        <w:t>，油雾净化器废油产生量约</w:t>
      </w:r>
      <w:r>
        <w:rPr>
          <w:rFonts w:eastAsiaTheme="minorEastAsia"/>
          <w:bCs/>
          <w:sz w:val="24"/>
          <w:highlight w:val="none"/>
        </w:rPr>
        <w:t>0.10t/a</w:t>
      </w:r>
      <w:r>
        <w:rPr>
          <w:rFonts w:hAnsiTheme="minorEastAsia" w:eastAsiaTheme="minorEastAsia"/>
          <w:bCs/>
          <w:sz w:val="24"/>
          <w:highlight w:val="none"/>
        </w:rPr>
        <w:t>。</w:t>
      </w:r>
    </w:p>
    <w:p w14:paraId="41ACCEC2">
      <w:pPr>
        <w:spacing w:line="360" w:lineRule="auto"/>
        <w:ind w:firstLine="480" w:firstLineChars="200"/>
        <w:contextualSpacing/>
        <w:rPr>
          <w:rFonts w:eastAsiaTheme="minorEastAsia"/>
          <w:bCs/>
          <w:sz w:val="24"/>
          <w:highlight w:val="none"/>
        </w:rPr>
      </w:pPr>
      <w:r>
        <w:rPr>
          <w:rFonts w:hAnsiTheme="minorEastAsia" w:eastAsiaTheme="minorEastAsia"/>
          <w:bCs/>
          <w:sz w:val="24"/>
          <w:highlight w:val="none"/>
        </w:rPr>
        <w:t>油雾净化系统需定期更换过滤材料，根据设备商提供的经验数据，每年更换量约</w:t>
      </w:r>
      <w:r>
        <w:rPr>
          <w:rFonts w:eastAsiaTheme="minorEastAsia"/>
          <w:bCs/>
          <w:sz w:val="24"/>
          <w:highlight w:val="none"/>
        </w:rPr>
        <w:t>2.0t/a</w:t>
      </w:r>
      <w:r>
        <w:rPr>
          <w:rFonts w:hAnsiTheme="minorEastAsia" w:eastAsiaTheme="minorEastAsia"/>
          <w:bCs/>
          <w:sz w:val="24"/>
          <w:highlight w:val="none"/>
        </w:rPr>
        <w:t>。</w:t>
      </w:r>
    </w:p>
    <w:p w14:paraId="49CE450B">
      <w:pPr>
        <w:spacing w:line="360" w:lineRule="auto"/>
        <w:ind w:firstLine="480" w:firstLineChars="200"/>
        <w:contextualSpacing/>
        <w:rPr>
          <w:rFonts w:eastAsiaTheme="minorEastAsia"/>
          <w:bCs/>
          <w:sz w:val="24"/>
          <w:highlight w:val="none"/>
        </w:rPr>
      </w:pPr>
      <w:r>
        <w:rPr>
          <w:rFonts w:hAnsiTheme="minorEastAsia" w:eastAsiaTheme="minorEastAsia"/>
          <w:bCs/>
          <w:sz w:val="24"/>
          <w:highlight w:val="none"/>
        </w:rPr>
        <w:t>废油（类别：</w:t>
      </w:r>
      <w:r>
        <w:rPr>
          <w:rFonts w:eastAsiaTheme="minorEastAsia"/>
          <w:bCs/>
          <w:sz w:val="24"/>
          <w:highlight w:val="none"/>
        </w:rPr>
        <w:t>HW08</w:t>
      </w:r>
      <w:r>
        <w:rPr>
          <w:rFonts w:hAnsiTheme="minorEastAsia" w:eastAsiaTheme="minorEastAsia"/>
          <w:bCs/>
          <w:sz w:val="24"/>
          <w:highlight w:val="none"/>
        </w:rPr>
        <w:t>，代码：</w:t>
      </w:r>
      <w:r>
        <w:rPr>
          <w:rFonts w:eastAsiaTheme="minorEastAsia"/>
          <w:bCs/>
          <w:sz w:val="24"/>
          <w:highlight w:val="none"/>
        </w:rPr>
        <w:t>900-249-08</w:t>
      </w:r>
      <w:r>
        <w:rPr>
          <w:rFonts w:hAnsiTheme="minorEastAsia" w:eastAsiaTheme="minorEastAsia"/>
          <w:bCs/>
          <w:sz w:val="24"/>
          <w:highlight w:val="none"/>
        </w:rPr>
        <w:t>）和废过滤材料（类别：</w:t>
      </w:r>
      <w:r>
        <w:rPr>
          <w:rFonts w:eastAsiaTheme="minorEastAsia"/>
          <w:bCs/>
          <w:sz w:val="24"/>
          <w:highlight w:val="none"/>
        </w:rPr>
        <w:t>HW49</w:t>
      </w:r>
      <w:r>
        <w:rPr>
          <w:rFonts w:hAnsiTheme="minorEastAsia" w:eastAsiaTheme="minorEastAsia"/>
          <w:bCs/>
          <w:sz w:val="24"/>
          <w:highlight w:val="none"/>
        </w:rPr>
        <w:t>，代码：</w:t>
      </w:r>
      <w:r>
        <w:rPr>
          <w:rFonts w:eastAsiaTheme="minorEastAsia"/>
          <w:bCs/>
          <w:sz w:val="24"/>
          <w:highlight w:val="none"/>
        </w:rPr>
        <w:t>900-041-49</w:t>
      </w:r>
      <w:r>
        <w:rPr>
          <w:rFonts w:hAnsiTheme="minorEastAsia" w:eastAsiaTheme="minorEastAsia"/>
          <w:bCs/>
          <w:sz w:val="24"/>
          <w:highlight w:val="none"/>
        </w:rPr>
        <w:t>）属于危险废物，定期委托有资质单位处理。</w:t>
      </w:r>
    </w:p>
    <w:p w14:paraId="229DD696">
      <w:pPr>
        <w:spacing w:line="360" w:lineRule="auto"/>
        <w:ind w:firstLine="480" w:firstLineChars="200"/>
        <w:contextualSpacing/>
        <w:rPr>
          <w:rFonts w:hAnsiTheme="minorEastAsia" w:eastAsiaTheme="minorEastAsia"/>
          <w:bCs/>
          <w:sz w:val="24"/>
          <w:highlight w:val="none"/>
        </w:rPr>
      </w:pPr>
      <w:r>
        <w:rPr>
          <w:rFonts w:hint="eastAsia" w:hAnsiTheme="minorEastAsia" w:eastAsiaTheme="minorEastAsia"/>
          <w:bCs/>
          <w:sz w:val="24"/>
          <w:highlight w:val="none"/>
        </w:rPr>
        <w:t>（10）废催化剂</w:t>
      </w:r>
    </w:p>
    <w:p w14:paraId="2A42382D">
      <w:pPr>
        <w:spacing w:line="360" w:lineRule="auto"/>
        <w:ind w:firstLine="480" w:firstLineChars="200"/>
        <w:contextualSpacing/>
        <w:rPr>
          <w:rFonts w:ascii="宋体" w:hAnsi="宋体"/>
          <w:sz w:val="24"/>
          <w:highlight w:val="none"/>
        </w:rPr>
      </w:pPr>
      <w:r>
        <w:rPr>
          <w:rFonts w:hAnsiTheme="minorEastAsia" w:eastAsiaTheme="minorEastAsia"/>
          <w:bCs/>
          <w:sz w:val="24"/>
          <w:highlight w:val="none"/>
        </w:rPr>
        <w:t>热试验废气采用三元催化装置净化，三元催化装置定期需要更换催化剂，废催化剂0.4</w:t>
      </w:r>
      <w:r>
        <w:rPr>
          <w:rFonts w:hint="eastAsia" w:hAnsiTheme="minorEastAsia" w:eastAsiaTheme="minorEastAsia"/>
          <w:bCs/>
          <w:sz w:val="24"/>
          <w:highlight w:val="none"/>
        </w:rPr>
        <w:t>8</w:t>
      </w:r>
      <w:r>
        <w:rPr>
          <w:rFonts w:hAnsiTheme="minorEastAsia" w:eastAsiaTheme="minorEastAsia"/>
          <w:bCs/>
          <w:sz w:val="24"/>
          <w:highlight w:val="none"/>
        </w:rPr>
        <w:t>t/3a，废催化剂（类别：HW50，代码：900-049-50）属于危险废物，定期委托有资质单位处理</w:t>
      </w:r>
      <w:r>
        <w:rPr>
          <w:rFonts w:ascii="宋体" w:hAnsi="宋体"/>
          <w:sz w:val="24"/>
          <w:highlight w:val="none"/>
        </w:rPr>
        <w:t>。</w:t>
      </w:r>
    </w:p>
    <w:p w14:paraId="488384D3">
      <w:pPr>
        <w:bidi w:val="0"/>
        <w:rPr>
          <w:rFonts w:hint="default" w:hAnsiTheme="minorEastAsia" w:eastAsiaTheme="minorEastAsia"/>
          <w:bCs/>
          <w:sz w:val="24"/>
          <w:highlight w:val="none"/>
          <w:lang w:val="en-US" w:eastAsia="zh-CN"/>
        </w:rPr>
      </w:pPr>
      <w:r>
        <w:rPr>
          <w:rFonts w:hint="eastAsia" w:hAnsiTheme="minorEastAsia" w:eastAsiaTheme="minorEastAsia"/>
          <w:bCs/>
          <w:sz w:val="24"/>
          <w:highlight w:val="none"/>
          <w:lang w:val="en-US" w:eastAsia="zh-CN"/>
        </w:rPr>
        <w:t>（3）废活性炭（类别：HW49，代码：900-041-49）</w:t>
      </w:r>
    </w:p>
    <w:p w14:paraId="464574DB">
      <w:pPr>
        <w:bidi w:val="0"/>
        <w:rPr>
          <w:rFonts w:hint="default" w:hAnsiTheme="minorEastAsia" w:eastAsiaTheme="minorEastAsia"/>
          <w:bCs/>
          <w:sz w:val="24"/>
          <w:highlight w:val="none"/>
          <w:lang w:val="en-US" w:eastAsia="zh-CN"/>
        </w:rPr>
      </w:pPr>
      <w:r>
        <w:rPr>
          <w:rFonts w:hint="eastAsia" w:ascii="Times New Roman" w:cs="Times New Roman" w:hAnsiTheme="minorEastAsia" w:eastAsiaTheme="minorEastAsia"/>
          <w:bCs/>
          <w:color w:val="000000" w:themeColor="text1"/>
          <w:sz w:val="24"/>
          <w:highlight w:val="none"/>
          <w:lang w:val="en-US" w:eastAsia="zh-CN"/>
        </w:rPr>
        <w:t>根据</w:t>
      </w:r>
      <w:r>
        <w:rPr>
          <w:rFonts w:hint="eastAsia" w:ascii="Times New Roman" w:cs="Times New Roman" w:hAnsiTheme="minorEastAsia" w:eastAsiaTheme="minorEastAsia"/>
          <w:bCs/>
          <w:color w:val="000000" w:themeColor="text1"/>
          <w:sz w:val="24"/>
          <w:highlight w:val="none"/>
        </w:rPr>
        <w:t>《简明通风设计手册》活性炭有效吸附量qe=0.24kg/kg活性炭</w:t>
      </w:r>
      <w:r>
        <w:rPr>
          <w:rFonts w:hint="eastAsia" w:ascii="Times New Roman" w:cs="Times New Roman" w:hAnsiTheme="minorEastAsia" w:eastAsiaTheme="minorEastAsia"/>
          <w:bCs/>
          <w:color w:val="000000" w:themeColor="text1"/>
          <w:sz w:val="24"/>
          <w:highlight w:val="none"/>
          <w:lang w:val="en-US" w:eastAsia="zh-CN"/>
        </w:rPr>
        <w:t>计算</w:t>
      </w:r>
      <w:r>
        <w:rPr>
          <w:rFonts w:hint="eastAsia" w:ascii="Times New Roman" w:cs="Times New Roman" w:hAnsiTheme="minorEastAsia" w:eastAsiaTheme="minorEastAsia"/>
          <w:bCs/>
          <w:color w:val="000000" w:themeColor="text1"/>
          <w:sz w:val="24"/>
          <w:highlight w:val="none"/>
          <w:lang w:eastAsia="zh-CN"/>
        </w:rPr>
        <w:t>，</w:t>
      </w:r>
      <w:r>
        <w:rPr>
          <w:rFonts w:hint="eastAsia" w:ascii="Times New Roman" w:cs="Times New Roman" w:hAnsiTheme="minorEastAsia" w:eastAsiaTheme="minorEastAsia"/>
          <w:bCs/>
          <w:color w:val="000000" w:themeColor="text1"/>
          <w:sz w:val="24"/>
          <w:highlight w:val="none"/>
        </w:rPr>
        <w:t>本项目</w:t>
      </w:r>
      <w:r>
        <w:rPr>
          <w:rFonts w:hint="eastAsia" w:ascii="Times New Roman" w:cs="Times New Roman" w:hAnsiTheme="minorEastAsia" w:eastAsiaTheme="minorEastAsia"/>
          <w:bCs/>
          <w:color w:val="000000" w:themeColor="text1"/>
          <w:sz w:val="24"/>
          <w:highlight w:val="none"/>
          <w:lang w:val="en-US" w:eastAsia="zh-CN"/>
        </w:rPr>
        <w:t>活性炭吸附废气总量为5.</w:t>
      </w:r>
      <w:r>
        <w:rPr>
          <w:rFonts w:hint="eastAsia" w:cs="Times New Roman" w:hAnsiTheme="minorEastAsia" w:eastAsiaTheme="minorEastAsia"/>
          <w:bCs/>
          <w:color w:val="000000" w:themeColor="text1"/>
          <w:sz w:val="24"/>
          <w:highlight w:val="none"/>
          <w:lang w:val="en-US" w:eastAsia="zh-CN"/>
        </w:rPr>
        <w:t>345</w:t>
      </w:r>
      <w:r>
        <w:rPr>
          <w:rFonts w:hint="eastAsia" w:ascii="Times New Roman" w:cs="Times New Roman" w:hAnsiTheme="minorEastAsia" w:eastAsiaTheme="minorEastAsia"/>
          <w:bCs/>
          <w:color w:val="000000" w:themeColor="text1"/>
          <w:sz w:val="24"/>
          <w:highlight w:val="none"/>
          <w:lang w:val="en-US" w:eastAsia="zh-CN"/>
        </w:rPr>
        <w:t>t/a，则</w:t>
      </w:r>
      <w:r>
        <w:rPr>
          <w:rFonts w:hint="eastAsia" w:ascii="Times New Roman" w:cs="Times New Roman" w:hAnsiTheme="minorEastAsia" w:eastAsiaTheme="minorEastAsia"/>
          <w:bCs/>
          <w:color w:val="000000" w:themeColor="text1"/>
          <w:sz w:val="24"/>
          <w:highlight w:val="none"/>
        </w:rPr>
        <w:t>有机废气治理产生的废活性炭产生量为</w:t>
      </w:r>
      <w:r>
        <w:rPr>
          <w:rFonts w:hint="eastAsia" w:ascii="Times New Roman" w:cs="Times New Roman" w:hAnsiTheme="minorEastAsia" w:eastAsiaTheme="minorEastAsia"/>
          <w:bCs/>
          <w:color w:val="000000" w:themeColor="text1"/>
          <w:sz w:val="24"/>
          <w:highlight w:val="none"/>
          <w:lang w:val="en-US" w:eastAsia="zh-CN"/>
        </w:rPr>
        <w:t>2</w:t>
      </w:r>
      <w:r>
        <w:rPr>
          <w:rFonts w:hint="eastAsia" w:cs="Times New Roman" w:hAnsiTheme="minorEastAsia" w:eastAsiaTheme="minorEastAsia"/>
          <w:bCs/>
          <w:color w:val="000000" w:themeColor="text1"/>
          <w:sz w:val="24"/>
          <w:highlight w:val="none"/>
          <w:lang w:val="en-US" w:eastAsia="zh-CN"/>
        </w:rPr>
        <w:t>7.6</w:t>
      </w:r>
      <w:r>
        <w:rPr>
          <w:rFonts w:hint="eastAsia" w:ascii="Times New Roman" w:cs="Times New Roman" w:hAnsiTheme="minorEastAsia" w:eastAsiaTheme="minorEastAsia"/>
          <w:bCs/>
          <w:color w:val="000000" w:themeColor="text1"/>
          <w:sz w:val="24"/>
          <w:highlight w:val="none"/>
        </w:rPr>
        <w:t>t/a，</w:t>
      </w:r>
      <w:r>
        <w:rPr>
          <w:rFonts w:hint="eastAsia" w:ascii="Times New Roman" w:cs="Times New Roman" w:hAnsiTheme="minorEastAsia" w:eastAsiaTheme="minorEastAsia"/>
          <w:bCs/>
          <w:color w:val="000000" w:themeColor="text1"/>
          <w:sz w:val="24"/>
          <w:highlight w:val="none"/>
          <w:lang w:val="en-US" w:eastAsia="zh-CN"/>
        </w:rPr>
        <w:t>活性炭每半年更换一次，</w:t>
      </w:r>
      <w:r>
        <w:rPr>
          <w:rFonts w:hint="eastAsia" w:cs="Times New Roman" w:hAnsiTheme="minorEastAsia" w:eastAsiaTheme="minorEastAsia"/>
          <w:bCs/>
          <w:color w:val="000000" w:themeColor="text1"/>
          <w:sz w:val="24"/>
          <w:highlight w:val="none"/>
          <w:lang w:val="en-US" w:eastAsia="zh-CN"/>
        </w:rPr>
        <w:t>袋装密封收集</w:t>
      </w:r>
      <w:r>
        <w:rPr>
          <w:rFonts w:hint="eastAsia" w:ascii="Times New Roman" w:cs="Times New Roman" w:hAnsiTheme="minorEastAsia" w:eastAsiaTheme="minorEastAsia"/>
          <w:bCs/>
          <w:color w:val="000000" w:themeColor="text1"/>
          <w:sz w:val="24"/>
          <w:highlight w:val="none"/>
        </w:rPr>
        <w:t>，</w:t>
      </w:r>
      <w:r>
        <w:rPr>
          <w:rFonts w:hint="eastAsia" w:cs="Times New Roman" w:hAnsiTheme="minorEastAsia" w:eastAsiaTheme="minorEastAsia"/>
          <w:bCs/>
          <w:color w:val="000000" w:themeColor="text1"/>
          <w:sz w:val="24"/>
          <w:highlight w:val="none"/>
          <w:lang w:val="en-US" w:eastAsia="zh-CN"/>
        </w:rPr>
        <w:t>暂存在危险废物贮存库</w:t>
      </w:r>
      <w:r>
        <w:rPr>
          <w:rFonts w:hint="eastAsia" w:ascii="Times New Roman" w:cs="Times New Roman" w:hAnsiTheme="minorEastAsia" w:eastAsiaTheme="minorEastAsia"/>
          <w:bCs/>
          <w:color w:val="000000" w:themeColor="text1"/>
          <w:sz w:val="24"/>
          <w:highlight w:val="none"/>
          <w:lang w:val="en-US" w:eastAsia="zh-CN"/>
        </w:rPr>
        <w:t>，</w:t>
      </w:r>
      <w:r>
        <w:rPr>
          <w:rFonts w:hint="eastAsia" w:cs="Times New Roman" w:hAnsiTheme="minorEastAsia" w:eastAsiaTheme="minorEastAsia"/>
          <w:bCs/>
          <w:color w:val="000000" w:themeColor="text1"/>
          <w:sz w:val="24"/>
          <w:highlight w:val="none"/>
          <w:lang w:val="en-US" w:eastAsia="zh-CN"/>
        </w:rPr>
        <w:t>交有资质单位处理</w:t>
      </w:r>
      <w:r>
        <w:rPr>
          <w:rFonts w:hint="eastAsia" w:ascii="Times New Roman" w:cs="Times New Roman" w:hAnsiTheme="minorEastAsia" w:eastAsiaTheme="minorEastAsia"/>
          <w:bCs/>
          <w:color w:val="000000" w:themeColor="text1"/>
          <w:sz w:val="24"/>
          <w:highlight w:val="none"/>
        </w:rPr>
        <w:t>。</w:t>
      </w:r>
    </w:p>
    <w:p w14:paraId="123DDDB5">
      <w:pPr>
        <w:bidi w:val="0"/>
        <w:rPr>
          <w:rFonts w:hint="eastAsia" w:hAnsiTheme="minorEastAsia" w:eastAsiaTheme="minorEastAsia"/>
          <w:bCs/>
          <w:sz w:val="24"/>
          <w:highlight w:val="none"/>
          <w:lang w:val="en-US" w:eastAsia="zh-CN"/>
        </w:rPr>
      </w:pPr>
      <w:r>
        <w:rPr>
          <w:rFonts w:hint="eastAsia" w:hAnsiTheme="minorEastAsia" w:eastAsiaTheme="minorEastAsia"/>
          <w:bCs/>
          <w:sz w:val="24"/>
          <w:highlight w:val="none"/>
          <w:lang w:val="en-US" w:eastAsia="zh-CN"/>
        </w:rPr>
        <w:t>（4）废过滤材料（类别：HW49，代码：900-041-49）</w:t>
      </w:r>
    </w:p>
    <w:p w14:paraId="1C94CC30">
      <w:pPr>
        <w:bidi w:val="0"/>
        <w:rPr>
          <w:rFonts w:hint="eastAsia"/>
          <w:highlight w:val="none"/>
          <w:lang w:val="en-US" w:eastAsia="zh-CN"/>
        </w:rPr>
      </w:pPr>
      <w:r>
        <w:rPr>
          <w:rFonts w:hint="eastAsia" w:hAnsiTheme="minorEastAsia" w:eastAsiaTheme="minorEastAsia"/>
          <w:bCs/>
          <w:sz w:val="24"/>
          <w:highlight w:val="none"/>
          <w:lang w:val="en-US" w:eastAsia="zh-CN"/>
        </w:rPr>
        <w:t>油雾净化器</w:t>
      </w:r>
      <w:r>
        <w:rPr>
          <w:rFonts w:hAnsiTheme="minorEastAsia" w:eastAsiaTheme="minorEastAsia"/>
          <w:bCs/>
          <w:sz w:val="24"/>
          <w:highlight w:val="none"/>
        </w:rPr>
        <w:t>需定期更换过滤材料，根据设备商提供的经验数据，每年更换量约</w:t>
      </w:r>
      <w:r>
        <w:rPr>
          <w:rFonts w:eastAsiaTheme="minorEastAsia"/>
          <w:bCs/>
          <w:sz w:val="24"/>
          <w:highlight w:val="none"/>
        </w:rPr>
        <w:t>2.0t/a</w:t>
      </w:r>
      <w:r>
        <w:rPr>
          <w:rFonts w:hint="eastAsia"/>
          <w:highlight w:val="none"/>
          <w:lang w:val="en-US" w:eastAsia="zh-CN"/>
        </w:rPr>
        <w:t>。</w:t>
      </w:r>
    </w:p>
    <w:p w14:paraId="4A077480">
      <w:pPr>
        <w:bidi w:val="0"/>
        <w:rPr>
          <w:rFonts w:hint="eastAsia"/>
          <w:highlight w:val="none"/>
          <w:lang w:val="en-US" w:eastAsia="zh-CN"/>
        </w:rPr>
      </w:pPr>
      <w:r>
        <w:rPr>
          <w:rFonts w:hint="eastAsia"/>
          <w:highlight w:val="none"/>
          <w:lang w:val="en-US" w:eastAsia="zh-CN"/>
        </w:rPr>
        <w:t>（5）废油</w:t>
      </w:r>
      <w:r>
        <w:rPr>
          <w:rFonts w:hint="eastAsia" w:hAnsiTheme="minorEastAsia" w:eastAsiaTheme="minorEastAsia"/>
          <w:bCs/>
          <w:sz w:val="24"/>
          <w:highlight w:val="none"/>
          <w:lang w:val="en-US" w:eastAsia="zh-CN"/>
        </w:rPr>
        <w:t>（类别：HW08，代码：900-249-08、类别：HW09，代码900-007-09）</w:t>
      </w:r>
    </w:p>
    <w:p w14:paraId="2A4D5EE1">
      <w:pPr>
        <w:bidi w:val="0"/>
        <w:rPr>
          <w:rFonts w:hint="default"/>
          <w:highlight w:val="none"/>
          <w:lang w:val="en-US" w:eastAsia="zh-CN"/>
        </w:rPr>
      </w:pPr>
      <w:r>
        <w:rPr>
          <w:rFonts w:hint="eastAsia" w:hAnsiTheme="minorEastAsia" w:eastAsiaTheme="minorEastAsia"/>
          <w:bCs/>
          <w:sz w:val="24"/>
          <w:highlight w:val="none"/>
          <w:lang w:val="en-US" w:eastAsia="zh-CN"/>
        </w:rPr>
        <w:t>生产过程</w:t>
      </w:r>
      <w:r>
        <w:rPr>
          <w:rFonts w:hAnsiTheme="minorEastAsia" w:eastAsiaTheme="minorEastAsia"/>
          <w:bCs/>
          <w:sz w:val="24"/>
          <w:highlight w:val="none"/>
        </w:rPr>
        <w:t>产生的油雾经集中式油雾净化系统进行过滤处理，净化过滤效率</w:t>
      </w:r>
      <w:r>
        <w:rPr>
          <w:rFonts w:eastAsiaTheme="minorEastAsia"/>
          <w:bCs/>
          <w:sz w:val="24"/>
          <w:highlight w:val="none"/>
        </w:rPr>
        <w:t>90%</w:t>
      </w:r>
      <w:r>
        <w:rPr>
          <w:rFonts w:hAnsiTheme="minorEastAsia" w:eastAsiaTheme="minorEastAsia"/>
          <w:bCs/>
          <w:sz w:val="24"/>
          <w:highlight w:val="none"/>
        </w:rPr>
        <w:t>，油雾净化器废油产生量约</w:t>
      </w:r>
      <w:r>
        <w:rPr>
          <w:rFonts w:eastAsiaTheme="minorEastAsia"/>
          <w:bCs/>
          <w:sz w:val="24"/>
          <w:highlight w:val="none"/>
        </w:rPr>
        <w:t>0.1t/a</w:t>
      </w:r>
      <w:r>
        <w:rPr>
          <w:rFonts w:hint="eastAsia"/>
          <w:highlight w:val="none"/>
          <w:lang w:val="en-US" w:eastAsia="zh-CN"/>
        </w:rPr>
        <w:t>。</w:t>
      </w:r>
    </w:p>
    <w:p w14:paraId="05D9ADDE">
      <w:pPr>
        <w:pStyle w:val="7"/>
        <w:bidi w:val="0"/>
        <w:rPr>
          <w:highlight w:val="none"/>
        </w:rPr>
        <w:sectPr>
          <w:pgSz w:w="11906" w:h="16838"/>
          <w:pgMar w:top="1440" w:right="1800" w:bottom="1440" w:left="1800" w:header="851" w:footer="992" w:gutter="0"/>
          <w:pgBorders w:offsetFrom="page">
            <w:top w:val="none" w:sz="0" w:space="0"/>
            <w:left w:val="none" w:sz="0" w:space="0"/>
            <w:bottom w:val="none" w:sz="0" w:space="0"/>
            <w:right w:val="none" w:sz="0" w:space="0"/>
          </w:pgBorders>
          <w:cols w:space="425" w:num="1"/>
          <w:docGrid w:type="lines" w:linePitch="312" w:charSpace="0"/>
        </w:sectPr>
      </w:pPr>
      <w:bookmarkStart w:id="287" w:name="_Hlk94115631"/>
    </w:p>
    <w:p w14:paraId="57DE5FDE">
      <w:pPr>
        <w:pStyle w:val="7"/>
        <w:bidi w:val="0"/>
        <w:rPr>
          <w:highlight w:val="none"/>
        </w:rPr>
      </w:pPr>
      <w:r>
        <w:rPr>
          <w:highlight w:val="none"/>
        </w:rPr>
        <w:t>表3-</w:t>
      </w:r>
      <w:r>
        <w:rPr>
          <w:rFonts w:hint="eastAsia"/>
          <w:highlight w:val="none"/>
          <w:lang w:val="en-US" w:eastAsia="zh-CN"/>
        </w:rPr>
        <w:t>3</w:t>
      </w:r>
      <w:r>
        <w:rPr>
          <w:highlight w:val="none"/>
        </w:rPr>
        <w:t>-</w:t>
      </w:r>
      <w:r>
        <w:rPr>
          <w:rFonts w:hint="eastAsia"/>
          <w:highlight w:val="none"/>
          <w:lang w:val="en-US" w:eastAsia="zh-CN"/>
        </w:rPr>
        <w:t>3</w:t>
      </w:r>
      <w:r>
        <w:rPr>
          <w:highlight w:val="none"/>
        </w:rPr>
        <w:t>废气污染源强核算结果及相关参数一览表</w:t>
      </w:r>
    </w:p>
    <w:tbl>
      <w:tblPr>
        <w:tblStyle w:val="739"/>
        <w:tblW w:w="13975"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853"/>
        <w:gridCol w:w="584"/>
        <w:gridCol w:w="527"/>
        <w:gridCol w:w="727"/>
        <w:gridCol w:w="679"/>
        <w:gridCol w:w="720"/>
        <w:gridCol w:w="665"/>
        <w:gridCol w:w="611"/>
        <w:gridCol w:w="706"/>
        <w:gridCol w:w="711"/>
        <w:gridCol w:w="709"/>
        <w:gridCol w:w="709"/>
        <w:gridCol w:w="634"/>
        <w:gridCol w:w="585"/>
        <w:gridCol w:w="624"/>
        <w:gridCol w:w="567"/>
        <w:gridCol w:w="708"/>
        <w:gridCol w:w="709"/>
        <w:gridCol w:w="572"/>
        <w:gridCol w:w="660"/>
        <w:gridCol w:w="715"/>
      </w:tblGrid>
      <w:tr w14:paraId="60B6B01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853" w:type="dxa"/>
            <w:vMerge w:val="restart"/>
            <w:textDirection w:val="tbRlV"/>
            <w:vAlign w:val="center"/>
          </w:tcPr>
          <w:p w14:paraId="437EAA9D">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工序</w:t>
            </w:r>
          </w:p>
        </w:tc>
        <w:tc>
          <w:tcPr>
            <w:tcW w:w="584" w:type="dxa"/>
            <w:vMerge w:val="restart"/>
            <w:vAlign w:val="center"/>
          </w:tcPr>
          <w:p w14:paraId="1C73D7F9">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污染源</w:t>
            </w:r>
          </w:p>
        </w:tc>
        <w:tc>
          <w:tcPr>
            <w:tcW w:w="527" w:type="dxa"/>
            <w:vMerge w:val="restart"/>
            <w:vAlign w:val="center"/>
          </w:tcPr>
          <w:p w14:paraId="118C2FE2">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污染物</w:t>
            </w:r>
          </w:p>
        </w:tc>
        <w:tc>
          <w:tcPr>
            <w:tcW w:w="727" w:type="dxa"/>
            <w:vMerge w:val="restart"/>
            <w:vAlign w:val="center"/>
          </w:tcPr>
          <w:p w14:paraId="126C82D2">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核算方法</w:t>
            </w:r>
          </w:p>
        </w:tc>
        <w:tc>
          <w:tcPr>
            <w:tcW w:w="2064" w:type="dxa"/>
            <w:gridSpan w:val="3"/>
            <w:vMerge w:val="restart"/>
            <w:vAlign w:val="center"/>
          </w:tcPr>
          <w:p w14:paraId="76F63FA7">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污染物产生</w:t>
            </w:r>
          </w:p>
        </w:tc>
        <w:tc>
          <w:tcPr>
            <w:tcW w:w="2028" w:type="dxa"/>
            <w:gridSpan w:val="3"/>
            <w:vMerge w:val="restart"/>
            <w:vAlign w:val="center"/>
          </w:tcPr>
          <w:p w14:paraId="401D5057">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治理措施</w:t>
            </w:r>
          </w:p>
        </w:tc>
        <w:tc>
          <w:tcPr>
            <w:tcW w:w="7192" w:type="dxa"/>
            <w:gridSpan w:val="11"/>
            <w:vAlign w:val="center"/>
          </w:tcPr>
          <w:p w14:paraId="2C5C49C6">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污染物排放</w:t>
            </w:r>
          </w:p>
        </w:tc>
      </w:tr>
      <w:tr w14:paraId="55F3370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7" w:hRule="atLeast"/>
          <w:jc w:val="center"/>
        </w:trPr>
        <w:tc>
          <w:tcPr>
            <w:tcW w:w="853" w:type="dxa"/>
            <w:vMerge w:val="continue"/>
            <w:textDirection w:val="tbRlV"/>
            <w:vAlign w:val="center"/>
          </w:tcPr>
          <w:p w14:paraId="44B48BE4">
            <w:pPr>
              <w:pStyle w:val="8"/>
              <w:suppressLineNumbers w:val="0"/>
              <w:bidi w:val="0"/>
              <w:spacing w:before="0" w:beforeAutospacing="0" w:after="0" w:afterAutospacing="0"/>
              <w:ind w:left="0" w:right="0"/>
              <w:rPr>
                <w:rFonts w:hint="default"/>
                <w:snapToGrid w:val="0"/>
                <w:highlight w:val="none"/>
              </w:rPr>
            </w:pPr>
          </w:p>
        </w:tc>
        <w:tc>
          <w:tcPr>
            <w:tcW w:w="584" w:type="dxa"/>
            <w:vMerge w:val="continue"/>
            <w:vAlign w:val="center"/>
          </w:tcPr>
          <w:p w14:paraId="76496680">
            <w:pPr>
              <w:pStyle w:val="8"/>
              <w:suppressLineNumbers w:val="0"/>
              <w:bidi w:val="0"/>
              <w:spacing w:before="0" w:beforeAutospacing="0" w:after="0" w:afterAutospacing="0"/>
              <w:ind w:left="0" w:right="0"/>
              <w:rPr>
                <w:rFonts w:hint="default"/>
                <w:snapToGrid w:val="0"/>
                <w:highlight w:val="none"/>
              </w:rPr>
            </w:pPr>
          </w:p>
        </w:tc>
        <w:tc>
          <w:tcPr>
            <w:tcW w:w="527" w:type="dxa"/>
            <w:vMerge w:val="continue"/>
            <w:vAlign w:val="center"/>
          </w:tcPr>
          <w:p w14:paraId="1B718FE6">
            <w:pPr>
              <w:pStyle w:val="8"/>
              <w:suppressLineNumbers w:val="0"/>
              <w:bidi w:val="0"/>
              <w:spacing w:before="0" w:beforeAutospacing="0" w:after="0" w:afterAutospacing="0"/>
              <w:ind w:left="0" w:right="0"/>
              <w:rPr>
                <w:rFonts w:hint="default"/>
                <w:snapToGrid w:val="0"/>
                <w:highlight w:val="none"/>
              </w:rPr>
            </w:pPr>
          </w:p>
        </w:tc>
        <w:tc>
          <w:tcPr>
            <w:tcW w:w="727" w:type="dxa"/>
            <w:vMerge w:val="continue"/>
            <w:vAlign w:val="center"/>
          </w:tcPr>
          <w:p w14:paraId="2C9D33B7">
            <w:pPr>
              <w:pStyle w:val="8"/>
              <w:suppressLineNumbers w:val="0"/>
              <w:bidi w:val="0"/>
              <w:spacing w:before="0" w:beforeAutospacing="0" w:after="0" w:afterAutospacing="0"/>
              <w:ind w:left="0" w:right="0"/>
              <w:rPr>
                <w:rFonts w:hint="default"/>
                <w:snapToGrid w:val="0"/>
                <w:highlight w:val="none"/>
              </w:rPr>
            </w:pPr>
          </w:p>
        </w:tc>
        <w:tc>
          <w:tcPr>
            <w:tcW w:w="2064" w:type="dxa"/>
            <w:gridSpan w:val="3"/>
            <w:vMerge w:val="continue"/>
            <w:vAlign w:val="center"/>
          </w:tcPr>
          <w:p w14:paraId="6913360B">
            <w:pPr>
              <w:pStyle w:val="8"/>
              <w:suppressLineNumbers w:val="0"/>
              <w:bidi w:val="0"/>
              <w:spacing w:before="0" w:beforeAutospacing="0" w:after="0" w:afterAutospacing="0"/>
              <w:ind w:left="0" w:right="0"/>
              <w:rPr>
                <w:rFonts w:hint="default"/>
                <w:snapToGrid w:val="0"/>
                <w:highlight w:val="none"/>
              </w:rPr>
            </w:pPr>
          </w:p>
        </w:tc>
        <w:tc>
          <w:tcPr>
            <w:tcW w:w="2028" w:type="dxa"/>
            <w:gridSpan w:val="3"/>
            <w:vMerge w:val="continue"/>
            <w:vAlign w:val="center"/>
          </w:tcPr>
          <w:p w14:paraId="0DEE8E22">
            <w:pPr>
              <w:pStyle w:val="8"/>
              <w:suppressLineNumbers w:val="0"/>
              <w:bidi w:val="0"/>
              <w:spacing w:before="0" w:beforeAutospacing="0" w:after="0" w:afterAutospacing="0"/>
              <w:ind w:left="0" w:right="0"/>
              <w:rPr>
                <w:rFonts w:hint="default"/>
                <w:snapToGrid w:val="0"/>
                <w:highlight w:val="none"/>
              </w:rPr>
            </w:pPr>
          </w:p>
        </w:tc>
        <w:tc>
          <w:tcPr>
            <w:tcW w:w="2637" w:type="dxa"/>
            <w:gridSpan w:val="4"/>
            <w:vAlign w:val="center"/>
          </w:tcPr>
          <w:p w14:paraId="7F2B0279">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有组织</w:t>
            </w:r>
          </w:p>
        </w:tc>
        <w:tc>
          <w:tcPr>
            <w:tcW w:w="1191" w:type="dxa"/>
            <w:gridSpan w:val="2"/>
            <w:vAlign w:val="center"/>
          </w:tcPr>
          <w:p w14:paraId="6D13A7A0">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无组织</w:t>
            </w:r>
          </w:p>
        </w:tc>
        <w:tc>
          <w:tcPr>
            <w:tcW w:w="708" w:type="dxa"/>
            <w:vMerge w:val="restart"/>
            <w:vAlign w:val="center"/>
          </w:tcPr>
          <w:p w14:paraId="00FC7F3A">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排放时间</w:t>
            </w:r>
          </w:p>
        </w:tc>
        <w:tc>
          <w:tcPr>
            <w:tcW w:w="1941" w:type="dxa"/>
            <w:gridSpan w:val="3"/>
            <w:vAlign w:val="center"/>
          </w:tcPr>
          <w:p w14:paraId="7AE46491">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排气筒</w:t>
            </w:r>
          </w:p>
        </w:tc>
        <w:tc>
          <w:tcPr>
            <w:tcW w:w="715" w:type="dxa"/>
            <w:vMerge w:val="restart"/>
            <w:vAlign w:val="center"/>
          </w:tcPr>
          <w:p w14:paraId="6C262618">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排放</w:t>
            </w:r>
          </w:p>
          <w:p w14:paraId="4832279B">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口类</w:t>
            </w:r>
          </w:p>
          <w:p w14:paraId="683D6A75">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型</w:t>
            </w:r>
          </w:p>
        </w:tc>
      </w:tr>
      <w:tr w14:paraId="035DA22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60" w:hRule="atLeast"/>
          <w:jc w:val="center"/>
        </w:trPr>
        <w:tc>
          <w:tcPr>
            <w:tcW w:w="853" w:type="dxa"/>
            <w:vMerge w:val="continue"/>
            <w:textDirection w:val="tbRlV"/>
            <w:vAlign w:val="center"/>
          </w:tcPr>
          <w:p w14:paraId="4DB06EAD">
            <w:pPr>
              <w:pStyle w:val="8"/>
              <w:suppressLineNumbers w:val="0"/>
              <w:bidi w:val="0"/>
              <w:spacing w:before="0" w:beforeAutospacing="0" w:after="0" w:afterAutospacing="0"/>
              <w:ind w:left="0" w:right="0"/>
              <w:rPr>
                <w:rFonts w:hint="default"/>
                <w:snapToGrid w:val="0"/>
                <w:highlight w:val="none"/>
              </w:rPr>
            </w:pPr>
          </w:p>
        </w:tc>
        <w:tc>
          <w:tcPr>
            <w:tcW w:w="584" w:type="dxa"/>
            <w:vMerge w:val="continue"/>
            <w:vAlign w:val="center"/>
          </w:tcPr>
          <w:p w14:paraId="636B6969">
            <w:pPr>
              <w:pStyle w:val="8"/>
              <w:suppressLineNumbers w:val="0"/>
              <w:bidi w:val="0"/>
              <w:spacing w:before="0" w:beforeAutospacing="0" w:after="0" w:afterAutospacing="0"/>
              <w:ind w:left="0" w:right="0"/>
              <w:rPr>
                <w:rFonts w:hint="default"/>
                <w:snapToGrid w:val="0"/>
                <w:highlight w:val="none"/>
              </w:rPr>
            </w:pPr>
          </w:p>
        </w:tc>
        <w:tc>
          <w:tcPr>
            <w:tcW w:w="527" w:type="dxa"/>
            <w:vMerge w:val="continue"/>
            <w:vAlign w:val="center"/>
          </w:tcPr>
          <w:p w14:paraId="5C2A0D13">
            <w:pPr>
              <w:pStyle w:val="8"/>
              <w:suppressLineNumbers w:val="0"/>
              <w:bidi w:val="0"/>
              <w:spacing w:before="0" w:beforeAutospacing="0" w:after="0" w:afterAutospacing="0"/>
              <w:ind w:left="0" w:right="0"/>
              <w:rPr>
                <w:rFonts w:hint="default"/>
                <w:snapToGrid w:val="0"/>
                <w:highlight w:val="none"/>
              </w:rPr>
            </w:pPr>
          </w:p>
        </w:tc>
        <w:tc>
          <w:tcPr>
            <w:tcW w:w="727" w:type="dxa"/>
            <w:vMerge w:val="continue"/>
            <w:vAlign w:val="center"/>
          </w:tcPr>
          <w:p w14:paraId="049ABE98">
            <w:pPr>
              <w:pStyle w:val="8"/>
              <w:suppressLineNumbers w:val="0"/>
              <w:bidi w:val="0"/>
              <w:spacing w:before="0" w:beforeAutospacing="0" w:after="0" w:afterAutospacing="0"/>
              <w:ind w:left="0" w:right="0"/>
              <w:rPr>
                <w:rFonts w:hint="default"/>
                <w:snapToGrid w:val="0"/>
                <w:highlight w:val="none"/>
              </w:rPr>
            </w:pPr>
          </w:p>
        </w:tc>
        <w:tc>
          <w:tcPr>
            <w:tcW w:w="679" w:type="dxa"/>
            <w:vMerge w:val="restart"/>
            <w:vAlign w:val="center"/>
          </w:tcPr>
          <w:p w14:paraId="34BFC479">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废气产生量（m</w:t>
            </w:r>
            <w:r>
              <w:rPr>
                <w:rFonts w:hint="default"/>
                <w:snapToGrid w:val="0"/>
                <w:highlight w:val="none"/>
                <w:vertAlign w:val="superscript"/>
              </w:rPr>
              <w:t>3</w:t>
            </w:r>
            <w:r>
              <w:rPr>
                <w:rFonts w:hint="default"/>
                <w:snapToGrid w:val="0"/>
                <w:highlight w:val="none"/>
              </w:rPr>
              <w:t>/h）</w:t>
            </w:r>
          </w:p>
        </w:tc>
        <w:tc>
          <w:tcPr>
            <w:tcW w:w="720" w:type="dxa"/>
            <w:vMerge w:val="restart"/>
            <w:vAlign w:val="center"/>
          </w:tcPr>
          <w:p w14:paraId="45748972">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产生质量浓度（mg/m³）</w:t>
            </w:r>
          </w:p>
        </w:tc>
        <w:tc>
          <w:tcPr>
            <w:tcW w:w="665" w:type="dxa"/>
            <w:vMerge w:val="restart"/>
            <w:vAlign w:val="center"/>
          </w:tcPr>
          <w:p w14:paraId="3AD4C588">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产生</w:t>
            </w:r>
          </w:p>
          <w:p w14:paraId="499A7C86">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量（kg/h）</w:t>
            </w:r>
          </w:p>
        </w:tc>
        <w:tc>
          <w:tcPr>
            <w:tcW w:w="611" w:type="dxa"/>
            <w:vMerge w:val="restart"/>
            <w:vAlign w:val="center"/>
          </w:tcPr>
          <w:p w14:paraId="07ADC249">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收集效率（%）</w:t>
            </w:r>
          </w:p>
        </w:tc>
        <w:tc>
          <w:tcPr>
            <w:tcW w:w="706" w:type="dxa"/>
            <w:vMerge w:val="restart"/>
            <w:vAlign w:val="center"/>
          </w:tcPr>
          <w:p w14:paraId="77C7F501">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治理</w:t>
            </w:r>
          </w:p>
          <w:p w14:paraId="1567B7EE">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工艺</w:t>
            </w:r>
          </w:p>
        </w:tc>
        <w:tc>
          <w:tcPr>
            <w:tcW w:w="711" w:type="dxa"/>
            <w:vMerge w:val="restart"/>
            <w:vAlign w:val="center"/>
          </w:tcPr>
          <w:p w14:paraId="261F1AB8">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去除效率（%）</w:t>
            </w:r>
          </w:p>
        </w:tc>
        <w:tc>
          <w:tcPr>
            <w:tcW w:w="709" w:type="dxa"/>
            <w:vMerge w:val="restart"/>
            <w:vAlign w:val="center"/>
          </w:tcPr>
          <w:p w14:paraId="6D96EBF1">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废气排放量（m</w:t>
            </w:r>
            <w:r>
              <w:rPr>
                <w:rFonts w:hint="default"/>
                <w:snapToGrid w:val="0"/>
                <w:highlight w:val="none"/>
                <w:vertAlign w:val="superscript"/>
              </w:rPr>
              <w:t>3</w:t>
            </w:r>
            <w:r>
              <w:rPr>
                <w:rFonts w:hint="default"/>
                <w:snapToGrid w:val="0"/>
                <w:highlight w:val="none"/>
              </w:rPr>
              <w:t>/h）</w:t>
            </w:r>
          </w:p>
        </w:tc>
        <w:tc>
          <w:tcPr>
            <w:tcW w:w="709" w:type="dxa"/>
            <w:vMerge w:val="restart"/>
            <w:vAlign w:val="center"/>
          </w:tcPr>
          <w:p w14:paraId="18B016B6">
            <w:pPr>
              <w:pStyle w:val="8"/>
              <w:suppressLineNumbers w:val="0"/>
              <w:bidi w:val="0"/>
              <w:spacing w:before="0" w:beforeAutospacing="0" w:after="0" w:afterAutospacing="0"/>
              <w:ind w:left="0" w:right="0"/>
              <w:rPr>
                <w:rFonts w:hint="default"/>
                <w:snapToGrid w:val="0"/>
                <w:highlight w:val="none"/>
              </w:rPr>
            </w:pPr>
            <w:r>
              <w:rPr>
                <w:rFonts w:hint="eastAsia"/>
                <w:snapToGrid w:val="0"/>
                <w:highlight w:val="none"/>
                <w:lang w:val="en-US" w:eastAsia="zh-CN"/>
              </w:rPr>
              <w:t>排放</w:t>
            </w:r>
            <w:r>
              <w:rPr>
                <w:rFonts w:hint="default"/>
                <w:snapToGrid w:val="0"/>
                <w:highlight w:val="none"/>
              </w:rPr>
              <w:t>质量浓度（mg/m³）</w:t>
            </w:r>
          </w:p>
        </w:tc>
        <w:tc>
          <w:tcPr>
            <w:tcW w:w="1219" w:type="dxa"/>
            <w:gridSpan w:val="2"/>
            <w:vAlign w:val="center"/>
          </w:tcPr>
          <w:p w14:paraId="025B2C11">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排放量</w:t>
            </w:r>
          </w:p>
        </w:tc>
        <w:tc>
          <w:tcPr>
            <w:tcW w:w="1191" w:type="dxa"/>
            <w:gridSpan w:val="2"/>
            <w:vAlign w:val="center"/>
          </w:tcPr>
          <w:p w14:paraId="2301CC0C">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排放量</w:t>
            </w:r>
          </w:p>
        </w:tc>
        <w:tc>
          <w:tcPr>
            <w:tcW w:w="708" w:type="dxa"/>
            <w:vMerge w:val="continue"/>
            <w:vAlign w:val="center"/>
          </w:tcPr>
          <w:p w14:paraId="23155DBA">
            <w:pPr>
              <w:pStyle w:val="8"/>
              <w:suppressLineNumbers w:val="0"/>
              <w:bidi w:val="0"/>
              <w:spacing w:before="0" w:beforeAutospacing="0" w:after="0" w:afterAutospacing="0"/>
              <w:ind w:left="0" w:right="0"/>
              <w:rPr>
                <w:rFonts w:hint="default"/>
                <w:snapToGrid w:val="0"/>
                <w:highlight w:val="none"/>
              </w:rPr>
            </w:pPr>
          </w:p>
        </w:tc>
        <w:tc>
          <w:tcPr>
            <w:tcW w:w="709" w:type="dxa"/>
            <w:vAlign w:val="center"/>
          </w:tcPr>
          <w:p w14:paraId="57F0FB94">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高度</w:t>
            </w:r>
          </w:p>
        </w:tc>
        <w:tc>
          <w:tcPr>
            <w:tcW w:w="572" w:type="dxa"/>
            <w:vAlign w:val="center"/>
          </w:tcPr>
          <w:p w14:paraId="4935A585">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直径</w:t>
            </w:r>
          </w:p>
        </w:tc>
        <w:tc>
          <w:tcPr>
            <w:tcW w:w="660" w:type="dxa"/>
            <w:vAlign w:val="center"/>
          </w:tcPr>
          <w:p w14:paraId="67D6CA34">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温度</w:t>
            </w:r>
          </w:p>
        </w:tc>
        <w:tc>
          <w:tcPr>
            <w:tcW w:w="715" w:type="dxa"/>
            <w:vMerge w:val="continue"/>
            <w:vAlign w:val="center"/>
          </w:tcPr>
          <w:p w14:paraId="13A2C52D">
            <w:pPr>
              <w:pStyle w:val="8"/>
              <w:suppressLineNumbers w:val="0"/>
              <w:bidi w:val="0"/>
              <w:spacing w:before="0" w:beforeAutospacing="0" w:after="0" w:afterAutospacing="0"/>
              <w:ind w:left="0" w:right="0"/>
              <w:rPr>
                <w:rFonts w:hint="default"/>
                <w:snapToGrid w:val="0"/>
                <w:highlight w:val="none"/>
              </w:rPr>
            </w:pPr>
          </w:p>
        </w:tc>
      </w:tr>
      <w:tr w14:paraId="65D0FA2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8" w:hRule="atLeast"/>
          <w:jc w:val="center"/>
        </w:trPr>
        <w:tc>
          <w:tcPr>
            <w:tcW w:w="853" w:type="dxa"/>
            <w:vMerge w:val="continue"/>
            <w:textDirection w:val="tbRlV"/>
            <w:vAlign w:val="center"/>
          </w:tcPr>
          <w:p w14:paraId="06ADEF2A">
            <w:pPr>
              <w:pStyle w:val="8"/>
              <w:suppressLineNumbers w:val="0"/>
              <w:bidi w:val="0"/>
              <w:spacing w:before="0" w:beforeAutospacing="0" w:after="0" w:afterAutospacing="0"/>
              <w:ind w:left="0" w:right="0"/>
              <w:rPr>
                <w:rFonts w:hint="default"/>
                <w:snapToGrid w:val="0"/>
                <w:highlight w:val="none"/>
              </w:rPr>
            </w:pPr>
          </w:p>
        </w:tc>
        <w:tc>
          <w:tcPr>
            <w:tcW w:w="584" w:type="dxa"/>
            <w:vMerge w:val="continue"/>
            <w:vAlign w:val="center"/>
          </w:tcPr>
          <w:p w14:paraId="5F45DC13">
            <w:pPr>
              <w:pStyle w:val="8"/>
              <w:suppressLineNumbers w:val="0"/>
              <w:bidi w:val="0"/>
              <w:spacing w:before="0" w:beforeAutospacing="0" w:after="0" w:afterAutospacing="0"/>
              <w:ind w:left="0" w:right="0"/>
              <w:rPr>
                <w:rFonts w:hint="default"/>
                <w:snapToGrid w:val="0"/>
                <w:highlight w:val="none"/>
              </w:rPr>
            </w:pPr>
          </w:p>
        </w:tc>
        <w:tc>
          <w:tcPr>
            <w:tcW w:w="527" w:type="dxa"/>
            <w:vMerge w:val="continue"/>
            <w:vAlign w:val="center"/>
          </w:tcPr>
          <w:p w14:paraId="1AFEC87A">
            <w:pPr>
              <w:pStyle w:val="8"/>
              <w:suppressLineNumbers w:val="0"/>
              <w:bidi w:val="0"/>
              <w:spacing w:before="0" w:beforeAutospacing="0" w:after="0" w:afterAutospacing="0"/>
              <w:ind w:left="0" w:right="0"/>
              <w:rPr>
                <w:rFonts w:hint="default"/>
                <w:snapToGrid w:val="0"/>
                <w:highlight w:val="none"/>
              </w:rPr>
            </w:pPr>
          </w:p>
        </w:tc>
        <w:tc>
          <w:tcPr>
            <w:tcW w:w="727" w:type="dxa"/>
            <w:vMerge w:val="continue"/>
            <w:vAlign w:val="center"/>
          </w:tcPr>
          <w:p w14:paraId="35F62821">
            <w:pPr>
              <w:pStyle w:val="8"/>
              <w:suppressLineNumbers w:val="0"/>
              <w:bidi w:val="0"/>
              <w:spacing w:before="0" w:beforeAutospacing="0" w:after="0" w:afterAutospacing="0"/>
              <w:ind w:left="0" w:right="0"/>
              <w:rPr>
                <w:rFonts w:hint="default"/>
                <w:snapToGrid w:val="0"/>
                <w:highlight w:val="none"/>
              </w:rPr>
            </w:pPr>
          </w:p>
        </w:tc>
        <w:tc>
          <w:tcPr>
            <w:tcW w:w="679" w:type="dxa"/>
            <w:vMerge w:val="continue"/>
            <w:vAlign w:val="center"/>
          </w:tcPr>
          <w:p w14:paraId="200403DC">
            <w:pPr>
              <w:pStyle w:val="8"/>
              <w:suppressLineNumbers w:val="0"/>
              <w:bidi w:val="0"/>
              <w:spacing w:before="0" w:beforeAutospacing="0" w:after="0" w:afterAutospacing="0"/>
              <w:ind w:left="0" w:right="0"/>
              <w:rPr>
                <w:rFonts w:hint="default"/>
                <w:snapToGrid w:val="0"/>
                <w:highlight w:val="none"/>
              </w:rPr>
            </w:pPr>
          </w:p>
        </w:tc>
        <w:tc>
          <w:tcPr>
            <w:tcW w:w="720" w:type="dxa"/>
            <w:vMerge w:val="continue"/>
            <w:vAlign w:val="center"/>
          </w:tcPr>
          <w:p w14:paraId="34D3D741">
            <w:pPr>
              <w:pStyle w:val="8"/>
              <w:suppressLineNumbers w:val="0"/>
              <w:bidi w:val="0"/>
              <w:spacing w:before="0" w:beforeAutospacing="0" w:after="0" w:afterAutospacing="0"/>
              <w:ind w:left="0" w:right="0"/>
              <w:rPr>
                <w:rFonts w:hint="default"/>
                <w:snapToGrid w:val="0"/>
                <w:highlight w:val="none"/>
              </w:rPr>
            </w:pPr>
          </w:p>
        </w:tc>
        <w:tc>
          <w:tcPr>
            <w:tcW w:w="665" w:type="dxa"/>
            <w:vMerge w:val="continue"/>
            <w:vAlign w:val="center"/>
          </w:tcPr>
          <w:p w14:paraId="2B030354">
            <w:pPr>
              <w:pStyle w:val="8"/>
              <w:suppressLineNumbers w:val="0"/>
              <w:bidi w:val="0"/>
              <w:spacing w:before="0" w:beforeAutospacing="0" w:after="0" w:afterAutospacing="0"/>
              <w:ind w:left="0" w:right="0"/>
              <w:rPr>
                <w:rFonts w:hint="default"/>
                <w:snapToGrid w:val="0"/>
                <w:highlight w:val="none"/>
              </w:rPr>
            </w:pPr>
          </w:p>
        </w:tc>
        <w:tc>
          <w:tcPr>
            <w:tcW w:w="611" w:type="dxa"/>
            <w:vMerge w:val="continue"/>
            <w:vAlign w:val="center"/>
          </w:tcPr>
          <w:p w14:paraId="6F6B7197">
            <w:pPr>
              <w:pStyle w:val="8"/>
              <w:suppressLineNumbers w:val="0"/>
              <w:bidi w:val="0"/>
              <w:spacing w:before="0" w:beforeAutospacing="0" w:after="0" w:afterAutospacing="0"/>
              <w:ind w:left="0" w:right="0"/>
              <w:rPr>
                <w:rFonts w:hint="default"/>
                <w:snapToGrid w:val="0"/>
                <w:highlight w:val="none"/>
              </w:rPr>
            </w:pPr>
          </w:p>
        </w:tc>
        <w:tc>
          <w:tcPr>
            <w:tcW w:w="706" w:type="dxa"/>
            <w:vMerge w:val="continue"/>
            <w:vAlign w:val="center"/>
          </w:tcPr>
          <w:p w14:paraId="36DEA735">
            <w:pPr>
              <w:pStyle w:val="8"/>
              <w:suppressLineNumbers w:val="0"/>
              <w:bidi w:val="0"/>
              <w:spacing w:before="0" w:beforeAutospacing="0" w:after="0" w:afterAutospacing="0"/>
              <w:ind w:left="0" w:right="0"/>
              <w:rPr>
                <w:rFonts w:hint="default"/>
                <w:snapToGrid w:val="0"/>
                <w:highlight w:val="none"/>
              </w:rPr>
            </w:pPr>
          </w:p>
        </w:tc>
        <w:tc>
          <w:tcPr>
            <w:tcW w:w="711" w:type="dxa"/>
            <w:vMerge w:val="continue"/>
            <w:vAlign w:val="center"/>
          </w:tcPr>
          <w:p w14:paraId="665391C1">
            <w:pPr>
              <w:pStyle w:val="8"/>
              <w:suppressLineNumbers w:val="0"/>
              <w:bidi w:val="0"/>
              <w:spacing w:before="0" w:beforeAutospacing="0" w:after="0" w:afterAutospacing="0"/>
              <w:ind w:left="0" w:right="0"/>
              <w:rPr>
                <w:rFonts w:hint="default"/>
                <w:snapToGrid w:val="0"/>
                <w:highlight w:val="none"/>
              </w:rPr>
            </w:pPr>
          </w:p>
        </w:tc>
        <w:tc>
          <w:tcPr>
            <w:tcW w:w="709" w:type="dxa"/>
            <w:vMerge w:val="continue"/>
            <w:vAlign w:val="center"/>
          </w:tcPr>
          <w:p w14:paraId="4E097233">
            <w:pPr>
              <w:pStyle w:val="8"/>
              <w:suppressLineNumbers w:val="0"/>
              <w:bidi w:val="0"/>
              <w:spacing w:before="0" w:beforeAutospacing="0" w:after="0" w:afterAutospacing="0"/>
              <w:ind w:left="0" w:right="0"/>
              <w:rPr>
                <w:rFonts w:hint="default"/>
                <w:snapToGrid w:val="0"/>
                <w:highlight w:val="none"/>
              </w:rPr>
            </w:pPr>
          </w:p>
        </w:tc>
        <w:tc>
          <w:tcPr>
            <w:tcW w:w="709" w:type="dxa"/>
            <w:vMerge w:val="continue"/>
            <w:vAlign w:val="center"/>
          </w:tcPr>
          <w:p w14:paraId="0CF16FD1">
            <w:pPr>
              <w:pStyle w:val="8"/>
              <w:suppressLineNumbers w:val="0"/>
              <w:bidi w:val="0"/>
              <w:spacing w:before="0" w:beforeAutospacing="0" w:after="0" w:afterAutospacing="0"/>
              <w:ind w:left="0" w:right="0"/>
              <w:rPr>
                <w:rFonts w:hint="default"/>
                <w:snapToGrid w:val="0"/>
                <w:highlight w:val="none"/>
              </w:rPr>
            </w:pPr>
          </w:p>
        </w:tc>
        <w:tc>
          <w:tcPr>
            <w:tcW w:w="634" w:type="dxa"/>
            <w:vAlign w:val="center"/>
          </w:tcPr>
          <w:p w14:paraId="5F2AB3AD">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kg/h</w:t>
            </w:r>
          </w:p>
        </w:tc>
        <w:tc>
          <w:tcPr>
            <w:tcW w:w="585" w:type="dxa"/>
            <w:vAlign w:val="center"/>
          </w:tcPr>
          <w:p w14:paraId="1CD00874">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t/a</w:t>
            </w:r>
          </w:p>
        </w:tc>
        <w:tc>
          <w:tcPr>
            <w:tcW w:w="624" w:type="dxa"/>
            <w:vAlign w:val="center"/>
          </w:tcPr>
          <w:p w14:paraId="4473C451">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kg/h</w:t>
            </w:r>
          </w:p>
        </w:tc>
        <w:tc>
          <w:tcPr>
            <w:tcW w:w="567" w:type="dxa"/>
            <w:vAlign w:val="center"/>
          </w:tcPr>
          <w:p w14:paraId="3FF3BC9A">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t/a</w:t>
            </w:r>
          </w:p>
        </w:tc>
        <w:tc>
          <w:tcPr>
            <w:tcW w:w="708" w:type="dxa"/>
            <w:vAlign w:val="center"/>
          </w:tcPr>
          <w:p w14:paraId="30EEE2DA">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h</w:t>
            </w:r>
          </w:p>
        </w:tc>
        <w:tc>
          <w:tcPr>
            <w:tcW w:w="709" w:type="dxa"/>
            <w:vAlign w:val="center"/>
          </w:tcPr>
          <w:p w14:paraId="6E6D0C10">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m</w:t>
            </w:r>
          </w:p>
        </w:tc>
        <w:tc>
          <w:tcPr>
            <w:tcW w:w="572" w:type="dxa"/>
            <w:vAlign w:val="center"/>
          </w:tcPr>
          <w:p w14:paraId="783E2DAE">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m</w:t>
            </w:r>
          </w:p>
        </w:tc>
        <w:tc>
          <w:tcPr>
            <w:tcW w:w="660" w:type="dxa"/>
            <w:vAlign w:val="center"/>
          </w:tcPr>
          <w:p w14:paraId="6AB8F177">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w:t>
            </w:r>
          </w:p>
        </w:tc>
        <w:tc>
          <w:tcPr>
            <w:tcW w:w="715" w:type="dxa"/>
            <w:vMerge w:val="continue"/>
            <w:vAlign w:val="center"/>
          </w:tcPr>
          <w:p w14:paraId="5B19296F">
            <w:pPr>
              <w:pStyle w:val="8"/>
              <w:suppressLineNumbers w:val="0"/>
              <w:bidi w:val="0"/>
              <w:spacing w:before="0" w:beforeAutospacing="0" w:after="0" w:afterAutospacing="0"/>
              <w:ind w:left="0" w:right="0"/>
              <w:rPr>
                <w:rFonts w:hint="default"/>
                <w:snapToGrid w:val="0"/>
                <w:highlight w:val="none"/>
              </w:rPr>
            </w:pPr>
          </w:p>
        </w:tc>
      </w:tr>
      <w:tr w14:paraId="146D871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46" w:hRule="atLeast"/>
          <w:jc w:val="center"/>
        </w:trPr>
        <w:tc>
          <w:tcPr>
            <w:tcW w:w="853" w:type="dxa"/>
            <w:vAlign w:val="center"/>
          </w:tcPr>
          <w:p w14:paraId="046732AE">
            <w:pPr>
              <w:pStyle w:val="8"/>
              <w:suppressLineNumbers w:val="0"/>
              <w:bidi w:val="0"/>
              <w:spacing w:before="0" w:beforeAutospacing="0" w:after="0" w:afterAutospacing="0"/>
              <w:ind w:left="0" w:right="0"/>
              <w:rPr>
                <w:rFonts w:hint="eastAsia" w:eastAsia="宋体"/>
                <w:snapToGrid w:val="0"/>
                <w:highlight w:val="none"/>
                <w:lang w:eastAsia="zh-CN"/>
              </w:rPr>
            </w:pPr>
            <w:r>
              <w:rPr>
                <w:rFonts w:hint="eastAsia"/>
                <w:snapToGrid w:val="0"/>
                <w:highlight w:val="none"/>
                <w:lang w:val="en-US" w:eastAsia="zh-CN"/>
              </w:rPr>
              <w:t>原料贮存</w:t>
            </w:r>
          </w:p>
        </w:tc>
        <w:tc>
          <w:tcPr>
            <w:tcW w:w="584" w:type="dxa"/>
            <w:vMerge w:val="restart"/>
            <w:vAlign w:val="center"/>
          </w:tcPr>
          <w:p w14:paraId="122859B3">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无组织</w:t>
            </w:r>
          </w:p>
        </w:tc>
        <w:tc>
          <w:tcPr>
            <w:tcW w:w="527" w:type="dxa"/>
            <w:vMerge w:val="restart"/>
            <w:vAlign w:val="center"/>
          </w:tcPr>
          <w:p w14:paraId="1E2B0D30">
            <w:pPr>
              <w:pStyle w:val="8"/>
              <w:suppressLineNumbers w:val="0"/>
              <w:bidi w:val="0"/>
              <w:spacing w:before="0" w:beforeAutospacing="0" w:after="0" w:afterAutospacing="0"/>
              <w:ind w:left="0" w:right="0"/>
              <w:rPr>
                <w:rFonts w:hint="default" w:eastAsia="宋体"/>
                <w:snapToGrid w:val="0"/>
                <w:highlight w:val="none"/>
                <w:lang w:val="en-US" w:eastAsia="zh-CN"/>
              </w:rPr>
            </w:pPr>
            <w:r>
              <w:rPr>
                <w:rFonts w:hint="eastAsia"/>
                <w:snapToGrid w:val="0"/>
                <w:highlight w:val="none"/>
                <w:lang w:val="en-US" w:eastAsia="zh-CN"/>
              </w:rPr>
              <w:t>油雾、挥发性有机物</w:t>
            </w:r>
          </w:p>
        </w:tc>
        <w:tc>
          <w:tcPr>
            <w:tcW w:w="727" w:type="dxa"/>
            <w:vMerge w:val="restart"/>
            <w:vAlign w:val="center"/>
          </w:tcPr>
          <w:p w14:paraId="6A95384D">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类比</w:t>
            </w:r>
          </w:p>
        </w:tc>
        <w:tc>
          <w:tcPr>
            <w:tcW w:w="679" w:type="dxa"/>
            <w:vAlign w:val="center"/>
          </w:tcPr>
          <w:p w14:paraId="16FFD7F8">
            <w:pPr>
              <w:pStyle w:val="8"/>
              <w:suppressLineNumbers w:val="0"/>
              <w:bidi w:val="0"/>
              <w:spacing w:before="0" w:beforeAutospacing="0" w:after="0" w:afterAutospacing="0"/>
              <w:ind w:left="0" w:leftChars="0" w:right="0" w:rightChars="0" w:firstLine="0" w:firstLineChars="0"/>
              <w:rPr>
                <w:rFonts w:hint="default"/>
                <w:snapToGrid w:val="0"/>
                <w:highlight w:val="none"/>
                <w:lang w:val="en-US" w:eastAsia="zh-CN"/>
              </w:rPr>
            </w:pPr>
            <w:r>
              <w:rPr>
                <w:rFonts w:hint="eastAsia"/>
                <w:snapToGrid w:val="0"/>
                <w:highlight w:val="none"/>
              </w:rPr>
              <w:t>/</w:t>
            </w:r>
          </w:p>
        </w:tc>
        <w:tc>
          <w:tcPr>
            <w:tcW w:w="720" w:type="dxa"/>
            <w:vAlign w:val="center"/>
          </w:tcPr>
          <w:p w14:paraId="71C3970C">
            <w:pPr>
              <w:pStyle w:val="8"/>
              <w:suppressLineNumbers w:val="0"/>
              <w:bidi w:val="0"/>
              <w:spacing w:before="0" w:beforeAutospacing="0" w:after="0" w:afterAutospacing="0"/>
              <w:ind w:left="0" w:leftChars="0" w:right="0" w:rightChars="0" w:firstLine="0" w:firstLineChars="0"/>
              <w:rPr>
                <w:rFonts w:hint="default"/>
                <w:snapToGrid w:val="0"/>
                <w:highlight w:val="none"/>
                <w:lang w:val="en-US" w:eastAsia="zh-CN"/>
              </w:rPr>
            </w:pPr>
            <w:r>
              <w:rPr>
                <w:rFonts w:hint="eastAsia"/>
                <w:snapToGrid w:val="0"/>
                <w:highlight w:val="none"/>
              </w:rPr>
              <w:t>/</w:t>
            </w:r>
          </w:p>
        </w:tc>
        <w:tc>
          <w:tcPr>
            <w:tcW w:w="665" w:type="dxa"/>
            <w:shd w:val="clear" w:color="auto" w:fill="auto"/>
            <w:vAlign w:val="center"/>
          </w:tcPr>
          <w:p w14:paraId="381A8367">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0"/>
                <w:sz w:val="21"/>
                <w:szCs w:val="24"/>
                <w:highlight w:val="none"/>
                <w:lang w:val="en-US" w:eastAsia="zh-CN" w:bidi="ar-SA"/>
              </w:rPr>
            </w:pPr>
            <w:r>
              <w:rPr>
                <w:rFonts w:hint="eastAsia"/>
                <w:snapToGrid w:val="0"/>
                <w:highlight w:val="none"/>
                <w:lang w:val="en-US" w:eastAsia="zh-CN"/>
              </w:rPr>
              <w:t>0.0009</w:t>
            </w:r>
          </w:p>
        </w:tc>
        <w:tc>
          <w:tcPr>
            <w:tcW w:w="611" w:type="dxa"/>
            <w:vAlign w:val="center"/>
          </w:tcPr>
          <w:p w14:paraId="68A613A1">
            <w:pPr>
              <w:pStyle w:val="8"/>
              <w:suppressLineNumbers w:val="0"/>
              <w:bidi w:val="0"/>
              <w:spacing w:before="0" w:beforeAutospacing="0" w:after="0" w:afterAutospacing="0"/>
              <w:ind w:left="0" w:leftChars="0" w:right="0" w:rightChars="0" w:firstLine="0" w:firstLineChars="0"/>
              <w:rPr>
                <w:rFonts w:hint="default" w:eastAsia="宋体"/>
                <w:snapToGrid w:val="0"/>
                <w:highlight w:val="none"/>
                <w:lang w:val="en-US" w:eastAsia="zh-CN"/>
              </w:rPr>
            </w:pPr>
            <w:r>
              <w:rPr>
                <w:rFonts w:hint="eastAsia"/>
                <w:snapToGrid w:val="0"/>
                <w:highlight w:val="none"/>
              </w:rPr>
              <w:t>/</w:t>
            </w:r>
          </w:p>
        </w:tc>
        <w:tc>
          <w:tcPr>
            <w:tcW w:w="706" w:type="dxa"/>
            <w:vAlign w:val="center"/>
          </w:tcPr>
          <w:p w14:paraId="3C963C02">
            <w:pPr>
              <w:pStyle w:val="8"/>
              <w:suppressLineNumbers w:val="0"/>
              <w:bidi w:val="0"/>
              <w:spacing w:before="0" w:beforeAutospacing="0" w:after="0" w:afterAutospacing="0"/>
              <w:ind w:left="0" w:leftChars="0" w:right="0" w:rightChars="0" w:firstLine="0" w:firstLineChars="0"/>
              <w:rPr>
                <w:rFonts w:hint="default"/>
                <w:snapToGrid w:val="0"/>
                <w:highlight w:val="none"/>
              </w:rPr>
            </w:pPr>
            <w:r>
              <w:rPr>
                <w:rFonts w:hint="eastAsia"/>
                <w:snapToGrid w:val="0"/>
                <w:highlight w:val="none"/>
              </w:rPr>
              <w:t>/</w:t>
            </w:r>
          </w:p>
        </w:tc>
        <w:tc>
          <w:tcPr>
            <w:tcW w:w="711" w:type="dxa"/>
            <w:vAlign w:val="center"/>
          </w:tcPr>
          <w:p w14:paraId="080B4201">
            <w:pPr>
              <w:pStyle w:val="8"/>
              <w:suppressLineNumbers w:val="0"/>
              <w:bidi w:val="0"/>
              <w:spacing w:before="0" w:beforeAutospacing="0" w:after="0" w:afterAutospacing="0"/>
              <w:ind w:left="0" w:leftChars="0" w:right="0" w:rightChars="0" w:firstLine="0" w:firstLineChars="0"/>
              <w:rPr>
                <w:rFonts w:hint="default"/>
                <w:snapToGrid w:val="0"/>
                <w:highlight w:val="none"/>
              </w:rPr>
            </w:pPr>
            <w:r>
              <w:rPr>
                <w:rFonts w:hint="eastAsia"/>
                <w:snapToGrid w:val="0"/>
                <w:highlight w:val="none"/>
              </w:rPr>
              <w:t>/</w:t>
            </w:r>
          </w:p>
        </w:tc>
        <w:tc>
          <w:tcPr>
            <w:tcW w:w="709" w:type="dxa"/>
            <w:vAlign w:val="center"/>
          </w:tcPr>
          <w:p w14:paraId="08386027">
            <w:pPr>
              <w:pStyle w:val="8"/>
              <w:suppressLineNumbers w:val="0"/>
              <w:bidi w:val="0"/>
              <w:spacing w:before="0" w:beforeAutospacing="0" w:after="0" w:afterAutospacing="0"/>
              <w:ind w:left="0" w:leftChars="0" w:right="0" w:rightChars="0" w:firstLine="0" w:firstLineChars="0"/>
              <w:rPr>
                <w:rFonts w:hint="default"/>
                <w:snapToGrid w:val="0"/>
                <w:highlight w:val="none"/>
                <w:lang w:val="en-US" w:eastAsia="zh-CN"/>
              </w:rPr>
            </w:pPr>
            <w:r>
              <w:rPr>
                <w:rFonts w:hint="eastAsia"/>
                <w:snapToGrid w:val="0"/>
                <w:highlight w:val="none"/>
              </w:rPr>
              <w:t>/</w:t>
            </w:r>
          </w:p>
        </w:tc>
        <w:tc>
          <w:tcPr>
            <w:tcW w:w="709" w:type="dxa"/>
            <w:vAlign w:val="center"/>
          </w:tcPr>
          <w:p w14:paraId="51717A7D">
            <w:pPr>
              <w:pStyle w:val="8"/>
              <w:suppressLineNumbers w:val="0"/>
              <w:bidi w:val="0"/>
              <w:spacing w:before="0" w:beforeAutospacing="0" w:after="0" w:afterAutospacing="0"/>
              <w:ind w:left="0" w:leftChars="0" w:right="0" w:rightChars="0" w:firstLine="0" w:firstLineChars="0"/>
              <w:rPr>
                <w:rFonts w:hint="default"/>
                <w:snapToGrid w:val="0"/>
                <w:highlight w:val="none"/>
                <w:lang w:val="en-US" w:eastAsia="zh-CN"/>
              </w:rPr>
            </w:pPr>
            <w:r>
              <w:rPr>
                <w:rFonts w:hint="eastAsia"/>
                <w:snapToGrid w:val="0"/>
                <w:highlight w:val="none"/>
              </w:rPr>
              <w:t>/</w:t>
            </w:r>
          </w:p>
        </w:tc>
        <w:tc>
          <w:tcPr>
            <w:tcW w:w="634" w:type="dxa"/>
            <w:vAlign w:val="center"/>
          </w:tcPr>
          <w:p w14:paraId="74243098">
            <w:pPr>
              <w:pStyle w:val="8"/>
              <w:suppressLineNumbers w:val="0"/>
              <w:bidi w:val="0"/>
              <w:spacing w:before="0" w:beforeAutospacing="0" w:after="0" w:afterAutospacing="0"/>
              <w:ind w:left="0" w:leftChars="0" w:right="0" w:rightChars="0" w:firstLine="0" w:firstLineChars="0"/>
              <w:rPr>
                <w:rFonts w:hint="default"/>
                <w:snapToGrid w:val="0"/>
                <w:highlight w:val="none"/>
                <w:lang w:val="en-US" w:eastAsia="zh-CN"/>
              </w:rPr>
            </w:pPr>
            <w:r>
              <w:rPr>
                <w:rFonts w:hint="eastAsia"/>
                <w:snapToGrid w:val="0"/>
                <w:highlight w:val="none"/>
                <w:lang w:val="en-US" w:eastAsia="zh-CN"/>
              </w:rPr>
              <w:t>/</w:t>
            </w:r>
          </w:p>
        </w:tc>
        <w:tc>
          <w:tcPr>
            <w:tcW w:w="585" w:type="dxa"/>
            <w:vAlign w:val="center"/>
          </w:tcPr>
          <w:p w14:paraId="6DA140A4">
            <w:pPr>
              <w:pStyle w:val="8"/>
              <w:suppressLineNumbers w:val="0"/>
              <w:bidi w:val="0"/>
              <w:spacing w:before="0" w:beforeAutospacing="0" w:after="0" w:afterAutospacing="0"/>
              <w:ind w:left="0" w:leftChars="0" w:right="0" w:rightChars="0" w:firstLine="0" w:firstLineChars="0"/>
              <w:rPr>
                <w:rFonts w:hint="default"/>
                <w:snapToGrid w:val="0"/>
                <w:highlight w:val="none"/>
                <w:lang w:val="en-US" w:eastAsia="zh-CN"/>
              </w:rPr>
            </w:pPr>
            <w:r>
              <w:rPr>
                <w:rFonts w:hint="eastAsia"/>
                <w:snapToGrid w:val="0"/>
                <w:highlight w:val="none"/>
                <w:lang w:val="en-US" w:eastAsia="zh-CN"/>
              </w:rPr>
              <w:t>/</w:t>
            </w:r>
          </w:p>
        </w:tc>
        <w:tc>
          <w:tcPr>
            <w:tcW w:w="624" w:type="dxa"/>
            <w:vAlign w:val="center"/>
          </w:tcPr>
          <w:p w14:paraId="24EB4AD7">
            <w:pPr>
              <w:pStyle w:val="8"/>
              <w:suppressLineNumbers w:val="0"/>
              <w:bidi w:val="0"/>
              <w:spacing w:before="0" w:beforeAutospacing="0" w:after="0" w:afterAutospacing="0"/>
              <w:ind w:left="0" w:leftChars="0" w:right="0" w:rightChars="0" w:firstLine="0" w:firstLineChars="0"/>
              <w:rPr>
                <w:rFonts w:hint="default"/>
                <w:snapToGrid w:val="0"/>
                <w:highlight w:val="none"/>
                <w:lang w:val="en-US" w:eastAsia="zh-CN"/>
              </w:rPr>
            </w:pPr>
            <w:r>
              <w:rPr>
                <w:rFonts w:hint="eastAsia"/>
                <w:snapToGrid w:val="0"/>
                <w:highlight w:val="none"/>
                <w:lang w:val="en-US" w:eastAsia="zh-CN"/>
              </w:rPr>
              <w:t>0.0009</w:t>
            </w:r>
          </w:p>
        </w:tc>
        <w:tc>
          <w:tcPr>
            <w:tcW w:w="567" w:type="dxa"/>
            <w:vAlign w:val="center"/>
          </w:tcPr>
          <w:p w14:paraId="059FF0D9">
            <w:pPr>
              <w:pStyle w:val="8"/>
              <w:suppressLineNumbers w:val="0"/>
              <w:bidi w:val="0"/>
              <w:spacing w:before="0" w:beforeAutospacing="0" w:after="0" w:afterAutospacing="0"/>
              <w:ind w:left="0" w:leftChars="0" w:right="0" w:rightChars="0" w:firstLine="0" w:firstLineChars="0"/>
              <w:rPr>
                <w:rFonts w:hint="default" w:eastAsia="宋体"/>
                <w:snapToGrid w:val="0"/>
                <w:highlight w:val="none"/>
                <w:lang w:val="en-US" w:eastAsia="zh-CN"/>
              </w:rPr>
            </w:pPr>
            <w:r>
              <w:rPr>
                <w:rFonts w:hint="eastAsia"/>
                <w:snapToGrid w:val="0"/>
                <w:highlight w:val="none"/>
                <w:lang w:val="en-US" w:eastAsia="zh-CN"/>
              </w:rPr>
              <w:t>0.008</w:t>
            </w:r>
          </w:p>
        </w:tc>
        <w:tc>
          <w:tcPr>
            <w:tcW w:w="708" w:type="dxa"/>
            <w:vMerge w:val="restart"/>
            <w:vAlign w:val="center"/>
          </w:tcPr>
          <w:p w14:paraId="3ED8678C">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8760</w:t>
            </w:r>
          </w:p>
        </w:tc>
        <w:tc>
          <w:tcPr>
            <w:tcW w:w="709" w:type="dxa"/>
            <w:vAlign w:val="center"/>
          </w:tcPr>
          <w:p w14:paraId="091EC149">
            <w:pPr>
              <w:pStyle w:val="8"/>
              <w:suppressLineNumbers w:val="0"/>
              <w:bidi w:val="0"/>
              <w:spacing w:before="0" w:beforeAutospacing="0" w:after="0" w:afterAutospacing="0"/>
              <w:ind w:left="0" w:leftChars="0" w:right="0" w:rightChars="0" w:firstLine="0" w:firstLineChars="0"/>
              <w:rPr>
                <w:rFonts w:hint="default"/>
                <w:snapToGrid w:val="0"/>
                <w:highlight w:val="none"/>
              </w:rPr>
            </w:pPr>
            <w:r>
              <w:rPr>
                <w:rFonts w:hint="eastAsia"/>
                <w:snapToGrid w:val="0"/>
                <w:highlight w:val="none"/>
              </w:rPr>
              <w:t>/</w:t>
            </w:r>
          </w:p>
        </w:tc>
        <w:tc>
          <w:tcPr>
            <w:tcW w:w="572" w:type="dxa"/>
            <w:vAlign w:val="center"/>
          </w:tcPr>
          <w:p w14:paraId="494DF290">
            <w:pPr>
              <w:pStyle w:val="8"/>
              <w:suppressLineNumbers w:val="0"/>
              <w:bidi w:val="0"/>
              <w:spacing w:before="0" w:beforeAutospacing="0" w:after="0" w:afterAutospacing="0"/>
              <w:ind w:left="0" w:leftChars="0" w:right="0" w:rightChars="0" w:firstLine="0" w:firstLineChars="0"/>
              <w:rPr>
                <w:rFonts w:hint="default"/>
                <w:snapToGrid w:val="0"/>
                <w:highlight w:val="none"/>
              </w:rPr>
            </w:pPr>
            <w:r>
              <w:rPr>
                <w:rFonts w:hint="eastAsia"/>
                <w:snapToGrid w:val="0"/>
                <w:highlight w:val="none"/>
              </w:rPr>
              <w:t>/</w:t>
            </w:r>
          </w:p>
        </w:tc>
        <w:tc>
          <w:tcPr>
            <w:tcW w:w="660" w:type="dxa"/>
            <w:vAlign w:val="center"/>
          </w:tcPr>
          <w:p w14:paraId="1935F765">
            <w:pPr>
              <w:pStyle w:val="8"/>
              <w:suppressLineNumbers w:val="0"/>
              <w:bidi w:val="0"/>
              <w:spacing w:before="0" w:beforeAutospacing="0" w:after="0" w:afterAutospacing="0"/>
              <w:ind w:left="0" w:leftChars="0" w:right="0" w:rightChars="0" w:firstLine="0" w:firstLineChars="0"/>
              <w:rPr>
                <w:rFonts w:hint="eastAsia"/>
                <w:snapToGrid w:val="0"/>
                <w:highlight w:val="none"/>
                <w:lang w:eastAsia="zh-CN"/>
              </w:rPr>
            </w:pPr>
            <w:r>
              <w:rPr>
                <w:rFonts w:hint="eastAsia"/>
                <w:snapToGrid w:val="0"/>
                <w:highlight w:val="none"/>
              </w:rPr>
              <w:t>/</w:t>
            </w:r>
          </w:p>
        </w:tc>
        <w:tc>
          <w:tcPr>
            <w:tcW w:w="715" w:type="dxa"/>
            <w:vAlign w:val="center"/>
          </w:tcPr>
          <w:p w14:paraId="0423D6E1">
            <w:pPr>
              <w:pStyle w:val="8"/>
              <w:suppressLineNumbers w:val="0"/>
              <w:bidi w:val="0"/>
              <w:spacing w:before="0" w:beforeAutospacing="0" w:after="0" w:afterAutospacing="0"/>
              <w:ind w:left="0" w:leftChars="0" w:right="0" w:rightChars="0" w:firstLine="0" w:firstLineChars="0"/>
              <w:rPr>
                <w:rFonts w:hint="default"/>
                <w:snapToGrid w:val="0"/>
                <w:highlight w:val="none"/>
              </w:rPr>
            </w:pPr>
            <w:r>
              <w:rPr>
                <w:rFonts w:hint="eastAsia"/>
                <w:snapToGrid w:val="0"/>
                <w:highlight w:val="none"/>
              </w:rPr>
              <w:t>/</w:t>
            </w:r>
          </w:p>
        </w:tc>
      </w:tr>
      <w:tr w14:paraId="745505C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46" w:hRule="atLeast"/>
          <w:jc w:val="center"/>
        </w:trPr>
        <w:tc>
          <w:tcPr>
            <w:tcW w:w="853" w:type="dxa"/>
            <w:vAlign w:val="center"/>
          </w:tcPr>
          <w:p w14:paraId="19EE709D">
            <w:pPr>
              <w:pStyle w:val="8"/>
              <w:suppressLineNumbers w:val="0"/>
              <w:bidi w:val="0"/>
              <w:spacing w:before="0" w:beforeAutospacing="0" w:after="0" w:afterAutospacing="0"/>
              <w:ind w:left="0" w:right="0"/>
              <w:rPr>
                <w:rFonts w:hint="eastAsia"/>
                <w:snapToGrid w:val="0"/>
                <w:highlight w:val="none"/>
                <w:lang w:val="en-US" w:eastAsia="zh-CN"/>
              </w:rPr>
            </w:pPr>
            <w:r>
              <w:rPr>
                <w:rFonts w:hint="eastAsia"/>
                <w:snapToGrid w:val="0"/>
                <w:highlight w:val="none"/>
                <w:lang w:val="en-US" w:eastAsia="zh-CN"/>
              </w:rPr>
              <w:t>危险废物贮存</w:t>
            </w:r>
          </w:p>
        </w:tc>
        <w:tc>
          <w:tcPr>
            <w:tcW w:w="584" w:type="dxa"/>
            <w:vMerge w:val="continue"/>
            <w:vAlign w:val="center"/>
          </w:tcPr>
          <w:p w14:paraId="2B1AD309">
            <w:pPr>
              <w:pStyle w:val="8"/>
              <w:suppressLineNumbers w:val="0"/>
              <w:bidi w:val="0"/>
              <w:spacing w:before="0" w:beforeAutospacing="0" w:after="0" w:afterAutospacing="0"/>
              <w:ind w:left="0" w:right="0"/>
              <w:rPr>
                <w:rFonts w:hint="default"/>
                <w:snapToGrid w:val="0"/>
                <w:highlight w:val="none"/>
              </w:rPr>
            </w:pPr>
          </w:p>
        </w:tc>
        <w:tc>
          <w:tcPr>
            <w:tcW w:w="527" w:type="dxa"/>
            <w:vMerge w:val="continue"/>
            <w:vAlign w:val="center"/>
          </w:tcPr>
          <w:p w14:paraId="48148879">
            <w:pPr>
              <w:pStyle w:val="8"/>
              <w:suppressLineNumbers w:val="0"/>
              <w:bidi w:val="0"/>
              <w:spacing w:before="0" w:beforeAutospacing="0" w:after="0" w:afterAutospacing="0"/>
              <w:ind w:left="0" w:right="0"/>
              <w:rPr>
                <w:rFonts w:hint="default"/>
                <w:snapToGrid w:val="0"/>
                <w:highlight w:val="none"/>
              </w:rPr>
            </w:pPr>
          </w:p>
        </w:tc>
        <w:tc>
          <w:tcPr>
            <w:tcW w:w="727" w:type="dxa"/>
            <w:vMerge w:val="continue"/>
            <w:vAlign w:val="center"/>
          </w:tcPr>
          <w:p w14:paraId="337F9C92">
            <w:pPr>
              <w:pStyle w:val="8"/>
              <w:suppressLineNumbers w:val="0"/>
              <w:bidi w:val="0"/>
              <w:spacing w:before="0" w:beforeAutospacing="0" w:after="0" w:afterAutospacing="0"/>
              <w:ind w:left="0" w:right="0"/>
              <w:rPr>
                <w:rFonts w:hint="eastAsia"/>
                <w:snapToGrid w:val="0"/>
                <w:highlight w:val="none"/>
                <w:lang w:val="en-US" w:eastAsia="zh-CN"/>
              </w:rPr>
            </w:pPr>
          </w:p>
        </w:tc>
        <w:tc>
          <w:tcPr>
            <w:tcW w:w="679" w:type="dxa"/>
            <w:vAlign w:val="center"/>
          </w:tcPr>
          <w:p w14:paraId="24A7B7F6">
            <w:pPr>
              <w:pStyle w:val="8"/>
              <w:suppressLineNumbers w:val="0"/>
              <w:bidi w:val="0"/>
              <w:spacing w:before="0" w:beforeAutospacing="0" w:after="0" w:afterAutospacing="0"/>
              <w:ind w:left="0" w:leftChars="0" w:right="0" w:rightChars="0" w:firstLine="0" w:firstLineChars="0"/>
              <w:rPr>
                <w:rFonts w:hint="eastAsia" w:eastAsia="宋体"/>
                <w:snapToGrid w:val="0"/>
                <w:highlight w:val="none"/>
                <w:lang w:val="en-US" w:eastAsia="zh-CN"/>
              </w:rPr>
            </w:pPr>
            <w:r>
              <w:rPr>
                <w:rFonts w:hint="eastAsia"/>
                <w:snapToGrid w:val="0"/>
                <w:highlight w:val="none"/>
              </w:rPr>
              <w:t>/</w:t>
            </w:r>
          </w:p>
        </w:tc>
        <w:tc>
          <w:tcPr>
            <w:tcW w:w="720" w:type="dxa"/>
            <w:vAlign w:val="center"/>
          </w:tcPr>
          <w:p w14:paraId="110070A6">
            <w:pPr>
              <w:pStyle w:val="8"/>
              <w:suppressLineNumbers w:val="0"/>
              <w:bidi w:val="0"/>
              <w:spacing w:before="0" w:beforeAutospacing="0" w:after="0" w:afterAutospacing="0"/>
              <w:ind w:left="0" w:leftChars="0" w:right="0" w:rightChars="0" w:firstLine="0" w:firstLineChars="0"/>
              <w:rPr>
                <w:rFonts w:hint="eastAsia"/>
                <w:snapToGrid w:val="0"/>
                <w:highlight w:val="none"/>
              </w:rPr>
            </w:pPr>
            <w:r>
              <w:rPr>
                <w:rFonts w:hint="eastAsia"/>
                <w:snapToGrid w:val="0"/>
                <w:highlight w:val="none"/>
              </w:rPr>
              <w:t>/</w:t>
            </w:r>
          </w:p>
        </w:tc>
        <w:tc>
          <w:tcPr>
            <w:tcW w:w="665" w:type="dxa"/>
            <w:shd w:val="clear" w:color="auto" w:fill="auto"/>
            <w:vAlign w:val="center"/>
          </w:tcPr>
          <w:p w14:paraId="578EECF6">
            <w:pPr>
              <w:pStyle w:val="8"/>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0"/>
                <w:sz w:val="21"/>
                <w:szCs w:val="24"/>
                <w:highlight w:val="none"/>
                <w:lang w:val="en-US" w:eastAsia="zh-CN" w:bidi="ar-SA"/>
              </w:rPr>
            </w:pPr>
            <w:r>
              <w:rPr>
                <w:rFonts w:hint="eastAsia"/>
                <w:snapToGrid w:val="0"/>
                <w:highlight w:val="none"/>
                <w:lang w:val="en-US" w:eastAsia="zh-CN"/>
              </w:rPr>
              <w:t>0.003</w:t>
            </w:r>
          </w:p>
        </w:tc>
        <w:tc>
          <w:tcPr>
            <w:tcW w:w="611" w:type="dxa"/>
            <w:vAlign w:val="center"/>
          </w:tcPr>
          <w:p w14:paraId="435071F4">
            <w:pPr>
              <w:pStyle w:val="8"/>
              <w:suppressLineNumbers w:val="0"/>
              <w:bidi w:val="0"/>
              <w:spacing w:before="0" w:beforeAutospacing="0" w:after="0" w:afterAutospacing="0"/>
              <w:ind w:left="0" w:leftChars="0" w:right="0" w:rightChars="0" w:firstLine="0" w:firstLineChars="0"/>
              <w:rPr>
                <w:rFonts w:hint="eastAsia"/>
                <w:snapToGrid w:val="0"/>
                <w:highlight w:val="none"/>
              </w:rPr>
            </w:pPr>
            <w:r>
              <w:rPr>
                <w:rFonts w:hint="eastAsia"/>
                <w:snapToGrid w:val="0"/>
                <w:highlight w:val="none"/>
              </w:rPr>
              <w:t>/</w:t>
            </w:r>
          </w:p>
        </w:tc>
        <w:tc>
          <w:tcPr>
            <w:tcW w:w="706" w:type="dxa"/>
            <w:vAlign w:val="center"/>
          </w:tcPr>
          <w:p w14:paraId="01D20E07">
            <w:pPr>
              <w:pStyle w:val="8"/>
              <w:suppressLineNumbers w:val="0"/>
              <w:bidi w:val="0"/>
              <w:spacing w:before="0" w:beforeAutospacing="0" w:after="0" w:afterAutospacing="0"/>
              <w:ind w:left="0" w:leftChars="0" w:right="0" w:rightChars="0" w:firstLine="0" w:firstLineChars="0"/>
              <w:rPr>
                <w:rFonts w:hint="eastAsia"/>
                <w:snapToGrid w:val="0"/>
                <w:highlight w:val="none"/>
              </w:rPr>
            </w:pPr>
            <w:r>
              <w:rPr>
                <w:rFonts w:hint="eastAsia"/>
                <w:snapToGrid w:val="0"/>
                <w:highlight w:val="none"/>
              </w:rPr>
              <w:t>/</w:t>
            </w:r>
          </w:p>
        </w:tc>
        <w:tc>
          <w:tcPr>
            <w:tcW w:w="711" w:type="dxa"/>
            <w:vAlign w:val="center"/>
          </w:tcPr>
          <w:p w14:paraId="1F5C1B69">
            <w:pPr>
              <w:pStyle w:val="8"/>
              <w:suppressLineNumbers w:val="0"/>
              <w:bidi w:val="0"/>
              <w:spacing w:before="0" w:beforeAutospacing="0" w:after="0" w:afterAutospacing="0"/>
              <w:ind w:left="0" w:leftChars="0" w:right="0" w:rightChars="0" w:firstLine="0" w:firstLineChars="0"/>
              <w:rPr>
                <w:rFonts w:hint="eastAsia"/>
                <w:snapToGrid w:val="0"/>
                <w:highlight w:val="none"/>
              </w:rPr>
            </w:pPr>
            <w:r>
              <w:rPr>
                <w:rFonts w:hint="eastAsia"/>
                <w:snapToGrid w:val="0"/>
                <w:highlight w:val="none"/>
              </w:rPr>
              <w:t>/</w:t>
            </w:r>
          </w:p>
        </w:tc>
        <w:tc>
          <w:tcPr>
            <w:tcW w:w="709" w:type="dxa"/>
            <w:vAlign w:val="center"/>
          </w:tcPr>
          <w:p w14:paraId="7253C1E8">
            <w:pPr>
              <w:pStyle w:val="8"/>
              <w:suppressLineNumbers w:val="0"/>
              <w:bidi w:val="0"/>
              <w:spacing w:before="0" w:beforeAutospacing="0" w:after="0" w:afterAutospacing="0"/>
              <w:ind w:left="0" w:leftChars="0" w:right="0" w:rightChars="0" w:firstLine="0" w:firstLineChars="0"/>
              <w:rPr>
                <w:rFonts w:hint="eastAsia"/>
                <w:snapToGrid w:val="0"/>
                <w:highlight w:val="none"/>
              </w:rPr>
            </w:pPr>
            <w:r>
              <w:rPr>
                <w:rFonts w:hint="eastAsia"/>
                <w:snapToGrid w:val="0"/>
                <w:highlight w:val="none"/>
              </w:rPr>
              <w:t>/</w:t>
            </w:r>
          </w:p>
        </w:tc>
        <w:tc>
          <w:tcPr>
            <w:tcW w:w="709" w:type="dxa"/>
            <w:vAlign w:val="center"/>
          </w:tcPr>
          <w:p w14:paraId="660B3A85">
            <w:pPr>
              <w:pStyle w:val="8"/>
              <w:suppressLineNumbers w:val="0"/>
              <w:bidi w:val="0"/>
              <w:spacing w:before="0" w:beforeAutospacing="0" w:after="0" w:afterAutospacing="0"/>
              <w:ind w:left="0" w:leftChars="0" w:right="0" w:rightChars="0" w:firstLine="0" w:firstLineChars="0"/>
              <w:rPr>
                <w:rFonts w:hint="eastAsia"/>
                <w:snapToGrid w:val="0"/>
                <w:highlight w:val="none"/>
              </w:rPr>
            </w:pPr>
            <w:r>
              <w:rPr>
                <w:rFonts w:hint="eastAsia"/>
                <w:snapToGrid w:val="0"/>
                <w:highlight w:val="none"/>
              </w:rPr>
              <w:t>/</w:t>
            </w:r>
          </w:p>
        </w:tc>
        <w:tc>
          <w:tcPr>
            <w:tcW w:w="634" w:type="dxa"/>
            <w:vAlign w:val="center"/>
          </w:tcPr>
          <w:p w14:paraId="70870EAB">
            <w:pPr>
              <w:pStyle w:val="8"/>
              <w:suppressLineNumbers w:val="0"/>
              <w:bidi w:val="0"/>
              <w:spacing w:before="0" w:beforeAutospacing="0" w:after="0" w:afterAutospacing="0"/>
              <w:ind w:left="0" w:leftChars="0" w:right="0" w:rightChars="0" w:firstLine="0" w:firstLineChars="0"/>
              <w:rPr>
                <w:rFonts w:hint="eastAsia"/>
                <w:snapToGrid w:val="0"/>
                <w:highlight w:val="none"/>
                <w:lang w:val="en-US" w:eastAsia="zh-CN"/>
              </w:rPr>
            </w:pPr>
            <w:r>
              <w:rPr>
                <w:rFonts w:hint="eastAsia"/>
                <w:snapToGrid w:val="0"/>
                <w:highlight w:val="none"/>
                <w:lang w:val="en-US" w:eastAsia="zh-CN"/>
              </w:rPr>
              <w:t>/</w:t>
            </w:r>
          </w:p>
        </w:tc>
        <w:tc>
          <w:tcPr>
            <w:tcW w:w="585" w:type="dxa"/>
            <w:vAlign w:val="center"/>
          </w:tcPr>
          <w:p w14:paraId="294F5EE0">
            <w:pPr>
              <w:pStyle w:val="8"/>
              <w:suppressLineNumbers w:val="0"/>
              <w:bidi w:val="0"/>
              <w:spacing w:before="0" w:beforeAutospacing="0" w:after="0" w:afterAutospacing="0"/>
              <w:ind w:left="0" w:leftChars="0" w:right="0" w:rightChars="0" w:firstLine="0" w:firstLineChars="0"/>
              <w:rPr>
                <w:rFonts w:hint="eastAsia"/>
                <w:snapToGrid w:val="0"/>
                <w:highlight w:val="none"/>
                <w:lang w:val="en-US" w:eastAsia="zh-CN"/>
              </w:rPr>
            </w:pPr>
            <w:r>
              <w:rPr>
                <w:rFonts w:hint="eastAsia"/>
                <w:snapToGrid w:val="0"/>
                <w:highlight w:val="none"/>
                <w:lang w:val="en-US" w:eastAsia="zh-CN"/>
              </w:rPr>
              <w:t>/</w:t>
            </w:r>
          </w:p>
        </w:tc>
        <w:tc>
          <w:tcPr>
            <w:tcW w:w="624" w:type="dxa"/>
            <w:vAlign w:val="center"/>
          </w:tcPr>
          <w:p w14:paraId="33E92199">
            <w:pPr>
              <w:pStyle w:val="8"/>
              <w:suppressLineNumbers w:val="0"/>
              <w:bidi w:val="0"/>
              <w:spacing w:before="0" w:beforeAutospacing="0" w:after="0" w:afterAutospacing="0"/>
              <w:ind w:left="0" w:leftChars="0" w:right="0" w:rightChars="0" w:firstLine="0" w:firstLineChars="0"/>
              <w:rPr>
                <w:rFonts w:hint="default"/>
                <w:snapToGrid w:val="0"/>
                <w:highlight w:val="none"/>
                <w:lang w:val="en-US" w:eastAsia="zh-CN"/>
              </w:rPr>
            </w:pPr>
            <w:r>
              <w:rPr>
                <w:rFonts w:hint="eastAsia"/>
                <w:snapToGrid w:val="0"/>
                <w:highlight w:val="none"/>
                <w:lang w:val="en-US" w:eastAsia="zh-CN"/>
              </w:rPr>
              <w:t>0.003</w:t>
            </w:r>
          </w:p>
        </w:tc>
        <w:tc>
          <w:tcPr>
            <w:tcW w:w="567" w:type="dxa"/>
            <w:vAlign w:val="center"/>
          </w:tcPr>
          <w:p w14:paraId="76D7A5E9">
            <w:pPr>
              <w:pStyle w:val="8"/>
              <w:suppressLineNumbers w:val="0"/>
              <w:bidi w:val="0"/>
              <w:spacing w:before="0" w:beforeAutospacing="0" w:after="0" w:afterAutospacing="0"/>
              <w:ind w:left="0" w:leftChars="0" w:right="0" w:rightChars="0" w:firstLine="0" w:firstLineChars="0"/>
              <w:rPr>
                <w:rFonts w:hint="default" w:eastAsia="宋体"/>
                <w:snapToGrid w:val="0"/>
                <w:highlight w:val="none"/>
                <w:lang w:val="en-US" w:eastAsia="zh-CN"/>
              </w:rPr>
            </w:pPr>
            <w:r>
              <w:rPr>
                <w:rFonts w:hint="eastAsia"/>
                <w:snapToGrid w:val="0"/>
                <w:highlight w:val="none"/>
                <w:lang w:val="en-US" w:eastAsia="zh-CN"/>
              </w:rPr>
              <w:t>0.02</w:t>
            </w:r>
          </w:p>
        </w:tc>
        <w:tc>
          <w:tcPr>
            <w:tcW w:w="708" w:type="dxa"/>
            <w:vMerge w:val="continue"/>
            <w:vAlign w:val="center"/>
          </w:tcPr>
          <w:p w14:paraId="331422B7">
            <w:pPr>
              <w:pStyle w:val="8"/>
              <w:suppressLineNumbers w:val="0"/>
              <w:bidi w:val="0"/>
              <w:spacing w:before="0" w:beforeAutospacing="0" w:after="0" w:afterAutospacing="0"/>
              <w:ind w:left="0" w:right="0"/>
              <w:rPr>
                <w:rFonts w:hint="eastAsia"/>
                <w:snapToGrid w:val="0"/>
                <w:highlight w:val="none"/>
                <w:lang w:val="en-US" w:eastAsia="zh-CN"/>
              </w:rPr>
            </w:pPr>
          </w:p>
        </w:tc>
        <w:tc>
          <w:tcPr>
            <w:tcW w:w="709" w:type="dxa"/>
            <w:vAlign w:val="center"/>
          </w:tcPr>
          <w:p w14:paraId="23270B01">
            <w:pPr>
              <w:pStyle w:val="8"/>
              <w:suppressLineNumbers w:val="0"/>
              <w:bidi w:val="0"/>
              <w:spacing w:before="0" w:beforeAutospacing="0" w:after="0" w:afterAutospacing="0"/>
              <w:ind w:left="0" w:leftChars="0" w:right="0" w:rightChars="0" w:firstLine="0" w:firstLineChars="0"/>
              <w:rPr>
                <w:rFonts w:hint="eastAsia"/>
                <w:snapToGrid w:val="0"/>
                <w:highlight w:val="none"/>
              </w:rPr>
            </w:pPr>
            <w:r>
              <w:rPr>
                <w:rFonts w:hint="eastAsia"/>
                <w:snapToGrid w:val="0"/>
                <w:highlight w:val="none"/>
              </w:rPr>
              <w:t>/</w:t>
            </w:r>
          </w:p>
        </w:tc>
        <w:tc>
          <w:tcPr>
            <w:tcW w:w="572" w:type="dxa"/>
            <w:vAlign w:val="center"/>
          </w:tcPr>
          <w:p w14:paraId="3C7E8387">
            <w:pPr>
              <w:pStyle w:val="8"/>
              <w:suppressLineNumbers w:val="0"/>
              <w:bidi w:val="0"/>
              <w:spacing w:before="0" w:beforeAutospacing="0" w:after="0" w:afterAutospacing="0"/>
              <w:ind w:left="0" w:leftChars="0" w:right="0" w:rightChars="0" w:firstLine="0" w:firstLineChars="0"/>
              <w:rPr>
                <w:rFonts w:hint="eastAsia"/>
                <w:snapToGrid w:val="0"/>
                <w:highlight w:val="none"/>
              </w:rPr>
            </w:pPr>
            <w:r>
              <w:rPr>
                <w:rFonts w:hint="eastAsia"/>
                <w:snapToGrid w:val="0"/>
                <w:highlight w:val="none"/>
              </w:rPr>
              <w:t>/</w:t>
            </w:r>
          </w:p>
        </w:tc>
        <w:tc>
          <w:tcPr>
            <w:tcW w:w="660" w:type="dxa"/>
            <w:vAlign w:val="center"/>
          </w:tcPr>
          <w:p w14:paraId="585C010B">
            <w:pPr>
              <w:pStyle w:val="8"/>
              <w:suppressLineNumbers w:val="0"/>
              <w:bidi w:val="0"/>
              <w:spacing w:before="0" w:beforeAutospacing="0" w:after="0" w:afterAutospacing="0"/>
              <w:ind w:left="0" w:leftChars="0" w:right="0" w:rightChars="0" w:firstLine="0" w:firstLineChars="0"/>
              <w:rPr>
                <w:rFonts w:hint="eastAsia"/>
                <w:snapToGrid w:val="0"/>
                <w:highlight w:val="none"/>
              </w:rPr>
            </w:pPr>
            <w:r>
              <w:rPr>
                <w:rFonts w:hint="eastAsia"/>
                <w:snapToGrid w:val="0"/>
                <w:highlight w:val="none"/>
              </w:rPr>
              <w:t>/</w:t>
            </w:r>
          </w:p>
        </w:tc>
        <w:tc>
          <w:tcPr>
            <w:tcW w:w="715" w:type="dxa"/>
            <w:vAlign w:val="center"/>
          </w:tcPr>
          <w:p w14:paraId="178CFC58">
            <w:pPr>
              <w:pStyle w:val="8"/>
              <w:suppressLineNumbers w:val="0"/>
              <w:bidi w:val="0"/>
              <w:spacing w:before="0" w:beforeAutospacing="0" w:after="0" w:afterAutospacing="0"/>
              <w:ind w:left="0" w:leftChars="0" w:right="0" w:rightChars="0" w:firstLine="0" w:firstLineChars="0"/>
              <w:rPr>
                <w:rFonts w:hint="eastAsia"/>
                <w:snapToGrid w:val="0"/>
                <w:highlight w:val="none"/>
              </w:rPr>
            </w:pPr>
            <w:r>
              <w:rPr>
                <w:rFonts w:hint="eastAsia"/>
                <w:snapToGrid w:val="0"/>
                <w:highlight w:val="none"/>
              </w:rPr>
              <w:t>/</w:t>
            </w:r>
          </w:p>
        </w:tc>
      </w:tr>
      <w:tr w14:paraId="6E96185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46" w:hRule="atLeast"/>
          <w:jc w:val="center"/>
        </w:trPr>
        <w:tc>
          <w:tcPr>
            <w:tcW w:w="853" w:type="dxa"/>
            <w:vAlign w:val="center"/>
          </w:tcPr>
          <w:p w14:paraId="34EA1C1D">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破碎、甩干</w:t>
            </w:r>
          </w:p>
        </w:tc>
        <w:tc>
          <w:tcPr>
            <w:tcW w:w="584" w:type="dxa"/>
            <w:vMerge w:val="continue"/>
            <w:vAlign w:val="center"/>
          </w:tcPr>
          <w:p w14:paraId="710082CD">
            <w:pPr>
              <w:pStyle w:val="8"/>
              <w:suppressLineNumbers w:val="0"/>
              <w:bidi w:val="0"/>
              <w:spacing w:before="0" w:beforeAutospacing="0" w:after="0" w:afterAutospacing="0"/>
              <w:ind w:left="0" w:right="0"/>
              <w:rPr>
                <w:rFonts w:hint="default"/>
                <w:snapToGrid w:val="0"/>
                <w:highlight w:val="none"/>
              </w:rPr>
            </w:pPr>
          </w:p>
        </w:tc>
        <w:tc>
          <w:tcPr>
            <w:tcW w:w="527" w:type="dxa"/>
            <w:vMerge w:val="continue"/>
            <w:vAlign w:val="center"/>
          </w:tcPr>
          <w:p w14:paraId="080D27AD">
            <w:pPr>
              <w:pStyle w:val="8"/>
              <w:suppressLineNumbers w:val="0"/>
              <w:bidi w:val="0"/>
              <w:spacing w:before="0" w:beforeAutospacing="0" w:after="0" w:afterAutospacing="0"/>
              <w:ind w:left="0" w:right="0"/>
              <w:rPr>
                <w:rFonts w:hint="default"/>
                <w:snapToGrid w:val="0"/>
                <w:highlight w:val="none"/>
              </w:rPr>
            </w:pPr>
          </w:p>
        </w:tc>
        <w:tc>
          <w:tcPr>
            <w:tcW w:w="727" w:type="dxa"/>
            <w:vMerge w:val="continue"/>
            <w:vAlign w:val="center"/>
          </w:tcPr>
          <w:p w14:paraId="1745E4B5">
            <w:pPr>
              <w:pStyle w:val="8"/>
              <w:suppressLineNumbers w:val="0"/>
              <w:bidi w:val="0"/>
              <w:spacing w:before="0" w:beforeAutospacing="0" w:after="0" w:afterAutospacing="0"/>
              <w:ind w:left="0" w:right="0"/>
              <w:rPr>
                <w:rFonts w:hint="eastAsia"/>
                <w:snapToGrid w:val="0"/>
                <w:highlight w:val="none"/>
                <w:lang w:val="en-US" w:eastAsia="zh-CN"/>
              </w:rPr>
            </w:pPr>
          </w:p>
        </w:tc>
        <w:tc>
          <w:tcPr>
            <w:tcW w:w="679" w:type="dxa"/>
            <w:vAlign w:val="center"/>
          </w:tcPr>
          <w:p w14:paraId="39FD9BCD">
            <w:pPr>
              <w:pStyle w:val="8"/>
              <w:suppressLineNumbers w:val="0"/>
              <w:bidi w:val="0"/>
              <w:spacing w:before="0" w:beforeAutospacing="0" w:after="0" w:afterAutospacing="0"/>
              <w:ind w:left="0" w:leftChars="0" w:right="0" w:rightChars="0" w:firstLine="0" w:firstLineChars="0"/>
              <w:rPr>
                <w:rFonts w:hint="eastAsia" w:eastAsia="宋体"/>
                <w:snapToGrid w:val="0"/>
                <w:highlight w:val="none"/>
                <w:lang w:val="en-US" w:eastAsia="zh-CN"/>
              </w:rPr>
            </w:pPr>
            <w:r>
              <w:rPr>
                <w:rFonts w:hint="eastAsia"/>
                <w:snapToGrid w:val="0"/>
                <w:highlight w:val="none"/>
              </w:rPr>
              <w:t>/</w:t>
            </w:r>
          </w:p>
        </w:tc>
        <w:tc>
          <w:tcPr>
            <w:tcW w:w="720" w:type="dxa"/>
            <w:vAlign w:val="center"/>
          </w:tcPr>
          <w:p w14:paraId="055B172C">
            <w:pPr>
              <w:pStyle w:val="8"/>
              <w:suppressLineNumbers w:val="0"/>
              <w:bidi w:val="0"/>
              <w:spacing w:before="0" w:beforeAutospacing="0" w:after="0" w:afterAutospacing="0"/>
              <w:ind w:left="0" w:leftChars="0" w:right="0" w:rightChars="0" w:firstLine="0" w:firstLineChars="0"/>
              <w:rPr>
                <w:rFonts w:hint="eastAsia"/>
                <w:snapToGrid w:val="0"/>
                <w:highlight w:val="none"/>
              </w:rPr>
            </w:pPr>
            <w:r>
              <w:rPr>
                <w:rFonts w:hint="eastAsia"/>
                <w:snapToGrid w:val="0"/>
                <w:highlight w:val="none"/>
              </w:rPr>
              <w:t>/</w:t>
            </w:r>
          </w:p>
        </w:tc>
        <w:tc>
          <w:tcPr>
            <w:tcW w:w="665" w:type="dxa"/>
            <w:shd w:val="clear" w:color="auto" w:fill="auto"/>
            <w:vAlign w:val="center"/>
          </w:tcPr>
          <w:p w14:paraId="28B8E112">
            <w:pPr>
              <w:pStyle w:val="8"/>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0"/>
                <w:sz w:val="21"/>
                <w:szCs w:val="24"/>
                <w:highlight w:val="none"/>
                <w:lang w:val="en-US" w:eastAsia="zh-CN" w:bidi="ar-SA"/>
              </w:rPr>
            </w:pPr>
            <w:r>
              <w:rPr>
                <w:rFonts w:hint="eastAsia"/>
                <w:snapToGrid w:val="0"/>
                <w:highlight w:val="none"/>
                <w:lang w:val="en-US" w:eastAsia="zh-CN"/>
              </w:rPr>
              <w:t>0.25</w:t>
            </w:r>
          </w:p>
        </w:tc>
        <w:tc>
          <w:tcPr>
            <w:tcW w:w="611" w:type="dxa"/>
            <w:vAlign w:val="center"/>
          </w:tcPr>
          <w:p w14:paraId="129A2430">
            <w:pPr>
              <w:pStyle w:val="8"/>
              <w:suppressLineNumbers w:val="0"/>
              <w:bidi w:val="0"/>
              <w:spacing w:before="0" w:beforeAutospacing="0" w:after="0" w:afterAutospacing="0"/>
              <w:ind w:left="0" w:leftChars="0" w:right="0" w:rightChars="0" w:firstLine="0" w:firstLineChars="0"/>
              <w:rPr>
                <w:rFonts w:hint="eastAsia"/>
                <w:snapToGrid w:val="0"/>
                <w:highlight w:val="none"/>
              </w:rPr>
            </w:pPr>
            <w:r>
              <w:rPr>
                <w:rFonts w:hint="eastAsia"/>
                <w:snapToGrid w:val="0"/>
                <w:highlight w:val="none"/>
              </w:rPr>
              <w:t>/</w:t>
            </w:r>
          </w:p>
        </w:tc>
        <w:tc>
          <w:tcPr>
            <w:tcW w:w="706" w:type="dxa"/>
            <w:vAlign w:val="center"/>
          </w:tcPr>
          <w:p w14:paraId="3F2903A0">
            <w:pPr>
              <w:pStyle w:val="8"/>
              <w:suppressLineNumbers w:val="0"/>
              <w:bidi w:val="0"/>
              <w:spacing w:before="0" w:beforeAutospacing="0" w:after="0" w:afterAutospacing="0"/>
              <w:ind w:left="0" w:leftChars="0" w:right="0" w:rightChars="0" w:firstLine="0" w:firstLineChars="0"/>
              <w:rPr>
                <w:rFonts w:hint="eastAsia"/>
                <w:snapToGrid w:val="0"/>
                <w:highlight w:val="none"/>
              </w:rPr>
            </w:pPr>
            <w:r>
              <w:rPr>
                <w:rFonts w:hint="eastAsia"/>
                <w:snapToGrid w:val="0"/>
                <w:highlight w:val="none"/>
              </w:rPr>
              <w:t>/</w:t>
            </w:r>
          </w:p>
        </w:tc>
        <w:tc>
          <w:tcPr>
            <w:tcW w:w="711" w:type="dxa"/>
            <w:vAlign w:val="center"/>
          </w:tcPr>
          <w:p w14:paraId="036A7678">
            <w:pPr>
              <w:pStyle w:val="8"/>
              <w:suppressLineNumbers w:val="0"/>
              <w:bidi w:val="0"/>
              <w:spacing w:before="0" w:beforeAutospacing="0" w:after="0" w:afterAutospacing="0"/>
              <w:ind w:left="0" w:leftChars="0" w:right="0" w:rightChars="0" w:firstLine="0" w:firstLineChars="0"/>
              <w:rPr>
                <w:rFonts w:hint="eastAsia"/>
                <w:snapToGrid w:val="0"/>
                <w:highlight w:val="none"/>
              </w:rPr>
            </w:pPr>
            <w:r>
              <w:rPr>
                <w:rFonts w:hint="eastAsia"/>
                <w:snapToGrid w:val="0"/>
                <w:highlight w:val="none"/>
              </w:rPr>
              <w:t>/</w:t>
            </w:r>
          </w:p>
        </w:tc>
        <w:tc>
          <w:tcPr>
            <w:tcW w:w="709" w:type="dxa"/>
            <w:vAlign w:val="center"/>
          </w:tcPr>
          <w:p w14:paraId="3234FFBA">
            <w:pPr>
              <w:pStyle w:val="8"/>
              <w:suppressLineNumbers w:val="0"/>
              <w:bidi w:val="0"/>
              <w:spacing w:before="0" w:beforeAutospacing="0" w:after="0" w:afterAutospacing="0"/>
              <w:ind w:left="0" w:leftChars="0" w:right="0" w:rightChars="0" w:firstLine="0" w:firstLineChars="0"/>
              <w:rPr>
                <w:rFonts w:hint="eastAsia"/>
                <w:snapToGrid w:val="0"/>
                <w:highlight w:val="none"/>
              </w:rPr>
            </w:pPr>
            <w:r>
              <w:rPr>
                <w:rFonts w:hint="eastAsia"/>
                <w:snapToGrid w:val="0"/>
                <w:highlight w:val="none"/>
              </w:rPr>
              <w:t>/</w:t>
            </w:r>
          </w:p>
        </w:tc>
        <w:tc>
          <w:tcPr>
            <w:tcW w:w="709" w:type="dxa"/>
            <w:vAlign w:val="center"/>
          </w:tcPr>
          <w:p w14:paraId="7064DD86">
            <w:pPr>
              <w:pStyle w:val="8"/>
              <w:suppressLineNumbers w:val="0"/>
              <w:bidi w:val="0"/>
              <w:spacing w:before="0" w:beforeAutospacing="0" w:after="0" w:afterAutospacing="0"/>
              <w:ind w:left="0" w:leftChars="0" w:right="0" w:rightChars="0" w:firstLine="0" w:firstLineChars="0"/>
              <w:rPr>
                <w:rFonts w:hint="eastAsia"/>
                <w:snapToGrid w:val="0"/>
                <w:highlight w:val="none"/>
              </w:rPr>
            </w:pPr>
            <w:r>
              <w:rPr>
                <w:rFonts w:hint="eastAsia"/>
                <w:snapToGrid w:val="0"/>
                <w:highlight w:val="none"/>
              </w:rPr>
              <w:t>/</w:t>
            </w:r>
          </w:p>
        </w:tc>
        <w:tc>
          <w:tcPr>
            <w:tcW w:w="634" w:type="dxa"/>
            <w:vAlign w:val="center"/>
          </w:tcPr>
          <w:p w14:paraId="435E41A6">
            <w:pPr>
              <w:pStyle w:val="8"/>
              <w:suppressLineNumbers w:val="0"/>
              <w:bidi w:val="0"/>
              <w:spacing w:before="0" w:beforeAutospacing="0" w:after="0" w:afterAutospacing="0"/>
              <w:ind w:left="0" w:leftChars="0" w:right="0" w:rightChars="0" w:firstLine="0" w:firstLineChars="0"/>
              <w:rPr>
                <w:rFonts w:hint="eastAsia"/>
                <w:snapToGrid w:val="0"/>
                <w:highlight w:val="none"/>
                <w:lang w:val="en-US" w:eastAsia="zh-CN"/>
              </w:rPr>
            </w:pPr>
            <w:r>
              <w:rPr>
                <w:rFonts w:hint="eastAsia"/>
                <w:snapToGrid w:val="0"/>
                <w:highlight w:val="none"/>
                <w:lang w:val="en-US" w:eastAsia="zh-CN"/>
              </w:rPr>
              <w:t>/</w:t>
            </w:r>
          </w:p>
        </w:tc>
        <w:tc>
          <w:tcPr>
            <w:tcW w:w="585" w:type="dxa"/>
            <w:vAlign w:val="center"/>
          </w:tcPr>
          <w:p w14:paraId="34731E43">
            <w:pPr>
              <w:pStyle w:val="8"/>
              <w:suppressLineNumbers w:val="0"/>
              <w:bidi w:val="0"/>
              <w:spacing w:before="0" w:beforeAutospacing="0" w:after="0" w:afterAutospacing="0"/>
              <w:ind w:left="0" w:leftChars="0" w:right="0" w:rightChars="0" w:firstLine="0" w:firstLineChars="0"/>
              <w:rPr>
                <w:rFonts w:hint="eastAsia"/>
                <w:snapToGrid w:val="0"/>
                <w:highlight w:val="none"/>
                <w:lang w:val="en-US" w:eastAsia="zh-CN"/>
              </w:rPr>
            </w:pPr>
            <w:r>
              <w:rPr>
                <w:rFonts w:hint="eastAsia"/>
                <w:snapToGrid w:val="0"/>
                <w:highlight w:val="none"/>
                <w:lang w:val="en-US" w:eastAsia="zh-CN"/>
              </w:rPr>
              <w:t>/</w:t>
            </w:r>
          </w:p>
        </w:tc>
        <w:tc>
          <w:tcPr>
            <w:tcW w:w="624" w:type="dxa"/>
            <w:vAlign w:val="center"/>
          </w:tcPr>
          <w:p w14:paraId="18F55B5C">
            <w:pPr>
              <w:pStyle w:val="8"/>
              <w:suppressLineNumbers w:val="0"/>
              <w:bidi w:val="0"/>
              <w:spacing w:before="0" w:beforeAutospacing="0" w:after="0" w:afterAutospacing="0"/>
              <w:ind w:left="0" w:leftChars="0" w:right="0" w:rightChars="0" w:firstLine="0" w:firstLineChars="0"/>
              <w:rPr>
                <w:rFonts w:hint="default"/>
                <w:snapToGrid w:val="0"/>
                <w:highlight w:val="none"/>
                <w:lang w:val="en-US" w:eastAsia="zh-CN"/>
              </w:rPr>
            </w:pPr>
            <w:r>
              <w:rPr>
                <w:rFonts w:hint="eastAsia"/>
                <w:snapToGrid w:val="0"/>
                <w:highlight w:val="none"/>
                <w:lang w:val="en-US" w:eastAsia="zh-CN"/>
              </w:rPr>
              <w:t>0.25</w:t>
            </w:r>
          </w:p>
        </w:tc>
        <w:tc>
          <w:tcPr>
            <w:tcW w:w="567" w:type="dxa"/>
            <w:vAlign w:val="center"/>
          </w:tcPr>
          <w:p w14:paraId="438C1727">
            <w:pPr>
              <w:pStyle w:val="8"/>
              <w:suppressLineNumbers w:val="0"/>
              <w:bidi w:val="0"/>
              <w:spacing w:before="0" w:beforeAutospacing="0" w:after="0" w:afterAutospacing="0"/>
              <w:ind w:left="0" w:leftChars="0" w:right="0" w:rightChars="0" w:firstLine="0" w:firstLineChars="0"/>
              <w:rPr>
                <w:rFonts w:hint="default" w:eastAsia="宋体"/>
                <w:snapToGrid w:val="0"/>
                <w:highlight w:val="none"/>
                <w:lang w:val="en-US" w:eastAsia="zh-CN"/>
              </w:rPr>
            </w:pPr>
            <w:r>
              <w:rPr>
                <w:rFonts w:hint="eastAsia"/>
                <w:snapToGrid w:val="0"/>
                <w:highlight w:val="none"/>
                <w:lang w:val="en-US" w:eastAsia="zh-CN"/>
              </w:rPr>
              <w:t>0.6</w:t>
            </w:r>
          </w:p>
        </w:tc>
        <w:tc>
          <w:tcPr>
            <w:tcW w:w="708" w:type="dxa"/>
            <w:vAlign w:val="center"/>
          </w:tcPr>
          <w:p w14:paraId="55D11199">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2400</w:t>
            </w:r>
          </w:p>
        </w:tc>
        <w:tc>
          <w:tcPr>
            <w:tcW w:w="709" w:type="dxa"/>
            <w:vAlign w:val="center"/>
          </w:tcPr>
          <w:p w14:paraId="061B2DFE">
            <w:pPr>
              <w:pStyle w:val="8"/>
              <w:suppressLineNumbers w:val="0"/>
              <w:bidi w:val="0"/>
              <w:spacing w:before="0" w:beforeAutospacing="0" w:after="0" w:afterAutospacing="0"/>
              <w:ind w:left="0" w:leftChars="0" w:right="0" w:rightChars="0" w:firstLine="0" w:firstLineChars="0"/>
              <w:rPr>
                <w:rFonts w:hint="eastAsia"/>
                <w:snapToGrid w:val="0"/>
                <w:highlight w:val="none"/>
              </w:rPr>
            </w:pPr>
            <w:r>
              <w:rPr>
                <w:rFonts w:hint="eastAsia"/>
                <w:snapToGrid w:val="0"/>
                <w:highlight w:val="none"/>
              </w:rPr>
              <w:t>/</w:t>
            </w:r>
          </w:p>
        </w:tc>
        <w:tc>
          <w:tcPr>
            <w:tcW w:w="572" w:type="dxa"/>
            <w:vAlign w:val="center"/>
          </w:tcPr>
          <w:p w14:paraId="54B65D48">
            <w:pPr>
              <w:pStyle w:val="8"/>
              <w:suppressLineNumbers w:val="0"/>
              <w:bidi w:val="0"/>
              <w:spacing w:before="0" w:beforeAutospacing="0" w:after="0" w:afterAutospacing="0"/>
              <w:ind w:left="0" w:leftChars="0" w:right="0" w:rightChars="0" w:firstLine="0" w:firstLineChars="0"/>
              <w:rPr>
                <w:rFonts w:hint="eastAsia"/>
                <w:snapToGrid w:val="0"/>
                <w:highlight w:val="none"/>
              </w:rPr>
            </w:pPr>
            <w:r>
              <w:rPr>
                <w:rFonts w:hint="eastAsia"/>
                <w:snapToGrid w:val="0"/>
                <w:highlight w:val="none"/>
              </w:rPr>
              <w:t>/</w:t>
            </w:r>
          </w:p>
        </w:tc>
        <w:tc>
          <w:tcPr>
            <w:tcW w:w="660" w:type="dxa"/>
            <w:vAlign w:val="center"/>
          </w:tcPr>
          <w:p w14:paraId="7C91EC53">
            <w:pPr>
              <w:pStyle w:val="8"/>
              <w:suppressLineNumbers w:val="0"/>
              <w:bidi w:val="0"/>
              <w:spacing w:before="0" w:beforeAutospacing="0" w:after="0" w:afterAutospacing="0"/>
              <w:ind w:left="0" w:leftChars="0" w:right="0" w:rightChars="0" w:firstLine="0" w:firstLineChars="0"/>
              <w:rPr>
                <w:rFonts w:hint="eastAsia"/>
                <w:snapToGrid w:val="0"/>
                <w:highlight w:val="none"/>
              </w:rPr>
            </w:pPr>
            <w:r>
              <w:rPr>
                <w:rFonts w:hint="eastAsia"/>
                <w:snapToGrid w:val="0"/>
                <w:highlight w:val="none"/>
              </w:rPr>
              <w:t>/</w:t>
            </w:r>
          </w:p>
        </w:tc>
        <w:tc>
          <w:tcPr>
            <w:tcW w:w="715" w:type="dxa"/>
            <w:vAlign w:val="center"/>
          </w:tcPr>
          <w:p w14:paraId="240486E3">
            <w:pPr>
              <w:pStyle w:val="8"/>
              <w:suppressLineNumbers w:val="0"/>
              <w:bidi w:val="0"/>
              <w:spacing w:before="0" w:beforeAutospacing="0" w:after="0" w:afterAutospacing="0"/>
              <w:ind w:left="0" w:leftChars="0" w:right="0" w:rightChars="0" w:firstLine="0" w:firstLineChars="0"/>
              <w:rPr>
                <w:rFonts w:hint="eastAsia"/>
                <w:snapToGrid w:val="0"/>
                <w:highlight w:val="none"/>
              </w:rPr>
            </w:pPr>
            <w:r>
              <w:rPr>
                <w:rFonts w:hint="eastAsia"/>
                <w:snapToGrid w:val="0"/>
                <w:highlight w:val="none"/>
              </w:rPr>
              <w:t>/</w:t>
            </w:r>
          </w:p>
        </w:tc>
      </w:tr>
      <w:tr w14:paraId="3BA36FE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853" w:type="dxa"/>
            <w:vAlign w:val="center"/>
          </w:tcPr>
          <w:p w14:paraId="471BA853">
            <w:pPr>
              <w:pStyle w:val="8"/>
              <w:suppressLineNumbers w:val="0"/>
              <w:bidi w:val="0"/>
              <w:spacing w:before="0" w:beforeAutospacing="0" w:after="0" w:afterAutospacing="0"/>
              <w:ind w:left="0" w:leftChars="0" w:right="0" w:rightChars="0" w:firstLine="0" w:firstLineChars="0"/>
              <w:rPr>
                <w:rFonts w:hint="eastAsia"/>
                <w:snapToGrid w:val="0"/>
                <w:highlight w:val="none"/>
                <w:lang w:val="en-US" w:eastAsia="zh-CN"/>
              </w:rPr>
            </w:pPr>
            <w:r>
              <w:rPr>
                <w:rFonts w:hint="eastAsia"/>
                <w:snapToGrid w:val="0"/>
                <w:highlight w:val="none"/>
                <w:lang w:val="en-US" w:eastAsia="zh-CN"/>
              </w:rPr>
              <w:t>原料贮存</w:t>
            </w:r>
          </w:p>
        </w:tc>
        <w:tc>
          <w:tcPr>
            <w:tcW w:w="584" w:type="dxa"/>
            <w:vMerge w:val="restart"/>
            <w:vAlign w:val="center"/>
          </w:tcPr>
          <w:p w14:paraId="737964CF">
            <w:pPr>
              <w:pStyle w:val="8"/>
              <w:suppressLineNumbers w:val="0"/>
              <w:bidi w:val="0"/>
              <w:spacing w:before="0" w:beforeAutospacing="0" w:after="0" w:afterAutospacing="0"/>
              <w:ind w:left="0" w:right="0" w:firstLine="0" w:firstLineChars="0"/>
              <w:rPr>
                <w:rFonts w:hint="default"/>
                <w:snapToGrid w:val="0"/>
                <w:highlight w:val="none"/>
              </w:rPr>
            </w:pPr>
            <w:r>
              <w:rPr>
                <w:rFonts w:hint="default"/>
                <w:snapToGrid w:val="0"/>
                <w:highlight w:val="none"/>
              </w:rPr>
              <w:t>DA001排气筒</w:t>
            </w:r>
          </w:p>
        </w:tc>
        <w:tc>
          <w:tcPr>
            <w:tcW w:w="527" w:type="dxa"/>
            <w:vMerge w:val="continue"/>
            <w:vAlign w:val="center"/>
          </w:tcPr>
          <w:p w14:paraId="7C5A3BC7">
            <w:pPr>
              <w:pStyle w:val="8"/>
              <w:suppressLineNumbers w:val="0"/>
              <w:bidi w:val="0"/>
              <w:spacing w:before="0" w:beforeAutospacing="0" w:after="0" w:afterAutospacing="0"/>
              <w:ind w:left="0" w:right="0"/>
              <w:rPr>
                <w:rFonts w:hint="default"/>
                <w:snapToGrid w:val="0"/>
                <w:highlight w:val="none"/>
              </w:rPr>
            </w:pPr>
          </w:p>
        </w:tc>
        <w:tc>
          <w:tcPr>
            <w:tcW w:w="727" w:type="dxa"/>
            <w:vMerge w:val="continue"/>
            <w:vAlign w:val="center"/>
          </w:tcPr>
          <w:p w14:paraId="78CFD6C4">
            <w:pPr>
              <w:pStyle w:val="8"/>
              <w:suppressLineNumbers w:val="0"/>
              <w:bidi w:val="0"/>
              <w:spacing w:before="0" w:beforeAutospacing="0" w:after="0" w:afterAutospacing="0"/>
              <w:ind w:left="0" w:right="0"/>
              <w:rPr>
                <w:rFonts w:hint="default"/>
                <w:snapToGrid w:val="0"/>
                <w:highlight w:val="none"/>
              </w:rPr>
            </w:pPr>
          </w:p>
        </w:tc>
        <w:tc>
          <w:tcPr>
            <w:tcW w:w="679" w:type="dxa"/>
            <w:vMerge w:val="restart"/>
            <w:vAlign w:val="center"/>
          </w:tcPr>
          <w:p w14:paraId="2BFB61F4">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0"/>
                <w:sz w:val="21"/>
                <w:szCs w:val="24"/>
                <w:highlight w:val="none"/>
                <w:lang w:val="en-US" w:eastAsia="zh-CN" w:bidi="ar-SA"/>
              </w:rPr>
            </w:pPr>
            <w:r>
              <w:rPr>
                <w:rFonts w:hint="eastAsia" w:cs="Times New Roman"/>
                <w:snapToGrid w:val="0"/>
                <w:color w:val="000000"/>
                <w:kern w:val="0"/>
                <w:sz w:val="21"/>
                <w:szCs w:val="24"/>
                <w:highlight w:val="none"/>
                <w:lang w:val="en-US" w:eastAsia="zh-CN" w:bidi="ar-SA"/>
              </w:rPr>
              <w:t>70000</w:t>
            </w:r>
          </w:p>
        </w:tc>
        <w:tc>
          <w:tcPr>
            <w:tcW w:w="720" w:type="dxa"/>
            <w:vAlign w:val="center"/>
          </w:tcPr>
          <w:p w14:paraId="23639587">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0"/>
                <w:sz w:val="21"/>
                <w:szCs w:val="24"/>
                <w:highlight w:val="none"/>
                <w:lang w:val="en-US" w:eastAsia="zh-CN" w:bidi="ar-SA"/>
              </w:rPr>
            </w:pPr>
            <w:r>
              <w:rPr>
                <w:rFonts w:hint="eastAsia" w:cs="Times New Roman"/>
                <w:snapToGrid w:val="0"/>
                <w:color w:val="000000"/>
                <w:kern w:val="0"/>
                <w:sz w:val="21"/>
                <w:szCs w:val="24"/>
                <w:highlight w:val="none"/>
                <w:lang w:val="en-US" w:eastAsia="zh-CN" w:bidi="ar-SA"/>
              </w:rPr>
              <w:t>0.13</w:t>
            </w:r>
          </w:p>
        </w:tc>
        <w:tc>
          <w:tcPr>
            <w:tcW w:w="665" w:type="dxa"/>
            <w:vAlign w:val="center"/>
          </w:tcPr>
          <w:p w14:paraId="3C229359">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0"/>
                <w:sz w:val="21"/>
                <w:szCs w:val="24"/>
                <w:highlight w:val="none"/>
                <w:lang w:val="en-US" w:eastAsia="zh-CN" w:bidi="ar-SA"/>
              </w:rPr>
            </w:pPr>
            <w:r>
              <w:rPr>
                <w:rFonts w:hint="eastAsia" w:cs="Times New Roman"/>
                <w:snapToGrid w:val="0"/>
                <w:color w:val="000000"/>
                <w:kern w:val="0"/>
                <w:sz w:val="21"/>
                <w:szCs w:val="24"/>
                <w:highlight w:val="none"/>
                <w:lang w:val="en-US" w:eastAsia="zh-CN" w:bidi="ar-SA"/>
              </w:rPr>
              <w:t>0.009</w:t>
            </w:r>
          </w:p>
        </w:tc>
        <w:tc>
          <w:tcPr>
            <w:tcW w:w="611" w:type="dxa"/>
            <w:vMerge w:val="restart"/>
            <w:vAlign w:val="center"/>
          </w:tcPr>
          <w:p w14:paraId="4D511EBA">
            <w:pPr>
              <w:pStyle w:val="8"/>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0"/>
                <w:sz w:val="21"/>
                <w:szCs w:val="24"/>
                <w:highlight w:val="none"/>
                <w:lang w:val="en-US" w:eastAsia="zh-CN" w:bidi="ar-SA"/>
              </w:rPr>
            </w:pPr>
            <w:r>
              <w:rPr>
                <w:rFonts w:hint="eastAsia"/>
                <w:snapToGrid w:val="0"/>
                <w:highlight w:val="none"/>
                <w:lang w:val="en-US" w:eastAsia="zh-CN"/>
              </w:rPr>
              <w:t>90</w:t>
            </w:r>
          </w:p>
        </w:tc>
        <w:tc>
          <w:tcPr>
            <w:tcW w:w="706" w:type="dxa"/>
            <w:vMerge w:val="restart"/>
            <w:vAlign w:val="center"/>
          </w:tcPr>
          <w:p w14:paraId="0667FDA8">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0"/>
                <w:sz w:val="21"/>
                <w:szCs w:val="24"/>
                <w:highlight w:val="none"/>
                <w:lang w:val="en-US" w:eastAsia="zh-CN" w:bidi="ar-SA"/>
              </w:rPr>
            </w:pPr>
            <w:r>
              <w:rPr>
                <w:rFonts w:hint="eastAsia"/>
                <w:snapToGrid w:val="0"/>
                <w:highlight w:val="none"/>
                <w:lang w:val="en-US" w:eastAsia="zh-CN"/>
              </w:rPr>
              <w:t>二级活性炭吸附</w:t>
            </w:r>
          </w:p>
        </w:tc>
        <w:tc>
          <w:tcPr>
            <w:tcW w:w="711" w:type="dxa"/>
            <w:vMerge w:val="restart"/>
            <w:vAlign w:val="center"/>
          </w:tcPr>
          <w:p w14:paraId="64BCBCA3">
            <w:pPr>
              <w:pStyle w:val="8"/>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0"/>
                <w:sz w:val="21"/>
                <w:szCs w:val="24"/>
                <w:highlight w:val="none"/>
                <w:lang w:val="en-US" w:eastAsia="zh-CN" w:bidi="ar-SA"/>
              </w:rPr>
            </w:pPr>
            <w:r>
              <w:rPr>
                <w:rFonts w:hint="default"/>
                <w:snapToGrid w:val="0"/>
                <w:highlight w:val="none"/>
              </w:rPr>
              <w:t>90</w:t>
            </w:r>
          </w:p>
        </w:tc>
        <w:tc>
          <w:tcPr>
            <w:tcW w:w="709" w:type="dxa"/>
            <w:vMerge w:val="restart"/>
            <w:vAlign w:val="center"/>
          </w:tcPr>
          <w:p w14:paraId="70888EB2">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0"/>
                <w:sz w:val="21"/>
                <w:szCs w:val="24"/>
                <w:highlight w:val="none"/>
                <w:lang w:val="en-US" w:eastAsia="zh-CN" w:bidi="ar-SA"/>
              </w:rPr>
            </w:pPr>
            <w:r>
              <w:rPr>
                <w:rFonts w:hint="eastAsia" w:cs="Times New Roman"/>
                <w:snapToGrid w:val="0"/>
                <w:color w:val="000000"/>
                <w:kern w:val="0"/>
                <w:sz w:val="21"/>
                <w:szCs w:val="24"/>
                <w:highlight w:val="none"/>
                <w:lang w:val="en-US" w:eastAsia="zh-CN" w:bidi="ar-SA"/>
              </w:rPr>
              <w:t>70000</w:t>
            </w:r>
          </w:p>
        </w:tc>
        <w:tc>
          <w:tcPr>
            <w:tcW w:w="709" w:type="dxa"/>
            <w:vMerge w:val="restart"/>
            <w:vAlign w:val="center"/>
          </w:tcPr>
          <w:p w14:paraId="1DDD96F7">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0"/>
                <w:sz w:val="21"/>
                <w:szCs w:val="24"/>
                <w:highlight w:val="none"/>
                <w:lang w:val="en-US" w:eastAsia="zh-CN" w:bidi="ar-SA"/>
              </w:rPr>
            </w:pPr>
            <w:r>
              <w:rPr>
                <w:rFonts w:hint="eastAsia" w:cs="Times New Roman"/>
                <w:snapToGrid w:val="0"/>
                <w:color w:val="000000"/>
                <w:kern w:val="0"/>
                <w:sz w:val="21"/>
                <w:szCs w:val="24"/>
                <w:highlight w:val="none"/>
                <w:lang w:val="en-US" w:eastAsia="zh-CN" w:bidi="ar-SA"/>
              </w:rPr>
              <w:t>0.95</w:t>
            </w:r>
          </w:p>
        </w:tc>
        <w:tc>
          <w:tcPr>
            <w:tcW w:w="634" w:type="dxa"/>
            <w:vAlign w:val="center"/>
          </w:tcPr>
          <w:p w14:paraId="5CB5FE1F">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0"/>
                <w:sz w:val="21"/>
                <w:szCs w:val="24"/>
                <w:highlight w:val="none"/>
                <w:lang w:val="en-US" w:eastAsia="zh-CN" w:bidi="ar-SA"/>
              </w:rPr>
            </w:pPr>
            <w:r>
              <w:rPr>
                <w:rFonts w:hint="eastAsia" w:cs="Times New Roman"/>
                <w:snapToGrid w:val="0"/>
                <w:color w:val="000000"/>
                <w:kern w:val="0"/>
                <w:sz w:val="21"/>
                <w:szCs w:val="24"/>
                <w:highlight w:val="none"/>
                <w:lang w:val="en-US" w:eastAsia="zh-CN" w:bidi="ar-SA"/>
              </w:rPr>
              <w:t>0.0008</w:t>
            </w:r>
          </w:p>
        </w:tc>
        <w:tc>
          <w:tcPr>
            <w:tcW w:w="585" w:type="dxa"/>
            <w:vAlign w:val="center"/>
          </w:tcPr>
          <w:p w14:paraId="6C21C1DE">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0"/>
                <w:sz w:val="21"/>
                <w:szCs w:val="24"/>
                <w:highlight w:val="none"/>
                <w:lang w:val="en-US" w:eastAsia="zh-CN" w:bidi="ar-SA"/>
              </w:rPr>
            </w:pPr>
            <w:r>
              <w:rPr>
                <w:rFonts w:hint="eastAsia" w:cs="Times New Roman"/>
                <w:snapToGrid w:val="0"/>
                <w:color w:val="000000"/>
                <w:kern w:val="0"/>
                <w:sz w:val="21"/>
                <w:szCs w:val="24"/>
                <w:highlight w:val="none"/>
                <w:lang w:val="en-US" w:eastAsia="zh-CN" w:bidi="ar-SA"/>
              </w:rPr>
              <w:t>0.007</w:t>
            </w:r>
          </w:p>
        </w:tc>
        <w:tc>
          <w:tcPr>
            <w:tcW w:w="624" w:type="dxa"/>
            <w:vAlign w:val="center"/>
          </w:tcPr>
          <w:p w14:paraId="54F61C1E">
            <w:pPr>
              <w:pStyle w:val="8"/>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0"/>
                <w:sz w:val="21"/>
                <w:szCs w:val="24"/>
                <w:highlight w:val="none"/>
                <w:lang w:val="en-US" w:eastAsia="zh-CN" w:bidi="ar-SA"/>
              </w:rPr>
            </w:pPr>
            <w:r>
              <w:rPr>
                <w:rFonts w:hint="eastAsia"/>
                <w:snapToGrid w:val="0"/>
                <w:highlight w:val="none"/>
                <w:lang w:val="en-US" w:eastAsia="zh-CN"/>
              </w:rPr>
              <w:t>/</w:t>
            </w:r>
          </w:p>
        </w:tc>
        <w:tc>
          <w:tcPr>
            <w:tcW w:w="567" w:type="dxa"/>
            <w:vAlign w:val="center"/>
          </w:tcPr>
          <w:p w14:paraId="4C9961E2">
            <w:pPr>
              <w:pStyle w:val="8"/>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0"/>
                <w:sz w:val="21"/>
                <w:szCs w:val="24"/>
                <w:highlight w:val="none"/>
                <w:lang w:val="en-US" w:eastAsia="zh-CN" w:bidi="ar-SA"/>
              </w:rPr>
            </w:pPr>
            <w:r>
              <w:rPr>
                <w:rFonts w:hint="eastAsia"/>
                <w:snapToGrid w:val="0"/>
                <w:highlight w:val="none"/>
              </w:rPr>
              <w:t>/</w:t>
            </w:r>
          </w:p>
        </w:tc>
        <w:tc>
          <w:tcPr>
            <w:tcW w:w="708" w:type="dxa"/>
            <w:vMerge w:val="restart"/>
            <w:vAlign w:val="center"/>
          </w:tcPr>
          <w:p w14:paraId="33D59658">
            <w:pPr>
              <w:pStyle w:val="8"/>
              <w:suppressLineNumbers w:val="0"/>
              <w:bidi w:val="0"/>
              <w:spacing w:before="0" w:beforeAutospacing="0" w:after="0" w:afterAutospacing="0"/>
              <w:ind w:left="0" w:right="0"/>
              <w:rPr>
                <w:rFonts w:hint="default" w:eastAsia="宋体"/>
                <w:snapToGrid w:val="0"/>
                <w:highlight w:val="none"/>
                <w:lang w:val="en-US" w:eastAsia="zh-CN"/>
              </w:rPr>
            </w:pPr>
            <w:r>
              <w:rPr>
                <w:rFonts w:hint="eastAsia"/>
                <w:snapToGrid w:val="0"/>
                <w:highlight w:val="none"/>
                <w:lang w:val="en-US" w:eastAsia="zh-CN"/>
              </w:rPr>
              <w:t>8760</w:t>
            </w:r>
          </w:p>
        </w:tc>
        <w:tc>
          <w:tcPr>
            <w:tcW w:w="709" w:type="dxa"/>
            <w:vMerge w:val="restart"/>
            <w:vAlign w:val="center"/>
          </w:tcPr>
          <w:p w14:paraId="00813FC5">
            <w:pPr>
              <w:pStyle w:val="8"/>
              <w:suppressLineNumbers w:val="0"/>
              <w:bidi w:val="0"/>
              <w:spacing w:before="0" w:beforeAutospacing="0" w:after="0" w:afterAutospacing="0"/>
              <w:ind w:left="0" w:leftChars="0" w:right="0" w:rightChars="0" w:firstLine="0" w:firstLineChars="0"/>
              <w:rPr>
                <w:rFonts w:hint="eastAsia"/>
                <w:snapToGrid w:val="0"/>
                <w:highlight w:val="none"/>
              </w:rPr>
            </w:pPr>
            <w:r>
              <w:rPr>
                <w:rFonts w:hint="default"/>
                <w:snapToGrid w:val="0"/>
                <w:highlight w:val="none"/>
              </w:rPr>
              <w:t>15</w:t>
            </w:r>
          </w:p>
        </w:tc>
        <w:tc>
          <w:tcPr>
            <w:tcW w:w="572" w:type="dxa"/>
            <w:vMerge w:val="restart"/>
            <w:vAlign w:val="center"/>
          </w:tcPr>
          <w:p w14:paraId="5EAFF602">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0"/>
                <w:sz w:val="21"/>
                <w:szCs w:val="24"/>
                <w:highlight w:val="none"/>
                <w:lang w:val="en-US" w:eastAsia="zh-CN" w:bidi="ar-SA"/>
              </w:rPr>
            </w:pPr>
            <w:r>
              <w:rPr>
                <w:rFonts w:hint="eastAsia"/>
                <w:snapToGrid w:val="0"/>
                <w:highlight w:val="none"/>
                <w:lang w:val="en-US" w:eastAsia="zh-CN"/>
              </w:rPr>
              <w:t>1.0</w:t>
            </w:r>
          </w:p>
        </w:tc>
        <w:tc>
          <w:tcPr>
            <w:tcW w:w="660" w:type="dxa"/>
            <w:vMerge w:val="restart"/>
            <w:vAlign w:val="center"/>
          </w:tcPr>
          <w:p w14:paraId="265794F4">
            <w:pPr>
              <w:pStyle w:val="8"/>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snapToGrid w:val="0"/>
                <w:color w:val="000000"/>
                <w:kern w:val="0"/>
                <w:sz w:val="21"/>
                <w:szCs w:val="24"/>
                <w:highlight w:val="none"/>
                <w:lang w:val="en-US" w:eastAsia="zh-CN" w:bidi="ar-SA"/>
              </w:rPr>
            </w:pPr>
            <w:r>
              <w:rPr>
                <w:rFonts w:hint="eastAsia"/>
                <w:snapToGrid w:val="0"/>
                <w:highlight w:val="none"/>
                <w:lang w:val="en-US" w:eastAsia="zh-CN"/>
              </w:rPr>
              <w:t>常温</w:t>
            </w:r>
          </w:p>
        </w:tc>
        <w:tc>
          <w:tcPr>
            <w:tcW w:w="715" w:type="dxa"/>
            <w:vMerge w:val="restart"/>
            <w:vAlign w:val="center"/>
          </w:tcPr>
          <w:p w14:paraId="543AAD28">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一般</w:t>
            </w:r>
          </w:p>
          <w:p w14:paraId="5772846C">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排放</w:t>
            </w:r>
          </w:p>
          <w:p w14:paraId="623D84E7">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snapToGrid w:val="0"/>
                <w:color w:val="000000"/>
                <w:kern w:val="0"/>
                <w:sz w:val="21"/>
                <w:szCs w:val="24"/>
                <w:highlight w:val="none"/>
                <w:lang w:val="en-US" w:eastAsia="zh-CN" w:bidi="ar-SA"/>
              </w:rPr>
            </w:pPr>
            <w:r>
              <w:rPr>
                <w:rFonts w:hint="default"/>
                <w:snapToGrid w:val="0"/>
                <w:highlight w:val="none"/>
              </w:rPr>
              <w:t>口</w:t>
            </w:r>
          </w:p>
        </w:tc>
      </w:tr>
      <w:tr w14:paraId="3FA0D18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853" w:type="dxa"/>
            <w:vAlign w:val="center"/>
          </w:tcPr>
          <w:p w14:paraId="2A2EE508">
            <w:pPr>
              <w:pStyle w:val="8"/>
              <w:suppressLineNumbers w:val="0"/>
              <w:bidi w:val="0"/>
              <w:spacing w:before="0" w:beforeAutospacing="0" w:after="0" w:afterAutospacing="0"/>
              <w:ind w:left="0" w:leftChars="0" w:right="0" w:rightChars="0" w:firstLine="0" w:firstLineChars="0"/>
              <w:rPr>
                <w:rFonts w:hint="default" w:eastAsia="宋体"/>
                <w:snapToGrid w:val="0"/>
                <w:highlight w:val="none"/>
                <w:lang w:val="en-US" w:eastAsia="zh-CN"/>
              </w:rPr>
            </w:pPr>
            <w:r>
              <w:rPr>
                <w:rFonts w:hint="eastAsia"/>
                <w:snapToGrid w:val="0"/>
                <w:highlight w:val="none"/>
                <w:lang w:val="en-US" w:eastAsia="zh-CN"/>
              </w:rPr>
              <w:t>危险废物贮存</w:t>
            </w:r>
          </w:p>
        </w:tc>
        <w:tc>
          <w:tcPr>
            <w:tcW w:w="584" w:type="dxa"/>
            <w:vMerge w:val="continue"/>
            <w:vAlign w:val="center"/>
          </w:tcPr>
          <w:p w14:paraId="778ECDAA">
            <w:pPr>
              <w:pStyle w:val="8"/>
              <w:suppressLineNumbers w:val="0"/>
              <w:bidi w:val="0"/>
              <w:spacing w:before="0" w:beforeAutospacing="0" w:after="0" w:afterAutospacing="0"/>
              <w:ind w:left="0" w:right="0" w:firstLine="0" w:firstLineChars="0"/>
              <w:rPr>
                <w:rFonts w:hint="default"/>
                <w:snapToGrid w:val="0"/>
                <w:highlight w:val="none"/>
              </w:rPr>
            </w:pPr>
          </w:p>
        </w:tc>
        <w:tc>
          <w:tcPr>
            <w:tcW w:w="527" w:type="dxa"/>
            <w:vMerge w:val="continue"/>
            <w:vAlign w:val="center"/>
          </w:tcPr>
          <w:p w14:paraId="189BABA2">
            <w:pPr>
              <w:pStyle w:val="8"/>
              <w:suppressLineNumbers w:val="0"/>
              <w:bidi w:val="0"/>
              <w:spacing w:before="0" w:beforeAutospacing="0" w:after="0" w:afterAutospacing="0"/>
              <w:ind w:left="0" w:right="0"/>
              <w:rPr>
                <w:rFonts w:hint="default"/>
                <w:snapToGrid w:val="0"/>
                <w:highlight w:val="none"/>
              </w:rPr>
            </w:pPr>
          </w:p>
        </w:tc>
        <w:tc>
          <w:tcPr>
            <w:tcW w:w="727" w:type="dxa"/>
            <w:vMerge w:val="continue"/>
            <w:vAlign w:val="center"/>
          </w:tcPr>
          <w:p w14:paraId="05A2C549">
            <w:pPr>
              <w:pStyle w:val="8"/>
              <w:suppressLineNumbers w:val="0"/>
              <w:bidi w:val="0"/>
              <w:spacing w:before="0" w:beforeAutospacing="0" w:after="0" w:afterAutospacing="0"/>
              <w:ind w:left="0" w:right="0"/>
              <w:rPr>
                <w:rFonts w:hint="default"/>
                <w:snapToGrid w:val="0"/>
                <w:highlight w:val="none"/>
              </w:rPr>
            </w:pPr>
          </w:p>
        </w:tc>
        <w:tc>
          <w:tcPr>
            <w:tcW w:w="679" w:type="dxa"/>
            <w:vMerge w:val="continue"/>
            <w:vAlign w:val="center"/>
          </w:tcPr>
          <w:p w14:paraId="6A8DB9BB">
            <w:pPr>
              <w:pStyle w:val="8"/>
              <w:suppressLineNumbers w:val="0"/>
              <w:bidi w:val="0"/>
              <w:spacing w:before="0" w:beforeAutospacing="0" w:after="0" w:afterAutospacing="0"/>
              <w:ind w:left="0" w:right="0"/>
              <w:rPr>
                <w:rFonts w:hint="default" w:eastAsia="宋体"/>
                <w:snapToGrid w:val="0"/>
                <w:highlight w:val="none"/>
                <w:lang w:val="en-US" w:eastAsia="zh-CN"/>
              </w:rPr>
            </w:pPr>
          </w:p>
        </w:tc>
        <w:tc>
          <w:tcPr>
            <w:tcW w:w="720" w:type="dxa"/>
            <w:vAlign w:val="center"/>
          </w:tcPr>
          <w:p w14:paraId="7D55CD36">
            <w:pPr>
              <w:pStyle w:val="8"/>
              <w:suppressLineNumbers w:val="0"/>
              <w:bidi w:val="0"/>
              <w:spacing w:before="0" w:beforeAutospacing="0" w:after="0" w:afterAutospacing="0"/>
              <w:ind w:left="0" w:right="0"/>
              <w:rPr>
                <w:rFonts w:hint="default" w:eastAsia="宋体"/>
                <w:snapToGrid w:val="0"/>
                <w:highlight w:val="none"/>
                <w:lang w:val="en-US" w:eastAsia="zh-CN"/>
              </w:rPr>
            </w:pPr>
            <w:r>
              <w:rPr>
                <w:rFonts w:hint="eastAsia"/>
                <w:snapToGrid w:val="0"/>
                <w:highlight w:val="none"/>
                <w:lang w:val="en-US" w:eastAsia="zh-CN"/>
              </w:rPr>
              <w:t>0.37</w:t>
            </w:r>
          </w:p>
        </w:tc>
        <w:tc>
          <w:tcPr>
            <w:tcW w:w="665" w:type="dxa"/>
            <w:vAlign w:val="center"/>
          </w:tcPr>
          <w:p w14:paraId="180D3D01">
            <w:pPr>
              <w:pStyle w:val="8"/>
              <w:suppressLineNumbers w:val="0"/>
              <w:bidi w:val="0"/>
              <w:spacing w:before="0" w:beforeAutospacing="0" w:after="0" w:afterAutospacing="0"/>
              <w:ind w:left="0" w:right="0"/>
              <w:rPr>
                <w:rFonts w:hint="default" w:eastAsia="宋体"/>
                <w:snapToGrid w:val="0"/>
                <w:highlight w:val="none"/>
                <w:lang w:val="en-US" w:eastAsia="zh-CN"/>
              </w:rPr>
            </w:pPr>
            <w:r>
              <w:rPr>
                <w:rFonts w:hint="eastAsia"/>
                <w:snapToGrid w:val="0"/>
                <w:highlight w:val="none"/>
                <w:lang w:val="en-US" w:eastAsia="zh-CN"/>
              </w:rPr>
              <w:t>0.03</w:t>
            </w:r>
          </w:p>
        </w:tc>
        <w:tc>
          <w:tcPr>
            <w:tcW w:w="611" w:type="dxa"/>
            <w:vMerge w:val="continue"/>
            <w:vAlign w:val="center"/>
          </w:tcPr>
          <w:p w14:paraId="2435A5F3">
            <w:pPr>
              <w:pStyle w:val="8"/>
              <w:suppressLineNumbers w:val="0"/>
              <w:bidi w:val="0"/>
              <w:spacing w:before="0" w:beforeAutospacing="0" w:after="0" w:afterAutospacing="0"/>
              <w:ind w:left="0" w:right="0"/>
              <w:rPr>
                <w:rFonts w:hint="default" w:eastAsia="宋体"/>
                <w:snapToGrid w:val="0"/>
                <w:highlight w:val="none"/>
                <w:lang w:val="en-US" w:eastAsia="zh-CN"/>
              </w:rPr>
            </w:pPr>
          </w:p>
        </w:tc>
        <w:tc>
          <w:tcPr>
            <w:tcW w:w="706" w:type="dxa"/>
            <w:vMerge w:val="continue"/>
            <w:vAlign w:val="center"/>
          </w:tcPr>
          <w:p w14:paraId="7C5CD6EB">
            <w:pPr>
              <w:pStyle w:val="8"/>
              <w:suppressLineNumbers w:val="0"/>
              <w:bidi w:val="0"/>
              <w:spacing w:before="0" w:beforeAutospacing="0" w:after="0" w:afterAutospacing="0"/>
              <w:ind w:left="0" w:right="0"/>
              <w:rPr>
                <w:rFonts w:hint="eastAsia"/>
                <w:snapToGrid w:val="0"/>
                <w:highlight w:val="none"/>
              </w:rPr>
            </w:pPr>
          </w:p>
        </w:tc>
        <w:tc>
          <w:tcPr>
            <w:tcW w:w="711" w:type="dxa"/>
            <w:vMerge w:val="continue"/>
            <w:vAlign w:val="center"/>
          </w:tcPr>
          <w:p w14:paraId="087FDAC3">
            <w:pPr>
              <w:pStyle w:val="8"/>
              <w:suppressLineNumbers w:val="0"/>
              <w:bidi w:val="0"/>
              <w:spacing w:before="0" w:beforeAutospacing="0" w:after="0" w:afterAutospacing="0"/>
              <w:ind w:left="0" w:right="0"/>
              <w:rPr>
                <w:rFonts w:hint="default" w:eastAsia="宋体"/>
                <w:snapToGrid w:val="0"/>
                <w:highlight w:val="none"/>
                <w:lang w:val="en-US" w:eastAsia="zh-CN"/>
              </w:rPr>
            </w:pPr>
          </w:p>
        </w:tc>
        <w:tc>
          <w:tcPr>
            <w:tcW w:w="709" w:type="dxa"/>
            <w:vMerge w:val="continue"/>
            <w:vAlign w:val="center"/>
          </w:tcPr>
          <w:p w14:paraId="530468E6">
            <w:pPr>
              <w:pStyle w:val="8"/>
              <w:suppressLineNumbers w:val="0"/>
              <w:bidi w:val="0"/>
              <w:spacing w:before="0" w:beforeAutospacing="0" w:after="0" w:afterAutospacing="0"/>
              <w:ind w:left="0" w:right="0"/>
              <w:rPr>
                <w:rFonts w:hint="eastAsia"/>
                <w:snapToGrid w:val="0"/>
                <w:highlight w:val="none"/>
              </w:rPr>
            </w:pPr>
          </w:p>
        </w:tc>
        <w:tc>
          <w:tcPr>
            <w:tcW w:w="709" w:type="dxa"/>
            <w:vMerge w:val="continue"/>
            <w:vAlign w:val="center"/>
          </w:tcPr>
          <w:p w14:paraId="0D551957">
            <w:pPr>
              <w:pStyle w:val="8"/>
              <w:suppressLineNumbers w:val="0"/>
              <w:bidi w:val="0"/>
              <w:spacing w:before="0" w:beforeAutospacing="0" w:after="0" w:afterAutospacing="0"/>
              <w:ind w:left="0" w:right="0"/>
              <w:rPr>
                <w:rFonts w:hint="default" w:eastAsia="宋体"/>
                <w:snapToGrid w:val="0"/>
                <w:highlight w:val="none"/>
                <w:lang w:val="en-US" w:eastAsia="zh-CN"/>
              </w:rPr>
            </w:pPr>
          </w:p>
        </w:tc>
        <w:tc>
          <w:tcPr>
            <w:tcW w:w="634" w:type="dxa"/>
            <w:vAlign w:val="center"/>
          </w:tcPr>
          <w:p w14:paraId="16B237BD">
            <w:pPr>
              <w:pStyle w:val="8"/>
              <w:suppressLineNumbers w:val="0"/>
              <w:bidi w:val="0"/>
              <w:spacing w:before="0" w:beforeAutospacing="0" w:after="0" w:afterAutospacing="0"/>
              <w:ind w:left="0" w:right="0"/>
              <w:rPr>
                <w:rFonts w:hint="default" w:eastAsia="宋体"/>
                <w:snapToGrid w:val="0"/>
                <w:highlight w:val="none"/>
                <w:lang w:val="en-US" w:eastAsia="zh-CN"/>
              </w:rPr>
            </w:pPr>
            <w:r>
              <w:rPr>
                <w:rFonts w:hint="eastAsia"/>
                <w:snapToGrid w:val="0"/>
                <w:highlight w:val="none"/>
                <w:lang w:val="en-US" w:eastAsia="zh-CN"/>
              </w:rPr>
              <w:t>0.002</w:t>
            </w:r>
          </w:p>
        </w:tc>
        <w:tc>
          <w:tcPr>
            <w:tcW w:w="585" w:type="dxa"/>
            <w:vAlign w:val="center"/>
          </w:tcPr>
          <w:p w14:paraId="4FD47E42">
            <w:pPr>
              <w:pStyle w:val="8"/>
              <w:suppressLineNumbers w:val="0"/>
              <w:bidi w:val="0"/>
              <w:spacing w:before="0" w:beforeAutospacing="0" w:after="0" w:afterAutospacing="0"/>
              <w:ind w:left="0" w:right="0"/>
              <w:rPr>
                <w:rFonts w:hint="default" w:eastAsia="宋体"/>
                <w:snapToGrid w:val="0"/>
                <w:highlight w:val="none"/>
                <w:lang w:val="en-US" w:eastAsia="zh-CN"/>
              </w:rPr>
            </w:pPr>
            <w:r>
              <w:rPr>
                <w:rFonts w:hint="eastAsia"/>
                <w:snapToGrid w:val="0"/>
                <w:highlight w:val="none"/>
                <w:lang w:val="en-US" w:eastAsia="zh-CN"/>
              </w:rPr>
              <w:t>0.02</w:t>
            </w:r>
          </w:p>
        </w:tc>
        <w:tc>
          <w:tcPr>
            <w:tcW w:w="624" w:type="dxa"/>
            <w:vAlign w:val="center"/>
          </w:tcPr>
          <w:p w14:paraId="7661A081">
            <w:pPr>
              <w:pStyle w:val="8"/>
              <w:suppressLineNumbers w:val="0"/>
              <w:bidi w:val="0"/>
              <w:spacing w:before="0" w:beforeAutospacing="0" w:after="0" w:afterAutospacing="0"/>
              <w:ind w:left="0" w:right="0"/>
              <w:rPr>
                <w:rFonts w:hint="eastAsia" w:eastAsia="宋体"/>
                <w:snapToGrid w:val="0"/>
                <w:highlight w:val="none"/>
                <w:lang w:val="en-US" w:eastAsia="zh-CN"/>
              </w:rPr>
            </w:pPr>
            <w:r>
              <w:rPr>
                <w:rFonts w:hint="eastAsia"/>
                <w:snapToGrid w:val="0"/>
                <w:highlight w:val="none"/>
                <w:lang w:val="en-US" w:eastAsia="zh-CN"/>
              </w:rPr>
              <w:t>/</w:t>
            </w:r>
          </w:p>
        </w:tc>
        <w:tc>
          <w:tcPr>
            <w:tcW w:w="567" w:type="dxa"/>
            <w:vAlign w:val="center"/>
          </w:tcPr>
          <w:p w14:paraId="086D961B">
            <w:pPr>
              <w:pStyle w:val="8"/>
              <w:suppressLineNumbers w:val="0"/>
              <w:bidi w:val="0"/>
              <w:spacing w:before="0" w:beforeAutospacing="0" w:after="0" w:afterAutospacing="0"/>
              <w:ind w:left="0" w:right="0"/>
              <w:rPr>
                <w:rFonts w:hint="eastAsia" w:eastAsia="宋体"/>
                <w:snapToGrid w:val="0"/>
                <w:highlight w:val="none"/>
                <w:lang w:val="en-US" w:eastAsia="zh-CN"/>
              </w:rPr>
            </w:pPr>
            <w:r>
              <w:rPr>
                <w:rFonts w:hint="eastAsia"/>
                <w:snapToGrid w:val="0"/>
                <w:highlight w:val="none"/>
                <w:lang w:val="en-US" w:eastAsia="zh-CN"/>
              </w:rPr>
              <w:t>/</w:t>
            </w:r>
          </w:p>
        </w:tc>
        <w:tc>
          <w:tcPr>
            <w:tcW w:w="708" w:type="dxa"/>
            <w:vMerge w:val="continue"/>
            <w:vAlign w:val="center"/>
          </w:tcPr>
          <w:p w14:paraId="5BD67D0F">
            <w:pPr>
              <w:pStyle w:val="8"/>
              <w:suppressLineNumbers w:val="0"/>
              <w:bidi w:val="0"/>
              <w:spacing w:before="0" w:beforeAutospacing="0" w:after="0" w:afterAutospacing="0"/>
              <w:ind w:left="0" w:right="0"/>
              <w:rPr>
                <w:rFonts w:hint="default"/>
                <w:snapToGrid w:val="0"/>
                <w:highlight w:val="none"/>
              </w:rPr>
            </w:pPr>
          </w:p>
        </w:tc>
        <w:tc>
          <w:tcPr>
            <w:tcW w:w="709" w:type="dxa"/>
            <w:vMerge w:val="continue"/>
            <w:vAlign w:val="center"/>
          </w:tcPr>
          <w:p w14:paraId="10DBB592">
            <w:pPr>
              <w:pStyle w:val="8"/>
              <w:suppressLineNumbers w:val="0"/>
              <w:bidi w:val="0"/>
              <w:spacing w:before="0" w:beforeAutospacing="0" w:after="0" w:afterAutospacing="0"/>
              <w:ind w:left="0" w:right="0" w:firstLine="0" w:firstLineChars="0"/>
              <w:rPr>
                <w:rFonts w:hint="eastAsia"/>
                <w:snapToGrid w:val="0"/>
                <w:highlight w:val="none"/>
              </w:rPr>
            </w:pPr>
          </w:p>
        </w:tc>
        <w:tc>
          <w:tcPr>
            <w:tcW w:w="572" w:type="dxa"/>
            <w:vMerge w:val="continue"/>
            <w:vAlign w:val="center"/>
          </w:tcPr>
          <w:p w14:paraId="3110E586">
            <w:pPr>
              <w:pStyle w:val="8"/>
              <w:suppressLineNumbers w:val="0"/>
              <w:bidi w:val="0"/>
              <w:spacing w:before="0" w:beforeAutospacing="0" w:after="0" w:afterAutospacing="0"/>
              <w:ind w:left="0" w:right="0" w:firstLine="0" w:firstLineChars="0"/>
              <w:rPr>
                <w:rFonts w:hint="eastAsia"/>
                <w:snapToGrid w:val="0"/>
                <w:highlight w:val="none"/>
              </w:rPr>
            </w:pPr>
          </w:p>
        </w:tc>
        <w:tc>
          <w:tcPr>
            <w:tcW w:w="660" w:type="dxa"/>
            <w:vMerge w:val="continue"/>
            <w:vAlign w:val="center"/>
          </w:tcPr>
          <w:p w14:paraId="38BAC331">
            <w:pPr>
              <w:pStyle w:val="8"/>
              <w:suppressLineNumbers w:val="0"/>
              <w:bidi w:val="0"/>
              <w:spacing w:before="0" w:beforeAutospacing="0" w:after="0" w:afterAutospacing="0"/>
              <w:ind w:left="0" w:right="0" w:firstLine="0" w:firstLineChars="0"/>
              <w:rPr>
                <w:rFonts w:hint="eastAsia"/>
                <w:snapToGrid w:val="0"/>
                <w:highlight w:val="none"/>
              </w:rPr>
            </w:pPr>
          </w:p>
        </w:tc>
        <w:tc>
          <w:tcPr>
            <w:tcW w:w="715" w:type="dxa"/>
            <w:vMerge w:val="continue"/>
            <w:vAlign w:val="center"/>
          </w:tcPr>
          <w:p w14:paraId="7CB68F9F">
            <w:pPr>
              <w:pStyle w:val="8"/>
              <w:suppressLineNumbers w:val="0"/>
              <w:bidi w:val="0"/>
              <w:spacing w:before="0" w:beforeAutospacing="0" w:after="0" w:afterAutospacing="0"/>
              <w:ind w:left="0" w:right="0"/>
              <w:rPr>
                <w:rFonts w:hint="eastAsia"/>
                <w:snapToGrid w:val="0"/>
                <w:highlight w:val="none"/>
              </w:rPr>
            </w:pPr>
          </w:p>
        </w:tc>
      </w:tr>
      <w:tr w14:paraId="0E3CFD7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853" w:type="dxa"/>
            <w:vAlign w:val="center"/>
          </w:tcPr>
          <w:p w14:paraId="0A4D825F">
            <w:pPr>
              <w:pStyle w:val="8"/>
              <w:suppressLineNumbers w:val="0"/>
              <w:bidi w:val="0"/>
              <w:spacing w:before="0" w:beforeAutospacing="0" w:after="0" w:afterAutospacing="0"/>
              <w:ind w:left="0" w:leftChars="0" w:right="0" w:rightChars="0" w:firstLine="0" w:firstLineChars="0"/>
              <w:rPr>
                <w:rFonts w:hint="default"/>
                <w:snapToGrid w:val="0"/>
                <w:highlight w:val="none"/>
              </w:rPr>
            </w:pPr>
            <w:r>
              <w:rPr>
                <w:rFonts w:hint="eastAsia"/>
                <w:snapToGrid w:val="0"/>
                <w:highlight w:val="none"/>
                <w:lang w:val="en-US" w:eastAsia="zh-CN"/>
              </w:rPr>
              <w:t>破碎、甩干</w:t>
            </w:r>
          </w:p>
        </w:tc>
        <w:tc>
          <w:tcPr>
            <w:tcW w:w="584" w:type="dxa"/>
            <w:vMerge w:val="continue"/>
            <w:vAlign w:val="center"/>
          </w:tcPr>
          <w:p w14:paraId="1B51C879">
            <w:pPr>
              <w:pStyle w:val="8"/>
              <w:suppressLineNumbers w:val="0"/>
              <w:bidi w:val="0"/>
              <w:spacing w:before="0" w:beforeAutospacing="0" w:after="0" w:afterAutospacing="0"/>
              <w:ind w:left="0" w:right="0" w:firstLine="0" w:firstLineChars="0"/>
              <w:rPr>
                <w:rFonts w:hint="default"/>
                <w:snapToGrid w:val="0"/>
                <w:highlight w:val="none"/>
              </w:rPr>
            </w:pPr>
          </w:p>
        </w:tc>
        <w:tc>
          <w:tcPr>
            <w:tcW w:w="527" w:type="dxa"/>
            <w:vMerge w:val="continue"/>
            <w:vAlign w:val="center"/>
          </w:tcPr>
          <w:p w14:paraId="1228B7A8">
            <w:pPr>
              <w:pStyle w:val="8"/>
              <w:suppressLineNumbers w:val="0"/>
              <w:bidi w:val="0"/>
              <w:spacing w:before="0" w:beforeAutospacing="0" w:after="0" w:afterAutospacing="0"/>
              <w:ind w:left="0" w:right="0"/>
              <w:rPr>
                <w:rFonts w:hint="default"/>
                <w:snapToGrid w:val="0"/>
                <w:highlight w:val="none"/>
              </w:rPr>
            </w:pPr>
          </w:p>
        </w:tc>
        <w:tc>
          <w:tcPr>
            <w:tcW w:w="727" w:type="dxa"/>
            <w:vMerge w:val="continue"/>
            <w:vAlign w:val="center"/>
          </w:tcPr>
          <w:p w14:paraId="1D1B65CE">
            <w:pPr>
              <w:pStyle w:val="8"/>
              <w:suppressLineNumbers w:val="0"/>
              <w:bidi w:val="0"/>
              <w:spacing w:before="0" w:beforeAutospacing="0" w:after="0" w:afterAutospacing="0"/>
              <w:ind w:left="0" w:right="0"/>
              <w:rPr>
                <w:rFonts w:hint="default"/>
                <w:snapToGrid w:val="0"/>
                <w:highlight w:val="none"/>
              </w:rPr>
            </w:pPr>
          </w:p>
        </w:tc>
        <w:tc>
          <w:tcPr>
            <w:tcW w:w="679" w:type="dxa"/>
            <w:vAlign w:val="center"/>
          </w:tcPr>
          <w:p w14:paraId="39894C47">
            <w:pPr>
              <w:pStyle w:val="8"/>
              <w:suppressLineNumbers w:val="0"/>
              <w:bidi w:val="0"/>
              <w:spacing w:before="0" w:beforeAutospacing="0" w:after="0" w:afterAutospacing="0"/>
              <w:ind w:left="0" w:right="0"/>
              <w:rPr>
                <w:rFonts w:hint="default" w:eastAsia="宋体"/>
                <w:snapToGrid w:val="0"/>
                <w:highlight w:val="none"/>
                <w:lang w:val="en-US" w:eastAsia="zh-CN"/>
              </w:rPr>
            </w:pPr>
            <w:r>
              <w:rPr>
                <w:rFonts w:hint="eastAsia"/>
                <w:snapToGrid w:val="0"/>
                <w:highlight w:val="none"/>
                <w:lang w:val="en-US" w:eastAsia="zh-CN"/>
              </w:rPr>
              <w:t>70000</w:t>
            </w:r>
          </w:p>
        </w:tc>
        <w:tc>
          <w:tcPr>
            <w:tcW w:w="720" w:type="dxa"/>
            <w:vAlign w:val="center"/>
          </w:tcPr>
          <w:p w14:paraId="3263D041">
            <w:pPr>
              <w:pStyle w:val="8"/>
              <w:suppressLineNumbers w:val="0"/>
              <w:bidi w:val="0"/>
              <w:spacing w:before="0" w:beforeAutospacing="0" w:after="0" w:afterAutospacing="0"/>
              <w:ind w:left="0" w:right="0"/>
              <w:rPr>
                <w:rFonts w:hint="default" w:eastAsia="宋体"/>
                <w:snapToGrid w:val="0"/>
                <w:highlight w:val="none"/>
                <w:lang w:val="en-US" w:eastAsia="zh-CN"/>
              </w:rPr>
            </w:pPr>
            <w:r>
              <w:rPr>
                <w:rFonts w:hint="eastAsia"/>
                <w:snapToGrid w:val="0"/>
                <w:highlight w:val="none"/>
                <w:lang w:val="en-US" w:eastAsia="zh-CN"/>
              </w:rPr>
              <w:t>35.7</w:t>
            </w:r>
          </w:p>
        </w:tc>
        <w:tc>
          <w:tcPr>
            <w:tcW w:w="665" w:type="dxa"/>
            <w:vAlign w:val="center"/>
          </w:tcPr>
          <w:p w14:paraId="6EE5D420">
            <w:pPr>
              <w:pStyle w:val="8"/>
              <w:suppressLineNumbers w:val="0"/>
              <w:bidi w:val="0"/>
              <w:spacing w:before="0" w:beforeAutospacing="0" w:after="0" w:afterAutospacing="0"/>
              <w:ind w:left="0" w:right="0"/>
              <w:rPr>
                <w:rFonts w:hint="default" w:eastAsia="宋体"/>
                <w:snapToGrid w:val="0"/>
                <w:highlight w:val="none"/>
                <w:lang w:val="en-US" w:eastAsia="zh-CN"/>
              </w:rPr>
            </w:pPr>
            <w:r>
              <w:rPr>
                <w:rFonts w:hint="eastAsia"/>
                <w:snapToGrid w:val="0"/>
                <w:highlight w:val="none"/>
                <w:lang w:val="en-US" w:eastAsia="zh-CN"/>
              </w:rPr>
              <w:t>2.5</w:t>
            </w:r>
          </w:p>
        </w:tc>
        <w:tc>
          <w:tcPr>
            <w:tcW w:w="611" w:type="dxa"/>
            <w:vMerge w:val="continue"/>
            <w:vAlign w:val="center"/>
          </w:tcPr>
          <w:p w14:paraId="19E0CE5A">
            <w:pPr>
              <w:pStyle w:val="8"/>
              <w:suppressLineNumbers w:val="0"/>
              <w:bidi w:val="0"/>
              <w:spacing w:before="0" w:beforeAutospacing="0" w:after="0" w:afterAutospacing="0"/>
              <w:ind w:left="0" w:right="0"/>
              <w:rPr>
                <w:rFonts w:hint="eastAsia" w:eastAsia="宋体"/>
                <w:snapToGrid w:val="0"/>
                <w:highlight w:val="none"/>
                <w:lang w:val="en-US" w:eastAsia="zh-CN"/>
              </w:rPr>
            </w:pPr>
          </w:p>
        </w:tc>
        <w:tc>
          <w:tcPr>
            <w:tcW w:w="706" w:type="dxa"/>
            <w:vAlign w:val="center"/>
          </w:tcPr>
          <w:p w14:paraId="752CB8BD">
            <w:pPr>
              <w:pStyle w:val="8"/>
              <w:suppressLineNumbers w:val="0"/>
              <w:bidi w:val="0"/>
              <w:spacing w:before="0" w:beforeAutospacing="0" w:after="0" w:afterAutospacing="0"/>
              <w:ind w:left="0" w:right="0"/>
              <w:rPr>
                <w:rFonts w:hint="default" w:eastAsia="宋体"/>
                <w:snapToGrid w:val="0"/>
                <w:highlight w:val="none"/>
                <w:lang w:val="en-US" w:eastAsia="zh-CN"/>
              </w:rPr>
            </w:pPr>
            <w:r>
              <w:rPr>
                <w:rFonts w:hint="eastAsia"/>
                <w:snapToGrid w:val="0"/>
                <w:highlight w:val="none"/>
                <w:lang w:val="en-US" w:eastAsia="zh-CN"/>
              </w:rPr>
              <w:t>油雾净化器+二级活性炭吸附</w:t>
            </w:r>
          </w:p>
        </w:tc>
        <w:tc>
          <w:tcPr>
            <w:tcW w:w="711" w:type="dxa"/>
            <w:vAlign w:val="center"/>
          </w:tcPr>
          <w:p w14:paraId="659A84E0">
            <w:pPr>
              <w:pStyle w:val="8"/>
              <w:suppressLineNumbers w:val="0"/>
              <w:bidi w:val="0"/>
              <w:spacing w:before="0" w:beforeAutospacing="0" w:after="0" w:afterAutospacing="0"/>
              <w:ind w:left="0" w:right="0"/>
              <w:rPr>
                <w:rFonts w:hint="default" w:eastAsia="宋体"/>
                <w:snapToGrid w:val="0"/>
                <w:highlight w:val="none"/>
                <w:lang w:val="en-US" w:eastAsia="zh-CN"/>
              </w:rPr>
            </w:pPr>
            <w:r>
              <w:rPr>
                <w:rFonts w:hint="eastAsia"/>
                <w:snapToGrid w:val="0"/>
                <w:highlight w:val="none"/>
                <w:lang w:val="en-US" w:eastAsia="zh-CN"/>
              </w:rPr>
              <w:t>94.8</w:t>
            </w:r>
          </w:p>
        </w:tc>
        <w:tc>
          <w:tcPr>
            <w:tcW w:w="709" w:type="dxa"/>
            <w:vAlign w:val="center"/>
          </w:tcPr>
          <w:p w14:paraId="128C3791">
            <w:pPr>
              <w:pStyle w:val="8"/>
              <w:suppressLineNumbers w:val="0"/>
              <w:bidi w:val="0"/>
              <w:spacing w:before="0" w:beforeAutospacing="0" w:after="0" w:afterAutospacing="0"/>
              <w:ind w:left="0" w:right="0"/>
              <w:rPr>
                <w:rFonts w:hint="default" w:eastAsia="宋体"/>
                <w:snapToGrid w:val="0"/>
                <w:highlight w:val="none"/>
                <w:lang w:val="en-US" w:eastAsia="zh-CN"/>
              </w:rPr>
            </w:pPr>
            <w:r>
              <w:rPr>
                <w:rFonts w:hint="eastAsia"/>
                <w:snapToGrid w:val="0"/>
                <w:highlight w:val="none"/>
                <w:lang w:val="en-US" w:eastAsia="zh-CN"/>
              </w:rPr>
              <w:t>70000</w:t>
            </w:r>
          </w:p>
        </w:tc>
        <w:tc>
          <w:tcPr>
            <w:tcW w:w="709" w:type="dxa"/>
            <w:vMerge w:val="continue"/>
            <w:vAlign w:val="center"/>
          </w:tcPr>
          <w:p w14:paraId="4FBA15F3">
            <w:pPr>
              <w:pStyle w:val="8"/>
              <w:suppressLineNumbers w:val="0"/>
              <w:bidi w:val="0"/>
              <w:spacing w:before="0" w:beforeAutospacing="0" w:after="0" w:afterAutospacing="0"/>
              <w:ind w:left="0" w:right="0"/>
              <w:rPr>
                <w:rFonts w:hint="default" w:eastAsia="宋体"/>
                <w:snapToGrid w:val="0"/>
                <w:highlight w:val="none"/>
                <w:lang w:val="en-US" w:eastAsia="zh-CN"/>
              </w:rPr>
            </w:pPr>
          </w:p>
        </w:tc>
        <w:tc>
          <w:tcPr>
            <w:tcW w:w="634" w:type="dxa"/>
            <w:vAlign w:val="center"/>
          </w:tcPr>
          <w:p w14:paraId="7A162726">
            <w:pPr>
              <w:pStyle w:val="8"/>
              <w:suppressLineNumbers w:val="0"/>
              <w:bidi w:val="0"/>
              <w:spacing w:before="0" w:beforeAutospacing="0" w:after="0" w:afterAutospacing="0"/>
              <w:ind w:left="0" w:right="0"/>
              <w:rPr>
                <w:rFonts w:hint="default" w:eastAsia="宋体"/>
                <w:snapToGrid w:val="0"/>
                <w:highlight w:val="none"/>
                <w:lang w:val="en-US" w:eastAsia="zh-CN"/>
              </w:rPr>
            </w:pPr>
            <w:r>
              <w:rPr>
                <w:rFonts w:hint="eastAsia"/>
                <w:snapToGrid w:val="0"/>
                <w:highlight w:val="none"/>
                <w:lang w:val="en-US" w:eastAsia="zh-CN"/>
              </w:rPr>
              <w:t>0.13</w:t>
            </w:r>
          </w:p>
        </w:tc>
        <w:tc>
          <w:tcPr>
            <w:tcW w:w="585" w:type="dxa"/>
            <w:vAlign w:val="center"/>
          </w:tcPr>
          <w:p w14:paraId="1B19B779">
            <w:pPr>
              <w:pStyle w:val="8"/>
              <w:suppressLineNumbers w:val="0"/>
              <w:bidi w:val="0"/>
              <w:spacing w:before="0" w:beforeAutospacing="0" w:after="0" w:afterAutospacing="0"/>
              <w:ind w:left="0" w:right="0"/>
              <w:rPr>
                <w:rFonts w:hint="default" w:eastAsia="宋体"/>
                <w:snapToGrid w:val="0"/>
                <w:highlight w:val="none"/>
                <w:lang w:val="en-US" w:eastAsia="zh-CN"/>
              </w:rPr>
            </w:pPr>
            <w:r>
              <w:rPr>
                <w:rFonts w:hint="eastAsia"/>
                <w:snapToGrid w:val="0"/>
                <w:highlight w:val="none"/>
                <w:lang w:val="en-US" w:eastAsia="zh-CN"/>
              </w:rPr>
              <w:t>0.31</w:t>
            </w:r>
          </w:p>
        </w:tc>
        <w:tc>
          <w:tcPr>
            <w:tcW w:w="624" w:type="dxa"/>
            <w:vAlign w:val="center"/>
          </w:tcPr>
          <w:p w14:paraId="7AB28DB1">
            <w:pPr>
              <w:pStyle w:val="8"/>
              <w:suppressLineNumbers w:val="0"/>
              <w:bidi w:val="0"/>
              <w:spacing w:before="0" w:beforeAutospacing="0" w:after="0" w:afterAutospacing="0"/>
              <w:ind w:left="0" w:leftChars="0" w:right="0" w:rightChars="0" w:firstLine="0" w:firstLineChars="0"/>
              <w:rPr>
                <w:rFonts w:hint="eastAsia"/>
                <w:snapToGrid w:val="0"/>
                <w:highlight w:val="none"/>
              </w:rPr>
            </w:pPr>
            <w:r>
              <w:rPr>
                <w:rFonts w:hint="eastAsia"/>
                <w:snapToGrid w:val="0"/>
                <w:highlight w:val="none"/>
                <w:lang w:val="en-US" w:eastAsia="zh-CN"/>
              </w:rPr>
              <w:t>/</w:t>
            </w:r>
          </w:p>
        </w:tc>
        <w:tc>
          <w:tcPr>
            <w:tcW w:w="567" w:type="dxa"/>
            <w:vAlign w:val="center"/>
          </w:tcPr>
          <w:p w14:paraId="12753261">
            <w:pPr>
              <w:pStyle w:val="8"/>
              <w:suppressLineNumbers w:val="0"/>
              <w:bidi w:val="0"/>
              <w:spacing w:before="0" w:beforeAutospacing="0" w:after="0" w:afterAutospacing="0"/>
              <w:ind w:left="0" w:leftChars="0" w:right="0" w:rightChars="0" w:firstLine="0" w:firstLineChars="0"/>
              <w:rPr>
                <w:rFonts w:hint="default" w:eastAsia="宋体"/>
                <w:snapToGrid w:val="0"/>
                <w:highlight w:val="none"/>
                <w:lang w:val="en-US" w:eastAsia="zh-CN"/>
              </w:rPr>
            </w:pPr>
            <w:r>
              <w:rPr>
                <w:rFonts w:hint="eastAsia"/>
                <w:snapToGrid w:val="0"/>
                <w:highlight w:val="none"/>
                <w:lang w:val="en-US" w:eastAsia="zh-CN"/>
              </w:rPr>
              <w:t>/</w:t>
            </w:r>
          </w:p>
        </w:tc>
        <w:tc>
          <w:tcPr>
            <w:tcW w:w="708" w:type="dxa"/>
            <w:vAlign w:val="center"/>
          </w:tcPr>
          <w:p w14:paraId="4700EB83">
            <w:pPr>
              <w:pStyle w:val="8"/>
              <w:suppressLineNumbers w:val="0"/>
              <w:bidi w:val="0"/>
              <w:spacing w:before="0" w:beforeAutospacing="0" w:after="0" w:afterAutospacing="0"/>
              <w:ind w:left="0" w:right="0"/>
              <w:rPr>
                <w:rFonts w:hint="default" w:eastAsia="宋体"/>
                <w:snapToGrid w:val="0"/>
                <w:highlight w:val="none"/>
                <w:lang w:val="en-US" w:eastAsia="zh-CN"/>
              </w:rPr>
            </w:pPr>
            <w:r>
              <w:rPr>
                <w:rFonts w:hint="eastAsia"/>
                <w:snapToGrid w:val="0"/>
                <w:highlight w:val="none"/>
                <w:lang w:val="en-US" w:eastAsia="zh-CN"/>
              </w:rPr>
              <w:t>2400</w:t>
            </w:r>
          </w:p>
        </w:tc>
        <w:tc>
          <w:tcPr>
            <w:tcW w:w="709" w:type="dxa"/>
            <w:vMerge w:val="continue"/>
            <w:vAlign w:val="center"/>
          </w:tcPr>
          <w:p w14:paraId="42960869">
            <w:pPr>
              <w:pStyle w:val="8"/>
              <w:suppressLineNumbers w:val="0"/>
              <w:bidi w:val="0"/>
              <w:spacing w:before="0" w:beforeAutospacing="0" w:after="0" w:afterAutospacing="0"/>
              <w:ind w:left="0" w:right="0" w:firstLine="0" w:firstLineChars="0"/>
              <w:rPr>
                <w:rFonts w:hint="eastAsia"/>
                <w:snapToGrid w:val="0"/>
                <w:highlight w:val="none"/>
              </w:rPr>
            </w:pPr>
          </w:p>
        </w:tc>
        <w:tc>
          <w:tcPr>
            <w:tcW w:w="572" w:type="dxa"/>
            <w:vMerge w:val="continue"/>
            <w:vAlign w:val="center"/>
          </w:tcPr>
          <w:p w14:paraId="365D11FF">
            <w:pPr>
              <w:pStyle w:val="8"/>
              <w:suppressLineNumbers w:val="0"/>
              <w:bidi w:val="0"/>
              <w:spacing w:before="0" w:beforeAutospacing="0" w:after="0" w:afterAutospacing="0"/>
              <w:ind w:left="0" w:right="0" w:firstLine="0" w:firstLineChars="0"/>
              <w:rPr>
                <w:rFonts w:hint="eastAsia"/>
                <w:snapToGrid w:val="0"/>
                <w:highlight w:val="none"/>
              </w:rPr>
            </w:pPr>
          </w:p>
        </w:tc>
        <w:tc>
          <w:tcPr>
            <w:tcW w:w="660" w:type="dxa"/>
            <w:vMerge w:val="continue"/>
            <w:vAlign w:val="center"/>
          </w:tcPr>
          <w:p w14:paraId="2DE11BA5">
            <w:pPr>
              <w:pStyle w:val="8"/>
              <w:suppressLineNumbers w:val="0"/>
              <w:bidi w:val="0"/>
              <w:spacing w:before="0" w:beforeAutospacing="0" w:after="0" w:afterAutospacing="0"/>
              <w:ind w:left="0" w:right="0" w:firstLine="0" w:firstLineChars="0"/>
              <w:rPr>
                <w:rFonts w:hint="eastAsia"/>
                <w:snapToGrid w:val="0"/>
                <w:highlight w:val="none"/>
              </w:rPr>
            </w:pPr>
          </w:p>
        </w:tc>
        <w:tc>
          <w:tcPr>
            <w:tcW w:w="715" w:type="dxa"/>
            <w:vMerge w:val="continue"/>
            <w:vAlign w:val="center"/>
          </w:tcPr>
          <w:p w14:paraId="23E01C57">
            <w:pPr>
              <w:pStyle w:val="8"/>
              <w:suppressLineNumbers w:val="0"/>
              <w:bidi w:val="0"/>
              <w:spacing w:before="0" w:beforeAutospacing="0" w:after="0" w:afterAutospacing="0"/>
              <w:ind w:left="0" w:right="0"/>
              <w:rPr>
                <w:rFonts w:hint="eastAsia" w:eastAsia="宋体"/>
                <w:snapToGrid w:val="0"/>
                <w:highlight w:val="none"/>
                <w:lang w:val="en-US" w:eastAsia="zh-CN"/>
              </w:rPr>
            </w:pPr>
          </w:p>
        </w:tc>
      </w:tr>
      <w:tr w14:paraId="2326EDD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853" w:type="dxa"/>
            <w:vAlign w:val="center"/>
          </w:tcPr>
          <w:p w14:paraId="154BB12E">
            <w:pPr>
              <w:pStyle w:val="8"/>
              <w:suppressLineNumbers w:val="0"/>
              <w:bidi w:val="0"/>
              <w:spacing w:before="0" w:beforeAutospacing="0" w:after="0" w:afterAutospacing="0"/>
              <w:ind w:left="0" w:leftChars="0" w:right="0" w:rightChars="0" w:firstLine="0" w:firstLineChars="0"/>
              <w:rPr>
                <w:rFonts w:hint="default"/>
                <w:snapToGrid w:val="0"/>
                <w:highlight w:val="none"/>
                <w:lang w:val="en-US" w:eastAsia="zh-CN"/>
              </w:rPr>
            </w:pPr>
            <w:r>
              <w:rPr>
                <w:rFonts w:hint="eastAsia"/>
                <w:snapToGrid w:val="0"/>
                <w:highlight w:val="none"/>
                <w:lang w:val="en-US" w:eastAsia="zh-CN"/>
              </w:rPr>
              <w:t>原料贮存、危险废物贮存、生产</w:t>
            </w:r>
          </w:p>
        </w:tc>
        <w:tc>
          <w:tcPr>
            <w:tcW w:w="584" w:type="dxa"/>
            <w:vMerge w:val="restart"/>
            <w:vAlign w:val="center"/>
          </w:tcPr>
          <w:p w14:paraId="50C36275">
            <w:pPr>
              <w:pStyle w:val="8"/>
              <w:suppressLineNumbers w:val="0"/>
              <w:bidi w:val="0"/>
              <w:spacing w:before="0" w:beforeAutospacing="0" w:after="0" w:afterAutospacing="0"/>
              <w:ind w:left="0" w:right="0" w:firstLine="0" w:firstLineChars="0"/>
              <w:rPr>
                <w:rFonts w:hint="default" w:eastAsia="宋体"/>
                <w:snapToGrid w:val="0"/>
                <w:highlight w:val="none"/>
                <w:lang w:val="en-US" w:eastAsia="zh-CN"/>
              </w:rPr>
            </w:pPr>
            <w:r>
              <w:rPr>
                <w:rFonts w:hint="eastAsia"/>
                <w:snapToGrid w:val="0"/>
                <w:highlight w:val="none"/>
                <w:lang w:val="en-US" w:eastAsia="zh-CN"/>
              </w:rPr>
              <w:t>无组织、</w:t>
            </w:r>
            <w:r>
              <w:rPr>
                <w:rFonts w:hint="default"/>
                <w:snapToGrid w:val="0"/>
                <w:highlight w:val="none"/>
              </w:rPr>
              <w:t>DA001排气筒</w:t>
            </w:r>
          </w:p>
        </w:tc>
        <w:tc>
          <w:tcPr>
            <w:tcW w:w="527" w:type="dxa"/>
            <w:vAlign w:val="center"/>
          </w:tcPr>
          <w:p w14:paraId="25AD599D">
            <w:pPr>
              <w:pStyle w:val="8"/>
              <w:suppressLineNumbers w:val="0"/>
              <w:bidi w:val="0"/>
              <w:spacing w:before="0" w:beforeAutospacing="0" w:after="0" w:afterAutospacing="0"/>
              <w:ind w:left="0" w:right="0"/>
              <w:rPr>
                <w:rFonts w:hint="eastAsia" w:eastAsia="宋体"/>
                <w:snapToGrid w:val="0"/>
                <w:highlight w:val="none"/>
                <w:lang w:val="en-US" w:eastAsia="zh-CN"/>
              </w:rPr>
            </w:pPr>
            <w:r>
              <w:rPr>
                <w:rFonts w:hint="eastAsia"/>
                <w:snapToGrid w:val="0"/>
                <w:highlight w:val="none"/>
                <w:lang w:val="en-US" w:eastAsia="zh-CN"/>
              </w:rPr>
              <w:t>臭气浓度</w:t>
            </w:r>
          </w:p>
        </w:tc>
        <w:tc>
          <w:tcPr>
            <w:tcW w:w="727" w:type="dxa"/>
            <w:vMerge w:val="continue"/>
            <w:vAlign w:val="center"/>
          </w:tcPr>
          <w:p w14:paraId="731345B8">
            <w:pPr>
              <w:pStyle w:val="8"/>
              <w:suppressLineNumbers w:val="0"/>
              <w:bidi w:val="0"/>
              <w:spacing w:before="0" w:beforeAutospacing="0" w:after="0" w:afterAutospacing="0"/>
              <w:ind w:left="0" w:right="0"/>
              <w:rPr>
                <w:rFonts w:hint="default"/>
                <w:snapToGrid w:val="0"/>
                <w:highlight w:val="none"/>
              </w:rPr>
            </w:pPr>
          </w:p>
        </w:tc>
        <w:tc>
          <w:tcPr>
            <w:tcW w:w="679" w:type="dxa"/>
            <w:vAlign w:val="center"/>
          </w:tcPr>
          <w:p w14:paraId="763E3234">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w:t>
            </w:r>
          </w:p>
        </w:tc>
        <w:tc>
          <w:tcPr>
            <w:tcW w:w="720" w:type="dxa"/>
            <w:vAlign w:val="center"/>
          </w:tcPr>
          <w:p w14:paraId="1B21A465">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w:t>
            </w:r>
          </w:p>
        </w:tc>
        <w:tc>
          <w:tcPr>
            <w:tcW w:w="665" w:type="dxa"/>
            <w:vAlign w:val="center"/>
          </w:tcPr>
          <w:p w14:paraId="4FE58BFE">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少量</w:t>
            </w:r>
          </w:p>
        </w:tc>
        <w:tc>
          <w:tcPr>
            <w:tcW w:w="611" w:type="dxa"/>
            <w:vAlign w:val="center"/>
          </w:tcPr>
          <w:p w14:paraId="267D8209">
            <w:pPr>
              <w:pStyle w:val="8"/>
              <w:suppressLineNumbers w:val="0"/>
              <w:bidi w:val="0"/>
              <w:spacing w:before="0" w:beforeAutospacing="0" w:after="0" w:afterAutospacing="0"/>
              <w:ind w:left="0" w:leftChars="0" w:right="0" w:rightChars="0" w:firstLine="0" w:firstLineChars="0"/>
              <w:rPr>
                <w:rFonts w:hint="eastAsia"/>
                <w:snapToGrid w:val="0"/>
                <w:highlight w:val="none"/>
                <w:lang w:val="en-US" w:eastAsia="zh-CN"/>
              </w:rPr>
            </w:pPr>
            <w:r>
              <w:rPr>
                <w:rFonts w:hint="eastAsia"/>
                <w:snapToGrid w:val="0"/>
                <w:highlight w:val="none"/>
                <w:lang w:val="en-US" w:eastAsia="zh-CN"/>
              </w:rPr>
              <w:t>/</w:t>
            </w:r>
          </w:p>
        </w:tc>
        <w:tc>
          <w:tcPr>
            <w:tcW w:w="706" w:type="dxa"/>
            <w:vAlign w:val="center"/>
          </w:tcPr>
          <w:p w14:paraId="79B5EB2B">
            <w:pPr>
              <w:pStyle w:val="8"/>
              <w:suppressLineNumbers w:val="0"/>
              <w:bidi w:val="0"/>
              <w:spacing w:before="0" w:beforeAutospacing="0" w:after="0" w:afterAutospacing="0"/>
              <w:ind w:left="0" w:leftChars="0" w:right="0" w:rightChars="0" w:firstLine="0" w:firstLineChars="0"/>
              <w:rPr>
                <w:rFonts w:hint="eastAsia"/>
                <w:snapToGrid w:val="0"/>
                <w:highlight w:val="none"/>
                <w:lang w:val="en-US" w:eastAsia="zh-CN"/>
              </w:rPr>
            </w:pPr>
            <w:r>
              <w:rPr>
                <w:rFonts w:hint="eastAsia"/>
                <w:snapToGrid w:val="0"/>
                <w:highlight w:val="none"/>
                <w:lang w:val="en-US" w:eastAsia="zh-CN"/>
              </w:rPr>
              <w:t>/</w:t>
            </w:r>
          </w:p>
        </w:tc>
        <w:tc>
          <w:tcPr>
            <w:tcW w:w="711" w:type="dxa"/>
            <w:vAlign w:val="center"/>
          </w:tcPr>
          <w:p w14:paraId="6A356624">
            <w:pPr>
              <w:pStyle w:val="8"/>
              <w:suppressLineNumbers w:val="0"/>
              <w:bidi w:val="0"/>
              <w:spacing w:before="0" w:beforeAutospacing="0" w:after="0" w:afterAutospacing="0"/>
              <w:ind w:left="0" w:leftChars="0" w:right="0" w:rightChars="0" w:firstLine="0" w:firstLineChars="0"/>
              <w:rPr>
                <w:rFonts w:hint="eastAsia"/>
                <w:snapToGrid w:val="0"/>
                <w:highlight w:val="none"/>
                <w:lang w:val="en-US" w:eastAsia="zh-CN"/>
              </w:rPr>
            </w:pPr>
            <w:r>
              <w:rPr>
                <w:rFonts w:hint="eastAsia"/>
                <w:snapToGrid w:val="0"/>
                <w:highlight w:val="none"/>
                <w:lang w:val="en-US" w:eastAsia="zh-CN"/>
              </w:rPr>
              <w:t>/</w:t>
            </w:r>
          </w:p>
        </w:tc>
        <w:tc>
          <w:tcPr>
            <w:tcW w:w="709" w:type="dxa"/>
            <w:vAlign w:val="center"/>
          </w:tcPr>
          <w:p w14:paraId="6FFA5888">
            <w:pPr>
              <w:pStyle w:val="8"/>
              <w:suppressLineNumbers w:val="0"/>
              <w:bidi w:val="0"/>
              <w:spacing w:before="0" w:beforeAutospacing="0" w:after="0" w:afterAutospacing="0"/>
              <w:ind w:left="0" w:leftChars="0" w:right="0" w:rightChars="0" w:firstLine="0" w:firstLineChars="0"/>
              <w:rPr>
                <w:rFonts w:hint="eastAsia"/>
                <w:snapToGrid w:val="0"/>
                <w:highlight w:val="none"/>
                <w:lang w:val="en-US" w:eastAsia="zh-CN"/>
              </w:rPr>
            </w:pPr>
            <w:r>
              <w:rPr>
                <w:rFonts w:hint="eastAsia"/>
                <w:snapToGrid w:val="0"/>
                <w:highlight w:val="none"/>
                <w:lang w:val="en-US" w:eastAsia="zh-CN"/>
              </w:rPr>
              <w:t>/</w:t>
            </w:r>
          </w:p>
        </w:tc>
        <w:tc>
          <w:tcPr>
            <w:tcW w:w="709" w:type="dxa"/>
            <w:vAlign w:val="center"/>
          </w:tcPr>
          <w:p w14:paraId="1F8DEF7E">
            <w:pPr>
              <w:pStyle w:val="8"/>
              <w:suppressLineNumbers w:val="0"/>
              <w:bidi w:val="0"/>
              <w:spacing w:before="0" w:beforeAutospacing="0" w:after="0" w:afterAutospacing="0"/>
              <w:ind w:left="0" w:leftChars="0" w:right="0" w:rightChars="0" w:firstLine="0" w:firstLineChars="0"/>
              <w:rPr>
                <w:rFonts w:hint="eastAsia"/>
                <w:snapToGrid w:val="0"/>
                <w:highlight w:val="none"/>
                <w:lang w:val="en-US" w:eastAsia="zh-CN"/>
              </w:rPr>
            </w:pPr>
            <w:r>
              <w:rPr>
                <w:rFonts w:hint="eastAsia"/>
                <w:snapToGrid w:val="0"/>
                <w:highlight w:val="none"/>
                <w:lang w:val="en-US" w:eastAsia="zh-CN"/>
              </w:rPr>
              <w:t>/</w:t>
            </w:r>
          </w:p>
        </w:tc>
        <w:tc>
          <w:tcPr>
            <w:tcW w:w="634" w:type="dxa"/>
            <w:vAlign w:val="center"/>
          </w:tcPr>
          <w:p w14:paraId="21089CB1">
            <w:pPr>
              <w:pStyle w:val="8"/>
              <w:suppressLineNumbers w:val="0"/>
              <w:bidi w:val="0"/>
              <w:spacing w:before="0" w:beforeAutospacing="0" w:after="0" w:afterAutospacing="0"/>
              <w:ind w:left="0" w:leftChars="0" w:right="0" w:rightChars="0" w:firstLine="0" w:firstLineChars="0"/>
              <w:rPr>
                <w:rFonts w:hint="eastAsia"/>
                <w:snapToGrid w:val="0"/>
                <w:highlight w:val="none"/>
                <w:lang w:val="en-US" w:eastAsia="zh-CN"/>
              </w:rPr>
            </w:pPr>
            <w:r>
              <w:rPr>
                <w:rFonts w:hint="eastAsia"/>
                <w:snapToGrid w:val="0"/>
                <w:highlight w:val="none"/>
                <w:lang w:val="en-US" w:eastAsia="zh-CN"/>
              </w:rPr>
              <w:t>/</w:t>
            </w:r>
          </w:p>
        </w:tc>
        <w:tc>
          <w:tcPr>
            <w:tcW w:w="585" w:type="dxa"/>
            <w:vAlign w:val="center"/>
          </w:tcPr>
          <w:p w14:paraId="4D719E7C">
            <w:pPr>
              <w:pStyle w:val="8"/>
              <w:suppressLineNumbers w:val="0"/>
              <w:bidi w:val="0"/>
              <w:spacing w:before="0" w:beforeAutospacing="0" w:after="0" w:afterAutospacing="0"/>
              <w:ind w:left="0" w:leftChars="0" w:right="0" w:rightChars="0" w:firstLine="0" w:firstLineChars="0"/>
              <w:rPr>
                <w:rFonts w:hint="eastAsia"/>
                <w:snapToGrid w:val="0"/>
                <w:highlight w:val="none"/>
                <w:lang w:val="en-US" w:eastAsia="zh-CN"/>
              </w:rPr>
            </w:pPr>
            <w:r>
              <w:rPr>
                <w:rFonts w:hint="eastAsia"/>
                <w:snapToGrid w:val="0"/>
                <w:highlight w:val="none"/>
                <w:lang w:val="en-US" w:eastAsia="zh-CN"/>
              </w:rPr>
              <w:t>/</w:t>
            </w:r>
          </w:p>
        </w:tc>
        <w:tc>
          <w:tcPr>
            <w:tcW w:w="624" w:type="dxa"/>
            <w:vAlign w:val="center"/>
          </w:tcPr>
          <w:p w14:paraId="2387AF81">
            <w:pPr>
              <w:pStyle w:val="8"/>
              <w:suppressLineNumbers w:val="0"/>
              <w:bidi w:val="0"/>
              <w:spacing w:before="0" w:beforeAutospacing="0" w:after="0" w:afterAutospacing="0"/>
              <w:ind w:left="0" w:leftChars="0" w:right="0" w:rightChars="0" w:firstLine="0" w:firstLineChars="0"/>
              <w:rPr>
                <w:rFonts w:hint="eastAsia"/>
                <w:snapToGrid w:val="0"/>
                <w:highlight w:val="none"/>
                <w:lang w:val="en-US" w:eastAsia="zh-CN"/>
              </w:rPr>
            </w:pPr>
            <w:r>
              <w:rPr>
                <w:rFonts w:hint="eastAsia"/>
                <w:snapToGrid w:val="0"/>
                <w:highlight w:val="none"/>
                <w:lang w:val="en-US" w:eastAsia="zh-CN"/>
              </w:rPr>
              <w:t>少量</w:t>
            </w:r>
          </w:p>
        </w:tc>
        <w:tc>
          <w:tcPr>
            <w:tcW w:w="567" w:type="dxa"/>
            <w:vAlign w:val="center"/>
          </w:tcPr>
          <w:p w14:paraId="051201B9">
            <w:pPr>
              <w:pStyle w:val="8"/>
              <w:suppressLineNumbers w:val="0"/>
              <w:bidi w:val="0"/>
              <w:spacing w:before="0" w:beforeAutospacing="0" w:after="0" w:afterAutospacing="0"/>
              <w:ind w:left="0" w:leftChars="0" w:right="0" w:rightChars="0" w:firstLine="0" w:firstLineChars="0"/>
              <w:rPr>
                <w:rFonts w:hint="eastAsia"/>
                <w:snapToGrid w:val="0"/>
                <w:highlight w:val="none"/>
                <w:lang w:val="en-US" w:eastAsia="zh-CN"/>
              </w:rPr>
            </w:pPr>
            <w:r>
              <w:rPr>
                <w:rFonts w:hint="eastAsia"/>
                <w:snapToGrid w:val="0"/>
                <w:highlight w:val="none"/>
                <w:lang w:val="en-US" w:eastAsia="zh-CN"/>
              </w:rPr>
              <w:t>/</w:t>
            </w:r>
          </w:p>
        </w:tc>
        <w:tc>
          <w:tcPr>
            <w:tcW w:w="708" w:type="dxa"/>
            <w:vAlign w:val="center"/>
          </w:tcPr>
          <w:p w14:paraId="5807ED42">
            <w:pPr>
              <w:pStyle w:val="8"/>
              <w:suppressLineNumbers w:val="0"/>
              <w:bidi w:val="0"/>
              <w:spacing w:before="0" w:beforeAutospacing="0" w:after="0" w:afterAutospacing="0"/>
              <w:ind w:left="0" w:right="0"/>
              <w:rPr>
                <w:rFonts w:hint="default"/>
                <w:snapToGrid w:val="0"/>
                <w:highlight w:val="none"/>
              </w:rPr>
            </w:pPr>
            <w:r>
              <w:rPr>
                <w:rFonts w:hint="eastAsia"/>
                <w:snapToGrid w:val="0"/>
                <w:highlight w:val="none"/>
                <w:lang w:val="en-US" w:eastAsia="zh-CN"/>
              </w:rPr>
              <w:t>8760</w:t>
            </w:r>
          </w:p>
        </w:tc>
        <w:tc>
          <w:tcPr>
            <w:tcW w:w="709" w:type="dxa"/>
            <w:vAlign w:val="center"/>
          </w:tcPr>
          <w:p w14:paraId="3C8401A9">
            <w:pPr>
              <w:pStyle w:val="8"/>
              <w:suppressLineNumbers w:val="0"/>
              <w:bidi w:val="0"/>
              <w:spacing w:before="0" w:beforeAutospacing="0" w:after="0" w:afterAutospacing="0"/>
              <w:ind w:left="0" w:leftChars="0" w:right="0" w:rightChars="0" w:firstLine="0" w:firstLineChars="0"/>
              <w:rPr>
                <w:rFonts w:hint="eastAsia"/>
                <w:snapToGrid w:val="0"/>
                <w:highlight w:val="none"/>
              </w:rPr>
            </w:pPr>
            <w:r>
              <w:rPr>
                <w:rFonts w:hint="eastAsia"/>
                <w:snapToGrid w:val="0"/>
                <w:highlight w:val="none"/>
              </w:rPr>
              <w:t>/</w:t>
            </w:r>
          </w:p>
        </w:tc>
        <w:tc>
          <w:tcPr>
            <w:tcW w:w="572" w:type="dxa"/>
            <w:vAlign w:val="center"/>
          </w:tcPr>
          <w:p w14:paraId="0C5E8ED0">
            <w:pPr>
              <w:pStyle w:val="8"/>
              <w:suppressLineNumbers w:val="0"/>
              <w:bidi w:val="0"/>
              <w:spacing w:before="0" w:beforeAutospacing="0" w:after="0" w:afterAutospacing="0"/>
              <w:ind w:left="0" w:leftChars="0" w:right="0" w:rightChars="0" w:firstLine="0" w:firstLineChars="0"/>
              <w:rPr>
                <w:rFonts w:hint="eastAsia"/>
                <w:snapToGrid w:val="0"/>
                <w:highlight w:val="none"/>
              </w:rPr>
            </w:pPr>
            <w:r>
              <w:rPr>
                <w:rFonts w:hint="eastAsia"/>
                <w:snapToGrid w:val="0"/>
                <w:highlight w:val="none"/>
              </w:rPr>
              <w:t>/</w:t>
            </w:r>
          </w:p>
        </w:tc>
        <w:tc>
          <w:tcPr>
            <w:tcW w:w="660" w:type="dxa"/>
            <w:vAlign w:val="center"/>
          </w:tcPr>
          <w:p w14:paraId="4B93CA62">
            <w:pPr>
              <w:pStyle w:val="8"/>
              <w:suppressLineNumbers w:val="0"/>
              <w:bidi w:val="0"/>
              <w:spacing w:before="0" w:beforeAutospacing="0" w:after="0" w:afterAutospacing="0"/>
              <w:ind w:left="0" w:leftChars="0" w:right="0" w:rightChars="0" w:firstLine="0" w:firstLineChars="0"/>
              <w:rPr>
                <w:rFonts w:hint="eastAsia"/>
                <w:snapToGrid w:val="0"/>
                <w:highlight w:val="none"/>
              </w:rPr>
            </w:pPr>
            <w:r>
              <w:rPr>
                <w:rFonts w:hint="eastAsia"/>
                <w:snapToGrid w:val="0"/>
                <w:highlight w:val="none"/>
              </w:rPr>
              <w:t>/</w:t>
            </w:r>
          </w:p>
        </w:tc>
        <w:tc>
          <w:tcPr>
            <w:tcW w:w="715" w:type="dxa"/>
            <w:vAlign w:val="center"/>
          </w:tcPr>
          <w:p w14:paraId="2E6DCA7F">
            <w:pPr>
              <w:pStyle w:val="8"/>
              <w:suppressLineNumbers w:val="0"/>
              <w:bidi w:val="0"/>
              <w:spacing w:before="0" w:beforeAutospacing="0" w:after="0" w:afterAutospacing="0"/>
              <w:ind w:left="0" w:leftChars="0" w:right="0" w:rightChars="0" w:firstLine="0" w:firstLineChars="0"/>
              <w:rPr>
                <w:rFonts w:hint="eastAsia"/>
                <w:snapToGrid w:val="0"/>
                <w:highlight w:val="none"/>
                <w:lang w:val="en-US" w:eastAsia="zh-CN"/>
              </w:rPr>
            </w:pPr>
            <w:r>
              <w:rPr>
                <w:rFonts w:hint="eastAsia"/>
                <w:snapToGrid w:val="0"/>
                <w:highlight w:val="none"/>
              </w:rPr>
              <w:t>/</w:t>
            </w:r>
          </w:p>
        </w:tc>
      </w:tr>
      <w:tr w14:paraId="3A51A48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853" w:type="dxa"/>
            <w:vAlign w:val="center"/>
          </w:tcPr>
          <w:p w14:paraId="2E2A0E8C">
            <w:pPr>
              <w:pStyle w:val="8"/>
              <w:suppressLineNumbers w:val="0"/>
              <w:bidi w:val="0"/>
              <w:spacing w:before="0" w:beforeAutospacing="0" w:after="0" w:afterAutospacing="0"/>
              <w:ind w:left="0" w:leftChars="0" w:right="0" w:rightChars="0" w:firstLine="0" w:firstLineChars="0"/>
              <w:rPr>
                <w:rFonts w:hint="eastAsia"/>
                <w:snapToGrid w:val="0"/>
                <w:highlight w:val="none"/>
                <w:lang w:val="en-US" w:eastAsia="zh-CN"/>
              </w:rPr>
            </w:pPr>
            <w:r>
              <w:rPr>
                <w:rFonts w:hint="eastAsia"/>
                <w:snapToGrid w:val="0"/>
                <w:highlight w:val="none"/>
                <w:lang w:val="en-US" w:eastAsia="zh-CN"/>
              </w:rPr>
              <w:t>破碎</w:t>
            </w:r>
          </w:p>
        </w:tc>
        <w:tc>
          <w:tcPr>
            <w:tcW w:w="584" w:type="dxa"/>
            <w:vMerge w:val="continue"/>
            <w:vAlign w:val="center"/>
          </w:tcPr>
          <w:p w14:paraId="679AACCE">
            <w:pPr>
              <w:pStyle w:val="8"/>
              <w:suppressLineNumbers w:val="0"/>
              <w:bidi w:val="0"/>
              <w:spacing w:before="0" w:beforeAutospacing="0" w:after="0" w:afterAutospacing="0"/>
              <w:ind w:left="0" w:right="0" w:firstLine="0" w:firstLineChars="0"/>
              <w:rPr>
                <w:rFonts w:hint="default"/>
                <w:snapToGrid w:val="0"/>
                <w:highlight w:val="none"/>
              </w:rPr>
            </w:pPr>
          </w:p>
        </w:tc>
        <w:tc>
          <w:tcPr>
            <w:tcW w:w="527" w:type="dxa"/>
            <w:vAlign w:val="center"/>
          </w:tcPr>
          <w:p w14:paraId="32CA60FB">
            <w:pPr>
              <w:pStyle w:val="8"/>
              <w:suppressLineNumbers w:val="0"/>
              <w:bidi w:val="0"/>
              <w:spacing w:before="0" w:beforeAutospacing="0" w:after="0" w:afterAutospacing="0"/>
              <w:ind w:left="0" w:right="0"/>
              <w:rPr>
                <w:rFonts w:hint="eastAsia" w:eastAsia="宋体"/>
                <w:snapToGrid w:val="0"/>
                <w:highlight w:val="none"/>
                <w:lang w:val="en-US" w:eastAsia="zh-CN"/>
              </w:rPr>
            </w:pPr>
            <w:r>
              <w:rPr>
                <w:rFonts w:hint="eastAsia"/>
                <w:snapToGrid w:val="0"/>
                <w:highlight w:val="none"/>
                <w:lang w:val="en-US" w:eastAsia="zh-CN"/>
              </w:rPr>
              <w:t>颗粒物</w:t>
            </w:r>
          </w:p>
        </w:tc>
        <w:tc>
          <w:tcPr>
            <w:tcW w:w="727" w:type="dxa"/>
            <w:vMerge w:val="continue"/>
            <w:vAlign w:val="center"/>
          </w:tcPr>
          <w:p w14:paraId="4CA0A6A6">
            <w:pPr>
              <w:pStyle w:val="8"/>
              <w:suppressLineNumbers w:val="0"/>
              <w:bidi w:val="0"/>
              <w:spacing w:before="0" w:beforeAutospacing="0" w:after="0" w:afterAutospacing="0"/>
              <w:ind w:left="0" w:right="0"/>
              <w:rPr>
                <w:rFonts w:hint="default"/>
                <w:snapToGrid w:val="0"/>
                <w:highlight w:val="none"/>
              </w:rPr>
            </w:pPr>
          </w:p>
        </w:tc>
        <w:tc>
          <w:tcPr>
            <w:tcW w:w="679" w:type="dxa"/>
            <w:vAlign w:val="center"/>
          </w:tcPr>
          <w:p w14:paraId="6E5B42B8">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w:t>
            </w:r>
          </w:p>
        </w:tc>
        <w:tc>
          <w:tcPr>
            <w:tcW w:w="720" w:type="dxa"/>
            <w:vAlign w:val="center"/>
          </w:tcPr>
          <w:p w14:paraId="491A5388">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w:t>
            </w:r>
          </w:p>
        </w:tc>
        <w:tc>
          <w:tcPr>
            <w:tcW w:w="665" w:type="dxa"/>
            <w:vAlign w:val="center"/>
          </w:tcPr>
          <w:p w14:paraId="5216F662">
            <w:pPr>
              <w:pStyle w:val="8"/>
              <w:suppressLineNumbers w:val="0"/>
              <w:bidi w:val="0"/>
              <w:spacing w:before="0" w:beforeAutospacing="0" w:after="0" w:afterAutospacing="0"/>
              <w:ind w:left="0" w:right="0"/>
              <w:rPr>
                <w:rFonts w:hint="eastAsia"/>
                <w:snapToGrid w:val="0"/>
                <w:highlight w:val="none"/>
                <w:lang w:val="en-US" w:eastAsia="zh-CN"/>
              </w:rPr>
            </w:pPr>
            <w:r>
              <w:rPr>
                <w:rFonts w:hint="eastAsia"/>
                <w:snapToGrid w:val="0"/>
                <w:highlight w:val="none"/>
                <w:lang w:val="en-US" w:eastAsia="zh-CN"/>
              </w:rPr>
              <w:t>少量</w:t>
            </w:r>
          </w:p>
        </w:tc>
        <w:tc>
          <w:tcPr>
            <w:tcW w:w="611" w:type="dxa"/>
            <w:vAlign w:val="center"/>
          </w:tcPr>
          <w:p w14:paraId="092BFE70">
            <w:pPr>
              <w:pStyle w:val="8"/>
              <w:suppressLineNumbers w:val="0"/>
              <w:bidi w:val="0"/>
              <w:spacing w:before="0" w:beforeAutospacing="0" w:after="0" w:afterAutospacing="0"/>
              <w:ind w:left="0" w:leftChars="0" w:right="0" w:rightChars="0" w:firstLine="0" w:firstLineChars="0"/>
              <w:rPr>
                <w:rFonts w:hint="eastAsia"/>
                <w:snapToGrid w:val="0"/>
                <w:highlight w:val="none"/>
                <w:lang w:val="en-US" w:eastAsia="zh-CN"/>
              </w:rPr>
            </w:pPr>
            <w:r>
              <w:rPr>
                <w:rFonts w:hint="eastAsia"/>
                <w:snapToGrid w:val="0"/>
                <w:highlight w:val="none"/>
                <w:lang w:val="en-US" w:eastAsia="zh-CN"/>
              </w:rPr>
              <w:t>/</w:t>
            </w:r>
          </w:p>
        </w:tc>
        <w:tc>
          <w:tcPr>
            <w:tcW w:w="706" w:type="dxa"/>
            <w:vAlign w:val="center"/>
          </w:tcPr>
          <w:p w14:paraId="22F7501A">
            <w:pPr>
              <w:pStyle w:val="8"/>
              <w:suppressLineNumbers w:val="0"/>
              <w:bidi w:val="0"/>
              <w:spacing w:before="0" w:beforeAutospacing="0" w:after="0" w:afterAutospacing="0"/>
              <w:ind w:left="0" w:leftChars="0" w:right="0" w:rightChars="0" w:firstLine="0" w:firstLineChars="0"/>
              <w:rPr>
                <w:rFonts w:hint="eastAsia"/>
                <w:snapToGrid w:val="0"/>
                <w:highlight w:val="none"/>
                <w:lang w:val="en-US" w:eastAsia="zh-CN"/>
              </w:rPr>
            </w:pPr>
            <w:r>
              <w:rPr>
                <w:rFonts w:hint="eastAsia"/>
                <w:snapToGrid w:val="0"/>
                <w:highlight w:val="none"/>
                <w:lang w:val="en-US" w:eastAsia="zh-CN"/>
              </w:rPr>
              <w:t>/</w:t>
            </w:r>
          </w:p>
        </w:tc>
        <w:tc>
          <w:tcPr>
            <w:tcW w:w="711" w:type="dxa"/>
            <w:vAlign w:val="center"/>
          </w:tcPr>
          <w:p w14:paraId="49876E21">
            <w:pPr>
              <w:pStyle w:val="8"/>
              <w:suppressLineNumbers w:val="0"/>
              <w:bidi w:val="0"/>
              <w:spacing w:before="0" w:beforeAutospacing="0" w:after="0" w:afterAutospacing="0"/>
              <w:ind w:left="0" w:leftChars="0" w:right="0" w:rightChars="0" w:firstLine="0" w:firstLineChars="0"/>
              <w:rPr>
                <w:rFonts w:hint="eastAsia"/>
                <w:snapToGrid w:val="0"/>
                <w:highlight w:val="none"/>
                <w:lang w:val="en-US" w:eastAsia="zh-CN"/>
              </w:rPr>
            </w:pPr>
            <w:r>
              <w:rPr>
                <w:rFonts w:hint="eastAsia"/>
                <w:snapToGrid w:val="0"/>
                <w:highlight w:val="none"/>
                <w:lang w:val="en-US" w:eastAsia="zh-CN"/>
              </w:rPr>
              <w:t>/</w:t>
            </w:r>
          </w:p>
        </w:tc>
        <w:tc>
          <w:tcPr>
            <w:tcW w:w="709" w:type="dxa"/>
            <w:vAlign w:val="center"/>
          </w:tcPr>
          <w:p w14:paraId="78055780">
            <w:pPr>
              <w:pStyle w:val="8"/>
              <w:suppressLineNumbers w:val="0"/>
              <w:bidi w:val="0"/>
              <w:spacing w:before="0" w:beforeAutospacing="0" w:after="0" w:afterAutospacing="0"/>
              <w:ind w:left="0" w:leftChars="0" w:right="0" w:rightChars="0" w:firstLine="0" w:firstLineChars="0"/>
              <w:rPr>
                <w:rFonts w:hint="eastAsia"/>
                <w:snapToGrid w:val="0"/>
                <w:highlight w:val="none"/>
                <w:lang w:val="en-US" w:eastAsia="zh-CN"/>
              </w:rPr>
            </w:pPr>
            <w:r>
              <w:rPr>
                <w:rFonts w:hint="eastAsia"/>
                <w:snapToGrid w:val="0"/>
                <w:highlight w:val="none"/>
                <w:lang w:val="en-US" w:eastAsia="zh-CN"/>
              </w:rPr>
              <w:t>/</w:t>
            </w:r>
          </w:p>
        </w:tc>
        <w:tc>
          <w:tcPr>
            <w:tcW w:w="709" w:type="dxa"/>
            <w:vAlign w:val="center"/>
          </w:tcPr>
          <w:p w14:paraId="6D3E206F">
            <w:pPr>
              <w:pStyle w:val="8"/>
              <w:suppressLineNumbers w:val="0"/>
              <w:bidi w:val="0"/>
              <w:spacing w:before="0" w:beforeAutospacing="0" w:after="0" w:afterAutospacing="0"/>
              <w:ind w:left="0" w:leftChars="0" w:right="0" w:rightChars="0" w:firstLine="0" w:firstLineChars="0"/>
              <w:rPr>
                <w:rFonts w:hint="eastAsia"/>
                <w:snapToGrid w:val="0"/>
                <w:highlight w:val="none"/>
                <w:lang w:val="en-US" w:eastAsia="zh-CN"/>
              </w:rPr>
            </w:pPr>
            <w:r>
              <w:rPr>
                <w:rFonts w:hint="eastAsia"/>
                <w:snapToGrid w:val="0"/>
                <w:highlight w:val="none"/>
                <w:lang w:val="en-US" w:eastAsia="zh-CN"/>
              </w:rPr>
              <w:t>/</w:t>
            </w:r>
          </w:p>
        </w:tc>
        <w:tc>
          <w:tcPr>
            <w:tcW w:w="634" w:type="dxa"/>
            <w:vAlign w:val="center"/>
          </w:tcPr>
          <w:p w14:paraId="44EF66FE">
            <w:pPr>
              <w:pStyle w:val="8"/>
              <w:suppressLineNumbers w:val="0"/>
              <w:bidi w:val="0"/>
              <w:spacing w:before="0" w:beforeAutospacing="0" w:after="0" w:afterAutospacing="0"/>
              <w:ind w:left="0" w:leftChars="0" w:right="0" w:rightChars="0" w:firstLine="0" w:firstLineChars="0"/>
              <w:rPr>
                <w:rFonts w:hint="eastAsia"/>
                <w:snapToGrid w:val="0"/>
                <w:highlight w:val="none"/>
                <w:lang w:val="en-US" w:eastAsia="zh-CN"/>
              </w:rPr>
            </w:pPr>
            <w:r>
              <w:rPr>
                <w:rFonts w:hint="eastAsia"/>
                <w:snapToGrid w:val="0"/>
                <w:highlight w:val="none"/>
                <w:lang w:val="en-US" w:eastAsia="zh-CN"/>
              </w:rPr>
              <w:t>/</w:t>
            </w:r>
          </w:p>
        </w:tc>
        <w:tc>
          <w:tcPr>
            <w:tcW w:w="585" w:type="dxa"/>
            <w:vAlign w:val="center"/>
          </w:tcPr>
          <w:p w14:paraId="4AC23A47">
            <w:pPr>
              <w:pStyle w:val="8"/>
              <w:suppressLineNumbers w:val="0"/>
              <w:bidi w:val="0"/>
              <w:spacing w:before="0" w:beforeAutospacing="0" w:after="0" w:afterAutospacing="0"/>
              <w:ind w:left="0" w:leftChars="0" w:right="0" w:rightChars="0" w:firstLine="0" w:firstLineChars="0"/>
              <w:rPr>
                <w:rFonts w:hint="eastAsia"/>
                <w:snapToGrid w:val="0"/>
                <w:highlight w:val="none"/>
                <w:lang w:val="en-US" w:eastAsia="zh-CN"/>
              </w:rPr>
            </w:pPr>
            <w:r>
              <w:rPr>
                <w:rFonts w:hint="eastAsia"/>
                <w:snapToGrid w:val="0"/>
                <w:highlight w:val="none"/>
                <w:lang w:val="en-US" w:eastAsia="zh-CN"/>
              </w:rPr>
              <w:t>/</w:t>
            </w:r>
          </w:p>
        </w:tc>
        <w:tc>
          <w:tcPr>
            <w:tcW w:w="624" w:type="dxa"/>
            <w:vAlign w:val="center"/>
          </w:tcPr>
          <w:p w14:paraId="65BE9EFA">
            <w:pPr>
              <w:pStyle w:val="8"/>
              <w:suppressLineNumbers w:val="0"/>
              <w:bidi w:val="0"/>
              <w:spacing w:before="0" w:beforeAutospacing="0" w:after="0" w:afterAutospacing="0"/>
              <w:ind w:left="0" w:leftChars="0" w:right="0" w:rightChars="0" w:firstLine="0" w:firstLineChars="0"/>
              <w:rPr>
                <w:rFonts w:hint="eastAsia"/>
                <w:snapToGrid w:val="0"/>
                <w:highlight w:val="none"/>
                <w:lang w:val="en-US" w:eastAsia="zh-CN"/>
              </w:rPr>
            </w:pPr>
            <w:r>
              <w:rPr>
                <w:rFonts w:hint="eastAsia"/>
                <w:snapToGrid w:val="0"/>
                <w:highlight w:val="none"/>
                <w:lang w:val="en-US" w:eastAsia="zh-CN"/>
              </w:rPr>
              <w:t>少量</w:t>
            </w:r>
          </w:p>
        </w:tc>
        <w:tc>
          <w:tcPr>
            <w:tcW w:w="567" w:type="dxa"/>
            <w:vAlign w:val="center"/>
          </w:tcPr>
          <w:p w14:paraId="6AA0D690">
            <w:pPr>
              <w:pStyle w:val="8"/>
              <w:suppressLineNumbers w:val="0"/>
              <w:bidi w:val="0"/>
              <w:spacing w:before="0" w:beforeAutospacing="0" w:after="0" w:afterAutospacing="0"/>
              <w:ind w:left="0" w:leftChars="0" w:right="0" w:rightChars="0" w:firstLine="0" w:firstLineChars="0"/>
              <w:rPr>
                <w:rFonts w:hint="eastAsia"/>
                <w:snapToGrid w:val="0"/>
                <w:highlight w:val="none"/>
                <w:lang w:val="en-US" w:eastAsia="zh-CN"/>
              </w:rPr>
            </w:pPr>
            <w:r>
              <w:rPr>
                <w:rFonts w:hint="eastAsia"/>
                <w:snapToGrid w:val="0"/>
                <w:highlight w:val="none"/>
                <w:lang w:val="en-US" w:eastAsia="zh-CN"/>
              </w:rPr>
              <w:t>/</w:t>
            </w:r>
          </w:p>
        </w:tc>
        <w:tc>
          <w:tcPr>
            <w:tcW w:w="708" w:type="dxa"/>
            <w:vAlign w:val="center"/>
          </w:tcPr>
          <w:p w14:paraId="7812CED0">
            <w:pPr>
              <w:pStyle w:val="8"/>
              <w:suppressLineNumbers w:val="0"/>
              <w:bidi w:val="0"/>
              <w:spacing w:before="0" w:beforeAutospacing="0" w:after="0" w:afterAutospacing="0"/>
              <w:ind w:left="0" w:right="0"/>
              <w:rPr>
                <w:rFonts w:hint="default"/>
                <w:snapToGrid w:val="0"/>
                <w:highlight w:val="none"/>
              </w:rPr>
            </w:pPr>
            <w:r>
              <w:rPr>
                <w:rFonts w:hint="eastAsia"/>
                <w:snapToGrid w:val="0"/>
                <w:highlight w:val="none"/>
                <w:lang w:val="en-US" w:eastAsia="zh-CN"/>
              </w:rPr>
              <w:t>2400</w:t>
            </w:r>
          </w:p>
        </w:tc>
        <w:tc>
          <w:tcPr>
            <w:tcW w:w="709" w:type="dxa"/>
            <w:vAlign w:val="center"/>
          </w:tcPr>
          <w:p w14:paraId="009DB428">
            <w:pPr>
              <w:pStyle w:val="8"/>
              <w:suppressLineNumbers w:val="0"/>
              <w:bidi w:val="0"/>
              <w:spacing w:before="0" w:beforeAutospacing="0" w:after="0" w:afterAutospacing="0"/>
              <w:ind w:left="0" w:leftChars="0" w:right="0" w:rightChars="0" w:firstLine="0" w:firstLineChars="0"/>
              <w:rPr>
                <w:rFonts w:hint="eastAsia"/>
                <w:snapToGrid w:val="0"/>
                <w:highlight w:val="none"/>
              </w:rPr>
            </w:pPr>
            <w:r>
              <w:rPr>
                <w:rFonts w:hint="eastAsia"/>
                <w:snapToGrid w:val="0"/>
                <w:highlight w:val="none"/>
              </w:rPr>
              <w:t>/</w:t>
            </w:r>
          </w:p>
        </w:tc>
        <w:tc>
          <w:tcPr>
            <w:tcW w:w="572" w:type="dxa"/>
            <w:vAlign w:val="center"/>
          </w:tcPr>
          <w:p w14:paraId="3B5E001D">
            <w:pPr>
              <w:pStyle w:val="8"/>
              <w:suppressLineNumbers w:val="0"/>
              <w:bidi w:val="0"/>
              <w:spacing w:before="0" w:beforeAutospacing="0" w:after="0" w:afterAutospacing="0"/>
              <w:ind w:left="0" w:leftChars="0" w:right="0" w:rightChars="0" w:firstLine="0" w:firstLineChars="0"/>
              <w:rPr>
                <w:rFonts w:hint="eastAsia"/>
                <w:snapToGrid w:val="0"/>
                <w:highlight w:val="none"/>
              </w:rPr>
            </w:pPr>
            <w:r>
              <w:rPr>
                <w:rFonts w:hint="eastAsia"/>
                <w:snapToGrid w:val="0"/>
                <w:highlight w:val="none"/>
              </w:rPr>
              <w:t>/</w:t>
            </w:r>
          </w:p>
        </w:tc>
        <w:tc>
          <w:tcPr>
            <w:tcW w:w="660" w:type="dxa"/>
            <w:vAlign w:val="center"/>
          </w:tcPr>
          <w:p w14:paraId="2AE7B57F">
            <w:pPr>
              <w:pStyle w:val="8"/>
              <w:suppressLineNumbers w:val="0"/>
              <w:bidi w:val="0"/>
              <w:spacing w:before="0" w:beforeAutospacing="0" w:after="0" w:afterAutospacing="0"/>
              <w:ind w:left="0" w:leftChars="0" w:right="0" w:rightChars="0" w:firstLine="0" w:firstLineChars="0"/>
              <w:rPr>
                <w:rFonts w:hint="eastAsia"/>
                <w:snapToGrid w:val="0"/>
                <w:highlight w:val="none"/>
              </w:rPr>
            </w:pPr>
            <w:r>
              <w:rPr>
                <w:rFonts w:hint="eastAsia"/>
                <w:snapToGrid w:val="0"/>
                <w:highlight w:val="none"/>
              </w:rPr>
              <w:t>/</w:t>
            </w:r>
          </w:p>
        </w:tc>
        <w:tc>
          <w:tcPr>
            <w:tcW w:w="715" w:type="dxa"/>
            <w:vAlign w:val="center"/>
          </w:tcPr>
          <w:p w14:paraId="2D65D487">
            <w:pPr>
              <w:pStyle w:val="8"/>
              <w:suppressLineNumbers w:val="0"/>
              <w:bidi w:val="0"/>
              <w:spacing w:before="0" w:beforeAutospacing="0" w:after="0" w:afterAutospacing="0"/>
              <w:ind w:left="0" w:leftChars="0" w:right="0" w:rightChars="0" w:firstLine="0" w:firstLineChars="0"/>
              <w:rPr>
                <w:rFonts w:hint="eastAsia"/>
                <w:snapToGrid w:val="0"/>
                <w:highlight w:val="none"/>
                <w:lang w:val="en-US" w:eastAsia="zh-CN"/>
              </w:rPr>
            </w:pPr>
            <w:r>
              <w:rPr>
                <w:rFonts w:hint="eastAsia"/>
                <w:snapToGrid w:val="0"/>
                <w:highlight w:val="none"/>
              </w:rPr>
              <w:t>/</w:t>
            </w:r>
          </w:p>
        </w:tc>
      </w:tr>
    </w:tbl>
    <w:p w14:paraId="1CF24EB0">
      <w:pPr>
        <w:rPr>
          <w:highlight w:val="none"/>
        </w:rPr>
      </w:pPr>
    </w:p>
    <w:bookmarkEnd w:id="287"/>
    <w:p w14:paraId="7DA9CEB8">
      <w:pPr>
        <w:pStyle w:val="7"/>
        <w:bidi w:val="0"/>
        <w:rPr>
          <w:highlight w:val="none"/>
        </w:rPr>
      </w:pPr>
      <w:r>
        <w:rPr>
          <w:highlight w:val="none"/>
        </w:rPr>
        <w:t>表3</w:t>
      </w:r>
      <w:r>
        <w:rPr>
          <w:rFonts w:hint="eastAsia"/>
          <w:highlight w:val="none"/>
          <w:lang w:val="en-US" w:eastAsia="zh-CN"/>
        </w:rPr>
        <w:t>-3-4</w:t>
      </w:r>
      <w:r>
        <w:rPr>
          <w:highlight w:val="none"/>
        </w:rPr>
        <w:t>废水污染源源强核算结果及相关参数一览表</w:t>
      </w:r>
    </w:p>
    <w:tbl>
      <w:tblPr>
        <w:tblStyle w:val="45"/>
        <w:tblW w:w="4949"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585"/>
        <w:gridCol w:w="853"/>
        <w:gridCol w:w="709"/>
        <w:gridCol w:w="847"/>
        <w:gridCol w:w="1277"/>
        <w:gridCol w:w="905"/>
        <w:gridCol w:w="1647"/>
        <w:gridCol w:w="709"/>
        <w:gridCol w:w="709"/>
        <w:gridCol w:w="847"/>
        <w:gridCol w:w="1134"/>
        <w:gridCol w:w="996"/>
        <w:gridCol w:w="990"/>
        <w:gridCol w:w="993"/>
        <w:gridCol w:w="830"/>
      </w:tblGrid>
      <w:tr w14:paraId="1D54838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208" w:type="pct"/>
            <w:vMerge w:val="restart"/>
            <w:tcBorders>
              <w:tl2br w:val="nil"/>
              <w:tr2bl w:val="nil"/>
            </w:tcBorders>
            <w:vAlign w:val="center"/>
          </w:tcPr>
          <w:p w14:paraId="0D8E7D0B">
            <w:pPr>
              <w:pStyle w:val="8"/>
              <w:suppressLineNumbers w:val="0"/>
              <w:bidi w:val="0"/>
              <w:spacing w:before="0" w:beforeAutospacing="0" w:after="0" w:afterAutospacing="0"/>
              <w:ind w:left="0" w:right="0"/>
              <w:rPr>
                <w:rFonts w:hint="default"/>
                <w:highlight w:val="none"/>
              </w:rPr>
            </w:pPr>
            <w:r>
              <w:rPr>
                <w:rFonts w:hint="default"/>
                <w:highlight w:val="none"/>
              </w:rPr>
              <w:t>工序</w:t>
            </w:r>
          </w:p>
        </w:tc>
        <w:tc>
          <w:tcPr>
            <w:tcW w:w="303" w:type="pct"/>
            <w:vMerge w:val="restart"/>
            <w:tcBorders>
              <w:tl2br w:val="nil"/>
              <w:tr2bl w:val="nil"/>
            </w:tcBorders>
            <w:vAlign w:val="center"/>
          </w:tcPr>
          <w:p w14:paraId="0156ADDB">
            <w:pPr>
              <w:pStyle w:val="8"/>
              <w:suppressLineNumbers w:val="0"/>
              <w:bidi w:val="0"/>
              <w:spacing w:before="0" w:beforeAutospacing="0" w:after="0" w:afterAutospacing="0"/>
              <w:ind w:left="0" w:right="0"/>
              <w:rPr>
                <w:rFonts w:hint="default"/>
                <w:highlight w:val="none"/>
              </w:rPr>
            </w:pPr>
            <w:r>
              <w:rPr>
                <w:rFonts w:hint="default"/>
                <w:highlight w:val="none"/>
              </w:rPr>
              <w:t>污染物</w:t>
            </w:r>
          </w:p>
        </w:tc>
        <w:tc>
          <w:tcPr>
            <w:tcW w:w="1331" w:type="pct"/>
            <w:gridSpan w:val="4"/>
            <w:tcBorders>
              <w:tl2br w:val="nil"/>
              <w:tr2bl w:val="nil"/>
            </w:tcBorders>
          </w:tcPr>
          <w:p w14:paraId="47C4B6EA">
            <w:pPr>
              <w:pStyle w:val="8"/>
              <w:suppressLineNumbers w:val="0"/>
              <w:bidi w:val="0"/>
              <w:spacing w:before="0" w:beforeAutospacing="0" w:after="0" w:afterAutospacing="0"/>
              <w:ind w:left="0" w:right="0"/>
              <w:rPr>
                <w:rFonts w:hint="default"/>
                <w:highlight w:val="none"/>
              </w:rPr>
            </w:pPr>
            <w:r>
              <w:rPr>
                <w:rFonts w:hint="default"/>
                <w:highlight w:val="none"/>
              </w:rPr>
              <w:t>污染物产生</w:t>
            </w:r>
          </w:p>
        </w:tc>
        <w:tc>
          <w:tcPr>
            <w:tcW w:w="839" w:type="pct"/>
            <w:gridSpan w:val="2"/>
            <w:tcBorders>
              <w:tl2br w:val="nil"/>
              <w:tr2bl w:val="nil"/>
            </w:tcBorders>
            <w:vAlign w:val="center"/>
          </w:tcPr>
          <w:p w14:paraId="4E012C9B">
            <w:pPr>
              <w:pStyle w:val="8"/>
              <w:suppressLineNumbers w:val="0"/>
              <w:bidi w:val="0"/>
              <w:spacing w:before="0" w:beforeAutospacing="0" w:after="0" w:afterAutospacing="0"/>
              <w:ind w:left="0" w:right="0"/>
              <w:rPr>
                <w:rFonts w:hint="default"/>
                <w:highlight w:val="none"/>
              </w:rPr>
            </w:pPr>
            <w:r>
              <w:rPr>
                <w:rFonts w:hint="default"/>
                <w:highlight w:val="none"/>
              </w:rPr>
              <w:t>治理措施</w:t>
            </w:r>
          </w:p>
        </w:tc>
        <w:tc>
          <w:tcPr>
            <w:tcW w:w="2315" w:type="pct"/>
            <w:gridSpan w:val="7"/>
            <w:tcBorders>
              <w:tl2br w:val="nil"/>
              <w:tr2bl w:val="nil"/>
            </w:tcBorders>
            <w:vAlign w:val="center"/>
          </w:tcPr>
          <w:p w14:paraId="5E274534">
            <w:pPr>
              <w:pStyle w:val="8"/>
              <w:suppressLineNumbers w:val="0"/>
              <w:bidi w:val="0"/>
              <w:spacing w:before="0" w:beforeAutospacing="0" w:after="0" w:afterAutospacing="0"/>
              <w:ind w:left="0" w:right="0"/>
              <w:rPr>
                <w:rFonts w:hint="default"/>
                <w:highlight w:val="none"/>
              </w:rPr>
            </w:pPr>
            <w:r>
              <w:rPr>
                <w:rFonts w:hint="default"/>
                <w:highlight w:val="none"/>
              </w:rPr>
              <w:t>污染物排放</w:t>
            </w:r>
          </w:p>
        </w:tc>
      </w:tr>
      <w:tr w14:paraId="10DFA77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12" w:hRule="atLeast"/>
          <w:jc w:val="center"/>
        </w:trPr>
        <w:tc>
          <w:tcPr>
            <w:tcW w:w="208" w:type="pct"/>
            <w:vMerge w:val="continue"/>
            <w:tcBorders>
              <w:tl2br w:val="nil"/>
              <w:tr2bl w:val="nil"/>
            </w:tcBorders>
            <w:vAlign w:val="center"/>
          </w:tcPr>
          <w:p w14:paraId="282D6F42">
            <w:pPr>
              <w:pStyle w:val="8"/>
              <w:suppressLineNumbers w:val="0"/>
              <w:bidi w:val="0"/>
              <w:spacing w:before="0" w:beforeAutospacing="0" w:after="0" w:afterAutospacing="0"/>
              <w:ind w:left="0" w:right="0"/>
              <w:rPr>
                <w:rFonts w:hint="default"/>
                <w:highlight w:val="none"/>
              </w:rPr>
            </w:pPr>
          </w:p>
        </w:tc>
        <w:tc>
          <w:tcPr>
            <w:tcW w:w="303" w:type="pct"/>
            <w:vMerge w:val="continue"/>
            <w:tcBorders>
              <w:tl2br w:val="nil"/>
              <w:tr2bl w:val="nil"/>
            </w:tcBorders>
            <w:vAlign w:val="center"/>
          </w:tcPr>
          <w:p w14:paraId="79BC4192">
            <w:pPr>
              <w:pStyle w:val="8"/>
              <w:suppressLineNumbers w:val="0"/>
              <w:bidi w:val="0"/>
              <w:spacing w:before="0" w:beforeAutospacing="0" w:after="0" w:afterAutospacing="0"/>
              <w:ind w:left="0" w:right="0"/>
              <w:rPr>
                <w:rFonts w:hint="default"/>
                <w:highlight w:val="none"/>
              </w:rPr>
            </w:pPr>
          </w:p>
        </w:tc>
        <w:tc>
          <w:tcPr>
            <w:tcW w:w="252" w:type="pct"/>
            <w:tcBorders>
              <w:tl2br w:val="nil"/>
              <w:tr2bl w:val="nil"/>
            </w:tcBorders>
          </w:tcPr>
          <w:p w14:paraId="7F3BCC8B">
            <w:pPr>
              <w:pStyle w:val="8"/>
              <w:suppressLineNumbers w:val="0"/>
              <w:bidi w:val="0"/>
              <w:spacing w:before="0" w:beforeAutospacing="0" w:after="0" w:afterAutospacing="0"/>
              <w:ind w:left="0" w:right="0"/>
              <w:rPr>
                <w:rFonts w:hint="default"/>
                <w:highlight w:val="none"/>
              </w:rPr>
            </w:pPr>
            <w:r>
              <w:rPr>
                <w:rFonts w:hint="default"/>
                <w:highlight w:val="none"/>
              </w:rPr>
              <w:t>核算方法</w:t>
            </w:r>
          </w:p>
        </w:tc>
        <w:tc>
          <w:tcPr>
            <w:tcW w:w="301" w:type="pct"/>
            <w:tcBorders>
              <w:tl2br w:val="nil"/>
              <w:tr2bl w:val="nil"/>
            </w:tcBorders>
            <w:vAlign w:val="center"/>
          </w:tcPr>
          <w:p w14:paraId="46CA2545">
            <w:pPr>
              <w:pStyle w:val="8"/>
              <w:suppressLineNumbers w:val="0"/>
              <w:bidi w:val="0"/>
              <w:spacing w:before="0" w:beforeAutospacing="0" w:after="0" w:afterAutospacing="0"/>
              <w:ind w:left="0" w:right="0"/>
              <w:rPr>
                <w:rFonts w:hint="default"/>
                <w:highlight w:val="none"/>
              </w:rPr>
            </w:pPr>
            <w:r>
              <w:rPr>
                <w:rFonts w:hint="default"/>
                <w:highlight w:val="none"/>
              </w:rPr>
              <w:t>废水产生量（t/a）</w:t>
            </w:r>
          </w:p>
        </w:tc>
        <w:tc>
          <w:tcPr>
            <w:tcW w:w="455" w:type="pct"/>
            <w:tcBorders>
              <w:tl2br w:val="nil"/>
              <w:tr2bl w:val="nil"/>
            </w:tcBorders>
            <w:vAlign w:val="center"/>
          </w:tcPr>
          <w:p w14:paraId="4AE111A9">
            <w:pPr>
              <w:pStyle w:val="8"/>
              <w:suppressLineNumbers w:val="0"/>
              <w:bidi w:val="0"/>
              <w:spacing w:before="0" w:beforeAutospacing="0" w:after="0" w:afterAutospacing="0"/>
              <w:ind w:left="0" w:right="0"/>
              <w:rPr>
                <w:rFonts w:hint="default"/>
                <w:highlight w:val="none"/>
              </w:rPr>
            </w:pPr>
            <w:r>
              <w:rPr>
                <w:rFonts w:hint="default"/>
                <w:highlight w:val="none"/>
              </w:rPr>
              <w:t>产生质量浓度（mg/L）</w:t>
            </w:r>
          </w:p>
        </w:tc>
        <w:tc>
          <w:tcPr>
            <w:tcW w:w="322" w:type="pct"/>
            <w:tcBorders>
              <w:tl2br w:val="nil"/>
              <w:tr2bl w:val="nil"/>
            </w:tcBorders>
            <w:vAlign w:val="center"/>
          </w:tcPr>
          <w:p w14:paraId="4B7E5787">
            <w:pPr>
              <w:pStyle w:val="8"/>
              <w:suppressLineNumbers w:val="0"/>
              <w:bidi w:val="0"/>
              <w:spacing w:before="0" w:beforeAutospacing="0" w:after="0" w:afterAutospacing="0"/>
              <w:ind w:left="0" w:right="0"/>
              <w:rPr>
                <w:rFonts w:hint="default"/>
                <w:highlight w:val="none"/>
              </w:rPr>
            </w:pPr>
            <w:r>
              <w:rPr>
                <w:rFonts w:hint="default"/>
                <w:highlight w:val="none"/>
              </w:rPr>
              <w:t>产生量t/a</w:t>
            </w:r>
          </w:p>
        </w:tc>
        <w:tc>
          <w:tcPr>
            <w:tcW w:w="586" w:type="pct"/>
            <w:tcBorders>
              <w:tl2br w:val="nil"/>
              <w:tr2bl w:val="nil"/>
            </w:tcBorders>
            <w:vAlign w:val="center"/>
          </w:tcPr>
          <w:p w14:paraId="2F81E0C7">
            <w:pPr>
              <w:pStyle w:val="8"/>
              <w:suppressLineNumbers w:val="0"/>
              <w:bidi w:val="0"/>
              <w:spacing w:before="0" w:beforeAutospacing="0" w:after="0" w:afterAutospacing="0"/>
              <w:ind w:left="0" w:right="0"/>
              <w:rPr>
                <w:rFonts w:hint="default"/>
                <w:highlight w:val="none"/>
              </w:rPr>
            </w:pPr>
            <w:r>
              <w:rPr>
                <w:rFonts w:hint="default"/>
                <w:highlight w:val="none"/>
              </w:rPr>
              <w:t>工艺</w:t>
            </w:r>
          </w:p>
        </w:tc>
        <w:tc>
          <w:tcPr>
            <w:tcW w:w="252" w:type="pct"/>
            <w:tcBorders>
              <w:tl2br w:val="nil"/>
              <w:tr2bl w:val="nil"/>
            </w:tcBorders>
            <w:vAlign w:val="center"/>
          </w:tcPr>
          <w:p w14:paraId="602F4C62">
            <w:pPr>
              <w:pStyle w:val="8"/>
              <w:suppressLineNumbers w:val="0"/>
              <w:bidi w:val="0"/>
              <w:spacing w:before="0" w:beforeAutospacing="0" w:after="0" w:afterAutospacing="0"/>
              <w:ind w:left="0" w:right="0"/>
              <w:rPr>
                <w:rFonts w:hint="default"/>
                <w:highlight w:val="none"/>
              </w:rPr>
            </w:pPr>
            <w:r>
              <w:rPr>
                <w:rFonts w:hint="default"/>
                <w:highlight w:val="none"/>
              </w:rPr>
              <w:t>处理效率%</w:t>
            </w:r>
          </w:p>
        </w:tc>
        <w:tc>
          <w:tcPr>
            <w:tcW w:w="252" w:type="pct"/>
            <w:tcBorders>
              <w:tl2br w:val="nil"/>
              <w:tr2bl w:val="nil"/>
            </w:tcBorders>
            <w:vAlign w:val="center"/>
          </w:tcPr>
          <w:p w14:paraId="09153CB5">
            <w:pPr>
              <w:pStyle w:val="8"/>
              <w:suppressLineNumbers w:val="0"/>
              <w:bidi w:val="0"/>
              <w:spacing w:before="0" w:beforeAutospacing="0" w:after="0" w:afterAutospacing="0"/>
              <w:ind w:left="0" w:right="0"/>
              <w:rPr>
                <w:rFonts w:hint="default"/>
                <w:highlight w:val="none"/>
              </w:rPr>
            </w:pPr>
            <w:r>
              <w:rPr>
                <w:rFonts w:hint="default"/>
                <w:highlight w:val="none"/>
              </w:rPr>
              <w:t>核算方法</w:t>
            </w:r>
          </w:p>
        </w:tc>
        <w:tc>
          <w:tcPr>
            <w:tcW w:w="301" w:type="pct"/>
            <w:tcBorders>
              <w:tl2br w:val="nil"/>
              <w:tr2bl w:val="nil"/>
            </w:tcBorders>
            <w:vAlign w:val="center"/>
          </w:tcPr>
          <w:p w14:paraId="3D4BAED2">
            <w:pPr>
              <w:pStyle w:val="8"/>
              <w:suppressLineNumbers w:val="0"/>
              <w:bidi w:val="0"/>
              <w:spacing w:before="0" w:beforeAutospacing="0" w:after="0" w:afterAutospacing="0"/>
              <w:ind w:left="0" w:right="0"/>
              <w:rPr>
                <w:rFonts w:hint="default"/>
                <w:highlight w:val="none"/>
              </w:rPr>
            </w:pPr>
            <w:r>
              <w:rPr>
                <w:rFonts w:hint="default"/>
                <w:highlight w:val="none"/>
              </w:rPr>
              <w:t>废水排放量（t/a）</w:t>
            </w:r>
          </w:p>
        </w:tc>
        <w:tc>
          <w:tcPr>
            <w:tcW w:w="404" w:type="pct"/>
            <w:tcBorders>
              <w:tl2br w:val="nil"/>
              <w:tr2bl w:val="nil"/>
            </w:tcBorders>
            <w:vAlign w:val="center"/>
          </w:tcPr>
          <w:p w14:paraId="0FBC04D3">
            <w:pPr>
              <w:pStyle w:val="8"/>
              <w:suppressLineNumbers w:val="0"/>
              <w:bidi w:val="0"/>
              <w:spacing w:before="0" w:beforeAutospacing="0" w:after="0" w:afterAutospacing="0"/>
              <w:ind w:left="0" w:right="0"/>
              <w:rPr>
                <w:rFonts w:hint="default"/>
                <w:highlight w:val="none"/>
              </w:rPr>
            </w:pPr>
            <w:r>
              <w:rPr>
                <w:rFonts w:hint="default"/>
                <w:highlight w:val="none"/>
              </w:rPr>
              <w:t>排放质量浓度（mg/L）</w:t>
            </w:r>
          </w:p>
        </w:tc>
        <w:tc>
          <w:tcPr>
            <w:tcW w:w="354" w:type="pct"/>
            <w:tcBorders>
              <w:tl2br w:val="nil"/>
              <w:tr2bl w:val="nil"/>
            </w:tcBorders>
            <w:vAlign w:val="center"/>
          </w:tcPr>
          <w:p w14:paraId="04F4F84C">
            <w:pPr>
              <w:pStyle w:val="8"/>
              <w:suppressLineNumbers w:val="0"/>
              <w:bidi w:val="0"/>
              <w:spacing w:before="0" w:beforeAutospacing="0" w:after="0" w:afterAutospacing="0"/>
              <w:ind w:left="0" w:right="0"/>
              <w:rPr>
                <w:rFonts w:hint="default"/>
                <w:highlight w:val="none"/>
              </w:rPr>
            </w:pPr>
            <w:r>
              <w:rPr>
                <w:rFonts w:hint="default"/>
                <w:highlight w:val="none"/>
              </w:rPr>
              <w:t>排放量t/a</w:t>
            </w:r>
          </w:p>
        </w:tc>
        <w:tc>
          <w:tcPr>
            <w:tcW w:w="352" w:type="pct"/>
            <w:tcBorders>
              <w:tl2br w:val="nil"/>
              <w:tr2bl w:val="nil"/>
            </w:tcBorders>
            <w:vAlign w:val="center"/>
          </w:tcPr>
          <w:p w14:paraId="48302369">
            <w:pPr>
              <w:pStyle w:val="8"/>
              <w:suppressLineNumbers w:val="0"/>
              <w:bidi w:val="0"/>
              <w:spacing w:before="0" w:beforeAutospacing="0" w:after="0" w:afterAutospacing="0"/>
              <w:ind w:left="0" w:right="0"/>
              <w:rPr>
                <w:rFonts w:hint="default"/>
                <w:highlight w:val="none"/>
              </w:rPr>
            </w:pPr>
            <w:r>
              <w:rPr>
                <w:rFonts w:hint="default"/>
                <w:highlight w:val="none"/>
              </w:rPr>
              <w:t>排放时间（h）</w:t>
            </w:r>
          </w:p>
        </w:tc>
        <w:tc>
          <w:tcPr>
            <w:tcW w:w="353" w:type="pct"/>
            <w:tcBorders>
              <w:tl2br w:val="nil"/>
              <w:tr2bl w:val="nil"/>
            </w:tcBorders>
            <w:vAlign w:val="center"/>
          </w:tcPr>
          <w:p w14:paraId="590AD529">
            <w:pPr>
              <w:pStyle w:val="8"/>
              <w:suppressLineNumbers w:val="0"/>
              <w:bidi w:val="0"/>
              <w:spacing w:before="0" w:beforeAutospacing="0" w:after="0" w:afterAutospacing="0"/>
              <w:ind w:left="0" w:right="0"/>
              <w:rPr>
                <w:rFonts w:hint="default"/>
                <w:highlight w:val="none"/>
              </w:rPr>
            </w:pPr>
            <w:r>
              <w:rPr>
                <w:rFonts w:hint="default"/>
                <w:highlight w:val="none"/>
              </w:rPr>
              <w:t>排放口名称</w:t>
            </w:r>
          </w:p>
        </w:tc>
        <w:tc>
          <w:tcPr>
            <w:tcW w:w="295" w:type="pct"/>
            <w:tcBorders>
              <w:tl2br w:val="nil"/>
              <w:tr2bl w:val="nil"/>
            </w:tcBorders>
            <w:vAlign w:val="center"/>
          </w:tcPr>
          <w:p w14:paraId="60F8D785">
            <w:pPr>
              <w:pStyle w:val="8"/>
              <w:suppressLineNumbers w:val="0"/>
              <w:bidi w:val="0"/>
              <w:spacing w:before="0" w:beforeAutospacing="0" w:after="0" w:afterAutospacing="0"/>
              <w:ind w:left="0" w:right="0"/>
              <w:rPr>
                <w:rFonts w:hint="default"/>
                <w:highlight w:val="none"/>
              </w:rPr>
            </w:pPr>
            <w:r>
              <w:rPr>
                <w:rFonts w:hint="default"/>
                <w:highlight w:val="none"/>
              </w:rPr>
              <w:t>排放口类型</w:t>
            </w:r>
          </w:p>
        </w:tc>
      </w:tr>
      <w:tr w14:paraId="4E60656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01" w:hRule="atLeast"/>
          <w:jc w:val="center"/>
        </w:trPr>
        <w:tc>
          <w:tcPr>
            <w:tcW w:w="208" w:type="pct"/>
            <w:vMerge w:val="restart"/>
            <w:tcBorders>
              <w:tl2br w:val="nil"/>
              <w:tr2bl w:val="nil"/>
            </w:tcBorders>
            <w:vAlign w:val="center"/>
          </w:tcPr>
          <w:p w14:paraId="38606357">
            <w:pPr>
              <w:pStyle w:val="8"/>
              <w:suppressLineNumbers w:val="0"/>
              <w:bidi w:val="0"/>
              <w:spacing w:before="0" w:beforeAutospacing="0" w:after="0" w:afterAutospacing="0"/>
              <w:ind w:left="0" w:right="0"/>
              <w:rPr>
                <w:rFonts w:hint="default"/>
                <w:highlight w:val="none"/>
              </w:rPr>
            </w:pPr>
            <w:r>
              <w:rPr>
                <w:rFonts w:hint="default"/>
                <w:highlight w:val="none"/>
              </w:rPr>
              <w:t>生活</w:t>
            </w:r>
          </w:p>
          <w:p w14:paraId="244F8CAD">
            <w:pPr>
              <w:pStyle w:val="8"/>
              <w:suppressLineNumbers w:val="0"/>
              <w:bidi w:val="0"/>
              <w:spacing w:before="0" w:beforeAutospacing="0" w:after="0" w:afterAutospacing="0"/>
              <w:ind w:left="0" w:right="0"/>
              <w:rPr>
                <w:rFonts w:hint="default"/>
                <w:highlight w:val="none"/>
              </w:rPr>
            </w:pPr>
            <w:r>
              <w:rPr>
                <w:rFonts w:hint="default"/>
                <w:highlight w:val="none"/>
              </w:rPr>
              <w:t>污水</w:t>
            </w:r>
          </w:p>
        </w:tc>
        <w:tc>
          <w:tcPr>
            <w:tcW w:w="303" w:type="pct"/>
            <w:tcBorders>
              <w:tl2br w:val="nil"/>
              <w:tr2bl w:val="nil"/>
            </w:tcBorders>
            <w:vAlign w:val="center"/>
          </w:tcPr>
          <w:p w14:paraId="72CCEDF2">
            <w:pPr>
              <w:pStyle w:val="8"/>
              <w:suppressLineNumbers w:val="0"/>
              <w:bidi w:val="0"/>
              <w:spacing w:before="0" w:beforeAutospacing="0" w:after="0" w:afterAutospacing="0"/>
              <w:ind w:left="0" w:right="0"/>
              <w:rPr>
                <w:rFonts w:hint="default"/>
                <w:highlight w:val="none"/>
              </w:rPr>
            </w:pPr>
            <w:r>
              <w:rPr>
                <w:rFonts w:hint="default"/>
                <w:highlight w:val="none"/>
              </w:rPr>
              <w:t>COD</w:t>
            </w:r>
          </w:p>
        </w:tc>
        <w:tc>
          <w:tcPr>
            <w:tcW w:w="252" w:type="pct"/>
            <w:vMerge w:val="restart"/>
            <w:tcBorders>
              <w:tl2br w:val="nil"/>
              <w:tr2bl w:val="nil"/>
            </w:tcBorders>
            <w:vAlign w:val="center"/>
          </w:tcPr>
          <w:p w14:paraId="623894EF">
            <w:pPr>
              <w:pStyle w:val="8"/>
              <w:suppressLineNumbers w:val="0"/>
              <w:bidi w:val="0"/>
              <w:spacing w:before="0" w:beforeAutospacing="0" w:after="0" w:afterAutospacing="0"/>
              <w:ind w:left="0" w:right="0"/>
              <w:rPr>
                <w:rFonts w:hint="default"/>
                <w:highlight w:val="none"/>
              </w:rPr>
            </w:pPr>
            <w:r>
              <w:rPr>
                <w:rFonts w:hint="default"/>
                <w:highlight w:val="none"/>
              </w:rPr>
              <w:t>类比法</w:t>
            </w:r>
          </w:p>
        </w:tc>
        <w:tc>
          <w:tcPr>
            <w:tcW w:w="301" w:type="pct"/>
            <w:vMerge w:val="restart"/>
            <w:tcBorders>
              <w:tl2br w:val="nil"/>
              <w:tr2bl w:val="nil"/>
            </w:tcBorders>
            <w:vAlign w:val="center"/>
          </w:tcPr>
          <w:p w14:paraId="11478830">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231</w:t>
            </w:r>
          </w:p>
        </w:tc>
        <w:tc>
          <w:tcPr>
            <w:tcW w:w="455" w:type="pct"/>
            <w:tcBorders>
              <w:tl2br w:val="nil"/>
              <w:tr2bl w:val="nil"/>
            </w:tcBorders>
            <w:vAlign w:val="center"/>
          </w:tcPr>
          <w:p w14:paraId="080984B2">
            <w:pPr>
              <w:pStyle w:val="8"/>
              <w:suppressLineNumbers w:val="0"/>
              <w:bidi w:val="0"/>
              <w:spacing w:before="0" w:beforeAutospacing="0" w:after="0" w:afterAutospacing="0"/>
              <w:ind w:left="0" w:right="0"/>
              <w:rPr>
                <w:rFonts w:hint="default"/>
                <w:highlight w:val="none"/>
              </w:rPr>
            </w:pPr>
            <w:r>
              <w:rPr>
                <w:rFonts w:hint="default"/>
                <w:highlight w:val="none"/>
              </w:rPr>
              <w:t>350</w:t>
            </w:r>
          </w:p>
        </w:tc>
        <w:tc>
          <w:tcPr>
            <w:tcW w:w="322" w:type="pct"/>
            <w:tcBorders>
              <w:tl2br w:val="nil"/>
              <w:tr2bl w:val="nil"/>
            </w:tcBorders>
            <w:vAlign w:val="center"/>
          </w:tcPr>
          <w:p w14:paraId="7788FA62">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0.08</w:t>
            </w:r>
          </w:p>
        </w:tc>
        <w:tc>
          <w:tcPr>
            <w:tcW w:w="586" w:type="pct"/>
            <w:vMerge w:val="restart"/>
            <w:tcBorders>
              <w:tl2br w:val="nil"/>
              <w:tr2bl w:val="nil"/>
            </w:tcBorders>
            <w:vAlign w:val="center"/>
          </w:tcPr>
          <w:p w14:paraId="32851916">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252" w:type="pct"/>
            <w:vMerge w:val="restart"/>
            <w:tcBorders>
              <w:tl2br w:val="nil"/>
              <w:tr2bl w:val="nil"/>
            </w:tcBorders>
            <w:vAlign w:val="center"/>
          </w:tcPr>
          <w:p w14:paraId="546ABB81">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252" w:type="pct"/>
            <w:vMerge w:val="restart"/>
            <w:tcBorders>
              <w:tl2br w:val="nil"/>
              <w:tr2bl w:val="nil"/>
            </w:tcBorders>
            <w:vAlign w:val="center"/>
          </w:tcPr>
          <w:p w14:paraId="7F149496">
            <w:pPr>
              <w:pStyle w:val="8"/>
              <w:suppressLineNumbers w:val="0"/>
              <w:bidi w:val="0"/>
              <w:spacing w:before="0" w:beforeAutospacing="0" w:after="0" w:afterAutospacing="0"/>
              <w:ind w:left="0" w:right="0"/>
              <w:rPr>
                <w:rFonts w:hint="default"/>
                <w:highlight w:val="none"/>
              </w:rPr>
            </w:pPr>
            <w:r>
              <w:rPr>
                <w:rFonts w:hint="default"/>
                <w:highlight w:val="none"/>
              </w:rPr>
              <w:t>类比法</w:t>
            </w:r>
          </w:p>
        </w:tc>
        <w:tc>
          <w:tcPr>
            <w:tcW w:w="301" w:type="pct"/>
            <w:vMerge w:val="restart"/>
            <w:tcBorders>
              <w:tl2br w:val="nil"/>
              <w:tr2bl w:val="nil"/>
            </w:tcBorders>
            <w:vAlign w:val="center"/>
          </w:tcPr>
          <w:p w14:paraId="2F25660A">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231</w:t>
            </w:r>
          </w:p>
        </w:tc>
        <w:tc>
          <w:tcPr>
            <w:tcW w:w="1134" w:type="dxa"/>
            <w:tcBorders>
              <w:tl2br w:val="nil"/>
              <w:tr2bl w:val="nil"/>
            </w:tcBorders>
            <w:vAlign w:val="center"/>
          </w:tcPr>
          <w:p w14:paraId="2CA2BF07">
            <w:pPr>
              <w:pStyle w:val="8"/>
              <w:suppressLineNumbers w:val="0"/>
              <w:bidi w:val="0"/>
              <w:spacing w:before="0" w:beforeAutospacing="0" w:after="0" w:afterAutospacing="0"/>
              <w:ind w:left="0" w:leftChars="0" w:right="0" w:rightChars="0" w:firstLine="0" w:firstLineChars="0"/>
              <w:rPr>
                <w:rFonts w:hint="default"/>
                <w:highlight w:val="none"/>
              </w:rPr>
            </w:pPr>
            <w:r>
              <w:rPr>
                <w:rFonts w:hint="default"/>
                <w:highlight w:val="none"/>
              </w:rPr>
              <w:t>350</w:t>
            </w:r>
          </w:p>
        </w:tc>
        <w:tc>
          <w:tcPr>
            <w:tcW w:w="996" w:type="dxa"/>
            <w:tcBorders>
              <w:tl2br w:val="nil"/>
              <w:tr2bl w:val="nil"/>
            </w:tcBorders>
            <w:vAlign w:val="center"/>
          </w:tcPr>
          <w:p w14:paraId="16C14C66">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0.08</w:t>
            </w:r>
          </w:p>
        </w:tc>
        <w:tc>
          <w:tcPr>
            <w:tcW w:w="352" w:type="pct"/>
            <w:vMerge w:val="restart"/>
            <w:tcBorders>
              <w:tl2br w:val="nil"/>
              <w:tr2bl w:val="nil"/>
            </w:tcBorders>
            <w:vAlign w:val="center"/>
          </w:tcPr>
          <w:p w14:paraId="435996B0">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2400</w:t>
            </w:r>
          </w:p>
        </w:tc>
        <w:tc>
          <w:tcPr>
            <w:tcW w:w="353" w:type="pct"/>
            <w:vMerge w:val="restart"/>
            <w:tcBorders>
              <w:tl2br w:val="nil"/>
              <w:tr2bl w:val="nil"/>
            </w:tcBorders>
            <w:vAlign w:val="center"/>
          </w:tcPr>
          <w:p w14:paraId="556E30DE">
            <w:pPr>
              <w:pStyle w:val="8"/>
              <w:suppressLineNumbers w:val="0"/>
              <w:bidi w:val="0"/>
              <w:spacing w:before="0" w:beforeAutospacing="0" w:after="0" w:afterAutospacing="0"/>
              <w:ind w:left="0" w:right="0"/>
              <w:rPr>
                <w:rFonts w:hint="default"/>
                <w:highlight w:val="none"/>
              </w:rPr>
            </w:pPr>
            <w:r>
              <w:rPr>
                <w:rFonts w:hint="default"/>
                <w:highlight w:val="none"/>
              </w:rPr>
              <w:t>生活污水排放口</w:t>
            </w:r>
          </w:p>
        </w:tc>
        <w:tc>
          <w:tcPr>
            <w:tcW w:w="295" w:type="pct"/>
            <w:vMerge w:val="restart"/>
            <w:tcBorders>
              <w:tl2br w:val="nil"/>
              <w:tr2bl w:val="nil"/>
            </w:tcBorders>
            <w:vAlign w:val="center"/>
          </w:tcPr>
          <w:p w14:paraId="598C6DEA">
            <w:pPr>
              <w:pStyle w:val="8"/>
              <w:suppressLineNumbers w:val="0"/>
              <w:bidi w:val="0"/>
              <w:spacing w:before="0" w:beforeAutospacing="0" w:after="0" w:afterAutospacing="0"/>
              <w:ind w:left="0" w:right="0"/>
              <w:rPr>
                <w:rFonts w:hint="default"/>
                <w:highlight w:val="none"/>
              </w:rPr>
            </w:pPr>
            <w:r>
              <w:rPr>
                <w:rFonts w:hint="default"/>
                <w:highlight w:val="none"/>
              </w:rPr>
              <w:t>一般排放口</w:t>
            </w:r>
          </w:p>
        </w:tc>
      </w:tr>
      <w:tr w14:paraId="417A442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5" w:hRule="atLeast"/>
          <w:jc w:val="center"/>
        </w:trPr>
        <w:tc>
          <w:tcPr>
            <w:tcW w:w="208" w:type="pct"/>
            <w:vMerge w:val="continue"/>
            <w:tcBorders>
              <w:tl2br w:val="nil"/>
              <w:tr2bl w:val="nil"/>
            </w:tcBorders>
            <w:vAlign w:val="center"/>
          </w:tcPr>
          <w:p w14:paraId="3D5C23FC">
            <w:pPr>
              <w:pStyle w:val="8"/>
              <w:suppressLineNumbers w:val="0"/>
              <w:bidi w:val="0"/>
              <w:spacing w:before="0" w:beforeAutospacing="0" w:after="0" w:afterAutospacing="0"/>
              <w:ind w:left="0" w:right="0"/>
              <w:rPr>
                <w:rFonts w:hint="default"/>
                <w:highlight w:val="none"/>
              </w:rPr>
            </w:pPr>
          </w:p>
        </w:tc>
        <w:tc>
          <w:tcPr>
            <w:tcW w:w="303" w:type="pct"/>
            <w:tcBorders>
              <w:tl2br w:val="nil"/>
              <w:tr2bl w:val="nil"/>
            </w:tcBorders>
            <w:vAlign w:val="center"/>
          </w:tcPr>
          <w:p w14:paraId="4A84D00E">
            <w:pPr>
              <w:pStyle w:val="8"/>
              <w:suppressLineNumbers w:val="0"/>
              <w:bidi w:val="0"/>
              <w:spacing w:before="0" w:beforeAutospacing="0" w:after="0" w:afterAutospacing="0"/>
              <w:ind w:left="0" w:right="0"/>
              <w:rPr>
                <w:rFonts w:hint="default"/>
                <w:highlight w:val="none"/>
              </w:rPr>
            </w:pPr>
            <w:r>
              <w:rPr>
                <w:rFonts w:hint="default"/>
                <w:highlight w:val="none"/>
              </w:rPr>
              <w:t>氨氮</w:t>
            </w:r>
          </w:p>
        </w:tc>
        <w:tc>
          <w:tcPr>
            <w:tcW w:w="252" w:type="pct"/>
            <w:vMerge w:val="continue"/>
            <w:tcBorders>
              <w:tl2br w:val="nil"/>
              <w:tr2bl w:val="nil"/>
            </w:tcBorders>
            <w:vAlign w:val="center"/>
          </w:tcPr>
          <w:p w14:paraId="4309BC3B">
            <w:pPr>
              <w:pStyle w:val="8"/>
              <w:suppressLineNumbers w:val="0"/>
              <w:bidi w:val="0"/>
              <w:spacing w:before="0" w:beforeAutospacing="0" w:after="0" w:afterAutospacing="0"/>
              <w:ind w:left="0" w:right="0"/>
              <w:rPr>
                <w:rFonts w:hint="default"/>
                <w:highlight w:val="none"/>
              </w:rPr>
            </w:pPr>
          </w:p>
        </w:tc>
        <w:tc>
          <w:tcPr>
            <w:tcW w:w="301" w:type="pct"/>
            <w:vMerge w:val="continue"/>
            <w:tcBorders>
              <w:tl2br w:val="nil"/>
              <w:tr2bl w:val="nil"/>
            </w:tcBorders>
            <w:vAlign w:val="center"/>
          </w:tcPr>
          <w:p w14:paraId="0EF010C5">
            <w:pPr>
              <w:pStyle w:val="8"/>
              <w:suppressLineNumbers w:val="0"/>
              <w:bidi w:val="0"/>
              <w:spacing w:before="0" w:beforeAutospacing="0" w:after="0" w:afterAutospacing="0"/>
              <w:ind w:left="0" w:right="0"/>
              <w:rPr>
                <w:rFonts w:hint="default"/>
                <w:highlight w:val="none"/>
              </w:rPr>
            </w:pPr>
          </w:p>
        </w:tc>
        <w:tc>
          <w:tcPr>
            <w:tcW w:w="455" w:type="pct"/>
            <w:tcBorders>
              <w:tl2br w:val="nil"/>
              <w:tr2bl w:val="nil"/>
            </w:tcBorders>
            <w:vAlign w:val="center"/>
          </w:tcPr>
          <w:p w14:paraId="06E7BD77">
            <w:pPr>
              <w:pStyle w:val="8"/>
              <w:suppressLineNumbers w:val="0"/>
              <w:bidi w:val="0"/>
              <w:spacing w:before="0" w:beforeAutospacing="0" w:after="0" w:afterAutospacing="0"/>
              <w:ind w:left="0" w:right="0"/>
              <w:rPr>
                <w:rFonts w:hint="default"/>
                <w:highlight w:val="none"/>
              </w:rPr>
            </w:pPr>
            <w:r>
              <w:rPr>
                <w:rFonts w:hint="default"/>
                <w:highlight w:val="none"/>
              </w:rPr>
              <w:t>35</w:t>
            </w:r>
          </w:p>
        </w:tc>
        <w:tc>
          <w:tcPr>
            <w:tcW w:w="322" w:type="pct"/>
            <w:tcBorders>
              <w:tl2br w:val="nil"/>
              <w:tr2bl w:val="nil"/>
            </w:tcBorders>
            <w:vAlign w:val="center"/>
          </w:tcPr>
          <w:p w14:paraId="76650640">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0.008</w:t>
            </w:r>
          </w:p>
        </w:tc>
        <w:tc>
          <w:tcPr>
            <w:tcW w:w="586" w:type="pct"/>
            <w:vMerge w:val="continue"/>
            <w:tcBorders>
              <w:tl2br w:val="nil"/>
              <w:tr2bl w:val="nil"/>
            </w:tcBorders>
            <w:vAlign w:val="center"/>
          </w:tcPr>
          <w:p w14:paraId="6329B7D7">
            <w:pPr>
              <w:pStyle w:val="8"/>
              <w:suppressLineNumbers w:val="0"/>
              <w:bidi w:val="0"/>
              <w:spacing w:before="0" w:beforeAutospacing="0" w:after="0" w:afterAutospacing="0"/>
              <w:ind w:left="0" w:right="0"/>
              <w:rPr>
                <w:rFonts w:hint="default"/>
                <w:highlight w:val="none"/>
              </w:rPr>
            </w:pPr>
          </w:p>
        </w:tc>
        <w:tc>
          <w:tcPr>
            <w:tcW w:w="252" w:type="pct"/>
            <w:vMerge w:val="continue"/>
            <w:tcBorders>
              <w:tl2br w:val="nil"/>
              <w:tr2bl w:val="nil"/>
            </w:tcBorders>
            <w:vAlign w:val="center"/>
          </w:tcPr>
          <w:p w14:paraId="76461C19">
            <w:pPr>
              <w:pStyle w:val="8"/>
              <w:suppressLineNumbers w:val="0"/>
              <w:bidi w:val="0"/>
              <w:spacing w:before="0" w:beforeAutospacing="0" w:after="0" w:afterAutospacing="0"/>
              <w:ind w:left="0" w:right="0"/>
              <w:rPr>
                <w:rFonts w:hint="default"/>
                <w:highlight w:val="none"/>
              </w:rPr>
            </w:pPr>
          </w:p>
        </w:tc>
        <w:tc>
          <w:tcPr>
            <w:tcW w:w="252" w:type="pct"/>
            <w:vMerge w:val="continue"/>
            <w:tcBorders>
              <w:tl2br w:val="nil"/>
              <w:tr2bl w:val="nil"/>
            </w:tcBorders>
            <w:vAlign w:val="center"/>
          </w:tcPr>
          <w:p w14:paraId="43DA2D96">
            <w:pPr>
              <w:pStyle w:val="8"/>
              <w:suppressLineNumbers w:val="0"/>
              <w:bidi w:val="0"/>
              <w:spacing w:before="0" w:beforeAutospacing="0" w:after="0" w:afterAutospacing="0"/>
              <w:ind w:left="0" w:right="0"/>
              <w:rPr>
                <w:rFonts w:hint="default"/>
                <w:highlight w:val="none"/>
              </w:rPr>
            </w:pPr>
          </w:p>
        </w:tc>
        <w:tc>
          <w:tcPr>
            <w:tcW w:w="301" w:type="pct"/>
            <w:vMerge w:val="continue"/>
            <w:tcBorders>
              <w:tl2br w:val="nil"/>
              <w:tr2bl w:val="nil"/>
            </w:tcBorders>
            <w:vAlign w:val="center"/>
          </w:tcPr>
          <w:p w14:paraId="7E5489C2">
            <w:pPr>
              <w:pStyle w:val="8"/>
              <w:suppressLineNumbers w:val="0"/>
              <w:bidi w:val="0"/>
              <w:spacing w:before="0" w:beforeAutospacing="0" w:after="0" w:afterAutospacing="0"/>
              <w:ind w:left="0" w:right="0"/>
              <w:rPr>
                <w:rFonts w:hint="default"/>
                <w:highlight w:val="none"/>
              </w:rPr>
            </w:pPr>
          </w:p>
        </w:tc>
        <w:tc>
          <w:tcPr>
            <w:tcW w:w="1134" w:type="dxa"/>
            <w:tcBorders>
              <w:tl2br w:val="nil"/>
              <w:tr2bl w:val="nil"/>
            </w:tcBorders>
            <w:vAlign w:val="center"/>
          </w:tcPr>
          <w:p w14:paraId="70590B4C">
            <w:pPr>
              <w:pStyle w:val="8"/>
              <w:suppressLineNumbers w:val="0"/>
              <w:bidi w:val="0"/>
              <w:spacing w:before="0" w:beforeAutospacing="0" w:after="0" w:afterAutospacing="0"/>
              <w:ind w:left="0" w:leftChars="0" w:right="0" w:rightChars="0" w:firstLine="0" w:firstLineChars="0"/>
              <w:rPr>
                <w:rFonts w:hint="default"/>
                <w:highlight w:val="none"/>
              </w:rPr>
            </w:pPr>
            <w:r>
              <w:rPr>
                <w:rFonts w:hint="default"/>
                <w:highlight w:val="none"/>
              </w:rPr>
              <w:t>35</w:t>
            </w:r>
          </w:p>
        </w:tc>
        <w:tc>
          <w:tcPr>
            <w:tcW w:w="996" w:type="dxa"/>
            <w:tcBorders>
              <w:tl2br w:val="nil"/>
              <w:tr2bl w:val="nil"/>
            </w:tcBorders>
            <w:vAlign w:val="center"/>
          </w:tcPr>
          <w:p w14:paraId="796524BB">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0.008</w:t>
            </w:r>
          </w:p>
        </w:tc>
        <w:tc>
          <w:tcPr>
            <w:tcW w:w="352" w:type="pct"/>
            <w:vMerge w:val="continue"/>
            <w:tcBorders>
              <w:tl2br w:val="nil"/>
              <w:tr2bl w:val="nil"/>
            </w:tcBorders>
            <w:vAlign w:val="center"/>
          </w:tcPr>
          <w:p w14:paraId="0F425FF4">
            <w:pPr>
              <w:pStyle w:val="8"/>
              <w:suppressLineNumbers w:val="0"/>
              <w:bidi w:val="0"/>
              <w:spacing w:before="0" w:beforeAutospacing="0" w:after="0" w:afterAutospacing="0"/>
              <w:ind w:left="0" w:right="0"/>
              <w:rPr>
                <w:rFonts w:hint="default"/>
                <w:highlight w:val="none"/>
              </w:rPr>
            </w:pPr>
          </w:p>
        </w:tc>
        <w:tc>
          <w:tcPr>
            <w:tcW w:w="353" w:type="pct"/>
            <w:vMerge w:val="continue"/>
            <w:tcBorders>
              <w:tl2br w:val="nil"/>
              <w:tr2bl w:val="nil"/>
            </w:tcBorders>
            <w:vAlign w:val="center"/>
          </w:tcPr>
          <w:p w14:paraId="47B3510E">
            <w:pPr>
              <w:pStyle w:val="8"/>
              <w:suppressLineNumbers w:val="0"/>
              <w:bidi w:val="0"/>
              <w:spacing w:before="0" w:beforeAutospacing="0" w:after="0" w:afterAutospacing="0"/>
              <w:ind w:left="0" w:right="0"/>
              <w:rPr>
                <w:rFonts w:hint="default"/>
                <w:highlight w:val="none"/>
              </w:rPr>
            </w:pPr>
          </w:p>
        </w:tc>
        <w:tc>
          <w:tcPr>
            <w:tcW w:w="295" w:type="pct"/>
            <w:vMerge w:val="continue"/>
            <w:tcBorders>
              <w:tl2br w:val="nil"/>
              <w:tr2bl w:val="nil"/>
            </w:tcBorders>
            <w:vAlign w:val="center"/>
          </w:tcPr>
          <w:p w14:paraId="0793D3CD">
            <w:pPr>
              <w:pStyle w:val="8"/>
              <w:suppressLineNumbers w:val="0"/>
              <w:bidi w:val="0"/>
              <w:spacing w:before="0" w:beforeAutospacing="0" w:after="0" w:afterAutospacing="0"/>
              <w:ind w:left="0" w:right="0"/>
              <w:rPr>
                <w:rFonts w:hint="default"/>
                <w:highlight w:val="none"/>
              </w:rPr>
            </w:pPr>
          </w:p>
        </w:tc>
      </w:tr>
      <w:tr w14:paraId="49E5738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36" w:hRule="atLeast"/>
          <w:jc w:val="center"/>
        </w:trPr>
        <w:tc>
          <w:tcPr>
            <w:tcW w:w="208" w:type="pct"/>
            <w:vMerge w:val="continue"/>
            <w:tcBorders>
              <w:tl2br w:val="nil"/>
              <w:tr2bl w:val="nil"/>
            </w:tcBorders>
            <w:vAlign w:val="center"/>
          </w:tcPr>
          <w:p w14:paraId="245F48BA">
            <w:pPr>
              <w:pStyle w:val="8"/>
              <w:suppressLineNumbers w:val="0"/>
              <w:bidi w:val="0"/>
              <w:spacing w:before="0" w:beforeAutospacing="0" w:after="0" w:afterAutospacing="0"/>
              <w:ind w:left="0" w:right="0"/>
              <w:rPr>
                <w:rFonts w:hint="default"/>
                <w:highlight w:val="none"/>
              </w:rPr>
            </w:pPr>
          </w:p>
        </w:tc>
        <w:tc>
          <w:tcPr>
            <w:tcW w:w="303" w:type="pct"/>
            <w:tcBorders>
              <w:tl2br w:val="nil"/>
              <w:tr2bl w:val="nil"/>
            </w:tcBorders>
            <w:vAlign w:val="center"/>
          </w:tcPr>
          <w:p w14:paraId="3AA8F425">
            <w:pPr>
              <w:pStyle w:val="8"/>
              <w:suppressLineNumbers w:val="0"/>
              <w:bidi w:val="0"/>
              <w:spacing w:before="0" w:beforeAutospacing="0" w:after="0" w:afterAutospacing="0"/>
              <w:ind w:left="0" w:right="0"/>
              <w:rPr>
                <w:rFonts w:hint="default"/>
                <w:highlight w:val="none"/>
              </w:rPr>
            </w:pPr>
            <w:r>
              <w:rPr>
                <w:rFonts w:hint="default"/>
                <w:highlight w:val="none"/>
              </w:rPr>
              <w:t>pH</w:t>
            </w:r>
          </w:p>
        </w:tc>
        <w:tc>
          <w:tcPr>
            <w:tcW w:w="252" w:type="pct"/>
            <w:vMerge w:val="continue"/>
            <w:tcBorders>
              <w:tl2br w:val="nil"/>
              <w:tr2bl w:val="nil"/>
            </w:tcBorders>
            <w:vAlign w:val="center"/>
          </w:tcPr>
          <w:p w14:paraId="3EDB8024">
            <w:pPr>
              <w:pStyle w:val="8"/>
              <w:suppressLineNumbers w:val="0"/>
              <w:bidi w:val="0"/>
              <w:spacing w:before="0" w:beforeAutospacing="0" w:after="0" w:afterAutospacing="0"/>
              <w:ind w:left="0" w:right="0"/>
              <w:rPr>
                <w:rFonts w:hint="default"/>
                <w:highlight w:val="none"/>
              </w:rPr>
            </w:pPr>
          </w:p>
        </w:tc>
        <w:tc>
          <w:tcPr>
            <w:tcW w:w="301" w:type="pct"/>
            <w:vMerge w:val="continue"/>
            <w:tcBorders>
              <w:tl2br w:val="nil"/>
              <w:tr2bl w:val="nil"/>
            </w:tcBorders>
            <w:vAlign w:val="center"/>
          </w:tcPr>
          <w:p w14:paraId="34500108">
            <w:pPr>
              <w:pStyle w:val="8"/>
              <w:suppressLineNumbers w:val="0"/>
              <w:bidi w:val="0"/>
              <w:spacing w:before="0" w:beforeAutospacing="0" w:after="0" w:afterAutospacing="0"/>
              <w:ind w:left="0" w:right="0"/>
              <w:rPr>
                <w:rFonts w:hint="default"/>
                <w:highlight w:val="none"/>
              </w:rPr>
            </w:pPr>
          </w:p>
        </w:tc>
        <w:tc>
          <w:tcPr>
            <w:tcW w:w="777" w:type="pct"/>
            <w:gridSpan w:val="2"/>
            <w:tcBorders>
              <w:tl2br w:val="nil"/>
              <w:tr2bl w:val="nil"/>
            </w:tcBorders>
            <w:vAlign w:val="center"/>
          </w:tcPr>
          <w:p w14:paraId="0065F825">
            <w:pPr>
              <w:pStyle w:val="8"/>
              <w:suppressLineNumbers w:val="0"/>
              <w:bidi w:val="0"/>
              <w:spacing w:before="0" w:beforeAutospacing="0" w:after="0" w:afterAutospacing="0"/>
              <w:ind w:left="0" w:right="0"/>
              <w:rPr>
                <w:rFonts w:hint="default"/>
                <w:highlight w:val="none"/>
              </w:rPr>
            </w:pPr>
            <w:r>
              <w:rPr>
                <w:rFonts w:hint="default"/>
                <w:highlight w:val="none"/>
              </w:rPr>
              <w:t>6.5-7.5（无量纲）</w:t>
            </w:r>
          </w:p>
        </w:tc>
        <w:tc>
          <w:tcPr>
            <w:tcW w:w="586" w:type="pct"/>
            <w:vMerge w:val="continue"/>
            <w:tcBorders>
              <w:tl2br w:val="nil"/>
              <w:tr2bl w:val="nil"/>
            </w:tcBorders>
            <w:vAlign w:val="center"/>
          </w:tcPr>
          <w:p w14:paraId="2013689D">
            <w:pPr>
              <w:pStyle w:val="8"/>
              <w:suppressLineNumbers w:val="0"/>
              <w:bidi w:val="0"/>
              <w:spacing w:before="0" w:beforeAutospacing="0" w:after="0" w:afterAutospacing="0"/>
              <w:ind w:left="0" w:right="0"/>
              <w:rPr>
                <w:rFonts w:hint="default"/>
                <w:highlight w:val="none"/>
              </w:rPr>
            </w:pPr>
          </w:p>
        </w:tc>
        <w:tc>
          <w:tcPr>
            <w:tcW w:w="252" w:type="pct"/>
            <w:vMerge w:val="continue"/>
            <w:tcBorders>
              <w:tl2br w:val="nil"/>
              <w:tr2bl w:val="nil"/>
            </w:tcBorders>
            <w:vAlign w:val="center"/>
          </w:tcPr>
          <w:p w14:paraId="0B421EA8">
            <w:pPr>
              <w:pStyle w:val="8"/>
              <w:suppressLineNumbers w:val="0"/>
              <w:bidi w:val="0"/>
              <w:spacing w:before="0" w:beforeAutospacing="0" w:after="0" w:afterAutospacing="0"/>
              <w:ind w:left="0" w:right="0"/>
              <w:rPr>
                <w:rFonts w:hint="default"/>
                <w:highlight w:val="none"/>
              </w:rPr>
            </w:pPr>
          </w:p>
        </w:tc>
        <w:tc>
          <w:tcPr>
            <w:tcW w:w="252" w:type="pct"/>
            <w:vMerge w:val="continue"/>
            <w:tcBorders>
              <w:tl2br w:val="nil"/>
              <w:tr2bl w:val="nil"/>
            </w:tcBorders>
            <w:vAlign w:val="center"/>
          </w:tcPr>
          <w:p w14:paraId="4BA341AB">
            <w:pPr>
              <w:pStyle w:val="8"/>
              <w:suppressLineNumbers w:val="0"/>
              <w:bidi w:val="0"/>
              <w:spacing w:before="0" w:beforeAutospacing="0" w:after="0" w:afterAutospacing="0"/>
              <w:ind w:left="0" w:right="0"/>
              <w:rPr>
                <w:rFonts w:hint="default"/>
                <w:highlight w:val="none"/>
              </w:rPr>
            </w:pPr>
          </w:p>
        </w:tc>
        <w:tc>
          <w:tcPr>
            <w:tcW w:w="301" w:type="pct"/>
            <w:vMerge w:val="continue"/>
            <w:tcBorders>
              <w:tl2br w:val="nil"/>
              <w:tr2bl w:val="nil"/>
            </w:tcBorders>
            <w:vAlign w:val="center"/>
          </w:tcPr>
          <w:p w14:paraId="3B2AF9CC">
            <w:pPr>
              <w:pStyle w:val="8"/>
              <w:suppressLineNumbers w:val="0"/>
              <w:bidi w:val="0"/>
              <w:spacing w:before="0" w:beforeAutospacing="0" w:after="0" w:afterAutospacing="0"/>
              <w:ind w:left="0" w:right="0"/>
              <w:rPr>
                <w:rFonts w:hint="default"/>
                <w:highlight w:val="none"/>
              </w:rPr>
            </w:pPr>
          </w:p>
        </w:tc>
        <w:tc>
          <w:tcPr>
            <w:tcW w:w="2130" w:type="dxa"/>
            <w:gridSpan w:val="2"/>
            <w:tcBorders>
              <w:tl2br w:val="nil"/>
              <w:tr2bl w:val="nil"/>
            </w:tcBorders>
            <w:vAlign w:val="center"/>
          </w:tcPr>
          <w:p w14:paraId="1BD6F0C5">
            <w:pPr>
              <w:pStyle w:val="8"/>
              <w:suppressLineNumbers w:val="0"/>
              <w:bidi w:val="0"/>
              <w:spacing w:before="0" w:beforeAutospacing="0" w:after="0" w:afterAutospacing="0"/>
              <w:ind w:left="0" w:leftChars="0" w:right="0" w:rightChars="0" w:firstLine="0" w:firstLineChars="0"/>
              <w:rPr>
                <w:rFonts w:hint="default"/>
                <w:highlight w:val="none"/>
              </w:rPr>
            </w:pPr>
            <w:r>
              <w:rPr>
                <w:rFonts w:hint="default"/>
                <w:highlight w:val="none"/>
              </w:rPr>
              <w:t>6.5-7.5（无量纲）</w:t>
            </w:r>
          </w:p>
        </w:tc>
        <w:tc>
          <w:tcPr>
            <w:tcW w:w="352" w:type="pct"/>
            <w:vMerge w:val="continue"/>
            <w:tcBorders>
              <w:tl2br w:val="nil"/>
              <w:tr2bl w:val="nil"/>
            </w:tcBorders>
            <w:vAlign w:val="center"/>
          </w:tcPr>
          <w:p w14:paraId="458A972D">
            <w:pPr>
              <w:pStyle w:val="8"/>
              <w:suppressLineNumbers w:val="0"/>
              <w:bidi w:val="0"/>
              <w:spacing w:before="0" w:beforeAutospacing="0" w:after="0" w:afterAutospacing="0"/>
              <w:ind w:left="0" w:right="0"/>
              <w:rPr>
                <w:rFonts w:hint="default"/>
                <w:highlight w:val="none"/>
              </w:rPr>
            </w:pPr>
          </w:p>
        </w:tc>
        <w:tc>
          <w:tcPr>
            <w:tcW w:w="353" w:type="pct"/>
            <w:vMerge w:val="continue"/>
            <w:tcBorders>
              <w:tl2br w:val="nil"/>
              <w:tr2bl w:val="nil"/>
            </w:tcBorders>
            <w:vAlign w:val="center"/>
          </w:tcPr>
          <w:p w14:paraId="0431EF1C">
            <w:pPr>
              <w:pStyle w:val="8"/>
              <w:suppressLineNumbers w:val="0"/>
              <w:bidi w:val="0"/>
              <w:spacing w:before="0" w:beforeAutospacing="0" w:after="0" w:afterAutospacing="0"/>
              <w:ind w:left="0" w:right="0"/>
              <w:rPr>
                <w:rFonts w:hint="default"/>
                <w:highlight w:val="none"/>
              </w:rPr>
            </w:pPr>
          </w:p>
        </w:tc>
        <w:tc>
          <w:tcPr>
            <w:tcW w:w="295" w:type="pct"/>
            <w:vMerge w:val="continue"/>
            <w:tcBorders>
              <w:tl2br w:val="nil"/>
              <w:tr2bl w:val="nil"/>
            </w:tcBorders>
            <w:vAlign w:val="center"/>
          </w:tcPr>
          <w:p w14:paraId="6EC0BEA0">
            <w:pPr>
              <w:pStyle w:val="8"/>
              <w:suppressLineNumbers w:val="0"/>
              <w:bidi w:val="0"/>
              <w:spacing w:before="0" w:beforeAutospacing="0" w:after="0" w:afterAutospacing="0"/>
              <w:ind w:left="0" w:right="0"/>
              <w:rPr>
                <w:rFonts w:hint="default"/>
                <w:highlight w:val="none"/>
              </w:rPr>
            </w:pPr>
          </w:p>
        </w:tc>
      </w:tr>
      <w:tr w14:paraId="266EB9D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36" w:hRule="atLeast"/>
          <w:jc w:val="center"/>
        </w:trPr>
        <w:tc>
          <w:tcPr>
            <w:tcW w:w="208" w:type="pct"/>
            <w:vMerge w:val="continue"/>
            <w:tcBorders>
              <w:tl2br w:val="nil"/>
              <w:tr2bl w:val="nil"/>
            </w:tcBorders>
            <w:vAlign w:val="center"/>
          </w:tcPr>
          <w:p w14:paraId="2BF67E6C">
            <w:pPr>
              <w:pStyle w:val="8"/>
              <w:suppressLineNumbers w:val="0"/>
              <w:bidi w:val="0"/>
              <w:spacing w:before="0" w:beforeAutospacing="0" w:after="0" w:afterAutospacing="0"/>
              <w:ind w:left="0" w:right="0"/>
              <w:rPr>
                <w:rFonts w:hint="default"/>
                <w:highlight w:val="none"/>
              </w:rPr>
            </w:pPr>
          </w:p>
        </w:tc>
        <w:tc>
          <w:tcPr>
            <w:tcW w:w="303" w:type="pct"/>
            <w:tcBorders>
              <w:tl2br w:val="nil"/>
              <w:tr2bl w:val="nil"/>
            </w:tcBorders>
            <w:vAlign w:val="center"/>
          </w:tcPr>
          <w:p w14:paraId="2F4423B7">
            <w:pPr>
              <w:pStyle w:val="8"/>
              <w:suppressLineNumbers w:val="0"/>
              <w:bidi w:val="0"/>
              <w:spacing w:before="0" w:beforeAutospacing="0" w:after="0" w:afterAutospacing="0"/>
              <w:ind w:left="0" w:right="0"/>
              <w:rPr>
                <w:rFonts w:hint="default"/>
                <w:highlight w:val="none"/>
              </w:rPr>
            </w:pPr>
            <w:r>
              <w:rPr>
                <w:rFonts w:hint="default"/>
                <w:highlight w:val="none"/>
              </w:rPr>
              <w:t>BOD</w:t>
            </w:r>
            <w:r>
              <w:rPr>
                <w:rFonts w:hint="default"/>
                <w:highlight w:val="none"/>
                <w:vertAlign w:val="subscript"/>
              </w:rPr>
              <w:t>5</w:t>
            </w:r>
          </w:p>
        </w:tc>
        <w:tc>
          <w:tcPr>
            <w:tcW w:w="252" w:type="pct"/>
            <w:vMerge w:val="continue"/>
            <w:tcBorders>
              <w:tl2br w:val="nil"/>
              <w:tr2bl w:val="nil"/>
            </w:tcBorders>
            <w:vAlign w:val="center"/>
          </w:tcPr>
          <w:p w14:paraId="4D50FF46">
            <w:pPr>
              <w:pStyle w:val="8"/>
              <w:suppressLineNumbers w:val="0"/>
              <w:bidi w:val="0"/>
              <w:spacing w:before="0" w:beforeAutospacing="0" w:after="0" w:afterAutospacing="0"/>
              <w:ind w:left="0" w:right="0"/>
              <w:rPr>
                <w:rFonts w:hint="default"/>
                <w:highlight w:val="none"/>
              </w:rPr>
            </w:pPr>
          </w:p>
        </w:tc>
        <w:tc>
          <w:tcPr>
            <w:tcW w:w="301" w:type="pct"/>
            <w:vMerge w:val="continue"/>
            <w:tcBorders>
              <w:tl2br w:val="nil"/>
              <w:tr2bl w:val="nil"/>
            </w:tcBorders>
            <w:vAlign w:val="center"/>
          </w:tcPr>
          <w:p w14:paraId="7317140A">
            <w:pPr>
              <w:pStyle w:val="8"/>
              <w:suppressLineNumbers w:val="0"/>
              <w:bidi w:val="0"/>
              <w:spacing w:before="0" w:beforeAutospacing="0" w:after="0" w:afterAutospacing="0"/>
              <w:ind w:left="0" w:right="0"/>
              <w:rPr>
                <w:rFonts w:hint="default"/>
                <w:highlight w:val="none"/>
              </w:rPr>
            </w:pPr>
          </w:p>
        </w:tc>
        <w:tc>
          <w:tcPr>
            <w:tcW w:w="455" w:type="pct"/>
            <w:tcBorders>
              <w:tl2br w:val="nil"/>
              <w:tr2bl w:val="nil"/>
            </w:tcBorders>
            <w:vAlign w:val="center"/>
          </w:tcPr>
          <w:p w14:paraId="5C5DF328">
            <w:pPr>
              <w:pStyle w:val="8"/>
              <w:suppressLineNumbers w:val="0"/>
              <w:bidi w:val="0"/>
              <w:spacing w:before="0" w:beforeAutospacing="0" w:after="0" w:afterAutospacing="0"/>
              <w:ind w:left="0" w:right="0"/>
              <w:rPr>
                <w:rFonts w:hint="default"/>
                <w:highlight w:val="none"/>
              </w:rPr>
            </w:pPr>
            <w:r>
              <w:rPr>
                <w:rFonts w:hint="default"/>
                <w:highlight w:val="none"/>
              </w:rPr>
              <w:t>1</w:t>
            </w:r>
            <w:r>
              <w:rPr>
                <w:rFonts w:hint="eastAsia"/>
                <w:highlight w:val="none"/>
                <w:lang w:val="en-US" w:eastAsia="zh-CN"/>
              </w:rPr>
              <w:t>5</w:t>
            </w:r>
            <w:r>
              <w:rPr>
                <w:rFonts w:hint="default"/>
                <w:highlight w:val="none"/>
              </w:rPr>
              <w:t>0</w:t>
            </w:r>
          </w:p>
        </w:tc>
        <w:tc>
          <w:tcPr>
            <w:tcW w:w="322" w:type="pct"/>
            <w:tcBorders>
              <w:tl2br w:val="nil"/>
              <w:tr2bl w:val="nil"/>
            </w:tcBorders>
            <w:vAlign w:val="center"/>
          </w:tcPr>
          <w:p w14:paraId="76FA50EF">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0.03</w:t>
            </w:r>
          </w:p>
        </w:tc>
        <w:tc>
          <w:tcPr>
            <w:tcW w:w="586" w:type="pct"/>
            <w:vMerge w:val="continue"/>
            <w:tcBorders>
              <w:tl2br w:val="nil"/>
              <w:tr2bl w:val="nil"/>
            </w:tcBorders>
            <w:vAlign w:val="center"/>
          </w:tcPr>
          <w:p w14:paraId="5FF400A7">
            <w:pPr>
              <w:pStyle w:val="8"/>
              <w:suppressLineNumbers w:val="0"/>
              <w:bidi w:val="0"/>
              <w:spacing w:before="0" w:beforeAutospacing="0" w:after="0" w:afterAutospacing="0"/>
              <w:ind w:left="0" w:right="0"/>
              <w:rPr>
                <w:rFonts w:hint="default"/>
                <w:highlight w:val="none"/>
              </w:rPr>
            </w:pPr>
          </w:p>
        </w:tc>
        <w:tc>
          <w:tcPr>
            <w:tcW w:w="252" w:type="pct"/>
            <w:vMerge w:val="continue"/>
            <w:tcBorders>
              <w:tl2br w:val="nil"/>
              <w:tr2bl w:val="nil"/>
            </w:tcBorders>
            <w:vAlign w:val="center"/>
          </w:tcPr>
          <w:p w14:paraId="2F3AA783">
            <w:pPr>
              <w:pStyle w:val="8"/>
              <w:suppressLineNumbers w:val="0"/>
              <w:bidi w:val="0"/>
              <w:spacing w:before="0" w:beforeAutospacing="0" w:after="0" w:afterAutospacing="0"/>
              <w:ind w:left="0" w:right="0"/>
              <w:rPr>
                <w:rFonts w:hint="default"/>
                <w:highlight w:val="none"/>
              </w:rPr>
            </w:pPr>
          </w:p>
        </w:tc>
        <w:tc>
          <w:tcPr>
            <w:tcW w:w="252" w:type="pct"/>
            <w:vMerge w:val="continue"/>
            <w:tcBorders>
              <w:tl2br w:val="nil"/>
              <w:tr2bl w:val="nil"/>
            </w:tcBorders>
            <w:vAlign w:val="center"/>
          </w:tcPr>
          <w:p w14:paraId="0854937D">
            <w:pPr>
              <w:pStyle w:val="8"/>
              <w:suppressLineNumbers w:val="0"/>
              <w:bidi w:val="0"/>
              <w:spacing w:before="0" w:beforeAutospacing="0" w:after="0" w:afterAutospacing="0"/>
              <w:ind w:left="0" w:right="0"/>
              <w:rPr>
                <w:rFonts w:hint="default"/>
                <w:highlight w:val="none"/>
              </w:rPr>
            </w:pPr>
          </w:p>
        </w:tc>
        <w:tc>
          <w:tcPr>
            <w:tcW w:w="301" w:type="pct"/>
            <w:vMerge w:val="continue"/>
            <w:tcBorders>
              <w:tl2br w:val="nil"/>
              <w:tr2bl w:val="nil"/>
            </w:tcBorders>
            <w:vAlign w:val="center"/>
          </w:tcPr>
          <w:p w14:paraId="6777B630">
            <w:pPr>
              <w:pStyle w:val="8"/>
              <w:suppressLineNumbers w:val="0"/>
              <w:bidi w:val="0"/>
              <w:spacing w:before="0" w:beforeAutospacing="0" w:after="0" w:afterAutospacing="0"/>
              <w:ind w:left="0" w:right="0"/>
              <w:rPr>
                <w:rFonts w:hint="default"/>
                <w:highlight w:val="none"/>
              </w:rPr>
            </w:pPr>
          </w:p>
        </w:tc>
        <w:tc>
          <w:tcPr>
            <w:tcW w:w="1134" w:type="dxa"/>
            <w:tcBorders>
              <w:tl2br w:val="nil"/>
              <w:tr2bl w:val="nil"/>
            </w:tcBorders>
            <w:vAlign w:val="center"/>
          </w:tcPr>
          <w:p w14:paraId="2DE59D38">
            <w:pPr>
              <w:pStyle w:val="8"/>
              <w:suppressLineNumbers w:val="0"/>
              <w:bidi w:val="0"/>
              <w:spacing w:before="0" w:beforeAutospacing="0" w:after="0" w:afterAutospacing="0"/>
              <w:ind w:left="0" w:leftChars="0" w:right="0" w:rightChars="0" w:firstLine="0" w:firstLineChars="0"/>
              <w:rPr>
                <w:rFonts w:hint="default"/>
                <w:highlight w:val="none"/>
              </w:rPr>
            </w:pPr>
            <w:r>
              <w:rPr>
                <w:rFonts w:hint="default"/>
                <w:highlight w:val="none"/>
              </w:rPr>
              <w:t>1</w:t>
            </w:r>
            <w:r>
              <w:rPr>
                <w:rFonts w:hint="eastAsia"/>
                <w:highlight w:val="none"/>
                <w:lang w:val="en-US" w:eastAsia="zh-CN"/>
              </w:rPr>
              <w:t>5</w:t>
            </w:r>
            <w:r>
              <w:rPr>
                <w:rFonts w:hint="default"/>
                <w:highlight w:val="none"/>
              </w:rPr>
              <w:t>0</w:t>
            </w:r>
          </w:p>
        </w:tc>
        <w:tc>
          <w:tcPr>
            <w:tcW w:w="996" w:type="dxa"/>
            <w:tcBorders>
              <w:tl2br w:val="nil"/>
              <w:tr2bl w:val="nil"/>
            </w:tcBorders>
            <w:vAlign w:val="center"/>
          </w:tcPr>
          <w:p w14:paraId="1CC978CF">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0.03</w:t>
            </w:r>
          </w:p>
        </w:tc>
        <w:tc>
          <w:tcPr>
            <w:tcW w:w="352" w:type="pct"/>
            <w:vMerge w:val="continue"/>
            <w:tcBorders>
              <w:tl2br w:val="nil"/>
              <w:tr2bl w:val="nil"/>
            </w:tcBorders>
            <w:vAlign w:val="center"/>
          </w:tcPr>
          <w:p w14:paraId="088EB910">
            <w:pPr>
              <w:pStyle w:val="8"/>
              <w:suppressLineNumbers w:val="0"/>
              <w:bidi w:val="0"/>
              <w:spacing w:before="0" w:beforeAutospacing="0" w:after="0" w:afterAutospacing="0"/>
              <w:ind w:left="0" w:right="0"/>
              <w:rPr>
                <w:rFonts w:hint="default"/>
                <w:highlight w:val="none"/>
              </w:rPr>
            </w:pPr>
          </w:p>
        </w:tc>
        <w:tc>
          <w:tcPr>
            <w:tcW w:w="353" w:type="pct"/>
            <w:vMerge w:val="continue"/>
            <w:tcBorders>
              <w:tl2br w:val="nil"/>
              <w:tr2bl w:val="nil"/>
            </w:tcBorders>
            <w:vAlign w:val="center"/>
          </w:tcPr>
          <w:p w14:paraId="153C3DE2">
            <w:pPr>
              <w:pStyle w:val="8"/>
              <w:suppressLineNumbers w:val="0"/>
              <w:bidi w:val="0"/>
              <w:spacing w:before="0" w:beforeAutospacing="0" w:after="0" w:afterAutospacing="0"/>
              <w:ind w:left="0" w:right="0"/>
              <w:rPr>
                <w:rFonts w:hint="default"/>
                <w:highlight w:val="none"/>
              </w:rPr>
            </w:pPr>
          </w:p>
        </w:tc>
        <w:tc>
          <w:tcPr>
            <w:tcW w:w="295" w:type="pct"/>
            <w:vMerge w:val="continue"/>
            <w:tcBorders>
              <w:tl2br w:val="nil"/>
              <w:tr2bl w:val="nil"/>
            </w:tcBorders>
            <w:vAlign w:val="center"/>
          </w:tcPr>
          <w:p w14:paraId="575149D3">
            <w:pPr>
              <w:pStyle w:val="8"/>
              <w:suppressLineNumbers w:val="0"/>
              <w:bidi w:val="0"/>
              <w:spacing w:before="0" w:beforeAutospacing="0" w:after="0" w:afterAutospacing="0"/>
              <w:ind w:left="0" w:right="0"/>
              <w:rPr>
                <w:rFonts w:hint="default"/>
                <w:highlight w:val="none"/>
              </w:rPr>
            </w:pPr>
          </w:p>
        </w:tc>
      </w:tr>
      <w:tr w14:paraId="25F03B8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36" w:hRule="atLeast"/>
          <w:jc w:val="center"/>
        </w:trPr>
        <w:tc>
          <w:tcPr>
            <w:tcW w:w="208" w:type="pct"/>
            <w:vMerge w:val="continue"/>
            <w:tcBorders>
              <w:tl2br w:val="nil"/>
              <w:tr2bl w:val="nil"/>
            </w:tcBorders>
            <w:vAlign w:val="center"/>
          </w:tcPr>
          <w:p w14:paraId="1DB4CE7D">
            <w:pPr>
              <w:pStyle w:val="8"/>
              <w:suppressLineNumbers w:val="0"/>
              <w:bidi w:val="0"/>
              <w:spacing w:before="0" w:beforeAutospacing="0" w:after="0" w:afterAutospacing="0"/>
              <w:ind w:left="0" w:right="0"/>
              <w:rPr>
                <w:rFonts w:hint="default"/>
                <w:highlight w:val="none"/>
              </w:rPr>
            </w:pPr>
          </w:p>
        </w:tc>
        <w:tc>
          <w:tcPr>
            <w:tcW w:w="303" w:type="pct"/>
            <w:tcBorders>
              <w:tl2br w:val="nil"/>
              <w:tr2bl w:val="nil"/>
            </w:tcBorders>
            <w:vAlign w:val="center"/>
          </w:tcPr>
          <w:p w14:paraId="45B7EAF4">
            <w:pPr>
              <w:pStyle w:val="8"/>
              <w:suppressLineNumbers w:val="0"/>
              <w:bidi w:val="0"/>
              <w:spacing w:before="0" w:beforeAutospacing="0" w:after="0" w:afterAutospacing="0"/>
              <w:ind w:left="0" w:right="0"/>
              <w:rPr>
                <w:rFonts w:hint="default"/>
                <w:highlight w:val="none"/>
              </w:rPr>
            </w:pPr>
            <w:r>
              <w:rPr>
                <w:rFonts w:hint="default"/>
                <w:highlight w:val="none"/>
              </w:rPr>
              <w:t>SS</w:t>
            </w:r>
          </w:p>
        </w:tc>
        <w:tc>
          <w:tcPr>
            <w:tcW w:w="252" w:type="pct"/>
            <w:vMerge w:val="continue"/>
            <w:tcBorders>
              <w:tl2br w:val="nil"/>
              <w:tr2bl w:val="nil"/>
            </w:tcBorders>
            <w:vAlign w:val="center"/>
          </w:tcPr>
          <w:p w14:paraId="44C307F9">
            <w:pPr>
              <w:pStyle w:val="8"/>
              <w:suppressLineNumbers w:val="0"/>
              <w:bidi w:val="0"/>
              <w:spacing w:before="0" w:beforeAutospacing="0" w:after="0" w:afterAutospacing="0"/>
              <w:ind w:left="0" w:right="0"/>
              <w:rPr>
                <w:rFonts w:hint="default"/>
                <w:highlight w:val="none"/>
              </w:rPr>
            </w:pPr>
          </w:p>
        </w:tc>
        <w:tc>
          <w:tcPr>
            <w:tcW w:w="301" w:type="pct"/>
            <w:vMerge w:val="continue"/>
            <w:tcBorders>
              <w:tl2br w:val="nil"/>
              <w:tr2bl w:val="nil"/>
            </w:tcBorders>
            <w:vAlign w:val="center"/>
          </w:tcPr>
          <w:p w14:paraId="43D84F8E">
            <w:pPr>
              <w:pStyle w:val="8"/>
              <w:suppressLineNumbers w:val="0"/>
              <w:bidi w:val="0"/>
              <w:spacing w:before="0" w:beforeAutospacing="0" w:after="0" w:afterAutospacing="0"/>
              <w:ind w:left="0" w:right="0"/>
              <w:rPr>
                <w:rFonts w:hint="default"/>
                <w:highlight w:val="none"/>
              </w:rPr>
            </w:pPr>
          </w:p>
        </w:tc>
        <w:tc>
          <w:tcPr>
            <w:tcW w:w="455" w:type="pct"/>
            <w:tcBorders>
              <w:tl2br w:val="nil"/>
              <w:tr2bl w:val="nil"/>
            </w:tcBorders>
            <w:vAlign w:val="center"/>
          </w:tcPr>
          <w:p w14:paraId="178D40A7">
            <w:pPr>
              <w:pStyle w:val="8"/>
              <w:suppressLineNumbers w:val="0"/>
              <w:bidi w:val="0"/>
              <w:spacing w:before="0" w:beforeAutospacing="0" w:after="0" w:afterAutospacing="0"/>
              <w:ind w:left="0" w:right="0"/>
              <w:rPr>
                <w:rFonts w:hint="default"/>
                <w:highlight w:val="none"/>
              </w:rPr>
            </w:pPr>
            <w:r>
              <w:rPr>
                <w:rFonts w:hint="default"/>
                <w:highlight w:val="none"/>
              </w:rPr>
              <w:t>200</w:t>
            </w:r>
          </w:p>
        </w:tc>
        <w:tc>
          <w:tcPr>
            <w:tcW w:w="322" w:type="pct"/>
            <w:tcBorders>
              <w:tl2br w:val="nil"/>
              <w:tr2bl w:val="nil"/>
            </w:tcBorders>
            <w:vAlign w:val="center"/>
          </w:tcPr>
          <w:p w14:paraId="2071B62F">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0.05</w:t>
            </w:r>
          </w:p>
        </w:tc>
        <w:tc>
          <w:tcPr>
            <w:tcW w:w="586" w:type="pct"/>
            <w:vMerge w:val="continue"/>
            <w:tcBorders>
              <w:tl2br w:val="nil"/>
              <w:tr2bl w:val="nil"/>
            </w:tcBorders>
            <w:vAlign w:val="center"/>
          </w:tcPr>
          <w:p w14:paraId="46CE187B">
            <w:pPr>
              <w:pStyle w:val="8"/>
              <w:suppressLineNumbers w:val="0"/>
              <w:bidi w:val="0"/>
              <w:spacing w:before="0" w:beforeAutospacing="0" w:after="0" w:afterAutospacing="0"/>
              <w:ind w:left="0" w:right="0"/>
              <w:rPr>
                <w:rFonts w:hint="default"/>
                <w:highlight w:val="none"/>
              </w:rPr>
            </w:pPr>
          </w:p>
        </w:tc>
        <w:tc>
          <w:tcPr>
            <w:tcW w:w="252" w:type="pct"/>
            <w:vMerge w:val="continue"/>
            <w:tcBorders>
              <w:tl2br w:val="nil"/>
              <w:tr2bl w:val="nil"/>
            </w:tcBorders>
            <w:vAlign w:val="center"/>
          </w:tcPr>
          <w:p w14:paraId="101136E6">
            <w:pPr>
              <w:pStyle w:val="8"/>
              <w:suppressLineNumbers w:val="0"/>
              <w:bidi w:val="0"/>
              <w:spacing w:before="0" w:beforeAutospacing="0" w:after="0" w:afterAutospacing="0"/>
              <w:ind w:left="0" w:right="0"/>
              <w:rPr>
                <w:rFonts w:hint="default"/>
                <w:highlight w:val="none"/>
              </w:rPr>
            </w:pPr>
          </w:p>
        </w:tc>
        <w:tc>
          <w:tcPr>
            <w:tcW w:w="252" w:type="pct"/>
            <w:vMerge w:val="continue"/>
            <w:tcBorders>
              <w:tl2br w:val="nil"/>
              <w:tr2bl w:val="nil"/>
            </w:tcBorders>
            <w:vAlign w:val="center"/>
          </w:tcPr>
          <w:p w14:paraId="05DBB695">
            <w:pPr>
              <w:pStyle w:val="8"/>
              <w:suppressLineNumbers w:val="0"/>
              <w:bidi w:val="0"/>
              <w:spacing w:before="0" w:beforeAutospacing="0" w:after="0" w:afterAutospacing="0"/>
              <w:ind w:left="0" w:right="0"/>
              <w:rPr>
                <w:rFonts w:hint="default"/>
                <w:highlight w:val="none"/>
              </w:rPr>
            </w:pPr>
          </w:p>
        </w:tc>
        <w:tc>
          <w:tcPr>
            <w:tcW w:w="301" w:type="pct"/>
            <w:vMerge w:val="continue"/>
            <w:tcBorders>
              <w:tl2br w:val="nil"/>
              <w:tr2bl w:val="nil"/>
            </w:tcBorders>
            <w:vAlign w:val="center"/>
          </w:tcPr>
          <w:p w14:paraId="4D547B67">
            <w:pPr>
              <w:pStyle w:val="8"/>
              <w:suppressLineNumbers w:val="0"/>
              <w:bidi w:val="0"/>
              <w:spacing w:before="0" w:beforeAutospacing="0" w:after="0" w:afterAutospacing="0"/>
              <w:ind w:left="0" w:right="0"/>
              <w:rPr>
                <w:rFonts w:hint="default"/>
                <w:highlight w:val="none"/>
              </w:rPr>
            </w:pPr>
          </w:p>
        </w:tc>
        <w:tc>
          <w:tcPr>
            <w:tcW w:w="1134" w:type="dxa"/>
            <w:tcBorders>
              <w:tl2br w:val="nil"/>
              <w:tr2bl w:val="nil"/>
            </w:tcBorders>
            <w:vAlign w:val="center"/>
          </w:tcPr>
          <w:p w14:paraId="46C6154B">
            <w:pPr>
              <w:pStyle w:val="8"/>
              <w:suppressLineNumbers w:val="0"/>
              <w:bidi w:val="0"/>
              <w:spacing w:before="0" w:beforeAutospacing="0" w:after="0" w:afterAutospacing="0"/>
              <w:ind w:left="0" w:leftChars="0" w:right="0" w:rightChars="0" w:firstLine="0" w:firstLineChars="0"/>
              <w:rPr>
                <w:rFonts w:hint="default"/>
                <w:highlight w:val="none"/>
              </w:rPr>
            </w:pPr>
            <w:r>
              <w:rPr>
                <w:rFonts w:hint="default"/>
                <w:highlight w:val="none"/>
              </w:rPr>
              <w:t>200</w:t>
            </w:r>
          </w:p>
        </w:tc>
        <w:tc>
          <w:tcPr>
            <w:tcW w:w="996" w:type="dxa"/>
            <w:tcBorders>
              <w:tl2br w:val="nil"/>
              <w:tr2bl w:val="nil"/>
            </w:tcBorders>
            <w:vAlign w:val="center"/>
          </w:tcPr>
          <w:p w14:paraId="502EF4B8">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0.05</w:t>
            </w:r>
          </w:p>
        </w:tc>
        <w:tc>
          <w:tcPr>
            <w:tcW w:w="352" w:type="pct"/>
            <w:vMerge w:val="continue"/>
            <w:tcBorders>
              <w:tl2br w:val="nil"/>
              <w:tr2bl w:val="nil"/>
            </w:tcBorders>
            <w:vAlign w:val="center"/>
          </w:tcPr>
          <w:p w14:paraId="66BC4C5E">
            <w:pPr>
              <w:pStyle w:val="8"/>
              <w:suppressLineNumbers w:val="0"/>
              <w:bidi w:val="0"/>
              <w:spacing w:before="0" w:beforeAutospacing="0" w:after="0" w:afterAutospacing="0"/>
              <w:ind w:left="0" w:right="0"/>
              <w:rPr>
                <w:rFonts w:hint="default"/>
                <w:highlight w:val="none"/>
              </w:rPr>
            </w:pPr>
          </w:p>
        </w:tc>
        <w:tc>
          <w:tcPr>
            <w:tcW w:w="353" w:type="pct"/>
            <w:vMerge w:val="continue"/>
            <w:tcBorders>
              <w:tl2br w:val="nil"/>
              <w:tr2bl w:val="nil"/>
            </w:tcBorders>
            <w:vAlign w:val="center"/>
          </w:tcPr>
          <w:p w14:paraId="019FB2CD">
            <w:pPr>
              <w:pStyle w:val="8"/>
              <w:suppressLineNumbers w:val="0"/>
              <w:bidi w:val="0"/>
              <w:spacing w:before="0" w:beforeAutospacing="0" w:after="0" w:afterAutospacing="0"/>
              <w:ind w:left="0" w:right="0"/>
              <w:rPr>
                <w:rFonts w:hint="default"/>
                <w:highlight w:val="none"/>
              </w:rPr>
            </w:pPr>
          </w:p>
        </w:tc>
        <w:tc>
          <w:tcPr>
            <w:tcW w:w="295" w:type="pct"/>
            <w:vMerge w:val="continue"/>
            <w:tcBorders>
              <w:tl2br w:val="nil"/>
              <w:tr2bl w:val="nil"/>
            </w:tcBorders>
            <w:vAlign w:val="center"/>
          </w:tcPr>
          <w:p w14:paraId="329B52BB">
            <w:pPr>
              <w:pStyle w:val="8"/>
              <w:suppressLineNumbers w:val="0"/>
              <w:bidi w:val="0"/>
              <w:spacing w:before="0" w:beforeAutospacing="0" w:after="0" w:afterAutospacing="0"/>
              <w:ind w:left="0" w:right="0"/>
              <w:rPr>
                <w:rFonts w:hint="default"/>
                <w:highlight w:val="none"/>
              </w:rPr>
            </w:pPr>
          </w:p>
        </w:tc>
      </w:tr>
    </w:tbl>
    <w:p w14:paraId="0257971D">
      <w:pPr>
        <w:pStyle w:val="7"/>
        <w:bidi w:val="0"/>
        <w:rPr>
          <w:rFonts w:hint="eastAsia"/>
          <w:highlight w:val="none"/>
          <w:lang w:eastAsia="zh-CN"/>
        </w:rPr>
      </w:pPr>
      <w:r>
        <w:rPr>
          <w:highlight w:val="none"/>
        </w:rPr>
        <w:t>表</w:t>
      </w:r>
      <w:r>
        <w:rPr>
          <w:rFonts w:hint="eastAsia"/>
          <w:highlight w:val="none"/>
        </w:rPr>
        <w:t>3-</w:t>
      </w:r>
      <w:r>
        <w:rPr>
          <w:rFonts w:hint="eastAsia"/>
          <w:highlight w:val="none"/>
          <w:lang w:val="en-US" w:eastAsia="zh-CN"/>
        </w:rPr>
        <w:t>3-5</w:t>
      </w:r>
      <w:r>
        <w:rPr>
          <w:rFonts w:hint="eastAsia"/>
          <w:highlight w:val="none"/>
        </w:rPr>
        <w:t>噪声污染源源强核算结果及相关参数一览表</w:t>
      </w:r>
    </w:p>
    <w:tbl>
      <w:tblPr>
        <w:tblStyle w:val="45"/>
        <w:tblW w:w="485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20"/>
        <w:gridCol w:w="1919"/>
        <w:gridCol w:w="744"/>
        <w:gridCol w:w="744"/>
        <w:gridCol w:w="1127"/>
        <w:gridCol w:w="1375"/>
        <w:gridCol w:w="1183"/>
        <w:gridCol w:w="1158"/>
        <w:gridCol w:w="1365"/>
        <w:gridCol w:w="1440"/>
        <w:gridCol w:w="1781"/>
      </w:tblGrid>
      <w:tr w14:paraId="2BB66D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334" w:type="pct"/>
            <w:vMerge w:val="restart"/>
            <w:vAlign w:val="center"/>
          </w:tcPr>
          <w:p w14:paraId="14A2C6EA">
            <w:pPr>
              <w:pStyle w:val="8"/>
              <w:suppressLineNumbers w:val="0"/>
              <w:bidi w:val="0"/>
              <w:spacing w:before="0" w:beforeAutospacing="0" w:after="0" w:afterAutospacing="0"/>
              <w:ind w:left="0" w:right="0"/>
              <w:rPr>
                <w:rFonts w:hint="eastAsia"/>
                <w:highlight w:val="none"/>
                <w:lang w:eastAsia="zh-CN"/>
              </w:rPr>
            </w:pPr>
            <w:r>
              <w:rPr>
                <w:rFonts w:hint="eastAsia"/>
                <w:highlight w:val="none"/>
                <w:lang w:val="en-US" w:eastAsia="zh-CN"/>
              </w:rPr>
              <w:t>工序</w:t>
            </w:r>
          </w:p>
        </w:tc>
        <w:tc>
          <w:tcPr>
            <w:tcW w:w="697" w:type="pct"/>
            <w:vMerge w:val="restart"/>
            <w:vAlign w:val="center"/>
          </w:tcPr>
          <w:p w14:paraId="2907B2B7">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噪声源</w:t>
            </w:r>
          </w:p>
        </w:tc>
        <w:tc>
          <w:tcPr>
            <w:tcW w:w="270" w:type="pct"/>
            <w:vMerge w:val="restart"/>
            <w:vAlign w:val="center"/>
          </w:tcPr>
          <w:p w14:paraId="07D440F8">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数量</w:t>
            </w:r>
          </w:p>
        </w:tc>
        <w:tc>
          <w:tcPr>
            <w:tcW w:w="270" w:type="pct"/>
            <w:vMerge w:val="restart"/>
            <w:shd w:val="clear" w:color="auto" w:fill="auto"/>
            <w:vAlign w:val="center"/>
          </w:tcPr>
          <w:p w14:paraId="112D3502">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kern w:val="0"/>
                <w:sz w:val="21"/>
                <w:szCs w:val="24"/>
                <w:highlight w:val="none"/>
                <w:lang w:val="en-US" w:eastAsia="zh-CN" w:bidi="ar-SA"/>
              </w:rPr>
            </w:pPr>
            <w:r>
              <w:rPr>
                <w:rFonts w:hint="eastAsia"/>
                <w:highlight w:val="none"/>
                <w:lang w:val="en-US" w:eastAsia="zh-CN"/>
              </w:rPr>
              <w:t>声源类型</w:t>
            </w:r>
          </w:p>
          <w:p w14:paraId="11A2554A">
            <w:pPr>
              <w:pStyle w:val="8"/>
              <w:suppressLineNumbers w:val="0"/>
              <w:bidi w:val="0"/>
              <w:spacing w:before="0" w:beforeAutospacing="0" w:after="0" w:afterAutospacing="0"/>
              <w:ind w:left="0" w:right="0"/>
              <w:rPr>
                <w:rFonts w:hint="eastAsia"/>
                <w:highlight w:val="none"/>
                <w:lang w:val="en-US" w:eastAsia="zh-CN"/>
              </w:rPr>
            </w:pPr>
          </w:p>
        </w:tc>
        <w:tc>
          <w:tcPr>
            <w:tcW w:w="909" w:type="pct"/>
            <w:gridSpan w:val="2"/>
            <w:vAlign w:val="center"/>
          </w:tcPr>
          <w:p w14:paraId="7C892ABA">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噪声源强</w:t>
            </w:r>
          </w:p>
        </w:tc>
        <w:tc>
          <w:tcPr>
            <w:tcW w:w="850" w:type="pct"/>
            <w:gridSpan w:val="2"/>
            <w:vAlign w:val="center"/>
          </w:tcPr>
          <w:p w14:paraId="15FE4AEF">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降噪措施</w:t>
            </w:r>
          </w:p>
        </w:tc>
        <w:tc>
          <w:tcPr>
            <w:tcW w:w="1019" w:type="pct"/>
            <w:gridSpan w:val="2"/>
            <w:vAlign w:val="center"/>
          </w:tcPr>
          <w:p w14:paraId="205DE927">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噪声排放量</w:t>
            </w:r>
          </w:p>
        </w:tc>
        <w:tc>
          <w:tcPr>
            <w:tcW w:w="647" w:type="pct"/>
            <w:vMerge w:val="restart"/>
            <w:vAlign w:val="center"/>
          </w:tcPr>
          <w:p w14:paraId="174E049B">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持续时间（h）</w:t>
            </w:r>
          </w:p>
        </w:tc>
      </w:tr>
      <w:tr w14:paraId="380297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3" w:hRule="atLeast"/>
          <w:jc w:val="center"/>
        </w:trPr>
        <w:tc>
          <w:tcPr>
            <w:tcW w:w="334" w:type="pct"/>
            <w:vMerge w:val="continue"/>
            <w:vAlign w:val="center"/>
          </w:tcPr>
          <w:p w14:paraId="227F4E50">
            <w:pPr>
              <w:pStyle w:val="8"/>
              <w:suppressLineNumbers w:val="0"/>
              <w:bidi w:val="0"/>
              <w:spacing w:before="0" w:beforeAutospacing="0" w:after="0" w:afterAutospacing="0"/>
              <w:ind w:left="0" w:right="0"/>
              <w:rPr>
                <w:rFonts w:hint="default"/>
                <w:highlight w:val="none"/>
              </w:rPr>
            </w:pPr>
          </w:p>
        </w:tc>
        <w:tc>
          <w:tcPr>
            <w:tcW w:w="697" w:type="pct"/>
            <w:vMerge w:val="continue"/>
            <w:vAlign w:val="center"/>
          </w:tcPr>
          <w:p w14:paraId="06A65E42">
            <w:pPr>
              <w:pStyle w:val="8"/>
              <w:suppressLineNumbers w:val="0"/>
              <w:bidi w:val="0"/>
              <w:spacing w:before="0" w:beforeAutospacing="0" w:after="0" w:afterAutospacing="0"/>
              <w:ind w:left="0" w:right="0"/>
              <w:rPr>
                <w:rFonts w:hint="default"/>
                <w:highlight w:val="none"/>
              </w:rPr>
            </w:pPr>
          </w:p>
        </w:tc>
        <w:tc>
          <w:tcPr>
            <w:tcW w:w="270" w:type="pct"/>
            <w:vMerge w:val="continue"/>
            <w:vAlign w:val="center"/>
          </w:tcPr>
          <w:p w14:paraId="0797D220">
            <w:pPr>
              <w:pStyle w:val="8"/>
              <w:suppressLineNumbers w:val="0"/>
              <w:bidi w:val="0"/>
              <w:spacing w:before="0" w:beforeAutospacing="0" w:after="0" w:afterAutospacing="0"/>
              <w:ind w:left="0" w:right="0"/>
              <w:rPr>
                <w:rFonts w:hint="default"/>
                <w:highlight w:val="none"/>
              </w:rPr>
            </w:pPr>
          </w:p>
        </w:tc>
        <w:tc>
          <w:tcPr>
            <w:tcW w:w="270" w:type="pct"/>
            <w:vMerge w:val="continue"/>
            <w:vAlign w:val="center"/>
          </w:tcPr>
          <w:p w14:paraId="5B8F5F7B">
            <w:pPr>
              <w:pStyle w:val="8"/>
              <w:suppressLineNumbers w:val="0"/>
              <w:bidi w:val="0"/>
              <w:spacing w:before="0" w:beforeAutospacing="0" w:after="0" w:afterAutospacing="0"/>
              <w:ind w:left="0" w:right="0"/>
              <w:rPr>
                <w:rFonts w:hint="default"/>
                <w:highlight w:val="none"/>
              </w:rPr>
            </w:pPr>
          </w:p>
        </w:tc>
        <w:tc>
          <w:tcPr>
            <w:tcW w:w="409" w:type="pct"/>
            <w:vAlign w:val="center"/>
          </w:tcPr>
          <w:p w14:paraId="78BE195D">
            <w:pPr>
              <w:pStyle w:val="8"/>
              <w:suppressLineNumbers w:val="0"/>
              <w:bidi w:val="0"/>
              <w:spacing w:before="0" w:beforeAutospacing="0" w:after="0" w:afterAutospacing="0"/>
              <w:ind w:left="0" w:right="0"/>
              <w:rPr>
                <w:rFonts w:hint="eastAsia"/>
                <w:highlight w:val="none"/>
                <w:lang w:val="en-US" w:eastAsia="zh-CN"/>
              </w:rPr>
            </w:pPr>
            <w:r>
              <w:rPr>
                <w:rFonts w:hint="eastAsia"/>
                <w:highlight w:val="none"/>
                <w:lang w:val="en-US" w:eastAsia="zh-CN"/>
              </w:rPr>
              <w:t>核算方法</w:t>
            </w:r>
          </w:p>
        </w:tc>
        <w:tc>
          <w:tcPr>
            <w:tcW w:w="499" w:type="pct"/>
            <w:vAlign w:val="center"/>
          </w:tcPr>
          <w:p w14:paraId="6DBF9E70">
            <w:pPr>
              <w:pStyle w:val="8"/>
              <w:suppressLineNumbers w:val="0"/>
              <w:bidi w:val="0"/>
              <w:spacing w:before="0" w:beforeAutospacing="0" w:after="0" w:afterAutospacing="0"/>
              <w:ind w:left="0" w:right="0"/>
              <w:rPr>
                <w:rFonts w:hint="eastAsia"/>
                <w:highlight w:val="none"/>
                <w:lang w:val="en-US" w:eastAsia="zh-CN"/>
              </w:rPr>
            </w:pPr>
            <w:r>
              <w:rPr>
                <w:rFonts w:hint="eastAsia"/>
                <w:highlight w:val="none"/>
                <w:lang w:val="en-US" w:eastAsia="zh-CN"/>
              </w:rPr>
              <w:t>声源值</w:t>
            </w:r>
          </w:p>
          <w:p w14:paraId="741CCC03">
            <w:pPr>
              <w:pStyle w:val="8"/>
              <w:suppressLineNumbers w:val="0"/>
              <w:bidi w:val="0"/>
              <w:spacing w:before="0" w:beforeAutospacing="0" w:after="0" w:afterAutospacing="0"/>
              <w:ind w:left="0" w:right="0"/>
              <w:rPr>
                <w:rFonts w:hint="default"/>
                <w:highlight w:val="none"/>
              </w:rPr>
            </w:pPr>
            <w:r>
              <w:rPr>
                <w:rFonts w:hint="default"/>
                <w:highlight w:val="none"/>
              </w:rPr>
              <w:t>/dB（A）</w:t>
            </w:r>
          </w:p>
        </w:tc>
        <w:tc>
          <w:tcPr>
            <w:tcW w:w="429" w:type="pct"/>
            <w:vAlign w:val="center"/>
          </w:tcPr>
          <w:p w14:paraId="000030BB">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工艺</w:t>
            </w:r>
          </w:p>
        </w:tc>
        <w:tc>
          <w:tcPr>
            <w:tcW w:w="420" w:type="pct"/>
            <w:vAlign w:val="center"/>
          </w:tcPr>
          <w:p w14:paraId="29656244">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降噪效果</w:t>
            </w:r>
            <w:r>
              <w:rPr>
                <w:rFonts w:hint="default"/>
                <w:highlight w:val="none"/>
              </w:rPr>
              <w:t>/dB（A）</w:t>
            </w:r>
          </w:p>
        </w:tc>
        <w:tc>
          <w:tcPr>
            <w:tcW w:w="496" w:type="pct"/>
            <w:vAlign w:val="center"/>
          </w:tcPr>
          <w:p w14:paraId="68602948">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核算方法</w:t>
            </w:r>
          </w:p>
        </w:tc>
        <w:tc>
          <w:tcPr>
            <w:tcW w:w="523" w:type="pct"/>
            <w:vAlign w:val="center"/>
          </w:tcPr>
          <w:p w14:paraId="3EE596D9">
            <w:pPr>
              <w:pStyle w:val="8"/>
              <w:suppressLineNumbers w:val="0"/>
              <w:bidi w:val="0"/>
              <w:spacing w:before="0" w:beforeAutospacing="0" w:after="0" w:afterAutospacing="0"/>
              <w:ind w:left="0" w:right="0"/>
              <w:rPr>
                <w:rFonts w:hint="eastAsia"/>
                <w:highlight w:val="none"/>
                <w:lang w:val="en-US" w:eastAsia="zh-CN"/>
              </w:rPr>
            </w:pPr>
            <w:r>
              <w:rPr>
                <w:rFonts w:hint="eastAsia"/>
                <w:highlight w:val="none"/>
                <w:lang w:val="en-US" w:eastAsia="zh-CN"/>
              </w:rPr>
              <w:t>声源值</w:t>
            </w:r>
          </w:p>
          <w:p w14:paraId="145DE15F">
            <w:pPr>
              <w:pStyle w:val="8"/>
              <w:suppressLineNumbers w:val="0"/>
              <w:bidi w:val="0"/>
              <w:spacing w:before="0" w:beforeAutospacing="0" w:after="0" w:afterAutospacing="0"/>
              <w:ind w:left="0" w:right="0"/>
              <w:rPr>
                <w:rFonts w:hint="default"/>
                <w:highlight w:val="none"/>
              </w:rPr>
            </w:pPr>
            <w:r>
              <w:rPr>
                <w:rFonts w:hint="default"/>
                <w:highlight w:val="none"/>
              </w:rPr>
              <w:t>/dB（A）</w:t>
            </w:r>
          </w:p>
        </w:tc>
        <w:tc>
          <w:tcPr>
            <w:tcW w:w="647" w:type="pct"/>
            <w:vMerge w:val="continue"/>
            <w:vAlign w:val="center"/>
          </w:tcPr>
          <w:p w14:paraId="04FAB781">
            <w:pPr>
              <w:pStyle w:val="8"/>
              <w:suppressLineNumbers w:val="0"/>
              <w:bidi w:val="0"/>
              <w:spacing w:before="0" w:beforeAutospacing="0" w:after="0" w:afterAutospacing="0"/>
              <w:ind w:left="0" w:right="0"/>
              <w:rPr>
                <w:rFonts w:hint="default"/>
                <w:highlight w:val="none"/>
              </w:rPr>
            </w:pPr>
          </w:p>
        </w:tc>
      </w:tr>
      <w:tr w14:paraId="353200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34" w:type="pct"/>
            <w:vMerge w:val="restart"/>
            <w:vAlign w:val="center"/>
          </w:tcPr>
          <w:p w14:paraId="613BD0C6">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生产车间</w:t>
            </w:r>
          </w:p>
        </w:tc>
        <w:tc>
          <w:tcPr>
            <w:tcW w:w="697" w:type="pct"/>
            <w:vAlign w:val="center"/>
          </w:tcPr>
          <w:p w14:paraId="60CAA98A">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kern w:val="0"/>
                <w:sz w:val="21"/>
                <w:szCs w:val="24"/>
                <w:highlight w:val="none"/>
                <w:lang w:val="en-US" w:eastAsia="zh-CN" w:bidi="ar-SA"/>
              </w:rPr>
            </w:pPr>
            <w:r>
              <w:rPr>
                <w:rFonts w:hint="eastAsia"/>
                <w:highlight w:val="none"/>
                <w:lang w:val="en-US" w:eastAsia="zh-CN"/>
              </w:rPr>
              <w:t>金属上料输送机</w:t>
            </w:r>
          </w:p>
        </w:tc>
        <w:tc>
          <w:tcPr>
            <w:tcW w:w="270" w:type="pct"/>
            <w:vAlign w:val="center"/>
          </w:tcPr>
          <w:p w14:paraId="473F6907">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w:t>
            </w:r>
          </w:p>
        </w:tc>
        <w:tc>
          <w:tcPr>
            <w:tcW w:w="270" w:type="pct"/>
            <w:vMerge w:val="restart"/>
            <w:shd w:val="clear" w:color="auto" w:fill="auto"/>
            <w:vAlign w:val="center"/>
          </w:tcPr>
          <w:p w14:paraId="6880CF05">
            <w:pPr>
              <w:pStyle w:val="8"/>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color w:val="000000"/>
                <w:kern w:val="0"/>
                <w:sz w:val="21"/>
                <w:szCs w:val="24"/>
                <w:highlight w:val="none"/>
                <w:lang w:val="en-US" w:eastAsia="zh-CN" w:bidi="ar-SA"/>
              </w:rPr>
            </w:pPr>
            <w:r>
              <w:rPr>
                <w:rFonts w:hint="eastAsia"/>
                <w:highlight w:val="none"/>
                <w:lang w:val="en-US" w:eastAsia="zh-CN"/>
              </w:rPr>
              <w:t>频发</w:t>
            </w:r>
          </w:p>
        </w:tc>
        <w:tc>
          <w:tcPr>
            <w:tcW w:w="409" w:type="pct"/>
            <w:vMerge w:val="restart"/>
            <w:vAlign w:val="center"/>
          </w:tcPr>
          <w:p w14:paraId="4FC0EE11">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类比法</w:t>
            </w:r>
          </w:p>
        </w:tc>
        <w:tc>
          <w:tcPr>
            <w:tcW w:w="499" w:type="pct"/>
            <w:vAlign w:val="center"/>
          </w:tcPr>
          <w:p w14:paraId="5C96E764">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70</w:t>
            </w:r>
          </w:p>
        </w:tc>
        <w:tc>
          <w:tcPr>
            <w:tcW w:w="429" w:type="pct"/>
            <w:vMerge w:val="restart"/>
            <w:vAlign w:val="center"/>
          </w:tcPr>
          <w:p w14:paraId="1EF73D9D">
            <w:pPr>
              <w:pStyle w:val="8"/>
              <w:suppressLineNumbers w:val="0"/>
              <w:bidi w:val="0"/>
              <w:spacing w:before="0" w:beforeAutospacing="0" w:after="0" w:afterAutospacing="0"/>
              <w:ind w:left="0" w:right="0"/>
              <w:rPr>
                <w:rFonts w:hint="default"/>
                <w:highlight w:val="none"/>
              </w:rPr>
            </w:pPr>
            <w:r>
              <w:rPr>
                <w:rFonts w:hint="default"/>
                <w:highlight w:val="none"/>
              </w:rPr>
              <w:t>基础减振、厂房隔声</w:t>
            </w:r>
          </w:p>
        </w:tc>
        <w:tc>
          <w:tcPr>
            <w:tcW w:w="420" w:type="pct"/>
            <w:vAlign w:val="center"/>
          </w:tcPr>
          <w:p w14:paraId="7D756CAA">
            <w:pPr>
              <w:pStyle w:val="8"/>
              <w:suppressLineNumbers w:val="0"/>
              <w:bidi w:val="0"/>
              <w:spacing w:before="0" w:beforeAutospacing="0" w:after="0" w:afterAutospacing="0"/>
              <w:ind w:left="0" w:right="0"/>
              <w:rPr>
                <w:rFonts w:hint="default"/>
                <w:highlight w:val="none"/>
              </w:rPr>
            </w:pPr>
            <w:r>
              <w:rPr>
                <w:rFonts w:hint="default"/>
                <w:highlight w:val="none"/>
              </w:rPr>
              <w:t>20</w:t>
            </w:r>
          </w:p>
        </w:tc>
        <w:tc>
          <w:tcPr>
            <w:tcW w:w="496" w:type="pct"/>
            <w:vMerge w:val="restart"/>
            <w:vAlign w:val="center"/>
          </w:tcPr>
          <w:p w14:paraId="77A3A0C8">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类比法</w:t>
            </w:r>
          </w:p>
        </w:tc>
        <w:tc>
          <w:tcPr>
            <w:tcW w:w="523" w:type="pct"/>
            <w:vAlign w:val="center"/>
          </w:tcPr>
          <w:p w14:paraId="572394BB">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50</w:t>
            </w:r>
          </w:p>
        </w:tc>
        <w:tc>
          <w:tcPr>
            <w:tcW w:w="647" w:type="pct"/>
            <w:vAlign w:val="center"/>
          </w:tcPr>
          <w:p w14:paraId="7B40EF9F">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2400</w:t>
            </w:r>
          </w:p>
        </w:tc>
      </w:tr>
      <w:tr w14:paraId="77CA93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334" w:type="pct"/>
            <w:vMerge w:val="continue"/>
            <w:vAlign w:val="center"/>
          </w:tcPr>
          <w:p w14:paraId="4498D4CE">
            <w:pPr>
              <w:pStyle w:val="8"/>
              <w:suppressLineNumbers w:val="0"/>
              <w:bidi w:val="0"/>
              <w:spacing w:before="0" w:beforeAutospacing="0" w:after="0" w:afterAutospacing="0"/>
              <w:ind w:left="0" w:right="0"/>
              <w:rPr>
                <w:rFonts w:hint="default"/>
                <w:highlight w:val="none"/>
              </w:rPr>
            </w:pPr>
          </w:p>
        </w:tc>
        <w:tc>
          <w:tcPr>
            <w:tcW w:w="697" w:type="pct"/>
            <w:vAlign w:val="center"/>
          </w:tcPr>
          <w:p w14:paraId="0A44701E">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kern w:val="0"/>
                <w:sz w:val="21"/>
                <w:szCs w:val="24"/>
                <w:highlight w:val="none"/>
                <w:lang w:val="en-US" w:eastAsia="zh-CN" w:bidi="ar-SA"/>
              </w:rPr>
            </w:pPr>
            <w:r>
              <w:rPr>
                <w:rFonts w:hint="default"/>
                <w:highlight w:val="none"/>
                <w:lang w:val="en-US"/>
              </w:rPr>
              <w:t>金属屑粉碎机</w:t>
            </w:r>
          </w:p>
        </w:tc>
        <w:tc>
          <w:tcPr>
            <w:tcW w:w="270" w:type="pct"/>
            <w:vAlign w:val="center"/>
          </w:tcPr>
          <w:p w14:paraId="05685ED0">
            <w:pPr>
              <w:pStyle w:val="8"/>
              <w:suppressLineNumbers w:val="0"/>
              <w:bidi w:val="0"/>
              <w:spacing w:before="0" w:beforeAutospacing="0" w:after="0" w:afterAutospacing="0"/>
              <w:ind w:left="0" w:right="0"/>
              <w:rPr>
                <w:rFonts w:hint="eastAsia" w:eastAsia="宋体"/>
                <w:highlight w:val="none"/>
                <w:lang w:val="en-US" w:eastAsia="zh-CN"/>
              </w:rPr>
            </w:pPr>
            <w:r>
              <w:rPr>
                <w:rFonts w:hint="eastAsia"/>
                <w:highlight w:val="none"/>
                <w:lang w:val="en-US" w:eastAsia="zh-CN"/>
              </w:rPr>
              <w:t>1</w:t>
            </w:r>
          </w:p>
        </w:tc>
        <w:tc>
          <w:tcPr>
            <w:tcW w:w="270" w:type="pct"/>
            <w:vMerge w:val="continue"/>
            <w:vAlign w:val="center"/>
          </w:tcPr>
          <w:p w14:paraId="68C86D8A">
            <w:pPr>
              <w:pStyle w:val="8"/>
              <w:suppressLineNumbers w:val="0"/>
              <w:bidi w:val="0"/>
              <w:spacing w:before="0" w:beforeAutospacing="0" w:after="0" w:afterAutospacing="0"/>
              <w:ind w:left="0" w:right="0"/>
              <w:rPr>
                <w:rFonts w:hint="default"/>
                <w:highlight w:val="none"/>
              </w:rPr>
            </w:pPr>
          </w:p>
        </w:tc>
        <w:tc>
          <w:tcPr>
            <w:tcW w:w="409" w:type="pct"/>
            <w:vMerge w:val="continue"/>
            <w:vAlign w:val="center"/>
          </w:tcPr>
          <w:p w14:paraId="00B8AE13">
            <w:pPr>
              <w:pStyle w:val="8"/>
              <w:suppressLineNumbers w:val="0"/>
              <w:bidi w:val="0"/>
              <w:spacing w:before="0" w:beforeAutospacing="0" w:after="0" w:afterAutospacing="0"/>
              <w:ind w:left="0" w:right="0"/>
              <w:rPr>
                <w:rFonts w:hint="default"/>
                <w:highlight w:val="none"/>
              </w:rPr>
            </w:pPr>
          </w:p>
        </w:tc>
        <w:tc>
          <w:tcPr>
            <w:tcW w:w="499" w:type="pct"/>
            <w:vAlign w:val="center"/>
          </w:tcPr>
          <w:p w14:paraId="17BB42C3">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80</w:t>
            </w:r>
          </w:p>
        </w:tc>
        <w:tc>
          <w:tcPr>
            <w:tcW w:w="429" w:type="pct"/>
            <w:vMerge w:val="continue"/>
            <w:vAlign w:val="center"/>
          </w:tcPr>
          <w:p w14:paraId="243CCCB9">
            <w:pPr>
              <w:pStyle w:val="8"/>
              <w:suppressLineNumbers w:val="0"/>
              <w:bidi w:val="0"/>
              <w:spacing w:before="0" w:beforeAutospacing="0" w:after="0" w:afterAutospacing="0"/>
              <w:ind w:left="0" w:right="0"/>
              <w:rPr>
                <w:rFonts w:hint="default"/>
                <w:highlight w:val="none"/>
              </w:rPr>
            </w:pPr>
          </w:p>
        </w:tc>
        <w:tc>
          <w:tcPr>
            <w:tcW w:w="420" w:type="pct"/>
            <w:vAlign w:val="center"/>
          </w:tcPr>
          <w:p w14:paraId="2F3A8131">
            <w:pPr>
              <w:pStyle w:val="8"/>
              <w:suppressLineNumbers w:val="0"/>
              <w:bidi w:val="0"/>
              <w:spacing w:before="0" w:beforeAutospacing="0" w:after="0" w:afterAutospacing="0"/>
              <w:ind w:left="0" w:right="0"/>
              <w:rPr>
                <w:rFonts w:hint="default"/>
                <w:highlight w:val="none"/>
              </w:rPr>
            </w:pPr>
            <w:r>
              <w:rPr>
                <w:rFonts w:hint="default"/>
                <w:highlight w:val="none"/>
              </w:rPr>
              <w:t>20</w:t>
            </w:r>
          </w:p>
        </w:tc>
        <w:tc>
          <w:tcPr>
            <w:tcW w:w="496" w:type="pct"/>
            <w:vMerge w:val="continue"/>
            <w:vAlign w:val="center"/>
          </w:tcPr>
          <w:p w14:paraId="137CCBD0">
            <w:pPr>
              <w:pStyle w:val="8"/>
              <w:suppressLineNumbers w:val="0"/>
              <w:bidi w:val="0"/>
              <w:spacing w:before="0" w:beforeAutospacing="0" w:after="0" w:afterAutospacing="0"/>
              <w:ind w:left="0" w:right="0"/>
              <w:rPr>
                <w:rFonts w:hint="default"/>
                <w:highlight w:val="none"/>
              </w:rPr>
            </w:pPr>
          </w:p>
        </w:tc>
        <w:tc>
          <w:tcPr>
            <w:tcW w:w="523" w:type="pct"/>
            <w:vAlign w:val="center"/>
          </w:tcPr>
          <w:p w14:paraId="79AC1433">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60</w:t>
            </w:r>
          </w:p>
        </w:tc>
        <w:tc>
          <w:tcPr>
            <w:tcW w:w="647" w:type="pct"/>
            <w:vAlign w:val="center"/>
          </w:tcPr>
          <w:p w14:paraId="59158024">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2400</w:t>
            </w:r>
          </w:p>
        </w:tc>
      </w:tr>
    </w:tbl>
    <w:p w14:paraId="60279507">
      <w:pPr>
        <w:pStyle w:val="7"/>
        <w:bidi w:val="0"/>
        <w:rPr>
          <w:rFonts w:hint="eastAsia"/>
          <w:highlight w:val="none"/>
          <w:lang w:val="en-US" w:eastAsia="zh-CN"/>
        </w:rPr>
      </w:pPr>
    </w:p>
    <w:p w14:paraId="2786583C">
      <w:pPr>
        <w:pStyle w:val="7"/>
        <w:bidi w:val="0"/>
        <w:rPr>
          <w:rFonts w:hint="eastAsia"/>
          <w:highlight w:val="none"/>
          <w:lang w:val="en-US" w:eastAsia="zh-CN"/>
        </w:rPr>
      </w:pPr>
    </w:p>
    <w:p w14:paraId="48A41C7E">
      <w:pPr>
        <w:pStyle w:val="7"/>
        <w:bidi w:val="0"/>
        <w:rPr>
          <w:highlight w:val="none"/>
        </w:rPr>
      </w:pPr>
      <w:r>
        <w:rPr>
          <w:rFonts w:hint="eastAsia"/>
          <w:highlight w:val="none"/>
          <w:lang w:val="en-US" w:eastAsia="zh-CN"/>
        </w:rPr>
        <w:t>续</w:t>
      </w:r>
      <w:r>
        <w:rPr>
          <w:highlight w:val="none"/>
        </w:rPr>
        <w:t>表</w:t>
      </w:r>
      <w:r>
        <w:rPr>
          <w:rFonts w:hint="eastAsia"/>
          <w:highlight w:val="none"/>
        </w:rPr>
        <w:t>3-</w:t>
      </w:r>
      <w:r>
        <w:rPr>
          <w:rFonts w:hint="eastAsia"/>
          <w:highlight w:val="none"/>
          <w:lang w:val="en-US" w:eastAsia="zh-CN"/>
        </w:rPr>
        <w:t>3-5</w:t>
      </w:r>
      <w:r>
        <w:rPr>
          <w:rFonts w:hint="eastAsia"/>
          <w:highlight w:val="none"/>
        </w:rPr>
        <w:t>噪声污染源源强核算结果及相关参数一览表</w:t>
      </w:r>
    </w:p>
    <w:tbl>
      <w:tblPr>
        <w:tblStyle w:val="45"/>
        <w:tblW w:w="485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20"/>
        <w:gridCol w:w="1919"/>
        <w:gridCol w:w="744"/>
        <w:gridCol w:w="744"/>
        <w:gridCol w:w="1127"/>
        <w:gridCol w:w="1375"/>
        <w:gridCol w:w="931"/>
        <w:gridCol w:w="1410"/>
        <w:gridCol w:w="1365"/>
        <w:gridCol w:w="1440"/>
        <w:gridCol w:w="1781"/>
      </w:tblGrid>
      <w:tr w14:paraId="2A3339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334" w:type="pct"/>
            <w:vMerge w:val="restart"/>
            <w:vAlign w:val="center"/>
          </w:tcPr>
          <w:p w14:paraId="5AE087CE">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生产车间</w:t>
            </w:r>
          </w:p>
        </w:tc>
        <w:tc>
          <w:tcPr>
            <w:tcW w:w="697" w:type="pct"/>
            <w:vAlign w:val="center"/>
          </w:tcPr>
          <w:p w14:paraId="5ED54284">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kern w:val="0"/>
                <w:sz w:val="21"/>
                <w:szCs w:val="24"/>
                <w:highlight w:val="none"/>
                <w:lang w:val="en-US" w:eastAsia="zh-CN" w:bidi="ar-SA"/>
              </w:rPr>
            </w:pPr>
            <w:r>
              <w:rPr>
                <w:rFonts w:hint="default"/>
                <w:highlight w:val="none"/>
                <w:lang w:val="en-US"/>
              </w:rPr>
              <w:t>金属屑输送机</w:t>
            </w:r>
          </w:p>
        </w:tc>
        <w:tc>
          <w:tcPr>
            <w:tcW w:w="270" w:type="pct"/>
            <w:vAlign w:val="center"/>
          </w:tcPr>
          <w:p w14:paraId="291FD1B0">
            <w:pPr>
              <w:pStyle w:val="8"/>
              <w:suppressLineNumbers w:val="0"/>
              <w:bidi w:val="0"/>
              <w:spacing w:before="0" w:beforeAutospacing="0" w:after="0" w:afterAutospacing="0"/>
              <w:ind w:left="0" w:right="0"/>
              <w:rPr>
                <w:rFonts w:hint="eastAsia" w:eastAsia="宋体"/>
                <w:highlight w:val="none"/>
                <w:lang w:val="en-US" w:eastAsia="zh-CN"/>
              </w:rPr>
            </w:pPr>
            <w:r>
              <w:rPr>
                <w:rFonts w:hint="eastAsia"/>
                <w:highlight w:val="none"/>
                <w:lang w:val="en-US" w:eastAsia="zh-CN"/>
              </w:rPr>
              <w:t>1</w:t>
            </w:r>
          </w:p>
        </w:tc>
        <w:tc>
          <w:tcPr>
            <w:tcW w:w="744" w:type="dxa"/>
            <w:vMerge w:val="restart"/>
            <w:vAlign w:val="center"/>
          </w:tcPr>
          <w:p w14:paraId="3A8D2468">
            <w:pPr>
              <w:pStyle w:val="8"/>
              <w:suppressLineNumbers w:val="0"/>
              <w:bidi w:val="0"/>
              <w:spacing w:before="0" w:beforeAutospacing="0" w:after="0" w:afterAutospacing="0"/>
              <w:ind w:left="0" w:leftChars="0" w:right="0" w:rightChars="0" w:firstLine="0" w:firstLineChars="0"/>
              <w:rPr>
                <w:rFonts w:hint="default"/>
                <w:highlight w:val="none"/>
              </w:rPr>
            </w:pPr>
            <w:r>
              <w:rPr>
                <w:rFonts w:hint="eastAsia"/>
                <w:highlight w:val="none"/>
                <w:lang w:val="en-US" w:eastAsia="zh-CN"/>
              </w:rPr>
              <w:t>频发</w:t>
            </w:r>
          </w:p>
        </w:tc>
        <w:tc>
          <w:tcPr>
            <w:tcW w:w="1127" w:type="dxa"/>
            <w:vMerge w:val="restart"/>
            <w:vAlign w:val="center"/>
          </w:tcPr>
          <w:p w14:paraId="3A6D80C0">
            <w:pPr>
              <w:pStyle w:val="8"/>
              <w:suppressLineNumbers w:val="0"/>
              <w:bidi w:val="0"/>
              <w:spacing w:before="0" w:beforeAutospacing="0" w:after="0" w:afterAutospacing="0"/>
              <w:ind w:left="0" w:leftChars="0" w:right="0" w:rightChars="0" w:firstLine="0" w:firstLineChars="0"/>
              <w:rPr>
                <w:rFonts w:hint="default"/>
                <w:highlight w:val="none"/>
              </w:rPr>
            </w:pPr>
            <w:r>
              <w:rPr>
                <w:rFonts w:hint="eastAsia"/>
                <w:highlight w:val="none"/>
                <w:lang w:val="en-US" w:eastAsia="zh-CN"/>
              </w:rPr>
              <w:t>类比法</w:t>
            </w:r>
          </w:p>
        </w:tc>
        <w:tc>
          <w:tcPr>
            <w:tcW w:w="499" w:type="pct"/>
            <w:vAlign w:val="center"/>
          </w:tcPr>
          <w:p w14:paraId="3316E227">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70</w:t>
            </w:r>
          </w:p>
        </w:tc>
        <w:tc>
          <w:tcPr>
            <w:tcW w:w="338" w:type="pct"/>
            <w:vMerge w:val="restart"/>
            <w:vAlign w:val="center"/>
          </w:tcPr>
          <w:p w14:paraId="43833363">
            <w:pPr>
              <w:pStyle w:val="8"/>
              <w:suppressLineNumbers w:val="0"/>
              <w:bidi w:val="0"/>
              <w:spacing w:before="0" w:beforeAutospacing="0" w:after="0" w:afterAutospacing="0"/>
              <w:ind w:left="0" w:right="0"/>
              <w:rPr>
                <w:rFonts w:hint="default"/>
                <w:highlight w:val="none"/>
              </w:rPr>
            </w:pPr>
            <w:r>
              <w:rPr>
                <w:rFonts w:hint="default"/>
                <w:highlight w:val="none"/>
              </w:rPr>
              <w:t>基础减振、厂房隔声</w:t>
            </w:r>
          </w:p>
        </w:tc>
        <w:tc>
          <w:tcPr>
            <w:tcW w:w="512" w:type="pct"/>
            <w:vAlign w:val="center"/>
          </w:tcPr>
          <w:p w14:paraId="6DABDD0D">
            <w:pPr>
              <w:pStyle w:val="8"/>
              <w:suppressLineNumbers w:val="0"/>
              <w:bidi w:val="0"/>
              <w:spacing w:before="0" w:beforeAutospacing="0" w:after="0" w:afterAutospacing="0"/>
              <w:ind w:left="0" w:right="0"/>
              <w:rPr>
                <w:rFonts w:hint="default"/>
                <w:highlight w:val="none"/>
              </w:rPr>
            </w:pPr>
            <w:r>
              <w:rPr>
                <w:rFonts w:hint="default"/>
                <w:highlight w:val="none"/>
              </w:rPr>
              <w:t>20</w:t>
            </w:r>
          </w:p>
        </w:tc>
        <w:tc>
          <w:tcPr>
            <w:tcW w:w="496" w:type="pct"/>
            <w:vMerge w:val="restart"/>
            <w:vAlign w:val="center"/>
          </w:tcPr>
          <w:p w14:paraId="02748EDE">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类比法</w:t>
            </w:r>
          </w:p>
        </w:tc>
        <w:tc>
          <w:tcPr>
            <w:tcW w:w="523" w:type="pct"/>
            <w:vAlign w:val="center"/>
          </w:tcPr>
          <w:p w14:paraId="6AF37722">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50</w:t>
            </w:r>
          </w:p>
        </w:tc>
        <w:tc>
          <w:tcPr>
            <w:tcW w:w="647" w:type="pct"/>
            <w:vAlign w:val="center"/>
          </w:tcPr>
          <w:p w14:paraId="7385A1CF">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2400</w:t>
            </w:r>
          </w:p>
        </w:tc>
      </w:tr>
      <w:tr w14:paraId="594371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334" w:type="pct"/>
            <w:vMerge w:val="continue"/>
            <w:vAlign w:val="center"/>
          </w:tcPr>
          <w:p w14:paraId="5B6FEACB">
            <w:pPr>
              <w:pStyle w:val="8"/>
              <w:suppressLineNumbers w:val="0"/>
              <w:bidi w:val="0"/>
              <w:spacing w:before="0" w:beforeAutospacing="0" w:after="0" w:afterAutospacing="0"/>
              <w:ind w:left="0" w:right="0"/>
              <w:rPr>
                <w:rFonts w:hint="default"/>
                <w:highlight w:val="none"/>
              </w:rPr>
            </w:pPr>
          </w:p>
        </w:tc>
        <w:tc>
          <w:tcPr>
            <w:tcW w:w="697" w:type="pct"/>
            <w:vAlign w:val="center"/>
          </w:tcPr>
          <w:p w14:paraId="6339896F">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kern w:val="0"/>
                <w:sz w:val="21"/>
                <w:szCs w:val="24"/>
                <w:highlight w:val="none"/>
                <w:lang w:val="en-US" w:eastAsia="zh-CN" w:bidi="ar-SA"/>
              </w:rPr>
            </w:pPr>
            <w:r>
              <w:rPr>
                <w:rFonts w:hint="eastAsia"/>
                <w:highlight w:val="none"/>
                <w:lang w:val="en-US" w:eastAsia="zh-CN"/>
              </w:rPr>
              <w:t>金属屑脱油机</w:t>
            </w:r>
          </w:p>
        </w:tc>
        <w:tc>
          <w:tcPr>
            <w:tcW w:w="270" w:type="pct"/>
            <w:vAlign w:val="center"/>
          </w:tcPr>
          <w:p w14:paraId="75E7E25C">
            <w:pPr>
              <w:pStyle w:val="8"/>
              <w:suppressLineNumbers w:val="0"/>
              <w:bidi w:val="0"/>
              <w:spacing w:before="0" w:beforeAutospacing="0" w:after="0" w:afterAutospacing="0"/>
              <w:ind w:left="0" w:right="0"/>
              <w:rPr>
                <w:rFonts w:hint="eastAsia" w:eastAsia="宋体"/>
                <w:highlight w:val="none"/>
                <w:lang w:val="en-US" w:eastAsia="zh-CN"/>
              </w:rPr>
            </w:pPr>
            <w:r>
              <w:rPr>
                <w:rFonts w:hint="eastAsia"/>
                <w:highlight w:val="none"/>
                <w:lang w:val="en-US" w:eastAsia="zh-CN"/>
              </w:rPr>
              <w:t>1</w:t>
            </w:r>
          </w:p>
        </w:tc>
        <w:tc>
          <w:tcPr>
            <w:tcW w:w="270" w:type="pct"/>
            <w:vMerge w:val="continue"/>
            <w:vAlign w:val="center"/>
          </w:tcPr>
          <w:p w14:paraId="66C5581F">
            <w:pPr>
              <w:pStyle w:val="8"/>
              <w:suppressLineNumbers w:val="0"/>
              <w:bidi w:val="0"/>
              <w:spacing w:before="0" w:beforeAutospacing="0" w:after="0" w:afterAutospacing="0"/>
              <w:ind w:left="0" w:right="0"/>
              <w:rPr>
                <w:rFonts w:hint="default"/>
                <w:highlight w:val="none"/>
              </w:rPr>
            </w:pPr>
          </w:p>
        </w:tc>
        <w:tc>
          <w:tcPr>
            <w:tcW w:w="409" w:type="pct"/>
            <w:vMerge w:val="continue"/>
            <w:vAlign w:val="center"/>
          </w:tcPr>
          <w:p w14:paraId="53C8DCF7">
            <w:pPr>
              <w:pStyle w:val="8"/>
              <w:suppressLineNumbers w:val="0"/>
              <w:bidi w:val="0"/>
              <w:spacing w:before="0" w:beforeAutospacing="0" w:after="0" w:afterAutospacing="0"/>
              <w:ind w:left="0" w:right="0"/>
              <w:rPr>
                <w:rFonts w:hint="default"/>
                <w:highlight w:val="none"/>
              </w:rPr>
            </w:pPr>
          </w:p>
        </w:tc>
        <w:tc>
          <w:tcPr>
            <w:tcW w:w="499" w:type="pct"/>
            <w:vAlign w:val="center"/>
          </w:tcPr>
          <w:p w14:paraId="574E2D78">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75</w:t>
            </w:r>
          </w:p>
        </w:tc>
        <w:tc>
          <w:tcPr>
            <w:tcW w:w="338" w:type="pct"/>
            <w:vMerge w:val="continue"/>
            <w:vAlign w:val="center"/>
          </w:tcPr>
          <w:p w14:paraId="6C0CE56F">
            <w:pPr>
              <w:pStyle w:val="8"/>
              <w:suppressLineNumbers w:val="0"/>
              <w:bidi w:val="0"/>
              <w:spacing w:before="0" w:beforeAutospacing="0" w:after="0" w:afterAutospacing="0"/>
              <w:ind w:left="0" w:right="0"/>
              <w:rPr>
                <w:rFonts w:hint="default"/>
                <w:highlight w:val="none"/>
              </w:rPr>
            </w:pPr>
          </w:p>
        </w:tc>
        <w:tc>
          <w:tcPr>
            <w:tcW w:w="512" w:type="pct"/>
            <w:vAlign w:val="center"/>
          </w:tcPr>
          <w:p w14:paraId="649B2035">
            <w:pPr>
              <w:pStyle w:val="8"/>
              <w:suppressLineNumbers w:val="0"/>
              <w:bidi w:val="0"/>
              <w:spacing w:before="0" w:beforeAutospacing="0" w:after="0" w:afterAutospacing="0"/>
              <w:ind w:left="0" w:right="0"/>
              <w:rPr>
                <w:rFonts w:hint="default"/>
                <w:highlight w:val="none"/>
              </w:rPr>
            </w:pPr>
            <w:r>
              <w:rPr>
                <w:rFonts w:hint="default"/>
                <w:highlight w:val="none"/>
              </w:rPr>
              <w:t>20</w:t>
            </w:r>
          </w:p>
        </w:tc>
        <w:tc>
          <w:tcPr>
            <w:tcW w:w="496" w:type="pct"/>
            <w:vMerge w:val="continue"/>
            <w:vAlign w:val="center"/>
          </w:tcPr>
          <w:p w14:paraId="38574A6B">
            <w:pPr>
              <w:pStyle w:val="8"/>
              <w:suppressLineNumbers w:val="0"/>
              <w:bidi w:val="0"/>
              <w:spacing w:before="0" w:beforeAutospacing="0" w:after="0" w:afterAutospacing="0"/>
              <w:ind w:left="0" w:right="0"/>
              <w:rPr>
                <w:rFonts w:hint="default"/>
                <w:highlight w:val="none"/>
              </w:rPr>
            </w:pPr>
          </w:p>
        </w:tc>
        <w:tc>
          <w:tcPr>
            <w:tcW w:w="523" w:type="pct"/>
            <w:vAlign w:val="center"/>
          </w:tcPr>
          <w:p w14:paraId="6120A05A">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55</w:t>
            </w:r>
          </w:p>
        </w:tc>
        <w:tc>
          <w:tcPr>
            <w:tcW w:w="647" w:type="pct"/>
            <w:vAlign w:val="center"/>
          </w:tcPr>
          <w:p w14:paraId="088C1EBC">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2400</w:t>
            </w:r>
          </w:p>
        </w:tc>
      </w:tr>
      <w:tr w14:paraId="6040D0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334" w:type="pct"/>
            <w:vMerge w:val="continue"/>
            <w:vAlign w:val="center"/>
          </w:tcPr>
          <w:p w14:paraId="4FD2B0AB">
            <w:pPr>
              <w:pStyle w:val="8"/>
              <w:suppressLineNumbers w:val="0"/>
              <w:bidi w:val="0"/>
              <w:spacing w:before="0" w:beforeAutospacing="0" w:after="0" w:afterAutospacing="0"/>
              <w:ind w:left="0" w:right="0"/>
              <w:rPr>
                <w:rFonts w:hint="default"/>
                <w:highlight w:val="none"/>
              </w:rPr>
            </w:pPr>
          </w:p>
        </w:tc>
        <w:tc>
          <w:tcPr>
            <w:tcW w:w="697" w:type="pct"/>
            <w:vAlign w:val="center"/>
          </w:tcPr>
          <w:p w14:paraId="4B6C723F">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kern w:val="0"/>
                <w:sz w:val="21"/>
                <w:szCs w:val="24"/>
                <w:highlight w:val="none"/>
                <w:lang w:val="en-US" w:eastAsia="zh-CN" w:bidi="ar-SA"/>
              </w:rPr>
            </w:pPr>
            <w:r>
              <w:rPr>
                <w:rFonts w:hint="eastAsia"/>
                <w:highlight w:val="none"/>
                <w:lang w:val="en-US" w:eastAsia="zh-CN"/>
              </w:rPr>
              <w:t>金属屑排屑机</w:t>
            </w:r>
          </w:p>
        </w:tc>
        <w:tc>
          <w:tcPr>
            <w:tcW w:w="270" w:type="pct"/>
            <w:vAlign w:val="center"/>
          </w:tcPr>
          <w:p w14:paraId="71FEF8DB">
            <w:pPr>
              <w:pStyle w:val="8"/>
              <w:suppressLineNumbers w:val="0"/>
              <w:bidi w:val="0"/>
              <w:spacing w:before="0" w:beforeAutospacing="0" w:after="0" w:afterAutospacing="0"/>
              <w:ind w:left="0" w:right="0"/>
              <w:rPr>
                <w:rFonts w:hint="eastAsia" w:eastAsia="宋体"/>
                <w:highlight w:val="none"/>
                <w:lang w:val="en-US" w:eastAsia="zh-CN"/>
              </w:rPr>
            </w:pPr>
            <w:r>
              <w:rPr>
                <w:rFonts w:hint="eastAsia"/>
                <w:highlight w:val="none"/>
                <w:lang w:val="en-US" w:eastAsia="zh-CN"/>
              </w:rPr>
              <w:t>1</w:t>
            </w:r>
          </w:p>
        </w:tc>
        <w:tc>
          <w:tcPr>
            <w:tcW w:w="270" w:type="pct"/>
            <w:vMerge w:val="continue"/>
            <w:vAlign w:val="center"/>
          </w:tcPr>
          <w:p w14:paraId="176844B4">
            <w:pPr>
              <w:pStyle w:val="8"/>
              <w:suppressLineNumbers w:val="0"/>
              <w:bidi w:val="0"/>
              <w:spacing w:before="0" w:beforeAutospacing="0" w:after="0" w:afterAutospacing="0"/>
              <w:ind w:left="0" w:right="0"/>
              <w:rPr>
                <w:rFonts w:hint="default"/>
                <w:highlight w:val="none"/>
              </w:rPr>
            </w:pPr>
          </w:p>
        </w:tc>
        <w:tc>
          <w:tcPr>
            <w:tcW w:w="409" w:type="pct"/>
            <w:vMerge w:val="continue"/>
            <w:vAlign w:val="center"/>
          </w:tcPr>
          <w:p w14:paraId="577D5498">
            <w:pPr>
              <w:pStyle w:val="8"/>
              <w:suppressLineNumbers w:val="0"/>
              <w:bidi w:val="0"/>
              <w:spacing w:before="0" w:beforeAutospacing="0" w:after="0" w:afterAutospacing="0"/>
              <w:ind w:left="0" w:right="0"/>
              <w:rPr>
                <w:rFonts w:hint="default"/>
                <w:highlight w:val="none"/>
              </w:rPr>
            </w:pPr>
          </w:p>
        </w:tc>
        <w:tc>
          <w:tcPr>
            <w:tcW w:w="499" w:type="pct"/>
            <w:vAlign w:val="center"/>
          </w:tcPr>
          <w:p w14:paraId="7B32E3D7">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70</w:t>
            </w:r>
          </w:p>
        </w:tc>
        <w:tc>
          <w:tcPr>
            <w:tcW w:w="338" w:type="pct"/>
            <w:vMerge w:val="continue"/>
            <w:vAlign w:val="center"/>
          </w:tcPr>
          <w:p w14:paraId="1891CC66">
            <w:pPr>
              <w:pStyle w:val="8"/>
              <w:suppressLineNumbers w:val="0"/>
              <w:bidi w:val="0"/>
              <w:spacing w:before="0" w:beforeAutospacing="0" w:after="0" w:afterAutospacing="0"/>
              <w:ind w:left="0" w:right="0"/>
              <w:rPr>
                <w:rFonts w:hint="default"/>
                <w:highlight w:val="none"/>
              </w:rPr>
            </w:pPr>
          </w:p>
        </w:tc>
        <w:tc>
          <w:tcPr>
            <w:tcW w:w="512" w:type="pct"/>
            <w:vAlign w:val="center"/>
          </w:tcPr>
          <w:p w14:paraId="7A9C260D">
            <w:pPr>
              <w:pStyle w:val="8"/>
              <w:suppressLineNumbers w:val="0"/>
              <w:bidi w:val="0"/>
              <w:spacing w:before="0" w:beforeAutospacing="0" w:after="0" w:afterAutospacing="0"/>
              <w:ind w:left="0" w:right="0"/>
              <w:rPr>
                <w:rFonts w:hint="default"/>
                <w:highlight w:val="none"/>
              </w:rPr>
            </w:pPr>
            <w:r>
              <w:rPr>
                <w:rFonts w:hint="default"/>
                <w:highlight w:val="none"/>
              </w:rPr>
              <w:t>20</w:t>
            </w:r>
          </w:p>
        </w:tc>
        <w:tc>
          <w:tcPr>
            <w:tcW w:w="496" w:type="pct"/>
            <w:vMerge w:val="continue"/>
            <w:vAlign w:val="center"/>
          </w:tcPr>
          <w:p w14:paraId="104372CD">
            <w:pPr>
              <w:pStyle w:val="8"/>
              <w:suppressLineNumbers w:val="0"/>
              <w:bidi w:val="0"/>
              <w:spacing w:before="0" w:beforeAutospacing="0" w:after="0" w:afterAutospacing="0"/>
              <w:ind w:left="0" w:right="0"/>
              <w:rPr>
                <w:rFonts w:hint="default"/>
                <w:highlight w:val="none"/>
                <w:lang w:val="en-US" w:eastAsia="zh-CN"/>
              </w:rPr>
            </w:pPr>
          </w:p>
        </w:tc>
        <w:tc>
          <w:tcPr>
            <w:tcW w:w="523" w:type="pct"/>
            <w:vAlign w:val="center"/>
          </w:tcPr>
          <w:p w14:paraId="0C6E415E">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50</w:t>
            </w:r>
          </w:p>
        </w:tc>
        <w:tc>
          <w:tcPr>
            <w:tcW w:w="647" w:type="pct"/>
            <w:vAlign w:val="center"/>
          </w:tcPr>
          <w:p w14:paraId="1A0D6A26">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2400</w:t>
            </w:r>
          </w:p>
        </w:tc>
      </w:tr>
      <w:tr w14:paraId="342461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334" w:type="pct"/>
            <w:vMerge w:val="continue"/>
            <w:vAlign w:val="center"/>
          </w:tcPr>
          <w:p w14:paraId="0565C811">
            <w:pPr>
              <w:pStyle w:val="8"/>
              <w:suppressLineNumbers w:val="0"/>
              <w:bidi w:val="0"/>
              <w:spacing w:before="0" w:beforeAutospacing="0" w:after="0" w:afterAutospacing="0"/>
              <w:ind w:left="0" w:right="0"/>
              <w:rPr>
                <w:rFonts w:hint="default"/>
                <w:highlight w:val="none"/>
              </w:rPr>
            </w:pPr>
          </w:p>
        </w:tc>
        <w:tc>
          <w:tcPr>
            <w:tcW w:w="697" w:type="pct"/>
            <w:vAlign w:val="center"/>
          </w:tcPr>
          <w:p w14:paraId="25A12B94">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kern w:val="0"/>
                <w:sz w:val="21"/>
                <w:szCs w:val="24"/>
                <w:highlight w:val="none"/>
                <w:lang w:val="en-US" w:eastAsia="zh-CN" w:bidi="ar-SA"/>
              </w:rPr>
            </w:pPr>
            <w:r>
              <w:rPr>
                <w:rFonts w:hint="eastAsia"/>
                <w:highlight w:val="none"/>
                <w:lang w:val="en-US" w:eastAsia="zh-CN"/>
              </w:rPr>
              <w:t>废液回收装置</w:t>
            </w:r>
          </w:p>
        </w:tc>
        <w:tc>
          <w:tcPr>
            <w:tcW w:w="270" w:type="pct"/>
            <w:vAlign w:val="center"/>
          </w:tcPr>
          <w:p w14:paraId="591EF06A">
            <w:pPr>
              <w:pStyle w:val="8"/>
              <w:suppressLineNumbers w:val="0"/>
              <w:bidi w:val="0"/>
              <w:spacing w:before="0" w:beforeAutospacing="0" w:after="0" w:afterAutospacing="0"/>
              <w:ind w:left="0" w:right="0"/>
              <w:rPr>
                <w:rFonts w:hint="eastAsia" w:eastAsia="宋体"/>
                <w:highlight w:val="none"/>
                <w:lang w:val="en-US" w:eastAsia="zh-CN"/>
              </w:rPr>
            </w:pPr>
            <w:r>
              <w:rPr>
                <w:rFonts w:hint="eastAsia"/>
                <w:highlight w:val="none"/>
                <w:lang w:val="en-US" w:eastAsia="zh-CN"/>
              </w:rPr>
              <w:t>1</w:t>
            </w:r>
          </w:p>
        </w:tc>
        <w:tc>
          <w:tcPr>
            <w:tcW w:w="270" w:type="pct"/>
            <w:vMerge w:val="continue"/>
            <w:vAlign w:val="center"/>
          </w:tcPr>
          <w:p w14:paraId="5060A451">
            <w:pPr>
              <w:pStyle w:val="8"/>
              <w:suppressLineNumbers w:val="0"/>
              <w:bidi w:val="0"/>
              <w:spacing w:before="0" w:beforeAutospacing="0" w:after="0" w:afterAutospacing="0"/>
              <w:ind w:left="0" w:right="0"/>
              <w:rPr>
                <w:rFonts w:hint="default"/>
                <w:highlight w:val="none"/>
              </w:rPr>
            </w:pPr>
          </w:p>
        </w:tc>
        <w:tc>
          <w:tcPr>
            <w:tcW w:w="409" w:type="pct"/>
            <w:vMerge w:val="continue"/>
            <w:vAlign w:val="center"/>
          </w:tcPr>
          <w:p w14:paraId="6178D4B6">
            <w:pPr>
              <w:pStyle w:val="8"/>
              <w:suppressLineNumbers w:val="0"/>
              <w:bidi w:val="0"/>
              <w:spacing w:before="0" w:beforeAutospacing="0" w:after="0" w:afterAutospacing="0"/>
              <w:ind w:left="0" w:right="0"/>
              <w:rPr>
                <w:rFonts w:hint="default"/>
                <w:highlight w:val="none"/>
              </w:rPr>
            </w:pPr>
          </w:p>
        </w:tc>
        <w:tc>
          <w:tcPr>
            <w:tcW w:w="499" w:type="pct"/>
            <w:vAlign w:val="center"/>
          </w:tcPr>
          <w:p w14:paraId="729EF46E">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70</w:t>
            </w:r>
          </w:p>
        </w:tc>
        <w:tc>
          <w:tcPr>
            <w:tcW w:w="338" w:type="pct"/>
            <w:vMerge w:val="continue"/>
            <w:vAlign w:val="center"/>
          </w:tcPr>
          <w:p w14:paraId="247CF317">
            <w:pPr>
              <w:pStyle w:val="8"/>
              <w:suppressLineNumbers w:val="0"/>
              <w:bidi w:val="0"/>
              <w:spacing w:before="0" w:beforeAutospacing="0" w:after="0" w:afterAutospacing="0"/>
              <w:ind w:left="0" w:right="0"/>
              <w:rPr>
                <w:rFonts w:hint="default"/>
                <w:highlight w:val="none"/>
              </w:rPr>
            </w:pPr>
          </w:p>
        </w:tc>
        <w:tc>
          <w:tcPr>
            <w:tcW w:w="512" w:type="pct"/>
            <w:vAlign w:val="center"/>
          </w:tcPr>
          <w:p w14:paraId="693526B6">
            <w:pPr>
              <w:pStyle w:val="8"/>
              <w:suppressLineNumbers w:val="0"/>
              <w:bidi w:val="0"/>
              <w:spacing w:before="0" w:beforeAutospacing="0" w:after="0" w:afterAutospacing="0"/>
              <w:ind w:left="0" w:right="0"/>
              <w:rPr>
                <w:rFonts w:hint="default"/>
                <w:highlight w:val="none"/>
              </w:rPr>
            </w:pPr>
            <w:r>
              <w:rPr>
                <w:rFonts w:hint="default"/>
                <w:highlight w:val="none"/>
              </w:rPr>
              <w:t>20</w:t>
            </w:r>
          </w:p>
        </w:tc>
        <w:tc>
          <w:tcPr>
            <w:tcW w:w="496" w:type="pct"/>
            <w:vMerge w:val="continue"/>
            <w:vAlign w:val="center"/>
          </w:tcPr>
          <w:p w14:paraId="4590E961">
            <w:pPr>
              <w:pStyle w:val="8"/>
              <w:suppressLineNumbers w:val="0"/>
              <w:bidi w:val="0"/>
              <w:spacing w:before="0" w:beforeAutospacing="0" w:after="0" w:afterAutospacing="0"/>
              <w:ind w:left="0" w:right="0"/>
              <w:rPr>
                <w:rFonts w:hint="default"/>
                <w:highlight w:val="none"/>
              </w:rPr>
            </w:pPr>
          </w:p>
        </w:tc>
        <w:tc>
          <w:tcPr>
            <w:tcW w:w="523" w:type="pct"/>
            <w:vAlign w:val="center"/>
          </w:tcPr>
          <w:p w14:paraId="07C3F3B8">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50</w:t>
            </w:r>
          </w:p>
        </w:tc>
        <w:tc>
          <w:tcPr>
            <w:tcW w:w="647" w:type="pct"/>
            <w:vAlign w:val="center"/>
          </w:tcPr>
          <w:p w14:paraId="0BC16120">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2400</w:t>
            </w:r>
          </w:p>
        </w:tc>
      </w:tr>
      <w:tr w14:paraId="6616F3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334" w:type="pct"/>
            <w:vMerge w:val="continue"/>
            <w:vAlign w:val="center"/>
          </w:tcPr>
          <w:p w14:paraId="685406CA">
            <w:pPr>
              <w:pStyle w:val="8"/>
              <w:suppressLineNumbers w:val="0"/>
              <w:bidi w:val="0"/>
              <w:spacing w:before="0" w:beforeAutospacing="0" w:after="0" w:afterAutospacing="0"/>
              <w:ind w:left="0" w:right="0"/>
              <w:rPr>
                <w:rFonts w:hint="default"/>
                <w:highlight w:val="none"/>
              </w:rPr>
            </w:pPr>
          </w:p>
        </w:tc>
        <w:tc>
          <w:tcPr>
            <w:tcW w:w="697" w:type="pct"/>
            <w:vAlign w:val="center"/>
          </w:tcPr>
          <w:p w14:paraId="29834E81">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kern w:val="0"/>
                <w:sz w:val="21"/>
                <w:szCs w:val="24"/>
                <w:highlight w:val="none"/>
                <w:lang w:val="en-US" w:eastAsia="zh-CN" w:bidi="ar-SA"/>
              </w:rPr>
            </w:pPr>
            <w:r>
              <w:rPr>
                <w:rFonts w:hint="eastAsia"/>
                <w:highlight w:val="none"/>
                <w:lang w:val="en-US" w:eastAsia="zh-CN"/>
              </w:rPr>
              <w:t>风机</w:t>
            </w:r>
          </w:p>
        </w:tc>
        <w:tc>
          <w:tcPr>
            <w:tcW w:w="270" w:type="pct"/>
            <w:vAlign w:val="center"/>
          </w:tcPr>
          <w:p w14:paraId="78179329">
            <w:pPr>
              <w:pStyle w:val="8"/>
              <w:suppressLineNumbers w:val="0"/>
              <w:bidi w:val="0"/>
              <w:spacing w:before="0" w:beforeAutospacing="0" w:after="0" w:afterAutospacing="0"/>
              <w:ind w:left="0" w:right="0"/>
              <w:rPr>
                <w:rFonts w:hint="eastAsia" w:eastAsia="宋体"/>
                <w:highlight w:val="none"/>
                <w:lang w:val="en-US" w:eastAsia="zh-CN"/>
              </w:rPr>
            </w:pPr>
            <w:r>
              <w:rPr>
                <w:rFonts w:hint="eastAsia"/>
                <w:highlight w:val="none"/>
                <w:lang w:val="en-US" w:eastAsia="zh-CN"/>
              </w:rPr>
              <w:t>2</w:t>
            </w:r>
          </w:p>
        </w:tc>
        <w:tc>
          <w:tcPr>
            <w:tcW w:w="270" w:type="pct"/>
            <w:vMerge w:val="continue"/>
            <w:vAlign w:val="center"/>
          </w:tcPr>
          <w:p w14:paraId="3235FCB1">
            <w:pPr>
              <w:pStyle w:val="8"/>
              <w:suppressLineNumbers w:val="0"/>
              <w:bidi w:val="0"/>
              <w:spacing w:before="0" w:beforeAutospacing="0" w:after="0" w:afterAutospacing="0"/>
              <w:ind w:left="0" w:right="0"/>
              <w:rPr>
                <w:rFonts w:hint="default"/>
                <w:highlight w:val="none"/>
              </w:rPr>
            </w:pPr>
          </w:p>
        </w:tc>
        <w:tc>
          <w:tcPr>
            <w:tcW w:w="409" w:type="pct"/>
            <w:vMerge w:val="continue"/>
            <w:vAlign w:val="center"/>
          </w:tcPr>
          <w:p w14:paraId="2F388127">
            <w:pPr>
              <w:pStyle w:val="8"/>
              <w:suppressLineNumbers w:val="0"/>
              <w:bidi w:val="0"/>
              <w:spacing w:before="0" w:beforeAutospacing="0" w:after="0" w:afterAutospacing="0"/>
              <w:ind w:left="0" w:right="0"/>
              <w:rPr>
                <w:rFonts w:hint="default"/>
                <w:highlight w:val="none"/>
              </w:rPr>
            </w:pPr>
          </w:p>
        </w:tc>
        <w:tc>
          <w:tcPr>
            <w:tcW w:w="499" w:type="pct"/>
            <w:vAlign w:val="center"/>
          </w:tcPr>
          <w:p w14:paraId="0455B1AA">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80</w:t>
            </w:r>
          </w:p>
        </w:tc>
        <w:tc>
          <w:tcPr>
            <w:tcW w:w="338" w:type="pct"/>
            <w:vMerge w:val="continue"/>
            <w:vAlign w:val="center"/>
          </w:tcPr>
          <w:p w14:paraId="1C2BDEA4">
            <w:pPr>
              <w:pStyle w:val="8"/>
              <w:suppressLineNumbers w:val="0"/>
              <w:bidi w:val="0"/>
              <w:spacing w:before="0" w:beforeAutospacing="0" w:after="0" w:afterAutospacing="0"/>
              <w:ind w:left="0" w:right="0"/>
              <w:rPr>
                <w:rFonts w:hint="default"/>
                <w:highlight w:val="none"/>
              </w:rPr>
            </w:pPr>
          </w:p>
        </w:tc>
        <w:tc>
          <w:tcPr>
            <w:tcW w:w="512" w:type="pct"/>
            <w:vAlign w:val="center"/>
          </w:tcPr>
          <w:p w14:paraId="190E44AB">
            <w:pPr>
              <w:pStyle w:val="8"/>
              <w:suppressLineNumbers w:val="0"/>
              <w:bidi w:val="0"/>
              <w:spacing w:before="0" w:beforeAutospacing="0" w:after="0" w:afterAutospacing="0"/>
              <w:ind w:left="0" w:right="0"/>
              <w:rPr>
                <w:rFonts w:hint="default"/>
                <w:highlight w:val="none"/>
              </w:rPr>
            </w:pPr>
            <w:r>
              <w:rPr>
                <w:rFonts w:hint="default"/>
                <w:highlight w:val="none"/>
              </w:rPr>
              <w:t>20</w:t>
            </w:r>
          </w:p>
        </w:tc>
        <w:tc>
          <w:tcPr>
            <w:tcW w:w="496" w:type="pct"/>
            <w:vMerge w:val="continue"/>
            <w:vAlign w:val="center"/>
          </w:tcPr>
          <w:p w14:paraId="2E9E45D7">
            <w:pPr>
              <w:pStyle w:val="8"/>
              <w:suppressLineNumbers w:val="0"/>
              <w:bidi w:val="0"/>
              <w:spacing w:before="0" w:beforeAutospacing="0" w:after="0" w:afterAutospacing="0"/>
              <w:ind w:left="0" w:right="0"/>
              <w:rPr>
                <w:rFonts w:hint="default"/>
                <w:highlight w:val="none"/>
              </w:rPr>
            </w:pPr>
          </w:p>
        </w:tc>
        <w:tc>
          <w:tcPr>
            <w:tcW w:w="523" w:type="pct"/>
            <w:vAlign w:val="center"/>
          </w:tcPr>
          <w:p w14:paraId="426F7161">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60</w:t>
            </w:r>
          </w:p>
        </w:tc>
        <w:tc>
          <w:tcPr>
            <w:tcW w:w="647" w:type="pct"/>
            <w:vAlign w:val="center"/>
          </w:tcPr>
          <w:p w14:paraId="7CCE3413">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8760</w:t>
            </w:r>
          </w:p>
        </w:tc>
      </w:tr>
      <w:tr w14:paraId="22A6A6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334" w:type="pct"/>
            <w:vMerge w:val="continue"/>
            <w:vAlign w:val="center"/>
          </w:tcPr>
          <w:p w14:paraId="24BC841A">
            <w:pPr>
              <w:pStyle w:val="8"/>
              <w:suppressLineNumbers w:val="0"/>
              <w:bidi w:val="0"/>
              <w:spacing w:before="0" w:beforeAutospacing="0" w:after="0" w:afterAutospacing="0"/>
              <w:ind w:left="0" w:right="0"/>
              <w:rPr>
                <w:rFonts w:hint="default"/>
                <w:highlight w:val="none"/>
              </w:rPr>
            </w:pPr>
          </w:p>
        </w:tc>
        <w:tc>
          <w:tcPr>
            <w:tcW w:w="697" w:type="pct"/>
            <w:vAlign w:val="center"/>
          </w:tcPr>
          <w:p w14:paraId="7F8B9A52">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油雾净化器</w:t>
            </w:r>
          </w:p>
        </w:tc>
        <w:tc>
          <w:tcPr>
            <w:tcW w:w="270" w:type="pct"/>
            <w:vAlign w:val="center"/>
          </w:tcPr>
          <w:p w14:paraId="7EC808D5">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w:t>
            </w:r>
          </w:p>
        </w:tc>
        <w:tc>
          <w:tcPr>
            <w:tcW w:w="270" w:type="pct"/>
            <w:vMerge w:val="continue"/>
            <w:vAlign w:val="center"/>
          </w:tcPr>
          <w:p w14:paraId="540C3F2A">
            <w:pPr>
              <w:pStyle w:val="8"/>
              <w:suppressLineNumbers w:val="0"/>
              <w:bidi w:val="0"/>
              <w:spacing w:before="0" w:beforeAutospacing="0" w:after="0" w:afterAutospacing="0"/>
              <w:ind w:left="0" w:right="0"/>
              <w:rPr>
                <w:rFonts w:hint="default"/>
                <w:highlight w:val="none"/>
              </w:rPr>
            </w:pPr>
          </w:p>
        </w:tc>
        <w:tc>
          <w:tcPr>
            <w:tcW w:w="409" w:type="pct"/>
            <w:vMerge w:val="continue"/>
            <w:vAlign w:val="center"/>
          </w:tcPr>
          <w:p w14:paraId="02CBF732">
            <w:pPr>
              <w:pStyle w:val="8"/>
              <w:suppressLineNumbers w:val="0"/>
              <w:bidi w:val="0"/>
              <w:spacing w:before="0" w:beforeAutospacing="0" w:after="0" w:afterAutospacing="0"/>
              <w:ind w:left="0" w:right="0"/>
              <w:rPr>
                <w:rFonts w:hint="default"/>
                <w:highlight w:val="none"/>
              </w:rPr>
            </w:pPr>
          </w:p>
        </w:tc>
        <w:tc>
          <w:tcPr>
            <w:tcW w:w="499" w:type="pct"/>
            <w:vAlign w:val="center"/>
          </w:tcPr>
          <w:p w14:paraId="651C4FEE">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70</w:t>
            </w:r>
          </w:p>
        </w:tc>
        <w:tc>
          <w:tcPr>
            <w:tcW w:w="338" w:type="pct"/>
            <w:vMerge w:val="continue"/>
            <w:vAlign w:val="center"/>
          </w:tcPr>
          <w:p w14:paraId="7B9A1DF4">
            <w:pPr>
              <w:pStyle w:val="8"/>
              <w:suppressLineNumbers w:val="0"/>
              <w:bidi w:val="0"/>
              <w:spacing w:before="0" w:beforeAutospacing="0" w:after="0" w:afterAutospacing="0"/>
              <w:ind w:left="0" w:right="0"/>
              <w:rPr>
                <w:rFonts w:hint="default"/>
                <w:highlight w:val="none"/>
              </w:rPr>
            </w:pPr>
          </w:p>
        </w:tc>
        <w:tc>
          <w:tcPr>
            <w:tcW w:w="512" w:type="pct"/>
            <w:vAlign w:val="center"/>
          </w:tcPr>
          <w:p w14:paraId="2716059E">
            <w:pPr>
              <w:pStyle w:val="8"/>
              <w:suppressLineNumbers w:val="0"/>
              <w:bidi w:val="0"/>
              <w:spacing w:before="0" w:beforeAutospacing="0" w:after="0" w:afterAutospacing="0"/>
              <w:ind w:left="0" w:right="0"/>
              <w:rPr>
                <w:rFonts w:hint="default" w:eastAsia="宋体"/>
                <w:highlight w:val="none"/>
                <w:lang w:val="en-US" w:eastAsia="zh-CN"/>
              </w:rPr>
            </w:pPr>
            <w:r>
              <w:rPr>
                <w:rFonts w:hint="eastAsia"/>
                <w:highlight w:val="none"/>
                <w:lang w:val="en-US" w:eastAsia="zh-CN"/>
              </w:rPr>
              <w:t>20</w:t>
            </w:r>
          </w:p>
        </w:tc>
        <w:tc>
          <w:tcPr>
            <w:tcW w:w="496" w:type="pct"/>
            <w:vMerge w:val="continue"/>
            <w:vAlign w:val="center"/>
          </w:tcPr>
          <w:p w14:paraId="72996EFF">
            <w:pPr>
              <w:pStyle w:val="8"/>
              <w:suppressLineNumbers w:val="0"/>
              <w:bidi w:val="0"/>
              <w:spacing w:before="0" w:beforeAutospacing="0" w:after="0" w:afterAutospacing="0"/>
              <w:ind w:left="0" w:right="0"/>
              <w:rPr>
                <w:rFonts w:hint="default"/>
                <w:highlight w:val="none"/>
              </w:rPr>
            </w:pPr>
          </w:p>
        </w:tc>
        <w:tc>
          <w:tcPr>
            <w:tcW w:w="523" w:type="pct"/>
            <w:vAlign w:val="center"/>
          </w:tcPr>
          <w:p w14:paraId="2D1C3ED7">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50</w:t>
            </w:r>
          </w:p>
        </w:tc>
        <w:tc>
          <w:tcPr>
            <w:tcW w:w="647" w:type="pct"/>
            <w:vAlign w:val="center"/>
          </w:tcPr>
          <w:p w14:paraId="2F24C4D5">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2400</w:t>
            </w:r>
          </w:p>
        </w:tc>
      </w:tr>
    </w:tbl>
    <w:p w14:paraId="0835B24B">
      <w:pPr>
        <w:pStyle w:val="7"/>
        <w:bidi w:val="0"/>
        <w:rPr>
          <w:highlight w:val="none"/>
        </w:rPr>
      </w:pPr>
      <w:r>
        <w:rPr>
          <w:highlight w:val="none"/>
        </w:rPr>
        <w:t>表3-</w:t>
      </w:r>
      <w:r>
        <w:rPr>
          <w:rFonts w:hint="eastAsia"/>
          <w:highlight w:val="none"/>
          <w:lang w:val="en-US" w:eastAsia="zh-CN"/>
        </w:rPr>
        <w:t>3</w:t>
      </w:r>
      <w:r>
        <w:rPr>
          <w:highlight w:val="none"/>
        </w:rPr>
        <w:t>-</w:t>
      </w:r>
      <w:r>
        <w:rPr>
          <w:rFonts w:hint="eastAsia"/>
          <w:highlight w:val="none"/>
          <w:lang w:val="en-US" w:eastAsia="zh-CN"/>
        </w:rPr>
        <w:t>6</w:t>
      </w:r>
      <w:r>
        <w:rPr>
          <w:highlight w:val="none"/>
        </w:rPr>
        <w:t>固体废物污染源强核算结果</w:t>
      </w:r>
      <w:r>
        <w:rPr>
          <w:rFonts w:hint="eastAsia"/>
          <w:highlight w:val="none"/>
          <w:lang w:eastAsia="zh-CN"/>
        </w:rPr>
        <w:t>及</w:t>
      </w:r>
      <w:r>
        <w:rPr>
          <w:highlight w:val="none"/>
        </w:rPr>
        <w:t>相关参数一览表</w:t>
      </w:r>
    </w:p>
    <w:tbl>
      <w:tblPr>
        <w:tblStyle w:val="46"/>
        <w:tblW w:w="1400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69"/>
        <w:gridCol w:w="1386"/>
        <w:gridCol w:w="2372"/>
        <w:gridCol w:w="1336"/>
        <w:gridCol w:w="1484"/>
        <w:gridCol w:w="1336"/>
        <w:gridCol w:w="1"/>
        <w:gridCol w:w="884"/>
        <w:gridCol w:w="1131"/>
        <w:gridCol w:w="2"/>
        <w:gridCol w:w="2589"/>
        <w:gridCol w:w="2"/>
      </w:tblGrid>
      <w:tr w14:paraId="41F093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8" w:hRule="atLeast"/>
          <w:jc w:val="center"/>
        </w:trPr>
        <w:tc>
          <w:tcPr>
            <w:tcW w:w="489" w:type="pct"/>
            <w:vMerge w:val="restart"/>
            <w:vAlign w:val="center"/>
          </w:tcPr>
          <w:p w14:paraId="53A2144A">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工序</w:t>
            </w:r>
          </w:p>
        </w:tc>
        <w:tc>
          <w:tcPr>
            <w:tcW w:w="495" w:type="pct"/>
            <w:vMerge w:val="restart"/>
            <w:vAlign w:val="center"/>
          </w:tcPr>
          <w:p w14:paraId="31ABCF15">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产生源</w:t>
            </w:r>
          </w:p>
        </w:tc>
        <w:tc>
          <w:tcPr>
            <w:tcW w:w="847" w:type="pct"/>
            <w:vMerge w:val="restart"/>
            <w:vAlign w:val="center"/>
          </w:tcPr>
          <w:p w14:paraId="5336D586">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固体废物名称</w:t>
            </w:r>
          </w:p>
        </w:tc>
        <w:tc>
          <w:tcPr>
            <w:tcW w:w="477" w:type="pct"/>
            <w:vMerge w:val="restart"/>
            <w:vAlign w:val="center"/>
          </w:tcPr>
          <w:p w14:paraId="27DE000A">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固体废物属性</w:t>
            </w:r>
          </w:p>
        </w:tc>
        <w:tc>
          <w:tcPr>
            <w:tcW w:w="1007" w:type="pct"/>
            <w:gridSpan w:val="3"/>
            <w:vAlign w:val="center"/>
          </w:tcPr>
          <w:p w14:paraId="097F7657">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产生情况</w:t>
            </w:r>
          </w:p>
        </w:tc>
        <w:tc>
          <w:tcPr>
            <w:tcW w:w="720" w:type="pct"/>
            <w:gridSpan w:val="3"/>
            <w:vAlign w:val="center"/>
          </w:tcPr>
          <w:p w14:paraId="61C14330">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处置措施</w:t>
            </w:r>
          </w:p>
        </w:tc>
        <w:tc>
          <w:tcPr>
            <w:tcW w:w="925" w:type="pct"/>
            <w:gridSpan w:val="2"/>
            <w:vMerge w:val="restart"/>
            <w:vAlign w:val="center"/>
          </w:tcPr>
          <w:p w14:paraId="024E726F">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最终去向</w:t>
            </w:r>
          </w:p>
        </w:tc>
      </w:tr>
      <w:tr w14:paraId="54A6FE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302" w:hRule="atLeast"/>
          <w:jc w:val="center"/>
        </w:trPr>
        <w:tc>
          <w:tcPr>
            <w:tcW w:w="489" w:type="pct"/>
            <w:vMerge w:val="continue"/>
            <w:vAlign w:val="center"/>
          </w:tcPr>
          <w:p w14:paraId="3DDB22E8">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p>
        </w:tc>
        <w:tc>
          <w:tcPr>
            <w:tcW w:w="495" w:type="pct"/>
            <w:vMerge w:val="continue"/>
            <w:vAlign w:val="center"/>
          </w:tcPr>
          <w:p w14:paraId="4F200016">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p>
        </w:tc>
        <w:tc>
          <w:tcPr>
            <w:tcW w:w="847" w:type="pct"/>
            <w:vMerge w:val="continue"/>
            <w:vAlign w:val="center"/>
          </w:tcPr>
          <w:p w14:paraId="636F0E7F">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p>
        </w:tc>
        <w:tc>
          <w:tcPr>
            <w:tcW w:w="477" w:type="pct"/>
            <w:vMerge w:val="continue"/>
            <w:vAlign w:val="center"/>
          </w:tcPr>
          <w:p w14:paraId="7DEA851A">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p>
        </w:tc>
        <w:tc>
          <w:tcPr>
            <w:tcW w:w="530" w:type="pct"/>
            <w:vAlign w:val="center"/>
          </w:tcPr>
          <w:p w14:paraId="62B0707D">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核算方法</w:t>
            </w:r>
          </w:p>
        </w:tc>
        <w:tc>
          <w:tcPr>
            <w:tcW w:w="477" w:type="pct"/>
            <w:vAlign w:val="center"/>
          </w:tcPr>
          <w:p w14:paraId="5BE56442">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产生量</w:t>
            </w:r>
            <w:r>
              <w:rPr>
                <w:rFonts w:hint="default" w:eastAsiaTheme="minorEastAsia"/>
                <w:kern w:val="0"/>
                <w:sz w:val="21"/>
                <w:szCs w:val="21"/>
                <w:highlight w:val="none"/>
              </w:rPr>
              <w:t>t/a</w:t>
            </w:r>
          </w:p>
        </w:tc>
        <w:tc>
          <w:tcPr>
            <w:tcW w:w="316" w:type="pct"/>
            <w:gridSpan w:val="2"/>
            <w:vAlign w:val="center"/>
          </w:tcPr>
          <w:p w14:paraId="6C435C04">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工艺</w:t>
            </w:r>
          </w:p>
        </w:tc>
        <w:tc>
          <w:tcPr>
            <w:tcW w:w="404" w:type="pct"/>
            <w:vAlign w:val="center"/>
          </w:tcPr>
          <w:p w14:paraId="4310B747">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处置量</w:t>
            </w:r>
            <w:r>
              <w:rPr>
                <w:rFonts w:hint="default" w:eastAsiaTheme="minorEastAsia"/>
                <w:kern w:val="0"/>
                <w:sz w:val="21"/>
                <w:szCs w:val="21"/>
                <w:highlight w:val="none"/>
              </w:rPr>
              <w:t>t/a</w:t>
            </w:r>
          </w:p>
        </w:tc>
        <w:tc>
          <w:tcPr>
            <w:tcW w:w="925" w:type="pct"/>
            <w:gridSpan w:val="2"/>
            <w:vMerge w:val="continue"/>
            <w:vAlign w:val="center"/>
          </w:tcPr>
          <w:p w14:paraId="543A4E4B">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p>
        </w:tc>
      </w:tr>
      <w:tr w14:paraId="702F72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279" w:hRule="atLeast"/>
          <w:jc w:val="center"/>
        </w:trPr>
        <w:tc>
          <w:tcPr>
            <w:tcW w:w="489" w:type="pct"/>
            <w:vAlign w:val="center"/>
          </w:tcPr>
          <w:p w14:paraId="77FB07BB">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员工</w:t>
            </w:r>
          </w:p>
        </w:tc>
        <w:tc>
          <w:tcPr>
            <w:tcW w:w="495" w:type="pct"/>
            <w:vAlign w:val="center"/>
          </w:tcPr>
          <w:p w14:paraId="70D7DECA">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生活、办公</w:t>
            </w:r>
          </w:p>
        </w:tc>
        <w:tc>
          <w:tcPr>
            <w:tcW w:w="847" w:type="pct"/>
            <w:tcBorders>
              <w:bottom w:val="single" w:color="auto" w:sz="4" w:space="0"/>
            </w:tcBorders>
            <w:vAlign w:val="center"/>
          </w:tcPr>
          <w:p w14:paraId="2FC39AD5">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生活垃圾</w:t>
            </w:r>
          </w:p>
        </w:tc>
        <w:tc>
          <w:tcPr>
            <w:tcW w:w="477" w:type="pct"/>
            <w:tcBorders>
              <w:bottom w:val="single" w:color="auto" w:sz="4" w:space="0"/>
            </w:tcBorders>
            <w:vAlign w:val="center"/>
          </w:tcPr>
          <w:p w14:paraId="38BE4428">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eastAsiaTheme="minorEastAsia"/>
                <w:kern w:val="0"/>
                <w:sz w:val="21"/>
                <w:szCs w:val="21"/>
                <w:highlight w:val="none"/>
              </w:rPr>
              <w:t>/</w:t>
            </w:r>
          </w:p>
        </w:tc>
        <w:tc>
          <w:tcPr>
            <w:tcW w:w="530" w:type="pct"/>
            <w:tcBorders>
              <w:bottom w:val="single" w:color="auto" w:sz="4" w:space="0"/>
            </w:tcBorders>
            <w:vAlign w:val="center"/>
          </w:tcPr>
          <w:p w14:paraId="4F8D35FB">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产污系数</w:t>
            </w:r>
          </w:p>
        </w:tc>
        <w:tc>
          <w:tcPr>
            <w:tcW w:w="477" w:type="pct"/>
            <w:vAlign w:val="center"/>
          </w:tcPr>
          <w:p w14:paraId="4FAD5CC3">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eastAsiaTheme="minorEastAsia"/>
                <w:kern w:val="0"/>
                <w:sz w:val="21"/>
                <w:szCs w:val="21"/>
                <w:highlight w:val="none"/>
              </w:rPr>
              <w:t>32.1</w:t>
            </w:r>
          </w:p>
        </w:tc>
        <w:tc>
          <w:tcPr>
            <w:tcW w:w="316" w:type="pct"/>
            <w:gridSpan w:val="2"/>
            <w:vAlign w:val="center"/>
          </w:tcPr>
          <w:p w14:paraId="4C3A08A9">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eastAsiaTheme="minorEastAsia"/>
                <w:kern w:val="0"/>
                <w:sz w:val="21"/>
                <w:szCs w:val="21"/>
                <w:highlight w:val="none"/>
              </w:rPr>
              <w:t>/</w:t>
            </w:r>
          </w:p>
        </w:tc>
        <w:tc>
          <w:tcPr>
            <w:tcW w:w="404" w:type="pct"/>
            <w:vAlign w:val="center"/>
          </w:tcPr>
          <w:p w14:paraId="63365E5F">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eastAsiaTheme="minorEastAsia"/>
                <w:kern w:val="0"/>
                <w:sz w:val="21"/>
                <w:szCs w:val="21"/>
                <w:highlight w:val="none"/>
              </w:rPr>
              <w:t>32.1</w:t>
            </w:r>
          </w:p>
        </w:tc>
        <w:tc>
          <w:tcPr>
            <w:tcW w:w="925" w:type="pct"/>
            <w:gridSpan w:val="2"/>
            <w:vAlign w:val="center"/>
          </w:tcPr>
          <w:p w14:paraId="43AB61DF">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bCs/>
                <w:kern w:val="0"/>
                <w:sz w:val="21"/>
                <w:szCs w:val="21"/>
                <w:highlight w:val="none"/>
              </w:rPr>
              <w:t>交由市政部门处理</w:t>
            </w:r>
          </w:p>
        </w:tc>
      </w:tr>
      <w:tr w14:paraId="7505B2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383" w:hRule="atLeast"/>
          <w:jc w:val="center"/>
        </w:trPr>
        <w:tc>
          <w:tcPr>
            <w:tcW w:w="489" w:type="pct"/>
            <w:vAlign w:val="center"/>
          </w:tcPr>
          <w:p w14:paraId="20FF335A">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机械加工</w:t>
            </w:r>
          </w:p>
        </w:tc>
        <w:tc>
          <w:tcPr>
            <w:tcW w:w="495" w:type="pct"/>
            <w:vAlign w:val="center"/>
          </w:tcPr>
          <w:p w14:paraId="048B7725">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机械加工线</w:t>
            </w:r>
          </w:p>
        </w:tc>
        <w:tc>
          <w:tcPr>
            <w:tcW w:w="847" w:type="pct"/>
            <w:tcBorders>
              <w:top w:val="single" w:color="auto" w:sz="4" w:space="0"/>
            </w:tcBorders>
            <w:vAlign w:val="center"/>
          </w:tcPr>
          <w:p w14:paraId="08E74D78">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金属碎屑</w:t>
            </w:r>
            <w:r>
              <w:rPr>
                <w:rFonts w:hint="default" w:hAnsiTheme="minorEastAsia" w:eastAsiaTheme="minorEastAsia"/>
                <w:bCs/>
                <w:kern w:val="0"/>
                <w:sz w:val="21"/>
                <w:szCs w:val="21"/>
                <w:highlight w:val="none"/>
              </w:rPr>
              <w:t>（代码：</w:t>
            </w:r>
            <w:r>
              <w:rPr>
                <w:rFonts w:hint="default" w:eastAsiaTheme="minorEastAsia"/>
                <w:bCs/>
                <w:kern w:val="0"/>
                <w:sz w:val="21"/>
                <w:szCs w:val="21"/>
                <w:highlight w:val="none"/>
              </w:rPr>
              <w:t>362-002-</w:t>
            </w:r>
            <w:r>
              <w:rPr>
                <w:rFonts w:hint="eastAsia" w:eastAsiaTheme="minorEastAsia"/>
                <w:bCs/>
                <w:kern w:val="0"/>
                <w:sz w:val="21"/>
                <w:szCs w:val="21"/>
                <w:highlight w:val="none"/>
              </w:rPr>
              <w:t>0</w:t>
            </w:r>
            <w:r>
              <w:rPr>
                <w:rFonts w:hint="default" w:eastAsiaTheme="minorEastAsia"/>
                <w:bCs/>
                <w:kern w:val="0"/>
                <w:sz w:val="21"/>
                <w:szCs w:val="21"/>
                <w:highlight w:val="none"/>
              </w:rPr>
              <w:t>9</w:t>
            </w:r>
            <w:r>
              <w:rPr>
                <w:rFonts w:hint="default" w:hAnsiTheme="minorEastAsia" w:eastAsiaTheme="minorEastAsia"/>
                <w:bCs/>
                <w:kern w:val="0"/>
                <w:sz w:val="21"/>
                <w:szCs w:val="21"/>
                <w:highlight w:val="none"/>
              </w:rPr>
              <w:t>）</w:t>
            </w:r>
          </w:p>
        </w:tc>
        <w:tc>
          <w:tcPr>
            <w:tcW w:w="477" w:type="pct"/>
            <w:tcBorders>
              <w:top w:val="single" w:color="auto" w:sz="4" w:space="0"/>
              <w:bottom w:val="single" w:color="auto" w:sz="2" w:space="0"/>
            </w:tcBorders>
            <w:vAlign w:val="center"/>
          </w:tcPr>
          <w:p w14:paraId="5C8C008A">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一般工业固体废物</w:t>
            </w:r>
          </w:p>
        </w:tc>
        <w:tc>
          <w:tcPr>
            <w:tcW w:w="530" w:type="pct"/>
            <w:tcBorders>
              <w:top w:val="single" w:color="auto" w:sz="4" w:space="0"/>
              <w:bottom w:val="single" w:color="auto" w:sz="2" w:space="0"/>
            </w:tcBorders>
            <w:vAlign w:val="center"/>
          </w:tcPr>
          <w:p w14:paraId="0414FFA6">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物料衡算法</w:t>
            </w:r>
          </w:p>
        </w:tc>
        <w:tc>
          <w:tcPr>
            <w:tcW w:w="477" w:type="pct"/>
            <w:vAlign w:val="center"/>
          </w:tcPr>
          <w:p w14:paraId="204EEB5C">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eastAsiaTheme="minorEastAsia"/>
                <w:bCs/>
                <w:kern w:val="0"/>
                <w:sz w:val="21"/>
                <w:szCs w:val="21"/>
                <w:highlight w:val="none"/>
              </w:rPr>
              <w:t>243.41</w:t>
            </w:r>
          </w:p>
        </w:tc>
        <w:tc>
          <w:tcPr>
            <w:tcW w:w="316" w:type="pct"/>
            <w:gridSpan w:val="2"/>
            <w:vAlign w:val="center"/>
          </w:tcPr>
          <w:p w14:paraId="3E97B119">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eastAsiaTheme="minorEastAsia"/>
                <w:kern w:val="0"/>
                <w:sz w:val="21"/>
                <w:szCs w:val="21"/>
                <w:highlight w:val="none"/>
              </w:rPr>
              <w:t>/</w:t>
            </w:r>
          </w:p>
        </w:tc>
        <w:tc>
          <w:tcPr>
            <w:tcW w:w="404" w:type="pct"/>
            <w:vAlign w:val="center"/>
          </w:tcPr>
          <w:p w14:paraId="0F6B30E5">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eastAsiaTheme="minorEastAsia"/>
                <w:bCs/>
                <w:kern w:val="0"/>
                <w:sz w:val="21"/>
                <w:szCs w:val="21"/>
                <w:highlight w:val="none"/>
              </w:rPr>
              <w:t>243.41</w:t>
            </w:r>
          </w:p>
        </w:tc>
        <w:tc>
          <w:tcPr>
            <w:tcW w:w="925" w:type="pct"/>
            <w:gridSpan w:val="2"/>
            <w:vAlign w:val="center"/>
          </w:tcPr>
          <w:p w14:paraId="2FD5B97B">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bCs/>
                <w:spacing w:val="4"/>
                <w:kern w:val="0"/>
                <w:sz w:val="21"/>
                <w:szCs w:val="21"/>
                <w:highlight w:val="none"/>
              </w:rPr>
              <w:t>收集后作为废品外售</w:t>
            </w:r>
          </w:p>
        </w:tc>
      </w:tr>
      <w:tr w14:paraId="3DCA65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679" w:hRule="atLeast"/>
          <w:jc w:val="center"/>
        </w:trPr>
        <w:tc>
          <w:tcPr>
            <w:tcW w:w="489" w:type="pct"/>
            <w:vAlign w:val="center"/>
          </w:tcPr>
          <w:p w14:paraId="50BC3838">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清洗工序</w:t>
            </w:r>
          </w:p>
        </w:tc>
        <w:tc>
          <w:tcPr>
            <w:tcW w:w="495" w:type="pct"/>
            <w:vAlign w:val="center"/>
          </w:tcPr>
          <w:p w14:paraId="3F9D071F">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清洗机油水</w:t>
            </w:r>
          </w:p>
          <w:p w14:paraId="4307EBAF">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分离器</w:t>
            </w:r>
          </w:p>
        </w:tc>
        <w:tc>
          <w:tcPr>
            <w:tcW w:w="847" w:type="pct"/>
            <w:vAlign w:val="center"/>
          </w:tcPr>
          <w:p w14:paraId="109895F2">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废油</w:t>
            </w:r>
            <w:r>
              <w:rPr>
                <w:rFonts w:hint="default" w:hAnsiTheme="minorEastAsia" w:eastAsiaTheme="minorEastAsia"/>
                <w:bCs/>
                <w:kern w:val="0"/>
                <w:sz w:val="21"/>
                <w:szCs w:val="21"/>
                <w:highlight w:val="none"/>
              </w:rPr>
              <w:t>（类别：</w:t>
            </w:r>
            <w:r>
              <w:rPr>
                <w:rFonts w:hint="default" w:eastAsiaTheme="minorEastAsia"/>
                <w:bCs/>
                <w:kern w:val="0"/>
                <w:sz w:val="21"/>
                <w:szCs w:val="21"/>
                <w:highlight w:val="none"/>
              </w:rPr>
              <w:t>HW08</w:t>
            </w:r>
            <w:r>
              <w:rPr>
                <w:rFonts w:hint="default" w:hAnsiTheme="minorEastAsia" w:eastAsiaTheme="minorEastAsia"/>
                <w:bCs/>
                <w:kern w:val="0"/>
                <w:sz w:val="21"/>
                <w:szCs w:val="21"/>
                <w:highlight w:val="none"/>
              </w:rPr>
              <w:t>，代码：</w:t>
            </w:r>
            <w:r>
              <w:rPr>
                <w:rFonts w:hint="default" w:eastAsiaTheme="minorEastAsia"/>
                <w:bCs/>
                <w:kern w:val="0"/>
                <w:sz w:val="21"/>
                <w:szCs w:val="21"/>
                <w:highlight w:val="none"/>
              </w:rPr>
              <w:t>900-210-08</w:t>
            </w:r>
            <w:r>
              <w:rPr>
                <w:rFonts w:hint="default" w:hAnsiTheme="minorEastAsia" w:eastAsiaTheme="minorEastAsia"/>
                <w:bCs/>
                <w:kern w:val="0"/>
                <w:sz w:val="21"/>
                <w:szCs w:val="21"/>
                <w:highlight w:val="none"/>
              </w:rPr>
              <w:t>）</w:t>
            </w:r>
          </w:p>
        </w:tc>
        <w:tc>
          <w:tcPr>
            <w:tcW w:w="477" w:type="pct"/>
            <w:vMerge w:val="restart"/>
            <w:tcBorders>
              <w:top w:val="single" w:color="auto" w:sz="2" w:space="0"/>
            </w:tcBorders>
            <w:vAlign w:val="center"/>
          </w:tcPr>
          <w:p w14:paraId="2EFEBDA3">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危险废物</w:t>
            </w:r>
          </w:p>
        </w:tc>
        <w:tc>
          <w:tcPr>
            <w:tcW w:w="530" w:type="pct"/>
            <w:tcBorders>
              <w:top w:val="single" w:color="auto" w:sz="2" w:space="0"/>
              <w:bottom w:val="single" w:color="auto" w:sz="2" w:space="0"/>
            </w:tcBorders>
            <w:vAlign w:val="center"/>
          </w:tcPr>
          <w:p w14:paraId="1780139F">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物料衡算法</w:t>
            </w:r>
          </w:p>
        </w:tc>
        <w:tc>
          <w:tcPr>
            <w:tcW w:w="477" w:type="pct"/>
            <w:vAlign w:val="center"/>
          </w:tcPr>
          <w:p w14:paraId="564D234E">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eastAsiaTheme="minorEastAsia"/>
                <w:kern w:val="0"/>
                <w:sz w:val="21"/>
                <w:szCs w:val="21"/>
                <w:highlight w:val="none"/>
              </w:rPr>
              <w:t>5.0</w:t>
            </w:r>
          </w:p>
        </w:tc>
        <w:tc>
          <w:tcPr>
            <w:tcW w:w="316" w:type="pct"/>
            <w:gridSpan w:val="2"/>
            <w:vAlign w:val="center"/>
          </w:tcPr>
          <w:p w14:paraId="1357EE85">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eastAsiaTheme="minorEastAsia"/>
                <w:kern w:val="0"/>
                <w:sz w:val="21"/>
                <w:szCs w:val="21"/>
                <w:highlight w:val="none"/>
              </w:rPr>
              <w:t>/</w:t>
            </w:r>
          </w:p>
        </w:tc>
        <w:tc>
          <w:tcPr>
            <w:tcW w:w="404" w:type="pct"/>
            <w:vAlign w:val="center"/>
          </w:tcPr>
          <w:p w14:paraId="7616854A">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eastAsiaTheme="minorEastAsia"/>
                <w:kern w:val="0"/>
                <w:sz w:val="21"/>
                <w:szCs w:val="21"/>
                <w:highlight w:val="none"/>
              </w:rPr>
              <w:t>5.0</w:t>
            </w:r>
          </w:p>
        </w:tc>
        <w:tc>
          <w:tcPr>
            <w:tcW w:w="925" w:type="pct"/>
            <w:gridSpan w:val="2"/>
            <w:tcBorders>
              <w:bottom w:val="single" w:color="auto" w:sz="2" w:space="0"/>
            </w:tcBorders>
            <w:vAlign w:val="center"/>
          </w:tcPr>
          <w:p w14:paraId="2A01D335">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bCs/>
                <w:kern w:val="0"/>
                <w:sz w:val="21"/>
                <w:szCs w:val="21"/>
                <w:highlight w:val="none"/>
              </w:rPr>
              <w:t>定期委托有资质单位处理</w:t>
            </w:r>
          </w:p>
        </w:tc>
      </w:tr>
      <w:tr w14:paraId="4C9DE0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380" w:hRule="atLeast"/>
          <w:jc w:val="center"/>
        </w:trPr>
        <w:tc>
          <w:tcPr>
            <w:tcW w:w="489" w:type="pct"/>
            <w:vMerge w:val="restart"/>
            <w:vAlign w:val="center"/>
          </w:tcPr>
          <w:p w14:paraId="108F553F">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机械加工、装试</w:t>
            </w:r>
          </w:p>
        </w:tc>
        <w:tc>
          <w:tcPr>
            <w:tcW w:w="495" w:type="pct"/>
            <w:vMerge w:val="restart"/>
            <w:vAlign w:val="center"/>
          </w:tcPr>
          <w:p w14:paraId="34996510">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机械加工线、装试线</w:t>
            </w:r>
          </w:p>
        </w:tc>
        <w:tc>
          <w:tcPr>
            <w:tcW w:w="847" w:type="pct"/>
            <w:tcBorders>
              <w:bottom w:val="single" w:color="auto" w:sz="2" w:space="0"/>
            </w:tcBorders>
            <w:vAlign w:val="center"/>
          </w:tcPr>
          <w:p w14:paraId="18FBB510">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废润滑油</w:t>
            </w:r>
            <w:r>
              <w:rPr>
                <w:rFonts w:hint="default" w:hAnsiTheme="minorEastAsia" w:eastAsiaTheme="minorEastAsia"/>
                <w:bCs/>
                <w:kern w:val="0"/>
                <w:sz w:val="21"/>
                <w:szCs w:val="21"/>
                <w:highlight w:val="none"/>
              </w:rPr>
              <w:t>（类别：</w:t>
            </w:r>
            <w:r>
              <w:rPr>
                <w:rFonts w:hint="default" w:eastAsiaTheme="minorEastAsia"/>
                <w:bCs/>
                <w:kern w:val="0"/>
                <w:sz w:val="21"/>
                <w:szCs w:val="21"/>
                <w:highlight w:val="none"/>
              </w:rPr>
              <w:t>HW08</w:t>
            </w:r>
            <w:r>
              <w:rPr>
                <w:rFonts w:hint="default" w:hAnsiTheme="minorEastAsia" w:eastAsiaTheme="minorEastAsia"/>
                <w:bCs/>
                <w:kern w:val="0"/>
                <w:sz w:val="21"/>
                <w:szCs w:val="21"/>
                <w:highlight w:val="none"/>
              </w:rPr>
              <w:t>，代码：</w:t>
            </w:r>
            <w:r>
              <w:rPr>
                <w:rFonts w:hint="default" w:eastAsiaTheme="minorEastAsia"/>
                <w:bCs/>
                <w:kern w:val="0"/>
                <w:sz w:val="21"/>
                <w:szCs w:val="21"/>
                <w:highlight w:val="none"/>
              </w:rPr>
              <w:t>900-249-08</w:t>
            </w:r>
            <w:r>
              <w:rPr>
                <w:rFonts w:hint="default" w:hAnsiTheme="minorEastAsia" w:eastAsiaTheme="minorEastAsia"/>
                <w:bCs/>
                <w:kern w:val="0"/>
                <w:sz w:val="21"/>
                <w:szCs w:val="21"/>
                <w:highlight w:val="none"/>
              </w:rPr>
              <w:t>）</w:t>
            </w:r>
          </w:p>
        </w:tc>
        <w:tc>
          <w:tcPr>
            <w:tcW w:w="477" w:type="pct"/>
            <w:vMerge w:val="continue"/>
            <w:vAlign w:val="center"/>
          </w:tcPr>
          <w:p w14:paraId="1BDBB6F7">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p>
        </w:tc>
        <w:tc>
          <w:tcPr>
            <w:tcW w:w="530" w:type="pct"/>
            <w:vMerge w:val="restart"/>
            <w:tcBorders>
              <w:top w:val="single" w:color="auto" w:sz="2" w:space="0"/>
            </w:tcBorders>
            <w:vAlign w:val="center"/>
          </w:tcPr>
          <w:p w14:paraId="77024627">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物料衡算法</w:t>
            </w:r>
          </w:p>
        </w:tc>
        <w:tc>
          <w:tcPr>
            <w:tcW w:w="477" w:type="pct"/>
            <w:tcBorders>
              <w:bottom w:val="single" w:color="auto" w:sz="4" w:space="0"/>
            </w:tcBorders>
            <w:vAlign w:val="center"/>
          </w:tcPr>
          <w:p w14:paraId="090F18C6">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eastAsiaTheme="minorEastAsia"/>
                <w:kern w:val="0"/>
                <w:sz w:val="21"/>
                <w:szCs w:val="21"/>
                <w:highlight w:val="none"/>
              </w:rPr>
              <w:t>0.4</w:t>
            </w:r>
          </w:p>
        </w:tc>
        <w:tc>
          <w:tcPr>
            <w:tcW w:w="316" w:type="pct"/>
            <w:gridSpan w:val="2"/>
            <w:tcBorders>
              <w:bottom w:val="single" w:color="auto" w:sz="4" w:space="0"/>
            </w:tcBorders>
            <w:vAlign w:val="center"/>
          </w:tcPr>
          <w:p w14:paraId="40097A49">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eastAsiaTheme="minorEastAsia"/>
                <w:kern w:val="0"/>
                <w:sz w:val="21"/>
                <w:szCs w:val="21"/>
                <w:highlight w:val="none"/>
              </w:rPr>
              <w:t>/</w:t>
            </w:r>
          </w:p>
        </w:tc>
        <w:tc>
          <w:tcPr>
            <w:tcW w:w="404" w:type="pct"/>
            <w:tcBorders>
              <w:bottom w:val="single" w:color="auto" w:sz="4" w:space="0"/>
            </w:tcBorders>
            <w:vAlign w:val="center"/>
          </w:tcPr>
          <w:p w14:paraId="129FF031">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eastAsiaTheme="minorEastAsia"/>
                <w:kern w:val="0"/>
                <w:sz w:val="21"/>
                <w:szCs w:val="21"/>
                <w:highlight w:val="none"/>
              </w:rPr>
              <w:t>0.4</w:t>
            </w:r>
          </w:p>
        </w:tc>
        <w:tc>
          <w:tcPr>
            <w:tcW w:w="925" w:type="pct"/>
            <w:gridSpan w:val="2"/>
            <w:tcBorders>
              <w:top w:val="single" w:color="auto" w:sz="2" w:space="0"/>
              <w:bottom w:val="single" w:color="auto" w:sz="4" w:space="0"/>
            </w:tcBorders>
            <w:vAlign w:val="center"/>
          </w:tcPr>
          <w:p w14:paraId="6CB50D4D">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bCs/>
                <w:kern w:val="0"/>
                <w:sz w:val="21"/>
                <w:szCs w:val="21"/>
                <w:highlight w:val="none"/>
              </w:rPr>
              <w:t>定期委托有资质单位处理</w:t>
            </w:r>
          </w:p>
        </w:tc>
      </w:tr>
      <w:tr w14:paraId="5336C6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234" w:hRule="atLeast"/>
          <w:jc w:val="center"/>
        </w:trPr>
        <w:tc>
          <w:tcPr>
            <w:tcW w:w="489" w:type="pct"/>
            <w:vMerge w:val="continue"/>
            <w:vAlign w:val="center"/>
          </w:tcPr>
          <w:p w14:paraId="35EC089A">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p>
        </w:tc>
        <w:tc>
          <w:tcPr>
            <w:tcW w:w="495" w:type="pct"/>
            <w:vMerge w:val="continue"/>
            <w:vAlign w:val="center"/>
          </w:tcPr>
          <w:p w14:paraId="3B9D80F0">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p>
        </w:tc>
        <w:tc>
          <w:tcPr>
            <w:tcW w:w="847" w:type="pct"/>
            <w:tcBorders>
              <w:top w:val="single" w:color="auto" w:sz="2" w:space="0"/>
            </w:tcBorders>
            <w:vAlign w:val="center"/>
          </w:tcPr>
          <w:p w14:paraId="329C844E">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废机油</w:t>
            </w:r>
            <w:r>
              <w:rPr>
                <w:rFonts w:hint="default" w:hAnsiTheme="minorEastAsia" w:eastAsiaTheme="minorEastAsia"/>
                <w:bCs/>
                <w:kern w:val="0"/>
                <w:sz w:val="21"/>
                <w:szCs w:val="21"/>
                <w:highlight w:val="none"/>
              </w:rPr>
              <w:t>（类别：</w:t>
            </w:r>
            <w:r>
              <w:rPr>
                <w:rFonts w:hint="default" w:eastAsiaTheme="minorEastAsia"/>
                <w:bCs/>
                <w:kern w:val="0"/>
                <w:sz w:val="21"/>
                <w:szCs w:val="21"/>
                <w:highlight w:val="none"/>
              </w:rPr>
              <w:t>HW08</w:t>
            </w:r>
            <w:r>
              <w:rPr>
                <w:rFonts w:hint="default" w:hAnsiTheme="minorEastAsia" w:eastAsiaTheme="minorEastAsia"/>
                <w:bCs/>
                <w:kern w:val="0"/>
                <w:sz w:val="21"/>
                <w:szCs w:val="21"/>
                <w:highlight w:val="none"/>
              </w:rPr>
              <w:t>，代码：</w:t>
            </w:r>
            <w:r>
              <w:rPr>
                <w:rFonts w:hint="default" w:eastAsiaTheme="minorEastAsia"/>
                <w:bCs/>
                <w:kern w:val="0"/>
                <w:sz w:val="21"/>
                <w:szCs w:val="21"/>
                <w:highlight w:val="none"/>
              </w:rPr>
              <w:t>900-249-08</w:t>
            </w:r>
            <w:r>
              <w:rPr>
                <w:rFonts w:hint="default" w:hAnsiTheme="minorEastAsia" w:eastAsiaTheme="minorEastAsia"/>
                <w:bCs/>
                <w:kern w:val="0"/>
                <w:sz w:val="21"/>
                <w:szCs w:val="21"/>
                <w:highlight w:val="none"/>
              </w:rPr>
              <w:t>）</w:t>
            </w:r>
          </w:p>
        </w:tc>
        <w:tc>
          <w:tcPr>
            <w:tcW w:w="477" w:type="pct"/>
            <w:vMerge w:val="continue"/>
            <w:vAlign w:val="center"/>
          </w:tcPr>
          <w:p w14:paraId="1302D3AB">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p>
        </w:tc>
        <w:tc>
          <w:tcPr>
            <w:tcW w:w="530" w:type="pct"/>
            <w:vMerge w:val="continue"/>
            <w:vAlign w:val="center"/>
          </w:tcPr>
          <w:p w14:paraId="00C7836F">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p>
        </w:tc>
        <w:tc>
          <w:tcPr>
            <w:tcW w:w="477" w:type="pct"/>
            <w:tcBorders>
              <w:top w:val="single" w:color="auto" w:sz="4" w:space="0"/>
            </w:tcBorders>
            <w:vAlign w:val="center"/>
          </w:tcPr>
          <w:p w14:paraId="698A74C7">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eastAsiaTheme="minorEastAsia"/>
                <w:kern w:val="0"/>
                <w:sz w:val="21"/>
                <w:szCs w:val="21"/>
                <w:highlight w:val="none"/>
              </w:rPr>
              <w:t>91.17</w:t>
            </w:r>
          </w:p>
        </w:tc>
        <w:tc>
          <w:tcPr>
            <w:tcW w:w="316" w:type="pct"/>
            <w:gridSpan w:val="2"/>
            <w:tcBorders>
              <w:top w:val="single" w:color="auto" w:sz="4" w:space="0"/>
            </w:tcBorders>
            <w:vAlign w:val="center"/>
          </w:tcPr>
          <w:p w14:paraId="1C7CC37D">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eastAsiaTheme="minorEastAsia"/>
                <w:kern w:val="0"/>
                <w:sz w:val="21"/>
                <w:szCs w:val="21"/>
                <w:highlight w:val="none"/>
              </w:rPr>
              <w:t>/</w:t>
            </w:r>
          </w:p>
        </w:tc>
        <w:tc>
          <w:tcPr>
            <w:tcW w:w="404" w:type="pct"/>
            <w:tcBorders>
              <w:top w:val="single" w:color="auto" w:sz="4" w:space="0"/>
            </w:tcBorders>
            <w:vAlign w:val="center"/>
          </w:tcPr>
          <w:p w14:paraId="55CC5078">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eastAsiaTheme="minorEastAsia"/>
                <w:kern w:val="0"/>
                <w:sz w:val="21"/>
                <w:szCs w:val="21"/>
                <w:highlight w:val="none"/>
              </w:rPr>
              <w:t>91.17</w:t>
            </w:r>
          </w:p>
        </w:tc>
        <w:tc>
          <w:tcPr>
            <w:tcW w:w="925" w:type="pct"/>
            <w:gridSpan w:val="2"/>
            <w:tcBorders>
              <w:top w:val="single" w:color="auto" w:sz="4" w:space="0"/>
            </w:tcBorders>
            <w:vAlign w:val="center"/>
          </w:tcPr>
          <w:p w14:paraId="5903FFB8">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bCs/>
                <w:kern w:val="0"/>
                <w:sz w:val="21"/>
                <w:szCs w:val="21"/>
                <w:highlight w:val="none"/>
              </w:rPr>
              <w:t>定期委托有资质单位处理</w:t>
            </w:r>
          </w:p>
        </w:tc>
      </w:tr>
      <w:tr w14:paraId="30DC57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58" w:hRule="atLeast"/>
          <w:jc w:val="center"/>
        </w:trPr>
        <w:tc>
          <w:tcPr>
            <w:tcW w:w="489" w:type="pct"/>
            <w:vMerge w:val="restart"/>
            <w:vAlign w:val="center"/>
          </w:tcPr>
          <w:p w14:paraId="51DD37D1">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机械加工</w:t>
            </w:r>
          </w:p>
        </w:tc>
        <w:tc>
          <w:tcPr>
            <w:tcW w:w="495" w:type="pct"/>
            <w:vMerge w:val="restart"/>
            <w:vAlign w:val="center"/>
          </w:tcPr>
          <w:p w14:paraId="5BA85734">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机械加工线</w:t>
            </w:r>
          </w:p>
        </w:tc>
        <w:tc>
          <w:tcPr>
            <w:tcW w:w="847" w:type="pct"/>
            <w:vAlign w:val="center"/>
          </w:tcPr>
          <w:p w14:paraId="476593BE">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含油抹布</w:t>
            </w:r>
            <w:r>
              <w:rPr>
                <w:rFonts w:hint="default" w:hAnsiTheme="minorEastAsia" w:eastAsiaTheme="minorEastAsia"/>
                <w:bCs/>
                <w:kern w:val="0"/>
                <w:sz w:val="21"/>
                <w:szCs w:val="21"/>
                <w:highlight w:val="none"/>
              </w:rPr>
              <w:t>（类别：</w:t>
            </w:r>
            <w:r>
              <w:rPr>
                <w:rFonts w:hint="default" w:eastAsiaTheme="minorEastAsia"/>
                <w:bCs/>
                <w:kern w:val="0"/>
                <w:sz w:val="21"/>
                <w:szCs w:val="21"/>
                <w:highlight w:val="none"/>
              </w:rPr>
              <w:t>HW49</w:t>
            </w:r>
            <w:r>
              <w:rPr>
                <w:rFonts w:hint="default" w:hAnsiTheme="minorEastAsia" w:eastAsiaTheme="minorEastAsia"/>
                <w:bCs/>
                <w:kern w:val="0"/>
                <w:sz w:val="21"/>
                <w:szCs w:val="21"/>
                <w:highlight w:val="none"/>
              </w:rPr>
              <w:t>，代码：</w:t>
            </w:r>
            <w:r>
              <w:rPr>
                <w:rFonts w:hint="default" w:eastAsiaTheme="minorEastAsia"/>
                <w:bCs/>
                <w:kern w:val="0"/>
                <w:sz w:val="21"/>
                <w:szCs w:val="21"/>
                <w:highlight w:val="none"/>
              </w:rPr>
              <w:t>900-041-49</w:t>
            </w:r>
            <w:r>
              <w:rPr>
                <w:rFonts w:hint="default" w:hAnsiTheme="minorEastAsia" w:eastAsiaTheme="minorEastAsia"/>
                <w:bCs/>
                <w:kern w:val="0"/>
                <w:sz w:val="21"/>
                <w:szCs w:val="21"/>
                <w:highlight w:val="none"/>
              </w:rPr>
              <w:t>）</w:t>
            </w:r>
          </w:p>
        </w:tc>
        <w:tc>
          <w:tcPr>
            <w:tcW w:w="477" w:type="pct"/>
            <w:vMerge w:val="continue"/>
            <w:vAlign w:val="center"/>
          </w:tcPr>
          <w:p w14:paraId="689FBD9F">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p>
        </w:tc>
        <w:tc>
          <w:tcPr>
            <w:tcW w:w="530" w:type="pct"/>
            <w:vAlign w:val="center"/>
          </w:tcPr>
          <w:p w14:paraId="2DBB0EC0">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物料衡算法</w:t>
            </w:r>
          </w:p>
        </w:tc>
        <w:tc>
          <w:tcPr>
            <w:tcW w:w="477" w:type="pct"/>
            <w:vAlign w:val="center"/>
          </w:tcPr>
          <w:p w14:paraId="60FCBE96">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eastAsiaTheme="minorEastAsia"/>
                <w:kern w:val="0"/>
                <w:sz w:val="21"/>
                <w:szCs w:val="21"/>
                <w:highlight w:val="none"/>
              </w:rPr>
              <w:t>2.5</w:t>
            </w:r>
          </w:p>
        </w:tc>
        <w:tc>
          <w:tcPr>
            <w:tcW w:w="316" w:type="pct"/>
            <w:gridSpan w:val="2"/>
            <w:vAlign w:val="center"/>
          </w:tcPr>
          <w:p w14:paraId="14ACDEB0">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eastAsiaTheme="minorEastAsia"/>
                <w:kern w:val="0"/>
                <w:sz w:val="21"/>
                <w:szCs w:val="21"/>
                <w:highlight w:val="none"/>
              </w:rPr>
              <w:t>/</w:t>
            </w:r>
          </w:p>
        </w:tc>
        <w:tc>
          <w:tcPr>
            <w:tcW w:w="404" w:type="pct"/>
            <w:vAlign w:val="center"/>
          </w:tcPr>
          <w:p w14:paraId="6A194E94">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eastAsiaTheme="minorEastAsia"/>
                <w:kern w:val="0"/>
                <w:sz w:val="21"/>
                <w:szCs w:val="21"/>
                <w:highlight w:val="none"/>
              </w:rPr>
              <w:t>2.5</w:t>
            </w:r>
          </w:p>
        </w:tc>
        <w:tc>
          <w:tcPr>
            <w:tcW w:w="925" w:type="pct"/>
            <w:gridSpan w:val="2"/>
            <w:vAlign w:val="center"/>
          </w:tcPr>
          <w:p w14:paraId="1B9A9680">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bCs/>
                <w:kern w:val="0"/>
                <w:sz w:val="21"/>
                <w:szCs w:val="21"/>
                <w:highlight w:val="none"/>
              </w:rPr>
              <w:t>定期委托有资质单位处理</w:t>
            </w:r>
          </w:p>
        </w:tc>
      </w:tr>
      <w:tr w14:paraId="4475B4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58" w:hRule="atLeast"/>
          <w:jc w:val="center"/>
        </w:trPr>
        <w:tc>
          <w:tcPr>
            <w:tcW w:w="489" w:type="pct"/>
            <w:vMerge w:val="continue"/>
            <w:vAlign w:val="center"/>
          </w:tcPr>
          <w:p w14:paraId="5B9BEA98">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p>
        </w:tc>
        <w:tc>
          <w:tcPr>
            <w:tcW w:w="495" w:type="pct"/>
            <w:vMerge w:val="continue"/>
            <w:vAlign w:val="center"/>
          </w:tcPr>
          <w:p w14:paraId="3C78AE7E">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p>
        </w:tc>
        <w:tc>
          <w:tcPr>
            <w:tcW w:w="847" w:type="pct"/>
            <w:vAlign w:val="center"/>
          </w:tcPr>
          <w:p w14:paraId="763ED0DF">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油泥（类别：</w:t>
            </w:r>
            <w:r>
              <w:rPr>
                <w:rFonts w:hint="default" w:eastAsiaTheme="minorEastAsia"/>
                <w:kern w:val="0"/>
                <w:sz w:val="21"/>
                <w:szCs w:val="21"/>
                <w:highlight w:val="none"/>
              </w:rPr>
              <w:t>HW08</w:t>
            </w:r>
            <w:r>
              <w:rPr>
                <w:rFonts w:hint="default" w:hAnsiTheme="minorEastAsia" w:eastAsiaTheme="minorEastAsia"/>
                <w:kern w:val="0"/>
                <w:sz w:val="21"/>
                <w:szCs w:val="21"/>
                <w:highlight w:val="none"/>
              </w:rPr>
              <w:t>，代码：</w:t>
            </w:r>
            <w:r>
              <w:rPr>
                <w:rFonts w:hint="default" w:eastAsiaTheme="minorEastAsia"/>
                <w:kern w:val="0"/>
                <w:sz w:val="21"/>
                <w:szCs w:val="21"/>
                <w:highlight w:val="none"/>
              </w:rPr>
              <w:t>900-200-08</w:t>
            </w:r>
            <w:r>
              <w:rPr>
                <w:rFonts w:hint="default" w:hAnsiTheme="minorEastAsia" w:eastAsiaTheme="minorEastAsia"/>
                <w:kern w:val="0"/>
                <w:sz w:val="21"/>
                <w:szCs w:val="21"/>
                <w:highlight w:val="none"/>
              </w:rPr>
              <w:t>）</w:t>
            </w:r>
          </w:p>
        </w:tc>
        <w:tc>
          <w:tcPr>
            <w:tcW w:w="477" w:type="pct"/>
            <w:vMerge w:val="continue"/>
            <w:vAlign w:val="center"/>
          </w:tcPr>
          <w:p w14:paraId="0DEA1C35">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p>
        </w:tc>
        <w:tc>
          <w:tcPr>
            <w:tcW w:w="530" w:type="pct"/>
            <w:vAlign w:val="center"/>
          </w:tcPr>
          <w:p w14:paraId="739C8263">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物料衡算法</w:t>
            </w:r>
          </w:p>
        </w:tc>
        <w:tc>
          <w:tcPr>
            <w:tcW w:w="477" w:type="pct"/>
            <w:vAlign w:val="center"/>
          </w:tcPr>
          <w:p w14:paraId="4324AFDB">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eastAsiaTheme="minorEastAsia"/>
                <w:kern w:val="0"/>
                <w:sz w:val="21"/>
                <w:szCs w:val="21"/>
                <w:highlight w:val="none"/>
              </w:rPr>
              <w:t>5</w:t>
            </w:r>
          </w:p>
        </w:tc>
        <w:tc>
          <w:tcPr>
            <w:tcW w:w="316" w:type="pct"/>
            <w:gridSpan w:val="2"/>
            <w:vAlign w:val="center"/>
          </w:tcPr>
          <w:p w14:paraId="769B4F3D">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eastAsiaTheme="minorEastAsia"/>
                <w:kern w:val="0"/>
                <w:sz w:val="21"/>
                <w:szCs w:val="21"/>
                <w:highlight w:val="none"/>
              </w:rPr>
              <w:t>/</w:t>
            </w:r>
          </w:p>
        </w:tc>
        <w:tc>
          <w:tcPr>
            <w:tcW w:w="404" w:type="pct"/>
            <w:vAlign w:val="center"/>
          </w:tcPr>
          <w:p w14:paraId="31F7CC9A">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eastAsiaTheme="minorEastAsia"/>
                <w:kern w:val="0"/>
                <w:sz w:val="21"/>
                <w:szCs w:val="21"/>
                <w:highlight w:val="none"/>
              </w:rPr>
              <w:t>5</w:t>
            </w:r>
          </w:p>
        </w:tc>
        <w:tc>
          <w:tcPr>
            <w:tcW w:w="925" w:type="pct"/>
            <w:gridSpan w:val="2"/>
            <w:vAlign w:val="center"/>
          </w:tcPr>
          <w:p w14:paraId="742B7448">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定期委托有资质单位处理</w:t>
            </w:r>
          </w:p>
        </w:tc>
      </w:tr>
      <w:tr w14:paraId="6CDCE5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654" w:hRule="atLeast"/>
          <w:jc w:val="center"/>
        </w:trPr>
        <w:tc>
          <w:tcPr>
            <w:tcW w:w="489" w:type="pct"/>
            <w:vAlign w:val="center"/>
          </w:tcPr>
          <w:p w14:paraId="7DF38FD9">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bCs/>
                <w:kern w:val="0"/>
                <w:sz w:val="21"/>
                <w:szCs w:val="21"/>
                <w:highlight w:val="none"/>
              </w:rPr>
              <w:t>切削液过滤</w:t>
            </w:r>
          </w:p>
        </w:tc>
        <w:tc>
          <w:tcPr>
            <w:tcW w:w="495" w:type="pct"/>
            <w:vAlign w:val="center"/>
          </w:tcPr>
          <w:p w14:paraId="0C9E5C9F">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bCs/>
                <w:kern w:val="0"/>
                <w:sz w:val="21"/>
                <w:szCs w:val="21"/>
                <w:highlight w:val="none"/>
              </w:rPr>
              <w:t>切削液过滤系统</w:t>
            </w:r>
          </w:p>
        </w:tc>
        <w:tc>
          <w:tcPr>
            <w:tcW w:w="847" w:type="pct"/>
            <w:vAlign w:val="center"/>
          </w:tcPr>
          <w:p w14:paraId="5FB08BD9">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bCs/>
                <w:kern w:val="0"/>
                <w:sz w:val="21"/>
                <w:szCs w:val="21"/>
                <w:highlight w:val="none"/>
              </w:rPr>
              <w:t>滤布（类别：</w:t>
            </w:r>
            <w:r>
              <w:rPr>
                <w:rFonts w:hint="default" w:eastAsiaTheme="minorEastAsia"/>
                <w:bCs/>
                <w:kern w:val="0"/>
                <w:sz w:val="21"/>
                <w:szCs w:val="21"/>
                <w:highlight w:val="none"/>
              </w:rPr>
              <w:t>HW49</w:t>
            </w:r>
            <w:r>
              <w:rPr>
                <w:rFonts w:hint="default" w:hAnsiTheme="minorEastAsia" w:eastAsiaTheme="minorEastAsia"/>
                <w:bCs/>
                <w:kern w:val="0"/>
                <w:sz w:val="21"/>
                <w:szCs w:val="21"/>
                <w:highlight w:val="none"/>
              </w:rPr>
              <w:t>，代码：</w:t>
            </w:r>
            <w:r>
              <w:rPr>
                <w:rFonts w:hint="default" w:eastAsiaTheme="minorEastAsia"/>
                <w:bCs/>
                <w:kern w:val="0"/>
                <w:sz w:val="21"/>
                <w:szCs w:val="21"/>
                <w:highlight w:val="none"/>
              </w:rPr>
              <w:t>900-041-49</w:t>
            </w:r>
            <w:r>
              <w:rPr>
                <w:rFonts w:hint="default" w:hAnsiTheme="minorEastAsia" w:eastAsiaTheme="minorEastAsia"/>
                <w:bCs/>
                <w:kern w:val="0"/>
                <w:sz w:val="21"/>
                <w:szCs w:val="21"/>
                <w:highlight w:val="none"/>
              </w:rPr>
              <w:t>）</w:t>
            </w:r>
          </w:p>
        </w:tc>
        <w:tc>
          <w:tcPr>
            <w:tcW w:w="477" w:type="pct"/>
            <w:vMerge w:val="continue"/>
            <w:vAlign w:val="center"/>
          </w:tcPr>
          <w:p w14:paraId="5D61EAFA">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p>
        </w:tc>
        <w:tc>
          <w:tcPr>
            <w:tcW w:w="530" w:type="pct"/>
            <w:vAlign w:val="center"/>
          </w:tcPr>
          <w:p w14:paraId="7E5E1B6E">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物料衡算法</w:t>
            </w:r>
          </w:p>
        </w:tc>
        <w:tc>
          <w:tcPr>
            <w:tcW w:w="477" w:type="pct"/>
            <w:vAlign w:val="center"/>
          </w:tcPr>
          <w:p w14:paraId="1CDD5DE7">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eastAsiaTheme="minorEastAsia"/>
                <w:kern w:val="0"/>
                <w:sz w:val="21"/>
                <w:szCs w:val="21"/>
                <w:highlight w:val="none"/>
              </w:rPr>
              <w:t>5</w:t>
            </w:r>
          </w:p>
        </w:tc>
        <w:tc>
          <w:tcPr>
            <w:tcW w:w="316" w:type="pct"/>
            <w:gridSpan w:val="2"/>
            <w:vAlign w:val="center"/>
          </w:tcPr>
          <w:p w14:paraId="37F0C2E0">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eastAsiaTheme="minorEastAsia"/>
                <w:kern w:val="0"/>
                <w:sz w:val="21"/>
                <w:szCs w:val="21"/>
                <w:highlight w:val="none"/>
              </w:rPr>
              <w:t>/</w:t>
            </w:r>
          </w:p>
        </w:tc>
        <w:tc>
          <w:tcPr>
            <w:tcW w:w="404" w:type="pct"/>
            <w:vAlign w:val="center"/>
          </w:tcPr>
          <w:p w14:paraId="0EF651AD">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eastAsiaTheme="minorEastAsia"/>
                <w:kern w:val="0"/>
                <w:sz w:val="21"/>
                <w:szCs w:val="21"/>
                <w:highlight w:val="none"/>
              </w:rPr>
              <w:t>5</w:t>
            </w:r>
          </w:p>
        </w:tc>
        <w:tc>
          <w:tcPr>
            <w:tcW w:w="925" w:type="pct"/>
            <w:gridSpan w:val="2"/>
            <w:vAlign w:val="center"/>
          </w:tcPr>
          <w:p w14:paraId="48CA690A">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bCs/>
                <w:kern w:val="0"/>
                <w:sz w:val="21"/>
                <w:szCs w:val="21"/>
                <w:highlight w:val="none"/>
              </w:rPr>
              <w:t>定期委托有资质单位处理</w:t>
            </w:r>
          </w:p>
        </w:tc>
      </w:tr>
      <w:tr w14:paraId="477BFC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267" w:hRule="atLeast"/>
          <w:jc w:val="center"/>
        </w:trPr>
        <w:tc>
          <w:tcPr>
            <w:tcW w:w="489" w:type="pct"/>
            <w:vMerge w:val="restart"/>
            <w:vAlign w:val="center"/>
          </w:tcPr>
          <w:p w14:paraId="7B9B75A6">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原</w:t>
            </w:r>
            <w:r>
              <w:rPr>
                <w:rFonts w:hint="default" w:hAnsiTheme="minorEastAsia" w:eastAsiaTheme="minorEastAsia"/>
                <w:bCs/>
                <w:kern w:val="0"/>
                <w:sz w:val="21"/>
                <w:szCs w:val="21"/>
                <w:highlight w:val="none"/>
              </w:rPr>
              <w:t>材料</w:t>
            </w:r>
            <w:r>
              <w:rPr>
                <w:rFonts w:hint="default" w:hAnsiTheme="minorEastAsia" w:eastAsiaTheme="minorEastAsia"/>
                <w:kern w:val="0"/>
                <w:sz w:val="21"/>
                <w:szCs w:val="21"/>
                <w:highlight w:val="none"/>
              </w:rPr>
              <w:t>储存区</w:t>
            </w:r>
          </w:p>
        </w:tc>
        <w:tc>
          <w:tcPr>
            <w:tcW w:w="495" w:type="pct"/>
            <w:vMerge w:val="restart"/>
            <w:vAlign w:val="center"/>
          </w:tcPr>
          <w:p w14:paraId="5ADE47FD">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原</w:t>
            </w:r>
            <w:r>
              <w:rPr>
                <w:rFonts w:hint="default" w:hAnsiTheme="minorEastAsia" w:eastAsiaTheme="minorEastAsia"/>
                <w:bCs/>
                <w:kern w:val="0"/>
                <w:sz w:val="21"/>
                <w:szCs w:val="21"/>
                <w:highlight w:val="none"/>
              </w:rPr>
              <w:t>材料</w:t>
            </w:r>
            <w:r>
              <w:rPr>
                <w:rFonts w:hint="default" w:hAnsiTheme="minorEastAsia" w:eastAsiaTheme="minorEastAsia"/>
                <w:kern w:val="0"/>
                <w:sz w:val="21"/>
                <w:szCs w:val="21"/>
                <w:highlight w:val="none"/>
              </w:rPr>
              <w:t>储存区</w:t>
            </w:r>
          </w:p>
        </w:tc>
        <w:tc>
          <w:tcPr>
            <w:tcW w:w="847" w:type="pct"/>
            <w:vAlign w:val="center"/>
          </w:tcPr>
          <w:p w14:paraId="2F51BC49">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bCs/>
                <w:kern w:val="0"/>
                <w:sz w:val="21"/>
                <w:szCs w:val="21"/>
                <w:highlight w:val="none"/>
              </w:rPr>
              <w:t>一般固体包装物（代码：</w:t>
            </w:r>
            <w:r>
              <w:rPr>
                <w:rFonts w:hint="default" w:eastAsiaTheme="minorEastAsia"/>
                <w:bCs/>
                <w:kern w:val="0"/>
                <w:sz w:val="21"/>
                <w:szCs w:val="21"/>
                <w:highlight w:val="none"/>
              </w:rPr>
              <w:t>362-002-</w:t>
            </w:r>
            <w:r>
              <w:rPr>
                <w:rFonts w:hint="eastAsia" w:eastAsiaTheme="minorEastAsia"/>
                <w:bCs/>
                <w:kern w:val="0"/>
                <w:sz w:val="21"/>
                <w:szCs w:val="21"/>
                <w:highlight w:val="none"/>
              </w:rPr>
              <w:t>07</w:t>
            </w:r>
            <w:r>
              <w:rPr>
                <w:rFonts w:hint="default" w:hAnsiTheme="minorEastAsia" w:eastAsiaTheme="minorEastAsia"/>
                <w:bCs/>
                <w:kern w:val="0"/>
                <w:sz w:val="21"/>
                <w:szCs w:val="21"/>
                <w:highlight w:val="none"/>
              </w:rPr>
              <w:t>）</w:t>
            </w:r>
          </w:p>
        </w:tc>
        <w:tc>
          <w:tcPr>
            <w:tcW w:w="477" w:type="pct"/>
            <w:vAlign w:val="center"/>
          </w:tcPr>
          <w:p w14:paraId="4904716F">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一般工业固体废物</w:t>
            </w:r>
          </w:p>
        </w:tc>
        <w:tc>
          <w:tcPr>
            <w:tcW w:w="530" w:type="pct"/>
            <w:vAlign w:val="center"/>
          </w:tcPr>
          <w:p w14:paraId="7A095071">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物料衡算法</w:t>
            </w:r>
          </w:p>
        </w:tc>
        <w:tc>
          <w:tcPr>
            <w:tcW w:w="477" w:type="pct"/>
            <w:vAlign w:val="center"/>
          </w:tcPr>
          <w:p w14:paraId="592F4CDF">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eastAsiaTheme="minorEastAsia"/>
                <w:kern w:val="0"/>
                <w:sz w:val="21"/>
                <w:szCs w:val="21"/>
                <w:highlight w:val="none"/>
              </w:rPr>
              <w:t>30</w:t>
            </w:r>
          </w:p>
        </w:tc>
        <w:tc>
          <w:tcPr>
            <w:tcW w:w="316" w:type="pct"/>
            <w:gridSpan w:val="2"/>
            <w:vAlign w:val="center"/>
          </w:tcPr>
          <w:p w14:paraId="2AEAAED3">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eastAsiaTheme="minorEastAsia"/>
                <w:kern w:val="0"/>
                <w:sz w:val="21"/>
                <w:szCs w:val="21"/>
                <w:highlight w:val="none"/>
              </w:rPr>
              <w:t>/</w:t>
            </w:r>
          </w:p>
        </w:tc>
        <w:tc>
          <w:tcPr>
            <w:tcW w:w="404" w:type="pct"/>
            <w:vAlign w:val="center"/>
          </w:tcPr>
          <w:p w14:paraId="31AEA305">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eastAsiaTheme="minorEastAsia"/>
                <w:kern w:val="0"/>
                <w:sz w:val="21"/>
                <w:szCs w:val="21"/>
                <w:highlight w:val="none"/>
              </w:rPr>
              <w:t>30</w:t>
            </w:r>
          </w:p>
        </w:tc>
        <w:tc>
          <w:tcPr>
            <w:tcW w:w="925" w:type="pct"/>
            <w:gridSpan w:val="2"/>
            <w:vAlign w:val="center"/>
          </w:tcPr>
          <w:p w14:paraId="79F0469F">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bCs/>
                <w:kern w:val="0"/>
                <w:sz w:val="21"/>
                <w:szCs w:val="21"/>
                <w:highlight w:val="none"/>
              </w:rPr>
              <w:t>收集后作为废品外售</w:t>
            </w:r>
          </w:p>
        </w:tc>
      </w:tr>
      <w:tr w14:paraId="344814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267" w:hRule="atLeast"/>
          <w:jc w:val="center"/>
        </w:trPr>
        <w:tc>
          <w:tcPr>
            <w:tcW w:w="489" w:type="pct"/>
            <w:vMerge w:val="continue"/>
            <w:vAlign w:val="center"/>
          </w:tcPr>
          <w:p w14:paraId="1FFFB41B">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p>
        </w:tc>
        <w:tc>
          <w:tcPr>
            <w:tcW w:w="495" w:type="pct"/>
            <w:vMerge w:val="continue"/>
            <w:vAlign w:val="center"/>
          </w:tcPr>
          <w:p w14:paraId="3B9EFB65">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p>
        </w:tc>
        <w:tc>
          <w:tcPr>
            <w:tcW w:w="847" w:type="pct"/>
            <w:vAlign w:val="center"/>
          </w:tcPr>
          <w:p w14:paraId="45F45AEC">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bCs/>
                <w:kern w:val="0"/>
                <w:sz w:val="21"/>
                <w:szCs w:val="21"/>
                <w:highlight w:val="none"/>
              </w:rPr>
              <w:t>矿物油类包装桶（类别：</w:t>
            </w:r>
            <w:r>
              <w:rPr>
                <w:rFonts w:hint="default" w:eastAsiaTheme="minorEastAsia"/>
                <w:bCs/>
                <w:kern w:val="0"/>
                <w:sz w:val="21"/>
                <w:szCs w:val="21"/>
                <w:highlight w:val="none"/>
              </w:rPr>
              <w:t>HW</w:t>
            </w:r>
            <w:r>
              <w:rPr>
                <w:rFonts w:hint="eastAsia" w:eastAsiaTheme="minorEastAsia"/>
                <w:bCs/>
                <w:kern w:val="0"/>
                <w:sz w:val="21"/>
                <w:szCs w:val="21"/>
                <w:highlight w:val="none"/>
              </w:rPr>
              <w:t>08</w:t>
            </w:r>
            <w:r>
              <w:rPr>
                <w:rFonts w:hint="default" w:hAnsiTheme="minorEastAsia" w:eastAsiaTheme="minorEastAsia"/>
                <w:bCs/>
                <w:kern w:val="0"/>
                <w:sz w:val="21"/>
                <w:szCs w:val="21"/>
                <w:highlight w:val="none"/>
              </w:rPr>
              <w:t>，代码：</w:t>
            </w:r>
            <w:r>
              <w:rPr>
                <w:rFonts w:hint="default" w:eastAsiaTheme="minorEastAsia"/>
                <w:bCs/>
                <w:kern w:val="0"/>
                <w:sz w:val="21"/>
                <w:szCs w:val="21"/>
                <w:highlight w:val="none"/>
              </w:rPr>
              <w:t>900-</w:t>
            </w:r>
            <w:r>
              <w:rPr>
                <w:rFonts w:hint="eastAsia" w:eastAsiaTheme="minorEastAsia"/>
                <w:bCs/>
                <w:kern w:val="0"/>
                <w:sz w:val="21"/>
                <w:szCs w:val="21"/>
                <w:highlight w:val="none"/>
              </w:rPr>
              <w:t>249</w:t>
            </w:r>
            <w:r>
              <w:rPr>
                <w:rFonts w:hint="default" w:eastAsiaTheme="minorEastAsia"/>
                <w:bCs/>
                <w:kern w:val="0"/>
                <w:sz w:val="21"/>
                <w:szCs w:val="21"/>
                <w:highlight w:val="none"/>
              </w:rPr>
              <w:t>-</w:t>
            </w:r>
            <w:r>
              <w:rPr>
                <w:rFonts w:hint="eastAsia" w:eastAsiaTheme="minorEastAsia"/>
                <w:bCs/>
                <w:kern w:val="0"/>
                <w:sz w:val="21"/>
                <w:szCs w:val="21"/>
                <w:highlight w:val="none"/>
              </w:rPr>
              <w:t>08</w:t>
            </w:r>
            <w:r>
              <w:rPr>
                <w:rFonts w:hint="default" w:hAnsiTheme="minorEastAsia" w:eastAsiaTheme="minorEastAsia"/>
                <w:bCs/>
                <w:kern w:val="0"/>
                <w:sz w:val="21"/>
                <w:szCs w:val="21"/>
                <w:highlight w:val="none"/>
              </w:rPr>
              <w:t>）</w:t>
            </w:r>
          </w:p>
        </w:tc>
        <w:tc>
          <w:tcPr>
            <w:tcW w:w="477" w:type="pct"/>
            <w:vAlign w:val="center"/>
          </w:tcPr>
          <w:p w14:paraId="26C9A079">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危险废物</w:t>
            </w:r>
          </w:p>
        </w:tc>
        <w:tc>
          <w:tcPr>
            <w:tcW w:w="530" w:type="pct"/>
            <w:vAlign w:val="center"/>
          </w:tcPr>
          <w:p w14:paraId="582EF4DD">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物料衡算法</w:t>
            </w:r>
          </w:p>
        </w:tc>
        <w:tc>
          <w:tcPr>
            <w:tcW w:w="477" w:type="pct"/>
            <w:vAlign w:val="center"/>
          </w:tcPr>
          <w:p w14:paraId="6139B8E8">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18.8</w:t>
            </w:r>
          </w:p>
        </w:tc>
        <w:tc>
          <w:tcPr>
            <w:tcW w:w="316" w:type="pct"/>
            <w:gridSpan w:val="2"/>
            <w:vAlign w:val="center"/>
          </w:tcPr>
          <w:p w14:paraId="76430308">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eastAsiaTheme="minorEastAsia"/>
                <w:kern w:val="0"/>
                <w:sz w:val="21"/>
                <w:szCs w:val="21"/>
                <w:highlight w:val="none"/>
              </w:rPr>
              <w:t>/</w:t>
            </w:r>
          </w:p>
        </w:tc>
        <w:tc>
          <w:tcPr>
            <w:tcW w:w="404" w:type="pct"/>
            <w:vAlign w:val="center"/>
          </w:tcPr>
          <w:p w14:paraId="30444B06">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18.8</w:t>
            </w:r>
          </w:p>
        </w:tc>
        <w:tc>
          <w:tcPr>
            <w:tcW w:w="925" w:type="pct"/>
            <w:gridSpan w:val="2"/>
            <w:vAlign w:val="center"/>
          </w:tcPr>
          <w:p w14:paraId="20972141">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bCs/>
                <w:kern w:val="0"/>
                <w:sz w:val="21"/>
                <w:szCs w:val="21"/>
                <w:highlight w:val="none"/>
              </w:rPr>
              <w:t>定期委托有资质单位处理</w:t>
            </w:r>
          </w:p>
        </w:tc>
      </w:tr>
      <w:tr w14:paraId="314F65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267" w:hRule="atLeast"/>
          <w:jc w:val="center"/>
        </w:trPr>
        <w:tc>
          <w:tcPr>
            <w:tcW w:w="489" w:type="pct"/>
            <w:vAlign w:val="center"/>
          </w:tcPr>
          <w:p w14:paraId="6A80F791">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原</w:t>
            </w:r>
            <w:r>
              <w:rPr>
                <w:rFonts w:hint="default" w:hAnsiTheme="minorEastAsia" w:eastAsiaTheme="minorEastAsia"/>
                <w:bCs/>
                <w:kern w:val="0"/>
                <w:sz w:val="21"/>
                <w:szCs w:val="21"/>
                <w:highlight w:val="none"/>
              </w:rPr>
              <w:t>材料</w:t>
            </w:r>
            <w:r>
              <w:rPr>
                <w:rFonts w:hint="default" w:hAnsiTheme="minorEastAsia" w:eastAsiaTheme="minorEastAsia"/>
                <w:kern w:val="0"/>
                <w:sz w:val="21"/>
                <w:szCs w:val="21"/>
                <w:highlight w:val="none"/>
              </w:rPr>
              <w:t>储存区</w:t>
            </w:r>
          </w:p>
        </w:tc>
        <w:tc>
          <w:tcPr>
            <w:tcW w:w="495" w:type="pct"/>
            <w:vAlign w:val="center"/>
          </w:tcPr>
          <w:p w14:paraId="3C16D2CC">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原</w:t>
            </w:r>
            <w:r>
              <w:rPr>
                <w:rFonts w:hint="default" w:hAnsiTheme="minorEastAsia" w:eastAsiaTheme="minorEastAsia"/>
                <w:bCs/>
                <w:kern w:val="0"/>
                <w:sz w:val="21"/>
                <w:szCs w:val="21"/>
                <w:highlight w:val="none"/>
              </w:rPr>
              <w:t>材料</w:t>
            </w:r>
            <w:r>
              <w:rPr>
                <w:rFonts w:hint="default" w:hAnsiTheme="minorEastAsia" w:eastAsiaTheme="minorEastAsia"/>
                <w:kern w:val="0"/>
                <w:sz w:val="21"/>
                <w:szCs w:val="21"/>
                <w:highlight w:val="none"/>
              </w:rPr>
              <w:t>储存区</w:t>
            </w:r>
          </w:p>
        </w:tc>
        <w:tc>
          <w:tcPr>
            <w:tcW w:w="847" w:type="pct"/>
            <w:vAlign w:val="center"/>
          </w:tcPr>
          <w:p w14:paraId="2C60F2D1">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hAnsiTheme="minorEastAsia" w:eastAsiaTheme="minorEastAsia"/>
                <w:bCs/>
                <w:kern w:val="0"/>
                <w:sz w:val="21"/>
                <w:szCs w:val="21"/>
                <w:highlight w:val="none"/>
              </w:rPr>
            </w:pPr>
            <w:r>
              <w:rPr>
                <w:rFonts w:hint="default" w:hAnsiTheme="minorEastAsia" w:eastAsiaTheme="minorEastAsia"/>
                <w:bCs/>
                <w:kern w:val="0"/>
                <w:sz w:val="21"/>
                <w:szCs w:val="21"/>
                <w:highlight w:val="none"/>
              </w:rPr>
              <w:t>胶类包装桶（类别：</w:t>
            </w:r>
            <w:r>
              <w:rPr>
                <w:rFonts w:hint="default" w:eastAsiaTheme="minorEastAsia"/>
                <w:bCs/>
                <w:kern w:val="0"/>
                <w:sz w:val="21"/>
                <w:szCs w:val="21"/>
                <w:highlight w:val="none"/>
              </w:rPr>
              <w:t>HW49</w:t>
            </w:r>
            <w:r>
              <w:rPr>
                <w:rFonts w:hint="default" w:hAnsiTheme="minorEastAsia" w:eastAsiaTheme="minorEastAsia"/>
                <w:bCs/>
                <w:kern w:val="0"/>
                <w:sz w:val="21"/>
                <w:szCs w:val="21"/>
                <w:highlight w:val="none"/>
              </w:rPr>
              <w:t>，代码：</w:t>
            </w:r>
            <w:r>
              <w:rPr>
                <w:rFonts w:hint="default" w:eastAsiaTheme="minorEastAsia"/>
                <w:bCs/>
                <w:kern w:val="0"/>
                <w:sz w:val="21"/>
                <w:szCs w:val="21"/>
                <w:highlight w:val="none"/>
              </w:rPr>
              <w:t>900-041-49</w:t>
            </w:r>
            <w:r>
              <w:rPr>
                <w:rFonts w:hint="default" w:hAnsiTheme="minorEastAsia" w:eastAsiaTheme="minorEastAsia"/>
                <w:bCs/>
                <w:kern w:val="0"/>
                <w:sz w:val="21"/>
                <w:szCs w:val="21"/>
                <w:highlight w:val="none"/>
              </w:rPr>
              <w:t>）</w:t>
            </w:r>
          </w:p>
        </w:tc>
        <w:tc>
          <w:tcPr>
            <w:tcW w:w="477" w:type="pct"/>
            <w:vMerge w:val="restart"/>
            <w:vAlign w:val="center"/>
          </w:tcPr>
          <w:p w14:paraId="15FD4B45">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hAnsiTheme="minorEastAsia" w:eastAsiaTheme="minorEastAsia"/>
                <w:kern w:val="0"/>
                <w:sz w:val="21"/>
                <w:szCs w:val="21"/>
                <w:highlight w:val="none"/>
              </w:rPr>
            </w:pPr>
            <w:r>
              <w:rPr>
                <w:rFonts w:hint="default" w:hAnsiTheme="minorEastAsia" w:eastAsiaTheme="minorEastAsia"/>
                <w:kern w:val="0"/>
                <w:sz w:val="21"/>
                <w:szCs w:val="21"/>
                <w:highlight w:val="none"/>
              </w:rPr>
              <w:t>危险废物</w:t>
            </w:r>
          </w:p>
        </w:tc>
        <w:tc>
          <w:tcPr>
            <w:tcW w:w="530" w:type="pct"/>
            <w:vAlign w:val="center"/>
          </w:tcPr>
          <w:p w14:paraId="297AA345">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hAnsiTheme="minorEastAsia" w:eastAsiaTheme="minorEastAsia"/>
                <w:kern w:val="0"/>
                <w:sz w:val="21"/>
                <w:szCs w:val="21"/>
                <w:highlight w:val="none"/>
              </w:rPr>
            </w:pPr>
            <w:r>
              <w:rPr>
                <w:rFonts w:hint="default" w:hAnsiTheme="minorEastAsia" w:eastAsiaTheme="minorEastAsia"/>
                <w:kern w:val="0"/>
                <w:sz w:val="21"/>
                <w:szCs w:val="21"/>
                <w:highlight w:val="none"/>
              </w:rPr>
              <w:t>物料衡算法</w:t>
            </w:r>
          </w:p>
        </w:tc>
        <w:tc>
          <w:tcPr>
            <w:tcW w:w="477" w:type="pct"/>
            <w:vAlign w:val="center"/>
          </w:tcPr>
          <w:p w14:paraId="22B43D9F">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1.2</w:t>
            </w:r>
          </w:p>
        </w:tc>
        <w:tc>
          <w:tcPr>
            <w:tcW w:w="316" w:type="pct"/>
            <w:gridSpan w:val="2"/>
            <w:vAlign w:val="center"/>
          </w:tcPr>
          <w:p w14:paraId="4E7FCA7F">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w:t>
            </w:r>
          </w:p>
        </w:tc>
        <w:tc>
          <w:tcPr>
            <w:tcW w:w="404" w:type="pct"/>
            <w:vAlign w:val="center"/>
          </w:tcPr>
          <w:p w14:paraId="7837444F">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1.2</w:t>
            </w:r>
          </w:p>
        </w:tc>
        <w:tc>
          <w:tcPr>
            <w:tcW w:w="925" w:type="pct"/>
            <w:gridSpan w:val="2"/>
            <w:vAlign w:val="center"/>
          </w:tcPr>
          <w:p w14:paraId="4D472A8C">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hAnsiTheme="minorEastAsia" w:eastAsiaTheme="minorEastAsia"/>
                <w:bCs/>
                <w:kern w:val="0"/>
                <w:sz w:val="21"/>
                <w:szCs w:val="21"/>
                <w:highlight w:val="none"/>
              </w:rPr>
            </w:pPr>
            <w:r>
              <w:rPr>
                <w:rFonts w:hint="default" w:hAnsiTheme="minorEastAsia" w:eastAsiaTheme="minorEastAsia"/>
                <w:bCs/>
                <w:kern w:val="0"/>
                <w:sz w:val="21"/>
                <w:szCs w:val="21"/>
                <w:highlight w:val="none"/>
              </w:rPr>
              <w:t>定期委托有资质单位处理</w:t>
            </w:r>
          </w:p>
        </w:tc>
      </w:tr>
      <w:tr w14:paraId="375AF0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267" w:hRule="atLeast"/>
          <w:jc w:val="center"/>
        </w:trPr>
        <w:tc>
          <w:tcPr>
            <w:tcW w:w="489" w:type="pct"/>
            <w:vMerge w:val="restart"/>
            <w:vAlign w:val="center"/>
          </w:tcPr>
          <w:p w14:paraId="2E45D3E3">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废气治理</w:t>
            </w:r>
          </w:p>
        </w:tc>
        <w:tc>
          <w:tcPr>
            <w:tcW w:w="495" w:type="pct"/>
            <w:vMerge w:val="restart"/>
            <w:vAlign w:val="center"/>
          </w:tcPr>
          <w:p w14:paraId="3B1746B2">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油雾净化系统</w:t>
            </w:r>
          </w:p>
        </w:tc>
        <w:tc>
          <w:tcPr>
            <w:tcW w:w="847" w:type="pct"/>
            <w:vAlign w:val="center"/>
          </w:tcPr>
          <w:p w14:paraId="29D28612">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bCs/>
                <w:kern w:val="0"/>
                <w:sz w:val="21"/>
                <w:szCs w:val="21"/>
                <w:highlight w:val="none"/>
              </w:rPr>
              <w:t>废油（类别：</w:t>
            </w:r>
            <w:r>
              <w:rPr>
                <w:rFonts w:hint="default" w:eastAsiaTheme="minorEastAsia"/>
                <w:bCs/>
                <w:kern w:val="0"/>
                <w:sz w:val="21"/>
                <w:szCs w:val="21"/>
                <w:highlight w:val="none"/>
              </w:rPr>
              <w:t>HW08</w:t>
            </w:r>
            <w:r>
              <w:rPr>
                <w:rFonts w:hint="default" w:hAnsiTheme="minorEastAsia" w:eastAsiaTheme="minorEastAsia"/>
                <w:bCs/>
                <w:kern w:val="0"/>
                <w:sz w:val="21"/>
                <w:szCs w:val="21"/>
                <w:highlight w:val="none"/>
              </w:rPr>
              <w:t>，代码：</w:t>
            </w:r>
            <w:r>
              <w:rPr>
                <w:rFonts w:hint="default" w:eastAsiaTheme="minorEastAsia"/>
                <w:bCs/>
                <w:kern w:val="0"/>
                <w:sz w:val="21"/>
                <w:szCs w:val="21"/>
                <w:highlight w:val="none"/>
              </w:rPr>
              <w:t>900-249-08</w:t>
            </w:r>
            <w:r>
              <w:rPr>
                <w:rFonts w:hint="default" w:hAnsiTheme="minorEastAsia" w:eastAsiaTheme="minorEastAsia"/>
                <w:bCs/>
                <w:kern w:val="0"/>
                <w:sz w:val="21"/>
                <w:szCs w:val="21"/>
                <w:highlight w:val="none"/>
              </w:rPr>
              <w:t>）</w:t>
            </w:r>
          </w:p>
        </w:tc>
        <w:tc>
          <w:tcPr>
            <w:tcW w:w="477" w:type="pct"/>
            <w:vMerge w:val="continue"/>
            <w:vAlign w:val="center"/>
          </w:tcPr>
          <w:p w14:paraId="3D1265F4">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p>
        </w:tc>
        <w:tc>
          <w:tcPr>
            <w:tcW w:w="530" w:type="pct"/>
            <w:vAlign w:val="center"/>
          </w:tcPr>
          <w:p w14:paraId="35FCD0F9">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物料衡算法</w:t>
            </w:r>
          </w:p>
        </w:tc>
        <w:tc>
          <w:tcPr>
            <w:tcW w:w="477" w:type="pct"/>
            <w:vAlign w:val="center"/>
          </w:tcPr>
          <w:p w14:paraId="47C1F33B">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eastAsiaTheme="minorEastAsia"/>
                <w:kern w:val="0"/>
                <w:sz w:val="21"/>
                <w:szCs w:val="21"/>
                <w:highlight w:val="none"/>
              </w:rPr>
              <w:t>0.1</w:t>
            </w:r>
          </w:p>
        </w:tc>
        <w:tc>
          <w:tcPr>
            <w:tcW w:w="316" w:type="pct"/>
            <w:gridSpan w:val="2"/>
            <w:vAlign w:val="center"/>
          </w:tcPr>
          <w:p w14:paraId="011A894F">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eastAsiaTheme="minorEastAsia"/>
                <w:kern w:val="0"/>
                <w:sz w:val="21"/>
                <w:szCs w:val="21"/>
                <w:highlight w:val="none"/>
              </w:rPr>
              <w:t>/</w:t>
            </w:r>
          </w:p>
        </w:tc>
        <w:tc>
          <w:tcPr>
            <w:tcW w:w="404" w:type="pct"/>
            <w:vAlign w:val="center"/>
          </w:tcPr>
          <w:p w14:paraId="4CFC2BCB">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eastAsiaTheme="minorEastAsia"/>
                <w:kern w:val="0"/>
                <w:sz w:val="21"/>
                <w:szCs w:val="21"/>
                <w:highlight w:val="none"/>
              </w:rPr>
              <w:t>0.1</w:t>
            </w:r>
          </w:p>
        </w:tc>
        <w:tc>
          <w:tcPr>
            <w:tcW w:w="925" w:type="pct"/>
            <w:gridSpan w:val="2"/>
            <w:vAlign w:val="center"/>
          </w:tcPr>
          <w:p w14:paraId="4961B7D0">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bCs/>
                <w:kern w:val="0"/>
                <w:sz w:val="21"/>
                <w:szCs w:val="21"/>
                <w:highlight w:val="none"/>
              </w:rPr>
              <w:t>定期委托有资质单位处理</w:t>
            </w:r>
          </w:p>
        </w:tc>
      </w:tr>
      <w:tr w14:paraId="5F43F0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774" w:hRule="atLeast"/>
          <w:jc w:val="center"/>
        </w:trPr>
        <w:tc>
          <w:tcPr>
            <w:tcW w:w="489" w:type="pct"/>
            <w:vMerge w:val="continue"/>
            <w:vAlign w:val="center"/>
          </w:tcPr>
          <w:p w14:paraId="58211857">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p>
        </w:tc>
        <w:tc>
          <w:tcPr>
            <w:tcW w:w="495" w:type="pct"/>
            <w:vMerge w:val="continue"/>
            <w:vAlign w:val="center"/>
          </w:tcPr>
          <w:p w14:paraId="7EE16DEB">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p>
        </w:tc>
        <w:tc>
          <w:tcPr>
            <w:tcW w:w="847" w:type="pct"/>
            <w:vAlign w:val="center"/>
          </w:tcPr>
          <w:p w14:paraId="1CCAB6A9">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bCs/>
                <w:kern w:val="0"/>
                <w:sz w:val="21"/>
                <w:szCs w:val="21"/>
                <w:highlight w:val="none"/>
              </w:rPr>
              <w:t>废过滤材料（类别：</w:t>
            </w:r>
            <w:r>
              <w:rPr>
                <w:rFonts w:hint="default" w:eastAsiaTheme="minorEastAsia"/>
                <w:bCs/>
                <w:kern w:val="0"/>
                <w:sz w:val="21"/>
                <w:szCs w:val="21"/>
                <w:highlight w:val="none"/>
              </w:rPr>
              <w:t>HW49</w:t>
            </w:r>
            <w:r>
              <w:rPr>
                <w:rFonts w:hint="default" w:hAnsiTheme="minorEastAsia" w:eastAsiaTheme="minorEastAsia"/>
                <w:bCs/>
                <w:kern w:val="0"/>
                <w:sz w:val="21"/>
                <w:szCs w:val="21"/>
                <w:highlight w:val="none"/>
              </w:rPr>
              <w:t>，代码：</w:t>
            </w:r>
            <w:r>
              <w:rPr>
                <w:rFonts w:hint="default" w:eastAsiaTheme="minorEastAsia"/>
                <w:bCs/>
                <w:kern w:val="0"/>
                <w:sz w:val="21"/>
                <w:szCs w:val="21"/>
                <w:highlight w:val="none"/>
              </w:rPr>
              <w:t>900-041-49</w:t>
            </w:r>
            <w:r>
              <w:rPr>
                <w:rFonts w:hint="default" w:hAnsiTheme="minorEastAsia" w:eastAsiaTheme="minorEastAsia"/>
                <w:bCs/>
                <w:kern w:val="0"/>
                <w:sz w:val="21"/>
                <w:szCs w:val="21"/>
                <w:highlight w:val="none"/>
              </w:rPr>
              <w:t>）</w:t>
            </w:r>
          </w:p>
        </w:tc>
        <w:tc>
          <w:tcPr>
            <w:tcW w:w="477" w:type="pct"/>
            <w:vMerge w:val="continue"/>
            <w:vAlign w:val="center"/>
          </w:tcPr>
          <w:p w14:paraId="32FDCF77">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p>
        </w:tc>
        <w:tc>
          <w:tcPr>
            <w:tcW w:w="530" w:type="pct"/>
            <w:vAlign w:val="center"/>
          </w:tcPr>
          <w:p w14:paraId="5B1D46B1">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物料衡算法</w:t>
            </w:r>
          </w:p>
        </w:tc>
        <w:tc>
          <w:tcPr>
            <w:tcW w:w="477" w:type="pct"/>
            <w:vAlign w:val="center"/>
          </w:tcPr>
          <w:p w14:paraId="7475D493">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eastAsiaTheme="minorEastAsia"/>
                <w:kern w:val="0"/>
                <w:sz w:val="21"/>
                <w:szCs w:val="21"/>
                <w:highlight w:val="none"/>
              </w:rPr>
              <w:t>2.0</w:t>
            </w:r>
          </w:p>
        </w:tc>
        <w:tc>
          <w:tcPr>
            <w:tcW w:w="316" w:type="pct"/>
            <w:gridSpan w:val="2"/>
            <w:vAlign w:val="center"/>
          </w:tcPr>
          <w:p w14:paraId="6FCFA256">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eastAsiaTheme="minorEastAsia"/>
                <w:kern w:val="0"/>
                <w:sz w:val="21"/>
                <w:szCs w:val="21"/>
                <w:highlight w:val="none"/>
              </w:rPr>
              <w:t>/</w:t>
            </w:r>
          </w:p>
        </w:tc>
        <w:tc>
          <w:tcPr>
            <w:tcW w:w="404" w:type="pct"/>
            <w:vAlign w:val="center"/>
          </w:tcPr>
          <w:p w14:paraId="240C0C2E">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eastAsiaTheme="minorEastAsia"/>
                <w:kern w:val="0"/>
                <w:sz w:val="21"/>
                <w:szCs w:val="21"/>
                <w:highlight w:val="none"/>
              </w:rPr>
              <w:t>2.0</w:t>
            </w:r>
          </w:p>
        </w:tc>
        <w:tc>
          <w:tcPr>
            <w:tcW w:w="925" w:type="pct"/>
            <w:gridSpan w:val="2"/>
            <w:vAlign w:val="center"/>
          </w:tcPr>
          <w:p w14:paraId="0B457F3C">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bCs/>
                <w:kern w:val="0"/>
                <w:sz w:val="21"/>
                <w:szCs w:val="21"/>
                <w:highlight w:val="none"/>
              </w:rPr>
              <w:t>定期委托有资质单位处理</w:t>
            </w:r>
          </w:p>
        </w:tc>
      </w:tr>
      <w:tr w14:paraId="18F142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774" w:hRule="atLeast"/>
          <w:jc w:val="center"/>
        </w:trPr>
        <w:tc>
          <w:tcPr>
            <w:tcW w:w="489" w:type="pct"/>
            <w:vMerge w:val="continue"/>
            <w:vAlign w:val="center"/>
          </w:tcPr>
          <w:p w14:paraId="6C6FD500">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hAnsiTheme="minorEastAsia" w:eastAsiaTheme="minorEastAsia"/>
                <w:kern w:val="0"/>
                <w:sz w:val="21"/>
                <w:szCs w:val="21"/>
                <w:highlight w:val="none"/>
              </w:rPr>
            </w:pPr>
          </w:p>
        </w:tc>
        <w:tc>
          <w:tcPr>
            <w:tcW w:w="495" w:type="pct"/>
            <w:vAlign w:val="center"/>
          </w:tcPr>
          <w:p w14:paraId="7A3F1CFD">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hAnsiTheme="minorEastAsia" w:eastAsiaTheme="minorEastAsia"/>
                <w:kern w:val="0"/>
                <w:sz w:val="21"/>
                <w:szCs w:val="21"/>
                <w:highlight w:val="none"/>
              </w:rPr>
            </w:pPr>
            <w:r>
              <w:rPr>
                <w:rFonts w:hint="default" w:hAnsiTheme="minorEastAsia" w:eastAsiaTheme="minorEastAsia"/>
                <w:kern w:val="0"/>
                <w:sz w:val="21"/>
                <w:szCs w:val="21"/>
                <w:highlight w:val="none"/>
              </w:rPr>
              <w:t>三元催化装置</w:t>
            </w:r>
          </w:p>
        </w:tc>
        <w:tc>
          <w:tcPr>
            <w:tcW w:w="847" w:type="pct"/>
            <w:vAlign w:val="center"/>
          </w:tcPr>
          <w:p w14:paraId="367A037C">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hAnsiTheme="minorEastAsia" w:eastAsiaTheme="minorEastAsia"/>
                <w:kern w:val="0"/>
                <w:sz w:val="21"/>
                <w:szCs w:val="21"/>
                <w:highlight w:val="none"/>
              </w:rPr>
            </w:pPr>
            <w:r>
              <w:rPr>
                <w:rFonts w:hint="eastAsia" w:hAnsiTheme="minorEastAsia" w:eastAsiaTheme="minorEastAsia"/>
                <w:kern w:val="0"/>
                <w:sz w:val="21"/>
                <w:szCs w:val="21"/>
                <w:highlight w:val="none"/>
              </w:rPr>
              <w:t>废催化剂（类别：HW50，代码：900-049-50）</w:t>
            </w:r>
          </w:p>
        </w:tc>
        <w:tc>
          <w:tcPr>
            <w:tcW w:w="477" w:type="pct"/>
            <w:vMerge w:val="continue"/>
            <w:vAlign w:val="center"/>
          </w:tcPr>
          <w:p w14:paraId="76282725">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p>
        </w:tc>
        <w:tc>
          <w:tcPr>
            <w:tcW w:w="530" w:type="pct"/>
            <w:vAlign w:val="center"/>
          </w:tcPr>
          <w:p w14:paraId="15707E75">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hAnsiTheme="minorEastAsia" w:eastAsiaTheme="minorEastAsia"/>
                <w:kern w:val="0"/>
                <w:sz w:val="21"/>
                <w:szCs w:val="21"/>
                <w:highlight w:val="none"/>
              </w:rPr>
            </w:pPr>
            <w:r>
              <w:rPr>
                <w:rFonts w:hint="default" w:hAnsiTheme="minorEastAsia" w:eastAsiaTheme="minorEastAsia"/>
                <w:kern w:val="0"/>
                <w:sz w:val="21"/>
                <w:szCs w:val="21"/>
                <w:highlight w:val="none"/>
              </w:rPr>
              <w:t>物料衡算法</w:t>
            </w:r>
          </w:p>
        </w:tc>
        <w:tc>
          <w:tcPr>
            <w:tcW w:w="477" w:type="pct"/>
            <w:vAlign w:val="center"/>
          </w:tcPr>
          <w:p w14:paraId="5743F67D">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0.48t/3a</w:t>
            </w:r>
          </w:p>
        </w:tc>
        <w:tc>
          <w:tcPr>
            <w:tcW w:w="316" w:type="pct"/>
            <w:gridSpan w:val="2"/>
            <w:vAlign w:val="center"/>
          </w:tcPr>
          <w:p w14:paraId="4A125F25">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w:t>
            </w:r>
          </w:p>
        </w:tc>
        <w:tc>
          <w:tcPr>
            <w:tcW w:w="404" w:type="pct"/>
            <w:vAlign w:val="center"/>
          </w:tcPr>
          <w:p w14:paraId="708DC052">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0.48t/3a</w:t>
            </w:r>
          </w:p>
        </w:tc>
        <w:tc>
          <w:tcPr>
            <w:tcW w:w="925" w:type="pct"/>
            <w:gridSpan w:val="2"/>
            <w:vAlign w:val="center"/>
          </w:tcPr>
          <w:p w14:paraId="3727F159">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default" w:hAnsiTheme="minorEastAsia" w:eastAsiaTheme="minorEastAsia"/>
                <w:bCs/>
                <w:kern w:val="0"/>
                <w:sz w:val="21"/>
                <w:szCs w:val="21"/>
                <w:highlight w:val="none"/>
              </w:rPr>
              <w:t>定期委托有资质单位处理</w:t>
            </w:r>
          </w:p>
        </w:tc>
      </w:tr>
      <w:tr w14:paraId="75DD1A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56" w:hRule="atLeast"/>
          <w:jc w:val="center"/>
        </w:trPr>
        <w:tc>
          <w:tcPr>
            <w:tcW w:w="489" w:type="pct"/>
            <w:vMerge w:val="restart"/>
            <w:vAlign w:val="center"/>
          </w:tcPr>
          <w:p w14:paraId="2C70F860">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hAnsiTheme="minorEastAsia" w:eastAsiaTheme="minorEastAsia"/>
                <w:kern w:val="0"/>
                <w:sz w:val="21"/>
                <w:szCs w:val="21"/>
                <w:highlight w:val="none"/>
              </w:rPr>
            </w:pPr>
            <w:r>
              <w:rPr>
                <w:rFonts w:hint="default" w:hAnsiTheme="minorEastAsia" w:eastAsiaTheme="minorEastAsia"/>
                <w:kern w:val="0"/>
                <w:sz w:val="21"/>
                <w:szCs w:val="21"/>
                <w:highlight w:val="none"/>
              </w:rPr>
              <w:t>废水处理</w:t>
            </w:r>
          </w:p>
        </w:tc>
        <w:tc>
          <w:tcPr>
            <w:tcW w:w="495" w:type="pct"/>
            <w:vMerge w:val="restart"/>
            <w:vAlign w:val="center"/>
          </w:tcPr>
          <w:p w14:paraId="29C06D6B">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hAnsiTheme="minorEastAsia" w:eastAsiaTheme="minorEastAsia"/>
                <w:kern w:val="0"/>
                <w:sz w:val="21"/>
                <w:szCs w:val="21"/>
                <w:highlight w:val="none"/>
              </w:rPr>
            </w:pPr>
            <w:r>
              <w:rPr>
                <w:rFonts w:hint="eastAsia" w:hAnsiTheme="minorEastAsia" w:eastAsiaTheme="minorEastAsia"/>
                <w:kern w:val="0"/>
                <w:sz w:val="21"/>
                <w:szCs w:val="21"/>
                <w:highlight w:val="none"/>
              </w:rPr>
              <w:t>4号污水处理站</w:t>
            </w:r>
          </w:p>
        </w:tc>
        <w:tc>
          <w:tcPr>
            <w:tcW w:w="847" w:type="pct"/>
            <w:vAlign w:val="center"/>
          </w:tcPr>
          <w:p w14:paraId="2E619D66">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hAnsiTheme="minorEastAsia" w:eastAsiaTheme="minorEastAsia"/>
                <w:kern w:val="0"/>
                <w:sz w:val="21"/>
                <w:szCs w:val="21"/>
                <w:highlight w:val="none"/>
              </w:rPr>
            </w:pPr>
            <w:r>
              <w:rPr>
                <w:rFonts w:hint="default" w:hAnsiTheme="minorEastAsia" w:eastAsiaTheme="minorEastAsia"/>
                <w:kern w:val="0"/>
                <w:sz w:val="21"/>
                <w:szCs w:val="21"/>
                <w:highlight w:val="none"/>
              </w:rPr>
              <w:t>废油（类别HW08，代码：900-210-08）</w:t>
            </w:r>
          </w:p>
        </w:tc>
        <w:tc>
          <w:tcPr>
            <w:tcW w:w="477" w:type="pct"/>
            <w:vMerge w:val="continue"/>
            <w:vAlign w:val="center"/>
          </w:tcPr>
          <w:p w14:paraId="399D262D">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hAnsiTheme="minorEastAsia" w:eastAsiaTheme="minorEastAsia"/>
                <w:kern w:val="0"/>
                <w:sz w:val="21"/>
                <w:szCs w:val="21"/>
                <w:highlight w:val="none"/>
              </w:rPr>
            </w:pPr>
          </w:p>
        </w:tc>
        <w:tc>
          <w:tcPr>
            <w:tcW w:w="530" w:type="pct"/>
            <w:vAlign w:val="center"/>
          </w:tcPr>
          <w:p w14:paraId="5B652746">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hAnsiTheme="minorEastAsia" w:eastAsiaTheme="minorEastAsia"/>
                <w:kern w:val="0"/>
                <w:sz w:val="21"/>
                <w:szCs w:val="21"/>
                <w:highlight w:val="none"/>
              </w:rPr>
            </w:pPr>
            <w:r>
              <w:rPr>
                <w:rFonts w:hint="default" w:hAnsiTheme="minorEastAsia" w:eastAsiaTheme="minorEastAsia"/>
                <w:kern w:val="0"/>
                <w:sz w:val="21"/>
                <w:szCs w:val="21"/>
                <w:highlight w:val="none"/>
              </w:rPr>
              <w:t>类比法</w:t>
            </w:r>
          </w:p>
        </w:tc>
        <w:tc>
          <w:tcPr>
            <w:tcW w:w="477" w:type="pct"/>
            <w:vAlign w:val="center"/>
          </w:tcPr>
          <w:p w14:paraId="0AC99293">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hAnsiTheme="minorEastAsia" w:eastAsiaTheme="minorEastAsia"/>
                <w:kern w:val="0"/>
                <w:sz w:val="21"/>
                <w:szCs w:val="21"/>
                <w:highlight w:val="none"/>
              </w:rPr>
            </w:pPr>
            <w:r>
              <w:rPr>
                <w:rFonts w:hint="eastAsia" w:hAnsiTheme="minorEastAsia" w:eastAsiaTheme="minorEastAsia"/>
                <w:kern w:val="0"/>
                <w:sz w:val="21"/>
                <w:szCs w:val="21"/>
                <w:highlight w:val="none"/>
              </w:rPr>
              <w:t>2</w:t>
            </w:r>
          </w:p>
        </w:tc>
        <w:tc>
          <w:tcPr>
            <w:tcW w:w="316" w:type="pct"/>
            <w:gridSpan w:val="2"/>
            <w:vAlign w:val="center"/>
          </w:tcPr>
          <w:p w14:paraId="3D39F5CA">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hAnsiTheme="minorEastAsia" w:eastAsiaTheme="minorEastAsia"/>
                <w:kern w:val="0"/>
                <w:sz w:val="21"/>
                <w:szCs w:val="21"/>
                <w:highlight w:val="none"/>
              </w:rPr>
            </w:pPr>
            <w:r>
              <w:rPr>
                <w:rFonts w:hint="eastAsia" w:hAnsiTheme="minorEastAsia" w:eastAsiaTheme="minorEastAsia"/>
                <w:kern w:val="0"/>
                <w:sz w:val="21"/>
                <w:szCs w:val="21"/>
                <w:highlight w:val="none"/>
              </w:rPr>
              <w:t>/</w:t>
            </w:r>
          </w:p>
        </w:tc>
        <w:tc>
          <w:tcPr>
            <w:tcW w:w="404" w:type="pct"/>
            <w:vAlign w:val="center"/>
          </w:tcPr>
          <w:p w14:paraId="50173ED0">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hAnsiTheme="minorEastAsia" w:eastAsiaTheme="minorEastAsia"/>
                <w:kern w:val="0"/>
                <w:sz w:val="21"/>
                <w:szCs w:val="21"/>
                <w:highlight w:val="none"/>
              </w:rPr>
            </w:pPr>
            <w:r>
              <w:rPr>
                <w:rFonts w:hint="eastAsia" w:hAnsiTheme="minorEastAsia" w:eastAsiaTheme="minorEastAsia"/>
                <w:kern w:val="0"/>
                <w:sz w:val="21"/>
                <w:szCs w:val="21"/>
                <w:highlight w:val="none"/>
              </w:rPr>
              <w:t>2</w:t>
            </w:r>
          </w:p>
        </w:tc>
        <w:tc>
          <w:tcPr>
            <w:tcW w:w="925" w:type="pct"/>
            <w:gridSpan w:val="2"/>
            <w:vAlign w:val="center"/>
          </w:tcPr>
          <w:p w14:paraId="45459482">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hAnsiTheme="minorEastAsia" w:eastAsiaTheme="minorEastAsia"/>
                <w:kern w:val="0"/>
                <w:sz w:val="21"/>
                <w:szCs w:val="21"/>
                <w:highlight w:val="none"/>
              </w:rPr>
            </w:pPr>
            <w:r>
              <w:rPr>
                <w:rFonts w:hint="default" w:hAnsiTheme="minorEastAsia" w:eastAsiaTheme="minorEastAsia"/>
                <w:kern w:val="0"/>
                <w:sz w:val="21"/>
                <w:szCs w:val="21"/>
                <w:highlight w:val="none"/>
              </w:rPr>
              <w:t>定期委托有资质单位处理</w:t>
            </w:r>
          </w:p>
        </w:tc>
      </w:tr>
      <w:tr w14:paraId="7B2E85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56" w:hRule="atLeast"/>
          <w:jc w:val="center"/>
        </w:trPr>
        <w:tc>
          <w:tcPr>
            <w:tcW w:w="489" w:type="pct"/>
            <w:vMerge w:val="continue"/>
            <w:vAlign w:val="center"/>
          </w:tcPr>
          <w:p w14:paraId="251CF4B9">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hAnsiTheme="minorEastAsia" w:eastAsiaTheme="minorEastAsia"/>
                <w:kern w:val="0"/>
                <w:sz w:val="21"/>
                <w:szCs w:val="21"/>
                <w:highlight w:val="none"/>
              </w:rPr>
            </w:pPr>
          </w:p>
        </w:tc>
        <w:tc>
          <w:tcPr>
            <w:tcW w:w="495" w:type="pct"/>
            <w:vMerge w:val="continue"/>
            <w:vAlign w:val="center"/>
          </w:tcPr>
          <w:p w14:paraId="210BE8CF">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hAnsiTheme="minorEastAsia" w:eastAsiaTheme="minorEastAsia"/>
                <w:kern w:val="0"/>
                <w:sz w:val="21"/>
                <w:szCs w:val="21"/>
                <w:highlight w:val="none"/>
              </w:rPr>
            </w:pPr>
          </w:p>
        </w:tc>
        <w:tc>
          <w:tcPr>
            <w:tcW w:w="847" w:type="pct"/>
            <w:vAlign w:val="center"/>
          </w:tcPr>
          <w:p w14:paraId="663DDFDA">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hAnsiTheme="minorEastAsia" w:eastAsiaTheme="minorEastAsia"/>
                <w:kern w:val="0"/>
                <w:sz w:val="21"/>
                <w:szCs w:val="21"/>
                <w:highlight w:val="none"/>
              </w:rPr>
            </w:pPr>
            <w:r>
              <w:rPr>
                <w:rFonts w:hint="eastAsia" w:hAnsiTheme="minorEastAsia" w:eastAsiaTheme="minorEastAsia"/>
                <w:kern w:val="0"/>
                <w:sz w:val="21"/>
                <w:szCs w:val="21"/>
                <w:highlight w:val="none"/>
              </w:rPr>
              <w:t>污泥（类别HW08，代码：900-210-08）</w:t>
            </w:r>
          </w:p>
        </w:tc>
        <w:tc>
          <w:tcPr>
            <w:tcW w:w="477" w:type="pct"/>
            <w:vMerge w:val="continue"/>
            <w:vAlign w:val="center"/>
          </w:tcPr>
          <w:p w14:paraId="7E62990F">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hAnsiTheme="minorEastAsia" w:eastAsiaTheme="minorEastAsia"/>
                <w:kern w:val="0"/>
                <w:sz w:val="21"/>
                <w:szCs w:val="21"/>
                <w:highlight w:val="none"/>
              </w:rPr>
            </w:pPr>
          </w:p>
        </w:tc>
        <w:tc>
          <w:tcPr>
            <w:tcW w:w="530" w:type="pct"/>
            <w:vAlign w:val="center"/>
          </w:tcPr>
          <w:p w14:paraId="3DB8B4CA">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hAnsiTheme="minorEastAsia" w:eastAsiaTheme="minorEastAsia"/>
                <w:kern w:val="0"/>
                <w:sz w:val="21"/>
                <w:szCs w:val="21"/>
                <w:highlight w:val="none"/>
              </w:rPr>
            </w:pPr>
            <w:r>
              <w:rPr>
                <w:rFonts w:hint="default" w:hAnsiTheme="minorEastAsia" w:eastAsiaTheme="minorEastAsia"/>
                <w:kern w:val="0"/>
                <w:sz w:val="21"/>
                <w:szCs w:val="21"/>
                <w:highlight w:val="none"/>
              </w:rPr>
              <w:t>类比法</w:t>
            </w:r>
          </w:p>
        </w:tc>
        <w:tc>
          <w:tcPr>
            <w:tcW w:w="477" w:type="pct"/>
            <w:vAlign w:val="center"/>
          </w:tcPr>
          <w:p w14:paraId="78007BF7">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hAnsiTheme="minorEastAsia" w:eastAsiaTheme="minorEastAsia"/>
                <w:kern w:val="0"/>
                <w:sz w:val="21"/>
                <w:szCs w:val="21"/>
                <w:highlight w:val="none"/>
              </w:rPr>
            </w:pPr>
            <w:r>
              <w:rPr>
                <w:rFonts w:hint="eastAsia" w:hAnsiTheme="minorEastAsia" w:eastAsiaTheme="minorEastAsia"/>
                <w:kern w:val="0"/>
                <w:sz w:val="21"/>
                <w:szCs w:val="21"/>
                <w:highlight w:val="none"/>
              </w:rPr>
              <w:t>25</w:t>
            </w:r>
          </w:p>
        </w:tc>
        <w:tc>
          <w:tcPr>
            <w:tcW w:w="316" w:type="pct"/>
            <w:gridSpan w:val="2"/>
            <w:vAlign w:val="center"/>
          </w:tcPr>
          <w:p w14:paraId="7C23EF4B">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hAnsiTheme="minorEastAsia" w:eastAsiaTheme="minorEastAsia"/>
                <w:kern w:val="0"/>
                <w:sz w:val="21"/>
                <w:szCs w:val="21"/>
                <w:highlight w:val="none"/>
              </w:rPr>
            </w:pPr>
            <w:r>
              <w:rPr>
                <w:rFonts w:hint="eastAsia" w:hAnsiTheme="minorEastAsia" w:eastAsiaTheme="minorEastAsia"/>
                <w:kern w:val="0"/>
                <w:sz w:val="21"/>
                <w:szCs w:val="21"/>
                <w:highlight w:val="none"/>
              </w:rPr>
              <w:t>/</w:t>
            </w:r>
          </w:p>
        </w:tc>
        <w:tc>
          <w:tcPr>
            <w:tcW w:w="404" w:type="pct"/>
            <w:vAlign w:val="center"/>
          </w:tcPr>
          <w:p w14:paraId="1C5F3723">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hAnsiTheme="minorEastAsia" w:eastAsiaTheme="minorEastAsia"/>
                <w:kern w:val="0"/>
                <w:sz w:val="21"/>
                <w:szCs w:val="21"/>
                <w:highlight w:val="none"/>
              </w:rPr>
            </w:pPr>
            <w:r>
              <w:rPr>
                <w:rFonts w:hint="eastAsia" w:hAnsiTheme="minorEastAsia" w:eastAsiaTheme="minorEastAsia"/>
                <w:kern w:val="0"/>
                <w:sz w:val="21"/>
                <w:szCs w:val="21"/>
                <w:highlight w:val="none"/>
              </w:rPr>
              <w:t>25</w:t>
            </w:r>
          </w:p>
        </w:tc>
        <w:tc>
          <w:tcPr>
            <w:tcW w:w="925" w:type="pct"/>
            <w:gridSpan w:val="2"/>
            <w:vAlign w:val="center"/>
          </w:tcPr>
          <w:p w14:paraId="2964ED9D">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contextualSpacing/>
              <w:jc w:val="center"/>
              <w:textAlignment w:val="auto"/>
              <w:rPr>
                <w:rFonts w:hint="default" w:hAnsiTheme="minorEastAsia" w:eastAsiaTheme="minorEastAsia"/>
                <w:kern w:val="0"/>
                <w:sz w:val="21"/>
                <w:szCs w:val="21"/>
                <w:highlight w:val="none"/>
              </w:rPr>
            </w:pPr>
            <w:r>
              <w:rPr>
                <w:rFonts w:hint="default" w:hAnsiTheme="minorEastAsia" w:eastAsiaTheme="minorEastAsia"/>
                <w:kern w:val="0"/>
                <w:sz w:val="21"/>
                <w:szCs w:val="21"/>
                <w:highlight w:val="none"/>
              </w:rPr>
              <w:t>定期委托有资质单位处理</w:t>
            </w:r>
          </w:p>
        </w:tc>
      </w:tr>
    </w:tbl>
    <w:p w14:paraId="3C522334">
      <w:pPr>
        <w:spacing w:line="360" w:lineRule="auto"/>
        <w:ind w:left="0" w:leftChars="0" w:firstLine="0" w:firstLineChars="0"/>
        <w:contextualSpacing/>
        <w:rPr>
          <w:rFonts w:eastAsiaTheme="minorEastAsia"/>
          <w:sz w:val="24"/>
          <w:highlight w:val="none"/>
        </w:rPr>
        <w:sectPr>
          <w:headerReference r:id="rId14" w:type="default"/>
          <w:pgSz w:w="16838" w:h="11906" w:orient="landscape"/>
          <w:pgMar w:top="1800" w:right="1440" w:bottom="1800" w:left="1440" w:header="851" w:footer="992" w:gutter="0"/>
          <w:pgBorders w:offsetFrom="page">
            <w:top w:val="none" w:sz="0" w:space="0"/>
            <w:left w:val="none" w:sz="0" w:space="0"/>
            <w:bottom w:val="none" w:sz="0" w:space="0"/>
            <w:right w:val="none" w:sz="0" w:space="0"/>
          </w:pgBorders>
          <w:cols w:space="425" w:num="1"/>
          <w:docGrid w:type="lines" w:linePitch="312" w:charSpace="0"/>
        </w:sectPr>
      </w:pPr>
    </w:p>
    <w:p w14:paraId="46D994E5">
      <w:pPr>
        <w:bidi w:val="0"/>
        <w:rPr>
          <w:rFonts w:eastAsiaTheme="minorEastAsia"/>
          <w:b/>
          <w:sz w:val="24"/>
          <w:highlight w:val="none"/>
        </w:rPr>
      </w:pPr>
      <w:r>
        <w:rPr>
          <w:rFonts w:eastAsiaTheme="minorEastAsia"/>
          <w:b/>
          <w:sz w:val="24"/>
          <w:highlight w:val="none"/>
        </w:rPr>
        <w:t>3.</w:t>
      </w:r>
      <w:r>
        <w:rPr>
          <w:rFonts w:hint="eastAsia" w:eastAsiaTheme="minorEastAsia"/>
          <w:b/>
          <w:sz w:val="24"/>
          <w:highlight w:val="none"/>
          <w:lang w:val="en-US" w:eastAsia="zh-CN"/>
        </w:rPr>
        <w:t>3</w:t>
      </w:r>
      <w:r>
        <w:rPr>
          <w:rFonts w:eastAsiaTheme="minorEastAsia"/>
          <w:b/>
          <w:sz w:val="24"/>
          <w:highlight w:val="none"/>
        </w:rPr>
        <w:t>.2.5</w:t>
      </w:r>
      <w:r>
        <w:rPr>
          <w:rFonts w:hAnsiTheme="minorEastAsia" w:eastAsiaTheme="minorEastAsia"/>
          <w:b/>
          <w:sz w:val="24"/>
          <w:highlight w:val="none"/>
        </w:rPr>
        <w:t>地下水</w:t>
      </w:r>
    </w:p>
    <w:p w14:paraId="42DF8BCF">
      <w:pPr>
        <w:bidi w:val="0"/>
        <w:rPr>
          <w:highlight w:val="none"/>
        </w:rPr>
      </w:pPr>
      <w:r>
        <w:rPr>
          <w:highlight w:val="none"/>
        </w:rPr>
        <w:fldChar w:fldCharType="begin"/>
      </w:r>
      <w:r>
        <w:rPr>
          <w:highlight w:val="none"/>
        </w:rPr>
        <w:instrText xml:space="preserve"> = 1 \* GB3 </w:instrText>
      </w:r>
      <w:r>
        <w:rPr>
          <w:highlight w:val="none"/>
        </w:rPr>
        <w:fldChar w:fldCharType="separate"/>
      </w:r>
      <w:r>
        <w:rPr>
          <w:highlight w:val="none"/>
        </w:rPr>
        <w:t>①</w:t>
      </w:r>
      <w:r>
        <w:rPr>
          <w:highlight w:val="none"/>
        </w:rPr>
        <w:fldChar w:fldCharType="end"/>
      </w:r>
      <w:r>
        <w:rPr>
          <w:highlight w:val="none"/>
        </w:rPr>
        <w:t>污染源强识别</w:t>
      </w:r>
    </w:p>
    <w:p w14:paraId="50629434">
      <w:pPr>
        <w:bidi w:val="0"/>
        <w:rPr>
          <w:highlight w:val="none"/>
        </w:rPr>
      </w:pPr>
      <w:r>
        <w:rPr>
          <w:highlight w:val="none"/>
        </w:rPr>
        <w:t>本项目</w:t>
      </w:r>
      <w:r>
        <w:rPr>
          <w:rFonts w:hint="eastAsia"/>
          <w:highlight w:val="none"/>
          <w:lang w:val="en-US" w:eastAsia="zh-CN"/>
        </w:rPr>
        <w:t>原料贮存区</w:t>
      </w:r>
      <w:r>
        <w:rPr>
          <w:rFonts w:hint="default"/>
          <w:highlight w:val="none"/>
          <w:lang w:val="en-US" w:eastAsia="zh-CN"/>
        </w:rPr>
        <w:t>、</w:t>
      </w:r>
      <w:r>
        <w:rPr>
          <w:rFonts w:hint="eastAsia"/>
          <w:highlight w:val="none"/>
          <w:lang w:val="en-US" w:eastAsia="zh-CN"/>
        </w:rPr>
        <w:t>危险废物贮存库</w:t>
      </w:r>
      <w:r>
        <w:rPr>
          <w:highlight w:val="none"/>
        </w:rPr>
        <w:t>均对地下水产生影响，</w:t>
      </w:r>
      <w:r>
        <w:rPr>
          <w:rFonts w:hint="eastAsia"/>
          <w:highlight w:val="none"/>
          <w:lang w:val="en-US" w:eastAsia="zh-CN"/>
        </w:rPr>
        <w:t>含油金属屑贮存于封闭原料贮存区中，废液、废油采用专用密闭储存桶储存</w:t>
      </w:r>
      <w:r>
        <w:rPr>
          <w:highlight w:val="none"/>
        </w:rPr>
        <w:t>，且</w:t>
      </w:r>
      <w:r>
        <w:rPr>
          <w:rFonts w:hint="eastAsia"/>
          <w:highlight w:val="none"/>
          <w:lang w:val="en-US" w:eastAsia="zh-CN"/>
        </w:rPr>
        <w:t>原料贮存区</w:t>
      </w:r>
      <w:r>
        <w:rPr>
          <w:rFonts w:hint="default"/>
          <w:highlight w:val="none"/>
          <w:lang w:val="en-US" w:eastAsia="zh-CN"/>
        </w:rPr>
        <w:t>、</w:t>
      </w:r>
      <w:r>
        <w:rPr>
          <w:rFonts w:hint="eastAsia"/>
          <w:highlight w:val="none"/>
          <w:lang w:val="en-US" w:eastAsia="zh-CN"/>
        </w:rPr>
        <w:t>危险废物贮存库均</w:t>
      </w:r>
      <w:r>
        <w:rPr>
          <w:highlight w:val="none"/>
        </w:rPr>
        <w:t>设置防渗及围堰，正常运营状态下不会发生渗漏</w:t>
      </w:r>
      <w:r>
        <w:rPr>
          <w:rFonts w:hint="eastAsia"/>
          <w:highlight w:val="none"/>
          <w:lang w:eastAsia="zh-CN"/>
        </w:rPr>
        <w:t>，</w:t>
      </w:r>
      <w:r>
        <w:rPr>
          <w:rFonts w:hAnsi="宋体"/>
          <w:highlight w:val="none"/>
        </w:rPr>
        <w:t>因此本项目的预测时段确定为</w:t>
      </w:r>
      <w:r>
        <w:rPr>
          <w:rFonts w:hint="eastAsia" w:hAnsi="宋体"/>
          <w:highlight w:val="none"/>
        </w:rPr>
        <w:t>非正常工况</w:t>
      </w:r>
      <w:r>
        <w:rPr>
          <w:rFonts w:hint="eastAsia" w:hAnsi="宋体"/>
          <w:highlight w:val="none"/>
          <w:lang w:eastAsia="zh-CN"/>
        </w:rPr>
        <w:t>，</w:t>
      </w:r>
      <w:r>
        <w:rPr>
          <w:rFonts w:hAnsi="宋体"/>
          <w:highlight w:val="none"/>
        </w:rPr>
        <w:t>当因</w:t>
      </w:r>
      <w:r>
        <w:rPr>
          <w:rFonts w:hint="eastAsia" w:hAnsi="宋体"/>
          <w:highlight w:val="none"/>
          <w:lang w:val="en-US" w:eastAsia="zh-CN"/>
        </w:rPr>
        <w:t>吨桶</w:t>
      </w:r>
      <w:r>
        <w:rPr>
          <w:rFonts w:hAnsi="宋体"/>
          <w:highlight w:val="none"/>
        </w:rPr>
        <w:t>老旧腐蚀（20年以上的设备容易发生腐蚀）状态下可能造成油品泄漏，针对</w:t>
      </w:r>
      <w:r>
        <w:rPr>
          <w:rFonts w:hint="eastAsia" w:hAnsi="宋体"/>
          <w:highlight w:val="none"/>
        </w:rPr>
        <w:t>非正常工况</w:t>
      </w:r>
      <w:r>
        <w:rPr>
          <w:rFonts w:hAnsi="宋体"/>
          <w:highlight w:val="none"/>
        </w:rPr>
        <w:t>状态下进行地下水环境影响预测</w:t>
      </w:r>
      <w:r>
        <w:rPr>
          <w:rFonts w:hint="eastAsia" w:hAnsi="宋体"/>
          <w:highlight w:val="none"/>
        </w:rPr>
        <w:t>，本项目假定因</w:t>
      </w:r>
      <w:r>
        <w:rPr>
          <w:rFonts w:hint="eastAsia" w:hAnsi="宋体"/>
          <w:highlight w:val="none"/>
          <w:lang w:val="en-US" w:eastAsia="zh-CN"/>
        </w:rPr>
        <w:t>吨桶老化</w:t>
      </w:r>
      <w:r>
        <w:rPr>
          <w:rFonts w:hint="eastAsia" w:hAnsi="宋体"/>
          <w:highlight w:val="none"/>
        </w:rPr>
        <w:t>腐蚀导致破损，</w:t>
      </w:r>
      <w:r>
        <w:rPr>
          <w:rFonts w:hint="eastAsia" w:hAnsi="宋体"/>
          <w:highlight w:val="none"/>
          <w:lang w:val="en-US" w:eastAsia="zh-CN"/>
        </w:rPr>
        <w:t>底部</w:t>
      </w:r>
      <w:r>
        <w:rPr>
          <w:rFonts w:hint="eastAsia" w:hAnsi="宋体"/>
          <w:highlight w:val="none"/>
        </w:rPr>
        <w:t>产生直径为1cm的小孔，从而导致油品泄漏</w:t>
      </w:r>
      <w:r>
        <w:rPr>
          <w:rFonts w:hint="eastAsia" w:hAnsi="宋体"/>
          <w:highlight w:val="none"/>
          <w:lang w:eastAsia="zh-CN"/>
        </w:rPr>
        <w:t>；</w:t>
      </w:r>
      <w:r>
        <w:rPr>
          <w:rFonts w:hint="eastAsia" w:hAnsi="宋体"/>
          <w:highlight w:val="none"/>
          <w:lang w:val="en-US" w:eastAsia="zh-CN"/>
        </w:rPr>
        <w:t>泄漏后10分钟可被发现并及时处理</w:t>
      </w:r>
      <w:r>
        <w:rPr>
          <w:rFonts w:hint="eastAsia"/>
          <w:highlight w:val="none"/>
          <w:lang w:val="zh-CN" w:eastAsia="zh-CN"/>
        </w:rPr>
        <w:t>。</w:t>
      </w:r>
    </w:p>
    <w:p w14:paraId="0CBD224D">
      <w:pPr>
        <w:bidi w:val="0"/>
        <w:rPr>
          <w:highlight w:val="none"/>
        </w:rPr>
      </w:pPr>
      <w:r>
        <w:rPr>
          <w:highlight w:val="none"/>
        </w:rPr>
        <w:fldChar w:fldCharType="begin"/>
      </w:r>
      <w:r>
        <w:rPr>
          <w:highlight w:val="none"/>
        </w:rPr>
        <w:instrText xml:space="preserve"> = 2 \* GB3 </w:instrText>
      </w:r>
      <w:r>
        <w:rPr>
          <w:highlight w:val="none"/>
        </w:rPr>
        <w:fldChar w:fldCharType="separate"/>
      </w:r>
      <w:r>
        <w:rPr>
          <w:highlight w:val="none"/>
        </w:rPr>
        <w:t>②</w:t>
      </w:r>
      <w:r>
        <w:rPr>
          <w:highlight w:val="none"/>
        </w:rPr>
        <w:fldChar w:fldCharType="end"/>
      </w:r>
      <w:r>
        <w:rPr>
          <w:highlight w:val="none"/>
        </w:rPr>
        <w:t>源强确定过程</w:t>
      </w:r>
    </w:p>
    <w:p w14:paraId="527D5817">
      <w:pPr>
        <w:ind w:firstLine="523" w:firstLineChars="218"/>
        <w:rPr>
          <w:rFonts w:hAnsi="宋体"/>
          <w:highlight w:val="none"/>
        </w:rPr>
      </w:pPr>
      <w:r>
        <w:rPr>
          <w:rFonts w:hint="eastAsia" w:hAnsi="宋体"/>
          <w:highlight w:val="none"/>
        </w:rPr>
        <w:t>泄漏量可根据柏努利方程可以建立液体经小孔泄漏的速度</w:t>
      </w:r>
      <w:r>
        <w:rPr>
          <w:rFonts w:hint="eastAsia" w:hAnsi="宋体"/>
          <w:highlight w:val="none"/>
          <w:lang w:eastAsia="zh-CN"/>
        </w:rPr>
        <w:t>计算公式</w:t>
      </w:r>
      <w:r>
        <w:rPr>
          <w:rFonts w:hint="eastAsia" w:hAnsi="宋体"/>
          <w:highlight w:val="none"/>
        </w:rPr>
        <w:t>：</w:t>
      </w:r>
    </w:p>
    <w:p w14:paraId="6AC763AC">
      <w:pPr>
        <w:ind w:firstLine="523" w:firstLineChars="218"/>
        <w:jc w:val="center"/>
        <w:rPr>
          <w:rFonts w:hAnsi="宋体"/>
          <w:highlight w:val="none"/>
        </w:rPr>
      </w:pPr>
      <w:r>
        <w:rPr>
          <w:rFonts w:hAnsi="宋体"/>
          <w:highlight w:val="none"/>
        </w:rPr>
        <w:drawing>
          <wp:inline distT="0" distB="0" distL="0" distR="0">
            <wp:extent cx="3248660" cy="850900"/>
            <wp:effectExtent l="0" t="0" r="8890" b="6350"/>
            <wp:docPr id="1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0"/>
                    <pic:cNvPicPr>
                      <a:picLocks noChangeAspect="1" noChangeArrowheads="1"/>
                    </pic:cNvPicPr>
                  </pic:nvPicPr>
                  <pic:blipFill>
                    <a:blip r:embed="rId38" cstate="print"/>
                    <a:srcRect/>
                    <a:stretch>
                      <a:fillRect/>
                    </a:stretch>
                  </pic:blipFill>
                  <pic:spPr>
                    <a:xfrm>
                      <a:off x="0" y="0"/>
                      <a:ext cx="3253014" cy="852040"/>
                    </a:xfrm>
                    <a:prstGeom prst="rect">
                      <a:avLst/>
                    </a:prstGeom>
                    <a:noFill/>
                    <a:ln w="9525">
                      <a:noFill/>
                      <a:miter lim="800000"/>
                      <a:headEnd/>
                      <a:tailEnd/>
                    </a:ln>
                  </pic:spPr>
                </pic:pic>
              </a:graphicData>
            </a:graphic>
          </wp:inline>
        </w:drawing>
      </w:r>
    </w:p>
    <w:p w14:paraId="57FB31A6">
      <w:pPr>
        <w:ind w:firstLine="523" w:firstLineChars="218"/>
        <w:rPr>
          <w:rFonts w:hAnsi="宋体"/>
          <w:highlight w:val="none"/>
        </w:rPr>
      </w:pPr>
      <w:r>
        <w:rPr>
          <w:rFonts w:hint="eastAsia" w:hAnsi="宋体"/>
          <w:highlight w:val="none"/>
        </w:rPr>
        <w:t>Q</w:t>
      </w:r>
      <w:r>
        <w:rPr>
          <w:rFonts w:hint="eastAsia" w:hAnsi="宋体"/>
          <w:highlight w:val="none"/>
          <w:vertAlign w:val="subscript"/>
        </w:rPr>
        <w:t>L</w:t>
      </w:r>
      <w:r>
        <w:rPr>
          <w:rFonts w:hint="eastAsia" w:hAnsi="宋体"/>
          <w:highlight w:val="none"/>
        </w:rPr>
        <w:t>—液体泄漏流量，kg/s</w:t>
      </w:r>
    </w:p>
    <w:p w14:paraId="05A19199">
      <w:pPr>
        <w:ind w:firstLine="523" w:firstLineChars="218"/>
        <w:rPr>
          <w:rFonts w:hAnsi="宋体"/>
          <w:highlight w:val="none"/>
        </w:rPr>
      </w:pPr>
      <w:r>
        <w:rPr>
          <w:rFonts w:hint="eastAsia" w:hAnsi="宋体"/>
          <w:highlight w:val="none"/>
        </w:rPr>
        <w:t>C</w:t>
      </w:r>
      <w:r>
        <w:rPr>
          <w:rFonts w:hint="eastAsia" w:hAnsi="宋体"/>
          <w:highlight w:val="none"/>
          <w:vertAlign w:val="subscript"/>
        </w:rPr>
        <w:t>d</w:t>
      </w:r>
      <w:r>
        <w:rPr>
          <w:rFonts w:hint="eastAsia" w:hAnsi="宋体"/>
          <w:highlight w:val="none"/>
        </w:rPr>
        <w:t>—排放系数，通常取0.6~0.64，本项目C</w:t>
      </w:r>
      <w:r>
        <w:rPr>
          <w:rFonts w:hint="eastAsia" w:hAnsi="宋体"/>
          <w:highlight w:val="none"/>
          <w:vertAlign w:val="subscript"/>
        </w:rPr>
        <w:t>d</w:t>
      </w:r>
      <w:r>
        <w:rPr>
          <w:rFonts w:hint="eastAsia" w:hAnsi="宋体"/>
          <w:highlight w:val="none"/>
        </w:rPr>
        <w:t>=0.62</w:t>
      </w:r>
    </w:p>
    <w:p w14:paraId="5DA89AEA">
      <w:pPr>
        <w:ind w:firstLine="523" w:firstLineChars="218"/>
        <w:rPr>
          <w:rFonts w:hAnsi="宋体"/>
          <w:highlight w:val="none"/>
        </w:rPr>
      </w:pPr>
      <w:r>
        <w:rPr>
          <w:rFonts w:hint="eastAsia" w:hAnsi="宋体"/>
          <w:highlight w:val="none"/>
        </w:rPr>
        <w:t>A—泄漏口面积，m</w:t>
      </w:r>
      <w:r>
        <w:rPr>
          <w:rFonts w:hint="eastAsia" w:hAnsi="宋体"/>
          <w:highlight w:val="none"/>
          <w:vertAlign w:val="superscript"/>
        </w:rPr>
        <w:t>2</w:t>
      </w:r>
      <w:r>
        <w:rPr>
          <w:rFonts w:hint="eastAsia" w:hAnsi="宋体"/>
          <w:highlight w:val="none"/>
        </w:rPr>
        <w:t>，本项目A=0.0000785</w:t>
      </w:r>
    </w:p>
    <w:p w14:paraId="31B32979">
      <w:pPr>
        <w:ind w:firstLine="523" w:firstLineChars="218"/>
        <w:rPr>
          <w:rFonts w:hAnsi="宋体"/>
          <w:highlight w:val="none"/>
        </w:rPr>
      </w:pPr>
      <w:r>
        <w:rPr>
          <w:rFonts w:hint="default" w:ascii="Times New Roman" w:hAnsi="Times New Roman" w:cs="Times New Roman"/>
          <w:highlight w:val="none"/>
        </w:rPr>
        <w:t>ρ—泄漏液体密度，kg/m</w:t>
      </w:r>
      <w:r>
        <w:rPr>
          <w:rFonts w:hint="default" w:ascii="Times New Roman" w:hAnsi="Times New Roman" w:cs="Times New Roman"/>
          <w:highlight w:val="none"/>
          <w:vertAlign w:val="superscript"/>
        </w:rPr>
        <w:t>3</w:t>
      </w:r>
      <w:r>
        <w:rPr>
          <w:rFonts w:hint="default" w:ascii="Times New Roman" w:hAnsi="Times New Roman" w:cs="Times New Roman"/>
          <w:highlight w:val="none"/>
        </w:rPr>
        <w:t>，本项目ρ=</w:t>
      </w:r>
      <w:r>
        <w:rPr>
          <w:rFonts w:hint="default" w:ascii="Times New Roman" w:hAnsi="Times New Roman" w:cs="Times New Roman"/>
          <w:highlight w:val="none"/>
          <w:lang w:val="en-US" w:eastAsia="zh-CN"/>
        </w:rPr>
        <w:t>8</w:t>
      </w:r>
      <w:r>
        <w:rPr>
          <w:rFonts w:hint="eastAsia" w:hAnsi="宋体"/>
          <w:highlight w:val="none"/>
          <w:lang w:val="en-US" w:eastAsia="zh-CN"/>
        </w:rPr>
        <w:t>70</w:t>
      </w:r>
      <w:r>
        <w:rPr>
          <w:rFonts w:hint="eastAsia" w:hAnsi="宋体"/>
          <w:highlight w:val="none"/>
        </w:rPr>
        <w:t>kg/m</w:t>
      </w:r>
      <w:r>
        <w:rPr>
          <w:rFonts w:hint="eastAsia" w:hAnsi="宋体"/>
          <w:highlight w:val="none"/>
          <w:vertAlign w:val="superscript"/>
        </w:rPr>
        <w:t>3</w:t>
      </w:r>
    </w:p>
    <w:p w14:paraId="3FBF58B1">
      <w:pPr>
        <w:ind w:firstLine="523" w:firstLineChars="218"/>
        <w:rPr>
          <w:rFonts w:hAnsi="宋体"/>
          <w:highlight w:val="none"/>
        </w:rPr>
      </w:pPr>
      <w:r>
        <w:rPr>
          <w:rFonts w:hint="eastAsia" w:hAnsi="宋体"/>
          <w:highlight w:val="none"/>
        </w:rPr>
        <w:t>P—容器内介质压力，Pa，本项目P=101.3×10</w:t>
      </w:r>
      <w:r>
        <w:rPr>
          <w:rFonts w:hint="eastAsia" w:hAnsi="宋体"/>
          <w:highlight w:val="none"/>
          <w:vertAlign w:val="superscript"/>
        </w:rPr>
        <w:t>3</w:t>
      </w:r>
      <w:r>
        <w:rPr>
          <w:rFonts w:hint="eastAsia" w:hAnsi="宋体"/>
          <w:highlight w:val="none"/>
        </w:rPr>
        <w:t>+</w:t>
      </w:r>
      <w:r>
        <w:rPr>
          <w:rFonts w:hint="eastAsia" w:hAnsi="宋体"/>
          <w:highlight w:val="none"/>
          <w:lang w:val="en-US" w:eastAsia="zh-CN"/>
        </w:rPr>
        <w:t>87</w:t>
      </w:r>
      <w:r>
        <w:rPr>
          <w:rFonts w:hint="eastAsia" w:hAnsi="宋体"/>
          <w:highlight w:val="none"/>
        </w:rPr>
        <w:t>0×9.8×2.08=</w:t>
      </w:r>
      <w:r>
        <w:rPr>
          <w:rFonts w:hint="eastAsia" w:hAnsi="宋体"/>
          <w:spacing w:val="-20"/>
          <w:highlight w:val="none"/>
        </w:rPr>
        <w:t>11</w:t>
      </w:r>
      <w:r>
        <w:rPr>
          <w:rFonts w:hint="eastAsia" w:hAnsi="宋体"/>
          <w:spacing w:val="-20"/>
          <w:highlight w:val="none"/>
          <w:lang w:val="en-US" w:eastAsia="zh-CN"/>
        </w:rPr>
        <w:t>9.0</w:t>
      </w:r>
      <w:r>
        <w:rPr>
          <w:rFonts w:hint="eastAsia" w:hAnsi="宋体"/>
          <w:spacing w:val="-20"/>
          <w:highlight w:val="none"/>
        </w:rPr>
        <w:t>×10</w:t>
      </w:r>
      <w:r>
        <w:rPr>
          <w:rFonts w:hint="eastAsia" w:hAnsi="宋体"/>
          <w:spacing w:val="-20"/>
          <w:highlight w:val="none"/>
          <w:vertAlign w:val="superscript"/>
        </w:rPr>
        <w:t>3</w:t>
      </w:r>
    </w:p>
    <w:p w14:paraId="53AF0153">
      <w:pPr>
        <w:ind w:firstLine="523" w:firstLineChars="218"/>
        <w:rPr>
          <w:rFonts w:hAnsi="宋体"/>
          <w:highlight w:val="none"/>
        </w:rPr>
      </w:pPr>
      <w:r>
        <w:rPr>
          <w:rFonts w:hint="eastAsia" w:hAnsi="宋体"/>
          <w:highlight w:val="none"/>
        </w:rPr>
        <w:t>P</w:t>
      </w:r>
      <w:r>
        <w:rPr>
          <w:rFonts w:hint="eastAsia" w:hAnsi="宋体"/>
          <w:highlight w:val="none"/>
          <w:vertAlign w:val="subscript"/>
        </w:rPr>
        <w:t>0</w:t>
      </w:r>
      <w:r>
        <w:rPr>
          <w:rFonts w:hint="eastAsia" w:hAnsi="宋体"/>
          <w:highlight w:val="none"/>
        </w:rPr>
        <w:t>—环境压力，Pa，本项目P</w:t>
      </w:r>
      <w:r>
        <w:rPr>
          <w:rFonts w:hint="eastAsia" w:hAnsi="宋体"/>
          <w:highlight w:val="none"/>
          <w:vertAlign w:val="subscript"/>
        </w:rPr>
        <w:t>0=</w:t>
      </w:r>
      <w:r>
        <w:rPr>
          <w:rFonts w:hint="eastAsia" w:hAnsi="宋体"/>
          <w:highlight w:val="none"/>
        </w:rPr>
        <w:t>101.3×10</w:t>
      </w:r>
      <w:r>
        <w:rPr>
          <w:rFonts w:hint="eastAsia" w:hAnsi="宋体"/>
          <w:highlight w:val="none"/>
          <w:vertAlign w:val="superscript"/>
        </w:rPr>
        <w:t>3</w:t>
      </w:r>
    </w:p>
    <w:p w14:paraId="7BAB6C80">
      <w:pPr>
        <w:ind w:firstLine="523" w:firstLineChars="218"/>
        <w:rPr>
          <w:rFonts w:hAnsi="宋体"/>
          <w:highlight w:val="none"/>
        </w:rPr>
      </w:pPr>
      <w:r>
        <w:rPr>
          <w:rFonts w:hint="eastAsia" w:hAnsi="宋体"/>
          <w:highlight w:val="none"/>
        </w:rPr>
        <w:t>g—重力加速度，本项目g=9.8m/s</w:t>
      </w:r>
      <w:r>
        <w:rPr>
          <w:rFonts w:hint="eastAsia" w:hAnsi="宋体"/>
          <w:highlight w:val="none"/>
          <w:vertAlign w:val="superscript"/>
        </w:rPr>
        <w:t>2</w:t>
      </w:r>
    </w:p>
    <w:p w14:paraId="49D91A8F">
      <w:pPr>
        <w:ind w:firstLine="523" w:firstLineChars="218"/>
        <w:rPr>
          <w:rFonts w:hAnsi="宋体"/>
          <w:highlight w:val="none"/>
        </w:rPr>
      </w:pPr>
      <w:r>
        <w:rPr>
          <w:rFonts w:hint="eastAsia" w:hAnsi="宋体"/>
          <w:highlight w:val="none"/>
        </w:rPr>
        <w:t>h—泄漏口上液位高度，m，本项目h=</w:t>
      </w:r>
      <w:r>
        <w:rPr>
          <w:rFonts w:hint="eastAsia" w:hAnsi="宋体"/>
          <w:highlight w:val="none"/>
          <w:lang w:val="en-US" w:eastAsia="zh-CN"/>
        </w:rPr>
        <w:t>0.8</w:t>
      </w:r>
      <w:r>
        <w:rPr>
          <w:rFonts w:hint="eastAsia" w:hAnsi="宋体"/>
          <w:highlight w:val="none"/>
        </w:rPr>
        <w:t>m（按</w:t>
      </w:r>
      <w:r>
        <w:rPr>
          <w:rFonts w:hint="eastAsia" w:hAnsi="宋体"/>
          <w:highlight w:val="none"/>
          <w:lang w:val="en-US" w:eastAsia="zh-CN"/>
        </w:rPr>
        <w:t>吨桶</w:t>
      </w:r>
      <w:r>
        <w:rPr>
          <w:rFonts w:hint="eastAsia" w:hAnsi="宋体"/>
          <w:highlight w:val="none"/>
        </w:rPr>
        <w:t>充装度80%）</w:t>
      </w:r>
    </w:p>
    <w:p w14:paraId="33DAE1A4">
      <w:pPr>
        <w:bidi w:val="0"/>
        <w:rPr>
          <w:rFonts w:hint="eastAsia" w:hAnsi="宋体" w:eastAsia="宋体"/>
          <w:highlight w:val="none"/>
          <w:lang w:eastAsia="zh-CN"/>
        </w:rPr>
      </w:pPr>
      <w:r>
        <w:rPr>
          <w:rFonts w:hAnsi="宋体"/>
          <w:highlight w:val="none"/>
        </w:rPr>
        <w:t>假定</w:t>
      </w:r>
      <w:r>
        <w:rPr>
          <w:rFonts w:hint="eastAsia" w:hAnsi="宋体"/>
          <w:highlight w:val="none"/>
        </w:rPr>
        <w:t>1个</w:t>
      </w:r>
      <w:r>
        <w:rPr>
          <w:rFonts w:hint="eastAsia" w:hAnsi="宋体"/>
          <w:highlight w:val="none"/>
          <w:lang w:val="en-US" w:eastAsia="zh-CN"/>
        </w:rPr>
        <w:t>吨桶</w:t>
      </w:r>
      <w:r>
        <w:rPr>
          <w:rFonts w:hAnsi="宋体"/>
          <w:highlight w:val="none"/>
        </w:rPr>
        <w:t>发生泄漏</w:t>
      </w:r>
      <w:r>
        <w:rPr>
          <w:rFonts w:hint="eastAsia" w:hAnsi="宋体"/>
          <w:highlight w:val="none"/>
        </w:rPr>
        <w:t>，泄漏时间为1</w:t>
      </w:r>
      <w:r>
        <w:rPr>
          <w:rFonts w:hint="eastAsia" w:hAnsi="宋体"/>
          <w:highlight w:val="none"/>
          <w:lang w:val="en-US" w:eastAsia="zh-CN"/>
        </w:rPr>
        <w:t>0</w:t>
      </w:r>
      <w:r>
        <w:rPr>
          <w:rFonts w:hint="eastAsia" w:hAnsi="宋体"/>
          <w:highlight w:val="none"/>
        </w:rPr>
        <w:t>min，泄漏量为</w:t>
      </w:r>
      <w:r>
        <w:rPr>
          <w:rFonts w:hint="eastAsia"/>
          <w:highlight w:val="none"/>
          <w:lang w:val="en-US" w:eastAsia="zh-CN"/>
        </w:rPr>
        <w:t>185</w:t>
      </w:r>
      <w:r>
        <w:rPr>
          <w:rFonts w:hint="eastAsia" w:hAnsi="宋体"/>
          <w:highlight w:val="none"/>
        </w:rPr>
        <w:t>kg</w:t>
      </w:r>
      <w:bookmarkStart w:id="288" w:name="_Toc74066093"/>
      <w:r>
        <w:rPr>
          <w:rFonts w:hint="eastAsia" w:hAnsi="宋体"/>
          <w:highlight w:val="none"/>
          <w:lang w:eastAsia="zh-CN"/>
        </w:rPr>
        <w:t>。</w:t>
      </w:r>
    </w:p>
    <w:p w14:paraId="760FC043">
      <w:pPr>
        <w:bidi w:val="0"/>
        <w:rPr>
          <w:rFonts w:eastAsiaTheme="minorEastAsia"/>
          <w:b/>
          <w:sz w:val="24"/>
          <w:highlight w:val="none"/>
        </w:rPr>
      </w:pPr>
      <w:r>
        <w:rPr>
          <w:rFonts w:eastAsiaTheme="minorEastAsia"/>
          <w:b/>
          <w:sz w:val="24"/>
          <w:highlight w:val="none"/>
        </w:rPr>
        <w:t>3.</w:t>
      </w:r>
      <w:r>
        <w:rPr>
          <w:rFonts w:hint="eastAsia" w:eastAsiaTheme="minorEastAsia"/>
          <w:b/>
          <w:sz w:val="24"/>
          <w:highlight w:val="none"/>
          <w:lang w:val="en-US" w:eastAsia="zh-CN"/>
        </w:rPr>
        <w:t>3</w:t>
      </w:r>
      <w:r>
        <w:rPr>
          <w:rFonts w:eastAsiaTheme="minorEastAsia"/>
          <w:b/>
          <w:sz w:val="24"/>
          <w:highlight w:val="none"/>
        </w:rPr>
        <w:t>.2.</w:t>
      </w:r>
      <w:r>
        <w:rPr>
          <w:rFonts w:hint="eastAsia" w:eastAsiaTheme="minorEastAsia"/>
          <w:b/>
          <w:sz w:val="24"/>
          <w:highlight w:val="none"/>
        </w:rPr>
        <w:t>6</w:t>
      </w:r>
      <w:r>
        <w:rPr>
          <w:rFonts w:hint="eastAsia" w:hAnsiTheme="minorEastAsia" w:eastAsiaTheme="minorEastAsia"/>
          <w:b/>
          <w:sz w:val="24"/>
          <w:highlight w:val="none"/>
        </w:rPr>
        <w:t>风险</w:t>
      </w:r>
    </w:p>
    <w:p w14:paraId="67DF2635">
      <w:pPr>
        <w:bidi w:val="0"/>
        <w:rPr>
          <w:rFonts w:hint="default"/>
          <w:highlight w:val="none"/>
        </w:rPr>
      </w:pPr>
      <w:r>
        <w:rPr>
          <w:rFonts w:hint="default"/>
          <w:highlight w:val="none"/>
        </w:rPr>
        <w:t>1、风险物质识别</w:t>
      </w:r>
    </w:p>
    <w:p w14:paraId="45316870">
      <w:pPr>
        <w:bidi w:val="0"/>
        <w:rPr>
          <w:rFonts w:hint="default"/>
          <w:highlight w:val="none"/>
        </w:rPr>
      </w:pPr>
      <w:r>
        <w:rPr>
          <w:rFonts w:hint="default"/>
          <w:highlight w:val="none"/>
        </w:rPr>
        <w:t>按照《建设项目环境风险评价技术导则》（HJ169-2018）附录B，本次评价识别出的危险物质包括废矿物油，其主要理化性质及危险特性介绍如下：</w:t>
      </w:r>
    </w:p>
    <w:p w14:paraId="41E6A04B">
      <w:pPr>
        <w:pStyle w:val="7"/>
        <w:bidi w:val="0"/>
        <w:rPr>
          <w:rFonts w:hint="default"/>
          <w:highlight w:val="none"/>
        </w:rPr>
      </w:pPr>
    </w:p>
    <w:p w14:paraId="7105BFA5">
      <w:pPr>
        <w:pStyle w:val="7"/>
        <w:bidi w:val="0"/>
        <w:rPr>
          <w:rFonts w:hint="default"/>
          <w:highlight w:val="none"/>
        </w:rPr>
      </w:pPr>
    </w:p>
    <w:p w14:paraId="715427A6">
      <w:pPr>
        <w:pStyle w:val="7"/>
        <w:bidi w:val="0"/>
        <w:rPr>
          <w:rFonts w:hint="default"/>
          <w:highlight w:val="none"/>
        </w:rPr>
      </w:pPr>
    </w:p>
    <w:p w14:paraId="78B99817">
      <w:pPr>
        <w:pStyle w:val="7"/>
        <w:bidi w:val="0"/>
        <w:rPr>
          <w:rFonts w:hint="default"/>
          <w:highlight w:val="none"/>
        </w:rPr>
      </w:pPr>
      <w:r>
        <w:rPr>
          <w:rFonts w:hint="default"/>
          <w:highlight w:val="none"/>
        </w:rPr>
        <w:t>表3-</w:t>
      </w:r>
      <w:r>
        <w:rPr>
          <w:rFonts w:hint="eastAsia"/>
          <w:highlight w:val="none"/>
          <w:lang w:val="en-US" w:eastAsia="zh-CN"/>
        </w:rPr>
        <w:t>3</w:t>
      </w:r>
      <w:r>
        <w:rPr>
          <w:rFonts w:hint="default"/>
          <w:highlight w:val="none"/>
        </w:rPr>
        <w:t>-</w:t>
      </w:r>
      <w:r>
        <w:rPr>
          <w:rFonts w:hint="eastAsia"/>
          <w:highlight w:val="none"/>
          <w:lang w:val="en-US" w:eastAsia="zh-CN"/>
        </w:rPr>
        <w:t>7</w:t>
      </w:r>
      <w:r>
        <w:rPr>
          <w:rFonts w:hint="default"/>
          <w:highlight w:val="none"/>
        </w:rPr>
        <w:tab/>
      </w:r>
      <w:r>
        <w:rPr>
          <w:rFonts w:hint="default"/>
          <w:highlight w:val="none"/>
        </w:rPr>
        <w:t>废矿物油主要理化性质及危险特性一览表</w:t>
      </w:r>
    </w:p>
    <w:tbl>
      <w:tblPr>
        <w:tblStyle w:val="739"/>
        <w:tblW w:w="5000" w:type="pct"/>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054"/>
        <w:gridCol w:w="1652"/>
        <w:gridCol w:w="5600"/>
      </w:tblGrid>
      <w:tr w14:paraId="7D270C7D">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4" w:hRule="atLeast"/>
          <w:jc w:val="center"/>
        </w:trPr>
        <w:tc>
          <w:tcPr>
            <w:tcW w:w="1080" w:type="dxa"/>
            <w:tcBorders>
              <w:top w:val="single" w:color="000000" w:sz="12" w:space="0"/>
              <w:left w:val="nil"/>
              <w:bottom w:val="single" w:color="000000" w:sz="4" w:space="0"/>
              <w:right w:val="single" w:color="000000" w:sz="4" w:space="0"/>
            </w:tcBorders>
            <w:shd w:val="clear" w:color="auto" w:fill="auto"/>
            <w:vAlign w:val="center"/>
          </w:tcPr>
          <w:p w14:paraId="3C15F5D6">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项目</w:t>
            </w:r>
          </w:p>
        </w:tc>
        <w:tc>
          <w:tcPr>
            <w:tcW w:w="1693" w:type="dxa"/>
            <w:tcBorders>
              <w:top w:val="single" w:color="000000" w:sz="12" w:space="0"/>
              <w:left w:val="single" w:color="000000" w:sz="4" w:space="0"/>
              <w:bottom w:val="single" w:color="000000" w:sz="4" w:space="0"/>
              <w:right w:val="single" w:color="000000" w:sz="4" w:space="0"/>
            </w:tcBorders>
            <w:shd w:val="clear" w:color="auto" w:fill="auto"/>
            <w:vAlign w:val="center"/>
          </w:tcPr>
          <w:p w14:paraId="19894D40">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CAS号</w:t>
            </w:r>
          </w:p>
        </w:tc>
        <w:tc>
          <w:tcPr>
            <w:tcW w:w="5740" w:type="dxa"/>
            <w:tcBorders>
              <w:top w:val="single" w:color="000000" w:sz="12" w:space="0"/>
              <w:left w:val="single" w:color="000000" w:sz="4" w:space="0"/>
              <w:bottom w:val="single" w:color="000000" w:sz="4" w:space="0"/>
              <w:right w:val="nil"/>
            </w:tcBorders>
            <w:shd w:val="clear" w:color="auto" w:fill="auto"/>
            <w:vAlign w:val="center"/>
          </w:tcPr>
          <w:p w14:paraId="7FCE8A2A">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8042-47-5</w:t>
            </w:r>
          </w:p>
        </w:tc>
      </w:tr>
      <w:tr w14:paraId="4362FA48">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2" w:hRule="atLeast"/>
          <w:jc w:val="center"/>
        </w:trPr>
        <w:tc>
          <w:tcPr>
            <w:tcW w:w="1080" w:type="dxa"/>
            <w:vMerge w:val="restart"/>
            <w:tcBorders>
              <w:top w:val="single" w:color="000000" w:sz="4" w:space="0"/>
              <w:left w:val="nil"/>
              <w:bottom w:val="single" w:color="000000" w:sz="4" w:space="0"/>
              <w:right w:val="single" w:color="000000" w:sz="4" w:space="0"/>
            </w:tcBorders>
            <w:shd w:val="clear" w:color="auto" w:fill="auto"/>
            <w:vAlign w:val="center"/>
          </w:tcPr>
          <w:p w14:paraId="224C5EAF">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理化性质</w:t>
            </w:r>
          </w:p>
        </w:tc>
        <w:tc>
          <w:tcPr>
            <w:tcW w:w="16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FCBF48">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外观及性状</w:t>
            </w:r>
          </w:p>
        </w:tc>
        <w:tc>
          <w:tcPr>
            <w:tcW w:w="5740" w:type="dxa"/>
            <w:tcBorders>
              <w:top w:val="single" w:color="000000" w:sz="4" w:space="0"/>
              <w:left w:val="single" w:color="000000" w:sz="4" w:space="0"/>
              <w:bottom w:val="single" w:color="000000" w:sz="4" w:space="0"/>
              <w:right w:val="nil"/>
            </w:tcBorders>
            <w:shd w:val="clear" w:color="auto" w:fill="auto"/>
            <w:vAlign w:val="center"/>
          </w:tcPr>
          <w:p w14:paraId="5C84A284">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纯品为无色透明油状，无臭</w:t>
            </w:r>
          </w:p>
        </w:tc>
      </w:tr>
      <w:tr w14:paraId="7D35BACD">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4" w:hRule="atLeast"/>
          <w:jc w:val="center"/>
        </w:trPr>
        <w:tc>
          <w:tcPr>
            <w:tcW w:w="1080" w:type="dxa"/>
            <w:vMerge w:val="continue"/>
            <w:tcBorders>
              <w:top w:val="single" w:color="000000" w:sz="4" w:space="0"/>
              <w:left w:val="nil"/>
              <w:bottom w:val="single" w:color="000000" w:sz="4" w:space="0"/>
              <w:right w:val="single" w:color="000000" w:sz="4" w:space="0"/>
            </w:tcBorders>
            <w:shd w:val="clear" w:color="auto" w:fill="auto"/>
            <w:vAlign w:val="center"/>
          </w:tcPr>
          <w:p w14:paraId="3922EB20">
            <w:pPr>
              <w:pStyle w:val="8"/>
              <w:suppressLineNumbers w:val="0"/>
              <w:bidi w:val="0"/>
              <w:spacing w:before="0" w:beforeAutospacing="0" w:after="0" w:afterAutospacing="0"/>
              <w:ind w:left="0" w:right="0"/>
              <w:rPr>
                <w:rFonts w:hint="default"/>
                <w:snapToGrid w:val="0"/>
                <w:highlight w:val="none"/>
              </w:rPr>
            </w:pPr>
          </w:p>
        </w:tc>
        <w:tc>
          <w:tcPr>
            <w:tcW w:w="16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948EA9">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主要用途</w:t>
            </w:r>
          </w:p>
        </w:tc>
        <w:tc>
          <w:tcPr>
            <w:tcW w:w="5740" w:type="dxa"/>
            <w:tcBorders>
              <w:top w:val="single" w:color="000000" w:sz="4" w:space="0"/>
              <w:left w:val="single" w:color="000000" w:sz="4" w:space="0"/>
              <w:bottom w:val="single" w:color="000000" w:sz="4" w:space="0"/>
              <w:right w:val="nil"/>
            </w:tcBorders>
            <w:shd w:val="clear" w:color="auto" w:fill="auto"/>
            <w:vAlign w:val="center"/>
          </w:tcPr>
          <w:p w14:paraId="4E04B183">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用于润滑油、燃料油提炼等工业原料</w:t>
            </w:r>
          </w:p>
        </w:tc>
      </w:tr>
      <w:tr w14:paraId="50FE72B6">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2" w:hRule="atLeast"/>
          <w:jc w:val="center"/>
        </w:trPr>
        <w:tc>
          <w:tcPr>
            <w:tcW w:w="1080" w:type="dxa"/>
            <w:vMerge w:val="continue"/>
            <w:tcBorders>
              <w:top w:val="single" w:color="000000" w:sz="4" w:space="0"/>
              <w:left w:val="nil"/>
              <w:bottom w:val="single" w:color="000000" w:sz="4" w:space="0"/>
              <w:right w:val="single" w:color="000000" w:sz="4" w:space="0"/>
            </w:tcBorders>
            <w:shd w:val="clear" w:color="auto" w:fill="auto"/>
            <w:vAlign w:val="center"/>
          </w:tcPr>
          <w:p w14:paraId="402C0DAA">
            <w:pPr>
              <w:pStyle w:val="8"/>
              <w:suppressLineNumbers w:val="0"/>
              <w:bidi w:val="0"/>
              <w:spacing w:before="0" w:beforeAutospacing="0" w:after="0" w:afterAutospacing="0"/>
              <w:ind w:left="0" w:right="0"/>
              <w:rPr>
                <w:rFonts w:hint="default"/>
                <w:snapToGrid w:val="0"/>
                <w:highlight w:val="none"/>
              </w:rPr>
            </w:pPr>
          </w:p>
        </w:tc>
        <w:tc>
          <w:tcPr>
            <w:tcW w:w="16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31EC6C">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分子式</w:t>
            </w:r>
          </w:p>
        </w:tc>
        <w:tc>
          <w:tcPr>
            <w:tcW w:w="5740" w:type="dxa"/>
            <w:tcBorders>
              <w:top w:val="single" w:color="000000" w:sz="4" w:space="0"/>
              <w:left w:val="single" w:color="000000" w:sz="4" w:space="0"/>
              <w:bottom w:val="single" w:color="000000" w:sz="4" w:space="0"/>
              <w:right w:val="nil"/>
            </w:tcBorders>
            <w:shd w:val="clear" w:color="auto" w:fill="auto"/>
            <w:vAlign w:val="center"/>
          </w:tcPr>
          <w:p w14:paraId="622EAF94">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N/A</w:t>
            </w:r>
          </w:p>
        </w:tc>
      </w:tr>
      <w:tr w14:paraId="73634272">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2" w:hRule="atLeast"/>
          <w:jc w:val="center"/>
        </w:trPr>
        <w:tc>
          <w:tcPr>
            <w:tcW w:w="1080" w:type="dxa"/>
            <w:vMerge w:val="continue"/>
            <w:tcBorders>
              <w:top w:val="single" w:color="000000" w:sz="4" w:space="0"/>
              <w:left w:val="nil"/>
              <w:bottom w:val="single" w:color="000000" w:sz="4" w:space="0"/>
              <w:right w:val="single" w:color="000000" w:sz="4" w:space="0"/>
            </w:tcBorders>
            <w:shd w:val="clear" w:color="auto" w:fill="auto"/>
            <w:vAlign w:val="center"/>
          </w:tcPr>
          <w:p w14:paraId="441A0513">
            <w:pPr>
              <w:pStyle w:val="8"/>
              <w:suppressLineNumbers w:val="0"/>
              <w:bidi w:val="0"/>
              <w:spacing w:before="0" w:beforeAutospacing="0" w:after="0" w:afterAutospacing="0"/>
              <w:ind w:left="0" w:right="0"/>
              <w:rPr>
                <w:rFonts w:hint="default"/>
                <w:snapToGrid w:val="0"/>
                <w:highlight w:val="none"/>
                <w:lang w:eastAsia="en-US"/>
              </w:rPr>
            </w:pPr>
          </w:p>
        </w:tc>
        <w:tc>
          <w:tcPr>
            <w:tcW w:w="16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FF0475">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熔点/沸点（℃）</w:t>
            </w:r>
          </w:p>
        </w:tc>
        <w:tc>
          <w:tcPr>
            <w:tcW w:w="5740" w:type="dxa"/>
            <w:tcBorders>
              <w:top w:val="single" w:color="000000" w:sz="4" w:space="0"/>
              <w:left w:val="single" w:color="000000" w:sz="4" w:space="0"/>
              <w:bottom w:val="single" w:color="000000" w:sz="4" w:space="0"/>
              <w:right w:val="nil"/>
            </w:tcBorders>
            <w:shd w:val="clear" w:color="auto" w:fill="auto"/>
            <w:vAlign w:val="center"/>
          </w:tcPr>
          <w:p w14:paraId="1F38FF86">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272/430.0</w:t>
            </w:r>
          </w:p>
        </w:tc>
      </w:tr>
      <w:tr w14:paraId="37FB707B">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4" w:hRule="atLeast"/>
          <w:jc w:val="center"/>
        </w:trPr>
        <w:tc>
          <w:tcPr>
            <w:tcW w:w="1080" w:type="dxa"/>
            <w:vMerge w:val="continue"/>
            <w:tcBorders>
              <w:top w:val="single" w:color="000000" w:sz="4" w:space="0"/>
              <w:left w:val="nil"/>
              <w:bottom w:val="single" w:color="000000" w:sz="4" w:space="0"/>
              <w:right w:val="single" w:color="000000" w:sz="4" w:space="0"/>
            </w:tcBorders>
            <w:shd w:val="clear" w:color="auto" w:fill="auto"/>
            <w:vAlign w:val="center"/>
          </w:tcPr>
          <w:p w14:paraId="43974376">
            <w:pPr>
              <w:pStyle w:val="8"/>
              <w:suppressLineNumbers w:val="0"/>
              <w:bidi w:val="0"/>
              <w:spacing w:before="0" w:beforeAutospacing="0" w:after="0" w:afterAutospacing="0"/>
              <w:ind w:left="0" w:right="0"/>
              <w:rPr>
                <w:rFonts w:hint="default"/>
                <w:snapToGrid w:val="0"/>
                <w:highlight w:val="none"/>
                <w:lang w:eastAsia="en-US"/>
              </w:rPr>
            </w:pPr>
          </w:p>
        </w:tc>
        <w:tc>
          <w:tcPr>
            <w:tcW w:w="16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957A59">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密度</w:t>
            </w:r>
          </w:p>
        </w:tc>
        <w:tc>
          <w:tcPr>
            <w:tcW w:w="5740" w:type="dxa"/>
            <w:tcBorders>
              <w:top w:val="single" w:color="000000" w:sz="4" w:space="0"/>
              <w:left w:val="single" w:color="000000" w:sz="4" w:space="0"/>
              <w:bottom w:val="single" w:color="000000" w:sz="4" w:space="0"/>
              <w:right w:val="nil"/>
            </w:tcBorders>
            <w:shd w:val="clear" w:color="auto" w:fill="auto"/>
            <w:vAlign w:val="center"/>
          </w:tcPr>
          <w:p w14:paraId="750B578B">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（水=1）：0.87</w:t>
            </w:r>
          </w:p>
        </w:tc>
      </w:tr>
      <w:tr w14:paraId="08E19699">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2" w:hRule="atLeast"/>
          <w:jc w:val="center"/>
        </w:trPr>
        <w:tc>
          <w:tcPr>
            <w:tcW w:w="1080" w:type="dxa"/>
            <w:vMerge w:val="continue"/>
            <w:tcBorders>
              <w:top w:val="single" w:color="000000" w:sz="4" w:space="0"/>
              <w:left w:val="nil"/>
              <w:bottom w:val="single" w:color="000000" w:sz="4" w:space="0"/>
              <w:right w:val="single" w:color="000000" w:sz="4" w:space="0"/>
            </w:tcBorders>
            <w:shd w:val="clear" w:color="auto" w:fill="auto"/>
            <w:vAlign w:val="center"/>
          </w:tcPr>
          <w:p w14:paraId="766CEB0D">
            <w:pPr>
              <w:pStyle w:val="8"/>
              <w:suppressLineNumbers w:val="0"/>
              <w:bidi w:val="0"/>
              <w:spacing w:before="0" w:beforeAutospacing="0" w:after="0" w:afterAutospacing="0"/>
              <w:ind w:left="0" w:right="0"/>
              <w:rPr>
                <w:rFonts w:hint="default"/>
                <w:snapToGrid w:val="0"/>
                <w:highlight w:val="none"/>
                <w:lang w:eastAsia="en-US"/>
              </w:rPr>
            </w:pPr>
          </w:p>
        </w:tc>
        <w:tc>
          <w:tcPr>
            <w:tcW w:w="16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D6DF46">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溶解性</w:t>
            </w:r>
          </w:p>
        </w:tc>
        <w:tc>
          <w:tcPr>
            <w:tcW w:w="5740" w:type="dxa"/>
            <w:tcBorders>
              <w:top w:val="single" w:color="000000" w:sz="4" w:space="0"/>
              <w:left w:val="single" w:color="000000" w:sz="4" w:space="0"/>
              <w:bottom w:val="single" w:color="000000" w:sz="4" w:space="0"/>
              <w:right w:val="nil"/>
            </w:tcBorders>
            <w:shd w:val="clear" w:color="auto" w:fill="auto"/>
            <w:vAlign w:val="center"/>
          </w:tcPr>
          <w:p w14:paraId="3161F751">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不溶于水</w:t>
            </w:r>
          </w:p>
        </w:tc>
      </w:tr>
      <w:tr w14:paraId="74CCBF48">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5" w:hRule="atLeast"/>
          <w:jc w:val="center"/>
        </w:trPr>
        <w:tc>
          <w:tcPr>
            <w:tcW w:w="1080" w:type="dxa"/>
            <w:vMerge w:val="restart"/>
            <w:tcBorders>
              <w:top w:val="single" w:color="000000" w:sz="4" w:space="0"/>
              <w:left w:val="nil"/>
              <w:bottom w:val="single" w:color="000000" w:sz="4" w:space="0"/>
              <w:right w:val="single" w:color="000000" w:sz="4" w:space="0"/>
            </w:tcBorders>
            <w:shd w:val="clear" w:color="auto" w:fill="auto"/>
            <w:vAlign w:val="center"/>
          </w:tcPr>
          <w:p w14:paraId="68B8B99D">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燃烧爆炸危险性</w:t>
            </w:r>
          </w:p>
        </w:tc>
        <w:tc>
          <w:tcPr>
            <w:tcW w:w="16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75342E">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燃烧性</w:t>
            </w:r>
          </w:p>
        </w:tc>
        <w:tc>
          <w:tcPr>
            <w:tcW w:w="5740" w:type="dxa"/>
            <w:tcBorders>
              <w:top w:val="single" w:color="000000" w:sz="4" w:space="0"/>
              <w:left w:val="single" w:color="000000" w:sz="4" w:space="0"/>
              <w:bottom w:val="single" w:color="000000" w:sz="4" w:space="0"/>
              <w:right w:val="nil"/>
            </w:tcBorders>
            <w:shd w:val="clear" w:color="auto" w:fill="auto"/>
            <w:vAlign w:val="center"/>
          </w:tcPr>
          <w:p w14:paraId="2CC5B345">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易燃</w:t>
            </w:r>
          </w:p>
        </w:tc>
      </w:tr>
      <w:tr w14:paraId="33B3050F">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2" w:hRule="atLeast"/>
          <w:jc w:val="center"/>
        </w:trPr>
        <w:tc>
          <w:tcPr>
            <w:tcW w:w="1080" w:type="dxa"/>
            <w:vMerge w:val="continue"/>
            <w:tcBorders>
              <w:top w:val="single" w:color="000000" w:sz="4" w:space="0"/>
              <w:left w:val="nil"/>
              <w:bottom w:val="single" w:color="000000" w:sz="4" w:space="0"/>
              <w:right w:val="single" w:color="000000" w:sz="4" w:space="0"/>
            </w:tcBorders>
            <w:shd w:val="clear" w:color="auto" w:fill="auto"/>
            <w:vAlign w:val="center"/>
          </w:tcPr>
          <w:p w14:paraId="23E096B4">
            <w:pPr>
              <w:pStyle w:val="8"/>
              <w:suppressLineNumbers w:val="0"/>
              <w:bidi w:val="0"/>
              <w:spacing w:before="0" w:beforeAutospacing="0" w:after="0" w:afterAutospacing="0"/>
              <w:ind w:left="0" w:right="0"/>
              <w:rPr>
                <w:rFonts w:hint="default"/>
                <w:snapToGrid w:val="0"/>
                <w:highlight w:val="none"/>
                <w:lang w:eastAsia="en-US"/>
              </w:rPr>
            </w:pPr>
          </w:p>
        </w:tc>
        <w:tc>
          <w:tcPr>
            <w:tcW w:w="16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904E48">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eastAsia="zh-CN"/>
              </w:rPr>
              <w:t>建筑</w:t>
            </w:r>
            <w:r>
              <w:rPr>
                <w:rFonts w:hint="default"/>
                <w:snapToGrid w:val="0"/>
                <w:highlight w:val="none"/>
                <w:lang w:eastAsia="en-US"/>
              </w:rPr>
              <w:t>火险等级</w:t>
            </w:r>
          </w:p>
        </w:tc>
        <w:tc>
          <w:tcPr>
            <w:tcW w:w="5740" w:type="dxa"/>
            <w:tcBorders>
              <w:top w:val="single" w:color="000000" w:sz="4" w:space="0"/>
              <w:left w:val="single" w:color="000000" w:sz="4" w:space="0"/>
              <w:bottom w:val="single" w:color="000000" w:sz="4" w:space="0"/>
              <w:right w:val="nil"/>
            </w:tcBorders>
            <w:shd w:val="clear" w:color="auto" w:fill="auto"/>
            <w:vAlign w:val="center"/>
          </w:tcPr>
          <w:p w14:paraId="2E304780">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甲</w:t>
            </w:r>
          </w:p>
        </w:tc>
      </w:tr>
      <w:tr w14:paraId="0E3937AF">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4" w:hRule="atLeast"/>
          <w:jc w:val="center"/>
        </w:trPr>
        <w:tc>
          <w:tcPr>
            <w:tcW w:w="1080" w:type="dxa"/>
            <w:vMerge w:val="continue"/>
            <w:tcBorders>
              <w:top w:val="single" w:color="000000" w:sz="4" w:space="0"/>
              <w:left w:val="nil"/>
              <w:bottom w:val="single" w:color="000000" w:sz="4" w:space="0"/>
              <w:right w:val="single" w:color="000000" w:sz="4" w:space="0"/>
            </w:tcBorders>
            <w:shd w:val="clear" w:color="auto" w:fill="auto"/>
            <w:vAlign w:val="center"/>
          </w:tcPr>
          <w:p w14:paraId="42D1CC15">
            <w:pPr>
              <w:pStyle w:val="8"/>
              <w:suppressLineNumbers w:val="0"/>
              <w:bidi w:val="0"/>
              <w:spacing w:before="0" w:beforeAutospacing="0" w:after="0" w:afterAutospacing="0"/>
              <w:ind w:left="0" w:right="0"/>
              <w:rPr>
                <w:rFonts w:hint="default"/>
                <w:snapToGrid w:val="0"/>
                <w:highlight w:val="none"/>
                <w:lang w:eastAsia="en-US"/>
              </w:rPr>
            </w:pPr>
          </w:p>
        </w:tc>
        <w:tc>
          <w:tcPr>
            <w:tcW w:w="16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0689C5">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稳定性</w:t>
            </w:r>
          </w:p>
        </w:tc>
        <w:tc>
          <w:tcPr>
            <w:tcW w:w="5740" w:type="dxa"/>
            <w:tcBorders>
              <w:top w:val="single" w:color="000000" w:sz="4" w:space="0"/>
              <w:left w:val="single" w:color="000000" w:sz="4" w:space="0"/>
              <w:bottom w:val="single" w:color="000000" w:sz="4" w:space="0"/>
              <w:right w:val="nil"/>
            </w:tcBorders>
            <w:shd w:val="clear" w:color="auto" w:fill="auto"/>
            <w:vAlign w:val="center"/>
          </w:tcPr>
          <w:p w14:paraId="3076570E">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遇热、火花、明火易燃</w:t>
            </w:r>
          </w:p>
        </w:tc>
      </w:tr>
      <w:tr w14:paraId="158D62F5">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2" w:hRule="atLeast"/>
          <w:jc w:val="center"/>
        </w:trPr>
        <w:tc>
          <w:tcPr>
            <w:tcW w:w="1080" w:type="dxa"/>
            <w:vMerge w:val="continue"/>
            <w:tcBorders>
              <w:top w:val="single" w:color="000000" w:sz="4" w:space="0"/>
              <w:left w:val="nil"/>
              <w:bottom w:val="single" w:color="000000" w:sz="4" w:space="0"/>
              <w:right w:val="single" w:color="000000" w:sz="4" w:space="0"/>
            </w:tcBorders>
            <w:shd w:val="clear" w:color="auto" w:fill="auto"/>
            <w:vAlign w:val="center"/>
          </w:tcPr>
          <w:p w14:paraId="23905A4C">
            <w:pPr>
              <w:pStyle w:val="8"/>
              <w:suppressLineNumbers w:val="0"/>
              <w:bidi w:val="0"/>
              <w:spacing w:before="0" w:beforeAutospacing="0" w:after="0" w:afterAutospacing="0"/>
              <w:ind w:left="0" w:right="0"/>
              <w:rPr>
                <w:rFonts w:hint="default"/>
                <w:snapToGrid w:val="0"/>
                <w:highlight w:val="none"/>
              </w:rPr>
            </w:pPr>
          </w:p>
        </w:tc>
        <w:tc>
          <w:tcPr>
            <w:tcW w:w="16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A62D85">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灭火方法</w:t>
            </w:r>
          </w:p>
        </w:tc>
        <w:tc>
          <w:tcPr>
            <w:tcW w:w="5740" w:type="dxa"/>
            <w:tcBorders>
              <w:top w:val="single" w:color="000000" w:sz="4" w:space="0"/>
              <w:left w:val="single" w:color="000000" w:sz="4" w:space="0"/>
              <w:bottom w:val="single" w:color="000000" w:sz="4" w:space="0"/>
              <w:right w:val="nil"/>
            </w:tcBorders>
            <w:shd w:val="clear" w:color="auto" w:fill="auto"/>
            <w:vAlign w:val="center"/>
          </w:tcPr>
          <w:p w14:paraId="3871EAF6">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沙土。禁止用水。</w:t>
            </w:r>
          </w:p>
        </w:tc>
      </w:tr>
      <w:tr w14:paraId="56E59787">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67" w:hRule="atLeast"/>
          <w:jc w:val="center"/>
        </w:trPr>
        <w:tc>
          <w:tcPr>
            <w:tcW w:w="1080" w:type="dxa"/>
            <w:vMerge w:val="continue"/>
            <w:tcBorders>
              <w:top w:val="single" w:color="000000" w:sz="4" w:space="0"/>
              <w:left w:val="nil"/>
              <w:bottom w:val="single" w:color="000000" w:sz="4" w:space="0"/>
              <w:right w:val="single" w:color="000000" w:sz="4" w:space="0"/>
            </w:tcBorders>
            <w:shd w:val="clear" w:color="auto" w:fill="auto"/>
            <w:vAlign w:val="center"/>
          </w:tcPr>
          <w:p w14:paraId="537DFD32">
            <w:pPr>
              <w:pStyle w:val="8"/>
              <w:suppressLineNumbers w:val="0"/>
              <w:bidi w:val="0"/>
              <w:spacing w:before="0" w:beforeAutospacing="0" w:after="0" w:afterAutospacing="0"/>
              <w:ind w:left="0" w:right="0"/>
              <w:rPr>
                <w:rFonts w:hint="default"/>
                <w:snapToGrid w:val="0"/>
                <w:highlight w:val="none"/>
                <w:lang w:eastAsia="en-US"/>
              </w:rPr>
            </w:pPr>
          </w:p>
        </w:tc>
        <w:tc>
          <w:tcPr>
            <w:tcW w:w="16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1003C5">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储运注意事项</w:t>
            </w:r>
          </w:p>
        </w:tc>
        <w:tc>
          <w:tcPr>
            <w:tcW w:w="5740" w:type="dxa"/>
            <w:tcBorders>
              <w:top w:val="single" w:color="000000" w:sz="4" w:space="0"/>
              <w:left w:val="single" w:color="000000" w:sz="4" w:space="0"/>
              <w:bottom w:val="single" w:color="000000" w:sz="4" w:space="0"/>
              <w:right w:val="nil"/>
            </w:tcBorders>
            <w:shd w:val="clear" w:color="auto" w:fill="auto"/>
            <w:vAlign w:val="center"/>
          </w:tcPr>
          <w:p w14:paraId="408C16EE">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储存于阴凉、干燥、通风处。应与易燃、可燃物等分开存放。不可混储混运。搬运时要轻装轻卸，防止包装及容器损坏．分装和搬运作业要注意个人防护。</w:t>
            </w:r>
          </w:p>
        </w:tc>
      </w:tr>
      <w:tr w14:paraId="6BD341A5">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65" w:hRule="atLeast"/>
          <w:jc w:val="center"/>
        </w:trPr>
        <w:tc>
          <w:tcPr>
            <w:tcW w:w="1080" w:type="dxa"/>
            <w:vMerge w:val="restart"/>
            <w:tcBorders>
              <w:top w:val="single" w:color="000000" w:sz="4" w:space="0"/>
              <w:left w:val="nil"/>
              <w:bottom w:val="single" w:color="000000" w:sz="4" w:space="0"/>
              <w:right w:val="single" w:color="000000" w:sz="4" w:space="0"/>
            </w:tcBorders>
            <w:shd w:val="clear" w:color="auto" w:fill="auto"/>
            <w:vAlign w:val="center"/>
          </w:tcPr>
          <w:p w14:paraId="2D9E9409">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毒理性质</w:t>
            </w:r>
          </w:p>
        </w:tc>
        <w:tc>
          <w:tcPr>
            <w:tcW w:w="16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8B1331">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毒性</w:t>
            </w:r>
          </w:p>
        </w:tc>
        <w:tc>
          <w:tcPr>
            <w:tcW w:w="5740" w:type="dxa"/>
            <w:tcBorders>
              <w:top w:val="single" w:color="000000" w:sz="4" w:space="0"/>
              <w:left w:val="single" w:color="000000" w:sz="4" w:space="0"/>
              <w:bottom w:val="single" w:color="000000" w:sz="4" w:space="0"/>
              <w:right w:val="nil"/>
            </w:tcBorders>
            <w:shd w:val="clear" w:color="auto" w:fill="auto"/>
            <w:vAlign w:val="center"/>
          </w:tcPr>
          <w:p w14:paraId="578071A8">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侵入途径：吸入、食入；</w:t>
            </w:r>
          </w:p>
          <w:p w14:paraId="073EDF04">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毒性：LD50：大于5000mg/kg（大鼠经口）；LC50：大于2000mg/m</w:t>
            </w:r>
            <w:r>
              <w:rPr>
                <w:rFonts w:hint="default"/>
                <w:snapToGrid w:val="0"/>
                <w:highlight w:val="none"/>
                <w:vertAlign w:val="superscript"/>
                <w:lang w:eastAsia="en-US"/>
              </w:rPr>
              <w:t>3</w:t>
            </w:r>
            <w:r>
              <w:rPr>
                <w:rFonts w:hint="default"/>
                <w:snapToGrid w:val="0"/>
                <w:highlight w:val="none"/>
                <w:lang w:eastAsia="en-US"/>
              </w:rPr>
              <w:t>。</w:t>
            </w:r>
          </w:p>
        </w:tc>
      </w:tr>
      <w:tr w14:paraId="6479C98F">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67" w:hRule="atLeast"/>
          <w:jc w:val="center"/>
        </w:trPr>
        <w:tc>
          <w:tcPr>
            <w:tcW w:w="1080" w:type="dxa"/>
            <w:vMerge w:val="continue"/>
            <w:tcBorders>
              <w:top w:val="single" w:color="000000" w:sz="4" w:space="0"/>
              <w:left w:val="nil"/>
              <w:bottom w:val="single" w:color="000000" w:sz="4" w:space="0"/>
              <w:right w:val="single" w:color="000000" w:sz="4" w:space="0"/>
            </w:tcBorders>
            <w:shd w:val="clear" w:color="auto" w:fill="auto"/>
            <w:vAlign w:val="center"/>
          </w:tcPr>
          <w:p w14:paraId="179769A7">
            <w:pPr>
              <w:pStyle w:val="8"/>
              <w:suppressLineNumbers w:val="0"/>
              <w:bidi w:val="0"/>
              <w:spacing w:before="0" w:beforeAutospacing="0" w:after="0" w:afterAutospacing="0"/>
              <w:ind w:left="0" w:right="0"/>
              <w:rPr>
                <w:rFonts w:hint="default"/>
                <w:snapToGrid w:val="0"/>
                <w:highlight w:val="none"/>
                <w:lang w:eastAsia="en-US"/>
              </w:rPr>
            </w:pPr>
          </w:p>
        </w:tc>
        <w:tc>
          <w:tcPr>
            <w:tcW w:w="16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1D2083">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健康危害</w:t>
            </w:r>
          </w:p>
        </w:tc>
        <w:tc>
          <w:tcPr>
            <w:tcW w:w="5740" w:type="dxa"/>
            <w:tcBorders>
              <w:top w:val="single" w:color="000000" w:sz="4" w:space="0"/>
              <w:left w:val="single" w:color="000000" w:sz="4" w:space="0"/>
              <w:bottom w:val="single" w:color="000000" w:sz="4" w:space="0"/>
              <w:right w:val="nil"/>
            </w:tcBorders>
            <w:shd w:val="clear" w:color="auto" w:fill="auto"/>
            <w:vAlign w:val="center"/>
          </w:tcPr>
          <w:p w14:paraId="581D65DB">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对皮肤、粘膜等组织有刺激。对眼睛可引起结膜炎、水肿、角膜混浊，以致失明；口服后引起消化道烧伤以至溃疡形成。</w:t>
            </w:r>
          </w:p>
        </w:tc>
      </w:tr>
      <w:tr w14:paraId="2C40EA63">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168" w:hRule="atLeast"/>
          <w:jc w:val="center"/>
        </w:trPr>
        <w:tc>
          <w:tcPr>
            <w:tcW w:w="2773" w:type="dxa"/>
            <w:gridSpan w:val="2"/>
            <w:tcBorders>
              <w:top w:val="single" w:color="000000" w:sz="4" w:space="0"/>
              <w:left w:val="nil"/>
              <w:bottom w:val="single" w:color="000000" w:sz="4" w:space="0"/>
              <w:right w:val="single" w:color="000000" w:sz="4" w:space="0"/>
            </w:tcBorders>
            <w:shd w:val="clear" w:color="auto" w:fill="auto"/>
            <w:vAlign w:val="center"/>
          </w:tcPr>
          <w:p w14:paraId="71182D67">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泄漏处置</w:t>
            </w:r>
          </w:p>
        </w:tc>
        <w:tc>
          <w:tcPr>
            <w:tcW w:w="5740" w:type="dxa"/>
            <w:tcBorders>
              <w:top w:val="single" w:color="000000" w:sz="4" w:space="0"/>
              <w:left w:val="single" w:color="000000" w:sz="4" w:space="0"/>
              <w:bottom w:val="single" w:color="000000" w:sz="4" w:space="0"/>
              <w:right w:val="nil"/>
            </w:tcBorders>
            <w:shd w:val="clear" w:color="auto" w:fill="auto"/>
            <w:vAlign w:val="center"/>
          </w:tcPr>
          <w:p w14:paraId="5826C7FD">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rPr>
              <w:t>疏散泄漏污染区人员至安全区，禁止无关人员进入污染区。不要直接接触泄漏物，勿使泄漏物与可燃物质</w:t>
            </w:r>
            <w:r>
              <w:rPr>
                <w:rFonts w:hint="eastAsia"/>
                <w:snapToGrid w:val="0"/>
                <w:highlight w:val="none"/>
                <w:lang w:eastAsia="zh-CN"/>
              </w:rPr>
              <w:t>（</w:t>
            </w:r>
            <w:r>
              <w:rPr>
                <w:rFonts w:hint="default"/>
                <w:snapToGrid w:val="0"/>
                <w:highlight w:val="none"/>
              </w:rPr>
              <w:t>木材、纸、油等</w:t>
            </w:r>
            <w:r>
              <w:rPr>
                <w:rFonts w:hint="eastAsia"/>
                <w:snapToGrid w:val="0"/>
                <w:highlight w:val="none"/>
                <w:lang w:eastAsia="zh-CN"/>
              </w:rPr>
              <w:t>）</w:t>
            </w:r>
            <w:r>
              <w:rPr>
                <w:rFonts w:hint="default"/>
                <w:snapToGrid w:val="0"/>
                <w:highlight w:val="none"/>
              </w:rPr>
              <w:t>接触，在确保安全情况下堵漏。用沙土、干燥石灰或</w:t>
            </w:r>
            <w:r>
              <w:rPr>
                <w:rFonts w:hint="eastAsia"/>
                <w:snapToGrid w:val="0"/>
                <w:highlight w:val="none"/>
                <w:lang w:eastAsia="zh-CN"/>
              </w:rPr>
              <w:t>苏打</w:t>
            </w:r>
            <w:r>
              <w:rPr>
                <w:rFonts w:hint="default"/>
                <w:snapToGrid w:val="0"/>
                <w:highlight w:val="none"/>
              </w:rPr>
              <w:t>灰混合，然后收集运至废物处理场所处置，也可以用大量水冲洗，经稀释的洗水放入废水系统。如大量泄漏，利用围堤收容，然后收集、转移、回收或无害化</w:t>
            </w:r>
            <w:r>
              <w:rPr>
                <w:rFonts w:hint="default"/>
                <w:snapToGrid w:val="0"/>
                <w:highlight w:val="none"/>
                <w:lang w:eastAsia="en-US"/>
              </w:rPr>
              <w:t>处理后废弃。</w:t>
            </w:r>
          </w:p>
        </w:tc>
      </w:tr>
      <w:tr w14:paraId="7C6B87C4">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65" w:hRule="atLeast"/>
          <w:jc w:val="center"/>
        </w:trPr>
        <w:tc>
          <w:tcPr>
            <w:tcW w:w="1080" w:type="dxa"/>
            <w:vMerge w:val="restart"/>
            <w:tcBorders>
              <w:top w:val="single" w:color="000000" w:sz="4" w:space="0"/>
              <w:left w:val="nil"/>
              <w:bottom w:val="single" w:color="000000" w:sz="4" w:space="0"/>
              <w:right w:val="single" w:color="000000" w:sz="4" w:space="0"/>
            </w:tcBorders>
            <w:shd w:val="clear" w:color="auto" w:fill="auto"/>
            <w:vAlign w:val="center"/>
          </w:tcPr>
          <w:p w14:paraId="1262EE23">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防护措施</w:t>
            </w:r>
          </w:p>
        </w:tc>
        <w:tc>
          <w:tcPr>
            <w:tcW w:w="16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9E0E1C">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呼吸系统防护</w:t>
            </w:r>
          </w:p>
        </w:tc>
        <w:tc>
          <w:tcPr>
            <w:tcW w:w="5740" w:type="dxa"/>
            <w:tcBorders>
              <w:top w:val="single" w:color="000000" w:sz="4" w:space="0"/>
              <w:left w:val="single" w:color="000000" w:sz="4" w:space="0"/>
              <w:bottom w:val="single" w:color="000000" w:sz="4" w:space="0"/>
              <w:right w:val="nil"/>
            </w:tcBorders>
            <w:shd w:val="clear" w:color="auto" w:fill="auto"/>
            <w:vAlign w:val="center"/>
          </w:tcPr>
          <w:p w14:paraId="2CEF892F">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可能接触其蒸气或烟雾时，必须佩戴防毒面具或供气式头罩。紧急事态抢救或逃生时，建议佩戴自给式呼吸器。</w:t>
            </w:r>
          </w:p>
        </w:tc>
      </w:tr>
      <w:tr w14:paraId="5B9A6A9C">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4" w:hRule="atLeast"/>
          <w:jc w:val="center"/>
        </w:trPr>
        <w:tc>
          <w:tcPr>
            <w:tcW w:w="1080" w:type="dxa"/>
            <w:vMerge w:val="continue"/>
            <w:tcBorders>
              <w:top w:val="single" w:color="000000" w:sz="4" w:space="0"/>
              <w:left w:val="nil"/>
              <w:bottom w:val="single" w:color="000000" w:sz="4" w:space="0"/>
              <w:right w:val="single" w:color="000000" w:sz="4" w:space="0"/>
            </w:tcBorders>
            <w:shd w:val="clear" w:color="auto" w:fill="auto"/>
            <w:vAlign w:val="center"/>
          </w:tcPr>
          <w:p w14:paraId="7667CF64">
            <w:pPr>
              <w:pStyle w:val="8"/>
              <w:suppressLineNumbers w:val="0"/>
              <w:bidi w:val="0"/>
              <w:spacing w:before="0" w:beforeAutospacing="0" w:after="0" w:afterAutospacing="0"/>
              <w:ind w:left="0" w:right="0"/>
              <w:rPr>
                <w:rFonts w:hint="default"/>
                <w:snapToGrid w:val="0"/>
                <w:highlight w:val="none"/>
              </w:rPr>
            </w:pPr>
          </w:p>
        </w:tc>
        <w:tc>
          <w:tcPr>
            <w:tcW w:w="16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99B53C">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眼睛防护</w:t>
            </w:r>
          </w:p>
        </w:tc>
        <w:tc>
          <w:tcPr>
            <w:tcW w:w="5740" w:type="dxa"/>
            <w:tcBorders>
              <w:top w:val="single" w:color="000000" w:sz="4" w:space="0"/>
              <w:left w:val="single" w:color="000000" w:sz="4" w:space="0"/>
              <w:bottom w:val="single" w:color="000000" w:sz="4" w:space="0"/>
              <w:right w:val="nil"/>
            </w:tcBorders>
            <w:shd w:val="clear" w:color="auto" w:fill="auto"/>
            <w:vAlign w:val="center"/>
          </w:tcPr>
          <w:p w14:paraId="5289A2FC">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戴化学安全防护眼罩</w:t>
            </w:r>
          </w:p>
        </w:tc>
      </w:tr>
      <w:tr w14:paraId="5EBDA096">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2" w:hRule="atLeast"/>
          <w:jc w:val="center"/>
        </w:trPr>
        <w:tc>
          <w:tcPr>
            <w:tcW w:w="1080" w:type="dxa"/>
            <w:vMerge w:val="continue"/>
            <w:tcBorders>
              <w:top w:val="single" w:color="000000" w:sz="4" w:space="0"/>
              <w:left w:val="nil"/>
              <w:bottom w:val="single" w:color="000000" w:sz="4" w:space="0"/>
              <w:right w:val="single" w:color="000000" w:sz="4" w:space="0"/>
            </w:tcBorders>
            <w:shd w:val="clear" w:color="auto" w:fill="auto"/>
            <w:vAlign w:val="center"/>
          </w:tcPr>
          <w:p w14:paraId="4987DE19">
            <w:pPr>
              <w:pStyle w:val="8"/>
              <w:suppressLineNumbers w:val="0"/>
              <w:bidi w:val="0"/>
              <w:spacing w:before="0" w:beforeAutospacing="0" w:after="0" w:afterAutospacing="0"/>
              <w:ind w:left="0" w:right="0"/>
              <w:rPr>
                <w:rFonts w:hint="default"/>
                <w:snapToGrid w:val="0"/>
                <w:highlight w:val="none"/>
                <w:lang w:eastAsia="en-US"/>
              </w:rPr>
            </w:pPr>
          </w:p>
        </w:tc>
        <w:tc>
          <w:tcPr>
            <w:tcW w:w="16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3CC50D">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身体防护</w:t>
            </w:r>
          </w:p>
        </w:tc>
        <w:tc>
          <w:tcPr>
            <w:tcW w:w="5740" w:type="dxa"/>
            <w:tcBorders>
              <w:top w:val="single" w:color="000000" w:sz="4" w:space="0"/>
              <w:left w:val="single" w:color="000000" w:sz="4" w:space="0"/>
              <w:bottom w:val="single" w:color="000000" w:sz="4" w:space="0"/>
              <w:right w:val="nil"/>
            </w:tcBorders>
            <w:shd w:val="clear" w:color="auto" w:fill="auto"/>
            <w:vAlign w:val="center"/>
          </w:tcPr>
          <w:p w14:paraId="637C49D7">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穿工作服（防腐材料制作）</w:t>
            </w:r>
          </w:p>
        </w:tc>
      </w:tr>
      <w:tr w14:paraId="77D43376">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4" w:hRule="atLeast"/>
          <w:jc w:val="center"/>
        </w:trPr>
        <w:tc>
          <w:tcPr>
            <w:tcW w:w="1080" w:type="dxa"/>
            <w:vMerge w:val="continue"/>
            <w:tcBorders>
              <w:top w:val="single" w:color="000000" w:sz="4" w:space="0"/>
              <w:left w:val="nil"/>
              <w:bottom w:val="single" w:color="000000" w:sz="4" w:space="0"/>
              <w:right w:val="single" w:color="000000" w:sz="4" w:space="0"/>
            </w:tcBorders>
            <w:shd w:val="clear" w:color="auto" w:fill="auto"/>
            <w:vAlign w:val="center"/>
          </w:tcPr>
          <w:p w14:paraId="193A2000">
            <w:pPr>
              <w:pStyle w:val="8"/>
              <w:suppressLineNumbers w:val="0"/>
              <w:bidi w:val="0"/>
              <w:spacing w:before="0" w:beforeAutospacing="0" w:after="0" w:afterAutospacing="0"/>
              <w:ind w:left="0" w:right="0"/>
              <w:rPr>
                <w:rFonts w:hint="default"/>
                <w:snapToGrid w:val="0"/>
                <w:highlight w:val="none"/>
                <w:lang w:eastAsia="en-US"/>
              </w:rPr>
            </w:pPr>
          </w:p>
        </w:tc>
        <w:tc>
          <w:tcPr>
            <w:tcW w:w="16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E84182">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手防护</w:t>
            </w:r>
          </w:p>
        </w:tc>
        <w:tc>
          <w:tcPr>
            <w:tcW w:w="5740" w:type="dxa"/>
            <w:tcBorders>
              <w:top w:val="single" w:color="000000" w:sz="4" w:space="0"/>
              <w:left w:val="single" w:color="000000" w:sz="4" w:space="0"/>
              <w:bottom w:val="single" w:color="000000" w:sz="4" w:space="0"/>
              <w:right w:val="nil"/>
            </w:tcBorders>
            <w:shd w:val="clear" w:color="auto" w:fill="auto"/>
            <w:vAlign w:val="center"/>
          </w:tcPr>
          <w:p w14:paraId="2107E85B">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戴橡皮手套</w:t>
            </w:r>
          </w:p>
        </w:tc>
      </w:tr>
      <w:tr w14:paraId="0633933C">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22" w:hRule="atLeast"/>
          <w:jc w:val="center"/>
        </w:trPr>
        <w:tc>
          <w:tcPr>
            <w:tcW w:w="1080" w:type="dxa"/>
            <w:vMerge w:val="restart"/>
            <w:tcBorders>
              <w:top w:val="single" w:color="000000" w:sz="4" w:space="0"/>
              <w:left w:val="nil"/>
              <w:bottom w:val="single" w:color="000000" w:sz="12" w:space="0"/>
              <w:right w:val="single" w:color="000000" w:sz="4" w:space="0"/>
            </w:tcBorders>
            <w:shd w:val="clear" w:color="auto" w:fill="auto"/>
            <w:vAlign w:val="center"/>
          </w:tcPr>
          <w:p w14:paraId="72396D59">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急救措施</w:t>
            </w:r>
          </w:p>
        </w:tc>
        <w:tc>
          <w:tcPr>
            <w:tcW w:w="16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EACC76">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皮肤接触</w:t>
            </w:r>
          </w:p>
        </w:tc>
        <w:tc>
          <w:tcPr>
            <w:tcW w:w="5740" w:type="dxa"/>
            <w:tcBorders>
              <w:top w:val="single" w:color="000000" w:sz="4" w:space="0"/>
              <w:left w:val="single" w:color="000000" w:sz="4" w:space="0"/>
              <w:bottom w:val="single" w:color="000000" w:sz="4" w:space="0"/>
              <w:right w:val="nil"/>
            </w:tcBorders>
            <w:shd w:val="clear" w:color="auto" w:fill="auto"/>
            <w:vAlign w:val="center"/>
          </w:tcPr>
          <w:p w14:paraId="4EB12D32">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rPr>
              <w:t>脱去污染的衣着，立即用水冲洗至少15分钟。</w:t>
            </w:r>
            <w:r>
              <w:rPr>
                <w:rFonts w:hint="default"/>
                <w:snapToGrid w:val="0"/>
                <w:highlight w:val="none"/>
                <w:lang w:eastAsia="en-US"/>
              </w:rPr>
              <w:t>就医。</w:t>
            </w:r>
          </w:p>
        </w:tc>
      </w:tr>
      <w:tr w14:paraId="37C7EA4B">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14" w:hRule="atLeast"/>
          <w:jc w:val="center"/>
        </w:trPr>
        <w:tc>
          <w:tcPr>
            <w:tcW w:w="1080" w:type="dxa"/>
            <w:vMerge w:val="continue"/>
            <w:tcBorders>
              <w:top w:val="single" w:color="000000" w:sz="4" w:space="0"/>
              <w:left w:val="nil"/>
              <w:bottom w:val="single" w:color="000000" w:sz="12" w:space="0"/>
              <w:right w:val="single" w:color="000000" w:sz="4" w:space="0"/>
            </w:tcBorders>
            <w:shd w:val="clear" w:color="auto" w:fill="auto"/>
            <w:vAlign w:val="center"/>
          </w:tcPr>
          <w:p w14:paraId="016A03C0">
            <w:pPr>
              <w:pStyle w:val="8"/>
              <w:suppressLineNumbers w:val="0"/>
              <w:bidi w:val="0"/>
              <w:spacing w:before="0" w:beforeAutospacing="0" w:after="0" w:afterAutospacing="0"/>
              <w:ind w:left="0" w:right="0"/>
              <w:rPr>
                <w:rFonts w:hint="default"/>
                <w:snapToGrid w:val="0"/>
                <w:highlight w:val="none"/>
                <w:lang w:eastAsia="en-US"/>
              </w:rPr>
            </w:pPr>
          </w:p>
        </w:tc>
        <w:tc>
          <w:tcPr>
            <w:tcW w:w="16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A7F8D4">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眼睛接触</w:t>
            </w:r>
          </w:p>
        </w:tc>
        <w:tc>
          <w:tcPr>
            <w:tcW w:w="5740" w:type="dxa"/>
            <w:tcBorders>
              <w:top w:val="single" w:color="000000" w:sz="4" w:space="0"/>
              <w:left w:val="single" w:color="000000" w:sz="4" w:space="0"/>
              <w:bottom w:val="single" w:color="000000" w:sz="4" w:space="0"/>
              <w:right w:val="nil"/>
            </w:tcBorders>
            <w:shd w:val="clear" w:color="auto" w:fill="auto"/>
            <w:vAlign w:val="center"/>
          </w:tcPr>
          <w:p w14:paraId="1C471B54">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rPr>
              <w:t>立即提起眼睑，用流动清水或生理盐水冲洗至少15分钟。</w:t>
            </w:r>
            <w:r>
              <w:rPr>
                <w:rFonts w:hint="default"/>
                <w:snapToGrid w:val="0"/>
                <w:highlight w:val="none"/>
                <w:lang w:eastAsia="en-US"/>
              </w:rPr>
              <w:t>就医。</w:t>
            </w:r>
          </w:p>
        </w:tc>
      </w:tr>
      <w:tr w14:paraId="73C72B37">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12" w:hRule="atLeast"/>
          <w:jc w:val="center"/>
        </w:trPr>
        <w:tc>
          <w:tcPr>
            <w:tcW w:w="1080" w:type="dxa"/>
            <w:vMerge w:val="continue"/>
            <w:tcBorders>
              <w:top w:val="single" w:color="000000" w:sz="4" w:space="0"/>
              <w:left w:val="nil"/>
              <w:bottom w:val="single" w:color="000000" w:sz="12" w:space="0"/>
              <w:right w:val="single" w:color="000000" w:sz="4" w:space="0"/>
            </w:tcBorders>
            <w:shd w:val="clear" w:color="auto" w:fill="auto"/>
            <w:vAlign w:val="center"/>
          </w:tcPr>
          <w:p w14:paraId="574BED1B">
            <w:pPr>
              <w:pStyle w:val="8"/>
              <w:suppressLineNumbers w:val="0"/>
              <w:bidi w:val="0"/>
              <w:spacing w:before="0" w:beforeAutospacing="0" w:after="0" w:afterAutospacing="0"/>
              <w:ind w:left="0" w:right="0"/>
              <w:rPr>
                <w:rFonts w:hint="default"/>
                <w:snapToGrid w:val="0"/>
                <w:highlight w:val="none"/>
                <w:lang w:eastAsia="en-US"/>
              </w:rPr>
            </w:pPr>
          </w:p>
        </w:tc>
        <w:tc>
          <w:tcPr>
            <w:tcW w:w="16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C35047">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吸入</w:t>
            </w:r>
          </w:p>
        </w:tc>
        <w:tc>
          <w:tcPr>
            <w:tcW w:w="5740" w:type="dxa"/>
            <w:tcBorders>
              <w:top w:val="single" w:color="000000" w:sz="4" w:space="0"/>
              <w:left w:val="single" w:color="000000" w:sz="4" w:space="0"/>
              <w:bottom w:val="single" w:color="000000" w:sz="4" w:space="0"/>
              <w:right w:val="nil"/>
            </w:tcBorders>
            <w:shd w:val="clear" w:color="auto" w:fill="auto"/>
            <w:vAlign w:val="center"/>
          </w:tcPr>
          <w:p w14:paraId="15B32C10">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迅速脱离现场至空气新鲜处</w:t>
            </w:r>
            <w:r>
              <w:rPr>
                <w:rFonts w:hint="eastAsia"/>
                <w:snapToGrid w:val="0"/>
                <w:highlight w:val="none"/>
                <w:lang w:eastAsia="zh-CN"/>
              </w:rPr>
              <w:t>，</w:t>
            </w:r>
            <w:r>
              <w:rPr>
                <w:rFonts w:hint="default"/>
                <w:snapToGrid w:val="0"/>
                <w:highlight w:val="none"/>
              </w:rPr>
              <w:t>呼吸困难时给输氧，就医。</w:t>
            </w:r>
          </w:p>
        </w:tc>
      </w:tr>
      <w:tr w14:paraId="5AC1D2D2">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24" w:hRule="atLeast"/>
          <w:jc w:val="center"/>
        </w:trPr>
        <w:tc>
          <w:tcPr>
            <w:tcW w:w="1080" w:type="dxa"/>
            <w:vMerge w:val="continue"/>
            <w:tcBorders>
              <w:top w:val="single" w:color="000000" w:sz="4" w:space="0"/>
              <w:left w:val="nil"/>
              <w:bottom w:val="single" w:color="000000" w:sz="12" w:space="0"/>
              <w:right w:val="single" w:color="000000" w:sz="4" w:space="0"/>
            </w:tcBorders>
            <w:shd w:val="clear" w:color="auto" w:fill="auto"/>
            <w:vAlign w:val="center"/>
          </w:tcPr>
          <w:p w14:paraId="5A442DDA">
            <w:pPr>
              <w:pStyle w:val="8"/>
              <w:suppressLineNumbers w:val="0"/>
              <w:bidi w:val="0"/>
              <w:spacing w:before="0" w:beforeAutospacing="0" w:after="0" w:afterAutospacing="0"/>
              <w:ind w:left="0" w:right="0"/>
              <w:rPr>
                <w:rFonts w:hint="default"/>
                <w:snapToGrid w:val="0"/>
                <w:highlight w:val="none"/>
              </w:rPr>
            </w:pPr>
          </w:p>
        </w:tc>
        <w:tc>
          <w:tcPr>
            <w:tcW w:w="1693" w:type="dxa"/>
            <w:tcBorders>
              <w:top w:val="single" w:color="000000" w:sz="4" w:space="0"/>
              <w:left w:val="single" w:color="000000" w:sz="4" w:space="0"/>
              <w:bottom w:val="single" w:color="000000" w:sz="12" w:space="0"/>
              <w:right w:val="single" w:color="000000" w:sz="4" w:space="0"/>
            </w:tcBorders>
            <w:shd w:val="clear" w:color="auto" w:fill="auto"/>
            <w:vAlign w:val="center"/>
          </w:tcPr>
          <w:p w14:paraId="120D5FB8">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食入</w:t>
            </w:r>
          </w:p>
        </w:tc>
        <w:tc>
          <w:tcPr>
            <w:tcW w:w="5740" w:type="dxa"/>
            <w:tcBorders>
              <w:top w:val="single" w:color="000000" w:sz="4" w:space="0"/>
              <w:left w:val="single" w:color="000000" w:sz="4" w:space="0"/>
              <w:bottom w:val="single" w:color="000000" w:sz="12" w:space="0"/>
              <w:right w:val="nil"/>
            </w:tcBorders>
            <w:shd w:val="clear" w:color="auto" w:fill="auto"/>
            <w:vAlign w:val="center"/>
          </w:tcPr>
          <w:p w14:paraId="507CAC4B">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rPr>
              <w:t>误服者给牛奶、蛋清、植物油等口服，不可催吐。</w:t>
            </w:r>
            <w:r>
              <w:rPr>
                <w:rFonts w:hint="default"/>
                <w:snapToGrid w:val="0"/>
                <w:highlight w:val="none"/>
                <w:lang w:eastAsia="en-US"/>
              </w:rPr>
              <w:t>立即就医。</w:t>
            </w:r>
          </w:p>
        </w:tc>
      </w:tr>
    </w:tbl>
    <w:p w14:paraId="2A1A5FA2">
      <w:pPr>
        <w:bidi w:val="0"/>
        <w:rPr>
          <w:rFonts w:hint="default"/>
          <w:highlight w:val="none"/>
        </w:rPr>
      </w:pPr>
      <w:r>
        <w:rPr>
          <w:rFonts w:hint="eastAsia"/>
          <w:highlight w:val="none"/>
          <w:lang w:val="en-US" w:eastAsia="zh-CN"/>
        </w:rPr>
        <w:t>2、</w:t>
      </w:r>
      <w:r>
        <w:rPr>
          <w:rFonts w:hint="default"/>
          <w:highlight w:val="none"/>
        </w:rPr>
        <w:t>危险化学品最大存在量</w:t>
      </w:r>
    </w:p>
    <w:p w14:paraId="59170164">
      <w:pPr>
        <w:bidi w:val="0"/>
        <w:rPr>
          <w:rFonts w:hint="default"/>
          <w:highlight w:val="none"/>
        </w:rPr>
      </w:pPr>
      <w:r>
        <w:rPr>
          <w:rFonts w:hint="default"/>
          <w:highlight w:val="none"/>
        </w:rPr>
        <w:t>本项目涉及环境风险的物质为</w:t>
      </w:r>
      <w:r>
        <w:rPr>
          <w:rFonts w:hint="eastAsia"/>
          <w:highlight w:val="none"/>
          <w:lang w:val="en-US" w:eastAsia="zh-CN"/>
        </w:rPr>
        <w:t>油类物质</w:t>
      </w:r>
      <w:r>
        <w:rPr>
          <w:rFonts w:hint="default"/>
          <w:highlight w:val="none"/>
        </w:rPr>
        <w:t>，最大存在量为</w:t>
      </w:r>
      <w:r>
        <w:rPr>
          <w:rFonts w:hint="eastAsia"/>
          <w:highlight w:val="none"/>
          <w:lang w:val="en-US" w:eastAsia="zh-CN"/>
        </w:rPr>
        <w:t>40.7</w:t>
      </w:r>
      <w:r>
        <w:rPr>
          <w:rFonts w:hint="default"/>
          <w:highlight w:val="none"/>
        </w:rPr>
        <w:t>t；根据《建设项目环境风险评价技术导则》（HJ169—2018），附录B确定废矿物油临界量为2500t。</w:t>
      </w:r>
    </w:p>
    <w:p w14:paraId="2B6DA4BC">
      <w:pPr>
        <w:pStyle w:val="7"/>
        <w:bidi w:val="0"/>
        <w:rPr>
          <w:rFonts w:hint="default"/>
          <w:highlight w:val="none"/>
        </w:rPr>
      </w:pPr>
      <w:r>
        <w:rPr>
          <w:rFonts w:hint="default"/>
          <w:highlight w:val="none"/>
        </w:rPr>
        <w:t>表3-</w:t>
      </w:r>
      <w:r>
        <w:rPr>
          <w:rFonts w:hint="eastAsia"/>
          <w:highlight w:val="none"/>
          <w:lang w:val="en-US" w:eastAsia="zh-CN"/>
        </w:rPr>
        <w:t>3</w:t>
      </w:r>
      <w:r>
        <w:rPr>
          <w:rFonts w:hint="default"/>
          <w:highlight w:val="none"/>
        </w:rPr>
        <w:t>-</w:t>
      </w:r>
      <w:r>
        <w:rPr>
          <w:rFonts w:hint="eastAsia"/>
          <w:highlight w:val="none"/>
          <w:lang w:val="en-US" w:eastAsia="zh-CN"/>
        </w:rPr>
        <w:t>8</w:t>
      </w:r>
      <w:r>
        <w:rPr>
          <w:rFonts w:hint="default"/>
          <w:highlight w:val="none"/>
        </w:rPr>
        <w:t>相关危险化学品最大存在量</w:t>
      </w:r>
    </w:p>
    <w:tbl>
      <w:tblPr>
        <w:tblStyle w:val="739"/>
        <w:tblW w:w="8539" w:type="dxa"/>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792"/>
        <w:gridCol w:w="3001"/>
        <w:gridCol w:w="2672"/>
        <w:gridCol w:w="2074"/>
      </w:tblGrid>
      <w:tr w14:paraId="1BC2F69B">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96" w:hRule="atLeast"/>
          <w:jc w:val="center"/>
        </w:trPr>
        <w:tc>
          <w:tcPr>
            <w:tcW w:w="792" w:type="dxa"/>
            <w:tcBorders>
              <w:top w:val="single" w:color="000000" w:sz="12" w:space="0"/>
              <w:left w:val="nil"/>
              <w:bottom w:val="single" w:color="000000" w:sz="6" w:space="0"/>
              <w:right w:val="single" w:color="000000" w:sz="6" w:space="0"/>
            </w:tcBorders>
            <w:shd w:val="clear" w:color="auto" w:fill="auto"/>
            <w:vAlign w:val="center"/>
          </w:tcPr>
          <w:p w14:paraId="004C0F42">
            <w:pPr>
              <w:pStyle w:val="8"/>
              <w:suppressLineNumbers w:val="0"/>
              <w:bidi w:val="0"/>
              <w:spacing w:before="0" w:beforeAutospacing="0" w:after="0" w:afterAutospacing="0"/>
              <w:ind w:left="0" w:right="0"/>
              <w:jc w:val="center"/>
              <w:rPr>
                <w:rFonts w:hint="default"/>
                <w:snapToGrid w:val="0"/>
                <w:highlight w:val="none"/>
                <w:lang w:eastAsia="en-US"/>
              </w:rPr>
            </w:pPr>
            <w:r>
              <w:rPr>
                <w:rFonts w:hint="default"/>
                <w:snapToGrid w:val="0"/>
                <w:highlight w:val="none"/>
                <w:lang w:eastAsia="en-US"/>
              </w:rPr>
              <w:t>序号</w:t>
            </w:r>
          </w:p>
        </w:tc>
        <w:tc>
          <w:tcPr>
            <w:tcW w:w="3001" w:type="dxa"/>
            <w:tcBorders>
              <w:top w:val="single" w:color="000000" w:sz="12" w:space="0"/>
              <w:left w:val="single" w:color="000000" w:sz="6" w:space="0"/>
              <w:bottom w:val="single" w:color="000000" w:sz="6" w:space="0"/>
              <w:right w:val="single" w:color="000000" w:sz="6" w:space="0"/>
            </w:tcBorders>
            <w:shd w:val="clear" w:color="auto" w:fill="auto"/>
            <w:vAlign w:val="center"/>
          </w:tcPr>
          <w:p w14:paraId="34FB8463">
            <w:pPr>
              <w:pStyle w:val="8"/>
              <w:suppressLineNumbers w:val="0"/>
              <w:bidi w:val="0"/>
              <w:spacing w:before="0" w:beforeAutospacing="0" w:after="0" w:afterAutospacing="0"/>
              <w:ind w:left="0" w:right="0"/>
              <w:jc w:val="center"/>
              <w:rPr>
                <w:rFonts w:hint="default"/>
                <w:snapToGrid w:val="0"/>
                <w:highlight w:val="none"/>
                <w:lang w:eastAsia="en-US"/>
              </w:rPr>
            </w:pPr>
            <w:r>
              <w:rPr>
                <w:rFonts w:hint="default"/>
                <w:snapToGrid w:val="0"/>
                <w:highlight w:val="none"/>
                <w:lang w:eastAsia="en-US"/>
              </w:rPr>
              <w:t>品名</w:t>
            </w:r>
          </w:p>
        </w:tc>
        <w:tc>
          <w:tcPr>
            <w:tcW w:w="2672" w:type="dxa"/>
            <w:tcBorders>
              <w:top w:val="single" w:color="000000" w:sz="12" w:space="0"/>
              <w:left w:val="single" w:color="000000" w:sz="6" w:space="0"/>
              <w:bottom w:val="single" w:color="000000" w:sz="6" w:space="0"/>
              <w:right w:val="single" w:color="000000" w:sz="6" w:space="0"/>
            </w:tcBorders>
            <w:shd w:val="clear" w:color="auto" w:fill="auto"/>
            <w:vAlign w:val="center"/>
          </w:tcPr>
          <w:p w14:paraId="6F71E573">
            <w:pPr>
              <w:pStyle w:val="8"/>
              <w:suppressLineNumbers w:val="0"/>
              <w:bidi w:val="0"/>
              <w:spacing w:before="0" w:beforeAutospacing="0" w:after="0" w:afterAutospacing="0"/>
              <w:ind w:left="0" w:right="0"/>
              <w:jc w:val="center"/>
              <w:rPr>
                <w:rFonts w:hint="default"/>
                <w:snapToGrid w:val="0"/>
                <w:highlight w:val="none"/>
              </w:rPr>
            </w:pPr>
            <w:r>
              <w:rPr>
                <w:rFonts w:hint="default"/>
                <w:snapToGrid w:val="0"/>
                <w:highlight w:val="none"/>
              </w:rPr>
              <w:t>最大存在总量（qi）</w:t>
            </w:r>
          </w:p>
        </w:tc>
        <w:tc>
          <w:tcPr>
            <w:tcW w:w="2074" w:type="dxa"/>
            <w:tcBorders>
              <w:top w:val="single" w:color="000000" w:sz="12" w:space="0"/>
              <w:left w:val="single" w:color="000000" w:sz="6" w:space="0"/>
              <w:bottom w:val="single" w:color="000000" w:sz="6" w:space="0"/>
              <w:right w:val="nil"/>
            </w:tcBorders>
            <w:shd w:val="clear" w:color="auto" w:fill="auto"/>
            <w:vAlign w:val="center"/>
          </w:tcPr>
          <w:p w14:paraId="762B4460">
            <w:pPr>
              <w:pStyle w:val="8"/>
              <w:suppressLineNumbers w:val="0"/>
              <w:bidi w:val="0"/>
              <w:spacing w:before="0" w:beforeAutospacing="0" w:after="0" w:afterAutospacing="0"/>
              <w:ind w:left="0" w:right="0"/>
              <w:jc w:val="center"/>
              <w:rPr>
                <w:rFonts w:hint="default"/>
                <w:snapToGrid w:val="0"/>
                <w:highlight w:val="none"/>
                <w:lang w:eastAsia="en-US"/>
              </w:rPr>
            </w:pPr>
            <w:r>
              <w:rPr>
                <w:rFonts w:hint="default"/>
                <w:snapToGrid w:val="0"/>
                <w:highlight w:val="none"/>
                <w:lang w:eastAsia="en-US"/>
              </w:rPr>
              <w:t>临界量（Qi）</w:t>
            </w:r>
          </w:p>
        </w:tc>
      </w:tr>
      <w:tr w14:paraId="6D1253D7">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68" w:hRule="atLeast"/>
          <w:jc w:val="center"/>
        </w:trPr>
        <w:tc>
          <w:tcPr>
            <w:tcW w:w="792" w:type="dxa"/>
            <w:tcBorders>
              <w:top w:val="single" w:color="000000" w:sz="6" w:space="0"/>
              <w:left w:val="nil"/>
              <w:bottom w:val="single" w:color="000000" w:sz="12" w:space="0"/>
              <w:right w:val="single" w:color="000000" w:sz="6" w:space="0"/>
            </w:tcBorders>
            <w:shd w:val="clear" w:color="auto" w:fill="auto"/>
            <w:vAlign w:val="center"/>
          </w:tcPr>
          <w:p w14:paraId="705A1ABB">
            <w:pPr>
              <w:pStyle w:val="8"/>
              <w:suppressLineNumbers w:val="0"/>
              <w:bidi w:val="0"/>
              <w:spacing w:before="0" w:beforeAutospacing="0" w:after="0" w:afterAutospacing="0"/>
              <w:ind w:left="0" w:right="0"/>
              <w:jc w:val="center"/>
              <w:rPr>
                <w:rFonts w:hint="default"/>
                <w:snapToGrid w:val="0"/>
                <w:highlight w:val="none"/>
              </w:rPr>
            </w:pPr>
            <w:r>
              <w:rPr>
                <w:rFonts w:hint="default"/>
                <w:snapToGrid w:val="0"/>
                <w:highlight w:val="none"/>
              </w:rPr>
              <w:t>1</w:t>
            </w:r>
          </w:p>
        </w:tc>
        <w:tc>
          <w:tcPr>
            <w:tcW w:w="3001" w:type="dxa"/>
            <w:tcBorders>
              <w:top w:val="single" w:color="000000" w:sz="6" w:space="0"/>
              <w:left w:val="single" w:color="000000" w:sz="6" w:space="0"/>
              <w:bottom w:val="single" w:color="000000" w:sz="12" w:space="0"/>
              <w:right w:val="single" w:color="000000" w:sz="6" w:space="0"/>
            </w:tcBorders>
            <w:shd w:val="clear" w:color="auto" w:fill="auto"/>
            <w:vAlign w:val="center"/>
          </w:tcPr>
          <w:p w14:paraId="4581A285">
            <w:pPr>
              <w:pStyle w:val="8"/>
              <w:suppressLineNumbers w:val="0"/>
              <w:bidi w:val="0"/>
              <w:spacing w:before="0" w:beforeAutospacing="0" w:after="0" w:afterAutospacing="0"/>
              <w:ind w:left="0" w:right="0"/>
              <w:jc w:val="center"/>
              <w:rPr>
                <w:rFonts w:hint="eastAsia"/>
                <w:snapToGrid w:val="0"/>
                <w:highlight w:val="none"/>
                <w:lang w:eastAsia="zh-CN"/>
              </w:rPr>
            </w:pPr>
            <w:r>
              <w:rPr>
                <w:rFonts w:hint="eastAsia"/>
                <w:snapToGrid w:val="0"/>
                <w:highlight w:val="none"/>
                <w:lang w:val="en-US" w:eastAsia="zh-CN"/>
              </w:rPr>
              <w:t>油类物质</w:t>
            </w:r>
          </w:p>
        </w:tc>
        <w:tc>
          <w:tcPr>
            <w:tcW w:w="2672" w:type="dxa"/>
            <w:tcBorders>
              <w:top w:val="single" w:color="000000" w:sz="6" w:space="0"/>
              <w:left w:val="single" w:color="000000" w:sz="6" w:space="0"/>
              <w:bottom w:val="single" w:color="000000" w:sz="12" w:space="0"/>
              <w:right w:val="single" w:color="000000" w:sz="6" w:space="0"/>
            </w:tcBorders>
            <w:shd w:val="clear" w:color="auto" w:fill="auto"/>
            <w:vAlign w:val="center"/>
          </w:tcPr>
          <w:p w14:paraId="7AE24BCB">
            <w:pPr>
              <w:pStyle w:val="8"/>
              <w:suppressLineNumbers w:val="0"/>
              <w:bidi w:val="0"/>
              <w:spacing w:before="0" w:beforeAutospacing="0" w:after="0" w:afterAutospacing="0"/>
              <w:ind w:left="0" w:right="0"/>
              <w:jc w:val="center"/>
              <w:rPr>
                <w:rFonts w:hint="default"/>
                <w:snapToGrid w:val="0"/>
                <w:highlight w:val="none"/>
                <w:lang w:val="en-US" w:eastAsia="zh-CN"/>
              </w:rPr>
            </w:pPr>
            <w:r>
              <w:rPr>
                <w:rFonts w:hint="eastAsia"/>
                <w:snapToGrid w:val="0"/>
                <w:highlight w:val="none"/>
                <w:lang w:val="en-US" w:eastAsia="zh-CN"/>
              </w:rPr>
              <w:t>40.7</w:t>
            </w:r>
          </w:p>
        </w:tc>
        <w:tc>
          <w:tcPr>
            <w:tcW w:w="2074" w:type="dxa"/>
            <w:tcBorders>
              <w:top w:val="single" w:color="000000" w:sz="6" w:space="0"/>
              <w:left w:val="single" w:color="000000" w:sz="6" w:space="0"/>
              <w:bottom w:val="single" w:color="000000" w:sz="12" w:space="0"/>
              <w:right w:val="nil"/>
            </w:tcBorders>
            <w:shd w:val="clear" w:color="auto" w:fill="auto"/>
            <w:vAlign w:val="center"/>
          </w:tcPr>
          <w:p w14:paraId="28451734">
            <w:pPr>
              <w:pStyle w:val="8"/>
              <w:suppressLineNumbers w:val="0"/>
              <w:bidi w:val="0"/>
              <w:spacing w:before="0" w:beforeAutospacing="0" w:after="0" w:afterAutospacing="0"/>
              <w:ind w:left="0" w:right="0"/>
              <w:jc w:val="center"/>
              <w:rPr>
                <w:rFonts w:hint="default"/>
                <w:snapToGrid w:val="0"/>
                <w:highlight w:val="none"/>
                <w:lang w:eastAsia="en-US"/>
              </w:rPr>
            </w:pPr>
            <w:r>
              <w:rPr>
                <w:rFonts w:hint="default"/>
                <w:snapToGrid w:val="0"/>
                <w:highlight w:val="none"/>
                <w:lang w:eastAsia="en-US"/>
              </w:rPr>
              <w:t>2500</w:t>
            </w:r>
          </w:p>
        </w:tc>
      </w:tr>
    </w:tbl>
    <w:p w14:paraId="276CCC6A">
      <w:pPr>
        <w:bidi w:val="0"/>
        <w:rPr>
          <w:rFonts w:hint="default"/>
          <w:highlight w:val="none"/>
        </w:rPr>
      </w:pPr>
      <w:r>
        <w:rPr>
          <w:rFonts w:hint="eastAsia" w:ascii="Times New Roman" w:hAnsi="Times New Roman" w:cs="Times New Roman"/>
          <w:spacing w:val="0"/>
          <w:position w:val="0"/>
          <w:highlight w:val="none"/>
          <w:lang w:val="en-US" w:eastAsia="zh-CN"/>
        </w:rPr>
        <w:t>3、</w:t>
      </w:r>
      <w:r>
        <w:rPr>
          <w:rFonts w:hint="default" w:ascii="Times New Roman" w:hAnsi="Times New Roman" w:cs="Times New Roman"/>
          <w:spacing w:val="0"/>
          <w:position w:val="0"/>
          <w:highlight w:val="none"/>
        </w:rPr>
        <w:t>生产系</w:t>
      </w:r>
      <w:r>
        <w:rPr>
          <w:rFonts w:hint="default"/>
          <w:highlight w:val="none"/>
        </w:rPr>
        <w:t>统危险性识别</w:t>
      </w:r>
    </w:p>
    <w:p w14:paraId="772370EB">
      <w:pPr>
        <w:bidi w:val="0"/>
        <w:rPr>
          <w:rFonts w:hint="eastAsia" w:eastAsia="宋体"/>
          <w:highlight w:val="none"/>
          <w:lang w:eastAsia="zh-CN"/>
        </w:rPr>
      </w:pPr>
      <w:r>
        <w:rPr>
          <w:rFonts w:hint="default"/>
          <w:highlight w:val="none"/>
          <w:lang w:val="zh-CN"/>
        </w:rPr>
        <w:t>根据本项目工艺流程和平面布置功能分区可知，本项目生产系统危险性识别详见</w:t>
      </w:r>
      <w:r>
        <w:rPr>
          <w:rFonts w:hint="eastAsia"/>
          <w:highlight w:val="none"/>
          <w:lang w:val="en-US" w:eastAsia="zh-CN"/>
        </w:rPr>
        <w:t>下表：</w:t>
      </w:r>
    </w:p>
    <w:p w14:paraId="0E8E1B95">
      <w:pPr>
        <w:pStyle w:val="7"/>
        <w:bidi w:val="0"/>
        <w:rPr>
          <w:rFonts w:hint="default"/>
          <w:highlight w:val="none"/>
        </w:rPr>
      </w:pPr>
      <w:r>
        <w:rPr>
          <w:rFonts w:hint="default"/>
          <w:highlight w:val="none"/>
        </w:rPr>
        <w:t>表3-</w:t>
      </w:r>
      <w:r>
        <w:rPr>
          <w:rFonts w:hint="eastAsia"/>
          <w:highlight w:val="none"/>
          <w:lang w:val="en-US" w:eastAsia="zh-CN"/>
        </w:rPr>
        <w:t>3</w:t>
      </w:r>
      <w:r>
        <w:rPr>
          <w:rFonts w:hint="default"/>
          <w:highlight w:val="none"/>
        </w:rPr>
        <w:t>-</w:t>
      </w:r>
      <w:r>
        <w:rPr>
          <w:rFonts w:hint="eastAsia"/>
          <w:highlight w:val="none"/>
          <w:lang w:val="en-US" w:eastAsia="zh-CN"/>
        </w:rPr>
        <w:t>9</w:t>
      </w:r>
      <w:r>
        <w:rPr>
          <w:rFonts w:hint="default"/>
          <w:highlight w:val="none"/>
        </w:rPr>
        <w:t>本项目生产系统危险性分析一览表</w:t>
      </w:r>
    </w:p>
    <w:tbl>
      <w:tblPr>
        <w:tblStyle w:val="739"/>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355"/>
        <w:gridCol w:w="1485"/>
        <w:gridCol w:w="1110"/>
        <w:gridCol w:w="1500"/>
        <w:gridCol w:w="2856"/>
      </w:tblGrid>
      <w:tr w14:paraId="5807735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43" w:hRule="atLeast"/>
          <w:jc w:val="center"/>
        </w:trPr>
        <w:tc>
          <w:tcPr>
            <w:tcW w:w="1355" w:type="dxa"/>
            <w:tcBorders>
              <w:tl2br w:val="nil"/>
              <w:tr2bl w:val="nil"/>
            </w:tcBorders>
            <w:shd w:val="clear" w:color="auto" w:fill="auto"/>
            <w:vAlign w:val="center"/>
          </w:tcPr>
          <w:p w14:paraId="5DDD6EAE">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危险单元</w:t>
            </w:r>
          </w:p>
        </w:tc>
        <w:tc>
          <w:tcPr>
            <w:tcW w:w="1485" w:type="dxa"/>
            <w:tcBorders>
              <w:tl2br w:val="nil"/>
              <w:tr2bl w:val="nil"/>
            </w:tcBorders>
            <w:shd w:val="clear" w:color="auto" w:fill="auto"/>
            <w:vAlign w:val="center"/>
          </w:tcPr>
          <w:p w14:paraId="7DE7A789">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风险源</w:t>
            </w:r>
          </w:p>
        </w:tc>
        <w:tc>
          <w:tcPr>
            <w:tcW w:w="1110" w:type="dxa"/>
            <w:tcBorders>
              <w:tl2br w:val="nil"/>
              <w:tr2bl w:val="nil"/>
            </w:tcBorders>
            <w:shd w:val="clear" w:color="auto" w:fill="auto"/>
            <w:vAlign w:val="center"/>
          </w:tcPr>
          <w:p w14:paraId="5DDA43CE">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危险物质</w:t>
            </w:r>
          </w:p>
        </w:tc>
        <w:tc>
          <w:tcPr>
            <w:tcW w:w="1500" w:type="dxa"/>
            <w:tcBorders>
              <w:tl2br w:val="nil"/>
              <w:tr2bl w:val="nil"/>
            </w:tcBorders>
            <w:shd w:val="clear" w:color="auto" w:fill="auto"/>
            <w:vAlign w:val="center"/>
          </w:tcPr>
          <w:p w14:paraId="600B4646">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存在条件</w:t>
            </w:r>
          </w:p>
        </w:tc>
        <w:tc>
          <w:tcPr>
            <w:tcW w:w="2856" w:type="dxa"/>
            <w:tcBorders>
              <w:tl2br w:val="nil"/>
              <w:tr2bl w:val="nil"/>
            </w:tcBorders>
            <w:shd w:val="clear" w:color="auto" w:fill="auto"/>
            <w:vAlign w:val="center"/>
          </w:tcPr>
          <w:p w14:paraId="2ED03F51">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转化为事故</w:t>
            </w:r>
          </w:p>
          <w:p w14:paraId="6C94E192">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的触发因素</w:t>
            </w:r>
          </w:p>
        </w:tc>
      </w:tr>
      <w:tr w14:paraId="2BBEF7C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7" w:hRule="atLeast"/>
          <w:jc w:val="center"/>
        </w:trPr>
        <w:tc>
          <w:tcPr>
            <w:tcW w:w="1355" w:type="dxa"/>
            <w:tcBorders>
              <w:tl2br w:val="nil"/>
              <w:tr2bl w:val="nil"/>
            </w:tcBorders>
            <w:shd w:val="clear" w:color="auto" w:fill="auto"/>
            <w:vAlign w:val="center"/>
          </w:tcPr>
          <w:p w14:paraId="67683C0E">
            <w:pPr>
              <w:pStyle w:val="8"/>
              <w:suppressLineNumbers w:val="0"/>
              <w:bidi w:val="0"/>
              <w:spacing w:before="0" w:beforeAutospacing="0" w:after="0" w:afterAutospacing="0"/>
              <w:ind w:left="0" w:right="0"/>
              <w:rPr>
                <w:rFonts w:hint="eastAsia" w:eastAsia="宋体"/>
                <w:snapToGrid w:val="0"/>
                <w:highlight w:val="none"/>
                <w:lang w:eastAsia="zh-CN"/>
              </w:rPr>
            </w:pPr>
            <w:r>
              <w:rPr>
                <w:rFonts w:hint="eastAsia"/>
                <w:snapToGrid w:val="0"/>
                <w:highlight w:val="none"/>
                <w:lang w:val="en-US" w:eastAsia="zh-CN"/>
              </w:rPr>
              <w:t>储存区</w:t>
            </w:r>
          </w:p>
        </w:tc>
        <w:tc>
          <w:tcPr>
            <w:tcW w:w="1485" w:type="dxa"/>
            <w:tcBorders>
              <w:tl2br w:val="nil"/>
              <w:tr2bl w:val="nil"/>
            </w:tcBorders>
            <w:shd w:val="clear" w:color="auto" w:fill="auto"/>
            <w:vAlign w:val="center"/>
          </w:tcPr>
          <w:p w14:paraId="70131711">
            <w:pPr>
              <w:pStyle w:val="8"/>
              <w:suppressLineNumbers w:val="0"/>
              <w:bidi w:val="0"/>
              <w:spacing w:before="0" w:beforeAutospacing="0" w:after="0" w:afterAutospacing="0"/>
              <w:ind w:left="0" w:right="0"/>
              <w:rPr>
                <w:rFonts w:hint="default" w:eastAsia="宋体"/>
                <w:snapToGrid w:val="0"/>
                <w:highlight w:val="none"/>
                <w:lang w:val="en-US" w:eastAsia="zh-CN"/>
              </w:rPr>
            </w:pPr>
            <w:r>
              <w:rPr>
                <w:rFonts w:hint="eastAsia"/>
                <w:snapToGrid w:val="0"/>
                <w:highlight w:val="none"/>
                <w:lang w:val="en-US" w:eastAsia="zh-CN"/>
              </w:rPr>
              <w:t>储存桶、防渗</w:t>
            </w:r>
          </w:p>
        </w:tc>
        <w:tc>
          <w:tcPr>
            <w:tcW w:w="1110" w:type="dxa"/>
            <w:tcBorders>
              <w:tl2br w:val="nil"/>
              <w:tr2bl w:val="nil"/>
            </w:tcBorders>
            <w:shd w:val="clear" w:color="auto" w:fill="auto"/>
            <w:vAlign w:val="center"/>
          </w:tcPr>
          <w:p w14:paraId="541880F8">
            <w:pPr>
              <w:pStyle w:val="8"/>
              <w:suppressLineNumbers w:val="0"/>
              <w:bidi w:val="0"/>
              <w:spacing w:before="0" w:beforeAutospacing="0" w:after="0" w:afterAutospacing="0"/>
              <w:ind w:left="0" w:right="0"/>
              <w:rPr>
                <w:rFonts w:hint="eastAsia" w:eastAsia="宋体"/>
                <w:snapToGrid w:val="0"/>
                <w:highlight w:val="none"/>
                <w:lang w:eastAsia="zh-CN"/>
              </w:rPr>
            </w:pPr>
            <w:r>
              <w:rPr>
                <w:rFonts w:hint="eastAsia"/>
                <w:snapToGrid w:val="0"/>
                <w:highlight w:val="none"/>
                <w:lang w:val="en-US" w:eastAsia="zh-CN"/>
              </w:rPr>
              <w:t>油类物质</w:t>
            </w:r>
          </w:p>
        </w:tc>
        <w:tc>
          <w:tcPr>
            <w:tcW w:w="1500" w:type="dxa"/>
            <w:tcBorders>
              <w:tl2br w:val="nil"/>
              <w:tr2bl w:val="nil"/>
            </w:tcBorders>
            <w:shd w:val="clear" w:color="auto" w:fill="auto"/>
            <w:vAlign w:val="center"/>
          </w:tcPr>
          <w:p w14:paraId="31B056E1">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eastAsia="en-US"/>
              </w:rPr>
              <w:t>常温、常压</w:t>
            </w:r>
          </w:p>
        </w:tc>
        <w:tc>
          <w:tcPr>
            <w:tcW w:w="2856" w:type="dxa"/>
            <w:tcBorders>
              <w:tl2br w:val="nil"/>
              <w:tr2bl w:val="nil"/>
            </w:tcBorders>
            <w:shd w:val="clear" w:color="auto" w:fill="auto"/>
            <w:vAlign w:val="center"/>
          </w:tcPr>
          <w:p w14:paraId="74670121">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zh-CN"/>
              </w:rPr>
              <w:t>储存桶、防渗破损</w:t>
            </w:r>
            <w:r>
              <w:rPr>
                <w:rFonts w:hint="default"/>
                <w:snapToGrid w:val="0"/>
                <w:highlight w:val="none"/>
              </w:rPr>
              <w:t>等引发泄漏</w:t>
            </w:r>
          </w:p>
        </w:tc>
      </w:tr>
    </w:tbl>
    <w:p w14:paraId="4EDD1002">
      <w:pPr>
        <w:bidi w:val="0"/>
        <w:rPr>
          <w:rFonts w:hint="default"/>
          <w:highlight w:val="none"/>
        </w:rPr>
      </w:pPr>
      <w:r>
        <w:rPr>
          <w:rFonts w:hint="default"/>
          <w:highlight w:val="none"/>
        </w:rPr>
        <w:t>（1）生产装置风险识别</w:t>
      </w:r>
    </w:p>
    <w:p w14:paraId="4ED6063F">
      <w:pPr>
        <w:bidi w:val="0"/>
        <w:rPr>
          <w:rFonts w:hint="default"/>
          <w:highlight w:val="none"/>
        </w:rPr>
      </w:pPr>
      <w:r>
        <w:rPr>
          <w:rFonts w:hint="default"/>
          <w:highlight w:val="none"/>
        </w:rPr>
        <w:t>生产操作过程中必须加强安全管理，提高事故防范措施。突发性污染事故，将造成巨大的经济损失，以及社会不安定因素，同时对生态环境也会造成严重的破坏。因此，做好突发性环境污染事故的预防，提高对突发性污染事故的应急处理和处置能力，对企业具有重要的意义。发生突发性污染事故的诱发因素很多，其中被认为重要的因素有：</w:t>
      </w:r>
    </w:p>
    <w:p w14:paraId="113AFA39">
      <w:pPr>
        <w:bidi w:val="0"/>
        <w:rPr>
          <w:rFonts w:hint="default"/>
          <w:highlight w:val="none"/>
        </w:rPr>
      </w:pPr>
      <w:r>
        <w:rPr>
          <w:rFonts w:hint="default"/>
          <w:highlight w:val="none"/>
        </w:rPr>
        <w:t>①设计上存在缺陷；</w:t>
      </w:r>
    </w:p>
    <w:p w14:paraId="436375C9">
      <w:pPr>
        <w:bidi w:val="0"/>
        <w:rPr>
          <w:rFonts w:hint="default"/>
          <w:highlight w:val="none"/>
        </w:rPr>
      </w:pPr>
      <w:r>
        <w:rPr>
          <w:rFonts w:hint="default"/>
          <w:highlight w:val="none"/>
        </w:rPr>
        <w:t>②设备质量差，或过度超时、超负荷运转；</w:t>
      </w:r>
    </w:p>
    <w:p w14:paraId="11657973">
      <w:pPr>
        <w:bidi w:val="0"/>
        <w:rPr>
          <w:rFonts w:hint="default"/>
          <w:highlight w:val="none"/>
        </w:rPr>
      </w:pPr>
      <w:r>
        <w:rPr>
          <w:rFonts w:hint="default"/>
          <w:highlight w:val="none"/>
        </w:rPr>
        <w:t>③管理或指挥失误；</w:t>
      </w:r>
    </w:p>
    <w:p w14:paraId="5BBC2345">
      <w:pPr>
        <w:bidi w:val="0"/>
        <w:rPr>
          <w:rFonts w:hint="default"/>
          <w:highlight w:val="none"/>
        </w:rPr>
      </w:pPr>
      <w:r>
        <w:rPr>
          <w:rFonts w:hint="default"/>
          <w:highlight w:val="none"/>
        </w:rPr>
        <w:t>④违章操作；</w:t>
      </w:r>
    </w:p>
    <w:p w14:paraId="3E77DD12">
      <w:pPr>
        <w:bidi w:val="0"/>
        <w:rPr>
          <w:rFonts w:hint="default"/>
          <w:highlight w:val="none"/>
        </w:rPr>
      </w:pPr>
      <w:r>
        <w:rPr>
          <w:rFonts w:hint="default"/>
          <w:highlight w:val="none"/>
        </w:rPr>
        <w:t>⑤废气处理设施出现故障或是长时间没有经过整修清理。</w:t>
      </w:r>
    </w:p>
    <w:p w14:paraId="1D784640">
      <w:pPr>
        <w:bidi w:val="0"/>
        <w:rPr>
          <w:rFonts w:hint="default"/>
          <w:highlight w:val="none"/>
        </w:rPr>
      </w:pPr>
      <w:r>
        <w:rPr>
          <w:rFonts w:hint="default"/>
          <w:highlight w:val="none"/>
        </w:rPr>
        <w:t>因此，针对本项目实际设备生产情况和危险化学品使用情景，本项目生产装置涉及风险如下：</w:t>
      </w:r>
    </w:p>
    <w:p w14:paraId="2F3F3251">
      <w:pPr>
        <w:bidi w:val="0"/>
        <w:rPr>
          <w:rFonts w:hint="default"/>
          <w:highlight w:val="none"/>
        </w:rPr>
      </w:pPr>
      <w:r>
        <w:rPr>
          <w:rFonts w:hint="eastAsia"/>
          <w:highlight w:val="none"/>
          <w:lang w:val="en-US" w:eastAsia="zh-CN"/>
        </w:rPr>
        <w:t>油类物质</w:t>
      </w:r>
      <w:r>
        <w:rPr>
          <w:rFonts w:hint="default"/>
          <w:highlight w:val="none"/>
        </w:rPr>
        <w:t>泄漏：进入土壤和地下水对其造成不利影响。</w:t>
      </w:r>
    </w:p>
    <w:p w14:paraId="3C417B2C">
      <w:pPr>
        <w:bidi w:val="0"/>
        <w:rPr>
          <w:rFonts w:hint="default"/>
          <w:highlight w:val="none"/>
        </w:rPr>
      </w:pPr>
      <w:r>
        <w:rPr>
          <w:rFonts w:hint="default"/>
          <w:highlight w:val="none"/>
        </w:rPr>
        <w:t>（2）贮存系统风险识别</w:t>
      </w:r>
    </w:p>
    <w:p w14:paraId="36393E00">
      <w:pPr>
        <w:bidi w:val="0"/>
        <w:rPr>
          <w:rFonts w:hint="default"/>
          <w:highlight w:val="none"/>
        </w:rPr>
      </w:pPr>
      <w:r>
        <w:rPr>
          <w:rFonts w:hint="default"/>
          <w:highlight w:val="none"/>
        </w:rPr>
        <w:t>本项目危险品的储存过程的环境风险为</w:t>
      </w:r>
      <w:r>
        <w:rPr>
          <w:rFonts w:hint="eastAsia"/>
          <w:highlight w:val="none"/>
          <w:lang w:val="en-US" w:eastAsia="zh-CN"/>
        </w:rPr>
        <w:t>储存桶或吨袋</w:t>
      </w:r>
      <w:r>
        <w:rPr>
          <w:rFonts w:hint="default"/>
          <w:highlight w:val="none"/>
        </w:rPr>
        <w:t>意外破损，液体会发生泄漏事故，进而引发其它次生灾害。</w:t>
      </w:r>
    </w:p>
    <w:p w14:paraId="2A6FCB72">
      <w:pPr>
        <w:bidi w:val="0"/>
        <w:rPr>
          <w:rFonts w:eastAsiaTheme="minorEastAsia"/>
          <w:sz w:val="24"/>
          <w:highlight w:val="none"/>
        </w:rPr>
      </w:pPr>
      <w:r>
        <w:rPr>
          <w:rFonts w:hint="eastAsia"/>
          <w:highlight w:val="none"/>
          <w:lang w:val="en-US" w:eastAsia="zh-CN"/>
        </w:rPr>
        <w:t>油类物质</w:t>
      </w:r>
      <w:r>
        <w:rPr>
          <w:rFonts w:hint="default"/>
          <w:highlight w:val="none"/>
        </w:rPr>
        <w:t>泄漏：进入土壤和地下水对其造成不利影响。</w:t>
      </w:r>
    </w:p>
    <w:p w14:paraId="653ECA87">
      <w:pPr>
        <w:pStyle w:val="3"/>
        <w:bidi w:val="0"/>
        <w:rPr>
          <w:highlight w:val="none"/>
        </w:rPr>
      </w:pPr>
      <w:bookmarkStart w:id="289" w:name="_Toc31300"/>
      <w:bookmarkStart w:id="290" w:name="_Toc9643"/>
      <w:bookmarkStart w:id="291" w:name="_Toc19966"/>
      <w:r>
        <w:rPr>
          <w:highlight w:val="none"/>
        </w:rPr>
        <w:t>3.</w:t>
      </w:r>
      <w:r>
        <w:rPr>
          <w:rFonts w:hint="eastAsia"/>
          <w:highlight w:val="none"/>
          <w:lang w:val="en-US" w:eastAsia="zh-CN"/>
        </w:rPr>
        <w:t>4</w:t>
      </w:r>
      <w:r>
        <w:rPr>
          <w:highlight w:val="none"/>
        </w:rPr>
        <w:t>清洁生产</w:t>
      </w:r>
      <w:bookmarkEnd w:id="288"/>
      <w:bookmarkEnd w:id="289"/>
      <w:bookmarkEnd w:id="290"/>
      <w:bookmarkEnd w:id="291"/>
    </w:p>
    <w:p w14:paraId="33609B5E">
      <w:pPr>
        <w:bidi w:val="0"/>
        <w:rPr>
          <w:highlight w:val="none"/>
        </w:rPr>
      </w:pPr>
      <w:r>
        <w:rPr>
          <w:highlight w:val="none"/>
        </w:rPr>
        <w:t>推行清洁生产是实施生产全过程控制、进行整体污染预防，可实现节能、降耗、减污、增效，是实现达标排放和污染物总量控制的重要手段，是我国环境保护的重大策略。国务院于2002年6月1日颁布了《中华人民共和国清洁生产促进法》，并于2003年1月1日起正式实施。清洁生产是指在可行的范围内减少最初产生的或随后经过处理、分类或处置的有害废物，达到</w:t>
      </w:r>
      <w:r>
        <w:rPr>
          <w:rFonts w:hint="eastAsia"/>
          <w:highlight w:val="none"/>
          <w:lang w:eastAsia="zh-CN"/>
        </w:rPr>
        <w:t>“</w:t>
      </w:r>
      <w:r>
        <w:rPr>
          <w:highlight w:val="none"/>
        </w:rPr>
        <w:t>废物最小化</w:t>
      </w:r>
      <w:r>
        <w:rPr>
          <w:rFonts w:hint="eastAsia"/>
          <w:highlight w:val="none"/>
          <w:lang w:eastAsia="zh-CN"/>
        </w:rPr>
        <w:t>”</w:t>
      </w:r>
      <w:r>
        <w:rPr>
          <w:highlight w:val="none"/>
        </w:rPr>
        <w:t>。</w:t>
      </w:r>
    </w:p>
    <w:p w14:paraId="622EFCBC">
      <w:pPr>
        <w:bidi w:val="0"/>
        <w:rPr>
          <w:highlight w:val="none"/>
        </w:rPr>
      </w:pPr>
      <w:bookmarkStart w:id="292" w:name="_Toc4491"/>
      <w:r>
        <w:rPr>
          <w:highlight w:val="none"/>
        </w:rPr>
        <w:t>1、清洁生产及清洁生产要素</w:t>
      </w:r>
      <w:bookmarkEnd w:id="292"/>
    </w:p>
    <w:p w14:paraId="61DD14BE">
      <w:pPr>
        <w:bidi w:val="0"/>
        <w:rPr>
          <w:highlight w:val="none"/>
        </w:rPr>
      </w:pPr>
      <w:r>
        <w:rPr>
          <w:highlight w:val="none"/>
        </w:rPr>
        <w:t>清洁生产在全球范围内被越来越多的国家认为是</w:t>
      </w:r>
      <w:r>
        <w:rPr>
          <w:rFonts w:hint="eastAsia"/>
          <w:highlight w:val="none"/>
          <w:lang w:eastAsia="zh-CN"/>
        </w:rPr>
        <w:t>一次</w:t>
      </w:r>
      <w:r>
        <w:rPr>
          <w:highlight w:val="none"/>
        </w:rPr>
        <w:t>预防污染的最佳战略，已经得到人们重视，环境保护工作由过去的单一末端治理转向清洁生产及综合利用</w:t>
      </w:r>
    </w:p>
    <w:p w14:paraId="4F301D99">
      <w:pPr>
        <w:bidi w:val="0"/>
        <w:rPr>
          <w:highlight w:val="none"/>
        </w:rPr>
      </w:pPr>
      <w:r>
        <w:rPr>
          <w:highlight w:val="none"/>
        </w:rPr>
        <w:t>为主的预防治理战略。所谓的清洁生产，是指不断采取改进技术、使用清洁的能</w:t>
      </w:r>
    </w:p>
    <w:p w14:paraId="688E3ADD">
      <w:pPr>
        <w:bidi w:val="0"/>
        <w:rPr>
          <w:highlight w:val="none"/>
        </w:rPr>
      </w:pPr>
      <w:r>
        <w:rPr>
          <w:highlight w:val="none"/>
        </w:rPr>
        <w:t>源和原料、采用先进的工艺技术和设备、改善管理、综合利用等措施，从源头削</w:t>
      </w:r>
    </w:p>
    <w:p w14:paraId="14D2DDC5">
      <w:pPr>
        <w:bidi w:val="0"/>
        <w:rPr>
          <w:highlight w:val="none"/>
        </w:rPr>
      </w:pPr>
      <w:r>
        <w:rPr>
          <w:highlight w:val="none"/>
        </w:rPr>
        <w:t>减污染，提高资源利用效率，减少或者避免生产、服务和产品使用过程中污染物</w:t>
      </w:r>
    </w:p>
    <w:p w14:paraId="2DD0F991">
      <w:pPr>
        <w:bidi w:val="0"/>
        <w:rPr>
          <w:highlight w:val="none"/>
        </w:rPr>
      </w:pPr>
      <w:r>
        <w:rPr>
          <w:highlight w:val="none"/>
        </w:rPr>
        <w:t>的产生和排放，以减轻或者消除对人类健康和环境的危害。</w:t>
      </w:r>
    </w:p>
    <w:p w14:paraId="67A04DAB">
      <w:pPr>
        <w:bidi w:val="0"/>
        <w:rPr>
          <w:highlight w:val="none"/>
        </w:rPr>
      </w:pPr>
      <w:r>
        <w:rPr>
          <w:highlight w:val="none"/>
        </w:rPr>
        <w:t>清洁生产要素主要体现在以下三个方面：</w:t>
      </w:r>
    </w:p>
    <w:p w14:paraId="40F7311B">
      <w:pPr>
        <w:bidi w:val="0"/>
        <w:rPr>
          <w:highlight w:val="none"/>
        </w:rPr>
      </w:pPr>
      <w:r>
        <w:rPr>
          <w:highlight w:val="none"/>
        </w:rPr>
        <w:t>（1）对生产过程，要求节约原材料和能源，淘汰有毒原材料，减降所有废弃物的数量和毒性；</w:t>
      </w:r>
    </w:p>
    <w:p w14:paraId="54C6C4CD">
      <w:pPr>
        <w:bidi w:val="0"/>
        <w:rPr>
          <w:highlight w:val="none"/>
        </w:rPr>
      </w:pPr>
      <w:r>
        <w:rPr>
          <w:highlight w:val="none"/>
        </w:rPr>
        <w:t>（2）对产品，要求减少从原材料提炼到产品最终处置的整个生命周期的不利影响；</w:t>
      </w:r>
    </w:p>
    <w:p w14:paraId="370B8619">
      <w:pPr>
        <w:bidi w:val="0"/>
        <w:rPr>
          <w:highlight w:val="none"/>
        </w:rPr>
      </w:pPr>
      <w:r>
        <w:rPr>
          <w:highlight w:val="none"/>
        </w:rPr>
        <w:t>（3）服务，要求将环境因素纳入设计和所提供的服务中。推行清洁生产的目的就是将整体预防的环境战略应用于生产过程、产品和服务中，以提高能源和物料的利用、降低对能源的过度使用、减少人类和环境的自身的风险。以实现资源环境与经济发展双赢。</w:t>
      </w:r>
    </w:p>
    <w:p w14:paraId="262A9A21">
      <w:pPr>
        <w:bidi w:val="0"/>
        <w:rPr>
          <w:highlight w:val="none"/>
        </w:rPr>
      </w:pPr>
      <w:bookmarkStart w:id="293" w:name="_Toc20648"/>
      <w:r>
        <w:rPr>
          <w:highlight w:val="none"/>
        </w:rPr>
        <w:t>2、清洁生产水平分析</w:t>
      </w:r>
      <w:bookmarkEnd w:id="293"/>
    </w:p>
    <w:p w14:paraId="12E1939F">
      <w:pPr>
        <w:bidi w:val="0"/>
        <w:rPr>
          <w:rFonts w:hint="default"/>
          <w:highlight w:val="none"/>
        </w:rPr>
      </w:pPr>
      <w:r>
        <w:rPr>
          <w:rFonts w:hint="default"/>
          <w:highlight w:val="none"/>
        </w:rPr>
        <w:t>（1）原辅材料和能源的清洁性分析</w:t>
      </w:r>
    </w:p>
    <w:p w14:paraId="1904301E">
      <w:pPr>
        <w:bidi w:val="0"/>
        <w:rPr>
          <w:rFonts w:hint="default"/>
          <w:highlight w:val="none"/>
        </w:rPr>
      </w:pPr>
      <w:r>
        <w:rPr>
          <w:rFonts w:hint="default"/>
          <w:highlight w:val="none"/>
        </w:rPr>
        <w:t>建设项目生产活动是</w:t>
      </w:r>
      <w:r>
        <w:rPr>
          <w:rFonts w:hint="eastAsia"/>
          <w:highlight w:val="none"/>
          <w:lang w:val="en-US" w:eastAsia="zh-CN"/>
        </w:rPr>
        <w:t>对含油金属屑破碎、甩干</w:t>
      </w:r>
      <w:r>
        <w:rPr>
          <w:rFonts w:hint="default"/>
          <w:highlight w:val="none"/>
        </w:rPr>
        <w:t>；所用能源为电能，为清洁能源。</w:t>
      </w:r>
      <w:r>
        <w:rPr>
          <w:rFonts w:hint="eastAsia" w:ascii="宋体" w:hAnsi="宋体" w:eastAsia="宋体" w:cs="宋体"/>
          <w:highlight w:val="none"/>
        </w:rPr>
        <w:t>本项目主要为员工生活用水，用水量较小。</w:t>
      </w:r>
    </w:p>
    <w:p w14:paraId="6CB55BAF">
      <w:pPr>
        <w:bidi w:val="0"/>
        <w:rPr>
          <w:rFonts w:hint="default"/>
          <w:highlight w:val="none"/>
        </w:rPr>
      </w:pPr>
      <w:r>
        <w:rPr>
          <w:rFonts w:hint="default"/>
          <w:highlight w:val="none"/>
        </w:rPr>
        <w:t>（2）生产工艺先进性和清洁性分析</w:t>
      </w:r>
    </w:p>
    <w:p w14:paraId="1CA6C809">
      <w:pPr>
        <w:ind w:firstLine="480"/>
        <w:rPr>
          <w:rFonts w:hint="eastAsia" w:ascii="宋体" w:hAnsi="宋体" w:eastAsia="宋体" w:cs="宋体"/>
          <w:highlight w:val="none"/>
        </w:rPr>
      </w:pPr>
      <w:r>
        <w:rPr>
          <w:rFonts w:hint="default"/>
          <w:highlight w:val="none"/>
          <w:lang w:val="zh-CN"/>
        </w:rPr>
        <w:t>本项目生产活动是</w:t>
      </w:r>
      <w:r>
        <w:rPr>
          <w:rFonts w:hint="eastAsia"/>
          <w:highlight w:val="none"/>
          <w:lang w:val="en-US" w:eastAsia="zh-CN"/>
        </w:rPr>
        <w:t>对含油金属屑破碎、甩干</w:t>
      </w:r>
      <w:r>
        <w:rPr>
          <w:rFonts w:hint="default"/>
          <w:highlight w:val="none"/>
          <w:lang w:val="zh-CN"/>
        </w:rPr>
        <w:t>；</w:t>
      </w:r>
      <w:r>
        <w:rPr>
          <w:rFonts w:hint="default"/>
          <w:highlight w:val="none"/>
        </w:rPr>
        <w:t>项目所采用设备均选用先进设备，</w:t>
      </w:r>
      <w:r>
        <w:rPr>
          <w:rFonts w:hint="default"/>
          <w:highlight w:val="none"/>
          <w:lang w:val="zh-CN"/>
        </w:rPr>
        <w:t>具有工艺、设备运行稳定性好的特点。</w:t>
      </w:r>
      <w:r>
        <w:rPr>
          <w:rFonts w:hint="eastAsia" w:ascii="宋体" w:hAnsi="宋体" w:eastAsia="宋体" w:cs="宋体"/>
          <w:highlight w:val="none"/>
        </w:rPr>
        <w:t>本项目属于危险废物综合利用项目，一方面将</w:t>
      </w:r>
      <w:r>
        <w:rPr>
          <w:rFonts w:hint="eastAsia" w:ascii="宋体" w:hAnsi="宋体" w:eastAsia="宋体" w:cs="宋体"/>
          <w:highlight w:val="none"/>
          <w:lang w:val="en-US" w:eastAsia="zh-CN"/>
        </w:rPr>
        <w:t>机加</w:t>
      </w:r>
      <w:r>
        <w:rPr>
          <w:rFonts w:hint="eastAsia" w:ascii="宋体" w:hAnsi="宋体" w:eastAsia="宋体" w:cs="宋体"/>
          <w:highlight w:val="none"/>
        </w:rPr>
        <w:t>企业产生的</w:t>
      </w:r>
      <w:r>
        <w:rPr>
          <w:rFonts w:hint="eastAsia" w:ascii="宋体" w:hAnsi="宋体" w:eastAsia="宋体" w:cs="宋体"/>
          <w:highlight w:val="none"/>
          <w:lang w:val="en-US" w:eastAsia="zh-CN"/>
        </w:rPr>
        <w:t>含油金属屑</w:t>
      </w:r>
      <w:r>
        <w:rPr>
          <w:rFonts w:hint="eastAsia" w:ascii="宋体" w:hAnsi="宋体" w:eastAsia="宋体" w:cs="宋体"/>
          <w:highlight w:val="none"/>
        </w:rPr>
        <w:t>加以利用，减少了废物的排放，另一方面生产的产品</w:t>
      </w:r>
      <w:r>
        <w:rPr>
          <w:rFonts w:hint="eastAsia" w:ascii="宋体" w:hAnsi="宋体" w:eastAsia="宋体" w:cs="宋体"/>
          <w:highlight w:val="none"/>
          <w:lang w:val="en-US" w:eastAsia="zh-CN"/>
        </w:rPr>
        <w:t>金属屑</w:t>
      </w:r>
      <w:r>
        <w:rPr>
          <w:rFonts w:hint="eastAsia" w:ascii="宋体" w:hAnsi="宋体" w:eastAsia="宋体" w:cs="宋体"/>
          <w:highlight w:val="none"/>
        </w:rPr>
        <w:t>可以用到相关需行业中，降低了资源能源的消耗，符合减污减排、节能降耗的要求。</w:t>
      </w:r>
    </w:p>
    <w:p w14:paraId="0558E0BC">
      <w:pPr>
        <w:bidi w:val="0"/>
        <w:rPr>
          <w:rFonts w:hint="default"/>
          <w:highlight w:val="none"/>
          <w:lang w:val="zh-CN"/>
        </w:rPr>
      </w:pPr>
    </w:p>
    <w:p w14:paraId="19745E13">
      <w:pPr>
        <w:bidi w:val="0"/>
        <w:rPr>
          <w:rFonts w:hint="default"/>
          <w:highlight w:val="none"/>
        </w:rPr>
      </w:pPr>
      <w:r>
        <w:rPr>
          <w:rFonts w:hint="default"/>
          <w:highlight w:val="none"/>
          <w:lang w:val="zh-CN"/>
        </w:rPr>
        <w:t>①</w:t>
      </w:r>
      <w:r>
        <w:rPr>
          <w:rFonts w:hint="default"/>
          <w:highlight w:val="none"/>
        </w:rPr>
        <w:t>废水处理</w:t>
      </w:r>
    </w:p>
    <w:p w14:paraId="01A6850E">
      <w:pPr>
        <w:bidi w:val="0"/>
        <w:rPr>
          <w:rFonts w:hint="default"/>
          <w:highlight w:val="none"/>
        </w:rPr>
      </w:pPr>
      <w:r>
        <w:rPr>
          <w:rFonts w:hint="eastAsia"/>
          <w:highlight w:val="none"/>
          <w:lang w:val="en-US" w:eastAsia="zh-CN"/>
        </w:rPr>
        <w:t>本项目不产生生产废水，生活废水经市政管网排入平房污水处理厂处理达标后排入何家沟，汇入松花江</w:t>
      </w:r>
      <w:r>
        <w:rPr>
          <w:rFonts w:hint="default"/>
          <w:highlight w:val="none"/>
        </w:rPr>
        <w:t>。</w:t>
      </w:r>
    </w:p>
    <w:p w14:paraId="5FC7CD29">
      <w:pPr>
        <w:bidi w:val="0"/>
        <w:rPr>
          <w:rFonts w:hint="default"/>
          <w:highlight w:val="none"/>
        </w:rPr>
      </w:pPr>
      <w:r>
        <w:rPr>
          <w:rFonts w:hint="default"/>
          <w:highlight w:val="none"/>
        </w:rPr>
        <w:t>②废气治理</w:t>
      </w:r>
    </w:p>
    <w:p w14:paraId="7E633CDB">
      <w:pPr>
        <w:bidi w:val="0"/>
        <w:rPr>
          <w:rFonts w:hint="default"/>
          <w:highlight w:val="none"/>
        </w:rPr>
      </w:pPr>
      <w:r>
        <w:rPr>
          <w:rFonts w:hint="default"/>
          <w:highlight w:val="none"/>
        </w:rPr>
        <w:t>生产车间废气收集后经油雾净化器+活性炭吸附装置处理后由15m高排气筒（DA001）排放，危险废物贮存库及原料贮存区废气收集后经活性炭吸附装置处理后由15m高排气筒（DA001）排放。该工艺具有耗功少，无破碎粉尘，减少挥发性有机物的挥发释放，运行成本低等特点。</w:t>
      </w:r>
    </w:p>
    <w:p w14:paraId="74BD4066">
      <w:pPr>
        <w:bidi w:val="0"/>
        <w:rPr>
          <w:rFonts w:hint="eastAsia" w:eastAsia="宋体"/>
          <w:highlight w:val="none"/>
          <w:lang w:eastAsia="zh-CN"/>
        </w:rPr>
      </w:pPr>
      <w:r>
        <w:rPr>
          <w:rFonts w:hint="default"/>
          <w:highlight w:val="none"/>
        </w:rPr>
        <w:t>③</w:t>
      </w:r>
      <w:r>
        <w:rPr>
          <w:rFonts w:hint="eastAsia"/>
          <w:highlight w:val="none"/>
          <w:lang w:val="en-US" w:eastAsia="zh-CN"/>
        </w:rPr>
        <w:t>危险废物</w:t>
      </w:r>
    </w:p>
    <w:p w14:paraId="02DF24E1">
      <w:pPr>
        <w:bidi w:val="0"/>
        <w:rPr>
          <w:rFonts w:hint="eastAsia" w:eastAsia="宋体"/>
          <w:highlight w:val="none"/>
          <w:lang w:eastAsia="zh-CN"/>
        </w:rPr>
      </w:pPr>
      <w:r>
        <w:rPr>
          <w:rFonts w:hint="default"/>
          <w:highlight w:val="none"/>
        </w:rPr>
        <w:t>本项目</w:t>
      </w:r>
      <w:r>
        <w:rPr>
          <w:rFonts w:hint="eastAsia"/>
          <w:highlight w:val="none"/>
          <w:lang w:val="en-US" w:eastAsia="zh-CN"/>
        </w:rPr>
        <w:t>产生的废液经生产设备排放口直接排入储存桶中</w:t>
      </w:r>
      <w:r>
        <w:rPr>
          <w:rFonts w:hint="default"/>
          <w:highlight w:val="none"/>
        </w:rPr>
        <w:t>，减少了</w:t>
      </w:r>
      <w:r>
        <w:rPr>
          <w:rFonts w:hint="eastAsia"/>
          <w:highlight w:val="none"/>
          <w:lang w:val="en-US" w:eastAsia="zh-CN"/>
        </w:rPr>
        <w:t>油类物质</w:t>
      </w:r>
      <w:r>
        <w:rPr>
          <w:rFonts w:hint="default"/>
          <w:highlight w:val="none"/>
        </w:rPr>
        <w:t>装卸的综合能耗</w:t>
      </w:r>
      <w:r>
        <w:rPr>
          <w:rFonts w:hint="eastAsia"/>
          <w:highlight w:val="none"/>
          <w:lang w:eastAsia="zh-CN"/>
        </w:rPr>
        <w:t>、</w:t>
      </w:r>
      <w:r>
        <w:rPr>
          <w:rFonts w:hint="eastAsia"/>
          <w:highlight w:val="none"/>
          <w:lang w:val="en-US" w:eastAsia="zh-CN"/>
        </w:rPr>
        <w:t>废油经收集后由密闭包装桶储存；废活性炭及废过滤材料密闭袋装收集后交由有资质单位处置</w:t>
      </w:r>
      <w:r>
        <w:rPr>
          <w:rFonts w:hint="default"/>
          <w:highlight w:val="none"/>
        </w:rPr>
        <w:t>。</w:t>
      </w:r>
      <w:r>
        <w:rPr>
          <w:rFonts w:hint="eastAsia" w:ascii="宋体" w:hAnsi="宋体" w:eastAsia="宋体" w:cs="宋体"/>
          <w:highlight w:val="none"/>
        </w:rPr>
        <w:t>通过采取以上各项措施后，项目产生的</w:t>
      </w:r>
      <w:r>
        <w:rPr>
          <w:rFonts w:hint="eastAsia" w:ascii="宋体" w:hAnsi="宋体" w:eastAsia="宋体" w:cs="宋体"/>
          <w:highlight w:val="none"/>
          <w:lang w:val="en-US" w:eastAsia="zh-CN"/>
        </w:rPr>
        <w:t>固体废物</w:t>
      </w:r>
      <w:r>
        <w:rPr>
          <w:rFonts w:hint="eastAsia" w:ascii="宋体" w:hAnsi="宋体" w:eastAsia="宋体" w:cs="宋体"/>
          <w:highlight w:val="none"/>
        </w:rPr>
        <w:t>均得到有效的处理，故对周围环境影响</w:t>
      </w:r>
      <w:r>
        <w:rPr>
          <w:rFonts w:hint="eastAsia" w:ascii="宋体" w:hAnsi="宋体" w:eastAsia="宋体" w:cs="宋体"/>
          <w:highlight w:val="none"/>
          <w:lang w:val="en-US" w:eastAsia="zh-CN"/>
        </w:rPr>
        <w:t>很</w:t>
      </w:r>
      <w:r>
        <w:rPr>
          <w:rFonts w:hint="eastAsia" w:ascii="宋体" w:hAnsi="宋体" w:eastAsia="宋体" w:cs="宋体"/>
          <w:highlight w:val="none"/>
        </w:rPr>
        <w:t>小</w:t>
      </w:r>
      <w:r>
        <w:rPr>
          <w:rFonts w:hint="eastAsia" w:ascii="宋体" w:hAnsi="宋体" w:eastAsia="宋体" w:cs="宋体"/>
          <w:highlight w:val="none"/>
          <w:lang w:eastAsia="zh-CN"/>
        </w:rPr>
        <w:t>。</w:t>
      </w:r>
    </w:p>
    <w:p w14:paraId="2A2A69D0">
      <w:pPr>
        <w:bidi w:val="0"/>
        <w:rPr>
          <w:rFonts w:hint="default"/>
          <w:highlight w:val="none"/>
        </w:rPr>
      </w:pPr>
      <w:r>
        <w:rPr>
          <w:rFonts w:hint="default"/>
          <w:highlight w:val="none"/>
        </w:rPr>
        <w:t>（3）生产过程控制</w:t>
      </w:r>
    </w:p>
    <w:p w14:paraId="4FA894C3">
      <w:pPr>
        <w:bidi w:val="0"/>
        <w:rPr>
          <w:rFonts w:hint="default"/>
          <w:highlight w:val="none"/>
        </w:rPr>
      </w:pPr>
      <w:r>
        <w:rPr>
          <w:rFonts w:hint="default"/>
          <w:highlight w:val="none"/>
        </w:rPr>
        <w:t>对</w:t>
      </w:r>
      <w:r>
        <w:rPr>
          <w:rFonts w:hint="eastAsia"/>
          <w:highlight w:val="none"/>
          <w:lang w:val="en-US" w:eastAsia="zh-CN"/>
        </w:rPr>
        <w:t>含油金属屑</w:t>
      </w:r>
      <w:r>
        <w:rPr>
          <w:rFonts w:hint="default"/>
          <w:highlight w:val="none"/>
        </w:rPr>
        <w:t>收贮、</w:t>
      </w:r>
      <w:r>
        <w:rPr>
          <w:rFonts w:hint="eastAsia"/>
          <w:highlight w:val="none"/>
          <w:lang w:val="en-US" w:eastAsia="zh-CN"/>
        </w:rPr>
        <w:t>甩干</w:t>
      </w:r>
      <w:r>
        <w:rPr>
          <w:rFonts w:hint="default"/>
          <w:highlight w:val="none"/>
        </w:rPr>
        <w:t>、利用全过程实施清洁生产控制，依据《中华人民共和国清洁生产促进法》（2012年7月1日）、《危险废物贮存污染控制标准》（GB18597-2023）、《危险废物收集、贮存、运输技术规范》（HJ2025-2012）、《危险废物污染防治技术政策》（环发【2001】199号）等法律、法规、技术规范、标准要求，实施全过程污染控制，以满足</w:t>
      </w:r>
      <w:r>
        <w:rPr>
          <w:rFonts w:hint="eastAsia"/>
          <w:highlight w:val="none"/>
          <w:lang w:val="en-US" w:eastAsia="zh-CN"/>
        </w:rPr>
        <w:t>含油金属屑</w:t>
      </w:r>
      <w:r>
        <w:rPr>
          <w:rFonts w:hint="default"/>
          <w:highlight w:val="none"/>
        </w:rPr>
        <w:t>的收集、贮存、处理与处置的技术规范及环境保护要求。</w:t>
      </w:r>
    </w:p>
    <w:p w14:paraId="46981D55">
      <w:pPr>
        <w:bidi w:val="0"/>
        <w:rPr>
          <w:rFonts w:hint="default"/>
          <w:highlight w:val="none"/>
        </w:rPr>
      </w:pPr>
      <w:r>
        <w:rPr>
          <w:rFonts w:hint="default"/>
          <w:highlight w:val="none"/>
        </w:rPr>
        <w:t>（4）环境管理要求</w:t>
      </w:r>
    </w:p>
    <w:p w14:paraId="58748E4F">
      <w:pPr>
        <w:bidi w:val="0"/>
        <w:rPr>
          <w:rFonts w:hint="default"/>
          <w:highlight w:val="none"/>
        </w:rPr>
      </w:pPr>
      <w:r>
        <w:rPr>
          <w:rFonts w:hint="default"/>
          <w:highlight w:val="none"/>
        </w:rPr>
        <w:t>①由于清洁生产是全过程的污染控制，涉及到企业各个部门，因此本评价建议成立清洁生产领导小组负责组织实施，按照分工负责原则，确定各职能部门的职责和责任人员，形成企业-部门-班组三级清洁生产网络，广泛宣传并对各岗位严格培训。</w:t>
      </w:r>
    </w:p>
    <w:p w14:paraId="760A4A6E">
      <w:pPr>
        <w:bidi w:val="0"/>
        <w:rPr>
          <w:rFonts w:hint="default"/>
          <w:highlight w:val="none"/>
        </w:rPr>
      </w:pPr>
      <w:r>
        <w:rPr>
          <w:rFonts w:hint="default"/>
          <w:highlight w:val="none"/>
        </w:rPr>
        <w:t>②建设单位应加强生产过程中环境管理，定期对设备进行检修和维护环保设施正常运行。</w:t>
      </w:r>
    </w:p>
    <w:p w14:paraId="4BFF931C">
      <w:pPr>
        <w:bidi w:val="0"/>
        <w:rPr>
          <w:highlight w:val="none"/>
        </w:rPr>
      </w:pPr>
      <w:r>
        <w:rPr>
          <w:rFonts w:hint="default"/>
          <w:highlight w:val="none"/>
        </w:rPr>
        <w:t>③建立健全环境管理机构和制度，对能源消耗实行定额管理，原始记录及统计数据齐全</w:t>
      </w:r>
      <w:r>
        <w:rPr>
          <w:highlight w:val="none"/>
        </w:rPr>
        <w:t>。</w:t>
      </w:r>
    </w:p>
    <w:p w14:paraId="62A70EC3">
      <w:pPr>
        <w:bidi w:val="0"/>
        <w:rPr>
          <w:highlight w:val="none"/>
        </w:rPr>
      </w:pPr>
      <w:bookmarkStart w:id="294" w:name="_Toc15602"/>
      <w:r>
        <w:rPr>
          <w:highlight w:val="none"/>
        </w:rPr>
        <w:t>3、清洁生产分析结论</w:t>
      </w:r>
      <w:bookmarkEnd w:id="294"/>
    </w:p>
    <w:p w14:paraId="40A59F16">
      <w:pPr>
        <w:bidi w:val="0"/>
        <w:rPr>
          <w:highlight w:val="none"/>
        </w:rPr>
        <w:sectPr>
          <w:pgSz w:w="11906" w:h="16838"/>
          <w:pgMar w:top="1440" w:right="1800" w:bottom="1440" w:left="1800" w:header="851" w:footer="992" w:gutter="0"/>
          <w:pgBorders w:offsetFrom="page">
            <w:top w:val="none" w:sz="0" w:space="0"/>
            <w:left w:val="none" w:sz="0" w:space="0"/>
            <w:bottom w:val="none" w:sz="0" w:space="0"/>
            <w:right w:val="none" w:sz="0" w:space="0"/>
          </w:pgBorders>
          <w:cols w:space="425" w:num="1"/>
          <w:docGrid w:type="lines" w:linePitch="312" w:charSpace="0"/>
        </w:sectPr>
      </w:pPr>
      <w:r>
        <w:rPr>
          <w:highlight w:val="none"/>
        </w:rPr>
        <w:t>综上，本项目</w:t>
      </w:r>
      <w:r>
        <w:rPr>
          <w:rFonts w:hint="eastAsia"/>
          <w:highlight w:val="none"/>
          <w:lang w:eastAsia="zh-CN"/>
        </w:rPr>
        <w:t>各生</w:t>
      </w:r>
      <w:r>
        <w:rPr>
          <w:highlight w:val="none"/>
        </w:rPr>
        <w:t>产单元采用成熟的生产技术进行生产，各生产工序均配套安装有效的防治措施，另外，在生产过程中通过采用经济科学的节能降耗措施，减少耗电量。因此，本项目各产单元的生产符合清洁生产要求。</w:t>
      </w:r>
    </w:p>
    <w:p w14:paraId="4A6E9C77">
      <w:pPr>
        <w:pStyle w:val="2"/>
        <w:bidi w:val="0"/>
        <w:rPr>
          <w:highlight w:val="none"/>
        </w:rPr>
      </w:pPr>
      <w:bookmarkStart w:id="295" w:name="_Toc18536"/>
      <w:bookmarkStart w:id="296" w:name="_Toc26209"/>
      <w:bookmarkStart w:id="297" w:name="_Toc477954563"/>
      <w:bookmarkStart w:id="298" w:name="_Toc15877"/>
      <w:r>
        <w:rPr>
          <w:highlight w:val="none"/>
        </w:rPr>
        <w:t>4环境现状调查与评价</w:t>
      </w:r>
      <w:bookmarkEnd w:id="295"/>
      <w:bookmarkEnd w:id="296"/>
      <w:bookmarkEnd w:id="297"/>
      <w:bookmarkEnd w:id="298"/>
    </w:p>
    <w:p w14:paraId="67409C90">
      <w:pPr>
        <w:pStyle w:val="3"/>
        <w:bidi w:val="0"/>
        <w:rPr>
          <w:highlight w:val="none"/>
        </w:rPr>
      </w:pPr>
      <w:bookmarkStart w:id="299" w:name="_Toc18494"/>
      <w:bookmarkStart w:id="300" w:name="_Toc30025"/>
      <w:r>
        <w:rPr>
          <w:highlight w:val="none"/>
        </w:rPr>
        <w:t>4.1自然环境概况</w:t>
      </w:r>
      <w:bookmarkEnd w:id="299"/>
      <w:bookmarkEnd w:id="300"/>
    </w:p>
    <w:p w14:paraId="008AC9D9">
      <w:pPr>
        <w:pStyle w:val="4"/>
        <w:bidi w:val="0"/>
        <w:rPr>
          <w:highlight w:val="none"/>
        </w:rPr>
      </w:pPr>
      <w:bookmarkStart w:id="301" w:name="_Toc27340"/>
      <w:bookmarkStart w:id="302" w:name="_Toc18340"/>
      <w:bookmarkStart w:id="303" w:name="_Toc218825485"/>
      <w:r>
        <w:rPr>
          <w:highlight w:val="none"/>
        </w:rPr>
        <w:t>4.1.1地理位置</w:t>
      </w:r>
      <w:bookmarkEnd w:id="301"/>
      <w:bookmarkEnd w:id="302"/>
      <w:bookmarkEnd w:id="303"/>
    </w:p>
    <w:p w14:paraId="086F8551">
      <w:pPr>
        <w:pStyle w:val="76"/>
        <w:adjustRightInd/>
        <w:snapToGrid/>
        <w:contextualSpacing/>
        <w:jc w:val="both"/>
        <w:rPr>
          <w:rFonts w:ascii="Times New Roman" w:hAnsi="Times New Roman" w:cs="Times New Roman"/>
          <w:highlight w:val="none"/>
        </w:rPr>
      </w:pPr>
      <w:r>
        <w:rPr>
          <w:rFonts w:ascii="Times New Roman" w:cs="Times New Roman" w:hAnsiTheme="minorEastAsia"/>
          <w:highlight w:val="none"/>
        </w:rPr>
        <w:t>哈尔滨地处我国东北北部地区，黑龙江省西南部，松嫩平原东端。地理位置是东经</w:t>
      </w:r>
      <w:r>
        <w:rPr>
          <w:rFonts w:ascii="Times New Roman" w:hAnsi="Times New Roman" w:cs="Times New Roman"/>
          <w:highlight w:val="none"/>
        </w:rPr>
        <w:t>125°42′~130°10′</w:t>
      </w:r>
      <w:r>
        <w:rPr>
          <w:rFonts w:ascii="Times New Roman" w:cs="Times New Roman" w:hAnsiTheme="minorEastAsia"/>
          <w:highlight w:val="none"/>
        </w:rPr>
        <w:t>，北纬</w:t>
      </w:r>
      <w:r>
        <w:rPr>
          <w:rFonts w:ascii="Times New Roman" w:hAnsi="Times New Roman" w:cs="Times New Roman"/>
          <w:highlight w:val="none"/>
        </w:rPr>
        <w:t>45°09′~46°45′</w:t>
      </w:r>
      <w:r>
        <w:rPr>
          <w:rFonts w:ascii="Times New Roman" w:cs="Times New Roman" w:hAnsiTheme="minorEastAsia"/>
          <w:highlight w:val="none"/>
        </w:rPr>
        <w:t>。西北与肇东、兰西、绥化接壤，东南与巴彦、宾县、尚志市相连，西南与五常毗邻。东西最大横距</w:t>
      </w:r>
      <w:r>
        <w:rPr>
          <w:rFonts w:ascii="Times New Roman" w:hAnsi="Times New Roman" w:cs="Times New Roman"/>
          <w:highlight w:val="none"/>
        </w:rPr>
        <w:t>354km</w:t>
      </w:r>
      <w:r>
        <w:rPr>
          <w:rFonts w:ascii="Times New Roman" w:cs="Times New Roman" w:hAnsiTheme="minorEastAsia"/>
          <w:highlight w:val="none"/>
        </w:rPr>
        <w:t>，南北最大纵距</w:t>
      </w:r>
      <w:r>
        <w:rPr>
          <w:rFonts w:ascii="Times New Roman" w:hAnsi="Times New Roman" w:cs="Times New Roman"/>
          <w:highlight w:val="none"/>
        </w:rPr>
        <w:t>282km</w:t>
      </w:r>
      <w:r>
        <w:rPr>
          <w:rFonts w:ascii="Times New Roman" w:cs="Times New Roman" w:hAnsiTheme="minorEastAsia"/>
          <w:highlight w:val="none"/>
        </w:rPr>
        <w:t>，辖区面积</w:t>
      </w:r>
      <w:r>
        <w:rPr>
          <w:rFonts w:ascii="Times New Roman" w:hAnsi="Times New Roman" w:cs="Times New Roman"/>
          <w:highlight w:val="none"/>
        </w:rPr>
        <w:t>5.31×104km</w:t>
      </w:r>
      <w:r>
        <w:rPr>
          <w:rFonts w:ascii="Times New Roman" w:hAnsi="Times New Roman" w:cs="Times New Roman"/>
          <w:highlight w:val="none"/>
          <w:vertAlign w:val="superscript"/>
        </w:rPr>
        <w:t>2</w:t>
      </w:r>
      <w:r>
        <w:rPr>
          <w:rFonts w:ascii="Times New Roman" w:cs="Times New Roman" w:hAnsiTheme="minorEastAsia"/>
          <w:highlight w:val="none"/>
        </w:rPr>
        <w:t>，全市</w:t>
      </w:r>
      <w:r>
        <w:rPr>
          <w:rFonts w:ascii="Times New Roman" w:hAnsi="Times New Roman" w:cs="Times New Roman"/>
          <w:highlight w:val="none"/>
        </w:rPr>
        <w:t>9</w:t>
      </w:r>
      <w:r>
        <w:rPr>
          <w:rFonts w:ascii="Times New Roman" w:cs="Times New Roman" w:hAnsiTheme="minorEastAsia"/>
          <w:highlight w:val="none"/>
        </w:rPr>
        <w:t>区</w:t>
      </w:r>
      <w:r>
        <w:rPr>
          <w:rFonts w:ascii="Times New Roman" w:hAnsi="Times New Roman" w:cs="Times New Roman"/>
          <w:highlight w:val="none"/>
        </w:rPr>
        <w:t>9</w:t>
      </w:r>
      <w:r>
        <w:rPr>
          <w:rFonts w:ascii="Times New Roman" w:cs="Times New Roman" w:hAnsiTheme="minorEastAsia"/>
          <w:highlight w:val="none"/>
        </w:rPr>
        <w:t>县。</w:t>
      </w:r>
    </w:p>
    <w:p w14:paraId="2B482D8A">
      <w:pPr>
        <w:pStyle w:val="76"/>
        <w:adjustRightInd/>
        <w:snapToGrid/>
        <w:contextualSpacing/>
        <w:jc w:val="both"/>
        <w:rPr>
          <w:rFonts w:ascii="Times New Roman" w:cs="Times New Roman" w:hAnsiTheme="minorEastAsia"/>
          <w:highlight w:val="none"/>
        </w:rPr>
      </w:pPr>
      <w:r>
        <w:rPr>
          <w:rFonts w:ascii="Times New Roman" w:cs="Times New Roman" w:hAnsiTheme="minorEastAsia"/>
          <w:highlight w:val="none"/>
        </w:rPr>
        <w:t>哈尔滨平房区位于哈尔滨市东南部，地理位置为东经</w:t>
      </w:r>
      <w:r>
        <w:rPr>
          <w:rFonts w:ascii="Times New Roman" w:hAnsi="Times New Roman" w:cs="Times New Roman"/>
          <w:highlight w:val="none"/>
        </w:rPr>
        <w:t>126°33′45″~126°48′45″</w:t>
      </w:r>
      <w:r>
        <w:rPr>
          <w:rFonts w:ascii="Times New Roman" w:cs="Times New Roman" w:hAnsiTheme="minorEastAsia"/>
          <w:highlight w:val="none"/>
        </w:rPr>
        <w:t>，北纬</w:t>
      </w:r>
      <w:r>
        <w:rPr>
          <w:rFonts w:ascii="Times New Roman" w:hAnsi="Times New Roman" w:cs="Times New Roman"/>
          <w:highlight w:val="none"/>
        </w:rPr>
        <w:t>45°30′00″~45°40′00″</w:t>
      </w:r>
      <w:r>
        <w:rPr>
          <w:rFonts w:ascii="Times New Roman" w:cs="Times New Roman" w:hAnsiTheme="minorEastAsia"/>
          <w:highlight w:val="none"/>
        </w:rPr>
        <w:t>。东与哈尔滨市阿城区交界，南与双城区为邻，西与南岗区红旗乡接壤，北连动力区朝阳、黎明乡。</w:t>
      </w:r>
    </w:p>
    <w:p w14:paraId="5C75E369">
      <w:pPr>
        <w:pStyle w:val="76"/>
        <w:adjustRightInd/>
        <w:snapToGrid/>
        <w:contextualSpacing/>
        <w:jc w:val="both"/>
        <w:rPr>
          <w:rFonts w:ascii="Times New Roman" w:hAnsi="Times New Roman" w:cs="Times New Roman"/>
          <w:szCs w:val="21"/>
          <w:highlight w:val="none"/>
        </w:rPr>
      </w:pPr>
      <w:r>
        <w:rPr>
          <w:rFonts w:ascii="Times New Roman" w:cs="Times New Roman" w:hAnsiTheme="minorEastAsia"/>
          <w:highlight w:val="none"/>
        </w:rPr>
        <w:t>本项目位于</w:t>
      </w:r>
      <w:r>
        <w:rPr>
          <w:rFonts w:ascii="Times New Roman" w:cs="Times New Roman" w:hAnsiTheme="minorEastAsia"/>
          <w:snapToGrid w:val="0"/>
          <w:kern w:val="0"/>
          <w:highlight w:val="none"/>
        </w:rPr>
        <w:t>哈尔滨市平房区征仪南路</w:t>
      </w:r>
      <w:r>
        <w:rPr>
          <w:rFonts w:ascii="Times New Roman" w:hAnsi="Times New Roman" w:cs="Times New Roman"/>
          <w:snapToGrid w:val="0"/>
          <w:kern w:val="0"/>
          <w:highlight w:val="none"/>
        </w:rPr>
        <w:t>6</w:t>
      </w:r>
      <w:r>
        <w:rPr>
          <w:rFonts w:ascii="Times New Roman" w:cs="Times New Roman" w:hAnsiTheme="minorEastAsia"/>
          <w:snapToGrid w:val="0"/>
          <w:kern w:val="0"/>
          <w:highlight w:val="none"/>
        </w:rPr>
        <w:t>号，哈尔滨东安汽车发动机制造有限公司</w:t>
      </w:r>
      <w:r>
        <w:rPr>
          <w:rFonts w:hint="eastAsia" w:ascii="Times New Roman" w:cs="Times New Roman" w:hAnsiTheme="minorEastAsia"/>
          <w:snapToGrid w:val="0"/>
          <w:kern w:val="0"/>
          <w:highlight w:val="none"/>
          <w:lang w:val="en-US" w:eastAsia="zh-CN"/>
        </w:rPr>
        <w:t>院内</w:t>
      </w:r>
      <w:r>
        <w:rPr>
          <w:rFonts w:hint="eastAsia" w:ascii="Times New Roman" w:cs="Times New Roman" w:hAnsiTheme="minorEastAsia"/>
          <w:highlight w:val="none"/>
          <w:lang w:val="en-US" w:eastAsia="zh-CN"/>
        </w:rPr>
        <w:t>，东侧为哈尔滨艾瑞排放控制技术股份有限公司和哈尔滨凌云汽车零部件有限公司，南侧为哈飞汽车工业集团有限公司，西侧和北侧为哈尔滨云驰汽车制造有限公司</w:t>
      </w:r>
      <w:r>
        <w:rPr>
          <w:rFonts w:ascii="Times New Roman" w:cs="Times New Roman" w:hAnsiTheme="minorEastAsia"/>
          <w:highlight w:val="none"/>
        </w:rPr>
        <w:t>。</w:t>
      </w:r>
    </w:p>
    <w:p w14:paraId="5BCD8E32">
      <w:pPr>
        <w:pStyle w:val="76"/>
        <w:adjustRightInd/>
        <w:snapToGrid/>
        <w:spacing w:line="240" w:lineRule="auto"/>
        <w:ind w:left="0" w:leftChars="0" w:firstLine="0" w:firstLineChars="0"/>
        <w:jc w:val="both"/>
        <w:rPr>
          <w:rFonts w:hint="eastAsia" w:ascii="Times New Roman" w:hAnsi="Times New Roman" w:cs="Times New Roman" w:eastAsiaTheme="minorEastAsia"/>
          <w:b/>
          <w:highlight w:val="none"/>
          <w:lang w:eastAsia="zh-CN"/>
        </w:rPr>
      </w:pPr>
      <w:r>
        <w:rPr>
          <w:rFonts w:hint="eastAsia"/>
          <w:highlight w:val="none"/>
          <w:lang w:val="en-US" w:eastAsia="zh-CN"/>
        </w:rPr>
        <w:drawing>
          <wp:inline distT="0" distB="0" distL="114300" distR="114300">
            <wp:extent cx="2494915" cy="1871345"/>
            <wp:effectExtent l="9525" t="9525" r="10160" b="24130"/>
            <wp:docPr id="25" name="图片 25" descr="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东"/>
                    <pic:cNvPicPr>
                      <a:picLocks noChangeAspect="1"/>
                    </pic:cNvPicPr>
                  </pic:nvPicPr>
                  <pic:blipFill>
                    <a:blip r:embed="rId39"/>
                    <a:stretch>
                      <a:fillRect/>
                    </a:stretch>
                  </pic:blipFill>
                  <pic:spPr>
                    <a:xfrm>
                      <a:off x="0" y="0"/>
                      <a:ext cx="2494915" cy="1871345"/>
                    </a:xfrm>
                    <a:prstGeom prst="rect">
                      <a:avLst/>
                    </a:prstGeom>
                    <a:ln>
                      <a:solidFill>
                        <a:schemeClr val="tx1"/>
                      </a:solidFill>
                    </a:ln>
                  </pic:spPr>
                </pic:pic>
              </a:graphicData>
            </a:graphic>
          </wp:inline>
        </w:drawing>
      </w:r>
      <w:r>
        <w:rPr>
          <w:rFonts w:hint="eastAsia" w:ascii="Times New Roman" w:hAnsi="Times New Roman" w:cs="Times New Roman" w:eastAsiaTheme="minorEastAsia"/>
          <w:b/>
          <w:highlight w:val="none"/>
          <w:lang w:eastAsia="zh-CN"/>
        </w:rPr>
        <w:drawing>
          <wp:inline distT="0" distB="0" distL="114300" distR="114300">
            <wp:extent cx="2512060" cy="1884680"/>
            <wp:effectExtent l="9525" t="9525" r="12065" b="10795"/>
            <wp:docPr id="26" name="图片 26" descr="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南"/>
                    <pic:cNvPicPr>
                      <a:picLocks noChangeAspect="1"/>
                    </pic:cNvPicPr>
                  </pic:nvPicPr>
                  <pic:blipFill>
                    <a:blip r:embed="rId40"/>
                    <a:stretch>
                      <a:fillRect/>
                    </a:stretch>
                  </pic:blipFill>
                  <pic:spPr>
                    <a:xfrm>
                      <a:off x="0" y="0"/>
                      <a:ext cx="2512060" cy="1884680"/>
                    </a:xfrm>
                    <a:prstGeom prst="rect">
                      <a:avLst/>
                    </a:prstGeom>
                    <a:ln>
                      <a:solidFill>
                        <a:schemeClr val="tx1"/>
                      </a:solidFill>
                    </a:ln>
                  </pic:spPr>
                </pic:pic>
              </a:graphicData>
            </a:graphic>
          </wp:inline>
        </w:drawing>
      </w:r>
    </w:p>
    <w:p w14:paraId="0DC0D208">
      <w:pPr>
        <w:ind w:left="0" w:leftChars="0" w:firstLine="0" w:firstLineChars="0"/>
        <w:jc w:val="center"/>
        <w:rPr>
          <w:rFonts w:eastAsiaTheme="minorEastAsia"/>
          <w:szCs w:val="21"/>
          <w:highlight w:val="none"/>
        </w:rPr>
      </w:pPr>
      <w:r>
        <w:rPr>
          <w:rFonts w:hint="eastAsia" w:ascii="Times New Roman" w:cs="Times New Roman" w:hAnsiTheme="minorEastAsia"/>
          <w:highlight w:val="none"/>
          <w:lang w:val="en-US" w:eastAsia="zh-CN"/>
        </w:rPr>
        <w:t>东侧为</w:t>
      </w:r>
      <w:r>
        <w:rPr>
          <w:rFonts w:hint="default" w:ascii="Times New Roman" w:hAnsi="Times New Roman" w:cs="Times New Roman" w:eastAsiaTheme="minorEastAsia"/>
          <w:sz w:val="24"/>
          <w:highlight w:val="none"/>
          <w:lang w:val="en-US" w:eastAsia="zh-CN"/>
        </w:rPr>
        <w:t>哈尔滨市兴飞橡塑制造有限公司</w:t>
      </w:r>
      <w:r>
        <w:rPr>
          <w:rFonts w:hint="eastAsia" w:ascii="Times New Roman" w:hAnsi="Times New Roman" w:cs="Times New Roman" w:eastAsiaTheme="minorEastAsia"/>
          <w:sz w:val="24"/>
          <w:highlight w:val="none"/>
          <w:lang w:val="en-US" w:eastAsia="zh-CN"/>
        </w:rPr>
        <w:t>原有</w:t>
      </w:r>
      <w:r>
        <w:rPr>
          <w:rFonts w:hint="eastAsia" w:cs="Times New Roman" w:hAnsiTheme="minorEastAsia"/>
          <w:highlight w:val="none"/>
          <w:lang w:val="en-US" w:eastAsia="zh-CN"/>
        </w:rPr>
        <w:t>办公室、</w:t>
      </w:r>
      <w:r>
        <w:rPr>
          <w:rFonts w:hint="eastAsia" w:ascii="Times New Roman" w:cs="Times New Roman" w:hAnsiTheme="minorEastAsia"/>
          <w:highlight w:val="none"/>
          <w:lang w:val="en-US" w:eastAsia="zh-CN"/>
        </w:rPr>
        <w:t>南侧为</w:t>
      </w:r>
      <w:r>
        <w:rPr>
          <w:rFonts w:hint="eastAsia" w:cs="Times New Roman" w:hAnsiTheme="minorEastAsia"/>
          <w:highlight w:val="none"/>
          <w:lang w:val="en-US" w:eastAsia="zh-CN"/>
        </w:rPr>
        <w:t>空地</w:t>
      </w:r>
    </w:p>
    <w:p w14:paraId="2A40DB0B">
      <w:pPr>
        <w:keepNext w:val="0"/>
        <w:keepLines w:val="0"/>
        <w:pageBreakBefore w:val="0"/>
        <w:widowControl w:val="0"/>
        <w:kinsoku/>
        <w:wordWrap w:val="0"/>
        <w:overflowPunct/>
        <w:topLinePunct w:val="0"/>
        <w:autoSpaceDE/>
        <w:autoSpaceDN/>
        <w:bidi w:val="0"/>
        <w:adjustRightInd/>
        <w:snapToGrid w:val="0"/>
        <w:ind w:firstLine="0" w:firstLineChars="0"/>
        <w:jc w:val="left"/>
        <w:textAlignment w:val="auto"/>
        <w:rPr>
          <w:rFonts w:hint="eastAsia" w:eastAsia="宋体"/>
          <w:sz w:val="24"/>
          <w:highlight w:val="none"/>
          <w:lang w:eastAsia="zh-CN"/>
        </w:rPr>
      </w:pPr>
      <w:r>
        <w:rPr>
          <w:rFonts w:hint="eastAsia" w:eastAsia="宋体"/>
          <w:sz w:val="24"/>
          <w:highlight w:val="none"/>
          <w:lang w:val="en-US" w:eastAsia="zh-CN"/>
        </w:rPr>
        <w:drawing>
          <wp:inline distT="0" distB="0" distL="114300" distR="114300">
            <wp:extent cx="2480310" cy="1860550"/>
            <wp:effectExtent l="9525" t="9525" r="24765" b="15875"/>
            <wp:docPr id="22" name="图片 22" descr="微信图片_20240805113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微信图片_20240805113536"/>
                    <pic:cNvPicPr>
                      <a:picLocks noChangeAspect="1"/>
                    </pic:cNvPicPr>
                  </pic:nvPicPr>
                  <pic:blipFill>
                    <a:blip r:embed="rId41"/>
                    <a:stretch>
                      <a:fillRect/>
                    </a:stretch>
                  </pic:blipFill>
                  <pic:spPr>
                    <a:xfrm>
                      <a:off x="0" y="0"/>
                      <a:ext cx="2480310" cy="1860550"/>
                    </a:xfrm>
                    <a:prstGeom prst="rect">
                      <a:avLst/>
                    </a:prstGeom>
                    <a:ln>
                      <a:solidFill>
                        <a:schemeClr val="tx1"/>
                      </a:solidFill>
                    </a:ln>
                  </pic:spPr>
                </pic:pic>
              </a:graphicData>
            </a:graphic>
          </wp:inline>
        </w:drawing>
      </w:r>
      <w:r>
        <w:rPr>
          <w:rFonts w:hint="eastAsia" w:eastAsia="宋体"/>
          <w:sz w:val="24"/>
          <w:highlight w:val="none"/>
          <w:lang w:eastAsia="zh-CN"/>
        </w:rPr>
        <w:drawing>
          <wp:inline distT="0" distB="0" distL="114300" distR="114300">
            <wp:extent cx="2536190" cy="1902460"/>
            <wp:effectExtent l="9525" t="9525" r="26035" b="12065"/>
            <wp:docPr id="12" name="图片 12" descr="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北"/>
                    <pic:cNvPicPr>
                      <a:picLocks noChangeAspect="1"/>
                    </pic:cNvPicPr>
                  </pic:nvPicPr>
                  <pic:blipFill>
                    <a:blip r:embed="rId42"/>
                    <a:stretch>
                      <a:fillRect/>
                    </a:stretch>
                  </pic:blipFill>
                  <pic:spPr>
                    <a:xfrm>
                      <a:off x="0" y="0"/>
                      <a:ext cx="2536190" cy="1902460"/>
                    </a:xfrm>
                    <a:prstGeom prst="rect">
                      <a:avLst/>
                    </a:prstGeom>
                    <a:ln>
                      <a:solidFill>
                        <a:schemeClr val="tx1"/>
                      </a:solidFill>
                    </a:ln>
                  </pic:spPr>
                </pic:pic>
              </a:graphicData>
            </a:graphic>
          </wp:inline>
        </w:drawing>
      </w:r>
    </w:p>
    <w:p w14:paraId="567BB7C8">
      <w:pPr>
        <w:ind w:left="6960" w:leftChars="500" w:hanging="5760" w:hangingChars="2400"/>
        <w:jc w:val="left"/>
        <w:rPr>
          <w:rFonts w:hAnsiTheme="minorEastAsia" w:eastAsiaTheme="minorEastAsia"/>
          <w:szCs w:val="21"/>
          <w:highlight w:val="none"/>
        </w:rPr>
      </w:pPr>
      <w:r>
        <w:rPr>
          <w:rFonts w:hint="eastAsia" w:ascii="Times New Roman" w:cs="Times New Roman" w:hAnsiTheme="minorEastAsia"/>
          <w:highlight w:val="none"/>
          <w:lang w:val="en-US" w:eastAsia="zh-CN"/>
        </w:rPr>
        <w:t>西侧为</w:t>
      </w:r>
      <w:r>
        <w:rPr>
          <w:rFonts w:hint="eastAsia" w:cs="Times New Roman" w:hAnsiTheme="minorEastAsia"/>
          <w:highlight w:val="none"/>
          <w:lang w:val="en-US" w:eastAsia="zh-CN"/>
        </w:rPr>
        <w:t>居民</w:t>
      </w:r>
      <w:r>
        <w:rPr>
          <w:rFonts w:hint="eastAsia" w:eastAsiaTheme="minorEastAsia"/>
          <w:szCs w:val="21"/>
          <w:highlight w:val="none"/>
          <w:lang w:eastAsia="zh-CN"/>
        </w:rPr>
        <w:t>、</w:t>
      </w:r>
      <w:r>
        <w:rPr>
          <w:rFonts w:hint="eastAsia" w:ascii="Times New Roman" w:cs="Times New Roman" w:hAnsiTheme="minorEastAsia"/>
          <w:highlight w:val="none"/>
          <w:lang w:val="en-US" w:eastAsia="zh-CN"/>
        </w:rPr>
        <w:t>北侧为</w:t>
      </w:r>
      <w:r>
        <w:rPr>
          <w:rFonts w:hint="default" w:ascii="Times New Roman" w:hAnsi="Times New Roman" w:cs="Times New Roman" w:eastAsiaTheme="minorEastAsia"/>
          <w:sz w:val="24"/>
          <w:highlight w:val="none"/>
          <w:lang w:val="en-US" w:eastAsia="zh-CN"/>
        </w:rPr>
        <w:t>哈尔滨市兴飞橡塑制造有限公司</w:t>
      </w:r>
      <w:r>
        <w:rPr>
          <w:rFonts w:hint="eastAsia" w:ascii="Times New Roman" w:cs="Times New Roman" w:hAnsiTheme="minorEastAsia"/>
          <w:highlight w:val="none"/>
          <w:lang w:val="en-US" w:eastAsia="zh-CN"/>
        </w:rPr>
        <w:t>厂房</w:t>
      </w:r>
    </w:p>
    <w:p w14:paraId="7863740E">
      <w:pPr>
        <w:pStyle w:val="7"/>
        <w:bidi w:val="0"/>
        <w:rPr>
          <w:highlight w:val="none"/>
        </w:rPr>
      </w:pPr>
      <w:r>
        <w:rPr>
          <w:highlight w:val="none"/>
        </w:rPr>
        <w:t>图4-1-1本项目周边环境图</w:t>
      </w:r>
    </w:p>
    <w:p w14:paraId="2F28B24D">
      <w:pPr>
        <w:pStyle w:val="4"/>
        <w:bidi w:val="0"/>
        <w:rPr>
          <w:highlight w:val="none"/>
        </w:rPr>
      </w:pPr>
      <w:bookmarkStart w:id="304" w:name="_Toc9085"/>
      <w:bookmarkStart w:id="305" w:name="_Toc24108"/>
      <w:r>
        <w:rPr>
          <w:highlight w:val="none"/>
        </w:rPr>
        <w:t>4.1.2气候气象</w:t>
      </w:r>
      <w:bookmarkEnd w:id="304"/>
      <w:bookmarkEnd w:id="305"/>
    </w:p>
    <w:p w14:paraId="7D01BD8E">
      <w:pPr>
        <w:bidi w:val="0"/>
        <w:rPr>
          <w:highlight w:val="none"/>
        </w:rPr>
      </w:pPr>
      <w:bookmarkStart w:id="306" w:name="_Toc7582"/>
      <w:r>
        <w:rPr>
          <w:highlight w:val="none"/>
        </w:rPr>
        <w:t>1、气候特征</w:t>
      </w:r>
      <w:bookmarkEnd w:id="306"/>
    </w:p>
    <w:p w14:paraId="3C4339EB">
      <w:pPr>
        <w:bidi w:val="0"/>
        <w:rPr>
          <w:highlight w:val="none"/>
        </w:rPr>
      </w:pPr>
      <w:r>
        <w:rPr>
          <w:highlight w:val="none"/>
        </w:rPr>
        <w:t>哈尔滨市属于半湿润温带大陆性季风气候，冬天受蒙古西北气流控制，受东部鄂霍次克寒流影响，因此冬季漫长、寒冷而干燥。夏季多受太平洋西伸北跃西南气流的影响，炎热多雨。春秋两季短促，多风而干燥。一年中寒暑温差较大。</w:t>
      </w:r>
    </w:p>
    <w:p w14:paraId="3ADDC642">
      <w:pPr>
        <w:bidi w:val="0"/>
        <w:rPr>
          <w:highlight w:val="none"/>
        </w:rPr>
      </w:pPr>
      <w:r>
        <w:rPr>
          <w:highlight w:val="none"/>
        </w:rPr>
        <w:t>近30年来，哈尔滨市年平均温度4.2℃，七月平均气温最高，为23.0℃，年极端最高温度为36.7℃，最冷为1月份，平均气温为-18.4℃，年极端最低气温-38.1℃；年平均风速为2.6m/s，年最大风速为26.0m/s，多年主导风向为南风和南南西风；最大冻土深度为1.99m；结冰期150d左右，采暖期180d；年平均降雨量为524.5mm；年最大降水量826.3mm，降水主要集中在七、八月；年平均蒸发量为1622.0mm；年平均气压997.2Pa；最大积雪深度41cm，年日照时长2474.4h；年平均相对湿度约65%。</w:t>
      </w:r>
    </w:p>
    <w:p w14:paraId="0087B27D">
      <w:pPr>
        <w:bidi w:val="0"/>
        <w:rPr>
          <w:highlight w:val="none"/>
        </w:rPr>
      </w:pPr>
      <w:bookmarkStart w:id="307" w:name="_Toc8697"/>
      <w:r>
        <w:rPr>
          <w:highlight w:val="none"/>
        </w:rPr>
        <w:t>2、风向、风频</w:t>
      </w:r>
      <w:bookmarkEnd w:id="307"/>
    </w:p>
    <w:p w14:paraId="25734F51">
      <w:pPr>
        <w:bidi w:val="0"/>
        <w:rPr>
          <w:highlight w:val="none"/>
        </w:rPr>
      </w:pPr>
      <w:r>
        <w:rPr>
          <w:highlight w:val="none"/>
        </w:rPr>
        <w:t>2022年每月、各季及长期平均各向风频变化情况分别见表4-1-1和表4-1-2，全年及四季风频玫瑰见图4-1-2。</w:t>
      </w:r>
    </w:p>
    <w:p w14:paraId="4EB050E1">
      <w:pPr>
        <w:pStyle w:val="7"/>
        <w:bidi w:val="0"/>
        <w:rPr>
          <w:rFonts w:hint="eastAsia"/>
          <w:highlight w:val="none"/>
          <w:lang w:eastAsia="zh-CN"/>
        </w:rPr>
      </w:pPr>
      <w:r>
        <w:rPr>
          <w:highlight w:val="none"/>
        </w:rPr>
        <w:t>表4-1-12022年年均风频的月变化统计</w:t>
      </w:r>
      <w:r>
        <w:rPr>
          <w:rFonts w:hint="eastAsia"/>
          <w:highlight w:val="none"/>
          <w:lang w:eastAsia="zh-CN"/>
        </w:rPr>
        <w:t>（</w:t>
      </w:r>
      <w:r>
        <w:rPr>
          <w:highlight w:val="none"/>
        </w:rPr>
        <w:t>单位：%</w:t>
      </w:r>
      <w:r>
        <w:rPr>
          <w:rFonts w:hint="eastAsia"/>
          <w:highlight w:val="none"/>
          <w:lang w:eastAsia="zh-CN"/>
        </w:rPr>
        <w:t>）</w:t>
      </w:r>
    </w:p>
    <w:tbl>
      <w:tblPr>
        <w:tblStyle w:val="45"/>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583"/>
        <w:gridCol w:w="469"/>
        <w:gridCol w:w="470"/>
        <w:gridCol w:w="470"/>
        <w:gridCol w:w="469"/>
        <w:gridCol w:w="469"/>
        <w:gridCol w:w="470"/>
        <w:gridCol w:w="470"/>
        <w:gridCol w:w="470"/>
        <w:gridCol w:w="471"/>
        <w:gridCol w:w="469"/>
        <w:gridCol w:w="468"/>
        <w:gridCol w:w="447"/>
        <w:gridCol w:w="447"/>
        <w:gridCol w:w="470"/>
        <w:gridCol w:w="470"/>
        <w:gridCol w:w="469"/>
        <w:gridCol w:w="471"/>
      </w:tblGrid>
      <w:tr w14:paraId="3BCBAAF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583" w:type="dxa"/>
            <w:shd w:val="clear" w:color="auto" w:fill="auto"/>
            <w:noWrap/>
            <w:vAlign w:val="center"/>
          </w:tcPr>
          <w:p w14:paraId="02C8B15F">
            <w:pPr>
              <w:pStyle w:val="8"/>
              <w:suppressLineNumbers w:val="0"/>
              <w:bidi w:val="0"/>
              <w:spacing w:before="0" w:beforeAutospacing="0" w:after="0" w:afterAutospacing="0"/>
              <w:ind w:left="0" w:right="0"/>
              <w:rPr>
                <w:rFonts w:hint="default"/>
                <w:highlight w:val="none"/>
              </w:rPr>
            </w:pPr>
            <w:r>
              <w:rPr>
                <w:rFonts w:hint="default"/>
                <w:highlight w:val="none"/>
              </w:rPr>
              <w:t>风向风频（%）</w:t>
            </w:r>
          </w:p>
        </w:tc>
        <w:tc>
          <w:tcPr>
            <w:tcW w:w="469" w:type="dxa"/>
            <w:shd w:val="clear" w:color="auto" w:fill="auto"/>
            <w:noWrap/>
            <w:vAlign w:val="center"/>
          </w:tcPr>
          <w:p w14:paraId="69DCCF02">
            <w:pPr>
              <w:pStyle w:val="8"/>
              <w:suppressLineNumbers w:val="0"/>
              <w:bidi w:val="0"/>
              <w:spacing w:before="0" w:beforeAutospacing="0" w:after="0" w:afterAutospacing="0"/>
              <w:ind w:left="0" w:right="0"/>
              <w:rPr>
                <w:rFonts w:hint="default"/>
                <w:highlight w:val="none"/>
              </w:rPr>
            </w:pPr>
            <w:r>
              <w:rPr>
                <w:rFonts w:hint="default"/>
                <w:highlight w:val="none"/>
              </w:rPr>
              <w:t>N</w:t>
            </w:r>
          </w:p>
        </w:tc>
        <w:tc>
          <w:tcPr>
            <w:tcW w:w="470" w:type="dxa"/>
            <w:shd w:val="clear" w:color="auto" w:fill="auto"/>
            <w:noWrap/>
            <w:vAlign w:val="center"/>
          </w:tcPr>
          <w:p w14:paraId="5CB83643">
            <w:pPr>
              <w:pStyle w:val="8"/>
              <w:suppressLineNumbers w:val="0"/>
              <w:bidi w:val="0"/>
              <w:spacing w:before="0" w:beforeAutospacing="0" w:after="0" w:afterAutospacing="0"/>
              <w:ind w:left="0" w:right="0"/>
              <w:rPr>
                <w:rFonts w:hint="default"/>
                <w:highlight w:val="none"/>
              </w:rPr>
            </w:pPr>
            <w:r>
              <w:rPr>
                <w:rFonts w:hint="default"/>
                <w:highlight w:val="none"/>
              </w:rPr>
              <w:t>NNE</w:t>
            </w:r>
          </w:p>
        </w:tc>
        <w:tc>
          <w:tcPr>
            <w:tcW w:w="470" w:type="dxa"/>
            <w:shd w:val="clear" w:color="auto" w:fill="auto"/>
            <w:noWrap/>
            <w:vAlign w:val="center"/>
          </w:tcPr>
          <w:p w14:paraId="6B7CFE26">
            <w:pPr>
              <w:pStyle w:val="8"/>
              <w:suppressLineNumbers w:val="0"/>
              <w:bidi w:val="0"/>
              <w:spacing w:before="0" w:beforeAutospacing="0" w:after="0" w:afterAutospacing="0"/>
              <w:ind w:left="0" w:right="0"/>
              <w:rPr>
                <w:rFonts w:hint="default"/>
                <w:highlight w:val="none"/>
              </w:rPr>
            </w:pPr>
            <w:r>
              <w:rPr>
                <w:rFonts w:hint="default"/>
                <w:highlight w:val="none"/>
              </w:rPr>
              <w:t>NE</w:t>
            </w:r>
          </w:p>
        </w:tc>
        <w:tc>
          <w:tcPr>
            <w:tcW w:w="469" w:type="dxa"/>
            <w:shd w:val="clear" w:color="auto" w:fill="auto"/>
            <w:noWrap/>
            <w:vAlign w:val="center"/>
          </w:tcPr>
          <w:p w14:paraId="1FF86BD7">
            <w:pPr>
              <w:pStyle w:val="8"/>
              <w:suppressLineNumbers w:val="0"/>
              <w:bidi w:val="0"/>
              <w:spacing w:before="0" w:beforeAutospacing="0" w:after="0" w:afterAutospacing="0"/>
              <w:ind w:left="0" w:right="0"/>
              <w:rPr>
                <w:rFonts w:hint="default"/>
                <w:highlight w:val="none"/>
              </w:rPr>
            </w:pPr>
            <w:r>
              <w:rPr>
                <w:rFonts w:hint="default"/>
                <w:highlight w:val="none"/>
              </w:rPr>
              <w:t>ENE</w:t>
            </w:r>
          </w:p>
        </w:tc>
        <w:tc>
          <w:tcPr>
            <w:tcW w:w="469" w:type="dxa"/>
            <w:shd w:val="clear" w:color="auto" w:fill="auto"/>
            <w:noWrap/>
            <w:vAlign w:val="center"/>
          </w:tcPr>
          <w:p w14:paraId="7EF555A6">
            <w:pPr>
              <w:pStyle w:val="8"/>
              <w:suppressLineNumbers w:val="0"/>
              <w:bidi w:val="0"/>
              <w:spacing w:before="0" w:beforeAutospacing="0" w:after="0" w:afterAutospacing="0"/>
              <w:ind w:left="0" w:right="0"/>
              <w:rPr>
                <w:rFonts w:hint="default"/>
                <w:highlight w:val="none"/>
              </w:rPr>
            </w:pPr>
            <w:r>
              <w:rPr>
                <w:rFonts w:hint="default"/>
                <w:highlight w:val="none"/>
              </w:rPr>
              <w:t>E</w:t>
            </w:r>
          </w:p>
        </w:tc>
        <w:tc>
          <w:tcPr>
            <w:tcW w:w="470" w:type="dxa"/>
            <w:shd w:val="clear" w:color="auto" w:fill="auto"/>
            <w:noWrap/>
            <w:vAlign w:val="center"/>
          </w:tcPr>
          <w:p w14:paraId="4C5D4EF2">
            <w:pPr>
              <w:pStyle w:val="8"/>
              <w:suppressLineNumbers w:val="0"/>
              <w:bidi w:val="0"/>
              <w:spacing w:before="0" w:beforeAutospacing="0" w:after="0" w:afterAutospacing="0"/>
              <w:ind w:left="0" w:right="0"/>
              <w:rPr>
                <w:rFonts w:hint="default"/>
                <w:highlight w:val="none"/>
              </w:rPr>
            </w:pPr>
            <w:r>
              <w:rPr>
                <w:rFonts w:hint="default"/>
                <w:highlight w:val="none"/>
              </w:rPr>
              <w:t>ESE</w:t>
            </w:r>
          </w:p>
        </w:tc>
        <w:tc>
          <w:tcPr>
            <w:tcW w:w="470" w:type="dxa"/>
            <w:shd w:val="clear" w:color="auto" w:fill="auto"/>
            <w:noWrap/>
            <w:vAlign w:val="center"/>
          </w:tcPr>
          <w:p w14:paraId="548922EB">
            <w:pPr>
              <w:pStyle w:val="8"/>
              <w:suppressLineNumbers w:val="0"/>
              <w:bidi w:val="0"/>
              <w:spacing w:before="0" w:beforeAutospacing="0" w:after="0" w:afterAutospacing="0"/>
              <w:ind w:left="0" w:right="0"/>
              <w:rPr>
                <w:rFonts w:hint="default"/>
                <w:highlight w:val="none"/>
              </w:rPr>
            </w:pPr>
            <w:r>
              <w:rPr>
                <w:rFonts w:hint="default"/>
                <w:highlight w:val="none"/>
              </w:rPr>
              <w:t>SE</w:t>
            </w:r>
          </w:p>
        </w:tc>
        <w:tc>
          <w:tcPr>
            <w:tcW w:w="470" w:type="dxa"/>
            <w:shd w:val="clear" w:color="auto" w:fill="auto"/>
            <w:noWrap/>
            <w:vAlign w:val="center"/>
          </w:tcPr>
          <w:p w14:paraId="41D0D61B">
            <w:pPr>
              <w:pStyle w:val="8"/>
              <w:suppressLineNumbers w:val="0"/>
              <w:bidi w:val="0"/>
              <w:spacing w:before="0" w:beforeAutospacing="0" w:after="0" w:afterAutospacing="0"/>
              <w:ind w:left="0" w:right="0"/>
              <w:rPr>
                <w:rFonts w:hint="default"/>
                <w:highlight w:val="none"/>
              </w:rPr>
            </w:pPr>
            <w:r>
              <w:rPr>
                <w:rFonts w:hint="default"/>
                <w:highlight w:val="none"/>
              </w:rPr>
              <w:t>SSE</w:t>
            </w:r>
          </w:p>
        </w:tc>
        <w:tc>
          <w:tcPr>
            <w:tcW w:w="471" w:type="dxa"/>
            <w:shd w:val="clear" w:color="auto" w:fill="auto"/>
            <w:noWrap/>
            <w:vAlign w:val="center"/>
          </w:tcPr>
          <w:p w14:paraId="1D560360">
            <w:pPr>
              <w:pStyle w:val="8"/>
              <w:suppressLineNumbers w:val="0"/>
              <w:bidi w:val="0"/>
              <w:spacing w:before="0" w:beforeAutospacing="0" w:after="0" w:afterAutospacing="0"/>
              <w:ind w:left="0" w:right="0"/>
              <w:rPr>
                <w:rFonts w:hint="default"/>
                <w:highlight w:val="none"/>
              </w:rPr>
            </w:pPr>
            <w:r>
              <w:rPr>
                <w:rFonts w:hint="default"/>
                <w:highlight w:val="none"/>
              </w:rPr>
              <w:t>S</w:t>
            </w:r>
          </w:p>
        </w:tc>
        <w:tc>
          <w:tcPr>
            <w:tcW w:w="469" w:type="dxa"/>
            <w:shd w:val="clear" w:color="auto" w:fill="auto"/>
            <w:noWrap/>
            <w:vAlign w:val="center"/>
          </w:tcPr>
          <w:p w14:paraId="499B90B8">
            <w:pPr>
              <w:pStyle w:val="8"/>
              <w:suppressLineNumbers w:val="0"/>
              <w:bidi w:val="0"/>
              <w:spacing w:before="0" w:beforeAutospacing="0" w:after="0" w:afterAutospacing="0"/>
              <w:ind w:left="0" w:right="0"/>
              <w:rPr>
                <w:rFonts w:hint="default"/>
                <w:highlight w:val="none"/>
              </w:rPr>
            </w:pPr>
            <w:r>
              <w:rPr>
                <w:rFonts w:hint="default"/>
                <w:highlight w:val="none"/>
              </w:rPr>
              <w:t>SSW</w:t>
            </w:r>
          </w:p>
        </w:tc>
        <w:tc>
          <w:tcPr>
            <w:tcW w:w="468" w:type="dxa"/>
            <w:shd w:val="clear" w:color="auto" w:fill="auto"/>
            <w:noWrap/>
            <w:vAlign w:val="center"/>
          </w:tcPr>
          <w:p w14:paraId="69A44458">
            <w:pPr>
              <w:pStyle w:val="8"/>
              <w:suppressLineNumbers w:val="0"/>
              <w:bidi w:val="0"/>
              <w:spacing w:before="0" w:beforeAutospacing="0" w:after="0" w:afterAutospacing="0"/>
              <w:ind w:left="0" w:right="0"/>
              <w:rPr>
                <w:rFonts w:hint="default"/>
                <w:highlight w:val="none"/>
              </w:rPr>
            </w:pPr>
            <w:r>
              <w:rPr>
                <w:rFonts w:hint="default"/>
                <w:highlight w:val="none"/>
              </w:rPr>
              <w:t>SW</w:t>
            </w:r>
          </w:p>
        </w:tc>
        <w:tc>
          <w:tcPr>
            <w:tcW w:w="447" w:type="dxa"/>
            <w:shd w:val="clear" w:color="auto" w:fill="auto"/>
            <w:noWrap/>
            <w:vAlign w:val="center"/>
          </w:tcPr>
          <w:p w14:paraId="6A989D26">
            <w:pPr>
              <w:pStyle w:val="8"/>
              <w:suppressLineNumbers w:val="0"/>
              <w:bidi w:val="0"/>
              <w:spacing w:before="0" w:beforeAutospacing="0" w:after="0" w:afterAutospacing="0"/>
              <w:ind w:left="0" w:right="0"/>
              <w:rPr>
                <w:rFonts w:hint="default"/>
                <w:highlight w:val="none"/>
              </w:rPr>
            </w:pPr>
            <w:r>
              <w:rPr>
                <w:rFonts w:hint="default"/>
                <w:highlight w:val="none"/>
              </w:rPr>
              <w:t>WSW</w:t>
            </w:r>
          </w:p>
        </w:tc>
        <w:tc>
          <w:tcPr>
            <w:tcW w:w="447" w:type="dxa"/>
            <w:shd w:val="clear" w:color="auto" w:fill="auto"/>
            <w:noWrap/>
            <w:vAlign w:val="center"/>
          </w:tcPr>
          <w:p w14:paraId="12A9FEB3">
            <w:pPr>
              <w:pStyle w:val="8"/>
              <w:suppressLineNumbers w:val="0"/>
              <w:bidi w:val="0"/>
              <w:spacing w:before="0" w:beforeAutospacing="0" w:after="0" w:afterAutospacing="0"/>
              <w:ind w:left="0" w:right="0"/>
              <w:rPr>
                <w:rFonts w:hint="default"/>
                <w:highlight w:val="none"/>
              </w:rPr>
            </w:pPr>
            <w:r>
              <w:rPr>
                <w:rFonts w:hint="default"/>
                <w:highlight w:val="none"/>
              </w:rPr>
              <w:t>W</w:t>
            </w:r>
          </w:p>
        </w:tc>
        <w:tc>
          <w:tcPr>
            <w:tcW w:w="470" w:type="dxa"/>
            <w:shd w:val="clear" w:color="auto" w:fill="auto"/>
            <w:noWrap/>
            <w:vAlign w:val="center"/>
          </w:tcPr>
          <w:p w14:paraId="0D2A5A8D">
            <w:pPr>
              <w:pStyle w:val="8"/>
              <w:suppressLineNumbers w:val="0"/>
              <w:bidi w:val="0"/>
              <w:spacing w:before="0" w:beforeAutospacing="0" w:after="0" w:afterAutospacing="0"/>
              <w:ind w:left="0" w:right="0"/>
              <w:rPr>
                <w:rFonts w:hint="default"/>
                <w:highlight w:val="none"/>
              </w:rPr>
            </w:pPr>
            <w:r>
              <w:rPr>
                <w:rFonts w:hint="default"/>
                <w:highlight w:val="none"/>
              </w:rPr>
              <w:t>WNW</w:t>
            </w:r>
          </w:p>
        </w:tc>
        <w:tc>
          <w:tcPr>
            <w:tcW w:w="470" w:type="dxa"/>
            <w:shd w:val="clear" w:color="auto" w:fill="auto"/>
            <w:noWrap/>
            <w:vAlign w:val="center"/>
          </w:tcPr>
          <w:p w14:paraId="55EBBD0B">
            <w:pPr>
              <w:pStyle w:val="8"/>
              <w:suppressLineNumbers w:val="0"/>
              <w:bidi w:val="0"/>
              <w:spacing w:before="0" w:beforeAutospacing="0" w:after="0" w:afterAutospacing="0"/>
              <w:ind w:left="0" w:right="0"/>
              <w:rPr>
                <w:rFonts w:hint="default"/>
                <w:highlight w:val="none"/>
              </w:rPr>
            </w:pPr>
            <w:r>
              <w:rPr>
                <w:rFonts w:hint="default"/>
                <w:highlight w:val="none"/>
              </w:rPr>
              <w:t>NW</w:t>
            </w:r>
          </w:p>
        </w:tc>
        <w:tc>
          <w:tcPr>
            <w:tcW w:w="469" w:type="dxa"/>
            <w:shd w:val="clear" w:color="auto" w:fill="auto"/>
            <w:noWrap/>
            <w:vAlign w:val="center"/>
          </w:tcPr>
          <w:p w14:paraId="5F3623C5">
            <w:pPr>
              <w:pStyle w:val="8"/>
              <w:suppressLineNumbers w:val="0"/>
              <w:bidi w:val="0"/>
              <w:spacing w:before="0" w:beforeAutospacing="0" w:after="0" w:afterAutospacing="0"/>
              <w:ind w:left="0" w:right="0"/>
              <w:rPr>
                <w:rFonts w:hint="default"/>
                <w:highlight w:val="none"/>
              </w:rPr>
            </w:pPr>
            <w:r>
              <w:rPr>
                <w:rFonts w:hint="default"/>
                <w:highlight w:val="none"/>
              </w:rPr>
              <w:t>NNW</w:t>
            </w:r>
          </w:p>
        </w:tc>
        <w:tc>
          <w:tcPr>
            <w:tcW w:w="471" w:type="dxa"/>
            <w:shd w:val="clear" w:color="auto" w:fill="auto"/>
            <w:noWrap/>
            <w:vAlign w:val="center"/>
          </w:tcPr>
          <w:p w14:paraId="7B1493F6">
            <w:pPr>
              <w:pStyle w:val="8"/>
              <w:suppressLineNumbers w:val="0"/>
              <w:bidi w:val="0"/>
              <w:spacing w:before="0" w:beforeAutospacing="0" w:after="0" w:afterAutospacing="0"/>
              <w:ind w:left="0" w:right="0"/>
              <w:rPr>
                <w:rFonts w:hint="default"/>
                <w:highlight w:val="none"/>
              </w:rPr>
            </w:pPr>
            <w:r>
              <w:rPr>
                <w:rFonts w:hint="default"/>
                <w:highlight w:val="none"/>
              </w:rPr>
              <w:t>C</w:t>
            </w:r>
          </w:p>
        </w:tc>
      </w:tr>
      <w:tr w14:paraId="49AA497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583" w:type="dxa"/>
            <w:shd w:val="clear" w:color="auto" w:fill="auto"/>
            <w:noWrap/>
            <w:vAlign w:val="center"/>
          </w:tcPr>
          <w:p w14:paraId="526B339B">
            <w:pPr>
              <w:pStyle w:val="8"/>
              <w:suppressLineNumbers w:val="0"/>
              <w:bidi w:val="0"/>
              <w:spacing w:before="0" w:beforeAutospacing="0" w:after="0" w:afterAutospacing="0"/>
              <w:ind w:left="0" w:right="0"/>
              <w:rPr>
                <w:rFonts w:hint="eastAsia" w:eastAsia="宋体"/>
                <w:highlight w:val="none"/>
                <w:lang w:eastAsia="zh-CN"/>
              </w:rPr>
            </w:pPr>
            <w:r>
              <w:rPr>
                <w:rFonts w:hint="default"/>
                <w:highlight w:val="none"/>
              </w:rPr>
              <w:t>1月</w:t>
            </w:r>
          </w:p>
        </w:tc>
        <w:tc>
          <w:tcPr>
            <w:tcW w:w="469" w:type="dxa"/>
            <w:shd w:val="clear" w:color="auto" w:fill="auto"/>
            <w:noWrap/>
            <w:vAlign w:val="center"/>
          </w:tcPr>
          <w:p w14:paraId="45A96EB9">
            <w:pPr>
              <w:pStyle w:val="8"/>
              <w:suppressLineNumbers w:val="0"/>
              <w:bidi w:val="0"/>
              <w:spacing w:before="0" w:beforeAutospacing="0" w:after="0" w:afterAutospacing="0"/>
              <w:ind w:left="0" w:right="0"/>
              <w:rPr>
                <w:rFonts w:hint="default"/>
                <w:highlight w:val="none"/>
              </w:rPr>
            </w:pPr>
            <w:r>
              <w:rPr>
                <w:rFonts w:hint="default"/>
                <w:highlight w:val="none"/>
              </w:rPr>
              <w:t>5.11</w:t>
            </w:r>
          </w:p>
        </w:tc>
        <w:tc>
          <w:tcPr>
            <w:tcW w:w="470" w:type="dxa"/>
            <w:shd w:val="clear" w:color="auto" w:fill="auto"/>
            <w:noWrap/>
            <w:vAlign w:val="center"/>
          </w:tcPr>
          <w:p w14:paraId="6DC94647">
            <w:pPr>
              <w:pStyle w:val="8"/>
              <w:suppressLineNumbers w:val="0"/>
              <w:bidi w:val="0"/>
              <w:spacing w:before="0" w:beforeAutospacing="0" w:after="0" w:afterAutospacing="0"/>
              <w:ind w:left="0" w:right="0"/>
              <w:rPr>
                <w:rFonts w:hint="default"/>
                <w:highlight w:val="none"/>
              </w:rPr>
            </w:pPr>
            <w:r>
              <w:rPr>
                <w:rFonts w:hint="default"/>
                <w:highlight w:val="none"/>
              </w:rPr>
              <w:t>1.88</w:t>
            </w:r>
          </w:p>
        </w:tc>
        <w:tc>
          <w:tcPr>
            <w:tcW w:w="470" w:type="dxa"/>
            <w:shd w:val="clear" w:color="auto" w:fill="auto"/>
            <w:noWrap/>
            <w:vAlign w:val="center"/>
          </w:tcPr>
          <w:p w14:paraId="2EE08A9E">
            <w:pPr>
              <w:pStyle w:val="8"/>
              <w:suppressLineNumbers w:val="0"/>
              <w:bidi w:val="0"/>
              <w:spacing w:before="0" w:beforeAutospacing="0" w:after="0" w:afterAutospacing="0"/>
              <w:ind w:left="0" w:right="0"/>
              <w:rPr>
                <w:rFonts w:hint="default"/>
                <w:highlight w:val="none"/>
              </w:rPr>
            </w:pPr>
            <w:r>
              <w:rPr>
                <w:rFonts w:hint="default"/>
                <w:highlight w:val="none"/>
              </w:rPr>
              <w:t>2.42</w:t>
            </w:r>
          </w:p>
        </w:tc>
        <w:tc>
          <w:tcPr>
            <w:tcW w:w="469" w:type="dxa"/>
            <w:shd w:val="clear" w:color="auto" w:fill="auto"/>
            <w:noWrap/>
            <w:vAlign w:val="center"/>
          </w:tcPr>
          <w:p w14:paraId="2267EACA">
            <w:pPr>
              <w:pStyle w:val="8"/>
              <w:suppressLineNumbers w:val="0"/>
              <w:bidi w:val="0"/>
              <w:spacing w:before="0" w:beforeAutospacing="0" w:after="0" w:afterAutospacing="0"/>
              <w:ind w:left="0" w:right="0"/>
              <w:rPr>
                <w:rFonts w:hint="default"/>
                <w:highlight w:val="none"/>
              </w:rPr>
            </w:pPr>
            <w:r>
              <w:rPr>
                <w:rFonts w:hint="default"/>
                <w:highlight w:val="none"/>
              </w:rPr>
              <w:t>2.15</w:t>
            </w:r>
          </w:p>
        </w:tc>
        <w:tc>
          <w:tcPr>
            <w:tcW w:w="469" w:type="dxa"/>
            <w:shd w:val="clear" w:color="auto" w:fill="auto"/>
            <w:noWrap/>
            <w:vAlign w:val="center"/>
          </w:tcPr>
          <w:p w14:paraId="73F68FBB">
            <w:pPr>
              <w:pStyle w:val="8"/>
              <w:suppressLineNumbers w:val="0"/>
              <w:bidi w:val="0"/>
              <w:spacing w:before="0" w:beforeAutospacing="0" w:after="0" w:afterAutospacing="0"/>
              <w:ind w:left="0" w:right="0"/>
              <w:rPr>
                <w:rFonts w:hint="default"/>
                <w:highlight w:val="none"/>
              </w:rPr>
            </w:pPr>
            <w:r>
              <w:rPr>
                <w:rFonts w:hint="default"/>
                <w:highlight w:val="none"/>
              </w:rPr>
              <w:t>6.85</w:t>
            </w:r>
          </w:p>
        </w:tc>
        <w:tc>
          <w:tcPr>
            <w:tcW w:w="470" w:type="dxa"/>
            <w:shd w:val="clear" w:color="auto" w:fill="auto"/>
            <w:noWrap/>
            <w:vAlign w:val="center"/>
          </w:tcPr>
          <w:p w14:paraId="6130CFF5">
            <w:pPr>
              <w:pStyle w:val="8"/>
              <w:suppressLineNumbers w:val="0"/>
              <w:bidi w:val="0"/>
              <w:spacing w:before="0" w:beforeAutospacing="0" w:after="0" w:afterAutospacing="0"/>
              <w:ind w:left="0" w:right="0"/>
              <w:rPr>
                <w:rFonts w:hint="default"/>
                <w:highlight w:val="none"/>
              </w:rPr>
            </w:pPr>
            <w:r>
              <w:rPr>
                <w:rFonts w:hint="default"/>
                <w:highlight w:val="none"/>
              </w:rPr>
              <w:t>2.82</w:t>
            </w:r>
          </w:p>
        </w:tc>
        <w:tc>
          <w:tcPr>
            <w:tcW w:w="470" w:type="dxa"/>
            <w:shd w:val="clear" w:color="auto" w:fill="auto"/>
            <w:noWrap/>
            <w:vAlign w:val="center"/>
          </w:tcPr>
          <w:p w14:paraId="1F2718E6">
            <w:pPr>
              <w:pStyle w:val="8"/>
              <w:suppressLineNumbers w:val="0"/>
              <w:bidi w:val="0"/>
              <w:spacing w:before="0" w:beforeAutospacing="0" w:after="0" w:afterAutospacing="0"/>
              <w:ind w:left="0" w:right="0"/>
              <w:rPr>
                <w:rFonts w:hint="default"/>
                <w:highlight w:val="none"/>
              </w:rPr>
            </w:pPr>
            <w:r>
              <w:rPr>
                <w:rFonts w:hint="default"/>
                <w:highlight w:val="none"/>
              </w:rPr>
              <w:t>1.88</w:t>
            </w:r>
          </w:p>
        </w:tc>
        <w:tc>
          <w:tcPr>
            <w:tcW w:w="470" w:type="dxa"/>
            <w:shd w:val="clear" w:color="auto" w:fill="auto"/>
            <w:noWrap/>
            <w:vAlign w:val="center"/>
          </w:tcPr>
          <w:p w14:paraId="79D098CF">
            <w:pPr>
              <w:pStyle w:val="8"/>
              <w:suppressLineNumbers w:val="0"/>
              <w:bidi w:val="0"/>
              <w:spacing w:before="0" w:beforeAutospacing="0" w:after="0" w:afterAutospacing="0"/>
              <w:ind w:left="0" w:right="0"/>
              <w:rPr>
                <w:rFonts w:hint="default"/>
                <w:highlight w:val="none"/>
              </w:rPr>
            </w:pPr>
            <w:r>
              <w:rPr>
                <w:rFonts w:hint="default"/>
                <w:highlight w:val="none"/>
              </w:rPr>
              <w:t>1.34</w:t>
            </w:r>
          </w:p>
        </w:tc>
        <w:tc>
          <w:tcPr>
            <w:tcW w:w="471" w:type="dxa"/>
            <w:shd w:val="clear" w:color="auto" w:fill="auto"/>
            <w:noWrap/>
            <w:vAlign w:val="center"/>
          </w:tcPr>
          <w:p w14:paraId="60FD9920">
            <w:pPr>
              <w:pStyle w:val="8"/>
              <w:suppressLineNumbers w:val="0"/>
              <w:bidi w:val="0"/>
              <w:spacing w:before="0" w:beforeAutospacing="0" w:after="0" w:afterAutospacing="0"/>
              <w:ind w:left="0" w:right="0"/>
              <w:rPr>
                <w:rFonts w:hint="default"/>
                <w:highlight w:val="none"/>
              </w:rPr>
            </w:pPr>
            <w:r>
              <w:rPr>
                <w:rFonts w:hint="default"/>
                <w:highlight w:val="none"/>
              </w:rPr>
              <w:t>1.75</w:t>
            </w:r>
          </w:p>
        </w:tc>
        <w:tc>
          <w:tcPr>
            <w:tcW w:w="469" w:type="dxa"/>
            <w:shd w:val="clear" w:color="auto" w:fill="auto"/>
            <w:noWrap/>
            <w:vAlign w:val="center"/>
          </w:tcPr>
          <w:p w14:paraId="74A31E22">
            <w:pPr>
              <w:pStyle w:val="8"/>
              <w:suppressLineNumbers w:val="0"/>
              <w:bidi w:val="0"/>
              <w:spacing w:before="0" w:beforeAutospacing="0" w:after="0" w:afterAutospacing="0"/>
              <w:ind w:left="0" w:right="0"/>
              <w:rPr>
                <w:rFonts w:hint="default"/>
                <w:highlight w:val="none"/>
              </w:rPr>
            </w:pPr>
            <w:r>
              <w:rPr>
                <w:rFonts w:hint="default"/>
                <w:highlight w:val="none"/>
              </w:rPr>
              <w:t>1.21</w:t>
            </w:r>
          </w:p>
        </w:tc>
        <w:tc>
          <w:tcPr>
            <w:tcW w:w="468" w:type="dxa"/>
            <w:shd w:val="clear" w:color="auto" w:fill="auto"/>
            <w:noWrap/>
            <w:vAlign w:val="center"/>
          </w:tcPr>
          <w:p w14:paraId="60C00355">
            <w:pPr>
              <w:pStyle w:val="8"/>
              <w:suppressLineNumbers w:val="0"/>
              <w:bidi w:val="0"/>
              <w:spacing w:before="0" w:beforeAutospacing="0" w:after="0" w:afterAutospacing="0"/>
              <w:ind w:left="0" w:right="0"/>
              <w:rPr>
                <w:rFonts w:hint="default"/>
                <w:highlight w:val="none"/>
              </w:rPr>
            </w:pPr>
            <w:r>
              <w:rPr>
                <w:rFonts w:hint="default"/>
                <w:highlight w:val="none"/>
              </w:rPr>
              <w:t>5.38</w:t>
            </w:r>
          </w:p>
        </w:tc>
        <w:tc>
          <w:tcPr>
            <w:tcW w:w="447" w:type="dxa"/>
            <w:shd w:val="clear" w:color="auto" w:fill="auto"/>
            <w:noWrap/>
            <w:vAlign w:val="center"/>
          </w:tcPr>
          <w:p w14:paraId="6FEEC0E0">
            <w:pPr>
              <w:pStyle w:val="8"/>
              <w:suppressLineNumbers w:val="0"/>
              <w:bidi w:val="0"/>
              <w:spacing w:before="0" w:beforeAutospacing="0" w:after="0" w:afterAutospacing="0"/>
              <w:ind w:left="0" w:right="0"/>
              <w:rPr>
                <w:rFonts w:hint="default"/>
                <w:highlight w:val="none"/>
              </w:rPr>
            </w:pPr>
            <w:r>
              <w:rPr>
                <w:rFonts w:hint="default"/>
                <w:highlight w:val="none"/>
              </w:rPr>
              <w:t>26.75</w:t>
            </w:r>
          </w:p>
        </w:tc>
        <w:tc>
          <w:tcPr>
            <w:tcW w:w="447" w:type="dxa"/>
            <w:shd w:val="clear" w:color="auto" w:fill="auto"/>
            <w:noWrap/>
            <w:vAlign w:val="center"/>
          </w:tcPr>
          <w:p w14:paraId="71D4FA66">
            <w:pPr>
              <w:pStyle w:val="8"/>
              <w:suppressLineNumbers w:val="0"/>
              <w:bidi w:val="0"/>
              <w:spacing w:before="0" w:beforeAutospacing="0" w:after="0" w:afterAutospacing="0"/>
              <w:ind w:left="0" w:right="0"/>
              <w:rPr>
                <w:rFonts w:hint="default"/>
                <w:highlight w:val="none"/>
              </w:rPr>
            </w:pPr>
            <w:r>
              <w:rPr>
                <w:rFonts w:hint="default"/>
                <w:highlight w:val="none"/>
              </w:rPr>
              <w:t>21.37</w:t>
            </w:r>
          </w:p>
        </w:tc>
        <w:tc>
          <w:tcPr>
            <w:tcW w:w="470" w:type="dxa"/>
            <w:shd w:val="clear" w:color="auto" w:fill="auto"/>
            <w:noWrap/>
            <w:vAlign w:val="center"/>
          </w:tcPr>
          <w:p w14:paraId="09650F14">
            <w:pPr>
              <w:pStyle w:val="8"/>
              <w:suppressLineNumbers w:val="0"/>
              <w:bidi w:val="0"/>
              <w:spacing w:before="0" w:beforeAutospacing="0" w:after="0" w:afterAutospacing="0"/>
              <w:ind w:left="0" w:right="0"/>
              <w:rPr>
                <w:rFonts w:hint="default"/>
                <w:highlight w:val="none"/>
              </w:rPr>
            </w:pPr>
            <w:r>
              <w:rPr>
                <w:rFonts w:hint="default"/>
                <w:highlight w:val="none"/>
              </w:rPr>
              <w:t>5.38</w:t>
            </w:r>
          </w:p>
        </w:tc>
        <w:tc>
          <w:tcPr>
            <w:tcW w:w="470" w:type="dxa"/>
            <w:shd w:val="clear" w:color="auto" w:fill="auto"/>
            <w:noWrap/>
            <w:vAlign w:val="center"/>
          </w:tcPr>
          <w:p w14:paraId="1D8D8962">
            <w:pPr>
              <w:pStyle w:val="8"/>
              <w:suppressLineNumbers w:val="0"/>
              <w:bidi w:val="0"/>
              <w:spacing w:before="0" w:beforeAutospacing="0" w:after="0" w:afterAutospacing="0"/>
              <w:ind w:left="0" w:right="0"/>
              <w:rPr>
                <w:rFonts w:hint="default"/>
                <w:highlight w:val="none"/>
              </w:rPr>
            </w:pPr>
            <w:r>
              <w:rPr>
                <w:rFonts w:hint="default"/>
                <w:highlight w:val="none"/>
              </w:rPr>
              <w:t>4.57</w:t>
            </w:r>
          </w:p>
        </w:tc>
        <w:tc>
          <w:tcPr>
            <w:tcW w:w="469" w:type="dxa"/>
            <w:shd w:val="clear" w:color="auto" w:fill="auto"/>
            <w:noWrap/>
            <w:vAlign w:val="center"/>
          </w:tcPr>
          <w:p w14:paraId="5D076F5B">
            <w:pPr>
              <w:pStyle w:val="8"/>
              <w:suppressLineNumbers w:val="0"/>
              <w:bidi w:val="0"/>
              <w:spacing w:before="0" w:beforeAutospacing="0" w:after="0" w:afterAutospacing="0"/>
              <w:ind w:left="0" w:right="0"/>
              <w:rPr>
                <w:rFonts w:hint="default"/>
                <w:highlight w:val="none"/>
              </w:rPr>
            </w:pPr>
            <w:r>
              <w:rPr>
                <w:rFonts w:hint="default"/>
                <w:highlight w:val="none"/>
              </w:rPr>
              <w:t>6.18</w:t>
            </w:r>
          </w:p>
        </w:tc>
        <w:tc>
          <w:tcPr>
            <w:tcW w:w="471" w:type="dxa"/>
            <w:shd w:val="clear" w:color="auto" w:fill="auto"/>
            <w:noWrap/>
            <w:vAlign w:val="center"/>
          </w:tcPr>
          <w:p w14:paraId="521F1DF3">
            <w:pPr>
              <w:pStyle w:val="8"/>
              <w:suppressLineNumbers w:val="0"/>
              <w:bidi w:val="0"/>
              <w:spacing w:before="0" w:beforeAutospacing="0" w:after="0" w:afterAutospacing="0"/>
              <w:ind w:left="0" w:right="0"/>
              <w:rPr>
                <w:rFonts w:hint="default"/>
                <w:highlight w:val="none"/>
              </w:rPr>
            </w:pPr>
            <w:r>
              <w:rPr>
                <w:rFonts w:hint="default"/>
                <w:highlight w:val="none"/>
              </w:rPr>
              <w:t>2.96</w:t>
            </w:r>
          </w:p>
        </w:tc>
      </w:tr>
      <w:tr w14:paraId="19DBD1D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583" w:type="dxa"/>
            <w:shd w:val="clear" w:color="auto" w:fill="auto"/>
            <w:noWrap/>
            <w:vAlign w:val="center"/>
          </w:tcPr>
          <w:p w14:paraId="2BD29443">
            <w:pPr>
              <w:pStyle w:val="8"/>
              <w:suppressLineNumbers w:val="0"/>
              <w:bidi w:val="0"/>
              <w:spacing w:before="0" w:beforeAutospacing="0" w:after="0" w:afterAutospacing="0"/>
              <w:ind w:left="0" w:right="0"/>
              <w:rPr>
                <w:rFonts w:hint="default"/>
                <w:highlight w:val="none"/>
              </w:rPr>
            </w:pPr>
            <w:r>
              <w:rPr>
                <w:rFonts w:hint="default"/>
                <w:highlight w:val="none"/>
              </w:rPr>
              <w:t>2月</w:t>
            </w:r>
          </w:p>
        </w:tc>
        <w:tc>
          <w:tcPr>
            <w:tcW w:w="469" w:type="dxa"/>
            <w:shd w:val="clear" w:color="auto" w:fill="auto"/>
            <w:noWrap/>
            <w:vAlign w:val="center"/>
          </w:tcPr>
          <w:p w14:paraId="562E13C1">
            <w:pPr>
              <w:pStyle w:val="8"/>
              <w:suppressLineNumbers w:val="0"/>
              <w:bidi w:val="0"/>
              <w:spacing w:before="0" w:beforeAutospacing="0" w:after="0" w:afterAutospacing="0"/>
              <w:ind w:left="0" w:right="0"/>
              <w:rPr>
                <w:rFonts w:hint="default"/>
                <w:highlight w:val="none"/>
              </w:rPr>
            </w:pPr>
            <w:r>
              <w:rPr>
                <w:rFonts w:hint="default"/>
                <w:highlight w:val="none"/>
              </w:rPr>
              <w:t>1.79</w:t>
            </w:r>
          </w:p>
        </w:tc>
        <w:tc>
          <w:tcPr>
            <w:tcW w:w="470" w:type="dxa"/>
            <w:shd w:val="clear" w:color="auto" w:fill="auto"/>
            <w:noWrap/>
            <w:vAlign w:val="center"/>
          </w:tcPr>
          <w:p w14:paraId="091CC9DE">
            <w:pPr>
              <w:pStyle w:val="8"/>
              <w:suppressLineNumbers w:val="0"/>
              <w:bidi w:val="0"/>
              <w:spacing w:before="0" w:beforeAutospacing="0" w:after="0" w:afterAutospacing="0"/>
              <w:ind w:left="0" w:right="0"/>
              <w:rPr>
                <w:rFonts w:hint="default"/>
                <w:highlight w:val="none"/>
              </w:rPr>
            </w:pPr>
            <w:r>
              <w:rPr>
                <w:rFonts w:hint="default"/>
                <w:highlight w:val="none"/>
              </w:rPr>
              <w:t>3.13</w:t>
            </w:r>
          </w:p>
        </w:tc>
        <w:tc>
          <w:tcPr>
            <w:tcW w:w="470" w:type="dxa"/>
            <w:shd w:val="clear" w:color="auto" w:fill="auto"/>
            <w:noWrap/>
            <w:vAlign w:val="center"/>
          </w:tcPr>
          <w:p w14:paraId="3E112334">
            <w:pPr>
              <w:pStyle w:val="8"/>
              <w:suppressLineNumbers w:val="0"/>
              <w:bidi w:val="0"/>
              <w:spacing w:before="0" w:beforeAutospacing="0" w:after="0" w:afterAutospacing="0"/>
              <w:ind w:left="0" w:right="0"/>
              <w:rPr>
                <w:rFonts w:hint="default"/>
                <w:highlight w:val="none"/>
              </w:rPr>
            </w:pPr>
            <w:r>
              <w:rPr>
                <w:rFonts w:hint="default"/>
                <w:highlight w:val="none"/>
              </w:rPr>
              <w:t>2.23</w:t>
            </w:r>
          </w:p>
        </w:tc>
        <w:tc>
          <w:tcPr>
            <w:tcW w:w="469" w:type="dxa"/>
            <w:shd w:val="clear" w:color="auto" w:fill="auto"/>
            <w:noWrap/>
            <w:vAlign w:val="center"/>
          </w:tcPr>
          <w:p w14:paraId="13FEFD33">
            <w:pPr>
              <w:pStyle w:val="8"/>
              <w:suppressLineNumbers w:val="0"/>
              <w:bidi w:val="0"/>
              <w:spacing w:before="0" w:beforeAutospacing="0" w:after="0" w:afterAutospacing="0"/>
              <w:ind w:left="0" w:right="0"/>
              <w:rPr>
                <w:rFonts w:hint="default"/>
                <w:highlight w:val="none"/>
              </w:rPr>
            </w:pPr>
            <w:r>
              <w:rPr>
                <w:rFonts w:hint="default"/>
                <w:highlight w:val="none"/>
              </w:rPr>
              <w:t>1.64</w:t>
            </w:r>
          </w:p>
        </w:tc>
        <w:tc>
          <w:tcPr>
            <w:tcW w:w="469" w:type="dxa"/>
            <w:shd w:val="clear" w:color="auto" w:fill="auto"/>
            <w:noWrap/>
            <w:vAlign w:val="center"/>
          </w:tcPr>
          <w:p w14:paraId="2C430E7D">
            <w:pPr>
              <w:pStyle w:val="8"/>
              <w:suppressLineNumbers w:val="0"/>
              <w:bidi w:val="0"/>
              <w:spacing w:before="0" w:beforeAutospacing="0" w:after="0" w:afterAutospacing="0"/>
              <w:ind w:left="0" w:right="0"/>
              <w:rPr>
                <w:rFonts w:hint="default"/>
                <w:highlight w:val="none"/>
              </w:rPr>
            </w:pPr>
            <w:r>
              <w:rPr>
                <w:rFonts w:hint="default"/>
                <w:highlight w:val="none"/>
              </w:rPr>
              <w:t>2.08</w:t>
            </w:r>
          </w:p>
        </w:tc>
        <w:tc>
          <w:tcPr>
            <w:tcW w:w="470" w:type="dxa"/>
            <w:shd w:val="clear" w:color="auto" w:fill="auto"/>
            <w:noWrap/>
            <w:vAlign w:val="center"/>
          </w:tcPr>
          <w:p w14:paraId="2C2BBA1F">
            <w:pPr>
              <w:pStyle w:val="8"/>
              <w:suppressLineNumbers w:val="0"/>
              <w:bidi w:val="0"/>
              <w:spacing w:before="0" w:beforeAutospacing="0" w:after="0" w:afterAutospacing="0"/>
              <w:ind w:left="0" w:right="0"/>
              <w:rPr>
                <w:rFonts w:hint="default"/>
                <w:highlight w:val="none"/>
              </w:rPr>
            </w:pPr>
            <w:r>
              <w:rPr>
                <w:rFonts w:hint="default"/>
                <w:highlight w:val="none"/>
              </w:rPr>
              <w:t>1.04</w:t>
            </w:r>
          </w:p>
        </w:tc>
        <w:tc>
          <w:tcPr>
            <w:tcW w:w="470" w:type="dxa"/>
            <w:shd w:val="clear" w:color="auto" w:fill="auto"/>
            <w:noWrap/>
            <w:vAlign w:val="center"/>
          </w:tcPr>
          <w:p w14:paraId="0AA33075">
            <w:pPr>
              <w:pStyle w:val="8"/>
              <w:suppressLineNumbers w:val="0"/>
              <w:bidi w:val="0"/>
              <w:spacing w:before="0" w:beforeAutospacing="0" w:after="0" w:afterAutospacing="0"/>
              <w:ind w:left="0" w:right="0"/>
              <w:rPr>
                <w:rFonts w:hint="default"/>
                <w:highlight w:val="none"/>
              </w:rPr>
            </w:pPr>
            <w:r>
              <w:rPr>
                <w:rFonts w:hint="default"/>
                <w:highlight w:val="none"/>
              </w:rPr>
              <w:t>0.30</w:t>
            </w:r>
          </w:p>
        </w:tc>
        <w:tc>
          <w:tcPr>
            <w:tcW w:w="470" w:type="dxa"/>
            <w:shd w:val="clear" w:color="auto" w:fill="auto"/>
            <w:noWrap/>
            <w:vAlign w:val="center"/>
          </w:tcPr>
          <w:p w14:paraId="3486E35B">
            <w:pPr>
              <w:pStyle w:val="8"/>
              <w:suppressLineNumbers w:val="0"/>
              <w:bidi w:val="0"/>
              <w:spacing w:before="0" w:beforeAutospacing="0" w:after="0" w:afterAutospacing="0"/>
              <w:ind w:left="0" w:right="0"/>
              <w:rPr>
                <w:rFonts w:hint="default"/>
                <w:highlight w:val="none"/>
              </w:rPr>
            </w:pPr>
            <w:r>
              <w:rPr>
                <w:rFonts w:hint="default"/>
                <w:highlight w:val="none"/>
              </w:rPr>
              <w:t>0.74</w:t>
            </w:r>
          </w:p>
        </w:tc>
        <w:tc>
          <w:tcPr>
            <w:tcW w:w="471" w:type="dxa"/>
            <w:shd w:val="clear" w:color="auto" w:fill="auto"/>
            <w:noWrap/>
            <w:vAlign w:val="center"/>
          </w:tcPr>
          <w:p w14:paraId="2B780A92">
            <w:pPr>
              <w:pStyle w:val="8"/>
              <w:suppressLineNumbers w:val="0"/>
              <w:bidi w:val="0"/>
              <w:spacing w:before="0" w:beforeAutospacing="0" w:after="0" w:afterAutospacing="0"/>
              <w:ind w:left="0" w:right="0"/>
              <w:rPr>
                <w:rFonts w:hint="default"/>
                <w:highlight w:val="none"/>
              </w:rPr>
            </w:pPr>
            <w:r>
              <w:rPr>
                <w:rFonts w:hint="default"/>
                <w:highlight w:val="none"/>
              </w:rPr>
              <w:t>0.74</w:t>
            </w:r>
          </w:p>
        </w:tc>
        <w:tc>
          <w:tcPr>
            <w:tcW w:w="469" w:type="dxa"/>
            <w:shd w:val="clear" w:color="auto" w:fill="auto"/>
            <w:noWrap/>
            <w:vAlign w:val="center"/>
          </w:tcPr>
          <w:p w14:paraId="6A518C98">
            <w:pPr>
              <w:pStyle w:val="8"/>
              <w:suppressLineNumbers w:val="0"/>
              <w:bidi w:val="0"/>
              <w:spacing w:before="0" w:beforeAutospacing="0" w:after="0" w:afterAutospacing="0"/>
              <w:ind w:left="0" w:right="0"/>
              <w:rPr>
                <w:rFonts w:hint="default"/>
                <w:highlight w:val="none"/>
              </w:rPr>
            </w:pPr>
            <w:r>
              <w:rPr>
                <w:rFonts w:hint="default"/>
                <w:highlight w:val="none"/>
              </w:rPr>
              <w:t>2.08</w:t>
            </w:r>
          </w:p>
        </w:tc>
        <w:tc>
          <w:tcPr>
            <w:tcW w:w="468" w:type="dxa"/>
            <w:shd w:val="clear" w:color="auto" w:fill="auto"/>
            <w:noWrap/>
            <w:vAlign w:val="center"/>
          </w:tcPr>
          <w:p w14:paraId="52C435DA">
            <w:pPr>
              <w:pStyle w:val="8"/>
              <w:suppressLineNumbers w:val="0"/>
              <w:bidi w:val="0"/>
              <w:spacing w:before="0" w:beforeAutospacing="0" w:after="0" w:afterAutospacing="0"/>
              <w:ind w:left="0" w:right="0"/>
              <w:rPr>
                <w:rFonts w:hint="default"/>
                <w:highlight w:val="none"/>
              </w:rPr>
            </w:pPr>
            <w:r>
              <w:rPr>
                <w:rFonts w:hint="default"/>
                <w:highlight w:val="none"/>
              </w:rPr>
              <w:t>15.03</w:t>
            </w:r>
          </w:p>
        </w:tc>
        <w:tc>
          <w:tcPr>
            <w:tcW w:w="447" w:type="dxa"/>
            <w:shd w:val="clear" w:color="auto" w:fill="auto"/>
            <w:noWrap/>
            <w:vAlign w:val="center"/>
          </w:tcPr>
          <w:p w14:paraId="7B0E2582">
            <w:pPr>
              <w:pStyle w:val="8"/>
              <w:suppressLineNumbers w:val="0"/>
              <w:bidi w:val="0"/>
              <w:spacing w:before="0" w:beforeAutospacing="0" w:after="0" w:afterAutospacing="0"/>
              <w:ind w:left="0" w:right="0"/>
              <w:rPr>
                <w:rFonts w:hint="default"/>
                <w:highlight w:val="none"/>
              </w:rPr>
            </w:pPr>
            <w:r>
              <w:rPr>
                <w:rFonts w:hint="default"/>
                <w:highlight w:val="none"/>
              </w:rPr>
              <w:t>29.76</w:t>
            </w:r>
          </w:p>
        </w:tc>
        <w:tc>
          <w:tcPr>
            <w:tcW w:w="447" w:type="dxa"/>
            <w:shd w:val="clear" w:color="auto" w:fill="auto"/>
            <w:noWrap/>
            <w:vAlign w:val="center"/>
          </w:tcPr>
          <w:p w14:paraId="1E0D12AF">
            <w:pPr>
              <w:pStyle w:val="8"/>
              <w:suppressLineNumbers w:val="0"/>
              <w:bidi w:val="0"/>
              <w:spacing w:before="0" w:beforeAutospacing="0" w:after="0" w:afterAutospacing="0"/>
              <w:ind w:left="0" w:right="0"/>
              <w:rPr>
                <w:rFonts w:hint="default"/>
                <w:highlight w:val="none"/>
              </w:rPr>
            </w:pPr>
            <w:r>
              <w:rPr>
                <w:rFonts w:hint="default"/>
                <w:highlight w:val="none"/>
              </w:rPr>
              <w:t>26.93</w:t>
            </w:r>
          </w:p>
        </w:tc>
        <w:tc>
          <w:tcPr>
            <w:tcW w:w="470" w:type="dxa"/>
            <w:shd w:val="clear" w:color="auto" w:fill="auto"/>
            <w:noWrap/>
            <w:vAlign w:val="center"/>
          </w:tcPr>
          <w:p w14:paraId="44C4772F">
            <w:pPr>
              <w:pStyle w:val="8"/>
              <w:suppressLineNumbers w:val="0"/>
              <w:bidi w:val="0"/>
              <w:spacing w:before="0" w:beforeAutospacing="0" w:after="0" w:afterAutospacing="0"/>
              <w:ind w:left="0" w:right="0"/>
              <w:rPr>
                <w:rFonts w:hint="default"/>
                <w:highlight w:val="none"/>
              </w:rPr>
            </w:pPr>
            <w:r>
              <w:rPr>
                <w:rFonts w:hint="default"/>
                <w:highlight w:val="none"/>
              </w:rPr>
              <w:t>4.91</w:t>
            </w:r>
          </w:p>
        </w:tc>
        <w:tc>
          <w:tcPr>
            <w:tcW w:w="470" w:type="dxa"/>
            <w:shd w:val="clear" w:color="auto" w:fill="auto"/>
            <w:noWrap/>
            <w:vAlign w:val="center"/>
          </w:tcPr>
          <w:p w14:paraId="483C5068">
            <w:pPr>
              <w:pStyle w:val="8"/>
              <w:suppressLineNumbers w:val="0"/>
              <w:bidi w:val="0"/>
              <w:spacing w:before="0" w:beforeAutospacing="0" w:after="0" w:afterAutospacing="0"/>
              <w:ind w:left="0" w:right="0"/>
              <w:rPr>
                <w:rFonts w:hint="default"/>
                <w:highlight w:val="none"/>
              </w:rPr>
            </w:pPr>
            <w:r>
              <w:rPr>
                <w:rFonts w:hint="default"/>
                <w:highlight w:val="none"/>
              </w:rPr>
              <w:t>2.23</w:t>
            </w:r>
          </w:p>
        </w:tc>
        <w:tc>
          <w:tcPr>
            <w:tcW w:w="469" w:type="dxa"/>
            <w:shd w:val="clear" w:color="auto" w:fill="auto"/>
            <w:noWrap/>
            <w:vAlign w:val="center"/>
          </w:tcPr>
          <w:p w14:paraId="2ECE8262">
            <w:pPr>
              <w:pStyle w:val="8"/>
              <w:suppressLineNumbers w:val="0"/>
              <w:bidi w:val="0"/>
              <w:spacing w:before="0" w:beforeAutospacing="0" w:after="0" w:afterAutospacing="0"/>
              <w:ind w:left="0" w:right="0"/>
              <w:rPr>
                <w:rFonts w:hint="default"/>
                <w:highlight w:val="none"/>
              </w:rPr>
            </w:pPr>
            <w:r>
              <w:rPr>
                <w:rFonts w:hint="default"/>
                <w:highlight w:val="none"/>
              </w:rPr>
              <w:t>2.83</w:t>
            </w:r>
          </w:p>
        </w:tc>
        <w:tc>
          <w:tcPr>
            <w:tcW w:w="471" w:type="dxa"/>
            <w:shd w:val="clear" w:color="auto" w:fill="auto"/>
            <w:noWrap/>
            <w:vAlign w:val="center"/>
          </w:tcPr>
          <w:p w14:paraId="61B267B4">
            <w:pPr>
              <w:pStyle w:val="8"/>
              <w:suppressLineNumbers w:val="0"/>
              <w:bidi w:val="0"/>
              <w:spacing w:before="0" w:beforeAutospacing="0" w:after="0" w:afterAutospacing="0"/>
              <w:ind w:left="0" w:right="0"/>
              <w:rPr>
                <w:rFonts w:hint="default"/>
                <w:highlight w:val="none"/>
              </w:rPr>
            </w:pPr>
            <w:r>
              <w:rPr>
                <w:rFonts w:hint="default"/>
                <w:highlight w:val="none"/>
              </w:rPr>
              <w:t>2.53</w:t>
            </w:r>
          </w:p>
        </w:tc>
      </w:tr>
      <w:tr w14:paraId="4763E0B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583" w:type="dxa"/>
            <w:shd w:val="clear" w:color="auto" w:fill="auto"/>
            <w:noWrap/>
            <w:vAlign w:val="center"/>
          </w:tcPr>
          <w:p w14:paraId="51560511">
            <w:pPr>
              <w:pStyle w:val="8"/>
              <w:suppressLineNumbers w:val="0"/>
              <w:bidi w:val="0"/>
              <w:spacing w:before="0" w:beforeAutospacing="0" w:after="0" w:afterAutospacing="0"/>
              <w:ind w:left="0" w:right="0"/>
              <w:rPr>
                <w:rFonts w:hint="default"/>
                <w:highlight w:val="none"/>
              </w:rPr>
            </w:pPr>
            <w:r>
              <w:rPr>
                <w:rFonts w:hint="default"/>
                <w:highlight w:val="none"/>
              </w:rPr>
              <w:t>3月</w:t>
            </w:r>
          </w:p>
        </w:tc>
        <w:tc>
          <w:tcPr>
            <w:tcW w:w="469" w:type="dxa"/>
            <w:shd w:val="clear" w:color="auto" w:fill="auto"/>
            <w:noWrap/>
            <w:vAlign w:val="center"/>
          </w:tcPr>
          <w:p w14:paraId="27B20C56">
            <w:pPr>
              <w:pStyle w:val="8"/>
              <w:suppressLineNumbers w:val="0"/>
              <w:bidi w:val="0"/>
              <w:spacing w:before="0" w:beforeAutospacing="0" w:after="0" w:afterAutospacing="0"/>
              <w:ind w:left="0" w:right="0"/>
              <w:rPr>
                <w:rFonts w:hint="default"/>
                <w:highlight w:val="none"/>
              </w:rPr>
            </w:pPr>
            <w:r>
              <w:rPr>
                <w:rFonts w:hint="default"/>
                <w:highlight w:val="none"/>
              </w:rPr>
              <w:t>4.70</w:t>
            </w:r>
          </w:p>
        </w:tc>
        <w:tc>
          <w:tcPr>
            <w:tcW w:w="470" w:type="dxa"/>
            <w:shd w:val="clear" w:color="auto" w:fill="auto"/>
            <w:noWrap/>
            <w:vAlign w:val="center"/>
          </w:tcPr>
          <w:p w14:paraId="5D5998C0">
            <w:pPr>
              <w:pStyle w:val="8"/>
              <w:suppressLineNumbers w:val="0"/>
              <w:bidi w:val="0"/>
              <w:spacing w:before="0" w:beforeAutospacing="0" w:after="0" w:afterAutospacing="0"/>
              <w:ind w:left="0" w:right="0"/>
              <w:rPr>
                <w:rFonts w:hint="default"/>
                <w:highlight w:val="none"/>
              </w:rPr>
            </w:pPr>
            <w:r>
              <w:rPr>
                <w:rFonts w:hint="default"/>
                <w:highlight w:val="none"/>
              </w:rPr>
              <w:t>3.36</w:t>
            </w:r>
          </w:p>
        </w:tc>
        <w:tc>
          <w:tcPr>
            <w:tcW w:w="470" w:type="dxa"/>
            <w:shd w:val="clear" w:color="auto" w:fill="auto"/>
            <w:noWrap/>
            <w:vAlign w:val="center"/>
          </w:tcPr>
          <w:p w14:paraId="0BC89439">
            <w:pPr>
              <w:pStyle w:val="8"/>
              <w:suppressLineNumbers w:val="0"/>
              <w:bidi w:val="0"/>
              <w:spacing w:before="0" w:beforeAutospacing="0" w:after="0" w:afterAutospacing="0"/>
              <w:ind w:left="0" w:right="0"/>
              <w:rPr>
                <w:rFonts w:hint="default"/>
                <w:highlight w:val="none"/>
              </w:rPr>
            </w:pPr>
            <w:r>
              <w:rPr>
                <w:rFonts w:hint="default"/>
                <w:highlight w:val="none"/>
              </w:rPr>
              <w:t>3.76</w:t>
            </w:r>
          </w:p>
        </w:tc>
        <w:tc>
          <w:tcPr>
            <w:tcW w:w="469" w:type="dxa"/>
            <w:shd w:val="clear" w:color="auto" w:fill="auto"/>
            <w:noWrap/>
            <w:vAlign w:val="center"/>
          </w:tcPr>
          <w:p w14:paraId="392BA32F">
            <w:pPr>
              <w:pStyle w:val="8"/>
              <w:suppressLineNumbers w:val="0"/>
              <w:bidi w:val="0"/>
              <w:spacing w:before="0" w:beforeAutospacing="0" w:after="0" w:afterAutospacing="0"/>
              <w:ind w:left="0" w:right="0"/>
              <w:rPr>
                <w:rFonts w:hint="default"/>
                <w:highlight w:val="none"/>
              </w:rPr>
            </w:pPr>
            <w:r>
              <w:rPr>
                <w:rFonts w:hint="default"/>
                <w:highlight w:val="none"/>
              </w:rPr>
              <w:t>2.28</w:t>
            </w:r>
          </w:p>
        </w:tc>
        <w:tc>
          <w:tcPr>
            <w:tcW w:w="469" w:type="dxa"/>
            <w:shd w:val="clear" w:color="auto" w:fill="auto"/>
            <w:noWrap/>
            <w:vAlign w:val="center"/>
          </w:tcPr>
          <w:p w14:paraId="00C5C7BC">
            <w:pPr>
              <w:pStyle w:val="8"/>
              <w:suppressLineNumbers w:val="0"/>
              <w:bidi w:val="0"/>
              <w:spacing w:before="0" w:beforeAutospacing="0" w:after="0" w:afterAutospacing="0"/>
              <w:ind w:left="0" w:right="0"/>
              <w:rPr>
                <w:rFonts w:hint="default"/>
                <w:highlight w:val="none"/>
              </w:rPr>
            </w:pPr>
            <w:r>
              <w:rPr>
                <w:rFonts w:hint="default"/>
                <w:highlight w:val="none"/>
              </w:rPr>
              <w:t>2.55</w:t>
            </w:r>
          </w:p>
        </w:tc>
        <w:tc>
          <w:tcPr>
            <w:tcW w:w="470" w:type="dxa"/>
            <w:shd w:val="clear" w:color="auto" w:fill="auto"/>
            <w:noWrap/>
            <w:vAlign w:val="center"/>
          </w:tcPr>
          <w:p w14:paraId="23A0CDE3">
            <w:pPr>
              <w:pStyle w:val="8"/>
              <w:suppressLineNumbers w:val="0"/>
              <w:bidi w:val="0"/>
              <w:spacing w:before="0" w:beforeAutospacing="0" w:after="0" w:afterAutospacing="0"/>
              <w:ind w:left="0" w:right="0"/>
              <w:rPr>
                <w:rFonts w:hint="default"/>
                <w:highlight w:val="none"/>
              </w:rPr>
            </w:pPr>
            <w:r>
              <w:rPr>
                <w:rFonts w:hint="default"/>
                <w:highlight w:val="none"/>
              </w:rPr>
              <w:t>2.55</w:t>
            </w:r>
          </w:p>
        </w:tc>
        <w:tc>
          <w:tcPr>
            <w:tcW w:w="470" w:type="dxa"/>
            <w:shd w:val="clear" w:color="auto" w:fill="auto"/>
            <w:noWrap/>
            <w:vAlign w:val="center"/>
          </w:tcPr>
          <w:p w14:paraId="42EB6898">
            <w:pPr>
              <w:pStyle w:val="8"/>
              <w:suppressLineNumbers w:val="0"/>
              <w:bidi w:val="0"/>
              <w:spacing w:before="0" w:beforeAutospacing="0" w:after="0" w:afterAutospacing="0"/>
              <w:ind w:left="0" w:right="0"/>
              <w:rPr>
                <w:rFonts w:hint="default"/>
                <w:highlight w:val="none"/>
              </w:rPr>
            </w:pPr>
            <w:r>
              <w:rPr>
                <w:rFonts w:hint="default"/>
                <w:highlight w:val="none"/>
              </w:rPr>
              <w:t>3.23</w:t>
            </w:r>
          </w:p>
        </w:tc>
        <w:tc>
          <w:tcPr>
            <w:tcW w:w="470" w:type="dxa"/>
            <w:shd w:val="clear" w:color="auto" w:fill="auto"/>
            <w:noWrap/>
            <w:vAlign w:val="center"/>
          </w:tcPr>
          <w:p w14:paraId="22BFAB60">
            <w:pPr>
              <w:pStyle w:val="8"/>
              <w:suppressLineNumbers w:val="0"/>
              <w:bidi w:val="0"/>
              <w:spacing w:before="0" w:beforeAutospacing="0" w:after="0" w:afterAutospacing="0"/>
              <w:ind w:left="0" w:right="0"/>
              <w:rPr>
                <w:rFonts w:hint="default"/>
                <w:highlight w:val="none"/>
              </w:rPr>
            </w:pPr>
            <w:r>
              <w:rPr>
                <w:rFonts w:hint="default"/>
                <w:highlight w:val="none"/>
              </w:rPr>
              <w:t>2.02</w:t>
            </w:r>
          </w:p>
        </w:tc>
        <w:tc>
          <w:tcPr>
            <w:tcW w:w="471" w:type="dxa"/>
            <w:shd w:val="clear" w:color="auto" w:fill="auto"/>
            <w:noWrap/>
            <w:vAlign w:val="center"/>
          </w:tcPr>
          <w:p w14:paraId="481CE47D">
            <w:pPr>
              <w:pStyle w:val="8"/>
              <w:suppressLineNumbers w:val="0"/>
              <w:bidi w:val="0"/>
              <w:spacing w:before="0" w:beforeAutospacing="0" w:after="0" w:afterAutospacing="0"/>
              <w:ind w:left="0" w:right="0"/>
              <w:rPr>
                <w:rFonts w:hint="default"/>
                <w:highlight w:val="none"/>
              </w:rPr>
            </w:pPr>
            <w:r>
              <w:rPr>
                <w:rFonts w:hint="default"/>
                <w:highlight w:val="none"/>
              </w:rPr>
              <w:t>3.23</w:t>
            </w:r>
          </w:p>
        </w:tc>
        <w:tc>
          <w:tcPr>
            <w:tcW w:w="469" w:type="dxa"/>
            <w:shd w:val="clear" w:color="auto" w:fill="auto"/>
            <w:noWrap/>
            <w:vAlign w:val="center"/>
          </w:tcPr>
          <w:p w14:paraId="5B3788B6">
            <w:pPr>
              <w:pStyle w:val="8"/>
              <w:suppressLineNumbers w:val="0"/>
              <w:bidi w:val="0"/>
              <w:spacing w:before="0" w:beforeAutospacing="0" w:after="0" w:afterAutospacing="0"/>
              <w:ind w:left="0" w:right="0"/>
              <w:rPr>
                <w:rFonts w:hint="default"/>
                <w:highlight w:val="none"/>
              </w:rPr>
            </w:pPr>
            <w:r>
              <w:rPr>
                <w:rFonts w:hint="default"/>
                <w:highlight w:val="none"/>
              </w:rPr>
              <w:t>6.05</w:t>
            </w:r>
          </w:p>
        </w:tc>
        <w:tc>
          <w:tcPr>
            <w:tcW w:w="468" w:type="dxa"/>
            <w:shd w:val="clear" w:color="auto" w:fill="auto"/>
            <w:noWrap/>
            <w:vAlign w:val="center"/>
          </w:tcPr>
          <w:p w14:paraId="50B6F8A1">
            <w:pPr>
              <w:pStyle w:val="8"/>
              <w:suppressLineNumbers w:val="0"/>
              <w:bidi w:val="0"/>
              <w:spacing w:before="0" w:beforeAutospacing="0" w:after="0" w:afterAutospacing="0"/>
              <w:ind w:left="0" w:right="0"/>
              <w:rPr>
                <w:rFonts w:hint="default"/>
                <w:highlight w:val="none"/>
              </w:rPr>
            </w:pPr>
            <w:r>
              <w:rPr>
                <w:rFonts w:hint="default"/>
                <w:highlight w:val="none"/>
              </w:rPr>
              <w:t>9.68</w:t>
            </w:r>
          </w:p>
        </w:tc>
        <w:tc>
          <w:tcPr>
            <w:tcW w:w="447" w:type="dxa"/>
            <w:shd w:val="clear" w:color="auto" w:fill="auto"/>
            <w:noWrap/>
            <w:vAlign w:val="center"/>
          </w:tcPr>
          <w:p w14:paraId="5C3079C7">
            <w:pPr>
              <w:pStyle w:val="8"/>
              <w:suppressLineNumbers w:val="0"/>
              <w:bidi w:val="0"/>
              <w:spacing w:before="0" w:beforeAutospacing="0" w:after="0" w:afterAutospacing="0"/>
              <w:ind w:left="0" w:right="0"/>
              <w:rPr>
                <w:rFonts w:hint="default"/>
                <w:highlight w:val="none"/>
              </w:rPr>
            </w:pPr>
            <w:r>
              <w:rPr>
                <w:rFonts w:hint="default"/>
                <w:highlight w:val="none"/>
              </w:rPr>
              <w:t>16.53</w:t>
            </w:r>
          </w:p>
        </w:tc>
        <w:tc>
          <w:tcPr>
            <w:tcW w:w="447" w:type="dxa"/>
            <w:shd w:val="clear" w:color="auto" w:fill="auto"/>
            <w:noWrap/>
            <w:vAlign w:val="center"/>
          </w:tcPr>
          <w:p w14:paraId="19A22D9C">
            <w:pPr>
              <w:pStyle w:val="8"/>
              <w:suppressLineNumbers w:val="0"/>
              <w:bidi w:val="0"/>
              <w:spacing w:before="0" w:beforeAutospacing="0" w:after="0" w:afterAutospacing="0"/>
              <w:ind w:left="0" w:right="0"/>
              <w:rPr>
                <w:rFonts w:hint="default"/>
                <w:highlight w:val="none"/>
              </w:rPr>
            </w:pPr>
            <w:r>
              <w:rPr>
                <w:rFonts w:hint="default"/>
                <w:highlight w:val="none"/>
              </w:rPr>
              <w:t>16.94</w:t>
            </w:r>
          </w:p>
        </w:tc>
        <w:tc>
          <w:tcPr>
            <w:tcW w:w="470" w:type="dxa"/>
            <w:shd w:val="clear" w:color="auto" w:fill="auto"/>
            <w:noWrap/>
            <w:vAlign w:val="center"/>
          </w:tcPr>
          <w:p w14:paraId="5B51FCBE">
            <w:pPr>
              <w:pStyle w:val="8"/>
              <w:suppressLineNumbers w:val="0"/>
              <w:bidi w:val="0"/>
              <w:spacing w:before="0" w:beforeAutospacing="0" w:after="0" w:afterAutospacing="0"/>
              <w:ind w:left="0" w:right="0"/>
              <w:rPr>
                <w:rFonts w:hint="default"/>
                <w:highlight w:val="none"/>
              </w:rPr>
            </w:pPr>
            <w:r>
              <w:rPr>
                <w:rFonts w:hint="default"/>
                <w:highlight w:val="none"/>
              </w:rPr>
              <w:t>12.77</w:t>
            </w:r>
          </w:p>
        </w:tc>
        <w:tc>
          <w:tcPr>
            <w:tcW w:w="470" w:type="dxa"/>
            <w:shd w:val="clear" w:color="auto" w:fill="auto"/>
            <w:noWrap/>
            <w:vAlign w:val="center"/>
          </w:tcPr>
          <w:p w14:paraId="1F6EDD8E">
            <w:pPr>
              <w:pStyle w:val="8"/>
              <w:suppressLineNumbers w:val="0"/>
              <w:bidi w:val="0"/>
              <w:spacing w:before="0" w:beforeAutospacing="0" w:after="0" w:afterAutospacing="0"/>
              <w:ind w:left="0" w:right="0"/>
              <w:rPr>
                <w:rFonts w:hint="default"/>
                <w:highlight w:val="none"/>
              </w:rPr>
            </w:pPr>
            <w:r>
              <w:rPr>
                <w:rFonts w:hint="default"/>
                <w:highlight w:val="none"/>
              </w:rPr>
              <w:t>1.88</w:t>
            </w:r>
          </w:p>
        </w:tc>
        <w:tc>
          <w:tcPr>
            <w:tcW w:w="469" w:type="dxa"/>
            <w:shd w:val="clear" w:color="auto" w:fill="auto"/>
            <w:noWrap/>
            <w:vAlign w:val="center"/>
          </w:tcPr>
          <w:p w14:paraId="1140FFBE">
            <w:pPr>
              <w:pStyle w:val="8"/>
              <w:suppressLineNumbers w:val="0"/>
              <w:bidi w:val="0"/>
              <w:spacing w:before="0" w:beforeAutospacing="0" w:after="0" w:afterAutospacing="0"/>
              <w:ind w:left="0" w:right="0"/>
              <w:rPr>
                <w:rFonts w:hint="default"/>
                <w:highlight w:val="none"/>
              </w:rPr>
            </w:pPr>
            <w:r>
              <w:rPr>
                <w:rFonts w:hint="default"/>
                <w:highlight w:val="none"/>
              </w:rPr>
              <w:t>4.44</w:t>
            </w:r>
          </w:p>
        </w:tc>
        <w:tc>
          <w:tcPr>
            <w:tcW w:w="471" w:type="dxa"/>
            <w:shd w:val="clear" w:color="auto" w:fill="auto"/>
            <w:noWrap/>
            <w:vAlign w:val="center"/>
          </w:tcPr>
          <w:p w14:paraId="79EF9CEE">
            <w:pPr>
              <w:pStyle w:val="8"/>
              <w:suppressLineNumbers w:val="0"/>
              <w:bidi w:val="0"/>
              <w:spacing w:before="0" w:beforeAutospacing="0" w:after="0" w:afterAutospacing="0"/>
              <w:ind w:left="0" w:right="0"/>
              <w:rPr>
                <w:rFonts w:hint="default"/>
                <w:highlight w:val="none"/>
              </w:rPr>
            </w:pPr>
            <w:r>
              <w:rPr>
                <w:rFonts w:hint="default"/>
                <w:highlight w:val="none"/>
              </w:rPr>
              <w:t>4.03</w:t>
            </w:r>
          </w:p>
        </w:tc>
      </w:tr>
      <w:tr w14:paraId="7826777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583" w:type="dxa"/>
            <w:shd w:val="clear" w:color="auto" w:fill="auto"/>
            <w:noWrap/>
            <w:vAlign w:val="center"/>
          </w:tcPr>
          <w:p w14:paraId="02E2F995">
            <w:pPr>
              <w:pStyle w:val="8"/>
              <w:suppressLineNumbers w:val="0"/>
              <w:bidi w:val="0"/>
              <w:spacing w:before="0" w:beforeAutospacing="0" w:after="0" w:afterAutospacing="0"/>
              <w:ind w:left="0" w:right="0"/>
              <w:rPr>
                <w:rFonts w:hint="default"/>
                <w:highlight w:val="none"/>
              </w:rPr>
            </w:pPr>
            <w:r>
              <w:rPr>
                <w:rFonts w:hint="default"/>
                <w:highlight w:val="none"/>
              </w:rPr>
              <w:t>4月</w:t>
            </w:r>
          </w:p>
        </w:tc>
        <w:tc>
          <w:tcPr>
            <w:tcW w:w="469" w:type="dxa"/>
            <w:shd w:val="clear" w:color="auto" w:fill="auto"/>
            <w:noWrap/>
            <w:vAlign w:val="center"/>
          </w:tcPr>
          <w:p w14:paraId="16CCCBD1">
            <w:pPr>
              <w:pStyle w:val="8"/>
              <w:suppressLineNumbers w:val="0"/>
              <w:bidi w:val="0"/>
              <w:spacing w:before="0" w:beforeAutospacing="0" w:after="0" w:afterAutospacing="0"/>
              <w:ind w:left="0" w:right="0"/>
              <w:rPr>
                <w:rFonts w:hint="default"/>
                <w:highlight w:val="none"/>
              </w:rPr>
            </w:pPr>
            <w:r>
              <w:rPr>
                <w:rFonts w:hint="default"/>
                <w:highlight w:val="none"/>
              </w:rPr>
              <w:t>8.61</w:t>
            </w:r>
          </w:p>
        </w:tc>
        <w:tc>
          <w:tcPr>
            <w:tcW w:w="470" w:type="dxa"/>
            <w:shd w:val="clear" w:color="auto" w:fill="auto"/>
            <w:noWrap/>
            <w:vAlign w:val="center"/>
          </w:tcPr>
          <w:p w14:paraId="66F29CCB">
            <w:pPr>
              <w:pStyle w:val="8"/>
              <w:suppressLineNumbers w:val="0"/>
              <w:bidi w:val="0"/>
              <w:spacing w:before="0" w:beforeAutospacing="0" w:after="0" w:afterAutospacing="0"/>
              <w:ind w:left="0" w:right="0"/>
              <w:rPr>
                <w:rFonts w:hint="default"/>
                <w:highlight w:val="none"/>
              </w:rPr>
            </w:pPr>
            <w:r>
              <w:rPr>
                <w:rFonts w:hint="default"/>
                <w:highlight w:val="none"/>
              </w:rPr>
              <w:t>2.92</w:t>
            </w:r>
          </w:p>
        </w:tc>
        <w:tc>
          <w:tcPr>
            <w:tcW w:w="470" w:type="dxa"/>
            <w:shd w:val="clear" w:color="auto" w:fill="auto"/>
            <w:noWrap/>
            <w:vAlign w:val="center"/>
          </w:tcPr>
          <w:p w14:paraId="6EC90C5C">
            <w:pPr>
              <w:pStyle w:val="8"/>
              <w:suppressLineNumbers w:val="0"/>
              <w:bidi w:val="0"/>
              <w:spacing w:before="0" w:beforeAutospacing="0" w:after="0" w:afterAutospacing="0"/>
              <w:ind w:left="0" w:right="0"/>
              <w:rPr>
                <w:rFonts w:hint="default"/>
                <w:highlight w:val="none"/>
              </w:rPr>
            </w:pPr>
            <w:r>
              <w:rPr>
                <w:rFonts w:hint="default"/>
                <w:highlight w:val="none"/>
              </w:rPr>
              <w:t>3.61</w:t>
            </w:r>
          </w:p>
        </w:tc>
        <w:tc>
          <w:tcPr>
            <w:tcW w:w="469" w:type="dxa"/>
            <w:shd w:val="clear" w:color="auto" w:fill="auto"/>
            <w:noWrap/>
            <w:vAlign w:val="center"/>
          </w:tcPr>
          <w:p w14:paraId="20A5B850">
            <w:pPr>
              <w:pStyle w:val="8"/>
              <w:suppressLineNumbers w:val="0"/>
              <w:bidi w:val="0"/>
              <w:spacing w:before="0" w:beforeAutospacing="0" w:after="0" w:afterAutospacing="0"/>
              <w:ind w:left="0" w:right="0"/>
              <w:rPr>
                <w:rFonts w:hint="default"/>
                <w:highlight w:val="none"/>
              </w:rPr>
            </w:pPr>
            <w:r>
              <w:rPr>
                <w:rFonts w:hint="default"/>
                <w:highlight w:val="none"/>
              </w:rPr>
              <w:t>1.81</w:t>
            </w:r>
          </w:p>
        </w:tc>
        <w:tc>
          <w:tcPr>
            <w:tcW w:w="469" w:type="dxa"/>
            <w:shd w:val="clear" w:color="auto" w:fill="auto"/>
            <w:noWrap/>
            <w:vAlign w:val="center"/>
          </w:tcPr>
          <w:p w14:paraId="0AFDE2AF">
            <w:pPr>
              <w:pStyle w:val="8"/>
              <w:suppressLineNumbers w:val="0"/>
              <w:bidi w:val="0"/>
              <w:spacing w:before="0" w:beforeAutospacing="0" w:after="0" w:afterAutospacing="0"/>
              <w:ind w:left="0" w:right="0"/>
              <w:rPr>
                <w:rFonts w:hint="default"/>
                <w:highlight w:val="none"/>
              </w:rPr>
            </w:pPr>
            <w:r>
              <w:rPr>
                <w:rFonts w:hint="default"/>
                <w:highlight w:val="none"/>
              </w:rPr>
              <w:t>1.94</w:t>
            </w:r>
          </w:p>
        </w:tc>
        <w:tc>
          <w:tcPr>
            <w:tcW w:w="470" w:type="dxa"/>
            <w:shd w:val="clear" w:color="auto" w:fill="auto"/>
            <w:noWrap/>
            <w:vAlign w:val="center"/>
          </w:tcPr>
          <w:p w14:paraId="18F2EFB4">
            <w:pPr>
              <w:pStyle w:val="8"/>
              <w:suppressLineNumbers w:val="0"/>
              <w:bidi w:val="0"/>
              <w:spacing w:before="0" w:beforeAutospacing="0" w:after="0" w:afterAutospacing="0"/>
              <w:ind w:left="0" w:right="0"/>
              <w:rPr>
                <w:rFonts w:hint="default"/>
                <w:highlight w:val="none"/>
              </w:rPr>
            </w:pPr>
            <w:r>
              <w:rPr>
                <w:rFonts w:hint="default"/>
                <w:highlight w:val="none"/>
              </w:rPr>
              <w:t>0.83</w:t>
            </w:r>
          </w:p>
        </w:tc>
        <w:tc>
          <w:tcPr>
            <w:tcW w:w="470" w:type="dxa"/>
            <w:shd w:val="clear" w:color="auto" w:fill="auto"/>
            <w:noWrap/>
            <w:vAlign w:val="center"/>
          </w:tcPr>
          <w:p w14:paraId="30DEC738">
            <w:pPr>
              <w:pStyle w:val="8"/>
              <w:suppressLineNumbers w:val="0"/>
              <w:bidi w:val="0"/>
              <w:spacing w:before="0" w:beforeAutospacing="0" w:after="0" w:afterAutospacing="0"/>
              <w:ind w:left="0" w:right="0"/>
              <w:rPr>
                <w:rFonts w:hint="default"/>
                <w:highlight w:val="none"/>
              </w:rPr>
            </w:pPr>
            <w:r>
              <w:rPr>
                <w:rFonts w:hint="default"/>
                <w:highlight w:val="none"/>
              </w:rPr>
              <w:t>1.11</w:t>
            </w:r>
          </w:p>
        </w:tc>
        <w:tc>
          <w:tcPr>
            <w:tcW w:w="470" w:type="dxa"/>
            <w:shd w:val="clear" w:color="auto" w:fill="auto"/>
            <w:noWrap/>
            <w:vAlign w:val="center"/>
          </w:tcPr>
          <w:p w14:paraId="34713728">
            <w:pPr>
              <w:pStyle w:val="8"/>
              <w:suppressLineNumbers w:val="0"/>
              <w:bidi w:val="0"/>
              <w:spacing w:before="0" w:beforeAutospacing="0" w:after="0" w:afterAutospacing="0"/>
              <w:ind w:left="0" w:right="0"/>
              <w:rPr>
                <w:rFonts w:hint="default"/>
                <w:highlight w:val="none"/>
              </w:rPr>
            </w:pPr>
            <w:r>
              <w:rPr>
                <w:rFonts w:hint="default"/>
                <w:highlight w:val="none"/>
              </w:rPr>
              <w:t>1.25</w:t>
            </w:r>
          </w:p>
        </w:tc>
        <w:tc>
          <w:tcPr>
            <w:tcW w:w="471" w:type="dxa"/>
            <w:shd w:val="clear" w:color="auto" w:fill="auto"/>
            <w:noWrap/>
            <w:vAlign w:val="center"/>
          </w:tcPr>
          <w:p w14:paraId="4235BDE1">
            <w:pPr>
              <w:pStyle w:val="8"/>
              <w:suppressLineNumbers w:val="0"/>
              <w:bidi w:val="0"/>
              <w:spacing w:before="0" w:beforeAutospacing="0" w:after="0" w:afterAutospacing="0"/>
              <w:ind w:left="0" w:right="0"/>
              <w:rPr>
                <w:rFonts w:hint="default"/>
                <w:highlight w:val="none"/>
              </w:rPr>
            </w:pPr>
            <w:r>
              <w:rPr>
                <w:rFonts w:hint="default"/>
                <w:highlight w:val="none"/>
              </w:rPr>
              <w:t>2.64</w:t>
            </w:r>
          </w:p>
        </w:tc>
        <w:tc>
          <w:tcPr>
            <w:tcW w:w="469" w:type="dxa"/>
            <w:shd w:val="clear" w:color="auto" w:fill="auto"/>
            <w:noWrap/>
            <w:vAlign w:val="center"/>
          </w:tcPr>
          <w:p w14:paraId="200C5CC8">
            <w:pPr>
              <w:pStyle w:val="8"/>
              <w:suppressLineNumbers w:val="0"/>
              <w:bidi w:val="0"/>
              <w:spacing w:before="0" w:beforeAutospacing="0" w:after="0" w:afterAutospacing="0"/>
              <w:ind w:left="0" w:right="0"/>
              <w:rPr>
                <w:rFonts w:hint="default"/>
                <w:highlight w:val="none"/>
              </w:rPr>
            </w:pPr>
            <w:r>
              <w:rPr>
                <w:rFonts w:hint="default"/>
                <w:highlight w:val="none"/>
              </w:rPr>
              <w:t>12.92</w:t>
            </w:r>
          </w:p>
        </w:tc>
        <w:tc>
          <w:tcPr>
            <w:tcW w:w="468" w:type="dxa"/>
            <w:shd w:val="clear" w:color="auto" w:fill="auto"/>
            <w:noWrap/>
            <w:vAlign w:val="center"/>
          </w:tcPr>
          <w:p w14:paraId="04B8FD54">
            <w:pPr>
              <w:pStyle w:val="8"/>
              <w:suppressLineNumbers w:val="0"/>
              <w:bidi w:val="0"/>
              <w:spacing w:before="0" w:beforeAutospacing="0" w:after="0" w:afterAutospacing="0"/>
              <w:ind w:left="0" w:right="0"/>
              <w:rPr>
                <w:rFonts w:hint="default"/>
                <w:highlight w:val="none"/>
              </w:rPr>
            </w:pPr>
            <w:r>
              <w:rPr>
                <w:rFonts w:hint="default"/>
                <w:highlight w:val="none"/>
              </w:rPr>
              <w:t>17.78</w:t>
            </w:r>
          </w:p>
        </w:tc>
        <w:tc>
          <w:tcPr>
            <w:tcW w:w="447" w:type="dxa"/>
            <w:shd w:val="clear" w:color="auto" w:fill="auto"/>
            <w:noWrap/>
            <w:vAlign w:val="center"/>
          </w:tcPr>
          <w:p w14:paraId="6D495AC4">
            <w:pPr>
              <w:pStyle w:val="8"/>
              <w:suppressLineNumbers w:val="0"/>
              <w:bidi w:val="0"/>
              <w:spacing w:before="0" w:beforeAutospacing="0" w:after="0" w:afterAutospacing="0"/>
              <w:ind w:left="0" w:right="0"/>
              <w:rPr>
                <w:rFonts w:hint="default"/>
                <w:highlight w:val="none"/>
              </w:rPr>
            </w:pPr>
            <w:r>
              <w:rPr>
                <w:rFonts w:hint="default"/>
                <w:highlight w:val="none"/>
              </w:rPr>
              <w:t>12.36</w:t>
            </w:r>
          </w:p>
        </w:tc>
        <w:tc>
          <w:tcPr>
            <w:tcW w:w="447" w:type="dxa"/>
            <w:shd w:val="clear" w:color="auto" w:fill="auto"/>
            <w:noWrap/>
            <w:vAlign w:val="center"/>
          </w:tcPr>
          <w:p w14:paraId="2949C838">
            <w:pPr>
              <w:pStyle w:val="8"/>
              <w:suppressLineNumbers w:val="0"/>
              <w:bidi w:val="0"/>
              <w:spacing w:before="0" w:beforeAutospacing="0" w:after="0" w:afterAutospacing="0"/>
              <w:ind w:left="0" w:right="0"/>
              <w:rPr>
                <w:rFonts w:hint="default"/>
                <w:highlight w:val="none"/>
              </w:rPr>
            </w:pPr>
            <w:r>
              <w:rPr>
                <w:rFonts w:hint="default"/>
                <w:highlight w:val="none"/>
              </w:rPr>
              <w:t>7.92</w:t>
            </w:r>
          </w:p>
        </w:tc>
        <w:tc>
          <w:tcPr>
            <w:tcW w:w="470" w:type="dxa"/>
            <w:shd w:val="clear" w:color="auto" w:fill="auto"/>
            <w:noWrap/>
            <w:vAlign w:val="center"/>
          </w:tcPr>
          <w:p w14:paraId="027AD16B">
            <w:pPr>
              <w:pStyle w:val="8"/>
              <w:suppressLineNumbers w:val="0"/>
              <w:bidi w:val="0"/>
              <w:spacing w:before="0" w:beforeAutospacing="0" w:after="0" w:afterAutospacing="0"/>
              <w:ind w:left="0" w:right="0"/>
              <w:rPr>
                <w:rFonts w:hint="default"/>
                <w:highlight w:val="none"/>
              </w:rPr>
            </w:pPr>
            <w:r>
              <w:rPr>
                <w:rFonts w:hint="default"/>
                <w:highlight w:val="none"/>
              </w:rPr>
              <w:t>9.58</w:t>
            </w:r>
          </w:p>
        </w:tc>
        <w:tc>
          <w:tcPr>
            <w:tcW w:w="470" w:type="dxa"/>
            <w:shd w:val="clear" w:color="auto" w:fill="auto"/>
            <w:noWrap/>
            <w:vAlign w:val="center"/>
          </w:tcPr>
          <w:p w14:paraId="0BD1B7C3">
            <w:pPr>
              <w:pStyle w:val="8"/>
              <w:suppressLineNumbers w:val="0"/>
              <w:bidi w:val="0"/>
              <w:spacing w:before="0" w:beforeAutospacing="0" w:after="0" w:afterAutospacing="0"/>
              <w:ind w:left="0" w:right="0"/>
              <w:rPr>
                <w:rFonts w:hint="default"/>
                <w:highlight w:val="none"/>
              </w:rPr>
            </w:pPr>
            <w:r>
              <w:rPr>
                <w:rFonts w:hint="default"/>
                <w:highlight w:val="none"/>
              </w:rPr>
              <w:t>3.47</w:t>
            </w:r>
          </w:p>
        </w:tc>
        <w:tc>
          <w:tcPr>
            <w:tcW w:w="469" w:type="dxa"/>
            <w:shd w:val="clear" w:color="auto" w:fill="auto"/>
            <w:noWrap/>
            <w:vAlign w:val="center"/>
          </w:tcPr>
          <w:p w14:paraId="6770137E">
            <w:pPr>
              <w:pStyle w:val="8"/>
              <w:suppressLineNumbers w:val="0"/>
              <w:bidi w:val="0"/>
              <w:spacing w:before="0" w:beforeAutospacing="0" w:after="0" w:afterAutospacing="0"/>
              <w:ind w:left="0" w:right="0"/>
              <w:rPr>
                <w:rFonts w:hint="default"/>
                <w:highlight w:val="none"/>
              </w:rPr>
            </w:pPr>
            <w:r>
              <w:rPr>
                <w:rFonts w:hint="default"/>
                <w:highlight w:val="none"/>
              </w:rPr>
              <w:t>7.78</w:t>
            </w:r>
          </w:p>
        </w:tc>
        <w:tc>
          <w:tcPr>
            <w:tcW w:w="471" w:type="dxa"/>
            <w:shd w:val="clear" w:color="auto" w:fill="auto"/>
            <w:noWrap/>
            <w:vAlign w:val="center"/>
          </w:tcPr>
          <w:p w14:paraId="0A3038BF">
            <w:pPr>
              <w:pStyle w:val="8"/>
              <w:suppressLineNumbers w:val="0"/>
              <w:bidi w:val="0"/>
              <w:spacing w:before="0" w:beforeAutospacing="0" w:after="0" w:afterAutospacing="0"/>
              <w:ind w:left="0" w:right="0"/>
              <w:rPr>
                <w:rFonts w:hint="default"/>
                <w:highlight w:val="none"/>
              </w:rPr>
            </w:pPr>
            <w:r>
              <w:rPr>
                <w:rFonts w:hint="default"/>
                <w:highlight w:val="none"/>
              </w:rPr>
              <w:t>3.47</w:t>
            </w:r>
          </w:p>
        </w:tc>
      </w:tr>
      <w:tr w14:paraId="0AC7E6B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583" w:type="dxa"/>
            <w:shd w:val="clear" w:color="auto" w:fill="auto"/>
            <w:noWrap/>
            <w:vAlign w:val="center"/>
          </w:tcPr>
          <w:p w14:paraId="4893F70C">
            <w:pPr>
              <w:pStyle w:val="8"/>
              <w:suppressLineNumbers w:val="0"/>
              <w:bidi w:val="0"/>
              <w:spacing w:before="0" w:beforeAutospacing="0" w:after="0" w:afterAutospacing="0"/>
              <w:ind w:left="0" w:right="0"/>
              <w:rPr>
                <w:rFonts w:hint="default"/>
                <w:highlight w:val="none"/>
              </w:rPr>
            </w:pPr>
            <w:r>
              <w:rPr>
                <w:rFonts w:hint="default"/>
                <w:highlight w:val="none"/>
              </w:rPr>
              <w:t>5月</w:t>
            </w:r>
          </w:p>
        </w:tc>
        <w:tc>
          <w:tcPr>
            <w:tcW w:w="469" w:type="dxa"/>
            <w:shd w:val="clear" w:color="auto" w:fill="auto"/>
            <w:noWrap/>
            <w:vAlign w:val="center"/>
          </w:tcPr>
          <w:p w14:paraId="065FBA50">
            <w:pPr>
              <w:pStyle w:val="8"/>
              <w:suppressLineNumbers w:val="0"/>
              <w:bidi w:val="0"/>
              <w:spacing w:before="0" w:beforeAutospacing="0" w:after="0" w:afterAutospacing="0"/>
              <w:ind w:left="0" w:right="0"/>
              <w:rPr>
                <w:rFonts w:hint="default"/>
                <w:highlight w:val="none"/>
              </w:rPr>
            </w:pPr>
            <w:r>
              <w:rPr>
                <w:rFonts w:hint="default"/>
                <w:highlight w:val="none"/>
              </w:rPr>
              <w:t>7.80</w:t>
            </w:r>
          </w:p>
        </w:tc>
        <w:tc>
          <w:tcPr>
            <w:tcW w:w="470" w:type="dxa"/>
            <w:shd w:val="clear" w:color="auto" w:fill="auto"/>
            <w:noWrap/>
            <w:vAlign w:val="center"/>
          </w:tcPr>
          <w:p w14:paraId="1BA97FF3">
            <w:pPr>
              <w:pStyle w:val="8"/>
              <w:suppressLineNumbers w:val="0"/>
              <w:bidi w:val="0"/>
              <w:spacing w:before="0" w:beforeAutospacing="0" w:after="0" w:afterAutospacing="0"/>
              <w:ind w:left="0" w:right="0"/>
              <w:rPr>
                <w:rFonts w:hint="default"/>
                <w:highlight w:val="none"/>
              </w:rPr>
            </w:pPr>
            <w:r>
              <w:rPr>
                <w:rFonts w:hint="default"/>
                <w:highlight w:val="none"/>
              </w:rPr>
              <w:t>5.91</w:t>
            </w:r>
          </w:p>
        </w:tc>
        <w:tc>
          <w:tcPr>
            <w:tcW w:w="470" w:type="dxa"/>
            <w:shd w:val="clear" w:color="auto" w:fill="auto"/>
            <w:noWrap/>
            <w:vAlign w:val="center"/>
          </w:tcPr>
          <w:p w14:paraId="76F885DF">
            <w:pPr>
              <w:pStyle w:val="8"/>
              <w:suppressLineNumbers w:val="0"/>
              <w:bidi w:val="0"/>
              <w:spacing w:before="0" w:beforeAutospacing="0" w:after="0" w:afterAutospacing="0"/>
              <w:ind w:left="0" w:right="0"/>
              <w:rPr>
                <w:rFonts w:hint="default"/>
                <w:highlight w:val="none"/>
              </w:rPr>
            </w:pPr>
            <w:r>
              <w:rPr>
                <w:rFonts w:hint="default"/>
                <w:highlight w:val="none"/>
              </w:rPr>
              <w:t>2.69</w:t>
            </w:r>
          </w:p>
        </w:tc>
        <w:tc>
          <w:tcPr>
            <w:tcW w:w="469" w:type="dxa"/>
            <w:shd w:val="clear" w:color="auto" w:fill="auto"/>
            <w:noWrap/>
            <w:vAlign w:val="center"/>
          </w:tcPr>
          <w:p w14:paraId="1306E8E1">
            <w:pPr>
              <w:pStyle w:val="8"/>
              <w:suppressLineNumbers w:val="0"/>
              <w:bidi w:val="0"/>
              <w:spacing w:before="0" w:beforeAutospacing="0" w:after="0" w:afterAutospacing="0"/>
              <w:ind w:left="0" w:right="0"/>
              <w:rPr>
                <w:rFonts w:hint="default"/>
                <w:highlight w:val="none"/>
              </w:rPr>
            </w:pPr>
            <w:r>
              <w:rPr>
                <w:rFonts w:hint="default"/>
                <w:highlight w:val="none"/>
              </w:rPr>
              <w:t>1.21</w:t>
            </w:r>
          </w:p>
        </w:tc>
        <w:tc>
          <w:tcPr>
            <w:tcW w:w="469" w:type="dxa"/>
            <w:shd w:val="clear" w:color="auto" w:fill="auto"/>
            <w:noWrap/>
            <w:vAlign w:val="center"/>
          </w:tcPr>
          <w:p w14:paraId="01866DF9">
            <w:pPr>
              <w:pStyle w:val="8"/>
              <w:suppressLineNumbers w:val="0"/>
              <w:bidi w:val="0"/>
              <w:spacing w:before="0" w:beforeAutospacing="0" w:after="0" w:afterAutospacing="0"/>
              <w:ind w:left="0" w:right="0"/>
              <w:rPr>
                <w:rFonts w:hint="default"/>
                <w:highlight w:val="none"/>
              </w:rPr>
            </w:pPr>
            <w:r>
              <w:rPr>
                <w:rFonts w:hint="default"/>
                <w:highlight w:val="none"/>
              </w:rPr>
              <w:t>4.57</w:t>
            </w:r>
          </w:p>
        </w:tc>
        <w:tc>
          <w:tcPr>
            <w:tcW w:w="470" w:type="dxa"/>
            <w:shd w:val="clear" w:color="auto" w:fill="auto"/>
            <w:noWrap/>
            <w:vAlign w:val="center"/>
          </w:tcPr>
          <w:p w14:paraId="05E82025">
            <w:pPr>
              <w:pStyle w:val="8"/>
              <w:suppressLineNumbers w:val="0"/>
              <w:bidi w:val="0"/>
              <w:spacing w:before="0" w:beforeAutospacing="0" w:after="0" w:afterAutospacing="0"/>
              <w:ind w:left="0" w:right="0"/>
              <w:rPr>
                <w:rFonts w:hint="default"/>
                <w:highlight w:val="none"/>
              </w:rPr>
            </w:pPr>
            <w:r>
              <w:rPr>
                <w:rFonts w:hint="default"/>
                <w:highlight w:val="none"/>
              </w:rPr>
              <w:t>2.82</w:t>
            </w:r>
          </w:p>
        </w:tc>
        <w:tc>
          <w:tcPr>
            <w:tcW w:w="470" w:type="dxa"/>
            <w:shd w:val="clear" w:color="auto" w:fill="auto"/>
            <w:noWrap/>
            <w:vAlign w:val="center"/>
          </w:tcPr>
          <w:p w14:paraId="08FCEE60">
            <w:pPr>
              <w:pStyle w:val="8"/>
              <w:suppressLineNumbers w:val="0"/>
              <w:bidi w:val="0"/>
              <w:spacing w:before="0" w:beforeAutospacing="0" w:after="0" w:afterAutospacing="0"/>
              <w:ind w:left="0" w:right="0"/>
              <w:rPr>
                <w:rFonts w:hint="default"/>
                <w:highlight w:val="none"/>
              </w:rPr>
            </w:pPr>
            <w:r>
              <w:rPr>
                <w:rFonts w:hint="default"/>
                <w:highlight w:val="none"/>
              </w:rPr>
              <w:t>3.09</w:t>
            </w:r>
          </w:p>
        </w:tc>
        <w:tc>
          <w:tcPr>
            <w:tcW w:w="470" w:type="dxa"/>
            <w:shd w:val="clear" w:color="auto" w:fill="auto"/>
            <w:noWrap/>
            <w:vAlign w:val="center"/>
          </w:tcPr>
          <w:p w14:paraId="63AF5E95">
            <w:pPr>
              <w:pStyle w:val="8"/>
              <w:suppressLineNumbers w:val="0"/>
              <w:bidi w:val="0"/>
              <w:spacing w:before="0" w:beforeAutospacing="0" w:after="0" w:afterAutospacing="0"/>
              <w:ind w:left="0" w:right="0"/>
              <w:rPr>
                <w:rFonts w:hint="default"/>
                <w:highlight w:val="none"/>
              </w:rPr>
            </w:pPr>
            <w:r>
              <w:rPr>
                <w:rFonts w:hint="default"/>
                <w:highlight w:val="none"/>
              </w:rPr>
              <w:t>5.91</w:t>
            </w:r>
          </w:p>
        </w:tc>
        <w:tc>
          <w:tcPr>
            <w:tcW w:w="471" w:type="dxa"/>
            <w:shd w:val="clear" w:color="auto" w:fill="auto"/>
            <w:noWrap/>
            <w:vAlign w:val="center"/>
          </w:tcPr>
          <w:p w14:paraId="4DA4E971">
            <w:pPr>
              <w:pStyle w:val="8"/>
              <w:suppressLineNumbers w:val="0"/>
              <w:bidi w:val="0"/>
              <w:spacing w:before="0" w:beforeAutospacing="0" w:after="0" w:afterAutospacing="0"/>
              <w:ind w:left="0" w:right="0"/>
              <w:rPr>
                <w:rFonts w:hint="default"/>
                <w:highlight w:val="none"/>
              </w:rPr>
            </w:pPr>
            <w:r>
              <w:rPr>
                <w:rFonts w:hint="default"/>
                <w:highlight w:val="none"/>
              </w:rPr>
              <w:t>6.72</w:t>
            </w:r>
          </w:p>
        </w:tc>
        <w:tc>
          <w:tcPr>
            <w:tcW w:w="469" w:type="dxa"/>
            <w:shd w:val="clear" w:color="auto" w:fill="auto"/>
            <w:noWrap/>
            <w:vAlign w:val="center"/>
          </w:tcPr>
          <w:p w14:paraId="7C1ABAA4">
            <w:pPr>
              <w:pStyle w:val="8"/>
              <w:suppressLineNumbers w:val="0"/>
              <w:bidi w:val="0"/>
              <w:spacing w:before="0" w:beforeAutospacing="0" w:after="0" w:afterAutospacing="0"/>
              <w:ind w:left="0" w:right="0"/>
              <w:rPr>
                <w:rFonts w:hint="default"/>
                <w:highlight w:val="none"/>
              </w:rPr>
            </w:pPr>
            <w:r>
              <w:rPr>
                <w:rFonts w:hint="default"/>
                <w:highlight w:val="none"/>
              </w:rPr>
              <w:t>10.89</w:t>
            </w:r>
          </w:p>
        </w:tc>
        <w:tc>
          <w:tcPr>
            <w:tcW w:w="468" w:type="dxa"/>
            <w:shd w:val="clear" w:color="auto" w:fill="auto"/>
            <w:noWrap/>
            <w:vAlign w:val="center"/>
          </w:tcPr>
          <w:p w14:paraId="55A2BEC3">
            <w:pPr>
              <w:pStyle w:val="8"/>
              <w:suppressLineNumbers w:val="0"/>
              <w:bidi w:val="0"/>
              <w:spacing w:before="0" w:beforeAutospacing="0" w:after="0" w:afterAutospacing="0"/>
              <w:ind w:left="0" w:right="0"/>
              <w:rPr>
                <w:rFonts w:hint="default"/>
                <w:highlight w:val="none"/>
              </w:rPr>
            </w:pPr>
            <w:r>
              <w:rPr>
                <w:rFonts w:hint="default"/>
                <w:highlight w:val="none"/>
              </w:rPr>
              <w:t>12.23</w:t>
            </w:r>
          </w:p>
        </w:tc>
        <w:tc>
          <w:tcPr>
            <w:tcW w:w="447" w:type="dxa"/>
            <w:shd w:val="clear" w:color="auto" w:fill="auto"/>
            <w:noWrap/>
            <w:vAlign w:val="center"/>
          </w:tcPr>
          <w:p w14:paraId="3765167F">
            <w:pPr>
              <w:pStyle w:val="8"/>
              <w:suppressLineNumbers w:val="0"/>
              <w:bidi w:val="0"/>
              <w:spacing w:before="0" w:beforeAutospacing="0" w:after="0" w:afterAutospacing="0"/>
              <w:ind w:left="0" w:right="0"/>
              <w:rPr>
                <w:rFonts w:hint="default"/>
                <w:highlight w:val="none"/>
              </w:rPr>
            </w:pPr>
            <w:r>
              <w:rPr>
                <w:rFonts w:hint="default"/>
                <w:highlight w:val="none"/>
              </w:rPr>
              <w:t>10.48</w:t>
            </w:r>
          </w:p>
        </w:tc>
        <w:tc>
          <w:tcPr>
            <w:tcW w:w="447" w:type="dxa"/>
            <w:shd w:val="clear" w:color="auto" w:fill="auto"/>
            <w:noWrap/>
            <w:vAlign w:val="center"/>
          </w:tcPr>
          <w:p w14:paraId="630694BA">
            <w:pPr>
              <w:pStyle w:val="8"/>
              <w:suppressLineNumbers w:val="0"/>
              <w:bidi w:val="0"/>
              <w:spacing w:before="0" w:beforeAutospacing="0" w:after="0" w:afterAutospacing="0"/>
              <w:ind w:left="0" w:right="0"/>
              <w:rPr>
                <w:rFonts w:hint="default"/>
                <w:highlight w:val="none"/>
              </w:rPr>
            </w:pPr>
            <w:r>
              <w:rPr>
                <w:rFonts w:hint="default"/>
                <w:highlight w:val="none"/>
              </w:rPr>
              <w:t>7.66</w:t>
            </w:r>
          </w:p>
        </w:tc>
        <w:tc>
          <w:tcPr>
            <w:tcW w:w="470" w:type="dxa"/>
            <w:shd w:val="clear" w:color="auto" w:fill="auto"/>
            <w:noWrap/>
            <w:vAlign w:val="center"/>
          </w:tcPr>
          <w:p w14:paraId="56FC73A7">
            <w:pPr>
              <w:pStyle w:val="8"/>
              <w:suppressLineNumbers w:val="0"/>
              <w:bidi w:val="0"/>
              <w:spacing w:before="0" w:beforeAutospacing="0" w:after="0" w:afterAutospacing="0"/>
              <w:ind w:left="0" w:right="0"/>
              <w:rPr>
                <w:rFonts w:hint="default"/>
                <w:highlight w:val="none"/>
              </w:rPr>
            </w:pPr>
            <w:r>
              <w:rPr>
                <w:rFonts w:hint="default"/>
                <w:highlight w:val="none"/>
              </w:rPr>
              <w:t>6.32</w:t>
            </w:r>
          </w:p>
        </w:tc>
        <w:tc>
          <w:tcPr>
            <w:tcW w:w="470" w:type="dxa"/>
            <w:shd w:val="clear" w:color="auto" w:fill="auto"/>
            <w:noWrap/>
            <w:vAlign w:val="center"/>
          </w:tcPr>
          <w:p w14:paraId="3761EF3C">
            <w:pPr>
              <w:pStyle w:val="8"/>
              <w:suppressLineNumbers w:val="0"/>
              <w:bidi w:val="0"/>
              <w:spacing w:before="0" w:beforeAutospacing="0" w:after="0" w:afterAutospacing="0"/>
              <w:ind w:left="0" w:right="0"/>
              <w:rPr>
                <w:rFonts w:hint="default"/>
                <w:highlight w:val="none"/>
              </w:rPr>
            </w:pPr>
            <w:r>
              <w:rPr>
                <w:rFonts w:hint="default"/>
                <w:highlight w:val="none"/>
              </w:rPr>
              <w:t>3.23</w:t>
            </w:r>
          </w:p>
        </w:tc>
        <w:tc>
          <w:tcPr>
            <w:tcW w:w="469" w:type="dxa"/>
            <w:shd w:val="clear" w:color="auto" w:fill="auto"/>
            <w:noWrap/>
            <w:vAlign w:val="center"/>
          </w:tcPr>
          <w:p w14:paraId="58055F89">
            <w:pPr>
              <w:pStyle w:val="8"/>
              <w:suppressLineNumbers w:val="0"/>
              <w:bidi w:val="0"/>
              <w:spacing w:before="0" w:beforeAutospacing="0" w:after="0" w:afterAutospacing="0"/>
              <w:ind w:left="0" w:right="0"/>
              <w:rPr>
                <w:rFonts w:hint="default"/>
                <w:highlight w:val="none"/>
              </w:rPr>
            </w:pPr>
            <w:r>
              <w:rPr>
                <w:rFonts w:hint="default"/>
                <w:highlight w:val="none"/>
              </w:rPr>
              <w:t>5.24</w:t>
            </w:r>
          </w:p>
        </w:tc>
        <w:tc>
          <w:tcPr>
            <w:tcW w:w="471" w:type="dxa"/>
            <w:shd w:val="clear" w:color="auto" w:fill="auto"/>
            <w:noWrap/>
            <w:vAlign w:val="center"/>
          </w:tcPr>
          <w:p w14:paraId="69B58BA6">
            <w:pPr>
              <w:pStyle w:val="8"/>
              <w:suppressLineNumbers w:val="0"/>
              <w:bidi w:val="0"/>
              <w:spacing w:before="0" w:beforeAutospacing="0" w:after="0" w:afterAutospacing="0"/>
              <w:ind w:left="0" w:right="0"/>
              <w:rPr>
                <w:rFonts w:hint="default"/>
                <w:highlight w:val="none"/>
              </w:rPr>
            </w:pPr>
            <w:r>
              <w:rPr>
                <w:rFonts w:hint="default"/>
                <w:highlight w:val="none"/>
              </w:rPr>
              <w:t>3.23</w:t>
            </w:r>
          </w:p>
        </w:tc>
      </w:tr>
      <w:tr w14:paraId="7BB2D6C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583" w:type="dxa"/>
            <w:shd w:val="clear" w:color="auto" w:fill="auto"/>
            <w:noWrap/>
            <w:vAlign w:val="center"/>
          </w:tcPr>
          <w:p w14:paraId="2849D064">
            <w:pPr>
              <w:pStyle w:val="8"/>
              <w:suppressLineNumbers w:val="0"/>
              <w:bidi w:val="0"/>
              <w:spacing w:before="0" w:beforeAutospacing="0" w:after="0" w:afterAutospacing="0"/>
              <w:ind w:left="0" w:right="0"/>
              <w:rPr>
                <w:rFonts w:hint="default"/>
                <w:highlight w:val="none"/>
              </w:rPr>
            </w:pPr>
            <w:r>
              <w:rPr>
                <w:rFonts w:hint="default"/>
                <w:highlight w:val="none"/>
              </w:rPr>
              <w:t>6月</w:t>
            </w:r>
          </w:p>
        </w:tc>
        <w:tc>
          <w:tcPr>
            <w:tcW w:w="469" w:type="dxa"/>
            <w:shd w:val="clear" w:color="auto" w:fill="auto"/>
            <w:noWrap/>
            <w:vAlign w:val="center"/>
          </w:tcPr>
          <w:p w14:paraId="53003ABC">
            <w:pPr>
              <w:pStyle w:val="8"/>
              <w:suppressLineNumbers w:val="0"/>
              <w:bidi w:val="0"/>
              <w:spacing w:before="0" w:beforeAutospacing="0" w:after="0" w:afterAutospacing="0"/>
              <w:ind w:left="0" w:right="0"/>
              <w:rPr>
                <w:rFonts w:hint="default"/>
                <w:highlight w:val="none"/>
              </w:rPr>
            </w:pPr>
            <w:r>
              <w:rPr>
                <w:rFonts w:hint="default"/>
                <w:highlight w:val="none"/>
              </w:rPr>
              <w:t>4.44</w:t>
            </w:r>
          </w:p>
        </w:tc>
        <w:tc>
          <w:tcPr>
            <w:tcW w:w="470" w:type="dxa"/>
            <w:shd w:val="clear" w:color="auto" w:fill="auto"/>
            <w:noWrap/>
            <w:vAlign w:val="center"/>
          </w:tcPr>
          <w:p w14:paraId="5AC6B461">
            <w:pPr>
              <w:pStyle w:val="8"/>
              <w:suppressLineNumbers w:val="0"/>
              <w:bidi w:val="0"/>
              <w:spacing w:before="0" w:beforeAutospacing="0" w:after="0" w:afterAutospacing="0"/>
              <w:ind w:left="0" w:right="0"/>
              <w:rPr>
                <w:rFonts w:hint="default"/>
                <w:highlight w:val="none"/>
              </w:rPr>
            </w:pPr>
            <w:r>
              <w:rPr>
                <w:rFonts w:hint="default"/>
                <w:highlight w:val="none"/>
              </w:rPr>
              <w:t>4.86</w:t>
            </w:r>
          </w:p>
        </w:tc>
        <w:tc>
          <w:tcPr>
            <w:tcW w:w="470" w:type="dxa"/>
            <w:shd w:val="clear" w:color="auto" w:fill="auto"/>
            <w:noWrap/>
            <w:vAlign w:val="center"/>
          </w:tcPr>
          <w:p w14:paraId="7136F03D">
            <w:pPr>
              <w:pStyle w:val="8"/>
              <w:suppressLineNumbers w:val="0"/>
              <w:bidi w:val="0"/>
              <w:spacing w:before="0" w:beforeAutospacing="0" w:after="0" w:afterAutospacing="0"/>
              <w:ind w:left="0" w:right="0"/>
              <w:rPr>
                <w:rFonts w:hint="default"/>
                <w:highlight w:val="none"/>
              </w:rPr>
            </w:pPr>
            <w:r>
              <w:rPr>
                <w:rFonts w:hint="default"/>
                <w:highlight w:val="none"/>
              </w:rPr>
              <w:t>3.75</w:t>
            </w:r>
          </w:p>
        </w:tc>
        <w:tc>
          <w:tcPr>
            <w:tcW w:w="469" w:type="dxa"/>
            <w:shd w:val="clear" w:color="auto" w:fill="auto"/>
            <w:noWrap/>
            <w:vAlign w:val="center"/>
          </w:tcPr>
          <w:p w14:paraId="14D51927">
            <w:pPr>
              <w:pStyle w:val="8"/>
              <w:suppressLineNumbers w:val="0"/>
              <w:bidi w:val="0"/>
              <w:spacing w:before="0" w:beforeAutospacing="0" w:after="0" w:afterAutospacing="0"/>
              <w:ind w:left="0" w:right="0"/>
              <w:rPr>
                <w:rFonts w:hint="default"/>
                <w:highlight w:val="none"/>
              </w:rPr>
            </w:pPr>
            <w:r>
              <w:rPr>
                <w:rFonts w:hint="default"/>
                <w:highlight w:val="none"/>
              </w:rPr>
              <w:t>10.28</w:t>
            </w:r>
          </w:p>
        </w:tc>
        <w:tc>
          <w:tcPr>
            <w:tcW w:w="469" w:type="dxa"/>
            <w:shd w:val="clear" w:color="auto" w:fill="auto"/>
            <w:noWrap/>
            <w:vAlign w:val="center"/>
          </w:tcPr>
          <w:p w14:paraId="2E75ABFC">
            <w:pPr>
              <w:pStyle w:val="8"/>
              <w:suppressLineNumbers w:val="0"/>
              <w:bidi w:val="0"/>
              <w:spacing w:before="0" w:beforeAutospacing="0" w:after="0" w:afterAutospacing="0"/>
              <w:ind w:left="0" w:right="0"/>
              <w:rPr>
                <w:rFonts w:hint="default"/>
                <w:highlight w:val="none"/>
              </w:rPr>
            </w:pPr>
            <w:r>
              <w:rPr>
                <w:rFonts w:hint="default"/>
                <w:highlight w:val="none"/>
              </w:rPr>
              <w:t>21.11</w:t>
            </w:r>
          </w:p>
        </w:tc>
        <w:tc>
          <w:tcPr>
            <w:tcW w:w="470" w:type="dxa"/>
            <w:shd w:val="clear" w:color="auto" w:fill="auto"/>
            <w:noWrap/>
            <w:vAlign w:val="center"/>
          </w:tcPr>
          <w:p w14:paraId="5102A92B">
            <w:pPr>
              <w:pStyle w:val="8"/>
              <w:suppressLineNumbers w:val="0"/>
              <w:bidi w:val="0"/>
              <w:spacing w:before="0" w:beforeAutospacing="0" w:after="0" w:afterAutospacing="0"/>
              <w:ind w:left="0" w:right="0"/>
              <w:rPr>
                <w:rFonts w:hint="default"/>
                <w:highlight w:val="none"/>
              </w:rPr>
            </w:pPr>
            <w:r>
              <w:rPr>
                <w:rFonts w:hint="default"/>
                <w:highlight w:val="none"/>
              </w:rPr>
              <w:t>5.69</w:t>
            </w:r>
          </w:p>
        </w:tc>
        <w:tc>
          <w:tcPr>
            <w:tcW w:w="470" w:type="dxa"/>
            <w:shd w:val="clear" w:color="auto" w:fill="auto"/>
            <w:noWrap/>
            <w:vAlign w:val="center"/>
          </w:tcPr>
          <w:p w14:paraId="1FB0B1C1">
            <w:pPr>
              <w:pStyle w:val="8"/>
              <w:suppressLineNumbers w:val="0"/>
              <w:bidi w:val="0"/>
              <w:spacing w:before="0" w:beforeAutospacing="0" w:after="0" w:afterAutospacing="0"/>
              <w:ind w:left="0" w:right="0"/>
              <w:rPr>
                <w:rFonts w:hint="default"/>
                <w:highlight w:val="none"/>
              </w:rPr>
            </w:pPr>
            <w:r>
              <w:rPr>
                <w:rFonts w:hint="default"/>
                <w:highlight w:val="none"/>
              </w:rPr>
              <w:t>5.28</w:t>
            </w:r>
          </w:p>
        </w:tc>
        <w:tc>
          <w:tcPr>
            <w:tcW w:w="470" w:type="dxa"/>
            <w:shd w:val="clear" w:color="auto" w:fill="auto"/>
            <w:noWrap/>
            <w:vAlign w:val="center"/>
          </w:tcPr>
          <w:p w14:paraId="0D6EB75F">
            <w:pPr>
              <w:pStyle w:val="8"/>
              <w:suppressLineNumbers w:val="0"/>
              <w:bidi w:val="0"/>
              <w:spacing w:before="0" w:beforeAutospacing="0" w:after="0" w:afterAutospacing="0"/>
              <w:ind w:left="0" w:right="0"/>
              <w:rPr>
                <w:rFonts w:hint="default"/>
                <w:highlight w:val="none"/>
              </w:rPr>
            </w:pPr>
            <w:r>
              <w:rPr>
                <w:rFonts w:hint="default"/>
                <w:highlight w:val="none"/>
              </w:rPr>
              <w:t>5.28</w:t>
            </w:r>
          </w:p>
        </w:tc>
        <w:tc>
          <w:tcPr>
            <w:tcW w:w="471" w:type="dxa"/>
            <w:shd w:val="clear" w:color="auto" w:fill="auto"/>
            <w:noWrap/>
            <w:vAlign w:val="center"/>
          </w:tcPr>
          <w:p w14:paraId="5446FB0E">
            <w:pPr>
              <w:pStyle w:val="8"/>
              <w:suppressLineNumbers w:val="0"/>
              <w:bidi w:val="0"/>
              <w:spacing w:before="0" w:beforeAutospacing="0" w:after="0" w:afterAutospacing="0"/>
              <w:ind w:left="0" w:right="0"/>
              <w:rPr>
                <w:rFonts w:hint="default"/>
                <w:highlight w:val="none"/>
              </w:rPr>
            </w:pPr>
            <w:r>
              <w:rPr>
                <w:rFonts w:hint="default"/>
                <w:highlight w:val="none"/>
              </w:rPr>
              <w:t>4.72</w:t>
            </w:r>
          </w:p>
        </w:tc>
        <w:tc>
          <w:tcPr>
            <w:tcW w:w="469" w:type="dxa"/>
            <w:shd w:val="clear" w:color="auto" w:fill="auto"/>
            <w:noWrap/>
            <w:vAlign w:val="center"/>
          </w:tcPr>
          <w:p w14:paraId="7F4892E9">
            <w:pPr>
              <w:pStyle w:val="8"/>
              <w:suppressLineNumbers w:val="0"/>
              <w:bidi w:val="0"/>
              <w:spacing w:before="0" w:beforeAutospacing="0" w:after="0" w:afterAutospacing="0"/>
              <w:ind w:left="0" w:right="0"/>
              <w:rPr>
                <w:rFonts w:hint="default"/>
                <w:highlight w:val="none"/>
              </w:rPr>
            </w:pPr>
            <w:r>
              <w:rPr>
                <w:rFonts w:hint="default"/>
                <w:highlight w:val="none"/>
              </w:rPr>
              <w:t>5.56</w:t>
            </w:r>
          </w:p>
        </w:tc>
        <w:tc>
          <w:tcPr>
            <w:tcW w:w="468" w:type="dxa"/>
            <w:shd w:val="clear" w:color="auto" w:fill="auto"/>
            <w:noWrap/>
            <w:vAlign w:val="center"/>
          </w:tcPr>
          <w:p w14:paraId="5159F2CC">
            <w:pPr>
              <w:pStyle w:val="8"/>
              <w:suppressLineNumbers w:val="0"/>
              <w:bidi w:val="0"/>
              <w:spacing w:before="0" w:beforeAutospacing="0" w:after="0" w:afterAutospacing="0"/>
              <w:ind w:left="0" w:right="0"/>
              <w:rPr>
                <w:rFonts w:hint="default"/>
                <w:highlight w:val="none"/>
              </w:rPr>
            </w:pPr>
            <w:r>
              <w:rPr>
                <w:rFonts w:hint="default"/>
                <w:highlight w:val="none"/>
              </w:rPr>
              <w:t>7.78</w:t>
            </w:r>
          </w:p>
        </w:tc>
        <w:tc>
          <w:tcPr>
            <w:tcW w:w="447" w:type="dxa"/>
            <w:shd w:val="clear" w:color="auto" w:fill="auto"/>
            <w:noWrap/>
            <w:vAlign w:val="center"/>
          </w:tcPr>
          <w:p w14:paraId="7E2ACE07">
            <w:pPr>
              <w:pStyle w:val="8"/>
              <w:suppressLineNumbers w:val="0"/>
              <w:bidi w:val="0"/>
              <w:spacing w:before="0" w:beforeAutospacing="0" w:after="0" w:afterAutospacing="0"/>
              <w:ind w:left="0" w:right="0"/>
              <w:rPr>
                <w:rFonts w:hint="default"/>
                <w:highlight w:val="none"/>
              </w:rPr>
            </w:pPr>
            <w:r>
              <w:rPr>
                <w:rFonts w:hint="default"/>
                <w:highlight w:val="none"/>
              </w:rPr>
              <w:t>8.33</w:t>
            </w:r>
          </w:p>
        </w:tc>
        <w:tc>
          <w:tcPr>
            <w:tcW w:w="447" w:type="dxa"/>
            <w:shd w:val="clear" w:color="auto" w:fill="auto"/>
            <w:noWrap/>
            <w:vAlign w:val="center"/>
          </w:tcPr>
          <w:p w14:paraId="695D6A3D">
            <w:pPr>
              <w:pStyle w:val="8"/>
              <w:suppressLineNumbers w:val="0"/>
              <w:bidi w:val="0"/>
              <w:spacing w:before="0" w:beforeAutospacing="0" w:after="0" w:afterAutospacing="0"/>
              <w:ind w:left="0" w:right="0"/>
              <w:rPr>
                <w:rFonts w:hint="default"/>
                <w:highlight w:val="none"/>
              </w:rPr>
            </w:pPr>
            <w:r>
              <w:rPr>
                <w:rFonts w:hint="default"/>
                <w:highlight w:val="none"/>
              </w:rPr>
              <w:t>5.97</w:t>
            </w:r>
          </w:p>
        </w:tc>
        <w:tc>
          <w:tcPr>
            <w:tcW w:w="470" w:type="dxa"/>
            <w:shd w:val="clear" w:color="auto" w:fill="auto"/>
            <w:noWrap/>
            <w:vAlign w:val="center"/>
          </w:tcPr>
          <w:p w14:paraId="4BE3730A">
            <w:pPr>
              <w:pStyle w:val="8"/>
              <w:suppressLineNumbers w:val="0"/>
              <w:bidi w:val="0"/>
              <w:spacing w:before="0" w:beforeAutospacing="0" w:after="0" w:afterAutospacing="0"/>
              <w:ind w:left="0" w:right="0"/>
              <w:rPr>
                <w:rFonts w:hint="default"/>
                <w:highlight w:val="none"/>
              </w:rPr>
            </w:pPr>
            <w:r>
              <w:rPr>
                <w:rFonts w:hint="default"/>
                <w:highlight w:val="none"/>
              </w:rPr>
              <w:t>2.22</w:t>
            </w:r>
          </w:p>
        </w:tc>
        <w:tc>
          <w:tcPr>
            <w:tcW w:w="470" w:type="dxa"/>
            <w:shd w:val="clear" w:color="auto" w:fill="auto"/>
            <w:noWrap/>
            <w:vAlign w:val="center"/>
          </w:tcPr>
          <w:p w14:paraId="02145395">
            <w:pPr>
              <w:pStyle w:val="8"/>
              <w:suppressLineNumbers w:val="0"/>
              <w:bidi w:val="0"/>
              <w:spacing w:before="0" w:beforeAutospacing="0" w:after="0" w:afterAutospacing="0"/>
              <w:ind w:left="0" w:right="0"/>
              <w:rPr>
                <w:rFonts w:hint="default"/>
                <w:highlight w:val="none"/>
              </w:rPr>
            </w:pPr>
            <w:r>
              <w:rPr>
                <w:rFonts w:hint="default"/>
                <w:highlight w:val="none"/>
              </w:rPr>
              <w:t>0.56</w:t>
            </w:r>
          </w:p>
        </w:tc>
        <w:tc>
          <w:tcPr>
            <w:tcW w:w="469" w:type="dxa"/>
            <w:shd w:val="clear" w:color="auto" w:fill="auto"/>
            <w:noWrap/>
            <w:vAlign w:val="center"/>
          </w:tcPr>
          <w:p w14:paraId="110228A2">
            <w:pPr>
              <w:pStyle w:val="8"/>
              <w:suppressLineNumbers w:val="0"/>
              <w:bidi w:val="0"/>
              <w:spacing w:before="0" w:beforeAutospacing="0" w:after="0" w:afterAutospacing="0"/>
              <w:ind w:left="0" w:right="0"/>
              <w:rPr>
                <w:rFonts w:hint="default"/>
                <w:highlight w:val="none"/>
              </w:rPr>
            </w:pPr>
            <w:r>
              <w:rPr>
                <w:rFonts w:hint="default"/>
                <w:highlight w:val="none"/>
              </w:rPr>
              <w:t>2.36</w:t>
            </w:r>
          </w:p>
        </w:tc>
        <w:tc>
          <w:tcPr>
            <w:tcW w:w="471" w:type="dxa"/>
            <w:shd w:val="clear" w:color="auto" w:fill="auto"/>
            <w:noWrap/>
            <w:vAlign w:val="center"/>
          </w:tcPr>
          <w:p w14:paraId="6BB62FE1">
            <w:pPr>
              <w:pStyle w:val="8"/>
              <w:suppressLineNumbers w:val="0"/>
              <w:bidi w:val="0"/>
              <w:spacing w:before="0" w:beforeAutospacing="0" w:after="0" w:afterAutospacing="0"/>
              <w:ind w:left="0" w:right="0"/>
              <w:rPr>
                <w:rFonts w:hint="default"/>
                <w:highlight w:val="none"/>
              </w:rPr>
            </w:pPr>
            <w:r>
              <w:rPr>
                <w:rFonts w:hint="default"/>
                <w:highlight w:val="none"/>
              </w:rPr>
              <w:t>1.81</w:t>
            </w:r>
          </w:p>
        </w:tc>
      </w:tr>
    </w:tbl>
    <w:p w14:paraId="57ED1BCC">
      <w:pPr>
        <w:pStyle w:val="7"/>
        <w:bidi w:val="0"/>
        <w:rPr>
          <w:highlight w:val="none"/>
        </w:rPr>
      </w:pPr>
    </w:p>
    <w:p w14:paraId="75E3A78C">
      <w:pPr>
        <w:pStyle w:val="7"/>
        <w:bidi w:val="0"/>
        <w:rPr>
          <w:rFonts w:hint="eastAsia"/>
          <w:highlight w:val="none"/>
          <w:lang w:eastAsia="zh-CN"/>
        </w:rPr>
      </w:pPr>
      <w:r>
        <w:rPr>
          <w:rFonts w:hint="eastAsia"/>
          <w:highlight w:val="none"/>
          <w:lang w:val="en-US" w:eastAsia="zh-CN"/>
        </w:rPr>
        <w:t>续</w:t>
      </w:r>
      <w:r>
        <w:rPr>
          <w:highlight w:val="none"/>
        </w:rPr>
        <w:t>表4-1-12022年年均风频的月变化统计</w:t>
      </w:r>
      <w:r>
        <w:rPr>
          <w:rFonts w:hint="eastAsia"/>
          <w:highlight w:val="none"/>
          <w:lang w:eastAsia="zh-CN"/>
        </w:rPr>
        <w:t>（</w:t>
      </w:r>
      <w:r>
        <w:rPr>
          <w:highlight w:val="none"/>
        </w:rPr>
        <w:t>单位：%</w:t>
      </w:r>
      <w:r>
        <w:rPr>
          <w:rFonts w:hint="eastAsia"/>
          <w:highlight w:val="none"/>
          <w:lang w:eastAsia="zh-CN"/>
        </w:rPr>
        <w:t>）</w:t>
      </w:r>
    </w:p>
    <w:tbl>
      <w:tblPr>
        <w:tblStyle w:val="45"/>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583"/>
        <w:gridCol w:w="469"/>
        <w:gridCol w:w="470"/>
        <w:gridCol w:w="470"/>
        <w:gridCol w:w="469"/>
        <w:gridCol w:w="469"/>
        <w:gridCol w:w="470"/>
        <w:gridCol w:w="470"/>
        <w:gridCol w:w="470"/>
        <w:gridCol w:w="471"/>
        <w:gridCol w:w="469"/>
        <w:gridCol w:w="468"/>
        <w:gridCol w:w="447"/>
        <w:gridCol w:w="447"/>
        <w:gridCol w:w="470"/>
        <w:gridCol w:w="470"/>
        <w:gridCol w:w="469"/>
        <w:gridCol w:w="471"/>
      </w:tblGrid>
      <w:tr w14:paraId="3503BBD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583" w:type="dxa"/>
            <w:shd w:val="clear" w:color="auto" w:fill="auto"/>
            <w:noWrap/>
            <w:vAlign w:val="center"/>
          </w:tcPr>
          <w:p w14:paraId="7FE5541E">
            <w:pPr>
              <w:pStyle w:val="8"/>
              <w:suppressLineNumbers w:val="0"/>
              <w:bidi w:val="0"/>
              <w:spacing w:before="0" w:beforeAutospacing="0" w:after="0" w:afterAutospacing="0"/>
              <w:ind w:left="0" w:right="0"/>
              <w:rPr>
                <w:rFonts w:hint="default"/>
                <w:highlight w:val="none"/>
              </w:rPr>
            </w:pPr>
            <w:r>
              <w:rPr>
                <w:rFonts w:hint="default"/>
                <w:highlight w:val="none"/>
              </w:rPr>
              <w:t>7月</w:t>
            </w:r>
          </w:p>
        </w:tc>
        <w:tc>
          <w:tcPr>
            <w:tcW w:w="469" w:type="dxa"/>
            <w:shd w:val="clear" w:color="auto" w:fill="auto"/>
            <w:noWrap/>
            <w:vAlign w:val="center"/>
          </w:tcPr>
          <w:p w14:paraId="5A250785">
            <w:pPr>
              <w:pStyle w:val="8"/>
              <w:suppressLineNumbers w:val="0"/>
              <w:bidi w:val="0"/>
              <w:spacing w:before="0" w:beforeAutospacing="0" w:after="0" w:afterAutospacing="0"/>
              <w:ind w:left="0" w:right="0"/>
              <w:rPr>
                <w:rFonts w:hint="default"/>
                <w:highlight w:val="none"/>
              </w:rPr>
            </w:pPr>
            <w:r>
              <w:rPr>
                <w:rFonts w:hint="default"/>
                <w:highlight w:val="none"/>
              </w:rPr>
              <w:t>4.44</w:t>
            </w:r>
          </w:p>
        </w:tc>
        <w:tc>
          <w:tcPr>
            <w:tcW w:w="470" w:type="dxa"/>
            <w:shd w:val="clear" w:color="auto" w:fill="auto"/>
            <w:noWrap/>
            <w:vAlign w:val="center"/>
          </w:tcPr>
          <w:p w14:paraId="33973EA3">
            <w:pPr>
              <w:pStyle w:val="8"/>
              <w:suppressLineNumbers w:val="0"/>
              <w:bidi w:val="0"/>
              <w:spacing w:before="0" w:beforeAutospacing="0" w:after="0" w:afterAutospacing="0"/>
              <w:ind w:left="0" w:right="0"/>
              <w:rPr>
                <w:rFonts w:hint="default"/>
                <w:highlight w:val="none"/>
              </w:rPr>
            </w:pPr>
            <w:r>
              <w:rPr>
                <w:rFonts w:hint="default"/>
                <w:highlight w:val="none"/>
              </w:rPr>
              <w:t>3.76</w:t>
            </w:r>
          </w:p>
        </w:tc>
        <w:tc>
          <w:tcPr>
            <w:tcW w:w="470" w:type="dxa"/>
            <w:shd w:val="clear" w:color="auto" w:fill="auto"/>
            <w:noWrap/>
            <w:vAlign w:val="center"/>
          </w:tcPr>
          <w:p w14:paraId="5C492EC7">
            <w:pPr>
              <w:pStyle w:val="8"/>
              <w:suppressLineNumbers w:val="0"/>
              <w:bidi w:val="0"/>
              <w:spacing w:before="0" w:beforeAutospacing="0" w:after="0" w:afterAutospacing="0"/>
              <w:ind w:left="0" w:right="0"/>
              <w:rPr>
                <w:rFonts w:hint="default"/>
                <w:highlight w:val="none"/>
              </w:rPr>
            </w:pPr>
            <w:r>
              <w:rPr>
                <w:rFonts w:hint="default"/>
                <w:highlight w:val="none"/>
              </w:rPr>
              <w:t>4.70</w:t>
            </w:r>
          </w:p>
        </w:tc>
        <w:tc>
          <w:tcPr>
            <w:tcW w:w="469" w:type="dxa"/>
            <w:shd w:val="clear" w:color="auto" w:fill="auto"/>
            <w:noWrap/>
            <w:vAlign w:val="center"/>
          </w:tcPr>
          <w:p w14:paraId="188C3F1D">
            <w:pPr>
              <w:pStyle w:val="8"/>
              <w:suppressLineNumbers w:val="0"/>
              <w:bidi w:val="0"/>
              <w:spacing w:before="0" w:beforeAutospacing="0" w:after="0" w:afterAutospacing="0"/>
              <w:ind w:left="0" w:right="0"/>
              <w:rPr>
                <w:rFonts w:hint="default"/>
                <w:highlight w:val="none"/>
              </w:rPr>
            </w:pPr>
            <w:r>
              <w:rPr>
                <w:rFonts w:hint="default"/>
                <w:highlight w:val="none"/>
              </w:rPr>
              <w:t>7.53</w:t>
            </w:r>
          </w:p>
        </w:tc>
        <w:tc>
          <w:tcPr>
            <w:tcW w:w="469" w:type="dxa"/>
            <w:shd w:val="clear" w:color="auto" w:fill="auto"/>
            <w:noWrap/>
            <w:vAlign w:val="center"/>
          </w:tcPr>
          <w:p w14:paraId="3FF6190F">
            <w:pPr>
              <w:pStyle w:val="8"/>
              <w:suppressLineNumbers w:val="0"/>
              <w:bidi w:val="0"/>
              <w:spacing w:before="0" w:beforeAutospacing="0" w:after="0" w:afterAutospacing="0"/>
              <w:ind w:left="0" w:right="0"/>
              <w:rPr>
                <w:rFonts w:hint="default"/>
                <w:highlight w:val="none"/>
              </w:rPr>
            </w:pPr>
            <w:r>
              <w:rPr>
                <w:rFonts w:hint="default"/>
                <w:highlight w:val="none"/>
              </w:rPr>
              <w:t>15.73</w:t>
            </w:r>
          </w:p>
        </w:tc>
        <w:tc>
          <w:tcPr>
            <w:tcW w:w="470" w:type="dxa"/>
            <w:shd w:val="clear" w:color="auto" w:fill="auto"/>
            <w:noWrap/>
            <w:vAlign w:val="center"/>
          </w:tcPr>
          <w:p w14:paraId="5789FCEE">
            <w:pPr>
              <w:pStyle w:val="8"/>
              <w:suppressLineNumbers w:val="0"/>
              <w:bidi w:val="0"/>
              <w:spacing w:before="0" w:beforeAutospacing="0" w:after="0" w:afterAutospacing="0"/>
              <w:ind w:left="0" w:right="0"/>
              <w:rPr>
                <w:rFonts w:hint="default"/>
                <w:highlight w:val="none"/>
              </w:rPr>
            </w:pPr>
            <w:r>
              <w:rPr>
                <w:rFonts w:hint="default"/>
                <w:highlight w:val="none"/>
              </w:rPr>
              <w:t>9.14</w:t>
            </w:r>
          </w:p>
        </w:tc>
        <w:tc>
          <w:tcPr>
            <w:tcW w:w="470" w:type="dxa"/>
            <w:shd w:val="clear" w:color="auto" w:fill="auto"/>
            <w:noWrap/>
            <w:vAlign w:val="center"/>
          </w:tcPr>
          <w:p w14:paraId="71D79E42">
            <w:pPr>
              <w:pStyle w:val="8"/>
              <w:suppressLineNumbers w:val="0"/>
              <w:bidi w:val="0"/>
              <w:spacing w:before="0" w:beforeAutospacing="0" w:after="0" w:afterAutospacing="0"/>
              <w:ind w:left="0" w:right="0"/>
              <w:rPr>
                <w:rFonts w:hint="default"/>
                <w:highlight w:val="none"/>
              </w:rPr>
            </w:pPr>
            <w:r>
              <w:rPr>
                <w:rFonts w:hint="default"/>
                <w:highlight w:val="none"/>
              </w:rPr>
              <w:t>8.74</w:t>
            </w:r>
          </w:p>
        </w:tc>
        <w:tc>
          <w:tcPr>
            <w:tcW w:w="470" w:type="dxa"/>
            <w:shd w:val="clear" w:color="auto" w:fill="auto"/>
            <w:noWrap/>
            <w:vAlign w:val="center"/>
          </w:tcPr>
          <w:p w14:paraId="704931A9">
            <w:pPr>
              <w:pStyle w:val="8"/>
              <w:suppressLineNumbers w:val="0"/>
              <w:bidi w:val="0"/>
              <w:spacing w:before="0" w:beforeAutospacing="0" w:after="0" w:afterAutospacing="0"/>
              <w:ind w:left="0" w:right="0"/>
              <w:rPr>
                <w:rFonts w:hint="default"/>
                <w:highlight w:val="none"/>
              </w:rPr>
            </w:pPr>
            <w:r>
              <w:rPr>
                <w:rFonts w:hint="default"/>
                <w:highlight w:val="none"/>
              </w:rPr>
              <w:t>4.57</w:t>
            </w:r>
          </w:p>
        </w:tc>
        <w:tc>
          <w:tcPr>
            <w:tcW w:w="471" w:type="dxa"/>
            <w:shd w:val="clear" w:color="auto" w:fill="auto"/>
            <w:noWrap/>
            <w:vAlign w:val="center"/>
          </w:tcPr>
          <w:p w14:paraId="0A5F9F49">
            <w:pPr>
              <w:pStyle w:val="8"/>
              <w:suppressLineNumbers w:val="0"/>
              <w:bidi w:val="0"/>
              <w:spacing w:before="0" w:beforeAutospacing="0" w:after="0" w:afterAutospacing="0"/>
              <w:ind w:left="0" w:right="0"/>
              <w:rPr>
                <w:rFonts w:hint="default"/>
                <w:highlight w:val="none"/>
              </w:rPr>
            </w:pPr>
            <w:r>
              <w:rPr>
                <w:rFonts w:hint="default"/>
                <w:highlight w:val="none"/>
              </w:rPr>
              <w:t>8.06</w:t>
            </w:r>
          </w:p>
        </w:tc>
        <w:tc>
          <w:tcPr>
            <w:tcW w:w="469" w:type="dxa"/>
            <w:shd w:val="clear" w:color="auto" w:fill="auto"/>
            <w:noWrap/>
            <w:vAlign w:val="center"/>
          </w:tcPr>
          <w:p w14:paraId="03C53918">
            <w:pPr>
              <w:pStyle w:val="8"/>
              <w:suppressLineNumbers w:val="0"/>
              <w:bidi w:val="0"/>
              <w:spacing w:before="0" w:beforeAutospacing="0" w:after="0" w:afterAutospacing="0"/>
              <w:ind w:left="0" w:right="0"/>
              <w:rPr>
                <w:rFonts w:hint="default"/>
                <w:highlight w:val="none"/>
              </w:rPr>
            </w:pPr>
            <w:r>
              <w:rPr>
                <w:rFonts w:hint="default"/>
                <w:highlight w:val="none"/>
              </w:rPr>
              <w:t>10.35</w:t>
            </w:r>
          </w:p>
        </w:tc>
        <w:tc>
          <w:tcPr>
            <w:tcW w:w="468" w:type="dxa"/>
            <w:shd w:val="clear" w:color="auto" w:fill="auto"/>
            <w:noWrap/>
            <w:vAlign w:val="center"/>
          </w:tcPr>
          <w:p w14:paraId="72193CF0">
            <w:pPr>
              <w:pStyle w:val="8"/>
              <w:suppressLineNumbers w:val="0"/>
              <w:bidi w:val="0"/>
              <w:spacing w:before="0" w:beforeAutospacing="0" w:after="0" w:afterAutospacing="0"/>
              <w:ind w:left="0" w:right="0"/>
              <w:rPr>
                <w:rFonts w:hint="default"/>
                <w:highlight w:val="none"/>
              </w:rPr>
            </w:pPr>
            <w:r>
              <w:rPr>
                <w:rFonts w:hint="default"/>
                <w:highlight w:val="none"/>
              </w:rPr>
              <w:t>9.68</w:t>
            </w:r>
          </w:p>
        </w:tc>
        <w:tc>
          <w:tcPr>
            <w:tcW w:w="447" w:type="dxa"/>
            <w:shd w:val="clear" w:color="auto" w:fill="auto"/>
            <w:noWrap/>
            <w:vAlign w:val="center"/>
          </w:tcPr>
          <w:p w14:paraId="64132824">
            <w:pPr>
              <w:pStyle w:val="8"/>
              <w:suppressLineNumbers w:val="0"/>
              <w:bidi w:val="0"/>
              <w:spacing w:before="0" w:beforeAutospacing="0" w:after="0" w:afterAutospacing="0"/>
              <w:ind w:left="0" w:right="0"/>
              <w:rPr>
                <w:rFonts w:hint="default"/>
                <w:highlight w:val="none"/>
              </w:rPr>
            </w:pPr>
            <w:r>
              <w:rPr>
                <w:rFonts w:hint="default"/>
                <w:highlight w:val="none"/>
              </w:rPr>
              <w:t>4.57</w:t>
            </w:r>
          </w:p>
        </w:tc>
        <w:tc>
          <w:tcPr>
            <w:tcW w:w="447" w:type="dxa"/>
            <w:shd w:val="clear" w:color="auto" w:fill="auto"/>
            <w:noWrap/>
            <w:vAlign w:val="center"/>
          </w:tcPr>
          <w:p w14:paraId="2D986FA8">
            <w:pPr>
              <w:pStyle w:val="8"/>
              <w:suppressLineNumbers w:val="0"/>
              <w:bidi w:val="0"/>
              <w:spacing w:before="0" w:beforeAutospacing="0" w:after="0" w:afterAutospacing="0"/>
              <w:ind w:left="0" w:right="0"/>
              <w:rPr>
                <w:rFonts w:hint="default"/>
                <w:highlight w:val="none"/>
              </w:rPr>
            </w:pPr>
            <w:r>
              <w:rPr>
                <w:rFonts w:hint="default"/>
                <w:highlight w:val="none"/>
              </w:rPr>
              <w:t>2.96</w:t>
            </w:r>
          </w:p>
        </w:tc>
        <w:tc>
          <w:tcPr>
            <w:tcW w:w="470" w:type="dxa"/>
            <w:shd w:val="clear" w:color="auto" w:fill="auto"/>
            <w:noWrap/>
            <w:vAlign w:val="center"/>
          </w:tcPr>
          <w:p w14:paraId="4F081B4D">
            <w:pPr>
              <w:pStyle w:val="8"/>
              <w:suppressLineNumbers w:val="0"/>
              <w:bidi w:val="0"/>
              <w:spacing w:before="0" w:beforeAutospacing="0" w:after="0" w:afterAutospacing="0"/>
              <w:ind w:left="0" w:right="0"/>
              <w:rPr>
                <w:rFonts w:hint="default"/>
                <w:highlight w:val="none"/>
              </w:rPr>
            </w:pPr>
            <w:r>
              <w:rPr>
                <w:rFonts w:hint="default"/>
                <w:highlight w:val="none"/>
              </w:rPr>
              <w:t>0.94</w:t>
            </w:r>
          </w:p>
        </w:tc>
        <w:tc>
          <w:tcPr>
            <w:tcW w:w="470" w:type="dxa"/>
            <w:shd w:val="clear" w:color="auto" w:fill="auto"/>
            <w:noWrap/>
            <w:vAlign w:val="center"/>
          </w:tcPr>
          <w:p w14:paraId="65442032">
            <w:pPr>
              <w:pStyle w:val="8"/>
              <w:suppressLineNumbers w:val="0"/>
              <w:bidi w:val="0"/>
              <w:spacing w:before="0" w:beforeAutospacing="0" w:after="0" w:afterAutospacing="0"/>
              <w:ind w:left="0" w:right="0"/>
              <w:rPr>
                <w:rFonts w:hint="default"/>
                <w:highlight w:val="none"/>
              </w:rPr>
            </w:pPr>
            <w:r>
              <w:rPr>
                <w:rFonts w:hint="default"/>
                <w:highlight w:val="none"/>
              </w:rPr>
              <w:t>0.40</w:t>
            </w:r>
          </w:p>
        </w:tc>
        <w:tc>
          <w:tcPr>
            <w:tcW w:w="469" w:type="dxa"/>
            <w:shd w:val="clear" w:color="auto" w:fill="auto"/>
            <w:noWrap/>
            <w:vAlign w:val="center"/>
          </w:tcPr>
          <w:p w14:paraId="3AECB8A3">
            <w:pPr>
              <w:pStyle w:val="8"/>
              <w:suppressLineNumbers w:val="0"/>
              <w:bidi w:val="0"/>
              <w:spacing w:before="0" w:beforeAutospacing="0" w:after="0" w:afterAutospacing="0"/>
              <w:ind w:left="0" w:right="0"/>
              <w:rPr>
                <w:rFonts w:hint="default"/>
                <w:highlight w:val="none"/>
              </w:rPr>
            </w:pPr>
            <w:r>
              <w:rPr>
                <w:rFonts w:hint="default"/>
                <w:highlight w:val="none"/>
              </w:rPr>
              <w:t>1.75</w:t>
            </w:r>
          </w:p>
        </w:tc>
        <w:tc>
          <w:tcPr>
            <w:tcW w:w="471" w:type="dxa"/>
            <w:shd w:val="clear" w:color="auto" w:fill="auto"/>
            <w:noWrap/>
            <w:vAlign w:val="center"/>
          </w:tcPr>
          <w:p w14:paraId="35D439EA">
            <w:pPr>
              <w:pStyle w:val="8"/>
              <w:suppressLineNumbers w:val="0"/>
              <w:bidi w:val="0"/>
              <w:spacing w:before="0" w:beforeAutospacing="0" w:after="0" w:afterAutospacing="0"/>
              <w:ind w:left="0" w:right="0"/>
              <w:rPr>
                <w:rFonts w:hint="default"/>
                <w:highlight w:val="none"/>
              </w:rPr>
            </w:pPr>
            <w:r>
              <w:rPr>
                <w:rFonts w:hint="default"/>
                <w:highlight w:val="none"/>
              </w:rPr>
              <w:t>2.69</w:t>
            </w:r>
          </w:p>
        </w:tc>
      </w:tr>
      <w:tr w14:paraId="65354DC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583" w:type="dxa"/>
            <w:shd w:val="clear" w:color="auto" w:fill="auto"/>
            <w:noWrap/>
            <w:vAlign w:val="center"/>
          </w:tcPr>
          <w:p w14:paraId="62A216F8">
            <w:pPr>
              <w:pStyle w:val="8"/>
              <w:suppressLineNumbers w:val="0"/>
              <w:bidi w:val="0"/>
              <w:spacing w:before="0" w:beforeAutospacing="0" w:after="0" w:afterAutospacing="0"/>
              <w:ind w:left="0" w:right="0"/>
              <w:rPr>
                <w:rFonts w:hint="default"/>
                <w:highlight w:val="none"/>
              </w:rPr>
            </w:pPr>
            <w:r>
              <w:rPr>
                <w:rFonts w:hint="default"/>
                <w:highlight w:val="none"/>
              </w:rPr>
              <w:t>8月</w:t>
            </w:r>
          </w:p>
        </w:tc>
        <w:tc>
          <w:tcPr>
            <w:tcW w:w="469" w:type="dxa"/>
            <w:shd w:val="clear" w:color="auto" w:fill="auto"/>
            <w:noWrap/>
            <w:vAlign w:val="center"/>
          </w:tcPr>
          <w:p w14:paraId="4A8C4942">
            <w:pPr>
              <w:pStyle w:val="8"/>
              <w:suppressLineNumbers w:val="0"/>
              <w:bidi w:val="0"/>
              <w:spacing w:before="0" w:beforeAutospacing="0" w:after="0" w:afterAutospacing="0"/>
              <w:ind w:left="0" w:right="0"/>
              <w:rPr>
                <w:rFonts w:hint="default"/>
                <w:highlight w:val="none"/>
              </w:rPr>
            </w:pPr>
            <w:r>
              <w:rPr>
                <w:rFonts w:hint="default"/>
                <w:highlight w:val="none"/>
              </w:rPr>
              <w:t>2.42</w:t>
            </w:r>
          </w:p>
        </w:tc>
        <w:tc>
          <w:tcPr>
            <w:tcW w:w="470" w:type="dxa"/>
            <w:shd w:val="clear" w:color="auto" w:fill="auto"/>
            <w:noWrap/>
            <w:vAlign w:val="center"/>
          </w:tcPr>
          <w:p w14:paraId="5F6F3C5B">
            <w:pPr>
              <w:pStyle w:val="8"/>
              <w:suppressLineNumbers w:val="0"/>
              <w:bidi w:val="0"/>
              <w:spacing w:before="0" w:beforeAutospacing="0" w:after="0" w:afterAutospacing="0"/>
              <w:ind w:left="0" w:right="0"/>
              <w:rPr>
                <w:rFonts w:hint="default"/>
                <w:highlight w:val="none"/>
              </w:rPr>
            </w:pPr>
            <w:r>
              <w:rPr>
                <w:rFonts w:hint="default"/>
                <w:highlight w:val="none"/>
              </w:rPr>
              <w:t>2.15</w:t>
            </w:r>
          </w:p>
        </w:tc>
        <w:tc>
          <w:tcPr>
            <w:tcW w:w="470" w:type="dxa"/>
            <w:shd w:val="clear" w:color="auto" w:fill="auto"/>
            <w:noWrap/>
            <w:vAlign w:val="center"/>
          </w:tcPr>
          <w:p w14:paraId="277D3953">
            <w:pPr>
              <w:pStyle w:val="8"/>
              <w:suppressLineNumbers w:val="0"/>
              <w:bidi w:val="0"/>
              <w:spacing w:before="0" w:beforeAutospacing="0" w:after="0" w:afterAutospacing="0"/>
              <w:ind w:left="0" w:right="0"/>
              <w:rPr>
                <w:rFonts w:hint="default"/>
                <w:highlight w:val="none"/>
              </w:rPr>
            </w:pPr>
            <w:r>
              <w:rPr>
                <w:rFonts w:hint="default"/>
                <w:highlight w:val="none"/>
              </w:rPr>
              <w:t>2.28</w:t>
            </w:r>
          </w:p>
        </w:tc>
        <w:tc>
          <w:tcPr>
            <w:tcW w:w="469" w:type="dxa"/>
            <w:shd w:val="clear" w:color="auto" w:fill="auto"/>
            <w:noWrap/>
            <w:vAlign w:val="center"/>
          </w:tcPr>
          <w:p w14:paraId="477972C8">
            <w:pPr>
              <w:pStyle w:val="8"/>
              <w:suppressLineNumbers w:val="0"/>
              <w:bidi w:val="0"/>
              <w:spacing w:before="0" w:beforeAutospacing="0" w:after="0" w:afterAutospacing="0"/>
              <w:ind w:left="0" w:right="0"/>
              <w:rPr>
                <w:rFonts w:hint="default"/>
                <w:highlight w:val="none"/>
              </w:rPr>
            </w:pPr>
            <w:r>
              <w:rPr>
                <w:rFonts w:hint="default"/>
                <w:highlight w:val="none"/>
              </w:rPr>
              <w:t>2.15</w:t>
            </w:r>
          </w:p>
        </w:tc>
        <w:tc>
          <w:tcPr>
            <w:tcW w:w="469" w:type="dxa"/>
            <w:shd w:val="clear" w:color="auto" w:fill="auto"/>
            <w:noWrap/>
            <w:vAlign w:val="center"/>
          </w:tcPr>
          <w:p w14:paraId="0F914828">
            <w:pPr>
              <w:pStyle w:val="8"/>
              <w:suppressLineNumbers w:val="0"/>
              <w:bidi w:val="0"/>
              <w:spacing w:before="0" w:beforeAutospacing="0" w:after="0" w:afterAutospacing="0"/>
              <w:ind w:left="0" w:right="0"/>
              <w:rPr>
                <w:rFonts w:hint="default"/>
                <w:highlight w:val="none"/>
              </w:rPr>
            </w:pPr>
            <w:r>
              <w:rPr>
                <w:rFonts w:hint="default"/>
                <w:highlight w:val="none"/>
              </w:rPr>
              <w:t>2.82</w:t>
            </w:r>
          </w:p>
        </w:tc>
        <w:tc>
          <w:tcPr>
            <w:tcW w:w="470" w:type="dxa"/>
            <w:shd w:val="clear" w:color="auto" w:fill="auto"/>
            <w:noWrap/>
            <w:vAlign w:val="center"/>
          </w:tcPr>
          <w:p w14:paraId="6E0FD283">
            <w:pPr>
              <w:pStyle w:val="8"/>
              <w:suppressLineNumbers w:val="0"/>
              <w:bidi w:val="0"/>
              <w:spacing w:before="0" w:beforeAutospacing="0" w:after="0" w:afterAutospacing="0"/>
              <w:ind w:left="0" w:right="0"/>
              <w:rPr>
                <w:rFonts w:hint="default"/>
                <w:highlight w:val="none"/>
              </w:rPr>
            </w:pPr>
            <w:r>
              <w:rPr>
                <w:rFonts w:hint="default"/>
                <w:highlight w:val="none"/>
              </w:rPr>
              <w:t>1.88</w:t>
            </w:r>
          </w:p>
        </w:tc>
        <w:tc>
          <w:tcPr>
            <w:tcW w:w="470" w:type="dxa"/>
            <w:shd w:val="clear" w:color="auto" w:fill="auto"/>
            <w:noWrap/>
            <w:vAlign w:val="center"/>
          </w:tcPr>
          <w:p w14:paraId="42440ADE">
            <w:pPr>
              <w:pStyle w:val="8"/>
              <w:suppressLineNumbers w:val="0"/>
              <w:bidi w:val="0"/>
              <w:spacing w:before="0" w:beforeAutospacing="0" w:after="0" w:afterAutospacing="0"/>
              <w:ind w:left="0" w:right="0"/>
              <w:rPr>
                <w:rFonts w:hint="default"/>
                <w:highlight w:val="none"/>
              </w:rPr>
            </w:pPr>
            <w:r>
              <w:rPr>
                <w:rFonts w:hint="default"/>
                <w:highlight w:val="none"/>
              </w:rPr>
              <w:t>3.36</w:t>
            </w:r>
          </w:p>
        </w:tc>
        <w:tc>
          <w:tcPr>
            <w:tcW w:w="470" w:type="dxa"/>
            <w:shd w:val="clear" w:color="auto" w:fill="auto"/>
            <w:noWrap/>
            <w:vAlign w:val="center"/>
          </w:tcPr>
          <w:p w14:paraId="433A94F2">
            <w:pPr>
              <w:pStyle w:val="8"/>
              <w:suppressLineNumbers w:val="0"/>
              <w:bidi w:val="0"/>
              <w:spacing w:before="0" w:beforeAutospacing="0" w:after="0" w:afterAutospacing="0"/>
              <w:ind w:left="0" w:right="0"/>
              <w:rPr>
                <w:rFonts w:hint="default"/>
                <w:highlight w:val="none"/>
              </w:rPr>
            </w:pPr>
            <w:r>
              <w:rPr>
                <w:rFonts w:hint="default"/>
                <w:highlight w:val="none"/>
              </w:rPr>
              <w:t>4.17</w:t>
            </w:r>
          </w:p>
        </w:tc>
        <w:tc>
          <w:tcPr>
            <w:tcW w:w="471" w:type="dxa"/>
            <w:shd w:val="clear" w:color="auto" w:fill="auto"/>
            <w:noWrap/>
            <w:vAlign w:val="center"/>
          </w:tcPr>
          <w:p w14:paraId="72B92BD1">
            <w:pPr>
              <w:pStyle w:val="8"/>
              <w:suppressLineNumbers w:val="0"/>
              <w:bidi w:val="0"/>
              <w:spacing w:before="0" w:beforeAutospacing="0" w:after="0" w:afterAutospacing="0"/>
              <w:ind w:left="0" w:right="0"/>
              <w:rPr>
                <w:rFonts w:hint="default"/>
                <w:highlight w:val="none"/>
              </w:rPr>
            </w:pPr>
            <w:r>
              <w:rPr>
                <w:rFonts w:hint="default"/>
                <w:highlight w:val="none"/>
              </w:rPr>
              <w:t>6.18</w:t>
            </w:r>
          </w:p>
        </w:tc>
        <w:tc>
          <w:tcPr>
            <w:tcW w:w="469" w:type="dxa"/>
            <w:shd w:val="clear" w:color="auto" w:fill="auto"/>
            <w:noWrap/>
            <w:vAlign w:val="center"/>
          </w:tcPr>
          <w:p w14:paraId="0EB9BC45">
            <w:pPr>
              <w:pStyle w:val="8"/>
              <w:suppressLineNumbers w:val="0"/>
              <w:bidi w:val="0"/>
              <w:spacing w:before="0" w:beforeAutospacing="0" w:after="0" w:afterAutospacing="0"/>
              <w:ind w:left="0" w:right="0"/>
              <w:rPr>
                <w:rFonts w:hint="default"/>
                <w:highlight w:val="none"/>
              </w:rPr>
            </w:pPr>
            <w:r>
              <w:rPr>
                <w:rFonts w:hint="default"/>
                <w:highlight w:val="none"/>
              </w:rPr>
              <w:t>9.41</w:t>
            </w:r>
          </w:p>
        </w:tc>
        <w:tc>
          <w:tcPr>
            <w:tcW w:w="468" w:type="dxa"/>
            <w:shd w:val="clear" w:color="auto" w:fill="auto"/>
            <w:noWrap/>
            <w:vAlign w:val="center"/>
          </w:tcPr>
          <w:p w14:paraId="7C42D6FB">
            <w:pPr>
              <w:pStyle w:val="8"/>
              <w:suppressLineNumbers w:val="0"/>
              <w:bidi w:val="0"/>
              <w:spacing w:before="0" w:beforeAutospacing="0" w:after="0" w:afterAutospacing="0"/>
              <w:ind w:left="0" w:right="0"/>
              <w:rPr>
                <w:rFonts w:hint="default"/>
                <w:highlight w:val="none"/>
              </w:rPr>
            </w:pPr>
            <w:r>
              <w:rPr>
                <w:rFonts w:hint="default"/>
                <w:highlight w:val="none"/>
              </w:rPr>
              <w:t>12.90</w:t>
            </w:r>
          </w:p>
        </w:tc>
        <w:tc>
          <w:tcPr>
            <w:tcW w:w="447" w:type="dxa"/>
            <w:shd w:val="clear" w:color="auto" w:fill="auto"/>
            <w:noWrap/>
            <w:vAlign w:val="center"/>
          </w:tcPr>
          <w:p w14:paraId="7BFA2E7D">
            <w:pPr>
              <w:pStyle w:val="8"/>
              <w:suppressLineNumbers w:val="0"/>
              <w:bidi w:val="0"/>
              <w:spacing w:before="0" w:beforeAutospacing="0" w:after="0" w:afterAutospacing="0"/>
              <w:ind w:left="0" w:right="0"/>
              <w:rPr>
                <w:rFonts w:hint="default"/>
                <w:highlight w:val="none"/>
              </w:rPr>
            </w:pPr>
            <w:r>
              <w:rPr>
                <w:rFonts w:hint="default"/>
                <w:highlight w:val="none"/>
              </w:rPr>
              <w:t>22.18</w:t>
            </w:r>
          </w:p>
        </w:tc>
        <w:tc>
          <w:tcPr>
            <w:tcW w:w="447" w:type="dxa"/>
            <w:shd w:val="clear" w:color="auto" w:fill="auto"/>
            <w:noWrap/>
            <w:vAlign w:val="center"/>
          </w:tcPr>
          <w:p w14:paraId="326E0697">
            <w:pPr>
              <w:pStyle w:val="8"/>
              <w:suppressLineNumbers w:val="0"/>
              <w:bidi w:val="0"/>
              <w:spacing w:before="0" w:beforeAutospacing="0" w:after="0" w:afterAutospacing="0"/>
              <w:ind w:left="0" w:right="0"/>
              <w:rPr>
                <w:rFonts w:hint="default"/>
                <w:highlight w:val="none"/>
              </w:rPr>
            </w:pPr>
            <w:r>
              <w:rPr>
                <w:rFonts w:hint="default"/>
                <w:highlight w:val="none"/>
              </w:rPr>
              <w:t>14.25</w:t>
            </w:r>
          </w:p>
        </w:tc>
        <w:tc>
          <w:tcPr>
            <w:tcW w:w="470" w:type="dxa"/>
            <w:shd w:val="clear" w:color="auto" w:fill="auto"/>
            <w:noWrap/>
            <w:vAlign w:val="center"/>
          </w:tcPr>
          <w:p w14:paraId="76F3D877">
            <w:pPr>
              <w:pStyle w:val="8"/>
              <w:suppressLineNumbers w:val="0"/>
              <w:bidi w:val="0"/>
              <w:spacing w:before="0" w:beforeAutospacing="0" w:after="0" w:afterAutospacing="0"/>
              <w:ind w:left="0" w:right="0"/>
              <w:rPr>
                <w:rFonts w:hint="default"/>
                <w:highlight w:val="none"/>
              </w:rPr>
            </w:pPr>
            <w:r>
              <w:rPr>
                <w:rFonts w:hint="default"/>
                <w:highlight w:val="none"/>
              </w:rPr>
              <w:t>4.70</w:t>
            </w:r>
          </w:p>
        </w:tc>
        <w:tc>
          <w:tcPr>
            <w:tcW w:w="470" w:type="dxa"/>
            <w:shd w:val="clear" w:color="auto" w:fill="auto"/>
            <w:noWrap/>
            <w:vAlign w:val="center"/>
          </w:tcPr>
          <w:p w14:paraId="38C1D4A5">
            <w:pPr>
              <w:pStyle w:val="8"/>
              <w:suppressLineNumbers w:val="0"/>
              <w:bidi w:val="0"/>
              <w:spacing w:before="0" w:beforeAutospacing="0" w:after="0" w:afterAutospacing="0"/>
              <w:ind w:left="0" w:right="0"/>
              <w:rPr>
                <w:rFonts w:hint="default"/>
                <w:highlight w:val="none"/>
              </w:rPr>
            </w:pPr>
            <w:r>
              <w:rPr>
                <w:rFonts w:hint="default"/>
                <w:highlight w:val="none"/>
              </w:rPr>
              <w:t>1.61</w:t>
            </w:r>
          </w:p>
        </w:tc>
        <w:tc>
          <w:tcPr>
            <w:tcW w:w="469" w:type="dxa"/>
            <w:shd w:val="clear" w:color="auto" w:fill="auto"/>
            <w:noWrap/>
            <w:vAlign w:val="center"/>
          </w:tcPr>
          <w:p w14:paraId="1B447D18">
            <w:pPr>
              <w:pStyle w:val="8"/>
              <w:suppressLineNumbers w:val="0"/>
              <w:bidi w:val="0"/>
              <w:spacing w:before="0" w:beforeAutospacing="0" w:after="0" w:afterAutospacing="0"/>
              <w:ind w:left="0" w:right="0"/>
              <w:rPr>
                <w:rFonts w:hint="default"/>
                <w:highlight w:val="none"/>
              </w:rPr>
            </w:pPr>
            <w:r>
              <w:rPr>
                <w:rFonts w:hint="default"/>
                <w:highlight w:val="none"/>
              </w:rPr>
              <w:t>3.23</w:t>
            </w:r>
          </w:p>
        </w:tc>
        <w:tc>
          <w:tcPr>
            <w:tcW w:w="471" w:type="dxa"/>
            <w:shd w:val="clear" w:color="auto" w:fill="auto"/>
            <w:noWrap/>
            <w:vAlign w:val="center"/>
          </w:tcPr>
          <w:p w14:paraId="3B3891BC">
            <w:pPr>
              <w:pStyle w:val="8"/>
              <w:suppressLineNumbers w:val="0"/>
              <w:bidi w:val="0"/>
              <w:spacing w:before="0" w:beforeAutospacing="0" w:after="0" w:afterAutospacing="0"/>
              <w:ind w:left="0" w:right="0"/>
              <w:rPr>
                <w:rFonts w:hint="default"/>
                <w:highlight w:val="none"/>
              </w:rPr>
            </w:pPr>
            <w:r>
              <w:rPr>
                <w:rFonts w:hint="default"/>
                <w:highlight w:val="none"/>
              </w:rPr>
              <w:t>4.30</w:t>
            </w:r>
          </w:p>
        </w:tc>
      </w:tr>
      <w:tr w14:paraId="0F10321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583" w:type="dxa"/>
            <w:shd w:val="clear" w:color="auto" w:fill="auto"/>
            <w:noWrap/>
            <w:vAlign w:val="center"/>
          </w:tcPr>
          <w:p w14:paraId="6A3F69CF">
            <w:pPr>
              <w:pStyle w:val="8"/>
              <w:suppressLineNumbers w:val="0"/>
              <w:bidi w:val="0"/>
              <w:spacing w:before="0" w:beforeAutospacing="0" w:after="0" w:afterAutospacing="0"/>
              <w:ind w:left="0" w:right="0"/>
              <w:rPr>
                <w:rFonts w:hint="default"/>
                <w:highlight w:val="none"/>
              </w:rPr>
            </w:pPr>
            <w:r>
              <w:rPr>
                <w:rFonts w:hint="default"/>
                <w:highlight w:val="none"/>
              </w:rPr>
              <w:t>9月</w:t>
            </w:r>
          </w:p>
        </w:tc>
        <w:tc>
          <w:tcPr>
            <w:tcW w:w="469" w:type="dxa"/>
            <w:shd w:val="clear" w:color="auto" w:fill="auto"/>
            <w:noWrap/>
            <w:vAlign w:val="center"/>
          </w:tcPr>
          <w:p w14:paraId="3DED7906">
            <w:pPr>
              <w:pStyle w:val="8"/>
              <w:suppressLineNumbers w:val="0"/>
              <w:bidi w:val="0"/>
              <w:spacing w:before="0" w:beforeAutospacing="0" w:after="0" w:afterAutospacing="0"/>
              <w:ind w:left="0" w:right="0"/>
              <w:rPr>
                <w:rFonts w:hint="default"/>
                <w:highlight w:val="none"/>
              </w:rPr>
            </w:pPr>
            <w:r>
              <w:rPr>
                <w:rFonts w:hint="default"/>
                <w:highlight w:val="none"/>
              </w:rPr>
              <w:t>6.39</w:t>
            </w:r>
          </w:p>
        </w:tc>
        <w:tc>
          <w:tcPr>
            <w:tcW w:w="470" w:type="dxa"/>
            <w:shd w:val="clear" w:color="auto" w:fill="auto"/>
            <w:noWrap/>
            <w:vAlign w:val="center"/>
          </w:tcPr>
          <w:p w14:paraId="6587144F">
            <w:pPr>
              <w:pStyle w:val="8"/>
              <w:suppressLineNumbers w:val="0"/>
              <w:bidi w:val="0"/>
              <w:spacing w:before="0" w:beforeAutospacing="0" w:after="0" w:afterAutospacing="0"/>
              <w:ind w:left="0" w:right="0"/>
              <w:rPr>
                <w:rFonts w:hint="default"/>
                <w:highlight w:val="none"/>
              </w:rPr>
            </w:pPr>
            <w:r>
              <w:rPr>
                <w:rFonts w:hint="default"/>
                <w:highlight w:val="none"/>
              </w:rPr>
              <w:t>3.33</w:t>
            </w:r>
          </w:p>
        </w:tc>
        <w:tc>
          <w:tcPr>
            <w:tcW w:w="470" w:type="dxa"/>
            <w:shd w:val="clear" w:color="auto" w:fill="auto"/>
            <w:noWrap/>
            <w:vAlign w:val="center"/>
          </w:tcPr>
          <w:p w14:paraId="37083CE0">
            <w:pPr>
              <w:pStyle w:val="8"/>
              <w:suppressLineNumbers w:val="0"/>
              <w:bidi w:val="0"/>
              <w:spacing w:before="0" w:beforeAutospacing="0" w:after="0" w:afterAutospacing="0"/>
              <w:ind w:left="0" w:right="0"/>
              <w:rPr>
                <w:rFonts w:hint="default"/>
                <w:highlight w:val="none"/>
              </w:rPr>
            </w:pPr>
            <w:r>
              <w:rPr>
                <w:rFonts w:hint="default"/>
                <w:highlight w:val="none"/>
              </w:rPr>
              <w:t>2.08</w:t>
            </w:r>
          </w:p>
        </w:tc>
        <w:tc>
          <w:tcPr>
            <w:tcW w:w="469" w:type="dxa"/>
            <w:shd w:val="clear" w:color="auto" w:fill="auto"/>
            <w:noWrap/>
            <w:vAlign w:val="center"/>
          </w:tcPr>
          <w:p w14:paraId="06ED1CF4">
            <w:pPr>
              <w:pStyle w:val="8"/>
              <w:suppressLineNumbers w:val="0"/>
              <w:bidi w:val="0"/>
              <w:spacing w:before="0" w:beforeAutospacing="0" w:after="0" w:afterAutospacing="0"/>
              <w:ind w:left="0" w:right="0"/>
              <w:rPr>
                <w:rFonts w:hint="default"/>
                <w:highlight w:val="none"/>
              </w:rPr>
            </w:pPr>
            <w:r>
              <w:rPr>
                <w:rFonts w:hint="default"/>
                <w:highlight w:val="none"/>
              </w:rPr>
              <w:t>5.00</w:t>
            </w:r>
          </w:p>
        </w:tc>
        <w:tc>
          <w:tcPr>
            <w:tcW w:w="469" w:type="dxa"/>
            <w:shd w:val="clear" w:color="auto" w:fill="auto"/>
            <w:noWrap/>
            <w:vAlign w:val="center"/>
          </w:tcPr>
          <w:p w14:paraId="20098796">
            <w:pPr>
              <w:pStyle w:val="8"/>
              <w:suppressLineNumbers w:val="0"/>
              <w:bidi w:val="0"/>
              <w:spacing w:before="0" w:beforeAutospacing="0" w:after="0" w:afterAutospacing="0"/>
              <w:ind w:left="0" w:right="0"/>
              <w:rPr>
                <w:rFonts w:hint="default"/>
                <w:highlight w:val="none"/>
              </w:rPr>
            </w:pPr>
            <w:r>
              <w:rPr>
                <w:rFonts w:hint="default"/>
                <w:highlight w:val="none"/>
              </w:rPr>
              <w:t>5.69</w:t>
            </w:r>
          </w:p>
        </w:tc>
        <w:tc>
          <w:tcPr>
            <w:tcW w:w="470" w:type="dxa"/>
            <w:shd w:val="clear" w:color="auto" w:fill="auto"/>
            <w:noWrap/>
            <w:vAlign w:val="center"/>
          </w:tcPr>
          <w:p w14:paraId="28EB9D6B">
            <w:pPr>
              <w:pStyle w:val="8"/>
              <w:suppressLineNumbers w:val="0"/>
              <w:bidi w:val="0"/>
              <w:spacing w:before="0" w:beforeAutospacing="0" w:after="0" w:afterAutospacing="0"/>
              <w:ind w:left="0" w:right="0"/>
              <w:rPr>
                <w:rFonts w:hint="default"/>
                <w:highlight w:val="none"/>
              </w:rPr>
            </w:pPr>
            <w:r>
              <w:rPr>
                <w:rFonts w:hint="default"/>
                <w:highlight w:val="none"/>
              </w:rPr>
              <w:t>3.06</w:t>
            </w:r>
          </w:p>
        </w:tc>
        <w:tc>
          <w:tcPr>
            <w:tcW w:w="470" w:type="dxa"/>
            <w:shd w:val="clear" w:color="auto" w:fill="auto"/>
            <w:noWrap/>
            <w:vAlign w:val="center"/>
          </w:tcPr>
          <w:p w14:paraId="6077261E">
            <w:pPr>
              <w:pStyle w:val="8"/>
              <w:suppressLineNumbers w:val="0"/>
              <w:bidi w:val="0"/>
              <w:spacing w:before="0" w:beforeAutospacing="0" w:after="0" w:afterAutospacing="0"/>
              <w:ind w:left="0" w:right="0"/>
              <w:rPr>
                <w:rFonts w:hint="default"/>
                <w:highlight w:val="none"/>
              </w:rPr>
            </w:pPr>
            <w:r>
              <w:rPr>
                <w:rFonts w:hint="default"/>
                <w:highlight w:val="none"/>
              </w:rPr>
              <w:t>3.61</w:t>
            </w:r>
          </w:p>
        </w:tc>
        <w:tc>
          <w:tcPr>
            <w:tcW w:w="470" w:type="dxa"/>
            <w:shd w:val="clear" w:color="auto" w:fill="auto"/>
            <w:noWrap/>
            <w:vAlign w:val="center"/>
          </w:tcPr>
          <w:p w14:paraId="14399D31">
            <w:pPr>
              <w:pStyle w:val="8"/>
              <w:suppressLineNumbers w:val="0"/>
              <w:bidi w:val="0"/>
              <w:spacing w:before="0" w:beforeAutospacing="0" w:after="0" w:afterAutospacing="0"/>
              <w:ind w:left="0" w:right="0"/>
              <w:rPr>
                <w:rFonts w:hint="default"/>
                <w:highlight w:val="none"/>
              </w:rPr>
            </w:pPr>
            <w:r>
              <w:rPr>
                <w:rFonts w:hint="default"/>
                <w:highlight w:val="none"/>
              </w:rPr>
              <w:t>3.47</w:t>
            </w:r>
          </w:p>
        </w:tc>
        <w:tc>
          <w:tcPr>
            <w:tcW w:w="471" w:type="dxa"/>
            <w:shd w:val="clear" w:color="auto" w:fill="auto"/>
            <w:noWrap/>
            <w:vAlign w:val="center"/>
          </w:tcPr>
          <w:p w14:paraId="32E65BB6">
            <w:pPr>
              <w:pStyle w:val="8"/>
              <w:suppressLineNumbers w:val="0"/>
              <w:bidi w:val="0"/>
              <w:spacing w:before="0" w:beforeAutospacing="0" w:after="0" w:afterAutospacing="0"/>
              <w:ind w:left="0" w:right="0"/>
              <w:rPr>
                <w:rFonts w:hint="default"/>
                <w:highlight w:val="none"/>
              </w:rPr>
            </w:pPr>
            <w:r>
              <w:rPr>
                <w:rFonts w:hint="default"/>
                <w:highlight w:val="none"/>
              </w:rPr>
              <w:t>9.72</w:t>
            </w:r>
          </w:p>
        </w:tc>
        <w:tc>
          <w:tcPr>
            <w:tcW w:w="469" w:type="dxa"/>
            <w:shd w:val="clear" w:color="auto" w:fill="auto"/>
            <w:noWrap/>
            <w:vAlign w:val="center"/>
          </w:tcPr>
          <w:p w14:paraId="5E179260">
            <w:pPr>
              <w:pStyle w:val="8"/>
              <w:suppressLineNumbers w:val="0"/>
              <w:bidi w:val="0"/>
              <w:spacing w:before="0" w:beforeAutospacing="0" w:after="0" w:afterAutospacing="0"/>
              <w:ind w:left="0" w:right="0"/>
              <w:rPr>
                <w:rFonts w:hint="default"/>
                <w:highlight w:val="none"/>
              </w:rPr>
            </w:pPr>
            <w:r>
              <w:rPr>
                <w:rFonts w:hint="default"/>
                <w:highlight w:val="none"/>
              </w:rPr>
              <w:t>14.72</w:t>
            </w:r>
          </w:p>
        </w:tc>
        <w:tc>
          <w:tcPr>
            <w:tcW w:w="468" w:type="dxa"/>
            <w:shd w:val="clear" w:color="auto" w:fill="auto"/>
            <w:noWrap/>
            <w:vAlign w:val="center"/>
          </w:tcPr>
          <w:p w14:paraId="1F237D49">
            <w:pPr>
              <w:pStyle w:val="8"/>
              <w:suppressLineNumbers w:val="0"/>
              <w:bidi w:val="0"/>
              <w:spacing w:before="0" w:beforeAutospacing="0" w:after="0" w:afterAutospacing="0"/>
              <w:ind w:left="0" w:right="0"/>
              <w:rPr>
                <w:rFonts w:hint="default"/>
                <w:highlight w:val="none"/>
              </w:rPr>
            </w:pPr>
            <w:r>
              <w:rPr>
                <w:rFonts w:hint="default"/>
                <w:highlight w:val="none"/>
              </w:rPr>
              <w:t>10.83</w:t>
            </w:r>
          </w:p>
        </w:tc>
        <w:tc>
          <w:tcPr>
            <w:tcW w:w="447" w:type="dxa"/>
            <w:shd w:val="clear" w:color="auto" w:fill="auto"/>
            <w:noWrap/>
            <w:vAlign w:val="center"/>
          </w:tcPr>
          <w:p w14:paraId="4129EBFA">
            <w:pPr>
              <w:pStyle w:val="8"/>
              <w:suppressLineNumbers w:val="0"/>
              <w:bidi w:val="0"/>
              <w:spacing w:before="0" w:beforeAutospacing="0" w:after="0" w:afterAutospacing="0"/>
              <w:ind w:left="0" w:right="0"/>
              <w:rPr>
                <w:rFonts w:hint="default"/>
                <w:highlight w:val="none"/>
              </w:rPr>
            </w:pPr>
            <w:r>
              <w:rPr>
                <w:rFonts w:hint="default"/>
                <w:highlight w:val="none"/>
              </w:rPr>
              <w:t>9.72</w:t>
            </w:r>
          </w:p>
        </w:tc>
        <w:tc>
          <w:tcPr>
            <w:tcW w:w="447" w:type="dxa"/>
            <w:shd w:val="clear" w:color="auto" w:fill="auto"/>
            <w:noWrap/>
            <w:vAlign w:val="center"/>
          </w:tcPr>
          <w:p w14:paraId="00D4BA45">
            <w:pPr>
              <w:pStyle w:val="8"/>
              <w:suppressLineNumbers w:val="0"/>
              <w:bidi w:val="0"/>
              <w:spacing w:before="0" w:beforeAutospacing="0" w:after="0" w:afterAutospacing="0"/>
              <w:ind w:left="0" w:right="0"/>
              <w:rPr>
                <w:rFonts w:hint="default"/>
                <w:highlight w:val="none"/>
              </w:rPr>
            </w:pPr>
            <w:r>
              <w:rPr>
                <w:rFonts w:hint="default"/>
                <w:highlight w:val="none"/>
              </w:rPr>
              <w:t>8.75</w:t>
            </w:r>
          </w:p>
        </w:tc>
        <w:tc>
          <w:tcPr>
            <w:tcW w:w="470" w:type="dxa"/>
            <w:shd w:val="clear" w:color="auto" w:fill="auto"/>
            <w:noWrap/>
            <w:vAlign w:val="center"/>
          </w:tcPr>
          <w:p w14:paraId="4687157A">
            <w:pPr>
              <w:pStyle w:val="8"/>
              <w:suppressLineNumbers w:val="0"/>
              <w:bidi w:val="0"/>
              <w:spacing w:before="0" w:beforeAutospacing="0" w:after="0" w:afterAutospacing="0"/>
              <w:ind w:left="0" w:right="0"/>
              <w:rPr>
                <w:rFonts w:hint="default"/>
                <w:highlight w:val="none"/>
              </w:rPr>
            </w:pPr>
            <w:r>
              <w:rPr>
                <w:rFonts w:hint="default"/>
                <w:highlight w:val="none"/>
              </w:rPr>
              <w:t>4.58</w:t>
            </w:r>
          </w:p>
        </w:tc>
        <w:tc>
          <w:tcPr>
            <w:tcW w:w="470" w:type="dxa"/>
            <w:shd w:val="clear" w:color="auto" w:fill="auto"/>
            <w:noWrap/>
            <w:vAlign w:val="center"/>
          </w:tcPr>
          <w:p w14:paraId="731539C7">
            <w:pPr>
              <w:pStyle w:val="8"/>
              <w:suppressLineNumbers w:val="0"/>
              <w:bidi w:val="0"/>
              <w:spacing w:before="0" w:beforeAutospacing="0" w:after="0" w:afterAutospacing="0"/>
              <w:ind w:left="0" w:right="0"/>
              <w:rPr>
                <w:rFonts w:hint="default"/>
                <w:highlight w:val="none"/>
              </w:rPr>
            </w:pPr>
            <w:r>
              <w:rPr>
                <w:rFonts w:hint="default"/>
                <w:highlight w:val="none"/>
              </w:rPr>
              <w:t>1.25</w:t>
            </w:r>
          </w:p>
        </w:tc>
        <w:tc>
          <w:tcPr>
            <w:tcW w:w="469" w:type="dxa"/>
            <w:shd w:val="clear" w:color="auto" w:fill="auto"/>
            <w:noWrap/>
            <w:vAlign w:val="center"/>
          </w:tcPr>
          <w:p w14:paraId="3AF0A8F7">
            <w:pPr>
              <w:pStyle w:val="8"/>
              <w:suppressLineNumbers w:val="0"/>
              <w:bidi w:val="0"/>
              <w:spacing w:before="0" w:beforeAutospacing="0" w:after="0" w:afterAutospacing="0"/>
              <w:ind w:left="0" w:right="0"/>
              <w:rPr>
                <w:rFonts w:hint="default"/>
                <w:highlight w:val="none"/>
              </w:rPr>
            </w:pPr>
            <w:r>
              <w:rPr>
                <w:rFonts w:hint="default"/>
                <w:highlight w:val="none"/>
              </w:rPr>
              <w:t>3.89</w:t>
            </w:r>
          </w:p>
        </w:tc>
        <w:tc>
          <w:tcPr>
            <w:tcW w:w="471" w:type="dxa"/>
            <w:shd w:val="clear" w:color="auto" w:fill="auto"/>
            <w:noWrap/>
            <w:vAlign w:val="center"/>
          </w:tcPr>
          <w:p w14:paraId="461E7D63">
            <w:pPr>
              <w:pStyle w:val="8"/>
              <w:suppressLineNumbers w:val="0"/>
              <w:bidi w:val="0"/>
              <w:spacing w:before="0" w:beforeAutospacing="0" w:after="0" w:afterAutospacing="0"/>
              <w:ind w:left="0" w:right="0"/>
              <w:rPr>
                <w:rFonts w:hint="default"/>
                <w:highlight w:val="none"/>
              </w:rPr>
            </w:pPr>
            <w:r>
              <w:rPr>
                <w:rFonts w:hint="default"/>
                <w:highlight w:val="none"/>
              </w:rPr>
              <w:t>3.89</w:t>
            </w:r>
          </w:p>
        </w:tc>
      </w:tr>
      <w:tr w14:paraId="6E11498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583" w:type="dxa"/>
            <w:shd w:val="clear" w:color="auto" w:fill="auto"/>
            <w:noWrap/>
            <w:vAlign w:val="center"/>
          </w:tcPr>
          <w:p w14:paraId="77F75186">
            <w:pPr>
              <w:pStyle w:val="8"/>
              <w:suppressLineNumbers w:val="0"/>
              <w:bidi w:val="0"/>
              <w:spacing w:before="0" w:beforeAutospacing="0" w:after="0" w:afterAutospacing="0"/>
              <w:ind w:left="0" w:right="0"/>
              <w:rPr>
                <w:rFonts w:hint="default"/>
                <w:highlight w:val="none"/>
              </w:rPr>
            </w:pPr>
            <w:r>
              <w:rPr>
                <w:rFonts w:hint="default"/>
                <w:highlight w:val="none"/>
              </w:rPr>
              <w:t>10月</w:t>
            </w:r>
          </w:p>
        </w:tc>
        <w:tc>
          <w:tcPr>
            <w:tcW w:w="469" w:type="dxa"/>
            <w:shd w:val="clear" w:color="auto" w:fill="auto"/>
            <w:noWrap/>
            <w:vAlign w:val="center"/>
          </w:tcPr>
          <w:p w14:paraId="39C62919">
            <w:pPr>
              <w:pStyle w:val="8"/>
              <w:suppressLineNumbers w:val="0"/>
              <w:bidi w:val="0"/>
              <w:spacing w:before="0" w:beforeAutospacing="0" w:after="0" w:afterAutospacing="0"/>
              <w:ind w:left="0" w:right="0"/>
              <w:rPr>
                <w:rFonts w:hint="default"/>
                <w:highlight w:val="none"/>
              </w:rPr>
            </w:pPr>
            <w:r>
              <w:rPr>
                <w:rFonts w:hint="default"/>
                <w:highlight w:val="none"/>
              </w:rPr>
              <w:t>9.68</w:t>
            </w:r>
          </w:p>
        </w:tc>
        <w:tc>
          <w:tcPr>
            <w:tcW w:w="470" w:type="dxa"/>
            <w:shd w:val="clear" w:color="auto" w:fill="auto"/>
            <w:noWrap/>
            <w:vAlign w:val="center"/>
          </w:tcPr>
          <w:p w14:paraId="459662B1">
            <w:pPr>
              <w:pStyle w:val="8"/>
              <w:suppressLineNumbers w:val="0"/>
              <w:bidi w:val="0"/>
              <w:spacing w:before="0" w:beforeAutospacing="0" w:after="0" w:afterAutospacing="0"/>
              <w:ind w:left="0" w:right="0"/>
              <w:rPr>
                <w:rFonts w:hint="default"/>
                <w:highlight w:val="none"/>
              </w:rPr>
            </w:pPr>
            <w:r>
              <w:rPr>
                <w:rFonts w:hint="default"/>
                <w:highlight w:val="none"/>
              </w:rPr>
              <w:t>5.24</w:t>
            </w:r>
          </w:p>
        </w:tc>
        <w:tc>
          <w:tcPr>
            <w:tcW w:w="470" w:type="dxa"/>
            <w:shd w:val="clear" w:color="auto" w:fill="auto"/>
            <w:noWrap/>
            <w:vAlign w:val="center"/>
          </w:tcPr>
          <w:p w14:paraId="43D5826B">
            <w:pPr>
              <w:pStyle w:val="8"/>
              <w:suppressLineNumbers w:val="0"/>
              <w:bidi w:val="0"/>
              <w:spacing w:before="0" w:beforeAutospacing="0" w:after="0" w:afterAutospacing="0"/>
              <w:ind w:left="0" w:right="0"/>
              <w:rPr>
                <w:rFonts w:hint="default"/>
                <w:highlight w:val="none"/>
              </w:rPr>
            </w:pPr>
            <w:r>
              <w:rPr>
                <w:rFonts w:hint="default"/>
                <w:highlight w:val="none"/>
              </w:rPr>
              <w:t>1.75</w:t>
            </w:r>
          </w:p>
        </w:tc>
        <w:tc>
          <w:tcPr>
            <w:tcW w:w="469" w:type="dxa"/>
            <w:shd w:val="clear" w:color="auto" w:fill="auto"/>
            <w:noWrap/>
            <w:vAlign w:val="center"/>
          </w:tcPr>
          <w:p w14:paraId="59A2ED2A">
            <w:pPr>
              <w:pStyle w:val="8"/>
              <w:suppressLineNumbers w:val="0"/>
              <w:bidi w:val="0"/>
              <w:spacing w:before="0" w:beforeAutospacing="0" w:after="0" w:afterAutospacing="0"/>
              <w:ind w:left="0" w:right="0"/>
              <w:rPr>
                <w:rFonts w:hint="default"/>
                <w:highlight w:val="none"/>
              </w:rPr>
            </w:pPr>
            <w:r>
              <w:rPr>
                <w:rFonts w:hint="default"/>
                <w:highlight w:val="none"/>
              </w:rPr>
              <w:t>0.81</w:t>
            </w:r>
          </w:p>
        </w:tc>
        <w:tc>
          <w:tcPr>
            <w:tcW w:w="469" w:type="dxa"/>
            <w:shd w:val="clear" w:color="auto" w:fill="auto"/>
            <w:noWrap/>
            <w:vAlign w:val="center"/>
          </w:tcPr>
          <w:p w14:paraId="58CD73A2">
            <w:pPr>
              <w:pStyle w:val="8"/>
              <w:suppressLineNumbers w:val="0"/>
              <w:bidi w:val="0"/>
              <w:spacing w:before="0" w:beforeAutospacing="0" w:after="0" w:afterAutospacing="0"/>
              <w:ind w:left="0" w:right="0"/>
              <w:rPr>
                <w:rFonts w:hint="default"/>
                <w:highlight w:val="none"/>
              </w:rPr>
            </w:pPr>
            <w:r>
              <w:rPr>
                <w:rFonts w:hint="default"/>
                <w:highlight w:val="none"/>
              </w:rPr>
              <w:t>2.55</w:t>
            </w:r>
          </w:p>
        </w:tc>
        <w:tc>
          <w:tcPr>
            <w:tcW w:w="470" w:type="dxa"/>
            <w:shd w:val="clear" w:color="auto" w:fill="auto"/>
            <w:noWrap/>
            <w:vAlign w:val="center"/>
          </w:tcPr>
          <w:p w14:paraId="0EE65E37">
            <w:pPr>
              <w:pStyle w:val="8"/>
              <w:suppressLineNumbers w:val="0"/>
              <w:bidi w:val="0"/>
              <w:spacing w:before="0" w:beforeAutospacing="0" w:after="0" w:afterAutospacing="0"/>
              <w:ind w:left="0" w:right="0"/>
              <w:rPr>
                <w:rFonts w:hint="default"/>
                <w:highlight w:val="none"/>
              </w:rPr>
            </w:pPr>
            <w:r>
              <w:rPr>
                <w:rFonts w:hint="default"/>
                <w:highlight w:val="none"/>
              </w:rPr>
              <w:t>2.55</w:t>
            </w:r>
          </w:p>
        </w:tc>
        <w:tc>
          <w:tcPr>
            <w:tcW w:w="470" w:type="dxa"/>
            <w:shd w:val="clear" w:color="auto" w:fill="auto"/>
            <w:noWrap/>
            <w:vAlign w:val="center"/>
          </w:tcPr>
          <w:p w14:paraId="4E9C8B00">
            <w:pPr>
              <w:pStyle w:val="8"/>
              <w:suppressLineNumbers w:val="0"/>
              <w:bidi w:val="0"/>
              <w:spacing w:before="0" w:beforeAutospacing="0" w:after="0" w:afterAutospacing="0"/>
              <w:ind w:left="0" w:right="0"/>
              <w:rPr>
                <w:rFonts w:hint="default"/>
                <w:highlight w:val="none"/>
              </w:rPr>
            </w:pPr>
            <w:r>
              <w:rPr>
                <w:rFonts w:hint="default"/>
                <w:highlight w:val="none"/>
              </w:rPr>
              <w:t>1.88</w:t>
            </w:r>
          </w:p>
        </w:tc>
        <w:tc>
          <w:tcPr>
            <w:tcW w:w="470" w:type="dxa"/>
            <w:shd w:val="clear" w:color="auto" w:fill="auto"/>
            <w:noWrap/>
            <w:vAlign w:val="center"/>
          </w:tcPr>
          <w:p w14:paraId="049B2721">
            <w:pPr>
              <w:pStyle w:val="8"/>
              <w:suppressLineNumbers w:val="0"/>
              <w:bidi w:val="0"/>
              <w:spacing w:before="0" w:beforeAutospacing="0" w:after="0" w:afterAutospacing="0"/>
              <w:ind w:left="0" w:right="0"/>
              <w:rPr>
                <w:rFonts w:hint="default"/>
                <w:highlight w:val="none"/>
              </w:rPr>
            </w:pPr>
            <w:r>
              <w:rPr>
                <w:rFonts w:hint="default"/>
                <w:highlight w:val="none"/>
              </w:rPr>
              <w:t>3.76</w:t>
            </w:r>
          </w:p>
        </w:tc>
        <w:tc>
          <w:tcPr>
            <w:tcW w:w="471" w:type="dxa"/>
            <w:shd w:val="clear" w:color="auto" w:fill="auto"/>
            <w:noWrap/>
            <w:vAlign w:val="center"/>
          </w:tcPr>
          <w:p w14:paraId="080C3342">
            <w:pPr>
              <w:pStyle w:val="8"/>
              <w:suppressLineNumbers w:val="0"/>
              <w:bidi w:val="0"/>
              <w:spacing w:before="0" w:beforeAutospacing="0" w:after="0" w:afterAutospacing="0"/>
              <w:ind w:left="0" w:right="0"/>
              <w:rPr>
                <w:rFonts w:hint="default"/>
                <w:highlight w:val="none"/>
              </w:rPr>
            </w:pPr>
            <w:r>
              <w:rPr>
                <w:rFonts w:hint="default"/>
                <w:highlight w:val="none"/>
              </w:rPr>
              <w:t>6.05</w:t>
            </w:r>
          </w:p>
        </w:tc>
        <w:tc>
          <w:tcPr>
            <w:tcW w:w="469" w:type="dxa"/>
            <w:shd w:val="clear" w:color="auto" w:fill="auto"/>
            <w:noWrap/>
            <w:vAlign w:val="center"/>
          </w:tcPr>
          <w:p w14:paraId="3524908B">
            <w:pPr>
              <w:pStyle w:val="8"/>
              <w:suppressLineNumbers w:val="0"/>
              <w:bidi w:val="0"/>
              <w:spacing w:before="0" w:beforeAutospacing="0" w:after="0" w:afterAutospacing="0"/>
              <w:ind w:left="0" w:right="0"/>
              <w:rPr>
                <w:rFonts w:hint="default"/>
                <w:highlight w:val="none"/>
              </w:rPr>
            </w:pPr>
            <w:r>
              <w:rPr>
                <w:rFonts w:hint="default"/>
                <w:highlight w:val="none"/>
              </w:rPr>
              <w:t>8.20</w:t>
            </w:r>
          </w:p>
        </w:tc>
        <w:tc>
          <w:tcPr>
            <w:tcW w:w="468" w:type="dxa"/>
            <w:shd w:val="clear" w:color="auto" w:fill="auto"/>
            <w:noWrap/>
            <w:vAlign w:val="center"/>
          </w:tcPr>
          <w:p w14:paraId="4F3A4B6B">
            <w:pPr>
              <w:pStyle w:val="8"/>
              <w:suppressLineNumbers w:val="0"/>
              <w:bidi w:val="0"/>
              <w:spacing w:before="0" w:beforeAutospacing="0" w:after="0" w:afterAutospacing="0"/>
              <w:ind w:left="0" w:right="0"/>
              <w:rPr>
                <w:rFonts w:hint="default"/>
                <w:highlight w:val="none"/>
              </w:rPr>
            </w:pPr>
            <w:r>
              <w:rPr>
                <w:rFonts w:hint="default"/>
                <w:highlight w:val="none"/>
              </w:rPr>
              <w:t>5.65</w:t>
            </w:r>
          </w:p>
        </w:tc>
        <w:tc>
          <w:tcPr>
            <w:tcW w:w="447" w:type="dxa"/>
            <w:shd w:val="clear" w:color="auto" w:fill="auto"/>
            <w:noWrap/>
            <w:vAlign w:val="center"/>
          </w:tcPr>
          <w:p w14:paraId="64234D3E">
            <w:pPr>
              <w:pStyle w:val="8"/>
              <w:suppressLineNumbers w:val="0"/>
              <w:bidi w:val="0"/>
              <w:spacing w:before="0" w:beforeAutospacing="0" w:after="0" w:afterAutospacing="0"/>
              <w:ind w:left="0" w:right="0"/>
              <w:rPr>
                <w:rFonts w:hint="default"/>
                <w:highlight w:val="none"/>
              </w:rPr>
            </w:pPr>
            <w:r>
              <w:rPr>
                <w:rFonts w:hint="default"/>
                <w:highlight w:val="none"/>
              </w:rPr>
              <w:t>15.05</w:t>
            </w:r>
          </w:p>
        </w:tc>
        <w:tc>
          <w:tcPr>
            <w:tcW w:w="447" w:type="dxa"/>
            <w:shd w:val="clear" w:color="auto" w:fill="auto"/>
            <w:noWrap/>
            <w:vAlign w:val="center"/>
          </w:tcPr>
          <w:p w14:paraId="00F156E0">
            <w:pPr>
              <w:pStyle w:val="8"/>
              <w:suppressLineNumbers w:val="0"/>
              <w:bidi w:val="0"/>
              <w:spacing w:before="0" w:beforeAutospacing="0" w:after="0" w:afterAutospacing="0"/>
              <w:ind w:left="0" w:right="0"/>
              <w:rPr>
                <w:rFonts w:hint="default"/>
                <w:highlight w:val="none"/>
              </w:rPr>
            </w:pPr>
            <w:r>
              <w:rPr>
                <w:rFonts w:hint="default"/>
                <w:highlight w:val="none"/>
              </w:rPr>
              <w:t>13.04</w:t>
            </w:r>
          </w:p>
        </w:tc>
        <w:tc>
          <w:tcPr>
            <w:tcW w:w="470" w:type="dxa"/>
            <w:shd w:val="clear" w:color="auto" w:fill="auto"/>
            <w:noWrap/>
            <w:vAlign w:val="center"/>
          </w:tcPr>
          <w:p w14:paraId="640F9FB9">
            <w:pPr>
              <w:pStyle w:val="8"/>
              <w:suppressLineNumbers w:val="0"/>
              <w:bidi w:val="0"/>
              <w:spacing w:before="0" w:beforeAutospacing="0" w:after="0" w:afterAutospacing="0"/>
              <w:ind w:left="0" w:right="0"/>
              <w:rPr>
                <w:rFonts w:hint="default"/>
                <w:highlight w:val="none"/>
              </w:rPr>
            </w:pPr>
            <w:r>
              <w:rPr>
                <w:rFonts w:hint="default"/>
                <w:highlight w:val="none"/>
              </w:rPr>
              <w:t>6.05</w:t>
            </w:r>
          </w:p>
        </w:tc>
        <w:tc>
          <w:tcPr>
            <w:tcW w:w="470" w:type="dxa"/>
            <w:shd w:val="clear" w:color="auto" w:fill="auto"/>
            <w:noWrap/>
            <w:vAlign w:val="center"/>
          </w:tcPr>
          <w:p w14:paraId="3CAF3AD7">
            <w:pPr>
              <w:pStyle w:val="8"/>
              <w:suppressLineNumbers w:val="0"/>
              <w:bidi w:val="0"/>
              <w:spacing w:before="0" w:beforeAutospacing="0" w:after="0" w:afterAutospacing="0"/>
              <w:ind w:left="0" w:right="0"/>
              <w:rPr>
                <w:rFonts w:hint="default"/>
                <w:highlight w:val="none"/>
              </w:rPr>
            </w:pPr>
            <w:r>
              <w:rPr>
                <w:rFonts w:hint="default"/>
                <w:highlight w:val="none"/>
              </w:rPr>
              <w:t>3.09</w:t>
            </w:r>
          </w:p>
        </w:tc>
        <w:tc>
          <w:tcPr>
            <w:tcW w:w="469" w:type="dxa"/>
            <w:shd w:val="clear" w:color="auto" w:fill="auto"/>
            <w:noWrap/>
            <w:vAlign w:val="center"/>
          </w:tcPr>
          <w:p w14:paraId="27B13B41">
            <w:pPr>
              <w:pStyle w:val="8"/>
              <w:suppressLineNumbers w:val="0"/>
              <w:bidi w:val="0"/>
              <w:spacing w:before="0" w:beforeAutospacing="0" w:after="0" w:afterAutospacing="0"/>
              <w:ind w:left="0" w:right="0"/>
              <w:rPr>
                <w:rFonts w:hint="default"/>
                <w:highlight w:val="none"/>
              </w:rPr>
            </w:pPr>
            <w:r>
              <w:rPr>
                <w:rFonts w:hint="default"/>
                <w:highlight w:val="none"/>
              </w:rPr>
              <w:t>9.68</w:t>
            </w:r>
          </w:p>
        </w:tc>
        <w:tc>
          <w:tcPr>
            <w:tcW w:w="471" w:type="dxa"/>
            <w:shd w:val="clear" w:color="auto" w:fill="auto"/>
            <w:noWrap/>
            <w:vAlign w:val="center"/>
          </w:tcPr>
          <w:p w14:paraId="31487DD1">
            <w:pPr>
              <w:pStyle w:val="8"/>
              <w:suppressLineNumbers w:val="0"/>
              <w:bidi w:val="0"/>
              <w:spacing w:before="0" w:beforeAutospacing="0" w:after="0" w:afterAutospacing="0"/>
              <w:ind w:left="0" w:right="0"/>
              <w:rPr>
                <w:rFonts w:hint="default"/>
                <w:highlight w:val="none"/>
              </w:rPr>
            </w:pPr>
            <w:r>
              <w:rPr>
                <w:rFonts w:hint="default"/>
                <w:highlight w:val="none"/>
              </w:rPr>
              <w:t>4.97</w:t>
            </w:r>
          </w:p>
        </w:tc>
      </w:tr>
      <w:tr w14:paraId="561AC4B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583" w:type="dxa"/>
            <w:shd w:val="clear" w:color="auto" w:fill="auto"/>
            <w:noWrap/>
            <w:vAlign w:val="center"/>
          </w:tcPr>
          <w:p w14:paraId="2FB2519C">
            <w:pPr>
              <w:pStyle w:val="8"/>
              <w:suppressLineNumbers w:val="0"/>
              <w:bidi w:val="0"/>
              <w:spacing w:before="0" w:beforeAutospacing="0" w:after="0" w:afterAutospacing="0"/>
              <w:ind w:left="0" w:right="0"/>
              <w:rPr>
                <w:rFonts w:hint="default"/>
                <w:highlight w:val="none"/>
              </w:rPr>
            </w:pPr>
            <w:r>
              <w:rPr>
                <w:rFonts w:hint="default"/>
                <w:highlight w:val="none"/>
              </w:rPr>
              <w:t>11月</w:t>
            </w:r>
          </w:p>
        </w:tc>
        <w:tc>
          <w:tcPr>
            <w:tcW w:w="469" w:type="dxa"/>
            <w:shd w:val="clear" w:color="auto" w:fill="auto"/>
            <w:noWrap/>
            <w:vAlign w:val="center"/>
          </w:tcPr>
          <w:p w14:paraId="427BB4DC">
            <w:pPr>
              <w:pStyle w:val="8"/>
              <w:suppressLineNumbers w:val="0"/>
              <w:bidi w:val="0"/>
              <w:spacing w:before="0" w:beforeAutospacing="0" w:after="0" w:afterAutospacing="0"/>
              <w:ind w:left="0" w:right="0"/>
              <w:rPr>
                <w:rFonts w:hint="default"/>
                <w:highlight w:val="none"/>
              </w:rPr>
            </w:pPr>
            <w:r>
              <w:rPr>
                <w:rFonts w:hint="default"/>
                <w:highlight w:val="none"/>
              </w:rPr>
              <w:t>3.61</w:t>
            </w:r>
          </w:p>
        </w:tc>
        <w:tc>
          <w:tcPr>
            <w:tcW w:w="470" w:type="dxa"/>
            <w:shd w:val="clear" w:color="auto" w:fill="auto"/>
            <w:noWrap/>
            <w:vAlign w:val="center"/>
          </w:tcPr>
          <w:p w14:paraId="63714527">
            <w:pPr>
              <w:pStyle w:val="8"/>
              <w:suppressLineNumbers w:val="0"/>
              <w:bidi w:val="0"/>
              <w:spacing w:before="0" w:beforeAutospacing="0" w:after="0" w:afterAutospacing="0"/>
              <w:ind w:left="0" w:right="0"/>
              <w:rPr>
                <w:rFonts w:hint="default"/>
                <w:highlight w:val="none"/>
              </w:rPr>
            </w:pPr>
            <w:r>
              <w:rPr>
                <w:rFonts w:hint="default"/>
                <w:highlight w:val="none"/>
              </w:rPr>
              <w:t>4.03</w:t>
            </w:r>
          </w:p>
        </w:tc>
        <w:tc>
          <w:tcPr>
            <w:tcW w:w="470" w:type="dxa"/>
            <w:shd w:val="clear" w:color="auto" w:fill="auto"/>
            <w:noWrap/>
            <w:vAlign w:val="center"/>
          </w:tcPr>
          <w:p w14:paraId="6CBA8B36">
            <w:pPr>
              <w:pStyle w:val="8"/>
              <w:suppressLineNumbers w:val="0"/>
              <w:bidi w:val="0"/>
              <w:spacing w:before="0" w:beforeAutospacing="0" w:after="0" w:afterAutospacing="0"/>
              <w:ind w:left="0" w:right="0"/>
              <w:rPr>
                <w:rFonts w:hint="default"/>
                <w:highlight w:val="none"/>
              </w:rPr>
            </w:pPr>
            <w:r>
              <w:rPr>
                <w:rFonts w:hint="default"/>
                <w:highlight w:val="none"/>
              </w:rPr>
              <w:t>3.47</w:t>
            </w:r>
          </w:p>
        </w:tc>
        <w:tc>
          <w:tcPr>
            <w:tcW w:w="469" w:type="dxa"/>
            <w:shd w:val="clear" w:color="auto" w:fill="auto"/>
            <w:noWrap/>
            <w:vAlign w:val="center"/>
          </w:tcPr>
          <w:p w14:paraId="32465362">
            <w:pPr>
              <w:pStyle w:val="8"/>
              <w:suppressLineNumbers w:val="0"/>
              <w:bidi w:val="0"/>
              <w:spacing w:before="0" w:beforeAutospacing="0" w:after="0" w:afterAutospacing="0"/>
              <w:ind w:left="0" w:right="0"/>
              <w:rPr>
                <w:rFonts w:hint="default"/>
                <w:highlight w:val="none"/>
              </w:rPr>
            </w:pPr>
            <w:r>
              <w:rPr>
                <w:rFonts w:hint="default"/>
                <w:highlight w:val="none"/>
              </w:rPr>
              <w:t>2.64</w:t>
            </w:r>
          </w:p>
        </w:tc>
        <w:tc>
          <w:tcPr>
            <w:tcW w:w="469" w:type="dxa"/>
            <w:shd w:val="clear" w:color="auto" w:fill="auto"/>
            <w:noWrap/>
            <w:vAlign w:val="center"/>
          </w:tcPr>
          <w:p w14:paraId="09CC0CB4">
            <w:pPr>
              <w:pStyle w:val="8"/>
              <w:suppressLineNumbers w:val="0"/>
              <w:bidi w:val="0"/>
              <w:spacing w:before="0" w:beforeAutospacing="0" w:after="0" w:afterAutospacing="0"/>
              <w:ind w:left="0" w:right="0"/>
              <w:rPr>
                <w:rFonts w:hint="default"/>
                <w:highlight w:val="none"/>
              </w:rPr>
            </w:pPr>
            <w:r>
              <w:rPr>
                <w:rFonts w:hint="default"/>
                <w:highlight w:val="none"/>
              </w:rPr>
              <w:t>6.53</w:t>
            </w:r>
          </w:p>
        </w:tc>
        <w:tc>
          <w:tcPr>
            <w:tcW w:w="470" w:type="dxa"/>
            <w:shd w:val="clear" w:color="auto" w:fill="auto"/>
            <w:noWrap/>
            <w:vAlign w:val="center"/>
          </w:tcPr>
          <w:p w14:paraId="544130F6">
            <w:pPr>
              <w:pStyle w:val="8"/>
              <w:suppressLineNumbers w:val="0"/>
              <w:bidi w:val="0"/>
              <w:spacing w:before="0" w:beforeAutospacing="0" w:after="0" w:afterAutospacing="0"/>
              <w:ind w:left="0" w:right="0"/>
              <w:rPr>
                <w:rFonts w:hint="default"/>
                <w:highlight w:val="none"/>
              </w:rPr>
            </w:pPr>
            <w:r>
              <w:rPr>
                <w:rFonts w:hint="default"/>
                <w:highlight w:val="none"/>
              </w:rPr>
              <w:t>3.19</w:t>
            </w:r>
          </w:p>
        </w:tc>
        <w:tc>
          <w:tcPr>
            <w:tcW w:w="470" w:type="dxa"/>
            <w:shd w:val="clear" w:color="auto" w:fill="auto"/>
            <w:noWrap/>
            <w:vAlign w:val="center"/>
          </w:tcPr>
          <w:p w14:paraId="1D818BD7">
            <w:pPr>
              <w:pStyle w:val="8"/>
              <w:suppressLineNumbers w:val="0"/>
              <w:bidi w:val="0"/>
              <w:spacing w:before="0" w:beforeAutospacing="0" w:after="0" w:afterAutospacing="0"/>
              <w:ind w:left="0" w:right="0"/>
              <w:rPr>
                <w:rFonts w:hint="default"/>
                <w:highlight w:val="none"/>
              </w:rPr>
            </w:pPr>
            <w:r>
              <w:rPr>
                <w:rFonts w:hint="default"/>
                <w:highlight w:val="none"/>
              </w:rPr>
              <w:t>1.67</w:t>
            </w:r>
          </w:p>
        </w:tc>
        <w:tc>
          <w:tcPr>
            <w:tcW w:w="470" w:type="dxa"/>
            <w:shd w:val="clear" w:color="auto" w:fill="auto"/>
            <w:noWrap/>
            <w:vAlign w:val="center"/>
          </w:tcPr>
          <w:p w14:paraId="695D09FE">
            <w:pPr>
              <w:pStyle w:val="8"/>
              <w:suppressLineNumbers w:val="0"/>
              <w:bidi w:val="0"/>
              <w:spacing w:before="0" w:beforeAutospacing="0" w:after="0" w:afterAutospacing="0"/>
              <w:ind w:left="0" w:right="0"/>
              <w:rPr>
                <w:rFonts w:hint="default"/>
                <w:highlight w:val="none"/>
              </w:rPr>
            </w:pPr>
            <w:r>
              <w:rPr>
                <w:rFonts w:hint="default"/>
                <w:highlight w:val="none"/>
              </w:rPr>
              <w:t>2.78</w:t>
            </w:r>
          </w:p>
        </w:tc>
        <w:tc>
          <w:tcPr>
            <w:tcW w:w="471" w:type="dxa"/>
            <w:shd w:val="clear" w:color="auto" w:fill="auto"/>
            <w:noWrap/>
            <w:vAlign w:val="center"/>
          </w:tcPr>
          <w:p w14:paraId="1680B8EE">
            <w:pPr>
              <w:pStyle w:val="8"/>
              <w:suppressLineNumbers w:val="0"/>
              <w:bidi w:val="0"/>
              <w:spacing w:before="0" w:beforeAutospacing="0" w:after="0" w:afterAutospacing="0"/>
              <w:ind w:left="0" w:right="0"/>
              <w:rPr>
                <w:rFonts w:hint="default"/>
                <w:highlight w:val="none"/>
              </w:rPr>
            </w:pPr>
            <w:r>
              <w:rPr>
                <w:rFonts w:hint="default"/>
                <w:highlight w:val="none"/>
              </w:rPr>
              <w:t>3.47</w:t>
            </w:r>
          </w:p>
        </w:tc>
        <w:tc>
          <w:tcPr>
            <w:tcW w:w="469" w:type="dxa"/>
            <w:shd w:val="clear" w:color="auto" w:fill="auto"/>
            <w:noWrap/>
            <w:vAlign w:val="center"/>
          </w:tcPr>
          <w:p w14:paraId="3D4B7691">
            <w:pPr>
              <w:pStyle w:val="8"/>
              <w:suppressLineNumbers w:val="0"/>
              <w:bidi w:val="0"/>
              <w:spacing w:before="0" w:beforeAutospacing="0" w:after="0" w:afterAutospacing="0"/>
              <w:ind w:left="0" w:right="0"/>
              <w:rPr>
                <w:rFonts w:hint="default"/>
                <w:highlight w:val="none"/>
              </w:rPr>
            </w:pPr>
            <w:r>
              <w:rPr>
                <w:rFonts w:hint="default"/>
                <w:highlight w:val="none"/>
              </w:rPr>
              <w:t>5.14</w:t>
            </w:r>
          </w:p>
        </w:tc>
        <w:tc>
          <w:tcPr>
            <w:tcW w:w="468" w:type="dxa"/>
            <w:shd w:val="clear" w:color="auto" w:fill="auto"/>
            <w:noWrap/>
            <w:vAlign w:val="center"/>
          </w:tcPr>
          <w:p w14:paraId="574A7DE8">
            <w:pPr>
              <w:pStyle w:val="8"/>
              <w:suppressLineNumbers w:val="0"/>
              <w:bidi w:val="0"/>
              <w:spacing w:before="0" w:beforeAutospacing="0" w:after="0" w:afterAutospacing="0"/>
              <w:ind w:left="0" w:right="0"/>
              <w:rPr>
                <w:rFonts w:hint="default"/>
                <w:highlight w:val="none"/>
              </w:rPr>
            </w:pPr>
            <w:r>
              <w:rPr>
                <w:rFonts w:hint="default"/>
                <w:highlight w:val="none"/>
              </w:rPr>
              <w:t>13.75</w:t>
            </w:r>
          </w:p>
        </w:tc>
        <w:tc>
          <w:tcPr>
            <w:tcW w:w="447" w:type="dxa"/>
            <w:shd w:val="clear" w:color="auto" w:fill="auto"/>
            <w:noWrap/>
            <w:vAlign w:val="center"/>
          </w:tcPr>
          <w:p w14:paraId="5CAA747B">
            <w:pPr>
              <w:pStyle w:val="8"/>
              <w:suppressLineNumbers w:val="0"/>
              <w:bidi w:val="0"/>
              <w:spacing w:before="0" w:beforeAutospacing="0" w:after="0" w:afterAutospacing="0"/>
              <w:ind w:left="0" w:right="0"/>
              <w:rPr>
                <w:rFonts w:hint="default"/>
                <w:highlight w:val="none"/>
              </w:rPr>
            </w:pPr>
            <w:r>
              <w:rPr>
                <w:rFonts w:hint="default"/>
                <w:highlight w:val="none"/>
              </w:rPr>
              <w:t>18.47</w:t>
            </w:r>
          </w:p>
        </w:tc>
        <w:tc>
          <w:tcPr>
            <w:tcW w:w="447" w:type="dxa"/>
            <w:shd w:val="clear" w:color="auto" w:fill="auto"/>
            <w:noWrap/>
            <w:vAlign w:val="center"/>
          </w:tcPr>
          <w:p w14:paraId="7063EE53">
            <w:pPr>
              <w:pStyle w:val="8"/>
              <w:suppressLineNumbers w:val="0"/>
              <w:bidi w:val="0"/>
              <w:spacing w:before="0" w:beforeAutospacing="0" w:after="0" w:afterAutospacing="0"/>
              <w:ind w:left="0" w:right="0"/>
              <w:rPr>
                <w:rFonts w:hint="default"/>
                <w:highlight w:val="none"/>
              </w:rPr>
            </w:pPr>
            <w:r>
              <w:rPr>
                <w:rFonts w:hint="default"/>
                <w:highlight w:val="none"/>
              </w:rPr>
              <w:t>20.28</w:t>
            </w:r>
          </w:p>
        </w:tc>
        <w:tc>
          <w:tcPr>
            <w:tcW w:w="470" w:type="dxa"/>
            <w:shd w:val="clear" w:color="auto" w:fill="auto"/>
            <w:noWrap/>
            <w:vAlign w:val="center"/>
          </w:tcPr>
          <w:p w14:paraId="6CA57817">
            <w:pPr>
              <w:pStyle w:val="8"/>
              <w:suppressLineNumbers w:val="0"/>
              <w:bidi w:val="0"/>
              <w:spacing w:before="0" w:beforeAutospacing="0" w:after="0" w:afterAutospacing="0"/>
              <w:ind w:left="0" w:right="0"/>
              <w:rPr>
                <w:rFonts w:hint="default"/>
                <w:highlight w:val="none"/>
              </w:rPr>
            </w:pPr>
            <w:r>
              <w:rPr>
                <w:rFonts w:hint="default"/>
                <w:highlight w:val="none"/>
              </w:rPr>
              <w:t>4.17</w:t>
            </w:r>
          </w:p>
        </w:tc>
        <w:tc>
          <w:tcPr>
            <w:tcW w:w="470" w:type="dxa"/>
            <w:shd w:val="clear" w:color="auto" w:fill="auto"/>
            <w:noWrap/>
            <w:vAlign w:val="center"/>
          </w:tcPr>
          <w:p w14:paraId="3B57D1EA">
            <w:pPr>
              <w:pStyle w:val="8"/>
              <w:suppressLineNumbers w:val="0"/>
              <w:bidi w:val="0"/>
              <w:spacing w:before="0" w:beforeAutospacing="0" w:after="0" w:afterAutospacing="0"/>
              <w:ind w:left="0" w:right="0"/>
              <w:rPr>
                <w:rFonts w:hint="default"/>
                <w:highlight w:val="none"/>
              </w:rPr>
            </w:pPr>
            <w:r>
              <w:rPr>
                <w:rFonts w:hint="default"/>
                <w:highlight w:val="none"/>
              </w:rPr>
              <w:t>0.56</w:t>
            </w:r>
          </w:p>
        </w:tc>
        <w:tc>
          <w:tcPr>
            <w:tcW w:w="469" w:type="dxa"/>
            <w:shd w:val="clear" w:color="auto" w:fill="auto"/>
            <w:noWrap/>
            <w:vAlign w:val="center"/>
          </w:tcPr>
          <w:p w14:paraId="6C49E2C7">
            <w:pPr>
              <w:pStyle w:val="8"/>
              <w:suppressLineNumbers w:val="0"/>
              <w:bidi w:val="0"/>
              <w:spacing w:before="0" w:beforeAutospacing="0" w:after="0" w:afterAutospacing="0"/>
              <w:ind w:left="0" w:right="0"/>
              <w:rPr>
                <w:rFonts w:hint="default"/>
                <w:highlight w:val="none"/>
              </w:rPr>
            </w:pPr>
            <w:r>
              <w:rPr>
                <w:rFonts w:hint="default"/>
                <w:highlight w:val="none"/>
              </w:rPr>
              <w:t>4.86</w:t>
            </w:r>
          </w:p>
        </w:tc>
        <w:tc>
          <w:tcPr>
            <w:tcW w:w="471" w:type="dxa"/>
            <w:shd w:val="clear" w:color="auto" w:fill="auto"/>
            <w:noWrap/>
            <w:vAlign w:val="center"/>
          </w:tcPr>
          <w:p w14:paraId="5741FA0B">
            <w:pPr>
              <w:pStyle w:val="8"/>
              <w:suppressLineNumbers w:val="0"/>
              <w:bidi w:val="0"/>
              <w:spacing w:before="0" w:beforeAutospacing="0" w:after="0" w:afterAutospacing="0"/>
              <w:ind w:left="0" w:right="0"/>
              <w:rPr>
                <w:rFonts w:hint="default"/>
                <w:highlight w:val="none"/>
              </w:rPr>
            </w:pPr>
            <w:r>
              <w:rPr>
                <w:rFonts w:hint="default"/>
                <w:highlight w:val="none"/>
              </w:rPr>
              <w:t>1.39</w:t>
            </w:r>
          </w:p>
        </w:tc>
      </w:tr>
      <w:tr w14:paraId="255A559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583" w:type="dxa"/>
            <w:shd w:val="clear" w:color="auto" w:fill="auto"/>
            <w:noWrap/>
            <w:vAlign w:val="center"/>
          </w:tcPr>
          <w:p w14:paraId="7B626BA2">
            <w:pPr>
              <w:pStyle w:val="8"/>
              <w:suppressLineNumbers w:val="0"/>
              <w:bidi w:val="0"/>
              <w:spacing w:before="0" w:beforeAutospacing="0" w:after="0" w:afterAutospacing="0"/>
              <w:ind w:left="0" w:right="0"/>
              <w:rPr>
                <w:rFonts w:hint="default"/>
                <w:highlight w:val="none"/>
              </w:rPr>
            </w:pPr>
            <w:r>
              <w:rPr>
                <w:rFonts w:hint="default"/>
                <w:highlight w:val="none"/>
              </w:rPr>
              <w:t>12月</w:t>
            </w:r>
          </w:p>
        </w:tc>
        <w:tc>
          <w:tcPr>
            <w:tcW w:w="469" w:type="dxa"/>
            <w:shd w:val="clear" w:color="auto" w:fill="auto"/>
            <w:noWrap/>
            <w:vAlign w:val="center"/>
          </w:tcPr>
          <w:p w14:paraId="2A2B9BC7">
            <w:pPr>
              <w:pStyle w:val="8"/>
              <w:suppressLineNumbers w:val="0"/>
              <w:bidi w:val="0"/>
              <w:spacing w:before="0" w:beforeAutospacing="0" w:after="0" w:afterAutospacing="0"/>
              <w:ind w:left="0" w:right="0"/>
              <w:rPr>
                <w:rFonts w:hint="default"/>
                <w:highlight w:val="none"/>
              </w:rPr>
            </w:pPr>
            <w:r>
              <w:rPr>
                <w:rFonts w:hint="default"/>
                <w:highlight w:val="none"/>
              </w:rPr>
              <w:t>1.21</w:t>
            </w:r>
          </w:p>
        </w:tc>
        <w:tc>
          <w:tcPr>
            <w:tcW w:w="470" w:type="dxa"/>
            <w:shd w:val="clear" w:color="auto" w:fill="auto"/>
            <w:noWrap/>
            <w:vAlign w:val="center"/>
          </w:tcPr>
          <w:p w14:paraId="54E5211F">
            <w:pPr>
              <w:pStyle w:val="8"/>
              <w:suppressLineNumbers w:val="0"/>
              <w:bidi w:val="0"/>
              <w:spacing w:before="0" w:beforeAutospacing="0" w:after="0" w:afterAutospacing="0"/>
              <w:ind w:left="0" w:right="0"/>
              <w:rPr>
                <w:rFonts w:hint="default"/>
                <w:highlight w:val="none"/>
              </w:rPr>
            </w:pPr>
            <w:r>
              <w:rPr>
                <w:rFonts w:hint="default"/>
                <w:highlight w:val="none"/>
              </w:rPr>
              <w:t>2.69</w:t>
            </w:r>
          </w:p>
        </w:tc>
        <w:tc>
          <w:tcPr>
            <w:tcW w:w="470" w:type="dxa"/>
            <w:shd w:val="clear" w:color="auto" w:fill="auto"/>
            <w:noWrap/>
            <w:vAlign w:val="center"/>
          </w:tcPr>
          <w:p w14:paraId="4F24A44D">
            <w:pPr>
              <w:pStyle w:val="8"/>
              <w:suppressLineNumbers w:val="0"/>
              <w:bidi w:val="0"/>
              <w:spacing w:before="0" w:beforeAutospacing="0" w:after="0" w:afterAutospacing="0"/>
              <w:ind w:left="0" w:right="0"/>
              <w:rPr>
                <w:rFonts w:hint="default"/>
                <w:highlight w:val="none"/>
              </w:rPr>
            </w:pPr>
            <w:r>
              <w:rPr>
                <w:rFonts w:hint="default"/>
                <w:highlight w:val="none"/>
              </w:rPr>
              <w:t>0.94</w:t>
            </w:r>
          </w:p>
        </w:tc>
        <w:tc>
          <w:tcPr>
            <w:tcW w:w="469" w:type="dxa"/>
            <w:shd w:val="clear" w:color="auto" w:fill="auto"/>
            <w:noWrap/>
            <w:vAlign w:val="center"/>
          </w:tcPr>
          <w:p w14:paraId="2CDF8ABA">
            <w:pPr>
              <w:pStyle w:val="8"/>
              <w:suppressLineNumbers w:val="0"/>
              <w:bidi w:val="0"/>
              <w:spacing w:before="0" w:beforeAutospacing="0" w:after="0" w:afterAutospacing="0"/>
              <w:ind w:left="0" w:right="0"/>
              <w:rPr>
                <w:rFonts w:hint="default"/>
                <w:highlight w:val="none"/>
              </w:rPr>
            </w:pPr>
            <w:r>
              <w:rPr>
                <w:rFonts w:hint="default"/>
                <w:highlight w:val="none"/>
              </w:rPr>
              <w:t>1.21</w:t>
            </w:r>
          </w:p>
        </w:tc>
        <w:tc>
          <w:tcPr>
            <w:tcW w:w="469" w:type="dxa"/>
            <w:shd w:val="clear" w:color="auto" w:fill="auto"/>
            <w:noWrap/>
            <w:vAlign w:val="center"/>
          </w:tcPr>
          <w:p w14:paraId="3CA5D747">
            <w:pPr>
              <w:pStyle w:val="8"/>
              <w:suppressLineNumbers w:val="0"/>
              <w:bidi w:val="0"/>
              <w:spacing w:before="0" w:beforeAutospacing="0" w:after="0" w:afterAutospacing="0"/>
              <w:ind w:left="0" w:right="0"/>
              <w:rPr>
                <w:rFonts w:hint="default"/>
                <w:highlight w:val="none"/>
              </w:rPr>
            </w:pPr>
            <w:r>
              <w:rPr>
                <w:rFonts w:hint="default"/>
                <w:highlight w:val="none"/>
              </w:rPr>
              <w:t>1.21</w:t>
            </w:r>
          </w:p>
        </w:tc>
        <w:tc>
          <w:tcPr>
            <w:tcW w:w="470" w:type="dxa"/>
            <w:shd w:val="clear" w:color="auto" w:fill="auto"/>
            <w:noWrap/>
            <w:vAlign w:val="center"/>
          </w:tcPr>
          <w:p w14:paraId="7A2B0D93">
            <w:pPr>
              <w:pStyle w:val="8"/>
              <w:suppressLineNumbers w:val="0"/>
              <w:bidi w:val="0"/>
              <w:spacing w:before="0" w:beforeAutospacing="0" w:after="0" w:afterAutospacing="0"/>
              <w:ind w:left="0" w:right="0"/>
              <w:rPr>
                <w:rFonts w:hint="default"/>
                <w:highlight w:val="none"/>
              </w:rPr>
            </w:pPr>
            <w:r>
              <w:rPr>
                <w:rFonts w:hint="default"/>
                <w:highlight w:val="none"/>
              </w:rPr>
              <w:t>0.67</w:t>
            </w:r>
          </w:p>
        </w:tc>
        <w:tc>
          <w:tcPr>
            <w:tcW w:w="470" w:type="dxa"/>
            <w:shd w:val="clear" w:color="auto" w:fill="auto"/>
            <w:noWrap/>
            <w:vAlign w:val="center"/>
          </w:tcPr>
          <w:p w14:paraId="47F3941D">
            <w:pPr>
              <w:pStyle w:val="8"/>
              <w:suppressLineNumbers w:val="0"/>
              <w:bidi w:val="0"/>
              <w:spacing w:before="0" w:beforeAutospacing="0" w:after="0" w:afterAutospacing="0"/>
              <w:ind w:left="0" w:right="0"/>
              <w:rPr>
                <w:rFonts w:hint="default"/>
                <w:highlight w:val="none"/>
              </w:rPr>
            </w:pPr>
            <w:r>
              <w:rPr>
                <w:rFonts w:hint="default"/>
                <w:highlight w:val="none"/>
              </w:rPr>
              <w:t>0.40</w:t>
            </w:r>
          </w:p>
        </w:tc>
        <w:tc>
          <w:tcPr>
            <w:tcW w:w="470" w:type="dxa"/>
            <w:shd w:val="clear" w:color="auto" w:fill="auto"/>
            <w:noWrap/>
            <w:vAlign w:val="center"/>
          </w:tcPr>
          <w:p w14:paraId="16A944A1">
            <w:pPr>
              <w:pStyle w:val="8"/>
              <w:suppressLineNumbers w:val="0"/>
              <w:bidi w:val="0"/>
              <w:spacing w:before="0" w:beforeAutospacing="0" w:after="0" w:afterAutospacing="0"/>
              <w:ind w:left="0" w:right="0"/>
              <w:rPr>
                <w:rFonts w:hint="default"/>
                <w:highlight w:val="none"/>
              </w:rPr>
            </w:pPr>
            <w:r>
              <w:rPr>
                <w:rFonts w:hint="default"/>
                <w:highlight w:val="none"/>
              </w:rPr>
              <w:t>1.21</w:t>
            </w:r>
          </w:p>
        </w:tc>
        <w:tc>
          <w:tcPr>
            <w:tcW w:w="471" w:type="dxa"/>
            <w:shd w:val="clear" w:color="auto" w:fill="auto"/>
            <w:noWrap/>
            <w:vAlign w:val="center"/>
          </w:tcPr>
          <w:p w14:paraId="068FFF7A">
            <w:pPr>
              <w:pStyle w:val="8"/>
              <w:suppressLineNumbers w:val="0"/>
              <w:bidi w:val="0"/>
              <w:spacing w:before="0" w:beforeAutospacing="0" w:after="0" w:afterAutospacing="0"/>
              <w:ind w:left="0" w:right="0"/>
              <w:rPr>
                <w:rFonts w:hint="default"/>
                <w:highlight w:val="none"/>
              </w:rPr>
            </w:pPr>
            <w:r>
              <w:rPr>
                <w:rFonts w:hint="default"/>
                <w:highlight w:val="none"/>
              </w:rPr>
              <w:t>1.21</w:t>
            </w:r>
          </w:p>
        </w:tc>
        <w:tc>
          <w:tcPr>
            <w:tcW w:w="469" w:type="dxa"/>
            <w:shd w:val="clear" w:color="auto" w:fill="auto"/>
            <w:noWrap/>
            <w:vAlign w:val="center"/>
          </w:tcPr>
          <w:p w14:paraId="766BF079">
            <w:pPr>
              <w:pStyle w:val="8"/>
              <w:suppressLineNumbers w:val="0"/>
              <w:bidi w:val="0"/>
              <w:spacing w:before="0" w:beforeAutospacing="0" w:after="0" w:afterAutospacing="0"/>
              <w:ind w:left="0" w:right="0"/>
              <w:rPr>
                <w:rFonts w:hint="default"/>
                <w:highlight w:val="none"/>
              </w:rPr>
            </w:pPr>
            <w:r>
              <w:rPr>
                <w:rFonts w:hint="default"/>
                <w:highlight w:val="none"/>
              </w:rPr>
              <w:t>6.05</w:t>
            </w:r>
          </w:p>
        </w:tc>
        <w:tc>
          <w:tcPr>
            <w:tcW w:w="468" w:type="dxa"/>
            <w:shd w:val="clear" w:color="auto" w:fill="auto"/>
            <w:noWrap/>
            <w:vAlign w:val="center"/>
          </w:tcPr>
          <w:p w14:paraId="0694E2A0">
            <w:pPr>
              <w:pStyle w:val="8"/>
              <w:suppressLineNumbers w:val="0"/>
              <w:bidi w:val="0"/>
              <w:spacing w:before="0" w:beforeAutospacing="0" w:after="0" w:afterAutospacing="0"/>
              <w:ind w:left="0" w:right="0"/>
              <w:rPr>
                <w:rFonts w:hint="default"/>
                <w:highlight w:val="none"/>
              </w:rPr>
            </w:pPr>
            <w:r>
              <w:rPr>
                <w:rFonts w:hint="default"/>
                <w:highlight w:val="none"/>
              </w:rPr>
              <w:t>16.40</w:t>
            </w:r>
          </w:p>
        </w:tc>
        <w:tc>
          <w:tcPr>
            <w:tcW w:w="447" w:type="dxa"/>
            <w:shd w:val="clear" w:color="auto" w:fill="auto"/>
            <w:noWrap/>
            <w:vAlign w:val="center"/>
          </w:tcPr>
          <w:p w14:paraId="40D536E3">
            <w:pPr>
              <w:pStyle w:val="8"/>
              <w:suppressLineNumbers w:val="0"/>
              <w:bidi w:val="0"/>
              <w:spacing w:before="0" w:beforeAutospacing="0" w:after="0" w:afterAutospacing="0"/>
              <w:ind w:left="0" w:right="0"/>
              <w:rPr>
                <w:rFonts w:hint="default"/>
                <w:highlight w:val="none"/>
              </w:rPr>
            </w:pPr>
            <w:r>
              <w:rPr>
                <w:rFonts w:hint="default"/>
                <w:highlight w:val="none"/>
              </w:rPr>
              <w:t>29.30</w:t>
            </w:r>
          </w:p>
        </w:tc>
        <w:tc>
          <w:tcPr>
            <w:tcW w:w="447" w:type="dxa"/>
            <w:shd w:val="clear" w:color="auto" w:fill="auto"/>
            <w:noWrap/>
            <w:vAlign w:val="center"/>
          </w:tcPr>
          <w:p w14:paraId="7A585E5F">
            <w:pPr>
              <w:pStyle w:val="8"/>
              <w:suppressLineNumbers w:val="0"/>
              <w:bidi w:val="0"/>
              <w:spacing w:before="0" w:beforeAutospacing="0" w:after="0" w:afterAutospacing="0"/>
              <w:ind w:left="0" w:right="0"/>
              <w:rPr>
                <w:rFonts w:hint="default"/>
                <w:highlight w:val="none"/>
              </w:rPr>
            </w:pPr>
            <w:r>
              <w:rPr>
                <w:rFonts w:hint="default"/>
                <w:highlight w:val="none"/>
              </w:rPr>
              <w:t>25.67</w:t>
            </w:r>
          </w:p>
        </w:tc>
        <w:tc>
          <w:tcPr>
            <w:tcW w:w="470" w:type="dxa"/>
            <w:shd w:val="clear" w:color="auto" w:fill="auto"/>
            <w:noWrap/>
            <w:vAlign w:val="center"/>
          </w:tcPr>
          <w:p w14:paraId="1DD9ABD4">
            <w:pPr>
              <w:pStyle w:val="8"/>
              <w:suppressLineNumbers w:val="0"/>
              <w:bidi w:val="0"/>
              <w:spacing w:before="0" w:beforeAutospacing="0" w:after="0" w:afterAutospacing="0"/>
              <w:ind w:left="0" w:right="0"/>
              <w:rPr>
                <w:rFonts w:hint="default"/>
                <w:highlight w:val="none"/>
              </w:rPr>
            </w:pPr>
            <w:r>
              <w:rPr>
                <w:rFonts w:hint="default"/>
                <w:highlight w:val="none"/>
              </w:rPr>
              <w:t>4.57</w:t>
            </w:r>
          </w:p>
        </w:tc>
        <w:tc>
          <w:tcPr>
            <w:tcW w:w="470" w:type="dxa"/>
            <w:shd w:val="clear" w:color="auto" w:fill="auto"/>
            <w:noWrap/>
            <w:vAlign w:val="center"/>
          </w:tcPr>
          <w:p w14:paraId="3CC2DDFB">
            <w:pPr>
              <w:pStyle w:val="8"/>
              <w:suppressLineNumbers w:val="0"/>
              <w:bidi w:val="0"/>
              <w:spacing w:before="0" w:beforeAutospacing="0" w:after="0" w:afterAutospacing="0"/>
              <w:ind w:left="0" w:right="0"/>
              <w:rPr>
                <w:rFonts w:hint="default"/>
                <w:highlight w:val="none"/>
              </w:rPr>
            </w:pPr>
            <w:r>
              <w:rPr>
                <w:rFonts w:hint="default"/>
                <w:highlight w:val="none"/>
              </w:rPr>
              <w:t>2.02</w:t>
            </w:r>
          </w:p>
        </w:tc>
        <w:tc>
          <w:tcPr>
            <w:tcW w:w="469" w:type="dxa"/>
            <w:shd w:val="clear" w:color="auto" w:fill="auto"/>
            <w:noWrap/>
            <w:vAlign w:val="center"/>
          </w:tcPr>
          <w:p w14:paraId="10A8FBD4">
            <w:pPr>
              <w:pStyle w:val="8"/>
              <w:suppressLineNumbers w:val="0"/>
              <w:bidi w:val="0"/>
              <w:spacing w:before="0" w:beforeAutospacing="0" w:after="0" w:afterAutospacing="0"/>
              <w:ind w:left="0" w:right="0"/>
              <w:rPr>
                <w:rFonts w:hint="default"/>
                <w:highlight w:val="none"/>
              </w:rPr>
            </w:pPr>
            <w:r>
              <w:rPr>
                <w:rFonts w:hint="default"/>
                <w:highlight w:val="none"/>
              </w:rPr>
              <w:t>3.63</w:t>
            </w:r>
          </w:p>
        </w:tc>
        <w:tc>
          <w:tcPr>
            <w:tcW w:w="471" w:type="dxa"/>
            <w:shd w:val="clear" w:color="auto" w:fill="auto"/>
            <w:noWrap/>
            <w:vAlign w:val="center"/>
          </w:tcPr>
          <w:p w14:paraId="18CC1323">
            <w:pPr>
              <w:pStyle w:val="8"/>
              <w:suppressLineNumbers w:val="0"/>
              <w:bidi w:val="0"/>
              <w:spacing w:before="0" w:beforeAutospacing="0" w:after="0" w:afterAutospacing="0"/>
              <w:ind w:left="0" w:right="0"/>
              <w:rPr>
                <w:rFonts w:hint="default"/>
                <w:highlight w:val="none"/>
              </w:rPr>
            </w:pPr>
            <w:r>
              <w:rPr>
                <w:rFonts w:hint="default"/>
                <w:highlight w:val="none"/>
              </w:rPr>
              <w:t>1.61</w:t>
            </w:r>
          </w:p>
        </w:tc>
      </w:tr>
    </w:tbl>
    <w:p w14:paraId="001DD157">
      <w:pPr>
        <w:pStyle w:val="7"/>
        <w:bidi w:val="0"/>
        <w:rPr>
          <w:rFonts w:hint="eastAsia"/>
          <w:highlight w:val="none"/>
          <w:lang w:eastAsia="zh-CN"/>
        </w:rPr>
      </w:pPr>
      <w:r>
        <w:rPr>
          <w:highlight w:val="none"/>
        </w:rPr>
        <w:t>表4-1-22022年年均风频的季变化及年均风频</w:t>
      </w:r>
      <w:r>
        <w:rPr>
          <w:rFonts w:hint="eastAsia"/>
          <w:highlight w:val="none"/>
          <w:lang w:eastAsia="zh-CN"/>
        </w:rPr>
        <w:t>（</w:t>
      </w:r>
      <w:r>
        <w:rPr>
          <w:highlight w:val="none"/>
        </w:rPr>
        <w:t>单位：%</w:t>
      </w:r>
      <w:r>
        <w:rPr>
          <w:rFonts w:hint="eastAsia"/>
          <w:highlight w:val="none"/>
          <w:lang w:eastAsia="zh-CN"/>
        </w:rPr>
        <w:t>）</w:t>
      </w:r>
    </w:p>
    <w:tbl>
      <w:tblPr>
        <w:tblStyle w:val="45"/>
        <w:tblW w:w="8522"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763"/>
        <w:gridCol w:w="424"/>
        <w:gridCol w:w="461"/>
        <w:gridCol w:w="425"/>
        <w:gridCol w:w="448"/>
        <w:gridCol w:w="484"/>
        <w:gridCol w:w="428"/>
        <w:gridCol w:w="425"/>
        <w:gridCol w:w="425"/>
        <w:gridCol w:w="425"/>
        <w:gridCol w:w="461"/>
        <w:gridCol w:w="484"/>
        <w:gridCol w:w="508"/>
        <w:gridCol w:w="484"/>
        <w:gridCol w:w="527"/>
        <w:gridCol w:w="425"/>
        <w:gridCol w:w="500"/>
        <w:gridCol w:w="425"/>
      </w:tblGrid>
      <w:tr w14:paraId="77F74E4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62" w:hRule="atLeast"/>
          <w:jc w:val="center"/>
        </w:trPr>
        <w:tc>
          <w:tcPr>
            <w:tcW w:w="410" w:type="dxa"/>
            <w:shd w:val="clear" w:color="auto" w:fill="auto"/>
            <w:noWrap/>
            <w:vAlign w:val="center"/>
          </w:tcPr>
          <w:p w14:paraId="641DCD84">
            <w:pPr>
              <w:pStyle w:val="8"/>
              <w:suppressLineNumbers w:val="0"/>
              <w:bidi w:val="0"/>
              <w:spacing w:before="0" w:beforeAutospacing="0" w:after="0" w:afterAutospacing="0"/>
              <w:ind w:left="0" w:right="0"/>
              <w:rPr>
                <w:rFonts w:hint="default"/>
                <w:highlight w:val="none"/>
              </w:rPr>
            </w:pPr>
            <w:r>
              <w:rPr>
                <w:rFonts w:hint="default"/>
                <w:highlight w:val="none"/>
              </w:rPr>
              <w:t>风向</w:t>
            </w:r>
          </w:p>
          <w:p w14:paraId="3631B178">
            <w:pPr>
              <w:pStyle w:val="8"/>
              <w:suppressLineNumbers w:val="0"/>
              <w:bidi w:val="0"/>
              <w:spacing w:before="0" w:beforeAutospacing="0" w:after="0" w:afterAutospacing="0"/>
              <w:ind w:left="0" w:right="0"/>
              <w:rPr>
                <w:rFonts w:hint="eastAsia" w:eastAsia="宋体"/>
                <w:highlight w:val="none"/>
                <w:lang w:eastAsia="zh-CN"/>
              </w:rPr>
            </w:pPr>
            <w:r>
              <w:rPr>
                <w:rFonts w:hint="default"/>
                <w:highlight w:val="none"/>
              </w:rPr>
              <w:t>风频</w:t>
            </w:r>
            <w:r>
              <w:rPr>
                <w:rFonts w:hint="eastAsia"/>
                <w:highlight w:val="none"/>
                <w:lang w:eastAsia="zh-CN"/>
              </w:rPr>
              <w:t>（</w:t>
            </w:r>
            <w:r>
              <w:rPr>
                <w:rFonts w:hint="default"/>
                <w:highlight w:val="none"/>
              </w:rPr>
              <w:t>%</w:t>
            </w:r>
            <w:r>
              <w:rPr>
                <w:rFonts w:hint="eastAsia"/>
                <w:highlight w:val="none"/>
                <w:lang w:eastAsia="zh-CN"/>
              </w:rPr>
              <w:t>）</w:t>
            </w:r>
          </w:p>
        </w:tc>
        <w:tc>
          <w:tcPr>
            <w:tcW w:w="443" w:type="dxa"/>
            <w:shd w:val="clear" w:color="auto" w:fill="auto"/>
            <w:noWrap/>
            <w:vAlign w:val="center"/>
          </w:tcPr>
          <w:p w14:paraId="45310B5E">
            <w:pPr>
              <w:pStyle w:val="8"/>
              <w:suppressLineNumbers w:val="0"/>
              <w:bidi w:val="0"/>
              <w:spacing w:before="0" w:beforeAutospacing="0" w:after="0" w:afterAutospacing="0"/>
              <w:ind w:left="0" w:right="0"/>
              <w:rPr>
                <w:rFonts w:hint="default"/>
                <w:highlight w:val="none"/>
              </w:rPr>
            </w:pPr>
            <w:r>
              <w:rPr>
                <w:rFonts w:hint="default"/>
                <w:highlight w:val="none"/>
              </w:rPr>
              <w:t>N</w:t>
            </w:r>
          </w:p>
        </w:tc>
        <w:tc>
          <w:tcPr>
            <w:tcW w:w="482" w:type="dxa"/>
            <w:shd w:val="clear" w:color="auto" w:fill="auto"/>
            <w:noWrap/>
            <w:vAlign w:val="center"/>
          </w:tcPr>
          <w:p w14:paraId="3DEAD72B">
            <w:pPr>
              <w:pStyle w:val="8"/>
              <w:suppressLineNumbers w:val="0"/>
              <w:bidi w:val="0"/>
              <w:spacing w:before="0" w:beforeAutospacing="0" w:after="0" w:afterAutospacing="0"/>
              <w:ind w:left="0" w:right="0"/>
              <w:rPr>
                <w:rFonts w:hint="default"/>
                <w:highlight w:val="none"/>
              </w:rPr>
            </w:pPr>
            <w:r>
              <w:rPr>
                <w:rFonts w:hint="default"/>
                <w:highlight w:val="none"/>
              </w:rPr>
              <w:t>NNE</w:t>
            </w:r>
          </w:p>
        </w:tc>
        <w:tc>
          <w:tcPr>
            <w:tcW w:w="443" w:type="dxa"/>
            <w:shd w:val="clear" w:color="auto" w:fill="auto"/>
            <w:noWrap/>
            <w:vAlign w:val="center"/>
          </w:tcPr>
          <w:p w14:paraId="28EC20D0">
            <w:pPr>
              <w:pStyle w:val="8"/>
              <w:suppressLineNumbers w:val="0"/>
              <w:bidi w:val="0"/>
              <w:spacing w:before="0" w:beforeAutospacing="0" w:after="0" w:afterAutospacing="0"/>
              <w:ind w:left="0" w:right="0"/>
              <w:rPr>
                <w:rFonts w:hint="default"/>
                <w:highlight w:val="none"/>
              </w:rPr>
            </w:pPr>
            <w:r>
              <w:rPr>
                <w:rFonts w:hint="default"/>
                <w:highlight w:val="none"/>
              </w:rPr>
              <w:t>NE</w:t>
            </w:r>
          </w:p>
        </w:tc>
        <w:tc>
          <w:tcPr>
            <w:tcW w:w="468" w:type="dxa"/>
            <w:shd w:val="clear" w:color="auto" w:fill="auto"/>
            <w:noWrap/>
            <w:vAlign w:val="center"/>
          </w:tcPr>
          <w:p w14:paraId="2630C22E">
            <w:pPr>
              <w:pStyle w:val="8"/>
              <w:suppressLineNumbers w:val="0"/>
              <w:bidi w:val="0"/>
              <w:spacing w:before="0" w:beforeAutospacing="0" w:after="0" w:afterAutospacing="0"/>
              <w:ind w:left="0" w:right="0"/>
              <w:rPr>
                <w:rFonts w:hint="default"/>
                <w:highlight w:val="none"/>
              </w:rPr>
            </w:pPr>
            <w:r>
              <w:rPr>
                <w:rFonts w:hint="default"/>
                <w:highlight w:val="none"/>
              </w:rPr>
              <w:t>ENE</w:t>
            </w:r>
          </w:p>
        </w:tc>
        <w:tc>
          <w:tcPr>
            <w:tcW w:w="507" w:type="dxa"/>
            <w:shd w:val="clear" w:color="auto" w:fill="auto"/>
            <w:noWrap/>
            <w:vAlign w:val="center"/>
          </w:tcPr>
          <w:p w14:paraId="663ADC76">
            <w:pPr>
              <w:pStyle w:val="8"/>
              <w:suppressLineNumbers w:val="0"/>
              <w:bidi w:val="0"/>
              <w:spacing w:before="0" w:beforeAutospacing="0" w:after="0" w:afterAutospacing="0"/>
              <w:ind w:left="0" w:right="0"/>
              <w:rPr>
                <w:rFonts w:hint="default"/>
                <w:highlight w:val="none"/>
              </w:rPr>
            </w:pPr>
            <w:r>
              <w:rPr>
                <w:rFonts w:hint="default"/>
                <w:highlight w:val="none"/>
              </w:rPr>
              <w:t>E</w:t>
            </w:r>
          </w:p>
        </w:tc>
        <w:tc>
          <w:tcPr>
            <w:tcW w:w="446" w:type="dxa"/>
            <w:shd w:val="clear" w:color="auto" w:fill="auto"/>
            <w:noWrap/>
            <w:vAlign w:val="center"/>
          </w:tcPr>
          <w:p w14:paraId="47550F05">
            <w:pPr>
              <w:pStyle w:val="8"/>
              <w:suppressLineNumbers w:val="0"/>
              <w:bidi w:val="0"/>
              <w:spacing w:before="0" w:beforeAutospacing="0" w:after="0" w:afterAutospacing="0"/>
              <w:ind w:left="0" w:right="0"/>
              <w:rPr>
                <w:rFonts w:hint="default"/>
                <w:highlight w:val="none"/>
              </w:rPr>
            </w:pPr>
            <w:r>
              <w:rPr>
                <w:rFonts w:hint="default"/>
                <w:highlight w:val="none"/>
              </w:rPr>
              <w:t>ESE</w:t>
            </w:r>
          </w:p>
        </w:tc>
        <w:tc>
          <w:tcPr>
            <w:tcW w:w="443" w:type="dxa"/>
            <w:shd w:val="clear" w:color="auto" w:fill="auto"/>
            <w:noWrap/>
            <w:vAlign w:val="center"/>
          </w:tcPr>
          <w:p w14:paraId="222C0662">
            <w:pPr>
              <w:pStyle w:val="8"/>
              <w:suppressLineNumbers w:val="0"/>
              <w:bidi w:val="0"/>
              <w:spacing w:before="0" w:beforeAutospacing="0" w:after="0" w:afterAutospacing="0"/>
              <w:ind w:left="0" w:right="0"/>
              <w:rPr>
                <w:rFonts w:hint="default"/>
                <w:highlight w:val="none"/>
              </w:rPr>
            </w:pPr>
            <w:r>
              <w:rPr>
                <w:rFonts w:hint="default"/>
                <w:highlight w:val="none"/>
              </w:rPr>
              <w:t>SE</w:t>
            </w:r>
          </w:p>
        </w:tc>
        <w:tc>
          <w:tcPr>
            <w:tcW w:w="443" w:type="dxa"/>
            <w:shd w:val="clear" w:color="auto" w:fill="auto"/>
            <w:noWrap/>
            <w:vAlign w:val="center"/>
          </w:tcPr>
          <w:p w14:paraId="1A32ACC4">
            <w:pPr>
              <w:pStyle w:val="8"/>
              <w:suppressLineNumbers w:val="0"/>
              <w:bidi w:val="0"/>
              <w:spacing w:before="0" w:beforeAutospacing="0" w:after="0" w:afterAutospacing="0"/>
              <w:ind w:left="0" w:right="0"/>
              <w:rPr>
                <w:rFonts w:hint="default"/>
                <w:highlight w:val="none"/>
              </w:rPr>
            </w:pPr>
            <w:r>
              <w:rPr>
                <w:rFonts w:hint="default"/>
                <w:highlight w:val="none"/>
              </w:rPr>
              <w:t>SSE</w:t>
            </w:r>
          </w:p>
        </w:tc>
        <w:tc>
          <w:tcPr>
            <w:tcW w:w="443" w:type="dxa"/>
            <w:shd w:val="clear" w:color="auto" w:fill="auto"/>
            <w:noWrap/>
            <w:vAlign w:val="center"/>
          </w:tcPr>
          <w:p w14:paraId="188192D4">
            <w:pPr>
              <w:pStyle w:val="8"/>
              <w:suppressLineNumbers w:val="0"/>
              <w:bidi w:val="0"/>
              <w:spacing w:before="0" w:beforeAutospacing="0" w:after="0" w:afterAutospacing="0"/>
              <w:ind w:left="0" w:right="0"/>
              <w:rPr>
                <w:rFonts w:hint="default"/>
                <w:highlight w:val="none"/>
              </w:rPr>
            </w:pPr>
            <w:r>
              <w:rPr>
                <w:rFonts w:hint="default"/>
                <w:highlight w:val="none"/>
              </w:rPr>
              <w:t>S</w:t>
            </w:r>
          </w:p>
        </w:tc>
        <w:tc>
          <w:tcPr>
            <w:tcW w:w="482" w:type="dxa"/>
            <w:shd w:val="clear" w:color="auto" w:fill="auto"/>
            <w:noWrap/>
            <w:vAlign w:val="center"/>
          </w:tcPr>
          <w:p w14:paraId="2A07BB09">
            <w:pPr>
              <w:pStyle w:val="8"/>
              <w:suppressLineNumbers w:val="0"/>
              <w:bidi w:val="0"/>
              <w:spacing w:before="0" w:beforeAutospacing="0" w:after="0" w:afterAutospacing="0"/>
              <w:ind w:left="0" w:right="0"/>
              <w:rPr>
                <w:rFonts w:hint="default"/>
                <w:highlight w:val="none"/>
              </w:rPr>
            </w:pPr>
            <w:r>
              <w:rPr>
                <w:rFonts w:hint="default"/>
                <w:highlight w:val="none"/>
              </w:rPr>
              <w:t>SSW</w:t>
            </w:r>
          </w:p>
        </w:tc>
        <w:tc>
          <w:tcPr>
            <w:tcW w:w="507" w:type="dxa"/>
            <w:shd w:val="clear" w:color="auto" w:fill="auto"/>
            <w:noWrap/>
            <w:vAlign w:val="center"/>
          </w:tcPr>
          <w:p w14:paraId="408DABAA">
            <w:pPr>
              <w:pStyle w:val="8"/>
              <w:suppressLineNumbers w:val="0"/>
              <w:bidi w:val="0"/>
              <w:spacing w:before="0" w:beforeAutospacing="0" w:after="0" w:afterAutospacing="0"/>
              <w:ind w:left="0" w:right="0"/>
              <w:rPr>
                <w:rFonts w:hint="default"/>
                <w:highlight w:val="none"/>
              </w:rPr>
            </w:pPr>
            <w:r>
              <w:rPr>
                <w:rFonts w:hint="default"/>
                <w:highlight w:val="none"/>
              </w:rPr>
              <w:t>SW</w:t>
            </w:r>
          </w:p>
        </w:tc>
        <w:tc>
          <w:tcPr>
            <w:tcW w:w="533" w:type="dxa"/>
            <w:shd w:val="clear" w:color="auto" w:fill="auto"/>
            <w:noWrap/>
            <w:vAlign w:val="center"/>
          </w:tcPr>
          <w:p w14:paraId="49DD117C">
            <w:pPr>
              <w:pStyle w:val="8"/>
              <w:suppressLineNumbers w:val="0"/>
              <w:bidi w:val="0"/>
              <w:spacing w:before="0" w:beforeAutospacing="0" w:after="0" w:afterAutospacing="0"/>
              <w:ind w:left="0" w:right="0"/>
              <w:rPr>
                <w:rFonts w:hint="default"/>
                <w:highlight w:val="none"/>
              </w:rPr>
            </w:pPr>
            <w:r>
              <w:rPr>
                <w:rFonts w:hint="default"/>
                <w:highlight w:val="none"/>
              </w:rPr>
              <w:t>WSW</w:t>
            </w:r>
          </w:p>
        </w:tc>
        <w:tc>
          <w:tcPr>
            <w:tcW w:w="507" w:type="dxa"/>
            <w:shd w:val="clear" w:color="auto" w:fill="auto"/>
            <w:noWrap/>
            <w:vAlign w:val="center"/>
          </w:tcPr>
          <w:p w14:paraId="3A12F99C">
            <w:pPr>
              <w:pStyle w:val="8"/>
              <w:suppressLineNumbers w:val="0"/>
              <w:bidi w:val="0"/>
              <w:spacing w:before="0" w:beforeAutospacing="0" w:after="0" w:afterAutospacing="0"/>
              <w:ind w:left="0" w:right="0"/>
              <w:rPr>
                <w:rFonts w:hint="default"/>
                <w:highlight w:val="none"/>
              </w:rPr>
            </w:pPr>
            <w:r>
              <w:rPr>
                <w:rFonts w:hint="default"/>
                <w:highlight w:val="none"/>
              </w:rPr>
              <w:t>W</w:t>
            </w:r>
          </w:p>
        </w:tc>
        <w:tc>
          <w:tcPr>
            <w:tcW w:w="554" w:type="dxa"/>
            <w:shd w:val="clear" w:color="auto" w:fill="auto"/>
            <w:noWrap/>
            <w:vAlign w:val="center"/>
          </w:tcPr>
          <w:p w14:paraId="240ED948">
            <w:pPr>
              <w:pStyle w:val="8"/>
              <w:suppressLineNumbers w:val="0"/>
              <w:bidi w:val="0"/>
              <w:spacing w:before="0" w:beforeAutospacing="0" w:after="0" w:afterAutospacing="0"/>
              <w:ind w:left="0" w:right="0"/>
              <w:rPr>
                <w:rFonts w:hint="default"/>
                <w:highlight w:val="none"/>
              </w:rPr>
            </w:pPr>
            <w:r>
              <w:rPr>
                <w:rFonts w:hint="default"/>
                <w:highlight w:val="none"/>
              </w:rPr>
              <w:t>WNW</w:t>
            </w:r>
          </w:p>
        </w:tc>
        <w:tc>
          <w:tcPr>
            <w:tcW w:w="443" w:type="dxa"/>
            <w:shd w:val="clear" w:color="auto" w:fill="auto"/>
            <w:noWrap/>
            <w:vAlign w:val="center"/>
          </w:tcPr>
          <w:p w14:paraId="29A5FC3B">
            <w:pPr>
              <w:pStyle w:val="8"/>
              <w:suppressLineNumbers w:val="0"/>
              <w:bidi w:val="0"/>
              <w:spacing w:before="0" w:beforeAutospacing="0" w:after="0" w:afterAutospacing="0"/>
              <w:ind w:left="0" w:right="0"/>
              <w:rPr>
                <w:rFonts w:hint="default"/>
                <w:highlight w:val="none"/>
              </w:rPr>
            </w:pPr>
            <w:r>
              <w:rPr>
                <w:rFonts w:hint="default"/>
                <w:highlight w:val="none"/>
              </w:rPr>
              <w:t>NW</w:t>
            </w:r>
          </w:p>
        </w:tc>
        <w:tc>
          <w:tcPr>
            <w:tcW w:w="525" w:type="dxa"/>
            <w:shd w:val="clear" w:color="auto" w:fill="auto"/>
            <w:noWrap/>
            <w:vAlign w:val="center"/>
          </w:tcPr>
          <w:p w14:paraId="67CCF6F0">
            <w:pPr>
              <w:pStyle w:val="8"/>
              <w:suppressLineNumbers w:val="0"/>
              <w:bidi w:val="0"/>
              <w:spacing w:before="0" w:beforeAutospacing="0" w:after="0" w:afterAutospacing="0"/>
              <w:ind w:left="0" w:right="0"/>
              <w:rPr>
                <w:rFonts w:hint="default"/>
                <w:highlight w:val="none"/>
              </w:rPr>
            </w:pPr>
            <w:r>
              <w:rPr>
                <w:rFonts w:hint="default"/>
                <w:highlight w:val="none"/>
              </w:rPr>
              <w:t>NNW</w:t>
            </w:r>
          </w:p>
        </w:tc>
        <w:tc>
          <w:tcPr>
            <w:tcW w:w="443" w:type="dxa"/>
            <w:shd w:val="clear" w:color="auto" w:fill="auto"/>
            <w:noWrap/>
            <w:vAlign w:val="center"/>
          </w:tcPr>
          <w:p w14:paraId="09596DE7">
            <w:pPr>
              <w:pStyle w:val="8"/>
              <w:suppressLineNumbers w:val="0"/>
              <w:bidi w:val="0"/>
              <w:spacing w:before="0" w:beforeAutospacing="0" w:after="0" w:afterAutospacing="0"/>
              <w:ind w:left="0" w:right="0"/>
              <w:rPr>
                <w:rFonts w:hint="default"/>
                <w:highlight w:val="none"/>
              </w:rPr>
            </w:pPr>
            <w:r>
              <w:rPr>
                <w:rFonts w:hint="default"/>
                <w:highlight w:val="none"/>
              </w:rPr>
              <w:t>C</w:t>
            </w:r>
          </w:p>
        </w:tc>
      </w:tr>
      <w:tr w14:paraId="2C33729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16" w:hRule="atLeast"/>
          <w:jc w:val="center"/>
        </w:trPr>
        <w:tc>
          <w:tcPr>
            <w:tcW w:w="410" w:type="dxa"/>
            <w:shd w:val="clear" w:color="auto" w:fill="auto"/>
            <w:noWrap/>
            <w:vAlign w:val="center"/>
          </w:tcPr>
          <w:p w14:paraId="544BEDF8">
            <w:pPr>
              <w:pStyle w:val="8"/>
              <w:suppressLineNumbers w:val="0"/>
              <w:bidi w:val="0"/>
              <w:spacing w:before="0" w:beforeAutospacing="0" w:after="0" w:afterAutospacing="0"/>
              <w:ind w:left="0" w:right="0"/>
              <w:rPr>
                <w:rFonts w:hint="default"/>
                <w:highlight w:val="none"/>
              </w:rPr>
            </w:pPr>
            <w:r>
              <w:rPr>
                <w:rFonts w:hint="default"/>
                <w:highlight w:val="none"/>
              </w:rPr>
              <w:t>春季</w:t>
            </w:r>
          </w:p>
        </w:tc>
        <w:tc>
          <w:tcPr>
            <w:tcW w:w="443" w:type="dxa"/>
            <w:shd w:val="clear" w:color="auto" w:fill="auto"/>
            <w:noWrap/>
            <w:vAlign w:val="center"/>
          </w:tcPr>
          <w:p w14:paraId="70235D21">
            <w:pPr>
              <w:pStyle w:val="8"/>
              <w:suppressLineNumbers w:val="0"/>
              <w:bidi w:val="0"/>
              <w:spacing w:before="0" w:beforeAutospacing="0" w:after="0" w:afterAutospacing="0"/>
              <w:ind w:left="0" w:right="0"/>
              <w:rPr>
                <w:rFonts w:hint="default"/>
                <w:highlight w:val="none"/>
              </w:rPr>
            </w:pPr>
            <w:r>
              <w:rPr>
                <w:rFonts w:hint="default"/>
                <w:highlight w:val="none"/>
              </w:rPr>
              <w:t>7.02</w:t>
            </w:r>
          </w:p>
        </w:tc>
        <w:tc>
          <w:tcPr>
            <w:tcW w:w="482" w:type="dxa"/>
            <w:shd w:val="clear" w:color="auto" w:fill="auto"/>
            <w:noWrap/>
            <w:vAlign w:val="center"/>
          </w:tcPr>
          <w:p w14:paraId="06CEAD74">
            <w:pPr>
              <w:pStyle w:val="8"/>
              <w:suppressLineNumbers w:val="0"/>
              <w:bidi w:val="0"/>
              <w:spacing w:before="0" w:beforeAutospacing="0" w:after="0" w:afterAutospacing="0"/>
              <w:ind w:left="0" w:right="0"/>
              <w:rPr>
                <w:rFonts w:hint="default"/>
                <w:highlight w:val="none"/>
              </w:rPr>
            </w:pPr>
            <w:r>
              <w:rPr>
                <w:rFonts w:hint="default"/>
                <w:highlight w:val="none"/>
              </w:rPr>
              <w:t>4.08</w:t>
            </w:r>
          </w:p>
        </w:tc>
        <w:tc>
          <w:tcPr>
            <w:tcW w:w="443" w:type="dxa"/>
            <w:shd w:val="clear" w:color="auto" w:fill="auto"/>
            <w:noWrap/>
            <w:vAlign w:val="center"/>
          </w:tcPr>
          <w:p w14:paraId="4BF47FE2">
            <w:pPr>
              <w:pStyle w:val="8"/>
              <w:suppressLineNumbers w:val="0"/>
              <w:bidi w:val="0"/>
              <w:spacing w:before="0" w:beforeAutospacing="0" w:after="0" w:afterAutospacing="0"/>
              <w:ind w:left="0" w:right="0"/>
              <w:rPr>
                <w:rFonts w:hint="default"/>
                <w:highlight w:val="none"/>
              </w:rPr>
            </w:pPr>
            <w:r>
              <w:rPr>
                <w:rFonts w:hint="default"/>
                <w:highlight w:val="none"/>
              </w:rPr>
              <w:t>3.35</w:t>
            </w:r>
          </w:p>
        </w:tc>
        <w:tc>
          <w:tcPr>
            <w:tcW w:w="468" w:type="dxa"/>
            <w:shd w:val="clear" w:color="auto" w:fill="auto"/>
            <w:noWrap/>
            <w:vAlign w:val="center"/>
          </w:tcPr>
          <w:p w14:paraId="4881A867">
            <w:pPr>
              <w:pStyle w:val="8"/>
              <w:suppressLineNumbers w:val="0"/>
              <w:bidi w:val="0"/>
              <w:spacing w:before="0" w:beforeAutospacing="0" w:after="0" w:afterAutospacing="0"/>
              <w:ind w:left="0" w:right="0"/>
              <w:rPr>
                <w:rFonts w:hint="default"/>
                <w:highlight w:val="none"/>
              </w:rPr>
            </w:pPr>
            <w:r>
              <w:rPr>
                <w:rFonts w:hint="default"/>
                <w:highlight w:val="none"/>
              </w:rPr>
              <w:t>1.77</w:t>
            </w:r>
          </w:p>
        </w:tc>
        <w:tc>
          <w:tcPr>
            <w:tcW w:w="507" w:type="dxa"/>
            <w:shd w:val="clear" w:color="auto" w:fill="auto"/>
            <w:noWrap/>
            <w:vAlign w:val="center"/>
          </w:tcPr>
          <w:p w14:paraId="2F960046">
            <w:pPr>
              <w:pStyle w:val="8"/>
              <w:suppressLineNumbers w:val="0"/>
              <w:bidi w:val="0"/>
              <w:spacing w:before="0" w:beforeAutospacing="0" w:after="0" w:afterAutospacing="0"/>
              <w:ind w:left="0" w:right="0"/>
              <w:rPr>
                <w:rFonts w:hint="default"/>
                <w:highlight w:val="none"/>
              </w:rPr>
            </w:pPr>
            <w:r>
              <w:rPr>
                <w:rFonts w:hint="default"/>
                <w:highlight w:val="none"/>
              </w:rPr>
              <w:t>3.03</w:t>
            </w:r>
          </w:p>
        </w:tc>
        <w:tc>
          <w:tcPr>
            <w:tcW w:w="446" w:type="dxa"/>
            <w:shd w:val="clear" w:color="auto" w:fill="auto"/>
            <w:noWrap/>
            <w:vAlign w:val="center"/>
          </w:tcPr>
          <w:p w14:paraId="692661C6">
            <w:pPr>
              <w:pStyle w:val="8"/>
              <w:suppressLineNumbers w:val="0"/>
              <w:bidi w:val="0"/>
              <w:spacing w:before="0" w:beforeAutospacing="0" w:after="0" w:afterAutospacing="0"/>
              <w:ind w:left="0" w:right="0"/>
              <w:rPr>
                <w:rFonts w:hint="default"/>
                <w:highlight w:val="none"/>
              </w:rPr>
            </w:pPr>
            <w:r>
              <w:rPr>
                <w:rFonts w:hint="default"/>
                <w:highlight w:val="none"/>
              </w:rPr>
              <w:t>2.08</w:t>
            </w:r>
          </w:p>
        </w:tc>
        <w:tc>
          <w:tcPr>
            <w:tcW w:w="443" w:type="dxa"/>
            <w:shd w:val="clear" w:color="auto" w:fill="auto"/>
            <w:noWrap/>
            <w:vAlign w:val="center"/>
          </w:tcPr>
          <w:p w14:paraId="11C86390">
            <w:pPr>
              <w:pStyle w:val="8"/>
              <w:suppressLineNumbers w:val="0"/>
              <w:bidi w:val="0"/>
              <w:spacing w:before="0" w:beforeAutospacing="0" w:after="0" w:afterAutospacing="0"/>
              <w:ind w:left="0" w:right="0"/>
              <w:rPr>
                <w:rFonts w:hint="default"/>
                <w:highlight w:val="none"/>
              </w:rPr>
            </w:pPr>
            <w:r>
              <w:rPr>
                <w:rFonts w:hint="default"/>
                <w:highlight w:val="none"/>
              </w:rPr>
              <w:t>2.49</w:t>
            </w:r>
          </w:p>
        </w:tc>
        <w:tc>
          <w:tcPr>
            <w:tcW w:w="443" w:type="dxa"/>
            <w:shd w:val="clear" w:color="auto" w:fill="auto"/>
            <w:noWrap/>
            <w:vAlign w:val="center"/>
          </w:tcPr>
          <w:p w14:paraId="61C4B758">
            <w:pPr>
              <w:pStyle w:val="8"/>
              <w:suppressLineNumbers w:val="0"/>
              <w:bidi w:val="0"/>
              <w:spacing w:before="0" w:beforeAutospacing="0" w:after="0" w:afterAutospacing="0"/>
              <w:ind w:left="0" w:right="0"/>
              <w:rPr>
                <w:rFonts w:hint="default"/>
                <w:highlight w:val="none"/>
              </w:rPr>
            </w:pPr>
            <w:r>
              <w:rPr>
                <w:rFonts w:hint="default"/>
                <w:highlight w:val="none"/>
              </w:rPr>
              <w:t>3.08</w:t>
            </w:r>
          </w:p>
        </w:tc>
        <w:tc>
          <w:tcPr>
            <w:tcW w:w="443" w:type="dxa"/>
            <w:shd w:val="clear" w:color="auto" w:fill="auto"/>
            <w:noWrap/>
            <w:vAlign w:val="center"/>
          </w:tcPr>
          <w:p w14:paraId="1B452CFD">
            <w:pPr>
              <w:pStyle w:val="8"/>
              <w:suppressLineNumbers w:val="0"/>
              <w:bidi w:val="0"/>
              <w:spacing w:before="0" w:beforeAutospacing="0" w:after="0" w:afterAutospacing="0"/>
              <w:ind w:left="0" w:right="0"/>
              <w:rPr>
                <w:rFonts w:hint="default"/>
                <w:highlight w:val="none"/>
              </w:rPr>
            </w:pPr>
            <w:r>
              <w:rPr>
                <w:rFonts w:hint="default"/>
                <w:highlight w:val="none"/>
              </w:rPr>
              <w:t>4.21</w:t>
            </w:r>
          </w:p>
        </w:tc>
        <w:tc>
          <w:tcPr>
            <w:tcW w:w="482" w:type="dxa"/>
            <w:shd w:val="clear" w:color="auto" w:fill="auto"/>
            <w:noWrap/>
            <w:vAlign w:val="center"/>
          </w:tcPr>
          <w:p w14:paraId="576AEA34">
            <w:pPr>
              <w:pStyle w:val="8"/>
              <w:suppressLineNumbers w:val="0"/>
              <w:bidi w:val="0"/>
              <w:spacing w:before="0" w:beforeAutospacing="0" w:after="0" w:afterAutospacing="0"/>
              <w:ind w:left="0" w:right="0"/>
              <w:rPr>
                <w:rFonts w:hint="default"/>
                <w:highlight w:val="none"/>
              </w:rPr>
            </w:pPr>
            <w:r>
              <w:rPr>
                <w:rFonts w:hint="default"/>
                <w:highlight w:val="none"/>
              </w:rPr>
              <w:t>9.92</w:t>
            </w:r>
          </w:p>
        </w:tc>
        <w:tc>
          <w:tcPr>
            <w:tcW w:w="507" w:type="dxa"/>
            <w:shd w:val="clear" w:color="auto" w:fill="auto"/>
            <w:noWrap/>
            <w:vAlign w:val="center"/>
          </w:tcPr>
          <w:p w14:paraId="670C65AA">
            <w:pPr>
              <w:pStyle w:val="8"/>
              <w:suppressLineNumbers w:val="0"/>
              <w:bidi w:val="0"/>
              <w:spacing w:before="0" w:beforeAutospacing="0" w:after="0" w:afterAutospacing="0"/>
              <w:ind w:left="0" w:right="0"/>
              <w:rPr>
                <w:rFonts w:hint="default"/>
                <w:highlight w:val="none"/>
              </w:rPr>
            </w:pPr>
            <w:r>
              <w:rPr>
                <w:rFonts w:hint="default"/>
                <w:highlight w:val="none"/>
              </w:rPr>
              <w:t>13.18</w:t>
            </w:r>
          </w:p>
        </w:tc>
        <w:tc>
          <w:tcPr>
            <w:tcW w:w="533" w:type="dxa"/>
            <w:shd w:val="clear" w:color="auto" w:fill="auto"/>
            <w:noWrap/>
            <w:vAlign w:val="center"/>
          </w:tcPr>
          <w:p w14:paraId="396CB506">
            <w:pPr>
              <w:pStyle w:val="8"/>
              <w:suppressLineNumbers w:val="0"/>
              <w:bidi w:val="0"/>
              <w:spacing w:before="0" w:beforeAutospacing="0" w:after="0" w:afterAutospacing="0"/>
              <w:ind w:left="0" w:right="0"/>
              <w:rPr>
                <w:rFonts w:hint="default"/>
                <w:highlight w:val="none"/>
              </w:rPr>
            </w:pPr>
            <w:r>
              <w:rPr>
                <w:rFonts w:hint="default"/>
                <w:highlight w:val="none"/>
              </w:rPr>
              <w:t>13.13</w:t>
            </w:r>
          </w:p>
        </w:tc>
        <w:tc>
          <w:tcPr>
            <w:tcW w:w="507" w:type="dxa"/>
            <w:shd w:val="clear" w:color="auto" w:fill="auto"/>
            <w:noWrap/>
            <w:vAlign w:val="center"/>
          </w:tcPr>
          <w:p w14:paraId="3588C06C">
            <w:pPr>
              <w:pStyle w:val="8"/>
              <w:suppressLineNumbers w:val="0"/>
              <w:bidi w:val="0"/>
              <w:spacing w:before="0" w:beforeAutospacing="0" w:after="0" w:afterAutospacing="0"/>
              <w:ind w:left="0" w:right="0"/>
              <w:rPr>
                <w:rFonts w:hint="default"/>
                <w:highlight w:val="none"/>
              </w:rPr>
            </w:pPr>
            <w:r>
              <w:rPr>
                <w:rFonts w:hint="default"/>
                <w:highlight w:val="none"/>
              </w:rPr>
              <w:t>10.87</w:t>
            </w:r>
          </w:p>
        </w:tc>
        <w:tc>
          <w:tcPr>
            <w:tcW w:w="554" w:type="dxa"/>
            <w:shd w:val="clear" w:color="auto" w:fill="auto"/>
            <w:noWrap/>
            <w:vAlign w:val="center"/>
          </w:tcPr>
          <w:p w14:paraId="765CF7CF">
            <w:pPr>
              <w:pStyle w:val="8"/>
              <w:suppressLineNumbers w:val="0"/>
              <w:bidi w:val="0"/>
              <w:spacing w:before="0" w:beforeAutospacing="0" w:after="0" w:afterAutospacing="0"/>
              <w:ind w:left="0" w:right="0"/>
              <w:rPr>
                <w:rFonts w:hint="default"/>
                <w:highlight w:val="none"/>
              </w:rPr>
            </w:pPr>
            <w:r>
              <w:rPr>
                <w:rFonts w:hint="default"/>
                <w:highlight w:val="none"/>
              </w:rPr>
              <w:t>9.56</w:t>
            </w:r>
          </w:p>
        </w:tc>
        <w:tc>
          <w:tcPr>
            <w:tcW w:w="443" w:type="dxa"/>
            <w:shd w:val="clear" w:color="auto" w:fill="auto"/>
            <w:noWrap/>
            <w:vAlign w:val="center"/>
          </w:tcPr>
          <w:p w14:paraId="7241D85C">
            <w:pPr>
              <w:pStyle w:val="8"/>
              <w:suppressLineNumbers w:val="0"/>
              <w:bidi w:val="0"/>
              <w:spacing w:before="0" w:beforeAutospacing="0" w:after="0" w:afterAutospacing="0"/>
              <w:ind w:left="0" w:right="0"/>
              <w:rPr>
                <w:rFonts w:hint="default"/>
                <w:highlight w:val="none"/>
              </w:rPr>
            </w:pPr>
            <w:r>
              <w:rPr>
                <w:rFonts w:hint="default"/>
                <w:highlight w:val="none"/>
              </w:rPr>
              <w:t>2.85</w:t>
            </w:r>
          </w:p>
        </w:tc>
        <w:tc>
          <w:tcPr>
            <w:tcW w:w="525" w:type="dxa"/>
            <w:shd w:val="clear" w:color="auto" w:fill="auto"/>
            <w:noWrap/>
            <w:vAlign w:val="center"/>
          </w:tcPr>
          <w:p w14:paraId="6E2A7581">
            <w:pPr>
              <w:pStyle w:val="8"/>
              <w:suppressLineNumbers w:val="0"/>
              <w:bidi w:val="0"/>
              <w:spacing w:before="0" w:beforeAutospacing="0" w:after="0" w:afterAutospacing="0"/>
              <w:ind w:left="0" w:right="0"/>
              <w:rPr>
                <w:rFonts w:hint="default"/>
                <w:highlight w:val="none"/>
              </w:rPr>
            </w:pPr>
            <w:r>
              <w:rPr>
                <w:rFonts w:hint="default"/>
                <w:highlight w:val="none"/>
              </w:rPr>
              <w:t>5.80</w:t>
            </w:r>
          </w:p>
        </w:tc>
        <w:tc>
          <w:tcPr>
            <w:tcW w:w="443" w:type="dxa"/>
            <w:shd w:val="clear" w:color="auto" w:fill="auto"/>
            <w:noWrap/>
            <w:vAlign w:val="center"/>
          </w:tcPr>
          <w:p w14:paraId="367022E1">
            <w:pPr>
              <w:pStyle w:val="8"/>
              <w:suppressLineNumbers w:val="0"/>
              <w:bidi w:val="0"/>
              <w:spacing w:before="0" w:beforeAutospacing="0" w:after="0" w:afterAutospacing="0"/>
              <w:ind w:left="0" w:right="0"/>
              <w:rPr>
                <w:rFonts w:hint="default"/>
                <w:highlight w:val="none"/>
              </w:rPr>
            </w:pPr>
            <w:r>
              <w:rPr>
                <w:rFonts w:hint="default"/>
                <w:highlight w:val="none"/>
              </w:rPr>
              <w:t>3.58</w:t>
            </w:r>
          </w:p>
        </w:tc>
      </w:tr>
      <w:tr w14:paraId="7BFED5B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6" w:hRule="atLeast"/>
          <w:jc w:val="center"/>
        </w:trPr>
        <w:tc>
          <w:tcPr>
            <w:tcW w:w="410" w:type="dxa"/>
            <w:shd w:val="clear" w:color="auto" w:fill="auto"/>
            <w:noWrap/>
            <w:vAlign w:val="center"/>
          </w:tcPr>
          <w:p w14:paraId="3ABAAD37">
            <w:pPr>
              <w:pStyle w:val="8"/>
              <w:suppressLineNumbers w:val="0"/>
              <w:bidi w:val="0"/>
              <w:spacing w:before="0" w:beforeAutospacing="0" w:after="0" w:afterAutospacing="0"/>
              <w:ind w:left="0" w:right="0"/>
              <w:rPr>
                <w:rFonts w:hint="default"/>
                <w:highlight w:val="none"/>
              </w:rPr>
            </w:pPr>
            <w:r>
              <w:rPr>
                <w:rFonts w:hint="default"/>
                <w:highlight w:val="none"/>
              </w:rPr>
              <w:t>夏季</w:t>
            </w:r>
          </w:p>
        </w:tc>
        <w:tc>
          <w:tcPr>
            <w:tcW w:w="443" w:type="dxa"/>
            <w:shd w:val="clear" w:color="auto" w:fill="auto"/>
            <w:noWrap/>
            <w:vAlign w:val="center"/>
          </w:tcPr>
          <w:p w14:paraId="4181122A">
            <w:pPr>
              <w:pStyle w:val="8"/>
              <w:suppressLineNumbers w:val="0"/>
              <w:bidi w:val="0"/>
              <w:spacing w:before="0" w:beforeAutospacing="0" w:after="0" w:afterAutospacing="0"/>
              <w:ind w:left="0" w:right="0"/>
              <w:rPr>
                <w:rFonts w:hint="default"/>
                <w:highlight w:val="none"/>
              </w:rPr>
            </w:pPr>
            <w:r>
              <w:rPr>
                <w:rFonts w:hint="default"/>
                <w:highlight w:val="none"/>
              </w:rPr>
              <w:t>3.76</w:t>
            </w:r>
          </w:p>
        </w:tc>
        <w:tc>
          <w:tcPr>
            <w:tcW w:w="482" w:type="dxa"/>
            <w:shd w:val="clear" w:color="auto" w:fill="auto"/>
            <w:noWrap/>
            <w:vAlign w:val="center"/>
          </w:tcPr>
          <w:p w14:paraId="6DC13A0A">
            <w:pPr>
              <w:pStyle w:val="8"/>
              <w:suppressLineNumbers w:val="0"/>
              <w:bidi w:val="0"/>
              <w:spacing w:before="0" w:beforeAutospacing="0" w:after="0" w:afterAutospacing="0"/>
              <w:ind w:left="0" w:right="0"/>
              <w:rPr>
                <w:rFonts w:hint="default"/>
                <w:highlight w:val="none"/>
              </w:rPr>
            </w:pPr>
            <w:r>
              <w:rPr>
                <w:rFonts w:hint="default"/>
                <w:highlight w:val="none"/>
              </w:rPr>
              <w:t>3.58</w:t>
            </w:r>
          </w:p>
        </w:tc>
        <w:tc>
          <w:tcPr>
            <w:tcW w:w="443" w:type="dxa"/>
            <w:shd w:val="clear" w:color="auto" w:fill="auto"/>
            <w:noWrap/>
            <w:vAlign w:val="center"/>
          </w:tcPr>
          <w:p w14:paraId="45449387">
            <w:pPr>
              <w:pStyle w:val="8"/>
              <w:suppressLineNumbers w:val="0"/>
              <w:bidi w:val="0"/>
              <w:spacing w:before="0" w:beforeAutospacing="0" w:after="0" w:afterAutospacing="0"/>
              <w:ind w:left="0" w:right="0"/>
              <w:rPr>
                <w:rFonts w:hint="default"/>
                <w:highlight w:val="none"/>
              </w:rPr>
            </w:pPr>
            <w:r>
              <w:rPr>
                <w:rFonts w:hint="default"/>
                <w:highlight w:val="none"/>
              </w:rPr>
              <w:t>3.58</w:t>
            </w:r>
          </w:p>
        </w:tc>
        <w:tc>
          <w:tcPr>
            <w:tcW w:w="468" w:type="dxa"/>
            <w:shd w:val="clear" w:color="auto" w:fill="auto"/>
            <w:noWrap/>
            <w:vAlign w:val="center"/>
          </w:tcPr>
          <w:p w14:paraId="47875A63">
            <w:pPr>
              <w:pStyle w:val="8"/>
              <w:suppressLineNumbers w:val="0"/>
              <w:bidi w:val="0"/>
              <w:spacing w:before="0" w:beforeAutospacing="0" w:after="0" w:afterAutospacing="0"/>
              <w:ind w:left="0" w:right="0"/>
              <w:rPr>
                <w:rFonts w:hint="default"/>
                <w:highlight w:val="none"/>
              </w:rPr>
            </w:pPr>
            <w:r>
              <w:rPr>
                <w:rFonts w:hint="default"/>
                <w:highlight w:val="none"/>
              </w:rPr>
              <w:t>6.61</w:t>
            </w:r>
          </w:p>
        </w:tc>
        <w:tc>
          <w:tcPr>
            <w:tcW w:w="507" w:type="dxa"/>
            <w:shd w:val="clear" w:color="auto" w:fill="auto"/>
            <w:noWrap/>
            <w:vAlign w:val="center"/>
          </w:tcPr>
          <w:p w14:paraId="68FFB99E">
            <w:pPr>
              <w:pStyle w:val="8"/>
              <w:suppressLineNumbers w:val="0"/>
              <w:bidi w:val="0"/>
              <w:spacing w:before="0" w:beforeAutospacing="0" w:after="0" w:afterAutospacing="0"/>
              <w:ind w:left="0" w:right="0"/>
              <w:rPr>
                <w:rFonts w:hint="default"/>
                <w:highlight w:val="none"/>
              </w:rPr>
            </w:pPr>
            <w:r>
              <w:rPr>
                <w:rFonts w:hint="default"/>
                <w:highlight w:val="none"/>
              </w:rPr>
              <w:t>13.13</w:t>
            </w:r>
          </w:p>
        </w:tc>
        <w:tc>
          <w:tcPr>
            <w:tcW w:w="446" w:type="dxa"/>
            <w:shd w:val="clear" w:color="auto" w:fill="auto"/>
            <w:noWrap/>
            <w:vAlign w:val="center"/>
          </w:tcPr>
          <w:p w14:paraId="22E6BB7F">
            <w:pPr>
              <w:pStyle w:val="8"/>
              <w:suppressLineNumbers w:val="0"/>
              <w:bidi w:val="0"/>
              <w:spacing w:before="0" w:beforeAutospacing="0" w:after="0" w:afterAutospacing="0"/>
              <w:ind w:left="0" w:right="0"/>
              <w:rPr>
                <w:rFonts w:hint="default"/>
                <w:highlight w:val="none"/>
              </w:rPr>
            </w:pPr>
            <w:r>
              <w:rPr>
                <w:rFonts w:hint="default"/>
                <w:highlight w:val="none"/>
              </w:rPr>
              <w:t>5.57</w:t>
            </w:r>
          </w:p>
        </w:tc>
        <w:tc>
          <w:tcPr>
            <w:tcW w:w="443" w:type="dxa"/>
            <w:shd w:val="clear" w:color="auto" w:fill="auto"/>
            <w:noWrap/>
            <w:vAlign w:val="center"/>
          </w:tcPr>
          <w:p w14:paraId="27BE352B">
            <w:pPr>
              <w:pStyle w:val="8"/>
              <w:suppressLineNumbers w:val="0"/>
              <w:bidi w:val="0"/>
              <w:spacing w:before="0" w:beforeAutospacing="0" w:after="0" w:afterAutospacing="0"/>
              <w:ind w:left="0" w:right="0"/>
              <w:rPr>
                <w:rFonts w:hint="default"/>
                <w:highlight w:val="none"/>
              </w:rPr>
            </w:pPr>
            <w:r>
              <w:rPr>
                <w:rFonts w:hint="default"/>
                <w:highlight w:val="none"/>
              </w:rPr>
              <w:t>5.80</w:t>
            </w:r>
          </w:p>
        </w:tc>
        <w:tc>
          <w:tcPr>
            <w:tcW w:w="443" w:type="dxa"/>
            <w:shd w:val="clear" w:color="auto" w:fill="auto"/>
            <w:noWrap/>
            <w:vAlign w:val="center"/>
          </w:tcPr>
          <w:p w14:paraId="0B45E030">
            <w:pPr>
              <w:pStyle w:val="8"/>
              <w:suppressLineNumbers w:val="0"/>
              <w:bidi w:val="0"/>
              <w:spacing w:before="0" w:beforeAutospacing="0" w:after="0" w:afterAutospacing="0"/>
              <w:ind w:left="0" w:right="0"/>
              <w:rPr>
                <w:rFonts w:hint="default"/>
                <w:highlight w:val="none"/>
              </w:rPr>
            </w:pPr>
            <w:r>
              <w:rPr>
                <w:rFonts w:hint="default"/>
                <w:highlight w:val="none"/>
              </w:rPr>
              <w:t>4.66</w:t>
            </w:r>
          </w:p>
        </w:tc>
        <w:tc>
          <w:tcPr>
            <w:tcW w:w="443" w:type="dxa"/>
            <w:shd w:val="clear" w:color="auto" w:fill="auto"/>
            <w:noWrap/>
            <w:vAlign w:val="center"/>
          </w:tcPr>
          <w:p w14:paraId="75C23CDD">
            <w:pPr>
              <w:pStyle w:val="8"/>
              <w:suppressLineNumbers w:val="0"/>
              <w:bidi w:val="0"/>
              <w:spacing w:before="0" w:beforeAutospacing="0" w:after="0" w:afterAutospacing="0"/>
              <w:ind w:left="0" w:right="0"/>
              <w:rPr>
                <w:rFonts w:hint="default"/>
                <w:highlight w:val="none"/>
              </w:rPr>
            </w:pPr>
            <w:r>
              <w:rPr>
                <w:rFonts w:hint="default"/>
                <w:highlight w:val="none"/>
              </w:rPr>
              <w:t>6.34</w:t>
            </w:r>
          </w:p>
        </w:tc>
        <w:tc>
          <w:tcPr>
            <w:tcW w:w="482" w:type="dxa"/>
            <w:shd w:val="clear" w:color="auto" w:fill="auto"/>
            <w:noWrap/>
            <w:vAlign w:val="center"/>
          </w:tcPr>
          <w:p w14:paraId="5AFBAB00">
            <w:pPr>
              <w:pStyle w:val="8"/>
              <w:suppressLineNumbers w:val="0"/>
              <w:bidi w:val="0"/>
              <w:spacing w:before="0" w:beforeAutospacing="0" w:after="0" w:afterAutospacing="0"/>
              <w:ind w:left="0" w:right="0"/>
              <w:rPr>
                <w:rFonts w:hint="default"/>
                <w:highlight w:val="none"/>
              </w:rPr>
            </w:pPr>
            <w:r>
              <w:rPr>
                <w:rFonts w:hint="default"/>
                <w:highlight w:val="none"/>
              </w:rPr>
              <w:t>8.47</w:t>
            </w:r>
          </w:p>
        </w:tc>
        <w:tc>
          <w:tcPr>
            <w:tcW w:w="507" w:type="dxa"/>
            <w:shd w:val="clear" w:color="auto" w:fill="auto"/>
            <w:noWrap/>
            <w:vAlign w:val="center"/>
          </w:tcPr>
          <w:p w14:paraId="03CC4662">
            <w:pPr>
              <w:pStyle w:val="8"/>
              <w:suppressLineNumbers w:val="0"/>
              <w:bidi w:val="0"/>
              <w:spacing w:before="0" w:beforeAutospacing="0" w:after="0" w:afterAutospacing="0"/>
              <w:ind w:left="0" w:right="0"/>
              <w:rPr>
                <w:rFonts w:hint="default"/>
                <w:highlight w:val="none"/>
              </w:rPr>
            </w:pPr>
            <w:r>
              <w:rPr>
                <w:rFonts w:hint="default"/>
                <w:highlight w:val="none"/>
              </w:rPr>
              <w:t>10.14</w:t>
            </w:r>
          </w:p>
        </w:tc>
        <w:tc>
          <w:tcPr>
            <w:tcW w:w="533" w:type="dxa"/>
            <w:shd w:val="clear" w:color="auto" w:fill="auto"/>
            <w:noWrap/>
            <w:vAlign w:val="center"/>
          </w:tcPr>
          <w:p w14:paraId="4AEE57CB">
            <w:pPr>
              <w:pStyle w:val="8"/>
              <w:suppressLineNumbers w:val="0"/>
              <w:bidi w:val="0"/>
              <w:spacing w:before="0" w:beforeAutospacing="0" w:after="0" w:afterAutospacing="0"/>
              <w:ind w:left="0" w:right="0"/>
              <w:rPr>
                <w:rFonts w:hint="default"/>
                <w:highlight w:val="none"/>
              </w:rPr>
            </w:pPr>
            <w:r>
              <w:rPr>
                <w:rFonts w:hint="default"/>
                <w:highlight w:val="none"/>
              </w:rPr>
              <w:t>11.73</w:t>
            </w:r>
          </w:p>
        </w:tc>
        <w:tc>
          <w:tcPr>
            <w:tcW w:w="507" w:type="dxa"/>
            <w:shd w:val="clear" w:color="auto" w:fill="auto"/>
            <w:noWrap/>
            <w:vAlign w:val="center"/>
          </w:tcPr>
          <w:p w14:paraId="294721DB">
            <w:pPr>
              <w:pStyle w:val="8"/>
              <w:suppressLineNumbers w:val="0"/>
              <w:bidi w:val="0"/>
              <w:spacing w:before="0" w:beforeAutospacing="0" w:after="0" w:afterAutospacing="0"/>
              <w:ind w:left="0" w:right="0"/>
              <w:rPr>
                <w:rFonts w:hint="default"/>
                <w:highlight w:val="none"/>
              </w:rPr>
            </w:pPr>
            <w:r>
              <w:rPr>
                <w:rFonts w:hint="default"/>
                <w:highlight w:val="none"/>
              </w:rPr>
              <w:t>7.74</w:t>
            </w:r>
          </w:p>
        </w:tc>
        <w:tc>
          <w:tcPr>
            <w:tcW w:w="554" w:type="dxa"/>
            <w:shd w:val="clear" w:color="auto" w:fill="auto"/>
            <w:noWrap/>
            <w:vAlign w:val="center"/>
          </w:tcPr>
          <w:p w14:paraId="3F10E3CD">
            <w:pPr>
              <w:pStyle w:val="8"/>
              <w:suppressLineNumbers w:val="0"/>
              <w:bidi w:val="0"/>
              <w:spacing w:before="0" w:beforeAutospacing="0" w:after="0" w:afterAutospacing="0"/>
              <w:ind w:left="0" w:right="0"/>
              <w:rPr>
                <w:rFonts w:hint="default"/>
                <w:highlight w:val="none"/>
              </w:rPr>
            </w:pPr>
            <w:r>
              <w:rPr>
                <w:rFonts w:hint="default"/>
                <w:highlight w:val="none"/>
              </w:rPr>
              <w:t>2.63</w:t>
            </w:r>
          </w:p>
        </w:tc>
        <w:tc>
          <w:tcPr>
            <w:tcW w:w="443" w:type="dxa"/>
            <w:shd w:val="clear" w:color="auto" w:fill="auto"/>
            <w:noWrap/>
            <w:vAlign w:val="center"/>
          </w:tcPr>
          <w:p w14:paraId="2D0DBDDD">
            <w:pPr>
              <w:pStyle w:val="8"/>
              <w:suppressLineNumbers w:val="0"/>
              <w:bidi w:val="0"/>
              <w:spacing w:before="0" w:beforeAutospacing="0" w:after="0" w:afterAutospacing="0"/>
              <w:ind w:left="0" w:right="0"/>
              <w:rPr>
                <w:rFonts w:hint="default"/>
                <w:highlight w:val="none"/>
              </w:rPr>
            </w:pPr>
            <w:r>
              <w:rPr>
                <w:rFonts w:hint="default"/>
                <w:highlight w:val="none"/>
              </w:rPr>
              <w:t>0.86</w:t>
            </w:r>
          </w:p>
        </w:tc>
        <w:tc>
          <w:tcPr>
            <w:tcW w:w="525" w:type="dxa"/>
            <w:shd w:val="clear" w:color="auto" w:fill="auto"/>
            <w:noWrap/>
            <w:vAlign w:val="center"/>
          </w:tcPr>
          <w:p w14:paraId="530D2DA8">
            <w:pPr>
              <w:pStyle w:val="8"/>
              <w:suppressLineNumbers w:val="0"/>
              <w:bidi w:val="0"/>
              <w:spacing w:before="0" w:beforeAutospacing="0" w:after="0" w:afterAutospacing="0"/>
              <w:ind w:left="0" w:right="0"/>
              <w:rPr>
                <w:rFonts w:hint="default"/>
                <w:highlight w:val="none"/>
              </w:rPr>
            </w:pPr>
            <w:r>
              <w:rPr>
                <w:rFonts w:hint="default"/>
                <w:highlight w:val="none"/>
              </w:rPr>
              <w:t>2.45</w:t>
            </w:r>
          </w:p>
        </w:tc>
        <w:tc>
          <w:tcPr>
            <w:tcW w:w="443" w:type="dxa"/>
            <w:shd w:val="clear" w:color="auto" w:fill="auto"/>
            <w:noWrap/>
            <w:vAlign w:val="center"/>
          </w:tcPr>
          <w:p w14:paraId="5AB55BB6">
            <w:pPr>
              <w:pStyle w:val="8"/>
              <w:suppressLineNumbers w:val="0"/>
              <w:bidi w:val="0"/>
              <w:spacing w:before="0" w:beforeAutospacing="0" w:after="0" w:afterAutospacing="0"/>
              <w:ind w:left="0" w:right="0"/>
              <w:rPr>
                <w:rFonts w:hint="default"/>
                <w:highlight w:val="none"/>
              </w:rPr>
            </w:pPr>
            <w:r>
              <w:rPr>
                <w:rFonts w:hint="default"/>
                <w:highlight w:val="none"/>
              </w:rPr>
              <w:t>2.94</w:t>
            </w:r>
          </w:p>
        </w:tc>
      </w:tr>
      <w:tr w14:paraId="3A018FA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16" w:hRule="atLeast"/>
          <w:jc w:val="center"/>
        </w:trPr>
        <w:tc>
          <w:tcPr>
            <w:tcW w:w="410" w:type="dxa"/>
            <w:shd w:val="clear" w:color="auto" w:fill="auto"/>
            <w:noWrap/>
            <w:vAlign w:val="center"/>
          </w:tcPr>
          <w:p w14:paraId="1829DE37">
            <w:pPr>
              <w:pStyle w:val="8"/>
              <w:suppressLineNumbers w:val="0"/>
              <w:bidi w:val="0"/>
              <w:spacing w:before="0" w:beforeAutospacing="0" w:after="0" w:afterAutospacing="0"/>
              <w:ind w:left="0" w:right="0"/>
              <w:rPr>
                <w:rFonts w:hint="default"/>
                <w:highlight w:val="none"/>
              </w:rPr>
            </w:pPr>
            <w:r>
              <w:rPr>
                <w:rFonts w:hint="default"/>
                <w:highlight w:val="none"/>
              </w:rPr>
              <w:t>秋季</w:t>
            </w:r>
          </w:p>
        </w:tc>
        <w:tc>
          <w:tcPr>
            <w:tcW w:w="443" w:type="dxa"/>
            <w:shd w:val="clear" w:color="auto" w:fill="auto"/>
            <w:noWrap/>
            <w:vAlign w:val="center"/>
          </w:tcPr>
          <w:p w14:paraId="6C173DDE">
            <w:pPr>
              <w:pStyle w:val="8"/>
              <w:suppressLineNumbers w:val="0"/>
              <w:bidi w:val="0"/>
              <w:spacing w:before="0" w:beforeAutospacing="0" w:after="0" w:afterAutospacing="0"/>
              <w:ind w:left="0" w:right="0"/>
              <w:rPr>
                <w:rFonts w:hint="default"/>
                <w:highlight w:val="none"/>
              </w:rPr>
            </w:pPr>
            <w:r>
              <w:rPr>
                <w:rFonts w:hint="default"/>
                <w:highlight w:val="none"/>
              </w:rPr>
              <w:t>6.59</w:t>
            </w:r>
          </w:p>
        </w:tc>
        <w:tc>
          <w:tcPr>
            <w:tcW w:w="482" w:type="dxa"/>
            <w:shd w:val="clear" w:color="auto" w:fill="auto"/>
            <w:noWrap/>
            <w:vAlign w:val="center"/>
          </w:tcPr>
          <w:p w14:paraId="60FC4862">
            <w:pPr>
              <w:pStyle w:val="8"/>
              <w:suppressLineNumbers w:val="0"/>
              <w:bidi w:val="0"/>
              <w:spacing w:before="0" w:beforeAutospacing="0" w:after="0" w:afterAutospacing="0"/>
              <w:ind w:left="0" w:right="0"/>
              <w:rPr>
                <w:rFonts w:hint="default"/>
                <w:highlight w:val="none"/>
              </w:rPr>
            </w:pPr>
            <w:r>
              <w:rPr>
                <w:rFonts w:hint="default"/>
                <w:highlight w:val="none"/>
              </w:rPr>
              <w:t>4.21</w:t>
            </w:r>
          </w:p>
        </w:tc>
        <w:tc>
          <w:tcPr>
            <w:tcW w:w="443" w:type="dxa"/>
            <w:shd w:val="clear" w:color="auto" w:fill="auto"/>
            <w:noWrap/>
            <w:vAlign w:val="center"/>
          </w:tcPr>
          <w:p w14:paraId="5E01FEEF">
            <w:pPr>
              <w:pStyle w:val="8"/>
              <w:suppressLineNumbers w:val="0"/>
              <w:bidi w:val="0"/>
              <w:spacing w:before="0" w:beforeAutospacing="0" w:after="0" w:afterAutospacing="0"/>
              <w:ind w:left="0" w:right="0"/>
              <w:rPr>
                <w:rFonts w:hint="default"/>
                <w:highlight w:val="none"/>
              </w:rPr>
            </w:pPr>
            <w:r>
              <w:rPr>
                <w:rFonts w:hint="default"/>
                <w:highlight w:val="none"/>
              </w:rPr>
              <w:t>2.43</w:t>
            </w:r>
          </w:p>
        </w:tc>
        <w:tc>
          <w:tcPr>
            <w:tcW w:w="468" w:type="dxa"/>
            <w:shd w:val="clear" w:color="auto" w:fill="auto"/>
            <w:noWrap/>
            <w:vAlign w:val="center"/>
          </w:tcPr>
          <w:p w14:paraId="6CAF5BE7">
            <w:pPr>
              <w:pStyle w:val="8"/>
              <w:suppressLineNumbers w:val="0"/>
              <w:bidi w:val="0"/>
              <w:spacing w:before="0" w:beforeAutospacing="0" w:after="0" w:afterAutospacing="0"/>
              <w:ind w:left="0" w:right="0"/>
              <w:rPr>
                <w:rFonts w:hint="default"/>
                <w:highlight w:val="none"/>
              </w:rPr>
            </w:pPr>
            <w:r>
              <w:rPr>
                <w:rFonts w:hint="default"/>
                <w:highlight w:val="none"/>
              </w:rPr>
              <w:t>2.79</w:t>
            </w:r>
          </w:p>
        </w:tc>
        <w:tc>
          <w:tcPr>
            <w:tcW w:w="507" w:type="dxa"/>
            <w:shd w:val="clear" w:color="auto" w:fill="auto"/>
            <w:noWrap/>
            <w:vAlign w:val="center"/>
          </w:tcPr>
          <w:p w14:paraId="235F7949">
            <w:pPr>
              <w:pStyle w:val="8"/>
              <w:suppressLineNumbers w:val="0"/>
              <w:bidi w:val="0"/>
              <w:spacing w:before="0" w:beforeAutospacing="0" w:after="0" w:afterAutospacing="0"/>
              <w:ind w:left="0" w:right="0"/>
              <w:rPr>
                <w:rFonts w:hint="default"/>
                <w:highlight w:val="none"/>
              </w:rPr>
            </w:pPr>
            <w:r>
              <w:rPr>
                <w:rFonts w:hint="default"/>
                <w:highlight w:val="none"/>
              </w:rPr>
              <w:t>4.90</w:t>
            </w:r>
          </w:p>
        </w:tc>
        <w:tc>
          <w:tcPr>
            <w:tcW w:w="446" w:type="dxa"/>
            <w:shd w:val="clear" w:color="auto" w:fill="auto"/>
            <w:noWrap/>
            <w:vAlign w:val="center"/>
          </w:tcPr>
          <w:p w14:paraId="7A2A97EA">
            <w:pPr>
              <w:pStyle w:val="8"/>
              <w:suppressLineNumbers w:val="0"/>
              <w:bidi w:val="0"/>
              <w:spacing w:before="0" w:beforeAutospacing="0" w:after="0" w:afterAutospacing="0"/>
              <w:ind w:left="0" w:right="0"/>
              <w:rPr>
                <w:rFonts w:hint="default"/>
                <w:highlight w:val="none"/>
              </w:rPr>
            </w:pPr>
            <w:r>
              <w:rPr>
                <w:rFonts w:hint="default"/>
                <w:highlight w:val="none"/>
              </w:rPr>
              <w:t>2.93</w:t>
            </w:r>
          </w:p>
        </w:tc>
        <w:tc>
          <w:tcPr>
            <w:tcW w:w="443" w:type="dxa"/>
            <w:shd w:val="clear" w:color="auto" w:fill="auto"/>
            <w:noWrap/>
            <w:vAlign w:val="center"/>
          </w:tcPr>
          <w:p w14:paraId="7DB260B7">
            <w:pPr>
              <w:pStyle w:val="8"/>
              <w:suppressLineNumbers w:val="0"/>
              <w:bidi w:val="0"/>
              <w:spacing w:before="0" w:beforeAutospacing="0" w:after="0" w:afterAutospacing="0"/>
              <w:ind w:left="0" w:right="0"/>
              <w:rPr>
                <w:rFonts w:hint="default"/>
                <w:highlight w:val="none"/>
              </w:rPr>
            </w:pPr>
            <w:r>
              <w:rPr>
                <w:rFonts w:hint="default"/>
                <w:highlight w:val="none"/>
              </w:rPr>
              <w:t>2.38</w:t>
            </w:r>
          </w:p>
        </w:tc>
        <w:tc>
          <w:tcPr>
            <w:tcW w:w="443" w:type="dxa"/>
            <w:shd w:val="clear" w:color="auto" w:fill="auto"/>
            <w:noWrap/>
            <w:vAlign w:val="center"/>
          </w:tcPr>
          <w:p w14:paraId="5DC148EB">
            <w:pPr>
              <w:pStyle w:val="8"/>
              <w:suppressLineNumbers w:val="0"/>
              <w:bidi w:val="0"/>
              <w:spacing w:before="0" w:beforeAutospacing="0" w:after="0" w:afterAutospacing="0"/>
              <w:ind w:left="0" w:right="0"/>
              <w:rPr>
                <w:rFonts w:hint="default"/>
                <w:highlight w:val="none"/>
              </w:rPr>
            </w:pPr>
            <w:r>
              <w:rPr>
                <w:rFonts w:hint="default"/>
                <w:highlight w:val="none"/>
              </w:rPr>
              <w:t>3.34</w:t>
            </w:r>
          </w:p>
        </w:tc>
        <w:tc>
          <w:tcPr>
            <w:tcW w:w="443" w:type="dxa"/>
            <w:shd w:val="clear" w:color="auto" w:fill="auto"/>
            <w:noWrap/>
            <w:vAlign w:val="center"/>
          </w:tcPr>
          <w:p w14:paraId="419D7EF9">
            <w:pPr>
              <w:pStyle w:val="8"/>
              <w:suppressLineNumbers w:val="0"/>
              <w:bidi w:val="0"/>
              <w:spacing w:before="0" w:beforeAutospacing="0" w:after="0" w:afterAutospacing="0"/>
              <w:ind w:left="0" w:right="0"/>
              <w:rPr>
                <w:rFonts w:hint="default"/>
                <w:highlight w:val="none"/>
              </w:rPr>
            </w:pPr>
            <w:r>
              <w:rPr>
                <w:rFonts w:hint="default"/>
                <w:highlight w:val="none"/>
              </w:rPr>
              <w:t>6.41</w:t>
            </w:r>
          </w:p>
        </w:tc>
        <w:tc>
          <w:tcPr>
            <w:tcW w:w="482" w:type="dxa"/>
            <w:shd w:val="clear" w:color="auto" w:fill="auto"/>
            <w:noWrap/>
            <w:vAlign w:val="center"/>
          </w:tcPr>
          <w:p w14:paraId="2EE63762">
            <w:pPr>
              <w:pStyle w:val="8"/>
              <w:suppressLineNumbers w:val="0"/>
              <w:bidi w:val="0"/>
              <w:spacing w:before="0" w:beforeAutospacing="0" w:after="0" w:afterAutospacing="0"/>
              <w:ind w:left="0" w:right="0"/>
              <w:rPr>
                <w:rFonts w:hint="default"/>
                <w:highlight w:val="none"/>
              </w:rPr>
            </w:pPr>
            <w:r>
              <w:rPr>
                <w:rFonts w:hint="default"/>
                <w:highlight w:val="none"/>
              </w:rPr>
              <w:t>9.34</w:t>
            </w:r>
          </w:p>
        </w:tc>
        <w:tc>
          <w:tcPr>
            <w:tcW w:w="507" w:type="dxa"/>
            <w:shd w:val="clear" w:color="auto" w:fill="auto"/>
            <w:noWrap/>
            <w:vAlign w:val="center"/>
          </w:tcPr>
          <w:p w14:paraId="4A251699">
            <w:pPr>
              <w:pStyle w:val="8"/>
              <w:suppressLineNumbers w:val="0"/>
              <w:bidi w:val="0"/>
              <w:spacing w:before="0" w:beforeAutospacing="0" w:after="0" w:afterAutospacing="0"/>
              <w:ind w:left="0" w:right="0"/>
              <w:rPr>
                <w:rFonts w:hint="default"/>
                <w:highlight w:val="none"/>
              </w:rPr>
            </w:pPr>
            <w:r>
              <w:rPr>
                <w:rFonts w:hint="default"/>
                <w:highlight w:val="none"/>
              </w:rPr>
              <w:t>10.03</w:t>
            </w:r>
          </w:p>
        </w:tc>
        <w:tc>
          <w:tcPr>
            <w:tcW w:w="533" w:type="dxa"/>
            <w:shd w:val="clear" w:color="auto" w:fill="auto"/>
            <w:noWrap/>
            <w:vAlign w:val="center"/>
          </w:tcPr>
          <w:p w14:paraId="2E3AC074">
            <w:pPr>
              <w:pStyle w:val="8"/>
              <w:suppressLineNumbers w:val="0"/>
              <w:bidi w:val="0"/>
              <w:spacing w:before="0" w:beforeAutospacing="0" w:after="0" w:afterAutospacing="0"/>
              <w:ind w:left="0" w:right="0"/>
              <w:rPr>
                <w:rFonts w:hint="default"/>
                <w:highlight w:val="none"/>
              </w:rPr>
            </w:pPr>
            <w:r>
              <w:rPr>
                <w:rFonts w:hint="default"/>
                <w:highlight w:val="none"/>
              </w:rPr>
              <w:t>14.42</w:t>
            </w:r>
          </w:p>
        </w:tc>
        <w:tc>
          <w:tcPr>
            <w:tcW w:w="507" w:type="dxa"/>
            <w:shd w:val="clear" w:color="auto" w:fill="auto"/>
            <w:noWrap/>
            <w:vAlign w:val="center"/>
          </w:tcPr>
          <w:p w14:paraId="0E73FCEE">
            <w:pPr>
              <w:pStyle w:val="8"/>
              <w:suppressLineNumbers w:val="0"/>
              <w:bidi w:val="0"/>
              <w:spacing w:before="0" w:beforeAutospacing="0" w:after="0" w:afterAutospacing="0"/>
              <w:ind w:left="0" w:right="0"/>
              <w:rPr>
                <w:rFonts w:hint="default"/>
                <w:highlight w:val="none"/>
              </w:rPr>
            </w:pPr>
            <w:r>
              <w:rPr>
                <w:rFonts w:hint="default"/>
                <w:highlight w:val="none"/>
              </w:rPr>
              <w:t>14.01</w:t>
            </w:r>
          </w:p>
        </w:tc>
        <w:tc>
          <w:tcPr>
            <w:tcW w:w="554" w:type="dxa"/>
            <w:shd w:val="clear" w:color="auto" w:fill="auto"/>
            <w:noWrap/>
            <w:vAlign w:val="center"/>
          </w:tcPr>
          <w:p w14:paraId="6DEE7DEA">
            <w:pPr>
              <w:pStyle w:val="8"/>
              <w:suppressLineNumbers w:val="0"/>
              <w:bidi w:val="0"/>
              <w:spacing w:before="0" w:beforeAutospacing="0" w:after="0" w:afterAutospacing="0"/>
              <w:ind w:left="0" w:right="0"/>
              <w:rPr>
                <w:rFonts w:hint="default"/>
                <w:highlight w:val="none"/>
              </w:rPr>
            </w:pPr>
            <w:r>
              <w:rPr>
                <w:rFonts w:hint="default"/>
                <w:highlight w:val="none"/>
              </w:rPr>
              <w:t>4.95</w:t>
            </w:r>
          </w:p>
        </w:tc>
        <w:tc>
          <w:tcPr>
            <w:tcW w:w="443" w:type="dxa"/>
            <w:shd w:val="clear" w:color="auto" w:fill="auto"/>
            <w:noWrap/>
            <w:vAlign w:val="center"/>
          </w:tcPr>
          <w:p w14:paraId="27927783">
            <w:pPr>
              <w:pStyle w:val="8"/>
              <w:suppressLineNumbers w:val="0"/>
              <w:bidi w:val="0"/>
              <w:spacing w:before="0" w:beforeAutospacing="0" w:after="0" w:afterAutospacing="0"/>
              <w:ind w:left="0" w:right="0"/>
              <w:rPr>
                <w:rFonts w:hint="default"/>
                <w:highlight w:val="none"/>
              </w:rPr>
            </w:pPr>
            <w:r>
              <w:rPr>
                <w:rFonts w:hint="default"/>
                <w:highlight w:val="none"/>
              </w:rPr>
              <w:t>1.65</w:t>
            </w:r>
          </w:p>
        </w:tc>
        <w:tc>
          <w:tcPr>
            <w:tcW w:w="525" w:type="dxa"/>
            <w:shd w:val="clear" w:color="auto" w:fill="auto"/>
            <w:noWrap/>
            <w:vAlign w:val="center"/>
          </w:tcPr>
          <w:p w14:paraId="054BF081">
            <w:pPr>
              <w:pStyle w:val="8"/>
              <w:suppressLineNumbers w:val="0"/>
              <w:bidi w:val="0"/>
              <w:spacing w:before="0" w:beforeAutospacing="0" w:after="0" w:afterAutospacing="0"/>
              <w:ind w:left="0" w:right="0"/>
              <w:rPr>
                <w:rFonts w:hint="default"/>
                <w:highlight w:val="none"/>
              </w:rPr>
            </w:pPr>
            <w:r>
              <w:rPr>
                <w:rFonts w:hint="default"/>
                <w:highlight w:val="none"/>
              </w:rPr>
              <w:t>6.18</w:t>
            </w:r>
          </w:p>
        </w:tc>
        <w:tc>
          <w:tcPr>
            <w:tcW w:w="443" w:type="dxa"/>
            <w:shd w:val="clear" w:color="auto" w:fill="auto"/>
            <w:noWrap/>
            <w:vAlign w:val="center"/>
          </w:tcPr>
          <w:p w14:paraId="3519E5C4">
            <w:pPr>
              <w:pStyle w:val="8"/>
              <w:suppressLineNumbers w:val="0"/>
              <w:bidi w:val="0"/>
              <w:spacing w:before="0" w:beforeAutospacing="0" w:after="0" w:afterAutospacing="0"/>
              <w:ind w:left="0" w:right="0"/>
              <w:rPr>
                <w:rFonts w:hint="default"/>
                <w:highlight w:val="none"/>
              </w:rPr>
            </w:pPr>
            <w:r>
              <w:rPr>
                <w:rFonts w:hint="default"/>
                <w:highlight w:val="none"/>
              </w:rPr>
              <w:t>3.43</w:t>
            </w:r>
          </w:p>
        </w:tc>
      </w:tr>
      <w:tr w14:paraId="28BF507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16" w:hRule="atLeast"/>
          <w:jc w:val="center"/>
        </w:trPr>
        <w:tc>
          <w:tcPr>
            <w:tcW w:w="410" w:type="dxa"/>
            <w:shd w:val="clear" w:color="auto" w:fill="auto"/>
            <w:noWrap/>
            <w:vAlign w:val="center"/>
          </w:tcPr>
          <w:p w14:paraId="5FD3B988">
            <w:pPr>
              <w:pStyle w:val="8"/>
              <w:suppressLineNumbers w:val="0"/>
              <w:bidi w:val="0"/>
              <w:spacing w:before="0" w:beforeAutospacing="0" w:after="0" w:afterAutospacing="0"/>
              <w:ind w:left="0" w:right="0"/>
              <w:rPr>
                <w:rFonts w:hint="default"/>
                <w:highlight w:val="none"/>
              </w:rPr>
            </w:pPr>
            <w:r>
              <w:rPr>
                <w:rFonts w:hint="default"/>
                <w:highlight w:val="none"/>
              </w:rPr>
              <w:t>冬季</w:t>
            </w:r>
          </w:p>
        </w:tc>
        <w:tc>
          <w:tcPr>
            <w:tcW w:w="443" w:type="dxa"/>
            <w:shd w:val="clear" w:color="auto" w:fill="auto"/>
            <w:noWrap/>
            <w:vAlign w:val="center"/>
          </w:tcPr>
          <w:p w14:paraId="557E65A3">
            <w:pPr>
              <w:pStyle w:val="8"/>
              <w:suppressLineNumbers w:val="0"/>
              <w:bidi w:val="0"/>
              <w:spacing w:before="0" w:beforeAutospacing="0" w:after="0" w:afterAutospacing="0"/>
              <w:ind w:left="0" w:right="0"/>
              <w:rPr>
                <w:rFonts w:hint="default"/>
                <w:highlight w:val="none"/>
              </w:rPr>
            </w:pPr>
            <w:r>
              <w:rPr>
                <w:rFonts w:hint="default"/>
                <w:highlight w:val="none"/>
              </w:rPr>
              <w:t>2.73</w:t>
            </w:r>
          </w:p>
        </w:tc>
        <w:tc>
          <w:tcPr>
            <w:tcW w:w="482" w:type="dxa"/>
            <w:shd w:val="clear" w:color="auto" w:fill="auto"/>
            <w:noWrap/>
            <w:vAlign w:val="center"/>
          </w:tcPr>
          <w:p w14:paraId="35FB763A">
            <w:pPr>
              <w:pStyle w:val="8"/>
              <w:suppressLineNumbers w:val="0"/>
              <w:bidi w:val="0"/>
              <w:spacing w:before="0" w:beforeAutospacing="0" w:after="0" w:afterAutospacing="0"/>
              <w:ind w:left="0" w:right="0"/>
              <w:rPr>
                <w:rFonts w:hint="default"/>
                <w:highlight w:val="none"/>
              </w:rPr>
            </w:pPr>
            <w:r>
              <w:rPr>
                <w:rFonts w:hint="default"/>
                <w:highlight w:val="none"/>
              </w:rPr>
              <w:t>2.55</w:t>
            </w:r>
          </w:p>
        </w:tc>
        <w:tc>
          <w:tcPr>
            <w:tcW w:w="443" w:type="dxa"/>
            <w:shd w:val="clear" w:color="auto" w:fill="auto"/>
            <w:noWrap/>
            <w:vAlign w:val="center"/>
          </w:tcPr>
          <w:p w14:paraId="0666CCD1">
            <w:pPr>
              <w:pStyle w:val="8"/>
              <w:suppressLineNumbers w:val="0"/>
              <w:bidi w:val="0"/>
              <w:spacing w:before="0" w:beforeAutospacing="0" w:after="0" w:afterAutospacing="0"/>
              <w:ind w:left="0" w:right="0"/>
              <w:rPr>
                <w:rFonts w:hint="default"/>
                <w:highlight w:val="none"/>
              </w:rPr>
            </w:pPr>
            <w:r>
              <w:rPr>
                <w:rFonts w:hint="default"/>
                <w:highlight w:val="none"/>
              </w:rPr>
              <w:t>1.85</w:t>
            </w:r>
          </w:p>
        </w:tc>
        <w:tc>
          <w:tcPr>
            <w:tcW w:w="468" w:type="dxa"/>
            <w:shd w:val="clear" w:color="auto" w:fill="auto"/>
            <w:noWrap/>
            <w:vAlign w:val="center"/>
          </w:tcPr>
          <w:p w14:paraId="3F0E663E">
            <w:pPr>
              <w:pStyle w:val="8"/>
              <w:suppressLineNumbers w:val="0"/>
              <w:bidi w:val="0"/>
              <w:spacing w:before="0" w:beforeAutospacing="0" w:after="0" w:afterAutospacing="0"/>
              <w:ind w:left="0" w:right="0"/>
              <w:rPr>
                <w:rFonts w:hint="default"/>
                <w:highlight w:val="none"/>
              </w:rPr>
            </w:pPr>
            <w:r>
              <w:rPr>
                <w:rFonts w:hint="default"/>
                <w:highlight w:val="none"/>
              </w:rPr>
              <w:t>1.67</w:t>
            </w:r>
          </w:p>
        </w:tc>
        <w:tc>
          <w:tcPr>
            <w:tcW w:w="507" w:type="dxa"/>
            <w:shd w:val="clear" w:color="auto" w:fill="auto"/>
            <w:noWrap/>
            <w:vAlign w:val="center"/>
          </w:tcPr>
          <w:p w14:paraId="58ED03A4">
            <w:pPr>
              <w:pStyle w:val="8"/>
              <w:suppressLineNumbers w:val="0"/>
              <w:bidi w:val="0"/>
              <w:spacing w:before="0" w:beforeAutospacing="0" w:after="0" w:afterAutospacing="0"/>
              <w:ind w:left="0" w:right="0"/>
              <w:rPr>
                <w:rFonts w:hint="default"/>
                <w:highlight w:val="none"/>
              </w:rPr>
            </w:pPr>
            <w:r>
              <w:rPr>
                <w:rFonts w:hint="default"/>
                <w:highlight w:val="none"/>
              </w:rPr>
              <w:t>3.43</w:t>
            </w:r>
          </w:p>
        </w:tc>
        <w:tc>
          <w:tcPr>
            <w:tcW w:w="446" w:type="dxa"/>
            <w:shd w:val="clear" w:color="auto" w:fill="auto"/>
            <w:noWrap/>
            <w:vAlign w:val="center"/>
          </w:tcPr>
          <w:p w14:paraId="5C616050">
            <w:pPr>
              <w:pStyle w:val="8"/>
              <w:suppressLineNumbers w:val="0"/>
              <w:bidi w:val="0"/>
              <w:spacing w:before="0" w:beforeAutospacing="0" w:after="0" w:afterAutospacing="0"/>
              <w:ind w:left="0" w:right="0"/>
              <w:rPr>
                <w:rFonts w:hint="default"/>
                <w:highlight w:val="none"/>
              </w:rPr>
            </w:pPr>
            <w:r>
              <w:rPr>
                <w:rFonts w:hint="default"/>
                <w:highlight w:val="none"/>
              </w:rPr>
              <w:t>1.53</w:t>
            </w:r>
          </w:p>
        </w:tc>
        <w:tc>
          <w:tcPr>
            <w:tcW w:w="443" w:type="dxa"/>
            <w:shd w:val="clear" w:color="auto" w:fill="auto"/>
            <w:noWrap/>
            <w:vAlign w:val="center"/>
          </w:tcPr>
          <w:p w14:paraId="68CAF9AA">
            <w:pPr>
              <w:pStyle w:val="8"/>
              <w:suppressLineNumbers w:val="0"/>
              <w:bidi w:val="0"/>
              <w:spacing w:before="0" w:beforeAutospacing="0" w:after="0" w:afterAutospacing="0"/>
              <w:ind w:left="0" w:right="0"/>
              <w:rPr>
                <w:rFonts w:hint="default"/>
                <w:highlight w:val="none"/>
              </w:rPr>
            </w:pPr>
            <w:r>
              <w:rPr>
                <w:rFonts w:hint="default"/>
                <w:highlight w:val="none"/>
              </w:rPr>
              <w:t>0.88</w:t>
            </w:r>
          </w:p>
        </w:tc>
        <w:tc>
          <w:tcPr>
            <w:tcW w:w="443" w:type="dxa"/>
            <w:shd w:val="clear" w:color="auto" w:fill="auto"/>
            <w:noWrap/>
            <w:vAlign w:val="center"/>
          </w:tcPr>
          <w:p w14:paraId="7794780E">
            <w:pPr>
              <w:pStyle w:val="8"/>
              <w:suppressLineNumbers w:val="0"/>
              <w:bidi w:val="0"/>
              <w:spacing w:before="0" w:beforeAutospacing="0" w:after="0" w:afterAutospacing="0"/>
              <w:ind w:left="0" w:right="0"/>
              <w:rPr>
                <w:rFonts w:hint="default"/>
                <w:highlight w:val="none"/>
              </w:rPr>
            </w:pPr>
            <w:r>
              <w:rPr>
                <w:rFonts w:hint="default"/>
                <w:highlight w:val="none"/>
              </w:rPr>
              <w:t>1.11</w:t>
            </w:r>
          </w:p>
        </w:tc>
        <w:tc>
          <w:tcPr>
            <w:tcW w:w="443" w:type="dxa"/>
            <w:shd w:val="clear" w:color="auto" w:fill="auto"/>
            <w:noWrap/>
            <w:vAlign w:val="center"/>
          </w:tcPr>
          <w:p w14:paraId="4CC95043">
            <w:pPr>
              <w:pStyle w:val="8"/>
              <w:suppressLineNumbers w:val="0"/>
              <w:bidi w:val="0"/>
              <w:spacing w:before="0" w:beforeAutospacing="0" w:after="0" w:afterAutospacing="0"/>
              <w:ind w:left="0" w:right="0"/>
              <w:rPr>
                <w:rFonts w:hint="default"/>
                <w:highlight w:val="none"/>
              </w:rPr>
            </w:pPr>
            <w:r>
              <w:rPr>
                <w:rFonts w:hint="default"/>
                <w:highlight w:val="none"/>
              </w:rPr>
              <w:t>1.25</w:t>
            </w:r>
          </w:p>
        </w:tc>
        <w:tc>
          <w:tcPr>
            <w:tcW w:w="482" w:type="dxa"/>
            <w:shd w:val="clear" w:color="auto" w:fill="auto"/>
            <w:noWrap/>
            <w:vAlign w:val="center"/>
          </w:tcPr>
          <w:p w14:paraId="36D6C099">
            <w:pPr>
              <w:pStyle w:val="8"/>
              <w:suppressLineNumbers w:val="0"/>
              <w:bidi w:val="0"/>
              <w:spacing w:before="0" w:beforeAutospacing="0" w:after="0" w:afterAutospacing="0"/>
              <w:ind w:left="0" w:right="0"/>
              <w:rPr>
                <w:rFonts w:hint="default"/>
                <w:highlight w:val="none"/>
              </w:rPr>
            </w:pPr>
            <w:r>
              <w:rPr>
                <w:rFonts w:hint="default"/>
                <w:highlight w:val="none"/>
              </w:rPr>
              <w:t>3.15</w:t>
            </w:r>
          </w:p>
        </w:tc>
        <w:tc>
          <w:tcPr>
            <w:tcW w:w="507" w:type="dxa"/>
            <w:shd w:val="clear" w:color="auto" w:fill="auto"/>
            <w:noWrap/>
            <w:vAlign w:val="center"/>
          </w:tcPr>
          <w:p w14:paraId="5B1DEEC2">
            <w:pPr>
              <w:pStyle w:val="8"/>
              <w:suppressLineNumbers w:val="0"/>
              <w:bidi w:val="0"/>
              <w:spacing w:before="0" w:beforeAutospacing="0" w:after="0" w:afterAutospacing="0"/>
              <w:ind w:left="0" w:right="0"/>
              <w:rPr>
                <w:rFonts w:hint="default"/>
                <w:highlight w:val="none"/>
              </w:rPr>
            </w:pPr>
            <w:r>
              <w:rPr>
                <w:rFonts w:hint="default"/>
                <w:highlight w:val="none"/>
              </w:rPr>
              <w:t>12.18</w:t>
            </w:r>
          </w:p>
        </w:tc>
        <w:tc>
          <w:tcPr>
            <w:tcW w:w="533" w:type="dxa"/>
            <w:shd w:val="clear" w:color="auto" w:fill="auto"/>
            <w:noWrap/>
            <w:vAlign w:val="center"/>
          </w:tcPr>
          <w:p w14:paraId="30AAD3FD">
            <w:pPr>
              <w:pStyle w:val="8"/>
              <w:suppressLineNumbers w:val="0"/>
              <w:bidi w:val="0"/>
              <w:spacing w:before="0" w:beforeAutospacing="0" w:after="0" w:afterAutospacing="0"/>
              <w:ind w:left="0" w:right="0"/>
              <w:rPr>
                <w:rFonts w:hint="default"/>
                <w:highlight w:val="none"/>
              </w:rPr>
            </w:pPr>
            <w:r>
              <w:rPr>
                <w:rFonts w:hint="default"/>
                <w:highlight w:val="none"/>
              </w:rPr>
              <w:t>28.56</w:t>
            </w:r>
          </w:p>
        </w:tc>
        <w:tc>
          <w:tcPr>
            <w:tcW w:w="507" w:type="dxa"/>
            <w:shd w:val="clear" w:color="auto" w:fill="auto"/>
            <w:noWrap/>
            <w:vAlign w:val="center"/>
          </w:tcPr>
          <w:p w14:paraId="7360AC89">
            <w:pPr>
              <w:pStyle w:val="8"/>
              <w:suppressLineNumbers w:val="0"/>
              <w:bidi w:val="0"/>
              <w:spacing w:before="0" w:beforeAutospacing="0" w:after="0" w:afterAutospacing="0"/>
              <w:ind w:left="0" w:right="0"/>
              <w:rPr>
                <w:rFonts w:hint="default"/>
                <w:highlight w:val="none"/>
              </w:rPr>
            </w:pPr>
            <w:r>
              <w:rPr>
                <w:rFonts w:hint="default"/>
                <w:highlight w:val="none"/>
              </w:rPr>
              <w:t>24.58</w:t>
            </w:r>
          </w:p>
        </w:tc>
        <w:tc>
          <w:tcPr>
            <w:tcW w:w="554" w:type="dxa"/>
            <w:shd w:val="clear" w:color="auto" w:fill="auto"/>
            <w:noWrap/>
            <w:vAlign w:val="center"/>
          </w:tcPr>
          <w:p w14:paraId="08DC96A5">
            <w:pPr>
              <w:pStyle w:val="8"/>
              <w:suppressLineNumbers w:val="0"/>
              <w:bidi w:val="0"/>
              <w:spacing w:before="0" w:beforeAutospacing="0" w:after="0" w:afterAutospacing="0"/>
              <w:ind w:left="0" w:right="0"/>
              <w:rPr>
                <w:rFonts w:hint="default"/>
                <w:highlight w:val="none"/>
              </w:rPr>
            </w:pPr>
            <w:r>
              <w:rPr>
                <w:rFonts w:hint="default"/>
                <w:highlight w:val="none"/>
              </w:rPr>
              <w:t>4.95</w:t>
            </w:r>
          </w:p>
        </w:tc>
        <w:tc>
          <w:tcPr>
            <w:tcW w:w="443" w:type="dxa"/>
            <w:shd w:val="clear" w:color="auto" w:fill="auto"/>
            <w:noWrap/>
            <w:vAlign w:val="center"/>
          </w:tcPr>
          <w:p w14:paraId="2CE49066">
            <w:pPr>
              <w:pStyle w:val="8"/>
              <w:suppressLineNumbers w:val="0"/>
              <w:bidi w:val="0"/>
              <w:spacing w:before="0" w:beforeAutospacing="0" w:after="0" w:afterAutospacing="0"/>
              <w:ind w:left="0" w:right="0"/>
              <w:rPr>
                <w:rFonts w:hint="default"/>
                <w:highlight w:val="none"/>
              </w:rPr>
            </w:pPr>
            <w:r>
              <w:rPr>
                <w:rFonts w:hint="default"/>
                <w:highlight w:val="none"/>
              </w:rPr>
              <w:t>2.96</w:t>
            </w:r>
          </w:p>
        </w:tc>
        <w:tc>
          <w:tcPr>
            <w:tcW w:w="525" w:type="dxa"/>
            <w:shd w:val="clear" w:color="auto" w:fill="auto"/>
            <w:noWrap/>
            <w:vAlign w:val="center"/>
          </w:tcPr>
          <w:p w14:paraId="1DC80629">
            <w:pPr>
              <w:pStyle w:val="8"/>
              <w:suppressLineNumbers w:val="0"/>
              <w:bidi w:val="0"/>
              <w:spacing w:before="0" w:beforeAutospacing="0" w:after="0" w:afterAutospacing="0"/>
              <w:ind w:left="0" w:right="0"/>
              <w:rPr>
                <w:rFonts w:hint="default"/>
                <w:highlight w:val="none"/>
              </w:rPr>
            </w:pPr>
            <w:r>
              <w:rPr>
                <w:rFonts w:hint="default"/>
                <w:highlight w:val="none"/>
              </w:rPr>
              <w:t>4.26</w:t>
            </w:r>
          </w:p>
        </w:tc>
        <w:tc>
          <w:tcPr>
            <w:tcW w:w="443" w:type="dxa"/>
            <w:shd w:val="clear" w:color="auto" w:fill="auto"/>
            <w:noWrap/>
            <w:vAlign w:val="center"/>
          </w:tcPr>
          <w:p w14:paraId="18A932CD">
            <w:pPr>
              <w:pStyle w:val="8"/>
              <w:suppressLineNumbers w:val="0"/>
              <w:bidi w:val="0"/>
              <w:spacing w:before="0" w:beforeAutospacing="0" w:after="0" w:afterAutospacing="0"/>
              <w:ind w:left="0" w:right="0"/>
              <w:rPr>
                <w:rFonts w:hint="default"/>
                <w:highlight w:val="none"/>
              </w:rPr>
            </w:pPr>
            <w:r>
              <w:rPr>
                <w:rFonts w:hint="default"/>
                <w:highlight w:val="none"/>
              </w:rPr>
              <w:t>2.36</w:t>
            </w:r>
          </w:p>
        </w:tc>
      </w:tr>
      <w:tr w14:paraId="2AC0585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16" w:hRule="atLeast"/>
          <w:jc w:val="center"/>
        </w:trPr>
        <w:tc>
          <w:tcPr>
            <w:tcW w:w="410" w:type="dxa"/>
            <w:shd w:val="clear" w:color="auto" w:fill="auto"/>
            <w:noWrap/>
            <w:vAlign w:val="center"/>
          </w:tcPr>
          <w:p w14:paraId="1116AC98">
            <w:pPr>
              <w:pStyle w:val="8"/>
              <w:suppressLineNumbers w:val="0"/>
              <w:bidi w:val="0"/>
              <w:spacing w:before="0" w:beforeAutospacing="0" w:after="0" w:afterAutospacing="0"/>
              <w:ind w:left="0" w:right="0"/>
              <w:rPr>
                <w:rFonts w:hint="default"/>
                <w:highlight w:val="none"/>
              </w:rPr>
            </w:pPr>
            <w:r>
              <w:rPr>
                <w:rFonts w:hint="default"/>
                <w:highlight w:val="none"/>
              </w:rPr>
              <w:t>全年</w:t>
            </w:r>
          </w:p>
        </w:tc>
        <w:tc>
          <w:tcPr>
            <w:tcW w:w="443" w:type="dxa"/>
            <w:shd w:val="clear" w:color="auto" w:fill="auto"/>
            <w:noWrap/>
            <w:vAlign w:val="center"/>
          </w:tcPr>
          <w:p w14:paraId="4E283FCE">
            <w:pPr>
              <w:pStyle w:val="8"/>
              <w:suppressLineNumbers w:val="0"/>
              <w:bidi w:val="0"/>
              <w:spacing w:before="0" w:beforeAutospacing="0" w:after="0" w:afterAutospacing="0"/>
              <w:ind w:left="0" w:right="0"/>
              <w:rPr>
                <w:rFonts w:hint="default"/>
                <w:highlight w:val="none"/>
              </w:rPr>
            </w:pPr>
            <w:r>
              <w:rPr>
                <w:rFonts w:hint="default"/>
                <w:highlight w:val="none"/>
              </w:rPr>
              <w:t>5.03</w:t>
            </w:r>
          </w:p>
        </w:tc>
        <w:tc>
          <w:tcPr>
            <w:tcW w:w="482" w:type="dxa"/>
            <w:shd w:val="clear" w:color="auto" w:fill="auto"/>
            <w:noWrap/>
            <w:vAlign w:val="center"/>
          </w:tcPr>
          <w:p w14:paraId="1EC38873">
            <w:pPr>
              <w:pStyle w:val="8"/>
              <w:suppressLineNumbers w:val="0"/>
              <w:bidi w:val="0"/>
              <w:spacing w:before="0" w:beforeAutospacing="0" w:after="0" w:afterAutospacing="0"/>
              <w:ind w:left="0" w:right="0"/>
              <w:rPr>
                <w:rFonts w:hint="default"/>
                <w:highlight w:val="none"/>
              </w:rPr>
            </w:pPr>
            <w:r>
              <w:rPr>
                <w:rFonts w:hint="default"/>
                <w:highlight w:val="none"/>
              </w:rPr>
              <w:t>3.61</w:t>
            </w:r>
          </w:p>
        </w:tc>
        <w:tc>
          <w:tcPr>
            <w:tcW w:w="443" w:type="dxa"/>
            <w:shd w:val="clear" w:color="auto" w:fill="auto"/>
            <w:noWrap/>
            <w:vAlign w:val="center"/>
          </w:tcPr>
          <w:p w14:paraId="4CF10354">
            <w:pPr>
              <w:pStyle w:val="8"/>
              <w:suppressLineNumbers w:val="0"/>
              <w:bidi w:val="0"/>
              <w:spacing w:before="0" w:beforeAutospacing="0" w:after="0" w:afterAutospacing="0"/>
              <w:ind w:left="0" w:right="0"/>
              <w:rPr>
                <w:rFonts w:hint="default"/>
                <w:highlight w:val="none"/>
              </w:rPr>
            </w:pPr>
            <w:r>
              <w:rPr>
                <w:rFonts w:hint="default"/>
                <w:highlight w:val="none"/>
              </w:rPr>
              <w:t>2.81</w:t>
            </w:r>
          </w:p>
        </w:tc>
        <w:tc>
          <w:tcPr>
            <w:tcW w:w="468" w:type="dxa"/>
            <w:shd w:val="clear" w:color="auto" w:fill="auto"/>
            <w:noWrap/>
            <w:vAlign w:val="center"/>
          </w:tcPr>
          <w:p w14:paraId="10E262B0">
            <w:pPr>
              <w:pStyle w:val="8"/>
              <w:suppressLineNumbers w:val="0"/>
              <w:bidi w:val="0"/>
              <w:spacing w:before="0" w:beforeAutospacing="0" w:after="0" w:afterAutospacing="0"/>
              <w:ind w:left="0" w:right="0"/>
              <w:rPr>
                <w:rFonts w:hint="default"/>
                <w:highlight w:val="none"/>
              </w:rPr>
            </w:pPr>
            <w:r>
              <w:rPr>
                <w:rFonts w:hint="default"/>
                <w:highlight w:val="none"/>
              </w:rPr>
              <w:t>3.22</w:t>
            </w:r>
          </w:p>
        </w:tc>
        <w:tc>
          <w:tcPr>
            <w:tcW w:w="507" w:type="dxa"/>
            <w:shd w:val="clear" w:color="auto" w:fill="auto"/>
            <w:noWrap/>
            <w:vAlign w:val="center"/>
          </w:tcPr>
          <w:p w14:paraId="78710DCE">
            <w:pPr>
              <w:pStyle w:val="8"/>
              <w:suppressLineNumbers w:val="0"/>
              <w:bidi w:val="0"/>
              <w:spacing w:before="0" w:beforeAutospacing="0" w:after="0" w:afterAutospacing="0"/>
              <w:ind w:left="0" w:right="0"/>
              <w:rPr>
                <w:rFonts w:hint="default"/>
                <w:highlight w:val="none"/>
              </w:rPr>
            </w:pPr>
            <w:r>
              <w:rPr>
                <w:rFonts w:hint="default"/>
                <w:highlight w:val="none"/>
              </w:rPr>
              <w:t>6.14</w:t>
            </w:r>
          </w:p>
        </w:tc>
        <w:tc>
          <w:tcPr>
            <w:tcW w:w="446" w:type="dxa"/>
            <w:shd w:val="clear" w:color="auto" w:fill="auto"/>
            <w:noWrap/>
            <w:vAlign w:val="center"/>
          </w:tcPr>
          <w:p w14:paraId="75CFA148">
            <w:pPr>
              <w:pStyle w:val="8"/>
              <w:suppressLineNumbers w:val="0"/>
              <w:bidi w:val="0"/>
              <w:spacing w:before="0" w:beforeAutospacing="0" w:after="0" w:afterAutospacing="0"/>
              <w:ind w:left="0" w:right="0"/>
              <w:rPr>
                <w:rFonts w:hint="default"/>
                <w:highlight w:val="none"/>
              </w:rPr>
            </w:pPr>
            <w:r>
              <w:rPr>
                <w:rFonts w:hint="default"/>
                <w:highlight w:val="none"/>
              </w:rPr>
              <w:t>3.04</w:t>
            </w:r>
          </w:p>
        </w:tc>
        <w:tc>
          <w:tcPr>
            <w:tcW w:w="443" w:type="dxa"/>
            <w:shd w:val="clear" w:color="auto" w:fill="auto"/>
            <w:noWrap/>
            <w:vAlign w:val="center"/>
          </w:tcPr>
          <w:p w14:paraId="1226CC8C">
            <w:pPr>
              <w:pStyle w:val="8"/>
              <w:suppressLineNumbers w:val="0"/>
              <w:bidi w:val="0"/>
              <w:spacing w:before="0" w:beforeAutospacing="0" w:after="0" w:afterAutospacing="0"/>
              <w:ind w:left="0" w:right="0"/>
              <w:rPr>
                <w:rFonts w:hint="default"/>
                <w:highlight w:val="none"/>
              </w:rPr>
            </w:pPr>
            <w:r>
              <w:rPr>
                <w:rFonts w:hint="default"/>
                <w:highlight w:val="none"/>
              </w:rPr>
              <w:t>2.90</w:t>
            </w:r>
          </w:p>
        </w:tc>
        <w:tc>
          <w:tcPr>
            <w:tcW w:w="443" w:type="dxa"/>
            <w:shd w:val="clear" w:color="auto" w:fill="auto"/>
            <w:noWrap/>
            <w:vAlign w:val="center"/>
          </w:tcPr>
          <w:p w14:paraId="59C8F667">
            <w:pPr>
              <w:pStyle w:val="8"/>
              <w:suppressLineNumbers w:val="0"/>
              <w:bidi w:val="0"/>
              <w:spacing w:before="0" w:beforeAutospacing="0" w:after="0" w:afterAutospacing="0"/>
              <w:ind w:left="0" w:right="0"/>
              <w:rPr>
                <w:rFonts w:hint="default"/>
                <w:highlight w:val="none"/>
              </w:rPr>
            </w:pPr>
            <w:r>
              <w:rPr>
                <w:rFonts w:hint="default"/>
                <w:highlight w:val="none"/>
              </w:rPr>
              <w:t>3.06</w:t>
            </w:r>
          </w:p>
        </w:tc>
        <w:tc>
          <w:tcPr>
            <w:tcW w:w="443" w:type="dxa"/>
            <w:shd w:val="clear" w:color="auto" w:fill="auto"/>
            <w:noWrap/>
            <w:vAlign w:val="center"/>
          </w:tcPr>
          <w:p w14:paraId="1A0A22A2">
            <w:pPr>
              <w:pStyle w:val="8"/>
              <w:suppressLineNumbers w:val="0"/>
              <w:bidi w:val="0"/>
              <w:spacing w:before="0" w:beforeAutospacing="0" w:after="0" w:afterAutospacing="0"/>
              <w:ind w:left="0" w:right="0"/>
              <w:rPr>
                <w:rFonts w:hint="default"/>
                <w:highlight w:val="none"/>
              </w:rPr>
            </w:pPr>
            <w:r>
              <w:rPr>
                <w:rFonts w:hint="default"/>
                <w:highlight w:val="none"/>
              </w:rPr>
              <w:t>4.57</w:t>
            </w:r>
          </w:p>
        </w:tc>
        <w:tc>
          <w:tcPr>
            <w:tcW w:w="482" w:type="dxa"/>
            <w:shd w:val="clear" w:color="auto" w:fill="auto"/>
            <w:noWrap/>
            <w:vAlign w:val="center"/>
          </w:tcPr>
          <w:p w14:paraId="5FF09D24">
            <w:pPr>
              <w:pStyle w:val="8"/>
              <w:suppressLineNumbers w:val="0"/>
              <w:bidi w:val="0"/>
              <w:spacing w:before="0" w:beforeAutospacing="0" w:after="0" w:afterAutospacing="0"/>
              <w:ind w:left="0" w:right="0"/>
              <w:rPr>
                <w:rFonts w:hint="default"/>
                <w:highlight w:val="none"/>
              </w:rPr>
            </w:pPr>
            <w:r>
              <w:rPr>
                <w:rFonts w:hint="default"/>
                <w:highlight w:val="none"/>
              </w:rPr>
              <w:t>7.74</w:t>
            </w:r>
          </w:p>
        </w:tc>
        <w:tc>
          <w:tcPr>
            <w:tcW w:w="507" w:type="dxa"/>
            <w:shd w:val="clear" w:color="auto" w:fill="auto"/>
            <w:noWrap/>
            <w:vAlign w:val="center"/>
          </w:tcPr>
          <w:p w14:paraId="25DD687C">
            <w:pPr>
              <w:pStyle w:val="8"/>
              <w:suppressLineNumbers w:val="0"/>
              <w:bidi w:val="0"/>
              <w:spacing w:before="0" w:beforeAutospacing="0" w:after="0" w:afterAutospacing="0"/>
              <w:ind w:left="0" w:right="0"/>
              <w:rPr>
                <w:rFonts w:hint="default"/>
                <w:highlight w:val="none"/>
              </w:rPr>
            </w:pPr>
            <w:r>
              <w:rPr>
                <w:rFonts w:hint="default"/>
                <w:highlight w:val="none"/>
              </w:rPr>
              <w:t>11.38</w:t>
            </w:r>
          </w:p>
        </w:tc>
        <w:tc>
          <w:tcPr>
            <w:tcW w:w="533" w:type="dxa"/>
            <w:shd w:val="clear" w:color="auto" w:fill="auto"/>
            <w:noWrap/>
            <w:vAlign w:val="center"/>
          </w:tcPr>
          <w:p w14:paraId="231558F2">
            <w:pPr>
              <w:pStyle w:val="8"/>
              <w:suppressLineNumbers w:val="0"/>
              <w:bidi w:val="0"/>
              <w:spacing w:before="0" w:beforeAutospacing="0" w:after="0" w:afterAutospacing="0"/>
              <w:ind w:left="0" w:right="0"/>
              <w:rPr>
                <w:rFonts w:hint="default"/>
                <w:highlight w:val="none"/>
              </w:rPr>
            </w:pPr>
            <w:r>
              <w:rPr>
                <w:rFonts w:hint="default"/>
                <w:highlight w:val="none"/>
              </w:rPr>
              <w:t>16.91</w:t>
            </w:r>
          </w:p>
        </w:tc>
        <w:tc>
          <w:tcPr>
            <w:tcW w:w="507" w:type="dxa"/>
            <w:shd w:val="clear" w:color="auto" w:fill="auto"/>
            <w:noWrap/>
            <w:vAlign w:val="center"/>
          </w:tcPr>
          <w:p w14:paraId="1727126F">
            <w:pPr>
              <w:pStyle w:val="8"/>
              <w:suppressLineNumbers w:val="0"/>
              <w:bidi w:val="0"/>
              <w:spacing w:before="0" w:beforeAutospacing="0" w:after="0" w:afterAutospacing="0"/>
              <w:ind w:left="0" w:right="0"/>
              <w:rPr>
                <w:rFonts w:hint="default"/>
                <w:highlight w:val="none"/>
              </w:rPr>
            </w:pPr>
            <w:r>
              <w:rPr>
                <w:rFonts w:hint="default"/>
                <w:highlight w:val="none"/>
              </w:rPr>
              <w:t>14.25</w:t>
            </w:r>
          </w:p>
        </w:tc>
        <w:tc>
          <w:tcPr>
            <w:tcW w:w="554" w:type="dxa"/>
            <w:shd w:val="clear" w:color="auto" w:fill="auto"/>
            <w:noWrap/>
            <w:vAlign w:val="center"/>
          </w:tcPr>
          <w:p w14:paraId="52720E32">
            <w:pPr>
              <w:pStyle w:val="8"/>
              <w:suppressLineNumbers w:val="0"/>
              <w:bidi w:val="0"/>
              <w:spacing w:before="0" w:beforeAutospacing="0" w:after="0" w:afterAutospacing="0"/>
              <w:ind w:left="0" w:right="0"/>
              <w:rPr>
                <w:rFonts w:hint="default"/>
                <w:highlight w:val="none"/>
              </w:rPr>
            </w:pPr>
            <w:r>
              <w:rPr>
                <w:rFonts w:hint="default"/>
                <w:highlight w:val="none"/>
              </w:rPr>
              <w:t>5.53</w:t>
            </w:r>
          </w:p>
        </w:tc>
        <w:tc>
          <w:tcPr>
            <w:tcW w:w="443" w:type="dxa"/>
            <w:shd w:val="clear" w:color="auto" w:fill="auto"/>
            <w:noWrap/>
            <w:vAlign w:val="center"/>
          </w:tcPr>
          <w:p w14:paraId="32E0FD51">
            <w:pPr>
              <w:pStyle w:val="8"/>
              <w:suppressLineNumbers w:val="0"/>
              <w:bidi w:val="0"/>
              <w:spacing w:before="0" w:beforeAutospacing="0" w:after="0" w:afterAutospacing="0"/>
              <w:ind w:left="0" w:right="0"/>
              <w:rPr>
                <w:rFonts w:hint="default"/>
                <w:highlight w:val="none"/>
              </w:rPr>
            </w:pPr>
            <w:r>
              <w:rPr>
                <w:rFonts w:hint="default"/>
                <w:highlight w:val="none"/>
              </w:rPr>
              <w:t>2.08</w:t>
            </w:r>
          </w:p>
        </w:tc>
        <w:tc>
          <w:tcPr>
            <w:tcW w:w="525" w:type="dxa"/>
            <w:shd w:val="clear" w:color="auto" w:fill="auto"/>
            <w:noWrap/>
            <w:vAlign w:val="center"/>
          </w:tcPr>
          <w:p w14:paraId="468FD452">
            <w:pPr>
              <w:pStyle w:val="8"/>
              <w:suppressLineNumbers w:val="0"/>
              <w:bidi w:val="0"/>
              <w:spacing w:before="0" w:beforeAutospacing="0" w:after="0" w:afterAutospacing="0"/>
              <w:ind w:left="0" w:right="0"/>
              <w:rPr>
                <w:rFonts w:hint="default"/>
                <w:highlight w:val="none"/>
              </w:rPr>
            </w:pPr>
            <w:r>
              <w:rPr>
                <w:rFonts w:hint="default"/>
                <w:highlight w:val="none"/>
              </w:rPr>
              <w:t>4.67</w:t>
            </w:r>
          </w:p>
        </w:tc>
        <w:tc>
          <w:tcPr>
            <w:tcW w:w="443" w:type="dxa"/>
            <w:shd w:val="clear" w:color="auto" w:fill="auto"/>
            <w:noWrap/>
            <w:vAlign w:val="center"/>
          </w:tcPr>
          <w:p w14:paraId="6085B624">
            <w:pPr>
              <w:pStyle w:val="8"/>
              <w:suppressLineNumbers w:val="0"/>
              <w:bidi w:val="0"/>
              <w:spacing w:before="0" w:beforeAutospacing="0" w:after="0" w:afterAutospacing="0"/>
              <w:ind w:left="0" w:right="0"/>
              <w:rPr>
                <w:rFonts w:hint="default"/>
                <w:highlight w:val="none"/>
              </w:rPr>
            </w:pPr>
            <w:r>
              <w:rPr>
                <w:rFonts w:hint="default"/>
                <w:highlight w:val="none"/>
              </w:rPr>
              <w:t>3.08</w:t>
            </w:r>
          </w:p>
        </w:tc>
      </w:tr>
    </w:tbl>
    <w:p w14:paraId="0BFA8905">
      <w:pPr>
        <w:spacing w:line="360" w:lineRule="auto"/>
        <w:jc w:val="center"/>
        <w:rPr>
          <w:rFonts w:eastAsiaTheme="minorEastAsia"/>
          <w:b/>
          <w:sz w:val="24"/>
          <w:highlight w:val="none"/>
        </w:rPr>
      </w:pPr>
      <w:r>
        <w:rPr>
          <w:rFonts w:eastAsiaTheme="minorEastAsia"/>
          <w:b/>
          <w:sz w:val="24"/>
          <w:highlight w:val="none"/>
        </w:rPr>
        <w:drawing>
          <wp:inline distT="0" distB="0" distL="0" distR="0">
            <wp:extent cx="4503420" cy="4913630"/>
            <wp:effectExtent l="0" t="0" r="11430" b="1270"/>
            <wp:docPr id="4" name="图片 18" descr="F:\1.文件\风玫瑰图\哈尔滨近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8" descr="F:\1.文件\风玫瑰图\哈尔滨近年.jpg"/>
                    <pic:cNvPicPr>
                      <a:picLocks noChangeAspect="1" noChangeArrowheads="1"/>
                    </pic:cNvPicPr>
                  </pic:nvPicPr>
                  <pic:blipFill>
                    <a:blip r:embed="rId43"/>
                    <a:srcRect/>
                    <a:stretch>
                      <a:fillRect/>
                    </a:stretch>
                  </pic:blipFill>
                  <pic:spPr>
                    <a:xfrm>
                      <a:off x="0" y="0"/>
                      <a:ext cx="4503420" cy="4913630"/>
                    </a:xfrm>
                    <a:prstGeom prst="rect">
                      <a:avLst/>
                    </a:prstGeom>
                    <a:noFill/>
                    <a:ln w="9525">
                      <a:noFill/>
                      <a:miter lim="800000"/>
                      <a:headEnd/>
                      <a:tailEnd/>
                    </a:ln>
                  </pic:spPr>
                </pic:pic>
              </a:graphicData>
            </a:graphic>
          </wp:inline>
        </w:drawing>
      </w:r>
    </w:p>
    <w:p w14:paraId="2D671CD5">
      <w:pPr>
        <w:pStyle w:val="7"/>
        <w:bidi w:val="0"/>
        <w:rPr>
          <w:highlight w:val="none"/>
        </w:rPr>
      </w:pPr>
      <w:r>
        <w:rPr>
          <w:highlight w:val="none"/>
        </w:rPr>
        <w:t>图4-1-2哈尔滨市</w:t>
      </w:r>
      <w:r>
        <w:rPr>
          <w:rFonts w:hint="eastAsia"/>
          <w:highlight w:val="none"/>
        </w:rPr>
        <w:t>近20</w:t>
      </w:r>
      <w:r>
        <w:rPr>
          <w:highlight w:val="none"/>
        </w:rPr>
        <w:t>年风频玫瑰图</w:t>
      </w:r>
    </w:p>
    <w:p w14:paraId="5912DF35">
      <w:pPr>
        <w:bidi w:val="0"/>
        <w:rPr>
          <w:highlight w:val="none"/>
        </w:rPr>
      </w:pPr>
      <w:bookmarkStart w:id="308" w:name="_Toc2205"/>
      <w:r>
        <w:rPr>
          <w:highlight w:val="none"/>
        </w:rPr>
        <w:t>3、风速</w:t>
      </w:r>
      <w:bookmarkEnd w:id="308"/>
    </w:p>
    <w:p w14:paraId="3ABF1CE2">
      <w:pPr>
        <w:bidi w:val="0"/>
        <w:rPr>
          <w:highlight w:val="none"/>
        </w:rPr>
      </w:pPr>
      <w:r>
        <w:rPr>
          <w:highlight w:val="none"/>
        </w:rPr>
        <w:t>哈尔滨市2022年地面气象资料中每月平均风速见表4-1-3，年平均风速月变化曲线见图4-1-2。从月平均风速统计资料中可以看出哈尔滨市4月份平均风速最高</w:t>
      </w:r>
      <w:r>
        <w:rPr>
          <w:rFonts w:hint="eastAsia"/>
          <w:highlight w:val="none"/>
          <w:lang w:eastAsia="zh-CN"/>
        </w:rPr>
        <w:t>（</w:t>
      </w:r>
      <w:r>
        <w:rPr>
          <w:highlight w:val="none"/>
        </w:rPr>
        <w:t>3.88m/s</w:t>
      </w:r>
      <w:r>
        <w:rPr>
          <w:rFonts w:hint="eastAsia"/>
          <w:highlight w:val="none"/>
          <w:lang w:eastAsia="zh-CN"/>
        </w:rPr>
        <w:t>）</w:t>
      </w:r>
      <w:r>
        <w:rPr>
          <w:highlight w:val="none"/>
        </w:rPr>
        <w:t>，1月份平均风速最低</w:t>
      </w:r>
      <w:r>
        <w:rPr>
          <w:rFonts w:hint="eastAsia"/>
          <w:highlight w:val="none"/>
          <w:lang w:eastAsia="zh-CN"/>
        </w:rPr>
        <w:t>（</w:t>
      </w:r>
      <w:r>
        <w:rPr>
          <w:highlight w:val="none"/>
        </w:rPr>
        <w:t>1.98m/s</w:t>
      </w:r>
      <w:r>
        <w:rPr>
          <w:rFonts w:hint="eastAsia"/>
          <w:highlight w:val="none"/>
          <w:lang w:eastAsia="zh-CN"/>
        </w:rPr>
        <w:t>）</w:t>
      </w:r>
      <w:r>
        <w:rPr>
          <w:highlight w:val="none"/>
        </w:rPr>
        <w:t>。</w:t>
      </w:r>
    </w:p>
    <w:p w14:paraId="69F555C4">
      <w:pPr>
        <w:pStyle w:val="7"/>
        <w:bidi w:val="0"/>
        <w:rPr>
          <w:highlight w:val="none"/>
        </w:rPr>
      </w:pPr>
      <w:r>
        <w:rPr>
          <w:highlight w:val="none"/>
        </w:rPr>
        <w:t>表4-1-3哈尔滨2022年平均风速月变化情况</w:t>
      </w:r>
    </w:p>
    <w:tbl>
      <w:tblPr>
        <w:tblStyle w:val="45"/>
        <w:tblW w:w="8946" w:type="dxa"/>
        <w:tblInd w:w="0" w:type="dxa"/>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51"/>
        <w:gridCol w:w="623"/>
        <w:gridCol w:w="623"/>
        <w:gridCol w:w="621"/>
        <w:gridCol w:w="621"/>
        <w:gridCol w:w="621"/>
        <w:gridCol w:w="621"/>
        <w:gridCol w:w="621"/>
        <w:gridCol w:w="621"/>
        <w:gridCol w:w="621"/>
        <w:gridCol w:w="734"/>
        <w:gridCol w:w="734"/>
        <w:gridCol w:w="734"/>
      </w:tblGrid>
      <w:tr w14:paraId="62E88EF3">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51" w:type="dxa"/>
            <w:shd w:val="clear" w:color="auto" w:fill="auto"/>
            <w:vAlign w:val="center"/>
          </w:tcPr>
          <w:p w14:paraId="43C957D4">
            <w:pPr>
              <w:pStyle w:val="8"/>
              <w:suppressLineNumbers w:val="0"/>
              <w:bidi w:val="0"/>
              <w:spacing w:before="0" w:beforeAutospacing="0" w:after="0" w:afterAutospacing="0"/>
              <w:ind w:left="0" w:right="0"/>
              <w:rPr>
                <w:rFonts w:hint="default"/>
                <w:highlight w:val="none"/>
                <w:lang w:val="en-GB"/>
              </w:rPr>
            </w:pPr>
            <w:r>
              <w:rPr>
                <w:rFonts w:hint="default"/>
                <w:highlight w:val="none"/>
                <w:lang w:val="en-GB"/>
              </w:rPr>
              <w:t>月份</w:t>
            </w:r>
          </w:p>
        </w:tc>
        <w:tc>
          <w:tcPr>
            <w:tcW w:w="623" w:type="dxa"/>
            <w:shd w:val="clear" w:color="auto" w:fill="auto"/>
            <w:vAlign w:val="center"/>
          </w:tcPr>
          <w:p w14:paraId="1A400245">
            <w:pPr>
              <w:pStyle w:val="8"/>
              <w:suppressLineNumbers w:val="0"/>
              <w:bidi w:val="0"/>
              <w:spacing w:before="0" w:beforeAutospacing="0" w:after="0" w:afterAutospacing="0"/>
              <w:ind w:left="0" w:right="0"/>
              <w:rPr>
                <w:rFonts w:hint="default"/>
                <w:highlight w:val="none"/>
                <w:lang w:val="en-GB"/>
              </w:rPr>
            </w:pPr>
            <w:r>
              <w:rPr>
                <w:rFonts w:hint="default"/>
                <w:highlight w:val="none"/>
                <w:lang w:val="en-GB"/>
              </w:rPr>
              <w:t>1月</w:t>
            </w:r>
          </w:p>
        </w:tc>
        <w:tc>
          <w:tcPr>
            <w:tcW w:w="623" w:type="dxa"/>
            <w:shd w:val="clear" w:color="auto" w:fill="auto"/>
            <w:vAlign w:val="center"/>
          </w:tcPr>
          <w:p w14:paraId="2C00936D">
            <w:pPr>
              <w:pStyle w:val="8"/>
              <w:suppressLineNumbers w:val="0"/>
              <w:bidi w:val="0"/>
              <w:spacing w:before="0" w:beforeAutospacing="0" w:after="0" w:afterAutospacing="0"/>
              <w:ind w:left="0" w:right="0"/>
              <w:rPr>
                <w:rFonts w:hint="default"/>
                <w:highlight w:val="none"/>
                <w:lang w:val="en-GB"/>
              </w:rPr>
            </w:pPr>
            <w:r>
              <w:rPr>
                <w:rFonts w:hint="default"/>
                <w:highlight w:val="none"/>
                <w:lang w:val="en-GB"/>
              </w:rPr>
              <w:t>2月</w:t>
            </w:r>
          </w:p>
        </w:tc>
        <w:tc>
          <w:tcPr>
            <w:tcW w:w="621" w:type="dxa"/>
            <w:shd w:val="clear" w:color="auto" w:fill="auto"/>
            <w:vAlign w:val="center"/>
          </w:tcPr>
          <w:p w14:paraId="4338B950">
            <w:pPr>
              <w:pStyle w:val="8"/>
              <w:suppressLineNumbers w:val="0"/>
              <w:bidi w:val="0"/>
              <w:spacing w:before="0" w:beforeAutospacing="0" w:after="0" w:afterAutospacing="0"/>
              <w:ind w:left="0" w:right="0"/>
              <w:rPr>
                <w:rFonts w:hint="default"/>
                <w:highlight w:val="none"/>
                <w:lang w:val="en-GB"/>
              </w:rPr>
            </w:pPr>
            <w:r>
              <w:rPr>
                <w:rFonts w:hint="default"/>
                <w:highlight w:val="none"/>
                <w:lang w:val="en-GB"/>
              </w:rPr>
              <w:t>3月</w:t>
            </w:r>
          </w:p>
        </w:tc>
        <w:tc>
          <w:tcPr>
            <w:tcW w:w="621" w:type="dxa"/>
            <w:shd w:val="clear" w:color="auto" w:fill="auto"/>
            <w:vAlign w:val="center"/>
          </w:tcPr>
          <w:p w14:paraId="6F19BBB4">
            <w:pPr>
              <w:pStyle w:val="8"/>
              <w:suppressLineNumbers w:val="0"/>
              <w:bidi w:val="0"/>
              <w:spacing w:before="0" w:beforeAutospacing="0" w:after="0" w:afterAutospacing="0"/>
              <w:ind w:left="0" w:right="0"/>
              <w:rPr>
                <w:rFonts w:hint="default"/>
                <w:highlight w:val="none"/>
                <w:lang w:val="en-GB"/>
              </w:rPr>
            </w:pPr>
            <w:r>
              <w:rPr>
                <w:rFonts w:hint="default"/>
                <w:highlight w:val="none"/>
                <w:lang w:val="en-GB"/>
              </w:rPr>
              <w:t>4月</w:t>
            </w:r>
          </w:p>
        </w:tc>
        <w:tc>
          <w:tcPr>
            <w:tcW w:w="621" w:type="dxa"/>
            <w:shd w:val="clear" w:color="auto" w:fill="auto"/>
            <w:vAlign w:val="center"/>
          </w:tcPr>
          <w:p w14:paraId="7663E28E">
            <w:pPr>
              <w:pStyle w:val="8"/>
              <w:suppressLineNumbers w:val="0"/>
              <w:bidi w:val="0"/>
              <w:spacing w:before="0" w:beforeAutospacing="0" w:after="0" w:afterAutospacing="0"/>
              <w:ind w:left="0" w:right="0"/>
              <w:rPr>
                <w:rFonts w:hint="default"/>
                <w:highlight w:val="none"/>
                <w:lang w:val="en-GB"/>
              </w:rPr>
            </w:pPr>
            <w:r>
              <w:rPr>
                <w:rFonts w:hint="default"/>
                <w:highlight w:val="none"/>
                <w:lang w:val="en-GB"/>
              </w:rPr>
              <w:t>5月</w:t>
            </w:r>
          </w:p>
        </w:tc>
        <w:tc>
          <w:tcPr>
            <w:tcW w:w="621" w:type="dxa"/>
            <w:shd w:val="clear" w:color="auto" w:fill="auto"/>
            <w:vAlign w:val="center"/>
          </w:tcPr>
          <w:p w14:paraId="0F2D8BDE">
            <w:pPr>
              <w:pStyle w:val="8"/>
              <w:suppressLineNumbers w:val="0"/>
              <w:bidi w:val="0"/>
              <w:spacing w:before="0" w:beforeAutospacing="0" w:after="0" w:afterAutospacing="0"/>
              <w:ind w:left="0" w:right="0"/>
              <w:rPr>
                <w:rFonts w:hint="default"/>
                <w:highlight w:val="none"/>
                <w:lang w:val="en-GB"/>
              </w:rPr>
            </w:pPr>
            <w:r>
              <w:rPr>
                <w:rFonts w:hint="default"/>
                <w:highlight w:val="none"/>
                <w:lang w:val="en-GB"/>
              </w:rPr>
              <w:t>6月</w:t>
            </w:r>
          </w:p>
        </w:tc>
        <w:tc>
          <w:tcPr>
            <w:tcW w:w="621" w:type="dxa"/>
            <w:shd w:val="clear" w:color="auto" w:fill="auto"/>
            <w:vAlign w:val="center"/>
          </w:tcPr>
          <w:p w14:paraId="7FA6C567">
            <w:pPr>
              <w:pStyle w:val="8"/>
              <w:suppressLineNumbers w:val="0"/>
              <w:bidi w:val="0"/>
              <w:spacing w:before="0" w:beforeAutospacing="0" w:after="0" w:afterAutospacing="0"/>
              <w:ind w:left="0" w:right="0"/>
              <w:rPr>
                <w:rFonts w:hint="default"/>
                <w:highlight w:val="none"/>
                <w:lang w:val="en-GB"/>
              </w:rPr>
            </w:pPr>
            <w:r>
              <w:rPr>
                <w:rFonts w:hint="default"/>
                <w:highlight w:val="none"/>
                <w:lang w:val="en-GB"/>
              </w:rPr>
              <w:t>7月</w:t>
            </w:r>
          </w:p>
        </w:tc>
        <w:tc>
          <w:tcPr>
            <w:tcW w:w="621" w:type="dxa"/>
            <w:shd w:val="clear" w:color="auto" w:fill="auto"/>
            <w:vAlign w:val="center"/>
          </w:tcPr>
          <w:p w14:paraId="6A6442D4">
            <w:pPr>
              <w:pStyle w:val="8"/>
              <w:suppressLineNumbers w:val="0"/>
              <w:bidi w:val="0"/>
              <w:spacing w:before="0" w:beforeAutospacing="0" w:after="0" w:afterAutospacing="0"/>
              <w:ind w:left="0" w:right="0"/>
              <w:rPr>
                <w:rFonts w:hint="default"/>
                <w:highlight w:val="none"/>
                <w:lang w:val="en-GB"/>
              </w:rPr>
            </w:pPr>
            <w:r>
              <w:rPr>
                <w:rFonts w:hint="default"/>
                <w:highlight w:val="none"/>
                <w:lang w:val="en-GB"/>
              </w:rPr>
              <w:t>8月</w:t>
            </w:r>
          </w:p>
        </w:tc>
        <w:tc>
          <w:tcPr>
            <w:tcW w:w="621" w:type="dxa"/>
            <w:shd w:val="clear" w:color="auto" w:fill="auto"/>
            <w:vAlign w:val="center"/>
          </w:tcPr>
          <w:p w14:paraId="13121E32">
            <w:pPr>
              <w:pStyle w:val="8"/>
              <w:suppressLineNumbers w:val="0"/>
              <w:bidi w:val="0"/>
              <w:spacing w:before="0" w:beforeAutospacing="0" w:after="0" w:afterAutospacing="0"/>
              <w:ind w:left="0" w:right="0"/>
              <w:rPr>
                <w:rFonts w:hint="default"/>
                <w:highlight w:val="none"/>
                <w:lang w:val="en-GB"/>
              </w:rPr>
            </w:pPr>
            <w:r>
              <w:rPr>
                <w:rFonts w:hint="default"/>
                <w:highlight w:val="none"/>
                <w:lang w:val="en-GB"/>
              </w:rPr>
              <w:t>9月</w:t>
            </w:r>
          </w:p>
        </w:tc>
        <w:tc>
          <w:tcPr>
            <w:tcW w:w="734" w:type="dxa"/>
            <w:shd w:val="clear" w:color="auto" w:fill="auto"/>
            <w:vAlign w:val="center"/>
          </w:tcPr>
          <w:p w14:paraId="3F72282F">
            <w:pPr>
              <w:pStyle w:val="8"/>
              <w:suppressLineNumbers w:val="0"/>
              <w:bidi w:val="0"/>
              <w:spacing w:before="0" w:beforeAutospacing="0" w:after="0" w:afterAutospacing="0"/>
              <w:ind w:left="0" w:right="0"/>
              <w:rPr>
                <w:rFonts w:hint="default"/>
                <w:highlight w:val="none"/>
                <w:lang w:val="en-GB"/>
              </w:rPr>
            </w:pPr>
            <w:r>
              <w:rPr>
                <w:rFonts w:hint="default"/>
                <w:highlight w:val="none"/>
                <w:lang w:val="en-GB"/>
              </w:rPr>
              <w:t>10月</w:t>
            </w:r>
          </w:p>
        </w:tc>
        <w:tc>
          <w:tcPr>
            <w:tcW w:w="734" w:type="dxa"/>
            <w:shd w:val="clear" w:color="auto" w:fill="auto"/>
            <w:vAlign w:val="center"/>
          </w:tcPr>
          <w:p w14:paraId="1E56A448">
            <w:pPr>
              <w:pStyle w:val="8"/>
              <w:suppressLineNumbers w:val="0"/>
              <w:bidi w:val="0"/>
              <w:spacing w:before="0" w:beforeAutospacing="0" w:after="0" w:afterAutospacing="0"/>
              <w:ind w:left="0" w:right="0"/>
              <w:rPr>
                <w:rFonts w:hint="default"/>
                <w:highlight w:val="none"/>
                <w:lang w:val="en-GB"/>
              </w:rPr>
            </w:pPr>
            <w:r>
              <w:rPr>
                <w:rFonts w:hint="default"/>
                <w:highlight w:val="none"/>
                <w:lang w:val="en-GB"/>
              </w:rPr>
              <w:t>11月</w:t>
            </w:r>
          </w:p>
        </w:tc>
        <w:tc>
          <w:tcPr>
            <w:tcW w:w="734" w:type="dxa"/>
            <w:shd w:val="clear" w:color="auto" w:fill="auto"/>
            <w:vAlign w:val="center"/>
          </w:tcPr>
          <w:p w14:paraId="2C9632B6">
            <w:pPr>
              <w:pStyle w:val="8"/>
              <w:suppressLineNumbers w:val="0"/>
              <w:bidi w:val="0"/>
              <w:spacing w:before="0" w:beforeAutospacing="0" w:after="0" w:afterAutospacing="0"/>
              <w:ind w:left="0" w:right="0"/>
              <w:rPr>
                <w:rFonts w:hint="default"/>
                <w:highlight w:val="none"/>
                <w:lang w:val="en-GB"/>
              </w:rPr>
            </w:pPr>
            <w:r>
              <w:rPr>
                <w:rFonts w:hint="default"/>
                <w:highlight w:val="none"/>
                <w:lang w:val="en-GB"/>
              </w:rPr>
              <w:t>12月</w:t>
            </w:r>
          </w:p>
        </w:tc>
      </w:tr>
      <w:tr w14:paraId="3167DAAF">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51" w:type="dxa"/>
            <w:shd w:val="clear" w:color="auto" w:fill="auto"/>
            <w:vAlign w:val="center"/>
          </w:tcPr>
          <w:p w14:paraId="4C936562">
            <w:pPr>
              <w:pStyle w:val="8"/>
              <w:suppressLineNumbers w:val="0"/>
              <w:bidi w:val="0"/>
              <w:spacing w:before="0" w:beforeAutospacing="0" w:after="0" w:afterAutospacing="0"/>
              <w:ind w:left="0" w:right="0"/>
              <w:rPr>
                <w:rFonts w:hint="default"/>
                <w:highlight w:val="none"/>
                <w:lang w:val="en-GB"/>
              </w:rPr>
            </w:pPr>
            <w:r>
              <w:rPr>
                <w:rFonts w:hint="default"/>
                <w:highlight w:val="none"/>
                <w:lang w:val="en-GB"/>
              </w:rPr>
              <w:t>风速（m/s）</w:t>
            </w:r>
          </w:p>
        </w:tc>
        <w:tc>
          <w:tcPr>
            <w:tcW w:w="623" w:type="dxa"/>
            <w:shd w:val="clear" w:color="auto" w:fill="auto"/>
            <w:vAlign w:val="center"/>
          </w:tcPr>
          <w:p w14:paraId="68266E25">
            <w:pPr>
              <w:pStyle w:val="8"/>
              <w:suppressLineNumbers w:val="0"/>
              <w:bidi w:val="0"/>
              <w:spacing w:before="0" w:beforeAutospacing="0" w:after="0" w:afterAutospacing="0"/>
              <w:ind w:left="0" w:right="0"/>
              <w:rPr>
                <w:rFonts w:hint="default"/>
                <w:highlight w:val="none"/>
              </w:rPr>
            </w:pPr>
            <w:r>
              <w:rPr>
                <w:rFonts w:hint="default"/>
                <w:highlight w:val="none"/>
              </w:rPr>
              <w:t>1.98</w:t>
            </w:r>
          </w:p>
        </w:tc>
        <w:tc>
          <w:tcPr>
            <w:tcW w:w="623" w:type="dxa"/>
            <w:shd w:val="clear" w:color="auto" w:fill="auto"/>
            <w:vAlign w:val="center"/>
          </w:tcPr>
          <w:p w14:paraId="33E988D8">
            <w:pPr>
              <w:pStyle w:val="8"/>
              <w:suppressLineNumbers w:val="0"/>
              <w:bidi w:val="0"/>
              <w:spacing w:before="0" w:beforeAutospacing="0" w:after="0" w:afterAutospacing="0"/>
              <w:ind w:left="0" w:right="0"/>
              <w:rPr>
                <w:rFonts w:hint="default"/>
                <w:highlight w:val="none"/>
              </w:rPr>
            </w:pPr>
            <w:r>
              <w:rPr>
                <w:rFonts w:hint="default"/>
                <w:highlight w:val="none"/>
                <w:lang w:val="en-GB"/>
              </w:rPr>
              <w:t>2.38</w:t>
            </w:r>
          </w:p>
        </w:tc>
        <w:tc>
          <w:tcPr>
            <w:tcW w:w="621" w:type="dxa"/>
            <w:shd w:val="clear" w:color="auto" w:fill="auto"/>
            <w:vAlign w:val="center"/>
          </w:tcPr>
          <w:p w14:paraId="6BD66CBB">
            <w:pPr>
              <w:pStyle w:val="8"/>
              <w:suppressLineNumbers w:val="0"/>
              <w:bidi w:val="0"/>
              <w:spacing w:before="0" w:beforeAutospacing="0" w:after="0" w:afterAutospacing="0"/>
              <w:ind w:left="0" w:right="0"/>
              <w:rPr>
                <w:rFonts w:hint="default"/>
                <w:highlight w:val="none"/>
              </w:rPr>
            </w:pPr>
            <w:r>
              <w:rPr>
                <w:rFonts w:hint="default"/>
                <w:highlight w:val="none"/>
                <w:lang w:val="en-GB"/>
              </w:rPr>
              <w:t>2.98</w:t>
            </w:r>
          </w:p>
        </w:tc>
        <w:tc>
          <w:tcPr>
            <w:tcW w:w="621" w:type="dxa"/>
            <w:shd w:val="clear" w:color="auto" w:fill="auto"/>
            <w:vAlign w:val="center"/>
          </w:tcPr>
          <w:p w14:paraId="5CADC0DD">
            <w:pPr>
              <w:pStyle w:val="8"/>
              <w:suppressLineNumbers w:val="0"/>
              <w:bidi w:val="0"/>
              <w:spacing w:before="0" w:beforeAutospacing="0" w:after="0" w:afterAutospacing="0"/>
              <w:ind w:left="0" w:right="0"/>
              <w:rPr>
                <w:rFonts w:hint="default"/>
                <w:highlight w:val="none"/>
              </w:rPr>
            </w:pPr>
            <w:r>
              <w:rPr>
                <w:rFonts w:hint="default"/>
                <w:highlight w:val="none"/>
              </w:rPr>
              <w:t>3.88</w:t>
            </w:r>
          </w:p>
        </w:tc>
        <w:tc>
          <w:tcPr>
            <w:tcW w:w="621" w:type="dxa"/>
            <w:shd w:val="clear" w:color="auto" w:fill="auto"/>
            <w:vAlign w:val="center"/>
          </w:tcPr>
          <w:p w14:paraId="62DC2604">
            <w:pPr>
              <w:pStyle w:val="8"/>
              <w:suppressLineNumbers w:val="0"/>
              <w:bidi w:val="0"/>
              <w:spacing w:before="0" w:beforeAutospacing="0" w:after="0" w:afterAutospacing="0"/>
              <w:ind w:left="0" w:right="0"/>
              <w:rPr>
                <w:rFonts w:hint="default"/>
                <w:highlight w:val="none"/>
              </w:rPr>
            </w:pPr>
            <w:r>
              <w:rPr>
                <w:rFonts w:hint="default"/>
                <w:highlight w:val="none"/>
              </w:rPr>
              <w:t>3.12</w:t>
            </w:r>
          </w:p>
        </w:tc>
        <w:tc>
          <w:tcPr>
            <w:tcW w:w="621" w:type="dxa"/>
            <w:shd w:val="clear" w:color="auto" w:fill="auto"/>
            <w:vAlign w:val="center"/>
          </w:tcPr>
          <w:p w14:paraId="56334740">
            <w:pPr>
              <w:pStyle w:val="8"/>
              <w:suppressLineNumbers w:val="0"/>
              <w:bidi w:val="0"/>
              <w:spacing w:before="0" w:beforeAutospacing="0" w:after="0" w:afterAutospacing="0"/>
              <w:ind w:left="0" w:right="0"/>
              <w:rPr>
                <w:rFonts w:hint="default"/>
                <w:highlight w:val="none"/>
              </w:rPr>
            </w:pPr>
            <w:r>
              <w:rPr>
                <w:rFonts w:hint="default"/>
                <w:highlight w:val="none"/>
              </w:rPr>
              <w:t>2.8</w:t>
            </w:r>
          </w:p>
        </w:tc>
        <w:tc>
          <w:tcPr>
            <w:tcW w:w="621" w:type="dxa"/>
            <w:shd w:val="clear" w:color="auto" w:fill="auto"/>
            <w:vAlign w:val="center"/>
          </w:tcPr>
          <w:p w14:paraId="25093CA2">
            <w:pPr>
              <w:pStyle w:val="8"/>
              <w:suppressLineNumbers w:val="0"/>
              <w:bidi w:val="0"/>
              <w:spacing w:before="0" w:beforeAutospacing="0" w:after="0" w:afterAutospacing="0"/>
              <w:ind w:left="0" w:right="0"/>
              <w:rPr>
                <w:rFonts w:hint="default"/>
                <w:highlight w:val="none"/>
              </w:rPr>
            </w:pPr>
            <w:r>
              <w:rPr>
                <w:rFonts w:hint="default"/>
                <w:highlight w:val="none"/>
              </w:rPr>
              <w:t>2.37</w:t>
            </w:r>
          </w:p>
        </w:tc>
        <w:tc>
          <w:tcPr>
            <w:tcW w:w="621" w:type="dxa"/>
            <w:shd w:val="clear" w:color="auto" w:fill="auto"/>
            <w:vAlign w:val="center"/>
          </w:tcPr>
          <w:p w14:paraId="4F207ED8">
            <w:pPr>
              <w:pStyle w:val="8"/>
              <w:suppressLineNumbers w:val="0"/>
              <w:bidi w:val="0"/>
              <w:spacing w:before="0" w:beforeAutospacing="0" w:after="0" w:afterAutospacing="0"/>
              <w:ind w:left="0" w:right="0"/>
              <w:rPr>
                <w:rFonts w:hint="default"/>
                <w:highlight w:val="none"/>
              </w:rPr>
            </w:pPr>
            <w:r>
              <w:rPr>
                <w:rFonts w:hint="default"/>
                <w:highlight w:val="none"/>
              </w:rPr>
              <w:t>2.27</w:t>
            </w:r>
          </w:p>
        </w:tc>
        <w:tc>
          <w:tcPr>
            <w:tcW w:w="621" w:type="dxa"/>
            <w:shd w:val="clear" w:color="auto" w:fill="auto"/>
            <w:vAlign w:val="center"/>
          </w:tcPr>
          <w:p w14:paraId="76AB502E">
            <w:pPr>
              <w:pStyle w:val="8"/>
              <w:suppressLineNumbers w:val="0"/>
              <w:bidi w:val="0"/>
              <w:spacing w:before="0" w:beforeAutospacing="0" w:after="0" w:afterAutospacing="0"/>
              <w:ind w:left="0" w:right="0"/>
              <w:rPr>
                <w:rFonts w:hint="default"/>
                <w:highlight w:val="none"/>
              </w:rPr>
            </w:pPr>
            <w:r>
              <w:rPr>
                <w:rFonts w:hint="default"/>
                <w:highlight w:val="none"/>
              </w:rPr>
              <w:t>2.71</w:t>
            </w:r>
          </w:p>
        </w:tc>
        <w:tc>
          <w:tcPr>
            <w:tcW w:w="734" w:type="dxa"/>
            <w:shd w:val="clear" w:color="auto" w:fill="auto"/>
            <w:vAlign w:val="center"/>
          </w:tcPr>
          <w:p w14:paraId="69CA4084">
            <w:pPr>
              <w:pStyle w:val="8"/>
              <w:suppressLineNumbers w:val="0"/>
              <w:bidi w:val="0"/>
              <w:spacing w:before="0" w:beforeAutospacing="0" w:after="0" w:afterAutospacing="0"/>
              <w:ind w:left="0" w:right="0"/>
              <w:rPr>
                <w:rFonts w:hint="default"/>
                <w:highlight w:val="none"/>
              </w:rPr>
            </w:pPr>
            <w:r>
              <w:rPr>
                <w:rFonts w:hint="default"/>
                <w:highlight w:val="none"/>
              </w:rPr>
              <w:t>2.65</w:t>
            </w:r>
          </w:p>
        </w:tc>
        <w:tc>
          <w:tcPr>
            <w:tcW w:w="734" w:type="dxa"/>
            <w:shd w:val="clear" w:color="auto" w:fill="auto"/>
            <w:vAlign w:val="center"/>
          </w:tcPr>
          <w:p w14:paraId="041B6778">
            <w:pPr>
              <w:pStyle w:val="8"/>
              <w:suppressLineNumbers w:val="0"/>
              <w:bidi w:val="0"/>
              <w:spacing w:before="0" w:beforeAutospacing="0" w:after="0" w:afterAutospacing="0"/>
              <w:ind w:left="0" w:right="0"/>
              <w:rPr>
                <w:rFonts w:hint="default"/>
                <w:highlight w:val="none"/>
              </w:rPr>
            </w:pPr>
            <w:r>
              <w:rPr>
                <w:rFonts w:hint="default"/>
                <w:highlight w:val="none"/>
              </w:rPr>
              <w:t>2.76</w:t>
            </w:r>
          </w:p>
        </w:tc>
        <w:tc>
          <w:tcPr>
            <w:tcW w:w="734" w:type="dxa"/>
            <w:shd w:val="clear" w:color="auto" w:fill="auto"/>
            <w:vAlign w:val="center"/>
          </w:tcPr>
          <w:p w14:paraId="2BD00E34">
            <w:pPr>
              <w:pStyle w:val="8"/>
              <w:suppressLineNumbers w:val="0"/>
              <w:bidi w:val="0"/>
              <w:spacing w:before="0" w:beforeAutospacing="0" w:after="0" w:afterAutospacing="0"/>
              <w:ind w:left="0" w:right="0"/>
              <w:rPr>
                <w:rFonts w:hint="default"/>
                <w:highlight w:val="none"/>
              </w:rPr>
            </w:pPr>
            <w:r>
              <w:rPr>
                <w:rFonts w:hint="default"/>
                <w:highlight w:val="none"/>
                <w:lang w:val="en-GB"/>
              </w:rPr>
              <w:t>2.65</w:t>
            </w:r>
          </w:p>
        </w:tc>
      </w:tr>
    </w:tbl>
    <w:p w14:paraId="6A880A92">
      <w:pPr>
        <w:pStyle w:val="7"/>
        <w:bidi w:val="0"/>
        <w:rPr>
          <w:highlight w:val="none"/>
        </w:rPr>
      </w:pPr>
      <w:r>
        <w:rPr>
          <w:highlight w:val="none"/>
        </w:rPr>
        <w:drawing>
          <wp:inline distT="0" distB="0" distL="114300" distR="114300">
            <wp:extent cx="4858385" cy="1584325"/>
            <wp:effectExtent l="9525" t="9525" r="27940" b="25400"/>
            <wp:docPr id="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4"/>
                    <pic:cNvPicPr>
                      <a:picLocks noChangeAspect="1"/>
                    </pic:cNvPicPr>
                  </pic:nvPicPr>
                  <pic:blipFill>
                    <a:blip r:embed="rId44"/>
                    <a:stretch>
                      <a:fillRect/>
                    </a:stretch>
                  </pic:blipFill>
                  <pic:spPr>
                    <a:xfrm>
                      <a:off x="0" y="0"/>
                      <a:ext cx="4858385" cy="1584325"/>
                    </a:xfrm>
                    <a:prstGeom prst="rect">
                      <a:avLst/>
                    </a:prstGeom>
                    <a:noFill/>
                    <a:ln>
                      <a:solidFill>
                        <a:schemeClr val="tx1"/>
                      </a:solidFill>
                    </a:ln>
                  </pic:spPr>
                </pic:pic>
              </a:graphicData>
            </a:graphic>
          </wp:inline>
        </w:drawing>
      </w:r>
    </w:p>
    <w:p w14:paraId="5E14802D">
      <w:pPr>
        <w:pStyle w:val="7"/>
        <w:bidi w:val="0"/>
        <w:rPr>
          <w:highlight w:val="none"/>
        </w:rPr>
      </w:pPr>
      <w:r>
        <w:rPr>
          <w:highlight w:val="none"/>
        </w:rPr>
        <w:t>图4-1-3年平均风速的月变化曲线图</w:t>
      </w:r>
    </w:p>
    <w:p w14:paraId="419901E4">
      <w:pPr>
        <w:bidi w:val="0"/>
        <w:rPr>
          <w:highlight w:val="none"/>
        </w:rPr>
      </w:pPr>
      <w:bookmarkStart w:id="309" w:name="_Toc25539"/>
      <w:r>
        <w:rPr>
          <w:highlight w:val="none"/>
        </w:rPr>
        <w:t>4、地面温度场</w:t>
      </w:r>
      <w:bookmarkEnd w:id="309"/>
    </w:p>
    <w:p w14:paraId="1D4C41BE">
      <w:pPr>
        <w:bidi w:val="0"/>
        <w:rPr>
          <w:highlight w:val="none"/>
        </w:rPr>
      </w:pPr>
      <w:r>
        <w:rPr>
          <w:highlight w:val="none"/>
        </w:rPr>
        <w:t>哈尔滨市2022年地面气象资料中每月平均气温变化情况见表4-1-4，年平均气温月变化曲线见图4-1-3。从资料中可以看出哈尔滨市7月份平均气温最高，为24.66ºC，1月份气温平均最低，为-18.49ºC。</w:t>
      </w:r>
    </w:p>
    <w:p w14:paraId="6F0A4173">
      <w:pPr>
        <w:pStyle w:val="7"/>
        <w:bidi w:val="0"/>
        <w:rPr>
          <w:highlight w:val="none"/>
        </w:rPr>
      </w:pPr>
      <w:r>
        <w:rPr>
          <w:highlight w:val="none"/>
        </w:rPr>
        <w:t>表4-1-4年平均温度的月变化</w:t>
      </w:r>
    </w:p>
    <w:tbl>
      <w:tblPr>
        <w:tblStyle w:val="45"/>
        <w:tblW w:w="8946" w:type="dxa"/>
        <w:tblInd w:w="0" w:type="dxa"/>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05"/>
        <w:gridCol w:w="687"/>
        <w:gridCol w:w="687"/>
        <w:gridCol w:w="614"/>
        <w:gridCol w:w="614"/>
        <w:gridCol w:w="614"/>
        <w:gridCol w:w="614"/>
        <w:gridCol w:w="614"/>
        <w:gridCol w:w="614"/>
        <w:gridCol w:w="614"/>
        <w:gridCol w:w="723"/>
        <w:gridCol w:w="723"/>
        <w:gridCol w:w="723"/>
      </w:tblGrid>
      <w:tr w14:paraId="2799D4C4">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5" w:type="dxa"/>
            <w:shd w:val="clear" w:color="auto" w:fill="auto"/>
            <w:vAlign w:val="center"/>
          </w:tcPr>
          <w:p w14:paraId="1DE87C2F">
            <w:pPr>
              <w:pStyle w:val="8"/>
              <w:suppressLineNumbers w:val="0"/>
              <w:bidi w:val="0"/>
              <w:spacing w:before="0" w:beforeAutospacing="0" w:after="0" w:afterAutospacing="0"/>
              <w:ind w:left="0" w:right="0"/>
              <w:rPr>
                <w:rFonts w:hint="default"/>
                <w:highlight w:val="none"/>
                <w:lang w:val="en-GB"/>
              </w:rPr>
            </w:pPr>
            <w:r>
              <w:rPr>
                <w:rFonts w:hint="default"/>
                <w:highlight w:val="none"/>
                <w:lang w:val="en-GB"/>
              </w:rPr>
              <w:t>月份</w:t>
            </w:r>
          </w:p>
        </w:tc>
        <w:tc>
          <w:tcPr>
            <w:tcW w:w="687" w:type="dxa"/>
            <w:shd w:val="clear" w:color="auto" w:fill="auto"/>
            <w:vAlign w:val="center"/>
          </w:tcPr>
          <w:p w14:paraId="3B1DC4CB">
            <w:pPr>
              <w:pStyle w:val="8"/>
              <w:suppressLineNumbers w:val="0"/>
              <w:bidi w:val="0"/>
              <w:spacing w:before="0" w:beforeAutospacing="0" w:after="0" w:afterAutospacing="0"/>
              <w:ind w:left="0" w:right="0"/>
              <w:rPr>
                <w:rFonts w:hint="default"/>
                <w:highlight w:val="none"/>
                <w:lang w:val="en-GB"/>
              </w:rPr>
            </w:pPr>
            <w:r>
              <w:rPr>
                <w:rFonts w:hint="default"/>
                <w:highlight w:val="none"/>
                <w:lang w:val="en-GB"/>
              </w:rPr>
              <w:t>1月</w:t>
            </w:r>
          </w:p>
        </w:tc>
        <w:tc>
          <w:tcPr>
            <w:tcW w:w="687" w:type="dxa"/>
            <w:shd w:val="clear" w:color="auto" w:fill="auto"/>
            <w:vAlign w:val="center"/>
          </w:tcPr>
          <w:p w14:paraId="02E0CCC9">
            <w:pPr>
              <w:pStyle w:val="8"/>
              <w:suppressLineNumbers w:val="0"/>
              <w:bidi w:val="0"/>
              <w:spacing w:before="0" w:beforeAutospacing="0" w:after="0" w:afterAutospacing="0"/>
              <w:ind w:left="0" w:right="0"/>
              <w:rPr>
                <w:rFonts w:hint="default"/>
                <w:highlight w:val="none"/>
                <w:lang w:val="en-GB"/>
              </w:rPr>
            </w:pPr>
            <w:r>
              <w:rPr>
                <w:rFonts w:hint="default"/>
                <w:highlight w:val="none"/>
                <w:lang w:val="en-GB"/>
              </w:rPr>
              <w:t>2月</w:t>
            </w:r>
          </w:p>
        </w:tc>
        <w:tc>
          <w:tcPr>
            <w:tcW w:w="614" w:type="dxa"/>
            <w:shd w:val="clear" w:color="auto" w:fill="auto"/>
            <w:vAlign w:val="center"/>
          </w:tcPr>
          <w:p w14:paraId="34203612">
            <w:pPr>
              <w:pStyle w:val="8"/>
              <w:suppressLineNumbers w:val="0"/>
              <w:bidi w:val="0"/>
              <w:spacing w:before="0" w:beforeAutospacing="0" w:after="0" w:afterAutospacing="0"/>
              <w:ind w:left="0" w:right="0"/>
              <w:rPr>
                <w:rFonts w:hint="default"/>
                <w:highlight w:val="none"/>
                <w:lang w:val="en-GB"/>
              </w:rPr>
            </w:pPr>
            <w:r>
              <w:rPr>
                <w:rFonts w:hint="default"/>
                <w:highlight w:val="none"/>
                <w:lang w:val="en-GB"/>
              </w:rPr>
              <w:t>3月</w:t>
            </w:r>
          </w:p>
        </w:tc>
        <w:tc>
          <w:tcPr>
            <w:tcW w:w="614" w:type="dxa"/>
            <w:shd w:val="clear" w:color="auto" w:fill="auto"/>
            <w:vAlign w:val="center"/>
          </w:tcPr>
          <w:p w14:paraId="5C25DD40">
            <w:pPr>
              <w:pStyle w:val="8"/>
              <w:suppressLineNumbers w:val="0"/>
              <w:bidi w:val="0"/>
              <w:spacing w:before="0" w:beforeAutospacing="0" w:after="0" w:afterAutospacing="0"/>
              <w:ind w:left="0" w:right="0"/>
              <w:rPr>
                <w:rFonts w:hint="default"/>
                <w:highlight w:val="none"/>
                <w:lang w:val="en-GB"/>
              </w:rPr>
            </w:pPr>
            <w:r>
              <w:rPr>
                <w:rFonts w:hint="default"/>
                <w:highlight w:val="none"/>
                <w:lang w:val="en-GB"/>
              </w:rPr>
              <w:t>4月</w:t>
            </w:r>
          </w:p>
        </w:tc>
        <w:tc>
          <w:tcPr>
            <w:tcW w:w="614" w:type="dxa"/>
            <w:shd w:val="clear" w:color="auto" w:fill="auto"/>
            <w:vAlign w:val="center"/>
          </w:tcPr>
          <w:p w14:paraId="1D09E9D3">
            <w:pPr>
              <w:pStyle w:val="8"/>
              <w:suppressLineNumbers w:val="0"/>
              <w:bidi w:val="0"/>
              <w:spacing w:before="0" w:beforeAutospacing="0" w:after="0" w:afterAutospacing="0"/>
              <w:ind w:left="0" w:right="0"/>
              <w:rPr>
                <w:rFonts w:hint="default"/>
                <w:highlight w:val="none"/>
                <w:lang w:val="en-GB"/>
              </w:rPr>
            </w:pPr>
            <w:r>
              <w:rPr>
                <w:rFonts w:hint="default"/>
                <w:highlight w:val="none"/>
                <w:lang w:val="en-GB"/>
              </w:rPr>
              <w:t>5月</w:t>
            </w:r>
          </w:p>
        </w:tc>
        <w:tc>
          <w:tcPr>
            <w:tcW w:w="614" w:type="dxa"/>
            <w:shd w:val="clear" w:color="auto" w:fill="auto"/>
            <w:vAlign w:val="center"/>
          </w:tcPr>
          <w:p w14:paraId="5BCE4199">
            <w:pPr>
              <w:pStyle w:val="8"/>
              <w:suppressLineNumbers w:val="0"/>
              <w:bidi w:val="0"/>
              <w:spacing w:before="0" w:beforeAutospacing="0" w:after="0" w:afterAutospacing="0"/>
              <w:ind w:left="0" w:right="0"/>
              <w:rPr>
                <w:rFonts w:hint="default"/>
                <w:highlight w:val="none"/>
                <w:lang w:val="en-GB"/>
              </w:rPr>
            </w:pPr>
            <w:r>
              <w:rPr>
                <w:rFonts w:hint="default"/>
                <w:highlight w:val="none"/>
                <w:lang w:val="en-GB"/>
              </w:rPr>
              <w:t>6月</w:t>
            </w:r>
          </w:p>
        </w:tc>
        <w:tc>
          <w:tcPr>
            <w:tcW w:w="614" w:type="dxa"/>
            <w:shd w:val="clear" w:color="auto" w:fill="auto"/>
            <w:vAlign w:val="center"/>
          </w:tcPr>
          <w:p w14:paraId="33AFFD83">
            <w:pPr>
              <w:pStyle w:val="8"/>
              <w:suppressLineNumbers w:val="0"/>
              <w:bidi w:val="0"/>
              <w:spacing w:before="0" w:beforeAutospacing="0" w:after="0" w:afterAutospacing="0"/>
              <w:ind w:left="0" w:right="0"/>
              <w:rPr>
                <w:rFonts w:hint="default"/>
                <w:highlight w:val="none"/>
                <w:lang w:val="en-GB"/>
              </w:rPr>
            </w:pPr>
            <w:r>
              <w:rPr>
                <w:rFonts w:hint="default"/>
                <w:highlight w:val="none"/>
                <w:lang w:val="en-GB"/>
              </w:rPr>
              <w:t>7月</w:t>
            </w:r>
          </w:p>
        </w:tc>
        <w:tc>
          <w:tcPr>
            <w:tcW w:w="614" w:type="dxa"/>
            <w:shd w:val="clear" w:color="auto" w:fill="auto"/>
            <w:vAlign w:val="center"/>
          </w:tcPr>
          <w:p w14:paraId="0F7B8B52">
            <w:pPr>
              <w:pStyle w:val="8"/>
              <w:suppressLineNumbers w:val="0"/>
              <w:bidi w:val="0"/>
              <w:spacing w:before="0" w:beforeAutospacing="0" w:after="0" w:afterAutospacing="0"/>
              <w:ind w:left="0" w:right="0"/>
              <w:rPr>
                <w:rFonts w:hint="default"/>
                <w:highlight w:val="none"/>
                <w:lang w:val="en-GB"/>
              </w:rPr>
            </w:pPr>
            <w:r>
              <w:rPr>
                <w:rFonts w:hint="default"/>
                <w:highlight w:val="none"/>
                <w:lang w:val="en-GB"/>
              </w:rPr>
              <w:t>8月</w:t>
            </w:r>
          </w:p>
        </w:tc>
        <w:tc>
          <w:tcPr>
            <w:tcW w:w="614" w:type="dxa"/>
            <w:shd w:val="clear" w:color="auto" w:fill="auto"/>
            <w:vAlign w:val="center"/>
          </w:tcPr>
          <w:p w14:paraId="73F9E544">
            <w:pPr>
              <w:pStyle w:val="8"/>
              <w:suppressLineNumbers w:val="0"/>
              <w:bidi w:val="0"/>
              <w:spacing w:before="0" w:beforeAutospacing="0" w:after="0" w:afterAutospacing="0"/>
              <w:ind w:left="0" w:right="0"/>
              <w:rPr>
                <w:rFonts w:hint="default"/>
                <w:highlight w:val="none"/>
                <w:lang w:val="en-GB"/>
              </w:rPr>
            </w:pPr>
            <w:r>
              <w:rPr>
                <w:rFonts w:hint="default"/>
                <w:highlight w:val="none"/>
                <w:lang w:val="en-GB"/>
              </w:rPr>
              <w:t>9月</w:t>
            </w:r>
          </w:p>
        </w:tc>
        <w:tc>
          <w:tcPr>
            <w:tcW w:w="723" w:type="dxa"/>
            <w:shd w:val="clear" w:color="auto" w:fill="auto"/>
            <w:vAlign w:val="center"/>
          </w:tcPr>
          <w:p w14:paraId="55493674">
            <w:pPr>
              <w:pStyle w:val="8"/>
              <w:suppressLineNumbers w:val="0"/>
              <w:bidi w:val="0"/>
              <w:spacing w:before="0" w:beforeAutospacing="0" w:after="0" w:afterAutospacing="0"/>
              <w:ind w:left="0" w:right="0"/>
              <w:rPr>
                <w:rFonts w:hint="default"/>
                <w:highlight w:val="none"/>
                <w:lang w:val="en-GB"/>
              </w:rPr>
            </w:pPr>
            <w:r>
              <w:rPr>
                <w:rFonts w:hint="default"/>
                <w:highlight w:val="none"/>
                <w:lang w:val="en-GB"/>
              </w:rPr>
              <w:t>10月</w:t>
            </w:r>
          </w:p>
        </w:tc>
        <w:tc>
          <w:tcPr>
            <w:tcW w:w="723" w:type="dxa"/>
            <w:shd w:val="clear" w:color="auto" w:fill="auto"/>
            <w:vAlign w:val="center"/>
          </w:tcPr>
          <w:p w14:paraId="59458ECC">
            <w:pPr>
              <w:pStyle w:val="8"/>
              <w:suppressLineNumbers w:val="0"/>
              <w:bidi w:val="0"/>
              <w:spacing w:before="0" w:beforeAutospacing="0" w:after="0" w:afterAutospacing="0"/>
              <w:ind w:left="0" w:right="0"/>
              <w:rPr>
                <w:rFonts w:hint="default"/>
                <w:highlight w:val="none"/>
                <w:lang w:val="en-GB"/>
              </w:rPr>
            </w:pPr>
            <w:r>
              <w:rPr>
                <w:rFonts w:hint="default"/>
                <w:highlight w:val="none"/>
                <w:lang w:val="en-GB"/>
              </w:rPr>
              <w:t>11月</w:t>
            </w:r>
          </w:p>
        </w:tc>
        <w:tc>
          <w:tcPr>
            <w:tcW w:w="723" w:type="dxa"/>
            <w:shd w:val="clear" w:color="auto" w:fill="auto"/>
            <w:vAlign w:val="center"/>
          </w:tcPr>
          <w:p w14:paraId="64898762">
            <w:pPr>
              <w:pStyle w:val="8"/>
              <w:suppressLineNumbers w:val="0"/>
              <w:bidi w:val="0"/>
              <w:spacing w:before="0" w:beforeAutospacing="0" w:after="0" w:afterAutospacing="0"/>
              <w:ind w:left="0" w:right="0"/>
              <w:rPr>
                <w:rFonts w:hint="default"/>
                <w:highlight w:val="none"/>
                <w:lang w:val="en-GB"/>
              </w:rPr>
            </w:pPr>
            <w:r>
              <w:rPr>
                <w:rFonts w:hint="default"/>
                <w:highlight w:val="none"/>
                <w:lang w:val="en-GB"/>
              </w:rPr>
              <w:t>12月</w:t>
            </w:r>
          </w:p>
        </w:tc>
      </w:tr>
      <w:tr w14:paraId="61EE4899">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5" w:type="dxa"/>
            <w:shd w:val="clear" w:color="auto" w:fill="auto"/>
            <w:vAlign w:val="center"/>
          </w:tcPr>
          <w:p w14:paraId="750724A3">
            <w:pPr>
              <w:pStyle w:val="8"/>
              <w:suppressLineNumbers w:val="0"/>
              <w:bidi w:val="0"/>
              <w:spacing w:before="0" w:beforeAutospacing="0" w:after="0" w:afterAutospacing="0"/>
              <w:ind w:left="0" w:right="0"/>
              <w:rPr>
                <w:rFonts w:hint="eastAsia" w:eastAsia="宋体"/>
                <w:highlight w:val="none"/>
                <w:lang w:val="en-GB" w:eastAsia="zh-CN"/>
              </w:rPr>
            </w:pPr>
            <w:r>
              <w:rPr>
                <w:rFonts w:hint="default"/>
                <w:highlight w:val="none"/>
                <w:lang w:val="en-GB"/>
              </w:rPr>
              <w:t>气温</w:t>
            </w:r>
            <w:r>
              <w:rPr>
                <w:rFonts w:hint="eastAsia"/>
                <w:highlight w:val="none"/>
                <w:lang w:val="en-GB" w:eastAsia="zh-CN"/>
              </w:rPr>
              <w:t>（</w:t>
            </w:r>
            <w:r>
              <w:rPr>
                <w:rFonts w:hint="default"/>
                <w:highlight w:val="none"/>
                <w:lang w:val="en-GB"/>
              </w:rPr>
              <w:t>℃</w:t>
            </w:r>
            <w:r>
              <w:rPr>
                <w:rFonts w:hint="eastAsia"/>
                <w:highlight w:val="none"/>
                <w:lang w:val="en-GB" w:eastAsia="zh-CN"/>
              </w:rPr>
              <w:t>）</w:t>
            </w:r>
          </w:p>
        </w:tc>
        <w:tc>
          <w:tcPr>
            <w:tcW w:w="687" w:type="dxa"/>
            <w:shd w:val="clear" w:color="auto" w:fill="auto"/>
            <w:vAlign w:val="center"/>
          </w:tcPr>
          <w:p w14:paraId="059534FF">
            <w:pPr>
              <w:pStyle w:val="8"/>
              <w:suppressLineNumbers w:val="0"/>
              <w:bidi w:val="0"/>
              <w:spacing w:before="0" w:beforeAutospacing="0" w:after="0" w:afterAutospacing="0"/>
              <w:ind w:left="0" w:right="0"/>
              <w:rPr>
                <w:rFonts w:hint="default"/>
                <w:highlight w:val="none"/>
              </w:rPr>
            </w:pPr>
            <w:r>
              <w:rPr>
                <w:rFonts w:hint="default"/>
                <w:highlight w:val="none"/>
              </w:rPr>
              <w:t>-18.49</w:t>
            </w:r>
          </w:p>
        </w:tc>
        <w:tc>
          <w:tcPr>
            <w:tcW w:w="687" w:type="dxa"/>
            <w:shd w:val="clear" w:color="auto" w:fill="auto"/>
            <w:vAlign w:val="center"/>
          </w:tcPr>
          <w:p w14:paraId="1DC2522D">
            <w:pPr>
              <w:pStyle w:val="8"/>
              <w:suppressLineNumbers w:val="0"/>
              <w:bidi w:val="0"/>
              <w:spacing w:before="0" w:beforeAutospacing="0" w:after="0" w:afterAutospacing="0"/>
              <w:ind w:left="0" w:right="0"/>
              <w:rPr>
                <w:rFonts w:hint="default"/>
                <w:highlight w:val="none"/>
              </w:rPr>
            </w:pPr>
            <w:r>
              <w:rPr>
                <w:rFonts w:hint="default"/>
                <w:highlight w:val="none"/>
                <w:lang w:val="en-GB"/>
              </w:rPr>
              <w:t>-</w:t>
            </w:r>
            <w:r>
              <w:rPr>
                <w:rFonts w:hint="default"/>
                <w:highlight w:val="none"/>
              </w:rPr>
              <w:t>13.64</w:t>
            </w:r>
          </w:p>
        </w:tc>
        <w:tc>
          <w:tcPr>
            <w:tcW w:w="614" w:type="dxa"/>
            <w:shd w:val="clear" w:color="auto" w:fill="auto"/>
            <w:vAlign w:val="center"/>
          </w:tcPr>
          <w:p w14:paraId="415D861D">
            <w:pPr>
              <w:pStyle w:val="8"/>
              <w:suppressLineNumbers w:val="0"/>
              <w:bidi w:val="0"/>
              <w:spacing w:before="0" w:beforeAutospacing="0" w:after="0" w:afterAutospacing="0"/>
              <w:ind w:left="0" w:right="0"/>
              <w:rPr>
                <w:rFonts w:hint="default"/>
                <w:highlight w:val="none"/>
              </w:rPr>
            </w:pPr>
            <w:r>
              <w:rPr>
                <w:rFonts w:hint="default"/>
                <w:highlight w:val="none"/>
                <w:lang w:val="en-GB"/>
              </w:rPr>
              <w:t>-</w:t>
            </w:r>
            <w:r>
              <w:rPr>
                <w:rFonts w:hint="default"/>
                <w:highlight w:val="none"/>
              </w:rPr>
              <w:t>1.01</w:t>
            </w:r>
          </w:p>
        </w:tc>
        <w:tc>
          <w:tcPr>
            <w:tcW w:w="614" w:type="dxa"/>
            <w:shd w:val="clear" w:color="auto" w:fill="auto"/>
            <w:vAlign w:val="center"/>
          </w:tcPr>
          <w:p w14:paraId="31D06A7B">
            <w:pPr>
              <w:pStyle w:val="8"/>
              <w:suppressLineNumbers w:val="0"/>
              <w:bidi w:val="0"/>
              <w:spacing w:before="0" w:beforeAutospacing="0" w:after="0" w:afterAutospacing="0"/>
              <w:ind w:left="0" w:right="0"/>
              <w:rPr>
                <w:rFonts w:hint="default"/>
                <w:highlight w:val="none"/>
              </w:rPr>
            </w:pPr>
            <w:r>
              <w:rPr>
                <w:rFonts w:hint="default"/>
                <w:highlight w:val="none"/>
              </w:rPr>
              <w:t>8.86</w:t>
            </w:r>
          </w:p>
        </w:tc>
        <w:tc>
          <w:tcPr>
            <w:tcW w:w="614" w:type="dxa"/>
            <w:shd w:val="clear" w:color="auto" w:fill="auto"/>
            <w:vAlign w:val="center"/>
          </w:tcPr>
          <w:p w14:paraId="24745B41">
            <w:pPr>
              <w:pStyle w:val="8"/>
              <w:suppressLineNumbers w:val="0"/>
              <w:bidi w:val="0"/>
              <w:spacing w:before="0" w:beforeAutospacing="0" w:after="0" w:afterAutospacing="0"/>
              <w:ind w:left="0" w:right="0"/>
              <w:rPr>
                <w:rFonts w:hint="default"/>
                <w:highlight w:val="none"/>
              </w:rPr>
            </w:pPr>
            <w:r>
              <w:rPr>
                <w:rFonts w:hint="default"/>
                <w:highlight w:val="none"/>
              </w:rPr>
              <w:t>14.91</w:t>
            </w:r>
          </w:p>
        </w:tc>
        <w:tc>
          <w:tcPr>
            <w:tcW w:w="614" w:type="dxa"/>
            <w:shd w:val="clear" w:color="auto" w:fill="auto"/>
            <w:vAlign w:val="center"/>
          </w:tcPr>
          <w:p w14:paraId="22A5BB8C">
            <w:pPr>
              <w:pStyle w:val="8"/>
              <w:suppressLineNumbers w:val="0"/>
              <w:bidi w:val="0"/>
              <w:spacing w:before="0" w:beforeAutospacing="0" w:after="0" w:afterAutospacing="0"/>
              <w:ind w:left="0" w:right="0"/>
              <w:rPr>
                <w:rFonts w:hint="default"/>
                <w:highlight w:val="none"/>
              </w:rPr>
            </w:pPr>
            <w:r>
              <w:rPr>
                <w:rFonts w:hint="default"/>
                <w:highlight w:val="none"/>
              </w:rPr>
              <w:t>20.75</w:t>
            </w:r>
          </w:p>
        </w:tc>
        <w:tc>
          <w:tcPr>
            <w:tcW w:w="614" w:type="dxa"/>
            <w:shd w:val="clear" w:color="auto" w:fill="auto"/>
            <w:vAlign w:val="center"/>
          </w:tcPr>
          <w:p w14:paraId="2671BB2C">
            <w:pPr>
              <w:pStyle w:val="8"/>
              <w:suppressLineNumbers w:val="0"/>
              <w:bidi w:val="0"/>
              <w:spacing w:before="0" w:beforeAutospacing="0" w:after="0" w:afterAutospacing="0"/>
              <w:ind w:left="0" w:right="0"/>
              <w:rPr>
                <w:rFonts w:hint="default"/>
                <w:highlight w:val="none"/>
              </w:rPr>
            </w:pPr>
            <w:r>
              <w:rPr>
                <w:rFonts w:hint="default"/>
                <w:highlight w:val="none"/>
              </w:rPr>
              <w:t>24.66</w:t>
            </w:r>
          </w:p>
        </w:tc>
        <w:tc>
          <w:tcPr>
            <w:tcW w:w="614" w:type="dxa"/>
            <w:shd w:val="clear" w:color="auto" w:fill="auto"/>
            <w:vAlign w:val="center"/>
          </w:tcPr>
          <w:p w14:paraId="65CA7963">
            <w:pPr>
              <w:pStyle w:val="8"/>
              <w:suppressLineNumbers w:val="0"/>
              <w:bidi w:val="0"/>
              <w:spacing w:before="0" w:beforeAutospacing="0" w:after="0" w:afterAutospacing="0"/>
              <w:ind w:left="0" w:right="0"/>
              <w:rPr>
                <w:rFonts w:hint="default"/>
                <w:highlight w:val="none"/>
              </w:rPr>
            </w:pPr>
            <w:r>
              <w:rPr>
                <w:rFonts w:hint="default"/>
                <w:highlight w:val="none"/>
              </w:rPr>
              <w:t>21.08</w:t>
            </w:r>
          </w:p>
        </w:tc>
        <w:tc>
          <w:tcPr>
            <w:tcW w:w="614" w:type="dxa"/>
            <w:shd w:val="clear" w:color="auto" w:fill="auto"/>
            <w:vAlign w:val="center"/>
          </w:tcPr>
          <w:p w14:paraId="318AA07E">
            <w:pPr>
              <w:pStyle w:val="8"/>
              <w:suppressLineNumbers w:val="0"/>
              <w:bidi w:val="0"/>
              <w:spacing w:before="0" w:beforeAutospacing="0" w:after="0" w:afterAutospacing="0"/>
              <w:ind w:left="0" w:right="0"/>
              <w:rPr>
                <w:rFonts w:hint="default"/>
                <w:highlight w:val="none"/>
              </w:rPr>
            </w:pPr>
            <w:r>
              <w:rPr>
                <w:rFonts w:hint="default"/>
                <w:highlight w:val="none"/>
              </w:rPr>
              <w:t>16.85</w:t>
            </w:r>
          </w:p>
        </w:tc>
        <w:tc>
          <w:tcPr>
            <w:tcW w:w="723" w:type="dxa"/>
            <w:shd w:val="clear" w:color="auto" w:fill="auto"/>
            <w:vAlign w:val="center"/>
          </w:tcPr>
          <w:p w14:paraId="591DDE77">
            <w:pPr>
              <w:pStyle w:val="8"/>
              <w:suppressLineNumbers w:val="0"/>
              <w:bidi w:val="0"/>
              <w:spacing w:before="0" w:beforeAutospacing="0" w:after="0" w:afterAutospacing="0"/>
              <w:ind w:left="0" w:right="0"/>
              <w:rPr>
                <w:rFonts w:hint="default"/>
                <w:highlight w:val="none"/>
              </w:rPr>
            </w:pPr>
            <w:r>
              <w:rPr>
                <w:rFonts w:hint="default"/>
                <w:highlight w:val="none"/>
              </w:rPr>
              <w:t>6.37</w:t>
            </w:r>
          </w:p>
        </w:tc>
        <w:tc>
          <w:tcPr>
            <w:tcW w:w="723" w:type="dxa"/>
            <w:shd w:val="clear" w:color="auto" w:fill="auto"/>
            <w:vAlign w:val="center"/>
          </w:tcPr>
          <w:p w14:paraId="7F061B53">
            <w:pPr>
              <w:pStyle w:val="8"/>
              <w:suppressLineNumbers w:val="0"/>
              <w:bidi w:val="0"/>
              <w:spacing w:before="0" w:beforeAutospacing="0" w:after="0" w:afterAutospacing="0"/>
              <w:ind w:left="0" w:right="0"/>
              <w:rPr>
                <w:rFonts w:hint="default"/>
                <w:highlight w:val="none"/>
              </w:rPr>
            </w:pPr>
            <w:r>
              <w:rPr>
                <w:rFonts w:hint="default"/>
                <w:highlight w:val="none"/>
              </w:rPr>
              <w:t>-2.8</w:t>
            </w:r>
          </w:p>
        </w:tc>
        <w:tc>
          <w:tcPr>
            <w:tcW w:w="723" w:type="dxa"/>
            <w:shd w:val="clear" w:color="auto" w:fill="auto"/>
            <w:vAlign w:val="center"/>
          </w:tcPr>
          <w:p w14:paraId="482107D2">
            <w:pPr>
              <w:pStyle w:val="8"/>
              <w:suppressLineNumbers w:val="0"/>
              <w:bidi w:val="0"/>
              <w:spacing w:before="0" w:beforeAutospacing="0" w:after="0" w:afterAutospacing="0"/>
              <w:ind w:left="0" w:right="0"/>
              <w:rPr>
                <w:rFonts w:hint="default"/>
                <w:highlight w:val="none"/>
              </w:rPr>
            </w:pPr>
            <w:r>
              <w:rPr>
                <w:rFonts w:hint="default"/>
                <w:highlight w:val="none"/>
                <w:lang w:val="en-GB"/>
              </w:rPr>
              <w:t>-</w:t>
            </w:r>
            <w:r>
              <w:rPr>
                <w:rFonts w:hint="default"/>
                <w:highlight w:val="none"/>
              </w:rPr>
              <w:t>15.1</w:t>
            </w:r>
          </w:p>
        </w:tc>
      </w:tr>
    </w:tbl>
    <w:p w14:paraId="3A324F65">
      <w:pPr>
        <w:pStyle w:val="7"/>
        <w:bidi w:val="0"/>
        <w:rPr>
          <w:highlight w:val="none"/>
        </w:rPr>
      </w:pPr>
      <w:r>
        <w:rPr>
          <w:highlight w:val="none"/>
        </w:rPr>
        <w:drawing>
          <wp:inline distT="0" distB="0" distL="114300" distR="114300">
            <wp:extent cx="4772025" cy="1592580"/>
            <wp:effectExtent l="0" t="0" r="0" b="0"/>
            <wp:docPr id="1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5"/>
                    <pic:cNvPicPr>
                      <a:picLocks noChangeAspect="1"/>
                    </pic:cNvPicPr>
                  </pic:nvPicPr>
                  <pic:blipFill>
                    <a:blip r:embed="rId45"/>
                    <a:srcRect b="5997"/>
                    <a:stretch>
                      <a:fillRect/>
                    </a:stretch>
                  </pic:blipFill>
                  <pic:spPr>
                    <a:xfrm>
                      <a:off x="0" y="0"/>
                      <a:ext cx="4772025" cy="1592580"/>
                    </a:xfrm>
                    <a:prstGeom prst="rect">
                      <a:avLst/>
                    </a:prstGeom>
                    <a:noFill/>
                    <a:ln>
                      <a:solidFill>
                        <a:schemeClr val="tx1"/>
                      </a:solidFill>
                    </a:ln>
                  </pic:spPr>
                </pic:pic>
              </a:graphicData>
            </a:graphic>
          </wp:inline>
        </w:drawing>
      </w:r>
    </w:p>
    <w:p w14:paraId="18BAB0B5">
      <w:pPr>
        <w:pStyle w:val="7"/>
        <w:bidi w:val="0"/>
        <w:rPr>
          <w:highlight w:val="none"/>
        </w:rPr>
      </w:pPr>
      <w:r>
        <w:rPr>
          <w:highlight w:val="none"/>
        </w:rPr>
        <w:t>图4-1-4哈尔滨年平均温度的月变化曲线</w:t>
      </w:r>
    </w:p>
    <w:p w14:paraId="3C32735C">
      <w:pPr>
        <w:pStyle w:val="4"/>
        <w:bidi w:val="0"/>
        <w:rPr>
          <w:highlight w:val="none"/>
        </w:rPr>
      </w:pPr>
      <w:bookmarkStart w:id="310" w:name="_Toc20985"/>
      <w:bookmarkStart w:id="311" w:name="_Toc17583"/>
      <w:r>
        <w:rPr>
          <w:highlight w:val="none"/>
        </w:rPr>
        <w:t>4.1.3地形地貌</w:t>
      </w:r>
      <w:bookmarkEnd w:id="310"/>
      <w:bookmarkEnd w:id="311"/>
    </w:p>
    <w:p w14:paraId="6AD05BCD">
      <w:pPr>
        <w:bidi w:val="0"/>
        <w:rPr>
          <w:highlight w:val="none"/>
        </w:rPr>
      </w:pPr>
      <w:bookmarkStart w:id="312" w:name="_Toc9869"/>
      <w:bookmarkStart w:id="313" w:name="_Toc241292978"/>
      <w:r>
        <w:rPr>
          <w:highlight w:val="none"/>
        </w:rPr>
        <w:t>1、城市区域</w:t>
      </w:r>
      <w:bookmarkEnd w:id="312"/>
    </w:p>
    <w:p w14:paraId="0C957A7A">
      <w:pPr>
        <w:bidi w:val="0"/>
        <w:rPr>
          <w:highlight w:val="none"/>
        </w:rPr>
      </w:pPr>
      <w:r>
        <w:rPr>
          <w:highlight w:val="none"/>
        </w:rPr>
        <w:t>哈尔滨区域上地貌单元为松花江漫滩、一级阶地及岗阜状高平原，地势从北向南（即从高漫滩到岗阜状高平原）由低（高程120m）逐渐升高（高程130～190m）。西北端的高漫滩地势较低而平坦，其上发育有小型砂垄、砂岗、沼泽或沼泽化地段和牛轭湖。西北部的一级阶地，地势较高（高程130～140m），前缘高出高漫滩10~15m，阶地面较平坦，微向高漫滩倾斜。</w:t>
      </w:r>
    </w:p>
    <w:p w14:paraId="539EE47C">
      <w:pPr>
        <w:bidi w:val="0"/>
        <w:rPr>
          <w:highlight w:val="none"/>
        </w:rPr>
      </w:pPr>
      <w:r>
        <w:rPr>
          <w:highlight w:val="none"/>
        </w:rPr>
        <w:t>地貌轮廓受基岩地质构造和新构造运动控制，第四纪以后，以沉降为主的震荡运动，形成了一个被第四纪堆积物填充的继承性沉降盆地。由于沉降的不均匀。基底是不平坦的，形成了不连续的洼地和小的隆起。第四纪初期，接受了大量的冰水堆积的沙砾石层，后期沉积了巨厚的黄土粘土，构成了土壤母质。形成剥蚀堆积的两种不同成因的地貌单元，第四纪以后，受流水作用的侵蚀，形成了河谷、漫滩、阶地和平原。哈尔滨市基土为第四纪淤泥层，地表为耕地覆盖，以下均为粉质粘土层，地耐力为110kPa，土壤为季节性冻土。地震烈度为6度。</w:t>
      </w:r>
    </w:p>
    <w:p w14:paraId="18B71198">
      <w:pPr>
        <w:bidi w:val="0"/>
        <w:rPr>
          <w:highlight w:val="none"/>
        </w:rPr>
      </w:pPr>
      <w:bookmarkStart w:id="314" w:name="_Toc7469"/>
      <w:r>
        <w:rPr>
          <w:highlight w:val="none"/>
        </w:rPr>
        <w:t>2、厂区区域</w:t>
      </w:r>
      <w:bookmarkEnd w:id="314"/>
    </w:p>
    <w:p w14:paraId="4B232DEC">
      <w:pPr>
        <w:bidi w:val="0"/>
        <w:rPr>
          <w:highlight w:val="none"/>
        </w:rPr>
      </w:pPr>
      <w:r>
        <w:rPr>
          <w:highlight w:val="none"/>
        </w:rPr>
        <w:t>厂址处地层由冲积成因粉质粘土组成，粉质粘土状态较好，承载能力较高。季节冻土深度为2.0m，厂址勘察深度25m内未见地下水，地震烈度为6度，场地稳定性较好。</w:t>
      </w:r>
    </w:p>
    <w:p w14:paraId="7F088F33">
      <w:pPr>
        <w:pStyle w:val="4"/>
        <w:bidi w:val="0"/>
        <w:rPr>
          <w:highlight w:val="none"/>
        </w:rPr>
      </w:pPr>
      <w:bookmarkStart w:id="315" w:name="_Toc1941"/>
      <w:bookmarkStart w:id="316" w:name="_Toc31354"/>
      <w:r>
        <w:rPr>
          <w:highlight w:val="none"/>
        </w:rPr>
        <w:t>4.1.4地质特征</w:t>
      </w:r>
      <w:bookmarkEnd w:id="315"/>
      <w:bookmarkEnd w:id="316"/>
    </w:p>
    <w:p w14:paraId="2248C9BB">
      <w:pPr>
        <w:bidi w:val="0"/>
        <w:rPr>
          <w:highlight w:val="none"/>
        </w:rPr>
      </w:pPr>
      <w:r>
        <w:rPr>
          <w:highlight w:val="none"/>
        </w:rPr>
        <w:t>哈尔滨整个区域上第四系广泛分布，从松花江漫滩到一级阶地再到岗阜状高平原第四系分布有：全新统近代、现代河流堆积；上更新统顾乡屯组、哈尔滨组；中更新统上荒山组、下荒山组；下更新统猞猁组。下伏白垩系上统嫩江组泥岩、粉砂质泥岩，为隔水层。区域及周边地区地层详见表4-1-5。</w:t>
      </w:r>
    </w:p>
    <w:p w14:paraId="275EBDF8">
      <w:pPr>
        <w:pStyle w:val="7"/>
        <w:bidi w:val="0"/>
        <w:rPr>
          <w:highlight w:val="none"/>
        </w:rPr>
      </w:pPr>
      <w:r>
        <w:rPr>
          <w:highlight w:val="none"/>
        </w:rPr>
        <w:t>表4-1-5区域第四系地层简表</w:t>
      </w:r>
    </w:p>
    <w:tbl>
      <w:tblPr>
        <w:tblStyle w:val="45"/>
        <w:tblW w:w="8946" w:type="dxa"/>
        <w:tblInd w:w="0" w:type="dxa"/>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43"/>
        <w:gridCol w:w="465"/>
        <w:gridCol w:w="465"/>
        <w:gridCol w:w="960"/>
        <w:gridCol w:w="765"/>
        <w:gridCol w:w="855"/>
        <w:gridCol w:w="4993"/>
      </w:tblGrid>
      <w:tr w14:paraId="74D1AB31">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43" w:type="dxa"/>
            <w:shd w:val="clear" w:color="auto" w:fill="auto"/>
            <w:vAlign w:val="center"/>
          </w:tcPr>
          <w:p w14:paraId="152CDD16">
            <w:pPr>
              <w:pStyle w:val="8"/>
              <w:suppressLineNumbers w:val="0"/>
              <w:bidi w:val="0"/>
              <w:spacing w:before="0" w:beforeAutospacing="0" w:after="0" w:afterAutospacing="0"/>
              <w:ind w:left="0" w:right="0"/>
              <w:rPr>
                <w:rFonts w:hint="default"/>
                <w:highlight w:val="none"/>
              </w:rPr>
            </w:pPr>
            <w:r>
              <w:rPr>
                <w:rFonts w:hint="default"/>
                <w:highlight w:val="none"/>
              </w:rPr>
              <w:t>界</w:t>
            </w:r>
          </w:p>
        </w:tc>
        <w:tc>
          <w:tcPr>
            <w:tcW w:w="465" w:type="dxa"/>
            <w:shd w:val="clear" w:color="auto" w:fill="auto"/>
            <w:vAlign w:val="center"/>
          </w:tcPr>
          <w:p w14:paraId="415D8572">
            <w:pPr>
              <w:pStyle w:val="8"/>
              <w:suppressLineNumbers w:val="0"/>
              <w:bidi w:val="0"/>
              <w:spacing w:before="0" w:beforeAutospacing="0" w:after="0" w:afterAutospacing="0"/>
              <w:ind w:left="0" w:right="0"/>
              <w:rPr>
                <w:rFonts w:hint="default"/>
                <w:highlight w:val="none"/>
              </w:rPr>
            </w:pPr>
            <w:r>
              <w:rPr>
                <w:rFonts w:hint="default"/>
                <w:highlight w:val="none"/>
              </w:rPr>
              <w:t>系</w:t>
            </w:r>
          </w:p>
        </w:tc>
        <w:tc>
          <w:tcPr>
            <w:tcW w:w="465" w:type="dxa"/>
            <w:shd w:val="clear" w:color="auto" w:fill="auto"/>
            <w:vAlign w:val="center"/>
          </w:tcPr>
          <w:p w14:paraId="4B7B6168">
            <w:pPr>
              <w:pStyle w:val="8"/>
              <w:suppressLineNumbers w:val="0"/>
              <w:bidi w:val="0"/>
              <w:spacing w:before="0" w:beforeAutospacing="0" w:after="0" w:afterAutospacing="0"/>
              <w:ind w:left="0" w:right="0"/>
              <w:rPr>
                <w:rFonts w:hint="default"/>
                <w:highlight w:val="none"/>
              </w:rPr>
            </w:pPr>
            <w:r>
              <w:rPr>
                <w:rFonts w:hint="default"/>
                <w:highlight w:val="none"/>
              </w:rPr>
              <w:t>统</w:t>
            </w:r>
          </w:p>
        </w:tc>
        <w:tc>
          <w:tcPr>
            <w:tcW w:w="960" w:type="dxa"/>
            <w:shd w:val="clear" w:color="auto" w:fill="auto"/>
            <w:vAlign w:val="center"/>
          </w:tcPr>
          <w:p w14:paraId="2C4D40B1">
            <w:pPr>
              <w:pStyle w:val="8"/>
              <w:suppressLineNumbers w:val="0"/>
              <w:bidi w:val="0"/>
              <w:spacing w:before="0" w:beforeAutospacing="0" w:after="0" w:afterAutospacing="0"/>
              <w:ind w:left="0" w:right="0"/>
              <w:rPr>
                <w:rFonts w:hint="default"/>
                <w:highlight w:val="none"/>
              </w:rPr>
            </w:pPr>
            <w:r>
              <w:rPr>
                <w:rFonts w:hint="default"/>
                <w:highlight w:val="none"/>
              </w:rPr>
              <w:t>组</w:t>
            </w:r>
          </w:p>
        </w:tc>
        <w:tc>
          <w:tcPr>
            <w:tcW w:w="765" w:type="dxa"/>
            <w:shd w:val="clear" w:color="auto" w:fill="auto"/>
            <w:vAlign w:val="center"/>
          </w:tcPr>
          <w:p w14:paraId="4D21D041">
            <w:pPr>
              <w:pStyle w:val="8"/>
              <w:suppressLineNumbers w:val="0"/>
              <w:bidi w:val="0"/>
              <w:spacing w:before="0" w:beforeAutospacing="0" w:after="0" w:afterAutospacing="0"/>
              <w:ind w:left="0" w:right="0"/>
              <w:rPr>
                <w:rFonts w:hint="default"/>
                <w:highlight w:val="none"/>
              </w:rPr>
            </w:pPr>
            <w:r>
              <w:rPr>
                <w:rFonts w:hint="default"/>
                <w:highlight w:val="none"/>
              </w:rPr>
              <w:t>代号</w:t>
            </w:r>
          </w:p>
        </w:tc>
        <w:tc>
          <w:tcPr>
            <w:tcW w:w="855" w:type="dxa"/>
            <w:shd w:val="clear" w:color="auto" w:fill="auto"/>
            <w:vAlign w:val="center"/>
          </w:tcPr>
          <w:p w14:paraId="4DDD6C5E">
            <w:pPr>
              <w:pStyle w:val="8"/>
              <w:suppressLineNumbers w:val="0"/>
              <w:bidi w:val="0"/>
              <w:spacing w:before="0" w:beforeAutospacing="0" w:after="0" w:afterAutospacing="0"/>
              <w:ind w:left="0" w:right="0"/>
              <w:rPr>
                <w:rFonts w:hint="default"/>
                <w:highlight w:val="none"/>
              </w:rPr>
            </w:pPr>
            <w:r>
              <w:rPr>
                <w:rFonts w:hint="default"/>
                <w:highlight w:val="none"/>
              </w:rPr>
              <w:t>厚度</w:t>
            </w:r>
          </w:p>
        </w:tc>
        <w:tc>
          <w:tcPr>
            <w:tcW w:w="4993" w:type="dxa"/>
            <w:shd w:val="clear" w:color="auto" w:fill="auto"/>
            <w:vAlign w:val="center"/>
          </w:tcPr>
          <w:p w14:paraId="6077E5E9">
            <w:pPr>
              <w:pStyle w:val="8"/>
              <w:suppressLineNumbers w:val="0"/>
              <w:bidi w:val="0"/>
              <w:spacing w:before="0" w:beforeAutospacing="0" w:after="0" w:afterAutospacing="0"/>
              <w:ind w:left="0" w:right="0"/>
              <w:rPr>
                <w:rFonts w:hint="default"/>
                <w:highlight w:val="none"/>
              </w:rPr>
            </w:pPr>
            <w:r>
              <w:rPr>
                <w:rFonts w:hint="default"/>
                <w:highlight w:val="none"/>
              </w:rPr>
              <w:t>岩性简述</w:t>
            </w:r>
          </w:p>
        </w:tc>
      </w:tr>
      <w:tr w14:paraId="7BF3C5CA">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43" w:type="dxa"/>
            <w:vMerge w:val="restart"/>
            <w:shd w:val="clear" w:color="auto" w:fill="auto"/>
            <w:vAlign w:val="center"/>
          </w:tcPr>
          <w:p w14:paraId="53B619A0">
            <w:pPr>
              <w:pStyle w:val="8"/>
              <w:suppressLineNumbers w:val="0"/>
              <w:bidi w:val="0"/>
              <w:spacing w:before="0" w:beforeAutospacing="0" w:after="0" w:afterAutospacing="0"/>
              <w:ind w:left="0" w:right="0"/>
              <w:rPr>
                <w:rFonts w:hint="default"/>
                <w:highlight w:val="none"/>
              </w:rPr>
            </w:pPr>
            <w:r>
              <w:rPr>
                <w:rFonts w:hint="default"/>
                <w:highlight w:val="none"/>
              </w:rPr>
              <w:t>新生界</w:t>
            </w:r>
          </w:p>
        </w:tc>
        <w:tc>
          <w:tcPr>
            <w:tcW w:w="465" w:type="dxa"/>
            <w:vMerge w:val="restart"/>
            <w:shd w:val="clear" w:color="auto" w:fill="auto"/>
            <w:vAlign w:val="center"/>
          </w:tcPr>
          <w:p w14:paraId="020C914C">
            <w:pPr>
              <w:pStyle w:val="8"/>
              <w:suppressLineNumbers w:val="0"/>
              <w:bidi w:val="0"/>
              <w:spacing w:before="0" w:beforeAutospacing="0" w:after="0" w:afterAutospacing="0"/>
              <w:ind w:left="0" w:right="0"/>
              <w:rPr>
                <w:rFonts w:hint="default"/>
                <w:highlight w:val="none"/>
              </w:rPr>
            </w:pPr>
            <w:r>
              <w:rPr>
                <w:rFonts w:hint="default"/>
                <w:highlight w:val="none"/>
              </w:rPr>
              <w:t>第四系</w:t>
            </w:r>
          </w:p>
        </w:tc>
        <w:tc>
          <w:tcPr>
            <w:tcW w:w="465" w:type="dxa"/>
            <w:shd w:val="clear" w:color="auto" w:fill="auto"/>
            <w:vAlign w:val="center"/>
          </w:tcPr>
          <w:p w14:paraId="1571E98F">
            <w:pPr>
              <w:pStyle w:val="8"/>
              <w:suppressLineNumbers w:val="0"/>
              <w:bidi w:val="0"/>
              <w:spacing w:before="0" w:beforeAutospacing="0" w:after="0" w:afterAutospacing="0"/>
              <w:ind w:left="0" w:right="0"/>
              <w:rPr>
                <w:rFonts w:hint="default"/>
                <w:highlight w:val="none"/>
              </w:rPr>
            </w:pPr>
            <w:r>
              <w:rPr>
                <w:rFonts w:hint="default"/>
                <w:highlight w:val="none"/>
              </w:rPr>
              <w:t>全新统</w:t>
            </w:r>
          </w:p>
        </w:tc>
        <w:tc>
          <w:tcPr>
            <w:tcW w:w="960" w:type="dxa"/>
            <w:shd w:val="clear" w:color="auto" w:fill="auto"/>
            <w:vAlign w:val="center"/>
          </w:tcPr>
          <w:p w14:paraId="2A2EE565">
            <w:pPr>
              <w:pStyle w:val="8"/>
              <w:suppressLineNumbers w:val="0"/>
              <w:bidi w:val="0"/>
              <w:spacing w:before="0" w:beforeAutospacing="0" w:after="0" w:afterAutospacing="0"/>
              <w:ind w:left="0" w:right="0"/>
              <w:rPr>
                <w:rFonts w:hint="default"/>
                <w:highlight w:val="none"/>
              </w:rPr>
            </w:pPr>
            <w:r>
              <w:rPr>
                <w:rFonts w:hint="default"/>
                <w:highlight w:val="none"/>
              </w:rPr>
              <w:t>冲积层</w:t>
            </w:r>
          </w:p>
        </w:tc>
        <w:tc>
          <w:tcPr>
            <w:tcW w:w="765" w:type="dxa"/>
            <w:shd w:val="clear" w:color="auto" w:fill="auto"/>
            <w:vAlign w:val="center"/>
          </w:tcPr>
          <w:p w14:paraId="078DA676">
            <w:pPr>
              <w:pStyle w:val="8"/>
              <w:suppressLineNumbers w:val="0"/>
              <w:bidi w:val="0"/>
              <w:spacing w:before="0" w:beforeAutospacing="0" w:after="0" w:afterAutospacing="0"/>
              <w:ind w:left="0" w:right="0"/>
              <w:rPr>
                <w:rFonts w:hint="default"/>
                <w:highlight w:val="none"/>
              </w:rPr>
            </w:pPr>
            <w:r>
              <w:rPr>
                <w:rFonts w:hint="default" w:eastAsiaTheme="minorEastAsia"/>
                <w:szCs w:val="21"/>
                <w:highlight w:val="none"/>
              </w:rPr>
              <w:object>
                <v:shape id="_x0000_i1027" o:spt="75" type="#_x0000_t75" style="height:17.3pt;width:17.3pt;" o:ole="t" filled="f" coordsize="21600,21600">
                  <v:path/>
                  <v:fill on="f" focussize="0,0"/>
                  <v:stroke/>
                  <v:imagedata r:id="rId46" o:title=""/>
                  <o:lock v:ext="edit" aspectratio="t"/>
                  <w10:wrap type="none"/>
                  <w10:anchorlock/>
                </v:shape>
                <o:OLEObject Type="Embed" ProgID="Visio.Drawing.11" ShapeID="_x0000_i1027" DrawAspect="Content" ObjectID="_1468075728">
                  <o:LockedField>false</o:LockedField>
                </o:OLEObject>
              </w:object>
            </w:r>
          </w:p>
        </w:tc>
        <w:tc>
          <w:tcPr>
            <w:tcW w:w="855" w:type="dxa"/>
            <w:shd w:val="clear" w:color="auto" w:fill="auto"/>
            <w:vAlign w:val="center"/>
          </w:tcPr>
          <w:p w14:paraId="1E428998">
            <w:pPr>
              <w:pStyle w:val="8"/>
              <w:suppressLineNumbers w:val="0"/>
              <w:bidi w:val="0"/>
              <w:spacing w:before="0" w:beforeAutospacing="0" w:after="0" w:afterAutospacing="0"/>
              <w:ind w:left="0" w:right="0"/>
              <w:rPr>
                <w:rFonts w:hint="default"/>
                <w:highlight w:val="none"/>
              </w:rPr>
            </w:pPr>
            <w:r>
              <w:rPr>
                <w:rFonts w:hint="default"/>
                <w:highlight w:val="none"/>
              </w:rPr>
              <w:t>10-40m</w:t>
            </w:r>
          </w:p>
        </w:tc>
        <w:tc>
          <w:tcPr>
            <w:tcW w:w="4993" w:type="dxa"/>
            <w:shd w:val="clear" w:color="auto" w:fill="auto"/>
            <w:vAlign w:val="center"/>
          </w:tcPr>
          <w:p w14:paraId="2A4385B0">
            <w:pPr>
              <w:pStyle w:val="8"/>
              <w:suppressLineNumbers w:val="0"/>
              <w:bidi w:val="0"/>
              <w:spacing w:before="0" w:beforeAutospacing="0" w:after="0" w:afterAutospacing="0"/>
              <w:ind w:left="0" w:right="0"/>
              <w:rPr>
                <w:rFonts w:hint="default"/>
                <w:highlight w:val="none"/>
              </w:rPr>
            </w:pPr>
            <w:r>
              <w:rPr>
                <w:rFonts w:hint="default"/>
                <w:highlight w:val="none"/>
              </w:rPr>
              <w:t>运粮河等沟谷地段上部为淤泥质粉质粘土，粉砂土和粉细砂互层。松花江高漫滩上部主要为黄色粉细砂，下部为灰色淤泥质粉质粘土和灰色中粗砂互层，砂以石英为主，含少量铁质结核。</w:t>
            </w:r>
          </w:p>
        </w:tc>
      </w:tr>
      <w:tr w14:paraId="39FA7912">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43" w:type="dxa"/>
            <w:vMerge w:val="continue"/>
            <w:shd w:val="clear" w:color="auto" w:fill="auto"/>
            <w:vAlign w:val="center"/>
          </w:tcPr>
          <w:p w14:paraId="58281342">
            <w:pPr>
              <w:pStyle w:val="8"/>
              <w:suppressLineNumbers w:val="0"/>
              <w:bidi w:val="0"/>
              <w:spacing w:before="0" w:beforeAutospacing="0" w:after="0" w:afterAutospacing="0"/>
              <w:ind w:left="0" w:right="0"/>
              <w:rPr>
                <w:rFonts w:hint="default"/>
                <w:highlight w:val="none"/>
              </w:rPr>
            </w:pPr>
          </w:p>
        </w:tc>
        <w:tc>
          <w:tcPr>
            <w:tcW w:w="465" w:type="dxa"/>
            <w:vMerge w:val="continue"/>
            <w:shd w:val="clear" w:color="auto" w:fill="auto"/>
            <w:vAlign w:val="center"/>
          </w:tcPr>
          <w:p w14:paraId="40BB671A">
            <w:pPr>
              <w:pStyle w:val="8"/>
              <w:suppressLineNumbers w:val="0"/>
              <w:bidi w:val="0"/>
              <w:spacing w:before="0" w:beforeAutospacing="0" w:after="0" w:afterAutospacing="0"/>
              <w:ind w:left="0" w:right="0"/>
              <w:rPr>
                <w:rFonts w:hint="default"/>
                <w:highlight w:val="none"/>
              </w:rPr>
            </w:pPr>
          </w:p>
        </w:tc>
        <w:tc>
          <w:tcPr>
            <w:tcW w:w="465" w:type="dxa"/>
            <w:vMerge w:val="restart"/>
            <w:shd w:val="clear" w:color="auto" w:fill="auto"/>
            <w:vAlign w:val="center"/>
          </w:tcPr>
          <w:p w14:paraId="4E66D57D">
            <w:pPr>
              <w:pStyle w:val="8"/>
              <w:suppressLineNumbers w:val="0"/>
              <w:bidi w:val="0"/>
              <w:spacing w:before="0" w:beforeAutospacing="0" w:after="0" w:afterAutospacing="0"/>
              <w:ind w:left="0" w:right="0"/>
              <w:rPr>
                <w:rFonts w:hint="default"/>
                <w:highlight w:val="none"/>
              </w:rPr>
            </w:pPr>
            <w:r>
              <w:rPr>
                <w:rFonts w:hint="default"/>
                <w:highlight w:val="none"/>
              </w:rPr>
              <w:t>上更新统</w:t>
            </w:r>
          </w:p>
        </w:tc>
        <w:tc>
          <w:tcPr>
            <w:tcW w:w="960" w:type="dxa"/>
            <w:shd w:val="clear" w:color="auto" w:fill="auto"/>
            <w:vAlign w:val="center"/>
          </w:tcPr>
          <w:p w14:paraId="17FE480B">
            <w:pPr>
              <w:pStyle w:val="8"/>
              <w:suppressLineNumbers w:val="0"/>
              <w:bidi w:val="0"/>
              <w:spacing w:before="0" w:beforeAutospacing="0" w:after="0" w:afterAutospacing="0"/>
              <w:ind w:left="0" w:right="0"/>
              <w:rPr>
                <w:rFonts w:hint="default"/>
                <w:highlight w:val="none"/>
              </w:rPr>
            </w:pPr>
            <w:r>
              <w:rPr>
                <w:rFonts w:hint="default"/>
                <w:highlight w:val="none"/>
              </w:rPr>
              <w:t>顾乡屯组</w:t>
            </w:r>
          </w:p>
        </w:tc>
        <w:tc>
          <w:tcPr>
            <w:tcW w:w="765" w:type="dxa"/>
            <w:shd w:val="clear" w:color="auto" w:fill="auto"/>
            <w:vAlign w:val="center"/>
          </w:tcPr>
          <w:p w14:paraId="28B92F61">
            <w:pPr>
              <w:pStyle w:val="8"/>
              <w:suppressLineNumbers w:val="0"/>
              <w:bidi w:val="0"/>
              <w:spacing w:before="0" w:beforeAutospacing="0" w:after="0" w:afterAutospacing="0"/>
              <w:ind w:left="0" w:right="0"/>
              <w:rPr>
                <w:rFonts w:hint="default"/>
                <w:highlight w:val="none"/>
              </w:rPr>
            </w:pPr>
            <w:r>
              <w:rPr>
                <w:rFonts w:hint="default" w:eastAsiaTheme="minorEastAsia"/>
                <w:szCs w:val="21"/>
                <w:highlight w:val="none"/>
              </w:rPr>
              <w:object>
                <v:shape id="_x0000_i1028" o:spt="75" type="#_x0000_t75" style="height:19.6pt;width:19.6pt;" o:ole="t" filled="f" coordsize="21600,21600">
                  <v:path/>
                  <v:fill on="f" focussize="0,0"/>
                  <v:stroke/>
                  <v:imagedata r:id="rId48" o:title=""/>
                  <o:lock v:ext="edit" aspectratio="t"/>
                  <w10:wrap type="none"/>
                  <w10:anchorlock/>
                </v:shape>
                <o:OLEObject Type="Embed" ProgID="Equation.3" ShapeID="_x0000_i1028" DrawAspect="Content" ObjectID="_1468075729" r:id="rId47">
                  <o:LockedField>false</o:LockedField>
                </o:OLEObject>
              </w:object>
            </w:r>
          </w:p>
        </w:tc>
        <w:tc>
          <w:tcPr>
            <w:tcW w:w="855" w:type="dxa"/>
            <w:shd w:val="clear" w:color="auto" w:fill="auto"/>
            <w:vAlign w:val="center"/>
          </w:tcPr>
          <w:p w14:paraId="3CD909C8">
            <w:pPr>
              <w:pStyle w:val="8"/>
              <w:suppressLineNumbers w:val="0"/>
              <w:bidi w:val="0"/>
              <w:spacing w:before="0" w:beforeAutospacing="0" w:after="0" w:afterAutospacing="0"/>
              <w:ind w:left="0" w:right="0"/>
              <w:rPr>
                <w:rFonts w:hint="default"/>
                <w:highlight w:val="none"/>
              </w:rPr>
            </w:pPr>
            <w:r>
              <w:rPr>
                <w:rFonts w:hint="default"/>
                <w:highlight w:val="none"/>
              </w:rPr>
              <w:t>55-75m</w:t>
            </w:r>
          </w:p>
        </w:tc>
        <w:tc>
          <w:tcPr>
            <w:tcW w:w="4993" w:type="dxa"/>
            <w:shd w:val="clear" w:color="auto" w:fill="auto"/>
            <w:vAlign w:val="center"/>
          </w:tcPr>
          <w:p w14:paraId="794061F0">
            <w:pPr>
              <w:pStyle w:val="8"/>
              <w:suppressLineNumbers w:val="0"/>
              <w:bidi w:val="0"/>
              <w:spacing w:before="0" w:beforeAutospacing="0" w:after="0" w:afterAutospacing="0"/>
              <w:ind w:left="0" w:right="0"/>
              <w:rPr>
                <w:rFonts w:hint="default"/>
                <w:highlight w:val="none"/>
              </w:rPr>
            </w:pPr>
            <w:r>
              <w:rPr>
                <w:rFonts w:hint="default"/>
                <w:highlight w:val="none"/>
              </w:rPr>
              <w:t>分布于松花江阶地区。上部为黄土状粉质粘土，具孔隙，垂直节理发育，下部为淤泥质粉质粘土、粉砂土和中细砂，含砾石中粗砂互层。显微层理，具铁染和铁质斑点，砂和砾分选较好，砾径3－10mm，磨圆中等，成份以石英为主。</w:t>
            </w:r>
          </w:p>
        </w:tc>
      </w:tr>
      <w:tr w14:paraId="191F7C43">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43" w:type="dxa"/>
            <w:vMerge w:val="continue"/>
            <w:shd w:val="clear" w:color="auto" w:fill="auto"/>
            <w:vAlign w:val="center"/>
          </w:tcPr>
          <w:p w14:paraId="01B8F7F4">
            <w:pPr>
              <w:pStyle w:val="8"/>
              <w:suppressLineNumbers w:val="0"/>
              <w:bidi w:val="0"/>
              <w:spacing w:before="0" w:beforeAutospacing="0" w:after="0" w:afterAutospacing="0"/>
              <w:ind w:left="0" w:right="0"/>
              <w:rPr>
                <w:rFonts w:hint="default"/>
                <w:highlight w:val="none"/>
              </w:rPr>
            </w:pPr>
          </w:p>
        </w:tc>
        <w:tc>
          <w:tcPr>
            <w:tcW w:w="465" w:type="dxa"/>
            <w:vMerge w:val="continue"/>
            <w:shd w:val="clear" w:color="auto" w:fill="auto"/>
            <w:vAlign w:val="center"/>
          </w:tcPr>
          <w:p w14:paraId="0B9F0509">
            <w:pPr>
              <w:pStyle w:val="8"/>
              <w:suppressLineNumbers w:val="0"/>
              <w:bidi w:val="0"/>
              <w:spacing w:before="0" w:beforeAutospacing="0" w:after="0" w:afterAutospacing="0"/>
              <w:ind w:left="0" w:right="0"/>
              <w:rPr>
                <w:rFonts w:hint="default"/>
                <w:highlight w:val="none"/>
              </w:rPr>
            </w:pPr>
          </w:p>
        </w:tc>
        <w:tc>
          <w:tcPr>
            <w:tcW w:w="465" w:type="dxa"/>
            <w:vMerge w:val="continue"/>
            <w:shd w:val="clear" w:color="auto" w:fill="auto"/>
            <w:vAlign w:val="center"/>
          </w:tcPr>
          <w:p w14:paraId="793CCDEB">
            <w:pPr>
              <w:pStyle w:val="8"/>
              <w:suppressLineNumbers w:val="0"/>
              <w:bidi w:val="0"/>
              <w:spacing w:before="0" w:beforeAutospacing="0" w:after="0" w:afterAutospacing="0"/>
              <w:ind w:left="0" w:right="0"/>
              <w:rPr>
                <w:rFonts w:hint="default"/>
                <w:highlight w:val="none"/>
              </w:rPr>
            </w:pPr>
          </w:p>
        </w:tc>
        <w:tc>
          <w:tcPr>
            <w:tcW w:w="960" w:type="dxa"/>
            <w:shd w:val="clear" w:color="auto" w:fill="auto"/>
            <w:vAlign w:val="center"/>
          </w:tcPr>
          <w:p w14:paraId="09370215">
            <w:pPr>
              <w:pStyle w:val="8"/>
              <w:suppressLineNumbers w:val="0"/>
              <w:bidi w:val="0"/>
              <w:spacing w:before="0" w:beforeAutospacing="0" w:after="0" w:afterAutospacing="0"/>
              <w:ind w:left="0" w:right="0"/>
              <w:rPr>
                <w:rFonts w:hint="default"/>
                <w:highlight w:val="none"/>
              </w:rPr>
            </w:pPr>
            <w:r>
              <w:rPr>
                <w:rFonts w:hint="default"/>
                <w:highlight w:val="none"/>
              </w:rPr>
              <w:t>哈尔滨组</w:t>
            </w:r>
          </w:p>
        </w:tc>
        <w:tc>
          <w:tcPr>
            <w:tcW w:w="765" w:type="dxa"/>
            <w:shd w:val="clear" w:color="auto" w:fill="auto"/>
            <w:vAlign w:val="center"/>
          </w:tcPr>
          <w:p w14:paraId="7061D78B">
            <w:pPr>
              <w:pStyle w:val="8"/>
              <w:suppressLineNumbers w:val="0"/>
              <w:bidi w:val="0"/>
              <w:spacing w:before="0" w:beforeAutospacing="0" w:after="0" w:afterAutospacing="0"/>
              <w:ind w:left="0" w:right="0"/>
              <w:rPr>
                <w:rFonts w:hint="default"/>
                <w:highlight w:val="none"/>
              </w:rPr>
            </w:pPr>
            <w:r>
              <w:rPr>
                <w:rFonts w:hint="default" w:eastAsiaTheme="minorEastAsia"/>
                <w:szCs w:val="21"/>
                <w:highlight w:val="none"/>
              </w:rPr>
              <w:object>
                <v:shape id="_x0000_i1029" o:spt="75" type="#_x0000_t75" style="height:20.75pt;width:17.85pt;" o:ole="t" filled="f" coordsize="21600,21600">
                  <v:path/>
                  <v:fill on="f" focussize="0,0"/>
                  <v:stroke/>
                  <v:imagedata r:id="rId50" o:title=""/>
                  <o:lock v:ext="edit" aspectratio="t"/>
                  <w10:wrap type="none"/>
                  <w10:anchorlock/>
                </v:shape>
                <o:OLEObject Type="Embed" ProgID="Equation.3" ShapeID="_x0000_i1029" DrawAspect="Content" ObjectID="_1468075730" r:id="rId49">
                  <o:LockedField>false</o:LockedField>
                </o:OLEObject>
              </w:object>
            </w:r>
          </w:p>
        </w:tc>
        <w:tc>
          <w:tcPr>
            <w:tcW w:w="855" w:type="dxa"/>
            <w:shd w:val="clear" w:color="auto" w:fill="auto"/>
            <w:vAlign w:val="center"/>
          </w:tcPr>
          <w:p w14:paraId="2152F98E">
            <w:pPr>
              <w:pStyle w:val="8"/>
              <w:suppressLineNumbers w:val="0"/>
              <w:bidi w:val="0"/>
              <w:spacing w:before="0" w:beforeAutospacing="0" w:after="0" w:afterAutospacing="0"/>
              <w:ind w:left="0" w:right="0"/>
              <w:rPr>
                <w:rFonts w:hint="default"/>
                <w:highlight w:val="none"/>
              </w:rPr>
            </w:pPr>
            <w:r>
              <w:rPr>
                <w:rFonts w:hint="default"/>
                <w:highlight w:val="none"/>
              </w:rPr>
              <w:t>8-30m</w:t>
            </w:r>
          </w:p>
        </w:tc>
        <w:tc>
          <w:tcPr>
            <w:tcW w:w="4993" w:type="dxa"/>
            <w:shd w:val="clear" w:color="auto" w:fill="auto"/>
            <w:vAlign w:val="center"/>
          </w:tcPr>
          <w:p w14:paraId="69306983">
            <w:pPr>
              <w:pStyle w:val="8"/>
              <w:suppressLineNumbers w:val="0"/>
              <w:bidi w:val="0"/>
              <w:spacing w:before="0" w:beforeAutospacing="0" w:after="0" w:afterAutospacing="0"/>
              <w:ind w:left="0" w:right="0"/>
              <w:rPr>
                <w:rFonts w:hint="default"/>
                <w:highlight w:val="none"/>
              </w:rPr>
            </w:pPr>
            <w:r>
              <w:rPr>
                <w:rFonts w:hint="default"/>
                <w:highlight w:val="none"/>
              </w:rPr>
              <w:t>分布于岗阜状高平原上部。黄土状粉质粘土，土黄色，大孔隙，垂直节理发育，含铁锰结核和条带，局部夹粉砂土及细砂透镜体。</w:t>
            </w:r>
          </w:p>
        </w:tc>
      </w:tr>
      <w:tr w14:paraId="437FCCB8">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43" w:type="dxa"/>
            <w:vMerge w:val="continue"/>
            <w:shd w:val="clear" w:color="auto" w:fill="auto"/>
            <w:vAlign w:val="center"/>
          </w:tcPr>
          <w:p w14:paraId="584547AD">
            <w:pPr>
              <w:pStyle w:val="8"/>
              <w:suppressLineNumbers w:val="0"/>
              <w:bidi w:val="0"/>
              <w:spacing w:before="0" w:beforeAutospacing="0" w:after="0" w:afterAutospacing="0"/>
              <w:ind w:left="0" w:right="0"/>
              <w:rPr>
                <w:rFonts w:hint="default"/>
                <w:highlight w:val="none"/>
              </w:rPr>
            </w:pPr>
          </w:p>
        </w:tc>
        <w:tc>
          <w:tcPr>
            <w:tcW w:w="465" w:type="dxa"/>
            <w:vMerge w:val="continue"/>
            <w:shd w:val="clear" w:color="auto" w:fill="auto"/>
            <w:vAlign w:val="center"/>
          </w:tcPr>
          <w:p w14:paraId="177BEB2B">
            <w:pPr>
              <w:pStyle w:val="8"/>
              <w:suppressLineNumbers w:val="0"/>
              <w:bidi w:val="0"/>
              <w:spacing w:before="0" w:beforeAutospacing="0" w:after="0" w:afterAutospacing="0"/>
              <w:ind w:left="0" w:right="0"/>
              <w:rPr>
                <w:rFonts w:hint="default"/>
                <w:highlight w:val="none"/>
              </w:rPr>
            </w:pPr>
          </w:p>
        </w:tc>
        <w:tc>
          <w:tcPr>
            <w:tcW w:w="465" w:type="dxa"/>
            <w:vMerge w:val="restart"/>
            <w:shd w:val="clear" w:color="auto" w:fill="auto"/>
            <w:vAlign w:val="center"/>
          </w:tcPr>
          <w:p w14:paraId="3F91ABCB">
            <w:pPr>
              <w:pStyle w:val="8"/>
              <w:suppressLineNumbers w:val="0"/>
              <w:bidi w:val="0"/>
              <w:spacing w:before="0" w:beforeAutospacing="0" w:after="0" w:afterAutospacing="0"/>
              <w:ind w:left="0" w:right="0"/>
              <w:rPr>
                <w:rFonts w:hint="default"/>
                <w:highlight w:val="none"/>
              </w:rPr>
            </w:pPr>
            <w:r>
              <w:rPr>
                <w:rFonts w:hint="default"/>
                <w:highlight w:val="none"/>
              </w:rPr>
              <w:t>中更新统</w:t>
            </w:r>
          </w:p>
        </w:tc>
        <w:tc>
          <w:tcPr>
            <w:tcW w:w="960" w:type="dxa"/>
            <w:shd w:val="clear" w:color="auto" w:fill="auto"/>
            <w:vAlign w:val="center"/>
          </w:tcPr>
          <w:p w14:paraId="3CCA7AB0">
            <w:pPr>
              <w:pStyle w:val="8"/>
              <w:suppressLineNumbers w:val="0"/>
              <w:bidi w:val="0"/>
              <w:spacing w:before="0" w:beforeAutospacing="0" w:after="0" w:afterAutospacing="0"/>
              <w:ind w:left="0" w:right="0"/>
              <w:rPr>
                <w:rFonts w:hint="default"/>
                <w:highlight w:val="none"/>
              </w:rPr>
            </w:pPr>
            <w:r>
              <w:rPr>
                <w:rFonts w:hint="default"/>
                <w:highlight w:val="none"/>
              </w:rPr>
              <w:t>上荒山组</w:t>
            </w:r>
          </w:p>
        </w:tc>
        <w:tc>
          <w:tcPr>
            <w:tcW w:w="765" w:type="dxa"/>
            <w:shd w:val="clear" w:color="auto" w:fill="auto"/>
            <w:vAlign w:val="center"/>
          </w:tcPr>
          <w:p w14:paraId="39C2F50A">
            <w:pPr>
              <w:pStyle w:val="8"/>
              <w:suppressLineNumbers w:val="0"/>
              <w:bidi w:val="0"/>
              <w:spacing w:before="0" w:beforeAutospacing="0" w:after="0" w:afterAutospacing="0"/>
              <w:ind w:left="0" w:right="0"/>
              <w:rPr>
                <w:rFonts w:hint="default"/>
                <w:highlight w:val="none"/>
              </w:rPr>
            </w:pPr>
            <w:r>
              <w:rPr>
                <w:rFonts w:hint="default" w:eastAsiaTheme="minorEastAsia"/>
                <w:szCs w:val="21"/>
                <w:highlight w:val="none"/>
              </w:rPr>
              <w:object>
                <v:shape id="_x0000_i1030" o:spt="75" type="#_x0000_t75" style="height:17.85pt;width:19.6pt;" o:ole="t" filled="f" coordsize="21600,21600">
                  <v:path/>
                  <v:fill on="f" focussize="0,0"/>
                  <v:stroke/>
                  <v:imagedata r:id="rId52" o:title=""/>
                  <o:lock v:ext="edit" aspectratio="t"/>
                  <w10:wrap type="none"/>
                  <w10:anchorlock/>
                </v:shape>
                <o:OLEObject Type="Embed" ProgID="Equation.3" ShapeID="_x0000_i1030" DrawAspect="Content" ObjectID="_1468075731" r:id="rId51">
                  <o:LockedField>false</o:LockedField>
                </o:OLEObject>
              </w:object>
            </w:r>
          </w:p>
        </w:tc>
        <w:tc>
          <w:tcPr>
            <w:tcW w:w="855" w:type="dxa"/>
            <w:shd w:val="clear" w:color="auto" w:fill="auto"/>
            <w:vAlign w:val="center"/>
          </w:tcPr>
          <w:p w14:paraId="4BA292E2">
            <w:pPr>
              <w:pStyle w:val="8"/>
              <w:suppressLineNumbers w:val="0"/>
              <w:bidi w:val="0"/>
              <w:spacing w:before="0" w:beforeAutospacing="0" w:after="0" w:afterAutospacing="0"/>
              <w:ind w:left="0" w:right="0"/>
              <w:rPr>
                <w:rFonts w:hint="default"/>
                <w:highlight w:val="none"/>
              </w:rPr>
            </w:pPr>
            <w:r>
              <w:rPr>
                <w:rFonts w:hint="default"/>
                <w:highlight w:val="none"/>
              </w:rPr>
              <w:t>5-38m</w:t>
            </w:r>
          </w:p>
        </w:tc>
        <w:tc>
          <w:tcPr>
            <w:tcW w:w="4993" w:type="dxa"/>
            <w:shd w:val="clear" w:color="auto" w:fill="auto"/>
            <w:vAlign w:val="center"/>
          </w:tcPr>
          <w:p w14:paraId="31AA7F8B">
            <w:pPr>
              <w:pStyle w:val="8"/>
              <w:suppressLineNumbers w:val="0"/>
              <w:bidi w:val="0"/>
              <w:spacing w:before="0" w:beforeAutospacing="0" w:after="0" w:afterAutospacing="0"/>
              <w:ind w:left="0" w:right="0"/>
              <w:rPr>
                <w:rFonts w:hint="default"/>
                <w:highlight w:val="none"/>
              </w:rPr>
            </w:pPr>
            <w:r>
              <w:rPr>
                <w:rFonts w:hint="default"/>
                <w:highlight w:val="none"/>
              </w:rPr>
              <w:t>分布于岗阜状高平原中部。粉质粘土，黄褐色，层厚，致密，粘塑性强，含铁质结核，偶见粉砂土或细砂透镜体。</w:t>
            </w:r>
          </w:p>
        </w:tc>
      </w:tr>
      <w:tr w14:paraId="7C163536">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43" w:type="dxa"/>
            <w:vMerge w:val="continue"/>
            <w:shd w:val="clear" w:color="auto" w:fill="auto"/>
            <w:vAlign w:val="center"/>
          </w:tcPr>
          <w:p w14:paraId="31F73522">
            <w:pPr>
              <w:pStyle w:val="8"/>
              <w:suppressLineNumbers w:val="0"/>
              <w:bidi w:val="0"/>
              <w:spacing w:before="0" w:beforeAutospacing="0" w:after="0" w:afterAutospacing="0"/>
              <w:ind w:left="0" w:right="0"/>
              <w:rPr>
                <w:rFonts w:hint="default"/>
                <w:highlight w:val="none"/>
              </w:rPr>
            </w:pPr>
          </w:p>
        </w:tc>
        <w:tc>
          <w:tcPr>
            <w:tcW w:w="465" w:type="dxa"/>
            <w:vMerge w:val="continue"/>
            <w:shd w:val="clear" w:color="auto" w:fill="auto"/>
            <w:vAlign w:val="center"/>
          </w:tcPr>
          <w:p w14:paraId="117B80FD">
            <w:pPr>
              <w:pStyle w:val="8"/>
              <w:suppressLineNumbers w:val="0"/>
              <w:bidi w:val="0"/>
              <w:spacing w:before="0" w:beforeAutospacing="0" w:after="0" w:afterAutospacing="0"/>
              <w:ind w:left="0" w:right="0"/>
              <w:rPr>
                <w:rFonts w:hint="default"/>
                <w:highlight w:val="none"/>
              </w:rPr>
            </w:pPr>
          </w:p>
        </w:tc>
        <w:tc>
          <w:tcPr>
            <w:tcW w:w="465" w:type="dxa"/>
            <w:vMerge w:val="continue"/>
            <w:shd w:val="clear" w:color="auto" w:fill="auto"/>
            <w:vAlign w:val="center"/>
          </w:tcPr>
          <w:p w14:paraId="3BFF51B4">
            <w:pPr>
              <w:pStyle w:val="8"/>
              <w:suppressLineNumbers w:val="0"/>
              <w:bidi w:val="0"/>
              <w:spacing w:before="0" w:beforeAutospacing="0" w:after="0" w:afterAutospacing="0"/>
              <w:ind w:left="0" w:right="0"/>
              <w:rPr>
                <w:rFonts w:hint="default"/>
                <w:highlight w:val="none"/>
              </w:rPr>
            </w:pPr>
          </w:p>
        </w:tc>
        <w:tc>
          <w:tcPr>
            <w:tcW w:w="960" w:type="dxa"/>
            <w:shd w:val="clear" w:color="auto" w:fill="auto"/>
            <w:vAlign w:val="center"/>
          </w:tcPr>
          <w:p w14:paraId="2D55E8A1">
            <w:pPr>
              <w:pStyle w:val="8"/>
              <w:suppressLineNumbers w:val="0"/>
              <w:bidi w:val="0"/>
              <w:spacing w:before="0" w:beforeAutospacing="0" w:after="0" w:afterAutospacing="0"/>
              <w:ind w:left="0" w:right="0"/>
              <w:rPr>
                <w:rFonts w:hint="default"/>
                <w:highlight w:val="none"/>
              </w:rPr>
            </w:pPr>
            <w:r>
              <w:rPr>
                <w:rFonts w:hint="default"/>
                <w:highlight w:val="none"/>
              </w:rPr>
              <w:t>下荒山组</w:t>
            </w:r>
          </w:p>
        </w:tc>
        <w:tc>
          <w:tcPr>
            <w:tcW w:w="765" w:type="dxa"/>
            <w:shd w:val="clear" w:color="auto" w:fill="auto"/>
            <w:vAlign w:val="center"/>
          </w:tcPr>
          <w:p w14:paraId="1CCB9DCC">
            <w:pPr>
              <w:pStyle w:val="8"/>
              <w:suppressLineNumbers w:val="0"/>
              <w:bidi w:val="0"/>
              <w:spacing w:before="0" w:beforeAutospacing="0" w:after="0" w:afterAutospacing="0"/>
              <w:ind w:left="0" w:right="0"/>
              <w:rPr>
                <w:rFonts w:hint="default"/>
                <w:highlight w:val="none"/>
              </w:rPr>
            </w:pPr>
            <w:r>
              <w:rPr>
                <w:rFonts w:hint="default" w:eastAsiaTheme="minorEastAsia"/>
                <w:szCs w:val="21"/>
                <w:highlight w:val="none"/>
              </w:rPr>
              <w:object>
                <v:shape id="_x0000_i1031" o:spt="75" type="#_x0000_t75" style="height:17.3pt;width:27.65pt;" o:ole="t" filled="f" coordsize="21600,21600">
                  <v:path/>
                  <v:fill on="f" focussize="0,0"/>
                  <v:stroke/>
                  <v:imagedata r:id="rId54" o:title=""/>
                  <o:lock v:ext="edit" aspectratio="t"/>
                  <w10:wrap type="none"/>
                  <w10:anchorlock/>
                </v:shape>
                <o:OLEObject Type="Embed" ProgID="Equation.3" ShapeID="_x0000_i1031" DrawAspect="Content" ObjectID="_1468075732" r:id="rId53">
                  <o:LockedField>false</o:LockedField>
                </o:OLEObject>
              </w:object>
            </w:r>
          </w:p>
        </w:tc>
        <w:tc>
          <w:tcPr>
            <w:tcW w:w="855" w:type="dxa"/>
            <w:shd w:val="clear" w:color="auto" w:fill="auto"/>
            <w:vAlign w:val="center"/>
          </w:tcPr>
          <w:p w14:paraId="63E892F7">
            <w:pPr>
              <w:pStyle w:val="8"/>
              <w:suppressLineNumbers w:val="0"/>
              <w:bidi w:val="0"/>
              <w:spacing w:before="0" w:beforeAutospacing="0" w:after="0" w:afterAutospacing="0"/>
              <w:ind w:left="0" w:right="0"/>
              <w:rPr>
                <w:rFonts w:hint="default"/>
                <w:highlight w:val="none"/>
              </w:rPr>
            </w:pPr>
            <w:r>
              <w:rPr>
                <w:rFonts w:hint="default"/>
                <w:highlight w:val="none"/>
              </w:rPr>
              <w:t>9-30m</w:t>
            </w:r>
          </w:p>
        </w:tc>
        <w:tc>
          <w:tcPr>
            <w:tcW w:w="4993" w:type="dxa"/>
            <w:shd w:val="clear" w:color="auto" w:fill="auto"/>
            <w:vAlign w:val="center"/>
          </w:tcPr>
          <w:p w14:paraId="2C74609A">
            <w:pPr>
              <w:pStyle w:val="8"/>
              <w:suppressLineNumbers w:val="0"/>
              <w:bidi w:val="0"/>
              <w:spacing w:before="0" w:beforeAutospacing="0" w:after="0" w:afterAutospacing="0"/>
              <w:ind w:left="0" w:right="0"/>
              <w:rPr>
                <w:rFonts w:hint="default"/>
                <w:highlight w:val="none"/>
              </w:rPr>
            </w:pPr>
            <w:r>
              <w:rPr>
                <w:rFonts w:hint="default"/>
                <w:highlight w:val="none"/>
              </w:rPr>
              <w:t>分布于岗阜状高平原中部。中细砂、中粗砂含砂砾石，黄褐色，分选好，磨圆中等，局部夹砂透镜体，砾石直径多为3－7mm，成份复杂，以石英为主，少量长石和暗色矿物。</w:t>
            </w:r>
          </w:p>
        </w:tc>
      </w:tr>
      <w:tr w14:paraId="307DC4B5">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43" w:type="dxa"/>
            <w:vMerge w:val="continue"/>
            <w:shd w:val="clear" w:color="auto" w:fill="auto"/>
            <w:vAlign w:val="center"/>
          </w:tcPr>
          <w:p w14:paraId="27CB9EBD">
            <w:pPr>
              <w:pStyle w:val="8"/>
              <w:suppressLineNumbers w:val="0"/>
              <w:bidi w:val="0"/>
              <w:spacing w:before="0" w:beforeAutospacing="0" w:after="0" w:afterAutospacing="0"/>
              <w:ind w:left="0" w:right="0"/>
              <w:rPr>
                <w:rFonts w:hint="default"/>
                <w:highlight w:val="none"/>
              </w:rPr>
            </w:pPr>
          </w:p>
        </w:tc>
        <w:tc>
          <w:tcPr>
            <w:tcW w:w="465" w:type="dxa"/>
            <w:vMerge w:val="continue"/>
            <w:shd w:val="clear" w:color="auto" w:fill="auto"/>
            <w:vAlign w:val="center"/>
          </w:tcPr>
          <w:p w14:paraId="0C52AC90">
            <w:pPr>
              <w:pStyle w:val="8"/>
              <w:suppressLineNumbers w:val="0"/>
              <w:bidi w:val="0"/>
              <w:spacing w:before="0" w:beforeAutospacing="0" w:after="0" w:afterAutospacing="0"/>
              <w:ind w:left="0" w:right="0"/>
              <w:rPr>
                <w:rFonts w:hint="default"/>
                <w:highlight w:val="none"/>
              </w:rPr>
            </w:pPr>
          </w:p>
        </w:tc>
        <w:tc>
          <w:tcPr>
            <w:tcW w:w="465" w:type="dxa"/>
            <w:shd w:val="clear" w:color="auto" w:fill="auto"/>
            <w:vAlign w:val="center"/>
          </w:tcPr>
          <w:p w14:paraId="05F26290">
            <w:pPr>
              <w:pStyle w:val="8"/>
              <w:suppressLineNumbers w:val="0"/>
              <w:bidi w:val="0"/>
              <w:spacing w:before="0" w:beforeAutospacing="0" w:after="0" w:afterAutospacing="0"/>
              <w:ind w:left="0" w:right="0"/>
              <w:rPr>
                <w:rFonts w:hint="default"/>
                <w:highlight w:val="none"/>
              </w:rPr>
            </w:pPr>
            <w:r>
              <w:rPr>
                <w:rFonts w:hint="default"/>
                <w:highlight w:val="none"/>
              </w:rPr>
              <w:t>下更新统</w:t>
            </w:r>
          </w:p>
        </w:tc>
        <w:tc>
          <w:tcPr>
            <w:tcW w:w="960" w:type="dxa"/>
            <w:shd w:val="clear" w:color="auto" w:fill="auto"/>
            <w:vAlign w:val="center"/>
          </w:tcPr>
          <w:p w14:paraId="0A3CE97F">
            <w:pPr>
              <w:pStyle w:val="8"/>
              <w:suppressLineNumbers w:val="0"/>
              <w:bidi w:val="0"/>
              <w:spacing w:before="0" w:beforeAutospacing="0" w:after="0" w:afterAutospacing="0"/>
              <w:ind w:left="0" w:right="0"/>
              <w:rPr>
                <w:rFonts w:hint="default"/>
                <w:highlight w:val="none"/>
              </w:rPr>
            </w:pPr>
            <w:r>
              <w:rPr>
                <w:rFonts w:hint="default"/>
                <w:highlight w:val="none"/>
              </w:rPr>
              <w:t>猞猁组</w:t>
            </w:r>
          </w:p>
        </w:tc>
        <w:tc>
          <w:tcPr>
            <w:tcW w:w="765" w:type="dxa"/>
            <w:shd w:val="clear" w:color="auto" w:fill="auto"/>
            <w:vAlign w:val="center"/>
          </w:tcPr>
          <w:p w14:paraId="59C471ED">
            <w:pPr>
              <w:pStyle w:val="8"/>
              <w:suppressLineNumbers w:val="0"/>
              <w:bidi w:val="0"/>
              <w:spacing w:before="0" w:beforeAutospacing="0" w:after="0" w:afterAutospacing="0"/>
              <w:ind w:left="0" w:right="0"/>
              <w:rPr>
                <w:rFonts w:hint="default"/>
                <w:highlight w:val="none"/>
              </w:rPr>
            </w:pPr>
            <w:r>
              <w:rPr>
                <w:rFonts w:hint="default" w:eastAsiaTheme="minorEastAsia"/>
                <w:szCs w:val="21"/>
                <w:highlight w:val="none"/>
              </w:rPr>
              <w:object>
                <v:shape id="_x0000_i1032" o:spt="75" type="#_x0000_t75" style="height:20.75pt;width:17.85pt;" o:ole="t" filled="f" coordsize="21600,21600">
                  <v:path/>
                  <v:fill on="f" focussize="0,0"/>
                  <v:stroke/>
                  <v:imagedata r:id="rId56" o:title=""/>
                  <o:lock v:ext="edit" aspectratio="t"/>
                  <w10:wrap type="none"/>
                  <w10:anchorlock/>
                </v:shape>
                <o:OLEObject Type="Embed" ProgID="Equation.3" ShapeID="_x0000_i1032" DrawAspect="Content" ObjectID="_1468075733" r:id="rId55">
                  <o:LockedField>false</o:LockedField>
                </o:OLEObject>
              </w:object>
            </w:r>
          </w:p>
        </w:tc>
        <w:tc>
          <w:tcPr>
            <w:tcW w:w="855" w:type="dxa"/>
            <w:shd w:val="clear" w:color="auto" w:fill="auto"/>
            <w:vAlign w:val="center"/>
          </w:tcPr>
          <w:p w14:paraId="018ADE27">
            <w:pPr>
              <w:pStyle w:val="8"/>
              <w:suppressLineNumbers w:val="0"/>
              <w:bidi w:val="0"/>
              <w:spacing w:before="0" w:beforeAutospacing="0" w:after="0" w:afterAutospacing="0"/>
              <w:ind w:left="0" w:right="0"/>
              <w:rPr>
                <w:rFonts w:hint="default"/>
                <w:highlight w:val="none"/>
              </w:rPr>
            </w:pPr>
            <w:r>
              <w:rPr>
                <w:rFonts w:hint="default"/>
                <w:highlight w:val="none"/>
              </w:rPr>
              <w:t>15-41m</w:t>
            </w:r>
          </w:p>
        </w:tc>
        <w:tc>
          <w:tcPr>
            <w:tcW w:w="4993" w:type="dxa"/>
            <w:shd w:val="clear" w:color="auto" w:fill="auto"/>
            <w:vAlign w:val="center"/>
          </w:tcPr>
          <w:p w14:paraId="0E92F229">
            <w:pPr>
              <w:pStyle w:val="8"/>
              <w:suppressLineNumbers w:val="0"/>
              <w:bidi w:val="0"/>
              <w:spacing w:before="0" w:beforeAutospacing="0" w:after="0" w:afterAutospacing="0"/>
              <w:ind w:left="0" w:right="0"/>
              <w:rPr>
                <w:rFonts w:hint="default"/>
                <w:highlight w:val="none"/>
              </w:rPr>
            </w:pPr>
            <w:r>
              <w:rPr>
                <w:rFonts w:hint="default"/>
                <w:highlight w:val="none"/>
              </w:rPr>
              <w:t>分布于松花江漫滩阶地与岗阜状高平原下部。灰色中粗砂含砾石和深灰色淤泥质粉质粘土互层，砂砾石分选较差，砾径5－10mm。最大达10cm以上，磨圆中等，其间含大量淤泥质粉砂和高岭土，砾石成份复杂。</w:t>
            </w:r>
          </w:p>
        </w:tc>
      </w:tr>
    </w:tbl>
    <w:p w14:paraId="142189AB">
      <w:pPr>
        <w:pStyle w:val="4"/>
        <w:bidi w:val="0"/>
        <w:rPr>
          <w:highlight w:val="none"/>
        </w:rPr>
      </w:pPr>
      <w:bookmarkStart w:id="317" w:name="_Toc23397"/>
      <w:bookmarkStart w:id="318" w:name="_Toc20006"/>
      <w:r>
        <w:rPr>
          <w:highlight w:val="none"/>
        </w:rPr>
        <w:t>4.1.5水文地质特征</w:t>
      </w:r>
      <w:bookmarkEnd w:id="317"/>
      <w:bookmarkEnd w:id="318"/>
    </w:p>
    <w:p w14:paraId="221B1C52">
      <w:pPr>
        <w:bidi w:val="0"/>
        <w:rPr>
          <w:highlight w:val="none"/>
        </w:rPr>
      </w:pPr>
      <w:bookmarkStart w:id="319" w:name="_Toc2371"/>
      <w:r>
        <w:rPr>
          <w:highlight w:val="none"/>
        </w:rPr>
        <w:t>1、流域概况</w:t>
      </w:r>
      <w:bookmarkEnd w:id="319"/>
    </w:p>
    <w:p w14:paraId="0F2346B0">
      <w:pPr>
        <w:bidi w:val="0"/>
        <w:rPr>
          <w:highlight w:val="none"/>
        </w:rPr>
      </w:pPr>
      <w:r>
        <w:rPr>
          <w:highlight w:val="none"/>
        </w:rPr>
        <w:t>哈尔滨市境内的大小河流均属于松花江水系和牡丹江水系，松花江发源于吉林省长白山天池，其干流由西向东贯穿哈尔滨市地区中部，流经2309公里汇入黑龙江，是流经哈尔滨市的主要河流。松花江水量丰富，河谷宽阔，地势低平，坡降较缓，主河槽宽400-600m，水深4-7m。年径流量是双峰型，平均年径流量389亿立方米，夏季洪峰高，流量大，春季洪峰流量小。年径流量主要集中在6-9月份，占全年的60%，12月份至次年3月份径流量不足全年的5%。</w:t>
      </w:r>
    </w:p>
    <w:p w14:paraId="544D074B">
      <w:pPr>
        <w:bidi w:val="0"/>
        <w:rPr>
          <w:highlight w:val="none"/>
        </w:rPr>
      </w:pPr>
      <w:r>
        <w:rPr>
          <w:highlight w:val="none"/>
        </w:rPr>
        <w:t>平房区水资源贫乏，受地形、地质构造影响，境内无江河湖泊。地表水资源主要靠大气降水，在低洼地带积成数条河沟，汇集成马家沟河、何家沟河两条季节性河流和季节性水塘、泡子。本区为哈尔滨地区地下水位最低的地区，一般在50-80m左右，最深可达90m以上，局部地区无含水层。该地区地下水埋藏较深，在最深钻孔25m内未见地下水。因此地下水对混凝土不构成侵蚀，本地区一般也不构成洪水威胁。</w:t>
      </w:r>
    </w:p>
    <w:p w14:paraId="54ECBA63">
      <w:pPr>
        <w:bidi w:val="0"/>
        <w:rPr>
          <w:highlight w:val="none"/>
        </w:rPr>
      </w:pPr>
      <w:bookmarkStart w:id="320" w:name="_Toc28243"/>
      <w:r>
        <w:rPr>
          <w:highlight w:val="none"/>
        </w:rPr>
        <w:t>2、水文条件</w:t>
      </w:r>
      <w:bookmarkEnd w:id="320"/>
    </w:p>
    <w:p w14:paraId="6A977D34">
      <w:pPr>
        <w:bidi w:val="0"/>
        <w:rPr>
          <w:highlight w:val="none"/>
        </w:rPr>
      </w:pPr>
      <w:r>
        <w:rPr>
          <w:highlight w:val="none"/>
        </w:rPr>
        <w:t>根据哈尔滨水文站</w:t>
      </w:r>
      <w:r>
        <w:rPr>
          <w:rFonts w:hint="eastAsia"/>
          <w:highlight w:val="none"/>
          <w:lang w:eastAsia="zh-CN"/>
        </w:rPr>
        <w:t>冰情</w:t>
      </w:r>
      <w:r>
        <w:rPr>
          <w:highlight w:val="none"/>
        </w:rPr>
        <w:t>资料统计，多年平均封江日期为11月24日，开江日期为4月9日，平均封冻时间135日。春季开江流冰时间平均为7日左右，最大冰厚为1.25m（1957年3月），平均流冰速度1.05m/s。</w:t>
      </w:r>
    </w:p>
    <w:p w14:paraId="7CEEF165">
      <w:pPr>
        <w:bidi w:val="0"/>
        <w:rPr>
          <w:highlight w:val="none"/>
        </w:rPr>
      </w:pPr>
      <w:bookmarkStart w:id="321" w:name="_Toc14236"/>
      <w:r>
        <w:rPr>
          <w:highlight w:val="none"/>
        </w:rPr>
        <w:t>3、地下水情况</w:t>
      </w:r>
      <w:bookmarkEnd w:id="321"/>
    </w:p>
    <w:p w14:paraId="380104D7">
      <w:pPr>
        <w:bidi w:val="0"/>
        <w:rPr>
          <w:highlight w:val="none"/>
        </w:rPr>
      </w:pPr>
      <w:r>
        <w:rPr>
          <w:highlight w:val="none"/>
        </w:rPr>
        <w:t>哈尔滨的松花江高漫滩地区蕴藏有第四系全新统细、中、粗砂含砾石层潜水，一级阶地有上更新统顾乡屯组中细砂、中粗砂砾石层弱承压水；中南部的岗阜状高平原普遍赋存这种中更新统下荒山组中粗砂含砾石和下更新统猞猁组中细砂、中粗砂含砾石层承压水。据其接触关系和水位表明，相互间存在水力联系。区域第四系地下水形成补给条件受地质地貌和水文、气象等多种因素的控制和影响。地下水水位标高降至120m，水力坡度降为1/1000~1/2000，区域地下水流向从南到北。</w:t>
      </w:r>
    </w:p>
    <w:p w14:paraId="24727CF6">
      <w:pPr>
        <w:bidi w:val="0"/>
        <w:rPr>
          <w:highlight w:val="none"/>
        </w:rPr>
      </w:pPr>
      <w:r>
        <w:rPr>
          <w:highlight w:val="none"/>
        </w:rPr>
        <w:t>松花江高漫滩地区砂层含水层埋藏浅，局部出露地表，易接受降水和松花江洪水下渗补给，另外还接受阶地区承压水径流补给，地下水排泄于松花江。一级阶地及岗阜状高平原地势较高，第四系含水层埋藏深度多在20~50m，上覆20~50m弱透水的黄土状土和相对隔水的粉质粘土层。根据动态观测资料和水动力条件表明，在粉质粘土层厚度变薄、裂隙发育的地区，存在降水入渗补给。</w:t>
      </w:r>
    </w:p>
    <w:p w14:paraId="19E499E1">
      <w:pPr>
        <w:bidi w:val="0"/>
        <w:rPr>
          <w:highlight w:val="none"/>
        </w:rPr>
      </w:pPr>
      <w:r>
        <w:rPr>
          <w:highlight w:val="none"/>
        </w:rPr>
        <w:t>区域各含水层水文地质特征：</w:t>
      </w:r>
    </w:p>
    <w:p w14:paraId="5F21BBF0">
      <w:pPr>
        <w:bidi w:val="0"/>
        <w:rPr>
          <w:highlight w:val="none"/>
        </w:rPr>
      </w:pPr>
      <w:r>
        <w:rPr>
          <w:highlight w:val="none"/>
        </w:rPr>
        <w:t>（1）松花江高漫滩第四系全新统细、中、粗砂含砾石层潜水</w:t>
      </w:r>
    </w:p>
    <w:p w14:paraId="3D7CA799">
      <w:pPr>
        <w:bidi w:val="0"/>
        <w:rPr>
          <w:highlight w:val="none"/>
        </w:rPr>
      </w:pPr>
      <w:r>
        <w:rPr>
          <w:highlight w:val="none"/>
        </w:rPr>
        <w:t>含水层上覆2m左右厚的粉质粘土。含水层厚度为25-39m，水位埋深2-3m。水力坡度一般为1‰，丰水期来临，因松花江水的反补给强度较大，在低漫滩区地下水的侧向顶托下使本区地下水水力坡度变得更小。含水层渗透性、富水性较好，渗透系数为20~40m/d，局部可达47m/d。推断涌水量3000~5000m3/d。地下水水化学类型主要为重碳酸钙型。</w:t>
      </w:r>
    </w:p>
    <w:p w14:paraId="3F7B794B">
      <w:pPr>
        <w:bidi w:val="0"/>
        <w:rPr>
          <w:highlight w:val="none"/>
        </w:rPr>
      </w:pPr>
      <w:r>
        <w:rPr>
          <w:highlight w:val="none"/>
        </w:rPr>
        <w:t>（2）松花江一级阶地第四系上更新统顾乡屯组中细砂、中粗砂砾石层承压水。含水层厚30~45m。顶板埋深15~25m，在阎家岗附近及阶地前缘为3~5m。水位中部埋深3~5m，前后缘及东西部为7~11m。水力坡度西部为1.5~1.6‰，中部2.9~3.1‰，东部受开采漏斗影响为4.4~5‰，丰水期水力坡度增大。地下水径流条件好，除局部为重碳酸钙钠型水外，绝大部分属于重碳酸钙型水。含水层渗透性较强，渗透系数一般在10~30m/d，局部可达40~50m/d。富水性好，水量丰富，单井涌水量多在3000~5000m</w:t>
      </w:r>
      <w:r>
        <w:rPr>
          <w:highlight w:val="none"/>
          <w:vertAlign w:val="superscript"/>
        </w:rPr>
        <w:t>3</w:t>
      </w:r>
      <w:r>
        <w:rPr>
          <w:highlight w:val="none"/>
        </w:rPr>
        <w:t>/d，局部水量中等为1500~3000m</w:t>
      </w:r>
      <w:r>
        <w:rPr>
          <w:highlight w:val="none"/>
          <w:vertAlign w:val="superscript"/>
        </w:rPr>
        <w:t>3</w:t>
      </w:r>
      <w:r>
        <w:rPr>
          <w:highlight w:val="none"/>
        </w:rPr>
        <w:t>/d。</w:t>
      </w:r>
    </w:p>
    <w:p w14:paraId="0F90C3CA">
      <w:pPr>
        <w:bidi w:val="0"/>
        <w:rPr>
          <w:highlight w:val="none"/>
        </w:rPr>
      </w:pPr>
      <w:r>
        <w:rPr>
          <w:highlight w:val="none"/>
        </w:rPr>
        <w:t>（3）岗阜状高平原第四系中更新统下荒山组和下更新统猞猁组中细砂、中粗砂含砾石层承压水。（工作区地下水类型）</w:t>
      </w:r>
    </w:p>
    <w:p w14:paraId="61CC0B54">
      <w:pPr>
        <w:bidi w:val="0"/>
        <w:rPr>
          <w:highlight w:val="none"/>
        </w:rPr>
      </w:pPr>
      <w:r>
        <w:rPr>
          <w:highlight w:val="none"/>
        </w:rPr>
        <w:t>含水层上覆5~8m厚的弱透水黄土状粉质粘土和30~40m相对不透水的粉质粘土层。含水层上部为下荒山组黄色中粗砂含砾石，厚度为10~24m，运粮河以南较薄，一般为10m左右，由运粮河往北变厚，一般为20m左右，最厚地段在测区中部，达29m。含水层顶板较平缓，高程为120~125m，中部地区略高，顶板高程125~136m。顶板埋藏深度基本随地形而异，南部深达60m，向北变浅为40m，在低洼的沟谷处为15~25m。下部为猞猁组灰白色中细砂、中粗砂含砾石，中上段夹两层灰色淤泥质粉质粘土或粉质粘土层。</w:t>
      </w:r>
    </w:p>
    <w:p w14:paraId="5F04DCCD">
      <w:pPr>
        <w:bidi w:val="0"/>
        <w:rPr>
          <w:rFonts w:eastAsiaTheme="minorEastAsia"/>
          <w:bCs/>
          <w:highlight w:val="none"/>
        </w:rPr>
      </w:pPr>
      <w:r>
        <w:rPr>
          <w:highlight w:val="none"/>
        </w:rPr>
        <w:t>区域第四系承压水水位南部较浅，一般为15~25m，运粮河沟谷地段水位高出地面0.6~1.0m；中部较深，一般为30~40m；北部为15~28m。承压水头高出顶板，南部达40m左右，中部15~25m，至北部边缘局部已变成无压层间水。区域地下水水化学类型多为重碳酸钙型，</w:t>
      </w:r>
      <w:r>
        <w:rPr>
          <w:rFonts w:hAnsiTheme="minorEastAsia" w:eastAsiaTheme="minorEastAsia"/>
          <w:bCs/>
          <w:highlight w:val="none"/>
        </w:rPr>
        <w:t>矿化度小于</w:t>
      </w:r>
      <w:r>
        <w:rPr>
          <w:rFonts w:eastAsiaTheme="minorEastAsia"/>
          <w:bCs/>
          <w:highlight w:val="none"/>
        </w:rPr>
        <w:t>0.5g/L</w:t>
      </w:r>
      <w:r>
        <w:rPr>
          <w:rFonts w:hAnsiTheme="minorEastAsia" w:eastAsiaTheme="minorEastAsia"/>
          <w:bCs/>
          <w:highlight w:val="none"/>
        </w:rPr>
        <w:t>的淡水。</w:t>
      </w:r>
    </w:p>
    <w:p w14:paraId="58148A92">
      <w:pPr>
        <w:widowControl w:val="0"/>
        <w:adjustRightInd/>
        <w:snapToGrid/>
        <w:spacing w:line="240" w:lineRule="auto"/>
        <w:ind w:left="0" w:leftChars="0" w:firstLine="0" w:firstLineChars="0"/>
        <w:jc w:val="both"/>
        <w:rPr>
          <w:rFonts w:hAnsiTheme="minorEastAsia" w:eastAsiaTheme="minorEastAsia"/>
          <w:bCs/>
          <w:sz w:val="24"/>
          <w:highlight w:val="none"/>
        </w:rPr>
        <w:sectPr>
          <w:pgSz w:w="11906" w:h="16838"/>
          <w:pgMar w:top="1440" w:right="1800" w:bottom="1440" w:left="1800" w:header="851" w:footer="992" w:gutter="0"/>
          <w:pgBorders w:offsetFrom="page">
            <w:top w:val="none" w:sz="0" w:space="0"/>
            <w:left w:val="none" w:sz="0" w:space="0"/>
            <w:bottom w:val="none" w:sz="0" w:space="0"/>
            <w:right w:val="none" w:sz="0" w:space="0"/>
          </w:pgBorders>
          <w:cols w:space="425" w:num="1"/>
          <w:docGrid w:type="lines" w:linePitch="312" w:charSpace="0"/>
        </w:sectPr>
      </w:pPr>
      <w:r>
        <w:rPr>
          <w:rFonts w:hAnsiTheme="minorEastAsia" w:eastAsiaTheme="minorEastAsia"/>
          <w:bCs/>
          <w:sz w:val="24"/>
          <w:highlight w:val="none"/>
        </w:rPr>
        <w:t>评价区水文地质剖面</w:t>
      </w:r>
      <w:r>
        <w:rPr>
          <w:rFonts w:hint="eastAsia" w:hAnsiTheme="minorEastAsia" w:eastAsiaTheme="minorEastAsia"/>
          <w:bCs/>
          <w:sz w:val="24"/>
          <w:highlight w:val="none"/>
          <w:lang w:val="en-US" w:eastAsia="zh-CN"/>
        </w:rPr>
        <w:t>见</w:t>
      </w:r>
      <w:r>
        <w:rPr>
          <w:rFonts w:hAnsiTheme="minorEastAsia" w:eastAsiaTheme="minorEastAsia"/>
          <w:bCs/>
          <w:sz w:val="24"/>
          <w:highlight w:val="none"/>
        </w:rPr>
        <w:t>图。</w:t>
      </w:r>
    </w:p>
    <w:p w14:paraId="6E249B53">
      <w:pPr>
        <w:widowControl w:val="0"/>
        <w:adjustRightInd/>
        <w:snapToGrid/>
        <w:spacing w:line="240" w:lineRule="auto"/>
        <w:ind w:left="0" w:leftChars="0" w:firstLine="0" w:firstLineChars="0"/>
        <w:jc w:val="both"/>
        <w:rPr>
          <w:color w:val="auto"/>
          <w:highlight w:val="none"/>
        </w:rPr>
      </w:pPr>
      <w:r>
        <w:rPr>
          <w:rFonts w:hint="default" w:ascii="Times New Roman" w:hAnsi="Times New Roman" w:eastAsia="仿宋" w:cs="Times New Roman"/>
          <w:color w:val="auto"/>
          <w:sz w:val="24"/>
          <w:highlight w:val="none"/>
        </w:rPr>
        <w:drawing>
          <wp:anchor distT="0" distB="0" distL="114300" distR="114300" simplePos="0" relativeHeight="251689984" behindDoc="0" locked="0" layoutInCell="1" allowOverlap="1">
            <wp:simplePos x="0" y="0"/>
            <wp:positionH relativeFrom="column">
              <wp:posOffset>7411720</wp:posOffset>
            </wp:positionH>
            <wp:positionV relativeFrom="paragraph">
              <wp:posOffset>39370</wp:posOffset>
            </wp:positionV>
            <wp:extent cx="518160" cy="611505"/>
            <wp:effectExtent l="0" t="0" r="15240" b="17145"/>
            <wp:wrapNone/>
            <wp:docPr id="39" name="图片 39" descr="C:\Users\yu\AppData\Local\Temp\15900698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C:\Users\yu\AppData\Local\Temp\1590069823(1).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518160" cy="611505"/>
                    </a:xfrm>
                    <a:prstGeom prst="rect">
                      <a:avLst/>
                    </a:prstGeom>
                    <a:noFill/>
                    <a:ln>
                      <a:noFill/>
                    </a:ln>
                  </pic:spPr>
                </pic:pic>
              </a:graphicData>
            </a:graphic>
          </wp:anchor>
        </w:drawing>
      </w:r>
      <w:r>
        <w:rPr>
          <w:rFonts w:hint="default" w:ascii="Times New Roman" w:hAnsi="Times New Roman" w:eastAsia="仿宋" w:cs="Times New Roman"/>
          <w:color w:val="auto"/>
          <w:highlight w:val="none"/>
        </w:rPr>
        <w:pict>
          <v:shape id="自选图形 149" o:spid="_x0000_s2427" o:spt="61" type="#_x0000_t61" style="position:absolute;left:0pt;margin-left:219.95pt;margin-top:297.55pt;height:20.95pt;width:91.25pt;z-index:251685888;mso-width-relative:page;mso-height-relative:page;" filled="f" stroked="t" coordsize="21600,21600" o:gfxdata="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NF+ApDZAAAACwEAAA8AAAAAAAAAAQAgAAAAIgAAAGRycy9kb3du&#10;cmV2LnhtbFBLAQIUABQAAAAIAIdO4kAEfwrccAIAALoEAAAOAAAAAAAAAAEAIAAAACgBAABkcnMv&#10;ZTJvRG9jLnhtbFBLBQYAAAAABgAGAFkBAAAKBgAAAAA=&#10;" adj="-3267,33663">
            <v:path/>
            <v:fill on="f" focussize="0,0"/>
            <v:stroke color="#FFFFFF" miterlimit="8" joinstyle="miter"/>
            <v:imagedata o:title=""/>
            <o:lock v:ext="edit" aspectratio="f"/>
            <v:textbox>
              <w:txbxContent>
                <w:p w14:paraId="283A8F5E">
                  <w:pPr>
                    <w:spacing w:line="240" w:lineRule="auto"/>
                    <w:ind w:firstLine="0" w:firstLineChars="0"/>
                    <w:rPr>
                      <w:rFonts w:hint="default" w:eastAsia="仿宋_GB2312"/>
                      <w:b/>
                      <w:bCs/>
                      <w:color w:val="FFFFFF" w:themeColor="background1"/>
                      <w:sz w:val="21"/>
                      <w:szCs w:val="21"/>
                      <w:lang w:val="en-US" w:eastAsia="zh-CN"/>
                    </w:rPr>
                  </w:pPr>
                  <w:r>
                    <w:rPr>
                      <w:rFonts w:hint="eastAsia"/>
                      <w:b/>
                      <w:bCs/>
                      <w:color w:val="FFFFFF" w:themeColor="background1"/>
                      <w:sz w:val="21"/>
                      <w:szCs w:val="21"/>
                      <w:lang w:val="en-US" w:eastAsia="zh-CN"/>
                    </w:rPr>
                    <w:t>项目所在地</w:t>
                  </w:r>
                </w:p>
              </w:txbxContent>
            </v:textbox>
          </v:shape>
        </w:pict>
      </w:r>
      <w:r>
        <w:rPr>
          <w:sz w:val="21"/>
          <w:highlight w:val="none"/>
        </w:rPr>
        <w:pict>
          <v:shape id="_x0000_s2428" o:spid="_x0000_s2428" o:spt="12" type="#_x0000_t12" style="position:absolute;left:0pt;margin-left:196.45pt;margin-top:323.75pt;height:8.25pt;width:7.5pt;z-index:251684864;mso-width-relative:page;mso-height-relative:page;" fillcolor="#FF0000" filled="t" stroked="t" coordsize="21600,21600">
            <v:path/>
            <v:fill on="t" color2="#FFFFFF" focussize="0,0"/>
            <v:stroke color="#000000" joinstyle="miter"/>
            <v:imagedata o:title=""/>
            <o:lock v:ext="edit" aspectratio="f"/>
          </v:shape>
        </w:pict>
      </w:r>
      <w:r>
        <w:rPr>
          <w:color w:val="auto"/>
          <w:highlight w:val="none"/>
        </w:rPr>
        <w:drawing>
          <wp:anchor distT="0" distB="0" distL="114300" distR="114300" simplePos="0" relativeHeight="251687936" behindDoc="0" locked="0" layoutInCell="1" allowOverlap="1">
            <wp:simplePos x="0" y="0"/>
            <wp:positionH relativeFrom="column">
              <wp:posOffset>6985</wp:posOffset>
            </wp:positionH>
            <wp:positionV relativeFrom="paragraph">
              <wp:posOffset>33655</wp:posOffset>
            </wp:positionV>
            <wp:extent cx="911225" cy="1708150"/>
            <wp:effectExtent l="0" t="0" r="3175" b="6350"/>
            <wp:wrapNone/>
            <wp:docPr id="3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9"/>
                    <pic:cNvPicPr>
                      <a:picLocks noChangeAspect="1"/>
                    </pic:cNvPicPr>
                  </pic:nvPicPr>
                  <pic:blipFill>
                    <a:blip r:embed="rId58"/>
                    <a:stretch>
                      <a:fillRect/>
                    </a:stretch>
                  </pic:blipFill>
                  <pic:spPr>
                    <a:xfrm>
                      <a:off x="0" y="0"/>
                      <a:ext cx="911225" cy="1708150"/>
                    </a:xfrm>
                    <a:prstGeom prst="rect">
                      <a:avLst/>
                    </a:prstGeom>
                    <a:noFill/>
                    <a:ln>
                      <a:noFill/>
                    </a:ln>
                  </pic:spPr>
                </pic:pic>
              </a:graphicData>
            </a:graphic>
          </wp:anchor>
        </w:drawing>
      </w:r>
      <w:r>
        <w:rPr>
          <w:color w:val="auto"/>
          <w:highlight w:val="none"/>
        </w:rPr>
        <w:drawing>
          <wp:anchor distT="0" distB="0" distL="114300" distR="114300" simplePos="0" relativeHeight="251688960" behindDoc="0" locked="0" layoutInCell="1" allowOverlap="1">
            <wp:simplePos x="0" y="0"/>
            <wp:positionH relativeFrom="column">
              <wp:posOffset>13335</wp:posOffset>
            </wp:positionH>
            <wp:positionV relativeFrom="paragraph">
              <wp:posOffset>1695450</wp:posOffset>
            </wp:positionV>
            <wp:extent cx="906145" cy="1661795"/>
            <wp:effectExtent l="0" t="0" r="8255" b="14605"/>
            <wp:wrapNone/>
            <wp:docPr id="3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0"/>
                    <pic:cNvPicPr>
                      <a:picLocks noChangeAspect="1"/>
                    </pic:cNvPicPr>
                  </pic:nvPicPr>
                  <pic:blipFill>
                    <a:blip r:embed="rId59"/>
                    <a:stretch>
                      <a:fillRect/>
                    </a:stretch>
                  </pic:blipFill>
                  <pic:spPr>
                    <a:xfrm>
                      <a:off x="0" y="0"/>
                      <a:ext cx="906145" cy="1661795"/>
                    </a:xfrm>
                    <a:prstGeom prst="rect">
                      <a:avLst/>
                    </a:prstGeom>
                    <a:noFill/>
                    <a:ln>
                      <a:noFill/>
                    </a:ln>
                  </pic:spPr>
                </pic:pic>
              </a:graphicData>
            </a:graphic>
          </wp:anchor>
        </w:drawing>
      </w:r>
      <w:r>
        <w:rPr>
          <w:color w:val="auto"/>
          <w:highlight w:val="none"/>
        </w:rPr>
        <w:drawing>
          <wp:anchor distT="0" distB="0" distL="114300" distR="114300" simplePos="0" relativeHeight="251686912" behindDoc="0" locked="0" layoutInCell="1" allowOverlap="1">
            <wp:simplePos x="0" y="0"/>
            <wp:positionH relativeFrom="column">
              <wp:posOffset>6816090</wp:posOffset>
            </wp:positionH>
            <wp:positionV relativeFrom="paragraph">
              <wp:posOffset>656590</wp:posOffset>
            </wp:positionV>
            <wp:extent cx="1113155" cy="2038985"/>
            <wp:effectExtent l="0" t="0" r="10795" b="18415"/>
            <wp:wrapNone/>
            <wp:docPr id="4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8"/>
                    <pic:cNvPicPr>
                      <a:picLocks noChangeAspect="1"/>
                    </pic:cNvPicPr>
                  </pic:nvPicPr>
                  <pic:blipFill>
                    <a:blip r:embed="rId60"/>
                    <a:stretch>
                      <a:fillRect/>
                    </a:stretch>
                  </pic:blipFill>
                  <pic:spPr>
                    <a:xfrm>
                      <a:off x="0" y="0"/>
                      <a:ext cx="1113155" cy="2038985"/>
                    </a:xfrm>
                    <a:prstGeom prst="rect">
                      <a:avLst/>
                    </a:prstGeom>
                    <a:noFill/>
                    <a:ln>
                      <a:noFill/>
                    </a:ln>
                  </pic:spPr>
                </pic:pic>
              </a:graphicData>
            </a:graphic>
          </wp:anchor>
        </w:drawing>
      </w:r>
      <w:r>
        <w:rPr>
          <w:highlight w:val="none"/>
        </w:rPr>
        <w:drawing>
          <wp:anchor distT="0" distB="0" distL="114300" distR="114300" simplePos="0" relativeHeight="251683840" behindDoc="0" locked="0" layoutInCell="1" allowOverlap="1">
            <wp:simplePos x="0" y="0"/>
            <wp:positionH relativeFrom="column">
              <wp:posOffset>17780</wp:posOffset>
            </wp:positionH>
            <wp:positionV relativeFrom="paragraph">
              <wp:posOffset>19050</wp:posOffset>
            </wp:positionV>
            <wp:extent cx="781050" cy="752475"/>
            <wp:effectExtent l="0" t="0" r="0" b="9525"/>
            <wp:wrapNone/>
            <wp:docPr id="4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5"/>
                    <pic:cNvPicPr>
                      <a:picLocks noChangeAspect="1"/>
                    </pic:cNvPicPr>
                  </pic:nvPicPr>
                  <pic:blipFill>
                    <a:blip r:embed="rId61"/>
                    <a:stretch>
                      <a:fillRect/>
                    </a:stretch>
                  </pic:blipFill>
                  <pic:spPr>
                    <a:xfrm>
                      <a:off x="0" y="0"/>
                      <a:ext cx="781050" cy="752475"/>
                    </a:xfrm>
                    <a:prstGeom prst="rect">
                      <a:avLst/>
                    </a:prstGeom>
                    <a:noFill/>
                    <a:ln>
                      <a:noFill/>
                    </a:ln>
                  </pic:spPr>
                </pic:pic>
              </a:graphicData>
            </a:graphic>
          </wp:anchor>
        </w:drawing>
      </w:r>
      <w:r>
        <w:rPr>
          <w:color w:val="auto"/>
          <w:highlight w:val="none"/>
        </w:rPr>
        <w:drawing>
          <wp:inline distT="0" distB="0" distL="114300" distR="114300">
            <wp:extent cx="7924165" cy="4860290"/>
            <wp:effectExtent l="9525" t="9525" r="10160" b="26035"/>
            <wp:docPr id="4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7"/>
                    <pic:cNvPicPr>
                      <a:picLocks noChangeAspect="1"/>
                    </pic:cNvPicPr>
                  </pic:nvPicPr>
                  <pic:blipFill>
                    <a:blip r:embed="rId62"/>
                    <a:stretch>
                      <a:fillRect/>
                    </a:stretch>
                  </pic:blipFill>
                  <pic:spPr>
                    <a:xfrm>
                      <a:off x="0" y="0"/>
                      <a:ext cx="7924165" cy="4860290"/>
                    </a:xfrm>
                    <a:prstGeom prst="rect">
                      <a:avLst/>
                    </a:prstGeom>
                    <a:noFill/>
                    <a:ln>
                      <a:solidFill>
                        <a:schemeClr val="tx1"/>
                      </a:solidFill>
                    </a:ln>
                  </pic:spPr>
                </pic:pic>
              </a:graphicData>
            </a:graphic>
          </wp:inline>
        </w:drawing>
      </w:r>
    </w:p>
    <w:p w14:paraId="346909E6">
      <w:pPr>
        <w:pStyle w:val="7"/>
        <w:bidi w:val="0"/>
        <w:rPr>
          <w:highlight w:val="none"/>
        </w:rPr>
        <w:sectPr>
          <w:pgSz w:w="16838" w:h="11906" w:orient="landscape"/>
          <w:pgMar w:top="1800" w:right="1440" w:bottom="1800" w:left="1440" w:header="851" w:footer="992" w:gutter="0"/>
          <w:pgBorders w:offsetFrom="page">
            <w:top w:val="none" w:sz="0" w:space="0"/>
            <w:left w:val="none" w:sz="0" w:space="0"/>
            <w:bottom w:val="none" w:sz="0" w:space="0"/>
            <w:right w:val="none" w:sz="0" w:space="0"/>
          </w:pgBorders>
          <w:cols w:space="425" w:num="1"/>
          <w:docGrid w:type="lines" w:linePitch="312" w:charSpace="0"/>
        </w:sectPr>
      </w:pPr>
      <w:r>
        <w:rPr>
          <w:highlight w:val="none"/>
        </w:rPr>
        <w:t>图</w:t>
      </w:r>
      <w:r>
        <w:rPr>
          <w:rFonts w:hint="eastAsia"/>
          <w:highlight w:val="none"/>
          <w:lang w:val="en-US" w:eastAsia="zh-CN"/>
        </w:rPr>
        <w:t>4-1-5</w:t>
      </w:r>
      <w:r>
        <w:rPr>
          <w:highlight w:val="none"/>
        </w:rPr>
        <w:t>水文地质图</w:t>
      </w:r>
    </w:p>
    <w:p w14:paraId="68CEE157">
      <w:pPr>
        <w:keepNext w:val="0"/>
        <w:keepLines w:val="0"/>
        <w:pageBreakBefore w:val="0"/>
        <w:widowControl w:val="0"/>
        <w:kinsoku/>
        <w:wordWrap w:val="0"/>
        <w:overflowPunct/>
        <w:topLinePunct w:val="0"/>
        <w:autoSpaceDE/>
        <w:autoSpaceDN/>
        <w:bidi w:val="0"/>
        <w:adjustRightInd w:val="0"/>
        <w:snapToGrid w:val="0"/>
        <w:spacing w:line="360" w:lineRule="auto"/>
        <w:ind w:firstLine="0" w:firstLineChars="0"/>
        <w:textAlignment w:val="auto"/>
        <w:rPr>
          <w:rFonts w:eastAsiaTheme="minorEastAsia"/>
          <w:b/>
          <w:sz w:val="24"/>
          <w:highlight w:val="none"/>
        </w:rPr>
      </w:pPr>
      <w:r>
        <w:rPr>
          <w:sz w:val="24"/>
          <w:highlight w:val="none"/>
        </w:rPr>
        <w:pict>
          <v:shape id="自选图形 257" o:spid="_x0000_s2435" o:spt="32" type="#_x0000_t32" style="position:absolute;left:0pt;flip:y;margin-left:115.35pt;margin-top:245.1pt;height:54.75pt;width:21.75pt;z-index:-251623424;mso-width-relative:page;mso-height-relative:page;" filled="f" stroked="t" coordsize="21600,21600">
            <v:path arrowok="t"/>
            <v:fill on="f" focussize="0,0"/>
            <v:stroke weight="2.25pt" color="#00B0F0" joinstyle="round" endarrow="block"/>
            <v:imagedata o:title=""/>
            <o:lock v:ext="edit" aspectratio="f"/>
          </v:shape>
        </w:pict>
      </w:r>
      <w:r>
        <w:rPr>
          <w:sz w:val="24"/>
          <w:highlight w:val="none"/>
        </w:rPr>
        <w:pict>
          <v:shape id="_x0000_s2434" o:spid="_x0000_s2434" o:spt="61" type="#_x0000_t61" style="position:absolute;left:0pt;margin-left:184pt;margin-top:280.6pt;height:20.95pt;width:125pt;z-index:-251624448;mso-width-relative:page;mso-height-relative:page;" filled="f" stroked="t" coordsize="21600,21600" adj="-9450,17334">
            <v:path/>
            <v:fill on="f" focussize="0,0"/>
            <v:stroke color="#00B0F0" miterlimit="8" joinstyle="miter"/>
            <v:imagedata o:title=""/>
            <o:lock v:ext="edit" aspectratio="f"/>
            <v:textbox>
              <w:txbxContent>
                <w:p w14:paraId="27F23AE4">
                  <w:pPr>
                    <w:spacing w:line="240" w:lineRule="auto"/>
                    <w:ind w:firstLine="0" w:firstLineChars="0"/>
                    <w:rPr>
                      <w:b/>
                      <w:bCs/>
                      <w:color w:val="00B0F0"/>
                    </w:rPr>
                  </w:pPr>
                  <w:r>
                    <w:rPr>
                      <w:rFonts w:hint="eastAsia"/>
                      <w:b/>
                      <w:bCs/>
                      <w:color w:val="00B0F0"/>
                      <w:sz w:val="21"/>
                      <w:szCs w:val="21"/>
                    </w:rPr>
                    <w:t>项目位置及地下水</w:t>
                  </w:r>
                  <w:r>
                    <w:rPr>
                      <w:rFonts w:hint="eastAsia" w:ascii="Times New Roman" w:hAnsi="Times New Roman" w:cs="Times New Roman" w:eastAsiaTheme="minorEastAsia"/>
                      <w:b/>
                      <w:bCs w:val="0"/>
                      <w:color w:val="000000"/>
                      <w:kern w:val="0"/>
                      <w:sz w:val="24"/>
                      <w:szCs w:val="28"/>
                      <w:lang w:val="en-US" w:eastAsia="zh-CN" w:bidi="ar-SA"/>
                    </w:rPr>
                    <w:t>流向</w:t>
                  </w:r>
                </w:p>
              </w:txbxContent>
            </v:textbox>
          </v:shape>
        </w:pict>
      </w:r>
      <w:r>
        <w:rPr>
          <w:color w:val="auto"/>
          <w:highlight w:val="none"/>
        </w:rPr>
        <w:drawing>
          <wp:inline distT="0" distB="0" distL="114300" distR="114300">
            <wp:extent cx="5386705" cy="1563370"/>
            <wp:effectExtent l="9525" t="9525" r="13970" b="27305"/>
            <wp:docPr id="26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1"/>
                    <pic:cNvPicPr>
                      <a:picLocks noChangeAspect="1"/>
                    </pic:cNvPicPr>
                  </pic:nvPicPr>
                  <pic:blipFill>
                    <a:blip r:embed="rId63"/>
                    <a:stretch>
                      <a:fillRect/>
                    </a:stretch>
                  </pic:blipFill>
                  <pic:spPr>
                    <a:xfrm>
                      <a:off x="0" y="0"/>
                      <a:ext cx="5386705" cy="1563370"/>
                    </a:xfrm>
                    <a:prstGeom prst="rect">
                      <a:avLst/>
                    </a:prstGeom>
                    <a:noFill/>
                    <a:ln>
                      <a:solidFill>
                        <a:schemeClr val="tx1"/>
                      </a:solidFill>
                    </a:ln>
                  </pic:spPr>
                </pic:pic>
              </a:graphicData>
            </a:graphic>
          </wp:inline>
        </w:drawing>
      </w:r>
    </w:p>
    <w:p w14:paraId="28E432DB">
      <w:pPr>
        <w:pStyle w:val="7"/>
        <w:bidi w:val="0"/>
        <w:rPr>
          <w:highlight w:val="none"/>
        </w:rPr>
      </w:pPr>
      <w:r>
        <w:rPr>
          <w:highlight w:val="none"/>
        </w:rPr>
        <w:t>图4-1-6本项目评价区水文地质剖面图</w:t>
      </w:r>
    </w:p>
    <w:p w14:paraId="7DC4D1FC">
      <w:pPr>
        <w:keepNext w:val="0"/>
        <w:keepLines w:val="0"/>
        <w:pageBreakBefore w:val="0"/>
        <w:widowControl w:val="0"/>
        <w:kinsoku/>
        <w:wordWrap w:val="0"/>
        <w:overflowPunct/>
        <w:topLinePunct w:val="0"/>
        <w:autoSpaceDE/>
        <w:autoSpaceDN/>
        <w:bidi w:val="0"/>
        <w:adjustRightInd w:val="0"/>
        <w:snapToGrid w:val="0"/>
        <w:ind w:firstLine="0" w:firstLineChars="0"/>
        <w:textAlignment w:val="auto"/>
        <w:rPr>
          <w:highlight w:val="none"/>
        </w:rPr>
      </w:pPr>
      <w:r>
        <w:rPr>
          <w:highlight w:val="none"/>
        </w:rPr>
        <w:pict>
          <v:shape id="_x0000_s2438" o:spid="_x0000_s2438" o:spt="32" type="#_x0000_t32" style="position:absolute;left:0pt;flip:y;margin-left:118.15pt;margin-top:340.25pt;height:54.75pt;width:21.75pt;z-index:251694080;mso-width-relative:page;mso-height-relative:page;" filled="f" stroked="t" coordsize="21600,21600" o:gfxdata="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UQji&#10;6tUAAAAEAQAADwAAAAAAAAABACAAAAAiAAAAZHJzL2Rvd25yZXYueG1sUEsBAhQAFAAAAAgAh07i&#10;QMZ9TeMlAgAAAQQAAA4AAAAAAAAAAQAgAAAAJAEAAGRycy9lMm9Eb2MueG1sUEsFBgAAAAAGAAYA&#10;WQEAALsFAAAAAA==&#10;">
            <v:path arrowok="t"/>
            <v:fill on="f" focussize="0,0"/>
            <v:stroke weight="2.25pt" color="#00B0F0" joinstyle="round" endarrow="block"/>
            <v:imagedata o:title=""/>
            <o:lock v:ext="edit" aspectratio="f"/>
          </v:shape>
        </w:pict>
      </w:r>
      <w:r>
        <w:rPr>
          <w:highlight w:val="none"/>
        </w:rPr>
        <w:pict>
          <v:shape id="_x0000_s2437" o:spid="_x0000_s2437" o:spt="61" type="#_x0000_t61" style="position:absolute;left:0pt;margin-left:183.95pt;margin-top:371.05pt;height:20.9pt;width:125pt;z-index:251694080;mso-width-relative:page;mso-height-relative:page;" filled="f" stroked="t" coordsize="21600,21600" o:gfxdata="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DJo9DDYAAAACgEAAA8AAAAAAAAAAQAgAAAA&#10;IgAAAGRycy9kb3ducmV2LnhtbFBLAQIUABQAAAAIAIdO4kA/+5MwfQIAAMQEAAAOAAAAAAAAAAEA&#10;IAAAACcBAABkcnMvZTJvRG9jLnhtbFBLBQYAAAAABgAGAFkBAAAWBgAAAAA=&#10;" adj="-9450,17334">
            <v:path/>
            <v:fill on="f" focussize="0,0"/>
            <v:stroke color="#00B0F0" miterlimit="8" joinstyle="miter"/>
            <v:imagedata o:title=""/>
            <o:lock v:ext="edit" aspectratio="f"/>
            <v:textbox>
              <w:txbxContent>
                <w:p w14:paraId="34742513">
                  <w:pPr>
                    <w:spacing w:line="240" w:lineRule="auto"/>
                    <w:ind w:firstLine="0" w:firstLineChars="0"/>
                    <w:rPr>
                      <w:b/>
                      <w:bCs/>
                      <w:color w:val="00B0F0"/>
                    </w:rPr>
                  </w:pPr>
                  <w:r>
                    <w:rPr>
                      <w:rFonts w:hint="eastAsia"/>
                      <w:b/>
                      <w:bCs/>
                      <w:color w:val="00B0F0"/>
                      <w:sz w:val="21"/>
                      <w:szCs w:val="21"/>
                    </w:rPr>
                    <w:t>项目位置及地下水</w:t>
                  </w:r>
                  <w:r>
                    <w:rPr>
                      <w:rFonts w:hint="eastAsia" w:ascii="Times New Roman" w:hAnsi="Times New Roman" w:cs="Times New Roman"/>
                      <w:b/>
                      <w:bCs/>
                      <w:color w:val="00B0F0"/>
                      <w:sz w:val="21"/>
                      <w:szCs w:val="21"/>
                      <w:lang w:val="en-US" w:eastAsia="zh-CN"/>
                    </w:rPr>
                    <w:t>流向</w:t>
                  </w:r>
                </w:p>
              </w:txbxContent>
            </v:textbox>
          </v:shape>
        </w:pict>
      </w:r>
      <w:r>
        <w:rPr>
          <w:sz w:val="24"/>
          <w:highlight w:val="none"/>
        </w:rPr>
        <w:drawing>
          <wp:inline distT="0" distB="0" distL="114300" distR="114300">
            <wp:extent cx="5386705" cy="5628005"/>
            <wp:effectExtent l="9525" t="9525" r="13970" b="20320"/>
            <wp:docPr id="4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5"/>
                    <pic:cNvPicPr>
                      <a:picLocks noChangeAspect="1"/>
                    </pic:cNvPicPr>
                  </pic:nvPicPr>
                  <pic:blipFill>
                    <a:blip r:embed="rId64"/>
                    <a:stretch>
                      <a:fillRect/>
                    </a:stretch>
                  </pic:blipFill>
                  <pic:spPr>
                    <a:xfrm>
                      <a:off x="0" y="0"/>
                      <a:ext cx="5386705" cy="5628005"/>
                    </a:xfrm>
                    <a:prstGeom prst="rect">
                      <a:avLst/>
                    </a:prstGeom>
                    <a:noFill/>
                    <a:ln>
                      <a:solidFill>
                        <a:schemeClr val="tx1"/>
                      </a:solidFill>
                    </a:ln>
                  </pic:spPr>
                </pic:pic>
              </a:graphicData>
            </a:graphic>
          </wp:inline>
        </w:drawing>
      </w:r>
    </w:p>
    <w:p w14:paraId="2BFDD61B">
      <w:pPr>
        <w:pStyle w:val="7"/>
        <w:bidi w:val="0"/>
        <w:rPr>
          <w:highlight w:val="none"/>
        </w:rPr>
      </w:pPr>
      <w:bookmarkStart w:id="322" w:name="_Toc21767"/>
      <w:r>
        <w:rPr>
          <w:highlight w:val="none"/>
        </w:rPr>
        <w:t>图4-1-</w:t>
      </w:r>
      <w:r>
        <w:rPr>
          <w:rFonts w:hint="eastAsia"/>
          <w:highlight w:val="none"/>
          <w:lang w:val="en-US" w:eastAsia="zh-CN"/>
        </w:rPr>
        <w:t>7</w:t>
      </w:r>
      <w:r>
        <w:rPr>
          <w:rFonts w:hint="eastAsia"/>
          <w:highlight w:val="none"/>
        </w:rPr>
        <w:t>评价区地下水等水位线图</w:t>
      </w:r>
    </w:p>
    <w:p w14:paraId="2AA74BAE">
      <w:pPr>
        <w:bidi w:val="0"/>
        <w:rPr>
          <w:highlight w:val="none"/>
        </w:rPr>
      </w:pPr>
      <w:r>
        <w:rPr>
          <w:highlight w:val="none"/>
        </w:rPr>
        <w:t>4、地下水补给、径流、排泄条件</w:t>
      </w:r>
      <w:bookmarkEnd w:id="322"/>
    </w:p>
    <w:p w14:paraId="31FF0D00">
      <w:pPr>
        <w:bidi w:val="0"/>
        <w:rPr>
          <w:highlight w:val="none"/>
        </w:rPr>
      </w:pPr>
      <w:r>
        <w:rPr>
          <w:highlight w:val="none"/>
        </w:rPr>
        <w:t>区内地下水补给主要为大气降水补给、地表水入渗补给及侧向径流补给，潜水水位变化与大气降水同步进行，而承压水丰水期滞后于潜水丰水期，这说明潜水主要受大气降水及地表水入渗补给，承压水接受潜水</w:t>
      </w:r>
      <w:r>
        <w:rPr>
          <w:rFonts w:hint="eastAsia"/>
          <w:highlight w:val="none"/>
          <w:lang w:eastAsia="zh-CN"/>
        </w:rPr>
        <w:t>径</w:t>
      </w:r>
      <w:r>
        <w:rPr>
          <w:highlight w:val="none"/>
        </w:rPr>
        <w:t>流补给较缓慢，呈滞后状态。此外，承压水还接受侧向径流补给。评价区地下水流向为</w:t>
      </w:r>
      <w:r>
        <w:rPr>
          <w:rFonts w:ascii="Times New Roman" w:hAnsi="Times New Roman" w:eastAsia="宋体" w:cs="Times New Roman"/>
          <w:color w:val="auto"/>
          <w:sz w:val="24"/>
          <w:szCs w:val="24"/>
          <w:highlight w:val="none"/>
        </w:rPr>
        <w:t>南东向北西方向</w:t>
      </w:r>
      <w:r>
        <w:rPr>
          <w:highlight w:val="none"/>
        </w:rPr>
        <w:t>。</w:t>
      </w:r>
    </w:p>
    <w:p w14:paraId="5BCFB5D2">
      <w:pPr>
        <w:bidi w:val="0"/>
        <w:rPr>
          <w:highlight w:val="none"/>
        </w:rPr>
      </w:pPr>
      <w:bookmarkStart w:id="323" w:name="_Toc10470"/>
      <w:r>
        <w:rPr>
          <w:highlight w:val="none"/>
        </w:rPr>
        <w:t>5、地下水动态变化特征</w:t>
      </w:r>
      <w:bookmarkEnd w:id="323"/>
    </w:p>
    <w:p w14:paraId="0C732B1D">
      <w:pPr>
        <w:bidi w:val="0"/>
        <w:rPr>
          <w:highlight w:val="none"/>
        </w:rPr>
      </w:pPr>
      <w:r>
        <w:rPr>
          <w:highlight w:val="none"/>
        </w:rPr>
        <w:t>评价区坐落在松花江南岸、哈尔滨南部，地貌单元为岗阜状高平原组成。地下水含水层是由、中更新统下荒山组和下更新统猞猁组含水层构成。哈尔滨市中心区域由于多年集中开采地下水，自</w:t>
      </w:r>
      <w:r>
        <w:rPr>
          <w:rFonts w:hint="eastAsia"/>
          <w:highlight w:val="none"/>
          <w:lang w:eastAsia="zh-CN"/>
        </w:rPr>
        <w:t>70年代</w:t>
      </w:r>
      <w:r>
        <w:rPr>
          <w:highlight w:val="none"/>
        </w:rPr>
        <w:t>末期至</w:t>
      </w:r>
      <w:r>
        <w:rPr>
          <w:rFonts w:hint="eastAsia"/>
          <w:highlight w:val="none"/>
          <w:lang w:eastAsia="zh-CN"/>
        </w:rPr>
        <w:t>80年代</w:t>
      </w:r>
      <w:r>
        <w:rPr>
          <w:highlight w:val="none"/>
        </w:rPr>
        <w:t>中期，市区地下水开始形成了206km</w:t>
      </w:r>
      <w:r>
        <w:rPr>
          <w:highlight w:val="none"/>
          <w:vertAlign w:val="superscript"/>
        </w:rPr>
        <w:t>2</w:t>
      </w:r>
      <w:r>
        <w:rPr>
          <w:highlight w:val="none"/>
        </w:rPr>
        <w:t>范围内的区域降落漏斗。至</w:t>
      </w:r>
      <w:r>
        <w:rPr>
          <w:rFonts w:hint="eastAsia"/>
          <w:highlight w:val="none"/>
          <w:lang w:eastAsia="zh-CN"/>
        </w:rPr>
        <w:t>90年代</w:t>
      </w:r>
      <w:r>
        <w:rPr>
          <w:highlight w:val="none"/>
        </w:rPr>
        <w:t>中期漏斗面积达380km</w:t>
      </w:r>
      <w:r>
        <w:rPr>
          <w:highlight w:val="none"/>
          <w:vertAlign w:val="superscript"/>
        </w:rPr>
        <w:t>2</w:t>
      </w:r>
      <w:r>
        <w:rPr>
          <w:highlight w:val="none"/>
        </w:rPr>
        <w:t>，由此产生了一系列环境水文地质问题，使市区范围内地下水迅速发展为人工开采后的地下水流动系统。地下水位动态在1980-2003年间一直处于连续下降的走势，呈现出降水-开采型；致使高平原区承压水大都转变为无压层间水，改变了地区地下水天然流场，使区内地下水的补给来源从三个方向流入漏斗中心，一是北部松花江水的侧向渗入补给；二是南部岗阜状高平原区地下水的渗向补给；三是东部</w:t>
      </w:r>
      <w:r>
        <w:rPr>
          <w:rFonts w:hint="eastAsia"/>
          <w:highlight w:val="none"/>
          <w:lang w:eastAsia="zh-CN"/>
        </w:rPr>
        <w:t>马家沟河</w:t>
      </w:r>
      <w:r>
        <w:rPr>
          <w:highlight w:val="none"/>
        </w:rPr>
        <w:t>漫滩区地下水及稻田水的下渗补给，所有这些补给都是趋于向漏斗中心区域汇集，消耗于人工开采。老城区所开采的地下水资源是由两部分组成的：一部分是每年进入含水层的补给量；另一部分是原来的储存量。在现状开采条件下地下水补给量的多少，主要取决于地下水的开采强度。2003年后，市区调整用水结构后，关闭了部分自备水源井和开采井后，加上</w:t>
      </w:r>
      <w:r>
        <w:rPr>
          <w:rFonts w:hint="eastAsia"/>
          <w:highlight w:val="none"/>
          <w:lang w:eastAsia="zh-CN"/>
        </w:rPr>
        <w:t>“</w:t>
      </w:r>
      <w:r>
        <w:rPr>
          <w:highlight w:val="none"/>
        </w:rPr>
        <w:t>三大动力</w:t>
      </w:r>
      <w:r>
        <w:rPr>
          <w:rFonts w:hint="eastAsia"/>
          <w:highlight w:val="none"/>
          <w:lang w:eastAsia="zh-CN"/>
        </w:rPr>
        <w:t>”</w:t>
      </w:r>
      <w:r>
        <w:rPr>
          <w:highlight w:val="none"/>
        </w:rPr>
        <w:t>区用水大户减产，磨盘山水库的投入使用，减小了地下水量的开采，致使地下水位出现了平稳回升走势，目前，整个哈尔滨地区降落漏斗面积在逐渐缩小。</w:t>
      </w:r>
    </w:p>
    <w:p w14:paraId="67C44C6B">
      <w:pPr>
        <w:pStyle w:val="4"/>
        <w:bidi w:val="0"/>
        <w:rPr>
          <w:highlight w:val="none"/>
        </w:rPr>
      </w:pPr>
      <w:bookmarkStart w:id="324" w:name="_Toc13558"/>
      <w:bookmarkStart w:id="325" w:name="_Toc1644"/>
      <w:r>
        <w:rPr>
          <w:highlight w:val="none"/>
        </w:rPr>
        <w:t>4.1.</w:t>
      </w:r>
      <w:bookmarkEnd w:id="313"/>
      <w:r>
        <w:rPr>
          <w:highlight w:val="none"/>
        </w:rPr>
        <w:t>6土壤</w:t>
      </w:r>
      <w:bookmarkEnd w:id="324"/>
      <w:bookmarkEnd w:id="325"/>
    </w:p>
    <w:p w14:paraId="0BFFCD16">
      <w:pPr>
        <w:bidi w:val="0"/>
        <w:rPr>
          <w:highlight w:val="none"/>
        </w:rPr>
      </w:pPr>
      <w:r>
        <w:rPr>
          <w:highlight w:val="none"/>
        </w:rPr>
        <w:t>由于受地形、气候、植物等自然因素及人为活动的影响，全市土壤类型较多，共有9个土类、21个亚类、25个土种。</w:t>
      </w:r>
    </w:p>
    <w:p w14:paraId="046FC60B">
      <w:pPr>
        <w:bidi w:val="0"/>
        <w:rPr>
          <w:highlight w:val="none"/>
        </w:rPr>
      </w:pPr>
      <w:r>
        <w:rPr>
          <w:highlight w:val="none"/>
        </w:rPr>
        <w:t>黑土，是郊区及县（市）的主要土壤，也是分布最广、数量最多的土壤类型，集中分布在东北郊、南部和西部，面积为2.14万hm</w:t>
      </w:r>
      <w:r>
        <w:rPr>
          <w:highlight w:val="none"/>
          <w:vertAlign w:val="superscript"/>
        </w:rPr>
        <w:t>2</w:t>
      </w:r>
      <w:r>
        <w:rPr>
          <w:highlight w:val="none"/>
        </w:rPr>
        <w:t>，占总土地面积的47.7%。黑土在全市分为2个亚类（黑土和草甸黑土）、3个土属（粘质黑土、砂质黑土、草甸黑土），共7个土种。黑土土壤养分含量比较丰富，适于各种农作物生长。黑钙土，是全市主要耕作土壤，主要分布在中部平川地和岗平地上，在全市分为3个亚类：黑钙土、淋溶黑钙土、草甸黑钙土，共8个土种。黑钙土养分含量仅次于黑土，适于作物栽培。</w:t>
      </w:r>
    </w:p>
    <w:p w14:paraId="3391D985">
      <w:pPr>
        <w:bidi w:val="0"/>
        <w:rPr>
          <w:highlight w:val="none"/>
        </w:rPr>
      </w:pPr>
      <w:r>
        <w:rPr>
          <w:highlight w:val="none"/>
        </w:rPr>
        <w:t>草甸土也是全市主要耕作土壤，多数分布在沿江河低洼淋溶地带和松花江台地漫滩地带。草甸土在全市分为6个亚类：草甸土、碱化草甸土、泛滥地草甸土、盐化草甸土、潜育草甸土、</w:t>
      </w:r>
      <w:r>
        <w:rPr>
          <w:highlight w:val="none"/>
        </w:rPr>
        <w:fldChar w:fldCharType="begin"/>
      </w:r>
      <w:r>
        <w:rPr>
          <w:highlight w:val="none"/>
        </w:rPr>
        <w:instrText xml:space="preserve"> HYPERLINK "http://baike.soso.com/v784546.htm?ch=ch.bk.innerlink" \t "_blank" </w:instrText>
      </w:r>
      <w:r>
        <w:rPr>
          <w:highlight w:val="none"/>
        </w:rPr>
        <w:fldChar w:fldCharType="separate"/>
      </w:r>
      <w:r>
        <w:rPr>
          <w:highlight w:val="none"/>
        </w:rPr>
        <w:t>硫酸盐</w:t>
      </w:r>
      <w:r>
        <w:rPr>
          <w:highlight w:val="none"/>
        </w:rPr>
        <w:fldChar w:fldCharType="end"/>
      </w:r>
      <w:r>
        <w:rPr>
          <w:highlight w:val="none"/>
        </w:rPr>
        <w:t>草甸土，共10个土种。草甸土大部分宜耕性较差，宜发展草场和栽植</w:t>
      </w:r>
      <w:r>
        <w:rPr>
          <w:highlight w:val="none"/>
        </w:rPr>
        <w:fldChar w:fldCharType="begin"/>
      </w:r>
      <w:r>
        <w:rPr>
          <w:highlight w:val="none"/>
        </w:rPr>
        <w:instrText xml:space="preserve"> HYPERLINK "http://baike.soso.com/v7685627.htm?ch=ch.bk.innerlink" \t "_blank" </w:instrText>
      </w:r>
      <w:r>
        <w:rPr>
          <w:highlight w:val="none"/>
        </w:rPr>
        <w:fldChar w:fldCharType="separate"/>
      </w:r>
      <w:r>
        <w:rPr>
          <w:highlight w:val="none"/>
        </w:rPr>
        <w:t>薪炭林</w:t>
      </w:r>
      <w:r>
        <w:rPr>
          <w:highlight w:val="none"/>
        </w:rPr>
        <w:fldChar w:fldCharType="end"/>
      </w:r>
      <w:r>
        <w:rPr>
          <w:highlight w:val="none"/>
        </w:rPr>
        <w:t>。</w:t>
      </w:r>
    </w:p>
    <w:p w14:paraId="2BDA46AC">
      <w:pPr>
        <w:bidi w:val="0"/>
        <w:rPr>
          <w:highlight w:val="none"/>
        </w:rPr>
      </w:pPr>
      <w:r>
        <w:rPr>
          <w:highlight w:val="none"/>
        </w:rPr>
        <w:t>砂土及</w:t>
      </w:r>
      <w:r>
        <w:rPr>
          <w:highlight w:val="none"/>
        </w:rPr>
        <w:fldChar w:fldCharType="begin"/>
      </w:r>
      <w:r>
        <w:rPr>
          <w:highlight w:val="none"/>
        </w:rPr>
        <w:instrText xml:space="preserve"> HYPERLINK "http://baike.soso.com/v72439.htm?ch=ch.bk.innerlink" \t "_blank" </w:instrText>
      </w:r>
      <w:r>
        <w:rPr>
          <w:highlight w:val="none"/>
        </w:rPr>
        <w:fldChar w:fldCharType="separate"/>
      </w:r>
      <w:r>
        <w:rPr>
          <w:highlight w:val="none"/>
        </w:rPr>
        <w:t>沼泽土</w:t>
      </w:r>
      <w:r>
        <w:rPr>
          <w:highlight w:val="none"/>
        </w:rPr>
        <w:fldChar w:fldCharType="end"/>
      </w:r>
      <w:r>
        <w:rPr>
          <w:highlight w:val="none"/>
        </w:rPr>
        <w:t>，主要分布于江河两岸河滩和低洼地块，适于发展渔业、牧业。</w:t>
      </w:r>
    </w:p>
    <w:p w14:paraId="114BDCDD">
      <w:pPr>
        <w:bidi w:val="0"/>
        <w:rPr>
          <w:highlight w:val="none"/>
        </w:rPr>
      </w:pPr>
      <w:r>
        <w:rPr>
          <w:highlight w:val="none"/>
        </w:rPr>
        <w:t>哈尔滨市植被以地带性植被红松林、针阔叶混交林、天然次生林、人工林、草原和农田植被为主，其中面积最大的是森林植被，森林覆盖率达42.39%，辖区内野生植物种类丰富，据不完全统计，有植物950余种，以松花江为界，江北植被属于小兴安岭植被。</w:t>
      </w:r>
    </w:p>
    <w:p w14:paraId="41EACBC2">
      <w:pPr>
        <w:pStyle w:val="4"/>
        <w:bidi w:val="0"/>
        <w:rPr>
          <w:highlight w:val="none"/>
        </w:rPr>
      </w:pPr>
      <w:bookmarkStart w:id="326" w:name="_Toc24048"/>
      <w:bookmarkStart w:id="327" w:name="_Toc16110"/>
      <w:r>
        <w:rPr>
          <w:highlight w:val="none"/>
        </w:rPr>
        <w:t>4.1.</w:t>
      </w:r>
      <w:bookmarkStart w:id="328" w:name="_Toc241292979"/>
      <w:r>
        <w:rPr>
          <w:highlight w:val="none"/>
        </w:rPr>
        <w:t>7森林、植被</w:t>
      </w:r>
      <w:bookmarkEnd w:id="326"/>
      <w:bookmarkEnd w:id="327"/>
    </w:p>
    <w:p w14:paraId="1884DB81">
      <w:pPr>
        <w:bidi w:val="0"/>
        <w:rPr>
          <w:rFonts w:eastAsiaTheme="minorEastAsia"/>
          <w:highlight w:val="none"/>
        </w:rPr>
      </w:pPr>
      <w:r>
        <w:rPr>
          <w:highlight w:val="none"/>
        </w:rPr>
        <w:t>哈尔滨市全市植被以地带性植被红松林、针阔叶混交林、天然次生林、人工林、草原和农田植被为主，其中面积最大的是森林植被，森林覆盖率达42.39%，辖区内野生植物种类丰富，据不完全统计，有植物950余种。以松花江为界，江北植被属小兴安岭植被亚区，江南植被属长白山系张广才岭植被亚区。</w:t>
      </w:r>
    </w:p>
    <w:p w14:paraId="0113EB7D">
      <w:pPr>
        <w:pStyle w:val="4"/>
        <w:bidi w:val="0"/>
        <w:rPr>
          <w:highlight w:val="none"/>
        </w:rPr>
      </w:pPr>
      <w:bookmarkStart w:id="329" w:name="_Toc23551"/>
      <w:bookmarkStart w:id="330" w:name="_Toc18377"/>
      <w:r>
        <w:rPr>
          <w:highlight w:val="none"/>
        </w:rPr>
        <w:t>4.1.8</w:t>
      </w:r>
      <w:bookmarkEnd w:id="328"/>
      <w:r>
        <w:rPr>
          <w:highlight w:val="none"/>
        </w:rPr>
        <w:t>生态环境</w:t>
      </w:r>
      <w:bookmarkEnd w:id="329"/>
      <w:bookmarkEnd w:id="330"/>
    </w:p>
    <w:p w14:paraId="19DA04C8">
      <w:pPr>
        <w:bidi w:val="0"/>
        <w:rPr>
          <w:highlight w:val="none"/>
        </w:rPr>
      </w:pPr>
      <w:r>
        <w:rPr>
          <w:highlight w:val="none"/>
        </w:rPr>
        <w:t>由于多年的开发活动，本区自然生态环境已被人工生态环境所取代。哈尔滨区内土地肥沃，植被主要以水稻、玉米、大豆等粮食作物为主，其他农作物主要为蔬菜。此外，道路、河道两旁及房前屋后</w:t>
      </w:r>
      <w:r>
        <w:rPr>
          <w:rFonts w:hint="eastAsia"/>
          <w:highlight w:val="none"/>
          <w:lang w:eastAsia="zh-CN"/>
        </w:rPr>
        <w:t>栽种</w:t>
      </w:r>
      <w:r>
        <w:rPr>
          <w:highlight w:val="none"/>
        </w:rPr>
        <w:t>的各种绿化或经济林木也有效地改善了生态环境质量。本区陆生动物除了人工饲养的牛、猪、鸡、兔、羊之外，还有少量的野生动物，包括鸟、鼠、蛙、昆虫等，无大型野生哺乳动物。</w:t>
      </w:r>
    </w:p>
    <w:p w14:paraId="6DE2CF55">
      <w:pPr>
        <w:bidi w:val="0"/>
        <w:rPr>
          <w:highlight w:val="none"/>
        </w:rPr>
      </w:pPr>
      <w:r>
        <w:rPr>
          <w:highlight w:val="none"/>
        </w:rPr>
        <w:t>本项目位于城市建设区范围内，项目区域范围内不涉及</w:t>
      </w:r>
      <w:r>
        <w:rPr>
          <w:rFonts w:hint="eastAsia"/>
          <w:highlight w:val="none"/>
          <w:lang w:eastAsia="zh-CN"/>
        </w:rPr>
        <w:t>珍稀野生</w:t>
      </w:r>
      <w:r>
        <w:rPr>
          <w:highlight w:val="none"/>
        </w:rPr>
        <w:t>保护植物及动物。</w:t>
      </w:r>
    </w:p>
    <w:p w14:paraId="4A7225C5">
      <w:pPr>
        <w:pStyle w:val="3"/>
        <w:bidi w:val="0"/>
        <w:rPr>
          <w:highlight w:val="none"/>
        </w:rPr>
      </w:pPr>
      <w:bookmarkStart w:id="331" w:name="_Toc1667"/>
      <w:bookmarkStart w:id="332" w:name="_Toc2686"/>
      <w:bookmarkStart w:id="333" w:name="_Toc8472"/>
      <w:r>
        <w:rPr>
          <w:highlight w:val="none"/>
        </w:rPr>
        <w:t>4.2环境质量现状调查</w:t>
      </w:r>
      <w:bookmarkEnd w:id="331"/>
      <w:bookmarkEnd w:id="332"/>
      <w:bookmarkEnd w:id="333"/>
    </w:p>
    <w:p w14:paraId="71B526C7">
      <w:pPr>
        <w:pStyle w:val="4"/>
        <w:bidi w:val="0"/>
        <w:rPr>
          <w:highlight w:val="none"/>
        </w:rPr>
      </w:pPr>
      <w:bookmarkStart w:id="334" w:name="_Toc21367"/>
      <w:bookmarkStart w:id="335" w:name="_Toc3410"/>
      <w:r>
        <w:rPr>
          <w:highlight w:val="none"/>
        </w:rPr>
        <w:t>4.2.1环境空气质量现状评价</w:t>
      </w:r>
      <w:bookmarkEnd w:id="334"/>
      <w:bookmarkEnd w:id="335"/>
    </w:p>
    <w:p w14:paraId="7F957E24">
      <w:pPr>
        <w:rPr>
          <w:highlight w:val="none"/>
        </w:rPr>
      </w:pPr>
      <w:r>
        <w:rPr>
          <w:rFonts w:eastAsiaTheme="minorEastAsia"/>
          <w:b/>
          <w:sz w:val="24"/>
          <w:highlight w:val="none"/>
        </w:rPr>
        <w:t>4.2.1.1</w:t>
      </w:r>
      <w:r>
        <w:rPr>
          <w:rFonts w:hAnsiTheme="minorEastAsia" w:eastAsiaTheme="minorEastAsia"/>
          <w:b/>
          <w:sz w:val="24"/>
          <w:highlight w:val="none"/>
        </w:rPr>
        <w:t>区域基本污染物环境质量达标情况</w:t>
      </w:r>
    </w:p>
    <w:p w14:paraId="7E913B17">
      <w:pPr>
        <w:bidi w:val="0"/>
        <w:rPr>
          <w:rFonts w:hint="default" w:ascii="Times New Roman" w:hAnsi="Times New Roman" w:cs="Times New Roman"/>
          <w:snapToGrid w:val="0"/>
          <w:kern w:val="0"/>
          <w:szCs w:val="21"/>
          <w:highlight w:val="none"/>
        </w:rPr>
      </w:pPr>
      <w:r>
        <w:rPr>
          <w:rFonts w:hint="default"/>
          <w:highlight w:val="none"/>
        </w:rPr>
        <w:t>根据《202</w:t>
      </w:r>
      <w:r>
        <w:rPr>
          <w:rFonts w:hint="eastAsia"/>
          <w:highlight w:val="none"/>
          <w:lang w:val="en-US" w:eastAsia="zh-CN"/>
        </w:rPr>
        <w:t>4</w:t>
      </w:r>
      <w:r>
        <w:rPr>
          <w:rFonts w:hint="default"/>
          <w:highlight w:val="none"/>
        </w:rPr>
        <w:t>年哈尔滨生态环境质量状况年报》，</w:t>
      </w:r>
      <w:r>
        <w:rPr>
          <w:rFonts w:hint="default" w:ascii="Times New Roman" w:hAnsi="Times New Roman" w:cs="Times New Roman"/>
          <w:snapToGrid w:val="0"/>
          <w:kern w:val="0"/>
          <w:szCs w:val="21"/>
          <w:highlight w:val="none"/>
        </w:rPr>
        <w:t>细颗粒物</w:t>
      </w:r>
      <w:r>
        <w:rPr>
          <w:rFonts w:hint="eastAsia" w:ascii="Times New Roman" w:hAnsi="Times New Roman" w:cs="Times New Roman"/>
          <w:snapToGrid w:val="0"/>
          <w:kern w:val="0"/>
          <w:szCs w:val="21"/>
          <w:highlight w:val="none"/>
          <w:lang w:eastAsia="zh-CN"/>
        </w:rPr>
        <w:t>（</w:t>
      </w:r>
      <w:r>
        <w:rPr>
          <w:rFonts w:hint="eastAsia" w:ascii="Times New Roman" w:hAnsi="Times New Roman" w:cs="Times New Roman"/>
          <w:snapToGrid w:val="0"/>
          <w:kern w:val="0"/>
          <w:szCs w:val="21"/>
          <w:highlight w:val="none"/>
          <w:lang w:val="en-US" w:eastAsia="zh-CN"/>
        </w:rPr>
        <w:t>PM2.5</w:t>
      </w:r>
      <w:r>
        <w:rPr>
          <w:rFonts w:hint="eastAsia" w:ascii="Times New Roman" w:hAnsi="Times New Roman" w:cs="Times New Roman"/>
          <w:snapToGrid w:val="0"/>
          <w:kern w:val="0"/>
          <w:szCs w:val="21"/>
          <w:highlight w:val="none"/>
          <w:lang w:eastAsia="zh-CN"/>
        </w:rPr>
        <w:t>）</w:t>
      </w:r>
      <w:r>
        <w:rPr>
          <w:rFonts w:hint="default" w:ascii="Times New Roman" w:hAnsi="Times New Roman" w:cs="Times New Roman"/>
          <w:snapToGrid w:val="0"/>
          <w:kern w:val="0"/>
          <w:szCs w:val="21"/>
          <w:highlight w:val="none"/>
        </w:rPr>
        <w:t>日均值浓度范围3-425微克/立方米，全年日均值达标322天，日均值达标率88.0%</w:t>
      </w:r>
      <w:r>
        <w:rPr>
          <w:rFonts w:hint="eastAsia" w:ascii="Times New Roman" w:hAnsi="Times New Roman" w:cs="Times New Roman"/>
          <w:snapToGrid w:val="0"/>
          <w:kern w:val="0"/>
          <w:szCs w:val="21"/>
          <w:highlight w:val="none"/>
          <w:lang w:eastAsia="zh-CN"/>
        </w:rPr>
        <w:t>；</w:t>
      </w:r>
      <w:r>
        <w:rPr>
          <w:rFonts w:hint="default" w:ascii="Times New Roman" w:hAnsi="Times New Roman" w:cs="Times New Roman"/>
          <w:snapToGrid w:val="0"/>
          <w:kern w:val="0"/>
          <w:szCs w:val="21"/>
          <w:highlight w:val="none"/>
        </w:rPr>
        <w:t>年均浓度40微克/立方米，超年二级标准0.14倍</w:t>
      </w:r>
      <w:r>
        <w:rPr>
          <w:rFonts w:hint="eastAsia" w:ascii="Times New Roman" w:hAnsi="Times New Roman" w:cs="Times New Roman"/>
          <w:snapToGrid w:val="0"/>
          <w:kern w:val="0"/>
          <w:szCs w:val="21"/>
          <w:highlight w:val="none"/>
          <w:lang w:eastAsia="zh-CN"/>
        </w:rPr>
        <w:t>；</w:t>
      </w:r>
      <w:r>
        <w:rPr>
          <w:rFonts w:hint="default" w:ascii="Times New Roman" w:hAnsi="Times New Roman" w:cs="Times New Roman"/>
          <w:snapToGrid w:val="0"/>
          <w:kern w:val="0"/>
          <w:szCs w:val="21"/>
          <w:highlight w:val="none"/>
        </w:rPr>
        <w:t>日均值第95百分位浓度124微克/立方米，超日二级标准0.65倍，总体评价超标。可吸入颗粒物(PM</w:t>
      </w:r>
      <w:r>
        <w:rPr>
          <w:rFonts w:hint="eastAsia" w:ascii="Times New Roman" w:hAnsi="Times New Roman" w:cs="Times New Roman"/>
          <w:snapToGrid w:val="0"/>
          <w:kern w:val="0"/>
          <w:szCs w:val="21"/>
          <w:highlight w:val="none"/>
          <w:lang w:val="en-US" w:eastAsia="zh-CN"/>
        </w:rPr>
        <w:t>10</w:t>
      </w:r>
      <w:r>
        <w:rPr>
          <w:rFonts w:hint="default" w:ascii="Times New Roman" w:hAnsi="Times New Roman" w:cs="Times New Roman"/>
          <w:snapToGrid w:val="0"/>
          <w:kern w:val="0"/>
          <w:szCs w:val="21"/>
          <w:highlight w:val="none"/>
        </w:rPr>
        <w:t>)日均值浓度范围为8-480微克/立方米，全年日均值达标344天，日均值达标率94.0%。</w:t>
      </w:r>
    </w:p>
    <w:p w14:paraId="3B857ED2">
      <w:pPr>
        <w:bidi w:val="0"/>
        <w:ind w:left="0" w:leftChars="0" w:firstLine="0" w:firstLineChars="0"/>
        <w:rPr>
          <w:rFonts w:hint="eastAsia"/>
          <w:highlight w:val="none"/>
          <w:lang w:eastAsia="zh-CN"/>
        </w:rPr>
      </w:pPr>
      <w:r>
        <w:rPr>
          <w:rFonts w:hint="default" w:ascii="Times New Roman" w:hAnsi="Times New Roman" w:cs="Times New Roman"/>
          <w:snapToGrid w:val="0"/>
          <w:kern w:val="0"/>
          <w:szCs w:val="21"/>
          <w:highlight w:val="none"/>
        </w:rPr>
        <w:t>年均浓度62微克/立方米，达年二级标准，日均值第95百分位浓度151微克/立方米</w:t>
      </w:r>
      <w:r>
        <w:rPr>
          <w:rFonts w:hint="eastAsia" w:ascii="Times New Roman" w:hAnsi="Times New Roman" w:cs="Times New Roman"/>
          <w:snapToGrid w:val="0"/>
          <w:kern w:val="0"/>
          <w:szCs w:val="21"/>
          <w:highlight w:val="none"/>
          <w:lang w:eastAsia="zh-CN"/>
        </w:rPr>
        <w:t>，</w:t>
      </w:r>
      <w:r>
        <w:rPr>
          <w:rFonts w:hint="default" w:ascii="Times New Roman" w:hAnsi="Times New Roman" w:cs="Times New Roman"/>
          <w:snapToGrid w:val="0"/>
          <w:kern w:val="0"/>
          <w:szCs w:val="21"/>
          <w:highlight w:val="none"/>
        </w:rPr>
        <w:t>超日二级标准0.01倍</w:t>
      </w:r>
      <w:r>
        <w:rPr>
          <w:rFonts w:hint="eastAsia" w:ascii="Times New Roman" w:hAnsi="Times New Roman" w:cs="Times New Roman"/>
          <w:snapToGrid w:val="0"/>
          <w:kern w:val="0"/>
          <w:szCs w:val="21"/>
          <w:highlight w:val="none"/>
          <w:lang w:eastAsia="zh-CN"/>
        </w:rPr>
        <w:t>，</w:t>
      </w:r>
      <w:r>
        <w:rPr>
          <w:rFonts w:hint="default" w:ascii="Times New Roman" w:hAnsi="Times New Roman" w:cs="Times New Roman"/>
          <w:snapToGrid w:val="0"/>
          <w:kern w:val="0"/>
          <w:szCs w:val="21"/>
          <w:highlight w:val="none"/>
        </w:rPr>
        <w:t>总体评价超标。二氧化氮(NO</w:t>
      </w:r>
      <w:r>
        <w:rPr>
          <w:rFonts w:hint="eastAsia" w:ascii="Times New Roman" w:hAnsi="Times New Roman" w:cs="Times New Roman"/>
          <w:snapToGrid w:val="0"/>
          <w:kern w:val="0"/>
          <w:szCs w:val="21"/>
          <w:highlight w:val="none"/>
          <w:vertAlign w:val="subscript"/>
          <w:lang w:val="en-US" w:eastAsia="zh-CN"/>
        </w:rPr>
        <w:t>2</w:t>
      </w:r>
      <w:r>
        <w:rPr>
          <w:rFonts w:hint="default" w:ascii="Times New Roman" w:hAnsi="Times New Roman" w:cs="Times New Roman"/>
          <w:snapToGrid w:val="0"/>
          <w:kern w:val="0"/>
          <w:szCs w:val="21"/>
          <w:highlight w:val="none"/>
        </w:rPr>
        <w:t>)日均值浓度范围为9-94微克/立方米，全年日均值达标364天，日均值达标率99.5%。年均浓度29微克/立方米，达年二级标准，日均值第98百分位浓度57微克/立方米，达日二级标准，总体评价达标。二氧化硫(SO2)日均值浓度范围为5-25微克/立方米，全年日均值达标365天，日均值达标率100%。年均浓度10微克/立方米，达年二级标准，日均值第98百分位浓度21微克/立方米，达日二级标准，总体评价达标。一氧化碳(CO)日均值浓度范围为0.3-2.0毫克/立方米，全年日均值达标365天，日均值达标率100%。日均值第95百分位浓度1.1毫克/立方米，达年二级标准，总体评价达标。臭氧(O3)臭氧的日最大8小时平均值浓度范围为24-198微克/立方米，全年日均值达标357天，日均值达标率97.5%。臭氧日最大8小时平均第90百分位浓度118微克/立方米，达年二级标准，总体评价达标。</w:t>
      </w:r>
    </w:p>
    <w:p w14:paraId="6F6FF206">
      <w:pPr>
        <w:pStyle w:val="7"/>
        <w:bidi w:val="0"/>
        <w:rPr>
          <w:rFonts w:hint="default"/>
          <w:highlight w:val="none"/>
        </w:rPr>
      </w:pPr>
      <w:r>
        <w:rPr>
          <w:rFonts w:hint="default"/>
          <w:highlight w:val="none"/>
        </w:rPr>
        <w:t>表4-2-</w:t>
      </w:r>
      <w:r>
        <w:rPr>
          <w:rFonts w:hint="eastAsia"/>
          <w:highlight w:val="none"/>
          <w:lang w:val="en-US" w:eastAsia="zh-CN"/>
        </w:rPr>
        <w:t>1</w:t>
      </w:r>
      <w:r>
        <w:rPr>
          <w:highlight w:val="none"/>
        </w:rPr>
        <w:t>区域空气质量现状评价表</w:t>
      </w:r>
    </w:p>
    <w:tbl>
      <w:tblPr>
        <w:tblStyle w:val="739"/>
        <w:tblW w:w="5000" w:type="pct"/>
        <w:tblInd w:w="5"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2117"/>
        <w:gridCol w:w="946"/>
        <w:gridCol w:w="963"/>
        <w:gridCol w:w="997"/>
        <w:gridCol w:w="793"/>
        <w:gridCol w:w="1149"/>
        <w:gridCol w:w="1341"/>
      </w:tblGrid>
      <w:tr w14:paraId="5880E6D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1252" w:type="dxa"/>
            <w:tcBorders>
              <w:tl2br w:val="nil"/>
              <w:tr2bl w:val="nil"/>
            </w:tcBorders>
            <w:shd w:val="clear" w:color="auto" w:fill="auto"/>
            <w:vAlign w:val="center"/>
          </w:tcPr>
          <w:p w14:paraId="7011DDFB">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bookmarkStart w:id="336" w:name="_Toc20382"/>
            <w:r>
              <w:rPr>
                <w:rFonts w:hint="default" w:ascii="Times New Roman" w:hAnsi="Times New Roman" w:cs="Times New Roman" w:eastAsiaTheme="minorEastAsia"/>
                <w:b/>
                <w:bCs/>
                <w:snapToGrid w:val="0"/>
                <w:color w:val="000000"/>
                <w:spacing w:val="-4"/>
                <w:sz w:val="21"/>
                <w:szCs w:val="21"/>
                <w:highlight w:val="none"/>
              </w:rPr>
              <w:t>指标</w:t>
            </w:r>
          </w:p>
        </w:tc>
        <w:tc>
          <w:tcPr>
            <w:tcW w:w="559" w:type="dxa"/>
            <w:tcBorders>
              <w:tl2br w:val="nil"/>
              <w:tr2bl w:val="nil"/>
            </w:tcBorders>
            <w:shd w:val="clear" w:color="auto" w:fill="auto"/>
            <w:vAlign w:val="center"/>
          </w:tcPr>
          <w:p w14:paraId="0585EF3E">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1"/>
                <w:sz w:val="21"/>
                <w:szCs w:val="21"/>
                <w:highlight w:val="none"/>
              </w:rPr>
              <w:t>PM</w:t>
            </w:r>
            <w:r>
              <w:rPr>
                <w:rFonts w:hint="default" w:ascii="Times New Roman" w:hAnsi="Times New Roman" w:cs="Times New Roman" w:eastAsiaTheme="minorEastAsia"/>
                <w:snapToGrid w:val="0"/>
                <w:color w:val="000000"/>
                <w:spacing w:val="-1"/>
                <w:sz w:val="21"/>
                <w:szCs w:val="21"/>
                <w:highlight w:val="none"/>
                <w:vertAlign w:val="subscript"/>
              </w:rPr>
              <w:t>2</w:t>
            </w:r>
            <w:r>
              <w:rPr>
                <w:rFonts w:hint="eastAsia" w:ascii="Times New Roman" w:hAnsi="Times New Roman" w:cs="Times New Roman" w:eastAsiaTheme="minorEastAsia"/>
                <w:snapToGrid w:val="0"/>
                <w:color w:val="000000"/>
                <w:spacing w:val="-1"/>
                <w:sz w:val="21"/>
                <w:szCs w:val="21"/>
                <w:highlight w:val="none"/>
                <w:vertAlign w:val="subscript"/>
                <w:lang w:val="en-US" w:eastAsia="zh-CN"/>
              </w:rPr>
              <w:t>.</w:t>
            </w:r>
            <w:r>
              <w:rPr>
                <w:rFonts w:hint="default" w:ascii="Times New Roman" w:hAnsi="Times New Roman" w:cs="Times New Roman" w:eastAsiaTheme="minorEastAsia"/>
                <w:snapToGrid w:val="0"/>
                <w:color w:val="000000"/>
                <w:spacing w:val="-1"/>
                <w:sz w:val="21"/>
                <w:szCs w:val="21"/>
                <w:highlight w:val="none"/>
                <w:vertAlign w:val="subscript"/>
              </w:rPr>
              <w:t>5</w:t>
            </w:r>
          </w:p>
        </w:tc>
        <w:tc>
          <w:tcPr>
            <w:tcW w:w="569" w:type="dxa"/>
            <w:tcBorders>
              <w:tl2br w:val="nil"/>
              <w:tr2bl w:val="nil"/>
            </w:tcBorders>
            <w:shd w:val="clear" w:color="auto" w:fill="auto"/>
            <w:vAlign w:val="center"/>
          </w:tcPr>
          <w:p w14:paraId="00E120AE">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1"/>
                <w:sz w:val="21"/>
                <w:szCs w:val="21"/>
                <w:highlight w:val="none"/>
              </w:rPr>
              <w:t>PM</w:t>
            </w:r>
            <w:r>
              <w:rPr>
                <w:rFonts w:hint="default" w:ascii="Times New Roman" w:hAnsi="Times New Roman" w:cs="Times New Roman" w:eastAsiaTheme="minorEastAsia"/>
                <w:snapToGrid w:val="0"/>
                <w:color w:val="000000"/>
                <w:spacing w:val="-1"/>
                <w:sz w:val="21"/>
                <w:szCs w:val="21"/>
                <w:highlight w:val="none"/>
                <w:vertAlign w:val="subscript"/>
              </w:rPr>
              <w:t>10</w:t>
            </w:r>
          </w:p>
        </w:tc>
        <w:tc>
          <w:tcPr>
            <w:tcW w:w="589" w:type="dxa"/>
            <w:tcBorders>
              <w:tl2br w:val="nil"/>
              <w:tr2bl w:val="nil"/>
            </w:tcBorders>
            <w:shd w:val="clear" w:color="auto" w:fill="auto"/>
            <w:vAlign w:val="center"/>
          </w:tcPr>
          <w:p w14:paraId="7718A4F0">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1"/>
                <w:sz w:val="21"/>
                <w:szCs w:val="21"/>
                <w:highlight w:val="none"/>
              </w:rPr>
              <w:t>NO₂</w:t>
            </w:r>
          </w:p>
        </w:tc>
        <w:tc>
          <w:tcPr>
            <w:tcW w:w="469" w:type="dxa"/>
            <w:tcBorders>
              <w:tl2br w:val="nil"/>
              <w:tr2bl w:val="nil"/>
            </w:tcBorders>
            <w:shd w:val="clear" w:color="auto" w:fill="auto"/>
            <w:vAlign w:val="center"/>
          </w:tcPr>
          <w:p w14:paraId="364E1261">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2"/>
                <w:sz w:val="21"/>
                <w:szCs w:val="21"/>
                <w:highlight w:val="none"/>
              </w:rPr>
              <w:t>SO₂</w:t>
            </w:r>
          </w:p>
        </w:tc>
        <w:tc>
          <w:tcPr>
            <w:tcW w:w="679" w:type="dxa"/>
            <w:tcBorders>
              <w:tl2br w:val="nil"/>
              <w:tr2bl w:val="nil"/>
            </w:tcBorders>
            <w:shd w:val="clear" w:color="auto" w:fill="auto"/>
            <w:vAlign w:val="center"/>
          </w:tcPr>
          <w:p w14:paraId="41A2DC46">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1"/>
                <w:sz w:val="21"/>
                <w:szCs w:val="21"/>
                <w:highlight w:val="none"/>
              </w:rPr>
              <w:t>CO(per95)</w:t>
            </w:r>
          </w:p>
          <w:p w14:paraId="50C6968B">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4"/>
                <w:sz w:val="21"/>
                <w:szCs w:val="21"/>
                <w:highlight w:val="none"/>
              </w:rPr>
              <w:t>(mg/m³)</w:t>
            </w:r>
          </w:p>
        </w:tc>
        <w:tc>
          <w:tcPr>
            <w:tcW w:w="793" w:type="dxa"/>
            <w:tcBorders>
              <w:tl2br w:val="nil"/>
              <w:tr2bl w:val="nil"/>
            </w:tcBorders>
            <w:shd w:val="clear" w:color="auto" w:fill="auto"/>
            <w:vAlign w:val="center"/>
          </w:tcPr>
          <w:p w14:paraId="7478607D">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4"/>
                <w:sz w:val="21"/>
                <w:szCs w:val="21"/>
                <w:highlight w:val="none"/>
              </w:rPr>
              <w:t>O₃ (per90)</w:t>
            </w:r>
          </w:p>
        </w:tc>
      </w:tr>
      <w:tr w14:paraId="331A995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1252" w:type="dxa"/>
            <w:tcBorders>
              <w:tl2br w:val="nil"/>
              <w:tr2bl w:val="nil"/>
            </w:tcBorders>
            <w:vAlign w:val="center"/>
          </w:tcPr>
          <w:p w14:paraId="735553D7">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3"/>
                <w:sz w:val="21"/>
                <w:szCs w:val="21"/>
                <w:highlight w:val="none"/>
              </w:rPr>
              <w:t>国家二级标准(日)</w:t>
            </w:r>
          </w:p>
        </w:tc>
        <w:tc>
          <w:tcPr>
            <w:tcW w:w="559" w:type="dxa"/>
            <w:tcBorders>
              <w:tl2br w:val="nil"/>
              <w:tr2bl w:val="nil"/>
            </w:tcBorders>
            <w:vAlign w:val="center"/>
          </w:tcPr>
          <w:p w14:paraId="72F592C4">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3"/>
                <w:sz w:val="21"/>
                <w:szCs w:val="21"/>
                <w:highlight w:val="none"/>
              </w:rPr>
              <w:t>75</w:t>
            </w:r>
          </w:p>
        </w:tc>
        <w:tc>
          <w:tcPr>
            <w:tcW w:w="569" w:type="dxa"/>
            <w:tcBorders>
              <w:tl2br w:val="nil"/>
              <w:tr2bl w:val="nil"/>
            </w:tcBorders>
            <w:vAlign w:val="center"/>
          </w:tcPr>
          <w:p w14:paraId="38E74584">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4"/>
                <w:sz w:val="21"/>
                <w:szCs w:val="21"/>
                <w:highlight w:val="none"/>
              </w:rPr>
              <w:t>150</w:t>
            </w:r>
          </w:p>
        </w:tc>
        <w:tc>
          <w:tcPr>
            <w:tcW w:w="589" w:type="dxa"/>
            <w:tcBorders>
              <w:tl2br w:val="nil"/>
              <w:tr2bl w:val="nil"/>
            </w:tcBorders>
            <w:vAlign w:val="center"/>
          </w:tcPr>
          <w:p w14:paraId="35A4B1B0">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2"/>
                <w:sz w:val="21"/>
                <w:szCs w:val="21"/>
                <w:highlight w:val="none"/>
              </w:rPr>
              <w:t>80</w:t>
            </w:r>
          </w:p>
        </w:tc>
        <w:tc>
          <w:tcPr>
            <w:tcW w:w="469" w:type="dxa"/>
            <w:tcBorders>
              <w:tl2br w:val="nil"/>
              <w:tr2bl w:val="nil"/>
            </w:tcBorders>
            <w:vAlign w:val="center"/>
          </w:tcPr>
          <w:p w14:paraId="5EB97426">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4"/>
                <w:sz w:val="21"/>
                <w:szCs w:val="21"/>
                <w:highlight w:val="none"/>
              </w:rPr>
              <w:t>150</w:t>
            </w:r>
          </w:p>
        </w:tc>
        <w:tc>
          <w:tcPr>
            <w:tcW w:w="679" w:type="dxa"/>
            <w:tcBorders>
              <w:tl2br w:val="nil"/>
              <w:tr2bl w:val="nil"/>
            </w:tcBorders>
            <w:vAlign w:val="center"/>
          </w:tcPr>
          <w:p w14:paraId="773DC946">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z w:val="21"/>
                <w:szCs w:val="21"/>
                <w:highlight w:val="none"/>
              </w:rPr>
              <w:t>4</w:t>
            </w:r>
          </w:p>
        </w:tc>
        <w:tc>
          <w:tcPr>
            <w:tcW w:w="793" w:type="dxa"/>
            <w:tcBorders>
              <w:tl2br w:val="nil"/>
              <w:tr2bl w:val="nil"/>
            </w:tcBorders>
            <w:vAlign w:val="center"/>
          </w:tcPr>
          <w:p w14:paraId="6B1D35AC">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4"/>
                <w:sz w:val="21"/>
                <w:szCs w:val="21"/>
                <w:highlight w:val="none"/>
              </w:rPr>
              <w:t>160</w:t>
            </w:r>
          </w:p>
        </w:tc>
      </w:tr>
      <w:tr w14:paraId="05528CE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1252" w:type="dxa"/>
            <w:tcBorders>
              <w:tl2br w:val="nil"/>
              <w:tr2bl w:val="nil"/>
            </w:tcBorders>
            <w:vAlign w:val="center"/>
          </w:tcPr>
          <w:p w14:paraId="054E399D">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3"/>
                <w:sz w:val="21"/>
                <w:szCs w:val="21"/>
                <w:highlight w:val="none"/>
              </w:rPr>
              <w:t>国家二级标准(年)</w:t>
            </w:r>
          </w:p>
        </w:tc>
        <w:tc>
          <w:tcPr>
            <w:tcW w:w="559" w:type="dxa"/>
            <w:tcBorders>
              <w:tl2br w:val="nil"/>
              <w:tr2bl w:val="nil"/>
            </w:tcBorders>
            <w:vAlign w:val="center"/>
          </w:tcPr>
          <w:p w14:paraId="03676C98">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2"/>
                <w:sz w:val="21"/>
                <w:szCs w:val="21"/>
                <w:highlight w:val="none"/>
              </w:rPr>
              <w:t>35</w:t>
            </w:r>
          </w:p>
        </w:tc>
        <w:tc>
          <w:tcPr>
            <w:tcW w:w="569" w:type="dxa"/>
            <w:tcBorders>
              <w:tl2br w:val="nil"/>
              <w:tr2bl w:val="nil"/>
            </w:tcBorders>
            <w:vAlign w:val="center"/>
          </w:tcPr>
          <w:p w14:paraId="73FFA955">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3"/>
                <w:sz w:val="21"/>
                <w:szCs w:val="21"/>
                <w:highlight w:val="none"/>
              </w:rPr>
              <w:t>70</w:t>
            </w:r>
          </w:p>
        </w:tc>
        <w:tc>
          <w:tcPr>
            <w:tcW w:w="589" w:type="dxa"/>
            <w:tcBorders>
              <w:tl2br w:val="nil"/>
              <w:tr2bl w:val="nil"/>
            </w:tcBorders>
            <w:vAlign w:val="center"/>
          </w:tcPr>
          <w:p w14:paraId="2C6584F5">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2"/>
                <w:sz w:val="21"/>
                <w:szCs w:val="21"/>
                <w:highlight w:val="none"/>
              </w:rPr>
              <w:t>40</w:t>
            </w:r>
          </w:p>
        </w:tc>
        <w:tc>
          <w:tcPr>
            <w:tcW w:w="469" w:type="dxa"/>
            <w:tcBorders>
              <w:tl2br w:val="nil"/>
              <w:tr2bl w:val="nil"/>
            </w:tcBorders>
            <w:vAlign w:val="center"/>
          </w:tcPr>
          <w:p w14:paraId="116864C5">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2"/>
                <w:sz w:val="21"/>
                <w:szCs w:val="21"/>
                <w:highlight w:val="none"/>
              </w:rPr>
              <w:t>60</w:t>
            </w:r>
          </w:p>
        </w:tc>
        <w:tc>
          <w:tcPr>
            <w:tcW w:w="679" w:type="dxa"/>
            <w:tcBorders>
              <w:tl2br w:val="nil"/>
              <w:tr2bl w:val="nil"/>
            </w:tcBorders>
            <w:vAlign w:val="center"/>
          </w:tcPr>
          <w:p w14:paraId="277BCA3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lang w:val="en-US" w:eastAsia="zh-CN"/>
              </w:rPr>
            </w:pPr>
            <w:r>
              <w:rPr>
                <w:rFonts w:hint="eastAsia" w:ascii="Times New Roman" w:hAnsi="Times New Roman" w:cs="Times New Roman" w:eastAsiaTheme="minorEastAsia"/>
                <w:snapToGrid w:val="0"/>
                <w:color w:val="000000"/>
                <w:sz w:val="21"/>
                <w:szCs w:val="21"/>
                <w:highlight w:val="none"/>
                <w:lang w:val="en-US" w:eastAsia="zh-CN"/>
              </w:rPr>
              <w:t>-</w:t>
            </w:r>
          </w:p>
        </w:tc>
        <w:tc>
          <w:tcPr>
            <w:tcW w:w="793" w:type="dxa"/>
            <w:tcBorders>
              <w:tl2br w:val="nil"/>
              <w:tr2bl w:val="nil"/>
            </w:tcBorders>
            <w:vAlign w:val="center"/>
          </w:tcPr>
          <w:p w14:paraId="1C288C5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cs="Times New Roman" w:eastAsiaTheme="minorEastAsia"/>
                <w:snapToGrid w:val="0"/>
                <w:color w:val="000000"/>
                <w:sz w:val="21"/>
                <w:szCs w:val="21"/>
                <w:highlight w:val="none"/>
                <w:lang w:val="en-US" w:eastAsia="zh-CN"/>
              </w:rPr>
            </w:pPr>
            <w:r>
              <w:rPr>
                <w:rFonts w:hint="eastAsia" w:ascii="Times New Roman" w:hAnsi="Times New Roman" w:cs="Times New Roman" w:eastAsiaTheme="minorEastAsia"/>
                <w:snapToGrid w:val="0"/>
                <w:color w:val="000000"/>
                <w:sz w:val="21"/>
                <w:szCs w:val="21"/>
                <w:highlight w:val="none"/>
                <w:lang w:val="en-US" w:eastAsia="zh-CN"/>
              </w:rPr>
              <w:t>-</w:t>
            </w:r>
          </w:p>
        </w:tc>
      </w:tr>
      <w:tr w14:paraId="29C7E10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1252" w:type="dxa"/>
            <w:tcBorders>
              <w:tl2br w:val="nil"/>
              <w:tr2bl w:val="nil"/>
            </w:tcBorders>
            <w:vAlign w:val="center"/>
          </w:tcPr>
          <w:p w14:paraId="7782C14F">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2"/>
                <w:sz w:val="21"/>
                <w:szCs w:val="21"/>
                <w:highlight w:val="none"/>
              </w:rPr>
              <w:t>日均值范围</w:t>
            </w:r>
          </w:p>
        </w:tc>
        <w:tc>
          <w:tcPr>
            <w:tcW w:w="559" w:type="dxa"/>
            <w:tcBorders>
              <w:tl2br w:val="nil"/>
              <w:tr2bl w:val="nil"/>
            </w:tcBorders>
            <w:vAlign w:val="center"/>
          </w:tcPr>
          <w:p w14:paraId="0360DAC5">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2"/>
                <w:sz w:val="21"/>
                <w:szCs w:val="21"/>
                <w:highlight w:val="none"/>
              </w:rPr>
              <w:t>3~425</w:t>
            </w:r>
          </w:p>
        </w:tc>
        <w:tc>
          <w:tcPr>
            <w:tcW w:w="569" w:type="dxa"/>
            <w:tcBorders>
              <w:tl2br w:val="nil"/>
              <w:tr2bl w:val="nil"/>
            </w:tcBorders>
            <w:vAlign w:val="center"/>
          </w:tcPr>
          <w:p w14:paraId="5AAA8C36">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1"/>
                <w:sz w:val="21"/>
                <w:szCs w:val="21"/>
                <w:highlight w:val="none"/>
              </w:rPr>
              <w:t>8~480</w:t>
            </w:r>
          </w:p>
        </w:tc>
        <w:tc>
          <w:tcPr>
            <w:tcW w:w="589" w:type="dxa"/>
            <w:tcBorders>
              <w:tl2br w:val="nil"/>
              <w:tr2bl w:val="nil"/>
            </w:tcBorders>
            <w:vAlign w:val="center"/>
          </w:tcPr>
          <w:p w14:paraId="7E3064B9">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2"/>
                <w:sz w:val="21"/>
                <w:szCs w:val="21"/>
                <w:highlight w:val="none"/>
              </w:rPr>
              <w:t>9~94</w:t>
            </w:r>
          </w:p>
        </w:tc>
        <w:tc>
          <w:tcPr>
            <w:tcW w:w="469" w:type="dxa"/>
            <w:tcBorders>
              <w:tl2br w:val="nil"/>
              <w:tr2bl w:val="nil"/>
            </w:tcBorders>
            <w:vAlign w:val="center"/>
          </w:tcPr>
          <w:p w14:paraId="0A29E78D">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2"/>
                <w:sz w:val="21"/>
                <w:szCs w:val="21"/>
                <w:highlight w:val="none"/>
              </w:rPr>
              <w:t>5~25</w:t>
            </w:r>
          </w:p>
        </w:tc>
        <w:tc>
          <w:tcPr>
            <w:tcW w:w="679" w:type="dxa"/>
            <w:tcBorders>
              <w:tl2br w:val="nil"/>
              <w:tr2bl w:val="nil"/>
            </w:tcBorders>
            <w:vAlign w:val="center"/>
          </w:tcPr>
          <w:p w14:paraId="0CDD36ED">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1"/>
                <w:sz w:val="21"/>
                <w:szCs w:val="21"/>
                <w:highlight w:val="none"/>
              </w:rPr>
              <w:t>0.3~2.0</w:t>
            </w:r>
          </w:p>
        </w:tc>
        <w:tc>
          <w:tcPr>
            <w:tcW w:w="793" w:type="dxa"/>
            <w:tcBorders>
              <w:tl2br w:val="nil"/>
              <w:tr2bl w:val="nil"/>
            </w:tcBorders>
            <w:vAlign w:val="center"/>
          </w:tcPr>
          <w:p w14:paraId="74288003">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1"/>
                <w:sz w:val="21"/>
                <w:szCs w:val="21"/>
                <w:highlight w:val="none"/>
              </w:rPr>
              <w:t>24~198</w:t>
            </w:r>
          </w:p>
        </w:tc>
      </w:tr>
      <w:tr w14:paraId="73E3BD0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1252" w:type="dxa"/>
            <w:tcBorders>
              <w:tl2br w:val="nil"/>
              <w:tr2bl w:val="nil"/>
            </w:tcBorders>
            <w:vAlign w:val="center"/>
          </w:tcPr>
          <w:p w14:paraId="2FABD820">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3"/>
                <w:sz w:val="21"/>
                <w:szCs w:val="21"/>
                <w:highlight w:val="none"/>
              </w:rPr>
              <w:t>日均值达标率(%)</w:t>
            </w:r>
          </w:p>
        </w:tc>
        <w:tc>
          <w:tcPr>
            <w:tcW w:w="559" w:type="dxa"/>
            <w:tcBorders>
              <w:tl2br w:val="nil"/>
              <w:tr2bl w:val="nil"/>
            </w:tcBorders>
            <w:vAlign w:val="center"/>
          </w:tcPr>
          <w:p w14:paraId="3F63C32C">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2"/>
                <w:sz w:val="21"/>
                <w:szCs w:val="21"/>
                <w:highlight w:val="none"/>
              </w:rPr>
              <w:t>88.0</w:t>
            </w:r>
          </w:p>
        </w:tc>
        <w:tc>
          <w:tcPr>
            <w:tcW w:w="569" w:type="dxa"/>
            <w:tcBorders>
              <w:tl2br w:val="nil"/>
              <w:tr2bl w:val="nil"/>
            </w:tcBorders>
            <w:vAlign w:val="center"/>
          </w:tcPr>
          <w:p w14:paraId="7D3BA0AF">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2"/>
                <w:sz w:val="21"/>
                <w:szCs w:val="21"/>
                <w:highlight w:val="none"/>
              </w:rPr>
              <w:t>94.0</w:t>
            </w:r>
          </w:p>
        </w:tc>
        <w:tc>
          <w:tcPr>
            <w:tcW w:w="589" w:type="dxa"/>
            <w:tcBorders>
              <w:tl2br w:val="nil"/>
              <w:tr2bl w:val="nil"/>
            </w:tcBorders>
            <w:vAlign w:val="center"/>
          </w:tcPr>
          <w:p w14:paraId="488B0481">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2"/>
                <w:sz w:val="21"/>
                <w:szCs w:val="21"/>
                <w:highlight w:val="none"/>
              </w:rPr>
              <w:t>99.5</w:t>
            </w:r>
          </w:p>
        </w:tc>
        <w:tc>
          <w:tcPr>
            <w:tcW w:w="469" w:type="dxa"/>
            <w:tcBorders>
              <w:tl2br w:val="nil"/>
              <w:tr2bl w:val="nil"/>
            </w:tcBorders>
            <w:vAlign w:val="center"/>
          </w:tcPr>
          <w:p w14:paraId="4CDE5140">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4"/>
                <w:sz w:val="21"/>
                <w:szCs w:val="21"/>
                <w:highlight w:val="none"/>
              </w:rPr>
              <w:t>100</w:t>
            </w:r>
          </w:p>
        </w:tc>
        <w:tc>
          <w:tcPr>
            <w:tcW w:w="679" w:type="dxa"/>
            <w:tcBorders>
              <w:tl2br w:val="nil"/>
              <w:tr2bl w:val="nil"/>
            </w:tcBorders>
            <w:vAlign w:val="center"/>
          </w:tcPr>
          <w:p w14:paraId="583513A7">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4"/>
                <w:sz w:val="21"/>
                <w:szCs w:val="21"/>
                <w:highlight w:val="none"/>
              </w:rPr>
              <w:t>100</w:t>
            </w:r>
          </w:p>
        </w:tc>
        <w:tc>
          <w:tcPr>
            <w:tcW w:w="793" w:type="dxa"/>
            <w:tcBorders>
              <w:tl2br w:val="nil"/>
              <w:tr2bl w:val="nil"/>
            </w:tcBorders>
            <w:vAlign w:val="center"/>
          </w:tcPr>
          <w:p w14:paraId="232FE617">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2"/>
                <w:sz w:val="21"/>
                <w:szCs w:val="21"/>
                <w:highlight w:val="none"/>
              </w:rPr>
              <w:t>97.5</w:t>
            </w:r>
          </w:p>
        </w:tc>
      </w:tr>
      <w:tr w14:paraId="362596C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1252" w:type="dxa"/>
            <w:tcBorders>
              <w:tl2br w:val="nil"/>
              <w:tr2bl w:val="nil"/>
            </w:tcBorders>
            <w:vAlign w:val="center"/>
          </w:tcPr>
          <w:p w14:paraId="0A7EAA52">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2"/>
                <w:sz w:val="21"/>
                <w:szCs w:val="21"/>
                <w:highlight w:val="none"/>
              </w:rPr>
              <w:t>年均值</w:t>
            </w:r>
          </w:p>
        </w:tc>
        <w:tc>
          <w:tcPr>
            <w:tcW w:w="559" w:type="dxa"/>
            <w:tcBorders>
              <w:tl2br w:val="nil"/>
              <w:tr2bl w:val="nil"/>
            </w:tcBorders>
            <w:vAlign w:val="center"/>
          </w:tcPr>
          <w:p w14:paraId="6D1D7AF6">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2"/>
                <w:sz w:val="21"/>
                <w:szCs w:val="21"/>
                <w:highlight w:val="none"/>
              </w:rPr>
              <w:t>40</w:t>
            </w:r>
          </w:p>
        </w:tc>
        <w:tc>
          <w:tcPr>
            <w:tcW w:w="569" w:type="dxa"/>
            <w:tcBorders>
              <w:tl2br w:val="nil"/>
              <w:tr2bl w:val="nil"/>
            </w:tcBorders>
            <w:vAlign w:val="center"/>
          </w:tcPr>
          <w:p w14:paraId="23C257D7">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2"/>
                <w:sz w:val="21"/>
                <w:szCs w:val="21"/>
                <w:highlight w:val="none"/>
              </w:rPr>
              <w:t>62</w:t>
            </w:r>
          </w:p>
        </w:tc>
        <w:tc>
          <w:tcPr>
            <w:tcW w:w="589" w:type="dxa"/>
            <w:tcBorders>
              <w:tl2br w:val="nil"/>
              <w:tr2bl w:val="nil"/>
            </w:tcBorders>
            <w:vAlign w:val="center"/>
          </w:tcPr>
          <w:p w14:paraId="12747C7B">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2"/>
                <w:sz w:val="21"/>
                <w:szCs w:val="21"/>
                <w:highlight w:val="none"/>
              </w:rPr>
              <w:t>29</w:t>
            </w:r>
          </w:p>
        </w:tc>
        <w:tc>
          <w:tcPr>
            <w:tcW w:w="469" w:type="dxa"/>
            <w:tcBorders>
              <w:tl2br w:val="nil"/>
              <w:tr2bl w:val="nil"/>
            </w:tcBorders>
            <w:vAlign w:val="center"/>
          </w:tcPr>
          <w:p w14:paraId="77266269">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4"/>
                <w:sz w:val="21"/>
                <w:szCs w:val="21"/>
                <w:highlight w:val="none"/>
              </w:rPr>
              <w:t>10</w:t>
            </w:r>
          </w:p>
        </w:tc>
        <w:tc>
          <w:tcPr>
            <w:tcW w:w="679" w:type="dxa"/>
            <w:tcBorders>
              <w:tl2br w:val="nil"/>
              <w:tr2bl w:val="nil"/>
            </w:tcBorders>
            <w:vAlign w:val="center"/>
          </w:tcPr>
          <w:p w14:paraId="50060DA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cs="Times New Roman" w:eastAsiaTheme="minorEastAsia"/>
                <w:snapToGrid w:val="0"/>
                <w:color w:val="000000"/>
                <w:sz w:val="21"/>
                <w:szCs w:val="21"/>
                <w:highlight w:val="none"/>
                <w:lang w:val="en-US" w:eastAsia="zh-CN"/>
              </w:rPr>
            </w:pPr>
            <w:r>
              <w:rPr>
                <w:rFonts w:hint="eastAsia" w:ascii="Times New Roman" w:hAnsi="Times New Roman" w:cs="Times New Roman" w:eastAsiaTheme="minorEastAsia"/>
                <w:snapToGrid w:val="0"/>
                <w:color w:val="000000"/>
                <w:sz w:val="21"/>
                <w:szCs w:val="21"/>
                <w:highlight w:val="none"/>
                <w:lang w:val="en-US" w:eastAsia="zh-CN"/>
              </w:rPr>
              <w:t>-</w:t>
            </w:r>
          </w:p>
        </w:tc>
        <w:tc>
          <w:tcPr>
            <w:tcW w:w="793" w:type="dxa"/>
            <w:tcBorders>
              <w:tl2br w:val="nil"/>
              <w:tr2bl w:val="nil"/>
            </w:tcBorders>
            <w:vAlign w:val="center"/>
          </w:tcPr>
          <w:p w14:paraId="1A8FF38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cs="Times New Roman" w:eastAsiaTheme="minorEastAsia"/>
                <w:snapToGrid w:val="0"/>
                <w:color w:val="000000"/>
                <w:sz w:val="21"/>
                <w:szCs w:val="21"/>
                <w:highlight w:val="none"/>
                <w:lang w:val="en-US" w:eastAsia="zh-CN"/>
              </w:rPr>
            </w:pPr>
            <w:r>
              <w:rPr>
                <w:rFonts w:hint="eastAsia" w:ascii="Times New Roman" w:hAnsi="Times New Roman" w:cs="Times New Roman" w:eastAsiaTheme="minorEastAsia"/>
                <w:snapToGrid w:val="0"/>
                <w:color w:val="000000"/>
                <w:sz w:val="21"/>
                <w:szCs w:val="21"/>
                <w:highlight w:val="none"/>
                <w:lang w:val="en-US" w:eastAsia="zh-CN"/>
              </w:rPr>
              <w:t>-</w:t>
            </w:r>
          </w:p>
        </w:tc>
      </w:tr>
      <w:tr w14:paraId="14EBFCF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1252" w:type="dxa"/>
            <w:tcBorders>
              <w:tl2br w:val="nil"/>
              <w:tr2bl w:val="nil"/>
            </w:tcBorders>
            <w:vAlign w:val="center"/>
          </w:tcPr>
          <w:p w14:paraId="405DFD84">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z w:val="21"/>
                <w:szCs w:val="21"/>
                <w:highlight w:val="none"/>
              </w:rPr>
              <w:t>日均值第X百分位数</w:t>
            </w:r>
          </w:p>
        </w:tc>
        <w:tc>
          <w:tcPr>
            <w:tcW w:w="559" w:type="dxa"/>
            <w:tcBorders>
              <w:tl2br w:val="nil"/>
              <w:tr2bl w:val="nil"/>
            </w:tcBorders>
            <w:vAlign w:val="center"/>
          </w:tcPr>
          <w:p w14:paraId="00604022">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4"/>
                <w:sz w:val="21"/>
                <w:szCs w:val="21"/>
                <w:highlight w:val="none"/>
              </w:rPr>
              <w:t>124</w:t>
            </w:r>
          </w:p>
        </w:tc>
        <w:tc>
          <w:tcPr>
            <w:tcW w:w="569" w:type="dxa"/>
            <w:tcBorders>
              <w:tl2br w:val="nil"/>
              <w:tr2bl w:val="nil"/>
            </w:tcBorders>
            <w:vAlign w:val="center"/>
          </w:tcPr>
          <w:p w14:paraId="4782D4D3">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4"/>
                <w:sz w:val="21"/>
                <w:szCs w:val="21"/>
                <w:highlight w:val="none"/>
              </w:rPr>
              <w:t>151</w:t>
            </w:r>
          </w:p>
        </w:tc>
        <w:tc>
          <w:tcPr>
            <w:tcW w:w="589" w:type="dxa"/>
            <w:tcBorders>
              <w:tl2br w:val="nil"/>
              <w:tr2bl w:val="nil"/>
            </w:tcBorders>
            <w:vAlign w:val="center"/>
          </w:tcPr>
          <w:p w14:paraId="595AF9D3">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2"/>
                <w:sz w:val="21"/>
                <w:szCs w:val="21"/>
                <w:highlight w:val="none"/>
              </w:rPr>
              <w:t>57</w:t>
            </w:r>
          </w:p>
        </w:tc>
        <w:tc>
          <w:tcPr>
            <w:tcW w:w="469" w:type="dxa"/>
            <w:tcBorders>
              <w:tl2br w:val="nil"/>
              <w:tr2bl w:val="nil"/>
            </w:tcBorders>
            <w:vAlign w:val="center"/>
          </w:tcPr>
          <w:p w14:paraId="43A59255">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2"/>
                <w:sz w:val="21"/>
                <w:szCs w:val="21"/>
                <w:highlight w:val="none"/>
              </w:rPr>
              <w:t>21</w:t>
            </w:r>
          </w:p>
        </w:tc>
        <w:tc>
          <w:tcPr>
            <w:tcW w:w="679" w:type="dxa"/>
            <w:tcBorders>
              <w:tl2br w:val="nil"/>
              <w:tr2bl w:val="nil"/>
            </w:tcBorders>
            <w:vAlign w:val="center"/>
          </w:tcPr>
          <w:p w14:paraId="284630F3">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4"/>
                <w:sz w:val="21"/>
                <w:szCs w:val="21"/>
                <w:highlight w:val="none"/>
              </w:rPr>
              <w:t>1.1</w:t>
            </w:r>
          </w:p>
        </w:tc>
        <w:tc>
          <w:tcPr>
            <w:tcW w:w="793" w:type="dxa"/>
            <w:tcBorders>
              <w:tl2br w:val="nil"/>
              <w:tr2bl w:val="nil"/>
            </w:tcBorders>
            <w:vAlign w:val="center"/>
          </w:tcPr>
          <w:p w14:paraId="4ED9A7F9">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4"/>
                <w:sz w:val="21"/>
                <w:szCs w:val="21"/>
                <w:highlight w:val="none"/>
              </w:rPr>
              <w:t>118</w:t>
            </w:r>
          </w:p>
        </w:tc>
      </w:tr>
      <w:tr w14:paraId="6F3B4D0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1252" w:type="dxa"/>
            <w:tcBorders>
              <w:tl2br w:val="nil"/>
              <w:tr2bl w:val="nil"/>
            </w:tcBorders>
            <w:vAlign w:val="center"/>
          </w:tcPr>
          <w:p w14:paraId="52D783F9">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1"/>
                <w:sz w:val="21"/>
                <w:szCs w:val="21"/>
                <w:highlight w:val="none"/>
              </w:rPr>
              <w:t>污染物年评价</w:t>
            </w:r>
          </w:p>
        </w:tc>
        <w:tc>
          <w:tcPr>
            <w:tcW w:w="559" w:type="dxa"/>
            <w:tcBorders>
              <w:tl2br w:val="nil"/>
              <w:tr2bl w:val="nil"/>
            </w:tcBorders>
            <w:vAlign w:val="center"/>
          </w:tcPr>
          <w:p w14:paraId="3564EA8E">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2"/>
                <w:sz w:val="21"/>
                <w:szCs w:val="21"/>
                <w:highlight w:val="none"/>
              </w:rPr>
              <w:t>超标</w:t>
            </w:r>
          </w:p>
        </w:tc>
        <w:tc>
          <w:tcPr>
            <w:tcW w:w="569" w:type="dxa"/>
            <w:tcBorders>
              <w:tl2br w:val="nil"/>
              <w:tr2bl w:val="nil"/>
            </w:tcBorders>
            <w:vAlign w:val="center"/>
          </w:tcPr>
          <w:p w14:paraId="59F712E8">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2"/>
                <w:sz w:val="21"/>
                <w:szCs w:val="21"/>
                <w:highlight w:val="none"/>
              </w:rPr>
              <w:t>超标</w:t>
            </w:r>
          </w:p>
        </w:tc>
        <w:tc>
          <w:tcPr>
            <w:tcW w:w="589" w:type="dxa"/>
            <w:tcBorders>
              <w:tl2br w:val="nil"/>
              <w:tr2bl w:val="nil"/>
            </w:tcBorders>
            <w:vAlign w:val="center"/>
          </w:tcPr>
          <w:p w14:paraId="0EBA98C4">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2"/>
                <w:sz w:val="21"/>
                <w:szCs w:val="21"/>
                <w:highlight w:val="none"/>
              </w:rPr>
              <w:t>达标</w:t>
            </w:r>
          </w:p>
        </w:tc>
        <w:tc>
          <w:tcPr>
            <w:tcW w:w="469" w:type="dxa"/>
            <w:tcBorders>
              <w:tl2br w:val="nil"/>
              <w:tr2bl w:val="nil"/>
            </w:tcBorders>
            <w:vAlign w:val="center"/>
          </w:tcPr>
          <w:p w14:paraId="07E464B2">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2"/>
                <w:sz w:val="21"/>
                <w:szCs w:val="21"/>
                <w:highlight w:val="none"/>
              </w:rPr>
              <w:t>达标</w:t>
            </w:r>
          </w:p>
        </w:tc>
        <w:tc>
          <w:tcPr>
            <w:tcW w:w="679" w:type="dxa"/>
            <w:tcBorders>
              <w:tl2br w:val="nil"/>
              <w:tr2bl w:val="nil"/>
            </w:tcBorders>
            <w:vAlign w:val="center"/>
          </w:tcPr>
          <w:p w14:paraId="3DB93018">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2"/>
                <w:sz w:val="21"/>
                <w:szCs w:val="21"/>
                <w:highlight w:val="none"/>
              </w:rPr>
              <w:t>达标</w:t>
            </w:r>
          </w:p>
        </w:tc>
        <w:tc>
          <w:tcPr>
            <w:tcW w:w="793" w:type="dxa"/>
            <w:tcBorders>
              <w:tl2br w:val="nil"/>
              <w:tr2bl w:val="nil"/>
            </w:tcBorders>
            <w:vAlign w:val="center"/>
          </w:tcPr>
          <w:p w14:paraId="6F6F9D17">
            <w:pPr>
              <w:pStyle w:val="773"/>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napToGrid w:val="0"/>
                <w:color w:val="000000"/>
                <w:sz w:val="21"/>
                <w:szCs w:val="21"/>
                <w:highlight w:val="none"/>
              </w:rPr>
            </w:pPr>
            <w:r>
              <w:rPr>
                <w:rFonts w:hint="default" w:ascii="Times New Roman" w:hAnsi="Times New Roman" w:cs="Times New Roman" w:eastAsiaTheme="minorEastAsia"/>
                <w:snapToGrid w:val="0"/>
                <w:color w:val="000000"/>
                <w:spacing w:val="-2"/>
                <w:sz w:val="21"/>
                <w:szCs w:val="21"/>
                <w:highlight w:val="none"/>
              </w:rPr>
              <w:t>达标</w:t>
            </w:r>
          </w:p>
        </w:tc>
      </w:tr>
    </w:tbl>
    <w:p w14:paraId="51C7FAD0">
      <w:pPr>
        <w:keepNext w:val="0"/>
        <w:keepLines w:val="0"/>
        <w:pageBreakBefore w:val="0"/>
        <w:widowControl w:val="0"/>
        <w:kinsoku/>
        <w:wordWrap w:val="0"/>
        <w:overflowPunct/>
        <w:topLinePunct w:val="0"/>
        <w:autoSpaceDE/>
        <w:autoSpaceDN/>
        <w:bidi w:val="0"/>
        <w:adjustRightInd w:val="0"/>
        <w:snapToGrid w:val="0"/>
        <w:textAlignment w:val="auto"/>
        <w:rPr>
          <w:rFonts w:hAnsiTheme="minorEastAsia" w:eastAsiaTheme="minorEastAsia"/>
          <w:b/>
          <w:sz w:val="24"/>
          <w:highlight w:val="none"/>
        </w:rPr>
      </w:pPr>
      <w:r>
        <w:rPr>
          <w:rFonts w:eastAsiaTheme="minorEastAsia"/>
          <w:b/>
          <w:sz w:val="24"/>
          <w:highlight w:val="none"/>
        </w:rPr>
        <w:t>4.2.1.2</w:t>
      </w:r>
      <w:r>
        <w:rPr>
          <w:rFonts w:hAnsiTheme="minorEastAsia" w:eastAsiaTheme="minorEastAsia"/>
          <w:b/>
          <w:sz w:val="24"/>
          <w:highlight w:val="none"/>
        </w:rPr>
        <w:t>其他污染物环境质量达标情况</w:t>
      </w:r>
    </w:p>
    <w:p w14:paraId="623F7911">
      <w:pPr>
        <w:keepNext w:val="0"/>
        <w:keepLines w:val="0"/>
        <w:pageBreakBefore w:val="0"/>
        <w:widowControl w:val="0"/>
        <w:numPr>
          <w:ilvl w:val="0"/>
          <w:numId w:val="10"/>
        </w:numPr>
        <w:kinsoku/>
        <w:wordWrap/>
        <w:overflowPunct/>
        <w:topLinePunct w:val="0"/>
        <w:autoSpaceDE/>
        <w:autoSpaceDN/>
        <w:bidi w:val="0"/>
        <w:adjustRightInd w:val="0"/>
        <w:snapToGrid w:val="0"/>
        <w:spacing w:line="360" w:lineRule="auto"/>
        <w:ind w:leftChars="0" w:firstLine="480" w:firstLineChars="200"/>
        <w:jc w:val="both"/>
        <w:textAlignment w:val="auto"/>
        <w:rPr>
          <w:rFonts w:hint="default" w:ascii="Times New Roman" w:hAnsi="Times New Roman" w:cs="Times New Roman" w:eastAsiaTheme="minorEastAsia"/>
          <w:spacing w:val="0"/>
          <w:kern w:val="0"/>
          <w:position w:val="0"/>
          <w:sz w:val="24"/>
          <w:szCs w:val="24"/>
          <w:highlight w:val="none"/>
          <w:lang w:val="en-US" w:eastAsia="zh-CN"/>
        </w:rPr>
      </w:pPr>
      <w:r>
        <w:rPr>
          <w:rFonts w:hint="default" w:ascii="Times New Roman" w:hAnsi="Times New Roman" w:cs="Times New Roman" w:eastAsiaTheme="minorEastAsia"/>
          <w:spacing w:val="0"/>
          <w:kern w:val="0"/>
          <w:position w:val="0"/>
          <w:sz w:val="24"/>
          <w:szCs w:val="24"/>
          <w:highlight w:val="none"/>
          <w:lang w:val="en-US" w:eastAsia="zh-CN"/>
        </w:rPr>
        <w:t>监测条件</w:t>
      </w:r>
    </w:p>
    <w:p w14:paraId="62E1B6C5">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jc w:val="both"/>
        <w:textAlignment w:val="auto"/>
        <w:rPr>
          <w:rFonts w:hint="eastAsia" w:cs="Times New Roman"/>
          <w:spacing w:val="0"/>
          <w:position w:val="0"/>
          <w:sz w:val="24"/>
          <w:szCs w:val="24"/>
          <w:highlight w:val="none"/>
          <w:lang w:val="zh-CN" w:eastAsia="zh-CN" w:bidi="zh-CN"/>
        </w:rPr>
      </w:pPr>
      <w:r>
        <w:rPr>
          <w:rFonts w:hint="default" w:ascii="Times New Roman" w:hAnsi="Times New Roman" w:cs="Times New Roman" w:eastAsiaTheme="minorEastAsia"/>
          <w:spacing w:val="0"/>
          <w:kern w:val="0"/>
          <w:position w:val="0"/>
          <w:sz w:val="24"/>
          <w:szCs w:val="24"/>
          <w:highlight w:val="none"/>
          <w:lang w:val="en-US" w:eastAsia="zh-CN"/>
        </w:rPr>
        <w:t>根据工程的污染特征、</w:t>
      </w:r>
      <w:r>
        <w:rPr>
          <w:rFonts w:hint="default" w:ascii="Times New Roman" w:hAnsi="Times New Roman" w:eastAsia="宋体" w:cs="Times New Roman"/>
          <w:spacing w:val="0"/>
          <w:position w:val="0"/>
          <w:sz w:val="24"/>
          <w:szCs w:val="24"/>
          <w:highlight w:val="none"/>
          <w:lang w:val="zh-CN" w:eastAsia="zh-CN" w:bidi="zh-CN"/>
        </w:rPr>
        <w:t>当地气象条件、地形分布及评价区域环境功能区划要求等，在评价区内设置</w:t>
      </w:r>
      <w:r>
        <w:rPr>
          <w:rFonts w:hint="default" w:ascii="Times New Roman" w:hAnsi="Times New Roman" w:cs="Times New Roman"/>
          <w:spacing w:val="0"/>
          <w:position w:val="0"/>
          <w:sz w:val="24"/>
          <w:szCs w:val="24"/>
          <w:highlight w:val="none"/>
          <w:lang w:val="en-US" w:eastAsia="zh-CN" w:bidi="zh-CN"/>
        </w:rPr>
        <w:t>1</w:t>
      </w:r>
      <w:r>
        <w:rPr>
          <w:rFonts w:hint="default" w:ascii="Times New Roman" w:hAnsi="Times New Roman" w:eastAsia="宋体" w:cs="Times New Roman"/>
          <w:spacing w:val="0"/>
          <w:position w:val="0"/>
          <w:sz w:val="24"/>
          <w:szCs w:val="24"/>
          <w:highlight w:val="none"/>
          <w:lang w:val="zh-CN" w:eastAsia="zh-CN" w:bidi="zh-CN"/>
        </w:rPr>
        <w:t>个监测点位</w:t>
      </w:r>
      <w:r>
        <w:rPr>
          <w:rFonts w:hint="eastAsia" w:cs="Times New Roman"/>
          <w:spacing w:val="0"/>
          <w:position w:val="0"/>
          <w:sz w:val="24"/>
          <w:szCs w:val="24"/>
          <w:highlight w:val="none"/>
          <w:lang w:val="zh-CN" w:eastAsia="zh-CN" w:bidi="zh-CN"/>
        </w:rPr>
        <w:t>。</w:t>
      </w:r>
    </w:p>
    <w:p w14:paraId="64C4689B">
      <w:pPr>
        <w:keepNext w:val="0"/>
        <w:keepLines w:val="0"/>
        <w:pageBreakBefore w:val="0"/>
        <w:widowControl w:val="0"/>
        <w:numPr>
          <w:ilvl w:val="0"/>
          <w:numId w:val="10"/>
        </w:numPr>
        <w:kinsoku/>
        <w:wordWrap/>
        <w:overflowPunct/>
        <w:topLinePunct w:val="0"/>
        <w:autoSpaceDE/>
        <w:autoSpaceDN/>
        <w:bidi w:val="0"/>
        <w:adjustRightInd w:val="0"/>
        <w:snapToGrid w:val="0"/>
        <w:spacing w:line="360" w:lineRule="auto"/>
        <w:ind w:left="0" w:leftChars="0" w:firstLine="480" w:firstLineChars="200"/>
        <w:jc w:val="both"/>
        <w:textAlignment w:val="auto"/>
        <w:rPr>
          <w:rFonts w:hint="eastAsia" w:cs="Times New Roman"/>
          <w:spacing w:val="0"/>
          <w:position w:val="0"/>
          <w:sz w:val="24"/>
          <w:szCs w:val="24"/>
          <w:highlight w:val="none"/>
          <w:lang w:val="en-US" w:eastAsia="zh-CN" w:bidi="zh-CN"/>
        </w:rPr>
      </w:pPr>
      <w:r>
        <w:rPr>
          <w:rFonts w:hint="eastAsia" w:cs="Times New Roman"/>
          <w:spacing w:val="0"/>
          <w:position w:val="0"/>
          <w:sz w:val="24"/>
          <w:szCs w:val="24"/>
          <w:highlight w:val="none"/>
          <w:lang w:val="en-US" w:eastAsia="zh-CN" w:bidi="zh-CN"/>
        </w:rPr>
        <w:t>监测因子</w:t>
      </w:r>
    </w:p>
    <w:p w14:paraId="2BAD983A">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jc w:val="both"/>
        <w:textAlignment w:val="auto"/>
        <w:rPr>
          <w:rFonts w:hint="default" w:cs="Times New Roman"/>
          <w:spacing w:val="0"/>
          <w:position w:val="0"/>
          <w:sz w:val="24"/>
          <w:szCs w:val="24"/>
          <w:highlight w:val="none"/>
          <w:lang w:val="en-US" w:eastAsia="zh-CN" w:bidi="zh-CN"/>
        </w:rPr>
      </w:pPr>
      <w:r>
        <w:rPr>
          <w:rFonts w:hint="default" w:cs="Times New Roman"/>
          <w:spacing w:val="0"/>
          <w:position w:val="0"/>
          <w:sz w:val="24"/>
          <w:szCs w:val="24"/>
          <w:highlight w:val="none"/>
          <w:lang w:val="en-US" w:eastAsia="zh-CN" w:bidi="zh-CN"/>
        </w:rPr>
        <w:t>根据工程分析，确定项目监测因子为非甲烷总烃、</w:t>
      </w:r>
      <w:r>
        <w:rPr>
          <w:rFonts w:hint="eastAsia" w:cs="Times New Roman"/>
          <w:spacing w:val="0"/>
          <w:position w:val="0"/>
          <w:sz w:val="24"/>
          <w:szCs w:val="24"/>
          <w:highlight w:val="none"/>
          <w:lang w:val="en-US" w:eastAsia="zh-CN" w:bidi="zh-CN"/>
        </w:rPr>
        <w:t>TSP、NOx</w:t>
      </w:r>
      <w:r>
        <w:rPr>
          <w:rFonts w:hint="default" w:cs="Times New Roman"/>
          <w:spacing w:val="0"/>
          <w:position w:val="0"/>
          <w:sz w:val="24"/>
          <w:szCs w:val="24"/>
          <w:highlight w:val="none"/>
          <w:lang w:val="en-US" w:eastAsia="zh-CN" w:bidi="zh-CN"/>
        </w:rPr>
        <w:t>。</w:t>
      </w:r>
    </w:p>
    <w:p w14:paraId="3A1CACB8">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jc w:val="both"/>
        <w:textAlignment w:val="auto"/>
        <w:rPr>
          <w:rFonts w:hint="eastAsia" w:cs="Times New Roman"/>
          <w:spacing w:val="0"/>
          <w:position w:val="0"/>
          <w:sz w:val="24"/>
          <w:szCs w:val="24"/>
          <w:highlight w:val="none"/>
          <w:lang w:val="en-US" w:eastAsia="zh-CN" w:bidi="zh-CN"/>
        </w:rPr>
      </w:pPr>
      <w:r>
        <w:rPr>
          <w:rFonts w:hint="eastAsia" w:cs="Times New Roman"/>
          <w:spacing w:val="0"/>
          <w:position w:val="0"/>
          <w:sz w:val="24"/>
          <w:szCs w:val="24"/>
          <w:highlight w:val="none"/>
          <w:lang w:val="en-US" w:eastAsia="zh-CN" w:bidi="zh-CN"/>
        </w:rPr>
        <w:t>3、监测点位</w:t>
      </w:r>
    </w:p>
    <w:p w14:paraId="6D76C3D7">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jc w:val="both"/>
        <w:textAlignment w:val="auto"/>
        <w:rPr>
          <w:rFonts w:hint="default" w:cs="Times New Roman"/>
          <w:spacing w:val="0"/>
          <w:position w:val="0"/>
          <w:sz w:val="22"/>
          <w:szCs w:val="22"/>
          <w:highlight w:val="none"/>
          <w:lang w:val="en-US" w:eastAsia="zh-CN" w:bidi="zh-CN"/>
        </w:rPr>
      </w:pPr>
      <w:r>
        <w:rPr>
          <w:rFonts w:hint="default" w:cs="Times New Roman"/>
          <w:spacing w:val="0"/>
          <w:position w:val="0"/>
          <w:sz w:val="24"/>
          <w:szCs w:val="24"/>
          <w:highlight w:val="none"/>
          <w:lang w:val="en-US" w:eastAsia="zh-CN" w:bidi="zh-CN"/>
        </w:rPr>
        <w:t>根据《环境影响评价技术导则大气环境》（HJ2.2-2018）要求，补充监测点位以近20年统计的当地主导风向为轴向，本项目在厂址主导风向下风向</w:t>
      </w:r>
      <w:r>
        <w:rPr>
          <w:rFonts w:hint="eastAsia" w:cs="Times New Roman"/>
          <w:spacing w:val="0"/>
          <w:position w:val="0"/>
          <w:sz w:val="24"/>
          <w:szCs w:val="24"/>
          <w:highlight w:val="none"/>
          <w:lang w:val="en-US" w:eastAsia="zh-CN" w:bidi="zh-CN"/>
        </w:rPr>
        <w:t>20m</w:t>
      </w:r>
      <w:r>
        <w:rPr>
          <w:rFonts w:hint="default" w:cs="Times New Roman"/>
          <w:spacing w:val="0"/>
          <w:position w:val="0"/>
          <w:sz w:val="24"/>
          <w:szCs w:val="24"/>
          <w:highlight w:val="none"/>
          <w:lang w:val="en-US" w:eastAsia="zh-CN" w:bidi="zh-CN"/>
        </w:rPr>
        <w:t>设置</w:t>
      </w:r>
      <w:r>
        <w:rPr>
          <w:rFonts w:hint="eastAsia" w:cs="Times New Roman"/>
          <w:spacing w:val="0"/>
          <w:position w:val="0"/>
          <w:sz w:val="24"/>
          <w:szCs w:val="24"/>
          <w:highlight w:val="none"/>
          <w:lang w:val="en-US" w:eastAsia="zh-CN" w:bidi="zh-CN"/>
        </w:rPr>
        <w:t>1</w:t>
      </w:r>
      <w:r>
        <w:rPr>
          <w:rFonts w:hint="default" w:cs="Times New Roman"/>
          <w:spacing w:val="0"/>
          <w:position w:val="0"/>
          <w:sz w:val="24"/>
          <w:szCs w:val="24"/>
          <w:highlight w:val="none"/>
          <w:lang w:val="en-US" w:eastAsia="zh-CN" w:bidi="zh-CN"/>
        </w:rPr>
        <w:t>个监测点具体见表4</w:t>
      </w:r>
      <w:r>
        <w:rPr>
          <w:rFonts w:hint="eastAsia" w:cs="Times New Roman"/>
          <w:spacing w:val="0"/>
          <w:position w:val="0"/>
          <w:sz w:val="24"/>
          <w:szCs w:val="24"/>
          <w:highlight w:val="none"/>
          <w:lang w:val="en-US" w:eastAsia="zh-CN" w:bidi="zh-CN"/>
        </w:rPr>
        <w:t>-</w:t>
      </w:r>
      <w:r>
        <w:rPr>
          <w:rFonts w:hint="default" w:cs="Times New Roman"/>
          <w:spacing w:val="0"/>
          <w:position w:val="0"/>
          <w:sz w:val="24"/>
          <w:szCs w:val="24"/>
          <w:highlight w:val="none"/>
          <w:lang w:val="en-US" w:eastAsia="zh-CN" w:bidi="zh-CN"/>
        </w:rPr>
        <w:t>2-2和图4</w:t>
      </w:r>
      <w:r>
        <w:rPr>
          <w:rFonts w:hint="eastAsia" w:cs="Times New Roman"/>
          <w:spacing w:val="0"/>
          <w:position w:val="0"/>
          <w:sz w:val="24"/>
          <w:szCs w:val="24"/>
          <w:highlight w:val="none"/>
          <w:lang w:val="en-US" w:eastAsia="zh-CN" w:bidi="zh-CN"/>
        </w:rPr>
        <w:t>-</w:t>
      </w:r>
      <w:r>
        <w:rPr>
          <w:rFonts w:hint="default" w:cs="Times New Roman"/>
          <w:spacing w:val="0"/>
          <w:position w:val="0"/>
          <w:sz w:val="24"/>
          <w:szCs w:val="24"/>
          <w:highlight w:val="none"/>
          <w:lang w:val="en-US" w:eastAsia="zh-CN" w:bidi="zh-CN"/>
        </w:rPr>
        <w:t>2-1。</w:t>
      </w:r>
    </w:p>
    <w:p w14:paraId="69DADD75">
      <w:pPr>
        <w:pStyle w:val="7"/>
        <w:bidi w:val="0"/>
        <w:rPr>
          <w:rFonts w:hint="default"/>
          <w:highlight w:val="none"/>
        </w:rPr>
      </w:pPr>
      <w:r>
        <w:rPr>
          <w:rFonts w:hint="default"/>
          <w:highlight w:val="none"/>
        </w:rPr>
        <w:t>表4-2-2其他污染物补充监测点基本信息</w:t>
      </w:r>
    </w:p>
    <w:tbl>
      <w:tblPr>
        <w:tblStyle w:val="45"/>
        <w:tblW w:w="5000" w:type="pct"/>
        <w:tblInd w:w="0"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
      <w:tblGrid>
        <w:gridCol w:w="1384"/>
        <w:gridCol w:w="1277"/>
        <w:gridCol w:w="1416"/>
        <w:gridCol w:w="994"/>
        <w:gridCol w:w="1416"/>
        <w:gridCol w:w="876"/>
        <w:gridCol w:w="1159"/>
      </w:tblGrid>
      <w:tr w14:paraId="110E4B1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285" w:hRule="atLeast"/>
        </w:trPr>
        <w:tc>
          <w:tcPr>
            <w:tcW w:w="812" w:type="pct"/>
            <w:vMerge w:val="restart"/>
            <w:tcBorders>
              <w:tl2br w:val="nil"/>
              <w:tr2bl w:val="nil"/>
            </w:tcBorders>
            <w:vAlign w:val="center"/>
          </w:tcPr>
          <w:p w14:paraId="78BC3F33">
            <w:pPr>
              <w:pStyle w:val="8"/>
              <w:suppressLineNumbers w:val="0"/>
              <w:bidi w:val="0"/>
              <w:spacing w:before="0" w:beforeAutospacing="0" w:after="0" w:afterAutospacing="0"/>
              <w:ind w:left="0" w:right="0"/>
              <w:rPr>
                <w:rFonts w:hint="default"/>
                <w:highlight w:val="none"/>
              </w:rPr>
            </w:pPr>
            <w:r>
              <w:rPr>
                <w:rFonts w:hint="default"/>
                <w:highlight w:val="none"/>
              </w:rPr>
              <w:t>监测点名称</w:t>
            </w:r>
          </w:p>
        </w:tc>
        <w:tc>
          <w:tcPr>
            <w:tcW w:w="1580" w:type="pct"/>
            <w:gridSpan w:val="2"/>
            <w:tcBorders>
              <w:tl2br w:val="nil"/>
              <w:tr2bl w:val="nil"/>
            </w:tcBorders>
            <w:vAlign w:val="center"/>
          </w:tcPr>
          <w:p w14:paraId="2CDF4AFF">
            <w:pPr>
              <w:pStyle w:val="8"/>
              <w:suppressLineNumbers w:val="0"/>
              <w:bidi w:val="0"/>
              <w:spacing w:before="0" w:beforeAutospacing="0" w:after="0" w:afterAutospacing="0"/>
              <w:ind w:left="0" w:right="0"/>
              <w:rPr>
                <w:rFonts w:hint="default"/>
                <w:highlight w:val="none"/>
              </w:rPr>
            </w:pPr>
            <w:r>
              <w:rPr>
                <w:rFonts w:hint="default"/>
                <w:highlight w:val="none"/>
              </w:rPr>
              <w:t>监测点坐标/°</w:t>
            </w:r>
          </w:p>
        </w:tc>
        <w:tc>
          <w:tcPr>
            <w:tcW w:w="583" w:type="pct"/>
            <w:vMerge w:val="restart"/>
            <w:tcBorders>
              <w:tl2br w:val="nil"/>
              <w:tr2bl w:val="nil"/>
            </w:tcBorders>
            <w:vAlign w:val="center"/>
          </w:tcPr>
          <w:p w14:paraId="65A480B3">
            <w:pPr>
              <w:pStyle w:val="8"/>
              <w:suppressLineNumbers w:val="0"/>
              <w:bidi w:val="0"/>
              <w:spacing w:before="0" w:beforeAutospacing="0" w:after="0" w:afterAutospacing="0"/>
              <w:ind w:left="0" w:right="0"/>
              <w:rPr>
                <w:rFonts w:hint="default"/>
                <w:highlight w:val="none"/>
              </w:rPr>
            </w:pPr>
            <w:r>
              <w:rPr>
                <w:rFonts w:hint="default"/>
                <w:highlight w:val="none"/>
              </w:rPr>
              <w:t>监测</w:t>
            </w:r>
          </w:p>
          <w:p w14:paraId="3040D68F">
            <w:pPr>
              <w:pStyle w:val="8"/>
              <w:suppressLineNumbers w:val="0"/>
              <w:bidi w:val="0"/>
              <w:spacing w:before="0" w:beforeAutospacing="0" w:after="0" w:afterAutospacing="0"/>
              <w:ind w:left="0" w:right="0"/>
              <w:rPr>
                <w:rFonts w:hint="default"/>
                <w:highlight w:val="none"/>
              </w:rPr>
            </w:pPr>
            <w:r>
              <w:rPr>
                <w:rFonts w:hint="default"/>
                <w:highlight w:val="none"/>
              </w:rPr>
              <w:t>因子</w:t>
            </w:r>
          </w:p>
        </w:tc>
        <w:tc>
          <w:tcPr>
            <w:tcW w:w="830" w:type="pct"/>
            <w:vMerge w:val="restart"/>
            <w:tcBorders>
              <w:tl2br w:val="nil"/>
              <w:tr2bl w:val="nil"/>
            </w:tcBorders>
            <w:vAlign w:val="center"/>
          </w:tcPr>
          <w:p w14:paraId="529E8BB4">
            <w:pPr>
              <w:pStyle w:val="8"/>
              <w:suppressLineNumbers w:val="0"/>
              <w:bidi w:val="0"/>
              <w:spacing w:before="0" w:beforeAutospacing="0" w:after="0" w:afterAutospacing="0"/>
              <w:ind w:left="0" w:right="0"/>
              <w:rPr>
                <w:rFonts w:hint="default"/>
                <w:highlight w:val="none"/>
              </w:rPr>
            </w:pPr>
            <w:r>
              <w:rPr>
                <w:rFonts w:hint="default"/>
                <w:highlight w:val="none"/>
              </w:rPr>
              <w:t>监测时段</w:t>
            </w:r>
          </w:p>
        </w:tc>
        <w:tc>
          <w:tcPr>
            <w:tcW w:w="513" w:type="pct"/>
            <w:vMerge w:val="restart"/>
            <w:tcBorders>
              <w:tl2br w:val="nil"/>
              <w:tr2bl w:val="nil"/>
            </w:tcBorders>
            <w:vAlign w:val="center"/>
          </w:tcPr>
          <w:p w14:paraId="5D028147">
            <w:pPr>
              <w:pStyle w:val="8"/>
              <w:suppressLineNumbers w:val="0"/>
              <w:bidi w:val="0"/>
              <w:spacing w:before="0" w:beforeAutospacing="0" w:after="0" w:afterAutospacing="0"/>
              <w:ind w:left="0" w:right="0"/>
              <w:rPr>
                <w:rFonts w:hint="default"/>
                <w:highlight w:val="none"/>
              </w:rPr>
            </w:pPr>
            <w:r>
              <w:rPr>
                <w:rFonts w:hint="default"/>
                <w:highlight w:val="none"/>
              </w:rPr>
              <w:t>相对厂址方位</w:t>
            </w:r>
          </w:p>
        </w:tc>
        <w:tc>
          <w:tcPr>
            <w:tcW w:w="680" w:type="pct"/>
            <w:vMerge w:val="restart"/>
            <w:tcBorders>
              <w:tl2br w:val="nil"/>
              <w:tr2bl w:val="nil"/>
            </w:tcBorders>
            <w:vAlign w:val="center"/>
          </w:tcPr>
          <w:p w14:paraId="7418D0A6">
            <w:pPr>
              <w:pStyle w:val="8"/>
              <w:suppressLineNumbers w:val="0"/>
              <w:bidi w:val="0"/>
              <w:spacing w:before="0" w:beforeAutospacing="0" w:after="0" w:afterAutospacing="0"/>
              <w:ind w:left="0" w:right="0"/>
              <w:rPr>
                <w:rFonts w:hint="default"/>
                <w:highlight w:val="none"/>
              </w:rPr>
            </w:pPr>
            <w:r>
              <w:rPr>
                <w:rFonts w:hint="default"/>
                <w:highlight w:val="none"/>
              </w:rPr>
              <w:t>相对厂界距离/m</w:t>
            </w:r>
          </w:p>
        </w:tc>
      </w:tr>
      <w:tr w14:paraId="18DC2DE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190" w:hRule="atLeast"/>
        </w:trPr>
        <w:tc>
          <w:tcPr>
            <w:tcW w:w="812" w:type="pct"/>
            <w:vMerge w:val="continue"/>
            <w:tcBorders>
              <w:tl2br w:val="nil"/>
              <w:tr2bl w:val="nil"/>
            </w:tcBorders>
            <w:vAlign w:val="center"/>
          </w:tcPr>
          <w:p w14:paraId="2591578F">
            <w:pPr>
              <w:pStyle w:val="8"/>
              <w:suppressLineNumbers w:val="0"/>
              <w:bidi w:val="0"/>
              <w:spacing w:before="0" w:beforeAutospacing="0" w:after="0" w:afterAutospacing="0"/>
              <w:ind w:left="0" w:right="0"/>
              <w:rPr>
                <w:rFonts w:hint="default"/>
                <w:highlight w:val="none"/>
              </w:rPr>
            </w:pPr>
          </w:p>
        </w:tc>
        <w:tc>
          <w:tcPr>
            <w:tcW w:w="749" w:type="pct"/>
            <w:tcBorders>
              <w:tl2br w:val="nil"/>
              <w:tr2bl w:val="nil"/>
            </w:tcBorders>
            <w:vAlign w:val="center"/>
          </w:tcPr>
          <w:p w14:paraId="093E58C4">
            <w:pPr>
              <w:pStyle w:val="8"/>
              <w:suppressLineNumbers w:val="0"/>
              <w:bidi w:val="0"/>
              <w:spacing w:before="0" w:beforeAutospacing="0" w:after="0" w:afterAutospacing="0"/>
              <w:ind w:left="0" w:right="0"/>
              <w:rPr>
                <w:rFonts w:hint="default"/>
                <w:highlight w:val="none"/>
              </w:rPr>
            </w:pPr>
            <w:r>
              <w:rPr>
                <w:rFonts w:hint="default"/>
                <w:highlight w:val="none"/>
              </w:rPr>
              <w:t>北纬</w:t>
            </w:r>
          </w:p>
        </w:tc>
        <w:tc>
          <w:tcPr>
            <w:tcW w:w="830" w:type="pct"/>
            <w:tcBorders>
              <w:tl2br w:val="nil"/>
              <w:tr2bl w:val="nil"/>
            </w:tcBorders>
            <w:vAlign w:val="center"/>
          </w:tcPr>
          <w:p w14:paraId="3ECE7515">
            <w:pPr>
              <w:pStyle w:val="8"/>
              <w:suppressLineNumbers w:val="0"/>
              <w:bidi w:val="0"/>
              <w:spacing w:before="0" w:beforeAutospacing="0" w:after="0" w:afterAutospacing="0"/>
              <w:ind w:left="0" w:right="0"/>
              <w:rPr>
                <w:rFonts w:hint="default"/>
                <w:highlight w:val="none"/>
              </w:rPr>
            </w:pPr>
            <w:r>
              <w:rPr>
                <w:rFonts w:hint="default"/>
                <w:highlight w:val="none"/>
              </w:rPr>
              <w:t>东经</w:t>
            </w:r>
          </w:p>
        </w:tc>
        <w:tc>
          <w:tcPr>
            <w:tcW w:w="583" w:type="pct"/>
            <w:vMerge w:val="continue"/>
            <w:tcBorders>
              <w:tl2br w:val="nil"/>
              <w:tr2bl w:val="nil"/>
            </w:tcBorders>
            <w:vAlign w:val="center"/>
          </w:tcPr>
          <w:p w14:paraId="393BC21D">
            <w:pPr>
              <w:pStyle w:val="8"/>
              <w:suppressLineNumbers w:val="0"/>
              <w:bidi w:val="0"/>
              <w:spacing w:before="0" w:beforeAutospacing="0" w:after="0" w:afterAutospacing="0"/>
              <w:ind w:left="0" w:right="0"/>
              <w:rPr>
                <w:rFonts w:hint="default"/>
                <w:highlight w:val="none"/>
              </w:rPr>
            </w:pPr>
          </w:p>
        </w:tc>
        <w:tc>
          <w:tcPr>
            <w:tcW w:w="830" w:type="pct"/>
            <w:vMerge w:val="continue"/>
            <w:tcBorders>
              <w:tl2br w:val="nil"/>
              <w:tr2bl w:val="nil"/>
            </w:tcBorders>
            <w:vAlign w:val="center"/>
          </w:tcPr>
          <w:p w14:paraId="76E4418B">
            <w:pPr>
              <w:pStyle w:val="8"/>
              <w:suppressLineNumbers w:val="0"/>
              <w:bidi w:val="0"/>
              <w:spacing w:before="0" w:beforeAutospacing="0" w:after="0" w:afterAutospacing="0"/>
              <w:ind w:left="0" w:right="0"/>
              <w:rPr>
                <w:rFonts w:hint="default"/>
                <w:highlight w:val="none"/>
              </w:rPr>
            </w:pPr>
          </w:p>
        </w:tc>
        <w:tc>
          <w:tcPr>
            <w:tcW w:w="513" w:type="pct"/>
            <w:vMerge w:val="continue"/>
            <w:tcBorders>
              <w:tl2br w:val="nil"/>
              <w:tr2bl w:val="nil"/>
            </w:tcBorders>
            <w:vAlign w:val="center"/>
          </w:tcPr>
          <w:p w14:paraId="541036FB">
            <w:pPr>
              <w:pStyle w:val="8"/>
              <w:suppressLineNumbers w:val="0"/>
              <w:bidi w:val="0"/>
              <w:spacing w:before="0" w:beforeAutospacing="0" w:after="0" w:afterAutospacing="0"/>
              <w:ind w:left="0" w:right="0"/>
              <w:rPr>
                <w:rFonts w:hint="default"/>
                <w:highlight w:val="none"/>
              </w:rPr>
            </w:pPr>
          </w:p>
        </w:tc>
        <w:tc>
          <w:tcPr>
            <w:tcW w:w="680" w:type="pct"/>
            <w:vMerge w:val="continue"/>
            <w:tcBorders>
              <w:tl2br w:val="nil"/>
              <w:tr2bl w:val="nil"/>
            </w:tcBorders>
            <w:vAlign w:val="center"/>
          </w:tcPr>
          <w:p w14:paraId="727373DC">
            <w:pPr>
              <w:pStyle w:val="8"/>
              <w:suppressLineNumbers w:val="0"/>
              <w:bidi w:val="0"/>
              <w:spacing w:before="0" w:beforeAutospacing="0" w:after="0" w:afterAutospacing="0"/>
              <w:ind w:left="0" w:right="0"/>
              <w:rPr>
                <w:rFonts w:hint="default"/>
                <w:highlight w:val="none"/>
              </w:rPr>
            </w:pPr>
          </w:p>
        </w:tc>
      </w:tr>
      <w:tr w14:paraId="0CF6272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c>
          <w:tcPr>
            <w:tcW w:w="812" w:type="pct"/>
            <w:tcBorders>
              <w:tl2br w:val="nil"/>
              <w:tr2bl w:val="nil"/>
            </w:tcBorders>
            <w:vAlign w:val="center"/>
          </w:tcPr>
          <w:p w14:paraId="79B845E0">
            <w:pPr>
              <w:pStyle w:val="8"/>
              <w:suppressLineNumbers w:val="0"/>
              <w:bidi w:val="0"/>
              <w:spacing w:before="0" w:beforeAutospacing="0" w:after="0" w:afterAutospacing="0"/>
              <w:ind w:left="0" w:right="0"/>
              <w:rPr>
                <w:rFonts w:hint="default"/>
                <w:highlight w:val="none"/>
                <w:lang w:val="en-US" w:eastAsia="zh-CN"/>
              </w:rPr>
            </w:pPr>
            <w:r>
              <w:rPr>
                <w:rFonts w:hint="default"/>
                <w:highlight w:val="none"/>
              </w:rPr>
              <w:t>○1</w:t>
            </w:r>
            <w:r>
              <w:rPr>
                <w:rFonts w:hint="eastAsia"/>
                <w:highlight w:val="none"/>
                <w:lang w:val="en-US" w:eastAsia="zh-CN"/>
              </w:rPr>
              <w:t>厂址下风向处</w:t>
            </w:r>
          </w:p>
        </w:tc>
        <w:tc>
          <w:tcPr>
            <w:tcW w:w="1277" w:type="dxa"/>
            <w:tcBorders>
              <w:tl2br w:val="nil"/>
              <w:tr2bl w:val="nil"/>
            </w:tcBorders>
            <w:vAlign w:val="center"/>
          </w:tcPr>
          <w:p w14:paraId="64AA94E5">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ascii="Times New Roman" w:hAnsi="Times New Roman" w:eastAsia="宋体" w:cs="Times New Roman"/>
                <w:highlight w:val="none"/>
                <w:lang w:val="en-US" w:eastAsia="zh-CN"/>
              </w:rPr>
              <w:t>45.612590225</w:t>
            </w:r>
          </w:p>
        </w:tc>
        <w:tc>
          <w:tcPr>
            <w:tcW w:w="1416" w:type="dxa"/>
            <w:tcBorders>
              <w:tl2br w:val="nil"/>
              <w:tr2bl w:val="nil"/>
            </w:tcBorders>
            <w:vAlign w:val="center"/>
          </w:tcPr>
          <w:p w14:paraId="602ACF27">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ascii="Times New Roman" w:hAnsi="Times New Roman" w:eastAsia="宋体" w:cs="Times New Roman"/>
                <w:highlight w:val="none"/>
                <w:lang w:val="en-US" w:eastAsia="zh-CN"/>
              </w:rPr>
              <w:t>126.660083987</w:t>
            </w:r>
          </w:p>
        </w:tc>
        <w:tc>
          <w:tcPr>
            <w:tcW w:w="583" w:type="pct"/>
            <w:tcBorders>
              <w:tl2br w:val="nil"/>
              <w:tr2bl w:val="nil"/>
            </w:tcBorders>
            <w:vAlign w:val="center"/>
          </w:tcPr>
          <w:p w14:paraId="6F161E20">
            <w:pPr>
              <w:pStyle w:val="8"/>
              <w:suppressLineNumbers w:val="0"/>
              <w:bidi w:val="0"/>
              <w:spacing w:before="0" w:beforeAutospacing="0" w:after="0" w:afterAutospacing="0"/>
              <w:ind w:left="0" w:right="0"/>
              <w:rPr>
                <w:rFonts w:hint="default"/>
                <w:highlight w:val="none"/>
                <w:lang w:val="en-US" w:eastAsia="zh-CN"/>
              </w:rPr>
            </w:pPr>
            <w:r>
              <w:rPr>
                <w:rFonts w:hint="default"/>
                <w:highlight w:val="none"/>
              </w:rPr>
              <w:t>非甲烷总烃</w:t>
            </w:r>
            <w:r>
              <w:rPr>
                <w:rFonts w:hint="eastAsia"/>
                <w:highlight w:val="none"/>
                <w:lang w:eastAsia="zh-CN"/>
              </w:rPr>
              <w:t>、</w:t>
            </w:r>
            <w:r>
              <w:rPr>
                <w:rFonts w:hint="eastAsia"/>
                <w:highlight w:val="none"/>
                <w:lang w:val="en-US" w:eastAsia="zh-CN"/>
              </w:rPr>
              <w:t>TSP、NOx</w:t>
            </w:r>
          </w:p>
        </w:tc>
        <w:tc>
          <w:tcPr>
            <w:tcW w:w="830" w:type="pct"/>
            <w:tcBorders>
              <w:tl2br w:val="nil"/>
              <w:tr2bl w:val="nil"/>
            </w:tcBorders>
            <w:vAlign w:val="center"/>
          </w:tcPr>
          <w:p w14:paraId="39625C66">
            <w:pPr>
              <w:pStyle w:val="8"/>
              <w:suppressLineNumbers w:val="0"/>
              <w:bidi w:val="0"/>
              <w:spacing w:before="0" w:beforeAutospacing="0" w:after="0" w:afterAutospacing="0"/>
              <w:ind w:left="0" w:right="0"/>
              <w:rPr>
                <w:rFonts w:hint="default"/>
                <w:highlight w:val="none"/>
              </w:rPr>
            </w:pPr>
            <w:r>
              <w:rPr>
                <w:rFonts w:hint="default"/>
                <w:highlight w:val="none"/>
              </w:rPr>
              <w:t>202</w:t>
            </w:r>
            <w:r>
              <w:rPr>
                <w:rFonts w:hint="eastAsia"/>
                <w:highlight w:val="none"/>
                <w:lang w:val="en-US" w:eastAsia="zh-CN"/>
              </w:rPr>
              <w:t>6</w:t>
            </w:r>
            <w:r>
              <w:rPr>
                <w:rFonts w:hint="default"/>
                <w:highlight w:val="none"/>
              </w:rPr>
              <w:t>年</w:t>
            </w:r>
            <w:r>
              <w:rPr>
                <w:rFonts w:hint="eastAsia"/>
                <w:highlight w:val="none"/>
                <w:lang w:val="en-US" w:eastAsia="zh-CN"/>
              </w:rPr>
              <w:t>09</w:t>
            </w:r>
            <w:r>
              <w:rPr>
                <w:rFonts w:hint="default"/>
                <w:highlight w:val="none"/>
              </w:rPr>
              <w:t>月</w:t>
            </w:r>
            <w:r>
              <w:rPr>
                <w:rFonts w:hint="eastAsia"/>
                <w:highlight w:val="none"/>
                <w:lang w:val="en-US" w:eastAsia="zh-CN"/>
              </w:rPr>
              <w:t>19</w:t>
            </w:r>
            <w:r>
              <w:rPr>
                <w:rFonts w:hint="default"/>
                <w:highlight w:val="none"/>
              </w:rPr>
              <w:t>日~202</w:t>
            </w:r>
            <w:r>
              <w:rPr>
                <w:rFonts w:hint="eastAsia"/>
                <w:highlight w:val="none"/>
                <w:lang w:val="en-US" w:eastAsia="zh-CN"/>
              </w:rPr>
              <w:t>5</w:t>
            </w:r>
            <w:r>
              <w:rPr>
                <w:rFonts w:hint="default"/>
                <w:highlight w:val="none"/>
              </w:rPr>
              <w:t>年</w:t>
            </w:r>
            <w:r>
              <w:rPr>
                <w:rFonts w:hint="eastAsia"/>
                <w:highlight w:val="none"/>
                <w:lang w:val="en-US" w:eastAsia="zh-CN"/>
              </w:rPr>
              <w:t>09</w:t>
            </w:r>
            <w:r>
              <w:rPr>
                <w:rFonts w:hint="default"/>
                <w:highlight w:val="none"/>
              </w:rPr>
              <w:t>月</w:t>
            </w:r>
            <w:r>
              <w:rPr>
                <w:rFonts w:hint="eastAsia"/>
                <w:highlight w:val="none"/>
                <w:lang w:val="en-US" w:eastAsia="zh-CN"/>
              </w:rPr>
              <w:t>25</w:t>
            </w:r>
            <w:r>
              <w:rPr>
                <w:rFonts w:hint="default"/>
                <w:highlight w:val="none"/>
              </w:rPr>
              <w:t>日</w:t>
            </w:r>
          </w:p>
        </w:tc>
        <w:tc>
          <w:tcPr>
            <w:tcW w:w="513" w:type="pct"/>
            <w:tcBorders>
              <w:tl2br w:val="nil"/>
              <w:tr2bl w:val="nil"/>
            </w:tcBorders>
            <w:vAlign w:val="center"/>
          </w:tcPr>
          <w:p w14:paraId="63006347">
            <w:pPr>
              <w:pStyle w:val="8"/>
              <w:suppressLineNumbers w:val="0"/>
              <w:bidi w:val="0"/>
              <w:spacing w:before="0" w:beforeAutospacing="0" w:after="0" w:afterAutospacing="0"/>
              <w:ind w:left="0" w:right="0"/>
              <w:rPr>
                <w:rFonts w:hint="eastAsia"/>
                <w:highlight w:val="none"/>
                <w:lang w:eastAsia="zh-CN"/>
              </w:rPr>
            </w:pPr>
            <w:r>
              <w:rPr>
                <w:rFonts w:hint="default"/>
                <w:highlight w:val="none"/>
              </w:rPr>
              <w:t>N</w:t>
            </w:r>
            <w:r>
              <w:rPr>
                <w:rFonts w:hint="eastAsia"/>
                <w:highlight w:val="none"/>
                <w:lang w:val="en-US" w:eastAsia="zh-CN"/>
              </w:rPr>
              <w:t>E</w:t>
            </w:r>
          </w:p>
        </w:tc>
        <w:tc>
          <w:tcPr>
            <w:tcW w:w="680" w:type="pct"/>
            <w:tcBorders>
              <w:tl2br w:val="nil"/>
              <w:tr2bl w:val="nil"/>
            </w:tcBorders>
            <w:vAlign w:val="center"/>
          </w:tcPr>
          <w:p w14:paraId="79C64FB1">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80</w:t>
            </w:r>
          </w:p>
        </w:tc>
      </w:tr>
    </w:tbl>
    <w:p w14:paraId="6E341E55">
      <w:pPr>
        <w:keepNext w:val="0"/>
        <w:keepLines w:val="0"/>
        <w:pageBreakBefore w:val="0"/>
        <w:widowControl w:val="0"/>
        <w:kinsoku/>
        <w:wordWrap w:val="0"/>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eastAsiaTheme="minorEastAsia"/>
          <w:b/>
          <w:spacing w:val="0"/>
          <w:position w:val="0"/>
          <w:sz w:val="24"/>
          <w:highlight w:val="none"/>
        </w:rPr>
      </w:pPr>
      <w:r>
        <w:rPr>
          <w:spacing w:val="0"/>
          <w:position w:val="0"/>
          <w:sz w:val="24"/>
          <w:highlight w:val="none"/>
        </w:rPr>
        <w:pict>
          <v:rect id="_x0000_s2446" o:spid="_x0000_s2446" o:spt="1" style="position:absolute;left:0pt;margin-left:300.75pt;margin-top:238.75pt;height:10pt;width:30pt;z-index:251695104;mso-width-relative:page;mso-height-relative:page;" fillcolor="#0500F6" filled="t" stroked="t" coordsize="21600,21600">
            <v:path/>
            <v:fill on="t" focussize="0,0"/>
            <v:stroke color="#FF0000" joinstyle="miter"/>
            <v:imagedata o:title=""/>
            <o:lock v:ext="edit" aspectratio="f"/>
          </v:rect>
        </w:pict>
      </w:r>
      <w:r>
        <w:rPr>
          <w:sz w:val="22"/>
          <w:highlight w:val="none"/>
        </w:rPr>
        <w:pict>
          <v:shape id="文本框 103" o:spid="_x0000_s2449" o:spt="202" type="#_x0000_t202" style="position:absolute;left:0pt;margin-left:202.65pt;margin-top:124.9pt;height:19.5pt;width:30pt;z-index:251696128;mso-width-relative:page;mso-height-relative:page;" filled="f" stroked="f" coordsize="21600,21600" o:gfxdata="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ZsFP32gAAAAsBAAAPAAAAAAAAAAEA&#10;IAAAACIAAABkcnMvZG93bnJldi54bWxQSwECFAAUAAAACACHTuJALK5AKkYCAAB1BAAADgAAAAAA&#10;AAABACAAAAApAQAAZHJzL2Uyb0RvYy54bWxQSwUGAAAAAAYABgBZAQAA4QUAAAAA&#10;">
            <v:path/>
            <v:fill on="f" focussize="0,0"/>
            <v:stroke on="f" weight="0.5pt"/>
            <v:imagedata o:title=""/>
            <o:lock v:ext="edit" aspectratio="f"/>
            <v:textbox>
              <w:txbxContent>
                <w:p w14:paraId="23FFB3E7">
                  <w:pPr>
                    <w:rPr>
                      <w:rFonts w:hint="eastAsia" w:eastAsia="微软雅黑"/>
                      <w:lang w:val="en-US" w:eastAsia="zh-CN"/>
                    </w:rPr>
                  </w:pPr>
                  <w:r>
                    <w:rPr>
                      <w:rFonts w:hint="eastAsia"/>
                      <w:lang w:val="en-US" w:eastAsia="zh-CN"/>
                    </w:rPr>
                    <w:t>1</w:t>
                  </w:r>
                </w:p>
              </w:txbxContent>
            </v:textbox>
          </v:shape>
        </w:pict>
      </w:r>
      <w:r>
        <w:rPr>
          <w:highlight w:val="none"/>
        </w:rPr>
        <w:drawing>
          <wp:inline distT="0" distB="0" distL="114300" distR="114300">
            <wp:extent cx="5492115" cy="3237865"/>
            <wp:effectExtent l="9525" t="9525" r="22860" b="10160"/>
            <wp:docPr id="1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6"/>
                    <pic:cNvPicPr>
                      <a:picLocks noChangeAspect="1"/>
                    </pic:cNvPicPr>
                  </pic:nvPicPr>
                  <pic:blipFill>
                    <a:blip r:embed="rId65"/>
                    <a:stretch>
                      <a:fillRect/>
                    </a:stretch>
                  </pic:blipFill>
                  <pic:spPr>
                    <a:xfrm>
                      <a:off x="0" y="0"/>
                      <a:ext cx="5492115" cy="3237865"/>
                    </a:xfrm>
                    <a:prstGeom prst="rect">
                      <a:avLst/>
                    </a:prstGeom>
                    <a:noFill/>
                    <a:ln>
                      <a:solidFill>
                        <a:schemeClr val="tx1"/>
                      </a:solidFill>
                    </a:ln>
                  </pic:spPr>
                </pic:pic>
              </a:graphicData>
            </a:graphic>
          </wp:inline>
        </w:drawing>
      </w:r>
    </w:p>
    <w:p w14:paraId="2119D284">
      <w:pPr>
        <w:pStyle w:val="7"/>
        <w:bidi w:val="0"/>
        <w:rPr>
          <w:rFonts w:hint="default"/>
          <w:highlight w:val="none"/>
        </w:rPr>
      </w:pPr>
      <w:r>
        <w:rPr>
          <w:rFonts w:hint="default"/>
          <w:highlight w:val="none"/>
        </w:rPr>
        <w:t>图4-2-1该项目环境空气补充监测点位</w:t>
      </w:r>
    </w:p>
    <w:p w14:paraId="47D4A68C">
      <w:pPr>
        <w:pStyle w:val="7"/>
        <w:bidi w:val="0"/>
        <w:rPr>
          <w:rFonts w:hint="default"/>
          <w:highlight w:val="none"/>
        </w:rPr>
      </w:pPr>
      <w:r>
        <w:rPr>
          <w:rFonts w:hint="default"/>
          <w:highlight w:val="none"/>
        </w:rPr>
        <w:t>表4-2-3其他污染物环境质量现状（监测结果）表</w:t>
      </w:r>
    </w:p>
    <w:tbl>
      <w:tblPr>
        <w:tblStyle w:val="45"/>
        <w:tblW w:w="5103"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981"/>
        <w:gridCol w:w="1076"/>
        <w:gridCol w:w="1161"/>
        <w:gridCol w:w="915"/>
        <w:gridCol w:w="1081"/>
        <w:gridCol w:w="815"/>
        <w:gridCol w:w="1114"/>
        <w:gridCol w:w="677"/>
        <w:gridCol w:w="451"/>
        <w:gridCol w:w="427"/>
      </w:tblGrid>
      <w:tr w14:paraId="26A00C4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563" w:type="pct"/>
            <w:vMerge w:val="restart"/>
            <w:vAlign w:val="center"/>
          </w:tcPr>
          <w:p w14:paraId="35F29424">
            <w:pPr>
              <w:pStyle w:val="8"/>
              <w:suppressLineNumbers w:val="0"/>
              <w:bidi w:val="0"/>
              <w:spacing w:before="0" w:beforeAutospacing="0" w:after="0" w:afterAutospacing="0"/>
              <w:ind w:left="0" w:right="0"/>
              <w:rPr>
                <w:rFonts w:hint="default"/>
                <w:highlight w:val="none"/>
              </w:rPr>
            </w:pPr>
            <w:r>
              <w:rPr>
                <w:rFonts w:hint="default"/>
                <w:highlight w:val="none"/>
              </w:rPr>
              <w:t>监测点位</w:t>
            </w:r>
          </w:p>
        </w:tc>
        <w:tc>
          <w:tcPr>
            <w:tcW w:w="1285" w:type="pct"/>
            <w:gridSpan w:val="2"/>
            <w:vAlign w:val="center"/>
          </w:tcPr>
          <w:p w14:paraId="78286A4B">
            <w:pPr>
              <w:pStyle w:val="8"/>
              <w:suppressLineNumbers w:val="0"/>
              <w:bidi w:val="0"/>
              <w:spacing w:before="0" w:beforeAutospacing="0" w:after="0" w:afterAutospacing="0"/>
              <w:ind w:left="0" w:right="0"/>
              <w:rPr>
                <w:rFonts w:hint="default"/>
                <w:highlight w:val="none"/>
              </w:rPr>
            </w:pPr>
            <w:r>
              <w:rPr>
                <w:rFonts w:hint="default"/>
                <w:highlight w:val="none"/>
              </w:rPr>
              <w:t>监测点坐标/°</w:t>
            </w:r>
          </w:p>
        </w:tc>
        <w:tc>
          <w:tcPr>
            <w:tcW w:w="525" w:type="pct"/>
            <w:vMerge w:val="restart"/>
            <w:vAlign w:val="center"/>
          </w:tcPr>
          <w:p w14:paraId="24AF7CA8">
            <w:pPr>
              <w:pStyle w:val="8"/>
              <w:suppressLineNumbers w:val="0"/>
              <w:bidi w:val="0"/>
              <w:spacing w:before="0" w:beforeAutospacing="0" w:after="0" w:afterAutospacing="0"/>
              <w:ind w:left="0" w:right="0"/>
              <w:rPr>
                <w:rFonts w:hint="default"/>
                <w:highlight w:val="none"/>
              </w:rPr>
            </w:pPr>
            <w:r>
              <w:rPr>
                <w:rFonts w:hint="default"/>
                <w:highlight w:val="none"/>
              </w:rPr>
              <w:t>污染物</w:t>
            </w:r>
          </w:p>
        </w:tc>
        <w:tc>
          <w:tcPr>
            <w:tcW w:w="621" w:type="pct"/>
            <w:vMerge w:val="restart"/>
            <w:vAlign w:val="center"/>
          </w:tcPr>
          <w:p w14:paraId="523E69E6">
            <w:pPr>
              <w:pStyle w:val="8"/>
              <w:suppressLineNumbers w:val="0"/>
              <w:bidi w:val="0"/>
              <w:spacing w:before="0" w:beforeAutospacing="0" w:after="0" w:afterAutospacing="0"/>
              <w:ind w:left="0" w:right="0"/>
              <w:rPr>
                <w:rFonts w:hint="default"/>
                <w:highlight w:val="none"/>
              </w:rPr>
            </w:pPr>
            <w:r>
              <w:rPr>
                <w:rFonts w:hint="default"/>
                <w:highlight w:val="none"/>
              </w:rPr>
              <w:t>平均时间</w:t>
            </w:r>
          </w:p>
        </w:tc>
        <w:tc>
          <w:tcPr>
            <w:tcW w:w="468" w:type="pct"/>
            <w:vMerge w:val="restart"/>
            <w:vAlign w:val="center"/>
          </w:tcPr>
          <w:p w14:paraId="7678030A">
            <w:pPr>
              <w:pStyle w:val="8"/>
              <w:suppressLineNumbers w:val="0"/>
              <w:bidi w:val="0"/>
              <w:spacing w:before="0" w:beforeAutospacing="0" w:after="0" w:afterAutospacing="0"/>
              <w:ind w:left="0" w:right="0"/>
              <w:rPr>
                <w:rFonts w:hint="default"/>
                <w:highlight w:val="none"/>
              </w:rPr>
            </w:pPr>
            <w:r>
              <w:rPr>
                <w:rFonts w:hint="default"/>
                <w:highlight w:val="none"/>
              </w:rPr>
              <w:t>评价</w:t>
            </w:r>
          </w:p>
          <w:p w14:paraId="26863C8F">
            <w:pPr>
              <w:pStyle w:val="8"/>
              <w:suppressLineNumbers w:val="0"/>
              <w:bidi w:val="0"/>
              <w:spacing w:before="0" w:beforeAutospacing="0" w:after="0" w:afterAutospacing="0"/>
              <w:ind w:left="0" w:right="0"/>
              <w:rPr>
                <w:rFonts w:hint="eastAsia" w:eastAsia="宋体"/>
                <w:highlight w:val="none"/>
                <w:lang w:eastAsia="zh-CN"/>
              </w:rPr>
            </w:pPr>
            <w:r>
              <w:rPr>
                <w:rFonts w:hint="default"/>
                <w:highlight w:val="none"/>
              </w:rPr>
              <w:t>标准/</w:t>
            </w:r>
            <w:r>
              <w:rPr>
                <w:rFonts w:hint="eastAsia"/>
                <w:highlight w:val="none"/>
                <w:lang w:eastAsia="zh-CN"/>
              </w:rPr>
              <w:t>（</w:t>
            </w:r>
            <w:r>
              <w:rPr>
                <w:rFonts w:hint="default"/>
                <w:highlight w:val="none"/>
              </w:rPr>
              <w:t>μg/m</w:t>
            </w:r>
            <w:r>
              <w:rPr>
                <w:rFonts w:hint="default"/>
                <w:highlight w:val="none"/>
                <w:vertAlign w:val="superscript"/>
              </w:rPr>
              <w:t>3</w:t>
            </w:r>
            <w:r>
              <w:rPr>
                <w:rFonts w:hint="eastAsia"/>
                <w:highlight w:val="none"/>
                <w:lang w:eastAsia="zh-CN"/>
              </w:rPr>
              <w:t>）</w:t>
            </w:r>
          </w:p>
        </w:tc>
        <w:tc>
          <w:tcPr>
            <w:tcW w:w="640" w:type="pct"/>
            <w:vMerge w:val="restart"/>
            <w:vAlign w:val="center"/>
          </w:tcPr>
          <w:p w14:paraId="5AB2195B">
            <w:pPr>
              <w:pStyle w:val="8"/>
              <w:suppressLineNumbers w:val="0"/>
              <w:bidi w:val="0"/>
              <w:spacing w:before="0" w:beforeAutospacing="0" w:after="0" w:afterAutospacing="0"/>
              <w:ind w:left="0" w:right="0"/>
              <w:rPr>
                <w:rFonts w:hint="eastAsia" w:eastAsia="宋体"/>
                <w:highlight w:val="none"/>
                <w:lang w:eastAsia="zh-CN"/>
              </w:rPr>
            </w:pPr>
            <w:r>
              <w:rPr>
                <w:rFonts w:hint="default"/>
                <w:highlight w:val="none"/>
              </w:rPr>
              <w:t>监测浓度范围/</w:t>
            </w:r>
            <w:r>
              <w:rPr>
                <w:rFonts w:hint="eastAsia"/>
                <w:highlight w:val="none"/>
                <w:lang w:eastAsia="zh-CN"/>
              </w:rPr>
              <w:t>（</w:t>
            </w:r>
            <w:r>
              <w:rPr>
                <w:rFonts w:hint="default"/>
                <w:highlight w:val="none"/>
              </w:rPr>
              <w:t>μg/m</w:t>
            </w:r>
            <w:r>
              <w:rPr>
                <w:rFonts w:hint="default"/>
                <w:highlight w:val="none"/>
                <w:vertAlign w:val="superscript"/>
              </w:rPr>
              <w:t>3</w:t>
            </w:r>
            <w:r>
              <w:rPr>
                <w:rFonts w:hint="eastAsia"/>
                <w:highlight w:val="none"/>
                <w:lang w:eastAsia="zh-CN"/>
              </w:rPr>
              <w:t>）</w:t>
            </w:r>
          </w:p>
        </w:tc>
        <w:tc>
          <w:tcPr>
            <w:tcW w:w="389" w:type="pct"/>
            <w:vMerge w:val="restart"/>
            <w:vAlign w:val="center"/>
          </w:tcPr>
          <w:p w14:paraId="2C29888A">
            <w:pPr>
              <w:pStyle w:val="8"/>
              <w:suppressLineNumbers w:val="0"/>
              <w:bidi w:val="0"/>
              <w:spacing w:before="0" w:beforeAutospacing="0" w:after="0" w:afterAutospacing="0"/>
              <w:ind w:left="0" w:right="0"/>
              <w:rPr>
                <w:rFonts w:hint="default"/>
                <w:highlight w:val="none"/>
              </w:rPr>
            </w:pPr>
            <w:r>
              <w:rPr>
                <w:rFonts w:hint="default"/>
                <w:highlight w:val="none"/>
              </w:rPr>
              <w:t>最大浓度占标率/%</w:t>
            </w:r>
          </w:p>
        </w:tc>
        <w:tc>
          <w:tcPr>
            <w:tcW w:w="259" w:type="pct"/>
            <w:vMerge w:val="restart"/>
            <w:vAlign w:val="center"/>
          </w:tcPr>
          <w:p w14:paraId="17FC7F01">
            <w:pPr>
              <w:pStyle w:val="8"/>
              <w:suppressLineNumbers w:val="0"/>
              <w:bidi w:val="0"/>
              <w:spacing w:before="0" w:beforeAutospacing="0" w:after="0" w:afterAutospacing="0"/>
              <w:ind w:left="0" w:right="0"/>
              <w:rPr>
                <w:rFonts w:hint="default"/>
                <w:highlight w:val="none"/>
              </w:rPr>
            </w:pPr>
            <w:r>
              <w:rPr>
                <w:rFonts w:hint="default"/>
                <w:highlight w:val="none"/>
              </w:rPr>
              <w:t>超标率/%</w:t>
            </w:r>
          </w:p>
        </w:tc>
        <w:tc>
          <w:tcPr>
            <w:tcW w:w="245" w:type="pct"/>
            <w:vMerge w:val="restart"/>
            <w:vAlign w:val="center"/>
          </w:tcPr>
          <w:p w14:paraId="1A620595">
            <w:pPr>
              <w:pStyle w:val="8"/>
              <w:suppressLineNumbers w:val="0"/>
              <w:bidi w:val="0"/>
              <w:spacing w:before="0" w:beforeAutospacing="0" w:after="0" w:afterAutospacing="0"/>
              <w:ind w:left="0" w:right="0"/>
              <w:rPr>
                <w:rFonts w:hint="default"/>
                <w:highlight w:val="none"/>
              </w:rPr>
            </w:pPr>
            <w:r>
              <w:rPr>
                <w:rFonts w:hint="default"/>
                <w:highlight w:val="none"/>
              </w:rPr>
              <w:t>达标情况</w:t>
            </w:r>
          </w:p>
        </w:tc>
      </w:tr>
      <w:tr w14:paraId="16C805D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563" w:type="pct"/>
            <w:vMerge w:val="continue"/>
            <w:vAlign w:val="center"/>
          </w:tcPr>
          <w:p w14:paraId="4F797AA7">
            <w:pPr>
              <w:pStyle w:val="8"/>
              <w:suppressLineNumbers w:val="0"/>
              <w:bidi w:val="0"/>
              <w:spacing w:before="0" w:beforeAutospacing="0" w:after="0" w:afterAutospacing="0"/>
              <w:ind w:left="0" w:right="0"/>
              <w:rPr>
                <w:rFonts w:hint="default"/>
                <w:highlight w:val="none"/>
              </w:rPr>
            </w:pPr>
          </w:p>
        </w:tc>
        <w:tc>
          <w:tcPr>
            <w:tcW w:w="618" w:type="pct"/>
            <w:vAlign w:val="center"/>
          </w:tcPr>
          <w:p w14:paraId="796FFD10">
            <w:pPr>
              <w:pStyle w:val="8"/>
              <w:suppressLineNumbers w:val="0"/>
              <w:bidi w:val="0"/>
              <w:spacing w:before="0" w:beforeAutospacing="0" w:after="0" w:afterAutospacing="0"/>
              <w:ind w:left="0" w:right="0"/>
              <w:rPr>
                <w:rFonts w:hint="default"/>
                <w:highlight w:val="none"/>
              </w:rPr>
            </w:pPr>
            <w:r>
              <w:rPr>
                <w:rFonts w:hint="default"/>
                <w:highlight w:val="none"/>
              </w:rPr>
              <w:t>北纬</w:t>
            </w:r>
          </w:p>
        </w:tc>
        <w:tc>
          <w:tcPr>
            <w:tcW w:w="667" w:type="pct"/>
            <w:vAlign w:val="center"/>
          </w:tcPr>
          <w:p w14:paraId="542722F7">
            <w:pPr>
              <w:pStyle w:val="8"/>
              <w:suppressLineNumbers w:val="0"/>
              <w:bidi w:val="0"/>
              <w:spacing w:before="0" w:beforeAutospacing="0" w:after="0" w:afterAutospacing="0"/>
              <w:ind w:left="0" w:right="0"/>
              <w:rPr>
                <w:rFonts w:hint="default"/>
                <w:highlight w:val="none"/>
              </w:rPr>
            </w:pPr>
            <w:r>
              <w:rPr>
                <w:rFonts w:hint="default"/>
                <w:highlight w:val="none"/>
              </w:rPr>
              <w:t>东经</w:t>
            </w:r>
          </w:p>
        </w:tc>
        <w:tc>
          <w:tcPr>
            <w:tcW w:w="525" w:type="pct"/>
            <w:vMerge w:val="continue"/>
            <w:vAlign w:val="center"/>
          </w:tcPr>
          <w:p w14:paraId="6109A172">
            <w:pPr>
              <w:pStyle w:val="8"/>
              <w:suppressLineNumbers w:val="0"/>
              <w:bidi w:val="0"/>
              <w:spacing w:before="0" w:beforeAutospacing="0" w:after="0" w:afterAutospacing="0"/>
              <w:ind w:left="0" w:right="0"/>
              <w:rPr>
                <w:rFonts w:hint="default"/>
                <w:highlight w:val="none"/>
              </w:rPr>
            </w:pPr>
          </w:p>
        </w:tc>
        <w:tc>
          <w:tcPr>
            <w:tcW w:w="621" w:type="pct"/>
            <w:vMerge w:val="continue"/>
            <w:vAlign w:val="center"/>
          </w:tcPr>
          <w:p w14:paraId="6D99F144">
            <w:pPr>
              <w:pStyle w:val="8"/>
              <w:suppressLineNumbers w:val="0"/>
              <w:bidi w:val="0"/>
              <w:spacing w:before="0" w:beforeAutospacing="0" w:after="0" w:afterAutospacing="0"/>
              <w:ind w:left="0" w:right="0"/>
              <w:rPr>
                <w:rFonts w:hint="default"/>
                <w:highlight w:val="none"/>
              </w:rPr>
            </w:pPr>
          </w:p>
        </w:tc>
        <w:tc>
          <w:tcPr>
            <w:tcW w:w="468" w:type="pct"/>
            <w:vMerge w:val="continue"/>
            <w:vAlign w:val="center"/>
          </w:tcPr>
          <w:p w14:paraId="3DB7E404">
            <w:pPr>
              <w:pStyle w:val="8"/>
              <w:suppressLineNumbers w:val="0"/>
              <w:bidi w:val="0"/>
              <w:spacing w:before="0" w:beforeAutospacing="0" w:after="0" w:afterAutospacing="0"/>
              <w:ind w:left="0" w:right="0"/>
              <w:rPr>
                <w:rFonts w:hint="default"/>
                <w:highlight w:val="none"/>
              </w:rPr>
            </w:pPr>
          </w:p>
        </w:tc>
        <w:tc>
          <w:tcPr>
            <w:tcW w:w="640" w:type="pct"/>
            <w:vMerge w:val="continue"/>
            <w:vAlign w:val="center"/>
          </w:tcPr>
          <w:p w14:paraId="348E87CD">
            <w:pPr>
              <w:pStyle w:val="8"/>
              <w:suppressLineNumbers w:val="0"/>
              <w:bidi w:val="0"/>
              <w:spacing w:before="0" w:beforeAutospacing="0" w:after="0" w:afterAutospacing="0"/>
              <w:ind w:left="0" w:right="0"/>
              <w:rPr>
                <w:rFonts w:hint="default"/>
                <w:highlight w:val="none"/>
              </w:rPr>
            </w:pPr>
          </w:p>
        </w:tc>
        <w:tc>
          <w:tcPr>
            <w:tcW w:w="389" w:type="pct"/>
            <w:vMerge w:val="continue"/>
            <w:vAlign w:val="center"/>
          </w:tcPr>
          <w:p w14:paraId="774BF193">
            <w:pPr>
              <w:pStyle w:val="8"/>
              <w:suppressLineNumbers w:val="0"/>
              <w:bidi w:val="0"/>
              <w:spacing w:before="0" w:beforeAutospacing="0" w:after="0" w:afterAutospacing="0"/>
              <w:ind w:left="0" w:right="0"/>
              <w:rPr>
                <w:rFonts w:hint="default"/>
                <w:highlight w:val="none"/>
              </w:rPr>
            </w:pPr>
          </w:p>
        </w:tc>
        <w:tc>
          <w:tcPr>
            <w:tcW w:w="259" w:type="pct"/>
            <w:vMerge w:val="continue"/>
            <w:vAlign w:val="center"/>
          </w:tcPr>
          <w:p w14:paraId="4A7C55D1">
            <w:pPr>
              <w:pStyle w:val="8"/>
              <w:suppressLineNumbers w:val="0"/>
              <w:bidi w:val="0"/>
              <w:spacing w:before="0" w:beforeAutospacing="0" w:after="0" w:afterAutospacing="0"/>
              <w:ind w:left="0" w:right="0"/>
              <w:rPr>
                <w:rFonts w:hint="default"/>
                <w:highlight w:val="none"/>
              </w:rPr>
            </w:pPr>
          </w:p>
        </w:tc>
        <w:tc>
          <w:tcPr>
            <w:tcW w:w="245" w:type="pct"/>
            <w:vMerge w:val="continue"/>
            <w:vAlign w:val="center"/>
          </w:tcPr>
          <w:p w14:paraId="6F215F46">
            <w:pPr>
              <w:pStyle w:val="8"/>
              <w:suppressLineNumbers w:val="0"/>
              <w:bidi w:val="0"/>
              <w:spacing w:before="0" w:beforeAutospacing="0" w:after="0" w:afterAutospacing="0"/>
              <w:ind w:left="0" w:right="0"/>
              <w:rPr>
                <w:rFonts w:hint="default"/>
                <w:highlight w:val="none"/>
              </w:rPr>
            </w:pPr>
          </w:p>
        </w:tc>
      </w:tr>
      <w:tr w14:paraId="52D3B80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563" w:type="pct"/>
            <w:vMerge w:val="restart"/>
            <w:vAlign w:val="center"/>
          </w:tcPr>
          <w:p w14:paraId="6052D237">
            <w:pPr>
              <w:pStyle w:val="8"/>
              <w:suppressLineNumbers w:val="0"/>
              <w:bidi w:val="0"/>
              <w:spacing w:before="0" w:beforeAutospacing="0" w:after="0" w:afterAutospacing="0"/>
              <w:ind w:left="0" w:right="0"/>
              <w:rPr>
                <w:rFonts w:hint="default"/>
                <w:highlight w:val="none"/>
              </w:rPr>
            </w:pPr>
            <w:r>
              <w:rPr>
                <w:rFonts w:hint="default"/>
                <w:highlight w:val="none"/>
              </w:rPr>
              <w:t>○1</w:t>
            </w:r>
            <w:r>
              <w:rPr>
                <w:rFonts w:hint="eastAsia"/>
                <w:highlight w:val="none"/>
                <w:lang w:val="en-US" w:eastAsia="zh-CN"/>
              </w:rPr>
              <w:t>厂址下风向处</w:t>
            </w:r>
          </w:p>
        </w:tc>
        <w:tc>
          <w:tcPr>
            <w:tcW w:w="618" w:type="pct"/>
            <w:vMerge w:val="restart"/>
            <w:vAlign w:val="center"/>
          </w:tcPr>
          <w:p w14:paraId="5CC17847">
            <w:pPr>
              <w:pStyle w:val="8"/>
              <w:suppressLineNumbers w:val="0"/>
              <w:bidi w:val="0"/>
              <w:spacing w:before="0" w:beforeAutospacing="0" w:after="0" w:afterAutospacing="0"/>
              <w:ind w:left="0" w:right="0" w:firstLine="0" w:firstLineChars="0"/>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45.612590225</w:t>
            </w:r>
          </w:p>
        </w:tc>
        <w:tc>
          <w:tcPr>
            <w:tcW w:w="667" w:type="pct"/>
            <w:vMerge w:val="restart"/>
            <w:vAlign w:val="center"/>
          </w:tcPr>
          <w:p w14:paraId="314F9F17">
            <w:pPr>
              <w:pStyle w:val="8"/>
              <w:suppressLineNumbers w:val="0"/>
              <w:bidi w:val="0"/>
              <w:spacing w:before="0" w:beforeAutospacing="0" w:after="0" w:afterAutospacing="0"/>
              <w:ind w:left="0" w:right="0" w:firstLine="0" w:firstLineChars="0"/>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126.660083987</w:t>
            </w:r>
          </w:p>
        </w:tc>
        <w:tc>
          <w:tcPr>
            <w:tcW w:w="525" w:type="pct"/>
            <w:vAlign w:val="center"/>
          </w:tcPr>
          <w:p w14:paraId="5E7B2EEF">
            <w:pPr>
              <w:pStyle w:val="8"/>
              <w:suppressLineNumbers w:val="0"/>
              <w:bidi w:val="0"/>
              <w:spacing w:before="0" w:beforeAutospacing="0" w:after="0" w:afterAutospacing="0"/>
              <w:ind w:left="0" w:right="0" w:firstLine="0" w:firstLineChars="0"/>
              <w:rPr>
                <w:rFonts w:hint="eastAsia"/>
                <w:highlight w:val="none"/>
                <w:lang w:val="en-US" w:eastAsia="zh-CN"/>
              </w:rPr>
            </w:pPr>
            <w:r>
              <w:rPr>
                <w:rFonts w:hint="default"/>
                <w:highlight w:val="none"/>
              </w:rPr>
              <w:t>非甲烷总烃</w:t>
            </w:r>
          </w:p>
        </w:tc>
        <w:tc>
          <w:tcPr>
            <w:tcW w:w="621" w:type="pct"/>
            <w:vAlign w:val="center"/>
          </w:tcPr>
          <w:p w14:paraId="0C4AA1EC">
            <w:pPr>
              <w:pStyle w:val="8"/>
              <w:suppressLineNumbers w:val="0"/>
              <w:bidi w:val="0"/>
              <w:spacing w:before="0" w:beforeAutospacing="0" w:after="0" w:afterAutospacing="0"/>
              <w:ind w:left="0" w:right="0" w:firstLine="0" w:firstLineChars="0"/>
              <w:rPr>
                <w:rFonts w:hint="default"/>
                <w:highlight w:val="none"/>
              </w:rPr>
            </w:pPr>
            <w:r>
              <w:rPr>
                <w:rFonts w:hint="default"/>
                <w:highlight w:val="none"/>
              </w:rPr>
              <w:t>1h值</w:t>
            </w:r>
          </w:p>
        </w:tc>
        <w:tc>
          <w:tcPr>
            <w:tcW w:w="468" w:type="pct"/>
            <w:vAlign w:val="center"/>
          </w:tcPr>
          <w:p w14:paraId="6B3AE341">
            <w:pPr>
              <w:pStyle w:val="8"/>
              <w:suppressLineNumbers w:val="0"/>
              <w:bidi w:val="0"/>
              <w:spacing w:before="0" w:beforeAutospacing="0" w:after="0" w:afterAutospacing="0"/>
              <w:ind w:left="0" w:right="0" w:firstLine="0" w:firstLineChars="0"/>
              <w:rPr>
                <w:rFonts w:hint="default"/>
                <w:highlight w:val="none"/>
                <w:lang w:val="en-US" w:eastAsia="zh-CN"/>
              </w:rPr>
            </w:pPr>
            <w:r>
              <w:rPr>
                <w:rFonts w:hint="default"/>
                <w:highlight w:val="none"/>
              </w:rPr>
              <w:t>2000</w:t>
            </w:r>
          </w:p>
        </w:tc>
        <w:tc>
          <w:tcPr>
            <w:tcW w:w="640" w:type="pct"/>
            <w:vAlign w:val="center"/>
          </w:tcPr>
          <w:p w14:paraId="22C6559E">
            <w:pPr>
              <w:pStyle w:val="8"/>
              <w:suppressLineNumbers w:val="0"/>
              <w:bidi w:val="0"/>
              <w:spacing w:before="0" w:beforeAutospacing="0" w:after="0" w:afterAutospacing="0"/>
              <w:ind w:left="0" w:right="0" w:firstLine="0" w:firstLineChars="0"/>
              <w:rPr>
                <w:rFonts w:hint="default"/>
                <w:highlight w:val="none"/>
                <w:lang w:val="en-US" w:eastAsia="zh-CN"/>
              </w:rPr>
            </w:pPr>
            <w:r>
              <w:rPr>
                <w:rFonts w:hint="eastAsia"/>
                <w:highlight w:val="none"/>
                <w:lang w:val="en-US" w:eastAsia="zh-CN"/>
              </w:rPr>
              <w:t>1030</w:t>
            </w:r>
            <w:r>
              <w:rPr>
                <w:rFonts w:hint="default"/>
                <w:highlight w:val="none"/>
              </w:rPr>
              <w:t>-12</w:t>
            </w:r>
            <w:r>
              <w:rPr>
                <w:rFonts w:hint="eastAsia"/>
                <w:highlight w:val="none"/>
                <w:lang w:val="en-US" w:eastAsia="zh-CN"/>
              </w:rPr>
              <w:t>70</w:t>
            </w:r>
          </w:p>
        </w:tc>
        <w:tc>
          <w:tcPr>
            <w:tcW w:w="389" w:type="pct"/>
            <w:vAlign w:val="center"/>
          </w:tcPr>
          <w:p w14:paraId="0ACD181A">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63.5</w:t>
            </w:r>
          </w:p>
        </w:tc>
        <w:tc>
          <w:tcPr>
            <w:tcW w:w="259" w:type="pct"/>
            <w:vMerge w:val="restart"/>
            <w:vAlign w:val="center"/>
          </w:tcPr>
          <w:p w14:paraId="1DBA588B">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245" w:type="pct"/>
            <w:vMerge w:val="restart"/>
            <w:vAlign w:val="center"/>
          </w:tcPr>
          <w:p w14:paraId="5123BFB0">
            <w:pPr>
              <w:pStyle w:val="8"/>
              <w:suppressLineNumbers w:val="0"/>
              <w:bidi w:val="0"/>
              <w:spacing w:before="0" w:beforeAutospacing="0" w:after="0" w:afterAutospacing="0"/>
              <w:ind w:left="0" w:right="0"/>
              <w:rPr>
                <w:rFonts w:hint="default"/>
                <w:highlight w:val="none"/>
              </w:rPr>
            </w:pPr>
            <w:r>
              <w:rPr>
                <w:rFonts w:hint="default"/>
                <w:highlight w:val="none"/>
              </w:rPr>
              <w:t>达标</w:t>
            </w:r>
          </w:p>
        </w:tc>
      </w:tr>
      <w:tr w14:paraId="1F6E5D9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52" w:hRule="atLeast"/>
          <w:jc w:val="center"/>
        </w:trPr>
        <w:tc>
          <w:tcPr>
            <w:tcW w:w="563" w:type="pct"/>
            <w:vMerge w:val="continue"/>
            <w:vAlign w:val="center"/>
          </w:tcPr>
          <w:p w14:paraId="39D6791D">
            <w:pPr>
              <w:pStyle w:val="8"/>
              <w:suppressLineNumbers w:val="0"/>
              <w:bidi w:val="0"/>
              <w:spacing w:before="0" w:beforeAutospacing="0" w:after="0" w:afterAutospacing="0"/>
              <w:ind w:left="0" w:right="0"/>
              <w:rPr>
                <w:rFonts w:hint="default"/>
                <w:highlight w:val="none"/>
              </w:rPr>
            </w:pPr>
          </w:p>
        </w:tc>
        <w:tc>
          <w:tcPr>
            <w:tcW w:w="618" w:type="pct"/>
            <w:vMerge w:val="continue"/>
            <w:vAlign w:val="center"/>
          </w:tcPr>
          <w:p w14:paraId="7F7B7475">
            <w:pPr>
              <w:pStyle w:val="8"/>
              <w:suppressLineNumbers w:val="0"/>
              <w:bidi w:val="0"/>
              <w:spacing w:before="0" w:beforeAutospacing="0" w:after="0" w:afterAutospacing="0"/>
              <w:ind w:left="0" w:right="0"/>
              <w:rPr>
                <w:rFonts w:hint="default"/>
                <w:highlight w:val="none"/>
              </w:rPr>
            </w:pPr>
          </w:p>
        </w:tc>
        <w:tc>
          <w:tcPr>
            <w:tcW w:w="667" w:type="pct"/>
            <w:vMerge w:val="continue"/>
            <w:vAlign w:val="center"/>
          </w:tcPr>
          <w:p w14:paraId="0A856512">
            <w:pPr>
              <w:pStyle w:val="8"/>
              <w:suppressLineNumbers w:val="0"/>
              <w:bidi w:val="0"/>
              <w:spacing w:before="0" w:beforeAutospacing="0" w:after="0" w:afterAutospacing="0"/>
              <w:ind w:left="0" w:right="0"/>
              <w:rPr>
                <w:rFonts w:hint="default"/>
                <w:highlight w:val="none"/>
              </w:rPr>
            </w:pPr>
          </w:p>
        </w:tc>
        <w:tc>
          <w:tcPr>
            <w:tcW w:w="525" w:type="pct"/>
            <w:vAlign w:val="center"/>
          </w:tcPr>
          <w:p w14:paraId="7AC6AC2E">
            <w:pPr>
              <w:pStyle w:val="8"/>
              <w:suppressLineNumbers w:val="0"/>
              <w:bidi w:val="0"/>
              <w:spacing w:before="0" w:beforeAutospacing="0" w:after="0" w:afterAutospacing="0"/>
              <w:ind w:left="0" w:right="0" w:firstLine="0" w:firstLineChars="0"/>
              <w:rPr>
                <w:rFonts w:hint="default"/>
                <w:highlight w:val="none"/>
              </w:rPr>
            </w:pPr>
            <w:r>
              <w:rPr>
                <w:rFonts w:hint="eastAsia"/>
                <w:highlight w:val="none"/>
                <w:lang w:val="en-US" w:eastAsia="zh-CN"/>
              </w:rPr>
              <w:t>TSP</w:t>
            </w:r>
          </w:p>
        </w:tc>
        <w:tc>
          <w:tcPr>
            <w:tcW w:w="621" w:type="pct"/>
            <w:vAlign w:val="center"/>
          </w:tcPr>
          <w:p w14:paraId="604692BE">
            <w:pPr>
              <w:pStyle w:val="8"/>
              <w:suppressLineNumbers w:val="0"/>
              <w:bidi w:val="0"/>
              <w:spacing w:before="0" w:beforeAutospacing="0" w:after="0" w:afterAutospacing="0"/>
              <w:ind w:left="0" w:right="0" w:firstLine="0" w:firstLineChars="0"/>
              <w:rPr>
                <w:rFonts w:hint="default"/>
                <w:highlight w:val="none"/>
              </w:rPr>
            </w:pPr>
            <w:r>
              <w:rPr>
                <w:rFonts w:hint="eastAsia"/>
                <w:highlight w:val="none"/>
                <w:lang w:val="en-US" w:eastAsia="zh-CN"/>
              </w:rPr>
              <w:t>日均</w:t>
            </w:r>
            <w:r>
              <w:rPr>
                <w:rFonts w:hint="default"/>
                <w:highlight w:val="none"/>
              </w:rPr>
              <w:t>值</w:t>
            </w:r>
          </w:p>
        </w:tc>
        <w:tc>
          <w:tcPr>
            <w:tcW w:w="468" w:type="pct"/>
            <w:vAlign w:val="center"/>
          </w:tcPr>
          <w:p w14:paraId="6FD1B6DB">
            <w:pPr>
              <w:pStyle w:val="8"/>
              <w:suppressLineNumbers w:val="0"/>
              <w:bidi w:val="0"/>
              <w:spacing w:before="0" w:beforeAutospacing="0" w:after="0" w:afterAutospacing="0"/>
              <w:ind w:left="0" w:right="0" w:firstLine="0" w:firstLineChars="0"/>
              <w:rPr>
                <w:rFonts w:hint="default"/>
                <w:highlight w:val="none"/>
              </w:rPr>
            </w:pPr>
            <w:r>
              <w:rPr>
                <w:rFonts w:hint="eastAsia"/>
                <w:highlight w:val="none"/>
                <w:lang w:val="en-US" w:eastAsia="zh-CN"/>
              </w:rPr>
              <w:t>300</w:t>
            </w:r>
          </w:p>
        </w:tc>
        <w:tc>
          <w:tcPr>
            <w:tcW w:w="640" w:type="pct"/>
            <w:vAlign w:val="center"/>
          </w:tcPr>
          <w:p w14:paraId="2E174298">
            <w:pPr>
              <w:pStyle w:val="8"/>
              <w:suppressLineNumbers w:val="0"/>
              <w:bidi w:val="0"/>
              <w:spacing w:before="0" w:beforeAutospacing="0" w:after="0" w:afterAutospacing="0"/>
              <w:ind w:left="0" w:right="0" w:firstLine="0" w:firstLineChars="0"/>
              <w:rPr>
                <w:rFonts w:hint="default"/>
                <w:highlight w:val="none"/>
                <w:lang w:val="en-US"/>
              </w:rPr>
            </w:pPr>
            <w:r>
              <w:rPr>
                <w:rFonts w:hint="eastAsia"/>
                <w:highlight w:val="none"/>
                <w:lang w:val="en-US" w:eastAsia="zh-CN"/>
              </w:rPr>
              <w:t>93-104</w:t>
            </w:r>
          </w:p>
        </w:tc>
        <w:tc>
          <w:tcPr>
            <w:tcW w:w="389" w:type="pct"/>
            <w:vAlign w:val="center"/>
          </w:tcPr>
          <w:p w14:paraId="0A6AD787">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34.7</w:t>
            </w:r>
          </w:p>
        </w:tc>
        <w:tc>
          <w:tcPr>
            <w:tcW w:w="259" w:type="pct"/>
            <w:vMerge w:val="continue"/>
            <w:vAlign w:val="center"/>
          </w:tcPr>
          <w:p w14:paraId="065217A9">
            <w:pPr>
              <w:pStyle w:val="8"/>
              <w:suppressLineNumbers w:val="0"/>
              <w:bidi w:val="0"/>
              <w:spacing w:before="0" w:beforeAutospacing="0" w:after="0" w:afterAutospacing="0"/>
              <w:ind w:left="0" w:right="0"/>
              <w:rPr>
                <w:rFonts w:hint="default"/>
                <w:highlight w:val="none"/>
              </w:rPr>
            </w:pPr>
          </w:p>
        </w:tc>
        <w:tc>
          <w:tcPr>
            <w:tcW w:w="245" w:type="pct"/>
            <w:vMerge w:val="continue"/>
            <w:vAlign w:val="center"/>
          </w:tcPr>
          <w:p w14:paraId="4B2A9888">
            <w:pPr>
              <w:pStyle w:val="8"/>
              <w:suppressLineNumbers w:val="0"/>
              <w:bidi w:val="0"/>
              <w:spacing w:before="0" w:beforeAutospacing="0" w:after="0" w:afterAutospacing="0"/>
              <w:ind w:left="0" w:right="0"/>
              <w:rPr>
                <w:rFonts w:hint="default"/>
                <w:highlight w:val="none"/>
              </w:rPr>
            </w:pPr>
          </w:p>
        </w:tc>
      </w:tr>
      <w:tr w14:paraId="63A7870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563" w:type="pct"/>
            <w:vMerge w:val="continue"/>
            <w:vAlign w:val="center"/>
          </w:tcPr>
          <w:p w14:paraId="05515913">
            <w:pPr>
              <w:pStyle w:val="8"/>
              <w:suppressLineNumbers w:val="0"/>
              <w:bidi w:val="0"/>
              <w:spacing w:before="0" w:beforeAutospacing="0" w:after="0" w:afterAutospacing="0"/>
              <w:ind w:left="0" w:right="0"/>
              <w:rPr>
                <w:rFonts w:hint="default"/>
                <w:highlight w:val="none"/>
              </w:rPr>
            </w:pPr>
          </w:p>
        </w:tc>
        <w:tc>
          <w:tcPr>
            <w:tcW w:w="618" w:type="pct"/>
            <w:vMerge w:val="continue"/>
            <w:vAlign w:val="center"/>
          </w:tcPr>
          <w:p w14:paraId="2D6D8222">
            <w:pPr>
              <w:pStyle w:val="8"/>
              <w:suppressLineNumbers w:val="0"/>
              <w:bidi w:val="0"/>
              <w:spacing w:before="0" w:beforeAutospacing="0" w:after="0" w:afterAutospacing="0"/>
              <w:ind w:left="0" w:right="0"/>
              <w:rPr>
                <w:rFonts w:hint="default"/>
                <w:highlight w:val="none"/>
              </w:rPr>
            </w:pPr>
          </w:p>
        </w:tc>
        <w:tc>
          <w:tcPr>
            <w:tcW w:w="667" w:type="pct"/>
            <w:vMerge w:val="continue"/>
            <w:vAlign w:val="center"/>
          </w:tcPr>
          <w:p w14:paraId="281E036B">
            <w:pPr>
              <w:pStyle w:val="8"/>
              <w:suppressLineNumbers w:val="0"/>
              <w:bidi w:val="0"/>
              <w:spacing w:before="0" w:beforeAutospacing="0" w:after="0" w:afterAutospacing="0"/>
              <w:ind w:left="0" w:right="0"/>
              <w:rPr>
                <w:rFonts w:hint="default"/>
                <w:highlight w:val="none"/>
              </w:rPr>
            </w:pPr>
          </w:p>
        </w:tc>
        <w:tc>
          <w:tcPr>
            <w:tcW w:w="525" w:type="pct"/>
            <w:vMerge w:val="restart"/>
            <w:vAlign w:val="center"/>
          </w:tcPr>
          <w:p w14:paraId="5D86E78A">
            <w:pPr>
              <w:pStyle w:val="8"/>
              <w:suppressLineNumbers w:val="0"/>
              <w:bidi w:val="0"/>
              <w:spacing w:before="0" w:beforeAutospacing="0" w:after="0" w:afterAutospacing="0"/>
              <w:ind w:left="0" w:right="0" w:firstLine="0" w:firstLineChars="0"/>
              <w:rPr>
                <w:rFonts w:hint="default"/>
                <w:highlight w:val="none"/>
                <w:lang w:val="en-US" w:eastAsia="zh-CN"/>
              </w:rPr>
            </w:pPr>
            <w:r>
              <w:rPr>
                <w:rFonts w:hint="eastAsia"/>
                <w:highlight w:val="none"/>
                <w:lang w:val="en-US" w:eastAsia="zh-CN"/>
              </w:rPr>
              <w:t>NOx</w:t>
            </w:r>
          </w:p>
        </w:tc>
        <w:tc>
          <w:tcPr>
            <w:tcW w:w="621" w:type="pct"/>
            <w:vAlign w:val="center"/>
          </w:tcPr>
          <w:p w14:paraId="6D3CB67F">
            <w:pPr>
              <w:pStyle w:val="8"/>
              <w:suppressLineNumbers w:val="0"/>
              <w:bidi w:val="0"/>
              <w:spacing w:before="0" w:beforeAutospacing="0" w:after="0" w:afterAutospacing="0"/>
              <w:ind w:left="0" w:right="0" w:firstLine="0" w:firstLineChars="0"/>
              <w:rPr>
                <w:rFonts w:hint="default"/>
                <w:highlight w:val="none"/>
                <w:lang w:val="en-US" w:eastAsia="zh-CN"/>
              </w:rPr>
            </w:pPr>
            <w:r>
              <w:rPr>
                <w:rFonts w:hint="default"/>
                <w:highlight w:val="none"/>
              </w:rPr>
              <w:t>1h</w:t>
            </w:r>
            <w:r>
              <w:rPr>
                <w:rFonts w:hint="eastAsia"/>
                <w:highlight w:val="none"/>
                <w:lang w:val="en-US" w:eastAsia="zh-CN"/>
              </w:rPr>
              <w:t>值</w:t>
            </w:r>
          </w:p>
        </w:tc>
        <w:tc>
          <w:tcPr>
            <w:tcW w:w="468" w:type="pct"/>
            <w:vAlign w:val="center"/>
          </w:tcPr>
          <w:p w14:paraId="096E5F3E">
            <w:pPr>
              <w:pStyle w:val="8"/>
              <w:suppressLineNumbers w:val="0"/>
              <w:bidi w:val="0"/>
              <w:spacing w:before="0" w:beforeAutospacing="0" w:after="0" w:afterAutospacing="0"/>
              <w:ind w:left="0" w:right="0" w:firstLine="0" w:firstLineChars="0"/>
              <w:rPr>
                <w:rFonts w:hint="default"/>
                <w:highlight w:val="none"/>
                <w:lang w:val="en-US" w:eastAsia="zh-CN"/>
              </w:rPr>
            </w:pPr>
            <w:r>
              <w:rPr>
                <w:rFonts w:hint="eastAsia"/>
                <w:highlight w:val="none"/>
                <w:lang w:val="en-US" w:eastAsia="zh-CN"/>
              </w:rPr>
              <w:t>250</w:t>
            </w:r>
          </w:p>
        </w:tc>
        <w:tc>
          <w:tcPr>
            <w:tcW w:w="640" w:type="pct"/>
            <w:vAlign w:val="center"/>
          </w:tcPr>
          <w:p w14:paraId="532FCDB3">
            <w:pPr>
              <w:pStyle w:val="8"/>
              <w:suppressLineNumbers w:val="0"/>
              <w:bidi w:val="0"/>
              <w:spacing w:before="0" w:beforeAutospacing="0" w:after="0" w:afterAutospacing="0"/>
              <w:ind w:left="0" w:right="0" w:firstLine="0" w:firstLineChars="0"/>
              <w:rPr>
                <w:rFonts w:hint="default"/>
                <w:highlight w:val="none"/>
                <w:lang w:val="en-US" w:eastAsia="zh-CN"/>
              </w:rPr>
            </w:pPr>
            <w:r>
              <w:rPr>
                <w:rFonts w:hint="eastAsia"/>
                <w:highlight w:val="none"/>
                <w:lang w:val="en-US" w:eastAsia="zh-CN"/>
              </w:rPr>
              <w:t>66-87</w:t>
            </w:r>
          </w:p>
        </w:tc>
        <w:tc>
          <w:tcPr>
            <w:tcW w:w="389" w:type="pct"/>
            <w:vAlign w:val="center"/>
          </w:tcPr>
          <w:p w14:paraId="09C82D47">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34.8</w:t>
            </w:r>
          </w:p>
        </w:tc>
        <w:tc>
          <w:tcPr>
            <w:tcW w:w="259" w:type="pct"/>
            <w:vMerge w:val="continue"/>
            <w:vAlign w:val="center"/>
          </w:tcPr>
          <w:p w14:paraId="52C5FCA3">
            <w:pPr>
              <w:pStyle w:val="8"/>
              <w:suppressLineNumbers w:val="0"/>
              <w:bidi w:val="0"/>
              <w:spacing w:before="0" w:beforeAutospacing="0" w:after="0" w:afterAutospacing="0"/>
              <w:ind w:left="0" w:right="0"/>
              <w:rPr>
                <w:rFonts w:hint="default"/>
                <w:highlight w:val="none"/>
              </w:rPr>
            </w:pPr>
          </w:p>
        </w:tc>
        <w:tc>
          <w:tcPr>
            <w:tcW w:w="245" w:type="pct"/>
            <w:vMerge w:val="continue"/>
            <w:vAlign w:val="center"/>
          </w:tcPr>
          <w:p w14:paraId="5898AF8D">
            <w:pPr>
              <w:pStyle w:val="8"/>
              <w:suppressLineNumbers w:val="0"/>
              <w:bidi w:val="0"/>
              <w:spacing w:before="0" w:beforeAutospacing="0" w:after="0" w:afterAutospacing="0"/>
              <w:ind w:left="0" w:right="0"/>
              <w:rPr>
                <w:rFonts w:hint="default"/>
                <w:highlight w:val="none"/>
              </w:rPr>
            </w:pPr>
          </w:p>
        </w:tc>
      </w:tr>
      <w:tr w14:paraId="2721CF1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563" w:type="pct"/>
            <w:vMerge w:val="continue"/>
            <w:vAlign w:val="center"/>
          </w:tcPr>
          <w:p w14:paraId="44168974">
            <w:pPr>
              <w:pStyle w:val="8"/>
              <w:suppressLineNumbers w:val="0"/>
              <w:bidi w:val="0"/>
              <w:spacing w:before="0" w:beforeAutospacing="0" w:after="0" w:afterAutospacing="0"/>
              <w:ind w:left="0" w:right="0"/>
              <w:rPr>
                <w:rFonts w:hint="default"/>
                <w:highlight w:val="none"/>
              </w:rPr>
            </w:pPr>
          </w:p>
        </w:tc>
        <w:tc>
          <w:tcPr>
            <w:tcW w:w="618" w:type="pct"/>
            <w:vMerge w:val="continue"/>
            <w:vAlign w:val="center"/>
          </w:tcPr>
          <w:p w14:paraId="4CA7C34D">
            <w:pPr>
              <w:pStyle w:val="8"/>
              <w:suppressLineNumbers w:val="0"/>
              <w:bidi w:val="0"/>
              <w:spacing w:before="0" w:beforeAutospacing="0" w:after="0" w:afterAutospacing="0"/>
              <w:ind w:left="0" w:right="0"/>
              <w:rPr>
                <w:rFonts w:hint="default"/>
                <w:highlight w:val="none"/>
              </w:rPr>
            </w:pPr>
          </w:p>
        </w:tc>
        <w:tc>
          <w:tcPr>
            <w:tcW w:w="667" w:type="pct"/>
            <w:vMerge w:val="continue"/>
            <w:vAlign w:val="center"/>
          </w:tcPr>
          <w:p w14:paraId="2006F775">
            <w:pPr>
              <w:pStyle w:val="8"/>
              <w:suppressLineNumbers w:val="0"/>
              <w:bidi w:val="0"/>
              <w:spacing w:before="0" w:beforeAutospacing="0" w:after="0" w:afterAutospacing="0"/>
              <w:ind w:left="0" w:right="0"/>
              <w:rPr>
                <w:rFonts w:hint="default"/>
                <w:highlight w:val="none"/>
              </w:rPr>
            </w:pPr>
          </w:p>
        </w:tc>
        <w:tc>
          <w:tcPr>
            <w:tcW w:w="525" w:type="pct"/>
            <w:vMerge w:val="continue"/>
            <w:vAlign w:val="center"/>
          </w:tcPr>
          <w:p w14:paraId="2E4265E9">
            <w:pPr>
              <w:pStyle w:val="8"/>
              <w:suppressLineNumbers w:val="0"/>
              <w:bidi w:val="0"/>
              <w:spacing w:before="0" w:beforeAutospacing="0" w:after="0" w:afterAutospacing="0"/>
              <w:ind w:left="0" w:right="0" w:firstLine="0" w:firstLineChars="0"/>
              <w:rPr>
                <w:rFonts w:hint="eastAsia"/>
                <w:highlight w:val="none"/>
                <w:lang w:val="en-US" w:eastAsia="zh-CN"/>
              </w:rPr>
            </w:pPr>
          </w:p>
        </w:tc>
        <w:tc>
          <w:tcPr>
            <w:tcW w:w="621" w:type="pct"/>
            <w:vAlign w:val="center"/>
          </w:tcPr>
          <w:p w14:paraId="57F189B1">
            <w:pPr>
              <w:pStyle w:val="8"/>
              <w:suppressLineNumbers w:val="0"/>
              <w:bidi w:val="0"/>
              <w:spacing w:before="0" w:beforeAutospacing="0" w:after="0" w:afterAutospacing="0"/>
              <w:ind w:left="0" w:right="0" w:firstLine="0" w:firstLineChars="0"/>
              <w:rPr>
                <w:rFonts w:hint="default"/>
                <w:highlight w:val="none"/>
                <w:lang w:val="en-US" w:eastAsia="zh-CN"/>
              </w:rPr>
            </w:pPr>
            <w:r>
              <w:rPr>
                <w:rFonts w:hint="eastAsia"/>
                <w:highlight w:val="none"/>
                <w:lang w:val="en-US" w:eastAsia="zh-CN"/>
              </w:rPr>
              <w:t>日均值</w:t>
            </w:r>
          </w:p>
        </w:tc>
        <w:tc>
          <w:tcPr>
            <w:tcW w:w="468" w:type="pct"/>
            <w:vAlign w:val="center"/>
          </w:tcPr>
          <w:p w14:paraId="064DF998">
            <w:pPr>
              <w:pStyle w:val="8"/>
              <w:suppressLineNumbers w:val="0"/>
              <w:bidi w:val="0"/>
              <w:spacing w:before="0" w:beforeAutospacing="0" w:after="0" w:afterAutospacing="0"/>
              <w:ind w:left="0" w:right="0" w:firstLine="0" w:firstLineChars="0"/>
              <w:rPr>
                <w:rFonts w:hint="default"/>
                <w:highlight w:val="none"/>
                <w:lang w:val="en-US" w:eastAsia="zh-CN"/>
              </w:rPr>
            </w:pPr>
            <w:r>
              <w:rPr>
                <w:rFonts w:hint="eastAsia"/>
                <w:highlight w:val="none"/>
                <w:lang w:val="en-US" w:eastAsia="zh-CN"/>
              </w:rPr>
              <w:t>100</w:t>
            </w:r>
          </w:p>
        </w:tc>
        <w:tc>
          <w:tcPr>
            <w:tcW w:w="640" w:type="pct"/>
            <w:vAlign w:val="center"/>
          </w:tcPr>
          <w:p w14:paraId="68AB0106">
            <w:pPr>
              <w:pStyle w:val="8"/>
              <w:suppressLineNumbers w:val="0"/>
              <w:bidi w:val="0"/>
              <w:spacing w:before="0" w:beforeAutospacing="0" w:after="0" w:afterAutospacing="0"/>
              <w:ind w:left="0" w:right="0" w:firstLine="0" w:firstLineChars="0"/>
              <w:rPr>
                <w:rFonts w:hint="default"/>
                <w:highlight w:val="none"/>
                <w:lang w:val="en-US" w:eastAsia="zh-CN"/>
              </w:rPr>
            </w:pPr>
            <w:r>
              <w:rPr>
                <w:rFonts w:hint="eastAsia"/>
                <w:highlight w:val="none"/>
                <w:lang w:val="en-US" w:eastAsia="zh-CN"/>
              </w:rPr>
              <w:t>42-48</w:t>
            </w:r>
          </w:p>
        </w:tc>
        <w:tc>
          <w:tcPr>
            <w:tcW w:w="389" w:type="pct"/>
            <w:vAlign w:val="center"/>
          </w:tcPr>
          <w:p w14:paraId="60554986">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48</w:t>
            </w:r>
          </w:p>
        </w:tc>
        <w:tc>
          <w:tcPr>
            <w:tcW w:w="259" w:type="pct"/>
            <w:vMerge w:val="continue"/>
            <w:vAlign w:val="center"/>
          </w:tcPr>
          <w:p w14:paraId="6370F0F2">
            <w:pPr>
              <w:pStyle w:val="8"/>
              <w:suppressLineNumbers w:val="0"/>
              <w:bidi w:val="0"/>
              <w:spacing w:before="0" w:beforeAutospacing="0" w:after="0" w:afterAutospacing="0"/>
              <w:ind w:left="0" w:right="0"/>
              <w:rPr>
                <w:rFonts w:hint="default"/>
                <w:highlight w:val="none"/>
              </w:rPr>
            </w:pPr>
          </w:p>
        </w:tc>
        <w:tc>
          <w:tcPr>
            <w:tcW w:w="245" w:type="pct"/>
            <w:vMerge w:val="continue"/>
            <w:vAlign w:val="center"/>
          </w:tcPr>
          <w:p w14:paraId="5A1B7011">
            <w:pPr>
              <w:pStyle w:val="8"/>
              <w:suppressLineNumbers w:val="0"/>
              <w:bidi w:val="0"/>
              <w:spacing w:before="0" w:beforeAutospacing="0" w:after="0" w:afterAutospacing="0"/>
              <w:ind w:left="0" w:right="0"/>
              <w:rPr>
                <w:rFonts w:hint="default"/>
                <w:highlight w:val="none"/>
              </w:rPr>
            </w:pPr>
          </w:p>
        </w:tc>
      </w:tr>
    </w:tbl>
    <w:p w14:paraId="7286065F">
      <w:pPr>
        <w:bidi w:val="0"/>
        <w:rPr>
          <w:rFonts w:hAnsiTheme="minorEastAsia" w:eastAsiaTheme="minorEastAsia"/>
          <w:b/>
          <w:sz w:val="24"/>
          <w:highlight w:val="none"/>
        </w:rPr>
      </w:pPr>
      <w:r>
        <w:rPr>
          <w:rFonts w:hint="default" w:ascii="Times New Roman" w:hAnsi="Times New Roman" w:eastAsia="宋体" w:cs="Times New Roman"/>
          <w:spacing w:val="0"/>
          <w:position w:val="0"/>
          <w:highlight w:val="none"/>
        </w:rPr>
        <w:t>通过监测结果表明，</w:t>
      </w:r>
      <w:r>
        <w:rPr>
          <w:rFonts w:hint="eastAsia" w:ascii="Times New Roman" w:hAnsi="Times New Roman" w:eastAsia="宋体" w:cs="Times New Roman"/>
          <w:spacing w:val="0"/>
          <w:position w:val="0"/>
          <w:highlight w:val="none"/>
          <w:lang w:val="en-US" w:eastAsia="zh-CN"/>
        </w:rPr>
        <w:t>TSP</w:t>
      </w:r>
      <w:r>
        <w:rPr>
          <w:rFonts w:hint="eastAsia" w:cs="Times New Roman"/>
          <w:spacing w:val="0"/>
          <w:position w:val="0"/>
          <w:highlight w:val="none"/>
          <w:lang w:val="en-US" w:eastAsia="zh-CN"/>
        </w:rPr>
        <w:t>、氮氧化物</w:t>
      </w:r>
      <w:r>
        <w:rPr>
          <w:rFonts w:hint="default" w:ascii="Times New Roman" w:hAnsi="Times New Roman" w:eastAsia="宋体" w:cs="Times New Roman"/>
          <w:spacing w:val="0"/>
          <w:position w:val="0"/>
          <w:highlight w:val="none"/>
        </w:rPr>
        <w:t>满足</w:t>
      </w:r>
      <w:r>
        <w:rPr>
          <w:rFonts w:hint="eastAsia" w:ascii="Times New Roman" w:hAnsi="宋体" w:eastAsia="宋体" w:cs="Times New Roman"/>
          <w:sz w:val="24"/>
          <w:szCs w:val="24"/>
          <w:highlight w:val="none"/>
        </w:rPr>
        <w:t>《环境空气质量标准》（</w:t>
      </w:r>
      <w:r>
        <w:rPr>
          <w:rFonts w:ascii="Times New Roman" w:hAnsi="宋体" w:eastAsia="宋体" w:cs="Times New Roman"/>
          <w:sz w:val="24"/>
          <w:szCs w:val="24"/>
          <w:highlight w:val="none"/>
        </w:rPr>
        <w:t>GB3095</w:t>
      </w:r>
      <w:r>
        <w:rPr>
          <w:rFonts w:hint="eastAsia" w:ascii="Times New Roman" w:hAnsi="宋体" w:eastAsia="宋体" w:cs="Times New Roman"/>
          <w:sz w:val="24"/>
          <w:szCs w:val="24"/>
          <w:highlight w:val="none"/>
        </w:rPr>
        <w:t>-</w:t>
      </w:r>
      <w:r>
        <w:rPr>
          <w:rFonts w:ascii="Times New Roman" w:hAnsi="宋体" w:eastAsia="宋体" w:cs="Times New Roman"/>
          <w:sz w:val="24"/>
          <w:szCs w:val="24"/>
          <w:highlight w:val="none"/>
        </w:rPr>
        <w:t>2012</w:t>
      </w:r>
      <w:r>
        <w:rPr>
          <w:rFonts w:hint="eastAsia" w:ascii="Times New Roman" w:hAnsi="宋体" w:eastAsia="宋体" w:cs="Times New Roman"/>
          <w:sz w:val="24"/>
          <w:szCs w:val="24"/>
          <w:highlight w:val="none"/>
        </w:rPr>
        <w:t>）二级标准</w:t>
      </w:r>
      <w:r>
        <w:rPr>
          <w:rFonts w:hint="default" w:ascii="Times New Roman" w:hAnsi="Times New Roman" w:eastAsia="宋体" w:cs="Times New Roman"/>
          <w:spacing w:val="0"/>
          <w:position w:val="0"/>
          <w:highlight w:val="none"/>
        </w:rPr>
        <w:t>，非甲烷总烃满足</w:t>
      </w:r>
      <w:r>
        <w:rPr>
          <w:rFonts w:hint="default" w:ascii="Times New Roman" w:hAnsi="Times New Roman" w:cs="Times New Roman"/>
          <w:spacing w:val="0"/>
          <w:position w:val="0"/>
          <w:highlight w:val="none"/>
        </w:rPr>
        <w:t>《大气污染物综合排放</w:t>
      </w:r>
      <w:r>
        <w:rPr>
          <w:rFonts w:hint="default" w:ascii="Times New Roman" w:hAnsi="Times New Roman" w:eastAsia="宋体" w:cs="Times New Roman"/>
          <w:spacing w:val="0"/>
          <w:position w:val="0"/>
          <w:highlight w:val="none"/>
        </w:rPr>
        <w:t>标准详解》要求</w:t>
      </w:r>
      <w:r>
        <w:rPr>
          <w:rFonts w:ascii="Times New Roman" w:cs="Times New Roman" w:hAnsiTheme="minorEastAsia"/>
          <w:highlight w:val="none"/>
        </w:rPr>
        <w:t>。</w:t>
      </w:r>
    </w:p>
    <w:p w14:paraId="290EF1C3">
      <w:pPr>
        <w:pStyle w:val="4"/>
        <w:bidi w:val="0"/>
        <w:rPr>
          <w:highlight w:val="none"/>
        </w:rPr>
      </w:pPr>
      <w:bookmarkStart w:id="337" w:name="_Toc238"/>
      <w:r>
        <w:rPr>
          <w:highlight w:val="none"/>
        </w:rPr>
        <w:t>4.2.2地表水现状评价</w:t>
      </w:r>
      <w:bookmarkEnd w:id="336"/>
      <w:bookmarkEnd w:id="337"/>
    </w:p>
    <w:p w14:paraId="62115B26">
      <w:pPr>
        <w:bidi w:val="0"/>
        <w:rPr>
          <w:rFonts w:hint="default"/>
          <w:highlight w:val="none"/>
        </w:rPr>
      </w:pPr>
      <w:r>
        <w:rPr>
          <w:highlight w:val="none"/>
        </w:rPr>
        <w:t>本项目纳污地表水水体为松花江，本项目位于朱顺屯断面至阿什河口下断面，根据《</w:t>
      </w:r>
      <w:r>
        <w:rPr>
          <w:rFonts w:hint="default"/>
          <w:highlight w:val="none"/>
        </w:rPr>
        <w:t>202</w:t>
      </w:r>
      <w:r>
        <w:rPr>
          <w:rFonts w:hint="eastAsia"/>
          <w:highlight w:val="none"/>
          <w:lang w:val="en-US" w:eastAsia="zh-CN"/>
        </w:rPr>
        <w:t>4</w:t>
      </w:r>
      <w:r>
        <w:rPr>
          <w:rFonts w:hint="default"/>
          <w:highlight w:val="none"/>
        </w:rPr>
        <w:t>年哈尔滨生态环境质量状况年报</w:t>
      </w:r>
      <w:r>
        <w:rPr>
          <w:highlight w:val="none"/>
        </w:rPr>
        <w:t>》，202</w:t>
      </w:r>
      <w:r>
        <w:rPr>
          <w:rFonts w:hint="eastAsia"/>
          <w:highlight w:val="none"/>
          <w:lang w:val="en-US" w:eastAsia="zh-CN"/>
        </w:rPr>
        <w:t>4</w:t>
      </w:r>
      <w:r>
        <w:rPr>
          <w:highlight w:val="none"/>
        </w:rPr>
        <w:t>年朱顺屯水质符合Ⅲ类标准，阿什河口断面水质现状为Ⅳ类，断面符合Ⅳ类水质，满足《地表水环境质量标准》（GB3838-2002）满足Ⅳ类标准</w:t>
      </w:r>
      <w:r>
        <w:rPr>
          <w:rFonts w:hint="default"/>
          <w:highlight w:val="none"/>
        </w:rPr>
        <w:t>。</w:t>
      </w:r>
    </w:p>
    <w:p w14:paraId="6A14024F">
      <w:pPr>
        <w:pStyle w:val="4"/>
        <w:bidi w:val="0"/>
        <w:rPr>
          <w:highlight w:val="none"/>
        </w:rPr>
      </w:pPr>
      <w:bookmarkStart w:id="338" w:name="_Toc6292"/>
      <w:bookmarkStart w:id="339" w:name="_Toc23297"/>
      <w:r>
        <w:rPr>
          <w:highlight w:val="none"/>
        </w:rPr>
        <w:t>4.2.3地下水质量现状评价</w:t>
      </w:r>
      <w:bookmarkEnd w:id="338"/>
      <w:bookmarkEnd w:id="339"/>
    </w:p>
    <w:p w14:paraId="2D788839">
      <w:pPr>
        <w:bidi w:val="0"/>
        <w:rPr>
          <w:rFonts w:eastAsiaTheme="minorEastAsia"/>
          <w:b/>
          <w:sz w:val="24"/>
          <w:highlight w:val="none"/>
        </w:rPr>
      </w:pPr>
      <w:r>
        <w:rPr>
          <w:rFonts w:eastAsiaTheme="minorEastAsia"/>
          <w:b/>
          <w:sz w:val="24"/>
          <w:highlight w:val="none"/>
        </w:rPr>
        <w:t>4.2.3.1</w:t>
      </w:r>
      <w:r>
        <w:rPr>
          <w:rFonts w:hAnsiTheme="minorEastAsia" w:eastAsiaTheme="minorEastAsia"/>
          <w:b/>
          <w:sz w:val="24"/>
          <w:highlight w:val="none"/>
        </w:rPr>
        <w:t>地下水环境现状监测</w:t>
      </w:r>
    </w:p>
    <w:p w14:paraId="0AA11BBF">
      <w:pPr>
        <w:bidi w:val="0"/>
        <w:rPr>
          <w:highlight w:val="none"/>
        </w:rPr>
      </w:pPr>
      <w:bookmarkStart w:id="340" w:name="_Toc13445"/>
      <w:r>
        <w:rPr>
          <w:highlight w:val="none"/>
        </w:rPr>
        <w:t>1、</w:t>
      </w:r>
      <w:bookmarkEnd w:id="340"/>
      <w:bookmarkStart w:id="341" w:name="_Toc16358"/>
      <w:r>
        <w:rPr>
          <w:highlight w:val="none"/>
        </w:rPr>
        <w:t>监测点位</w:t>
      </w:r>
      <w:bookmarkEnd w:id="341"/>
    </w:p>
    <w:p w14:paraId="75B11061">
      <w:pPr>
        <w:bidi w:val="0"/>
        <w:rPr>
          <w:rFonts w:hint="eastAsia"/>
          <w:highlight w:val="none"/>
          <w:lang w:val="en-US" w:eastAsia="zh-CN"/>
        </w:rPr>
      </w:pPr>
      <w:r>
        <w:rPr>
          <w:rFonts w:hint="eastAsia"/>
          <w:highlight w:val="none"/>
          <w:lang w:val="en-US" w:eastAsia="zh-CN"/>
        </w:rPr>
        <w:t>根据《环境影响评价技术导则地下水环境》（</w:t>
      </w:r>
      <w:r>
        <w:rPr>
          <w:rFonts w:hint="default"/>
          <w:highlight w:val="none"/>
          <w:lang w:val="en-US" w:eastAsia="zh-CN"/>
        </w:rPr>
        <w:t>HJ610-2011</w:t>
      </w:r>
      <w:r>
        <w:rPr>
          <w:rFonts w:hint="eastAsia"/>
          <w:highlight w:val="none"/>
          <w:lang w:val="en-US" w:eastAsia="zh-CN"/>
        </w:rPr>
        <w:t>）关于地下水环境监测布点原则的规定，结合项目区域用水的实际情况和地下水环境评价等级要求，本项目在厂址内及周围共布设7个地下水水质和水位监测点，另设7个水位监测点。本项目地下水监测点位见下表。</w:t>
      </w:r>
    </w:p>
    <w:p w14:paraId="4D660751">
      <w:pPr>
        <w:pStyle w:val="7"/>
        <w:bidi w:val="0"/>
        <w:rPr>
          <w:rFonts w:hint="default"/>
          <w:highlight w:val="none"/>
        </w:rPr>
      </w:pPr>
      <w:r>
        <w:rPr>
          <w:rFonts w:hint="default"/>
          <w:highlight w:val="none"/>
        </w:rPr>
        <w:t>表4-2-</w:t>
      </w:r>
      <w:r>
        <w:rPr>
          <w:rFonts w:hint="eastAsia"/>
          <w:highlight w:val="none"/>
          <w:lang w:val="en-US" w:eastAsia="zh-CN"/>
        </w:rPr>
        <w:t>4</w:t>
      </w:r>
      <w:r>
        <w:rPr>
          <w:rFonts w:hint="default"/>
          <w:highlight w:val="none"/>
        </w:rPr>
        <w:t>项目地下水现状监测点位表</w:t>
      </w:r>
    </w:p>
    <w:tbl>
      <w:tblPr>
        <w:tblStyle w:val="45"/>
        <w:tblW w:w="4997"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537"/>
        <w:gridCol w:w="1943"/>
        <w:gridCol w:w="1253"/>
        <w:gridCol w:w="534"/>
        <w:gridCol w:w="885"/>
        <w:gridCol w:w="735"/>
        <w:gridCol w:w="2630"/>
      </w:tblGrid>
      <w:tr w14:paraId="3CB8541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73" w:hRule="atLeast"/>
          <w:jc w:val="center"/>
        </w:trPr>
        <w:tc>
          <w:tcPr>
            <w:tcW w:w="315" w:type="pct"/>
            <w:vAlign w:val="center"/>
          </w:tcPr>
          <w:p w14:paraId="1D7A8030">
            <w:pPr>
              <w:pStyle w:val="8"/>
              <w:suppressLineNumbers w:val="0"/>
              <w:bidi w:val="0"/>
              <w:spacing w:before="0" w:beforeAutospacing="0" w:after="0" w:afterAutospacing="0"/>
              <w:ind w:left="0" w:right="0"/>
              <w:rPr>
                <w:rFonts w:hint="default"/>
                <w:highlight w:val="none"/>
              </w:rPr>
            </w:pPr>
            <w:r>
              <w:rPr>
                <w:rFonts w:hint="default"/>
                <w:highlight w:val="none"/>
              </w:rPr>
              <w:t>序号</w:t>
            </w:r>
          </w:p>
        </w:tc>
        <w:tc>
          <w:tcPr>
            <w:tcW w:w="1140" w:type="pct"/>
            <w:vAlign w:val="center"/>
          </w:tcPr>
          <w:p w14:paraId="30AF22C3">
            <w:pPr>
              <w:pStyle w:val="8"/>
              <w:suppressLineNumbers w:val="0"/>
              <w:bidi w:val="0"/>
              <w:spacing w:before="0" w:beforeAutospacing="0" w:after="0" w:afterAutospacing="0"/>
              <w:ind w:left="0" w:right="0"/>
              <w:rPr>
                <w:rFonts w:hint="default"/>
                <w:highlight w:val="none"/>
              </w:rPr>
            </w:pPr>
            <w:r>
              <w:rPr>
                <w:rFonts w:hint="default"/>
                <w:highlight w:val="none"/>
              </w:rPr>
              <w:t>监测点位</w:t>
            </w:r>
          </w:p>
        </w:tc>
        <w:tc>
          <w:tcPr>
            <w:tcW w:w="735" w:type="pct"/>
            <w:vAlign w:val="center"/>
          </w:tcPr>
          <w:p w14:paraId="240F1161">
            <w:pPr>
              <w:pStyle w:val="8"/>
              <w:suppressLineNumbers w:val="0"/>
              <w:bidi w:val="0"/>
              <w:spacing w:before="0" w:beforeAutospacing="0" w:after="0" w:afterAutospacing="0"/>
              <w:ind w:left="0" w:right="0"/>
              <w:rPr>
                <w:rFonts w:hint="default"/>
                <w:highlight w:val="none"/>
              </w:rPr>
            </w:pPr>
            <w:r>
              <w:rPr>
                <w:rFonts w:hint="default"/>
                <w:highlight w:val="none"/>
              </w:rPr>
              <w:t>监测项目</w:t>
            </w:r>
          </w:p>
        </w:tc>
        <w:tc>
          <w:tcPr>
            <w:tcW w:w="313" w:type="pct"/>
            <w:vAlign w:val="center"/>
          </w:tcPr>
          <w:p w14:paraId="06330597">
            <w:pPr>
              <w:pStyle w:val="8"/>
              <w:suppressLineNumbers w:val="0"/>
              <w:bidi w:val="0"/>
              <w:spacing w:before="0" w:beforeAutospacing="0" w:after="0" w:afterAutospacing="0"/>
              <w:ind w:left="0" w:right="0"/>
              <w:rPr>
                <w:rFonts w:hint="default"/>
                <w:highlight w:val="none"/>
              </w:rPr>
            </w:pPr>
            <w:r>
              <w:rPr>
                <w:rFonts w:hint="default"/>
                <w:highlight w:val="none"/>
              </w:rPr>
              <w:t>含水层</w:t>
            </w:r>
          </w:p>
        </w:tc>
        <w:tc>
          <w:tcPr>
            <w:tcW w:w="519" w:type="pct"/>
            <w:tcBorders>
              <w:right w:val="single" w:color="auto" w:sz="2" w:space="0"/>
            </w:tcBorders>
            <w:vAlign w:val="center"/>
          </w:tcPr>
          <w:p w14:paraId="063EA559">
            <w:pPr>
              <w:pStyle w:val="8"/>
              <w:suppressLineNumbers w:val="0"/>
              <w:bidi w:val="0"/>
              <w:spacing w:before="0" w:beforeAutospacing="0" w:after="0" w:afterAutospacing="0"/>
              <w:ind w:left="0" w:right="0"/>
              <w:rPr>
                <w:rFonts w:hint="default"/>
                <w:highlight w:val="none"/>
              </w:rPr>
            </w:pPr>
            <w:r>
              <w:rPr>
                <w:rFonts w:hint="default"/>
                <w:highlight w:val="none"/>
              </w:rPr>
              <w:t>水位</w:t>
            </w:r>
            <w:r>
              <w:rPr>
                <w:rFonts w:hint="eastAsia"/>
                <w:highlight w:val="none"/>
                <w:lang w:val="en-US" w:eastAsia="zh-CN"/>
              </w:rPr>
              <w:t>标高</w:t>
            </w:r>
            <w:r>
              <w:rPr>
                <w:rFonts w:hint="default"/>
                <w:highlight w:val="none"/>
              </w:rPr>
              <w:t>（m）</w:t>
            </w:r>
          </w:p>
        </w:tc>
        <w:tc>
          <w:tcPr>
            <w:tcW w:w="431" w:type="pct"/>
            <w:tcBorders>
              <w:left w:val="single" w:color="auto" w:sz="2" w:space="0"/>
            </w:tcBorders>
            <w:vAlign w:val="center"/>
          </w:tcPr>
          <w:p w14:paraId="39EAE605">
            <w:pPr>
              <w:pStyle w:val="8"/>
              <w:suppressLineNumbers w:val="0"/>
              <w:bidi w:val="0"/>
              <w:spacing w:before="0" w:beforeAutospacing="0" w:after="0" w:afterAutospacing="0"/>
              <w:ind w:left="0" w:right="0"/>
              <w:rPr>
                <w:rFonts w:hint="default"/>
                <w:highlight w:val="none"/>
              </w:rPr>
            </w:pPr>
            <w:r>
              <w:rPr>
                <w:rFonts w:hint="default"/>
                <w:highlight w:val="none"/>
              </w:rPr>
              <w:t>井深（m）</w:t>
            </w:r>
          </w:p>
        </w:tc>
        <w:tc>
          <w:tcPr>
            <w:tcW w:w="1543" w:type="pct"/>
            <w:tcBorders>
              <w:left w:val="single" w:color="auto" w:sz="2" w:space="0"/>
            </w:tcBorders>
            <w:vAlign w:val="center"/>
          </w:tcPr>
          <w:p w14:paraId="67AD2A4C">
            <w:pPr>
              <w:pStyle w:val="8"/>
              <w:suppressLineNumbers w:val="0"/>
              <w:bidi w:val="0"/>
              <w:spacing w:before="0" w:beforeAutospacing="0" w:after="0" w:afterAutospacing="0"/>
              <w:ind w:left="0" w:right="0"/>
              <w:rPr>
                <w:rFonts w:hint="default"/>
                <w:highlight w:val="none"/>
              </w:rPr>
            </w:pPr>
            <w:r>
              <w:rPr>
                <w:rFonts w:hint="default"/>
                <w:highlight w:val="none"/>
              </w:rPr>
              <w:t>用途</w:t>
            </w:r>
          </w:p>
        </w:tc>
      </w:tr>
      <w:tr w14:paraId="7E029AC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315" w:type="pct"/>
            <w:vAlign w:val="center"/>
          </w:tcPr>
          <w:p w14:paraId="694B2D1D">
            <w:pPr>
              <w:pStyle w:val="8"/>
              <w:suppressLineNumbers w:val="0"/>
              <w:bidi w:val="0"/>
              <w:spacing w:before="0" w:beforeAutospacing="0" w:after="0" w:afterAutospacing="0"/>
              <w:ind w:left="0" w:right="0"/>
              <w:rPr>
                <w:rFonts w:hint="default"/>
                <w:highlight w:val="none"/>
              </w:rPr>
            </w:pPr>
            <w:r>
              <w:rPr>
                <w:rFonts w:hint="default"/>
                <w:highlight w:val="none"/>
              </w:rPr>
              <w:t>1</w:t>
            </w:r>
          </w:p>
        </w:tc>
        <w:tc>
          <w:tcPr>
            <w:tcW w:w="1140" w:type="pct"/>
            <w:vAlign w:val="center"/>
          </w:tcPr>
          <w:p w14:paraId="1C6B844F">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1#</w:t>
            </w:r>
            <w:r>
              <w:rPr>
                <w:rFonts w:hint="eastAsia"/>
                <w:highlight w:val="none"/>
                <w:lang w:val="en-US" w:eastAsia="zh-CN"/>
              </w:rPr>
              <w:t>厂址内监测点位</w:t>
            </w:r>
          </w:p>
        </w:tc>
        <w:tc>
          <w:tcPr>
            <w:tcW w:w="735" w:type="pct"/>
            <w:vAlign w:val="center"/>
          </w:tcPr>
          <w:p w14:paraId="1F66382B">
            <w:pPr>
              <w:pStyle w:val="8"/>
              <w:suppressLineNumbers w:val="0"/>
              <w:bidi w:val="0"/>
              <w:spacing w:before="0" w:beforeAutospacing="0" w:after="0" w:afterAutospacing="0"/>
              <w:ind w:left="0" w:right="0" w:firstLine="0" w:firstLineChars="0"/>
              <w:rPr>
                <w:rFonts w:hint="default"/>
                <w:highlight w:val="none"/>
              </w:rPr>
            </w:pPr>
            <w:r>
              <w:rPr>
                <w:rFonts w:hint="eastAsia"/>
                <w:highlight w:val="none"/>
                <w:lang w:val="en-US" w:eastAsia="zh-CN"/>
              </w:rPr>
              <w:t>水质、水位</w:t>
            </w:r>
          </w:p>
        </w:tc>
        <w:tc>
          <w:tcPr>
            <w:tcW w:w="313" w:type="pct"/>
            <w:vMerge w:val="restart"/>
            <w:vAlign w:val="center"/>
          </w:tcPr>
          <w:p w14:paraId="41EDAE13">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承压水</w:t>
            </w:r>
            <w:r>
              <w:rPr>
                <w:rFonts w:hint="default"/>
                <w:highlight w:val="none"/>
              </w:rPr>
              <w:t>水层</w:t>
            </w:r>
          </w:p>
        </w:tc>
        <w:tc>
          <w:tcPr>
            <w:tcW w:w="519" w:type="pct"/>
            <w:tcBorders>
              <w:right w:val="single" w:color="auto" w:sz="2" w:space="0"/>
            </w:tcBorders>
            <w:vAlign w:val="center"/>
          </w:tcPr>
          <w:p w14:paraId="157AD1BB">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144.3</w:t>
            </w:r>
          </w:p>
        </w:tc>
        <w:tc>
          <w:tcPr>
            <w:tcW w:w="431" w:type="pct"/>
            <w:tcBorders>
              <w:left w:val="single" w:color="auto" w:sz="2" w:space="0"/>
            </w:tcBorders>
            <w:vAlign w:val="center"/>
          </w:tcPr>
          <w:p w14:paraId="7ED8B96D">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18</w:t>
            </w:r>
          </w:p>
        </w:tc>
        <w:tc>
          <w:tcPr>
            <w:tcW w:w="1543" w:type="pct"/>
            <w:tcBorders>
              <w:left w:val="single" w:color="auto" w:sz="2" w:space="0"/>
            </w:tcBorders>
            <w:vAlign w:val="center"/>
          </w:tcPr>
          <w:p w14:paraId="6C9364B6">
            <w:pPr>
              <w:pStyle w:val="8"/>
              <w:suppressLineNumbers w:val="0"/>
              <w:bidi w:val="0"/>
              <w:spacing w:before="0" w:beforeAutospacing="0" w:after="0" w:afterAutospacing="0"/>
              <w:ind w:left="0" w:right="0"/>
              <w:rPr>
                <w:rFonts w:hint="default" w:ascii="Times New Roman" w:hAnsi="Times New Roman" w:eastAsia="宋体" w:cs="Times New Roman"/>
                <w:highlight w:val="none"/>
              </w:rPr>
            </w:pPr>
            <w:r>
              <w:rPr>
                <w:rFonts w:hint="eastAsia" w:cs="Times New Roman"/>
                <w:highlight w:val="none"/>
                <w:lang w:val="en-US" w:eastAsia="zh-CN"/>
              </w:rPr>
              <w:t>厂区内</w:t>
            </w:r>
            <w:r>
              <w:rPr>
                <w:rFonts w:hint="default" w:ascii="Times New Roman" w:hAnsi="Times New Roman" w:eastAsia="宋体" w:cs="Times New Roman"/>
                <w:highlight w:val="none"/>
              </w:rPr>
              <w:t>跟踪监测井</w:t>
            </w:r>
          </w:p>
        </w:tc>
      </w:tr>
      <w:tr w14:paraId="366FF76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7" w:hRule="atLeast"/>
          <w:jc w:val="center"/>
        </w:trPr>
        <w:tc>
          <w:tcPr>
            <w:tcW w:w="315" w:type="pct"/>
            <w:vAlign w:val="center"/>
          </w:tcPr>
          <w:p w14:paraId="2F536048">
            <w:pPr>
              <w:pStyle w:val="8"/>
              <w:suppressLineNumbers w:val="0"/>
              <w:bidi w:val="0"/>
              <w:spacing w:before="0" w:beforeAutospacing="0" w:after="0" w:afterAutospacing="0"/>
              <w:ind w:left="0" w:right="0"/>
              <w:rPr>
                <w:rFonts w:hint="default"/>
                <w:highlight w:val="none"/>
              </w:rPr>
            </w:pPr>
            <w:r>
              <w:rPr>
                <w:rFonts w:hint="default"/>
                <w:highlight w:val="none"/>
              </w:rPr>
              <w:t>2</w:t>
            </w:r>
          </w:p>
        </w:tc>
        <w:tc>
          <w:tcPr>
            <w:tcW w:w="1140" w:type="pct"/>
            <w:vAlign w:val="center"/>
          </w:tcPr>
          <w:p w14:paraId="6D9A2CAA">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2#</w:t>
            </w:r>
            <w:r>
              <w:rPr>
                <w:rFonts w:hint="eastAsia"/>
                <w:highlight w:val="none"/>
                <w:lang w:val="en-US" w:eastAsia="zh-CN"/>
              </w:rPr>
              <w:t>下游监测点位</w:t>
            </w:r>
          </w:p>
        </w:tc>
        <w:tc>
          <w:tcPr>
            <w:tcW w:w="735" w:type="pct"/>
            <w:vAlign w:val="center"/>
          </w:tcPr>
          <w:p w14:paraId="579ED17B">
            <w:pPr>
              <w:pStyle w:val="8"/>
              <w:suppressLineNumbers w:val="0"/>
              <w:bidi w:val="0"/>
              <w:spacing w:before="0" w:beforeAutospacing="0" w:after="0" w:afterAutospacing="0"/>
              <w:ind w:left="0" w:right="0" w:firstLine="0" w:firstLineChars="0"/>
              <w:rPr>
                <w:rFonts w:hint="default"/>
                <w:highlight w:val="none"/>
              </w:rPr>
            </w:pPr>
            <w:r>
              <w:rPr>
                <w:rFonts w:hint="eastAsia"/>
                <w:highlight w:val="none"/>
                <w:lang w:val="en-US" w:eastAsia="zh-CN"/>
              </w:rPr>
              <w:t>水质、水位</w:t>
            </w:r>
          </w:p>
        </w:tc>
        <w:tc>
          <w:tcPr>
            <w:tcW w:w="313" w:type="pct"/>
            <w:vMerge w:val="continue"/>
            <w:vAlign w:val="center"/>
          </w:tcPr>
          <w:p w14:paraId="43F4A2B2">
            <w:pPr>
              <w:pStyle w:val="8"/>
              <w:suppressLineNumbers w:val="0"/>
              <w:bidi w:val="0"/>
              <w:spacing w:before="0" w:beforeAutospacing="0" w:after="0" w:afterAutospacing="0"/>
              <w:ind w:left="0" w:right="0"/>
              <w:rPr>
                <w:rFonts w:hint="default"/>
                <w:highlight w:val="none"/>
              </w:rPr>
            </w:pPr>
          </w:p>
        </w:tc>
        <w:tc>
          <w:tcPr>
            <w:tcW w:w="519" w:type="pct"/>
            <w:tcBorders>
              <w:right w:val="single" w:color="auto" w:sz="2" w:space="0"/>
            </w:tcBorders>
            <w:vAlign w:val="center"/>
          </w:tcPr>
          <w:p w14:paraId="70F0C55F">
            <w:pPr>
              <w:pStyle w:val="8"/>
              <w:suppressLineNumbers w:val="0"/>
              <w:bidi w:val="0"/>
              <w:spacing w:before="0" w:beforeAutospacing="0" w:after="0" w:afterAutospacing="0"/>
              <w:ind w:left="0" w:right="0"/>
              <w:rPr>
                <w:rFonts w:hint="default" w:eastAsia="宋体"/>
                <w:highlight w:val="none"/>
                <w:lang w:val="en-US" w:eastAsia="zh-CN"/>
              </w:rPr>
            </w:pPr>
            <w:r>
              <w:rPr>
                <w:rFonts w:hint="eastAsia"/>
                <w:highlight w:val="none"/>
                <w:lang w:val="en-US" w:eastAsia="zh-CN"/>
              </w:rPr>
              <w:t>143.9</w:t>
            </w:r>
          </w:p>
        </w:tc>
        <w:tc>
          <w:tcPr>
            <w:tcW w:w="431" w:type="pct"/>
            <w:tcBorders>
              <w:left w:val="single" w:color="auto" w:sz="2" w:space="0"/>
            </w:tcBorders>
            <w:vAlign w:val="center"/>
          </w:tcPr>
          <w:p w14:paraId="60156ABB">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20</w:t>
            </w:r>
          </w:p>
        </w:tc>
        <w:tc>
          <w:tcPr>
            <w:tcW w:w="1543" w:type="pct"/>
            <w:tcBorders>
              <w:left w:val="single" w:color="auto" w:sz="2" w:space="0"/>
            </w:tcBorders>
            <w:vAlign w:val="center"/>
          </w:tcPr>
          <w:p w14:paraId="305792DE">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刘家村饮用水井</w:t>
            </w:r>
          </w:p>
        </w:tc>
      </w:tr>
      <w:tr w14:paraId="5105A86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7" w:hRule="atLeast"/>
          <w:jc w:val="center"/>
        </w:trPr>
        <w:tc>
          <w:tcPr>
            <w:tcW w:w="315" w:type="pct"/>
            <w:vAlign w:val="center"/>
          </w:tcPr>
          <w:p w14:paraId="73CE0ED6">
            <w:pPr>
              <w:pStyle w:val="8"/>
              <w:suppressLineNumbers w:val="0"/>
              <w:bidi w:val="0"/>
              <w:spacing w:before="0" w:beforeAutospacing="0" w:after="0" w:afterAutospacing="0"/>
              <w:ind w:left="0" w:right="0"/>
              <w:rPr>
                <w:rFonts w:hint="default"/>
                <w:highlight w:val="none"/>
              </w:rPr>
            </w:pPr>
            <w:r>
              <w:rPr>
                <w:rFonts w:hint="default"/>
                <w:highlight w:val="none"/>
              </w:rPr>
              <w:t>3</w:t>
            </w:r>
          </w:p>
        </w:tc>
        <w:tc>
          <w:tcPr>
            <w:tcW w:w="1140" w:type="pct"/>
            <w:vAlign w:val="center"/>
          </w:tcPr>
          <w:p w14:paraId="25890A82">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3#</w:t>
            </w:r>
            <w:r>
              <w:rPr>
                <w:rFonts w:hint="eastAsia"/>
                <w:highlight w:val="none"/>
                <w:lang w:val="en-US" w:eastAsia="zh-CN"/>
              </w:rPr>
              <w:t>右侧监测点位</w:t>
            </w:r>
          </w:p>
        </w:tc>
        <w:tc>
          <w:tcPr>
            <w:tcW w:w="735" w:type="pct"/>
            <w:vAlign w:val="center"/>
          </w:tcPr>
          <w:p w14:paraId="5CE9FBB7">
            <w:pPr>
              <w:pStyle w:val="8"/>
              <w:suppressLineNumbers w:val="0"/>
              <w:bidi w:val="0"/>
              <w:spacing w:before="0" w:beforeAutospacing="0" w:after="0" w:afterAutospacing="0"/>
              <w:ind w:left="0" w:right="0" w:firstLine="0" w:firstLineChars="0"/>
              <w:rPr>
                <w:rFonts w:hint="default"/>
                <w:highlight w:val="none"/>
              </w:rPr>
            </w:pPr>
            <w:r>
              <w:rPr>
                <w:rFonts w:hint="eastAsia"/>
                <w:highlight w:val="none"/>
                <w:lang w:val="en-US" w:eastAsia="zh-CN"/>
              </w:rPr>
              <w:t>水质、水位</w:t>
            </w:r>
          </w:p>
        </w:tc>
        <w:tc>
          <w:tcPr>
            <w:tcW w:w="313" w:type="pct"/>
            <w:vMerge w:val="continue"/>
            <w:vAlign w:val="center"/>
          </w:tcPr>
          <w:p w14:paraId="402AB83F">
            <w:pPr>
              <w:pStyle w:val="8"/>
              <w:suppressLineNumbers w:val="0"/>
              <w:bidi w:val="0"/>
              <w:spacing w:before="0" w:beforeAutospacing="0" w:after="0" w:afterAutospacing="0"/>
              <w:ind w:left="0" w:right="0"/>
              <w:rPr>
                <w:rFonts w:hint="default"/>
                <w:highlight w:val="none"/>
              </w:rPr>
            </w:pPr>
          </w:p>
        </w:tc>
        <w:tc>
          <w:tcPr>
            <w:tcW w:w="519" w:type="pct"/>
            <w:tcBorders>
              <w:right w:val="single" w:color="auto" w:sz="2" w:space="0"/>
            </w:tcBorders>
            <w:vAlign w:val="center"/>
          </w:tcPr>
          <w:p w14:paraId="7C3FCA1C">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137.0</w:t>
            </w:r>
          </w:p>
        </w:tc>
        <w:tc>
          <w:tcPr>
            <w:tcW w:w="431" w:type="pct"/>
            <w:tcBorders>
              <w:left w:val="single" w:color="auto" w:sz="2" w:space="0"/>
            </w:tcBorders>
            <w:vAlign w:val="center"/>
          </w:tcPr>
          <w:p w14:paraId="5FBB717D">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20</w:t>
            </w:r>
          </w:p>
        </w:tc>
        <w:tc>
          <w:tcPr>
            <w:tcW w:w="1543" w:type="pct"/>
            <w:tcBorders>
              <w:left w:val="single" w:color="auto" w:sz="2" w:space="0"/>
            </w:tcBorders>
            <w:vAlign w:val="center"/>
          </w:tcPr>
          <w:p w14:paraId="6B73779E">
            <w:pPr>
              <w:pStyle w:val="8"/>
              <w:suppressLineNumbers w:val="0"/>
              <w:bidi w:val="0"/>
              <w:spacing w:before="0" w:beforeAutospacing="0" w:after="0" w:afterAutospacing="0"/>
              <w:ind w:left="0" w:right="0"/>
              <w:rPr>
                <w:rFonts w:hint="eastAsia" w:eastAsia="宋体"/>
                <w:highlight w:val="none"/>
                <w:lang w:eastAsia="zh-CN"/>
              </w:rPr>
            </w:pPr>
            <w:r>
              <w:rPr>
                <w:rFonts w:hint="eastAsia"/>
                <w:highlight w:val="none"/>
                <w:lang w:val="en-US" w:eastAsia="zh-CN"/>
              </w:rPr>
              <w:t>监测孔</w:t>
            </w:r>
          </w:p>
        </w:tc>
      </w:tr>
      <w:tr w14:paraId="786583D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7" w:hRule="atLeast"/>
          <w:jc w:val="center"/>
        </w:trPr>
        <w:tc>
          <w:tcPr>
            <w:tcW w:w="315" w:type="pct"/>
            <w:vAlign w:val="center"/>
          </w:tcPr>
          <w:p w14:paraId="2A9FE8D4">
            <w:pPr>
              <w:pStyle w:val="8"/>
              <w:suppressLineNumbers w:val="0"/>
              <w:bidi w:val="0"/>
              <w:spacing w:before="0" w:beforeAutospacing="0" w:after="0" w:afterAutospacing="0"/>
              <w:ind w:left="0" w:right="0"/>
              <w:rPr>
                <w:rFonts w:hint="default"/>
                <w:highlight w:val="none"/>
              </w:rPr>
            </w:pPr>
            <w:r>
              <w:rPr>
                <w:rFonts w:hint="default"/>
                <w:highlight w:val="none"/>
              </w:rPr>
              <w:t>4</w:t>
            </w:r>
          </w:p>
        </w:tc>
        <w:tc>
          <w:tcPr>
            <w:tcW w:w="1140" w:type="pct"/>
            <w:vAlign w:val="center"/>
          </w:tcPr>
          <w:p w14:paraId="65935760">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4#</w:t>
            </w:r>
            <w:r>
              <w:rPr>
                <w:rFonts w:hint="eastAsia"/>
                <w:highlight w:val="none"/>
                <w:lang w:val="en-US" w:eastAsia="zh-CN"/>
              </w:rPr>
              <w:t>左侧监测点位</w:t>
            </w:r>
          </w:p>
        </w:tc>
        <w:tc>
          <w:tcPr>
            <w:tcW w:w="735" w:type="pct"/>
            <w:vAlign w:val="center"/>
          </w:tcPr>
          <w:p w14:paraId="0049657C">
            <w:pPr>
              <w:pStyle w:val="8"/>
              <w:suppressLineNumbers w:val="0"/>
              <w:bidi w:val="0"/>
              <w:spacing w:before="0" w:beforeAutospacing="0" w:after="0" w:afterAutospacing="0"/>
              <w:ind w:left="0" w:right="0" w:firstLine="0" w:firstLineChars="0"/>
              <w:rPr>
                <w:rFonts w:hint="default"/>
                <w:highlight w:val="none"/>
              </w:rPr>
            </w:pPr>
            <w:r>
              <w:rPr>
                <w:rFonts w:hint="eastAsia"/>
                <w:highlight w:val="none"/>
                <w:lang w:val="en-US" w:eastAsia="zh-CN"/>
              </w:rPr>
              <w:t>水质、水位</w:t>
            </w:r>
          </w:p>
        </w:tc>
        <w:tc>
          <w:tcPr>
            <w:tcW w:w="313" w:type="pct"/>
            <w:vMerge w:val="continue"/>
            <w:vAlign w:val="center"/>
          </w:tcPr>
          <w:p w14:paraId="7FB5BC2E">
            <w:pPr>
              <w:pStyle w:val="8"/>
              <w:suppressLineNumbers w:val="0"/>
              <w:bidi w:val="0"/>
              <w:spacing w:before="0" w:beforeAutospacing="0" w:after="0" w:afterAutospacing="0"/>
              <w:ind w:left="0" w:right="0"/>
              <w:rPr>
                <w:rFonts w:hint="default"/>
                <w:highlight w:val="none"/>
              </w:rPr>
            </w:pPr>
          </w:p>
        </w:tc>
        <w:tc>
          <w:tcPr>
            <w:tcW w:w="519" w:type="pct"/>
            <w:tcBorders>
              <w:right w:val="single" w:color="auto" w:sz="2" w:space="0"/>
            </w:tcBorders>
            <w:vAlign w:val="center"/>
          </w:tcPr>
          <w:p w14:paraId="105104F5">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145.6</w:t>
            </w:r>
          </w:p>
        </w:tc>
        <w:tc>
          <w:tcPr>
            <w:tcW w:w="431" w:type="pct"/>
            <w:tcBorders>
              <w:left w:val="single" w:color="auto" w:sz="2" w:space="0"/>
            </w:tcBorders>
            <w:vAlign w:val="center"/>
          </w:tcPr>
          <w:p w14:paraId="1293F7D9">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18</w:t>
            </w:r>
          </w:p>
        </w:tc>
        <w:tc>
          <w:tcPr>
            <w:tcW w:w="1543" w:type="pct"/>
            <w:tcBorders>
              <w:left w:val="single" w:color="auto" w:sz="2" w:space="0"/>
            </w:tcBorders>
            <w:vAlign w:val="center"/>
          </w:tcPr>
          <w:p w14:paraId="70CAA440">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三家子屯</w:t>
            </w:r>
            <w:r>
              <w:rPr>
                <w:rFonts w:hint="default"/>
                <w:highlight w:val="none"/>
              </w:rPr>
              <w:t>灌溉水井</w:t>
            </w:r>
          </w:p>
        </w:tc>
      </w:tr>
      <w:tr w14:paraId="25EE2E6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7" w:hRule="atLeast"/>
          <w:jc w:val="center"/>
        </w:trPr>
        <w:tc>
          <w:tcPr>
            <w:tcW w:w="315" w:type="pct"/>
            <w:vAlign w:val="center"/>
          </w:tcPr>
          <w:p w14:paraId="6CF5E4E2">
            <w:pPr>
              <w:pStyle w:val="8"/>
              <w:suppressLineNumbers w:val="0"/>
              <w:bidi w:val="0"/>
              <w:spacing w:before="0" w:beforeAutospacing="0" w:after="0" w:afterAutospacing="0"/>
              <w:ind w:left="0" w:right="0"/>
              <w:rPr>
                <w:rFonts w:hint="default"/>
                <w:highlight w:val="none"/>
              </w:rPr>
            </w:pPr>
            <w:r>
              <w:rPr>
                <w:rFonts w:hint="default"/>
                <w:highlight w:val="none"/>
              </w:rPr>
              <w:t>5</w:t>
            </w:r>
          </w:p>
        </w:tc>
        <w:tc>
          <w:tcPr>
            <w:tcW w:w="1140" w:type="pct"/>
            <w:vAlign w:val="center"/>
          </w:tcPr>
          <w:p w14:paraId="37B24CCF">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5#</w:t>
            </w:r>
            <w:r>
              <w:rPr>
                <w:rFonts w:hint="eastAsia"/>
                <w:highlight w:val="none"/>
                <w:lang w:val="en-US" w:eastAsia="zh-CN"/>
              </w:rPr>
              <w:t>左侧监测点位</w:t>
            </w:r>
          </w:p>
        </w:tc>
        <w:tc>
          <w:tcPr>
            <w:tcW w:w="735" w:type="pct"/>
            <w:vAlign w:val="center"/>
          </w:tcPr>
          <w:p w14:paraId="4D71450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水质、水位</w:t>
            </w:r>
          </w:p>
        </w:tc>
        <w:tc>
          <w:tcPr>
            <w:tcW w:w="313" w:type="pct"/>
            <w:vMerge w:val="continue"/>
            <w:vAlign w:val="center"/>
          </w:tcPr>
          <w:p w14:paraId="3CE5BC80">
            <w:pPr>
              <w:pStyle w:val="8"/>
              <w:suppressLineNumbers w:val="0"/>
              <w:bidi w:val="0"/>
              <w:spacing w:before="0" w:beforeAutospacing="0" w:after="0" w:afterAutospacing="0"/>
              <w:ind w:left="0" w:right="0"/>
              <w:rPr>
                <w:rFonts w:hint="default"/>
                <w:highlight w:val="none"/>
              </w:rPr>
            </w:pPr>
          </w:p>
        </w:tc>
        <w:tc>
          <w:tcPr>
            <w:tcW w:w="519" w:type="pct"/>
            <w:tcBorders>
              <w:right w:val="single" w:color="auto" w:sz="2" w:space="0"/>
            </w:tcBorders>
            <w:vAlign w:val="center"/>
          </w:tcPr>
          <w:p w14:paraId="3F2E5004">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144.1</w:t>
            </w:r>
          </w:p>
        </w:tc>
        <w:tc>
          <w:tcPr>
            <w:tcW w:w="431" w:type="pct"/>
            <w:tcBorders>
              <w:left w:val="single" w:color="auto" w:sz="2" w:space="0"/>
            </w:tcBorders>
            <w:vAlign w:val="center"/>
          </w:tcPr>
          <w:p w14:paraId="52784D6F">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19</w:t>
            </w:r>
          </w:p>
        </w:tc>
        <w:tc>
          <w:tcPr>
            <w:tcW w:w="1543" w:type="pct"/>
            <w:tcBorders>
              <w:left w:val="single" w:color="auto" w:sz="2" w:space="0"/>
            </w:tcBorders>
            <w:vAlign w:val="center"/>
          </w:tcPr>
          <w:p w14:paraId="21A4AD1F">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监测孔</w:t>
            </w:r>
          </w:p>
        </w:tc>
      </w:tr>
      <w:tr w14:paraId="52BD840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20" w:hRule="atLeast"/>
          <w:jc w:val="center"/>
        </w:trPr>
        <w:tc>
          <w:tcPr>
            <w:tcW w:w="315" w:type="pct"/>
            <w:vAlign w:val="center"/>
          </w:tcPr>
          <w:p w14:paraId="459F613B">
            <w:pPr>
              <w:pStyle w:val="8"/>
              <w:suppressLineNumbers w:val="0"/>
              <w:bidi w:val="0"/>
              <w:spacing w:before="0" w:beforeAutospacing="0" w:after="0" w:afterAutospacing="0"/>
              <w:ind w:left="0" w:right="0"/>
              <w:rPr>
                <w:rFonts w:hint="default"/>
                <w:highlight w:val="none"/>
              </w:rPr>
            </w:pPr>
            <w:r>
              <w:rPr>
                <w:rFonts w:hint="default"/>
                <w:highlight w:val="none"/>
              </w:rPr>
              <w:t>6</w:t>
            </w:r>
          </w:p>
        </w:tc>
        <w:tc>
          <w:tcPr>
            <w:tcW w:w="1140" w:type="pct"/>
            <w:vAlign w:val="center"/>
          </w:tcPr>
          <w:p w14:paraId="2CD93156">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6#</w:t>
            </w:r>
            <w:r>
              <w:rPr>
                <w:rFonts w:hint="eastAsia"/>
                <w:highlight w:val="none"/>
                <w:lang w:val="en-US" w:eastAsia="zh-CN"/>
              </w:rPr>
              <w:t>上游监测点位</w:t>
            </w:r>
          </w:p>
        </w:tc>
        <w:tc>
          <w:tcPr>
            <w:tcW w:w="735" w:type="pct"/>
            <w:vAlign w:val="center"/>
          </w:tcPr>
          <w:p w14:paraId="7F9A0B2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水质、水位</w:t>
            </w:r>
          </w:p>
        </w:tc>
        <w:tc>
          <w:tcPr>
            <w:tcW w:w="313" w:type="pct"/>
            <w:vMerge w:val="continue"/>
            <w:vAlign w:val="center"/>
          </w:tcPr>
          <w:p w14:paraId="1DB4FE74">
            <w:pPr>
              <w:pStyle w:val="8"/>
              <w:suppressLineNumbers w:val="0"/>
              <w:bidi w:val="0"/>
              <w:spacing w:before="0" w:beforeAutospacing="0" w:after="0" w:afterAutospacing="0"/>
              <w:ind w:left="0" w:right="0"/>
              <w:rPr>
                <w:rFonts w:hint="default"/>
                <w:highlight w:val="none"/>
              </w:rPr>
            </w:pPr>
          </w:p>
        </w:tc>
        <w:tc>
          <w:tcPr>
            <w:tcW w:w="519" w:type="pct"/>
            <w:tcBorders>
              <w:right w:val="single" w:color="auto" w:sz="2" w:space="0"/>
            </w:tcBorders>
            <w:vAlign w:val="center"/>
          </w:tcPr>
          <w:p w14:paraId="627E58B5">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145.8</w:t>
            </w:r>
          </w:p>
        </w:tc>
        <w:tc>
          <w:tcPr>
            <w:tcW w:w="431" w:type="pct"/>
            <w:tcBorders>
              <w:left w:val="single" w:color="auto" w:sz="2" w:space="0"/>
            </w:tcBorders>
            <w:vAlign w:val="center"/>
          </w:tcPr>
          <w:p w14:paraId="6A112752">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20</w:t>
            </w:r>
          </w:p>
        </w:tc>
        <w:tc>
          <w:tcPr>
            <w:tcW w:w="1543" w:type="pct"/>
            <w:tcBorders>
              <w:left w:val="single" w:color="auto" w:sz="2" w:space="0"/>
            </w:tcBorders>
            <w:vAlign w:val="center"/>
          </w:tcPr>
          <w:p w14:paraId="32EE8A57">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工业水井</w:t>
            </w:r>
          </w:p>
        </w:tc>
      </w:tr>
      <w:tr w14:paraId="246FC6C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7" w:hRule="atLeast"/>
          <w:jc w:val="center"/>
        </w:trPr>
        <w:tc>
          <w:tcPr>
            <w:tcW w:w="315" w:type="pct"/>
            <w:vAlign w:val="center"/>
          </w:tcPr>
          <w:p w14:paraId="0F9AA473">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7</w:t>
            </w:r>
          </w:p>
        </w:tc>
        <w:tc>
          <w:tcPr>
            <w:tcW w:w="1140" w:type="pct"/>
            <w:vAlign w:val="center"/>
          </w:tcPr>
          <w:p w14:paraId="3367E2AE">
            <w:pPr>
              <w:pStyle w:val="8"/>
              <w:suppressLineNumbers w:val="0"/>
              <w:bidi w:val="0"/>
              <w:spacing w:before="0" w:beforeAutospacing="0" w:after="0" w:afterAutospacing="0"/>
              <w:ind w:left="0" w:right="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7#</w:t>
            </w:r>
            <w:r>
              <w:rPr>
                <w:rFonts w:hint="eastAsia" w:ascii="Times New Roman" w:hAnsi="Times New Roman" w:eastAsia="宋体" w:cs="Times New Roman"/>
                <w:highlight w:val="none"/>
                <w:lang w:val="en-US" w:eastAsia="zh-CN"/>
              </w:rPr>
              <w:t>下游监测点位</w:t>
            </w:r>
          </w:p>
        </w:tc>
        <w:tc>
          <w:tcPr>
            <w:tcW w:w="735" w:type="pct"/>
            <w:vAlign w:val="center"/>
          </w:tcPr>
          <w:p w14:paraId="111B777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水质、水位</w:t>
            </w:r>
          </w:p>
        </w:tc>
        <w:tc>
          <w:tcPr>
            <w:tcW w:w="313" w:type="pct"/>
            <w:vMerge w:val="continue"/>
            <w:vAlign w:val="center"/>
          </w:tcPr>
          <w:p w14:paraId="7A29EA46">
            <w:pPr>
              <w:pStyle w:val="8"/>
              <w:suppressLineNumbers w:val="0"/>
              <w:bidi w:val="0"/>
              <w:spacing w:before="0" w:beforeAutospacing="0" w:after="0" w:afterAutospacing="0"/>
              <w:ind w:left="0" w:right="0"/>
              <w:rPr>
                <w:rFonts w:hint="default"/>
                <w:highlight w:val="none"/>
              </w:rPr>
            </w:pPr>
          </w:p>
        </w:tc>
        <w:tc>
          <w:tcPr>
            <w:tcW w:w="519" w:type="pct"/>
            <w:tcBorders>
              <w:right w:val="single" w:color="auto" w:sz="2" w:space="0"/>
            </w:tcBorders>
            <w:vAlign w:val="center"/>
          </w:tcPr>
          <w:p w14:paraId="604E71A2">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143.6</w:t>
            </w:r>
          </w:p>
        </w:tc>
        <w:tc>
          <w:tcPr>
            <w:tcW w:w="431" w:type="pct"/>
            <w:tcBorders>
              <w:left w:val="single" w:color="auto" w:sz="2" w:space="0"/>
            </w:tcBorders>
            <w:vAlign w:val="center"/>
          </w:tcPr>
          <w:p w14:paraId="431D55E1">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20</w:t>
            </w:r>
          </w:p>
        </w:tc>
        <w:tc>
          <w:tcPr>
            <w:tcW w:w="1543" w:type="pct"/>
            <w:tcBorders>
              <w:left w:val="single" w:color="auto" w:sz="2" w:space="0"/>
            </w:tcBorders>
            <w:vAlign w:val="center"/>
          </w:tcPr>
          <w:p w14:paraId="30F23366">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监测孔</w:t>
            </w:r>
          </w:p>
        </w:tc>
      </w:tr>
      <w:tr w14:paraId="00DAAF2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7" w:hRule="atLeast"/>
          <w:jc w:val="center"/>
        </w:trPr>
        <w:tc>
          <w:tcPr>
            <w:tcW w:w="315" w:type="pct"/>
            <w:vAlign w:val="center"/>
          </w:tcPr>
          <w:p w14:paraId="7600240E">
            <w:pPr>
              <w:pStyle w:val="8"/>
              <w:suppressLineNumbers w:val="0"/>
              <w:bidi w:val="0"/>
              <w:spacing w:before="0" w:beforeAutospacing="0" w:after="0" w:afterAutospacing="0"/>
              <w:ind w:left="0" w:right="0"/>
              <w:rPr>
                <w:rFonts w:hint="eastAsia"/>
                <w:highlight w:val="none"/>
                <w:lang w:val="en-US" w:eastAsia="zh-CN"/>
              </w:rPr>
            </w:pPr>
            <w:r>
              <w:rPr>
                <w:rFonts w:hint="eastAsia"/>
                <w:highlight w:val="none"/>
                <w:lang w:val="en-US" w:eastAsia="zh-CN"/>
              </w:rPr>
              <w:t>8</w:t>
            </w:r>
          </w:p>
        </w:tc>
        <w:tc>
          <w:tcPr>
            <w:tcW w:w="1140" w:type="pct"/>
            <w:vAlign w:val="center"/>
          </w:tcPr>
          <w:p w14:paraId="4CEDF349">
            <w:pPr>
              <w:pStyle w:val="8"/>
              <w:suppressLineNumbers w:val="0"/>
              <w:bidi w:val="0"/>
              <w:spacing w:before="0" w:beforeAutospacing="0" w:after="0" w:afterAutospacing="0"/>
              <w:ind w:left="0" w:right="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8#</w:t>
            </w:r>
            <w:r>
              <w:rPr>
                <w:rFonts w:hint="eastAsia" w:cs="Times New Roman"/>
                <w:highlight w:val="none"/>
                <w:lang w:val="en-US" w:eastAsia="zh-CN"/>
              </w:rPr>
              <w:t>左侧</w:t>
            </w:r>
            <w:r>
              <w:rPr>
                <w:rFonts w:hint="eastAsia" w:ascii="Times New Roman" w:hAnsi="Times New Roman" w:eastAsia="宋体" w:cs="Times New Roman"/>
                <w:highlight w:val="none"/>
                <w:lang w:val="en-US" w:eastAsia="zh-CN"/>
              </w:rPr>
              <w:t>监测点位</w:t>
            </w:r>
          </w:p>
        </w:tc>
        <w:tc>
          <w:tcPr>
            <w:tcW w:w="735" w:type="pct"/>
            <w:vAlign w:val="center"/>
          </w:tcPr>
          <w:p w14:paraId="09CFC4AC">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水位</w:t>
            </w:r>
          </w:p>
        </w:tc>
        <w:tc>
          <w:tcPr>
            <w:tcW w:w="313" w:type="pct"/>
            <w:vMerge w:val="continue"/>
            <w:vAlign w:val="center"/>
          </w:tcPr>
          <w:p w14:paraId="4FF6434E">
            <w:pPr>
              <w:pStyle w:val="8"/>
              <w:suppressLineNumbers w:val="0"/>
              <w:bidi w:val="0"/>
              <w:spacing w:before="0" w:beforeAutospacing="0" w:after="0" w:afterAutospacing="0"/>
              <w:ind w:left="0" w:right="0"/>
              <w:rPr>
                <w:rFonts w:hint="default"/>
                <w:highlight w:val="none"/>
              </w:rPr>
            </w:pPr>
          </w:p>
        </w:tc>
        <w:tc>
          <w:tcPr>
            <w:tcW w:w="519" w:type="pct"/>
            <w:tcBorders>
              <w:right w:val="single" w:color="auto" w:sz="2" w:space="0"/>
            </w:tcBorders>
            <w:vAlign w:val="center"/>
          </w:tcPr>
          <w:p w14:paraId="624B9418">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146.5</w:t>
            </w:r>
          </w:p>
        </w:tc>
        <w:tc>
          <w:tcPr>
            <w:tcW w:w="431" w:type="pct"/>
            <w:tcBorders>
              <w:left w:val="single" w:color="auto" w:sz="2" w:space="0"/>
            </w:tcBorders>
            <w:vAlign w:val="center"/>
          </w:tcPr>
          <w:p w14:paraId="6761EFDF">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24</w:t>
            </w:r>
          </w:p>
        </w:tc>
        <w:tc>
          <w:tcPr>
            <w:tcW w:w="1543" w:type="pct"/>
            <w:tcBorders>
              <w:left w:val="single" w:color="auto" w:sz="2" w:space="0"/>
            </w:tcBorders>
            <w:vAlign w:val="center"/>
          </w:tcPr>
          <w:p w14:paraId="6E8C5B37">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监测孔</w:t>
            </w:r>
          </w:p>
        </w:tc>
      </w:tr>
      <w:tr w14:paraId="585E066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7" w:hRule="atLeast"/>
          <w:jc w:val="center"/>
        </w:trPr>
        <w:tc>
          <w:tcPr>
            <w:tcW w:w="315" w:type="pct"/>
            <w:vAlign w:val="center"/>
          </w:tcPr>
          <w:p w14:paraId="3AB9FB88">
            <w:pPr>
              <w:pStyle w:val="8"/>
              <w:suppressLineNumbers w:val="0"/>
              <w:bidi w:val="0"/>
              <w:spacing w:before="0" w:beforeAutospacing="0" w:after="0" w:afterAutospacing="0"/>
              <w:ind w:left="0" w:right="0"/>
              <w:rPr>
                <w:rFonts w:hint="eastAsia"/>
                <w:highlight w:val="none"/>
                <w:lang w:val="en-US" w:eastAsia="zh-CN"/>
              </w:rPr>
            </w:pPr>
            <w:r>
              <w:rPr>
                <w:rFonts w:hint="eastAsia"/>
                <w:highlight w:val="none"/>
                <w:lang w:val="en-US" w:eastAsia="zh-CN"/>
              </w:rPr>
              <w:t>9</w:t>
            </w:r>
          </w:p>
        </w:tc>
        <w:tc>
          <w:tcPr>
            <w:tcW w:w="1140" w:type="pct"/>
            <w:vAlign w:val="center"/>
          </w:tcPr>
          <w:p w14:paraId="05EDA8A1">
            <w:pPr>
              <w:pStyle w:val="8"/>
              <w:suppressLineNumbers w:val="0"/>
              <w:bidi w:val="0"/>
              <w:spacing w:before="0" w:beforeAutospacing="0" w:after="0" w:afterAutospacing="0"/>
              <w:ind w:left="0" w:right="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9#</w:t>
            </w:r>
            <w:r>
              <w:rPr>
                <w:rFonts w:hint="eastAsia" w:cs="Times New Roman"/>
                <w:highlight w:val="none"/>
                <w:lang w:val="en-US" w:eastAsia="zh-CN"/>
              </w:rPr>
              <w:t>下游</w:t>
            </w:r>
            <w:r>
              <w:rPr>
                <w:rFonts w:hint="eastAsia" w:ascii="Times New Roman" w:hAnsi="Times New Roman" w:eastAsia="宋体" w:cs="Times New Roman"/>
                <w:highlight w:val="none"/>
                <w:lang w:val="en-US" w:eastAsia="zh-CN"/>
              </w:rPr>
              <w:t>监测点位</w:t>
            </w:r>
          </w:p>
        </w:tc>
        <w:tc>
          <w:tcPr>
            <w:tcW w:w="735" w:type="pct"/>
            <w:vAlign w:val="center"/>
          </w:tcPr>
          <w:p w14:paraId="13EEE3AD">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水位</w:t>
            </w:r>
          </w:p>
        </w:tc>
        <w:tc>
          <w:tcPr>
            <w:tcW w:w="313" w:type="pct"/>
            <w:vMerge w:val="continue"/>
            <w:vAlign w:val="center"/>
          </w:tcPr>
          <w:p w14:paraId="717CDEC5">
            <w:pPr>
              <w:pStyle w:val="8"/>
              <w:suppressLineNumbers w:val="0"/>
              <w:bidi w:val="0"/>
              <w:spacing w:before="0" w:beforeAutospacing="0" w:after="0" w:afterAutospacing="0"/>
              <w:ind w:left="0" w:right="0"/>
              <w:rPr>
                <w:rFonts w:hint="default"/>
                <w:highlight w:val="none"/>
              </w:rPr>
            </w:pPr>
          </w:p>
        </w:tc>
        <w:tc>
          <w:tcPr>
            <w:tcW w:w="519" w:type="pct"/>
            <w:tcBorders>
              <w:right w:val="single" w:color="auto" w:sz="2" w:space="0"/>
            </w:tcBorders>
            <w:vAlign w:val="center"/>
          </w:tcPr>
          <w:p w14:paraId="20EBC7C6">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141.8</w:t>
            </w:r>
          </w:p>
        </w:tc>
        <w:tc>
          <w:tcPr>
            <w:tcW w:w="431" w:type="pct"/>
            <w:tcBorders>
              <w:left w:val="single" w:color="auto" w:sz="2" w:space="0"/>
            </w:tcBorders>
            <w:vAlign w:val="center"/>
          </w:tcPr>
          <w:p w14:paraId="38096A34">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24</w:t>
            </w:r>
          </w:p>
        </w:tc>
        <w:tc>
          <w:tcPr>
            <w:tcW w:w="1543" w:type="pct"/>
            <w:tcBorders>
              <w:left w:val="single" w:color="auto" w:sz="2" w:space="0"/>
            </w:tcBorders>
            <w:vAlign w:val="center"/>
          </w:tcPr>
          <w:p w14:paraId="48184484">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监测孔</w:t>
            </w:r>
          </w:p>
        </w:tc>
      </w:tr>
      <w:tr w14:paraId="5A6AFC2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7" w:hRule="atLeast"/>
          <w:jc w:val="center"/>
        </w:trPr>
        <w:tc>
          <w:tcPr>
            <w:tcW w:w="315" w:type="pct"/>
            <w:vAlign w:val="center"/>
          </w:tcPr>
          <w:p w14:paraId="4C6E61EE">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10</w:t>
            </w:r>
          </w:p>
        </w:tc>
        <w:tc>
          <w:tcPr>
            <w:tcW w:w="1140" w:type="pct"/>
            <w:vAlign w:val="center"/>
          </w:tcPr>
          <w:p w14:paraId="10C60A89">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10#</w:t>
            </w:r>
            <w:r>
              <w:rPr>
                <w:rFonts w:hint="eastAsia"/>
                <w:highlight w:val="none"/>
                <w:lang w:val="en-US" w:eastAsia="zh-CN"/>
              </w:rPr>
              <w:t>左侧监测点位</w:t>
            </w:r>
          </w:p>
        </w:tc>
        <w:tc>
          <w:tcPr>
            <w:tcW w:w="735" w:type="pct"/>
            <w:vAlign w:val="center"/>
          </w:tcPr>
          <w:p w14:paraId="1BEC35C5">
            <w:pPr>
              <w:pStyle w:val="8"/>
              <w:suppressLineNumbers w:val="0"/>
              <w:bidi w:val="0"/>
              <w:spacing w:before="0" w:beforeAutospacing="0" w:after="0" w:afterAutospacing="0"/>
              <w:ind w:left="0" w:leftChars="0" w:right="0" w:rightChars="0" w:firstLine="0" w:firstLineChars="0"/>
              <w:rPr>
                <w:rFonts w:hint="default"/>
                <w:highlight w:val="none"/>
              </w:rPr>
            </w:pPr>
            <w:r>
              <w:rPr>
                <w:rFonts w:hint="eastAsia" w:ascii="Times New Roman" w:hAnsi="Times New Roman" w:eastAsia="宋体" w:cs="Times New Roman"/>
                <w:highlight w:val="none"/>
                <w:lang w:val="en-US" w:eastAsia="zh-CN"/>
              </w:rPr>
              <w:t>水位</w:t>
            </w:r>
          </w:p>
        </w:tc>
        <w:tc>
          <w:tcPr>
            <w:tcW w:w="313" w:type="pct"/>
            <w:vMerge w:val="continue"/>
            <w:vAlign w:val="center"/>
          </w:tcPr>
          <w:p w14:paraId="6E414D1A">
            <w:pPr>
              <w:pStyle w:val="8"/>
              <w:suppressLineNumbers w:val="0"/>
              <w:bidi w:val="0"/>
              <w:spacing w:before="0" w:beforeAutospacing="0" w:after="0" w:afterAutospacing="0"/>
              <w:ind w:left="0" w:right="0"/>
              <w:rPr>
                <w:rFonts w:hint="default"/>
                <w:highlight w:val="none"/>
              </w:rPr>
            </w:pPr>
          </w:p>
        </w:tc>
        <w:tc>
          <w:tcPr>
            <w:tcW w:w="519" w:type="pct"/>
            <w:tcBorders>
              <w:right w:val="single" w:color="auto" w:sz="2" w:space="0"/>
            </w:tcBorders>
            <w:vAlign w:val="center"/>
          </w:tcPr>
          <w:p w14:paraId="78142B8B">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144.0</w:t>
            </w:r>
          </w:p>
        </w:tc>
        <w:tc>
          <w:tcPr>
            <w:tcW w:w="431" w:type="pct"/>
            <w:tcBorders>
              <w:left w:val="single" w:color="auto" w:sz="2" w:space="0"/>
            </w:tcBorders>
            <w:vAlign w:val="center"/>
          </w:tcPr>
          <w:p w14:paraId="1AF3D998">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20</w:t>
            </w:r>
          </w:p>
        </w:tc>
        <w:tc>
          <w:tcPr>
            <w:tcW w:w="1543" w:type="pct"/>
            <w:tcBorders>
              <w:left w:val="single" w:color="auto" w:sz="2" w:space="0"/>
            </w:tcBorders>
            <w:vAlign w:val="center"/>
          </w:tcPr>
          <w:p w14:paraId="24A72C82">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监测孔</w:t>
            </w:r>
          </w:p>
        </w:tc>
      </w:tr>
      <w:tr w14:paraId="769A680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7" w:hRule="atLeast"/>
          <w:jc w:val="center"/>
        </w:trPr>
        <w:tc>
          <w:tcPr>
            <w:tcW w:w="315" w:type="pct"/>
            <w:vAlign w:val="center"/>
          </w:tcPr>
          <w:p w14:paraId="7E2BE422">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11</w:t>
            </w:r>
          </w:p>
        </w:tc>
        <w:tc>
          <w:tcPr>
            <w:tcW w:w="1140" w:type="pct"/>
            <w:vAlign w:val="center"/>
          </w:tcPr>
          <w:p w14:paraId="261C700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000000"/>
                <w:kern w:val="0"/>
                <w:sz w:val="21"/>
                <w:szCs w:val="24"/>
                <w:highlight w:val="none"/>
                <w:lang w:val="en-US" w:eastAsia="zh-CN" w:bidi="ar-SA"/>
              </w:rPr>
            </w:pPr>
            <w:r>
              <w:rPr>
                <w:rFonts w:hint="default" w:ascii="Times New Roman" w:hAnsi="Times New Roman" w:eastAsia="宋体" w:cs="Times New Roman"/>
                <w:color w:val="000000"/>
                <w:kern w:val="0"/>
                <w:sz w:val="21"/>
                <w:szCs w:val="24"/>
                <w:highlight w:val="none"/>
                <w:lang w:val="en-US" w:eastAsia="zh-CN" w:bidi="ar-SA"/>
              </w:rPr>
              <w:t>1</w:t>
            </w:r>
            <w:r>
              <w:rPr>
                <w:rFonts w:hint="eastAsia" w:ascii="Times New Roman" w:hAnsi="Times New Roman" w:eastAsia="宋体" w:cs="Times New Roman"/>
                <w:color w:val="000000"/>
                <w:kern w:val="0"/>
                <w:sz w:val="21"/>
                <w:szCs w:val="24"/>
                <w:highlight w:val="none"/>
                <w:lang w:val="en-US" w:eastAsia="zh-CN" w:bidi="ar-SA"/>
              </w:rPr>
              <w:t>1</w:t>
            </w:r>
            <w:r>
              <w:rPr>
                <w:rFonts w:hint="default" w:ascii="Times New Roman" w:hAnsi="Times New Roman" w:eastAsia="宋体" w:cs="Times New Roman"/>
                <w:color w:val="000000"/>
                <w:kern w:val="0"/>
                <w:sz w:val="21"/>
                <w:szCs w:val="24"/>
                <w:highlight w:val="none"/>
                <w:lang w:val="en-US" w:eastAsia="zh-CN" w:bidi="ar-SA"/>
              </w:rPr>
              <w:t>#</w:t>
            </w:r>
            <w:r>
              <w:rPr>
                <w:rFonts w:hint="eastAsia" w:ascii="Times New Roman" w:hAnsi="Times New Roman" w:eastAsia="宋体" w:cs="Times New Roman"/>
                <w:color w:val="000000"/>
                <w:kern w:val="0"/>
                <w:sz w:val="21"/>
                <w:szCs w:val="24"/>
                <w:highlight w:val="none"/>
                <w:lang w:val="en-US" w:eastAsia="zh-CN" w:bidi="ar-SA"/>
              </w:rPr>
              <w:t>右侧监测点位</w:t>
            </w:r>
          </w:p>
        </w:tc>
        <w:tc>
          <w:tcPr>
            <w:tcW w:w="735" w:type="pct"/>
            <w:vAlign w:val="center"/>
          </w:tcPr>
          <w:p w14:paraId="75049BBA">
            <w:pPr>
              <w:pStyle w:val="8"/>
              <w:suppressLineNumbers w:val="0"/>
              <w:bidi w:val="0"/>
              <w:spacing w:before="0" w:beforeAutospacing="0" w:after="0" w:afterAutospacing="0"/>
              <w:ind w:left="0" w:leftChars="0" w:right="0" w:rightChars="0" w:firstLine="0" w:firstLineChars="0"/>
              <w:rPr>
                <w:rFonts w:hint="eastAsia"/>
                <w:highlight w:val="none"/>
                <w:lang w:val="en-US" w:eastAsia="zh-CN"/>
              </w:rPr>
            </w:pPr>
            <w:r>
              <w:rPr>
                <w:rFonts w:hint="eastAsia" w:ascii="Times New Roman" w:hAnsi="Times New Roman" w:eastAsia="宋体" w:cs="Times New Roman"/>
                <w:highlight w:val="none"/>
                <w:lang w:val="en-US" w:eastAsia="zh-CN"/>
              </w:rPr>
              <w:t>水位</w:t>
            </w:r>
          </w:p>
        </w:tc>
        <w:tc>
          <w:tcPr>
            <w:tcW w:w="313" w:type="pct"/>
            <w:vMerge w:val="continue"/>
            <w:vAlign w:val="center"/>
          </w:tcPr>
          <w:p w14:paraId="50F0E7F7">
            <w:pPr>
              <w:pStyle w:val="8"/>
              <w:suppressLineNumbers w:val="0"/>
              <w:bidi w:val="0"/>
              <w:spacing w:before="0" w:beforeAutospacing="0" w:after="0" w:afterAutospacing="0"/>
              <w:ind w:left="0" w:right="0"/>
              <w:rPr>
                <w:rFonts w:hint="default"/>
                <w:highlight w:val="none"/>
              </w:rPr>
            </w:pPr>
          </w:p>
        </w:tc>
        <w:tc>
          <w:tcPr>
            <w:tcW w:w="519" w:type="pct"/>
            <w:tcBorders>
              <w:right w:val="single" w:color="auto" w:sz="2" w:space="0"/>
            </w:tcBorders>
            <w:vAlign w:val="center"/>
          </w:tcPr>
          <w:p w14:paraId="50DA9660">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137.2</w:t>
            </w:r>
          </w:p>
        </w:tc>
        <w:tc>
          <w:tcPr>
            <w:tcW w:w="431" w:type="pct"/>
            <w:tcBorders>
              <w:left w:val="single" w:color="auto" w:sz="2" w:space="0"/>
            </w:tcBorders>
            <w:vAlign w:val="center"/>
          </w:tcPr>
          <w:p w14:paraId="02D93CE1">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18</w:t>
            </w:r>
          </w:p>
        </w:tc>
        <w:tc>
          <w:tcPr>
            <w:tcW w:w="1543" w:type="pct"/>
            <w:tcBorders>
              <w:left w:val="single" w:color="auto" w:sz="2" w:space="0"/>
            </w:tcBorders>
            <w:vAlign w:val="center"/>
          </w:tcPr>
          <w:p w14:paraId="789D2D90">
            <w:pPr>
              <w:pStyle w:val="8"/>
              <w:suppressLineNumbers w:val="0"/>
              <w:bidi w:val="0"/>
              <w:spacing w:before="0" w:beforeAutospacing="0" w:after="0" w:afterAutospacing="0"/>
              <w:ind w:left="0" w:right="0"/>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监测孔</w:t>
            </w:r>
          </w:p>
        </w:tc>
      </w:tr>
      <w:tr w14:paraId="19E48DC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7" w:hRule="atLeast"/>
          <w:jc w:val="center"/>
        </w:trPr>
        <w:tc>
          <w:tcPr>
            <w:tcW w:w="315" w:type="pct"/>
            <w:vAlign w:val="center"/>
          </w:tcPr>
          <w:p w14:paraId="24743F1B">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12</w:t>
            </w:r>
          </w:p>
        </w:tc>
        <w:tc>
          <w:tcPr>
            <w:tcW w:w="1140" w:type="pct"/>
            <w:vAlign w:val="center"/>
          </w:tcPr>
          <w:p w14:paraId="39A35F9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000000"/>
                <w:kern w:val="0"/>
                <w:sz w:val="21"/>
                <w:szCs w:val="24"/>
                <w:highlight w:val="none"/>
                <w:lang w:val="en-US" w:eastAsia="zh-CN" w:bidi="ar-SA"/>
              </w:rPr>
            </w:pPr>
            <w:r>
              <w:rPr>
                <w:rFonts w:hint="default" w:ascii="Times New Roman" w:hAnsi="Times New Roman" w:eastAsia="宋体" w:cs="Times New Roman"/>
                <w:color w:val="000000"/>
                <w:kern w:val="0"/>
                <w:sz w:val="21"/>
                <w:szCs w:val="24"/>
                <w:highlight w:val="none"/>
                <w:lang w:val="en-US" w:eastAsia="zh-CN" w:bidi="ar-SA"/>
              </w:rPr>
              <w:t>1</w:t>
            </w:r>
            <w:r>
              <w:rPr>
                <w:rFonts w:hint="eastAsia" w:ascii="Times New Roman" w:hAnsi="Times New Roman" w:eastAsia="宋体" w:cs="Times New Roman"/>
                <w:color w:val="000000"/>
                <w:kern w:val="0"/>
                <w:sz w:val="21"/>
                <w:szCs w:val="24"/>
                <w:highlight w:val="none"/>
                <w:lang w:val="en-US" w:eastAsia="zh-CN" w:bidi="ar-SA"/>
              </w:rPr>
              <w:t>2</w:t>
            </w:r>
            <w:r>
              <w:rPr>
                <w:rFonts w:hint="default" w:ascii="Times New Roman" w:hAnsi="Times New Roman" w:eastAsia="宋体" w:cs="Times New Roman"/>
                <w:color w:val="000000"/>
                <w:kern w:val="0"/>
                <w:sz w:val="21"/>
                <w:szCs w:val="24"/>
                <w:highlight w:val="none"/>
                <w:lang w:val="en-US" w:eastAsia="zh-CN" w:bidi="ar-SA"/>
              </w:rPr>
              <w:t>#</w:t>
            </w:r>
            <w:r>
              <w:rPr>
                <w:rFonts w:hint="eastAsia" w:ascii="Times New Roman" w:hAnsi="Times New Roman" w:eastAsia="宋体" w:cs="Times New Roman"/>
                <w:color w:val="000000"/>
                <w:kern w:val="0"/>
                <w:sz w:val="21"/>
                <w:szCs w:val="24"/>
                <w:highlight w:val="none"/>
                <w:lang w:val="en-US" w:eastAsia="zh-CN" w:bidi="ar-SA"/>
              </w:rPr>
              <w:t>左侧监测点位</w:t>
            </w:r>
          </w:p>
        </w:tc>
        <w:tc>
          <w:tcPr>
            <w:tcW w:w="735" w:type="pct"/>
            <w:vAlign w:val="center"/>
          </w:tcPr>
          <w:p w14:paraId="421BCAFC">
            <w:pPr>
              <w:pStyle w:val="8"/>
              <w:suppressLineNumbers w:val="0"/>
              <w:bidi w:val="0"/>
              <w:spacing w:before="0" w:beforeAutospacing="0" w:after="0" w:afterAutospacing="0"/>
              <w:ind w:left="0" w:leftChars="0" w:right="0" w:rightChars="0" w:firstLine="0" w:firstLineChars="0"/>
              <w:rPr>
                <w:rFonts w:hint="eastAsia"/>
                <w:highlight w:val="none"/>
                <w:lang w:val="en-US" w:eastAsia="zh-CN"/>
              </w:rPr>
            </w:pPr>
            <w:r>
              <w:rPr>
                <w:rFonts w:hint="eastAsia"/>
                <w:highlight w:val="none"/>
                <w:lang w:val="en-US" w:eastAsia="zh-CN"/>
              </w:rPr>
              <w:t>水位</w:t>
            </w:r>
          </w:p>
        </w:tc>
        <w:tc>
          <w:tcPr>
            <w:tcW w:w="313" w:type="pct"/>
            <w:vMerge w:val="continue"/>
            <w:vAlign w:val="center"/>
          </w:tcPr>
          <w:p w14:paraId="318EA003">
            <w:pPr>
              <w:pStyle w:val="8"/>
              <w:suppressLineNumbers w:val="0"/>
              <w:bidi w:val="0"/>
              <w:spacing w:before="0" w:beforeAutospacing="0" w:after="0" w:afterAutospacing="0"/>
              <w:ind w:left="0" w:right="0"/>
              <w:rPr>
                <w:rFonts w:hint="default"/>
                <w:highlight w:val="none"/>
              </w:rPr>
            </w:pPr>
          </w:p>
        </w:tc>
        <w:tc>
          <w:tcPr>
            <w:tcW w:w="519" w:type="pct"/>
            <w:tcBorders>
              <w:right w:val="single" w:color="auto" w:sz="2" w:space="0"/>
            </w:tcBorders>
            <w:vAlign w:val="center"/>
          </w:tcPr>
          <w:p w14:paraId="2A1F211C">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141.9</w:t>
            </w:r>
          </w:p>
        </w:tc>
        <w:tc>
          <w:tcPr>
            <w:tcW w:w="431" w:type="pct"/>
            <w:tcBorders>
              <w:left w:val="single" w:color="auto" w:sz="2" w:space="0"/>
            </w:tcBorders>
            <w:vAlign w:val="center"/>
          </w:tcPr>
          <w:p w14:paraId="6BBB62C3">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21</w:t>
            </w:r>
          </w:p>
        </w:tc>
        <w:tc>
          <w:tcPr>
            <w:tcW w:w="1543" w:type="pct"/>
            <w:tcBorders>
              <w:left w:val="single" w:color="auto" w:sz="2" w:space="0"/>
            </w:tcBorders>
            <w:vAlign w:val="center"/>
          </w:tcPr>
          <w:p w14:paraId="50F915DC">
            <w:pPr>
              <w:pStyle w:val="8"/>
              <w:suppressLineNumbers w:val="0"/>
              <w:bidi w:val="0"/>
              <w:spacing w:before="0" w:beforeAutospacing="0" w:after="0" w:afterAutospacing="0"/>
              <w:ind w:left="0" w:right="0"/>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监测孔</w:t>
            </w:r>
          </w:p>
        </w:tc>
      </w:tr>
      <w:tr w14:paraId="382B53D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7" w:hRule="atLeast"/>
          <w:jc w:val="center"/>
        </w:trPr>
        <w:tc>
          <w:tcPr>
            <w:tcW w:w="315" w:type="pct"/>
            <w:vAlign w:val="center"/>
          </w:tcPr>
          <w:p w14:paraId="76A9601C">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13</w:t>
            </w:r>
          </w:p>
        </w:tc>
        <w:tc>
          <w:tcPr>
            <w:tcW w:w="1140" w:type="pct"/>
            <w:vAlign w:val="center"/>
          </w:tcPr>
          <w:p w14:paraId="5EA4872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000000"/>
                <w:kern w:val="0"/>
                <w:sz w:val="21"/>
                <w:szCs w:val="24"/>
                <w:highlight w:val="none"/>
                <w:lang w:val="en-US" w:eastAsia="zh-CN" w:bidi="ar-SA"/>
              </w:rPr>
            </w:pPr>
            <w:r>
              <w:rPr>
                <w:rFonts w:hint="default" w:ascii="Times New Roman" w:hAnsi="Times New Roman" w:eastAsia="宋体" w:cs="Times New Roman"/>
                <w:color w:val="000000"/>
                <w:kern w:val="0"/>
                <w:sz w:val="21"/>
                <w:szCs w:val="24"/>
                <w:highlight w:val="none"/>
                <w:lang w:val="en-US" w:eastAsia="zh-CN" w:bidi="ar-SA"/>
              </w:rPr>
              <w:t>1</w:t>
            </w:r>
            <w:r>
              <w:rPr>
                <w:rFonts w:hint="eastAsia" w:ascii="Times New Roman" w:hAnsi="Times New Roman" w:eastAsia="宋体" w:cs="Times New Roman"/>
                <w:color w:val="000000"/>
                <w:kern w:val="0"/>
                <w:sz w:val="21"/>
                <w:szCs w:val="24"/>
                <w:highlight w:val="none"/>
                <w:lang w:val="en-US" w:eastAsia="zh-CN" w:bidi="ar-SA"/>
              </w:rPr>
              <w:t>3</w:t>
            </w:r>
            <w:r>
              <w:rPr>
                <w:rFonts w:hint="default" w:ascii="Times New Roman" w:hAnsi="Times New Roman" w:eastAsia="宋体" w:cs="Times New Roman"/>
                <w:color w:val="000000"/>
                <w:kern w:val="0"/>
                <w:sz w:val="21"/>
                <w:szCs w:val="24"/>
                <w:highlight w:val="none"/>
                <w:lang w:val="en-US" w:eastAsia="zh-CN" w:bidi="ar-SA"/>
              </w:rPr>
              <w:t>#</w:t>
            </w:r>
            <w:r>
              <w:rPr>
                <w:rFonts w:hint="eastAsia" w:ascii="Times New Roman" w:hAnsi="Times New Roman" w:eastAsia="宋体" w:cs="Times New Roman"/>
                <w:color w:val="000000"/>
                <w:kern w:val="0"/>
                <w:sz w:val="21"/>
                <w:szCs w:val="24"/>
                <w:highlight w:val="none"/>
                <w:lang w:val="en-US" w:eastAsia="zh-CN" w:bidi="ar-SA"/>
              </w:rPr>
              <w:t>下游监测点位</w:t>
            </w:r>
          </w:p>
        </w:tc>
        <w:tc>
          <w:tcPr>
            <w:tcW w:w="735" w:type="pct"/>
            <w:vAlign w:val="center"/>
          </w:tcPr>
          <w:p w14:paraId="2CDB2B96">
            <w:pPr>
              <w:pStyle w:val="8"/>
              <w:suppressLineNumbers w:val="0"/>
              <w:bidi w:val="0"/>
              <w:spacing w:before="0" w:beforeAutospacing="0" w:after="0" w:afterAutospacing="0"/>
              <w:ind w:left="0" w:leftChars="0" w:right="0" w:rightChars="0" w:firstLine="0" w:firstLineChars="0"/>
              <w:rPr>
                <w:rFonts w:hint="eastAsia"/>
                <w:highlight w:val="none"/>
                <w:lang w:val="en-US" w:eastAsia="zh-CN"/>
              </w:rPr>
            </w:pPr>
            <w:r>
              <w:rPr>
                <w:rFonts w:hint="eastAsia" w:ascii="Times New Roman" w:hAnsi="Times New Roman" w:eastAsia="宋体" w:cs="Times New Roman"/>
                <w:highlight w:val="none"/>
                <w:lang w:val="en-US" w:eastAsia="zh-CN"/>
              </w:rPr>
              <w:t>水位</w:t>
            </w:r>
          </w:p>
        </w:tc>
        <w:tc>
          <w:tcPr>
            <w:tcW w:w="313" w:type="pct"/>
            <w:vMerge w:val="continue"/>
            <w:vAlign w:val="center"/>
          </w:tcPr>
          <w:p w14:paraId="091B64F0">
            <w:pPr>
              <w:pStyle w:val="8"/>
              <w:suppressLineNumbers w:val="0"/>
              <w:bidi w:val="0"/>
              <w:spacing w:before="0" w:beforeAutospacing="0" w:after="0" w:afterAutospacing="0"/>
              <w:ind w:left="0" w:right="0"/>
              <w:rPr>
                <w:rFonts w:hint="default"/>
                <w:highlight w:val="none"/>
              </w:rPr>
            </w:pPr>
          </w:p>
        </w:tc>
        <w:tc>
          <w:tcPr>
            <w:tcW w:w="519" w:type="pct"/>
            <w:tcBorders>
              <w:right w:val="single" w:color="auto" w:sz="2" w:space="0"/>
            </w:tcBorders>
            <w:vAlign w:val="center"/>
          </w:tcPr>
          <w:p w14:paraId="314E9A3E">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140.2</w:t>
            </w:r>
          </w:p>
        </w:tc>
        <w:tc>
          <w:tcPr>
            <w:tcW w:w="431" w:type="pct"/>
            <w:tcBorders>
              <w:left w:val="single" w:color="auto" w:sz="2" w:space="0"/>
            </w:tcBorders>
            <w:vAlign w:val="center"/>
          </w:tcPr>
          <w:p w14:paraId="4FC51132">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17</w:t>
            </w:r>
          </w:p>
        </w:tc>
        <w:tc>
          <w:tcPr>
            <w:tcW w:w="1543" w:type="pct"/>
            <w:tcBorders>
              <w:left w:val="single" w:color="auto" w:sz="2" w:space="0"/>
            </w:tcBorders>
            <w:vAlign w:val="center"/>
          </w:tcPr>
          <w:p w14:paraId="084C7442">
            <w:pPr>
              <w:pStyle w:val="8"/>
              <w:suppressLineNumbers w:val="0"/>
              <w:bidi w:val="0"/>
              <w:spacing w:before="0" w:beforeAutospacing="0" w:after="0" w:afterAutospacing="0"/>
              <w:ind w:left="0" w:right="0"/>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监测孔</w:t>
            </w:r>
          </w:p>
        </w:tc>
      </w:tr>
      <w:tr w14:paraId="3A6EE3C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7" w:hRule="atLeast"/>
          <w:jc w:val="center"/>
        </w:trPr>
        <w:tc>
          <w:tcPr>
            <w:tcW w:w="315" w:type="pct"/>
            <w:vAlign w:val="center"/>
          </w:tcPr>
          <w:p w14:paraId="5DABC2C5">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14</w:t>
            </w:r>
          </w:p>
        </w:tc>
        <w:tc>
          <w:tcPr>
            <w:tcW w:w="1140" w:type="pct"/>
            <w:vAlign w:val="center"/>
          </w:tcPr>
          <w:p w14:paraId="7742C7C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color w:val="000000"/>
                <w:kern w:val="0"/>
                <w:sz w:val="21"/>
                <w:szCs w:val="24"/>
                <w:highlight w:val="none"/>
                <w:lang w:val="en-US" w:eastAsia="zh-CN" w:bidi="ar-SA"/>
              </w:rPr>
            </w:pPr>
            <w:r>
              <w:rPr>
                <w:rFonts w:hint="default" w:ascii="Times New Roman" w:hAnsi="Times New Roman" w:eastAsia="宋体" w:cs="Times New Roman"/>
                <w:color w:val="000000"/>
                <w:kern w:val="0"/>
                <w:sz w:val="21"/>
                <w:szCs w:val="24"/>
                <w:highlight w:val="none"/>
                <w:lang w:val="en-US" w:eastAsia="zh-CN" w:bidi="ar-SA"/>
              </w:rPr>
              <w:t>1</w:t>
            </w:r>
            <w:r>
              <w:rPr>
                <w:rFonts w:hint="eastAsia" w:ascii="Times New Roman" w:hAnsi="Times New Roman" w:eastAsia="宋体" w:cs="Times New Roman"/>
                <w:color w:val="000000"/>
                <w:kern w:val="0"/>
                <w:sz w:val="21"/>
                <w:szCs w:val="24"/>
                <w:highlight w:val="none"/>
                <w:lang w:val="en-US" w:eastAsia="zh-CN" w:bidi="ar-SA"/>
              </w:rPr>
              <w:t>4</w:t>
            </w:r>
            <w:r>
              <w:rPr>
                <w:rFonts w:hint="default" w:ascii="Times New Roman" w:hAnsi="Times New Roman" w:eastAsia="宋体" w:cs="Times New Roman"/>
                <w:color w:val="000000"/>
                <w:kern w:val="0"/>
                <w:sz w:val="21"/>
                <w:szCs w:val="24"/>
                <w:highlight w:val="none"/>
                <w:lang w:val="en-US" w:eastAsia="zh-CN" w:bidi="ar-SA"/>
              </w:rPr>
              <w:t>#</w:t>
            </w:r>
            <w:r>
              <w:rPr>
                <w:rFonts w:hint="eastAsia" w:ascii="Times New Roman" w:hAnsi="Times New Roman" w:eastAsia="宋体" w:cs="Times New Roman"/>
                <w:color w:val="000000"/>
                <w:kern w:val="0"/>
                <w:sz w:val="21"/>
                <w:szCs w:val="24"/>
                <w:highlight w:val="none"/>
                <w:lang w:val="en-US" w:eastAsia="zh-CN" w:bidi="ar-SA"/>
              </w:rPr>
              <w:t>下游监测点位</w:t>
            </w:r>
          </w:p>
        </w:tc>
        <w:tc>
          <w:tcPr>
            <w:tcW w:w="735" w:type="pct"/>
            <w:vAlign w:val="center"/>
          </w:tcPr>
          <w:p w14:paraId="0E95FC7F">
            <w:pPr>
              <w:pStyle w:val="8"/>
              <w:suppressLineNumbers w:val="0"/>
              <w:bidi w:val="0"/>
              <w:spacing w:before="0" w:beforeAutospacing="0" w:after="0" w:afterAutospacing="0"/>
              <w:ind w:left="0" w:leftChars="0" w:right="0" w:rightChars="0" w:firstLine="0" w:firstLineChars="0"/>
              <w:rPr>
                <w:rFonts w:hint="eastAsia"/>
                <w:highlight w:val="none"/>
                <w:lang w:val="en-US" w:eastAsia="zh-CN"/>
              </w:rPr>
            </w:pPr>
            <w:r>
              <w:rPr>
                <w:rFonts w:hint="eastAsia" w:ascii="Times New Roman" w:hAnsi="Times New Roman" w:eastAsia="宋体" w:cs="Times New Roman"/>
                <w:highlight w:val="none"/>
                <w:lang w:val="en-US" w:eastAsia="zh-CN"/>
              </w:rPr>
              <w:t>水位</w:t>
            </w:r>
          </w:p>
        </w:tc>
        <w:tc>
          <w:tcPr>
            <w:tcW w:w="313" w:type="pct"/>
            <w:vMerge w:val="continue"/>
            <w:vAlign w:val="center"/>
          </w:tcPr>
          <w:p w14:paraId="3F01BCAC">
            <w:pPr>
              <w:pStyle w:val="8"/>
              <w:suppressLineNumbers w:val="0"/>
              <w:bidi w:val="0"/>
              <w:spacing w:before="0" w:beforeAutospacing="0" w:after="0" w:afterAutospacing="0"/>
              <w:ind w:left="0" w:right="0"/>
              <w:rPr>
                <w:rFonts w:hint="default"/>
                <w:highlight w:val="none"/>
              </w:rPr>
            </w:pPr>
          </w:p>
        </w:tc>
        <w:tc>
          <w:tcPr>
            <w:tcW w:w="519" w:type="pct"/>
            <w:tcBorders>
              <w:right w:val="single" w:color="auto" w:sz="2" w:space="0"/>
            </w:tcBorders>
            <w:vAlign w:val="center"/>
          </w:tcPr>
          <w:p w14:paraId="298213D4">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142.1</w:t>
            </w:r>
          </w:p>
        </w:tc>
        <w:tc>
          <w:tcPr>
            <w:tcW w:w="431" w:type="pct"/>
            <w:tcBorders>
              <w:left w:val="single" w:color="auto" w:sz="2" w:space="0"/>
            </w:tcBorders>
            <w:vAlign w:val="center"/>
          </w:tcPr>
          <w:p w14:paraId="26421CDF">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20</w:t>
            </w:r>
          </w:p>
        </w:tc>
        <w:tc>
          <w:tcPr>
            <w:tcW w:w="1543" w:type="pct"/>
            <w:tcBorders>
              <w:left w:val="single" w:color="auto" w:sz="2" w:space="0"/>
            </w:tcBorders>
            <w:vAlign w:val="center"/>
          </w:tcPr>
          <w:p w14:paraId="6DB87A5E">
            <w:pPr>
              <w:pStyle w:val="8"/>
              <w:suppressLineNumbers w:val="0"/>
              <w:bidi w:val="0"/>
              <w:spacing w:before="0" w:beforeAutospacing="0" w:after="0" w:afterAutospacing="0"/>
              <w:ind w:left="0" w:right="0"/>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监测孔</w:t>
            </w:r>
          </w:p>
        </w:tc>
      </w:tr>
    </w:tbl>
    <w:p w14:paraId="44D0F319">
      <w:pPr>
        <w:keepNext w:val="0"/>
        <w:keepLines w:val="0"/>
        <w:pageBreakBefore w:val="0"/>
        <w:widowControl w:val="0"/>
        <w:kinsoku/>
        <w:wordWrap w:val="0"/>
        <w:overflowPunct/>
        <w:topLinePunct w:val="0"/>
        <w:autoSpaceDE/>
        <w:autoSpaceDN/>
        <w:bidi w:val="0"/>
        <w:adjustRightInd w:val="0"/>
        <w:snapToGrid w:val="0"/>
        <w:spacing w:line="240" w:lineRule="auto"/>
        <w:ind w:firstLine="0" w:firstLineChars="0"/>
        <w:jc w:val="center"/>
        <w:textAlignment w:val="auto"/>
        <w:rPr>
          <w:rFonts w:eastAsiaTheme="minorEastAsia"/>
          <w:b/>
          <w:kern w:val="0"/>
          <w:sz w:val="24"/>
          <w:highlight w:val="none"/>
        </w:rPr>
      </w:pPr>
      <w:r>
        <w:rPr>
          <w:rFonts w:ascii="Times New Roman" w:hAnsi="Times New Roman" w:cs="Times New Roman"/>
          <w:sz w:val="24"/>
          <w:szCs w:val="18"/>
          <w:highlight w:val="none"/>
        </w:rPr>
        <w:drawing>
          <wp:inline distT="0" distB="0" distL="114300" distR="114300">
            <wp:extent cx="4953635" cy="2962910"/>
            <wp:effectExtent l="9525" t="9525" r="27940" b="18415"/>
            <wp:docPr id="17" name="图片 17" descr="ML{BJWBJ~R(SZMVQ8O[@PO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ML{BJWBJ~R(SZMVQ8O[@PO4"/>
                    <pic:cNvPicPr>
                      <a:picLocks noChangeAspect="1"/>
                    </pic:cNvPicPr>
                  </pic:nvPicPr>
                  <pic:blipFill>
                    <a:blip r:embed="rId66"/>
                    <a:stretch>
                      <a:fillRect/>
                    </a:stretch>
                  </pic:blipFill>
                  <pic:spPr>
                    <a:xfrm>
                      <a:off x="0" y="0"/>
                      <a:ext cx="4953635" cy="2962910"/>
                    </a:xfrm>
                    <a:prstGeom prst="rect">
                      <a:avLst/>
                    </a:prstGeom>
                    <a:noFill/>
                    <a:ln>
                      <a:solidFill>
                        <a:schemeClr val="tx1"/>
                      </a:solidFill>
                    </a:ln>
                  </pic:spPr>
                </pic:pic>
              </a:graphicData>
            </a:graphic>
          </wp:inline>
        </w:drawing>
      </w:r>
    </w:p>
    <w:p w14:paraId="25274B0A">
      <w:pPr>
        <w:pStyle w:val="7"/>
        <w:bidi w:val="0"/>
        <w:rPr>
          <w:highlight w:val="none"/>
        </w:rPr>
      </w:pPr>
      <w:r>
        <w:rPr>
          <w:highlight w:val="none"/>
        </w:rPr>
        <w:t>图4-2-</w:t>
      </w:r>
      <w:r>
        <w:rPr>
          <w:rFonts w:hint="eastAsia"/>
          <w:highlight w:val="none"/>
          <w:lang w:val="en-US" w:eastAsia="zh-CN"/>
        </w:rPr>
        <w:t>2</w:t>
      </w:r>
      <w:r>
        <w:rPr>
          <w:highlight w:val="none"/>
        </w:rPr>
        <w:t>地下水监测点位</w:t>
      </w:r>
    </w:p>
    <w:p w14:paraId="20B1DE23">
      <w:pPr>
        <w:bidi w:val="0"/>
        <w:rPr>
          <w:highlight w:val="none"/>
        </w:rPr>
      </w:pPr>
      <w:bookmarkStart w:id="342" w:name="_Toc24506"/>
      <w:r>
        <w:rPr>
          <w:highlight w:val="none"/>
        </w:rPr>
        <w:t>3、评价标准</w:t>
      </w:r>
      <w:bookmarkEnd w:id="342"/>
    </w:p>
    <w:p w14:paraId="44B1A9CB">
      <w:pPr>
        <w:bidi w:val="0"/>
        <w:rPr>
          <w:highlight w:val="none"/>
        </w:rPr>
      </w:pPr>
      <w:r>
        <w:rPr>
          <w:highlight w:val="none"/>
        </w:rPr>
        <w:t>根据评价区地下水水质状况和使用功能，地下水评价执行《地下水质量标准》</w:t>
      </w:r>
      <w:r>
        <w:rPr>
          <w:rFonts w:hint="eastAsia"/>
          <w:highlight w:val="none"/>
          <w:lang w:eastAsia="zh-CN"/>
        </w:rPr>
        <w:t>（</w:t>
      </w:r>
      <w:r>
        <w:rPr>
          <w:highlight w:val="none"/>
        </w:rPr>
        <w:t>GB/T14848-2017</w:t>
      </w:r>
      <w:r>
        <w:rPr>
          <w:rFonts w:hint="eastAsia"/>
          <w:highlight w:val="none"/>
          <w:lang w:eastAsia="zh-CN"/>
        </w:rPr>
        <w:t>）</w:t>
      </w:r>
      <w:r>
        <w:rPr>
          <w:highlight w:val="none"/>
        </w:rPr>
        <w:t>Ⅲ类标准；石油类执行标准参照《地表水环境质量标准》（GB3838-2002）Ⅲ类标准要求。</w:t>
      </w:r>
    </w:p>
    <w:p w14:paraId="10A250C2">
      <w:pPr>
        <w:bidi w:val="0"/>
        <w:rPr>
          <w:highlight w:val="none"/>
        </w:rPr>
      </w:pPr>
      <w:bookmarkStart w:id="343" w:name="_Toc16772"/>
      <w:r>
        <w:rPr>
          <w:highlight w:val="none"/>
        </w:rPr>
        <w:t>4、监测结果与评价</w:t>
      </w:r>
      <w:bookmarkEnd w:id="343"/>
    </w:p>
    <w:p w14:paraId="68FEDD59">
      <w:pPr>
        <w:bidi w:val="0"/>
        <w:rPr>
          <w:highlight w:val="none"/>
        </w:rPr>
      </w:pPr>
      <w:r>
        <w:rPr>
          <w:highlight w:val="none"/>
        </w:rPr>
        <w:t>地下水监测结果见</w:t>
      </w:r>
      <w:r>
        <w:rPr>
          <w:rFonts w:hint="eastAsia"/>
          <w:highlight w:val="none"/>
          <w:lang w:val="en-US" w:eastAsia="zh-CN"/>
        </w:rPr>
        <w:t>下表</w:t>
      </w:r>
      <w:r>
        <w:rPr>
          <w:highlight w:val="none"/>
        </w:rPr>
        <w:t>。</w:t>
      </w:r>
    </w:p>
    <w:p w14:paraId="280842EC">
      <w:pPr>
        <w:pStyle w:val="7"/>
        <w:bidi w:val="0"/>
        <w:rPr>
          <w:highlight w:val="none"/>
        </w:rPr>
      </w:pPr>
      <w:r>
        <w:rPr>
          <w:highlight w:val="none"/>
        </w:rPr>
        <w:t>表4-2-</w:t>
      </w:r>
      <w:r>
        <w:rPr>
          <w:rFonts w:hint="eastAsia"/>
          <w:highlight w:val="none"/>
          <w:lang w:val="en-US" w:eastAsia="zh-CN"/>
        </w:rPr>
        <w:t>5</w:t>
      </w:r>
      <w:r>
        <w:rPr>
          <w:highlight w:val="none"/>
        </w:rPr>
        <w:t>地下水监测结果表单位：mg/L</w:t>
      </w:r>
    </w:p>
    <w:tbl>
      <w:tblPr>
        <w:tblStyle w:val="45"/>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855"/>
        <w:gridCol w:w="1107"/>
        <w:gridCol w:w="791"/>
        <w:gridCol w:w="844"/>
        <w:gridCol w:w="874"/>
        <w:gridCol w:w="864"/>
        <w:gridCol w:w="865"/>
        <w:gridCol w:w="794"/>
        <w:gridCol w:w="791"/>
        <w:gridCol w:w="737"/>
      </w:tblGrid>
      <w:tr w14:paraId="20D241D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079" w:type="dxa"/>
            <w:vMerge w:val="restart"/>
            <w:noWrap w:val="0"/>
            <w:vAlign w:val="center"/>
          </w:tcPr>
          <w:p w14:paraId="5C3623C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宋体" w:eastAsia="宋体" w:cs="Times New Roman"/>
                <w:b/>
                <w:bCs/>
                <w:sz w:val="21"/>
                <w:szCs w:val="21"/>
                <w:highlight w:val="none"/>
              </w:rPr>
            </w:pPr>
            <w:r>
              <w:rPr>
                <w:rFonts w:hint="default" w:ascii="Times New Roman" w:hAnsi="宋体" w:eastAsia="宋体" w:cs="Times New Roman"/>
                <w:b/>
                <w:bCs/>
                <w:sz w:val="21"/>
                <w:szCs w:val="21"/>
                <w:highlight w:val="none"/>
              </w:rPr>
              <w:t>检测</w:t>
            </w:r>
          </w:p>
          <w:p w14:paraId="57C8C68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default" w:ascii="Times New Roman" w:hAnsi="宋体" w:eastAsia="宋体" w:cs="Times New Roman"/>
                <w:b/>
                <w:bCs/>
                <w:sz w:val="21"/>
                <w:szCs w:val="21"/>
                <w:highlight w:val="none"/>
              </w:rPr>
              <w:t>项目</w:t>
            </w:r>
          </w:p>
        </w:tc>
        <w:tc>
          <w:tcPr>
            <w:tcW w:w="1418" w:type="dxa"/>
            <w:tcBorders>
              <w:bottom w:val="single" w:color="auto" w:sz="4" w:space="0"/>
            </w:tcBorders>
            <w:noWrap w:val="0"/>
            <w:vAlign w:val="center"/>
          </w:tcPr>
          <w:p w14:paraId="316A7931">
            <w:pPr>
              <w:keepNext w:val="0"/>
              <w:keepLines w:val="0"/>
              <w:widowControl/>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default" w:ascii="Times New Roman" w:hAnsi="宋体" w:eastAsia="宋体" w:cs="Times New Roman"/>
                <w:b/>
                <w:bCs/>
                <w:sz w:val="21"/>
                <w:szCs w:val="21"/>
                <w:highlight w:val="none"/>
              </w:rPr>
              <w:t>采样</w:t>
            </w:r>
            <w:r>
              <w:rPr>
                <w:rFonts w:hint="eastAsia" w:ascii="Times New Roman" w:hAnsi="宋体" w:eastAsia="宋体" w:cs="Times New Roman"/>
                <w:b/>
                <w:bCs/>
                <w:sz w:val="21"/>
                <w:szCs w:val="21"/>
                <w:highlight w:val="none"/>
              </w:rPr>
              <w:t>时间</w:t>
            </w:r>
          </w:p>
        </w:tc>
        <w:tc>
          <w:tcPr>
            <w:tcW w:w="7326" w:type="dxa"/>
            <w:gridSpan w:val="7"/>
            <w:tcBorders>
              <w:bottom w:val="single" w:color="auto" w:sz="4" w:space="0"/>
            </w:tcBorders>
            <w:noWrap w:val="0"/>
            <w:vAlign w:val="center"/>
          </w:tcPr>
          <w:p w14:paraId="15FAEB8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2025.09.19</w:t>
            </w:r>
          </w:p>
        </w:tc>
        <w:tc>
          <w:tcPr>
            <w:tcW w:w="918" w:type="dxa"/>
            <w:vMerge w:val="restart"/>
            <w:noWrap w:val="0"/>
            <w:vAlign w:val="center"/>
          </w:tcPr>
          <w:p w14:paraId="23A183F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标准</w:t>
            </w:r>
          </w:p>
          <w:p w14:paraId="5D436F3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限值</w:t>
            </w:r>
          </w:p>
        </w:tc>
      </w:tr>
      <w:tr w14:paraId="4DEB39E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079" w:type="dxa"/>
            <w:vMerge w:val="continue"/>
            <w:noWrap w:val="0"/>
            <w:vAlign w:val="center"/>
          </w:tcPr>
          <w:p w14:paraId="39902E9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p>
        </w:tc>
        <w:tc>
          <w:tcPr>
            <w:tcW w:w="1418" w:type="dxa"/>
            <w:tcBorders>
              <w:top w:val="single" w:color="auto" w:sz="4" w:space="0"/>
              <w:bottom w:val="single" w:color="auto" w:sz="4" w:space="0"/>
            </w:tcBorders>
            <w:noWrap w:val="0"/>
            <w:vAlign w:val="center"/>
          </w:tcPr>
          <w:p w14:paraId="27F68472">
            <w:pPr>
              <w:keepNext w:val="0"/>
              <w:keepLines w:val="0"/>
              <w:widowControl/>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default" w:ascii="Times New Roman" w:hAnsi="宋体" w:eastAsia="宋体" w:cs="Times New Roman"/>
                <w:b/>
                <w:bCs/>
                <w:sz w:val="21"/>
                <w:szCs w:val="21"/>
                <w:highlight w:val="none"/>
              </w:rPr>
              <w:t>采样点位</w:t>
            </w:r>
          </w:p>
        </w:tc>
        <w:tc>
          <w:tcPr>
            <w:tcW w:w="992" w:type="dxa"/>
            <w:tcBorders>
              <w:top w:val="single" w:color="auto" w:sz="4" w:space="0"/>
              <w:bottom w:val="single" w:color="auto" w:sz="4" w:space="0"/>
            </w:tcBorders>
            <w:noWrap w:val="0"/>
            <w:vAlign w:val="center"/>
          </w:tcPr>
          <w:p w14:paraId="561879D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宋体" w:hAnsi="宋体" w:eastAsia="宋体" w:cs="Calibri"/>
                <w:sz w:val="21"/>
                <w:szCs w:val="21"/>
                <w:highlight w:val="none"/>
              </w:rPr>
            </w:pPr>
            <w:r>
              <w:rPr>
                <w:rFonts w:hint="eastAsia" w:ascii="Times New Roman" w:hAnsi="Perpetua" w:eastAsia="宋体" w:cs="Times New Roman"/>
                <w:sz w:val="21"/>
                <w:szCs w:val="21"/>
                <w:highlight w:val="none"/>
              </w:rPr>
              <w:t>厂址内</w:t>
            </w:r>
          </w:p>
          <w:p w14:paraId="0916702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宋体" w:hAnsi="宋体" w:eastAsia="宋体" w:cs="Calibri"/>
                <w:sz w:val="21"/>
                <w:szCs w:val="21"/>
                <w:highlight w:val="none"/>
              </w:rPr>
              <w:t>☆</w:t>
            </w:r>
            <w:r>
              <w:rPr>
                <w:rFonts w:hint="eastAsia" w:ascii="Times New Roman" w:hAnsi="Times New Roman" w:eastAsia="宋体" w:cs="Times New Roman"/>
                <w:color w:val="000000"/>
                <w:sz w:val="21"/>
                <w:szCs w:val="21"/>
                <w:highlight w:val="none"/>
              </w:rPr>
              <w:t>1</w:t>
            </w:r>
          </w:p>
        </w:tc>
        <w:tc>
          <w:tcPr>
            <w:tcW w:w="1063" w:type="dxa"/>
            <w:noWrap w:val="0"/>
            <w:vAlign w:val="center"/>
          </w:tcPr>
          <w:p w14:paraId="58D80AE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z w:val="21"/>
                <w:szCs w:val="21"/>
                <w:highlight w:val="none"/>
              </w:rPr>
            </w:pPr>
            <w:r>
              <w:rPr>
                <w:rFonts w:hint="eastAsia" w:ascii="Times New Roman" w:hAnsi="Perpetua" w:eastAsia="宋体" w:cs="Times New Roman"/>
                <w:sz w:val="21"/>
                <w:szCs w:val="21"/>
                <w:highlight w:val="none"/>
              </w:rPr>
              <w:t>厂址下游</w:t>
            </w:r>
            <w:r>
              <w:rPr>
                <w:rFonts w:hint="default" w:ascii="Times New Roman" w:hAnsi="宋体" w:eastAsia="宋体" w:cs="Times New Roman"/>
                <w:sz w:val="21"/>
                <w:szCs w:val="21"/>
                <w:highlight w:val="none"/>
              </w:rPr>
              <w:t>☆</w:t>
            </w:r>
            <w:r>
              <w:rPr>
                <w:rFonts w:hint="default" w:ascii="Times New Roman" w:hAnsi="Times New Roman" w:eastAsia="宋体" w:cs="Times New Roman"/>
                <w:sz w:val="21"/>
                <w:szCs w:val="21"/>
                <w:highlight w:val="none"/>
              </w:rPr>
              <w:t>2</w:t>
            </w:r>
          </w:p>
        </w:tc>
        <w:tc>
          <w:tcPr>
            <w:tcW w:w="1103" w:type="dxa"/>
            <w:noWrap w:val="0"/>
            <w:vAlign w:val="center"/>
          </w:tcPr>
          <w:p w14:paraId="776AA6E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Perpetua" w:eastAsia="宋体" w:cs="Times New Roman"/>
                <w:sz w:val="21"/>
                <w:szCs w:val="21"/>
                <w:highlight w:val="none"/>
              </w:rPr>
              <w:t>厂址侧向</w:t>
            </w:r>
            <w:r>
              <w:rPr>
                <w:rFonts w:hint="default" w:ascii="Times New Roman" w:hAnsi="宋体" w:eastAsia="宋体" w:cs="Times New Roman"/>
                <w:sz w:val="21"/>
                <w:szCs w:val="21"/>
                <w:highlight w:val="none"/>
              </w:rPr>
              <w:t>☆</w:t>
            </w:r>
            <w:r>
              <w:rPr>
                <w:rFonts w:hint="default" w:ascii="Times New Roman" w:hAnsi="Times New Roman" w:eastAsia="宋体" w:cs="Times New Roman"/>
                <w:sz w:val="21"/>
                <w:szCs w:val="21"/>
                <w:highlight w:val="none"/>
              </w:rPr>
              <w:t>3</w:t>
            </w:r>
          </w:p>
        </w:tc>
        <w:tc>
          <w:tcPr>
            <w:tcW w:w="1090" w:type="dxa"/>
            <w:noWrap w:val="0"/>
            <w:vAlign w:val="center"/>
          </w:tcPr>
          <w:p w14:paraId="18FE9BF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Perpetua" w:eastAsia="宋体" w:cs="Times New Roman"/>
                <w:sz w:val="21"/>
                <w:szCs w:val="21"/>
                <w:highlight w:val="none"/>
              </w:rPr>
              <w:t>厂址上游</w:t>
            </w:r>
            <w:r>
              <w:rPr>
                <w:rFonts w:hint="default" w:ascii="Times New Roman" w:hAnsi="宋体" w:eastAsia="宋体" w:cs="Times New Roman"/>
                <w:sz w:val="21"/>
                <w:szCs w:val="21"/>
                <w:highlight w:val="none"/>
              </w:rPr>
              <w:t>☆</w:t>
            </w:r>
            <w:r>
              <w:rPr>
                <w:rFonts w:hint="default" w:ascii="Times New Roman" w:hAnsi="Times New Roman" w:eastAsia="宋体" w:cs="Times New Roman"/>
                <w:sz w:val="21"/>
                <w:szCs w:val="21"/>
                <w:highlight w:val="none"/>
              </w:rPr>
              <w:t>4</w:t>
            </w:r>
          </w:p>
        </w:tc>
        <w:tc>
          <w:tcPr>
            <w:tcW w:w="1091" w:type="dxa"/>
            <w:noWrap w:val="0"/>
            <w:vAlign w:val="center"/>
          </w:tcPr>
          <w:p w14:paraId="157A8D5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Perpetua" w:eastAsia="宋体" w:cs="Times New Roman"/>
                <w:sz w:val="21"/>
                <w:szCs w:val="21"/>
                <w:highlight w:val="none"/>
              </w:rPr>
              <w:t>厂址侧游</w:t>
            </w:r>
            <w:r>
              <w:rPr>
                <w:rFonts w:hint="default" w:ascii="Times New Roman" w:hAnsi="宋体" w:eastAsia="宋体" w:cs="Times New Roman"/>
                <w:sz w:val="21"/>
                <w:szCs w:val="21"/>
                <w:highlight w:val="none"/>
              </w:rPr>
              <w:t>☆</w:t>
            </w:r>
            <w:r>
              <w:rPr>
                <w:rFonts w:hint="default" w:ascii="Times New Roman" w:hAnsi="Times New Roman" w:eastAsia="宋体" w:cs="Times New Roman"/>
                <w:sz w:val="21"/>
                <w:szCs w:val="21"/>
                <w:highlight w:val="none"/>
              </w:rPr>
              <w:t>5</w:t>
            </w:r>
          </w:p>
        </w:tc>
        <w:tc>
          <w:tcPr>
            <w:tcW w:w="995" w:type="dxa"/>
            <w:noWrap w:val="0"/>
            <w:vAlign w:val="center"/>
          </w:tcPr>
          <w:p w14:paraId="3B10790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Perpetua" w:eastAsia="宋体" w:cs="Times New Roman"/>
                <w:sz w:val="21"/>
                <w:szCs w:val="21"/>
                <w:highlight w:val="none"/>
              </w:rPr>
              <w:t>厂址上游</w:t>
            </w:r>
            <w:r>
              <w:rPr>
                <w:rFonts w:hint="default" w:ascii="Times New Roman" w:hAnsi="宋体" w:eastAsia="宋体" w:cs="Times New Roman"/>
                <w:sz w:val="21"/>
                <w:szCs w:val="21"/>
                <w:highlight w:val="none"/>
              </w:rPr>
              <w:t>☆</w:t>
            </w:r>
            <w:r>
              <w:rPr>
                <w:rFonts w:hint="eastAsia" w:ascii="Times New Roman" w:hAnsi="Times New Roman" w:eastAsia="宋体" w:cs="Times New Roman"/>
                <w:sz w:val="21"/>
                <w:szCs w:val="21"/>
                <w:highlight w:val="none"/>
              </w:rPr>
              <w:t>6</w:t>
            </w:r>
          </w:p>
        </w:tc>
        <w:tc>
          <w:tcPr>
            <w:tcW w:w="992" w:type="dxa"/>
            <w:noWrap w:val="0"/>
            <w:vAlign w:val="center"/>
          </w:tcPr>
          <w:p w14:paraId="4C0D65A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Perpetua" w:eastAsia="宋体" w:cs="Times New Roman"/>
                <w:sz w:val="21"/>
                <w:szCs w:val="21"/>
                <w:highlight w:val="none"/>
              </w:rPr>
              <w:t>厂址下游</w:t>
            </w:r>
            <w:r>
              <w:rPr>
                <w:rFonts w:hint="default" w:ascii="Times New Roman" w:hAnsi="宋体" w:eastAsia="宋体" w:cs="Times New Roman"/>
                <w:sz w:val="21"/>
                <w:szCs w:val="21"/>
                <w:highlight w:val="none"/>
              </w:rPr>
              <w:t>☆</w:t>
            </w:r>
            <w:r>
              <w:rPr>
                <w:rFonts w:hint="eastAsia" w:ascii="Times New Roman" w:hAnsi="Times New Roman" w:eastAsia="宋体" w:cs="Times New Roman"/>
                <w:sz w:val="21"/>
                <w:szCs w:val="21"/>
                <w:highlight w:val="none"/>
              </w:rPr>
              <w:t>7</w:t>
            </w:r>
          </w:p>
        </w:tc>
        <w:tc>
          <w:tcPr>
            <w:tcW w:w="918" w:type="dxa"/>
            <w:vMerge w:val="continue"/>
            <w:noWrap w:val="0"/>
            <w:vAlign w:val="center"/>
          </w:tcPr>
          <w:p w14:paraId="05D4B91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p>
        </w:tc>
      </w:tr>
      <w:tr w14:paraId="4FA0591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079" w:type="dxa"/>
            <w:vMerge w:val="continue"/>
            <w:noWrap w:val="0"/>
            <w:vAlign w:val="center"/>
          </w:tcPr>
          <w:p w14:paraId="1D193E4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p>
        </w:tc>
        <w:tc>
          <w:tcPr>
            <w:tcW w:w="1418" w:type="dxa"/>
            <w:tcBorders>
              <w:top w:val="single" w:color="auto" w:sz="4" w:space="0"/>
            </w:tcBorders>
            <w:noWrap w:val="0"/>
            <w:vAlign w:val="center"/>
          </w:tcPr>
          <w:p w14:paraId="0CDA6724">
            <w:pPr>
              <w:keepNext w:val="0"/>
              <w:keepLines w:val="0"/>
              <w:widowControl/>
              <w:suppressLineNumbers w:val="0"/>
              <w:wordWrap/>
              <w:adjustRightInd/>
              <w:snapToGrid/>
              <w:spacing w:before="0" w:beforeAutospacing="0" w:after="0" w:afterAutospacing="0" w:line="240" w:lineRule="auto"/>
              <w:ind w:left="0" w:right="0" w:firstLine="0" w:firstLineChars="0"/>
              <w:jc w:val="center"/>
              <w:rPr>
                <w:rFonts w:hint="default" w:ascii="Times New Roman" w:hAnsi="宋体" w:eastAsia="宋体" w:cs="Times New Roman"/>
                <w:b/>
                <w:bCs/>
                <w:sz w:val="21"/>
                <w:szCs w:val="21"/>
                <w:highlight w:val="none"/>
              </w:rPr>
            </w:pPr>
            <w:r>
              <w:rPr>
                <w:rFonts w:hint="eastAsia" w:ascii="Times New Roman" w:hAnsi="宋体" w:eastAsia="宋体" w:cs="Times New Roman"/>
                <w:b/>
                <w:bCs/>
                <w:sz w:val="21"/>
                <w:szCs w:val="21"/>
                <w:highlight w:val="none"/>
              </w:rPr>
              <w:t>样品性状</w:t>
            </w:r>
          </w:p>
        </w:tc>
        <w:tc>
          <w:tcPr>
            <w:tcW w:w="992" w:type="dxa"/>
            <w:tcBorders>
              <w:top w:val="single" w:color="auto" w:sz="4" w:space="0"/>
            </w:tcBorders>
            <w:noWrap w:val="0"/>
            <w:vAlign w:val="center"/>
          </w:tcPr>
          <w:p w14:paraId="47A8877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无色、无味</w:t>
            </w:r>
          </w:p>
        </w:tc>
        <w:tc>
          <w:tcPr>
            <w:tcW w:w="1063" w:type="dxa"/>
            <w:noWrap w:val="0"/>
            <w:vAlign w:val="center"/>
          </w:tcPr>
          <w:p w14:paraId="039E489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无色、有异味</w:t>
            </w:r>
          </w:p>
        </w:tc>
        <w:tc>
          <w:tcPr>
            <w:tcW w:w="1103" w:type="dxa"/>
            <w:noWrap w:val="0"/>
            <w:vAlign w:val="center"/>
          </w:tcPr>
          <w:p w14:paraId="7EDFAD3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无色、有异味</w:t>
            </w:r>
          </w:p>
        </w:tc>
        <w:tc>
          <w:tcPr>
            <w:tcW w:w="1090" w:type="dxa"/>
            <w:noWrap w:val="0"/>
            <w:vAlign w:val="center"/>
          </w:tcPr>
          <w:p w14:paraId="50101E4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无色、有异味</w:t>
            </w:r>
          </w:p>
        </w:tc>
        <w:tc>
          <w:tcPr>
            <w:tcW w:w="1091" w:type="dxa"/>
            <w:noWrap w:val="0"/>
            <w:vAlign w:val="center"/>
          </w:tcPr>
          <w:p w14:paraId="2566542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无色、有异味</w:t>
            </w:r>
          </w:p>
        </w:tc>
        <w:tc>
          <w:tcPr>
            <w:tcW w:w="995" w:type="dxa"/>
            <w:noWrap w:val="0"/>
            <w:vAlign w:val="center"/>
          </w:tcPr>
          <w:p w14:paraId="1FC1BFD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无色、有异味</w:t>
            </w:r>
          </w:p>
        </w:tc>
        <w:tc>
          <w:tcPr>
            <w:tcW w:w="992" w:type="dxa"/>
            <w:noWrap w:val="0"/>
            <w:vAlign w:val="center"/>
          </w:tcPr>
          <w:p w14:paraId="2A9C334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无色、有异味</w:t>
            </w:r>
          </w:p>
        </w:tc>
        <w:tc>
          <w:tcPr>
            <w:tcW w:w="918" w:type="dxa"/>
            <w:vMerge w:val="continue"/>
            <w:noWrap w:val="0"/>
            <w:vAlign w:val="center"/>
          </w:tcPr>
          <w:p w14:paraId="063E9AF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p>
        </w:tc>
      </w:tr>
      <w:tr w14:paraId="5E53294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079" w:type="dxa"/>
            <w:vMerge w:val="continue"/>
            <w:noWrap w:val="0"/>
            <w:vAlign w:val="center"/>
          </w:tcPr>
          <w:p w14:paraId="0DF413A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p>
        </w:tc>
        <w:tc>
          <w:tcPr>
            <w:tcW w:w="1418" w:type="dxa"/>
            <w:tcBorders>
              <w:top w:val="single" w:color="auto" w:sz="4" w:space="0"/>
            </w:tcBorders>
            <w:noWrap w:val="0"/>
            <w:vAlign w:val="center"/>
          </w:tcPr>
          <w:p w14:paraId="59D6B86D">
            <w:pPr>
              <w:keepNext w:val="0"/>
              <w:keepLines w:val="0"/>
              <w:widowControl/>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default" w:ascii="Times New Roman" w:hAnsi="宋体" w:eastAsia="宋体" w:cs="Times New Roman"/>
                <w:b/>
                <w:bCs/>
                <w:sz w:val="21"/>
                <w:szCs w:val="21"/>
                <w:highlight w:val="none"/>
              </w:rPr>
              <w:t>样品编号</w:t>
            </w:r>
          </w:p>
        </w:tc>
        <w:tc>
          <w:tcPr>
            <w:tcW w:w="992" w:type="dxa"/>
            <w:tcBorders>
              <w:top w:val="single" w:color="auto" w:sz="4" w:space="0"/>
            </w:tcBorders>
            <w:noWrap w:val="0"/>
            <w:vAlign w:val="center"/>
          </w:tcPr>
          <w:p w14:paraId="3AF53DF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Y250919010101</w:t>
            </w:r>
          </w:p>
        </w:tc>
        <w:tc>
          <w:tcPr>
            <w:tcW w:w="1063" w:type="dxa"/>
            <w:noWrap w:val="0"/>
            <w:vAlign w:val="center"/>
          </w:tcPr>
          <w:p w14:paraId="7BFD97E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Y250919010201</w:t>
            </w:r>
          </w:p>
        </w:tc>
        <w:tc>
          <w:tcPr>
            <w:tcW w:w="1103" w:type="dxa"/>
            <w:noWrap w:val="0"/>
            <w:vAlign w:val="center"/>
          </w:tcPr>
          <w:p w14:paraId="385A4FF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Y250919010301</w:t>
            </w:r>
          </w:p>
        </w:tc>
        <w:tc>
          <w:tcPr>
            <w:tcW w:w="1090" w:type="dxa"/>
            <w:noWrap w:val="0"/>
            <w:vAlign w:val="center"/>
          </w:tcPr>
          <w:p w14:paraId="053D855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Y250919010401</w:t>
            </w:r>
          </w:p>
        </w:tc>
        <w:tc>
          <w:tcPr>
            <w:tcW w:w="1091" w:type="dxa"/>
            <w:noWrap w:val="0"/>
            <w:vAlign w:val="center"/>
          </w:tcPr>
          <w:p w14:paraId="7676109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Y250919010501</w:t>
            </w:r>
          </w:p>
        </w:tc>
        <w:tc>
          <w:tcPr>
            <w:tcW w:w="995" w:type="dxa"/>
            <w:noWrap w:val="0"/>
            <w:vAlign w:val="center"/>
          </w:tcPr>
          <w:p w14:paraId="6116B0A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Y250919010601</w:t>
            </w:r>
          </w:p>
        </w:tc>
        <w:tc>
          <w:tcPr>
            <w:tcW w:w="992" w:type="dxa"/>
            <w:noWrap w:val="0"/>
            <w:vAlign w:val="center"/>
          </w:tcPr>
          <w:p w14:paraId="0C1C640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Y250919010701</w:t>
            </w:r>
          </w:p>
        </w:tc>
        <w:tc>
          <w:tcPr>
            <w:tcW w:w="918" w:type="dxa"/>
            <w:vMerge w:val="continue"/>
            <w:noWrap w:val="0"/>
            <w:vAlign w:val="center"/>
          </w:tcPr>
          <w:p w14:paraId="5958BD3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p>
        </w:tc>
      </w:tr>
      <w:tr w14:paraId="596AAA5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079" w:type="dxa"/>
            <w:noWrap w:val="0"/>
            <w:vAlign w:val="center"/>
          </w:tcPr>
          <w:p w14:paraId="5196E37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钾</w:t>
            </w:r>
          </w:p>
        </w:tc>
        <w:tc>
          <w:tcPr>
            <w:tcW w:w="1418" w:type="dxa"/>
            <w:noWrap w:val="0"/>
            <w:vAlign w:val="center"/>
          </w:tcPr>
          <w:p w14:paraId="7FEFA7AE">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mg/L</w:t>
            </w:r>
          </w:p>
        </w:tc>
        <w:tc>
          <w:tcPr>
            <w:tcW w:w="992" w:type="dxa"/>
            <w:noWrap w:val="0"/>
            <w:vAlign w:val="center"/>
          </w:tcPr>
          <w:p w14:paraId="3196950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1.26</w:t>
            </w:r>
          </w:p>
        </w:tc>
        <w:tc>
          <w:tcPr>
            <w:tcW w:w="1063" w:type="dxa"/>
            <w:noWrap w:val="0"/>
            <w:vAlign w:val="center"/>
          </w:tcPr>
          <w:p w14:paraId="384A128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1.38</w:t>
            </w:r>
          </w:p>
        </w:tc>
        <w:tc>
          <w:tcPr>
            <w:tcW w:w="1103" w:type="dxa"/>
            <w:noWrap w:val="0"/>
            <w:vAlign w:val="center"/>
          </w:tcPr>
          <w:p w14:paraId="26DDB13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1.35</w:t>
            </w:r>
          </w:p>
        </w:tc>
        <w:tc>
          <w:tcPr>
            <w:tcW w:w="1090" w:type="dxa"/>
            <w:noWrap w:val="0"/>
            <w:vAlign w:val="center"/>
          </w:tcPr>
          <w:p w14:paraId="739BFA7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1.32</w:t>
            </w:r>
          </w:p>
        </w:tc>
        <w:tc>
          <w:tcPr>
            <w:tcW w:w="1091" w:type="dxa"/>
            <w:noWrap w:val="0"/>
            <w:vAlign w:val="center"/>
          </w:tcPr>
          <w:p w14:paraId="2EF50BC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1.37</w:t>
            </w:r>
          </w:p>
        </w:tc>
        <w:tc>
          <w:tcPr>
            <w:tcW w:w="995" w:type="dxa"/>
            <w:noWrap w:val="0"/>
            <w:vAlign w:val="center"/>
          </w:tcPr>
          <w:p w14:paraId="671B15C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1.38</w:t>
            </w:r>
          </w:p>
        </w:tc>
        <w:tc>
          <w:tcPr>
            <w:tcW w:w="992" w:type="dxa"/>
            <w:noWrap w:val="0"/>
            <w:vAlign w:val="center"/>
          </w:tcPr>
          <w:p w14:paraId="461F0EA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1.40</w:t>
            </w:r>
          </w:p>
        </w:tc>
        <w:tc>
          <w:tcPr>
            <w:tcW w:w="918" w:type="dxa"/>
            <w:noWrap w:val="0"/>
            <w:vAlign w:val="center"/>
          </w:tcPr>
          <w:p w14:paraId="18DB9B8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w:t>
            </w:r>
          </w:p>
        </w:tc>
      </w:tr>
      <w:tr w14:paraId="0DEC613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079" w:type="dxa"/>
            <w:noWrap w:val="0"/>
            <w:vAlign w:val="center"/>
          </w:tcPr>
          <w:p w14:paraId="38B73CB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钠</w:t>
            </w:r>
          </w:p>
        </w:tc>
        <w:tc>
          <w:tcPr>
            <w:tcW w:w="1418" w:type="dxa"/>
            <w:noWrap w:val="0"/>
            <w:vAlign w:val="center"/>
          </w:tcPr>
          <w:p w14:paraId="63CC3516">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mg/L</w:t>
            </w:r>
          </w:p>
        </w:tc>
        <w:tc>
          <w:tcPr>
            <w:tcW w:w="992" w:type="dxa"/>
            <w:noWrap w:val="0"/>
            <w:vAlign w:val="center"/>
          </w:tcPr>
          <w:p w14:paraId="28D5334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11.8</w:t>
            </w:r>
          </w:p>
        </w:tc>
        <w:tc>
          <w:tcPr>
            <w:tcW w:w="1063" w:type="dxa"/>
            <w:noWrap w:val="0"/>
            <w:vAlign w:val="center"/>
          </w:tcPr>
          <w:p w14:paraId="3E4E222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10.2</w:t>
            </w:r>
          </w:p>
        </w:tc>
        <w:tc>
          <w:tcPr>
            <w:tcW w:w="1103" w:type="dxa"/>
            <w:noWrap w:val="0"/>
            <w:vAlign w:val="center"/>
          </w:tcPr>
          <w:p w14:paraId="4D42042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11.2</w:t>
            </w:r>
          </w:p>
        </w:tc>
        <w:tc>
          <w:tcPr>
            <w:tcW w:w="1090" w:type="dxa"/>
            <w:noWrap w:val="0"/>
            <w:vAlign w:val="center"/>
          </w:tcPr>
          <w:p w14:paraId="1B8E5DA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10.1</w:t>
            </w:r>
          </w:p>
        </w:tc>
        <w:tc>
          <w:tcPr>
            <w:tcW w:w="1091" w:type="dxa"/>
            <w:noWrap w:val="0"/>
            <w:vAlign w:val="center"/>
          </w:tcPr>
          <w:p w14:paraId="2296C54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10.8</w:t>
            </w:r>
          </w:p>
        </w:tc>
        <w:tc>
          <w:tcPr>
            <w:tcW w:w="995" w:type="dxa"/>
            <w:noWrap w:val="0"/>
            <w:vAlign w:val="center"/>
          </w:tcPr>
          <w:p w14:paraId="17C2965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9.88</w:t>
            </w:r>
          </w:p>
        </w:tc>
        <w:tc>
          <w:tcPr>
            <w:tcW w:w="992" w:type="dxa"/>
            <w:noWrap w:val="0"/>
            <w:vAlign w:val="center"/>
          </w:tcPr>
          <w:p w14:paraId="1ED6444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9.54</w:t>
            </w:r>
          </w:p>
        </w:tc>
        <w:tc>
          <w:tcPr>
            <w:tcW w:w="918" w:type="dxa"/>
            <w:noWrap w:val="0"/>
            <w:vAlign w:val="center"/>
          </w:tcPr>
          <w:p w14:paraId="2DBFD09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≤200</w:t>
            </w:r>
          </w:p>
        </w:tc>
      </w:tr>
      <w:tr w14:paraId="51A00D7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079" w:type="dxa"/>
            <w:noWrap w:val="0"/>
            <w:vAlign w:val="center"/>
          </w:tcPr>
          <w:p w14:paraId="0647EF1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钙</w:t>
            </w:r>
          </w:p>
        </w:tc>
        <w:tc>
          <w:tcPr>
            <w:tcW w:w="1418" w:type="dxa"/>
            <w:noWrap w:val="0"/>
            <w:vAlign w:val="center"/>
          </w:tcPr>
          <w:p w14:paraId="376790BE">
            <w:pPr>
              <w:keepNext w:val="0"/>
              <w:keepLines w:val="0"/>
              <w:widowControl/>
              <w:suppressLineNumbers w:val="0"/>
              <w:wordWrap/>
              <w:adjustRightInd/>
              <w:snapToGrid/>
              <w:spacing w:before="0" w:beforeAutospacing="0" w:after="0" w:afterAutospacing="0" w:line="240" w:lineRule="exact"/>
              <w:ind w:left="0" w:right="0" w:firstLine="0" w:firstLineChars="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color w:val="000000"/>
                <w:sz w:val="21"/>
                <w:szCs w:val="21"/>
                <w:highlight w:val="none"/>
              </w:rPr>
              <w:t>mg/L</w:t>
            </w:r>
          </w:p>
        </w:tc>
        <w:tc>
          <w:tcPr>
            <w:tcW w:w="992" w:type="dxa"/>
            <w:noWrap w:val="0"/>
            <w:vAlign w:val="center"/>
          </w:tcPr>
          <w:p w14:paraId="267C822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130.4</w:t>
            </w:r>
          </w:p>
        </w:tc>
        <w:tc>
          <w:tcPr>
            <w:tcW w:w="1063" w:type="dxa"/>
            <w:noWrap w:val="0"/>
            <w:vAlign w:val="center"/>
          </w:tcPr>
          <w:p w14:paraId="353A11C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145.6</w:t>
            </w:r>
          </w:p>
        </w:tc>
        <w:tc>
          <w:tcPr>
            <w:tcW w:w="1103" w:type="dxa"/>
            <w:noWrap w:val="0"/>
            <w:vAlign w:val="center"/>
          </w:tcPr>
          <w:p w14:paraId="3A36D97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141.3</w:t>
            </w:r>
          </w:p>
        </w:tc>
        <w:tc>
          <w:tcPr>
            <w:tcW w:w="1090" w:type="dxa"/>
            <w:noWrap w:val="0"/>
            <w:vAlign w:val="center"/>
          </w:tcPr>
          <w:p w14:paraId="1B5BB12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145.6</w:t>
            </w:r>
          </w:p>
        </w:tc>
        <w:tc>
          <w:tcPr>
            <w:tcW w:w="1091" w:type="dxa"/>
            <w:noWrap w:val="0"/>
            <w:vAlign w:val="center"/>
          </w:tcPr>
          <w:p w14:paraId="21CB357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141.3</w:t>
            </w:r>
          </w:p>
        </w:tc>
        <w:tc>
          <w:tcPr>
            <w:tcW w:w="995" w:type="dxa"/>
            <w:noWrap w:val="0"/>
            <w:vAlign w:val="center"/>
          </w:tcPr>
          <w:p w14:paraId="3497D7F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150.0</w:t>
            </w:r>
          </w:p>
        </w:tc>
        <w:tc>
          <w:tcPr>
            <w:tcW w:w="992" w:type="dxa"/>
            <w:noWrap w:val="0"/>
            <w:vAlign w:val="center"/>
          </w:tcPr>
          <w:p w14:paraId="254FFB0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145.6</w:t>
            </w:r>
          </w:p>
        </w:tc>
        <w:tc>
          <w:tcPr>
            <w:tcW w:w="918" w:type="dxa"/>
            <w:noWrap w:val="0"/>
            <w:vAlign w:val="center"/>
          </w:tcPr>
          <w:p w14:paraId="57332C9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w:t>
            </w:r>
          </w:p>
        </w:tc>
      </w:tr>
      <w:tr w14:paraId="100E82E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079" w:type="dxa"/>
            <w:noWrap w:val="0"/>
            <w:vAlign w:val="center"/>
          </w:tcPr>
          <w:p w14:paraId="76DE96D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镁</w:t>
            </w:r>
          </w:p>
        </w:tc>
        <w:tc>
          <w:tcPr>
            <w:tcW w:w="1418" w:type="dxa"/>
            <w:noWrap w:val="0"/>
            <w:vAlign w:val="center"/>
          </w:tcPr>
          <w:p w14:paraId="5D6590E9">
            <w:pPr>
              <w:keepNext w:val="0"/>
              <w:keepLines w:val="0"/>
              <w:widowControl/>
              <w:suppressLineNumbers w:val="0"/>
              <w:wordWrap/>
              <w:adjustRightInd/>
              <w:snapToGrid/>
              <w:spacing w:before="0" w:beforeAutospacing="0" w:after="0" w:afterAutospacing="0" w:line="240" w:lineRule="exact"/>
              <w:ind w:left="0" w:right="0" w:firstLine="0" w:firstLineChars="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color w:val="000000"/>
                <w:sz w:val="21"/>
                <w:szCs w:val="21"/>
                <w:highlight w:val="none"/>
              </w:rPr>
              <w:t>mg/L</w:t>
            </w:r>
          </w:p>
        </w:tc>
        <w:tc>
          <w:tcPr>
            <w:tcW w:w="992" w:type="dxa"/>
            <w:noWrap w:val="0"/>
            <w:vAlign w:val="center"/>
          </w:tcPr>
          <w:p w14:paraId="4D0D3D9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19.0</w:t>
            </w:r>
          </w:p>
        </w:tc>
        <w:tc>
          <w:tcPr>
            <w:tcW w:w="1063" w:type="dxa"/>
            <w:noWrap w:val="0"/>
            <w:vAlign w:val="center"/>
          </w:tcPr>
          <w:p w14:paraId="4BCCF04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20.9</w:t>
            </w:r>
          </w:p>
        </w:tc>
        <w:tc>
          <w:tcPr>
            <w:tcW w:w="1103" w:type="dxa"/>
            <w:noWrap w:val="0"/>
            <w:vAlign w:val="center"/>
          </w:tcPr>
          <w:p w14:paraId="54FE906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20.0</w:t>
            </w:r>
          </w:p>
        </w:tc>
        <w:tc>
          <w:tcPr>
            <w:tcW w:w="1090" w:type="dxa"/>
            <w:noWrap w:val="0"/>
            <w:vAlign w:val="center"/>
          </w:tcPr>
          <w:p w14:paraId="3DEBEDF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20.6</w:t>
            </w:r>
          </w:p>
        </w:tc>
        <w:tc>
          <w:tcPr>
            <w:tcW w:w="1091" w:type="dxa"/>
            <w:noWrap w:val="0"/>
            <w:vAlign w:val="center"/>
          </w:tcPr>
          <w:p w14:paraId="48A6997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21.1</w:t>
            </w:r>
          </w:p>
        </w:tc>
        <w:tc>
          <w:tcPr>
            <w:tcW w:w="995" w:type="dxa"/>
            <w:noWrap w:val="0"/>
            <w:vAlign w:val="center"/>
          </w:tcPr>
          <w:p w14:paraId="1A6689A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21.4</w:t>
            </w:r>
          </w:p>
        </w:tc>
        <w:tc>
          <w:tcPr>
            <w:tcW w:w="992" w:type="dxa"/>
            <w:noWrap w:val="0"/>
            <w:vAlign w:val="center"/>
          </w:tcPr>
          <w:p w14:paraId="1BC8679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21.6</w:t>
            </w:r>
          </w:p>
        </w:tc>
        <w:tc>
          <w:tcPr>
            <w:tcW w:w="918" w:type="dxa"/>
            <w:noWrap w:val="0"/>
            <w:vAlign w:val="center"/>
          </w:tcPr>
          <w:p w14:paraId="67877EC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w:t>
            </w:r>
          </w:p>
        </w:tc>
      </w:tr>
      <w:tr w14:paraId="0B30483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079" w:type="dxa"/>
            <w:noWrap w:val="0"/>
            <w:vAlign w:val="center"/>
          </w:tcPr>
          <w:p w14:paraId="77D177F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碳酸根</w:t>
            </w:r>
          </w:p>
        </w:tc>
        <w:tc>
          <w:tcPr>
            <w:tcW w:w="1418" w:type="dxa"/>
            <w:noWrap w:val="0"/>
            <w:vAlign w:val="center"/>
          </w:tcPr>
          <w:p w14:paraId="4FB8A648">
            <w:pPr>
              <w:keepNext w:val="0"/>
              <w:keepLines w:val="0"/>
              <w:widowControl/>
              <w:suppressLineNumbers w:val="0"/>
              <w:wordWrap/>
              <w:adjustRightInd/>
              <w:snapToGrid/>
              <w:spacing w:before="0" w:beforeAutospacing="0" w:after="0" w:afterAutospacing="0" w:line="240" w:lineRule="exact"/>
              <w:ind w:left="0" w:right="0" w:firstLine="0" w:firstLineChars="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color w:val="000000"/>
                <w:sz w:val="21"/>
                <w:szCs w:val="21"/>
                <w:highlight w:val="none"/>
              </w:rPr>
              <w:t>mg/L</w:t>
            </w:r>
          </w:p>
        </w:tc>
        <w:tc>
          <w:tcPr>
            <w:tcW w:w="992" w:type="dxa"/>
            <w:noWrap w:val="0"/>
            <w:vAlign w:val="center"/>
          </w:tcPr>
          <w:p w14:paraId="7C8E732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5L</w:t>
            </w:r>
          </w:p>
        </w:tc>
        <w:tc>
          <w:tcPr>
            <w:tcW w:w="1063" w:type="dxa"/>
            <w:noWrap w:val="0"/>
            <w:vAlign w:val="center"/>
          </w:tcPr>
          <w:p w14:paraId="216EC98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5L</w:t>
            </w:r>
          </w:p>
        </w:tc>
        <w:tc>
          <w:tcPr>
            <w:tcW w:w="1103" w:type="dxa"/>
            <w:noWrap w:val="0"/>
            <w:vAlign w:val="center"/>
          </w:tcPr>
          <w:p w14:paraId="482CD1D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5L</w:t>
            </w:r>
          </w:p>
        </w:tc>
        <w:tc>
          <w:tcPr>
            <w:tcW w:w="1090" w:type="dxa"/>
            <w:noWrap w:val="0"/>
            <w:vAlign w:val="center"/>
          </w:tcPr>
          <w:p w14:paraId="1BE869C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5L</w:t>
            </w:r>
          </w:p>
        </w:tc>
        <w:tc>
          <w:tcPr>
            <w:tcW w:w="1091" w:type="dxa"/>
            <w:noWrap w:val="0"/>
            <w:vAlign w:val="center"/>
          </w:tcPr>
          <w:p w14:paraId="5DB03CE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5L</w:t>
            </w:r>
          </w:p>
        </w:tc>
        <w:tc>
          <w:tcPr>
            <w:tcW w:w="995" w:type="dxa"/>
            <w:noWrap w:val="0"/>
            <w:vAlign w:val="center"/>
          </w:tcPr>
          <w:p w14:paraId="4CB2DC7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5L</w:t>
            </w:r>
          </w:p>
        </w:tc>
        <w:tc>
          <w:tcPr>
            <w:tcW w:w="992" w:type="dxa"/>
            <w:noWrap w:val="0"/>
            <w:vAlign w:val="center"/>
          </w:tcPr>
          <w:p w14:paraId="750123C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5L</w:t>
            </w:r>
          </w:p>
        </w:tc>
        <w:tc>
          <w:tcPr>
            <w:tcW w:w="918" w:type="dxa"/>
            <w:noWrap w:val="0"/>
            <w:vAlign w:val="center"/>
          </w:tcPr>
          <w:p w14:paraId="448CE72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w:t>
            </w:r>
          </w:p>
        </w:tc>
      </w:tr>
      <w:tr w14:paraId="4672378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079" w:type="dxa"/>
            <w:noWrap w:val="0"/>
            <w:vAlign w:val="center"/>
          </w:tcPr>
          <w:p w14:paraId="1DC04DB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碳酸氢根</w:t>
            </w:r>
          </w:p>
        </w:tc>
        <w:tc>
          <w:tcPr>
            <w:tcW w:w="1418" w:type="dxa"/>
            <w:noWrap w:val="0"/>
            <w:vAlign w:val="center"/>
          </w:tcPr>
          <w:p w14:paraId="097F62D7">
            <w:pPr>
              <w:keepNext w:val="0"/>
              <w:keepLines w:val="0"/>
              <w:widowControl/>
              <w:suppressLineNumbers w:val="0"/>
              <w:wordWrap/>
              <w:adjustRightInd/>
              <w:snapToGrid/>
              <w:spacing w:before="0" w:beforeAutospacing="0" w:after="0" w:afterAutospacing="0" w:line="240" w:lineRule="exact"/>
              <w:ind w:left="0" w:right="0" w:firstLine="0" w:firstLineChars="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color w:val="000000"/>
                <w:sz w:val="21"/>
                <w:szCs w:val="21"/>
                <w:highlight w:val="none"/>
              </w:rPr>
              <w:t>mg/L</w:t>
            </w:r>
          </w:p>
        </w:tc>
        <w:tc>
          <w:tcPr>
            <w:tcW w:w="992" w:type="dxa"/>
            <w:noWrap w:val="0"/>
            <w:vAlign w:val="center"/>
          </w:tcPr>
          <w:p w14:paraId="038896E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416</w:t>
            </w:r>
          </w:p>
        </w:tc>
        <w:tc>
          <w:tcPr>
            <w:tcW w:w="1063" w:type="dxa"/>
            <w:noWrap w:val="0"/>
            <w:vAlign w:val="center"/>
          </w:tcPr>
          <w:p w14:paraId="6FC0B88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548</w:t>
            </w:r>
          </w:p>
        </w:tc>
        <w:tc>
          <w:tcPr>
            <w:tcW w:w="1103" w:type="dxa"/>
            <w:noWrap w:val="0"/>
            <w:vAlign w:val="center"/>
          </w:tcPr>
          <w:p w14:paraId="225C43A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533</w:t>
            </w:r>
          </w:p>
        </w:tc>
        <w:tc>
          <w:tcPr>
            <w:tcW w:w="1090" w:type="dxa"/>
            <w:noWrap w:val="0"/>
            <w:vAlign w:val="center"/>
          </w:tcPr>
          <w:p w14:paraId="318D006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551</w:t>
            </w:r>
          </w:p>
        </w:tc>
        <w:tc>
          <w:tcPr>
            <w:tcW w:w="1091" w:type="dxa"/>
            <w:noWrap w:val="0"/>
            <w:vAlign w:val="center"/>
          </w:tcPr>
          <w:p w14:paraId="38A0E33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542</w:t>
            </w:r>
          </w:p>
        </w:tc>
        <w:tc>
          <w:tcPr>
            <w:tcW w:w="995" w:type="dxa"/>
            <w:noWrap w:val="0"/>
            <w:vAlign w:val="center"/>
          </w:tcPr>
          <w:p w14:paraId="35EDB1A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566</w:t>
            </w:r>
          </w:p>
        </w:tc>
        <w:tc>
          <w:tcPr>
            <w:tcW w:w="992" w:type="dxa"/>
            <w:noWrap w:val="0"/>
            <w:vAlign w:val="center"/>
          </w:tcPr>
          <w:p w14:paraId="3434830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554</w:t>
            </w:r>
          </w:p>
        </w:tc>
        <w:tc>
          <w:tcPr>
            <w:tcW w:w="918" w:type="dxa"/>
            <w:noWrap w:val="0"/>
            <w:vAlign w:val="center"/>
          </w:tcPr>
          <w:p w14:paraId="0090445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w:t>
            </w:r>
          </w:p>
        </w:tc>
      </w:tr>
      <w:tr w14:paraId="01E7C15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079" w:type="dxa"/>
            <w:noWrap w:val="0"/>
            <w:vAlign w:val="center"/>
          </w:tcPr>
          <w:p w14:paraId="0DD8697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氯离子</w:t>
            </w:r>
          </w:p>
        </w:tc>
        <w:tc>
          <w:tcPr>
            <w:tcW w:w="1418" w:type="dxa"/>
            <w:noWrap w:val="0"/>
            <w:vAlign w:val="center"/>
          </w:tcPr>
          <w:p w14:paraId="38F88213">
            <w:pPr>
              <w:keepNext w:val="0"/>
              <w:keepLines w:val="0"/>
              <w:widowControl/>
              <w:suppressLineNumbers w:val="0"/>
              <w:wordWrap/>
              <w:adjustRightInd/>
              <w:snapToGrid/>
              <w:spacing w:before="0" w:beforeAutospacing="0" w:after="0" w:afterAutospacing="0" w:line="240" w:lineRule="exact"/>
              <w:ind w:left="0" w:right="0" w:firstLine="0" w:firstLineChars="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color w:val="000000"/>
                <w:sz w:val="21"/>
                <w:szCs w:val="21"/>
                <w:highlight w:val="none"/>
              </w:rPr>
              <w:t>mg/L</w:t>
            </w:r>
          </w:p>
        </w:tc>
        <w:tc>
          <w:tcPr>
            <w:tcW w:w="992" w:type="dxa"/>
            <w:noWrap w:val="0"/>
            <w:vAlign w:val="center"/>
          </w:tcPr>
          <w:p w14:paraId="39B128D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29.5</w:t>
            </w:r>
          </w:p>
        </w:tc>
        <w:tc>
          <w:tcPr>
            <w:tcW w:w="1063" w:type="dxa"/>
            <w:noWrap w:val="0"/>
            <w:vAlign w:val="center"/>
          </w:tcPr>
          <w:p w14:paraId="2A24BDA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10.2</w:t>
            </w:r>
          </w:p>
        </w:tc>
        <w:tc>
          <w:tcPr>
            <w:tcW w:w="1103" w:type="dxa"/>
            <w:noWrap w:val="0"/>
            <w:vAlign w:val="center"/>
          </w:tcPr>
          <w:p w14:paraId="08252B7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6.34</w:t>
            </w:r>
          </w:p>
        </w:tc>
        <w:tc>
          <w:tcPr>
            <w:tcW w:w="1090" w:type="dxa"/>
            <w:noWrap w:val="0"/>
            <w:vAlign w:val="center"/>
          </w:tcPr>
          <w:p w14:paraId="6B0BF6D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8.91</w:t>
            </w:r>
          </w:p>
        </w:tc>
        <w:tc>
          <w:tcPr>
            <w:tcW w:w="1091" w:type="dxa"/>
            <w:noWrap w:val="0"/>
            <w:vAlign w:val="center"/>
          </w:tcPr>
          <w:p w14:paraId="1F34BD1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7.78</w:t>
            </w:r>
          </w:p>
        </w:tc>
        <w:tc>
          <w:tcPr>
            <w:tcW w:w="995" w:type="dxa"/>
            <w:noWrap w:val="0"/>
            <w:vAlign w:val="center"/>
          </w:tcPr>
          <w:p w14:paraId="6CA72A6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6.48</w:t>
            </w:r>
          </w:p>
        </w:tc>
        <w:tc>
          <w:tcPr>
            <w:tcW w:w="992" w:type="dxa"/>
            <w:noWrap w:val="0"/>
            <w:vAlign w:val="center"/>
          </w:tcPr>
          <w:p w14:paraId="3E7EE1A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9.51</w:t>
            </w:r>
          </w:p>
        </w:tc>
        <w:tc>
          <w:tcPr>
            <w:tcW w:w="918" w:type="dxa"/>
            <w:noWrap w:val="0"/>
            <w:vAlign w:val="center"/>
          </w:tcPr>
          <w:p w14:paraId="14EB54F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w:t>
            </w:r>
          </w:p>
        </w:tc>
      </w:tr>
      <w:tr w14:paraId="36F33EF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079" w:type="dxa"/>
            <w:noWrap w:val="0"/>
            <w:vAlign w:val="center"/>
          </w:tcPr>
          <w:p w14:paraId="6BB49ED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硫酸根</w:t>
            </w:r>
          </w:p>
          <w:p w14:paraId="2456D91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离子</w:t>
            </w:r>
          </w:p>
        </w:tc>
        <w:tc>
          <w:tcPr>
            <w:tcW w:w="1418" w:type="dxa"/>
            <w:noWrap w:val="0"/>
            <w:vAlign w:val="center"/>
          </w:tcPr>
          <w:p w14:paraId="00196F64">
            <w:pPr>
              <w:keepNext w:val="0"/>
              <w:keepLines w:val="0"/>
              <w:widowControl/>
              <w:suppressLineNumbers w:val="0"/>
              <w:wordWrap/>
              <w:adjustRightInd/>
              <w:snapToGrid/>
              <w:spacing w:before="0" w:beforeAutospacing="0" w:after="0" w:afterAutospacing="0" w:line="240" w:lineRule="exact"/>
              <w:ind w:left="0" w:right="0" w:firstLine="0" w:firstLineChars="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color w:val="000000"/>
                <w:sz w:val="21"/>
                <w:szCs w:val="21"/>
                <w:highlight w:val="none"/>
              </w:rPr>
              <w:t>mg/L</w:t>
            </w:r>
          </w:p>
        </w:tc>
        <w:tc>
          <w:tcPr>
            <w:tcW w:w="992" w:type="dxa"/>
            <w:noWrap w:val="0"/>
            <w:vAlign w:val="center"/>
          </w:tcPr>
          <w:p w14:paraId="1D8A404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50.7</w:t>
            </w:r>
          </w:p>
        </w:tc>
        <w:tc>
          <w:tcPr>
            <w:tcW w:w="1063" w:type="dxa"/>
            <w:noWrap w:val="0"/>
            <w:vAlign w:val="center"/>
          </w:tcPr>
          <w:p w14:paraId="66C6D09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8.50</w:t>
            </w:r>
          </w:p>
        </w:tc>
        <w:tc>
          <w:tcPr>
            <w:tcW w:w="1103" w:type="dxa"/>
            <w:noWrap w:val="0"/>
            <w:vAlign w:val="center"/>
          </w:tcPr>
          <w:p w14:paraId="1DC493F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7.56</w:t>
            </w:r>
          </w:p>
        </w:tc>
        <w:tc>
          <w:tcPr>
            <w:tcW w:w="1090" w:type="dxa"/>
            <w:noWrap w:val="0"/>
            <w:vAlign w:val="center"/>
          </w:tcPr>
          <w:p w14:paraId="432D37C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7.55</w:t>
            </w:r>
          </w:p>
        </w:tc>
        <w:tc>
          <w:tcPr>
            <w:tcW w:w="1091" w:type="dxa"/>
            <w:noWrap w:val="0"/>
            <w:vAlign w:val="center"/>
          </w:tcPr>
          <w:p w14:paraId="138F8F6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7.77</w:t>
            </w:r>
          </w:p>
        </w:tc>
        <w:tc>
          <w:tcPr>
            <w:tcW w:w="995" w:type="dxa"/>
            <w:noWrap w:val="0"/>
            <w:vAlign w:val="center"/>
          </w:tcPr>
          <w:p w14:paraId="47D3299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7.58</w:t>
            </w:r>
          </w:p>
        </w:tc>
        <w:tc>
          <w:tcPr>
            <w:tcW w:w="992" w:type="dxa"/>
            <w:noWrap w:val="0"/>
            <w:vAlign w:val="center"/>
          </w:tcPr>
          <w:p w14:paraId="3D8F2CB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7.34</w:t>
            </w:r>
          </w:p>
        </w:tc>
        <w:tc>
          <w:tcPr>
            <w:tcW w:w="918" w:type="dxa"/>
            <w:noWrap w:val="0"/>
            <w:vAlign w:val="center"/>
          </w:tcPr>
          <w:p w14:paraId="74D8F9A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w:t>
            </w:r>
          </w:p>
        </w:tc>
      </w:tr>
      <w:tr w14:paraId="0871E6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079" w:type="dxa"/>
            <w:noWrap w:val="0"/>
            <w:vAlign w:val="center"/>
          </w:tcPr>
          <w:p w14:paraId="31D7387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pH</w:t>
            </w:r>
          </w:p>
        </w:tc>
        <w:tc>
          <w:tcPr>
            <w:tcW w:w="1418" w:type="dxa"/>
            <w:noWrap w:val="0"/>
            <w:vAlign w:val="center"/>
          </w:tcPr>
          <w:p w14:paraId="65073DB7">
            <w:pPr>
              <w:keepNext w:val="0"/>
              <w:keepLines w:val="0"/>
              <w:widowControl/>
              <w:suppressLineNumbers w:val="0"/>
              <w:wordWrap/>
              <w:adjustRightInd/>
              <w:snapToGrid/>
              <w:spacing w:before="0" w:beforeAutospacing="0" w:after="0" w:afterAutospacing="0" w:line="240" w:lineRule="exact"/>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color w:val="000000"/>
                <w:sz w:val="21"/>
                <w:szCs w:val="21"/>
                <w:highlight w:val="none"/>
              </w:rPr>
              <w:t>无量纲</w:t>
            </w:r>
          </w:p>
        </w:tc>
        <w:tc>
          <w:tcPr>
            <w:tcW w:w="992" w:type="dxa"/>
            <w:noWrap w:val="0"/>
            <w:vAlign w:val="center"/>
          </w:tcPr>
          <w:p w14:paraId="3A03C35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7.5</w:t>
            </w:r>
          </w:p>
        </w:tc>
        <w:tc>
          <w:tcPr>
            <w:tcW w:w="1063" w:type="dxa"/>
            <w:noWrap w:val="0"/>
            <w:vAlign w:val="center"/>
          </w:tcPr>
          <w:p w14:paraId="2C6E999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6.8</w:t>
            </w:r>
          </w:p>
        </w:tc>
        <w:tc>
          <w:tcPr>
            <w:tcW w:w="1103" w:type="dxa"/>
            <w:noWrap w:val="0"/>
            <w:vAlign w:val="center"/>
          </w:tcPr>
          <w:p w14:paraId="69801E4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7.2</w:t>
            </w:r>
          </w:p>
        </w:tc>
        <w:tc>
          <w:tcPr>
            <w:tcW w:w="1090" w:type="dxa"/>
            <w:noWrap w:val="0"/>
            <w:vAlign w:val="center"/>
          </w:tcPr>
          <w:p w14:paraId="0EACA88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7.1</w:t>
            </w:r>
          </w:p>
        </w:tc>
        <w:tc>
          <w:tcPr>
            <w:tcW w:w="1091" w:type="dxa"/>
            <w:noWrap w:val="0"/>
            <w:vAlign w:val="center"/>
          </w:tcPr>
          <w:p w14:paraId="33C3666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7.4</w:t>
            </w:r>
          </w:p>
        </w:tc>
        <w:tc>
          <w:tcPr>
            <w:tcW w:w="995" w:type="dxa"/>
            <w:noWrap w:val="0"/>
            <w:vAlign w:val="center"/>
          </w:tcPr>
          <w:p w14:paraId="3CB34C6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7.3</w:t>
            </w:r>
          </w:p>
        </w:tc>
        <w:tc>
          <w:tcPr>
            <w:tcW w:w="992" w:type="dxa"/>
            <w:noWrap w:val="0"/>
            <w:vAlign w:val="center"/>
          </w:tcPr>
          <w:p w14:paraId="6226BD6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7.0</w:t>
            </w:r>
          </w:p>
        </w:tc>
        <w:tc>
          <w:tcPr>
            <w:tcW w:w="918" w:type="dxa"/>
            <w:noWrap w:val="0"/>
            <w:vAlign w:val="center"/>
          </w:tcPr>
          <w:p w14:paraId="57B1461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6.5-8.5</w:t>
            </w:r>
          </w:p>
        </w:tc>
      </w:tr>
      <w:tr w14:paraId="21BF404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079" w:type="dxa"/>
            <w:noWrap w:val="0"/>
            <w:vAlign w:val="center"/>
          </w:tcPr>
          <w:p w14:paraId="2CCE884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总硬度</w:t>
            </w:r>
          </w:p>
        </w:tc>
        <w:tc>
          <w:tcPr>
            <w:tcW w:w="1418" w:type="dxa"/>
            <w:noWrap w:val="0"/>
            <w:vAlign w:val="center"/>
          </w:tcPr>
          <w:p w14:paraId="53690987">
            <w:pPr>
              <w:keepNext w:val="0"/>
              <w:keepLines w:val="0"/>
              <w:widowControl/>
              <w:suppressLineNumbers w:val="0"/>
              <w:wordWrap/>
              <w:adjustRightInd/>
              <w:snapToGrid/>
              <w:spacing w:before="0" w:beforeAutospacing="0" w:after="0" w:afterAutospacing="0" w:line="240" w:lineRule="exact"/>
              <w:ind w:left="0" w:right="0" w:firstLine="0" w:firstLineChars="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color w:val="000000"/>
                <w:sz w:val="21"/>
                <w:szCs w:val="21"/>
                <w:highlight w:val="none"/>
              </w:rPr>
              <w:t>mg/L</w:t>
            </w:r>
          </w:p>
        </w:tc>
        <w:tc>
          <w:tcPr>
            <w:tcW w:w="992" w:type="dxa"/>
            <w:noWrap w:val="0"/>
            <w:vAlign w:val="center"/>
          </w:tcPr>
          <w:p w14:paraId="164397D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202</w:t>
            </w:r>
          </w:p>
        </w:tc>
        <w:tc>
          <w:tcPr>
            <w:tcW w:w="1063" w:type="dxa"/>
            <w:noWrap w:val="0"/>
            <w:vAlign w:val="center"/>
          </w:tcPr>
          <w:p w14:paraId="489537D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290</w:t>
            </w:r>
          </w:p>
        </w:tc>
        <w:tc>
          <w:tcPr>
            <w:tcW w:w="1103" w:type="dxa"/>
            <w:noWrap w:val="0"/>
            <w:vAlign w:val="center"/>
          </w:tcPr>
          <w:p w14:paraId="4C03E12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295</w:t>
            </w:r>
          </w:p>
        </w:tc>
        <w:tc>
          <w:tcPr>
            <w:tcW w:w="1090" w:type="dxa"/>
            <w:noWrap w:val="0"/>
            <w:vAlign w:val="center"/>
          </w:tcPr>
          <w:p w14:paraId="6D5EA5D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280</w:t>
            </w:r>
          </w:p>
        </w:tc>
        <w:tc>
          <w:tcPr>
            <w:tcW w:w="1091" w:type="dxa"/>
            <w:noWrap w:val="0"/>
            <w:vAlign w:val="center"/>
          </w:tcPr>
          <w:p w14:paraId="7CC6007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310</w:t>
            </w:r>
          </w:p>
        </w:tc>
        <w:tc>
          <w:tcPr>
            <w:tcW w:w="995" w:type="dxa"/>
            <w:noWrap w:val="0"/>
            <w:vAlign w:val="center"/>
          </w:tcPr>
          <w:p w14:paraId="4636A23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277</w:t>
            </w:r>
          </w:p>
        </w:tc>
        <w:tc>
          <w:tcPr>
            <w:tcW w:w="992" w:type="dxa"/>
            <w:noWrap w:val="0"/>
            <w:vAlign w:val="center"/>
          </w:tcPr>
          <w:p w14:paraId="06EB97D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284</w:t>
            </w:r>
          </w:p>
        </w:tc>
        <w:tc>
          <w:tcPr>
            <w:tcW w:w="918" w:type="dxa"/>
            <w:noWrap w:val="0"/>
            <w:vAlign w:val="center"/>
          </w:tcPr>
          <w:p w14:paraId="1988EAA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≤450</w:t>
            </w:r>
          </w:p>
        </w:tc>
      </w:tr>
      <w:tr w14:paraId="02AAF1C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079" w:type="dxa"/>
            <w:noWrap w:val="0"/>
            <w:vAlign w:val="center"/>
          </w:tcPr>
          <w:p w14:paraId="75BDBEE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溶解性总固体</w:t>
            </w:r>
          </w:p>
        </w:tc>
        <w:tc>
          <w:tcPr>
            <w:tcW w:w="1418" w:type="dxa"/>
            <w:noWrap w:val="0"/>
            <w:vAlign w:val="center"/>
          </w:tcPr>
          <w:p w14:paraId="1F902524">
            <w:pPr>
              <w:keepNext w:val="0"/>
              <w:keepLines w:val="0"/>
              <w:widowControl/>
              <w:suppressLineNumbers w:val="0"/>
              <w:wordWrap/>
              <w:adjustRightInd/>
              <w:snapToGrid/>
              <w:spacing w:before="0" w:beforeAutospacing="0" w:after="0" w:afterAutospacing="0" w:line="240" w:lineRule="exact"/>
              <w:ind w:left="0" w:right="0" w:firstLine="0" w:firstLineChars="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color w:val="000000"/>
                <w:sz w:val="21"/>
                <w:szCs w:val="21"/>
                <w:highlight w:val="none"/>
              </w:rPr>
              <w:t>mg/L</w:t>
            </w:r>
          </w:p>
        </w:tc>
        <w:tc>
          <w:tcPr>
            <w:tcW w:w="992" w:type="dxa"/>
            <w:noWrap w:val="0"/>
            <w:vAlign w:val="center"/>
          </w:tcPr>
          <w:p w14:paraId="57662F5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373</w:t>
            </w:r>
          </w:p>
        </w:tc>
        <w:tc>
          <w:tcPr>
            <w:tcW w:w="1063" w:type="dxa"/>
            <w:noWrap w:val="0"/>
            <w:vAlign w:val="center"/>
          </w:tcPr>
          <w:p w14:paraId="5D72847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342</w:t>
            </w:r>
          </w:p>
        </w:tc>
        <w:tc>
          <w:tcPr>
            <w:tcW w:w="1103" w:type="dxa"/>
            <w:noWrap w:val="0"/>
            <w:vAlign w:val="center"/>
          </w:tcPr>
          <w:p w14:paraId="2255417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358</w:t>
            </w:r>
          </w:p>
        </w:tc>
        <w:tc>
          <w:tcPr>
            <w:tcW w:w="1090" w:type="dxa"/>
            <w:noWrap w:val="0"/>
            <w:vAlign w:val="center"/>
          </w:tcPr>
          <w:p w14:paraId="683E3EC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367</w:t>
            </w:r>
          </w:p>
        </w:tc>
        <w:tc>
          <w:tcPr>
            <w:tcW w:w="1091" w:type="dxa"/>
            <w:noWrap w:val="0"/>
            <w:vAlign w:val="center"/>
          </w:tcPr>
          <w:p w14:paraId="310320E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396</w:t>
            </w:r>
          </w:p>
        </w:tc>
        <w:tc>
          <w:tcPr>
            <w:tcW w:w="995" w:type="dxa"/>
            <w:noWrap w:val="0"/>
            <w:vAlign w:val="center"/>
          </w:tcPr>
          <w:p w14:paraId="5773423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335</w:t>
            </w:r>
          </w:p>
        </w:tc>
        <w:tc>
          <w:tcPr>
            <w:tcW w:w="992" w:type="dxa"/>
            <w:noWrap w:val="0"/>
            <w:vAlign w:val="center"/>
          </w:tcPr>
          <w:p w14:paraId="76C2E68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367</w:t>
            </w:r>
          </w:p>
        </w:tc>
        <w:tc>
          <w:tcPr>
            <w:tcW w:w="918" w:type="dxa"/>
            <w:noWrap w:val="0"/>
            <w:vAlign w:val="center"/>
          </w:tcPr>
          <w:p w14:paraId="7E2EA42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≤1000</w:t>
            </w:r>
          </w:p>
        </w:tc>
      </w:tr>
      <w:tr w14:paraId="33DFEF1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079" w:type="dxa"/>
            <w:noWrap w:val="0"/>
            <w:vAlign w:val="center"/>
          </w:tcPr>
          <w:p w14:paraId="3D38F0E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硫酸盐</w:t>
            </w:r>
          </w:p>
        </w:tc>
        <w:tc>
          <w:tcPr>
            <w:tcW w:w="1418" w:type="dxa"/>
            <w:noWrap w:val="0"/>
            <w:vAlign w:val="center"/>
          </w:tcPr>
          <w:p w14:paraId="52531ED0">
            <w:pPr>
              <w:keepNext w:val="0"/>
              <w:keepLines w:val="0"/>
              <w:widowControl/>
              <w:suppressLineNumbers w:val="0"/>
              <w:wordWrap/>
              <w:adjustRightInd/>
              <w:snapToGrid/>
              <w:spacing w:before="0" w:beforeAutospacing="0" w:after="0" w:afterAutospacing="0" w:line="240" w:lineRule="exact"/>
              <w:ind w:left="0" w:right="0" w:firstLine="0" w:firstLineChars="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color w:val="000000"/>
                <w:sz w:val="21"/>
                <w:szCs w:val="21"/>
                <w:highlight w:val="none"/>
              </w:rPr>
              <w:t>mg/L</w:t>
            </w:r>
          </w:p>
        </w:tc>
        <w:tc>
          <w:tcPr>
            <w:tcW w:w="992" w:type="dxa"/>
            <w:noWrap w:val="0"/>
            <w:vAlign w:val="center"/>
          </w:tcPr>
          <w:p w14:paraId="6725DAC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50</w:t>
            </w:r>
          </w:p>
        </w:tc>
        <w:tc>
          <w:tcPr>
            <w:tcW w:w="1063" w:type="dxa"/>
            <w:noWrap w:val="0"/>
            <w:vAlign w:val="center"/>
          </w:tcPr>
          <w:p w14:paraId="56179DC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9</w:t>
            </w:r>
          </w:p>
        </w:tc>
        <w:tc>
          <w:tcPr>
            <w:tcW w:w="1103" w:type="dxa"/>
            <w:noWrap w:val="0"/>
            <w:vAlign w:val="center"/>
          </w:tcPr>
          <w:p w14:paraId="6A38072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8L</w:t>
            </w:r>
          </w:p>
        </w:tc>
        <w:tc>
          <w:tcPr>
            <w:tcW w:w="1090" w:type="dxa"/>
            <w:noWrap w:val="0"/>
            <w:vAlign w:val="center"/>
          </w:tcPr>
          <w:p w14:paraId="45DDEB1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8L</w:t>
            </w:r>
          </w:p>
        </w:tc>
        <w:tc>
          <w:tcPr>
            <w:tcW w:w="1091" w:type="dxa"/>
            <w:noWrap w:val="0"/>
            <w:vAlign w:val="center"/>
          </w:tcPr>
          <w:p w14:paraId="2DDE0BC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8L</w:t>
            </w:r>
          </w:p>
        </w:tc>
        <w:tc>
          <w:tcPr>
            <w:tcW w:w="995" w:type="dxa"/>
            <w:noWrap w:val="0"/>
            <w:vAlign w:val="center"/>
          </w:tcPr>
          <w:p w14:paraId="5BDAA61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8L</w:t>
            </w:r>
          </w:p>
        </w:tc>
        <w:tc>
          <w:tcPr>
            <w:tcW w:w="992" w:type="dxa"/>
            <w:noWrap w:val="0"/>
            <w:vAlign w:val="center"/>
          </w:tcPr>
          <w:p w14:paraId="00E85EF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8L</w:t>
            </w:r>
          </w:p>
        </w:tc>
        <w:tc>
          <w:tcPr>
            <w:tcW w:w="918" w:type="dxa"/>
            <w:noWrap w:val="0"/>
            <w:vAlign w:val="center"/>
          </w:tcPr>
          <w:p w14:paraId="7351A2A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≤250</w:t>
            </w:r>
          </w:p>
        </w:tc>
      </w:tr>
      <w:tr w14:paraId="077C34B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079" w:type="dxa"/>
            <w:noWrap w:val="0"/>
            <w:vAlign w:val="center"/>
          </w:tcPr>
          <w:p w14:paraId="1678BFF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氯化物</w:t>
            </w:r>
          </w:p>
        </w:tc>
        <w:tc>
          <w:tcPr>
            <w:tcW w:w="1418" w:type="dxa"/>
            <w:noWrap w:val="0"/>
            <w:vAlign w:val="center"/>
          </w:tcPr>
          <w:p w14:paraId="51DA311F">
            <w:pPr>
              <w:keepNext w:val="0"/>
              <w:keepLines w:val="0"/>
              <w:widowControl/>
              <w:suppressLineNumbers w:val="0"/>
              <w:wordWrap/>
              <w:adjustRightInd/>
              <w:snapToGrid/>
              <w:spacing w:before="0" w:beforeAutospacing="0" w:after="0" w:afterAutospacing="0" w:line="240" w:lineRule="exact"/>
              <w:ind w:left="0" w:right="0" w:firstLine="0" w:firstLineChars="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color w:val="000000"/>
                <w:sz w:val="21"/>
                <w:szCs w:val="21"/>
                <w:highlight w:val="none"/>
              </w:rPr>
              <w:t>mg/L</w:t>
            </w:r>
          </w:p>
        </w:tc>
        <w:tc>
          <w:tcPr>
            <w:tcW w:w="992" w:type="dxa"/>
            <w:noWrap w:val="0"/>
            <w:vAlign w:val="center"/>
          </w:tcPr>
          <w:p w14:paraId="3A56E04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29.0</w:t>
            </w:r>
          </w:p>
        </w:tc>
        <w:tc>
          <w:tcPr>
            <w:tcW w:w="1063" w:type="dxa"/>
            <w:noWrap w:val="0"/>
            <w:vAlign w:val="center"/>
          </w:tcPr>
          <w:p w14:paraId="44315F8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10L</w:t>
            </w:r>
          </w:p>
        </w:tc>
        <w:tc>
          <w:tcPr>
            <w:tcW w:w="1103" w:type="dxa"/>
            <w:noWrap w:val="0"/>
            <w:vAlign w:val="center"/>
          </w:tcPr>
          <w:p w14:paraId="3B2F45D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10L</w:t>
            </w:r>
          </w:p>
        </w:tc>
        <w:tc>
          <w:tcPr>
            <w:tcW w:w="1090" w:type="dxa"/>
            <w:noWrap w:val="0"/>
            <w:vAlign w:val="center"/>
          </w:tcPr>
          <w:p w14:paraId="79DE2D2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10L</w:t>
            </w:r>
          </w:p>
        </w:tc>
        <w:tc>
          <w:tcPr>
            <w:tcW w:w="1091" w:type="dxa"/>
            <w:noWrap w:val="0"/>
            <w:vAlign w:val="center"/>
          </w:tcPr>
          <w:p w14:paraId="38273E3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10L</w:t>
            </w:r>
          </w:p>
        </w:tc>
        <w:tc>
          <w:tcPr>
            <w:tcW w:w="995" w:type="dxa"/>
            <w:noWrap w:val="0"/>
            <w:vAlign w:val="center"/>
          </w:tcPr>
          <w:p w14:paraId="27AA6BE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10L</w:t>
            </w:r>
          </w:p>
        </w:tc>
        <w:tc>
          <w:tcPr>
            <w:tcW w:w="992" w:type="dxa"/>
            <w:noWrap w:val="0"/>
            <w:vAlign w:val="center"/>
          </w:tcPr>
          <w:p w14:paraId="7BBAA68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10L</w:t>
            </w:r>
          </w:p>
        </w:tc>
        <w:tc>
          <w:tcPr>
            <w:tcW w:w="918" w:type="dxa"/>
            <w:noWrap w:val="0"/>
            <w:vAlign w:val="center"/>
          </w:tcPr>
          <w:p w14:paraId="0297FD3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≤250</w:t>
            </w:r>
          </w:p>
        </w:tc>
      </w:tr>
      <w:tr w14:paraId="1D14EA8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079" w:type="dxa"/>
            <w:noWrap w:val="0"/>
            <w:vAlign w:val="center"/>
          </w:tcPr>
          <w:p w14:paraId="3346537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铁</w:t>
            </w:r>
          </w:p>
        </w:tc>
        <w:tc>
          <w:tcPr>
            <w:tcW w:w="1418" w:type="dxa"/>
            <w:noWrap w:val="0"/>
            <w:vAlign w:val="center"/>
          </w:tcPr>
          <w:p w14:paraId="08EF7200">
            <w:pPr>
              <w:keepNext w:val="0"/>
              <w:keepLines w:val="0"/>
              <w:widowControl/>
              <w:suppressLineNumbers w:val="0"/>
              <w:wordWrap/>
              <w:adjustRightInd/>
              <w:snapToGrid/>
              <w:spacing w:before="0" w:beforeAutospacing="0" w:after="0" w:afterAutospacing="0" w:line="240" w:lineRule="exact"/>
              <w:ind w:left="0" w:right="0" w:firstLine="0" w:firstLineChars="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color w:val="000000"/>
                <w:sz w:val="21"/>
                <w:szCs w:val="21"/>
                <w:highlight w:val="none"/>
              </w:rPr>
              <w:t>mg/L</w:t>
            </w:r>
          </w:p>
        </w:tc>
        <w:tc>
          <w:tcPr>
            <w:tcW w:w="992" w:type="dxa"/>
            <w:noWrap w:val="0"/>
            <w:vAlign w:val="center"/>
          </w:tcPr>
          <w:p w14:paraId="7F5D1EC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0.03L</w:t>
            </w:r>
          </w:p>
        </w:tc>
        <w:tc>
          <w:tcPr>
            <w:tcW w:w="1063" w:type="dxa"/>
            <w:noWrap w:val="0"/>
            <w:vAlign w:val="center"/>
          </w:tcPr>
          <w:p w14:paraId="3AB90DB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0.03L</w:t>
            </w:r>
          </w:p>
        </w:tc>
        <w:tc>
          <w:tcPr>
            <w:tcW w:w="1103" w:type="dxa"/>
            <w:noWrap w:val="0"/>
            <w:vAlign w:val="center"/>
          </w:tcPr>
          <w:p w14:paraId="70941E2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0.03L</w:t>
            </w:r>
          </w:p>
        </w:tc>
        <w:tc>
          <w:tcPr>
            <w:tcW w:w="1090" w:type="dxa"/>
            <w:noWrap w:val="0"/>
            <w:vAlign w:val="center"/>
          </w:tcPr>
          <w:p w14:paraId="00EFCF3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0.03L</w:t>
            </w:r>
          </w:p>
        </w:tc>
        <w:tc>
          <w:tcPr>
            <w:tcW w:w="1091" w:type="dxa"/>
            <w:noWrap w:val="0"/>
            <w:vAlign w:val="center"/>
          </w:tcPr>
          <w:p w14:paraId="45F95E1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0.03L</w:t>
            </w:r>
          </w:p>
        </w:tc>
        <w:tc>
          <w:tcPr>
            <w:tcW w:w="995" w:type="dxa"/>
            <w:noWrap w:val="0"/>
            <w:vAlign w:val="center"/>
          </w:tcPr>
          <w:p w14:paraId="6427381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0.03L</w:t>
            </w:r>
          </w:p>
        </w:tc>
        <w:tc>
          <w:tcPr>
            <w:tcW w:w="992" w:type="dxa"/>
            <w:noWrap w:val="0"/>
            <w:vAlign w:val="center"/>
          </w:tcPr>
          <w:p w14:paraId="4F531EB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0.03L</w:t>
            </w:r>
          </w:p>
        </w:tc>
        <w:tc>
          <w:tcPr>
            <w:tcW w:w="918" w:type="dxa"/>
            <w:noWrap w:val="0"/>
            <w:vAlign w:val="center"/>
          </w:tcPr>
          <w:p w14:paraId="7D660AC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≤0.3</w:t>
            </w:r>
          </w:p>
        </w:tc>
      </w:tr>
      <w:tr w14:paraId="52C1229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079" w:type="dxa"/>
            <w:noWrap w:val="0"/>
            <w:vAlign w:val="center"/>
          </w:tcPr>
          <w:p w14:paraId="092E82A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锰</w:t>
            </w:r>
          </w:p>
        </w:tc>
        <w:tc>
          <w:tcPr>
            <w:tcW w:w="1418" w:type="dxa"/>
            <w:noWrap w:val="0"/>
            <w:vAlign w:val="center"/>
          </w:tcPr>
          <w:p w14:paraId="07E8EF76">
            <w:pPr>
              <w:keepNext w:val="0"/>
              <w:keepLines w:val="0"/>
              <w:widowControl/>
              <w:suppressLineNumbers w:val="0"/>
              <w:wordWrap/>
              <w:adjustRightInd/>
              <w:snapToGrid/>
              <w:spacing w:before="0" w:beforeAutospacing="0" w:after="0" w:afterAutospacing="0" w:line="240" w:lineRule="exact"/>
              <w:ind w:left="0" w:right="0" w:firstLine="0" w:firstLineChars="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color w:val="000000"/>
                <w:sz w:val="21"/>
                <w:szCs w:val="21"/>
                <w:highlight w:val="none"/>
              </w:rPr>
              <w:t>mg/L</w:t>
            </w:r>
          </w:p>
        </w:tc>
        <w:tc>
          <w:tcPr>
            <w:tcW w:w="992" w:type="dxa"/>
            <w:noWrap w:val="0"/>
            <w:vAlign w:val="center"/>
          </w:tcPr>
          <w:p w14:paraId="6C9ACF2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0.01L</w:t>
            </w:r>
          </w:p>
        </w:tc>
        <w:tc>
          <w:tcPr>
            <w:tcW w:w="1063" w:type="dxa"/>
            <w:noWrap w:val="0"/>
            <w:vAlign w:val="center"/>
          </w:tcPr>
          <w:p w14:paraId="17F88F3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0.08</w:t>
            </w:r>
          </w:p>
        </w:tc>
        <w:tc>
          <w:tcPr>
            <w:tcW w:w="1103" w:type="dxa"/>
            <w:noWrap w:val="0"/>
            <w:vAlign w:val="center"/>
          </w:tcPr>
          <w:p w14:paraId="35620CD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0.05</w:t>
            </w:r>
          </w:p>
        </w:tc>
        <w:tc>
          <w:tcPr>
            <w:tcW w:w="1090" w:type="dxa"/>
            <w:noWrap w:val="0"/>
            <w:vAlign w:val="center"/>
          </w:tcPr>
          <w:p w14:paraId="105DF58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0.08</w:t>
            </w:r>
          </w:p>
        </w:tc>
        <w:tc>
          <w:tcPr>
            <w:tcW w:w="1091" w:type="dxa"/>
            <w:noWrap w:val="0"/>
            <w:vAlign w:val="center"/>
          </w:tcPr>
          <w:p w14:paraId="199FCF5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0.03</w:t>
            </w:r>
          </w:p>
        </w:tc>
        <w:tc>
          <w:tcPr>
            <w:tcW w:w="995" w:type="dxa"/>
            <w:noWrap w:val="0"/>
            <w:vAlign w:val="center"/>
          </w:tcPr>
          <w:p w14:paraId="11CC2F0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0.08</w:t>
            </w:r>
          </w:p>
        </w:tc>
        <w:tc>
          <w:tcPr>
            <w:tcW w:w="992" w:type="dxa"/>
            <w:noWrap w:val="0"/>
            <w:vAlign w:val="center"/>
          </w:tcPr>
          <w:p w14:paraId="67314DC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0.08</w:t>
            </w:r>
          </w:p>
        </w:tc>
        <w:tc>
          <w:tcPr>
            <w:tcW w:w="918" w:type="dxa"/>
            <w:noWrap w:val="0"/>
            <w:vAlign w:val="center"/>
          </w:tcPr>
          <w:p w14:paraId="18715E0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≤0.10</w:t>
            </w:r>
          </w:p>
        </w:tc>
      </w:tr>
      <w:tr w14:paraId="19729D1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079" w:type="dxa"/>
            <w:noWrap w:val="0"/>
            <w:vAlign w:val="center"/>
          </w:tcPr>
          <w:p w14:paraId="3115F75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挥发酚</w:t>
            </w:r>
          </w:p>
        </w:tc>
        <w:tc>
          <w:tcPr>
            <w:tcW w:w="1418" w:type="dxa"/>
            <w:noWrap w:val="0"/>
            <w:vAlign w:val="center"/>
          </w:tcPr>
          <w:p w14:paraId="3FA04183">
            <w:pPr>
              <w:keepNext w:val="0"/>
              <w:keepLines w:val="0"/>
              <w:widowControl/>
              <w:suppressLineNumbers w:val="0"/>
              <w:wordWrap/>
              <w:adjustRightInd/>
              <w:snapToGrid/>
              <w:spacing w:before="0" w:beforeAutospacing="0" w:after="0" w:afterAutospacing="0" w:line="240" w:lineRule="exact"/>
              <w:ind w:left="0" w:right="0" w:firstLine="0" w:firstLineChars="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color w:val="000000"/>
                <w:sz w:val="21"/>
                <w:szCs w:val="21"/>
                <w:highlight w:val="none"/>
              </w:rPr>
              <w:t>mg/L</w:t>
            </w:r>
          </w:p>
        </w:tc>
        <w:tc>
          <w:tcPr>
            <w:tcW w:w="992" w:type="dxa"/>
            <w:noWrap w:val="0"/>
            <w:vAlign w:val="center"/>
          </w:tcPr>
          <w:p w14:paraId="54E53CF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0.0003L</w:t>
            </w:r>
          </w:p>
        </w:tc>
        <w:tc>
          <w:tcPr>
            <w:tcW w:w="1063" w:type="dxa"/>
            <w:noWrap w:val="0"/>
            <w:vAlign w:val="center"/>
          </w:tcPr>
          <w:p w14:paraId="2E0763E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0.0003L</w:t>
            </w:r>
          </w:p>
        </w:tc>
        <w:tc>
          <w:tcPr>
            <w:tcW w:w="1103" w:type="dxa"/>
            <w:noWrap w:val="0"/>
            <w:vAlign w:val="center"/>
          </w:tcPr>
          <w:p w14:paraId="753FD87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0.0003L</w:t>
            </w:r>
          </w:p>
        </w:tc>
        <w:tc>
          <w:tcPr>
            <w:tcW w:w="1090" w:type="dxa"/>
            <w:noWrap w:val="0"/>
            <w:vAlign w:val="center"/>
          </w:tcPr>
          <w:p w14:paraId="716C34C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0.0003L</w:t>
            </w:r>
          </w:p>
        </w:tc>
        <w:tc>
          <w:tcPr>
            <w:tcW w:w="1091" w:type="dxa"/>
            <w:noWrap w:val="0"/>
            <w:vAlign w:val="center"/>
          </w:tcPr>
          <w:p w14:paraId="06D7FE3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0.0003L</w:t>
            </w:r>
          </w:p>
        </w:tc>
        <w:tc>
          <w:tcPr>
            <w:tcW w:w="995" w:type="dxa"/>
            <w:noWrap w:val="0"/>
            <w:vAlign w:val="center"/>
          </w:tcPr>
          <w:p w14:paraId="7642616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0.0003L</w:t>
            </w:r>
          </w:p>
        </w:tc>
        <w:tc>
          <w:tcPr>
            <w:tcW w:w="992" w:type="dxa"/>
            <w:noWrap w:val="0"/>
            <w:vAlign w:val="center"/>
          </w:tcPr>
          <w:p w14:paraId="3F599CC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0.0003L</w:t>
            </w:r>
          </w:p>
        </w:tc>
        <w:tc>
          <w:tcPr>
            <w:tcW w:w="918" w:type="dxa"/>
            <w:noWrap w:val="0"/>
            <w:vAlign w:val="center"/>
          </w:tcPr>
          <w:p w14:paraId="61F1EDF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≤0.002</w:t>
            </w:r>
          </w:p>
        </w:tc>
      </w:tr>
      <w:tr w14:paraId="3F64B62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079" w:type="dxa"/>
            <w:noWrap w:val="0"/>
            <w:vAlign w:val="center"/>
          </w:tcPr>
          <w:p w14:paraId="5E103AE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耗氧量</w:t>
            </w:r>
          </w:p>
        </w:tc>
        <w:tc>
          <w:tcPr>
            <w:tcW w:w="1418" w:type="dxa"/>
            <w:noWrap w:val="0"/>
            <w:vAlign w:val="center"/>
          </w:tcPr>
          <w:p w14:paraId="55CFA97B">
            <w:pPr>
              <w:keepNext w:val="0"/>
              <w:keepLines w:val="0"/>
              <w:widowControl/>
              <w:suppressLineNumbers w:val="0"/>
              <w:wordWrap/>
              <w:adjustRightInd/>
              <w:snapToGrid/>
              <w:spacing w:before="0" w:beforeAutospacing="0" w:after="0" w:afterAutospacing="0" w:line="240" w:lineRule="exact"/>
              <w:ind w:left="0" w:right="0" w:firstLine="0" w:firstLineChars="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color w:val="000000"/>
                <w:sz w:val="21"/>
                <w:szCs w:val="21"/>
                <w:highlight w:val="none"/>
              </w:rPr>
              <w:t>mg/L</w:t>
            </w:r>
          </w:p>
        </w:tc>
        <w:tc>
          <w:tcPr>
            <w:tcW w:w="992" w:type="dxa"/>
            <w:noWrap w:val="0"/>
            <w:vAlign w:val="center"/>
          </w:tcPr>
          <w:p w14:paraId="41EB78A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0.6</w:t>
            </w:r>
          </w:p>
        </w:tc>
        <w:tc>
          <w:tcPr>
            <w:tcW w:w="1063" w:type="dxa"/>
            <w:noWrap w:val="0"/>
            <w:vAlign w:val="center"/>
          </w:tcPr>
          <w:p w14:paraId="1FE2E10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0.6</w:t>
            </w:r>
          </w:p>
        </w:tc>
        <w:tc>
          <w:tcPr>
            <w:tcW w:w="1103" w:type="dxa"/>
            <w:noWrap w:val="0"/>
            <w:vAlign w:val="center"/>
          </w:tcPr>
          <w:p w14:paraId="028D644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0.8</w:t>
            </w:r>
          </w:p>
        </w:tc>
        <w:tc>
          <w:tcPr>
            <w:tcW w:w="1090" w:type="dxa"/>
            <w:noWrap w:val="0"/>
            <w:vAlign w:val="center"/>
          </w:tcPr>
          <w:p w14:paraId="3BADDEE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0.9</w:t>
            </w:r>
          </w:p>
        </w:tc>
        <w:tc>
          <w:tcPr>
            <w:tcW w:w="1091" w:type="dxa"/>
            <w:noWrap w:val="0"/>
            <w:vAlign w:val="center"/>
          </w:tcPr>
          <w:p w14:paraId="4340269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0.9</w:t>
            </w:r>
          </w:p>
        </w:tc>
        <w:tc>
          <w:tcPr>
            <w:tcW w:w="995" w:type="dxa"/>
            <w:noWrap w:val="0"/>
            <w:vAlign w:val="center"/>
          </w:tcPr>
          <w:p w14:paraId="00175D6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0.8</w:t>
            </w:r>
          </w:p>
        </w:tc>
        <w:tc>
          <w:tcPr>
            <w:tcW w:w="992" w:type="dxa"/>
            <w:noWrap w:val="0"/>
            <w:vAlign w:val="center"/>
          </w:tcPr>
          <w:p w14:paraId="4C48E08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0.9</w:t>
            </w:r>
          </w:p>
        </w:tc>
        <w:tc>
          <w:tcPr>
            <w:tcW w:w="918" w:type="dxa"/>
            <w:noWrap w:val="0"/>
            <w:vAlign w:val="center"/>
          </w:tcPr>
          <w:p w14:paraId="1ED8B8F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≤3.0</w:t>
            </w:r>
          </w:p>
        </w:tc>
      </w:tr>
      <w:tr w14:paraId="3C7E647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079" w:type="dxa"/>
            <w:noWrap w:val="0"/>
            <w:vAlign w:val="center"/>
          </w:tcPr>
          <w:p w14:paraId="320EBE8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氨氮</w:t>
            </w:r>
          </w:p>
        </w:tc>
        <w:tc>
          <w:tcPr>
            <w:tcW w:w="1418" w:type="dxa"/>
            <w:noWrap w:val="0"/>
            <w:vAlign w:val="center"/>
          </w:tcPr>
          <w:p w14:paraId="2FCDFE69">
            <w:pPr>
              <w:keepNext w:val="0"/>
              <w:keepLines w:val="0"/>
              <w:widowControl/>
              <w:suppressLineNumbers w:val="0"/>
              <w:wordWrap/>
              <w:adjustRightInd/>
              <w:snapToGrid/>
              <w:spacing w:before="0" w:beforeAutospacing="0" w:after="0" w:afterAutospacing="0" w:line="240" w:lineRule="exact"/>
              <w:ind w:left="0" w:right="0" w:firstLine="0" w:firstLineChars="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color w:val="000000"/>
                <w:sz w:val="21"/>
                <w:szCs w:val="21"/>
                <w:highlight w:val="none"/>
              </w:rPr>
              <w:t>mg/L</w:t>
            </w:r>
          </w:p>
        </w:tc>
        <w:tc>
          <w:tcPr>
            <w:tcW w:w="992" w:type="dxa"/>
            <w:noWrap w:val="0"/>
            <w:vAlign w:val="center"/>
          </w:tcPr>
          <w:p w14:paraId="45092EE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0.037</w:t>
            </w:r>
          </w:p>
        </w:tc>
        <w:tc>
          <w:tcPr>
            <w:tcW w:w="1063" w:type="dxa"/>
            <w:noWrap w:val="0"/>
            <w:vAlign w:val="center"/>
          </w:tcPr>
          <w:p w14:paraId="49E1252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0.034</w:t>
            </w:r>
          </w:p>
        </w:tc>
        <w:tc>
          <w:tcPr>
            <w:tcW w:w="1103" w:type="dxa"/>
            <w:noWrap w:val="0"/>
            <w:vAlign w:val="center"/>
          </w:tcPr>
          <w:p w14:paraId="0DAA7E9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0.045</w:t>
            </w:r>
          </w:p>
        </w:tc>
        <w:tc>
          <w:tcPr>
            <w:tcW w:w="1090" w:type="dxa"/>
            <w:noWrap w:val="0"/>
            <w:vAlign w:val="center"/>
          </w:tcPr>
          <w:p w14:paraId="3C1FFAE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0.042</w:t>
            </w:r>
          </w:p>
        </w:tc>
        <w:tc>
          <w:tcPr>
            <w:tcW w:w="1091" w:type="dxa"/>
            <w:noWrap w:val="0"/>
            <w:vAlign w:val="center"/>
          </w:tcPr>
          <w:p w14:paraId="604A8B5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0.048</w:t>
            </w:r>
          </w:p>
        </w:tc>
        <w:tc>
          <w:tcPr>
            <w:tcW w:w="995" w:type="dxa"/>
            <w:noWrap w:val="0"/>
            <w:vAlign w:val="center"/>
          </w:tcPr>
          <w:p w14:paraId="7672291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0.042</w:t>
            </w:r>
          </w:p>
        </w:tc>
        <w:tc>
          <w:tcPr>
            <w:tcW w:w="992" w:type="dxa"/>
            <w:noWrap w:val="0"/>
            <w:vAlign w:val="center"/>
          </w:tcPr>
          <w:p w14:paraId="51D0EF1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0.039</w:t>
            </w:r>
          </w:p>
        </w:tc>
        <w:tc>
          <w:tcPr>
            <w:tcW w:w="918" w:type="dxa"/>
            <w:noWrap w:val="0"/>
            <w:vAlign w:val="center"/>
          </w:tcPr>
          <w:p w14:paraId="30D139D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≤0.50</w:t>
            </w:r>
          </w:p>
        </w:tc>
      </w:tr>
      <w:tr w14:paraId="3D6BB09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079" w:type="dxa"/>
            <w:noWrap w:val="0"/>
            <w:vAlign w:val="center"/>
          </w:tcPr>
          <w:p w14:paraId="2F69BBB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总大肠</w:t>
            </w:r>
          </w:p>
          <w:p w14:paraId="252A0C4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菌群</w:t>
            </w:r>
          </w:p>
        </w:tc>
        <w:tc>
          <w:tcPr>
            <w:tcW w:w="1418" w:type="dxa"/>
            <w:noWrap w:val="0"/>
            <w:vAlign w:val="center"/>
          </w:tcPr>
          <w:p w14:paraId="376012E1">
            <w:pPr>
              <w:keepNext w:val="0"/>
              <w:keepLines w:val="0"/>
              <w:widowControl/>
              <w:suppressLineNumbers w:val="0"/>
              <w:wordWrap/>
              <w:adjustRightInd/>
              <w:snapToGrid/>
              <w:spacing w:before="0" w:beforeAutospacing="0" w:after="0" w:afterAutospacing="0" w:line="240" w:lineRule="exact"/>
              <w:ind w:left="0" w:right="0" w:firstLine="0" w:firstLineChars="0"/>
              <w:jc w:val="center"/>
              <w:rPr>
                <w:rFonts w:hint="default" w:ascii="Times New Roman" w:hAnsi="Times New Roman" w:eastAsia="宋体" w:cs="Times New Roman"/>
                <w:b/>
                <w:color w:val="000000"/>
                <w:sz w:val="21"/>
                <w:szCs w:val="21"/>
                <w:highlight w:val="none"/>
              </w:rPr>
            </w:pPr>
            <w:r>
              <w:rPr>
                <w:rFonts w:hint="eastAsia" w:ascii="Times New Roman" w:hAnsi="Times New Roman" w:eastAsia="宋体" w:cs="Times New Roman"/>
                <w:b/>
                <w:color w:val="000000"/>
                <w:sz w:val="21"/>
                <w:szCs w:val="21"/>
                <w:highlight w:val="none"/>
              </w:rPr>
              <w:t>MPN/100mL</w:t>
            </w:r>
          </w:p>
        </w:tc>
        <w:tc>
          <w:tcPr>
            <w:tcW w:w="992" w:type="dxa"/>
            <w:noWrap w:val="0"/>
            <w:vAlign w:val="center"/>
          </w:tcPr>
          <w:p w14:paraId="2895F02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＜2</w:t>
            </w:r>
          </w:p>
        </w:tc>
        <w:tc>
          <w:tcPr>
            <w:tcW w:w="1063" w:type="dxa"/>
            <w:noWrap w:val="0"/>
            <w:vAlign w:val="center"/>
          </w:tcPr>
          <w:p w14:paraId="31A5BB4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＜2</w:t>
            </w:r>
          </w:p>
        </w:tc>
        <w:tc>
          <w:tcPr>
            <w:tcW w:w="1103" w:type="dxa"/>
            <w:noWrap w:val="0"/>
            <w:vAlign w:val="center"/>
          </w:tcPr>
          <w:p w14:paraId="1375E23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＜2</w:t>
            </w:r>
          </w:p>
        </w:tc>
        <w:tc>
          <w:tcPr>
            <w:tcW w:w="1090" w:type="dxa"/>
            <w:noWrap w:val="0"/>
            <w:vAlign w:val="center"/>
          </w:tcPr>
          <w:p w14:paraId="146761D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＜2</w:t>
            </w:r>
          </w:p>
        </w:tc>
        <w:tc>
          <w:tcPr>
            <w:tcW w:w="1091" w:type="dxa"/>
            <w:noWrap w:val="0"/>
            <w:vAlign w:val="center"/>
          </w:tcPr>
          <w:p w14:paraId="1AE54C7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＜2</w:t>
            </w:r>
          </w:p>
        </w:tc>
        <w:tc>
          <w:tcPr>
            <w:tcW w:w="995" w:type="dxa"/>
            <w:noWrap w:val="0"/>
            <w:vAlign w:val="center"/>
          </w:tcPr>
          <w:p w14:paraId="08CFC3B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＜2</w:t>
            </w:r>
          </w:p>
        </w:tc>
        <w:tc>
          <w:tcPr>
            <w:tcW w:w="992" w:type="dxa"/>
            <w:noWrap w:val="0"/>
            <w:vAlign w:val="center"/>
          </w:tcPr>
          <w:p w14:paraId="019AFA5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＜2</w:t>
            </w:r>
          </w:p>
        </w:tc>
        <w:tc>
          <w:tcPr>
            <w:tcW w:w="918" w:type="dxa"/>
            <w:noWrap w:val="0"/>
            <w:vAlign w:val="center"/>
          </w:tcPr>
          <w:p w14:paraId="2BF4008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≤3.0</w:t>
            </w:r>
          </w:p>
        </w:tc>
      </w:tr>
      <w:tr w14:paraId="6173C67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079" w:type="dxa"/>
            <w:noWrap w:val="0"/>
            <w:vAlign w:val="center"/>
          </w:tcPr>
          <w:p w14:paraId="0124921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菌落总数</w:t>
            </w:r>
          </w:p>
        </w:tc>
        <w:tc>
          <w:tcPr>
            <w:tcW w:w="1418" w:type="dxa"/>
            <w:noWrap w:val="0"/>
            <w:vAlign w:val="center"/>
          </w:tcPr>
          <w:p w14:paraId="76DF4848">
            <w:pPr>
              <w:keepNext w:val="0"/>
              <w:keepLines w:val="0"/>
              <w:widowControl/>
              <w:suppressLineNumbers w:val="0"/>
              <w:wordWrap/>
              <w:adjustRightInd/>
              <w:snapToGrid/>
              <w:spacing w:before="0" w:beforeAutospacing="0" w:after="0" w:afterAutospacing="0" w:line="240" w:lineRule="exact"/>
              <w:ind w:left="0" w:right="0" w:firstLine="0" w:firstLineChars="0"/>
              <w:jc w:val="center"/>
              <w:rPr>
                <w:rFonts w:hint="default" w:ascii="Times New Roman" w:hAnsi="Times New Roman" w:eastAsia="宋体" w:cs="Times New Roman"/>
                <w:b/>
                <w:color w:val="000000"/>
                <w:sz w:val="21"/>
                <w:szCs w:val="21"/>
                <w:highlight w:val="none"/>
              </w:rPr>
            </w:pPr>
            <w:r>
              <w:rPr>
                <w:rFonts w:hint="eastAsia" w:ascii="Times New Roman" w:hAnsi="Times New Roman" w:eastAsia="宋体" w:cs="Times New Roman"/>
                <w:b/>
                <w:color w:val="000000"/>
                <w:sz w:val="21"/>
                <w:szCs w:val="21"/>
                <w:highlight w:val="none"/>
              </w:rPr>
              <w:t>CFU/mL</w:t>
            </w:r>
          </w:p>
        </w:tc>
        <w:tc>
          <w:tcPr>
            <w:tcW w:w="992" w:type="dxa"/>
            <w:noWrap w:val="0"/>
            <w:vAlign w:val="center"/>
          </w:tcPr>
          <w:p w14:paraId="790B841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未检出</w:t>
            </w:r>
          </w:p>
        </w:tc>
        <w:tc>
          <w:tcPr>
            <w:tcW w:w="1063" w:type="dxa"/>
            <w:noWrap w:val="0"/>
            <w:vAlign w:val="center"/>
          </w:tcPr>
          <w:p w14:paraId="5083988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未检出</w:t>
            </w:r>
          </w:p>
        </w:tc>
        <w:tc>
          <w:tcPr>
            <w:tcW w:w="1103" w:type="dxa"/>
            <w:noWrap w:val="0"/>
            <w:vAlign w:val="center"/>
          </w:tcPr>
          <w:p w14:paraId="627AEE2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未检出</w:t>
            </w:r>
          </w:p>
        </w:tc>
        <w:tc>
          <w:tcPr>
            <w:tcW w:w="1090" w:type="dxa"/>
            <w:noWrap w:val="0"/>
            <w:vAlign w:val="center"/>
          </w:tcPr>
          <w:p w14:paraId="6FC0706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未检出</w:t>
            </w:r>
          </w:p>
        </w:tc>
        <w:tc>
          <w:tcPr>
            <w:tcW w:w="1091" w:type="dxa"/>
            <w:noWrap w:val="0"/>
            <w:vAlign w:val="center"/>
          </w:tcPr>
          <w:p w14:paraId="36EBB3C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未检出</w:t>
            </w:r>
          </w:p>
        </w:tc>
        <w:tc>
          <w:tcPr>
            <w:tcW w:w="995" w:type="dxa"/>
            <w:noWrap w:val="0"/>
            <w:vAlign w:val="center"/>
          </w:tcPr>
          <w:p w14:paraId="5BB741D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未检出</w:t>
            </w:r>
          </w:p>
        </w:tc>
        <w:tc>
          <w:tcPr>
            <w:tcW w:w="992" w:type="dxa"/>
            <w:noWrap w:val="0"/>
            <w:vAlign w:val="center"/>
          </w:tcPr>
          <w:p w14:paraId="268A0EA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未检出</w:t>
            </w:r>
          </w:p>
        </w:tc>
        <w:tc>
          <w:tcPr>
            <w:tcW w:w="918" w:type="dxa"/>
            <w:noWrap w:val="0"/>
            <w:vAlign w:val="center"/>
          </w:tcPr>
          <w:p w14:paraId="24E79FD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≤100</w:t>
            </w:r>
          </w:p>
        </w:tc>
      </w:tr>
      <w:tr w14:paraId="2C03359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079" w:type="dxa"/>
            <w:noWrap w:val="0"/>
            <w:vAlign w:val="center"/>
          </w:tcPr>
          <w:p w14:paraId="57694C8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亚硝酸盐</w:t>
            </w:r>
          </w:p>
        </w:tc>
        <w:tc>
          <w:tcPr>
            <w:tcW w:w="1418" w:type="dxa"/>
            <w:noWrap w:val="0"/>
            <w:vAlign w:val="center"/>
          </w:tcPr>
          <w:p w14:paraId="0DA7A25D">
            <w:pPr>
              <w:keepNext w:val="0"/>
              <w:keepLines w:val="0"/>
              <w:widowControl/>
              <w:suppressLineNumbers w:val="0"/>
              <w:wordWrap/>
              <w:adjustRightInd/>
              <w:snapToGrid/>
              <w:spacing w:before="0" w:beforeAutospacing="0" w:after="0" w:afterAutospacing="0" w:line="240" w:lineRule="exact"/>
              <w:ind w:left="0" w:right="0" w:firstLine="0" w:firstLineChars="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color w:val="000000"/>
                <w:sz w:val="21"/>
                <w:szCs w:val="21"/>
                <w:highlight w:val="none"/>
              </w:rPr>
              <w:t>mg/L</w:t>
            </w:r>
          </w:p>
        </w:tc>
        <w:tc>
          <w:tcPr>
            <w:tcW w:w="992" w:type="dxa"/>
            <w:noWrap w:val="0"/>
            <w:vAlign w:val="center"/>
          </w:tcPr>
          <w:p w14:paraId="01B565B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0.003L</w:t>
            </w:r>
          </w:p>
        </w:tc>
        <w:tc>
          <w:tcPr>
            <w:tcW w:w="1063" w:type="dxa"/>
            <w:noWrap w:val="0"/>
            <w:vAlign w:val="center"/>
          </w:tcPr>
          <w:p w14:paraId="20D8326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0.003L</w:t>
            </w:r>
          </w:p>
        </w:tc>
        <w:tc>
          <w:tcPr>
            <w:tcW w:w="1103" w:type="dxa"/>
            <w:noWrap w:val="0"/>
            <w:vAlign w:val="center"/>
          </w:tcPr>
          <w:p w14:paraId="4BD5379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0.003L</w:t>
            </w:r>
          </w:p>
        </w:tc>
        <w:tc>
          <w:tcPr>
            <w:tcW w:w="1090" w:type="dxa"/>
            <w:noWrap w:val="0"/>
            <w:vAlign w:val="center"/>
          </w:tcPr>
          <w:p w14:paraId="1F8DE99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0.003L</w:t>
            </w:r>
          </w:p>
        </w:tc>
        <w:tc>
          <w:tcPr>
            <w:tcW w:w="1091" w:type="dxa"/>
            <w:noWrap w:val="0"/>
            <w:vAlign w:val="center"/>
          </w:tcPr>
          <w:p w14:paraId="22CB83B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0.003L</w:t>
            </w:r>
          </w:p>
        </w:tc>
        <w:tc>
          <w:tcPr>
            <w:tcW w:w="995" w:type="dxa"/>
            <w:noWrap w:val="0"/>
            <w:vAlign w:val="center"/>
          </w:tcPr>
          <w:p w14:paraId="6D6E4CD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0.003L</w:t>
            </w:r>
          </w:p>
        </w:tc>
        <w:tc>
          <w:tcPr>
            <w:tcW w:w="992" w:type="dxa"/>
            <w:noWrap w:val="0"/>
            <w:vAlign w:val="center"/>
          </w:tcPr>
          <w:p w14:paraId="4A01427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0.003L</w:t>
            </w:r>
          </w:p>
        </w:tc>
        <w:tc>
          <w:tcPr>
            <w:tcW w:w="918" w:type="dxa"/>
            <w:noWrap w:val="0"/>
            <w:vAlign w:val="center"/>
          </w:tcPr>
          <w:p w14:paraId="799F234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≤1.00</w:t>
            </w:r>
          </w:p>
        </w:tc>
      </w:tr>
      <w:tr w14:paraId="0C6B43D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079" w:type="dxa"/>
            <w:noWrap w:val="0"/>
            <w:vAlign w:val="center"/>
          </w:tcPr>
          <w:p w14:paraId="6AE33EF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硝酸盐</w:t>
            </w:r>
          </w:p>
        </w:tc>
        <w:tc>
          <w:tcPr>
            <w:tcW w:w="1418" w:type="dxa"/>
            <w:noWrap w:val="0"/>
            <w:vAlign w:val="center"/>
          </w:tcPr>
          <w:p w14:paraId="5DFBDEC9">
            <w:pPr>
              <w:keepNext w:val="0"/>
              <w:keepLines w:val="0"/>
              <w:widowControl/>
              <w:suppressLineNumbers w:val="0"/>
              <w:wordWrap/>
              <w:adjustRightInd/>
              <w:snapToGrid/>
              <w:spacing w:before="0" w:beforeAutospacing="0" w:after="0" w:afterAutospacing="0" w:line="240" w:lineRule="exact"/>
              <w:ind w:left="0" w:right="0" w:firstLine="0" w:firstLineChars="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color w:val="000000"/>
                <w:sz w:val="21"/>
                <w:szCs w:val="21"/>
                <w:highlight w:val="none"/>
              </w:rPr>
              <w:t>mg/L</w:t>
            </w:r>
          </w:p>
        </w:tc>
        <w:tc>
          <w:tcPr>
            <w:tcW w:w="992" w:type="dxa"/>
            <w:noWrap w:val="0"/>
            <w:vAlign w:val="center"/>
          </w:tcPr>
          <w:p w14:paraId="0B8C461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6.07</w:t>
            </w:r>
          </w:p>
        </w:tc>
        <w:tc>
          <w:tcPr>
            <w:tcW w:w="1063" w:type="dxa"/>
            <w:noWrap w:val="0"/>
            <w:vAlign w:val="center"/>
          </w:tcPr>
          <w:p w14:paraId="67AE511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0.64</w:t>
            </w:r>
          </w:p>
        </w:tc>
        <w:tc>
          <w:tcPr>
            <w:tcW w:w="1103" w:type="dxa"/>
            <w:noWrap w:val="0"/>
            <w:vAlign w:val="center"/>
          </w:tcPr>
          <w:p w14:paraId="340749F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0.66</w:t>
            </w:r>
          </w:p>
        </w:tc>
        <w:tc>
          <w:tcPr>
            <w:tcW w:w="1090" w:type="dxa"/>
            <w:noWrap w:val="0"/>
            <w:vAlign w:val="center"/>
          </w:tcPr>
          <w:p w14:paraId="6A24059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0.58</w:t>
            </w:r>
          </w:p>
        </w:tc>
        <w:tc>
          <w:tcPr>
            <w:tcW w:w="1091" w:type="dxa"/>
            <w:noWrap w:val="0"/>
            <w:vAlign w:val="center"/>
          </w:tcPr>
          <w:p w14:paraId="7C69EC6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0.60</w:t>
            </w:r>
          </w:p>
        </w:tc>
        <w:tc>
          <w:tcPr>
            <w:tcW w:w="995" w:type="dxa"/>
            <w:noWrap w:val="0"/>
            <w:vAlign w:val="center"/>
          </w:tcPr>
          <w:p w14:paraId="221E1DF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0.66</w:t>
            </w:r>
          </w:p>
        </w:tc>
        <w:tc>
          <w:tcPr>
            <w:tcW w:w="992" w:type="dxa"/>
            <w:noWrap w:val="0"/>
            <w:vAlign w:val="center"/>
          </w:tcPr>
          <w:p w14:paraId="56A6F29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0.68</w:t>
            </w:r>
          </w:p>
        </w:tc>
        <w:tc>
          <w:tcPr>
            <w:tcW w:w="918" w:type="dxa"/>
            <w:noWrap w:val="0"/>
            <w:vAlign w:val="center"/>
          </w:tcPr>
          <w:p w14:paraId="763B4C8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≤20.0</w:t>
            </w:r>
          </w:p>
        </w:tc>
      </w:tr>
      <w:tr w14:paraId="6DF659D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079" w:type="dxa"/>
            <w:noWrap w:val="0"/>
            <w:vAlign w:val="center"/>
          </w:tcPr>
          <w:p w14:paraId="5D79F72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氰化物</w:t>
            </w:r>
          </w:p>
        </w:tc>
        <w:tc>
          <w:tcPr>
            <w:tcW w:w="1418" w:type="dxa"/>
            <w:noWrap w:val="0"/>
            <w:vAlign w:val="center"/>
          </w:tcPr>
          <w:p w14:paraId="3E0E726B">
            <w:pPr>
              <w:keepNext w:val="0"/>
              <w:keepLines w:val="0"/>
              <w:widowControl/>
              <w:suppressLineNumbers w:val="0"/>
              <w:wordWrap/>
              <w:adjustRightInd/>
              <w:snapToGrid/>
              <w:spacing w:before="0" w:beforeAutospacing="0" w:after="0" w:afterAutospacing="0" w:line="240" w:lineRule="exact"/>
              <w:ind w:left="0" w:right="0" w:firstLine="0" w:firstLineChars="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color w:val="000000"/>
                <w:sz w:val="21"/>
                <w:szCs w:val="21"/>
                <w:highlight w:val="none"/>
              </w:rPr>
              <w:t>mg/L</w:t>
            </w:r>
          </w:p>
        </w:tc>
        <w:tc>
          <w:tcPr>
            <w:tcW w:w="992" w:type="dxa"/>
            <w:noWrap w:val="0"/>
            <w:vAlign w:val="center"/>
          </w:tcPr>
          <w:p w14:paraId="60C6174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0.002L</w:t>
            </w:r>
          </w:p>
        </w:tc>
        <w:tc>
          <w:tcPr>
            <w:tcW w:w="1063" w:type="dxa"/>
            <w:noWrap w:val="0"/>
            <w:vAlign w:val="center"/>
          </w:tcPr>
          <w:p w14:paraId="09AF1A9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0.002L</w:t>
            </w:r>
          </w:p>
        </w:tc>
        <w:tc>
          <w:tcPr>
            <w:tcW w:w="1103" w:type="dxa"/>
            <w:noWrap w:val="0"/>
            <w:vAlign w:val="center"/>
          </w:tcPr>
          <w:p w14:paraId="2648F5D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0.002L</w:t>
            </w:r>
          </w:p>
        </w:tc>
        <w:tc>
          <w:tcPr>
            <w:tcW w:w="1090" w:type="dxa"/>
            <w:noWrap w:val="0"/>
            <w:vAlign w:val="center"/>
          </w:tcPr>
          <w:p w14:paraId="5AC505C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0.002L</w:t>
            </w:r>
          </w:p>
        </w:tc>
        <w:tc>
          <w:tcPr>
            <w:tcW w:w="1091" w:type="dxa"/>
            <w:noWrap w:val="0"/>
            <w:vAlign w:val="center"/>
          </w:tcPr>
          <w:p w14:paraId="6B041BA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0.002L</w:t>
            </w:r>
          </w:p>
        </w:tc>
        <w:tc>
          <w:tcPr>
            <w:tcW w:w="995" w:type="dxa"/>
            <w:noWrap w:val="0"/>
            <w:vAlign w:val="center"/>
          </w:tcPr>
          <w:p w14:paraId="4672137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0.002L</w:t>
            </w:r>
          </w:p>
        </w:tc>
        <w:tc>
          <w:tcPr>
            <w:tcW w:w="992" w:type="dxa"/>
            <w:noWrap w:val="0"/>
            <w:vAlign w:val="center"/>
          </w:tcPr>
          <w:p w14:paraId="37148D6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0.002L</w:t>
            </w:r>
          </w:p>
        </w:tc>
        <w:tc>
          <w:tcPr>
            <w:tcW w:w="918" w:type="dxa"/>
            <w:noWrap w:val="0"/>
            <w:vAlign w:val="center"/>
          </w:tcPr>
          <w:p w14:paraId="039930E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≤0.05</w:t>
            </w:r>
          </w:p>
        </w:tc>
      </w:tr>
      <w:tr w14:paraId="55A94D8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079" w:type="dxa"/>
            <w:noWrap w:val="0"/>
            <w:vAlign w:val="center"/>
          </w:tcPr>
          <w:p w14:paraId="05102E3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氟化物</w:t>
            </w:r>
          </w:p>
        </w:tc>
        <w:tc>
          <w:tcPr>
            <w:tcW w:w="1418" w:type="dxa"/>
            <w:noWrap w:val="0"/>
            <w:vAlign w:val="center"/>
          </w:tcPr>
          <w:p w14:paraId="344E5FD7">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mg/L</w:t>
            </w:r>
          </w:p>
        </w:tc>
        <w:tc>
          <w:tcPr>
            <w:tcW w:w="992" w:type="dxa"/>
            <w:noWrap w:val="0"/>
            <w:vAlign w:val="center"/>
          </w:tcPr>
          <w:p w14:paraId="1066102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0.02L</w:t>
            </w:r>
          </w:p>
        </w:tc>
        <w:tc>
          <w:tcPr>
            <w:tcW w:w="1063" w:type="dxa"/>
            <w:noWrap w:val="0"/>
            <w:vAlign w:val="center"/>
          </w:tcPr>
          <w:p w14:paraId="630839C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0.02L</w:t>
            </w:r>
          </w:p>
        </w:tc>
        <w:tc>
          <w:tcPr>
            <w:tcW w:w="1103" w:type="dxa"/>
            <w:noWrap w:val="0"/>
            <w:vAlign w:val="center"/>
          </w:tcPr>
          <w:p w14:paraId="72851B7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0.02L</w:t>
            </w:r>
          </w:p>
        </w:tc>
        <w:tc>
          <w:tcPr>
            <w:tcW w:w="1090" w:type="dxa"/>
            <w:noWrap w:val="0"/>
            <w:vAlign w:val="center"/>
          </w:tcPr>
          <w:p w14:paraId="305F60A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0.02L</w:t>
            </w:r>
          </w:p>
        </w:tc>
        <w:tc>
          <w:tcPr>
            <w:tcW w:w="1091" w:type="dxa"/>
            <w:noWrap w:val="0"/>
            <w:vAlign w:val="center"/>
          </w:tcPr>
          <w:p w14:paraId="580375D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0.02L</w:t>
            </w:r>
          </w:p>
        </w:tc>
        <w:tc>
          <w:tcPr>
            <w:tcW w:w="995" w:type="dxa"/>
            <w:noWrap w:val="0"/>
            <w:vAlign w:val="center"/>
          </w:tcPr>
          <w:p w14:paraId="45F01CB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0.02L</w:t>
            </w:r>
          </w:p>
        </w:tc>
        <w:tc>
          <w:tcPr>
            <w:tcW w:w="992" w:type="dxa"/>
            <w:noWrap w:val="0"/>
            <w:vAlign w:val="center"/>
          </w:tcPr>
          <w:p w14:paraId="2EE2D12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0.02L</w:t>
            </w:r>
          </w:p>
        </w:tc>
        <w:tc>
          <w:tcPr>
            <w:tcW w:w="918" w:type="dxa"/>
            <w:noWrap w:val="0"/>
            <w:vAlign w:val="center"/>
          </w:tcPr>
          <w:p w14:paraId="78FB217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≤1.0</w:t>
            </w:r>
          </w:p>
        </w:tc>
      </w:tr>
      <w:tr w14:paraId="1224536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079" w:type="dxa"/>
            <w:noWrap w:val="0"/>
            <w:vAlign w:val="center"/>
          </w:tcPr>
          <w:p w14:paraId="6DDD827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汞</w:t>
            </w:r>
          </w:p>
        </w:tc>
        <w:tc>
          <w:tcPr>
            <w:tcW w:w="1418" w:type="dxa"/>
            <w:noWrap w:val="0"/>
            <w:vAlign w:val="center"/>
          </w:tcPr>
          <w:p w14:paraId="27E5C3BB">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mg/L</w:t>
            </w:r>
          </w:p>
        </w:tc>
        <w:tc>
          <w:tcPr>
            <w:tcW w:w="992" w:type="dxa"/>
            <w:noWrap w:val="0"/>
            <w:vAlign w:val="center"/>
          </w:tcPr>
          <w:p w14:paraId="3ACFE3C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0.00004L</w:t>
            </w:r>
          </w:p>
        </w:tc>
        <w:tc>
          <w:tcPr>
            <w:tcW w:w="1063" w:type="dxa"/>
            <w:noWrap w:val="0"/>
            <w:vAlign w:val="center"/>
          </w:tcPr>
          <w:p w14:paraId="2E24D26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0.00004L</w:t>
            </w:r>
          </w:p>
        </w:tc>
        <w:tc>
          <w:tcPr>
            <w:tcW w:w="1103" w:type="dxa"/>
            <w:noWrap w:val="0"/>
            <w:vAlign w:val="center"/>
          </w:tcPr>
          <w:p w14:paraId="37FFE26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0.00004L</w:t>
            </w:r>
          </w:p>
        </w:tc>
        <w:tc>
          <w:tcPr>
            <w:tcW w:w="1090" w:type="dxa"/>
            <w:noWrap w:val="0"/>
            <w:vAlign w:val="center"/>
          </w:tcPr>
          <w:p w14:paraId="5E3249D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0.00004L</w:t>
            </w:r>
          </w:p>
        </w:tc>
        <w:tc>
          <w:tcPr>
            <w:tcW w:w="1091" w:type="dxa"/>
            <w:noWrap w:val="0"/>
            <w:vAlign w:val="center"/>
          </w:tcPr>
          <w:p w14:paraId="613803D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0.00004L</w:t>
            </w:r>
          </w:p>
        </w:tc>
        <w:tc>
          <w:tcPr>
            <w:tcW w:w="995" w:type="dxa"/>
            <w:noWrap w:val="0"/>
            <w:vAlign w:val="center"/>
          </w:tcPr>
          <w:p w14:paraId="0E3D032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0.00004L</w:t>
            </w:r>
          </w:p>
        </w:tc>
        <w:tc>
          <w:tcPr>
            <w:tcW w:w="992" w:type="dxa"/>
            <w:noWrap w:val="0"/>
            <w:vAlign w:val="center"/>
          </w:tcPr>
          <w:p w14:paraId="7F4E373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0.00004L</w:t>
            </w:r>
          </w:p>
        </w:tc>
        <w:tc>
          <w:tcPr>
            <w:tcW w:w="918" w:type="dxa"/>
            <w:noWrap w:val="0"/>
            <w:vAlign w:val="center"/>
          </w:tcPr>
          <w:p w14:paraId="56DAEF3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≤0.001</w:t>
            </w:r>
          </w:p>
        </w:tc>
      </w:tr>
      <w:tr w14:paraId="56BCF94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079" w:type="dxa"/>
            <w:noWrap w:val="0"/>
            <w:vAlign w:val="center"/>
          </w:tcPr>
          <w:p w14:paraId="65C45E4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砷</w:t>
            </w:r>
          </w:p>
        </w:tc>
        <w:tc>
          <w:tcPr>
            <w:tcW w:w="1418" w:type="dxa"/>
            <w:noWrap w:val="0"/>
            <w:vAlign w:val="center"/>
          </w:tcPr>
          <w:p w14:paraId="3BE562FE">
            <w:pPr>
              <w:keepNext w:val="0"/>
              <w:keepLines w:val="0"/>
              <w:widowControl/>
              <w:suppressLineNumbers w:val="0"/>
              <w:wordWrap/>
              <w:adjustRightInd/>
              <w:snapToGrid/>
              <w:spacing w:before="0" w:beforeAutospacing="0" w:after="0" w:afterAutospacing="0" w:line="240" w:lineRule="exact"/>
              <w:ind w:left="0" w:right="0" w:firstLine="0" w:firstLineChars="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color w:val="000000"/>
                <w:sz w:val="21"/>
                <w:szCs w:val="21"/>
                <w:highlight w:val="none"/>
              </w:rPr>
              <w:t>mg/L</w:t>
            </w:r>
          </w:p>
        </w:tc>
        <w:tc>
          <w:tcPr>
            <w:tcW w:w="992" w:type="dxa"/>
            <w:noWrap w:val="0"/>
            <w:vAlign w:val="center"/>
          </w:tcPr>
          <w:p w14:paraId="3F9400C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0.0003L</w:t>
            </w:r>
          </w:p>
        </w:tc>
        <w:tc>
          <w:tcPr>
            <w:tcW w:w="1063" w:type="dxa"/>
            <w:noWrap w:val="0"/>
            <w:vAlign w:val="center"/>
          </w:tcPr>
          <w:p w14:paraId="773ADA4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0.0003L</w:t>
            </w:r>
          </w:p>
        </w:tc>
        <w:tc>
          <w:tcPr>
            <w:tcW w:w="1103" w:type="dxa"/>
            <w:noWrap w:val="0"/>
            <w:vAlign w:val="center"/>
          </w:tcPr>
          <w:p w14:paraId="358866E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0.0003L</w:t>
            </w:r>
          </w:p>
        </w:tc>
        <w:tc>
          <w:tcPr>
            <w:tcW w:w="1090" w:type="dxa"/>
            <w:noWrap w:val="0"/>
            <w:vAlign w:val="center"/>
          </w:tcPr>
          <w:p w14:paraId="68E4A71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0.0003L</w:t>
            </w:r>
          </w:p>
        </w:tc>
        <w:tc>
          <w:tcPr>
            <w:tcW w:w="1091" w:type="dxa"/>
            <w:noWrap w:val="0"/>
            <w:vAlign w:val="center"/>
          </w:tcPr>
          <w:p w14:paraId="20BCE5A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0.0003L</w:t>
            </w:r>
          </w:p>
        </w:tc>
        <w:tc>
          <w:tcPr>
            <w:tcW w:w="995" w:type="dxa"/>
            <w:noWrap w:val="0"/>
            <w:vAlign w:val="center"/>
          </w:tcPr>
          <w:p w14:paraId="7F0CAFC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0.0003L</w:t>
            </w:r>
          </w:p>
        </w:tc>
        <w:tc>
          <w:tcPr>
            <w:tcW w:w="992" w:type="dxa"/>
            <w:noWrap w:val="0"/>
            <w:vAlign w:val="center"/>
          </w:tcPr>
          <w:p w14:paraId="7482A09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0.0003L</w:t>
            </w:r>
          </w:p>
        </w:tc>
        <w:tc>
          <w:tcPr>
            <w:tcW w:w="918" w:type="dxa"/>
            <w:noWrap w:val="0"/>
            <w:vAlign w:val="center"/>
          </w:tcPr>
          <w:p w14:paraId="07D3558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≤0.01</w:t>
            </w:r>
          </w:p>
        </w:tc>
      </w:tr>
      <w:tr w14:paraId="3C7658B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079" w:type="dxa"/>
            <w:noWrap w:val="0"/>
            <w:vAlign w:val="center"/>
          </w:tcPr>
          <w:p w14:paraId="1F19066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镉</w:t>
            </w:r>
          </w:p>
        </w:tc>
        <w:tc>
          <w:tcPr>
            <w:tcW w:w="1418" w:type="dxa"/>
            <w:noWrap w:val="0"/>
            <w:vAlign w:val="center"/>
          </w:tcPr>
          <w:p w14:paraId="3197A289">
            <w:pPr>
              <w:keepNext w:val="0"/>
              <w:keepLines w:val="0"/>
              <w:widowControl/>
              <w:suppressLineNumbers w:val="0"/>
              <w:wordWrap/>
              <w:adjustRightInd/>
              <w:snapToGrid/>
              <w:spacing w:before="0" w:beforeAutospacing="0" w:after="0" w:afterAutospacing="0" w:line="240" w:lineRule="exact"/>
              <w:ind w:left="0" w:right="0" w:firstLine="0" w:firstLineChars="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color w:val="000000"/>
                <w:sz w:val="21"/>
                <w:szCs w:val="21"/>
                <w:highlight w:val="none"/>
              </w:rPr>
              <w:t>mg/L</w:t>
            </w:r>
          </w:p>
        </w:tc>
        <w:tc>
          <w:tcPr>
            <w:tcW w:w="992" w:type="dxa"/>
            <w:noWrap w:val="0"/>
            <w:vAlign w:val="center"/>
          </w:tcPr>
          <w:p w14:paraId="4EABBD2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0.0005L</w:t>
            </w:r>
          </w:p>
        </w:tc>
        <w:tc>
          <w:tcPr>
            <w:tcW w:w="1063" w:type="dxa"/>
            <w:noWrap w:val="0"/>
            <w:vAlign w:val="center"/>
          </w:tcPr>
          <w:p w14:paraId="3C23D81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0.0005L</w:t>
            </w:r>
          </w:p>
        </w:tc>
        <w:tc>
          <w:tcPr>
            <w:tcW w:w="1103" w:type="dxa"/>
            <w:noWrap w:val="0"/>
            <w:vAlign w:val="center"/>
          </w:tcPr>
          <w:p w14:paraId="398DC5A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0.0005L</w:t>
            </w:r>
          </w:p>
        </w:tc>
        <w:tc>
          <w:tcPr>
            <w:tcW w:w="1090" w:type="dxa"/>
            <w:noWrap w:val="0"/>
            <w:vAlign w:val="center"/>
          </w:tcPr>
          <w:p w14:paraId="4D7808C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0.0005L</w:t>
            </w:r>
          </w:p>
        </w:tc>
        <w:tc>
          <w:tcPr>
            <w:tcW w:w="1091" w:type="dxa"/>
            <w:noWrap w:val="0"/>
            <w:vAlign w:val="center"/>
          </w:tcPr>
          <w:p w14:paraId="5106791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0.0005L</w:t>
            </w:r>
          </w:p>
        </w:tc>
        <w:tc>
          <w:tcPr>
            <w:tcW w:w="995" w:type="dxa"/>
            <w:noWrap w:val="0"/>
            <w:vAlign w:val="center"/>
          </w:tcPr>
          <w:p w14:paraId="7E9FEA8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0.0005L</w:t>
            </w:r>
          </w:p>
        </w:tc>
        <w:tc>
          <w:tcPr>
            <w:tcW w:w="992" w:type="dxa"/>
            <w:noWrap w:val="0"/>
            <w:vAlign w:val="center"/>
          </w:tcPr>
          <w:p w14:paraId="77D1AB3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0.0005L</w:t>
            </w:r>
          </w:p>
        </w:tc>
        <w:tc>
          <w:tcPr>
            <w:tcW w:w="918" w:type="dxa"/>
            <w:noWrap w:val="0"/>
            <w:vAlign w:val="center"/>
          </w:tcPr>
          <w:p w14:paraId="104F9AD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≤0.005</w:t>
            </w:r>
          </w:p>
        </w:tc>
      </w:tr>
      <w:tr w14:paraId="707E310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079" w:type="dxa"/>
            <w:noWrap w:val="0"/>
            <w:vAlign w:val="center"/>
          </w:tcPr>
          <w:p w14:paraId="37457D1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六价铬</w:t>
            </w:r>
          </w:p>
        </w:tc>
        <w:tc>
          <w:tcPr>
            <w:tcW w:w="1418" w:type="dxa"/>
            <w:noWrap w:val="0"/>
            <w:vAlign w:val="center"/>
          </w:tcPr>
          <w:p w14:paraId="2F217A59">
            <w:pPr>
              <w:keepNext w:val="0"/>
              <w:keepLines w:val="0"/>
              <w:widowControl/>
              <w:suppressLineNumbers w:val="0"/>
              <w:wordWrap/>
              <w:adjustRightInd/>
              <w:snapToGrid/>
              <w:spacing w:before="0" w:beforeAutospacing="0" w:after="0" w:afterAutospacing="0" w:line="240" w:lineRule="exact"/>
              <w:ind w:left="0" w:right="0" w:firstLine="0" w:firstLineChars="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color w:val="000000"/>
                <w:sz w:val="21"/>
                <w:szCs w:val="21"/>
                <w:highlight w:val="none"/>
              </w:rPr>
              <w:t>mg/L</w:t>
            </w:r>
          </w:p>
        </w:tc>
        <w:tc>
          <w:tcPr>
            <w:tcW w:w="992" w:type="dxa"/>
            <w:noWrap w:val="0"/>
            <w:vAlign w:val="center"/>
          </w:tcPr>
          <w:p w14:paraId="34F031E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0.004L</w:t>
            </w:r>
          </w:p>
        </w:tc>
        <w:tc>
          <w:tcPr>
            <w:tcW w:w="1063" w:type="dxa"/>
            <w:noWrap w:val="0"/>
            <w:vAlign w:val="center"/>
          </w:tcPr>
          <w:p w14:paraId="55D909E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0.004L</w:t>
            </w:r>
          </w:p>
        </w:tc>
        <w:tc>
          <w:tcPr>
            <w:tcW w:w="1103" w:type="dxa"/>
            <w:noWrap w:val="0"/>
            <w:vAlign w:val="center"/>
          </w:tcPr>
          <w:p w14:paraId="0F65A9B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0.004L</w:t>
            </w:r>
          </w:p>
        </w:tc>
        <w:tc>
          <w:tcPr>
            <w:tcW w:w="1090" w:type="dxa"/>
            <w:noWrap w:val="0"/>
            <w:vAlign w:val="center"/>
          </w:tcPr>
          <w:p w14:paraId="788950B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0.004L</w:t>
            </w:r>
          </w:p>
        </w:tc>
        <w:tc>
          <w:tcPr>
            <w:tcW w:w="1091" w:type="dxa"/>
            <w:noWrap w:val="0"/>
            <w:vAlign w:val="center"/>
          </w:tcPr>
          <w:p w14:paraId="437AE83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0.004L</w:t>
            </w:r>
          </w:p>
        </w:tc>
        <w:tc>
          <w:tcPr>
            <w:tcW w:w="995" w:type="dxa"/>
            <w:noWrap w:val="0"/>
            <w:vAlign w:val="center"/>
          </w:tcPr>
          <w:p w14:paraId="013B3F9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0.004L</w:t>
            </w:r>
          </w:p>
        </w:tc>
        <w:tc>
          <w:tcPr>
            <w:tcW w:w="992" w:type="dxa"/>
            <w:noWrap w:val="0"/>
            <w:vAlign w:val="center"/>
          </w:tcPr>
          <w:p w14:paraId="4AF35FD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0.004L</w:t>
            </w:r>
          </w:p>
        </w:tc>
        <w:tc>
          <w:tcPr>
            <w:tcW w:w="918" w:type="dxa"/>
            <w:noWrap w:val="0"/>
            <w:vAlign w:val="center"/>
          </w:tcPr>
          <w:p w14:paraId="278D700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≤0.05</w:t>
            </w:r>
          </w:p>
        </w:tc>
      </w:tr>
      <w:tr w14:paraId="7BE5E20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079" w:type="dxa"/>
            <w:noWrap w:val="0"/>
            <w:vAlign w:val="center"/>
          </w:tcPr>
          <w:p w14:paraId="674DBE1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锌</w:t>
            </w:r>
          </w:p>
        </w:tc>
        <w:tc>
          <w:tcPr>
            <w:tcW w:w="1418" w:type="dxa"/>
            <w:noWrap w:val="0"/>
            <w:vAlign w:val="center"/>
          </w:tcPr>
          <w:p w14:paraId="5455727E">
            <w:pPr>
              <w:keepNext w:val="0"/>
              <w:keepLines w:val="0"/>
              <w:widowControl/>
              <w:suppressLineNumbers w:val="0"/>
              <w:wordWrap/>
              <w:adjustRightInd/>
              <w:snapToGrid/>
              <w:spacing w:before="0" w:beforeAutospacing="0" w:after="0" w:afterAutospacing="0" w:line="240" w:lineRule="exact"/>
              <w:ind w:left="0" w:right="0" w:firstLine="0" w:firstLineChars="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color w:val="000000"/>
                <w:sz w:val="21"/>
                <w:szCs w:val="21"/>
                <w:highlight w:val="none"/>
              </w:rPr>
              <w:t>mg/L</w:t>
            </w:r>
          </w:p>
        </w:tc>
        <w:tc>
          <w:tcPr>
            <w:tcW w:w="992" w:type="dxa"/>
            <w:noWrap w:val="0"/>
            <w:vAlign w:val="center"/>
          </w:tcPr>
          <w:p w14:paraId="64E8DE9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0.05L</w:t>
            </w:r>
          </w:p>
        </w:tc>
        <w:tc>
          <w:tcPr>
            <w:tcW w:w="1063" w:type="dxa"/>
            <w:noWrap w:val="0"/>
            <w:vAlign w:val="center"/>
          </w:tcPr>
          <w:p w14:paraId="0A426E9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0.05L</w:t>
            </w:r>
          </w:p>
        </w:tc>
        <w:tc>
          <w:tcPr>
            <w:tcW w:w="1103" w:type="dxa"/>
            <w:noWrap w:val="0"/>
            <w:vAlign w:val="center"/>
          </w:tcPr>
          <w:p w14:paraId="5754AAD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0.05L</w:t>
            </w:r>
          </w:p>
        </w:tc>
        <w:tc>
          <w:tcPr>
            <w:tcW w:w="1090" w:type="dxa"/>
            <w:noWrap w:val="0"/>
            <w:vAlign w:val="center"/>
          </w:tcPr>
          <w:p w14:paraId="1C4E2A8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0.05L</w:t>
            </w:r>
          </w:p>
        </w:tc>
        <w:tc>
          <w:tcPr>
            <w:tcW w:w="1091" w:type="dxa"/>
            <w:noWrap w:val="0"/>
            <w:vAlign w:val="center"/>
          </w:tcPr>
          <w:p w14:paraId="116661D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0.05L</w:t>
            </w:r>
          </w:p>
        </w:tc>
        <w:tc>
          <w:tcPr>
            <w:tcW w:w="995" w:type="dxa"/>
            <w:noWrap w:val="0"/>
            <w:vAlign w:val="center"/>
          </w:tcPr>
          <w:p w14:paraId="0D4307D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0.05L</w:t>
            </w:r>
          </w:p>
        </w:tc>
        <w:tc>
          <w:tcPr>
            <w:tcW w:w="992" w:type="dxa"/>
            <w:noWrap w:val="0"/>
            <w:vAlign w:val="center"/>
          </w:tcPr>
          <w:p w14:paraId="37CFFE0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0.05L</w:t>
            </w:r>
          </w:p>
        </w:tc>
        <w:tc>
          <w:tcPr>
            <w:tcW w:w="918" w:type="dxa"/>
            <w:noWrap w:val="0"/>
            <w:vAlign w:val="center"/>
          </w:tcPr>
          <w:p w14:paraId="167A4B2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≤1.00</w:t>
            </w:r>
          </w:p>
        </w:tc>
      </w:tr>
      <w:tr w14:paraId="14AE254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079" w:type="dxa"/>
            <w:noWrap w:val="0"/>
            <w:vAlign w:val="center"/>
          </w:tcPr>
          <w:p w14:paraId="3473FF7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阴离子表面活性剂</w:t>
            </w:r>
          </w:p>
        </w:tc>
        <w:tc>
          <w:tcPr>
            <w:tcW w:w="1418" w:type="dxa"/>
            <w:noWrap w:val="0"/>
            <w:vAlign w:val="center"/>
          </w:tcPr>
          <w:p w14:paraId="157F5FD6">
            <w:pPr>
              <w:keepNext w:val="0"/>
              <w:keepLines w:val="0"/>
              <w:widowControl/>
              <w:suppressLineNumbers w:val="0"/>
              <w:wordWrap/>
              <w:adjustRightInd/>
              <w:snapToGrid/>
              <w:spacing w:before="0" w:beforeAutospacing="0" w:after="0" w:afterAutospacing="0" w:line="240" w:lineRule="exact"/>
              <w:ind w:left="0" w:right="0" w:firstLine="0" w:firstLineChars="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color w:val="000000"/>
                <w:sz w:val="21"/>
                <w:szCs w:val="21"/>
                <w:highlight w:val="none"/>
              </w:rPr>
              <w:t>mg/L</w:t>
            </w:r>
          </w:p>
        </w:tc>
        <w:tc>
          <w:tcPr>
            <w:tcW w:w="992" w:type="dxa"/>
            <w:noWrap w:val="0"/>
            <w:vAlign w:val="center"/>
          </w:tcPr>
          <w:p w14:paraId="666F606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0.050L</w:t>
            </w:r>
          </w:p>
        </w:tc>
        <w:tc>
          <w:tcPr>
            <w:tcW w:w="1063" w:type="dxa"/>
            <w:noWrap w:val="0"/>
            <w:vAlign w:val="center"/>
          </w:tcPr>
          <w:p w14:paraId="1E883E4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0.050L</w:t>
            </w:r>
          </w:p>
        </w:tc>
        <w:tc>
          <w:tcPr>
            <w:tcW w:w="1103" w:type="dxa"/>
            <w:noWrap w:val="0"/>
            <w:vAlign w:val="center"/>
          </w:tcPr>
          <w:p w14:paraId="0DF1FE6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0.050L</w:t>
            </w:r>
          </w:p>
        </w:tc>
        <w:tc>
          <w:tcPr>
            <w:tcW w:w="1090" w:type="dxa"/>
            <w:noWrap w:val="0"/>
            <w:vAlign w:val="center"/>
          </w:tcPr>
          <w:p w14:paraId="7C0DE80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0.050L</w:t>
            </w:r>
          </w:p>
        </w:tc>
        <w:tc>
          <w:tcPr>
            <w:tcW w:w="1091" w:type="dxa"/>
            <w:noWrap w:val="0"/>
            <w:vAlign w:val="center"/>
          </w:tcPr>
          <w:p w14:paraId="33908E6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0.050L</w:t>
            </w:r>
          </w:p>
        </w:tc>
        <w:tc>
          <w:tcPr>
            <w:tcW w:w="995" w:type="dxa"/>
            <w:noWrap w:val="0"/>
            <w:vAlign w:val="center"/>
          </w:tcPr>
          <w:p w14:paraId="303480E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0.050L</w:t>
            </w:r>
          </w:p>
        </w:tc>
        <w:tc>
          <w:tcPr>
            <w:tcW w:w="992" w:type="dxa"/>
            <w:noWrap w:val="0"/>
            <w:vAlign w:val="center"/>
          </w:tcPr>
          <w:p w14:paraId="642ADEE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0.050L</w:t>
            </w:r>
          </w:p>
        </w:tc>
        <w:tc>
          <w:tcPr>
            <w:tcW w:w="918" w:type="dxa"/>
            <w:noWrap w:val="0"/>
            <w:vAlign w:val="center"/>
          </w:tcPr>
          <w:p w14:paraId="446EA96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≤0.3</w:t>
            </w:r>
          </w:p>
        </w:tc>
      </w:tr>
      <w:tr w14:paraId="5079818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079" w:type="dxa"/>
            <w:noWrap w:val="0"/>
            <w:vAlign w:val="center"/>
          </w:tcPr>
          <w:p w14:paraId="6481934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石油类</w:t>
            </w:r>
          </w:p>
        </w:tc>
        <w:tc>
          <w:tcPr>
            <w:tcW w:w="1418" w:type="dxa"/>
            <w:noWrap w:val="0"/>
            <w:vAlign w:val="center"/>
          </w:tcPr>
          <w:p w14:paraId="72D02B47">
            <w:pPr>
              <w:keepNext w:val="0"/>
              <w:keepLines w:val="0"/>
              <w:widowControl/>
              <w:suppressLineNumbers w:val="0"/>
              <w:wordWrap/>
              <w:adjustRightInd/>
              <w:snapToGrid/>
              <w:spacing w:before="0" w:beforeAutospacing="0" w:after="0" w:afterAutospacing="0" w:line="240" w:lineRule="exact"/>
              <w:ind w:left="0" w:right="0" w:firstLine="0" w:firstLineChars="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color w:val="000000"/>
                <w:sz w:val="21"/>
                <w:szCs w:val="21"/>
                <w:highlight w:val="none"/>
              </w:rPr>
              <w:t>mg/L</w:t>
            </w:r>
          </w:p>
        </w:tc>
        <w:tc>
          <w:tcPr>
            <w:tcW w:w="992" w:type="dxa"/>
            <w:noWrap w:val="0"/>
            <w:vAlign w:val="center"/>
          </w:tcPr>
          <w:p w14:paraId="43602BF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0.06</w:t>
            </w:r>
          </w:p>
        </w:tc>
        <w:tc>
          <w:tcPr>
            <w:tcW w:w="1063" w:type="dxa"/>
            <w:noWrap w:val="0"/>
            <w:vAlign w:val="center"/>
          </w:tcPr>
          <w:p w14:paraId="13C11FF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0.04</w:t>
            </w:r>
          </w:p>
        </w:tc>
        <w:tc>
          <w:tcPr>
            <w:tcW w:w="1103" w:type="dxa"/>
            <w:noWrap w:val="0"/>
            <w:vAlign w:val="center"/>
          </w:tcPr>
          <w:p w14:paraId="3CB5EB1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0.04</w:t>
            </w:r>
          </w:p>
        </w:tc>
        <w:tc>
          <w:tcPr>
            <w:tcW w:w="1090" w:type="dxa"/>
            <w:noWrap w:val="0"/>
            <w:vAlign w:val="center"/>
          </w:tcPr>
          <w:p w14:paraId="46BF985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0.03</w:t>
            </w:r>
          </w:p>
        </w:tc>
        <w:tc>
          <w:tcPr>
            <w:tcW w:w="1091" w:type="dxa"/>
            <w:noWrap w:val="0"/>
            <w:vAlign w:val="center"/>
          </w:tcPr>
          <w:p w14:paraId="35C5991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0.03</w:t>
            </w:r>
          </w:p>
        </w:tc>
        <w:tc>
          <w:tcPr>
            <w:tcW w:w="995" w:type="dxa"/>
            <w:noWrap w:val="0"/>
            <w:vAlign w:val="center"/>
          </w:tcPr>
          <w:p w14:paraId="23459BC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0.03</w:t>
            </w:r>
          </w:p>
        </w:tc>
        <w:tc>
          <w:tcPr>
            <w:tcW w:w="992" w:type="dxa"/>
            <w:noWrap w:val="0"/>
            <w:vAlign w:val="center"/>
          </w:tcPr>
          <w:p w14:paraId="12124E7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0.04</w:t>
            </w:r>
          </w:p>
        </w:tc>
        <w:tc>
          <w:tcPr>
            <w:tcW w:w="918" w:type="dxa"/>
            <w:noWrap w:val="0"/>
            <w:vAlign w:val="center"/>
          </w:tcPr>
          <w:p w14:paraId="0D378BD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0.05</w:t>
            </w:r>
          </w:p>
        </w:tc>
      </w:tr>
      <w:tr w14:paraId="4436A38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079" w:type="dxa"/>
            <w:noWrap w:val="0"/>
            <w:vAlign w:val="center"/>
          </w:tcPr>
          <w:p w14:paraId="7B1AE4E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铅</w:t>
            </w:r>
          </w:p>
        </w:tc>
        <w:tc>
          <w:tcPr>
            <w:tcW w:w="1418" w:type="dxa"/>
            <w:noWrap w:val="0"/>
            <w:vAlign w:val="center"/>
          </w:tcPr>
          <w:p w14:paraId="41AF9BE2">
            <w:pPr>
              <w:keepNext w:val="0"/>
              <w:keepLines w:val="0"/>
              <w:widowControl/>
              <w:suppressLineNumbers w:val="0"/>
              <w:wordWrap/>
              <w:adjustRightInd/>
              <w:snapToGrid/>
              <w:spacing w:before="0" w:beforeAutospacing="0" w:after="0" w:afterAutospacing="0" w:line="240" w:lineRule="exact"/>
              <w:ind w:left="0" w:right="0" w:firstLine="0" w:firstLineChars="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color w:val="000000"/>
                <w:sz w:val="21"/>
                <w:szCs w:val="21"/>
                <w:highlight w:val="none"/>
              </w:rPr>
              <w:t>mg/L</w:t>
            </w:r>
          </w:p>
        </w:tc>
        <w:tc>
          <w:tcPr>
            <w:tcW w:w="992" w:type="dxa"/>
            <w:noWrap w:val="0"/>
            <w:vAlign w:val="center"/>
          </w:tcPr>
          <w:p w14:paraId="0B87911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0.0025L</w:t>
            </w:r>
          </w:p>
        </w:tc>
        <w:tc>
          <w:tcPr>
            <w:tcW w:w="1063" w:type="dxa"/>
            <w:noWrap w:val="0"/>
            <w:vAlign w:val="center"/>
          </w:tcPr>
          <w:p w14:paraId="1D37F03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0.0025L</w:t>
            </w:r>
          </w:p>
        </w:tc>
        <w:tc>
          <w:tcPr>
            <w:tcW w:w="1103" w:type="dxa"/>
            <w:noWrap w:val="0"/>
            <w:vAlign w:val="center"/>
          </w:tcPr>
          <w:p w14:paraId="7B4665B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0.0025L</w:t>
            </w:r>
          </w:p>
        </w:tc>
        <w:tc>
          <w:tcPr>
            <w:tcW w:w="1090" w:type="dxa"/>
            <w:noWrap w:val="0"/>
            <w:vAlign w:val="center"/>
          </w:tcPr>
          <w:p w14:paraId="165108A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0.0025L</w:t>
            </w:r>
          </w:p>
        </w:tc>
        <w:tc>
          <w:tcPr>
            <w:tcW w:w="1091" w:type="dxa"/>
            <w:noWrap w:val="0"/>
            <w:vAlign w:val="center"/>
          </w:tcPr>
          <w:p w14:paraId="207D873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0.0025L</w:t>
            </w:r>
          </w:p>
        </w:tc>
        <w:tc>
          <w:tcPr>
            <w:tcW w:w="995" w:type="dxa"/>
            <w:noWrap w:val="0"/>
            <w:vAlign w:val="center"/>
          </w:tcPr>
          <w:p w14:paraId="5BF711D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0.0025L</w:t>
            </w:r>
          </w:p>
        </w:tc>
        <w:tc>
          <w:tcPr>
            <w:tcW w:w="992" w:type="dxa"/>
            <w:noWrap w:val="0"/>
            <w:vAlign w:val="center"/>
          </w:tcPr>
          <w:p w14:paraId="2E27226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0.0025L</w:t>
            </w:r>
          </w:p>
        </w:tc>
        <w:tc>
          <w:tcPr>
            <w:tcW w:w="918" w:type="dxa"/>
            <w:noWrap w:val="0"/>
            <w:vAlign w:val="center"/>
          </w:tcPr>
          <w:p w14:paraId="6345881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≤0.01</w:t>
            </w:r>
          </w:p>
        </w:tc>
      </w:tr>
    </w:tbl>
    <w:p w14:paraId="486C884C">
      <w:pPr>
        <w:spacing w:line="0" w:lineRule="atLeast"/>
        <w:jc w:val="left"/>
        <w:rPr>
          <w:rFonts w:eastAsiaTheme="minorEastAsia"/>
          <w:b/>
          <w:sz w:val="18"/>
          <w:highlight w:val="none"/>
        </w:rPr>
      </w:pPr>
      <w:r>
        <w:rPr>
          <w:rFonts w:hAnsiTheme="minorEastAsia" w:eastAsiaTheme="minorEastAsia"/>
          <w:b/>
          <w:sz w:val="18"/>
          <w:highlight w:val="none"/>
        </w:rPr>
        <w:t>注：</w:t>
      </w:r>
      <w:r>
        <w:rPr>
          <w:rFonts w:eastAsiaTheme="minorEastAsia"/>
          <w:b/>
          <w:sz w:val="18"/>
          <w:highlight w:val="none"/>
        </w:rPr>
        <w:t>L</w:t>
      </w:r>
      <w:r>
        <w:rPr>
          <w:rFonts w:hAnsiTheme="minorEastAsia" w:eastAsiaTheme="minorEastAsia"/>
          <w:b/>
          <w:sz w:val="18"/>
          <w:highlight w:val="none"/>
        </w:rPr>
        <w:t>为低于检出限。</w:t>
      </w:r>
    </w:p>
    <w:p w14:paraId="3D4E7E55">
      <w:pPr>
        <w:bidi w:val="0"/>
        <w:rPr>
          <w:rFonts w:eastAsiaTheme="minorEastAsia"/>
          <w:b/>
          <w:sz w:val="24"/>
          <w:highlight w:val="none"/>
        </w:rPr>
      </w:pPr>
      <w:r>
        <w:rPr>
          <w:rFonts w:eastAsiaTheme="minorEastAsia"/>
          <w:b/>
          <w:sz w:val="24"/>
          <w:highlight w:val="none"/>
        </w:rPr>
        <w:t>4.2.3.2</w:t>
      </w:r>
      <w:r>
        <w:rPr>
          <w:rFonts w:hAnsiTheme="minorEastAsia" w:eastAsiaTheme="minorEastAsia"/>
          <w:b/>
          <w:sz w:val="24"/>
          <w:highlight w:val="none"/>
        </w:rPr>
        <w:t>地下水环境现状评价</w:t>
      </w:r>
    </w:p>
    <w:p w14:paraId="43E5AF37">
      <w:pPr>
        <w:bidi w:val="0"/>
        <w:rPr>
          <w:highlight w:val="none"/>
        </w:rPr>
      </w:pPr>
      <w:bookmarkStart w:id="344" w:name="_Toc703"/>
      <w:r>
        <w:rPr>
          <w:highlight w:val="none"/>
        </w:rPr>
        <w:t>1、水质现状</w:t>
      </w:r>
      <w:bookmarkEnd w:id="344"/>
    </w:p>
    <w:p w14:paraId="7EA01D7A">
      <w:pPr>
        <w:bidi w:val="0"/>
        <w:rPr>
          <w:highlight w:val="none"/>
        </w:rPr>
      </w:pPr>
      <w:r>
        <w:rPr>
          <w:highlight w:val="none"/>
        </w:rPr>
        <w:t>采用单项标准指数法对地下水现状监测结果进行评价，评价模式如下：</w:t>
      </w:r>
    </w:p>
    <w:p w14:paraId="31D81E71">
      <w:pPr>
        <w:bidi w:val="0"/>
        <w:jc w:val="center"/>
        <w:rPr>
          <w:highlight w:val="none"/>
        </w:rPr>
      </w:pPr>
      <w:r>
        <w:rPr>
          <w:highlight w:val="none"/>
        </w:rPr>
        <w:t>Pi=Ci/Csi</w:t>
      </w:r>
    </w:p>
    <w:p w14:paraId="04606248">
      <w:pPr>
        <w:bidi w:val="0"/>
        <w:rPr>
          <w:highlight w:val="none"/>
        </w:rPr>
      </w:pPr>
      <w:r>
        <w:rPr>
          <w:highlight w:val="none"/>
        </w:rPr>
        <w:t>式中：Pi—第i个水质因子的标准指数，无量纲；</w:t>
      </w:r>
    </w:p>
    <w:p w14:paraId="0CEF6614">
      <w:pPr>
        <w:bidi w:val="0"/>
        <w:rPr>
          <w:highlight w:val="none"/>
        </w:rPr>
      </w:pPr>
      <w:r>
        <w:rPr>
          <w:highlight w:val="none"/>
        </w:rPr>
        <w:t>Ci—第i个水质因子的监测质量浓度值，mg/L；</w:t>
      </w:r>
    </w:p>
    <w:p w14:paraId="573B778C">
      <w:pPr>
        <w:bidi w:val="0"/>
        <w:rPr>
          <w:highlight w:val="none"/>
        </w:rPr>
      </w:pPr>
      <w:r>
        <w:rPr>
          <w:highlight w:val="none"/>
        </w:rPr>
        <w:t>Csi—第i个水质因子的标准质量浓度值，mg/L。</w:t>
      </w:r>
    </w:p>
    <w:p w14:paraId="54F32E00">
      <w:pPr>
        <w:bidi w:val="0"/>
        <w:jc w:val="center"/>
        <w:rPr>
          <w:highlight w:val="none"/>
        </w:rPr>
      </w:pPr>
      <w:r>
        <w:rPr>
          <w:rFonts w:ascii="Times New Roman" w:hAnsi="Times New Roman" w:cs="Times New Roman"/>
          <w:highlight w:val="none"/>
        </w:rPr>
        <w:object>
          <v:shape id="_x0000_i1033" o:spt="75" type="#_x0000_t75" style="height:32.85pt;width:77.75pt;" o:ole="t" filled="f" coordsize="21600,21600">
            <v:path/>
            <v:fill on="f" focussize="0,0"/>
            <v:stroke/>
            <v:imagedata r:id="rId68" o:title=""/>
            <o:lock v:ext="edit" aspectratio="t"/>
            <w10:wrap type="none"/>
            <w10:anchorlock/>
          </v:shape>
          <o:OLEObject Type="Embed" ProgID="Equation.DSMT4" ShapeID="_x0000_i1033" DrawAspect="Content" ObjectID="_1468075734" r:id="rId67">
            <o:LockedField>false</o:LockedField>
          </o:OLEObject>
        </w:object>
      </w:r>
      <w:r>
        <w:rPr>
          <w:highlight w:val="none"/>
        </w:rPr>
        <w:t>pH≤7.0时</w:t>
      </w:r>
    </w:p>
    <w:p w14:paraId="4BDFA712">
      <w:pPr>
        <w:bidi w:val="0"/>
        <w:jc w:val="center"/>
        <w:rPr>
          <w:highlight w:val="none"/>
        </w:rPr>
      </w:pPr>
      <w:r>
        <w:rPr>
          <w:rFonts w:ascii="Times New Roman" w:hAnsi="Times New Roman" w:cs="Times New Roman"/>
          <w:highlight w:val="none"/>
        </w:rPr>
        <w:object>
          <v:shape id="_x0000_i1034" o:spt="75" type="#_x0000_t75" style="height:32.85pt;width:77.75pt;" o:ole="t" filled="f" coordsize="21600,21600">
            <v:path/>
            <v:fill on="f" focussize="0,0"/>
            <v:stroke/>
            <v:imagedata r:id="rId70" o:title=""/>
            <o:lock v:ext="edit" aspectratio="t"/>
            <w10:wrap type="none"/>
            <w10:anchorlock/>
          </v:shape>
          <o:OLEObject Type="Embed" ProgID="Equation.DSMT4" ShapeID="_x0000_i1034" DrawAspect="Content" ObjectID="_1468075735" r:id="rId69">
            <o:LockedField>false</o:LockedField>
          </o:OLEObject>
        </w:object>
      </w:r>
      <w:r>
        <w:rPr>
          <w:highlight w:val="none"/>
        </w:rPr>
        <w:t>pH＞7.0时</w:t>
      </w:r>
    </w:p>
    <w:p w14:paraId="6C7F3FA0">
      <w:pPr>
        <w:bidi w:val="0"/>
        <w:rPr>
          <w:highlight w:val="none"/>
        </w:rPr>
      </w:pPr>
      <w:r>
        <w:rPr>
          <w:highlight w:val="none"/>
        </w:rPr>
        <w:t>式中：PpH——pH的标准指数，量纲为一；</w:t>
      </w:r>
    </w:p>
    <w:p w14:paraId="02626276">
      <w:pPr>
        <w:bidi w:val="0"/>
        <w:rPr>
          <w:highlight w:val="none"/>
        </w:rPr>
      </w:pPr>
      <w:r>
        <w:rPr>
          <w:highlight w:val="none"/>
        </w:rPr>
        <w:t>pH——pH监测值；</w:t>
      </w:r>
    </w:p>
    <w:p w14:paraId="75F151EF">
      <w:pPr>
        <w:bidi w:val="0"/>
        <w:rPr>
          <w:highlight w:val="none"/>
        </w:rPr>
      </w:pPr>
      <w:r>
        <w:rPr>
          <w:highlight w:val="none"/>
        </w:rPr>
        <w:t>pHsu——标准中pH的上限值；</w:t>
      </w:r>
    </w:p>
    <w:p w14:paraId="2315633B">
      <w:pPr>
        <w:bidi w:val="0"/>
        <w:rPr>
          <w:highlight w:val="none"/>
        </w:rPr>
      </w:pPr>
      <w:r>
        <w:rPr>
          <w:highlight w:val="none"/>
        </w:rPr>
        <w:t>pHsd——标准中pH的下限值。</w:t>
      </w:r>
    </w:p>
    <w:p w14:paraId="4B068A13">
      <w:pPr>
        <w:bidi w:val="0"/>
        <w:rPr>
          <w:rFonts w:ascii="Times New Roman" w:hAnsi="Times New Roman" w:cs="Times New Roman"/>
          <w:highlight w:val="none"/>
        </w:rPr>
      </w:pPr>
      <w:r>
        <w:rPr>
          <w:rFonts w:ascii="Times New Roman" w:cs="Times New Roman" w:hAnsiTheme="minorEastAsia"/>
          <w:highlight w:val="none"/>
        </w:rPr>
        <w:t>当标准指数＞</w:t>
      </w:r>
      <w:r>
        <w:rPr>
          <w:rFonts w:ascii="Times New Roman" w:hAnsi="Times New Roman" w:cs="Times New Roman"/>
          <w:highlight w:val="none"/>
        </w:rPr>
        <w:t>1</w:t>
      </w:r>
      <w:r>
        <w:rPr>
          <w:rFonts w:ascii="Times New Roman" w:cs="Times New Roman" w:hAnsiTheme="minorEastAsia"/>
          <w:highlight w:val="none"/>
        </w:rPr>
        <w:t>时，表示该水质参数所表征的污染物已满足不了标准要求，水体已受到污染；反之，则满足标准要求。</w:t>
      </w:r>
    </w:p>
    <w:p w14:paraId="54A28AC6">
      <w:pPr>
        <w:pStyle w:val="7"/>
        <w:bidi w:val="0"/>
        <w:rPr>
          <w:highlight w:val="none"/>
        </w:rPr>
      </w:pPr>
      <w:r>
        <w:rPr>
          <w:highlight w:val="none"/>
        </w:rPr>
        <w:t>表4-2-</w:t>
      </w:r>
      <w:r>
        <w:rPr>
          <w:rFonts w:hint="eastAsia"/>
          <w:highlight w:val="none"/>
          <w:lang w:val="en-US" w:eastAsia="zh-CN"/>
        </w:rPr>
        <w:t>6</w:t>
      </w:r>
      <w:r>
        <w:rPr>
          <w:highlight w:val="none"/>
        </w:rPr>
        <w:t>地下水</w:t>
      </w:r>
      <w:r>
        <w:rPr>
          <w:rFonts w:hint="eastAsia"/>
          <w:highlight w:val="none"/>
          <w:lang w:val="en-US" w:eastAsia="zh-CN"/>
        </w:rPr>
        <w:t>水</w:t>
      </w:r>
      <w:r>
        <w:rPr>
          <w:highlight w:val="none"/>
        </w:rPr>
        <w:t>质现状评价因子统计结果</w:t>
      </w:r>
    </w:p>
    <w:tbl>
      <w:tblPr>
        <w:tblStyle w:val="45"/>
        <w:tblW w:w="499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51"/>
        <w:gridCol w:w="1243"/>
        <w:gridCol w:w="1136"/>
        <w:gridCol w:w="1044"/>
        <w:gridCol w:w="1085"/>
        <w:gridCol w:w="994"/>
        <w:gridCol w:w="1354"/>
      </w:tblGrid>
      <w:tr w14:paraId="6FF0DF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70" w:type="pct"/>
            <w:vAlign w:val="center"/>
          </w:tcPr>
          <w:p w14:paraId="7C8BB8AF">
            <w:pPr>
              <w:pStyle w:val="8"/>
              <w:suppressLineNumbers w:val="0"/>
              <w:bidi w:val="0"/>
              <w:spacing w:before="0" w:beforeAutospacing="0" w:after="0" w:afterAutospacing="0"/>
              <w:ind w:left="0" w:right="0"/>
              <w:rPr>
                <w:rFonts w:hint="default"/>
                <w:highlight w:val="none"/>
              </w:rPr>
            </w:pPr>
            <w:r>
              <w:rPr>
                <w:rFonts w:hint="default"/>
                <w:highlight w:val="none"/>
              </w:rPr>
              <w:t>检测项目</w:t>
            </w:r>
          </w:p>
        </w:tc>
        <w:tc>
          <w:tcPr>
            <w:tcW w:w="730" w:type="pct"/>
            <w:vAlign w:val="center"/>
          </w:tcPr>
          <w:p w14:paraId="1507F4AC">
            <w:pPr>
              <w:pStyle w:val="8"/>
              <w:suppressLineNumbers w:val="0"/>
              <w:bidi w:val="0"/>
              <w:spacing w:before="0" w:beforeAutospacing="0" w:after="0" w:afterAutospacing="0"/>
              <w:ind w:left="0" w:right="0"/>
              <w:rPr>
                <w:rFonts w:hint="default"/>
                <w:highlight w:val="none"/>
              </w:rPr>
            </w:pPr>
            <w:r>
              <w:rPr>
                <w:rFonts w:hint="default"/>
                <w:highlight w:val="none"/>
              </w:rPr>
              <w:t>最大值</w:t>
            </w:r>
          </w:p>
        </w:tc>
        <w:tc>
          <w:tcPr>
            <w:tcW w:w="667" w:type="pct"/>
            <w:vAlign w:val="center"/>
          </w:tcPr>
          <w:p w14:paraId="5BD56B3B">
            <w:pPr>
              <w:pStyle w:val="8"/>
              <w:suppressLineNumbers w:val="0"/>
              <w:bidi w:val="0"/>
              <w:spacing w:before="0" w:beforeAutospacing="0" w:after="0" w:afterAutospacing="0"/>
              <w:ind w:left="0" w:right="0"/>
              <w:rPr>
                <w:rFonts w:hint="default"/>
                <w:highlight w:val="none"/>
              </w:rPr>
            </w:pPr>
            <w:r>
              <w:rPr>
                <w:rFonts w:hint="default"/>
                <w:highlight w:val="none"/>
              </w:rPr>
              <w:t>最小值</w:t>
            </w:r>
          </w:p>
        </w:tc>
        <w:tc>
          <w:tcPr>
            <w:tcW w:w="613" w:type="pct"/>
            <w:vAlign w:val="center"/>
          </w:tcPr>
          <w:p w14:paraId="1266A124">
            <w:pPr>
              <w:pStyle w:val="8"/>
              <w:suppressLineNumbers w:val="0"/>
              <w:bidi w:val="0"/>
              <w:spacing w:before="0" w:beforeAutospacing="0" w:after="0" w:afterAutospacing="0"/>
              <w:ind w:left="0" w:right="0"/>
              <w:rPr>
                <w:rFonts w:hint="default"/>
                <w:highlight w:val="none"/>
              </w:rPr>
            </w:pPr>
            <w:r>
              <w:rPr>
                <w:rFonts w:hint="default"/>
                <w:highlight w:val="none"/>
              </w:rPr>
              <w:t>均值</w:t>
            </w:r>
          </w:p>
        </w:tc>
        <w:tc>
          <w:tcPr>
            <w:tcW w:w="637" w:type="pct"/>
            <w:vAlign w:val="center"/>
          </w:tcPr>
          <w:p w14:paraId="5A5D423E">
            <w:pPr>
              <w:pStyle w:val="8"/>
              <w:suppressLineNumbers w:val="0"/>
              <w:bidi w:val="0"/>
              <w:spacing w:before="0" w:beforeAutospacing="0" w:after="0" w:afterAutospacing="0"/>
              <w:ind w:left="0" w:right="0"/>
              <w:rPr>
                <w:rFonts w:hint="default"/>
                <w:highlight w:val="none"/>
              </w:rPr>
            </w:pPr>
            <w:r>
              <w:rPr>
                <w:rFonts w:hint="default"/>
                <w:highlight w:val="none"/>
              </w:rPr>
              <w:t>标准差</w:t>
            </w:r>
          </w:p>
        </w:tc>
        <w:tc>
          <w:tcPr>
            <w:tcW w:w="584" w:type="pct"/>
            <w:vAlign w:val="center"/>
          </w:tcPr>
          <w:p w14:paraId="52341131">
            <w:pPr>
              <w:pStyle w:val="8"/>
              <w:suppressLineNumbers w:val="0"/>
              <w:bidi w:val="0"/>
              <w:spacing w:before="0" w:beforeAutospacing="0" w:after="0" w:afterAutospacing="0"/>
              <w:ind w:left="0" w:right="0"/>
              <w:rPr>
                <w:rFonts w:hint="default"/>
                <w:highlight w:val="none"/>
              </w:rPr>
            </w:pPr>
            <w:r>
              <w:rPr>
                <w:rFonts w:hint="default"/>
                <w:highlight w:val="none"/>
              </w:rPr>
              <w:t>检出率</w:t>
            </w:r>
          </w:p>
        </w:tc>
        <w:tc>
          <w:tcPr>
            <w:tcW w:w="795" w:type="pct"/>
            <w:vAlign w:val="center"/>
          </w:tcPr>
          <w:p w14:paraId="08CCA962">
            <w:pPr>
              <w:pStyle w:val="8"/>
              <w:suppressLineNumbers w:val="0"/>
              <w:bidi w:val="0"/>
              <w:spacing w:before="0" w:beforeAutospacing="0" w:after="0" w:afterAutospacing="0"/>
              <w:ind w:left="0" w:right="0"/>
              <w:rPr>
                <w:rFonts w:hint="default"/>
                <w:highlight w:val="none"/>
              </w:rPr>
            </w:pPr>
            <w:r>
              <w:rPr>
                <w:rFonts w:hint="default"/>
                <w:highlight w:val="none"/>
              </w:rPr>
              <w:t>超标率</w:t>
            </w:r>
          </w:p>
        </w:tc>
      </w:tr>
      <w:tr w14:paraId="622D55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970" w:type="pct"/>
            <w:vAlign w:val="center"/>
          </w:tcPr>
          <w:p w14:paraId="274212BD">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钾</w:t>
            </w:r>
          </w:p>
        </w:tc>
        <w:tc>
          <w:tcPr>
            <w:tcW w:w="730" w:type="pct"/>
            <w:vAlign w:val="bottom"/>
          </w:tcPr>
          <w:p w14:paraId="6F6BC27F">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2.49</w:t>
            </w:r>
          </w:p>
        </w:tc>
        <w:tc>
          <w:tcPr>
            <w:tcW w:w="667" w:type="pct"/>
            <w:vAlign w:val="bottom"/>
          </w:tcPr>
          <w:p w14:paraId="3B78E887">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0.93</w:t>
            </w:r>
          </w:p>
        </w:tc>
        <w:tc>
          <w:tcPr>
            <w:tcW w:w="613" w:type="pct"/>
            <w:vAlign w:val="bottom"/>
          </w:tcPr>
          <w:p w14:paraId="7569B883">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1.64</w:t>
            </w:r>
          </w:p>
        </w:tc>
        <w:tc>
          <w:tcPr>
            <w:tcW w:w="637" w:type="pct"/>
            <w:vAlign w:val="bottom"/>
          </w:tcPr>
          <w:p w14:paraId="7CC2322A">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0.61</w:t>
            </w:r>
          </w:p>
        </w:tc>
        <w:tc>
          <w:tcPr>
            <w:tcW w:w="584" w:type="pct"/>
            <w:vAlign w:val="center"/>
          </w:tcPr>
          <w:p w14:paraId="1BCBAF58">
            <w:pPr>
              <w:pStyle w:val="8"/>
              <w:suppressLineNumbers w:val="0"/>
              <w:bidi w:val="0"/>
              <w:spacing w:before="0" w:beforeAutospacing="0" w:after="0" w:afterAutospacing="0"/>
              <w:ind w:left="0" w:right="0"/>
              <w:rPr>
                <w:rFonts w:hint="default"/>
                <w:highlight w:val="none"/>
              </w:rPr>
            </w:pPr>
            <w:r>
              <w:rPr>
                <w:rFonts w:hint="default"/>
                <w:highlight w:val="none"/>
              </w:rPr>
              <w:t>100%</w:t>
            </w:r>
          </w:p>
        </w:tc>
        <w:tc>
          <w:tcPr>
            <w:tcW w:w="795" w:type="pct"/>
            <w:vAlign w:val="center"/>
          </w:tcPr>
          <w:p w14:paraId="2A7055B2">
            <w:pPr>
              <w:pStyle w:val="8"/>
              <w:suppressLineNumbers w:val="0"/>
              <w:bidi w:val="0"/>
              <w:spacing w:before="0" w:beforeAutospacing="0" w:after="0" w:afterAutospacing="0"/>
              <w:ind w:left="0" w:right="0"/>
              <w:rPr>
                <w:rFonts w:hint="default"/>
                <w:highlight w:val="none"/>
              </w:rPr>
            </w:pPr>
            <w:r>
              <w:rPr>
                <w:rFonts w:hint="default"/>
                <w:highlight w:val="none"/>
              </w:rPr>
              <w:t>0%</w:t>
            </w:r>
          </w:p>
        </w:tc>
      </w:tr>
      <w:tr w14:paraId="02F6E5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970" w:type="pct"/>
            <w:vAlign w:val="center"/>
          </w:tcPr>
          <w:p w14:paraId="5164BE70">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钠</w:t>
            </w:r>
          </w:p>
        </w:tc>
        <w:tc>
          <w:tcPr>
            <w:tcW w:w="730" w:type="pct"/>
            <w:vAlign w:val="bottom"/>
          </w:tcPr>
          <w:p w14:paraId="69D43910">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15.9</w:t>
            </w:r>
          </w:p>
        </w:tc>
        <w:tc>
          <w:tcPr>
            <w:tcW w:w="667" w:type="pct"/>
            <w:vAlign w:val="bottom"/>
          </w:tcPr>
          <w:p w14:paraId="7BC627E6">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13.7</w:t>
            </w:r>
          </w:p>
        </w:tc>
        <w:tc>
          <w:tcPr>
            <w:tcW w:w="613" w:type="pct"/>
            <w:vAlign w:val="bottom"/>
          </w:tcPr>
          <w:p w14:paraId="1DC93EFA">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14.46</w:t>
            </w:r>
          </w:p>
        </w:tc>
        <w:tc>
          <w:tcPr>
            <w:tcW w:w="637" w:type="pct"/>
            <w:vAlign w:val="bottom"/>
          </w:tcPr>
          <w:p w14:paraId="0FED5FD8">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0.78</w:t>
            </w:r>
          </w:p>
        </w:tc>
        <w:tc>
          <w:tcPr>
            <w:tcW w:w="584" w:type="pct"/>
            <w:vAlign w:val="center"/>
          </w:tcPr>
          <w:p w14:paraId="694E41D2">
            <w:pPr>
              <w:pStyle w:val="8"/>
              <w:suppressLineNumbers w:val="0"/>
              <w:bidi w:val="0"/>
              <w:spacing w:before="0" w:beforeAutospacing="0" w:after="0" w:afterAutospacing="0"/>
              <w:ind w:left="0" w:right="0"/>
              <w:rPr>
                <w:rFonts w:hint="default"/>
                <w:highlight w:val="none"/>
              </w:rPr>
            </w:pPr>
            <w:r>
              <w:rPr>
                <w:rFonts w:hint="default"/>
                <w:highlight w:val="none"/>
              </w:rPr>
              <w:t>100%</w:t>
            </w:r>
          </w:p>
        </w:tc>
        <w:tc>
          <w:tcPr>
            <w:tcW w:w="795" w:type="pct"/>
            <w:vAlign w:val="center"/>
          </w:tcPr>
          <w:p w14:paraId="1E6625C9">
            <w:pPr>
              <w:pStyle w:val="8"/>
              <w:suppressLineNumbers w:val="0"/>
              <w:bidi w:val="0"/>
              <w:spacing w:before="0" w:beforeAutospacing="0" w:after="0" w:afterAutospacing="0"/>
              <w:ind w:left="0" w:right="0"/>
              <w:rPr>
                <w:rFonts w:hint="default"/>
                <w:highlight w:val="none"/>
              </w:rPr>
            </w:pPr>
            <w:r>
              <w:rPr>
                <w:rFonts w:hint="default"/>
                <w:highlight w:val="none"/>
              </w:rPr>
              <w:t>0%</w:t>
            </w:r>
          </w:p>
        </w:tc>
      </w:tr>
      <w:tr w14:paraId="1F0D61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970" w:type="pct"/>
            <w:vAlign w:val="center"/>
          </w:tcPr>
          <w:p w14:paraId="1893D658">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钙</w:t>
            </w:r>
          </w:p>
        </w:tc>
        <w:tc>
          <w:tcPr>
            <w:tcW w:w="730" w:type="pct"/>
            <w:vAlign w:val="bottom"/>
          </w:tcPr>
          <w:p w14:paraId="26F838D3">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61.6</w:t>
            </w:r>
          </w:p>
        </w:tc>
        <w:tc>
          <w:tcPr>
            <w:tcW w:w="667" w:type="pct"/>
            <w:vAlign w:val="bottom"/>
          </w:tcPr>
          <w:p w14:paraId="43D811CF">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25.5</w:t>
            </w:r>
          </w:p>
        </w:tc>
        <w:tc>
          <w:tcPr>
            <w:tcW w:w="613" w:type="pct"/>
            <w:vAlign w:val="bottom"/>
          </w:tcPr>
          <w:p w14:paraId="6CD36828">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33.40</w:t>
            </w:r>
          </w:p>
        </w:tc>
        <w:tc>
          <w:tcPr>
            <w:tcW w:w="637" w:type="pct"/>
            <w:vAlign w:val="bottom"/>
          </w:tcPr>
          <w:p w14:paraId="49CD64A5">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14.12</w:t>
            </w:r>
          </w:p>
        </w:tc>
        <w:tc>
          <w:tcPr>
            <w:tcW w:w="584" w:type="pct"/>
            <w:vAlign w:val="center"/>
          </w:tcPr>
          <w:p w14:paraId="43940511">
            <w:pPr>
              <w:pStyle w:val="8"/>
              <w:suppressLineNumbers w:val="0"/>
              <w:bidi w:val="0"/>
              <w:spacing w:before="0" w:beforeAutospacing="0" w:after="0" w:afterAutospacing="0"/>
              <w:ind w:left="0" w:right="0"/>
              <w:rPr>
                <w:rFonts w:hint="default"/>
                <w:highlight w:val="none"/>
              </w:rPr>
            </w:pPr>
            <w:r>
              <w:rPr>
                <w:rFonts w:hint="default"/>
                <w:highlight w:val="none"/>
              </w:rPr>
              <w:t>100%</w:t>
            </w:r>
          </w:p>
        </w:tc>
        <w:tc>
          <w:tcPr>
            <w:tcW w:w="795" w:type="pct"/>
            <w:vAlign w:val="center"/>
          </w:tcPr>
          <w:p w14:paraId="37A72EF7">
            <w:pPr>
              <w:pStyle w:val="8"/>
              <w:suppressLineNumbers w:val="0"/>
              <w:bidi w:val="0"/>
              <w:spacing w:before="0" w:beforeAutospacing="0" w:after="0" w:afterAutospacing="0"/>
              <w:ind w:left="0" w:right="0"/>
              <w:rPr>
                <w:rFonts w:hint="default"/>
                <w:highlight w:val="none"/>
              </w:rPr>
            </w:pPr>
            <w:r>
              <w:rPr>
                <w:rFonts w:hint="default"/>
                <w:highlight w:val="none"/>
              </w:rPr>
              <w:t>0%</w:t>
            </w:r>
          </w:p>
        </w:tc>
      </w:tr>
      <w:tr w14:paraId="111680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970" w:type="pct"/>
            <w:vAlign w:val="center"/>
          </w:tcPr>
          <w:p w14:paraId="15528070">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镁</w:t>
            </w:r>
          </w:p>
        </w:tc>
        <w:tc>
          <w:tcPr>
            <w:tcW w:w="730" w:type="pct"/>
            <w:vAlign w:val="bottom"/>
          </w:tcPr>
          <w:p w14:paraId="27EFAA31">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12.2</w:t>
            </w:r>
          </w:p>
        </w:tc>
        <w:tc>
          <w:tcPr>
            <w:tcW w:w="667" w:type="pct"/>
            <w:vAlign w:val="bottom"/>
          </w:tcPr>
          <w:p w14:paraId="5D1E8355">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10.4</w:t>
            </w:r>
          </w:p>
        </w:tc>
        <w:tc>
          <w:tcPr>
            <w:tcW w:w="613" w:type="pct"/>
            <w:vAlign w:val="bottom"/>
          </w:tcPr>
          <w:p w14:paraId="11C434C2">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11.50</w:t>
            </w:r>
          </w:p>
        </w:tc>
        <w:tc>
          <w:tcPr>
            <w:tcW w:w="637" w:type="pct"/>
            <w:vAlign w:val="bottom"/>
          </w:tcPr>
          <w:p w14:paraId="56CEBB99">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0.69</w:t>
            </w:r>
          </w:p>
        </w:tc>
        <w:tc>
          <w:tcPr>
            <w:tcW w:w="584" w:type="pct"/>
            <w:vAlign w:val="center"/>
          </w:tcPr>
          <w:p w14:paraId="10E99530">
            <w:pPr>
              <w:pStyle w:val="8"/>
              <w:suppressLineNumbers w:val="0"/>
              <w:bidi w:val="0"/>
              <w:spacing w:before="0" w:beforeAutospacing="0" w:after="0" w:afterAutospacing="0"/>
              <w:ind w:left="0" w:right="0"/>
              <w:rPr>
                <w:rFonts w:hint="default"/>
                <w:highlight w:val="none"/>
              </w:rPr>
            </w:pPr>
            <w:r>
              <w:rPr>
                <w:rFonts w:hint="default"/>
                <w:highlight w:val="none"/>
              </w:rPr>
              <w:t>100%</w:t>
            </w:r>
          </w:p>
        </w:tc>
        <w:tc>
          <w:tcPr>
            <w:tcW w:w="795" w:type="pct"/>
            <w:vAlign w:val="center"/>
          </w:tcPr>
          <w:p w14:paraId="02B269B6">
            <w:pPr>
              <w:pStyle w:val="8"/>
              <w:suppressLineNumbers w:val="0"/>
              <w:bidi w:val="0"/>
              <w:spacing w:before="0" w:beforeAutospacing="0" w:after="0" w:afterAutospacing="0"/>
              <w:ind w:left="0" w:right="0"/>
              <w:rPr>
                <w:rFonts w:hint="default"/>
                <w:highlight w:val="none"/>
              </w:rPr>
            </w:pPr>
            <w:r>
              <w:rPr>
                <w:rFonts w:hint="default"/>
                <w:highlight w:val="none"/>
              </w:rPr>
              <w:t>0%</w:t>
            </w:r>
          </w:p>
        </w:tc>
      </w:tr>
      <w:tr w14:paraId="0A9AF0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08DBB7EE">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碳酸根离子</w:t>
            </w:r>
          </w:p>
        </w:tc>
        <w:tc>
          <w:tcPr>
            <w:tcW w:w="730" w:type="pct"/>
            <w:vAlign w:val="bottom"/>
          </w:tcPr>
          <w:p w14:paraId="7064BD44">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5L</w:t>
            </w:r>
          </w:p>
        </w:tc>
        <w:tc>
          <w:tcPr>
            <w:tcW w:w="667" w:type="pct"/>
            <w:vAlign w:val="bottom"/>
          </w:tcPr>
          <w:p w14:paraId="3312DE3E">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5L</w:t>
            </w:r>
          </w:p>
        </w:tc>
        <w:tc>
          <w:tcPr>
            <w:tcW w:w="613" w:type="pct"/>
            <w:vAlign w:val="bottom"/>
          </w:tcPr>
          <w:p w14:paraId="290F3413">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5L</w:t>
            </w:r>
          </w:p>
        </w:tc>
        <w:tc>
          <w:tcPr>
            <w:tcW w:w="637" w:type="pct"/>
            <w:vAlign w:val="bottom"/>
          </w:tcPr>
          <w:p w14:paraId="46C2071B">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w:t>
            </w:r>
          </w:p>
        </w:tc>
        <w:tc>
          <w:tcPr>
            <w:tcW w:w="584" w:type="pct"/>
            <w:vAlign w:val="center"/>
          </w:tcPr>
          <w:p w14:paraId="75A77ED9">
            <w:pPr>
              <w:pStyle w:val="8"/>
              <w:suppressLineNumbers w:val="0"/>
              <w:bidi w:val="0"/>
              <w:spacing w:before="0" w:beforeAutospacing="0" w:after="0" w:afterAutospacing="0"/>
              <w:ind w:left="0" w:right="0"/>
              <w:rPr>
                <w:rFonts w:hint="default"/>
                <w:highlight w:val="none"/>
              </w:rPr>
            </w:pPr>
            <w:r>
              <w:rPr>
                <w:rFonts w:hint="default"/>
                <w:highlight w:val="none"/>
              </w:rPr>
              <w:t>0%</w:t>
            </w:r>
          </w:p>
        </w:tc>
        <w:tc>
          <w:tcPr>
            <w:tcW w:w="795" w:type="pct"/>
            <w:vAlign w:val="center"/>
          </w:tcPr>
          <w:p w14:paraId="549CAB2E">
            <w:pPr>
              <w:pStyle w:val="8"/>
              <w:suppressLineNumbers w:val="0"/>
              <w:bidi w:val="0"/>
              <w:spacing w:before="0" w:beforeAutospacing="0" w:after="0" w:afterAutospacing="0"/>
              <w:ind w:left="0" w:right="0"/>
              <w:rPr>
                <w:rFonts w:hint="default"/>
                <w:highlight w:val="none"/>
              </w:rPr>
            </w:pPr>
            <w:r>
              <w:rPr>
                <w:rFonts w:hint="default"/>
                <w:highlight w:val="none"/>
              </w:rPr>
              <w:t>0%</w:t>
            </w:r>
          </w:p>
        </w:tc>
      </w:tr>
      <w:tr w14:paraId="410D94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4C51936D">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碳酸氢根离子</w:t>
            </w:r>
          </w:p>
        </w:tc>
        <w:tc>
          <w:tcPr>
            <w:tcW w:w="730" w:type="pct"/>
            <w:vAlign w:val="bottom"/>
          </w:tcPr>
          <w:p w14:paraId="37DB8B43">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226</w:t>
            </w:r>
          </w:p>
        </w:tc>
        <w:tc>
          <w:tcPr>
            <w:tcW w:w="667" w:type="pct"/>
            <w:vAlign w:val="bottom"/>
          </w:tcPr>
          <w:p w14:paraId="69314D53">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125</w:t>
            </w:r>
          </w:p>
        </w:tc>
        <w:tc>
          <w:tcPr>
            <w:tcW w:w="613" w:type="pct"/>
            <w:vAlign w:val="bottom"/>
          </w:tcPr>
          <w:p w14:paraId="7E7095C3">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158.20</w:t>
            </w:r>
          </w:p>
        </w:tc>
        <w:tc>
          <w:tcPr>
            <w:tcW w:w="637" w:type="pct"/>
            <w:vAlign w:val="bottom"/>
          </w:tcPr>
          <w:p w14:paraId="6EF1D845">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35.61</w:t>
            </w:r>
          </w:p>
        </w:tc>
        <w:tc>
          <w:tcPr>
            <w:tcW w:w="584" w:type="pct"/>
            <w:vAlign w:val="center"/>
          </w:tcPr>
          <w:p w14:paraId="1FD9DC8D">
            <w:pPr>
              <w:pStyle w:val="8"/>
              <w:suppressLineNumbers w:val="0"/>
              <w:bidi w:val="0"/>
              <w:spacing w:before="0" w:beforeAutospacing="0" w:after="0" w:afterAutospacing="0"/>
              <w:ind w:left="0" w:right="0"/>
              <w:rPr>
                <w:rFonts w:hint="default"/>
                <w:highlight w:val="none"/>
              </w:rPr>
            </w:pPr>
            <w:r>
              <w:rPr>
                <w:rFonts w:hint="default"/>
                <w:highlight w:val="none"/>
              </w:rPr>
              <w:t>100%</w:t>
            </w:r>
          </w:p>
        </w:tc>
        <w:tc>
          <w:tcPr>
            <w:tcW w:w="795" w:type="pct"/>
            <w:vAlign w:val="center"/>
          </w:tcPr>
          <w:p w14:paraId="128B8AEF">
            <w:pPr>
              <w:pStyle w:val="8"/>
              <w:suppressLineNumbers w:val="0"/>
              <w:bidi w:val="0"/>
              <w:spacing w:before="0" w:beforeAutospacing="0" w:after="0" w:afterAutospacing="0"/>
              <w:ind w:left="0" w:right="0"/>
              <w:rPr>
                <w:rFonts w:hint="default"/>
                <w:highlight w:val="none"/>
              </w:rPr>
            </w:pPr>
            <w:r>
              <w:rPr>
                <w:rFonts w:hint="default"/>
                <w:highlight w:val="none"/>
              </w:rPr>
              <w:t>0%</w:t>
            </w:r>
          </w:p>
        </w:tc>
      </w:tr>
      <w:tr w14:paraId="6756E5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3B894CAA">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氯离子</w:t>
            </w:r>
          </w:p>
        </w:tc>
        <w:tc>
          <w:tcPr>
            <w:tcW w:w="730" w:type="pct"/>
            <w:vAlign w:val="bottom"/>
          </w:tcPr>
          <w:p w14:paraId="41A18985">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18</w:t>
            </w:r>
          </w:p>
        </w:tc>
        <w:tc>
          <w:tcPr>
            <w:tcW w:w="667" w:type="pct"/>
            <w:vAlign w:val="bottom"/>
          </w:tcPr>
          <w:p w14:paraId="7FFEBDD1">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13.5</w:t>
            </w:r>
          </w:p>
        </w:tc>
        <w:tc>
          <w:tcPr>
            <w:tcW w:w="613" w:type="pct"/>
            <w:vAlign w:val="bottom"/>
          </w:tcPr>
          <w:p w14:paraId="164830F5">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15.40</w:t>
            </w:r>
          </w:p>
        </w:tc>
        <w:tc>
          <w:tcPr>
            <w:tcW w:w="637" w:type="pct"/>
            <w:vAlign w:val="bottom"/>
          </w:tcPr>
          <w:p w14:paraId="739015B7">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1.55</w:t>
            </w:r>
          </w:p>
        </w:tc>
        <w:tc>
          <w:tcPr>
            <w:tcW w:w="584" w:type="pct"/>
            <w:vAlign w:val="center"/>
          </w:tcPr>
          <w:p w14:paraId="6946D412">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100</w:t>
            </w:r>
            <w:r>
              <w:rPr>
                <w:rFonts w:hint="default"/>
                <w:highlight w:val="none"/>
              </w:rPr>
              <w:t>%</w:t>
            </w:r>
          </w:p>
        </w:tc>
        <w:tc>
          <w:tcPr>
            <w:tcW w:w="795" w:type="pct"/>
            <w:vAlign w:val="center"/>
          </w:tcPr>
          <w:p w14:paraId="5362FBCB">
            <w:pPr>
              <w:pStyle w:val="8"/>
              <w:suppressLineNumbers w:val="0"/>
              <w:bidi w:val="0"/>
              <w:spacing w:before="0" w:beforeAutospacing="0" w:after="0" w:afterAutospacing="0"/>
              <w:ind w:left="0" w:right="0"/>
              <w:rPr>
                <w:rFonts w:hint="default"/>
                <w:highlight w:val="none"/>
              </w:rPr>
            </w:pPr>
            <w:r>
              <w:rPr>
                <w:rFonts w:hint="default"/>
                <w:highlight w:val="none"/>
              </w:rPr>
              <w:t>0%</w:t>
            </w:r>
          </w:p>
        </w:tc>
      </w:tr>
      <w:tr w14:paraId="605272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74BC1EAE">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硫酸根离子</w:t>
            </w:r>
          </w:p>
        </w:tc>
        <w:tc>
          <w:tcPr>
            <w:tcW w:w="730" w:type="pct"/>
            <w:vAlign w:val="bottom"/>
          </w:tcPr>
          <w:p w14:paraId="24F4F3B1">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20.3</w:t>
            </w:r>
          </w:p>
        </w:tc>
        <w:tc>
          <w:tcPr>
            <w:tcW w:w="667" w:type="pct"/>
            <w:vAlign w:val="bottom"/>
          </w:tcPr>
          <w:p w14:paraId="2CAEC33B">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11.9</w:t>
            </w:r>
          </w:p>
        </w:tc>
        <w:tc>
          <w:tcPr>
            <w:tcW w:w="613" w:type="pct"/>
            <w:vAlign w:val="bottom"/>
          </w:tcPr>
          <w:p w14:paraId="4F2AF860">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16.38</w:t>
            </w:r>
          </w:p>
        </w:tc>
        <w:tc>
          <w:tcPr>
            <w:tcW w:w="637" w:type="pct"/>
            <w:vAlign w:val="bottom"/>
          </w:tcPr>
          <w:p w14:paraId="11BA3E16">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3.12</w:t>
            </w:r>
          </w:p>
        </w:tc>
        <w:tc>
          <w:tcPr>
            <w:tcW w:w="584" w:type="pct"/>
            <w:vAlign w:val="center"/>
          </w:tcPr>
          <w:p w14:paraId="60BBEEB4">
            <w:pPr>
              <w:pStyle w:val="8"/>
              <w:suppressLineNumbers w:val="0"/>
              <w:bidi w:val="0"/>
              <w:spacing w:before="0" w:beforeAutospacing="0" w:after="0" w:afterAutospacing="0"/>
              <w:ind w:left="0" w:right="0"/>
              <w:rPr>
                <w:rFonts w:hint="default"/>
                <w:highlight w:val="none"/>
              </w:rPr>
            </w:pPr>
            <w:r>
              <w:rPr>
                <w:rFonts w:hint="default"/>
                <w:highlight w:val="none"/>
              </w:rPr>
              <w:t>100%</w:t>
            </w:r>
          </w:p>
        </w:tc>
        <w:tc>
          <w:tcPr>
            <w:tcW w:w="795" w:type="pct"/>
            <w:vAlign w:val="center"/>
          </w:tcPr>
          <w:p w14:paraId="4AA488D5">
            <w:pPr>
              <w:pStyle w:val="8"/>
              <w:suppressLineNumbers w:val="0"/>
              <w:bidi w:val="0"/>
              <w:spacing w:before="0" w:beforeAutospacing="0" w:after="0" w:afterAutospacing="0"/>
              <w:ind w:left="0" w:right="0"/>
              <w:rPr>
                <w:rFonts w:hint="default"/>
                <w:highlight w:val="none"/>
              </w:rPr>
            </w:pPr>
            <w:r>
              <w:rPr>
                <w:rFonts w:hint="default"/>
                <w:highlight w:val="none"/>
              </w:rPr>
              <w:t>0%</w:t>
            </w:r>
          </w:p>
        </w:tc>
      </w:tr>
      <w:tr w14:paraId="36F5C1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03549D4B">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pH</w:t>
            </w:r>
          </w:p>
        </w:tc>
        <w:tc>
          <w:tcPr>
            <w:tcW w:w="730" w:type="pct"/>
            <w:vAlign w:val="bottom"/>
          </w:tcPr>
          <w:p w14:paraId="7FF97A19">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7.6</w:t>
            </w:r>
          </w:p>
        </w:tc>
        <w:tc>
          <w:tcPr>
            <w:tcW w:w="667" w:type="pct"/>
            <w:vAlign w:val="bottom"/>
          </w:tcPr>
          <w:p w14:paraId="1571CD1C">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6.9</w:t>
            </w:r>
          </w:p>
        </w:tc>
        <w:tc>
          <w:tcPr>
            <w:tcW w:w="613" w:type="pct"/>
            <w:vAlign w:val="bottom"/>
          </w:tcPr>
          <w:p w14:paraId="1AAB5B47">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7.24</w:t>
            </w:r>
          </w:p>
        </w:tc>
        <w:tc>
          <w:tcPr>
            <w:tcW w:w="637" w:type="pct"/>
            <w:vAlign w:val="bottom"/>
          </w:tcPr>
          <w:p w14:paraId="3AB654F9">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0.22</w:t>
            </w:r>
          </w:p>
        </w:tc>
        <w:tc>
          <w:tcPr>
            <w:tcW w:w="584" w:type="pct"/>
            <w:vAlign w:val="center"/>
          </w:tcPr>
          <w:p w14:paraId="10440EB9">
            <w:pPr>
              <w:pStyle w:val="8"/>
              <w:suppressLineNumbers w:val="0"/>
              <w:bidi w:val="0"/>
              <w:spacing w:before="0" w:beforeAutospacing="0" w:after="0" w:afterAutospacing="0"/>
              <w:ind w:left="0" w:right="0"/>
              <w:rPr>
                <w:rFonts w:hint="default"/>
                <w:highlight w:val="none"/>
              </w:rPr>
            </w:pPr>
            <w:r>
              <w:rPr>
                <w:rFonts w:hint="default"/>
                <w:highlight w:val="none"/>
              </w:rPr>
              <w:t>100%</w:t>
            </w:r>
          </w:p>
        </w:tc>
        <w:tc>
          <w:tcPr>
            <w:tcW w:w="795" w:type="pct"/>
            <w:vAlign w:val="center"/>
          </w:tcPr>
          <w:p w14:paraId="1D20C5B0">
            <w:pPr>
              <w:pStyle w:val="8"/>
              <w:suppressLineNumbers w:val="0"/>
              <w:bidi w:val="0"/>
              <w:spacing w:before="0" w:beforeAutospacing="0" w:after="0" w:afterAutospacing="0"/>
              <w:ind w:left="0" w:right="0"/>
              <w:rPr>
                <w:rFonts w:hint="default"/>
                <w:highlight w:val="none"/>
              </w:rPr>
            </w:pPr>
            <w:r>
              <w:rPr>
                <w:rFonts w:hint="default"/>
                <w:highlight w:val="none"/>
              </w:rPr>
              <w:t>0%</w:t>
            </w:r>
          </w:p>
        </w:tc>
      </w:tr>
      <w:tr w14:paraId="48FCB1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44A27E62">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总硬度</w:t>
            </w:r>
          </w:p>
        </w:tc>
        <w:tc>
          <w:tcPr>
            <w:tcW w:w="730" w:type="pct"/>
            <w:vAlign w:val="bottom"/>
          </w:tcPr>
          <w:p w14:paraId="6F497AAC">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254</w:t>
            </w:r>
          </w:p>
        </w:tc>
        <w:tc>
          <w:tcPr>
            <w:tcW w:w="667" w:type="pct"/>
            <w:vAlign w:val="bottom"/>
          </w:tcPr>
          <w:p w14:paraId="4475864C">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193</w:t>
            </w:r>
          </w:p>
        </w:tc>
        <w:tc>
          <w:tcPr>
            <w:tcW w:w="613" w:type="pct"/>
            <w:vAlign w:val="bottom"/>
          </w:tcPr>
          <w:p w14:paraId="68076047">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221.80</w:t>
            </w:r>
          </w:p>
        </w:tc>
        <w:tc>
          <w:tcPr>
            <w:tcW w:w="637" w:type="pct"/>
            <w:vAlign w:val="bottom"/>
          </w:tcPr>
          <w:p w14:paraId="32A6A2FE">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20.49</w:t>
            </w:r>
          </w:p>
        </w:tc>
        <w:tc>
          <w:tcPr>
            <w:tcW w:w="584" w:type="pct"/>
            <w:vAlign w:val="center"/>
          </w:tcPr>
          <w:p w14:paraId="5DD92719">
            <w:pPr>
              <w:pStyle w:val="8"/>
              <w:suppressLineNumbers w:val="0"/>
              <w:bidi w:val="0"/>
              <w:spacing w:before="0" w:beforeAutospacing="0" w:after="0" w:afterAutospacing="0"/>
              <w:ind w:left="0" w:right="0"/>
              <w:rPr>
                <w:rFonts w:hint="default"/>
                <w:highlight w:val="none"/>
              </w:rPr>
            </w:pPr>
            <w:r>
              <w:rPr>
                <w:rFonts w:hint="default"/>
                <w:highlight w:val="none"/>
              </w:rPr>
              <w:t>100%</w:t>
            </w:r>
          </w:p>
        </w:tc>
        <w:tc>
          <w:tcPr>
            <w:tcW w:w="795" w:type="pct"/>
            <w:vAlign w:val="center"/>
          </w:tcPr>
          <w:p w14:paraId="14A959B7">
            <w:pPr>
              <w:pStyle w:val="8"/>
              <w:suppressLineNumbers w:val="0"/>
              <w:bidi w:val="0"/>
              <w:spacing w:before="0" w:beforeAutospacing="0" w:after="0" w:afterAutospacing="0"/>
              <w:ind w:left="0" w:right="0"/>
              <w:rPr>
                <w:rFonts w:hint="default"/>
                <w:highlight w:val="none"/>
              </w:rPr>
            </w:pPr>
            <w:r>
              <w:rPr>
                <w:rFonts w:hint="default"/>
                <w:highlight w:val="none"/>
              </w:rPr>
              <w:t>0%</w:t>
            </w:r>
          </w:p>
        </w:tc>
      </w:tr>
      <w:tr w14:paraId="3941FE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33376267">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溶解性总固体</w:t>
            </w:r>
          </w:p>
        </w:tc>
        <w:tc>
          <w:tcPr>
            <w:tcW w:w="730" w:type="pct"/>
            <w:vAlign w:val="bottom"/>
          </w:tcPr>
          <w:p w14:paraId="4267907C">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415</w:t>
            </w:r>
          </w:p>
        </w:tc>
        <w:tc>
          <w:tcPr>
            <w:tcW w:w="667" w:type="pct"/>
            <w:vAlign w:val="bottom"/>
          </w:tcPr>
          <w:p w14:paraId="5AEF011E">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298</w:t>
            </w:r>
          </w:p>
        </w:tc>
        <w:tc>
          <w:tcPr>
            <w:tcW w:w="613" w:type="pct"/>
            <w:vAlign w:val="bottom"/>
          </w:tcPr>
          <w:p w14:paraId="7B99C713">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339.00</w:t>
            </w:r>
          </w:p>
        </w:tc>
        <w:tc>
          <w:tcPr>
            <w:tcW w:w="637" w:type="pct"/>
            <w:vAlign w:val="bottom"/>
          </w:tcPr>
          <w:p w14:paraId="19B3BED2">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41.13</w:t>
            </w:r>
          </w:p>
        </w:tc>
        <w:tc>
          <w:tcPr>
            <w:tcW w:w="584" w:type="pct"/>
            <w:vAlign w:val="center"/>
          </w:tcPr>
          <w:p w14:paraId="059B272A">
            <w:pPr>
              <w:pStyle w:val="8"/>
              <w:suppressLineNumbers w:val="0"/>
              <w:bidi w:val="0"/>
              <w:spacing w:before="0" w:beforeAutospacing="0" w:after="0" w:afterAutospacing="0"/>
              <w:ind w:left="0" w:right="0"/>
              <w:rPr>
                <w:rFonts w:hint="default"/>
                <w:highlight w:val="none"/>
              </w:rPr>
            </w:pPr>
            <w:r>
              <w:rPr>
                <w:rFonts w:hint="default"/>
                <w:highlight w:val="none"/>
              </w:rPr>
              <w:t>100%</w:t>
            </w:r>
          </w:p>
        </w:tc>
        <w:tc>
          <w:tcPr>
            <w:tcW w:w="795" w:type="pct"/>
            <w:vAlign w:val="center"/>
          </w:tcPr>
          <w:p w14:paraId="3468DFB1">
            <w:pPr>
              <w:pStyle w:val="8"/>
              <w:suppressLineNumbers w:val="0"/>
              <w:bidi w:val="0"/>
              <w:spacing w:before="0" w:beforeAutospacing="0" w:after="0" w:afterAutospacing="0"/>
              <w:ind w:left="0" w:right="0"/>
              <w:rPr>
                <w:rFonts w:hint="default"/>
                <w:highlight w:val="none"/>
              </w:rPr>
            </w:pPr>
            <w:r>
              <w:rPr>
                <w:rFonts w:hint="default"/>
                <w:highlight w:val="none"/>
              </w:rPr>
              <w:t>0%</w:t>
            </w:r>
          </w:p>
        </w:tc>
      </w:tr>
      <w:tr w14:paraId="427FD4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29AE76DB">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硫酸盐</w:t>
            </w:r>
          </w:p>
        </w:tc>
        <w:tc>
          <w:tcPr>
            <w:tcW w:w="730" w:type="pct"/>
            <w:vAlign w:val="bottom"/>
          </w:tcPr>
          <w:p w14:paraId="054906F2">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20</w:t>
            </w:r>
          </w:p>
        </w:tc>
        <w:tc>
          <w:tcPr>
            <w:tcW w:w="667" w:type="pct"/>
            <w:vAlign w:val="bottom"/>
          </w:tcPr>
          <w:p w14:paraId="4913CD4C">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10</w:t>
            </w:r>
          </w:p>
        </w:tc>
        <w:tc>
          <w:tcPr>
            <w:tcW w:w="613" w:type="pct"/>
            <w:vAlign w:val="bottom"/>
          </w:tcPr>
          <w:p w14:paraId="6826493F">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15.52</w:t>
            </w:r>
          </w:p>
        </w:tc>
        <w:tc>
          <w:tcPr>
            <w:tcW w:w="637" w:type="pct"/>
            <w:vAlign w:val="bottom"/>
          </w:tcPr>
          <w:p w14:paraId="02437108">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3.63</w:t>
            </w:r>
          </w:p>
        </w:tc>
        <w:tc>
          <w:tcPr>
            <w:tcW w:w="584" w:type="pct"/>
            <w:vAlign w:val="center"/>
          </w:tcPr>
          <w:p w14:paraId="231DCAE6">
            <w:pPr>
              <w:pStyle w:val="8"/>
              <w:suppressLineNumbers w:val="0"/>
              <w:bidi w:val="0"/>
              <w:spacing w:before="0" w:beforeAutospacing="0" w:after="0" w:afterAutospacing="0"/>
              <w:ind w:left="0" w:right="0"/>
              <w:rPr>
                <w:rFonts w:hint="default"/>
                <w:highlight w:val="none"/>
              </w:rPr>
            </w:pPr>
            <w:r>
              <w:rPr>
                <w:rFonts w:hint="default"/>
                <w:highlight w:val="none"/>
              </w:rPr>
              <w:t>100%</w:t>
            </w:r>
          </w:p>
        </w:tc>
        <w:tc>
          <w:tcPr>
            <w:tcW w:w="795" w:type="pct"/>
            <w:vAlign w:val="center"/>
          </w:tcPr>
          <w:p w14:paraId="7029D564">
            <w:pPr>
              <w:pStyle w:val="8"/>
              <w:suppressLineNumbers w:val="0"/>
              <w:bidi w:val="0"/>
              <w:spacing w:before="0" w:beforeAutospacing="0" w:after="0" w:afterAutospacing="0"/>
              <w:ind w:left="0" w:right="0"/>
              <w:rPr>
                <w:rFonts w:hint="default"/>
                <w:highlight w:val="none"/>
              </w:rPr>
            </w:pPr>
            <w:r>
              <w:rPr>
                <w:rFonts w:hint="default"/>
                <w:highlight w:val="none"/>
              </w:rPr>
              <w:t>0%</w:t>
            </w:r>
          </w:p>
        </w:tc>
      </w:tr>
      <w:tr w14:paraId="491490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7" w:hRule="atLeast"/>
          <w:jc w:val="center"/>
        </w:trPr>
        <w:tc>
          <w:tcPr>
            <w:tcW w:w="970" w:type="pct"/>
            <w:vAlign w:val="center"/>
          </w:tcPr>
          <w:p w14:paraId="11A5843E">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氯化物</w:t>
            </w:r>
          </w:p>
        </w:tc>
        <w:tc>
          <w:tcPr>
            <w:tcW w:w="730" w:type="pct"/>
            <w:vAlign w:val="bottom"/>
          </w:tcPr>
          <w:p w14:paraId="5A96FE93">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38.1</w:t>
            </w:r>
          </w:p>
        </w:tc>
        <w:tc>
          <w:tcPr>
            <w:tcW w:w="667" w:type="pct"/>
            <w:vAlign w:val="bottom"/>
          </w:tcPr>
          <w:p w14:paraId="303BB0B1">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14.4</w:t>
            </w:r>
          </w:p>
        </w:tc>
        <w:tc>
          <w:tcPr>
            <w:tcW w:w="613" w:type="pct"/>
            <w:vAlign w:val="bottom"/>
          </w:tcPr>
          <w:p w14:paraId="2CE44510">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24.32</w:t>
            </w:r>
          </w:p>
        </w:tc>
        <w:tc>
          <w:tcPr>
            <w:tcW w:w="637" w:type="pct"/>
            <w:vAlign w:val="bottom"/>
          </w:tcPr>
          <w:p w14:paraId="4CAA8D2E">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10.34</w:t>
            </w:r>
          </w:p>
        </w:tc>
        <w:tc>
          <w:tcPr>
            <w:tcW w:w="584" w:type="pct"/>
            <w:vAlign w:val="center"/>
          </w:tcPr>
          <w:p w14:paraId="2D1BED7A">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100</w:t>
            </w:r>
            <w:r>
              <w:rPr>
                <w:rFonts w:hint="default"/>
                <w:highlight w:val="none"/>
              </w:rPr>
              <w:t>%</w:t>
            </w:r>
          </w:p>
        </w:tc>
        <w:tc>
          <w:tcPr>
            <w:tcW w:w="795" w:type="pct"/>
            <w:vAlign w:val="center"/>
          </w:tcPr>
          <w:p w14:paraId="161E8049">
            <w:pPr>
              <w:pStyle w:val="8"/>
              <w:suppressLineNumbers w:val="0"/>
              <w:bidi w:val="0"/>
              <w:spacing w:before="0" w:beforeAutospacing="0" w:after="0" w:afterAutospacing="0"/>
              <w:ind w:left="0" w:right="0"/>
              <w:rPr>
                <w:rFonts w:hint="default"/>
                <w:highlight w:val="none"/>
              </w:rPr>
            </w:pPr>
            <w:r>
              <w:rPr>
                <w:rFonts w:hint="default"/>
                <w:highlight w:val="none"/>
              </w:rPr>
              <w:t>0%</w:t>
            </w:r>
          </w:p>
        </w:tc>
      </w:tr>
      <w:tr w14:paraId="1EA336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1E554C48">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铁</w:t>
            </w:r>
          </w:p>
        </w:tc>
        <w:tc>
          <w:tcPr>
            <w:tcW w:w="730" w:type="pct"/>
            <w:vAlign w:val="bottom"/>
          </w:tcPr>
          <w:p w14:paraId="63D8639B">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0.27</w:t>
            </w:r>
          </w:p>
        </w:tc>
        <w:tc>
          <w:tcPr>
            <w:tcW w:w="667" w:type="pct"/>
            <w:vAlign w:val="bottom"/>
          </w:tcPr>
          <w:p w14:paraId="387723FC">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0.11</w:t>
            </w:r>
          </w:p>
        </w:tc>
        <w:tc>
          <w:tcPr>
            <w:tcW w:w="613" w:type="pct"/>
            <w:vAlign w:val="bottom"/>
          </w:tcPr>
          <w:p w14:paraId="5232F6D6">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0.16</w:t>
            </w:r>
          </w:p>
        </w:tc>
        <w:tc>
          <w:tcPr>
            <w:tcW w:w="637" w:type="pct"/>
            <w:vAlign w:val="bottom"/>
          </w:tcPr>
          <w:p w14:paraId="72255B3B">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0.06</w:t>
            </w:r>
          </w:p>
        </w:tc>
        <w:tc>
          <w:tcPr>
            <w:tcW w:w="584" w:type="pct"/>
            <w:vAlign w:val="center"/>
          </w:tcPr>
          <w:p w14:paraId="7E12774B">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100</w:t>
            </w:r>
            <w:r>
              <w:rPr>
                <w:rFonts w:hint="default"/>
                <w:highlight w:val="none"/>
              </w:rPr>
              <w:t>%</w:t>
            </w:r>
          </w:p>
        </w:tc>
        <w:tc>
          <w:tcPr>
            <w:tcW w:w="795" w:type="pct"/>
            <w:vAlign w:val="center"/>
          </w:tcPr>
          <w:p w14:paraId="52091C87">
            <w:pPr>
              <w:pStyle w:val="8"/>
              <w:suppressLineNumbers w:val="0"/>
              <w:bidi w:val="0"/>
              <w:spacing w:before="0" w:beforeAutospacing="0" w:after="0" w:afterAutospacing="0"/>
              <w:ind w:left="0" w:right="0"/>
              <w:rPr>
                <w:rFonts w:hint="default"/>
                <w:highlight w:val="none"/>
              </w:rPr>
            </w:pPr>
            <w:r>
              <w:rPr>
                <w:rFonts w:hint="default"/>
                <w:highlight w:val="none"/>
              </w:rPr>
              <w:t>0%</w:t>
            </w:r>
          </w:p>
        </w:tc>
      </w:tr>
      <w:tr w14:paraId="0E6E9B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42D20628">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锰</w:t>
            </w:r>
          </w:p>
        </w:tc>
        <w:tc>
          <w:tcPr>
            <w:tcW w:w="730" w:type="pct"/>
            <w:vAlign w:val="bottom"/>
          </w:tcPr>
          <w:p w14:paraId="3F8E7351">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0.33</w:t>
            </w:r>
          </w:p>
        </w:tc>
        <w:tc>
          <w:tcPr>
            <w:tcW w:w="667" w:type="pct"/>
            <w:vAlign w:val="bottom"/>
          </w:tcPr>
          <w:p w14:paraId="1CA76A79">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0.20</w:t>
            </w:r>
          </w:p>
        </w:tc>
        <w:tc>
          <w:tcPr>
            <w:tcW w:w="613" w:type="pct"/>
            <w:vAlign w:val="bottom"/>
          </w:tcPr>
          <w:p w14:paraId="370248D8">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0.28</w:t>
            </w:r>
          </w:p>
        </w:tc>
        <w:tc>
          <w:tcPr>
            <w:tcW w:w="637" w:type="pct"/>
            <w:vAlign w:val="bottom"/>
          </w:tcPr>
          <w:p w14:paraId="6A48E178">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0.05</w:t>
            </w:r>
          </w:p>
        </w:tc>
        <w:tc>
          <w:tcPr>
            <w:tcW w:w="584" w:type="pct"/>
            <w:vAlign w:val="center"/>
          </w:tcPr>
          <w:p w14:paraId="39D9BF7C">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100</w:t>
            </w:r>
            <w:r>
              <w:rPr>
                <w:rFonts w:hint="default"/>
                <w:highlight w:val="none"/>
              </w:rPr>
              <w:t>%</w:t>
            </w:r>
          </w:p>
        </w:tc>
        <w:tc>
          <w:tcPr>
            <w:tcW w:w="795" w:type="pct"/>
            <w:vAlign w:val="center"/>
          </w:tcPr>
          <w:p w14:paraId="352691EA">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100</w:t>
            </w:r>
            <w:r>
              <w:rPr>
                <w:rFonts w:hint="default"/>
                <w:highlight w:val="none"/>
              </w:rPr>
              <w:t>%</w:t>
            </w:r>
          </w:p>
        </w:tc>
      </w:tr>
      <w:tr w14:paraId="23994B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6DF07B7B">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挥发酚</w:t>
            </w:r>
          </w:p>
        </w:tc>
        <w:tc>
          <w:tcPr>
            <w:tcW w:w="730" w:type="pct"/>
            <w:vAlign w:val="bottom"/>
          </w:tcPr>
          <w:p w14:paraId="508012B1">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0.0003L</w:t>
            </w:r>
          </w:p>
        </w:tc>
        <w:tc>
          <w:tcPr>
            <w:tcW w:w="667" w:type="pct"/>
            <w:vAlign w:val="bottom"/>
          </w:tcPr>
          <w:p w14:paraId="5646366F">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0.0003L</w:t>
            </w:r>
          </w:p>
        </w:tc>
        <w:tc>
          <w:tcPr>
            <w:tcW w:w="613" w:type="pct"/>
            <w:vAlign w:val="bottom"/>
          </w:tcPr>
          <w:p w14:paraId="0BB25F8B">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0.0003L</w:t>
            </w:r>
          </w:p>
        </w:tc>
        <w:tc>
          <w:tcPr>
            <w:tcW w:w="637" w:type="pct"/>
            <w:vAlign w:val="bottom"/>
          </w:tcPr>
          <w:p w14:paraId="48217301">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w:t>
            </w:r>
          </w:p>
        </w:tc>
        <w:tc>
          <w:tcPr>
            <w:tcW w:w="584" w:type="pct"/>
            <w:vAlign w:val="center"/>
          </w:tcPr>
          <w:p w14:paraId="777CBB94">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0</w:t>
            </w:r>
            <w:r>
              <w:rPr>
                <w:rFonts w:hint="default"/>
                <w:highlight w:val="none"/>
              </w:rPr>
              <w:t>%</w:t>
            </w:r>
          </w:p>
        </w:tc>
        <w:tc>
          <w:tcPr>
            <w:tcW w:w="795" w:type="pct"/>
            <w:vAlign w:val="center"/>
          </w:tcPr>
          <w:p w14:paraId="73578AB5">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0</w:t>
            </w:r>
            <w:r>
              <w:rPr>
                <w:rFonts w:hint="default"/>
                <w:highlight w:val="none"/>
              </w:rPr>
              <w:t>%</w:t>
            </w:r>
          </w:p>
        </w:tc>
      </w:tr>
      <w:tr w14:paraId="35723D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48132353">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高锰酸盐指数</w:t>
            </w:r>
          </w:p>
        </w:tc>
        <w:tc>
          <w:tcPr>
            <w:tcW w:w="730" w:type="pct"/>
            <w:vAlign w:val="bottom"/>
          </w:tcPr>
          <w:p w14:paraId="6A669615">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2.8</w:t>
            </w:r>
          </w:p>
        </w:tc>
        <w:tc>
          <w:tcPr>
            <w:tcW w:w="667" w:type="pct"/>
            <w:vAlign w:val="bottom"/>
          </w:tcPr>
          <w:p w14:paraId="6AC299C2">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1.3</w:t>
            </w:r>
          </w:p>
        </w:tc>
        <w:tc>
          <w:tcPr>
            <w:tcW w:w="613" w:type="pct"/>
            <w:vAlign w:val="bottom"/>
          </w:tcPr>
          <w:p w14:paraId="0CB81C24">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2.14</w:t>
            </w:r>
          </w:p>
        </w:tc>
        <w:tc>
          <w:tcPr>
            <w:tcW w:w="637" w:type="pct"/>
            <w:vAlign w:val="bottom"/>
          </w:tcPr>
          <w:p w14:paraId="2E27E0C6">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0.62</w:t>
            </w:r>
          </w:p>
        </w:tc>
        <w:tc>
          <w:tcPr>
            <w:tcW w:w="584" w:type="pct"/>
            <w:vAlign w:val="center"/>
          </w:tcPr>
          <w:p w14:paraId="374C99D8">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10</w:t>
            </w:r>
            <w:r>
              <w:rPr>
                <w:rFonts w:hint="default"/>
                <w:highlight w:val="none"/>
              </w:rPr>
              <w:t>0%</w:t>
            </w:r>
          </w:p>
        </w:tc>
        <w:tc>
          <w:tcPr>
            <w:tcW w:w="795" w:type="pct"/>
            <w:vAlign w:val="center"/>
          </w:tcPr>
          <w:p w14:paraId="11B7E256">
            <w:pPr>
              <w:pStyle w:val="8"/>
              <w:suppressLineNumbers w:val="0"/>
              <w:bidi w:val="0"/>
              <w:spacing w:before="0" w:beforeAutospacing="0" w:after="0" w:afterAutospacing="0"/>
              <w:ind w:left="0" w:right="0"/>
              <w:rPr>
                <w:rFonts w:hint="default"/>
                <w:highlight w:val="none"/>
              </w:rPr>
            </w:pPr>
            <w:r>
              <w:rPr>
                <w:rFonts w:hint="default"/>
                <w:highlight w:val="none"/>
              </w:rPr>
              <w:t>0%</w:t>
            </w:r>
          </w:p>
        </w:tc>
      </w:tr>
      <w:tr w14:paraId="60637E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23BF749F">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氨氮</w:t>
            </w:r>
          </w:p>
        </w:tc>
        <w:tc>
          <w:tcPr>
            <w:tcW w:w="730" w:type="pct"/>
            <w:vAlign w:val="bottom"/>
          </w:tcPr>
          <w:p w14:paraId="5DDC0616">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0.207</w:t>
            </w:r>
          </w:p>
        </w:tc>
        <w:tc>
          <w:tcPr>
            <w:tcW w:w="667" w:type="pct"/>
            <w:vAlign w:val="bottom"/>
          </w:tcPr>
          <w:p w14:paraId="6EBDA214">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0.145</w:t>
            </w:r>
          </w:p>
        </w:tc>
        <w:tc>
          <w:tcPr>
            <w:tcW w:w="613" w:type="pct"/>
            <w:vAlign w:val="bottom"/>
          </w:tcPr>
          <w:p w14:paraId="574E8513">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0.17</w:t>
            </w:r>
          </w:p>
        </w:tc>
        <w:tc>
          <w:tcPr>
            <w:tcW w:w="637" w:type="pct"/>
            <w:vAlign w:val="bottom"/>
          </w:tcPr>
          <w:p w14:paraId="3D37CD30">
            <w:pPr>
              <w:pStyle w:val="8"/>
              <w:suppressLineNumbers w:val="0"/>
              <w:bidi w:val="0"/>
              <w:spacing w:before="0" w:beforeAutospacing="0" w:after="0" w:afterAutospacing="0"/>
              <w:ind w:left="0" w:right="0"/>
              <w:rPr>
                <w:rFonts w:hint="default"/>
                <w:highlight w:val="none"/>
                <w:lang w:eastAsia="zh-CN"/>
              </w:rPr>
            </w:pPr>
            <w:r>
              <w:rPr>
                <w:rFonts w:hint="eastAsia"/>
                <w:highlight w:val="none"/>
                <w:lang w:val="en-US" w:eastAsia="zh-CN"/>
              </w:rPr>
              <w:t>0.03</w:t>
            </w:r>
          </w:p>
        </w:tc>
        <w:tc>
          <w:tcPr>
            <w:tcW w:w="584" w:type="pct"/>
            <w:vAlign w:val="center"/>
          </w:tcPr>
          <w:p w14:paraId="3B50D7DA">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100</w:t>
            </w:r>
            <w:r>
              <w:rPr>
                <w:rFonts w:hint="default"/>
                <w:highlight w:val="none"/>
              </w:rPr>
              <w:t>%</w:t>
            </w:r>
          </w:p>
        </w:tc>
        <w:tc>
          <w:tcPr>
            <w:tcW w:w="795" w:type="pct"/>
            <w:vAlign w:val="center"/>
          </w:tcPr>
          <w:p w14:paraId="3A3377DC">
            <w:pPr>
              <w:pStyle w:val="8"/>
              <w:suppressLineNumbers w:val="0"/>
              <w:bidi w:val="0"/>
              <w:spacing w:before="0" w:beforeAutospacing="0" w:after="0" w:afterAutospacing="0"/>
              <w:ind w:left="0" w:right="0"/>
              <w:rPr>
                <w:rFonts w:hint="default"/>
                <w:highlight w:val="none"/>
              </w:rPr>
            </w:pPr>
            <w:r>
              <w:rPr>
                <w:rFonts w:hint="default"/>
                <w:highlight w:val="none"/>
              </w:rPr>
              <w:t>0%</w:t>
            </w:r>
          </w:p>
        </w:tc>
      </w:tr>
      <w:tr w14:paraId="732933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582E2BFF">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总大肠菌群</w:t>
            </w:r>
          </w:p>
        </w:tc>
        <w:tc>
          <w:tcPr>
            <w:tcW w:w="730" w:type="pct"/>
            <w:vAlign w:val="bottom"/>
          </w:tcPr>
          <w:p w14:paraId="2FC00A6E">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w:t>
            </w:r>
            <w:r>
              <w:rPr>
                <w:rFonts w:hint="default"/>
                <w:highlight w:val="none"/>
                <w:lang w:val="en-US" w:eastAsia="zh-CN"/>
              </w:rPr>
              <w:t>2</w:t>
            </w:r>
          </w:p>
        </w:tc>
        <w:tc>
          <w:tcPr>
            <w:tcW w:w="667" w:type="pct"/>
            <w:vAlign w:val="bottom"/>
          </w:tcPr>
          <w:p w14:paraId="0CAF2191">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w:t>
            </w:r>
            <w:r>
              <w:rPr>
                <w:rFonts w:hint="default"/>
                <w:highlight w:val="none"/>
                <w:lang w:val="en-US" w:eastAsia="zh-CN"/>
              </w:rPr>
              <w:t>2</w:t>
            </w:r>
          </w:p>
        </w:tc>
        <w:tc>
          <w:tcPr>
            <w:tcW w:w="613" w:type="pct"/>
            <w:vAlign w:val="bottom"/>
          </w:tcPr>
          <w:p w14:paraId="48E7FE14">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w:t>
            </w:r>
            <w:r>
              <w:rPr>
                <w:rFonts w:hint="default"/>
                <w:highlight w:val="none"/>
                <w:lang w:val="en-US" w:eastAsia="zh-CN"/>
              </w:rPr>
              <w:t>2</w:t>
            </w:r>
          </w:p>
        </w:tc>
        <w:tc>
          <w:tcPr>
            <w:tcW w:w="637" w:type="pct"/>
            <w:vAlign w:val="bottom"/>
          </w:tcPr>
          <w:p w14:paraId="333989B9">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w:t>
            </w:r>
          </w:p>
        </w:tc>
        <w:tc>
          <w:tcPr>
            <w:tcW w:w="584" w:type="pct"/>
            <w:vAlign w:val="center"/>
          </w:tcPr>
          <w:p w14:paraId="6BBB00F1">
            <w:pPr>
              <w:pStyle w:val="8"/>
              <w:suppressLineNumbers w:val="0"/>
              <w:bidi w:val="0"/>
              <w:spacing w:before="0" w:beforeAutospacing="0" w:after="0" w:afterAutospacing="0"/>
              <w:ind w:left="0" w:right="0"/>
              <w:rPr>
                <w:rFonts w:hint="default"/>
                <w:highlight w:val="none"/>
              </w:rPr>
            </w:pPr>
            <w:r>
              <w:rPr>
                <w:rFonts w:hint="default"/>
                <w:highlight w:val="none"/>
              </w:rPr>
              <w:t>0%</w:t>
            </w:r>
          </w:p>
        </w:tc>
        <w:tc>
          <w:tcPr>
            <w:tcW w:w="795" w:type="pct"/>
            <w:vAlign w:val="center"/>
          </w:tcPr>
          <w:p w14:paraId="0B2DF85C">
            <w:pPr>
              <w:pStyle w:val="8"/>
              <w:suppressLineNumbers w:val="0"/>
              <w:bidi w:val="0"/>
              <w:spacing w:before="0" w:beforeAutospacing="0" w:after="0" w:afterAutospacing="0"/>
              <w:ind w:left="0" w:right="0"/>
              <w:rPr>
                <w:rFonts w:hint="default"/>
                <w:highlight w:val="none"/>
              </w:rPr>
            </w:pPr>
            <w:r>
              <w:rPr>
                <w:rFonts w:hint="default"/>
                <w:highlight w:val="none"/>
              </w:rPr>
              <w:t>0%</w:t>
            </w:r>
          </w:p>
        </w:tc>
      </w:tr>
      <w:tr w14:paraId="6FF57A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524D844E">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菌落总数</w:t>
            </w:r>
          </w:p>
        </w:tc>
        <w:tc>
          <w:tcPr>
            <w:tcW w:w="730" w:type="pct"/>
            <w:vAlign w:val="bottom"/>
          </w:tcPr>
          <w:p w14:paraId="68FC2086">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36</w:t>
            </w:r>
          </w:p>
        </w:tc>
        <w:tc>
          <w:tcPr>
            <w:tcW w:w="667" w:type="pct"/>
            <w:vAlign w:val="bottom"/>
          </w:tcPr>
          <w:p w14:paraId="1D30A7F6">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6</w:t>
            </w:r>
          </w:p>
        </w:tc>
        <w:tc>
          <w:tcPr>
            <w:tcW w:w="613" w:type="pct"/>
            <w:vAlign w:val="bottom"/>
          </w:tcPr>
          <w:p w14:paraId="62521D91">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25.80</w:t>
            </w:r>
          </w:p>
        </w:tc>
        <w:tc>
          <w:tcPr>
            <w:tcW w:w="637" w:type="pct"/>
            <w:vAlign w:val="bottom"/>
          </w:tcPr>
          <w:p w14:paraId="1F6E2A04">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10.51</w:t>
            </w:r>
          </w:p>
        </w:tc>
        <w:tc>
          <w:tcPr>
            <w:tcW w:w="584" w:type="pct"/>
            <w:vAlign w:val="center"/>
          </w:tcPr>
          <w:p w14:paraId="414C62F6">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100</w:t>
            </w:r>
            <w:r>
              <w:rPr>
                <w:rFonts w:hint="default"/>
                <w:highlight w:val="none"/>
              </w:rPr>
              <w:t>%</w:t>
            </w:r>
          </w:p>
        </w:tc>
        <w:tc>
          <w:tcPr>
            <w:tcW w:w="795" w:type="pct"/>
            <w:vAlign w:val="center"/>
          </w:tcPr>
          <w:p w14:paraId="12AE7D4E">
            <w:pPr>
              <w:pStyle w:val="8"/>
              <w:suppressLineNumbers w:val="0"/>
              <w:bidi w:val="0"/>
              <w:spacing w:before="0" w:beforeAutospacing="0" w:after="0" w:afterAutospacing="0"/>
              <w:ind w:left="0" w:right="0"/>
              <w:rPr>
                <w:rFonts w:hint="default"/>
                <w:highlight w:val="none"/>
              </w:rPr>
            </w:pPr>
            <w:r>
              <w:rPr>
                <w:rFonts w:hint="default"/>
                <w:highlight w:val="none"/>
              </w:rPr>
              <w:t>0%</w:t>
            </w:r>
          </w:p>
        </w:tc>
      </w:tr>
    </w:tbl>
    <w:p w14:paraId="7F2EFCED">
      <w:pPr>
        <w:pStyle w:val="7"/>
        <w:bidi w:val="0"/>
        <w:rPr>
          <w:highlight w:val="none"/>
        </w:rPr>
      </w:pPr>
      <w:r>
        <w:rPr>
          <w:rFonts w:hint="eastAsia"/>
          <w:highlight w:val="none"/>
          <w:lang w:val="en-US" w:eastAsia="zh-CN"/>
        </w:rPr>
        <w:t>续</w:t>
      </w:r>
      <w:r>
        <w:rPr>
          <w:highlight w:val="none"/>
        </w:rPr>
        <w:t>表4-2-</w:t>
      </w:r>
      <w:r>
        <w:rPr>
          <w:rFonts w:hint="eastAsia"/>
          <w:highlight w:val="none"/>
          <w:lang w:val="en-US" w:eastAsia="zh-CN"/>
        </w:rPr>
        <w:t>6</w:t>
      </w:r>
      <w:r>
        <w:rPr>
          <w:highlight w:val="none"/>
        </w:rPr>
        <w:t>地下水</w:t>
      </w:r>
      <w:r>
        <w:rPr>
          <w:rFonts w:hint="eastAsia"/>
          <w:highlight w:val="none"/>
          <w:lang w:val="en-US" w:eastAsia="zh-CN"/>
        </w:rPr>
        <w:t>水</w:t>
      </w:r>
      <w:r>
        <w:rPr>
          <w:highlight w:val="none"/>
        </w:rPr>
        <w:t>质现状评价因子统计结果</w:t>
      </w:r>
    </w:p>
    <w:tbl>
      <w:tblPr>
        <w:tblStyle w:val="45"/>
        <w:tblW w:w="499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51"/>
        <w:gridCol w:w="1243"/>
        <w:gridCol w:w="1136"/>
        <w:gridCol w:w="1044"/>
        <w:gridCol w:w="1085"/>
        <w:gridCol w:w="994"/>
        <w:gridCol w:w="1354"/>
      </w:tblGrid>
      <w:tr w14:paraId="494616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4BA77F26">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亚硝酸盐</w:t>
            </w:r>
          </w:p>
        </w:tc>
        <w:tc>
          <w:tcPr>
            <w:tcW w:w="730" w:type="pct"/>
            <w:vAlign w:val="bottom"/>
          </w:tcPr>
          <w:p w14:paraId="37D84921">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0.003L</w:t>
            </w:r>
          </w:p>
        </w:tc>
        <w:tc>
          <w:tcPr>
            <w:tcW w:w="667" w:type="pct"/>
            <w:vAlign w:val="bottom"/>
          </w:tcPr>
          <w:p w14:paraId="592202F4">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0.003L</w:t>
            </w:r>
          </w:p>
        </w:tc>
        <w:tc>
          <w:tcPr>
            <w:tcW w:w="613" w:type="pct"/>
            <w:vAlign w:val="bottom"/>
          </w:tcPr>
          <w:p w14:paraId="194C9136">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0.003L</w:t>
            </w:r>
          </w:p>
        </w:tc>
        <w:tc>
          <w:tcPr>
            <w:tcW w:w="637" w:type="pct"/>
            <w:vAlign w:val="bottom"/>
          </w:tcPr>
          <w:p w14:paraId="211E74A0">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w:t>
            </w:r>
          </w:p>
        </w:tc>
        <w:tc>
          <w:tcPr>
            <w:tcW w:w="584" w:type="pct"/>
            <w:vAlign w:val="center"/>
          </w:tcPr>
          <w:p w14:paraId="59E5F1B8">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0</w:t>
            </w:r>
            <w:r>
              <w:rPr>
                <w:rFonts w:hint="default"/>
                <w:highlight w:val="none"/>
              </w:rPr>
              <w:t>%</w:t>
            </w:r>
          </w:p>
        </w:tc>
        <w:tc>
          <w:tcPr>
            <w:tcW w:w="795" w:type="pct"/>
            <w:vAlign w:val="center"/>
          </w:tcPr>
          <w:p w14:paraId="349D661A">
            <w:pPr>
              <w:pStyle w:val="8"/>
              <w:suppressLineNumbers w:val="0"/>
              <w:bidi w:val="0"/>
              <w:spacing w:before="0" w:beforeAutospacing="0" w:after="0" w:afterAutospacing="0"/>
              <w:ind w:left="0" w:right="0"/>
              <w:rPr>
                <w:rFonts w:hint="default"/>
                <w:highlight w:val="none"/>
              </w:rPr>
            </w:pPr>
            <w:r>
              <w:rPr>
                <w:rFonts w:hint="default"/>
                <w:highlight w:val="none"/>
              </w:rPr>
              <w:t>0%</w:t>
            </w:r>
          </w:p>
        </w:tc>
      </w:tr>
      <w:tr w14:paraId="4E4C84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79D91554">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硝酸盐</w:t>
            </w:r>
          </w:p>
        </w:tc>
        <w:tc>
          <w:tcPr>
            <w:tcW w:w="730" w:type="pct"/>
            <w:vAlign w:val="bottom"/>
          </w:tcPr>
          <w:p w14:paraId="435CC535">
            <w:pPr>
              <w:pStyle w:val="8"/>
              <w:suppressLineNumbers w:val="0"/>
              <w:bidi w:val="0"/>
              <w:spacing w:before="0" w:beforeAutospacing="0" w:after="0" w:afterAutospacing="0"/>
              <w:ind w:left="0" w:right="0"/>
              <w:rPr>
                <w:rFonts w:hint="default"/>
                <w:highlight w:val="none"/>
                <w:lang w:eastAsia="zh-CN"/>
              </w:rPr>
            </w:pPr>
            <w:r>
              <w:rPr>
                <w:rFonts w:hint="eastAsia"/>
                <w:highlight w:val="none"/>
                <w:lang w:val="en-US" w:eastAsia="zh-CN"/>
              </w:rPr>
              <w:t>1.44</w:t>
            </w:r>
          </w:p>
        </w:tc>
        <w:tc>
          <w:tcPr>
            <w:tcW w:w="667" w:type="pct"/>
            <w:vAlign w:val="bottom"/>
          </w:tcPr>
          <w:p w14:paraId="10B232C2">
            <w:pPr>
              <w:pStyle w:val="8"/>
              <w:suppressLineNumbers w:val="0"/>
              <w:bidi w:val="0"/>
              <w:spacing w:before="0" w:beforeAutospacing="0" w:after="0" w:afterAutospacing="0"/>
              <w:ind w:left="0" w:right="0"/>
              <w:rPr>
                <w:rFonts w:hint="default"/>
                <w:highlight w:val="none"/>
                <w:lang w:eastAsia="zh-CN"/>
              </w:rPr>
            </w:pPr>
            <w:r>
              <w:rPr>
                <w:rFonts w:hint="eastAsia"/>
                <w:highlight w:val="none"/>
                <w:lang w:val="en-US" w:eastAsia="zh-CN"/>
              </w:rPr>
              <w:t>1.06</w:t>
            </w:r>
          </w:p>
        </w:tc>
        <w:tc>
          <w:tcPr>
            <w:tcW w:w="613" w:type="pct"/>
            <w:vAlign w:val="bottom"/>
          </w:tcPr>
          <w:p w14:paraId="6F4564E9">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1.18</w:t>
            </w:r>
          </w:p>
        </w:tc>
        <w:tc>
          <w:tcPr>
            <w:tcW w:w="637" w:type="pct"/>
            <w:vAlign w:val="bottom"/>
          </w:tcPr>
          <w:p w14:paraId="2526F799">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0.14</w:t>
            </w:r>
          </w:p>
        </w:tc>
        <w:tc>
          <w:tcPr>
            <w:tcW w:w="584" w:type="pct"/>
            <w:vAlign w:val="center"/>
          </w:tcPr>
          <w:p w14:paraId="6B014A2C">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0</w:t>
            </w:r>
            <w:r>
              <w:rPr>
                <w:rFonts w:hint="default"/>
                <w:highlight w:val="none"/>
              </w:rPr>
              <w:t>%</w:t>
            </w:r>
          </w:p>
        </w:tc>
        <w:tc>
          <w:tcPr>
            <w:tcW w:w="795" w:type="pct"/>
            <w:vAlign w:val="center"/>
          </w:tcPr>
          <w:p w14:paraId="787DFA2E">
            <w:pPr>
              <w:pStyle w:val="8"/>
              <w:suppressLineNumbers w:val="0"/>
              <w:bidi w:val="0"/>
              <w:spacing w:before="0" w:beforeAutospacing="0" w:after="0" w:afterAutospacing="0"/>
              <w:ind w:left="0" w:right="0"/>
              <w:rPr>
                <w:rFonts w:hint="default"/>
                <w:highlight w:val="none"/>
              </w:rPr>
            </w:pPr>
            <w:r>
              <w:rPr>
                <w:rFonts w:hint="default"/>
                <w:highlight w:val="none"/>
              </w:rPr>
              <w:t>0%</w:t>
            </w:r>
          </w:p>
        </w:tc>
      </w:tr>
      <w:tr w14:paraId="0E8710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4837D05B">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氰化物</w:t>
            </w:r>
          </w:p>
        </w:tc>
        <w:tc>
          <w:tcPr>
            <w:tcW w:w="730" w:type="pct"/>
            <w:vAlign w:val="bottom"/>
          </w:tcPr>
          <w:p w14:paraId="1B2FD6DF">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0.002L</w:t>
            </w:r>
          </w:p>
        </w:tc>
        <w:tc>
          <w:tcPr>
            <w:tcW w:w="667" w:type="pct"/>
            <w:vAlign w:val="bottom"/>
          </w:tcPr>
          <w:p w14:paraId="2AEA8CBD">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0.002L</w:t>
            </w:r>
          </w:p>
        </w:tc>
        <w:tc>
          <w:tcPr>
            <w:tcW w:w="613" w:type="pct"/>
            <w:vAlign w:val="bottom"/>
          </w:tcPr>
          <w:p w14:paraId="52F24098">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0.002L</w:t>
            </w:r>
          </w:p>
        </w:tc>
        <w:tc>
          <w:tcPr>
            <w:tcW w:w="637" w:type="pct"/>
            <w:vAlign w:val="bottom"/>
          </w:tcPr>
          <w:p w14:paraId="78D893F0">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w:t>
            </w:r>
          </w:p>
        </w:tc>
        <w:tc>
          <w:tcPr>
            <w:tcW w:w="584" w:type="pct"/>
            <w:vAlign w:val="center"/>
          </w:tcPr>
          <w:p w14:paraId="1EA968BD">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0</w:t>
            </w:r>
            <w:r>
              <w:rPr>
                <w:rFonts w:hint="default"/>
                <w:highlight w:val="none"/>
              </w:rPr>
              <w:t>%</w:t>
            </w:r>
          </w:p>
        </w:tc>
        <w:tc>
          <w:tcPr>
            <w:tcW w:w="795" w:type="pct"/>
            <w:vAlign w:val="center"/>
          </w:tcPr>
          <w:p w14:paraId="533FB752">
            <w:pPr>
              <w:pStyle w:val="8"/>
              <w:suppressLineNumbers w:val="0"/>
              <w:bidi w:val="0"/>
              <w:spacing w:before="0" w:beforeAutospacing="0" w:after="0" w:afterAutospacing="0"/>
              <w:ind w:left="0" w:right="0"/>
              <w:rPr>
                <w:rFonts w:hint="default"/>
                <w:highlight w:val="none"/>
              </w:rPr>
            </w:pPr>
            <w:r>
              <w:rPr>
                <w:rFonts w:hint="default"/>
                <w:highlight w:val="none"/>
              </w:rPr>
              <w:t>0%</w:t>
            </w:r>
          </w:p>
        </w:tc>
      </w:tr>
      <w:tr w14:paraId="4DF089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73CC8636">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氟化物</w:t>
            </w:r>
          </w:p>
        </w:tc>
        <w:tc>
          <w:tcPr>
            <w:tcW w:w="730" w:type="pct"/>
            <w:vAlign w:val="bottom"/>
          </w:tcPr>
          <w:p w14:paraId="40AAB104">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0.47</w:t>
            </w:r>
          </w:p>
        </w:tc>
        <w:tc>
          <w:tcPr>
            <w:tcW w:w="667" w:type="pct"/>
            <w:vAlign w:val="bottom"/>
          </w:tcPr>
          <w:p w14:paraId="7E72E3B5">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0.12</w:t>
            </w:r>
          </w:p>
        </w:tc>
        <w:tc>
          <w:tcPr>
            <w:tcW w:w="613" w:type="pct"/>
            <w:vAlign w:val="bottom"/>
          </w:tcPr>
          <w:p w14:paraId="3A246243">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0.28</w:t>
            </w:r>
          </w:p>
        </w:tc>
        <w:tc>
          <w:tcPr>
            <w:tcW w:w="637" w:type="pct"/>
            <w:vAlign w:val="bottom"/>
          </w:tcPr>
          <w:p w14:paraId="052C23EE">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0.14</w:t>
            </w:r>
          </w:p>
        </w:tc>
        <w:tc>
          <w:tcPr>
            <w:tcW w:w="584" w:type="pct"/>
            <w:vAlign w:val="center"/>
          </w:tcPr>
          <w:p w14:paraId="685E1FAB">
            <w:pPr>
              <w:pStyle w:val="8"/>
              <w:suppressLineNumbers w:val="0"/>
              <w:bidi w:val="0"/>
              <w:spacing w:before="0" w:beforeAutospacing="0" w:after="0" w:afterAutospacing="0"/>
              <w:ind w:left="0" w:right="0"/>
              <w:rPr>
                <w:rFonts w:hint="default"/>
                <w:highlight w:val="none"/>
              </w:rPr>
            </w:pPr>
            <w:r>
              <w:rPr>
                <w:rFonts w:hint="default"/>
                <w:highlight w:val="none"/>
              </w:rPr>
              <w:t>100%</w:t>
            </w:r>
          </w:p>
        </w:tc>
        <w:tc>
          <w:tcPr>
            <w:tcW w:w="795" w:type="pct"/>
            <w:vAlign w:val="center"/>
          </w:tcPr>
          <w:p w14:paraId="493D1622">
            <w:pPr>
              <w:pStyle w:val="8"/>
              <w:suppressLineNumbers w:val="0"/>
              <w:bidi w:val="0"/>
              <w:spacing w:before="0" w:beforeAutospacing="0" w:after="0" w:afterAutospacing="0"/>
              <w:ind w:left="0" w:right="0"/>
              <w:rPr>
                <w:rFonts w:hint="default"/>
                <w:highlight w:val="none"/>
              </w:rPr>
            </w:pPr>
            <w:r>
              <w:rPr>
                <w:rFonts w:hint="default"/>
                <w:highlight w:val="none"/>
              </w:rPr>
              <w:t>0%</w:t>
            </w:r>
          </w:p>
        </w:tc>
      </w:tr>
      <w:tr w14:paraId="0A2A8B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6972CCF6">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汞</w:t>
            </w:r>
          </w:p>
        </w:tc>
        <w:tc>
          <w:tcPr>
            <w:tcW w:w="730" w:type="pct"/>
            <w:vAlign w:val="bottom"/>
          </w:tcPr>
          <w:p w14:paraId="22F3CBB7">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0.00004L</w:t>
            </w:r>
          </w:p>
        </w:tc>
        <w:tc>
          <w:tcPr>
            <w:tcW w:w="667" w:type="pct"/>
            <w:vAlign w:val="center"/>
          </w:tcPr>
          <w:p w14:paraId="0405A1F7">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0.002L</w:t>
            </w:r>
          </w:p>
        </w:tc>
        <w:tc>
          <w:tcPr>
            <w:tcW w:w="613" w:type="pct"/>
            <w:vAlign w:val="center"/>
          </w:tcPr>
          <w:p w14:paraId="7E167B65">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0.002L</w:t>
            </w:r>
          </w:p>
        </w:tc>
        <w:tc>
          <w:tcPr>
            <w:tcW w:w="637" w:type="pct"/>
            <w:vAlign w:val="center"/>
          </w:tcPr>
          <w:p w14:paraId="0A0FB318">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w:t>
            </w:r>
          </w:p>
        </w:tc>
        <w:tc>
          <w:tcPr>
            <w:tcW w:w="584" w:type="pct"/>
            <w:vAlign w:val="center"/>
          </w:tcPr>
          <w:p w14:paraId="2078561C">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0</w:t>
            </w:r>
            <w:r>
              <w:rPr>
                <w:rFonts w:hint="default"/>
                <w:highlight w:val="none"/>
              </w:rPr>
              <w:t>%</w:t>
            </w:r>
          </w:p>
        </w:tc>
        <w:tc>
          <w:tcPr>
            <w:tcW w:w="795" w:type="pct"/>
            <w:vAlign w:val="center"/>
          </w:tcPr>
          <w:p w14:paraId="3F2E298C">
            <w:pPr>
              <w:pStyle w:val="8"/>
              <w:suppressLineNumbers w:val="0"/>
              <w:bidi w:val="0"/>
              <w:spacing w:before="0" w:beforeAutospacing="0" w:after="0" w:afterAutospacing="0"/>
              <w:ind w:left="0" w:right="0"/>
              <w:rPr>
                <w:rFonts w:hint="default"/>
                <w:highlight w:val="none"/>
              </w:rPr>
            </w:pPr>
            <w:r>
              <w:rPr>
                <w:rFonts w:hint="default"/>
                <w:highlight w:val="none"/>
              </w:rPr>
              <w:t>0%</w:t>
            </w:r>
          </w:p>
        </w:tc>
      </w:tr>
      <w:tr w14:paraId="2CB390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40E0B9CB">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砷</w:t>
            </w:r>
          </w:p>
        </w:tc>
        <w:tc>
          <w:tcPr>
            <w:tcW w:w="730" w:type="pct"/>
            <w:vAlign w:val="bottom"/>
          </w:tcPr>
          <w:p w14:paraId="768BFFD8">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0.0003L</w:t>
            </w:r>
          </w:p>
        </w:tc>
        <w:tc>
          <w:tcPr>
            <w:tcW w:w="667" w:type="pct"/>
            <w:vAlign w:val="center"/>
          </w:tcPr>
          <w:p w14:paraId="07CB4849">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0.7</w:t>
            </w:r>
          </w:p>
        </w:tc>
        <w:tc>
          <w:tcPr>
            <w:tcW w:w="613" w:type="pct"/>
            <w:vAlign w:val="center"/>
          </w:tcPr>
          <w:p w14:paraId="1FBBA5EA">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0.74</w:t>
            </w:r>
          </w:p>
        </w:tc>
        <w:tc>
          <w:tcPr>
            <w:tcW w:w="637" w:type="pct"/>
            <w:vAlign w:val="center"/>
          </w:tcPr>
          <w:p w14:paraId="025F3315">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0.04</w:t>
            </w:r>
          </w:p>
        </w:tc>
        <w:tc>
          <w:tcPr>
            <w:tcW w:w="584" w:type="pct"/>
            <w:vAlign w:val="center"/>
          </w:tcPr>
          <w:p w14:paraId="70BC62C1">
            <w:pPr>
              <w:pStyle w:val="8"/>
              <w:suppressLineNumbers w:val="0"/>
              <w:bidi w:val="0"/>
              <w:spacing w:before="0" w:beforeAutospacing="0" w:after="0" w:afterAutospacing="0"/>
              <w:ind w:left="0" w:right="0"/>
              <w:rPr>
                <w:rFonts w:hint="default"/>
                <w:highlight w:val="none"/>
              </w:rPr>
            </w:pPr>
            <w:r>
              <w:rPr>
                <w:rFonts w:hint="default"/>
                <w:highlight w:val="none"/>
              </w:rPr>
              <w:t>0%</w:t>
            </w:r>
          </w:p>
        </w:tc>
        <w:tc>
          <w:tcPr>
            <w:tcW w:w="795" w:type="pct"/>
            <w:vAlign w:val="center"/>
          </w:tcPr>
          <w:p w14:paraId="74FAA5F0">
            <w:pPr>
              <w:pStyle w:val="8"/>
              <w:suppressLineNumbers w:val="0"/>
              <w:bidi w:val="0"/>
              <w:spacing w:before="0" w:beforeAutospacing="0" w:after="0" w:afterAutospacing="0"/>
              <w:ind w:left="0" w:right="0"/>
              <w:rPr>
                <w:rFonts w:hint="default"/>
                <w:highlight w:val="none"/>
              </w:rPr>
            </w:pPr>
            <w:r>
              <w:rPr>
                <w:rFonts w:hint="default"/>
                <w:highlight w:val="none"/>
              </w:rPr>
              <w:t>0%</w:t>
            </w:r>
          </w:p>
        </w:tc>
      </w:tr>
      <w:tr w14:paraId="1A6C56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52B295FB">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镉</w:t>
            </w:r>
          </w:p>
        </w:tc>
        <w:tc>
          <w:tcPr>
            <w:tcW w:w="730" w:type="pct"/>
            <w:vAlign w:val="bottom"/>
          </w:tcPr>
          <w:p w14:paraId="3D96CDE3">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0.0005L</w:t>
            </w:r>
          </w:p>
        </w:tc>
        <w:tc>
          <w:tcPr>
            <w:tcW w:w="667" w:type="pct"/>
            <w:vAlign w:val="center"/>
          </w:tcPr>
          <w:p w14:paraId="0F32532F">
            <w:pPr>
              <w:pStyle w:val="8"/>
              <w:suppressLineNumbers w:val="0"/>
              <w:bidi w:val="0"/>
              <w:spacing w:before="0" w:beforeAutospacing="0" w:after="0" w:afterAutospacing="0"/>
              <w:ind w:left="0" w:right="0"/>
              <w:rPr>
                <w:rFonts w:hint="default"/>
                <w:highlight w:val="none"/>
              </w:rPr>
            </w:pPr>
            <w:r>
              <w:rPr>
                <w:rFonts w:hint="default"/>
                <w:highlight w:val="none"/>
                <w:lang w:val="en-US" w:eastAsia="en-US"/>
              </w:rPr>
              <w:t>0.00004L</w:t>
            </w:r>
          </w:p>
        </w:tc>
        <w:tc>
          <w:tcPr>
            <w:tcW w:w="613" w:type="pct"/>
            <w:vAlign w:val="center"/>
          </w:tcPr>
          <w:p w14:paraId="497693FD">
            <w:pPr>
              <w:pStyle w:val="8"/>
              <w:suppressLineNumbers w:val="0"/>
              <w:bidi w:val="0"/>
              <w:spacing w:before="0" w:beforeAutospacing="0" w:after="0" w:afterAutospacing="0"/>
              <w:ind w:left="0" w:right="0"/>
              <w:rPr>
                <w:rFonts w:hint="default"/>
                <w:highlight w:val="none"/>
              </w:rPr>
            </w:pPr>
            <w:r>
              <w:rPr>
                <w:rFonts w:hint="default"/>
                <w:highlight w:val="none"/>
                <w:lang w:val="en-US" w:eastAsia="en-US"/>
              </w:rPr>
              <w:t>0.00004L</w:t>
            </w:r>
          </w:p>
        </w:tc>
        <w:tc>
          <w:tcPr>
            <w:tcW w:w="637" w:type="pct"/>
            <w:vAlign w:val="center"/>
          </w:tcPr>
          <w:p w14:paraId="73E7D7CC">
            <w:pPr>
              <w:pStyle w:val="8"/>
              <w:suppressLineNumbers w:val="0"/>
              <w:bidi w:val="0"/>
              <w:spacing w:before="0" w:beforeAutospacing="0" w:after="0" w:afterAutospacing="0"/>
              <w:ind w:left="0" w:right="0"/>
              <w:rPr>
                <w:rFonts w:hint="default"/>
                <w:highlight w:val="none"/>
                <w:lang w:eastAsia="zh-CN"/>
              </w:rPr>
            </w:pPr>
            <w:r>
              <w:rPr>
                <w:rFonts w:hint="default"/>
                <w:highlight w:val="none"/>
                <w:lang w:val="en-US" w:eastAsia="zh-CN"/>
              </w:rPr>
              <w:t>-</w:t>
            </w:r>
          </w:p>
        </w:tc>
        <w:tc>
          <w:tcPr>
            <w:tcW w:w="584" w:type="pct"/>
            <w:vAlign w:val="center"/>
          </w:tcPr>
          <w:p w14:paraId="09D27550">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0</w:t>
            </w:r>
            <w:r>
              <w:rPr>
                <w:rFonts w:hint="default"/>
                <w:highlight w:val="none"/>
              </w:rPr>
              <w:t>%</w:t>
            </w:r>
          </w:p>
        </w:tc>
        <w:tc>
          <w:tcPr>
            <w:tcW w:w="795" w:type="pct"/>
            <w:vAlign w:val="center"/>
          </w:tcPr>
          <w:p w14:paraId="196C9EFC">
            <w:pPr>
              <w:pStyle w:val="8"/>
              <w:suppressLineNumbers w:val="0"/>
              <w:bidi w:val="0"/>
              <w:spacing w:before="0" w:beforeAutospacing="0" w:after="0" w:afterAutospacing="0"/>
              <w:ind w:left="0" w:right="0"/>
              <w:rPr>
                <w:rFonts w:hint="default"/>
                <w:highlight w:val="none"/>
              </w:rPr>
            </w:pPr>
            <w:r>
              <w:rPr>
                <w:rFonts w:hint="default"/>
                <w:highlight w:val="none"/>
              </w:rPr>
              <w:t>0%</w:t>
            </w:r>
          </w:p>
        </w:tc>
      </w:tr>
      <w:tr w14:paraId="327ED6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6B24EA5A">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六价铬</w:t>
            </w:r>
          </w:p>
        </w:tc>
        <w:tc>
          <w:tcPr>
            <w:tcW w:w="730" w:type="pct"/>
            <w:vAlign w:val="bottom"/>
          </w:tcPr>
          <w:p w14:paraId="19973EAF">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0.004L</w:t>
            </w:r>
          </w:p>
        </w:tc>
        <w:tc>
          <w:tcPr>
            <w:tcW w:w="667" w:type="pct"/>
            <w:vAlign w:val="center"/>
          </w:tcPr>
          <w:p w14:paraId="6BDEB332">
            <w:pPr>
              <w:pStyle w:val="8"/>
              <w:suppressLineNumbers w:val="0"/>
              <w:bidi w:val="0"/>
              <w:spacing w:before="0" w:beforeAutospacing="0" w:after="0" w:afterAutospacing="0"/>
              <w:ind w:left="0" w:right="0"/>
              <w:rPr>
                <w:rFonts w:hint="default"/>
                <w:highlight w:val="none"/>
              </w:rPr>
            </w:pPr>
            <w:r>
              <w:rPr>
                <w:rFonts w:hint="default"/>
                <w:highlight w:val="none"/>
                <w:lang w:val="en-US" w:eastAsia="en-US"/>
              </w:rPr>
              <w:t>0.0003L</w:t>
            </w:r>
          </w:p>
        </w:tc>
        <w:tc>
          <w:tcPr>
            <w:tcW w:w="613" w:type="pct"/>
            <w:vAlign w:val="center"/>
          </w:tcPr>
          <w:p w14:paraId="3773CA05">
            <w:pPr>
              <w:pStyle w:val="8"/>
              <w:suppressLineNumbers w:val="0"/>
              <w:bidi w:val="0"/>
              <w:spacing w:before="0" w:beforeAutospacing="0" w:after="0" w:afterAutospacing="0"/>
              <w:ind w:left="0" w:right="0"/>
              <w:rPr>
                <w:rFonts w:hint="default"/>
                <w:highlight w:val="none"/>
              </w:rPr>
            </w:pPr>
            <w:r>
              <w:rPr>
                <w:rFonts w:hint="default"/>
                <w:highlight w:val="none"/>
                <w:lang w:val="en-US" w:eastAsia="en-US"/>
              </w:rPr>
              <w:t>0.0003L</w:t>
            </w:r>
          </w:p>
        </w:tc>
        <w:tc>
          <w:tcPr>
            <w:tcW w:w="637" w:type="pct"/>
            <w:vAlign w:val="center"/>
          </w:tcPr>
          <w:p w14:paraId="536CF6CA">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584" w:type="pct"/>
            <w:vAlign w:val="center"/>
          </w:tcPr>
          <w:p w14:paraId="7B49C0AE">
            <w:pPr>
              <w:pStyle w:val="8"/>
              <w:suppressLineNumbers w:val="0"/>
              <w:bidi w:val="0"/>
              <w:spacing w:before="0" w:beforeAutospacing="0" w:after="0" w:afterAutospacing="0"/>
              <w:ind w:left="0" w:right="0"/>
              <w:rPr>
                <w:rFonts w:hint="default"/>
                <w:highlight w:val="none"/>
              </w:rPr>
            </w:pPr>
            <w:r>
              <w:rPr>
                <w:rFonts w:hint="default"/>
                <w:highlight w:val="none"/>
              </w:rPr>
              <w:t>0%</w:t>
            </w:r>
          </w:p>
        </w:tc>
        <w:tc>
          <w:tcPr>
            <w:tcW w:w="795" w:type="pct"/>
            <w:vAlign w:val="center"/>
          </w:tcPr>
          <w:p w14:paraId="4EAD7B6E">
            <w:pPr>
              <w:pStyle w:val="8"/>
              <w:suppressLineNumbers w:val="0"/>
              <w:bidi w:val="0"/>
              <w:spacing w:before="0" w:beforeAutospacing="0" w:after="0" w:afterAutospacing="0"/>
              <w:ind w:left="0" w:right="0"/>
              <w:rPr>
                <w:rFonts w:hint="default"/>
                <w:highlight w:val="none"/>
              </w:rPr>
            </w:pPr>
            <w:r>
              <w:rPr>
                <w:rFonts w:hint="default"/>
                <w:highlight w:val="none"/>
              </w:rPr>
              <w:t>0%</w:t>
            </w:r>
          </w:p>
        </w:tc>
      </w:tr>
      <w:tr w14:paraId="7E67E5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5B78DA7D">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铅</w:t>
            </w:r>
          </w:p>
        </w:tc>
        <w:tc>
          <w:tcPr>
            <w:tcW w:w="730" w:type="pct"/>
            <w:vAlign w:val="bottom"/>
          </w:tcPr>
          <w:p w14:paraId="4BD74547">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0.0025L</w:t>
            </w:r>
          </w:p>
        </w:tc>
        <w:tc>
          <w:tcPr>
            <w:tcW w:w="667" w:type="pct"/>
            <w:vAlign w:val="center"/>
          </w:tcPr>
          <w:p w14:paraId="104224E4">
            <w:pPr>
              <w:pStyle w:val="8"/>
              <w:suppressLineNumbers w:val="0"/>
              <w:bidi w:val="0"/>
              <w:spacing w:before="0" w:beforeAutospacing="0" w:after="0" w:afterAutospacing="0"/>
              <w:ind w:left="0" w:right="0"/>
              <w:rPr>
                <w:rFonts w:hint="default"/>
                <w:highlight w:val="none"/>
              </w:rPr>
            </w:pPr>
            <w:r>
              <w:rPr>
                <w:rFonts w:hint="default"/>
                <w:highlight w:val="none"/>
                <w:lang w:val="en-US" w:eastAsia="en-US"/>
              </w:rPr>
              <w:t>0.0005L</w:t>
            </w:r>
          </w:p>
        </w:tc>
        <w:tc>
          <w:tcPr>
            <w:tcW w:w="613" w:type="pct"/>
            <w:vAlign w:val="center"/>
          </w:tcPr>
          <w:p w14:paraId="752C734F">
            <w:pPr>
              <w:pStyle w:val="8"/>
              <w:suppressLineNumbers w:val="0"/>
              <w:bidi w:val="0"/>
              <w:spacing w:before="0" w:beforeAutospacing="0" w:after="0" w:afterAutospacing="0"/>
              <w:ind w:left="0" w:right="0"/>
              <w:rPr>
                <w:rFonts w:hint="default"/>
                <w:highlight w:val="none"/>
              </w:rPr>
            </w:pPr>
            <w:r>
              <w:rPr>
                <w:rFonts w:hint="default"/>
                <w:highlight w:val="none"/>
                <w:lang w:val="en-US" w:eastAsia="en-US"/>
              </w:rPr>
              <w:t>0.0005L</w:t>
            </w:r>
          </w:p>
        </w:tc>
        <w:tc>
          <w:tcPr>
            <w:tcW w:w="637" w:type="pct"/>
            <w:vAlign w:val="center"/>
          </w:tcPr>
          <w:p w14:paraId="7917050B">
            <w:pPr>
              <w:pStyle w:val="8"/>
              <w:suppressLineNumbers w:val="0"/>
              <w:bidi w:val="0"/>
              <w:spacing w:before="0" w:beforeAutospacing="0" w:after="0" w:afterAutospacing="0"/>
              <w:ind w:left="0" w:right="0"/>
              <w:rPr>
                <w:rFonts w:hint="default"/>
                <w:highlight w:val="none"/>
                <w:lang w:eastAsia="zh-CN"/>
              </w:rPr>
            </w:pPr>
            <w:r>
              <w:rPr>
                <w:rFonts w:hint="default"/>
                <w:highlight w:val="none"/>
                <w:lang w:val="en-US" w:eastAsia="zh-CN"/>
              </w:rPr>
              <w:t>-</w:t>
            </w:r>
          </w:p>
        </w:tc>
        <w:tc>
          <w:tcPr>
            <w:tcW w:w="584" w:type="pct"/>
            <w:vAlign w:val="center"/>
          </w:tcPr>
          <w:p w14:paraId="21D44D5D">
            <w:pPr>
              <w:pStyle w:val="8"/>
              <w:suppressLineNumbers w:val="0"/>
              <w:bidi w:val="0"/>
              <w:spacing w:before="0" w:beforeAutospacing="0" w:after="0" w:afterAutospacing="0"/>
              <w:ind w:left="0" w:right="0"/>
              <w:rPr>
                <w:rFonts w:hint="default"/>
                <w:highlight w:val="none"/>
              </w:rPr>
            </w:pPr>
            <w:r>
              <w:rPr>
                <w:rFonts w:hint="default"/>
                <w:highlight w:val="none"/>
              </w:rPr>
              <w:t>0%</w:t>
            </w:r>
          </w:p>
        </w:tc>
        <w:tc>
          <w:tcPr>
            <w:tcW w:w="795" w:type="pct"/>
            <w:vAlign w:val="center"/>
          </w:tcPr>
          <w:p w14:paraId="64680474">
            <w:pPr>
              <w:pStyle w:val="8"/>
              <w:suppressLineNumbers w:val="0"/>
              <w:bidi w:val="0"/>
              <w:spacing w:before="0" w:beforeAutospacing="0" w:after="0" w:afterAutospacing="0"/>
              <w:ind w:left="0" w:right="0"/>
              <w:rPr>
                <w:rFonts w:hint="default"/>
                <w:highlight w:val="none"/>
              </w:rPr>
            </w:pPr>
            <w:r>
              <w:rPr>
                <w:rFonts w:hint="default"/>
                <w:highlight w:val="none"/>
              </w:rPr>
              <w:t>0%</w:t>
            </w:r>
          </w:p>
        </w:tc>
      </w:tr>
      <w:tr w14:paraId="7CD4FC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970" w:type="pct"/>
            <w:vAlign w:val="center"/>
          </w:tcPr>
          <w:p w14:paraId="077CFFAD">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石油类</w:t>
            </w:r>
          </w:p>
        </w:tc>
        <w:tc>
          <w:tcPr>
            <w:tcW w:w="730" w:type="pct"/>
            <w:vAlign w:val="bottom"/>
          </w:tcPr>
          <w:p w14:paraId="160D1E15">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0.01L</w:t>
            </w:r>
          </w:p>
        </w:tc>
        <w:tc>
          <w:tcPr>
            <w:tcW w:w="667" w:type="pct"/>
            <w:vAlign w:val="center"/>
          </w:tcPr>
          <w:p w14:paraId="5FA425AF">
            <w:pPr>
              <w:pStyle w:val="8"/>
              <w:suppressLineNumbers w:val="0"/>
              <w:bidi w:val="0"/>
              <w:spacing w:before="0" w:beforeAutospacing="0" w:after="0" w:afterAutospacing="0"/>
              <w:ind w:left="0" w:right="0"/>
              <w:rPr>
                <w:rFonts w:hint="default"/>
                <w:highlight w:val="none"/>
              </w:rPr>
            </w:pPr>
            <w:r>
              <w:rPr>
                <w:rFonts w:hint="default"/>
                <w:highlight w:val="none"/>
                <w:lang w:val="en-US" w:eastAsia="en-US"/>
              </w:rPr>
              <w:t>0.004L</w:t>
            </w:r>
          </w:p>
        </w:tc>
        <w:tc>
          <w:tcPr>
            <w:tcW w:w="613" w:type="pct"/>
            <w:vAlign w:val="center"/>
          </w:tcPr>
          <w:p w14:paraId="67C94CC2">
            <w:pPr>
              <w:pStyle w:val="8"/>
              <w:suppressLineNumbers w:val="0"/>
              <w:bidi w:val="0"/>
              <w:spacing w:before="0" w:beforeAutospacing="0" w:after="0" w:afterAutospacing="0"/>
              <w:ind w:left="0" w:right="0"/>
              <w:rPr>
                <w:rFonts w:hint="default"/>
                <w:highlight w:val="none"/>
              </w:rPr>
            </w:pPr>
            <w:r>
              <w:rPr>
                <w:rFonts w:hint="default"/>
                <w:highlight w:val="none"/>
                <w:lang w:val="en-US" w:eastAsia="en-US"/>
              </w:rPr>
              <w:t>0.004L</w:t>
            </w:r>
          </w:p>
        </w:tc>
        <w:tc>
          <w:tcPr>
            <w:tcW w:w="637" w:type="pct"/>
            <w:vAlign w:val="center"/>
          </w:tcPr>
          <w:p w14:paraId="565CB1F6">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584" w:type="pct"/>
            <w:vAlign w:val="center"/>
          </w:tcPr>
          <w:p w14:paraId="579B0836">
            <w:pPr>
              <w:pStyle w:val="8"/>
              <w:suppressLineNumbers w:val="0"/>
              <w:bidi w:val="0"/>
              <w:spacing w:before="0" w:beforeAutospacing="0" w:after="0" w:afterAutospacing="0"/>
              <w:ind w:left="0" w:right="0"/>
              <w:rPr>
                <w:rFonts w:hint="default"/>
                <w:highlight w:val="none"/>
              </w:rPr>
            </w:pPr>
            <w:r>
              <w:rPr>
                <w:rFonts w:hint="default"/>
                <w:highlight w:val="none"/>
              </w:rPr>
              <w:t>0%</w:t>
            </w:r>
          </w:p>
        </w:tc>
        <w:tc>
          <w:tcPr>
            <w:tcW w:w="795" w:type="pct"/>
            <w:vAlign w:val="center"/>
          </w:tcPr>
          <w:p w14:paraId="29E1B7DB">
            <w:pPr>
              <w:pStyle w:val="8"/>
              <w:suppressLineNumbers w:val="0"/>
              <w:bidi w:val="0"/>
              <w:spacing w:before="0" w:beforeAutospacing="0" w:after="0" w:afterAutospacing="0"/>
              <w:ind w:left="0" w:right="0"/>
              <w:rPr>
                <w:rFonts w:hint="default"/>
                <w:highlight w:val="none"/>
              </w:rPr>
            </w:pPr>
            <w:r>
              <w:rPr>
                <w:rFonts w:hint="default"/>
                <w:highlight w:val="none"/>
              </w:rPr>
              <w:t>0%</w:t>
            </w:r>
          </w:p>
        </w:tc>
      </w:tr>
    </w:tbl>
    <w:p w14:paraId="43C8D89E">
      <w:pPr>
        <w:pStyle w:val="7"/>
        <w:bidi w:val="0"/>
        <w:rPr>
          <w:highlight w:val="none"/>
        </w:rPr>
      </w:pPr>
      <w:r>
        <w:rPr>
          <w:highlight w:val="none"/>
        </w:rPr>
        <w:t>表4-2-</w:t>
      </w:r>
      <w:r>
        <w:rPr>
          <w:rFonts w:hint="eastAsia"/>
          <w:highlight w:val="none"/>
          <w:lang w:val="en-US" w:eastAsia="zh-CN"/>
        </w:rPr>
        <w:t>7</w:t>
      </w:r>
      <w:r>
        <w:rPr>
          <w:highlight w:val="none"/>
        </w:rPr>
        <w:t>地下水监测评价成果表</w:t>
      </w:r>
    </w:p>
    <w:tbl>
      <w:tblPr>
        <w:tblStyle w:val="45"/>
        <w:tblW w:w="4998"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0" w:type="dxa"/>
          <w:bottom w:w="0" w:type="dxa"/>
          <w:right w:w="0" w:type="dxa"/>
        </w:tblCellMar>
      </w:tblPr>
      <w:tblGrid>
        <w:gridCol w:w="1172"/>
        <w:gridCol w:w="872"/>
        <w:gridCol w:w="1038"/>
        <w:gridCol w:w="1151"/>
        <w:gridCol w:w="1249"/>
        <w:gridCol w:w="1209"/>
        <w:gridCol w:w="1612"/>
      </w:tblGrid>
      <w:tr w14:paraId="0CDA38E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23" w:hRule="atLeast"/>
          <w:jc w:val="center"/>
        </w:trPr>
        <w:tc>
          <w:tcPr>
            <w:tcW w:w="706" w:type="pct"/>
            <w:vMerge w:val="restart"/>
            <w:vAlign w:val="center"/>
          </w:tcPr>
          <w:p w14:paraId="11AF3BC6">
            <w:pPr>
              <w:pStyle w:val="8"/>
              <w:suppressLineNumbers w:val="0"/>
              <w:bidi w:val="0"/>
              <w:spacing w:before="0" w:beforeAutospacing="0" w:after="0" w:afterAutospacing="0"/>
              <w:ind w:left="0" w:right="0"/>
              <w:rPr>
                <w:rFonts w:hint="default"/>
                <w:highlight w:val="none"/>
              </w:rPr>
            </w:pPr>
            <w:r>
              <w:rPr>
                <w:rFonts w:hint="default"/>
                <w:highlight w:val="none"/>
              </w:rPr>
              <w:t>评价因子</w:t>
            </w:r>
          </w:p>
        </w:tc>
        <w:tc>
          <w:tcPr>
            <w:tcW w:w="3323" w:type="pct"/>
            <w:gridSpan w:val="5"/>
            <w:vAlign w:val="center"/>
          </w:tcPr>
          <w:p w14:paraId="531B3EBC">
            <w:pPr>
              <w:pStyle w:val="8"/>
              <w:suppressLineNumbers w:val="0"/>
              <w:bidi w:val="0"/>
              <w:spacing w:before="0" w:beforeAutospacing="0" w:after="0" w:afterAutospacing="0"/>
              <w:ind w:left="0" w:right="0"/>
              <w:rPr>
                <w:rFonts w:hint="default"/>
                <w:highlight w:val="none"/>
              </w:rPr>
            </w:pPr>
            <w:r>
              <w:rPr>
                <w:rFonts w:hint="default"/>
                <w:highlight w:val="none"/>
              </w:rPr>
              <w:t>监测点位</w:t>
            </w:r>
          </w:p>
        </w:tc>
        <w:tc>
          <w:tcPr>
            <w:tcW w:w="970" w:type="pct"/>
            <w:vMerge w:val="restart"/>
            <w:vAlign w:val="center"/>
          </w:tcPr>
          <w:p w14:paraId="6D891975">
            <w:pPr>
              <w:pStyle w:val="8"/>
              <w:suppressLineNumbers w:val="0"/>
              <w:bidi w:val="0"/>
              <w:spacing w:before="0" w:beforeAutospacing="0" w:after="0" w:afterAutospacing="0"/>
              <w:ind w:left="0" w:right="0"/>
              <w:rPr>
                <w:rFonts w:hint="default"/>
                <w:highlight w:val="none"/>
              </w:rPr>
            </w:pPr>
            <w:r>
              <w:rPr>
                <w:rFonts w:hint="default"/>
                <w:highlight w:val="none"/>
              </w:rPr>
              <w:t>标准值（mg/L）</w:t>
            </w:r>
          </w:p>
        </w:tc>
      </w:tr>
      <w:tr w14:paraId="7DCCB11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143" w:hRule="atLeast"/>
          <w:jc w:val="center"/>
        </w:trPr>
        <w:tc>
          <w:tcPr>
            <w:tcW w:w="706" w:type="pct"/>
            <w:vMerge w:val="continue"/>
            <w:vAlign w:val="center"/>
          </w:tcPr>
          <w:p w14:paraId="1323AD3E">
            <w:pPr>
              <w:pStyle w:val="8"/>
              <w:suppressLineNumbers w:val="0"/>
              <w:bidi w:val="0"/>
              <w:spacing w:before="0" w:beforeAutospacing="0" w:after="0" w:afterAutospacing="0"/>
              <w:ind w:left="0" w:right="0"/>
              <w:rPr>
                <w:rFonts w:hint="default"/>
                <w:highlight w:val="none"/>
              </w:rPr>
            </w:pPr>
          </w:p>
        </w:tc>
        <w:tc>
          <w:tcPr>
            <w:tcW w:w="525" w:type="pct"/>
            <w:vAlign w:val="center"/>
          </w:tcPr>
          <w:p w14:paraId="20C26533">
            <w:pPr>
              <w:pStyle w:val="8"/>
              <w:suppressLineNumbers w:val="0"/>
              <w:bidi w:val="0"/>
              <w:spacing w:before="0" w:beforeAutospacing="0" w:after="0" w:afterAutospacing="0"/>
              <w:ind w:left="0" w:right="0"/>
              <w:rPr>
                <w:rFonts w:hint="default"/>
                <w:highlight w:val="none"/>
              </w:rPr>
            </w:pPr>
            <w:r>
              <w:rPr>
                <w:rFonts w:hint="default"/>
                <w:highlight w:val="none"/>
              </w:rPr>
              <w:t>厂址上游☆1</w:t>
            </w:r>
          </w:p>
        </w:tc>
        <w:tc>
          <w:tcPr>
            <w:tcW w:w="625" w:type="pct"/>
            <w:vAlign w:val="center"/>
          </w:tcPr>
          <w:p w14:paraId="3F4628E4">
            <w:pPr>
              <w:pStyle w:val="8"/>
              <w:suppressLineNumbers w:val="0"/>
              <w:bidi w:val="0"/>
              <w:spacing w:before="0" w:beforeAutospacing="0" w:after="0" w:afterAutospacing="0"/>
              <w:ind w:left="0" w:right="0"/>
              <w:rPr>
                <w:rFonts w:hint="default"/>
                <w:highlight w:val="none"/>
              </w:rPr>
            </w:pPr>
            <w:r>
              <w:rPr>
                <w:rFonts w:hint="default"/>
                <w:highlight w:val="none"/>
              </w:rPr>
              <w:t>厂址下游☆2</w:t>
            </w:r>
          </w:p>
        </w:tc>
        <w:tc>
          <w:tcPr>
            <w:tcW w:w="693" w:type="pct"/>
            <w:vAlign w:val="center"/>
          </w:tcPr>
          <w:p w14:paraId="76605A18">
            <w:pPr>
              <w:pStyle w:val="8"/>
              <w:suppressLineNumbers w:val="0"/>
              <w:bidi w:val="0"/>
              <w:spacing w:before="0" w:beforeAutospacing="0" w:after="0" w:afterAutospacing="0"/>
              <w:ind w:left="0" w:right="0"/>
              <w:rPr>
                <w:rFonts w:hint="default"/>
                <w:highlight w:val="none"/>
              </w:rPr>
            </w:pPr>
            <w:r>
              <w:rPr>
                <w:rFonts w:hint="default"/>
                <w:highlight w:val="none"/>
              </w:rPr>
              <w:t>厂址下游☆3</w:t>
            </w:r>
          </w:p>
        </w:tc>
        <w:tc>
          <w:tcPr>
            <w:tcW w:w="752" w:type="pct"/>
            <w:vAlign w:val="center"/>
          </w:tcPr>
          <w:p w14:paraId="7AE8CF2D">
            <w:pPr>
              <w:pStyle w:val="8"/>
              <w:suppressLineNumbers w:val="0"/>
              <w:bidi w:val="0"/>
              <w:spacing w:before="0" w:beforeAutospacing="0" w:after="0" w:afterAutospacing="0"/>
              <w:ind w:left="0" w:right="0"/>
              <w:rPr>
                <w:rFonts w:hint="default"/>
                <w:highlight w:val="none"/>
              </w:rPr>
            </w:pPr>
            <w:r>
              <w:rPr>
                <w:rFonts w:hint="default"/>
                <w:highlight w:val="none"/>
              </w:rPr>
              <w:t>厂址侧向☆4</w:t>
            </w:r>
          </w:p>
        </w:tc>
        <w:tc>
          <w:tcPr>
            <w:tcW w:w="728" w:type="pct"/>
            <w:vAlign w:val="center"/>
          </w:tcPr>
          <w:p w14:paraId="32652BE2">
            <w:pPr>
              <w:pStyle w:val="8"/>
              <w:suppressLineNumbers w:val="0"/>
              <w:bidi w:val="0"/>
              <w:spacing w:before="0" w:beforeAutospacing="0" w:after="0" w:afterAutospacing="0"/>
              <w:ind w:left="0" w:right="0"/>
              <w:rPr>
                <w:rFonts w:hint="default"/>
                <w:highlight w:val="none"/>
              </w:rPr>
            </w:pPr>
            <w:r>
              <w:rPr>
                <w:rFonts w:hint="default"/>
                <w:highlight w:val="none"/>
              </w:rPr>
              <w:t>厂址侧游☆5</w:t>
            </w:r>
          </w:p>
        </w:tc>
        <w:tc>
          <w:tcPr>
            <w:tcW w:w="970" w:type="pct"/>
            <w:vMerge w:val="continue"/>
            <w:vAlign w:val="center"/>
          </w:tcPr>
          <w:p w14:paraId="12DA0CBF">
            <w:pPr>
              <w:pStyle w:val="8"/>
              <w:suppressLineNumbers w:val="0"/>
              <w:bidi w:val="0"/>
              <w:spacing w:before="0" w:beforeAutospacing="0" w:after="0" w:afterAutospacing="0"/>
              <w:ind w:left="0" w:right="0"/>
              <w:rPr>
                <w:rFonts w:hint="default"/>
                <w:highlight w:val="none"/>
              </w:rPr>
            </w:pPr>
          </w:p>
        </w:tc>
      </w:tr>
      <w:tr w14:paraId="2671688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5" w:hRule="atLeast"/>
          <w:jc w:val="center"/>
        </w:trPr>
        <w:tc>
          <w:tcPr>
            <w:tcW w:w="706" w:type="pct"/>
            <w:vAlign w:val="center"/>
          </w:tcPr>
          <w:p w14:paraId="34798E96">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en-US"/>
              </w:rPr>
              <w:t>钠</w:t>
            </w:r>
          </w:p>
        </w:tc>
        <w:tc>
          <w:tcPr>
            <w:tcW w:w="525" w:type="pct"/>
            <w:vAlign w:val="center"/>
          </w:tcPr>
          <w:p w14:paraId="72871537">
            <w:pPr>
              <w:pStyle w:val="8"/>
              <w:suppressLineNumbers w:val="0"/>
              <w:bidi w:val="0"/>
              <w:spacing w:before="0" w:beforeAutospacing="0" w:after="0" w:afterAutospacing="0"/>
              <w:ind w:left="0" w:right="0"/>
              <w:rPr>
                <w:rFonts w:hint="default"/>
                <w:highlight w:val="none"/>
                <w:lang w:val="en-US" w:eastAsia="en-US"/>
              </w:rPr>
            </w:pPr>
            <w:r>
              <w:rPr>
                <w:rFonts w:hint="eastAsia"/>
                <w:highlight w:val="none"/>
                <w:lang w:val="en-US" w:eastAsia="zh-CN"/>
              </w:rPr>
              <w:t>0.08</w:t>
            </w:r>
          </w:p>
        </w:tc>
        <w:tc>
          <w:tcPr>
            <w:tcW w:w="625" w:type="pct"/>
            <w:vAlign w:val="center"/>
          </w:tcPr>
          <w:p w14:paraId="5E9AB174">
            <w:pPr>
              <w:pStyle w:val="8"/>
              <w:suppressLineNumbers w:val="0"/>
              <w:bidi w:val="0"/>
              <w:spacing w:before="0" w:beforeAutospacing="0" w:after="0" w:afterAutospacing="0"/>
              <w:ind w:left="0" w:right="0"/>
              <w:rPr>
                <w:rFonts w:hint="default"/>
                <w:highlight w:val="none"/>
                <w:lang w:val="en-US" w:eastAsia="en-US"/>
              </w:rPr>
            </w:pPr>
            <w:r>
              <w:rPr>
                <w:rFonts w:hint="eastAsia"/>
                <w:highlight w:val="none"/>
                <w:lang w:val="en-US" w:eastAsia="zh-CN"/>
              </w:rPr>
              <w:t>0.07</w:t>
            </w:r>
          </w:p>
        </w:tc>
        <w:tc>
          <w:tcPr>
            <w:tcW w:w="693" w:type="pct"/>
            <w:vAlign w:val="center"/>
          </w:tcPr>
          <w:p w14:paraId="7994C706">
            <w:pPr>
              <w:pStyle w:val="8"/>
              <w:suppressLineNumbers w:val="0"/>
              <w:bidi w:val="0"/>
              <w:spacing w:before="0" w:beforeAutospacing="0" w:after="0" w:afterAutospacing="0"/>
              <w:ind w:left="0" w:right="0"/>
              <w:rPr>
                <w:rFonts w:hint="default"/>
                <w:highlight w:val="none"/>
                <w:lang w:val="en-US" w:eastAsia="en-US"/>
              </w:rPr>
            </w:pPr>
            <w:r>
              <w:rPr>
                <w:rFonts w:hint="eastAsia"/>
                <w:highlight w:val="none"/>
                <w:lang w:val="en-US" w:eastAsia="zh-CN"/>
              </w:rPr>
              <w:t>0.07</w:t>
            </w:r>
          </w:p>
        </w:tc>
        <w:tc>
          <w:tcPr>
            <w:tcW w:w="752" w:type="pct"/>
            <w:vAlign w:val="center"/>
          </w:tcPr>
          <w:p w14:paraId="57A9B7A5">
            <w:pPr>
              <w:pStyle w:val="8"/>
              <w:suppressLineNumbers w:val="0"/>
              <w:bidi w:val="0"/>
              <w:spacing w:before="0" w:beforeAutospacing="0" w:after="0" w:afterAutospacing="0"/>
              <w:ind w:left="0" w:right="0"/>
              <w:rPr>
                <w:rFonts w:hint="default"/>
                <w:highlight w:val="none"/>
                <w:lang w:val="en-US" w:eastAsia="en-US"/>
              </w:rPr>
            </w:pPr>
            <w:r>
              <w:rPr>
                <w:rFonts w:hint="eastAsia"/>
                <w:highlight w:val="none"/>
                <w:lang w:val="en-US" w:eastAsia="zh-CN"/>
              </w:rPr>
              <w:t>0.07</w:t>
            </w:r>
          </w:p>
        </w:tc>
        <w:tc>
          <w:tcPr>
            <w:tcW w:w="728" w:type="pct"/>
            <w:vAlign w:val="center"/>
          </w:tcPr>
          <w:p w14:paraId="7FCEA62C">
            <w:pPr>
              <w:pStyle w:val="8"/>
              <w:suppressLineNumbers w:val="0"/>
              <w:bidi w:val="0"/>
              <w:spacing w:before="0" w:beforeAutospacing="0" w:after="0" w:afterAutospacing="0"/>
              <w:ind w:left="0" w:right="0"/>
              <w:rPr>
                <w:rFonts w:hint="default"/>
                <w:highlight w:val="none"/>
                <w:lang w:val="en-US" w:eastAsia="en-US"/>
              </w:rPr>
            </w:pPr>
            <w:r>
              <w:rPr>
                <w:rFonts w:hint="eastAsia"/>
                <w:highlight w:val="none"/>
                <w:lang w:val="en-US" w:eastAsia="zh-CN"/>
              </w:rPr>
              <w:t>0.07</w:t>
            </w:r>
          </w:p>
        </w:tc>
        <w:tc>
          <w:tcPr>
            <w:tcW w:w="970" w:type="pct"/>
            <w:vAlign w:val="center"/>
          </w:tcPr>
          <w:p w14:paraId="6527ABAB">
            <w:pPr>
              <w:pStyle w:val="8"/>
              <w:suppressLineNumbers w:val="0"/>
              <w:bidi w:val="0"/>
              <w:spacing w:before="0" w:beforeAutospacing="0" w:after="0" w:afterAutospacing="0"/>
              <w:ind w:left="0" w:right="0"/>
              <w:rPr>
                <w:rFonts w:hint="default"/>
                <w:highlight w:val="none"/>
              </w:rPr>
            </w:pPr>
            <w:r>
              <w:rPr>
                <w:rFonts w:hint="eastAsia"/>
                <w:highlight w:val="none"/>
                <w:lang w:val="en-US" w:eastAsia="en-US"/>
              </w:rPr>
              <w:t>≤</w:t>
            </w:r>
            <w:r>
              <w:rPr>
                <w:rFonts w:hint="default"/>
                <w:highlight w:val="none"/>
                <w:lang w:val="en-US" w:eastAsia="en-US"/>
              </w:rPr>
              <w:t>200</w:t>
            </w:r>
          </w:p>
        </w:tc>
      </w:tr>
      <w:tr w14:paraId="7A64DB9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0" w:hRule="atLeast"/>
          <w:jc w:val="center"/>
        </w:trPr>
        <w:tc>
          <w:tcPr>
            <w:tcW w:w="706" w:type="pct"/>
            <w:vAlign w:val="center"/>
          </w:tcPr>
          <w:p w14:paraId="741B84C3">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en-US"/>
              </w:rPr>
              <w:t>pH</w:t>
            </w:r>
          </w:p>
        </w:tc>
        <w:tc>
          <w:tcPr>
            <w:tcW w:w="525" w:type="pct"/>
            <w:vAlign w:val="center"/>
          </w:tcPr>
          <w:p w14:paraId="02A7DB14">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0.13</w:t>
            </w:r>
          </w:p>
        </w:tc>
        <w:tc>
          <w:tcPr>
            <w:tcW w:w="625" w:type="pct"/>
            <w:vAlign w:val="center"/>
          </w:tcPr>
          <w:p w14:paraId="2669D478">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0.40</w:t>
            </w:r>
          </w:p>
        </w:tc>
        <w:tc>
          <w:tcPr>
            <w:tcW w:w="693" w:type="pct"/>
            <w:vAlign w:val="center"/>
          </w:tcPr>
          <w:p w14:paraId="0BFBFB2F">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0.20</w:t>
            </w:r>
          </w:p>
        </w:tc>
        <w:tc>
          <w:tcPr>
            <w:tcW w:w="752" w:type="pct"/>
            <w:vAlign w:val="center"/>
          </w:tcPr>
          <w:p w14:paraId="7020BD61">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0.20</w:t>
            </w:r>
          </w:p>
        </w:tc>
        <w:tc>
          <w:tcPr>
            <w:tcW w:w="728" w:type="pct"/>
            <w:vAlign w:val="center"/>
          </w:tcPr>
          <w:p w14:paraId="0773985E">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0.13</w:t>
            </w:r>
          </w:p>
        </w:tc>
        <w:tc>
          <w:tcPr>
            <w:tcW w:w="970" w:type="pct"/>
            <w:vAlign w:val="center"/>
          </w:tcPr>
          <w:p w14:paraId="40D3FF44">
            <w:pPr>
              <w:pStyle w:val="8"/>
              <w:suppressLineNumbers w:val="0"/>
              <w:bidi w:val="0"/>
              <w:spacing w:before="0" w:beforeAutospacing="0" w:after="0" w:afterAutospacing="0"/>
              <w:ind w:left="0" w:right="0"/>
              <w:rPr>
                <w:rFonts w:hint="eastAsia"/>
                <w:highlight w:val="none"/>
                <w:lang w:val="en-US" w:eastAsia="zh-CN"/>
              </w:rPr>
            </w:pPr>
            <w:r>
              <w:rPr>
                <w:rFonts w:hint="eastAsia"/>
                <w:highlight w:val="none"/>
              </w:rPr>
              <w:t>6.5-8.5</w:t>
            </w:r>
            <w:r>
              <w:rPr>
                <w:rFonts w:hint="eastAsia"/>
                <w:highlight w:val="none"/>
                <w:lang w:eastAsia="zh-CN"/>
              </w:rPr>
              <w:t>（</w:t>
            </w:r>
            <w:r>
              <w:rPr>
                <w:rFonts w:hint="eastAsia"/>
                <w:highlight w:val="none"/>
                <w:lang w:val="en-US" w:eastAsia="zh-CN"/>
              </w:rPr>
              <w:t>无量纲</w:t>
            </w:r>
            <w:r>
              <w:rPr>
                <w:rFonts w:hint="eastAsia"/>
                <w:highlight w:val="none"/>
                <w:lang w:eastAsia="zh-CN"/>
              </w:rPr>
              <w:t>）</w:t>
            </w:r>
          </w:p>
        </w:tc>
      </w:tr>
      <w:tr w14:paraId="73BBCC9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59" w:hRule="atLeast"/>
          <w:jc w:val="center"/>
        </w:trPr>
        <w:tc>
          <w:tcPr>
            <w:tcW w:w="706" w:type="pct"/>
            <w:vAlign w:val="center"/>
          </w:tcPr>
          <w:p w14:paraId="48CA7018">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总硬度</w:t>
            </w:r>
          </w:p>
        </w:tc>
        <w:tc>
          <w:tcPr>
            <w:tcW w:w="525" w:type="pct"/>
            <w:vAlign w:val="center"/>
          </w:tcPr>
          <w:p w14:paraId="79251994">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0.51</w:t>
            </w:r>
          </w:p>
        </w:tc>
        <w:tc>
          <w:tcPr>
            <w:tcW w:w="625" w:type="pct"/>
            <w:vAlign w:val="center"/>
          </w:tcPr>
          <w:p w14:paraId="78F32599">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0.43</w:t>
            </w:r>
          </w:p>
        </w:tc>
        <w:tc>
          <w:tcPr>
            <w:tcW w:w="693" w:type="pct"/>
            <w:vAlign w:val="center"/>
          </w:tcPr>
          <w:p w14:paraId="426DF7E7">
            <w:pPr>
              <w:pStyle w:val="8"/>
              <w:suppressLineNumbers w:val="0"/>
              <w:bidi w:val="0"/>
              <w:spacing w:before="0" w:beforeAutospacing="0" w:after="0" w:afterAutospacing="0"/>
              <w:ind w:left="0" w:right="0"/>
              <w:rPr>
                <w:rFonts w:hint="default"/>
                <w:highlight w:val="none"/>
                <w:lang w:val="en-US" w:eastAsia="en-US"/>
              </w:rPr>
            </w:pPr>
            <w:r>
              <w:rPr>
                <w:rFonts w:hint="eastAsia"/>
                <w:highlight w:val="none"/>
                <w:lang w:val="en-US" w:eastAsia="zh-CN"/>
              </w:rPr>
              <w:t>0.56</w:t>
            </w:r>
          </w:p>
        </w:tc>
        <w:tc>
          <w:tcPr>
            <w:tcW w:w="752" w:type="pct"/>
            <w:vAlign w:val="center"/>
          </w:tcPr>
          <w:p w14:paraId="667506BA">
            <w:pPr>
              <w:pStyle w:val="8"/>
              <w:suppressLineNumbers w:val="0"/>
              <w:bidi w:val="0"/>
              <w:spacing w:before="0" w:beforeAutospacing="0" w:after="0" w:afterAutospacing="0"/>
              <w:ind w:left="0" w:right="0"/>
              <w:rPr>
                <w:rFonts w:hint="default"/>
                <w:highlight w:val="none"/>
                <w:lang w:val="en-US" w:eastAsia="en-US"/>
              </w:rPr>
            </w:pPr>
            <w:r>
              <w:rPr>
                <w:rFonts w:hint="eastAsia"/>
                <w:highlight w:val="none"/>
                <w:lang w:val="en-US" w:eastAsia="zh-CN"/>
              </w:rPr>
              <w:t>0.50</w:t>
            </w:r>
          </w:p>
        </w:tc>
        <w:tc>
          <w:tcPr>
            <w:tcW w:w="728" w:type="pct"/>
            <w:vAlign w:val="center"/>
          </w:tcPr>
          <w:p w14:paraId="65BC382F">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0.46</w:t>
            </w:r>
          </w:p>
        </w:tc>
        <w:tc>
          <w:tcPr>
            <w:tcW w:w="970" w:type="pct"/>
            <w:vAlign w:val="center"/>
          </w:tcPr>
          <w:p w14:paraId="0EC4B46B">
            <w:pPr>
              <w:pStyle w:val="8"/>
              <w:suppressLineNumbers w:val="0"/>
              <w:bidi w:val="0"/>
              <w:spacing w:before="0" w:beforeAutospacing="0" w:after="0" w:afterAutospacing="0"/>
              <w:ind w:left="0" w:right="0"/>
              <w:rPr>
                <w:rFonts w:hint="eastAsia"/>
                <w:highlight w:val="none"/>
                <w:lang w:val="en-US" w:eastAsia="zh-CN"/>
              </w:rPr>
            </w:pPr>
            <w:r>
              <w:rPr>
                <w:rFonts w:hint="eastAsia"/>
                <w:highlight w:val="none"/>
              </w:rPr>
              <w:t>≤450</w:t>
            </w:r>
          </w:p>
        </w:tc>
      </w:tr>
      <w:tr w14:paraId="55E2DE9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0" w:hRule="atLeast"/>
          <w:jc w:val="center"/>
        </w:trPr>
        <w:tc>
          <w:tcPr>
            <w:tcW w:w="705" w:type="pct"/>
            <w:vAlign w:val="center"/>
          </w:tcPr>
          <w:p w14:paraId="5DDBDE65">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溶解性总固体</w:t>
            </w:r>
          </w:p>
        </w:tc>
        <w:tc>
          <w:tcPr>
            <w:tcW w:w="525" w:type="pct"/>
            <w:vAlign w:val="center"/>
          </w:tcPr>
          <w:p w14:paraId="60B6A4F2">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0.32</w:t>
            </w:r>
          </w:p>
        </w:tc>
        <w:tc>
          <w:tcPr>
            <w:tcW w:w="625" w:type="pct"/>
            <w:vAlign w:val="center"/>
          </w:tcPr>
          <w:p w14:paraId="32F965E1">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0.32</w:t>
            </w:r>
          </w:p>
        </w:tc>
        <w:tc>
          <w:tcPr>
            <w:tcW w:w="693" w:type="pct"/>
            <w:vAlign w:val="center"/>
          </w:tcPr>
          <w:p w14:paraId="359A8C6E">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0.42</w:t>
            </w:r>
          </w:p>
        </w:tc>
        <w:tc>
          <w:tcPr>
            <w:tcW w:w="752" w:type="pct"/>
            <w:vAlign w:val="center"/>
          </w:tcPr>
          <w:p w14:paraId="0DC17D24">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0.30</w:t>
            </w:r>
          </w:p>
        </w:tc>
        <w:tc>
          <w:tcPr>
            <w:tcW w:w="728" w:type="pct"/>
            <w:vAlign w:val="center"/>
          </w:tcPr>
          <w:p w14:paraId="3B37815D">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0.35</w:t>
            </w:r>
          </w:p>
        </w:tc>
        <w:tc>
          <w:tcPr>
            <w:tcW w:w="970" w:type="pct"/>
            <w:vAlign w:val="center"/>
          </w:tcPr>
          <w:p w14:paraId="29B1C590">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≤1000</w:t>
            </w:r>
          </w:p>
        </w:tc>
      </w:tr>
      <w:tr w14:paraId="488284E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0" w:hRule="atLeast"/>
          <w:jc w:val="center"/>
        </w:trPr>
        <w:tc>
          <w:tcPr>
            <w:tcW w:w="705" w:type="pct"/>
            <w:vAlign w:val="center"/>
          </w:tcPr>
          <w:p w14:paraId="0F4D1D82">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硫酸盐</w:t>
            </w:r>
          </w:p>
        </w:tc>
        <w:tc>
          <w:tcPr>
            <w:tcW w:w="525" w:type="pct"/>
            <w:vAlign w:val="center"/>
          </w:tcPr>
          <w:p w14:paraId="0A625684">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0.59</w:t>
            </w:r>
          </w:p>
        </w:tc>
        <w:tc>
          <w:tcPr>
            <w:tcW w:w="625" w:type="pct"/>
            <w:vAlign w:val="center"/>
          </w:tcPr>
          <w:p w14:paraId="4BB1DE57">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0.08</w:t>
            </w:r>
          </w:p>
        </w:tc>
        <w:tc>
          <w:tcPr>
            <w:tcW w:w="693" w:type="pct"/>
            <w:vAlign w:val="center"/>
          </w:tcPr>
          <w:p w14:paraId="52158D94">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0.04</w:t>
            </w:r>
          </w:p>
        </w:tc>
        <w:tc>
          <w:tcPr>
            <w:tcW w:w="752" w:type="pct"/>
            <w:vAlign w:val="center"/>
          </w:tcPr>
          <w:p w14:paraId="02CDA1F2">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0.56</w:t>
            </w:r>
          </w:p>
        </w:tc>
        <w:tc>
          <w:tcPr>
            <w:tcW w:w="728" w:type="pct"/>
            <w:vAlign w:val="center"/>
          </w:tcPr>
          <w:p w14:paraId="730E56DD">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0.08</w:t>
            </w:r>
          </w:p>
        </w:tc>
        <w:tc>
          <w:tcPr>
            <w:tcW w:w="970" w:type="pct"/>
            <w:vAlign w:val="center"/>
          </w:tcPr>
          <w:p w14:paraId="6FF2F691">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≤250</w:t>
            </w:r>
          </w:p>
        </w:tc>
      </w:tr>
      <w:tr w14:paraId="4CF7950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0" w:hRule="atLeast"/>
          <w:jc w:val="center"/>
        </w:trPr>
        <w:tc>
          <w:tcPr>
            <w:tcW w:w="705" w:type="pct"/>
            <w:vAlign w:val="center"/>
          </w:tcPr>
          <w:p w14:paraId="5FDD6BBB">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氯化物</w:t>
            </w:r>
          </w:p>
        </w:tc>
        <w:tc>
          <w:tcPr>
            <w:tcW w:w="525" w:type="pct"/>
            <w:vAlign w:val="center"/>
          </w:tcPr>
          <w:p w14:paraId="28B97427">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0.15</w:t>
            </w:r>
          </w:p>
        </w:tc>
        <w:tc>
          <w:tcPr>
            <w:tcW w:w="625" w:type="pct"/>
            <w:vAlign w:val="center"/>
          </w:tcPr>
          <w:p w14:paraId="46C63751">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0.06</w:t>
            </w:r>
          </w:p>
        </w:tc>
        <w:tc>
          <w:tcPr>
            <w:tcW w:w="693" w:type="pct"/>
            <w:vAlign w:val="center"/>
          </w:tcPr>
          <w:p w14:paraId="1C6B7A57">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0.07</w:t>
            </w:r>
          </w:p>
        </w:tc>
        <w:tc>
          <w:tcPr>
            <w:tcW w:w="752" w:type="pct"/>
            <w:vAlign w:val="center"/>
          </w:tcPr>
          <w:p w14:paraId="3807CB06">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0.14</w:t>
            </w:r>
          </w:p>
        </w:tc>
        <w:tc>
          <w:tcPr>
            <w:tcW w:w="728" w:type="pct"/>
            <w:vAlign w:val="center"/>
          </w:tcPr>
          <w:p w14:paraId="44B81FB7">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0.06</w:t>
            </w:r>
          </w:p>
        </w:tc>
        <w:tc>
          <w:tcPr>
            <w:tcW w:w="970" w:type="pct"/>
            <w:vAlign w:val="center"/>
          </w:tcPr>
          <w:p w14:paraId="15D77726">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≤250</w:t>
            </w:r>
          </w:p>
        </w:tc>
      </w:tr>
      <w:tr w14:paraId="6B26470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0" w:hRule="atLeast"/>
          <w:jc w:val="center"/>
        </w:trPr>
        <w:tc>
          <w:tcPr>
            <w:tcW w:w="705" w:type="pct"/>
            <w:vAlign w:val="center"/>
          </w:tcPr>
          <w:p w14:paraId="7AD92AD7">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铁</w:t>
            </w:r>
          </w:p>
        </w:tc>
        <w:tc>
          <w:tcPr>
            <w:tcW w:w="525" w:type="pct"/>
            <w:vAlign w:val="center"/>
          </w:tcPr>
          <w:p w14:paraId="4E7A4AB4">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0.63</w:t>
            </w:r>
          </w:p>
        </w:tc>
        <w:tc>
          <w:tcPr>
            <w:tcW w:w="625" w:type="pct"/>
            <w:vAlign w:val="center"/>
          </w:tcPr>
          <w:p w14:paraId="5FD35802">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0.90</w:t>
            </w:r>
          </w:p>
        </w:tc>
        <w:tc>
          <w:tcPr>
            <w:tcW w:w="693" w:type="pct"/>
            <w:vAlign w:val="center"/>
          </w:tcPr>
          <w:p w14:paraId="2407FC03">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0.37</w:t>
            </w:r>
          </w:p>
        </w:tc>
        <w:tc>
          <w:tcPr>
            <w:tcW w:w="752" w:type="pct"/>
            <w:vAlign w:val="center"/>
          </w:tcPr>
          <w:p w14:paraId="65C06975">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0.40</w:t>
            </w:r>
          </w:p>
        </w:tc>
        <w:tc>
          <w:tcPr>
            <w:tcW w:w="728" w:type="pct"/>
            <w:vAlign w:val="center"/>
          </w:tcPr>
          <w:p w14:paraId="72EDDE09">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0.37</w:t>
            </w:r>
          </w:p>
        </w:tc>
        <w:tc>
          <w:tcPr>
            <w:tcW w:w="970" w:type="pct"/>
            <w:vAlign w:val="center"/>
          </w:tcPr>
          <w:p w14:paraId="5FCEA78C">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≤0.3</w:t>
            </w:r>
          </w:p>
        </w:tc>
      </w:tr>
      <w:tr w14:paraId="499E05C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0" w:hRule="atLeast"/>
          <w:jc w:val="center"/>
        </w:trPr>
        <w:tc>
          <w:tcPr>
            <w:tcW w:w="705" w:type="pct"/>
            <w:vAlign w:val="center"/>
          </w:tcPr>
          <w:p w14:paraId="29E3D632">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锰</w:t>
            </w:r>
          </w:p>
        </w:tc>
        <w:tc>
          <w:tcPr>
            <w:tcW w:w="525" w:type="pct"/>
            <w:vAlign w:val="center"/>
          </w:tcPr>
          <w:p w14:paraId="5A12E3C3">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3.30</w:t>
            </w:r>
          </w:p>
        </w:tc>
        <w:tc>
          <w:tcPr>
            <w:tcW w:w="625" w:type="pct"/>
            <w:vAlign w:val="center"/>
          </w:tcPr>
          <w:p w14:paraId="5E4E835D">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3.10</w:t>
            </w:r>
          </w:p>
        </w:tc>
        <w:tc>
          <w:tcPr>
            <w:tcW w:w="693" w:type="pct"/>
            <w:vAlign w:val="center"/>
          </w:tcPr>
          <w:p w14:paraId="5FFBDA76">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2.70</w:t>
            </w:r>
          </w:p>
        </w:tc>
        <w:tc>
          <w:tcPr>
            <w:tcW w:w="752" w:type="pct"/>
            <w:vAlign w:val="center"/>
          </w:tcPr>
          <w:p w14:paraId="4CD4D738">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2.00</w:t>
            </w:r>
          </w:p>
        </w:tc>
        <w:tc>
          <w:tcPr>
            <w:tcW w:w="728" w:type="pct"/>
            <w:vAlign w:val="center"/>
          </w:tcPr>
          <w:p w14:paraId="1096B75F">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3.10</w:t>
            </w:r>
          </w:p>
        </w:tc>
        <w:tc>
          <w:tcPr>
            <w:tcW w:w="970" w:type="pct"/>
            <w:vAlign w:val="center"/>
          </w:tcPr>
          <w:p w14:paraId="7CFCCAA8">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≤0.10</w:t>
            </w:r>
          </w:p>
        </w:tc>
      </w:tr>
      <w:tr w14:paraId="2823C47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0" w:hRule="atLeast"/>
          <w:jc w:val="center"/>
        </w:trPr>
        <w:tc>
          <w:tcPr>
            <w:tcW w:w="705" w:type="pct"/>
            <w:vAlign w:val="center"/>
          </w:tcPr>
          <w:p w14:paraId="2DDE34F8">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挥发酚</w:t>
            </w:r>
          </w:p>
        </w:tc>
        <w:tc>
          <w:tcPr>
            <w:tcW w:w="525" w:type="pct"/>
            <w:vAlign w:val="center"/>
          </w:tcPr>
          <w:p w14:paraId="2D223225">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0.08</w:t>
            </w:r>
          </w:p>
        </w:tc>
        <w:tc>
          <w:tcPr>
            <w:tcW w:w="625" w:type="pct"/>
            <w:vAlign w:val="center"/>
          </w:tcPr>
          <w:p w14:paraId="1DE63FED">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0.08</w:t>
            </w:r>
          </w:p>
        </w:tc>
        <w:tc>
          <w:tcPr>
            <w:tcW w:w="693" w:type="pct"/>
            <w:vAlign w:val="center"/>
          </w:tcPr>
          <w:p w14:paraId="520BEDAE">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0.08</w:t>
            </w:r>
          </w:p>
        </w:tc>
        <w:tc>
          <w:tcPr>
            <w:tcW w:w="752" w:type="pct"/>
            <w:vAlign w:val="center"/>
          </w:tcPr>
          <w:p w14:paraId="46039655">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0.08</w:t>
            </w:r>
          </w:p>
        </w:tc>
        <w:tc>
          <w:tcPr>
            <w:tcW w:w="728" w:type="pct"/>
            <w:vAlign w:val="center"/>
          </w:tcPr>
          <w:p w14:paraId="718AADDF">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0.08</w:t>
            </w:r>
          </w:p>
        </w:tc>
        <w:tc>
          <w:tcPr>
            <w:tcW w:w="970" w:type="pct"/>
            <w:vAlign w:val="center"/>
          </w:tcPr>
          <w:p w14:paraId="0CDE5294">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≤0.002</w:t>
            </w:r>
          </w:p>
        </w:tc>
      </w:tr>
      <w:tr w14:paraId="22AD914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0" w:hRule="atLeast"/>
          <w:jc w:val="center"/>
        </w:trPr>
        <w:tc>
          <w:tcPr>
            <w:tcW w:w="705" w:type="pct"/>
            <w:vAlign w:val="center"/>
          </w:tcPr>
          <w:p w14:paraId="65C9E3C8">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高锰酸盐指数</w:t>
            </w:r>
          </w:p>
        </w:tc>
        <w:tc>
          <w:tcPr>
            <w:tcW w:w="525" w:type="pct"/>
            <w:vAlign w:val="center"/>
          </w:tcPr>
          <w:p w14:paraId="6E6F4B8F">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0.90</w:t>
            </w:r>
          </w:p>
        </w:tc>
        <w:tc>
          <w:tcPr>
            <w:tcW w:w="625" w:type="pct"/>
            <w:vAlign w:val="center"/>
          </w:tcPr>
          <w:p w14:paraId="04F010B6">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0.80</w:t>
            </w:r>
          </w:p>
        </w:tc>
        <w:tc>
          <w:tcPr>
            <w:tcW w:w="693" w:type="pct"/>
            <w:vAlign w:val="center"/>
          </w:tcPr>
          <w:p w14:paraId="3915C1D0">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0.43</w:t>
            </w:r>
          </w:p>
        </w:tc>
        <w:tc>
          <w:tcPr>
            <w:tcW w:w="752" w:type="pct"/>
            <w:vAlign w:val="center"/>
          </w:tcPr>
          <w:p w14:paraId="58CB636A">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0.93</w:t>
            </w:r>
          </w:p>
        </w:tc>
        <w:tc>
          <w:tcPr>
            <w:tcW w:w="728" w:type="pct"/>
            <w:vAlign w:val="center"/>
          </w:tcPr>
          <w:p w14:paraId="6091402F">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0.50</w:t>
            </w:r>
          </w:p>
        </w:tc>
        <w:tc>
          <w:tcPr>
            <w:tcW w:w="970" w:type="pct"/>
            <w:vAlign w:val="center"/>
          </w:tcPr>
          <w:p w14:paraId="65E0AC0C">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≤3.0</w:t>
            </w:r>
          </w:p>
        </w:tc>
      </w:tr>
      <w:tr w14:paraId="1C90143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0" w:hRule="atLeast"/>
          <w:jc w:val="center"/>
        </w:trPr>
        <w:tc>
          <w:tcPr>
            <w:tcW w:w="705" w:type="pct"/>
            <w:vAlign w:val="center"/>
          </w:tcPr>
          <w:p w14:paraId="4C8ED654">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氨氮</w:t>
            </w:r>
          </w:p>
        </w:tc>
        <w:tc>
          <w:tcPr>
            <w:tcW w:w="525" w:type="pct"/>
            <w:vAlign w:val="center"/>
          </w:tcPr>
          <w:p w14:paraId="3ACA73DA">
            <w:pPr>
              <w:pStyle w:val="8"/>
              <w:suppressLineNumbers w:val="0"/>
              <w:bidi w:val="0"/>
              <w:spacing w:before="0" w:beforeAutospacing="0" w:after="0" w:afterAutospacing="0"/>
              <w:ind w:left="0" w:right="0"/>
              <w:rPr>
                <w:rFonts w:hint="default"/>
                <w:highlight w:val="none"/>
                <w:lang w:val="en-US" w:eastAsia="en-US"/>
              </w:rPr>
            </w:pPr>
            <w:r>
              <w:rPr>
                <w:rFonts w:hint="eastAsia"/>
                <w:highlight w:val="none"/>
                <w:lang w:val="en-US" w:eastAsia="zh-CN"/>
              </w:rPr>
              <w:t>0.31</w:t>
            </w:r>
          </w:p>
        </w:tc>
        <w:tc>
          <w:tcPr>
            <w:tcW w:w="625" w:type="pct"/>
            <w:vAlign w:val="center"/>
          </w:tcPr>
          <w:p w14:paraId="6F5A5A65">
            <w:pPr>
              <w:pStyle w:val="8"/>
              <w:suppressLineNumbers w:val="0"/>
              <w:bidi w:val="0"/>
              <w:spacing w:before="0" w:beforeAutospacing="0" w:after="0" w:afterAutospacing="0"/>
              <w:ind w:left="0" w:right="0"/>
              <w:rPr>
                <w:rFonts w:hint="default"/>
                <w:highlight w:val="none"/>
                <w:lang w:val="en-US" w:eastAsia="en-US"/>
              </w:rPr>
            </w:pPr>
            <w:r>
              <w:rPr>
                <w:rFonts w:hint="eastAsia"/>
                <w:highlight w:val="none"/>
                <w:lang w:val="en-US" w:eastAsia="zh-CN"/>
              </w:rPr>
              <w:t>0.41</w:t>
            </w:r>
          </w:p>
        </w:tc>
        <w:tc>
          <w:tcPr>
            <w:tcW w:w="693" w:type="pct"/>
            <w:vAlign w:val="center"/>
          </w:tcPr>
          <w:p w14:paraId="1115E976">
            <w:pPr>
              <w:pStyle w:val="8"/>
              <w:suppressLineNumbers w:val="0"/>
              <w:bidi w:val="0"/>
              <w:spacing w:before="0" w:beforeAutospacing="0" w:after="0" w:afterAutospacing="0"/>
              <w:ind w:left="0" w:right="0"/>
              <w:rPr>
                <w:rFonts w:hint="default"/>
                <w:highlight w:val="none"/>
                <w:lang w:val="en-US" w:eastAsia="en-US"/>
              </w:rPr>
            </w:pPr>
            <w:r>
              <w:rPr>
                <w:rFonts w:hint="eastAsia"/>
                <w:highlight w:val="none"/>
                <w:lang w:val="en-US" w:eastAsia="zh-CN"/>
              </w:rPr>
              <w:t>0.41</w:t>
            </w:r>
          </w:p>
        </w:tc>
        <w:tc>
          <w:tcPr>
            <w:tcW w:w="752" w:type="pct"/>
            <w:vAlign w:val="center"/>
          </w:tcPr>
          <w:p w14:paraId="5E6CD769">
            <w:pPr>
              <w:pStyle w:val="8"/>
              <w:suppressLineNumbers w:val="0"/>
              <w:bidi w:val="0"/>
              <w:spacing w:before="0" w:beforeAutospacing="0" w:after="0" w:afterAutospacing="0"/>
              <w:ind w:left="0" w:right="0"/>
              <w:rPr>
                <w:rFonts w:hint="default"/>
                <w:highlight w:val="none"/>
                <w:lang w:val="en-US" w:eastAsia="en-US"/>
              </w:rPr>
            </w:pPr>
            <w:r>
              <w:rPr>
                <w:rFonts w:hint="eastAsia"/>
                <w:highlight w:val="none"/>
                <w:lang w:val="en-US" w:eastAsia="zh-CN"/>
              </w:rPr>
              <w:t>0.32</w:t>
            </w:r>
          </w:p>
        </w:tc>
        <w:tc>
          <w:tcPr>
            <w:tcW w:w="728" w:type="pct"/>
            <w:vAlign w:val="center"/>
          </w:tcPr>
          <w:p w14:paraId="11ACC88F">
            <w:pPr>
              <w:pStyle w:val="8"/>
              <w:suppressLineNumbers w:val="0"/>
              <w:bidi w:val="0"/>
              <w:spacing w:before="0" w:beforeAutospacing="0" w:after="0" w:afterAutospacing="0"/>
              <w:ind w:left="0" w:right="0"/>
              <w:rPr>
                <w:rFonts w:hint="default"/>
                <w:highlight w:val="none"/>
                <w:lang w:val="en-US" w:eastAsia="en-US"/>
              </w:rPr>
            </w:pPr>
            <w:r>
              <w:rPr>
                <w:rFonts w:hint="eastAsia"/>
                <w:highlight w:val="none"/>
                <w:lang w:val="en-US" w:eastAsia="zh-CN"/>
              </w:rPr>
              <w:t>0.29</w:t>
            </w:r>
          </w:p>
        </w:tc>
        <w:tc>
          <w:tcPr>
            <w:tcW w:w="970" w:type="pct"/>
            <w:vAlign w:val="center"/>
          </w:tcPr>
          <w:p w14:paraId="208EC787">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≤0.50</w:t>
            </w:r>
          </w:p>
        </w:tc>
      </w:tr>
      <w:tr w14:paraId="375F82D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0" w:hRule="atLeast"/>
          <w:jc w:val="center"/>
        </w:trPr>
        <w:tc>
          <w:tcPr>
            <w:tcW w:w="705" w:type="pct"/>
            <w:vAlign w:val="center"/>
          </w:tcPr>
          <w:p w14:paraId="6CC188BB">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总大肠菌群</w:t>
            </w:r>
          </w:p>
        </w:tc>
        <w:tc>
          <w:tcPr>
            <w:tcW w:w="525" w:type="pct"/>
            <w:vAlign w:val="center"/>
          </w:tcPr>
          <w:p w14:paraId="5C611A81">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0.33</w:t>
            </w:r>
          </w:p>
        </w:tc>
        <w:tc>
          <w:tcPr>
            <w:tcW w:w="625" w:type="pct"/>
            <w:vAlign w:val="center"/>
          </w:tcPr>
          <w:p w14:paraId="68D7916B">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0.33</w:t>
            </w:r>
          </w:p>
        </w:tc>
        <w:tc>
          <w:tcPr>
            <w:tcW w:w="693" w:type="pct"/>
            <w:vAlign w:val="center"/>
          </w:tcPr>
          <w:p w14:paraId="46DB1F4C">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0.33</w:t>
            </w:r>
          </w:p>
        </w:tc>
        <w:tc>
          <w:tcPr>
            <w:tcW w:w="752" w:type="pct"/>
            <w:vAlign w:val="center"/>
          </w:tcPr>
          <w:p w14:paraId="4361E5A3">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0.33</w:t>
            </w:r>
          </w:p>
        </w:tc>
        <w:tc>
          <w:tcPr>
            <w:tcW w:w="728" w:type="pct"/>
            <w:vAlign w:val="center"/>
          </w:tcPr>
          <w:p w14:paraId="08800A86">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0.33</w:t>
            </w:r>
          </w:p>
        </w:tc>
        <w:tc>
          <w:tcPr>
            <w:tcW w:w="970" w:type="pct"/>
            <w:vAlign w:val="center"/>
          </w:tcPr>
          <w:p w14:paraId="55E95DBD">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≤3.0</w:t>
            </w:r>
          </w:p>
        </w:tc>
      </w:tr>
      <w:tr w14:paraId="18A37FF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0" w:hRule="atLeast"/>
          <w:jc w:val="center"/>
        </w:trPr>
        <w:tc>
          <w:tcPr>
            <w:tcW w:w="705" w:type="pct"/>
            <w:vAlign w:val="center"/>
          </w:tcPr>
          <w:p w14:paraId="0A08B768">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菌落总数</w:t>
            </w:r>
          </w:p>
        </w:tc>
        <w:tc>
          <w:tcPr>
            <w:tcW w:w="525" w:type="pct"/>
            <w:vAlign w:val="center"/>
          </w:tcPr>
          <w:p w14:paraId="143E6B95">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0.25</w:t>
            </w:r>
          </w:p>
        </w:tc>
        <w:tc>
          <w:tcPr>
            <w:tcW w:w="625" w:type="pct"/>
            <w:vAlign w:val="center"/>
          </w:tcPr>
          <w:p w14:paraId="65CE17B7">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0.30</w:t>
            </w:r>
          </w:p>
        </w:tc>
        <w:tc>
          <w:tcPr>
            <w:tcW w:w="693" w:type="pct"/>
            <w:vAlign w:val="center"/>
          </w:tcPr>
          <w:p w14:paraId="38BCE794">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0.06</w:t>
            </w:r>
          </w:p>
        </w:tc>
        <w:tc>
          <w:tcPr>
            <w:tcW w:w="752" w:type="pct"/>
            <w:vAlign w:val="center"/>
          </w:tcPr>
          <w:p w14:paraId="54FE4CD6">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0.36</w:t>
            </w:r>
          </w:p>
        </w:tc>
        <w:tc>
          <w:tcPr>
            <w:tcW w:w="728" w:type="pct"/>
            <w:vAlign w:val="center"/>
          </w:tcPr>
          <w:p w14:paraId="04B56E2E">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0.25</w:t>
            </w:r>
          </w:p>
        </w:tc>
        <w:tc>
          <w:tcPr>
            <w:tcW w:w="970" w:type="pct"/>
            <w:vAlign w:val="center"/>
          </w:tcPr>
          <w:p w14:paraId="51FBA2C6">
            <w:pPr>
              <w:pStyle w:val="8"/>
              <w:suppressLineNumbers w:val="0"/>
              <w:bidi w:val="0"/>
              <w:spacing w:before="0" w:beforeAutospacing="0" w:after="0" w:afterAutospacing="0"/>
              <w:ind w:left="0" w:right="0"/>
              <w:rPr>
                <w:rFonts w:hint="eastAsia"/>
                <w:highlight w:val="none"/>
                <w:lang w:val="en-US" w:eastAsia="zh-CN"/>
              </w:rPr>
            </w:pPr>
            <w:r>
              <w:rPr>
                <w:rFonts w:hint="eastAsia"/>
                <w:highlight w:val="none"/>
              </w:rPr>
              <w:t>≤100</w:t>
            </w:r>
          </w:p>
        </w:tc>
      </w:tr>
      <w:tr w14:paraId="3D08347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0" w:hRule="atLeast"/>
          <w:jc w:val="center"/>
        </w:trPr>
        <w:tc>
          <w:tcPr>
            <w:tcW w:w="705" w:type="pct"/>
            <w:vAlign w:val="center"/>
          </w:tcPr>
          <w:p w14:paraId="325CE97B">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亚硝酸盐</w:t>
            </w:r>
          </w:p>
        </w:tc>
        <w:tc>
          <w:tcPr>
            <w:tcW w:w="525" w:type="pct"/>
            <w:vAlign w:val="center"/>
          </w:tcPr>
          <w:p w14:paraId="7CB60834">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0.002</w:t>
            </w:r>
          </w:p>
        </w:tc>
        <w:tc>
          <w:tcPr>
            <w:tcW w:w="625" w:type="pct"/>
            <w:vAlign w:val="center"/>
          </w:tcPr>
          <w:p w14:paraId="10B21FA2">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0.002</w:t>
            </w:r>
          </w:p>
        </w:tc>
        <w:tc>
          <w:tcPr>
            <w:tcW w:w="693" w:type="pct"/>
            <w:vAlign w:val="center"/>
          </w:tcPr>
          <w:p w14:paraId="6A1E8F6F">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0.002</w:t>
            </w:r>
          </w:p>
        </w:tc>
        <w:tc>
          <w:tcPr>
            <w:tcW w:w="752" w:type="pct"/>
            <w:vAlign w:val="center"/>
          </w:tcPr>
          <w:p w14:paraId="0416A294">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0.002</w:t>
            </w:r>
          </w:p>
        </w:tc>
        <w:tc>
          <w:tcPr>
            <w:tcW w:w="728" w:type="pct"/>
            <w:vAlign w:val="center"/>
          </w:tcPr>
          <w:p w14:paraId="5F1E2A66">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0.002</w:t>
            </w:r>
          </w:p>
        </w:tc>
        <w:tc>
          <w:tcPr>
            <w:tcW w:w="970" w:type="pct"/>
            <w:vAlign w:val="center"/>
          </w:tcPr>
          <w:p w14:paraId="11D59F42">
            <w:pPr>
              <w:pStyle w:val="8"/>
              <w:suppressLineNumbers w:val="0"/>
              <w:bidi w:val="0"/>
              <w:spacing w:before="0" w:beforeAutospacing="0" w:after="0" w:afterAutospacing="0"/>
              <w:ind w:left="0" w:right="0"/>
              <w:rPr>
                <w:rFonts w:hint="eastAsia"/>
                <w:highlight w:val="none"/>
                <w:lang w:val="en-US" w:eastAsia="zh-CN"/>
              </w:rPr>
            </w:pPr>
            <w:r>
              <w:rPr>
                <w:rFonts w:hint="eastAsia"/>
                <w:highlight w:val="none"/>
              </w:rPr>
              <w:t>≤1.00</w:t>
            </w:r>
          </w:p>
        </w:tc>
      </w:tr>
      <w:tr w14:paraId="19B5263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0" w:hRule="atLeast"/>
          <w:jc w:val="center"/>
        </w:trPr>
        <w:tc>
          <w:tcPr>
            <w:tcW w:w="705" w:type="pct"/>
            <w:vAlign w:val="center"/>
          </w:tcPr>
          <w:p w14:paraId="746F6914">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硝酸盐</w:t>
            </w:r>
          </w:p>
        </w:tc>
        <w:tc>
          <w:tcPr>
            <w:tcW w:w="525" w:type="pct"/>
            <w:vAlign w:val="bottom"/>
          </w:tcPr>
          <w:p w14:paraId="53E61996">
            <w:pPr>
              <w:pStyle w:val="8"/>
              <w:suppressLineNumbers w:val="0"/>
              <w:bidi w:val="0"/>
              <w:spacing w:before="0" w:beforeAutospacing="0" w:after="0" w:afterAutospacing="0"/>
              <w:ind w:left="0" w:right="0"/>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0.06</w:t>
            </w:r>
          </w:p>
        </w:tc>
        <w:tc>
          <w:tcPr>
            <w:tcW w:w="625" w:type="pct"/>
            <w:vAlign w:val="center"/>
          </w:tcPr>
          <w:p w14:paraId="2CD84329">
            <w:pPr>
              <w:pStyle w:val="8"/>
              <w:suppressLineNumbers w:val="0"/>
              <w:bidi w:val="0"/>
              <w:spacing w:before="0" w:beforeAutospacing="0" w:after="0" w:afterAutospacing="0"/>
              <w:ind w:left="0" w:right="0"/>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0.06</w:t>
            </w:r>
          </w:p>
        </w:tc>
        <w:tc>
          <w:tcPr>
            <w:tcW w:w="693" w:type="pct"/>
            <w:vAlign w:val="center"/>
          </w:tcPr>
          <w:p w14:paraId="6D13C7D2">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0.05</w:t>
            </w:r>
          </w:p>
        </w:tc>
        <w:tc>
          <w:tcPr>
            <w:tcW w:w="752" w:type="pct"/>
            <w:vAlign w:val="center"/>
          </w:tcPr>
          <w:p w14:paraId="37249E2B">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0.05</w:t>
            </w:r>
          </w:p>
        </w:tc>
        <w:tc>
          <w:tcPr>
            <w:tcW w:w="728" w:type="pct"/>
            <w:vAlign w:val="center"/>
          </w:tcPr>
          <w:p w14:paraId="37F5E289">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0.07</w:t>
            </w:r>
          </w:p>
        </w:tc>
        <w:tc>
          <w:tcPr>
            <w:tcW w:w="970" w:type="pct"/>
            <w:vAlign w:val="center"/>
          </w:tcPr>
          <w:p w14:paraId="1084F908">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≤20.0</w:t>
            </w:r>
          </w:p>
        </w:tc>
      </w:tr>
      <w:tr w14:paraId="1E30E02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0" w:hRule="atLeast"/>
          <w:jc w:val="center"/>
        </w:trPr>
        <w:tc>
          <w:tcPr>
            <w:tcW w:w="705" w:type="pct"/>
            <w:vAlign w:val="center"/>
          </w:tcPr>
          <w:p w14:paraId="30D94F27">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氰化物</w:t>
            </w:r>
          </w:p>
        </w:tc>
        <w:tc>
          <w:tcPr>
            <w:tcW w:w="525" w:type="pct"/>
            <w:vAlign w:val="bottom"/>
          </w:tcPr>
          <w:p w14:paraId="32124FE9">
            <w:pPr>
              <w:pStyle w:val="8"/>
              <w:suppressLineNumbers w:val="0"/>
              <w:bidi w:val="0"/>
              <w:spacing w:before="0" w:beforeAutospacing="0" w:after="0" w:afterAutospacing="0"/>
              <w:ind w:left="0" w:right="0"/>
              <w:rPr>
                <w:rFonts w:hint="default" w:ascii="Times New Roman" w:hAnsi="Times New Roman" w:eastAsia="宋体" w:cs="Times New Roman"/>
                <w:highlight w:val="none"/>
                <w:lang w:val="en-US" w:eastAsia="en-US"/>
              </w:rPr>
            </w:pPr>
            <w:r>
              <w:rPr>
                <w:rFonts w:hint="eastAsia" w:ascii="Times New Roman" w:hAnsi="Times New Roman" w:eastAsia="宋体" w:cs="Times New Roman"/>
                <w:highlight w:val="none"/>
                <w:lang w:val="en-US" w:eastAsia="zh-CN"/>
              </w:rPr>
              <w:t>0.02</w:t>
            </w:r>
          </w:p>
        </w:tc>
        <w:tc>
          <w:tcPr>
            <w:tcW w:w="625" w:type="pct"/>
            <w:vAlign w:val="center"/>
          </w:tcPr>
          <w:p w14:paraId="03A58857">
            <w:pPr>
              <w:pStyle w:val="8"/>
              <w:suppressLineNumbers w:val="0"/>
              <w:bidi w:val="0"/>
              <w:spacing w:before="0" w:beforeAutospacing="0" w:after="0" w:afterAutospacing="0"/>
              <w:ind w:left="0" w:right="0"/>
              <w:rPr>
                <w:rFonts w:hint="default" w:ascii="Times New Roman" w:hAnsi="Times New Roman" w:eastAsia="宋体" w:cs="Times New Roman"/>
                <w:highlight w:val="none"/>
                <w:lang w:val="en-US" w:eastAsia="en-US"/>
              </w:rPr>
            </w:pPr>
            <w:r>
              <w:rPr>
                <w:rFonts w:hint="eastAsia" w:ascii="Times New Roman" w:hAnsi="Times New Roman" w:eastAsia="宋体" w:cs="Times New Roman"/>
                <w:highlight w:val="none"/>
                <w:lang w:val="en-US" w:eastAsia="zh-CN"/>
              </w:rPr>
              <w:t>0.02</w:t>
            </w:r>
          </w:p>
        </w:tc>
        <w:tc>
          <w:tcPr>
            <w:tcW w:w="693" w:type="pct"/>
            <w:vAlign w:val="center"/>
          </w:tcPr>
          <w:p w14:paraId="41F7211F">
            <w:pPr>
              <w:pStyle w:val="8"/>
              <w:suppressLineNumbers w:val="0"/>
              <w:bidi w:val="0"/>
              <w:spacing w:before="0" w:beforeAutospacing="0" w:after="0" w:afterAutospacing="0"/>
              <w:ind w:left="0" w:right="0"/>
              <w:rPr>
                <w:rFonts w:hint="default"/>
                <w:highlight w:val="none"/>
                <w:lang w:val="en-US" w:eastAsia="en-US"/>
              </w:rPr>
            </w:pPr>
            <w:r>
              <w:rPr>
                <w:rFonts w:hint="eastAsia"/>
                <w:highlight w:val="none"/>
                <w:lang w:val="en-US" w:eastAsia="zh-CN"/>
              </w:rPr>
              <w:t>0.02</w:t>
            </w:r>
          </w:p>
        </w:tc>
        <w:tc>
          <w:tcPr>
            <w:tcW w:w="752" w:type="pct"/>
            <w:vAlign w:val="center"/>
          </w:tcPr>
          <w:p w14:paraId="2CBA567F">
            <w:pPr>
              <w:pStyle w:val="8"/>
              <w:suppressLineNumbers w:val="0"/>
              <w:bidi w:val="0"/>
              <w:spacing w:before="0" w:beforeAutospacing="0" w:after="0" w:afterAutospacing="0"/>
              <w:ind w:left="0" w:right="0"/>
              <w:rPr>
                <w:rFonts w:hint="default"/>
                <w:highlight w:val="none"/>
                <w:lang w:val="en-US" w:eastAsia="en-US"/>
              </w:rPr>
            </w:pPr>
            <w:r>
              <w:rPr>
                <w:rFonts w:hint="eastAsia"/>
                <w:highlight w:val="none"/>
                <w:lang w:val="en-US" w:eastAsia="zh-CN"/>
              </w:rPr>
              <w:t>0.02</w:t>
            </w:r>
          </w:p>
        </w:tc>
        <w:tc>
          <w:tcPr>
            <w:tcW w:w="728" w:type="pct"/>
            <w:vAlign w:val="center"/>
          </w:tcPr>
          <w:p w14:paraId="2F65F210">
            <w:pPr>
              <w:pStyle w:val="8"/>
              <w:suppressLineNumbers w:val="0"/>
              <w:bidi w:val="0"/>
              <w:spacing w:before="0" w:beforeAutospacing="0" w:after="0" w:afterAutospacing="0"/>
              <w:ind w:left="0" w:right="0"/>
              <w:rPr>
                <w:rFonts w:hint="default"/>
                <w:highlight w:val="none"/>
                <w:lang w:val="en-US" w:eastAsia="en-US"/>
              </w:rPr>
            </w:pPr>
            <w:r>
              <w:rPr>
                <w:rFonts w:hint="eastAsia"/>
                <w:highlight w:val="none"/>
                <w:lang w:val="en-US" w:eastAsia="zh-CN"/>
              </w:rPr>
              <w:t>0.02</w:t>
            </w:r>
          </w:p>
        </w:tc>
        <w:tc>
          <w:tcPr>
            <w:tcW w:w="970" w:type="pct"/>
            <w:vAlign w:val="center"/>
          </w:tcPr>
          <w:p w14:paraId="0A9F862C">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≤0.05</w:t>
            </w:r>
          </w:p>
        </w:tc>
      </w:tr>
      <w:tr w14:paraId="399B3B3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0" w:hRule="atLeast"/>
          <w:jc w:val="center"/>
        </w:trPr>
        <w:tc>
          <w:tcPr>
            <w:tcW w:w="705" w:type="pct"/>
            <w:vAlign w:val="center"/>
          </w:tcPr>
          <w:p w14:paraId="4A5581F8">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氟化物</w:t>
            </w:r>
          </w:p>
        </w:tc>
        <w:tc>
          <w:tcPr>
            <w:tcW w:w="525" w:type="pct"/>
            <w:vAlign w:val="bottom"/>
          </w:tcPr>
          <w:p w14:paraId="45405671">
            <w:pPr>
              <w:pStyle w:val="8"/>
              <w:suppressLineNumbers w:val="0"/>
              <w:bidi w:val="0"/>
              <w:spacing w:before="0" w:beforeAutospacing="0" w:after="0" w:afterAutospacing="0"/>
              <w:ind w:left="0" w:right="0"/>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0.15</w:t>
            </w:r>
          </w:p>
        </w:tc>
        <w:tc>
          <w:tcPr>
            <w:tcW w:w="625" w:type="pct"/>
            <w:vAlign w:val="center"/>
          </w:tcPr>
          <w:p w14:paraId="1E72451A">
            <w:pPr>
              <w:pStyle w:val="8"/>
              <w:suppressLineNumbers w:val="0"/>
              <w:bidi w:val="0"/>
              <w:spacing w:before="0" w:beforeAutospacing="0" w:after="0" w:afterAutospacing="0"/>
              <w:ind w:left="0" w:right="0"/>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0.47</w:t>
            </w:r>
          </w:p>
        </w:tc>
        <w:tc>
          <w:tcPr>
            <w:tcW w:w="693" w:type="pct"/>
            <w:vAlign w:val="center"/>
          </w:tcPr>
          <w:p w14:paraId="68E22D6A">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0.12</w:t>
            </w:r>
          </w:p>
        </w:tc>
        <w:tc>
          <w:tcPr>
            <w:tcW w:w="752" w:type="pct"/>
            <w:vAlign w:val="center"/>
          </w:tcPr>
          <w:p w14:paraId="1308B204">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0.40</w:t>
            </w:r>
          </w:p>
        </w:tc>
        <w:tc>
          <w:tcPr>
            <w:tcW w:w="728" w:type="pct"/>
            <w:vAlign w:val="center"/>
          </w:tcPr>
          <w:p w14:paraId="250ABCCB">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0.28</w:t>
            </w:r>
          </w:p>
        </w:tc>
        <w:tc>
          <w:tcPr>
            <w:tcW w:w="970" w:type="pct"/>
            <w:vAlign w:val="center"/>
          </w:tcPr>
          <w:p w14:paraId="6EA137BE">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≤1.0</w:t>
            </w:r>
          </w:p>
        </w:tc>
      </w:tr>
      <w:tr w14:paraId="533FD40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0" w:hRule="atLeast"/>
          <w:jc w:val="center"/>
        </w:trPr>
        <w:tc>
          <w:tcPr>
            <w:tcW w:w="705" w:type="pct"/>
            <w:vAlign w:val="center"/>
          </w:tcPr>
          <w:p w14:paraId="016D7BD0">
            <w:pPr>
              <w:pStyle w:val="8"/>
              <w:suppressLineNumbers w:val="0"/>
              <w:bidi w:val="0"/>
              <w:spacing w:before="0" w:beforeAutospacing="0" w:after="0" w:afterAutospacing="0"/>
              <w:ind w:left="0" w:right="0"/>
              <w:rPr>
                <w:rFonts w:hint="eastAsia"/>
                <w:highlight w:val="none"/>
                <w:lang w:val="en-US" w:eastAsia="en-US"/>
              </w:rPr>
            </w:pPr>
            <w:r>
              <w:rPr>
                <w:rFonts w:hint="eastAsia"/>
                <w:highlight w:val="none"/>
              </w:rPr>
              <w:t>汞</w:t>
            </w:r>
          </w:p>
        </w:tc>
        <w:tc>
          <w:tcPr>
            <w:tcW w:w="525" w:type="pct"/>
            <w:vAlign w:val="bottom"/>
          </w:tcPr>
          <w:p w14:paraId="07944A0C">
            <w:pPr>
              <w:pStyle w:val="8"/>
              <w:suppressLineNumbers w:val="0"/>
              <w:bidi w:val="0"/>
              <w:spacing w:before="0" w:beforeAutospacing="0" w:after="0" w:afterAutospacing="0"/>
              <w:ind w:left="0" w:right="0"/>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0.02</w:t>
            </w:r>
          </w:p>
        </w:tc>
        <w:tc>
          <w:tcPr>
            <w:tcW w:w="625" w:type="pct"/>
            <w:vAlign w:val="center"/>
          </w:tcPr>
          <w:p w14:paraId="78493E88">
            <w:pPr>
              <w:pStyle w:val="8"/>
              <w:suppressLineNumbers w:val="0"/>
              <w:bidi w:val="0"/>
              <w:spacing w:before="0" w:beforeAutospacing="0" w:after="0" w:afterAutospacing="0"/>
              <w:ind w:left="0" w:right="0"/>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0.02</w:t>
            </w:r>
          </w:p>
        </w:tc>
        <w:tc>
          <w:tcPr>
            <w:tcW w:w="693" w:type="pct"/>
            <w:vAlign w:val="center"/>
          </w:tcPr>
          <w:p w14:paraId="4D934CF5">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0.02</w:t>
            </w:r>
          </w:p>
        </w:tc>
        <w:tc>
          <w:tcPr>
            <w:tcW w:w="752" w:type="pct"/>
            <w:vAlign w:val="center"/>
          </w:tcPr>
          <w:p w14:paraId="2266B3FA">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0.02</w:t>
            </w:r>
          </w:p>
        </w:tc>
        <w:tc>
          <w:tcPr>
            <w:tcW w:w="728" w:type="pct"/>
            <w:vAlign w:val="center"/>
          </w:tcPr>
          <w:p w14:paraId="5EF81DF3">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0.02</w:t>
            </w:r>
          </w:p>
        </w:tc>
        <w:tc>
          <w:tcPr>
            <w:tcW w:w="970" w:type="pct"/>
            <w:vAlign w:val="center"/>
          </w:tcPr>
          <w:p w14:paraId="3E7CFD95">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≤0.001</w:t>
            </w:r>
          </w:p>
        </w:tc>
      </w:tr>
      <w:tr w14:paraId="3D87CC0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0" w:hRule="atLeast"/>
          <w:jc w:val="center"/>
        </w:trPr>
        <w:tc>
          <w:tcPr>
            <w:tcW w:w="705" w:type="pct"/>
            <w:vAlign w:val="center"/>
          </w:tcPr>
          <w:p w14:paraId="154E6900">
            <w:pPr>
              <w:pStyle w:val="8"/>
              <w:suppressLineNumbers w:val="0"/>
              <w:bidi w:val="0"/>
              <w:spacing w:before="0" w:beforeAutospacing="0" w:after="0" w:afterAutospacing="0"/>
              <w:ind w:left="0" w:right="0"/>
              <w:rPr>
                <w:rFonts w:hint="eastAsia"/>
                <w:highlight w:val="none"/>
                <w:lang w:val="en-US" w:eastAsia="en-US"/>
              </w:rPr>
            </w:pPr>
            <w:r>
              <w:rPr>
                <w:rFonts w:hint="eastAsia"/>
                <w:highlight w:val="none"/>
              </w:rPr>
              <w:t>砷</w:t>
            </w:r>
          </w:p>
        </w:tc>
        <w:tc>
          <w:tcPr>
            <w:tcW w:w="525" w:type="pct"/>
            <w:vAlign w:val="bottom"/>
          </w:tcPr>
          <w:p w14:paraId="51A43F32">
            <w:pPr>
              <w:pStyle w:val="8"/>
              <w:suppressLineNumbers w:val="0"/>
              <w:bidi w:val="0"/>
              <w:spacing w:before="0" w:beforeAutospacing="0" w:after="0" w:afterAutospacing="0"/>
              <w:ind w:left="0" w:right="0"/>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0.02</w:t>
            </w:r>
          </w:p>
        </w:tc>
        <w:tc>
          <w:tcPr>
            <w:tcW w:w="625" w:type="pct"/>
            <w:vAlign w:val="center"/>
          </w:tcPr>
          <w:p w14:paraId="18C9E3B5">
            <w:pPr>
              <w:pStyle w:val="8"/>
              <w:suppressLineNumbers w:val="0"/>
              <w:bidi w:val="0"/>
              <w:spacing w:before="0" w:beforeAutospacing="0" w:after="0" w:afterAutospacing="0"/>
              <w:ind w:left="0" w:right="0"/>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0.015</w:t>
            </w:r>
          </w:p>
        </w:tc>
        <w:tc>
          <w:tcPr>
            <w:tcW w:w="693" w:type="pct"/>
            <w:vAlign w:val="center"/>
          </w:tcPr>
          <w:p w14:paraId="703A33F1">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0.015</w:t>
            </w:r>
          </w:p>
        </w:tc>
        <w:tc>
          <w:tcPr>
            <w:tcW w:w="752" w:type="pct"/>
            <w:vAlign w:val="center"/>
          </w:tcPr>
          <w:p w14:paraId="021ABDBF">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0.015</w:t>
            </w:r>
          </w:p>
        </w:tc>
        <w:tc>
          <w:tcPr>
            <w:tcW w:w="728" w:type="pct"/>
            <w:vAlign w:val="center"/>
          </w:tcPr>
          <w:p w14:paraId="5EE2AA89">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0.015</w:t>
            </w:r>
          </w:p>
        </w:tc>
        <w:tc>
          <w:tcPr>
            <w:tcW w:w="970" w:type="pct"/>
            <w:vAlign w:val="center"/>
          </w:tcPr>
          <w:p w14:paraId="6A23977E">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≤0.01</w:t>
            </w:r>
          </w:p>
        </w:tc>
      </w:tr>
      <w:tr w14:paraId="3952B8F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0" w:hRule="atLeast"/>
          <w:jc w:val="center"/>
        </w:trPr>
        <w:tc>
          <w:tcPr>
            <w:tcW w:w="705" w:type="pct"/>
            <w:vAlign w:val="center"/>
          </w:tcPr>
          <w:p w14:paraId="7DF56858">
            <w:pPr>
              <w:pStyle w:val="8"/>
              <w:suppressLineNumbers w:val="0"/>
              <w:bidi w:val="0"/>
              <w:spacing w:before="0" w:beforeAutospacing="0" w:after="0" w:afterAutospacing="0"/>
              <w:ind w:left="0" w:right="0"/>
              <w:rPr>
                <w:rFonts w:hint="eastAsia"/>
                <w:highlight w:val="none"/>
                <w:lang w:val="en-US" w:eastAsia="en-US"/>
              </w:rPr>
            </w:pPr>
            <w:r>
              <w:rPr>
                <w:rFonts w:hint="eastAsia"/>
                <w:highlight w:val="none"/>
              </w:rPr>
              <w:t>镉</w:t>
            </w:r>
          </w:p>
        </w:tc>
        <w:tc>
          <w:tcPr>
            <w:tcW w:w="525" w:type="pct"/>
            <w:vAlign w:val="bottom"/>
          </w:tcPr>
          <w:p w14:paraId="4831621A">
            <w:pPr>
              <w:pStyle w:val="8"/>
              <w:suppressLineNumbers w:val="0"/>
              <w:bidi w:val="0"/>
              <w:spacing w:before="0" w:beforeAutospacing="0" w:after="0" w:afterAutospacing="0"/>
              <w:ind w:left="0" w:right="0"/>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0.05</w:t>
            </w:r>
          </w:p>
        </w:tc>
        <w:tc>
          <w:tcPr>
            <w:tcW w:w="625" w:type="pct"/>
            <w:vAlign w:val="center"/>
          </w:tcPr>
          <w:p w14:paraId="2993DD1D">
            <w:pPr>
              <w:pStyle w:val="8"/>
              <w:suppressLineNumbers w:val="0"/>
              <w:bidi w:val="0"/>
              <w:spacing w:before="0" w:beforeAutospacing="0" w:after="0" w:afterAutospacing="0"/>
              <w:ind w:left="0" w:right="0"/>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0.05</w:t>
            </w:r>
          </w:p>
        </w:tc>
        <w:tc>
          <w:tcPr>
            <w:tcW w:w="693" w:type="pct"/>
            <w:vAlign w:val="center"/>
          </w:tcPr>
          <w:p w14:paraId="187BE983">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0.05</w:t>
            </w:r>
          </w:p>
        </w:tc>
        <w:tc>
          <w:tcPr>
            <w:tcW w:w="752" w:type="pct"/>
            <w:vAlign w:val="center"/>
          </w:tcPr>
          <w:p w14:paraId="24BC8D73">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0.05</w:t>
            </w:r>
          </w:p>
        </w:tc>
        <w:tc>
          <w:tcPr>
            <w:tcW w:w="728" w:type="pct"/>
            <w:vAlign w:val="center"/>
          </w:tcPr>
          <w:p w14:paraId="451923E1">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0.05</w:t>
            </w:r>
          </w:p>
        </w:tc>
        <w:tc>
          <w:tcPr>
            <w:tcW w:w="970" w:type="pct"/>
            <w:vAlign w:val="center"/>
          </w:tcPr>
          <w:p w14:paraId="1ABDEF70">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≤0.005</w:t>
            </w:r>
          </w:p>
        </w:tc>
      </w:tr>
      <w:tr w14:paraId="348478D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0" w:hRule="atLeast"/>
          <w:jc w:val="center"/>
        </w:trPr>
        <w:tc>
          <w:tcPr>
            <w:tcW w:w="705" w:type="pct"/>
            <w:vAlign w:val="center"/>
          </w:tcPr>
          <w:p w14:paraId="59CB1139">
            <w:pPr>
              <w:pStyle w:val="8"/>
              <w:suppressLineNumbers w:val="0"/>
              <w:bidi w:val="0"/>
              <w:spacing w:before="0" w:beforeAutospacing="0" w:after="0" w:afterAutospacing="0"/>
              <w:ind w:left="0" w:right="0"/>
              <w:rPr>
                <w:rFonts w:hint="eastAsia"/>
                <w:highlight w:val="none"/>
                <w:lang w:val="en-US" w:eastAsia="en-US"/>
              </w:rPr>
            </w:pPr>
            <w:r>
              <w:rPr>
                <w:rFonts w:hint="eastAsia"/>
                <w:highlight w:val="none"/>
              </w:rPr>
              <w:t>六价铬</w:t>
            </w:r>
          </w:p>
        </w:tc>
        <w:tc>
          <w:tcPr>
            <w:tcW w:w="525" w:type="pct"/>
            <w:vAlign w:val="bottom"/>
          </w:tcPr>
          <w:p w14:paraId="7807C31E">
            <w:pPr>
              <w:pStyle w:val="8"/>
              <w:suppressLineNumbers w:val="0"/>
              <w:bidi w:val="0"/>
              <w:spacing w:before="0" w:beforeAutospacing="0" w:after="0" w:afterAutospacing="0"/>
              <w:ind w:left="0" w:right="0"/>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0.04</w:t>
            </w:r>
          </w:p>
        </w:tc>
        <w:tc>
          <w:tcPr>
            <w:tcW w:w="625" w:type="pct"/>
            <w:vAlign w:val="center"/>
          </w:tcPr>
          <w:p w14:paraId="0744F75A">
            <w:pPr>
              <w:pStyle w:val="8"/>
              <w:suppressLineNumbers w:val="0"/>
              <w:bidi w:val="0"/>
              <w:spacing w:before="0" w:beforeAutospacing="0" w:after="0" w:afterAutospacing="0"/>
              <w:ind w:left="0" w:right="0"/>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0.04</w:t>
            </w:r>
          </w:p>
        </w:tc>
        <w:tc>
          <w:tcPr>
            <w:tcW w:w="693" w:type="pct"/>
            <w:vAlign w:val="center"/>
          </w:tcPr>
          <w:p w14:paraId="5CA1476D">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0.04</w:t>
            </w:r>
          </w:p>
        </w:tc>
        <w:tc>
          <w:tcPr>
            <w:tcW w:w="752" w:type="pct"/>
            <w:vAlign w:val="center"/>
          </w:tcPr>
          <w:p w14:paraId="7A0A2237">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0.04</w:t>
            </w:r>
          </w:p>
        </w:tc>
        <w:tc>
          <w:tcPr>
            <w:tcW w:w="728" w:type="pct"/>
            <w:vAlign w:val="center"/>
          </w:tcPr>
          <w:p w14:paraId="792A88B8">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0.04</w:t>
            </w:r>
          </w:p>
        </w:tc>
        <w:tc>
          <w:tcPr>
            <w:tcW w:w="970" w:type="pct"/>
            <w:vAlign w:val="center"/>
          </w:tcPr>
          <w:p w14:paraId="17C36EA5">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≤0.05</w:t>
            </w:r>
          </w:p>
        </w:tc>
      </w:tr>
      <w:tr w14:paraId="16D2FDF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0" w:hRule="atLeast"/>
          <w:jc w:val="center"/>
        </w:trPr>
        <w:tc>
          <w:tcPr>
            <w:tcW w:w="705" w:type="pct"/>
            <w:vAlign w:val="center"/>
          </w:tcPr>
          <w:p w14:paraId="711F5CF3">
            <w:pPr>
              <w:pStyle w:val="8"/>
              <w:suppressLineNumbers w:val="0"/>
              <w:bidi w:val="0"/>
              <w:spacing w:before="0" w:beforeAutospacing="0" w:after="0" w:afterAutospacing="0"/>
              <w:ind w:left="0" w:right="0"/>
              <w:rPr>
                <w:rFonts w:hint="eastAsia"/>
                <w:highlight w:val="none"/>
                <w:lang w:val="en-US" w:eastAsia="en-US"/>
              </w:rPr>
            </w:pPr>
            <w:r>
              <w:rPr>
                <w:rFonts w:hint="eastAsia"/>
                <w:highlight w:val="none"/>
              </w:rPr>
              <w:t>铅</w:t>
            </w:r>
          </w:p>
        </w:tc>
        <w:tc>
          <w:tcPr>
            <w:tcW w:w="525" w:type="pct"/>
            <w:vAlign w:val="bottom"/>
          </w:tcPr>
          <w:p w14:paraId="055B3A14">
            <w:pPr>
              <w:pStyle w:val="8"/>
              <w:suppressLineNumbers w:val="0"/>
              <w:bidi w:val="0"/>
              <w:spacing w:before="0" w:beforeAutospacing="0" w:after="0" w:afterAutospacing="0"/>
              <w:ind w:left="0" w:right="0"/>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0.13</w:t>
            </w:r>
          </w:p>
        </w:tc>
        <w:tc>
          <w:tcPr>
            <w:tcW w:w="625" w:type="pct"/>
            <w:vAlign w:val="center"/>
          </w:tcPr>
          <w:p w14:paraId="5FA59E22">
            <w:pPr>
              <w:pStyle w:val="8"/>
              <w:suppressLineNumbers w:val="0"/>
              <w:bidi w:val="0"/>
              <w:spacing w:before="0" w:beforeAutospacing="0" w:after="0" w:afterAutospacing="0"/>
              <w:ind w:left="0" w:right="0"/>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0.13</w:t>
            </w:r>
          </w:p>
        </w:tc>
        <w:tc>
          <w:tcPr>
            <w:tcW w:w="693" w:type="pct"/>
            <w:vAlign w:val="center"/>
          </w:tcPr>
          <w:p w14:paraId="207C6C7F">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0.13</w:t>
            </w:r>
          </w:p>
        </w:tc>
        <w:tc>
          <w:tcPr>
            <w:tcW w:w="752" w:type="pct"/>
            <w:vAlign w:val="center"/>
          </w:tcPr>
          <w:p w14:paraId="6BE95D9B">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0.13</w:t>
            </w:r>
          </w:p>
        </w:tc>
        <w:tc>
          <w:tcPr>
            <w:tcW w:w="728" w:type="pct"/>
            <w:vAlign w:val="center"/>
          </w:tcPr>
          <w:p w14:paraId="323989CD">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0.13</w:t>
            </w:r>
          </w:p>
        </w:tc>
        <w:tc>
          <w:tcPr>
            <w:tcW w:w="970" w:type="pct"/>
            <w:vAlign w:val="center"/>
          </w:tcPr>
          <w:p w14:paraId="0C399064">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≤0.01</w:t>
            </w:r>
          </w:p>
        </w:tc>
      </w:tr>
      <w:tr w14:paraId="5374D77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0" w:hRule="atLeast"/>
          <w:jc w:val="center"/>
        </w:trPr>
        <w:tc>
          <w:tcPr>
            <w:tcW w:w="705" w:type="pct"/>
            <w:vAlign w:val="center"/>
          </w:tcPr>
          <w:p w14:paraId="7939E94A">
            <w:pPr>
              <w:pStyle w:val="8"/>
              <w:suppressLineNumbers w:val="0"/>
              <w:bidi w:val="0"/>
              <w:spacing w:before="0" w:beforeAutospacing="0" w:after="0" w:afterAutospacing="0"/>
              <w:ind w:left="0" w:right="0"/>
              <w:rPr>
                <w:rFonts w:hint="eastAsia"/>
                <w:highlight w:val="none"/>
                <w:lang w:val="en-US" w:eastAsia="en-US"/>
              </w:rPr>
            </w:pPr>
            <w:r>
              <w:rPr>
                <w:rFonts w:hint="eastAsia"/>
                <w:highlight w:val="none"/>
              </w:rPr>
              <w:t>石油类</w:t>
            </w:r>
          </w:p>
        </w:tc>
        <w:tc>
          <w:tcPr>
            <w:tcW w:w="525" w:type="pct"/>
            <w:vAlign w:val="bottom"/>
          </w:tcPr>
          <w:p w14:paraId="2A2C9F54">
            <w:pPr>
              <w:pStyle w:val="8"/>
              <w:suppressLineNumbers w:val="0"/>
              <w:bidi w:val="0"/>
              <w:spacing w:before="0" w:beforeAutospacing="0" w:after="0" w:afterAutospacing="0"/>
              <w:ind w:left="0" w:right="0"/>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0.1</w:t>
            </w:r>
          </w:p>
        </w:tc>
        <w:tc>
          <w:tcPr>
            <w:tcW w:w="625" w:type="pct"/>
            <w:vAlign w:val="center"/>
          </w:tcPr>
          <w:p w14:paraId="1C5042F2">
            <w:pPr>
              <w:pStyle w:val="8"/>
              <w:suppressLineNumbers w:val="0"/>
              <w:bidi w:val="0"/>
              <w:spacing w:before="0" w:beforeAutospacing="0" w:after="0" w:afterAutospacing="0"/>
              <w:ind w:left="0" w:right="0"/>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0.1</w:t>
            </w:r>
          </w:p>
        </w:tc>
        <w:tc>
          <w:tcPr>
            <w:tcW w:w="693" w:type="pct"/>
            <w:vAlign w:val="center"/>
          </w:tcPr>
          <w:p w14:paraId="0FA6C3BE">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0.1</w:t>
            </w:r>
          </w:p>
        </w:tc>
        <w:tc>
          <w:tcPr>
            <w:tcW w:w="752" w:type="pct"/>
            <w:vAlign w:val="center"/>
          </w:tcPr>
          <w:p w14:paraId="3BBAB4C2">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0.1</w:t>
            </w:r>
          </w:p>
        </w:tc>
        <w:tc>
          <w:tcPr>
            <w:tcW w:w="728" w:type="pct"/>
            <w:vAlign w:val="center"/>
          </w:tcPr>
          <w:p w14:paraId="184B6A52">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0.1</w:t>
            </w:r>
          </w:p>
        </w:tc>
        <w:tc>
          <w:tcPr>
            <w:tcW w:w="970" w:type="pct"/>
            <w:vAlign w:val="center"/>
          </w:tcPr>
          <w:p w14:paraId="17D0474E">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rPr>
              <w:t>0.05</w:t>
            </w:r>
          </w:p>
        </w:tc>
      </w:tr>
      <w:tr w14:paraId="4F8711A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40" w:hRule="atLeast"/>
          <w:jc w:val="center"/>
        </w:trPr>
        <w:tc>
          <w:tcPr>
            <w:tcW w:w="5000" w:type="pct"/>
            <w:gridSpan w:val="7"/>
            <w:vAlign w:val="center"/>
          </w:tcPr>
          <w:p w14:paraId="6DF18FA2">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注：</w:t>
            </w:r>
            <w:r>
              <w:rPr>
                <w:rFonts w:hint="default"/>
                <w:highlight w:val="none"/>
                <w:lang w:val="en-US" w:eastAsia="zh-CN"/>
              </w:rPr>
              <w:t>L</w:t>
            </w:r>
            <w:r>
              <w:rPr>
                <w:rFonts w:hint="eastAsia"/>
                <w:highlight w:val="none"/>
                <w:lang w:val="en-US" w:eastAsia="zh-CN"/>
              </w:rPr>
              <w:t>为低于检出限</w:t>
            </w:r>
            <w:r>
              <w:rPr>
                <w:rFonts w:hint="default"/>
                <w:highlight w:val="none"/>
              </w:rPr>
              <w:t>。</w:t>
            </w:r>
          </w:p>
        </w:tc>
      </w:tr>
    </w:tbl>
    <w:p w14:paraId="29B55A3D">
      <w:pPr>
        <w:bidi w:val="0"/>
        <w:rPr>
          <w:rFonts w:ascii="Times New Roman" w:hAnsi="Times New Roman" w:cs="Times New Roman"/>
          <w:highlight w:val="none"/>
        </w:rPr>
      </w:pPr>
      <w:bookmarkStart w:id="345" w:name="_Toc19447"/>
      <w:r>
        <w:rPr>
          <w:rFonts w:ascii="Times New Roman" w:hAnsi="Times New Roman" w:cs="Times New Roman"/>
          <w:highlight w:val="none"/>
        </w:rPr>
        <w:t>3</w:t>
      </w:r>
      <w:r>
        <w:rPr>
          <w:rFonts w:ascii="Times New Roman" w:cs="Times New Roman" w:hAnsiTheme="minorEastAsia"/>
          <w:highlight w:val="none"/>
        </w:rPr>
        <w:t>、地下水化学类型</w:t>
      </w:r>
      <w:bookmarkEnd w:id="345"/>
    </w:p>
    <w:p w14:paraId="042E735F">
      <w:pPr>
        <w:bidi w:val="0"/>
        <w:rPr>
          <w:rFonts w:eastAsiaTheme="minorEastAsia"/>
          <w:sz w:val="24"/>
          <w:highlight w:val="none"/>
        </w:rPr>
      </w:pPr>
      <w:r>
        <w:rPr>
          <w:rFonts w:hAnsiTheme="minorEastAsia" w:eastAsiaTheme="minorEastAsia"/>
          <w:sz w:val="24"/>
          <w:highlight w:val="none"/>
        </w:rPr>
        <w:t>用舒卡列夫分类法对地下水化学类型进行评价。地下水化学类型的舒卡列夫分类是根据地下水中</w:t>
      </w:r>
      <w:r>
        <w:rPr>
          <w:rFonts w:eastAsiaTheme="minorEastAsia"/>
          <w:sz w:val="24"/>
          <w:highlight w:val="none"/>
        </w:rPr>
        <w:t>6</w:t>
      </w:r>
      <w:r>
        <w:rPr>
          <w:rFonts w:hAnsiTheme="minorEastAsia" w:eastAsiaTheme="minorEastAsia"/>
          <w:sz w:val="24"/>
          <w:highlight w:val="none"/>
        </w:rPr>
        <w:t>种主要离子（</w:t>
      </w:r>
      <w:r>
        <w:rPr>
          <w:rFonts w:eastAsiaTheme="minorEastAsia"/>
          <w:sz w:val="24"/>
          <w:highlight w:val="none"/>
        </w:rPr>
        <w:t>Na</w:t>
      </w:r>
      <w:r>
        <w:rPr>
          <w:rFonts w:eastAsiaTheme="minorEastAsia"/>
          <w:sz w:val="24"/>
          <w:highlight w:val="none"/>
          <w:vertAlign w:val="superscript"/>
        </w:rPr>
        <w:t>+</w:t>
      </w:r>
      <w:r>
        <w:rPr>
          <w:rFonts w:hAnsiTheme="minorEastAsia" w:eastAsiaTheme="minorEastAsia"/>
          <w:sz w:val="24"/>
          <w:highlight w:val="none"/>
        </w:rPr>
        <w:t>、</w:t>
      </w:r>
      <w:r>
        <w:rPr>
          <w:rFonts w:eastAsiaTheme="minorEastAsia"/>
          <w:sz w:val="24"/>
          <w:highlight w:val="none"/>
        </w:rPr>
        <w:t>Ca</w:t>
      </w:r>
      <w:r>
        <w:rPr>
          <w:rFonts w:eastAsiaTheme="minorEastAsia"/>
          <w:sz w:val="24"/>
          <w:highlight w:val="none"/>
          <w:vertAlign w:val="superscript"/>
        </w:rPr>
        <w:t>2+</w:t>
      </w:r>
      <w:r>
        <w:rPr>
          <w:rFonts w:hAnsiTheme="minorEastAsia" w:eastAsiaTheme="minorEastAsia"/>
          <w:sz w:val="24"/>
          <w:highlight w:val="none"/>
        </w:rPr>
        <w:t>、</w:t>
      </w:r>
      <w:r>
        <w:rPr>
          <w:rFonts w:eastAsiaTheme="minorEastAsia"/>
          <w:sz w:val="24"/>
          <w:highlight w:val="none"/>
        </w:rPr>
        <w:t>Mg</w:t>
      </w:r>
      <w:r>
        <w:rPr>
          <w:rFonts w:eastAsiaTheme="minorEastAsia"/>
          <w:sz w:val="24"/>
          <w:highlight w:val="none"/>
          <w:vertAlign w:val="superscript"/>
        </w:rPr>
        <w:t>2+</w:t>
      </w:r>
      <w:r>
        <w:rPr>
          <w:rFonts w:hAnsiTheme="minorEastAsia" w:eastAsiaTheme="minorEastAsia"/>
          <w:sz w:val="24"/>
          <w:highlight w:val="none"/>
        </w:rPr>
        <w:t>、</w:t>
      </w:r>
      <w:r>
        <w:rPr>
          <w:rFonts w:eastAsiaTheme="minorEastAsia"/>
          <w:sz w:val="24"/>
          <w:highlight w:val="none"/>
        </w:rPr>
        <w:t>HCO</w:t>
      </w:r>
      <w:r>
        <w:rPr>
          <w:rFonts w:eastAsiaTheme="minorEastAsia"/>
          <w:sz w:val="24"/>
          <w:highlight w:val="none"/>
          <w:vertAlign w:val="subscript"/>
        </w:rPr>
        <w:t>3</w:t>
      </w:r>
      <w:r>
        <w:rPr>
          <w:rFonts w:eastAsiaTheme="minorEastAsia"/>
          <w:sz w:val="24"/>
          <w:highlight w:val="none"/>
          <w:vertAlign w:val="superscript"/>
        </w:rPr>
        <w:t>-</w:t>
      </w:r>
      <w:r>
        <w:rPr>
          <w:rFonts w:hAnsiTheme="minorEastAsia" w:eastAsiaTheme="minorEastAsia"/>
          <w:sz w:val="24"/>
          <w:highlight w:val="none"/>
        </w:rPr>
        <w:t>、</w:t>
      </w:r>
      <w:r>
        <w:rPr>
          <w:rFonts w:eastAsiaTheme="minorEastAsia"/>
          <w:sz w:val="24"/>
          <w:highlight w:val="none"/>
        </w:rPr>
        <w:t>SO</w:t>
      </w:r>
      <w:r>
        <w:rPr>
          <w:rFonts w:eastAsiaTheme="minorEastAsia"/>
          <w:sz w:val="24"/>
          <w:highlight w:val="none"/>
          <w:vertAlign w:val="subscript"/>
        </w:rPr>
        <w:t>4</w:t>
      </w:r>
      <w:r>
        <w:rPr>
          <w:rFonts w:eastAsiaTheme="minorEastAsia"/>
          <w:sz w:val="24"/>
          <w:highlight w:val="none"/>
          <w:vertAlign w:val="superscript"/>
        </w:rPr>
        <w:t>2-</w:t>
      </w:r>
      <w:r>
        <w:rPr>
          <w:rFonts w:hAnsiTheme="minorEastAsia" w:eastAsiaTheme="minorEastAsia"/>
          <w:sz w:val="24"/>
          <w:highlight w:val="none"/>
        </w:rPr>
        <w:t>、</w:t>
      </w:r>
      <w:r>
        <w:rPr>
          <w:rFonts w:eastAsiaTheme="minorEastAsia"/>
          <w:sz w:val="24"/>
          <w:highlight w:val="none"/>
        </w:rPr>
        <w:t>Cl</w:t>
      </w:r>
      <w:r>
        <w:rPr>
          <w:rFonts w:eastAsiaTheme="minorEastAsia"/>
          <w:sz w:val="24"/>
          <w:highlight w:val="none"/>
          <w:vertAlign w:val="superscript"/>
        </w:rPr>
        <w:t>-</w:t>
      </w:r>
      <w:r>
        <w:rPr>
          <w:rFonts w:hAnsiTheme="minorEastAsia" w:eastAsiaTheme="minorEastAsia"/>
          <w:sz w:val="24"/>
          <w:highlight w:val="none"/>
        </w:rPr>
        <w:t>，</w:t>
      </w:r>
      <w:r>
        <w:rPr>
          <w:rFonts w:eastAsiaTheme="minorEastAsia"/>
          <w:sz w:val="24"/>
          <w:highlight w:val="none"/>
        </w:rPr>
        <w:t>K</w:t>
      </w:r>
      <w:r>
        <w:rPr>
          <w:rFonts w:eastAsiaTheme="minorEastAsia"/>
          <w:sz w:val="24"/>
          <w:highlight w:val="none"/>
          <w:vertAlign w:val="superscript"/>
        </w:rPr>
        <w:t>+</w:t>
      </w:r>
      <w:r>
        <w:rPr>
          <w:rFonts w:hAnsiTheme="minorEastAsia" w:eastAsiaTheme="minorEastAsia"/>
          <w:sz w:val="24"/>
          <w:highlight w:val="none"/>
        </w:rPr>
        <w:t>合并于</w:t>
      </w:r>
      <w:r>
        <w:rPr>
          <w:rFonts w:eastAsiaTheme="minorEastAsia"/>
          <w:sz w:val="24"/>
          <w:highlight w:val="none"/>
        </w:rPr>
        <w:t>Na</w:t>
      </w:r>
      <w:r>
        <w:rPr>
          <w:rFonts w:eastAsiaTheme="minorEastAsia"/>
          <w:sz w:val="24"/>
          <w:highlight w:val="none"/>
          <w:vertAlign w:val="superscript"/>
        </w:rPr>
        <w:t>+</w:t>
      </w:r>
      <w:r>
        <w:rPr>
          <w:rFonts w:hAnsiTheme="minorEastAsia" w:eastAsiaTheme="minorEastAsia"/>
          <w:sz w:val="24"/>
          <w:highlight w:val="none"/>
        </w:rPr>
        <w:t>）。具体步骤如下：</w:t>
      </w:r>
    </w:p>
    <w:p w14:paraId="6C683867">
      <w:pPr>
        <w:bidi w:val="0"/>
        <w:rPr>
          <w:rFonts w:eastAsiaTheme="minorEastAsia"/>
          <w:sz w:val="24"/>
          <w:highlight w:val="none"/>
        </w:rPr>
      </w:pPr>
      <w:r>
        <w:rPr>
          <w:rFonts w:hAnsiTheme="minorEastAsia" w:eastAsiaTheme="minorEastAsia"/>
          <w:sz w:val="24"/>
          <w:highlight w:val="none"/>
        </w:rPr>
        <w:t>第一步，根据水质分析结果，将</w:t>
      </w:r>
      <w:r>
        <w:rPr>
          <w:rFonts w:eastAsiaTheme="minorEastAsia"/>
          <w:sz w:val="24"/>
          <w:highlight w:val="none"/>
        </w:rPr>
        <w:t>6</w:t>
      </w:r>
      <w:r>
        <w:rPr>
          <w:rFonts w:hAnsiTheme="minorEastAsia" w:eastAsiaTheme="minorEastAsia"/>
          <w:sz w:val="24"/>
          <w:highlight w:val="none"/>
        </w:rPr>
        <w:t>种主要离子中含量大于</w:t>
      </w:r>
      <w:r>
        <w:rPr>
          <w:rFonts w:eastAsiaTheme="minorEastAsia"/>
          <w:sz w:val="24"/>
          <w:highlight w:val="none"/>
        </w:rPr>
        <w:t>25</w:t>
      </w:r>
      <w:r>
        <w:rPr>
          <w:rFonts w:hAnsiTheme="minorEastAsia" w:eastAsiaTheme="minorEastAsia"/>
          <w:sz w:val="24"/>
          <w:highlight w:val="none"/>
        </w:rPr>
        <w:t>％毫克当量的阴离子和阳离子进行组合，可组合出</w:t>
      </w:r>
      <w:r>
        <w:rPr>
          <w:rFonts w:eastAsiaTheme="minorEastAsia"/>
          <w:sz w:val="24"/>
          <w:highlight w:val="none"/>
        </w:rPr>
        <w:t>49</w:t>
      </w:r>
      <w:r>
        <w:rPr>
          <w:rFonts w:hAnsiTheme="minorEastAsia" w:eastAsiaTheme="minorEastAsia"/>
          <w:sz w:val="24"/>
          <w:highlight w:val="none"/>
        </w:rPr>
        <w:t>型水，并将每型用一个阿拉伯数字作为代号。</w:t>
      </w:r>
    </w:p>
    <w:p w14:paraId="02600AEB">
      <w:pPr>
        <w:pStyle w:val="7"/>
        <w:bidi w:val="0"/>
        <w:rPr>
          <w:highlight w:val="none"/>
        </w:rPr>
      </w:pPr>
      <w:r>
        <w:rPr>
          <w:highlight w:val="none"/>
        </w:rPr>
        <w:t>表4-2-</w:t>
      </w:r>
      <w:r>
        <w:rPr>
          <w:rFonts w:hint="eastAsia"/>
          <w:highlight w:val="none"/>
          <w:lang w:val="en-US" w:eastAsia="zh-CN"/>
        </w:rPr>
        <w:t>8</w:t>
      </w:r>
      <w:r>
        <w:rPr>
          <w:highlight w:val="none"/>
        </w:rPr>
        <w:t>舒卡列夫分类土表</w:t>
      </w:r>
    </w:p>
    <w:tbl>
      <w:tblPr>
        <w:tblStyle w:val="45"/>
        <w:tblW w:w="4942"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05"/>
        <w:gridCol w:w="777"/>
        <w:gridCol w:w="1123"/>
        <w:gridCol w:w="1098"/>
        <w:gridCol w:w="992"/>
        <w:gridCol w:w="921"/>
        <w:gridCol w:w="1004"/>
        <w:gridCol w:w="1003"/>
      </w:tblGrid>
      <w:tr w14:paraId="532A4C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886" w:type="pct"/>
            <w:vAlign w:val="center"/>
          </w:tcPr>
          <w:p w14:paraId="6F5952EF">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hAnsiTheme="minorEastAsia" w:eastAsiaTheme="minorEastAsia"/>
                <w:sz w:val="21"/>
                <w:szCs w:val="21"/>
                <w:highlight w:val="none"/>
                <w:lang w:val="zh-CN"/>
              </w:rPr>
              <w:t>超过</w:t>
            </w:r>
            <w:r>
              <w:rPr>
                <w:rFonts w:hint="default" w:eastAsiaTheme="minorEastAsia"/>
                <w:sz w:val="21"/>
                <w:szCs w:val="21"/>
                <w:highlight w:val="none"/>
                <w:lang w:val="zh-CN"/>
              </w:rPr>
              <w:t>25%</w:t>
            </w:r>
            <w:r>
              <w:rPr>
                <w:rFonts w:hint="default" w:hAnsiTheme="minorEastAsia" w:eastAsiaTheme="minorEastAsia"/>
                <w:sz w:val="21"/>
                <w:szCs w:val="21"/>
                <w:highlight w:val="none"/>
                <w:lang w:val="zh-CN"/>
              </w:rPr>
              <w:t>毫克当量的离子</w:t>
            </w:r>
          </w:p>
        </w:tc>
        <w:tc>
          <w:tcPr>
            <w:tcW w:w="457" w:type="pct"/>
            <w:vAlign w:val="center"/>
          </w:tcPr>
          <w:p w14:paraId="269F8961">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HCO</w:t>
            </w:r>
            <w:r>
              <w:rPr>
                <w:rFonts w:hint="default" w:eastAsiaTheme="minorEastAsia"/>
                <w:sz w:val="21"/>
                <w:szCs w:val="21"/>
                <w:highlight w:val="none"/>
                <w:vertAlign w:val="subscript"/>
                <w:lang w:val="zh-CN"/>
              </w:rPr>
              <w:t>3</w:t>
            </w:r>
            <w:r>
              <w:rPr>
                <w:rFonts w:hint="default" w:eastAsiaTheme="minorEastAsia"/>
                <w:sz w:val="21"/>
                <w:szCs w:val="21"/>
                <w:highlight w:val="none"/>
                <w:vertAlign w:val="superscript"/>
                <w:lang w:val="zh-CN"/>
              </w:rPr>
              <w:t>-</w:t>
            </w:r>
          </w:p>
        </w:tc>
        <w:tc>
          <w:tcPr>
            <w:tcW w:w="661" w:type="pct"/>
            <w:vAlign w:val="center"/>
          </w:tcPr>
          <w:p w14:paraId="6F54B8A8">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HCO</w:t>
            </w:r>
            <w:r>
              <w:rPr>
                <w:rFonts w:hint="default" w:eastAsiaTheme="minorEastAsia"/>
                <w:sz w:val="21"/>
                <w:szCs w:val="21"/>
                <w:highlight w:val="none"/>
                <w:vertAlign w:val="subscript"/>
                <w:lang w:val="zh-CN"/>
              </w:rPr>
              <w:t>3</w:t>
            </w:r>
            <w:r>
              <w:rPr>
                <w:rFonts w:hint="default" w:eastAsiaTheme="minorEastAsia"/>
                <w:sz w:val="21"/>
                <w:szCs w:val="21"/>
                <w:highlight w:val="none"/>
                <w:vertAlign w:val="superscript"/>
                <w:lang w:val="zh-CN"/>
              </w:rPr>
              <w:t>-</w:t>
            </w:r>
            <w:r>
              <w:rPr>
                <w:rFonts w:hint="default" w:eastAsiaTheme="minorEastAsia"/>
                <w:sz w:val="21"/>
                <w:szCs w:val="21"/>
                <w:highlight w:val="none"/>
                <w:lang w:val="zh-CN"/>
              </w:rPr>
              <w:t>-SO</w:t>
            </w:r>
            <w:r>
              <w:rPr>
                <w:rFonts w:hint="default" w:eastAsiaTheme="minorEastAsia"/>
                <w:sz w:val="21"/>
                <w:szCs w:val="21"/>
                <w:highlight w:val="none"/>
                <w:vertAlign w:val="subscript"/>
                <w:lang w:val="zh-CN"/>
              </w:rPr>
              <w:t>4</w:t>
            </w:r>
            <w:r>
              <w:rPr>
                <w:rFonts w:hint="default" w:eastAsiaTheme="minorEastAsia"/>
                <w:sz w:val="21"/>
                <w:szCs w:val="21"/>
                <w:highlight w:val="none"/>
                <w:vertAlign w:val="superscript"/>
                <w:lang w:val="zh-CN"/>
              </w:rPr>
              <w:t>2-</w:t>
            </w:r>
          </w:p>
        </w:tc>
        <w:tc>
          <w:tcPr>
            <w:tcW w:w="646" w:type="pct"/>
            <w:vAlign w:val="center"/>
          </w:tcPr>
          <w:p w14:paraId="79D71048">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HCO</w:t>
            </w:r>
            <w:r>
              <w:rPr>
                <w:rFonts w:hint="default" w:eastAsiaTheme="minorEastAsia"/>
                <w:sz w:val="21"/>
                <w:szCs w:val="21"/>
                <w:highlight w:val="none"/>
                <w:vertAlign w:val="subscript"/>
                <w:lang w:val="zh-CN"/>
              </w:rPr>
              <w:t>3</w:t>
            </w:r>
            <w:r>
              <w:rPr>
                <w:rFonts w:hint="default" w:eastAsiaTheme="minorEastAsia"/>
                <w:sz w:val="21"/>
                <w:szCs w:val="21"/>
                <w:highlight w:val="none"/>
                <w:vertAlign w:val="superscript"/>
                <w:lang w:val="zh-CN"/>
              </w:rPr>
              <w:t>-</w:t>
            </w:r>
            <w:r>
              <w:rPr>
                <w:rFonts w:hint="default" w:eastAsiaTheme="minorEastAsia"/>
                <w:sz w:val="21"/>
                <w:szCs w:val="21"/>
                <w:highlight w:val="none"/>
                <w:lang w:val="zh-CN"/>
              </w:rPr>
              <w:t>-SO</w:t>
            </w:r>
            <w:r>
              <w:rPr>
                <w:rFonts w:hint="default" w:eastAsiaTheme="minorEastAsia"/>
                <w:sz w:val="21"/>
                <w:szCs w:val="21"/>
                <w:highlight w:val="none"/>
                <w:vertAlign w:val="subscript"/>
                <w:lang w:val="zh-CN"/>
              </w:rPr>
              <w:t>4</w:t>
            </w:r>
            <w:r>
              <w:rPr>
                <w:rFonts w:hint="default" w:eastAsiaTheme="minorEastAsia"/>
                <w:sz w:val="21"/>
                <w:szCs w:val="21"/>
                <w:highlight w:val="none"/>
                <w:vertAlign w:val="superscript"/>
                <w:lang w:val="zh-CN"/>
              </w:rPr>
              <w:t>2-</w:t>
            </w:r>
            <w:r>
              <w:rPr>
                <w:rFonts w:hint="default" w:eastAsiaTheme="minorEastAsia"/>
                <w:sz w:val="21"/>
                <w:szCs w:val="21"/>
                <w:highlight w:val="none"/>
                <w:lang w:val="zh-CN"/>
              </w:rPr>
              <w:t>-Cl</w:t>
            </w:r>
            <w:r>
              <w:rPr>
                <w:rFonts w:hint="default" w:eastAsiaTheme="minorEastAsia"/>
                <w:sz w:val="21"/>
                <w:szCs w:val="21"/>
                <w:highlight w:val="none"/>
                <w:vertAlign w:val="superscript"/>
                <w:lang w:val="zh-CN"/>
              </w:rPr>
              <w:t>-</w:t>
            </w:r>
          </w:p>
        </w:tc>
        <w:tc>
          <w:tcPr>
            <w:tcW w:w="584" w:type="pct"/>
            <w:vAlign w:val="center"/>
          </w:tcPr>
          <w:p w14:paraId="548F0417">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HCO</w:t>
            </w:r>
            <w:r>
              <w:rPr>
                <w:rFonts w:hint="default" w:eastAsiaTheme="minorEastAsia"/>
                <w:sz w:val="21"/>
                <w:szCs w:val="21"/>
                <w:highlight w:val="none"/>
                <w:vertAlign w:val="subscript"/>
                <w:lang w:val="zh-CN"/>
              </w:rPr>
              <w:t>3</w:t>
            </w:r>
            <w:r>
              <w:rPr>
                <w:rFonts w:hint="default" w:eastAsiaTheme="minorEastAsia"/>
                <w:sz w:val="21"/>
                <w:szCs w:val="21"/>
                <w:highlight w:val="none"/>
                <w:vertAlign w:val="superscript"/>
                <w:lang w:val="zh-CN"/>
              </w:rPr>
              <w:t>-</w:t>
            </w:r>
            <w:r>
              <w:rPr>
                <w:rFonts w:hint="default" w:eastAsiaTheme="minorEastAsia"/>
                <w:sz w:val="21"/>
                <w:szCs w:val="21"/>
                <w:highlight w:val="none"/>
                <w:lang w:val="zh-CN"/>
              </w:rPr>
              <w:t>-Cl</w:t>
            </w:r>
            <w:r>
              <w:rPr>
                <w:rFonts w:hint="default" w:eastAsiaTheme="minorEastAsia"/>
                <w:sz w:val="21"/>
                <w:szCs w:val="21"/>
                <w:highlight w:val="none"/>
                <w:vertAlign w:val="superscript"/>
                <w:lang w:val="zh-CN"/>
              </w:rPr>
              <w:t>-</w:t>
            </w:r>
          </w:p>
        </w:tc>
        <w:tc>
          <w:tcPr>
            <w:tcW w:w="542" w:type="pct"/>
            <w:vAlign w:val="center"/>
          </w:tcPr>
          <w:p w14:paraId="342C867C">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SO</w:t>
            </w:r>
            <w:r>
              <w:rPr>
                <w:rFonts w:hint="default" w:eastAsiaTheme="minorEastAsia"/>
                <w:sz w:val="21"/>
                <w:szCs w:val="21"/>
                <w:highlight w:val="none"/>
                <w:vertAlign w:val="subscript"/>
                <w:lang w:val="zh-CN"/>
              </w:rPr>
              <w:t>4</w:t>
            </w:r>
            <w:r>
              <w:rPr>
                <w:rFonts w:hint="default" w:eastAsiaTheme="minorEastAsia"/>
                <w:sz w:val="21"/>
                <w:szCs w:val="21"/>
                <w:highlight w:val="none"/>
                <w:vertAlign w:val="superscript"/>
                <w:lang w:val="zh-CN"/>
              </w:rPr>
              <w:t>2-</w:t>
            </w:r>
          </w:p>
        </w:tc>
        <w:tc>
          <w:tcPr>
            <w:tcW w:w="591" w:type="pct"/>
            <w:vAlign w:val="center"/>
          </w:tcPr>
          <w:p w14:paraId="21092A4A">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SO</w:t>
            </w:r>
            <w:r>
              <w:rPr>
                <w:rFonts w:hint="default" w:eastAsiaTheme="minorEastAsia"/>
                <w:sz w:val="21"/>
                <w:szCs w:val="21"/>
                <w:highlight w:val="none"/>
                <w:vertAlign w:val="subscript"/>
                <w:lang w:val="zh-CN"/>
              </w:rPr>
              <w:t>4</w:t>
            </w:r>
            <w:r>
              <w:rPr>
                <w:rFonts w:hint="default" w:eastAsiaTheme="minorEastAsia"/>
                <w:sz w:val="21"/>
                <w:szCs w:val="21"/>
                <w:highlight w:val="none"/>
                <w:vertAlign w:val="superscript"/>
                <w:lang w:val="zh-CN"/>
              </w:rPr>
              <w:t>2-</w:t>
            </w:r>
            <w:r>
              <w:rPr>
                <w:rFonts w:hint="default" w:eastAsiaTheme="minorEastAsia"/>
                <w:sz w:val="21"/>
                <w:szCs w:val="21"/>
                <w:highlight w:val="none"/>
                <w:lang w:val="zh-CN"/>
              </w:rPr>
              <w:t>-Cl</w:t>
            </w:r>
            <w:r>
              <w:rPr>
                <w:rFonts w:hint="default" w:eastAsiaTheme="minorEastAsia"/>
                <w:sz w:val="21"/>
                <w:szCs w:val="21"/>
                <w:highlight w:val="none"/>
                <w:vertAlign w:val="superscript"/>
                <w:lang w:val="zh-CN"/>
              </w:rPr>
              <w:t>-</w:t>
            </w:r>
          </w:p>
        </w:tc>
        <w:tc>
          <w:tcPr>
            <w:tcW w:w="590" w:type="pct"/>
            <w:vAlign w:val="center"/>
          </w:tcPr>
          <w:p w14:paraId="05A50DD7">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Cl</w:t>
            </w:r>
            <w:r>
              <w:rPr>
                <w:rFonts w:hint="default" w:eastAsiaTheme="minorEastAsia"/>
                <w:sz w:val="21"/>
                <w:szCs w:val="21"/>
                <w:highlight w:val="none"/>
                <w:vertAlign w:val="superscript"/>
                <w:lang w:val="zh-CN"/>
              </w:rPr>
              <w:t>-</w:t>
            </w:r>
          </w:p>
        </w:tc>
      </w:tr>
      <w:tr w14:paraId="7118CA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 w:hRule="atLeast"/>
        </w:trPr>
        <w:tc>
          <w:tcPr>
            <w:tcW w:w="886" w:type="pct"/>
            <w:vAlign w:val="center"/>
          </w:tcPr>
          <w:p w14:paraId="0F82F14F">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Ca</w:t>
            </w:r>
            <w:r>
              <w:rPr>
                <w:rFonts w:hint="default" w:eastAsiaTheme="minorEastAsia"/>
                <w:sz w:val="21"/>
                <w:szCs w:val="21"/>
                <w:highlight w:val="none"/>
                <w:vertAlign w:val="superscript"/>
                <w:lang w:val="zh-CN"/>
              </w:rPr>
              <w:t>2+</w:t>
            </w:r>
          </w:p>
        </w:tc>
        <w:tc>
          <w:tcPr>
            <w:tcW w:w="457" w:type="pct"/>
            <w:vAlign w:val="center"/>
          </w:tcPr>
          <w:p w14:paraId="22495799">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1</w:t>
            </w:r>
          </w:p>
        </w:tc>
        <w:tc>
          <w:tcPr>
            <w:tcW w:w="661" w:type="pct"/>
            <w:vAlign w:val="center"/>
          </w:tcPr>
          <w:p w14:paraId="25014BC3">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8</w:t>
            </w:r>
          </w:p>
        </w:tc>
        <w:tc>
          <w:tcPr>
            <w:tcW w:w="646" w:type="pct"/>
            <w:vAlign w:val="center"/>
          </w:tcPr>
          <w:p w14:paraId="35F7FCB9">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15</w:t>
            </w:r>
          </w:p>
        </w:tc>
        <w:tc>
          <w:tcPr>
            <w:tcW w:w="584" w:type="pct"/>
            <w:vAlign w:val="center"/>
          </w:tcPr>
          <w:p w14:paraId="37B30587">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22</w:t>
            </w:r>
          </w:p>
        </w:tc>
        <w:tc>
          <w:tcPr>
            <w:tcW w:w="542" w:type="pct"/>
            <w:vAlign w:val="center"/>
          </w:tcPr>
          <w:p w14:paraId="358E56B7">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29</w:t>
            </w:r>
          </w:p>
        </w:tc>
        <w:tc>
          <w:tcPr>
            <w:tcW w:w="591" w:type="pct"/>
            <w:vAlign w:val="center"/>
          </w:tcPr>
          <w:p w14:paraId="0FE17C8C">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36</w:t>
            </w:r>
          </w:p>
        </w:tc>
        <w:tc>
          <w:tcPr>
            <w:tcW w:w="590" w:type="pct"/>
            <w:vAlign w:val="center"/>
          </w:tcPr>
          <w:p w14:paraId="4845A5B1">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43</w:t>
            </w:r>
          </w:p>
        </w:tc>
      </w:tr>
      <w:tr w14:paraId="6F86D2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 w:hRule="atLeast"/>
        </w:trPr>
        <w:tc>
          <w:tcPr>
            <w:tcW w:w="886" w:type="pct"/>
            <w:vAlign w:val="center"/>
          </w:tcPr>
          <w:p w14:paraId="4FAF85A2">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Ca</w:t>
            </w:r>
            <w:r>
              <w:rPr>
                <w:rFonts w:hint="default" w:eastAsiaTheme="minorEastAsia"/>
                <w:sz w:val="21"/>
                <w:szCs w:val="21"/>
                <w:highlight w:val="none"/>
                <w:vertAlign w:val="superscript"/>
                <w:lang w:val="zh-CN"/>
              </w:rPr>
              <w:t>2+</w:t>
            </w:r>
            <w:r>
              <w:rPr>
                <w:rFonts w:hint="default" w:eastAsiaTheme="minorEastAsia"/>
                <w:sz w:val="21"/>
                <w:szCs w:val="21"/>
                <w:highlight w:val="none"/>
                <w:lang w:val="zh-CN"/>
              </w:rPr>
              <w:t>-Mg</w:t>
            </w:r>
            <w:r>
              <w:rPr>
                <w:rFonts w:hint="default" w:eastAsiaTheme="minorEastAsia"/>
                <w:sz w:val="21"/>
                <w:szCs w:val="21"/>
                <w:highlight w:val="none"/>
                <w:vertAlign w:val="superscript"/>
                <w:lang w:val="zh-CN"/>
              </w:rPr>
              <w:t>2+</w:t>
            </w:r>
          </w:p>
        </w:tc>
        <w:tc>
          <w:tcPr>
            <w:tcW w:w="457" w:type="pct"/>
            <w:vAlign w:val="center"/>
          </w:tcPr>
          <w:p w14:paraId="4BDE2783">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2</w:t>
            </w:r>
          </w:p>
        </w:tc>
        <w:tc>
          <w:tcPr>
            <w:tcW w:w="661" w:type="pct"/>
            <w:vAlign w:val="center"/>
          </w:tcPr>
          <w:p w14:paraId="73E4BABD">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9</w:t>
            </w:r>
          </w:p>
        </w:tc>
        <w:tc>
          <w:tcPr>
            <w:tcW w:w="646" w:type="pct"/>
            <w:vAlign w:val="center"/>
          </w:tcPr>
          <w:p w14:paraId="064BFFD2">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16</w:t>
            </w:r>
          </w:p>
        </w:tc>
        <w:tc>
          <w:tcPr>
            <w:tcW w:w="584" w:type="pct"/>
            <w:vAlign w:val="center"/>
          </w:tcPr>
          <w:p w14:paraId="029567D1">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23</w:t>
            </w:r>
          </w:p>
        </w:tc>
        <w:tc>
          <w:tcPr>
            <w:tcW w:w="542" w:type="pct"/>
            <w:vAlign w:val="center"/>
          </w:tcPr>
          <w:p w14:paraId="61175F6C">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30</w:t>
            </w:r>
          </w:p>
        </w:tc>
        <w:tc>
          <w:tcPr>
            <w:tcW w:w="591" w:type="pct"/>
            <w:vAlign w:val="center"/>
          </w:tcPr>
          <w:p w14:paraId="2B155E8A">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37</w:t>
            </w:r>
          </w:p>
        </w:tc>
        <w:tc>
          <w:tcPr>
            <w:tcW w:w="590" w:type="pct"/>
            <w:vAlign w:val="center"/>
          </w:tcPr>
          <w:p w14:paraId="72C70974">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44</w:t>
            </w:r>
          </w:p>
        </w:tc>
      </w:tr>
      <w:tr w14:paraId="50A81C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 w:hRule="atLeast"/>
        </w:trPr>
        <w:tc>
          <w:tcPr>
            <w:tcW w:w="886" w:type="pct"/>
            <w:vAlign w:val="center"/>
          </w:tcPr>
          <w:p w14:paraId="28650162">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Mg</w:t>
            </w:r>
            <w:r>
              <w:rPr>
                <w:rFonts w:hint="default" w:eastAsiaTheme="minorEastAsia"/>
                <w:sz w:val="21"/>
                <w:szCs w:val="21"/>
                <w:highlight w:val="none"/>
                <w:vertAlign w:val="superscript"/>
                <w:lang w:val="zh-CN"/>
              </w:rPr>
              <w:t>2+</w:t>
            </w:r>
          </w:p>
        </w:tc>
        <w:tc>
          <w:tcPr>
            <w:tcW w:w="457" w:type="pct"/>
            <w:vAlign w:val="center"/>
          </w:tcPr>
          <w:p w14:paraId="30E58590">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3</w:t>
            </w:r>
          </w:p>
        </w:tc>
        <w:tc>
          <w:tcPr>
            <w:tcW w:w="661" w:type="pct"/>
            <w:vAlign w:val="center"/>
          </w:tcPr>
          <w:p w14:paraId="3EB4ABB0">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10</w:t>
            </w:r>
          </w:p>
        </w:tc>
        <w:tc>
          <w:tcPr>
            <w:tcW w:w="646" w:type="pct"/>
            <w:vAlign w:val="center"/>
          </w:tcPr>
          <w:p w14:paraId="3FE7689A">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17</w:t>
            </w:r>
          </w:p>
        </w:tc>
        <w:tc>
          <w:tcPr>
            <w:tcW w:w="584" w:type="pct"/>
            <w:vAlign w:val="center"/>
          </w:tcPr>
          <w:p w14:paraId="71549D74">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24</w:t>
            </w:r>
          </w:p>
        </w:tc>
        <w:tc>
          <w:tcPr>
            <w:tcW w:w="542" w:type="pct"/>
            <w:vAlign w:val="center"/>
          </w:tcPr>
          <w:p w14:paraId="4585BE9D">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31</w:t>
            </w:r>
          </w:p>
        </w:tc>
        <w:tc>
          <w:tcPr>
            <w:tcW w:w="591" w:type="pct"/>
            <w:vAlign w:val="center"/>
          </w:tcPr>
          <w:p w14:paraId="6C9498BA">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38</w:t>
            </w:r>
          </w:p>
        </w:tc>
        <w:tc>
          <w:tcPr>
            <w:tcW w:w="590" w:type="pct"/>
            <w:vAlign w:val="center"/>
          </w:tcPr>
          <w:p w14:paraId="4C466E12">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45</w:t>
            </w:r>
          </w:p>
        </w:tc>
      </w:tr>
      <w:tr w14:paraId="489A75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 w:hRule="atLeast"/>
        </w:trPr>
        <w:tc>
          <w:tcPr>
            <w:tcW w:w="886" w:type="pct"/>
            <w:vAlign w:val="center"/>
          </w:tcPr>
          <w:p w14:paraId="0B0F848E">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Na</w:t>
            </w:r>
            <w:r>
              <w:rPr>
                <w:rFonts w:hint="default" w:eastAsiaTheme="minorEastAsia"/>
                <w:sz w:val="21"/>
                <w:szCs w:val="21"/>
                <w:highlight w:val="none"/>
                <w:vertAlign w:val="superscript"/>
                <w:lang w:val="zh-CN"/>
              </w:rPr>
              <w:t>+</w:t>
            </w:r>
            <w:r>
              <w:rPr>
                <w:rFonts w:hint="default" w:eastAsiaTheme="minorEastAsia"/>
                <w:sz w:val="21"/>
                <w:szCs w:val="21"/>
                <w:highlight w:val="none"/>
                <w:lang w:val="zh-CN"/>
              </w:rPr>
              <w:t>-Ca</w:t>
            </w:r>
            <w:r>
              <w:rPr>
                <w:rFonts w:hint="default" w:eastAsiaTheme="minorEastAsia"/>
                <w:sz w:val="21"/>
                <w:szCs w:val="21"/>
                <w:highlight w:val="none"/>
                <w:vertAlign w:val="superscript"/>
                <w:lang w:val="zh-CN"/>
              </w:rPr>
              <w:t>2+</w:t>
            </w:r>
          </w:p>
        </w:tc>
        <w:tc>
          <w:tcPr>
            <w:tcW w:w="457" w:type="pct"/>
            <w:vAlign w:val="center"/>
          </w:tcPr>
          <w:p w14:paraId="3500F2D2">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4</w:t>
            </w:r>
          </w:p>
        </w:tc>
        <w:tc>
          <w:tcPr>
            <w:tcW w:w="661" w:type="pct"/>
            <w:vAlign w:val="center"/>
          </w:tcPr>
          <w:p w14:paraId="487D68BF">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11</w:t>
            </w:r>
          </w:p>
        </w:tc>
        <w:tc>
          <w:tcPr>
            <w:tcW w:w="646" w:type="pct"/>
            <w:vAlign w:val="center"/>
          </w:tcPr>
          <w:p w14:paraId="09E25FCF">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18</w:t>
            </w:r>
          </w:p>
        </w:tc>
        <w:tc>
          <w:tcPr>
            <w:tcW w:w="584" w:type="pct"/>
            <w:vAlign w:val="center"/>
          </w:tcPr>
          <w:p w14:paraId="53179B12">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25</w:t>
            </w:r>
          </w:p>
        </w:tc>
        <w:tc>
          <w:tcPr>
            <w:tcW w:w="542" w:type="pct"/>
            <w:vAlign w:val="center"/>
          </w:tcPr>
          <w:p w14:paraId="072360D7">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32</w:t>
            </w:r>
          </w:p>
        </w:tc>
        <w:tc>
          <w:tcPr>
            <w:tcW w:w="591" w:type="pct"/>
            <w:vAlign w:val="center"/>
          </w:tcPr>
          <w:p w14:paraId="1E629A3E">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39</w:t>
            </w:r>
          </w:p>
        </w:tc>
        <w:tc>
          <w:tcPr>
            <w:tcW w:w="590" w:type="pct"/>
            <w:vAlign w:val="center"/>
          </w:tcPr>
          <w:p w14:paraId="2A65C229">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46</w:t>
            </w:r>
          </w:p>
        </w:tc>
      </w:tr>
      <w:tr w14:paraId="79949C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 w:hRule="atLeast"/>
        </w:trPr>
        <w:tc>
          <w:tcPr>
            <w:tcW w:w="886" w:type="pct"/>
            <w:vAlign w:val="center"/>
          </w:tcPr>
          <w:p w14:paraId="2D01CEA7">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Na</w:t>
            </w:r>
            <w:r>
              <w:rPr>
                <w:rFonts w:hint="default" w:eastAsiaTheme="minorEastAsia"/>
                <w:sz w:val="21"/>
                <w:szCs w:val="21"/>
                <w:highlight w:val="none"/>
                <w:vertAlign w:val="superscript"/>
                <w:lang w:val="zh-CN"/>
              </w:rPr>
              <w:t>+</w:t>
            </w:r>
            <w:r>
              <w:rPr>
                <w:rFonts w:hint="default" w:eastAsiaTheme="minorEastAsia"/>
                <w:sz w:val="21"/>
                <w:szCs w:val="21"/>
                <w:highlight w:val="none"/>
                <w:lang w:val="zh-CN"/>
              </w:rPr>
              <w:t>-Ca</w:t>
            </w:r>
            <w:r>
              <w:rPr>
                <w:rFonts w:hint="default" w:eastAsiaTheme="minorEastAsia"/>
                <w:sz w:val="21"/>
                <w:szCs w:val="21"/>
                <w:highlight w:val="none"/>
                <w:vertAlign w:val="superscript"/>
                <w:lang w:val="zh-CN"/>
              </w:rPr>
              <w:t>2+</w:t>
            </w:r>
            <w:r>
              <w:rPr>
                <w:rFonts w:hint="default" w:eastAsiaTheme="minorEastAsia"/>
                <w:sz w:val="21"/>
                <w:szCs w:val="21"/>
                <w:highlight w:val="none"/>
                <w:lang w:val="zh-CN"/>
              </w:rPr>
              <w:t>-Mg</w:t>
            </w:r>
            <w:r>
              <w:rPr>
                <w:rFonts w:hint="default" w:eastAsiaTheme="minorEastAsia"/>
                <w:sz w:val="21"/>
                <w:szCs w:val="21"/>
                <w:highlight w:val="none"/>
                <w:vertAlign w:val="superscript"/>
                <w:lang w:val="zh-CN"/>
              </w:rPr>
              <w:t>2+</w:t>
            </w:r>
          </w:p>
        </w:tc>
        <w:tc>
          <w:tcPr>
            <w:tcW w:w="457" w:type="pct"/>
            <w:vAlign w:val="center"/>
          </w:tcPr>
          <w:p w14:paraId="78A05F7C">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5</w:t>
            </w:r>
          </w:p>
        </w:tc>
        <w:tc>
          <w:tcPr>
            <w:tcW w:w="661" w:type="pct"/>
            <w:vAlign w:val="center"/>
          </w:tcPr>
          <w:p w14:paraId="3B8B1FB1">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12</w:t>
            </w:r>
          </w:p>
        </w:tc>
        <w:tc>
          <w:tcPr>
            <w:tcW w:w="646" w:type="pct"/>
            <w:vAlign w:val="center"/>
          </w:tcPr>
          <w:p w14:paraId="3B7825EF">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19</w:t>
            </w:r>
          </w:p>
        </w:tc>
        <w:tc>
          <w:tcPr>
            <w:tcW w:w="584" w:type="pct"/>
            <w:vAlign w:val="center"/>
          </w:tcPr>
          <w:p w14:paraId="668202CB">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26</w:t>
            </w:r>
          </w:p>
        </w:tc>
        <w:tc>
          <w:tcPr>
            <w:tcW w:w="542" w:type="pct"/>
            <w:vAlign w:val="center"/>
          </w:tcPr>
          <w:p w14:paraId="4FA24910">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33</w:t>
            </w:r>
          </w:p>
        </w:tc>
        <w:tc>
          <w:tcPr>
            <w:tcW w:w="591" w:type="pct"/>
            <w:vAlign w:val="center"/>
          </w:tcPr>
          <w:p w14:paraId="32E28CDE">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40</w:t>
            </w:r>
          </w:p>
        </w:tc>
        <w:tc>
          <w:tcPr>
            <w:tcW w:w="590" w:type="pct"/>
            <w:vAlign w:val="center"/>
          </w:tcPr>
          <w:p w14:paraId="6D3D7FB0">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47</w:t>
            </w:r>
          </w:p>
        </w:tc>
      </w:tr>
      <w:tr w14:paraId="47634B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 w:hRule="atLeast"/>
        </w:trPr>
        <w:tc>
          <w:tcPr>
            <w:tcW w:w="886" w:type="pct"/>
            <w:vAlign w:val="center"/>
          </w:tcPr>
          <w:p w14:paraId="77BC3906">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Na</w:t>
            </w:r>
            <w:r>
              <w:rPr>
                <w:rFonts w:hint="default" w:eastAsiaTheme="minorEastAsia"/>
                <w:sz w:val="21"/>
                <w:szCs w:val="21"/>
                <w:highlight w:val="none"/>
                <w:vertAlign w:val="superscript"/>
                <w:lang w:val="zh-CN"/>
              </w:rPr>
              <w:t>+</w:t>
            </w:r>
            <w:r>
              <w:rPr>
                <w:rFonts w:hint="default" w:eastAsiaTheme="minorEastAsia"/>
                <w:sz w:val="21"/>
                <w:szCs w:val="21"/>
                <w:highlight w:val="none"/>
                <w:lang w:val="zh-CN"/>
              </w:rPr>
              <w:t>-Mg</w:t>
            </w:r>
            <w:r>
              <w:rPr>
                <w:rFonts w:hint="default" w:eastAsiaTheme="minorEastAsia"/>
                <w:sz w:val="21"/>
                <w:szCs w:val="21"/>
                <w:highlight w:val="none"/>
                <w:vertAlign w:val="superscript"/>
                <w:lang w:val="zh-CN"/>
              </w:rPr>
              <w:t>2+</w:t>
            </w:r>
          </w:p>
        </w:tc>
        <w:tc>
          <w:tcPr>
            <w:tcW w:w="457" w:type="pct"/>
            <w:vAlign w:val="center"/>
          </w:tcPr>
          <w:p w14:paraId="7394809B">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6</w:t>
            </w:r>
          </w:p>
        </w:tc>
        <w:tc>
          <w:tcPr>
            <w:tcW w:w="661" w:type="pct"/>
            <w:vAlign w:val="center"/>
          </w:tcPr>
          <w:p w14:paraId="6511A08D">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13</w:t>
            </w:r>
          </w:p>
        </w:tc>
        <w:tc>
          <w:tcPr>
            <w:tcW w:w="646" w:type="pct"/>
            <w:vAlign w:val="center"/>
          </w:tcPr>
          <w:p w14:paraId="2A332C54">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20</w:t>
            </w:r>
          </w:p>
        </w:tc>
        <w:tc>
          <w:tcPr>
            <w:tcW w:w="584" w:type="pct"/>
            <w:vAlign w:val="center"/>
          </w:tcPr>
          <w:p w14:paraId="34FEB3C0">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27</w:t>
            </w:r>
          </w:p>
        </w:tc>
        <w:tc>
          <w:tcPr>
            <w:tcW w:w="542" w:type="pct"/>
            <w:vAlign w:val="center"/>
          </w:tcPr>
          <w:p w14:paraId="105C0910">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34</w:t>
            </w:r>
          </w:p>
        </w:tc>
        <w:tc>
          <w:tcPr>
            <w:tcW w:w="591" w:type="pct"/>
            <w:vAlign w:val="center"/>
          </w:tcPr>
          <w:p w14:paraId="31578DDE">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41</w:t>
            </w:r>
          </w:p>
        </w:tc>
        <w:tc>
          <w:tcPr>
            <w:tcW w:w="590" w:type="pct"/>
            <w:vAlign w:val="center"/>
          </w:tcPr>
          <w:p w14:paraId="063466EC">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48</w:t>
            </w:r>
          </w:p>
        </w:tc>
      </w:tr>
      <w:tr w14:paraId="05A85E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 w:hRule="atLeast"/>
        </w:trPr>
        <w:tc>
          <w:tcPr>
            <w:tcW w:w="886" w:type="pct"/>
            <w:vAlign w:val="center"/>
          </w:tcPr>
          <w:p w14:paraId="64264E48">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Na</w:t>
            </w:r>
            <w:r>
              <w:rPr>
                <w:rFonts w:hint="default" w:eastAsiaTheme="minorEastAsia"/>
                <w:sz w:val="21"/>
                <w:szCs w:val="21"/>
                <w:highlight w:val="none"/>
                <w:vertAlign w:val="superscript"/>
                <w:lang w:val="zh-CN"/>
              </w:rPr>
              <w:t>+</w:t>
            </w:r>
          </w:p>
        </w:tc>
        <w:tc>
          <w:tcPr>
            <w:tcW w:w="457" w:type="pct"/>
            <w:vAlign w:val="center"/>
          </w:tcPr>
          <w:p w14:paraId="1BBEC288">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7</w:t>
            </w:r>
          </w:p>
        </w:tc>
        <w:tc>
          <w:tcPr>
            <w:tcW w:w="661" w:type="pct"/>
            <w:vAlign w:val="center"/>
          </w:tcPr>
          <w:p w14:paraId="30C389E4">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14</w:t>
            </w:r>
          </w:p>
        </w:tc>
        <w:tc>
          <w:tcPr>
            <w:tcW w:w="646" w:type="pct"/>
            <w:vAlign w:val="center"/>
          </w:tcPr>
          <w:p w14:paraId="24E4FCEF">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21</w:t>
            </w:r>
          </w:p>
        </w:tc>
        <w:tc>
          <w:tcPr>
            <w:tcW w:w="584" w:type="pct"/>
            <w:vAlign w:val="center"/>
          </w:tcPr>
          <w:p w14:paraId="7EC4E411">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28</w:t>
            </w:r>
          </w:p>
        </w:tc>
        <w:tc>
          <w:tcPr>
            <w:tcW w:w="542" w:type="pct"/>
            <w:vAlign w:val="center"/>
          </w:tcPr>
          <w:p w14:paraId="3F42257E">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35</w:t>
            </w:r>
          </w:p>
        </w:tc>
        <w:tc>
          <w:tcPr>
            <w:tcW w:w="591" w:type="pct"/>
            <w:vAlign w:val="center"/>
          </w:tcPr>
          <w:p w14:paraId="1E0B60B3">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42</w:t>
            </w:r>
          </w:p>
        </w:tc>
        <w:tc>
          <w:tcPr>
            <w:tcW w:w="590" w:type="pct"/>
            <w:vAlign w:val="center"/>
          </w:tcPr>
          <w:p w14:paraId="3A304102">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zh-CN"/>
              </w:rPr>
            </w:pPr>
            <w:r>
              <w:rPr>
                <w:rFonts w:hint="default" w:eastAsiaTheme="minorEastAsia"/>
                <w:sz w:val="21"/>
                <w:szCs w:val="21"/>
                <w:highlight w:val="none"/>
                <w:lang w:val="zh-CN"/>
              </w:rPr>
              <w:t>49</w:t>
            </w:r>
          </w:p>
        </w:tc>
      </w:tr>
    </w:tbl>
    <w:p w14:paraId="14C864D4">
      <w:pPr>
        <w:bidi w:val="0"/>
        <w:rPr>
          <w:highlight w:val="none"/>
        </w:rPr>
      </w:pPr>
      <w:r>
        <w:rPr>
          <w:rFonts w:hAnsiTheme="minorEastAsia" w:eastAsiaTheme="minorEastAsia"/>
          <w:highlight w:val="none"/>
        </w:rPr>
        <w:t>第二步，对水文资</w:t>
      </w:r>
      <w:r>
        <w:rPr>
          <w:highlight w:val="none"/>
        </w:rPr>
        <w:t>料进行整理：</w:t>
      </w:r>
    </w:p>
    <w:p w14:paraId="2DDF1545">
      <w:pPr>
        <w:bidi w:val="0"/>
        <w:rPr>
          <w:highlight w:val="none"/>
        </w:rPr>
      </w:pPr>
      <w:r>
        <w:rPr>
          <w:highlight w:val="none"/>
        </w:rPr>
        <w:t>换算毫克/升为毫克当量/升及毫克当量百分数</w:t>
      </w:r>
    </w:p>
    <w:p w14:paraId="765A2701">
      <w:pPr>
        <w:bidi w:val="0"/>
        <w:rPr>
          <w:highlight w:val="none"/>
        </w:rPr>
      </w:pPr>
      <w:r>
        <w:rPr>
          <w:highlight w:val="none"/>
        </w:rPr>
        <w:t>按照化学原理，毫克数与毫克当量数的关系如下式：</w:t>
      </w:r>
    </w:p>
    <w:p w14:paraId="52F2605E">
      <w:pPr>
        <w:bidi w:val="0"/>
        <w:rPr>
          <w:highlight w:val="none"/>
        </w:rPr>
      </w:pPr>
      <w:r>
        <w:rPr>
          <w:highlight w:val="none"/>
        </w:rPr>
        <w:t>离子的毫克当量数=</w:t>
      </w:r>
      <m:oMath>
        <m:f>
          <m:fPr>
            <m:ctrlPr>
              <w:rPr>
                <w:rFonts w:ascii="Cambria Math" w:hAnsi="Cambria Math"/>
                <w:highlight w:val="none"/>
              </w:rPr>
            </m:ctrlPr>
          </m:fPr>
          <m:num>
            <m:r>
              <m:rPr>
                <m:sty m:val="p"/>
              </m:rPr>
              <w:rPr>
                <w:rFonts w:ascii="Cambria Math" w:hAnsi="Cambria Math"/>
                <w:highlight w:val="none"/>
              </w:rPr>
              <m:t>离子的毫克数</m:t>
            </m:r>
            <m:ctrlPr>
              <w:rPr>
                <w:rFonts w:ascii="Cambria Math" w:hAnsi="Cambria Math"/>
                <w:highlight w:val="none"/>
              </w:rPr>
            </m:ctrlPr>
          </m:num>
          <m:den>
            <m:r>
              <m:rPr>
                <m:sty m:val="p"/>
              </m:rPr>
              <w:rPr>
                <w:rFonts w:ascii="Cambria Math" w:hAnsi="Cambria Math"/>
                <w:highlight w:val="none"/>
              </w:rPr>
              <m:t>离子的当量</m:t>
            </m:r>
            <m:ctrlPr>
              <w:rPr>
                <w:rFonts w:ascii="Cambria Math" w:hAnsi="Cambria Math"/>
                <w:highlight w:val="none"/>
              </w:rPr>
            </m:ctrlPr>
          </m:den>
        </m:f>
      </m:oMath>
    </w:p>
    <w:p w14:paraId="56629D5A">
      <w:pPr>
        <w:bidi w:val="0"/>
        <w:rPr>
          <w:highlight w:val="none"/>
        </w:rPr>
      </w:pPr>
      <w:r>
        <w:rPr>
          <w:highlight w:val="none"/>
        </w:rPr>
        <w:t>某阴离子的毫克当量百分数=</w:t>
      </w:r>
      <m:oMath>
        <m:f>
          <m:fPr>
            <m:ctrlPr>
              <w:rPr>
                <w:rFonts w:ascii="Cambria Math" w:hAnsi="Cambria Math"/>
                <w:highlight w:val="none"/>
              </w:rPr>
            </m:ctrlPr>
          </m:fPr>
          <m:num>
            <m:r>
              <m:rPr>
                <m:sty m:val="p"/>
              </m:rPr>
              <w:rPr>
                <w:rFonts w:ascii="Cambria Math" w:hAnsi="Cambria Math"/>
                <w:highlight w:val="none"/>
              </w:rPr>
              <m:t>该离子毫克当量/升</m:t>
            </m:r>
            <m:ctrlPr>
              <w:rPr>
                <w:rFonts w:ascii="Cambria Math" w:hAnsi="Cambria Math"/>
                <w:highlight w:val="none"/>
              </w:rPr>
            </m:ctrlPr>
          </m:num>
          <m:den>
            <m:r>
              <m:rPr>
                <m:sty m:val="p"/>
              </m:rPr>
              <w:rPr>
                <w:rFonts w:ascii="Cambria Math" w:hAnsi="Cambria Math"/>
                <w:highlight w:val="none"/>
              </w:rPr>
              <m:t>阴离子毫克当量总数/升</m:t>
            </m:r>
            <m:ctrlPr>
              <w:rPr>
                <w:rFonts w:ascii="Cambria Math" w:hAnsi="Cambria Math"/>
                <w:highlight w:val="none"/>
              </w:rPr>
            </m:ctrlPr>
          </m:den>
        </m:f>
      </m:oMath>
      <w:r>
        <w:rPr>
          <w:highlight w:val="none"/>
        </w:rPr>
        <w:t>×100%</w:t>
      </w:r>
    </w:p>
    <w:p w14:paraId="13F608B8">
      <w:pPr>
        <w:bidi w:val="0"/>
        <w:rPr>
          <w:highlight w:val="none"/>
        </w:rPr>
      </w:pPr>
      <w:r>
        <w:rPr>
          <w:highlight w:val="none"/>
        </w:rPr>
        <w:t>第三步，按矿化度（M）的大小划分为4组。</w:t>
      </w:r>
    </w:p>
    <w:p w14:paraId="1469E304">
      <w:pPr>
        <w:bidi w:val="0"/>
        <w:rPr>
          <w:highlight w:val="none"/>
        </w:rPr>
      </w:pPr>
      <w:r>
        <w:rPr>
          <w:highlight w:val="none"/>
        </w:rPr>
        <w:t>A组——M≤1.5g/L；B组——1.5＜M≤10g/L；</w:t>
      </w:r>
    </w:p>
    <w:p w14:paraId="72B23685">
      <w:pPr>
        <w:bidi w:val="0"/>
        <w:rPr>
          <w:highlight w:val="none"/>
        </w:rPr>
      </w:pPr>
      <w:r>
        <w:rPr>
          <w:highlight w:val="none"/>
        </w:rPr>
        <w:t>C组——10＜M≤40g/L；D组——M＞40g/L。</w:t>
      </w:r>
    </w:p>
    <w:p w14:paraId="0A1333E9">
      <w:pPr>
        <w:bidi w:val="0"/>
        <w:rPr>
          <w:highlight w:val="none"/>
        </w:rPr>
      </w:pPr>
      <w:r>
        <w:rPr>
          <w:highlight w:val="none"/>
        </w:rPr>
        <w:t>矿化度的计算采用《用主要阴离子含量计算水的矿化度》（高仁先.山东省水利科学研究院），计算方法如下：</w:t>
      </w:r>
    </w:p>
    <w:p w14:paraId="29A5E5F3">
      <w:pPr>
        <w:bidi w:val="0"/>
        <w:rPr>
          <w:highlight w:val="none"/>
        </w:rPr>
      </w:pPr>
      <w:r>
        <w:rPr>
          <w:highlight w:val="none"/>
        </w:rPr>
        <w:t>矿化度（g/L）=C（∑A）×MS</w:t>
      </w:r>
    </w:p>
    <w:p w14:paraId="6F20EE91">
      <w:pPr>
        <w:bidi w:val="0"/>
        <w:rPr>
          <w:highlight w:val="none"/>
        </w:rPr>
      </w:pPr>
      <w:r>
        <w:rPr>
          <w:highlight w:val="none"/>
        </w:rPr>
        <w:t>SB=</w:t>
      </w:r>
      <m:oMath>
        <m:f>
          <m:fPr>
            <m:ctrlPr>
              <w:rPr>
                <w:rFonts w:ascii="Cambria Math" w:hAnsi="Cambria Math"/>
                <w:highlight w:val="none"/>
              </w:rPr>
            </m:ctrlPr>
          </m:fPr>
          <m:num>
            <m:r>
              <m:rPr>
                <m:sty m:val="p"/>
              </m:rPr>
              <w:rPr>
                <w:rFonts w:ascii="Cambria Math" w:hAnsi="Cambria Math"/>
                <w:highlight w:val="none"/>
              </w:rPr>
              <m:t>C（</m:t>
            </m:r>
            <m:f>
              <m:fPr>
                <m:type m:val="skw"/>
                <m:ctrlPr>
                  <w:rPr>
                    <w:rFonts w:ascii="Cambria Math" w:hAnsi="Cambria Math"/>
                    <w:highlight w:val="none"/>
                  </w:rPr>
                </m:ctrlPr>
              </m:fPr>
              <m:num>
                <m:r>
                  <m:rPr>
                    <m:sty m:val="p"/>
                  </m:rPr>
                  <w:rPr>
                    <w:rFonts w:ascii="Cambria Math" w:hAnsi="Cambria Math"/>
                    <w:highlight w:val="none"/>
                  </w:rPr>
                  <m:t>1</m:t>
                </m:r>
                <m:ctrlPr>
                  <w:rPr>
                    <w:rFonts w:ascii="Cambria Math" w:hAnsi="Cambria Math"/>
                    <w:highlight w:val="none"/>
                  </w:rPr>
                </m:ctrlPr>
              </m:num>
              <m:den>
                <m:r>
                  <m:rPr>
                    <m:sty m:val="p"/>
                  </m:rPr>
                  <w:rPr>
                    <w:rFonts w:ascii="Cambria Math" w:hAnsi="Cambria Math"/>
                    <w:highlight w:val="none"/>
                  </w:rPr>
                  <m:t>2</m:t>
                </m:r>
                <m:ctrlPr>
                  <w:rPr>
                    <w:rFonts w:ascii="Cambria Math" w:hAnsi="Cambria Math"/>
                    <w:highlight w:val="none"/>
                  </w:rPr>
                </m:ctrlPr>
              </m:den>
            </m:f>
            <m:sSubSup>
              <m:sSubSupPr>
                <m:ctrlPr>
                  <w:rPr>
                    <w:rFonts w:ascii="Cambria Math" w:hAnsi="Cambria Math"/>
                    <w:highlight w:val="none"/>
                  </w:rPr>
                </m:ctrlPr>
              </m:sSubSupPr>
              <m:e>
                <m:r>
                  <m:rPr>
                    <m:sty m:val="p"/>
                  </m:rPr>
                  <w:rPr>
                    <w:rFonts w:ascii="Cambria Math" w:hAnsi="Cambria Math"/>
                    <w:highlight w:val="none"/>
                  </w:rPr>
                  <m:t>SO</m:t>
                </m:r>
                <m:ctrlPr>
                  <w:rPr>
                    <w:rFonts w:ascii="Cambria Math" w:hAnsi="Cambria Math"/>
                    <w:highlight w:val="none"/>
                  </w:rPr>
                </m:ctrlPr>
              </m:e>
              <m:sub>
                <m:r>
                  <m:rPr>
                    <m:sty m:val="p"/>
                  </m:rPr>
                  <w:rPr>
                    <w:rFonts w:ascii="Cambria Math" w:hAnsi="Cambria Math"/>
                    <w:highlight w:val="none"/>
                  </w:rPr>
                  <m:t>4</m:t>
                </m:r>
                <m:ctrlPr>
                  <w:rPr>
                    <w:rFonts w:ascii="Cambria Math" w:hAnsi="Cambria Math"/>
                    <w:highlight w:val="none"/>
                  </w:rPr>
                </m:ctrlPr>
              </m:sub>
              <m:sup>
                <m:r>
                  <m:rPr>
                    <m:sty m:val="p"/>
                  </m:rPr>
                  <w:rPr>
                    <w:rFonts w:ascii="Cambria Math" w:hAnsi="Cambria Math"/>
                    <w:highlight w:val="none"/>
                  </w:rPr>
                  <m:t>2−</m:t>
                </m:r>
                <m:ctrlPr>
                  <w:rPr>
                    <w:rFonts w:ascii="Cambria Math" w:hAnsi="Cambria Math"/>
                    <w:highlight w:val="none"/>
                  </w:rPr>
                </m:ctrlPr>
              </m:sup>
            </m:sSubSup>
            <m:r>
              <m:rPr>
                <m:sty m:val="p"/>
              </m:rPr>
              <w:rPr>
                <w:rFonts w:ascii="Cambria Math" w:hAnsi="Cambria Math"/>
                <w:highlight w:val="none"/>
              </w:rPr>
              <m:t>）</m:t>
            </m:r>
            <m:ctrlPr>
              <w:rPr>
                <w:rFonts w:ascii="Cambria Math" w:hAnsi="Cambria Math"/>
                <w:highlight w:val="none"/>
              </w:rPr>
            </m:ctrlPr>
          </m:num>
          <m:den>
            <m:r>
              <m:rPr>
                <m:sty m:val="p"/>
              </m:rPr>
              <w:rPr>
                <w:rFonts w:ascii="Cambria Math" w:hAnsi="Cambria Math"/>
                <w:highlight w:val="none"/>
              </w:rPr>
              <m:t>C(∑A)</m:t>
            </m:r>
            <m:ctrlPr>
              <w:rPr>
                <w:rFonts w:ascii="Cambria Math" w:hAnsi="Cambria Math"/>
                <w:highlight w:val="none"/>
              </w:rPr>
            </m:ctrlPr>
          </m:den>
        </m:f>
      </m:oMath>
      <w:r>
        <w:rPr>
          <w:highlight w:val="none"/>
        </w:rPr>
        <w:t>或</w:t>
      </w:r>
      <m:oMath>
        <m:f>
          <m:fPr>
            <m:ctrlPr>
              <w:rPr>
                <w:rFonts w:ascii="Cambria Math" w:hAnsi="Cambria Math"/>
                <w:highlight w:val="none"/>
              </w:rPr>
            </m:ctrlPr>
          </m:fPr>
          <m:num>
            <m:r>
              <m:rPr>
                <m:sty m:val="p"/>
              </m:rPr>
              <w:rPr>
                <w:rFonts w:ascii="Cambria Math" w:hAnsi="Cambria Math"/>
                <w:highlight w:val="none"/>
              </w:rPr>
              <m:t>C</m:t>
            </m:r>
            <m:d>
              <m:dPr>
                <m:ctrlPr>
                  <w:rPr>
                    <w:rFonts w:ascii="Cambria Math" w:hAnsi="Cambria Math"/>
                    <w:highlight w:val="none"/>
                  </w:rPr>
                </m:ctrlPr>
              </m:dPr>
              <m:e>
                <m:r>
                  <m:rPr>
                    <m:sty m:val="p"/>
                  </m:rPr>
                  <w:rPr>
                    <w:rFonts w:ascii="Cambria Math" w:hAnsi="Cambria Math"/>
                    <w:highlight w:val="none"/>
                  </w:rPr>
                  <m:t>∑H</m:t>
                </m:r>
                <m:ctrlPr>
                  <w:rPr>
                    <w:rFonts w:ascii="Cambria Math" w:hAnsi="Cambria Math"/>
                    <w:highlight w:val="none"/>
                  </w:rPr>
                </m:ctrlPr>
              </m:e>
            </m:d>
            <m:r>
              <m:rPr>
                <m:sty m:val="p"/>
              </m:rPr>
              <w:rPr>
                <w:rFonts w:ascii="Cambria Math" w:hAnsi="Cambria Math"/>
                <w:highlight w:val="none"/>
              </w:rPr>
              <m:t>−C(</m:t>
            </m:r>
            <m:sSup>
              <m:sSupPr>
                <m:ctrlPr>
                  <w:rPr>
                    <w:rFonts w:ascii="Cambria Math" w:hAnsi="Cambria Math"/>
                    <w:highlight w:val="none"/>
                  </w:rPr>
                </m:ctrlPr>
              </m:sSupPr>
              <m:e>
                <m:r>
                  <m:rPr>
                    <m:sty m:val="p"/>
                  </m:rPr>
                  <w:rPr>
                    <w:rFonts w:ascii="Cambria Math" w:hAnsi="Cambria Math"/>
                    <w:highlight w:val="none"/>
                  </w:rPr>
                  <m:t>Cl</m:t>
                </m:r>
                <m:ctrlPr>
                  <w:rPr>
                    <w:rFonts w:ascii="Cambria Math" w:hAnsi="Cambria Math"/>
                    <w:highlight w:val="none"/>
                  </w:rPr>
                </m:ctrlPr>
              </m:e>
              <m:sup>
                <m:r>
                  <m:rPr>
                    <m:sty m:val="p"/>
                  </m:rPr>
                  <w:rPr>
                    <w:rFonts w:ascii="Cambria Math" w:hAnsi="Cambria Math"/>
                    <w:highlight w:val="none"/>
                  </w:rPr>
                  <m:t>−</m:t>
                </m:r>
                <m:ctrlPr>
                  <w:rPr>
                    <w:rFonts w:ascii="Cambria Math" w:hAnsi="Cambria Math"/>
                    <w:highlight w:val="none"/>
                  </w:rPr>
                </m:ctrlPr>
              </m:sup>
            </m:sSup>
            <m:r>
              <m:rPr>
                <m:sty m:val="p"/>
              </m:rPr>
              <w:rPr>
                <w:rFonts w:ascii="Cambria Math" w:hAnsi="Cambria Math"/>
                <w:highlight w:val="none"/>
              </w:rPr>
              <m:t>)</m:t>
            </m:r>
            <m:ctrlPr>
              <w:rPr>
                <w:rFonts w:ascii="Cambria Math" w:hAnsi="Cambria Math"/>
                <w:highlight w:val="none"/>
              </w:rPr>
            </m:ctrlPr>
          </m:num>
          <m:den>
            <m:r>
              <m:rPr>
                <m:sty m:val="p"/>
              </m:rPr>
              <w:rPr>
                <w:rFonts w:ascii="Cambria Math" w:hAnsi="Cambria Math"/>
                <w:highlight w:val="none"/>
              </w:rPr>
              <m:t>C(∑A)</m:t>
            </m:r>
            <m:ctrlPr>
              <w:rPr>
                <w:rFonts w:ascii="Cambria Math" w:hAnsi="Cambria Math"/>
                <w:highlight w:val="none"/>
              </w:rPr>
            </m:ctrlPr>
          </m:den>
        </m:f>
      </m:oMath>
    </w:p>
    <w:p w14:paraId="098A6762">
      <w:pPr>
        <w:bidi w:val="0"/>
        <w:rPr>
          <w:highlight w:val="none"/>
        </w:rPr>
      </w:pPr>
      <w:r>
        <w:rPr>
          <w:highlight w:val="none"/>
        </w:rPr>
        <w:t>HCB=</w:t>
      </w:r>
      <m:oMath>
        <m:f>
          <m:fPr>
            <m:ctrlPr>
              <w:rPr>
                <w:rFonts w:ascii="Cambria Math" w:hAnsi="Cambria Math"/>
                <w:highlight w:val="none"/>
              </w:rPr>
            </m:ctrlPr>
          </m:fPr>
          <m:num>
            <m:r>
              <m:rPr>
                <m:sty m:val="p"/>
              </m:rPr>
              <w:rPr>
                <w:rFonts w:ascii="Cambria Math" w:hAnsi="Cambria Math"/>
                <w:highlight w:val="none"/>
              </w:rPr>
              <m:t>C(</m:t>
            </m:r>
            <m:sSubSup>
              <m:sSubSupPr>
                <m:ctrlPr>
                  <w:rPr>
                    <w:rFonts w:ascii="Cambria Math" w:hAnsi="Cambria Math"/>
                    <w:highlight w:val="none"/>
                  </w:rPr>
                </m:ctrlPr>
              </m:sSubSupPr>
              <m:e>
                <m:r>
                  <m:rPr>
                    <m:sty m:val="p"/>
                  </m:rPr>
                  <w:rPr>
                    <w:rFonts w:ascii="Cambria Math" w:hAnsi="Cambria Math"/>
                    <w:highlight w:val="none"/>
                  </w:rPr>
                  <m:t>HCO</m:t>
                </m:r>
                <m:ctrlPr>
                  <w:rPr>
                    <w:rFonts w:ascii="Cambria Math" w:hAnsi="Cambria Math"/>
                    <w:highlight w:val="none"/>
                  </w:rPr>
                </m:ctrlPr>
              </m:e>
              <m:sub>
                <m:r>
                  <m:rPr>
                    <m:sty m:val="p"/>
                  </m:rPr>
                  <w:rPr>
                    <w:rFonts w:ascii="Cambria Math" w:hAnsi="Cambria Math"/>
                    <w:highlight w:val="none"/>
                  </w:rPr>
                  <m:t>3</m:t>
                </m:r>
                <m:ctrlPr>
                  <w:rPr>
                    <w:rFonts w:ascii="Cambria Math" w:hAnsi="Cambria Math"/>
                    <w:highlight w:val="none"/>
                  </w:rPr>
                </m:ctrlPr>
              </m:sub>
              <m:sup>
                <m:r>
                  <m:rPr>
                    <m:sty m:val="p"/>
                  </m:rPr>
                  <w:rPr>
                    <w:rFonts w:ascii="Cambria Math" w:hAnsi="Cambria Math"/>
                    <w:highlight w:val="none"/>
                  </w:rPr>
                  <m:t>−</m:t>
                </m:r>
                <m:ctrlPr>
                  <w:rPr>
                    <w:rFonts w:ascii="Cambria Math" w:hAnsi="Cambria Math"/>
                    <w:highlight w:val="none"/>
                  </w:rPr>
                </m:ctrlPr>
              </m:sup>
            </m:sSubSup>
            <m:r>
              <m:rPr>
                <m:sty m:val="p"/>
              </m:rPr>
              <w:rPr>
                <w:rFonts w:ascii="Cambria Math" w:hAnsi="Cambria Math"/>
                <w:highlight w:val="none"/>
              </w:rPr>
              <m:t>)</m:t>
            </m:r>
            <m:ctrlPr>
              <w:rPr>
                <w:rFonts w:ascii="Cambria Math" w:hAnsi="Cambria Math"/>
                <w:highlight w:val="none"/>
              </w:rPr>
            </m:ctrlPr>
          </m:num>
          <m:den>
            <m:r>
              <m:rPr>
                <m:sty m:val="p"/>
              </m:rPr>
              <w:rPr>
                <w:rFonts w:ascii="Cambria Math" w:hAnsi="Cambria Math"/>
                <w:highlight w:val="none"/>
              </w:rPr>
              <m:t>C</m:t>
            </m:r>
            <m:d>
              <m:dPr>
                <m:ctrlPr>
                  <w:rPr>
                    <w:rFonts w:ascii="Cambria Math" w:hAnsi="Cambria Math"/>
                    <w:highlight w:val="none"/>
                  </w:rPr>
                </m:ctrlPr>
              </m:dPr>
              <m:e>
                <m:f>
                  <m:fPr>
                    <m:type m:val="skw"/>
                    <m:ctrlPr>
                      <w:rPr>
                        <w:rFonts w:ascii="Cambria Math" w:hAnsi="Cambria Math"/>
                        <w:highlight w:val="none"/>
                      </w:rPr>
                    </m:ctrlPr>
                  </m:fPr>
                  <m:num>
                    <m:r>
                      <m:rPr>
                        <m:sty m:val="p"/>
                      </m:rPr>
                      <w:rPr>
                        <w:rFonts w:ascii="Cambria Math" w:hAnsi="Cambria Math"/>
                        <w:highlight w:val="none"/>
                      </w:rPr>
                      <m:t>1</m:t>
                    </m:r>
                    <m:ctrlPr>
                      <w:rPr>
                        <w:rFonts w:ascii="Cambria Math" w:hAnsi="Cambria Math"/>
                        <w:highlight w:val="none"/>
                      </w:rPr>
                    </m:ctrlPr>
                  </m:num>
                  <m:den>
                    <m:r>
                      <m:rPr>
                        <m:sty m:val="p"/>
                      </m:rPr>
                      <w:rPr>
                        <w:rFonts w:ascii="Cambria Math" w:hAnsi="Cambria Math"/>
                        <w:highlight w:val="none"/>
                      </w:rPr>
                      <m:t>2</m:t>
                    </m:r>
                    <m:ctrlPr>
                      <w:rPr>
                        <w:rFonts w:ascii="Cambria Math" w:hAnsi="Cambria Math"/>
                        <w:highlight w:val="none"/>
                      </w:rPr>
                    </m:ctrlPr>
                  </m:den>
                </m:f>
                <m:sSubSup>
                  <m:sSubSupPr>
                    <m:ctrlPr>
                      <w:rPr>
                        <w:rFonts w:ascii="Cambria Math" w:hAnsi="Cambria Math"/>
                        <w:highlight w:val="none"/>
                      </w:rPr>
                    </m:ctrlPr>
                  </m:sSubSupPr>
                  <m:e>
                    <m:r>
                      <m:rPr>
                        <m:sty m:val="p"/>
                      </m:rPr>
                      <w:rPr>
                        <w:rFonts w:ascii="Cambria Math" w:hAnsi="Cambria Math"/>
                        <w:highlight w:val="none"/>
                      </w:rPr>
                      <m:t>CO</m:t>
                    </m:r>
                    <m:ctrlPr>
                      <w:rPr>
                        <w:rFonts w:ascii="Cambria Math" w:hAnsi="Cambria Math"/>
                        <w:highlight w:val="none"/>
                      </w:rPr>
                    </m:ctrlPr>
                  </m:e>
                  <m:sub>
                    <m:r>
                      <m:rPr>
                        <m:sty m:val="p"/>
                      </m:rPr>
                      <w:rPr>
                        <w:rFonts w:ascii="Cambria Math" w:hAnsi="Cambria Math"/>
                        <w:highlight w:val="none"/>
                      </w:rPr>
                      <m:t>3</m:t>
                    </m:r>
                    <m:ctrlPr>
                      <w:rPr>
                        <w:rFonts w:ascii="Cambria Math" w:hAnsi="Cambria Math"/>
                        <w:highlight w:val="none"/>
                      </w:rPr>
                    </m:ctrlPr>
                  </m:sub>
                  <m:sup>
                    <m:r>
                      <m:rPr>
                        <m:sty m:val="p"/>
                      </m:rPr>
                      <w:rPr>
                        <w:rFonts w:ascii="Cambria Math" w:hAnsi="Cambria Math"/>
                        <w:highlight w:val="none"/>
                      </w:rPr>
                      <m:t>2−</m:t>
                    </m:r>
                    <m:ctrlPr>
                      <w:rPr>
                        <w:rFonts w:ascii="Cambria Math" w:hAnsi="Cambria Math"/>
                        <w:highlight w:val="none"/>
                      </w:rPr>
                    </m:ctrlPr>
                  </m:sup>
                </m:sSubSup>
                <m:ctrlPr>
                  <w:rPr>
                    <w:rFonts w:ascii="Cambria Math" w:hAnsi="Cambria Math"/>
                    <w:highlight w:val="none"/>
                  </w:rPr>
                </m:ctrlPr>
              </m:e>
            </m:d>
            <m:r>
              <m:rPr>
                <m:sty m:val="p"/>
              </m:rPr>
              <w:rPr>
                <w:rFonts w:ascii="Cambria Math" w:hAnsi="Cambria Math"/>
                <w:highlight w:val="none"/>
              </w:rPr>
              <m:t>+C(</m:t>
            </m:r>
            <m:sSup>
              <m:sSupPr>
                <m:ctrlPr>
                  <w:rPr>
                    <w:rFonts w:ascii="Cambria Math" w:hAnsi="Cambria Math"/>
                    <w:highlight w:val="none"/>
                  </w:rPr>
                </m:ctrlPr>
              </m:sSupPr>
              <m:e>
                <m:r>
                  <m:rPr>
                    <m:sty m:val="p"/>
                  </m:rPr>
                  <w:rPr>
                    <w:rFonts w:ascii="Cambria Math" w:hAnsi="Cambria Math"/>
                    <w:highlight w:val="none"/>
                  </w:rPr>
                  <m:t>Cl</m:t>
                </m:r>
                <m:ctrlPr>
                  <w:rPr>
                    <w:rFonts w:ascii="Cambria Math" w:hAnsi="Cambria Math"/>
                    <w:highlight w:val="none"/>
                  </w:rPr>
                </m:ctrlPr>
              </m:e>
              <m:sup>
                <m:r>
                  <m:rPr>
                    <m:sty m:val="p"/>
                  </m:rPr>
                  <w:rPr>
                    <w:rFonts w:ascii="Cambria Math" w:hAnsi="Cambria Math"/>
                    <w:highlight w:val="none"/>
                  </w:rPr>
                  <m:t>−</m:t>
                </m:r>
                <m:ctrlPr>
                  <w:rPr>
                    <w:rFonts w:ascii="Cambria Math" w:hAnsi="Cambria Math"/>
                    <w:highlight w:val="none"/>
                  </w:rPr>
                </m:ctrlPr>
              </m:sup>
            </m:sSup>
            <m:r>
              <m:rPr>
                <m:sty m:val="p"/>
              </m:rPr>
              <w:rPr>
                <w:rFonts w:ascii="Cambria Math" w:hAnsi="Cambria Math"/>
                <w:highlight w:val="none"/>
              </w:rPr>
              <m:t>)</m:t>
            </m:r>
            <m:ctrlPr>
              <w:rPr>
                <w:rFonts w:ascii="Cambria Math" w:hAnsi="Cambria Math"/>
                <w:highlight w:val="none"/>
              </w:rPr>
            </m:ctrlPr>
          </m:den>
        </m:f>
      </m:oMath>
    </w:p>
    <w:p w14:paraId="695866C5">
      <w:pPr>
        <w:bidi w:val="0"/>
        <w:rPr>
          <w:rFonts w:eastAsiaTheme="minorEastAsia"/>
          <w:highlight w:val="none"/>
        </w:rPr>
      </w:pPr>
      <w:r>
        <w:rPr>
          <w:highlight w:val="none"/>
        </w:rPr>
        <w:t>注：Ms是在计算出SB值和H</w:t>
      </w:r>
      <w:r>
        <w:rPr>
          <w:rFonts w:eastAsiaTheme="minorEastAsia"/>
          <w:highlight w:val="none"/>
        </w:rPr>
        <w:t>CB</w:t>
      </w:r>
      <w:r>
        <w:rPr>
          <w:rFonts w:hAnsiTheme="minorEastAsia" w:eastAsiaTheme="minorEastAsia"/>
          <w:highlight w:val="none"/>
        </w:rPr>
        <w:t>值后查</w:t>
      </w:r>
      <w:r>
        <w:rPr>
          <w:rFonts w:hint="eastAsia" w:hAnsiTheme="minorEastAsia" w:eastAsiaTheme="minorEastAsia"/>
          <w:highlight w:val="none"/>
          <w:lang w:val="en-US" w:eastAsia="zh-CN"/>
        </w:rPr>
        <w:t>下</w:t>
      </w:r>
      <w:r>
        <w:rPr>
          <w:rFonts w:hAnsiTheme="minorEastAsia" w:eastAsiaTheme="minorEastAsia"/>
          <w:highlight w:val="none"/>
        </w:rPr>
        <w:t>表中查得。</w:t>
      </w:r>
    </w:p>
    <w:p w14:paraId="6F158462">
      <w:pPr>
        <w:spacing w:line="360" w:lineRule="auto"/>
        <w:jc w:val="center"/>
        <w:rPr>
          <w:rFonts w:hAnsiTheme="minorEastAsia" w:eastAsiaTheme="minorEastAsia"/>
          <w:b/>
          <w:sz w:val="24"/>
          <w:highlight w:val="none"/>
        </w:rPr>
      </w:pPr>
    </w:p>
    <w:p w14:paraId="58DB6934">
      <w:pPr>
        <w:spacing w:line="360" w:lineRule="auto"/>
        <w:jc w:val="center"/>
        <w:rPr>
          <w:rFonts w:hAnsiTheme="minorEastAsia" w:eastAsiaTheme="minorEastAsia"/>
          <w:b/>
          <w:sz w:val="24"/>
          <w:highlight w:val="none"/>
        </w:rPr>
      </w:pPr>
    </w:p>
    <w:p w14:paraId="571254B9">
      <w:pPr>
        <w:spacing w:line="360" w:lineRule="auto"/>
        <w:jc w:val="center"/>
        <w:rPr>
          <w:rFonts w:hAnsiTheme="minorEastAsia" w:eastAsiaTheme="minorEastAsia"/>
          <w:b/>
          <w:sz w:val="24"/>
          <w:highlight w:val="none"/>
        </w:rPr>
      </w:pPr>
    </w:p>
    <w:p w14:paraId="3CC8AC05">
      <w:pPr>
        <w:spacing w:line="360" w:lineRule="auto"/>
        <w:jc w:val="center"/>
        <w:rPr>
          <w:rFonts w:hAnsiTheme="minorEastAsia" w:eastAsiaTheme="minorEastAsia"/>
          <w:b/>
          <w:sz w:val="24"/>
          <w:highlight w:val="none"/>
        </w:rPr>
      </w:pPr>
    </w:p>
    <w:p w14:paraId="6BCFF624">
      <w:pPr>
        <w:spacing w:line="360" w:lineRule="auto"/>
        <w:jc w:val="center"/>
        <w:rPr>
          <w:rFonts w:hAnsiTheme="minorEastAsia" w:eastAsiaTheme="minorEastAsia"/>
          <w:b/>
          <w:sz w:val="24"/>
          <w:highlight w:val="none"/>
        </w:rPr>
      </w:pPr>
    </w:p>
    <w:p w14:paraId="72DC8931">
      <w:pPr>
        <w:spacing w:line="360" w:lineRule="auto"/>
        <w:jc w:val="center"/>
        <w:rPr>
          <w:rFonts w:hAnsiTheme="minorEastAsia" w:eastAsiaTheme="minorEastAsia"/>
          <w:b/>
          <w:sz w:val="24"/>
          <w:highlight w:val="none"/>
        </w:rPr>
      </w:pPr>
    </w:p>
    <w:p w14:paraId="1A18274F">
      <w:pPr>
        <w:spacing w:line="360" w:lineRule="auto"/>
        <w:jc w:val="center"/>
        <w:rPr>
          <w:rFonts w:eastAsiaTheme="minorEastAsia"/>
          <w:sz w:val="24"/>
          <w:highlight w:val="none"/>
        </w:rPr>
      </w:pPr>
      <w:r>
        <w:rPr>
          <w:rFonts w:hAnsiTheme="minorEastAsia" w:eastAsiaTheme="minorEastAsia"/>
          <w:b/>
          <w:sz w:val="24"/>
          <w:highlight w:val="none"/>
        </w:rPr>
        <w:t>表</w:t>
      </w:r>
      <w:r>
        <w:rPr>
          <w:rFonts w:eastAsiaTheme="minorEastAsia"/>
          <w:b/>
          <w:sz w:val="24"/>
          <w:highlight w:val="none"/>
        </w:rPr>
        <w:t>4-2-</w:t>
      </w:r>
      <w:r>
        <w:rPr>
          <w:rFonts w:hint="eastAsia" w:eastAsiaTheme="minorEastAsia"/>
          <w:b/>
          <w:sz w:val="24"/>
          <w:highlight w:val="none"/>
          <w:lang w:val="en-US" w:eastAsia="zh-CN"/>
        </w:rPr>
        <w:t>9</w:t>
      </w:r>
      <w:r>
        <w:rPr>
          <w:rFonts w:eastAsiaTheme="minorEastAsia"/>
          <w:b/>
          <w:sz w:val="24"/>
          <w:highlight w:val="none"/>
        </w:rPr>
        <w:t>SB</w:t>
      </w:r>
      <w:r>
        <w:rPr>
          <w:rFonts w:hAnsiTheme="minorEastAsia" w:eastAsiaTheme="minorEastAsia"/>
          <w:b/>
          <w:sz w:val="24"/>
          <w:highlight w:val="none"/>
        </w:rPr>
        <w:t>、</w:t>
      </w:r>
      <w:r>
        <w:rPr>
          <w:rFonts w:eastAsiaTheme="minorEastAsia"/>
          <w:b/>
          <w:sz w:val="24"/>
          <w:highlight w:val="none"/>
        </w:rPr>
        <w:t>HCB</w:t>
      </w:r>
      <w:r>
        <w:rPr>
          <w:rFonts w:hAnsiTheme="minorEastAsia" w:eastAsiaTheme="minorEastAsia"/>
          <w:b/>
          <w:sz w:val="24"/>
          <w:highlight w:val="none"/>
        </w:rPr>
        <w:t>、</w:t>
      </w:r>
      <w:r>
        <w:rPr>
          <w:rFonts w:eastAsiaTheme="minorEastAsia"/>
          <w:b/>
          <w:sz w:val="24"/>
          <w:highlight w:val="none"/>
        </w:rPr>
        <w:t>Ms</w:t>
      </w:r>
      <w:r>
        <w:rPr>
          <w:rFonts w:hAnsiTheme="minorEastAsia" w:eastAsiaTheme="minorEastAsia"/>
          <w:b/>
          <w:sz w:val="24"/>
          <w:highlight w:val="none"/>
        </w:rPr>
        <w:t>关系表</w:t>
      </w:r>
    </w:p>
    <w:p w14:paraId="1ACC16F2">
      <w:pPr>
        <w:spacing w:line="360" w:lineRule="auto"/>
        <w:jc w:val="center"/>
        <w:rPr>
          <w:rFonts w:eastAsiaTheme="minorEastAsia"/>
          <w:highlight w:val="none"/>
        </w:rPr>
      </w:pPr>
      <w:r>
        <w:rPr>
          <w:rFonts w:eastAsiaTheme="minorEastAsia"/>
          <w:highlight w:val="none"/>
        </w:rPr>
        <w:drawing>
          <wp:inline distT="0" distB="0" distL="0" distR="0">
            <wp:extent cx="4728210" cy="3213735"/>
            <wp:effectExtent l="19050" t="0" r="0" b="0"/>
            <wp:docPr id="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pic:cNvPicPr>
                      <a:picLocks noChangeAspect="1" noChangeArrowheads="1"/>
                    </pic:cNvPicPr>
                  </pic:nvPicPr>
                  <pic:blipFill>
                    <a:blip r:embed="rId71" cstate="print"/>
                    <a:srcRect/>
                    <a:stretch>
                      <a:fillRect/>
                    </a:stretch>
                  </pic:blipFill>
                  <pic:spPr>
                    <a:xfrm>
                      <a:off x="0" y="0"/>
                      <a:ext cx="4745269" cy="3225509"/>
                    </a:xfrm>
                    <a:prstGeom prst="rect">
                      <a:avLst/>
                    </a:prstGeom>
                    <a:noFill/>
                    <a:ln w="9525">
                      <a:noFill/>
                      <a:miter lim="800000"/>
                      <a:headEnd/>
                      <a:tailEnd/>
                    </a:ln>
                  </pic:spPr>
                </pic:pic>
              </a:graphicData>
            </a:graphic>
          </wp:inline>
        </w:drawing>
      </w:r>
    </w:p>
    <w:p w14:paraId="2D8BF8D6">
      <w:pPr>
        <w:spacing w:line="360" w:lineRule="auto"/>
        <w:ind w:firstLine="480" w:firstLineChars="200"/>
        <w:rPr>
          <w:rFonts w:hint="eastAsia" w:eastAsiaTheme="minorEastAsia"/>
          <w:sz w:val="24"/>
          <w:highlight w:val="none"/>
          <w:lang w:eastAsia="zh-CN"/>
        </w:rPr>
      </w:pPr>
      <w:r>
        <w:rPr>
          <w:rFonts w:hAnsiTheme="minorEastAsia" w:eastAsiaTheme="minorEastAsia"/>
          <w:sz w:val="24"/>
          <w:highlight w:val="none"/>
        </w:rPr>
        <w:t>第四步，将地下水化学类型用阿拉伯数字（</w:t>
      </w:r>
      <w:r>
        <w:rPr>
          <w:rFonts w:eastAsiaTheme="minorEastAsia"/>
          <w:sz w:val="24"/>
          <w:highlight w:val="none"/>
        </w:rPr>
        <w:t>1</w:t>
      </w:r>
      <w:r>
        <w:rPr>
          <w:rFonts w:hAnsiTheme="minorEastAsia" w:eastAsiaTheme="minorEastAsia"/>
          <w:sz w:val="24"/>
          <w:highlight w:val="none"/>
        </w:rPr>
        <w:t>～</w:t>
      </w:r>
      <w:r>
        <w:rPr>
          <w:rFonts w:eastAsiaTheme="minorEastAsia"/>
          <w:sz w:val="24"/>
          <w:highlight w:val="none"/>
        </w:rPr>
        <w:t>49</w:t>
      </w:r>
      <w:r>
        <w:rPr>
          <w:rFonts w:hAnsiTheme="minorEastAsia" w:eastAsiaTheme="minorEastAsia"/>
          <w:sz w:val="24"/>
          <w:highlight w:val="none"/>
        </w:rPr>
        <w:t>）与字母（</w:t>
      </w:r>
      <w:r>
        <w:rPr>
          <w:rFonts w:eastAsiaTheme="minorEastAsia"/>
          <w:sz w:val="24"/>
          <w:highlight w:val="none"/>
        </w:rPr>
        <w:t>A</w:t>
      </w:r>
      <w:r>
        <w:rPr>
          <w:rFonts w:hAnsiTheme="minorEastAsia" w:eastAsiaTheme="minorEastAsia"/>
          <w:sz w:val="24"/>
          <w:highlight w:val="none"/>
        </w:rPr>
        <w:t>、</w:t>
      </w:r>
      <w:r>
        <w:rPr>
          <w:rFonts w:eastAsiaTheme="minorEastAsia"/>
          <w:sz w:val="24"/>
          <w:highlight w:val="none"/>
        </w:rPr>
        <w:t>B</w:t>
      </w:r>
      <w:r>
        <w:rPr>
          <w:rFonts w:hAnsiTheme="minorEastAsia" w:eastAsiaTheme="minorEastAsia"/>
          <w:sz w:val="24"/>
          <w:highlight w:val="none"/>
        </w:rPr>
        <w:t>、</w:t>
      </w:r>
      <w:r>
        <w:rPr>
          <w:rFonts w:eastAsiaTheme="minorEastAsia"/>
          <w:sz w:val="24"/>
          <w:highlight w:val="none"/>
        </w:rPr>
        <w:t>C</w:t>
      </w:r>
      <w:r>
        <w:rPr>
          <w:rFonts w:hAnsiTheme="minorEastAsia" w:eastAsiaTheme="minorEastAsia"/>
          <w:sz w:val="24"/>
          <w:highlight w:val="none"/>
        </w:rPr>
        <w:t>或</w:t>
      </w:r>
      <w:r>
        <w:rPr>
          <w:rFonts w:eastAsiaTheme="minorEastAsia"/>
          <w:sz w:val="24"/>
          <w:highlight w:val="none"/>
        </w:rPr>
        <w:t>D</w:t>
      </w:r>
      <w:r>
        <w:rPr>
          <w:rFonts w:hAnsiTheme="minorEastAsia" w:eastAsiaTheme="minorEastAsia"/>
          <w:sz w:val="24"/>
          <w:highlight w:val="none"/>
        </w:rPr>
        <w:t>）组合在一起的表达式表示</w:t>
      </w:r>
      <w:r>
        <w:rPr>
          <w:rFonts w:hint="eastAsia" w:hAnsiTheme="minorEastAsia" w:eastAsiaTheme="minorEastAsia"/>
          <w:sz w:val="24"/>
          <w:highlight w:val="none"/>
          <w:lang w:eastAsia="zh-CN"/>
        </w:rPr>
        <w:t>。</w:t>
      </w:r>
    </w:p>
    <w:p w14:paraId="4F58E794">
      <w:pPr>
        <w:spacing w:line="360" w:lineRule="auto"/>
        <w:ind w:firstLine="480" w:firstLineChars="200"/>
        <w:rPr>
          <w:rFonts w:eastAsiaTheme="minorEastAsia"/>
          <w:sz w:val="24"/>
          <w:highlight w:val="none"/>
        </w:rPr>
      </w:pPr>
      <w:r>
        <w:rPr>
          <w:rFonts w:hAnsiTheme="minorEastAsia" w:eastAsiaTheme="minorEastAsia"/>
          <w:sz w:val="24"/>
          <w:highlight w:val="none"/>
        </w:rPr>
        <w:t>本次监测换算结果见</w:t>
      </w:r>
      <w:r>
        <w:rPr>
          <w:rFonts w:hint="eastAsia" w:hAnsiTheme="minorEastAsia" w:eastAsiaTheme="minorEastAsia"/>
          <w:sz w:val="24"/>
          <w:highlight w:val="none"/>
          <w:lang w:val="en-US" w:eastAsia="zh-CN"/>
        </w:rPr>
        <w:t>下表</w:t>
      </w:r>
      <w:r>
        <w:rPr>
          <w:rFonts w:hAnsiTheme="minorEastAsia" w:eastAsiaTheme="minorEastAsia"/>
          <w:sz w:val="24"/>
          <w:highlight w:val="none"/>
        </w:rPr>
        <w:t>。</w:t>
      </w:r>
    </w:p>
    <w:p w14:paraId="7C92184C">
      <w:pPr>
        <w:pStyle w:val="7"/>
        <w:bidi w:val="0"/>
        <w:rPr>
          <w:highlight w:val="none"/>
        </w:rPr>
      </w:pPr>
      <w:r>
        <w:rPr>
          <w:highlight w:val="none"/>
        </w:rPr>
        <w:t>表4-2-</w:t>
      </w:r>
      <w:r>
        <w:rPr>
          <w:rFonts w:hint="eastAsia"/>
          <w:highlight w:val="none"/>
          <w:lang w:val="en-US" w:eastAsia="zh-CN"/>
        </w:rPr>
        <w:t>10</w:t>
      </w:r>
      <w:r>
        <w:rPr>
          <w:highlight w:val="none"/>
        </w:rPr>
        <w:t>八大离子的检测结果统计表</w:t>
      </w:r>
    </w:p>
    <w:tbl>
      <w:tblPr>
        <w:tblStyle w:val="46"/>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63"/>
        <w:gridCol w:w="1726"/>
        <w:gridCol w:w="1701"/>
        <w:gridCol w:w="1715"/>
        <w:gridCol w:w="1717"/>
      </w:tblGrid>
      <w:tr w14:paraId="0882C1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3389" w:type="dxa"/>
            <w:gridSpan w:val="2"/>
            <w:vAlign w:val="center"/>
          </w:tcPr>
          <w:p w14:paraId="7C94363E">
            <w:pPr>
              <w:pStyle w:val="8"/>
              <w:suppressLineNumbers w:val="0"/>
              <w:bidi w:val="0"/>
              <w:spacing w:before="0" w:beforeAutospacing="0" w:after="0" w:afterAutospacing="0"/>
              <w:ind w:left="0" w:right="0"/>
              <w:rPr>
                <w:rFonts w:hint="default"/>
                <w:highlight w:val="none"/>
              </w:rPr>
            </w:pPr>
            <w:r>
              <w:rPr>
                <w:rFonts w:hint="default"/>
                <w:highlight w:val="none"/>
              </w:rPr>
              <w:t>1#井</w:t>
            </w:r>
          </w:p>
        </w:tc>
        <w:tc>
          <w:tcPr>
            <w:tcW w:w="1701" w:type="dxa"/>
            <w:vAlign w:val="center"/>
          </w:tcPr>
          <w:p w14:paraId="212B14B6">
            <w:pPr>
              <w:pStyle w:val="8"/>
              <w:suppressLineNumbers w:val="0"/>
              <w:bidi w:val="0"/>
              <w:spacing w:before="0" w:beforeAutospacing="0" w:after="0" w:afterAutospacing="0"/>
              <w:ind w:left="0" w:right="0"/>
              <w:rPr>
                <w:rFonts w:hint="default"/>
                <w:highlight w:val="none"/>
              </w:rPr>
            </w:pPr>
            <w:r>
              <w:rPr>
                <w:rFonts w:hint="default"/>
                <w:highlight w:val="none"/>
              </w:rPr>
              <w:t>mg/L</w:t>
            </w:r>
          </w:p>
        </w:tc>
        <w:tc>
          <w:tcPr>
            <w:tcW w:w="1715" w:type="dxa"/>
            <w:vAlign w:val="center"/>
          </w:tcPr>
          <w:p w14:paraId="0E87CCD3">
            <w:pPr>
              <w:pStyle w:val="8"/>
              <w:suppressLineNumbers w:val="0"/>
              <w:bidi w:val="0"/>
              <w:spacing w:before="0" w:beforeAutospacing="0" w:after="0" w:afterAutospacing="0"/>
              <w:ind w:left="0" w:right="0"/>
              <w:rPr>
                <w:rFonts w:hint="default"/>
                <w:highlight w:val="none"/>
              </w:rPr>
            </w:pPr>
            <w:r>
              <w:rPr>
                <w:rFonts w:hint="default"/>
                <w:highlight w:val="none"/>
              </w:rPr>
              <w:t>meq/L</w:t>
            </w:r>
          </w:p>
        </w:tc>
        <w:tc>
          <w:tcPr>
            <w:tcW w:w="1717" w:type="dxa"/>
            <w:vAlign w:val="center"/>
          </w:tcPr>
          <w:p w14:paraId="78B597FD">
            <w:pPr>
              <w:pStyle w:val="8"/>
              <w:suppressLineNumbers w:val="0"/>
              <w:bidi w:val="0"/>
              <w:spacing w:before="0" w:beforeAutospacing="0" w:after="0" w:afterAutospacing="0"/>
              <w:ind w:left="0" w:right="0"/>
              <w:rPr>
                <w:rFonts w:hint="default"/>
                <w:highlight w:val="none"/>
              </w:rPr>
            </w:pPr>
            <w:r>
              <w:rPr>
                <w:rFonts w:hint="default"/>
                <w:highlight w:val="none"/>
              </w:rPr>
              <w:t>meq%</w:t>
            </w:r>
          </w:p>
        </w:tc>
      </w:tr>
      <w:tr w14:paraId="010DF6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663" w:type="dxa"/>
            <w:vMerge w:val="restart"/>
            <w:vAlign w:val="center"/>
          </w:tcPr>
          <w:p w14:paraId="0026CA65">
            <w:pPr>
              <w:pStyle w:val="8"/>
              <w:suppressLineNumbers w:val="0"/>
              <w:bidi w:val="0"/>
              <w:spacing w:before="0" w:beforeAutospacing="0" w:after="0" w:afterAutospacing="0"/>
              <w:ind w:left="0" w:right="0"/>
              <w:rPr>
                <w:rFonts w:hint="default"/>
                <w:highlight w:val="none"/>
              </w:rPr>
            </w:pPr>
            <w:r>
              <w:rPr>
                <w:rFonts w:hint="default"/>
                <w:highlight w:val="none"/>
              </w:rPr>
              <w:t>阳</w:t>
            </w:r>
          </w:p>
          <w:p w14:paraId="3DF4A6FA">
            <w:pPr>
              <w:pStyle w:val="8"/>
              <w:suppressLineNumbers w:val="0"/>
              <w:bidi w:val="0"/>
              <w:spacing w:before="0" w:beforeAutospacing="0" w:after="0" w:afterAutospacing="0"/>
              <w:ind w:left="0" w:right="0"/>
              <w:rPr>
                <w:rFonts w:hint="default"/>
                <w:highlight w:val="none"/>
              </w:rPr>
            </w:pPr>
            <w:r>
              <w:rPr>
                <w:rFonts w:hint="default"/>
                <w:highlight w:val="none"/>
              </w:rPr>
              <w:t>离</w:t>
            </w:r>
          </w:p>
          <w:p w14:paraId="756BE8AE">
            <w:pPr>
              <w:pStyle w:val="8"/>
              <w:suppressLineNumbers w:val="0"/>
              <w:bidi w:val="0"/>
              <w:spacing w:before="0" w:beforeAutospacing="0" w:after="0" w:afterAutospacing="0"/>
              <w:ind w:left="0" w:right="0"/>
              <w:rPr>
                <w:rFonts w:hint="default"/>
                <w:highlight w:val="none"/>
              </w:rPr>
            </w:pPr>
            <w:r>
              <w:rPr>
                <w:rFonts w:hint="default"/>
                <w:highlight w:val="none"/>
              </w:rPr>
              <w:t>子</w:t>
            </w:r>
          </w:p>
        </w:tc>
        <w:tc>
          <w:tcPr>
            <w:tcW w:w="1726" w:type="dxa"/>
            <w:vAlign w:val="center"/>
          </w:tcPr>
          <w:p w14:paraId="44D713EE">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sz w:val="21"/>
                <w:szCs w:val="21"/>
                <w:highlight w:val="none"/>
              </w:rPr>
            </w:pPr>
            <w:r>
              <w:rPr>
                <w:rFonts w:hint="default" w:ascii="Times New Roman" w:hAnsi="Times New Roman" w:cs="Times New Roman" w:eastAsiaTheme="minorEastAsia"/>
                <w:spacing w:val="0"/>
                <w:kern w:val="0"/>
                <w:position w:val="0"/>
                <w:sz w:val="21"/>
                <w:szCs w:val="21"/>
                <w:highlight w:val="none"/>
              </w:rPr>
              <w:t>K</w:t>
            </w:r>
            <w:r>
              <w:rPr>
                <w:rFonts w:hint="default" w:ascii="Times New Roman" w:hAnsi="Times New Roman" w:cs="Times New Roman" w:eastAsiaTheme="minorEastAsia"/>
                <w:spacing w:val="0"/>
                <w:kern w:val="0"/>
                <w:position w:val="0"/>
                <w:sz w:val="21"/>
                <w:szCs w:val="21"/>
                <w:highlight w:val="none"/>
                <w:vertAlign w:val="superscript"/>
              </w:rPr>
              <w:t>+</w:t>
            </w:r>
            <w:r>
              <w:rPr>
                <w:rFonts w:hint="default" w:ascii="Times New Roman" w:hAnsi="Times New Roman" w:cs="Times New Roman" w:eastAsiaTheme="minorEastAsia"/>
                <w:spacing w:val="0"/>
                <w:kern w:val="0"/>
                <w:position w:val="0"/>
                <w:sz w:val="21"/>
                <w:szCs w:val="21"/>
                <w:highlight w:val="none"/>
              </w:rPr>
              <w:t>+Na</w:t>
            </w:r>
            <w:r>
              <w:rPr>
                <w:rFonts w:hint="default" w:ascii="Times New Roman" w:hAnsi="Times New Roman" w:cs="Times New Roman" w:eastAsiaTheme="minorEastAsia"/>
                <w:spacing w:val="0"/>
                <w:kern w:val="0"/>
                <w:position w:val="0"/>
                <w:sz w:val="21"/>
                <w:szCs w:val="21"/>
                <w:highlight w:val="none"/>
                <w:vertAlign w:val="superscript"/>
              </w:rPr>
              <w:t>+</w:t>
            </w:r>
          </w:p>
        </w:tc>
        <w:tc>
          <w:tcPr>
            <w:tcW w:w="1701" w:type="dxa"/>
            <w:vAlign w:val="bottom"/>
          </w:tcPr>
          <w:p w14:paraId="6077B976">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18.39</w:t>
            </w:r>
          </w:p>
        </w:tc>
        <w:tc>
          <w:tcPr>
            <w:tcW w:w="1715" w:type="dxa"/>
            <w:vAlign w:val="bottom"/>
          </w:tcPr>
          <w:p w14:paraId="3912F74E">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0.76</w:t>
            </w:r>
          </w:p>
        </w:tc>
        <w:tc>
          <w:tcPr>
            <w:tcW w:w="1717" w:type="dxa"/>
            <w:vAlign w:val="bottom"/>
          </w:tcPr>
          <w:p w14:paraId="04732503">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25.16</w:t>
            </w:r>
          </w:p>
        </w:tc>
      </w:tr>
      <w:tr w14:paraId="391AD3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663" w:type="dxa"/>
            <w:vMerge w:val="continue"/>
            <w:vAlign w:val="center"/>
          </w:tcPr>
          <w:p w14:paraId="04D2DECD">
            <w:pPr>
              <w:pStyle w:val="8"/>
              <w:suppressLineNumbers w:val="0"/>
              <w:bidi w:val="0"/>
              <w:spacing w:before="0" w:beforeAutospacing="0" w:after="0" w:afterAutospacing="0"/>
              <w:ind w:left="0" w:right="0"/>
              <w:rPr>
                <w:rFonts w:hint="default"/>
                <w:highlight w:val="none"/>
              </w:rPr>
            </w:pPr>
          </w:p>
        </w:tc>
        <w:tc>
          <w:tcPr>
            <w:tcW w:w="1726" w:type="dxa"/>
            <w:vAlign w:val="center"/>
          </w:tcPr>
          <w:p w14:paraId="6780AAC9">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sz w:val="21"/>
                <w:szCs w:val="21"/>
                <w:highlight w:val="none"/>
              </w:rPr>
            </w:pPr>
            <w:r>
              <w:rPr>
                <w:rFonts w:hint="default" w:ascii="Times New Roman" w:hAnsi="Times New Roman" w:cs="Times New Roman" w:eastAsiaTheme="minorEastAsia"/>
                <w:spacing w:val="0"/>
                <w:kern w:val="0"/>
                <w:position w:val="0"/>
                <w:sz w:val="21"/>
                <w:szCs w:val="21"/>
                <w:highlight w:val="none"/>
              </w:rPr>
              <w:t>Ca</w:t>
            </w:r>
            <w:r>
              <w:rPr>
                <w:rFonts w:hint="default" w:ascii="Times New Roman" w:hAnsi="Times New Roman" w:cs="Times New Roman" w:eastAsiaTheme="minorEastAsia"/>
                <w:spacing w:val="0"/>
                <w:kern w:val="0"/>
                <w:position w:val="0"/>
                <w:sz w:val="21"/>
                <w:szCs w:val="21"/>
                <w:highlight w:val="none"/>
                <w:vertAlign w:val="superscript"/>
              </w:rPr>
              <w:t>2+</w:t>
            </w:r>
          </w:p>
        </w:tc>
        <w:tc>
          <w:tcPr>
            <w:tcW w:w="1701" w:type="dxa"/>
            <w:vAlign w:val="bottom"/>
          </w:tcPr>
          <w:p w14:paraId="0C4E6658">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26.6</w:t>
            </w:r>
          </w:p>
        </w:tc>
        <w:tc>
          <w:tcPr>
            <w:tcW w:w="1715" w:type="dxa"/>
            <w:vAlign w:val="bottom"/>
          </w:tcPr>
          <w:p w14:paraId="140827B1">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1.33</w:t>
            </w:r>
          </w:p>
        </w:tc>
        <w:tc>
          <w:tcPr>
            <w:tcW w:w="1717" w:type="dxa"/>
            <w:vAlign w:val="bottom"/>
          </w:tcPr>
          <w:p w14:paraId="00EDA064">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44.31</w:t>
            </w:r>
          </w:p>
        </w:tc>
      </w:tr>
      <w:tr w14:paraId="0591ED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663" w:type="dxa"/>
            <w:vMerge w:val="continue"/>
            <w:vAlign w:val="center"/>
          </w:tcPr>
          <w:p w14:paraId="3408E7C0">
            <w:pPr>
              <w:pStyle w:val="8"/>
              <w:suppressLineNumbers w:val="0"/>
              <w:bidi w:val="0"/>
              <w:spacing w:before="0" w:beforeAutospacing="0" w:after="0" w:afterAutospacing="0"/>
              <w:ind w:left="0" w:right="0"/>
              <w:rPr>
                <w:rFonts w:hint="default"/>
                <w:highlight w:val="none"/>
              </w:rPr>
            </w:pPr>
          </w:p>
        </w:tc>
        <w:tc>
          <w:tcPr>
            <w:tcW w:w="1726" w:type="dxa"/>
            <w:vAlign w:val="center"/>
          </w:tcPr>
          <w:p w14:paraId="5F7EC576">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sz w:val="21"/>
                <w:szCs w:val="21"/>
                <w:highlight w:val="none"/>
              </w:rPr>
            </w:pPr>
            <w:r>
              <w:rPr>
                <w:rFonts w:hint="default" w:ascii="Times New Roman" w:hAnsi="Times New Roman" w:cs="Times New Roman" w:eastAsiaTheme="minorEastAsia"/>
                <w:spacing w:val="0"/>
                <w:kern w:val="0"/>
                <w:position w:val="0"/>
                <w:sz w:val="21"/>
                <w:szCs w:val="21"/>
                <w:highlight w:val="none"/>
              </w:rPr>
              <w:t>Mg</w:t>
            </w:r>
            <w:r>
              <w:rPr>
                <w:rFonts w:hint="default" w:ascii="Times New Roman" w:hAnsi="Times New Roman" w:cs="Times New Roman" w:eastAsiaTheme="minorEastAsia"/>
                <w:spacing w:val="0"/>
                <w:kern w:val="0"/>
                <w:position w:val="0"/>
                <w:sz w:val="21"/>
                <w:szCs w:val="21"/>
                <w:highlight w:val="none"/>
                <w:vertAlign w:val="superscript"/>
              </w:rPr>
              <w:t>2+</w:t>
            </w:r>
          </w:p>
        </w:tc>
        <w:tc>
          <w:tcPr>
            <w:tcW w:w="1701" w:type="dxa"/>
            <w:vAlign w:val="bottom"/>
          </w:tcPr>
          <w:p w14:paraId="47A830B5">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11</w:t>
            </w:r>
          </w:p>
        </w:tc>
        <w:tc>
          <w:tcPr>
            <w:tcW w:w="1715" w:type="dxa"/>
            <w:vAlign w:val="bottom"/>
          </w:tcPr>
          <w:p w14:paraId="5DFE5E9F">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0.92</w:t>
            </w:r>
          </w:p>
        </w:tc>
        <w:tc>
          <w:tcPr>
            <w:tcW w:w="1717" w:type="dxa"/>
            <w:vAlign w:val="bottom"/>
          </w:tcPr>
          <w:p w14:paraId="3A03A309">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30.54</w:t>
            </w:r>
          </w:p>
        </w:tc>
      </w:tr>
      <w:tr w14:paraId="414D99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63" w:type="dxa"/>
            <w:vMerge w:val="continue"/>
            <w:vAlign w:val="center"/>
          </w:tcPr>
          <w:p w14:paraId="75F15689">
            <w:pPr>
              <w:pStyle w:val="8"/>
              <w:suppressLineNumbers w:val="0"/>
              <w:bidi w:val="0"/>
              <w:spacing w:before="0" w:beforeAutospacing="0" w:after="0" w:afterAutospacing="0"/>
              <w:ind w:left="0" w:right="0"/>
              <w:rPr>
                <w:rFonts w:hint="default"/>
                <w:highlight w:val="none"/>
              </w:rPr>
            </w:pPr>
          </w:p>
        </w:tc>
        <w:tc>
          <w:tcPr>
            <w:tcW w:w="1726" w:type="dxa"/>
            <w:vAlign w:val="center"/>
          </w:tcPr>
          <w:p w14:paraId="6652AAB1">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sz w:val="21"/>
                <w:szCs w:val="21"/>
                <w:highlight w:val="none"/>
              </w:rPr>
            </w:pPr>
            <w:r>
              <w:rPr>
                <w:rFonts w:hint="default" w:ascii="Times New Roman" w:hAnsi="Times New Roman" w:cs="Times New Roman" w:eastAsiaTheme="minorEastAsia"/>
                <w:spacing w:val="0"/>
                <w:kern w:val="0"/>
                <w:position w:val="0"/>
                <w:sz w:val="21"/>
                <w:szCs w:val="21"/>
                <w:highlight w:val="none"/>
              </w:rPr>
              <w:t>总计</w:t>
            </w:r>
          </w:p>
        </w:tc>
        <w:tc>
          <w:tcPr>
            <w:tcW w:w="1701" w:type="dxa"/>
            <w:vAlign w:val="bottom"/>
          </w:tcPr>
          <w:p w14:paraId="03DACCF8">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55.99</w:t>
            </w:r>
          </w:p>
        </w:tc>
        <w:tc>
          <w:tcPr>
            <w:tcW w:w="1715" w:type="dxa"/>
            <w:vAlign w:val="bottom"/>
          </w:tcPr>
          <w:p w14:paraId="6B489322">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3.00</w:t>
            </w:r>
          </w:p>
        </w:tc>
        <w:tc>
          <w:tcPr>
            <w:tcW w:w="1717" w:type="dxa"/>
            <w:vAlign w:val="bottom"/>
          </w:tcPr>
          <w:p w14:paraId="223B7C27">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100.0</w:t>
            </w:r>
          </w:p>
        </w:tc>
      </w:tr>
      <w:tr w14:paraId="58DE5B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663" w:type="dxa"/>
            <w:vMerge w:val="restart"/>
            <w:vAlign w:val="center"/>
          </w:tcPr>
          <w:p w14:paraId="316BED38">
            <w:pPr>
              <w:pStyle w:val="8"/>
              <w:suppressLineNumbers w:val="0"/>
              <w:bidi w:val="0"/>
              <w:spacing w:before="0" w:beforeAutospacing="0" w:after="0" w:afterAutospacing="0"/>
              <w:ind w:left="0" w:right="0"/>
              <w:rPr>
                <w:rFonts w:hint="default"/>
                <w:highlight w:val="none"/>
              </w:rPr>
            </w:pPr>
            <w:r>
              <w:rPr>
                <w:rFonts w:hint="default"/>
                <w:highlight w:val="none"/>
              </w:rPr>
              <w:t>阴</w:t>
            </w:r>
          </w:p>
          <w:p w14:paraId="74242E6C">
            <w:pPr>
              <w:pStyle w:val="8"/>
              <w:suppressLineNumbers w:val="0"/>
              <w:bidi w:val="0"/>
              <w:spacing w:before="0" w:beforeAutospacing="0" w:after="0" w:afterAutospacing="0"/>
              <w:ind w:left="0" w:right="0"/>
              <w:rPr>
                <w:rFonts w:hint="default"/>
                <w:highlight w:val="none"/>
              </w:rPr>
            </w:pPr>
            <w:r>
              <w:rPr>
                <w:rFonts w:hint="default"/>
                <w:highlight w:val="none"/>
              </w:rPr>
              <w:t>离</w:t>
            </w:r>
          </w:p>
          <w:p w14:paraId="155E8DF9">
            <w:pPr>
              <w:pStyle w:val="8"/>
              <w:suppressLineNumbers w:val="0"/>
              <w:bidi w:val="0"/>
              <w:spacing w:before="0" w:beforeAutospacing="0" w:after="0" w:afterAutospacing="0"/>
              <w:ind w:left="0" w:right="0"/>
              <w:rPr>
                <w:rFonts w:hint="default"/>
                <w:highlight w:val="none"/>
              </w:rPr>
            </w:pPr>
            <w:r>
              <w:rPr>
                <w:rFonts w:hint="default"/>
                <w:highlight w:val="none"/>
              </w:rPr>
              <w:t>子</w:t>
            </w:r>
          </w:p>
        </w:tc>
        <w:tc>
          <w:tcPr>
            <w:tcW w:w="1726" w:type="dxa"/>
            <w:vAlign w:val="center"/>
          </w:tcPr>
          <w:p w14:paraId="1067F571">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sz w:val="21"/>
                <w:szCs w:val="21"/>
                <w:highlight w:val="none"/>
              </w:rPr>
            </w:pPr>
            <w:r>
              <w:rPr>
                <w:rFonts w:hint="default" w:ascii="Times New Roman" w:hAnsi="Times New Roman" w:cs="Times New Roman" w:eastAsiaTheme="minorEastAsia"/>
                <w:spacing w:val="0"/>
                <w:kern w:val="0"/>
                <w:position w:val="0"/>
                <w:sz w:val="21"/>
                <w:szCs w:val="21"/>
                <w:highlight w:val="none"/>
              </w:rPr>
              <w:t>HCO</w:t>
            </w:r>
            <w:r>
              <w:rPr>
                <w:rFonts w:hint="default" w:ascii="Times New Roman" w:hAnsi="Times New Roman" w:cs="Times New Roman" w:eastAsiaTheme="minorEastAsia"/>
                <w:spacing w:val="0"/>
                <w:kern w:val="0"/>
                <w:position w:val="0"/>
                <w:sz w:val="21"/>
                <w:szCs w:val="21"/>
                <w:highlight w:val="none"/>
                <w:vertAlign w:val="subscript"/>
              </w:rPr>
              <w:t>3</w:t>
            </w:r>
            <w:r>
              <w:rPr>
                <w:rFonts w:hint="default" w:ascii="Times New Roman" w:hAnsi="Times New Roman" w:cs="Times New Roman" w:eastAsiaTheme="minorEastAsia"/>
                <w:spacing w:val="0"/>
                <w:kern w:val="0"/>
                <w:position w:val="0"/>
                <w:sz w:val="21"/>
                <w:szCs w:val="21"/>
                <w:highlight w:val="none"/>
                <w:vertAlign w:val="superscript"/>
              </w:rPr>
              <w:t>-</w:t>
            </w:r>
          </w:p>
        </w:tc>
        <w:tc>
          <w:tcPr>
            <w:tcW w:w="1701" w:type="dxa"/>
            <w:vAlign w:val="bottom"/>
          </w:tcPr>
          <w:p w14:paraId="5CDCC9B4">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154</w:t>
            </w:r>
          </w:p>
        </w:tc>
        <w:tc>
          <w:tcPr>
            <w:tcW w:w="1715" w:type="dxa"/>
            <w:vAlign w:val="bottom"/>
          </w:tcPr>
          <w:p w14:paraId="645E1A50">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2.52</w:t>
            </w:r>
          </w:p>
        </w:tc>
        <w:tc>
          <w:tcPr>
            <w:tcW w:w="1717" w:type="dxa"/>
            <w:vAlign w:val="bottom"/>
          </w:tcPr>
          <w:p w14:paraId="4ED43353">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78.26</w:t>
            </w:r>
          </w:p>
        </w:tc>
      </w:tr>
      <w:tr w14:paraId="65B770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663" w:type="dxa"/>
            <w:vMerge w:val="continue"/>
            <w:vAlign w:val="center"/>
          </w:tcPr>
          <w:p w14:paraId="2BC39D36">
            <w:pPr>
              <w:pStyle w:val="8"/>
              <w:suppressLineNumbers w:val="0"/>
              <w:bidi w:val="0"/>
              <w:spacing w:before="0" w:beforeAutospacing="0" w:after="0" w:afterAutospacing="0"/>
              <w:ind w:left="0" w:right="0"/>
              <w:rPr>
                <w:rFonts w:hint="default"/>
                <w:highlight w:val="none"/>
              </w:rPr>
            </w:pPr>
          </w:p>
        </w:tc>
        <w:tc>
          <w:tcPr>
            <w:tcW w:w="1726" w:type="dxa"/>
            <w:vAlign w:val="center"/>
          </w:tcPr>
          <w:p w14:paraId="1D071E26">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sz w:val="21"/>
                <w:szCs w:val="21"/>
                <w:highlight w:val="none"/>
              </w:rPr>
            </w:pPr>
            <w:r>
              <w:rPr>
                <w:rFonts w:hint="default" w:ascii="Times New Roman" w:hAnsi="Times New Roman" w:cs="Times New Roman" w:eastAsiaTheme="minorEastAsia"/>
                <w:spacing w:val="0"/>
                <w:kern w:val="0"/>
                <w:position w:val="0"/>
                <w:sz w:val="21"/>
                <w:szCs w:val="21"/>
                <w:highlight w:val="none"/>
              </w:rPr>
              <w:t>Cl</w:t>
            </w:r>
            <w:r>
              <w:rPr>
                <w:rFonts w:hint="default" w:ascii="Times New Roman" w:hAnsi="Times New Roman" w:cs="Times New Roman" w:eastAsiaTheme="minorEastAsia"/>
                <w:spacing w:val="0"/>
                <w:kern w:val="0"/>
                <w:position w:val="0"/>
                <w:sz w:val="21"/>
                <w:szCs w:val="21"/>
                <w:highlight w:val="none"/>
                <w:vertAlign w:val="superscript"/>
              </w:rPr>
              <w:t>-</w:t>
            </w:r>
          </w:p>
        </w:tc>
        <w:tc>
          <w:tcPr>
            <w:tcW w:w="1701" w:type="dxa"/>
            <w:vAlign w:val="bottom"/>
          </w:tcPr>
          <w:p w14:paraId="1ED6FE9A">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13.5</w:t>
            </w:r>
          </w:p>
        </w:tc>
        <w:tc>
          <w:tcPr>
            <w:tcW w:w="1715" w:type="dxa"/>
            <w:vAlign w:val="bottom"/>
          </w:tcPr>
          <w:p w14:paraId="2627FDD7">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0.38</w:t>
            </w:r>
          </w:p>
        </w:tc>
        <w:tc>
          <w:tcPr>
            <w:tcW w:w="1717" w:type="dxa"/>
            <w:vAlign w:val="bottom"/>
          </w:tcPr>
          <w:p w14:paraId="28F34376">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11.79</w:t>
            </w:r>
          </w:p>
        </w:tc>
      </w:tr>
      <w:tr w14:paraId="59D3C5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663" w:type="dxa"/>
            <w:vMerge w:val="continue"/>
            <w:vAlign w:val="center"/>
          </w:tcPr>
          <w:p w14:paraId="057C1C46">
            <w:pPr>
              <w:pStyle w:val="8"/>
              <w:suppressLineNumbers w:val="0"/>
              <w:bidi w:val="0"/>
              <w:spacing w:before="0" w:beforeAutospacing="0" w:after="0" w:afterAutospacing="0"/>
              <w:ind w:left="0" w:right="0"/>
              <w:rPr>
                <w:rFonts w:hint="default"/>
                <w:highlight w:val="none"/>
              </w:rPr>
            </w:pPr>
          </w:p>
        </w:tc>
        <w:tc>
          <w:tcPr>
            <w:tcW w:w="1726" w:type="dxa"/>
            <w:vAlign w:val="center"/>
          </w:tcPr>
          <w:p w14:paraId="39BCFBFD">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sz w:val="21"/>
                <w:szCs w:val="21"/>
                <w:highlight w:val="none"/>
              </w:rPr>
            </w:pPr>
            <w:r>
              <w:rPr>
                <w:rFonts w:hint="default" w:ascii="Times New Roman" w:hAnsi="Times New Roman" w:cs="Times New Roman" w:eastAsiaTheme="minorEastAsia"/>
                <w:spacing w:val="0"/>
                <w:kern w:val="0"/>
                <w:position w:val="0"/>
                <w:sz w:val="21"/>
                <w:szCs w:val="21"/>
                <w:highlight w:val="none"/>
              </w:rPr>
              <w:t>SO</w:t>
            </w:r>
            <w:r>
              <w:rPr>
                <w:rFonts w:hint="default" w:ascii="Times New Roman" w:hAnsi="Times New Roman" w:cs="Times New Roman" w:eastAsiaTheme="minorEastAsia"/>
                <w:spacing w:val="0"/>
                <w:kern w:val="0"/>
                <w:position w:val="0"/>
                <w:sz w:val="21"/>
                <w:szCs w:val="21"/>
                <w:highlight w:val="none"/>
                <w:vertAlign w:val="subscript"/>
              </w:rPr>
              <w:t>4</w:t>
            </w:r>
            <w:r>
              <w:rPr>
                <w:rFonts w:hint="default" w:ascii="Times New Roman" w:hAnsi="Times New Roman" w:cs="Times New Roman" w:eastAsiaTheme="minorEastAsia"/>
                <w:spacing w:val="0"/>
                <w:kern w:val="0"/>
                <w:position w:val="0"/>
                <w:sz w:val="21"/>
                <w:szCs w:val="21"/>
                <w:highlight w:val="none"/>
                <w:vertAlign w:val="superscript"/>
              </w:rPr>
              <w:t>2-</w:t>
            </w:r>
          </w:p>
        </w:tc>
        <w:tc>
          <w:tcPr>
            <w:tcW w:w="1701" w:type="dxa"/>
            <w:vAlign w:val="bottom"/>
          </w:tcPr>
          <w:p w14:paraId="5F3AA7B8">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15.4</w:t>
            </w:r>
          </w:p>
        </w:tc>
        <w:tc>
          <w:tcPr>
            <w:tcW w:w="1715" w:type="dxa"/>
            <w:vAlign w:val="bottom"/>
          </w:tcPr>
          <w:p w14:paraId="23132D77">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0.32</w:t>
            </w:r>
          </w:p>
        </w:tc>
        <w:tc>
          <w:tcPr>
            <w:tcW w:w="1717" w:type="dxa"/>
            <w:vAlign w:val="bottom"/>
          </w:tcPr>
          <w:p w14:paraId="4BC5783B">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9.95</w:t>
            </w:r>
          </w:p>
        </w:tc>
      </w:tr>
      <w:tr w14:paraId="67568B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63" w:type="dxa"/>
            <w:vMerge w:val="continue"/>
            <w:vAlign w:val="center"/>
          </w:tcPr>
          <w:p w14:paraId="4C3D9F82">
            <w:pPr>
              <w:pStyle w:val="8"/>
              <w:suppressLineNumbers w:val="0"/>
              <w:bidi w:val="0"/>
              <w:spacing w:before="0" w:beforeAutospacing="0" w:after="0" w:afterAutospacing="0"/>
              <w:ind w:left="0" w:right="0"/>
              <w:rPr>
                <w:rFonts w:hint="default"/>
                <w:highlight w:val="none"/>
              </w:rPr>
            </w:pPr>
          </w:p>
        </w:tc>
        <w:tc>
          <w:tcPr>
            <w:tcW w:w="1726" w:type="dxa"/>
            <w:vAlign w:val="center"/>
          </w:tcPr>
          <w:p w14:paraId="110E3B56">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sz w:val="21"/>
                <w:szCs w:val="21"/>
                <w:highlight w:val="none"/>
              </w:rPr>
            </w:pPr>
            <w:r>
              <w:rPr>
                <w:rFonts w:hint="default" w:ascii="Times New Roman" w:hAnsi="Times New Roman" w:cs="Times New Roman" w:eastAsiaTheme="minorEastAsia"/>
                <w:spacing w:val="0"/>
                <w:kern w:val="0"/>
                <w:position w:val="0"/>
                <w:sz w:val="21"/>
                <w:szCs w:val="21"/>
                <w:highlight w:val="none"/>
              </w:rPr>
              <w:t>总计</w:t>
            </w:r>
          </w:p>
        </w:tc>
        <w:tc>
          <w:tcPr>
            <w:tcW w:w="1701" w:type="dxa"/>
            <w:vAlign w:val="bottom"/>
          </w:tcPr>
          <w:p w14:paraId="5E7FAA1E">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182.9</w:t>
            </w:r>
          </w:p>
        </w:tc>
        <w:tc>
          <w:tcPr>
            <w:tcW w:w="1715" w:type="dxa"/>
            <w:vAlign w:val="bottom"/>
          </w:tcPr>
          <w:p w14:paraId="5757AF6E">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3.23</w:t>
            </w:r>
          </w:p>
        </w:tc>
        <w:tc>
          <w:tcPr>
            <w:tcW w:w="1717" w:type="dxa"/>
            <w:vAlign w:val="bottom"/>
          </w:tcPr>
          <w:p w14:paraId="7DF892A6">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100.0</w:t>
            </w:r>
          </w:p>
        </w:tc>
      </w:tr>
      <w:tr w14:paraId="7A198F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389" w:type="dxa"/>
            <w:gridSpan w:val="2"/>
            <w:vAlign w:val="center"/>
          </w:tcPr>
          <w:p w14:paraId="54FEFE43">
            <w:pPr>
              <w:pStyle w:val="8"/>
              <w:suppressLineNumbers w:val="0"/>
              <w:bidi w:val="0"/>
              <w:spacing w:before="0" w:beforeAutospacing="0" w:after="0" w:afterAutospacing="0"/>
              <w:ind w:left="0" w:right="0"/>
              <w:rPr>
                <w:rFonts w:hint="default"/>
                <w:highlight w:val="none"/>
              </w:rPr>
            </w:pPr>
            <w:r>
              <w:rPr>
                <w:rFonts w:hint="default"/>
                <w:highlight w:val="none"/>
              </w:rPr>
              <w:t>2#井</w:t>
            </w:r>
          </w:p>
        </w:tc>
        <w:tc>
          <w:tcPr>
            <w:tcW w:w="1701" w:type="dxa"/>
            <w:vAlign w:val="center"/>
          </w:tcPr>
          <w:p w14:paraId="45BA0D7E">
            <w:pPr>
              <w:pStyle w:val="8"/>
              <w:suppressLineNumbers w:val="0"/>
              <w:bidi w:val="0"/>
              <w:spacing w:before="0" w:beforeAutospacing="0" w:after="0" w:afterAutospacing="0"/>
              <w:ind w:left="0" w:right="0"/>
              <w:rPr>
                <w:rFonts w:hint="default"/>
                <w:highlight w:val="none"/>
              </w:rPr>
            </w:pPr>
            <w:r>
              <w:rPr>
                <w:rFonts w:hint="default"/>
                <w:highlight w:val="none"/>
              </w:rPr>
              <w:t>mg/L</w:t>
            </w:r>
          </w:p>
        </w:tc>
        <w:tc>
          <w:tcPr>
            <w:tcW w:w="1715" w:type="dxa"/>
            <w:vAlign w:val="center"/>
          </w:tcPr>
          <w:p w14:paraId="3C3A5121">
            <w:pPr>
              <w:pStyle w:val="8"/>
              <w:suppressLineNumbers w:val="0"/>
              <w:bidi w:val="0"/>
              <w:spacing w:before="0" w:beforeAutospacing="0" w:after="0" w:afterAutospacing="0"/>
              <w:ind w:left="0" w:right="0"/>
              <w:rPr>
                <w:rFonts w:hint="default"/>
                <w:highlight w:val="none"/>
              </w:rPr>
            </w:pPr>
            <w:r>
              <w:rPr>
                <w:rFonts w:hint="default"/>
                <w:highlight w:val="none"/>
              </w:rPr>
              <w:t>meq/L</w:t>
            </w:r>
          </w:p>
        </w:tc>
        <w:tc>
          <w:tcPr>
            <w:tcW w:w="1717" w:type="dxa"/>
            <w:vAlign w:val="center"/>
          </w:tcPr>
          <w:p w14:paraId="52D89F4A">
            <w:pPr>
              <w:pStyle w:val="8"/>
              <w:suppressLineNumbers w:val="0"/>
              <w:bidi w:val="0"/>
              <w:spacing w:before="0" w:beforeAutospacing="0" w:after="0" w:afterAutospacing="0"/>
              <w:ind w:left="0" w:right="0"/>
              <w:rPr>
                <w:rFonts w:hint="default"/>
                <w:highlight w:val="none"/>
              </w:rPr>
            </w:pPr>
            <w:r>
              <w:rPr>
                <w:rFonts w:hint="default"/>
                <w:highlight w:val="none"/>
              </w:rPr>
              <w:t>meq%</w:t>
            </w:r>
          </w:p>
        </w:tc>
      </w:tr>
      <w:tr w14:paraId="0272D4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1663" w:type="dxa"/>
            <w:vMerge w:val="restart"/>
            <w:vAlign w:val="center"/>
          </w:tcPr>
          <w:p w14:paraId="61CE5E08">
            <w:pPr>
              <w:pStyle w:val="8"/>
              <w:suppressLineNumbers w:val="0"/>
              <w:bidi w:val="0"/>
              <w:spacing w:before="0" w:beforeAutospacing="0" w:after="0" w:afterAutospacing="0"/>
              <w:ind w:left="0" w:right="0"/>
              <w:rPr>
                <w:rFonts w:hint="default"/>
                <w:highlight w:val="none"/>
              </w:rPr>
            </w:pPr>
            <w:r>
              <w:rPr>
                <w:rFonts w:hint="default"/>
                <w:highlight w:val="none"/>
              </w:rPr>
              <w:t>阳</w:t>
            </w:r>
          </w:p>
          <w:p w14:paraId="47F29406">
            <w:pPr>
              <w:pStyle w:val="8"/>
              <w:suppressLineNumbers w:val="0"/>
              <w:bidi w:val="0"/>
              <w:spacing w:before="0" w:beforeAutospacing="0" w:after="0" w:afterAutospacing="0"/>
              <w:ind w:left="0" w:right="0"/>
              <w:rPr>
                <w:rFonts w:hint="default"/>
                <w:highlight w:val="none"/>
              </w:rPr>
            </w:pPr>
            <w:r>
              <w:rPr>
                <w:rFonts w:hint="default"/>
                <w:highlight w:val="none"/>
              </w:rPr>
              <w:t>离</w:t>
            </w:r>
          </w:p>
          <w:p w14:paraId="36EADD8F">
            <w:pPr>
              <w:pStyle w:val="8"/>
              <w:suppressLineNumbers w:val="0"/>
              <w:bidi w:val="0"/>
              <w:spacing w:before="0" w:beforeAutospacing="0" w:after="0" w:afterAutospacing="0"/>
              <w:ind w:left="0" w:right="0"/>
              <w:rPr>
                <w:rFonts w:hint="default"/>
                <w:highlight w:val="none"/>
              </w:rPr>
            </w:pPr>
            <w:r>
              <w:rPr>
                <w:rFonts w:hint="default"/>
                <w:highlight w:val="none"/>
              </w:rPr>
              <w:t>子</w:t>
            </w:r>
          </w:p>
        </w:tc>
        <w:tc>
          <w:tcPr>
            <w:tcW w:w="1726" w:type="dxa"/>
            <w:tcBorders>
              <w:bottom w:val="single" w:color="auto" w:sz="2" w:space="0"/>
            </w:tcBorders>
            <w:vAlign w:val="center"/>
          </w:tcPr>
          <w:p w14:paraId="4C7CFBB1">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ighlight w:val="none"/>
              </w:rPr>
            </w:pPr>
            <w:r>
              <w:rPr>
                <w:rFonts w:hint="default" w:ascii="Times New Roman" w:hAnsi="Times New Roman" w:cs="Times New Roman" w:eastAsiaTheme="minorEastAsia"/>
                <w:spacing w:val="0"/>
                <w:kern w:val="0"/>
                <w:position w:val="0"/>
                <w:sz w:val="21"/>
                <w:szCs w:val="21"/>
                <w:highlight w:val="none"/>
              </w:rPr>
              <w:t>K</w:t>
            </w:r>
            <w:r>
              <w:rPr>
                <w:rFonts w:hint="default" w:ascii="Times New Roman" w:hAnsi="Times New Roman" w:cs="Times New Roman" w:eastAsiaTheme="minorEastAsia"/>
                <w:spacing w:val="0"/>
                <w:kern w:val="0"/>
                <w:position w:val="0"/>
                <w:sz w:val="21"/>
                <w:szCs w:val="21"/>
                <w:highlight w:val="none"/>
                <w:vertAlign w:val="superscript"/>
              </w:rPr>
              <w:t>+</w:t>
            </w:r>
            <w:r>
              <w:rPr>
                <w:rFonts w:hint="default" w:ascii="Times New Roman" w:hAnsi="Times New Roman" w:cs="Times New Roman" w:eastAsiaTheme="minorEastAsia"/>
                <w:spacing w:val="0"/>
                <w:kern w:val="0"/>
                <w:position w:val="0"/>
                <w:sz w:val="21"/>
                <w:szCs w:val="21"/>
                <w:highlight w:val="none"/>
              </w:rPr>
              <w:t>+Na</w:t>
            </w:r>
            <w:r>
              <w:rPr>
                <w:rFonts w:hint="default" w:ascii="Times New Roman" w:hAnsi="Times New Roman" w:cs="Times New Roman" w:eastAsiaTheme="minorEastAsia"/>
                <w:spacing w:val="0"/>
                <w:kern w:val="0"/>
                <w:position w:val="0"/>
                <w:sz w:val="21"/>
                <w:szCs w:val="21"/>
                <w:highlight w:val="none"/>
                <w:vertAlign w:val="superscript"/>
              </w:rPr>
              <w:t>+</w:t>
            </w:r>
          </w:p>
        </w:tc>
        <w:tc>
          <w:tcPr>
            <w:tcW w:w="1701" w:type="dxa"/>
            <w:tcBorders>
              <w:bottom w:val="single" w:color="auto" w:sz="2" w:space="0"/>
            </w:tcBorders>
            <w:vAlign w:val="bottom"/>
          </w:tcPr>
          <w:p w14:paraId="1601FA70">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15.13</w:t>
            </w:r>
          </w:p>
        </w:tc>
        <w:tc>
          <w:tcPr>
            <w:tcW w:w="1715" w:type="dxa"/>
            <w:tcBorders>
              <w:bottom w:val="single" w:color="auto" w:sz="2" w:space="0"/>
            </w:tcBorders>
            <w:vAlign w:val="bottom"/>
          </w:tcPr>
          <w:p w14:paraId="1210BB7E">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0.64</w:t>
            </w:r>
          </w:p>
        </w:tc>
        <w:tc>
          <w:tcPr>
            <w:tcW w:w="1717" w:type="dxa"/>
            <w:tcBorders>
              <w:bottom w:val="single" w:color="auto" w:sz="2" w:space="0"/>
            </w:tcBorders>
            <w:vAlign w:val="bottom"/>
          </w:tcPr>
          <w:p w14:paraId="2175F71A">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21.32</w:t>
            </w:r>
          </w:p>
        </w:tc>
      </w:tr>
      <w:tr w14:paraId="7AB43B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 w:hRule="atLeast"/>
          <w:jc w:val="center"/>
        </w:trPr>
        <w:tc>
          <w:tcPr>
            <w:tcW w:w="1663" w:type="dxa"/>
            <w:vMerge w:val="continue"/>
            <w:vAlign w:val="center"/>
          </w:tcPr>
          <w:p w14:paraId="4CA8473C">
            <w:pPr>
              <w:pStyle w:val="8"/>
              <w:suppressLineNumbers w:val="0"/>
              <w:bidi w:val="0"/>
              <w:spacing w:before="0" w:beforeAutospacing="0" w:after="0" w:afterAutospacing="0"/>
              <w:ind w:left="0" w:right="0"/>
              <w:rPr>
                <w:rFonts w:hint="default"/>
                <w:highlight w:val="none"/>
              </w:rPr>
            </w:pPr>
          </w:p>
        </w:tc>
        <w:tc>
          <w:tcPr>
            <w:tcW w:w="1726" w:type="dxa"/>
            <w:tcBorders>
              <w:top w:val="single" w:color="auto" w:sz="2" w:space="0"/>
              <w:bottom w:val="single" w:color="auto" w:sz="2" w:space="0"/>
            </w:tcBorders>
            <w:vAlign w:val="center"/>
          </w:tcPr>
          <w:p w14:paraId="4859A19D">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ighlight w:val="none"/>
              </w:rPr>
            </w:pPr>
            <w:r>
              <w:rPr>
                <w:rFonts w:hint="default" w:ascii="Times New Roman" w:hAnsi="Times New Roman" w:cs="Times New Roman" w:eastAsiaTheme="minorEastAsia"/>
                <w:spacing w:val="0"/>
                <w:kern w:val="0"/>
                <w:position w:val="0"/>
                <w:sz w:val="21"/>
                <w:szCs w:val="21"/>
                <w:highlight w:val="none"/>
              </w:rPr>
              <w:t>Ca</w:t>
            </w:r>
            <w:r>
              <w:rPr>
                <w:rFonts w:hint="default" w:ascii="Times New Roman" w:hAnsi="Times New Roman" w:cs="Times New Roman" w:eastAsiaTheme="minorEastAsia"/>
                <w:spacing w:val="0"/>
                <w:kern w:val="0"/>
                <w:position w:val="0"/>
                <w:sz w:val="21"/>
                <w:szCs w:val="21"/>
                <w:highlight w:val="none"/>
                <w:vertAlign w:val="superscript"/>
              </w:rPr>
              <w:t>2+</w:t>
            </w:r>
          </w:p>
        </w:tc>
        <w:tc>
          <w:tcPr>
            <w:tcW w:w="1701" w:type="dxa"/>
            <w:tcBorders>
              <w:top w:val="single" w:color="auto" w:sz="2" w:space="0"/>
              <w:bottom w:val="single" w:color="auto" w:sz="2" w:space="0"/>
            </w:tcBorders>
            <w:vAlign w:val="bottom"/>
          </w:tcPr>
          <w:p w14:paraId="61BC61AE">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27.5</w:t>
            </w:r>
          </w:p>
        </w:tc>
        <w:tc>
          <w:tcPr>
            <w:tcW w:w="1715" w:type="dxa"/>
            <w:tcBorders>
              <w:top w:val="single" w:color="auto" w:sz="2" w:space="0"/>
              <w:bottom w:val="single" w:color="auto" w:sz="2" w:space="0"/>
            </w:tcBorders>
            <w:vAlign w:val="bottom"/>
          </w:tcPr>
          <w:p w14:paraId="78B6A660">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1.38</w:t>
            </w:r>
          </w:p>
        </w:tc>
        <w:tc>
          <w:tcPr>
            <w:tcW w:w="1717" w:type="dxa"/>
            <w:tcBorders>
              <w:top w:val="single" w:color="auto" w:sz="2" w:space="0"/>
              <w:bottom w:val="single" w:color="auto" w:sz="2" w:space="0"/>
            </w:tcBorders>
            <w:vAlign w:val="bottom"/>
          </w:tcPr>
          <w:p w14:paraId="37A12552">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45.71</w:t>
            </w:r>
          </w:p>
        </w:tc>
      </w:tr>
      <w:tr w14:paraId="6A20C2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 w:hRule="atLeast"/>
          <w:jc w:val="center"/>
        </w:trPr>
        <w:tc>
          <w:tcPr>
            <w:tcW w:w="1663" w:type="dxa"/>
            <w:vMerge w:val="continue"/>
            <w:vAlign w:val="center"/>
          </w:tcPr>
          <w:p w14:paraId="589C8BF9">
            <w:pPr>
              <w:pStyle w:val="8"/>
              <w:suppressLineNumbers w:val="0"/>
              <w:bidi w:val="0"/>
              <w:spacing w:before="0" w:beforeAutospacing="0" w:after="0" w:afterAutospacing="0"/>
              <w:ind w:left="0" w:right="0"/>
              <w:rPr>
                <w:rFonts w:hint="default"/>
                <w:highlight w:val="none"/>
              </w:rPr>
            </w:pPr>
          </w:p>
        </w:tc>
        <w:tc>
          <w:tcPr>
            <w:tcW w:w="1726" w:type="dxa"/>
            <w:tcBorders>
              <w:top w:val="single" w:color="auto" w:sz="2" w:space="0"/>
              <w:bottom w:val="single" w:color="auto" w:sz="2" w:space="0"/>
            </w:tcBorders>
            <w:vAlign w:val="center"/>
          </w:tcPr>
          <w:p w14:paraId="11AB7390">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ighlight w:val="none"/>
              </w:rPr>
            </w:pPr>
            <w:r>
              <w:rPr>
                <w:rFonts w:hint="default" w:ascii="Times New Roman" w:hAnsi="Times New Roman" w:cs="Times New Roman" w:eastAsiaTheme="minorEastAsia"/>
                <w:spacing w:val="0"/>
                <w:kern w:val="0"/>
                <w:position w:val="0"/>
                <w:sz w:val="21"/>
                <w:szCs w:val="21"/>
                <w:highlight w:val="none"/>
              </w:rPr>
              <w:t>Mg</w:t>
            </w:r>
            <w:r>
              <w:rPr>
                <w:rFonts w:hint="default" w:ascii="Times New Roman" w:hAnsi="Times New Roman" w:cs="Times New Roman" w:eastAsiaTheme="minorEastAsia"/>
                <w:spacing w:val="0"/>
                <w:kern w:val="0"/>
                <w:position w:val="0"/>
                <w:sz w:val="21"/>
                <w:szCs w:val="21"/>
                <w:highlight w:val="none"/>
                <w:vertAlign w:val="superscript"/>
              </w:rPr>
              <w:t>2+</w:t>
            </w:r>
          </w:p>
        </w:tc>
        <w:tc>
          <w:tcPr>
            <w:tcW w:w="1701" w:type="dxa"/>
            <w:tcBorders>
              <w:top w:val="single" w:color="auto" w:sz="2" w:space="0"/>
              <w:bottom w:val="single" w:color="auto" w:sz="2" w:space="0"/>
            </w:tcBorders>
            <w:vAlign w:val="bottom"/>
          </w:tcPr>
          <w:p w14:paraId="1F989BD8">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11.9</w:t>
            </w:r>
          </w:p>
        </w:tc>
        <w:tc>
          <w:tcPr>
            <w:tcW w:w="1715" w:type="dxa"/>
            <w:tcBorders>
              <w:top w:val="single" w:color="auto" w:sz="2" w:space="0"/>
              <w:bottom w:val="single" w:color="auto" w:sz="2" w:space="0"/>
            </w:tcBorders>
            <w:vAlign w:val="bottom"/>
          </w:tcPr>
          <w:p w14:paraId="734CFE72">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0.99</w:t>
            </w:r>
          </w:p>
        </w:tc>
        <w:tc>
          <w:tcPr>
            <w:tcW w:w="1717" w:type="dxa"/>
            <w:tcBorders>
              <w:top w:val="single" w:color="auto" w:sz="2" w:space="0"/>
              <w:bottom w:val="single" w:color="auto" w:sz="2" w:space="0"/>
            </w:tcBorders>
            <w:vAlign w:val="bottom"/>
          </w:tcPr>
          <w:p w14:paraId="57A5DF94">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32.97</w:t>
            </w:r>
          </w:p>
        </w:tc>
      </w:tr>
      <w:tr w14:paraId="6B60E9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jc w:val="center"/>
        </w:trPr>
        <w:tc>
          <w:tcPr>
            <w:tcW w:w="1663" w:type="dxa"/>
            <w:vMerge w:val="continue"/>
            <w:vAlign w:val="center"/>
          </w:tcPr>
          <w:p w14:paraId="40CCE47A">
            <w:pPr>
              <w:pStyle w:val="8"/>
              <w:suppressLineNumbers w:val="0"/>
              <w:bidi w:val="0"/>
              <w:spacing w:before="0" w:beforeAutospacing="0" w:after="0" w:afterAutospacing="0"/>
              <w:ind w:left="0" w:right="0"/>
              <w:rPr>
                <w:rFonts w:hint="default"/>
                <w:highlight w:val="none"/>
              </w:rPr>
            </w:pPr>
          </w:p>
        </w:tc>
        <w:tc>
          <w:tcPr>
            <w:tcW w:w="1726" w:type="dxa"/>
            <w:tcBorders>
              <w:top w:val="single" w:color="auto" w:sz="2" w:space="0"/>
            </w:tcBorders>
            <w:vAlign w:val="center"/>
          </w:tcPr>
          <w:p w14:paraId="595B2825">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ighlight w:val="none"/>
              </w:rPr>
            </w:pPr>
            <w:r>
              <w:rPr>
                <w:rFonts w:hint="default" w:ascii="Times New Roman" w:hAnsi="Times New Roman" w:cs="Times New Roman" w:eastAsiaTheme="minorEastAsia"/>
                <w:spacing w:val="0"/>
                <w:kern w:val="0"/>
                <w:position w:val="0"/>
                <w:sz w:val="21"/>
                <w:szCs w:val="21"/>
                <w:highlight w:val="none"/>
              </w:rPr>
              <w:t>总计</w:t>
            </w:r>
          </w:p>
        </w:tc>
        <w:tc>
          <w:tcPr>
            <w:tcW w:w="1701" w:type="dxa"/>
            <w:tcBorders>
              <w:top w:val="single" w:color="auto" w:sz="2" w:space="0"/>
            </w:tcBorders>
            <w:vAlign w:val="bottom"/>
          </w:tcPr>
          <w:p w14:paraId="69337345">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54.53</w:t>
            </w:r>
          </w:p>
        </w:tc>
        <w:tc>
          <w:tcPr>
            <w:tcW w:w="1715" w:type="dxa"/>
            <w:tcBorders>
              <w:top w:val="single" w:color="auto" w:sz="2" w:space="0"/>
            </w:tcBorders>
            <w:vAlign w:val="bottom"/>
          </w:tcPr>
          <w:p w14:paraId="4F936A2A">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3.01</w:t>
            </w:r>
          </w:p>
        </w:tc>
        <w:tc>
          <w:tcPr>
            <w:tcW w:w="1717" w:type="dxa"/>
            <w:tcBorders>
              <w:top w:val="single" w:color="auto" w:sz="2" w:space="0"/>
            </w:tcBorders>
            <w:vAlign w:val="bottom"/>
          </w:tcPr>
          <w:p w14:paraId="1083CBC9">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100.0</w:t>
            </w:r>
          </w:p>
        </w:tc>
      </w:tr>
      <w:tr w14:paraId="7D65D2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663" w:type="dxa"/>
            <w:vMerge w:val="restart"/>
            <w:vAlign w:val="center"/>
          </w:tcPr>
          <w:p w14:paraId="209A2DEB">
            <w:pPr>
              <w:pStyle w:val="8"/>
              <w:suppressLineNumbers w:val="0"/>
              <w:bidi w:val="0"/>
              <w:spacing w:before="0" w:beforeAutospacing="0" w:after="0" w:afterAutospacing="0"/>
              <w:ind w:left="0" w:right="0"/>
              <w:rPr>
                <w:rFonts w:hint="default"/>
                <w:highlight w:val="none"/>
              </w:rPr>
            </w:pPr>
            <w:r>
              <w:rPr>
                <w:rFonts w:hint="default"/>
                <w:highlight w:val="none"/>
              </w:rPr>
              <w:t>阴</w:t>
            </w:r>
          </w:p>
          <w:p w14:paraId="0FAB0AB8">
            <w:pPr>
              <w:pStyle w:val="8"/>
              <w:suppressLineNumbers w:val="0"/>
              <w:bidi w:val="0"/>
              <w:spacing w:before="0" w:beforeAutospacing="0" w:after="0" w:afterAutospacing="0"/>
              <w:ind w:left="0" w:right="0"/>
              <w:rPr>
                <w:rFonts w:hint="default"/>
                <w:highlight w:val="none"/>
              </w:rPr>
            </w:pPr>
            <w:r>
              <w:rPr>
                <w:rFonts w:hint="default"/>
                <w:highlight w:val="none"/>
              </w:rPr>
              <w:t>离</w:t>
            </w:r>
          </w:p>
          <w:p w14:paraId="4029DA00">
            <w:pPr>
              <w:pStyle w:val="8"/>
              <w:suppressLineNumbers w:val="0"/>
              <w:bidi w:val="0"/>
              <w:spacing w:before="0" w:beforeAutospacing="0" w:after="0" w:afterAutospacing="0"/>
              <w:ind w:left="0" w:right="0"/>
              <w:rPr>
                <w:rFonts w:hint="default"/>
                <w:highlight w:val="none"/>
              </w:rPr>
            </w:pPr>
            <w:r>
              <w:rPr>
                <w:rFonts w:hint="default"/>
                <w:highlight w:val="none"/>
              </w:rPr>
              <w:t>子</w:t>
            </w:r>
          </w:p>
        </w:tc>
        <w:tc>
          <w:tcPr>
            <w:tcW w:w="1726" w:type="dxa"/>
            <w:vAlign w:val="center"/>
          </w:tcPr>
          <w:p w14:paraId="4CD84047">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ighlight w:val="none"/>
              </w:rPr>
            </w:pPr>
            <w:r>
              <w:rPr>
                <w:rFonts w:hint="default" w:ascii="Times New Roman" w:hAnsi="Times New Roman" w:cs="Times New Roman" w:eastAsiaTheme="minorEastAsia"/>
                <w:spacing w:val="0"/>
                <w:kern w:val="0"/>
                <w:position w:val="0"/>
                <w:sz w:val="21"/>
                <w:szCs w:val="21"/>
                <w:highlight w:val="none"/>
              </w:rPr>
              <w:t>HCO</w:t>
            </w:r>
            <w:r>
              <w:rPr>
                <w:rFonts w:hint="default" w:ascii="Times New Roman" w:hAnsi="Times New Roman" w:cs="Times New Roman" w:eastAsiaTheme="minorEastAsia"/>
                <w:spacing w:val="0"/>
                <w:kern w:val="0"/>
                <w:position w:val="0"/>
                <w:sz w:val="21"/>
                <w:szCs w:val="21"/>
                <w:highlight w:val="none"/>
                <w:vertAlign w:val="subscript"/>
              </w:rPr>
              <w:t>3</w:t>
            </w:r>
            <w:r>
              <w:rPr>
                <w:rFonts w:hint="default" w:ascii="Times New Roman" w:hAnsi="Times New Roman" w:cs="Times New Roman" w:eastAsiaTheme="minorEastAsia"/>
                <w:spacing w:val="0"/>
                <w:kern w:val="0"/>
                <w:position w:val="0"/>
                <w:sz w:val="21"/>
                <w:szCs w:val="21"/>
                <w:highlight w:val="none"/>
                <w:vertAlign w:val="superscript"/>
              </w:rPr>
              <w:t>-</w:t>
            </w:r>
          </w:p>
        </w:tc>
        <w:tc>
          <w:tcPr>
            <w:tcW w:w="1701" w:type="dxa"/>
            <w:vAlign w:val="bottom"/>
          </w:tcPr>
          <w:p w14:paraId="585F2443">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134</w:t>
            </w:r>
          </w:p>
        </w:tc>
        <w:tc>
          <w:tcPr>
            <w:tcW w:w="1715" w:type="dxa"/>
            <w:vAlign w:val="bottom"/>
          </w:tcPr>
          <w:p w14:paraId="41D4CB6B">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2.20</w:t>
            </w:r>
          </w:p>
        </w:tc>
        <w:tc>
          <w:tcPr>
            <w:tcW w:w="1717" w:type="dxa"/>
            <w:vAlign w:val="bottom"/>
          </w:tcPr>
          <w:p w14:paraId="49F4CB84">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73.15</w:t>
            </w:r>
          </w:p>
        </w:tc>
      </w:tr>
      <w:tr w14:paraId="77F23A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663" w:type="dxa"/>
            <w:vMerge w:val="continue"/>
            <w:vAlign w:val="center"/>
          </w:tcPr>
          <w:p w14:paraId="2BF80021">
            <w:pPr>
              <w:pStyle w:val="8"/>
              <w:suppressLineNumbers w:val="0"/>
              <w:bidi w:val="0"/>
              <w:spacing w:before="0" w:beforeAutospacing="0" w:after="0" w:afterAutospacing="0"/>
              <w:ind w:left="0" w:right="0"/>
              <w:rPr>
                <w:rFonts w:hint="default"/>
                <w:highlight w:val="none"/>
              </w:rPr>
            </w:pPr>
          </w:p>
        </w:tc>
        <w:tc>
          <w:tcPr>
            <w:tcW w:w="1726" w:type="dxa"/>
            <w:vAlign w:val="center"/>
          </w:tcPr>
          <w:p w14:paraId="462649DE">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ighlight w:val="none"/>
              </w:rPr>
            </w:pPr>
            <w:r>
              <w:rPr>
                <w:rFonts w:hint="default" w:ascii="Times New Roman" w:hAnsi="Times New Roman" w:cs="Times New Roman" w:eastAsiaTheme="minorEastAsia"/>
                <w:spacing w:val="0"/>
                <w:kern w:val="0"/>
                <w:position w:val="0"/>
                <w:sz w:val="21"/>
                <w:szCs w:val="21"/>
                <w:highlight w:val="none"/>
              </w:rPr>
              <w:t>Cl</w:t>
            </w:r>
            <w:r>
              <w:rPr>
                <w:rFonts w:hint="default" w:ascii="Times New Roman" w:hAnsi="Times New Roman" w:cs="Times New Roman" w:eastAsiaTheme="minorEastAsia"/>
                <w:spacing w:val="0"/>
                <w:kern w:val="0"/>
                <w:position w:val="0"/>
                <w:sz w:val="21"/>
                <w:szCs w:val="21"/>
                <w:highlight w:val="none"/>
                <w:vertAlign w:val="superscript"/>
              </w:rPr>
              <w:t>-</w:t>
            </w:r>
          </w:p>
        </w:tc>
        <w:tc>
          <w:tcPr>
            <w:tcW w:w="1701" w:type="dxa"/>
            <w:vAlign w:val="bottom"/>
          </w:tcPr>
          <w:p w14:paraId="528AE2BD">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14.2</w:t>
            </w:r>
          </w:p>
        </w:tc>
        <w:tc>
          <w:tcPr>
            <w:tcW w:w="1715" w:type="dxa"/>
            <w:vAlign w:val="bottom"/>
          </w:tcPr>
          <w:p w14:paraId="746A5259">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0.40</w:t>
            </w:r>
          </w:p>
        </w:tc>
        <w:tc>
          <w:tcPr>
            <w:tcW w:w="1717" w:type="dxa"/>
            <w:vAlign w:val="bottom"/>
          </w:tcPr>
          <w:p w14:paraId="2FDDBB5E">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13.32</w:t>
            </w:r>
          </w:p>
        </w:tc>
      </w:tr>
      <w:tr w14:paraId="12FD4E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663" w:type="dxa"/>
            <w:vMerge w:val="continue"/>
            <w:vAlign w:val="center"/>
          </w:tcPr>
          <w:p w14:paraId="77E14E6D">
            <w:pPr>
              <w:pStyle w:val="8"/>
              <w:suppressLineNumbers w:val="0"/>
              <w:bidi w:val="0"/>
              <w:spacing w:before="0" w:beforeAutospacing="0" w:after="0" w:afterAutospacing="0"/>
              <w:ind w:left="0" w:right="0"/>
              <w:rPr>
                <w:rFonts w:hint="default"/>
                <w:highlight w:val="none"/>
              </w:rPr>
            </w:pPr>
          </w:p>
        </w:tc>
        <w:tc>
          <w:tcPr>
            <w:tcW w:w="1726" w:type="dxa"/>
            <w:vAlign w:val="center"/>
          </w:tcPr>
          <w:p w14:paraId="42C277E6">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ighlight w:val="none"/>
              </w:rPr>
            </w:pPr>
            <w:r>
              <w:rPr>
                <w:rFonts w:hint="default" w:ascii="Times New Roman" w:hAnsi="Times New Roman" w:cs="Times New Roman" w:eastAsiaTheme="minorEastAsia"/>
                <w:spacing w:val="0"/>
                <w:kern w:val="0"/>
                <w:position w:val="0"/>
                <w:sz w:val="21"/>
                <w:szCs w:val="21"/>
                <w:highlight w:val="none"/>
              </w:rPr>
              <w:t>SO</w:t>
            </w:r>
            <w:r>
              <w:rPr>
                <w:rFonts w:hint="default" w:ascii="Times New Roman" w:hAnsi="Times New Roman" w:cs="Times New Roman" w:eastAsiaTheme="minorEastAsia"/>
                <w:spacing w:val="0"/>
                <w:kern w:val="0"/>
                <w:position w:val="0"/>
                <w:sz w:val="21"/>
                <w:szCs w:val="21"/>
                <w:highlight w:val="none"/>
                <w:vertAlign w:val="subscript"/>
              </w:rPr>
              <w:t>4</w:t>
            </w:r>
            <w:r>
              <w:rPr>
                <w:rFonts w:hint="default" w:ascii="Times New Roman" w:hAnsi="Times New Roman" w:cs="Times New Roman" w:eastAsiaTheme="minorEastAsia"/>
                <w:spacing w:val="0"/>
                <w:kern w:val="0"/>
                <w:position w:val="0"/>
                <w:sz w:val="21"/>
                <w:szCs w:val="21"/>
                <w:highlight w:val="none"/>
                <w:vertAlign w:val="superscript"/>
              </w:rPr>
              <w:t>2-</w:t>
            </w:r>
          </w:p>
        </w:tc>
        <w:tc>
          <w:tcPr>
            <w:tcW w:w="1701" w:type="dxa"/>
            <w:vAlign w:val="bottom"/>
          </w:tcPr>
          <w:p w14:paraId="7CA78054">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19.5</w:t>
            </w:r>
          </w:p>
        </w:tc>
        <w:tc>
          <w:tcPr>
            <w:tcW w:w="1715" w:type="dxa"/>
            <w:vAlign w:val="bottom"/>
          </w:tcPr>
          <w:p w14:paraId="7FD2180F">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0.41</w:t>
            </w:r>
          </w:p>
        </w:tc>
        <w:tc>
          <w:tcPr>
            <w:tcW w:w="1717" w:type="dxa"/>
            <w:vAlign w:val="bottom"/>
          </w:tcPr>
          <w:p w14:paraId="5862C24A">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13.53</w:t>
            </w:r>
          </w:p>
        </w:tc>
      </w:tr>
      <w:tr w14:paraId="668971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63" w:type="dxa"/>
            <w:vMerge w:val="continue"/>
            <w:vAlign w:val="center"/>
          </w:tcPr>
          <w:p w14:paraId="682B6834">
            <w:pPr>
              <w:pStyle w:val="8"/>
              <w:suppressLineNumbers w:val="0"/>
              <w:bidi w:val="0"/>
              <w:spacing w:before="0" w:beforeAutospacing="0" w:after="0" w:afterAutospacing="0"/>
              <w:ind w:left="0" w:right="0"/>
              <w:rPr>
                <w:rFonts w:hint="default"/>
                <w:highlight w:val="none"/>
              </w:rPr>
            </w:pPr>
          </w:p>
        </w:tc>
        <w:tc>
          <w:tcPr>
            <w:tcW w:w="1726" w:type="dxa"/>
            <w:vAlign w:val="center"/>
          </w:tcPr>
          <w:p w14:paraId="45BEBAE1">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ighlight w:val="none"/>
              </w:rPr>
            </w:pPr>
            <w:r>
              <w:rPr>
                <w:rFonts w:hint="default" w:ascii="Times New Roman" w:hAnsi="Times New Roman" w:cs="Times New Roman" w:eastAsiaTheme="minorEastAsia"/>
                <w:spacing w:val="0"/>
                <w:kern w:val="0"/>
                <w:position w:val="0"/>
                <w:sz w:val="21"/>
                <w:szCs w:val="21"/>
                <w:highlight w:val="none"/>
              </w:rPr>
              <w:t>总计</w:t>
            </w:r>
          </w:p>
        </w:tc>
        <w:tc>
          <w:tcPr>
            <w:tcW w:w="1701" w:type="dxa"/>
            <w:vAlign w:val="bottom"/>
          </w:tcPr>
          <w:p w14:paraId="1263BCC9">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167.7</w:t>
            </w:r>
          </w:p>
        </w:tc>
        <w:tc>
          <w:tcPr>
            <w:tcW w:w="1715" w:type="dxa"/>
            <w:vAlign w:val="bottom"/>
          </w:tcPr>
          <w:p w14:paraId="7D3AA691">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3.00</w:t>
            </w:r>
          </w:p>
        </w:tc>
        <w:tc>
          <w:tcPr>
            <w:tcW w:w="1717" w:type="dxa"/>
            <w:vAlign w:val="bottom"/>
          </w:tcPr>
          <w:p w14:paraId="2C7B816E">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100.0</w:t>
            </w:r>
          </w:p>
        </w:tc>
      </w:tr>
      <w:tr w14:paraId="29DBFC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389" w:type="dxa"/>
            <w:gridSpan w:val="2"/>
            <w:vAlign w:val="center"/>
          </w:tcPr>
          <w:p w14:paraId="773C8DF4">
            <w:pPr>
              <w:pStyle w:val="8"/>
              <w:suppressLineNumbers w:val="0"/>
              <w:bidi w:val="0"/>
              <w:spacing w:before="0" w:beforeAutospacing="0" w:after="0" w:afterAutospacing="0"/>
              <w:ind w:left="0" w:right="0"/>
              <w:rPr>
                <w:rFonts w:hint="default"/>
                <w:highlight w:val="none"/>
              </w:rPr>
            </w:pPr>
            <w:r>
              <w:rPr>
                <w:rFonts w:hint="default"/>
                <w:highlight w:val="none"/>
              </w:rPr>
              <w:t>3#井</w:t>
            </w:r>
          </w:p>
        </w:tc>
        <w:tc>
          <w:tcPr>
            <w:tcW w:w="1701" w:type="dxa"/>
            <w:vAlign w:val="center"/>
          </w:tcPr>
          <w:p w14:paraId="26E038AA">
            <w:pPr>
              <w:pStyle w:val="8"/>
              <w:suppressLineNumbers w:val="0"/>
              <w:bidi w:val="0"/>
              <w:spacing w:before="0" w:beforeAutospacing="0" w:after="0" w:afterAutospacing="0"/>
              <w:ind w:left="0" w:right="0"/>
              <w:rPr>
                <w:rFonts w:hint="default"/>
                <w:highlight w:val="none"/>
              </w:rPr>
            </w:pPr>
            <w:r>
              <w:rPr>
                <w:rFonts w:hint="default"/>
                <w:highlight w:val="none"/>
              </w:rPr>
              <w:t>mg/L</w:t>
            </w:r>
          </w:p>
        </w:tc>
        <w:tc>
          <w:tcPr>
            <w:tcW w:w="1715" w:type="dxa"/>
            <w:vAlign w:val="center"/>
          </w:tcPr>
          <w:p w14:paraId="2613C71B">
            <w:pPr>
              <w:pStyle w:val="8"/>
              <w:suppressLineNumbers w:val="0"/>
              <w:bidi w:val="0"/>
              <w:spacing w:before="0" w:beforeAutospacing="0" w:after="0" w:afterAutospacing="0"/>
              <w:ind w:left="0" w:right="0"/>
              <w:rPr>
                <w:rFonts w:hint="default"/>
                <w:highlight w:val="none"/>
              </w:rPr>
            </w:pPr>
            <w:r>
              <w:rPr>
                <w:rFonts w:hint="default"/>
                <w:highlight w:val="none"/>
              </w:rPr>
              <w:t>meq/L</w:t>
            </w:r>
          </w:p>
        </w:tc>
        <w:tc>
          <w:tcPr>
            <w:tcW w:w="1717" w:type="dxa"/>
            <w:vAlign w:val="center"/>
          </w:tcPr>
          <w:p w14:paraId="0D1C3AE7">
            <w:pPr>
              <w:pStyle w:val="8"/>
              <w:suppressLineNumbers w:val="0"/>
              <w:bidi w:val="0"/>
              <w:spacing w:before="0" w:beforeAutospacing="0" w:after="0" w:afterAutospacing="0"/>
              <w:ind w:left="0" w:right="0"/>
              <w:rPr>
                <w:rFonts w:hint="default"/>
                <w:highlight w:val="none"/>
              </w:rPr>
            </w:pPr>
            <w:r>
              <w:rPr>
                <w:rFonts w:hint="default"/>
                <w:highlight w:val="none"/>
              </w:rPr>
              <w:t>meq%</w:t>
            </w:r>
          </w:p>
        </w:tc>
      </w:tr>
      <w:tr w14:paraId="429AB4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63" w:type="dxa"/>
            <w:vMerge w:val="restart"/>
            <w:vAlign w:val="center"/>
          </w:tcPr>
          <w:p w14:paraId="22C6ED87">
            <w:pPr>
              <w:pStyle w:val="8"/>
              <w:suppressLineNumbers w:val="0"/>
              <w:bidi w:val="0"/>
              <w:spacing w:before="0" w:beforeAutospacing="0" w:after="0" w:afterAutospacing="0"/>
              <w:ind w:left="0" w:right="0"/>
              <w:rPr>
                <w:rFonts w:hint="default"/>
                <w:highlight w:val="none"/>
              </w:rPr>
            </w:pPr>
            <w:r>
              <w:rPr>
                <w:rFonts w:hint="default"/>
                <w:highlight w:val="none"/>
              </w:rPr>
              <w:t>阳</w:t>
            </w:r>
          </w:p>
          <w:p w14:paraId="37922C07">
            <w:pPr>
              <w:pStyle w:val="8"/>
              <w:suppressLineNumbers w:val="0"/>
              <w:bidi w:val="0"/>
              <w:spacing w:before="0" w:beforeAutospacing="0" w:after="0" w:afterAutospacing="0"/>
              <w:ind w:left="0" w:right="0"/>
              <w:rPr>
                <w:rFonts w:hint="default"/>
                <w:highlight w:val="none"/>
              </w:rPr>
            </w:pPr>
            <w:r>
              <w:rPr>
                <w:rFonts w:hint="default"/>
                <w:highlight w:val="none"/>
              </w:rPr>
              <w:t>离</w:t>
            </w:r>
          </w:p>
          <w:p w14:paraId="0EDB10D8">
            <w:pPr>
              <w:pStyle w:val="8"/>
              <w:suppressLineNumbers w:val="0"/>
              <w:bidi w:val="0"/>
              <w:spacing w:before="0" w:beforeAutospacing="0" w:after="0" w:afterAutospacing="0"/>
              <w:ind w:left="0" w:leftChars="0" w:right="0" w:rightChars="0" w:firstLine="0" w:firstLineChars="0"/>
              <w:rPr>
                <w:rFonts w:hint="default"/>
                <w:highlight w:val="none"/>
              </w:rPr>
            </w:pPr>
            <w:r>
              <w:rPr>
                <w:rFonts w:hint="default"/>
                <w:highlight w:val="none"/>
              </w:rPr>
              <w:t>子</w:t>
            </w:r>
          </w:p>
        </w:tc>
        <w:tc>
          <w:tcPr>
            <w:tcW w:w="1726" w:type="dxa"/>
            <w:vAlign w:val="center"/>
          </w:tcPr>
          <w:p w14:paraId="5E5F8C9F">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ighlight w:val="none"/>
              </w:rPr>
            </w:pPr>
            <w:r>
              <w:rPr>
                <w:rFonts w:hint="default" w:ascii="Times New Roman" w:hAnsi="Times New Roman" w:cs="Times New Roman" w:eastAsiaTheme="minorEastAsia"/>
                <w:spacing w:val="0"/>
                <w:kern w:val="0"/>
                <w:position w:val="0"/>
                <w:sz w:val="21"/>
                <w:szCs w:val="21"/>
                <w:highlight w:val="none"/>
              </w:rPr>
              <w:t>K</w:t>
            </w:r>
            <w:r>
              <w:rPr>
                <w:rFonts w:hint="default" w:ascii="Times New Roman" w:hAnsi="Times New Roman" w:cs="Times New Roman" w:eastAsiaTheme="minorEastAsia"/>
                <w:spacing w:val="0"/>
                <w:kern w:val="0"/>
                <w:position w:val="0"/>
                <w:sz w:val="21"/>
                <w:szCs w:val="21"/>
                <w:highlight w:val="none"/>
                <w:vertAlign w:val="superscript"/>
              </w:rPr>
              <w:t>+</w:t>
            </w:r>
            <w:r>
              <w:rPr>
                <w:rFonts w:hint="default" w:ascii="Times New Roman" w:hAnsi="Times New Roman" w:cs="Times New Roman" w:eastAsiaTheme="minorEastAsia"/>
                <w:spacing w:val="0"/>
                <w:kern w:val="0"/>
                <w:position w:val="0"/>
                <w:sz w:val="21"/>
                <w:szCs w:val="21"/>
                <w:highlight w:val="none"/>
              </w:rPr>
              <w:t>+Na</w:t>
            </w:r>
            <w:r>
              <w:rPr>
                <w:rFonts w:hint="default" w:ascii="Times New Roman" w:hAnsi="Times New Roman" w:cs="Times New Roman" w:eastAsiaTheme="minorEastAsia"/>
                <w:spacing w:val="0"/>
                <w:kern w:val="0"/>
                <w:position w:val="0"/>
                <w:sz w:val="21"/>
                <w:szCs w:val="21"/>
                <w:highlight w:val="none"/>
                <w:vertAlign w:val="superscript"/>
              </w:rPr>
              <w:t>+</w:t>
            </w:r>
          </w:p>
        </w:tc>
        <w:tc>
          <w:tcPr>
            <w:tcW w:w="1701" w:type="dxa"/>
            <w:vAlign w:val="bottom"/>
          </w:tcPr>
          <w:p w14:paraId="1AFA6B9C">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14.98</w:t>
            </w:r>
          </w:p>
        </w:tc>
        <w:tc>
          <w:tcPr>
            <w:tcW w:w="1715" w:type="dxa"/>
            <w:vAlign w:val="bottom"/>
          </w:tcPr>
          <w:p w14:paraId="1E0CFCD5">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0.63</w:t>
            </w:r>
          </w:p>
        </w:tc>
        <w:tc>
          <w:tcPr>
            <w:tcW w:w="1717" w:type="dxa"/>
            <w:vAlign w:val="bottom"/>
          </w:tcPr>
          <w:p w14:paraId="43150A30">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13.80</w:t>
            </w:r>
          </w:p>
        </w:tc>
      </w:tr>
      <w:tr w14:paraId="07EA9F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63" w:type="dxa"/>
            <w:vMerge w:val="continue"/>
            <w:vAlign w:val="center"/>
          </w:tcPr>
          <w:p w14:paraId="69F726E5">
            <w:pPr>
              <w:pStyle w:val="8"/>
              <w:suppressLineNumbers w:val="0"/>
              <w:bidi w:val="0"/>
              <w:spacing w:before="0" w:beforeAutospacing="0" w:after="0" w:afterAutospacing="0"/>
              <w:ind w:left="0" w:right="0"/>
              <w:rPr>
                <w:rFonts w:hint="default"/>
                <w:highlight w:val="none"/>
              </w:rPr>
            </w:pPr>
          </w:p>
        </w:tc>
        <w:tc>
          <w:tcPr>
            <w:tcW w:w="1726" w:type="dxa"/>
            <w:vAlign w:val="center"/>
          </w:tcPr>
          <w:p w14:paraId="1961B089">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ighlight w:val="none"/>
              </w:rPr>
            </w:pPr>
            <w:r>
              <w:rPr>
                <w:rFonts w:hint="default" w:ascii="Times New Roman" w:hAnsi="Times New Roman" w:cs="Times New Roman" w:eastAsiaTheme="minorEastAsia"/>
                <w:spacing w:val="0"/>
                <w:kern w:val="0"/>
                <w:position w:val="0"/>
                <w:sz w:val="21"/>
                <w:szCs w:val="21"/>
                <w:highlight w:val="none"/>
              </w:rPr>
              <w:t>Ca</w:t>
            </w:r>
            <w:r>
              <w:rPr>
                <w:rFonts w:hint="default" w:ascii="Times New Roman" w:hAnsi="Times New Roman" w:cs="Times New Roman" w:eastAsiaTheme="minorEastAsia"/>
                <w:spacing w:val="0"/>
                <w:kern w:val="0"/>
                <w:position w:val="0"/>
                <w:sz w:val="21"/>
                <w:szCs w:val="21"/>
                <w:highlight w:val="none"/>
                <w:vertAlign w:val="superscript"/>
              </w:rPr>
              <w:t>2+</w:t>
            </w:r>
          </w:p>
        </w:tc>
        <w:tc>
          <w:tcPr>
            <w:tcW w:w="1701" w:type="dxa"/>
            <w:vAlign w:val="bottom"/>
          </w:tcPr>
          <w:p w14:paraId="1B716AED">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61.6</w:t>
            </w:r>
          </w:p>
        </w:tc>
        <w:tc>
          <w:tcPr>
            <w:tcW w:w="1715" w:type="dxa"/>
            <w:vAlign w:val="bottom"/>
          </w:tcPr>
          <w:p w14:paraId="31953F5F">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3.08</w:t>
            </w:r>
          </w:p>
        </w:tc>
        <w:tc>
          <w:tcPr>
            <w:tcW w:w="1717" w:type="dxa"/>
            <w:vAlign w:val="bottom"/>
          </w:tcPr>
          <w:p w14:paraId="7F852C8B">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67.27</w:t>
            </w:r>
          </w:p>
        </w:tc>
      </w:tr>
      <w:tr w14:paraId="7835A0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63" w:type="dxa"/>
            <w:vMerge w:val="continue"/>
            <w:vAlign w:val="center"/>
          </w:tcPr>
          <w:p w14:paraId="11D29E75">
            <w:pPr>
              <w:pStyle w:val="8"/>
              <w:suppressLineNumbers w:val="0"/>
              <w:bidi w:val="0"/>
              <w:spacing w:before="0" w:beforeAutospacing="0" w:after="0" w:afterAutospacing="0"/>
              <w:ind w:left="0" w:right="0"/>
              <w:rPr>
                <w:rFonts w:hint="default"/>
                <w:highlight w:val="none"/>
              </w:rPr>
            </w:pPr>
          </w:p>
        </w:tc>
        <w:tc>
          <w:tcPr>
            <w:tcW w:w="1726" w:type="dxa"/>
            <w:shd w:val="clear" w:color="auto" w:fill="auto"/>
            <w:vAlign w:val="center"/>
          </w:tcPr>
          <w:p w14:paraId="3403BC99">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kern w:val="2"/>
                <w:sz w:val="24"/>
                <w:szCs w:val="24"/>
                <w:highlight w:val="none"/>
                <w:lang w:val="en-US" w:eastAsia="zh-CN" w:bidi="ar-SA"/>
              </w:rPr>
            </w:pPr>
            <w:r>
              <w:rPr>
                <w:rFonts w:hint="default" w:ascii="Times New Roman" w:hAnsi="Times New Roman" w:cs="Times New Roman" w:eastAsiaTheme="minorEastAsia"/>
                <w:spacing w:val="0"/>
                <w:kern w:val="0"/>
                <w:position w:val="0"/>
                <w:sz w:val="21"/>
                <w:szCs w:val="21"/>
                <w:highlight w:val="none"/>
              </w:rPr>
              <w:t>Mg</w:t>
            </w:r>
            <w:r>
              <w:rPr>
                <w:rFonts w:hint="default" w:ascii="Times New Roman" w:hAnsi="Times New Roman" w:cs="Times New Roman" w:eastAsiaTheme="minorEastAsia"/>
                <w:spacing w:val="0"/>
                <w:kern w:val="0"/>
                <w:position w:val="0"/>
                <w:sz w:val="21"/>
                <w:szCs w:val="21"/>
                <w:highlight w:val="none"/>
                <w:vertAlign w:val="superscript"/>
              </w:rPr>
              <w:t>2+</w:t>
            </w:r>
          </w:p>
        </w:tc>
        <w:tc>
          <w:tcPr>
            <w:tcW w:w="1701" w:type="dxa"/>
            <w:shd w:val="clear" w:color="auto" w:fill="auto"/>
            <w:vAlign w:val="bottom"/>
          </w:tcPr>
          <w:p w14:paraId="05B73CB4">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kern w:val="0"/>
                <w:sz w:val="21"/>
                <w:szCs w:val="24"/>
                <w:highlight w:val="none"/>
                <w:lang w:val="en-US" w:eastAsia="zh-CN" w:bidi="ar-SA"/>
              </w:rPr>
            </w:pPr>
            <w:r>
              <w:rPr>
                <w:rFonts w:hint="default"/>
                <w:highlight w:val="none"/>
                <w:lang w:val="en-US" w:eastAsia="zh-CN"/>
              </w:rPr>
              <w:t>10.4</w:t>
            </w:r>
          </w:p>
        </w:tc>
        <w:tc>
          <w:tcPr>
            <w:tcW w:w="1715" w:type="dxa"/>
            <w:shd w:val="clear" w:color="auto" w:fill="auto"/>
            <w:vAlign w:val="bottom"/>
          </w:tcPr>
          <w:p w14:paraId="51542B0E">
            <w:pPr>
              <w:pStyle w:val="8"/>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color w:val="000000"/>
                <w:kern w:val="0"/>
                <w:sz w:val="21"/>
                <w:szCs w:val="24"/>
                <w:highlight w:val="none"/>
                <w:lang w:val="en-US" w:eastAsia="zh-CN" w:bidi="ar-SA"/>
              </w:rPr>
            </w:pPr>
            <w:r>
              <w:rPr>
                <w:rFonts w:hint="eastAsia"/>
                <w:highlight w:val="none"/>
                <w:lang w:val="en-US" w:eastAsia="zh-CN"/>
              </w:rPr>
              <w:t>0.87</w:t>
            </w:r>
          </w:p>
        </w:tc>
        <w:tc>
          <w:tcPr>
            <w:tcW w:w="1717" w:type="dxa"/>
            <w:shd w:val="clear" w:color="auto" w:fill="auto"/>
            <w:vAlign w:val="bottom"/>
          </w:tcPr>
          <w:p w14:paraId="54A25063">
            <w:pPr>
              <w:pStyle w:val="8"/>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color w:val="000000"/>
                <w:kern w:val="0"/>
                <w:sz w:val="21"/>
                <w:szCs w:val="24"/>
                <w:highlight w:val="none"/>
                <w:lang w:val="en-US" w:eastAsia="zh-CN" w:bidi="ar-SA"/>
              </w:rPr>
            </w:pPr>
            <w:r>
              <w:rPr>
                <w:rFonts w:hint="eastAsia"/>
                <w:highlight w:val="none"/>
                <w:lang w:val="en-US" w:eastAsia="zh-CN"/>
              </w:rPr>
              <w:t>18.93</w:t>
            </w:r>
          </w:p>
        </w:tc>
      </w:tr>
      <w:tr w14:paraId="3A67A4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63" w:type="dxa"/>
            <w:vMerge w:val="continue"/>
            <w:vAlign w:val="center"/>
          </w:tcPr>
          <w:p w14:paraId="75A3B3C1">
            <w:pPr>
              <w:pStyle w:val="8"/>
              <w:suppressLineNumbers w:val="0"/>
              <w:bidi w:val="0"/>
              <w:spacing w:before="0" w:beforeAutospacing="0" w:after="0" w:afterAutospacing="0"/>
              <w:ind w:left="0" w:right="0"/>
              <w:rPr>
                <w:rFonts w:hint="default"/>
                <w:highlight w:val="none"/>
              </w:rPr>
            </w:pPr>
          </w:p>
        </w:tc>
        <w:tc>
          <w:tcPr>
            <w:tcW w:w="1726" w:type="dxa"/>
            <w:shd w:val="clear" w:color="auto" w:fill="auto"/>
            <w:vAlign w:val="center"/>
          </w:tcPr>
          <w:p w14:paraId="645216B1">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kern w:val="2"/>
                <w:sz w:val="24"/>
                <w:szCs w:val="24"/>
                <w:highlight w:val="none"/>
                <w:lang w:val="en-US" w:eastAsia="zh-CN" w:bidi="ar-SA"/>
              </w:rPr>
            </w:pPr>
            <w:r>
              <w:rPr>
                <w:rFonts w:hint="default" w:ascii="Times New Roman" w:hAnsi="Times New Roman" w:cs="Times New Roman" w:eastAsiaTheme="minorEastAsia"/>
                <w:spacing w:val="0"/>
                <w:kern w:val="0"/>
                <w:position w:val="0"/>
                <w:sz w:val="21"/>
                <w:szCs w:val="21"/>
                <w:highlight w:val="none"/>
              </w:rPr>
              <w:t>总计</w:t>
            </w:r>
          </w:p>
        </w:tc>
        <w:tc>
          <w:tcPr>
            <w:tcW w:w="1701" w:type="dxa"/>
            <w:shd w:val="clear" w:color="auto" w:fill="auto"/>
            <w:vAlign w:val="bottom"/>
          </w:tcPr>
          <w:p w14:paraId="12E58B29">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kern w:val="0"/>
                <w:sz w:val="21"/>
                <w:szCs w:val="24"/>
                <w:highlight w:val="none"/>
                <w:lang w:val="en-US" w:eastAsia="zh-CN" w:bidi="ar-SA"/>
              </w:rPr>
            </w:pPr>
            <w:r>
              <w:rPr>
                <w:rFonts w:hint="default"/>
                <w:highlight w:val="none"/>
                <w:lang w:val="en-US" w:eastAsia="zh-CN"/>
              </w:rPr>
              <w:t>86.98</w:t>
            </w:r>
          </w:p>
        </w:tc>
        <w:tc>
          <w:tcPr>
            <w:tcW w:w="1715" w:type="dxa"/>
            <w:shd w:val="clear" w:color="auto" w:fill="auto"/>
            <w:vAlign w:val="bottom"/>
          </w:tcPr>
          <w:p w14:paraId="60F5CFE2">
            <w:pPr>
              <w:pStyle w:val="8"/>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color w:val="000000"/>
                <w:kern w:val="0"/>
                <w:sz w:val="21"/>
                <w:szCs w:val="24"/>
                <w:highlight w:val="none"/>
                <w:lang w:val="en-US" w:eastAsia="zh-CN" w:bidi="ar-SA"/>
              </w:rPr>
            </w:pPr>
            <w:r>
              <w:rPr>
                <w:rFonts w:hint="eastAsia"/>
                <w:highlight w:val="none"/>
                <w:lang w:val="en-US" w:eastAsia="zh-CN"/>
              </w:rPr>
              <w:t>4.58</w:t>
            </w:r>
          </w:p>
        </w:tc>
        <w:tc>
          <w:tcPr>
            <w:tcW w:w="1717" w:type="dxa"/>
            <w:shd w:val="clear" w:color="auto" w:fill="auto"/>
            <w:vAlign w:val="bottom"/>
          </w:tcPr>
          <w:p w14:paraId="037D5368">
            <w:pPr>
              <w:pStyle w:val="8"/>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color w:val="000000"/>
                <w:kern w:val="0"/>
                <w:sz w:val="21"/>
                <w:szCs w:val="24"/>
                <w:highlight w:val="none"/>
                <w:lang w:val="en-US" w:eastAsia="zh-CN" w:bidi="ar-SA"/>
              </w:rPr>
            </w:pPr>
            <w:r>
              <w:rPr>
                <w:rFonts w:hint="eastAsia"/>
                <w:highlight w:val="none"/>
                <w:lang w:val="en-US" w:eastAsia="zh-CN"/>
              </w:rPr>
              <w:t>100.0</w:t>
            </w:r>
          </w:p>
        </w:tc>
      </w:tr>
    </w:tbl>
    <w:p w14:paraId="78E2D566">
      <w:pPr>
        <w:jc w:val="center"/>
        <w:rPr>
          <w:highlight w:val="none"/>
        </w:rPr>
      </w:pPr>
      <w:r>
        <w:rPr>
          <w:rFonts w:hint="eastAsia" w:hAnsiTheme="minorEastAsia" w:eastAsiaTheme="minorEastAsia"/>
          <w:b/>
          <w:snapToGrid w:val="0"/>
          <w:sz w:val="24"/>
          <w:highlight w:val="none"/>
          <w:lang w:val="en-US" w:eastAsia="zh-CN"/>
        </w:rPr>
        <w:t>续</w:t>
      </w:r>
      <w:r>
        <w:rPr>
          <w:rFonts w:hAnsiTheme="minorEastAsia" w:eastAsiaTheme="minorEastAsia"/>
          <w:b/>
          <w:snapToGrid w:val="0"/>
          <w:sz w:val="24"/>
          <w:highlight w:val="none"/>
        </w:rPr>
        <w:t>表</w:t>
      </w:r>
      <w:r>
        <w:rPr>
          <w:rFonts w:eastAsiaTheme="minorEastAsia"/>
          <w:b/>
          <w:snapToGrid w:val="0"/>
          <w:sz w:val="24"/>
          <w:highlight w:val="none"/>
        </w:rPr>
        <w:t>4-2-</w:t>
      </w:r>
      <w:r>
        <w:rPr>
          <w:rFonts w:hint="eastAsia" w:eastAsiaTheme="minorEastAsia"/>
          <w:b/>
          <w:snapToGrid w:val="0"/>
          <w:sz w:val="24"/>
          <w:highlight w:val="none"/>
          <w:lang w:val="en-US" w:eastAsia="zh-CN"/>
        </w:rPr>
        <w:t>10</w:t>
      </w:r>
      <w:r>
        <w:rPr>
          <w:rFonts w:hAnsiTheme="minorEastAsia" w:eastAsiaTheme="minorEastAsia"/>
          <w:b/>
          <w:snapToGrid w:val="0"/>
          <w:sz w:val="24"/>
          <w:highlight w:val="none"/>
        </w:rPr>
        <w:t>八大离子的检测结果统计表</w:t>
      </w:r>
    </w:p>
    <w:tbl>
      <w:tblPr>
        <w:tblStyle w:val="46"/>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63"/>
        <w:gridCol w:w="1726"/>
        <w:gridCol w:w="1701"/>
        <w:gridCol w:w="1715"/>
        <w:gridCol w:w="1717"/>
      </w:tblGrid>
      <w:tr w14:paraId="285095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63" w:type="dxa"/>
            <w:vMerge w:val="restart"/>
            <w:vAlign w:val="center"/>
          </w:tcPr>
          <w:p w14:paraId="63A4015F">
            <w:pPr>
              <w:pStyle w:val="8"/>
              <w:suppressLineNumbers w:val="0"/>
              <w:bidi w:val="0"/>
              <w:spacing w:before="0" w:beforeAutospacing="0" w:after="0" w:afterAutospacing="0"/>
              <w:ind w:left="0" w:right="0"/>
              <w:rPr>
                <w:rFonts w:hint="default"/>
                <w:highlight w:val="none"/>
              </w:rPr>
            </w:pPr>
            <w:r>
              <w:rPr>
                <w:rFonts w:hint="default"/>
                <w:highlight w:val="none"/>
              </w:rPr>
              <w:t>阴离子</w:t>
            </w:r>
          </w:p>
        </w:tc>
        <w:tc>
          <w:tcPr>
            <w:tcW w:w="1726" w:type="dxa"/>
            <w:vAlign w:val="center"/>
          </w:tcPr>
          <w:p w14:paraId="2D62D3E6">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ighlight w:val="none"/>
              </w:rPr>
            </w:pPr>
            <w:r>
              <w:rPr>
                <w:rFonts w:hint="default" w:ascii="Times New Roman" w:hAnsi="Times New Roman" w:cs="Times New Roman" w:eastAsiaTheme="minorEastAsia"/>
                <w:spacing w:val="0"/>
                <w:kern w:val="0"/>
                <w:position w:val="0"/>
                <w:sz w:val="21"/>
                <w:szCs w:val="21"/>
                <w:highlight w:val="none"/>
              </w:rPr>
              <w:t>HCO</w:t>
            </w:r>
            <w:r>
              <w:rPr>
                <w:rFonts w:hint="default" w:ascii="Times New Roman" w:hAnsi="Times New Roman" w:cs="Times New Roman" w:eastAsiaTheme="minorEastAsia"/>
                <w:spacing w:val="0"/>
                <w:kern w:val="0"/>
                <w:position w:val="0"/>
                <w:sz w:val="21"/>
                <w:szCs w:val="21"/>
                <w:highlight w:val="none"/>
                <w:vertAlign w:val="subscript"/>
              </w:rPr>
              <w:t>3</w:t>
            </w:r>
            <w:r>
              <w:rPr>
                <w:rFonts w:hint="default" w:ascii="Times New Roman" w:hAnsi="Times New Roman" w:cs="Times New Roman" w:eastAsiaTheme="minorEastAsia"/>
                <w:spacing w:val="0"/>
                <w:kern w:val="0"/>
                <w:position w:val="0"/>
                <w:sz w:val="21"/>
                <w:szCs w:val="21"/>
                <w:highlight w:val="none"/>
                <w:vertAlign w:val="superscript"/>
              </w:rPr>
              <w:t>-</w:t>
            </w:r>
          </w:p>
        </w:tc>
        <w:tc>
          <w:tcPr>
            <w:tcW w:w="1701" w:type="dxa"/>
            <w:vAlign w:val="bottom"/>
          </w:tcPr>
          <w:p w14:paraId="3616D548">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226</w:t>
            </w:r>
          </w:p>
        </w:tc>
        <w:tc>
          <w:tcPr>
            <w:tcW w:w="1715" w:type="dxa"/>
            <w:vAlign w:val="bottom"/>
          </w:tcPr>
          <w:p w14:paraId="23F9AED6">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3.70</w:t>
            </w:r>
          </w:p>
        </w:tc>
        <w:tc>
          <w:tcPr>
            <w:tcW w:w="1717" w:type="dxa"/>
            <w:vAlign w:val="bottom"/>
          </w:tcPr>
          <w:p w14:paraId="7EC8713D">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83.07</w:t>
            </w:r>
          </w:p>
        </w:tc>
      </w:tr>
      <w:tr w14:paraId="2C630F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63" w:type="dxa"/>
            <w:vMerge w:val="continue"/>
            <w:vAlign w:val="center"/>
          </w:tcPr>
          <w:p w14:paraId="3E8E42B9">
            <w:pPr>
              <w:pStyle w:val="8"/>
              <w:suppressLineNumbers w:val="0"/>
              <w:bidi w:val="0"/>
              <w:spacing w:before="0" w:beforeAutospacing="0" w:after="0" w:afterAutospacing="0"/>
              <w:ind w:left="0" w:right="0"/>
              <w:rPr>
                <w:rFonts w:hint="default"/>
                <w:highlight w:val="none"/>
              </w:rPr>
            </w:pPr>
          </w:p>
        </w:tc>
        <w:tc>
          <w:tcPr>
            <w:tcW w:w="1726" w:type="dxa"/>
            <w:vAlign w:val="center"/>
          </w:tcPr>
          <w:p w14:paraId="7DCE7B8B">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ighlight w:val="none"/>
              </w:rPr>
            </w:pPr>
            <w:r>
              <w:rPr>
                <w:rFonts w:hint="default" w:ascii="Times New Roman" w:hAnsi="Times New Roman" w:cs="Times New Roman" w:eastAsiaTheme="minorEastAsia"/>
                <w:spacing w:val="0"/>
                <w:kern w:val="0"/>
                <w:position w:val="0"/>
                <w:sz w:val="21"/>
                <w:szCs w:val="21"/>
                <w:highlight w:val="none"/>
              </w:rPr>
              <w:t>Cl</w:t>
            </w:r>
            <w:r>
              <w:rPr>
                <w:rFonts w:hint="default" w:ascii="Times New Roman" w:hAnsi="Times New Roman" w:cs="Times New Roman" w:eastAsiaTheme="minorEastAsia"/>
                <w:spacing w:val="0"/>
                <w:kern w:val="0"/>
                <w:position w:val="0"/>
                <w:sz w:val="21"/>
                <w:szCs w:val="21"/>
                <w:highlight w:val="none"/>
                <w:vertAlign w:val="superscript"/>
              </w:rPr>
              <w:t>-</w:t>
            </w:r>
          </w:p>
        </w:tc>
        <w:tc>
          <w:tcPr>
            <w:tcW w:w="1701" w:type="dxa"/>
            <w:vAlign w:val="bottom"/>
          </w:tcPr>
          <w:p w14:paraId="5D0FBE69">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18</w:t>
            </w:r>
          </w:p>
        </w:tc>
        <w:tc>
          <w:tcPr>
            <w:tcW w:w="1715" w:type="dxa"/>
            <w:vAlign w:val="bottom"/>
          </w:tcPr>
          <w:p w14:paraId="58BA1061">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0.51</w:t>
            </w:r>
          </w:p>
        </w:tc>
        <w:tc>
          <w:tcPr>
            <w:tcW w:w="1717" w:type="dxa"/>
            <w:vAlign w:val="bottom"/>
          </w:tcPr>
          <w:p w14:paraId="60C3C55C">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11.37</w:t>
            </w:r>
          </w:p>
        </w:tc>
      </w:tr>
      <w:tr w14:paraId="588A95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63" w:type="dxa"/>
            <w:vMerge w:val="continue"/>
            <w:vAlign w:val="center"/>
          </w:tcPr>
          <w:p w14:paraId="104DAAB0">
            <w:pPr>
              <w:pStyle w:val="8"/>
              <w:suppressLineNumbers w:val="0"/>
              <w:bidi w:val="0"/>
              <w:spacing w:before="0" w:beforeAutospacing="0" w:after="0" w:afterAutospacing="0"/>
              <w:ind w:left="0" w:right="0"/>
              <w:rPr>
                <w:rFonts w:hint="default"/>
                <w:highlight w:val="none"/>
              </w:rPr>
            </w:pPr>
          </w:p>
        </w:tc>
        <w:tc>
          <w:tcPr>
            <w:tcW w:w="1726" w:type="dxa"/>
            <w:vAlign w:val="center"/>
          </w:tcPr>
          <w:p w14:paraId="11327EB6">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ighlight w:val="none"/>
              </w:rPr>
            </w:pPr>
            <w:r>
              <w:rPr>
                <w:rFonts w:hint="default" w:ascii="Times New Roman" w:hAnsi="Times New Roman" w:cs="Times New Roman" w:eastAsiaTheme="minorEastAsia"/>
                <w:spacing w:val="0"/>
                <w:kern w:val="0"/>
                <w:position w:val="0"/>
                <w:sz w:val="21"/>
                <w:szCs w:val="21"/>
                <w:highlight w:val="none"/>
              </w:rPr>
              <w:t>SO</w:t>
            </w:r>
            <w:r>
              <w:rPr>
                <w:rFonts w:hint="default" w:ascii="Times New Roman" w:hAnsi="Times New Roman" w:cs="Times New Roman" w:eastAsiaTheme="minorEastAsia"/>
                <w:spacing w:val="0"/>
                <w:kern w:val="0"/>
                <w:position w:val="0"/>
                <w:sz w:val="21"/>
                <w:szCs w:val="21"/>
                <w:highlight w:val="none"/>
                <w:vertAlign w:val="subscript"/>
              </w:rPr>
              <w:t>4</w:t>
            </w:r>
            <w:r>
              <w:rPr>
                <w:rFonts w:hint="default" w:ascii="Times New Roman" w:hAnsi="Times New Roman" w:cs="Times New Roman" w:eastAsiaTheme="minorEastAsia"/>
                <w:spacing w:val="0"/>
                <w:kern w:val="0"/>
                <w:position w:val="0"/>
                <w:sz w:val="21"/>
                <w:szCs w:val="21"/>
                <w:highlight w:val="none"/>
                <w:vertAlign w:val="superscript"/>
              </w:rPr>
              <w:t>2-</w:t>
            </w:r>
          </w:p>
        </w:tc>
        <w:tc>
          <w:tcPr>
            <w:tcW w:w="1701" w:type="dxa"/>
            <w:vAlign w:val="bottom"/>
          </w:tcPr>
          <w:p w14:paraId="60E44E66">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11.9</w:t>
            </w:r>
          </w:p>
        </w:tc>
        <w:tc>
          <w:tcPr>
            <w:tcW w:w="1715" w:type="dxa"/>
            <w:vAlign w:val="bottom"/>
          </w:tcPr>
          <w:p w14:paraId="4D0A4B5C">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0.25</w:t>
            </w:r>
          </w:p>
        </w:tc>
        <w:tc>
          <w:tcPr>
            <w:tcW w:w="1717" w:type="dxa"/>
            <w:vAlign w:val="bottom"/>
          </w:tcPr>
          <w:p w14:paraId="5DE719DD">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5.56</w:t>
            </w:r>
          </w:p>
        </w:tc>
      </w:tr>
      <w:tr w14:paraId="270D3A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1663" w:type="dxa"/>
            <w:vMerge w:val="continue"/>
            <w:vAlign w:val="center"/>
          </w:tcPr>
          <w:p w14:paraId="6407F733">
            <w:pPr>
              <w:pStyle w:val="8"/>
              <w:suppressLineNumbers w:val="0"/>
              <w:bidi w:val="0"/>
              <w:spacing w:before="0" w:beforeAutospacing="0" w:after="0" w:afterAutospacing="0"/>
              <w:ind w:left="0" w:right="0"/>
              <w:rPr>
                <w:rFonts w:hint="default"/>
                <w:highlight w:val="none"/>
              </w:rPr>
            </w:pPr>
          </w:p>
        </w:tc>
        <w:tc>
          <w:tcPr>
            <w:tcW w:w="1726" w:type="dxa"/>
            <w:vAlign w:val="center"/>
          </w:tcPr>
          <w:p w14:paraId="46ED079A">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ighlight w:val="none"/>
              </w:rPr>
            </w:pPr>
            <w:r>
              <w:rPr>
                <w:rFonts w:hint="default" w:ascii="Times New Roman" w:hAnsi="Times New Roman" w:cs="Times New Roman" w:eastAsiaTheme="minorEastAsia"/>
                <w:spacing w:val="0"/>
                <w:kern w:val="0"/>
                <w:position w:val="0"/>
                <w:sz w:val="21"/>
                <w:szCs w:val="21"/>
                <w:highlight w:val="none"/>
              </w:rPr>
              <w:t>总计</w:t>
            </w:r>
          </w:p>
        </w:tc>
        <w:tc>
          <w:tcPr>
            <w:tcW w:w="1701" w:type="dxa"/>
            <w:vAlign w:val="bottom"/>
          </w:tcPr>
          <w:p w14:paraId="7D77957E">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255.9</w:t>
            </w:r>
          </w:p>
        </w:tc>
        <w:tc>
          <w:tcPr>
            <w:tcW w:w="1715" w:type="dxa"/>
            <w:vAlign w:val="bottom"/>
          </w:tcPr>
          <w:p w14:paraId="58474ADE">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4.46</w:t>
            </w:r>
          </w:p>
        </w:tc>
        <w:tc>
          <w:tcPr>
            <w:tcW w:w="1717" w:type="dxa"/>
            <w:vAlign w:val="bottom"/>
          </w:tcPr>
          <w:p w14:paraId="295D9492">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100.0</w:t>
            </w:r>
          </w:p>
        </w:tc>
      </w:tr>
      <w:tr w14:paraId="16639D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389" w:type="dxa"/>
            <w:gridSpan w:val="2"/>
            <w:vAlign w:val="center"/>
          </w:tcPr>
          <w:p w14:paraId="28961BED">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4</w:t>
            </w:r>
            <w:r>
              <w:rPr>
                <w:rFonts w:hint="default"/>
                <w:highlight w:val="none"/>
              </w:rPr>
              <w:t>#井</w:t>
            </w:r>
          </w:p>
        </w:tc>
        <w:tc>
          <w:tcPr>
            <w:tcW w:w="1701" w:type="dxa"/>
            <w:vAlign w:val="center"/>
          </w:tcPr>
          <w:p w14:paraId="65C2137F">
            <w:pPr>
              <w:pStyle w:val="8"/>
              <w:suppressLineNumbers w:val="0"/>
              <w:bidi w:val="0"/>
              <w:spacing w:before="0" w:beforeAutospacing="0" w:after="0" w:afterAutospacing="0"/>
              <w:ind w:left="0" w:right="0"/>
              <w:rPr>
                <w:rFonts w:hint="default"/>
                <w:highlight w:val="none"/>
              </w:rPr>
            </w:pPr>
            <w:r>
              <w:rPr>
                <w:rFonts w:hint="default"/>
                <w:highlight w:val="none"/>
              </w:rPr>
              <w:t>mg/L</w:t>
            </w:r>
          </w:p>
        </w:tc>
        <w:tc>
          <w:tcPr>
            <w:tcW w:w="1715" w:type="dxa"/>
            <w:vAlign w:val="center"/>
          </w:tcPr>
          <w:p w14:paraId="39563682">
            <w:pPr>
              <w:pStyle w:val="8"/>
              <w:suppressLineNumbers w:val="0"/>
              <w:bidi w:val="0"/>
              <w:spacing w:before="0" w:beforeAutospacing="0" w:after="0" w:afterAutospacing="0"/>
              <w:ind w:left="0" w:right="0"/>
              <w:rPr>
                <w:rFonts w:hint="default"/>
                <w:highlight w:val="none"/>
              </w:rPr>
            </w:pPr>
            <w:r>
              <w:rPr>
                <w:rFonts w:hint="default"/>
                <w:highlight w:val="none"/>
              </w:rPr>
              <w:t>meq/L</w:t>
            </w:r>
          </w:p>
        </w:tc>
        <w:tc>
          <w:tcPr>
            <w:tcW w:w="1717" w:type="dxa"/>
            <w:vAlign w:val="center"/>
          </w:tcPr>
          <w:p w14:paraId="56880331">
            <w:pPr>
              <w:pStyle w:val="8"/>
              <w:suppressLineNumbers w:val="0"/>
              <w:bidi w:val="0"/>
              <w:spacing w:before="0" w:beforeAutospacing="0" w:after="0" w:afterAutospacing="0"/>
              <w:ind w:left="0" w:right="0"/>
              <w:rPr>
                <w:rFonts w:hint="default"/>
                <w:highlight w:val="none"/>
              </w:rPr>
            </w:pPr>
            <w:r>
              <w:rPr>
                <w:rFonts w:hint="default"/>
                <w:highlight w:val="none"/>
              </w:rPr>
              <w:t>meq%</w:t>
            </w:r>
          </w:p>
        </w:tc>
      </w:tr>
      <w:tr w14:paraId="11924C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63" w:type="dxa"/>
            <w:vMerge w:val="restart"/>
            <w:vAlign w:val="center"/>
          </w:tcPr>
          <w:p w14:paraId="0218FCC8">
            <w:pPr>
              <w:pStyle w:val="8"/>
              <w:suppressLineNumbers w:val="0"/>
              <w:bidi w:val="0"/>
              <w:spacing w:before="0" w:beforeAutospacing="0" w:after="0" w:afterAutospacing="0"/>
              <w:ind w:left="0" w:right="0"/>
              <w:rPr>
                <w:rFonts w:hint="default"/>
                <w:highlight w:val="none"/>
              </w:rPr>
            </w:pPr>
            <w:r>
              <w:rPr>
                <w:rFonts w:hint="default"/>
                <w:highlight w:val="none"/>
              </w:rPr>
              <w:t>阳</w:t>
            </w:r>
          </w:p>
          <w:p w14:paraId="330C0E78">
            <w:pPr>
              <w:pStyle w:val="8"/>
              <w:suppressLineNumbers w:val="0"/>
              <w:bidi w:val="0"/>
              <w:spacing w:before="0" w:beforeAutospacing="0" w:after="0" w:afterAutospacing="0"/>
              <w:ind w:left="0" w:right="0"/>
              <w:rPr>
                <w:rFonts w:hint="default"/>
                <w:highlight w:val="none"/>
              </w:rPr>
            </w:pPr>
            <w:r>
              <w:rPr>
                <w:rFonts w:hint="default"/>
                <w:highlight w:val="none"/>
              </w:rPr>
              <w:t>离</w:t>
            </w:r>
          </w:p>
          <w:p w14:paraId="471F2BB9">
            <w:pPr>
              <w:pStyle w:val="8"/>
              <w:suppressLineNumbers w:val="0"/>
              <w:bidi w:val="0"/>
              <w:spacing w:before="0" w:beforeAutospacing="0" w:after="0" w:afterAutospacing="0"/>
              <w:ind w:left="0" w:right="0"/>
              <w:rPr>
                <w:rFonts w:hint="default"/>
                <w:highlight w:val="none"/>
              </w:rPr>
            </w:pPr>
            <w:r>
              <w:rPr>
                <w:rFonts w:hint="default"/>
                <w:highlight w:val="none"/>
              </w:rPr>
              <w:t>子</w:t>
            </w:r>
          </w:p>
        </w:tc>
        <w:tc>
          <w:tcPr>
            <w:tcW w:w="1726" w:type="dxa"/>
            <w:vAlign w:val="center"/>
          </w:tcPr>
          <w:p w14:paraId="00D24675">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ighlight w:val="none"/>
              </w:rPr>
            </w:pPr>
            <w:r>
              <w:rPr>
                <w:rFonts w:hint="default" w:ascii="Times New Roman" w:hAnsi="Times New Roman" w:cs="Times New Roman" w:eastAsiaTheme="minorEastAsia"/>
                <w:spacing w:val="0"/>
                <w:kern w:val="0"/>
                <w:position w:val="0"/>
                <w:sz w:val="21"/>
                <w:szCs w:val="21"/>
                <w:highlight w:val="none"/>
              </w:rPr>
              <w:t>K</w:t>
            </w:r>
            <w:r>
              <w:rPr>
                <w:rFonts w:hint="default" w:ascii="Times New Roman" w:hAnsi="Times New Roman" w:cs="Times New Roman" w:eastAsiaTheme="minorEastAsia"/>
                <w:spacing w:val="0"/>
                <w:kern w:val="0"/>
                <w:position w:val="0"/>
                <w:sz w:val="21"/>
                <w:szCs w:val="21"/>
                <w:highlight w:val="none"/>
                <w:vertAlign w:val="superscript"/>
              </w:rPr>
              <w:t>+</w:t>
            </w:r>
            <w:r>
              <w:rPr>
                <w:rFonts w:hint="default" w:ascii="Times New Roman" w:hAnsi="Times New Roman" w:cs="Times New Roman" w:eastAsiaTheme="minorEastAsia"/>
                <w:spacing w:val="0"/>
                <w:kern w:val="0"/>
                <w:position w:val="0"/>
                <w:sz w:val="21"/>
                <w:szCs w:val="21"/>
                <w:highlight w:val="none"/>
              </w:rPr>
              <w:t>+Na</w:t>
            </w:r>
            <w:r>
              <w:rPr>
                <w:rFonts w:hint="default" w:ascii="Times New Roman" w:hAnsi="Times New Roman" w:cs="Times New Roman" w:eastAsiaTheme="minorEastAsia"/>
                <w:spacing w:val="0"/>
                <w:kern w:val="0"/>
                <w:position w:val="0"/>
                <w:sz w:val="21"/>
                <w:szCs w:val="21"/>
                <w:highlight w:val="none"/>
                <w:vertAlign w:val="superscript"/>
              </w:rPr>
              <w:t>+</w:t>
            </w:r>
          </w:p>
        </w:tc>
        <w:tc>
          <w:tcPr>
            <w:tcW w:w="1701" w:type="dxa"/>
            <w:vAlign w:val="bottom"/>
          </w:tcPr>
          <w:p w14:paraId="19A0DFA7">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16.78</w:t>
            </w:r>
          </w:p>
        </w:tc>
        <w:tc>
          <w:tcPr>
            <w:tcW w:w="1715" w:type="dxa"/>
            <w:vAlign w:val="bottom"/>
          </w:tcPr>
          <w:p w14:paraId="1159C6B6">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0.69</w:t>
            </w:r>
          </w:p>
        </w:tc>
        <w:tc>
          <w:tcPr>
            <w:tcW w:w="1717" w:type="dxa"/>
            <w:vAlign w:val="bottom"/>
          </w:tcPr>
          <w:p w14:paraId="25922EFC">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23.17</w:t>
            </w:r>
          </w:p>
        </w:tc>
      </w:tr>
      <w:tr w14:paraId="1B4BBC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63" w:type="dxa"/>
            <w:vMerge w:val="continue"/>
            <w:vAlign w:val="center"/>
          </w:tcPr>
          <w:p w14:paraId="65243336">
            <w:pPr>
              <w:pStyle w:val="8"/>
              <w:suppressLineNumbers w:val="0"/>
              <w:bidi w:val="0"/>
              <w:spacing w:before="0" w:beforeAutospacing="0" w:after="0" w:afterAutospacing="0"/>
              <w:ind w:left="0" w:right="0"/>
              <w:rPr>
                <w:rFonts w:hint="default"/>
                <w:highlight w:val="none"/>
              </w:rPr>
            </w:pPr>
          </w:p>
        </w:tc>
        <w:tc>
          <w:tcPr>
            <w:tcW w:w="1726" w:type="dxa"/>
            <w:vAlign w:val="center"/>
          </w:tcPr>
          <w:p w14:paraId="2A36C5AD">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ighlight w:val="none"/>
              </w:rPr>
            </w:pPr>
            <w:r>
              <w:rPr>
                <w:rFonts w:hint="default" w:ascii="Times New Roman" w:hAnsi="Times New Roman" w:cs="Times New Roman" w:eastAsiaTheme="minorEastAsia"/>
                <w:spacing w:val="0"/>
                <w:kern w:val="0"/>
                <w:position w:val="0"/>
                <w:sz w:val="21"/>
                <w:szCs w:val="21"/>
                <w:highlight w:val="none"/>
              </w:rPr>
              <w:t>Ca</w:t>
            </w:r>
            <w:r>
              <w:rPr>
                <w:rFonts w:hint="default" w:ascii="Times New Roman" w:hAnsi="Times New Roman" w:cs="Times New Roman" w:eastAsiaTheme="minorEastAsia"/>
                <w:spacing w:val="0"/>
                <w:kern w:val="0"/>
                <w:position w:val="0"/>
                <w:sz w:val="21"/>
                <w:szCs w:val="21"/>
                <w:highlight w:val="none"/>
                <w:vertAlign w:val="superscript"/>
              </w:rPr>
              <w:t>2+</w:t>
            </w:r>
          </w:p>
        </w:tc>
        <w:tc>
          <w:tcPr>
            <w:tcW w:w="1701" w:type="dxa"/>
            <w:vAlign w:val="bottom"/>
          </w:tcPr>
          <w:p w14:paraId="288E909E">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25.8</w:t>
            </w:r>
          </w:p>
        </w:tc>
        <w:tc>
          <w:tcPr>
            <w:tcW w:w="1715" w:type="dxa"/>
            <w:vAlign w:val="bottom"/>
          </w:tcPr>
          <w:p w14:paraId="3D0118B4">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1.29</w:t>
            </w:r>
          </w:p>
        </w:tc>
        <w:tc>
          <w:tcPr>
            <w:tcW w:w="1717" w:type="dxa"/>
            <w:vAlign w:val="bottom"/>
          </w:tcPr>
          <w:p w14:paraId="3F534BFC">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43.28</w:t>
            </w:r>
          </w:p>
        </w:tc>
      </w:tr>
      <w:tr w14:paraId="1BB8C7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63" w:type="dxa"/>
            <w:vMerge w:val="continue"/>
            <w:vAlign w:val="center"/>
          </w:tcPr>
          <w:p w14:paraId="420CF81B">
            <w:pPr>
              <w:pStyle w:val="8"/>
              <w:suppressLineNumbers w:val="0"/>
              <w:bidi w:val="0"/>
              <w:spacing w:before="0" w:beforeAutospacing="0" w:after="0" w:afterAutospacing="0"/>
              <w:ind w:left="0" w:right="0"/>
              <w:rPr>
                <w:rFonts w:hint="default"/>
                <w:highlight w:val="none"/>
              </w:rPr>
            </w:pPr>
          </w:p>
        </w:tc>
        <w:tc>
          <w:tcPr>
            <w:tcW w:w="1726" w:type="dxa"/>
            <w:vAlign w:val="center"/>
          </w:tcPr>
          <w:p w14:paraId="77578292">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ighlight w:val="none"/>
              </w:rPr>
            </w:pPr>
            <w:r>
              <w:rPr>
                <w:rFonts w:hint="default" w:ascii="Times New Roman" w:hAnsi="Times New Roman" w:cs="Times New Roman" w:eastAsiaTheme="minorEastAsia"/>
                <w:spacing w:val="0"/>
                <w:kern w:val="0"/>
                <w:position w:val="0"/>
                <w:sz w:val="21"/>
                <w:szCs w:val="21"/>
                <w:highlight w:val="none"/>
              </w:rPr>
              <w:t>Mg</w:t>
            </w:r>
            <w:r>
              <w:rPr>
                <w:rFonts w:hint="default" w:ascii="Times New Roman" w:hAnsi="Times New Roman" w:cs="Times New Roman" w:eastAsiaTheme="minorEastAsia"/>
                <w:spacing w:val="0"/>
                <w:kern w:val="0"/>
                <w:position w:val="0"/>
                <w:sz w:val="21"/>
                <w:szCs w:val="21"/>
                <w:highlight w:val="none"/>
                <w:vertAlign w:val="superscript"/>
              </w:rPr>
              <w:t>2+</w:t>
            </w:r>
          </w:p>
        </w:tc>
        <w:tc>
          <w:tcPr>
            <w:tcW w:w="1701" w:type="dxa"/>
            <w:vAlign w:val="bottom"/>
          </w:tcPr>
          <w:p w14:paraId="7DA2DCB1">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12</w:t>
            </w:r>
          </w:p>
        </w:tc>
        <w:tc>
          <w:tcPr>
            <w:tcW w:w="1715" w:type="dxa"/>
            <w:vAlign w:val="bottom"/>
          </w:tcPr>
          <w:p w14:paraId="5290231A">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1.00</w:t>
            </w:r>
          </w:p>
        </w:tc>
        <w:tc>
          <w:tcPr>
            <w:tcW w:w="1717" w:type="dxa"/>
            <w:vAlign w:val="bottom"/>
          </w:tcPr>
          <w:p w14:paraId="50848142">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33.55</w:t>
            </w:r>
          </w:p>
        </w:tc>
      </w:tr>
      <w:tr w14:paraId="34982C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63" w:type="dxa"/>
            <w:vMerge w:val="continue"/>
            <w:vAlign w:val="center"/>
          </w:tcPr>
          <w:p w14:paraId="70BB80B5">
            <w:pPr>
              <w:pStyle w:val="8"/>
              <w:suppressLineNumbers w:val="0"/>
              <w:bidi w:val="0"/>
              <w:spacing w:before="0" w:beforeAutospacing="0" w:after="0" w:afterAutospacing="0"/>
              <w:ind w:left="0" w:right="0"/>
              <w:rPr>
                <w:rFonts w:hint="default"/>
                <w:highlight w:val="none"/>
              </w:rPr>
            </w:pPr>
          </w:p>
        </w:tc>
        <w:tc>
          <w:tcPr>
            <w:tcW w:w="1726" w:type="dxa"/>
            <w:vAlign w:val="center"/>
          </w:tcPr>
          <w:p w14:paraId="5EB1D964">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ighlight w:val="none"/>
              </w:rPr>
            </w:pPr>
            <w:r>
              <w:rPr>
                <w:rFonts w:hint="default" w:ascii="Times New Roman" w:hAnsi="Times New Roman" w:cs="Times New Roman" w:eastAsiaTheme="minorEastAsia"/>
                <w:spacing w:val="0"/>
                <w:kern w:val="0"/>
                <w:position w:val="0"/>
                <w:sz w:val="21"/>
                <w:szCs w:val="21"/>
                <w:highlight w:val="none"/>
              </w:rPr>
              <w:t>总计</w:t>
            </w:r>
          </w:p>
        </w:tc>
        <w:tc>
          <w:tcPr>
            <w:tcW w:w="1701" w:type="dxa"/>
            <w:vAlign w:val="bottom"/>
          </w:tcPr>
          <w:p w14:paraId="62FDD12E">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54.58</w:t>
            </w:r>
          </w:p>
        </w:tc>
        <w:tc>
          <w:tcPr>
            <w:tcW w:w="1715" w:type="dxa"/>
            <w:vAlign w:val="bottom"/>
          </w:tcPr>
          <w:p w14:paraId="71B54885">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2.98</w:t>
            </w:r>
          </w:p>
        </w:tc>
        <w:tc>
          <w:tcPr>
            <w:tcW w:w="1717" w:type="dxa"/>
            <w:vAlign w:val="bottom"/>
          </w:tcPr>
          <w:p w14:paraId="48170991">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100.0</w:t>
            </w:r>
          </w:p>
        </w:tc>
      </w:tr>
      <w:tr w14:paraId="1769B2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63" w:type="dxa"/>
            <w:vMerge w:val="restart"/>
            <w:vAlign w:val="center"/>
          </w:tcPr>
          <w:p w14:paraId="1E973601">
            <w:pPr>
              <w:pStyle w:val="8"/>
              <w:suppressLineNumbers w:val="0"/>
              <w:bidi w:val="0"/>
              <w:spacing w:before="0" w:beforeAutospacing="0" w:after="0" w:afterAutospacing="0"/>
              <w:ind w:left="0" w:right="0"/>
              <w:rPr>
                <w:rFonts w:hint="default"/>
                <w:highlight w:val="none"/>
              </w:rPr>
            </w:pPr>
            <w:r>
              <w:rPr>
                <w:rFonts w:hint="default"/>
                <w:highlight w:val="none"/>
              </w:rPr>
              <w:t>阴</w:t>
            </w:r>
          </w:p>
          <w:p w14:paraId="155214DE">
            <w:pPr>
              <w:pStyle w:val="8"/>
              <w:suppressLineNumbers w:val="0"/>
              <w:bidi w:val="0"/>
              <w:spacing w:before="0" w:beforeAutospacing="0" w:after="0" w:afterAutospacing="0"/>
              <w:ind w:left="0" w:right="0"/>
              <w:rPr>
                <w:rFonts w:hint="default"/>
                <w:highlight w:val="none"/>
              </w:rPr>
            </w:pPr>
            <w:r>
              <w:rPr>
                <w:rFonts w:hint="default"/>
                <w:highlight w:val="none"/>
              </w:rPr>
              <w:t>离</w:t>
            </w:r>
          </w:p>
          <w:p w14:paraId="5C1DF39C">
            <w:pPr>
              <w:pStyle w:val="8"/>
              <w:suppressLineNumbers w:val="0"/>
              <w:bidi w:val="0"/>
              <w:spacing w:before="0" w:beforeAutospacing="0" w:after="0" w:afterAutospacing="0"/>
              <w:ind w:left="0" w:right="0"/>
              <w:rPr>
                <w:rFonts w:hint="default"/>
                <w:highlight w:val="none"/>
              </w:rPr>
            </w:pPr>
            <w:r>
              <w:rPr>
                <w:rFonts w:hint="default"/>
                <w:highlight w:val="none"/>
              </w:rPr>
              <w:t>子</w:t>
            </w:r>
          </w:p>
        </w:tc>
        <w:tc>
          <w:tcPr>
            <w:tcW w:w="1726" w:type="dxa"/>
            <w:vAlign w:val="center"/>
          </w:tcPr>
          <w:p w14:paraId="39461587">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ighlight w:val="none"/>
              </w:rPr>
            </w:pPr>
            <w:r>
              <w:rPr>
                <w:rFonts w:hint="default" w:ascii="Times New Roman" w:hAnsi="Times New Roman" w:cs="Times New Roman" w:eastAsiaTheme="minorEastAsia"/>
                <w:spacing w:val="0"/>
                <w:kern w:val="0"/>
                <w:position w:val="0"/>
                <w:sz w:val="21"/>
                <w:szCs w:val="21"/>
                <w:highlight w:val="none"/>
              </w:rPr>
              <w:t>HCO</w:t>
            </w:r>
            <w:r>
              <w:rPr>
                <w:rFonts w:hint="default" w:ascii="Times New Roman" w:hAnsi="Times New Roman" w:cs="Times New Roman" w:eastAsiaTheme="minorEastAsia"/>
                <w:spacing w:val="0"/>
                <w:kern w:val="0"/>
                <w:position w:val="0"/>
                <w:sz w:val="21"/>
                <w:szCs w:val="21"/>
                <w:highlight w:val="none"/>
                <w:vertAlign w:val="subscript"/>
              </w:rPr>
              <w:t>3</w:t>
            </w:r>
            <w:r>
              <w:rPr>
                <w:rFonts w:hint="default" w:ascii="Times New Roman" w:hAnsi="Times New Roman" w:cs="Times New Roman" w:eastAsiaTheme="minorEastAsia"/>
                <w:spacing w:val="0"/>
                <w:kern w:val="0"/>
                <w:position w:val="0"/>
                <w:sz w:val="21"/>
                <w:szCs w:val="21"/>
                <w:highlight w:val="none"/>
                <w:vertAlign w:val="superscript"/>
              </w:rPr>
              <w:t>-</w:t>
            </w:r>
          </w:p>
        </w:tc>
        <w:tc>
          <w:tcPr>
            <w:tcW w:w="1701" w:type="dxa"/>
            <w:vAlign w:val="bottom"/>
          </w:tcPr>
          <w:p w14:paraId="3DD636A7">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152</w:t>
            </w:r>
          </w:p>
        </w:tc>
        <w:tc>
          <w:tcPr>
            <w:tcW w:w="1715" w:type="dxa"/>
            <w:vAlign w:val="bottom"/>
          </w:tcPr>
          <w:p w14:paraId="2197ECCA">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2.49</w:t>
            </w:r>
          </w:p>
        </w:tc>
        <w:tc>
          <w:tcPr>
            <w:tcW w:w="1717" w:type="dxa"/>
            <w:vAlign w:val="bottom"/>
          </w:tcPr>
          <w:p w14:paraId="201C3C44">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76.72</w:t>
            </w:r>
          </w:p>
        </w:tc>
      </w:tr>
      <w:tr w14:paraId="111DD8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63" w:type="dxa"/>
            <w:vMerge w:val="continue"/>
            <w:vAlign w:val="center"/>
          </w:tcPr>
          <w:p w14:paraId="1D3CF71B">
            <w:pPr>
              <w:pStyle w:val="8"/>
              <w:suppressLineNumbers w:val="0"/>
              <w:bidi w:val="0"/>
              <w:spacing w:before="0" w:beforeAutospacing="0" w:after="0" w:afterAutospacing="0"/>
              <w:ind w:left="0" w:right="0"/>
              <w:rPr>
                <w:rFonts w:hint="default"/>
                <w:highlight w:val="none"/>
              </w:rPr>
            </w:pPr>
          </w:p>
        </w:tc>
        <w:tc>
          <w:tcPr>
            <w:tcW w:w="1726" w:type="dxa"/>
            <w:vAlign w:val="center"/>
          </w:tcPr>
          <w:p w14:paraId="22458FA0">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ighlight w:val="none"/>
              </w:rPr>
            </w:pPr>
            <w:r>
              <w:rPr>
                <w:rFonts w:hint="default" w:ascii="Times New Roman" w:hAnsi="Times New Roman" w:cs="Times New Roman" w:eastAsiaTheme="minorEastAsia"/>
                <w:spacing w:val="0"/>
                <w:kern w:val="0"/>
                <w:position w:val="0"/>
                <w:sz w:val="21"/>
                <w:szCs w:val="21"/>
                <w:highlight w:val="none"/>
              </w:rPr>
              <w:t>Cl</w:t>
            </w:r>
            <w:r>
              <w:rPr>
                <w:rFonts w:hint="default" w:ascii="Times New Roman" w:hAnsi="Times New Roman" w:cs="Times New Roman" w:eastAsiaTheme="minorEastAsia"/>
                <w:spacing w:val="0"/>
                <w:kern w:val="0"/>
                <w:position w:val="0"/>
                <w:sz w:val="21"/>
                <w:szCs w:val="21"/>
                <w:highlight w:val="none"/>
                <w:vertAlign w:val="superscript"/>
              </w:rPr>
              <w:t>-</w:t>
            </w:r>
          </w:p>
        </w:tc>
        <w:tc>
          <w:tcPr>
            <w:tcW w:w="1701" w:type="dxa"/>
            <w:vAlign w:val="bottom"/>
          </w:tcPr>
          <w:p w14:paraId="61EBA0BF">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15.9</w:t>
            </w:r>
          </w:p>
        </w:tc>
        <w:tc>
          <w:tcPr>
            <w:tcW w:w="1715" w:type="dxa"/>
            <w:vAlign w:val="bottom"/>
          </w:tcPr>
          <w:p w14:paraId="6DFB2A2F">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0.45</w:t>
            </w:r>
          </w:p>
        </w:tc>
        <w:tc>
          <w:tcPr>
            <w:tcW w:w="1717" w:type="dxa"/>
            <w:vAlign w:val="bottom"/>
          </w:tcPr>
          <w:p w14:paraId="3777CFB4">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13.79</w:t>
            </w:r>
          </w:p>
        </w:tc>
      </w:tr>
      <w:tr w14:paraId="64EA88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63" w:type="dxa"/>
            <w:vMerge w:val="continue"/>
            <w:vAlign w:val="center"/>
          </w:tcPr>
          <w:p w14:paraId="5B784E99">
            <w:pPr>
              <w:pStyle w:val="8"/>
              <w:suppressLineNumbers w:val="0"/>
              <w:bidi w:val="0"/>
              <w:spacing w:before="0" w:beforeAutospacing="0" w:after="0" w:afterAutospacing="0"/>
              <w:ind w:left="0" w:right="0"/>
              <w:rPr>
                <w:rFonts w:hint="default"/>
                <w:highlight w:val="none"/>
              </w:rPr>
            </w:pPr>
          </w:p>
        </w:tc>
        <w:tc>
          <w:tcPr>
            <w:tcW w:w="1726" w:type="dxa"/>
            <w:vAlign w:val="center"/>
          </w:tcPr>
          <w:p w14:paraId="46114BB4">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ighlight w:val="none"/>
              </w:rPr>
            </w:pPr>
            <w:r>
              <w:rPr>
                <w:rFonts w:hint="default" w:ascii="Times New Roman" w:hAnsi="Times New Roman" w:cs="Times New Roman" w:eastAsiaTheme="minorEastAsia"/>
                <w:spacing w:val="0"/>
                <w:kern w:val="0"/>
                <w:position w:val="0"/>
                <w:sz w:val="21"/>
                <w:szCs w:val="21"/>
                <w:highlight w:val="none"/>
              </w:rPr>
              <w:t>SO</w:t>
            </w:r>
            <w:r>
              <w:rPr>
                <w:rFonts w:hint="default" w:ascii="Times New Roman" w:hAnsi="Times New Roman" w:cs="Times New Roman" w:eastAsiaTheme="minorEastAsia"/>
                <w:spacing w:val="0"/>
                <w:kern w:val="0"/>
                <w:position w:val="0"/>
                <w:sz w:val="21"/>
                <w:szCs w:val="21"/>
                <w:highlight w:val="none"/>
                <w:vertAlign w:val="subscript"/>
              </w:rPr>
              <w:t>4</w:t>
            </w:r>
            <w:r>
              <w:rPr>
                <w:rFonts w:hint="default" w:ascii="Times New Roman" w:hAnsi="Times New Roman" w:cs="Times New Roman" w:eastAsiaTheme="minorEastAsia"/>
                <w:spacing w:val="0"/>
                <w:kern w:val="0"/>
                <w:position w:val="0"/>
                <w:sz w:val="21"/>
                <w:szCs w:val="21"/>
                <w:highlight w:val="none"/>
                <w:vertAlign w:val="superscript"/>
              </w:rPr>
              <w:t>2-</w:t>
            </w:r>
          </w:p>
        </w:tc>
        <w:tc>
          <w:tcPr>
            <w:tcW w:w="1701" w:type="dxa"/>
            <w:vAlign w:val="bottom"/>
          </w:tcPr>
          <w:p w14:paraId="212E8902">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14.8</w:t>
            </w:r>
          </w:p>
        </w:tc>
        <w:tc>
          <w:tcPr>
            <w:tcW w:w="1715" w:type="dxa"/>
            <w:vAlign w:val="bottom"/>
          </w:tcPr>
          <w:p w14:paraId="0EE85AC3">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0.31</w:t>
            </w:r>
          </w:p>
        </w:tc>
        <w:tc>
          <w:tcPr>
            <w:tcW w:w="1717" w:type="dxa"/>
            <w:vAlign w:val="bottom"/>
          </w:tcPr>
          <w:p w14:paraId="14D296EB">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9.49</w:t>
            </w:r>
          </w:p>
        </w:tc>
      </w:tr>
      <w:tr w14:paraId="296474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63" w:type="dxa"/>
            <w:vMerge w:val="continue"/>
            <w:vAlign w:val="center"/>
          </w:tcPr>
          <w:p w14:paraId="4B1711D0">
            <w:pPr>
              <w:pStyle w:val="8"/>
              <w:suppressLineNumbers w:val="0"/>
              <w:bidi w:val="0"/>
              <w:spacing w:before="0" w:beforeAutospacing="0" w:after="0" w:afterAutospacing="0"/>
              <w:ind w:left="0" w:right="0"/>
              <w:rPr>
                <w:rFonts w:hint="default"/>
                <w:highlight w:val="none"/>
              </w:rPr>
            </w:pPr>
          </w:p>
        </w:tc>
        <w:tc>
          <w:tcPr>
            <w:tcW w:w="1726" w:type="dxa"/>
            <w:vAlign w:val="center"/>
          </w:tcPr>
          <w:p w14:paraId="3A817A1D">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ighlight w:val="none"/>
              </w:rPr>
            </w:pPr>
            <w:r>
              <w:rPr>
                <w:rFonts w:hint="default" w:ascii="Times New Roman" w:hAnsi="Times New Roman" w:cs="Times New Roman" w:eastAsiaTheme="minorEastAsia"/>
                <w:spacing w:val="0"/>
                <w:kern w:val="0"/>
                <w:position w:val="0"/>
                <w:sz w:val="21"/>
                <w:szCs w:val="21"/>
                <w:highlight w:val="none"/>
              </w:rPr>
              <w:t>总计</w:t>
            </w:r>
          </w:p>
        </w:tc>
        <w:tc>
          <w:tcPr>
            <w:tcW w:w="1701" w:type="dxa"/>
            <w:vAlign w:val="bottom"/>
          </w:tcPr>
          <w:p w14:paraId="2F53BF0C">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182.7</w:t>
            </w:r>
          </w:p>
        </w:tc>
        <w:tc>
          <w:tcPr>
            <w:tcW w:w="1715" w:type="dxa"/>
            <w:vAlign w:val="bottom"/>
          </w:tcPr>
          <w:p w14:paraId="3C5AD658">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3.25</w:t>
            </w:r>
          </w:p>
        </w:tc>
        <w:tc>
          <w:tcPr>
            <w:tcW w:w="1717" w:type="dxa"/>
            <w:vAlign w:val="bottom"/>
          </w:tcPr>
          <w:p w14:paraId="2CDB5C90">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100.0</w:t>
            </w:r>
          </w:p>
        </w:tc>
      </w:tr>
      <w:tr w14:paraId="1D4389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389" w:type="dxa"/>
            <w:gridSpan w:val="2"/>
            <w:vAlign w:val="center"/>
          </w:tcPr>
          <w:p w14:paraId="32B09127">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5</w:t>
            </w:r>
            <w:r>
              <w:rPr>
                <w:rFonts w:hint="default"/>
                <w:highlight w:val="none"/>
              </w:rPr>
              <w:t>#井</w:t>
            </w:r>
          </w:p>
        </w:tc>
        <w:tc>
          <w:tcPr>
            <w:tcW w:w="1701" w:type="dxa"/>
            <w:vAlign w:val="center"/>
          </w:tcPr>
          <w:p w14:paraId="22BE6176">
            <w:pPr>
              <w:pStyle w:val="8"/>
              <w:suppressLineNumbers w:val="0"/>
              <w:bidi w:val="0"/>
              <w:spacing w:before="0" w:beforeAutospacing="0" w:after="0" w:afterAutospacing="0"/>
              <w:ind w:left="0" w:right="0"/>
              <w:rPr>
                <w:rFonts w:hint="default"/>
                <w:highlight w:val="none"/>
              </w:rPr>
            </w:pPr>
            <w:r>
              <w:rPr>
                <w:rFonts w:hint="default"/>
                <w:highlight w:val="none"/>
              </w:rPr>
              <w:t>mg/L</w:t>
            </w:r>
          </w:p>
        </w:tc>
        <w:tc>
          <w:tcPr>
            <w:tcW w:w="1715" w:type="dxa"/>
            <w:vAlign w:val="center"/>
          </w:tcPr>
          <w:p w14:paraId="65D36DEA">
            <w:pPr>
              <w:pStyle w:val="8"/>
              <w:suppressLineNumbers w:val="0"/>
              <w:bidi w:val="0"/>
              <w:spacing w:before="0" w:beforeAutospacing="0" w:after="0" w:afterAutospacing="0"/>
              <w:ind w:left="0" w:right="0"/>
              <w:rPr>
                <w:rFonts w:hint="default"/>
                <w:highlight w:val="none"/>
              </w:rPr>
            </w:pPr>
            <w:r>
              <w:rPr>
                <w:rFonts w:hint="default"/>
                <w:highlight w:val="none"/>
              </w:rPr>
              <w:t>meq/L</w:t>
            </w:r>
          </w:p>
        </w:tc>
        <w:tc>
          <w:tcPr>
            <w:tcW w:w="1717" w:type="dxa"/>
            <w:vAlign w:val="center"/>
          </w:tcPr>
          <w:p w14:paraId="37D42B29">
            <w:pPr>
              <w:pStyle w:val="8"/>
              <w:suppressLineNumbers w:val="0"/>
              <w:bidi w:val="0"/>
              <w:spacing w:before="0" w:beforeAutospacing="0" w:after="0" w:afterAutospacing="0"/>
              <w:ind w:left="0" w:right="0"/>
              <w:rPr>
                <w:rFonts w:hint="default"/>
                <w:highlight w:val="none"/>
              </w:rPr>
            </w:pPr>
            <w:r>
              <w:rPr>
                <w:rFonts w:hint="default"/>
                <w:highlight w:val="none"/>
              </w:rPr>
              <w:t>meq%</w:t>
            </w:r>
          </w:p>
        </w:tc>
      </w:tr>
      <w:tr w14:paraId="1870B3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63" w:type="dxa"/>
            <w:vMerge w:val="restart"/>
            <w:vAlign w:val="center"/>
          </w:tcPr>
          <w:p w14:paraId="1FE3108D">
            <w:pPr>
              <w:pStyle w:val="8"/>
              <w:suppressLineNumbers w:val="0"/>
              <w:bidi w:val="0"/>
              <w:spacing w:before="0" w:beforeAutospacing="0" w:after="0" w:afterAutospacing="0"/>
              <w:ind w:left="0" w:right="0"/>
              <w:rPr>
                <w:rFonts w:hint="default"/>
                <w:highlight w:val="none"/>
              </w:rPr>
            </w:pPr>
            <w:r>
              <w:rPr>
                <w:rFonts w:hint="default"/>
                <w:highlight w:val="none"/>
              </w:rPr>
              <w:t>阳</w:t>
            </w:r>
          </w:p>
          <w:p w14:paraId="4F2C768A">
            <w:pPr>
              <w:pStyle w:val="8"/>
              <w:suppressLineNumbers w:val="0"/>
              <w:bidi w:val="0"/>
              <w:spacing w:before="0" w:beforeAutospacing="0" w:after="0" w:afterAutospacing="0"/>
              <w:ind w:left="0" w:right="0"/>
              <w:rPr>
                <w:rFonts w:hint="default"/>
                <w:highlight w:val="none"/>
              </w:rPr>
            </w:pPr>
            <w:r>
              <w:rPr>
                <w:rFonts w:hint="default"/>
                <w:highlight w:val="none"/>
              </w:rPr>
              <w:t>离</w:t>
            </w:r>
          </w:p>
          <w:p w14:paraId="3B6EAD81">
            <w:pPr>
              <w:pStyle w:val="8"/>
              <w:suppressLineNumbers w:val="0"/>
              <w:bidi w:val="0"/>
              <w:spacing w:before="0" w:beforeAutospacing="0" w:after="0" w:afterAutospacing="0"/>
              <w:ind w:left="0" w:right="0"/>
              <w:rPr>
                <w:rFonts w:hint="default"/>
                <w:highlight w:val="none"/>
              </w:rPr>
            </w:pPr>
            <w:r>
              <w:rPr>
                <w:rFonts w:hint="default"/>
                <w:highlight w:val="none"/>
              </w:rPr>
              <w:t>子</w:t>
            </w:r>
          </w:p>
        </w:tc>
        <w:tc>
          <w:tcPr>
            <w:tcW w:w="1726" w:type="dxa"/>
            <w:vAlign w:val="center"/>
          </w:tcPr>
          <w:p w14:paraId="232A30D7">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ighlight w:val="none"/>
              </w:rPr>
            </w:pPr>
            <w:r>
              <w:rPr>
                <w:rFonts w:hint="default" w:ascii="Times New Roman" w:hAnsi="Times New Roman" w:cs="Times New Roman" w:eastAsiaTheme="minorEastAsia"/>
                <w:spacing w:val="0"/>
                <w:kern w:val="0"/>
                <w:position w:val="0"/>
                <w:sz w:val="21"/>
                <w:szCs w:val="21"/>
                <w:highlight w:val="none"/>
              </w:rPr>
              <w:t>K</w:t>
            </w:r>
            <w:r>
              <w:rPr>
                <w:rFonts w:hint="default" w:ascii="Times New Roman" w:hAnsi="Times New Roman" w:cs="Times New Roman" w:eastAsiaTheme="minorEastAsia"/>
                <w:spacing w:val="0"/>
                <w:kern w:val="0"/>
                <w:position w:val="0"/>
                <w:sz w:val="21"/>
                <w:szCs w:val="21"/>
                <w:highlight w:val="none"/>
                <w:vertAlign w:val="superscript"/>
              </w:rPr>
              <w:t>+</w:t>
            </w:r>
            <w:r>
              <w:rPr>
                <w:rFonts w:hint="default" w:ascii="Times New Roman" w:hAnsi="Times New Roman" w:cs="Times New Roman" w:eastAsiaTheme="minorEastAsia"/>
                <w:spacing w:val="0"/>
                <w:kern w:val="0"/>
                <w:position w:val="0"/>
                <w:sz w:val="21"/>
                <w:szCs w:val="21"/>
                <w:highlight w:val="none"/>
              </w:rPr>
              <w:t>+Na</w:t>
            </w:r>
            <w:r>
              <w:rPr>
                <w:rFonts w:hint="default" w:ascii="Times New Roman" w:hAnsi="Times New Roman" w:cs="Times New Roman" w:eastAsiaTheme="minorEastAsia"/>
                <w:spacing w:val="0"/>
                <w:kern w:val="0"/>
                <w:position w:val="0"/>
                <w:sz w:val="21"/>
                <w:szCs w:val="21"/>
                <w:highlight w:val="none"/>
                <w:vertAlign w:val="superscript"/>
              </w:rPr>
              <w:t>+</w:t>
            </w:r>
          </w:p>
        </w:tc>
        <w:tc>
          <w:tcPr>
            <w:tcW w:w="1701" w:type="dxa"/>
            <w:vAlign w:val="bottom"/>
          </w:tcPr>
          <w:p w14:paraId="15779325">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15.24</w:t>
            </w:r>
          </w:p>
        </w:tc>
        <w:tc>
          <w:tcPr>
            <w:tcW w:w="1715" w:type="dxa"/>
            <w:vAlign w:val="bottom"/>
          </w:tcPr>
          <w:p w14:paraId="6B6C5898">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0.64</w:t>
            </w:r>
          </w:p>
        </w:tc>
        <w:tc>
          <w:tcPr>
            <w:tcW w:w="1717" w:type="dxa"/>
            <w:vAlign w:val="bottom"/>
          </w:tcPr>
          <w:p w14:paraId="1B03AA08">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21.70</w:t>
            </w:r>
          </w:p>
        </w:tc>
      </w:tr>
      <w:tr w14:paraId="0AE74C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63" w:type="dxa"/>
            <w:vMerge w:val="continue"/>
            <w:vAlign w:val="center"/>
          </w:tcPr>
          <w:p w14:paraId="4B36AB1C">
            <w:pPr>
              <w:pStyle w:val="8"/>
              <w:suppressLineNumbers w:val="0"/>
              <w:bidi w:val="0"/>
              <w:spacing w:before="0" w:beforeAutospacing="0" w:after="0" w:afterAutospacing="0"/>
              <w:ind w:left="0" w:right="0"/>
              <w:rPr>
                <w:rFonts w:hint="default"/>
                <w:highlight w:val="none"/>
              </w:rPr>
            </w:pPr>
          </w:p>
        </w:tc>
        <w:tc>
          <w:tcPr>
            <w:tcW w:w="1726" w:type="dxa"/>
            <w:vAlign w:val="center"/>
          </w:tcPr>
          <w:p w14:paraId="783E498F">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ighlight w:val="none"/>
              </w:rPr>
            </w:pPr>
            <w:r>
              <w:rPr>
                <w:rFonts w:hint="default" w:ascii="Times New Roman" w:hAnsi="Times New Roman" w:cs="Times New Roman" w:eastAsiaTheme="minorEastAsia"/>
                <w:spacing w:val="0"/>
                <w:kern w:val="0"/>
                <w:position w:val="0"/>
                <w:sz w:val="21"/>
                <w:szCs w:val="21"/>
                <w:highlight w:val="none"/>
              </w:rPr>
              <w:t>Ca</w:t>
            </w:r>
            <w:r>
              <w:rPr>
                <w:rFonts w:hint="default" w:ascii="Times New Roman" w:hAnsi="Times New Roman" w:cs="Times New Roman" w:eastAsiaTheme="minorEastAsia"/>
                <w:spacing w:val="0"/>
                <w:kern w:val="0"/>
                <w:position w:val="0"/>
                <w:sz w:val="21"/>
                <w:szCs w:val="21"/>
                <w:highlight w:val="none"/>
                <w:vertAlign w:val="superscript"/>
              </w:rPr>
              <w:t>2+</w:t>
            </w:r>
          </w:p>
        </w:tc>
        <w:tc>
          <w:tcPr>
            <w:tcW w:w="1701" w:type="dxa"/>
            <w:vAlign w:val="bottom"/>
          </w:tcPr>
          <w:p w14:paraId="0241AF22">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25.5</w:t>
            </w:r>
          </w:p>
        </w:tc>
        <w:tc>
          <w:tcPr>
            <w:tcW w:w="1715" w:type="dxa"/>
            <w:vAlign w:val="bottom"/>
          </w:tcPr>
          <w:p w14:paraId="4FBC2E93">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1.28</w:t>
            </w:r>
          </w:p>
        </w:tc>
        <w:tc>
          <w:tcPr>
            <w:tcW w:w="1717" w:type="dxa"/>
            <w:vAlign w:val="bottom"/>
          </w:tcPr>
          <w:p w14:paraId="7B984BF4">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43.56</w:t>
            </w:r>
          </w:p>
        </w:tc>
      </w:tr>
      <w:tr w14:paraId="78A092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63" w:type="dxa"/>
            <w:vMerge w:val="continue"/>
            <w:vAlign w:val="center"/>
          </w:tcPr>
          <w:p w14:paraId="5A4BF52A">
            <w:pPr>
              <w:pStyle w:val="8"/>
              <w:suppressLineNumbers w:val="0"/>
              <w:bidi w:val="0"/>
              <w:spacing w:before="0" w:beforeAutospacing="0" w:after="0" w:afterAutospacing="0"/>
              <w:ind w:left="0" w:right="0"/>
              <w:rPr>
                <w:rFonts w:hint="default"/>
                <w:highlight w:val="none"/>
              </w:rPr>
            </w:pPr>
          </w:p>
        </w:tc>
        <w:tc>
          <w:tcPr>
            <w:tcW w:w="1726" w:type="dxa"/>
            <w:vAlign w:val="center"/>
          </w:tcPr>
          <w:p w14:paraId="6D8C2B44">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ighlight w:val="none"/>
              </w:rPr>
            </w:pPr>
            <w:r>
              <w:rPr>
                <w:rFonts w:hint="default" w:ascii="Times New Roman" w:hAnsi="Times New Roman" w:cs="Times New Roman" w:eastAsiaTheme="minorEastAsia"/>
                <w:spacing w:val="0"/>
                <w:kern w:val="0"/>
                <w:position w:val="0"/>
                <w:sz w:val="21"/>
                <w:szCs w:val="21"/>
                <w:highlight w:val="none"/>
              </w:rPr>
              <w:t>Mg</w:t>
            </w:r>
            <w:r>
              <w:rPr>
                <w:rFonts w:hint="default" w:ascii="Times New Roman" w:hAnsi="Times New Roman" w:cs="Times New Roman" w:eastAsiaTheme="minorEastAsia"/>
                <w:spacing w:val="0"/>
                <w:kern w:val="0"/>
                <w:position w:val="0"/>
                <w:sz w:val="21"/>
                <w:szCs w:val="21"/>
                <w:highlight w:val="none"/>
                <w:vertAlign w:val="superscript"/>
              </w:rPr>
              <w:t>2+</w:t>
            </w:r>
          </w:p>
        </w:tc>
        <w:tc>
          <w:tcPr>
            <w:tcW w:w="1701" w:type="dxa"/>
            <w:vAlign w:val="bottom"/>
          </w:tcPr>
          <w:p w14:paraId="570C1C90">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12.2</w:t>
            </w:r>
          </w:p>
        </w:tc>
        <w:tc>
          <w:tcPr>
            <w:tcW w:w="1715" w:type="dxa"/>
            <w:vAlign w:val="bottom"/>
          </w:tcPr>
          <w:p w14:paraId="77C748F4">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1.02</w:t>
            </w:r>
          </w:p>
        </w:tc>
        <w:tc>
          <w:tcPr>
            <w:tcW w:w="1717" w:type="dxa"/>
            <w:vAlign w:val="bottom"/>
          </w:tcPr>
          <w:p w14:paraId="6FA07A09">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34.74</w:t>
            </w:r>
          </w:p>
        </w:tc>
      </w:tr>
      <w:tr w14:paraId="054860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63" w:type="dxa"/>
            <w:vMerge w:val="continue"/>
            <w:vAlign w:val="center"/>
          </w:tcPr>
          <w:p w14:paraId="23A6D671">
            <w:pPr>
              <w:pStyle w:val="8"/>
              <w:suppressLineNumbers w:val="0"/>
              <w:bidi w:val="0"/>
              <w:spacing w:before="0" w:beforeAutospacing="0" w:after="0" w:afterAutospacing="0"/>
              <w:ind w:left="0" w:right="0"/>
              <w:rPr>
                <w:rFonts w:hint="default"/>
                <w:highlight w:val="none"/>
              </w:rPr>
            </w:pPr>
          </w:p>
        </w:tc>
        <w:tc>
          <w:tcPr>
            <w:tcW w:w="1726" w:type="dxa"/>
            <w:vAlign w:val="center"/>
          </w:tcPr>
          <w:p w14:paraId="5BAA1BC5">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ighlight w:val="none"/>
              </w:rPr>
            </w:pPr>
            <w:r>
              <w:rPr>
                <w:rFonts w:hint="default" w:ascii="Times New Roman" w:hAnsi="Times New Roman" w:cs="Times New Roman" w:eastAsiaTheme="minorEastAsia"/>
                <w:spacing w:val="0"/>
                <w:kern w:val="0"/>
                <w:position w:val="0"/>
                <w:sz w:val="21"/>
                <w:szCs w:val="21"/>
                <w:highlight w:val="none"/>
              </w:rPr>
              <w:t>总计</w:t>
            </w:r>
          </w:p>
        </w:tc>
        <w:tc>
          <w:tcPr>
            <w:tcW w:w="1701" w:type="dxa"/>
            <w:vAlign w:val="bottom"/>
          </w:tcPr>
          <w:p w14:paraId="29C19D22">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52.94</w:t>
            </w:r>
          </w:p>
        </w:tc>
        <w:tc>
          <w:tcPr>
            <w:tcW w:w="1715" w:type="dxa"/>
            <w:vAlign w:val="bottom"/>
          </w:tcPr>
          <w:p w14:paraId="3B025048">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2.93</w:t>
            </w:r>
          </w:p>
        </w:tc>
        <w:tc>
          <w:tcPr>
            <w:tcW w:w="1717" w:type="dxa"/>
            <w:vAlign w:val="bottom"/>
          </w:tcPr>
          <w:p w14:paraId="624319AC">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100.0</w:t>
            </w:r>
          </w:p>
        </w:tc>
      </w:tr>
      <w:tr w14:paraId="0050E8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63" w:type="dxa"/>
            <w:vMerge w:val="restart"/>
            <w:vAlign w:val="center"/>
          </w:tcPr>
          <w:p w14:paraId="094FAF0E">
            <w:pPr>
              <w:pStyle w:val="8"/>
              <w:suppressLineNumbers w:val="0"/>
              <w:bidi w:val="0"/>
              <w:spacing w:before="0" w:beforeAutospacing="0" w:after="0" w:afterAutospacing="0"/>
              <w:ind w:left="0" w:right="0"/>
              <w:rPr>
                <w:rFonts w:hint="default"/>
                <w:highlight w:val="none"/>
              </w:rPr>
            </w:pPr>
            <w:r>
              <w:rPr>
                <w:rFonts w:hint="default"/>
                <w:highlight w:val="none"/>
              </w:rPr>
              <w:t>阴</w:t>
            </w:r>
          </w:p>
          <w:p w14:paraId="0036CE4F">
            <w:pPr>
              <w:pStyle w:val="8"/>
              <w:suppressLineNumbers w:val="0"/>
              <w:bidi w:val="0"/>
              <w:spacing w:before="0" w:beforeAutospacing="0" w:after="0" w:afterAutospacing="0"/>
              <w:ind w:left="0" w:right="0"/>
              <w:rPr>
                <w:rFonts w:hint="default"/>
                <w:highlight w:val="none"/>
              </w:rPr>
            </w:pPr>
            <w:r>
              <w:rPr>
                <w:rFonts w:hint="default"/>
                <w:highlight w:val="none"/>
              </w:rPr>
              <w:t>离</w:t>
            </w:r>
          </w:p>
          <w:p w14:paraId="14B6B6F7">
            <w:pPr>
              <w:pStyle w:val="8"/>
              <w:suppressLineNumbers w:val="0"/>
              <w:bidi w:val="0"/>
              <w:spacing w:before="0" w:beforeAutospacing="0" w:after="0" w:afterAutospacing="0"/>
              <w:ind w:left="0" w:right="0"/>
              <w:rPr>
                <w:rFonts w:hint="default"/>
                <w:highlight w:val="none"/>
              </w:rPr>
            </w:pPr>
            <w:r>
              <w:rPr>
                <w:rFonts w:hint="default"/>
                <w:highlight w:val="none"/>
              </w:rPr>
              <w:t>子</w:t>
            </w:r>
          </w:p>
        </w:tc>
        <w:tc>
          <w:tcPr>
            <w:tcW w:w="1726" w:type="dxa"/>
            <w:vAlign w:val="center"/>
          </w:tcPr>
          <w:p w14:paraId="031F4272">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ighlight w:val="none"/>
              </w:rPr>
            </w:pPr>
            <w:r>
              <w:rPr>
                <w:rFonts w:hint="default" w:ascii="Times New Roman" w:hAnsi="Times New Roman" w:cs="Times New Roman" w:eastAsiaTheme="minorEastAsia"/>
                <w:spacing w:val="0"/>
                <w:kern w:val="0"/>
                <w:position w:val="0"/>
                <w:sz w:val="21"/>
                <w:szCs w:val="21"/>
                <w:highlight w:val="none"/>
              </w:rPr>
              <w:t>HCO</w:t>
            </w:r>
            <w:r>
              <w:rPr>
                <w:rFonts w:hint="default" w:ascii="Times New Roman" w:hAnsi="Times New Roman" w:cs="Times New Roman" w:eastAsiaTheme="minorEastAsia"/>
                <w:spacing w:val="0"/>
                <w:kern w:val="0"/>
                <w:position w:val="0"/>
                <w:sz w:val="21"/>
                <w:szCs w:val="21"/>
                <w:highlight w:val="none"/>
                <w:vertAlign w:val="subscript"/>
              </w:rPr>
              <w:t>3</w:t>
            </w:r>
            <w:r>
              <w:rPr>
                <w:rFonts w:hint="default" w:ascii="Times New Roman" w:hAnsi="Times New Roman" w:cs="Times New Roman" w:eastAsiaTheme="minorEastAsia"/>
                <w:spacing w:val="0"/>
                <w:kern w:val="0"/>
                <w:position w:val="0"/>
                <w:sz w:val="21"/>
                <w:szCs w:val="21"/>
                <w:highlight w:val="none"/>
                <w:vertAlign w:val="superscript"/>
              </w:rPr>
              <w:t>-</w:t>
            </w:r>
          </w:p>
        </w:tc>
        <w:tc>
          <w:tcPr>
            <w:tcW w:w="1701" w:type="dxa"/>
            <w:vAlign w:val="bottom"/>
          </w:tcPr>
          <w:p w14:paraId="76B9164F">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125</w:t>
            </w:r>
          </w:p>
        </w:tc>
        <w:tc>
          <w:tcPr>
            <w:tcW w:w="1715" w:type="dxa"/>
            <w:vAlign w:val="bottom"/>
          </w:tcPr>
          <w:p w14:paraId="05ABF2F6">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2.05</w:t>
            </w:r>
          </w:p>
        </w:tc>
        <w:tc>
          <w:tcPr>
            <w:tcW w:w="1717" w:type="dxa"/>
            <w:vAlign w:val="bottom"/>
          </w:tcPr>
          <w:p w14:paraId="6070EED8">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70.52</w:t>
            </w:r>
          </w:p>
        </w:tc>
      </w:tr>
      <w:tr w14:paraId="560B30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63" w:type="dxa"/>
            <w:vMerge w:val="continue"/>
            <w:vAlign w:val="center"/>
          </w:tcPr>
          <w:p w14:paraId="7952BF5B">
            <w:pPr>
              <w:pStyle w:val="8"/>
              <w:suppressLineNumbers w:val="0"/>
              <w:bidi w:val="0"/>
              <w:spacing w:before="0" w:beforeAutospacing="0" w:after="0" w:afterAutospacing="0"/>
              <w:ind w:left="0" w:right="0"/>
              <w:rPr>
                <w:rFonts w:hint="default"/>
                <w:highlight w:val="none"/>
              </w:rPr>
            </w:pPr>
          </w:p>
        </w:tc>
        <w:tc>
          <w:tcPr>
            <w:tcW w:w="1726" w:type="dxa"/>
            <w:vAlign w:val="center"/>
          </w:tcPr>
          <w:p w14:paraId="755FD7BD">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ighlight w:val="none"/>
              </w:rPr>
            </w:pPr>
            <w:r>
              <w:rPr>
                <w:rFonts w:hint="default" w:ascii="Times New Roman" w:hAnsi="Times New Roman" w:cs="Times New Roman" w:eastAsiaTheme="minorEastAsia"/>
                <w:spacing w:val="0"/>
                <w:kern w:val="0"/>
                <w:position w:val="0"/>
                <w:sz w:val="21"/>
                <w:szCs w:val="21"/>
                <w:highlight w:val="none"/>
              </w:rPr>
              <w:t>Cl</w:t>
            </w:r>
            <w:r>
              <w:rPr>
                <w:rFonts w:hint="default" w:ascii="Times New Roman" w:hAnsi="Times New Roman" w:cs="Times New Roman" w:eastAsiaTheme="minorEastAsia"/>
                <w:spacing w:val="0"/>
                <w:kern w:val="0"/>
                <w:position w:val="0"/>
                <w:sz w:val="21"/>
                <w:szCs w:val="21"/>
                <w:highlight w:val="none"/>
                <w:vertAlign w:val="superscript"/>
              </w:rPr>
              <w:t>-</w:t>
            </w:r>
          </w:p>
        </w:tc>
        <w:tc>
          <w:tcPr>
            <w:tcW w:w="1701" w:type="dxa"/>
            <w:vAlign w:val="bottom"/>
          </w:tcPr>
          <w:p w14:paraId="0D031EDA">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15.4</w:t>
            </w:r>
          </w:p>
        </w:tc>
        <w:tc>
          <w:tcPr>
            <w:tcW w:w="1715" w:type="dxa"/>
            <w:vAlign w:val="bottom"/>
          </w:tcPr>
          <w:p w14:paraId="229D72F5">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0.43</w:t>
            </w:r>
          </w:p>
        </w:tc>
        <w:tc>
          <w:tcPr>
            <w:tcW w:w="1717" w:type="dxa"/>
            <w:vAlign w:val="bottom"/>
          </w:tcPr>
          <w:p w14:paraId="156D6AA2">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14.93</w:t>
            </w:r>
          </w:p>
        </w:tc>
      </w:tr>
      <w:tr w14:paraId="042690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63" w:type="dxa"/>
            <w:vMerge w:val="continue"/>
            <w:vAlign w:val="center"/>
          </w:tcPr>
          <w:p w14:paraId="1698442A">
            <w:pPr>
              <w:pStyle w:val="8"/>
              <w:suppressLineNumbers w:val="0"/>
              <w:bidi w:val="0"/>
              <w:spacing w:before="0" w:beforeAutospacing="0" w:after="0" w:afterAutospacing="0"/>
              <w:ind w:left="0" w:right="0"/>
              <w:rPr>
                <w:rFonts w:hint="default"/>
                <w:highlight w:val="none"/>
              </w:rPr>
            </w:pPr>
          </w:p>
        </w:tc>
        <w:tc>
          <w:tcPr>
            <w:tcW w:w="1726" w:type="dxa"/>
            <w:vAlign w:val="center"/>
          </w:tcPr>
          <w:p w14:paraId="7E243313">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ighlight w:val="none"/>
              </w:rPr>
            </w:pPr>
            <w:r>
              <w:rPr>
                <w:rFonts w:hint="default" w:ascii="Times New Roman" w:hAnsi="Times New Roman" w:cs="Times New Roman" w:eastAsiaTheme="minorEastAsia"/>
                <w:spacing w:val="0"/>
                <w:kern w:val="0"/>
                <w:position w:val="0"/>
                <w:sz w:val="21"/>
                <w:szCs w:val="21"/>
                <w:highlight w:val="none"/>
              </w:rPr>
              <w:t>SO</w:t>
            </w:r>
            <w:r>
              <w:rPr>
                <w:rFonts w:hint="default" w:ascii="Times New Roman" w:hAnsi="Times New Roman" w:cs="Times New Roman" w:eastAsiaTheme="minorEastAsia"/>
                <w:spacing w:val="0"/>
                <w:kern w:val="0"/>
                <w:position w:val="0"/>
                <w:sz w:val="21"/>
                <w:szCs w:val="21"/>
                <w:highlight w:val="none"/>
                <w:vertAlign w:val="subscript"/>
              </w:rPr>
              <w:t>4</w:t>
            </w:r>
            <w:r>
              <w:rPr>
                <w:rFonts w:hint="default" w:ascii="Times New Roman" w:hAnsi="Times New Roman" w:cs="Times New Roman" w:eastAsiaTheme="minorEastAsia"/>
                <w:spacing w:val="0"/>
                <w:kern w:val="0"/>
                <w:position w:val="0"/>
                <w:sz w:val="21"/>
                <w:szCs w:val="21"/>
                <w:highlight w:val="none"/>
                <w:vertAlign w:val="superscript"/>
              </w:rPr>
              <w:t>2-</w:t>
            </w:r>
          </w:p>
        </w:tc>
        <w:tc>
          <w:tcPr>
            <w:tcW w:w="1701" w:type="dxa"/>
            <w:vAlign w:val="bottom"/>
          </w:tcPr>
          <w:p w14:paraId="60802633">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20.3</w:t>
            </w:r>
          </w:p>
        </w:tc>
        <w:tc>
          <w:tcPr>
            <w:tcW w:w="1715" w:type="dxa"/>
            <w:vAlign w:val="bottom"/>
          </w:tcPr>
          <w:p w14:paraId="765DA49D">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0.42</w:t>
            </w:r>
          </w:p>
        </w:tc>
        <w:tc>
          <w:tcPr>
            <w:tcW w:w="1717" w:type="dxa"/>
            <w:vAlign w:val="bottom"/>
          </w:tcPr>
          <w:p w14:paraId="6DF4CB92">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14.55</w:t>
            </w:r>
          </w:p>
        </w:tc>
      </w:tr>
      <w:tr w14:paraId="20CAC5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63" w:type="dxa"/>
            <w:vMerge w:val="continue"/>
            <w:vAlign w:val="center"/>
          </w:tcPr>
          <w:p w14:paraId="2A6CB6FE">
            <w:pPr>
              <w:pStyle w:val="8"/>
              <w:suppressLineNumbers w:val="0"/>
              <w:bidi w:val="0"/>
              <w:spacing w:before="0" w:beforeAutospacing="0" w:after="0" w:afterAutospacing="0"/>
              <w:ind w:left="0" w:right="0"/>
              <w:rPr>
                <w:rFonts w:hint="default"/>
                <w:highlight w:val="none"/>
              </w:rPr>
            </w:pPr>
          </w:p>
        </w:tc>
        <w:tc>
          <w:tcPr>
            <w:tcW w:w="1726" w:type="dxa"/>
            <w:vAlign w:val="center"/>
          </w:tcPr>
          <w:p w14:paraId="3B51AB1B">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highlight w:val="none"/>
              </w:rPr>
            </w:pPr>
            <w:r>
              <w:rPr>
                <w:rFonts w:hint="default" w:ascii="Times New Roman" w:hAnsi="Times New Roman" w:cs="Times New Roman" w:eastAsiaTheme="minorEastAsia"/>
                <w:spacing w:val="0"/>
                <w:kern w:val="0"/>
                <w:position w:val="0"/>
                <w:sz w:val="21"/>
                <w:szCs w:val="21"/>
                <w:highlight w:val="none"/>
              </w:rPr>
              <w:t>总计</w:t>
            </w:r>
          </w:p>
        </w:tc>
        <w:tc>
          <w:tcPr>
            <w:tcW w:w="1701" w:type="dxa"/>
            <w:vAlign w:val="bottom"/>
          </w:tcPr>
          <w:p w14:paraId="1D9F8F72">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160.7</w:t>
            </w:r>
          </w:p>
        </w:tc>
        <w:tc>
          <w:tcPr>
            <w:tcW w:w="1715" w:type="dxa"/>
            <w:vAlign w:val="bottom"/>
          </w:tcPr>
          <w:p w14:paraId="3DEA538D">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2.91</w:t>
            </w:r>
          </w:p>
        </w:tc>
        <w:tc>
          <w:tcPr>
            <w:tcW w:w="1717" w:type="dxa"/>
            <w:vAlign w:val="bottom"/>
          </w:tcPr>
          <w:p w14:paraId="2AE02A8A">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100.0</w:t>
            </w:r>
          </w:p>
        </w:tc>
      </w:tr>
    </w:tbl>
    <w:p w14:paraId="26B000D5">
      <w:pPr>
        <w:spacing w:line="360" w:lineRule="auto"/>
        <w:ind w:firstLine="480" w:firstLineChars="200"/>
        <w:rPr>
          <w:rFonts w:eastAsiaTheme="minorEastAsia"/>
          <w:sz w:val="24"/>
          <w:highlight w:val="none"/>
        </w:rPr>
      </w:pPr>
      <w:r>
        <w:rPr>
          <w:rFonts w:hAnsiTheme="minorEastAsia" w:eastAsiaTheme="minorEastAsia"/>
          <w:sz w:val="24"/>
          <w:highlight w:val="none"/>
        </w:rPr>
        <w:t>然后计算水质矿化度</w:t>
      </w:r>
      <w:r>
        <w:rPr>
          <w:rFonts w:eastAsiaTheme="minorEastAsia"/>
          <w:sz w:val="24"/>
          <w:highlight w:val="none"/>
        </w:rPr>
        <w:t>M</w:t>
      </w:r>
      <w:r>
        <w:rPr>
          <w:rFonts w:hAnsiTheme="minorEastAsia" w:eastAsiaTheme="minorEastAsia"/>
          <w:sz w:val="24"/>
          <w:highlight w:val="none"/>
        </w:rPr>
        <w:t>。</w:t>
      </w:r>
    </w:p>
    <w:p w14:paraId="677AC372">
      <w:pPr>
        <w:spacing w:line="360" w:lineRule="auto"/>
        <w:ind w:firstLine="480" w:firstLineChars="200"/>
        <w:rPr>
          <w:rFonts w:eastAsiaTheme="minorEastAsia"/>
          <w:bCs/>
          <w:sz w:val="24"/>
          <w:highlight w:val="none"/>
        </w:rPr>
      </w:pPr>
      <w:r>
        <w:rPr>
          <w:rFonts w:eastAsiaTheme="minorEastAsia"/>
          <w:bCs/>
          <w:sz w:val="24"/>
          <w:highlight w:val="none"/>
        </w:rPr>
        <w:t>1#</w:t>
      </w:r>
      <w:r>
        <w:rPr>
          <w:rFonts w:hAnsiTheme="minorEastAsia" w:eastAsiaTheme="minorEastAsia"/>
          <w:bCs/>
          <w:sz w:val="24"/>
          <w:highlight w:val="none"/>
        </w:rPr>
        <w:t>水质矿化度计算过程：</w:t>
      </w:r>
    </w:p>
    <w:p w14:paraId="1A76ADE5">
      <w:pPr>
        <w:spacing w:line="360" w:lineRule="auto"/>
        <w:ind w:firstLine="480" w:firstLineChars="200"/>
        <w:rPr>
          <w:rFonts w:eastAsiaTheme="minorEastAsia"/>
          <w:bCs/>
          <w:sz w:val="24"/>
          <w:highlight w:val="none"/>
        </w:rPr>
      </w:pPr>
      <w:r>
        <w:rPr>
          <w:rFonts w:hAnsiTheme="minorEastAsia" w:eastAsiaTheme="minorEastAsia"/>
          <w:bCs/>
          <w:sz w:val="24"/>
          <w:highlight w:val="none"/>
        </w:rPr>
        <w:t>应先将表</w:t>
      </w:r>
      <w:r>
        <w:rPr>
          <w:rFonts w:eastAsiaTheme="minorEastAsia"/>
          <w:bCs/>
          <w:sz w:val="24"/>
          <w:highlight w:val="none"/>
        </w:rPr>
        <w:t>4-2-5</w:t>
      </w:r>
      <w:r>
        <w:rPr>
          <w:rFonts w:hAnsiTheme="minorEastAsia" w:eastAsiaTheme="minorEastAsia"/>
          <w:bCs/>
          <w:sz w:val="24"/>
          <w:highlight w:val="none"/>
        </w:rPr>
        <w:t>中</w:t>
      </w:r>
      <w:r>
        <w:rPr>
          <w:rFonts w:eastAsiaTheme="minorEastAsia"/>
          <w:bCs/>
          <w:sz w:val="24"/>
          <w:highlight w:val="none"/>
        </w:rPr>
        <w:t>1#</w:t>
      </w:r>
      <w:r>
        <w:rPr>
          <w:rFonts w:hAnsiTheme="minorEastAsia" w:eastAsiaTheme="minorEastAsia"/>
          <w:bCs/>
          <w:sz w:val="24"/>
          <w:highlight w:val="none"/>
        </w:rPr>
        <w:t>的阴离子的</w:t>
      </w:r>
      <w:r>
        <w:rPr>
          <w:rFonts w:eastAsiaTheme="minorEastAsia"/>
          <w:bCs/>
          <w:sz w:val="24"/>
          <w:highlight w:val="none"/>
        </w:rPr>
        <w:t>mg/L</w:t>
      </w:r>
      <w:r>
        <w:rPr>
          <w:rFonts w:hAnsiTheme="minorEastAsia" w:eastAsiaTheme="minorEastAsia"/>
          <w:bCs/>
          <w:sz w:val="24"/>
          <w:highlight w:val="none"/>
        </w:rPr>
        <w:t>数换算成</w:t>
      </w:r>
      <w:r>
        <w:rPr>
          <w:rFonts w:eastAsiaTheme="minorEastAsia"/>
          <w:bCs/>
          <w:sz w:val="24"/>
          <w:highlight w:val="none"/>
        </w:rPr>
        <w:t>mmol/L</w:t>
      </w:r>
      <w:r>
        <w:rPr>
          <w:rFonts w:hAnsiTheme="minorEastAsia" w:eastAsiaTheme="minorEastAsia"/>
          <w:bCs/>
          <w:sz w:val="24"/>
          <w:highlight w:val="none"/>
        </w:rPr>
        <w:t>数。它们的摩尔质量</w:t>
      </w:r>
      <w:r>
        <w:rPr>
          <w:rFonts w:eastAsiaTheme="minorEastAsia"/>
          <w:bCs/>
          <w:sz w:val="24"/>
          <w:highlight w:val="none"/>
        </w:rPr>
        <w:t>—mg/mmol</w:t>
      </w:r>
      <w:r>
        <w:rPr>
          <w:rFonts w:hAnsiTheme="minorEastAsia" w:eastAsiaTheme="minorEastAsia"/>
          <w:bCs/>
          <w:sz w:val="24"/>
          <w:highlight w:val="none"/>
        </w:rPr>
        <w:t>数分别采用：</w:t>
      </w:r>
      <w:r>
        <w:rPr>
          <w:rFonts w:eastAsiaTheme="minorEastAsia"/>
          <w:bCs/>
          <w:sz w:val="24"/>
          <w:highlight w:val="none"/>
        </w:rPr>
        <w:t>M</w:t>
      </w:r>
      <w:r>
        <w:rPr>
          <w:rFonts w:hAnsiTheme="minorEastAsia" w:eastAsiaTheme="minorEastAsia"/>
          <w:bCs/>
          <w:sz w:val="24"/>
          <w:highlight w:val="none"/>
        </w:rPr>
        <w:t>（</w:t>
      </w:r>
      <m:oMath>
        <m:f>
          <m:fPr>
            <m:type m:val="skw"/>
            <m:ctrlPr>
              <w:rPr>
                <w:rFonts w:ascii="Cambria Math" w:hAnsi="Cambria Math" w:eastAsiaTheme="minorEastAsia"/>
                <w:bCs/>
                <w:sz w:val="24"/>
                <w:highlight w:val="none"/>
              </w:rPr>
            </m:ctrlPr>
          </m:fPr>
          <m:num>
            <m:r>
              <m:rPr>
                <m:sty m:val="p"/>
              </m:rPr>
              <w:rPr>
                <w:rFonts w:ascii="Cambria Math" w:eastAsiaTheme="minorEastAsia"/>
                <w:sz w:val="24"/>
                <w:highlight w:val="none"/>
              </w:rPr>
              <m:t>1</m:t>
            </m:r>
            <m:ctrlPr>
              <w:rPr>
                <w:rFonts w:ascii="Cambria Math" w:hAnsi="Cambria Math" w:eastAsiaTheme="minorEastAsia"/>
                <w:bCs/>
                <w:sz w:val="24"/>
                <w:highlight w:val="none"/>
              </w:rPr>
            </m:ctrlPr>
          </m:num>
          <m:den>
            <m:r>
              <m:rPr>
                <m:sty m:val="p"/>
              </m:rPr>
              <w:rPr>
                <w:rFonts w:ascii="Cambria Math" w:eastAsiaTheme="minorEastAsia"/>
                <w:sz w:val="24"/>
                <w:highlight w:val="none"/>
              </w:rPr>
              <m:t>2</m:t>
            </m:r>
            <m:ctrlPr>
              <w:rPr>
                <w:rFonts w:ascii="Cambria Math" w:hAnsi="Cambria Math" w:eastAsiaTheme="minorEastAsia"/>
                <w:bCs/>
                <w:sz w:val="24"/>
                <w:highlight w:val="none"/>
              </w:rPr>
            </m:ctrlPr>
          </m:den>
        </m:f>
        <m:sSubSup>
          <m:sSubSupPr>
            <m:ctrlPr>
              <w:rPr>
                <w:rFonts w:ascii="Cambria Math" w:hAnsi="Cambria Math" w:eastAsiaTheme="minorEastAsia"/>
                <w:bCs/>
                <w:sz w:val="24"/>
                <w:highlight w:val="none"/>
              </w:rPr>
            </m:ctrlPr>
          </m:sSubSupPr>
          <m:e>
            <m:r>
              <m:rPr>
                <m:sty m:val="p"/>
              </m:rPr>
              <w:rPr>
                <w:rFonts w:ascii="Cambria Math" w:eastAsiaTheme="minorEastAsia"/>
                <w:sz w:val="24"/>
                <w:highlight w:val="none"/>
              </w:rPr>
              <m:t>CO</m:t>
            </m:r>
            <m:ctrlPr>
              <w:rPr>
                <w:rFonts w:ascii="Cambria Math" w:hAnsi="Cambria Math" w:eastAsiaTheme="minorEastAsia"/>
                <w:bCs/>
                <w:sz w:val="24"/>
                <w:highlight w:val="none"/>
              </w:rPr>
            </m:ctrlPr>
          </m:e>
          <m:sub>
            <m:r>
              <m:rPr>
                <m:sty m:val="p"/>
              </m:rPr>
              <w:rPr>
                <w:rFonts w:ascii="Cambria Math" w:eastAsiaTheme="minorEastAsia"/>
                <w:sz w:val="24"/>
                <w:highlight w:val="none"/>
              </w:rPr>
              <m:t>3</m:t>
            </m:r>
            <m:ctrlPr>
              <w:rPr>
                <w:rFonts w:ascii="Cambria Math" w:hAnsi="Cambria Math" w:eastAsiaTheme="minorEastAsia"/>
                <w:bCs/>
                <w:sz w:val="24"/>
                <w:highlight w:val="none"/>
              </w:rPr>
            </m:ctrlPr>
          </m:sub>
          <m:sup>
            <m:r>
              <m:rPr>
                <m:sty m:val="p"/>
              </m:rPr>
              <w:rPr>
                <w:rFonts w:ascii="Cambria Math" w:eastAsiaTheme="minorEastAsia"/>
                <w:sz w:val="24"/>
                <w:highlight w:val="none"/>
              </w:rPr>
              <m:t>2</m:t>
            </m:r>
            <m:r>
              <m:rPr>
                <m:sty m:val="p"/>
              </m:rPr>
              <w:rPr>
                <w:rFonts w:eastAsia="MS Mincho"/>
                <w:sz w:val="24"/>
                <w:highlight w:val="none"/>
              </w:rPr>
              <m:t>−</m:t>
            </m:r>
            <m:ctrlPr>
              <w:rPr>
                <w:rFonts w:ascii="Cambria Math" w:hAnsi="Cambria Math" w:eastAsiaTheme="minorEastAsia"/>
                <w:bCs/>
                <w:sz w:val="24"/>
                <w:highlight w:val="none"/>
              </w:rPr>
            </m:ctrlPr>
          </m:sup>
        </m:sSubSup>
      </m:oMath>
      <w:r>
        <w:rPr>
          <w:rFonts w:hAnsiTheme="minorEastAsia" w:eastAsiaTheme="minorEastAsia"/>
          <w:bCs/>
          <w:sz w:val="24"/>
          <w:highlight w:val="none"/>
        </w:rPr>
        <w:t>）是</w:t>
      </w:r>
      <w:r>
        <w:rPr>
          <w:rFonts w:eastAsiaTheme="minorEastAsia"/>
          <w:bCs/>
          <w:sz w:val="24"/>
          <w:highlight w:val="none"/>
        </w:rPr>
        <w:t>30</w:t>
      </w:r>
      <w:r>
        <w:rPr>
          <w:rFonts w:hAnsiTheme="minorEastAsia" w:eastAsiaTheme="minorEastAsia"/>
          <w:bCs/>
          <w:sz w:val="24"/>
          <w:highlight w:val="none"/>
        </w:rPr>
        <w:t>，</w:t>
      </w:r>
      <w:r>
        <w:rPr>
          <w:rFonts w:eastAsiaTheme="minorEastAsia"/>
          <w:bCs/>
          <w:sz w:val="24"/>
          <w:highlight w:val="none"/>
        </w:rPr>
        <w:t>M</w:t>
      </w:r>
      <w:r>
        <w:rPr>
          <w:rFonts w:hAnsiTheme="minorEastAsia" w:eastAsiaTheme="minorEastAsia"/>
          <w:bCs/>
          <w:sz w:val="24"/>
          <w:highlight w:val="none"/>
        </w:rPr>
        <w:t>（</w:t>
      </w:r>
      <m:oMath>
        <m:r>
          <m:rPr>
            <m:sty m:val="p"/>
          </m:rPr>
          <w:rPr>
            <w:rFonts w:ascii="Cambria Math" w:eastAsiaTheme="minorEastAsia"/>
            <w:sz w:val="24"/>
            <w:highlight w:val="none"/>
          </w:rPr>
          <m:t>H</m:t>
        </m:r>
        <m:sSubSup>
          <m:sSubSupPr>
            <m:ctrlPr>
              <w:rPr>
                <w:rFonts w:ascii="Cambria Math" w:hAnsi="Cambria Math" w:eastAsiaTheme="minorEastAsia"/>
                <w:bCs/>
                <w:sz w:val="24"/>
                <w:highlight w:val="none"/>
              </w:rPr>
            </m:ctrlPr>
          </m:sSubSupPr>
          <m:e>
            <m:r>
              <m:rPr>
                <m:sty m:val="p"/>
              </m:rPr>
              <w:rPr>
                <w:rFonts w:ascii="Cambria Math" w:eastAsiaTheme="minorEastAsia"/>
                <w:sz w:val="24"/>
                <w:highlight w:val="none"/>
              </w:rPr>
              <m:t>CO</m:t>
            </m:r>
            <m:ctrlPr>
              <w:rPr>
                <w:rFonts w:ascii="Cambria Math" w:hAnsi="Cambria Math" w:eastAsiaTheme="minorEastAsia"/>
                <w:bCs/>
                <w:sz w:val="24"/>
                <w:highlight w:val="none"/>
              </w:rPr>
            </m:ctrlPr>
          </m:e>
          <m:sub>
            <m:r>
              <m:rPr>
                <m:sty m:val="p"/>
              </m:rPr>
              <w:rPr>
                <w:rFonts w:ascii="Cambria Math" w:eastAsiaTheme="minorEastAsia"/>
                <w:sz w:val="24"/>
                <w:highlight w:val="none"/>
              </w:rPr>
              <m:t>3</m:t>
            </m:r>
            <m:ctrlPr>
              <w:rPr>
                <w:rFonts w:ascii="Cambria Math" w:hAnsi="Cambria Math" w:eastAsiaTheme="minorEastAsia"/>
                <w:bCs/>
                <w:sz w:val="24"/>
                <w:highlight w:val="none"/>
              </w:rPr>
            </m:ctrlPr>
          </m:sub>
          <m:sup>
            <m:r>
              <m:rPr>
                <m:sty m:val="p"/>
              </m:rPr>
              <w:rPr>
                <w:rFonts w:eastAsia="MS Mincho"/>
                <w:sz w:val="24"/>
                <w:highlight w:val="none"/>
              </w:rPr>
              <m:t>−</m:t>
            </m:r>
            <m:ctrlPr>
              <w:rPr>
                <w:rFonts w:ascii="Cambria Math" w:hAnsi="Cambria Math" w:eastAsiaTheme="minorEastAsia"/>
                <w:bCs/>
                <w:sz w:val="24"/>
                <w:highlight w:val="none"/>
              </w:rPr>
            </m:ctrlPr>
          </m:sup>
        </m:sSubSup>
      </m:oMath>
      <w:r>
        <w:rPr>
          <w:rFonts w:hAnsiTheme="minorEastAsia" w:eastAsiaTheme="minorEastAsia"/>
          <w:bCs/>
          <w:sz w:val="24"/>
          <w:highlight w:val="none"/>
        </w:rPr>
        <w:t>）是</w:t>
      </w:r>
      <w:r>
        <w:rPr>
          <w:rFonts w:eastAsiaTheme="minorEastAsia"/>
          <w:bCs/>
          <w:sz w:val="24"/>
          <w:highlight w:val="none"/>
        </w:rPr>
        <w:t>61</w:t>
      </w:r>
      <w:r>
        <w:rPr>
          <w:rFonts w:hAnsiTheme="minorEastAsia" w:eastAsiaTheme="minorEastAsia"/>
          <w:bCs/>
          <w:sz w:val="24"/>
          <w:highlight w:val="none"/>
        </w:rPr>
        <w:t>，</w:t>
      </w:r>
      <w:r>
        <w:rPr>
          <w:rFonts w:eastAsiaTheme="minorEastAsia"/>
          <w:bCs/>
          <w:sz w:val="24"/>
          <w:highlight w:val="none"/>
        </w:rPr>
        <w:t>M</w:t>
      </w:r>
      <w:r>
        <w:rPr>
          <w:rFonts w:hAnsiTheme="minorEastAsia" w:eastAsiaTheme="minorEastAsia"/>
          <w:bCs/>
          <w:sz w:val="24"/>
          <w:highlight w:val="none"/>
        </w:rPr>
        <w:t>（</w:t>
      </w:r>
      <w:r>
        <w:rPr>
          <w:rFonts w:eastAsiaTheme="minorEastAsia"/>
          <w:bCs/>
          <w:sz w:val="24"/>
          <w:highlight w:val="none"/>
        </w:rPr>
        <w:t>Cl</w:t>
      </w:r>
      <w:r>
        <w:rPr>
          <w:rFonts w:eastAsiaTheme="minorEastAsia"/>
          <w:bCs/>
          <w:sz w:val="24"/>
          <w:highlight w:val="none"/>
          <w:vertAlign w:val="superscript"/>
        </w:rPr>
        <w:t>-</w:t>
      </w:r>
      <w:r>
        <w:rPr>
          <w:rFonts w:hAnsiTheme="minorEastAsia" w:eastAsiaTheme="minorEastAsia"/>
          <w:bCs/>
          <w:sz w:val="24"/>
          <w:highlight w:val="none"/>
        </w:rPr>
        <w:t>）是</w:t>
      </w:r>
      <w:r>
        <w:rPr>
          <w:rFonts w:eastAsiaTheme="minorEastAsia"/>
          <w:bCs/>
          <w:sz w:val="24"/>
          <w:highlight w:val="none"/>
        </w:rPr>
        <w:t>35.5</w:t>
      </w:r>
      <w:r>
        <w:rPr>
          <w:rFonts w:hAnsiTheme="minorEastAsia" w:eastAsiaTheme="minorEastAsia"/>
          <w:bCs/>
          <w:sz w:val="24"/>
          <w:highlight w:val="none"/>
        </w:rPr>
        <w:t>，</w:t>
      </w:r>
      <w:r>
        <w:rPr>
          <w:rFonts w:eastAsiaTheme="minorEastAsia"/>
          <w:bCs/>
          <w:sz w:val="24"/>
          <w:highlight w:val="none"/>
        </w:rPr>
        <w:t>M</w:t>
      </w:r>
      <w:r>
        <w:rPr>
          <w:rFonts w:hAnsiTheme="minorEastAsia" w:eastAsiaTheme="minorEastAsia"/>
          <w:bCs/>
          <w:sz w:val="24"/>
          <w:highlight w:val="none"/>
        </w:rPr>
        <w:t>（</w:t>
      </w:r>
      <m:oMath>
        <m:f>
          <m:fPr>
            <m:type m:val="skw"/>
            <m:ctrlPr>
              <w:rPr>
                <w:rFonts w:ascii="Cambria Math" w:hAnsi="Cambria Math" w:eastAsiaTheme="minorEastAsia"/>
                <w:bCs/>
                <w:sz w:val="24"/>
                <w:highlight w:val="none"/>
              </w:rPr>
            </m:ctrlPr>
          </m:fPr>
          <m:num>
            <m:r>
              <m:rPr>
                <m:sty m:val="p"/>
              </m:rPr>
              <w:rPr>
                <w:rFonts w:ascii="Cambria Math" w:eastAsiaTheme="minorEastAsia"/>
                <w:sz w:val="24"/>
                <w:highlight w:val="none"/>
              </w:rPr>
              <m:t>1</m:t>
            </m:r>
            <m:ctrlPr>
              <w:rPr>
                <w:rFonts w:ascii="Cambria Math" w:hAnsi="Cambria Math" w:eastAsiaTheme="minorEastAsia"/>
                <w:bCs/>
                <w:sz w:val="24"/>
                <w:highlight w:val="none"/>
              </w:rPr>
            </m:ctrlPr>
          </m:num>
          <m:den>
            <m:r>
              <m:rPr>
                <m:sty m:val="p"/>
              </m:rPr>
              <w:rPr>
                <w:rFonts w:ascii="Cambria Math" w:eastAsiaTheme="minorEastAsia"/>
                <w:sz w:val="24"/>
                <w:highlight w:val="none"/>
              </w:rPr>
              <m:t>2</m:t>
            </m:r>
            <m:ctrlPr>
              <w:rPr>
                <w:rFonts w:ascii="Cambria Math" w:hAnsi="Cambria Math" w:eastAsiaTheme="minorEastAsia"/>
                <w:bCs/>
                <w:sz w:val="24"/>
                <w:highlight w:val="none"/>
              </w:rPr>
            </m:ctrlPr>
          </m:den>
        </m:f>
        <m:sSubSup>
          <m:sSubSupPr>
            <m:ctrlPr>
              <w:rPr>
                <w:rFonts w:ascii="Cambria Math" w:hAnsi="Cambria Math" w:eastAsiaTheme="minorEastAsia"/>
                <w:bCs/>
                <w:sz w:val="24"/>
                <w:highlight w:val="none"/>
              </w:rPr>
            </m:ctrlPr>
          </m:sSubSupPr>
          <m:e>
            <m:r>
              <m:rPr>
                <m:sty m:val="p"/>
              </m:rPr>
              <w:rPr>
                <w:rFonts w:ascii="Cambria Math" w:eastAsiaTheme="minorEastAsia"/>
                <w:sz w:val="24"/>
                <w:highlight w:val="none"/>
              </w:rPr>
              <m:t>SO</m:t>
            </m:r>
            <m:ctrlPr>
              <w:rPr>
                <w:rFonts w:ascii="Cambria Math" w:hAnsi="Cambria Math" w:eastAsiaTheme="minorEastAsia"/>
                <w:bCs/>
                <w:sz w:val="24"/>
                <w:highlight w:val="none"/>
              </w:rPr>
            </m:ctrlPr>
          </m:e>
          <m:sub>
            <m:r>
              <m:rPr>
                <m:sty m:val="p"/>
              </m:rPr>
              <w:rPr>
                <w:rFonts w:ascii="Cambria Math" w:eastAsiaTheme="minorEastAsia"/>
                <w:sz w:val="24"/>
                <w:highlight w:val="none"/>
              </w:rPr>
              <m:t>4</m:t>
            </m:r>
            <m:ctrlPr>
              <w:rPr>
                <w:rFonts w:ascii="Cambria Math" w:hAnsi="Cambria Math" w:eastAsiaTheme="minorEastAsia"/>
                <w:bCs/>
                <w:sz w:val="24"/>
                <w:highlight w:val="none"/>
              </w:rPr>
            </m:ctrlPr>
          </m:sub>
          <m:sup>
            <m:r>
              <m:rPr>
                <m:sty m:val="p"/>
              </m:rPr>
              <w:rPr>
                <w:rFonts w:ascii="Cambria Math" w:eastAsiaTheme="minorEastAsia"/>
                <w:sz w:val="24"/>
                <w:highlight w:val="none"/>
              </w:rPr>
              <m:t>2</m:t>
            </m:r>
            <m:r>
              <m:rPr>
                <m:sty m:val="p"/>
              </m:rPr>
              <w:rPr>
                <w:rFonts w:eastAsia="MS Mincho"/>
                <w:sz w:val="24"/>
                <w:highlight w:val="none"/>
              </w:rPr>
              <m:t>−</m:t>
            </m:r>
            <m:ctrlPr>
              <w:rPr>
                <w:rFonts w:ascii="Cambria Math" w:hAnsi="Cambria Math" w:eastAsiaTheme="minorEastAsia"/>
                <w:bCs/>
                <w:sz w:val="24"/>
                <w:highlight w:val="none"/>
              </w:rPr>
            </m:ctrlPr>
          </m:sup>
        </m:sSubSup>
      </m:oMath>
      <w:r>
        <w:rPr>
          <w:rFonts w:hAnsiTheme="minorEastAsia" w:eastAsiaTheme="minorEastAsia"/>
          <w:bCs/>
          <w:sz w:val="24"/>
          <w:highlight w:val="none"/>
        </w:rPr>
        <w:t>）是</w:t>
      </w:r>
      <w:r>
        <w:rPr>
          <w:rFonts w:eastAsiaTheme="minorEastAsia"/>
          <w:bCs/>
          <w:sz w:val="24"/>
          <w:highlight w:val="none"/>
        </w:rPr>
        <w:t>48</w:t>
      </w:r>
      <w:r>
        <w:rPr>
          <w:rFonts w:hAnsiTheme="minorEastAsia" w:eastAsiaTheme="minorEastAsia"/>
          <w:bCs/>
          <w:sz w:val="24"/>
          <w:highlight w:val="none"/>
        </w:rPr>
        <w:t>。</w:t>
      </w:r>
    </w:p>
    <w:p w14:paraId="4471184D">
      <w:pPr>
        <w:spacing w:line="360" w:lineRule="auto"/>
        <w:ind w:firstLine="480" w:firstLineChars="200"/>
        <w:rPr>
          <w:rFonts w:hint="default" w:eastAsiaTheme="minorEastAsia"/>
          <w:bCs/>
          <w:sz w:val="24"/>
          <w:highlight w:val="none"/>
          <w:lang w:val="en-US" w:eastAsia="zh-CN"/>
        </w:rPr>
      </w:pPr>
      <w:r>
        <w:rPr>
          <w:rFonts w:hAnsiTheme="minorEastAsia" w:eastAsiaTheme="minorEastAsia"/>
          <w:bCs/>
          <w:sz w:val="24"/>
          <w:highlight w:val="none"/>
        </w:rPr>
        <w:t>所以，</w:t>
      </w:r>
      <w:r>
        <w:rPr>
          <w:rFonts w:eastAsiaTheme="minorEastAsia"/>
          <w:bCs/>
          <w:sz w:val="24"/>
          <w:highlight w:val="none"/>
        </w:rPr>
        <w:t>C</w:t>
      </w:r>
      <w:r>
        <w:rPr>
          <w:rFonts w:hAnsiTheme="minorEastAsia" w:eastAsiaTheme="minorEastAsia"/>
          <w:bCs/>
          <w:sz w:val="24"/>
          <w:highlight w:val="none"/>
        </w:rPr>
        <w:t>（</w:t>
      </w:r>
      <m:oMath>
        <m:r>
          <m:rPr>
            <m:sty m:val="p"/>
          </m:rPr>
          <w:rPr>
            <w:rFonts w:ascii="Cambria Math" w:eastAsiaTheme="minorEastAsia"/>
            <w:sz w:val="24"/>
            <w:highlight w:val="none"/>
          </w:rPr>
          <m:t>H</m:t>
        </m:r>
        <m:sSubSup>
          <m:sSubSupPr>
            <m:ctrlPr>
              <w:rPr>
                <w:rFonts w:ascii="Cambria Math" w:hAnsi="Cambria Math" w:eastAsiaTheme="minorEastAsia"/>
                <w:bCs/>
                <w:sz w:val="24"/>
                <w:highlight w:val="none"/>
              </w:rPr>
            </m:ctrlPr>
          </m:sSubSupPr>
          <m:e>
            <m:r>
              <m:rPr>
                <m:sty m:val="p"/>
              </m:rPr>
              <w:rPr>
                <w:rFonts w:ascii="Cambria Math" w:eastAsiaTheme="minorEastAsia"/>
                <w:sz w:val="24"/>
                <w:highlight w:val="none"/>
              </w:rPr>
              <m:t>CO</m:t>
            </m:r>
            <m:ctrlPr>
              <w:rPr>
                <w:rFonts w:ascii="Cambria Math" w:hAnsi="Cambria Math" w:eastAsiaTheme="minorEastAsia"/>
                <w:bCs/>
                <w:sz w:val="24"/>
                <w:highlight w:val="none"/>
              </w:rPr>
            </m:ctrlPr>
          </m:e>
          <m:sub>
            <m:r>
              <m:rPr>
                <m:sty m:val="p"/>
              </m:rPr>
              <w:rPr>
                <w:rFonts w:ascii="Cambria Math" w:eastAsiaTheme="minorEastAsia"/>
                <w:sz w:val="24"/>
                <w:highlight w:val="none"/>
              </w:rPr>
              <m:t>3</m:t>
            </m:r>
            <m:ctrlPr>
              <w:rPr>
                <w:rFonts w:ascii="Cambria Math" w:hAnsi="Cambria Math" w:eastAsiaTheme="minorEastAsia"/>
                <w:bCs/>
                <w:sz w:val="24"/>
                <w:highlight w:val="none"/>
              </w:rPr>
            </m:ctrlPr>
          </m:sub>
          <m:sup>
            <m:r>
              <m:rPr>
                <m:sty m:val="p"/>
              </m:rPr>
              <w:rPr>
                <w:rFonts w:eastAsia="MS Mincho"/>
                <w:sz w:val="24"/>
                <w:highlight w:val="none"/>
              </w:rPr>
              <m:t>−</m:t>
            </m:r>
            <m:ctrlPr>
              <w:rPr>
                <w:rFonts w:ascii="Cambria Math" w:hAnsi="Cambria Math" w:eastAsiaTheme="minorEastAsia"/>
                <w:bCs/>
                <w:sz w:val="24"/>
                <w:highlight w:val="none"/>
              </w:rPr>
            </m:ctrlPr>
          </m:sup>
        </m:sSubSup>
      </m:oMath>
      <w:r>
        <w:rPr>
          <w:rFonts w:hAnsiTheme="minorEastAsia" w:eastAsiaTheme="minorEastAsia"/>
          <w:bCs/>
          <w:sz w:val="24"/>
          <w:highlight w:val="none"/>
        </w:rPr>
        <w:t>）</w:t>
      </w:r>
      <w:r>
        <w:rPr>
          <w:rFonts w:eastAsiaTheme="minorEastAsia"/>
          <w:bCs/>
          <w:sz w:val="24"/>
          <w:highlight w:val="none"/>
        </w:rPr>
        <w:t>=</w:t>
      </w:r>
      <m:oMath>
        <m:f>
          <m:fPr>
            <m:ctrlPr>
              <w:rPr>
                <w:rFonts w:ascii="Cambria Math" w:hAnsi="Cambria Math" w:eastAsiaTheme="minorEastAsia"/>
                <w:bCs/>
                <w:sz w:val="24"/>
                <w:highlight w:val="none"/>
              </w:rPr>
            </m:ctrlPr>
          </m:fPr>
          <m:num>
            <m:r>
              <m:rPr>
                <m:sty m:val="p"/>
              </m:rPr>
              <w:rPr>
                <w:rFonts w:hint="default" w:ascii="Cambria Math" w:hAnsi="Cambria Math" w:eastAsiaTheme="minorEastAsia"/>
                <w:sz w:val="24"/>
                <w:highlight w:val="none"/>
                <w:lang w:val="en-US" w:eastAsia="zh-CN"/>
              </w:rPr>
              <m:t>154</m:t>
            </m:r>
            <m:ctrlPr>
              <w:rPr>
                <w:rFonts w:ascii="Cambria Math" w:hAnsi="Cambria Math" w:eastAsiaTheme="minorEastAsia"/>
                <w:bCs/>
                <w:sz w:val="24"/>
                <w:highlight w:val="none"/>
              </w:rPr>
            </m:ctrlPr>
          </m:num>
          <m:den>
            <m:r>
              <m:rPr>
                <m:sty m:val="p"/>
              </m:rPr>
              <w:rPr>
                <w:rFonts w:ascii="Cambria Math" w:eastAsiaTheme="minorEastAsia"/>
                <w:sz w:val="24"/>
                <w:highlight w:val="none"/>
              </w:rPr>
              <m:t>61</m:t>
            </m:r>
            <m:ctrlPr>
              <w:rPr>
                <w:rFonts w:ascii="Cambria Math" w:hAnsi="Cambria Math" w:eastAsiaTheme="minorEastAsia"/>
                <w:bCs/>
                <w:sz w:val="24"/>
                <w:highlight w:val="none"/>
              </w:rPr>
            </m:ctrlPr>
          </m:den>
        </m:f>
      </m:oMath>
      <w:r>
        <w:rPr>
          <w:rFonts w:eastAsiaTheme="minorEastAsia"/>
          <w:bCs/>
          <w:sz w:val="24"/>
          <w:highlight w:val="none"/>
        </w:rPr>
        <w:t>=</w:t>
      </w:r>
      <w:r>
        <w:rPr>
          <w:rFonts w:hint="eastAsia" w:eastAsiaTheme="minorEastAsia"/>
          <w:bCs/>
          <w:sz w:val="24"/>
          <w:highlight w:val="none"/>
          <w:lang w:val="en-US" w:eastAsia="zh-CN"/>
        </w:rPr>
        <w:t>2.52</w:t>
      </w:r>
    </w:p>
    <w:p w14:paraId="62A94E8E">
      <w:pPr>
        <w:spacing w:line="360" w:lineRule="auto"/>
        <w:ind w:firstLine="480" w:firstLineChars="200"/>
        <w:rPr>
          <w:rFonts w:hint="default" w:eastAsiaTheme="minorEastAsia"/>
          <w:bCs/>
          <w:sz w:val="24"/>
          <w:highlight w:val="none"/>
          <w:lang w:val="en-US" w:eastAsia="zh-CN"/>
        </w:rPr>
      </w:pPr>
      <w:r>
        <w:rPr>
          <w:rFonts w:eastAsiaTheme="minorEastAsia"/>
          <w:bCs/>
          <w:sz w:val="24"/>
          <w:highlight w:val="none"/>
        </w:rPr>
        <w:t>C</w:t>
      </w:r>
      <w:r>
        <w:rPr>
          <w:rFonts w:hAnsiTheme="minorEastAsia" w:eastAsiaTheme="minorEastAsia"/>
          <w:bCs/>
          <w:sz w:val="24"/>
          <w:highlight w:val="none"/>
        </w:rPr>
        <w:t>（</w:t>
      </w:r>
      <w:r>
        <w:rPr>
          <w:rFonts w:eastAsiaTheme="minorEastAsia"/>
          <w:bCs/>
          <w:sz w:val="24"/>
          <w:highlight w:val="none"/>
        </w:rPr>
        <w:t>Cl-</w:t>
      </w:r>
      <w:r>
        <w:rPr>
          <w:rFonts w:hAnsiTheme="minorEastAsia" w:eastAsiaTheme="minorEastAsia"/>
          <w:bCs/>
          <w:sz w:val="24"/>
          <w:highlight w:val="none"/>
        </w:rPr>
        <w:t>）</w:t>
      </w:r>
      <w:r>
        <w:rPr>
          <w:rFonts w:eastAsiaTheme="minorEastAsia"/>
          <w:bCs/>
          <w:sz w:val="24"/>
          <w:highlight w:val="none"/>
        </w:rPr>
        <w:t>=</w:t>
      </w:r>
      <m:oMath>
        <m:f>
          <m:fPr>
            <m:ctrlPr>
              <w:rPr>
                <w:rFonts w:ascii="Cambria Math" w:hAnsi="Cambria Math" w:eastAsiaTheme="minorEastAsia"/>
                <w:bCs/>
                <w:sz w:val="24"/>
                <w:highlight w:val="none"/>
              </w:rPr>
            </m:ctrlPr>
          </m:fPr>
          <m:num>
            <m:r>
              <m:rPr>
                <m:sty m:val="p"/>
              </m:rPr>
              <w:rPr>
                <w:rFonts w:hint="default" w:ascii="Cambria Math" w:hAnsi="Cambria Math" w:eastAsiaTheme="minorEastAsia"/>
                <w:sz w:val="24"/>
                <w:highlight w:val="none"/>
                <w:lang w:val="en-US" w:eastAsia="zh-CN"/>
              </w:rPr>
              <m:t>13.5</m:t>
            </m:r>
            <m:ctrlPr>
              <w:rPr>
                <w:rFonts w:ascii="Cambria Math" w:hAnsi="Cambria Math" w:eastAsiaTheme="minorEastAsia"/>
                <w:bCs/>
                <w:sz w:val="24"/>
                <w:highlight w:val="none"/>
              </w:rPr>
            </m:ctrlPr>
          </m:num>
          <m:den>
            <m:r>
              <m:rPr>
                <m:sty m:val="p"/>
              </m:rPr>
              <w:rPr>
                <w:rFonts w:ascii="Cambria Math" w:eastAsiaTheme="minorEastAsia"/>
                <w:sz w:val="24"/>
                <w:highlight w:val="none"/>
              </w:rPr>
              <m:t>35.5</m:t>
            </m:r>
            <m:ctrlPr>
              <w:rPr>
                <w:rFonts w:ascii="Cambria Math" w:hAnsi="Cambria Math" w:eastAsiaTheme="minorEastAsia"/>
                <w:bCs/>
                <w:sz w:val="24"/>
                <w:highlight w:val="none"/>
              </w:rPr>
            </m:ctrlPr>
          </m:den>
        </m:f>
      </m:oMath>
      <w:r>
        <w:rPr>
          <w:rFonts w:eastAsiaTheme="minorEastAsia"/>
          <w:bCs/>
          <w:sz w:val="24"/>
          <w:highlight w:val="none"/>
        </w:rPr>
        <w:t>=0.</w:t>
      </w:r>
      <w:r>
        <w:rPr>
          <w:rFonts w:hint="eastAsia" w:eastAsiaTheme="minorEastAsia"/>
          <w:bCs/>
          <w:sz w:val="24"/>
          <w:highlight w:val="none"/>
          <w:lang w:val="en-US" w:eastAsia="zh-CN"/>
        </w:rPr>
        <w:t>38</w:t>
      </w:r>
    </w:p>
    <w:p w14:paraId="265FD679">
      <w:pPr>
        <w:spacing w:line="360" w:lineRule="auto"/>
        <w:ind w:firstLine="480" w:firstLineChars="200"/>
        <w:rPr>
          <w:rFonts w:hint="default" w:eastAsiaTheme="minorEastAsia"/>
          <w:bCs/>
          <w:sz w:val="24"/>
          <w:highlight w:val="none"/>
          <w:lang w:val="en-US" w:eastAsia="zh-CN"/>
        </w:rPr>
      </w:pPr>
      <w:r>
        <w:rPr>
          <w:rFonts w:eastAsiaTheme="minorEastAsia"/>
          <w:bCs/>
          <w:sz w:val="24"/>
          <w:highlight w:val="none"/>
        </w:rPr>
        <w:t>C</w:t>
      </w:r>
      <w:r>
        <w:rPr>
          <w:rFonts w:hAnsiTheme="minorEastAsia" w:eastAsiaTheme="minorEastAsia"/>
          <w:bCs/>
          <w:sz w:val="24"/>
          <w:highlight w:val="none"/>
        </w:rPr>
        <w:t>（</w:t>
      </w:r>
      <m:oMath>
        <m:f>
          <m:fPr>
            <m:type m:val="skw"/>
            <m:ctrlPr>
              <w:rPr>
                <w:rFonts w:ascii="Cambria Math" w:hAnsi="Cambria Math" w:eastAsiaTheme="minorEastAsia"/>
                <w:bCs/>
                <w:sz w:val="24"/>
                <w:highlight w:val="none"/>
              </w:rPr>
            </m:ctrlPr>
          </m:fPr>
          <m:num>
            <m:r>
              <m:rPr>
                <m:sty m:val="p"/>
              </m:rPr>
              <w:rPr>
                <w:rFonts w:ascii="Cambria Math" w:eastAsiaTheme="minorEastAsia"/>
                <w:sz w:val="24"/>
                <w:highlight w:val="none"/>
              </w:rPr>
              <m:t>1</m:t>
            </m:r>
            <m:ctrlPr>
              <w:rPr>
                <w:rFonts w:ascii="Cambria Math" w:hAnsi="Cambria Math" w:eastAsiaTheme="minorEastAsia"/>
                <w:bCs/>
                <w:sz w:val="24"/>
                <w:highlight w:val="none"/>
              </w:rPr>
            </m:ctrlPr>
          </m:num>
          <m:den>
            <m:r>
              <m:rPr>
                <m:sty m:val="p"/>
              </m:rPr>
              <w:rPr>
                <w:rFonts w:ascii="Cambria Math" w:eastAsiaTheme="minorEastAsia"/>
                <w:sz w:val="24"/>
                <w:highlight w:val="none"/>
              </w:rPr>
              <m:t>2</m:t>
            </m:r>
            <m:ctrlPr>
              <w:rPr>
                <w:rFonts w:ascii="Cambria Math" w:hAnsi="Cambria Math" w:eastAsiaTheme="minorEastAsia"/>
                <w:bCs/>
                <w:sz w:val="24"/>
                <w:highlight w:val="none"/>
              </w:rPr>
            </m:ctrlPr>
          </m:den>
        </m:f>
        <m:sSubSup>
          <m:sSubSupPr>
            <m:ctrlPr>
              <w:rPr>
                <w:rFonts w:ascii="Cambria Math" w:hAnsi="Cambria Math" w:eastAsiaTheme="minorEastAsia"/>
                <w:bCs/>
                <w:sz w:val="24"/>
                <w:highlight w:val="none"/>
              </w:rPr>
            </m:ctrlPr>
          </m:sSubSupPr>
          <m:e>
            <m:r>
              <m:rPr>
                <m:sty m:val="p"/>
              </m:rPr>
              <w:rPr>
                <w:rFonts w:ascii="Cambria Math" w:eastAsiaTheme="minorEastAsia"/>
                <w:sz w:val="24"/>
                <w:highlight w:val="none"/>
              </w:rPr>
              <m:t>SO</m:t>
            </m:r>
            <m:ctrlPr>
              <w:rPr>
                <w:rFonts w:ascii="Cambria Math" w:hAnsi="Cambria Math" w:eastAsiaTheme="minorEastAsia"/>
                <w:bCs/>
                <w:sz w:val="24"/>
                <w:highlight w:val="none"/>
              </w:rPr>
            </m:ctrlPr>
          </m:e>
          <m:sub>
            <m:r>
              <m:rPr>
                <m:sty m:val="p"/>
              </m:rPr>
              <w:rPr>
                <w:rFonts w:ascii="Cambria Math" w:eastAsiaTheme="minorEastAsia"/>
                <w:sz w:val="24"/>
                <w:highlight w:val="none"/>
              </w:rPr>
              <m:t>4</m:t>
            </m:r>
            <m:ctrlPr>
              <w:rPr>
                <w:rFonts w:ascii="Cambria Math" w:hAnsi="Cambria Math" w:eastAsiaTheme="minorEastAsia"/>
                <w:bCs/>
                <w:sz w:val="24"/>
                <w:highlight w:val="none"/>
              </w:rPr>
            </m:ctrlPr>
          </m:sub>
          <m:sup>
            <m:r>
              <m:rPr>
                <m:sty m:val="p"/>
              </m:rPr>
              <w:rPr>
                <w:rFonts w:ascii="Cambria Math" w:eastAsiaTheme="minorEastAsia"/>
                <w:sz w:val="24"/>
                <w:highlight w:val="none"/>
              </w:rPr>
              <m:t>2</m:t>
            </m:r>
            <m:r>
              <m:rPr>
                <m:sty m:val="p"/>
              </m:rPr>
              <w:rPr>
                <w:rFonts w:eastAsia="MS Mincho"/>
                <w:sz w:val="24"/>
                <w:highlight w:val="none"/>
              </w:rPr>
              <m:t>−</m:t>
            </m:r>
            <m:ctrlPr>
              <w:rPr>
                <w:rFonts w:ascii="Cambria Math" w:hAnsi="Cambria Math" w:eastAsiaTheme="minorEastAsia"/>
                <w:bCs/>
                <w:sz w:val="24"/>
                <w:highlight w:val="none"/>
              </w:rPr>
            </m:ctrlPr>
          </m:sup>
        </m:sSubSup>
      </m:oMath>
      <w:r>
        <w:rPr>
          <w:rFonts w:hAnsiTheme="minorEastAsia" w:eastAsiaTheme="minorEastAsia"/>
          <w:bCs/>
          <w:sz w:val="24"/>
          <w:highlight w:val="none"/>
        </w:rPr>
        <w:t>）</w:t>
      </w:r>
      <w:r>
        <w:rPr>
          <w:rFonts w:eastAsiaTheme="minorEastAsia"/>
          <w:bCs/>
          <w:sz w:val="24"/>
          <w:highlight w:val="none"/>
        </w:rPr>
        <w:t>=</w:t>
      </w:r>
      <m:oMath>
        <m:f>
          <m:fPr>
            <m:ctrlPr>
              <w:rPr>
                <w:rFonts w:ascii="Cambria Math" w:hAnsi="Cambria Math" w:eastAsiaTheme="minorEastAsia"/>
                <w:bCs/>
                <w:sz w:val="24"/>
                <w:highlight w:val="none"/>
              </w:rPr>
            </m:ctrlPr>
          </m:fPr>
          <m:num>
            <m:r>
              <m:rPr>
                <m:sty m:val="p"/>
              </m:rPr>
              <w:rPr>
                <w:rFonts w:hint="default" w:ascii="Cambria Math" w:hAnsi="Cambria Math" w:eastAsiaTheme="minorEastAsia"/>
                <w:sz w:val="24"/>
                <w:highlight w:val="none"/>
                <w:lang w:val="en-US" w:eastAsia="zh-CN"/>
              </w:rPr>
              <m:t>7.7</m:t>
            </m:r>
            <m:ctrlPr>
              <w:rPr>
                <w:rFonts w:ascii="Cambria Math" w:hAnsi="Cambria Math" w:eastAsiaTheme="minorEastAsia"/>
                <w:bCs/>
                <w:sz w:val="24"/>
                <w:highlight w:val="none"/>
              </w:rPr>
            </m:ctrlPr>
          </m:num>
          <m:den>
            <m:r>
              <m:rPr>
                <m:sty m:val="p"/>
              </m:rPr>
              <w:rPr>
                <w:rFonts w:ascii="Cambria Math" w:eastAsiaTheme="minorEastAsia"/>
                <w:sz w:val="24"/>
                <w:highlight w:val="none"/>
              </w:rPr>
              <m:t>48</m:t>
            </m:r>
            <m:ctrlPr>
              <w:rPr>
                <w:rFonts w:ascii="Cambria Math" w:hAnsi="Cambria Math" w:eastAsiaTheme="minorEastAsia"/>
                <w:bCs/>
                <w:sz w:val="24"/>
                <w:highlight w:val="none"/>
              </w:rPr>
            </m:ctrlPr>
          </m:den>
        </m:f>
      </m:oMath>
      <w:r>
        <w:rPr>
          <w:rFonts w:eastAsiaTheme="minorEastAsia"/>
          <w:bCs/>
          <w:sz w:val="24"/>
          <w:highlight w:val="none"/>
        </w:rPr>
        <w:t>=0.</w:t>
      </w:r>
      <w:r>
        <w:rPr>
          <w:rFonts w:hint="eastAsia" w:eastAsiaTheme="minorEastAsia"/>
          <w:bCs/>
          <w:sz w:val="24"/>
          <w:highlight w:val="none"/>
          <w:lang w:val="en-US" w:eastAsia="zh-CN"/>
        </w:rPr>
        <w:t>16</w:t>
      </w:r>
    </w:p>
    <w:p w14:paraId="195C1E50">
      <w:pPr>
        <w:spacing w:line="360" w:lineRule="auto"/>
        <w:ind w:firstLine="480" w:firstLineChars="200"/>
        <w:rPr>
          <w:rFonts w:hint="default" w:eastAsiaTheme="minorEastAsia"/>
          <w:bCs/>
          <w:sz w:val="24"/>
          <w:highlight w:val="none"/>
          <w:lang w:val="en-US" w:eastAsia="zh-CN"/>
        </w:rPr>
      </w:pPr>
      <w:r>
        <w:rPr>
          <w:rFonts w:hAnsiTheme="minorEastAsia" w:eastAsiaTheme="minorEastAsia"/>
          <w:bCs/>
          <w:sz w:val="24"/>
          <w:highlight w:val="none"/>
        </w:rPr>
        <w:t>则：</w:t>
      </w:r>
      <w:r>
        <w:rPr>
          <w:rFonts w:eastAsiaTheme="minorEastAsia"/>
          <w:bCs/>
          <w:sz w:val="24"/>
          <w:highlight w:val="none"/>
        </w:rPr>
        <w:t>C</w:t>
      </w:r>
      <w:r>
        <w:rPr>
          <w:rFonts w:hAnsiTheme="minorEastAsia" w:eastAsiaTheme="minorEastAsia"/>
          <w:bCs/>
          <w:sz w:val="24"/>
          <w:highlight w:val="none"/>
        </w:rPr>
        <w:t>（</w:t>
      </w:r>
      <w:r>
        <w:rPr>
          <w:rFonts w:eastAsiaTheme="minorEastAsia"/>
          <w:bCs/>
          <w:sz w:val="24"/>
          <w:highlight w:val="none"/>
        </w:rPr>
        <w:t>∑A</w:t>
      </w:r>
      <w:r>
        <w:rPr>
          <w:rFonts w:hAnsiTheme="minorEastAsia" w:eastAsiaTheme="minorEastAsia"/>
          <w:bCs/>
          <w:sz w:val="24"/>
          <w:highlight w:val="none"/>
        </w:rPr>
        <w:t>）</w:t>
      </w:r>
      <w:r>
        <w:rPr>
          <w:rFonts w:eastAsiaTheme="minorEastAsia"/>
          <w:bCs/>
          <w:sz w:val="24"/>
          <w:highlight w:val="none"/>
        </w:rPr>
        <w:t>=</w:t>
      </w:r>
      <w:r>
        <w:rPr>
          <w:rFonts w:hint="eastAsia" w:eastAsiaTheme="minorEastAsia"/>
          <w:bCs/>
          <w:sz w:val="24"/>
          <w:highlight w:val="none"/>
          <w:lang w:val="en-US" w:eastAsia="zh-CN"/>
        </w:rPr>
        <w:t>2.52</w:t>
      </w:r>
      <w:r>
        <w:rPr>
          <w:rFonts w:eastAsiaTheme="minorEastAsia"/>
          <w:bCs/>
          <w:sz w:val="24"/>
          <w:highlight w:val="none"/>
        </w:rPr>
        <w:t>+0.</w:t>
      </w:r>
      <w:r>
        <w:rPr>
          <w:rFonts w:hint="eastAsia" w:eastAsiaTheme="minorEastAsia"/>
          <w:bCs/>
          <w:sz w:val="24"/>
          <w:highlight w:val="none"/>
          <w:lang w:val="en-US" w:eastAsia="zh-CN"/>
        </w:rPr>
        <w:t>38</w:t>
      </w:r>
      <w:r>
        <w:rPr>
          <w:rFonts w:eastAsiaTheme="minorEastAsia"/>
          <w:bCs/>
          <w:sz w:val="24"/>
          <w:highlight w:val="none"/>
        </w:rPr>
        <w:t>+0.</w:t>
      </w:r>
      <w:r>
        <w:rPr>
          <w:rFonts w:hint="eastAsia" w:eastAsiaTheme="minorEastAsia"/>
          <w:bCs/>
          <w:sz w:val="24"/>
          <w:highlight w:val="none"/>
          <w:lang w:val="en-US" w:eastAsia="zh-CN"/>
        </w:rPr>
        <w:t>16</w:t>
      </w:r>
      <w:r>
        <w:rPr>
          <w:rFonts w:eastAsiaTheme="minorEastAsia"/>
          <w:bCs/>
          <w:sz w:val="24"/>
          <w:highlight w:val="none"/>
        </w:rPr>
        <w:t>=</w:t>
      </w:r>
      <w:r>
        <w:rPr>
          <w:rFonts w:hint="eastAsia" w:eastAsiaTheme="minorEastAsia"/>
          <w:bCs/>
          <w:sz w:val="24"/>
          <w:highlight w:val="none"/>
          <w:lang w:val="en-US" w:eastAsia="zh-CN"/>
        </w:rPr>
        <w:t>3.07</w:t>
      </w:r>
    </w:p>
    <w:p w14:paraId="538B223B">
      <w:pPr>
        <w:spacing w:line="360" w:lineRule="auto"/>
        <w:ind w:firstLine="480" w:firstLineChars="200"/>
        <w:rPr>
          <w:rFonts w:hint="eastAsia" w:eastAsiaTheme="minorEastAsia"/>
          <w:bCs/>
          <w:sz w:val="24"/>
          <w:highlight w:val="none"/>
          <w:lang w:val="en-US" w:eastAsia="zh-CN"/>
        </w:rPr>
      </w:pPr>
      <w:r>
        <w:rPr>
          <w:rFonts w:eastAsiaTheme="minorEastAsia"/>
          <w:bCs/>
          <w:sz w:val="24"/>
          <w:highlight w:val="none"/>
        </w:rPr>
        <w:t>SB=</w:t>
      </w:r>
      <m:oMath>
        <m:f>
          <m:fPr>
            <m:ctrlPr>
              <w:rPr>
                <w:rFonts w:ascii="Cambria Math" w:hAnsi="Cambria Math" w:eastAsiaTheme="minorEastAsia"/>
                <w:bCs/>
                <w:sz w:val="24"/>
                <w:highlight w:val="none"/>
              </w:rPr>
            </m:ctrlPr>
          </m:fPr>
          <m:num>
            <m:r>
              <m:rPr>
                <m:sty m:val="p"/>
              </m:rPr>
              <w:rPr>
                <w:rFonts w:ascii="Cambria Math" w:eastAsiaTheme="minorEastAsia"/>
                <w:sz w:val="24"/>
                <w:highlight w:val="none"/>
              </w:rPr>
              <m:t>0.</m:t>
            </m:r>
            <m:r>
              <m:rPr>
                <m:sty m:val="p"/>
              </m:rPr>
              <w:rPr>
                <w:rFonts w:hint="default" w:ascii="Cambria Math" w:eastAsiaTheme="minorEastAsia"/>
                <w:sz w:val="24"/>
                <w:highlight w:val="none"/>
                <w:lang w:val="en-US" w:eastAsia="zh-CN"/>
              </w:rPr>
              <m:t>16</m:t>
            </m:r>
            <m:ctrlPr>
              <w:rPr>
                <w:rFonts w:ascii="Cambria Math" w:hAnsi="Cambria Math" w:eastAsiaTheme="minorEastAsia"/>
                <w:bCs/>
                <w:sz w:val="24"/>
                <w:highlight w:val="none"/>
              </w:rPr>
            </m:ctrlPr>
          </m:num>
          <m:den>
            <m:r>
              <m:rPr>
                <m:sty m:val="p"/>
              </m:rPr>
              <w:rPr>
                <w:rFonts w:hint="default" w:ascii="Cambria Math" w:hAnsi="Cambria Math" w:eastAsiaTheme="minorEastAsia"/>
                <w:sz w:val="24"/>
                <w:highlight w:val="none"/>
                <w:lang w:val="en-US" w:eastAsia="zh-CN"/>
              </w:rPr>
              <m:t>3.07</m:t>
            </m:r>
            <m:ctrlPr>
              <w:rPr>
                <w:rFonts w:ascii="Cambria Math" w:hAnsi="Cambria Math" w:eastAsiaTheme="minorEastAsia"/>
                <w:bCs/>
                <w:sz w:val="24"/>
                <w:highlight w:val="none"/>
              </w:rPr>
            </m:ctrlPr>
          </m:den>
        </m:f>
      </m:oMath>
      <w:r>
        <w:rPr>
          <w:rFonts w:eastAsiaTheme="minorEastAsia"/>
          <w:bCs/>
          <w:sz w:val="24"/>
          <w:highlight w:val="none"/>
        </w:rPr>
        <w:t>=0.0</w:t>
      </w:r>
      <w:r>
        <w:rPr>
          <w:rFonts w:hint="eastAsia" w:eastAsiaTheme="minorEastAsia"/>
          <w:bCs/>
          <w:sz w:val="24"/>
          <w:highlight w:val="none"/>
          <w:lang w:val="en-US" w:eastAsia="zh-CN"/>
        </w:rPr>
        <w:t>5</w:t>
      </w:r>
    </w:p>
    <w:p w14:paraId="6F913B86">
      <w:pPr>
        <w:spacing w:line="360" w:lineRule="auto"/>
        <w:ind w:firstLine="480" w:firstLineChars="200"/>
        <w:rPr>
          <w:rFonts w:hint="eastAsia" w:eastAsiaTheme="minorEastAsia"/>
          <w:bCs/>
          <w:sz w:val="24"/>
          <w:highlight w:val="none"/>
          <w:lang w:val="en-US" w:eastAsia="zh-CN"/>
        </w:rPr>
      </w:pPr>
      <w:r>
        <w:rPr>
          <w:rFonts w:eastAsiaTheme="minorEastAsia"/>
          <w:bCs/>
          <w:sz w:val="24"/>
          <w:highlight w:val="none"/>
        </w:rPr>
        <w:t>HCB=</w:t>
      </w:r>
      <m:oMath>
        <m:f>
          <m:fPr>
            <m:ctrlPr>
              <w:rPr>
                <w:rFonts w:ascii="Cambria Math" w:hAnsi="Cambria Math" w:eastAsiaTheme="minorEastAsia"/>
                <w:bCs/>
                <w:sz w:val="24"/>
                <w:highlight w:val="none"/>
              </w:rPr>
            </m:ctrlPr>
          </m:fPr>
          <m:num>
            <m:r>
              <m:rPr>
                <m:sty m:val="p"/>
              </m:rPr>
              <w:rPr>
                <w:rFonts w:hint="default" w:ascii="Cambria Math" w:hAnsi="Cambria Math" w:eastAsiaTheme="minorEastAsia"/>
                <w:sz w:val="24"/>
                <w:highlight w:val="none"/>
                <w:lang w:val="en-US" w:eastAsia="zh-CN"/>
              </w:rPr>
              <m:t>2.52</m:t>
            </m:r>
            <m:ctrlPr>
              <w:rPr>
                <w:rFonts w:ascii="Cambria Math" w:hAnsi="Cambria Math" w:eastAsiaTheme="minorEastAsia"/>
                <w:bCs/>
                <w:sz w:val="24"/>
                <w:highlight w:val="none"/>
              </w:rPr>
            </m:ctrlPr>
          </m:num>
          <m:den>
            <m:r>
              <m:rPr>
                <m:sty m:val="p"/>
              </m:rPr>
              <w:rPr>
                <w:rFonts w:ascii="Cambria Math" w:eastAsiaTheme="minorEastAsia"/>
                <w:sz w:val="24"/>
                <w:highlight w:val="none"/>
              </w:rPr>
              <m:t>0.</m:t>
            </m:r>
            <m:r>
              <m:rPr>
                <m:sty m:val="p"/>
              </m:rPr>
              <w:rPr>
                <w:rFonts w:hint="default" w:ascii="Cambria Math" w:eastAsiaTheme="minorEastAsia"/>
                <w:sz w:val="24"/>
                <w:highlight w:val="none"/>
                <w:lang w:val="en-US" w:eastAsia="zh-CN"/>
              </w:rPr>
              <m:t>38</m:t>
            </m:r>
            <m:ctrlPr>
              <w:rPr>
                <w:rFonts w:ascii="Cambria Math" w:hAnsi="Cambria Math" w:eastAsiaTheme="minorEastAsia"/>
                <w:bCs/>
                <w:sz w:val="24"/>
                <w:highlight w:val="none"/>
              </w:rPr>
            </m:ctrlPr>
          </m:den>
        </m:f>
      </m:oMath>
      <w:r>
        <w:rPr>
          <w:rFonts w:eastAsiaTheme="minorEastAsia"/>
          <w:bCs/>
          <w:sz w:val="24"/>
          <w:highlight w:val="none"/>
        </w:rPr>
        <w:t>=6.6</w:t>
      </w:r>
      <w:r>
        <w:rPr>
          <w:rFonts w:hint="eastAsia" w:eastAsiaTheme="minorEastAsia"/>
          <w:bCs/>
          <w:sz w:val="24"/>
          <w:highlight w:val="none"/>
          <w:lang w:val="en-US" w:eastAsia="zh-CN"/>
        </w:rPr>
        <w:t>4</w:t>
      </w:r>
    </w:p>
    <w:p w14:paraId="42C8808B">
      <w:pPr>
        <w:spacing w:line="360" w:lineRule="auto"/>
        <w:ind w:firstLine="480" w:firstLineChars="200"/>
        <w:rPr>
          <w:rFonts w:hint="eastAsia" w:eastAsiaTheme="minorEastAsia"/>
          <w:bCs/>
          <w:sz w:val="24"/>
          <w:highlight w:val="none"/>
          <w:lang w:eastAsia="zh-CN"/>
        </w:rPr>
      </w:pPr>
      <w:r>
        <w:rPr>
          <w:rFonts w:hAnsiTheme="minorEastAsia" w:eastAsiaTheme="minorEastAsia"/>
          <w:bCs/>
          <w:sz w:val="24"/>
          <w:highlight w:val="none"/>
        </w:rPr>
        <w:t>经查表</w:t>
      </w:r>
      <w:r>
        <w:rPr>
          <w:rFonts w:eastAsiaTheme="minorEastAsia"/>
          <w:bCs/>
          <w:sz w:val="24"/>
          <w:highlight w:val="none"/>
        </w:rPr>
        <w:t>4-2-9</w:t>
      </w:r>
      <w:r>
        <w:rPr>
          <w:rFonts w:hAnsiTheme="minorEastAsia" w:eastAsiaTheme="minorEastAsia"/>
          <w:bCs/>
          <w:sz w:val="24"/>
          <w:highlight w:val="none"/>
        </w:rPr>
        <w:t>得</w:t>
      </w:r>
      <w:r>
        <w:rPr>
          <w:rFonts w:eastAsiaTheme="minorEastAsia"/>
          <w:bCs/>
          <w:sz w:val="24"/>
          <w:highlight w:val="none"/>
        </w:rPr>
        <w:t>Ms</w:t>
      </w:r>
      <w:r>
        <w:rPr>
          <w:rFonts w:hAnsiTheme="minorEastAsia" w:eastAsiaTheme="minorEastAsia"/>
          <w:bCs/>
          <w:sz w:val="24"/>
          <w:highlight w:val="none"/>
        </w:rPr>
        <w:t>为</w:t>
      </w:r>
      <w:r>
        <w:rPr>
          <w:rFonts w:eastAsiaTheme="minorEastAsia"/>
          <w:bCs/>
          <w:sz w:val="24"/>
          <w:highlight w:val="none"/>
        </w:rPr>
        <w:t>0.07</w:t>
      </w:r>
      <w:r>
        <w:rPr>
          <w:rFonts w:hint="eastAsia" w:eastAsiaTheme="minorEastAsia"/>
          <w:bCs/>
          <w:sz w:val="24"/>
          <w:highlight w:val="none"/>
          <w:lang w:val="en-US" w:eastAsia="zh-CN"/>
        </w:rPr>
        <w:t>7</w:t>
      </w:r>
    </w:p>
    <w:p w14:paraId="1A2D9545">
      <w:pPr>
        <w:spacing w:line="360" w:lineRule="auto"/>
        <w:ind w:firstLine="480" w:firstLineChars="200"/>
        <w:rPr>
          <w:rFonts w:eastAsiaTheme="minorEastAsia"/>
          <w:bCs/>
          <w:sz w:val="24"/>
          <w:highlight w:val="none"/>
        </w:rPr>
      </w:pPr>
      <w:r>
        <w:rPr>
          <w:rFonts w:hAnsiTheme="minorEastAsia" w:eastAsiaTheme="minorEastAsia"/>
          <w:bCs/>
          <w:sz w:val="24"/>
          <w:highlight w:val="none"/>
        </w:rPr>
        <w:t>矿化度（</w:t>
      </w:r>
      <w:r>
        <w:rPr>
          <w:rFonts w:eastAsiaTheme="minorEastAsia"/>
          <w:bCs/>
          <w:sz w:val="24"/>
          <w:highlight w:val="none"/>
        </w:rPr>
        <w:t>g/L</w:t>
      </w:r>
      <w:r>
        <w:rPr>
          <w:rFonts w:hAnsiTheme="minorEastAsia" w:eastAsiaTheme="minorEastAsia"/>
          <w:bCs/>
          <w:sz w:val="24"/>
          <w:highlight w:val="none"/>
        </w:rPr>
        <w:t>）</w:t>
      </w:r>
      <w:r>
        <w:rPr>
          <w:rFonts w:eastAsiaTheme="minorEastAsia"/>
          <w:bCs/>
          <w:sz w:val="24"/>
          <w:highlight w:val="none"/>
        </w:rPr>
        <w:t>=</w:t>
      </w:r>
      <w:r>
        <w:rPr>
          <w:rFonts w:hint="eastAsia" w:eastAsiaTheme="minorEastAsia"/>
          <w:bCs/>
          <w:sz w:val="24"/>
          <w:highlight w:val="none"/>
          <w:lang w:val="en-US" w:eastAsia="zh-CN"/>
        </w:rPr>
        <w:t>3.07</w:t>
      </w:r>
      <w:r>
        <w:rPr>
          <w:rFonts w:eastAsiaTheme="minorEastAsia"/>
          <w:bCs/>
          <w:sz w:val="24"/>
          <w:highlight w:val="none"/>
        </w:rPr>
        <w:t>×0.07</w:t>
      </w:r>
      <w:r>
        <w:rPr>
          <w:rFonts w:hint="eastAsia" w:eastAsiaTheme="minorEastAsia"/>
          <w:bCs/>
          <w:sz w:val="24"/>
          <w:highlight w:val="none"/>
          <w:lang w:val="en-US" w:eastAsia="zh-CN"/>
        </w:rPr>
        <w:t>7</w:t>
      </w:r>
      <w:r>
        <w:rPr>
          <w:rFonts w:eastAsiaTheme="minorEastAsia"/>
          <w:bCs/>
          <w:sz w:val="24"/>
          <w:highlight w:val="none"/>
        </w:rPr>
        <w:t>=0.</w:t>
      </w:r>
      <w:r>
        <w:rPr>
          <w:rFonts w:hint="eastAsia" w:eastAsiaTheme="minorEastAsia"/>
          <w:bCs/>
          <w:sz w:val="24"/>
          <w:highlight w:val="none"/>
          <w:lang w:val="en-US" w:eastAsia="zh-CN"/>
        </w:rPr>
        <w:t>236</w:t>
      </w:r>
      <w:r>
        <w:rPr>
          <w:rFonts w:hAnsiTheme="minorEastAsia" w:eastAsiaTheme="minorEastAsia"/>
          <w:bCs/>
          <w:sz w:val="24"/>
          <w:highlight w:val="none"/>
        </w:rPr>
        <w:t>，所以矿化度处于</w:t>
      </w:r>
      <w:r>
        <w:rPr>
          <w:rFonts w:eastAsiaTheme="minorEastAsia"/>
          <w:bCs/>
          <w:sz w:val="24"/>
          <w:highlight w:val="none"/>
        </w:rPr>
        <w:t>A</w:t>
      </w:r>
      <w:r>
        <w:rPr>
          <w:rFonts w:hAnsiTheme="minorEastAsia" w:eastAsiaTheme="minorEastAsia"/>
          <w:bCs/>
          <w:sz w:val="24"/>
          <w:highlight w:val="none"/>
        </w:rPr>
        <w:t>组，</w:t>
      </w:r>
      <w:r>
        <w:rPr>
          <w:rFonts w:eastAsiaTheme="minorEastAsia"/>
          <w:bCs/>
          <w:sz w:val="24"/>
          <w:highlight w:val="none"/>
        </w:rPr>
        <w:t>1#</w:t>
      </w:r>
      <w:r>
        <w:rPr>
          <w:rFonts w:hAnsiTheme="minorEastAsia" w:eastAsiaTheme="minorEastAsia"/>
          <w:bCs/>
          <w:sz w:val="24"/>
          <w:highlight w:val="none"/>
        </w:rPr>
        <w:t>处地下水为</w:t>
      </w:r>
      <w:r>
        <w:rPr>
          <w:rFonts w:hint="eastAsia" w:eastAsiaTheme="minorEastAsia"/>
          <w:bCs/>
          <w:sz w:val="24"/>
          <w:highlight w:val="none"/>
          <w:lang w:val="en-US" w:eastAsia="zh-CN"/>
        </w:rPr>
        <w:t>5</w:t>
      </w:r>
      <w:r>
        <w:rPr>
          <w:rFonts w:eastAsiaTheme="minorEastAsia"/>
          <w:bCs/>
          <w:sz w:val="24"/>
          <w:highlight w:val="none"/>
        </w:rPr>
        <w:t>-A</w:t>
      </w:r>
      <w:r>
        <w:rPr>
          <w:rFonts w:hAnsiTheme="minorEastAsia" w:eastAsiaTheme="minorEastAsia"/>
          <w:bCs/>
          <w:sz w:val="24"/>
          <w:highlight w:val="none"/>
        </w:rPr>
        <w:t>型，表示矿化度小于</w:t>
      </w:r>
      <w:r>
        <w:rPr>
          <w:rFonts w:eastAsiaTheme="minorEastAsia"/>
          <w:bCs/>
          <w:sz w:val="24"/>
          <w:highlight w:val="none"/>
        </w:rPr>
        <w:t>1.5g/L</w:t>
      </w:r>
      <w:r>
        <w:rPr>
          <w:rFonts w:hAnsiTheme="minorEastAsia" w:eastAsiaTheme="minorEastAsia"/>
          <w:bCs/>
          <w:sz w:val="24"/>
          <w:highlight w:val="none"/>
        </w:rPr>
        <w:t>的</w:t>
      </w:r>
      <w:r>
        <w:rPr>
          <w:rFonts w:eastAsiaTheme="minorEastAsia"/>
          <w:bCs/>
          <w:sz w:val="24"/>
          <w:highlight w:val="none"/>
        </w:rPr>
        <w:t>HCO</w:t>
      </w:r>
      <w:r>
        <w:rPr>
          <w:rFonts w:eastAsiaTheme="minorEastAsia"/>
          <w:bCs/>
          <w:sz w:val="24"/>
          <w:highlight w:val="none"/>
          <w:vertAlign w:val="subscript"/>
        </w:rPr>
        <w:t>3</w:t>
      </w:r>
      <w:r>
        <w:rPr>
          <w:rFonts w:eastAsiaTheme="minorEastAsia"/>
          <w:bCs/>
          <w:sz w:val="24"/>
          <w:highlight w:val="none"/>
        </w:rPr>
        <w:t>—</w:t>
      </w:r>
      <w:r>
        <w:rPr>
          <w:rFonts w:hint="default" w:ascii="Times New Roman" w:hAnsi="Times New Roman" w:cs="Times New Roman" w:eastAsiaTheme="minorEastAsia"/>
          <w:spacing w:val="0"/>
          <w:position w:val="0"/>
          <w:szCs w:val="21"/>
          <w:highlight w:val="none"/>
          <w:lang w:val="zh-CN"/>
        </w:rPr>
        <w:t>Na</w:t>
      </w:r>
      <w:r>
        <w:rPr>
          <w:rFonts w:hint="default" w:ascii="Times New Roman" w:hAnsi="Times New Roman" w:cs="Times New Roman" w:eastAsiaTheme="minorEastAsia"/>
          <w:spacing w:val="0"/>
          <w:position w:val="0"/>
          <w:szCs w:val="21"/>
          <w:highlight w:val="none"/>
          <w:vertAlign w:val="superscript"/>
          <w:lang w:val="zh-CN"/>
        </w:rPr>
        <w:t>+</w:t>
      </w:r>
      <w:r>
        <w:rPr>
          <w:rFonts w:hint="default" w:ascii="Times New Roman" w:hAnsi="Times New Roman" w:cs="Times New Roman" w:eastAsiaTheme="minorEastAsia"/>
          <w:spacing w:val="0"/>
          <w:position w:val="0"/>
          <w:szCs w:val="21"/>
          <w:highlight w:val="none"/>
          <w:lang w:val="zh-CN"/>
        </w:rPr>
        <w:t>-Ca</w:t>
      </w:r>
      <w:r>
        <w:rPr>
          <w:rFonts w:hint="default" w:ascii="Times New Roman" w:hAnsi="Times New Roman" w:cs="Times New Roman" w:eastAsiaTheme="minorEastAsia"/>
          <w:spacing w:val="0"/>
          <w:position w:val="0"/>
          <w:szCs w:val="21"/>
          <w:highlight w:val="none"/>
          <w:vertAlign w:val="superscript"/>
          <w:lang w:val="zh-CN"/>
        </w:rPr>
        <w:t>2+</w:t>
      </w:r>
      <w:r>
        <w:rPr>
          <w:rFonts w:hint="default" w:ascii="Times New Roman" w:hAnsi="Times New Roman" w:cs="Times New Roman" w:eastAsiaTheme="minorEastAsia"/>
          <w:spacing w:val="0"/>
          <w:position w:val="0"/>
          <w:szCs w:val="21"/>
          <w:highlight w:val="none"/>
          <w:lang w:val="zh-CN"/>
        </w:rPr>
        <w:t>-Mg</w:t>
      </w:r>
      <w:r>
        <w:rPr>
          <w:rFonts w:hint="default" w:ascii="Times New Roman" w:hAnsi="Times New Roman" w:cs="Times New Roman" w:eastAsiaTheme="minorEastAsia"/>
          <w:spacing w:val="0"/>
          <w:position w:val="0"/>
          <w:szCs w:val="21"/>
          <w:highlight w:val="none"/>
          <w:vertAlign w:val="superscript"/>
          <w:lang w:val="zh-CN"/>
        </w:rPr>
        <w:t>2+</w:t>
      </w:r>
      <w:r>
        <w:rPr>
          <w:rFonts w:hAnsiTheme="minorEastAsia" w:eastAsiaTheme="minorEastAsia"/>
          <w:bCs/>
          <w:sz w:val="24"/>
          <w:highlight w:val="none"/>
        </w:rPr>
        <w:t>型水。</w:t>
      </w:r>
    </w:p>
    <w:p w14:paraId="549433DC">
      <w:pPr>
        <w:spacing w:line="360" w:lineRule="auto"/>
        <w:ind w:firstLine="480" w:firstLineChars="200"/>
        <w:rPr>
          <w:rFonts w:eastAsiaTheme="minorEastAsia"/>
          <w:bCs/>
          <w:sz w:val="24"/>
          <w:highlight w:val="none"/>
        </w:rPr>
      </w:pPr>
      <w:r>
        <w:rPr>
          <w:rFonts w:hAnsiTheme="minorEastAsia" w:eastAsiaTheme="minorEastAsia"/>
          <w:bCs/>
          <w:sz w:val="24"/>
          <w:highlight w:val="none"/>
        </w:rPr>
        <w:t>其它点位计算过程同上。</w:t>
      </w:r>
    </w:p>
    <w:p w14:paraId="3C74EB38">
      <w:pPr>
        <w:spacing w:line="360" w:lineRule="auto"/>
        <w:ind w:firstLine="480" w:firstLineChars="200"/>
        <w:rPr>
          <w:rFonts w:eastAsiaTheme="minorEastAsia"/>
          <w:bCs/>
          <w:sz w:val="24"/>
          <w:highlight w:val="none"/>
        </w:rPr>
      </w:pPr>
      <w:r>
        <w:rPr>
          <w:rFonts w:hAnsiTheme="minorEastAsia" w:eastAsiaTheme="minorEastAsia"/>
          <w:bCs/>
          <w:sz w:val="24"/>
          <w:highlight w:val="none"/>
        </w:rPr>
        <w:t>水质矿化度计算结果见</w:t>
      </w:r>
      <w:r>
        <w:rPr>
          <w:rFonts w:hint="eastAsia" w:hAnsiTheme="minorEastAsia" w:eastAsiaTheme="minorEastAsia"/>
          <w:bCs/>
          <w:sz w:val="24"/>
          <w:highlight w:val="none"/>
          <w:lang w:val="en-US" w:eastAsia="zh-CN"/>
        </w:rPr>
        <w:t>下表</w:t>
      </w:r>
      <w:r>
        <w:rPr>
          <w:rFonts w:hAnsiTheme="minorEastAsia" w:eastAsiaTheme="minorEastAsia"/>
          <w:bCs/>
          <w:sz w:val="24"/>
          <w:highlight w:val="none"/>
        </w:rPr>
        <w:t>。</w:t>
      </w:r>
    </w:p>
    <w:p w14:paraId="798CA881">
      <w:pPr>
        <w:pStyle w:val="7"/>
        <w:bidi w:val="0"/>
        <w:rPr>
          <w:highlight w:val="none"/>
        </w:rPr>
      </w:pPr>
      <w:r>
        <w:rPr>
          <w:highlight w:val="none"/>
        </w:rPr>
        <w:t>表4-2-</w:t>
      </w:r>
      <w:r>
        <w:rPr>
          <w:rFonts w:hint="eastAsia"/>
          <w:highlight w:val="none"/>
          <w:lang w:val="en-US" w:eastAsia="zh-CN"/>
        </w:rPr>
        <w:t>11</w:t>
      </w:r>
      <w:r>
        <w:rPr>
          <w:highlight w:val="none"/>
        </w:rPr>
        <w:t>水质矿化度</w:t>
      </w:r>
    </w:p>
    <w:tbl>
      <w:tblPr>
        <w:tblStyle w:val="4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59"/>
        <w:gridCol w:w="1316"/>
        <w:gridCol w:w="1316"/>
        <w:gridCol w:w="1309"/>
        <w:gridCol w:w="1309"/>
        <w:gridCol w:w="1310"/>
      </w:tblGrid>
      <w:tr w14:paraId="6ED0C0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9" w:type="pct"/>
            <w:vAlign w:val="center"/>
          </w:tcPr>
          <w:p w14:paraId="6D1E216B">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pacing w:val="0"/>
                <w:position w:val="0"/>
                <w:sz w:val="21"/>
                <w:szCs w:val="21"/>
                <w:highlight w:val="none"/>
                <w:lang w:val="zh-CN"/>
              </w:rPr>
            </w:pPr>
            <w:r>
              <w:rPr>
                <w:rFonts w:hint="default" w:ascii="Times New Roman" w:hAnsi="Times New Roman" w:cs="Times New Roman" w:eastAsiaTheme="minorEastAsia"/>
                <w:spacing w:val="0"/>
                <w:position w:val="0"/>
                <w:sz w:val="21"/>
                <w:szCs w:val="21"/>
                <w:highlight w:val="none"/>
                <w:lang w:val="zh-CN"/>
              </w:rPr>
              <w:t>编号项目</w:t>
            </w:r>
          </w:p>
        </w:tc>
        <w:tc>
          <w:tcPr>
            <w:tcW w:w="772" w:type="pct"/>
            <w:vAlign w:val="center"/>
          </w:tcPr>
          <w:p w14:paraId="673A288D">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pacing w:val="0"/>
                <w:position w:val="0"/>
                <w:sz w:val="21"/>
                <w:szCs w:val="21"/>
                <w:highlight w:val="none"/>
              </w:rPr>
            </w:pPr>
            <w:r>
              <w:rPr>
                <w:rFonts w:hint="default" w:ascii="Times New Roman" w:hAnsi="Times New Roman" w:cs="Times New Roman" w:eastAsiaTheme="minorEastAsia"/>
                <w:spacing w:val="0"/>
                <w:position w:val="0"/>
                <w:sz w:val="21"/>
                <w:szCs w:val="21"/>
                <w:highlight w:val="none"/>
              </w:rPr>
              <w:t>1#</w:t>
            </w:r>
          </w:p>
        </w:tc>
        <w:tc>
          <w:tcPr>
            <w:tcW w:w="772" w:type="pct"/>
            <w:vAlign w:val="center"/>
          </w:tcPr>
          <w:p w14:paraId="4CD41D7A">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pacing w:val="0"/>
                <w:position w:val="0"/>
                <w:sz w:val="21"/>
                <w:szCs w:val="21"/>
                <w:highlight w:val="none"/>
              </w:rPr>
            </w:pPr>
            <w:r>
              <w:rPr>
                <w:rFonts w:hint="default" w:ascii="Times New Roman" w:hAnsi="Times New Roman" w:cs="Times New Roman" w:eastAsiaTheme="minorEastAsia"/>
                <w:spacing w:val="0"/>
                <w:position w:val="0"/>
                <w:sz w:val="21"/>
                <w:szCs w:val="21"/>
                <w:highlight w:val="none"/>
              </w:rPr>
              <w:t>2#</w:t>
            </w:r>
          </w:p>
        </w:tc>
        <w:tc>
          <w:tcPr>
            <w:tcW w:w="768" w:type="pct"/>
            <w:vAlign w:val="center"/>
          </w:tcPr>
          <w:p w14:paraId="1EA73504">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pacing w:val="0"/>
                <w:position w:val="0"/>
                <w:sz w:val="21"/>
                <w:szCs w:val="21"/>
                <w:highlight w:val="none"/>
              </w:rPr>
            </w:pPr>
            <w:r>
              <w:rPr>
                <w:rFonts w:hint="default" w:ascii="Times New Roman" w:hAnsi="Times New Roman" w:cs="Times New Roman" w:eastAsiaTheme="minorEastAsia"/>
                <w:spacing w:val="0"/>
                <w:position w:val="0"/>
                <w:sz w:val="21"/>
                <w:szCs w:val="21"/>
                <w:highlight w:val="none"/>
              </w:rPr>
              <w:t>3#</w:t>
            </w:r>
          </w:p>
        </w:tc>
        <w:tc>
          <w:tcPr>
            <w:tcW w:w="768" w:type="pct"/>
            <w:vAlign w:val="center"/>
          </w:tcPr>
          <w:p w14:paraId="46EFE7AB">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pacing w:val="0"/>
                <w:position w:val="0"/>
                <w:sz w:val="21"/>
                <w:szCs w:val="21"/>
                <w:highlight w:val="none"/>
                <w:lang w:val="en-US" w:eastAsia="zh-CN"/>
              </w:rPr>
            </w:pPr>
            <w:r>
              <w:rPr>
                <w:rFonts w:hint="eastAsia" w:cs="Times New Roman" w:eastAsiaTheme="minorEastAsia"/>
                <w:spacing w:val="0"/>
                <w:position w:val="0"/>
                <w:sz w:val="21"/>
                <w:szCs w:val="21"/>
                <w:highlight w:val="none"/>
                <w:lang w:val="en-US" w:eastAsia="zh-CN"/>
              </w:rPr>
              <w:t>4#</w:t>
            </w:r>
          </w:p>
        </w:tc>
        <w:tc>
          <w:tcPr>
            <w:tcW w:w="768" w:type="pct"/>
            <w:vAlign w:val="center"/>
          </w:tcPr>
          <w:p w14:paraId="3275D57E">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pacing w:val="0"/>
                <w:position w:val="0"/>
                <w:sz w:val="21"/>
                <w:szCs w:val="21"/>
                <w:highlight w:val="none"/>
                <w:lang w:val="en-US" w:eastAsia="zh-CN"/>
              </w:rPr>
            </w:pPr>
            <w:r>
              <w:rPr>
                <w:rFonts w:hint="eastAsia" w:cs="Times New Roman" w:eastAsiaTheme="minorEastAsia"/>
                <w:spacing w:val="0"/>
                <w:position w:val="0"/>
                <w:sz w:val="21"/>
                <w:szCs w:val="21"/>
                <w:highlight w:val="none"/>
                <w:lang w:val="en-US" w:eastAsia="zh-CN"/>
              </w:rPr>
              <w:t>5#</w:t>
            </w:r>
          </w:p>
        </w:tc>
      </w:tr>
      <w:tr w14:paraId="564616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 w:hRule="atLeast"/>
          <w:jc w:val="center"/>
        </w:trPr>
        <w:tc>
          <w:tcPr>
            <w:tcW w:w="1149" w:type="pct"/>
            <w:vAlign w:val="center"/>
          </w:tcPr>
          <w:p w14:paraId="5947533E">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pacing w:val="0"/>
                <w:position w:val="0"/>
                <w:sz w:val="21"/>
                <w:szCs w:val="21"/>
                <w:highlight w:val="none"/>
                <w:lang w:val="zh-CN"/>
              </w:rPr>
            </w:pPr>
            <w:r>
              <w:rPr>
                <w:rFonts w:hint="default" w:ascii="Times New Roman" w:hAnsi="Times New Roman" w:cs="Times New Roman" w:eastAsiaTheme="minorEastAsia"/>
                <w:spacing w:val="0"/>
                <w:position w:val="0"/>
                <w:sz w:val="21"/>
                <w:szCs w:val="21"/>
                <w:highlight w:val="none"/>
                <w:lang w:val="zh-CN"/>
              </w:rPr>
              <w:t>矿化度（M）</w:t>
            </w:r>
          </w:p>
        </w:tc>
        <w:tc>
          <w:tcPr>
            <w:tcW w:w="772" w:type="pct"/>
            <w:vAlign w:val="center"/>
          </w:tcPr>
          <w:p w14:paraId="73BCF613">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pacing w:val="0"/>
                <w:position w:val="0"/>
                <w:sz w:val="21"/>
                <w:szCs w:val="21"/>
                <w:highlight w:val="none"/>
                <w:lang w:val="en-US" w:eastAsia="zh-CN"/>
              </w:rPr>
            </w:pPr>
            <w:r>
              <w:rPr>
                <w:rFonts w:hint="eastAsia" w:cs="Times New Roman" w:eastAsiaTheme="minorEastAsia"/>
                <w:spacing w:val="0"/>
                <w:position w:val="0"/>
                <w:sz w:val="21"/>
                <w:szCs w:val="21"/>
                <w:highlight w:val="none"/>
                <w:lang w:val="en-US" w:eastAsia="zh-CN"/>
              </w:rPr>
              <w:t>0.236</w:t>
            </w:r>
          </w:p>
        </w:tc>
        <w:tc>
          <w:tcPr>
            <w:tcW w:w="772" w:type="pct"/>
            <w:vAlign w:val="center"/>
          </w:tcPr>
          <w:p w14:paraId="196F669E">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pacing w:val="0"/>
                <w:position w:val="0"/>
                <w:sz w:val="21"/>
                <w:szCs w:val="21"/>
                <w:highlight w:val="none"/>
                <w:lang w:val="en-US" w:eastAsia="zh-CN"/>
              </w:rPr>
            </w:pPr>
            <w:r>
              <w:rPr>
                <w:rFonts w:hint="eastAsia" w:cs="Times New Roman" w:eastAsiaTheme="minorEastAsia"/>
                <w:spacing w:val="0"/>
                <w:position w:val="0"/>
                <w:sz w:val="21"/>
                <w:szCs w:val="21"/>
                <w:highlight w:val="none"/>
                <w:lang w:val="en-US" w:eastAsia="zh-CN"/>
              </w:rPr>
              <w:t>0.213</w:t>
            </w:r>
          </w:p>
        </w:tc>
        <w:tc>
          <w:tcPr>
            <w:tcW w:w="768" w:type="pct"/>
            <w:vAlign w:val="center"/>
          </w:tcPr>
          <w:p w14:paraId="6B3D6A1F">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pacing w:val="0"/>
                <w:position w:val="0"/>
                <w:sz w:val="21"/>
                <w:szCs w:val="21"/>
                <w:highlight w:val="none"/>
                <w:lang w:val="en-US" w:eastAsia="zh-CN"/>
              </w:rPr>
            </w:pPr>
            <w:r>
              <w:rPr>
                <w:rFonts w:hint="eastAsia" w:cs="Times New Roman" w:eastAsiaTheme="minorEastAsia"/>
                <w:spacing w:val="0"/>
                <w:position w:val="0"/>
                <w:sz w:val="21"/>
                <w:szCs w:val="21"/>
                <w:highlight w:val="none"/>
                <w:lang w:val="en-US" w:eastAsia="zh-CN"/>
              </w:rPr>
              <w:t>0.334</w:t>
            </w:r>
          </w:p>
        </w:tc>
        <w:tc>
          <w:tcPr>
            <w:tcW w:w="768" w:type="pct"/>
            <w:vAlign w:val="center"/>
          </w:tcPr>
          <w:p w14:paraId="657A1308">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pacing w:val="0"/>
                <w:position w:val="0"/>
                <w:sz w:val="21"/>
                <w:szCs w:val="21"/>
                <w:highlight w:val="none"/>
                <w:lang w:val="en-US" w:eastAsia="zh-CN"/>
              </w:rPr>
            </w:pPr>
            <w:r>
              <w:rPr>
                <w:rFonts w:hint="eastAsia" w:cs="Times New Roman" w:eastAsiaTheme="minorEastAsia"/>
                <w:spacing w:val="0"/>
                <w:position w:val="0"/>
                <w:sz w:val="21"/>
                <w:szCs w:val="21"/>
                <w:highlight w:val="none"/>
                <w:lang w:val="en-US" w:eastAsia="zh-CN"/>
              </w:rPr>
              <w:t>0.235</w:t>
            </w:r>
          </w:p>
        </w:tc>
        <w:tc>
          <w:tcPr>
            <w:tcW w:w="768" w:type="pct"/>
            <w:vAlign w:val="center"/>
          </w:tcPr>
          <w:p w14:paraId="4CCA4E1B">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pacing w:val="0"/>
                <w:position w:val="0"/>
                <w:sz w:val="21"/>
                <w:szCs w:val="21"/>
                <w:highlight w:val="none"/>
                <w:lang w:val="en-US" w:eastAsia="zh-CN"/>
              </w:rPr>
            </w:pPr>
            <w:r>
              <w:rPr>
                <w:rFonts w:hint="eastAsia" w:cs="Times New Roman" w:eastAsiaTheme="minorEastAsia"/>
                <w:spacing w:val="0"/>
                <w:position w:val="0"/>
                <w:sz w:val="21"/>
                <w:szCs w:val="21"/>
                <w:highlight w:val="none"/>
                <w:lang w:val="en-US" w:eastAsia="zh-CN"/>
              </w:rPr>
              <w:t>0.202</w:t>
            </w:r>
          </w:p>
        </w:tc>
      </w:tr>
      <w:tr w14:paraId="1EE13C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 w:hRule="atLeast"/>
          <w:jc w:val="center"/>
        </w:trPr>
        <w:tc>
          <w:tcPr>
            <w:tcW w:w="1149" w:type="pct"/>
            <w:vAlign w:val="center"/>
          </w:tcPr>
          <w:p w14:paraId="614E6E3E">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pacing w:val="0"/>
                <w:position w:val="0"/>
                <w:sz w:val="21"/>
                <w:szCs w:val="21"/>
                <w:highlight w:val="none"/>
                <w:lang w:val="zh-CN"/>
              </w:rPr>
            </w:pPr>
            <w:r>
              <w:rPr>
                <w:rFonts w:hint="default" w:ascii="Times New Roman" w:hAnsi="Times New Roman" w:cs="Times New Roman" w:eastAsiaTheme="minorEastAsia"/>
                <w:spacing w:val="0"/>
                <w:position w:val="0"/>
                <w:sz w:val="21"/>
                <w:szCs w:val="21"/>
                <w:highlight w:val="none"/>
                <w:lang w:val="zh-CN"/>
              </w:rPr>
              <w:t>矿化度分组</w:t>
            </w:r>
          </w:p>
        </w:tc>
        <w:tc>
          <w:tcPr>
            <w:tcW w:w="772" w:type="pct"/>
            <w:vAlign w:val="center"/>
          </w:tcPr>
          <w:p w14:paraId="00116FC6">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pacing w:val="0"/>
                <w:position w:val="0"/>
                <w:sz w:val="21"/>
                <w:szCs w:val="21"/>
                <w:highlight w:val="none"/>
              </w:rPr>
            </w:pPr>
            <w:r>
              <w:rPr>
                <w:rFonts w:hint="default" w:ascii="Times New Roman" w:hAnsi="Times New Roman" w:cs="Times New Roman" w:eastAsiaTheme="minorEastAsia"/>
                <w:spacing w:val="0"/>
                <w:position w:val="0"/>
                <w:sz w:val="21"/>
                <w:szCs w:val="21"/>
                <w:highlight w:val="none"/>
              </w:rPr>
              <w:t>A</w:t>
            </w:r>
          </w:p>
        </w:tc>
        <w:tc>
          <w:tcPr>
            <w:tcW w:w="772" w:type="pct"/>
            <w:vAlign w:val="center"/>
          </w:tcPr>
          <w:p w14:paraId="51547C1B">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pacing w:val="0"/>
                <w:position w:val="0"/>
                <w:sz w:val="21"/>
                <w:szCs w:val="21"/>
                <w:highlight w:val="none"/>
              </w:rPr>
            </w:pPr>
            <w:r>
              <w:rPr>
                <w:rFonts w:hint="default" w:ascii="Times New Roman" w:hAnsi="Times New Roman" w:cs="Times New Roman" w:eastAsiaTheme="minorEastAsia"/>
                <w:spacing w:val="0"/>
                <w:position w:val="0"/>
                <w:sz w:val="21"/>
                <w:szCs w:val="21"/>
                <w:highlight w:val="none"/>
              </w:rPr>
              <w:t>A</w:t>
            </w:r>
          </w:p>
        </w:tc>
        <w:tc>
          <w:tcPr>
            <w:tcW w:w="768" w:type="pct"/>
            <w:vAlign w:val="center"/>
          </w:tcPr>
          <w:p w14:paraId="36B04F88">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pacing w:val="0"/>
                <w:position w:val="0"/>
                <w:sz w:val="21"/>
                <w:szCs w:val="21"/>
                <w:highlight w:val="none"/>
              </w:rPr>
            </w:pPr>
            <w:r>
              <w:rPr>
                <w:rFonts w:hint="default" w:ascii="Times New Roman" w:hAnsi="Times New Roman" w:cs="Times New Roman" w:eastAsiaTheme="minorEastAsia"/>
                <w:spacing w:val="0"/>
                <w:position w:val="0"/>
                <w:sz w:val="21"/>
                <w:szCs w:val="21"/>
                <w:highlight w:val="none"/>
              </w:rPr>
              <w:t>A</w:t>
            </w:r>
          </w:p>
        </w:tc>
        <w:tc>
          <w:tcPr>
            <w:tcW w:w="768" w:type="pct"/>
            <w:vAlign w:val="center"/>
          </w:tcPr>
          <w:p w14:paraId="66E05DB0">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pacing w:val="0"/>
                <w:position w:val="0"/>
                <w:sz w:val="21"/>
                <w:szCs w:val="21"/>
                <w:highlight w:val="none"/>
              </w:rPr>
            </w:pPr>
            <w:r>
              <w:rPr>
                <w:rFonts w:hint="default" w:ascii="Times New Roman" w:hAnsi="Times New Roman" w:cs="Times New Roman" w:eastAsiaTheme="minorEastAsia"/>
                <w:spacing w:val="0"/>
                <w:position w:val="0"/>
                <w:sz w:val="21"/>
                <w:szCs w:val="21"/>
                <w:highlight w:val="none"/>
              </w:rPr>
              <w:t>A</w:t>
            </w:r>
          </w:p>
        </w:tc>
        <w:tc>
          <w:tcPr>
            <w:tcW w:w="768" w:type="pct"/>
            <w:vAlign w:val="center"/>
          </w:tcPr>
          <w:p w14:paraId="5BFD1728">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pacing w:val="0"/>
                <w:position w:val="0"/>
                <w:sz w:val="21"/>
                <w:szCs w:val="21"/>
                <w:highlight w:val="none"/>
              </w:rPr>
            </w:pPr>
            <w:r>
              <w:rPr>
                <w:rFonts w:hint="default" w:ascii="Times New Roman" w:hAnsi="Times New Roman" w:cs="Times New Roman" w:eastAsiaTheme="minorEastAsia"/>
                <w:spacing w:val="0"/>
                <w:position w:val="0"/>
                <w:sz w:val="21"/>
                <w:szCs w:val="21"/>
                <w:highlight w:val="none"/>
              </w:rPr>
              <w:t>A</w:t>
            </w:r>
          </w:p>
        </w:tc>
      </w:tr>
      <w:tr w14:paraId="5AF0F7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 w:hRule="atLeast"/>
          <w:jc w:val="center"/>
        </w:trPr>
        <w:tc>
          <w:tcPr>
            <w:tcW w:w="1149" w:type="pct"/>
            <w:vAlign w:val="center"/>
          </w:tcPr>
          <w:p w14:paraId="75959CF3">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pacing w:val="0"/>
                <w:position w:val="0"/>
                <w:sz w:val="21"/>
                <w:szCs w:val="21"/>
                <w:highlight w:val="none"/>
                <w:lang w:val="en-US" w:eastAsia="zh-CN"/>
              </w:rPr>
            </w:pPr>
            <w:r>
              <w:rPr>
                <w:rFonts w:hint="eastAsia" w:ascii="宋体" w:hAnsi="宋体" w:eastAsia="宋体" w:cs="宋体"/>
                <w:spacing w:val="0"/>
                <w:position w:val="0"/>
                <w:sz w:val="21"/>
                <w:szCs w:val="21"/>
                <w:highlight w:val="none"/>
                <w:lang w:val="zh-CN" w:eastAsia="zh-CN" w:bidi="zh-CN"/>
              </w:rPr>
              <w:t>水化学类型</w:t>
            </w:r>
          </w:p>
        </w:tc>
        <w:tc>
          <w:tcPr>
            <w:tcW w:w="772" w:type="pct"/>
            <w:vAlign w:val="center"/>
          </w:tcPr>
          <w:p w14:paraId="7C213377">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pacing w:val="0"/>
                <w:position w:val="0"/>
                <w:sz w:val="21"/>
                <w:szCs w:val="21"/>
                <w:highlight w:val="none"/>
                <w:lang w:val="en-US" w:eastAsia="zh-CN"/>
              </w:rPr>
            </w:pPr>
            <w:r>
              <w:rPr>
                <w:rFonts w:hint="default" w:eastAsiaTheme="minorEastAsia"/>
                <w:bCs/>
                <w:sz w:val="24"/>
                <w:highlight w:val="none"/>
              </w:rPr>
              <w:t>HCO</w:t>
            </w:r>
            <w:r>
              <w:rPr>
                <w:rFonts w:hint="default" w:eastAsiaTheme="minorEastAsia"/>
                <w:bCs/>
                <w:sz w:val="24"/>
                <w:highlight w:val="none"/>
                <w:vertAlign w:val="subscript"/>
              </w:rPr>
              <w:t>3</w:t>
            </w:r>
            <w:r>
              <w:rPr>
                <w:rFonts w:hint="default" w:eastAsiaTheme="minorEastAsia"/>
                <w:bCs/>
                <w:sz w:val="24"/>
                <w:highlight w:val="none"/>
              </w:rPr>
              <w:t>—</w:t>
            </w:r>
            <w:r>
              <w:rPr>
                <w:rFonts w:hint="default" w:ascii="Times New Roman" w:hAnsi="Times New Roman" w:cs="Times New Roman" w:eastAsiaTheme="minorEastAsia"/>
                <w:spacing w:val="0"/>
                <w:position w:val="0"/>
                <w:szCs w:val="21"/>
                <w:highlight w:val="none"/>
                <w:lang w:val="zh-CN"/>
              </w:rPr>
              <w:t>Na</w:t>
            </w:r>
            <w:r>
              <w:rPr>
                <w:rFonts w:hint="default" w:ascii="Times New Roman" w:hAnsi="Times New Roman" w:cs="Times New Roman" w:eastAsiaTheme="minorEastAsia"/>
                <w:spacing w:val="0"/>
                <w:position w:val="0"/>
                <w:szCs w:val="21"/>
                <w:highlight w:val="none"/>
                <w:vertAlign w:val="superscript"/>
                <w:lang w:val="zh-CN"/>
              </w:rPr>
              <w:t>+</w:t>
            </w:r>
            <w:r>
              <w:rPr>
                <w:rFonts w:hint="default" w:ascii="Times New Roman" w:hAnsi="Times New Roman" w:cs="Times New Roman" w:eastAsiaTheme="minorEastAsia"/>
                <w:spacing w:val="0"/>
                <w:position w:val="0"/>
                <w:szCs w:val="21"/>
                <w:highlight w:val="none"/>
                <w:lang w:val="zh-CN"/>
              </w:rPr>
              <w:t>-Ca</w:t>
            </w:r>
            <w:r>
              <w:rPr>
                <w:rFonts w:hint="default" w:ascii="Times New Roman" w:hAnsi="Times New Roman" w:cs="Times New Roman" w:eastAsiaTheme="minorEastAsia"/>
                <w:spacing w:val="0"/>
                <w:position w:val="0"/>
                <w:szCs w:val="21"/>
                <w:highlight w:val="none"/>
                <w:vertAlign w:val="superscript"/>
                <w:lang w:val="zh-CN"/>
              </w:rPr>
              <w:t>2+</w:t>
            </w:r>
            <w:r>
              <w:rPr>
                <w:rFonts w:hint="default" w:ascii="Times New Roman" w:hAnsi="Times New Roman" w:cs="Times New Roman" w:eastAsiaTheme="minorEastAsia"/>
                <w:spacing w:val="0"/>
                <w:position w:val="0"/>
                <w:szCs w:val="21"/>
                <w:highlight w:val="none"/>
                <w:lang w:val="zh-CN"/>
              </w:rPr>
              <w:t>-Mg</w:t>
            </w:r>
            <w:r>
              <w:rPr>
                <w:rFonts w:hint="default" w:ascii="Times New Roman" w:hAnsi="Times New Roman" w:cs="Times New Roman" w:eastAsiaTheme="minorEastAsia"/>
                <w:spacing w:val="0"/>
                <w:position w:val="0"/>
                <w:szCs w:val="21"/>
                <w:highlight w:val="none"/>
                <w:vertAlign w:val="superscript"/>
                <w:lang w:val="zh-CN"/>
              </w:rPr>
              <w:t>2+</w:t>
            </w:r>
          </w:p>
        </w:tc>
        <w:tc>
          <w:tcPr>
            <w:tcW w:w="772" w:type="pct"/>
            <w:vAlign w:val="center"/>
          </w:tcPr>
          <w:p w14:paraId="2177EDED">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pacing w:val="0"/>
                <w:position w:val="0"/>
                <w:sz w:val="21"/>
                <w:szCs w:val="21"/>
                <w:highlight w:val="none"/>
              </w:rPr>
            </w:pPr>
            <w:r>
              <w:rPr>
                <w:rFonts w:hint="default" w:ascii="Times New Roman" w:hAnsi="Times New Roman" w:cs="Times New Roman" w:eastAsiaTheme="minorEastAsia"/>
                <w:spacing w:val="0"/>
                <w:position w:val="0"/>
                <w:sz w:val="21"/>
                <w:szCs w:val="21"/>
                <w:highlight w:val="none"/>
                <w:lang w:val="zh-CN"/>
              </w:rPr>
              <w:t>HCO</w:t>
            </w:r>
            <w:r>
              <w:rPr>
                <w:rFonts w:hint="default" w:ascii="Times New Roman" w:hAnsi="Times New Roman" w:cs="Times New Roman" w:eastAsiaTheme="minorEastAsia"/>
                <w:spacing w:val="0"/>
                <w:position w:val="0"/>
                <w:sz w:val="21"/>
                <w:szCs w:val="21"/>
                <w:highlight w:val="none"/>
                <w:vertAlign w:val="subscript"/>
                <w:lang w:val="zh-CN"/>
              </w:rPr>
              <w:t>3</w:t>
            </w:r>
            <w:r>
              <w:rPr>
                <w:rFonts w:hint="default" w:ascii="Times New Roman" w:hAnsi="Times New Roman" w:cs="Times New Roman" w:eastAsiaTheme="minorEastAsia"/>
                <w:spacing w:val="0"/>
                <w:position w:val="0"/>
                <w:sz w:val="21"/>
                <w:szCs w:val="21"/>
                <w:highlight w:val="none"/>
                <w:vertAlign w:val="superscript"/>
                <w:lang w:val="zh-CN"/>
              </w:rPr>
              <w:t>-</w:t>
            </w:r>
            <w:r>
              <w:rPr>
                <w:rFonts w:hint="default" w:ascii="Times New Roman" w:hAnsi="Times New Roman" w:cs="Times New Roman" w:eastAsiaTheme="minorEastAsia"/>
                <w:bCs/>
                <w:spacing w:val="0"/>
                <w:position w:val="0"/>
                <w:sz w:val="21"/>
                <w:szCs w:val="21"/>
                <w:highlight w:val="none"/>
              </w:rPr>
              <w:t>—</w:t>
            </w:r>
            <w:r>
              <w:rPr>
                <w:rFonts w:hint="default" w:eastAsiaTheme="minorEastAsia"/>
                <w:sz w:val="21"/>
                <w:szCs w:val="21"/>
                <w:highlight w:val="none"/>
                <w:lang w:val="zh-CN"/>
              </w:rPr>
              <w:t>Ca</w:t>
            </w:r>
            <w:r>
              <w:rPr>
                <w:rFonts w:hint="default" w:eastAsiaTheme="minorEastAsia"/>
                <w:sz w:val="21"/>
                <w:szCs w:val="21"/>
                <w:highlight w:val="none"/>
                <w:vertAlign w:val="superscript"/>
                <w:lang w:val="zh-CN"/>
              </w:rPr>
              <w:t>2+</w:t>
            </w:r>
            <w:r>
              <w:rPr>
                <w:rFonts w:hint="default" w:eastAsiaTheme="minorEastAsia"/>
                <w:sz w:val="21"/>
                <w:szCs w:val="21"/>
                <w:highlight w:val="none"/>
                <w:lang w:val="zh-CN"/>
              </w:rPr>
              <w:t>-Mg</w:t>
            </w:r>
            <w:r>
              <w:rPr>
                <w:rFonts w:hint="default" w:eastAsiaTheme="minorEastAsia"/>
                <w:sz w:val="21"/>
                <w:szCs w:val="21"/>
                <w:highlight w:val="none"/>
                <w:vertAlign w:val="superscript"/>
                <w:lang w:val="zh-CN"/>
              </w:rPr>
              <w:t>2+</w:t>
            </w:r>
          </w:p>
        </w:tc>
        <w:tc>
          <w:tcPr>
            <w:tcW w:w="768" w:type="pct"/>
            <w:vAlign w:val="center"/>
          </w:tcPr>
          <w:p w14:paraId="44CAF466">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pacing w:val="0"/>
                <w:position w:val="0"/>
                <w:sz w:val="21"/>
                <w:szCs w:val="21"/>
                <w:highlight w:val="none"/>
              </w:rPr>
            </w:pPr>
            <w:r>
              <w:rPr>
                <w:rFonts w:hint="default" w:ascii="Times New Roman" w:hAnsi="Times New Roman" w:cs="Times New Roman" w:eastAsiaTheme="minorEastAsia"/>
                <w:spacing w:val="0"/>
                <w:position w:val="0"/>
                <w:sz w:val="21"/>
                <w:szCs w:val="21"/>
                <w:highlight w:val="none"/>
                <w:lang w:val="zh-CN"/>
              </w:rPr>
              <w:t>HCO</w:t>
            </w:r>
            <w:r>
              <w:rPr>
                <w:rFonts w:hint="default" w:ascii="Times New Roman" w:hAnsi="Times New Roman" w:cs="Times New Roman" w:eastAsiaTheme="minorEastAsia"/>
                <w:spacing w:val="0"/>
                <w:position w:val="0"/>
                <w:sz w:val="21"/>
                <w:szCs w:val="21"/>
                <w:highlight w:val="none"/>
                <w:vertAlign w:val="subscript"/>
                <w:lang w:val="zh-CN"/>
              </w:rPr>
              <w:t>3</w:t>
            </w:r>
            <w:r>
              <w:rPr>
                <w:rFonts w:hint="default" w:ascii="Times New Roman" w:hAnsi="Times New Roman" w:cs="Times New Roman" w:eastAsiaTheme="minorEastAsia"/>
                <w:spacing w:val="0"/>
                <w:position w:val="0"/>
                <w:sz w:val="21"/>
                <w:szCs w:val="21"/>
                <w:highlight w:val="none"/>
                <w:vertAlign w:val="superscript"/>
                <w:lang w:val="zh-CN"/>
              </w:rPr>
              <w:t>-</w:t>
            </w:r>
            <w:r>
              <w:rPr>
                <w:rFonts w:hint="default" w:ascii="Times New Roman" w:hAnsi="Times New Roman" w:cs="Times New Roman" w:eastAsiaTheme="minorEastAsia"/>
                <w:bCs/>
                <w:spacing w:val="0"/>
                <w:position w:val="0"/>
                <w:sz w:val="21"/>
                <w:szCs w:val="21"/>
                <w:highlight w:val="none"/>
              </w:rPr>
              <w:t>—Ca</w:t>
            </w:r>
            <w:r>
              <w:rPr>
                <w:rFonts w:hint="eastAsia" w:cs="Times New Roman" w:eastAsiaTheme="minorEastAsia"/>
                <w:bCs/>
                <w:spacing w:val="0"/>
                <w:position w:val="0"/>
                <w:sz w:val="21"/>
                <w:szCs w:val="21"/>
                <w:highlight w:val="none"/>
                <w:vertAlign w:val="superscript"/>
                <w:lang w:val="en-US" w:eastAsia="zh-CN"/>
              </w:rPr>
              <w:t>2+</w:t>
            </w:r>
          </w:p>
        </w:tc>
        <w:tc>
          <w:tcPr>
            <w:tcW w:w="768" w:type="pct"/>
            <w:vAlign w:val="center"/>
          </w:tcPr>
          <w:p w14:paraId="757B2CA1">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spacing w:val="0"/>
                <w:position w:val="0"/>
                <w:sz w:val="21"/>
                <w:szCs w:val="21"/>
                <w:highlight w:val="none"/>
              </w:rPr>
            </w:pPr>
            <w:r>
              <w:rPr>
                <w:rFonts w:hint="default" w:ascii="Times New Roman" w:hAnsi="Times New Roman" w:cs="Times New Roman" w:eastAsiaTheme="minorEastAsia"/>
                <w:spacing w:val="0"/>
                <w:position w:val="0"/>
                <w:sz w:val="21"/>
                <w:szCs w:val="21"/>
                <w:highlight w:val="none"/>
                <w:lang w:val="zh-CN"/>
              </w:rPr>
              <w:t>HCO</w:t>
            </w:r>
            <w:r>
              <w:rPr>
                <w:rFonts w:hint="default" w:ascii="Times New Roman" w:hAnsi="Times New Roman" w:cs="Times New Roman" w:eastAsiaTheme="minorEastAsia"/>
                <w:spacing w:val="0"/>
                <w:position w:val="0"/>
                <w:sz w:val="21"/>
                <w:szCs w:val="21"/>
                <w:highlight w:val="none"/>
                <w:vertAlign w:val="subscript"/>
                <w:lang w:val="zh-CN"/>
              </w:rPr>
              <w:t>3</w:t>
            </w:r>
            <w:r>
              <w:rPr>
                <w:rFonts w:hint="default" w:ascii="Times New Roman" w:hAnsi="Times New Roman" w:cs="Times New Roman" w:eastAsiaTheme="minorEastAsia"/>
                <w:spacing w:val="0"/>
                <w:position w:val="0"/>
                <w:sz w:val="21"/>
                <w:szCs w:val="21"/>
                <w:highlight w:val="none"/>
                <w:vertAlign w:val="superscript"/>
                <w:lang w:val="zh-CN"/>
              </w:rPr>
              <w:t>-</w:t>
            </w:r>
            <w:r>
              <w:rPr>
                <w:rFonts w:hint="default" w:ascii="Times New Roman" w:hAnsi="Times New Roman" w:cs="Times New Roman" w:eastAsiaTheme="minorEastAsia"/>
                <w:bCs/>
                <w:spacing w:val="0"/>
                <w:position w:val="0"/>
                <w:sz w:val="21"/>
                <w:szCs w:val="21"/>
                <w:highlight w:val="none"/>
              </w:rPr>
              <w:t>—</w:t>
            </w:r>
            <w:r>
              <w:rPr>
                <w:rFonts w:hint="default" w:eastAsiaTheme="minorEastAsia"/>
                <w:sz w:val="21"/>
                <w:szCs w:val="21"/>
                <w:highlight w:val="none"/>
                <w:lang w:val="zh-CN"/>
              </w:rPr>
              <w:t>Ca</w:t>
            </w:r>
            <w:r>
              <w:rPr>
                <w:rFonts w:hint="default" w:eastAsiaTheme="minorEastAsia"/>
                <w:sz w:val="21"/>
                <w:szCs w:val="21"/>
                <w:highlight w:val="none"/>
                <w:vertAlign w:val="superscript"/>
                <w:lang w:val="zh-CN"/>
              </w:rPr>
              <w:t>2+</w:t>
            </w:r>
            <w:r>
              <w:rPr>
                <w:rFonts w:hint="default" w:eastAsiaTheme="minorEastAsia"/>
                <w:sz w:val="21"/>
                <w:szCs w:val="21"/>
                <w:highlight w:val="none"/>
                <w:lang w:val="zh-CN"/>
              </w:rPr>
              <w:t>-Mg</w:t>
            </w:r>
            <w:r>
              <w:rPr>
                <w:rFonts w:hint="default" w:eastAsiaTheme="minorEastAsia"/>
                <w:sz w:val="21"/>
                <w:szCs w:val="21"/>
                <w:highlight w:val="none"/>
                <w:vertAlign w:val="superscript"/>
                <w:lang w:val="zh-CN"/>
              </w:rPr>
              <w:t>2+</w:t>
            </w:r>
          </w:p>
        </w:tc>
        <w:tc>
          <w:tcPr>
            <w:tcW w:w="1310" w:type="dxa"/>
            <w:vAlign w:val="center"/>
          </w:tcPr>
          <w:p w14:paraId="6B1475E3">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spacing w:val="0"/>
                <w:position w:val="0"/>
                <w:sz w:val="21"/>
                <w:szCs w:val="21"/>
                <w:highlight w:val="none"/>
              </w:rPr>
            </w:pPr>
            <w:r>
              <w:rPr>
                <w:rFonts w:hint="default" w:ascii="Times New Roman" w:hAnsi="Times New Roman" w:cs="Times New Roman" w:eastAsiaTheme="minorEastAsia"/>
                <w:spacing w:val="0"/>
                <w:position w:val="0"/>
                <w:sz w:val="21"/>
                <w:szCs w:val="21"/>
                <w:highlight w:val="none"/>
                <w:lang w:val="zh-CN"/>
              </w:rPr>
              <w:t>HCO</w:t>
            </w:r>
            <w:r>
              <w:rPr>
                <w:rFonts w:hint="default" w:ascii="Times New Roman" w:hAnsi="Times New Roman" w:cs="Times New Roman" w:eastAsiaTheme="minorEastAsia"/>
                <w:spacing w:val="0"/>
                <w:position w:val="0"/>
                <w:sz w:val="21"/>
                <w:szCs w:val="21"/>
                <w:highlight w:val="none"/>
                <w:vertAlign w:val="subscript"/>
                <w:lang w:val="zh-CN"/>
              </w:rPr>
              <w:t>3</w:t>
            </w:r>
            <w:r>
              <w:rPr>
                <w:rFonts w:hint="default" w:ascii="Times New Roman" w:hAnsi="Times New Roman" w:cs="Times New Roman" w:eastAsiaTheme="minorEastAsia"/>
                <w:spacing w:val="0"/>
                <w:position w:val="0"/>
                <w:sz w:val="21"/>
                <w:szCs w:val="21"/>
                <w:highlight w:val="none"/>
                <w:vertAlign w:val="superscript"/>
                <w:lang w:val="zh-CN"/>
              </w:rPr>
              <w:t>-</w:t>
            </w:r>
            <w:r>
              <w:rPr>
                <w:rFonts w:hint="default" w:ascii="Times New Roman" w:hAnsi="Times New Roman" w:cs="Times New Roman" w:eastAsiaTheme="minorEastAsia"/>
                <w:bCs/>
                <w:spacing w:val="0"/>
                <w:position w:val="0"/>
                <w:sz w:val="21"/>
                <w:szCs w:val="21"/>
                <w:highlight w:val="none"/>
              </w:rPr>
              <w:t>—</w:t>
            </w:r>
            <w:r>
              <w:rPr>
                <w:rFonts w:hint="default" w:eastAsiaTheme="minorEastAsia"/>
                <w:sz w:val="21"/>
                <w:szCs w:val="21"/>
                <w:highlight w:val="none"/>
                <w:lang w:val="zh-CN"/>
              </w:rPr>
              <w:t>Ca</w:t>
            </w:r>
            <w:r>
              <w:rPr>
                <w:rFonts w:hint="default" w:eastAsiaTheme="minorEastAsia"/>
                <w:sz w:val="21"/>
                <w:szCs w:val="21"/>
                <w:highlight w:val="none"/>
                <w:vertAlign w:val="superscript"/>
                <w:lang w:val="zh-CN"/>
              </w:rPr>
              <w:t>2+</w:t>
            </w:r>
            <w:r>
              <w:rPr>
                <w:rFonts w:hint="default" w:eastAsiaTheme="minorEastAsia"/>
                <w:sz w:val="21"/>
                <w:szCs w:val="21"/>
                <w:highlight w:val="none"/>
                <w:lang w:val="zh-CN"/>
              </w:rPr>
              <w:t>-Mg</w:t>
            </w:r>
            <w:r>
              <w:rPr>
                <w:rFonts w:hint="default" w:eastAsiaTheme="minorEastAsia"/>
                <w:sz w:val="21"/>
                <w:szCs w:val="21"/>
                <w:highlight w:val="none"/>
                <w:vertAlign w:val="superscript"/>
                <w:lang w:val="zh-CN"/>
              </w:rPr>
              <w:t>2+</w:t>
            </w:r>
          </w:p>
        </w:tc>
      </w:tr>
    </w:tbl>
    <w:p w14:paraId="63E200CF">
      <w:pPr>
        <w:bidi w:val="0"/>
        <w:rPr>
          <w:highlight w:val="none"/>
        </w:rPr>
      </w:pPr>
      <w:bookmarkStart w:id="346" w:name="_Toc18314"/>
      <w:r>
        <w:rPr>
          <w:highlight w:val="none"/>
        </w:rPr>
        <w:t>4、现状评价结论</w:t>
      </w:r>
      <w:bookmarkEnd w:id="346"/>
    </w:p>
    <w:p w14:paraId="197B732E">
      <w:pPr>
        <w:bidi w:val="0"/>
        <w:rPr>
          <w:highlight w:val="none"/>
        </w:rPr>
      </w:pPr>
      <w:r>
        <w:rPr>
          <w:highlight w:val="none"/>
        </w:rPr>
        <w:t>由评价结果可知：锰超过《地下水质量标准》</w:t>
      </w:r>
      <w:r>
        <w:rPr>
          <w:rFonts w:hint="eastAsia"/>
          <w:highlight w:val="none"/>
          <w:lang w:eastAsia="zh-CN"/>
        </w:rPr>
        <w:t>（</w:t>
      </w:r>
      <w:r>
        <w:rPr>
          <w:highlight w:val="none"/>
        </w:rPr>
        <w:t>GB/T14848-2017</w:t>
      </w:r>
      <w:r>
        <w:rPr>
          <w:rFonts w:hint="eastAsia"/>
          <w:highlight w:val="none"/>
          <w:lang w:eastAsia="zh-CN"/>
        </w:rPr>
        <w:t>）</w:t>
      </w:r>
      <w:r>
        <w:rPr>
          <w:highlight w:val="none"/>
        </w:rPr>
        <w:t>Ⅲ类标准要求，超标原因主要受原生地质条件影响，除锰其余监测因子均满足《地下水质量标准》</w:t>
      </w:r>
      <w:r>
        <w:rPr>
          <w:rFonts w:hint="eastAsia"/>
          <w:highlight w:val="none"/>
          <w:lang w:eastAsia="zh-CN"/>
        </w:rPr>
        <w:t>（</w:t>
      </w:r>
      <w:r>
        <w:rPr>
          <w:highlight w:val="none"/>
        </w:rPr>
        <w:t>GB/T14848-2017</w:t>
      </w:r>
      <w:r>
        <w:rPr>
          <w:rFonts w:hint="eastAsia"/>
          <w:highlight w:val="none"/>
          <w:lang w:eastAsia="zh-CN"/>
        </w:rPr>
        <w:t>）</w:t>
      </w:r>
      <w:r>
        <w:rPr>
          <w:highlight w:val="none"/>
        </w:rPr>
        <w:t>Ⅲ类标准要求，石油类未检出，满足《地表水环境质量标准》（GB3838-2002）</w:t>
      </w:r>
      <w:r>
        <w:rPr>
          <w:highlight w:val="none"/>
        </w:rPr>
        <w:fldChar w:fldCharType="begin"/>
      </w:r>
      <w:r>
        <w:rPr>
          <w:highlight w:val="none"/>
        </w:rPr>
        <w:instrText xml:space="preserve"> </w:instrText>
      </w:r>
      <w:r>
        <w:rPr>
          <w:rFonts w:hint="eastAsia"/>
          <w:highlight w:val="none"/>
        </w:rPr>
        <w:instrText xml:space="preserve">= 2 \* ROMAN</w:instrText>
      </w:r>
      <w:r>
        <w:rPr>
          <w:highlight w:val="none"/>
        </w:rPr>
        <w:instrText xml:space="preserve"> </w:instrText>
      </w:r>
      <w:r>
        <w:rPr>
          <w:highlight w:val="none"/>
        </w:rPr>
        <w:fldChar w:fldCharType="separate"/>
      </w:r>
      <w:r>
        <w:rPr>
          <w:highlight w:val="none"/>
        </w:rPr>
        <w:t>Ⅲ</w:t>
      </w:r>
      <w:r>
        <w:rPr>
          <w:highlight w:val="none"/>
        </w:rPr>
        <w:fldChar w:fldCharType="end"/>
      </w:r>
      <w:r>
        <w:rPr>
          <w:highlight w:val="none"/>
        </w:rPr>
        <w:t>类标准要求。监测点水质整体较好。</w:t>
      </w:r>
    </w:p>
    <w:p w14:paraId="7101BE59">
      <w:pPr>
        <w:pStyle w:val="4"/>
        <w:bidi w:val="0"/>
        <w:rPr>
          <w:highlight w:val="none"/>
        </w:rPr>
      </w:pPr>
      <w:bookmarkStart w:id="347" w:name="_Toc5604"/>
      <w:bookmarkStart w:id="348" w:name="_Toc29318"/>
      <w:bookmarkStart w:id="349" w:name="_Toc477954567"/>
      <w:r>
        <w:rPr>
          <w:highlight w:val="none"/>
        </w:rPr>
        <w:t>4.2.4声环境质量现状评价</w:t>
      </w:r>
      <w:bookmarkEnd w:id="347"/>
      <w:bookmarkEnd w:id="348"/>
      <w:bookmarkEnd w:id="349"/>
    </w:p>
    <w:p w14:paraId="2FB8EBC5">
      <w:pPr>
        <w:bidi w:val="0"/>
        <w:rPr>
          <w:rFonts w:eastAsiaTheme="minorEastAsia"/>
          <w:b/>
          <w:sz w:val="24"/>
          <w:highlight w:val="none"/>
        </w:rPr>
      </w:pPr>
      <w:r>
        <w:rPr>
          <w:rFonts w:eastAsiaTheme="minorEastAsia"/>
          <w:b/>
          <w:sz w:val="24"/>
          <w:highlight w:val="none"/>
        </w:rPr>
        <w:t>4.2.4.1</w:t>
      </w:r>
      <w:r>
        <w:rPr>
          <w:rFonts w:hAnsiTheme="minorEastAsia" w:eastAsiaTheme="minorEastAsia"/>
          <w:b/>
          <w:sz w:val="24"/>
          <w:highlight w:val="none"/>
        </w:rPr>
        <w:t>声环境现状监测</w:t>
      </w:r>
    </w:p>
    <w:p w14:paraId="3AD478AF">
      <w:pPr>
        <w:bidi w:val="0"/>
        <w:rPr>
          <w:highlight w:val="none"/>
          <w:lang w:val="zh-CN"/>
        </w:rPr>
      </w:pPr>
      <w:r>
        <w:rPr>
          <w:highlight w:val="none"/>
          <w:lang w:val="zh-CN"/>
        </w:rPr>
        <w:t>（1）数据来源</w:t>
      </w:r>
    </w:p>
    <w:p w14:paraId="1B811A2E">
      <w:pPr>
        <w:bidi w:val="0"/>
        <w:rPr>
          <w:highlight w:val="none"/>
        </w:rPr>
      </w:pPr>
      <w:r>
        <w:rPr>
          <w:highlight w:val="none"/>
          <w:lang w:val="zh-CN"/>
        </w:rPr>
        <w:t>本项目声环境质量现状监测数据来自</w:t>
      </w:r>
      <w:r>
        <w:rPr>
          <w:highlight w:val="none"/>
        </w:rPr>
        <w:t>哈尔滨新巨环保科技有限公司。</w:t>
      </w:r>
    </w:p>
    <w:p w14:paraId="55ABAEEE">
      <w:pPr>
        <w:bidi w:val="0"/>
        <w:rPr>
          <w:highlight w:val="none"/>
          <w:lang w:val="zh-CN"/>
        </w:rPr>
      </w:pPr>
      <w:r>
        <w:rPr>
          <w:highlight w:val="none"/>
          <w:lang w:val="zh-CN"/>
        </w:rPr>
        <w:t>（2）监测点位</w:t>
      </w:r>
    </w:p>
    <w:p w14:paraId="2530EE21">
      <w:pPr>
        <w:bidi w:val="0"/>
        <w:rPr>
          <w:highlight w:val="none"/>
        </w:rPr>
      </w:pPr>
      <w:r>
        <w:rPr>
          <w:highlight w:val="none"/>
        </w:rPr>
        <w:t>具体布置见</w:t>
      </w:r>
      <w:r>
        <w:rPr>
          <w:rFonts w:hint="eastAsia"/>
          <w:highlight w:val="none"/>
          <w:lang w:val="en-US" w:eastAsia="zh-CN"/>
        </w:rPr>
        <w:t>下表、下图</w:t>
      </w:r>
      <w:r>
        <w:rPr>
          <w:highlight w:val="none"/>
        </w:rPr>
        <w:t>。</w:t>
      </w:r>
    </w:p>
    <w:p w14:paraId="236C756C">
      <w:pPr>
        <w:pStyle w:val="7"/>
        <w:bidi w:val="0"/>
        <w:rPr>
          <w:highlight w:val="none"/>
        </w:rPr>
      </w:pPr>
      <w:r>
        <w:rPr>
          <w:highlight w:val="none"/>
        </w:rPr>
        <w:t>表4-2-</w:t>
      </w:r>
      <w:r>
        <w:rPr>
          <w:rFonts w:hint="eastAsia"/>
          <w:highlight w:val="none"/>
          <w:lang w:val="en-US" w:eastAsia="zh-CN"/>
        </w:rPr>
        <w:t>12</w:t>
      </w:r>
      <w:r>
        <w:rPr>
          <w:highlight w:val="none"/>
        </w:rPr>
        <w:t>声环境现状监测点位表</w:t>
      </w:r>
    </w:p>
    <w:tbl>
      <w:tblPr>
        <w:tblStyle w:val="45"/>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775"/>
        <w:gridCol w:w="3640"/>
        <w:gridCol w:w="2557"/>
      </w:tblGrid>
      <w:tr w14:paraId="162EDAA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1" w:hRule="atLeast"/>
          <w:jc w:val="center"/>
        </w:trPr>
        <w:tc>
          <w:tcPr>
            <w:tcW w:w="1775" w:type="dxa"/>
            <w:vAlign w:val="center"/>
          </w:tcPr>
          <w:p w14:paraId="7DB88FD9">
            <w:pPr>
              <w:pStyle w:val="8"/>
              <w:suppressLineNumbers w:val="0"/>
              <w:bidi w:val="0"/>
              <w:spacing w:before="0" w:beforeAutospacing="0" w:after="0" w:afterAutospacing="0"/>
              <w:ind w:left="0" w:right="0"/>
              <w:rPr>
                <w:rFonts w:hint="default"/>
                <w:highlight w:val="none"/>
              </w:rPr>
            </w:pPr>
            <w:r>
              <w:rPr>
                <w:rFonts w:hint="default"/>
                <w:highlight w:val="none"/>
              </w:rPr>
              <w:t>监测点位</w:t>
            </w:r>
          </w:p>
        </w:tc>
        <w:tc>
          <w:tcPr>
            <w:tcW w:w="3640" w:type="dxa"/>
            <w:tcBorders>
              <w:right w:val="single" w:color="000000" w:sz="2" w:space="0"/>
            </w:tcBorders>
            <w:vAlign w:val="center"/>
          </w:tcPr>
          <w:p w14:paraId="11F4E1C0">
            <w:pPr>
              <w:pStyle w:val="8"/>
              <w:suppressLineNumbers w:val="0"/>
              <w:bidi w:val="0"/>
              <w:spacing w:before="0" w:beforeAutospacing="0" w:after="0" w:afterAutospacing="0"/>
              <w:ind w:left="0" w:right="0"/>
              <w:rPr>
                <w:rFonts w:hint="default"/>
                <w:highlight w:val="none"/>
              </w:rPr>
            </w:pPr>
            <w:r>
              <w:rPr>
                <w:rFonts w:hint="default"/>
                <w:highlight w:val="none"/>
              </w:rPr>
              <w:t>监测项目</w:t>
            </w:r>
          </w:p>
        </w:tc>
        <w:tc>
          <w:tcPr>
            <w:tcW w:w="2557" w:type="dxa"/>
            <w:tcBorders>
              <w:left w:val="single" w:color="000000" w:sz="2" w:space="0"/>
            </w:tcBorders>
            <w:vAlign w:val="center"/>
          </w:tcPr>
          <w:p w14:paraId="5FAF98EC">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监测频次</w:t>
            </w:r>
          </w:p>
        </w:tc>
      </w:tr>
      <w:tr w14:paraId="01692FE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1" w:hRule="atLeast"/>
          <w:jc w:val="center"/>
        </w:trPr>
        <w:tc>
          <w:tcPr>
            <w:tcW w:w="1775" w:type="dxa"/>
            <w:vAlign w:val="center"/>
          </w:tcPr>
          <w:p w14:paraId="5F572E75">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▲1</w:t>
            </w:r>
            <w:r>
              <w:rPr>
                <w:rFonts w:hint="eastAsia"/>
                <w:highlight w:val="none"/>
                <w:lang w:val="en-US" w:eastAsia="zh-CN"/>
              </w:rPr>
              <w:t>厂界东侧</w:t>
            </w:r>
          </w:p>
        </w:tc>
        <w:tc>
          <w:tcPr>
            <w:tcW w:w="3640" w:type="dxa"/>
            <w:tcBorders>
              <w:right w:val="single" w:color="000000" w:sz="2" w:space="0"/>
            </w:tcBorders>
            <w:vAlign w:val="center"/>
          </w:tcPr>
          <w:p w14:paraId="56456964">
            <w:pPr>
              <w:pStyle w:val="8"/>
              <w:suppressLineNumbers w:val="0"/>
              <w:bidi w:val="0"/>
              <w:spacing w:before="0" w:beforeAutospacing="0" w:after="0" w:afterAutospacing="0"/>
              <w:ind w:left="0" w:right="0"/>
              <w:rPr>
                <w:rFonts w:hint="eastAsia"/>
                <w:highlight w:val="none"/>
                <w:lang w:eastAsia="zh-CN"/>
              </w:rPr>
            </w:pPr>
            <w:r>
              <w:rPr>
                <w:rFonts w:hint="eastAsia"/>
                <w:highlight w:val="none"/>
                <w:lang w:val="en-US" w:eastAsia="zh-CN"/>
              </w:rPr>
              <w:t>噪声</w:t>
            </w:r>
          </w:p>
        </w:tc>
        <w:tc>
          <w:tcPr>
            <w:tcW w:w="2557" w:type="dxa"/>
            <w:vMerge w:val="restart"/>
            <w:tcBorders>
              <w:left w:val="single" w:color="000000" w:sz="2" w:space="0"/>
            </w:tcBorders>
            <w:vAlign w:val="center"/>
          </w:tcPr>
          <w:p w14:paraId="1CA9666E">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监测两天，昼一夜一</w:t>
            </w:r>
          </w:p>
        </w:tc>
      </w:tr>
      <w:tr w14:paraId="7C942C4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7" w:hRule="atLeast"/>
          <w:jc w:val="center"/>
        </w:trPr>
        <w:tc>
          <w:tcPr>
            <w:tcW w:w="1775" w:type="dxa"/>
            <w:vAlign w:val="center"/>
          </w:tcPr>
          <w:p w14:paraId="081BF82E">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▲2</w:t>
            </w:r>
            <w:r>
              <w:rPr>
                <w:rFonts w:hint="eastAsia"/>
                <w:highlight w:val="none"/>
                <w:lang w:val="en-US" w:eastAsia="zh-CN"/>
              </w:rPr>
              <w:t>厂界南侧</w:t>
            </w:r>
          </w:p>
        </w:tc>
        <w:tc>
          <w:tcPr>
            <w:tcW w:w="3640" w:type="dxa"/>
            <w:tcBorders>
              <w:right w:val="single" w:color="000000" w:sz="2" w:space="0"/>
            </w:tcBorders>
            <w:vAlign w:val="center"/>
          </w:tcPr>
          <w:p w14:paraId="2D794B34">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噪声</w:t>
            </w:r>
          </w:p>
        </w:tc>
        <w:tc>
          <w:tcPr>
            <w:tcW w:w="2557" w:type="dxa"/>
            <w:vMerge w:val="continue"/>
            <w:tcBorders>
              <w:left w:val="single" w:color="000000" w:sz="2" w:space="0"/>
            </w:tcBorders>
            <w:vAlign w:val="center"/>
          </w:tcPr>
          <w:p w14:paraId="2710D891">
            <w:pPr>
              <w:pStyle w:val="8"/>
              <w:suppressLineNumbers w:val="0"/>
              <w:bidi w:val="0"/>
              <w:spacing w:before="0" w:beforeAutospacing="0" w:after="0" w:afterAutospacing="0"/>
              <w:ind w:left="0" w:right="0"/>
              <w:rPr>
                <w:rFonts w:hint="eastAsia"/>
                <w:highlight w:val="none"/>
                <w:lang w:val="en-US" w:eastAsia="zh-CN"/>
              </w:rPr>
            </w:pPr>
          </w:p>
        </w:tc>
      </w:tr>
      <w:tr w14:paraId="4089936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1" w:hRule="atLeast"/>
          <w:jc w:val="center"/>
        </w:trPr>
        <w:tc>
          <w:tcPr>
            <w:tcW w:w="1775" w:type="dxa"/>
            <w:vAlign w:val="center"/>
          </w:tcPr>
          <w:p w14:paraId="4DBCBE68">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▲3</w:t>
            </w:r>
            <w:r>
              <w:rPr>
                <w:rFonts w:hint="eastAsia"/>
                <w:highlight w:val="none"/>
                <w:lang w:val="en-US" w:eastAsia="zh-CN"/>
              </w:rPr>
              <w:t>厂界西侧</w:t>
            </w:r>
          </w:p>
        </w:tc>
        <w:tc>
          <w:tcPr>
            <w:tcW w:w="3640" w:type="dxa"/>
            <w:tcBorders>
              <w:right w:val="single" w:color="000000" w:sz="2" w:space="0"/>
            </w:tcBorders>
            <w:vAlign w:val="center"/>
          </w:tcPr>
          <w:p w14:paraId="7DCD8758">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噪声</w:t>
            </w:r>
          </w:p>
        </w:tc>
        <w:tc>
          <w:tcPr>
            <w:tcW w:w="2557" w:type="dxa"/>
            <w:vMerge w:val="continue"/>
            <w:tcBorders>
              <w:left w:val="single" w:color="000000" w:sz="2" w:space="0"/>
            </w:tcBorders>
            <w:vAlign w:val="center"/>
          </w:tcPr>
          <w:p w14:paraId="77BD5567">
            <w:pPr>
              <w:pStyle w:val="8"/>
              <w:suppressLineNumbers w:val="0"/>
              <w:bidi w:val="0"/>
              <w:spacing w:before="0" w:beforeAutospacing="0" w:after="0" w:afterAutospacing="0"/>
              <w:ind w:left="0" w:right="0"/>
              <w:rPr>
                <w:rFonts w:hint="eastAsia"/>
                <w:highlight w:val="none"/>
                <w:lang w:val="en-US" w:eastAsia="zh-CN"/>
              </w:rPr>
            </w:pPr>
          </w:p>
        </w:tc>
      </w:tr>
      <w:tr w14:paraId="0162935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8" w:hRule="atLeast"/>
          <w:jc w:val="center"/>
        </w:trPr>
        <w:tc>
          <w:tcPr>
            <w:tcW w:w="1775" w:type="dxa"/>
            <w:vAlign w:val="center"/>
          </w:tcPr>
          <w:p w14:paraId="1D722A42">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▲4</w:t>
            </w:r>
            <w:r>
              <w:rPr>
                <w:rFonts w:hint="eastAsia"/>
                <w:highlight w:val="none"/>
                <w:lang w:val="en-US" w:eastAsia="zh-CN"/>
              </w:rPr>
              <w:t>厂界北侧</w:t>
            </w:r>
          </w:p>
        </w:tc>
        <w:tc>
          <w:tcPr>
            <w:tcW w:w="3640" w:type="dxa"/>
            <w:tcBorders>
              <w:right w:val="single" w:color="000000" w:sz="2" w:space="0"/>
            </w:tcBorders>
            <w:vAlign w:val="center"/>
          </w:tcPr>
          <w:p w14:paraId="24EA5A82">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噪声</w:t>
            </w:r>
          </w:p>
        </w:tc>
        <w:tc>
          <w:tcPr>
            <w:tcW w:w="2557" w:type="dxa"/>
            <w:vMerge w:val="continue"/>
            <w:tcBorders>
              <w:left w:val="single" w:color="000000" w:sz="2" w:space="0"/>
            </w:tcBorders>
            <w:vAlign w:val="center"/>
          </w:tcPr>
          <w:p w14:paraId="423B5E2D">
            <w:pPr>
              <w:pStyle w:val="8"/>
              <w:suppressLineNumbers w:val="0"/>
              <w:bidi w:val="0"/>
              <w:spacing w:before="0" w:beforeAutospacing="0" w:after="0" w:afterAutospacing="0"/>
              <w:ind w:left="0" w:right="0"/>
              <w:rPr>
                <w:rFonts w:hint="eastAsia"/>
                <w:highlight w:val="none"/>
                <w:lang w:val="en-US" w:eastAsia="zh-CN"/>
              </w:rPr>
            </w:pPr>
          </w:p>
        </w:tc>
      </w:tr>
      <w:tr w14:paraId="600E69A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8" w:hRule="atLeast"/>
          <w:jc w:val="center"/>
        </w:trPr>
        <w:tc>
          <w:tcPr>
            <w:tcW w:w="1775" w:type="dxa"/>
            <w:vAlign w:val="center"/>
          </w:tcPr>
          <w:p w14:paraId="1A213742">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en-US"/>
              </w:rPr>
              <w:t>△</w:t>
            </w:r>
            <w:r>
              <w:rPr>
                <w:rFonts w:hint="default"/>
                <w:highlight w:val="none"/>
                <w:lang w:val="en-US" w:eastAsia="en-US"/>
              </w:rPr>
              <w:t>5</w:t>
            </w:r>
            <w:r>
              <w:rPr>
                <w:rFonts w:hint="eastAsia"/>
                <w:highlight w:val="none"/>
                <w:lang w:val="en-US" w:eastAsia="zh-CN"/>
              </w:rPr>
              <w:t>东</w:t>
            </w:r>
            <w:r>
              <w:rPr>
                <w:rFonts w:hint="eastAsia"/>
                <w:highlight w:val="none"/>
                <w:lang w:val="en-US" w:eastAsia="en-US"/>
              </w:rPr>
              <w:t>侧敏感点</w:t>
            </w:r>
          </w:p>
        </w:tc>
        <w:tc>
          <w:tcPr>
            <w:tcW w:w="3640" w:type="dxa"/>
            <w:tcBorders>
              <w:right w:val="single" w:color="000000" w:sz="2" w:space="0"/>
            </w:tcBorders>
            <w:vAlign w:val="center"/>
          </w:tcPr>
          <w:p w14:paraId="4D2E6F1A">
            <w:pPr>
              <w:pStyle w:val="8"/>
              <w:suppressLineNumbers w:val="0"/>
              <w:bidi w:val="0"/>
              <w:spacing w:before="0" w:beforeAutospacing="0" w:after="0" w:afterAutospacing="0"/>
              <w:ind w:left="0" w:right="0"/>
              <w:rPr>
                <w:rFonts w:hint="eastAsia"/>
                <w:highlight w:val="none"/>
                <w:lang w:val="en-US" w:eastAsia="zh-CN"/>
              </w:rPr>
            </w:pPr>
            <w:r>
              <w:rPr>
                <w:rFonts w:hint="eastAsia"/>
                <w:highlight w:val="none"/>
                <w:lang w:val="en-US" w:eastAsia="zh-CN"/>
              </w:rPr>
              <w:t>噪声</w:t>
            </w:r>
          </w:p>
        </w:tc>
        <w:tc>
          <w:tcPr>
            <w:tcW w:w="2557" w:type="dxa"/>
            <w:vMerge w:val="continue"/>
            <w:tcBorders>
              <w:left w:val="single" w:color="000000" w:sz="2" w:space="0"/>
            </w:tcBorders>
            <w:vAlign w:val="center"/>
          </w:tcPr>
          <w:p w14:paraId="7E09666D">
            <w:pPr>
              <w:pStyle w:val="8"/>
              <w:suppressLineNumbers w:val="0"/>
              <w:bidi w:val="0"/>
              <w:spacing w:before="0" w:beforeAutospacing="0" w:after="0" w:afterAutospacing="0"/>
              <w:ind w:left="0" w:right="0"/>
              <w:rPr>
                <w:rFonts w:hint="eastAsia"/>
                <w:highlight w:val="none"/>
                <w:lang w:val="en-US" w:eastAsia="zh-CN"/>
              </w:rPr>
            </w:pPr>
          </w:p>
        </w:tc>
      </w:tr>
      <w:tr w14:paraId="06F3B56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8" w:hRule="atLeast"/>
          <w:jc w:val="center"/>
        </w:trPr>
        <w:tc>
          <w:tcPr>
            <w:tcW w:w="1775" w:type="dxa"/>
            <w:vAlign w:val="center"/>
          </w:tcPr>
          <w:p w14:paraId="5C24098E">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en-US"/>
              </w:rPr>
              <w:t>△</w:t>
            </w:r>
            <w:r>
              <w:rPr>
                <w:rFonts w:hint="default"/>
                <w:highlight w:val="none"/>
                <w:lang w:val="en-US" w:eastAsia="en-US"/>
              </w:rPr>
              <w:t>6</w:t>
            </w:r>
            <w:r>
              <w:rPr>
                <w:rFonts w:hint="eastAsia"/>
                <w:highlight w:val="none"/>
                <w:lang w:val="en-US" w:eastAsia="zh-CN"/>
              </w:rPr>
              <w:t>西</w:t>
            </w:r>
            <w:r>
              <w:rPr>
                <w:rFonts w:hint="eastAsia"/>
                <w:highlight w:val="none"/>
                <w:lang w:val="en-US" w:eastAsia="en-US"/>
              </w:rPr>
              <w:t>侧敏感点</w:t>
            </w:r>
          </w:p>
        </w:tc>
        <w:tc>
          <w:tcPr>
            <w:tcW w:w="3640" w:type="dxa"/>
            <w:tcBorders>
              <w:right w:val="single" w:color="000000" w:sz="2" w:space="0"/>
            </w:tcBorders>
            <w:vAlign w:val="center"/>
          </w:tcPr>
          <w:p w14:paraId="2B75CBC6">
            <w:pPr>
              <w:pStyle w:val="8"/>
              <w:suppressLineNumbers w:val="0"/>
              <w:bidi w:val="0"/>
              <w:spacing w:before="0" w:beforeAutospacing="0" w:after="0" w:afterAutospacing="0"/>
              <w:ind w:left="0" w:right="0"/>
              <w:rPr>
                <w:rFonts w:hint="eastAsia"/>
                <w:highlight w:val="none"/>
                <w:lang w:val="en-US" w:eastAsia="zh-CN"/>
              </w:rPr>
            </w:pPr>
            <w:r>
              <w:rPr>
                <w:rFonts w:hint="eastAsia"/>
                <w:highlight w:val="none"/>
                <w:lang w:val="en-US" w:eastAsia="zh-CN"/>
              </w:rPr>
              <w:t>噪声</w:t>
            </w:r>
          </w:p>
        </w:tc>
        <w:tc>
          <w:tcPr>
            <w:tcW w:w="2557" w:type="dxa"/>
            <w:vMerge w:val="continue"/>
            <w:tcBorders>
              <w:left w:val="single" w:color="000000" w:sz="2" w:space="0"/>
            </w:tcBorders>
            <w:vAlign w:val="center"/>
          </w:tcPr>
          <w:p w14:paraId="5010820C">
            <w:pPr>
              <w:pStyle w:val="8"/>
              <w:suppressLineNumbers w:val="0"/>
              <w:bidi w:val="0"/>
              <w:spacing w:before="0" w:beforeAutospacing="0" w:after="0" w:afterAutospacing="0"/>
              <w:ind w:left="0" w:right="0"/>
              <w:rPr>
                <w:rFonts w:hint="eastAsia"/>
                <w:highlight w:val="none"/>
                <w:lang w:val="en-US" w:eastAsia="zh-CN"/>
              </w:rPr>
            </w:pPr>
          </w:p>
        </w:tc>
      </w:tr>
      <w:tr w14:paraId="75DD0A8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8" w:hRule="atLeast"/>
          <w:jc w:val="center"/>
        </w:trPr>
        <w:tc>
          <w:tcPr>
            <w:tcW w:w="1775" w:type="dxa"/>
            <w:vAlign w:val="center"/>
          </w:tcPr>
          <w:p w14:paraId="0FAF4AA2">
            <w:pPr>
              <w:pStyle w:val="8"/>
              <w:suppressLineNumbers w:val="0"/>
              <w:bidi w:val="0"/>
              <w:spacing w:before="0" w:beforeAutospacing="0" w:after="0" w:afterAutospacing="0"/>
              <w:ind w:left="0" w:right="0"/>
              <w:rPr>
                <w:rFonts w:hint="eastAsia" w:eastAsia="宋体"/>
                <w:highlight w:val="none"/>
                <w:lang w:val="en-US" w:eastAsia="zh-CN"/>
              </w:rPr>
            </w:pPr>
            <w:r>
              <w:rPr>
                <w:rFonts w:hint="eastAsia"/>
                <w:highlight w:val="none"/>
                <w:lang w:val="en-US" w:eastAsia="en-US"/>
              </w:rPr>
              <w:t>△</w:t>
            </w:r>
            <w:r>
              <w:rPr>
                <w:rFonts w:hint="eastAsia"/>
                <w:highlight w:val="none"/>
                <w:lang w:val="en-US" w:eastAsia="zh-CN"/>
              </w:rPr>
              <w:t>7</w:t>
            </w:r>
            <w:r>
              <w:rPr>
                <w:rFonts w:hint="default" w:ascii="Times New Roman" w:hAnsi="Times New Roman" w:cs="Times New Roman"/>
                <w:highlight w:val="none"/>
              </w:rPr>
              <w:t>北侧敏感</w:t>
            </w:r>
            <w:r>
              <w:rPr>
                <w:rFonts w:hint="eastAsia" w:ascii="Times New Roman" w:hAnsi="Times New Roman" w:cs="Times New Roman"/>
                <w:highlight w:val="none"/>
                <w:lang w:val="en-US" w:eastAsia="zh-CN"/>
              </w:rPr>
              <w:t>点</w:t>
            </w:r>
          </w:p>
        </w:tc>
        <w:tc>
          <w:tcPr>
            <w:tcW w:w="3640" w:type="dxa"/>
            <w:tcBorders>
              <w:right w:val="single" w:color="000000" w:sz="2" w:space="0"/>
            </w:tcBorders>
            <w:vAlign w:val="center"/>
          </w:tcPr>
          <w:p w14:paraId="03B7009F">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噪声</w:t>
            </w:r>
          </w:p>
        </w:tc>
        <w:tc>
          <w:tcPr>
            <w:tcW w:w="2557" w:type="dxa"/>
            <w:vMerge w:val="continue"/>
            <w:tcBorders>
              <w:left w:val="single" w:color="000000" w:sz="2" w:space="0"/>
            </w:tcBorders>
            <w:vAlign w:val="center"/>
          </w:tcPr>
          <w:p w14:paraId="605DC49A">
            <w:pPr>
              <w:pStyle w:val="8"/>
              <w:suppressLineNumbers w:val="0"/>
              <w:bidi w:val="0"/>
              <w:spacing w:before="0" w:beforeAutospacing="0" w:after="0" w:afterAutospacing="0"/>
              <w:ind w:left="0" w:right="0"/>
              <w:rPr>
                <w:rFonts w:hint="eastAsia"/>
                <w:highlight w:val="none"/>
                <w:lang w:val="en-US" w:eastAsia="zh-CN"/>
              </w:rPr>
            </w:pPr>
          </w:p>
        </w:tc>
      </w:tr>
    </w:tbl>
    <w:p w14:paraId="34DBF2CF">
      <w:pPr>
        <w:keepNext w:val="0"/>
        <w:keepLines w:val="0"/>
        <w:pageBreakBefore w:val="0"/>
        <w:widowControl w:val="0"/>
        <w:kinsoku/>
        <w:wordWrap w:val="0"/>
        <w:overflowPunct/>
        <w:topLinePunct w:val="0"/>
        <w:autoSpaceDE/>
        <w:autoSpaceDN/>
        <w:bidi w:val="0"/>
        <w:adjustRightInd w:val="0"/>
        <w:snapToGrid w:val="0"/>
        <w:spacing w:line="240" w:lineRule="auto"/>
        <w:ind w:firstLine="0" w:firstLineChars="0"/>
        <w:jc w:val="center"/>
        <w:textAlignment w:val="auto"/>
        <w:rPr>
          <w:rFonts w:eastAsiaTheme="minorEastAsia"/>
          <w:sz w:val="24"/>
          <w:highlight w:val="none"/>
          <w:lang w:val="zh-CN"/>
        </w:rPr>
      </w:pPr>
      <w:r>
        <w:rPr>
          <w:highlight w:val="none"/>
        </w:rPr>
        <w:drawing>
          <wp:inline distT="0" distB="0" distL="114300" distR="114300">
            <wp:extent cx="5269865" cy="2910205"/>
            <wp:effectExtent l="0" t="0" r="6985" b="4445"/>
            <wp:docPr id="2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pic:cNvPicPr>
                      <a:picLocks noChangeAspect="1"/>
                    </pic:cNvPicPr>
                  </pic:nvPicPr>
                  <pic:blipFill>
                    <a:blip r:embed="rId72"/>
                    <a:stretch>
                      <a:fillRect/>
                    </a:stretch>
                  </pic:blipFill>
                  <pic:spPr>
                    <a:xfrm>
                      <a:off x="0" y="0"/>
                      <a:ext cx="5269865" cy="2910205"/>
                    </a:xfrm>
                    <a:prstGeom prst="rect">
                      <a:avLst/>
                    </a:prstGeom>
                    <a:noFill/>
                    <a:ln>
                      <a:noFill/>
                    </a:ln>
                  </pic:spPr>
                </pic:pic>
              </a:graphicData>
            </a:graphic>
          </wp:inline>
        </w:drawing>
      </w:r>
    </w:p>
    <w:p w14:paraId="6370D9D6">
      <w:pPr>
        <w:pStyle w:val="7"/>
        <w:bidi w:val="0"/>
        <w:rPr>
          <w:highlight w:val="none"/>
        </w:rPr>
      </w:pPr>
      <w:r>
        <w:rPr>
          <w:highlight w:val="none"/>
        </w:rPr>
        <w:t>图4-2-</w:t>
      </w:r>
      <w:r>
        <w:rPr>
          <w:rFonts w:hint="eastAsia"/>
          <w:highlight w:val="none"/>
          <w:lang w:val="en-US" w:eastAsia="zh-CN"/>
        </w:rPr>
        <w:t>3</w:t>
      </w:r>
      <w:r>
        <w:rPr>
          <w:highlight w:val="none"/>
        </w:rPr>
        <w:t>声环境监测点位</w:t>
      </w:r>
    </w:p>
    <w:p w14:paraId="051A87AB">
      <w:pPr>
        <w:bidi w:val="0"/>
        <w:rPr>
          <w:highlight w:val="none"/>
          <w:lang w:val="zh-CN"/>
        </w:rPr>
      </w:pPr>
      <w:r>
        <w:rPr>
          <w:highlight w:val="none"/>
          <w:lang w:val="zh-CN"/>
        </w:rPr>
        <w:t>（3）监测时间</w:t>
      </w:r>
    </w:p>
    <w:p w14:paraId="6108D28F">
      <w:pPr>
        <w:bidi w:val="0"/>
        <w:rPr>
          <w:highlight w:val="none"/>
          <w:lang w:val="zh-CN"/>
        </w:rPr>
      </w:pPr>
      <w:r>
        <w:rPr>
          <w:highlight w:val="none"/>
          <w:lang w:val="zh-CN"/>
        </w:rPr>
        <w:t>202</w:t>
      </w:r>
      <w:r>
        <w:rPr>
          <w:rFonts w:hint="eastAsia"/>
          <w:highlight w:val="none"/>
          <w:lang w:val="en-US" w:eastAsia="zh-CN"/>
        </w:rPr>
        <w:t>4</w:t>
      </w:r>
      <w:r>
        <w:rPr>
          <w:highlight w:val="none"/>
          <w:lang w:val="zh-CN"/>
        </w:rPr>
        <w:t>年0</w:t>
      </w:r>
      <w:r>
        <w:rPr>
          <w:rFonts w:hint="eastAsia"/>
          <w:highlight w:val="none"/>
          <w:lang w:val="en-US" w:eastAsia="zh-CN"/>
        </w:rPr>
        <w:t>8</w:t>
      </w:r>
      <w:r>
        <w:rPr>
          <w:highlight w:val="none"/>
          <w:lang w:val="zh-CN"/>
        </w:rPr>
        <w:t>月</w:t>
      </w:r>
      <w:r>
        <w:rPr>
          <w:rFonts w:hint="eastAsia"/>
          <w:highlight w:val="none"/>
          <w:lang w:val="en-US" w:eastAsia="zh-CN"/>
        </w:rPr>
        <w:t>26</w:t>
      </w:r>
      <w:r>
        <w:rPr>
          <w:highlight w:val="none"/>
          <w:lang w:val="zh-CN"/>
        </w:rPr>
        <w:t>日~</w:t>
      </w:r>
      <w:r>
        <w:rPr>
          <w:rFonts w:hint="eastAsia"/>
          <w:highlight w:val="none"/>
          <w:lang w:val="en-US" w:eastAsia="zh-CN"/>
        </w:rPr>
        <w:t>27</w:t>
      </w:r>
      <w:r>
        <w:rPr>
          <w:highlight w:val="none"/>
          <w:lang w:val="zh-CN"/>
        </w:rPr>
        <w:t>日，连续两天</w:t>
      </w:r>
      <w:r>
        <w:rPr>
          <w:rFonts w:hint="eastAsia"/>
          <w:highlight w:val="none"/>
          <w:lang w:val="zh-CN"/>
        </w:rPr>
        <w:t>；</w:t>
      </w:r>
      <w:r>
        <w:rPr>
          <w:highlight w:val="none"/>
          <w:lang w:val="zh-CN"/>
        </w:rPr>
        <w:t>202</w:t>
      </w:r>
      <w:r>
        <w:rPr>
          <w:rFonts w:hint="eastAsia"/>
          <w:highlight w:val="none"/>
          <w:lang w:val="en-US" w:eastAsia="zh-CN"/>
        </w:rPr>
        <w:t>4</w:t>
      </w:r>
      <w:r>
        <w:rPr>
          <w:highlight w:val="none"/>
          <w:lang w:val="zh-CN"/>
        </w:rPr>
        <w:t>年</w:t>
      </w:r>
      <w:r>
        <w:rPr>
          <w:rFonts w:hint="eastAsia"/>
          <w:highlight w:val="none"/>
          <w:lang w:val="en-US" w:eastAsia="zh-CN"/>
        </w:rPr>
        <w:t>10</w:t>
      </w:r>
      <w:r>
        <w:rPr>
          <w:highlight w:val="none"/>
          <w:lang w:val="zh-CN"/>
        </w:rPr>
        <w:t>月</w:t>
      </w:r>
      <w:r>
        <w:rPr>
          <w:rFonts w:hint="eastAsia"/>
          <w:highlight w:val="none"/>
          <w:lang w:val="en-US" w:eastAsia="zh-CN"/>
        </w:rPr>
        <w:t>28</w:t>
      </w:r>
      <w:r>
        <w:rPr>
          <w:highlight w:val="none"/>
          <w:lang w:val="zh-CN"/>
        </w:rPr>
        <w:t>日~</w:t>
      </w:r>
      <w:r>
        <w:rPr>
          <w:rFonts w:hint="eastAsia"/>
          <w:highlight w:val="none"/>
          <w:lang w:val="en-US" w:eastAsia="zh-CN"/>
        </w:rPr>
        <w:t>29</w:t>
      </w:r>
      <w:r>
        <w:rPr>
          <w:highlight w:val="none"/>
          <w:lang w:val="zh-CN"/>
        </w:rPr>
        <w:t>日</w:t>
      </w:r>
      <w:r>
        <w:rPr>
          <w:rFonts w:hint="eastAsia"/>
          <w:highlight w:val="none"/>
          <w:lang w:val="zh-CN"/>
        </w:rPr>
        <w:t>，</w:t>
      </w:r>
      <w:r>
        <w:rPr>
          <w:rFonts w:hint="eastAsia"/>
          <w:highlight w:val="none"/>
          <w:lang w:val="en-US" w:eastAsia="zh-CN"/>
        </w:rPr>
        <w:t>连续两天</w:t>
      </w:r>
      <w:r>
        <w:rPr>
          <w:highlight w:val="none"/>
          <w:lang w:val="zh-CN"/>
        </w:rPr>
        <w:t>。</w:t>
      </w:r>
    </w:p>
    <w:p w14:paraId="68F354B9">
      <w:pPr>
        <w:bidi w:val="0"/>
        <w:rPr>
          <w:highlight w:val="none"/>
          <w:lang w:val="zh-CN"/>
        </w:rPr>
      </w:pPr>
      <w:r>
        <w:rPr>
          <w:highlight w:val="none"/>
          <w:lang w:val="zh-CN"/>
        </w:rPr>
        <w:t>（4）监测结果</w:t>
      </w:r>
    </w:p>
    <w:p w14:paraId="1B46608D">
      <w:pPr>
        <w:bidi w:val="0"/>
        <w:rPr>
          <w:rFonts w:eastAsiaTheme="minorEastAsia"/>
          <w:highlight w:val="none"/>
          <w:lang w:val="zh-CN"/>
        </w:rPr>
      </w:pPr>
      <w:r>
        <w:rPr>
          <w:highlight w:val="none"/>
          <w:lang w:val="zh-CN"/>
        </w:rPr>
        <w:t>监测结果见</w:t>
      </w:r>
      <w:r>
        <w:rPr>
          <w:rFonts w:hint="eastAsia"/>
          <w:highlight w:val="none"/>
          <w:lang w:val="en-US" w:eastAsia="zh-CN"/>
        </w:rPr>
        <w:t>下表</w:t>
      </w:r>
      <w:r>
        <w:rPr>
          <w:rFonts w:hAnsiTheme="minorEastAsia" w:eastAsiaTheme="minorEastAsia"/>
          <w:highlight w:val="none"/>
          <w:lang w:val="zh-CN"/>
        </w:rPr>
        <w:t>。</w:t>
      </w:r>
    </w:p>
    <w:tbl>
      <w:tblPr>
        <w:tblStyle w:val="4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20"/>
        <w:gridCol w:w="1444"/>
        <w:gridCol w:w="954"/>
        <w:gridCol w:w="1062"/>
        <w:gridCol w:w="1040"/>
        <w:gridCol w:w="1038"/>
        <w:gridCol w:w="1033"/>
        <w:gridCol w:w="1031"/>
      </w:tblGrid>
      <w:tr w14:paraId="67054F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39" w:type="pct"/>
            <w:vMerge w:val="restart"/>
            <w:noWrap w:val="0"/>
            <w:vAlign w:val="center"/>
          </w:tcPr>
          <w:p w14:paraId="00452C12">
            <w:pPr>
              <w:keepNext w:val="0"/>
              <w:keepLines w:val="0"/>
              <w:suppressLineNumbers w:val="0"/>
              <w:wordWrap/>
              <w:adjustRightInd/>
              <w:snapToGrid/>
              <w:spacing w:before="0" w:beforeAutospacing="0" w:after="0" w:afterAutospacing="0" w:line="240" w:lineRule="auto"/>
              <w:ind w:left="0" w:right="0" w:firstLine="0" w:firstLineChars="0"/>
              <w:jc w:val="center"/>
              <w:rPr>
                <w:rFonts w:hint="eastAsia" w:ascii="Times New Roman" w:hAnsi="宋体" w:eastAsia="宋体" w:cs="Times New Roman"/>
                <w:b/>
                <w:sz w:val="21"/>
                <w:szCs w:val="21"/>
                <w:highlight w:val="none"/>
              </w:rPr>
            </w:pPr>
            <w:r>
              <w:rPr>
                <w:rFonts w:hint="default" w:ascii="Times New Roman" w:hAnsi="宋体" w:eastAsia="宋体" w:cs="Times New Roman"/>
                <w:b/>
                <w:sz w:val="21"/>
                <w:szCs w:val="21"/>
                <w:highlight w:val="none"/>
              </w:rPr>
              <w:t>检测</w:t>
            </w:r>
          </w:p>
          <w:p w14:paraId="0071F65E">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宋体" w:eastAsia="宋体" w:cs="Times New Roman"/>
                <w:b/>
                <w:sz w:val="21"/>
                <w:szCs w:val="21"/>
                <w:highlight w:val="none"/>
              </w:rPr>
              <w:t>日期</w:t>
            </w:r>
          </w:p>
        </w:tc>
        <w:tc>
          <w:tcPr>
            <w:tcW w:w="847" w:type="pct"/>
            <w:vMerge w:val="restart"/>
            <w:noWrap w:val="0"/>
            <w:vAlign w:val="center"/>
          </w:tcPr>
          <w:p w14:paraId="68B82882">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宋体" w:eastAsia="宋体" w:cs="Times New Roman"/>
                <w:b/>
                <w:sz w:val="21"/>
                <w:szCs w:val="21"/>
                <w:highlight w:val="none"/>
              </w:rPr>
              <w:t>检测地点</w:t>
            </w:r>
          </w:p>
        </w:tc>
        <w:tc>
          <w:tcPr>
            <w:tcW w:w="1793" w:type="pct"/>
            <w:gridSpan w:val="3"/>
            <w:noWrap w:val="0"/>
            <w:vAlign w:val="center"/>
          </w:tcPr>
          <w:p w14:paraId="3F4B3585">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kern w:val="0"/>
                <w:sz w:val="21"/>
                <w:szCs w:val="21"/>
                <w:highlight w:val="none"/>
              </w:rPr>
            </w:pPr>
            <w:r>
              <w:rPr>
                <w:rFonts w:hint="default" w:ascii="Times New Roman" w:hAnsi="宋体" w:eastAsia="宋体" w:cs="Times New Roman"/>
                <w:b/>
                <w:sz w:val="21"/>
                <w:szCs w:val="21"/>
                <w:highlight w:val="none"/>
              </w:rPr>
              <w:t>昼</w:t>
            </w:r>
            <w:r>
              <w:rPr>
                <w:rFonts w:hint="default" w:ascii="Times New Roman" w:hAnsi="Times New Roman" w:eastAsia="宋体" w:cs="Times New Roman"/>
                <w:b/>
                <w:sz w:val="21"/>
                <w:szCs w:val="21"/>
                <w:highlight w:val="none"/>
              </w:rPr>
              <w:t>L</w:t>
            </w:r>
            <w:r>
              <w:rPr>
                <w:rFonts w:hint="default" w:ascii="Times New Roman" w:hAnsi="Times New Roman" w:eastAsia="宋体" w:cs="Times New Roman"/>
                <w:b/>
                <w:sz w:val="21"/>
                <w:szCs w:val="21"/>
                <w:highlight w:val="none"/>
                <w:vertAlign w:val="subscript"/>
              </w:rPr>
              <w:t>eq</w:t>
            </w:r>
          </w:p>
        </w:tc>
        <w:tc>
          <w:tcPr>
            <w:tcW w:w="1819" w:type="pct"/>
            <w:gridSpan w:val="3"/>
            <w:noWrap w:val="0"/>
            <w:vAlign w:val="center"/>
          </w:tcPr>
          <w:p w14:paraId="1E3E6A4D">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kern w:val="0"/>
                <w:sz w:val="21"/>
                <w:szCs w:val="21"/>
                <w:highlight w:val="none"/>
              </w:rPr>
            </w:pPr>
            <w:r>
              <w:rPr>
                <w:rFonts w:hint="default" w:ascii="Times New Roman" w:hAnsi="宋体" w:eastAsia="宋体" w:cs="Times New Roman"/>
                <w:b/>
                <w:sz w:val="21"/>
                <w:szCs w:val="21"/>
                <w:highlight w:val="none"/>
              </w:rPr>
              <w:t>夜</w:t>
            </w:r>
            <w:r>
              <w:rPr>
                <w:rFonts w:hint="default" w:ascii="Times New Roman" w:hAnsi="Times New Roman" w:eastAsia="宋体" w:cs="Times New Roman"/>
                <w:b/>
                <w:sz w:val="21"/>
                <w:szCs w:val="21"/>
                <w:highlight w:val="none"/>
              </w:rPr>
              <w:t>L</w:t>
            </w:r>
            <w:r>
              <w:rPr>
                <w:rFonts w:hint="default" w:ascii="Times New Roman" w:hAnsi="Times New Roman" w:eastAsia="宋体" w:cs="Times New Roman"/>
                <w:b/>
                <w:sz w:val="21"/>
                <w:szCs w:val="21"/>
                <w:highlight w:val="none"/>
                <w:vertAlign w:val="subscript"/>
              </w:rPr>
              <w:t>eq</w:t>
            </w:r>
          </w:p>
        </w:tc>
      </w:tr>
      <w:tr w14:paraId="72FFA7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39" w:type="pct"/>
            <w:vMerge w:val="continue"/>
            <w:noWrap w:val="0"/>
            <w:vAlign w:val="center"/>
          </w:tcPr>
          <w:p w14:paraId="22E3FB1F">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p>
        </w:tc>
        <w:tc>
          <w:tcPr>
            <w:tcW w:w="847" w:type="pct"/>
            <w:vMerge w:val="continue"/>
            <w:noWrap w:val="0"/>
            <w:vAlign w:val="center"/>
          </w:tcPr>
          <w:p w14:paraId="6FE1B09A">
            <w:pPr>
              <w:keepNext w:val="0"/>
              <w:keepLines w:val="0"/>
              <w:suppressLineNumbers w:val="0"/>
              <w:wordWrap/>
              <w:adjustRightInd/>
              <w:snapToGrid/>
              <w:spacing w:before="0" w:beforeAutospacing="0" w:after="0" w:afterAutospacing="0" w:line="240" w:lineRule="auto"/>
              <w:ind w:left="0" w:right="0" w:firstLine="628" w:firstLineChars="298"/>
              <w:jc w:val="center"/>
              <w:rPr>
                <w:rFonts w:hint="default" w:ascii="Times New Roman" w:hAnsi="Times New Roman" w:eastAsia="宋体" w:cs="Times New Roman"/>
                <w:b/>
                <w:sz w:val="21"/>
                <w:szCs w:val="21"/>
                <w:highlight w:val="none"/>
              </w:rPr>
            </w:pPr>
          </w:p>
        </w:tc>
        <w:tc>
          <w:tcPr>
            <w:tcW w:w="559" w:type="pct"/>
            <w:noWrap w:val="0"/>
            <w:vAlign w:val="center"/>
          </w:tcPr>
          <w:p w14:paraId="29E4BBE5">
            <w:pPr>
              <w:keepNext w:val="0"/>
              <w:keepLines w:val="0"/>
              <w:widowControl/>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宋体" w:eastAsia="宋体" w:cs="Times New Roman"/>
                <w:b/>
                <w:sz w:val="21"/>
                <w:szCs w:val="21"/>
                <w:highlight w:val="none"/>
              </w:rPr>
              <w:t>时间</w:t>
            </w:r>
          </w:p>
        </w:tc>
        <w:tc>
          <w:tcPr>
            <w:tcW w:w="623" w:type="pct"/>
            <w:noWrap w:val="0"/>
            <w:vAlign w:val="center"/>
          </w:tcPr>
          <w:p w14:paraId="2DED8B57">
            <w:pPr>
              <w:keepNext w:val="0"/>
              <w:keepLines w:val="0"/>
              <w:widowControl/>
              <w:suppressLineNumbers w:val="0"/>
              <w:wordWrap/>
              <w:adjustRightInd/>
              <w:snapToGrid/>
              <w:spacing w:before="0" w:beforeAutospacing="0" w:after="0" w:afterAutospacing="0" w:line="240" w:lineRule="auto"/>
              <w:ind w:left="0" w:right="0" w:firstLine="0" w:firstLineChars="0"/>
              <w:jc w:val="center"/>
              <w:rPr>
                <w:rFonts w:hint="default" w:ascii="Times New Roman" w:hAnsi="宋体" w:eastAsia="宋体" w:cs="Times New Roman"/>
                <w:b/>
                <w:sz w:val="21"/>
                <w:szCs w:val="21"/>
                <w:highlight w:val="none"/>
              </w:rPr>
            </w:pPr>
            <w:r>
              <w:rPr>
                <w:rFonts w:hint="default" w:ascii="Times New Roman" w:hAnsi="宋体" w:eastAsia="宋体" w:cs="Times New Roman"/>
                <w:b/>
                <w:sz w:val="21"/>
                <w:szCs w:val="21"/>
                <w:highlight w:val="none"/>
              </w:rPr>
              <w:t>结果</w:t>
            </w:r>
          </w:p>
        </w:tc>
        <w:tc>
          <w:tcPr>
            <w:tcW w:w="610" w:type="pct"/>
            <w:noWrap w:val="0"/>
            <w:vAlign w:val="center"/>
          </w:tcPr>
          <w:p w14:paraId="67E301C1">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kern w:val="0"/>
                <w:sz w:val="21"/>
                <w:szCs w:val="21"/>
                <w:highlight w:val="none"/>
              </w:rPr>
            </w:pPr>
            <w:r>
              <w:rPr>
                <w:rFonts w:hint="eastAsia" w:ascii="Times New Roman" w:hAnsi="Times New Roman" w:eastAsia="宋体" w:cs="Times New Roman"/>
                <w:b/>
                <w:kern w:val="0"/>
                <w:sz w:val="21"/>
                <w:szCs w:val="21"/>
                <w:highlight w:val="none"/>
              </w:rPr>
              <w:t>标准限值</w:t>
            </w:r>
          </w:p>
        </w:tc>
        <w:tc>
          <w:tcPr>
            <w:tcW w:w="609" w:type="pct"/>
            <w:noWrap w:val="0"/>
            <w:vAlign w:val="center"/>
          </w:tcPr>
          <w:p w14:paraId="7473AAD1">
            <w:pPr>
              <w:keepNext w:val="0"/>
              <w:keepLines w:val="0"/>
              <w:widowControl/>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宋体" w:eastAsia="宋体" w:cs="Times New Roman"/>
                <w:b/>
                <w:sz w:val="21"/>
                <w:szCs w:val="21"/>
                <w:highlight w:val="none"/>
              </w:rPr>
              <w:t>时间</w:t>
            </w:r>
          </w:p>
        </w:tc>
        <w:tc>
          <w:tcPr>
            <w:tcW w:w="606" w:type="pct"/>
            <w:noWrap w:val="0"/>
            <w:vAlign w:val="center"/>
          </w:tcPr>
          <w:p w14:paraId="18219D18">
            <w:pPr>
              <w:keepNext w:val="0"/>
              <w:keepLines w:val="0"/>
              <w:widowControl/>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宋体" w:eastAsia="宋体" w:cs="Times New Roman"/>
                <w:b/>
                <w:sz w:val="21"/>
                <w:szCs w:val="21"/>
                <w:highlight w:val="none"/>
              </w:rPr>
              <w:t>结果</w:t>
            </w:r>
          </w:p>
        </w:tc>
        <w:tc>
          <w:tcPr>
            <w:tcW w:w="604" w:type="pct"/>
            <w:noWrap w:val="0"/>
            <w:vAlign w:val="center"/>
          </w:tcPr>
          <w:p w14:paraId="0938BCA0">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kern w:val="0"/>
                <w:sz w:val="21"/>
                <w:szCs w:val="21"/>
                <w:highlight w:val="none"/>
              </w:rPr>
            </w:pPr>
            <w:r>
              <w:rPr>
                <w:rFonts w:hint="eastAsia" w:ascii="Times New Roman" w:hAnsi="Times New Roman" w:eastAsia="宋体" w:cs="Times New Roman"/>
                <w:b/>
                <w:kern w:val="0"/>
                <w:sz w:val="21"/>
                <w:szCs w:val="21"/>
                <w:highlight w:val="none"/>
              </w:rPr>
              <w:t>标准限值</w:t>
            </w:r>
          </w:p>
        </w:tc>
      </w:tr>
      <w:tr w14:paraId="476027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539" w:type="pct"/>
            <w:vMerge w:val="restart"/>
            <w:noWrap w:val="0"/>
            <w:vAlign w:val="center"/>
          </w:tcPr>
          <w:p w14:paraId="66FB101A">
            <w:pPr>
              <w:keepNext w:val="0"/>
              <w:keepLines w:val="0"/>
              <w:suppressLineNumbers w:val="0"/>
              <w:wordWrap/>
              <w:adjustRightInd/>
              <w:snapToGrid/>
              <w:spacing w:before="0" w:beforeAutospacing="0" w:after="0" w:afterAutospacing="0" w:line="240" w:lineRule="exact"/>
              <w:ind w:left="0" w:right="0" w:firstLine="0" w:firstLineChars="0"/>
              <w:jc w:val="center"/>
              <w:rPr>
                <w:rFonts w:hint="eastAsia" w:ascii="Times New Roman" w:hAnsi="Times New Roman" w:eastAsia="宋体" w:cs="Times New Roman"/>
                <w:color w:val="000000"/>
                <w:sz w:val="21"/>
                <w:szCs w:val="21"/>
                <w:highlight w:val="none"/>
              </w:rPr>
            </w:pPr>
            <w:r>
              <w:rPr>
                <w:rFonts w:hint="eastAsia" w:ascii="Times New Roman" w:hAnsi="Times New Roman" w:eastAsia="宋体" w:cs="Times New Roman"/>
                <w:color w:val="000000"/>
                <w:sz w:val="21"/>
                <w:szCs w:val="21"/>
                <w:highlight w:val="none"/>
              </w:rPr>
              <w:t>2025</w:t>
            </w:r>
          </w:p>
          <w:p w14:paraId="48547C97">
            <w:pPr>
              <w:keepNext w:val="0"/>
              <w:keepLines w:val="0"/>
              <w:suppressLineNumbers w:val="0"/>
              <w:wordWrap/>
              <w:adjustRightInd/>
              <w:snapToGrid/>
              <w:spacing w:before="0" w:beforeAutospacing="0" w:after="0" w:afterAutospacing="0" w:line="240" w:lineRule="exact"/>
              <w:ind w:left="0" w:right="0" w:firstLine="0" w:firstLineChars="0"/>
              <w:jc w:val="center"/>
              <w:rPr>
                <w:rFonts w:hint="default" w:ascii="Times New Roman" w:hAnsi="Times New Roman" w:eastAsia="宋体" w:cs="Times New Roman"/>
                <w:color w:val="000000"/>
                <w:sz w:val="21"/>
                <w:szCs w:val="21"/>
                <w:highlight w:val="none"/>
              </w:rPr>
            </w:pPr>
            <w:r>
              <w:rPr>
                <w:rFonts w:hint="eastAsia" w:ascii="Times New Roman" w:hAnsi="Times New Roman" w:eastAsia="宋体" w:cs="Times New Roman"/>
                <w:color w:val="000000"/>
                <w:sz w:val="21"/>
                <w:szCs w:val="21"/>
                <w:highlight w:val="none"/>
              </w:rPr>
              <w:t>09.19</w:t>
            </w:r>
          </w:p>
        </w:tc>
        <w:tc>
          <w:tcPr>
            <w:tcW w:w="847" w:type="pct"/>
            <w:noWrap w:val="0"/>
            <w:vAlign w:val="center"/>
          </w:tcPr>
          <w:p w14:paraId="4A11BAA7">
            <w:pPr>
              <w:keepNext w:val="0"/>
              <w:keepLines w:val="0"/>
              <w:suppressLineNumbers w:val="0"/>
              <w:wordWrap/>
              <w:adjustRightInd/>
              <w:snapToGrid/>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sz w:val="21"/>
                <w:szCs w:val="21"/>
                <w:highlight w:val="none"/>
              </w:rPr>
            </w:pPr>
            <w:r>
              <w:rPr>
                <w:rFonts w:hint="default" w:ascii="宋体" w:hAnsi="宋体" w:eastAsia="宋体" w:cs="Times New Roman"/>
                <w:color w:val="000000"/>
                <w:sz w:val="21"/>
                <w:szCs w:val="21"/>
                <w:highlight w:val="none"/>
              </w:rPr>
              <w:t>▲</w:t>
            </w:r>
            <w:r>
              <w:rPr>
                <w:rFonts w:hint="default" w:ascii="Times New Roman" w:hAnsi="Times New Roman" w:eastAsia="宋体" w:cs="Times New Roman"/>
                <w:color w:val="000000"/>
                <w:sz w:val="21"/>
                <w:szCs w:val="21"/>
                <w:highlight w:val="none"/>
              </w:rPr>
              <w:t>1</w:t>
            </w:r>
            <w:r>
              <w:rPr>
                <w:rFonts w:hint="default" w:ascii="Times New Roman" w:hAnsi="宋体" w:eastAsia="宋体" w:cs="Times New Roman"/>
                <w:color w:val="000000"/>
                <w:sz w:val="21"/>
                <w:szCs w:val="21"/>
                <w:highlight w:val="none"/>
              </w:rPr>
              <w:t>厂界</w:t>
            </w:r>
            <w:r>
              <w:rPr>
                <w:rFonts w:hint="eastAsia" w:ascii="Times New Roman" w:hAnsi="宋体" w:eastAsia="宋体" w:cs="Times New Roman"/>
                <w:color w:val="000000"/>
                <w:sz w:val="21"/>
                <w:szCs w:val="21"/>
                <w:highlight w:val="none"/>
              </w:rPr>
              <w:t>东</w:t>
            </w:r>
            <w:r>
              <w:rPr>
                <w:rFonts w:hint="default" w:ascii="Times New Roman" w:hAnsi="宋体" w:eastAsia="宋体" w:cs="Times New Roman"/>
                <w:color w:val="000000"/>
                <w:sz w:val="21"/>
                <w:szCs w:val="21"/>
                <w:highlight w:val="none"/>
              </w:rPr>
              <w:t>侧</w:t>
            </w:r>
          </w:p>
        </w:tc>
        <w:tc>
          <w:tcPr>
            <w:tcW w:w="559" w:type="pct"/>
            <w:noWrap w:val="0"/>
            <w:vAlign w:val="center"/>
          </w:tcPr>
          <w:p w14:paraId="785EB93A">
            <w:pPr>
              <w:keepNext w:val="0"/>
              <w:keepLines w:val="0"/>
              <w:widowControl w:val="0"/>
              <w:suppressLineNumbers w:val="0"/>
              <w:spacing w:before="0" w:beforeAutospacing="0" w:after="0" w:afterAutospacing="0" w:line="240" w:lineRule="exact"/>
              <w:ind w:left="0" w:right="0"/>
              <w:jc w:val="center"/>
              <w:rPr>
                <w:rFonts w:hint="eastAsia"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bidi="ar-SA"/>
              </w:rPr>
              <w:t>08</w:t>
            </w:r>
            <w:r>
              <w:rPr>
                <w:rFonts w:hint="default" w:ascii="Times New Roman" w:hAnsi="Times New Roman" w:eastAsia="宋体" w:cs="Times New Roman"/>
                <w:color w:val="000000"/>
                <w:kern w:val="0"/>
                <w:sz w:val="21"/>
                <w:szCs w:val="21"/>
                <w:highlight w:val="none"/>
                <w:lang w:val="en-US" w:eastAsia="zh-CN" w:bidi="ar-SA"/>
              </w:rPr>
              <w:t>:</w:t>
            </w:r>
            <w:r>
              <w:rPr>
                <w:rFonts w:hint="eastAsia" w:ascii="Times New Roman" w:hAnsi="Times New Roman" w:eastAsia="宋体" w:cs="Times New Roman"/>
                <w:color w:val="000000"/>
                <w:kern w:val="0"/>
                <w:sz w:val="21"/>
                <w:szCs w:val="21"/>
                <w:highlight w:val="none"/>
                <w:lang w:val="en-US" w:eastAsia="zh-CN" w:bidi="ar-SA"/>
              </w:rPr>
              <w:t>00</w:t>
            </w:r>
          </w:p>
        </w:tc>
        <w:tc>
          <w:tcPr>
            <w:tcW w:w="623" w:type="pct"/>
            <w:noWrap w:val="0"/>
            <w:vAlign w:val="center"/>
          </w:tcPr>
          <w:p w14:paraId="6C5E63DC">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58</w:t>
            </w:r>
          </w:p>
        </w:tc>
        <w:tc>
          <w:tcPr>
            <w:tcW w:w="610" w:type="pct"/>
            <w:noWrap w:val="0"/>
            <w:vAlign w:val="center"/>
          </w:tcPr>
          <w:p w14:paraId="309E51B6">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65</w:t>
            </w:r>
          </w:p>
        </w:tc>
        <w:tc>
          <w:tcPr>
            <w:tcW w:w="609" w:type="pct"/>
            <w:noWrap w:val="0"/>
            <w:vAlign w:val="center"/>
          </w:tcPr>
          <w:p w14:paraId="4171646F">
            <w:pPr>
              <w:keepNext w:val="0"/>
              <w:keepLines w:val="0"/>
              <w:widowControl w:val="0"/>
              <w:suppressLineNumbers w:val="0"/>
              <w:spacing w:before="0" w:beforeAutospacing="0" w:after="0" w:afterAutospacing="0" w:line="240" w:lineRule="exact"/>
              <w:ind w:left="0" w:right="0"/>
              <w:jc w:val="center"/>
              <w:rPr>
                <w:rFonts w:hint="eastAsia"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bidi="ar-SA"/>
              </w:rPr>
              <w:t>22</w:t>
            </w:r>
            <w:r>
              <w:rPr>
                <w:rFonts w:hint="default" w:ascii="Times New Roman" w:hAnsi="Times New Roman" w:eastAsia="宋体" w:cs="Times New Roman"/>
                <w:color w:val="000000"/>
                <w:kern w:val="0"/>
                <w:sz w:val="21"/>
                <w:szCs w:val="21"/>
                <w:highlight w:val="none"/>
                <w:lang w:val="en-US" w:eastAsia="zh-CN" w:bidi="ar-SA"/>
              </w:rPr>
              <w:t>:</w:t>
            </w:r>
            <w:r>
              <w:rPr>
                <w:rFonts w:hint="eastAsia" w:ascii="Times New Roman" w:hAnsi="Times New Roman" w:eastAsia="宋体" w:cs="Times New Roman"/>
                <w:color w:val="000000"/>
                <w:kern w:val="0"/>
                <w:sz w:val="21"/>
                <w:szCs w:val="21"/>
                <w:highlight w:val="none"/>
                <w:lang w:val="en-US" w:eastAsia="zh-CN" w:bidi="ar-SA"/>
              </w:rPr>
              <w:t>00</w:t>
            </w:r>
          </w:p>
        </w:tc>
        <w:tc>
          <w:tcPr>
            <w:tcW w:w="606" w:type="pct"/>
            <w:noWrap w:val="0"/>
            <w:vAlign w:val="center"/>
          </w:tcPr>
          <w:p w14:paraId="602E326C">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45</w:t>
            </w:r>
          </w:p>
        </w:tc>
        <w:tc>
          <w:tcPr>
            <w:tcW w:w="604" w:type="pct"/>
            <w:noWrap w:val="0"/>
            <w:vAlign w:val="center"/>
          </w:tcPr>
          <w:p w14:paraId="2A184D5D">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55</w:t>
            </w:r>
          </w:p>
        </w:tc>
      </w:tr>
      <w:tr w14:paraId="6DB04D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539" w:type="pct"/>
            <w:vMerge w:val="continue"/>
            <w:shd w:val="clear" w:color="auto" w:fill="auto"/>
            <w:noWrap w:val="0"/>
            <w:vAlign w:val="center"/>
          </w:tcPr>
          <w:p w14:paraId="30251715">
            <w:pPr>
              <w:keepNext w:val="0"/>
              <w:keepLines w:val="0"/>
              <w:suppressLineNumbers w:val="0"/>
              <w:wordWrap/>
              <w:adjustRightInd/>
              <w:snapToGrid/>
              <w:spacing w:before="0" w:beforeAutospacing="0" w:after="0" w:afterAutospacing="0" w:line="240" w:lineRule="exact"/>
              <w:ind w:left="0" w:right="0" w:firstLine="0" w:firstLineChars="0"/>
              <w:jc w:val="center"/>
              <w:rPr>
                <w:rFonts w:hint="default" w:ascii="Times New Roman" w:hAnsi="Times New Roman" w:eastAsia="宋体" w:cs="Times New Roman"/>
                <w:color w:val="000000"/>
                <w:sz w:val="21"/>
                <w:szCs w:val="21"/>
                <w:highlight w:val="none"/>
              </w:rPr>
            </w:pPr>
          </w:p>
        </w:tc>
        <w:tc>
          <w:tcPr>
            <w:tcW w:w="847" w:type="pct"/>
            <w:shd w:val="clear" w:color="auto" w:fill="auto"/>
            <w:noWrap w:val="0"/>
            <w:vAlign w:val="center"/>
          </w:tcPr>
          <w:p w14:paraId="67577517">
            <w:pPr>
              <w:keepNext w:val="0"/>
              <w:keepLines w:val="0"/>
              <w:suppressLineNumbers w:val="0"/>
              <w:wordWrap/>
              <w:adjustRightInd/>
              <w:snapToGrid/>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sz w:val="21"/>
                <w:szCs w:val="21"/>
                <w:highlight w:val="none"/>
              </w:rPr>
            </w:pPr>
            <w:r>
              <w:rPr>
                <w:rFonts w:hint="default" w:ascii="宋体" w:hAnsi="宋体" w:eastAsia="宋体" w:cs="Times New Roman"/>
                <w:color w:val="000000"/>
                <w:sz w:val="21"/>
                <w:szCs w:val="21"/>
                <w:highlight w:val="none"/>
              </w:rPr>
              <w:t>▲</w:t>
            </w:r>
            <w:r>
              <w:rPr>
                <w:rFonts w:hint="eastAsia" w:ascii="Times New Roman" w:hAnsi="Times New Roman" w:eastAsia="宋体" w:cs="Times New Roman"/>
                <w:color w:val="000000"/>
                <w:sz w:val="21"/>
                <w:szCs w:val="21"/>
                <w:highlight w:val="none"/>
              </w:rPr>
              <w:t>2</w:t>
            </w:r>
            <w:r>
              <w:rPr>
                <w:rFonts w:hint="default" w:ascii="Times New Roman" w:hAnsi="宋体" w:eastAsia="宋体" w:cs="Times New Roman"/>
                <w:color w:val="000000"/>
                <w:sz w:val="21"/>
                <w:szCs w:val="21"/>
                <w:highlight w:val="none"/>
              </w:rPr>
              <w:t>厂界</w:t>
            </w:r>
            <w:r>
              <w:rPr>
                <w:rFonts w:hint="eastAsia" w:ascii="Times New Roman" w:hAnsi="宋体" w:eastAsia="宋体" w:cs="Times New Roman"/>
                <w:color w:val="000000"/>
                <w:sz w:val="21"/>
                <w:szCs w:val="21"/>
                <w:highlight w:val="none"/>
              </w:rPr>
              <w:t>南</w:t>
            </w:r>
            <w:r>
              <w:rPr>
                <w:rFonts w:hint="default" w:ascii="Times New Roman" w:hAnsi="宋体" w:eastAsia="宋体" w:cs="Times New Roman"/>
                <w:color w:val="000000"/>
                <w:sz w:val="21"/>
                <w:szCs w:val="21"/>
                <w:highlight w:val="none"/>
              </w:rPr>
              <w:t>侧</w:t>
            </w:r>
          </w:p>
        </w:tc>
        <w:tc>
          <w:tcPr>
            <w:tcW w:w="559" w:type="pct"/>
            <w:shd w:val="clear" w:color="auto" w:fill="FFFFFF"/>
            <w:noWrap w:val="0"/>
            <w:vAlign w:val="center"/>
          </w:tcPr>
          <w:p w14:paraId="70C43DFF">
            <w:pPr>
              <w:keepNext w:val="0"/>
              <w:keepLines w:val="0"/>
              <w:widowControl w:val="0"/>
              <w:suppressLineNumbers w:val="0"/>
              <w:spacing w:before="0" w:beforeAutospacing="0" w:after="0" w:afterAutospacing="0" w:line="240" w:lineRule="exact"/>
              <w:ind w:left="0" w:right="0"/>
              <w:jc w:val="center"/>
              <w:rPr>
                <w:rFonts w:hint="eastAsia"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bidi="ar-SA"/>
              </w:rPr>
              <w:t>08</w:t>
            </w:r>
            <w:r>
              <w:rPr>
                <w:rFonts w:hint="default" w:ascii="Times New Roman" w:hAnsi="Times New Roman" w:eastAsia="宋体" w:cs="Times New Roman"/>
                <w:color w:val="000000"/>
                <w:kern w:val="0"/>
                <w:sz w:val="21"/>
                <w:szCs w:val="21"/>
                <w:highlight w:val="none"/>
                <w:lang w:val="en-US" w:eastAsia="zh-CN" w:bidi="ar-SA"/>
              </w:rPr>
              <w:t>:</w:t>
            </w:r>
            <w:r>
              <w:rPr>
                <w:rFonts w:hint="eastAsia" w:ascii="Times New Roman" w:hAnsi="Times New Roman" w:eastAsia="宋体" w:cs="Times New Roman"/>
                <w:color w:val="000000"/>
                <w:kern w:val="0"/>
                <w:sz w:val="21"/>
                <w:szCs w:val="21"/>
                <w:highlight w:val="none"/>
                <w:lang w:val="en-US" w:eastAsia="zh-CN" w:bidi="ar-SA"/>
              </w:rPr>
              <w:t>20</w:t>
            </w:r>
          </w:p>
        </w:tc>
        <w:tc>
          <w:tcPr>
            <w:tcW w:w="623" w:type="pct"/>
            <w:shd w:val="clear" w:color="auto" w:fill="FFFFFF"/>
            <w:noWrap w:val="0"/>
            <w:vAlign w:val="center"/>
          </w:tcPr>
          <w:p w14:paraId="6E1C9692">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54</w:t>
            </w:r>
          </w:p>
        </w:tc>
        <w:tc>
          <w:tcPr>
            <w:tcW w:w="610" w:type="pct"/>
            <w:noWrap w:val="0"/>
            <w:vAlign w:val="center"/>
          </w:tcPr>
          <w:p w14:paraId="6CD072EE">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65</w:t>
            </w:r>
          </w:p>
        </w:tc>
        <w:tc>
          <w:tcPr>
            <w:tcW w:w="609" w:type="pct"/>
            <w:noWrap w:val="0"/>
            <w:vAlign w:val="center"/>
          </w:tcPr>
          <w:p w14:paraId="221D8805">
            <w:pPr>
              <w:keepNext w:val="0"/>
              <w:keepLines w:val="0"/>
              <w:widowControl w:val="0"/>
              <w:suppressLineNumbers w:val="0"/>
              <w:spacing w:before="0" w:beforeAutospacing="0" w:after="0" w:afterAutospacing="0" w:line="240" w:lineRule="exact"/>
              <w:ind w:left="0" w:right="0"/>
              <w:jc w:val="center"/>
              <w:rPr>
                <w:rFonts w:hint="eastAsia"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bidi="ar-SA"/>
              </w:rPr>
              <w:t>22</w:t>
            </w:r>
            <w:r>
              <w:rPr>
                <w:rFonts w:hint="default" w:ascii="Times New Roman" w:hAnsi="Times New Roman" w:eastAsia="宋体" w:cs="Times New Roman"/>
                <w:color w:val="000000"/>
                <w:kern w:val="0"/>
                <w:sz w:val="21"/>
                <w:szCs w:val="21"/>
                <w:highlight w:val="none"/>
                <w:lang w:val="en-US" w:eastAsia="zh-CN" w:bidi="ar-SA"/>
              </w:rPr>
              <w:t>:</w:t>
            </w:r>
            <w:r>
              <w:rPr>
                <w:rFonts w:hint="eastAsia" w:ascii="Times New Roman" w:hAnsi="Times New Roman" w:eastAsia="宋体" w:cs="Times New Roman"/>
                <w:color w:val="000000"/>
                <w:kern w:val="0"/>
                <w:sz w:val="21"/>
                <w:szCs w:val="21"/>
                <w:highlight w:val="none"/>
                <w:lang w:val="en-US" w:eastAsia="zh-CN" w:bidi="ar-SA"/>
              </w:rPr>
              <w:t>20</w:t>
            </w:r>
          </w:p>
        </w:tc>
        <w:tc>
          <w:tcPr>
            <w:tcW w:w="606" w:type="pct"/>
            <w:noWrap w:val="0"/>
            <w:vAlign w:val="center"/>
          </w:tcPr>
          <w:p w14:paraId="0D2945E8">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43</w:t>
            </w:r>
          </w:p>
        </w:tc>
        <w:tc>
          <w:tcPr>
            <w:tcW w:w="604" w:type="pct"/>
            <w:noWrap w:val="0"/>
            <w:vAlign w:val="center"/>
          </w:tcPr>
          <w:p w14:paraId="15019F3E">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55</w:t>
            </w:r>
          </w:p>
        </w:tc>
      </w:tr>
      <w:tr w14:paraId="0674E5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39" w:type="pct"/>
            <w:vMerge w:val="continue"/>
            <w:shd w:val="clear" w:color="auto" w:fill="auto"/>
            <w:noWrap w:val="0"/>
            <w:vAlign w:val="center"/>
          </w:tcPr>
          <w:p w14:paraId="5C9F62D3">
            <w:pPr>
              <w:keepNext w:val="0"/>
              <w:keepLines w:val="0"/>
              <w:suppressLineNumbers w:val="0"/>
              <w:wordWrap/>
              <w:adjustRightInd/>
              <w:snapToGrid/>
              <w:spacing w:before="0" w:beforeAutospacing="0" w:after="0" w:afterAutospacing="0" w:line="240" w:lineRule="exact"/>
              <w:ind w:left="0" w:right="0" w:firstLine="0" w:firstLineChars="0"/>
              <w:jc w:val="center"/>
              <w:rPr>
                <w:rFonts w:hint="default" w:ascii="Times New Roman" w:hAnsi="Times New Roman" w:eastAsia="宋体" w:cs="Times New Roman"/>
                <w:color w:val="000000"/>
                <w:sz w:val="21"/>
                <w:szCs w:val="21"/>
                <w:highlight w:val="none"/>
              </w:rPr>
            </w:pPr>
          </w:p>
        </w:tc>
        <w:tc>
          <w:tcPr>
            <w:tcW w:w="847" w:type="pct"/>
            <w:shd w:val="clear" w:color="auto" w:fill="auto"/>
            <w:noWrap w:val="0"/>
            <w:vAlign w:val="center"/>
          </w:tcPr>
          <w:p w14:paraId="6804CB26">
            <w:pPr>
              <w:keepNext w:val="0"/>
              <w:keepLines w:val="0"/>
              <w:suppressLineNumbers w:val="0"/>
              <w:wordWrap/>
              <w:adjustRightInd/>
              <w:snapToGrid/>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sz w:val="21"/>
                <w:szCs w:val="21"/>
                <w:highlight w:val="none"/>
              </w:rPr>
            </w:pPr>
            <w:r>
              <w:rPr>
                <w:rFonts w:hint="default" w:ascii="宋体" w:hAnsi="宋体" w:eastAsia="宋体" w:cs="Times New Roman"/>
                <w:color w:val="000000"/>
                <w:sz w:val="21"/>
                <w:szCs w:val="21"/>
                <w:highlight w:val="none"/>
              </w:rPr>
              <w:t>▲</w:t>
            </w:r>
            <w:r>
              <w:rPr>
                <w:rFonts w:hint="default" w:ascii="Times New Roman" w:hAnsi="Times New Roman" w:eastAsia="宋体" w:cs="Times New Roman"/>
                <w:color w:val="000000"/>
                <w:sz w:val="21"/>
                <w:szCs w:val="21"/>
                <w:highlight w:val="none"/>
              </w:rPr>
              <w:t>3</w:t>
            </w:r>
            <w:r>
              <w:rPr>
                <w:rFonts w:hint="default" w:ascii="Times New Roman" w:hAnsi="宋体" w:eastAsia="宋体" w:cs="Times New Roman"/>
                <w:color w:val="000000"/>
                <w:sz w:val="21"/>
                <w:szCs w:val="21"/>
                <w:highlight w:val="none"/>
              </w:rPr>
              <w:t>厂界</w:t>
            </w:r>
            <w:r>
              <w:rPr>
                <w:rFonts w:hint="eastAsia" w:ascii="Times New Roman" w:hAnsi="宋体" w:eastAsia="宋体" w:cs="Times New Roman"/>
                <w:color w:val="000000"/>
                <w:sz w:val="21"/>
                <w:szCs w:val="21"/>
                <w:highlight w:val="none"/>
              </w:rPr>
              <w:t>西</w:t>
            </w:r>
            <w:r>
              <w:rPr>
                <w:rFonts w:hint="default" w:ascii="Times New Roman" w:hAnsi="宋体" w:eastAsia="宋体" w:cs="Times New Roman"/>
                <w:color w:val="000000"/>
                <w:sz w:val="21"/>
                <w:szCs w:val="21"/>
                <w:highlight w:val="none"/>
              </w:rPr>
              <w:t>侧</w:t>
            </w:r>
          </w:p>
        </w:tc>
        <w:tc>
          <w:tcPr>
            <w:tcW w:w="559" w:type="pct"/>
            <w:shd w:val="clear" w:color="auto" w:fill="FFFFFF"/>
            <w:noWrap w:val="0"/>
            <w:vAlign w:val="center"/>
          </w:tcPr>
          <w:p w14:paraId="50EC45AB">
            <w:pPr>
              <w:keepNext w:val="0"/>
              <w:keepLines w:val="0"/>
              <w:widowControl w:val="0"/>
              <w:suppressLineNumbers w:val="0"/>
              <w:spacing w:before="0" w:beforeAutospacing="0" w:after="0" w:afterAutospacing="0" w:line="240" w:lineRule="exact"/>
              <w:ind w:left="0" w:right="0"/>
              <w:jc w:val="center"/>
              <w:rPr>
                <w:rFonts w:hint="eastAsia"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bidi="ar-SA"/>
              </w:rPr>
              <w:t>08</w:t>
            </w:r>
            <w:r>
              <w:rPr>
                <w:rFonts w:hint="default" w:ascii="Times New Roman" w:hAnsi="Times New Roman" w:eastAsia="宋体" w:cs="Times New Roman"/>
                <w:color w:val="000000"/>
                <w:kern w:val="0"/>
                <w:sz w:val="21"/>
                <w:szCs w:val="21"/>
                <w:highlight w:val="none"/>
                <w:lang w:val="en-US" w:eastAsia="zh-CN" w:bidi="ar-SA"/>
              </w:rPr>
              <w:t>:</w:t>
            </w:r>
            <w:r>
              <w:rPr>
                <w:rFonts w:hint="eastAsia" w:ascii="Times New Roman" w:hAnsi="Times New Roman" w:eastAsia="宋体" w:cs="Times New Roman"/>
                <w:color w:val="000000"/>
                <w:kern w:val="0"/>
                <w:sz w:val="21"/>
                <w:szCs w:val="21"/>
                <w:highlight w:val="none"/>
                <w:lang w:val="en-US" w:eastAsia="zh-CN" w:bidi="ar-SA"/>
              </w:rPr>
              <w:t>40</w:t>
            </w:r>
          </w:p>
        </w:tc>
        <w:tc>
          <w:tcPr>
            <w:tcW w:w="623" w:type="pct"/>
            <w:shd w:val="clear" w:color="auto" w:fill="FFFFFF"/>
            <w:noWrap w:val="0"/>
            <w:vAlign w:val="center"/>
          </w:tcPr>
          <w:p w14:paraId="3F710467">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55</w:t>
            </w:r>
          </w:p>
        </w:tc>
        <w:tc>
          <w:tcPr>
            <w:tcW w:w="610" w:type="pct"/>
            <w:noWrap w:val="0"/>
            <w:vAlign w:val="center"/>
          </w:tcPr>
          <w:p w14:paraId="64EEEDE1">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65</w:t>
            </w:r>
          </w:p>
        </w:tc>
        <w:tc>
          <w:tcPr>
            <w:tcW w:w="609" w:type="pct"/>
            <w:noWrap w:val="0"/>
            <w:vAlign w:val="center"/>
          </w:tcPr>
          <w:p w14:paraId="1B8B7170">
            <w:pPr>
              <w:keepNext w:val="0"/>
              <w:keepLines w:val="0"/>
              <w:widowControl w:val="0"/>
              <w:suppressLineNumbers w:val="0"/>
              <w:spacing w:before="0" w:beforeAutospacing="0" w:after="0" w:afterAutospacing="0" w:line="240" w:lineRule="exact"/>
              <w:ind w:left="0" w:right="0"/>
              <w:jc w:val="center"/>
              <w:rPr>
                <w:rFonts w:hint="eastAsia"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bidi="ar-SA"/>
              </w:rPr>
              <w:t>22</w:t>
            </w:r>
            <w:r>
              <w:rPr>
                <w:rFonts w:hint="default" w:ascii="Times New Roman" w:hAnsi="Times New Roman" w:eastAsia="宋体" w:cs="Times New Roman"/>
                <w:color w:val="000000"/>
                <w:kern w:val="0"/>
                <w:sz w:val="21"/>
                <w:szCs w:val="21"/>
                <w:highlight w:val="none"/>
                <w:lang w:val="en-US" w:eastAsia="zh-CN" w:bidi="ar-SA"/>
              </w:rPr>
              <w:t>:</w:t>
            </w:r>
            <w:r>
              <w:rPr>
                <w:rFonts w:hint="eastAsia" w:ascii="Times New Roman" w:hAnsi="Times New Roman" w:eastAsia="宋体" w:cs="Times New Roman"/>
                <w:color w:val="000000"/>
                <w:kern w:val="0"/>
                <w:sz w:val="21"/>
                <w:szCs w:val="21"/>
                <w:highlight w:val="none"/>
                <w:lang w:val="en-US" w:eastAsia="zh-CN" w:bidi="ar-SA"/>
              </w:rPr>
              <w:t>40</w:t>
            </w:r>
          </w:p>
        </w:tc>
        <w:tc>
          <w:tcPr>
            <w:tcW w:w="606" w:type="pct"/>
            <w:noWrap w:val="0"/>
            <w:vAlign w:val="center"/>
          </w:tcPr>
          <w:p w14:paraId="7E3BDDBA">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44</w:t>
            </w:r>
          </w:p>
        </w:tc>
        <w:tc>
          <w:tcPr>
            <w:tcW w:w="604" w:type="pct"/>
            <w:noWrap w:val="0"/>
            <w:vAlign w:val="center"/>
          </w:tcPr>
          <w:p w14:paraId="64FFD465">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55</w:t>
            </w:r>
          </w:p>
        </w:tc>
      </w:tr>
      <w:tr w14:paraId="5AB3AF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539" w:type="pct"/>
            <w:vMerge w:val="continue"/>
            <w:shd w:val="clear" w:color="auto" w:fill="auto"/>
            <w:noWrap w:val="0"/>
            <w:vAlign w:val="center"/>
          </w:tcPr>
          <w:p w14:paraId="7CDA233B">
            <w:pPr>
              <w:keepNext w:val="0"/>
              <w:keepLines w:val="0"/>
              <w:suppressLineNumbers w:val="0"/>
              <w:wordWrap/>
              <w:adjustRightInd/>
              <w:snapToGrid/>
              <w:spacing w:before="0" w:beforeAutospacing="0" w:after="0" w:afterAutospacing="0" w:line="240" w:lineRule="exact"/>
              <w:ind w:left="0" w:right="0" w:firstLine="0" w:firstLineChars="0"/>
              <w:jc w:val="center"/>
              <w:rPr>
                <w:rFonts w:hint="default" w:ascii="Times New Roman" w:hAnsi="Times New Roman" w:eastAsia="宋体" w:cs="Times New Roman"/>
                <w:color w:val="000000"/>
                <w:sz w:val="21"/>
                <w:szCs w:val="21"/>
                <w:highlight w:val="none"/>
              </w:rPr>
            </w:pPr>
          </w:p>
        </w:tc>
        <w:tc>
          <w:tcPr>
            <w:tcW w:w="847" w:type="pct"/>
            <w:shd w:val="clear" w:color="auto" w:fill="auto"/>
            <w:noWrap w:val="0"/>
            <w:vAlign w:val="center"/>
          </w:tcPr>
          <w:p w14:paraId="7CEC74E2">
            <w:pPr>
              <w:keepNext w:val="0"/>
              <w:keepLines w:val="0"/>
              <w:suppressLineNumbers w:val="0"/>
              <w:wordWrap/>
              <w:adjustRightInd/>
              <w:snapToGrid/>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sz w:val="21"/>
                <w:szCs w:val="21"/>
                <w:highlight w:val="none"/>
              </w:rPr>
            </w:pPr>
            <w:r>
              <w:rPr>
                <w:rFonts w:hint="default" w:ascii="宋体" w:hAnsi="宋体" w:eastAsia="宋体" w:cs="Times New Roman"/>
                <w:color w:val="000000"/>
                <w:sz w:val="21"/>
                <w:szCs w:val="21"/>
                <w:highlight w:val="none"/>
              </w:rPr>
              <w:t>▲</w:t>
            </w:r>
            <w:r>
              <w:rPr>
                <w:rFonts w:hint="default" w:ascii="Times New Roman" w:hAnsi="Times New Roman" w:eastAsia="宋体" w:cs="Times New Roman"/>
                <w:color w:val="000000"/>
                <w:sz w:val="21"/>
                <w:szCs w:val="21"/>
                <w:highlight w:val="none"/>
              </w:rPr>
              <w:t>4</w:t>
            </w:r>
            <w:r>
              <w:rPr>
                <w:rFonts w:hint="default" w:ascii="Times New Roman" w:hAnsi="宋体" w:eastAsia="宋体" w:cs="Times New Roman"/>
                <w:color w:val="000000"/>
                <w:sz w:val="21"/>
                <w:szCs w:val="21"/>
                <w:highlight w:val="none"/>
              </w:rPr>
              <w:t>厂界</w:t>
            </w:r>
            <w:r>
              <w:rPr>
                <w:rFonts w:hint="eastAsia" w:ascii="Times New Roman" w:hAnsi="宋体" w:eastAsia="宋体" w:cs="Times New Roman"/>
                <w:color w:val="000000"/>
                <w:sz w:val="21"/>
                <w:szCs w:val="21"/>
                <w:highlight w:val="none"/>
              </w:rPr>
              <w:t>北</w:t>
            </w:r>
            <w:r>
              <w:rPr>
                <w:rFonts w:hint="default" w:ascii="Times New Roman" w:hAnsi="宋体" w:eastAsia="宋体" w:cs="Times New Roman"/>
                <w:color w:val="000000"/>
                <w:sz w:val="21"/>
                <w:szCs w:val="21"/>
                <w:highlight w:val="none"/>
              </w:rPr>
              <w:t>侧</w:t>
            </w:r>
          </w:p>
        </w:tc>
        <w:tc>
          <w:tcPr>
            <w:tcW w:w="559" w:type="pct"/>
            <w:shd w:val="clear" w:color="auto" w:fill="FFFFFF"/>
            <w:noWrap w:val="0"/>
            <w:vAlign w:val="center"/>
          </w:tcPr>
          <w:p w14:paraId="2D2A31F8">
            <w:pPr>
              <w:keepNext w:val="0"/>
              <w:keepLines w:val="0"/>
              <w:widowControl w:val="0"/>
              <w:suppressLineNumbers w:val="0"/>
              <w:spacing w:before="0" w:beforeAutospacing="0" w:after="0" w:afterAutospacing="0" w:line="240" w:lineRule="exact"/>
              <w:ind w:left="0" w:right="0"/>
              <w:jc w:val="center"/>
              <w:rPr>
                <w:rFonts w:hint="eastAsia"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bidi="ar-SA"/>
              </w:rPr>
              <w:t>09</w:t>
            </w:r>
            <w:r>
              <w:rPr>
                <w:rFonts w:hint="default" w:ascii="Times New Roman" w:hAnsi="Times New Roman" w:eastAsia="宋体" w:cs="Times New Roman"/>
                <w:color w:val="000000"/>
                <w:kern w:val="0"/>
                <w:sz w:val="21"/>
                <w:szCs w:val="21"/>
                <w:highlight w:val="none"/>
                <w:lang w:val="en-US" w:eastAsia="zh-CN" w:bidi="ar-SA"/>
              </w:rPr>
              <w:t>:</w:t>
            </w:r>
            <w:r>
              <w:rPr>
                <w:rFonts w:hint="eastAsia" w:ascii="Times New Roman" w:hAnsi="Times New Roman" w:eastAsia="宋体" w:cs="Times New Roman"/>
                <w:color w:val="000000"/>
                <w:kern w:val="0"/>
                <w:sz w:val="21"/>
                <w:szCs w:val="21"/>
                <w:highlight w:val="none"/>
                <w:lang w:val="en-US" w:eastAsia="zh-CN" w:bidi="ar-SA"/>
              </w:rPr>
              <w:t>00</w:t>
            </w:r>
          </w:p>
        </w:tc>
        <w:tc>
          <w:tcPr>
            <w:tcW w:w="623" w:type="pct"/>
            <w:shd w:val="clear" w:color="auto" w:fill="FFFFFF"/>
            <w:noWrap w:val="0"/>
            <w:vAlign w:val="center"/>
          </w:tcPr>
          <w:p w14:paraId="47028E5B">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56</w:t>
            </w:r>
          </w:p>
        </w:tc>
        <w:tc>
          <w:tcPr>
            <w:tcW w:w="610" w:type="pct"/>
            <w:noWrap w:val="0"/>
            <w:vAlign w:val="center"/>
          </w:tcPr>
          <w:p w14:paraId="60CA07D4">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65</w:t>
            </w:r>
          </w:p>
        </w:tc>
        <w:tc>
          <w:tcPr>
            <w:tcW w:w="609" w:type="pct"/>
            <w:noWrap w:val="0"/>
            <w:vAlign w:val="center"/>
          </w:tcPr>
          <w:p w14:paraId="0F1C95A4">
            <w:pPr>
              <w:keepNext w:val="0"/>
              <w:keepLines w:val="0"/>
              <w:widowControl w:val="0"/>
              <w:suppressLineNumbers w:val="0"/>
              <w:spacing w:before="0" w:beforeAutospacing="0" w:after="0" w:afterAutospacing="0" w:line="240" w:lineRule="exact"/>
              <w:ind w:left="0" w:right="0"/>
              <w:jc w:val="center"/>
              <w:rPr>
                <w:rFonts w:hint="eastAsia"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bidi="ar-SA"/>
              </w:rPr>
              <w:t>23</w:t>
            </w:r>
            <w:r>
              <w:rPr>
                <w:rFonts w:hint="default" w:ascii="Times New Roman" w:hAnsi="Times New Roman" w:eastAsia="宋体" w:cs="Times New Roman"/>
                <w:color w:val="000000"/>
                <w:kern w:val="0"/>
                <w:sz w:val="21"/>
                <w:szCs w:val="21"/>
                <w:highlight w:val="none"/>
                <w:lang w:val="en-US" w:eastAsia="zh-CN" w:bidi="ar-SA"/>
              </w:rPr>
              <w:t>:</w:t>
            </w:r>
            <w:r>
              <w:rPr>
                <w:rFonts w:hint="eastAsia" w:ascii="Times New Roman" w:hAnsi="Times New Roman" w:eastAsia="宋体" w:cs="Times New Roman"/>
                <w:color w:val="000000"/>
                <w:kern w:val="0"/>
                <w:sz w:val="21"/>
                <w:szCs w:val="21"/>
                <w:highlight w:val="none"/>
                <w:lang w:val="en-US" w:eastAsia="zh-CN" w:bidi="ar-SA"/>
              </w:rPr>
              <w:t>00</w:t>
            </w:r>
          </w:p>
        </w:tc>
        <w:tc>
          <w:tcPr>
            <w:tcW w:w="606" w:type="pct"/>
            <w:noWrap w:val="0"/>
            <w:vAlign w:val="center"/>
          </w:tcPr>
          <w:p w14:paraId="36473B1E">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42</w:t>
            </w:r>
          </w:p>
        </w:tc>
        <w:tc>
          <w:tcPr>
            <w:tcW w:w="604" w:type="pct"/>
            <w:noWrap w:val="0"/>
            <w:vAlign w:val="center"/>
          </w:tcPr>
          <w:p w14:paraId="0112EE24">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55</w:t>
            </w:r>
          </w:p>
        </w:tc>
      </w:tr>
      <w:tr w14:paraId="24E0A5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539" w:type="pct"/>
            <w:vMerge w:val="continue"/>
            <w:shd w:val="clear" w:color="auto" w:fill="auto"/>
            <w:noWrap w:val="0"/>
            <w:vAlign w:val="center"/>
          </w:tcPr>
          <w:p w14:paraId="3F08188E">
            <w:pPr>
              <w:keepNext w:val="0"/>
              <w:keepLines w:val="0"/>
              <w:suppressLineNumbers w:val="0"/>
              <w:wordWrap/>
              <w:adjustRightInd/>
              <w:snapToGrid/>
              <w:spacing w:before="0" w:beforeAutospacing="0" w:after="0" w:afterAutospacing="0" w:line="240" w:lineRule="exact"/>
              <w:ind w:left="0" w:right="0" w:firstLine="0" w:firstLineChars="0"/>
              <w:jc w:val="center"/>
              <w:rPr>
                <w:rFonts w:hint="default" w:ascii="Times New Roman" w:hAnsi="Times New Roman" w:eastAsia="宋体" w:cs="Times New Roman"/>
                <w:color w:val="000000"/>
                <w:sz w:val="21"/>
                <w:szCs w:val="21"/>
                <w:highlight w:val="none"/>
              </w:rPr>
            </w:pPr>
          </w:p>
        </w:tc>
        <w:tc>
          <w:tcPr>
            <w:tcW w:w="847" w:type="pct"/>
            <w:shd w:val="clear" w:color="auto" w:fill="auto"/>
            <w:noWrap w:val="0"/>
            <w:vAlign w:val="center"/>
          </w:tcPr>
          <w:p w14:paraId="643606DA">
            <w:pPr>
              <w:keepNext w:val="0"/>
              <w:keepLines w:val="0"/>
              <w:suppressLineNumbers w:val="0"/>
              <w:wordWrap/>
              <w:adjustRightInd/>
              <w:snapToGrid/>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sz w:val="21"/>
                <w:szCs w:val="21"/>
                <w:highlight w:val="none"/>
              </w:rPr>
            </w:pPr>
            <w:r>
              <w:rPr>
                <w:rFonts w:hint="eastAsia" w:ascii="Times New Roman" w:hAnsi="Times New Roman" w:eastAsia="宋体" w:cs="Times New Roman"/>
                <w:color w:val="000000"/>
                <w:sz w:val="21"/>
                <w:szCs w:val="21"/>
                <w:highlight w:val="none"/>
              </w:rPr>
              <w:t>△5</w:t>
            </w:r>
            <w:r>
              <w:rPr>
                <w:rFonts w:hint="eastAsia" w:ascii="Times New Roman" w:hAnsi="宋体" w:eastAsia="宋体" w:cs="Times New Roman"/>
                <w:sz w:val="21"/>
                <w:szCs w:val="21"/>
                <w:highlight w:val="none"/>
              </w:rPr>
              <w:t>刘家村</w:t>
            </w:r>
          </w:p>
        </w:tc>
        <w:tc>
          <w:tcPr>
            <w:tcW w:w="559" w:type="pct"/>
            <w:shd w:val="clear" w:color="auto" w:fill="FFFFFF"/>
            <w:noWrap w:val="0"/>
            <w:vAlign w:val="center"/>
          </w:tcPr>
          <w:p w14:paraId="2411AB9D">
            <w:pPr>
              <w:keepNext w:val="0"/>
              <w:keepLines w:val="0"/>
              <w:widowControl w:val="0"/>
              <w:suppressLineNumbers w:val="0"/>
              <w:spacing w:before="0" w:beforeAutospacing="0" w:after="0" w:afterAutospacing="0" w:line="240" w:lineRule="exact"/>
              <w:ind w:left="0" w:right="0"/>
              <w:jc w:val="center"/>
              <w:rPr>
                <w:rFonts w:hint="eastAsia"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bidi="ar-SA"/>
              </w:rPr>
              <w:t>09</w:t>
            </w:r>
            <w:r>
              <w:rPr>
                <w:rFonts w:hint="default" w:ascii="Times New Roman" w:hAnsi="Times New Roman" w:eastAsia="宋体" w:cs="Times New Roman"/>
                <w:color w:val="000000"/>
                <w:kern w:val="0"/>
                <w:sz w:val="21"/>
                <w:szCs w:val="21"/>
                <w:highlight w:val="none"/>
                <w:lang w:val="en-US" w:eastAsia="zh-CN" w:bidi="ar-SA"/>
              </w:rPr>
              <w:t>:</w:t>
            </w:r>
            <w:r>
              <w:rPr>
                <w:rFonts w:hint="eastAsia" w:ascii="Times New Roman" w:hAnsi="Times New Roman" w:eastAsia="宋体" w:cs="Times New Roman"/>
                <w:color w:val="000000"/>
                <w:kern w:val="0"/>
                <w:sz w:val="21"/>
                <w:szCs w:val="21"/>
                <w:highlight w:val="none"/>
                <w:lang w:val="en-US" w:eastAsia="zh-CN" w:bidi="ar-SA"/>
              </w:rPr>
              <w:t>20</w:t>
            </w:r>
          </w:p>
        </w:tc>
        <w:tc>
          <w:tcPr>
            <w:tcW w:w="623" w:type="pct"/>
            <w:shd w:val="clear" w:color="auto" w:fill="FFFFFF"/>
            <w:noWrap w:val="0"/>
            <w:vAlign w:val="center"/>
          </w:tcPr>
          <w:p w14:paraId="1E02A103">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55</w:t>
            </w:r>
          </w:p>
        </w:tc>
        <w:tc>
          <w:tcPr>
            <w:tcW w:w="610" w:type="pct"/>
            <w:noWrap w:val="0"/>
            <w:vAlign w:val="center"/>
          </w:tcPr>
          <w:p w14:paraId="683D6F79">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60</w:t>
            </w:r>
          </w:p>
        </w:tc>
        <w:tc>
          <w:tcPr>
            <w:tcW w:w="609" w:type="pct"/>
            <w:noWrap w:val="0"/>
            <w:vAlign w:val="center"/>
          </w:tcPr>
          <w:p w14:paraId="4D5C7CA1">
            <w:pPr>
              <w:keepNext w:val="0"/>
              <w:keepLines w:val="0"/>
              <w:widowControl w:val="0"/>
              <w:suppressLineNumbers w:val="0"/>
              <w:spacing w:before="0" w:beforeAutospacing="0" w:after="0" w:afterAutospacing="0" w:line="240" w:lineRule="exact"/>
              <w:ind w:left="0" w:right="0"/>
              <w:jc w:val="center"/>
              <w:rPr>
                <w:rFonts w:hint="eastAsia"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bidi="ar-SA"/>
              </w:rPr>
              <w:t>23</w:t>
            </w:r>
            <w:r>
              <w:rPr>
                <w:rFonts w:hint="default" w:ascii="Times New Roman" w:hAnsi="Times New Roman" w:eastAsia="宋体" w:cs="Times New Roman"/>
                <w:color w:val="000000"/>
                <w:kern w:val="0"/>
                <w:sz w:val="21"/>
                <w:szCs w:val="21"/>
                <w:highlight w:val="none"/>
                <w:lang w:val="en-US" w:eastAsia="zh-CN" w:bidi="ar-SA"/>
              </w:rPr>
              <w:t>:</w:t>
            </w:r>
            <w:r>
              <w:rPr>
                <w:rFonts w:hint="eastAsia" w:ascii="Times New Roman" w:hAnsi="Times New Roman" w:eastAsia="宋体" w:cs="Times New Roman"/>
                <w:color w:val="000000"/>
                <w:kern w:val="0"/>
                <w:sz w:val="21"/>
                <w:szCs w:val="21"/>
                <w:highlight w:val="none"/>
                <w:lang w:val="en-US" w:eastAsia="zh-CN" w:bidi="ar-SA"/>
              </w:rPr>
              <w:t>20</w:t>
            </w:r>
          </w:p>
        </w:tc>
        <w:tc>
          <w:tcPr>
            <w:tcW w:w="606" w:type="pct"/>
            <w:noWrap w:val="0"/>
            <w:vAlign w:val="center"/>
          </w:tcPr>
          <w:p w14:paraId="1BA18A3E">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42</w:t>
            </w:r>
          </w:p>
        </w:tc>
        <w:tc>
          <w:tcPr>
            <w:tcW w:w="604" w:type="pct"/>
            <w:noWrap w:val="0"/>
            <w:vAlign w:val="center"/>
          </w:tcPr>
          <w:p w14:paraId="38CA3FD8">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50</w:t>
            </w:r>
          </w:p>
        </w:tc>
      </w:tr>
      <w:tr w14:paraId="15B140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539" w:type="pct"/>
            <w:vMerge w:val="restart"/>
            <w:noWrap w:val="0"/>
            <w:vAlign w:val="center"/>
          </w:tcPr>
          <w:p w14:paraId="6476AA8E">
            <w:pPr>
              <w:keepNext w:val="0"/>
              <w:keepLines w:val="0"/>
              <w:suppressLineNumbers w:val="0"/>
              <w:wordWrap/>
              <w:adjustRightInd/>
              <w:snapToGrid/>
              <w:spacing w:before="0" w:beforeAutospacing="0" w:after="0" w:afterAutospacing="0" w:line="240" w:lineRule="exact"/>
              <w:ind w:left="0" w:right="0" w:firstLine="0" w:firstLineChars="0"/>
              <w:jc w:val="center"/>
              <w:rPr>
                <w:rFonts w:hint="eastAsia" w:ascii="Times New Roman" w:hAnsi="Times New Roman" w:eastAsia="宋体" w:cs="Times New Roman"/>
                <w:color w:val="000000"/>
                <w:sz w:val="21"/>
                <w:szCs w:val="21"/>
                <w:highlight w:val="none"/>
              </w:rPr>
            </w:pPr>
            <w:r>
              <w:rPr>
                <w:rFonts w:hint="eastAsia" w:ascii="Times New Roman" w:hAnsi="Times New Roman" w:eastAsia="宋体" w:cs="Times New Roman"/>
                <w:color w:val="000000"/>
                <w:sz w:val="21"/>
                <w:szCs w:val="21"/>
                <w:highlight w:val="none"/>
              </w:rPr>
              <w:t>2025</w:t>
            </w:r>
          </w:p>
          <w:p w14:paraId="252E933D">
            <w:pPr>
              <w:keepNext w:val="0"/>
              <w:keepLines w:val="0"/>
              <w:suppressLineNumbers w:val="0"/>
              <w:wordWrap/>
              <w:adjustRightInd/>
              <w:snapToGrid/>
              <w:spacing w:before="0" w:beforeAutospacing="0" w:after="0" w:afterAutospacing="0" w:line="240" w:lineRule="exact"/>
              <w:ind w:left="0" w:right="0" w:firstLine="0" w:firstLineChars="0"/>
              <w:jc w:val="center"/>
              <w:rPr>
                <w:rFonts w:hint="default" w:ascii="Times New Roman" w:hAnsi="Times New Roman" w:eastAsia="宋体" w:cs="Times New Roman"/>
                <w:color w:val="000000"/>
                <w:sz w:val="21"/>
                <w:szCs w:val="21"/>
                <w:highlight w:val="none"/>
              </w:rPr>
            </w:pPr>
            <w:r>
              <w:rPr>
                <w:rFonts w:hint="eastAsia" w:ascii="Times New Roman" w:hAnsi="Times New Roman" w:eastAsia="宋体" w:cs="Times New Roman"/>
                <w:color w:val="000000"/>
                <w:sz w:val="21"/>
                <w:szCs w:val="21"/>
                <w:highlight w:val="none"/>
              </w:rPr>
              <w:t>09.20</w:t>
            </w:r>
          </w:p>
        </w:tc>
        <w:tc>
          <w:tcPr>
            <w:tcW w:w="847" w:type="pct"/>
            <w:noWrap w:val="0"/>
            <w:vAlign w:val="center"/>
          </w:tcPr>
          <w:p w14:paraId="7741AACA">
            <w:pPr>
              <w:keepNext w:val="0"/>
              <w:keepLines w:val="0"/>
              <w:suppressLineNumbers w:val="0"/>
              <w:wordWrap/>
              <w:adjustRightInd/>
              <w:snapToGrid/>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sz w:val="21"/>
                <w:szCs w:val="21"/>
                <w:highlight w:val="none"/>
              </w:rPr>
            </w:pPr>
            <w:r>
              <w:rPr>
                <w:rFonts w:hint="default" w:ascii="宋体" w:hAnsi="宋体" w:eastAsia="宋体" w:cs="Times New Roman"/>
                <w:color w:val="000000"/>
                <w:sz w:val="21"/>
                <w:szCs w:val="21"/>
                <w:highlight w:val="none"/>
              </w:rPr>
              <w:t>▲</w:t>
            </w:r>
            <w:r>
              <w:rPr>
                <w:rFonts w:hint="default" w:ascii="Times New Roman" w:hAnsi="Times New Roman" w:eastAsia="宋体" w:cs="Times New Roman"/>
                <w:color w:val="000000"/>
                <w:sz w:val="21"/>
                <w:szCs w:val="21"/>
                <w:highlight w:val="none"/>
              </w:rPr>
              <w:t>1</w:t>
            </w:r>
            <w:r>
              <w:rPr>
                <w:rFonts w:hint="default" w:ascii="Times New Roman" w:hAnsi="宋体" w:eastAsia="宋体" w:cs="Times New Roman"/>
                <w:color w:val="000000"/>
                <w:sz w:val="21"/>
                <w:szCs w:val="21"/>
                <w:highlight w:val="none"/>
              </w:rPr>
              <w:t>厂界</w:t>
            </w:r>
            <w:r>
              <w:rPr>
                <w:rFonts w:hint="eastAsia" w:ascii="Times New Roman" w:hAnsi="宋体" w:eastAsia="宋体" w:cs="Times New Roman"/>
                <w:color w:val="000000"/>
                <w:sz w:val="21"/>
                <w:szCs w:val="21"/>
                <w:highlight w:val="none"/>
              </w:rPr>
              <w:t>东</w:t>
            </w:r>
            <w:r>
              <w:rPr>
                <w:rFonts w:hint="default" w:ascii="Times New Roman" w:hAnsi="宋体" w:eastAsia="宋体" w:cs="Times New Roman"/>
                <w:color w:val="000000"/>
                <w:sz w:val="21"/>
                <w:szCs w:val="21"/>
                <w:highlight w:val="none"/>
              </w:rPr>
              <w:t>侧</w:t>
            </w:r>
          </w:p>
        </w:tc>
        <w:tc>
          <w:tcPr>
            <w:tcW w:w="559" w:type="pct"/>
            <w:noWrap w:val="0"/>
            <w:vAlign w:val="center"/>
          </w:tcPr>
          <w:p w14:paraId="6C73D93C">
            <w:pPr>
              <w:keepNext w:val="0"/>
              <w:keepLines w:val="0"/>
              <w:widowControl w:val="0"/>
              <w:suppressLineNumbers w:val="0"/>
              <w:spacing w:before="0" w:beforeAutospacing="0" w:after="0" w:afterAutospacing="0" w:line="240" w:lineRule="exact"/>
              <w:ind w:left="0" w:right="0"/>
              <w:jc w:val="center"/>
              <w:rPr>
                <w:rFonts w:hint="eastAsia"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bidi="ar-SA"/>
              </w:rPr>
              <w:t>08</w:t>
            </w:r>
            <w:r>
              <w:rPr>
                <w:rFonts w:hint="default" w:ascii="Times New Roman" w:hAnsi="Times New Roman" w:eastAsia="宋体" w:cs="Times New Roman"/>
                <w:color w:val="000000"/>
                <w:kern w:val="0"/>
                <w:sz w:val="21"/>
                <w:szCs w:val="21"/>
                <w:highlight w:val="none"/>
                <w:lang w:val="en-US" w:eastAsia="zh-CN" w:bidi="ar-SA"/>
              </w:rPr>
              <w:t>:</w:t>
            </w:r>
            <w:r>
              <w:rPr>
                <w:rFonts w:hint="eastAsia" w:ascii="Times New Roman" w:hAnsi="Times New Roman" w:eastAsia="宋体" w:cs="Times New Roman"/>
                <w:color w:val="000000"/>
                <w:kern w:val="0"/>
                <w:sz w:val="21"/>
                <w:szCs w:val="21"/>
                <w:highlight w:val="none"/>
                <w:lang w:val="en-US" w:eastAsia="zh-CN" w:bidi="ar-SA"/>
              </w:rPr>
              <w:t>00</w:t>
            </w:r>
          </w:p>
        </w:tc>
        <w:tc>
          <w:tcPr>
            <w:tcW w:w="623" w:type="pct"/>
            <w:noWrap w:val="0"/>
            <w:vAlign w:val="center"/>
          </w:tcPr>
          <w:p w14:paraId="1819D857">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57</w:t>
            </w:r>
          </w:p>
        </w:tc>
        <w:tc>
          <w:tcPr>
            <w:tcW w:w="610" w:type="pct"/>
            <w:noWrap w:val="0"/>
            <w:vAlign w:val="center"/>
          </w:tcPr>
          <w:p w14:paraId="282A1BF5">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65</w:t>
            </w:r>
          </w:p>
        </w:tc>
        <w:tc>
          <w:tcPr>
            <w:tcW w:w="609" w:type="pct"/>
            <w:noWrap w:val="0"/>
            <w:vAlign w:val="center"/>
          </w:tcPr>
          <w:p w14:paraId="5A5A7C52">
            <w:pPr>
              <w:keepNext w:val="0"/>
              <w:keepLines w:val="0"/>
              <w:widowControl w:val="0"/>
              <w:suppressLineNumbers w:val="0"/>
              <w:spacing w:before="0" w:beforeAutospacing="0" w:after="0" w:afterAutospacing="0" w:line="240" w:lineRule="exact"/>
              <w:ind w:left="0" w:right="0"/>
              <w:jc w:val="center"/>
              <w:rPr>
                <w:rFonts w:hint="eastAsia"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bidi="ar-SA"/>
              </w:rPr>
              <w:t>22</w:t>
            </w:r>
            <w:r>
              <w:rPr>
                <w:rFonts w:hint="default" w:ascii="Times New Roman" w:hAnsi="Times New Roman" w:eastAsia="宋体" w:cs="Times New Roman"/>
                <w:color w:val="000000"/>
                <w:kern w:val="0"/>
                <w:sz w:val="21"/>
                <w:szCs w:val="21"/>
                <w:highlight w:val="none"/>
                <w:lang w:val="en-US" w:eastAsia="zh-CN" w:bidi="ar-SA"/>
              </w:rPr>
              <w:t>:</w:t>
            </w:r>
            <w:r>
              <w:rPr>
                <w:rFonts w:hint="eastAsia" w:ascii="Times New Roman" w:hAnsi="Times New Roman" w:eastAsia="宋体" w:cs="Times New Roman"/>
                <w:color w:val="000000"/>
                <w:kern w:val="0"/>
                <w:sz w:val="21"/>
                <w:szCs w:val="21"/>
                <w:highlight w:val="none"/>
                <w:lang w:val="en-US" w:eastAsia="zh-CN" w:bidi="ar-SA"/>
              </w:rPr>
              <w:t>00</w:t>
            </w:r>
          </w:p>
        </w:tc>
        <w:tc>
          <w:tcPr>
            <w:tcW w:w="606" w:type="pct"/>
            <w:noWrap w:val="0"/>
            <w:vAlign w:val="center"/>
          </w:tcPr>
          <w:p w14:paraId="6543E42A">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46</w:t>
            </w:r>
          </w:p>
        </w:tc>
        <w:tc>
          <w:tcPr>
            <w:tcW w:w="604" w:type="pct"/>
            <w:noWrap w:val="0"/>
            <w:vAlign w:val="center"/>
          </w:tcPr>
          <w:p w14:paraId="41D68E7B">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55</w:t>
            </w:r>
          </w:p>
        </w:tc>
      </w:tr>
      <w:tr w14:paraId="63DCFB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539" w:type="pct"/>
            <w:vMerge w:val="continue"/>
            <w:shd w:val="clear" w:color="auto" w:fill="auto"/>
            <w:noWrap w:val="0"/>
            <w:vAlign w:val="center"/>
          </w:tcPr>
          <w:p w14:paraId="2EDE0BDD">
            <w:pPr>
              <w:keepNext w:val="0"/>
              <w:keepLines w:val="0"/>
              <w:suppressLineNumbers w:val="0"/>
              <w:wordWrap/>
              <w:adjustRightInd/>
              <w:snapToGrid/>
              <w:spacing w:before="0" w:beforeAutospacing="0" w:after="0" w:afterAutospacing="0" w:line="240" w:lineRule="exact"/>
              <w:ind w:left="0" w:right="0" w:firstLine="0" w:firstLineChars="0"/>
              <w:jc w:val="center"/>
              <w:rPr>
                <w:rFonts w:hint="default" w:ascii="Times New Roman" w:hAnsi="Times New Roman" w:eastAsia="宋体" w:cs="Times New Roman"/>
                <w:color w:val="000000"/>
                <w:sz w:val="21"/>
                <w:szCs w:val="21"/>
                <w:highlight w:val="none"/>
              </w:rPr>
            </w:pPr>
          </w:p>
        </w:tc>
        <w:tc>
          <w:tcPr>
            <w:tcW w:w="847" w:type="pct"/>
            <w:shd w:val="clear" w:color="auto" w:fill="auto"/>
            <w:noWrap w:val="0"/>
            <w:vAlign w:val="center"/>
          </w:tcPr>
          <w:p w14:paraId="33964FD3">
            <w:pPr>
              <w:keepNext w:val="0"/>
              <w:keepLines w:val="0"/>
              <w:suppressLineNumbers w:val="0"/>
              <w:wordWrap/>
              <w:adjustRightInd/>
              <w:snapToGrid/>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sz w:val="21"/>
                <w:szCs w:val="21"/>
                <w:highlight w:val="none"/>
              </w:rPr>
            </w:pPr>
            <w:r>
              <w:rPr>
                <w:rFonts w:hint="default" w:ascii="宋体" w:hAnsi="宋体" w:eastAsia="宋体" w:cs="Times New Roman"/>
                <w:color w:val="000000"/>
                <w:sz w:val="21"/>
                <w:szCs w:val="21"/>
                <w:highlight w:val="none"/>
              </w:rPr>
              <w:t>▲</w:t>
            </w:r>
            <w:r>
              <w:rPr>
                <w:rFonts w:hint="eastAsia" w:ascii="Times New Roman" w:hAnsi="Times New Roman" w:eastAsia="宋体" w:cs="Times New Roman"/>
                <w:color w:val="000000"/>
                <w:sz w:val="21"/>
                <w:szCs w:val="21"/>
                <w:highlight w:val="none"/>
              </w:rPr>
              <w:t>2</w:t>
            </w:r>
            <w:r>
              <w:rPr>
                <w:rFonts w:hint="default" w:ascii="Times New Roman" w:hAnsi="宋体" w:eastAsia="宋体" w:cs="Times New Roman"/>
                <w:color w:val="000000"/>
                <w:sz w:val="21"/>
                <w:szCs w:val="21"/>
                <w:highlight w:val="none"/>
              </w:rPr>
              <w:t>厂界</w:t>
            </w:r>
            <w:r>
              <w:rPr>
                <w:rFonts w:hint="eastAsia" w:ascii="Times New Roman" w:hAnsi="宋体" w:eastAsia="宋体" w:cs="Times New Roman"/>
                <w:color w:val="000000"/>
                <w:sz w:val="21"/>
                <w:szCs w:val="21"/>
                <w:highlight w:val="none"/>
              </w:rPr>
              <w:t>南</w:t>
            </w:r>
            <w:r>
              <w:rPr>
                <w:rFonts w:hint="default" w:ascii="Times New Roman" w:hAnsi="宋体" w:eastAsia="宋体" w:cs="Times New Roman"/>
                <w:color w:val="000000"/>
                <w:sz w:val="21"/>
                <w:szCs w:val="21"/>
                <w:highlight w:val="none"/>
              </w:rPr>
              <w:t>侧</w:t>
            </w:r>
          </w:p>
        </w:tc>
        <w:tc>
          <w:tcPr>
            <w:tcW w:w="559" w:type="pct"/>
            <w:shd w:val="clear" w:color="auto" w:fill="FFFFFF"/>
            <w:noWrap w:val="0"/>
            <w:vAlign w:val="center"/>
          </w:tcPr>
          <w:p w14:paraId="3605071A">
            <w:pPr>
              <w:keepNext w:val="0"/>
              <w:keepLines w:val="0"/>
              <w:widowControl w:val="0"/>
              <w:suppressLineNumbers w:val="0"/>
              <w:spacing w:before="0" w:beforeAutospacing="0" w:after="0" w:afterAutospacing="0" w:line="240" w:lineRule="exact"/>
              <w:ind w:left="0" w:right="0"/>
              <w:jc w:val="center"/>
              <w:rPr>
                <w:rFonts w:hint="eastAsia"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bidi="ar-SA"/>
              </w:rPr>
              <w:t>08</w:t>
            </w:r>
            <w:r>
              <w:rPr>
                <w:rFonts w:hint="default" w:ascii="Times New Roman" w:hAnsi="Times New Roman" w:eastAsia="宋体" w:cs="Times New Roman"/>
                <w:color w:val="000000"/>
                <w:kern w:val="0"/>
                <w:sz w:val="21"/>
                <w:szCs w:val="21"/>
                <w:highlight w:val="none"/>
                <w:lang w:val="en-US" w:eastAsia="zh-CN" w:bidi="ar-SA"/>
              </w:rPr>
              <w:t>:</w:t>
            </w:r>
            <w:r>
              <w:rPr>
                <w:rFonts w:hint="eastAsia" w:ascii="Times New Roman" w:hAnsi="Times New Roman" w:eastAsia="宋体" w:cs="Times New Roman"/>
                <w:color w:val="000000"/>
                <w:kern w:val="0"/>
                <w:sz w:val="21"/>
                <w:szCs w:val="21"/>
                <w:highlight w:val="none"/>
                <w:lang w:val="en-US" w:eastAsia="zh-CN" w:bidi="ar-SA"/>
              </w:rPr>
              <w:t>20</w:t>
            </w:r>
          </w:p>
        </w:tc>
        <w:tc>
          <w:tcPr>
            <w:tcW w:w="623" w:type="pct"/>
            <w:shd w:val="clear" w:color="auto" w:fill="FFFFFF"/>
            <w:noWrap w:val="0"/>
            <w:vAlign w:val="center"/>
          </w:tcPr>
          <w:p w14:paraId="2CFD7E2E">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55</w:t>
            </w:r>
          </w:p>
        </w:tc>
        <w:tc>
          <w:tcPr>
            <w:tcW w:w="610" w:type="pct"/>
            <w:noWrap w:val="0"/>
            <w:vAlign w:val="center"/>
          </w:tcPr>
          <w:p w14:paraId="706B0657">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65</w:t>
            </w:r>
          </w:p>
        </w:tc>
        <w:tc>
          <w:tcPr>
            <w:tcW w:w="609" w:type="pct"/>
            <w:noWrap w:val="0"/>
            <w:vAlign w:val="center"/>
          </w:tcPr>
          <w:p w14:paraId="15ACCCA0">
            <w:pPr>
              <w:keepNext w:val="0"/>
              <w:keepLines w:val="0"/>
              <w:widowControl w:val="0"/>
              <w:suppressLineNumbers w:val="0"/>
              <w:spacing w:before="0" w:beforeAutospacing="0" w:after="0" w:afterAutospacing="0" w:line="240" w:lineRule="exact"/>
              <w:ind w:left="0" w:right="0"/>
              <w:jc w:val="center"/>
              <w:rPr>
                <w:rFonts w:hint="eastAsia"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bidi="ar-SA"/>
              </w:rPr>
              <w:t>22</w:t>
            </w:r>
            <w:r>
              <w:rPr>
                <w:rFonts w:hint="default" w:ascii="Times New Roman" w:hAnsi="Times New Roman" w:eastAsia="宋体" w:cs="Times New Roman"/>
                <w:color w:val="000000"/>
                <w:kern w:val="0"/>
                <w:sz w:val="21"/>
                <w:szCs w:val="21"/>
                <w:highlight w:val="none"/>
                <w:lang w:val="en-US" w:eastAsia="zh-CN" w:bidi="ar-SA"/>
              </w:rPr>
              <w:t>:</w:t>
            </w:r>
            <w:r>
              <w:rPr>
                <w:rFonts w:hint="eastAsia" w:ascii="Times New Roman" w:hAnsi="Times New Roman" w:eastAsia="宋体" w:cs="Times New Roman"/>
                <w:color w:val="000000"/>
                <w:kern w:val="0"/>
                <w:sz w:val="21"/>
                <w:szCs w:val="21"/>
                <w:highlight w:val="none"/>
                <w:lang w:val="en-US" w:eastAsia="zh-CN" w:bidi="ar-SA"/>
              </w:rPr>
              <w:t>20</w:t>
            </w:r>
          </w:p>
        </w:tc>
        <w:tc>
          <w:tcPr>
            <w:tcW w:w="606" w:type="pct"/>
            <w:noWrap w:val="0"/>
            <w:vAlign w:val="center"/>
          </w:tcPr>
          <w:p w14:paraId="6971E95E">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44</w:t>
            </w:r>
          </w:p>
        </w:tc>
        <w:tc>
          <w:tcPr>
            <w:tcW w:w="604" w:type="pct"/>
            <w:noWrap w:val="0"/>
            <w:vAlign w:val="center"/>
          </w:tcPr>
          <w:p w14:paraId="5DC27DFD">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55</w:t>
            </w:r>
          </w:p>
        </w:tc>
      </w:tr>
      <w:tr w14:paraId="44E06D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39" w:type="pct"/>
            <w:vMerge w:val="continue"/>
            <w:shd w:val="clear" w:color="auto" w:fill="auto"/>
            <w:noWrap w:val="0"/>
            <w:vAlign w:val="center"/>
          </w:tcPr>
          <w:p w14:paraId="228D49C8">
            <w:pPr>
              <w:keepNext w:val="0"/>
              <w:keepLines w:val="0"/>
              <w:suppressLineNumbers w:val="0"/>
              <w:wordWrap/>
              <w:adjustRightInd/>
              <w:snapToGrid/>
              <w:spacing w:before="0" w:beforeAutospacing="0" w:after="0" w:afterAutospacing="0" w:line="240" w:lineRule="exact"/>
              <w:ind w:left="0" w:right="0" w:firstLine="0" w:firstLineChars="0"/>
              <w:jc w:val="center"/>
              <w:rPr>
                <w:rFonts w:hint="default" w:ascii="Times New Roman" w:hAnsi="Times New Roman" w:eastAsia="宋体" w:cs="Times New Roman"/>
                <w:color w:val="000000"/>
                <w:sz w:val="21"/>
                <w:szCs w:val="21"/>
                <w:highlight w:val="none"/>
              </w:rPr>
            </w:pPr>
          </w:p>
        </w:tc>
        <w:tc>
          <w:tcPr>
            <w:tcW w:w="847" w:type="pct"/>
            <w:shd w:val="clear" w:color="auto" w:fill="auto"/>
            <w:noWrap w:val="0"/>
            <w:vAlign w:val="center"/>
          </w:tcPr>
          <w:p w14:paraId="5FD60E27">
            <w:pPr>
              <w:keepNext w:val="0"/>
              <w:keepLines w:val="0"/>
              <w:suppressLineNumbers w:val="0"/>
              <w:wordWrap/>
              <w:adjustRightInd/>
              <w:snapToGrid/>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sz w:val="21"/>
                <w:szCs w:val="21"/>
                <w:highlight w:val="none"/>
              </w:rPr>
            </w:pPr>
            <w:r>
              <w:rPr>
                <w:rFonts w:hint="default" w:ascii="宋体" w:hAnsi="宋体" w:eastAsia="宋体" w:cs="Times New Roman"/>
                <w:color w:val="000000"/>
                <w:sz w:val="21"/>
                <w:szCs w:val="21"/>
                <w:highlight w:val="none"/>
              </w:rPr>
              <w:t>▲</w:t>
            </w:r>
            <w:r>
              <w:rPr>
                <w:rFonts w:hint="default" w:ascii="Times New Roman" w:hAnsi="Times New Roman" w:eastAsia="宋体" w:cs="Times New Roman"/>
                <w:color w:val="000000"/>
                <w:sz w:val="21"/>
                <w:szCs w:val="21"/>
                <w:highlight w:val="none"/>
              </w:rPr>
              <w:t>3</w:t>
            </w:r>
            <w:r>
              <w:rPr>
                <w:rFonts w:hint="default" w:ascii="Times New Roman" w:hAnsi="宋体" w:eastAsia="宋体" w:cs="Times New Roman"/>
                <w:color w:val="000000"/>
                <w:sz w:val="21"/>
                <w:szCs w:val="21"/>
                <w:highlight w:val="none"/>
              </w:rPr>
              <w:t>厂界</w:t>
            </w:r>
            <w:r>
              <w:rPr>
                <w:rFonts w:hint="eastAsia" w:ascii="Times New Roman" w:hAnsi="宋体" w:eastAsia="宋体" w:cs="Times New Roman"/>
                <w:color w:val="000000"/>
                <w:sz w:val="21"/>
                <w:szCs w:val="21"/>
                <w:highlight w:val="none"/>
              </w:rPr>
              <w:t>西</w:t>
            </w:r>
            <w:r>
              <w:rPr>
                <w:rFonts w:hint="default" w:ascii="Times New Roman" w:hAnsi="宋体" w:eastAsia="宋体" w:cs="Times New Roman"/>
                <w:color w:val="000000"/>
                <w:sz w:val="21"/>
                <w:szCs w:val="21"/>
                <w:highlight w:val="none"/>
              </w:rPr>
              <w:t>侧</w:t>
            </w:r>
          </w:p>
        </w:tc>
        <w:tc>
          <w:tcPr>
            <w:tcW w:w="559" w:type="pct"/>
            <w:shd w:val="clear" w:color="auto" w:fill="FFFFFF"/>
            <w:noWrap w:val="0"/>
            <w:vAlign w:val="center"/>
          </w:tcPr>
          <w:p w14:paraId="4541EE6F">
            <w:pPr>
              <w:keepNext w:val="0"/>
              <w:keepLines w:val="0"/>
              <w:widowControl w:val="0"/>
              <w:suppressLineNumbers w:val="0"/>
              <w:spacing w:before="0" w:beforeAutospacing="0" w:after="0" w:afterAutospacing="0" w:line="240" w:lineRule="exact"/>
              <w:ind w:left="0" w:right="0"/>
              <w:jc w:val="center"/>
              <w:rPr>
                <w:rFonts w:hint="eastAsia"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bidi="ar-SA"/>
              </w:rPr>
              <w:t>08</w:t>
            </w:r>
            <w:r>
              <w:rPr>
                <w:rFonts w:hint="default" w:ascii="Times New Roman" w:hAnsi="Times New Roman" w:eastAsia="宋体" w:cs="Times New Roman"/>
                <w:color w:val="000000"/>
                <w:kern w:val="0"/>
                <w:sz w:val="21"/>
                <w:szCs w:val="21"/>
                <w:highlight w:val="none"/>
                <w:lang w:val="en-US" w:eastAsia="zh-CN" w:bidi="ar-SA"/>
              </w:rPr>
              <w:t>:</w:t>
            </w:r>
            <w:r>
              <w:rPr>
                <w:rFonts w:hint="eastAsia" w:ascii="Times New Roman" w:hAnsi="Times New Roman" w:eastAsia="宋体" w:cs="Times New Roman"/>
                <w:color w:val="000000"/>
                <w:kern w:val="0"/>
                <w:sz w:val="21"/>
                <w:szCs w:val="21"/>
                <w:highlight w:val="none"/>
                <w:lang w:val="en-US" w:eastAsia="zh-CN" w:bidi="ar-SA"/>
              </w:rPr>
              <w:t>40</w:t>
            </w:r>
          </w:p>
        </w:tc>
        <w:tc>
          <w:tcPr>
            <w:tcW w:w="623" w:type="pct"/>
            <w:shd w:val="clear" w:color="auto" w:fill="FFFFFF"/>
            <w:noWrap w:val="0"/>
            <w:vAlign w:val="center"/>
          </w:tcPr>
          <w:p w14:paraId="7C1245E5">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54</w:t>
            </w:r>
          </w:p>
        </w:tc>
        <w:tc>
          <w:tcPr>
            <w:tcW w:w="610" w:type="pct"/>
            <w:noWrap w:val="0"/>
            <w:vAlign w:val="center"/>
          </w:tcPr>
          <w:p w14:paraId="0C022854">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65</w:t>
            </w:r>
          </w:p>
        </w:tc>
        <w:tc>
          <w:tcPr>
            <w:tcW w:w="609" w:type="pct"/>
            <w:noWrap w:val="0"/>
            <w:vAlign w:val="center"/>
          </w:tcPr>
          <w:p w14:paraId="56E4E7A0">
            <w:pPr>
              <w:keepNext w:val="0"/>
              <w:keepLines w:val="0"/>
              <w:widowControl w:val="0"/>
              <w:suppressLineNumbers w:val="0"/>
              <w:spacing w:before="0" w:beforeAutospacing="0" w:after="0" w:afterAutospacing="0" w:line="240" w:lineRule="exact"/>
              <w:ind w:left="0" w:right="0"/>
              <w:jc w:val="center"/>
              <w:rPr>
                <w:rFonts w:hint="eastAsia"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bidi="ar-SA"/>
              </w:rPr>
              <w:t>22</w:t>
            </w:r>
            <w:r>
              <w:rPr>
                <w:rFonts w:hint="default" w:ascii="Times New Roman" w:hAnsi="Times New Roman" w:eastAsia="宋体" w:cs="Times New Roman"/>
                <w:color w:val="000000"/>
                <w:kern w:val="0"/>
                <w:sz w:val="21"/>
                <w:szCs w:val="21"/>
                <w:highlight w:val="none"/>
                <w:lang w:val="en-US" w:eastAsia="zh-CN" w:bidi="ar-SA"/>
              </w:rPr>
              <w:t>:</w:t>
            </w:r>
            <w:r>
              <w:rPr>
                <w:rFonts w:hint="eastAsia" w:ascii="Times New Roman" w:hAnsi="Times New Roman" w:eastAsia="宋体" w:cs="Times New Roman"/>
                <w:color w:val="000000"/>
                <w:kern w:val="0"/>
                <w:sz w:val="21"/>
                <w:szCs w:val="21"/>
                <w:highlight w:val="none"/>
                <w:lang w:val="en-US" w:eastAsia="zh-CN" w:bidi="ar-SA"/>
              </w:rPr>
              <w:t>40</w:t>
            </w:r>
          </w:p>
        </w:tc>
        <w:tc>
          <w:tcPr>
            <w:tcW w:w="606" w:type="pct"/>
            <w:noWrap w:val="0"/>
            <w:vAlign w:val="center"/>
          </w:tcPr>
          <w:p w14:paraId="3A0A4D15">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44</w:t>
            </w:r>
          </w:p>
        </w:tc>
        <w:tc>
          <w:tcPr>
            <w:tcW w:w="604" w:type="pct"/>
            <w:noWrap w:val="0"/>
            <w:vAlign w:val="center"/>
          </w:tcPr>
          <w:p w14:paraId="175AD69D">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55</w:t>
            </w:r>
          </w:p>
        </w:tc>
      </w:tr>
      <w:tr w14:paraId="357D90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539" w:type="pct"/>
            <w:vMerge w:val="continue"/>
            <w:shd w:val="clear" w:color="auto" w:fill="auto"/>
            <w:noWrap w:val="0"/>
            <w:vAlign w:val="center"/>
          </w:tcPr>
          <w:p w14:paraId="53A9D11E">
            <w:pPr>
              <w:keepNext w:val="0"/>
              <w:keepLines w:val="0"/>
              <w:suppressLineNumbers w:val="0"/>
              <w:wordWrap/>
              <w:adjustRightInd/>
              <w:snapToGrid/>
              <w:spacing w:before="0" w:beforeAutospacing="0" w:after="0" w:afterAutospacing="0" w:line="240" w:lineRule="exact"/>
              <w:ind w:left="0" w:right="0" w:firstLine="0" w:firstLineChars="0"/>
              <w:jc w:val="center"/>
              <w:rPr>
                <w:rFonts w:hint="default" w:ascii="Times New Roman" w:hAnsi="Times New Roman" w:eastAsia="宋体" w:cs="Times New Roman"/>
                <w:color w:val="000000"/>
                <w:sz w:val="21"/>
                <w:szCs w:val="21"/>
                <w:highlight w:val="none"/>
              </w:rPr>
            </w:pPr>
          </w:p>
        </w:tc>
        <w:tc>
          <w:tcPr>
            <w:tcW w:w="847" w:type="pct"/>
            <w:shd w:val="clear" w:color="auto" w:fill="auto"/>
            <w:noWrap w:val="0"/>
            <w:vAlign w:val="center"/>
          </w:tcPr>
          <w:p w14:paraId="1251703F">
            <w:pPr>
              <w:keepNext w:val="0"/>
              <w:keepLines w:val="0"/>
              <w:suppressLineNumbers w:val="0"/>
              <w:wordWrap/>
              <w:adjustRightInd/>
              <w:snapToGrid/>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sz w:val="21"/>
                <w:szCs w:val="21"/>
                <w:highlight w:val="none"/>
              </w:rPr>
            </w:pPr>
            <w:r>
              <w:rPr>
                <w:rFonts w:hint="default" w:ascii="宋体" w:hAnsi="宋体" w:eastAsia="宋体" w:cs="Times New Roman"/>
                <w:color w:val="000000"/>
                <w:sz w:val="21"/>
                <w:szCs w:val="21"/>
                <w:highlight w:val="none"/>
              </w:rPr>
              <w:t>▲</w:t>
            </w:r>
            <w:r>
              <w:rPr>
                <w:rFonts w:hint="default" w:ascii="Times New Roman" w:hAnsi="Times New Roman" w:eastAsia="宋体" w:cs="Times New Roman"/>
                <w:color w:val="000000"/>
                <w:sz w:val="21"/>
                <w:szCs w:val="21"/>
                <w:highlight w:val="none"/>
              </w:rPr>
              <w:t>4</w:t>
            </w:r>
            <w:r>
              <w:rPr>
                <w:rFonts w:hint="default" w:ascii="Times New Roman" w:hAnsi="宋体" w:eastAsia="宋体" w:cs="Times New Roman"/>
                <w:color w:val="000000"/>
                <w:sz w:val="21"/>
                <w:szCs w:val="21"/>
                <w:highlight w:val="none"/>
              </w:rPr>
              <w:t>厂界</w:t>
            </w:r>
            <w:r>
              <w:rPr>
                <w:rFonts w:hint="eastAsia" w:ascii="Times New Roman" w:hAnsi="宋体" w:eastAsia="宋体" w:cs="Times New Roman"/>
                <w:color w:val="000000"/>
                <w:sz w:val="21"/>
                <w:szCs w:val="21"/>
                <w:highlight w:val="none"/>
              </w:rPr>
              <w:t>北</w:t>
            </w:r>
            <w:r>
              <w:rPr>
                <w:rFonts w:hint="default" w:ascii="Times New Roman" w:hAnsi="宋体" w:eastAsia="宋体" w:cs="Times New Roman"/>
                <w:color w:val="000000"/>
                <w:sz w:val="21"/>
                <w:szCs w:val="21"/>
                <w:highlight w:val="none"/>
              </w:rPr>
              <w:t>侧</w:t>
            </w:r>
          </w:p>
        </w:tc>
        <w:tc>
          <w:tcPr>
            <w:tcW w:w="559" w:type="pct"/>
            <w:shd w:val="clear" w:color="auto" w:fill="FFFFFF"/>
            <w:noWrap w:val="0"/>
            <w:vAlign w:val="center"/>
          </w:tcPr>
          <w:p w14:paraId="19573C7A">
            <w:pPr>
              <w:keepNext w:val="0"/>
              <w:keepLines w:val="0"/>
              <w:widowControl w:val="0"/>
              <w:suppressLineNumbers w:val="0"/>
              <w:spacing w:before="0" w:beforeAutospacing="0" w:after="0" w:afterAutospacing="0" w:line="240" w:lineRule="exact"/>
              <w:ind w:left="0" w:right="0"/>
              <w:jc w:val="center"/>
              <w:rPr>
                <w:rFonts w:hint="eastAsia"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bidi="ar-SA"/>
              </w:rPr>
              <w:t>09</w:t>
            </w:r>
            <w:r>
              <w:rPr>
                <w:rFonts w:hint="default" w:ascii="Times New Roman" w:hAnsi="Times New Roman" w:eastAsia="宋体" w:cs="Times New Roman"/>
                <w:color w:val="000000"/>
                <w:kern w:val="0"/>
                <w:sz w:val="21"/>
                <w:szCs w:val="21"/>
                <w:highlight w:val="none"/>
                <w:lang w:val="en-US" w:eastAsia="zh-CN" w:bidi="ar-SA"/>
              </w:rPr>
              <w:t>:</w:t>
            </w:r>
            <w:r>
              <w:rPr>
                <w:rFonts w:hint="eastAsia" w:ascii="Times New Roman" w:hAnsi="Times New Roman" w:eastAsia="宋体" w:cs="Times New Roman"/>
                <w:color w:val="000000"/>
                <w:kern w:val="0"/>
                <w:sz w:val="21"/>
                <w:szCs w:val="21"/>
                <w:highlight w:val="none"/>
                <w:lang w:val="en-US" w:eastAsia="zh-CN" w:bidi="ar-SA"/>
              </w:rPr>
              <w:t>00</w:t>
            </w:r>
          </w:p>
        </w:tc>
        <w:tc>
          <w:tcPr>
            <w:tcW w:w="623" w:type="pct"/>
            <w:shd w:val="clear" w:color="auto" w:fill="FFFFFF"/>
            <w:noWrap w:val="0"/>
            <w:vAlign w:val="center"/>
          </w:tcPr>
          <w:p w14:paraId="6E6C79DA">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54</w:t>
            </w:r>
          </w:p>
        </w:tc>
        <w:tc>
          <w:tcPr>
            <w:tcW w:w="610" w:type="pct"/>
            <w:noWrap w:val="0"/>
            <w:vAlign w:val="center"/>
          </w:tcPr>
          <w:p w14:paraId="2D5F7A52">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65</w:t>
            </w:r>
          </w:p>
        </w:tc>
        <w:tc>
          <w:tcPr>
            <w:tcW w:w="609" w:type="pct"/>
            <w:noWrap w:val="0"/>
            <w:vAlign w:val="center"/>
          </w:tcPr>
          <w:p w14:paraId="32A6DBCC">
            <w:pPr>
              <w:keepNext w:val="0"/>
              <w:keepLines w:val="0"/>
              <w:widowControl w:val="0"/>
              <w:suppressLineNumbers w:val="0"/>
              <w:spacing w:before="0" w:beforeAutospacing="0" w:after="0" w:afterAutospacing="0" w:line="240" w:lineRule="exact"/>
              <w:ind w:left="0" w:right="0"/>
              <w:jc w:val="center"/>
              <w:rPr>
                <w:rFonts w:hint="eastAsia"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bidi="ar-SA"/>
              </w:rPr>
              <w:t>23</w:t>
            </w:r>
            <w:r>
              <w:rPr>
                <w:rFonts w:hint="default" w:ascii="Times New Roman" w:hAnsi="Times New Roman" w:eastAsia="宋体" w:cs="Times New Roman"/>
                <w:color w:val="000000"/>
                <w:kern w:val="0"/>
                <w:sz w:val="21"/>
                <w:szCs w:val="21"/>
                <w:highlight w:val="none"/>
                <w:lang w:val="en-US" w:eastAsia="zh-CN" w:bidi="ar-SA"/>
              </w:rPr>
              <w:t>:</w:t>
            </w:r>
            <w:r>
              <w:rPr>
                <w:rFonts w:hint="eastAsia" w:ascii="Times New Roman" w:hAnsi="Times New Roman" w:eastAsia="宋体" w:cs="Times New Roman"/>
                <w:color w:val="000000"/>
                <w:kern w:val="0"/>
                <w:sz w:val="21"/>
                <w:szCs w:val="21"/>
                <w:highlight w:val="none"/>
                <w:lang w:val="en-US" w:eastAsia="zh-CN" w:bidi="ar-SA"/>
              </w:rPr>
              <w:t>00</w:t>
            </w:r>
          </w:p>
        </w:tc>
        <w:tc>
          <w:tcPr>
            <w:tcW w:w="606" w:type="pct"/>
            <w:noWrap w:val="0"/>
            <w:vAlign w:val="center"/>
          </w:tcPr>
          <w:p w14:paraId="05AE4454">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43</w:t>
            </w:r>
          </w:p>
        </w:tc>
        <w:tc>
          <w:tcPr>
            <w:tcW w:w="604" w:type="pct"/>
            <w:noWrap w:val="0"/>
            <w:vAlign w:val="center"/>
          </w:tcPr>
          <w:p w14:paraId="510B61EE">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55</w:t>
            </w:r>
          </w:p>
        </w:tc>
      </w:tr>
      <w:tr w14:paraId="406A2C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539" w:type="pct"/>
            <w:vMerge w:val="continue"/>
            <w:shd w:val="clear" w:color="auto" w:fill="auto"/>
            <w:noWrap w:val="0"/>
            <w:vAlign w:val="center"/>
          </w:tcPr>
          <w:p w14:paraId="6413F1A8">
            <w:pPr>
              <w:keepNext w:val="0"/>
              <w:keepLines w:val="0"/>
              <w:suppressLineNumbers w:val="0"/>
              <w:wordWrap/>
              <w:adjustRightInd/>
              <w:snapToGrid/>
              <w:spacing w:before="0" w:beforeAutospacing="0" w:after="0" w:afterAutospacing="0" w:line="240" w:lineRule="exact"/>
              <w:ind w:left="0" w:right="0" w:firstLine="0" w:firstLineChars="0"/>
              <w:jc w:val="center"/>
              <w:rPr>
                <w:rFonts w:hint="default" w:ascii="Times New Roman" w:hAnsi="Times New Roman" w:eastAsia="宋体" w:cs="Times New Roman"/>
                <w:color w:val="000000"/>
                <w:sz w:val="21"/>
                <w:szCs w:val="21"/>
                <w:highlight w:val="none"/>
              </w:rPr>
            </w:pPr>
          </w:p>
        </w:tc>
        <w:tc>
          <w:tcPr>
            <w:tcW w:w="847" w:type="pct"/>
            <w:shd w:val="clear" w:color="auto" w:fill="auto"/>
            <w:noWrap w:val="0"/>
            <w:vAlign w:val="center"/>
          </w:tcPr>
          <w:p w14:paraId="6C11E7A5">
            <w:pPr>
              <w:keepNext w:val="0"/>
              <w:keepLines w:val="0"/>
              <w:suppressLineNumbers w:val="0"/>
              <w:wordWrap/>
              <w:adjustRightInd/>
              <w:snapToGrid/>
              <w:spacing w:before="0" w:beforeAutospacing="0" w:after="0" w:afterAutospacing="0" w:line="240" w:lineRule="atLeast"/>
              <w:ind w:left="0" w:right="0" w:firstLine="0" w:firstLineChars="0"/>
              <w:jc w:val="center"/>
              <w:rPr>
                <w:rFonts w:hint="default" w:ascii="Times New Roman" w:hAnsi="Times New Roman" w:eastAsia="宋体" w:cs="Times New Roman"/>
                <w:color w:val="000000"/>
                <w:sz w:val="21"/>
                <w:szCs w:val="21"/>
                <w:highlight w:val="none"/>
              </w:rPr>
            </w:pPr>
            <w:r>
              <w:rPr>
                <w:rFonts w:hint="eastAsia" w:ascii="Times New Roman" w:hAnsi="Times New Roman" w:eastAsia="宋体" w:cs="Times New Roman"/>
                <w:color w:val="000000"/>
                <w:sz w:val="21"/>
                <w:szCs w:val="21"/>
                <w:highlight w:val="none"/>
              </w:rPr>
              <w:t>△5</w:t>
            </w:r>
            <w:r>
              <w:rPr>
                <w:rFonts w:hint="eastAsia" w:ascii="Times New Roman" w:hAnsi="宋体" w:eastAsia="宋体" w:cs="Times New Roman"/>
                <w:sz w:val="21"/>
                <w:szCs w:val="21"/>
                <w:highlight w:val="none"/>
              </w:rPr>
              <w:t>刘家村</w:t>
            </w:r>
          </w:p>
        </w:tc>
        <w:tc>
          <w:tcPr>
            <w:tcW w:w="559" w:type="pct"/>
            <w:shd w:val="clear" w:color="auto" w:fill="FFFFFF"/>
            <w:noWrap w:val="0"/>
            <w:vAlign w:val="center"/>
          </w:tcPr>
          <w:p w14:paraId="6CED5F48">
            <w:pPr>
              <w:keepNext w:val="0"/>
              <w:keepLines w:val="0"/>
              <w:widowControl w:val="0"/>
              <w:suppressLineNumbers w:val="0"/>
              <w:spacing w:before="0" w:beforeAutospacing="0" w:after="0" w:afterAutospacing="0" w:line="240" w:lineRule="exact"/>
              <w:ind w:left="0" w:right="0"/>
              <w:jc w:val="center"/>
              <w:rPr>
                <w:rFonts w:hint="eastAsia"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bidi="ar-SA"/>
              </w:rPr>
              <w:t>09</w:t>
            </w:r>
            <w:r>
              <w:rPr>
                <w:rFonts w:hint="default" w:ascii="Times New Roman" w:hAnsi="Times New Roman" w:eastAsia="宋体" w:cs="Times New Roman"/>
                <w:color w:val="000000"/>
                <w:kern w:val="0"/>
                <w:sz w:val="21"/>
                <w:szCs w:val="21"/>
                <w:highlight w:val="none"/>
                <w:lang w:val="en-US" w:eastAsia="zh-CN" w:bidi="ar-SA"/>
              </w:rPr>
              <w:t>:</w:t>
            </w:r>
            <w:r>
              <w:rPr>
                <w:rFonts w:hint="eastAsia" w:ascii="Times New Roman" w:hAnsi="Times New Roman" w:eastAsia="宋体" w:cs="Times New Roman"/>
                <w:color w:val="000000"/>
                <w:kern w:val="0"/>
                <w:sz w:val="21"/>
                <w:szCs w:val="21"/>
                <w:highlight w:val="none"/>
                <w:lang w:val="en-US" w:eastAsia="zh-CN" w:bidi="ar-SA"/>
              </w:rPr>
              <w:t>20</w:t>
            </w:r>
          </w:p>
        </w:tc>
        <w:tc>
          <w:tcPr>
            <w:tcW w:w="623" w:type="pct"/>
            <w:shd w:val="clear" w:color="auto" w:fill="FFFFFF"/>
            <w:noWrap w:val="0"/>
            <w:vAlign w:val="center"/>
          </w:tcPr>
          <w:p w14:paraId="6C1C0EF7">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55</w:t>
            </w:r>
          </w:p>
        </w:tc>
        <w:tc>
          <w:tcPr>
            <w:tcW w:w="610" w:type="pct"/>
            <w:noWrap w:val="0"/>
            <w:vAlign w:val="center"/>
          </w:tcPr>
          <w:p w14:paraId="65486383">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60</w:t>
            </w:r>
          </w:p>
        </w:tc>
        <w:tc>
          <w:tcPr>
            <w:tcW w:w="609" w:type="pct"/>
            <w:noWrap w:val="0"/>
            <w:vAlign w:val="center"/>
          </w:tcPr>
          <w:p w14:paraId="08AB90B0">
            <w:pPr>
              <w:keepNext w:val="0"/>
              <w:keepLines w:val="0"/>
              <w:widowControl w:val="0"/>
              <w:suppressLineNumbers w:val="0"/>
              <w:spacing w:before="0" w:beforeAutospacing="0" w:after="0" w:afterAutospacing="0" w:line="240" w:lineRule="exact"/>
              <w:ind w:left="0" w:right="0"/>
              <w:jc w:val="center"/>
              <w:rPr>
                <w:rFonts w:hint="eastAsia"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bidi="ar-SA"/>
              </w:rPr>
              <w:t>23</w:t>
            </w:r>
            <w:r>
              <w:rPr>
                <w:rFonts w:hint="default" w:ascii="Times New Roman" w:hAnsi="Times New Roman" w:eastAsia="宋体" w:cs="Times New Roman"/>
                <w:color w:val="000000"/>
                <w:kern w:val="0"/>
                <w:sz w:val="21"/>
                <w:szCs w:val="21"/>
                <w:highlight w:val="none"/>
                <w:lang w:val="en-US" w:eastAsia="zh-CN" w:bidi="ar-SA"/>
              </w:rPr>
              <w:t>:</w:t>
            </w:r>
            <w:r>
              <w:rPr>
                <w:rFonts w:hint="eastAsia" w:ascii="Times New Roman" w:hAnsi="Times New Roman" w:eastAsia="宋体" w:cs="Times New Roman"/>
                <w:color w:val="000000"/>
                <w:kern w:val="0"/>
                <w:sz w:val="21"/>
                <w:szCs w:val="21"/>
                <w:highlight w:val="none"/>
                <w:lang w:val="en-US" w:eastAsia="zh-CN" w:bidi="ar-SA"/>
              </w:rPr>
              <w:t>20</w:t>
            </w:r>
          </w:p>
        </w:tc>
        <w:tc>
          <w:tcPr>
            <w:tcW w:w="606" w:type="pct"/>
            <w:noWrap w:val="0"/>
            <w:vAlign w:val="center"/>
          </w:tcPr>
          <w:p w14:paraId="102801B9">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42</w:t>
            </w:r>
          </w:p>
        </w:tc>
        <w:tc>
          <w:tcPr>
            <w:tcW w:w="604" w:type="pct"/>
            <w:noWrap w:val="0"/>
            <w:vAlign w:val="center"/>
          </w:tcPr>
          <w:p w14:paraId="18D4F31B">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50</w:t>
            </w:r>
          </w:p>
        </w:tc>
      </w:tr>
    </w:tbl>
    <w:p w14:paraId="3FCDA322">
      <w:pPr>
        <w:pStyle w:val="7"/>
        <w:bidi w:val="0"/>
        <w:rPr>
          <w:highlight w:val="none"/>
        </w:rPr>
      </w:pPr>
      <w:r>
        <w:rPr>
          <w:highlight w:val="none"/>
        </w:rPr>
        <w:t>表4-2-</w:t>
      </w:r>
      <w:r>
        <w:rPr>
          <w:rFonts w:hint="eastAsia"/>
          <w:highlight w:val="none"/>
          <w:lang w:val="en-US" w:eastAsia="zh-CN"/>
        </w:rPr>
        <w:t>13</w:t>
      </w:r>
      <w:r>
        <w:rPr>
          <w:highlight w:val="none"/>
        </w:rPr>
        <w:t>声环境现状监测结果</w:t>
      </w:r>
    </w:p>
    <w:p w14:paraId="460AFA95">
      <w:pPr>
        <w:bidi w:val="0"/>
        <w:rPr>
          <w:rFonts w:eastAsiaTheme="minorEastAsia"/>
          <w:sz w:val="24"/>
          <w:highlight w:val="none"/>
        </w:rPr>
      </w:pPr>
      <w:r>
        <w:rPr>
          <w:rFonts w:eastAsiaTheme="minorEastAsia"/>
          <w:b/>
          <w:sz w:val="24"/>
          <w:highlight w:val="none"/>
        </w:rPr>
        <w:t>4.2.4.2</w:t>
      </w:r>
      <w:r>
        <w:rPr>
          <w:rFonts w:hAnsiTheme="minorEastAsia" w:eastAsiaTheme="minorEastAsia"/>
          <w:b/>
          <w:sz w:val="24"/>
          <w:highlight w:val="none"/>
        </w:rPr>
        <w:t>声环境质量现状评价</w:t>
      </w:r>
    </w:p>
    <w:p w14:paraId="1B52AD84">
      <w:pPr>
        <w:bidi w:val="0"/>
        <w:rPr>
          <w:highlight w:val="none"/>
          <w:lang w:val="zh-CN"/>
        </w:rPr>
      </w:pPr>
      <w:r>
        <w:rPr>
          <w:highlight w:val="none"/>
          <w:lang w:val="zh-CN"/>
        </w:rPr>
        <w:t>（1）评价因子</w:t>
      </w:r>
    </w:p>
    <w:p w14:paraId="528DCA1E">
      <w:pPr>
        <w:bidi w:val="0"/>
        <w:rPr>
          <w:highlight w:val="none"/>
          <w:lang w:val="zh-CN"/>
        </w:rPr>
      </w:pPr>
      <w:r>
        <w:rPr>
          <w:highlight w:val="none"/>
          <w:lang w:val="zh-CN"/>
        </w:rPr>
        <w:t>选择等效连续A声级Leq（A）为本项目环境噪声的评价因子。</w:t>
      </w:r>
    </w:p>
    <w:p w14:paraId="78527B81">
      <w:pPr>
        <w:bidi w:val="0"/>
        <w:rPr>
          <w:highlight w:val="none"/>
          <w:lang w:val="zh-CN"/>
        </w:rPr>
      </w:pPr>
      <w:r>
        <w:rPr>
          <w:highlight w:val="none"/>
          <w:lang w:val="zh-CN"/>
        </w:rPr>
        <w:t>（2）评价方法</w:t>
      </w:r>
    </w:p>
    <w:p w14:paraId="41BFF94E">
      <w:pPr>
        <w:bidi w:val="0"/>
        <w:rPr>
          <w:highlight w:val="none"/>
          <w:lang w:val="zh-CN"/>
        </w:rPr>
      </w:pPr>
      <w:r>
        <w:rPr>
          <w:highlight w:val="none"/>
          <w:lang w:val="zh-CN"/>
        </w:rPr>
        <w:t>直接比较法。</w:t>
      </w:r>
    </w:p>
    <w:p w14:paraId="06335CD6">
      <w:pPr>
        <w:bidi w:val="0"/>
        <w:rPr>
          <w:highlight w:val="none"/>
          <w:lang w:val="zh-CN"/>
        </w:rPr>
      </w:pPr>
      <w:r>
        <w:rPr>
          <w:highlight w:val="none"/>
          <w:lang w:val="zh-CN"/>
        </w:rPr>
        <w:t>（3）评价标准</w:t>
      </w:r>
    </w:p>
    <w:p w14:paraId="42D1AF03">
      <w:pPr>
        <w:bidi w:val="0"/>
        <w:rPr>
          <w:highlight w:val="none"/>
          <w:lang w:val="zh-CN"/>
        </w:rPr>
      </w:pPr>
      <w:r>
        <w:rPr>
          <w:highlight w:val="none"/>
          <w:lang w:val="zh-CN"/>
        </w:rPr>
        <w:t>评价标准采用厂界《声环境质量标准》（GB3096-2008）中的</w:t>
      </w:r>
      <w:r>
        <w:rPr>
          <w:rFonts w:hint="eastAsia"/>
          <w:highlight w:val="none"/>
          <w:lang w:val="en-US" w:eastAsia="zh-CN"/>
        </w:rPr>
        <w:t>1</w:t>
      </w:r>
      <w:r>
        <w:rPr>
          <w:highlight w:val="none"/>
          <w:lang w:val="zh-CN"/>
        </w:rPr>
        <w:t>类标准，即：昼间</w:t>
      </w:r>
      <w:r>
        <w:rPr>
          <w:rFonts w:hint="eastAsia"/>
          <w:highlight w:val="none"/>
          <w:lang w:val="en-US" w:eastAsia="zh-CN"/>
        </w:rPr>
        <w:t>5</w:t>
      </w:r>
      <w:r>
        <w:rPr>
          <w:highlight w:val="none"/>
          <w:lang w:val="zh-CN"/>
        </w:rPr>
        <w:t>5dB</w:t>
      </w:r>
      <w:r>
        <w:rPr>
          <w:rFonts w:hint="eastAsia"/>
          <w:highlight w:val="none"/>
          <w:lang w:val="zh-CN"/>
        </w:rPr>
        <w:t>（</w:t>
      </w:r>
      <w:r>
        <w:rPr>
          <w:highlight w:val="none"/>
          <w:lang w:val="zh-CN"/>
        </w:rPr>
        <w:t>A</w:t>
      </w:r>
      <w:r>
        <w:rPr>
          <w:rFonts w:hint="eastAsia"/>
          <w:highlight w:val="none"/>
          <w:lang w:val="zh-CN"/>
        </w:rPr>
        <w:t>）</w:t>
      </w:r>
      <w:r>
        <w:rPr>
          <w:highlight w:val="none"/>
          <w:lang w:val="zh-CN"/>
        </w:rPr>
        <w:t>，夜间</w:t>
      </w:r>
      <w:r>
        <w:rPr>
          <w:rFonts w:hint="eastAsia"/>
          <w:highlight w:val="none"/>
          <w:lang w:val="en-US" w:eastAsia="zh-CN"/>
        </w:rPr>
        <w:t>4</w:t>
      </w:r>
      <w:r>
        <w:rPr>
          <w:highlight w:val="none"/>
          <w:lang w:val="zh-CN"/>
        </w:rPr>
        <w:t>5dB</w:t>
      </w:r>
      <w:r>
        <w:rPr>
          <w:rFonts w:hint="eastAsia"/>
          <w:highlight w:val="none"/>
          <w:lang w:val="zh-CN"/>
        </w:rPr>
        <w:t>（</w:t>
      </w:r>
      <w:r>
        <w:rPr>
          <w:highlight w:val="none"/>
          <w:lang w:val="zh-CN"/>
        </w:rPr>
        <w:t>A</w:t>
      </w:r>
      <w:r>
        <w:rPr>
          <w:rFonts w:hint="eastAsia"/>
          <w:highlight w:val="none"/>
          <w:lang w:val="zh-CN"/>
        </w:rPr>
        <w:t>）</w:t>
      </w:r>
      <w:r>
        <w:rPr>
          <w:highlight w:val="none"/>
          <w:lang w:val="zh-CN"/>
        </w:rPr>
        <w:t>。</w:t>
      </w:r>
    </w:p>
    <w:p w14:paraId="5864DFE8">
      <w:pPr>
        <w:bidi w:val="0"/>
        <w:rPr>
          <w:highlight w:val="none"/>
          <w:lang w:val="zh-CN"/>
        </w:rPr>
      </w:pPr>
      <w:r>
        <w:rPr>
          <w:highlight w:val="none"/>
          <w:lang w:val="zh-CN"/>
        </w:rPr>
        <w:t>（4）评价结论</w:t>
      </w:r>
    </w:p>
    <w:p w14:paraId="36D9BC73">
      <w:pPr>
        <w:bidi w:val="0"/>
        <w:rPr>
          <w:highlight w:val="none"/>
          <w:lang w:val="zh-CN"/>
        </w:rPr>
      </w:pPr>
      <w:r>
        <w:rPr>
          <w:highlight w:val="none"/>
          <w:lang w:val="zh-CN"/>
        </w:rPr>
        <w:t>通过将环境噪声现状监测结果与标准比较，监测点环境噪声昼夜值均满足《声环境质量标准》（GB3096-2008）中的</w:t>
      </w:r>
      <w:r>
        <w:rPr>
          <w:rFonts w:hint="eastAsia"/>
          <w:highlight w:val="none"/>
          <w:lang w:val="en-US" w:eastAsia="zh-CN"/>
        </w:rPr>
        <w:t>1</w:t>
      </w:r>
      <w:r>
        <w:rPr>
          <w:highlight w:val="none"/>
          <w:lang w:val="zh-CN"/>
        </w:rPr>
        <w:t>类标准。</w:t>
      </w:r>
    </w:p>
    <w:p w14:paraId="5E9A9EA0">
      <w:pPr>
        <w:pStyle w:val="4"/>
        <w:bidi w:val="0"/>
        <w:rPr>
          <w:rFonts w:hint="default"/>
          <w:highlight w:val="none"/>
          <w:lang w:val="en-US"/>
        </w:rPr>
      </w:pPr>
      <w:bookmarkStart w:id="350" w:name="_Toc11631"/>
      <w:bookmarkStart w:id="351" w:name="_Toc9225"/>
      <w:bookmarkStart w:id="352" w:name="_Toc810"/>
      <w:r>
        <w:rPr>
          <w:rFonts w:hint="default"/>
          <w:highlight w:val="none"/>
          <w:lang w:val="en-US"/>
        </w:rPr>
        <w:t>4.2.5</w:t>
      </w:r>
      <w:r>
        <w:rPr>
          <w:highlight w:val="none"/>
          <w:lang w:eastAsia="zh-CN"/>
        </w:rPr>
        <w:t>土壤现状监测</w:t>
      </w:r>
      <w:bookmarkEnd w:id="350"/>
      <w:bookmarkEnd w:id="351"/>
      <w:bookmarkEnd w:id="352"/>
    </w:p>
    <w:p w14:paraId="3945642D">
      <w:pPr>
        <w:bidi w:val="0"/>
        <w:rPr>
          <w:rFonts w:hint="eastAsia"/>
          <w:b/>
          <w:bCs/>
          <w:highlight w:val="none"/>
          <w:lang w:val="en-US" w:eastAsia="zh-CN"/>
        </w:rPr>
      </w:pPr>
      <w:r>
        <w:rPr>
          <w:rFonts w:hint="default"/>
          <w:b/>
          <w:bCs/>
          <w:highlight w:val="none"/>
          <w:lang w:val="en-US" w:eastAsia="zh-CN"/>
        </w:rPr>
        <w:t>4.2.5.1</w:t>
      </w:r>
      <w:r>
        <w:rPr>
          <w:rFonts w:hint="eastAsia"/>
          <w:b/>
          <w:bCs/>
          <w:highlight w:val="none"/>
          <w:lang w:val="en-US" w:eastAsia="zh-CN"/>
        </w:rPr>
        <w:t>土壤现状监测</w:t>
      </w:r>
    </w:p>
    <w:p w14:paraId="5812FBB4">
      <w:pPr>
        <w:spacing w:line="360" w:lineRule="auto"/>
        <w:ind w:firstLine="480" w:firstLineChars="200"/>
        <w:rPr>
          <w:rFonts w:hint="eastAsia" w:cs="Times New Roman"/>
          <w:snapToGrid w:val="0"/>
          <w:spacing w:val="0"/>
          <w:kern w:val="24"/>
          <w:position w:val="0"/>
          <w:sz w:val="24"/>
          <w:highlight w:val="none"/>
          <w:lang w:val="en-US" w:eastAsia="zh-CN" w:bidi="ar"/>
        </w:rPr>
      </w:pPr>
      <w:bookmarkStart w:id="353" w:name="_Toc9949"/>
      <w:bookmarkStart w:id="354" w:name="_Toc25004"/>
      <w:r>
        <w:rPr>
          <w:rFonts w:hint="default" w:ascii="Times New Roman" w:hAnsi="Times New Roman" w:cs="Times New Roman"/>
          <w:snapToGrid w:val="0"/>
          <w:spacing w:val="0"/>
          <w:kern w:val="24"/>
          <w:position w:val="0"/>
          <w:sz w:val="24"/>
          <w:highlight w:val="none"/>
          <w:lang w:val="zh-CN" w:bidi="ar"/>
        </w:rPr>
        <w:t>1、</w:t>
      </w:r>
      <w:bookmarkEnd w:id="353"/>
      <w:bookmarkStart w:id="355" w:name="_Toc14306"/>
      <w:r>
        <w:rPr>
          <w:rFonts w:hint="eastAsia" w:cs="Times New Roman"/>
          <w:snapToGrid w:val="0"/>
          <w:spacing w:val="0"/>
          <w:kern w:val="24"/>
          <w:position w:val="0"/>
          <w:sz w:val="24"/>
          <w:highlight w:val="none"/>
          <w:lang w:val="en-US" w:eastAsia="zh-CN" w:bidi="ar"/>
        </w:rPr>
        <w:t>土壤理化性质调查</w:t>
      </w:r>
    </w:p>
    <w:bookmarkEnd w:id="355"/>
    <w:p w14:paraId="3EA0BE20">
      <w:pPr>
        <w:bidi w:val="0"/>
        <w:rPr>
          <w:rFonts w:hint="default" w:ascii="Times New Roman" w:hAnsi="宋体" w:eastAsia="Times New Roman" w:cs="宋体"/>
          <w:spacing w:val="0"/>
          <w:position w:val="0"/>
          <w:highlight w:val="none"/>
          <w:lang w:eastAsia="zh-CN"/>
        </w:rPr>
      </w:pPr>
      <w:r>
        <w:rPr>
          <w:rFonts w:hint="eastAsia" w:ascii="宋体" w:hAnsi="宋体" w:eastAsia="宋体" w:cs="宋体"/>
          <w:spacing w:val="0"/>
          <w:kern w:val="0"/>
          <w:position w:val="0"/>
          <w:sz w:val="24"/>
          <w:szCs w:val="24"/>
          <w:highlight w:val="none"/>
          <w:lang w:val="en-US" w:eastAsia="zh-CN" w:bidi="ar"/>
        </w:rPr>
        <w:t>本项目所在区域土壤理化特性见</w:t>
      </w:r>
      <w:r>
        <w:rPr>
          <w:rFonts w:hint="eastAsia" w:ascii="宋体" w:hAnsi="宋体" w:cs="宋体"/>
          <w:spacing w:val="0"/>
          <w:kern w:val="0"/>
          <w:position w:val="0"/>
          <w:sz w:val="24"/>
          <w:szCs w:val="24"/>
          <w:highlight w:val="none"/>
          <w:lang w:val="en-US" w:eastAsia="zh-CN" w:bidi="ar"/>
        </w:rPr>
        <w:t>下</w:t>
      </w:r>
      <w:r>
        <w:rPr>
          <w:rFonts w:hint="eastAsia" w:ascii="宋体" w:hAnsi="宋体" w:eastAsia="宋体" w:cs="宋体"/>
          <w:spacing w:val="0"/>
          <w:kern w:val="0"/>
          <w:position w:val="0"/>
          <w:sz w:val="24"/>
          <w:szCs w:val="24"/>
          <w:highlight w:val="none"/>
          <w:lang w:val="en-US" w:eastAsia="zh-CN" w:bidi="ar"/>
        </w:rPr>
        <w:t>表。</w:t>
      </w:r>
    </w:p>
    <w:p w14:paraId="6C7BEF03">
      <w:pPr>
        <w:pStyle w:val="7"/>
        <w:bidi w:val="0"/>
        <w:rPr>
          <w:highlight w:val="none"/>
        </w:rPr>
      </w:pPr>
      <w:r>
        <w:rPr>
          <w:highlight w:val="none"/>
          <w:lang w:eastAsia="zh-CN"/>
        </w:rPr>
        <w:t>表</w:t>
      </w:r>
      <w:r>
        <w:rPr>
          <w:rFonts w:hint="default"/>
          <w:highlight w:val="none"/>
          <w:lang w:eastAsia="zh-CN"/>
        </w:rPr>
        <w:t>4</w:t>
      </w:r>
      <w:r>
        <w:rPr>
          <w:rFonts w:hint="eastAsia"/>
          <w:highlight w:val="none"/>
          <w:lang w:val="en-US" w:eastAsia="zh-CN"/>
        </w:rPr>
        <w:t>-</w:t>
      </w:r>
      <w:r>
        <w:rPr>
          <w:rFonts w:hint="default"/>
          <w:highlight w:val="none"/>
          <w:lang w:eastAsia="zh-CN"/>
        </w:rPr>
        <w:t>2-1</w:t>
      </w:r>
      <w:r>
        <w:rPr>
          <w:rFonts w:hint="eastAsia"/>
          <w:highlight w:val="none"/>
          <w:lang w:val="en-US" w:eastAsia="zh-CN"/>
        </w:rPr>
        <w:t>4</w:t>
      </w:r>
      <w:r>
        <w:rPr>
          <w:rFonts w:hint="default"/>
          <w:highlight w:val="none"/>
          <w:lang w:eastAsia="zh-CN"/>
        </w:rPr>
        <w:tab/>
      </w:r>
      <w:r>
        <w:rPr>
          <w:highlight w:val="none"/>
          <w:lang w:eastAsia="zh-CN"/>
        </w:rPr>
        <w:t>土壤现场记录及理化性测定情况一览表</w:t>
      </w:r>
    </w:p>
    <w:tbl>
      <w:tblPr>
        <w:tblStyle w:val="739"/>
        <w:tblW w:w="5000"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shd w:val="clear" w:color="auto" w:fill="auto"/>
        <w:tblLayout w:type="fixed"/>
        <w:tblCellMar>
          <w:top w:w="0" w:type="dxa"/>
          <w:left w:w="0" w:type="dxa"/>
          <w:bottom w:w="0" w:type="dxa"/>
          <w:right w:w="0" w:type="dxa"/>
        </w:tblCellMar>
      </w:tblPr>
      <w:tblGrid>
        <w:gridCol w:w="562"/>
        <w:gridCol w:w="2313"/>
        <w:gridCol w:w="1871"/>
        <w:gridCol w:w="1964"/>
        <w:gridCol w:w="1596"/>
      </w:tblGrid>
      <w:tr w14:paraId="7B2EDE3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397" w:hRule="atLeast"/>
          <w:jc w:val="center"/>
        </w:trPr>
        <w:tc>
          <w:tcPr>
            <w:tcW w:w="2875" w:type="dxa"/>
            <w:gridSpan w:val="2"/>
            <w:tcBorders>
              <w:tl2br w:val="nil"/>
              <w:tr2bl w:val="nil"/>
            </w:tcBorders>
            <w:shd w:val="clear" w:color="auto" w:fill="auto"/>
            <w:vAlign w:val="center"/>
          </w:tcPr>
          <w:p w14:paraId="1DA5BC87">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点号</w:t>
            </w:r>
          </w:p>
        </w:tc>
        <w:tc>
          <w:tcPr>
            <w:tcW w:w="1871" w:type="dxa"/>
            <w:tcBorders>
              <w:tl2br w:val="nil"/>
              <w:tr2bl w:val="nil"/>
            </w:tcBorders>
            <w:shd w:val="clear" w:color="auto" w:fill="auto"/>
            <w:vAlign w:val="center"/>
          </w:tcPr>
          <w:p w14:paraId="51C8B92D">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TR2-1</w:t>
            </w:r>
          </w:p>
        </w:tc>
        <w:tc>
          <w:tcPr>
            <w:tcW w:w="1964" w:type="dxa"/>
            <w:tcBorders>
              <w:tl2br w:val="nil"/>
              <w:tr2bl w:val="nil"/>
            </w:tcBorders>
            <w:shd w:val="clear" w:color="auto" w:fill="auto"/>
            <w:vAlign w:val="center"/>
          </w:tcPr>
          <w:p w14:paraId="7057D41C">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TR2-2</w:t>
            </w:r>
          </w:p>
        </w:tc>
        <w:tc>
          <w:tcPr>
            <w:tcW w:w="1596" w:type="dxa"/>
            <w:tcBorders>
              <w:tl2br w:val="nil"/>
              <w:tr2bl w:val="nil"/>
            </w:tcBorders>
            <w:shd w:val="clear" w:color="auto" w:fill="auto"/>
            <w:vAlign w:val="center"/>
          </w:tcPr>
          <w:p w14:paraId="2C0ABC62">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TR2-3</w:t>
            </w:r>
          </w:p>
        </w:tc>
      </w:tr>
      <w:tr w14:paraId="2396880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398" w:hRule="atLeast"/>
          <w:jc w:val="center"/>
        </w:trPr>
        <w:tc>
          <w:tcPr>
            <w:tcW w:w="2875" w:type="dxa"/>
            <w:gridSpan w:val="2"/>
            <w:tcBorders>
              <w:tl2br w:val="nil"/>
              <w:tr2bl w:val="nil"/>
            </w:tcBorders>
            <w:shd w:val="clear" w:color="auto" w:fill="auto"/>
            <w:vAlign w:val="center"/>
          </w:tcPr>
          <w:p w14:paraId="7CF35464">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层次</w:t>
            </w:r>
          </w:p>
        </w:tc>
        <w:tc>
          <w:tcPr>
            <w:tcW w:w="1871" w:type="dxa"/>
            <w:tcBorders>
              <w:tl2br w:val="nil"/>
              <w:tr2bl w:val="nil"/>
            </w:tcBorders>
            <w:shd w:val="clear" w:color="auto" w:fill="auto"/>
            <w:vAlign w:val="center"/>
          </w:tcPr>
          <w:p w14:paraId="5B2FB870">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0.5m</w:t>
            </w:r>
          </w:p>
        </w:tc>
        <w:tc>
          <w:tcPr>
            <w:tcW w:w="1964" w:type="dxa"/>
            <w:tcBorders>
              <w:tl2br w:val="nil"/>
              <w:tr2bl w:val="nil"/>
            </w:tcBorders>
            <w:shd w:val="clear" w:color="auto" w:fill="auto"/>
            <w:vAlign w:val="center"/>
          </w:tcPr>
          <w:p w14:paraId="18901797">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1.0m</w:t>
            </w:r>
          </w:p>
        </w:tc>
        <w:tc>
          <w:tcPr>
            <w:tcW w:w="1596" w:type="dxa"/>
            <w:tcBorders>
              <w:tl2br w:val="nil"/>
              <w:tr2bl w:val="nil"/>
            </w:tcBorders>
            <w:shd w:val="clear" w:color="auto" w:fill="auto"/>
            <w:vAlign w:val="center"/>
          </w:tcPr>
          <w:p w14:paraId="1198BA50">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2.0m</w:t>
            </w:r>
          </w:p>
        </w:tc>
      </w:tr>
      <w:tr w14:paraId="084C5CA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395" w:hRule="atLeast"/>
          <w:jc w:val="center"/>
        </w:trPr>
        <w:tc>
          <w:tcPr>
            <w:tcW w:w="562" w:type="dxa"/>
            <w:vMerge w:val="restart"/>
            <w:tcBorders>
              <w:tl2br w:val="nil"/>
              <w:tr2bl w:val="nil"/>
            </w:tcBorders>
            <w:shd w:val="clear" w:color="auto" w:fill="auto"/>
            <w:vAlign w:val="center"/>
          </w:tcPr>
          <w:p w14:paraId="58DCC4B2">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现场记录</w:t>
            </w:r>
          </w:p>
        </w:tc>
        <w:tc>
          <w:tcPr>
            <w:tcW w:w="2313" w:type="dxa"/>
            <w:tcBorders>
              <w:tl2br w:val="nil"/>
              <w:tr2bl w:val="nil"/>
            </w:tcBorders>
            <w:shd w:val="clear" w:color="auto" w:fill="auto"/>
            <w:vAlign w:val="center"/>
          </w:tcPr>
          <w:p w14:paraId="569E7D12">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颜色</w:t>
            </w:r>
          </w:p>
        </w:tc>
        <w:tc>
          <w:tcPr>
            <w:tcW w:w="1871" w:type="dxa"/>
            <w:tcBorders>
              <w:tl2br w:val="nil"/>
              <w:tr2bl w:val="nil"/>
            </w:tcBorders>
            <w:shd w:val="clear" w:color="auto" w:fill="auto"/>
            <w:vAlign w:val="center"/>
          </w:tcPr>
          <w:p w14:paraId="6C0906DE">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zh-CN"/>
              </w:rPr>
              <w:t>暗棕色</w:t>
            </w:r>
          </w:p>
        </w:tc>
        <w:tc>
          <w:tcPr>
            <w:tcW w:w="1964" w:type="dxa"/>
            <w:tcBorders>
              <w:tl2br w:val="nil"/>
              <w:tr2bl w:val="nil"/>
            </w:tcBorders>
            <w:shd w:val="clear" w:color="auto" w:fill="auto"/>
            <w:vAlign w:val="center"/>
          </w:tcPr>
          <w:p w14:paraId="30765871">
            <w:pPr>
              <w:pStyle w:val="8"/>
              <w:suppressLineNumbers w:val="0"/>
              <w:bidi w:val="0"/>
              <w:spacing w:before="0" w:beforeAutospacing="0" w:after="0" w:afterAutospacing="0"/>
              <w:ind w:left="0" w:right="0"/>
              <w:rPr>
                <w:rFonts w:hint="eastAsia"/>
                <w:snapToGrid w:val="0"/>
                <w:highlight w:val="none"/>
                <w:lang w:val="en-US" w:eastAsia="en-US"/>
              </w:rPr>
            </w:pPr>
            <w:r>
              <w:rPr>
                <w:rFonts w:hint="eastAsia"/>
                <w:snapToGrid w:val="0"/>
                <w:highlight w:val="none"/>
                <w:lang w:val="en-US" w:eastAsia="zh-CN"/>
              </w:rPr>
              <w:t>暗棕色</w:t>
            </w:r>
          </w:p>
        </w:tc>
        <w:tc>
          <w:tcPr>
            <w:tcW w:w="1596" w:type="dxa"/>
            <w:tcBorders>
              <w:tl2br w:val="nil"/>
              <w:tr2bl w:val="nil"/>
            </w:tcBorders>
            <w:shd w:val="clear" w:color="auto" w:fill="auto"/>
            <w:vAlign w:val="center"/>
          </w:tcPr>
          <w:p w14:paraId="5A2C8547">
            <w:pPr>
              <w:keepNext w:val="0"/>
              <w:keepLines w:val="0"/>
              <w:suppressLineNumbers w:val="0"/>
              <w:bidi w:val="0"/>
              <w:spacing w:before="0" w:beforeAutospacing="0" w:after="0" w:afterAutospacing="0"/>
              <w:ind w:left="0" w:right="0" w:firstLine="420" w:firstLineChars="200"/>
              <w:rPr>
                <w:rFonts w:hint="eastAsia" w:ascii="Times New Roman" w:hAnsi="Times New Roman" w:eastAsia="宋体" w:cs="Times New Roman"/>
                <w:snapToGrid w:val="0"/>
                <w:color w:val="000000"/>
                <w:kern w:val="0"/>
                <w:sz w:val="21"/>
                <w:szCs w:val="24"/>
                <w:highlight w:val="none"/>
                <w:lang w:val="en-US" w:eastAsia="en-US" w:bidi="ar-SA"/>
              </w:rPr>
            </w:pPr>
            <w:r>
              <w:rPr>
                <w:rFonts w:hint="eastAsia" w:ascii="Times New Roman" w:hAnsi="Times New Roman" w:eastAsia="宋体" w:cs="Times New Roman"/>
                <w:snapToGrid w:val="0"/>
                <w:color w:val="000000"/>
                <w:kern w:val="0"/>
                <w:sz w:val="21"/>
                <w:szCs w:val="24"/>
                <w:highlight w:val="none"/>
                <w:lang w:val="en-US" w:eastAsia="zh-CN" w:bidi="ar-SA"/>
              </w:rPr>
              <w:t>暗棕色</w:t>
            </w:r>
          </w:p>
        </w:tc>
      </w:tr>
      <w:tr w14:paraId="7165048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397" w:hRule="atLeast"/>
          <w:jc w:val="center"/>
        </w:trPr>
        <w:tc>
          <w:tcPr>
            <w:tcW w:w="562" w:type="dxa"/>
            <w:vMerge w:val="continue"/>
            <w:tcBorders>
              <w:tl2br w:val="nil"/>
              <w:tr2bl w:val="nil"/>
            </w:tcBorders>
            <w:shd w:val="clear" w:color="auto" w:fill="auto"/>
            <w:vAlign w:val="center"/>
          </w:tcPr>
          <w:p w14:paraId="16C7C466">
            <w:pPr>
              <w:pStyle w:val="8"/>
              <w:suppressLineNumbers w:val="0"/>
              <w:bidi w:val="0"/>
              <w:spacing w:before="0" w:beforeAutospacing="0" w:after="0" w:afterAutospacing="0"/>
              <w:ind w:left="0" w:right="0"/>
              <w:rPr>
                <w:rFonts w:hint="default"/>
                <w:snapToGrid w:val="0"/>
                <w:highlight w:val="none"/>
                <w:lang w:eastAsia="en-US"/>
              </w:rPr>
            </w:pPr>
          </w:p>
        </w:tc>
        <w:tc>
          <w:tcPr>
            <w:tcW w:w="2313" w:type="dxa"/>
            <w:tcBorders>
              <w:tl2br w:val="nil"/>
              <w:tr2bl w:val="nil"/>
            </w:tcBorders>
            <w:shd w:val="clear" w:color="auto" w:fill="auto"/>
            <w:vAlign w:val="center"/>
          </w:tcPr>
          <w:p w14:paraId="52FA7393">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结构</w:t>
            </w:r>
          </w:p>
        </w:tc>
        <w:tc>
          <w:tcPr>
            <w:tcW w:w="1871" w:type="dxa"/>
            <w:tcBorders>
              <w:tl2br w:val="nil"/>
              <w:tr2bl w:val="nil"/>
            </w:tcBorders>
            <w:shd w:val="clear" w:color="auto" w:fill="auto"/>
            <w:vAlign w:val="center"/>
          </w:tcPr>
          <w:p w14:paraId="139AF96E">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团粒状</w:t>
            </w:r>
          </w:p>
        </w:tc>
        <w:tc>
          <w:tcPr>
            <w:tcW w:w="1964" w:type="dxa"/>
            <w:tcBorders>
              <w:tl2br w:val="nil"/>
              <w:tr2bl w:val="nil"/>
            </w:tcBorders>
            <w:shd w:val="clear" w:color="auto" w:fill="auto"/>
            <w:vAlign w:val="center"/>
          </w:tcPr>
          <w:p w14:paraId="033D0C33">
            <w:pPr>
              <w:pStyle w:val="8"/>
              <w:suppressLineNumbers w:val="0"/>
              <w:bidi w:val="0"/>
              <w:spacing w:before="0" w:beforeAutospacing="0" w:after="0" w:afterAutospacing="0"/>
              <w:ind w:left="0" w:right="0"/>
              <w:rPr>
                <w:rFonts w:hint="eastAsia"/>
                <w:snapToGrid w:val="0"/>
                <w:highlight w:val="none"/>
                <w:lang w:val="en-US" w:eastAsia="en-US"/>
              </w:rPr>
            </w:pPr>
            <w:r>
              <w:rPr>
                <w:rFonts w:hint="eastAsia"/>
                <w:snapToGrid w:val="0"/>
                <w:highlight w:val="none"/>
                <w:lang w:val="en-US" w:eastAsia="en-US"/>
              </w:rPr>
              <w:t>团粒状</w:t>
            </w:r>
          </w:p>
        </w:tc>
        <w:tc>
          <w:tcPr>
            <w:tcW w:w="1596" w:type="dxa"/>
            <w:tcBorders>
              <w:tl2br w:val="nil"/>
              <w:tr2bl w:val="nil"/>
            </w:tcBorders>
            <w:shd w:val="clear" w:color="auto" w:fill="auto"/>
            <w:vAlign w:val="center"/>
          </w:tcPr>
          <w:p w14:paraId="624D6103">
            <w:pPr>
              <w:pStyle w:val="8"/>
              <w:suppressLineNumbers w:val="0"/>
              <w:bidi w:val="0"/>
              <w:spacing w:before="0" w:beforeAutospacing="0" w:after="0" w:afterAutospacing="0"/>
              <w:ind w:left="0" w:right="0"/>
              <w:rPr>
                <w:rFonts w:hint="eastAsia"/>
                <w:snapToGrid w:val="0"/>
                <w:highlight w:val="none"/>
                <w:lang w:val="en-US" w:eastAsia="en-US"/>
              </w:rPr>
            </w:pPr>
            <w:r>
              <w:rPr>
                <w:rFonts w:hint="eastAsia"/>
                <w:snapToGrid w:val="0"/>
                <w:highlight w:val="none"/>
                <w:lang w:val="en-US" w:eastAsia="en-US"/>
              </w:rPr>
              <w:t>团粒状</w:t>
            </w:r>
          </w:p>
        </w:tc>
      </w:tr>
      <w:tr w14:paraId="3E2D725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397" w:hRule="atLeast"/>
          <w:jc w:val="center"/>
        </w:trPr>
        <w:tc>
          <w:tcPr>
            <w:tcW w:w="562" w:type="dxa"/>
            <w:vMerge w:val="continue"/>
            <w:tcBorders>
              <w:tl2br w:val="nil"/>
              <w:tr2bl w:val="nil"/>
            </w:tcBorders>
            <w:shd w:val="clear" w:color="auto" w:fill="auto"/>
            <w:vAlign w:val="center"/>
          </w:tcPr>
          <w:p w14:paraId="05931E60">
            <w:pPr>
              <w:pStyle w:val="8"/>
              <w:suppressLineNumbers w:val="0"/>
              <w:bidi w:val="0"/>
              <w:spacing w:before="0" w:beforeAutospacing="0" w:after="0" w:afterAutospacing="0"/>
              <w:ind w:left="0" w:right="0"/>
              <w:rPr>
                <w:rFonts w:hint="default"/>
                <w:snapToGrid w:val="0"/>
                <w:highlight w:val="none"/>
                <w:lang w:eastAsia="en-US"/>
              </w:rPr>
            </w:pPr>
          </w:p>
        </w:tc>
        <w:tc>
          <w:tcPr>
            <w:tcW w:w="2313" w:type="dxa"/>
            <w:tcBorders>
              <w:tl2br w:val="nil"/>
              <w:tr2bl w:val="nil"/>
            </w:tcBorders>
            <w:shd w:val="clear" w:color="auto" w:fill="auto"/>
            <w:vAlign w:val="center"/>
          </w:tcPr>
          <w:p w14:paraId="426A7BB3">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质地</w:t>
            </w:r>
          </w:p>
        </w:tc>
        <w:tc>
          <w:tcPr>
            <w:tcW w:w="1871" w:type="dxa"/>
            <w:tcBorders>
              <w:tl2br w:val="nil"/>
              <w:tr2bl w:val="nil"/>
            </w:tcBorders>
            <w:shd w:val="clear" w:color="auto" w:fill="auto"/>
            <w:vAlign w:val="center"/>
          </w:tcPr>
          <w:p w14:paraId="4DA97BBC">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zh-CN"/>
              </w:rPr>
              <w:t>壤土</w:t>
            </w:r>
          </w:p>
        </w:tc>
        <w:tc>
          <w:tcPr>
            <w:tcW w:w="1964" w:type="dxa"/>
            <w:tcBorders>
              <w:tl2br w:val="nil"/>
              <w:tr2bl w:val="nil"/>
            </w:tcBorders>
            <w:shd w:val="clear" w:color="auto" w:fill="auto"/>
            <w:vAlign w:val="center"/>
          </w:tcPr>
          <w:p w14:paraId="5575FA93">
            <w:pPr>
              <w:pStyle w:val="8"/>
              <w:suppressLineNumbers w:val="0"/>
              <w:bidi w:val="0"/>
              <w:spacing w:before="0" w:beforeAutospacing="0" w:after="0" w:afterAutospacing="0"/>
              <w:ind w:left="0" w:right="0"/>
              <w:rPr>
                <w:rFonts w:hint="eastAsia"/>
                <w:snapToGrid w:val="0"/>
                <w:highlight w:val="none"/>
                <w:lang w:val="en-US" w:eastAsia="en-US"/>
              </w:rPr>
            </w:pPr>
            <w:r>
              <w:rPr>
                <w:rFonts w:hint="eastAsia"/>
                <w:snapToGrid w:val="0"/>
                <w:highlight w:val="none"/>
                <w:lang w:val="en-US" w:eastAsia="zh-CN"/>
              </w:rPr>
              <w:t>壤土</w:t>
            </w:r>
          </w:p>
        </w:tc>
        <w:tc>
          <w:tcPr>
            <w:tcW w:w="1596" w:type="dxa"/>
            <w:tcBorders>
              <w:tl2br w:val="nil"/>
              <w:tr2bl w:val="nil"/>
            </w:tcBorders>
            <w:shd w:val="clear" w:color="auto" w:fill="auto"/>
            <w:vAlign w:val="center"/>
          </w:tcPr>
          <w:p w14:paraId="6BE13BE7">
            <w:pPr>
              <w:pStyle w:val="8"/>
              <w:suppressLineNumbers w:val="0"/>
              <w:bidi w:val="0"/>
              <w:spacing w:before="0" w:beforeAutospacing="0" w:after="0" w:afterAutospacing="0"/>
              <w:ind w:left="0" w:right="0"/>
              <w:rPr>
                <w:rFonts w:hint="eastAsia"/>
                <w:snapToGrid w:val="0"/>
                <w:highlight w:val="none"/>
                <w:lang w:val="en-US" w:eastAsia="en-US"/>
              </w:rPr>
            </w:pPr>
            <w:r>
              <w:rPr>
                <w:rFonts w:hint="eastAsia"/>
                <w:snapToGrid w:val="0"/>
                <w:highlight w:val="none"/>
                <w:lang w:val="en-US" w:eastAsia="zh-CN"/>
              </w:rPr>
              <w:t>壤土</w:t>
            </w:r>
          </w:p>
        </w:tc>
      </w:tr>
      <w:tr w14:paraId="07A7454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397" w:hRule="atLeast"/>
          <w:jc w:val="center"/>
        </w:trPr>
        <w:tc>
          <w:tcPr>
            <w:tcW w:w="562" w:type="dxa"/>
            <w:vMerge w:val="continue"/>
            <w:tcBorders>
              <w:tl2br w:val="nil"/>
              <w:tr2bl w:val="nil"/>
            </w:tcBorders>
            <w:shd w:val="clear" w:color="auto" w:fill="auto"/>
            <w:vAlign w:val="center"/>
          </w:tcPr>
          <w:p w14:paraId="27DCD5D6">
            <w:pPr>
              <w:pStyle w:val="8"/>
              <w:suppressLineNumbers w:val="0"/>
              <w:bidi w:val="0"/>
              <w:spacing w:before="0" w:beforeAutospacing="0" w:after="0" w:afterAutospacing="0"/>
              <w:ind w:left="0" w:right="0"/>
              <w:rPr>
                <w:rFonts w:hint="default"/>
                <w:snapToGrid w:val="0"/>
                <w:highlight w:val="none"/>
                <w:lang w:eastAsia="en-US"/>
              </w:rPr>
            </w:pPr>
          </w:p>
        </w:tc>
        <w:tc>
          <w:tcPr>
            <w:tcW w:w="2313" w:type="dxa"/>
            <w:tcBorders>
              <w:tl2br w:val="nil"/>
              <w:tr2bl w:val="nil"/>
            </w:tcBorders>
            <w:shd w:val="clear" w:color="auto" w:fill="auto"/>
            <w:vAlign w:val="center"/>
          </w:tcPr>
          <w:p w14:paraId="2E75A8B9">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其他异物</w:t>
            </w:r>
          </w:p>
        </w:tc>
        <w:tc>
          <w:tcPr>
            <w:tcW w:w="1871" w:type="dxa"/>
            <w:tcBorders>
              <w:tl2br w:val="nil"/>
              <w:tr2bl w:val="nil"/>
            </w:tcBorders>
            <w:shd w:val="clear" w:color="auto" w:fill="auto"/>
            <w:vAlign w:val="center"/>
          </w:tcPr>
          <w:p w14:paraId="6220E429">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杂草根、石块</w:t>
            </w:r>
          </w:p>
        </w:tc>
        <w:tc>
          <w:tcPr>
            <w:tcW w:w="1964" w:type="dxa"/>
            <w:tcBorders>
              <w:tl2br w:val="nil"/>
              <w:tr2bl w:val="nil"/>
            </w:tcBorders>
            <w:shd w:val="clear" w:color="auto" w:fill="auto"/>
            <w:vAlign w:val="center"/>
          </w:tcPr>
          <w:p w14:paraId="0412A5FE">
            <w:pPr>
              <w:pStyle w:val="8"/>
              <w:suppressLineNumbers w:val="0"/>
              <w:bidi w:val="0"/>
              <w:spacing w:before="0" w:beforeAutospacing="0" w:after="0" w:afterAutospacing="0"/>
              <w:ind w:left="0" w:right="0"/>
              <w:rPr>
                <w:rFonts w:hint="eastAsia"/>
                <w:snapToGrid w:val="0"/>
                <w:highlight w:val="none"/>
                <w:lang w:val="en-US" w:eastAsia="en-US"/>
              </w:rPr>
            </w:pPr>
            <w:r>
              <w:rPr>
                <w:rFonts w:hint="eastAsia"/>
                <w:snapToGrid w:val="0"/>
                <w:highlight w:val="none"/>
                <w:lang w:val="en-US" w:eastAsia="zh-CN"/>
              </w:rPr>
              <w:t>杂草根</w:t>
            </w:r>
          </w:p>
        </w:tc>
        <w:tc>
          <w:tcPr>
            <w:tcW w:w="1596" w:type="dxa"/>
            <w:tcBorders>
              <w:tl2br w:val="nil"/>
              <w:tr2bl w:val="nil"/>
            </w:tcBorders>
            <w:shd w:val="clear" w:color="auto" w:fill="auto"/>
            <w:vAlign w:val="center"/>
          </w:tcPr>
          <w:p w14:paraId="52406F94">
            <w:pPr>
              <w:pStyle w:val="8"/>
              <w:suppressLineNumbers w:val="0"/>
              <w:bidi w:val="0"/>
              <w:spacing w:before="0" w:beforeAutospacing="0" w:after="0" w:afterAutospacing="0"/>
              <w:ind w:left="0" w:right="0"/>
              <w:rPr>
                <w:rFonts w:hint="eastAsia"/>
                <w:snapToGrid w:val="0"/>
                <w:highlight w:val="none"/>
                <w:lang w:val="en-US" w:eastAsia="en-US"/>
              </w:rPr>
            </w:pPr>
            <w:r>
              <w:rPr>
                <w:rFonts w:hint="eastAsia"/>
                <w:snapToGrid w:val="0"/>
                <w:highlight w:val="none"/>
                <w:lang w:val="en-US" w:eastAsia="zh-CN"/>
              </w:rPr>
              <w:t>杂草根</w:t>
            </w:r>
          </w:p>
        </w:tc>
      </w:tr>
      <w:tr w14:paraId="2612B82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386" w:hRule="atLeast"/>
          <w:jc w:val="center"/>
        </w:trPr>
        <w:tc>
          <w:tcPr>
            <w:tcW w:w="562" w:type="dxa"/>
            <w:vMerge w:val="restart"/>
            <w:tcBorders>
              <w:tl2br w:val="nil"/>
              <w:tr2bl w:val="nil"/>
            </w:tcBorders>
            <w:shd w:val="clear" w:color="auto" w:fill="auto"/>
            <w:vAlign w:val="center"/>
          </w:tcPr>
          <w:p w14:paraId="5F85682A">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实验室测定</w:t>
            </w:r>
          </w:p>
        </w:tc>
        <w:tc>
          <w:tcPr>
            <w:tcW w:w="2313" w:type="dxa"/>
            <w:tcBorders>
              <w:tl2br w:val="nil"/>
              <w:tr2bl w:val="nil"/>
            </w:tcBorders>
            <w:shd w:val="clear" w:color="auto" w:fill="auto"/>
            <w:vAlign w:val="center"/>
          </w:tcPr>
          <w:p w14:paraId="0CCDC530">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zh-CN"/>
              </w:rPr>
              <w:t>p</w:t>
            </w:r>
            <w:r>
              <w:rPr>
                <w:rFonts w:hint="default"/>
                <w:snapToGrid w:val="0"/>
                <w:highlight w:val="none"/>
                <w:lang w:val="en-US" w:eastAsia="en-US"/>
              </w:rPr>
              <w:t>H</w:t>
            </w:r>
            <w:r>
              <w:rPr>
                <w:rFonts w:hint="eastAsia"/>
                <w:snapToGrid w:val="0"/>
                <w:highlight w:val="none"/>
                <w:lang w:val="en-US" w:eastAsia="en-US"/>
              </w:rPr>
              <w:t>值</w:t>
            </w:r>
          </w:p>
        </w:tc>
        <w:tc>
          <w:tcPr>
            <w:tcW w:w="1871" w:type="dxa"/>
            <w:tcBorders>
              <w:tl2br w:val="nil"/>
              <w:tr2bl w:val="nil"/>
            </w:tcBorders>
            <w:shd w:val="clear" w:color="auto" w:fill="auto"/>
            <w:vAlign w:val="center"/>
          </w:tcPr>
          <w:p w14:paraId="464FC2F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4"/>
                <w:highlight w:val="none"/>
                <w:lang w:val="en-US" w:eastAsia="en-US" w:bidi="ar-SA"/>
              </w:rPr>
            </w:pPr>
            <w:r>
              <w:rPr>
                <w:rFonts w:hint="default" w:ascii="Times New Roman" w:hAnsi="Times New Roman" w:eastAsia="宋体" w:cs="Times New Roman"/>
                <w:snapToGrid w:val="0"/>
                <w:color w:val="000000"/>
                <w:kern w:val="0"/>
                <w:sz w:val="21"/>
                <w:szCs w:val="24"/>
                <w:highlight w:val="none"/>
                <w:lang w:val="en-US" w:eastAsia="en-US" w:bidi="ar-SA"/>
              </w:rPr>
              <w:t>7.71</w:t>
            </w:r>
          </w:p>
        </w:tc>
        <w:tc>
          <w:tcPr>
            <w:tcW w:w="1964" w:type="dxa"/>
            <w:tcBorders>
              <w:tl2br w:val="nil"/>
              <w:tr2bl w:val="nil"/>
            </w:tcBorders>
            <w:shd w:val="clear" w:color="auto" w:fill="auto"/>
            <w:vAlign w:val="center"/>
          </w:tcPr>
          <w:p w14:paraId="0761124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4"/>
                <w:highlight w:val="none"/>
                <w:lang w:val="en-US" w:eastAsia="en-US" w:bidi="ar-SA"/>
              </w:rPr>
            </w:pPr>
            <w:r>
              <w:rPr>
                <w:rFonts w:hint="default" w:ascii="Times New Roman" w:hAnsi="Times New Roman" w:eastAsia="宋体" w:cs="Times New Roman"/>
                <w:snapToGrid w:val="0"/>
                <w:color w:val="000000"/>
                <w:kern w:val="0"/>
                <w:sz w:val="21"/>
                <w:szCs w:val="24"/>
                <w:highlight w:val="none"/>
                <w:lang w:val="en-US" w:eastAsia="en-US" w:bidi="ar-SA"/>
              </w:rPr>
              <w:t>7.40</w:t>
            </w:r>
          </w:p>
        </w:tc>
        <w:tc>
          <w:tcPr>
            <w:tcW w:w="1596" w:type="dxa"/>
            <w:tcBorders>
              <w:tl2br w:val="nil"/>
              <w:tr2bl w:val="nil"/>
            </w:tcBorders>
            <w:shd w:val="clear" w:color="auto" w:fill="auto"/>
            <w:vAlign w:val="center"/>
          </w:tcPr>
          <w:p w14:paraId="5130D40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4"/>
                <w:highlight w:val="none"/>
                <w:lang w:val="en-US" w:eastAsia="en-US" w:bidi="ar-SA"/>
              </w:rPr>
            </w:pPr>
            <w:r>
              <w:rPr>
                <w:rFonts w:hint="default" w:ascii="Times New Roman" w:hAnsi="Times New Roman" w:eastAsia="宋体" w:cs="Times New Roman"/>
                <w:snapToGrid w:val="0"/>
                <w:color w:val="000000"/>
                <w:kern w:val="0"/>
                <w:sz w:val="21"/>
                <w:szCs w:val="24"/>
                <w:highlight w:val="none"/>
                <w:lang w:val="en-US" w:eastAsia="en-US" w:bidi="ar-SA"/>
              </w:rPr>
              <w:t>7.32</w:t>
            </w:r>
          </w:p>
        </w:tc>
      </w:tr>
      <w:tr w14:paraId="631A853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378" w:hRule="atLeast"/>
          <w:jc w:val="center"/>
        </w:trPr>
        <w:tc>
          <w:tcPr>
            <w:tcW w:w="562" w:type="dxa"/>
            <w:vMerge w:val="continue"/>
            <w:tcBorders>
              <w:tl2br w:val="nil"/>
              <w:tr2bl w:val="nil"/>
            </w:tcBorders>
            <w:shd w:val="clear" w:color="auto" w:fill="auto"/>
            <w:vAlign w:val="center"/>
          </w:tcPr>
          <w:p w14:paraId="5ECC9DA0">
            <w:pPr>
              <w:pStyle w:val="8"/>
              <w:suppressLineNumbers w:val="0"/>
              <w:bidi w:val="0"/>
              <w:spacing w:before="0" w:beforeAutospacing="0" w:after="0" w:afterAutospacing="0"/>
              <w:ind w:left="0" w:right="0"/>
              <w:rPr>
                <w:rFonts w:hint="default"/>
                <w:snapToGrid w:val="0"/>
                <w:highlight w:val="none"/>
                <w:lang w:eastAsia="en-US"/>
              </w:rPr>
            </w:pPr>
          </w:p>
        </w:tc>
        <w:tc>
          <w:tcPr>
            <w:tcW w:w="2313" w:type="dxa"/>
            <w:tcBorders>
              <w:tl2br w:val="nil"/>
              <w:tr2bl w:val="nil"/>
            </w:tcBorders>
            <w:shd w:val="clear" w:color="auto" w:fill="auto"/>
            <w:vAlign w:val="center"/>
          </w:tcPr>
          <w:p w14:paraId="7606CE67">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阳离子交换量（</w:t>
            </w:r>
            <w:r>
              <w:rPr>
                <w:rFonts w:hint="default"/>
                <w:snapToGrid w:val="0"/>
                <w:highlight w:val="none"/>
                <w:lang w:val="en-US" w:eastAsia="en-US"/>
              </w:rPr>
              <w:t>cmol/kg</w:t>
            </w:r>
            <w:r>
              <w:rPr>
                <w:rFonts w:hint="eastAsia"/>
                <w:snapToGrid w:val="0"/>
                <w:highlight w:val="none"/>
                <w:lang w:val="en-US" w:eastAsia="en-US"/>
              </w:rPr>
              <w:t>）</w:t>
            </w:r>
          </w:p>
        </w:tc>
        <w:tc>
          <w:tcPr>
            <w:tcW w:w="1871" w:type="dxa"/>
            <w:tcBorders>
              <w:tl2br w:val="nil"/>
              <w:tr2bl w:val="nil"/>
            </w:tcBorders>
            <w:shd w:val="clear" w:color="auto" w:fill="auto"/>
            <w:vAlign w:val="center"/>
          </w:tcPr>
          <w:p w14:paraId="1DE7653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4"/>
                <w:highlight w:val="none"/>
                <w:lang w:val="en-US" w:eastAsia="en-US" w:bidi="ar-SA"/>
              </w:rPr>
            </w:pPr>
            <w:r>
              <w:rPr>
                <w:rFonts w:hint="default" w:ascii="Times New Roman" w:hAnsi="Times New Roman" w:eastAsia="宋体" w:cs="Times New Roman"/>
                <w:snapToGrid w:val="0"/>
                <w:color w:val="000000"/>
                <w:kern w:val="0"/>
                <w:sz w:val="21"/>
                <w:szCs w:val="24"/>
                <w:highlight w:val="none"/>
                <w:lang w:val="en-US" w:eastAsia="en-US" w:bidi="ar-SA"/>
              </w:rPr>
              <w:t>5.2</w:t>
            </w:r>
          </w:p>
        </w:tc>
        <w:tc>
          <w:tcPr>
            <w:tcW w:w="1964" w:type="dxa"/>
            <w:tcBorders>
              <w:tl2br w:val="nil"/>
              <w:tr2bl w:val="nil"/>
            </w:tcBorders>
            <w:shd w:val="clear" w:color="auto" w:fill="auto"/>
            <w:vAlign w:val="center"/>
          </w:tcPr>
          <w:p w14:paraId="2442C8F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4"/>
                <w:highlight w:val="none"/>
                <w:lang w:val="en-US" w:eastAsia="en-US" w:bidi="ar-SA"/>
              </w:rPr>
            </w:pPr>
            <w:r>
              <w:rPr>
                <w:rFonts w:hint="default" w:ascii="Times New Roman" w:hAnsi="Times New Roman" w:eastAsia="宋体" w:cs="Times New Roman"/>
                <w:snapToGrid w:val="0"/>
                <w:color w:val="000000"/>
                <w:kern w:val="0"/>
                <w:sz w:val="21"/>
                <w:szCs w:val="24"/>
                <w:highlight w:val="none"/>
                <w:lang w:val="en-US" w:eastAsia="en-US" w:bidi="ar-SA"/>
              </w:rPr>
              <w:t>6.0</w:t>
            </w:r>
          </w:p>
        </w:tc>
        <w:tc>
          <w:tcPr>
            <w:tcW w:w="1596" w:type="dxa"/>
            <w:tcBorders>
              <w:tl2br w:val="nil"/>
              <w:tr2bl w:val="nil"/>
            </w:tcBorders>
            <w:shd w:val="clear" w:color="auto" w:fill="auto"/>
            <w:vAlign w:val="center"/>
          </w:tcPr>
          <w:p w14:paraId="46FC872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4"/>
                <w:highlight w:val="none"/>
                <w:lang w:val="en-US" w:eastAsia="en-US" w:bidi="ar-SA"/>
              </w:rPr>
            </w:pPr>
            <w:r>
              <w:rPr>
                <w:rFonts w:hint="default" w:ascii="Times New Roman" w:hAnsi="Times New Roman" w:eastAsia="宋体" w:cs="Times New Roman"/>
                <w:snapToGrid w:val="0"/>
                <w:color w:val="000000"/>
                <w:kern w:val="0"/>
                <w:sz w:val="21"/>
                <w:szCs w:val="24"/>
                <w:highlight w:val="none"/>
                <w:lang w:val="en-US" w:eastAsia="en-US" w:bidi="ar-SA"/>
              </w:rPr>
              <w:t>6.8</w:t>
            </w:r>
          </w:p>
        </w:tc>
      </w:tr>
      <w:tr w14:paraId="717D8B3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377" w:hRule="atLeast"/>
          <w:jc w:val="center"/>
        </w:trPr>
        <w:tc>
          <w:tcPr>
            <w:tcW w:w="562" w:type="dxa"/>
            <w:vMerge w:val="continue"/>
            <w:tcBorders>
              <w:tl2br w:val="nil"/>
              <w:tr2bl w:val="nil"/>
            </w:tcBorders>
            <w:shd w:val="clear" w:color="auto" w:fill="auto"/>
            <w:vAlign w:val="center"/>
          </w:tcPr>
          <w:p w14:paraId="622EC6EC">
            <w:pPr>
              <w:pStyle w:val="8"/>
              <w:suppressLineNumbers w:val="0"/>
              <w:bidi w:val="0"/>
              <w:spacing w:before="0" w:beforeAutospacing="0" w:after="0" w:afterAutospacing="0"/>
              <w:ind w:left="0" w:right="0"/>
              <w:rPr>
                <w:rFonts w:hint="default"/>
                <w:snapToGrid w:val="0"/>
                <w:highlight w:val="none"/>
                <w:lang w:eastAsia="en-US"/>
              </w:rPr>
            </w:pPr>
          </w:p>
        </w:tc>
        <w:tc>
          <w:tcPr>
            <w:tcW w:w="2313" w:type="dxa"/>
            <w:tcBorders>
              <w:tl2br w:val="nil"/>
              <w:tr2bl w:val="nil"/>
            </w:tcBorders>
            <w:shd w:val="clear" w:color="auto" w:fill="auto"/>
            <w:vAlign w:val="center"/>
          </w:tcPr>
          <w:p w14:paraId="4B754C60">
            <w:pPr>
              <w:pStyle w:val="8"/>
              <w:suppressLineNumbers w:val="0"/>
              <w:bidi w:val="0"/>
              <w:spacing w:before="0" w:beforeAutospacing="0" w:after="0" w:afterAutospacing="0"/>
              <w:ind w:left="0" w:right="0"/>
              <w:rPr>
                <w:rFonts w:hint="eastAsia" w:eastAsia="宋体"/>
                <w:snapToGrid w:val="0"/>
                <w:highlight w:val="none"/>
                <w:lang w:eastAsia="zh-CN"/>
              </w:rPr>
            </w:pPr>
            <w:r>
              <w:rPr>
                <w:rFonts w:hint="eastAsia"/>
                <w:snapToGrid w:val="0"/>
                <w:highlight w:val="none"/>
                <w:lang w:val="en-US" w:eastAsia="en-US"/>
              </w:rPr>
              <w:t>氧化还原电位</w:t>
            </w:r>
            <w:r>
              <w:rPr>
                <w:rFonts w:hint="eastAsia"/>
                <w:snapToGrid w:val="0"/>
                <w:highlight w:val="none"/>
                <w:lang w:val="en-US" w:eastAsia="zh-CN"/>
              </w:rPr>
              <w:t>（</w:t>
            </w:r>
            <w:r>
              <w:rPr>
                <w:rFonts w:hint="default"/>
                <w:snapToGrid w:val="0"/>
                <w:highlight w:val="none"/>
                <w:lang w:val="en-US" w:eastAsia="en-US"/>
              </w:rPr>
              <w:t>mv</w:t>
            </w:r>
            <w:r>
              <w:rPr>
                <w:rFonts w:hint="eastAsia"/>
                <w:snapToGrid w:val="0"/>
                <w:highlight w:val="none"/>
                <w:lang w:val="en-US" w:eastAsia="zh-CN"/>
              </w:rPr>
              <w:t>）</w:t>
            </w:r>
          </w:p>
        </w:tc>
        <w:tc>
          <w:tcPr>
            <w:tcW w:w="1871" w:type="dxa"/>
            <w:tcBorders>
              <w:tl2br w:val="nil"/>
              <w:tr2bl w:val="nil"/>
            </w:tcBorders>
            <w:shd w:val="clear" w:color="auto" w:fill="auto"/>
            <w:vAlign w:val="center"/>
          </w:tcPr>
          <w:p w14:paraId="58227AA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4"/>
                <w:highlight w:val="none"/>
                <w:lang w:val="en-US" w:eastAsia="en-US" w:bidi="ar-SA"/>
              </w:rPr>
            </w:pPr>
            <w:r>
              <w:rPr>
                <w:rFonts w:hint="default" w:ascii="Times New Roman" w:hAnsi="Times New Roman" w:eastAsia="宋体" w:cs="Times New Roman"/>
                <w:snapToGrid w:val="0"/>
                <w:color w:val="000000"/>
                <w:kern w:val="0"/>
                <w:sz w:val="21"/>
                <w:szCs w:val="24"/>
                <w:highlight w:val="none"/>
                <w:lang w:val="en-US" w:eastAsia="en-US" w:bidi="ar-SA"/>
              </w:rPr>
              <w:t>142</w:t>
            </w:r>
          </w:p>
        </w:tc>
        <w:tc>
          <w:tcPr>
            <w:tcW w:w="1964" w:type="dxa"/>
            <w:tcBorders>
              <w:tl2br w:val="nil"/>
              <w:tr2bl w:val="nil"/>
            </w:tcBorders>
            <w:shd w:val="clear" w:color="auto" w:fill="auto"/>
            <w:vAlign w:val="center"/>
          </w:tcPr>
          <w:p w14:paraId="23399A8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4"/>
                <w:highlight w:val="none"/>
                <w:lang w:val="en-US" w:eastAsia="en-US" w:bidi="ar-SA"/>
              </w:rPr>
            </w:pPr>
            <w:r>
              <w:rPr>
                <w:rFonts w:hint="default" w:ascii="Times New Roman" w:hAnsi="Times New Roman" w:eastAsia="宋体" w:cs="Times New Roman"/>
                <w:snapToGrid w:val="0"/>
                <w:color w:val="000000"/>
                <w:kern w:val="0"/>
                <w:sz w:val="21"/>
                <w:szCs w:val="24"/>
                <w:highlight w:val="none"/>
                <w:lang w:val="en-US" w:eastAsia="en-US" w:bidi="ar-SA"/>
              </w:rPr>
              <w:t>177</w:t>
            </w:r>
          </w:p>
        </w:tc>
        <w:tc>
          <w:tcPr>
            <w:tcW w:w="1596" w:type="dxa"/>
            <w:tcBorders>
              <w:tl2br w:val="nil"/>
              <w:tr2bl w:val="nil"/>
            </w:tcBorders>
            <w:shd w:val="clear" w:color="auto" w:fill="auto"/>
            <w:vAlign w:val="center"/>
          </w:tcPr>
          <w:p w14:paraId="7DD72EF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4"/>
                <w:highlight w:val="none"/>
                <w:lang w:val="en-US" w:eastAsia="en-US" w:bidi="ar-SA"/>
              </w:rPr>
            </w:pPr>
            <w:r>
              <w:rPr>
                <w:rFonts w:hint="default" w:ascii="Times New Roman" w:hAnsi="Times New Roman" w:eastAsia="宋体" w:cs="Times New Roman"/>
                <w:snapToGrid w:val="0"/>
                <w:color w:val="000000"/>
                <w:kern w:val="0"/>
                <w:sz w:val="21"/>
                <w:szCs w:val="24"/>
                <w:highlight w:val="none"/>
                <w:lang w:val="en-US" w:eastAsia="en-US" w:bidi="ar-SA"/>
              </w:rPr>
              <w:t>191</w:t>
            </w:r>
          </w:p>
        </w:tc>
      </w:tr>
      <w:tr w14:paraId="765430A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377" w:hRule="atLeast"/>
          <w:jc w:val="center"/>
        </w:trPr>
        <w:tc>
          <w:tcPr>
            <w:tcW w:w="562" w:type="dxa"/>
            <w:vMerge w:val="continue"/>
            <w:tcBorders>
              <w:tl2br w:val="nil"/>
              <w:tr2bl w:val="nil"/>
            </w:tcBorders>
            <w:shd w:val="clear" w:color="auto" w:fill="auto"/>
            <w:vAlign w:val="center"/>
          </w:tcPr>
          <w:p w14:paraId="71298D9F">
            <w:pPr>
              <w:pStyle w:val="8"/>
              <w:suppressLineNumbers w:val="0"/>
              <w:bidi w:val="0"/>
              <w:spacing w:before="0" w:beforeAutospacing="0" w:after="0" w:afterAutospacing="0"/>
              <w:ind w:left="0" w:right="0"/>
              <w:rPr>
                <w:rFonts w:hint="default"/>
                <w:snapToGrid w:val="0"/>
                <w:highlight w:val="none"/>
                <w:lang w:eastAsia="en-US"/>
              </w:rPr>
            </w:pPr>
          </w:p>
        </w:tc>
        <w:tc>
          <w:tcPr>
            <w:tcW w:w="2313" w:type="dxa"/>
            <w:tcBorders>
              <w:tl2br w:val="nil"/>
              <w:tr2bl w:val="nil"/>
            </w:tcBorders>
            <w:shd w:val="clear" w:color="auto" w:fill="auto"/>
            <w:vAlign w:val="center"/>
          </w:tcPr>
          <w:p w14:paraId="47839BDA">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土壤容重</w:t>
            </w:r>
            <w:r>
              <w:rPr>
                <w:rFonts w:hint="default"/>
                <w:snapToGrid w:val="0"/>
                <w:highlight w:val="none"/>
                <w:lang w:val="en-US" w:eastAsia="en-US"/>
              </w:rPr>
              <w:t>/</w:t>
            </w:r>
            <w:r>
              <w:rPr>
                <w:rFonts w:hint="eastAsia"/>
                <w:snapToGrid w:val="0"/>
                <w:highlight w:val="none"/>
                <w:lang w:val="en-US" w:eastAsia="en-US"/>
              </w:rPr>
              <w:t>（</w:t>
            </w:r>
            <w:r>
              <w:rPr>
                <w:rFonts w:hint="default"/>
                <w:snapToGrid w:val="0"/>
                <w:highlight w:val="none"/>
                <w:lang w:val="en-US" w:eastAsia="en-US"/>
              </w:rPr>
              <w:t>g/</w:t>
            </w:r>
            <w:r>
              <w:rPr>
                <w:rFonts w:hint="eastAsia"/>
                <w:snapToGrid w:val="0"/>
                <w:highlight w:val="none"/>
                <w:lang w:val="en-US" w:eastAsia="zh-CN"/>
              </w:rPr>
              <w:t>c</w:t>
            </w:r>
            <w:r>
              <w:rPr>
                <w:rFonts w:hint="default"/>
                <w:snapToGrid w:val="0"/>
                <w:highlight w:val="none"/>
                <w:lang w:val="en-US" w:eastAsia="en-US"/>
              </w:rPr>
              <w:t>m</w:t>
            </w:r>
            <w:r>
              <w:rPr>
                <w:rFonts w:hint="default"/>
                <w:snapToGrid w:val="0"/>
                <w:highlight w:val="none"/>
                <w:vertAlign w:val="superscript"/>
                <w:lang w:val="en-US" w:eastAsia="en-US"/>
              </w:rPr>
              <w:t>3</w:t>
            </w:r>
            <w:r>
              <w:rPr>
                <w:rFonts w:hint="eastAsia"/>
                <w:snapToGrid w:val="0"/>
                <w:highlight w:val="none"/>
                <w:lang w:val="en-US" w:eastAsia="en-US"/>
              </w:rPr>
              <w:t>）</w:t>
            </w:r>
          </w:p>
        </w:tc>
        <w:tc>
          <w:tcPr>
            <w:tcW w:w="1871" w:type="dxa"/>
            <w:tcBorders>
              <w:tl2br w:val="nil"/>
              <w:tr2bl w:val="nil"/>
            </w:tcBorders>
            <w:shd w:val="clear" w:color="auto" w:fill="auto"/>
            <w:vAlign w:val="center"/>
          </w:tcPr>
          <w:p w14:paraId="65BAE14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4"/>
                <w:highlight w:val="none"/>
                <w:lang w:val="en-US" w:eastAsia="en-US" w:bidi="ar-SA"/>
              </w:rPr>
            </w:pPr>
            <w:r>
              <w:rPr>
                <w:rFonts w:hint="default" w:ascii="Times New Roman" w:hAnsi="Times New Roman" w:eastAsia="宋体" w:cs="Times New Roman"/>
                <w:snapToGrid w:val="0"/>
                <w:color w:val="000000"/>
                <w:kern w:val="0"/>
                <w:sz w:val="21"/>
                <w:szCs w:val="24"/>
                <w:highlight w:val="none"/>
                <w:lang w:val="en-US" w:eastAsia="en-US" w:bidi="ar-SA"/>
              </w:rPr>
              <w:t>1.33</w:t>
            </w:r>
          </w:p>
        </w:tc>
        <w:tc>
          <w:tcPr>
            <w:tcW w:w="1964" w:type="dxa"/>
            <w:tcBorders>
              <w:tl2br w:val="nil"/>
              <w:tr2bl w:val="nil"/>
            </w:tcBorders>
            <w:shd w:val="clear" w:color="auto" w:fill="auto"/>
            <w:vAlign w:val="center"/>
          </w:tcPr>
          <w:p w14:paraId="205A904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4"/>
                <w:highlight w:val="none"/>
                <w:lang w:val="en-US" w:eastAsia="en-US" w:bidi="ar-SA"/>
              </w:rPr>
            </w:pPr>
            <w:r>
              <w:rPr>
                <w:rFonts w:hint="default" w:ascii="Times New Roman" w:hAnsi="Times New Roman" w:eastAsia="宋体" w:cs="Times New Roman"/>
                <w:snapToGrid w:val="0"/>
                <w:color w:val="000000"/>
                <w:kern w:val="0"/>
                <w:sz w:val="21"/>
                <w:szCs w:val="24"/>
                <w:highlight w:val="none"/>
                <w:lang w:val="en-US" w:eastAsia="en-US" w:bidi="ar-SA"/>
              </w:rPr>
              <w:t>1.37</w:t>
            </w:r>
          </w:p>
        </w:tc>
        <w:tc>
          <w:tcPr>
            <w:tcW w:w="1596" w:type="dxa"/>
            <w:tcBorders>
              <w:tl2br w:val="nil"/>
              <w:tr2bl w:val="nil"/>
            </w:tcBorders>
            <w:shd w:val="clear" w:color="auto" w:fill="auto"/>
            <w:vAlign w:val="center"/>
          </w:tcPr>
          <w:p w14:paraId="0019036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000000"/>
                <w:kern w:val="0"/>
                <w:sz w:val="21"/>
                <w:szCs w:val="24"/>
                <w:highlight w:val="none"/>
                <w:lang w:val="en-US" w:eastAsia="en-US" w:bidi="ar-SA"/>
              </w:rPr>
            </w:pPr>
            <w:r>
              <w:rPr>
                <w:rFonts w:hint="default" w:ascii="Times New Roman" w:hAnsi="Times New Roman" w:eastAsia="宋体" w:cs="Times New Roman"/>
                <w:snapToGrid w:val="0"/>
                <w:color w:val="000000"/>
                <w:kern w:val="0"/>
                <w:sz w:val="21"/>
                <w:szCs w:val="24"/>
                <w:highlight w:val="none"/>
                <w:lang w:val="en-US" w:eastAsia="en-US" w:bidi="ar-SA"/>
              </w:rPr>
              <w:t>1.38</w:t>
            </w:r>
          </w:p>
        </w:tc>
      </w:tr>
    </w:tbl>
    <w:p w14:paraId="15652EDA">
      <w:pPr>
        <w:keepNext w:val="0"/>
        <w:keepLines w:val="0"/>
        <w:pageBreakBefore w:val="0"/>
        <w:widowControl w:val="0"/>
        <w:suppressLineNumbers w:val="0"/>
        <w:tabs>
          <w:tab w:val="left" w:pos="1680"/>
        </w:tabs>
        <w:kinsoku/>
        <w:wordWrap/>
        <w:overflowPunct/>
        <w:topLinePunct w:val="0"/>
        <w:autoSpaceDE w:val="0"/>
        <w:autoSpaceDN w:val="0"/>
        <w:bidi w:val="0"/>
        <w:adjustRightInd/>
        <w:snapToGrid/>
        <w:spacing w:beforeAutospacing="0" w:afterAutospacing="0" w:line="360" w:lineRule="auto"/>
        <w:ind w:left="0" w:right="0"/>
        <w:jc w:val="center"/>
        <w:textAlignment w:val="auto"/>
        <w:rPr>
          <w:b/>
          <w:bCs w:val="0"/>
          <w:spacing w:val="0"/>
          <w:position w:val="0"/>
          <w:sz w:val="24"/>
          <w:szCs w:val="22"/>
          <w:highlight w:val="none"/>
          <w:lang w:eastAsia="zh-CN"/>
        </w:rPr>
      </w:pPr>
      <w:bookmarkStart w:id="356" w:name="_Toc167"/>
      <w:r>
        <w:rPr>
          <w:rFonts w:hint="eastAsia" w:ascii="宋体" w:hAnsi="宋体" w:eastAsia="宋体" w:cs="宋体"/>
          <w:b/>
          <w:bCs w:val="0"/>
          <w:spacing w:val="0"/>
          <w:kern w:val="0"/>
          <w:position w:val="0"/>
          <w:sz w:val="24"/>
          <w:szCs w:val="22"/>
          <w:highlight w:val="none"/>
          <w:lang w:val="en-US" w:eastAsia="zh-CN" w:bidi="ar"/>
        </w:rPr>
        <w:t>表</w:t>
      </w:r>
      <w:r>
        <w:rPr>
          <w:rFonts w:hint="default" w:ascii="Times New Roman" w:hAnsi="宋体" w:eastAsia="Times New Roman" w:cs="宋体"/>
          <w:b/>
          <w:bCs w:val="0"/>
          <w:spacing w:val="0"/>
          <w:kern w:val="0"/>
          <w:position w:val="0"/>
          <w:sz w:val="24"/>
          <w:szCs w:val="22"/>
          <w:highlight w:val="none"/>
          <w:lang w:val="en-US" w:eastAsia="zh-CN" w:bidi="ar"/>
        </w:rPr>
        <w:t>4</w:t>
      </w:r>
      <w:r>
        <w:rPr>
          <w:rFonts w:hint="eastAsia" w:hAnsi="宋体" w:eastAsia="Times New Roman" w:cs="宋体"/>
          <w:b/>
          <w:bCs w:val="0"/>
          <w:spacing w:val="0"/>
          <w:kern w:val="0"/>
          <w:position w:val="0"/>
          <w:sz w:val="24"/>
          <w:szCs w:val="22"/>
          <w:highlight w:val="none"/>
          <w:lang w:val="en-US" w:eastAsia="zh-CN" w:bidi="ar"/>
        </w:rPr>
        <w:t>-</w:t>
      </w:r>
      <w:r>
        <w:rPr>
          <w:rFonts w:hint="default" w:ascii="Times New Roman" w:hAnsi="宋体" w:eastAsia="Times New Roman" w:cs="宋体"/>
          <w:b/>
          <w:bCs w:val="0"/>
          <w:spacing w:val="0"/>
          <w:kern w:val="0"/>
          <w:position w:val="0"/>
          <w:sz w:val="24"/>
          <w:szCs w:val="22"/>
          <w:highlight w:val="none"/>
          <w:lang w:val="en-US" w:eastAsia="zh-CN" w:bidi="ar"/>
        </w:rPr>
        <w:t>2-1</w:t>
      </w:r>
      <w:r>
        <w:rPr>
          <w:rFonts w:hint="eastAsia" w:hAnsi="宋体" w:eastAsia="Times New Roman" w:cs="宋体"/>
          <w:b/>
          <w:bCs w:val="0"/>
          <w:spacing w:val="0"/>
          <w:kern w:val="0"/>
          <w:position w:val="0"/>
          <w:sz w:val="24"/>
          <w:szCs w:val="22"/>
          <w:highlight w:val="none"/>
          <w:lang w:val="en-US" w:eastAsia="zh-CN" w:bidi="ar"/>
        </w:rPr>
        <w:t>5</w:t>
      </w:r>
      <w:r>
        <w:rPr>
          <w:rFonts w:hint="default" w:ascii="Times New Roman" w:hAnsi="宋体" w:eastAsia="Times New Roman" w:cs="宋体"/>
          <w:b/>
          <w:bCs w:val="0"/>
          <w:spacing w:val="0"/>
          <w:kern w:val="0"/>
          <w:position w:val="0"/>
          <w:sz w:val="24"/>
          <w:szCs w:val="22"/>
          <w:highlight w:val="none"/>
          <w:lang w:val="en-US" w:eastAsia="zh-CN" w:bidi="ar"/>
        </w:rPr>
        <w:tab/>
      </w:r>
      <w:r>
        <w:rPr>
          <w:rFonts w:hint="eastAsia" w:ascii="宋体" w:hAnsi="宋体" w:eastAsia="宋体" w:cs="宋体"/>
          <w:b/>
          <w:bCs w:val="0"/>
          <w:spacing w:val="0"/>
          <w:kern w:val="0"/>
          <w:position w:val="0"/>
          <w:sz w:val="24"/>
          <w:szCs w:val="22"/>
          <w:highlight w:val="none"/>
          <w:lang w:val="en-US" w:eastAsia="zh-CN" w:bidi="ar"/>
        </w:rPr>
        <w:t>土壤构型（土壤剖面）调查表</w:t>
      </w:r>
    </w:p>
    <w:tbl>
      <w:tblPr>
        <w:tblStyle w:val="739"/>
        <w:tblW w:w="5000" w:type="pct"/>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shd w:val="clear" w:color="auto" w:fill="auto"/>
        <w:tblLayout w:type="fixed"/>
        <w:tblCellMar>
          <w:top w:w="0" w:type="dxa"/>
          <w:left w:w="0" w:type="dxa"/>
          <w:bottom w:w="0" w:type="dxa"/>
          <w:right w:w="0" w:type="dxa"/>
        </w:tblCellMar>
      </w:tblPr>
      <w:tblGrid>
        <w:gridCol w:w="781"/>
        <w:gridCol w:w="2540"/>
        <w:gridCol w:w="3466"/>
        <w:gridCol w:w="1519"/>
      </w:tblGrid>
      <w:tr w14:paraId="0C51F48C">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779" w:hRule="atLeast"/>
          <w:jc w:val="center"/>
        </w:trPr>
        <w:tc>
          <w:tcPr>
            <w:tcW w:w="761" w:type="dxa"/>
            <w:tcBorders>
              <w:top w:val="single" w:color="000000" w:sz="12" w:space="0"/>
              <w:left w:val="nil"/>
              <w:bottom w:val="single" w:color="000000" w:sz="4" w:space="0"/>
              <w:right w:val="single" w:color="000000" w:sz="4" w:space="0"/>
            </w:tcBorders>
            <w:shd w:val="clear" w:color="auto" w:fill="auto"/>
            <w:vAlign w:val="center"/>
          </w:tcPr>
          <w:p w14:paraId="0F64F7DC">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snapToGrid w:val="0"/>
                <w:highlight w:val="none"/>
                <w:lang w:val="en-US" w:eastAsia="zh-CN"/>
              </w:rPr>
            </w:pPr>
            <w:r>
              <w:rPr>
                <w:rFonts w:hint="eastAsia"/>
                <w:snapToGrid w:val="0"/>
                <w:highlight w:val="none"/>
                <w:lang w:val="en-US" w:eastAsia="zh-CN"/>
              </w:rPr>
              <w:t>点号</w:t>
            </w:r>
          </w:p>
        </w:tc>
        <w:tc>
          <w:tcPr>
            <w:tcW w:w="2475" w:type="dxa"/>
            <w:tcBorders>
              <w:top w:val="single" w:color="000000" w:sz="12" w:space="0"/>
              <w:left w:val="single" w:color="000000" w:sz="4" w:space="0"/>
              <w:bottom w:val="single" w:color="000000" w:sz="4" w:space="0"/>
              <w:right w:val="single" w:color="000000" w:sz="4" w:space="0"/>
            </w:tcBorders>
            <w:shd w:val="clear" w:color="auto" w:fill="auto"/>
            <w:vAlign w:val="center"/>
          </w:tcPr>
          <w:p w14:paraId="2E23F6BD">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snapToGrid w:val="0"/>
                <w:highlight w:val="none"/>
                <w:lang w:eastAsia="en-US"/>
              </w:rPr>
            </w:pPr>
            <w:r>
              <w:rPr>
                <w:rFonts w:hint="eastAsia"/>
                <w:snapToGrid w:val="0"/>
                <w:highlight w:val="none"/>
                <w:lang w:val="en-US" w:eastAsia="en-US"/>
              </w:rPr>
              <w:t>景观照片</w:t>
            </w:r>
          </w:p>
        </w:tc>
        <w:tc>
          <w:tcPr>
            <w:tcW w:w="3377" w:type="dxa"/>
            <w:tcBorders>
              <w:top w:val="single" w:color="000000" w:sz="12" w:space="0"/>
              <w:left w:val="single" w:color="000000" w:sz="4" w:space="0"/>
              <w:bottom w:val="single" w:color="000000" w:sz="4" w:space="0"/>
              <w:right w:val="single" w:color="000000" w:sz="4" w:space="0"/>
            </w:tcBorders>
            <w:shd w:val="clear" w:color="auto" w:fill="auto"/>
            <w:vAlign w:val="center"/>
          </w:tcPr>
          <w:p w14:paraId="02D31389">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snapToGrid w:val="0"/>
                <w:highlight w:val="none"/>
                <w:lang w:eastAsia="en-US"/>
              </w:rPr>
            </w:pPr>
            <w:r>
              <w:rPr>
                <w:rFonts w:hint="eastAsia"/>
                <w:snapToGrid w:val="0"/>
                <w:highlight w:val="none"/>
                <w:lang w:val="en-US" w:eastAsia="en-US"/>
              </w:rPr>
              <w:t>土壤剖面照片</w:t>
            </w:r>
          </w:p>
        </w:tc>
        <w:tc>
          <w:tcPr>
            <w:tcW w:w="1479" w:type="dxa"/>
            <w:tcBorders>
              <w:top w:val="single" w:color="000000" w:sz="12" w:space="0"/>
              <w:left w:val="single" w:color="000000" w:sz="4" w:space="0"/>
              <w:bottom w:val="single" w:color="000000" w:sz="4" w:space="0"/>
              <w:right w:val="nil"/>
            </w:tcBorders>
            <w:shd w:val="clear" w:color="auto" w:fill="auto"/>
            <w:vAlign w:val="center"/>
          </w:tcPr>
          <w:p w14:paraId="44CB04FC">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snapToGrid w:val="0"/>
                <w:highlight w:val="none"/>
                <w:lang w:eastAsia="en-US"/>
              </w:rPr>
            </w:pPr>
            <w:r>
              <w:rPr>
                <w:rFonts w:hint="eastAsia"/>
                <w:snapToGrid w:val="0"/>
                <w:highlight w:val="none"/>
                <w:lang w:val="en-US" w:eastAsia="en-US"/>
              </w:rPr>
              <w:t>层次</w:t>
            </w:r>
          </w:p>
        </w:tc>
      </w:tr>
      <w:tr w14:paraId="13829C26">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35" w:hRule="atLeast"/>
          <w:jc w:val="center"/>
        </w:trPr>
        <w:tc>
          <w:tcPr>
            <w:tcW w:w="761" w:type="dxa"/>
            <w:vMerge w:val="restart"/>
            <w:tcBorders>
              <w:top w:val="single" w:color="000000" w:sz="4" w:space="0"/>
              <w:left w:val="nil"/>
              <w:bottom w:val="single" w:color="000000" w:sz="12" w:space="0"/>
              <w:right w:val="single" w:color="000000" w:sz="4" w:space="0"/>
            </w:tcBorders>
            <w:shd w:val="clear" w:color="auto" w:fill="auto"/>
            <w:vAlign w:val="center"/>
          </w:tcPr>
          <w:p w14:paraId="686A6F9D">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snapToGrid w:val="0"/>
                <w:highlight w:val="none"/>
                <w:lang w:eastAsia="en-US"/>
              </w:rPr>
            </w:pPr>
            <w:r>
              <w:rPr>
                <w:rFonts w:hint="eastAsia"/>
                <w:snapToGrid w:val="0"/>
                <w:highlight w:val="none"/>
                <w:lang w:val="en-US" w:eastAsia="zh-CN"/>
              </w:rPr>
              <w:t>TR2</w:t>
            </w:r>
          </w:p>
        </w:tc>
        <w:tc>
          <w:tcPr>
            <w:tcW w:w="2475" w:type="dxa"/>
            <w:vMerge w:val="restart"/>
            <w:tcBorders>
              <w:top w:val="single" w:color="000000" w:sz="4" w:space="0"/>
              <w:left w:val="single" w:color="000000" w:sz="4" w:space="0"/>
              <w:bottom w:val="single" w:color="000000" w:sz="12" w:space="0"/>
              <w:right w:val="single" w:color="000000" w:sz="4" w:space="0"/>
            </w:tcBorders>
            <w:shd w:val="clear" w:color="auto" w:fill="auto"/>
            <w:vAlign w:val="top"/>
          </w:tcPr>
          <w:p w14:paraId="55E30F15">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eastAsia" w:eastAsia="宋体"/>
                <w:snapToGrid w:val="0"/>
                <w:highlight w:val="none"/>
                <w:lang w:eastAsia="zh-CN"/>
              </w:rPr>
            </w:pPr>
            <w:r>
              <w:rPr>
                <w:rFonts w:hint="eastAsia" w:eastAsia="宋体"/>
                <w:snapToGrid w:val="0"/>
                <w:highlight w:val="none"/>
                <w:lang w:eastAsia="zh-CN"/>
              </w:rPr>
              <w:drawing>
                <wp:inline distT="0" distB="0" distL="114300" distR="114300">
                  <wp:extent cx="1209040" cy="1612265"/>
                  <wp:effectExtent l="0" t="0" r="10160" b="6985"/>
                  <wp:docPr id="7" name="图片 7" descr="IMG_20240903_10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0240903_101622"/>
                          <pic:cNvPicPr>
                            <a:picLocks noChangeAspect="1"/>
                          </pic:cNvPicPr>
                        </pic:nvPicPr>
                        <pic:blipFill>
                          <a:blip r:embed="rId73"/>
                          <a:stretch>
                            <a:fillRect/>
                          </a:stretch>
                        </pic:blipFill>
                        <pic:spPr>
                          <a:xfrm>
                            <a:off x="0" y="0"/>
                            <a:ext cx="1209040" cy="1612265"/>
                          </a:xfrm>
                          <a:prstGeom prst="rect">
                            <a:avLst/>
                          </a:prstGeom>
                        </pic:spPr>
                      </pic:pic>
                    </a:graphicData>
                  </a:graphic>
                </wp:inline>
              </w:drawing>
            </w:r>
          </w:p>
          <w:p w14:paraId="3F1BFB89">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eastAsia" w:eastAsia="宋体"/>
                <w:snapToGrid w:val="0"/>
                <w:highlight w:val="none"/>
                <w:lang w:eastAsia="zh-CN"/>
              </w:rPr>
            </w:pPr>
            <w:r>
              <w:rPr>
                <w:rFonts w:hint="eastAsia" w:eastAsia="宋体"/>
                <w:snapToGrid w:val="0"/>
                <w:highlight w:val="none"/>
                <w:lang w:eastAsia="zh-CN"/>
              </w:rPr>
              <w:drawing>
                <wp:inline distT="0" distB="0" distL="114300" distR="114300">
                  <wp:extent cx="1209040" cy="1612265"/>
                  <wp:effectExtent l="0" t="0" r="10160" b="6985"/>
                  <wp:docPr id="14" name="图片 14" descr="IMG_20240903_10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20240903_101616"/>
                          <pic:cNvPicPr>
                            <a:picLocks noChangeAspect="1"/>
                          </pic:cNvPicPr>
                        </pic:nvPicPr>
                        <pic:blipFill>
                          <a:blip r:embed="rId74"/>
                          <a:stretch>
                            <a:fillRect/>
                          </a:stretch>
                        </pic:blipFill>
                        <pic:spPr>
                          <a:xfrm>
                            <a:off x="0" y="0"/>
                            <a:ext cx="1209040" cy="1612265"/>
                          </a:xfrm>
                          <a:prstGeom prst="rect">
                            <a:avLst/>
                          </a:prstGeom>
                        </pic:spPr>
                      </pic:pic>
                    </a:graphicData>
                  </a:graphic>
                </wp:inline>
              </w:drawing>
            </w:r>
          </w:p>
        </w:tc>
        <w:tc>
          <w:tcPr>
            <w:tcW w:w="3377" w:type="dxa"/>
            <w:vMerge w:val="restart"/>
            <w:tcBorders>
              <w:top w:val="single" w:color="000000" w:sz="4" w:space="0"/>
              <w:left w:val="single" w:color="000000" w:sz="4" w:space="0"/>
              <w:bottom w:val="single" w:color="000000" w:sz="12" w:space="0"/>
              <w:right w:val="single" w:color="000000" w:sz="4" w:space="0"/>
            </w:tcBorders>
            <w:shd w:val="clear" w:color="auto" w:fill="auto"/>
            <w:vAlign w:val="center"/>
          </w:tcPr>
          <w:p w14:paraId="210B5A7E">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jc w:val="center"/>
              <w:textAlignment w:val="auto"/>
              <w:rPr>
                <w:rFonts w:hint="eastAsia" w:eastAsia="宋体"/>
                <w:snapToGrid w:val="0"/>
                <w:highlight w:val="none"/>
                <w:lang w:eastAsia="zh-CN"/>
              </w:rPr>
            </w:pPr>
            <w:r>
              <w:rPr>
                <w:rFonts w:hint="eastAsia" w:eastAsia="宋体"/>
                <w:snapToGrid w:val="0"/>
                <w:highlight w:val="none"/>
                <w:lang w:eastAsia="zh-CN"/>
              </w:rPr>
              <w:drawing>
                <wp:inline distT="0" distB="0" distL="114300" distR="114300">
                  <wp:extent cx="2191385" cy="2921635"/>
                  <wp:effectExtent l="0" t="0" r="18415" b="12065"/>
                  <wp:docPr id="21" name="图片 21" descr="06f840eadd63bd00f3c1ae5c8234d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06f840eadd63bd00f3c1ae5c8234d602"/>
                          <pic:cNvPicPr>
                            <a:picLocks noChangeAspect="1"/>
                          </pic:cNvPicPr>
                        </pic:nvPicPr>
                        <pic:blipFill>
                          <a:blip r:embed="rId75"/>
                          <a:stretch>
                            <a:fillRect/>
                          </a:stretch>
                        </pic:blipFill>
                        <pic:spPr>
                          <a:xfrm>
                            <a:off x="0" y="0"/>
                            <a:ext cx="2191385" cy="2921635"/>
                          </a:xfrm>
                          <a:prstGeom prst="rect">
                            <a:avLst/>
                          </a:prstGeom>
                        </pic:spPr>
                      </pic:pic>
                    </a:graphicData>
                  </a:graphic>
                </wp:inline>
              </w:drawing>
            </w:r>
          </w:p>
        </w:tc>
        <w:tc>
          <w:tcPr>
            <w:tcW w:w="1479" w:type="dxa"/>
            <w:tcBorders>
              <w:top w:val="single" w:color="000000" w:sz="4" w:space="0"/>
              <w:left w:val="single" w:color="000000" w:sz="4" w:space="0"/>
              <w:bottom w:val="single" w:color="000000" w:sz="4" w:space="0"/>
              <w:right w:val="nil"/>
            </w:tcBorders>
            <w:shd w:val="clear" w:color="auto" w:fill="auto"/>
            <w:vAlign w:val="center"/>
          </w:tcPr>
          <w:p w14:paraId="51CEC962">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snapToGrid w:val="0"/>
                <w:highlight w:val="none"/>
                <w:lang w:eastAsia="en-US"/>
              </w:rPr>
            </w:pPr>
            <w:r>
              <w:rPr>
                <w:rFonts w:hint="eastAsia"/>
                <w:snapToGrid w:val="0"/>
                <w:highlight w:val="none"/>
                <w:lang w:val="en-US" w:eastAsia="zh-CN"/>
              </w:rPr>
              <w:t>50</w:t>
            </w:r>
            <w:r>
              <w:rPr>
                <w:rFonts w:hint="default"/>
                <w:snapToGrid w:val="0"/>
                <w:highlight w:val="none"/>
                <w:lang w:val="en-US" w:eastAsia="en-US"/>
              </w:rPr>
              <w:t>-</w:t>
            </w:r>
            <w:r>
              <w:rPr>
                <w:rFonts w:hint="eastAsia"/>
                <w:snapToGrid w:val="0"/>
                <w:highlight w:val="none"/>
                <w:lang w:val="en-US" w:eastAsia="zh-CN"/>
              </w:rPr>
              <w:t>2</w:t>
            </w:r>
            <w:r>
              <w:rPr>
                <w:rFonts w:hint="default"/>
                <w:snapToGrid w:val="0"/>
                <w:highlight w:val="none"/>
                <w:lang w:val="en-US" w:eastAsia="en-US"/>
              </w:rPr>
              <w:t>0</w:t>
            </w:r>
            <w:r>
              <w:rPr>
                <w:rFonts w:hint="eastAsia"/>
                <w:snapToGrid w:val="0"/>
                <w:highlight w:val="none"/>
                <w:lang w:val="en-US" w:eastAsia="zh-CN"/>
              </w:rPr>
              <w:t>0</w:t>
            </w:r>
            <w:r>
              <w:rPr>
                <w:rFonts w:hint="default"/>
                <w:snapToGrid w:val="0"/>
                <w:highlight w:val="none"/>
                <w:lang w:val="en-US" w:eastAsia="en-US"/>
              </w:rPr>
              <w:t>mm</w:t>
            </w:r>
          </w:p>
          <w:p w14:paraId="2C9C3D11">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snapToGrid w:val="0"/>
                <w:highlight w:val="none"/>
                <w:lang w:val="en-US" w:eastAsia="zh-CN"/>
              </w:rPr>
            </w:pPr>
            <w:r>
              <w:rPr>
                <w:rFonts w:hint="eastAsia" w:ascii="Times New Roman" w:hAnsi="Times New Roman" w:cs="Times New Roman"/>
                <w:bCs/>
                <w:snapToGrid w:val="0"/>
                <w:highlight w:val="none"/>
              </w:rPr>
              <w:t>暗</w:t>
            </w:r>
            <w:r>
              <w:rPr>
                <w:rFonts w:hint="eastAsia"/>
                <w:snapToGrid w:val="0"/>
                <w:highlight w:val="none"/>
                <w:lang w:val="en-US" w:eastAsia="zh-CN"/>
              </w:rPr>
              <w:t>棕色壤土</w:t>
            </w:r>
          </w:p>
        </w:tc>
      </w:tr>
      <w:tr w14:paraId="0B66A036">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636" w:hRule="atLeast"/>
          <w:jc w:val="center"/>
        </w:trPr>
        <w:tc>
          <w:tcPr>
            <w:tcW w:w="761" w:type="dxa"/>
            <w:vMerge w:val="continue"/>
            <w:tcBorders>
              <w:top w:val="single" w:color="000000" w:sz="4" w:space="0"/>
              <w:left w:val="nil"/>
              <w:bottom w:val="single" w:color="000000" w:sz="12" w:space="0"/>
              <w:right w:val="single" w:color="000000" w:sz="4" w:space="0"/>
            </w:tcBorders>
            <w:shd w:val="clear" w:color="auto" w:fill="auto"/>
            <w:vAlign w:val="top"/>
          </w:tcPr>
          <w:p w14:paraId="511608C7">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snapToGrid w:val="0"/>
                <w:highlight w:val="none"/>
                <w:lang w:eastAsia="en-US"/>
              </w:rPr>
            </w:pPr>
          </w:p>
        </w:tc>
        <w:tc>
          <w:tcPr>
            <w:tcW w:w="2475" w:type="dxa"/>
            <w:vMerge w:val="continue"/>
            <w:tcBorders>
              <w:top w:val="single" w:color="000000" w:sz="4" w:space="0"/>
              <w:left w:val="single" w:color="000000" w:sz="4" w:space="0"/>
              <w:bottom w:val="single" w:color="000000" w:sz="12" w:space="0"/>
              <w:right w:val="single" w:color="000000" w:sz="4" w:space="0"/>
            </w:tcBorders>
            <w:shd w:val="clear" w:color="auto" w:fill="auto"/>
            <w:vAlign w:val="top"/>
          </w:tcPr>
          <w:p w14:paraId="0D0FEFDC">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snapToGrid w:val="0"/>
                <w:highlight w:val="none"/>
                <w:lang w:eastAsia="en-US"/>
              </w:rPr>
            </w:pPr>
          </w:p>
        </w:tc>
        <w:tc>
          <w:tcPr>
            <w:tcW w:w="3377" w:type="dxa"/>
            <w:vMerge w:val="continue"/>
            <w:tcBorders>
              <w:top w:val="single" w:color="000000" w:sz="4" w:space="0"/>
              <w:left w:val="single" w:color="000000" w:sz="4" w:space="0"/>
              <w:bottom w:val="single" w:color="000000" w:sz="12" w:space="0"/>
              <w:right w:val="single" w:color="000000" w:sz="4" w:space="0"/>
            </w:tcBorders>
            <w:shd w:val="clear" w:color="auto" w:fill="auto"/>
            <w:vAlign w:val="top"/>
          </w:tcPr>
          <w:p w14:paraId="53C59D5D">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snapToGrid w:val="0"/>
                <w:highlight w:val="none"/>
                <w:lang w:eastAsia="en-US"/>
              </w:rPr>
            </w:pPr>
          </w:p>
        </w:tc>
        <w:tc>
          <w:tcPr>
            <w:tcW w:w="1479" w:type="dxa"/>
            <w:tcBorders>
              <w:top w:val="single" w:color="000000" w:sz="4" w:space="0"/>
              <w:left w:val="single" w:color="000000" w:sz="4" w:space="0"/>
              <w:bottom w:val="single" w:color="000000" w:sz="4" w:space="0"/>
              <w:right w:val="nil"/>
            </w:tcBorders>
            <w:shd w:val="clear" w:color="auto" w:fill="auto"/>
            <w:vAlign w:val="center"/>
          </w:tcPr>
          <w:p w14:paraId="53CFA7C4">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snapToGrid w:val="0"/>
                <w:highlight w:val="none"/>
                <w:lang w:eastAsia="en-US"/>
              </w:rPr>
            </w:pPr>
          </w:p>
          <w:p w14:paraId="6DFCBE55">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snapToGrid w:val="0"/>
                <w:highlight w:val="none"/>
                <w:lang w:eastAsia="en-US"/>
              </w:rPr>
            </w:pPr>
          </w:p>
          <w:p w14:paraId="3D7E6219">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snapToGrid w:val="0"/>
                <w:highlight w:val="none"/>
                <w:lang w:eastAsia="en-US"/>
              </w:rPr>
            </w:pPr>
          </w:p>
          <w:p w14:paraId="70EA246F">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snapToGrid w:val="0"/>
                <w:highlight w:val="none"/>
                <w:lang w:eastAsia="en-US"/>
              </w:rPr>
            </w:pPr>
          </w:p>
          <w:p w14:paraId="1185A584">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snapToGrid w:val="0"/>
                <w:highlight w:val="none"/>
                <w:lang w:val="en-US" w:eastAsia="en-US"/>
              </w:rPr>
            </w:pPr>
            <w:r>
              <w:rPr>
                <w:rFonts w:hint="eastAsia"/>
                <w:snapToGrid w:val="0"/>
                <w:highlight w:val="none"/>
                <w:lang w:val="en-US" w:eastAsia="zh-CN"/>
              </w:rPr>
              <w:t>500</w:t>
            </w:r>
            <w:r>
              <w:rPr>
                <w:rFonts w:hint="default"/>
                <w:snapToGrid w:val="0"/>
                <w:highlight w:val="none"/>
                <w:lang w:val="en-US" w:eastAsia="en-US"/>
              </w:rPr>
              <w:t>mm</w:t>
            </w:r>
          </w:p>
          <w:p w14:paraId="02DF9E15">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snapToGrid w:val="0"/>
                <w:highlight w:val="none"/>
                <w:lang w:val="en-US" w:eastAsia="zh-CN"/>
              </w:rPr>
            </w:pPr>
            <w:r>
              <w:rPr>
                <w:rFonts w:hint="eastAsia" w:ascii="Times New Roman" w:hAnsi="Times New Roman" w:cs="Times New Roman"/>
                <w:bCs/>
                <w:snapToGrid w:val="0"/>
                <w:highlight w:val="none"/>
              </w:rPr>
              <w:t>暗</w:t>
            </w:r>
            <w:r>
              <w:rPr>
                <w:rFonts w:hint="eastAsia"/>
                <w:snapToGrid w:val="0"/>
                <w:highlight w:val="none"/>
                <w:lang w:val="en-US" w:eastAsia="zh-CN"/>
              </w:rPr>
              <w:t>棕色壤土</w:t>
            </w:r>
          </w:p>
        </w:tc>
      </w:tr>
      <w:tr w14:paraId="5DC76742">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87" w:hRule="atLeast"/>
          <w:jc w:val="center"/>
        </w:trPr>
        <w:tc>
          <w:tcPr>
            <w:tcW w:w="761" w:type="dxa"/>
            <w:vMerge w:val="continue"/>
            <w:tcBorders>
              <w:top w:val="single" w:color="000000" w:sz="4" w:space="0"/>
              <w:left w:val="nil"/>
              <w:bottom w:val="single" w:color="000000" w:sz="12" w:space="0"/>
              <w:right w:val="single" w:color="000000" w:sz="4" w:space="0"/>
            </w:tcBorders>
            <w:shd w:val="clear" w:color="auto" w:fill="auto"/>
            <w:vAlign w:val="top"/>
          </w:tcPr>
          <w:p w14:paraId="0C604C43">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snapToGrid w:val="0"/>
                <w:highlight w:val="none"/>
                <w:lang w:eastAsia="en-US"/>
              </w:rPr>
            </w:pPr>
          </w:p>
        </w:tc>
        <w:tc>
          <w:tcPr>
            <w:tcW w:w="2475" w:type="dxa"/>
            <w:vMerge w:val="continue"/>
            <w:tcBorders>
              <w:top w:val="single" w:color="000000" w:sz="4" w:space="0"/>
              <w:left w:val="single" w:color="000000" w:sz="4" w:space="0"/>
              <w:bottom w:val="single" w:color="000000" w:sz="12" w:space="0"/>
              <w:right w:val="single" w:color="000000" w:sz="4" w:space="0"/>
            </w:tcBorders>
            <w:shd w:val="clear" w:color="auto" w:fill="auto"/>
            <w:vAlign w:val="top"/>
          </w:tcPr>
          <w:p w14:paraId="7B96EE8D">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snapToGrid w:val="0"/>
                <w:highlight w:val="none"/>
                <w:lang w:eastAsia="en-US"/>
              </w:rPr>
            </w:pPr>
          </w:p>
        </w:tc>
        <w:tc>
          <w:tcPr>
            <w:tcW w:w="3377" w:type="dxa"/>
            <w:vMerge w:val="continue"/>
            <w:tcBorders>
              <w:top w:val="single" w:color="000000" w:sz="4" w:space="0"/>
              <w:left w:val="single" w:color="000000" w:sz="4" w:space="0"/>
              <w:bottom w:val="single" w:color="000000" w:sz="12" w:space="0"/>
              <w:right w:val="single" w:color="000000" w:sz="4" w:space="0"/>
            </w:tcBorders>
            <w:shd w:val="clear" w:color="auto" w:fill="auto"/>
            <w:vAlign w:val="top"/>
          </w:tcPr>
          <w:p w14:paraId="7ABB1E18">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snapToGrid w:val="0"/>
                <w:highlight w:val="none"/>
                <w:lang w:eastAsia="en-US"/>
              </w:rPr>
            </w:pPr>
          </w:p>
        </w:tc>
        <w:tc>
          <w:tcPr>
            <w:tcW w:w="1479" w:type="dxa"/>
            <w:tcBorders>
              <w:top w:val="single" w:color="000000" w:sz="4" w:space="0"/>
              <w:left w:val="single" w:color="000000" w:sz="4" w:space="0"/>
              <w:bottom w:val="single" w:color="000000" w:sz="12" w:space="0"/>
              <w:right w:val="nil"/>
            </w:tcBorders>
            <w:shd w:val="clear" w:color="auto" w:fill="auto"/>
            <w:vAlign w:val="center"/>
          </w:tcPr>
          <w:p w14:paraId="7D113756">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snapToGrid w:val="0"/>
                <w:highlight w:val="none"/>
                <w:lang w:val="en-US" w:eastAsia="en-US"/>
              </w:rPr>
            </w:pPr>
            <w:r>
              <w:rPr>
                <w:rFonts w:hint="eastAsia"/>
                <w:snapToGrid w:val="0"/>
                <w:highlight w:val="none"/>
                <w:lang w:val="en-US" w:eastAsia="zh-CN"/>
              </w:rPr>
              <w:t>1000</w:t>
            </w:r>
            <w:r>
              <w:rPr>
                <w:rFonts w:hint="default"/>
                <w:snapToGrid w:val="0"/>
                <w:highlight w:val="none"/>
                <w:lang w:val="en-US" w:eastAsia="en-US"/>
              </w:rPr>
              <w:t>-</w:t>
            </w:r>
            <w:r>
              <w:rPr>
                <w:rFonts w:hint="eastAsia"/>
                <w:snapToGrid w:val="0"/>
                <w:highlight w:val="none"/>
                <w:lang w:val="en-US" w:eastAsia="zh-CN"/>
              </w:rPr>
              <w:t>1200</w:t>
            </w:r>
            <w:r>
              <w:rPr>
                <w:rFonts w:hint="default"/>
                <w:snapToGrid w:val="0"/>
                <w:highlight w:val="none"/>
                <w:lang w:val="en-US" w:eastAsia="en-US"/>
              </w:rPr>
              <w:t>mm</w:t>
            </w:r>
          </w:p>
          <w:p w14:paraId="5CCAFE5C">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snapToGrid w:val="0"/>
                <w:highlight w:val="none"/>
                <w:lang w:val="en-US" w:eastAsia="zh-CN"/>
              </w:rPr>
            </w:pPr>
            <w:r>
              <w:rPr>
                <w:rFonts w:hint="eastAsia" w:ascii="Times New Roman" w:hAnsi="Times New Roman" w:cs="Times New Roman"/>
                <w:bCs/>
                <w:snapToGrid w:val="0"/>
                <w:highlight w:val="none"/>
              </w:rPr>
              <w:t>暗</w:t>
            </w:r>
            <w:r>
              <w:rPr>
                <w:rFonts w:hint="eastAsia"/>
                <w:snapToGrid w:val="0"/>
                <w:highlight w:val="none"/>
                <w:lang w:val="en-US" w:eastAsia="zh-CN"/>
              </w:rPr>
              <w:t>棕色壤土</w:t>
            </w:r>
          </w:p>
        </w:tc>
      </w:tr>
    </w:tbl>
    <w:p w14:paraId="67C833C9">
      <w:pPr>
        <w:bidi w:val="0"/>
        <w:rPr>
          <w:rFonts w:hint="eastAsia"/>
          <w:highlight w:val="none"/>
          <w:lang w:val="en-US" w:eastAsia="zh-CN"/>
        </w:rPr>
      </w:pPr>
      <w:r>
        <w:rPr>
          <w:rFonts w:hint="default"/>
          <w:highlight w:val="none"/>
        </w:rPr>
        <w:t>2、</w:t>
      </w:r>
      <w:bookmarkEnd w:id="356"/>
      <w:r>
        <w:rPr>
          <w:rFonts w:hint="eastAsia"/>
          <w:highlight w:val="none"/>
          <w:lang w:val="en-US" w:eastAsia="zh-CN"/>
        </w:rPr>
        <w:t>土壤环境质量现状监测</w:t>
      </w:r>
    </w:p>
    <w:p w14:paraId="5734D6C1">
      <w:pPr>
        <w:bidi w:val="0"/>
        <w:rPr>
          <w:rFonts w:hint="default"/>
          <w:highlight w:val="none"/>
          <w:lang w:val="en-US" w:eastAsia="zh-CN"/>
        </w:rPr>
      </w:pPr>
      <w:r>
        <w:rPr>
          <w:rFonts w:hint="default"/>
          <w:highlight w:val="none"/>
          <w:lang w:val="en-US" w:eastAsia="zh-CN"/>
        </w:rPr>
        <w:t>（1）监测布点</w:t>
      </w:r>
    </w:p>
    <w:p w14:paraId="16777658">
      <w:pPr>
        <w:bidi w:val="0"/>
        <w:rPr>
          <w:rFonts w:hint="default"/>
          <w:highlight w:val="none"/>
        </w:rPr>
      </w:pPr>
      <w:bookmarkStart w:id="357" w:name="_Toc15170"/>
      <w:r>
        <w:rPr>
          <w:rFonts w:hint="default"/>
          <w:highlight w:val="none"/>
          <w:lang w:val="en-US" w:eastAsia="zh-CN"/>
        </w:rPr>
        <w:t>根据工程分析本次评价的等级为一级，根据《环境影响评价技术导则土壤环境（试行）》的布点原则，本项目属于一级污染影响型项目，在厂区占地范围内设置5个柱状样点，2个表层样点，占地范围外设置4个表层样点</w:t>
      </w:r>
      <w:r>
        <w:rPr>
          <w:rFonts w:hint="eastAsia"/>
          <w:highlight w:val="none"/>
          <w:lang w:val="en-US" w:eastAsia="zh-CN"/>
        </w:rPr>
        <w:t>；</w:t>
      </w:r>
      <w:r>
        <w:rPr>
          <w:rFonts w:hint="default"/>
          <w:highlight w:val="none"/>
          <w:lang w:val="en-US" w:eastAsia="zh-CN"/>
        </w:rPr>
        <w:t>由于本项目租用现有的厂房，场地区域地面硬化，</w:t>
      </w:r>
      <w:r>
        <w:rPr>
          <w:rFonts w:hint="eastAsia"/>
          <w:highlight w:val="none"/>
          <w:lang w:val="en-US" w:eastAsia="zh-CN"/>
        </w:rPr>
        <w:t>无场地开挖工程，</w:t>
      </w:r>
      <w:r>
        <w:rPr>
          <w:rFonts w:hint="default"/>
          <w:highlight w:val="none"/>
          <w:lang w:val="en-US" w:eastAsia="zh-CN"/>
        </w:rPr>
        <w:t>因此</w:t>
      </w:r>
      <w:r>
        <w:rPr>
          <w:rFonts w:hint="eastAsia"/>
          <w:highlight w:val="none"/>
          <w:lang w:val="en-US" w:eastAsia="zh-CN"/>
        </w:rPr>
        <w:t>仅在项目</w:t>
      </w:r>
      <w:r>
        <w:rPr>
          <w:rFonts w:hint="default"/>
          <w:highlight w:val="none"/>
          <w:lang w:val="en-US" w:eastAsia="zh-CN"/>
        </w:rPr>
        <w:t>占地范围外设置4个表层样点。</w:t>
      </w:r>
    </w:p>
    <w:p w14:paraId="35DF84B8">
      <w:pPr>
        <w:pStyle w:val="7"/>
        <w:bidi w:val="0"/>
        <w:rPr>
          <w:rFonts w:hint="default"/>
          <w:highlight w:val="none"/>
          <w:lang w:val="en-US" w:eastAsia="zh-CN"/>
        </w:rPr>
      </w:pPr>
    </w:p>
    <w:p w14:paraId="22A1C733">
      <w:pPr>
        <w:pStyle w:val="7"/>
        <w:bidi w:val="0"/>
        <w:rPr>
          <w:rFonts w:hint="default"/>
          <w:highlight w:val="none"/>
          <w:lang w:val="en-US" w:eastAsia="zh-CN"/>
        </w:rPr>
      </w:pPr>
    </w:p>
    <w:p w14:paraId="28BAAD2D">
      <w:pPr>
        <w:pStyle w:val="7"/>
        <w:bidi w:val="0"/>
        <w:rPr>
          <w:rFonts w:hint="default"/>
          <w:highlight w:val="none"/>
          <w:lang w:val="en-US" w:eastAsia="zh-CN"/>
        </w:rPr>
      </w:pPr>
    </w:p>
    <w:p w14:paraId="4CD34C40">
      <w:pPr>
        <w:pStyle w:val="7"/>
        <w:bidi w:val="0"/>
        <w:rPr>
          <w:rFonts w:hint="default"/>
          <w:highlight w:val="none"/>
          <w:lang w:val="en-US" w:eastAsia="zh-CN"/>
        </w:rPr>
      </w:pPr>
    </w:p>
    <w:p w14:paraId="5383157F">
      <w:pPr>
        <w:pStyle w:val="7"/>
        <w:bidi w:val="0"/>
        <w:rPr>
          <w:rFonts w:hint="default"/>
          <w:highlight w:val="none"/>
          <w:lang w:val="en-US" w:eastAsia="zh-CN"/>
        </w:rPr>
      </w:pPr>
    </w:p>
    <w:p w14:paraId="7F0C9EFE">
      <w:pPr>
        <w:pStyle w:val="7"/>
        <w:bidi w:val="0"/>
        <w:rPr>
          <w:rFonts w:hint="default"/>
          <w:highlight w:val="none"/>
          <w:lang w:val="en-US" w:eastAsia="zh-CN"/>
        </w:rPr>
      </w:pPr>
    </w:p>
    <w:p w14:paraId="62A78091">
      <w:pPr>
        <w:pStyle w:val="7"/>
        <w:bidi w:val="0"/>
        <w:rPr>
          <w:rFonts w:hint="default"/>
          <w:highlight w:val="none"/>
          <w:lang w:val="en-US" w:eastAsia="zh-CN"/>
        </w:rPr>
      </w:pPr>
    </w:p>
    <w:p w14:paraId="7696C02D">
      <w:pPr>
        <w:pStyle w:val="7"/>
        <w:bidi w:val="0"/>
        <w:rPr>
          <w:rFonts w:hint="default"/>
          <w:highlight w:val="none"/>
          <w:lang w:val="en-US" w:eastAsia="zh-CN"/>
        </w:rPr>
      </w:pPr>
    </w:p>
    <w:p w14:paraId="140C5009">
      <w:pPr>
        <w:pStyle w:val="7"/>
        <w:bidi w:val="0"/>
        <w:rPr>
          <w:rFonts w:hint="default"/>
          <w:highlight w:val="none"/>
          <w:lang w:val="en-US" w:eastAsia="zh-CN"/>
        </w:rPr>
      </w:pPr>
    </w:p>
    <w:p w14:paraId="25C3F738">
      <w:pPr>
        <w:pStyle w:val="7"/>
        <w:bidi w:val="0"/>
        <w:rPr>
          <w:rFonts w:hint="default"/>
          <w:highlight w:val="none"/>
          <w:lang w:val="en-US" w:eastAsia="zh-CN"/>
        </w:rPr>
      </w:pPr>
    </w:p>
    <w:p w14:paraId="3EDDEEB2">
      <w:pPr>
        <w:pStyle w:val="7"/>
        <w:bidi w:val="0"/>
        <w:rPr>
          <w:rFonts w:hint="default"/>
          <w:highlight w:val="none"/>
        </w:rPr>
      </w:pPr>
      <w:r>
        <w:rPr>
          <w:rFonts w:hint="default"/>
          <w:highlight w:val="none"/>
          <w:lang w:val="en-US" w:eastAsia="zh-CN"/>
        </w:rPr>
        <w:t>表4-2-</w:t>
      </w:r>
      <w:r>
        <w:rPr>
          <w:rFonts w:hint="eastAsia"/>
          <w:highlight w:val="none"/>
          <w:lang w:val="en-US" w:eastAsia="zh-CN"/>
        </w:rPr>
        <w:t>16</w:t>
      </w:r>
      <w:r>
        <w:rPr>
          <w:rFonts w:hint="default"/>
          <w:highlight w:val="none"/>
          <w:lang w:val="en-US" w:eastAsia="zh-CN"/>
        </w:rPr>
        <w:t>土壤监测点位布设情况一览表</w:t>
      </w:r>
    </w:p>
    <w:tbl>
      <w:tblPr>
        <w:tblStyle w:val="739"/>
        <w:tblW w:w="8533"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shd w:val="clear" w:color="auto" w:fill="auto"/>
        <w:tblLayout w:type="fixed"/>
        <w:tblCellMar>
          <w:top w:w="0" w:type="dxa"/>
          <w:left w:w="0" w:type="dxa"/>
          <w:bottom w:w="0" w:type="dxa"/>
          <w:right w:w="0" w:type="dxa"/>
        </w:tblCellMar>
      </w:tblPr>
      <w:tblGrid>
        <w:gridCol w:w="677"/>
        <w:gridCol w:w="567"/>
        <w:gridCol w:w="1155"/>
        <w:gridCol w:w="4995"/>
        <w:gridCol w:w="1139"/>
      </w:tblGrid>
      <w:tr w14:paraId="280E134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242" w:hRule="atLeast"/>
          <w:jc w:val="center"/>
        </w:trPr>
        <w:tc>
          <w:tcPr>
            <w:tcW w:w="677" w:type="dxa"/>
            <w:tcBorders>
              <w:tl2br w:val="nil"/>
              <w:tr2bl w:val="nil"/>
            </w:tcBorders>
            <w:shd w:val="clear" w:color="auto" w:fill="auto"/>
            <w:vAlign w:val="center"/>
          </w:tcPr>
          <w:p w14:paraId="4A67BDD4">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区域</w:t>
            </w:r>
          </w:p>
        </w:tc>
        <w:tc>
          <w:tcPr>
            <w:tcW w:w="567" w:type="dxa"/>
            <w:tcBorders>
              <w:tl2br w:val="nil"/>
              <w:tr2bl w:val="nil"/>
            </w:tcBorders>
            <w:shd w:val="clear" w:color="auto" w:fill="auto"/>
            <w:vAlign w:val="center"/>
          </w:tcPr>
          <w:p w14:paraId="51C94FAF">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编号</w:t>
            </w:r>
          </w:p>
        </w:tc>
        <w:tc>
          <w:tcPr>
            <w:tcW w:w="1155" w:type="dxa"/>
            <w:tcBorders>
              <w:tl2br w:val="nil"/>
              <w:tr2bl w:val="nil"/>
            </w:tcBorders>
            <w:shd w:val="clear" w:color="auto" w:fill="auto"/>
            <w:vAlign w:val="center"/>
          </w:tcPr>
          <w:p w14:paraId="72B634BF">
            <w:pPr>
              <w:pStyle w:val="8"/>
              <w:suppressLineNumbers w:val="0"/>
              <w:bidi w:val="0"/>
              <w:spacing w:before="0" w:beforeAutospacing="0" w:after="0" w:afterAutospacing="0"/>
              <w:ind w:left="0" w:right="0"/>
              <w:rPr>
                <w:rFonts w:hint="eastAsia"/>
                <w:snapToGrid w:val="0"/>
                <w:highlight w:val="none"/>
                <w:lang w:val="en-US" w:eastAsia="zh-CN"/>
              </w:rPr>
            </w:pPr>
            <w:r>
              <w:rPr>
                <w:rFonts w:hint="default"/>
                <w:snapToGrid w:val="0"/>
                <w:highlight w:val="none"/>
                <w:lang w:val="en-US" w:eastAsia="en-US"/>
              </w:rPr>
              <w:t>监测</w:t>
            </w:r>
            <w:r>
              <w:rPr>
                <w:rFonts w:hint="eastAsia"/>
                <w:snapToGrid w:val="0"/>
                <w:highlight w:val="none"/>
                <w:lang w:val="en-US" w:eastAsia="zh-CN"/>
              </w:rPr>
              <w:t>位置</w:t>
            </w:r>
          </w:p>
        </w:tc>
        <w:tc>
          <w:tcPr>
            <w:tcW w:w="4995" w:type="dxa"/>
            <w:tcBorders>
              <w:tl2br w:val="nil"/>
              <w:tr2bl w:val="nil"/>
            </w:tcBorders>
            <w:shd w:val="clear" w:color="auto" w:fill="auto"/>
            <w:vAlign w:val="center"/>
          </w:tcPr>
          <w:p w14:paraId="7CBF4513">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监测项目</w:t>
            </w:r>
          </w:p>
        </w:tc>
        <w:tc>
          <w:tcPr>
            <w:tcW w:w="1139" w:type="dxa"/>
            <w:tcBorders>
              <w:tl2br w:val="nil"/>
              <w:tr2bl w:val="nil"/>
            </w:tcBorders>
            <w:shd w:val="clear" w:color="auto" w:fill="auto"/>
            <w:vAlign w:val="center"/>
          </w:tcPr>
          <w:p w14:paraId="031FBD78">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取土类型</w:t>
            </w:r>
          </w:p>
        </w:tc>
      </w:tr>
      <w:tr w14:paraId="58DC5A5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81" w:hRule="atLeast"/>
          <w:jc w:val="center"/>
        </w:trPr>
        <w:tc>
          <w:tcPr>
            <w:tcW w:w="677" w:type="dxa"/>
            <w:vMerge w:val="restart"/>
            <w:tcBorders>
              <w:tl2br w:val="nil"/>
              <w:tr2bl w:val="nil"/>
            </w:tcBorders>
            <w:shd w:val="clear" w:color="auto" w:fill="auto"/>
            <w:vAlign w:val="center"/>
          </w:tcPr>
          <w:p w14:paraId="4A3285CE">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厂区外</w:t>
            </w:r>
          </w:p>
        </w:tc>
        <w:tc>
          <w:tcPr>
            <w:tcW w:w="567" w:type="dxa"/>
            <w:tcBorders>
              <w:tl2br w:val="nil"/>
              <w:tr2bl w:val="nil"/>
            </w:tcBorders>
            <w:shd w:val="clear" w:color="auto" w:fill="auto"/>
            <w:vAlign w:val="center"/>
          </w:tcPr>
          <w:p w14:paraId="5F050563">
            <w:pPr>
              <w:pStyle w:val="8"/>
              <w:suppressLineNumbers w:val="0"/>
              <w:bidi w:val="0"/>
              <w:spacing w:before="0" w:beforeAutospacing="0" w:after="0" w:afterAutospacing="0"/>
              <w:ind w:left="0" w:right="0"/>
              <w:rPr>
                <w:rFonts w:hint="default"/>
                <w:snapToGrid w:val="0"/>
                <w:highlight w:val="none"/>
                <w:lang w:val="en-US" w:eastAsia="zh-CN"/>
              </w:rPr>
            </w:pPr>
            <w:r>
              <w:rPr>
                <w:rFonts w:hint="default"/>
                <w:snapToGrid w:val="0"/>
                <w:highlight w:val="none"/>
                <w:lang w:val="en-US" w:eastAsia="zh-CN"/>
              </w:rPr>
              <w:t>TR</w:t>
            </w:r>
            <w:r>
              <w:rPr>
                <w:rFonts w:hint="eastAsia"/>
                <w:snapToGrid w:val="0"/>
                <w:highlight w:val="none"/>
                <w:lang w:val="en-US" w:eastAsia="zh-CN"/>
              </w:rPr>
              <w:t>1</w:t>
            </w:r>
          </w:p>
        </w:tc>
        <w:tc>
          <w:tcPr>
            <w:tcW w:w="1155" w:type="dxa"/>
            <w:tcBorders>
              <w:tl2br w:val="nil"/>
              <w:tr2bl w:val="nil"/>
            </w:tcBorders>
            <w:shd w:val="clear" w:color="auto" w:fill="auto"/>
            <w:vAlign w:val="center"/>
          </w:tcPr>
          <w:p w14:paraId="55A18FBE">
            <w:pPr>
              <w:pStyle w:val="8"/>
              <w:suppressLineNumbers w:val="0"/>
              <w:bidi w:val="0"/>
              <w:spacing w:before="0" w:beforeAutospacing="0" w:after="0" w:afterAutospacing="0"/>
              <w:ind w:left="0" w:right="0"/>
              <w:rPr>
                <w:rFonts w:hint="default"/>
                <w:snapToGrid w:val="0"/>
                <w:highlight w:val="none"/>
                <w:lang w:val="en-US" w:eastAsia="en-US"/>
              </w:rPr>
            </w:pPr>
            <w:r>
              <w:rPr>
                <w:rFonts w:hint="eastAsia"/>
                <w:snapToGrid w:val="0"/>
                <w:highlight w:val="none"/>
                <w:lang w:val="en-US" w:eastAsia="zh-CN"/>
              </w:rPr>
              <w:t>厂界外南侧</w:t>
            </w:r>
          </w:p>
        </w:tc>
        <w:tc>
          <w:tcPr>
            <w:tcW w:w="4995" w:type="dxa"/>
            <w:tcBorders>
              <w:tl2br w:val="nil"/>
              <w:tr2bl w:val="nil"/>
            </w:tcBorders>
            <w:shd w:val="clear" w:color="auto" w:fill="auto"/>
            <w:vAlign w:val="center"/>
          </w:tcPr>
          <w:p w14:paraId="17C3BAFF">
            <w:pPr>
              <w:pStyle w:val="8"/>
              <w:suppressLineNumbers w:val="0"/>
              <w:bidi w:val="0"/>
              <w:spacing w:before="0" w:beforeAutospacing="0" w:after="0" w:afterAutospacing="0"/>
              <w:ind w:left="0" w:right="0"/>
              <w:rPr>
                <w:rFonts w:hint="eastAsia"/>
                <w:snapToGrid w:val="0"/>
                <w:highlight w:val="none"/>
                <w:lang w:val="en-US" w:eastAsia="zh-CN"/>
              </w:rPr>
            </w:pPr>
            <w:r>
              <w:rPr>
                <w:rFonts w:hint="eastAsia"/>
                <w:snapToGrid w:val="0"/>
                <w:highlight w:val="none"/>
                <w:lang w:val="en-US" w:eastAsia="zh-CN"/>
              </w:rPr>
              <w:t>基本因子：砷、镉、铬（六价）、铜、铅、汞、镍、挥发性有机物四氯化碳、氯仿、氯甲烷、</w:t>
            </w:r>
            <w:r>
              <w:rPr>
                <w:rFonts w:hint="default"/>
                <w:snapToGrid w:val="0"/>
                <w:highlight w:val="none"/>
                <w:lang w:val="en-US" w:eastAsia="zh-CN"/>
              </w:rPr>
              <w:t>1</w:t>
            </w:r>
            <w:r>
              <w:rPr>
                <w:rFonts w:hint="eastAsia"/>
                <w:snapToGrid w:val="0"/>
                <w:highlight w:val="none"/>
                <w:lang w:val="en-US" w:eastAsia="zh-CN"/>
              </w:rPr>
              <w:t>，</w:t>
            </w:r>
            <w:r>
              <w:rPr>
                <w:rFonts w:hint="default"/>
                <w:snapToGrid w:val="0"/>
                <w:highlight w:val="none"/>
                <w:lang w:val="en-US" w:eastAsia="zh-CN"/>
              </w:rPr>
              <w:t>1-</w:t>
            </w:r>
            <w:r>
              <w:rPr>
                <w:rFonts w:hint="eastAsia"/>
                <w:snapToGrid w:val="0"/>
                <w:highlight w:val="none"/>
                <w:lang w:val="en-US" w:eastAsia="zh-CN"/>
              </w:rPr>
              <w:t>二氯乙烷、</w:t>
            </w:r>
            <w:r>
              <w:rPr>
                <w:rFonts w:hint="default"/>
                <w:snapToGrid w:val="0"/>
                <w:highlight w:val="none"/>
                <w:lang w:val="en-US" w:eastAsia="zh-CN"/>
              </w:rPr>
              <w:t>1</w:t>
            </w:r>
            <w:r>
              <w:rPr>
                <w:rFonts w:hint="eastAsia"/>
                <w:snapToGrid w:val="0"/>
                <w:highlight w:val="none"/>
                <w:lang w:val="en-US" w:eastAsia="zh-CN"/>
              </w:rPr>
              <w:t>，</w:t>
            </w:r>
            <w:r>
              <w:rPr>
                <w:rFonts w:hint="default"/>
                <w:snapToGrid w:val="0"/>
                <w:highlight w:val="none"/>
                <w:lang w:val="en-US" w:eastAsia="zh-CN"/>
              </w:rPr>
              <w:t>2-</w:t>
            </w:r>
            <w:r>
              <w:rPr>
                <w:rFonts w:hint="eastAsia"/>
                <w:snapToGrid w:val="0"/>
                <w:highlight w:val="none"/>
                <w:lang w:val="en-US" w:eastAsia="zh-CN"/>
              </w:rPr>
              <w:t>二氯乙烷、</w:t>
            </w:r>
            <w:r>
              <w:rPr>
                <w:rFonts w:hint="default"/>
                <w:snapToGrid w:val="0"/>
                <w:highlight w:val="none"/>
                <w:lang w:val="en-US" w:eastAsia="zh-CN"/>
              </w:rPr>
              <w:t>1</w:t>
            </w:r>
            <w:r>
              <w:rPr>
                <w:rFonts w:hint="eastAsia"/>
                <w:snapToGrid w:val="0"/>
                <w:highlight w:val="none"/>
                <w:lang w:val="en-US" w:eastAsia="zh-CN"/>
              </w:rPr>
              <w:t>，</w:t>
            </w:r>
            <w:r>
              <w:rPr>
                <w:rFonts w:hint="default"/>
                <w:snapToGrid w:val="0"/>
                <w:highlight w:val="none"/>
                <w:lang w:val="en-US" w:eastAsia="zh-CN"/>
              </w:rPr>
              <w:t>1-</w:t>
            </w:r>
            <w:r>
              <w:rPr>
                <w:rFonts w:hint="eastAsia"/>
                <w:snapToGrid w:val="0"/>
                <w:highlight w:val="none"/>
                <w:lang w:val="en-US" w:eastAsia="zh-CN"/>
              </w:rPr>
              <w:t>二氯乙烯、顺</w:t>
            </w:r>
            <w:r>
              <w:rPr>
                <w:rFonts w:hint="default"/>
                <w:snapToGrid w:val="0"/>
                <w:highlight w:val="none"/>
                <w:lang w:val="en-US" w:eastAsia="zh-CN"/>
              </w:rPr>
              <w:t>-1</w:t>
            </w:r>
            <w:r>
              <w:rPr>
                <w:rFonts w:hint="eastAsia"/>
                <w:snapToGrid w:val="0"/>
                <w:highlight w:val="none"/>
                <w:lang w:val="en-US" w:eastAsia="zh-CN"/>
              </w:rPr>
              <w:t>，</w:t>
            </w:r>
            <w:r>
              <w:rPr>
                <w:rFonts w:hint="default"/>
                <w:snapToGrid w:val="0"/>
                <w:highlight w:val="none"/>
                <w:lang w:val="en-US" w:eastAsia="zh-CN"/>
              </w:rPr>
              <w:t>2-</w:t>
            </w:r>
            <w:r>
              <w:rPr>
                <w:rFonts w:hint="eastAsia"/>
                <w:snapToGrid w:val="0"/>
                <w:highlight w:val="none"/>
                <w:lang w:val="en-US" w:eastAsia="zh-CN"/>
              </w:rPr>
              <w:t>二氯乙烯、反</w:t>
            </w:r>
            <w:r>
              <w:rPr>
                <w:rFonts w:hint="default"/>
                <w:snapToGrid w:val="0"/>
                <w:highlight w:val="none"/>
                <w:lang w:val="en-US" w:eastAsia="zh-CN"/>
              </w:rPr>
              <w:t>-1</w:t>
            </w:r>
            <w:r>
              <w:rPr>
                <w:rFonts w:hint="eastAsia"/>
                <w:snapToGrid w:val="0"/>
                <w:highlight w:val="none"/>
                <w:lang w:val="en-US" w:eastAsia="zh-CN"/>
              </w:rPr>
              <w:t>，</w:t>
            </w:r>
            <w:r>
              <w:rPr>
                <w:rFonts w:hint="default"/>
                <w:snapToGrid w:val="0"/>
                <w:highlight w:val="none"/>
                <w:lang w:val="en-US" w:eastAsia="zh-CN"/>
              </w:rPr>
              <w:t>2-</w:t>
            </w:r>
            <w:r>
              <w:rPr>
                <w:rFonts w:hint="eastAsia"/>
                <w:snapToGrid w:val="0"/>
                <w:highlight w:val="none"/>
                <w:lang w:val="en-US" w:eastAsia="zh-CN"/>
              </w:rPr>
              <w:t>二氯乙烯、二氯甲烷、</w:t>
            </w:r>
            <w:r>
              <w:rPr>
                <w:rFonts w:hint="default"/>
                <w:snapToGrid w:val="0"/>
                <w:highlight w:val="none"/>
                <w:lang w:val="en-US" w:eastAsia="zh-CN"/>
              </w:rPr>
              <w:t>1</w:t>
            </w:r>
            <w:r>
              <w:rPr>
                <w:rFonts w:hint="eastAsia"/>
                <w:snapToGrid w:val="0"/>
                <w:highlight w:val="none"/>
                <w:lang w:val="en-US" w:eastAsia="zh-CN"/>
              </w:rPr>
              <w:t>，</w:t>
            </w:r>
            <w:r>
              <w:rPr>
                <w:rFonts w:hint="default"/>
                <w:snapToGrid w:val="0"/>
                <w:highlight w:val="none"/>
                <w:lang w:val="en-US" w:eastAsia="zh-CN"/>
              </w:rPr>
              <w:t>2-</w:t>
            </w:r>
            <w:r>
              <w:rPr>
                <w:rFonts w:hint="eastAsia"/>
                <w:snapToGrid w:val="0"/>
                <w:highlight w:val="none"/>
                <w:lang w:val="en-US" w:eastAsia="zh-CN"/>
              </w:rPr>
              <w:t>二氯丙烷、</w:t>
            </w:r>
            <w:r>
              <w:rPr>
                <w:rFonts w:hint="default"/>
                <w:snapToGrid w:val="0"/>
                <w:highlight w:val="none"/>
                <w:lang w:val="en-US" w:eastAsia="zh-CN"/>
              </w:rPr>
              <w:t>1</w:t>
            </w:r>
            <w:r>
              <w:rPr>
                <w:rFonts w:hint="eastAsia"/>
                <w:snapToGrid w:val="0"/>
                <w:highlight w:val="none"/>
                <w:lang w:val="en-US" w:eastAsia="zh-CN"/>
              </w:rPr>
              <w:t>，</w:t>
            </w:r>
            <w:r>
              <w:rPr>
                <w:rFonts w:hint="default"/>
                <w:snapToGrid w:val="0"/>
                <w:highlight w:val="none"/>
                <w:lang w:val="en-US" w:eastAsia="zh-CN"/>
              </w:rPr>
              <w:t>1</w:t>
            </w:r>
            <w:r>
              <w:rPr>
                <w:rFonts w:hint="eastAsia"/>
                <w:snapToGrid w:val="0"/>
                <w:highlight w:val="none"/>
                <w:lang w:val="en-US" w:eastAsia="zh-CN"/>
              </w:rPr>
              <w:t>，</w:t>
            </w:r>
            <w:r>
              <w:rPr>
                <w:rFonts w:hint="default"/>
                <w:snapToGrid w:val="0"/>
                <w:highlight w:val="none"/>
                <w:lang w:val="en-US" w:eastAsia="zh-CN"/>
              </w:rPr>
              <w:t>1</w:t>
            </w:r>
            <w:r>
              <w:rPr>
                <w:rFonts w:hint="eastAsia"/>
                <w:snapToGrid w:val="0"/>
                <w:highlight w:val="none"/>
                <w:lang w:val="en-US" w:eastAsia="zh-CN"/>
              </w:rPr>
              <w:t>，</w:t>
            </w:r>
            <w:r>
              <w:rPr>
                <w:rFonts w:hint="default"/>
                <w:snapToGrid w:val="0"/>
                <w:highlight w:val="none"/>
                <w:lang w:val="en-US" w:eastAsia="zh-CN"/>
              </w:rPr>
              <w:t>2-</w:t>
            </w:r>
            <w:r>
              <w:rPr>
                <w:rFonts w:hint="eastAsia"/>
                <w:snapToGrid w:val="0"/>
                <w:highlight w:val="none"/>
                <w:lang w:val="en-US" w:eastAsia="zh-CN"/>
              </w:rPr>
              <w:t>四氯乙烷、</w:t>
            </w:r>
            <w:r>
              <w:rPr>
                <w:rFonts w:hint="default"/>
                <w:snapToGrid w:val="0"/>
                <w:highlight w:val="none"/>
                <w:lang w:val="en-US" w:eastAsia="zh-CN"/>
              </w:rPr>
              <w:t>1</w:t>
            </w:r>
            <w:r>
              <w:rPr>
                <w:rFonts w:hint="eastAsia"/>
                <w:snapToGrid w:val="0"/>
                <w:highlight w:val="none"/>
                <w:lang w:val="en-US" w:eastAsia="zh-CN"/>
              </w:rPr>
              <w:t>，</w:t>
            </w:r>
            <w:r>
              <w:rPr>
                <w:rFonts w:hint="default"/>
                <w:snapToGrid w:val="0"/>
                <w:highlight w:val="none"/>
                <w:lang w:val="en-US" w:eastAsia="zh-CN"/>
              </w:rPr>
              <w:t>1</w:t>
            </w:r>
            <w:r>
              <w:rPr>
                <w:rFonts w:hint="eastAsia"/>
                <w:snapToGrid w:val="0"/>
                <w:highlight w:val="none"/>
                <w:lang w:val="en-US" w:eastAsia="zh-CN"/>
              </w:rPr>
              <w:t>，</w:t>
            </w:r>
            <w:r>
              <w:rPr>
                <w:rFonts w:hint="default"/>
                <w:snapToGrid w:val="0"/>
                <w:highlight w:val="none"/>
                <w:lang w:val="en-US" w:eastAsia="zh-CN"/>
              </w:rPr>
              <w:t>2</w:t>
            </w:r>
            <w:r>
              <w:rPr>
                <w:rFonts w:hint="eastAsia"/>
                <w:snapToGrid w:val="0"/>
                <w:highlight w:val="none"/>
                <w:lang w:val="en-US" w:eastAsia="zh-CN"/>
              </w:rPr>
              <w:t>，</w:t>
            </w:r>
            <w:r>
              <w:rPr>
                <w:rFonts w:hint="default"/>
                <w:snapToGrid w:val="0"/>
                <w:highlight w:val="none"/>
                <w:lang w:val="en-US" w:eastAsia="zh-CN"/>
              </w:rPr>
              <w:t>2-</w:t>
            </w:r>
            <w:r>
              <w:rPr>
                <w:rFonts w:hint="eastAsia"/>
                <w:snapToGrid w:val="0"/>
                <w:highlight w:val="none"/>
                <w:lang w:val="en-US" w:eastAsia="zh-CN"/>
              </w:rPr>
              <w:t>四氯乙烷、四氯乙烯、</w:t>
            </w:r>
            <w:r>
              <w:rPr>
                <w:rFonts w:hint="default"/>
                <w:snapToGrid w:val="0"/>
                <w:highlight w:val="none"/>
                <w:lang w:val="en-US" w:eastAsia="zh-CN"/>
              </w:rPr>
              <w:t>1</w:t>
            </w:r>
            <w:r>
              <w:rPr>
                <w:rFonts w:hint="eastAsia"/>
                <w:snapToGrid w:val="0"/>
                <w:highlight w:val="none"/>
                <w:lang w:val="en-US" w:eastAsia="zh-CN"/>
              </w:rPr>
              <w:t>，</w:t>
            </w:r>
            <w:r>
              <w:rPr>
                <w:rFonts w:hint="default"/>
                <w:snapToGrid w:val="0"/>
                <w:highlight w:val="none"/>
                <w:lang w:val="en-US" w:eastAsia="zh-CN"/>
              </w:rPr>
              <w:t>1</w:t>
            </w:r>
            <w:r>
              <w:rPr>
                <w:rFonts w:hint="eastAsia"/>
                <w:snapToGrid w:val="0"/>
                <w:highlight w:val="none"/>
                <w:lang w:val="en-US" w:eastAsia="zh-CN"/>
              </w:rPr>
              <w:t>，</w:t>
            </w:r>
            <w:r>
              <w:rPr>
                <w:rFonts w:hint="default"/>
                <w:snapToGrid w:val="0"/>
                <w:highlight w:val="none"/>
                <w:lang w:val="en-US" w:eastAsia="zh-CN"/>
              </w:rPr>
              <w:t>1-</w:t>
            </w:r>
            <w:r>
              <w:rPr>
                <w:rFonts w:hint="eastAsia"/>
                <w:snapToGrid w:val="0"/>
                <w:highlight w:val="none"/>
                <w:lang w:val="en-US" w:eastAsia="zh-CN"/>
              </w:rPr>
              <w:t>三氯乙烷、</w:t>
            </w:r>
            <w:r>
              <w:rPr>
                <w:rFonts w:hint="default"/>
                <w:snapToGrid w:val="0"/>
                <w:highlight w:val="none"/>
                <w:lang w:val="en-US" w:eastAsia="zh-CN"/>
              </w:rPr>
              <w:t>1</w:t>
            </w:r>
            <w:r>
              <w:rPr>
                <w:rFonts w:hint="eastAsia"/>
                <w:snapToGrid w:val="0"/>
                <w:highlight w:val="none"/>
                <w:lang w:val="en-US" w:eastAsia="zh-CN"/>
              </w:rPr>
              <w:t>，</w:t>
            </w:r>
            <w:r>
              <w:rPr>
                <w:rFonts w:hint="default"/>
                <w:snapToGrid w:val="0"/>
                <w:highlight w:val="none"/>
                <w:lang w:val="en-US" w:eastAsia="zh-CN"/>
              </w:rPr>
              <w:t>1</w:t>
            </w:r>
            <w:r>
              <w:rPr>
                <w:rFonts w:hint="eastAsia"/>
                <w:snapToGrid w:val="0"/>
                <w:highlight w:val="none"/>
                <w:lang w:val="en-US" w:eastAsia="zh-CN"/>
              </w:rPr>
              <w:t>，</w:t>
            </w:r>
            <w:r>
              <w:rPr>
                <w:rFonts w:hint="default"/>
                <w:snapToGrid w:val="0"/>
                <w:highlight w:val="none"/>
                <w:lang w:val="en-US" w:eastAsia="zh-CN"/>
              </w:rPr>
              <w:t>2-</w:t>
            </w:r>
            <w:r>
              <w:rPr>
                <w:rFonts w:hint="eastAsia"/>
                <w:snapToGrid w:val="0"/>
                <w:highlight w:val="none"/>
                <w:lang w:val="en-US" w:eastAsia="zh-CN"/>
              </w:rPr>
              <w:t>三氯乙烷、三氯乙烯、</w:t>
            </w:r>
            <w:r>
              <w:rPr>
                <w:rFonts w:hint="default"/>
                <w:snapToGrid w:val="0"/>
                <w:highlight w:val="none"/>
                <w:lang w:val="en-US" w:eastAsia="zh-CN"/>
              </w:rPr>
              <w:t>1</w:t>
            </w:r>
            <w:r>
              <w:rPr>
                <w:rFonts w:hint="eastAsia"/>
                <w:snapToGrid w:val="0"/>
                <w:highlight w:val="none"/>
                <w:lang w:val="en-US" w:eastAsia="zh-CN"/>
              </w:rPr>
              <w:t>，</w:t>
            </w:r>
            <w:r>
              <w:rPr>
                <w:rFonts w:hint="default"/>
                <w:snapToGrid w:val="0"/>
                <w:highlight w:val="none"/>
                <w:lang w:val="en-US" w:eastAsia="zh-CN"/>
              </w:rPr>
              <w:t>2</w:t>
            </w:r>
            <w:r>
              <w:rPr>
                <w:rFonts w:hint="eastAsia"/>
                <w:snapToGrid w:val="0"/>
                <w:highlight w:val="none"/>
                <w:lang w:val="en-US" w:eastAsia="zh-CN"/>
              </w:rPr>
              <w:t>，</w:t>
            </w:r>
            <w:r>
              <w:rPr>
                <w:rFonts w:hint="default"/>
                <w:snapToGrid w:val="0"/>
                <w:highlight w:val="none"/>
                <w:lang w:val="en-US" w:eastAsia="zh-CN"/>
              </w:rPr>
              <w:t>3-</w:t>
            </w:r>
            <w:r>
              <w:rPr>
                <w:rFonts w:hint="eastAsia"/>
                <w:snapToGrid w:val="0"/>
                <w:highlight w:val="none"/>
                <w:lang w:val="en-US" w:eastAsia="zh-CN"/>
              </w:rPr>
              <w:t>三氯丙烷、氯乙烯、苯、氯苯、</w:t>
            </w:r>
            <w:r>
              <w:rPr>
                <w:rFonts w:hint="default"/>
                <w:snapToGrid w:val="0"/>
                <w:highlight w:val="none"/>
                <w:lang w:val="en-US" w:eastAsia="zh-CN"/>
              </w:rPr>
              <w:t>1</w:t>
            </w:r>
            <w:r>
              <w:rPr>
                <w:rFonts w:hint="eastAsia"/>
                <w:snapToGrid w:val="0"/>
                <w:highlight w:val="none"/>
                <w:lang w:val="en-US" w:eastAsia="zh-CN"/>
              </w:rPr>
              <w:t>，</w:t>
            </w:r>
            <w:r>
              <w:rPr>
                <w:rFonts w:hint="default"/>
                <w:snapToGrid w:val="0"/>
                <w:highlight w:val="none"/>
                <w:lang w:val="en-US" w:eastAsia="zh-CN"/>
              </w:rPr>
              <w:t>2-</w:t>
            </w:r>
            <w:r>
              <w:rPr>
                <w:rFonts w:hint="eastAsia"/>
                <w:snapToGrid w:val="0"/>
                <w:highlight w:val="none"/>
                <w:lang w:val="en-US" w:eastAsia="zh-CN"/>
              </w:rPr>
              <w:t>二氯苯、</w:t>
            </w:r>
            <w:r>
              <w:rPr>
                <w:rFonts w:hint="default"/>
                <w:snapToGrid w:val="0"/>
                <w:highlight w:val="none"/>
                <w:lang w:val="en-US" w:eastAsia="zh-CN"/>
              </w:rPr>
              <w:t>1</w:t>
            </w:r>
            <w:r>
              <w:rPr>
                <w:rFonts w:hint="eastAsia"/>
                <w:snapToGrid w:val="0"/>
                <w:highlight w:val="none"/>
                <w:lang w:val="en-US" w:eastAsia="zh-CN"/>
              </w:rPr>
              <w:t>，</w:t>
            </w:r>
            <w:r>
              <w:rPr>
                <w:rFonts w:hint="default"/>
                <w:snapToGrid w:val="0"/>
                <w:highlight w:val="none"/>
                <w:lang w:val="en-US" w:eastAsia="zh-CN"/>
              </w:rPr>
              <w:t>4-</w:t>
            </w:r>
            <w:r>
              <w:rPr>
                <w:rFonts w:hint="eastAsia"/>
                <w:snapToGrid w:val="0"/>
                <w:highlight w:val="none"/>
                <w:lang w:val="en-US" w:eastAsia="zh-CN"/>
              </w:rPr>
              <w:t>二氯苯、乙苯、苯乙烯、甲苯、间二甲苯</w:t>
            </w:r>
            <w:r>
              <w:rPr>
                <w:rFonts w:hint="default"/>
                <w:snapToGrid w:val="0"/>
                <w:highlight w:val="none"/>
                <w:lang w:val="en-US" w:eastAsia="zh-CN"/>
              </w:rPr>
              <w:t>+</w:t>
            </w:r>
            <w:r>
              <w:rPr>
                <w:rFonts w:hint="eastAsia"/>
                <w:snapToGrid w:val="0"/>
                <w:highlight w:val="none"/>
                <w:lang w:val="en-US" w:eastAsia="zh-CN"/>
              </w:rPr>
              <w:t>对二甲苯、邻二甲苯、半挥发性有机物：硝基苯、苯胺、</w:t>
            </w:r>
            <w:r>
              <w:rPr>
                <w:rFonts w:hint="default"/>
                <w:snapToGrid w:val="0"/>
                <w:highlight w:val="none"/>
                <w:lang w:val="en-US" w:eastAsia="zh-CN"/>
              </w:rPr>
              <w:t>2-</w:t>
            </w:r>
            <w:r>
              <w:rPr>
                <w:rFonts w:hint="eastAsia"/>
                <w:snapToGrid w:val="0"/>
                <w:highlight w:val="none"/>
                <w:lang w:val="en-US" w:eastAsia="zh-CN"/>
              </w:rPr>
              <w:t>氯酚、苯并</w:t>
            </w:r>
            <w:r>
              <w:rPr>
                <w:rFonts w:hint="default"/>
                <w:snapToGrid w:val="0"/>
                <w:highlight w:val="none"/>
                <w:lang w:val="en-US" w:eastAsia="zh-CN"/>
              </w:rPr>
              <w:t>[a]</w:t>
            </w:r>
            <w:r>
              <w:rPr>
                <w:rFonts w:hint="eastAsia"/>
                <w:snapToGrid w:val="0"/>
                <w:highlight w:val="none"/>
                <w:lang w:val="en-US" w:eastAsia="zh-CN"/>
              </w:rPr>
              <w:t>蒽、苯并</w:t>
            </w:r>
            <w:r>
              <w:rPr>
                <w:rFonts w:hint="default"/>
                <w:snapToGrid w:val="0"/>
                <w:highlight w:val="none"/>
                <w:lang w:val="en-US" w:eastAsia="zh-CN"/>
              </w:rPr>
              <w:t>[a]</w:t>
            </w:r>
            <w:r>
              <w:rPr>
                <w:rFonts w:hint="eastAsia"/>
                <w:snapToGrid w:val="0"/>
                <w:highlight w:val="none"/>
                <w:lang w:val="en-US" w:eastAsia="zh-CN"/>
              </w:rPr>
              <w:t>芘、苯并</w:t>
            </w:r>
            <w:r>
              <w:rPr>
                <w:rFonts w:hint="default"/>
                <w:snapToGrid w:val="0"/>
                <w:highlight w:val="none"/>
                <w:lang w:val="en-US" w:eastAsia="zh-CN"/>
              </w:rPr>
              <w:t>[b]</w:t>
            </w:r>
            <w:r>
              <w:rPr>
                <w:rFonts w:hint="eastAsia"/>
                <w:snapToGrid w:val="0"/>
                <w:highlight w:val="none"/>
                <w:lang w:val="en-US" w:eastAsia="zh-CN"/>
              </w:rPr>
              <w:t>荧蒽、苯并</w:t>
            </w:r>
            <w:r>
              <w:rPr>
                <w:rFonts w:hint="default"/>
                <w:snapToGrid w:val="0"/>
                <w:highlight w:val="none"/>
                <w:lang w:val="en-US" w:eastAsia="zh-CN"/>
              </w:rPr>
              <w:t>[k]</w:t>
            </w:r>
            <w:r>
              <w:rPr>
                <w:rFonts w:hint="eastAsia"/>
                <w:snapToGrid w:val="0"/>
                <w:highlight w:val="none"/>
                <w:lang w:val="en-US" w:eastAsia="zh-CN"/>
              </w:rPr>
              <w:t>荧蒽、䓛、二苯并</w:t>
            </w:r>
            <w:r>
              <w:rPr>
                <w:rFonts w:hint="default"/>
                <w:snapToGrid w:val="0"/>
                <w:highlight w:val="none"/>
                <w:lang w:val="en-US" w:eastAsia="zh-CN"/>
              </w:rPr>
              <w:t>[a</w:t>
            </w:r>
            <w:r>
              <w:rPr>
                <w:rFonts w:hint="eastAsia"/>
                <w:snapToGrid w:val="0"/>
                <w:highlight w:val="none"/>
                <w:lang w:val="en-US" w:eastAsia="zh-CN"/>
              </w:rPr>
              <w:t>，</w:t>
            </w:r>
            <w:r>
              <w:rPr>
                <w:rFonts w:hint="default"/>
                <w:snapToGrid w:val="0"/>
                <w:highlight w:val="none"/>
                <w:lang w:val="en-US" w:eastAsia="zh-CN"/>
              </w:rPr>
              <w:t>h]</w:t>
            </w:r>
            <w:r>
              <w:rPr>
                <w:rFonts w:hint="eastAsia"/>
                <w:snapToGrid w:val="0"/>
                <w:highlight w:val="none"/>
                <w:lang w:val="en-US" w:eastAsia="zh-CN"/>
              </w:rPr>
              <w:t>蒽、茚并</w:t>
            </w:r>
            <w:r>
              <w:rPr>
                <w:rFonts w:hint="default"/>
                <w:snapToGrid w:val="0"/>
                <w:highlight w:val="none"/>
                <w:lang w:val="en-US" w:eastAsia="zh-CN"/>
              </w:rPr>
              <w:t>[1</w:t>
            </w:r>
            <w:r>
              <w:rPr>
                <w:rFonts w:hint="eastAsia"/>
                <w:snapToGrid w:val="0"/>
                <w:highlight w:val="none"/>
                <w:lang w:val="en-US" w:eastAsia="zh-CN"/>
              </w:rPr>
              <w:t>，</w:t>
            </w:r>
            <w:r>
              <w:rPr>
                <w:rFonts w:hint="default"/>
                <w:snapToGrid w:val="0"/>
                <w:highlight w:val="none"/>
                <w:lang w:val="en-US" w:eastAsia="zh-CN"/>
              </w:rPr>
              <w:t>2</w:t>
            </w:r>
            <w:r>
              <w:rPr>
                <w:rFonts w:hint="eastAsia"/>
                <w:snapToGrid w:val="0"/>
                <w:highlight w:val="none"/>
                <w:lang w:val="en-US" w:eastAsia="zh-CN"/>
              </w:rPr>
              <w:t>，</w:t>
            </w:r>
            <w:r>
              <w:rPr>
                <w:rFonts w:hint="default"/>
                <w:snapToGrid w:val="0"/>
                <w:highlight w:val="none"/>
                <w:lang w:val="en-US" w:eastAsia="zh-CN"/>
              </w:rPr>
              <w:t>3-cd]</w:t>
            </w:r>
            <w:r>
              <w:rPr>
                <w:rFonts w:hint="eastAsia"/>
                <w:snapToGrid w:val="0"/>
                <w:highlight w:val="none"/>
                <w:lang w:val="en-US" w:eastAsia="zh-CN"/>
              </w:rPr>
              <w:t>芘、萘</w:t>
            </w:r>
          </w:p>
          <w:p w14:paraId="58F7D55A">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特征因子：石油烃</w:t>
            </w:r>
          </w:p>
        </w:tc>
        <w:tc>
          <w:tcPr>
            <w:tcW w:w="1139" w:type="dxa"/>
            <w:tcBorders>
              <w:tl2br w:val="nil"/>
              <w:tr2bl w:val="nil"/>
            </w:tcBorders>
            <w:shd w:val="clear" w:color="auto" w:fill="auto"/>
            <w:vAlign w:val="center"/>
          </w:tcPr>
          <w:p w14:paraId="2CC69D29">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表层样点，表层样点在0~0.2m取样</w:t>
            </w:r>
          </w:p>
        </w:tc>
      </w:tr>
      <w:tr w14:paraId="1EC16CC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1069" w:hRule="atLeast"/>
          <w:jc w:val="center"/>
        </w:trPr>
        <w:tc>
          <w:tcPr>
            <w:tcW w:w="677" w:type="dxa"/>
            <w:vMerge w:val="continue"/>
            <w:tcBorders>
              <w:tl2br w:val="nil"/>
              <w:tr2bl w:val="nil"/>
            </w:tcBorders>
            <w:shd w:val="clear" w:color="auto" w:fill="auto"/>
            <w:vAlign w:val="center"/>
          </w:tcPr>
          <w:p w14:paraId="2440D983">
            <w:pPr>
              <w:pStyle w:val="8"/>
              <w:suppressLineNumbers w:val="0"/>
              <w:bidi w:val="0"/>
              <w:spacing w:before="0" w:beforeAutospacing="0" w:after="0" w:afterAutospacing="0"/>
              <w:ind w:left="0" w:right="0"/>
              <w:rPr>
                <w:rFonts w:hint="default"/>
                <w:snapToGrid w:val="0"/>
                <w:highlight w:val="none"/>
                <w:lang w:eastAsia="en-US"/>
              </w:rPr>
            </w:pPr>
          </w:p>
        </w:tc>
        <w:tc>
          <w:tcPr>
            <w:tcW w:w="567" w:type="dxa"/>
            <w:tcBorders>
              <w:tl2br w:val="nil"/>
              <w:tr2bl w:val="nil"/>
            </w:tcBorders>
            <w:shd w:val="clear" w:color="auto" w:fill="auto"/>
            <w:vAlign w:val="center"/>
          </w:tcPr>
          <w:p w14:paraId="5C455956">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zh-CN"/>
              </w:rPr>
              <w:t>TR</w:t>
            </w:r>
            <w:r>
              <w:rPr>
                <w:rFonts w:hint="eastAsia"/>
                <w:snapToGrid w:val="0"/>
                <w:highlight w:val="none"/>
                <w:lang w:val="en-US" w:eastAsia="zh-CN"/>
              </w:rPr>
              <w:t>2</w:t>
            </w:r>
          </w:p>
        </w:tc>
        <w:tc>
          <w:tcPr>
            <w:tcW w:w="1155" w:type="dxa"/>
            <w:tcBorders>
              <w:tl2br w:val="nil"/>
              <w:tr2bl w:val="nil"/>
            </w:tcBorders>
            <w:shd w:val="clear" w:color="auto" w:fill="auto"/>
            <w:vAlign w:val="center"/>
          </w:tcPr>
          <w:p w14:paraId="601A1530">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zh-CN"/>
              </w:rPr>
              <w:t>厂界外西侧</w:t>
            </w:r>
          </w:p>
        </w:tc>
        <w:tc>
          <w:tcPr>
            <w:tcW w:w="4995" w:type="dxa"/>
            <w:vMerge w:val="restart"/>
            <w:tcBorders>
              <w:tl2br w:val="nil"/>
              <w:tr2bl w:val="nil"/>
            </w:tcBorders>
            <w:shd w:val="clear" w:color="auto" w:fill="auto"/>
            <w:vAlign w:val="center"/>
          </w:tcPr>
          <w:p w14:paraId="424C9480">
            <w:pPr>
              <w:pStyle w:val="8"/>
              <w:suppressLineNumbers w:val="0"/>
              <w:bidi w:val="0"/>
              <w:spacing w:before="0" w:beforeAutospacing="0" w:after="0" w:afterAutospacing="0"/>
              <w:ind w:left="0" w:right="0"/>
              <w:rPr>
                <w:rFonts w:hint="default" w:eastAsia="宋体"/>
                <w:snapToGrid w:val="0"/>
                <w:highlight w:val="none"/>
                <w:lang w:val="en-US" w:eastAsia="zh-CN"/>
              </w:rPr>
            </w:pPr>
            <w:r>
              <w:rPr>
                <w:rFonts w:hint="eastAsia"/>
                <w:snapToGrid w:val="0"/>
                <w:highlight w:val="none"/>
                <w:lang w:val="en-US" w:eastAsia="zh-CN"/>
              </w:rPr>
              <w:t>pH、石油烃、阳离子交换量、氧化还原电位、容重</w:t>
            </w:r>
          </w:p>
        </w:tc>
        <w:tc>
          <w:tcPr>
            <w:tcW w:w="1139" w:type="dxa"/>
            <w:vMerge w:val="restart"/>
            <w:tcBorders>
              <w:tl2br w:val="nil"/>
              <w:tr2bl w:val="nil"/>
            </w:tcBorders>
            <w:shd w:val="clear" w:color="auto" w:fill="auto"/>
            <w:vAlign w:val="center"/>
          </w:tcPr>
          <w:p w14:paraId="3C5C734A">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表层样点，表层样点在0~0.2m取样</w:t>
            </w:r>
          </w:p>
        </w:tc>
      </w:tr>
      <w:tr w14:paraId="6BDCBCF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798" w:hRule="atLeast"/>
          <w:jc w:val="center"/>
        </w:trPr>
        <w:tc>
          <w:tcPr>
            <w:tcW w:w="677" w:type="dxa"/>
            <w:vMerge w:val="continue"/>
            <w:tcBorders>
              <w:tl2br w:val="nil"/>
              <w:tr2bl w:val="nil"/>
            </w:tcBorders>
            <w:shd w:val="clear" w:color="auto" w:fill="auto"/>
            <w:vAlign w:val="center"/>
          </w:tcPr>
          <w:p w14:paraId="4479CF10">
            <w:pPr>
              <w:pStyle w:val="8"/>
              <w:suppressLineNumbers w:val="0"/>
              <w:bidi w:val="0"/>
              <w:spacing w:before="0" w:beforeAutospacing="0" w:after="0" w:afterAutospacing="0"/>
              <w:ind w:left="0" w:right="0"/>
              <w:rPr>
                <w:rFonts w:hint="default"/>
                <w:snapToGrid w:val="0"/>
                <w:highlight w:val="none"/>
                <w:lang w:eastAsia="en-US"/>
              </w:rPr>
            </w:pPr>
          </w:p>
        </w:tc>
        <w:tc>
          <w:tcPr>
            <w:tcW w:w="567" w:type="dxa"/>
            <w:tcBorders>
              <w:tl2br w:val="nil"/>
              <w:tr2bl w:val="nil"/>
            </w:tcBorders>
            <w:shd w:val="clear" w:color="auto" w:fill="auto"/>
            <w:vAlign w:val="center"/>
          </w:tcPr>
          <w:p w14:paraId="61FC76AE">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zh-CN"/>
              </w:rPr>
              <w:t>TR</w:t>
            </w:r>
            <w:r>
              <w:rPr>
                <w:rFonts w:hint="eastAsia"/>
                <w:snapToGrid w:val="0"/>
                <w:highlight w:val="none"/>
                <w:lang w:val="en-US" w:eastAsia="zh-CN"/>
              </w:rPr>
              <w:t>3</w:t>
            </w:r>
          </w:p>
        </w:tc>
        <w:tc>
          <w:tcPr>
            <w:tcW w:w="1155" w:type="dxa"/>
            <w:tcBorders>
              <w:tl2br w:val="nil"/>
              <w:tr2bl w:val="nil"/>
            </w:tcBorders>
            <w:shd w:val="clear" w:color="auto" w:fill="auto"/>
            <w:vAlign w:val="center"/>
          </w:tcPr>
          <w:p w14:paraId="743E2EF7">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zh-CN"/>
              </w:rPr>
              <w:t>厂界外东北侧</w:t>
            </w:r>
          </w:p>
        </w:tc>
        <w:tc>
          <w:tcPr>
            <w:tcW w:w="4995" w:type="dxa"/>
            <w:vMerge w:val="continue"/>
            <w:tcBorders>
              <w:tl2br w:val="nil"/>
              <w:tr2bl w:val="nil"/>
            </w:tcBorders>
            <w:shd w:val="clear" w:color="auto" w:fill="auto"/>
            <w:vAlign w:val="center"/>
          </w:tcPr>
          <w:p w14:paraId="236359F9">
            <w:pPr>
              <w:pStyle w:val="8"/>
              <w:suppressLineNumbers w:val="0"/>
              <w:bidi w:val="0"/>
              <w:spacing w:before="0" w:beforeAutospacing="0" w:after="0" w:afterAutospacing="0"/>
              <w:ind w:left="0" w:right="0"/>
              <w:rPr>
                <w:rFonts w:hint="default"/>
                <w:snapToGrid w:val="0"/>
                <w:highlight w:val="none"/>
                <w:lang w:eastAsia="en-US"/>
              </w:rPr>
            </w:pPr>
          </w:p>
        </w:tc>
        <w:tc>
          <w:tcPr>
            <w:tcW w:w="1139" w:type="dxa"/>
            <w:vMerge w:val="continue"/>
            <w:tcBorders>
              <w:tl2br w:val="nil"/>
              <w:tr2bl w:val="nil"/>
            </w:tcBorders>
            <w:shd w:val="clear" w:color="auto" w:fill="auto"/>
            <w:vAlign w:val="center"/>
          </w:tcPr>
          <w:p w14:paraId="502F7D6C">
            <w:pPr>
              <w:pStyle w:val="8"/>
              <w:suppressLineNumbers w:val="0"/>
              <w:bidi w:val="0"/>
              <w:spacing w:before="0" w:beforeAutospacing="0" w:after="0" w:afterAutospacing="0"/>
              <w:ind w:left="0" w:right="0"/>
              <w:rPr>
                <w:rFonts w:hint="default"/>
                <w:snapToGrid w:val="0"/>
                <w:highlight w:val="none"/>
                <w:lang w:eastAsia="en-US"/>
              </w:rPr>
            </w:pPr>
          </w:p>
        </w:tc>
      </w:tr>
      <w:tr w14:paraId="6EDA06A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808" w:hRule="atLeast"/>
          <w:jc w:val="center"/>
        </w:trPr>
        <w:tc>
          <w:tcPr>
            <w:tcW w:w="677" w:type="dxa"/>
            <w:vMerge w:val="continue"/>
            <w:tcBorders>
              <w:tl2br w:val="nil"/>
              <w:tr2bl w:val="nil"/>
            </w:tcBorders>
            <w:shd w:val="clear" w:color="auto" w:fill="auto"/>
            <w:vAlign w:val="center"/>
          </w:tcPr>
          <w:p w14:paraId="02451856">
            <w:pPr>
              <w:pStyle w:val="8"/>
              <w:suppressLineNumbers w:val="0"/>
              <w:bidi w:val="0"/>
              <w:spacing w:before="0" w:beforeAutospacing="0" w:after="0" w:afterAutospacing="0"/>
              <w:ind w:left="0" w:right="0"/>
              <w:rPr>
                <w:rFonts w:hint="default"/>
                <w:snapToGrid w:val="0"/>
                <w:highlight w:val="none"/>
                <w:lang w:eastAsia="en-US"/>
              </w:rPr>
            </w:pPr>
          </w:p>
        </w:tc>
        <w:tc>
          <w:tcPr>
            <w:tcW w:w="567" w:type="dxa"/>
            <w:tcBorders>
              <w:tl2br w:val="nil"/>
              <w:tr2bl w:val="nil"/>
            </w:tcBorders>
            <w:shd w:val="clear" w:color="auto" w:fill="auto"/>
            <w:vAlign w:val="center"/>
          </w:tcPr>
          <w:p w14:paraId="3F67B4DF">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zh-CN"/>
              </w:rPr>
              <w:t>TR</w:t>
            </w:r>
            <w:r>
              <w:rPr>
                <w:rFonts w:hint="eastAsia"/>
                <w:snapToGrid w:val="0"/>
                <w:highlight w:val="none"/>
                <w:lang w:val="en-US" w:eastAsia="zh-CN"/>
              </w:rPr>
              <w:t>4</w:t>
            </w:r>
          </w:p>
        </w:tc>
        <w:tc>
          <w:tcPr>
            <w:tcW w:w="1155" w:type="dxa"/>
            <w:tcBorders>
              <w:tl2br w:val="nil"/>
              <w:tr2bl w:val="nil"/>
            </w:tcBorders>
            <w:shd w:val="clear" w:color="auto" w:fill="auto"/>
            <w:vAlign w:val="center"/>
          </w:tcPr>
          <w:p w14:paraId="7E875F87">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zh-CN"/>
              </w:rPr>
              <w:t>厂界外东侧</w:t>
            </w:r>
          </w:p>
        </w:tc>
        <w:tc>
          <w:tcPr>
            <w:tcW w:w="4995" w:type="dxa"/>
            <w:vMerge w:val="continue"/>
            <w:tcBorders>
              <w:tl2br w:val="nil"/>
              <w:tr2bl w:val="nil"/>
            </w:tcBorders>
            <w:shd w:val="clear" w:color="auto" w:fill="auto"/>
            <w:vAlign w:val="center"/>
          </w:tcPr>
          <w:p w14:paraId="5FD06BFF">
            <w:pPr>
              <w:pStyle w:val="8"/>
              <w:suppressLineNumbers w:val="0"/>
              <w:bidi w:val="0"/>
              <w:spacing w:before="0" w:beforeAutospacing="0" w:after="0" w:afterAutospacing="0"/>
              <w:ind w:left="0" w:right="0"/>
              <w:rPr>
                <w:rFonts w:hint="default"/>
                <w:snapToGrid w:val="0"/>
                <w:highlight w:val="none"/>
                <w:lang w:eastAsia="en-US"/>
              </w:rPr>
            </w:pPr>
          </w:p>
        </w:tc>
        <w:tc>
          <w:tcPr>
            <w:tcW w:w="1139" w:type="dxa"/>
            <w:vMerge w:val="continue"/>
            <w:tcBorders>
              <w:tl2br w:val="nil"/>
              <w:tr2bl w:val="nil"/>
            </w:tcBorders>
            <w:shd w:val="clear" w:color="auto" w:fill="auto"/>
            <w:vAlign w:val="center"/>
          </w:tcPr>
          <w:p w14:paraId="05E19FDC">
            <w:pPr>
              <w:pStyle w:val="8"/>
              <w:suppressLineNumbers w:val="0"/>
              <w:bidi w:val="0"/>
              <w:spacing w:before="0" w:beforeAutospacing="0" w:after="0" w:afterAutospacing="0"/>
              <w:ind w:left="0" w:right="0"/>
              <w:rPr>
                <w:rFonts w:hint="default"/>
                <w:snapToGrid w:val="0"/>
                <w:highlight w:val="none"/>
                <w:lang w:eastAsia="en-US"/>
              </w:rPr>
            </w:pPr>
          </w:p>
        </w:tc>
      </w:tr>
      <w:tr w14:paraId="0DC2267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808" w:hRule="atLeast"/>
          <w:jc w:val="center"/>
        </w:trPr>
        <w:tc>
          <w:tcPr>
            <w:tcW w:w="677" w:type="dxa"/>
            <w:tcBorders>
              <w:tl2br w:val="nil"/>
              <w:tr2bl w:val="nil"/>
            </w:tcBorders>
            <w:shd w:val="clear" w:color="auto" w:fill="auto"/>
            <w:vAlign w:val="center"/>
          </w:tcPr>
          <w:p w14:paraId="40899521">
            <w:pPr>
              <w:pStyle w:val="8"/>
              <w:suppressLineNumbers w:val="0"/>
              <w:bidi w:val="0"/>
              <w:spacing w:before="0" w:beforeAutospacing="0" w:after="0" w:afterAutospacing="0"/>
              <w:ind w:left="0" w:right="0"/>
              <w:rPr>
                <w:rFonts w:hint="default"/>
                <w:snapToGrid w:val="0"/>
                <w:highlight w:val="none"/>
                <w:lang w:eastAsia="en-US"/>
              </w:rPr>
            </w:pPr>
          </w:p>
        </w:tc>
        <w:tc>
          <w:tcPr>
            <w:tcW w:w="567" w:type="dxa"/>
            <w:tcBorders>
              <w:tl2br w:val="nil"/>
              <w:tr2bl w:val="nil"/>
            </w:tcBorders>
            <w:shd w:val="clear" w:color="auto" w:fill="auto"/>
            <w:vAlign w:val="center"/>
          </w:tcPr>
          <w:p w14:paraId="28369C76">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TR5</w:t>
            </w:r>
          </w:p>
        </w:tc>
        <w:tc>
          <w:tcPr>
            <w:tcW w:w="1155" w:type="dxa"/>
            <w:tcBorders>
              <w:tl2br w:val="nil"/>
              <w:tr2bl w:val="nil"/>
            </w:tcBorders>
            <w:shd w:val="clear" w:color="auto" w:fill="auto"/>
            <w:vAlign w:val="center"/>
          </w:tcPr>
          <w:p w14:paraId="27C72270">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厂区内含油金属屑厂房外</w:t>
            </w:r>
          </w:p>
        </w:tc>
        <w:tc>
          <w:tcPr>
            <w:tcW w:w="4995" w:type="dxa"/>
            <w:tcBorders>
              <w:tl2br w:val="nil"/>
              <w:tr2bl w:val="nil"/>
            </w:tcBorders>
            <w:shd w:val="clear" w:color="auto" w:fill="auto"/>
            <w:vAlign w:val="center"/>
          </w:tcPr>
          <w:p w14:paraId="65CBC840">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zh-CN"/>
              </w:rPr>
              <w:t>pH、石油烃、阳离子交换量、氧化还原电位、容重</w:t>
            </w:r>
          </w:p>
        </w:tc>
        <w:tc>
          <w:tcPr>
            <w:tcW w:w="1139" w:type="dxa"/>
            <w:vMerge w:val="restart"/>
            <w:tcBorders>
              <w:tl2br w:val="nil"/>
              <w:tr2bl w:val="nil"/>
            </w:tcBorders>
            <w:shd w:val="clear" w:color="auto" w:fill="auto"/>
            <w:vAlign w:val="center"/>
          </w:tcPr>
          <w:p w14:paraId="6104ED2D">
            <w:pPr>
              <w:pStyle w:val="8"/>
              <w:suppressLineNumbers w:val="0"/>
              <w:bidi w:val="0"/>
              <w:spacing w:before="0" w:beforeAutospacing="0" w:after="0" w:afterAutospacing="0"/>
              <w:ind w:left="0" w:right="0"/>
              <w:rPr>
                <w:rFonts w:hint="default" w:eastAsia="宋体"/>
                <w:snapToGrid w:val="0"/>
                <w:highlight w:val="none"/>
                <w:lang w:val="en-US" w:eastAsia="zh-CN"/>
              </w:rPr>
            </w:pPr>
            <w:r>
              <w:rPr>
                <w:rFonts w:hint="eastAsia"/>
                <w:snapToGrid w:val="0"/>
                <w:highlight w:val="none"/>
                <w:lang w:val="en-US" w:eastAsia="zh-CN"/>
              </w:rPr>
              <w:t>柱状样点，柱</w:t>
            </w:r>
            <w:r>
              <w:rPr>
                <w:rFonts w:hint="eastAsia"/>
                <w:snapToGrid w:val="0"/>
                <w:sz w:val="21"/>
                <w:szCs w:val="21"/>
                <w:highlight w:val="none"/>
                <w:lang w:val="en-US" w:eastAsia="zh-CN"/>
              </w:rPr>
              <w:t>状样点在</w:t>
            </w:r>
            <w:r>
              <w:rPr>
                <w:rFonts w:hint="eastAsia" w:ascii="Times New Roman" w:hAnsi="Perpetua" w:eastAsia="宋体" w:cs="Times New Roman"/>
                <w:snapToGrid w:val="0"/>
                <w:sz w:val="21"/>
                <w:szCs w:val="21"/>
                <w:highlight w:val="none"/>
                <w:lang w:val="en-US" w:eastAsia="zh-CN"/>
              </w:rPr>
              <w:t>0~0.5m、0.5~1.5m、1.5m~3m处取样</w:t>
            </w:r>
          </w:p>
        </w:tc>
      </w:tr>
      <w:tr w14:paraId="264EB9F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808" w:hRule="atLeast"/>
          <w:jc w:val="center"/>
        </w:trPr>
        <w:tc>
          <w:tcPr>
            <w:tcW w:w="677" w:type="dxa"/>
            <w:tcBorders>
              <w:tl2br w:val="nil"/>
              <w:tr2bl w:val="nil"/>
            </w:tcBorders>
            <w:shd w:val="clear" w:color="auto" w:fill="auto"/>
            <w:vAlign w:val="center"/>
          </w:tcPr>
          <w:p w14:paraId="282DAF63">
            <w:pPr>
              <w:pStyle w:val="8"/>
              <w:suppressLineNumbers w:val="0"/>
              <w:bidi w:val="0"/>
              <w:spacing w:before="0" w:beforeAutospacing="0" w:after="0" w:afterAutospacing="0"/>
              <w:ind w:left="0" w:right="0"/>
              <w:rPr>
                <w:rFonts w:hint="default"/>
                <w:snapToGrid w:val="0"/>
                <w:highlight w:val="none"/>
                <w:lang w:eastAsia="en-US"/>
              </w:rPr>
            </w:pPr>
          </w:p>
        </w:tc>
        <w:tc>
          <w:tcPr>
            <w:tcW w:w="567" w:type="dxa"/>
            <w:tcBorders>
              <w:tl2br w:val="nil"/>
              <w:tr2bl w:val="nil"/>
            </w:tcBorders>
            <w:shd w:val="clear" w:color="auto" w:fill="auto"/>
            <w:vAlign w:val="center"/>
          </w:tcPr>
          <w:p w14:paraId="305D1A9D">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TR6</w:t>
            </w:r>
          </w:p>
        </w:tc>
        <w:tc>
          <w:tcPr>
            <w:tcW w:w="1155" w:type="dxa"/>
            <w:tcBorders>
              <w:tl2br w:val="nil"/>
              <w:tr2bl w:val="nil"/>
            </w:tcBorders>
            <w:shd w:val="clear" w:color="auto" w:fill="auto"/>
            <w:vAlign w:val="center"/>
          </w:tcPr>
          <w:p w14:paraId="20E7B661">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厂区内4号厂房外</w:t>
            </w:r>
          </w:p>
        </w:tc>
        <w:tc>
          <w:tcPr>
            <w:tcW w:w="4995" w:type="dxa"/>
            <w:vMerge w:val="restart"/>
            <w:tcBorders>
              <w:tl2br w:val="nil"/>
              <w:tr2bl w:val="nil"/>
            </w:tcBorders>
            <w:shd w:val="clear" w:color="auto" w:fill="auto"/>
            <w:vAlign w:val="center"/>
          </w:tcPr>
          <w:p w14:paraId="6D0B20C0">
            <w:pPr>
              <w:pStyle w:val="8"/>
              <w:suppressLineNumbers w:val="0"/>
              <w:bidi w:val="0"/>
              <w:spacing w:before="0" w:beforeAutospacing="0" w:after="0" w:afterAutospacing="0"/>
              <w:ind w:left="0" w:right="0"/>
              <w:rPr>
                <w:rFonts w:hint="eastAsia"/>
                <w:snapToGrid w:val="0"/>
                <w:highlight w:val="none"/>
                <w:lang w:val="en-US" w:eastAsia="zh-CN"/>
              </w:rPr>
            </w:pPr>
            <w:r>
              <w:rPr>
                <w:rFonts w:hint="eastAsia"/>
                <w:snapToGrid w:val="0"/>
                <w:highlight w:val="none"/>
                <w:lang w:val="en-US" w:eastAsia="zh-CN"/>
              </w:rPr>
              <w:t>基本因子：砷、镉、铬（六价）、铜、铅、汞、镍、挥发性有机物四氯化碳、氯仿、氯甲烷、</w:t>
            </w:r>
            <w:r>
              <w:rPr>
                <w:rFonts w:hint="default"/>
                <w:snapToGrid w:val="0"/>
                <w:highlight w:val="none"/>
                <w:lang w:val="en-US" w:eastAsia="zh-CN"/>
              </w:rPr>
              <w:t>1</w:t>
            </w:r>
            <w:r>
              <w:rPr>
                <w:rFonts w:hint="eastAsia"/>
                <w:snapToGrid w:val="0"/>
                <w:highlight w:val="none"/>
                <w:lang w:val="en-US" w:eastAsia="zh-CN"/>
              </w:rPr>
              <w:t>，</w:t>
            </w:r>
            <w:r>
              <w:rPr>
                <w:rFonts w:hint="default"/>
                <w:snapToGrid w:val="0"/>
                <w:highlight w:val="none"/>
                <w:lang w:val="en-US" w:eastAsia="zh-CN"/>
              </w:rPr>
              <w:t>1-</w:t>
            </w:r>
            <w:r>
              <w:rPr>
                <w:rFonts w:hint="eastAsia"/>
                <w:snapToGrid w:val="0"/>
                <w:highlight w:val="none"/>
                <w:lang w:val="en-US" w:eastAsia="zh-CN"/>
              </w:rPr>
              <w:t>二氯乙烷、</w:t>
            </w:r>
            <w:r>
              <w:rPr>
                <w:rFonts w:hint="default"/>
                <w:snapToGrid w:val="0"/>
                <w:highlight w:val="none"/>
                <w:lang w:val="en-US" w:eastAsia="zh-CN"/>
              </w:rPr>
              <w:t>1</w:t>
            </w:r>
            <w:r>
              <w:rPr>
                <w:rFonts w:hint="eastAsia"/>
                <w:snapToGrid w:val="0"/>
                <w:highlight w:val="none"/>
                <w:lang w:val="en-US" w:eastAsia="zh-CN"/>
              </w:rPr>
              <w:t>，</w:t>
            </w:r>
            <w:r>
              <w:rPr>
                <w:rFonts w:hint="default"/>
                <w:snapToGrid w:val="0"/>
                <w:highlight w:val="none"/>
                <w:lang w:val="en-US" w:eastAsia="zh-CN"/>
              </w:rPr>
              <w:t>2-</w:t>
            </w:r>
            <w:r>
              <w:rPr>
                <w:rFonts w:hint="eastAsia"/>
                <w:snapToGrid w:val="0"/>
                <w:highlight w:val="none"/>
                <w:lang w:val="en-US" w:eastAsia="zh-CN"/>
              </w:rPr>
              <w:t>二氯乙烷、</w:t>
            </w:r>
            <w:r>
              <w:rPr>
                <w:rFonts w:hint="default"/>
                <w:snapToGrid w:val="0"/>
                <w:highlight w:val="none"/>
                <w:lang w:val="en-US" w:eastAsia="zh-CN"/>
              </w:rPr>
              <w:t>1</w:t>
            </w:r>
            <w:r>
              <w:rPr>
                <w:rFonts w:hint="eastAsia"/>
                <w:snapToGrid w:val="0"/>
                <w:highlight w:val="none"/>
                <w:lang w:val="en-US" w:eastAsia="zh-CN"/>
              </w:rPr>
              <w:t>，</w:t>
            </w:r>
            <w:r>
              <w:rPr>
                <w:rFonts w:hint="default"/>
                <w:snapToGrid w:val="0"/>
                <w:highlight w:val="none"/>
                <w:lang w:val="en-US" w:eastAsia="zh-CN"/>
              </w:rPr>
              <w:t>1-</w:t>
            </w:r>
            <w:r>
              <w:rPr>
                <w:rFonts w:hint="eastAsia"/>
                <w:snapToGrid w:val="0"/>
                <w:highlight w:val="none"/>
                <w:lang w:val="en-US" w:eastAsia="zh-CN"/>
              </w:rPr>
              <w:t>二氯乙烯、顺</w:t>
            </w:r>
            <w:r>
              <w:rPr>
                <w:rFonts w:hint="default"/>
                <w:snapToGrid w:val="0"/>
                <w:highlight w:val="none"/>
                <w:lang w:val="en-US" w:eastAsia="zh-CN"/>
              </w:rPr>
              <w:t>-1</w:t>
            </w:r>
            <w:r>
              <w:rPr>
                <w:rFonts w:hint="eastAsia"/>
                <w:snapToGrid w:val="0"/>
                <w:highlight w:val="none"/>
                <w:lang w:val="en-US" w:eastAsia="zh-CN"/>
              </w:rPr>
              <w:t>，</w:t>
            </w:r>
            <w:r>
              <w:rPr>
                <w:rFonts w:hint="default"/>
                <w:snapToGrid w:val="0"/>
                <w:highlight w:val="none"/>
                <w:lang w:val="en-US" w:eastAsia="zh-CN"/>
              </w:rPr>
              <w:t>2-</w:t>
            </w:r>
            <w:r>
              <w:rPr>
                <w:rFonts w:hint="eastAsia"/>
                <w:snapToGrid w:val="0"/>
                <w:highlight w:val="none"/>
                <w:lang w:val="en-US" w:eastAsia="zh-CN"/>
              </w:rPr>
              <w:t>二氯乙烯、反</w:t>
            </w:r>
            <w:r>
              <w:rPr>
                <w:rFonts w:hint="default"/>
                <w:snapToGrid w:val="0"/>
                <w:highlight w:val="none"/>
                <w:lang w:val="en-US" w:eastAsia="zh-CN"/>
              </w:rPr>
              <w:t>-1</w:t>
            </w:r>
            <w:r>
              <w:rPr>
                <w:rFonts w:hint="eastAsia"/>
                <w:snapToGrid w:val="0"/>
                <w:highlight w:val="none"/>
                <w:lang w:val="en-US" w:eastAsia="zh-CN"/>
              </w:rPr>
              <w:t>，</w:t>
            </w:r>
            <w:r>
              <w:rPr>
                <w:rFonts w:hint="default"/>
                <w:snapToGrid w:val="0"/>
                <w:highlight w:val="none"/>
                <w:lang w:val="en-US" w:eastAsia="zh-CN"/>
              </w:rPr>
              <w:t>2-</w:t>
            </w:r>
            <w:r>
              <w:rPr>
                <w:rFonts w:hint="eastAsia"/>
                <w:snapToGrid w:val="0"/>
                <w:highlight w:val="none"/>
                <w:lang w:val="en-US" w:eastAsia="zh-CN"/>
              </w:rPr>
              <w:t>二氯乙烯、二氯甲烷、</w:t>
            </w:r>
            <w:r>
              <w:rPr>
                <w:rFonts w:hint="default"/>
                <w:snapToGrid w:val="0"/>
                <w:highlight w:val="none"/>
                <w:lang w:val="en-US" w:eastAsia="zh-CN"/>
              </w:rPr>
              <w:t>1</w:t>
            </w:r>
            <w:r>
              <w:rPr>
                <w:rFonts w:hint="eastAsia"/>
                <w:snapToGrid w:val="0"/>
                <w:highlight w:val="none"/>
                <w:lang w:val="en-US" w:eastAsia="zh-CN"/>
              </w:rPr>
              <w:t>，</w:t>
            </w:r>
            <w:r>
              <w:rPr>
                <w:rFonts w:hint="default"/>
                <w:snapToGrid w:val="0"/>
                <w:highlight w:val="none"/>
                <w:lang w:val="en-US" w:eastAsia="zh-CN"/>
              </w:rPr>
              <w:t>2-</w:t>
            </w:r>
            <w:r>
              <w:rPr>
                <w:rFonts w:hint="eastAsia"/>
                <w:snapToGrid w:val="0"/>
                <w:highlight w:val="none"/>
                <w:lang w:val="en-US" w:eastAsia="zh-CN"/>
              </w:rPr>
              <w:t>二氯丙烷、</w:t>
            </w:r>
            <w:r>
              <w:rPr>
                <w:rFonts w:hint="default"/>
                <w:snapToGrid w:val="0"/>
                <w:highlight w:val="none"/>
                <w:lang w:val="en-US" w:eastAsia="zh-CN"/>
              </w:rPr>
              <w:t>1</w:t>
            </w:r>
            <w:r>
              <w:rPr>
                <w:rFonts w:hint="eastAsia"/>
                <w:snapToGrid w:val="0"/>
                <w:highlight w:val="none"/>
                <w:lang w:val="en-US" w:eastAsia="zh-CN"/>
              </w:rPr>
              <w:t>，</w:t>
            </w:r>
            <w:r>
              <w:rPr>
                <w:rFonts w:hint="default"/>
                <w:snapToGrid w:val="0"/>
                <w:highlight w:val="none"/>
                <w:lang w:val="en-US" w:eastAsia="zh-CN"/>
              </w:rPr>
              <w:t>1</w:t>
            </w:r>
            <w:r>
              <w:rPr>
                <w:rFonts w:hint="eastAsia"/>
                <w:snapToGrid w:val="0"/>
                <w:highlight w:val="none"/>
                <w:lang w:val="en-US" w:eastAsia="zh-CN"/>
              </w:rPr>
              <w:t>，</w:t>
            </w:r>
            <w:r>
              <w:rPr>
                <w:rFonts w:hint="default"/>
                <w:snapToGrid w:val="0"/>
                <w:highlight w:val="none"/>
                <w:lang w:val="en-US" w:eastAsia="zh-CN"/>
              </w:rPr>
              <w:t>1</w:t>
            </w:r>
            <w:r>
              <w:rPr>
                <w:rFonts w:hint="eastAsia"/>
                <w:snapToGrid w:val="0"/>
                <w:highlight w:val="none"/>
                <w:lang w:val="en-US" w:eastAsia="zh-CN"/>
              </w:rPr>
              <w:t>，</w:t>
            </w:r>
            <w:r>
              <w:rPr>
                <w:rFonts w:hint="default"/>
                <w:snapToGrid w:val="0"/>
                <w:highlight w:val="none"/>
                <w:lang w:val="en-US" w:eastAsia="zh-CN"/>
              </w:rPr>
              <w:t>2-</w:t>
            </w:r>
            <w:r>
              <w:rPr>
                <w:rFonts w:hint="eastAsia"/>
                <w:snapToGrid w:val="0"/>
                <w:highlight w:val="none"/>
                <w:lang w:val="en-US" w:eastAsia="zh-CN"/>
              </w:rPr>
              <w:t>四氯乙烷、</w:t>
            </w:r>
            <w:r>
              <w:rPr>
                <w:rFonts w:hint="default"/>
                <w:snapToGrid w:val="0"/>
                <w:highlight w:val="none"/>
                <w:lang w:val="en-US" w:eastAsia="zh-CN"/>
              </w:rPr>
              <w:t>1</w:t>
            </w:r>
            <w:r>
              <w:rPr>
                <w:rFonts w:hint="eastAsia"/>
                <w:snapToGrid w:val="0"/>
                <w:highlight w:val="none"/>
                <w:lang w:val="en-US" w:eastAsia="zh-CN"/>
              </w:rPr>
              <w:t>，</w:t>
            </w:r>
            <w:r>
              <w:rPr>
                <w:rFonts w:hint="default"/>
                <w:snapToGrid w:val="0"/>
                <w:highlight w:val="none"/>
                <w:lang w:val="en-US" w:eastAsia="zh-CN"/>
              </w:rPr>
              <w:t>1</w:t>
            </w:r>
            <w:r>
              <w:rPr>
                <w:rFonts w:hint="eastAsia"/>
                <w:snapToGrid w:val="0"/>
                <w:highlight w:val="none"/>
                <w:lang w:val="en-US" w:eastAsia="zh-CN"/>
              </w:rPr>
              <w:t>，</w:t>
            </w:r>
            <w:r>
              <w:rPr>
                <w:rFonts w:hint="default"/>
                <w:snapToGrid w:val="0"/>
                <w:highlight w:val="none"/>
                <w:lang w:val="en-US" w:eastAsia="zh-CN"/>
              </w:rPr>
              <w:t>2</w:t>
            </w:r>
            <w:r>
              <w:rPr>
                <w:rFonts w:hint="eastAsia"/>
                <w:snapToGrid w:val="0"/>
                <w:highlight w:val="none"/>
                <w:lang w:val="en-US" w:eastAsia="zh-CN"/>
              </w:rPr>
              <w:t>，</w:t>
            </w:r>
            <w:r>
              <w:rPr>
                <w:rFonts w:hint="default"/>
                <w:snapToGrid w:val="0"/>
                <w:highlight w:val="none"/>
                <w:lang w:val="en-US" w:eastAsia="zh-CN"/>
              </w:rPr>
              <w:t>2-</w:t>
            </w:r>
            <w:r>
              <w:rPr>
                <w:rFonts w:hint="eastAsia"/>
                <w:snapToGrid w:val="0"/>
                <w:highlight w:val="none"/>
                <w:lang w:val="en-US" w:eastAsia="zh-CN"/>
              </w:rPr>
              <w:t>四氯乙烷、四氯乙烯、</w:t>
            </w:r>
            <w:r>
              <w:rPr>
                <w:rFonts w:hint="default"/>
                <w:snapToGrid w:val="0"/>
                <w:highlight w:val="none"/>
                <w:lang w:val="en-US" w:eastAsia="zh-CN"/>
              </w:rPr>
              <w:t>1</w:t>
            </w:r>
            <w:r>
              <w:rPr>
                <w:rFonts w:hint="eastAsia"/>
                <w:snapToGrid w:val="0"/>
                <w:highlight w:val="none"/>
                <w:lang w:val="en-US" w:eastAsia="zh-CN"/>
              </w:rPr>
              <w:t>，</w:t>
            </w:r>
            <w:r>
              <w:rPr>
                <w:rFonts w:hint="default"/>
                <w:snapToGrid w:val="0"/>
                <w:highlight w:val="none"/>
                <w:lang w:val="en-US" w:eastAsia="zh-CN"/>
              </w:rPr>
              <w:t>1</w:t>
            </w:r>
            <w:r>
              <w:rPr>
                <w:rFonts w:hint="eastAsia"/>
                <w:snapToGrid w:val="0"/>
                <w:highlight w:val="none"/>
                <w:lang w:val="en-US" w:eastAsia="zh-CN"/>
              </w:rPr>
              <w:t>，</w:t>
            </w:r>
            <w:r>
              <w:rPr>
                <w:rFonts w:hint="default"/>
                <w:snapToGrid w:val="0"/>
                <w:highlight w:val="none"/>
                <w:lang w:val="en-US" w:eastAsia="zh-CN"/>
              </w:rPr>
              <w:t>1-</w:t>
            </w:r>
            <w:r>
              <w:rPr>
                <w:rFonts w:hint="eastAsia"/>
                <w:snapToGrid w:val="0"/>
                <w:highlight w:val="none"/>
                <w:lang w:val="en-US" w:eastAsia="zh-CN"/>
              </w:rPr>
              <w:t>三氯乙烷、</w:t>
            </w:r>
            <w:r>
              <w:rPr>
                <w:rFonts w:hint="default"/>
                <w:snapToGrid w:val="0"/>
                <w:highlight w:val="none"/>
                <w:lang w:val="en-US" w:eastAsia="zh-CN"/>
              </w:rPr>
              <w:t>1</w:t>
            </w:r>
            <w:r>
              <w:rPr>
                <w:rFonts w:hint="eastAsia"/>
                <w:snapToGrid w:val="0"/>
                <w:highlight w:val="none"/>
                <w:lang w:val="en-US" w:eastAsia="zh-CN"/>
              </w:rPr>
              <w:t>，</w:t>
            </w:r>
            <w:r>
              <w:rPr>
                <w:rFonts w:hint="default"/>
                <w:snapToGrid w:val="0"/>
                <w:highlight w:val="none"/>
                <w:lang w:val="en-US" w:eastAsia="zh-CN"/>
              </w:rPr>
              <w:t>1</w:t>
            </w:r>
            <w:r>
              <w:rPr>
                <w:rFonts w:hint="eastAsia"/>
                <w:snapToGrid w:val="0"/>
                <w:highlight w:val="none"/>
                <w:lang w:val="en-US" w:eastAsia="zh-CN"/>
              </w:rPr>
              <w:t>，</w:t>
            </w:r>
            <w:r>
              <w:rPr>
                <w:rFonts w:hint="default"/>
                <w:snapToGrid w:val="0"/>
                <w:highlight w:val="none"/>
                <w:lang w:val="en-US" w:eastAsia="zh-CN"/>
              </w:rPr>
              <w:t>2-</w:t>
            </w:r>
            <w:r>
              <w:rPr>
                <w:rFonts w:hint="eastAsia"/>
                <w:snapToGrid w:val="0"/>
                <w:highlight w:val="none"/>
                <w:lang w:val="en-US" w:eastAsia="zh-CN"/>
              </w:rPr>
              <w:t>三氯乙烷、三氯乙烯、</w:t>
            </w:r>
            <w:r>
              <w:rPr>
                <w:rFonts w:hint="default"/>
                <w:snapToGrid w:val="0"/>
                <w:highlight w:val="none"/>
                <w:lang w:val="en-US" w:eastAsia="zh-CN"/>
              </w:rPr>
              <w:t>1</w:t>
            </w:r>
            <w:r>
              <w:rPr>
                <w:rFonts w:hint="eastAsia"/>
                <w:snapToGrid w:val="0"/>
                <w:highlight w:val="none"/>
                <w:lang w:val="en-US" w:eastAsia="zh-CN"/>
              </w:rPr>
              <w:t>，</w:t>
            </w:r>
            <w:r>
              <w:rPr>
                <w:rFonts w:hint="default"/>
                <w:snapToGrid w:val="0"/>
                <w:highlight w:val="none"/>
                <w:lang w:val="en-US" w:eastAsia="zh-CN"/>
              </w:rPr>
              <w:t>2</w:t>
            </w:r>
            <w:r>
              <w:rPr>
                <w:rFonts w:hint="eastAsia"/>
                <w:snapToGrid w:val="0"/>
                <w:highlight w:val="none"/>
                <w:lang w:val="en-US" w:eastAsia="zh-CN"/>
              </w:rPr>
              <w:t>，</w:t>
            </w:r>
            <w:r>
              <w:rPr>
                <w:rFonts w:hint="default"/>
                <w:snapToGrid w:val="0"/>
                <w:highlight w:val="none"/>
                <w:lang w:val="en-US" w:eastAsia="zh-CN"/>
              </w:rPr>
              <w:t>3-</w:t>
            </w:r>
            <w:r>
              <w:rPr>
                <w:rFonts w:hint="eastAsia"/>
                <w:snapToGrid w:val="0"/>
                <w:highlight w:val="none"/>
                <w:lang w:val="en-US" w:eastAsia="zh-CN"/>
              </w:rPr>
              <w:t>三氯丙烷、氯乙烯、苯、氯苯、</w:t>
            </w:r>
            <w:r>
              <w:rPr>
                <w:rFonts w:hint="default"/>
                <w:snapToGrid w:val="0"/>
                <w:highlight w:val="none"/>
                <w:lang w:val="en-US" w:eastAsia="zh-CN"/>
              </w:rPr>
              <w:t>1</w:t>
            </w:r>
            <w:r>
              <w:rPr>
                <w:rFonts w:hint="eastAsia"/>
                <w:snapToGrid w:val="0"/>
                <w:highlight w:val="none"/>
                <w:lang w:val="en-US" w:eastAsia="zh-CN"/>
              </w:rPr>
              <w:t>，</w:t>
            </w:r>
            <w:r>
              <w:rPr>
                <w:rFonts w:hint="default"/>
                <w:snapToGrid w:val="0"/>
                <w:highlight w:val="none"/>
                <w:lang w:val="en-US" w:eastAsia="zh-CN"/>
              </w:rPr>
              <w:t>2-</w:t>
            </w:r>
            <w:r>
              <w:rPr>
                <w:rFonts w:hint="eastAsia"/>
                <w:snapToGrid w:val="0"/>
                <w:highlight w:val="none"/>
                <w:lang w:val="en-US" w:eastAsia="zh-CN"/>
              </w:rPr>
              <w:t>二氯苯、</w:t>
            </w:r>
            <w:r>
              <w:rPr>
                <w:rFonts w:hint="default"/>
                <w:snapToGrid w:val="0"/>
                <w:highlight w:val="none"/>
                <w:lang w:val="en-US" w:eastAsia="zh-CN"/>
              </w:rPr>
              <w:t>1</w:t>
            </w:r>
            <w:r>
              <w:rPr>
                <w:rFonts w:hint="eastAsia"/>
                <w:snapToGrid w:val="0"/>
                <w:highlight w:val="none"/>
                <w:lang w:val="en-US" w:eastAsia="zh-CN"/>
              </w:rPr>
              <w:t>，</w:t>
            </w:r>
            <w:r>
              <w:rPr>
                <w:rFonts w:hint="default"/>
                <w:snapToGrid w:val="0"/>
                <w:highlight w:val="none"/>
                <w:lang w:val="en-US" w:eastAsia="zh-CN"/>
              </w:rPr>
              <w:t>4-</w:t>
            </w:r>
            <w:r>
              <w:rPr>
                <w:rFonts w:hint="eastAsia"/>
                <w:snapToGrid w:val="0"/>
                <w:highlight w:val="none"/>
                <w:lang w:val="en-US" w:eastAsia="zh-CN"/>
              </w:rPr>
              <w:t>二氯苯、乙苯、苯乙烯、甲苯、间二甲苯</w:t>
            </w:r>
            <w:r>
              <w:rPr>
                <w:rFonts w:hint="default"/>
                <w:snapToGrid w:val="0"/>
                <w:highlight w:val="none"/>
                <w:lang w:val="en-US" w:eastAsia="zh-CN"/>
              </w:rPr>
              <w:t>+</w:t>
            </w:r>
            <w:r>
              <w:rPr>
                <w:rFonts w:hint="eastAsia"/>
                <w:snapToGrid w:val="0"/>
                <w:highlight w:val="none"/>
                <w:lang w:val="en-US" w:eastAsia="zh-CN"/>
              </w:rPr>
              <w:t>对二甲苯、邻二甲苯、半挥发性有机物：硝基苯、苯胺、</w:t>
            </w:r>
            <w:r>
              <w:rPr>
                <w:rFonts w:hint="default"/>
                <w:snapToGrid w:val="0"/>
                <w:highlight w:val="none"/>
                <w:lang w:val="en-US" w:eastAsia="zh-CN"/>
              </w:rPr>
              <w:t>2-</w:t>
            </w:r>
            <w:r>
              <w:rPr>
                <w:rFonts w:hint="eastAsia"/>
                <w:snapToGrid w:val="0"/>
                <w:highlight w:val="none"/>
                <w:lang w:val="en-US" w:eastAsia="zh-CN"/>
              </w:rPr>
              <w:t>氯酚、苯并</w:t>
            </w:r>
            <w:r>
              <w:rPr>
                <w:rFonts w:hint="default"/>
                <w:snapToGrid w:val="0"/>
                <w:highlight w:val="none"/>
                <w:lang w:val="en-US" w:eastAsia="zh-CN"/>
              </w:rPr>
              <w:t>[a]</w:t>
            </w:r>
            <w:r>
              <w:rPr>
                <w:rFonts w:hint="eastAsia"/>
                <w:snapToGrid w:val="0"/>
                <w:highlight w:val="none"/>
                <w:lang w:val="en-US" w:eastAsia="zh-CN"/>
              </w:rPr>
              <w:t>蒽、苯并</w:t>
            </w:r>
            <w:r>
              <w:rPr>
                <w:rFonts w:hint="default"/>
                <w:snapToGrid w:val="0"/>
                <w:highlight w:val="none"/>
                <w:lang w:val="en-US" w:eastAsia="zh-CN"/>
              </w:rPr>
              <w:t>[a]</w:t>
            </w:r>
            <w:r>
              <w:rPr>
                <w:rFonts w:hint="eastAsia"/>
                <w:snapToGrid w:val="0"/>
                <w:highlight w:val="none"/>
                <w:lang w:val="en-US" w:eastAsia="zh-CN"/>
              </w:rPr>
              <w:t>芘、苯并</w:t>
            </w:r>
            <w:r>
              <w:rPr>
                <w:rFonts w:hint="default"/>
                <w:snapToGrid w:val="0"/>
                <w:highlight w:val="none"/>
                <w:lang w:val="en-US" w:eastAsia="zh-CN"/>
              </w:rPr>
              <w:t>[b]</w:t>
            </w:r>
            <w:r>
              <w:rPr>
                <w:rFonts w:hint="eastAsia"/>
                <w:snapToGrid w:val="0"/>
                <w:highlight w:val="none"/>
                <w:lang w:val="en-US" w:eastAsia="zh-CN"/>
              </w:rPr>
              <w:t>荧蒽、苯并</w:t>
            </w:r>
            <w:r>
              <w:rPr>
                <w:rFonts w:hint="default"/>
                <w:snapToGrid w:val="0"/>
                <w:highlight w:val="none"/>
                <w:lang w:val="en-US" w:eastAsia="zh-CN"/>
              </w:rPr>
              <w:t>[k]</w:t>
            </w:r>
            <w:r>
              <w:rPr>
                <w:rFonts w:hint="eastAsia"/>
                <w:snapToGrid w:val="0"/>
                <w:highlight w:val="none"/>
                <w:lang w:val="en-US" w:eastAsia="zh-CN"/>
              </w:rPr>
              <w:t>荧蒽、䓛、二苯并</w:t>
            </w:r>
            <w:r>
              <w:rPr>
                <w:rFonts w:hint="default"/>
                <w:snapToGrid w:val="0"/>
                <w:highlight w:val="none"/>
                <w:lang w:val="en-US" w:eastAsia="zh-CN"/>
              </w:rPr>
              <w:t>[a</w:t>
            </w:r>
            <w:r>
              <w:rPr>
                <w:rFonts w:hint="eastAsia"/>
                <w:snapToGrid w:val="0"/>
                <w:highlight w:val="none"/>
                <w:lang w:val="en-US" w:eastAsia="zh-CN"/>
              </w:rPr>
              <w:t>，</w:t>
            </w:r>
            <w:r>
              <w:rPr>
                <w:rFonts w:hint="default"/>
                <w:snapToGrid w:val="0"/>
                <w:highlight w:val="none"/>
                <w:lang w:val="en-US" w:eastAsia="zh-CN"/>
              </w:rPr>
              <w:t>h]</w:t>
            </w:r>
            <w:r>
              <w:rPr>
                <w:rFonts w:hint="eastAsia"/>
                <w:snapToGrid w:val="0"/>
                <w:highlight w:val="none"/>
                <w:lang w:val="en-US" w:eastAsia="zh-CN"/>
              </w:rPr>
              <w:t>蒽、茚并</w:t>
            </w:r>
            <w:r>
              <w:rPr>
                <w:rFonts w:hint="default"/>
                <w:snapToGrid w:val="0"/>
                <w:highlight w:val="none"/>
                <w:lang w:val="en-US" w:eastAsia="zh-CN"/>
              </w:rPr>
              <w:t>[1</w:t>
            </w:r>
            <w:r>
              <w:rPr>
                <w:rFonts w:hint="eastAsia"/>
                <w:snapToGrid w:val="0"/>
                <w:highlight w:val="none"/>
                <w:lang w:val="en-US" w:eastAsia="zh-CN"/>
              </w:rPr>
              <w:t>，</w:t>
            </w:r>
            <w:r>
              <w:rPr>
                <w:rFonts w:hint="default"/>
                <w:snapToGrid w:val="0"/>
                <w:highlight w:val="none"/>
                <w:lang w:val="en-US" w:eastAsia="zh-CN"/>
              </w:rPr>
              <w:t>2</w:t>
            </w:r>
            <w:r>
              <w:rPr>
                <w:rFonts w:hint="eastAsia"/>
                <w:snapToGrid w:val="0"/>
                <w:highlight w:val="none"/>
                <w:lang w:val="en-US" w:eastAsia="zh-CN"/>
              </w:rPr>
              <w:t>，</w:t>
            </w:r>
            <w:r>
              <w:rPr>
                <w:rFonts w:hint="default"/>
                <w:snapToGrid w:val="0"/>
                <w:highlight w:val="none"/>
                <w:lang w:val="en-US" w:eastAsia="zh-CN"/>
              </w:rPr>
              <w:t>3-cd]</w:t>
            </w:r>
            <w:r>
              <w:rPr>
                <w:rFonts w:hint="eastAsia"/>
                <w:snapToGrid w:val="0"/>
                <w:highlight w:val="none"/>
                <w:lang w:val="en-US" w:eastAsia="zh-CN"/>
              </w:rPr>
              <w:t>芘、萘</w:t>
            </w:r>
          </w:p>
          <w:p w14:paraId="21EA61DE">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特征因子：石油烃</w:t>
            </w:r>
          </w:p>
        </w:tc>
        <w:tc>
          <w:tcPr>
            <w:tcW w:w="1139" w:type="dxa"/>
            <w:vMerge w:val="continue"/>
            <w:tcBorders>
              <w:tl2br w:val="nil"/>
              <w:tr2bl w:val="nil"/>
            </w:tcBorders>
            <w:shd w:val="clear" w:color="auto" w:fill="auto"/>
            <w:vAlign w:val="center"/>
          </w:tcPr>
          <w:p w14:paraId="6BC15D60">
            <w:pPr>
              <w:pStyle w:val="8"/>
              <w:suppressLineNumbers w:val="0"/>
              <w:bidi w:val="0"/>
              <w:spacing w:before="0" w:beforeAutospacing="0" w:after="0" w:afterAutospacing="0"/>
              <w:ind w:left="0" w:right="0"/>
              <w:rPr>
                <w:rFonts w:hint="default"/>
                <w:snapToGrid w:val="0"/>
                <w:highlight w:val="none"/>
                <w:lang w:eastAsia="en-US"/>
              </w:rPr>
            </w:pPr>
          </w:p>
        </w:tc>
      </w:tr>
      <w:tr w14:paraId="3B8CAAB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808" w:hRule="atLeast"/>
          <w:jc w:val="center"/>
        </w:trPr>
        <w:tc>
          <w:tcPr>
            <w:tcW w:w="677" w:type="dxa"/>
            <w:tcBorders>
              <w:tl2br w:val="nil"/>
              <w:tr2bl w:val="nil"/>
            </w:tcBorders>
            <w:shd w:val="clear" w:color="auto" w:fill="auto"/>
            <w:vAlign w:val="center"/>
          </w:tcPr>
          <w:p w14:paraId="62932385">
            <w:pPr>
              <w:pStyle w:val="8"/>
              <w:suppressLineNumbers w:val="0"/>
              <w:bidi w:val="0"/>
              <w:spacing w:before="0" w:beforeAutospacing="0" w:after="0" w:afterAutospacing="0"/>
              <w:ind w:left="0" w:right="0"/>
              <w:rPr>
                <w:rFonts w:hint="default"/>
                <w:snapToGrid w:val="0"/>
                <w:highlight w:val="none"/>
                <w:lang w:eastAsia="en-US"/>
              </w:rPr>
            </w:pPr>
          </w:p>
        </w:tc>
        <w:tc>
          <w:tcPr>
            <w:tcW w:w="567" w:type="dxa"/>
            <w:tcBorders>
              <w:tl2br w:val="nil"/>
              <w:tr2bl w:val="nil"/>
            </w:tcBorders>
            <w:shd w:val="clear" w:color="auto" w:fill="auto"/>
            <w:vAlign w:val="center"/>
          </w:tcPr>
          <w:p w14:paraId="26BCFE6F">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TR7</w:t>
            </w:r>
          </w:p>
        </w:tc>
        <w:tc>
          <w:tcPr>
            <w:tcW w:w="1155" w:type="dxa"/>
            <w:tcBorders>
              <w:tl2br w:val="nil"/>
              <w:tr2bl w:val="nil"/>
            </w:tcBorders>
            <w:shd w:val="clear" w:color="auto" w:fill="auto"/>
            <w:vAlign w:val="center"/>
          </w:tcPr>
          <w:p w14:paraId="038E97A0">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厂区内2号厂房外</w:t>
            </w:r>
          </w:p>
        </w:tc>
        <w:tc>
          <w:tcPr>
            <w:tcW w:w="4995" w:type="dxa"/>
            <w:vMerge w:val="continue"/>
            <w:tcBorders>
              <w:tl2br w:val="nil"/>
              <w:tr2bl w:val="nil"/>
            </w:tcBorders>
            <w:shd w:val="clear" w:color="auto" w:fill="auto"/>
            <w:vAlign w:val="center"/>
          </w:tcPr>
          <w:p w14:paraId="51C58E15">
            <w:pPr>
              <w:pStyle w:val="8"/>
              <w:suppressLineNumbers w:val="0"/>
              <w:bidi w:val="0"/>
              <w:spacing w:before="0" w:beforeAutospacing="0" w:after="0" w:afterAutospacing="0"/>
              <w:ind w:left="0" w:right="0"/>
              <w:rPr>
                <w:rFonts w:hint="default"/>
                <w:snapToGrid w:val="0"/>
                <w:highlight w:val="none"/>
                <w:lang w:eastAsia="en-US"/>
              </w:rPr>
            </w:pPr>
          </w:p>
        </w:tc>
        <w:tc>
          <w:tcPr>
            <w:tcW w:w="1139" w:type="dxa"/>
            <w:vMerge w:val="continue"/>
            <w:tcBorders>
              <w:tl2br w:val="nil"/>
              <w:tr2bl w:val="nil"/>
            </w:tcBorders>
            <w:shd w:val="clear" w:color="auto" w:fill="auto"/>
            <w:vAlign w:val="center"/>
          </w:tcPr>
          <w:p w14:paraId="242B6580">
            <w:pPr>
              <w:pStyle w:val="8"/>
              <w:suppressLineNumbers w:val="0"/>
              <w:bidi w:val="0"/>
              <w:spacing w:before="0" w:beforeAutospacing="0" w:after="0" w:afterAutospacing="0"/>
              <w:ind w:left="0" w:right="0"/>
              <w:rPr>
                <w:rFonts w:hint="default"/>
                <w:snapToGrid w:val="0"/>
                <w:highlight w:val="none"/>
                <w:lang w:eastAsia="en-US"/>
              </w:rPr>
            </w:pPr>
          </w:p>
        </w:tc>
      </w:tr>
      <w:tr w14:paraId="1734FB8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808" w:hRule="atLeast"/>
          <w:jc w:val="center"/>
        </w:trPr>
        <w:tc>
          <w:tcPr>
            <w:tcW w:w="677" w:type="dxa"/>
            <w:tcBorders>
              <w:tl2br w:val="nil"/>
              <w:tr2bl w:val="nil"/>
            </w:tcBorders>
            <w:shd w:val="clear" w:color="auto" w:fill="auto"/>
            <w:vAlign w:val="center"/>
          </w:tcPr>
          <w:p w14:paraId="7A0735B4">
            <w:pPr>
              <w:pStyle w:val="8"/>
              <w:suppressLineNumbers w:val="0"/>
              <w:bidi w:val="0"/>
              <w:spacing w:before="0" w:beforeAutospacing="0" w:after="0" w:afterAutospacing="0"/>
              <w:ind w:left="0" w:right="0"/>
              <w:rPr>
                <w:rFonts w:hint="default"/>
                <w:snapToGrid w:val="0"/>
                <w:highlight w:val="none"/>
                <w:lang w:eastAsia="en-US"/>
              </w:rPr>
            </w:pPr>
          </w:p>
        </w:tc>
        <w:tc>
          <w:tcPr>
            <w:tcW w:w="567" w:type="dxa"/>
            <w:tcBorders>
              <w:tl2br w:val="nil"/>
              <w:tr2bl w:val="nil"/>
            </w:tcBorders>
            <w:shd w:val="clear" w:color="auto" w:fill="auto"/>
            <w:vAlign w:val="center"/>
          </w:tcPr>
          <w:p w14:paraId="7D9FEDFA">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TR8</w:t>
            </w:r>
          </w:p>
        </w:tc>
        <w:tc>
          <w:tcPr>
            <w:tcW w:w="1155" w:type="dxa"/>
            <w:tcBorders>
              <w:tl2br w:val="nil"/>
              <w:tr2bl w:val="nil"/>
            </w:tcBorders>
            <w:shd w:val="clear" w:color="auto" w:fill="auto"/>
            <w:vAlign w:val="center"/>
          </w:tcPr>
          <w:p w14:paraId="707BA610">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厂区内东侧</w:t>
            </w:r>
          </w:p>
        </w:tc>
        <w:tc>
          <w:tcPr>
            <w:tcW w:w="4995" w:type="dxa"/>
            <w:vMerge w:val="restart"/>
            <w:tcBorders>
              <w:tl2br w:val="nil"/>
              <w:tr2bl w:val="nil"/>
            </w:tcBorders>
            <w:shd w:val="clear" w:color="auto" w:fill="auto"/>
            <w:vAlign w:val="center"/>
          </w:tcPr>
          <w:p w14:paraId="78D63910">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zh-CN"/>
              </w:rPr>
              <w:t>pH、石油烃、阳离子交换量、氧化还原电位、容重</w:t>
            </w:r>
          </w:p>
        </w:tc>
        <w:tc>
          <w:tcPr>
            <w:tcW w:w="1139" w:type="dxa"/>
            <w:vMerge w:val="continue"/>
            <w:tcBorders>
              <w:tl2br w:val="nil"/>
              <w:tr2bl w:val="nil"/>
            </w:tcBorders>
            <w:shd w:val="clear" w:color="auto" w:fill="auto"/>
            <w:vAlign w:val="center"/>
          </w:tcPr>
          <w:p w14:paraId="0E354F14">
            <w:pPr>
              <w:pStyle w:val="8"/>
              <w:suppressLineNumbers w:val="0"/>
              <w:bidi w:val="0"/>
              <w:spacing w:before="0" w:beforeAutospacing="0" w:after="0" w:afterAutospacing="0"/>
              <w:ind w:left="0" w:right="0"/>
              <w:rPr>
                <w:rFonts w:hint="default"/>
                <w:snapToGrid w:val="0"/>
                <w:highlight w:val="none"/>
                <w:lang w:eastAsia="en-US"/>
              </w:rPr>
            </w:pPr>
          </w:p>
        </w:tc>
      </w:tr>
      <w:tr w14:paraId="36A6EAA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808" w:hRule="atLeast"/>
          <w:jc w:val="center"/>
        </w:trPr>
        <w:tc>
          <w:tcPr>
            <w:tcW w:w="677" w:type="dxa"/>
            <w:tcBorders>
              <w:tl2br w:val="nil"/>
              <w:tr2bl w:val="nil"/>
            </w:tcBorders>
            <w:shd w:val="clear" w:color="auto" w:fill="auto"/>
            <w:vAlign w:val="center"/>
          </w:tcPr>
          <w:p w14:paraId="1A880B5C">
            <w:pPr>
              <w:pStyle w:val="8"/>
              <w:suppressLineNumbers w:val="0"/>
              <w:bidi w:val="0"/>
              <w:spacing w:before="0" w:beforeAutospacing="0" w:after="0" w:afterAutospacing="0"/>
              <w:ind w:left="0" w:right="0"/>
              <w:rPr>
                <w:rFonts w:hint="default"/>
                <w:snapToGrid w:val="0"/>
                <w:highlight w:val="none"/>
                <w:lang w:eastAsia="en-US"/>
              </w:rPr>
            </w:pPr>
          </w:p>
        </w:tc>
        <w:tc>
          <w:tcPr>
            <w:tcW w:w="567" w:type="dxa"/>
            <w:tcBorders>
              <w:tl2br w:val="nil"/>
              <w:tr2bl w:val="nil"/>
            </w:tcBorders>
            <w:shd w:val="clear" w:color="auto" w:fill="auto"/>
            <w:vAlign w:val="center"/>
          </w:tcPr>
          <w:p w14:paraId="1EE6C9ED">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TR9</w:t>
            </w:r>
          </w:p>
        </w:tc>
        <w:tc>
          <w:tcPr>
            <w:tcW w:w="1155" w:type="dxa"/>
            <w:tcBorders>
              <w:tl2br w:val="nil"/>
              <w:tr2bl w:val="nil"/>
            </w:tcBorders>
            <w:shd w:val="clear" w:color="auto" w:fill="auto"/>
            <w:vAlign w:val="center"/>
          </w:tcPr>
          <w:p w14:paraId="035D391A">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厂区内东北侧</w:t>
            </w:r>
          </w:p>
        </w:tc>
        <w:tc>
          <w:tcPr>
            <w:tcW w:w="4995" w:type="dxa"/>
            <w:vMerge w:val="continue"/>
            <w:tcBorders>
              <w:tl2br w:val="nil"/>
              <w:tr2bl w:val="nil"/>
            </w:tcBorders>
            <w:shd w:val="clear" w:color="auto" w:fill="auto"/>
            <w:vAlign w:val="center"/>
          </w:tcPr>
          <w:p w14:paraId="597B778C">
            <w:pPr>
              <w:pStyle w:val="8"/>
              <w:suppressLineNumbers w:val="0"/>
              <w:bidi w:val="0"/>
              <w:spacing w:before="0" w:beforeAutospacing="0" w:after="0" w:afterAutospacing="0"/>
              <w:ind w:left="0" w:right="0"/>
              <w:rPr>
                <w:rFonts w:hint="default"/>
                <w:snapToGrid w:val="0"/>
                <w:highlight w:val="none"/>
                <w:lang w:eastAsia="en-US"/>
              </w:rPr>
            </w:pPr>
          </w:p>
        </w:tc>
        <w:tc>
          <w:tcPr>
            <w:tcW w:w="1139" w:type="dxa"/>
            <w:vMerge w:val="continue"/>
            <w:tcBorders>
              <w:tl2br w:val="nil"/>
              <w:tr2bl w:val="nil"/>
            </w:tcBorders>
            <w:shd w:val="clear" w:color="auto" w:fill="auto"/>
            <w:vAlign w:val="center"/>
          </w:tcPr>
          <w:p w14:paraId="62126DAE">
            <w:pPr>
              <w:pStyle w:val="8"/>
              <w:suppressLineNumbers w:val="0"/>
              <w:bidi w:val="0"/>
              <w:spacing w:before="0" w:beforeAutospacing="0" w:after="0" w:afterAutospacing="0"/>
              <w:ind w:left="0" w:right="0"/>
              <w:rPr>
                <w:rFonts w:hint="default"/>
                <w:snapToGrid w:val="0"/>
                <w:highlight w:val="none"/>
                <w:lang w:eastAsia="en-US"/>
              </w:rPr>
            </w:pPr>
          </w:p>
        </w:tc>
      </w:tr>
      <w:tr w14:paraId="16ED416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808" w:hRule="atLeast"/>
          <w:jc w:val="center"/>
        </w:trPr>
        <w:tc>
          <w:tcPr>
            <w:tcW w:w="677" w:type="dxa"/>
            <w:tcBorders>
              <w:tl2br w:val="nil"/>
              <w:tr2bl w:val="nil"/>
            </w:tcBorders>
            <w:shd w:val="clear" w:color="auto" w:fill="auto"/>
            <w:vAlign w:val="center"/>
          </w:tcPr>
          <w:p w14:paraId="03FDCF8C">
            <w:pPr>
              <w:pStyle w:val="8"/>
              <w:suppressLineNumbers w:val="0"/>
              <w:bidi w:val="0"/>
              <w:spacing w:before="0" w:beforeAutospacing="0" w:after="0" w:afterAutospacing="0"/>
              <w:ind w:left="0" w:right="0"/>
              <w:rPr>
                <w:rFonts w:hint="default"/>
                <w:snapToGrid w:val="0"/>
                <w:highlight w:val="none"/>
                <w:lang w:eastAsia="en-US"/>
              </w:rPr>
            </w:pPr>
          </w:p>
        </w:tc>
        <w:tc>
          <w:tcPr>
            <w:tcW w:w="567" w:type="dxa"/>
            <w:tcBorders>
              <w:tl2br w:val="nil"/>
              <w:tr2bl w:val="nil"/>
            </w:tcBorders>
            <w:shd w:val="clear" w:color="auto" w:fill="auto"/>
            <w:vAlign w:val="center"/>
          </w:tcPr>
          <w:p w14:paraId="15C1BFDD">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TR10</w:t>
            </w:r>
          </w:p>
        </w:tc>
        <w:tc>
          <w:tcPr>
            <w:tcW w:w="1155" w:type="dxa"/>
            <w:tcBorders>
              <w:tl2br w:val="nil"/>
              <w:tr2bl w:val="nil"/>
            </w:tcBorders>
            <w:shd w:val="clear" w:color="auto" w:fill="auto"/>
            <w:vAlign w:val="center"/>
          </w:tcPr>
          <w:p w14:paraId="2FEA9039">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厂区内西北侧</w:t>
            </w:r>
          </w:p>
        </w:tc>
        <w:tc>
          <w:tcPr>
            <w:tcW w:w="4995" w:type="dxa"/>
            <w:vMerge w:val="restart"/>
            <w:tcBorders>
              <w:tl2br w:val="nil"/>
              <w:tr2bl w:val="nil"/>
            </w:tcBorders>
            <w:shd w:val="clear" w:color="auto" w:fill="auto"/>
            <w:vAlign w:val="center"/>
          </w:tcPr>
          <w:p w14:paraId="0A7CC5C4">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zh-CN"/>
              </w:rPr>
              <w:t>pH、石油烃、阳离子交换量、氧化还原电位、容重</w:t>
            </w:r>
          </w:p>
        </w:tc>
        <w:tc>
          <w:tcPr>
            <w:tcW w:w="1139" w:type="dxa"/>
            <w:vMerge w:val="restart"/>
            <w:tcBorders>
              <w:tl2br w:val="nil"/>
              <w:tr2bl w:val="nil"/>
            </w:tcBorders>
            <w:shd w:val="clear" w:color="auto" w:fill="auto"/>
            <w:vAlign w:val="center"/>
          </w:tcPr>
          <w:p w14:paraId="07B992CF">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表层样点，表层样点在0~0.2m取样</w:t>
            </w:r>
          </w:p>
        </w:tc>
      </w:tr>
      <w:tr w14:paraId="17D639B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808" w:hRule="atLeast"/>
          <w:jc w:val="center"/>
        </w:trPr>
        <w:tc>
          <w:tcPr>
            <w:tcW w:w="677" w:type="dxa"/>
            <w:tcBorders>
              <w:tl2br w:val="nil"/>
              <w:tr2bl w:val="nil"/>
            </w:tcBorders>
            <w:shd w:val="clear" w:color="auto" w:fill="auto"/>
            <w:vAlign w:val="center"/>
          </w:tcPr>
          <w:p w14:paraId="2535F72F">
            <w:pPr>
              <w:pStyle w:val="8"/>
              <w:suppressLineNumbers w:val="0"/>
              <w:bidi w:val="0"/>
              <w:spacing w:before="0" w:beforeAutospacing="0" w:after="0" w:afterAutospacing="0"/>
              <w:ind w:left="0" w:right="0"/>
              <w:rPr>
                <w:rFonts w:hint="default"/>
                <w:snapToGrid w:val="0"/>
                <w:highlight w:val="none"/>
                <w:lang w:eastAsia="en-US"/>
              </w:rPr>
            </w:pPr>
          </w:p>
        </w:tc>
        <w:tc>
          <w:tcPr>
            <w:tcW w:w="567" w:type="dxa"/>
            <w:tcBorders>
              <w:tl2br w:val="nil"/>
              <w:tr2bl w:val="nil"/>
            </w:tcBorders>
            <w:shd w:val="clear" w:color="auto" w:fill="auto"/>
            <w:vAlign w:val="center"/>
          </w:tcPr>
          <w:p w14:paraId="2CE045E6">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TR11</w:t>
            </w:r>
          </w:p>
        </w:tc>
        <w:tc>
          <w:tcPr>
            <w:tcW w:w="1155" w:type="dxa"/>
            <w:tcBorders>
              <w:tl2br w:val="nil"/>
              <w:tr2bl w:val="nil"/>
            </w:tcBorders>
            <w:shd w:val="clear" w:color="auto" w:fill="auto"/>
            <w:vAlign w:val="center"/>
          </w:tcPr>
          <w:p w14:paraId="1A616888">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厂区内南侧</w:t>
            </w:r>
          </w:p>
        </w:tc>
        <w:tc>
          <w:tcPr>
            <w:tcW w:w="4995" w:type="dxa"/>
            <w:vMerge w:val="continue"/>
            <w:tcBorders>
              <w:tl2br w:val="nil"/>
              <w:tr2bl w:val="nil"/>
            </w:tcBorders>
            <w:shd w:val="clear" w:color="auto" w:fill="auto"/>
            <w:vAlign w:val="center"/>
          </w:tcPr>
          <w:p w14:paraId="66E4FF3A">
            <w:pPr>
              <w:pStyle w:val="8"/>
              <w:suppressLineNumbers w:val="0"/>
              <w:bidi w:val="0"/>
              <w:spacing w:before="0" w:beforeAutospacing="0" w:after="0" w:afterAutospacing="0"/>
              <w:ind w:left="0" w:right="0"/>
              <w:rPr>
                <w:rFonts w:hint="default"/>
                <w:snapToGrid w:val="0"/>
                <w:highlight w:val="none"/>
                <w:lang w:eastAsia="en-US"/>
              </w:rPr>
            </w:pPr>
          </w:p>
        </w:tc>
        <w:tc>
          <w:tcPr>
            <w:tcW w:w="1139" w:type="dxa"/>
            <w:vMerge w:val="continue"/>
            <w:tcBorders>
              <w:tl2br w:val="nil"/>
              <w:tr2bl w:val="nil"/>
            </w:tcBorders>
            <w:shd w:val="clear" w:color="auto" w:fill="auto"/>
            <w:vAlign w:val="center"/>
          </w:tcPr>
          <w:p w14:paraId="0705C7E5">
            <w:pPr>
              <w:pStyle w:val="8"/>
              <w:suppressLineNumbers w:val="0"/>
              <w:bidi w:val="0"/>
              <w:spacing w:before="0" w:beforeAutospacing="0" w:after="0" w:afterAutospacing="0"/>
              <w:ind w:left="0" w:right="0"/>
              <w:rPr>
                <w:rFonts w:hint="default"/>
                <w:snapToGrid w:val="0"/>
                <w:highlight w:val="none"/>
                <w:lang w:eastAsia="en-US"/>
              </w:rPr>
            </w:pPr>
          </w:p>
        </w:tc>
      </w:tr>
    </w:tbl>
    <w:p w14:paraId="49E9D1EE">
      <w:pPr>
        <w:spacing w:line="360" w:lineRule="auto"/>
        <w:ind w:firstLine="480" w:firstLineChars="200"/>
        <w:rPr>
          <w:spacing w:val="0"/>
          <w:position w:val="0"/>
          <w:highlight w:val="none"/>
        </w:rPr>
      </w:pPr>
    </w:p>
    <w:p w14:paraId="7DC48F7F">
      <w:pPr>
        <w:keepNext w:val="0"/>
        <w:keepLines w:val="0"/>
        <w:pageBreakBefore w:val="0"/>
        <w:widowControl w:val="0"/>
        <w:kinsoku/>
        <w:wordWrap w:val="0"/>
        <w:overflowPunct/>
        <w:topLinePunct w:val="0"/>
        <w:autoSpaceDE/>
        <w:autoSpaceDN/>
        <w:bidi w:val="0"/>
        <w:adjustRightInd w:val="0"/>
        <w:snapToGrid w:val="0"/>
        <w:spacing w:line="360" w:lineRule="auto"/>
        <w:ind w:firstLine="0" w:firstLineChars="0"/>
        <w:textAlignment w:val="auto"/>
        <w:rPr>
          <w:spacing w:val="0"/>
          <w:position w:val="0"/>
          <w:highlight w:val="none"/>
        </w:rPr>
      </w:pPr>
      <w:r>
        <w:rPr>
          <w:highlight w:val="none"/>
        </w:rPr>
        <w:drawing>
          <wp:inline distT="0" distB="0" distL="114300" distR="114300">
            <wp:extent cx="5273040" cy="3149600"/>
            <wp:effectExtent l="9525" t="9525" r="13335" b="22225"/>
            <wp:docPr id="2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0"/>
                    <pic:cNvPicPr>
                      <a:picLocks noChangeAspect="1"/>
                    </pic:cNvPicPr>
                  </pic:nvPicPr>
                  <pic:blipFill>
                    <a:blip r:embed="rId76"/>
                    <a:stretch>
                      <a:fillRect/>
                    </a:stretch>
                  </pic:blipFill>
                  <pic:spPr>
                    <a:xfrm>
                      <a:off x="0" y="0"/>
                      <a:ext cx="5273040" cy="3149600"/>
                    </a:xfrm>
                    <a:prstGeom prst="rect">
                      <a:avLst/>
                    </a:prstGeom>
                    <a:noFill/>
                    <a:ln>
                      <a:solidFill>
                        <a:schemeClr val="tx1"/>
                      </a:solidFill>
                    </a:ln>
                  </pic:spPr>
                </pic:pic>
              </a:graphicData>
            </a:graphic>
          </wp:inline>
        </w:drawing>
      </w:r>
    </w:p>
    <w:p w14:paraId="0A0F8AEE">
      <w:pPr>
        <w:spacing w:line="360" w:lineRule="auto"/>
        <w:jc w:val="center"/>
        <w:rPr>
          <w:rFonts w:hint="default" w:eastAsia="宋体"/>
          <w:b/>
          <w:bCs/>
          <w:spacing w:val="0"/>
          <w:position w:val="0"/>
          <w:sz w:val="24"/>
          <w:szCs w:val="24"/>
          <w:highlight w:val="none"/>
          <w:lang w:val="en-US" w:eastAsia="zh-CN"/>
        </w:rPr>
      </w:pPr>
      <w:r>
        <w:rPr>
          <w:rFonts w:hint="eastAsia"/>
          <w:b/>
          <w:bCs/>
          <w:spacing w:val="0"/>
          <w:position w:val="0"/>
          <w:sz w:val="24"/>
          <w:szCs w:val="24"/>
          <w:highlight w:val="none"/>
          <w:lang w:val="en-US" w:eastAsia="zh-CN"/>
        </w:rPr>
        <w:t>图4-2-3</w:t>
      </w:r>
      <w:r>
        <w:rPr>
          <w:rFonts w:hint="eastAsia" w:ascii="宋体" w:hAnsi="宋体" w:eastAsia="宋体" w:cs="宋体"/>
          <w:b/>
          <w:bCs/>
          <w:spacing w:val="0"/>
          <w:position w:val="0"/>
          <w:sz w:val="24"/>
          <w:szCs w:val="24"/>
          <w:highlight w:val="none"/>
          <w:lang w:val="zh-CN" w:eastAsia="zh-CN" w:bidi="zh-CN"/>
        </w:rPr>
        <w:t>土壤环境质量现状监测布点图</w:t>
      </w:r>
    </w:p>
    <w:p w14:paraId="75F563FD">
      <w:pPr>
        <w:bidi w:val="0"/>
        <w:rPr>
          <w:rFonts w:hint="default"/>
          <w:highlight w:val="none"/>
        </w:rPr>
      </w:pPr>
      <w:r>
        <w:rPr>
          <w:rFonts w:hint="default" w:ascii="Times New Roman" w:hAnsi="Times New Roman" w:cs="Times New Roman"/>
          <w:snapToGrid w:val="0"/>
          <w:spacing w:val="0"/>
          <w:kern w:val="24"/>
          <w:position w:val="0"/>
          <w:highlight w:val="none"/>
          <w:lang w:bidi="ar"/>
        </w:rPr>
        <w:t>3、监测</w:t>
      </w:r>
      <w:r>
        <w:rPr>
          <w:rFonts w:hint="default"/>
          <w:highlight w:val="none"/>
        </w:rPr>
        <w:t>项目</w:t>
      </w:r>
      <w:bookmarkEnd w:id="357"/>
    </w:p>
    <w:p w14:paraId="7DC1DB02">
      <w:pPr>
        <w:bidi w:val="0"/>
        <w:rPr>
          <w:rFonts w:hint="default"/>
          <w:highlight w:val="none"/>
        </w:rPr>
      </w:pPr>
      <w:r>
        <w:rPr>
          <w:rFonts w:hint="default"/>
          <w:highlight w:val="none"/>
          <w:lang w:val="en-US" w:eastAsia="zh-CN"/>
        </w:rPr>
        <w:t>pH</w:t>
      </w:r>
      <w:r>
        <w:rPr>
          <w:rFonts w:hint="eastAsia"/>
          <w:highlight w:val="none"/>
          <w:lang w:val="en-US" w:eastAsia="zh-CN"/>
        </w:rPr>
        <w:t>、</w:t>
      </w:r>
      <w:r>
        <w:rPr>
          <w:rFonts w:hint="default"/>
          <w:highlight w:val="none"/>
        </w:rPr>
        <w:t>砷、镉、铬、铜、铅、汞、镍、四氯化碳、氨仿、氯甲烷、1</w:t>
      </w:r>
      <w:r>
        <w:rPr>
          <w:rFonts w:hint="eastAsia"/>
          <w:highlight w:val="none"/>
          <w:lang w:eastAsia="zh-CN"/>
        </w:rPr>
        <w:t>，</w:t>
      </w:r>
      <w:r>
        <w:rPr>
          <w:rFonts w:hint="default"/>
          <w:highlight w:val="none"/>
        </w:rPr>
        <w:t>1-二氧乙烷、1</w:t>
      </w:r>
      <w:r>
        <w:rPr>
          <w:rFonts w:hint="eastAsia"/>
          <w:highlight w:val="none"/>
          <w:lang w:eastAsia="zh-CN"/>
        </w:rPr>
        <w:t>，</w:t>
      </w:r>
      <w:r>
        <w:rPr>
          <w:rFonts w:hint="default"/>
          <w:highlight w:val="none"/>
        </w:rPr>
        <w:t>2-二氧乙烷、1</w:t>
      </w:r>
      <w:r>
        <w:rPr>
          <w:rFonts w:hint="eastAsia"/>
          <w:highlight w:val="none"/>
          <w:lang w:eastAsia="zh-CN"/>
        </w:rPr>
        <w:t>，</w:t>
      </w:r>
      <w:r>
        <w:rPr>
          <w:rFonts w:hint="default"/>
          <w:highlight w:val="none"/>
        </w:rPr>
        <w:t>1-二氧乙烯、顺-1</w:t>
      </w:r>
      <w:r>
        <w:rPr>
          <w:rFonts w:hint="eastAsia"/>
          <w:highlight w:val="none"/>
          <w:lang w:eastAsia="zh-CN"/>
        </w:rPr>
        <w:t>，</w:t>
      </w:r>
      <w:r>
        <w:rPr>
          <w:rFonts w:hint="default"/>
          <w:highlight w:val="none"/>
        </w:rPr>
        <w:t>2-二氧乙烯反-1</w:t>
      </w:r>
      <w:r>
        <w:rPr>
          <w:rFonts w:hint="eastAsia"/>
          <w:highlight w:val="none"/>
          <w:lang w:eastAsia="zh-CN"/>
        </w:rPr>
        <w:t>，</w:t>
      </w:r>
      <w:r>
        <w:rPr>
          <w:rFonts w:hint="default"/>
          <w:highlight w:val="none"/>
        </w:rPr>
        <w:t>2-二氧乙烯、二氧甲烷、1</w:t>
      </w:r>
      <w:r>
        <w:rPr>
          <w:rFonts w:hint="eastAsia"/>
          <w:highlight w:val="none"/>
          <w:lang w:eastAsia="zh-CN"/>
        </w:rPr>
        <w:t>，</w:t>
      </w:r>
      <w:r>
        <w:rPr>
          <w:rFonts w:hint="default"/>
          <w:highlight w:val="none"/>
        </w:rPr>
        <w:t>2-二氧丙烷、1</w:t>
      </w:r>
      <w:r>
        <w:rPr>
          <w:rFonts w:hint="eastAsia"/>
          <w:highlight w:val="none"/>
          <w:lang w:eastAsia="zh-CN"/>
        </w:rPr>
        <w:t>，</w:t>
      </w:r>
      <w:r>
        <w:rPr>
          <w:rFonts w:hint="default"/>
          <w:highlight w:val="none"/>
        </w:rPr>
        <w:t>1</w:t>
      </w:r>
      <w:r>
        <w:rPr>
          <w:rFonts w:hint="eastAsia"/>
          <w:highlight w:val="none"/>
          <w:lang w:eastAsia="zh-CN"/>
        </w:rPr>
        <w:t>，</w:t>
      </w:r>
      <w:r>
        <w:rPr>
          <w:rFonts w:hint="default"/>
          <w:highlight w:val="none"/>
        </w:rPr>
        <w:t>1</w:t>
      </w:r>
      <w:r>
        <w:rPr>
          <w:rFonts w:hint="eastAsia"/>
          <w:highlight w:val="none"/>
          <w:lang w:eastAsia="zh-CN"/>
        </w:rPr>
        <w:t>，</w:t>
      </w:r>
      <w:r>
        <w:rPr>
          <w:rFonts w:hint="default"/>
          <w:highlight w:val="none"/>
        </w:rPr>
        <w:t>2-四氨乙烷、1</w:t>
      </w:r>
      <w:r>
        <w:rPr>
          <w:rFonts w:hint="eastAsia"/>
          <w:highlight w:val="none"/>
          <w:lang w:eastAsia="zh-CN"/>
        </w:rPr>
        <w:t>，</w:t>
      </w:r>
      <w:r>
        <w:rPr>
          <w:rFonts w:hint="default"/>
          <w:highlight w:val="none"/>
        </w:rPr>
        <w:t>1</w:t>
      </w:r>
      <w:r>
        <w:rPr>
          <w:rFonts w:hint="eastAsia"/>
          <w:highlight w:val="none"/>
          <w:lang w:eastAsia="zh-CN"/>
        </w:rPr>
        <w:t>，</w:t>
      </w:r>
      <w:r>
        <w:rPr>
          <w:rFonts w:hint="default"/>
          <w:highlight w:val="none"/>
        </w:rPr>
        <w:t>2</w:t>
      </w:r>
      <w:r>
        <w:rPr>
          <w:rFonts w:hint="eastAsia"/>
          <w:highlight w:val="none"/>
          <w:lang w:eastAsia="zh-CN"/>
        </w:rPr>
        <w:t>，</w:t>
      </w:r>
      <w:r>
        <w:rPr>
          <w:rFonts w:hint="default"/>
          <w:highlight w:val="none"/>
        </w:rPr>
        <w:t>2-四氨乙烷、四氯乙烯、1</w:t>
      </w:r>
      <w:r>
        <w:rPr>
          <w:rFonts w:hint="eastAsia"/>
          <w:highlight w:val="none"/>
          <w:lang w:eastAsia="zh-CN"/>
        </w:rPr>
        <w:t>，</w:t>
      </w:r>
      <w:r>
        <w:rPr>
          <w:rFonts w:hint="default"/>
          <w:highlight w:val="none"/>
        </w:rPr>
        <w:t>1</w:t>
      </w:r>
      <w:r>
        <w:rPr>
          <w:rFonts w:hint="eastAsia"/>
          <w:highlight w:val="none"/>
          <w:lang w:eastAsia="zh-CN"/>
        </w:rPr>
        <w:t>，</w:t>
      </w:r>
      <w:r>
        <w:rPr>
          <w:rFonts w:hint="default"/>
          <w:highlight w:val="none"/>
        </w:rPr>
        <w:t>1-三氯乙烷、1</w:t>
      </w:r>
      <w:r>
        <w:rPr>
          <w:rFonts w:hint="eastAsia"/>
          <w:highlight w:val="none"/>
          <w:lang w:eastAsia="zh-CN"/>
        </w:rPr>
        <w:t>，</w:t>
      </w:r>
      <w:r>
        <w:rPr>
          <w:rFonts w:hint="default"/>
          <w:highlight w:val="none"/>
        </w:rPr>
        <w:t>1</w:t>
      </w:r>
      <w:r>
        <w:rPr>
          <w:rFonts w:hint="eastAsia"/>
          <w:highlight w:val="none"/>
          <w:lang w:eastAsia="zh-CN"/>
        </w:rPr>
        <w:t>，</w:t>
      </w:r>
      <w:r>
        <w:rPr>
          <w:rFonts w:hint="default"/>
          <w:highlight w:val="none"/>
        </w:rPr>
        <w:t>2-三氯乙烷、三氨乙烯、1.2</w:t>
      </w:r>
      <w:r>
        <w:rPr>
          <w:rFonts w:hint="eastAsia"/>
          <w:highlight w:val="none"/>
          <w:lang w:eastAsia="zh-CN"/>
        </w:rPr>
        <w:t>，</w:t>
      </w:r>
      <w:r>
        <w:rPr>
          <w:rFonts w:hint="default"/>
          <w:highlight w:val="none"/>
        </w:rPr>
        <w:t>3-三氨丙烷、氯乙烯、苯、氨苯、1</w:t>
      </w:r>
      <w:r>
        <w:rPr>
          <w:rFonts w:hint="eastAsia"/>
          <w:highlight w:val="none"/>
          <w:lang w:eastAsia="zh-CN"/>
        </w:rPr>
        <w:t>，</w:t>
      </w:r>
      <w:r>
        <w:rPr>
          <w:rFonts w:hint="default"/>
          <w:highlight w:val="none"/>
        </w:rPr>
        <w:t>2-二氯苯、1</w:t>
      </w:r>
      <w:r>
        <w:rPr>
          <w:rFonts w:hint="eastAsia"/>
          <w:highlight w:val="none"/>
          <w:lang w:eastAsia="zh-CN"/>
        </w:rPr>
        <w:t>，</w:t>
      </w:r>
      <w:r>
        <w:rPr>
          <w:rFonts w:hint="default"/>
          <w:highlight w:val="none"/>
        </w:rPr>
        <w:t>4-二氨苯、乙苯、苯乙烯、甲苯、间二甲苯+对二甲苯、邻二甲苯、硝基苯、苯胺、2-氯酚、苯并[a]蔥、苯并[a]芘、苯并[a]荧蔥、苯并[k]荧蔥、蔗、二苯并[a、h]蔥、茚并[1</w:t>
      </w:r>
      <w:r>
        <w:rPr>
          <w:rFonts w:hint="eastAsia"/>
          <w:highlight w:val="none"/>
          <w:lang w:eastAsia="zh-CN"/>
        </w:rPr>
        <w:t>，</w:t>
      </w:r>
      <w:r>
        <w:rPr>
          <w:rFonts w:hint="default"/>
          <w:highlight w:val="none"/>
        </w:rPr>
        <w:t>2</w:t>
      </w:r>
      <w:r>
        <w:rPr>
          <w:rFonts w:hint="eastAsia"/>
          <w:highlight w:val="none"/>
          <w:lang w:eastAsia="zh-CN"/>
        </w:rPr>
        <w:t>，</w:t>
      </w:r>
      <w:r>
        <w:rPr>
          <w:rFonts w:hint="default"/>
          <w:highlight w:val="none"/>
        </w:rPr>
        <w:t>3-cd]芘、萘</w:t>
      </w:r>
      <w:r>
        <w:rPr>
          <w:rFonts w:hint="eastAsia"/>
          <w:highlight w:val="none"/>
          <w:lang w:eastAsia="zh-CN"/>
        </w:rPr>
        <w:t>、</w:t>
      </w:r>
      <w:r>
        <w:rPr>
          <w:rFonts w:hint="eastAsia"/>
          <w:highlight w:val="none"/>
          <w:lang w:val="en-US" w:eastAsia="zh-CN"/>
        </w:rPr>
        <w:t>石油烃</w:t>
      </w:r>
      <w:r>
        <w:rPr>
          <w:rFonts w:hint="default"/>
          <w:highlight w:val="none"/>
        </w:rPr>
        <w:t>。</w:t>
      </w:r>
    </w:p>
    <w:p w14:paraId="35177122">
      <w:pPr>
        <w:bidi w:val="0"/>
        <w:rPr>
          <w:rFonts w:hint="default"/>
          <w:highlight w:val="none"/>
        </w:rPr>
      </w:pPr>
      <w:r>
        <w:rPr>
          <w:rFonts w:hint="eastAsia"/>
          <w:highlight w:val="none"/>
          <w:lang w:val="en-US" w:eastAsia="zh-CN"/>
        </w:rPr>
        <w:t>4、</w:t>
      </w:r>
      <w:r>
        <w:rPr>
          <w:rFonts w:hint="default"/>
          <w:highlight w:val="none"/>
        </w:rPr>
        <w:t>监测时间及频率</w:t>
      </w:r>
    </w:p>
    <w:p w14:paraId="2959B6D7">
      <w:pPr>
        <w:pStyle w:val="7"/>
        <w:bidi w:val="0"/>
        <w:rPr>
          <w:rFonts w:hint="default"/>
          <w:highlight w:val="none"/>
        </w:rPr>
      </w:pPr>
      <w:r>
        <w:rPr>
          <w:rFonts w:hint="default"/>
          <w:highlight w:val="none"/>
        </w:rPr>
        <w:t>表4-2-1</w:t>
      </w:r>
      <w:r>
        <w:rPr>
          <w:rFonts w:hint="eastAsia"/>
          <w:highlight w:val="none"/>
          <w:lang w:val="en-US" w:eastAsia="zh-CN"/>
        </w:rPr>
        <w:t>7</w:t>
      </w:r>
      <w:r>
        <w:rPr>
          <w:rFonts w:hint="default"/>
          <w:highlight w:val="none"/>
        </w:rPr>
        <w:t>土壤监测时间及频率</w:t>
      </w:r>
    </w:p>
    <w:tbl>
      <w:tblPr>
        <w:tblStyle w:val="45"/>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679"/>
        <w:gridCol w:w="2731"/>
        <w:gridCol w:w="3112"/>
      </w:tblGrid>
      <w:tr w14:paraId="7340D72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1" w:hRule="atLeast"/>
          <w:jc w:val="center"/>
        </w:trPr>
        <w:tc>
          <w:tcPr>
            <w:tcW w:w="2679" w:type="dxa"/>
            <w:vAlign w:val="center"/>
          </w:tcPr>
          <w:p w14:paraId="5E522A73">
            <w:pPr>
              <w:pStyle w:val="8"/>
              <w:suppressLineNumbers w:val="0"/>
              <w:bidi w:val="0"/>
              <w:spacing w:before="0" w:beforeAutospacing="0" w:after="0" w:afterAutospacing="0"/>
              <w:ind w:left="0" w:right="0"/>
              <w:rPr>
                <w:rFonts w:hint="default"/>
                <w:highlight w:val="none"/>
              </w:rPr>
            </w:pPr>
            <w:r>
              <w:rPr>
                <w:rFonts w:hint="default"/>
                <w:highlight w:val="none"/>
              </w:rPr>
              <w:t>监测点位</w:t>
            </w:r>
          </w:p>
        </w:tc>
        <w:tc>
          <w:tcPr>
            <w:tcW w:w="2731" w:type="dxa"/>
            <w:tcBorders>
              <w:right w:val="single" w:color="000000" w:sz="2" w:space="0"/>
            </w:tcBorders>
            <w:vAlign w:val="center"/>
          </w:tcPr>
          <w:p w14:paraId="4AB0FA33">
            <w:pPr>
              <w:pStyle w:val="8"/>
              <w:suppressLineNumbers w:val="0"/>
              <w:bidi w:val="0"/>
              <w:spacing w:before="0" w:beforeAutospacing="0" w:after="0" w:afterAutospacing="0"/>
              <w:ind w:left="0" w:right="0"/>
              <w:rPr>
                <w:rFonts w:hint="default"/>
                <w:highlight w:val="none"/>
              </w:rPr>
            </w:pPr>
            <w:r>
              <w:rPr>
                <w:rFonts w:hint="default"/>
                <w:highlight w:val="none"/>
              </w:rPr>
              <w:t>采样时间</w:t>
            </w:r>
          </w:p>
        </w:tc>
        <w:tc>
          <w:tcPr>
            <w:tcW w:w="3112" w:type="dxa"/>
            <w:tcBorders>
              <w:left w:val="single" w:color="000000" w:sz="2" w:space="0"/>
            </w:tcBorders>
            <w:vAlign w:val="center"/>
          </w:tcPr>
          <w:p w14:paraId="665B22C1">
            <w:pPr>
              <w:pStyle w:val="8"/>
              <w:suppressLineNumbers w:val="0"/>
              <w:bidi w:val="0"/>
              <w:spacing w:before="0" w:beforeAutospacing="0" w:after="0" w:afterAutospacing="0"/>
              <w:ind w:left="0" w:right="0"/>
              <w:rPr>
                <w:rFonts w:hint="default"/>
                <w:highlight w:val="none"/>
              </w:rPr>
            </w:pPr>
            <w:r>
              <w:rPr>
                <w:rFonts w:hint="default"/>
                <w:highlight w:val="none"/>
              </w:rPr>
              <w:t>采样频次</w:t>
            </w:r>
          </w:p>
        </w:tc>
      </w:tr>
      <w:tr w14:paraId="2E08058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67" w:hRule="atLeast"/>
          <w:jc w:val="center"/>
        </w:trPr>
        <w:tc>
          <w:tcPr>
            <w:tcW w:w="2679" w:type="dxa"/>
            <w:vAlign w:val="center"/>
          </w:tcPr>
          <w:p w14:paraId="59523390">
            <w:pPr>
              <w:pStyle w:val="8"/>
              <w:suppressLineNumbers w:val="0"/>
              <w:bidi w:val="0"/>
              <w:spacing w:before="0" w:beforeAutospacing="0" w:after="0" w:afterAutospacing="0"/>
              <w:ind w:left="0" w:right="0"/>
              <w:jc w:val="center"/>
              <w:rPr>
                <w:rFonts w:hint="default" w:eastAsia="宋体"/>
                <w:highlight w:val="none"/>
                <w:lang w:val="en-US" w:eastAsia="zh-CN"/>
              </w:rPr>
            </w:pPr>
            <w:r>
              <w:rPr>
                <w:rFonts w:hint="eastAsia"/>
                <w:highlight w:val="none"/>
                <w:lang w:val="en-US" w:eastAsia="zh-CN"/>
              </w:rPr>
              <w:t>TR1~TR11</w:t>
            </w:r>
          </w:p>
        </w:tc>
        <w:tc>
          <w:tcPr>
            <w:tcW w:w="2731" w:type="dxa"/>
            <w:tcBorders>
              <w:right w:val="single" w:color="000000" w:sz="2" w:space="0"/>
            </w:tcBorders>
            <w:vAlign w:val="center"/>
          </w:tcPr>
          <w:p w14:paraId="2663D428">
            <w:pPr>
              <w:pStyle w:val="8"/>
              <w:suppressLineNumbers w:val="0"/>
              <w:bidi w:val="0"/>
              <w:spacing w:before="0" w:beforeAutospacing="0" w:after="0" w:afterAutospacing="0"/>
              <w:ind w:left="0" w:right="0"/>
              <w:rPr>
                <w:rFonts w:hint="default"/>
                <w:highlight w:val="none"/>
              </w:rPr>
            </w:pPr>
            <w:r>
              <w:rPr>
                <w:rFonts w:hint="default"/>
                <w:highlight w:val="none"/>
                <w:lang w:val="zh-CN"/>
              </w:rPr>
              <w:t>采样时间</w:t>
            </w:r>
            <w:r>
              <w:rPr>
                <w:rFonts w:hint="default"/>
                <w:highlight w:val="none"/>
              </w:rPr>
              <w:t>为202</w:t>
            </w:r>
            <w:r>
              <w:rPr>
                <w:rFonts w:hint="eastAsia"/>
                <w:highlight w:val="none"/>
                <w:lang w:val="en-US" w:eastAsia="zh-CN"/>
              </w:rPr>
              <w:t>5</w:t>
            </w:r>
            <w:r>
              <w:rPr>
                <w:rFonts w:hint="default"/>
                <w:highlight w:val="none"/>
              </w:rPr>
              <w:t>年</w:t>
            </w:r>
            <w:r>
              <w:rPr>
                <w:rFonts w:hint="eastAsia"/>
                <w:highlight w:val="none"/>
                <w:lang w:val="en-US" w:eastAsia="zh-CN"/>
              </w:rPr>
              <w:t>09</w:t>
            </w:r>
            <w:r>
              <w:rPr>
                <w:rFonts w:hint="default"/>
                <w:highlight w:val="none"/>
              </w:rPr>
              <w:t>月</w:t>
            </w:r>
            <w:r>
              <w:rPr>
                <w:rFonts w:hint="eastAsia"/>
                <w:highlight w:val="none"/>
                <w:lang w:val="en-US" w:eastAsia="zh-CN"/>
              </w:rPr>
              <w:t>19</w:t>
            </w:r>
            <w:r>
              <w:rPr>
                <w:rFonts w:hint="default"/>
                <w:highlight w:val="none"/>
              </w:rPr>
              <w:t>日</w:t>
            </w:r>
          </w:p>
        </w:tc>
        <w:tc>
          <w:tcPr>
            <w:tcW w:w="3112" w:type="dxa"/>
            <w:tcBorders>
              <w:left w:val="single" w:color="000000" w:sz="2" w:space="0"/>
            </w:tcBorders>
            <w:vAlign w:val="center"/>
          </w:tcPr>
          <w:p w14:paraId="0449F2D2">
            <w:pPr>
              <w:pStyle w:val="8"/>
              <w:suppressLineNumbers w:val="0"/>
              <w:bidi w:val="0"/>
              <w:spacing w:before="0" w:beforeAutospacing="0" w:after="0" w:afterAutospacing="0"/>
              <w:ind w:left="0" w:right="0"/>
              <w:rPr>
                <w:rFonts w:hint="default"/>
                <w:highlight w:val="none"/>
              </w:rPr>
            </w:pPr>
            <w:r>
              <w:rPr>
                <w:rFonts w:hint="default"/>
                <w:highlight w:val="none"/>
                <w:lang w:val="zh-CN"/>
              </w:rPr>
              <w:t>每个监测点采样一天，一天1次</w:t>
            </w:r>
          </w:p>
        </w:tc>
      </w:tr>
    </w:tbl>
    <w:p w14:paraId="4A086AA2">
      <w:pPr>
        <w:bidi w:val="0"/>
        <w:rPr>
          <w:rFonts w:hint="default"/>
          <w:highlight w:val="none"/>
        </w:rPr>
      </w:pPr>
      <w:r>
        <w:rPr>
          <w:rFonts w:hint="default"/>
          <w:highlight w:val="none"/>
        </w:rPr>
        <w:t>5、监测及分析方法</w:t>
      </w:r>
    </w:p>
    <w:p w14:paraId="44FFA0B0">
      <w:pPr>
        <w:bidi w:val="0"/>
        <w:rPr>
          <w:rFonts w:hint="default"/>
          <w:highlight w:val="none"/>
        </w:rPr>
      </w:pPr>
      <w:r>
        <w:rPr>
          <w:rFonts w:hint="default"/>
          <w:highlight w:val="none"/>
        </w:rPr>
        <w:t>监测采样及分析方法按《土壤环境监测技术规范》（HJ/T166-2004）进行。</w:t>
      </w:r>
    </w:p>
    <w:p w14:paraId="2129F790">
      <w:pPr>
        <w:bidi w:val="0"/>
        <w:rPr>
          <w:rFonts w:hint="default"/>
          <w:highlight w:val="none"/>
        </w:rPr>
      </w:pPr>
      <w:r>
        <w:rPr>
          <w:rFonts w:hint="default"/>
          <w:highlight w:val="none"/>
        </w:rPr>
        <w:t>6、监测结果统计</w:t>
      </w:r>
    </w:p>
    <w:p w14:paraId="1B71250E">
      <w:pPr>
        <w:spacing w:line="360" w:lineRule="auto"/>
        <w:ind w:firstLine="480" w:firstLineChars="200"/>
        <w:rPr>
          <w:rFonts w:hint="default" w:ascii="Times New Roman" w:hAnsi="Times New Roman" w:cs="Times New Roman"/>
          <w:snapToGrid w:val="0"/>
          <w:spacing w:val="0"/>
          <w:kern w:val="24"/>
          <w:position w:val="0"/>
          <w:sz w:val="24"/>
          <w:highlight w:val="none"/>
          <w:lang w:bidi="ar"/>
        </w:rPr>
      </w:pPr>
      <w:r>
        <w:rPr>
          <w:rFonts w:hint="default" w:ascii="Times New Roman" w:hAnsi="Times New Roman" w:cs="Times New Roman"/>
          <w:snapToGrid w:val="0"/>
          <w:spacing w:val="0"/>
          <w:kern w:val="24"/>
          <w:position w:val="0"/>
          <w:sz w:val="24"/>
          <w:highlight w:val="none"/>
          <w:lang w:bidi="ar"/>
        </w:rPr>
        <w:t>具体监测结果见</w:t>
      </w:r>
      <w:r>
        <w:rPr>
          <w:rFonts w:hint="eastAsia" w:cs="Times New Roman"/>
          <w:snapToGrid w:val="0"/>
          <w:spacing w:val="0"/>
          <w:kern w:val="24"/>
          <w:position w:val="0"/>
          <w:sz w:val="24"/>
          <w:highlight w:val="none"/>
          <w:lang w:val="en-US" w:eastAsia="zh-CN" w:bidi="ar"/>
        </w:rPr>
        <w:t>下</w:t>
      </w:r>
      <w:r>
        <w:rPr>
          <w:rFonts w:hint="default" w:ascii="Times New Roman" w:hAnsi="Times New Roman" w:cs="Times New Roman"/>
          <w:snapToGrid w:val="0"/>
          <w:spacing w:val="0"/>
          <w:kern w:val="24"/>
          <w:position w:val="0"/>
          <w:sz w:val="24"/>
          <w:highlight w:val="none"/>
          <w:lang w:bidi="ar"/>
        </w:rPr>
        <w:t>表。</w:t>
      </w:r>
      <w:bookmarkEnd w:id="354"/>
    </w:p>
    <w:p w14:paraId="34FEDDA8">
      <w:pPr>
        <w:spacing w:line="360" w:lineRule="auto"/>
        <w:jc w:val="center"/>
        <w:rPr>
          <w:rFonts w:hint="default" w:ascii="Times New Roman" w:hAnsi="Times New Roman" w:cs="Times New Roman"/>
          <w:b/>
          <w:bCs/>
          <w:spacing w:val="0"/>
          <w:position w:val="0"/>
          <w:sz w:val="24"/>
          <w:highlight w:val="none"/>
        </w:rPr>
      </w:pPr>
      <w:r>
        <w:rPr>
          <w:rFonts w:hint="default" w:ascii="Times New Roman" w:hAnsi="Times New Roman" w:cs="Times New Roman"/>
          <w:b/>
          <w:spacing w:val="0"/>
          <w:position w:val="0"/>
          <w:sz w:val="24"/>
          <w:highlight w:val="none"/>
          <w:lang w:bidi="ar"/>
        </w:rPr>
        <w:t>表4-2-1</w:t>
      </w:r>
      <w:r>
        <w:rPr>
          <w:rFonts w:hint="eastAsia" w:cs="Times New Roman"/>
          <w:b/>
          <w:spacing w:val="0"/>
          <w:position w:val="0"/>
          <w:sz w:val="24"/>
          <w:highlight w:val="none"/>
          <w:lang w:val="en-US" w:eastAsia="zh-CN" w:bidi="ar"/>
        </w:rPr>
        <w:t>8</w:t>
      </w:r>
      <w:r>
        <w:rPr>
          <w:rFonts w:hint="default" w:ascii="Times New Roman" w:hAnsi="Times New Roman" w:cs="Times New Roman"/>
          <w:b/>
          <w:bCs/>
          <w:spacing w:val="0"/>
          <w:position w:val="0"/>
          <w:sz w:val="24"/>
          <w:highlight w:val="none"/>
          <w:lang w:bidi="ar"/>
        </w:rPr>
        <w:t>土壤检测结果表</w:t>
      </w:r>
    </w:p>
    <w:tbl>
      <w:tblPr>
        <w:tblStyle w:val="45"/>
        <w:tblW w:w="8358"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803"/>
        <w:gridCol w:w="1967"/>
        <w:gridCol w:w="2490"/>
        <w:gridCol w:w="2098"/>
      </w:tblGrid>
      <w:tr w14:paraId="4DEC40C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6" w:hRule="atLeast"/>
          <w:jc w:val="center"/>
        </w:trPr>
        <w:tc>
          <w:tcPr>
            <w:tcW w:w="1803" w:type="dxa"/>
            <w:vMerge w:val="restart"/>
            <w:tcBorders>
              <w:top w:val="single" w:color="000000" w:sz="12" w:space="0"/>
              <w:right w:val="single" w:color="000000" w:sz="4" w:space="0"/>
            </w:tcBorders>
            <w:noWrap w:val="0"/>
            <w:vAlign w:val="center"/>
          </w:tcPr>
          <w:p w14:paraId="39C19DA2">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Calibri" w:eastAsia="宋体" w:cs="Times New Roman"/>
                <w:b/>
                <w:sz w:val="21"/>
                <w:szCs w:val="21"/>
                <w:highlight w:val="none"/>
              </w:rPr>
            </w:pPr>
            <w:r>
              <w:rPr>
                <w:rFonts w:hint="default" w:ascii="Times New Roman" w:hAnsi="Calibri" w:eastAsia="宋体" w:cs="Times New Roman"/>
                <w:b/>
                <w:sz w:val="21"/>
                <w:szCs w:val="21"/>
                <w:highlight w:val="none"/>
              </w:rPr>
              <w:t>检测项目</w:t>
            </w:r>
          </w:p>
        </w:tc>
        <w:tc>
          <w:tcPr>
            <w:tcW w:w="1967" w:type="dxa"/>
            <w:tcBorders>
              <w:top w:val="single" w:color="000000" w:sz="12" w:space="0"/>
              <w:left w:val="single" w:color="000000" w:sz="4" w:space="0"/>
              <w:bottom w:val="single" w:color="000000" w:sz="4" w:space="0"/>
              <w:right w:val="single" w:color="000000" w:sz="4" w:space="0"/>
            </w:tcBorders>
            <w:noWrap w:val="0"/>
            <w:vAlign w:val="center"/>
          </w:tcPr>
          <w:p w14:paraId="46B21604">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eastAsia" w:ascii="Times New Roman" w:hAnsi="Times New Roman" w:eastAsia="宋体" w:cs="Times New Roman"/>
                <w:b/>
                <w:bCs/>
                <w:color w:val="000000"/>
                <w:sz w:val="21"/>
                <w:szCs w:val="21"/>
                <w:highlight w:val="none"/>
              </w:rPr>
              <w:t>采样时间</w:t>
            </w:r>
          </w:p>
        </w:tc>
        <w:tc>
          <w:tcPr>
            <w:tcW w:w="2490" w:type="dxa"/>
            <w:tcBorders>
              <w:top w:val="single" w:color="000000" w:sz="12" w:space="0"/>
              <w:left w:val="single" w:color="000000" w:sz="4" w:space="0"/>
              <w:bottom w:val="single" w:color="000000" w:sz="4" w:space="0"/>
              <w:right w:val="single" w:color="000000" w:sz="4" w:space="0"/>
            </w:tcBorders>
            <w:noWrap w:val="0"/>
            <w:vAlign w:val="center"/>
          </w:tcPr>
          <w:p w14:paraId="510B6A6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202</w:t>
            </w:r>
            <w:r>
              <w:rPr>
                <w:rFonts w:hint="eastAsia" w:ascii="Times New Roman" w:hAnsi="Times New Roman" w:eastAsia="宋体" w:cs="Times New Roman"/>
                <w:sz w:val="21"/>
                <w:szCs w:val="21"/>
                <w:highlight w:val="none"/>
              </w:rPr>
              <w:t>5.09.19</w:t>
            </w:r>
          </w:p>
        </w:tc>
        <w:tc>
          <w:tcPr>
            <w:tcW w:w="2098" w:type="dxa"/>
            <w:vMerge w:val="restart"/>
            <w:tcBorders>
              <w:top w:val="single" w:color="000000" w:sz="12" w:space="0"/>
              <w:left w:val="single" w:color="000000" w:sz="4" w:space="0"/>
            </w:tcBorders>
            <w:noWrap w:val="0"/>
            <w:vAlign w:val="center"/>
          </w:tcPr>
          <w:p w14:paraId="2F8AC49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标准限值</w:t>
            </w:r>
          </w:p>
          <w:p w14:paraId="69C928C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
                <w:bCs/>
                <w:sz w:val="21"/>
                <w:szCs w:val="21"/>
                <w:highlight w:val="none"/>
              </w:rPr>
            </w:pPr>
            <w:r>
              <w:rPr>
                <w:rFonts w:hint="default" w:ascii="Times New Roman" w:hAnsi="Times New Roman" w:eastAsia="宋体" w:cs="Times New Roman"/>
                <w:b/>
                <w:spacing w:val="-4"/>
                <w:sz w:val="21"/>
                <w:szCs w:val="21"/>
                <w:highlight w:val="none"/>
              </w:rPr>
              <w:t>mg/kg</w:t>
            </w:r>
          </w:p>
        </w:tc>
      </w:tr>
      <w:tr w14:paraId="566F246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6" w:hRule="atLeast"/>
          <w:jc w:val="center"/>
        </w:trPr>
        <w:tc>
          <w:tcPr>
            <w:tcW w:w="1803" w:type="dxa"/>
            <w:vMerge w:val="continue"/>
            <w:tcBorders>
              <w:right w:val="single" w:color="000000" w:sz="4" w:space="0"/>
            </w:tcBorders>
            <w:noWrap w:val="0"/>
            <w:vAlign w:val="center"/>
          </w:tcPr>
          <w:p w14:paraId="6C9136B9">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Calibri" w:eastAsia="宋体" w:cs="Times New Roman"/>
                <w:b/>
                <w:sz w:val="21"/>
                <w:szCs w:val="21"/>
                <w:highlight w:val="none"/>
              </w:rPr>
            </w:pP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23F48541">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bCs/>
                <w:color w:val="000000"/>
                <w:sz w:val="21"/>
                <w:szCs w:val="21"/>
                <w:highlight w:val="none"/>
              </w:rPr>
              <w:t>采样点位</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7121B23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Perpetua" w:eastAsia="宋体" w:cs="Times New Roman"/>
                <w:sz w:val="21"/>
                <w:szCs w:val="21"/>
                <w:highlight w:val="none"/>
              </w:rPr>
              <w:t>占地范围外</w:t>
            </w:r>
            <w:r>
              <w:rPr>
                <w:rFonts w:hint="default" w:ascii="宋体" w:hAnsi="宋体" w:eastAsia="宋体" w:cs="Times New Roman"/>
                <w:color w:val="000000"/>
                <w:sz w:val="21"/>
                <w:szCs w:val="24"/>
                <w:highlight w:val="none"/>
              </w:rPr>
              <w:t>■</w:t>
            </w:r>
            <w:r>
              <w:rPr>
                <w:rFonts w:hint="eastAsia" w:ascii="Times New Roman" w:hAnsi="Times New Roman" w:eastAsia="宋体" w:cs="Times New Roman"/>
                <w:color w:val="000000"/>
                <w:sz w:val="21"/>
                <w:szCs w:val="24"/>
                <w:highlight w:val="none"/>
              </w:rPr>
              <w:t>1</w:t>
            </w:r>
          </w:p>
        </w:tc>
        <w:tc>
          <w:tcPr>
            <w:tcW w:w="2098" w:type="dxa"/>
            <w:vMerge w:val="continue"/>
            <w:tcBorders>
              <w:left w:val="single" w:color="000000" w:sz="4" w:space="0"/>
            </w:tcBorders>
            <w:noWrap w:val="0"/>
            <w:vAlign w:val="center"/>
          </w:tcPr>
          <w:p w14:paraId="6A49BB6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p>
        </w:tc>
      </w:tr>
      <w:tr w14:paraId="0E9662C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4" w:hRule="atLeast"/>
          <w:jc w:val="center"/>
        </w:trPr>
        <w:tc>
          <w:tcPr>
            <w:tcW w:w="1803" w:type="dxa"/>
            <w:vMerge w:val="continue"/>
            <w:tcBorders>
              <w:right w:val="single" w:color="000000" w:sz="4" w:space="0"/>
            </w:tcBorders>
            <w:noWrap w:val="0"/>
            <w:vAlign w:val="center"/>
          </w:tcPr>
          <w:p w14:paraId="5BE69282">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Calibri" w:eastAsia="宋体" w:cs="Times New Roman"/>
                <w:b/>
                <w:sz w:val="21"/>
                <w:szCs w:val="21"/>
                <w:highlight w:val="none"/>
              </w:rPr>
            </w:pP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20AA8114">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eastAsia" w:ascii="Times New Roman" w:hAnsi="宋体" w:eastAsia="宋体" w:cs="Times New Roman"/>
                <w:b/>
                <w:bCs/>
                <w:sz w:val="21"/>
                <w:szCs w:val="21"/>
                <w:highlight w:val="none"/>
              </w:rPr>
              <w:t>样品性状</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60116C7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棕色、壤土</w:t>
            </w:r>
          </w:p>
        </w:tc>
        <w:tc>
          <w:tcPr>
            <w:tcW w:w="2098" w:type="dxa"/>
            <w:vMerge w:val="continue"/>
            <w:tcBorders>
              <w:left w:val="single" w:color="000000" w:sz="4" w:space="0"/>
            </w:tcBorders>
            <w:noWrap w:val="0"/>
            <w:vAlign w:val="center"/>
          </w:tcPr>
          <w:p w14:paraId="00ADF12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p>
        </w:tc>
      </w:tr>
      <w:tr w14:paraId="4A4F227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4" w:hRule="atLeast"/>
          <w:jc w:val="center"/>
        </w:trPr>
        <w:tc>
          <w:tcPr>
            <w:tcW w:w="1803" w:type="dxa"/>
            <w:vMerge w:val="continue"/>
            <w:tcBorders>
              <w:bottom w:val="single" w:color="000000" w:sz="4" w:space="0"/>
              <w:right w:val="single" w:color="000000" w:sz="4" w:space="0"/>
            </w:tcBorders>
            <w:noWrap w:val="0"/>
            <w:vAlign w:val="center"/>
          </w:tcPr>
          <w:p w14:paraId="5DF1609C">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Calibri" w:eastAsia="宋体" w:cs="Times New Roman"/>
                <w:b/>
                <w:sz w:val="21"/>
                <w:szCs w:val="21"/>
                <w:highlight w:val="none"/>
              </w:rPr>
            </w:pP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75CA5476">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bCs/>
                <w:color w:val="000000"/>
                <w:sz w:val="21"/>
                <w:szCs w:val="21"/>
                <w:highlight w:val="none"/>
              </w:rPr>
              <w:t>样品编号</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1D04EBE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G250919010101</w:t>
            </w:r>
          </w:p>
        </w:tc>
        <w:tc>
          <w:tcPr>
            <w:tcW w:w="2098" w:type="dxa"/>
            <w:vMerge w:val="continue"/>
            <w:tcBorders>
              <w:left w:val="single" w:color="000000" w:sz="4" w:space="0"/>
              <w:bottom w:val="single" w:color="000000" w:sz="4" w:space="0"/>
            </w:tcBorders>
            <w:noWrap w:val="0"/>
            <w:vAlign w:val="center"/>
          </w:tcPr>
          <w:p w14:paraId="2FCFD73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p>
        </w:tc>
      </w:tr>
      <w:tr w14:paraId="35D93E1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4" w:hRule="atLeast"/>
          <w:jc w:val="center"/>
        </w:trPr>
        <w:tc>
          <w:tcPr>
            <w:tcW w:w="1803" w:type="dxa"/>
            <w:tcBorders>
              <w:top w:val="single" w:color="000000" w:sz="4" w:space="0"/>
              <w:bottom w:val="single" w:color="000000" w:sz="4" w:space="0"/>
              <w:right w:val="single" w:color="000000" w:sz="4" w:space="0"/>
            </w:tcBorders>
            <w:noWrap w:val="0"/>
            <w:vAlign w:val="center"/>
          </w:tcPr>
          <w:p w14:paraId="139A4E9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pH</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6F3926E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无量纲</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29F64D6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6.95</w:t>
            </w:r>
          </w:p>
        </w:tc>
        <w:tc>
          <w:tcPr>
            <w:tcW w:w="2098" w:type="dxa"/>
            <w:tcBorders>
              <w:top w:val="single" w:color="000000" w:sz="4" w:space="0"/>
              <w:left w:val="single" w:color="000000" w:sz="4" w:space="0"/>
              <w:bottom w:val="single" w:color="000000" w:sz="4" w:space="0"/>
            </w:tcBorders>
            <w:noWrap w:val="0"/>
            <w:vAlign w:val="center"/>
          </w:tcPr>
          <w:p w14:paraId="6B6AB44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w:t>
            </w:r>
          </w:p>
        </w:tc>
      </w:tr>
      <w:tr w14:paraId="4432354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4" w:hRule="atLeast"/>
          <w:jc w:val="center"/>
        </w:trPr>
        <w:tc>
          <w:tcPr>
            <w:tcW w:w="1803" w:type="dxa"/>
            <w:tcBorders>
              <w:top w:val="single" w:color="000000" w:sz="4" w:space="0"/>
              <w:bottom w:val="single" w:color="000000" w:sz="4" w:space="0"/>
              <w:right w:val="single" w:color="000000" w:sz="4" w:space="0"/>
            </w:tcBorders>
            <w:noWrap w:val="0"/>
            <w:vAlign w:val="center"/>
          </w:tcPr>
          <w:p w14:paraId="7A7DBF2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砷</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11F09186">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spacing w:val="-4"/>
                <w:sz w:val="21"/>
                <w:szCs w:val="21"/>
                <w:highlight w:val="none"/>
              </w:rPr>
              <w:t>mg/kg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28E353F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6.03</w:t>
            </w:r>
          </w:p>
        </w:tc>
        <w:tc>
          <w:tcPr>
            <w:tcW w:w="2098" w:type="dxa"/>
            <w:tcBorders>
              <w:top w:val="single" w:color="000000" w:sz="4" w:space="0"/>
              <w:left w:val="single" w:color="000000" w:sz="4" w:space="0"/>
              <w:bottom w:val="single" w:color="000000" w:sz="4" w:space="0"/>
            </w:tcBorders>
            <w:noWrap w:val="0"/>
            <w:vAlign w:val="center"/>
          </w:tcPr>
          <w:p w14:paraId="23F6106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60</w:t>
            </w:r>
          </w:p>
        </w:tc>
      </w:tr>
      <w:tr w14:paraId="2086F37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4" w:hRule="atLeast"/>
          <w:jc w:val="center"/>
        </w:trPr>
        <w:tc>
          <w:tcPr>
            <w:tcW w:w="1803" w:type="dxa"/>
            <w:tcBorders>
              <w:top w:val="single" w:color="000000" w:sz="4" w:space="0"/>
              <w:bottom w:val="single" w:color="000000" w:sz="4" w:space="0"/>
              <w:right w:val="single" w:color="000000" w:sz="4" w:space="0"/>
            </w:tcBorders>
            <w:noWrap w:val="0"/>
            <w:vAlign w:val="center"/>
          </w:tcPr>
          <w:p w14:paraId="79FD415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镉</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2E48D07E">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spacing w:val="-4"/>
                <w:sz w:val="21"/>
                <w:szCs w:val="21"/>
                <w:highlight w:val="none"/>
              </w:rPr>
              <w:t>mg/kg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18A1379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0.15</w:t>
            </w:r>
          </w:p>
        </w:tc>
        <w:tc>
          <w:tcPr>
            <w:tcW w:w="2098" w:type="dxa"/>
            <w:tcBorders>
              <w:top w:val="single" w:color="000000" w:sz="4" w:space="0"/>
              <w:left w:val="single" w:color="000000" w:sz="4" w:space="0"/>
              <w:bottom w:val="single" w:color="000000" w:sz="4" w:space="0"/>
            </w:tcBorders>
            <w:noWrap w:val="0"/>
            <w:vAlign w:val="center"/>
          </w:tcPr>
          <w:p w14:paraId="71427EC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65</w:t>
            </w:r>
          </w:p>
        </w:tc>
      </w:tr>
      <w:tr w14:paraId="73F5C7A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4" w:hRule="atLeast"/>
          <w:jc w:val="center"/>
        </w:trPr>
        <w:tc>
          <w:tcPr>
            <w:tcW w:w="1803" w:type="dxa"/>
            <w:tcBorders>
              <w:top w:val="single" w:color="000000" w:sz="4" w:space="0"/>
              <w:bottom w:val="single" w:color="000000" w:sz="4" w:space="0"/>
              <w:right w:val="single" w:color="000000" w:sz="4" w:space="0"/>
            </w:tcBorders>
            <w:noWrap w:val="0"/>
            <w:vAlign w:val="center"/>
          </w:tcPr>
          <w:p w14:paraId="269BE92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六价铬</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0144DFD4">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spacing w:val="-4"/>
                <w:sz w:val="21"/>
                <w:szCs w:val="21"/>
                <w:highlight w:val="none"/>
              </w:rPr>
              <w:t>mg/kg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78751F0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0.5L</w:t>
            </w:r>
          </w:p>
        </w:tc>
        <w:tc>
          <w:tcPr>
            <w:tcW w:w="2098" w:type="dxa"/>
            <w:tcBorders>
              <w:top w:val="single" w:color="000000" w:sz="4" w:space="0"/>
              <w:left w:val="single" w:color="000000" w:sz="4" w:space="0"/>
              <w:bottom w:val="single" w:color="000000" w:sz="4" w:space="0"/>
            </w:tcBorders>
            <w:noWrap w:val="0"/>
            <w:vAlign w:val="center"/>
          </w:tcPr>
          <w:p w14:paraId="437E017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5.7</w:t>
            </w:r>
          </w:p>
        </w:tc>
      </w:tr>
      <w:tr w14:paraId="1DA086D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4" w:hRule="atLeast"/>
          <w:jc w:val="center"/>
        </w:trPr>
        <w:tc>
          <w:tcPr>
            <w:tcW w:w="1803" w:type="dxa"/>
            <w:tcBorders>
              <w:top w:val="single" w:color="000000" w:sz="4" w:space="0"/>
              <w:bottom w:val="single" w:color="000000" w:sz="4" w:space="0"/>
              <w:right w:val="single" w:color="000000" w:sz="4" w:space="0"/>
            </w:tcBorders>
            <w:noWrap w:val="0"/>
            <w:vAlign w:val="center"/>
          </w:tcPr>
          <w:p w14:paraId="30F5E5D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铜</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23F2F2F4">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spacing w:val="-4"/>
                <w:sz w:val="21"/>
                <w:szCs w:val="21"/>
                <w:highlight w:val="none"/>
              </w:rPr>
              <w:t>mg/kg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5EA20CA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34</w:t>
            </w:r>
          </w:p>
        </w:tc>
        <w:tc>
          <w:tcPr>
            <w:tcW w:w="2098" w:type="dxa"/>
            <w:tcBorders>
              <w:top w:val="single" w:color="000000" w:sz="4" w:space="0"/>
              <w:left w:val="single" w:color="000000" w:sz="4" w:space="0"/>
              <w:bottom w:val="single" w:color="000000" w:sz="4" w:space="0"/>
            </w:tcBorders>
            <w:noWrap w:val="0"/>
            <w:vAlign w:val="center"/>
          </w:tcPr>
          <w:p w14:paraId="23DEE77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18000</w:t>
            </w:r>
          </w:p>
        </w:tc>
      </w:tr>
      <w:tr w14:paraId="10FEBAB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803" w:type="dxa"/>
            <w:tcBorders>
              <w:top w:val="single" w:color="000000" w:sz="4" w:space="0"/>
              <w:bottom w:val="single" w:color="000000" w:sz="4" w:space="0"/>
              <w:right w:val="single" w:color="000000" w:sz="4" w:space="0"/>
            </w:tcBorders>
            <w:noWrap w:val="0"/>
            <w:vAlign w:val="center"/>
          </w:tcPr>
          <w:p w14:paraId="2790765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铅</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230A86A3">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spacing w:val="-4"/>
                <w:sz w:val="21"/>
                <w:szCs w:val="21"/>
                <w:highlight w:val="none"/>
              </w:rPr>
              <w:t>mg/kg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54F0AE3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10L</w:t>
            </w:r>
          </w:p>
        </w:tc>
        <w:tc>
          <w:tcPr>
            <w:tcW w:w="2098" w:type="dxa"/>
            <w:tcBorders>
              <w:top w:val="single" w:color="000000" w:sz="4" w:space="0"/>
              <w:left w:val="single" w:color="000000" w:sz="4" w:space="0"/>
              <w:bottom w:val="single" w:color="000000" w:sz="4" w:space="0"/>
            </w:tcBorders>
            <w:noWrap w:val="0"/>
            <w:vAlign w:val="center"/>
          </w:tcPr>
          <w:p w14:paraId="17BA4C1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800</w:t>
            </w:r>
          </w:p>
        </w:tc>
      </w:tr>
      <w:tr w14:paraId="0CC8EEE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803" w:type="dxa"/>
            <w:tcBorders>
              <w:top w:val="single" w:color="000000" w:sz="4" w:space="0"/>
              <w:bottom w:val="single" w:color="000000" w:sz="4" w:space="0"/>
              <w:right w:val="single" w:color="000000" w:sz="4" w:space="0"/>
            </w:tcBorders>
            <w:noWrap w:val="0"/>
            <w:vAlign w:val="center"/>
          </w:tcPr>
          <w:p w14:paraId="0DCF897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汞</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3EC4C55B">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spacing w:val="-4"/>
                <w:sz w:val="21"/>
                <w:szCs w:val="21"/>
                <w:highlight w:val="none"/>
              </w:rPr>
              <w:t>mg/kg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7696CE6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0.0532</w:t>
            </w:r>
          </w:p>
        </w:tc>
        <w:tc>
          <w:tcPr>
            <w:tcW w:w="2098" w:type="dxa"/>
            <w:tcBorders>
              <w:top w:val="single" w:color="000000" w:sz="4" w:space="0"/>
              <w:left w:val="single" w:color="000000" w:sz="4" w:space="0"/>
              <w:bottom w:val="single" w:color="000000" w:sz="4" w:space="0"/>
            </w:tcBorders>
            <w:noWrap w:val="0"/>
            <w:vAlign w:val="center"/>
          </w:tcPr>
          <w:p w14:paraId="504B0AF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38</w:t>
            </w:r>
          </w:p>
        </w:tc>
      </w:tr>
      <w:tr w14:paraId="15911D1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803" w:type="dxa"/>
            <w:tcBorders>
              <w:top w:val="single" w:color="000000" w:sz="4" w:space="0"/>
              <w:bottom w:val="single" w:color="000000" w:sz="4" w:space="0"/>
              <w:right w:val="single" w:color="000000" w:sz="4" w:space="0"/>
            </w:tcBorders>
            <w:noWrap w:val="0"/>
            <w:vAlign w:val="center"/>
          </w:tcPr>
          <w:p w14:paraId="4FCAE6F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镍</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51802CF3">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spacing w:val="-4"/>
                <w:sz w:val="21"/>
                <w:szCs w:val="21"/>
                <w:highlight w:val="none"/>
              </w:rPr>
              <w:t>mg/kg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4D6D963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23</w:t>
            </w:r>
          </w:p>
        </w:tc>
        <w:tc>
          <w:tcPr>
            <w:tcW w:w="2098" w:type="dxa"/>
            <w:tcBorders>
              <w:top w:val="single" w:color="000000" w:sz="4" w:space="0"/>
              <w:left w:val="single" w:color="000000" w:sz="4" w:space="0"/>
              <w:bottom w:val="single" w:color="000000" w:sz="4" w:space="0"/>
            </w:tcBorders>
            <w:noWrap w:val="0"/>
            <w:vAlign w:val="center"/>
          </w:tcPr>
          <w:p w14:paraId="6927184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900</w:t>
            </w:r>
          </w:p>
        </w:tc>
      </w:tr>
      <w:tr w14:paraId="5510D05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803" w:type="dxa"/>
            <w:tcBorders>
              <w:top w:val="single" w:color="000000" w:sz="4" w:space="0"/>
              <w:bottom w:val="single" w:color="000000" w:sz="4" w:space="0"/>
              <w:right w:val="single" w:color="000000" w:sz="4" w:space="0"/>
            </w:tcBorders>
            <w:noWrap w:val="0"/>
            <w:vAlign w:val="center"/>
          </w:tcPr>
          <w:p w14:paraId="26E7106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四氯化碳</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5641D7C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1A7D7D8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2098" w:type="dxa"/>
            <w:tcBorders>
              <w:top w:val="single" w:color="000000" w:sz="4" w:space="0"/>
              <w:left w:val="single" w:color="000000" w:sz="4" w:space="0"/>
              <w:bottom w:val="single" w:color="000000" w:sz="4" w:space="0"/>
            </w:tcBorders>
            <w:noWrap w:val="0"/>
            <w:vAlign w:val="center"/>
          </w:tcPr>
          <w:p w14:paraId="1AF1205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2.8</w:t>
            </w:r>
          </w:p>
        </w:tc>
      </w:tr>
      <w:tr w14:paraId="5C09BC5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803" w:type="dxa"/>
            <w:tcBorders>
              <w:top w:val="single" w:color="000000" w:sz="4" w:space="0"/>
              <w:bottom w:val="single" w:color="000000" w:sz="4" w:space="0"/>
              <w:right w:val="single" w:color="000000" w:sz="4" w:space="0"/>
            </w:tcBorders>
            <w:noWrap w:val="0"/>
            <w:vAlign w:val="center"/>
          </w:tcPr>
          <w:p w14:paraId="142C8FE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default" w:ascii="Calibri" w:hAnsi="宋体" w:eastAsia="宋体" w:cs="Calibri"/>
                <w:b/>
                <w:color w:val="000000"/>
                <w:sz w:val="21"/>
                <w:szCs w:val="24"/>
                <w:highlight w:val="none"/>
              </w:rPr>
              <w:t>氯仿</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6B271F2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43041BF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1.1L</w:t>
            </w:r>
          </w:p>
        </w:tc>
        <w:tc>
          <w:tcPr>
            <w:tcW w:w="2098" w:type="dxa"/>
            <w:tcBorders>
              <w:top w:val="single" w:color="000000" w:sz="4" w:space="0"/>
              <w:left w:val="single" w:color="000000" w:sz="4" w:space="0"/>
              <w:bottom w:val="single" w:color="000000" w:sz="4" w:space="0"/>
            </w:tcBorders>
            <w:noWrap w:val="0"/>
            <w:vAlign w:val="center"/>
          </w:tcPr>
          <w:p w14:paraId="465D057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0.9</w:t>
            </w:r>
          </w:p>
        </w:tc>
      </w:tr>
      <w:tr w14:paraId="25E3CC9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803" w:type="dxa"/>
            <w:tcBorders>
              <w:top w:val="single" w:color="000000" w:sz="4" w:space="0"/>
              <w:bottom w:val="single" w:color="000000" w:sz="4" w:space="0"/>
              <w:right w:val="single" w:color="000000" w:sz="4" w:space="0"/>
            </w:tcBorders>
            <w:noWrap w:val="0"/>
            <w:vAlign w:val="center"/>
          </w:tcPr>
          <w:p w14:paraId="39AF57E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Calibri" w:hAnsi="宋体" w:eastAsia="宋体" w:cs="Calibri"/>
                <w:b/>
                <w:color w:val="000000"/>
                <w:sz w:val="21"/>
                <w:szCs w:val="24"/>
                <w:highlight w:val="none"/>
              </w:rPr>
            </w:pPr>
            <w:r>
              <w:rPr>
                <w:rFonts w:hint="default" w:ascii="Calibri" w:hAnsi="宋体" w:eastAsia="宋体" w:cs="Calibri"/>
                <w:b/>
                <w:color w:val="000000"/>
                <w:sz w:val="21"/>
                <w:szCs w:val="24"/>
                <w:highlight w:val="none"/>
              </w:rPr>
              <w:t>氯甲烷</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5A02E4B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567BB29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1.0L</w:t>
            </w:r>
          </w:p>
        </w:tc>
        <w:tc>
          <w:tcPr>
            <w:tcW w:w="2098" w:type="dxa"/>
            <w:tcBorders>
              <w:top w:val="single" w:color="000000" w:sz="4" w:space="0"/>
              <w:left w:val="single" w:color="000000" w:sz="4" w:space="0"/>
              <w:bottom w:val="single" w:color="000000" w:sz="4" w:space="0"/>
            </w:tcBorders>
            <w:noWrap w:val="0"/>
            <w:vAlign w:val="center"/>
          </w:tcPr>
          <w:p w14:paraId="7B5038C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37</w:t>
            </w:r>
          </w:p>
        </w:tc>
      </w:tr>
      <w:tr w14:paraId="4CAAD04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803" w:type="dxa"/>
            <w:tcBorders>
              <w:top w:val="single" w:color="000000" w:sz="4" w:space="0"/>
              <w:bottom w:val="single" w:color="000000" w:sz="4" w:space="0"/>
              <w:right w:val="single" w:color="000000" w:sz="4" w:space="0"/>
            </w:tcBorders>
            <w:noWrap w:val="0"/>
            <w:vAlign w:val="center"/>
          </w:tcPr>
          <w:p w14:paraId="40ACFC1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1,1-二氯乙烷</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3D6049B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0B627C8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2098" w:type="dxa"/>
            <w:tcBorders>
              <w:top w:val="single" w:color="000000" w:sz="4" w:space="0"/>
              <w:left w:val="single" w:color="000000" w:sz="4" w:space="0"/>
              <w:bottom w:val="single" w:color="000000" w:sz="4" w:space="0"/>
            </w:tcBorders>
            <w:noWrap w:val="0"/>
            <w:vAlign w:val="center"/>
          </w:tcPr>
          <w:p w14:paraId="5D03126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9</w:t>
            </w:r>
          </w:p>
        </w:tc>
      </w:tr>
      <w:tr w14:paraId="4835BC7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803" w:type="dxa"/>
            <w:tcBorders>
              <w:top w:val="single" w:color="000000" w:sz="4" w:space="0"/>
              <w:bottom w:val="single" w:color="000000" w:sz="4" w:space="0"/>
              <w:right w:val="single" w:color="000000" w:sz="4" w:space="0"/>
            </w:tcBorders>
            <w:noWrap w:val="0"/>
            <w:vAlign w:val="center"/>
          </w:tcPr>
          <w:p w14:paraId="5A6E699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1,2-二氯乙烷</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024412E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59BC4C2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2098" w:type="dxa"/>
            <w:tcBorders>
              <w:top w:val="single" w:color="000000" w:sz="4" w:space="0"/>
              <w:left w:val="single" w:color="000000" w:sz="4" w:space="0"/>
              <w:bottom w:val="single" w:color="000000" w:sz="4" w:space="0"/>
            </w:tcBorders>
            <w:noWrap w:val="0"/>
            <w:vAlign w:val="center"/>
          </w:tcPr>
          <w:p w14:paraId="3171D12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5</w:t>
            </w:r>
          </w:p>
        </w:tc>
      </w:tr>
      <w:tr w14:paraId="44878E0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803" w:type="dxa"/>
            <w:tcBorders>
              <w:top w:val="single" w:color="000000" w:sz="4" w:space="0"/>
              <w:bottom w:val="single" w:color="000000" w:sz="4" w:space="0"/>
              <w:right w:val="single" w:color="000000" w:sz="4" w:space="0"/>
            </w:tcBorders>
            <w:noWrap w:val="0"/>
            <w:vAlign w:val="center"/>
          </w:tcPr>
          <w:p w14:paraId="5D183B9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1,1-二氯乙烯</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0B9E92F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674E899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1.0L</w:t>
            </w:r>
          </w:p>
        </w:tc>
        <w:tc>
          <w:tcPr>
            <w:tcW w:w="2098" w:type="dxa"/>
            <w:tcBorders>
              <w:top w:val="single" w:color="000000" w:sz="4" w:space="0"/>
              <w:left w:val="single" w:color="000000" w:sz="4" w:space="0"/>
              <w:bottom w:val="single" w:color="000000" w:sz="4" w:space="0"/>
            </w:tcBorders>
            <w:noWrap w:val="0"/>
            <w:vAlign w:val="center"/>
          </w:tcPr>
          <w:p w14:paraId="7DB00F6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66</w:t>
            </w:r>
          </w:p>
        </w:tc>
      </w:tr>
      <w:tr w14:paraId="5E8BAB5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803" w:type="dxa"/>
            <w:tcBorders>
              <w:top w:val="single" w:color="000000" w:sz="4" w:space="0"/>
              <w:bottom w:val="single" w:color="000000" w:sz="4" w:space="0"/>
              <w:right w:val="single" w:color="000000" w:sz="4" w:space="0"/>
            </w:tcBorders>
            <w:noWrap w:val="0"/>
            <w:vAlign w:val="center"/>
          </w:tcPr>
          <w:p w14:paraId="3E3A872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顺-1,2-二氯乙烯</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393BFBE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4FBD734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2098" w:type="dxa"/>
            <w:tcBorders>
              <w:top w:val="single" w:color="000000" w:sz="4" w:space="0"/>
              <w:left w:val="single" w:color="000000" w:sz="4" w:space="0"/>
              <w:bottom w:val="single" w:color="000000" w:sz="4" w:space="0"/>
            </w:tcBorders>
            <w:noWrap w:val="0"/>
            <w:vAlign w:val="center"/>
          </w:tcPr>
          <w:p w14:paraId="73FFCAD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596</w:t>
            </w:r>
          </w:p>
        </w:tc>
      </w:tr>
      <w:tr w14:paraId="72ABF4F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803" w:type="dxa"/>
            <w:tcBorders>
              <w:top w:val="single" w:color="000000" w:sz="4" w:space="0"/>
              <w:bottom w:val="single" w:color="000000" w:sz="4" w:space="0"/>
              <w:right w:val="single" w:color="000000" w:sz="4" w:space="0"/>
            </w:tcBorders>
            <w:noWrap w:val="0"/>
            <w:vAlign w:val="center"/>
          </w:tcPr>
          <w:p w14:paraId="2598194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反-1,2-二氯乙烯</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1675BE5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61C304B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1.4L</w:t>
            </w:r>
          </w:p>
        </w:tc>
        <w:tc>
          <w:tcPr>
            <w:tcW w:w="2098" w:type="dxa"/>
            <w:tcBorders>
              <w:top w:val="single" w:color="000000" w:sz="4" w:space="0"/>
              <w:left w:val="single" w:color="000000" w:sz="4" w:space="0"/>
              <w:bottom w:val="single" w:color="000000" w:sz="4" w:space="0"/>
            </w:tcBorders>
            <w:noWrap w:val="0"/>
            <w:vAlign w:val="center"/>
          </w:tcPr>
          <w:p w14:paraId="4F0BEAA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54</w:t>
            </w:r>
          </w:p>
        </w:tc>
      </w:tr>
      <w:tr w14:paraId="03584C2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803" w:type="dxa"/>
            <w:tcBorders>
              <w:top w:val="single" w:color="000000" w:sz="4" w:space="0"/>
              <w:bottom w:val="single" w:color="000000" w:sz="4" w:space="0"/>
              <w:right w:val="single" w:color="000000" w:sz="4" w:space="0"/>
            </w:tcBorders>
            <w:noWrap w:val="0"/>
            <w:vAlign w:val="center"/>
          </w:tcPr>
          <w:p w14:paraId="00AD4EE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二氯甲烷</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2215DEC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6A3F4DD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1.5L</w:t>
            </w:r>
          </w:p>
        </w:tc>
        <w:tc>
          <w:tcPr>
            <w:tcW w:w="2098" w:type="dxa"/>
            <w:tcBorders>
              <w:top w:val="single" w:color="000000" w:sz="4" w:space="0"/>
              <w:left w:val="single" w:color="000000" w:sz="4" w:space="0"/>
              <w:bottom w:val="single" w:color="000000" w:sz="4" w:space="0"/>
            </w:tcBorders>
            <w:noWrap w:val="0"/>
            <w:vAlign w:val="center"/>
          </w:tcPr>
          <w:p w14:paraId="2EB387B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616</w:t>
            </w:r>
          </w:p>
        </w:tc>
      </w:tr>
      <w:tr w14:paraId="44D08AE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803" w:type="dxa"/>
            <w:tcBorders>
              <w:top w:val="single" w:color="000000" w:sz="4" w:space="0"/>
              <w:bottom w:val="single" w:color="000000" w:sz="4" w:space="0"/>
              <w:right w:val="single" w:color="000000" w:sz="4" w:space="0"/>
            </w:tcBorders>
            <w:noWrap w:val="0"/>
            <w:vAlign w:val="center"/>
          </w:tcPr>
          <w:p w14:paraId="638777A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1,2-二氯丙烷</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11CA6A8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60167A6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1.1L</w:t>
            </w:r>
          </w:p>
        </w:tc>
        <w:tc>
          <w:tcPr>
            <w:tcW w:w="2098" w:type="dxa"/>
            <w:tcBorders>
              <w:top w:val="single" w:color="000000" w:sz="4" w:space="0"/>
              <w:left w:val="single" w:color="000000" w:sz="4" w:space="0"/>
              <w:bottom w:val="single" w:color="000000" w:sz="4" w:space="0"/>
            </w:tcBorders>
            <w:noWrap w:val="0"/>
            <w:vAlign w:val="center"/>
          </w:tcPr>
          <w:p w14:paraId="742DD9B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5</w:t>
            </w:r>
          </w:p>
        </w:tc>
      </w:tr>
      <w:tr w14:paraId="3533AA2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803" w:type="dxa"/>
            <w:tcBorders>
              <w:top w:val="single" w:color="000000" w:sz="4" w:space="0"/>
              <w:bottom w:val="single" w:color="000000" w:sz="4" w:space="0"/>
              <w:right w:val="single" w:color="000000" w:sz="4" w:space="0"/>
            </w:tcBorders>
            <w:noWrap w:val="0"/>
            <w:vAlign w:val="center"/>
          </w:tcPr>
          <w:p w14:paraId="647019B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1,1,1,2-四氯乙烷</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3272AD5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707AFC9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2098" w:type="dxa"/>
            <w:tcBorders>
              <w:top w:val="single" w:color="000000" w:sz="4" w:space="0"/>
              <w:left w:val="single" w:color="000000" w:sz="4" w:space="0"/>
              <w:bottom w:val="single" w:color="000000" w:sz="4" w:space="0"/>
            </w:tcBorders>
            <w:noWrap w:val="0"/>
            <w:vAlign w:val="center"/>
          </w:tcPr>
          <w:p w14:paraId="5D1E2D1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10</w:t>
            </w:r>
          </w:p>
        </w:tc>
      </w:tr>
      <w:tr w14:paraId="1FE87C0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803" w:type="dxa"/>
            <w:tcBorders>
              <w:top w:val="single" w:color="000000" w:sz="4" w:space="0"/>
              <w:bottom w:val="single" w:color="000000" w:sz="4" w:space="0"/>
              <w:right w:val="single" w:color="000000" w:sz="4" w:space="0"/>
            </w:tcBorders>
            <w:noWrap w:val="0"/>
            <w:vAlign w:val="center"/>
          </w:tcPr>
          <w:p w14:paraId="5FBF7EB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1,1,2,2-四氯乙烷</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0C55A95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072E747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2098" w:type="dxa"/>
            <w:tcBorders>
              <w:top w:val="single" w:color="000000" w:sz="4" w:space="0"/>
              <w:left w:val="single" w:color="000000" w:sz="4" w:space="0"/>
              <w:bottom w:val="single" w:color="000000" w:sz="4" w:space="0"/>
            </w:tcBorders>
            <w:noWrap w:val="0"/>
            <w:vAlign w:val="center"/>
          </w:tcPr>
          <w:p w14:paraId="0C9B336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6.8</w:t>
            </w:r>
          </w:p>
        </w:tc>
      </w:tr>
      <w:tr w14:paraId="1483485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803" w:type="dxa"/>
            <w:tcBorders>
              <w:top w:val="single" w:color="000000" w:sz="4" w:space="0"/>
              <w:bottom w:val="single" w:color="000000" w:sz="4" w:space="0"/>
              <w:right w:val="single" w:color="000000" w:sz="4" w:space="0"/>
            </w:tcBorders>
            <w:noWrap w:val="0"/>
            <w:vAlign w:val="center"/>
          </w:tcPr>
          <w:p w14:paraId="7648B65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四氯乙烯</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528C47D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62281B4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1.4L</w:t>
            </w:r>
          </w:p>
        </w:tc>
        <w:tc>
          <w:tcPr>
            <w:tcW w:w="2098" w:type="dxa"/>
            <w:tcBorders>
              <w:top w:val="single" w:color="000000" w:sz="4" w:space="0"/>
              <w:left w:val="single" w:color="000000" w:sz="4" w:space="0"/>
              <w:bottom w:val="single" w:color="000000" w:sz="4" w:space="0"/>
            </w:tcBorders>
            <w:noWrap w:val="0"/>
            <w:vAlign w:val="center"/>
          </w:tcPr>
          <w:p w14:paraId="66C15E3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53</w:t>
            </w:r>
          </w:p>
        </w:tc>
      </w:tr>
      <w:tr w14:paraId="1CE46E9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803" w:type="dxa"/>
            <w:tcBorders>
              <w:top w:val="single" w:color="000000" w:sz="4" w:space="0"/>
              <w:bottom w:val="single" w:color="000000" w:sz="4" w:space="0"/>
              <w:right w:val="single" w:color="000000" w:sz="4" w:space="0"/>
            </w:tcBorders>
            <w:noWrap w:val="0"/>
            <w:vAlign w:val="center"/>
          </w:tcPr>
          <w:p w14:paraId="1AF4CE3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1,1,1-三氯乙烷</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2BE3E97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5FB6D66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2098" w:type="dxa"/>
            <w:tcBorders>
              <w:top w:val="single" w:color="000000" w:sz="4" w:space="0"/>
              <w:left w:val="single" w:color="000000" w:sz="4" w:space="0"/>
              <w:bottom w:val="single" w:color="000000" w:sz="4" w:space="0"/>
            </w:tcBorders>
            <w:noWrap w:val="0"/>
            <w:vAlign w:val="center"/>
          </w:tcPr>
          <w:p w14:paraId="7E35870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840</w:t>
            </w:r>
          </w:p>
        </w:tc>
      </w:tr>
      <w:tr w14:paraId="0FFDE0E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803" w:type="dxa"/>
            <w:tcBorders>
              <w:top w:val="single" w:color="000000" w:sz="4" w:space="0"/>
              <w:bottom w:val="single" w:color="000000" w:sz="4" w:space="0"/>
              <w:right w:val="single" w:color="000000" w:sz="4" w:space="0"/>
            </w:tcBorders>
            <w:noWrap w:val="0"/>
            <w:vAlign w:val="center"/>
          </w:tcPr>
          <w:p w14:paraId="1C5D243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1,1,2-三氯乙烷</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647F10A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59BA5A6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2098" w:type="dxa"/>
            <w:tcBorders>
              <w:top w:val="single" w:color="000000" w:sz="4" w:space="0"/>
              <w:left w:val="single" w:color="000000" w:sz="4" w:space="0"/>
              <w:bottom w:val="single" w:color="000000" w:sz="4" w:space="0"/>
            </w:tcBorders>
            <w:noWrap w:val="0"/>
            <w:vAlign w:val="center"/>
          </w:tcPr>
          <w:p w14:paraId="6986F85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2.8</w:t>
            </w:r>
          </w:p>
        </w:tc>
      </w:tr>
      <w:tr w14:paraId="276AA31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803" w:type="dxa"/>
            <w:tcBorders>
              <w:top w:val="single" w:color="000000" w:sz="4" w:space="0"/>
              <w:bottom w:val="single" w:color="000000" w:sz="4" w:space="0"/>
              <w:right w:val="single" w:color="000000" w:sz="4" w:space="0"/>
            </w:tcBorders>
            <w:noWrap w:val="0"/>
            <w:vAlign w:val="center"/>
          </w:tcPr>
          <w:p w14:paraId="50B3E24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三氯乙烯</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2592577E">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1FB0A4E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2098" w:type="dxa"/>
            <w:tcBorders>
              <w:top w:val="single" w:color="000000" w:sz="4" w:space="0"/>
              <w:left w:val="single" w:color="000000" w:sz="4" w:space="0"/>
              <w:bottom w:val="single" w:color="000000" w:sz="4" w:space="0"/>
            </w:tcBorders>
            <w:noWrap w:val="0"/>
            <w:vAlign w:val="center"/>
          </w:tcPr>
          <w:p w14:paraId="244AAFE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2.8</w:t>
            </w:r>
          </w:p>
        </w:tc>
      </w:tr>
      <w:tr w14:paraId="5FB6458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803" w:type="dxa"/>
            <w:tcBorders>
              <w:top w:val="single" w:color="000000" w:sz="4" w:space="0"/>
              <w:bottom w:val="single" w:color="000000" w:sz="4" w:space="0"/>
              <w:right w:val="single" w:color="000000" w:sz="4" w:space="0"/>
            </w:tcBorders>
            <w:noWrap w:val="0"/>
            <w:vAlign w:val="center"/>
          </w:tcPr>
          <w:p w14:paraId="6BBFE8B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1,2,3-三氯丙烷</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77CC5E9B">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1895FAF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2098" w:type="dxa"/>
            <w:tcBorders>
              <w:top w:val="single" w:color="000000" w:sz="4" w:space="0"/>
              <w:left w:val="single" w:color="000000" w:sz="4" w:space="0"/>
              <w:bottom w:val="single" w:color="000000" w:sz="4" w:space="0"/>
            </w:tcBorders>
            <w:noWrap w:val="0"/>
            <w:vAlign w:val="center"/>
          </w:tcPr>
          <w:p w14:paraId="7F4EBC1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0.5</w:t>
            </w:r>
          </w:p>
        </w:tc>
      </w:tr>
      <w:tr w14:paraId="57A65E5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803" w:type="dxa"/>
            <w:tcBorders>
              <w:top w:val="single" w:color="000000" w:sz="4" w:space="0"/>
              <w:bottom w:val="single" w:color="000000" w:sz="4" w:space="0"/>
              <w:right w:val="single" w:color="000000" w:sz="4" w:space="0"/>
            </w:tcBorders>
            <w:noWrap w:val="0"/>
            <w:vAlign w:val="center"/>
          </w:tcPr>
          <w:p w14:paraId="7D6476C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氯乙烯</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6C3EA136">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12784C1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1.0L</w:t>
            </w:r>
          </w:p>
        </w:tc>
        <w:tc>
          <w:tcPr>
            <w:tcW w:w="2098" w:type="dxa"/>
            <w:tcBorders>
              <w:top w:val="single" w:color="000000" w:sz="4" w:space="0"/>
              <w:left w:val="single" w:color="000000" w:sz="4" w:space="0"/>
              <w:bottom w:val="single" w:color="000000" w:sz="4" w:space="0"/>
            </w:tcBorders>
            <w:noWrap w:val="0"/>
            <w:vAlign w:val="center"/>
          </w:tcPr>
          <w:p w14:paraId="47E78EA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0.43</w:t>
            </w:r>
          </w:p>
        </w:tc>
      </w:tr>
      <w:tr w14:paraId="39897F0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803" w:type="dxa"/>
            <w:tcBorders>
              <w:top w:val="single" w:color="000000" w:sz="4" w:space="0"/>
              <w:bottom w:val="single" w:color="000000" w:sz="4" w:space="0"/>
              <w:right w:val="single" w:color="000000" w:sz="4" w:space="0"/>
            </w:tcBorders>
            <w:noWrap w:val="0"/>
            <w:vAlign w:val="center"/>
          </w:tcPr>
          <w:p w14:paraId="6F306D2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苯</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7F6350BB">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118A0C3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1.9L</w:t>
            </w:r>
          </w:p>
        </w:tc>
        <w:tc>
          <w:tcPr>
            <w:tcW w:w="2098" w:type="dxa"/>
            <w:tcBorders>
              <w:top w:val="single" w:color="000000" w:sz="4" w:space="0"/>
              <w:left w:val="single" w:color="000000" w:sz="4" w:space="0"/>
              <w:bottom w:val="single" w:color="000000" w:sz="4" w:space="0"/>
            </w:tcBorders>
            <w:noWrap w:val="0"/>
            <w:vAlign w:val="center"/>
          </w:tcPr>
          <w:p w14:paraId="03DC178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4</w:t>
            </w:r>
          </w:p>
        </w:tc>
      </w:tr>
      <w:tr w14:paraId="2BB016A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803" w:type="dxa"/>
            <w:tcBorders>
              <w:top w:val="single" w:color="000000" w:sz="4" w:space="0"/>
              <w:bottom w:val="single" w:color="000000" w:sz="4" w:space="0"/>
              <w:right w:val="single" w:color="000000" w:sz="4" w:space="0"/>
            </w:tcBorders>
            <w:noWrap w:val="0"/>
            <w:vAlign w:val="center"/>
          </w:tcPr>
          <w:p w14:paraId="430BC15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氯苯</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0D88C1AE">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2538A6F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2098" w:type="dxa"/>
            <w:tcBorders>
              <w:top w:val="single" w:color="000000" w:sz="4" w:space="0"/>
              <w:left w:val="single" w:color="000000" w:sz="4" w:space="0"/>
              <w:bottom w:val="single" w:color="000000" w:sz="4" w:space="0"/>
            </w:tcBorders>
            <w:noWrap w:val="0"/>
            <w:vAlign w:val="center"/>
          </w:tcPr>
          <w:p w14:paraId="1C28CDC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270</w:t>
            </w:r>
          </w:p>
        </w:tc>
      </w:tr>
      <w:tr w14:paraId="62744EF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803" w:type="dxa"/>
            <w:tcBorders>
              <w:top w:val="single" w:color="000000" w:sz="4" w:space="0"/>
              <w:bottom w:val="single" w:color="000000" w:sz="4" w:space="0"/>
              <w:right w:val="single" w:color="000000" w:sz="4" w:space="0"/>
            </w:tcBorders>
            <w:noWrap w:val="0"/>
            <w:vAlign w:val="center"/>
          </w:tcPr>
          <w:p w14:paraId="40973B2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1,2-二氯苯</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5172D7FC">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65AD057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1.5L</w:t>
            </w:r>
          </w:p>
        </w:tc>
        <w:tc>
          <w:tcPr>
            <w:tcW w:w="2098" w:type="dxa"/>
            <w:tcBorders>
              <w:top w:val="single" w:color="000000" w:sz="4" w:space="0"/>
              <w:left w:val="single" w:color="000000" w:sz="4" w:space="0"/>
              <w:bottom w:val="single" w:color="000000" w:sz="4" w:space="0"/>
            </w:tcBorders>
            <w:noWrap w:val="0"/>
            <w:vAlign w:val="center"/>
          </w:tcPr>
          <w:p w14:paraId="4EA0A0E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560</w:t>
            </w:r>
          </w:p>
        </w:tc>
      </w:tr>
      <w:tr w14:paraId="535B555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803" w:type="dxa"/>
            <w:tcBorders>
              <w:top w:val="single" w:color="000000" w:sz="4" w:space="0"/>
              <w:bottom w:val="single" w:color="000000" w:sz="4" w:space="0"/>
              <w:right w:val="single" w:color="000000" w:sz="4" w:space="0"/>
            </w:tcBorders>
            <w:noWrap w:val="0"/>
            <w:vAlign w:val="center"/>
          </w:tcPr>
          <w:p w14:paraId="0C27A8E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1,4-二氯苯</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39ACB50F">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4255975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1.5L</w:t>
            </w:r>
          </w:p>
        </w:tc>
        <w:tc>
          <w:tcPr>
            <w:tcW w:w="2098" w:type="dxa"/>
            <w:tcBorders>
              <w:top w:val="single" w:color="000000" w:sz="4" w:space="0"/>
              <w:left w:val="single" w:color="000000" w:sz="4" w:space="0"/>
              <w:bottom w:val="single" w:color="000000" w:sz="4" w:space="0"/>
            </w:tcBorders>
            <w:noWrap w:val="0"/>
            <w:vAlign w:val="center"/>
          </w:tcPr>
          <w:p w14:paraId="1474EC3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20</w:t>
            </w:r>
          </w:p>
        </w:tc>
      </w:tr>
      <w:tr w14:paraId="0D7B3AE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803" w:type="dxa"/>
            <w:tcBorders>
              <w:top w:val="single" w:color="000000" w:sz="4" w:space="0"/>
              <w:bottom w:val="single" w:color="000000" w:sz="4" w:space="0"/>
              <w:right w:val="single" w:color="000000" w:sz="4" w:space="0"/>
            </w:tcBorders>
            <w:noWrap w:val="0"/>
            <w:vAlign w:val="center"/>
          </w:tcPr>
          <w:p w14:paraId="761730A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乙苯</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5CC01D2E">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4E6C29C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2098" w:type="dxa"/>
            <w:tcBorders>
              <w:top w:val="single" w:color="000000" w:sz="4" w:space="0"/>
              <w:left w:val="single" w:color="000000" w:sz="4" w:space="0"/>
              <w:bottom w:val="single" w:color="000000" w:sz="4" w:space="0"/>
            </w:tcBorders>
            <w:noWrap w:val="0"/>
            <w:vAlign w:val="center"/>
          </w:tcPr>
          <w:p w14:paraId="26D1E83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28</w:t>
            </w:r>
          </w:p>
        </w:tc>
      </w:tr>
      <w:tr w14:paraId="3A33745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803" w:type="dxa"/>
            <w:tcBorders>
              <w:top w:val="single" w:color="000000" w:sz="4" w:space="0"/>
              <w:bottom w:val="single" w:color="000000" w:sz="4" w:space="0"/>
              <w:right w:val="single" w:color="000000" w:sz="4" w:space="0"/>
            </w:tcBorders>
            <w:noWrap w:val="0"/>
            <w:vAlign w:val="center"/>
          </w:tcPr>
          <w:p w14:paraId="5455991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苯乙烯</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16D71B4A">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3627C44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1.1L</w:t>
            </w:r>
          </w:p>
        </w:tc>
        <w:tc>
          <w:tcPr>
            <w:tcW w:w="2098" w:type="dxa"/>
            <w:tcBorders>
              <w:top w:val="single" w:color="000000" w:sz="4" w:space="0"/>
              <w:left w:val="single" w:color="000000" w:sz="4" w:space="0"/>
              <w:bottom w:val="single" w:color="000000" w:sz="4" w:space="0"/>
            </w:tcBorders>
            <w:noWrap w:val="0"/>
            <w:vAlign w:val="center"/>
          </w:tcPr>
          <w:p w14:paraId="634128B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1290</w:t>
            </w:r>
          </w:p>
        </w:tc>
      </w:tr>
      <w:tr w14:paraId="32080EE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803" w:type="dxa"/>
            <w:tcBorders>
              <w:top w:val="single" w:color="000000" w:sz="4" w:space="0"/>
              <w:bottom w:val="single" w:color="000000" w:sz="12" w:space="0"/>
              <w:right w:val="single" w:color="000000" w:sz="4" w:space="0"/>
            </w:tcBorders>
            <w:noWrap w:val="0"/>
            <w:vAlign w:val="center"/>
          </w:tcPr>
          <w:p w14:paraId="4515130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甲苯</w:t>
            </w:r>
          </w:p>
        </w:tc>
        <w:tc>
          <w:tcPr>
            <w:tcW w:w="1967" w:type="dxa"/>
            <w:tcBorders>
              <w:top w:val="single" w:color="000000" w:sz="4" w:space="0"/>
              <w:left w:val="single" w:color="000000" w:sz="4" w:space="0"/>
              <w:bottom w:val="single" w:color="000000" w:sz="12" w:space="0"/>
              <w:right w:val="single" w:color="000000" w:sz="4" w:space="0"/>
            </w:tcBorders>
            <w:noWrap w:val="0"/>
            <w:vAlign w:val="center"/>
          </w:tcPr>
          <w:p w14:paraId="7C4A6A79">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2490" w:type="dxa"/>
            <w:tcBorders>
              <w:top w:val="single" w:color="000000" w:sz="4" w:space="0"/>
              <w:left w:val="single" w:color="000000" w:sz="4" w:space="0"/>
              <w:bottom w:val="single" w:color="000000" w:sz="12" w:space="0"/>
              <w:right w:val="single" w:color="000000" w:sz="4" w:space="0"/>
            </w:tcBorders>
            <w:noWrap w:val="0"/>
            <w:vAlign w:val="center"/>
          </w:tcPr>
          <w:p w14:paraId="52521C9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2098" w:type="dxa"/>
            <w:tcBorders>
              <w:top w:val="single" w:color="000000" w:sz="4" w:space="0"/>
              <w:left w:val="single" w:color="000000" w:sz="4" w:space="0"/>
              <w:bottom w:val="single" w:color="000000" w:sz="12" w:space="0"/>
            </w:tcBorders>
            <w:noWrap w:val="0"/>
            <w:vAlign w:val="center"/>
          </w:tcPr>
          <w:p w14:paraId="4502124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1200</w:t>
            </w:r>
          </w:p>
        </w:tc>
      </w:tr>
      <w:tr w14:paraId="084D710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8" w:hRule="atLeast"/>
          <w:jc w:val="center"/>
        </w:trPr>
        <w:tc>
          <w:tcPr>
            <w:tcW w:w="1803" w:type="dxa"/>
            <w:tcBorders>
              <w:top w:val="single" w:color="000000" w:sz="4" w:space="0"/>
              <w:bottom w:val="single" w:color="000000" w:sz="4" w:space="0"/>
              <w:right w:val="single" w:color="000000" w:sz="4" w:space="0"/>
            </w:tcBorders>
            <w:noWrap w:val="0"/>
            <w:vAlign w:val="center"/>
          </w:tcPr>
          <w:p w14:paraId="7B2083B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间二甲苯+对二甲苯</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1057A80B">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4761EA8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2098" w:type="dxa"/>
            <w:tcBorders>
              <w:top w:val="single" w:color="000000" w:sz="4" w:space="0"/>
              <w:left w:val="single" w:color="000000" w:sz="4" w:space="0"/>
              <w:bottom w:val="single" w:color="000000" w:sz="4" w:space="0"/>
            </w:tcBorders>
            <w:noWrap w:val="0"/>
            <w:vAlign w:val="center"/>
          </w:tcPr>
          <w:p w14:paraId="39E23D1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570</w:t>
            </w:r>
          </w:p>
        </w:tc>
      </w:tr>
      <w:tr w14:paraId="00500BB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8" w:hRule="atLeast"/>
          <w:jc w:val="center"/>
        </w:trPr>
        <w:tc>
          <w:tcPr>
            <w:tcW w:w="1803" w:type="dxa"/>
            <w:tcBorders>
              <w:top w:val="single" w:color="000000" w:sz="4" w:space="0"/>
              <w:bottom w:val="single" w:color="000000" w:sz="4" w:space="0"/>
              <w:right w:val="single" w:color="000000" w:sz="4" w:space="0"/>
            </w:tcBorders>
            <w:noWrap w:val="0"/>
            <w:vAlign w:val="center"/>
          </w:tcPr>
          <w:p w14:paraId="75E24C7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邻二甲苯</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38B0E4A9">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7531D89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2098" w:type="dxa"/>
            <w:tcBorders>
              <w:top w:val="single" w:color="000000" w:sz="4" w:space="0"/>
              <w:left w:val="single" w:color="000000" w:sz="4" w:space="0"/>
              <w:bottom w:val="single" w:color="000000" w:sz="4" w:space="0"/>
            </w:tcBorders>
            <w:noWrap w:val="0"/>
            <w:vAlign w:val="center"/>
          </w:tcPr>
          <w:p w14:paraId="316E929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640</w:t>
            </w:r>
          </w:p>
        </w:tc>
      </w:tr>
      <w:tr w14:paraId="6D0C31A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8" w:hRule="atLeast"/>
          <w:jc w:val="center"/>
        </w:trPr>
        <w:tc>
          <w:tcPr>
            <w:tcW w:w="1803" w:type="dxa"/>
            <w:tcBorders>
              <w:top w:val="single" w:color="000000" w:sz="4" w:space="0"/>
              <w:bottom w:val="single" w:color="000000" w:sz="4" w:space="0"/>
              <w:right w:val="single" w:color="000000" w:sz="4" w:space="0"/>
            </w:tcBorders>
            <w:noWrap w:val="0"/>
            <w:vAlign w:val="center"/>
          </w:tcPr>
          <w:p w14:paraId="3A8ADC6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硝基苯</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0424EA1A">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eastAsia" w:ascii="Times New Roman" w:hAnsi="Times New Roman" w:eastAsia="宋体" w:cs="Times New Roman"/>
                <w:b/>
                <w:spacing w:val="-4"/>
                <w:sz w:val="21"/>
                <w:szCs w:val="21"/>
                <w:highlight w:val="none"/>
              </w:rPr>
              <w:t>m</w:t>
            </w:r>
            <w:r>
              <w:rPr>
                <w:rFonts w:hint="default" w:ascii="Times New Roman" w:hAnsi="Times New Roman" w:eastAsia="宋体" w:cs="Times New Roman"/>
                <w:b/>
                <w:spacing w:val="-4"/>
                <w:sz w:val="21"/>
                <w:szCs w:val="21"/>
                <w:highlight w:val="none"/>
              </w:rPr>
              <w:t>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39AB4E9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0.09L</w:t>
            </w:r>
          </w:p>
        </w:tc>
        <w:tc>
          <w:tcPr>
            <w:tcW w:w="2098" w:type="dxa"/>
            <w:tcBorders>
              <w:top w:val="single" w:color="000000" w:sz="4" w:space="0"/>
              <w:left w:val="single" w:color="000000" w:sz="4" w:space="0"/>
              <w:bottom w:val="single" w:color="000000" w:sz="4" w:space="0"/>
            </w:tcBorders>
            <w:noWrap w:val="0"/>
            <w:vAlign w:val="center"/>
          </w:tcPr>
          <w:p w14:paraId="105C255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76</w:t>
            </w:r>
          </w:p>
        </w:tc>
      </w:tr>
      <w:tr w14:paraId="748D6E7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8" w:hRule="atLeast"/>
          <w:jc w:val="center"/>
        </w:trPr>
        <w:tc>
          <w:tcPr>
            <w:tcW w:w="1803" w:type="dxa"/>
            <w:tcBorders>
              <w:top w:val="single" w:color="000000" w:sz="4" w:space="0"/>
              <w:bottom w:val="single" w:color="000000" w:sz="4" w:space="0"/>
              <w:right w:val="single" w:color="000000" w:sz="4" w:space="0"/>
            </w:tcBorders>
            <w:noWrap w:val="0"/>
            <w:vAlign w:val="center"/>
          </w:tcPr>
          <w:p w14:paraId="20EC352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苯胺</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177E3BA0">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eastAsia" w:ascii="Times New Roman" w:hAnsi="Times New Roman" w:eastAsia="宋体" w:cs="Times New Roman"/>
                <w:b/>
                <w:spacing w:val="-4"/>
                <w:sz w:val="21"/>
                <w:szCs w:val="21"/>
                <w:highlight w:val="none"/>
              </w:rPr>
              <w:t>m</w:t>
            </w:r>
            <w:r>
              <w:rPr>
                <w:rFonts w:hint="default" w:ascii="Times New Roman" w:hAnsi="Times New Roman" w:eastAsia="宋体" w:cs="Times New Roman"/>
                <w:b/>
                <w:spacing w:val="-4"/>
                <w:sz w:val="21"/>
                <w:szCs w:val="21"/>
                <w:highlight w:val="none"/>
              </w:rPr>
              <w:t>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427C121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未检出</w:t>
            </w:r>
          </w:p>
        </w:tc>
        <w:tc>
          <w:tcPr>
            <w:tcW w:w="2098" w:type="dxa"/>
            <w:tcBorders>
              <w:top w:val="single" w:color="000000" w:sz="4" w:space="0"/>
              <w:left w:val="single" w:color="000000" w:sz="4" w:space="0"/>
              <w:bottom w:val="single" w:color="000000" w:sz="4" w:space="0"/>
            </w:tcBorders>
            <w:noWrap w:val="0"/>
            <w:vAlign w:val="center"/>
          </w:tcPr>
          <w:p w14:paraId="172499F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260</w:t>
            </w:r>
          </w:p>
        </w:tc>
      </w:tr>
      <w:tr w14:paraId="152C0E5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8" w:hRule="atLeast"/>
          <w:jc w:val="center"/>
        </w:trPr>
        <w:tc>
          <w:tcPr>
            <w:tcW w:w="1803" w:type="dxa"/>
            <w:tcBorders>
              <w:top w:val="single" w:color="000000" w:sz="4" w:space="0"/>
              <w:bottom w:val="single" w:color="000000" w:sz="4" w:space="0"/>
              <w:right w:val="single" w:color="000000" w:sz="4" w:space="0"/>
            </w:tcBorders>
            <w:noWrap w:val="0"/>
            <w:vAlign w:val="center"/>
          </w:tcPr>
          <w:p w14:paraId="13DD6F1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2-氯酚</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3AFB5D41">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eastAsia" w:ascii="Times New Roman" w:hAnsi="Times New Roman" w:eastAsia="宋体" w:cs="Times New Roman"/>
                <w:b/>
                <w:spacing w:val="-4"/>
                <w:sz w:val="21"/>
                <w:szCs w:val="21"/>
                <w:highlight w:val="none"/>
              </w:rPr>
              <w:t>m</w:t>
            </w:r>
            <w:r>
              <w:rPr>
                <w:rFonts w:hint="default" w:ascii="Times New Roman" w:hAnsi="Times New Roman" w:eastAsia="宋体" w:cs="Times New Roman"/>
                <w:b/>
                <w:spacing w:val="-4"/>
                <w:sz w:val="21"/>
                <w:szCs w:val="21"/>
                <w:highlight w:val="none"/>
              </w:rPr>
              <w:t>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00FBBF0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0.06L</w:t>
            </w:r>
          </w:p>
        </w:tc>
        <w:tc>
          <w:tcPr>
            <w:tcW w:w="2098" w:type="dxa"/>
            <w:tcBorders>
              <w:top w:val="single" w:color="000000" w:sz="4" w:space="0"/>
              <w:left w:val="single" w:color="000000" w:sz="4" w:space="0"/>
              <w:bottom w:val="single" w:color="000000" w:sz="4" w:space="0"/>
            </w:tcBorders>
            <w:noWrap w:val="0"/>
            <w:vAlign w:val="center"/>
          </w:tcPr>
          <w:p w14:paraId="202FA08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2256</w:t>
            </w:r>
          </w:p>
        </w:tc>
      </w:tr>
      <w:tr w14:paraId="7786E3D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8" w:hRule="atLeast"/>
          <w:jc w:val="center"/>
        </w:trPr>
        <w:tc>
          <w:tcPr>
            <w:tcW w:w="1803" w:type="dxa"/>
            <w:tcBorders>
              <w:top w:val="single" w:color="000000" w:sz="4" w:space="0"/>
              <w:bottom w:val="single" w:color="000000" w:sz="4" w:space="0"/>
              <w:right w:val="single" w:color="000000" w:sz="4" w:space="0"/>
            </w:tcBorders>
            <w:noWrap w:val="0"/>
            <w:vAlign w:val="center"/>
          </w:tcPr>
          <w:p w14:paraId="3889211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color w:val="000000"/>
                <w:sz w:val="21"/>
                <w:szCs w:val="24"/>
                <w:highlight w:val="none"/>
              </w:rPr>
              <w:t>苯并[a]蒽</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09690110">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eastAsia" w:ascii="Times New Roman" w:hAnsi="Times New Roman" w:eastAsia="宋体" w:cs="Times New Roman"/>
                <w:b/>
                <w:spacing w:val="-4"/>
                <w:sz w:val="21"/>
                <w:szCs w:val="21"/>
                <w:highlight w:val="none"/>
              </w:rPr>
              <w:t>m</w:t>
            </w:r>
            <w:r>
              <w:rPr>
                <w:rFonts w:hint="default" w:ascii="Times New Roman" w:hAnsi="Times New Roman" w:eastAsia="宋体" w:cs="Times New Roman"/>
                <w:b/>
                <w:spacing w:val="-4"/>
                <w:sz w:val="21"/>
                <w:szCs w:val="21"/>
                <w:highlight w:val="none"/>
              </w:rPr>
              <w:t>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56CBA6C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0.1L</w:t>
            </w:r>
          </w:p>
        </w:tc>
        <w:tc>
          <w:tcPr>
            <w:tcW w:w="2098" w:type="dxa"/>
            <w:tcBorders>
              <w:top w:val="single" w:color="000000" w:sz="4" w:space="0"/>
              <w:left w:val="single" w:color="000000" w:sz="4" w:space="0"/>
              <w:bottom w:val="single" w:color="000000" w:sz="4" w:space="0"/>
            </w:tcBorders>
            <w:noWrap w:val="0"/>
            <w:vAlign w:val="center"/>
          </w:tcPr>
          <w:p w14:paraId="4E39CAC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15</w:t>
            </w:r>
          </w:p>
        </w:tc>
      </w:tr>
      <w:tr w14:paraId="5091212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8" w:hRule="atLeast"/>
          <w:jc w:val="center"/>
        </w:trPr>
        <w:tc>
          <w:tcPr>
            <w:tcW w:w="1803" w:type="dxa"/>
            <w:tcBorders>
              <w:top w:val="single" w:color="000000" w:sz="4" w:space="0"/>
              <w:bottom w:val="single" w:color="000000" w:sz="4" w:space="0"/>
              <w:right w:val="single" w:color="000000" w:sz="4" w:space="0"/>
            </w:tcBorders>
            <w:noWrap w:val="0"/>
            <w:vAlign w:val="center"/>
          </w:tcPr>
          <w:p w14:paraId="32F8E30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color w:val="000000"/>
                <w:sz w:val="21"/>
                <w:szCs w:val="24"/>
                <w:highlight w:val="none"/>
              </w:rPr>
              <w:t>苯并[a]芘</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2DEAD118">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eastAsia" w:ascii="Times New Roman" w:hAnsi="Times New Roman" w:eastAsia="宋体" w:cs="Times New Roman"/>
                <w:b/>
                <w:spacing w:val="-4"/>
                <w:sz w:val="21"/>
                <w:szCs w:val="21"/>
                <w:highlight w:val="none"/>
              </w:rPr>
              <w:t>m</w:t>
            </w:r>
            <w:r>
              <w:rPr>
                <w:rFonts w:hint="default" w:ascii="Times New Roman" w:hAnsi="Times New Roman" w:eastAsia="宋体" w:cs="Times New Roman"/>
                <w:b/>
                <w:spacing w:val="-4"/>
                <w:sz w:val="21"/>
                <w:szCs w:val="21"/>
                <w:highlight w:val="none"/>
              </w:rPr>
              <w:t>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6F209DE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0.1L</w:t>
            </w:r>
          </w:p>
        </w:tc>
        <w:tc>
          <w:tcPr>
            <w:tcW w:w="2098" w:type="dxa"/>
            <w:tcBorders>
              <w:top w:val="single" w:color="000000" w:sz="4" w:space="0"/>
              <w:left w:val="single" w:color="000000" w:sz="4" w:space="0"/>
              <w:bottom w:val="single" w:color="000000" w:sz="4" w:space="0"/>
            </w:tcBorders>
            <w:noWrap w:val="0"/>
            <w:vAlign w:val="center"/>
          </w:tcPr>
          <w:p w14:paraId="2583D89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1.5</w:t>
            </w:r>
          </w:p>
        </w:tc>
      </w:tr>
      <w:tr w14:paraId="0660FE7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8" w:hRule="atLeast"/>
          <w:jc w:val="center"/>
        </w:trPr>
        <w:tc>
          <w:tcPr>
            <w:tcW w:w="1803" w:type="dxa"/>
            <w:tcBorders>
              <w:top w:val="single" w:color="000000" w:sz="4" w:space="0"/>
              <w:bottom w:val="single" w:color="000000" w:sz="4" w:space="0"/>
              <w:right w:val="single" w:color="000000" w:sz="4" w:space="0"/>
            </w:tcBorders>
            <w:noWrap w:val="0"/>
            <w:vAlign w:val="center"/>
          </w:tcPr>
          <w:p w14:paraId="1C803D2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color w:val="000000"/>
                <w:sz w:val="21"/>
                <w:szCs w:val="24"/>
                <w:highlight w:val="none"/>
              </w:rPr>
              <w:t>苯并[b]荧蒽</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7D750340">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eastAsia" w:ascii="Times New Roman" w:hAnsi="Times New Roman" w:eastAsia="宋体" w:cs="Times New Roman"/>
                <w:b/>
                <w:spacing w:val="-4"/>
                <w:sz w:val="21"/>
                <w:szCs w:val="21"/>
                <w:highlight w:val="none"/>
              </w:rPr>
              <w:t>m</w:t>
            </w:r>
            <w:r>
              <w:rPr>
                <w:rFonts w:hint="default" w:ascii="Times New Roman" w:hAnsi="Times New Roman" w:eastAsia="宋体" w:cs="Times New Roman"/>
                <w:b/>
                <w:spacing w:val="-4"/>
                <w:sz w:val="21"/>
                <w:szCs w:val="21"/>
                <w:highlight w:val="none"/>
              </w:rPr>
              <w:t>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457E0FE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0.2L</w:t>
            </w:r>
          </w:p>
        </w:tc>
        <w:tc>
          <w:tcPr>
            <w:tcW w:w="2098" w:type="dxa"/>
            <w:tcBorders>
              <w:top w:val="single" w:color="000000" w:sz="4" w:space="0"/>
              <w:left w:val="single" w:color="000000" w:sz="4" w:space="0"/>
              <w:bottom w:val="single" w:color="000000" w:sz="4" w:space="0"/>
            </w:tcBorders>
            <w:noWrap w:val="0"/>
            <w:vAlign w:val="center"/>
          </w:tcPr>
          <w:p w14:paraId="5B8AE53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15</w:t>
            </w:r>
          </w:p>
        </w:tc>
      </w:tr>
      <w:tr w14:paraId="59161EB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8" w:hRule="atLeast"/>
          <w:jc w:val="center"/>
        </w:trPr>
        <w:tc>
          <w:tcPr>
            <w:tcW w:w="1803" w:type="dxa"/>
            <w:tcBorders>
              <w:top w:val="single" w:color="000000" w:sz="4" w:space="0"/>
              <w:bottom w:val="single" w:color="000000" w:sz="4" w:space="0"/>
              <w:right w:val="single" w:color="000000" w:sz="4" w:space="0"/>
            </w:tcBorders>
            <w:noWrap w:val="0"/>
            <w:vAlign w:val="center"/>
          </w:tcPr>
          <w:p w14:paraId="442887D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color w:val="000000"/>
                <w:sz w:val="21"/>
                <w:szCs w:val="24"/>
                <w:highlight w:val="none"/>
              </w:rPr>
              <w:t>苯并[k]荧蒽</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169BB7CF">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eastAsia" w:ascii="Times New Roman" w:hAnsi="Times New Roman" w:eastAsia="宋体" w:cs="Times New Roman"/>
                <w:b/>
                <w:spacing w:val="-4"/>
                <w:sz w:val="21"/>
                <w:szCs w:val="21"/>
                <w:highlight w:val="none"/>
              </w:rPr>
              <w:t>m</w:t>
            </w:r>
            <w:r>
              <w:rPr>
                <w:rFonts w:hint="default" w:ascii="Times New Roman" w:hAnsi="Times New Roman" w:eastAsia="宋体" w:cs="Times New Roman"/>
                <w:b/>
                <w:spacing w:val="-4"/>
                <w:sz w:val="21"/>
                <w:szCs w:val="21"/>
                <w:highlight w:val="none"/>
              </w:rPr>
              <w:t>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3C5C3B2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0.1L</w:t>
            </w:r>
          </w:p>
        </w:tc>
        <w:tc>
          <w:tcPr>
            <w:tcW w:w="2098" w:type="dxa"/>
            <w:tcBorders>
              <w:top w:val="single" w:color="000000" w:sz="4" w:space="0"/>
              <w:left w:val="single" w:color="000000" w:sz="4" w:space="0"/>
              <w:bottom w:val="single" w:color="000000" w:sz="4" w:space="0"/>
            </w:tcBorders>
            <w:noWrap w:val="0"/>
            <w:vAlign w:val="center"/>
          </w:tcPr>
          <w:p w14:paraId="2E41C36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151</w:t>
            </w:r>
          </w:p>
        </w:tc>
      </w:tr>
      <w:tr w14:paraId="4414A3D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8" w:hRule="atLeast"/>
          <w:jc w:val="center"/>
        </w:trPr>
        <w:tc>
          <w:tcPr>
            <w:tcW w:w="1803" w:type="dxa"/>
            <w:tcBorders>
              <w:top w:val="single" w:color="000000" w:sz="4" w:space="0"/>
              <w:bottom w:val="single" w:color="000000" w:sz="4" w:space="0"/>
              <w:right w:val="single" w:color="000000" w:sz="4" w:space="0"/>
            </w:tcBorders>
            <w:noWrap w:val="0"/>
            <w:vAlign w:val="center"/>
          </w:tcPr>
          <w:p w14:paraId="5E405A6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color w:val="000000"/>
                <w:sz w:val="21"/>
                <w:szCs w:val="24"/>
                <w:highlight w:val="none"/>
              </w:rPr>
              <w:t>䓛</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6D3E17B2">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eastAsia" w:ascii="Times New Roman" w:hAnsi="Times New Roman" w:eastAsia="宋体" w:cs="Times New Roman"/>
                <w:b/>
                <w:spacing w:val="-4"/>
                <w:sz w:val="21"/>
                <w:szCs w:val="21"/>
                <w:highlight w:val="none"/>
              </w:rPr>
              <w:t>m</w:t>
            </w:r>
            <w:r>
              <w:rPr>
                <w:rFonts w:hint="default" w:ascii="Times New Roman" w:hAnsi="Times New Roman" w:eastAsia="宋体" w:cs="Times New Roman"/>
                <w:b/>
                <w:spacing w:val="-4"/>
                <w:sz w:val="21"/>
                <w:szCs w:val="21"/>
                <w:highlight w:val="none"/>
              </w:rPr>
              <w:t>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57165D7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0.1L</w:t>
            </w:r>
          </w:p>
        </w:tc>
        <w:tc>
          <w:tcPr>
            <w:tcW w:w="2098" w:type="dxa"/>
            <w:tcBorders>
              <w:top w:val="single" w:color="000000" w:sz="4" w:space="0"/>
              <w:left w:val="single" w:color="000000" w:sz="4" w:space="0"/>
              <w:bottom w:val="single" w:color="000000" w:sz="4" w:space="0"/>
            </w:tcBorders>
            <w:noWrap w:val="0"/>
            <w:vAlign w:val="center"/>
          </w:tcPr>
          <w:p w14:paraId="673B00C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1293</w:t>
            </w:r>
          </w:p>
        </w:tc>
      </w:tr>
      <w:tr w14:paraId="2EA3B3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8" w:hRule="atLeast"/>
          <w:jc w:val="center"/>
        </w:trPr>
        <w:tc>
          <w:tcPr>
            <w:tcW w:w="1803" w:type="dxa"/>
            <w:tcBorders>
              <w:top w:val="single" w:color="000000" w:sz="4" w:space="0"/>
              <w:bottom w:val="single" w:color="000000" w:sz="4" w:space="0"/>
              <w:right w:val="single" w:color="000000" w:sz="4" w:space="0"/>
            </w:tcBorders>
            <w:noWrap w:val="0"/>
            <w:vAlign w:val="center"/>
          </w:tcPr>
          <w:p w14:paraId="5F76E49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二苯并[a,h]蒽</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3D6C1207">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eastAsia" w:ascii="Times New Roman" w:hAnsi="Times New Roman" w:eastAsia="宋体" w:cs="Times New Roman"/>
                <w:b/>
                <w:spacing w:val="-4"/>
                <w:sz w:val="21"/>
                <w:szCs w:val="21"/>
                <w:highlight w:val="none"/>
              </w:rPr>
              <w:t>m</w:t>
            </w:r>
            <w:r>
              <w:rPr>
                <w:rFonts w:hint="default" w:ascii="Times New Roman" w:hAnsi="Times New Roman" w:eastAsia="宋体" w:cs="Times New Roman"/>
                <w:b/>
                <w:spacing w:val="-4"/>
                <w:sz w:val="21"/>
                <w:szCs w:val="21"/>
                <w:highlight w:val="none"/>
              </w:rPr>
              <w:t>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7FB11F1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0.1L</w:t>
            </w:r>
          </w:p>
        </w:tc>
        <w:tc>
          <w:tcPr>
            <w:tcW w:w="2098" w:type="dxa"/>
            <w:tcBorders>
              <w:top w:val="single" w:color="000000" w:sz="4" w:space="0"/>
              <w:left w:val="single" w:color="000000" w:sz="4" w:space="0"/>
              <w:bottom w:val="single" w:color="000000" w:sz="4" w:space="0"/>
            </w:tcBorders>
            <w:noWrap w:val="0"/>
            <w:vAlign w:val="center"/>
          </w:tcPr>
          <w:p w14:paraId="624D131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1.5</w:t>
            </w:r>
          </w:p>
        </w:tc>
      </w:tr>
      <w:tr w14:paraId="3359A26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8" w:hRule="atLeast"/>
          <w:jc w:val="center"/>
        </w:trPr>
        <w:tc>
          <w:tcPr>
            <w:tcW w:w="1803" w:type="dxa"/>
            <w:tcBorders>
              <w:top w:val="single" w:color="000000" w:sz="4" w:space="0"/>
              <w:bottom w:val="single" w:color="000000" w:sz="4" w:space="0"/>
              <w:right w:val="single" w:color="000000" w:sz="4" w:space="0"/>
            </w:tcBorders>
            <w:noWrap w:val="0"/>
            <w:vAlign w:val="center"/>
          </w:tcPr>
          <w:p w14:paraId="671D94F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茚并[1,2,3-cd]芘</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6FC8711D">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eastAsia" w:ascii="Times New Roman" w:hAnsi="Times New Roman" w:eastAsia="宋体" w:cs="Times New Roman"/>
                <w:b/>
                <w:spacing w:val="-4"/>
                <w:sz w:val="21"/>
                <w:szCs w:val="21"/>
                <w:highlight w:val="none"/>
              </w:rPr>
              <w:t>m</w:t>
            </w:r>
            <w:r>
              <w:rPr>
                <w:rFonts w:hint="default" w:ascii="Times New Roman" w:hAnsi="Times New Roman" w:eastAsia="宋体" w:cs="Times New Roman"/>
                <w:b/>
                <w:spacing w:val="-4"/>
                <w:sz w:val="21"/>
                <w:szCs w:val="21"/>
                <w:highlight w:val="none"/>
              </w:rPr>
              <w:t>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0CE7845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0.1L</w:t>
            </w:r>
          </w:p>
        </w:tc>
        <w:tc>
          <w:tcPr>
            <w:tcW w:w="2098" w:type="dxa"/>
            <w:tcBorders>
              <w:top w:val="single" w:color="000000" w:sz="4" w:space="0"/>
              <w:left w:val="single" w:color="000000" w:sz="4" w:space="0"/>
              <w:bottom w:val="single" w:color="000000" w:sz="4" w:space="0"/>
            </w:tcBorders>
            <w:noWrap w:val="0"/>
            <w:vAlign w:val="center"/>
          </w:tcPr>
          <w:p w14:paraId="4BEBA4F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15</w:t>
            </w:r>
          </w:p>
        </w:tc>
      </w:tr>
      <w:tr w14:paraId="328947E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8" w:hRule="atLeast"/>
          <w:jc w:val="center"/>
        </w:trPr>
        <w:tc>
          <w:tcPr>
            <w:tcW w:w="1803" w:type="dxa"/>
            <w:tcBorders>
              <w:top w:val="single" w:color="000000" w:sz="4" w:space="0"/>
              <w:bottom w:val="single" w:color="000000" w:sz="4" w:space="0"/>
              <w:right w:val="single" w:color="000000" w:sz="4" w:space="0"/>
            </w:tcBorders>
            <w:noWrap w:val="0"/>
            <w:vAlign w:val="center"/>
          </w:tcPr>
          <w:p w14:paraId="246FF07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萘</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7140BE58">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eastAsia" w:ascii="Times New Roman" w:hAnsi="Times New Roman" w:eastAsia="宋体" w:cs="Times New Roman"/>
                <w:b/>
                <w:spacing w:val="-4"/>
                <w:sz w:val="21"/>
                <w:szCs w:val="21"/>
                <w:highlight w:val="none"/>
              </w:rPr>
              <w:t>m</w:t>
            </w:r>
            <w:r>
              <w:rPr>
                <w:rFonts w:hint="default" w:ascii="Times New Roman" w:hAnsi="Times New Roman" w:eastAsia="宋体" w:cs="Times New Roman"/>
                <w:b/>
                <w:spacing w:val="-4"/>
                <w:sz w:val="21"/>
                <w:szCs w:val="21"/>
                <w:highlight w:val="none"/>
              </w:rPr>
              <w:t>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53751EF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0.09L</w:t>
            </w:r>
          </w:p>
        </w:tc>
        <w:tc>
          <w:tcPr>
            <w:tcW w:w="2098" w:type="dxa"/>
            <w:tcBorders>
              <w:top w:val="single" w:color="000000" w:sz="4" w:space="0"/>
              <w:left w:val="single" w:color="000000" w:sz="4" w:space="0"/>
              <w:bottom w:val="single" w:color="000000" w:sz="4" w:space="0"/>
            </w:tcBorders>
            <w:noWrap w:val="0"/>
            <w:vAlign w:val="center"/>
          </w:tcPr>
          <w:p w14:paraId="18AC557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70</w:t>
            </w:r>
          </w:p>
        </w:tc>
      </w:tr>
      <w:tr w14:paraId="65C2E67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8" w:hRule="atLeast"/>
          <w:jc w:val="center"/>
        </w:trPr>
        <w:tc>
          <w:tcPr>
            <w:tcW w:w="1803" w:type="dxa"/>
            <w:tcBorders>
              <w:top w:val="single" w:color="000000" w:sz="4" w:space="0"/>
              <w:bottom w:val="single" w:color="000000" w:sz="4" w:space="0"/>
              <w:right w:val="single" w:color="000000" w:sz="4" w:space="0"/>
            </w:tcBorders>
            <w:noWrap w:val="0"/>
            <w:vAlign w:val="center"/>
          </w:tcPr>
          <w:p w14:paraId="5CC0449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kern w:val="0"/>
                <w:sz w:val="21"/>
                <w:szCs w:val="21"/>
                <w:highlight w:val="none"/>
              </w:rPr>
            </w:pPr>
            <w:r>
              <w:rPr>
                <w:rFonts w:hint="default" w:ascii="Times New Roman" w:hAnsi="Times New Roman" w:eastAsia="宋体" w:cs="Times New Roman"/>
                <w:b/>
                <w:sz w:val="21"/>
                <w:szCs w:val="21"/>
                <w:highlight w:val="none"/>
              </w:rPr>
              <w:t>石油烃（C</w:t>
            </w:r>
            <w:r>
              <w:rPr>
                <w:rFonts w:hint="default" w:ascii="Times New Roman" w:hAnsi="Times New Roman" w:eastAsia="宋体" w:cs="Times New Roman"/>
                <w:b/>
                <w:sz w:val="21"/>
                <w:szCs w:val="21"/>
                <w:highlight w:val="none"/>
                <w:vertAlign w:val="subscript"/>
              </w:rPr>
              <w:t>10</w:t>
            </w:r>
            <w:r>
              <w:rPr>
                <w:rFonts w:hint="default" w:ascii="Times New Roman" w:hAnsi="Times New Roman" w:eastAsia="宋体" w:cs="Times New Roman"/>
                <w:b/>
                <w:sz w:val="21"/>
                <w:szCs w:val="21"/>
                <w:highlight w:val="none"/>
              </w:rPr>
              <w:t>-C</w:t>
            </w:r>
            <w:r>
              <w:rPr>
                <w:rFonts w:hint="default" w:ascii="Times New Roman" w:hAnsi="Times New Roman" w:eastAsia="宋体" w:cs="Times New Roman"/>
                <w:b/>
                <w:sz w:val="21"/>
                <w:szCs w:val="21"/>
                <w:highlight w:val="none"/>
                <w:vertAlign w:val="subscript"/>
              </w:rPr>
              <w:t>40</w:t>
            </w:r>
            <w:r>
              <w:rPr>
                <w:rFonts w:hint="default" w:ascii="Times New Roman" w:hAnsi="Times New Roman" w:eastAsia="宋体" w:cs="Times New Roman"/>
                <w:b/>
                <w:sz w:val="21"/>
                <w:szCs w:val="21"/>
                <w:highlight w:val="none"/>
              </w:rPr>
              <w:t>）</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4C697D61">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eastAsia" w:ascii="Times New Roman" w:hAnsi="Times New Roman" w:eastAsia="宋体" w:cs="Times New Roman"/>
                <w:b/>
                <w:spacing w:val="-4"/>
                <w:sz w:val="21"/>
                <w:szCs w:val="21"/>
                <w:highlight w:val="none"/>
              </w:rPr>
              <w:t>m</w:t>
            </w:r>
            <w:r>
              <w:rPr>
                <w:rFonts w:hint="default" w:ascii="Times New Roman" w:hAnsi="Times New Roman" w:eastAsia="宋体" w:cs="Times New Roman"/>
                <w:b/>
                <w:spacing w:val="-4"/>
                <w:sz w:val="21"/>
                <w:szCs w:val="21"/>
                <w:highlight w:val="none"/>
              </w:rPr>
              <w:t>g/kg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41EC40E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6L</w:t>
            </w:r>
          </w:p>
        </w:tc>
        <w:tc>
          <w:tcPr>
            <w:tcW w:w="2098" w:type="dxa"/>
            <w:tcBorders>
              <w:top w:val="single" w:color="000000" w:sz="4" w:space="0"/>
              <w:left w:val="single" w:color="000000" w:sz="4" w:space="0"/>
              <w:bottom w:val="single" w:color="000000" w:sz="4" w:space="0"/>
            </w:tcBorders>
            <w:noWrap w:val="0"/>
            <w:vAlign w:val="center"/>
          </w:tcPr>
          <w:p w14:paraId="0E99737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4500</w:t>
            </w:r>
          </w:p>
        </w:tc>
      </w:tr>
      <w:tr w14:paraId="133C366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8" w:hRule="atLeast"/>
          <w:jc w:val="center"/>
        </w:trPr>
        <w:tc>
          <w:tcPr>
            <w:tcW w:w="1803" w:type="dxa"/>
            <w:tcBorders>
              <w:top w:val="single" w:color="000000" w:sz="4" w:space="0"/>
              <w:bottom w:val="single" w:color="000000" w:sz="4" w:space="0"/>
              <w:right w:val="single" w:color="000000" w:sz="4" w:space="0"/>
            </w:tcBorders>
            <w:noWrap w:val="0"/>
            <w:vAlign w:val="center"/>
          </w:tcPr>
          <w:p w14:paraId="69319B6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Calibri" w:hAnsi="Calibri" w:eastAsia="宋体" w:cs="Calibri"/>
                <w:b/>
                <w:kern w:val="0"/>
                <w:sz w:val="21"/>
                <w:szCs w:val="21"/>
                <w:highlight w:val="none"/>
              </w:rPr>
            </w:pPr>
            <w:r>
              <w:rPr>
                <w:rFonts w:hint="eastAsia" w:ascii="Calibri" w:hAnsi="Calibri" w:eastAsia="宋体" w:cs="Calibri"/>
                <w:b/>
                <w:kern w:val="0"/>
                <w:sz w:val="21"/>
                <w:szCs w:val="21"/>
                <w:highlight w:val="none"/>
              </w:rPr>
              <w:t>阳离子交换量</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5E7FF5D2">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pacing w:val="-4"/>
                <w:sz w:val="21"/>
                <w:szCs w:val="21"/>
                <w:highlight w:val="none"/>
              </w:rPr>
            </w:pPr>
            <w:r>
              <w:rPr>
                <w:rFonts w:hint="default" w:ascii="Times New Roman" w:hAnsi="Times New Roman" w:eastAsia="宋体" w:cs="Times New Roman"/>
                <w:b/>
                <w:spacing w:val="-4"/>
                <w:sz w:val="21"/>
                <w:szCs w:val="21"/>
                <w:highlight w:val="none"/>
              </w:rPr>
              <w:t>cmol+ /kg</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14F99D2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7.5</w:t>
            </w:r>
          </w:p>
        </w:tc>
        <w:tc>
          <w:tcPr>
            <w:tcW w:w="2098" w:type="dxa"/>
            <w:tcBorders>
              <w:top w:val="single" w:color="000000" w:sz="4" w:space="0"/>
              <w:left w:val="single" w:color="000000" w:sz="4" w:space="0"/>
              <w:bottom w:val="single" w:color="000000" w:sz="4" w:space="0"/>
            </w:tcBorders>
            <w:noWrap w:val="0"/>
            <w:vAlign w:val="center"/>
          </w:tcPr>
          <w:p w14:paraId="726F51B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w:t>
            </w:r>
          </w:p>
        </w:tc>
      </w:tr>
      <w:tr w14:paraId="1D14815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8" w:hRule="atLeast"/>
          <w:jc w:val="center"/>
        </w:trPr>
        <w:tc>
          <w:tcPr>
            <w:tcW w:w="1803" w:type="dxa"/>
            <w:tcBorders>
              <w:top w:val="single" w:color="000000" w:sz="4" w:space="0"/>
              <w:bottom w:val="single" w:color="000000" w:sz="4" w:space="0"/>
              <w:right w:val="single" w:color="000000" w:sz="4" w:space="0"/>
            </w:tcBorders>
            <w:noWrap w:val="0"/>
            <w:vAlign w:val="center"/>
          </w:tcPr>
          <w:p w14:paraId="22C0D7B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Calibri" w:hAnsi="Calibri" w:eastAsia="宋体" w:cs="Calibri"/>
                <w:b/>
                <w:kern w:val="0"/>
                <w:sz w:val="21"/>
                <w:szCs w:val="21"/>
                <w:highlight w:val="none"/>
              </w:rPr>
            </w:pPr>
            <w:r>
              <w:rPr>
                <w:rFonts w:hint="eastAsia" w:ascii="Calibri" w:hAnsi="Calibri" w:eastAsia="宋体" w:cs="Calibri"/>
                <w:b/>
                <w:kern w:val="0"/>
                <w:sz w:val="21"/>
                <w:szCs w:val="21"/>
                <w:highlight w:val="none"/>
              </w:rPr>
              <w:t>氧化还原电位</w:t>
            </w:r>
          </w:p>
        </w:tc>
        <w:tc>
          <w:tcPr>
            <w:tcW w:w="1967" w:type="dxa"/>
            <w:tcBorders>
              <w:top w:val="single" w:color="000000" w:sz="4" w:space="0"/>
              <w:left w:val="single" w:color="000000" w:sz="4" w:space="0"/>
              <w:bottom w:val="single" w:color="000000" w:sz="4" w:space="0"/>
              <w:right w:val="single" w:color="000000" w:sz="4" w:space="0"/>
            </w:tcBorders>
            <w:noWrap w:val="0"/>
            <w:vAlign w:val="center"/>
          </w:tcPr>
          <w:p w14:paraId="1EBDDE8F">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pacing w:val="-4"/>
                <w:sz w:val="21"/>
                <w:szCs w:val="21"/>
                <w:highlight w:val="none"/>
              </w:rPr>
            </w:pPr>
            <w:r>
              <w:rPr>
                <w:rFonts w:hint="eastAsia" w:ascii="Times New Roman" w:hAnsi="Times New Roman" w:eastAsia="宋体" w:cs="Times New Roman"/>
                <w:b/>
                <w:spacing w:val="-4"/>
                <w:sz w:val="21"/>
                <w:szCs w:val="21"/>
                <w:highlight w:val="none"/>
              </w:rPr>
              <w:t>mV</w:t>
            </w:r>
          </w:p>
        </w:tc>
        <w:tc>
          <w:tcPr>
            <w:tcW w:w="2490" w:type="dxa"/>
            <w:tcBorders>
              <w:top w:val="single" w:color="000000" w:sz="4" w:space="0"/>
              <w:left w:val="single" w:color="000000" w:sz="4" w:space="0"/>
              <w:bottom w:val="single" w:color="000000" w:sz="4" w:space="0"/>
              <w:right w:val="single" w:color="000000" w:sz="4" w:space="0"/>
            </w:tcBorders>
            <w:noWrap w:val="0"/>
            <w:vAlign w:val="center"/>
          </w:tcPr>
          <w:p w14:paraId="403D11F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189</w:t>
            </w:r>
          </w:p>
        </w:tc>
        <w:tc>
          <w:tcPr>
            <w:tcW w:w="2098" w:type="dxa"/>
            <w:tcBorders>
              <w:top w:val="single" w:color="000000" w:sz="4" w:space="0"/>
              <w:left w:val="single" w:color="000000" w:sz="4" w:space="0"/>
              <w:bottom w:val="single" w:color="000000" w:sz="4" w:space="0"/>
            </w:tcBorders>
            <w:noWrap w:val="0"/>
            <w:vAlign w:val="center"/>
          </w:tcPr>
          <w:p w14:paraId="2C49213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w:t>
            </w:r>
          </w:p>
        </w:tc>
      </w:tr>
      <w:tr w14:paraId="1D75EB6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8" w:hRule="atLeast"/>
          <w:jc w:val="center"/>
        </w:trPr>
        <w:tc>
          <w:tcPr>
            <w:tcW w:w="1803" w:type="dxa"/>
            <w:tcBorders>
              <w:top w:val="single" w:color="000000" w:sz="4" w:space="0"/>
              <w:bottom w:val="single" w:color="000000" w:sz="12" w:space="0"/>
              <w:right w:val="single" w:color="000000" w:sz="4" w:space="0"/>
            </w:tcBorders>
            <w:noWrap w:val="0"/>
            <w:vAlign w:val="center"/>
          </w:tcPr>
          <w:p w14:paraId="277D665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Calibri" w:hAnsi="Calibri" w:eastAsia="宋体" w:cs="Calibri"/>
                <w:b/>
                <w:kern w:val="0"/>
                <w:sz w:val="21"/>
                <w:szCs w:val="21"/>
                <w:highlight w:val="none"/>
              </w:rPr>
            </w:pPr>
            <w:r>
              <w:rPr>
                <w:rFonts w:hint="eastAsia" w:ascii="Calibri" w:hAnsi="Calibri" w:eastAsia="宋体" w:cs="Calibri"/>
                <w:b/>
                <w:kern w:val="0"/>
                <w:sz w:val="21"/>
                <w:szCs w:val="21"/>
                <w:highlight w:val="none"/>
              </w:rPr>
              <w:t>容重</w:t>
            </w:r>
          </w:p>
        </w:tc>
        <w:tc>
          <w:tcPr>
            <w:tcW w:w="1967" w:type="dxa"/>
            <w:tcBorders>
              <w:top w:val="single" w:color="000000" w:sz="4" w:space="0"/>
              <w:left w:val="single" w:color="000000" w:sz="4" w:space="0"/>
              <w:bottom w:val="single" w:color="000000" w:sz="12" w:space="0"/>
              <w:right w:val="single" w:color="000000" w:sz="4" w:space="0"/>
            </w:tcBorders>
            <w:noWrap w:val="0"/>
            <w:vAlign w:val="center"/>
          </w:tcPr>
          <w:p w14:paraId="338C288F">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eastAsia" w:ascii="Times New Roman" w:hAnsi="Times New Roman" w:eastAsia="宋体" w:cs="Times New Roman"/>
                <w:b/>
                <w:spacing w:val="-4"/>
                <w:sz w:val="21"/>
                <w:szCs w:val="21"/>
                <w:highlight w:val="none"/>
              </w:rPr>
            </w:pPr>
            <w:r>
              <w:rPr>
                <w:rFonts w:hint="eastAsia" w:ascii="Times New Roman" w:hAnsi="Times New Roman" w:eastAsia="宋体" w:cs="Times New Roman"/>
                <w:b/>
                <w:color w:val="000000"/>
                <w:sz w:val="21"/>
                <w:szCs w:val="21"/>
                <w:highlight w:val="none"/>
              </w:rPr>
              <w:t>g</w:t>
            </w:r>
            <w:r>
              <w:rPr>
                <w:rFonts w:hint="default" w:ascii="Times New Roman" w:hAnsi="Times New Roman" w:eastAsia="宋体" w:cs="Times New Roman"/>
                <w:b/>
                <w:color w:val="000000"/>
                <w:sz w:val="21"/>
                <w:szCs w:val="21"/>
                <w:highlight w:val="none"/>
              </w:rPr>
              <w:t>/</w:t>
            </w:r>
            <w:r>
              <w:rPr>
                <w:rFonts w:hint="eastAsia" w:ascii="Times New Roman" w:hAnsi="Times New Roman" w:eastAsia="宋体" w:cs="Times New Roman"/>
                <w:b/>
                <w:color w:val="000000"/>
                <w:sz w:val="21"/>
                <w:szCs w:val="21"/>
                <w:highlight w:val="none"/>
              </w:rPr>
              <w:t>cm</w:t>
            </w:r>
            <w:r>
              <w:rPr>
                <w:rFonts w:hint="eastAsia" w:ascii="Times New Roman" w:hAnsi="Times New Roman" w:eastAsia="宋体" w:cs="Times New Roman"/>
                <w:b/>
                <w:color w:val="000000"/>
                <w:sz w:val="21"/>
                <w:szCs w:val="21"/>
                <w:highlight w:val="none"/>
                <w:vertAlign w:val="superscript"/>
              </w:rPr>
              <w:t>3</w:t>
            </w:r>
          </w:p>
        </w:tc>
        <w:tc>
          <w:tcPr>
            <w:tcW w:w="2490" w:type="dxa"/>
            <w:tcBorders>
              <w:top w:val="single" w:color="000000" w:sz="4" w:space="0"/>
              <w:left w:val="single" w:color="000000" w:sz="4" w:space="0"/>
              <w:bottom w:val="single" w:color="000000" w:sz="12" w:space="0"/>
              <w:right w:val="single" w:color="000000" w:sz="4" w:space="0"/>
            </w:tcBorders>
            <w:noWrap w:val="0"/>
            <w:vAlign w:val="center"/>
          </w:tcPr>
          <w:p w14:paraId="61126F1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1.36</w:t>
            </w:r>
          </w:p>
        </w:tc>
        <w:tc>
          <w:tcPr>
            <w:tcW w:w="2098" w:type="dxa"/>
            <w:tcBorders>
              <w:top w:val="single" w:color="000000" w:sz="4" w:space="0"/>
              <w:left w:val="single" w:color="000000" w:sz="4" w:space="0"/>
              <w:bottom w:val="single" w:color="000000" w:sz="12" w:space="0"/>
            </w:tcBorders>
            <w:noWrap w:val="0"/>
            <w:vAlign w:val="center"/>
          </w:tcPr>
          <w:p w14:paraId="4FE43E5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w:t>
            </w:r>
          </w:p>
        </w:tc>
      </w:tr>
    </w:tbl>
    <w:p w14:paraId="6BF91E98">
      <w:pPr>
        <w:spacing w:line="360" w:lineRule="auto"/>
        <w:jc w:val="both"/>
        <w:rPr>
          <w:rFonts w:hint="eastAsia" w:ascii="Times New Roman" w:hAnsi="Times New Roman" w:eastAsia="宋体" w:cs="Times New Roman"/>
          <w:b/>
          <w:sz w:val="18"/>
          <w:szCs w:val="18"/>
          <w:highlight w:val="none"/>
          <w:lang w:eastAsia="zh-CN"/>
        </w:rPr>
      </w:pPr>
      <w:r>
        <w:rPr>
          <w:rFonts w:ascii="Times New Roman" w:hAnsi="Times New Roman" w:eastAsia="宋体" w:cs="Times New Roman"/>
          <w:b/>
          <w:sz w:val="18"/>
          <w:szCs w:val="18"/>
          <w:highlight w:val="none"/>
        </w:rPr>
        <w:t>注：L为低于检出限</w:t>
      </w:r>
      <w:r>
        <w:rPr>
          <w:rFonts w:hint="eastAsia" w:ascii="Times New Roman" w:hAnsi="Times New Roman" w:eastAsia="宋体" w:cs="Times New Roman"/>
          <w:b/>
          <w:sz w:val="18"/>
          <w:szCs w:val="18"/>
          <w:highlight w:val="none"/>
          <w:lang w:eastAsia="zh-CN"/>
        </w:rPr>
        <w:t>。</w:t>
      </w:r>
    </w:p>
    <w:p w14:paraId="5A2A409C">
      <w:pPr>
        <w:spacing w:line="360" w:lineRule="auto"/>
        <w:jc w:val="center"/>
        <w:rPr>
          <w:rFonts w:hint="default" w:ascii="Times New Roman" w:hAnsi="Times New Roman" w:cs="Times New Roman"/>
          <w:b/>
          <w:bCs/>
          <w:spacing w:val="0"/>
          <w:position w:val="0"/>
          <w:sz w:val="24"/>
          <w:highlight w:val="none"/>
        </w:rPr>
      </w:pPr>
      <w:r>
        <w:rPr>
          <w:rFonts w:hint="eastAsia" w:ascii="Times New Roman" w:hAnsi="Times New Roman" w:cs="Times New Roman"/>
          <w:b/>
          <w:spacing w:val="0"/>
          <w:position w:val="0"/>
          <w:sz w:val="24"/>
          <w:highlight w:val="none"/>
          <w:lang w:val="en-US" w:eastAsia="zh-CN" w:bidi="ar"/>
        </w:rPr>
        <w:t>续</w:t>
      </w:r>
      <w:r>
        <w:rPr>
          <w:rFonts w:hint="default" w:ascii="Times New Roman" w:hAnsi="Times New Roman" w:cs="Times New Roman"/>
          <w:b/>
          <w:spacing w:val="0"/>
          <w:position w:val="0"/>
          <w:sz w:val="24"/>
          <w:highlight w:val="none"/>
          <w:lang w:bidi="ar"/>
        </w:rPr>
        <w:t>表4-2-1</w:t>
      </w:r>
      <w:r>
        <w:rPr>
          <w:rFonts w:hint="eastAsia" w:cs="Times New Roman"/>
          <w:b/>
          <w:spacing w:val="0"/>
          <w:position w:val="0"/>
          <w:sz w:val="24"/>
          <w:highlight w:val="none"/>
          <w:lang w:val="en-US" w:eastAsia="zh-CN" w:bidi="ar"/>
        </w:rPr>
        <w:t>8</w:t>
      </w:r>
      <w:r>
        <w:rPr>
          <w:rFonts w:hint="default" w:ascii="Times New Roman" w:hAnsi="Times New Roman" w:cs="Times New Roman"/>
          <w:b/>
          <w:bCs/>
          <w:spacing w:val="0"/>
          <w:position w:val="0"/>
          <w:sz w:val="24"/>
          <w:highlight w:val="none"/>
          <w:lang w:bidi="ar"/>
        </w:rPr>
        <w:t>土壤检测结果表</w:t>
      </w:r>
    </w:p>
    <w:tbl>
      <w:tblPr>
        <w:tblStyle w:val="45"/>
        <w:tblW w:w="8355"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729"/>
        <w:gridCol w:w="1146"/>
        <w:gridCol w:w="1407"/>
        <w:gridCol w:w="1402"/>
        <w:gridCol w:w="1432"/>
        <w:gridCol w:w="1239"/>
      </w:tblGrid>
      <w:tr w14:paraId="064A329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9" w:hRule="atLeast"/>
          <w:jc w:val="center"/>
        </w:trPr>
        <w:tc>
          <w:tcPr>
            <w:tcW w:w="1729" w:type="dxa"/>
            <w:vMerge w:val="restart"/>
            <w:tcBorders>
              <w:right w:val="single" w:color="000000" w:sz="4" w:space="0"/>
            </w:tcBorders>
            <w:noWrap w:val="0"/>
            <w:vAlign w:val="center"/>
          </w:tcPr>
          <w:p w14:paraId="4B29EE1B">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eastAsia" w:ascii="Times New Roman" w:hAnsi="Calibri" w:eastAsia="宋体" w:cs="Times New Roman"/>
                <w:b/>
                <w:sz w:val="21"/>
                <w:szCs w:val="21"/>
                <w:highlight w:val="none"/>
              </w:rPr>
            </w:pPr>
            <w:bookmarkStart w:id="358" w:name="_Toc6210"/>
            <w:bookmarkStart w:id="359" w:name="_Toc31899"/>
            <w:bookmarkStart w:id="360" w:name="_Toc498357776"/>
            <w:bookmarkStart w:id="361" w:name="_Toc3966897"/>
            <w:bookmarkStart w:id="362" w:name="_Toc487897012"/>
            <w:bookmarkStart w:id="363" w:name="_Toc486865383"/>
            <w:r>
              <w:rPr>
                <w:rFonts w:hint="eastAsia" w:ascii="Times New Roman" w:hAnsi="Calibri" w:eastAsia="宋体" w:cs="Times New Roman"/>
                <w:b/>
                <w:sz w:val="21"/>
                <w:szCs w:val="21"/>
                <w:highlight w:val="none"/>
              </w:rPr>
              <w:t>检测项目</w:t>
            </w:r>
          </w:p>
        </w:tc>
        <w:tc>
          <w:tcPr>
            <w:tcW w:w="1146" w:type="dxa"/>
            <w:tcBorders>
              <w:top w:val="single" w:color="000000" w:sz="12" w:space="0"/>
              <w:left w:val="single" w:color="000000" w:sz="4" w:space="0"/>
              <w:bottom w:val="single" w:color="000000" w:sz="4" w:space="0"/>
              <w:right w:val="single" w:color="000000" w:sz="4" w:space="0"/>
            </w:tcBorders>
            <w:noWrap w:val="0"/>
            <w:vAlign w:val="center"/>
          </w:tcPr>
          <w:p w14:paraId="36D90771">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bCs/>
                <w:color w:val="000000"/>
                <w:sz w:val="21"/>
                <w:szCs w:val="21"/>
                <w:highlight w:val="none"/>
              </w:rPr>
              <w:t>采样</w:t>
            </w:r>
            <w:r>
              <w:rPr>
                <w:rFonts w:hint="eastAsia" w:ascii="Times New Roman" w:hAnsi="Times New Roman" w:eastAsia="宋体" w:cs="Times New Roman"/>
                <w:b/>
                <w:bCs/>
                <w:color w:val="000000"/>
                <w:sz w:val="21"/>
                <w:szCs w:val="21"/>
                <w:highlight w:val="none"/>
              </w:rPr>
              <w:t>时间</w:t>
            </w:r>
          </w:p>
        </w:tc>
        <w:tc>
          <w:tcPr>
            <w:tcW w:w="4241" w:type="dxa"/>
            <w:gridSpan w:val="3"/>
            <w:tcBorders>
              <w:top w:val="single" w:color="000000" w:sz="12" w:space="0"/>
              <w:left w:val="single" w:color="000000" w:sz="4" w:space="0"/>
              <w:bottom w:val="single" w:color="000000" w:sz="4" w:space="0"/>
              <w:right w:val="single" w:color="000000" w:sz="4" w:space="0"/>
            </w:tcBorders>
            <w:noWrap w:val="0"/>
            <w:vAlign w:val="center"/>
          </w:tcPr>
          <w:p w14:paraId="38BEE4D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color w:val="000000"/>
                <w:sz w:val="21"/>
                <w:szCs w:val="24"/>
                <w:highlight w:val="none"/>
              </w:rPr>
              <w:t>202</w:t>
            </w:r>
            <w:r>
              <w:rPr>
                <w:rFonts w:hint="eastAsia" w:ascii="Times New Roman" w:hAnsi="Times New Roman" w:eastAsia="宋体" w:cs="Times New Roman"/>
                <w:color w:val="000000"/>
                <w:sz w:val="21"/>
                <w:szCs w:val="24"/>
                <w:highlight w:val="none"/>
              </w:rPr>
              <w:t>5.09.19</w:t>
            </w:r>
          </w:p>
        </w:tc>
        <w:tc>
          <w:tcPr>
            <w:tcW w:w="1239" w:type="dxa"/>
            <w:vMerge w:val="restart"/>
            <w:tcBorders>
              <w:left w:val="single" w:color="000000" w:sz="4" w:space="0"/>
            </w:tcBorders>
            <w:noWrap w:val="0"/>
            <w:vAlign w:val="center"/>
          </w:tcPr>
          <w:p w14:paraId="4B3F127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标准限值</w:t>
            </w:r>
          </w:p>
        </w:tc>
      </w:tr>
      <w:tr w14:paraId="37AB3A7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9" w:hRule="atLeast"/>
          <w:jc w:val="center"/>
        </w:trPr>
        <w:tc>
          <w:tcPr>
            <w:tcW w:w="1729" w:type="dxa"/>
            <w:vMerge w:val="continue"/>
            <w:tcBorders>
              <w:right w:val="single" w:color="000000" w:sz="4" w:space="0"/>
            </w:tcBorders>
            <w:noWrap w:val="0"/>
            <w:vAlign w:val="center"/>
          </w:tcPr>
          <w:p w14:paraId="73E37004">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Calibri" w:eastAsia="宋体" w:cs="Times New Roman"/>
                <w:b/>
                <w:sz w:val="21"/>
                <w:szCs w:val="21"/>
                <w:highlight w:val="none"/>
              </w:rPr>
            </w:pPr>
          </w:p>
        </w:tc>
        <w:tc>
          <w:tcPr>
            <w:tcW w:w="1146" w:type="dxa"/>
            <w:tcBorders>
              <w:top w:val="single" w:color="000000" w:sz="4" w:space="0"/>
              <w:left w:val="single" w:color="000000" w:sz="4" w:space="0"/>
              <w:bottom w:val="single" w:color="000000" w:sz="4" w:space="0"/>
              <w:right w:val="single" w:color="000000" w:sz="4" w:space="0"/>
            </w:tcBorders>
            <w:noWrap w:val="0"/>
            <w:vAlign w:val="center"/>
          </w:tcPr>
          <w:p w14:paraId="03882247">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bCs/>
                <w:color w:val="000000"/>
                <w:sz w:val="21"/>
                <w:szCs w:val="21"/>
                <w:highlight w:val="none"/>
              </w:rPr>
              <w:t>采样点位</w:t>
            </w:r>
          </w:p>
        </w:tc>
        <w:tc>
          <w:tcPr>
            <w:tcW w:w="1407" w:type="dxa"/>
            <w:tcBorders>
              <w:top w:val="single" w:color="000000" w:sz="4" w:space="0"/>
              <w:left w:val="single" w:color="000000" w:sz="4" w:space="0"/>
              <w:bottom w:val="single" w:color="000000" w:sz="4" w:space="0"/>
              <w:right w:val="single" w:color="000000" w:sz="4" w:space="0"/>
            </w:tcBorders>
            <w:noWrap w:val="0"/>
            <w:vAlign w:val="center"/>
          </w:tcPr>
          <w:p w14:paraId="5407AB4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Perpetua" w:eastAsia="宋体" w:cs="Times New Roman"/>
                <w:sz w:val="21"/>
                <w:szCs w:val="21"/>
                <w:highlight w:val="none"/>
              </w:rPr>
              <w:t>占地范围外</w:t>
            </w:r>
            <w:r>
              <w:rPr>
                <w:rFonts w:hint="default" w:ascii="宋体" w:hAnsi="宋体" w:eastAsia="宋体" w:cs="Times New Roman"/>
                <w:color w:val="000000"/>
                <w:sz w:val="21"/>
                <w:szCs w:val="21"/>
                <w:highlight w:val="none"/>
              </w:rPr>
              <w:t>■</w:t>
            </w:r>
            <w:r>
              <w:rPr>
                <w:rFonts w:hint="eastAsia" w:ascii="Times New Roman" w:hAnsi="Times New Roman" w:eastAsia="宋体" w:cs="Times New Roman"/>
                <w:color w:val="000000"/>
                <w:sz w:val="21"/>
                <w:szCs w:val="21"/>
                <w:highlight w:val="none"/>
              </w:rPr>
              <w:t>2</w:t>
            </w:r>
          </w:p>
        </w:tc>
        <w:tc>
          <w:tcPr>
            <w:tcW w:w="1402" w:type="dxa"/>
            <w:tcBorders>
              <w:top w:val="single" w:color="000000" w:sz="4" w:space="0"/>
              <w:left w:val="single" w:color="000000" w:sz="4" w:space="0"/>
              <w:bottom w:val="single" w:color="000000" w:sz="4" w:space="0"/>
              <w:right w:val="single" w:color="000000" w:sz="4" w:space="0"/>
            </w:tcBorders>
            <w:noWrap w:val="0"/>
            <w:vAlign w:val="center"/>
          </w:tcPr>
          <w:p w14:paraId="7843D69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Perpetua" w:eastAsia="宋体" w:cs="Times New Roman"/>
                <w:sz w:val="21"/>
                <w:szCs w:val="21"/>
                <w:highlight w:val="none"/>
              </w:rPr>
              <w:t>占地范围外</w:t>
            </w:r>
            <w:r>
              <w:rPr>
                <w:rFonts w:hint="default" w:ascii="宋体" w:hAnsi="宋体" w:eastAsia="宋体" w:cs="Times New Roman"/>
                <w:color w:val="000000"/>
                <w:sz w:val="21"/>
                <w:szCs w:val="21"/>
                <w:highlight w:val="none"/>
              </w:rPr>
              <w:t>■</w:t>
            </w:r>
            <w:r>
              <w:rPr>
                <w:rFonts w:hint="eastAsia" w:ascii="Times New Roman" w:hAnsi="Times New Roman" w:eastAsia="宋体" w:cs="Times New Roman"/>
                <w:color w:val="000000"/>
                <w:sz w:val="21"/>
                <w:szCs w:val="21"/>
                <w:highlight w:val="none"/>
              </w:rPr>
              <w:t>3</w:t>
            </w:r>
          </w:p>
        </w:tc>
        <w:tc>
          <w:tcPr>
            <w:tcW w:w="1432" w:type="dxa"/>
            <w:tcBorders>
              <w:left w:val="single" w:color="000000" w:sz="4" w:space="0"/>
              <w:right w:val="single" w:color="000000" w:sz="4" w:space="0"/>
            </w:tcBorders>
            <w:noWrap w:val="0"/>
            <w:vAlign w:val="center"/>
          </w:tcPr>
          <w:p w14:paraId="1A8D7E4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Perpetua" w:eastAsia="宋体" w:cs="Times New Roman"/>
                <w:sz w:val="21"/>
                <w:szCs w:val="21"/>
                <w:highlight w:val="none"/>
              </w:rPr>
              <w:t>占地范围外</w:t>
            </w:r>
            <w:r>
              <w:rPr>
                <w:rFonts w:hint="default" w:ascii="宋体" w:hAnsi="宋体" w:eastAsia="宋体" w:cs="Times New Roman"/>
                <w:color w:val="000000"/>
                <w:sz w:val="21"/>
                <w:szCs w:val="21"/>
                <w:highlight w:val="none"/>
              </w:rPr>
              <w:t>■</w:t>
            </w:r>
            <w:r>
              <w:rPr>
                <w:rFonts w:hint="eastAsia" w:ascii="Times New Roman" w:hAnsi="Times New Roman" w:eastAsia="宋体" w:cs="Times New Roman"/>
                <w:color w:val="000000"/>
                <w:sz w:val="21"/>
                <w:szCs w:val="21"/>
                <w:highlight w:val="none"/>
              </w:rPr>
              <w:t>4</w:t>
            </w:r>
          </w:p>
        </w:tc>
        <w:tc>
          <w:tcPr>
            <w:tcW w:w="1239" w:type="dxa"/>
            <w:vMerge w:val="continue"/>
            <w:tcBorders>
              <w:left w:val="single" w:color="000000" w:sz="4" w:space="0"/>
            </w:tcBorders>
            <w:noWrap w:val="0"/>
            <w:vAlign w:val="center"/>
          </w:tcPr>
          <w:p w14:paraId="45FAA61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p>
        </w:tc>
      </w:tr>
      <w:tr w14:paraId="1B9BEA9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9" w:hRule="atLeast"/>
          <w:jc w:val="center"/>
        </w:trPr>
        <w:tc>
          <w:tcPr>
            <w:tcW w:w="1729" w:type="dxa"/>
            <w:vMerge w:val="continue"/>
            <w:tcBorders>
              <w:right w:val="single" w:color="000000" w:sz="4" w:space="0"/>
            </w:tcBorders>
            <w:noWrap w:val="0"/>
            <w:vAlign w:val="center"/>
          </w:tcPr>
          <w:p w14:paraId="1FE84B7C">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Calibri" w:eastAsia="宋体" w:cs="Times New Roman"/>
                <w:b/>
                <w:sz w:val="21"/>
                <w:szCs w:val="21"/>
                <w:highlight w:val="none"/>
              </w:rPr>
            </w:pPr>
          </w:p>
        </w:tc>
        <w:tc>
          <w:tcPr>
            <w:tcW w:w="1146" w:type="dxa"/>
            <w:tcBorders>
              <w:top w:val="single" w:color="000000" w:sz="4" w:space="0"/>
              <w:left w:val="single" w:color="000000" w:sz="4" w:space="0"/>
              <w:bottom w:val="single" w:color="000000" w:sz="4" w:space="0"/>
              <w:right w:val="single" w:color="000000" w:sz="4" w:space="0"/>
            </w:tcBorders>
            <w:noWrap w:val="0"/>
            <w:vAlign w:val="center"/>
          </w:tcPr>
          <w:p w14:paraId="72F58AE0">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eastAsia" w:ascii="Times New Roman" w:hAnsi="宋体" w:eastAsia="宋体" w:cs="Times New Roman"/>
                <w:b/>
                <w:bCs/>
                <w:sz w:val="21"/>
                <w:szCs w:val="21"/>
                <w:highlight w:val="none"/>
              </w:rPr>
              <w:t>样品性状</w:t>
            </w:r>
          </w:p>
        </w:tc>
        <w:tc>
          <w:tcPr>
            <w:tcW w:w="1407" w:type="dxa"/>
            <w:tcBorders>
              <w:top w:val="single" w:color="000000" w:sz="4" w:space="0"/>
              <w:left w:val="single" w:color="000000" w:sz="4" w:space="0"/>
              <w:bottom w:val="single" w:color="000000" w:sz="4" w:space="0"/>
              <w:right w:val="single" w:color="000000" w:sz="4" w:space="0"/>
            </w:tcBorders>
            <w:noWrap w:val="0"/>
            <w:vAlign w:val="center"/>
          </w:tcPr>
          <w:p w14:paraId="22BEB1F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 xml:space="preserve">棕色、壤土 </w:t>
            </w:r>
          </w:p>
        </w:tc>
        <w:tc>
          <w:tcPr>
            <w:tcW w:w="1402" w:type="dxa"/>
            <w:tcBorders>
              <w:top w:val="single" w:color="000000" w:sz="4" w:space="0"/>
              <w:left w:val="single" w:color="000000" w:sz="4" w:space="0"/>
              <w:right w:val="single" w:color="000000" w:sz="4" w:space="0"/>
            </w:tcBorders>
            <w:noWrap w:val="0"/>
            <w:vAlign w:val="center"/>
          </w:tcPr>
          <w:p w14:paraId="151C2B1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 xml:space="preserve">黄色、壤土 </w:t>
            </w:r>
          </w:p>
        </w:tc>
        <w:tc>
          <w:tcPr>
            <w:tcW w:w="1432" w:type="dxa"/>
            <w:tcBorders>
              <w:left w:val="single" w:color="000000" w:sz="4" w:space="0"/>
              <w:right w:val="single" w:color="000000" w:sz="4" w:space="0"/>
            </w:tcBorders>
            <w:noWrap w:val="0"/>
            <w:vAlign w:val="center"/>
          </w:tcPr>
          <w:p w14:paraId="7788749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 xml:space="preserve">棕色、壤土 </w:t>
            </w:r>
          </w:p>
        </w:tc>
        <w:tc>
          <w:tcPr>
            <w:tcW w:w="1239" w:type="dxa"/>
            <w:vMerge w:val="continue"/>
            <w:tcBorders>
              <w:left w:val="single" w:color="000000" w:sz="4" w:space="0"/>
            </w:tcBorders>
            <w:noWrap w:val="0"/>
            <w:vAlign w:val="center"/>
          </w:tcPr>
          <w:p w14:paraId="06175ED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p>
        </w:tc>
      </w:tr>
      <w:tr w14:paraId="09BBCEC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9" w:hRule="atLeast"/>
          <w:jc w:val="center"/>
        </w:trPr>
        <w:tc>
          <w:tcPr>
            <w:tcW w:w="1729" w:type="dxa"/>
            <w:vMerge w:val="continue"/>
            <w:tcBorders>
              <w:bottom w:val="single" w:color="000000" w:sz="4" w:space="0"/>
              <w:right w:val="single" w:color="000000" w:sz="4" w:space="0"/>
            </w:tcBorders>
            <w:noWrap w:val="0"/>
            <w:vAlign w:val="center"/>
          </w:tcPr>
          <w:p w14:paraId="08B16576">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Calibri" w:eastAsia="宋体" w:cs="Times New Roman"/>
                <w:b/>
                <w:sz w:val="21"/>
                <w:szCs w:val="21"/>
                <w:highlight w:val="none"/>
              </w:rPr>
            </w:pPr>
          </w:p>
        </w:tc>
        <w:tc>
          <w:tcPr>
            <w:tcW w:w="1146" w:type="dxa"/>
            <w:tcBorders>
              <w:top w:val="single" w:color="000000" w:sz="4" w:space="0"/>
              <w:left w:val="single" w:color="000000" w:sz="4" w:space="0"/>
              <w:bottom w:val="single" w:color="000000" w:sz="4" w:space="0"/>
              <w:right w:val="single" w:color="000000" w:sz="4" w:space="0"/>
            </w:tcBorders>
            <w:noWrap w:val="0"/>
            <w:vAlign w:val="center"/>
          </w:tcPr>
          <w:p w14:paraId="223910DD">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bCs/>
                <w:color w:val="000000"/>
                <w:sz w:val="21"/>
                <w:szCs w:val="21"/>
                <w:highlight w:val="none"/>
              </w:rPr>
              <w:t>样品编号</w:t>
            </w:r>
          </w:p>
        </w:tc>
        <w:tc>
          <w:tcPr>
            <w:tcW w:w="1407" w:type="dxa"/>
            <w:tcBorders>
              <w:top w:val="single" w:color="000000" w:sz="4" w:space="0"/>
              <w:left w:val="single" w:color="000000" w:sz="4" w:space="0"/>
              <w:bottom w:val="single" w:color="000000" w:sz="4" w:space="0"/>
              <w:right w:val="single" w:color="000000" w:sz="4" w:space="0"/>
            </w:tcBorders>
            <w:noWrap w:val="0"/>
            <w:vAlign w:val="center"/>
          </w:tcPr>
          <w:p w14:paraId="3E0D76E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G250919010201</w:t>
            </w:r>
          </w:p>
        </w:tc>
        <w:tc>
          <w:tcPr>
            <w:tcW w:w="1402" w:type="dxa"/>
            <w:tcBorders>
              <w:left w:val="single" w:color="000000" w:sz="4" w:space="0"/>
              <w:bottom w:val="single" w:color="000000" w:sz="4" w:space="0"/>
              <w:right w:val="single" w:color="000000" w:sz="4" w:space="0"/>
            </w:tcBorders>
            <w:noWrap w:val="0"/>
            <w:vAlign w:val="center"/>
          </w:tcPr>
          <w:p w14:paraId="09FC14B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G250919010301</w:t>
            </w:r>
          </w:p>
        </w:tc>
        <w:tc>
          <w:tcPr>
            <w:tcW w:w="1432" w:type="dxa"/>
            <w:tcBorders>
              <w:left w:val="single" w:color="000000" w:sz="4" w:space="0"/>
              <w:bottom w:val="single" w:color="000000" w:sz="4" w:space="0"/>
              <w:right w:val="single" w:color="000000" w:sz="4" w:space="0"/>
            </w:tcBorders>
            <w:noWrap w:val="0"/>
            <w:vAlign w:val="center"/>
          </w:tcPr>
          <w:p w14:paraId="54A3ED8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G250919010401</w:t>
            </w:r>
          </w:p>
        </w:tc>
        <w:tc>
          <w:tcPr>
            <w:tcW w:w="1239" w:type="dxa"/>
            <w:vMerge w:val="continue"/>
            <w:tcBorders>
              <w:left w:val="single" w:color="000000" w:sz="4" w:space="0"/>
              <w:bottom w:val="single" w:color="000000" w:sz="4" w:space="0"/>
            </w:tcBorders>
            <w:noWrap w:val="0"/>
            <w:vAlign w:val="center"/>
          </w:tcPr>
          <w:p w14:paraId="154ECAB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p>
        </w:tc>
      </w:tr>
      <w:tr w14:paraId="049C1FE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9" w:hRule="atLeast"/>
          <w:jc w:val="center"/>
        </w:trPr>
        <w:tc>
          <w:tcPr>
            <w:tcW w:w="1729" w:type="dxa"/>
            <w:tcBorders>
              <w:top w:val="single" w:color="000000" w:sz="4" w:space="0"/>
              <w:bottom w:val="single" w:color="000000" w:sz="4" w:space="0"/>
              <w:right w:val="single" w:color="000000" w:sz="4" w:space="0"/>
            </w:tcBorders>
            <w:noWrap w:val="0"/>
            <w:vAlign w:val="center"/>
          </w:tcPr>
          <w:p w14:paraId="7A650D6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eastAsia" w:ascii="Times New Roman" w:hAnsi="Times New Roman" w:eastAsia="宋体" w:cs="Times New Roman"/>
                <w:b/>
                <w:sz w:val="21"/>
                <w:szCs w:val="21"/>
                <w:highlight w:val="none"/>
              </w:rPr>
              <w:t>pH</w:t>
            </w:r>
          </w:p>
        </w:tc>
        <w:tc>
          <w:tcPr>
            <w:tcW w:w="1146" w:type="dxa"/>
            <w:tcBorders>
              <w:top w:val="single" w:color="000000" w:sz="4" w:space="0"/>
              <w:left w:val="single" w:color="000000" w:sz="4" w:space="0"/>
              <w:bottom w:val="single" w:color="000000" w:sz="4" w:space="0"/>
              <w:right w:val="single" w:color="000000" w:sz="4" w:space="0"/>
            </w:tcBorders>
            <w:noWrap w:val="0"/>
            <w:vAlign w:val="center"/>
          </w:tcPr>
          <w:p w14:paraId="652E4B2D">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pacing w:val="-4"/>
                <w:sz w:val="21"/>
                <w:szCs w:val="21"/>
                <w:highlight w:val="none"/>
              </w:rPr>
            </w:pPr>
            <w:r>
              <w:rPr>
                <w:rFonts w:hint="eastAsia" w:ascii="Times New Roman" w:hAnsi="Times New Roman" w:eastAsia="宋体" w:cs="Times New Roman"/>
                <w:b/>
                <w:spacing w:val="-4"/>
                <w:sz w:val="21"/>
                <w:szCs w:val="21"/>
                <w:highlight w:val="none"/>
              </w:rPr>
              <w:t>无量纲</w:t>
            </w:r>
          </w:p>
        </w:tc>
        <w:tc>
          <w:tcPr>
            <w:tcW w:w="1407" w:type="dxa"/>
            <w:tcBorders>
              <w:top w:val="single" w:color="000000" w:sz="4" w:space="0"/>
              <w:left w:val="single" w:color="000000" w:sz="4" w:space="0"/>
              <w:bottom w:val="single" w:color="000000" w:sz="4" w:space="0"/>
              <w:right w:val="single" w:color="000000" w:sz="4" w:space="0"/>
            </w:tcBorders>
            <w:noWrap w:val="0"/>
            <w:vAlign w:val="center"/>
          </w:tcPr>
          <w:p w14:paraId="4C4BE59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7.40</w:t>
            </w:r>
          </w:p>
        </w:tc>
        <w:tc>
          <w:tcPr>
            <w:tcW w:w="1402" w:type="dxa"/>
            <w:tcBorders>
              <w:top w:val="single" w:color="000000" w:sz="4" w:space="0"/>
              <w:left w:val="single" w:color="000000" w:sz="4" w:space="0"/>
              <w:bottom w:val="single" w:color="000000" w:sz="4" w:space="0"/>
              <w:right w:val="single" w:color="000000" w:sz="4" w:space="0"/>
            </w:tcBorders>
            <w:noWrap w:val="0"/>
            <w:vAlign w:val="center"/>
          </w:tcPr>
          <w:p w14:paraId="06A1F70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7.74</w:t>
            </w:r>
          </w:p>
        </w:tc>
        <w:tc>
          <w:tcPr>
            <w:tcW w:w="1432" w:type="dxa"/>
            <w:tcBorders>
              <w:top w:val="single" w:color="000000" w:sz="4" w:space="0"/>
              <w:left w:val="single" w:color="000000" w:sz="4" w:space="0"/>
              <w:bottom w:val="single" w:color="000000" w:sz="4" w:space="0"/>
              <w:right w:val="single" w:color="000000" w:sz="4" w:space="0"/>
            </w:tcBorders>
            <w:noWrap w:val="0"/>
            <w:vAlign w:val="center"/>
          </w:tcPr>
          <w:p w14:paraId="2DCAAB1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7.87</w:t>
            </w:r>
          </w:p>
        </w:tc>
        <w:tc>
          <w:tcPr>
            <w:tcW w:w="1239" w:type="dxa"/>
            <w:tcBorders>
              <w:top w:val="single" w:color="000000" w:sz="4" w:space="0"/>
              <w:left w:val="single" w:color="000000" w:sz="4" w:space="0"/>
              <w:bottom w:val="single" w:color="000000" w:sz="4" w:space="0"/>
            </w:tcBorders>
            <w:noWrap w:val="0"/>
            <w:vAlign w:val="center"/>
          </w:tcPr>
          <w:p w14:paraId="0CBBC36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w:t>
            </w:r>
          </w:p>
        </w:tc>
      </w:tr>
      <w:tr w14:paraId="06C5E19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9" w:hRule="atLeast"/>
          <w:jc w:val="center"/>
        </w:trPr>
        <w:tc>
          <w:tcPr>
            <w:tcW w:w="1729" w:type="dxa"/>
            <w:tcBorders>
              <w:top w:val="single" w:color="000000" w:sz="4" w:space="0"/>
              <w:bottom w:val="single" w:color="000000" w:sz="4" w:space="0"/>
              <w:right w:val="single" w:color="000000" w:sz="4" w:space="0"/>
            </w:tcBorders>
            <w:noWrap w:val="0"/>
            <w:vAlign w:val="center"/>
          </w:tcPr>
          <w:p w14:paraId="2B994C8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sz w:val="21"/>
                <w:szCs w:val="21"/>
                <w:highlight w:val="none"/>
              </w:rPr>
              <w:t>石油烃（C</w:t>
            </w:r>
            <w:r>
              <w:rPr>
                <w:rFonts w:hint="default" w:ascii="Times New Roman" w:hAnsi="Times New Roman" w:eastAsia="宋体" w:cs="Times New Roman"/>
                <w:b/>
                <w:sz w:val="21"/>
                <w:szCs w:val="21"/>
                <w:highlight w:val="none"/>
                <w:vertAlign w:val="subscript"/>
              </w:rPr>
              <w:t>10</w:t>
            </w:r>
            <w:r>
              <w:rPr>
                <w:rFonts w:hint="default" w:ascii="Times New Roman" w:hAnsi="Times New Roman" w:eastAsia="宋体" w:cs="Times New Roman"/>
                <w:b/>
                <w:sz w:val="21"/>
                <w:szCs w:val="21"/>
                <w:highlight w:val="none"/>
              </w:rPr>
              <w:t>-C</w:t>
            </w:r>
            <w:r>
              <w:rPr>
                <w:rFonts w:hint="default" w:ascii="Times New Roman" w:hAnsi="Times New Roman" w:eastAsia="宋体" w:cs="Times New Roman"/>
                <w:b/>
                <w:sz w:val="21"/>
                <w:szCs w:val="21"/>
                <w:highlight w:val="none"/>
                <w:vertAlign w:val="subscript"/>
              </w:rPr>
              <w:t>40</w:t>
            </w:r>
            <w:r>
              <w:rPr>
                <w:rFonts w:hint="default" w:ascii="Times New Roman" w:hAnsi="Times New Roman" w:eastAsia="宋体" w:cs="Times New Roman"/>
                <w:b/>
                <w:sz w:val="21"/>
                <w:szCs w:val="21"/>
                <w:highlight w:val="none"/>
              </w:rPr>
              <w:t>）</w:t>
            </w:r>
          </w:p>
        </w:tc>
        <w:tc>
          <w:tcPr>
            <w:tcW w:w="1146" w:type="dxa"/>
            <w:tcBorders>
              <w:top w:val="single" w:color="000000" w:sz="4" w:space="0"/>
              <w:left w:val="single" w:color="000000" w:sz="4" w:space="0"/>
              <w:bottom w:val="single" w:color="000000" w:sz="4" w:space="0"/>
              <w:right w:val="single" w:color="000000" w:sz="4" w:space="0"/>
            </w:tcBorders>
            <w:noWrap w:val="0"/>
            <w:vAlign w:val="center"/>
          </w:tcPr>
          <w:p w14:paraId="011334E1">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spacing w:val="-4"/>
                <w:sz w:val="21"/>
                <w:szCs w:val="21"/>
                <w:highlight w:val="none"/>
              </w:rPr>
              <w:t>mg/kg</w:t>
            </w:r>
          </w:p>
        </w:tc>
        <w:tc>
          <w:tcPr>
            <w:tcW w:w="1407" w:type="dxa"/>
            <w:tcBorders>
              <w:top w:val="single" w:color="000000" w:sz="4" w:space="0"/>
              <w:left w:val="single" w:color="000000" w:sz="4" w:space="0"/>
              <w:bottom w:val="single" w:color="000000" w:sz="4" w:space="0"/>
              <w:right w:val="single" w:color="000000" w:sz="4" w:space="0"/>
            </w:tcBorders>
            <w:noWrap w:val="0"/>
            <w:vAlign w:val="center"/>
          </w:tcPr>
          <w:p w14:paraId="00CC346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6L</w:t>
            </w:r>
          </w:p>
        </w:tc>
        <w:tc>
          <w:tcPr>
            <w:tcW w:w="1402" w:type="dxa"/>
            <w:tcBorders>
              <w:top w:val="single" w:color="000000" w:sz="4" w:space="0"/>
              <w:left w:val="single" w:color="000000" w:sz="4" w:space="0"/>
              <w:bottom w:val="single" w:color="000000" w:sz="4" w:space="0"/>
              <w:right w:val="single" w:color="000000" w:sz="4" w:space="0"/>
            </w:tcBorders>
            <w:noWrap w:val="0"/>
            <w:vAlign w:val="center"/>
          </w:tcPr>
          <w:p w14:paraId="2DA744D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6L</w:t>
            </w:r>
          </w:p>
        </w:tc>
        <w:tc>
          <w:tcPr>
            <w:tcW w:w="1432" w:type="dxa"/>
            <w:tcBorders>
              <w:top w:val="single" w:color="000000" w:sz="4" w:space="0"/>
              <w:left w:val="single" w:color="000000" w:sz="4" w:space="0"/>
              <w:bottom w:val="single" w:color="000000" w:sz="4" w:space="0"/>
              <w:right w:val="single" w:color="000000" w:sz="4" w:space="0"/>
            </w:tcBorders>
            <w:noWrap w:val="0"/>
            <w:vAlign w:val="center"/>
          </w:tcPr>
          <w:p w14:paraId="0AB1A66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6L</w:t>
            </w:r>
          </w:p>
        </w:tc>
        <w:tc>
          <w:tcPr>
            <w:tcW w:w="1239" w:type="dxa"/>
            <w:tcBorders>
              <w:top w:val="single" w:color="000000" w:sz="4" w:space="0"/>
              <w:left w:val="single" w:color="000000" w:sz="4" w:space="0"/>
              <w:bottom w:val="single" w:color="000000" w:sz="4" w:space="0"/>
            </w:tcBorders>
            <w:noWrap w:val="0"/>
            <w:vAlign w:val="center"/>
          </w:tcPr>
          <w:p w14:paraId="7555B4F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4500</w:t>
            </w:r>
          </w:p>
        </w:tc>
      </w:tr>
      <w:tr w14:paraId="21428F5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9" w:hRule="atLeast"/>
          <w:jc w:val="center"/>
        </w:trPr>
        <w:tc>
          <w:tcPr>
            <w:tcW w:w="1729" w:type="dxa"/>
            <w:tcBorders>
              <w:top w:val="single" w:color="000000" w:sz="4" w:space="0"/>
              <w:bottom w:val="single" w:color="000000" w:sz="4" w:space="0"/>
              <w:right w:val="single" w:color="000000" w:sz="4" w:space="0"/>
            </w:tcBorders>
            <w:noWrap w:val="0"/>
            <w:vAlign w:val="center"/>
          </w:tcPr>
          <w:p w14:paraId="2405F79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Calibri" w:hAnsi="Calibri" w:eastAsia="宋体" w:cs="Calibri"/>
                <w:b/>
                <w:kern w:val="0"/>
                <w:sz w:val="21"/>
                <w:szCs w:val="21"/>
                <w:highlight w:val="none"/>
              </w:rPr>
            </w:pPr>
            <w:r>
              <w:rPr>
                <w:rFonts w:hint="eastAsia" w:ascii="Calibri" w:hAnsi="Calibri" w:eastAsia="宋体" w:cs="Calibri"/>
                <w:b/>
                <w:kern w:val="0"/>
                <w:sz w:val="21"/>
                <w:szCs w:val="21"/>
                <w:highlight w:val="none"/>
              </w:rPr>
              <w:t>阳离子交换量</w:t>
            </w:r>
          </w:p>
        </w:tc>
        <w:tc>
          <w:tcPr>
            <w:tcW w:w="1146" w:type="dxa"/>
            <w:tcBorders>
              <w:top w:val="single" w:color="000000" w:sz="4" w:space="0"/>
              <w:left w:val="single" w:color="000000" w:sz="4" w:space="0"/>
              <w:bottom w:val="single" w:color="000000" w:sz="4" w:space="0"/>
              <w:right w:val="single" w:color="000000" w:sz="4" w:space="0"/>
            </w:tcBorders>
            <w:noWrap w:val="0"/>
            <w:vAlign w:val="center"/>
          </w:tcPr>
          <w:p w14:paraId="674F0548">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pacing w:val="-4"/>
                <w:sz w:val="21"/>
                <w:szCs w:val="21"/>
                <w:highlight w:val="none"/>
              </w:rPr>
            </w:pPr>
            <w:r>
              <w:rPr>
                <w:rFonts w:hint="default" w:ascii="Times New Roman" w:hAnsi="Times New Roman" w:eastAsia="宋体" w:cs="Times New Roman"/>
                <w:b/>
                <w:spacing w:val="-4"/>
                <w:sz w:val="21"/>
                <w:szCs w:val="21"/>
                <w:highlight w:val="none"/>
              </w:rPr>
              <w:t>cmol+ /kg</w:t>
            </w:r>
          </w:p>
        </w:tc>
        <w:tc>
          <w:tcPr>
            <w:tcW w:w="1407" w:type="dxa"/>
            <w:tcBorders>
              <w:top w:val="single" w:color="000000" w:sz="4" w:space="0"/>
              <w:left w:val="single" w:color="000000" w:sz="4" w:space="0"/>
              <w:bottom w:val="single" w:color="000000" w:sz="4" w:space="0"/>
              <w:right w:val="single" w:color="000000" w:sz="4" w:space="0"/>
            </w:tcBorders>
            <w:noWrap w:val="0"/>
            <w:vAlign w:val="center"/>
          </w:tcPr>
          <w:p w14:paraId="7135DAF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8.5</w:t>
            </w:r>
          </w:p>
        </w:tc>
        <w:tc>
          <w:tcPr>
            <w:tcW w:w="1402" w:type="dxa"/>
            <w:tcBorders>
              <w:top w:val="single" w:color="000000" w:sz="4" w:space="0"/>
              <w:left w:val="single" w:color="000000" w:sz="4" w:space="0"/>
              <w:bottom w:val="single" w:color="000000" w:sz="4" w:space="0"/>
              <w:right w:val="single" w:color="000000" w:sz="4" w:space="0"/>
            </w:tcBorders>
            <w:noWrap w:val="0"/>
            <w:vAlign w:val="center"/>
          </w:tcPr>
          <w:p w14:paraId="25F38E4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2.7</w:t>
            </w:r>
          </w:p>
        </w:tc>
        <w:tc>
          <w:tcPr>
            <w:tcW w:w="1432" w:type="dxa"/>
            <w:tcBorders>
              <w:top w:val="single" w:color="000000" w:sz="4" w:space="0"/>
              <w:left w:val="single" w:color="000000" w:sz="4" w:space="0"/>
              <w:bottom w:val="single" w:color="000000" w:sz="4" w:space="0"/>
              <w:right w:val="single" w:color="000000" w:sz="4" w:space="0"/>
            </w:tcBorders>
            <w:noWrap w:val="0"/>
            <w:vAlign w:val="center"/>
          </w:tcPr>
          <w:p w14:paraId="7355440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5.3</w:t>
            </w:r>
          </w:p>
        </w:tc>
        <w:tc>
          <w:tcPr>
            <w:tcW w:w="1239" w:type="dxa"/>
            <w:tcBorders>
              <w:top w:val="single" w:color="000000" w:sz="4" w:space="0"/>
              <w:left w:val="single" w:color="000000" w:sz="4" w:space="0"/>
              <w:bottom w:val="single" w:color="000000" w:sz="4" w:space="0"/>
            </w:tcBorders>
            <w:noWrap w:val="0"/>
            <w:vAlign w:val="center"/>
          </w:tcPr>
          <w:p w14:paraId="5B60753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w:t>
            </w:r>
          </w:p>
        </w:tc>
      </w:tr>
      <w:tr w14:paraId="5F18D72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9" w:hRule="atLeast"/>
          <w:jc w:val="center"/>
        </w:trPr>
        <w:tc>
          <w:tcPr>
            <w:tcW w:w="1729" w:type="dxa"/>
            <w:tcBorders>
              <w:top w:val="single" w:color="000000" w:sz="4" w:space="0"/>
              <w:bottom w:val="single" w:color="000000" w:sz="4" w:space="0"/>
              <w:right w:val="single" w:color="000000" w:sz="4" w:space="0"/>
            </w:tcBorders>
            <w:noWrap w:val="0"/>
            <w:vAlign w:val="center"/>
          </w:tcPr>
          <w:p w14:paraId="3FB752A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Calibri" w:hAnsi="Calibri" w:eastAsia="宋体" w:cs="Calibri"/>
                <w:b/>
                <w:kern w:val="0"/>
                <w:sz w:val="21"/>
                <w:szCs w:val="21"/>
                <w:highlight w:val="none"/>
              </w:rPr>
            </w:pPr>
            <w:r>
              <w:rPr>
                <w:rFonts w:hint="eastAsia" w:ascii="Calibri" w:hAnsi="Calibri" w:eastAsia="宋体" w:cs="Calibri"/>
                <w:b/>
                <w:kern w:val="0"/>
                <w:sz w:val="21"/>
                <w:szCs w:val="21"/>
                <w:highlight w:val="none"/>
              </w:rPr>
              <w:t>氧化还原电位</w:t>
            </w:r>
          </w:p>
        </w:tc>
        <w:tc>
          <w:tcPr>
            <w:tcW w:w="1146" w:type="dxa"/>
            <w:tcBorders>
              <w:top w:val="single" w:color="000000" w:sz="4" w:space="0"/>
              <w:left w:val="single" w:color="000000" w:sz="4" w:space="0"/>
              <w:bottom w:val="single" w:color="000000" w:sz="4" w:space="0"/>
              <w:right w:val="single" w:color="000000" w:sz="4" w:space="0"/>
            </w:tcBorders>
            <w:noWrap w:val="0"/>
            <w:vAlign w:val="center"/>
          </w:tcPr>
          <w:p w14:paraId="5EE377A7">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pacing w:val="-4"/>
                <w:sz w:val="21"/>
                <w:szCs w:val="21"/>
                <w:highlight w:val="none"/>
              </w:rPr>
            </w:pPr>
            <w:r>
              <w:rPr>
                <w:rFonts w:hint="eastAsia" w:ascii="Times New Roman" w:hAnsi="Times New Roman" w:eastAsia="宋体" w:cs="Times New Roman"/>
                <w:b/>
                <w:spacing w:val="-4"/>
                <w:sz w:val="21"/>
                <w:szCs w:val="21"/>
                <w:highlight w:val="none"/>
              </w:rPr>
              <w:t>mV</w:t>
            </w:r>
          </w:p>
        </w:tc>
        <w:tc>
          <w:tcPr>
            <w:tcW w:w="1407" w:type="dxa"/>
            <w:tcBorders>
              <w:top w:val="single" w:color="000000" w:sz="4" w:space="0"/>
              <w:left w:val="single" w:color="000000" w:sz="4" w:space="0"/>
              <w:bottom w:val="single" w:color="000000" w:sz="4" w:space="0"/>
              <w:right w:val="single" w:color="000000" w:sz="4" w:space="0"/>
            </w:tcBorders>
            <w:noWrap w:val="0"/>
            <w:vAlign w:val="center"/>
          </w:tcPr>
          <w:p w14:paraId="6B67CEC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148</w:t>
            </w:r>
          </w:p>
        </w:tc>
        <w:tc>
          <w:tcPr>
            <w:tcW w:w="1402" w:type="dxa"/>
            <w:tcBorders>
              <w:top w:val="single" w:color="000000" w:sz="4" w:space="0"/>
              <w:left w:val="single" w:color="000000" w:sz="4" w:space="0"/>
              <w:bottom w:val="single" w:color="000000" w:sz="4" w:space="0"/>
              <w:right w:val="single" w:color="000000" w:sz="4" w:space="0"/>
            </w:tcBorders>
            <w:noWrap w:val="0"/>
            <w:vAlign w:val="center"/>
          </w:tcPr>
          <w:p w14:paraId="1B4E7FA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140</w:t>
            </w:r>
          </w:p>
        </w:tc>
        <w:tc>
          <w:tcPr>
            <w:tcW w:w="1432" w:type="dxa"/>
            <w:tcBorders>
              <w:top w:val="single" w:color="000000" w:sz="4" w:space="0"/>
              <w:left w:val="single" w:color="000000" w:sz="4" w:space="0"/>
              <w:bottom w:val="single" w:color="000000" w:sz="4" w:space="0"/>
              <w:right w:val="single" w:color="000000" w:sz="4" w:space="0"/>
            </w:tcBorders>
            <w:noWrap w:val="0"/>
            <w:vAlign w:val="center"/>
          </w:tcPr>
          <w:p w14:paraId="1DB6C22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156</w:t>
            </w:r>
          </w:p>
        </w:tc>
        <w:tc>
          <w:tcPr>
            <w:tcW w:w="1239" w:type="dxa"/>
            <w:tcBorders>
              <w:top w:val="single" w:color="000000" w:sz="4" w:space="0"/>
              <w:left w:val="single" w:color="000000" w:sz="4" w:space="0"/>
              <w:bottom w:val="single" w:color="000000" w:sz="4" w:space="0"/>
            </w:tcBorders>
            <w:noWrap w:val="0"/>
            <w:vAlign w:val="center"/>
          </w:tcPr>
          <w:p w14:paraId="13FC9E2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w:t>
            </w:r>
          </w:p>
        </w:tc>
      </w:tr>
      <w:tr w14:paraId="6E6C768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9" w:hRule="atLeast"/>
          <w:jc w:val="center"/>
        </w:trPr>
        <w:tc>
          <w:tcPr>
            <w:tcW w:w="1729" w:type="dxa"/>
            <w:tcBorders>
              <w:top w:val="single" w:color="000000" w:sz="4" w:space="0"/>
              <w:bottom w:val="single" w:color="000000" w:sz="12" w:space="0"/>
              <w:right w:val="single" w:color="000000" w:sz="4" w:space="0"/>
            </w:tcBorders>
            <w:noWrap w:val="0"/>
            <w:vAlign w:val="center"/>
          </w:tcPr>
          <w:p w14:paraId="3D0C75B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容重</w:t>
            </w:r>
          </w:p>
        </w:tc>
        <w:tc>
          <w:tcPr>
            <w:tcW w:w="1146" w:type="dxa"/>
            <w:tcBorders>
              <w:top w:val="single" w:color="000000" w:sz="4" w:space="0"/>
              <w:left w:val="single" w:color="000000" w:sz="4" w:space="0"/>
              <w:bottom w:val="single" w:color="000000" w:sz="12" w:space="0"/>
              <w:right w:val="single" w:color="000000" w:sz="4" w:space="0"/>
            </w:tcBorders>
            <w:noWrap w:val="0"/>
            <w:vAlign w:val="center"/>
          </w:tcPr>
          <w:p w14:paraId="26EA6801">
            <w:pPr>
              <w:keepNext w:val="0"/>
              <w:keepLines w:val="0"/>
              <w:widowControl/>
              <w:suppressLineNumbers w:val="0"/>
              <w:wordWrap/>
              <w:adjustRightInd/>
              <w:snapToGrid/>
              <w:spacing w:before="0" w:beforeAutospacing="0" w:after="0" w:afterAutospacing="0" w:line="240" w:lineRule="exact"/>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color w:val="000000"/>
                <w:sz w:val="21"/>
                <w:szCs w:val="21"/>
                <w:highlight w:val="none"/>
              </w:rPr>
              <w:t>g</w:t>
            </w:r>
            <w:r>
              <w:rPr>
                <w:rFonts w:hint="default" w:ascii="Times New Roman" w:hAnsi="Times New Roman" w:eastAsia="宋体" w:cs="Times New Roman"/>
                <w:b/>
                <w:color w:val="000000"/>
                <w:sz w:val="21"/>
                <w:szCs w:val="21"/>
                <w:highlight w:val="none"/>
              </w:rPr>
              <w:t>/</w:t>
            </w:r>
            <w:r>
              <w:rPr>
                <w:rFonts w:hint="eastAsia" w:ascii="Times New Roman" w:hAnsi="Times New Roman" w:eastAsia="宋体" w:cs="Times New Roman"/>
                <w:b/>
                <w:color w:val="000000"/>
                <w:sz w:val="21"/>
                <w:szCs w:val="21"/>
                <w:highlight w:val="none"/>
              </w:rPr>
              <w:t>cm</w:t>
            </w:r>
            <w:r>
              <w:rPr>
                <w:rFonts w:hint="eastAsia" w:ascii="Times New Roman" w:hAnsi="Times New Roman" w:eastAsia="宋体" w:cs="Times New Roman"/>
                <w:b/>
                <w:color w:val="000000"/>
                <w:sz w:val="21"/>
                <w:szCs w:val="21"/>
                <w:highlight w:val="none"/>
                <w:vertAlign w:val="superscript"/>
              </w:rPr>
              <w:t>3</w:t>
            </w:r>
          </w:p>
        </w:tc>
        <w:tc>
          <w:tcPr>
            <w:tcW w:w="1407" w:type="dxa"/>
            <w:tcBorders>
              <w:top w:val="single" w:color="000000" w:sz="4" w:space="0"/>
              <w:left w:val="single" w:color="000000" w:sz="4" w:space="0"/>
              <w:bottom w:val="single" w:color="000000" w:sz="12" w:space="0"/>
              <w:right w:val="single" w:color="000000" w:sz="4" w:space="0"/>
            </w:tcBorders>
            <w:noWrap w:val="0"/>
            <w:vAlign w:val="center"/>
          </w:tcPr>
          <w:p w14:paraId="2EAF4E5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1.20</w:t>
            </w:r>
          </w:p>
        </w:tc>
        <w:tc>
          <w:tcPr>
            <w:tcW w:w="1402" w:type="dxa"/>
            <w:tcBorders>
              <w:top w:val="single" w:color="000000" w:sz="4" w:space="0"/>
              <w:left w:val="single" w:color="000000" w:sz="4" w:space="0"/>
              <w:bottom w:val="single" w:color="000000" w:sz="12" w:space="0"/>
              <w:right w:val="single" w:color="000000" w:sz="4" w:space="0"/>
            </w:tcBorders>
            <w:noWrap w:val="0"/>
            <w:vAlign w:val="center"/>
          </w:tcPr>
          <w:p w14:paraId="54ABED8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1.34</w:t>
            </w:r>
          </w:p>
        </w:tc>
        <w:tc>
          <w:tcPr>
            <w:tcW w:w="1432" w:type="dxa"/>
            <w:tcBorders>
              <w:top w:val="single" w:color="000000" w:sz="4" w:space="0"/>
              <w:left w:val="single" w:color="000000" w:sz="4" w:space="0"/>
              <w:bottom w:val="single" w:color="000000" w:sz="12" w:space="0"/>
              <w:right w:val="single" w:color="000000" w:sz="4" w:space="0"/>
            </w:tcBorders>
            <w:noWrap w:val="0"/>
            <w:vAlign w:val="center"/>
          </w:tcPr>
          <w:p w14:paraId="7519D02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1.23</w:t>
            </w:r>
          </w:p>
        </w:tc>
        <w:tc>
          <w:tcPr>
            <w:tcW w:w="1239" w:type="dxa"/>
            <w:tcBorders>
              <w:top w:val="single" w:color="000000" w:sz="4" w:space="0"/>
              <w:left w:val="single" w:color="000000" w:sz="4" w:space="0"/>
              <w:bottom w:val="single" w:color="000000" w:sz="12" w:space="0"/>
            </w:tcBorders>
            <w:noWrap w:val="0"/>
            <w:vAlign w:val="center"/>
          </w:tcPr>
          <w:p w14:paraId="052F9FC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w:t>
            </w:r>
          </w:p>
        </w:tc>
      </w:tr>
    </w:tbl>
    <w:p w14:paraId="4366B041">
      <w:pPr>
        <w:keepNext w:val="0"/>
        <w:keepLines w:val="0"/>
        <w:pageBreakBefore w:val="0"/>
        <w:widowControl w:val="0"/>
        <w:suppressLineNumbers w:val="0"/>
        <w:kinsoku/>
        <w:overflowPunct/>
        <w:topLinePunct w:val="0"/>
        <w:autoSpaceDE/>
        <w:autoSpaceDN/>
        <w:bidi w:val="0"/>
        <w:adjustRightInd/>
        <w:snapToGrid/>
        <w:spacing w:before="0" w:beforeAutospacing="0" w:afterAutospacing="0" w:line="360" w:lineRule="auto"/>
        <w:ind w:left="0" w:right="0" w:firstLine="0" w:firstLineChars="0"/>
        <w:jc w:val="both"/>
        <w:textAlignment w:val="auto"/>
        <w:outlineLvl w:val="9"/>
        <w:rPr>
          <w:rFonts w:hint="eastAsia" w:cs="Times New Roman"/>
          <w:b/>
          <w:bCs w:val="0"/>
          <w:kern w:val="2"/>
          <w:sz w:val="18"/>
          <w:szCs w:val="18"/>
          <w:highlight w:val="none"/>
          <w:lang w:val="en-US" w:eastAsia="zh-CN" w:bidi="ar"/>
        </w:rPr>
      </w:pPr>
      <w:r>
        <w:rPr>
          <w:rFonts w:hint="eastAsia" w:ascii="Times New Roman" w:hAnsi="Times New Roman" w:eastAsia="宋体" w:cs="Times New Roman"/>
          <w:b/>
          <w:bCs w:val="0"/>
          <w:kern w:val="2"/>
          <w:sz w:val="18"/>
          <w:szCs w:val="18"/>
          <w:highlight w:val="none"/>
          <w:lang w:val="en-US" w:eastAsia="zh-CN" w:bidi="ar"/>
        </w:rPr>
        <w:t>注：</w:t>
      </w:r>
      <w:r>
        <w:rPr>
          <w:rFonts w:hint="default" w:ascii="Times New Roman" w:hAnsi="Times New Roman" w:eastAsia="宋体" w:cs="Times New Roman"/>
          <w:b/>
          <w:bCs w:val="0"/>
          <w:kern w:val="2"/>
          <w:sz w:val="18"/>
          <w:szCs w:val="18"/>
          <w:highlight w:val="none"/>
          <w:lang w:val="en-US" w:eastAsia="zh-CN" w:bidi="ar"/>
        </w:rPr>
        <w:t>L</w:t>
      </w:r>
      <w:r>
        <w:rPr>
          <w:rFonts w:hint="eastAsia" w:ascii="Times New Roman" w:hAnsi="Times New Roman" w:eastAsia="宋体" w:cs="Times New Roman"/>
          <w:b/>
          <w:bCs w:val="0"/>
          <w:kern w:val="2"/>
          <w:sz w:val="18"/>
          <w:szCs w:val="18"/>
          <w:highlight w:val="none"/>
          <w:lang w:val="en-US" w:eastAsia="zh-CN" w:bidi="ar"/>
        </w:rPr>
        <w:t>为低于检出限</w:t>
      </w:r>
      <w:r>
        <w:rPr>
          <w:rFonts w:hint="eastAsia" w:cs="Times New Roman"/>
          <w:b/>
          <w:bCs w:val="0"/>
          <w:kern w:val="2"/>
          <w:sz w:val="18"/>
          <w:szCs w:val="18"/>
          <w:highlight w:val="none"/>
          <w:lang w:val="en-US" w:eastAsia="zh-CN" w:bidi="ar"/>
        </w:rPr>
        <w:t>。</w:t>
      </w:r>
    </w:p>
    <w:tbl>
      <w:tblPr>
        <w:tblStyle w:val="45"/>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657"/>
        <w:gridCol w:w="1212"/>
        <w:gridCol w:w="1529"/>
        <w:gridCol w:w="1594"/>
        <w:gridCol w:w="1552"/>
        <w:gridCol w:w="978"/>
      </w:tblGrid>
      <w:tr w14:paraId="14718AC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296" w:hRule="atLeast"/>
          <w:jc w:val="center"/>
        </w:trPr>
        <w:tc>
          <w:tcPr>
            <w:tcW w:w="1770" w:type="dxa"/>
            <w:vMerge w:val="restart"/>
            <w:tcBorders>
              <w:top w:val="single" w:color="000000" w:sz="12" w:space="0"/>
              <w:right w:val="single" w:color="000000" w:sz="4" w:space="0"/>
            </w:tcBorders>
            <w:noWrap w:val="0"/>
            <w:vAlign w:val="center"/>
          </w:tcPr>
          <w:p w14:paraId="4AEB93B3">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Calibri" w:eastAsia="宋体" w:cs="Times New Roman"/>
                <w:b/>
                <w:sz w:val="21"/>
                <w:szCs w:val="21"/>
                <w:highlight w:val="none"/>
              </w:rPr>
            </w:pPr>
            <w:r>
              <w:rPr>
                <w:rFonts w:hint="default" w:ascii="Times New Roman" w:hAnsi="Calibri" w:eastAsia="宋体" w:cs="Times New Roman"/>
                <w:b/>
                <w:sz w:val="21"/>
                <w:szCs w:val="21"/>
                <w:highlight w:val="none"/>
              </w:rPr>
              <w:t>检测项目</w:t>
            </w:r>
          </w:p>
        </w:tc>
        <w:tc>
          <w:tcPr>
            <w:tcW w:w="1289" w:type="dxa"/>
            <w:tcBorders>
              <w:top w:val="single" w:color="000000" w:sz="12" w:space="0"/>
              <w:left w:val="single" w:color="000000" w:sz="4" w:space="0"/>
              <w:bottom w:val="single" w:color="000000" w:sz="4" w:space="0"/>
              <w:right w:val="single" w:color="000000" w:sz="4" w:space="0"/>
            </w:tcBorders>
            <w:noWrap w:val="0"/>
            <w:vAlign w:val="center"/>
          </w:tcPr>
          <w:p w14:paraId="62BF014D">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eastAsia" w:ascii="Times New Roman" w:hAnsi="Times New Roman" w:eastAsia="宋体" w:cs="Times New Roman"/>
                <w:b/>
                <w:bCs/>
                <w:color w:val="000000"/>
                <w:sz w:val="21"/>
                <w:szCs w:val="21"/>
                <w:highlight w:val="none"/>
              </w:rPr>
              <w:t>采样时间</w:t>
            </w:r>
          </w:p>
        </w:tc>
        <w:tc>
          <w:tcPr>
            <w:tcW w:w="4988" w:type="dxa"/>
            <w:gridSpan w:val="3"/>
            <w:tcBorders>
              <w:top w:val="single" w:color="000000" w:sz="12" w:space="0"/>
              <w:left w:val="single" w:color="000000" w:sz="4" w:space="0"/>
              <w:bottom w:val="single" w:color="000000" w:sz="4" w:space="0"/>
              <w:right w:val="single" w:color="000000" w:sz="4" w:space="0"/>
            </w:tcBorders>
            <w:noWrap w:val="0"/>
            <w:vAlign w:val="center"/>
          </w:tcPr>
          <w:p w14:paraId="7810133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sz w:val="21"/>
                <w:szCs w:val="21"/>
                <w:highlight w:val="none"/>
              </w:rPr>
              <w:t>202</w:t>
            </w:r>
            <w:r>
              <w:rPr>
                <w:rFonts w:hint="eastAsia" w:ascii="Times New Roman" w:hAnsi="Times New Roman" w:eastAsia="宋体" w:cs="Times New Roman"/>
                <w:sz w:val="21"/>
                <w:szCs w:val="21"/>
                <w:highlight w:val="none"/>
              </w:rPr>
              <w:t>5.09.19</w:t>
            </w:r>
          </w:p>
        </w:tc>
        <w:tc>
          <w:tcPr>
            <w:tcW w:w="1037" w:type="dxa"/>
            <w:vMerge w:val="restart"/>
            <w:tcBorders>
              <w:top w:val="single" w:color="000000" w:sz="12" w:space="0"/>
              <w:left w:val="single" w:color="000000" w:sz="4" w:space="0"/>
            </w:tcBorders>
            <w:noWrap w:val="0"/>
            <w:vAlign w:val="center"/>
          </w:tcPr>
          <w:p w14:paraId="149A60B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标准</w:t>
            </w:r>
          </w:p>
          <w:p w14:paraId="421F2C9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限值</w:t>
            </w:r>
          </w:p>
          <w:p w14:paraId="5C77F8C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
                <w:bCs/>
                <w:sz w:val="21"/>
                <w:szCs w:val="21"/>
                <w:highlight w:val="none"/>
              </w:rPr>
            </w:pPr>
            <w:r>
              <w:rPr>
                <w:rFonts w:hint="default" w:ascii="Times New Roman" w:hAnsi="Times New Roman" w:eastAsia="宋体" w:cs="Times New Roman"/>
                <w:b/>
                <w:spacing w:val="-4"/>
                <w:sz w:val="21"/>
                <w:szCs w:val="21"/>
                <w:highlight w:val="none"/>
              </w:rPr>
              <w:t>mg/kg</w:t>
            </w:r>
          </w:p>
        </w:tc>
      </w:tr>
      <w:tr w14:paraId="4391A3E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6" w:hRule="atLeast"/>
          <w:jc w:val="center"/>
        </w:trPr>
        <w:tc>
          <w:tcPr>
            <w:tcW w:w="1770" w:type="dxa"/>
            <w:vMerge w:val="continue"/>
            <w:tcBorders>
              <w:right w:val="single" w:color="000000" w:sz="4" w:space="0"/>
            </w:tcBorders>
            <w:noWrap w:val="0"/>
            <w:vAlign w:val="center"/>
          </w:tcPr>
          <w:p w14:paraId="34703B1D">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Calibri" w:eastAsia="宋体" w:cs="Times New Roman"/>
                <w:b/>
                <w:sz w:val="21"/>
                <w:szCs w:val="21"/>
                <w:highlight w:val="none"/>
              </w:rPr>
            </w:pP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599ECDE2">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bCs/>
                <w:color w:val="000000"/>
                <w:sz w:val="21"/>
                <w:szCs w:val="21"/>
                <w:highlight w:val="none"/>
              </w:rPr>
              <w:t>采样点位</w:t>
            </w:r>
          </w:p>
        </w:tc>
        <w:tc>
          <w:tcPr>
            <w:tcW w:w="4988" w:type="dxa"/>
            <w:gridSpan w:val="3"/>
            <w:tcBorders>
              <w:top w:val="single" w:color="000000" w:sz="4" w:space="0"/>
              <w:left w:val="single" w:color="000000" w:sz="4" w:space="0"/>
              <w:bottom w:val="single" w:color="000000" w:sz="4" w:space="0"/>
              <w:right w:val="single" w:color="000000" w:sz="4" w:space="0"/>
            </w:tcBorders>
            <w:noWrap w:val="0"/>
            <w:vAlign w:val="center"/>
          </w:tcPr>
          <w:p w14:paraId="40D03C7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Perpetua" w:eastAsia="宋体" w:cs="Times New Roman"/>
                <w:sz w:val="21"/>
                <w:szCs w:val="21"/>
                <w:highlight w:val="none"/>
              </w:rPr>
              <w:t>占地范围内</w:t>
            </w:r>
            <w:r>
              <w:rPr>
                <w:rFonts w:hint="default" w:ascii="宋体" w:hAnsi="宋体" w:eastAsia="宋体" w:cs="Times New Roman"/>
                <w:color w:val="000000"/>
                <w:sz w:val="21"/>
                <w:szCs w:val="21"/>
                <w:highlight w:val="none"/>
              </w:rPr>
              <w:t>■</w:t>
            </w:r>
            <w:r>
              <w:rPr>
                <w:rFonts w:hint="eastAsia" w:ascii="Times New Roman" w:hAnsi="Times New Roman" w:eastAsia="宋体" w:cs="Times New Roman"/>
                <w:color w:val="000000"/>
                <w:sz w:val="21"/>
                <w:szCs w:val="21"/>
                <w:highlight w:val="none"/>
              </w:rPr>
              <w:t>6</w:t>
            </w:r>
          </w:p>
        </w:tc>
        <w:tc>
          <w:tcPr>
            <w:tcW w:w="1037" w:type="dxa"/>
            <w:vMerge w:val="continue"/>
            <w:tcBorders>
              <w:left w:val="single" w:color="000000" w:sz="4" w:space="0"/>
            </w:tcBorders>
            <w:noWrap w:val="0"/>
            <w:vAlign w:val="center"/>
          </w:tcPr>
          <w:p w14:paraId="7F8D918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p>
        </w:tc>
      </w:tr>
      <w:tr w14:paraId="2A08DA8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4" w:hRule="atLeast"/>
          <w:jc w:val="center"/>
        </w:trPr>
        <w:tc>
          <w:tcPr>
            <w:tcW w:w="1770" w:type="dxa"/>
            <w:vMerge w:val="continue"/>
            <w:tcBorders>
              <w:right w:val="single" w:color="000000" w:sz="4" w:space="0"/>
            </w:tcBorders>
            <w:noWrap w:val="0"/>
            <w:vAlign w:val="center"/>
          </w:tcPr>
          <w:p w14:paraId="31E6DFFF">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Calibri" w:eastAsia="宋体" w:cs="Times New Roman"/>
                <w:b/>
                <w:sz w:val="21"/>
                <w:szCs w:val="21"/>
                <w:highlight w:val="none"/>
              </w:rPr>
            </w:pPr>
            <w:bookmarkStart w:id="364" w:name="OLE_LINK92" w:colFirst="2" w:colLast="68"/>
            <w:bookmarkStart w:id="365" w:name="OLE_LINK91" w:colFirst="2" w:colLast="68"/>
            <w:bookmarkStart w:id="366" w:name="_Hlk211414548"/>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4D388805">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eastAsia" w:ascii="Times New Roman" w:hAnsi="宋体" w:eastAsia="宋体" w:cs="Times New Roman"/>
                <w:b/>
                <w:bCs/>
                <w:sz w:val="21"/>
                <w:szCs w:val="21"/>
                <w:highlight w:val="none"/>
              </w:rPr>
            </w:pPr>
            <w:r>
              <w:rPr>
                <w:rFonts w:hint="eastAsia" w:ascii="Times New Roman" w:hAnsi="Times New Roman" w:eastAsia="宋体" w:cs="Times New Roman"/>
                <w:b/>
                <w:bCs/>
                <w:color w:val="000000"/>
                <w:sz w:val="21"/>
                <w:szCs w:val="21"/>
                <w:highlight w:val="none"/>
              </w:rPr>
              <w:t>检测点类型</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64240C2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sz w:val="21"/>
                <w:szCs w:val="21"/>
                <w:highlight w:val="none"/>
              </w:rPr>
              <w:t>柱状样0.5m</w:t>
            </w:r>
          </w:p>
        </w:tc>
        <w:tc>
          <w:tcPr>
            <w:tcW w:w="1701" w:type="dxa"/>
            <w:tcBorders>
              <w:left w:val="single" w:color="000000" w:sz="4" w:space="0"/>
              <w:right w:val="single" w:color="000000" w:sz="4" w:space="0"/>
            </w:tcBorders>
            <w:noWrap w:val="0"/>
            <w:vAlign w:val="center"/>
          </w:tcPr>
          <w:p w14:paraId="725C4F7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sz w:val="21"/>
                <w:szCs w:val="21"/>
                <w:highlight w:val="none"/>
              </w:rPr>
              <w:t>柱状样1.</w:t>
            </w:r>
            <w:r>
              <w:rPr>
                <w:rFonts w:hint="eastAsia" w:ascii="Times New Roman" w:hAnsi="Times New Roman" w:eastAsia="宋体" w:cs="Times New Roman"/>
                <w:sz w:val="21"/>
                <w:szCs w:val="21"/>
                <w:highlight w:val="none"/>
              </w:rPr>
              <w:t>0</w:t>
            </w:r>
            <w:r>
              <w:rPr>
                <w:rFonts w:hint="default" w:ascii="Times New Roman" w:hAnsi="Times New Roman" w:eastAsia="宋体" w:cs="Times New Roman"/>
                <w:sz w:val="21"/>
                <w:szCs w:val="21"/>
                <w:highlight w:val="none"/>
              </w:rPr>
              <w:t>m</w:t>
            </w:r>
          </w:p>
        </w:tc>
        <w:tc>
          <w:tcPr>
            <w:tcW w:w="1656" w:type="dxa"/>
            <w:tcBorders>
              <w:left w:val="single" w:color="000000" w:sz="4" w:space="0"/>
              <w:right w:val="single" w:color="000000" w:sz="4" w:space="0"/>
            </w:tcBorders>
            <w:noWrap w:val="0"/>
            <w:vAlign w:val="center"/>
          </w:tcPr>
          <w:p w14:paraId="7CE6DB0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sz w:val="21"/>
                <w:szCs w:val="21"/>
                <w:highlight w:val="none"/>
              </w:rPr>
              <w:t>柱状样</w:t>
            </w:r>
            <w:r>
              <w:rPr>
                <w:rFonts w:hint="eastAsia" w:ascii="Times New Roman" w:hAnsi="Times New Roman" w:eastAsia="宋体" w:cs="Times New Roman"/>
                <w:sz w:val="21"/>
                <w:szCs w:val="21"/>
                <w:highlight w:val="none"/>
              </w:rPr>
              <w:t>2.0</w:t>
            </w:r>
            <w:r>
              <w:rPr>
                <w:rFonts w:hint="default" w:ascii="Times New Roman" w:hAnsi="Times New Roman" w:eastAsia="宋体" w:cs="Times New Roman"/>
                <w:sz w:val="21"/>
                <w:szCs w:val="21"/>
                <w:highlight w:val="none"/>
              </w:rPr>
              <w:t>m</w:t>
            </w:r>
          </w:p>
        </w:tc>
        <w:tc>
          <w:tcPr>
            <w:tcW w:w="1037" w:type="dxa"/>
            <w:vMerge w:val="continue"/>
            <w:tcBorders>
              <w:left w:val="single" w:color="000000" w:sz="4" w:space="0"/>
            </w:tcBorders>
            <w:noWrap w:val="0"/>
            <w:vAlign w:val="center"/>
          </w:tcPr>
          <w:p w14:paraId="41D378C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p>
        </w:tc>
      </w:tr>
      <w:bookmarkEnd w:id="364"/>
      <w:bookmarkEnd w:id="365"/>
      <w:bookmarkEnd w:id="366"/>
      <w:tr w14:paraId="3726518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4" w:hRule="atLeast"/>
          <w:jc w:val="center"/>
        </w:trPr>
        <w:tc>
          <w:tcPr>
            <w:tcW w:w="1770" w:type="dxa"/>
            <w:vMerge w:val="continue"/>
            <w:tcBorders>
              <w:right w:val="single" w:color="000000" w:sz="4" w:space="0"/>
            </w:tcBorders>
            <w:noWrap w:val="0"/>
            <w:vAlign w:val="center"/>
          </w:tcPr>
          <w:p w14:paraId="6509E749">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Calibri" w:eastAsia="宋体" w:cs="Times New Roman"/>
                <w:b/>
                <w:sz w:val="21"/>
                <w:szCs w:val="21"/>
                <w:highlight w:val="none"/>
              </w:rPr>
            </w:pP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4BFE46BA">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eastAsia" w:ascii="Times New Roman" w:hAnsi="宋体" w:eastAsia="宋体" w:cs="Times New Roman"/>
                <w:b/>
                <w:bCs/>
                <w:sz w:val="21"/>
                <w:szCs w:val="21"/>
                <w:highlight w:val="none"/>
              </w:rPr>
              <w:t>样品性状</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6C96E42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黄色、壤土</w:t>
            </w:r>
          </w:p>
        </w:tc>
        <w:tc>
          <w:tcPr>
            <w:tcW w:w="1701" w:type="dxa"/>
            <w:tcBorders>
              <w:left w:val="single" w:color="000000" w:sz="4" w:space="0"/>
              <w:right w:val="single" w:color="000000" w:sz="4" w:space="0"/>
            </w:tcBorders>
            <w:noWrap w:val="0"/>
            <w:vAlign w:val="center"/>
          </w:tcPr>
          <w:p w14:paraId="1AC0258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黄色、壤土</w:t>
            </w:r>
          </w:p>
        </w:tc>
        <w:tc>
          <w:tcPr>
            <w:tcW w:w="1656" w:type="dxa"/>
            <w:tcBorders>
              <w:left w:val="single" w:color="000000" w:sz="4" w:space="0"/>
              <w:right w:val="single" w:color="000000" w:sz="4" w:space="0"/>
            </w:tcBorders>
            <w:noWrap w:val="0"/>
            <w:vAlign w:val="center"/>
          </w:tcPr>
          <w:p w14:paraId="6389B1F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黄色、壤土</w:t>
            </w:r>
          </w:p>
        </w:tc>
        <w:tc>
          <w:tcPr>
            <w:tcW w:w="1037" w:type="dxa"/>
            <w:vMerge w:val="continue"/>
            <w:tcBorders>
              <w:left w:val="single" w:color="000000" w:sz="4" w:space="0"/>
            </w:tcBorders>
            <w:noWrap w:val="0"/>
            <w:vAlign w:val="center"/>
          </w:tcPr>
          <w:p w14:paraId="1652B8D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p>
        </w:tc>
      </w:tr>
      <w:tr w14:paraId="778B98C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4" w:hRule="atLeast"/>
          <w:jc w:val="center"/>
        </w:trPr>
        <w:tc>
          <w:tcPr>
            <w:tcW w:w="1770" w:type="dxa"/>
            <w:vMerge w:val="continue"/>
            <w:tcBorders>
              <w:bottom w:val="single" w:color="000000" w:sz="4" w:space="0"/>
              <w:right w:val="single" w:color="000000" w:sz="4" w:space="0"/>
            </w:tcBorders>
            <w:noWrap w:val="0"/>
            <w:vAlign w:val="center"/>
          </w:tcPr>
          <w:p w14:paraId="3C9B0637">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Calibri" w:eastAsia="宋体" w:cs="Times New Roman"/>
                <w:b/>
                <w:sz w:val="21"/>
                <w:szCs w:val="21"/>
                <w:highlight w:val="none"/>
              </w:rPr>
            </w:pP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34A9A9FD">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bCs/>
                <w:color w:val="000000"/>
                <w:sz w:val="21"/>
                <w:szCs w:val="21"/>
                <w:highlight w:val="none"/>
              </w:rPr>
              <w:t>样品编号</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0382500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G250919010601</w:t>
            </w:r>
          </w:p>
        </w:tc>
        <w:tc>
          <w:tcPr>
            <w:tcW w:w="1701" w:type="dxa"/>
            <w:tcBorders>
              <w:left w:val="single" w:color="000000" w:sz="4" w:space="0"/>
              <w:bottom w:val="single" w:color="000000" w:sz="4" w:space="0"/>
              <w:right w:val="single" w:color="000000" w:sz="4" w:space="0"/>
            </w:tcBorders>
            <w:noWrap w:val="0"/>
            <w:vAlign w:val="center"/>
          </w:tcPr>
          <w:p w14:paraId="40D0FC3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G250919010602</w:t>
            </w:r>
          </w:p>
        </w:tc>
        <w:tc>
          <w:tcPr>
            <w:tcW w:w="1656" w:type="dxa"/>
            <w:tcBorders>
              <w:left w:val="single" w:color="000000" w:sz="4" w:space="0"/>
              <w:bottom w:val="single" w:color="000000" w:sz="4" w:space="0"/>
              <w:right w:val="single" w:color="000000" w:sz="4" w:space="0"/>
            </w:tcBorders>
            <w:noWrap w:val="0"/>
            <w:vAlign w:val="center"/>
          </w:tcPr>
          <w:p w14:paraId="22BC4BF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G250919010603</w:t>
            </w:r>
          </w:p>
        </w:tc>
        <w:tc>
          <w:tcPr>
            <w:tcW w:w="1037" w:type="dxa"/>
            <w:vMerge w:val="continue"/>
            <w:tcBorders>
              <w:left w:val="single" w:color="000000" w:sz="4" w:space="0"/>
              <w:bottom w:val="single" w:color="000000" w:sz="4" w:space="0"/>
            </w:tcBorders>
            <w:noWrap w:val="0"/>
            <w:vAlign w:val="center"/>
          </w:tcPr>
          <w:p w14:paraId="1F11A8D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p>
        </w:tc>
      </w:tr>
      <w:tr w14:paraId="4F7F075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4" w:hRule="atLeast"/>
          <w:jc w:val="center"/>
        </w:trPr>
        <w:tc>
          <w:tcPr>
            <w:tcW w:w="1770" w:type="dxa"/>
            <w:tcBorders>
              <w:top w:val="single" w:color="000000" w:sz="4" w:space="0"/>
              <w:bottom w:val="single" w:color="000000" w:sz="4" w:space="0"/>
              <w:right w:val="single" w:color="000000" w:sz="4" w:space="0"/>
            </w:tcBorders>
            <w:noWrap w:val="0"/>
            <w:vAlign w:val="center"/>
          </w:tcPr>
          <w:p w14:paraId="5BCEB64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pH</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339B2E1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无量纲</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1B58128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7.49</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7B4A753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7.52</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1DFB351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7.43</w:t>
            </w:r>
          </w:p>
        </w:tc>
        <w:tc>
          <w:tcPr>
            <w:tcW w:w="1037" w:type="dxa"/>
            <w:tcBorders>
              <w:top w:val="single" w:color="000000" w:sz="4" w:space="0"/>
              <w:left w:val="single" w:color="000000" w:sz="4" w:space="0"/>
              <w:bottom w:val="single" w:color="000000" w:sz="4" w:space="0"/>
            </w:tcBorders>
            <w:noWrap w:val="0"/>
            <w:vAlign w:val="center"/>
          </w:tcPr>
          <w:p w14:paraId="0D65C9A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w:t>
            </w:r>
          </w:p>
        </w:tc>
      </w:tr>
      <w:tr w14:paraId="01B4CB2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4" w:hRule="atLeast"/>
          <w:jc w:val="center"/>
        </w:trPr>
        <w:tc>
          <w:tcPr>
            <w:tcW w:w="1770" w:type="dxa"/>
            <w:tcBorders>
              <w:top w:val="single" w:color="000000" w:sz="4" w:space="0"/>
              <w:bottom w:val="single" w:color="000000" w:sz="4" w:space="0"/>
              <w:right w:val="single" w:color="000000" w:sz="4" w:space="0"/>
            </w:tcBorders>
            <w:noWrap w:val="0"/>
            <w:vAlign w:val="center"/>
          </w:tcPr>
          <w:p w14:paraId="21E99D8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砷</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50A54DBD">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spacing w:val="-4"/>
                <w:sz w:val="21"/>
                <w:szCs w:val="21"/>
                <w:highlight w:val="none"/>
              </w:rPr>
              <w:t>mg/kg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1880B01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5.84</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5325BD5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5.43</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5565823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5.62</w:t>
            </w:r>
          </w:p>
        </w:tc>
        <w:tc>
          <w:tcPr>
            <w:tcW w:w="1037" w:type="dxa"/>
            <w:tcBorders>
              <w:top w:val="single" w:color="000000" w:sz="4" w:space="0"/>
              <w:left w:val="single" w:color="000000" w:sz="4" w:space="0"/>
              <w:bottom w:val="single" w:color="000000" w:sz="4" w:space="0"/>
            </w:tcBorders>
            <w:noWrap w:val="0"/>
            <w:vAlign w:val="center"/>
          </w:tcPr>
          <w:p w14:paraId="6AE12BE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60</w:t>
            </w:r>
          </w:p>
        </w:tc>
      </w:tr>
      <w:tr w14:paraId="23F0CEE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4" w:hRule="atLeast"/>
          <w:jc w:val="center"/>
        </w:trPr>
        <w:tc>
          <w:tcPr>
            <w:tcW w:w="1770" w:type="dxa"/>
            <w:tcBorders>
              <w:top w:val="single" w:color="000000" w:sz="4" w:space="0"/>
              <w:bottom w:val="single" w:color="000000" w:sz="4" w:space="0"/>
              <w:right w:val="single" w:color="000000" w:sz="4" w:space="0"/>
            </w:tcBorders>
            <w:noWrap w:val="0"/>
            <w:vAlign w:val="center"/>
          </w:tcPr>
          <w:p w14:paraId="6822B77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镉</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68975C6A">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spacing w:val="-4"/>
                <w:sz w:val="21"/>
                <w:szCs w:val="21"/>
                <w:highlight w:val="none"/>
              </w:rPr>
              <w:t>mg/kg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2A2EEDE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0.16</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7285BD4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0.12</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2D46250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0.12</w:t>
            </w:r>
          </w:p>
        </w:tc>
        <w:tc>
          <w:tcPr>
            <w:tcW w:w="1037" w:type="dxa"/>
            <w:tcBorders>
              <w:top w:val="single" w:color="000000" w:sz="4" w:space="0"/>
              <w:left w:val="single" w:color="000000" w:sz="4" w:space="0"/>
              <w:bottom w:val="single" w:color="000000" w:sz="4" w:space="0"/>
            </w:tcBorders>
            <w:noWrap w:val="0"/>
            <w:vAlign w:val="center"/>
          </w:tcPr>
          <w:p w14:paraId="651493F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65</w:t>
            </w:r>
          </w:p>
        </w:tc>
      </w:tr>
      <w:tr w14:paraId="7F50B87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4" w:hRule="atLeast"/>
          <w:jc w:val="center"/>
        </w:trPr>
        <w:tc>
          <w:tcPr>
            <w:tcW w:w="1770" w:type="dxa"/>
            <w:tcBorders>
              <w:top w:val="single" w:color="000000" w:sz="4" w:space="0"/>
              <w:bottom w:val="single" w:color="000000" w:sz="4" w:space="0"/>
              <w:right w:val="single" w:color="000000" w:sz="4" w:space="0"/>
            </w:tcBorders>
            <w:noWrap w:val="0"/>
            <w:vAlign w:val="center"/>
          </w:tcPr>
          <w:p w14:paraId="757FB84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六价铬</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2B8AF931">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spacing w:val="-4"/>
                <w:sz w:val="21"/>
                <w:szCs w:val="21"/>
                <w:highlight w:val="none"/>
              </w:rPr>
              <w:t>mg/kg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276428C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0.5L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50E7237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0.5L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61CC9E5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0.5L</w:t>
            </w:r>
          </w:p>
        </w:tc>
        <w:tc>
          <w:tcPr>
            <w:tcW w:w="1037" w:type="dxa"/>
            <w:tcBorders>
              <w:top w:val="single" w:color="000000" w:sz="4" w:space="0"/>
              <w:left w:val="single" w:color="000000" w:sz="4" w:space="0"/>
              <w:bottom w:val="single" w:color="000000" w:sz="4" w:space="0"/>
            </w:tcBorders>
            <w:noWrap w:val="0"/>
            <w:vAlign w:val="center"/>
          </w:tcPr>
          <w:p w14:paraId="4A4CD6C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5.7</w:t>
            </w:r>
          </w:p>
        </w:tc>
      </w:tr>
      <w:tr w14:paraId="1CCC5BA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4" w:hRule="atLeast"/>
          <w:jc w:val="center"/>
        </w:trPr>
        <w:tc>
          <w:tcPr>
            <w:tcW w:w="1770" w:type="dxa"/>
            <w:tcBorders>
              <w:top w:val="single" w:color="000000" w:sz="4" w:space="0"/>
              <w:bottom w:val="single" w:color="000000" w:sz="4" w:space="0"/>
              <w:right w:val="single" w:color="000000" w:sz="4" w:space="0"/>
            </w:tcBorders>
            <w:noWrap w:val="0"/>
            <w:vAlign w:val="center"/>
          </w:tcPr>
          <w:p w14:paraId="28F5D39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铜</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2FDF961E">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spacing w:val="-4"/>
                <w:sz w:val="21"/>
                <w:szCs w:val="21"/>
                <w:highlight w:val="none"/>
              </w:rPr>
              <w:t>mg/kg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292034B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52</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6AFEC59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46</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7FF35C7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50</w:t>
            </w:r>
          </w:p>
        </w:tc>
        <w:tc>
          <w:tcPr>
            <w:tcW w:w="1037" w:type="dxa"/>
            <w:tcBorders>
              <w:top w:val="single" w:color="000000" w:sz="4" w:space="0"/>
              <w:left w:val="single" w:color="000000" w:sz="4" w:space="0"/>
              <w:bottom w:val="single" w:color="000000" w:sz="4" w:space="0"/>
            </w:tcBorders>
            <w:noWrap w:val="0"/>
            <w:vAlign w:val="center"/>
          </w:tcPr>
          <w:p w14:paraId="204DEF0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18000</w:t>
            </w:r>
          </w:p>
        </w:tc>
      </w:tr>
      <w:tr w14:paraId="0B8799D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43E9250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铅</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77950005">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spacing w:val="-4"/>
                <w:sz w:val="21"/>
                <w:szCs w:val="21"/>
                <w:highlight w:val="none"/>
              </w:rPr>
              <w:t>mg/kg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2A6CC85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74</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285DE9F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51</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453EF43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41</w:t>
            </w:r>
          </w:p>
        </w:tc>
        <w:tc>
          <w:tcPr>
            <w:tcW w:w="1037" w:type="dxa"/>
            <w:tcBorders>
              <w:top w:val="single" w:color="000000" w:sz="4" w:space="0"/>
              <w:left w:val="single" w:color="000000" w:sz="4" w:space="0"/>
              <w:bottom w:val="single" w:color="000000" w:sz="4" w:space="0"/>
            </w:tcBorders>
            <w:noWrap w:val="0"/>
            <w:vAlign w:val="center"/>
          </w:tcPr>
          <w:p w14:paraId="404A125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800</w:t>
            </w:r>
          </w:p>
        </w:tc>
      </w:tr>
      <w:tr w14:paraId="1BF7354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24F8122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汞</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41AAE211">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spacing w:val="-4"/>
                <w:sz w:val="21"/>
                <w:szCs w:val="21"/>
                <w:highlight w:val="none"/>
              </w:rPr>
              <w:t>mg/kg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64B7B70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0.0489</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6472BE3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0.0502</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3807D80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0.0475</w:t>
            </w:r>
          </w:p>
        </w:tc>
        <w:tc>
          <w:tcPr>
            <w:tcW w:w="1037" w:type="dxa"/>
            <w:tcBorders>
              <w:top w:val="single" w:color="000000" w:sz="4" w:space="0"/>
              <w:left w:val="single" w:color="000000" w:sz="4" w:space="0"/>
              <w:bottom w:val="single" w:color="000000" w:sz="4" w:space="0"/>
            </w:tcBorders>
            <w:noWrap w:val="0"/>
            <w:vAlign w:val="center"/>
          </w:tcPr>
          <w:p w14:paraId="10B7299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38</w:t>
            </w:r>
          </w:p>
        </w:tc>
      </w:tr>
      <w:tr w14:paraId="5B4B951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4BA55B6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镍</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60613CD5">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spacing w:val="-4"/>
                <w:sz w:val="21"/>
                <w:szCs w:val="21"/>
                <w:highlight w:val="none"/>
              </w:rPr>
              <w:t>mg/kg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0F5939E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30</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6E47866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30</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70DA277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26</w:t>
            </w:r>
          </w:p>
        </w:tc>
        <w:tc>
          <w:tcPr>
            <w:tcW w:w="1037" w:type="dxa"/>
            <w:tcBorders>
              <w:top w:val="single" w:color="000000" w:sz="4" w:space="0"/>
              <w:left w:val="single" w:color="000000" w:sz="4" w:space="0"/>
              <w:bottom w:val="single" w:color="000000" w:sz="4" w:space="0"/>
            </w:tcBorders>
            <w:noWrap w:val="0"/>
            <w:vAlign w:val="center"/>
          </w:tcPr>
          <w:p w14:paraId="34D8B07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900</w:t>
            </w:r>
          </w:p>
        </w:tc>
      </w:tr>
      <w:tr w14:paraId="3D9A329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7DD6D10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四氯化碳</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7F4CCEE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1A7AB15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33975BF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6549DB6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037" w:type="dxa"/>
            <w:tcBorders>
              <w:top w:val="single" w:color="000000" w:sz="4" w:space="0"/>
              <w:left w:val="single" w:color="000000" w:sz="4" w:space="0"/>
              <w:bottom w:val="single" w:color="000000" w:sz="4" w:space="0"/>
            </w:tcBorders>
            <w:noWrap w:val="0"/>
            <w:vAlign w:val="center"/>
          </w:tcPr>
          <w:p w14:paraId="109D75D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2.8</w:t>
            </w:r>
          </w:p>
        </w:tc>
      </w:tr>
      <w:tr w14:paraId="3172603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7B4AFD0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default" w:ascii="Calibri" w:hAnsi="宋体" w:eastAsia="宋体" w:cs="Calibri"/>
                <w:b/>
                <w:color w:val="000000"/>
                <w:sz w:val="21"/>
                <w:szCs w:val="24"/>
                <w:highlight w:val="none"/>
              </w:rPr>
              <w:t>氯仿</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44332B7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5CE4F19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1.1L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3A452EA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1.1L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13D83EB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1.1L</w:t>
            </w:r>
          </w:p>
        </w:tc>
        <w:tc>
          <w:tcPr>
            <w:tcW w:w="1037" w:type="dxa"/>
            <w:tcBorders>
              <w:top w:val="single" w:color="000000" w:sz="4" w:space="0"/>
              <w:left w:val="single" w:color="000000" w:sz="4" w:space="0"/>
              <w:bottom w:val="single" w:color="000000" w:sz="4" w:space="0"/>
            </w:tcBorders>
            <w:noWrap w:val="0"/>
            <w:vAlign w:val="center"/>
          </w:tcPr>
          <w:p w14:paraId="2F7C3A3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0.9</w:t>
            </w:r>
          </w:p>
        </w:tc>
      </w:tr>
      <w:tr w14:paraId="59223C0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1C33E84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Calibri" w:hAnsi="宋体" w:eastAsia="宋体" w:cs="Calibri"/>
                <w:b/>
                <w:color w:val="000000"/>
                <w:sz w:val="21"/>
                <w:szCs w:val="24"/>
                <w:highlight w:val="none"/>
              </w:rPr>
            </w:pPr>
            <w:r>
              <w:rPr>
                <w:rFonts w:hint="default" w:ascii="Calibri" w:hAnsi="宋体" w:eastAsia="宋体" w:cs="Calibri"/>
                <w:b/>
                <w:color w:val="000000"/>
                <w:sz w:val="21"/>
                <w:szCs w:val="24"/>
                <w:highlight w:val="none"/>
              </w:rPr>
              <w:t>氯甲烷</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4FA7994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75F83CE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1.0L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689B457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1.0L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2F2F122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1.0L</w:t>
            </w:r>
          </w:p>
        </w:tc>
        <w:tc>
          <w:tcPr>
            <w:tcW w:w="1037" w:type="dxa"/>
            <w:tcBorders>
              <w:top w:val="single" w:color="000000" w:sz="4" w:space="0"/>
              <w:left w:val="single" w:color="000000" w:sz="4" w:space="0"/>
              <w:bottom w:val="single" w:color="000000" w:sz="4" w:space="0"/>
            </w:tcBorders>
            <w:noWrap w:val="0"/>
            <w:vAlign w:val="center"/>
          </w:tcPr>
          <w:p w14:paraId="370AA0D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37</w:t>
            </w:r>
          </w:p>
        </w:tc>
      </w:tr>
      <w:tr w14:paraId="4D24CE9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11E8E4E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1,1-二氯乙烷</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3A9022B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09979F0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2E0D9DB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7569A23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037" w:type="dxa"/>
            <w:tcBorders>
              <w:top w:val="single" w:color="000000" w:sz="4" w:space="0"/>
              <w:left w:val="single" w:color="000000" w:sz="4" w:space="0"/>
              <w:bottom w:val="single" w:color="000000" w:sz="4" w:space="0"/>
            </w:tcBorders>
            <w:noWrap w:val="0"/>
            <w:vAlign w:val="center"/>
          </w:tcPr>
          <w:p w14:paraId="29F5553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9</w:t>
            </w:r>
          </w:p>
        </w:tc>
      </w:tr>
      <w:tr w14:paraId="1B3DF3E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4730EA6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1,2-二氯乙烷</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4D7AECF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34B3403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161AF58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6406051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037" w:type="dxa"/>
            <w:tcBorders>
              <w:top w:val="single" w:color="000000" w:sz="4" w:space="0"/>
              <w:left w:val="single" w:color="000000" w:sz="4" w:space="0"/>
              <w:bottom w:val="single" w:color="000000" w:sz="4" w:space="0"/>
            </w:tcBorders>
            <w:noWrap w:val="0"/>
            <w:vAlign w:val="center"/>
          </w:tcPr>
          <w:p w14:paraId="6C4D212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5</w:t>
            </w:r>
          </w:p>
        </w:tc>
      </w:tr>
      <w:tr w14:paraId="7133FAF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30F7315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1,1-二氯乙烯</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4CAF5E9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1654BAB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1.0L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23D6C7E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1.0L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37F9B26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1.0L</w:t>
            </w:r>
          </w:p>
        </w:tc>
        <w:tc>
          <w:tcPr>
            <w:tcW w:w="1037" w:type="dxa"/>
            <w:tcBorders>
              <w:top w:val="single" w:color="000000" w:sz="4" w:space="0"/>
              <w:left w:val="single" w:color="000000" w:sz="4" w:space="0"/>
              <w:bottom w:val="single" w:color="000000" w:sz="4" w:space="0"/>
            </w:tcBorders>
            <w:noWrap w:val="0"/>
            <w:vAlign w:val="center"/>
          </w:tcPr>
          <w:p w14:paraId="6C19FEA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66</w:t>
            </w:r>
          </w:p>
        </w:tc>
      </w:tr>
      <w:tr w14:paraId="71DD00B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14EFF98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顺-1,2-二氯乙烯</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31C97B9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1726EEC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2342FF2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243106E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037" w:type="dxa"/>
            <w:tcBorders>
              <w:top w:val="single" w:color="000000" w:sz="4" w:space="0"/>
              <w:left w:val="single" w:color="000000" w:sz="4" w:space="0"/>
              <w:bottom w:val="single" w:color="000000" w:sz="4" w:space="0"/>
            </w:tcBorders>
            <w:noWrap w:val="0"/>
            <w:vAlign w:val="center"/>
          </w:tcPr>
          <w:p w14:paraId="6BCCDBA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596</w:t>
            </w:r>
          </w:p>
        </w:tc>
      </w:tr>
      <w:tr w14:paraId="3B93016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6002D13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反-1,2-二氯乙烯</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62C203C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5DE0F2C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1.4L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13CB170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1.4L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4CB003C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1.4L</w:t>
            </w:r>
          </w:p>
        </w:tc>
        <w:tc>
          <w:tcPr>
            <w:tcW w:w="1037" w:type="dxa"/>
            <w:tcBorders>
              <w:top w:val="single" w:color="000000" w:sz="4" w:space="0"/>
              <w:left w:val="single" w:color="000000" w:sz="4" w:space="0"/>
              <w:bottom w:val="single" w:color="000000" w:sz="4" w:space="0"/>
            </w:tcBorders>
            <w:noWrap w:val="0"/>
            <w:vAlign w:val="center"/>
          </w:tcPr>
          <w:p w14:paraId="40F5B05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54</w:t>
            </w:r>
          </w:p>
        </w:tc>
      </w:tr>
      <w:tr w14:paraId="72AC935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61B4549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二氯甲烷</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4D65EF6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7C2CEF6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1.5L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0C367B3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1.5L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5C6CA2F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1.5L</w:t>
            </w:r>
          </w:p>
        </w:tc>
        <w:tc>
          <w:tcPr>
            <w:tcW w:w="1037" w:type="dxa"/>
            <w:tcBorders>
              <w:top w:val="single" w:color="000000" w:sz="4" w:space="0"/>
              <w:left w:val="single" w:color="000000" w:sz="4" w:space="0"/>
              <w:bottom w:val="single" w:color="000000" w:sz="4" w:space="0"/>
            </w:tcBorders>
            <w:noWrap w:val="0"/>
            <w:vAlign w:val="center"/>
          </w:tcPr>
          <w:p w14:paraId="6AE146A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616</w:t>
            </w:r>
          </w:p>
        </w:tc>
      </w:tr>
      <w:tr w14:paraId="103CE4F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764B7B2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1,2-二氯丙烷</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515B0B0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4827A28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1.1L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1EDFDD7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1.1L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586E468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1.1L</w:t>
            </w:r>
          </w:p>
        </w:tc>
        <w:tc>
          <w:tcPr>
            <w:tcW w:w="1037" w:type="dxa"/>
            <w:tcBorders>
              <w:top w:val="single" w:color="000000" w:sz="4" w:space="0"/>
              <w:left w:val="single" w:color="000000" w:sz="4" w:space="0"/>
              <w:bottom w:val="single" w:color="000000" w:sz="4" w:space="0"/>
            </w:tcBorders>
            <w:noWrap w:val="0"/>
            <w:vAlign w:val="center"/>
          </w:tcPr>
          <w:p w14:paraId="23F069D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5</w:t>
            </w:r>
          </w:p>
        </w:tc>
      </w:tr>
      <w:tr w14:paraId="524C427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68F3B6C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1,1,1,2-四氯乙烷</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7210D24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5A3DD89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1B78C50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5684B37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037" w:type="dxa"/>
            <w:tcBorders>
              <w:top w:val="single" w:color="000000" w:sz="4" w:space="0"/>
              <w:left w:val="single" w:color="000000" w:sz="4" w:space="0"/>
              <w:bottom w:val="single" w:color="000000" w:sz="4" w:space="0"/>
            </w:tcBorders>
            <w:noWrap w:val="0"/>
            <w:vAlign w:val="center"/>
          </w:tcPr>
          <w:p w14:paraId="69FF82A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10</w:t>
            </w:r>
          </w:p>
        </w:tc>
      </w:tr>
      <w:tr w14:paraId="55DFB2B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22F2E6B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1,1,2,2-四氯乙烷</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2DC15CB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0258B79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4B3A12D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67061E0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037" w:type="dxa"/>
            <w:tcBorders>
              <w:top w:val="single" w:color="000000" w:sz="4" w:space="0"/>
              <w:left w:val="single" w:color="000000" w:sz="4" w:space="0"/>
              <w:bottom w:val="single" w:color="000000" w:sz="4" w:space="0"/>
            </w:tcBorders>
            <w:noWrap w:val="0"/>
            <w:vAlign w:val="center"/>
          </w:tcPr>
          <w:p w14:paraId="1AC8948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6.8</w:t>
            </w:r>
          </w:p>
        </w:tc>
      </w:tr>
      <w:tr w14:paraId="0EE94E8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6612FCE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四氯乙烯</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095B311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3A8B127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1.4L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364FA5A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1.4L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223207B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1.4L</w:t>
            </w:r>
          </w:p>
        </w:tc>
        <w:tc>
          <w:tcPr>
            <w:tcW w:w="1037" w:type="dxa"/>
            <w:tcBorders>
              <w:top w:val="single" w:color="000000" w:sz="4" w:space="0"/>
              <w:left w:val="single" w:color="000000" w:sz="4" w:space="0"/>
              <w:bottom w:val="single" w:color="000000" w:sz="4" w:space="0"/>
            </w:tcBorders>
            <w:noWrap w:val="0"/>
            <w:vAlign w:val="center"/>
          </w:tcPr>
          <w:p w14:paraId="3731D3C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53</w:t>
            </w:r>
          </w:p>
        </w:tc>
      </w:tr>
      <w:tr w14:paraId="70582C4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0A54E60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1,1,1-三氯乙烷</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4750483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582E822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1BC9C05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6DB1571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037" w:type="dxa"/>
            <w:tcBorders>
              <w:top w:val="single" w:color="000000" w:sz="4" w:space="0"/>
              <w:left w:val="single" w:color="000000" w:sz="4" w:space="0"/>
              <w:bottom w:val="single" w:color="000000" w:sz="4" w:space="0"/>
            </w:tcBorders>
            <w:noWrap w:val="0"/>
            <w:vAlign w:val="center"/>
          </w:tcPr>
          <w:p w14:paraId="52CA603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840</w:t>
            </w:r>
          </w:p>
        </w:tc>
      </w:tr>
      <w:tr w14:paraId="6D93C23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4FF75DC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1,1,2-三氯乙烷</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3ADC32A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28AEEFD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4A69DDE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45A6FFB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037" w:type="dxa"/>
            <w:tcBorders>
              <w:top w:val="single" w:color="000000" w:sz="4" w:space="0"/>
              <w:left w:val="single" w:color="000000" w:sz="4" w:space="0"/>
              <w:bottom w:val="single" w:color="000000" w:sz="4" w:space="0"/>
            </w:tcBorders>
            <w:noWrap w:val="0"/>
            <w:vAlign w:val="center"/>
          </w:tcPr>
          <w:p w14:paraId="4EC15FC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2.8</w:t>
            </w:r>
          </w:p>
        </w:tc>
      </w:tr>
      <w:tr w14:paraId="26A5AB3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5D32C3D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三氯乙烯</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30123981">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02C9FBC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1E8DA85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05CD3D4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037" w:type="dxa"/>
            <w:tcBorders>
              <w:top w:val="single" w:color="000000" w:sz="4" w:space="0"/>
              <w:left w:val="single" w:color="000000" w:sz="4" w:space="0"/>
              <w:bottom w:val="single" w:color="000000" w:sz="4" w:space="0"/>
            </w:tcBorders>
            <w:noWrap w:val="0"/>
            <w:vAlign w:val="center"/>
          </w:tcPr>
          <w:p w14:paraId="37C332A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2.8</w:t>
            </w:r>
          </w:p>
        </w:tc>
      </w:tr>
      <w:tr w14:paraId="7DE3956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4A99376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1,2,3-三氯丙烷</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7B6BE0EF">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5F14C74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23999E6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66AA7B4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037" w:type="dxa"/>
            <w:tcBorders>
              <w:top w:val="single" w:color="000000" w:sz="4" w:space="0"/>
              <w:left w:val="single" w:color="000000" w:sz="4" w:space="0"/>
              <w:bottom w:val="single" w:color="000000" w:sz="4" w:space="0"/>
            </w:tcBorders>
            <w:noWrap w:val="0"/>
            <w:vAlign w:val="center"/>
          </w:tcPr>
          <w:p w14:paraId="55E6F9C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0.5</w:t>
            </w:r>
          </w:p>
        </w:tc>
      </w:tr>
      <w:tr w14:paraId="608FCEF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099E34D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氯乙烯</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30566C0F">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0F8A4E8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1.0L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6D89E06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1.0L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1FD4F0A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1.0L</w:t>
            </w:r>
          </w:p>
        </w:tc>
        <w:tc>
          <w:tcPr>
            <w:tcW w:w="1037" w:type="dxa"/>
            <w:tcBorders>
              <w:top w:val="single" w:color="000000" w:sz="4" w:space="0"/>
              <w:left w:val="single" w:color="000000" w:sz="4" w:space="0"/>
              <w:bottom w:val="single" w:color="000000" w:sz="4" w:space="0"/>
            </w:tcBorders>
            <w:noWrap w:val="0"/>
            <w:vAlign w:val="center"/>
          </w:tcPr>
          <w:p w14:paraId="7D19714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0.43</w:t>
            </w:r>
          </w:p>
        </w:tc>
      </w:tr>
      <w:tr w14:paraId="643C886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210157A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苯</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3B006067">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12C6FFC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1.9L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04586C2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1.9L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4F94D27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1.9L</w:t>
            </w:r>
          </w:p>
        </w:tc>
        <w:tc>
          <w:tcPr>
            <w:tcW w:w="1037" w:type="dxa"/>
            <w:tcBorders>
              <w:top w:val="single" w:color="000000" w:sz="4" w:space="0"/>
              <w:left w:val="single" w:color="000000" w:sz="4" w:space="0"/>
              <w:bottom w:val="single" w:color="000000" w:sz="4" w:space="0"/>
            </w:tcBorders>
            <w:noWrap w:val="0"/>
            <w:vAlign w:val="center"/>
          </w:tcPr>
          <w:p w14:paraId="249BAEF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4</w:t>
            </w:r>
          </w:p>
        </w:tc>
      </w:tr>
      <w:tr w14:paraId="27FE7F8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1451004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氯苯</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2F668ABE">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1D4E026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262A719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70DD41E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037" w:type="dxa"/>
            <w:tcBorders>
              <w:top w:val="single" w:color="000000" w:sz="4" w:space="0"/>
              <w:left w:val="single" w:color="000000" w:sz="4" w:space="0"/>
              <w:bottom w:val="single" w:color="000000" w:sz="4" w:space="0"/>
            </w:tcBorders>
            <w:noWrap w:val="0"/>
            <w:vAlign w:val="center"/>
          </w:tcPr>
          <w:p w14:paraId="4DC8725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270</w:t>
            </w:r>
          </w:p>
        </w:tc>
      </w:tr>
      <w:tr w14:paraId="0EE6B19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1CF5E02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1,2-二氯苯</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2211B137">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672C7E5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1.5L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4A1FC79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1.5L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3758804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1.5L</w:t>
            </w:r>
          </w:p>
        </w:tc>
        <w:tc>
          <w:tcPr>
            <w:tcW w:w="1037" w:type="dxa"/>
            <w:tcBorders>
              <w:top w:val="single" w:color="000000" w:sz="4" w:space="0"/>
              <w:left w:val="single" w:color="000000" w:sz="4" w:space="0"/>
              <w:bottom w:val="single" w:color="000000" w:sz="4" w:space="0"/>
            </w:tcBorders>
            <w:noWrap w:val="0"/>
            <w:vAlign w:val="center"/>
          </w:tcPr>
          <w:p w14:paraId="3299C2A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560</w:t>
            </w:r>
          </w:p>
        </w:tc>
      </w:tr>
      <w:tr w14:paraId="67F9D04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75C191E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1,4-二氯苯</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4C49A9D6">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02A4298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1.5L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5049CB2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1.5L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50ECF89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1.5L</w:t>
            </w:r>
          </w:p>
        </w:tc>
        <w:tc>
          <w:tcPr>
            <w:tcW w:w="1037" w:type="dxa"/>
            <w:tcBorders>
              <w:top w:val="single" w:color="000000" w:sz="4" w:space="0"/>
              <w:left w:val="single" w:color="000000" w:sz="4" w:space="0"/>
              <w:bottom w:val="single" w:color="000000" w:sz="4" w:space="0"/>
            </w:tcBorders>
            <w:noWrap w:val="0"/>
            <w:vAlign w:val="center"/>
          </w:tcPr>
          <w:p w14:paraId="36BFB6C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20</w:t>
            </w:r>
          </w:p>
        </w:tc>
      </w:tr>
      <w:tr w14:paraId="7DC39D7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33F83CC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乙苯</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73C789B2">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35ED3DC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7642F97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75D3D20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037" w:type="dxa"/>
            <w:tcBorders>
              <w:top w:val="single" w:color="000000" w:sz="4" w:space="0"/>
              <w:left w:val="single" w:color="000000" w:sz="4" w:space="0"/>
              <w:bottom w:val="single" w:color="000000" w:sz="4" w:space="0"/>
            </w:tcBorders>
            <w:noWrap w:val="0"/>
            <w:vAlign w:val="center"/>
          </w:tcPr>
          <w:p w14:paraId="332DC5B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28</w:t>
            </w:r>
          </w:p>
        </w:tc>
      </w:tr>
      <w:tr w14:paraId="775F165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76A2111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苯乙烯</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21E01EC4">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079EFC0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1.1L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5B083F8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1.1L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3E9C2DB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1.1L</w:t>
            </w:r>
          </w:p>
        </w:tc>
        <w:tc>
          <w:tcPr>
            <w:tcW w:w="1037" w:type="dxa"/>
            <w:tcBorders>
              <w:top w:val="single" w:color="000000" w:sz="4" w:space="0"/>
              <w:left w:val="single" w:color="000000" w:sz="4" w:space="0"/>
              <w:bottom w:val="single" w:color="000000" w:sz="4" w:space="0"/>
            </w:tcBorders>
            <w:noWrap w:val="0"/>
            <w:vAlign w:val="center"/>
          </w:tcPr>
          <w:p w14:paraId="371BBF1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1290</w:t>
            </w:r>
          </w:p>
        </w:tc>
      </w:tr>
      <w:tr w14:paraId="6ACB6E7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12" w:space="0"/>
              <w:right w:val="single" w:color="000000" w:sz="4" w:space="0"/>
            </w:tcBorders>
            <w:noWrap w:val="0"/>
            <w:vAlign w:val="center"/>
          </w:tcPr>
          <w:p w14:paraId="00F121F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甲苯</w:t>
            </w:r>
          </w:p>
        </w:tc>
        <w:tc>
          <w:tcPr>
            <w:tcW w:w="1289" w:type="dxa"/>
            <w:tcBorders>
              <w:top w:val="single" w:color="000000" w:sz="4" w:space="0"/>
              <w:left w:val="single" w:color="000000" w:sz="4" w:space="0"/>
              <w:bottom w:val="single" w:color="000000" w:sz="12" w:space="0"/>
              <w:right w:val="single" w:color="000000" w:sz="4" w:space="0"/>
            </w:tcBorders>
            <w:noWrap w:val="0"/>
            <w:vAlign w:val="center"/>
          </w:tcPr>
          <w:p w14:paraId="07FB918D">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12" w:space="0"/>
              <w:right w:val="single" w:color="000000" w:sz="4" w:space="0"/>
            </w:tcBorders>
            <w:noWrap w:val="0"/>
            <w:vAlign w:val="center"/>
          </w:tcPr>
          <w:p w14:paraId="76C9BA4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701" w:type="dxa"/>
            <w:tcBorders>
              <w:top w:val="single" w:color="000000" w:sz="4" w:space="0"/>
              <w:left w:val="single" w:color="000000" w:sz="4" w:space="0"/>
              <w:bottom w:val="single" w:color="000000" w:sz="12" w:space="0"/>
              <w:right w:val="single" w:color="000000" w:sz="4" w:space="0"/>
            </w:tcBorders>
            <w:noWrap w:val="0"/>
            <w:vAlign w:val="center"/>
          </w:tcPr>
          <w:p w14:paraId="57F1979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656" w:type="dxa"/>
            <w:tcBorders>
              <w:top w:val="single" w:color="000000" w:sz="4" w:space="0"/>
              <w:left w:val="single" w:color="000000" w:sz="4" w:space="0"/>
              <w:bottom w:val="single" w:color="000000" w:sz="12" w:space="0"/>
              <w:right w:val="single" w:color="000000" w:sz="4" w:space="0"/>
            </w:tcBorders>
            <w:noWrap w:val="0"/>
            <w:vAlign w:val="center"/>
          </w:tcPr>
          <w:p w14:paraId="61AD172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037" w:type="dxa"/>
            <w:tcBorders>
              <w:top w:val="single" w:color="000000" w:sz="4" w:space="0"/>
              <w:left w:val="single" w:color="000000" w:sz="4" w:space="0"/>
              <w:bottom w:val="single" w:color="000000" w:sz="12" w:space="0"/>
            </w:tcBorders>
            <w:noWrap w:val="0"/>
            <w:vAlign w:val="center"/>
          </w:tcPr>
          <w:p w14:paraId="64F1D11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1200</w:t>
            </w:r>
          </w:p>
        </w:tc>
      </w:tr>
      <w:tr w14:paraId="2742317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4" w:hRule="atLeast"/>
          <w:jc w:val="center"/>
        </w:trPr>
        <w:tc>
          <w:tcPr>
            <w:tcW w:w="1770" w:type="dxa"/>
            <w:tcBorders>
              <w:top w:val="single" w:color="000000" w:sz="4" w:space="0"/>
              <w:bottom w:val="single" w:color="000000" w:sz="4" w:space="0"/>
              <w:right w:val="single" w:color="000000" w:sz="4" w:space="0"/>
            </w:tcBorders>
            <w:noWrap w:val="0"/>
            <w:vAlign w:val="center"/>
          </w:tcPr>
          <w:p w14:paraId="7C383ED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pH</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4CFAC8C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无量纲</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04A58DE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7.49</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2A01A28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7.52</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6204FE3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7.43</w:t>
            </w:r>
          </w:p>
        </w:tc>
        <w:tc>
          <w:tcPr>
            <w:tcW w:w="1037" w:type="dxa"/>
            <w:tcBorders>
              <w:top w:val="single" w:color="000000" w:sz="4" w:space="0"/>
              <w:left w:val="single" w:color="000000" w:sz="4" w:space="0"/>
              <w:bottom w:val="single" w:color="000000" w:sz="4" w:space="0"/>
            </w:tcBorders>
            <w:noWrap w:val="0"/>
            <w:vAlign w:val="center"/>
          </w:tcPr>
          <w:p w14:paraId="4CFE0B7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w:t>
            </w:r>
          </w:p>
        </w:tc>
      </w:tr>
      <w:tr w14:paraId="419DE50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4" w:hRule="atLeast"/>
          <w:jc w:val="center"/>
        </w:trPr>
        <w:tc>
          <w:tcPr>
            <w:tcW w:w="1770" w:type="dxa"/>
            <w:tcBorders>
              <w:top w:val="single" w:color="000000" w:sz="4" w:space="0"/>
              <w:bottom w:val="single" w:color="000000" w:sz="4" w:space="0"/>
              <w:right w:val="single" w:color="000000" w:sz="4" w:space="0"/>
            </w:tcBorders>
            <w:noWrap w:val="0"/>
            <w:vAlign w:val="center"/>
          </w:tcPr>
          <w:p w14:paraId="51AF2B2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砷</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0B72EE0D">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spacing w:val="-4"/>
                <w:sz w:val="21"/>
                <w:szCs w:val="21"/>
                <w:highlight w:val="none"/>
              </w:rPr>
              <w:t>mg/kg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0043FC2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5.84</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3065BD8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5.43</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346E813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5.62</w:t>
            </w:r>
          </w:p>
        </w:tc>
        <w:tc>
          <w:tcPr>
            <w:tcW w:w="1037" w:type="dxa"/>
            <w:tcBorders>
              <w:top w:val="single" w:color="000000" w:sz="4" w:space="0"/>
              <w:left w:val="single" w:color="000000" w:sz="4" w:space="0"/>
              <w:bottom w:val="single" w:color="000000" w:sz="4" w:space="0"/>
            </w:tcBorders>
            <w:noWrap w:val="0"/>
            <w:vAlign w:val="center"/>
          </w:tcPr>
          <w:p w14:paraId="52F490F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60</w:t>
            </w:r>
          </w:p>
        </w:tc>
      </w:tr>
      <w:tr w14:paraId="597268A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4" w:hRule="atLeast"/>
          <w:jc w:val="center"/>
        </w:trPr>
        <w:tc>
          <w:tcPr>
            <w:tcW w:w="1770" w:type="dxa"/>
            <w:tcBorders>
              <w:top w:val="single" w:color="000000" w:sz="4" w:space="0"/>
              <w:bottom w:val="single" w:color="000000" w:sz="4" w:space="0"/>
              <w:right w:val="single" w:color="000000" w:sz="4" w:space="0"/>
            </w:tcBorders>
            <w:noWrap w:val="0"/>
            <w:vAlign w:val="center"/>
          </w:tcPr>
          <w:p w14:paraId="78BAF31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镉</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121EC6D4">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spacing w:val="-4"/>
                <w:sz w:val="21"/>
                <w:szCs w:val="21"/>
                <w:highlight w:val="none"/>
              </w:rPr>
              <w:t>mg/kg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3656F0A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0.16</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441F465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0.12</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08F8553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0.12</w:t>
            </w:r>
          </w:p>
        </w:tc>
        <w:tc>
          <w:tcPr>
            <w:tcW w:w="1037" w:type="dxa"/>
            <w:tcBorders>
              <w:top w:val="single" w:color="000000" w:sz="4" w:space="0"/>
              <w:left w:val="single" w:color="000000" w:sz="4" w:space="0"/>
              <w:bottom w:val="single" w:color="000000" w:sz="4" w:space="0"/>
            </w:tcBorders>
            <w:noWrap w:val="0"/>
            <w:vAlign w:val="center"/>
          </w:tcPr>
          <w:p w14:paraId="3C6B4E8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65</w:t>
            </w:r>
          </w:p>
        </w:tc>
      </w:tr>
      <w:tr w14:paraId="0F8ABD0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4" w:hRule="atLeast"/>
          <w:jc w:val="center"/>
        </w:trPr>
        <w:tc>
          <w:tcPr>
            <w:tcW w:w="1770" w:type="dxa"/>
            <w:tcBorders>
              <w:top w:val="single" w:color="000000" w:sz="4" w:space="0"/>
              <w:bottom w:val="single" w:color="000000" w:sz="4" w:space="0"/>
              <w:right w:val="single" w:color="000000" w:sz="4" w:space="0"/>
            </w:tcBorders>
            <w:noWrap w:val="0"/>
            <w:vAlign w:val="center"/>
          </w:tcPr>
          <w:p w14:paraId="3D1AF5F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六价铬</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754815D4">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spacing w:val="-4"/>
                <w:sz w:val="21"/>
                <w:szCs w:val="21"/>
                <w:highlight w:val="none"/>
              </w:rPr>
              <w:t>mg/kg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5852F33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0.5L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000C925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0.5L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103B417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0.5L</w:t>
            </w:r>
          </w:p>
        </w:tc>
        <w:tc>
          <w:tcPr>
            <w:tcW w:w="1037" w:type="dxa"/>
            <w:tcBorders>
              <w:top w:val="single" w:color="000000" w:sz="4" w:space="0"/>
              <w:left w:val="single" w:color="000000" w:sz="4" w:space="0"/>
              <w:bottom w:val="single" w:color="000000" w:sz="4" w:space="0"/>
            </w:tcBorders>
            <w:noWrap w:val="0"/>
            <w:vAlign w:val="center"/>
          </w:tcPr>
          <w:p w14:paraId="13F92DD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5.7</w:t>
            </w:r>
          </w:p>
        </w:tc>
      </w:tr>
      <w:tr w14:paraId="057A729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4" w:hRule="atLeast"/>
          <w:jc w:val="center"/>
        </w:trPr>
        <w:tc>
          <w:tcPr>
            <w:tcW w:w="1770" w:type="dxa"/>
            <w:tcBorders>
              <w:top w:val="single" w:color="000000" w:sz="4" w:space="0"/>
              <w:bottom w:val="single" w:color="000000" w:sz="4" w:space="0"/>
              <w:right w:val="single" w:color="000000" w:sz="4" w:space="0"/>
            </w:tcBorders>
            <w:noWrap w:val="0"/>
            <w:vAlign w:val="center"/>
          </w:tcPr>
          <w:p w14:paraId="19351C3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铜</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2079CFD5">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spacing w:val="-4"/>
                <w:sz w:val="21"/>
                <w:szCs w:val="21"/>
                <w:highlight w:val="none"/>
              </w:rPr>
              <w:t>mg/kg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4A40F6D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52</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335473A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46</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4183013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50</w:t>
            </w:r>
          </w:p>
        </w:tc>
        <w:tc>
          <w:tcPr>
            <w:tcW w:w="1037" w:type="dxa"/>
            <w:tcBorders>
              <w:top w:val="single" w:color="000000" w:sz="4" w:space="0"/>
              <w:left w:val="single" w:color="000000" w:sz="4" w:space="0"/>
              <w:bottom w:val="single" w:color="000000" w:sz="4" w:space="0"/>
            </w:tcBorders>
            <w:noWrap w:val="0"/>
            <w:vAlign w:val="center"/>
          </w:tcPr>
          <w:p w14:paraId="7B10041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18000</w:t>
            </w:r>
          </w:p>
        </w:tc>
      </w:tr>
      <w:tr w14:paraId="79BC859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306A997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铅</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0B6DE751">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spacing w:val="-4"/>
                <w:sz w:val="21"/>
                <w:szCs w:val="21"/>
                <w:highlight w:val="none"/>
              </w:rPr>
              <w:t>mg/kg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14C4F38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74</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3FC2F98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51</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4D78CAB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41</w:t>
            </w:r>
          </w:p>
        </w:tc>
        <w:tc>
          <w:tcPr>
            <w:tcW w:w="1037" w:type="dxa"/>
            <w:tcBorders>
              <w:top w:val="single" w:color="000000" w:sz="4" w:space="0"/>
              <w:left w:val="single" w:color="000000" w:sz="4" w:space="0"/>
              <w:bottom w:val="single" w:color="000000" w:sz="4" w:space="0"/>
            </w:tcBorders>
            <w:noWrap w:val="0"/>
            <w:vAlign w:val="center"/>
          </w:tcPr>
          <w:p w14:paraId="4B3AC85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800</w:t>
            </w:r>
          </w:p>
        </w:tc>
      </w:tr>
      <w:tr w14:paraId="1D8E532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33A34A8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汞</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49E56EE6">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spacing w:val="-4"/>
                <w:sz w:val="21"/>
                <w:szCs w:val="21"/>
                <w:highlight w:val="none"/>
              </w:rPr>
              <w:t>mg/kg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3EB0C2B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0.0489</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53577CD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0.0502</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2AF3E13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0.0475</w:t>
            </w:r>
          </w:p>
        </w:tc>
        <w:tc>
          <w:tcPr>
            <w:tcW w:w="1037" w:type="dxa"/>
            <w:tcBorders>
              <w:top w:val="single" w:color="000000" w:sz="4" w:space="0"/>
              <w:left w:val="single" w:color="000000" w:sz="4" w:space="0"/>
              <w:bottom w:val="single" w:color="000000" w:sz="4" w:space="0"/>
            </w:tcBorders>
            <w:noWrap w:val="0"/>
            <w:vAlign w:val="center"/>
          </w:tcPr>
          <w:p w14:paraId="3F90BB8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38</w:t>
            </w:r>
          </w:p>
        </w:tc>
      </w:tr>
      <w:tr w14:paraId="3505D6C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0BCDCF3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镍</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3605512B">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spacing w:val="-4"/>
                <w:sz w:val="21"/>
                <w:szCs w:val="21"/>
                <w:highlight w:val="none"/>
              </w:rPr>
              <w:t>mg/kg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78561D2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30</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1DD54BF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30</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09A98ED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26</w:t>
            </w:r>
          </w:p>
        </w:tc>
        <w:tc>
          <w:tcPr>
            <w:tcW w:w="1037" w:type="dxa"/>
            <w:tcBorders>
              <w:top w:val="single" w:color="000000" w:sz="4" w:space="0"/>
              <w:left w:val="single" w:color="000000" w:sz="4" w:space="0"/>
              <w:bottom w:val="single" w:color="000000" w:sz="4" w:space="0"/>
            </w:tcBorders>
            <w:noWrap w:val="0"/>
            <w:vAlign w:val="center"/>
          </w:tcPr>
          <w:p w14:paraId="6A68162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900</w:t>
            </w:r>
          </w:p>
        </w:tc>
      </w:tr>
      <w:tr w14:paraId="458C289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0E1A09E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四氯化碳</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56CB6BE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4205990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4251CE3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4D49E7B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037" w:type="dxa"/>
            <w:tcBorders>
              <w:top w:val="single" w:color="000000" w:sz="4" w:space="0"/>
              <w:left w:val="single" w:color="000000" w:sz="4" w:space="0"/>
              <w:bottom w:val="single" w:color="000000" w:sz="4" w:space="0"/>
            </w:tcBorders>
            <w:noWrap w:val="0"/>
            <w:vAlign w:val="center"/>
          </w:tcPr>
          <w:p w14:paraId="08C07A5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2.8</w:t>
            </w:r>
          </w:p>
        </w:tc>
      </w:tr>
      <w:tr w14:paraId="19DFCDD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6722451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default" w:ascii="Calibri" w:hAnsi="宋体" w:eastAsia="宋体" w:cs="Calibri"/>
                <w:b/>
                <w:color w:val="000000"/>
                <w:sz w:val="21"/>
                <w:szCs w:val="24"/>
                <w:highlight w:val="none"/>
              </w:rPr>
              <w:t>氯仿</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20DAE74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4D08C76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1.1L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376468B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1.1L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1C92ACE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1.1L</w:t>
            </w:r>
          </w:p>
        </w:tc>
        <w:tc>
          <w:tcPr>
            <w:tcW w:w="1037" w:type="dxa"/>
            <w:tcBorders>
              <w:top w:val="single" w:color="000000" w:sz="4" w:space="0"/>
              <w:left w:val="single" w:color="000000" w:sz="4" w:space="0"/>
              <w:bottom w:val="single" w:color="000000" w:sz="4" w:space="0"/>
            </w:tcBorders>
            <w:noWrap w:val="0"/>
            <w:vAlign w:val="center"/>
          </w:tcPr>
          <w:p w14:paraId="682C16A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0.9</w:t>
            </w:r>
          </w:p>
        </w:tc>
      </w:tr>
      <w:tr w14:paraId="2D3B675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7851452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Calibri" w:hAnsi="宋体" w:eastAsia="宋体" w:cs="Calibri"/>
                <w:b/>
                <w:color w:val="000000"/>
                <w:sz w:val="21"/>
                <w:szCs w:val="24"/>
                <w:highlight w:val="none"/>
              </w:rPr>
            </w:pPr>
            <w:r>
              <w:rPr>
                <w:rFonts w:hint="default" w:ascii="Calibri" w:hAnsi="宋体" w:eastAsia="宋体" w:cs="Calibri"/>
                <w:b/>
                <w:color w:val="000000"/>
                <w:sz w:val="21"/>
                <w:szCs w:val="24"/>
                <w:highlight w:val="none"/>
              </w:rPr>
              <w:t>氯甲烷</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429813E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02B8C70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1.0L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03FE60A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1.0L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2F1252D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1.0L</w:t>
            </w:r>
          </w:p>
        </w:tc>
        <w:tc>
          <w:tcPr>
            <w:tcW w:w="1037" w:type="dxa"/>
            <w:tcBorders>
              <w:top w:val="single" w:color="000000" w:sz="4" w:space="0"/>
              <w:left w:val="single" w:color="000000" w:sz="4" w:space="0"/>
              <w:bottom w:val="single" w:color="000000" w:sz="4" w:space="0"/>
            </w:tcBorders>
            <w:noWrap w:val="0"/>
            <w:vAlign w:val="center"/>
          </w:tcPr>
          <w:p w14:paraId="56E52FB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37</w:t>
            </w:r>
          </w:p>
        </w:tc>
      </w:tr>
      <w:tr w14:paraId="7B496AC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0F37F1C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1,1-二氯乙烷</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4AD8B02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475467E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148ACA6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2616E91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037" w:type="dxa"/>
            <w:tcBorders>
              <w:top w:val="single" w:color="000000" w:sz="4" w:space="0"/>
              <w:left w:val="single" w:color="000000" w:sz="4" w:space="0"/>
              <w:bottom w:val="single" w:color="000000" w:sz="4" w:space="0"/>
            </w:tcBorders>
            <w:noWrap w:val="0"/>
            <w:vAlign w:val="center"/>
          </w:tcPr>
          <w:p w14:paraId="73063C7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9</w:t>
            </w:r>
          </w:p>
        </w:tc>
      </w:tr>
      <w:tr w14:paraId="6C1A146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734B199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1,2-二氯乙烷</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7B9BAA3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61D144D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40976A7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2CC796E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037" w:type="dxa"/>
            <w:tcBorders>
              <w:top w:val="single" w:color="000000" w:sz="4" w:space="0"/>
              <w:left w:val="single" w:color="000000" w:sz="4" w:space="0"/>
              <w:bottom w:val="single" w:color="000000" w:sz="4" w:space="0"/>
            </w:tcBorders>
            <w:noWrap w:val="0"/>
            <w:vAlign w:val="center"/>
          </w:tcPr>
          <w:p w14:paraId="5AC2017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5</w:t>
            </w:r>
          </w:p>
        </w:tc>
      </w:tr>
      <w:tr w14:paraId="71BC9A5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154EAB3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1,1-二氯乙烯</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43417AC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44273F0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1.0L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787D588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1.0L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7E57118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1.0L</w:t>
            </w:r>
          </w:p>
        </w:tc>
        <w:tc>
          <w:tcPr>
            <w:tcW w:w="1037" w:type="dxa"/>
            <w:tcBorders>
              <w:top w:val="single" w:color="000000" w:sz="4" w:space="0"/>
              <w:left w:val="single" w:color="000000" w:sz="4" w:space="0"/>
              <w:bottom w:val="single" w:color="000000" w:sz="4" w:space="0"/>
            </w:tcBorders>
            <w:noWrap w:val="0"/>
            <w:vAlign w:val="center"/>
          </w:tcPr>
          <w:p w14:paraId="11EEDDA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66</w:t>
            </w:r>
          </w:p>
        </w:tc>
      </w:tr>
      <w:tr w14:paraId="182736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1A836D0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顺-1,2-二氯乙烯</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676F950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604A384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6AB75C5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60EBD30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037" w:type="dxa"/>
            <w:tcBorders>
              <w:top w:val="single" w:color="000000" w:sz="4" w:space="0"/>
              <w:left w:val="single" w:color="000000" w:sz="4" w:space="0"/>
              <w:bottom w:val="single" w:color="000000" w:sz="4" w:space="0"/>
            </w:tcBorders>
            <w:noWrap w:val="0"/>
            <w:vAlign w:val="center"/>
          </w:tcPr>
          <w:p w14:paraId="4DA0CDF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596</w:t>
            </w:r>
          </w:p>
        </w:tc>
      </w:tr>
      <w:tr w14:paraId="4849992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7809AD5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反-1,2-二氯乙烯</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1D3109A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0B47AD7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1.4L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638F74F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1.4L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5B4CC99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1.4L</w:t>
            </w:r>
          </w:p>
        </w:tc>
        <w:tc>
          <w:tcPr>
            <w:tcW w:w="1037" w:type="dxa"/>
            <w:tcBorders>
              <w:top w:val="single" w:color="000000" w:sz="4" w:space="0"/>
              <w:left w:val="single" w:color="000000" w:sz="4" w:space="0"/>
              <w:bottom w:val="single" w:color="000000" w:sz="4" w:space="0"/>
            </w:tcBorders>
            <w:noWrap w:val="0"/>
            <w:vAlign w:val="center"/>
          </w:tcPr>
          <w:p w14:paraId="735110E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54</w:t>
            </w:r>
          </w:p>
        </w:tc>
      </w:tr>
      <w:tr w14:paraId="04B09C0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5612193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二氯甲烷</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795E67E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6711337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1.5L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70DC538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1.5L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3D9AAA6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1.5L</w:t>
            </w:r>
          </w:p>
        </w:tc>
        <w:tc>
          <w:tcPr>
            <w:tcW w:w="1037" w:type="dxa"/>
            <w:tcBorders>
              <w:top w:val="single" w:color="000000" w:sz="4" w:space="0"/>
              <w:left w:val="single" w:color="000000" w:sz="4" w:space="0"/>
              <w:bottom w:val="single" w:color="000000" w:sz="4" w:space="0"/>
            </w:tcBorders>
            <w:noWrap w:val="0"/>
            <w:vAlign w:val="center"/>
          </w:tcPr>
          <w:p w14:paraId="7DAD4B5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616</w:t>
            </w:r>
          </w:p>
        </w:tc>
      </w:tr>
      <w:tr w14:paraId="3698EE9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66ECD36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1,2-二氯丙烷</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74B304D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6292796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1.1L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18B1D3B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1.1L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409DFA2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1.1L</w:t>
            </w:r>
          </w:p>
        </w:tc>
        <w:tc>
          <w:tcPr>
            <w:tcW w:w="1037" w:type="dxa"/>
            <w:tcBorders>
              <w:top w:val="single" w:color="000000" w:sz="4" w:space="0"/>
              <w:left w:val="single" w:color="000000" w:sz="4" w:space="0"/>
              <w:bottom w:val="single" w:color="000000" w:sz="4" w:space="0"/>
            </w:tcBorders>
            <w:noWrap w:val="0"/>
            <w:vAlign w:val="center"/>
          </w:tcPr>
          <w:p w14:paraId="505EC05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5</w:t>
            </w:r>
          </w:p>
        </w:tc>
      </w:tr>
      <w:tr w14:paraId="0F57539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536DFF4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1,1,1,2-四氯乙烷</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4745B79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5F378A0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1412111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210D9EA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037" w:type="dxa"/>
            <w:tcBorders>
              <w:top w:val="single" w:color="000000" w:sz="4" w:space="0"/>
              <w:left w:val="single" w:color="000000" w:sz="4" w:space="0"/>
              <w:bottom w:val="single" w:color="000000" w:sz="4" w:space="0"/>
            </w:tcBorders>
            <w:noWrap w:val="0"/>
            <w:vAlign w:val="center"/>
          </w:tcPr>
          <w:p w14:paraId="734A72C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10</w:t>
            </w:r>
          </w:p>
        </w:tc>
      </w:tr>
      <w:tr w14:paraId="02C0594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181F17D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1,1,2,2-四氯乙烷</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0CBF3E8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2EFCA25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13E6CDC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431D720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037" w:type="dxa"/>
            <w:tcBorders>
              <w:top w:val="single" w:color="000000" w:sz="4" w:space="0"/>
              <w:left w:val="single" w:color="000000" w:sz="4" w:space="0"/>
              <w:bottom w:val="single" w:color="000000" w:sz="4" w:space="0"/>
            </w:tcBorders>
            <w:noWrap w:val="0"/>
            <w:vAlign w:val="center"/>
          </w:tcPr>
          <w:p w14:paraId="2A6DAC1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6.8</w:t>
            </w:r>
          </w:p>
        </w:tc>
      </w:tr>
      <w:tr w14:paraId="236B90B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011FD42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四氯乙烯</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2D814E0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144B983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1.4L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6F97326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1.4L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23B677B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1.4L</w:t>
            </w:r>
          </w:p>
        </w:tc>
        <w:tc>
          <w:tcPr>
            <w:tcW w:w="1037" w:type="dxa"/>
            <w:tcBorders>
              <w:top w:val="single" w:color="000000" w:sz="4" w:space="0"/>
              <w:left w:val="single" w:color="000000" w:sz="4" w:space="0"/>
              <w:bottom w:val="single" w:color="000000" w:sz="4" w:space="0"/>
            </w:tcBorders>
            <w:noWrap w:val="0"/>
            <w:vAlign w:val="center"/>
          </w:tcPr>
          <w:p w14:paraId="1B72196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53</w:t>
            </w:r>
          </w:p>
        </w:tc>
      </w:tr>
      <w:tr w14:paraId="1815D15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61FA871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1,1,1-三氯乙烷</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661B87B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187C1A5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6CF3030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0B21DE7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037" w:type="dxa"/>
            <w:tcBorders>
              <w:top w:val="single" w:color="000000" w:sz="4" w:space="0"/>
              <w:left w:val="single" w:color="000000" w:sz="4" w:space="0"/>
              <w:bottom w:val="single" w:color="000000" w:sz="4" w:space="0"/>
            </w:tcBorders>
            <w:noWrap w:val="0"/>
            <w:vAlign w:val="center"/>
          </w:tcPr>
          <w:p w14:paraId="42BD1D4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840</w:t>
            </w:r>
          </w:p>
        </w:tc>
      </w:tr>
      <w:tr w14:paraId="7181474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74DF503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1,1,2-三氯乙烷</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1F91B25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1AF7535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605DB08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6EC366D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037" w:type="dxa"/>
            <w:tcBorders>
              <w:top w:val="single" w:color="000000" w:sz="4" w:space="0"/>
              <w:left w:val="single" w:color="000000" w:sz="4" w:space="0"/>
              <w:bottom w:val="single" w:color="000000" w:sz="4" w:space="0"/>
            </w:tcBorders>
            <w:noWrap w:val="0"/>
            <w:vAlign w:val="center"/>
          </w:tcPr>
          <w:p w14:paraId="6980F78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2.8</w:t>
            </w:r>
          </w:p>
        </w:tc>
      </w:tr>
      <w:tr w14:paraId="7080FB1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28789C6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三氯乙烯</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6B03F98A">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4890B57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02F741D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140D45F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037" w:type="dxa"/>
            <w:tcBorders>
              <w:top w:val="single" w:color="000000" w:sz="4" w:space="0"/>
              <w:left w:val="single" w:color="000000" w:sz="4" w:space="0"/>
              <w:bottom w:val="single" w:color="000000" w:sz="4" w:space="0"/>
            </w:tcBorders>
            <w:noWrap w:val="0"/>
            <w:vAlign w:val="center"/>
          </w:tcPr>
          <w:p w14:paraId="3A96C15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2.8</w:t>
            </w:r>
          </w:p>
        </w:tc>
      </w:tr>
      <w:tr w14:paraId="5F20430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48B2E24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1,2,3-三氯丙烷</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02340EEA">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317BB79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34F9E5A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4111A02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037" w:type="dxa"/>
            <w:tcBorders>
              <w:top w:val="single" w:color="000000" w:sz="4" w:space="0"/>
              <w:left w:val="single" w:color="000000" w:sz="4" w:space="0"/>
              <w:bottom w:val="single" w:color="000000" w:sz="4" w:space="0"/>
            </w:tcBorders>
            <w:noWrap w:val="0"/>
            <w:vAlign w:val="center"/>
          </w:tcPr>
          <w:p w14:paraId="16BD833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0.5</w:t>
            </w:r>
          </w:p>
        </w:tc>
      </w:tr>
      <w:tr w14:paraId="04ADBEA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1B67FFA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氯乙烯</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64E3BD77">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062C08C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1.0L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02630AE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1.0L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588DAF7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1.0L</w:t>
            </w:r>
          </w:p>
        </w:tc>
        <w:tc>
          <w:tcPr>
            <w:tcW w:w="1037" w:type="dxa"/>
            <w:tcBorders>
              <w:top w:val="single" w:color="000000" w:sz="4" w:space="0"/>
              <w:left w:val="single" w:color="000000" w:sz="4" w:space="0"/>
              <w:bottom w:val="single" w:color="000000" w:sz="4" w:space="0"/>
            </w:tcBorders>
            <w:noWrap w:val="0"/>
            <w:vAlign w:val="center"/>
          </w:tcPr>
          <w:p w14:paraId="492C9EA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0.43</w:t>
            </w:r>
          </w:p>
        </w:tc>
      </w:tr>
      <w:tr w14:paraId="025527A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4946A76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苯</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7AA8E038">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23A3A7B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1.9L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0CEE666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1.9L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08FEBAF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1.9L</w:t>
            </w:r>
          </w:p>
        </w:tc>
        <w:tc>
          <w:tcPr>
            <w:tcW w:w="1037" w:type="dxa"/>
            <w:tcBorders>
              <w:top w:val="single" w:color="000000" w:sz="4" w:space="0"/>
              <w:left w:val="single" w:color="000000" w:sz="4" w:space="0"/>
              <w:bottom w:val="single" w:color="000000" w:sz="4" w:space="0"/>
            </w:tcBorders>
            <w:noWrap w:val="0"/>
            <w:vAlign w:val="center"/>
          </w:tcPr>
          <w:p w14:paraId="0C0DA10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4</w:t>
            </w:r>
          </w:p>
        </w:tc>
      </w:tr>
      <w:tr w14:paraId="2F2FA04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6BDDD6C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氯苯</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104651ED">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2D6C8F5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138C120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181A5C4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037" w:type="dxa"/>
            <w:tcBorders>
              <w:top w:val="single" w:color="000000" w:sz="4" w:space="0"/>
              <w:left w:val="single" w:color="000000" w:sz="4" w:space="0"/>
              <w:bottom w:val="single" w:color="000000" w:sz="4" w:space="0"/>
            </w:tcBorders>
            <w:noWrap w:val="0"/>
            <w:vAlign w:val="center"/>
          </w:tcPr>
          <w:p w14:paraId="617A9F6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270</w:t>
            </w:r>
          </w:p>
        </w:tc>
      </w:tr>
      <w:tr w14:paraId="502CF3E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0FA4EF7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1,2-二氯苯</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085A73EB">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0584A8A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1.5L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74FD237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1.5L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1E66BB4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1.5L</w:t>
            </w:r>
          </w:p>
        </w:tc>
        <w:tc>
          <w:tcPr>
            <w:tcW w:w="1037" w:type="dxa"/>
            <w:tcBorders>
              <w:top w:val="single" w:color="000000" w:sz="4" w:space="0"/>
              <w:left w:val="single" w:color="000000" w:sz="4" w:space="0"/>
              <w:bottom w:val="single" w:color="000000" w:sz="4" w:space="0"/>
            </w:tcBorders>
            <w:noWrap w:val="0"/>
            <w:vAlign w:val="center"/>
          </w:tcPr>
          <w:p w14:paraId="07BF7D1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560</w:t>
            </w:r>
          </w:p>
        </w:tc>
      </w:tr>
      <w:tr w14:paraId="194E99C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77C21A0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1,4-二氯苯</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55B7A52E">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0259C4C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1.5L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22FB534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1.5L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315BCE5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1.5L</w:t>
            </w:r>
          </w:p>
        </w:tc>
        <w:tc>
          <w:tcPr>
            <w:tcW w:w="1037" w:type="dxa"/>
            <w:tcBorders>
              <w:top w:val="single" w:color="000000" w:sz="4" w:space="0"/>
              <w:left w:val="single" w:color="000000" w:sz="4" w:space="0"/>
              <w:bottom w:val="single" w:color="000000" w:sz="4" w:space="0"/>
            </w:tcBorders>
            <w:noWrap w:val="0"/>
            <w:vAlign w:val="center"/>
          </w:tcPr>
          <w:p w14:paraId="12F8EE3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20</w:t>
            </w:r>
          </w:p>
        </w:tc>
      </w:tr>
      <w:tr w14:paraId="6F9E4B3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0747BF8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乙苯</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50C1A7B2">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2A21C43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598EDDE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5C3EFF3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037" w:type="dxa"/>
            <w:tcBorders>
              <w:top w:val="single" w:color="000000" w:sz="4" w:space="0"/>
              <w:left w:val="single" w:color="000000" w:sz="4" w:space="0"/>
              <w:bottom w:val="single" w:color="000000" w:sz="4" w:space="0"/>
            </w:tcBorders>
            <w:noWrap w:val="0"/>
            <w:vAlign w:val="center"/>
          </w:tcPr>
          <w:p w14:paraId="0131833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28</w:t>
            </w:r>
          </w:p>
        </w:tc>
      </w:tr>
      <w:tr w14:paraId="7B5C0C2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4" w:space="0"/>
              <w:right w:val="single" w:color="000000" w:sz="4" w:space="0"/>
            </w:tcBorders>
            <w:noWrap w:val="0"/>
            <w:vAlign w:val="center"/>
          </w:tcPr>
          <w:p w14:paraId="3CABD75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苯乙烯</w:t>
            </w:r>
          </w:p>
        </w:tc>
        <w:tc>
          <w:tcPr>
            <w:tcW w:w="1289" w:type="dxa"/>
            <w:tcBorders>
              <w:top w:val="single" w:color="000000" w:sz="4" w:space="0"/>
              <w:left w:val="single" w:color="000000" w:sz="4" w:space="0"/>
              <w:bottom w:val="single" w:color="000000" w:sz="4" w:space="0"/>
              <w:right w:val="single" w:color="000000" w:sz="4" w:space="0"/>
            </w:tcBorders>
            <w:noWrap w:val="0"/>
            <w:vAlign w:val="center"/>
          </w:tcPr>
          <w:p w14:paraId="3F20CF6A">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4" w:space="0"/>
              <w:right w:val="single" w:color="000000" w:sz="4" w:space="0"/>
            </w:tcBorders>
            <w:noWrap w:val="0"/>
            <w:vAlign w:val="center"/>
          </w:tcPr>
          <w:p w14:paraId="11D3AED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1.1L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1FCBFD6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1.1L</w:t>
            </w:r>
          </w:p>
        </w:tc>
        <w:tc>
          <w:tcPr>
            <w:tcW w:w="1656" w:type="dxa"/>
            <w:tcBorders>
              <w:top w:val="single" w:color="000000" w:sz="4" w:space="0"/>
              <w:left w:val="single" w:color="000000" w:sz="4" w:space="0"/>
              <w:bottom w:val="single" w:color="000000" w:sz="4" w:space="0"/>
              <w:right w:val="single" w:color="000000" w:sz="4" w:space="0"/>
            </w:tcBorders>
            <w:noWrap w:val="0"/>
            <w:vAlign w:val="center"/>
          </w:tcPr>
          <w:p w14:paraId="68AE476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1.1L</w:t>
            </w:r>
          </w:p>
        </w:tc>
        <w:tc>
          <w:tcPr>
            <w:tcW w:w="1037" w:type="dxa"/>
            <w:tcBorders>
              <w:top w:val="single" w:color="000000" w:sz="4" w:space="0"/>
              <w:left w:val="single" w:color="000000" w:sz="4" w:space="0"/>
              <w:bottom w:val="single" w:color="000000" w:sz="4" w:space="0"/>
            </w:tcBorders>
            <w:noWrap w:val="0"/>
            <w:vAlign w:val="center"/>
          </w:tcPr>
          <w:p w14:paraId="3942B2C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1290</w:t>
            </w:r>
          </w:p>
        </w:tc>
      </w:tr>
      <w:tr w14:paraId="4DD0C9F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70" w:type="dxa"/>
            <w:tcBorders>
              <w:top w:val="single" w:color="000000" w:sz="4" w:space="0"/>
              <w:bottom w:val="single" w:color="000000" w:sz="12" w:space="0"/>
              <w:right w:val="single" w:color="000000" w:sz="4" w:space="0"/>
            </w:tcBorders>
            <w:noWrap w:val="0"/>
            <w:vAlign w:val="center"/>
          </w:tcPr>
          <w:p w14:paraId="1A05BC2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甲苯</w:t>
            </w:r>
          </w:p>
        </w:tc>
        <w:tc>
          <w:tcPr>
            <w:tcW w:w="1289" w:type="dxa"/>
            <w:tcBorders>
              <w:top w:val="single" w:color="000000" w:sz="4" w:space="0"/>
              <w:left w:val="single" w:color="000000" w:sz="4" w:space="0"/>
              <w:bottom w:val="single" w:color="000000" w:sz="12" w:space="0"/>
              <w:right w:val="single" w:color="000000" w:sz="4" w:space="0"/>
            </w:tcBorders>
            <w:noWrap w:val="0"/>
            <w:vAlign w:val="center"/>
          </w:tcPr>
          <w:p w14:paraId="187C3A91">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31" w:type="dxa"/>
            <w:tcBorders>
              <w:top w:val="single" w:color="000000" w:sz="4" w:space="0"/>
              <w:left w:val="single" w:color="000000" w:sz="4" w:space="0"/>
              <w:bottom w:val="single" w:color="000000" w:sz="12" w:space="0"/>
              <w:right w:val="single" w:color="000000" w:sz="4" w:space="0"/>
            </w:tcBorders>
            <w:noWrap w:val="0"/>
            <w:vAlign w:val="center"/>
          </w:tcPr>
          <w:p w14:paraId="760A16D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701" w:type="dxa"/>
            <w:tcBorders>
              <w:top w:val="single" w:color="000000" w:sz="4" w:space="0"/>
              <w:left w:val="single" w:color="000000" w:sz="4" w:space="0"/>
              <w:bottom w:val="single" w:color="000000" w:sz="12" w:space="0"/>
              <w:right w:val="single" w:color="000000" w:sz="4" w:space="0"/>
            </w:tcBorders>
            <w:noWrap w:val="0"/>
            <w:vAlign w:val="center"/>
          </w:tcPr>
          <w:p w14:paraId="08F37C5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656" w:type="dxa"/>
            <w:tcBorders>
              <w:top w:val="single" w:color="000000" w:sz="4" w:space="0"/>
              <w:left w:val="single" w:color="000000" w:sz="4" w:space="0"/>
              <w:bottom w:val="single" w:color="000000" w:sz="12" w:space="0"/>
              <w:right w:val="single" w:color="000000" w:sz="4" w:space="0"/>
            </w:tcBorders>
            <w:noWrap w:val="0"/>
            <w:vAlign w:val="center"/>
          </w:tcPr>
          <w:p w14:paraId="55600A3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037" w:type="dxa"/>
            <w:tcBorders>
              <w:top w:val="single" w:color="000000" w:sz="4" w:space="0"/>
              <w:left w:val="single" w:color="000000" w:sz="4" w:space="0"/>
              <w:bottom w:val="single" w:color="000000" w:sz="12" w:space="0"/>
            </w:tcBorders>
            <w:noWrap w:val="0"/>
            <w:vAlign w:val="center"/>
          </w:tcPr>
          <w:p w14:paraId="15AC110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1200</w:t>
            </w:r>
          </w:p>
        </w:tc>
      </w:tr>
    </w:tbl>
    <w:p w14:paraId="1651F505">
      <w:pPr>
        <w:wordWrap/>
        <w:adjustRightInd/>
        <w:snapToGrid/>
        <w:spacing w:line="240" w:lineRule="auto"/>
        <w:ind w:firstLine="0" w:firstLineChars="0"/>
        <w:rPr>
          <w:rFonts w:hint="eastAsia" w:ascii="Times New Roman" w:hAnsi="Times New Roman" w:eastAsia="宋体" w:cs="Times New Roman"/>
          <w:b/>
          <w:sz w:val="18"/>
          <w:szCs w:val="18"/>
          <w:highlight w:val="none"/>
        </w:rPr>
      </w:pPr>
      <w:r>
        <w:rPr>
          <w:rFonts w:ascii="Times New Roman" w:hAnsi="Times New Roman" w:eastAsia="宋体" w:cs="Times New Roman"/>
          <w:b/>
          <w:sz w:val="18"/>
          <w:szCs w:val="18"/>
          <w:highlight w:val="none"/>
        </w:rPr>
        <w:t>注：L为低于检出限。</w:t>
      </w:r>
    </w:p>
    <w:tbl>
      <w:tblPr>
        <w:tblStyle w:val="45"/>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560"/>
        <w:gridCol w:w="1230"/>
        <w:gridCol w:w="1550"/>
        <w:gridCol w:w="1616"/>
        <w:gridCol w:w="1574"/>
        <w:gridCol w:w="992"/>
      </w:tblGrid>
      <w:tr w14:paraId="240541E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2" w:hRule="atLeast"/>
          <w:jc w:val="center"/>
        </w:trPr>
        <w:tc>
          <w:tcPr>
            <w:tcW w:w="1671" w:type="dxa"/>
            <w:vMerge w:val="restart"/>
            <w:tcBorders>
              <w:top w:val="single" w:color="000000" w:sz="12" w:space="0"/>
              <w:right w:val="single" w:color="000000" w:sz="4" w:space="0"/>
            </w:tcBorders>
            <w:noWrap w:val="0"/>
            <w:vAlign w:val="center"/>
          </w:tcPr>
          <w:p w14:paraId="158C056F">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Calibri" w:eastAsia="宋体" w:cs="Times New Roman"/>
                <w:b/>
                <w:sz w:val="21"/>
                <w:szCs w:val="21"/>
                <w:highlight w:val="none"/>
              </w:rPr>
            </w:pPr>
            <w:r>
              <w:rPr>
                <w:rFonts w:hint="default" w:ascii="Times New Roman" w:hAnsi="Calibri" w:eastAsia="宋体" w:cs="Times New Roman"/>
                <w:b/>
                <w:sz w:val="21"/>
                <w:szCs w:val="21"/>
                <w:highlight w:val="none"/>
              </w:rPr>
              <w:t>检测项目</w:t>
            </w:r>
          </w:p>
        </w:tc>
        <w:tc>
          <w:tcPr>
            <w:tcW w:w="1313" w:type="dxa"/>
            <w:tcBorders>
              <w:top w:val="single" w:color="000000" w:sz="12" w:space="0"/>
              <w:left w:val="single" w:color="000000" w:sz="4" w:space="0"/>
              <w:bottom w:val="single" w:color="000000" w:sz="4" w:space="0"/>
              <w:right w:val="single" w:color="000000" w:sz="4" w:space="0"/>
            </w:tcBorders>
            <w:noWrap w:val="0"/>
            <w:vAlign w:val="center"/>
          </w:tcPr>
          <w:p w14:paraId="343AE922">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eastAsia" w:ascii="Times New Roman" w:hAnsi="Times New Roman" w:eastAsia="宋体" w:cs="Times New Roman"/>
                <w:b/>
                <w:bCs/>
                <w:color w:val="000000"/>
                <w:sz w:val="21"/>
                <w:szCs w:val="21"/>
                <w:highlight w:val="none"/>
              </w:rPr>
              <w:t>采样时间</w:t>
            </w:r>
          </w:p>
        </w:tc>
        <w:tc>
          <w:tcPr>
            <w:tcW w:w="5077" w:type="dxa"/>
            <w:gridSpan w:val="3"/>
            <w:tcBorders>
              <w:top w:val="single" w:color="000000" w:sz="12" w:space="0"/>
              <w:left w:val="single" w:color="000000" w:sz="4" w:space="0"/>
              <w:bottom w:val="single" w:color="000000" w:sz="4" w:space="0"/>
              <w:right w:val="single" w:color="000000" w:sz="4" w:space="0"/>
            </w:tcBorders>
            <w:noWrap w:val="0"/>
            <w:vAlign w:val="center"/>
          </w:tcPr>
          <w:p w14:paraId="2646C79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sz w:val="21"/>
                <w:szCs w:val="21"/>
                <w:highlight w:val="none"/>
              </w:rPr>
              <w:t>202</w:t>
            </w:r>
            <w:r>
              <w:rPr>
                <w:rFonts w:hint="eastAsia" w:ascii="Times New Roman" w:hAnsi="Times New Roman" w:eastAsia="宋体" w:cs="Times New Roman"/>
                <w:sz w:val="21"/>
                <w:szCs w:val="21"/>
                <w:highlight w:val="none"/>
              </w:rPr>
              <w:t>5.09.19</w:t>
            </w:r>
          </w:p>
        </w:tc>
        <w:tc>
          <w:tcPr>
            <w:tcW w:w="1055" w:type="dxa"/>
            <w:vMerge w:val="restart"/>
            <w:tcBorders>
              <w:top w:val="single" w:color="000000" w:sz="12" w:space="0"/>
              <w:left w:val="single" w:color="000000" w:sz="4" w:space="0"/>
            </w:tcBorders>
            <w:noWrap w:val="0"/>
            <w:vAlign w:val="center"/>
          </w:tcPr>
          <w:p w14:paraId="7190177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标准</w:t>
            </w:r>
          </w:p>
          <w:p w14:paraId="15B3DAB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限值</w:t>
            </w:r>
          </w:p>
          <w:p w14:paraId="72841C6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
                <w:bCs/>
                <w:sz w:val="21"/>
                <w:szCs w:val="21"/>
                <w:highlight w:val="none"/>
              </w:rPr>
            </w:pPr>
            <w:r>
              <w:rPr>
                <w:rFonts w:hint="default" w:ascii="Times New Roman" w:hAnsi="Times New Roman" w:eastAsia="宋体" w:cs="Times New Roman"/>
                <w:b/>
                <w:spacing w:val="-4"/>
                <w:sz w:val="21"/>
                <w:szCs w:val="21"/>
                <w:highlight w:val="none"/>
              </w:rPr>
              <w:t>mg/kg</w:t>
            </w:r>
          </w:p>
        </w:tc>
      </w:tr>
      <w:tr w14:paraId="5EB754D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2" w:hRule="atLeast"/>
          <w:jc w:val="center"/>
        </w:trPr>
        <w:tc>
          <w:tcPr>
            <w:tcW w:w="1671" w:type="dxa"/>
            <w:vMerge w:val="continue"/>
            <w:tcBorders>
              <w:right w:val="single" w:color="000000" w:sz="4" w:space="0"/>
            </w:tcBorders>
            <w:noWrap w:val="0"/>
            <w:vAlign w:val="center"/>
          </w:tcPr>
          <w:p w14:paraId="64F1988E">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Calibri" w:eastAsia="宋体" w:cs="Times New Roman"/>
                <w:b/>
                <w:sz w:val="21"/>
                <w:szCs w:val="21"/>
                <w:highlight w:val="none"/>
              </w:rPr>
            </w:pP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26AD7982">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bCs/>
                <w:color w:val="000000"/>
                <w:sz w:val="21"/>
                <w:szCs w:val="21"/>
                <w:highlight w:val="none"/>
              </w:rPr>
              <w:t>采样点位</w:t>
            </w:r>
          </w:p>
        </w:tc>
        <w:tc>
          <w:tcPr>
            <w:tcW w:w="5077" w:type="dxa"/>
            <w:gridSpan w:val="3"/>
            <w:tcBorders>
              <w:top w:val="single" w:color="000000" w:sz="4" w:space="0"/>
              <w:left w:val="single" w:color="000000" w:sz="4" w:space="0"/>
              <w:bottom w:val="single" w:color="000000" w:sz="4" w:space="0"/>
              <w:right w:val="single" w:color="000000" w:sz="4" w:space="0"/>
            </w:tcBorders>
            <w:noWrap w:val="0"/>
            <w:vAlign w:val="center"/>
          </w:tcPr>
          <w:p w14:paraId="0E24B9F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Perpetua" w:eastAsia="宋体" w:cs="Times New Roman"/>
                <w:sz w:val="21"/>
                <w:szCs w:val="21"/>
                <w:highlight w:val="none"/>
              </w:rPr>
              <w:t>占地范围内</w:t>
            </w:r>
            <w:r>
              <w:rPr>
                <w:rFonts w:hint="default" w:ascii="宋体" w:hAnsi="宋体" w:eastAsia="宋体" w:cs="Times New Roman"/>
                <w:color w:val="000000"/>
                <w:sz w:val="21"/>
                <w:szCs w:val="21"/>
                <w:highlight w:val="none"/>
              </w:rPr>
              <w:t>■</w:t>
            </w:r>
            <w:r>
              <w:rPr>
                <w:rFonts w:hint="eastAsia" w:ascii="Times New Roman" w:hAnsi="Times New Roman" w:eastAsia="宋体" w:cs="Times New Roman"/>
                <w:color w:val="000000"/>
                <w:sz w:val="21"/>
                <w:szCs w:val="21"/>
                <w:highlight w:val="none"/>
              </w:rPr>
              <w:t>7</w:t>
            </w:r>
          </w:p>
        </w:tc>
        <w:tc>
          <w:tcPr>
            <w:tcW w:w="1055" w:type="dxa"/>
            <w:vMerge w:val="continue"/>
            <w:tcBorders>
              <w:left w:val="single" w:color="000000" w:sz="4" w:space="0"/>
            </w:tcBorders>
            <w:noWrap w:val="0"/>
            <w:vAlign w:val="center"/>
          </w:tcPr>
          <w:p w14:paraId="7035FB8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p>
        </w:tc>
      </w:tr>
      <w:tr w14:paraId="61A06AC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671" w:type="dxa"/>
            <w:vMerge w:val="continue"/>
            <w:tcBorders>
              <w:right w:val="single" w:color="000000" w:sz="4" w:space="0"/>
            </w:tcBorders>
            <w:noWrap w:val="0"/>
            <w:vAlign w:val="center"/>
          </w:tcPr>
          <w:p w14:paraId="66A86440">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Calibri" w:eastAsia="宋体" w:cs="Times New Roman"/>
                <w:b/>
                <w:sz w:val="21"/>
                <w:szCs w:val="21"/>
                <w:highlight w:val="none"/>
              </w:rPr>
            </w:pPr>
            <w:bookmarkStart w:id="367" w:name="OLE_LINK93" w:colFirst="2" w:colLast="68"/>
            <w:bookmarkStart w:id="368" w:name="OLE_LINK94" w:colFirst="2" w:colLast="68"/>
            <w:bookmarkStart w:id="369" w:name="_Hlk211414629"/>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3B5EE864">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eastAsia" w:ascii="Times New Roman" w:hAnsi="宋体" w:eastAsia="宋体" w:cs="Times New Roman"/>
                <w:b/>
                <w:bCs/>
                <w:sz w:val="21"/>
                <w:szCs w:val="21"/>
                <w:highlight w:val="none"/>
              </w:rPr>
            </w:pPr>
            <w:r>
              <w:rPr>
                <w:rFonts w:hint="eastAsia" w:ascii="Times New Roman" w:hAnsi="Times New Roman" w:eastAsia="宋体" w:cs="Times New Roman"/>
                <w:b/>
                <w:bCs/>
                <w:color w:val="000000"/>
                <w:sz w:val="21"/>
                <w:szCs w:val="21"/>
                <w:highlight w:val="none"/>
              </w:rPr>
              <w:t>检测点类型</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7213DAD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sz w:val="21"/>
                <w:szCs w:val="21"/>
                <w:highlight w:val="none"/>
              </w:rPr>
              <w:t>柱状样</w:t>
            </w:r>
            <w:r>
              <w:rPr>
                <w:rFonts w:hint="default" w:ascii="Times New Roman" w:hAnsi="Times New Roman" w:eastAsia="宋体" w:cs="Times New Roman"/>
                <w:sz w:val="21"/>
                <w:szCs w:val="21"/>
                <w:highlight w:val="none"/>
              </w:rPr>
              <w:t>0.5m</w:t>
            </w:r>
          </w:p>
        </w:tc>
        <w:tc>
          <w:tcPr>
            <w:tcW w:w="1731" w:type="dxa"/>
            <w:tcBorders>
              <w:left w:val="single" w:color="000000" w:sz="4" w:space="0"/>
              <w:right w:val="single" w:color="000000" w:sz="4" w:space="0"/>
            </w:tcBorders>
            <w:noWrap w:val="0"/>
            <w:vAlign w:val="center"/>
          </w:tcPr>
          <w:p w14:paraId="43C7283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sz w:val="21"/>
                <w:szCs w:val="21"/>
                <w:highlight w:val="none"/>
              </w:rPr>
              <w:t>柱状样</w:t>
            </w:r>
            <w:r>
              <w:rPr>
                <w:rFonts w:hint="default" w:ascii="Times New Roman" w:hAnsi="Times New Roman" w:eastAsia="宋体" w:cs="Times New Roman"/>
                <w:sz w:val="21"/>
                <w:szCs w:val="21"/>
                <w:highlight w:val="none"/>
              </w:rPr>
              <w:t>1.0m</w:t>
            </w:r>
          </w:p>
        </w:tc>
        <w:tc>
          <w:tcPr>
            <w:tcW w:w="1686" w:type="dxa"/>
            <w:tcBorders>
              <w:left w:val="single" w:color="000000" w:sz="4" w:space="0"/>
              <w:right w:val="single" w:color="000000" w:sz="4" w:space="0"/>
            </w:tcBorders>
            <w:noWrap w:val="0"/>
            <w:vAlign w:val="center"/>
          </w:tcPr>
          <w:p w14:paraId="610210A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sz w:val="21"/>
                <w:szCs w:val="21"/>
                <w:highlight w:val="none"/>
              </w:rPr>
              <w:t>柱状样</w:t>
            </w:r>
            <w:r>
              <w:rPr>
                <w:rFonts w:hint="default" w:ascii="Times New Roman" w:hAnsi="Times New Roman" w:eastAsia="宋体" w:cs="Times New Roman"/>
                <w:sz w:val="21"/>
                <w:szCs w:val="21"/>
                <w:highlight w:val="none"/>
              </w:rPr>
              <w:t>2.0m</w:t>
            </w:r>
          </w:p>
        </w:tc>
        <w:tc>
          <w:tcPr>
            <w:tcW w:w="1055" w:type="dxa"/>
            <w:vMerge w:val="continue"/>
            <w:tcBorders>
              <w:left w:val="single" w:color="000000" w:sz="4" w:space="0"/>
            </w:tcBorders>
            <w:noWrap w:val="0"/>
            <w:vAlign w:val="center"/>
          </w:tcPr>
          <w:p w14:paraId="298B0EC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p>
        </w:tc>
      </w:tr>
      <w:bookmarkEnd w:id="367"/>
      <w:bookmarkEnd w:id="368"/>
      <w:bookmarkEnd w:id="369"/>
      <w:tr w14:paraId="31B09CD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671" w:type="dxa"/>
            <w:vMerge w:val="continue"/>
            <w:tcBorders>
              <w:right w:val="single" w:color="000000" w:sz="4" w:space="0"/>
            </w:tcBorders>
            <w:noWrap w:val="0"/>
            <w:vAlign w:val="center"/>
          </w:tcPr>
          <w:p w14:paraId="344EACF5">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Calibri" w:eastAsia="宋体" w:cs="Times New Roman"/>
                <w:b/>
                <w:sz w:val="21"/>
                <w:szCs w:val="21"/>
                <w:highlight w:val="none"/>
              </w:rPr>
            </w:pP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32F66B16">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eastAsia" w:ascii="Times New Roman" w:hAnsi="宋体" w:eastAsia="宋体" w:cs="Times New Roman"/>
                <w:b/>
                <w:bCs/>
                <w:sz w:val="21"/>
                <w:szCs w:val="21"/>
                <w:highlight w:val="none"/>
              </w:rPr>
              <w:t>样品性状</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7FBA7A9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暗棕、壤土</w:t>
            </w:r>
          </w:p>
        </w:tc>
        <w:tc>
          <w:tcPr>
            <w:tcW w:w="1731" w:type="dxa"/>
            <w:tcBorders>
              <w:left w:val="single" w:color="000000" w:sz="4" w:space="0"/>
              <w:right w:val="single" w:color="000000" w:sz="4" w:space="0"/>
            </w:tcBorders>
            <w:noWrap w:val="0"/>
            <w:vAlign w:val="center"/>
          </w:tcPr>
          <w:p w14:paraId="0FB699B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暗棕、壤土</w:t>
            </w:r>
          </w:p>
        </w:tc>
        <w:tc>
          <w:tcPr>
            <w:tcW w:w="1686" w:type="dxa"/>
            <w:tcBorders>
              <w:left w:val="single" w:color="000000" w:sz="4" w:space="0"/>
              <w:right w:val="single" w:color="000000" w:sz="4" w:space="0"/>
            </w:tcBorders>
            <w:noWrap w:val="0"/>
            <w:vAlign w:val="center"/>
          </w:tcPr>
          <w:p w14:paraId="5D5BDAA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暗棕、壤土</w:t>
            </w:r>
          </w:p>
        </w:tc>
        <w:tc>
          <w:tcPr>
            <w:tcW w:w="1055" w:type="dxa"/>
            <w:vMerge w:val="continue"/>
            <w:tcBorders>
              <w:left w:val="single" w:color="000000" w:sz="4" w:space="0"/>
            </w:tcBorders>
            <w:noWrap w:val="0"/>
            <w:vAlign w:val="center"/>
          </w:tcPr>
          <w:p w14:paraId="4622ABE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p>
        </w:tc>
      </w:tr>
      <w:tr w14:paraId="0EDD734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671" w:type="dxa"/>
            <w:vMerge w:val="continue"/>
            <w:tcBorders>
              <w:bottom w:val="single" w:color="000000" w:sz="4" w:space="0"/>
              <w:right w:val="single" w:color="000000" w:sz="4" w:space="0"/>
            </w:tcBorders>
            <w:noWrap w:val="0"/>
            <w:vAlign w:val="center"/>
          </w:tcPr>
          <w:p w14:paraId="6B20033D">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Calibri" w:eastAsia="宋体" w:cs="Times New Roman"/>
                <w:b/>
                <w:sz w:val="21"/>
                <w:szCs w:val="21"/>
                <w:highlight w:val="none"/>
              </w:rPr>
            </w:pP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15A2DAA4">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bCs/>
                <w:color w:val="000000"/>
                <w:sz w:val="21"/>
                <w:szCs w:val="21"/>
                <w:highlight w:val="none"/>
              </w:rPr>
              <w:t>样品编号</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1BDE18F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G250919010701</w:t>
            </w:r>
          </w:p>
        </w:tc>
        <w:tc>
          <w:tcPr>
            <w:tcW w:w="1731" w:type="dxa"/>
            <w:tcBorders>
              <w:left w:val="single" w:color="000000" w:sz="4" w:space="0"/>
              <w:bottom w:val="single" w:color="000000" w:sz="4" w:space="0"/>
              <w:right w:val="single" w:color="000000" w:sz="4" w:space="0"/>
            </w:tcBorders>
            <w:noWrap w:val="0"/>
            <w:vAlign w:val="center"/>
          </w:tcPr>
          <w:p w14:paraId="35679CD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G250919010702</w:t>
            </w:r>
          </w:p>
        </w:tc>
        <w:tc>
          <w:tcPr>
            <w:tcW w:w="1686" w:type="dxa"/>
            <w:tcBorders>
              <w:left w:val="single" w:color="000000" w:sz="4" w:space="0"/>
              <w:bottom w:val="single" w:color="000000" w:sz="4" w:space="0"/>
              <w:right w:val="single" w:color="000000" w:sz="4" w:space="0"/>
            </w:tcBorders>
            <w:noWrap w:val="0"/>
            <w:vAlign w:val="center"/>
          </w:tcPr>
          <w:p w14:paraId="6AD7824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G250919010703</w:t>
            </w:r>
          </w:p>
        </w:tc>
        <w:tc>
          <w:tcPr>
            <w:tcW w:w="1055" w:type="dxa"/>
            <w:vMerge w:val="continue"/>
            <w:tcBorders>
              <w:left w:val="single" w:color="000000" w:sz="4" w:space="0"/>
              <w:bottom w:val="single" w:color="000000" w:sz="4" w:space="0"/>
            </w:tcBorders>
            <w:noWrap w:val="0"/>
            <w:vAlign w:val="center"/>
          </w:tcPr>
          <w:p w14:paraId="382E4A2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p>
        </w:tc>
      </w:tr>
      <w:tr w14:paraId="296066F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671" w:type="dxa"/>
            <w:tcBorders>
              <w:top w:val="single" w:color="000000" w:sz="4" w:space="0"/>
              <w:bottom w:val="single" w:color="000000" w:sz="4" w:space="0"/>
              <w:right w:val="single" w:color="000000" w:sz="4" w:space="0"/>
            </w:tcBorders>
            <w:noWrap w:val="0"/>
            <w:vAlign w:val="center"/>
          </w:tcPr>
          <w:p w14:paraId="6ACBCF8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pH</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55EB130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无量纲</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2041EEB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7.79</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191ADAE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7.93</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0D09DE1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7.68</w:t>
            </w:r>
          </w:p>
        </w:tc>
        <w:tc>
          <w:tcPr>
            <w:tcW w:w="1055" w:type="dxa"/>
            <w:tcBorders>
              <w:top w:val="single" w:color="000000" w:sz="4" w:space="0"/>
              <w:left w:val="single" w:color="000000" w:sz="4" w:space="0"/>
              <w:bottom w:val="single" w:color="000000" w:sz="4" w:space="0"/>
            </w:tcBorders>
            <w:noWrap w:val="0"/>
            <w:vAlign w:val="center"/>
          </w:tcPr>
          <w:p w14:paraId="2879073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w:t>
            </w:r>
          </w:p>
        </w:tc>
      </w:tr>
      <w:tr w14:paraId="6BB2D3D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671" w:type="dxa"/>
            <w:tcBorders>
              <w:top w:val="single" w:color="000000" w:sz="4" w:space="0"/>
              <w:bottom w:val="single" w:color="000000" w:sz="4" w:space="0"/>
              <w:right w:val="single" w:color="000000" w:sz="4" w:space="0"/>
            </w:tcBorders>
            <w:noWrap w:val="0"/>
            <w:vAlign w:val="center"/>
          </w:tcPr>
          <w:p w14:paraId="0C64DEE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砷</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7DB4E56D">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spacing w:val="-4"/>
                <w:sz w:val="21"/>
                <w:szCs w:val="21"/>
                <w:highlight w:val="none"/>
              </w:rPr>
              <w:t>mg/kg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1D5A4C3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5.05</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1D00AB2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5.19</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12804D3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4.98</w:t>
            </w:r>
          </w:p>
        </w:tc>
        <w:tc>
          <w:tcPr>
            <w:tcW w:w="1055" w:type="dxa"/>
            <w:tcBorders>
              <w:top w:val="single" w:color="000000" w:sz="4" w:space="0"/>
              <w:left w:val="single" w:color="000000" w:sz="4" w:space="0"/>
              <w:bottom w:val="single" w:color="000000" w:sz="4" w:space="0"/>
            </w:tcBorders>
            <w:noWrap w:val="0"/>
            <w:vAlign w:val="center"/>
          </w:tcPr>
          <w:p w14:paraId="7E7D726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60</w:t>
            </w:r>
          </w:p>
        </w:tc>
      </w:tr>
      <w:tr w14:paraId="6DF2B35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671" w:type="dxa"/>
            <w:tcBorders>
              <w:top w:val="single" w:color="000000" w:sz="4" w:space="0"/>
              <w:bottom w:val="single" w:color="000000" w:sz="4" w:space="0"/>
              <w:right w:val="single" w:color="000000" w:sz="4" w:space="0"/>
            </w:tcBorders>
            <w:noWrap w:val="0"/>
            <w:vAlign w:val="center"/>
          </w:tcPr>
          <w:p w14:paraId="1931186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镉</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6662AF67">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spacing w:val="-4"/>
                <w:sz w:val="21"/>
                <w:szCs w:val="21"/>
                <w:highlight w:val="none"/>
              </w:rPr>
              <w:t>mg/kg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736CED5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0.29</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605B967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0.24</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216058A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0.26</w:t>
            </w:r>
          </w:p>
        </w:tc>
        <w:tc>
          <w:tcPr>
            <w:tcW w:w="1055" w:type="dxa"/>
            <w:tcBorders>
              <w:top w:val="single" w:color="000000" w:sz="4" w:space="0"/>
              <w:left w:val="single" w:color="000000" w:sz="4" w:space="0"/>
              <w:bottom w:val="single" w:color="000000" w:sz="4" w:space="0"/>
            </w:tcBorders>
            <w:noWrap w:val="0"/>
            <w:vAlign w:val="center"/>
          </w:tcPr>
          <w:p w14:paraId="67C377D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65</w:t>
            </w:r>
          </w:p>
        </w:tc>
      </w:tr>
      <w:tr w14:paraId="7882DF1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671" w:type="dxa"/>
            <w:tcBorders>
              <w:top w:val="single" w:color="000000" w:sz="4" w:space="0"/>
              <w:bottom w:val="single" w:color="000000" w:sz="4" w:space="0"/>
              <w:right w:val="single" w:color="000000" w:sz="4" w:space="0"/>
            </w:tcBorders>
            <w:noWrap w:val="0"/>
            <w:vAlign w:val="center"/>
          </w:tcPr>
          <w:p w14:paraId="6312998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六价铬</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61B92B06">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spacing w:val="-4"/>
                <w:sz w:val="21"/>
                <w:szCs w:val="21"/>
                <w:highlight w:val="none"/>
              </w:rPr>
              <w:t>mg/kg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1FB2D85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0.5L</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618956C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0.5L</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0583766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0.5L</w:t>
            </w:r>
          </w:p>
        </w:tc>
        <w:tc>
          <w:tcPr>
            <w:tcW w:w="1055" w:type="dxa"/>
            <w:tcBorders>
              <w:top w:val="single" w:color="000000" w:sz="4" w:space="0"/>
              <w:left w:val="single" w:color="000000" w:sz="4" w:space="0"/>
              <w:bottom w:val="single" w:color="000000" w:sz="4" w:space="0"/>
            </w:tcBorders>
            <w:noWrap w:val="0"/>
            <w:vAlign w:val="center"/>
          </w:tcPr>
          <w:p w14:paraId="0C719DE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5.7</w:t>
            </w:r>
          </w:p>
        </w:tc>
      </w:tr>
      <w:tr w14:paraId="63BF31D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671" w:type="dxa"/>
            <w:tcBorders>
              <w:top w:val="single" w:color="000000" w:sz="4" w:space="0"/>
              <w:bottom w:val="single" w:color="000000" w:sz="4" w:space="0"/>
              <w:right w:val="single" w:color="000000" w:sz="4" w:space="0"/>
            </w:tcBorders>
            <w:noWrap w:val="0"/>
            <w:vAlign w:val="center"/>
          </w:tcPr>
          <w:p w14:paraId="4AB8BFF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铜</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6E1E56BB">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spacing w:val="-4"/>
                <w:sz w:val="21"/>
                <w:szCs w:val="21"/>
                <w:highlight w:val="none"/>
              </w:rPr>
              <w:t>mg/kg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09A99DB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27</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421D18A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28</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4055C70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26</w:t>
            </w:r>
          </w:p>
        </w:tc>
        <w:tc>
          <w:tcPr>
            <w:tcW w:w="1055" w:type="dxa"/>
            <w:tcBorders>
              <w:top w:val="single" w:color="000000" w:sz="4" w:space="0"/>
              <w:left w:val="single" w:color="000000" w:sz="4" w:space="0"/>
              <w:bottom w:val="single" w:color="000000" w:sz="4" w:space="0"/>
            </w:tcBorders>
            <w:noWrap w:val="0"/>
            <w:vAlign w:val="center"/>
          </w:tcPr>
          <w:p w14:paraId="6368D4D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18000</w:t>
            </w:r>
          </w:p>
        </w:tc>
      </w:tr>
      <w:tr w14:paraId="08A6438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4" w:hRule="atLeast"/>
          <w:jc w:val="center"/>
        </w:trPr>
        <w:tc>
          <w:tcPr>
            <w:tcW w:w="1671" w:type="dxa"/>
            <w:tcBorders>
              <w:top w:val="single" w:color="000000" w:sz="4" w:space="0"/>
              <w:bottom w:val="single" w:color="000000" w:sz="4" w:space="0"/>
              <w:right w:val="single" w:color="000000" w:sz="4" w:space="0"/>
            </w:tcBorders>
            <w:noWrap w:val="0"/>
            <w:vAlign w:val="center"/>
          </w:tcPr>
          <w:p w14:paraId="0782593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铅</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66E9197B">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spacing w:val="-4"/>
                <w:sz w:val="21"/>
                <w:szCs w:val="21"/>
                <w:highlight w:val="none"/>
              </w:rPr>
              <w:t>mg/kg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764F837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73</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6B6F155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51</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5D17315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64</w:t>
            </w:r>
          </w:p>
        </w:tc>
        <w:tc>
          <w:tcPr>
            <w:tcW w:w="1055" w:type="dxa"/>
            <w:tcBorders>
              <w:top w:val="single" w:color="000000" w:sz="4" w:space="0"/>
              <w:left w:val="single" w:color="000000" w:sz="4" w:space="0"/>
              <w:bottom w:val="single" w:color="000000" w:sz="4" w:space="0"/>
            </w:tcBorders>
            <w:noWrap w:val="0"/>
            <w:vAlign w:val="center"/>
          </w:tcPr>
          <w:p w14:paraId="712D94C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800</w:t>
            </w:r>
          </w:p>
        </w:tc>
      </w:tr>
      <w:tr w14:paraId="48D89C8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4" w:hRule="atLeast"/>
          <w:jc w:val="center"/>
        </w:trPr>
        <w:tc>
          <w:tcPr>
            <w:tcW w:w="1671" w:type="dxa"/>
            <w:tcBorders>
              <w:top w:val="single" w:color="000000" w:sz="4" w:space="0"/>
              <w:bottom w:val="single" w:color="000000" w:sz="4" w:space="0"/>
              <w:right w:val="single" w:color="000000" w:sz="4" w:space="0"/>
            </w:tcBorders>
            <w:noWrap w:val="0"/>
            <w:vAlign w:val="center"/>
          </w:tcPr>
          <w:p w14:paraId="4A9A03D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汞</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226BCE49">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spacing w:val="-4"/>
                <w:sz w:val="21"/>
                <w:szCs w:val="21"/>
                <w:highlight w:val="none"/>
              </w:rPr>
              <w:t>mg/kg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6072F73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0.0466</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4AE4A62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0.0428</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35AFD9E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0.0449</w:t>
            </w:r>
          </w:p>
        </w:tc>
        <w:tc>
          <w:tcPr>
            <w:tcW w:w="1055" w:type="dxa"/>
            <w:tcBorders>
              <w:top w:val="single" w:color="000000" w:sz="4" w:space="0"/>
              <w:left w:val="single" w:color="000000" w:sz="4" w:space="0"/>
              <w:bottom w:val="single" w:color="000000" w:sz="4" w:space="0"/>
            </w:tcBorders>
            <w:noWrap w:val="0"/>
            <w:vAlign w:val="center"/>
          </w:tcPr>
          <w:p w14:paraId="69169F1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38</w:t>
            </w:r>
          </w:p>
        </w:tc>
      </w:tr>
      <w:tr w14:paraId="1F5DDF7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4" w:hRule="atLeast"/>
          <w:jc w:val="center"/>
        </w:trPr>
        <w:tc>
          <w:tcPr>
            <w:tcW w:w="1671" w:type="dxa"/>
            <w:tcBorders>
              <w:top w:val="single" w:color="000000" w:sz="4" w:space="0"/>
              <w:bottom w:val="single" w:color="000000" w:sz="4" w:space="0"/>
              <w:right w:val="single" w:color="000000" w:sz="4" w:space="0"/>
            </w:tcBorders>
            <w:noWrap w:val="0"/>
            <w:vAlign w:val="center"/>
          </w:tcPr>
          <w:p w14:paraId="102485F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镍</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256517AE">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spacing w:val="-4"/>
                <w:sz w:val="21"/>
                <w:szCs w:val="21"/>
                <w:highlight w:val="none"/>
              </w:rPr>
              <w:t>mg/kg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63BE949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30</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7E02CEF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32</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38A73D1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37</w:t>
            </w:r>
          </w:p>
        </w:tc>
        <w:tc>
          <w:tcPr>
            <w:tcW w:w="1055" w:type="dxa"/>
            <w:tcBorders>
              <w:top w:val="single" w:color="000000" w:sz="4" w:space="0"/>
              <w:left w:val="single" w:color="000000" w:sz="4" w:space="0"/>
              <w:bottom w:val="single" w:color="000000" w:sz="4" w:space="0"/>
            </w:tcBorders>
            <w:noWrap w:val="0"/>
            <w:vAlign w:val="center"/>
          </w:tcPr>
          <w:p w14:paraId="6B73072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900</w:t>
            </w:r>
          </w:p>
        </w:tc>
      </w:tr>
      <w:tr w14:paraId="591B2AA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4" w:hRule="atLeast"/>
          <w:jc w:val="center"/>
        </w:trPr>
        <w:tc>
          <w:tcPr>
            <w:tcW w:w="1671" w:type="dxa"/>
            <w:tcBorders>
              <w:top w:val="single" w:color="000000" w:sz="4" w:space="0"/>
              <w:bottom w:val="single" w:color="000000" w:sz="4" w:space="0"/>
              <w:right w:val="single" w:color="000000" w:sz="4" w:space="0"/>
            </w:tcBorders>
            <w:noWrap w:val="0"/>
            <w:vAlign w:val="center"/>
          </w:tcPr>
          <w:p w14:paraId="46B2F14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四氯化碳</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7EEFFE2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1CDDA37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191CAEA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70A4A53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055" w:type="dxa"/>
            <w:tcBorders>
              <w:top w:val="single" w:color="000000" w:sz="4" w:space="0"/>
              <w:left w:val="single" w:color="000000" w:sz="4" w:space="0"/>
              <w:bottom w:val="single" w:color="000000" w:sz="4" w:space="0"/>
            </w:tcBorders>
            <w:noWrap w:val="0"/>
            <w:vAlign w:val="center"/>
          </w:tcPr>
          <w:p w14:paraId="484E281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2.8</w:t>
            </w:r>
          </w:p>
        </w:tc>
      </w:tr>
      <w:tr w14:paraId="3B9FA44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4" w:hRule="atLeast"/>
          <w:jc w:val="center"/>
        </w:trPr>
        <w:tc>
          <w:tcPr>
            <w:tcW w:w="1671" w:type="dxa"/>
            <w:tcBorders>
              <w:top w:val="single" w:color="000000" w:sz="4" w:space="0"/>
              <w:bottom w:val="single" w:color="000000" w:sz="4" w:space="0"/>
              <w:right w:val="single" w:color="000000" w:sz="4" w:space="0"/>
            </w:tcBorders>
            <w:noWrap w:val="0"/>
            <w:vAlign w:val="center"/>
          </w:tcPr>
          <w:p w14:paraId="1B54361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default" w:ascii="Calibri" w:hAnsi="宋体" w:eastAsia="宋体" w:cs="Calibri"/>
                <w:b/>
                <w:color w:val="000000"/>
                <w:sz w:val="21"/>
                <w:szCs w:val="24"/>
                <w:highlight w:val="none"/>
              </w:rPr>
              <w:t>氯仿</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0B00D88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44851DD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1.1L</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1126E80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1.1L</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514E920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1.1L</w:t>
            </w:r>
          </w:p>
        </w:tc>
        <w:tc>
          <w:tcPr>
            <w:tcW w:w="1055" w:type="dxa"/>
            <w:tcBorders>
              <w:top w:val="single" w:color="000000" w:sz="4" w:space="0"/>
              <w:left w:val="single" w:color="000000" w:sz="4" w:space="0"/>
              <w:bottom w:val="single" w:color="000000" w:sz="4" w:space="0"/>
            </w:tcBorders>
            <w:noWrap w:val="0"/>
            <w:vAlign w:val="center"/>
          </w:tcPr>
          <w:p w14:paraId="345D6BA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0.9</w:t>
            </w:r>
          </w:p>
        </w:tc>
      </w:tr>
      <w:tr w14:paraId="65E0636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4" w:hRule="atLeast"/>
          <w:jc w:val="center"/>
        </w:trPr>
        <w:tc>
          <w:tcPr>
            <w:tcW w:w="1671" w:type="dxa"/>
            <w:tcBorders>
              <w:top w:val="single" w:color="000000" w:sz="4" w:space="0"/>
              <w:bottom w:val="single" w:color="000000" w:sz="12" w:space="0"/>
              <w:right w:val="single" w:color="000000" w:sz="4" w:space="0"/>
            </w:tcBorders>
            <w:noWrap w:val="0"/>
            <w:vAlign w:val="center"/>
          </w:tcPr>
          <w:p w14:paraId="6AA504E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Calibri" w:hAnsi="宋体" w:eastAsia="宋体" w:cs="Calibri"/>
                <w:b/>
                <w:color w:val="000000"/>
                <w:sz w:val="21"/>
                <w:szCs w:val="24"/>
                <w:highlight w:val="none"/>
              </w:rPr>
            </w:pPr>
            <w:r>
              <w:rPr>
                <w:rFonts w:hint="default" w:ascii="Calibri" w:hAnsi="宋体" w:eastAsia="宋体" w:cs="Calibri"/>
                <w:b/>
                <w:color w:val="000000"/>
                <w:sz w:val="21"/>
                <w:szCs w:val="24"/>
                <w:highlight w:val="none"/>
              </w:rPr>
              <w:t>氯甲烷</w:t>
            </w:r>
          </w:p>
        </w:tc>
        <w:tc>
          <w:tcPr>
            <w:tcW w:w="1313" w:type="dxa"/>
            <w:tcBorders>
              <w:top w:val="single" w:color="000000" w:sz="4" w:space="0"/>
              <w:left w:val="single" w:color="000000" w:sz="4" w:space="0"/>
              <w:bottom w:val="single" w:color="000000" w:sz="12" w:space="0"/>
              <w:right w:val="single" w:color="000000" w:sz="4" w:space="0"/>
            </w:tcBorders>
            <w:noWrap w:val="0"/>
            <w:vAlign w:val="center"/>
          </w:tcPr>
          <w:p w14:paraId="7D74EC8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60" w:type="dxa"/>
            <w:tcBorders>
              <w:top w:val="single" w:color="000000" w:sz="4" w:space="0"/>
              <w:left w:val="single" w:color="000000" w:sz="4" w:space="0"/>
              <w:bottom w:val="single" w:color="000000" w:sz="12" w:space="0"/>
              <w:right w:val="single" w:color="000000" w:sz="4" w:space="0"/>
            </w:tcBorders>
            <w:noWrap w:val="0"/>
            <w:vAlign w:val="center"/>
          </w:tcPr>
          <w:p w14:paraId="7279E7C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1.0L</w:t>
            </w:r>
          </w:p>
        </w:tc>
        <w:tc>
          <w:tcPr>
            <w:tcW w:w="1731" w:type="dxa"/>
            <w:tcBorders>
              <w:top w:val="single" w:color="000000" w:sz="4" w:space="0"/>
              <w:left w:val="single" w:color="000000" w:sz="4" w:space="0"/>
              <w:bottom w:val="single" w:color="000000" w:sz="12" w:space="0"/>
              <w:right w:val="single" w:color="000000" w:sz="4" w:space="0"/>
            </w:tcBorders>
            <w:noWrap w:val="0"/>
            <w:vAlign w:val="center"/>
          </w:tcPr>
          <w:p w14:paraId="63749DF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1.0L</w:t>
            </w:r>
          </w:p>
        </w:tc>
        <w:tc>
          <w:tcPr>
            <w:tcW w:w="1686" w:type="dxa"/>
            <w:tcBorders>
              <w:top w:val="single" w:color="000000" w:sz="4" w:space="0"/>
              <w:left w:val="single" w:color="000000" w:sz="4" w:space="0"/>
              <w:bottom w:val="single" w:color="000000" w:sz="12" w:space="0"/>
              <w:right w:val="single" w:color="000000" w:sz="4" w:space="0"/>
            </w:tcBorders>
            <w:noWrap w:val="0"/>
            <w:vAlign w:val="center"/>
          </w:tcPr>
          <w:p w14:paraId="5660F3C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1.0L</w:t>
            </w:r>
          </w:p>
        </w:tc>
        <w:tc>
          <w:tcPr>
            <w:tcW w:w="1055" w:type="dxa"/>
            <w:tcBorders>
              <w:top w:val="single" w:color="000000" w:sz="4" w:space="0"/>
              <w:left w:val="single" w:color="000000" w:sz="4" w:space="0"/>
              <w:bottom w:val="single" w:color="000000" w:sz="12" w:space="0"/>
            </w:tcBorders>
            <w:noWrap w:val="0"/>
            <w:vAlign w:val="center"/>
          </w:tcPr>
          <w:p w14:paraId="7D009E8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37</w:t>
            </w:r>
          </w:p>
        </w:tc>
      </w:tr>
      <w:tr w14:paraId="752A171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671" w:type="dxa"/>
            <w:tcBorders>
              <w:top w:val="single" w:color="000000" w:sz="4" w:space="0"/>
              <w:bottom w:val="single" w:color="000000" w:sz="4" w:space="0"/>
              <w:right w:val="single" w:color="000000" w:sz="4" w:space="0"/>
            </w:tcBorders>
            <w:noWrap w:val="0"/>
            <w:vAlign w:val="center"/>
          </w:tcPr>
          <w:p w14:paraId="5350C6C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1,1-二氯乙烷</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43D35FB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2B03A65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758786A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1F468FC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055" w:type="dxa"/>
            <w:tcBorders>
              <w:top w:val="single" w:color="000000" w:sz="4" w:space="0"/>
              <w:left w:val="single" w:color="000000" w:sz="4" w:space="0"/>
              <w:bottom w:val="single" w:color="000000" w:sz="4" w:space="0"/>
            </w:tcBorders>
            <w:noWrap w:val="0"/>
            <w:vAlign w:val="center"/>
          </w:tcPr>
          <w:p w14:paraId="37B9F4C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9</w:t>
            </w:r>
          </w:p>
        </w:tc>
      </w:tr>
      <w:tr w14:paraId="3752C38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671" w:type="dxa"/>
            <w:tcBorders>
              <w:top w:val="single" w:color="000000" w:sz="4" w:space="0"/>
              <w:bottom w:val="single" w:color="000000" w:sz="4" w:space="0"/>
              <w:right w:val="single" w:color="000000" w:sz="4" w:space="0"/>
            </w:tcBorders>
            <w:noWrap w:val="0"/>
            <w:vAlign w:val="center"/>
          </w:tcPr>
          <w:p w14:paraId="061FEA3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1,2-二氯乙烷</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16AAC99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78E1D86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6AC0CEC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5BFA47F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055" w:type="dxa"/>
            <w:tcBorders>
              <w:top w:val="single" w:color="000000" w:sz="4" w:space="0"/>
              <w:left w:val="single" w:color="000000" w:sz="4" w:space="0"/>
              <w:bottom w:val="single" w:color="000000" w:sz="4" w:space="0"/>
            </w:tcBorders>
            <w:noWrap w:val="0"/>
            <w:vAlign w:val="center"/>
          </w:tcPr>
          <w:p w14:paraId="57392CA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5</w:t>
            </w:r>
          </w:p>
        </w:tc>
      </w:tr>
      <w:tr w14:paraId="7202580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671" w:type="dxa"/>
            <w:tcBorders>
              <w:top w:val="single" w:color="000000" w:sz="4" w:space="0"/>
              <w:bottom w:val="single" w:color="000000" w:sz="4" w:space="0"/>
              <w:right w:val="single" w:color="000000" w:sz="4" w:space="0"/>
            </w:tcBorders>
            <w:noWrap w:val="0"/>
            <w:vAlign w:val="center"/>
          </w:tcPr>
          <w:p w14:paraId="78D9468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1,1-二氯乙烯</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7591261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33A94CE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1.0L</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629FB5C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1.0L</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65DF8F0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1.0L</w:t>
            </w:r>
          </w:p>
        </w:tc>
        <w:tc>
          <w:tcPr>
            <w:tcW w:w="1055" w:type="dxa"/>
            <w:tcBorders>
              <w:top w:val="single" w:color="000000" w:sz="4" w:space="0"/>
              <w:left w:val="single" w:color="000000" w:sz="4" w:space="0"/>
              <w:bottom w:val="single" w:color="000000" w:sz="4" w:space="0"/>
            </w:tcBorders>
            <w:noWrap w:val="0"/>
            <w:vAlign w:val="center"/>
          </w:tcPr>
          <w:p w14:paraId="6ACCBC1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66</w:t>
            </w:r>
          </w:p>
        </w:tc>
      </w:tr>
      <w:tr w14:paraId="3F436B3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671" w:type="dxa"/>
            <w:tcBorders>
              <w:top w:val="single" w:color="000000" w:sz="4" w:space="0"/>
              <w:bottom w:val="single" w:color="000000" w:sz="4" w:space="0"/>
              <w:right w:val="single" w:color="000000" w:sz="4" w:space="0"/>
            </w:tcBorders>
            <w:noWrap w:val="0"/>
            <w:vAlign w:val="center"/>
          </w:tcPr>
          <w:p w14:paraId="5819A70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顺-1,2-二氯乙烯</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3BBD56C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2DB403C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4A4526D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62945C6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055" w:type="dxa"/>
            <w:tcBorders>
              <w:top w:val="single" w:color="000000" w:sz="4" w:space="0"/>
              <w:left w:val="single" w:color="000000" w:sz="4" w:space="0"/>
              <w:bottom w:val="single" w:color="000000" w:sz="4" w:space="0"/>
            </w:tcBorders>
            <w:noWrap w:val="0"/>
            <w:vAlign w:val="center"/>
          </w:tcPr>
          <w:p w14:paraId="5A3B397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596</w:t>
            </w:r>
          </w:p>
        </w:tc>
      </w:tr>
      <w:tr w14:paraId="74B6A66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671" w:type="dxa"/>
            <w:tcBorders>
              <w:top w:val="single" w:color="000000" w:sz="4" w:space="0"/>
              <w:bottom w:val="single" w:color="000000" w:sz="4" w:space="0"/>
              <w:right w:val="single" w:color="000000" w:sz="4" w:space="0"/>
            </w:tcBorders>
            <w:noWrap w:val="0"/>
            <w:vAlign w:val="center"/>
          </w:tcPr>
          <w:p w14:paraId="2BDAB01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反-1,2-二氯乙烯</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006247D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5F647CD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1.4L</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0A6D93D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1.4L</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6E1EE4D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1.4L</w:t>
            </w:r>
          </w:p>
        </w:tc>
        <w:tc>
          <w:tcPr>
            <w:tcW w:w="1055" w:type="dxa"/>
            <w:tcBorders>
              <w:top w:val="single" w:color="000000" w:sz="4" w:space="0"/>
              <w:left w:val="single" w:color="000000" w:sz="4" w:space="0"/>
              <w:bottom w:val="single" w:color="000000" w:sz="4" w:space="0"/>
            </w:tcBorders>
            <w:noWrap w:val="0"/>
            <w:vAlign w:val="center"/>
          </w:tcPr>
          <w:p w14:paraId="2585584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54</w:t>
            </w:r>
          </w:p>
        </w:tc>
      </w:tr>
      <w:tr w14:paraId="3665D6B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671" w:type="dxa"/>
            <w:tcBorders>
              <w:top w:val="single" w:color="000000" w:sz="4" w:space="0"/>
              <w:bottom w:val="single" w:color="000000" w:sz="4" w:space="0"/>
              <w:right w:val="single" w:color="000000" w:sz="4" w:space="0"/>
            </w:tcBorders>
            <w:noWrap w:val="0"/>
            <w:vAlign w:val="center"/>
          </w:tcPr>
          <w:p w14:paraId="3751FE7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二氯甲烷</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12011A0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2DCF2AE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1.5L</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684D861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1.5L</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20A8550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1.5L</w:t>
            </w:r>
          </w:p>
        </w:tc>
        <w:tc>
          <w:tcPr>
            <w:tcW w:w="1055" w:type="dxa"/>
            <w:tcBorders>
              <w:top w:val="single" w:color="000000" w:sz="4" w:space="0"/>
              <w:left w:val="single" w:color="000000" w:sz="4" w:space="0"/>
              <w:bottom w:val="single" w:color="000000" w:sz="4" w:space="0"/>
            </w:tcBorders>
            <w:noWrap w:val="0"/>
            <w:vAlign w:val="center"/>
          </w:tcPr>
          <w:p w14:paraId="53D6BA9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616</w:t>
            </w:r>
          </w:p>
        </w:tc>
      </w:tr>
      <w:tr w14:paraId="747DA59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671" w:type="dxa"/>
            <w:tcBorders>
              <w:top w:val="single" w:color="000000" w:sz="4" w:space="0"/>
              <w:bottom w:val="single" w:color="000000" w:sz="4" w:space="0"/>
              <w:right w:val="single" w:color="000000" w:sz="4" w:space="0"/>
            </w:tcBorders>
            <w:noWrap w:val="0"/>
            <w:vAlign w:val="center"/>
          </w:tcPr>
          <w:p w14:paraId="3EB62C4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1,2-二氯丙烷</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622843F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37743E2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1.1L</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19ACD12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1.1L</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487A1B6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1.1L</w:t>
            </w:r>
          </w:p>
        </w:tc>
        <w:tc>
          <w:tcPr>
            <w:tcW w:w="1055" w:type="dxa"/>
            <w:tcBorders>
              <w:top w:val="single" w:color="000000" w:sz="4" w:space="0"/>
              <w:left w:val="single" w:color="000000" w:sz="4" w:space="0"/>
              <w:bottom w:val="single" w:color="000000" w:sz="4" w:space="0"/>
            </w:tcBorders>
            <w:noWrap w:val="0"/>
            <w:vAlign w:val="center"/>
          </w:tcPr>
          <w:p w14:paraId="0646748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5</w:t>
            </w:r>
          </w:p>
        </w:tc>
      </w:tr>
      <w:tr w14:paraId="2BE5A88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671" w:type="dxa"/>
            <w:tcBorders>
              <w:top w:val="single" w:color="000000" w:sz="4" w:space="0"/>
              <w:bottom w:val="single" w:color="000000" w:sz="4" w:space="0"/>
              <w:right w:val="single" w:color="000000" w:sz="4" w:space="0"/>
            </w:tcBorders>
            <w:noWrap w:val="0"/>
            <w:vAlign w:val="center"/>
          </w:tcPr>
          <w:p w14:paraId="46AF3E3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1,1,1,2-四氯乙烷</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54FC4FD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43B6A87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77910F3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28F0281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055" w:type="dxa"/>
            <w:tcBorders>
              <w:top w:val="single" w:color="000000" w:sz="4" w:space="0"/>
              <w:left w:val="single" w:color="000000" w:sz="4" w:space="0"/>
              <w:bottom w:val="single" w:color="000000" w:sz="4" w:space="0"/>
            </w:tcBorders>
            <w:noWrap w:val="0"/>
            <w:vAlign w:val="center"/>
          </w:tcPr>
          <w:p w14:paraId="42386C4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10</w:t>
            </w:r>
          </w:p>
        </w:tc>
      </w:tr>
      <w:tr w14:paraId="1E19C81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671" w:type="dxa"/>
            <w:tcBorders>
              <w:top w:val="single" w:color="000000" w:sz="4" w:space="0"/>
              <w:bottom w:val="single" w:color="000000" w:sz="4" w:space="0"/>
              <w:right w:val="single" w:color="000000" w:sz="4" w:space="0"/>
            </w:tcBorders>
            <w:noWrap w:val="0"/>
            <w:vAlign w:val="center"/>
          </w:tcPr>
          <w:p w14:paraId="4E5BDAD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1,1,2,2-四氯乙烷</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4136C13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57615B5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4433FEA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37958D0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055" w:type="dxa"/>
            <w:tcBorders>
              <w:top w:val="single" w:color="000000" w:sz="4" w:space="0"/>
              <w:left w:val="single" w:color="000000" w:sz="4" w:space="0"/>
              <w:bottom w:val="single" w:color="000000" w:sz="4" w:space="0"/>
            </w:tcBorders>
            <w:noWrap w:val="0"/>
            <w:vAlign w:val="center"/>
          </w:tcPr>
          <w:p w14:paraId="7988A99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6.8</w:t>
            </w:r>
          </w:p>
        </w:tc>
      </w:tr>
      <w:tr w14:paraId="556CD1D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671" w:type="dxa"/>
            <w:tcBorders>
              <w:top w:val="single" w:color="000000" w:sz="4" w:space="0"/>
              <w:bottom w:val="single" w:color="000000" w:sz="4" w:space="0"/>
              <w:right w:val="single" w:color="000000" w:sz="4" w:space="0"/>
            </w:tcBorders>
            <w:noWrap w:val="0"/>
            <w:vAlign w:val="center"/>
          </w:tcPr>
          <w:p w14:paraId="07399CD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四氯乙烯</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77C538B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3427AC2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1.4L</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2E252AF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1.4L</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2BAE187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1.4L</w:t>
            </w:r>
          </w:p>
        </w:tc>
        <w:tc>
          <w:tcPr>
            <w:tcW w:w="1055" w:type="dxa"/>
            <w:tcBorders>
              <w:top w:val="single" w:color="000000" w:sz="4" w:space="0"/>
              <w:left w:val="single" w:color="000000" w:sz="4" w:space="0"/>
              <w:bottom w:val="single" w:color="000000" w:sz="4" w:space="0"/>
            </w:tcBorders>
            <w:noWrap w:val="0"/>
            <w:vAlign w:val="center"/>
          </w:tcPr>
          <w:p w14:paraId="501343A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53</w:t>
            </w:r>
          </w:p>
        </w:tc>
      </w:tr>
      <w:tr w14:paraId="530FBAA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671" w:type="dxa"/>
            <w:tcBorders>
              <w:top w:val="single" w:color="000000" w:sz="4" w:space="0"/>
              <w:bottom w:val="single" w:color="000000" w:sz="4" w:space="0"/>
              <w:right w:val="single" w:color="000000" w:sz="4" w:space="0"/>
            </w:tcBorders>
            <w:noWrap w:val="0"/>
            <w:vAlign w:val="center"/>
          </w:tcPr>
          <w:p w14:paraId="5D61C72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1,1,1-三氯乙烷</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6C8D64F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6C9A697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04C49DD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54E78EC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055" w:type="dxa"/>
            <w:tcBorders>
              <w:top w:val="single" w:color="000000" w:sz="4" w:space="0"/>
              <w:left w:val="single" w:color="000000" w:sz="4" w:space="0"/>
              <w:bottom w:val="single" w:color="000000" w:sz="4" w:space="0"/>
            </w:tcBorders>
            <w:noWrap w:val="0"/>
            <w:vAlign w:val="center"/>
          </w:tcPr>
          <w:p w14:paraId="2F83197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840</w:t>
            </w:r>
          </w:p>
        </w:tc>
      </w:tr>
      <w:tr w14:paraId="1FB8301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671" w:type="dxa"/>
            <w:tcBorders>
              <w:top w:val="single" w:color="000000" w:sz="4" w:space="0"/>
              <w:bottom w:val="single" w:color="000000" w:sz="4" w:space="0"/>
              <w:right w:val="single" w:color="000000" w:sz="4" w:space="0"/>
            </w:tcBorders>
            <w:noWrap w:val="0"/>
            <w:vAlign w:val="center"/>
          </w:tcPr>
          <w:p w14:paraId="795DB5C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1,1,2-三氯乙烷</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6AAEAA5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040D485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1952103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3038B7F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055" w:type="dxa"/>
            <w:tcBorders>
              <w:top w:val="single" w:color="000000" w:sz="4" w:space="0"/>
              <w:left w:val="single" w:color="000000" w:sz="4" w:space="0"/>
              <w:bottom w:val="single" w:color="000000" w:sz="4" w:space="0"/>
            </w:tcBorders>
            <w:noWrap w:val="0"/>
            <w:vAlign w:val="center"/>
          </w:tcPr>
          <w:p w14:paraId="7F22948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2.8</w:t>
            </w:r>
          </w:p>
        </w:tc>
      </w:tr>
      <w:tr w14:paraId="145506A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671" w:type="dxa"/>
            <w:tcBorders>
              <w:top w:val="single" w:color="000000" w:sz="4" w:space="0"/>
              <w:bottom w:val="single" w:color="000000" w:sz="4" w:space="0"/>
              <w:right w:val="single" w:color="000000" w:sz="4" w:space="0"/>
            </w:tcBorders>
            <w:noWrap w:val="0"/>
            <w:vAlign w:val="center"/>
          </w:tcPr>
          <w:p w14:paraId="57F8BA7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三氯乙烯</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56DA873C">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5DA083E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451CAF5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0B0AFDD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055" w:type="dxa"/>
            <w:tcBorders>
              <w:top w:val="single" w:color="000000" w:sz="4" w:space="0"/>
              <w:left w:val="single" w:color="000000" w:sz="4" w:space="0"/>
              <w:bottom w:val="single" w:color="000000" w:sz="4" w:space="0"/>
            </w:tcBorders>
            <w:noWrap w:val="0"/>
            <w:vAlign w:val="center"/>
          </w:tcPr>
          <w:p w14:paraId="3DB8104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2.8</w:t>
            </w:r>
          </w:p>
        </w:tc>
      </w:tr>
      <w:tr w14:paraId="2A61ADD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671" w:type="dxa"/>
            <w:tcBorders>
              <w:top w:val="single" w:color="000000" w:sz="4" w:space="0"/>
              <w:bottom w:val="single" w:color="000000" w:sz="4" w:space="0"/>
              <w:right w:val="single" w:color="000000" w:sz="4" w:space="0"/>
            </w:tcBorders>
            <w:noWrap w:val="0"/>
            <w:vAlign w:val="center"/>
          </w:tcPr>
          <w:p w14:paraId="711A84E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1,2,3-三氯丙烷</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3C8CA21A">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7E22135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6E78ED5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39F845D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055" w:type="dxa"/>
            <w:tcBorders>
              <w:top w:val="single" w:color="000000" w:sz="4" w:space="0"/>
              <w:left w:val="single" w:color="000000" w:sz="4" w:space="0"/>
              <w:bottom w:val="single" w:color="000000" w:sz="4" w:space="0"/>
            </w:tcBorders>
            <w:noWrap w:val="0"/>
            <w:vAlign w:val="center"/>
          </w:tcPr>
          <w:p w14:paraId="61E0F7C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0.5</w:t>
            </w:r>
          </w:p>
        </w:tc>
      </w:tr>
      <w:tr w14:paraId="0DDBAC1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671" w:type="dxa"/>
            <w:tcBorders>
              <w:top w:val="single" w:color="000000" w:sz="4" w:space="0"/>
              <w:bottom w:val="single" w:color="000000" w:sz="4" w:space="0"/>
              <w:right w:val="single" w:color="000000" w:sz="4" w:space="0"/>
            </w:tcBorders>
            <w:noWrap w:val="0"/>
            <w:vAlign w:val="center"/>
          </w:tcPr>
          <w:p w14:paraId="5E862A1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氯乙烯</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72D796D4">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3406E82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1.0L</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304CB49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1.0L</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1466A9C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1.0L</w:t>
            </w:r>
          </w:p>
        </w:tc>
        <w:tc>
          <w:tcPr>
            <w:tcW w:w="1055" w:type="dxa"/>
            <w:tcBorders>
              <w:top w:val="single" w:color="000000" w:sz="4" w:space="0"/>
              <w:left w:val="single" w:color="000000" w:sz="4" w:space="0"/>
              <w:bottom w:val="single" w:color="000000" w:sz="4" w:space="0"/>
            </w:tcBorders>
            <w:noWrap w:val="0"/>
            <w:vAlign w:val="center"/>
          </w:tcPr>
          <w:p w14:paraId="2802A6A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0.43</w:t>
            </w:r>
          </w:p>
        </w:tc>
      </w:tr>
      <w:tr w14:paraId="2E2A55B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671" w:type="dxa"/>
            <w:tcBorders>
              <w:top w:val="single" w:color="000000" w:sz="4" w:space="0"/>
              <w:bottom w:val="single" w:color="000000" w:sz="4" w:space="0"/>
              <w:right w:val="single" w:color="000000" w:sz="4" w:space="0"/>
            </w:tcBorders>
            <w:noWrap w:val="0"/>
            <w:vAlign w:val="center"/>
          </w:tcPr>
          <w:p w14:paraId="4B95162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苯</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5946935B">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4ACFAB4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1.9L</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60CAD6A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1.9L</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00F757B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1.9L</w:t>
            </w:r>
          </w:p>
        </w:tc>
        <w:tc>
          <w:tcPr>
            <w:tcW w:w="1055" w:type="dxa"/>
            <w:tcBorders>
              <w:top w:val="single" w:color="000000" w:sz="4" w:space="0"/>
              <w:left w:val="single" w:color="000000" w:sz="4" w:space="0"/>
              <w:bottom w:val="single" w:color="000000" w:sz="4" w:space="0"/>
            </w:tcBorders>
            <w:noWrap w:val="0"/>
            <w:vAlign w:val="center"/>
          </w:tcPr>
          <w:p w14:paraId="744374E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4</w:t>
            </w:r>
          </w:p>
        </w:tc>
      </w:tr>
      <w:tr w14:paraId="2789810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671" w:type="dxa"/>
            <w:tcBorders>
              <w:top w:val="single" w:color="000000" w:sz="4" w:space="0"/>
              <w:bottom w:val="single" w:color="000000" w:sz="4" w:space="0"/>
              <w:right w:val="single" w:color="000000" w:sz="4" w:space="0"/>
            </w:tcBorders>
            <w:noWrap w:val="0"/>
            <w:vAlign w:val="center"/>
          </w:tcPr>
          <w:p w14:paraId="7A37DF1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氯苯</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2F2272F0">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4D167DB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5D206CD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537BA42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055" w:type="dxa"/>
            <w:tcBorders>
              <w:top w:val="single" w:color="000000" w:sz="4" w:space="0"/>
              <w:left w:val="single" w:color="000000" w:sz="4" w:space="0"/>
              <w:bottom w:val="single" w:color="000000" w:sz="4" w:space="0"/>
            </w:tcBorders>
            <w:noWrap w:val="0"/>
            <w:vAlign w:val="center"/>
          </w:tcPr>
          <w:p w14:paraId="7A270FC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270</w:t>
            </w:r>
          </w:p>
        </w:tc>
      </w:tr>
      <w:tr w14:paraId="6309EA1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671" w:type="dxa"/>
            <w:tcBorders>
              <w:top w:val="single" w:color="000000" w:sz="4" w:space="0"/>
              <w:bottom w:val="single" w:color="000000" w:sz="4" w:space="0"/>
              <w:right w:val="single" w:color="000000" w:sz="4" w:space="0"/>
            </w:tcBorders>
            <w:noWrap w:val="0"/>
            <w:vAlign w:val="center"/>
          </w:tcPr>
          <w:p w14:paraId="500AF4D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1,2-二氯苯</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25A2980A">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743F99F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1.5L</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05EB1AB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1.5L</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3A35B46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1.5L</w:t>
            </w:r>
          </w:p>
        </w:tc>
        <w:tc>
          <w:tcPr>
            <w:tcW w:w="1055" w:type="dxa"/>
            <w:tcBorders>
              <w:top w:val="single" w:color="000000" w:sz="4" w:space="0"/>
              <w:left w:val="single" w:color="000000" w:sz="4" w:space="0"/>
              <w:bottom w:val="single" w:color="000000" w:sz="4" w:space="0"/>
            </w:tcBorders>
            <w:noWrap w:val="0"/>
            <w:vAlign w:val="center"/>
          </w:tcPr>
          <w:p w14:paraId="51FD874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560</w:t>
            </w:r>
          </w:p>
        </w:tc>
      </w:tr>
      <w:tr w14:paraId="613215B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671" w:type="dxa"/>
            <w:tcBorders>
              <w:top w:val="single" w:color="000000" w:sz="4" w:space="0"/>
              <w:bottom w:val="single" w:color="000000" w:sz="4" w:space="0"/>
              <w:right w:val="single" w:color="000000" w:sz="4" w:space="0"/>
            </w:tcBorders>
            <w:noWrap w:val="0"/>
            <w:vAlign w:val="center"/>
          </w:tcPr>
          <w:p w14:paraId="2A7AE6F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1,4-二氯苯</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7C16E0A8">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239E2FD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1.5L</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13D789B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1.5L</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7070CAE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1.5L</w:t>
            </w:r>
          </w:p>
        </w:tc>
        <w:tc>
          <w:tcPr>
            <w:tcW w:w="1055" w:type="dxa"/>
            <w:tcBorders>
              <w:top w:val="single" w:color="000000" w:sz="4" w:space="0"/>
              <w:left w:val="single" w:color="000000" w:sz="4" w:space="0"/>
              <w:bottom w:val="single" w:color="000000" w:sz="4" w:space="0"/>
            </w:tcBorders>
            <w:noWrap w:val="0"/>
            <w:vAlign w:val="center"/>
          </w:tcPr>
          <w:p w14:paraId="4209997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20</w:t>
            </w:r>
          </w:p>
        </w:tc>
      </w:tr>
      <w:tr w14:paraId="0CE814C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671" w:type="dxa"/>
            <w:tcBorders>
              <w:top w:val="single" w:color="000000" w:sz="4" w:space="0"/>
              <w:bottom w:val="single" w:color="000000" w:sz="4" w:space="0"/>
              <w:right w:val="single" w:color="000000" w:sz="4" w:space="0"/>
            </w:tcBorders>
            <w:noWrap w:val="0"/>
            <w:vAlign w:val="center"/>
          </w:tcPr>
          <w:p w14:paraId="0F93C76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乙苯</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360380C0">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6DC288B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0E2347F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06CF341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055" w:type="dxa"/>
            <w:tcBorders>
              <w:top w:val="single" w:color="000000" w:sz="4" w:space="0"/>
              <w:left w:val="single" w:color="000000" w:sz="4" w:space="0"/>
              <w:bottom w:val="single" w:color="000000" w:sz="4" w:space="0"/>
            </w:tcBorders>
            <w:noWrap w:val="0"/>
            <w:vAlign w:val="center"/>
          </w:tcPr>
          <w:p w14:paraId="11ABF87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28</w:t>
            </w:r>
          </w:p>
        </w:tc>
      </w:tr>
      <w:tr w14:paraId="555ECCE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671" w:type="dxa"/>
            <w:tcBorders>
              <w:top w:val="single" w:color="000000" w:sz="4" w:space="0"/>
              <w:bottom w:val="single" w:color="000000" w:sz="4" w:space="0"/>
              <w:right w:val="single" w:color="000000" w:sz="4" w:space="0"/>
            </w:tcBorders>
            <w:noWrap w:val="0"/>
            <w:vAlign w:val="center"/>
          </w:tcPr>
          <w:p w14:paraId="3E3792A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苯乙烯</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28664495">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24AC87E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1.1L</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3EE8E78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1.1L</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1F9CAFD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1.1L</w:t>
            </w:r>
          </w:p>
        </w:tc>
        <w:tc>
          <w:tcPr>
            <w:tcW w:w="1055" w:type="dxa"/>
            <w:tcBorders>
              <w:top w:val="single" w:color="000000" w:sz="4" w:space="0"/>
              <w:left w:val="single" w:color="000000" w:sz="4" w:space="0"/>
              <w:bottom w:val="single" w:color="000000" w:sz="4" w:space="0"/>
            </w:tcBorders>
            <w:noWrap w:val="0"/>
            <w:vAlign w:val="center"/>
          </w:tcPr>
          <w:p w14:paraId="047E366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1290</w:t>
            </w:r>
          </w:p>
        </w:tc>
      </w:tr>
      <w:tr w14:paraId="08ED690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671" w:type="dxa"/>
            <w:tcBorders>
              <w:top w:val="single" w:color="000000" w:sz="4" w:space="0"/>
              <w:bottom w:val="single" w:color="000000" w:sz="4" w:space="0"/>
              <w:right w:val="single" w:color="000000" w:sz="4" w:space="0"/>
            </w:tcBorders>
            <w:noWrap w:val="0"/>
            <w:vAlign w:val="center"/>
          </w:tcPr>
          <w:p w14:paraId="33FF698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甲苯</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6B14A026">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3B5AD36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48F76BB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43C537B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1.3L</w:t>
            </w:r>
          </w:p>
        </w:tc>
        <w:tc>
          <w:tcPr>
            <w:tcW w:w="1055" w:type="dxa"/>
            <w:tcBorders>
              <w:top w:val="single" w:color="000000" w:sz="4" w:space="0"/>
              <w:left w:val="single" w:color="000000" w:sz="4" w:space="0"/>
              <w:bottom w:val="single" w:color="000000" w:sz="4" w:space="0"/>
            </w:tcBorders>
            <w:noWrap w:val="0"/>
            <w:vAlign w:val="center"/>
          </w:tcPr>
          <w:p w14:paraId="7099521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1200</w:t>
            </w:r>
          </w:p>
        </w:tc>
      </w:tr>
      <w:tr w14:paraId="38A8B79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1671" w:type="dxa"/>
            <w:tcBorders>
              <w:top w:val="single" w:color="000000" w:sz="4" w:space="0"/>
              <w:bottom w:val="single" w:color="000000" w:sz="4" w:space="0"/>
              <w:right w:val="single" w:color="000000" w:sz="4" w:space="0"/>
            </w:tcBorders>
            <w:noWrap w:val="0"/>
            <w:vAlign w:val="center"/>
          </w:tcPr>
          <w:p w14:paraId="1944251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间二甲苯+对二甲苯</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17E9053D">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26DD39E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213E9AC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76C700D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055" w:type="dxa"/>
            <w:tcBorders>
              <w:top w:val="single" w:color="000000" w:sz="4" w:space="0"/>
              <w:left w:val="single" w:color="000000" w:sz="4" w:space="0"/>
              <w:bottom w:val="single" w:color="000000" w:sz="4" w:space="0"/>
            </w:tcBorders>
            <w:noWrap w:val="0"/>
            <w:vAlign w:val="center"/>
          </w:tcPr>
          <w:p w14:paraId="68E9B7B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570</w:t>
            </w:r>
          </w:p>
        </w:tc>
      </w:tr>
      <w:tr w14:paraId="07ADAFD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1671" w:type="dxa"/>
            <w:tcBorders>
              <w:top w:val="single" w:color="000000" w:sz="4" w:space="0"/>
              <w:bottom w:val="single" w:color="000000" w:sz="4" w:space="0"/>
              <w:right w:val="single" w:color="000000" w:sz="4" w:space="0"/>
            </w:tcBorders>
            <w:noWrap w:val="0"/>
            <w:vAlign w:val="center"/>
          </w:tcPr>
          <w:p w14:paraId="6DFB519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邻二甲苯</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6BC0A5DD">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color w:val="000000"/>
                <w:sz w:val="21"/>
                <w:szCs w:val="21"/>
                <w:highlight w:val="none"/>
              </w:rPr>
              <w:t>μ</w:t>
            </w:r>
            <w:r>
              <w:rPr>
                <w:rFonts w:hint="default" w:ascii="Times New Roman" w:hAnsi="Times New Roman" w:eastAsia="宋体" w:cs="Times New Roman"/>
                <w:b/>
                <w:spacing w:val="-4"/>
                <w:sz w:val="21"/>
                <w:szCs w:val="21"/>
                <w:highlight w:val="none"/>
              </w:rPr>
              <w:t>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60011D0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76FBA49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257ADFE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1.2L</w:t>
            </w:r>
          </w:p>
        </w:tc>
        <w:tc>
          <w:tcPr>
            <w:tcW w:w="1055" w:type="dxa"/>
            <w:tcBorders>
              <w:top w:val="single" w:color="000000" w:sz="4" w:space="0"/>
              <w:left w:val="single" w:color="000000" w:sz="4" w:space="0"/>
              <w:bottom w:val="single" w:color="000000" w:sz="4" w:space="0"/>
            </w:tcBorders>
            <w:noWrap w:val="0"/>
            <w:vAlign w:val="center"/>
          </w:tcPr>
          <w:p w14:paraId="7896B6C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640</w:t>
            </w:r>
          </w:p>
        </w:tc>
      </w:tr>
      <w:tr w14:paraId="2ABC1A7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1671" w:type="dxa"/>
            <w:tcBorders>
              <w:top w:val="single" w:color="000000" w:sz="4" w:space="0"/>
              <w:bottom w:val="single" w:color="000000" w:sz="4" w:space="0"/>
              <w:right w:val="single" w:color="000000" w:sz="4" w:space="0"/>
            </w:tcBorders>
            <w:noWrap w:val="0"/>
            <w:vAlign w:val="center"/>
          </w:tcPr>
          <w:p w14:paraId="081A60C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硝基苯</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37E6017D">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eastAsia" w:ascii="Times New Roman" w:hAnsi="Times New Roman" w:eastAsia="宋体" w:cs="Times New Roman"/>
                <w:b/>
                <w:spacing w:val="-4"/>
                <w:sz w:val="21"/>
                <w:szCs w:val="21"/>
                <w:highlight w:val="none"/>
              </w:rPr>
              <w:t>m</w:t>
            </w:r>
            <w:r>
              <w:rPr>
                <w:rFonts w:hint="default" w:ascii="Times New Roman" w:hAnsi="Times New Roman" w:eastAsia="宋体" w:cs="Times New Roman"/>
                <w:b/>
                <w:spacing w:val="-4"/>
                <w:sz w:val="21"/>
                <w:szCs w:val="21"/>
                <w:highlight w:val="none"/>
              </w:rPr>
              <w:t>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0AE4F25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0.09L</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077F3C8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0.09L</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6EB629E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0.09L</w:t>
            </w:r>
          </w:p>
        </w:tc>
        <w:tc>
          <w:tcPr>
            <w:tcW w:w="1055" w:type="dxa"/>
            <w:tcBorders>
              <w:top w:val="single" w:color="000000" w:sz="4" w:space="0"/>
              <w:left w:val="single" w:color="000000" w:sz="4" w:space="0"/>
              <w:bottom w:val="single" w:color="000000" w:sz="4" w:space="0"/>
            </w:tcBorders>
            <w:noWrap w:val="0"/>
            <w:vAlign w:val="center"/>
          </w:tcPr>
          <w:p w14:paraId="0EC1DD3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76</w:t>
            </w:r>
          </w:p>
        </w:tc>
      </w:tr>
      <w:tr w14:paraId="373E369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1671" w:type="dxa"/>
            <w:tcBorders>
              <w:top w:val="single" w:color="000000" w:sz="4" w:space="0"/>
              <w:bottom w:val="single" w:color="000000" w:sz="4" w:space="0"/>
              <w:right w:val="single" w:color="000000" w:sz="4" w:space="0"/>
            </w:tcBorders>
            <w:noWrap w:val="0"/>
            <w:vAlign w:val="center"/>
          </w:tcPr>
          <w:p w14:paraId="682E54B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苯胺</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6777B17D">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eastAsia" w:ascii="Times New Roman" w:hAnsi="Times New Roman" w:eastAsia="宋体" w:cs="Times New Roman"/>
                <w:b/>
                <w:spacing w:val="-4"/>
                <w:sz w:val="21"/>
                <w:szCs w:val="21"/>
                <w:highlight w:val="none"/>
              </w:rPr>
              <w:t>m</w:t>
            </w:r>
            <w:r>
              <w:rPr>
                <w:rFonts w:hint="default" w:ascii="Times New Roman" w:hAnsi="Times New Roman" w:eastAsia="宋体" w:cs="Times New Roman"/>
                <w:b/>
                <w:spacing w:val="-4"/>
                <w:sz w:val="21"/>
                <w:szCs w:val="21"/>
                <w:highlight w:val="none"/>
              </w:rPr>
              <w:t>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15A41C2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未检出</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77ABE63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未检出</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50198D8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未检出</w:t>
            </w:r>
          </w:p>
        </w:tc>
        <w:tc>
          <w:tcPr>
            <w:tcW w:w="1055" w:type="dxa"/>
            <w:tcBorders>
              <w:top w:val="single" w:color="000000" w:sz="4" w:space="0"/>
              <w:left w:val="single" w:color="000000" w:sz="4" w:space="0"/>
              <w:bottom w:val="single" w:color="000000" w:sz="4" w:space="0"/>
            </w:tcBorders>
            <w:noWrap w:val="0"/>
            <w:vAlign w:val="center"/>
          </w:tcPr>
          <w:p w14:paraId="6F567BD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260</w:t>
            </w:r>
          </w:p>
        </w:tc>
      </w:tr>
      <w:tr w14:paraId="10B677A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1671" w:type="dxa"/>
            <w:tcBorders>
              <w:top w:val="single" w:color="000000" w:sz="4" w:space="0"/>
              <w:bottom w:val="single" w:color="000000" w:sz="4" w:space="0"/>
              <w:right w:val="single" w:color="000000" w:sz="4" w:space="0"/>
            </w:tcBorders>
            <w:noWrap w:val="0"/>
            <w:vAlign w:val="center"/>
          </w:tcPr>
          <w:p w14:paraId="1F7410D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2-氯酚</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49F3159E">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eastAsia" w:ascii="Times New Roman" w:hAnsi="Times New Roman" w:eastAsia="宋体" w:cs="Times New Roman"/>
                <w:b/>
                <w:spacing w:val="-4"/>
                <w:sz w:val="21"/>
                <w:szCs w:val="21"/>
                <w:highlight w:val="none"/>
              </w:rPr>
              <w:t>m</w:t>
            </w:r>
            <w:r>
              <w:rPr>
                <w:rFonts w:hint="default" w:ascii="Times New Roman" w:hAnsi="Times New Roman" w:eastAsia="宋体" w:cs="Times New Roman"/>
                <w:b/>
                <w:spacing w:val="-4"/>
                <w:sz w:val="21"/>
                <w:szCs w:val="21"/>
                <w:highlight w:val="none"/>
              </w:rPr>
              <w:t>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632B638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0.06L</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7C65B56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0.06L</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471926A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0.06L</w:t>
            </w:r>
          </w:p>
        </w:tc>
        <w:tc>
          <w:tcPr>
            <w:tcW w:w="1055" w:type="dxa"/>
            <w:tcBorders>
              <w:top w:val="single" w:color="000000" w:sz="4" w:space="0"/>
              <w:left w:val="single" w:color="000000" w:sz="4" w:space="0"/>
              <w:bottom w:val="single" w:color="000000" w:sz="4" w:space="0"/>
            </w:tcBorders>
            <w:noWrap w:val="0"/>
            <w:vAlign w:val="center"/>
          </w:tcPr>
          <w:p w14:paraId="0EBEEF9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2256</w:t>
            </w:r>
          </w:p>
        </w:tc>
      </w:tr>
      <w:tr w14:paraId="4E4627A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1671" w:type="dxa"/>
            <w:tcBorders>
              <w:top w:val="single" w:color="000000" w:sz="4" w:space="0"/>
              <w:bottom w:val="single" w:color="000000" w:sz="4" w:space="0"/>
              <w:right w:val="single" w:color="000000" w:sz="4" w:space="0"/>
            </w:tcBorders>
            <w:noWrap w:val="0"/>
            <w:vAlign w:val="center"/>
          </w:tcPr>
          <w:p w14:paraId="6CC076D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color w:val="000000"/>
                <w:sz w:val="21"/>
                <w:szCs w:val="24"/>
                <w:highlight w:val="none"/>
              </w:rPr>
              <w:t>苯并[a]蒽</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00177FC0">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eastAsia" w:ascii="Times New Roman" w:hAnsi="Times New Roman" w:eastAsia="宋体" w:cs="Times New Roman"/>
                <w:b/>
                <w:spacing w:val="-4"/>
                <w:sz w:val="21"/>
                <w:szCs w:val="21"/>
                <w:highlight w:val="none"/>
              </w:rPr>
              <w:t>m</w:t>
            </w:r>
            <w:r>
              <w:rPr>
                <w:rFonts w:hint="default" w:ascii="Times New Roman" w:hAnsi="Times New Roman" w:eastAsia="宋体" w:cs="Times New Roman"/>
                <w:b/>
                <w:spacing w:val="-4"/>
                <w:sz w:val="21"/>
                <w:szCs w:val="21"/>
                <w:highlight w:val="none"/>
              </w:rPr>
              <w:t>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5CB3EE8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0.1L</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7140053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0.1L</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69E104A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0.1L</w:t>
            </w:r>
          </w:p>
        </w:tc>
        <w:tc>
          <w:tcPr>
            <w:tcW w:w="1055" w:type="dxa"/>
            <w:tcBorders>
              <w:top w:val="single" w:color="000000" w:sz="4" w:space="0"/>
              <w:left w:val="single" w:color="000000" w:sz="4" w:space="0"/>
              <w:bottom w:val="single" w:color="000000" w:sz="4" w:space="0"/>
            </w:tcBorders>
            <w:noWrap w:val="0"/>
            <w:vAlign w:val="center"/>
          </w:tcPr>
          <w:p w14:paraId="31353BE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15</w:t>
            </w:r>
          </w:p>
        </w:tc>
      </w:tr>
      <w:tr w14:paraId="02C6412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1671" w:type="dxa"/>
            <w:tcBorders>
              <w:top w:val="single" w:color="000000" w:sz="4" w:space="0"/>
              <w:bottom w:val="single" w:color="000000" w:sz="4" w:space="0"/>
              <w:right w:val="single" w:color="000000" w:sz="4" w:space="0"/>
            </w:tcBorders>
            <w:noWrap w:val="0"/>
            <w:vAlign w:val="center"/>
          </w:tcPr>
          <w:p w14:paraId="1A83AA4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color w:val="000000"/>
                <w:sz w:val="21"/>
                <w:szCs w:val="24"/>
                <w:highlight w:val="none"/>
              </w:rPr>
              <w:t>苯并[a]芘</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7890CB8F">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eastAsia" w:ascii="Times New Roman" w:hAnsi="Times New Roman" w:eastAsia="宋体" w:cs="Times New Roman"/>
                <w:b/>
                <w:spacing w:val="-4"/>
                <w:sz w:val="21"/>
                <w:szCs w:val="21"/>
                <w:highlight w:val="none"/>
              </w:rPr>
              <w:t>m</w:t>
            </w:r>
            <w:r>
              <w:rPr>
                <w:rFonts w:hint="default" w:ascii="Times New Roman" w:hAnsi="Times New Roman" w:eastAsia="宋体" w:cs="Times New Roman"/>
                <w:b/>
                <w:spacing w:val="-4"/>
                <w:sz w:val="21"/>
                <w:szCs w:val="21"/>
                <w:highlight w:val="none"/>
              </w:rPr>
              <w:t>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4F4F4F1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0.1L</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031D0B0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0.1L</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7752407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0.1L</w:t>
            </w:r>
          </w:p>
        </w:tc>
        <w:tc>
          <w:tcPr>
            <w:tcW w:w="1055" w:type="dxa"/>
            <w:tcBorders>
              <w:top w:val="single" w:color="000000" w:sz="4" w:space="0"/>
              <w:left w:val="single" w:color="000000" w:sz="4" w:space="0"/>
              <w:bottom w:val="single" w:color="000000" w:sz="4" w:space="0"/>
            </w:tcBorders>
            <w:noWrap w:val="0"/>
            <w:vAlign w:val="center"/>
          </w:tcPr>
          <w:p w14:paraId="4776FB0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1.5</w:t>
            </w:r>
          </w:p>
        </w:tc>
      </w:tr>
      <w:tr w14:paraId="72B71A6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1671" w:type="dxa"/>
            <w:tcBorders>
              <w:top w:val="single" w:color="000000" w:sz="4" w:space="0"/>
              <w:bottom w:val="single" w:color="000000" w:sz="4" w:space="0"/>
              <w:right w:val="single" w:color="000000" w:sz="4" w:space="0"/>
            </w:tcBorders>
            <w:noWrap w:val="0"/>
            <w:vAlign w:val="center"/>
          </w:tcPr>
          <w:p w14:paraId="6F39955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color w:val="000000"/>
                <w:sz w:val="21"/>
                <w:szCs w:val="24"/>
                <w:highlight w:val="none"/>
              </w:rPr>
              <w:t>苯并[b]荧蒽</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7E517D55">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eastAsia" w:ascii="Times New Roman" w:hAnsi="Times New Roman" w:eastAsia="宋体" w:cs="Times New Roman"/>
                <w:b/>
                <w:spacing w:val="-4"/>
                <w:sz w:val="21"/>
                <w:szCs w:val="21"/>
                <w:highlight w:val="none"/>
              </w:rPr>
              <w:t>m</w:t>
            </w:r>
            <w:r>
              <w:rPr>
                <w:rFonts w:hint="default" w:ascii="Times New Roman" w:hAnsi="Times New Roman" w:eastAsia="宋体" w:cs="Times New Roman"/>
                <w:b/>
                <w:spacing w:val="-4"/>
                <w:sz w:val="21"/>
                <w:szCs w:val="21"/>
                <w:highlight w:val="none"/>
              </w:rPr>
              <w:t>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22BEAD3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0.2L</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7348F00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0.2L</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45C1A91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0.2L</w:t>
            </w:r>
          </w:p>
        </w:tc>
        <w:tc>
          <w:tcPr>
            <w:tcW w:w="1055" w:type="dxa"/>
            <w:tcBorders>
              <w:top w:val="single" w:color="000000" w:sz="4" w:space="0"/>
              <w:left w:val="single" w:color="000000" w:sz="4" w:space="0"/>
              <w:bottom w:val="single" w:color="000000" w:sz="4" w:space="0"/>
            </w:tcBorders>
            <w:noWrap w:val="0"/>
            <w:vAlign w:val="center"/>
          </w:tcPr>
          <w:p w14:paraId="6E3171F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15</w:t>
            </w:r>
          </w:p>
        </w:tc>
      </w:tr>
      <w:tr w14:paraId="3C767AE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1671" w:type="dxa"/>
            <w:tcBorders>
              <w:top w:val="single" w:color="000000" w:sz="4" w:space="0"/>
              <w:bottom w:val="single" w:color="000000" w:sz="4" w:space="0"/>
              <w:right w:val="single" w:color="000000" w:sz="4" w:space="0"/>
            </w:tcBorders>
            <w:noWrap w:val="0"/>
            <w:vAlign w:val="center"/>
          </w:tcPr>
          <w:p w14:paraId="4DE6476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color w:val="000000"/>
                <w:sz w:val="21"/>
                <w:szCs w:val="24"/>
                <w:highlight w:val="none"/>
              </w:rPr>
              <w:t>苯并[k]荧蒽</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285D866A">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eastAsia" w:ascii="Times New Roman" w:hAnsi="Times New Roman" w:eastAsia="宋体" w:cs="Times New Roman"/>
                <w:b/>
                <w:spacing w:val="-4"/>
                <w:sz w:val="21"/>
                <w:szCs w:val="21"/>
                <w:highlight w:val="none"/>
              </w:rPr>
              <w:t>m</w:t>
            </w:r>
            <w:r>
              <w:rPr>
                <w:rFonts w:hint="default" w:ascii="Times New Roman" w:hAnsi="Times New Roman" w:eastAsia="宋体" w:cs="Times New Roman"/>
                <w:b/>
                <w:spacing w:val="-4"/>
                <w:sz w:val="21"/>
                <w:szCs w:val="21"/>
                <w:highlight w:val="none"/>
              </w:rPr>
              <w:t>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2DE5B35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0.1L</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722863F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0.1L</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3B3FE62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0.1L</w:t>
            </w:r>
          </w:p>
        </w:tc>
        <w:tc>
          <w:tcPr>
            <w:tcW w:w="1055" w:type="dxa"/>
            <w:tcBorders>
              <w:top w:val="single" w:color="000000" w:sz="4" w:space="0"/>
              <w:left w:val="single" w:color="000000" w:sz="4" w:space="0"/>
              <w:bottom w:val="single" w:color="000000" w:sz="4" w:space="0"/>
            </w:tcBorders>
            <w:noWrap w:val="0"/>
            <w:vAlign w:val="center"/>
          </w:tcPr>
          <w:p w14:paraId="4B99453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151</w:t>
            </w:r>
          </w:p>
        </w:tc>
      </w:tr>
      <w:tr w14:paraId="6CD7493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1671" w:type="dxa"/>
            <w:tcBorders>
              <w:top w:val="single" w:color="000000" w:sz="4" w:space="0"/>
              <w:bottom w:val="single" w:color="000000" w:sz="4" w:space="0"/>
              <w:right w:val="single" w:color="000000" w:sz="4" w:space="0"/>
            </w:tcBorders>
            <w:noWrap w:val="0"/>
            <w:vAlign w:val="center"/>
          </w:tcPr>
          <w:p w14:paraId="578CCD2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color w:val="000000"/>
                <w:sz w:val="21"/>
                <w:szCs w:val="24"/>
                <w:highlight w:val="none"/>
              </w:rPr>
              <w:t>䓛</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52343712">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eastAsia" w:ascii="Times New Roman" w:hAnsi="Times New Roman" w:eastAsia="宋体" w:cs="Times New Roman"/>
                <w:b/>
                <w:spacing w:val="-4"/>
                <w:sz w:val="21"/>
                <w:szCs w:val="21"/>
                <w:highlight w:val="none"/>
              </w:rPr>
              <w:t>m</w:t>
            </w:r>
            <w:r>
              <w:rPr>
                <w:rFonts w:hint="default" w:ascii="Times New Roman" w:hAnsi="Times New Roman" w:eastAsia="宋体" w:cs="Times New Roman"/>
                <w:b/>
                <w:spacing w:val="-4"/>
                <w:sz w:val="21"/>
                <w:szCs w:val="21"/>
                <w:highlight w:val="none"/>
              </w:rPr>
              <w:t>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3BD2571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0.1L</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2EA6BFA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0.1L</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5A530E6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0.1L</w:t>
            </w:r>
          </w:p>
        </w:tc>
        <w:tc>
          <w:tcPr>
            <w:tcW w:w="1055" w:type="dxa"/>
            <w:tcBorders>
              <w:top w:val="single" w:color="000000" w:sz="4" w:space="0"/>
              <w:left w:val="single" w:color="000000" w:sz="4" w:space="0"/>
              <w:bottom w:val="single" w:color="000000" w:sz="4" w:space="0"/>
            </w:tcBorders>
            <w:noWrap w:val="0"/>
            <w:vAlign w:val="center"/>
          </w:tcPr>
          <w:p w14:paraId="665A566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1293</w:t>
            </w:r>
          </w:p>
        </w:tc>
      </w:tr>
      <w:tr w14:paraId="70414AA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1671" w:type="dxa"/>
            <w:tcBorders>
              <w:top w:val="single" w:color="000000" w:sz="4" w:space="0"/>
              <w:bottom w:val="single" w:color="000000" w:sz="4" w:space="0"/>
              <w:right w:val="single" w:color="000000" w:sz="4" w:space="0"/>
            </w:tcBorders>
            <w:noWrap w:val="0"/>
            <w:vAlign w:val="center"/>
          </w:tcPr>
          <w:p w14:paraId="3D23ADB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二苯并[a,h]蒽</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6B6EF740">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eastAsia" w:ascii="Times New Roman" w:hAnsi="Times New Roman" w:eastAsia="宋体" w:cs="Times New Roman"/>
                <w:b/>
                <w:spacing w:val="-4"/>
                <w:sz w:val="21"/>
                <w:szCs w:val="21"/>
                <w:highlight w:val="none"/>
              </w:rPr>
              <w:t>m</w:t>
            </w:r>
            <w:r>
              <w:rPr>
                <w:rFonts w:hint="default" w:ascii="Times New Roman" w:hAnsi="Times New Roman" w:eastAsia="宋体" w:cs="Times New Roman"/>
                <w:b/>
                <w:spacing w:val="-4"/>
                <w:sz w:val="21"/>
                <w:szCs w:val="21"/>
                <w:highlight w:val="none"/>
              </w:rPr>
              <w:t>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7F77E99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0.1L</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52ED64B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0.1L</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3B6961F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0.1L</w:t>
            </w:r>
          </w:p>
        </w:tc>
        <w:tc>
          <w:tcPr>
            <w:tcW w:w="1055" w:type="dxa"/>
            <w:tcBorders>
              <w:top w:val="single" w:color="000000" w:sz="4" w:space="0"/>
              <w:left w:val="single" w:color="000000" w:sz="4" w:space="0"/>
              <w:bottom w:val="single" w:color="000000" w:sz="4" w:space="0"/>
            </w:tcBorders>
            <w:noWrap w:val="0"/>
            <w:vAlign w:val="center"/>
          </w:tcPr>
          <w:p w14:paraId="42A7151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1.5</w:t>
            </w:r>
          </w:p>
        </w:tc>
      </w:tr>
      <w:tr w14:paraId="2A98B58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1671" w:type="dxa"/>
            <w:tcBorders>
              <w:top w:val="single" w:color="000000" w:sz="4" w:space="0"/>
              <w:bottom w:val="single" w:color="000000" w:sz="12" w:space="0"/>
              <w:right w:val="single" w:color="000000" w:sz="4" w:space="0"/>
            </w:tcBorders>
            <w:noWrap w:val="0"/>
            <w:vAlign w:val="center"/>
          </w:tcPr>
          <w:p w14:paraId="0486DA1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茚并[1,2,3-cd]芘</w:t>
            </w:r>
          </w:p>
        </w:tc>
        <w:tc>
          <w:tcPr>
            <w:tcW w:w="1313" w:type="dxa"/>
            <w:tcBorders>
              <w:top w:val="single" w:color="000000" w:sz="4" w:space="0"/>
              <w:left w:val="single" w:color="000000" w:sz="4" w:space="0"/>
              <w:bottom w:val="single" w:color="000000" w:sz="12" w:space="0"/>
              <w:right w:val="single" w:color="000000" w:sz="4" w:space="0"/>
            </w:tcBorders>
            <w:noWrap w:val="0"/>
            <w:vAlign w:val="center"/>
          </w:tcPr>
          <w:p w14:paraId="39011A1D">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eastAsia" w:ascii="Times New Roman" w:hAnsi="Times New Roman" w:eastAsia="宋体" w:cs="Times New Roman"/>
                <w:b/>
                <w:spacing w:val="-4"/>
                <w:sz w:val="21"/>
                <w:szCs w:val="21"/>
                <w:highlight w:val="none"/>
              </w:rPr>
              <w:t>m</w:t>
            </w:r>
            <w:r>
              <w:rPr>
                <w:rFonts w:hint="default" w:ascii="Times New Roman" w:hAnsi="Times New Roman" w:eastAsia="宋体" w:cs="Times New Roman"/>
                <w:b/>
                <w:spacing w:val="-4"/>
                <w:sz w:val="21"/>
                <w:szCs w:val="21"/>
                <w:highlight w:val="none"/>
              </w:rPr>
              <w:t>g/kg</w:t>
            </w:r>
          </w:p>
        </w:tc>
        <w:tc>
          <w:tcPr>
            <w:tcW w:w="1660" w:type="dxa"/>
            <w:tcBorders>
              <w:top w:val="single" w:color="000000" w:sz="4" w:space="0"/>
              <w:left w:val="single" w:color="000000" w:sz="4" w:space="0"/>
              <w:bottom w:val="single" w:color="000000" w:sz="12" w:space="0"/>
              <w:right w:val="single" w:color="000000" w:sz="4" w:space="0"/>
            </w:tcBorders>
            <w:noWrap w:val="0"/>
            <w:vAlign w:val="center"/>
          </w:tcPr>
          <w:p w14:paraId="4869D75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0.1L</w:t>
            </w:r>
          </w:p>
        </w:tc>
        <w:tc>
          <w:tcPr>
            <w:tcW w:w="1731" w:type="dxa"/>
            <w:tcBorders>
              <w:top w:val="single" w:color="000000" w:sz="4" w:space="0"/>
              <w:left w:val="single" w:color="000000" w:sz="4" w:space="0"/>
              <w:bottom w:val="single" w:color="000000" w:sz="12" w:space="0"/>
              <w:right w:val="single" w:color="000000" w:sz="4" w:space="0"/>
            </w:tcBorders>
            <w:noWrap w:val="0"/>
            <w:vAlign w:val="center"/>
          </w:tcPr>
          <w:p w14:paraId="04A2FA4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0.1L</w:t>
            </w:r>
          </w:p>
        </w:tc>
        <w:tc>
          <w:tcPr>
            <w:tcW w:w="1686" w:type="dxa"/>
            <w:tcBorders>
              <w:top w:val="single" w:color="000000" w:sz="4" w:space="0"/>
              <w:left w:val="single" w:color="000000" w:sz="4" w:space="0"/>
              <w:bottom w:val="single" w:color="000000" w:sz="12" w:space="0"/>
              <w:right w:val="single" w:color="000000" w:sz="4" w:space="0"/>
            </w:tcBorders>
            <w:noWrap w:val="0"/>
            <w:vAlign w:val="center"/>
          </w:tcPr>
          <w:p w14:paraId="2431AC5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0.1L</w:t>
            </w:r>
          </w:p>
        </w:tc>
        <w:tc>
          <w:tcPr>
            <w:tcW w:w="1055" w:type="dxa"/>
            <w:tcBorders>
              <w:top w:val="single" w:color="000000" w:sz="4" w:space="0"/>
              <w:left w:val="single" w:color="000000" w:sz="4" w:space="0"/>
              <w:bottom w:val="single" w:color="000000" w:sz="12" w:space="0"/>
            </w:tcBorders>
            <w:noWrap w:val="0"/>
            <w:vAlign w:val="center"/>
          </w:tcPr>
          <w:p w14:paraId="53F8735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15</w:t>
            </w:r>
          </w:p>
        </w:tc>
      </w:tr>
      <w:tr w14:paraId="6002652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1671" w:type="dxa"/>
            <w:tcBorders>
              <w:top w:val="single" w:color="000000" w:sz="4" w:space="0"/>
              <w:bottom w:val="single" w:color="000000" w:sz="4" w:space="0"/>
              <w:right w:val="single" w:color="000000" w:sz="4" w:space="0"/>
            </w:tcBorders>
            <w:noWrap w:val="0"/>
            <w:vAlign w:val="center"/>
          </w:tcPr>
          <w:p w14:paraId="719C566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Times New Roman" w:eastAsia="宋体" w:cs="Times New Roman"/>
                <w:b/>
                <w:color w:val="000000"/>
                <w:sz w:val="21"/>
                <w:szCs w:val="24"/>
                <w:highlight w:val="none"/>
              </w:rPr>
              <w:t>萘</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3EF451C5">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eastAsia" w:ascii="Times New Roman" w:hAnsi="Times New Roman" w:eastAsia="宋体" w:cs="Times New Roman"/>
                <w:b/>
                <w:spacing w:val="-4"/>
                <w:sz w:val="21"/>
                <w:szCs w:val="21"/>
                <w:highlight w:val="none"/>
              </w:rPr>
              <w:t>m</w:t>
            </w:r>
            <w:r>
              <w:rPr>
                <w:rFonts w:hint="default" w:ascii="Times New Roman" w:hAnsi="Times New Roman" w:eastAsia="宋体" w:cs="Times New Roman"/>
                <w:b/>
                <w:spacing w:val="-4"/>
                <w:sz w:val="21"/>
                <w:szCs w:val="21"/>
                <w:highlight w:val="none"/>
              </w:rPr>
              <w:t>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1049CAD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0.09L</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75918C4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0.09L</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058D6E4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0.09L</w:t>
            </w:r>
          </w:p>
        </w:tc>
        <w:tc>
          <w:tcPr>
            <w:tcW w:w="1055" w:type="dxa"/>
            <w:tcBorders>
              <w:top w:val="single" w:color="000000" w:sz="4" w:space="0"/>
              <w:left w:val="single" w:color="000000" w:sz="4" w:space="0"/>
              <w:bottom w:val="single" w:color="000000" w:sz="4" w:space="0"/>
            </w:tcBorders>
            <w:noWrap w:val="0"/>
            <w:vAlign w:val="center"/>
          </w:tcPr>
          <w:p w14:paraId="64371EB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70</w:t>
            </w:r>
          </w:p>
        </w:tc>
      </w:tr>
      <w:tr w14:paraId="68542B5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1671" w:type="dxa"/>
            <w:tcBorders>
              <w:top w:val="single" w:color="000000" w:sz="4" w:space="0"/>
              <w:bottom w:val="single" w:color="000000" w:sz="4" w:space="0"/>
              <w:right w:val="single" w:color="000000" w:sz="4" w:space="0"/>
            </w:tcBorders>
            <w:noWrap w:val="0"/>
            <w:vAlign w:val="center"/>
          </w:tcPr>
          <w:p w14:paraId="4FE5EC1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kern w:val="0"/>
                <w:sz w:val="21"/>
                <w:szCs w:val="21"/>
                <w:highlight w:val="none"/>
              </w:rPr>
            </w:pPr>
            <w:r>
              <w:rPr>
                <w:rFonts w:hint="default" w:ascii="Times New Roman" w:hAnsi="Times New Roman" w:eastAsia="宋体" w:cs="Times New Roman"/>
                <w:b/>
                <w:sz w:val="21"/>
                <w:szCs w:val="21"/>
                <w:highlight w:val="none"/>
              </w:rPr>
              <w:t>石油烃（C</w:t>
            </w:r>
            <w:r>
              <w:rPr>
                <w:rFonts w:hint="default" w:ascii="Times New Roman" w:hAnsi="Times New Roman" w:eastAsia="宋体" w:cs="Times New Roman"/>
                <w:b/>
                <w:sz w:val="21"/>
                <w:szCs w:val="21"/>
                <w:highlight w:val="none"/>
                <w:vertAlign w:val="subscript"/>
              </w:rPr>
              <w:t>10</w:t>
            </w:r>
            <w:r>
              <w:rPr>
                <w:rFonts w:hint="default" w:ascii="Times New Roman" w:hAnsi="Times New Roman" w:eastAsia="宋体" w:cs="Times New Roman"/>
                <w:b/>
                <w:sz w:val="21"/>
                <w:szCs w:val="21"/>
                <w:highlight w:val="none"/>
              </w:rPr>
              <w:t>-C</w:t>
            </w:r>
            <w:r>
              <w:rPr>
                <w:rFonts w:hint="default" w:ascii="Times New Roman" w:hAnsi="Times New Roman" w:eastAsia="宋体" w:cs="Times New Roman"/>
                <w:b/>
                <w:sz w:val="21"/>
                <w:szCs w:val="21"/>
                <w:highlight w:val="none"/>
                <w:vertAlign w:val="subscript"/>
              </w:rPr>
              <w:t>40</w:t>
            </w:r>
            <w:r>
              <w:rPr>
                <w:rFonts w:hint="default" w:ascii="Times New Roman" w:hAnsi="Times New Roman" w:eastAsia="宋体" w:cs="Times New Roman"/>
                <w:b/>
                <w:sz w:val="21"/>
                <w:szCs w:val="21"/>
                <w:highlight w:val="none"/>
              </w:rPr>
              <w:t>）</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3DA8DDFF">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eastAsia" w:ascii="Times New Roman" w:hAnsi="Times New Roman" w:eastAsia="宋体" w:cs="Times New Roman"/>
                <w:b/>
                <w:spacing w:val="-4"/>
                <w:sz w:val="21"/>
                <w:szCs w:val="21"/>
                <w:highlight w:val="none"/>
              </w:rPr>
              <w:t>m</w:t>
            </w:r>
            <w:r>
              <w:rPr>
                <w:rFonts w:hint="default" w:ascii="Times New Roman" w:hAnsi="Times New Roman" w:eastAsia="宋体" w:cs="Times New Roman"/>
                <w:b/>
                <w:spacing w:val="-4"/>
                <w:sz w:val="21"/>
                <w:szCs w:val="21"/>
                <w:highlight w:val="none"/>
              </w:rPr>
              <w:t>g/kg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5B5EF64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6L</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7379EB5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15</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716E707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23</w:t>
            </w:r>
          </w:p>
        </w:tc>
        <w:tc>
          <w:tcPr>
            <w:tcW w:w="1055" w:type="dxa"/>
            <w:tcBorders>
              <w:top w:val="single" w:color="000000" w:sz="4" w:space="0"/>
              <w:left w:val="single" w:color="000000" w:sz="4" w:space="0"/>
              <w:bottom w:val="single" w:color="000000" w:sz="4" w:space="0"/>
            </w:tcBorders>
            <w:noWrap w:val="0"/>
            <w:vAlign w:val="center"/>
          </w:tcPr>
          <w:p w14:paraId="3676FC9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4500</w:t>
            </w:r>
          </w:p>
        </w:tc>
      </w:tr>
      <w:tr w14:paraId="30870C4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1671" w:type="dxa"/>
            <w:tcBorders>
              <w:top w:val="single" w:color="000000" w:sz="4" w:space="0"/>
              <w:bottom w:val="single" w:color="000000" w:sz="4" w:space="0"/>
              <w:right w:val="single" w:color="000000" w:sz="4" w:space="0"/>
            </w:tcBorders>
            <w:noWrap w:val="0"/>
            <w:vAlign w:val="center"/>
          </w:tcPr>
          <w:p w14:paraId="00D4B75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Calibri" w:hAnsi="Calibri" w:eastAsia="宋体" w:cs="Calibri"/>
                <w:b/>
                <w:kern w:val="0"/>
                <w:sz w:val="21"/>
                <w:szCs w:val="21"/>
                <w:highlight w:val="none"/>
              </w:rPr>
            </w:pPr>
            <w:r>
              <w:rPr>
                <w:rFonts w:hint="eastAsia" w:ascii="Calibri" w:hAnsi="Calibri" w:eastAsia="宋体" w:cs="Calibri"/>
                <w:b/>
                <w:kern w:val="0"/>
                <w:sz w:val="21"/>
                <w:szCs w:val="21"/>
                <w:highlight w:val="none"/>
              </w:rPr>
              <w:t>阳离子交换量</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41D06BEA">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pacing w:val="-4"/>
                <w:sz w:val="21"/>
                <w:szCs w:val="21"/>
                <w:highlight w:val="none"/>
              </w:rPr>
            </w:pPr>
            <w:r>
              <w:rPr>
                <w:rFonts w:hint="default" w:ascii="Times New Roman" w:hAnsi="Times New Roman" w:eastAsia="宋体" w:cs="Times New Roman"/>
                <w:b/>
                <w:spacing w:val="-4"/>
                <w:sz w:val="21"/>
                <w:szCs w:val="21"/>
                <w:highlight w:val="none"/>
              </w:rPr>
              <w:t>cmol+ /kg</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15D3D16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9.0</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7BF9B98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9.3</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7671FA7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9.9</w:t>
            </w:r>
          </w:p>
        </w:tc>
        <w:tc>
          <w:tcPr>
            <w:tcW w:w="1055" w:type="dxa"/>
            <w:tcBorders>
              <w:top w:val="single" w:color="000000" w:sz="4" w:space="0"/>
              <w:left w:val="single" w:color="000000" w:sz="4" w:space="0"/>
              <w:bottom w:val="single" w:color="000000" w:sz="4" w:space="0"/>
            </w:tcBorders>
            <w:noWrap w:val="0"/>
            <w:vAlign w:val="center"/>
          </w:tcPr>
          <w:p w14:paraId="1770120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w:t>
            </w:r>
          </w:p>
        </w:tc>
      </w:tr>
      <w:tr w14:paraId="726B2F6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1671" w:type="dxa"/>
            <w:tcBorders>
              <w:top w:val="single" w:color="000000" w:sz="4" w:space="0"/>
              <w:bottom w:val="single" w:color="000000" w:sz="4" w:space="0"/>
              <w:right w:val="single" w:color="000000" w:sz="4" w:space="0"/>
            </w:tcBorders>
            <w:noWrap w:val="0"/>
            <w:vAlign w:val="center"/>
          </w:tcPr>
          <w:p w14:paraId="753D440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Calibri" w:hAnsi="Calibri" w:eastAsia="宋体" w:cs="Calibri"/>
                <w:b/>
                <w:kern w:val="0"/>
                <w:sz w:val="21"/>
                <w:szCs w:val="21"/>
                <w:highlight w:val="none"/>
              </w:rPr>
            </w:pPr>
            <w:r>
              <w:rPr>
                <w:rFonts w:hint="eastAsia" w:ascii="Calibri" w:hAnsi="Calibri" w:eastAsia="宋体" w:cs="Calibri"/>
                <w:b/>
                <w:kern w:val="0"/>
                <w:sz w:val="21"/>
                <w:szCs w:val="21"/>
                <w:highlight w:val="none"/>
              </w:rPr>
              <w:t>氧化还原电位</w:t>
            </w:r>
          </w:p>
        </w:tc>
        <w:tc>
          <w:tcPr>
            <w:tcW w:w="1313" w:type="dxa"/>
            <w:tcBorders>
              <w:top w:val="single" w:color="000000" w:sz="4" w:space="0"/>
              <w:left w:val="single" w:color="000000" w:sz="4" w:space="0"/>
              <w:bottom w:val="single" w:color="000000" w:sz="4" w:space="0"/>
              <w:right w:val="single" w:color="000000" w:sz="4" w:space="0"/>
            </w:tcBorders>
            <w:noWrap w:val="0"/>
            <w:vAlign w:val="center"/>
          </w:tcPr>
          <w:p w14:paraId="641304EE">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pacing w:val="-4"/>
                <w:sz w:val="21"/>
                <w:szCs w:val="21"/>
                <w:highlight w:val="none"/>
              </w:rPr>
            </w:pPr>
            <w:r>
              <w:rPr>
                <w:rFonts w:hint="eastAsia" w:ascii="Times New Roman" w:hAnsi="Times New Roman" w:eastAsia="宋体" w:cs="Times New Roman"/>
                <w:b/>
                <w:spacing w:val="-4"/>
                <w:sz w:val="21"/>
                <w:szCs w:val="21"/>
                <w:highlight w:val="none"/>
              </w:rPr>
              <w:t>mV</w:t>
            </w:r>
          </w:p>
        </w:tc>
        <w:tc>
          <w:tcPr>
            <w:tcW w:w="1660" w:type="dxa"/>
            <w:tcBorders>
              <w:top w:val="single" w:color="000000" w:sz="4" w:space="0"/>
              <w:left w:val="single" w:color="000000" w:sz="4" w:space="0"/>
              <w:bottom w:val="single" w:color="000000" w:sz="4" w:space="0"/>
              <w:right w:val="single" w:color="000000" w:sz="4" w:space="0"/>
            </w:tcBorders>
            <w:noWrap w:val="0"/>
            <w:vAlign w:val="center"/>
          </w:tcPr>
          <w:p w14:paraId="4DA5743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157</w:t>
            </w:r>
          </w:p>
        </w:tc>
        <w:tc>
          <w:tcPr>
            <w:tcW w:w="1731" w:type="dxa"/>
            <w:tcBorders>
              <w:top w:val="single" w:color="000000" w:sz="4" w:space="0"/>
              <w:left w:val="single" w:color="000000" w:sz="4" w:space="0"/>
              <w:bottom w:val="single" w:color="000000" w:sz="4" w:space="0"/>
              <w:right w:val="single" w:color="000000" w:sz="4" w:space="0"/>
            </w:tcBorders>
            <w:noWrap w:val="0"/>
            <w:vAlign w:val="center"/>
          </w:tcPr>
          <w:p w14:paraId="5499F36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159</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14:paraId="3F95DA7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158</w:t>
            </w:r>
          </w:p>
        </w:tc>
        <w:tc>
          <w:tcPr>
            <w:tcW w:w="1055" w:type="dxa"/>
            <w:tcBorders>
              <w:top w:val="single" w:color="000000" w:sz="4" w:space="0"/>
              <w:left w:val="single" w:color="000000" w:sz="4" w:space="0"/>
              <w:bottom w:val="single" w:color="000000" w:sz="4" w:space="0"/>
            </w:tcBorders>
            <w:noWrap w:val="0"/>
            <w:vAlign w:val="center"/>
          </w:tcPr>
          <w:p w14:paraId="66D0D59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w:t>
            </w:r>
          </w:p>
        </w:tc>
      </w:tr>
      <w:tr w14:paraId="6815627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1671" w:type="dxa"/>
            <w:tcBorders>
              <w:top w:val="single" w:color="000000" w:sz="4" w:space="0"/>
              <w:bottom w:val="single" w:color="000000" w:sz="12" w:space="0"/>
              <w:right w:val="single" w:color="000000" w:sz="4" w:space="0"/>
            </w:tcBorders>
            <w:noWrap w:val="0"/>
            <w:vAlign w:val="center"/>
          </w:tcPr>
          <w:p w14:paraId="03D3DFA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Calibri" w:hAnsi="Calibri" w:eastAsia="宋体" w:cs="Calibri"/>
                <w:b/>
                <w:kern w:val="0"/>
                <w:sz w:val="21"/>
                <w:szCs w:val="21"/>
                <w:highlight w:val="none"/>
              </w:rPr>
            </w:pPr>
            <w:r>
              <w:rPr>
                <w:rFonts w:hint="eastAsia" w:ascii="Calibri" w:hAnsi="Calibri" w:eastAsia="宋体" w:cs="Calibri"/>
                <w:b/>
                <w:kern w:val="0"/>
                <w:sz w:val="21"/>
                <w:szCs w:val="21"/>
                <w:highlight w:val="none"/>
              </w:rPr>
              <w:t>容重</w:t>
            </w:r>
          </w:p>
        </w:tc>
        <w:tc>
          <w:tcPr>
            <w:tcW w:w="1313" w:type="dxa"/>
            <w:tcBorders>
              <w:top w:val="single" w:color="000000" w:sz="4" w:space="0"/>
              <w:left w:val="single" w:color="000000" w:sz="4" w:space="0"/>
              <w:bottom w:val="single" w:color="000000" w:sz="12" w:space="0"/>
              <w:right w:val="single" w:color="000000" w:sz="4" w:space="0"/>
            </w:tcBorders>
            <w:noWrap w:val="0"/>
            <w:vAlign w:val="center"/>
          </w:tcPr>
          <w:p w14:paraId="1F9F7BB3">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eastAsia" w:ascii="Times New Roman" w:hAnsi="Times New Roman" w:eastAsia="宋体" w:cs="Times New Roman"/>
                <w:b/>
                <w:spacing w:val="-4"/>
                <w:sz w:val="21"/>
                <w:szCs w:val="21"/>
                <w:highlight w:val="none"/>
              </w:rPr>
            </w:pPr>
            <w:r>
              <w:rPr>
                <w:rFonts w:hint="eastAsia" w:ascii="Times New Roman" w:hAnsi="Times New Roman" w:eastAsia="宋体" w:cs="Times New Roman"/>
                <w:b/>
                <w:color w:val="000000"/>
                <w:sz w:val="21"/>
                <w:szCs w:val="21"/>
                <w:highlight w:val="none"/>
              </w:rPr>
              <w:t>g</w:t>
            </w:r>
            <w:r>
              <w:rPr>
                <w:rFonts w:hint="default" w:ascii="Times New Roman" w:hAnsi="Times New Roman" w:eastAsia="宋体" w:cs="Times New Roman"/>
                <w:b/>
                <w:color w:val="000000"/>
                <w:sz w:val="21"/>
                <w:szCs w:val="21"/>
                <w:highlight w:val="none"/>
              </w:rPr>
              <w:t>/</w:t>
            </w:r>
            <w:r>
              <w:rPr>
                <w:rFonts w:hint="eastAsia" w:ascii="Times New Roman" w:hAnsi="Times New Roman" w:eastAsia="宋体" w:cs="Times New Roman"/>
                <w:b/>
                <w:color w:val="000000"/>
                <w:sz w:val="21"/>
                <w:szCs w:val="21"/>
                <w:highlight w:val="none"/>
              </w:rPr>
              <w:t>cm</w:t>
            </w:r>
            <w:r>
              <w:rPr>
                <w:rFonts w:hint="eastAsia" w:ascii="Times New Roman" w:hAnsi="Times New Roman" w:eastAsia="宋体" w:cs="Times New Roman"/>
                <w:b/>
                <w:color w:val="000000"/>
                <w:sz w:val="21"/>
                <w:szCs w:val="21"/>
                <w:highlight w:val="none"/>
                <w:vertAlign w:val="superscript"/>
              </w:rPr>
              <w:t>3</w:t>
            </w:r>
          </w:p>
        </w:tc>
        <w:tc>
          <w:tcPr>
            <w:tcW w:w="1660" w:type="dxa"/>
            <w:tcBorders>
              <w:top w:val="single" w:color="000000" w:sz="4" w:space="0"/>
              <w:left w:val="single" w:color="000000" w:sz="4" w:space="0"/>
              <w:bottom w:val="single" w:color="000000" w:sz="12" w:space="0"/>
              <w:right w:val="single" w:color="000000" w:sz="4" w:space="0"/>
            </w:tcBorders>
            <w:noWrap w:val="0"/>
            <w:vAlign w:val="center"/>
          </w:tcPr>
          <w:p w14:paraId="136CBCB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1.18</w:t>
            </w:r>
          </w:p>
        </w:tc>
        <w:tc>
          <w:tcPr>
            <w:tcW w:w="1731" w:type="dxa"/>
            <w:tcBorders>
              <w:top w:val="single" w:color="000000" w:sz="4" w:space="0"/>
              <w:left w:val="single" w:color="000000" w:sz="4" w:space="0"/>
              <w:bottom w:val="single" w:color="000000" w:sz="12" w:space="0"/>
              <w:right w:val="single" w:color="000000" w:sz="4" w:space="0"/>
            </w:tcBorders>
            <w:noWrap w:val="0"/>
            <w:vAlign w:val="center"/>
          </w:tcPr>
          <w:p w14:paraId="79D77BD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1.26</w:t>
            </w:r>
          </w:p>
        </w:tc>
        <w:tc>
          <w:tcPr>
            <w:tcW w:w="1686" w:type="dxa"/>
            <w:tcBorders>
              <w:top w:val="single" w:color="000000" w:sz="4" w:space="0"/>
              <w:left w:val="single" w:color="000000" w:sz="4" w:space="0"/>
              <w:bottom w:val="single" w:color="000000" w:sz="12" w:space="0"/>
              <w:right w:val="single" w:color="000000" w:sz="4" w:space="0"/>
            </w:tcBorders>
            <w:noWrap w:val="0"/>
            <w:vAlign w:val="center"/>
          </w:tcPr>
          <w:p w14:paraId="00B49A8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1.32</w:t>
            </w:r>
          </w:p>
        </w:tc>
        <w:tc>
          <w:tcPr>
            <w:tcW w:w="1055" w:type="dxa"/>
            <w:tcBorders>
              <w:top w:val="single" w:color="000000" w:sz="4" w:space="0"/>
              <w:left w:val="single" w:color="000000" w:sz="4" w:space="0"/>
              <w:bottom w:val="single" w:color="000000" w:sz="12" w:space="0"/>
            </w:tcBorders>
            <w:noWrap w:val="0"/>
            <w:vAlign w:val="center"/>
          </w:tcPr>
          <w:p w14:paraId="5B73E0A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w:t>
            </w:r>
          </w:p>
        </w:tc>
      </w:tr>
    </w:tbl>
    <w:p w14:paraId="6A8E97D6">
      <w:pPr>
        <w:keepNext w:val="0"/>
        <w:keepLines w:val="0"/>
        <w:pageBreakBefore w:val="0"/>
        <w:widowControl w:val="0"/>
        <w:suppressLineNumbers w:val="0"/>
        <w:kinsoku/>
        <w:overflowPunct/>
        <w:topLinePunct w:val="0"/>
        <w:autoSpaceDE/>
        <w:autoSpaceDN/>
        <w:bidi w:val="0"/>
        <w:adjustRightInd/>
        <w:snapToGrid/>
        <w:spacing w:before="0" w:beforeAutospacing="0" w:afterAutospacing="0" w:line="360" w:lineRule="auto"/>
        <w:ind w:left="0" w:right="0" w:firstLine="0" w:firstLineChars="0"/>
        <w:jc w:val="both"/>
        <w:textAlignment w:val="auto"/>
        <w:outlineLvl w:val="9"/>
        <w:rPr>
          <w:rFonts w:ascii="Times New Roman" w:hAnsi="Times New Roman" w:eastAsia="宋体" w:cs="Times New Roman"/>
          <w:b/>
          <w:sz w:val="18"/>
          <w:szCs w:val="18"/>
          <w:highlight w:val="none"/>
        </w:rPr>
      </w:pPr>
      <w:r>
        <w:rPr>
          <w:rFonts w:ascii="Times New Roman" w:hAnsi="Times New Roman" w:eastAsia="宋体" w:cs="Times New Roman"/>
          <w:b/>
          <w:sz w:val="18"/>
          <w:szCs w:val="18"/>
          <w:highlight w:val="none"/>
        </w:rPr>
        <w:t>注：L为低于检出限。</w:t>
      </w:r>
    </w:p>
    <w:tbl>
      <w:tblPr>
        <w:tblStyle w:val="45"/>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632"/>
        <w:gridCol w:w="1195"/>
        <w:gridCol w:w="1587"/>
        <w:gridCol w:w="1587"/>
        <w:gridCol w:w="1587"/>
        <w:gridCol w:w="934"/>
      </w:tblGrid>
      <w:tr w14:paraId="1DCDAD0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49" w:type="dxa"/>
            <w:vMerge w:val="restart"/>
            <w:tcBorders>
              <w:top w:val="single" w:color="000000" w:sz="12" w:space="0"/>
              <w:bottom w:val="single" w:color="000000" w:sz="4" w:space="0"/>
              <w:right w:val="single" w:color="000000" w:sz="4" w:space="0"/>
            </w:tcBorders>
            <w:noWrap w:val="0"/>
            <w:vAlign w:val="center"/>
          </w:tcPr>
          <w:p w14:paraId="3B8E323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Calibri" w:eastAsia="宋体" w:cs="Times New Roman"/>
                <w:b/>
                <w:sz w:val="21"/>
                <w:szCs w:val="21"/>
                <w:highlight w:val="none"/>
              </w:rPr>
              <w:t>检测项目</w:t>
            </w:r>
          </w:p>
        </w:tc>
        <w:tc>
          <w:tcPr>
            <w:tcW w:w="1276" w:type="dxa"/>
            <w:tcBorders>
              <w:top w:val="single" w:color="000000" w:sz="12" w:space="0"/>
              <w:left w:val="single" w:color="000000" w:sz="4" w:space="0"/>
              <w:bottom w:val="single" w:color="000000" w:sz="4" w:space="0"/>
              <w:right w:val="single" w:color="000000" w:sz="4" w:space="0"/>
            </w:tcBorders>
            <w:noWrap w:val="0"/>
            <w:vAlign w:val="center"/>
          </w:tcPr>
          <w:p w14:paraId="5966F55D">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eastAsia" w:ascii="Times New Roman" w:hAnsi="Times New Roman" w:eastAsia="宋体" w:cs="Times New Roman"/>
                <w:b/>
                <w:bCs/>
                <w:color w:val="000000"/>
                <w:sz w:val="21"/>
                <w:szCs w:val="21"/>
                <w:highlight w:val="none"/>
              </w:rPr>
              <w:t>采样时间</w:t>
            </w:r>
          </w:p>
        </w:tc>
        <w:tc>
          <w:tcPr>
            <w:tcW w:w="5103" w:type="dxa"/>
            <w:gridSpan w:val="3"/>
            <w:tcBorders>
              <w:top w:val="single" w:color="000000" w:sz="12" w:space="0"/>
              <w:left w:val="single" w:color="000000" w:sz="4" w:space="0"/>
              <w:bottom w:val="single" w:color="000000" w:sz="4" w:space="0"/>
              <w:right w:val="single" w:color="000000" w:sz="4" w:space="0"/>
            </w:tcBorders>
            <w:noWrap w:val="0"/>
            <w:vAlign w:val="center"/>
          </w:tcPr>
          <w:p w14:paraId="0B7BB8B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sz w:val="21"/>
                <w:szCs w:val="21"/>
                <w:highlight w:val="none"/>
              </w:rPr>
              <w:t>202</w:t>
            </w:r>
            <w:r>
              <w:rPr>
                <w:rFonts w:hint="eastAsia" w:ascii="Times New Roman" w:hAnsi="Times New Roman" w:eastAsia="宋体" w:cs="Times New Roman"/>
                <w:sz w:val="21"/>
                <w:szCs w:val="21"/>
                <w:highlight w:val="none"/>
              </w:rPr>
              <w:t>5.09.19</w:t>
            </w:r>
          </w:p>
        </w:tc>
        <w:tc>
          <w:tcPr>
            <w:tcW w:w="992" w:type="dxa"/>
            <w:vMerge w:val="restart"/>
            <w:tcBorders>
              <w:top w:val="single" w:color="000000" w:sz="12" w:space="0"/>
              <w:left w:val="single" w:color="000000" w:sz="4" w:space="0"/>
              <w:bottom w:val="single" w:color="000000" w:sz="4" w:space="0"/>
            </w:tcBorders>
            <w:noWrap w:val="0"/>
            <w:vAlign w:val="center"/>
          </w:tcPr>
          <w:p w14:paraId="05F21E0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标准</w:t>
            </w:r>
          </w:p>
          <w:p w14:paraId="02A5607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限值</w:t>
            </w:r>
          </w:p>
        </w:tc>
      </w:tr>
      <w:tr w14:paraId="23E5441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49" w:type="dxa"/>
            <w:vMerge w:val="continue"/>
            <w:tcBorders>
              <w:top w:val="single" w:color="000000" w:sz="4" w:space="0"/>
              <w:right w:val="single" w:color="000000" w:sz="4" w:space="0"/>
            </w:tcBorders>
            <w:noWrap w:val="0"/>
            <w:vAlign w:val="center"/>
          </w:tcPr>
          <w:p w14:paraId="2EB128C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p>
        </w:tc>
        <w:tc>
          <w:tcPr>
            <w:tcW w:w="1276" w:type="dxa"/>
            <w:tcBorders>
              <w:top w:val="single" w:color="000000" w:sz="4" w:space="0"/>
              <w:left w:val="single" w:color="000000" w:sz="4" w:space="0"/>
              <w:bottom w:val="single" w:color="000000" w:sz="4" w:space="0"/>
              <w:right w:val="single" w:color="000000" w:sz="4" w:space="0"/>
            </w:tcBorders>
            <w:noWrap w:val="0"/>
            <w:vAlign w:val="center"/>
          </w:tcPr>
          <w:p w14:paraId="7AE97280">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bCs/>
                <w:color w:val="000000"/>
                <w:sz w:val="21"/>
                <w:szCs w:val="21"/>
                <w:highlight w:val="none"/>
              </w:rPr>
              <w:t>采样点位</w:t>
            </w:r>
          </w:p>
        </w:tc>
        <w:tc>
          <w:tcPr>
            <w:tcW w:w="5103" w:type="dxa"/>
            <w:gridSpan w:val="3"/>
            <w:tcBorders>
              <w:top w:val="single" w:color="000000" w:sz="4" w:space="0"/>
              <w:left w:val="single" w:color="000000" w:sz="4" w:space="0"/>
              <w:bottom w:val="single" w:color="000000" w:sz="4" w:space="0"/>
              <w:right w:val="single" w:color="000000" w:sz="4" w:space="0"/>
            </w:tcBorders>
            <w:noWrap w:val="0"/>
            <w:vAlign w:val="center"/>
          </w:tcPr>
          <w:p w14:paraId="7E1338E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Perpetua" w:eastAsia="宋体" w:cs="Times New Roman"/>
                <w:sz w:val="21"/>
                <w:szCs w:val="21"/>
                <w:highlight w:val="none"/>
              </w:rPr>
              <w:t>占地范围内</w:t>
            </w:r>
            <w:r>
              <w:rPr>
                <w:rFonts w:hint="default" w:ascii="宋体" w:hAnsi="宋体" w:eastAsia="宋体" w:cs="Times New Roman"/>
                <w:color w:val="000000"/>
                <w:sz w:val="21"/>
                <w:szCs w:val="21"/>
                <w:highlight w:val="none"/>
              </w:rPr>
              <w:t>■</w:t>
            </w:r>
            <w:r>
              <w:rPr>
                <w:rFonts w:hint="default" w:ascii="Times New Roman" w:hAnsi="Times New Roman" w:eastAsia="宋体" w:cs="Times New Roman"/>
                <w:color w:val="000000"/>
                <w:sz w:val="21"/>
                <w:szCs w:val="21"/>
                <w:highlight w:val="none"/>
              </w:rPr>
              <w:t>5</w:t>
            </w:r>
          </w:p>
        </w:tc>
        <w:tc>
          <w:tcPr>
            <w:tcW w:w="992" w:type="dxa"/>
            <w:vMerge w:val="continue"/>
            <w:tcBorders>
              <w:top w:val="single" w:color="000000" w:sz="4" w:space="0"/>
              <w:left w:val="single" w:color="000000" w:sz="4" w:space="0"/>
            </w:tcBorders>
            <w:noWrap w:val="0"/>
            <w:vAlign w:val="center"/>
          </w:tcPr>
          <w:p w14:paraId="730B605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p>
        </w:tc>
      </w:tr>
      <w:tr w14:paraId="3813F82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49" w:type="dxa"/>
            <w:vMerge w:val="continue"/>
            <w:tcBorders>
              <w:right w:val="single" w:color="000000" w:sz="4" w:space="0"/>
            </w:tcBorders>
            <w:noWrap w:val="0"/>
            <w:vAlign w:val="center"/>
          </w:tcPr>
          <w:p w14:paraId="3E67332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p>
        </w:tc>
        <w:tc>
          <w:tcPr>
            <w:tcW w:w="1276" w:type="dxa"/>
            <w:tcBorders>
              <w:top w:val="single" w:color="000000" w:sz="4" w:space="0"/>
              <w:left w:val="single" w:color="000000" w:sz="4" w:space="0"/>
              <w:bottom w:val="single" w:color="000000" w:sz="4" w:space="0"/>
              <w:right w:val="single" w:color="000000" w:sz="4" w:space="0"/>
            </w:tcBorders>
            <w:noWrap w:val="0"/>
            <w:vAlign w:val="center"/>
          </w:tcPr>
          <w:p w14:paraId="32BA8004">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eastAsia" w:ascii="Times New Roman" w:hAnsi="宋体" w:eastAsia="宋体" w:cs="Times New Roman"/>
                <w:b/>
                <w:bCs/>
                <w:sz w:val="21"/>
                <w:szCs w:val="21"/>
                <w:highlight w:val="none"/>
              </w:rPr>
            </w:pPr>
            <w:r>
              <w:rPr>
                <w:rFonts w:hint="eastAsia" w:ascii="Times New Roman" w:hAnsi="Times New Roman" w:eastAsia="宋体" w:cs="Times New Roman"/>
                <w:b/>
                <w:bCs/>
                <w:color w:val="000000"/>
                <w:sz w:val="21"/>
                <w:szCs w:val="21"/>
                <w:highlight w:val="none"/>
              </w:rPr>
              <w:t>检测点类型</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26BF5F5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sz w:val="21"/>
                <w:szCs w:val="21"/>
                <w:highlight w:val="none"/>
              </w:rPr>
              <w:t>柱状样</w:t>
            </w:r>
            <w:r>
              <w:rPr>
                <w:rFonts w:hint="default" w:ascii="Times New Roman" w:hAnsi="Times New Roman" w:eastAsia="宋体" w:cs="Times New Roman"/>
                <w:sz w:val="21"/>
                <w:szCs w:val="21"/>
                <w:highlight w:val="none"/>
              </w:rPr>
              <w:t>0.5m</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0971700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sz w:val="21"/>
                <w:szCs w:val="21"/>
                <w:highlight w:val="none"/>
              </w:rPr>
              <w:t>柱状样</w:t>
            </w:r>
            <w:r>
              <w:rPr>
                <w:rFonts w:hint="default" w:ascii="Times New Roman" w:hAnsi="Times New Roman" w:eastAsia="宋体" w:cs="Times New Roman"/>
                <w:sz w:val="21"/>
                <w:szCs w:val="21"/>
                <w:highlight w:val="none"/>
              </w:rPr>
              <w:t>1.0m</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7C42AA6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sz w:val="21"/>
                <w:szCs w:val="21"/>
                <w:highlight w:val="none"/>
              </w:rPr>
              <w:t>柱状样</w:t>
            </w:r>
            <w:r>
              <w:rPr>
                <w:rFonts w:hint="default" w:ascii="Times New Roman" w:hAnsi="Times New Roman" w:eastAsia="宋体" w:cs="Times New Roman"/>
                <w:sz w:val="21"/>
                <w:szCs w:val="21"/>
                <w:highlight w:val="none"/>
              </w:rPr>
              <w:t>2.0m</w:t>
            </w:r>
          </w:p>
        </w:tc>
        <w:tc>
          <w:tcPr>
            <w:tcW w:w="992" w:type="dxa"/>
            <w:vMerge w:val="continue"/>
            <w:tcBorders>
              <w:left w:val="single" w:color="000000" w:sz="4" w:space="0"/>
            </w:tcBorders>
            <w:noWrap w:val="0"/>
            <w:vAlign w:val="center"/>
          </w:tcPr>
          <w:p w14:paraId="12E4E46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p>
        </w:tc>
      </w:tr>
      <w:tr w14:paraId="71A552F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49" w:type="dxa"/>
            <w:vMerge w:val="continue"/>
            <w:tcBorders>
              <w:right w:val="single" w:color="000000" w:sz="4" w:space="0"/>
            </w:tcBorders>
            <w:noWrap w:val="0"/>
            <w:vAlign w:val="center"/>
          </w:tcPr>
          <w:p w14:paraId="050F40C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p>
        </w:tc>
        <w:tc>
          <w:tcPr>
            <w:tcW w:w="1276" w:type="dxa"/>
            <w:tcBorders>
              <w:top w:val="single" w:color="000000" w:sz="4" w:space="0"/>
              <w:left w:val="single" w:color="000000" w:sz="4" w:space="0"/>
              <w:bottom w:val="single" w:color="000000" w:sz="4" w:space="0"/>
              <w:right w:val="single" w:color="000000" w:sz="4" w:space="0"/>
            </w:tcBorders>
            <w:noWrap w:val="0"/>
            <w:vAlign w:val="center"/>
          </w:tcPr>
          <w:p w14:paraId="45695864">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eastAsia" w:ascii="Times New Roman" w:hAnsi="宋体" w:eastAsia="宋体" w:cs="Times New Roman"/>
                <w:b/>
                <w:bCs/>
                <w:sz w:val="21"/>
                <w:szCs w:val="21"/>
                <w:highlight w:val="none"/>
              </w:rPr>
              <w:t>样品性状</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31D6EB7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棕色、壤土</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018CD33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棕色、壤土</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50D79A3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棕色、壤土</w:t>
            </w:r>
          </w:p>
        </w:tc>
        <w:tc>
          <w:tcPr>
            <w:tcW w:w="992" w:type="dxa"/>
            <w:vMerge w:val="continue"/>
            <w:tcBorders>
              <w:left w:val="single" w:color="000000" w:sz="4" w:space="0"/>
            </w:tcBorders>
            <w:noWrap w:val="0"/>
            <w:vAlign w:val="center"/>
          </w:tcPr>
          <w:p w14:paraId="29369CD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p>
        </w:tc>
      </w:tr>
      <w:tr w14:paraId="453F93C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49" w:type="dxa"/>
            <w:vMerge w:val="continue"/>
            <w:tcBorders>
              <w:bottom w:val="single" w:color="000000" w:sz="4" w:space="0"/>
              <w:right w:val="single" w:color="000000" w:sz="4" w:space="0"/>
            </w:tcBorders>
            <w:noWrap w:val="0"/>
            <w:vAlign w:val="center"/>
          </w:tcPr>
          <w:p w14:paraId="342D85D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p>
        </w:tc>
        <w:tc>
          <w:tcPr>
            <w:tcW w:w="1276" w:type="dxa"/>
            <w:tcBorders>
              <w:top w:val="single" w:color="000000" w:sz="4" w:space="0"/>
              <w:left w:val="single" w:color="000000" w:sz="4" w:space="0"/>
              <w:bottom w:val="single" w:color="000000" w:sz="4" w:space="0"/>
              <w:right w:val="single" w:color="000000" w:sz="4" w:space="0"/>
            </w:tcBorders>
            <w:noWrap w:val="0"/>
            <w:vAlign w:val="center"/>
          </w:tcPr>
          <w:p w14:paraId="565F72E5">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bCs/>
                <w:color w:val="000000"/>
                <w:sz w:val="21"/>
                <w:szCs w:val="21"/>
                <w:highlight w:val="none"/>
              </w:rPr>
              <w:t>样品编号</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5867E5C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G250919010501</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66092EB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G250919010502</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76FE648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G250919010503</w:t>
            </w:r>
          </w:p>
        </w:tc>
        <w:tc>
          <w:tcPr>
            <w:tcW w:w="992" w:type="dxa"/>
            <w:vMerge w:val="continue"/>
            <w:tcBorders>
              <w:left w:val="single" w:color="000000" w:sz="4" w:space="0"/>
              <w:bottom w:val="single" w:color="000000" w:sz="4" w:space="0"/>
            </w:tcBorders>
            <w:noWrap w:val="0"/>
            <w:vAlign w:val="center"/>
          </w:tcPr>
          <w:p w14:paraId="4D44939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p>
        </w:tc>
      </w:tr>
      <w:tr w14:paraId="2B22F88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1749" w:type="dxa"/>
            <w:tcBorders>
              <w:top w:val="single" w:color="000000" w:sz="4" w:space="0"/>
              <w:bottom w:val="single" w:color="000000" w:sz="4" w:space="0"/>
              <w:right w:val="single" w:color="000000" w:sz="4" w:space="0"/>
            </w:tcBorders>
            <w:noWrap w:val="0"/>
            <w:vAlign w:val="center"/>
          </w:tcPr>
          <w:p w14:paraId="2D9BB50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eastAsia" w:ascii="Times New Roman" w:hAnsi="Times New Roman" w:eastAsia="宋体" w:cs="Times New Roman"/>
                <w:b/>
                <w:sz w:val="21"/>
                <w:szCs w:val="21"/>
                <w:highlight w:val="none"/>
              </w:rPr>
              <w:t>pH</w:t>
            </w:r>
          </w:p>
        </w:tc>
        <w:tc>
          <w:tcPr>
            <w:tcW w:w="1276" w:type="dxa"/>
            <w:tcBorders>
              <w:top w:val="single" w:color="000000" w:sz="4" w:space="0"/>
              <w:left w:val="single" w:color="000000" w:sz="4" w:space="0"/>
              <w:bottom w:val="single" w:color="000000" w:sz="4" w:space="0"/>
              <w:right w:val="single" w:color="000000" w:sz="4" w:space="0"/>
            </w:tcBorders>
            <w:noWrap w:val="0"/>
            <w:vAlign w:val="center"/>
          </w:tcPr>
          <w:p w14:paraId="15E96DD9">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eastAsia" w:ascii="Times New Roman" w:hAnsi="Times New Roman" w:eastAsia="宋体" w:cs="Times New Roman"/>
                <w:b/>
                <w:spacing w:val="-4"/>
                <w:sz w:val="21"/>
                <w:szCs w:val="21"/>
                <w:highlight w:val="none"/>
              </w:rPr>
            </w:pPr>
            <w:r>
              <w:rPr>
                <w:rFonts w:hint="eastAsia" w:ascii="Times New Roman" w:hAnsi="Times New Roman" w:eastAsia="宋体" w:cs="Times New Roman"/>
                <w:b/>
                <w:spacing w:val="-4"/>
                <w:sz w:val="21"/>
                <w:szCs w:val="21"/>
                <w:highlight w:val="none"/>
              </w:rPr>
              <w:t>无量纲</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154E241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7.71</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2030D9D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7.40</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74420A5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7.32</w:t>
            </w:r>
          </w:p>
        </w:tc>
        <w:tc>
          <w:tcPr>
            <w:tcW w:w="992" w:type="dxa"/>
            <w:tcBorders>
              <w:top w:val="single" w:color="000000" w:sz="4" w:space="0"/>
              <w:left w:val="single" w:color="000000" w:sz="4" w:space="0"/>
              <w:bottom w:val="single" w:color="000000" w:sz="4" w:space="0"/>
            </w:tcBorders>
            <w:noWrap w:val="0"/>
            <w:vAlign w:val="center"/>
          </w:tcPr>
          <w:p w14:paraId="7C9FA53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w:t>
            </w:r>
          </w:p>
        </w:tc>
      </w:tr>
      <w:tr w14:paraId="1AC44A4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1749" w:type="dxa"/>
            <w:tcBorders>
              <w:top w:val="single" w:color="000000" w:sz="4" w:space="0"/>
              <w:bottom w:val="single" w:color="000000" w:sz="4" w:space="0"/>
              <w:right w:val="single" w:color="000000" w:sz="4" w:space="0"/>
            </w:tcBorders>
            <w:noWrap w:val="0"/>
            <w:vAlign w:val="center"/>
          </w:tcPr>
          <w:p w14:paraId="451801F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kern w:val="0"/>
                <w:sz w:val="21"/>
                <w:szCs w:val="21"/>
                <w:highlight w:val="none"/>
              </w:rPr>
            </w:pPr>
            <w:r>
              <w:rPr>
                <w:rFonts w:hint="default" w:ascii="Times New Roman" w:hAnsi="Times New Roman" w:eastAsia="宋体" w:cs="Times New Roman"/>
                <w:b/>
                <w:sz w:val="21"/>
                <w:szCs w:val="21"/>
                <w:highlight w:val="none"/>
              </w:rPr>
              <w:t>石油烃（C</w:t>
            </w:r>
            <w:r>
              <w:rPr>
                <w:rFonts w:hint="default" w:ascii="Times New Roman" w:hAnsi="Times New Roman" w:eastAsia="宋体" w:cs="Times New Roman"/>
                <w:b/>
                <w:sz w:val="21"/>
                <w:szCs w:val="21"/>
                <w:highlight w:val="none"/>
                <w:vertAlign w:val="subscript"/>
              </w:rPr>
              <w:t>10</w:t>
            </w:r>
            <w:r>
              <w:rPr>
                <w:rFonts w:hint="default" w:ascii="Times New Roman" w:hAnsi="Times New Roman" w:eastAsia="宋体" w:cs="Times New Roman"/>
                <w:b/>
                <w:sz w:val="21"/>
                <w:szCs w:val="21"/>
                <w:highlight w:val="none"/>
              </w:rPr>
              <w:t>-C</w:t>
            </w:r>
            <w:r>
              <w:rPr>
                <w:rFonts w:hint="default" w:ascii="Times New Roman" w:hAnsi="Times New Roman" w:eastAsia="宋体" w:cs="Times New Roman"/>
                <w:b/>
                <w:sz w:val="21"/>
                <w:szCs w:val="21"/>
                <w:highlight w:val="none"/>
                <w:vertAlign w:val="subscript"/>
              </w:rPr>
              <w:t>40</w:t>
            </w:r>
            <w:r>
              <w:rPr>
                <w:rFonts w:hint="default" w:ascii="Times New Roman" w:hAnsi="Times New Roman" w:eastAsia="宋体" w:cs="Times New Roman"/>
                <w:b/>
                <w:sz w:val="21"/>
                <w:szCs w:val="21"/>
                <w:highlight w:val="none"/>
              </w:rPr>
              <w:t>）</w:t>
            </w:r>
          </w:p>
        </w:tc>
        <w:tc>
          <w:tcPr>
            <w:tcW w:w="1276" w:type="dxa"/>
            <w:tcBorders>
              <w:top w:val="single" w:color="000000" w:sz="4" w:space="0"/>
              <w:left w:val="single" w:color="000000" w:sz="4" w:space="0"/>
              <w:bottom w:val="single" w:color="000000" w:sz="4" w:space="0"/>
              <w:right w:val="single" w:color="000000" w:sz="4" w:space="0"/>
            </w:tcBorders>
            <w:noWrap w:val="0"/>
            <w:vAlign w:val="center"/>
          </w:tcPr>
          <w:p w14:paraId="5FF2392F">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eastAsia" w:ascii="Times New Roman" w:hAnsi="Times New Roman" w:eastAsia="宋体" w:cs="Times New Roman"/>
                <w:b/>
                <w:spacing w:val="-4"/>
                <w:sz w:val="21"/>
                <w:szCs w:val="21"/>
                <w:highlight w:val="none"/>
              </w:rPr>
              <w:t>m</w:t>
            </w:r>
            <w:r>
              <w:rPr>
                <w:rFonts w:hint="default" w:ascii="Times New Roman" w:hAnsi="Times New Roman" w:eastAsia="宋体" w:cs="Times New Roman"/>
                <w:b/>
                <w:spacing w:val="-4"/>
                <w:sz w:val="21"/>
                <w:szCs w:val="21"/>
                <w:highlight w:val="none"/>
              </w:rPr>
              <w:t>g/kg</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5BAF19E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30</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06963B7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6L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3EF12DD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6L</w:t>
            </w:r>
          </w:p>
        </w:tc>
        <w:tc>
          <w:tcPr>
            <w:tcW w:w="992" w:type="dxa"/>
            <w:tcBorders>
              <w:top w:val="single" w:color="000000" w:sz="4" w:space="0"/>
              <w:left w:val="single" w:color="000000" w:sz="4" w:space="0"/>
              <w:bottom w:val="single" w:color="000000" w:sz="4" w:space="0"/>
            </w:tcBorders>
            <w:noWrap w:val="0"/>
            <w:vAlign w:val="center"/>
          </w:tcPr>
          <w:p w14:paraId="6C513E6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4500</w:t>
            </w:r>
          </w:p>
        </w:tc>
      </w:tr>
      <w:tr w14:paraId="3D7B7FF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1749" w:type="dxa"/>
            <w:tcBorders>
              <w:top w:val="single" w:color="000000" w:sz="4" w:space="0"/>
              <w:bottom w:val="single" w:color="000000" w:sz="4" w:space="0"/>
              <w:right w:val="single" w:color="000000" w:sz="4" w:space="0"/>
            </w:tcBorders>
            <w:noWrap w:val="0"/>
            <w:vAlign w:val="center"/>
          </w:tcPr>
          <w:p w14:paraId="0F78809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Calibri" w:hAnsi="Calibri" w:eastAsia="宋体" w:cs="Calibri"/>
                <w:b/>
                <w:kern w:val="0"/>
                <w:sz w:val="21"/>
                <w:szCs w:val="21"/>
                <w:highlight w:val="none"/>
              </w:rPr>
            </w:pPr>
            <w:r>
              <w:rPr>
                <w:rFonts w:hint="eastAsia" w:ascii="Calibri" w:hAnsi="Calibri" w:eastAsia="宋体" w:cs="Calibri"/>
                <w:b/>
                <w:kern w:val="0"/>
                <w:sz w:val="21"/>
                <w:szCs w:val="21"/>
                <w:highlight w:val="none"/>
              </w:rPr>
              <w:t>阳离子交换量</w:t>
            </w:r>
          </w:p>
        </w:tc>
        <w:tc>
          <w:tcPr>
            <w:tcW w:w="1276" w:type="dxa"/>
            <w:tcBorders>
              <w:top w:val="single" w:color="000000" w:sz="4" w:space="0"/>
              <w:left w:val="single" w:color="000000" w:sz="4" w:space="0"/>
              <w:bottom w:val="single" w:color="000000" w:sz="4" w:space="0"/>
              <w:right w:val="single" w:color="000000" w:sz="4" w:space="0"/>
            </w:tcBorders>
            <w:noWrap w:val="0"/>
            <w:vAlign w:val="center"/>
          </w:tcPr>
          <w:p w14:paraId="5D6D36C1">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pacing w:val="-4"/>
                <w:sz w:val="21"/>
                <w:szCs w:val="21"/>
                <w:highlight w:val="none"/>
              </w:rPr>
            </w:pPr>
            <w:r>
              <w:rPr>
                <w:rFonts w:hint="default" w:ascii="Times New Roman" w:hAnsi="Times New Roman" w:eastAsia="宋体" w:cs="Times New Roman"/>
                <w:b/>
                <w:spacing w:val="-4"/>
                <w:sz w:val="21"/>
                <w:szCs w:val="21"/>
                <w:highlight w:val="none"/>
              </w:rPr>
              <w:t>cmol+ /kg</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4FE9623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5.2</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7F624EF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6.0</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5DEDFD6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6.8</w:t>
            </w:r>
          </w:p>
        </w:tc>
        <w:tc>
          <w:tcPr>
            <w:tcW w:w="992" w:type="dxa"/>
            <w:tcBorders>
              <w:top w:val="single" w:color="000000" w:sz="4" w:space="0"/>
              <w:left w:val="single" w:color="000000" w:sz="4" w:space="0"/>
              <w:bottom w:val="single" w:color="000000" w:sz="4" w:space="0"/>
            </w:tcBorders>
            <w:noWrap w:val="0"/>
            <w:vAlign w:val="center"/>
          </w:tcPr>
          <w:p w14:paraId="48D8D4E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w:t>
            </w:r>
          </w:p>
        </w:tc>
      </w:tr>
      <w:tr w14:paraId="6AC869A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1749" w:type="dxa"/>
            <w:tcBorders>
              <w:top w:val="single" w:color="000000" w:sz="4" w:space="0"/>
              <w:bottom w:val="single" w:color="000000" w:sz="4" w:space="0"/>
              <w:right w:val="single" w:color="000000" w:sz="4" w:space="0"/>
            </w:tcBorders>
            <w:noWrap w:val="0"/>
            <w:vAlign w:val="center"/>
          </w:tcPr>
          <w:p w14:paraId="03FAE0A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Calibri" w:hAnsi="Calibri" w:eastAsia="宋体" w:cs="Calibri"/>
                <w:b/>
                <w:kern w:val="0"/>
                <w:sz w:val="21"/>
                <w:szCs w:val="21"/>
                <w:highlight w:val="none"/>
              </w:rPr>
            </w:pPr>
            <w:r>
              <w:rPr>
                <w:rFonts w:hint="eastAsia" w:ascii="Calibri" w:hAnsi="Calibri" w:eastAsia="宋体" w:cs="Calibri"/>
                <w:b/>
                <w:kern w:val="0"/>
                <w:sz w:val="21"/>
                <w:szCs w:val="21"/>
                <w:highlight w:val="none"/>
              </w:rPr>
              <w:t>氧化还原电位</w:t>
            </w:r>
          </w:p>
        </w:tc>
        <w:tc>
          <w:tcPr>
            <w:tcW w:w="1276" w:type="dxa"/>
            <w:tcBorders>
              <w:top w:val="single" w:color="000000" w:sz="4" w:space="0"/>
              <w:left w:val="single" w:color="000000" w:sz="4" w:space="0"/>
              <w:bottom w:val="single" w:color="000000" w:sz="4" w:space="0"/>
              <w:right w:val="single" w:color="000000" w:sz="4" w:space="0"/>
            </w:tcBorders>
            <w:noWrap w:val="0"/>
            <w:vAlign w:val="center"/>
          </w:tcPr>
          <w:p w14:paraId="187B0985">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pacing w:val="-4"/>
                <w:sz w:val="21"/>
                <w:szCs w:val="21"/>
                <w:highlight w:val="none"/>
              </w:rPr>
            </w:pPr>
            <w:r>
              <w:rPr>
                <w:rFonts w:hint="eastAsia" w:ascii="Times New Roman" w:hAnsi="Times New Roman" w:eastAsia="宋体" w:cs="Times New Roman"/>
                <w:b/>
                <w:spacing w:val="-4"/>
                <w:sz w:val="21"/>
                <w:szCs w:val="21"/>
                <w:highlight w:val="none"/>
              </w:rPr>
              <w:t>mV</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7B875D2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142</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40CC579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177</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5D00939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191</w:t>
            </w:r>
          </w:p>
        </w:tc>
        <w:tc>
          <w:tcPr>
            <w:tcW w:w="992" w:type="dxa"/>
            <w:tcBorders>
              <w:top w:val="single" w:color="000000" w:sz="4" w:space="0"/>
              <w:left w:val="single" w:color="000000" w:sz="4" w:space="0"/>
              <w:bottom w:val="single" w:color="000000" w:sz="4" w:space="0"/>
            </w:tcBorders>
            <w:noWrap w:val="0"/>
            <w:vAlign w:val="center"/>
          </w:tcPr>
          <w:p w14:paraId="73CAFB3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w:t>
            </w:r>
          </w:p>
        </w:tc>
      </w:tr>
      <w:tr w14:paraId="0C26B33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1749" w:type="dxa"/>
            <w:tcBorders>
              <w:top w:val="single" w:color="000000" w:sz="4" w:space="0"/>
              <w:bottom w:val="single" w:color="000000" w:sz="12" w:space="0"/>
              <w:right w:val="single" w:color="000000" w:sz="4" w:space="0"/>
            </w:tcBorders>
            <w:noWrap w:val="0"/>
            <w:vAlign w:val="center"/>
          </w:tcPr>
          <w:p w14:paraId="7DCD730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Calibri" w:hAnsi="Calibri" w:eastAsia="宋体" w:cs="Calibri"/>
                <w:b/>
                <w:kern w:val="0"/>
                <w:sz w:val="21"/>
                <w:szCs w:val="21"/>
                <w:highlight w:val="none"/>
              </w:rPr>
            </w:pPr>
            <w:r>
              <w:rPr>
                <w:rFonts w:hint="eastAsia" w:ascii="Calibri" w:hAnsi="Calibri" w:eastAsia="宋体" w:cs="Calibri"/>
                <w:b/>
                <w:kern w:val="0"/>
                <w:sz w:val="21"/>
                <w:szCs w:val="21"/>
                <w:highlight w:val="none"/>
              </w:rPr>
              <w:t>容重</w:t>
            </w:r>
          </w:p>
        </w:tc>
        <w:tc>
          <w:tcPr>
            <w:tcW w:w="1276" w:type="dxa"/>
            <w:tcBorders>
              <w:top w:val="single" w:color="000000" w:sz="4" w:space="0"/>
              <w:left w:val="single" w:color="000000" w:sz="4" w:space="0"/>
              <w:bottom w:val="single" w:color="000000" w:sz="12" w:space="0"/>
              <w:right w:val="single" w:color="000000" w:sz="4" w:space="0"/>
            </w:tcBorders>
            <w:noWrap w:val="0"/>
            <w:vAlign w:val="center"/>
          </w:tcPr>
          <w:p w14:paraId="105A2731">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eastAsia" w:ascii="Times New Roman" w:hAnsi="Times New Roman" w:eastAsia="宋体" w:cs="Times New Roman"/>
                <w:b/>
                <w:spacing w:val="-4"/>
                <w:sz w:val="21"/>
                <w:szCs w:val="21"/>
                <w:highlight w:val="none"/>
              </w:rPr>
            </w:pPr>
            <w:r>
              <w:rPr>
                <w:rFonts w:hint="eastAsia" w:ascii="Times New Roman" w:hAnsi="Times New Roman" w:eastAsia="宋体" w:cs="Times New Roman"/>
                <w:b/>
                <w:color w:val="000000"/>
                <w:sz w:val="21"/>
                <w:szCs w:val="21"/>
                <w:highlight w:val="none"/>
              </w:rPr>
              <w:t>g</w:t>
            </w:r>
            <w:r>
              <w:rPr>
                <w:rFonts w:hint="default" w:ascii="Times New Roman" w:hAnsi="Times New Roman" w:eastAsia="宋体" w:cs="Times New Roman"/>
                <w:b/>
                <w:color w:val="000000"/>
                <w:sz w:val="21"/>
                <w:szCs w:val="21"/>
                <w:highlight w:val="none"/>
              </w:rPr>
              <w:t>/</w:t>
            </w:r>
            <w:r>
              <w:rPr>
                <w:rFonts w:hint="eastAsia" w:ascii="Times New Roman" w:hAnsi="Times New Roman" w:eastAsia="宋体" w:cs="Times New Roman"/>
                <w:b/>
                <w:color w:val="000000"/>
                <w:sz w:val="21"/>
                <w:szCs w:val="21"/>
                <w:highlight w:val="none"/>
              </w:rPr>
              <w:t>cm</w:t>
            </w:r>
            <w:r>
              <w:rPr>
                <w:rFonts w:hint="eastAsia" w:ascii="Times New Roman" w:hAnsi="Times New Roman" w:eastAsia="宋体" w:cs="Times New Roman"/>
                <w:b/>
                <w:color w:val="000000"/>
                <w:sz w:val="21"/>
                <w:szCs w:val="21"/>
                <w:highlight w:val="none"/>
                <w:vertAlign w:val="superscript"/>
              </w:rPr>
              <w:t>3</w:t>
            </w:r>
          </w:p>
        </w:tc>
        <w:tc>
          <w:tcPr>
            <w:tcW w:w="1701" w:type="dxa"/>
            <w:tcBorders>
              <w:top w:val="single" w:color="000000" w:sz="4" w:space="0"/>
              <w:left w:val="single" w:color="000000" w:sz="4" w:space="0"/>
              <w:bottom w:val="single" w:color="000000" w:sz="12" w:space="0"/>
              <w:right w:val="single" w:color="000000" w:sz="4" w:space="0"/>
            </w:tcBorders>
            <w:noWrap w:val="0"/>
            <w:vAlign w:val="center"/>
          </w:tcPr>
          <w:p w14:paraId="08A6EE9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1.33</w:t>
            </w:r>
          </w:p>
        </w:tc>
        <w:tc>
          <w:tcPr>
            <w:tcW w:w="1701" w:type="dxa"/>
            <w:tcBorders>
              <w:top w:val="single" w:color="000000" w:sz="4" w:space="0"/>
              <w:left w:val="single" w:color="000000" w:sz="4" w:space="0"/>
              <w:bottom w:val="single" w:color="000000" w:sz="12" w:space="0"/>
              <w:right w:val="single" w:color="000000" w:sz="4" w:space="0"/>
            </w:tcBorders>
            <w:noWrap w:val="0"/>
            <w:vAlign w:val="center"/>
          </w:tcPr>
          <w:p w14:paraId="6D3B4CC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1.37</w:t>
            </w:r>
          </w:p>
        </w:tc>
        <w:tc>
          <w:tcPr>
            <w:tcW w:w="1701" w:type="dxa"/>
            <w:tcBorders>
              <w:top w:val="single" w:color="000000" w:sz="4" w:space="0"/>
              <w:left w:val="single" w:color="000000" w:sz="4" w:space="0"/>
              <w:bottom w:val="single" w:color="000000" w:sz="12" w:space="0"/>
              <w:right w:val="single" w:color="000000" w:sz="4" w:space="0"/>
            </w:tcBorders>
            <w:noWrap w:val="0"/>
            <w:vAlign w:val="center"/>
          </w:tcPr>
          <w:p w14:paraId="56EBBC5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1.38</w:t>
            </w:r>
          </w:p>
        </w:tc>
        <w:tc>
          <w:tcPr>
            <w:tcW w:w="992" w:type="dxa"/>
            <w:tcBorders>
              <w:top w:val="single" w:color="000000" w:sz="4" w:space="0"/>
              <w:left w:val="single" w:color="000000" w:sz="4" w:space="0"/>
              <w:bottom w:val="single" w:color="000000" w:sz="12" w:space="0"/>
            </w:tcBorders>
            <w:noWrap w:val="0"/>
            <w:vAlign w:val="center"/>
          </w:tcPr>
          <w:p w14:paraId="021BC1F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w:t>
            </w:r>
          </w:p>
        </w:tc>
      </w:tr>
    </w:tbl>
    <w:p w14:paraId="3F6C7905">
      <w:pPr>
        <w:keepNext w:val="0"/>
        <w:keepLines w:val="0"/>
        <w:pageBreakBefore w:val="0"/>
        <w:widowControl w:val="0"/>
        <w:suppressLineNumbers w:val="0"/>
        <w:kinsoku/>
        <w:overflowPunct/>
        <w:topLinePunct w:val="0"/>
        <w:autoSpaceDE/>
        <w:autoSpaceDN/>
        <w:bidi w:val="0"/>
        <w:adjustRightInd/>
        <w:snapToGrid/>
        <w:spacing w:before="0" w:beforeAutospacing="0" w:afterAutospacing="0" w:line="360" w:lineRule="auto"/>
        <w:ind w:left="0" w:right="0" w:firstLine="0" w:firstLineChars="0"/>
        <w:jc w:val="both"/>
        <w:textAlignment w:val="auto"/>
        <w:outlineLvl w:val="9"/>
        <w:rPr>
          <w:rFonts w:hint="default" w:ascii="Times New Roman" w:hAnsi="Times New Roman" w:eastAsia="宋体" w:cs="Times New Roman"/>
          <w:b/>
          <w:sz w:val="18"/>
          <w:szCs w:val="18"/>
          <w:highlight w:val="none"/>
          <w:lang w:val="en-US" w:eastAsia="zh-CN"/>
        </w:rPr>
      </w:pPr>
      <w:r>
        <w:rPr>
          <w:rFonts w:ascii="Times New Roman" w:hAnsi="Times New Roman" w:eastAsia="宋体" w:cs="Times New Roman"/>
          <w:b/>
          <w:sz w:val="18"/>
          <w:szCs w:val="18"/>
          <w:highlight w:val="none"/>
        </w:rPr>
        <w:t>注：L为低于检出限。</w:t>
      </w:r>
    </w:p>
    <w:tbl>
      <w:tblPr>
        <w:tblStyle w:val="45"/>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632"/>
        <w:gridCol w:w="1195"/>
        <w:gridCol w:w="1587"/>
        <w:gridCol w:w="1587"/>
        <w:gridCol w:w="1587"/>
        <w:gridCol w:w="934"/>
      </w:tblGrid>
      <w:tr w14:paraId="224A7CB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49" w:type="dxa"/>
            <w:vMerge w:val="restart"/>
            <w:tcBorders>
              <w:top w:val="single" w:color="000000" w:sz="12" w:space="0"/>
              <w:bottom w:val="single" w:color="000000" w:sz="4" w:space="0"/>
              <w:right w:val="single" w:color="000000" w:sz="4" w:space="0"/>
            </w:tcBorders>
            <w:noWrap w:val="0"/>
            <w:vAlign w:val="center"/>
          </w:tcPr>
          <w:p w14:paraId="7438DE0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Calibri" w:eastAsia="宋体" w:cs="Times New Roman"/>
                <w:b/>
                <w:sz w:val="21"/>
                <w:szCs w:val="21"/>
                <w:highlight w:val="none"/>
              </w:rPr>
              <w:t>检测项目</w:t>
            </w:r>
          </w:p>
        </w:tc>
        <w:tc>
          <w:tcPr>
            <w:tcW w:w="1276" w:type="dxa"/>
            <w:tcBorders>
              <w:top w:val="single" w:color="000000" w:sz="12" w:space="0"/>
              <w:left w:val="single" w:color="000000" w:sz="4" w:space="0"/>
              <w:bottom w:val="single" w:color="000000" w:sz="4" w:space="0"/>
              <w:right w:val="single" w:color="000000" w:sz="4" w:space="0"/>
            </w:tcBorders>
            <w:noWrap w:val="0"/>
            <w:vAlign w:val="center"/>
          </w:tcPr>
          <w:p w14:paraId="5955E04F">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eastAsia" w:ascii="Times New Roman" w:hAnsi="Times New Roman" w:eastAsia="宋体" w:cs="Times New Roman"/>
                <w:b/>
                <w:bCs/>
                <w:color w:val="000000"/>
                <w:sz w:val="21"/>
                <w:szCs w:val="21"/>
                <w:highlight w:val="none"/>
              </w:rPr>
              <w:t>采样时间</w:t>
            </w:r>
          </w:p>
        </w:tc>
        <w:tc>
          <w:tcPr>
            <w:tcW w:w="5103" w:type="dxa"/>
            <w:gridSpan w:val="3"/>
            <w:tcBorders>
              <w:top w:val="single" w:color="000000" w:sz="12" w:space="0"/>
              <w:left w:val="single" w:color="000000" w:sz="4" w:space="0"/>
              <w:bottom w:val="single" w:color="000000" w:sz="4" w:space="0"/>
              <w:right w:val="single" w:color="000000" w:sz="4" w:space="0"/>
            </w:tcBorders>
            <w:noWrap w:val="0"/>
            <w:vAlign w:val="center"/>
          </w:tcPr>
          <w:p w14:paraId="3F48C69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sz w:val="21"/>
                <w:szCs w:val="21"/>
                <w:highlight w:val="none"/>
              </w:rPr>
              <w:t>202</w:t>
            </w:r>
            <w:r>
              <w:rPr>
                <w:rFonts w:hint="eastAsia" w:ascii="Times New Roman" w:hAnsi="Times New Roman" w:eastAsia="宋体" w:cs="Times New Roman"/>
                <w:sz w:val="21"/>
                <w:szCs w:val="21"/>
                <w:highlight w:val="none"/>
              </w:rPr>
              <w:t>5.09.19</w:t>
            </w:r>
          </w:p>
        </w:tc>
        <w:tc>
          <w:tcPr>
            <w:tcW w:w="992" w:type="dxa"/>
            <w:vMerge w:val="restart"/>
            <w:tcBorders>
              <w:top w:val="single" w:color="000000" w:sz="12" w:space="0"/>
              <w:left w:val="single" w:color="000000" w:sz="4" w:space="0"/>
              <w:bottom w:val="single" w:color="000000" w:sz="4" w:space="0"/>
            </w:tcBorders>
            <w:noWrap w:val="0"/>
            <w:vAlign w:val="center"/>
          </w:tcPr>
          <w:p w14:paraId="72A7942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标准</w:t>
            </w:r>
          </w:p>
          <w:p w14:paraId="1984735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限值</w:t>
            </w:r>
          </w:p>
        </w:tc>
      </w:tr>
      <w:tr w14:paraId="5C756C3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49" w:type="dxa"/>
            <w:vMerge w:val="continue"/>
            <w:tcBorders>
              <w:top w:val="single" w:color="000000" w:sz="4" w:space="0"/>
              <w:right w:val="single" w:color="000000" w:sz="4" w:space="0"/>
            </w:tcBorders>
            <w:noWrap w:val="0"/>
            <w:vAlign w:val="center"/>
          </w:tcPr>
          <w:p w14:paraId="24106EC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p>
        </w:tc>
        <w:tc>
          <w:tcPr>
            <w:tcW w:w="1276" w:type="dxa"/>
            <w:tcBorders>
              <w:top w:val="single" w:color="000000" w:sz="4" w:space="0"/>
              <w:left w:val="single" w:color="000000" w:sz="4" w:space="0"/>
              <w:bottom w:val="single" w:color="000000" w:sz="4" w:space="0"/>
              <w:right w:val="single" w:color="000000" w:sz="4" w:space="0"/>
            </w:tcBorders>
            <w:noWrap w:val="0"/>
            <w:vAlign w:val="center"/>
          </w:tcPr>
          <w:p w14:paraId="2BF52D01">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bCs/>
                <w:color w:val="000000"/>
                <w:sz w:val="21"/>
                <w:szCs w:val="21"/>
                <w:highlight w:val="none"/>
              </w:rPr>
              <w:t>采样点位</w:t>
            </w:r>
          </w:p>
        </w:tc>
        <w:tc>
          <w:tcPr>
            <w:tcW w:w="5103" w:type="dxa"/>
            <w:gridSpan w:val="3"/>
            <w:tcBorders>
              <w:top w:val="single" w:color="000000" w:sz="4" w:space="0"/>
              <w:left w:val="single" w:color="000000" w:sz="4" w:space="0"/>
              <w:bottom w:val="single" w:color="000000" w:sz="4" w:space="0"/>
              <w:right w:val="single" w:color="000000" w:sz="4" w:space="0"/>
            </w:tcBorders>
            <w:noWrap w:val="0"/>
            <w:vAlign w:val="center"/>
          </w:tcPr>
          <w:p w14:paraId="02F2335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Perpetua" w:eastAsia="宋体" w:cs="Times New Roman"/>
                <w:sz w:val="21"/>
                <w:szCs w:val="21"/>
                <w:highlight w:val="none"/>
              </w:rPr>
              <w:t>占地范围内</w:t>
            </w:r>
            <w:r>
              <w:rPr>
                <w:rFonts w:hint="default" w:ascii="宋体" w:hAnsi="宋体" w:eastAsia="宋体" w:cs="Times New Roman"/>
                <w:color w:val="000000"/>
                <w:sz w:val="21"/>
                <w:szCs w:val="21"/>
                <w:highlight w:val="none"/>
              </w:rPr>
              <w:t>■</w:t>
            </w:r>
            <w:r>
              <w:rPr>
                <w:rFonts w:hint="eastAsia" w:ascii="Times New Roman" w:hAnsi="Times New Roman" w:eastAsia="宋体" w:cs="Times New Roman"/>
                <w:color w:val="000000"/>
                <w:sz w:val="21"/>
                <w:szCs w:val="21"/>
                <w:highlight w:val="none"/>
              </w:rPr>
              <w:t>8</w:t>
            </w:r>
          </w:p>
        </w:tc>
        <w:tc>
          <w:tcPr>
            <w:tcW w:w="992" w:type="dxa"/>
            <w:vMerge w:val="continue"/>
            <w:tcBorders>
              <w:top w:val="single" w:color="000000" w:sz="4" w:space="0"/>
              <w:left w:val="single" w:color="000000" w:sz="4" w:space="0"/>
            </w:tcBorders>
            <w:noWrap w:val="0"/>
            <w:vAlign w:val="center"/>
          </w:tcPr>
          <w:p w14:paraId="2885AC5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p>
        </w:tc>
      </w:tr>
      <w:tr w14:paraId="051FB3A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49" w:type="dxa"/>
            <w:vMerge w:val="continue"/>
            <w:tcBorders>
              <w:right w:val="single" w:color="000000" w:sz="4" w:space="0"/>
            </w:tcBorders>
            <w:noWrap w:val="0"/>
            <w:vAlign w:val="center"/>
          </w:tcPr>
          <w:p w14:paraId="24F6795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bookmarkStart w:id="370" w:name="_Hlk211414792"/>
            <w:bookmarkStart w:id="371" w:name="OLE_LINK99" w:colFirst="2" w:colLast="68"/>
            <w:bookmarkStart w:id="372" w:name="OLE_LINK100" w:colFirst="2" w:colLast="68"/>
          </w:p>
        </w:tc>
        <w:tc>
          <w:tcPr>
            <w:tcW w:w="1276" w:type="dxa"/>
            <w:tcBorders>
              <w:top w:val="single" w:color="000000" w:sz="4" w:space="0"/>
              <w:left w:val="single" w:color="000000" w:sz="4" w:space="0"/>
              <w:bottom w:val="single" w:color="000000" w:sz="4" w:space="0"/>
              <w:right w:val="single" w:color="000000" w:sz="4" w:space="0"/>
            </w:tcBorders>
            <w:noWrap w:val="0"/>
            <w:vAlign w:val="center"/>
          </w:tcPr>
          <w:p w14:paraId="1F74BB7E">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eastAsia" w:ascii="Times New Roman" w:hAnsi="宋体" w:eastAsia="宋体" w:cs="Times New Roman"/>
                <w:b/>
                <w:bCs/>
                <w:sz w:val="21"/>
                <w:szCs w:val="21"/>
                <w:highlight w:val="none"/>
              </w:rPr>
            </w:pPr>
            <w:r>
              <w:rPr>
                <w:rFonts w:hint="eastAsia" w:ascii="Times New Roman" w:hAnsi="Times New Roman" w:eastAsia="宋体" w:cs="Times New Roman"/>
                <w:b/>
                <w:bCs/>
                <w:color w:val="000000"/>
                <w:sz w:val="21"/>
                <w:szCs w:val="21"/>
                <w:highlight w:val="none"/>
              </w:rPr>
              <w:t>检测点类型</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36C955C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sz w:val="21"/>
                <w:szCs w:val="21"/>
                <w:highlight w:val="none"/>
              </w:rPr>
              <w:t>柱状样</w:t>
            </w:r>
            <w:r>
              <w:rPr>
                <w:rFonts w:hint="default" w:ascii="Times New Roman" w:hAnsi="Times New Roman" w:eastAsia="宋体" w:cs="Times New Roman"/>
                <w:sz w:val="21"/>
                <w:szCs w:val="21"/>
                <w:highlight w:val="none"/>
              </w:rPr>
              <w:t>0.5m</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1337B55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sz w:val="21"/>
                <w:szCs w:val="21"/>
                <w:highlight w:val="none"/>
              </w:rPr>
              <w:t>柱状样</w:t>
            </w:r>
            <w:r>
              <w:rPr>
                <w:rFonts w:hint="default" w:ascii="Times New Roman" w:hAnsi="Times New Roman" w:eastAsia="宋体" w:cs="Times New Roman"/>
                <w:sz w:val="21"/>
                <w:szCs w:val="21"/>
                <w:highlight w:val="none"/>
              </w:rPr>
              <w:t>1.0m</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1108EAE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sz w:val="21"/>
                <w:szCs w:val="21"/>
                <w:highlight w:val="none"/>
              </w:rPr>
              <w:t>柱状样</w:t>
            </w:r>
            <w:r>
              <w:rPr>
                <w:rFonts w:hint="default" w:ascii="Times New Roman" w:hAnsi="Times New Roman" w:eastAsia="宋体" w:cs="Times New Roman"/>
                <w:sz w:val="21"/>
                <w:szCs w:val="21"/>
                <w:highlight w:val="none"/>
              </w:rPr>
              <w:t>2.0m</w:t>
            </w:r>
          </w:p>
        </w:tc>
        <w:tc>
          <w:tcPr>
            <w:tcW w:w="992" w:type="dxa"/>
            <w:vMerge w:val="continue"/>
            <w:tcBorders>
              <w:left w:val="single" w:color="000000" w:sz="4" w:space="0"/>
            </w:tcBorders>
            <w:noWrap w:val="0"/>
            <w:vAlign w:val="center"/>
          </w:tcPr>
          <w:p w14:paraId="1A7FF10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p>
        </w:tc>
      </w:tr>
      <w:bookmarkEnd w:id="370"/>
      <w:bookmarkEnd w:id="371"/>
      <w:bookmarkEnd w:id="372"/>
      <w:tr w14:paraId="4C86731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49" w:type="dxa"/>
            <w:vMerge w:val="continue"/>
            <w:tcBorders>
              <w:right w:val="single" w:color="000000" w:sz="4" w:space="0"/>
            </w:tcBorders>
            <w:noWrap w:val="0"/>
            <w:vAlign w:val="center"/>
          </w:tcPr>
          <w:p w14:paraId="57D6BDD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p>
        </w:tc>
        <w:tc>
          <w:tcPr>
            <w:tcW w:w="1276" w:type="dxa"/>
            <w:tcBorders>
              <w:top w:val="single" w:color="000000" w:sz="4" w:space="0"/>
              <w:left w:val="single" w:color="000000" w:sz="4" w:space="0"/>
              <w:bottom w:val="single" w:color="000000" w:sz="4" w:space="0"/>
              <w:right w:val="single" w:color="000000" w:sz="4" w:space="0"/>
            </w:tcBorders>
            <w:noWrap w:val="0"/>
            <w:vAlign w:val="center"/>
          </w:tcPr>
          <w:p w14:paraId="19F50B1B">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eastAsia" w:ascii="Times New Roman" w:hAnsi="宋体" w:eastAsia="宋体" w:cs="Times New Roman"/>
                <w:b/>
                <w:bCs/>
                <w:sz w:val="21"/>
                <w:szCs w:val="21"/>
                <w:highlight w:val="none"/>
              </w:rPr>
              <w:t>样品性状</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7EF45B6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黄色、壤土</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4B3604A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黄色、壤土</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3AFD0BC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黄色、壤土</w:t>
            </w:r>
          </w:p>
        </w:tc>
        <w:tc>
          <w:tcPr>
            <w:tcW w:w="992" w:type="dxa"/>
            <w:vMerge w:val="continue"/>
            <w:tcBorders>
              <w:left w:val="single" w:color="000000" w:sz="4" w:space="0"/>
            </w:tcBorders>
            <w:noWrap w:val="0"/>
            <w:vAlign w:val="center"/>
          </w:tcPr>
          <w:p w14:paraId="6490075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p>
        </w:tc>
      </w:tr>
      <w:tr w14:paraId="7887F8F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49" w:type="dxa"/>
            <w:vMerge w:val="continue"/>
            <w:tcBorders>
              <w:bottom w:val="single" w:color="000000" w:sz="4" w:space="0"/>
              <w:right w:val="single" w:color="000000" w:sz="4" w:space="0"/>
            </w:tcBorders>
            <w:noWrap w:val="0"/>
            <w:vAlign w:val="center"/>
          </w:tcPr>
          <w:p w14:paraId="5979C9D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p>
        </w:tc>
        <w:tc>
          <w:tcPr>
            <w:tcW w:w="1276" w:type="dxa"/>
            <w:tcBorders>
              <w:top w:val="single" w:color="000000" w:sz="4" w:space="0"/>
              <w:left w:val="single" w:color="000000" w:sz="4" w:space="0"/>
              <w:bottom w:val="single" w:color="000000" w:sz="4" w:space="0"/>
              <w:right w:val="single" w:color="000000" w:sz="4" w:space="0"/>
            </w:tcBorders>
            <w:noWrap w:val="0"/>
            <w:vAlign w:val="center"/>
          </w:tcPr>
          <w:p w14:paraId="4E0EC0E4">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bCs/>
                <w:color w:val="000000"/>
                <w:sz w:val="21"/>
                <w:szCs w:val="21"/>
                <w:highlight w:val="none"/>
              </w:rPr>
              <w:t>样品编号</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6C4FE5B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G250919010801</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60F1636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G250919010802</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1CF6185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G250919010803</w:t>
            </w:r>
          </w:p>
        </w:tc>
        <w:tc>
          <w:tcPr>
            <w:tcW w:w="992" w:type="dxa"/>
            <w:vMerge w:val="continue"/>
            <w:tcBorders>
              <w:left w:val="single" w:color="000000" w:sz="4" w:space="0"/>
              <w:bottom w:val="single" w:color="000000" w:sz="4" w:space="0"/>
            </w:tcBorders>
            <w:noWrap w:val="0"/>
            <w:vAlign w:val="center"/>
          </w:tcPr>
          <w:p w14:paraId="74758F1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p>
        </w:tc>
      </w:tr>
      <w:tr w14:paraId="4FEC109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1749" w:type="dxa"/>
            <w:tcBorders>
              <w:top w:val="single" w:color="000000" w:sz="4" w:space="0"/>
              <w:bottom w:val="single" w:color="000000" w:sz="4" w:space="0"/>
              <w:right w:val="single" w:color="000000" w:sz="4" w:space="0"/>
            </w:tcBorders>
            <w:noWrap w:val="0"/>
            <w:vAlign w:val="center"/>
          </w:tcPr>
          <w:p w14:paraId="0DD54B6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eastAsia" w:ascii="Times New Roman" w:hAnsi="Times New Roman" w:eastAsia="宋体" w:cs="Times New Roman"/>
                <w:b/>
                <w:sz w:val="21"/>
                <w:szCs w:val="21"/>
                <w:highlight w:val="none"/>
              </w:rPr>
              <w:t>pH</w:t>
            </w:r>
          </w:p>
        </w:tc>
        <w:tc>
          <w:tcPr>
            <w:tcW w:w="1276" w:type="dxa"/>
            <w:tcBorders>
              <w:top w:val="single" w:color="000000" w:sz="4" w:space="0"/>
              <w:left w:val="single" w:color="000000" w:sz="4" w:space="0"/>
              <w:bottom w:val="single" w:color="000000" w:sz="4" w:space="0"/>
              <w:right w:val="single" w:color="000000" w:sz="4" w:space="0"/>
            </w:tcBorders>
            <w:noWrap w:val="0"/>
            <w:vAlign w:val="center"/>
          </w:tcPr>
          <w:p w14:paraId="453ACEAC">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eastAsia" w:ascii="Times New Roman" w:hAnsi="Times New Roman" w:eastAsia="宋体" w:cs="Times New Roman"/>
                <w:b/>
                <w:spacing w:val="-4"/>
                <w:sz w:val="21"/>
                <w:szCs w:val="21"/>
                <w:highlight w:val="none"/>
              </w:rPr>
            </w:pPr>
            <w:r>
              <w:rPr>
                <w:rFonts w:hint="eastAsia" w:ascii="Times New Roman" w:hAnsi="Times New Roman" w:eastAsia="宋体" w:cs="Times New Roman"/>
                <w:b/>
                <w:spacing w:val="-4"/>
                <w:sz w:val="21"/>
                <w:szCs w:val="21"/>
                <w:highlight w:val="none"/>
              </w:rPr>
              <w:t>无量纲</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37C3162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7.75</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042B0A8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7.68</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60304B6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7.83</w:t>
            </w:r>
          </w:p>
        </w:tc>
        <w:tc>
          <w:tcPr>
            <w:tcW w:w="992" w:type="dxa"/>
            <w:tcBorders>
              <w:top w:val="single" w:color="000000" w:sz="4" w:space="0"/>
              <w:left w:val="single" w:color="000000" w:sz="4" w:space="0"/>
              <w:bottom w:val="single" w:color="000000" w:sz="4" w:space="0"/>
            </w:tcBorders>
            <w:noWrap w:val="0"/>
            <w:vAlign w:val="center"/>
          </w:tcPr>
          <w:p w14:paraId="197FEC4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w:t>
            </w:r>
          </w:p>
        </w:tc>
      </w:tr>
      <w:tr w14:paraId="43E2EF0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1749" w:type="dxa"/>
            <w:tcBorders>
              <w:top w:val="single" w:color="000000" w:sz="4" w:space="0"/>
              <w:bottom w:val="single" w:color="000000" w:sz="4" w:space="0"/>
              <w:right w:val="single" w:color="000000" w:sz="4" w:space="0"/>
            </w:tcBorders>
            <w:noWrap w:val="0"/>
            <w:vAlign w:val="center"/>
          </w:tcPr>
          <w:p w14:paraId="167F10E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kern w:val="0"/>
                <w:sz w:val="21"/>
                <w:szCs w:val="21"/>
                <w:highlight w:val="none"/>
              </w:rPr>
            </w:pPr>
            <w:r>
              <w:rPr>
                <w:rFonts w:hint="default" w:ascii="Times New Roman" w:hAnsi="Times New Roman" w:eastAsia="宋体" w:cs="Times New Roman"/>
                <w:b/>
                <w:sz w:val="21"/>
                <w:szCs w:val="21"/>
                <w:highlight w:val="none"/>
              </w:rPr>
              <w:t>石油烃（C</w:t>
            </w:r>
            <w:r>
              <w:rPr>
                <w:rFonts w:hint="default" w:ascii="Times New Roman" w:hAnsi="Times New Roman" w:eastAsia="宋体" w:cs="Times New Roman"/>
                <w:b/>
                <w:sz w:val="21"/>
                <w:szCs w:val="21"/>
                <w:highlight w:val="none"/>
                <w:vertAlign w:val="subscript"/>
              </w:rPr>
              <w:t>10</w:t>
            </w:r>
            <w:r>
              <w:rPr>
                <w:rFonts w:hint="default" w:ascii="Times New Roman" w:hAnsi="Times New Roman" w:eastAsia="宋体" w:cs="Times New Roman"/>
                <w:b/>
                <w:sz w:val="21"/>
                <w:szCs w:val="21"/>
                <w:highlight w:val="none"/>
              </w:rPr>
              <w:t>-C</w:t>
            </w:r>
            <w:r>
              <w:rPr>
                <w:rFonts w:hint="default" w:ascii="Times New Roman" w:hAnsi="Times New Roman" w:eastAsia="宋体" w:cs="Times New Roman"/>
                <w:b/>
                <w:sz w:val="21"/>
                <w:szCs w:val="21"/>
                <w:highlight w:val="none"/>
                <w:vertAlign w:val="subscript"/>
              </w:rPr>
              <w:t>40</w:t>
            </w:r>
            <w:r>
              <w:rPr>
                <w:rFonts w:hint="default" w:ascii="Times New Roman" w:hAnsi="Times New Roman" w:eastAsia="宋体" w:cs="Times New Roman"/>
                <w:b/>
                <w:sz w:val="21"/>
                <w:szCs w:val="21"/>
                <w:highlight w:val="none"/>
              </w:rPr>
              <w:t>）</w:t>
            </w:r>
          </w:p>
        </w:tc>
        <w:tc>
          <w:tcPr>
            <w:tcW w:w="1276" w:type="dxa"/>
            <w:tcBorders>
              <w:top w:val="single" w:color="000000" w:sz="4" w:space="0"/>
              <w:left w:val="single" w:color="000000" w:sz="4" w:space="0"/>
              <w:bottom w:val="single" w:color="000000" w:sz="4" w:space="0"/>
              <w:right w:val="single" w:color="000000" w:sz="4" w:space="0"/>
            </w:tcBorders>
            <w:noWrap w:val="0"/>
            <w:vAlign w:val="center"/>
          </w:tcPr>
          <w:p w14:paraId="1C8CB7B3">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eastAsia" w:ascii="Times New Roman" w:hAnsi="Times New Roman" w:eastAsia="宋体" w:cs="Times New Roman"/>
                <w:b/>
                <w:spacing w:val="-4"/>
                <w:sz w:val="21"/>
                <w:szCs w:val="21"/>
                <w:highlight w:val="none"/>
              </w:rPr>
              <w:t>m</w:t>
            </w:r>
            <w:r>
              <w:rPr>
                <w:rFonts w:hint="default" w:ascii="Times New Roman" w:hAnsi="Times New Roman" w:eastAsia="宋体" w:cs="Times New Roman"/>
                <w:b/>
                <w:spacing w:val="-4"/>
                <w:sz w:val="21"/>
                <w:szCs w:val="21"/>
                <w:highlight w:val="none"/>
              </w:rPr>
              <w:t>g/kg</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1711AB3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6L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5071976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17</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14E2970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6L</w:t>
            </w:r>
          </w:p>
        </w:tc>
        <w:tc>
          <w:tcPr>
            <w:tcW w:w="992" w:type="dxa"/>
            <w:tcBorders>
              <w:top w:val="single" w:color="000000" w:sz="4" w:space="0"/>
              <w:left w:val="single" w:color="000000" w:sz="4" w:space="0"/>
              <w:bottom w:val="single" w:color="000000" w:sz="4" w:space="0"/>
            </w:tcBorders>
            <w:noWrap w:val="0"/>
            <w:vAlign w:val="center"/>
          </w:tcPr>
          <w:p w14:paraId="6197157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4500</w:t>
            </w:r>
          </w:p>
        </w:tc>
      </w:tr>
      <w:tr w14:paraId="542909B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1749" w:type="dxa"/>
            <w:tcBorders>
              <w:top w:val="single" w:color="000000" w:sz="4" w:space="0"/>
              <w:bottom w:val="single" w:color="000000" w:sz="4" w:space="0"/>
              <w:right w:val="single" w:color="000000" w:sz="4" w:space="0"/>
            </w:tcBorders>
            <w:noWrap w:val="0"/>
            <w:vAlign w:val="center"/>
          </w:tcPr>
          <w:p w14:paraId="7BDEF77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Calibri" w:hAnsi="Calibri" w:eastAsia="宋体" w:cs="Calibri"/>
                <w:b/>
                <w:kern w:val="0"/>
                <w:sz w:val="21"/>
                <w:szCs w:val="21"/>
                <w:highlight w:val="none"/>
              </w:rPr>
            </w:pPr>
            <w:r>
              <w:rPr>
                <w:rFonts w:hint="eastAsia" w:ascii="Calibri" w:hAnsi="Calibri" w:eastAsia="宋体" w:cs="Calibri"/>
                <w:b/>
                <w:kern w:val="0"/>
                <w:sz w:val="21"/>
                <w:szCs w:val="21"/>
                <w:highlight w:val="none"/>
              </w:rPr>
              <w:t>阳离子交换量</w:t>
            </w:r>
          </w:p>
        </w:tc>
        <w:tc>
          <w:tcPr>
            <w:tcW w:w="1276" w:type="dxa"/>
            <w:tcBorders>
              <w:top w:val="single" w:color="000000" w:sz="4" w:space="0"/>
              <w:left w:val="single" w:color="000000" w:sz="4" w:space="0"/>
              <w:bottom w:val="single" w:color="000000" w:sz="4" w:space="0"/>
              <w:right w:val="single" w:color="000000" w:sz="4" w:space="0"/>
            </w:tcBorders>
            <w:noWrap w:val="0"/>
            <w:vAlign w:val="center"/>
          </w:tcPr>
          <w:p w14:paraId="7E34AC50">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pacing w:val="-4"/>
                <w:sz w:val="21"/>
                <w:szCs w:val="21"/>
                <w:highlight w:val="none"/>
              </w:rPr>
            </w:pPr>
            <w:r>
              <w:rPr>
                <w:rFonts w:hint="default" w:ascii="Times New Roman" w:hAnsi="Times New Roman" w:eastAsia="宋体" w:cs="Times New Roman"/>
                <w:b/>
                <w:spacing w:val="-4"/>
                <w:sz w:val="21"/>
                <w:szCs w:val="21"/>
                <w:highlight w:val="none"/>
              </w:rPr>
              <w:t>cmol+ /kg</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7EFB1EC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14.8</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0EE86A1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15.3</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4DD160A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16.2</w:t>
            </w:r>
          </w:p>
        </w:tc>
        <w:tc>
          <w:tcPr>
            <w:tcW w:w="992" w:type="dxa"/>
            <w:tcBorders>
              <w:top w:val="single" w:color="000000" w:sz="4" w:space="0"/>
              <w:left w:val="single" w:color="000000" w:sz="4" w:space="0"/>
              <w:bottom w:val="single" w:color="000000" w:sz="4" w:space="0"/>
            </w:tcBorders>
            <w:noWrap w:val="0"/>
            <w:vAlign w:val="center"/>
          </w:tcPr>
          <w:p w14:paraId="67E8E7C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w:t>
            </w:r>
          </w:p>
        </w:tc>
      </w:tr>
      <w:tr w14:paraId="4CA3CBB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1749" w:type="dxa"/>
            <w:tcBorders>
              <w:top w:val="single" w:color="000000" w:sz="4" w:space="0"/>
              <w:bottom w:val="single" w:color="000000" w:sz="4" w:space="0"/>
              <w:right w:val="single" w:color="000000" w:sz="4" w:space="0"/>
            </w:tcBorders>
            <w:noWrap w:val="0"/>
            <w:vAlign w:val="center"/>
          </w:tcPr>
          <w:p w14:paraId="6C00098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Calibri" w:hAnsi="Calibri" w:eastAsia="宋体" w:cs="Calibri"/>
                <w:b/>
                <w:kern w:val="0"/>
                <w:sz w:val="21"/>
                <w:szCs w:val="21"/>
                <w:highlight w:val="none"/>
              </w:rPr>
            </w:pPr>
            <w:r>
              <w:rPr>
                <w:rFonts w:hint="eastAsia" w:ascii="Calibri" w:hAnsi="Calibri" w:eastAsia="宋体" w:cs="Calibri"/>
                <w:b/>
                <w:kern w:val="0"/>
                <w:sz w:val="21"/>
                <w:szCs w:val="21"/>
                <w:highlight w:val="none"/>
              </w:rPr>
              <w:t>氧化还原电位</w:t>
            </w:r>
          </w:p>
        </w:tc>
        <w:tc>
          <w:tcPr>
            <w:tcW w:w="1276" w:type="dxa"/>
            <w:tcBorders>
              <w:top w:val="single" w:color="000000" w:sz="4" w:space="0"/>
              <w:left w:val="single" w:color="000000" w:sz="4" w:space="0"/>
              <w:bottom w:val="single" w:color="000000" w:sz="4" w:space="0"/>
              <w:right w:val="single" w:color="000000" w:sz="4" w:space="0"/>
            </w:tcBorders>
            <w:noWrap w:val="0"/>
            <w:vAlign w:val="center"/>
          </w:tcPr>
          <w:p w14:paraId="2F6A3E62">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pacing w:val="-4"/>
                <w:sz w:val="21"/>
                <w:szCs w:val="21"/>
                <w:highlight w:val="none"/>
              </w:rPr>
            </w:pPr>
            <w:r>
              <w:rPr>
                <w:rFonts w:hint="eastAsia" w:ascii="Times New Roman" w:hAnsi="Times New Roman" w:eastAsia="宋体" w:cs="Times New Roman"/>
                <w:b/>
                <w:spacing w:val="-4"/>
                <w:sz w:val="21"/>
                <w:szCs w:val="21"/>
                <w:highlight w:val="none"/>
              </w:rPr>
              <w:t>mV</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20150B9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200</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7B19724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197</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6449E08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199</w:t>
            </w:r>
          </w:p>
        </w:tc>
        <w:tc>
          <w:tcPr>
            <w:tcW w:w="992" w:type="dxa"/>
            <w:tcBorders>
              <w:top w:val="single" w:color="000000" w:sz="4" w:space="0"/>
              <w:left w:val="single" w:color="000000" w:sz="4" w:space="0"/>
              <w:bottom w:val="single" w:color="000000" w:sz="4" w:space="0"/>
            </w:tcBorders>
            <w:noWrap w:val="0"/>
            <w:vAlign w:val="center"/>
          </w:tcPr>
          <w:p w14:paraId="0B0348D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w:t>
            </w:r>
          </w:p>
        </w:tc>
      </w:tr>
      <w:tr w14:paraId="0513DD5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1749" w:type="dxa"/>
            <w:tcBorders>
              <w:top w:val="single" w:color="000000" w:sz="4" w:space="0"/>
              <w:bottom w:val="single" w:color="000000" w:sz="12" w:space="0"/>
              <w:right w:val="single" w:color="000000" w:sz="4" w:space="0"/>
            </w:tcBorders>
            <w:noWrap w:val="0"/>
            <w:vAlign w:val="center"/>
          </w:tcPr>
          <w:p w14:paraId="36F50B6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Calibri" w:hAnsi="Calibri" w:eastAsia="宋体" w:cs="Calibri"/>
                <w:b/>
                <w:kern w:val="0"/>
                <w:sz w:val="21"/>
                <w:szCs w:val="21"/>
                <w:highlight w:val="none"/>
              </w:rPr>
            </w:pPr>
            <w:r>
              <w:rPr>
                <w:rFonts w:hint="eastAsia" w:ascii="Calibri" w:hAnsi="Calibri" w:eastAsia="宋体" w:cs="Calibri"/>
                <w:b/>
                <w:kern w:val="0"/>
                <w:sz w:val="21"/>
                <w:szCs w:val="21"/>
                <w:highlight w:val="none"/>
              </w:rPr>
              <w:t>容重</w:t>
            </w:r>
          </w:p>
        </w:tc>
        <w:tc>
          <w:tcPr>
            <w:tcW w:w="1276" w:type="dxa"/>
            <w:tcBorders>
              <w:top w:val="single" w:color="000000" w:sz="4" w:space="0"/>
              <w:left w:val="single" w:color="000000" w:sz="4" w:space="0"/>
              <w:bottom w:val="single" w:color="000000" w:sz="12" w:space="0"/>
              <w:right w:val="single" w:color="000000" w:sz="4" w:space="0"/>
            </w:tcBorders>
            <w:noWrap w:val="0"/>
            <w:vAlign w:val="center"/>
          </w:tcPr>
          <w:p w14:paraId="4E2E986B">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eastAsia" w:ascii="Times New Roman" w:hAnsi="Times New Roman" w:eastAsia="宋体" w:cs="Times New Roman"/>
                <w:b/>
                <w:spacing w:val="-4"/>
                <w:sz w:val="21"/>
                <w:szCs w:val="21"/>
                <w:highlight w:val="none"/>
              </w:rPr>
            </w:pPr>
            <w:r>
              <w:rPr>
                <w:rFonts w:hint="eastAsia" w:ascii="Times New Roman" w:hAnsi="Times New Roman" w:eastAsia="宋体" w:cs="Times New Roman"/>
                <w:b/>
                <w:color w:val="000000"/>
                <w:sz w:val="21"/>
                <w:szCs w:val="21"/>
                <w:highlight w:val="none"/>
              </w:rPr>
              <w:t>g</w:t>
            </w:r>
            <w:r>
              <w:rPr>
                <w:rFonts w:hint="default" w:ascii="Times New Roman" w:hAnsi="Times New Roman" w:eastAsia="宋体" w:cs="Times New Roman"/>
                <w:b/>
                <w:color w:val="000000"/>
                <w:sz w:val="21"/>
                <w:szCs w:val="21"/>
                <w:highlight w:val="none"/>
              </w:rPr>
              <w:t>/</w:t>
            </w:r>
            <w:r>
              <w:rPr>
                <w:rFonts w:hint="eastAsia" w:ascii="Times New Roman" w:hAnsi="Times New Roman" w:eastAsia="宋体" w:cs="Times New Roman"/>
                <w:b/>
                <w:color w:val="000000"/>
                <w:sz w:val="21"/>
                <w:szCs w:val="21"/>
                <w:highlight w:val="none"/>
              </w:rPr>
              <w:t>cm</w:t>
            </w:r>
            <w:r>
              <w:rPr>
                <w:rFonts w:hint="eastAsia" w:ascii="Times New Roman" w:hAnsi="Times New Roman" w:eastAsia="宋体" w:cs="Times New Roman"/>
                <w:b/>
                <w:color w:val="000000"/>
                <w:sz w:val="21"/>
                <w:szCs w:val="21"/>
                <w:highlight w:val="none"/>
                <w:vertAlign w:val="superscript"/>
              </w:rPr>
              <w:t>3</w:t>
            </w:r>
          </w:p>
        </w:tc>
        <w:tc>
          <w:tcPr>
            <w:tcW w:w="1701" w:type="dxa"/>
            <w:tcBorders>
              <w:top w:val="single" w:color="000000" w:sz="4" w:space="0"/>
              <w:left w:val="single" w:color="000000" w:sz="4" w:space="0"/>
              <w:bottom w:val="single" w:color="000000" w:sz="12" w:space="0"/>
              <w:right w:val="single" w:color="000000" w:sz="4" w:space="0"/>
            </w:tcBorders>
            <w:noWrap w:val="0"/>
            <w:vAlign w:val="center"/>
          </w:tcPr>
          <w:p w14:paraId="0A14AA4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1.26</w:t>
            </w:r>
          </w:p>
        </w:tc>
        <w:tc>
          <w:tcPr>
            <w:tcW w:w="1701" w:type="dxa"/>
            <w:tcBorders>
              <w:top w:val="single" w:color="000000" w:sz="4" w:space="0"/>
              <w:left w:val="single" w:color="000000" w:sz="4" w:space="0"/>
              <w:bottom w:val="single" w:color="000000" w:sz="12" w:space="0"/>
              <w:right w:val="single" w:color="000000" w:sz="4" w:space="0"/>
            </w:tcBorders>
            <w:noWrap w:val="0"/>
            <w:vAlign w:val="center"/>
          </w:tcPr>
          <w:p w14:paraId="31D5108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1.24</w:t>
            </w:r>
          </w:p>
        </w:tc>
        <w:tc>
          <w:tcPr>
            <w:tcW w:w="1701" w:type="dxa"/>
            <w:tcBorders>
              <w:top w:val="single" w:color="000000" w:sz="4" w:space="0"/>
              <w:left w:val="single" w:color="000000" w:sz="4" w:space="0"/>
              <w:bottom w:val="single" w:color="000000" w:sz="12" w:space="0"/>
              <w:right w:val="single" w:color="000000" w:sz="4" w:space="0"/>
            </w:tcBorders>
            <w:noWrap w:val="0"/>
            <w:vAlign w:val="center"/>
          </w:tcPr>
          <w:p w14:paraId="7050163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1.24</w:t>
            </w:r>
          </w:p>
        </w:tc>
        <w:tc>
          <w:tcPr>
            <w:tcW w:w="992" w:type="dxa"/>
            <w:tcBorders>
              <w:top w:val="single" w:color="000000" w:sz="4" w:space="0"/>
              <w:left w:val="single" w:color="000000" w:sz="4" w:space="0"/>
              <w:bottom w:val="single" w:color="000000" w:sz="12" w:space="0"/>
            </w:tcBorders>
            <w:noWrap w:val="0"/>
            <w:vAlign w:val="center"/>
          </w:tcPr>
          <w:p w14:paraId="4067237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w:t>
            </w:r>
          </w:p>
        </w:tc>
      </w:tr>
    </w:tbl>
    <w:p w14:paraId="2A907941">
      <w:pPr>
        <w:keepNext w:val="0"/>
        <w:keepLines w:val="0"/>
        <w:pageBreakBefore w:val="0"/>
        <w:widowControl w:val="0"/>
        <w:suppressLineNumbers w:val="0"/>
        <w:kinsoku/>
        <w:overflowPunct/>
        <w:topLinePunct w:val="0"/>
        <w:autoSpaceDE/>
        <w:autoSpaceDN/>
        <w:bidi w:val="0"/>
        <w:adjustRightInd/>
        <w:snapToGrid/>
        <w:spacing w:before="0" w:beforeAutospacing="0" w:afterAutospacing="0" w:line="360" w:lineRule="auto"/>
        <w:ind w:left="0" w:right="0" w:firstLine="0" w:firstLineChars="0"/>
        <w:jc w:val="both"/>
        <w:textAlignment w:val="auto"/>
        <w:outlineLvl w:val="9"/>
        <w:rPr>
          <w:rFonts w:ascii="Times New Roman" w:hAnsi="Times New Roman" w:eastAsia="宋体" w:cs="Times New Roman"/>
          <w:b/>
          <w:sz w:val="18"/>
          <w:szCs w:val="18"/>
          <w:highlight w:val="none"/>
        </w:rPr>
      </w:pPr>
      <w:r>
        <w:rPr>
          <w:rFonts w:ascii="Times New Roman" w:hAnsi="Times New Roman" w:eastAsia="宋体" w:cs="Times New Roman"/>
          <w:b/>
          <w:sz w:val="18"/>
          <w:szCs w:val="18"/>
          <w:highlight w:val="none"/>
        </w:rPr>
        <w:t>注：L为低于检出限。</w:t>
      </w:r>
    </w:p>
    <w:tbl>
      <w:tblPr>
        <w:tblStyle w:val="45"/>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632"/>
        <w:gridCol w:w="1195"/>
        <w:gridCol w:w="1587"/>
        <w:gridCol w:w="1587"/>
        <w:gridCol w:w="1587"/>
        <w:gridCol w:w="934"/>
      </w:tblGrid>
      <w:tr w14:paraId="4068364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49" w:type="dxa"/>
            <w:vMerge w:val="restart"/>
            <w:tcBorders>
              <w:top w:val="single" w:color="000000" w:sz="12" w:space="0"/>
              <w:bottom w:val="single" w:color="000000" w:sz="4" w:space="0"/>
              <w:right w:val="single" w:color="000000" w:sz="4" w:space="0"/>
            </w:tcBorders>
            <w:noWrap w:val="0"/>
            <w:vAlign w:val="center"/>
          </w:tcPr>
          <w:p w14:paraId="0AC46AA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Calibri" w:eastAsia="宋体" w:cs="Times New Roman"/>
                <w:b/>
                <w:sz w:val="21"/>
                <w:szCs w:val="21"/>
                <w:highlight w:val="none"/>
              </w:rPr>
              <w:t>检测项目</w:t>
            </w:r>
          </w:p>
        </w:tc>
        <w:tc>
          <w:tcPr>
            <w:tcW w:w="1276" w:type="dxa"/>
            <w:tcBorders>
              <w:top w:val="single" w:color="000000" w:sz="12" w:space="0"/>
              <w:left w:val="single" w:color="000000" w:sz="4" w:space="0"/>
              <w:bottom w:val="single" w:color="000000" w:sz="4" w:space="0"/>
              <w:right w:val="single" w:color="000000" w:sz="4" w:space="0"/>
            </w:tcBorders>
            <w:noWrap w:val="0"/>
            <w:vAlign w:val="center"/>
          </w:tcPr>
          <w:p w14:paraId="480A2BC6">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eastAsia" w:ascii="Times New Roman" w:hAnsi="Times New Roman" w:eastAsia="宋体" w:cs="Times New Roman"/>
                <w:b/>
                <w:bCs/>
                <w:color w:val="000000"/>
                <w:sz w:val="21"/>
                <w:szCs w:val="21"/>
                <w:highlight w:val="none"/>
              </w:rPr>
              <w:t>采样时间</w:t>
            </w:r>
          </w:p>
        </w:tc>
        <w:tc>
          <w:tcPr>
            <w:tcW w:w="5103" w:type="dxa"/>
            <w:gridSpan w:val="3"/>
            <w:tcBorders>
              <w:top w:val="single" w:color="000000" w:sz="12" w:space="0"/>
              <w:left w:val="single" w:color="000000" w:sz="4" w:space="0"/>
              <w:bottom w:val="single" w:color="000000" w:sz="4" w:space="0"/>
              <w:right w:val="single" w:color="000000" w:sz="4" w:space="0"/>
            </w:tcBorders>
            <w:noWrap w:val="0"/>
            <w:vAlign w:val="center"/>
          </w:tcPr>
          <w:p w14:paraId="4D67F9D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sz w:val="21"/>
                <w:szCs w:val="21"/>
                <w:highlight w:val="none"/>
              </w:rPr>
              <w:t>202</w:t>
            </w:r>
            <w:r>
              <w:rPr>
                <w:rFonts w:hint="eastAsia" w:ascii="Times New Roman" w:hAnsi="Times New Roman" w:eastAsia="宋体" w:cs="Times New Roman"/>
                <w:sz w:val="21"/>
                <w:szCs w:val="21"/>
                <w:highlight w:val="none"/>
              </w:rPr>
              <w:t>5.09.19</w:t>
            </w:r>
          </w:p>
        </w:tc>
        <w:tc>
          <w:tcPr>
            <w:tcW w:w="992" w:type="dxa"/>
            <w:vMerge w:val="restart"/>
            <w:tcBorders>
              <w:top w:val="single" w:color="000000" w:sz="12" w:space="0"/>
              <w:left w:val="single" w:color="000000" w:sz="4" w:space="0"/>
              <w:bottom w:val="single" w:color="000000" w:sz="4" w:space="0"/>
            </w:tcBorders>
            <w:noWrap w:val="0"/>
            <w:vAlign w:val="center"/>
          </w:tcPr>
          <w:p w14:paraId="444BE49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标准</w:t>
            </w:r>
          </w:p>
          <w:p w14:paraId="7F03223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限值</w:t>
            </w:r>
          </w:p>
        </w:tc>
      </w:tr>
      <w:tr w14:paraId="00CAA6A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49" w:type="dxa"/>
            <w:vMerge w:val="continue"/>
            <w:tcBorders>
              <w:top w:val="single" w:color="000000" w:sz="4" w:space="0"/>
              <w:right w:val="single" w:color="000000" w:sz="4" w:space="0"/>
            </w:tcBorders>
            <w:noWrap w:val="0"/>
            <w:vAlign w:val="center"/>
          </w:tcPr>
          <w:p w14:paraId="660C6BA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p>
        </w:tc>
        <w:tc>
          <w:tcPr>
            <w:tcW w:w="1276" w:type="dxa"/>
            <w:tcBorders>
              <w:top w:val="single" w:color="000000" w:sz="4" w:space="0"/>
              <w:left w:val="single" w:color="000000" w:sz="4" w:space="0"/>
              <w:bottom w:val="single" w:color="000000" w:sz="4" w:space="0"/>
              <w:right w:val="single" w:color="000000" w:sz="4" w:space="0"/>
            </w:tcBorders>
            <w:noWrap w:val="0"/>
            <w:vAlign w:val="center"/>
          </w:tcPr>
          <w:p w14:paraId="72EE1FD8">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bCs/>
                <w:color w:val="000000"/>
                <w:sz w:val="21"/>
                <w:szCs w:val="21"/>
                <w:highlight w:val="none"/>
              </w:rPr>
              <w:t>采样点位</w:t>
            </w:r>
          </w:p>
        </w:tc>
        <w:tc>
          <w:tcPr>
            <w:tcW w:w="5103" w:type="dxa"/>
            <w:gridSpan w:val="3"/>
            <w:tcBorders>
              <w:top w:val="single" w:color="000000" w:sz="4" w:space="0"/>
              <w:left w:val="single" w:color="000000" w:sz="4" w:space="0"/>
              <w:bottom w:val="single" w:color="000000" w:sz="4" w:space="0"/>
              <w:right w:val="single" w:color="000000" w:sz="4" w:space="0"/>
            </w:tcBorders>
            <w:noWrap w:val="0"/>
            <w:vAlign w:val="center"/>
          </w:tcPr>
          <w:p w14:paraId="2E2554F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Perpetua" w:eastAsia="宋体" w:cs="Times New Roman"/>
                <w:sz w:val="21"/>
                <w:szCs w:val="21"/>
                <w:highlight w:val="none"/>
              </w:rPr>
              <w:t>占地范围内</w:t>
            </w:r>
            <w:r>
              <w:rPr>
                <w:rFonts w:hint="default" w:ascii="宋体" w:hAnsi="宋体" w:eastAsia="宋体" w:cs="Times New Roman"/>
                <w:color w:val="000000"/>
                <w:sz w:val="21"/>
                <w:szCs w:val="21"/>
                <w:highlight w:val="none"/>
              </w:rPr>
              <w:t>■</w:t>
            </w:r>
            <w:r>
              <w:rPr>
                <w:rFonts w:hint="eastAsia" w:ascii="Times New Roman" w:hAnsi="Times New Roman" w:eastAsia="宋体" w:cs="Times New Roman"/>
                <w:color w:val="000000"/>
                <w:sz w:val="21"/>
                <w:szCs w:val="21"/>
                <w:highlight w:val="none"/>
              </w:rPr>
              <w:t>9</w:t>
            </w:r>
          </w:p>
        </w:tc>
        <w:tc>
          <w:tcPr>
            <w:tcW w:w="992" w:type="dxa"/>
            <w:vMerge w:val="continue"/>
            <w:tcBorders>
              <w:top w:val="single" w:color="000000" w:sz="4" w:space="0"/>
              <w:left w:val="single" w:color="000000" w:sz="4" w:space="0"/>
            </w:tcBorders>
            <w:noWrap w:val="0"/>
            <w:vAlign w:val="center"/>
          </w:tcPr>
          <w:p w14:paraId="1041DB7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p>
        </w:tc>
      </w:tr>
      <w:tr w14:paraId="73C8E94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49" w:type="dxa"/>
            <w:vMerge w:val="continue"/>
            <w:tcBorders>
              <w:right w:val="single" w:color="000000" w:sz="4" w:space="0"/>
            </w:tcBorders>
            <w:noWrap w:val="0"/>
            <w:vAlign w:val="center"/>
          </w:tcPr>
          <w:p w14:paraId="5595BEE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p>
        </w:tc>
        <w:tc>
          <w:tcPr>
            <w:tcW w:w="1276" w:type="dxa"/>
            <w:tcBorders>
              <w:top w:val="single" w:color="000000" w:sz="4" w:space="0"/>
              <w:left w:val="single" w:color="000000" w:sz="4" w:space="0"/>
              <w:bottom w:val="single" w:color="000000" w:sz="4" w:space="0"/>
              <w:right w:val="single" w:color="000000" w:sz="4" w:space="0"/>
            </w:tcBorders>
            <w:noWrap w:val="0"/>
            <w:vAlign w:val="center"/>
          </w:tcPr>
          <w:p w14:paraId="106E22E3">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eastAsia" w:ascii="Times New Roman" w:hAnsi="宋体" w:eastAsia="宋体" w:cs="Times New Roman"/>
                <w:b/>
                <w:bCs/>
                <w:sz w:val="21"/>
                <w:szCs w:val="21"/>
                <w:highlight w:val="none"/>
              </w:rPr>
            </w:pPr>
            <w:r>
              <w:rPr>
                <w:rFonts w:hint="eastAsia" w:ascii="Times New Roman" w:hAnsi="Times New Roman" w:eastAsia="宋体" w:cs="Times New Roman"/>
                <w:b/>
                <w:bCs/>
                <w:color w:val="000000"/>
                <w:sz w:val="21"/>
                <w:szCs w:val="21"/>
                <w:highlight w:val="none"/>
              </w:rPr>
              <w:t>检测点类型</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7F6EC47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sz w:val="21"/>
                <w:szCs w:val="21"/>
                <w:highlight w:val="none"/>
              </w:rPr>
              <w:t>柱状样</w:t>
            </w:r>
            <w:r>
              <w:rPr>
                <w:rFonts w:hint="default" w:ascii="Times New Roman" w:hAnsi="Times New Roman" w:eastAsia="宋体" w:cs="Times New Roman"/>
                <w:sz w:val="21"/>
                <w:szCs w:val="21"/>
                <w:highlight w:val="none"/>
              </w:rPr>
              <w:t>0.5m</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2EBC64F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sz w:val="21"/>
                <w:szCs w:val="21"/>
                <w:highlight w:val="none"/>
              </w:rPr>
              <w:t>柱状样</w:t>
            </w:r>
            <w:r>
              <w:rPr>
                <w:rFonts w:hint="default" w:ascii="Times New Roman" w:hAnsi="Times New Roman" w:eastAsia="宋体" w:cs="Times New Roman"/>
                <w:sz w:val="21"/>
                <w:szCs w:val="21"/>
                <w:highlight w:val="none"/>
              </w:rPr>
              <w:t>1.0m</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4D646B7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sz w:val="21"/>
                <w:szCs w:val="21"/>
                <w:highlight w:val="none"/>
              </w:rPr>
              <w:t>柱状样</w:t>
            </w:r>
            <w:r>
              <w:rPr>
                <w:rFonts w:hint="default" w:ascii="Times New Roman" w:hAnsi="Times New Roman" w:eastAsia="宋体" w:cs="Times New Roman"/>
                <w:sz w:val="21"/>
                <w:szCs w:val="21"/>
                <w:highlight w:val="none"/>
              </w:rPr>
              <w:t>2.0m</w:t>
            </w:r>
          </w:p>
        </w:tc>
        <w:tc>
          <w:tcPr>
            <w:tcW w:w="992" w:type="dxa"/>
            <w:vMerge w:val="continue"/>
            <w:tcBorders>
              <w:left w:val="single" w:color="000000" w:sz="4" w:space="0"/>
            </w:tcBorders>
            <w:noWrap w:val="0"/>
            <w:vAlign w:val="center"/>
          </w:tcPr>
          <w:p w14:paraId="0DB796B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p>
        </w:tc>
      </w:tr>
      <w:tr w14:paraId="6FFE03C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49" w:type="dxa"/>
            <w:vMerge w:val="continue"/>
            <w:tcBorders>
              <w:right w:val="single" w:color="000000" w:sz="4" w:space="0"/>
            </w:tcBorders>
            <w:noWrap w:val="0"/>
            <w:vAlign w:val="center"/>
          </w:tcPr>
          <w:p w14:paraId="060B7AD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p>
        </w:tc>
        <w:tc>
          <w:tcPr>
            <w:tcW w:w="1276" w:type="dxa"/>
            <w:tcBorders>
              <w:top w:val="single" w:color="000000" w:sz="4" w:space="0"/>
              <w:left w:val="single" w:color="000000" w:sz="4" w:space="0"/>
              <w:bottom w:val="single" w:color="000000" w:sz="4" w:space="0"/>
              <w:right w:val="single" w:color="000000" w:sz="4" w:space="0"/>
            </w:tcBorders>
            <w:noWrap w:val="0"/>
            <w:vAlign w:val="center"/>
          </w:tcPr>
          <w:p w14:paraId="362E6C4D">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eastAsia" w:ascii="Times New Roman" w:hAnsi="宋体" w:eastAsia="宋体" w:cs="Times New Roman"/>
                <w:b/>
                <w:bCs/>
                <w:sz w:val="21"/>
                <w:szCs w:val="21"/>
                <w:highlight w:val="none"/>
              </w:rPr>
              <w:t>样品性状</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1B592E3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灰棕、壤土</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165AD15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灰棕、壤土</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0F0B98A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灰棕、壤土</w:t>
            </w:r>
          </w:p>
        </w:tc>
        <w:tc>
          <w:tcPr>
            <w:tcW w:w="992" w:type="dxa"/>
            <w:vMerge w:val="continue"/>
            <w:tcBorders>
              <w:left w:val="single" w:color="000000" w:sz="4" w:space="0"/>
            </w:tcBorders>
            <w:noWrap w:val="0"/>
            <w:vAlign w:val="center"/>
          </w:tcPr>
          <w:p w14:paraId="557704F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p>
        </w:tc>
      </w:tr>
      <w:tr w14:paraId="089F1A4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749" w:type="dxa"/>
            <w:vMerge w:val="continue"/>
            <w:tcBorders>
              <w:bottom w:val="single" w:color="000000" w:sz="4" w:space="0"/>
              <w:right w:val="single" w:color="000000" w:sz="4" w:space="0"/>
            </w:tcBorders>
            <w:noWrap w:val="0"/>
            <w:vAlign w:val="center"/>
          </w:tcPr>
          <w:p w14:paraId="2F7D3DB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p>
        </w:tc>
        <w:tc>
          <w:tcPr>
            <w:tcW w:w="1276" w:type="dxa"/>
            <w:tcBorders>
              <w:top w:val="single" w:color="000000" w:sz="4" w:space="0"/>
              <w:left w:val="single" w:color="000000" w:sz="4" w:space="0"/>
              <w:bottom w:val="single" w:color="000000" w:sz="4" w:space="0"/>
              <w:right w:val="single" w:color="000000" w:sz="4" w:space="0"/>
            </w:tcBorders>
            <w:noWrap w:val="0"/>
            <w:vAlign w:val="center"/>
          </w:tcPr>
          <w:p w14:paraId="64E8119D">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bCs/>
                <w:color w:val="000000"/>
                <w:sz w:val="21"/>
                <w:szCs w:val="21"/>
                <w:highlight w:val="none"/>
              </w:rPr>
              <w:t>样品编号</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3F4AF65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G250919010901</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2BB6B0E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G250919010902</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31390D7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G250919010903</w:t>
            </w:r>
          </w:p>
        </w:tc>
        <w:tc>
          <w:tcPr>
            <w:tcW w:w="992" w:type="dxa"/>
            <w:vMerge w:val="continue"/>
            <w:tcBorders>
              <w:left w:val="single" w:color="000000" w:sz="4" w:space="0"/>
              <w:bottom w:val="single" w:color="000000" w:sz="4" w:space="0"/>
            </w:tcBorders>
            <w:noWrap w:val="0"/>
            <w:vAlign w:val="center"/>
          </w:tcPr>
          <w:p w14:paraId="5813917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p>
        </w:tc>
      </w:tr>
      <w:tr w14:paraId="6ECDF9D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1749" w:type="dxa"/>
            <w:tcBorders>
              <w:top w:val="single" w:color="000000" w:sz="4" w:space="0"/>
              <w:bottom w:val="single" w:color="000000" w:sz="4" w:space="0"/>
              <w:right w:val="single" w:color="000000" w:sz="4" w:space="0"/>
            </w:tcBorders>
            <w:noWrap w:val="0"/>
            <w:vAlign w:val="center"/>
          </w:tcPr>
          <w:p w14:paraId="46DE4DD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eastAsia" w:ascii="Times New Roman" w:hAnsi="Times New Roman" w:eastAsia="宋体" w:cs="Times New Roman"/>
                <w:b/>
                <w:sz w:val="21"/>
                <w:szCs w:val="21"/>
                <w:highlight w:val="none"/>
              </w:rPr>
              <w:t>pH</w:t>
            </w:r>
          </w:p>
        </w:tc>
        <w:tc>
          <w:tcPr>
            <w:tcW w:w="1276" w:type="dxa"/>
            <w:tcBorders>
              <w:top w:val="single" w:color="000000" w:sz="4" w:space="0"/>
              <w:left w:val="single" w:color="000000" w:sz="4" w:space="0"/>
              <w:bottom w:val="single" w:color="000000" w:sz="4" w:space="0"/>
              <w:right w:val="single" w:color="000000" w:sz="4" w:space="0"/>
            </w:tcBorders>
            <w:noWrap w:val="0"/>
            <w:vAlign w:val="center"/>
          </w:tcPr>
          <w:p w14:paraId="50D35A11">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eastAsia" w:ascii="Times New Roman" w:hAnsi="Times New Roman" w:eastAsia="宋体" w:cs="Times New Roman"/>
                <w:b/>
                <w:spacing w:val="-4"/>
                <w:sz w:val="21"/>
                <w:szCs w:val="21"/>
                <w:highlight w:val="none"/>
              </w:rPr>
            </w:pPr>
            <w:r>
              <w:rPr>
                <w:rFonts w:hint="eastAsia" w:ascii="Times New Roman" w:hAnsi="Times New Roman" w:eastAsia="宋体" w:cs="Times New Roman"/>
                <w:b/>
                <w:spacing w:val="-4"/>
                <w:sz w:val="21"/>
                <w:szCs w:val="21"/>
                <w:highlight w:val="none"/>
              </w:rPr>
              <w:t>无量纲</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216C6FB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8.07</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3F493D7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8.12</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3414806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7.91</w:t>
            </w:r>
          </w:p>
        </w:tc>
        <w:tc>
          <w:tcPr>
            <w:tcW w:w="992" w:type="dxa"/>
            <w:tcBorders>
              <w:top w:val="single" w:color="000000" w:sz="4" w:space="0"/>
              <w:left w:val="single" w:color="000000" w:sz="4" w:space="0"/>
              <w:bottom w:val="single" w:color="000000" w:sz="4" w:space="0"/>
            </w:tcBorders>
            <w:noWrap w:val="0"/>
            <w:vAlign w:val="center"/>
          </w:tcPr>
          <w:p w14:paraId="60354F1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w:t>
            </w:r>
          </w:p>
        </w:tc>
      </w:tr>
      <w:tr w14:paraId="73F19BE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1749" w:type="dxa"/>
            <w:tcBorders>
              <w:top w:val="single" w:color="000000" w:sz="4" w:space="0"/>
              <w:bottom w:val="single" w:color="000000" w:sz="4" w:space="0"/>
              <w:right w:val="single" w:color="000000" w:sz="4" w:space="0"/>
            </w:tcBorders>
            <w:noWrap w:val="0"/>
            <w:vAlign w:val="center"/>
          </w:tcPr>
          <w:p w14:paraId="0B0787F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kern w:val="0"/>
                <w:sz w:val="21"/>
                <w:szCs w:val="21"/>
                <w:highlight w:val="none"/>
              </w:rPr>
            </w:pPr>
            <w:r>
              <w:rPr>
                <w:rFonts w:hint="default" w:ascii="Times New Roman" w:hAnsi="Times New Roman" w:eastAsia="宋体" w:cs="Times New Roman"/>
                <w:b/>
                <w:sz w:val="21"/>
                <w:szCs w:val="21"/>
                <w:highlight w:val="none"/>
              </w:rPr>
              <w:t>石油烃（C</w:t>
            </w:r>
            <w:r>
              <w:rPr>
                <w:rFonts w:hint="default" w:ascii="Times New Roman" w:hAnsi="Times New Roman" w:eastAsia="宋体" w:cs="Times New Roman"/>
                <w:b/>
                <w:sz w:val="21"/>
                <w:szCs w:val="21"/>
                <w:highlight w:val="none"/>
                <w:vertAlign w:val="subscript"/>
              </w:rPr>
              <w:t>10</w:t>
            </w:r>
            <w:r>
              <w:rPr>
                <w:rFonts w:hint="default" w:ascii="Times New Roman" w:hAnsi="Times New Roman" w:eastAsia="宋体" w:cs="Times New Roman"/>
                <w:b/>
                <w:sz w:val="21"/>
                <w:szCs w:val="21"/>
                <w:highlight w:val="none"/>
              </w:rPr>
              <w:t>-C</w:t>
            </w:r>
            <w:r>
              <w:rPr>
                <w:rFonts w:hint="default" w:ascii="Times New Roman" w:hAnsi="Times New Roman" w:eastAsia="宋体" w:cs="Times New Roman"/>
                <w:b/>
                <w:sz w:val="21"/>
                <w:szCs w:val="21"/>
                <w:highlight w:val="none"/>
                <w:vertAlign w:val="subscript"/>
              </w:rPr>
              <w:t>40</w:t>
            </w:r>
            <w:r>
              <w:rPr>
                <w:rFonts w:hint="default" w:ascii="Times New Roman" w:hAnsi="Times New Roman" w:eastAsia="宋体" w:cs="Times New Roman"/>
                <w:b/>
                <w:sz w:val="21"/>
                <w:szCs w:val="21"/>
                <w:highlight w:val="none"/>
              </w:rPr>
              <w:t>）</w:t>
            </w:r>
          </w:p>
        </w:tc>
        <w:tc>
          <w:tcPr>
            <w:tcW w:w="1276" w:type="dxa"/>
            <w:tcBorders>
              <w:top w:val="single" w:color="000000" w:sz="4" w:space="0"/>
              <w:left w:val="single" w:color="000000" w:sz="4" w:space="0"/>
              <w:bottom w:val="single" w:color="000000" w:sz="4" w:space="0"/>
              <w:right w:val="single" w:color="000000" w:sz="4" w:space="0"/>
            </w:tcBorders>
            <w:noWrap w:val="0"/>
            <w:vAlign w:val="center"/>
          </w:tcPr>
          <w:p w14:paraId="0B9E3152">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eastAsia" w:ascii="Times New Roman" w:hAnsi="Times New Roman" w:eastAsia="宋体" w:cs="Times New Roman"/>
                <w:b/>
                <w:spacing w:val="-4"/>
                <w:sz w:val="21"/>
                <w:szCs w:val="21"/>
                <w:highlight w:val="none"/>
              </w:rPr>
              <w:t>m</w:t>
            </w:r>
            <w:r>
              <w:rPr>
                <w:rFonts w:hint="default" w:ascii="Times New Roman" w:hAnsi="Times New Roman" w:eastAsia="宋体" w:cs="Times New Roman"/>
                <w:b/>
                <w:spacing w:val="-4"/>
                <w:sz w:val="21"/>
                <w:szCs w:val="21"/>
                <w:highlight w:val="none"/>
              </w:rPr>
              <w:t>g/kg</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2179FB9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6L</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7024624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30</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2D84A1D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26</w:t>
            </w:r>
          </w:p>
        </w:tc>
        <w:tc>
          <w:tcPr>
            <w:tcW w:w="992" w:type="dxa"/>
            <w:tcBorders>
              <w:top w:val="single" w:color="000000" w:sz="4" w:space="0"/>
              <w:left w:val="single" w:color="000000" w:sz="4" w:space="0"/>
              <w:bottom w:val="single" w:color="000000" w:sz="4" w:space="0"/>
            </w:tcBorders>
            <w:noWrap w:val="0"/>
            <w:vAlign w:val="center"/>
          </w:tcPr>
          <w:p w14:paraId="15145DE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4500</w:t>
            </w:r>
          </w:p>
        </w:tc>
      </w:tr>
      <w:tr w14:paraId="5CB8177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1749" w:type="dxa"/>
            <w:tcBorders>
              <w:top w:val="single" w:color="000000" w:sz="4" w:space="0"/>
              <w:bottom w:val="single" w:color="000000" w:sz="4" w:space="0"/>
              <w:right w:val="single" w:color="000000" w:sz="4" w:space="0"/>
            </w:tcBorders>
            <w:noWrap w:val="0"/>
            <w:vAlign w:val="center"/>
          </w:tcPr>
          <w:p w14:paraId="7612F07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Calibri" w:hAnsi="Calibri" w:eastAsia="宋体" w:cs="Calibri"/>
                <w:b/>
                <w:kern w:val="0"/>
                <w:sz w:val="21"/>
                <w:szCs w:val="21"/>
                <w:highlight w:val="none"/>
              </w:rPr>
            </w:pPr>
            <w:r>
              <w:rPr>
                <w:rFonts w:hint="eastAsia" w:ascii="Calibri" w:hAnsi="Calibri" w:eastAsia="宋体" w:cs="Calibri"/>
                <w:b/>
                <w:kern w:val="0"/>
                <w:sz w:val="21"/>
                <w:szCs w:val="21"/>
                <w:highlight w:val="none"/>
              </w:rPr>
              <w:t>阳离子交换量</w:t>
            </w:r>
          </w:p>
        </w:tc>
        <w:tc>
          <w:tcPr>
            <w:tcW w:w="1276" w:type="dxa"/>
            <w:tcBorders>
              <w:top w:val="single" w:color="000000" w:sz="4" w:space="0"/>
              <w:left w:val="single" w:color="000000" w:sz="4" w:space="0"/>
              <w:bottom w:val="single" w:color="000000" w:sz="4" w:space="0"/>
              <w:right w:val="single" w:color="000000" w:sz="4" w:space="0"/>
            </w:tcBorders>
            <w:noWrap w:val="0"/>
            <w:vAlign w:val="center"/>
          </w:tcPr>
          <w:p w14:paraId="148BE7EC">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pacing w:val="-4"/>
                <w:sz w:val="21"/>
                <w:szCs w:val="21"/>
                <w:highlight w:val="none"/>
              </w:rPr>
            </w:pPr>
            <w:r>
              <w:rPr>
                <w:rFonts w:hint="default" w:ascii="Times New Roman" w:hAnsi="Times New Roman" w:eastAsia="宋体" w:cs="Times New Roman"/>
                <w:b/>
                <w:spacing w:val="-4"/>
                <w:sz w:val="21"/>
                <w:szCs w:val="21"/>
                <w:highlight w:val="none"/>
              </w:rPr>
              <w:t>cmol+ /kg</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1B12931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4.3</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7965B2B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5.0</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771B392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6.2</w:t>
            </w:r>
          </w:p>
        </w:tc>
        <w:tc>
          <w:tcPr>
            <w:tcW w:w="992" w:type="dxa"/>
            <w:tcBorders>
              <w:top w:val="single" w:color="000000" w:sz="4" w:space="0"/>
              <w:left w:val="single" w:color="000000" w:sz="4" w:space="0"/>
              <w:bottom w:val="single" w:color="000000" w:sz="4" w:space="0"/>
            </w:tcBorders>
            <w:noWrap w:val="0"/>
            <w:vAlign w:val="center"/>
          </w:tcPr>
          <w:p w14:paraId="3DEA7B4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w:t>
            </w:r>
          </w:p>
        </w:tc>
      </w:tr>
      <w:tr w14:paraId="4698278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1749" w:type="dxa"/>
            <w:tcBorders>
              <w:top w:val="single" w:color="000000" w:sz="4" w:space="0"/>
              <w:bottom w:val="single" w:color="000000" w:sz="4" w:space="0"/>
              <w:right w:val="single" w:color="000000" w:sz="4" w:space="0"/>
            </w:tcBorders>
            <w:noWrap w:val="0"/>
            <w:vAlign w:val="center"/>
          </w:tcPr>
          <w:p w14:paraId="6A62E5D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Calibri" w:hAnsi="Calibri" w:eastAsia="宋体" w:cs="Calibri"/>
                <w:b/>
                <w:kern w:val="0"/>
                <w:sz w:val="21"/>
                <w:szCs w:val="21"/>
                <w:highlight w:val="none"/>
              </w:rPr>
            </w:pPr>
            <w:r>
              <w:rPr>
                <w:rFonts w:hint="eastAsia" w:ascii="Calibri" w:hAnsi="Calibri" w:eastAsia="宋体" w:cs="Calibri"/>
                <w:b/>
                <w:kern w:val="0"/>
                <w:sz w:val="21"/>
                <w:szCs w:val="21"/>
                <w:highlight w:val="none"/>
              </w:rPr>
              <w:t>氧化还原电位</w:t>
            </w:r>
          </w:p>
        </w:tc>
        <w:tc>
          <w:tcPr>
            <w:tcW w:w="1276" w:type="dxa"/>
            <w:tcBorders>
              <w:top w:val="single" w:color="000000" w:sz="4" w:space="0"/>
              <w:left w:val="single" w:color="000000" w:sz="4" w:space="0"/>
              <w:bottom w:val="single" w:color="000000" w:sz="4" w:space="0"/>
              <w:right w:val="single" w:color="000000" w:sz="4" w:space="0"/>
            </w:tcBorders>
            <w:noWrap w:val="0"/>
            <w:vAlign w:val="center"/>
          </w:tcPr>
          <w:p w14:paraId="6F2F46F9">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pacing w:val="-4"/>
                <w:sz w:val="21"/>
                <w:szCs w:val="21"/>
                <w:highlight w:val="none"/>
              </w:rPr>
            </w:pPr>
            <w:r>
              <w:rPr>
                <w:rFonts w:hint="eastAsia" w:ascii="Times New Roman" w:hAnsi="Times New Roman" w:eastAsia="宋体" w:cs="Times New Roman"/>
                <w:b/>
                <w:spacing w:val="-4"/>
                <w:sz w:val="21"/>
                <w:szCs w:val="21"/>
                <w:highlight w:val="none"/>
              </w:rPr>
              <w:t>mV</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05AC3CF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173</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2191E3EC">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175</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14:paraId="4889DFC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172</w:t>
            </w:r>
          </w:p>
        </w:tc>
        <w:tc>
          <w:tcPr>
            <w:tcW w:w="992" w:type="dxa"/>
            <w:tcBorders>
              <w:top w:val="single" w:color="000000" w:sz="4" w:space="0"/>
              <w:left w:val="single" w:color="000000" w:sz="4" w:space="0"/>
              <w:bottom w:val="single" w:color="000000" w:sz="4" w:space="0"/>
            </w:tcBorders>
            <w:noWrap w:val="0"/>
            <w:vAlign w:val="center"/>
          </w:tcPr>
          <w:p w14:paraId="359755C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w:t>
            </w:r>
          </w:p>
        </w:tc>
      </w:tr>
      <w:tr w14:paraId="6133E79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1749" w:type="dxa"/>
            <w:tcBorders>
              <w:top w:val="single" w:color="000000" w:sz="4" w:space="0"/>
              <w:bottom w:val="single" w:color="000000" w:sz="12" w:space="0"/>
              <w:right w:val="single" w:color="000000" w:sz="4" w:space="0"/>
            </w:tcBorders>
            <w:noWrap w:val="0"/>
            <w:vAlign w:val="center"/>
          </w:tcPr>
          <w:p w14:paraId="1C40D32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Calibri" w:hAnsi="Calibri" w:eastAsia="宋体" w:cs="Calibri"/>
                <w:b/>
                <w:kern w:val="0"/>
                <w:sz w:val="21"/>
                <w:szCs w:val="21"/>
                <w:highlight w:val="none"/>
              </w:rPr>
            </w:pPr>
            <w:r>
              <w:rPr>
                <w:rFonts w:hint="eastAsia" w:ascii="Calibri" w:hAnsi="Calibri" w:eastAsia="宋体" w:cs="Calibri"/>
                <w:b/>
                <w:kern w:val="0"/>
                <w:sz w:val="21"/>
                <w:szCs w:val="21"/>
                <w:highlight w:val="none"/>
              </w:rPr>
              <w:t>容重</w:t>
            </w:r>
          </w:p>
        </w:tc>
        <w:tc>
          <w:tcPr>
            <w:tcW w:w="1276" w:type="dxa"/>
            <w:tcBorders>
              <w:top w:val="single" w:color="000000" w:sz="4" w:space="0"/>
              <w:left w:val="single" w:color="000000" w:sz="4" w:space="0"/>
              <w:bottom w:val="single" w:color="000000" w:sz="12" w:space="0"/>
              <w:right w:val="single" w:color="000000" w:sz="4" w:space="0"/>
            </w:tcBorders>
            <w:noWrap w:val="0"/>
            <w:vAlign w:val="center"/>
          </w:tcPr>
          <w:p w14:paraId="011FE034">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eastAsia" w:ascii="Times New Roman" w:hAnsi="Times New Roman" w:eastAsia="宋体" w:cs="Times New Roman"/>
                <w:b/>
                <w:spacing w:val="-4"/>
                <w:sz w:val="21"/>
                <w:szCs w:val="21"/>
                <w:highlight w:val="none"/>
              </w:rPr>
            </w:pPr>
            <w:r>
              <w:rPr>
                <w:rFonts w:hint="eastAsia" w:ascii="Times New Roman" w:hAnsi="Times New Roman" w:eastAsia="宋体" w:cs="Times New Roman"/>
                <w:b/>
                <w:color w:val="000000"/>
                <w:sz w:val="21"/>
                <w:szCs w:val="21"/>
                <w:highlight w:val="none"/>
              </w:rPr>
              <w:t>g</w:t>
            </w:r>
            <w:r>
              <w:rPr>
                <w:rFonts w:hint="default" w:ascii="Times New Roman" w:hAnsi="Times New Roman" w:eastAsia="宋体" w:cs="Times New Roman"/>
                <w:b/>
                <w:color w:val="000000"/>
                <w:sz w:val="21"/>
                <w:szCs w:val="21"/>
                <w:highlight w:val="none"/>
              </w:rPr>
              <w:t>/</w:t>
            </w:r>
            <w:r>
              <w:rPr>
                <w:rFonts w:hint="eastAsia" w:ascii="Times New Roman" w:hAnsi="Times New Roman" w:eastAsia="宋体" w:cs="Times New Roman"/>
                <w:b/>
                <w:color w:val="000000"/>
                <w:sz w:val="21"/>
                <w:szCs w:val="21"/>
                <w:highlight w:val="none"/>
              </w:rPr>
              <w:t>cm</w:t>
            </w:r>
            <w:r>
              <w:rPr>
                <w:rFonts w:hint="eastAsia" w:ascii="Times New Roman" w:hAnsi="Times New Roman" w:eastAsia="宋体" w:cs="Times New Roman"/>
                <w:b/>
                <w:color w:val="000000"/>
                <w:sz w:val="21"/>
                <w:szCs w:val="21"/>
                <w:highlight w:val="none"/>
                <w:vertAlign w:val="superscript"/>
              </w:rPr>
              <w:t>3</w:t>
            </w:r>
          </w:p>
        </w:tc>
        <w:tc>
          <w:tcPr>
            <w:tcW w:w="1701" w:type="dxa"/>
            <w:tcBorders>
              <w:top w:val="single" w:color="000000" w:sz="4" w:space="0"/>
              <w:left w:val="single" w:color="000000" w:sz="4" w:space="0"/>
              <w:bottom w:val="single" w:color="000000" w:sz="12" w:space="0"/>
              <w:right w:val="single" w:color="000000" w:sz="4" w:space="0"/>
            </w:tcBorders>
            <w:noWrap w:val="0"/>
            <w:vAlign w:val="center"/>
          </w:tcPr>
          <w:p w14:paraId="32D3AE0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1.25</w:t>
            </w:r>
          </w:p>
        </w:tc>
        <w:tc>
          <w:tcPr>
            <w:tcW w:w="1701" w:type="dxa"/>
            <w:tcBorders>
              <w:top w:val="single" w:color="000000" w:sz="4" w:space="0"/>
              <w:left w:val="single" w:color="000000" w:sz="4" w:space="0"/>
              <w:bottom w:val="single" w:color="000000" w:sz="12" w:space="0"/>
              <w:right w:val="single" w:color="000000" w:sz="4" w:space="0"/>
            </w:tcBorders>
            <w:noWrap w:val="0"/>
            <w:vAlign w:val="center"/>
          </w:tcPr>
          <w:p w14:paraId="5881C2C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1.33</w:t>
            </w:r>
          </w:p>
        </w:tc>
        <w:tc>
          <w:tcPr>
            <w:tcW w:w="1701" w:type="dxa"/>
            <w:tcBorders>
              <w:top w:val="single" w:color="000000" w:sz="4" w:space="0"/>
              <w:left w:val="single" w:color="000000" w:sz="4" w:space="0"/>
              <w:bottom w:val="single" w:color="000000" w:sz="12" w:space="0"/>
              <w:right w:val="single" w:color="000000" w:sz="4" w:space="0"/>
            </w:tcBorders>
            <w:noWrap w:val="0"/>
            <w:vAlign w:val="center"/>
          </w:tcPr>
          <w:p w14:paraId="3F23A78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1.30</w:t>
            </w:r>
          </w:p>
        </w:tc>
        <w:tc>
          <w:tcPr>
            <w:tcW w:w="992" w:type="dxa"/>
            <w:tcBorders>
              <w:top w:val="single" w:color="000000" w:sz="4" w:space="0"/>
              <w:left w:val="single" w:color="000000" w:sz="4" w:space="0"/>
              <w:bottom w:val="single" w:color="000000" w:sz="12" w:space="0"/>
            </w:tcBorders>
            <w:noWrap w:val="0"/>
            <w:vAlign w:val="center"/>
          </w:tcPr>
          <w:p w14:paraId="3735058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w:t>
            </w:r>
          </w:p>
        </w:tc>
      </w:tr>
    </w:tbl>
    <w:p w14:paraId="45EFBE8E">
      <w:pPr>
        <w:keepNext w:val="0"/>
        <w:keepLines w:val="0"/>
        <w:pageBreakBefore w:val="0"/>
        <w:widowControl w:val="0"/>
        <w:suppressLineNumbers w:val="0"/>
        <w:kinsoku/>
        <w:overflowPunct/>
        <w:topLinePunct w:val="0"/>
        <w:autoSpaceDE/>
        <w:autoSpaceDN/>
        <w:bidi w:val="0"/>
        <w:adjustRightInd/>
        <w:snapToGrid/>
        <w:spacing w:before="0" w:beforeAutospacing="0" w:afterAutospacing="0" w:line="360" w:lineRule="auto"/>
        <w:ind w:left="0" w:right="0" w:firstLine="0" w:firstLineChars="0"/>
        <w:jc w:val="both"/>
        <w:textAlignment w:val="auto"/>
        <w:outlineLvl w:val="9"/>
        <w:rPr>
          <w:rFonts w:ascii="Times New Roman" w:hAnsi="Times New Roman" w:eastAsia="宋体" w:cs="Times New Roman"/>
          <w:b/>
          <w:sz w:val="18"/>
          <w:szCs w:val="18"/>
          <w:highlight w:val="none"/>
        </w:rPr>
      </w:pPr>
      <w:r>
        <w:rPr>
          <w:rFonts w:ascii="Times New Roman" w:hAnsi="Times New Roman" w:eastAsia="宋体" w:cs="Times New Roman"/>
          <w:b/>
          <w:sz w:val="18"/>
          <w:szCs w:val="18"/>
          <w:highlight w:val="none"/>
        </w:rPr>
        <w:t>注：L为低于检出限。</w:t>
      </w:r>
    </w:p>
    <w:tbl>
      <w:tblPr>
        <w:tblStyle w:val="45"/>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2007"/>
        <w:gridCol w:w="1467"/>
        <w:gridCol w:w="1952"/>
        <w:gridCol w:w="1952"/>
        <w:gridCol w:w="1144"/>
      </w:tblGrid>
      <w:tr w14:paraId="70D5EB5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2154" w:type="dxa"/>
            <w:vMerge w:val="restart"/>
            <w:tcBorders>
              <w:top w:val="single" w:color="000000" w:sz="12" w:space="0"/>
              <w:bottom w:val="single" w:color="000000" w:sz="4" w:space="0"/>
              <w:right w:val="single" w:color="000000" w:sz="4" w:space="0"/>
            </w:tcBorders>
            <w:noWrap w:val="0"/>
            <w:vAlign w:val="center"/>
          </w:tcPr>
          <w:p w14:paraId="4F6CC175">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r>
              <w:rPr>
                <w:rFonts w:hint="default" w:ascii="Times New Roman" w:hAnsi="Calibri" w:eastAsia="宋体" w:cs="Times New Roman"/>
                <w:b/>
                <w:sz w:val="21"/>
                <w:szCs w:val="21"/>
                <w:highlight w:val="none"/>
              </w:rPr>
              <w:t>检测项目</w:t>
            </w:r>
          </w:p>
        </w:tc>
        <w:tc>
          <w:tcPr>
            <w:tcW w:w="1570" w:type="dxa"/>
            <w:tcBorders>
              <w:top w:val="single" w:color="000000" w:sz="12" w:space="0"/>
              <w:left w:val="single" w:color="000000" w:sz="4" w:space="0"/>
              <w:bottom w:val="single" w:color="000000" w:sz="4" w:space="0"/>
              <w:right w:val="single" w:color="000000" w:sz="4" w:space="0"/>
            </w:tcBorders>
            <w:noWrap w:val="0"/>
            <w:vAlign w:val="center"/>
          </w:tcPr>
          <w:p w14:paraId="465E3E2D">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eastAsia" w:ascii="Times New Roman" w:hAnsi="Times New Roman" w:eastAsia="宋体" w:cs="Times New Roman"/>
                <w:b/>
                <w:bCs/>
                <w:color w:val="000000"/>
                <w:sz w:val="21"/>
                <w:szCs w:val="21"/>
                <w:highlight w:val="none"/>
              </w:rPr>
              <w:t>采样时间</w:t>
            </w:r>
          </w:p>
        </w:tc>
        <w:tc>
          <w:tcPr>
            <w:tcW w:w="4188" w:type="dxa"/>
            <w:gridSpan w:val="2"/>
            <w:tcBorders>
              <w:top w:val="single" w:color="000000" w:sz="12" w:space="0"/>
              <w:left w:val="single" w:color="000000" w:sz="4" w:space="0"/>
              <w:bottom w:val="single" w:color="000000" w:sz="4" w:space="0"/>
              <w:right w:val="single" w:color="000000" w:sz="4" w:space="0"/>
            </w:tcBorders>
            <w:noWrap w:val="0"/>
            <w:vAlign w:val="center"/>
          </w:tcPr>
          <w:p w14:paraId="0A12358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sz w:val="21"/>
                <w:szCs w:val="21"/>
                <w:highlight w:val="none"/>
              </w:rPr>
              <w:t>202</w:t>
            </w:r>
            <w:r>
              <w:rPr>
                <w:rFonts w:hint="eastAsia" w:ascii="Times New Roman" w:hAnsi="Times New Roman" w:eastAsia="宋体" w:cs="Times New Roman"/>
                <w:sz w:val="21"/>
                <w:szCs w:val="21"/>
                <w:highlight w:val="none"/>
              </w:rPr>
              <w:t>5.09.19</w:t>
            </w:r>
          </w:p>
        </w:tc>
        <w:tc>
          <w:tcPr>
            <w:tcW w:w="1220" w:type="dxa"/>
            <w:vMerge w:val="restart"/>
            <w:tcBorders>
              <w:top w:val="single" w:color="000000" w:sz="12" w:space="0"/>
              <w:left w:val="single" w:color="000000" w:sz="4" w:space="0"/>
              <w:bottom w:val="single" w:color="000000" w:sz="4" w:space="0"/>
            </w:tcBorders>
            <w:noWrap w:val="0"/>
            <w:vAlign w:val="center"/>
          </w:tcPr>
          <w:p w14:paraId="239B124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标准</w:t>
            </w:r>
          </w:p>
          <w:p w14:paraId="490C8E0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rPr>
              <w:t>限值</w:t>
            </w:r>
          </w:p>
        </w:tc>
      </w:tr>
      <w:tr w14:paraId="6C9933F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2154" w:type="dxa"/>
            <w:vMerge w:val="continue"/>
            <w:tcBorders>
              <w:top w:val="single" w:color="000000" w:sz="4" w:space="0"/>
              <w:right w:val="single" w:color="000000" w:sz="4" w:space="0"/>
            </w:tcBorders>
            <w:noWrap w:val="0"/>
            <w:vAlign w:val="center"/>
          </w:tcPr>
          <w:p w14:paraId="5A9FC2A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p>
        </w:tc>
        <w:tc>
          <w:tcPr>
            <w:tcW w:w="1570" w:type="dxa"/>
            <w:tcBorders>
              <w:top w:val="single" w:color="000000" w:sz="4" w:space="0"/>
              <w:left w:val="single" w:color="000000" w:sz="4" w:space="0"/>
              <w:bottom w:val="single" w:color="000000" w:sz="4" w:space="0"/>
              <w:right w:val="single" w:color="000000" w:sz="4" w:space="0"/>
            </w:tcBorders>
            <w:noWrap w:val="0"/>
            <w:vAlign w:val="center"/>
          </w:tcPr>
          <w:p w14:paraId="00D4F053">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bCs/>
                <w:color w:val="000000"/>
                <w:sz w:val="21"/>
                <w:szCs w:val="21"/>
                <w:highlight w:val="none"/>
              </w:rPr>
              <w:t>采样点位</w:t>
            </w:r>
          </w:p>
        </w:tc>
        <w:tc>
          <w:tcPr>
            <w:tcW w:w="2094" w:type="dxa"/>
            <w:tcBorders>
              <w:top w:val="single" w:color="000000" w:sz="4" w:space="0"/>
              <w:left w:val="single" w:color="000000" w:sz="4" w:space="0"/>
              <w:bottom w:val="single" w:color="000000" w:sz="4" w:space="0"/>
              <w:right w:val="single" w:color="000000" w:sz="4" w:space="0"/>
            </w:tcBorders>
            <w:noWrap w:val="0"/>
            <w:vAlign w:val="center"/>
          </w:tcPr>
          <w:p w14:paraId="45CD817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Perpetua" w:eastAsia="宋体" w:cs="Times New Roman"/>
                <w:sz w:val="21"/>
                <w:szCs w:val="21"/>
                <w:highlight w:val="none"/>
              </w:rPr>
              <w:t>占地范围内</w:t>
            </w:r>
            <w:r>
              <w:rPr>
                <w:rFonts w:hint="default" w:ascii="宋体" w:hAnsi="宋体" w:eastAsia="宋体" w:cs="Times New Roman"/>
                <w:color w:val="000000"/>
                <w:sz w:val="21"/>
                <w:szCs w:val="21"/>
                <w:highlight w:val="none"/>
              </w:rPr>
              <w:t>■</w:t>
            </w:r>
            <w:r>
              <w:rPr>
                <w:rFonts w:hint="eastAsia" w:ascii="Times New Roman" w:hAnsi="Times New Roman" w:eastAsia="宋体" w:cs="Times New Roman"/>
                <w:color w:val="000000"/>
                <w:sz w:val="21"/>
                <w:szCs w:val="21"/>
                <w:highlight w:val="none"/>
              </w:rPr>
              <w:t>10</w:t>
            </w:r>
          </w:p>
        </w:tc>
        <w:tc>
          <w:tcPr>
            <w:tcW w:w="2094" w:type="dxa"/>
            <w:tcBorders>
              <w:top w:val="single" w:color="000000" w:sz="4" w:space="0"/>
              <w:left w:val="single" w:color="000000" w:sz="4" w:space="0"/>
              <w:bottom w:val="single" w:color="000000" w:sz="4" w:space="0"/>
              <w:right w:val="single" w:color="000000" w:sz="4" w:space="0"/>
            </w:tcBorders>
            <w:noWrap w:val="0"/>
            <w:vAlign w:val="center"/>
          </w:tcPr>
          <w:p w14:paraId="0DF3106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Perpetua" w:eastAsia="宋体" w:cs="Times New Roman"/>
                <w:sz w:val="21"/>
                <w:szCs w:val="21"/>
                <w:highlight w:val="none"/>
              </w:rPr>
              <w:t>占地范围内</w:t>
            </w:r>
            <w:r>
              <w:rPr>
                <w:rFonts w:hint="default" w:ascii="宋体" w:hAnsi="宋体" w:eastAsia="宋体" w:cs="Times New Roman"/>
                <w:color w:val="000000"/>
                <w:sz w:val="21"/>
                <w:szCs w:val="21"/>
                <w:highlight w:val="none"/>
              </w:rPr>
              <w:t>■</w:t>
            </w:r>
            <w:r>
              <w:rPr>
                <w:rFonts w:hint="eastAsia" w:ascii="Times New Roman" w:hAnsi="Times New Roman" w:eastAsia="宋体" w:cs="Times New Roman"/>
                <w:color w:val="000000"/>
                <w:sz w:val="21"/>
                <w:szCs w:val="21"/>
                <w:highlight w:val="none"/>
              </w:rPr>
              <w:t>11</w:t>
            </w:r>
          </w:p>
        </w:tc>
        <w:tc>
          <w:tcPr>
            <w:tcW w:w="1220" w:type="dxa"/>
            <w:vMerge w:val="continue"/>
            <w:tcBorders>
              <w:top w:val="single" w:color="000000" w:sz="4" w:space="0"/>
              <w:left w:val="single" w:color="000000" w:sz="4" w:space="0"/>
            </w:tcBorders>
            <w:noWrap w:val="0"/>
            <w:vAlign w:val="center"/>
          </w:tcPr>
          <w:p w14:paraId="186D20B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p>
        </w:tc>
      </w:tr>
      <w:tr w14:paraId="15A2D28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2154" w:type="dxa"/>
            <w:vMerge w:val="continue"/>
            <w:tcBorders>
              <w:right w:val="single" w:color="000000" w:sz="4" w:space="0"/>
            </w:tcBorders>
            <w:noWrap w:val="0"/>
            <w:vAlign w:val="center"/>
          </w:tcPr>
          <w:p w14:paraId="362307E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p>
        </w:tc>
        <w:tc>
          <w:tcPr>
            <w:tcW w:w="1570" w:type="dxa"/>
            <w:tcBorders>
              <w:top w:val="single" w:color="000000" w:sz="4" w:space="0"/>
              <w:left w:val="single" w:color="000000" w:sz="4" w:space="0"/>
              <w:bottom w:val="single" w:color="000000" w:sz="4" w:space="0"/>
              <w:right w:val="single" w:color="000000" w:sz="4" w:space="0"/>
            </w:tcBorders>
            <w:noWrap w:val="0"/>
            <w:vAlign w:val="center"/>
          </w:tcPr>
          <w:p w14:paraId="0285A3E8">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eastAsia" w:ascii="Times New Roman" w:hAnsi="宋体" w:eastAsia="宋体" w:cs="Times New Roman"/>
                <w:b/>
                <w:bCs/>
                <w:sz w:val="21"/>
                <w:szCs w:val="21"/>
                <w:highlight w:val="none"/>
              </w:rPr>
              <w:t>样品性状</w:t>
            </w:r>
          </w:p>
        </w:tc>
        <w:tc>
          <w:tcPr>
            <w:tcW w:w="2094" w:type="dxa"/>
            <w:tcBorders>
              <w:top w:val="single" w:color="000000" w:sz="4" w:space="0"/>
              <w:left w:val="single" w:color="000000" w:sz="4" w:space="0"/>
              <w:bottom w:val="single" w:color="000000" w:sz="4" w:space="0"/>
              <w:right w:val="single" w:color="000000" w:sz="4" w:space="0"/>
            </w:tcBorders>
            <w:noWrap w:val="0"/>
            <w:vAlign w:val="center"/>
          </w:tcPr>
          <w:p w14:paraId="396FD7E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灰棕、壤土</w:t>
            </w:r>
          </w:p>
        </w:tc>
        <w:tc>
          <w:tcPr>
            <w:tcW w:w="2094" w:type="dxa"/>
            <w:tcBorders>
              <w:top w:val="single" w:color="000000" w:sz="4" w:space="0"/>
              <w:left w:val="single" w:color="000000" w:sz="4" w:space="0"/>
              <w:bottom w:val="single" w:color="000000" w:sz="4" w:space="0"/>
              <w:right w:val="single" w:color="000000" w:sz="4" w:space="0"/>
            </w:tcBorders>
            <w:noWrap w:val="0"/>
            <w:vAlign w:val="center"/>
          </w:tcPr>
          <w:p w14:paraId="7F902D9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灰棕、壤土</w:t>
            </w:r>
          </w:p>
        </w:tc>
        <w:tc>
          <w:tcPr>
            <w:tcW w:w="1220" w:type="dxa"/>
            <w:vMerge w:val="continue"/>
            <w:tcBorders>
              <w:left w:val="single" w:color="000000" w:sz="4" w:space="0"/>
            </w:tcBorders>
            <w:noWrap w:val="0"/>
            <w:vAlign w:val="center"/>
          </w:tcPr>
          <w:p w14:paraId="2A56364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p>
        </w:tc>
      </w:tr>
      <w:tr w14:paraId="492797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2154" w:type="dxa"/>
            <w:vMerge w:val="continue"/>
            <w:tcBorders>
              <w:bottom w:val="single" w:color="000000" w:sz="4" w:space="0"/>
              <w:right w:val="single" w:color="000000" w:sz="4" w:space="0"/>
            </w:tcBorders>
            <w:noWrap w:val="0"/>
            <w:vAlign w:val="center"/>
          </w:tcPr>
          <w:p w14:paraId="69D76F5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000000"/>
                <w:sz w:val="21"/>
                <w:szCs w:val="24"/>
                <w:highlight w:val="none"/>
              </w:rPr>
            </w:pPr>
          </w:p>
        </w:tc>
        <w:tc>
          <w:tcPr>
            <w:tcW w:w="1570" w:type="dxa"/>
            <w:tcBorders>
              <w:top w:val="single" w:color="000000" w:sz="4" w:space="0"/>
              <w:left w:val="single" w:color="000000" w:sz="4" w:space="0"/>
              <w:bottom w:val="single" w:color="000000" w:sz="4" w:space="0"/>
              <w:right w:val="single" w:color="000000" w:sz="4" w:space="0"/>
            </w:tcBorders>
            <w:noWrap w:val="0"/>
            <w:vAlign w:val="center"/>
          </w:tcPr>
          <w:p w14:paraId="0A7F6172">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bCs/>
                <w:color w:val="000000"/>
                <w:sz w:val="21"/>
                <w:szCs w:val="21"/>
                <w:highlight w:val="none"/>
              </w:rPr>
              <w:t>样品编号</w:t>
            </w:r>
          </w:p>
        </w:tc>
        <w:tc>
          <w:tcPr>
            <w:tcW w:w="2094" w:type="dxa"/>
            <w:tcBorders>
              <w:top w:val="single" w:color="000000" w:sz="4" w:space="0"/>
              <w:left w:val="single" w:color="000000" w:sz="4" w:space="0"/>
              <w:bottom w:val="single" w:color="000000" w:sz="4" w:space="0"/>
              <w:right w:val="single" w:color="000000" w:sz="4" w:space="0"/>
            </w:tcBorders>
            <w:noWrap w:val="0"/>
            <w:vAlign w:val="center"/>
          </w:tcPr>
          <w:p w14:paraId="725E287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G250919011001</w:t>
            </w:r>
          </w:p>
        </w:tc>
        <w:tc>
          <w:tcPr>
            <w:tcW w:w="2094" w:type="dxa"/>
            <w:tcBorders>
              <w:top w:val="single" w:color="000000" w:sz="4" w:space="0"/>
              <w:left w:val="single" w:color="000000" w:sz="4" w:space="0"/>
              <w:bottom w:val="single" w:color="000000" w:sz="4" w:space="0"/>
              <w:right w:val="single" w:color="000000" w:sz="4" w:space="0"/>
            </w:tcBorders>
            <w:noWrap w:val="0"/>
            <w:vAlign w:val="center"/>
          </w:tcPr>
          <w:p w14:paraId="2B0F27A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G250919011101</w:t>
            </w:r>
          </w:p>
        </w:tc>
        <w:tc>
          <w:tcPr>
            <w:tcW w:w="1220" w:type="dxa"/>
            <w:vMerge w:val="continue"/>
            <w:tcBorders>
              <w:left w:val="single" w:color="000000" w:sz="4" w:space="0"/>
              <w:bottom w:val="single" w:color="000000" w:sz="4" w:space="0"/>
            </w:tcBorders>
            <w:noWrap w:val="0"/>
            <w:vAlign w:val="center"/>
          </w:tcPr>
          <w:p w14:paraId="060C87F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p>
        </w:tc>
      </w:tr>
      <w:tr w14:paraId="489EF93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2154" w:type="dxa"/>
            <w:tcBorders>
              <w:top w:val="single" w:color="000000" w:sz="4" w:space="0"/>
              <w:bottom w:val="single" w:color="000000" w:sz="4" w:space="0"/>
              <w:right w:val="single" w:color="000000" w:sz="4" w:space="0"/>
            </w:tcBorders>
            <w:noWrap w:val="0"/>
            <w:vAlign w:val="center"/>
          </w:tcPr>
          <w:p w14:paraId="7636B5E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eastAsia" w:ascii="Times New Roman" w:hAnsi="Times New Roman" w:eastAsia="宋体" w:cs="Times New Roman"/>
                <w:b/>
                <w:sz w:val="21"/>
                <w:szCs w:val="21"/>
                <w:highlight w:val="none"/>
              </w:rPr>
              <w:t>pH</w:t>
            </w:r>
          </w:p>
        </w:tc>
        <w:tc>
          <w:tcPr>
            <w:tcW w:w="1570" w:type="dxa"/>
            <w:tcBorders>
              <w:top w:val="single" w:color="000000" w:sz="4" w:space="0"/>
              <w:left w:val="single" w:color="000000" w:sz="4" w:space="0"/>
              <w:bottom w:val="single" w:color="000000" w:sz="4" w:space="0"/>
              <w:right w:val="single" w:color="000000" w:sz="4" w:space="0"/>
            </w:tcBorders>
            <w:noWrap w:val="0"/>
            <w:vAlign w:val="center"/>
          </w:tcPr>
          <w:p w14:paraId="0F3342AF">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eastAsia" w:ascii="Times New Roman" w:hAnsi="Times New Roman" w:eastAsia="宋体" w:cs="Times New Roman"/>
                <w:b/>
                <w:spacing w:val="-4"/>
                <w:sz w:val="21"/>
                <w:szCs w:val="21"/>
                <w:highlight w:val="none"/>
              </w:rPr>
            </w:pPr>
            <w:r>
              <w:rPr>
                <w:rFonts w:hint="eastAsia" w:ascii="Times New Roman" w:hAnsi="Times New Roman" w:eastAsia="宋体" w:cs="Times New Roman"/>
                <w:b/>
                <w:spacing w:val="-4"/>
                <w:sz w:val="21"/>
                <w:szCs w:val="21"/>
                <w:highlight w:val="none"/>
              </w:rPr>
              <w:t>无量纲</w:t>
            </w:r>
          </w:p>
        </w:tc>
        <w:tc>
          <w:tcPr>
            <w:tcW w:w="2094" w:type="dxa"/>
            <w:tcBorders>
              <w:top w:val="single" w:color="000000" w:sz="4" w:space="0"/>
              <w:left w:val="single" w:color="000000" w:sz="4" w:space="0"/>
              <w:bottom w:val="single" w:color="000000" w:sz="4" w:space="0"/>
              <w:right w:val="single" w:color="000000" w:sz="4" w:space="0"/>
            </w:tcBorders>
            <w:noWrap w:val="0"/>
            <w:vAlign w:val="center"/>
          </w:tcPr>
          <w:p w14:paraId="0A6B6DA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7.79</w:t>
            </w:r>
          </w:p>
        </w:tc>
        <w:tc>
          <w:tcPr>
            <w:tcW w:w="2094" w:type="dxa"/>
            <w:tcBorders>
              <w:top w:val="single" w:color="000000" w:sz="4" w:space="0"/>
              <w:left w:val="single" w:color="000000" w:sz="4" w:space="0"/>
              <w:bottom w:val="single" w:color="000000" w:sz="4" w:space="0"/>
              <w:right w:val="single" w:color="000000" w:sz="4" w:space="0"/>
            </w:tcBorders>
            <w:noWrap w:val="0"/>
            <w:vAlign w:val="center"/>
          </w:tcPr>
          <w:p w14:paraId="149153A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7.47</w:t>
            </w:r>
          </w:p>
        </w:tc>
        <w:tc>
          <w:tcPr>
            <w:tcW w:w="1220" w:type="dxa"/>
            <w:tcBorders>
              <w:top w:val="single" w:color="000000" w:sz="4" w:space="0"/>
              <w:left w:val="single" w:color="000000" w:sz="4" w:space="0"/>
              <w:bottom w:val="single" w:color="000000" w:sz="4" w:space="0"/>
            </w:tcBorders>
            <w:noWrap w:val="0"/>
            <w:vAlign w:val="center"/>
          </w:tcPr>
          <w:p w14:paraId="5866386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w:t>
            </w:r>
          </w:p>
        </w:tc>
      </w:tr>
      <w:tr w14:paraId="6BB73F5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2154" w:type="dxa"/>
            <w:tcBorders>
              <w:top w:val="single" w:color="000000" w:sz="4" w:space="0"/>
              <w:bottom w:val="single" w:color="000000" w:sz="4" w:space="0"/>
              <w:right w:val="single" w:color="000000" w:sz="4" w:space="0"/>
            </w:tcBorders>
            <w:noWrap w:val="0"/>
            <w:vAlign w:val="center"/>
          </w:tcPr>
          <w:p w14:paraId="06BB2C7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kern w:val="0"/>
                <w:sz w:val="21"/>
                <w:szCs w:val="21"/>
                <w:highlight w:val="none"/>
              </w:rPr>
            </w:pPr>
            <w:r>
              <w:rPr>
                <w:rFonts w:hint="default" w:ascii="Times New Roman" w:hAnsi="Times New Roman" w:eastAsia="宋体" w:cs="Times New Roman"/>
                <w:b/>
                <w:sz w:val="21"/>
                <w:szCs w:val="21"/>
                <w:highlight w:val="none"/>
              </w:rPr>
              <w:t>石油烃（C</w:t>
            </w:r>
            <w:r>
              <w:rPr>
                <w:rFonts w:hint="default" w:ascii="Times New Roman" w:hAnsi="Times New Roman" w:eastAsia="宋体" w:cs="Times New Roman"/>
                <w:b/>
                <w:sz w:val="21"/>
                <w:szCs w:val="21"/>
                <w:highlight w:val="none"/>
                <w:vertAlign w:val="subscript"/>
              </w:rPr>
              <w:t>10</w:t>
            </w:r>
            <w:r>
              <w:rPr>
                <w:rFonts w:hint="default" w:ascii="Times New Roman" w:hAnsi="Times New Roman" w:eastAsia="宋体" w:cs="Times New Roman"/>
                <w:b/>
                <w:sz w:val="21"/>
                <w:szCs w:val="21"/>
                <w:highlight w:val="none"/>
              </w:rPr>
              <w:t>-C</w:t>
            </w:r>
            <w:r>
              <w:rPr>
                <w:rFonts w:hint="default" w:ascii="Times New Roman" w:hAnsi="Times New Roman" w:eastAsia="宋体" w:cs="Times New Roman"/>
                <w:b/>
                <w:sz w:val="21"/>
                <w:szCs w:val="21"/>
                <w:highlight w:val="none"/>
                <w:vertAlign w:val="subscript"/>
              </w:rPr>
              <w:t>40</w:t>
            </w:r>
            <w:r>
              <w:rPr>
                <w:rFonts w:hint="default" w:ascii="Times New Roman" w:hAnsi="Times New Roman" w:eastAsia="宋体" w:cs="Times New Roman"/>
                <w:b/>
                <w:sz w:val="21"/>
                <w:szCs w:val="21"/>
                <w:highlight w:val="none"/>
              </w:rPr>
              <w:t>）</w:t>
            </w:r>
          </w:p>
        </w:tc>
        <w:tc>
          <w:tcPr>
            <w:tcW w:w="1570" w:type="dxa"/>
            <w:tcBorders>
              <w:top w:val="single" w:color="000000" w:sz="4" w:space="0"/>
              <w:left w:val="single" w:color="000000" w:sz="4" w:space="0"/>
              <w:bottom w:val="single" w:color="000000" w:sz="4" w:space="0"/>
              <w:right w:val="single" w:color="000000" w:sz="4" w:space="0"/>
            </w:tcBorders>
            <w:noWrap w:val="0"/>
            <w:vAlign w:val="center"/>
          </w:tcPr>
          <w:p w14:paraId="4688E754">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highlight w:val="none"/>
              </w:rPr>
            </w:pPr>
            <w:r>
              <w:rPr>
                <w:rFonts w:hint="eastAsia" w:ascii="Times New Roman" w:hAnsi="Times New Roman" w:eastAsia="宋体" w:cs="Times New Roman"/>
                <w:b/>
                <w:spacing w:val="-4"/>
                <w:sz w:val="21"/>
                <w:szCs w:val="21"/>
                <w:highlight w:val="none"/>
              </w:rPr>
              <w:t>m</w:t>
            </w:r>
            <w:r>
              <w:rPr>
                <w:rFonts w:hint="default" w:ascii="Times New Roman" w:hAnsi="Times New Roman" w:eastAsia="宋体" w:cs="Times New Roman"/>
                <w:b/>
                <w:spacing w:val="-4"/>
                <w:sz w:val="21"/>
                <w:szCs w:val="21"/>
                <w:highlight w:val="none"/>
              </w:rPr>
              <w:t>g/kg</w:t>
            </w:r>
          </w:p>
        </w:tc>
        <w:tc>
          <w:tcPr>
            <w:tcW w:w="2094" w:type="dxa"/>
            <w:tcBorders>
              <w:top w:val="single" w:color="000000" w:sz="4" w:space="0"/>
              <w:left w:val="single" w:color="000000" w:sz="4" w:space="0"/>
              <w:bottom w:val="single" w:color="000000" w:sz="4" w:space="0"/>
              <w:right w:val="single" w:color="000000" w:sz="4" w:space="0"/>
            </w:tcBorders>
            <w:noWrap w:val="0"/>
            <w:vAlign w:val="center"/>
          </w:tcPr>
          <w:p w14:paraId="72E288B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6L</w:t>
            </w:r>
          </w:p>
        </w:tc>
        <w:tc>
          <w:tcPr>
            <w:tcW w:w="2094" w:type="dxa"/>
            <w:tcBorders>
              <w:top w:val="single" w:color="000000" w:sz="4" w:space="0"/>
              <w:left w:val="single" w:color="000000" w:sz="4" w:space="0"/>
              <w:bottom w:val="single" w:color="000000" w:sz="4" w:space="0"/>
              <w:right w:val="single" w:color="000000" w:sz="4" w:space="0"/>
            </w:tcBorders>
            <w:noWrap w:val="0"/>
            <w:vAlign w:val="center"/>
          </w:tcPr>
          <w:p w14:paraId="162E74D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6L</w:t>
            </w:r>
          </w:p>
        </w:tc>
        <w:tc>
          <w:tcPr>
            <w:tcW w:w="1220" w:type="dxa"/>
            <w:tcBorders>
              <w:top w:val="single" w:color="000000" w:sz="4" w:space="0"/>
              <w:left w:val="single" w:color="000000" w:sz="4" w:space="0"/>
              <w:bottom w:val="single" w:color="000000" w:sz="4" w:space="0"/>
            </w:tcBorders>
            <w:noWrap w:val="0"/>
            <w:vAlign w:val="center"/>
          </w:tcPr>
          <w:p w14:paraId="7489729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4500</w:t>
            </w:r>
          </w:p>
        </w:tc>
      </w:tr>
      <w:tr w14:paraId="157FEC7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2154" w:type="dxa"/>
            <w:tcBorders>
              <w:top w:val="single" w:color="000000" w:sz="4" w:space="0"/>
              <w:bottom w:val="single" w:color="000000" w:sz="4" w:space="0"/>
              <w:right w:val="single" w:color="000000" w:sz="4" w:space="0"/>
            </w:tcBorders>
            <w:noWrap w:val="0"/>
            <w:vAlign w:val="center"/>
          </w:tcPr>
          <w:p w14:paraId="7E9E611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Calibri" w:hAnsi="Calibri" w:eastAsia="宋体" w:cs="Calibri"/>
                <w:b/>
                <w:kern w:val="0"/>
                <w:sz w:val="21"/>
                <w:szCs w:val="21"/>
                <w:highlight w:val="none"/>
              </w:rPr>
            </w:pPr>
            <w:r>
              <w:rPr>
                <w:rFonts w:hint="eastAsia" w:ascii="Calibri" w:hAnsi="Calibri" w:eastAsia="宋体" w:cs="Calibri"/>
                <w:b/>
                <w:kern w:val="0"/>
                <w:sz w:val="21"/>
                <w:szCs w:val="21"/>
                <w:highlight w:val="none"/>
              </w:rPr>
              <w:t>阳离子交换量</w:t>
            </w:r>
          </w:p>
        </w:tc>
        <w:tc>
          <w:tcPr>
            <w:tcW w:w="1570" w:type="dxa"/>
            <w:tcBorders>
              <w:top w:val="single" w:color="000000" w:sz="4" w:space="0"/>
              <w:left w:val="single" w:color="000000" w:sz="4" w:space="0"/>
              <w:bottom w:val="single" w:color="000000" w:sz="4" w:space="0"/>
              <w:right w:val="single" w:color="000000" w:sz="4" w:space="0"/>
            </w:tcBorders>
            <w:noWrap w:val="0"/>
            <w:vAlign w:val="center"/>
          </w:tcPr>
          <w:p w14:paraId="70632AD3">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pacing w:val="-4"/>
                <w:sz w:val="21"/>
                <w:szCs w:val="21"/>
                <w:highlight w:val="none"/>
              </w:rPr>
            </w:pPr>
            <w:r>
              <w:rPr>
                <w:rFonts w:hint="default" w:ascii="Times New Roman" w:hAnsi="Times New Roman" w:eastAsia="宋体" w:cs="Times New Roman"/>
                <w:b/>
                <w:spacing w:val="-4"/>
                <w:sz w:val="21"/>
                <w:szCs w:val="21"/>
                <w:highlight w:val="none"/>
              </w:rPr>
              <w:t>cmol+ /kg</w:t>
            </w:r>
          </w:p>
        </w:tc>
        <w:tc>
          <w:tcPr>
            <w:tcW w:w="2094" w:type="dxa"/>
            <w:tcBorders>
              <w:top w:val="single" w:color="000000" w:sz="4" w:space="0"/>
              <w:left w:val="single" w:color="000000" w:sz="4" w:space="0"/>
              <w:bottom w:val="single" w:color="000000" w:sz="4" w:space="0"/>
              <w:right w:val="single" w:color="000000" w:sz="4" w:space="0"/>
            </w:tcBorders>
            <w:noWrap w:val="0"/>
            <w:vAlign w:val="center"/>
          </w:tcPr>
          <w:p w14:paraId="5D3C979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4.2</w:t>
            </w:r>
          </w:p>
        </w:tc>
        <w:tc>
          <w:tcPr>
            <w:tcW w:w="2094" w:type="dxa"/>
            <w:tcBorders>
              <w:top w:val="single" w:color="000000" w:sz="4" w:space="0"/>
              <w:left w:val="single" w:color="000000" w:sz="4" w:space="0"/>
              <w:bottom w:val="single" w:color="000000" w:sz="4" w:space="0"/>
              <w:right w:val="single" w:color="000000" w:sz="4" w:space="0"/>
            </w:tcBorders>
            <w:noWrap w:val="0"/>
            <w:vAlign w:val="center"/>
          </w:tcPr>
          <w:p w14:paraId="1CDC1264">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3.1</w:t>
            </w:r>
          </w:p>
        </w:tc>
        <w:tc>
          <w:tcPr>
            <w:tcW w:w="1220" w:type="dxa"/>
            <w:tcBorders>
              <w:top w:val="single" w:color="000000" w:sz="4" w:space="0"/>
              <w:left w:val="single" w:color="000000" w:sz="4" w:space="0"/>
              <w:bottom w:val="single" w:color="000000" w:sz="4" w:space="0"/>
            </w:tcBorders>
            <w:noWrap w:val="0"/>
            <w:vAlign w:val="center"/>
          </w:tcPr>
          <w:p w14:paraId="3D60A87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w:t>
            </w:r>
          </w:p>
        </w:tc>
      </w:tr>
      <w:tr w14:paraId="33406A2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2154" w:type="dxa"/>
            <w:tcBorders>
              <w:top w:val="single" w:color="000000" w:sz="4" w:space="0"/>
              <w:bottom w:val="single" w:color="000000" w:sz="4" w:space="0"/>
              <w:right w:val="single" w:color="000000" w:sz="4" w:space="0"/>
            </w:tcBorders>
            <w:noWrap w:val="0"/>
            <w:vAlign w:val="center"/>
          </w:tcPr>
          <w:p w14:paraId="742D66E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Calibri" w:hAnsi="Calibri" w:eastAsia="宋体" w:cs="Calibri"/>
                <w:b/>
                <w:kern w:val="0"/>
                <w:sz w:val="21"/>
                <w:szCs w:val="21"/>
                <w:highlight w:val="none"/>
              </w:rPr>
            </w:pPr>
            <w:r>
              <w:rPr>
                <w:rFonts w:hint="eastAsia" w:ascii="Calibri" w:hAnsi="Calibri" w:eastAsia="宋体" w:cs="Calibri"/>
                <w:b/>
                <w:kern w:val="0"/>
                <w:sz w:val="21"/>
                <w:szCs w:val="21"/>
                <w:highlight w:val="none"/>
              </w:rPr>
              <w:t>氧化还原电位</w:t>
            </w:r>
          </w:p>
        </w:tc>
        <w:tc>
          <w:tcPr>
            <w:tcW w:w="1570" w:type="dxa"/>
            <w:tcBorders>
              <w:top w:val="single" w:color="000000" w:sz="4" w:space="0"/>
              <w:left w:val="single" w:color="000000" w:sz="4" w:space="0"/>
              <w:bottom w:val="single" w:color="000000" w:sz="4" w:space="0"/>
              <w:right w:val="single" w:color="000000" w:sz="4" w:space="0"/>
            </w:tcBorders>
            <w:noWrap w:val="0"/>
            <w:vAlign w:val="center"/>
          </w:tcPr>
          <w:p w14:paraId="1ED85F96">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pacing w:val="-4"/>
                <w:sz w:val="21"/>
                <w:szCs w:val="21"/>
                <w:highlight w:val="none"/>
              </w:rPr>
            </w:pPr>
            <w:r>
              <w:rPr>
                <w:rFonts w:hint="eastAsia" w:ascii="Times New Roman" w:hAnsi="Times New Roman" w:eastAsia="宋体" w:cs="Times New Roman"/>
                <w:b/>
                <w:spacing w:val="-4"/>
                <w:sz w:val="21"/>
                <w:szCs w:val="21"/>
                <w:highlight w:val="none"/>
              </w:rPr>
              <w:t>mV</w:t>
            </w:r>
          </w:p>
        </w:tc>
        <w:tc>
          <w:tcPr>
            <w:tcW w:w="2094" w:type="dxa"/>
            <w:tcBorders>
              <w:top w:val="single" w:color="000000" w:sz="4" w:space="0"/>
              <w:left w:val="single" w:color="000000" w:sz="4" w:space="0"/>
              <w:bottom w:val="single" w:color="000000" w:sz="4" w:space="0"/>
              <w:right w:val="single" w:color="000000" w:sz="4" w:space="0"/>
            </w:tcBorders>
            <w:noWrap w:val="0"/>
            <w:vAlign w:val="center"/>
          </w:tcPr>
          <w:p w14:paraId="740C94B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138</w:t>
            </w:r>
          </w:p>
        </w:tc>
        <w:tc>
          <w:tcPr>
            <w:tcW w:w="2094" w:type="dxa"/>
            <w:tcBorders>
              <w:top w:val="single" w:color="000000" w:sz="4" w:space="0"/>
              <w:left w:val="single" w:color="000000" w:sz="4" w:space="0"/>
              <w:bottom w:val="single" w:color="000000" w:sz="4" w:space="0"/>
              <w:right w:val="single" w:color="000000" w:sz="4" w:space="0"/>
            </w:tcBorders>
            <w:noWrap w:val="0"/>
            <w:vAlign w:val="center"/>
          </w:tcPr>
          <w:p w14:paraId="3058477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174</w:t>
            </w:r>
          </w:p>
        </w:tc>
        <w:tc>
          <w:tcPr>
            <w:tcW w:w="1220" w:type="dxa"/>
            <w:tcBorders>
              <w:top w:val="single" w:color="000000" w:sz="4" w:space="0"/>
              <w:left w:val="single" w:color="000000" w:sz="4" w:space="0"/>
              <w:bottom w:val="single" w:color="000000" w:sz="4" w:space="0"/>
            </w:tcBorders>
            <w:noWrap w:val="0"/>
            <w:vAlign w:val="center"/>
          </w:tcPr>
          <w:p w14:paraId="18B833BD">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w:t>
            </w:r>
          </w:p>
        </w:tc>
      </w:tr>
      <w:tr w14:paraId="5D2FE6A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2154" w:type="dxa"/>
            <w:tcBorders>
              <w:top w:val="single" w:color="000000" w:sz="4" w:space="0"/>
              <w:bottom w:val="single" w:color="000000" w:sz="12" w:space="0"/>
              <w:right w:val="single" w:color="000000" w:sz="4" w:space="0"/>
            </w:tcBorders>
            <w:noWrap w:val="0"/>
            <w:vAlign w:val="center"/>
          </w:tcPr>
          <w:p w14:paraId="05C7FE5E">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Calibri" w:hAnsi="Calibri" w:eastAsia="宋体" w:cs="Calibri"/>
                <w:b/>
                <w:kern w:val="0"/>
                <w:sz w:val="21"/>
                <w:szCs w:val="21"/>
                <w:highlight w:val="none"/>
              </w:rPr>
            </w:pPr>
            <w:r>
              <w:rPr>
                <w:rFonts w:hint="eastAsia" w:ascii="Calibri" w:hAnsi="Calibri" w:eastAsia="宋体" w:cs="Calibri"/>
                <w:b/>
                <w:kern w:val="0"/>
                <w:sz w:val="21"/>
                <w:szCs w:val="21"/>
                <w:highlight w:val="none"/>
              </w:rPr>
              <w:t>容重</w:t>
            </w:r>
          </w:p>
        </w:tc>
        <w:tc>
          <w:tcPr>
            <w:tcW w:w="1570" w:type="dxa"/>
            <w:tcBorders>
              <w:top w:val="single" w:color="000000" w:sz="4" w:space="0"/>
              <w:left w:val="single" w:color="000000" w:sz="4" w:space="0"/>
              <w:bottom w:val="single" w:color="000000" w:sz="12" w:space="0"/>
              <w:right w:val="single" w:color="000000" w:sz="4" w:space="0"/>
            </w:tcBorders>
            <w:noWrap w:val="0"/>
            <w:vAlign w:val="center"/>
          </w:tcPr>
          <w:p w14:paraId="703C476E">
            <w:pPr>
              <w:keepNext w:val="0"/>
              <w:keepLines w:val="0"/>
              <w:suppressLineNumbers w:val="0"/>
              <w:wordWrap/>
              <w:adjustRightInd/>
              <w:snapToGrid w:val="0"/>
              <w:spacing w:before="0" w:beforeAutospacing="0" w:after="0" w:afterAutospacing="0" w:line="240" w:lineRule="auto"/>
              <w:ind w:left="0" w:right="0" w:firstLine="0" w:firstLineChars="0"/>
              <w:jc w:val="center"/>
              <w:rPr>
                <w:rFonts w:hint="eastAsia" w:ascii="Times New Roman" w:hAnsi="Times New Roman" w:eastAsia="宋体" w:cs="Times New Roman"/>
                <w:b/>
                <w:spacing w:val="-4"/>
                <w:sz w:val="21"/>
                <w:szCs w:val="21"/>
                <w:highlight w:val="none"/>
              </w:rPr>
            </w:pPr>
            <w:r>
              <w:rPr>
                <w:rFonts w:hint="eastAsia" w:ascii="Times New Roman" w:hAnsi="Times New Roman" w:eastAsia="宋体" w:cs="Times New Roman"/>
                <w:b/>
                <w:color w:val="000000"/>
                <w:sz w:val="21"/>
                <w:szCs w:val="21"/>
                <w:highlight w:val="none"/>
              </w:rPr>
              <w:t>g</w:t>
            </w:r>
            <w:r>
              <w:rPr>
                <w:rFonts w:hint="default" w:ascii="Times New Roman" w:hAnsi="Times New Roman" w:eastAsia="宋体" w:cs="Times New Roman"/>
                <w:b/>
                <w:color w:val="000000"/>
                <w:sz w:val="21"/>
                <w:szCs w:val="21"/>
                <w:highlight w:val="none"/>
              </w:rPr>
              <w:t>/</w:t>
            </w:r>
            <w:r>
              <w:rPr>
                <w:rFonts w:hint="eastAsia" w:ascii="Times New Roman" w:hAnsi="Times New Roman" w:eastAsia="宋体" w:cs="Times New Roman"/>
                <w:b/>
                <w:color w:val="000000"/>
                <w:sz w:val="21"/>
                <w:szCs w:val="21"/>
                <w:highlight w:val="none"/>
              </w:rPr>
              <w:t>cm</w:t>
            </w:r>
            <w:r>
              <w:rPr>
                <w:rFonts w:hint="eastAsia" w:ascii="Times New Roman" w:hAnsi="Times New Roman" w:eastAsia="宋体" w:cs="Times New Roman"/>
                <w:b/>
                <w:color w:val="000000"/>
                <w:sz w:val="21"/>
                <w:szCs w:val="21"/>
                <w:highlight w:val="none"/>
                <w:vertAlign w:val="superscript"/>
              </w:rPr>
              <w:t>3</w:t>
            </w:r>
          </w:p>
        </w:tc>
        <w:tc>
          <w:tcPr>
            <w:tcW w:w="2094" w:type="dxa"/>
            <w:tcBorders>
              <w:top w:val="single" w:color="000000" w:sz="4" w:space="0"/>
              <w:left w:val="single" w:color="000000" w:sz="4" w:space="0"/>
              <w:bottom w:val="single" w:color="000000" w:sz="12" w:space="0"/>
              <w:right w:val="single" w:color="000000" w:sz="4" w:space="0"/>
            </w:tcBorders>
            <w:noWrap w:val="0"/>
            <w:vAlign w:val="center"/>
          </w:tcPr>
          <w:p w14:paraId="3677112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1.40</w:t>
            </w:r>
          </w:p>
        </w:tc>
        <w:tc>
          <w:tcPr>
            <w:tcW w:w="2094" w:type="dxa"/>
            <w:tcBorders>
              <w:top w:val="single" w:color="000000" w:sz="4" w:space="0"/>
              <w:left w:val="single" w:color="000000" w:sz="4" w:space="0"/>
              <w:bottom w:val="single" w:color="000000" w:sz="12" w:space="0"/>
              <w:right w:val="single" w:color="000000" w:sz="4" w:space="0"/>
            </w:tcBorders>
            <w:noWrap w:val="0"/>
            <w:vAlign w:val="center"/>
          </w:tcPr>
          <w:p w14:paraId="7658ED1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1.36</w:t>
            </w:r>
          </w:p>
        </w:tc>
        <w:tc>
          <w:tcPr>
            <w:tcW w:w="1220" w:type="dxa"/>
            <w:tcBorders>
              <w:top w:val="single" w:color="000000" w:sz="4" w:space="0"/>
              <w:left w:val="single" w:color="000000" w:sz="4" w:space="0"/>
              <w:bottom w:val="single" w:color="000000" w:sz="12" w:space="0"/>
            </w:tcBorders>
            <w:noWrap w:val="0"/>
            <w:vAlign w:val="center"/>
          </w:tcPr>
          <w:p w14:paraId="6ED4EE0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sz w:val="21"/>
                <w:szCs w:val="21"/>
                <w:highlight w:val="none"/>
              </w:rPr>
            </w:pPr>
            <w:r>
              <w:rPr>
                <w:rFonts w:hint="eastAsia" w:ascii="Times New Roman" w:hAnsi="Times New Roman" w:eastAsia="宋体" w:cs="Times New Roman"/>
                <w:bCs/>
                <w:sz w:val="21"/>
                <w:szCs w:val="21"/>
                <w:highlight w:val="none"/>
              </w:rPr>
              <w:t>/</w:t>
            </w:r>
          </w:p>
        </w:tc>
      </w:tr>
    </w:tbl>
    <w:p w14:paraId="0943C791">
      <w:pPr>
        <w:pStyle w:val="6"/>
        <w:bidi w:val="0"/>
        <w:rPr>
          <w:rFonts w:hint="default"/>
          <w:highlight w:val="none"/>
          <w:lang w:val="en-US"/>
        </w:rPr>
      </w:pPr>
      <w:r>
        <w:rPr>
          <w:rFonts w:hint="default"/>
          <w:highlight w:val="none"/>
          <w:lang w:val="en-US" w:eastAsia="zh-CN"/>
        </w:rPr>
        <w:t>4.2.5.2</w:t>
      </w:r>
      <w:r>
        <w:rPr>
          <w:rFonts w:hint="eastAsia"/>
          <w:highlight w:val="none"/>
          <w:lang w:val="en-US" w:eastAsia="zh-CN"/>
        </w:rPr>
        <w:t>评价方法</w:t>
      </w:r>
      <w:bookmarkEnd w:id="358"/>
    </w:p>
    <w:p w14:paraId="56F1F9A6">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360" w:lineRule="auto"/>
        <w:ind w:left="0" w:right="0" w:firstLine="480" w:firstLineChars="200"/>
        <w:jc w:val="both"/>
        <w:textAlignment w:val="auto"/>
        <w:outlineLvl w:val="9"/>
        <w:rPr>
          <w:rFonts w:hint="default" w:ascii="Times New Roman" w:hAnsi="Times New Roman" w:cs="Times New Roman"/>
          <w:snapToGrid w:val="0"/>
          <w:kern w:val="24"/>
          <w:highlight w:val="none"/>
          <w:lang w:val="en-US"/>
        </w:rPr>
      </w:pPr>
      <w:bookmarkStart w:id="373" w:name="_Toc27428"/>
      <w:r>
        <w:rPr>
          <w:rFonts w:hint="eastAsia" w:ascii="Times New Roman" w:hAnsi="Times New Roman" w:eastAsia="宋体" w:cs="宋体"/>
          <w:snapToGrid w:val="0"/>
          <w:kern w:val="24"/>
          <w:sz w:val="24"/>
          <w:szCs w:val="24"/>
          <w:highlight w:val="none"/>
          <w:lang w:val="en-US" w:eastAsia="zh-CN" w:bidi="ar"/>
        </w:rPr>
        <w:t>土壤质量评价采用单因子标准指数法进行评价。</w:t>
      </w:r>
      <w:bookmarkEnd w:id="373"/>
    </w:p>
    <w:p w14:paraId="523BE759">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360" w:lineRule="auto"/>
        <w:ind w:left="0" w:right="0" w:firstLine="480" w:firstLineChars="200"/>
        <w:jc w:val="both"/>
        <w:textAlignment w:val="auto"/>
        <w:outlineLvl w:val="9"/>
        <w:rPr>
          <w:rFonts w:hint="default" w:ascii="Times New Roman" w:hAnsi="Times New Roman" w:cs="Times New Roman"/>
          <w:snapToGrid w:val="0"/>
          <w:kern w:val="24"/>
          <w:highlight w:val="none"/>
          <w:lang w:val="en-US"/>
        </w:rPr>
      </w:pPr>
      <w:bookmarkStart w:id="374" w:name="_Toc32335"/>
      <w:r>
        <w:rPr>
          <w:rFonts w:hint="eastAsia" w:ascii="Times New Roman" w:hAnsi="Times New Roman" w:eastAsia="宋体" w:cs="宋体"/>
          <w:snapToGrid w:val="0"/>
          <w:kern w:val="24"/>
          <w:sz w:val="24"/>
          <w:szCs w:val="24"/>
          <w:highlight w:val="none"/>
          <w:lang w:val="en-US" w:eastAsia="zh-CN" w:bidi="ar"/>
        </w:rPr>
        <w:t>单因子标准指数法评价公式如下：</w:t>
      </w:r>
      <w:bookmarkEnd w:id="374"/>
    </w:p>
    <w:p w14:paraId="54776D27">
      <w:pPr>
        <w:bidi w:val="0"/>
        <w:jc w:val="center"/>
        <w:rPr>
          <w:rFonts w:hint="default"/>
          <w:highlight w:val="none"/>
          <w:lang w:val="en-US"/>
        </w:rPr>
      </w:pPr>
      <w:bookmarkStart w:id="375" w:name="_Toc483218424"/>
      <w:bookmarkStart w:id="376" w:name="_Toc22980"/>
      <w:r>
        <w:rPr>
          <w:rFonts w:hint="default"/>
          <w:highlight w:val="none"/>
          <w:lang w:val="en-US" w:eastAsia="zh-CN"/>
        </w:rPr>
        <w:t>Pi=Ci/Si</w:t>
      </w:r>
      <w:bookmarkEnd w:id="375"/>
      <w:bookmarkEnd w:id="376"/>
    </w:p>
    <w:p w14:paraId="2F096FC9">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360" w:lineRule="auto"/>
        <w:ind w:left="0" w:right="0" w:firstLine="480" w:firstLineChars="200"/>
        <w:jc w:val="both"/>
        <w:textAlignment w:val="auto"/>
        <w:outlineLvl w:val="9"/>
        <w:rPr>
          <w:rFonts w:hint="default" w:ascii="Times New Roman" w:hAnsi="Times New Roman" w:cs="Times New Roman"/>
          <w:snapToGrid w:val="0"/>
          <w:kern w:val="24"/>
          <w:highlight w:val="none"/>
          <w:lang w:val="en-US"/>
        </w:rPr>
      </w:pPr>
      <w:bookmarkStart w:id="377" w:name="_Toc7988"/>
      <w:r>
        <w:rPr>
          <w:rFonts w:hint="eastAsia" w:ascii="Times New Roman" w:hAnsi="Times New Roman" w:eastAsia="宋体" w:cs="宋体"/>
          <w:snapToGrid w:val="0"/>
          <w:kern w:val="24"/>
          <w:sz w:val="24"/>
          <w:szCs w:val="24"/>
          <w:highlight w:val="none"/>
          <w:lang w:val="en-US" w:eastAsia="zh-CN" w:bidi="ar"/>
        </w:rPr>
        <w:t>式中：</w:t>
      </w:r>
      <w:r>
        <w:rPr>
          <w:rFonts w:hint="default" w:ascii="Times New Roman" w:hAnsi="Times New Roman" w:eastAsia="宋体" w:cs="Times New Roman"/>
          <w:snapToGrid w:val="0"/>
          <w:kern w:val="24"/>
          <w:sz w:val="24"/>
          <w:szCs w:val="24"/>
          <w:highlight w:val="none"/>
          <w:lang w:val="en-US" w:eastAsia="zh-CN" w:bidi="ar"/>
        </w:rPr>
        <w:t>Pi――</w:t>
      </w:r>
      <w:r>
        <w:rPr>
          <w:rFonts w:hint="eastAsia" w:ascii="Times New Roman" w:hAnsi="Times New Roman" w:eastAsia="宋体" w:cs="宋体"/>
          <w:snapToGrid w:val="0"/>
          <w:kern w:val="24"/>
          <w:sz w:val="24"/>
          <w:szCs w:val="24"/>
          <w:highlight w:val="none"/>
          <w:lang w:val="en-US" w:eastAsia="zh-CN" w:bidi="ar"/>
        </w:rPr>
        <w:t>土壤污染物的标准指数，标准指数大于</w:t>
      </w:r>
      <w:r>
        <w:rPr>
          <w:rFonts w:hint="default" w:ascii="Times New Roman" w:hAnsi="Times New Roman" w:eastAsia="宋体" w:cs="Times New Roman"/>
          <w:snapToGrid w:val="0"/>
          <w:kern w:val="24"/>
          <w:sz w:val="24"/>
          <w:szCs w:val="24"/>
          <w:highlight w:val="none"/>
          <w:lang w:val="en-US" w:eastAsia="zh-CN" w:bidi="ar"/>
        </w:rPr>
        <w:t>1</w:t>
      </w:r>
      <w:r>
        <w:rPr>
          <w:rFonts w:hint="eastAsia" w:ascii="Times New Roman" w:hAnsi="Times New Roman" w:eastAsia="宋体" w:cs="宋体"/>
          <w:snapToGrid w:val="0"/>
          <w:kern w:val="24"/>
          <w:sz w:val="24"/>
          <w:szCs w:val="24"/>
          <w:highlight w:val="none"/>
          <w:lang w:val="en-US" w:eastAsia="zh-CN" w:bidi="ar"/>
        </w:rPr>
        <w:t>，说明土壤已受到污染物的污染；</w:t>
      </w:r>
      <w:bookmarkEnd w:id="377"/>
    </w:p>
    <w:p w14:paraId="6B818801">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360" w:lineRule="auto"/>
        <w:ind w:left="0" w:right="0" w:firstLine="480" w:firstLineChars="200"/>
        <w:jc w:val="both"/>
        <w:textAlignment w:val="auto"/>
        <w:outlineLvl w:val="9"/>
        <w:rPr>
          <w:rFonts w:hint="default" w:ascii="Times New Roman" w:hAnsi="Times New Roman" w:cs="Times New Roman"/>
          <w:snapToGrid w:val="0"/>
          <w:kern w:val="24"/>
          <w:highlight w:val="none"/>
          <w:lang w:val="en-US"/>
        </w:rPr>
      </w:pPr>
      <w:bookmarkStart w:id="378" w:name="_Toc17258"/>
      <w:r>
        <w:rPr>
          <w:rFonts w:hint="default" w:ascii="Times New Roman" w:hAnsi="Times New Roman" w:eastAsia="宋体" w:cs="Times New Roman"/>
          <w:snapToGrid w:val="0"/>
          <w:kern w:val="24"/>
          <w:sz w:val="24"/>
          <w:szCs w:val="24"/>
          <w:highlight w:val="none"/>
          <w:lang w:val="en-US" w:eastAsia="zh-CN" w:bidi="ar"/>
        </w:rPr>
        <w:t>Ci――</w:t>
      </w:r>
      <w:r>
        <w:rPr>
          <w:rFonts w:hint="eastAsia" w:ascii="Times New Roman" w:hAnsi="Times New Roman" w:eastAsia="宋体" w:cs="宋体"/>
          <w:snapToGrid w:val="0"/>
          <w:kern w:val="24"/>
          <w:sz w:val="24"/>
          <w:szCs w:val="24"/>
          <w:highlight w:val="none"/>
          <w:lang w:val="en-US" w:eastAsia="zh-CN" w:bidi="ar"/>
        </w:rPr>
        <w:t>土壤中污染物的含量，</w:t>
      </w:r>
      <w:r>
        <w:rPr>
          <w:rFonts w:hint="default" w:ascii="Times New Roman" w:hAnsi="Times New Roman" w:eastAsia="宋体" w:cs="Times New Roman"/>
          <w:snapToGrid w:val="0"/>
          <w:kern w:val="24"/>
          <w:sz w:val="24"/>
          <w:szCs w:val="24"/>
          <w:highlight w:val="none"/>
          <w:lang w:val="en-US" w:eastAsia="zh-CN" w:bidi="ar"/>
        </w:rPr>
        <w:t>mg/kg</w:t>
      </w:r>
      <w:r>
        <w:rPr>
          <w:rFonts w:hint="eastAsia" w:ascii="Times New Roman" w:hAnsi="Times New Roman" w:eastAsia="宋体" w:cs="宋体"/>
          <w:snapToGrid w:val="0"/>
          <w:kern w:val="24"/>
          <w:sz w:val="24"/>
          <w:szCs w:val="24"/>
          <w:highlight w:val="none"/>
          <w:lang w:val="en-US" w:eastAsia="zh-CN" w:bidi="ar"/>
        </w:rPr>
        <w:t>；</w:t>
      </w:r>
      <w:bookmarkEnd w:id="378"/>
    </w:p>
    <w:p w14:paraId="4F16C726">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360" w:lineRule="auto"/>
        <w:ind w:left="0" w:right="0" w:firstLine="480" w:firstLineChars="200"/>
        <w:jc w:val="both"/>
        <w:textAlignment w:val="auto"/>
        <w:outlineLvl w:val="9"/>
        <w:rPr>
          <w:rFonts w:hint="default" w:ascii="Times New Roman" w:hAnsi="Times New Roman" w:cs="Times New Roman"/>
          <w:snapToGrid w:val="0"/>
          <w:kern w:val="24"/>
          <w:highlight w:val="none"/>
          <w:lang w:val="en-US"/>
        </w:rPr>
      </w:pPr>
      <w:bookmarkStart w:id="379" w:name="_Toc17769"/>
      <w:r>
        <w:rPr>
          <w:rFonts w:hint="default" w:ascii="Times New Roman" w:hAnsi="Times New Roman" w:eastAsia="宋体" w:cs="Times New Roman"/>
          <w:snapToGrid w:val="0"/>
          <w:kern w:val="24"/>
          <w:sz w:val="24"/>
          <w:szCs w:val="24"/>
          <w:highlight w:val="none"/>
          <w:lang w:val="en-US" w:eastAsia="zh-CN" w:bidi="ar"/>
        </w:rPr>
        <w:t>Si――</w:t>
      </w:r>
      <w:r>
        <w:rPr>
          <w:rFonts w:hint="eastAsia" w:ascii="Times New Roman" w:hAnsi="Times New Roman" w:eastAsia="宋体" w:cs="宋体"/>
          <w:snapToGrid w:val="0"/>
          <w:kern w:val="24"/>
          <w:sz w:val="24"/>
          <w:szCs w:val="24"/>
          <w:highlight w:val="none"/>
          <w:lang w:val="en-US" w:eastAsia="zh-CN" w:bidi="ar"/>
        </w:rPr>
        <w:t>土壤质量标准，</w:t>
      </w:r>
      <w:r>
        <w:rPr>
          <w:rFonts w:hint="default" w:ascii="Times New Roman" w:hAnsi="Times New Roman" w:eastAsia="宋体" w:cs="Times New Roman"/>
          <w:snapToGrid w:val="0"/>
          <w:kern w:val="24"/>
          <w:sz w:val="24"/>
          <w:szCs w:val="24"/>
          <w:highlight w:val="none"/>
          <w:lang w:val="en-US" w:eastAsia="zh-CN" w:bidi="ar"/>
        </w:rPr>
        <w:t>mg/kg</w:t>
      </w:r>
      <w:r>
        <w:rPr>
          <w:rFonts w:hint="eastAsia" w:ascii="Times New Roman" w:hAnsi="Times New Roman" w:eastAsia="宋体" w:cs="宋体"/>
          <w:snapToGrid w:val="0"/>
          <w:kern w:val="24"/>
          <w:sz w:val="24"/>
          <w:szCs w:val="24"/>
          <w:highlight w:val="none"/>
          <w:lang w:val="en-US" w:eastAsia="zh-CN" w:bidi="ar"/>
        </w:rPr>
        <w:t>。</w:t>
      </w:r>
      <w:bookmarkEnd w:id="379"/>
    </w:p>
    <w:bookmarkEnd w:id="359"/>
    <w:bookmarkEnd w:id="360"/>
    <w:bookmarkEnd w:id="361"/>
    <w:bookmarkEnd w:id="362"/>
    <w:bookmarkEnd w:id="363"/>
    <w:p w14:paraId="4967DBC3">
      <w:pPr>
        <w:pStyle w:val="6"/>
        <w:bidi w:val="0"/>
        <w:rPr>
          <w:rFonts w:hint="default"/>
          <w:highlight w:val="none"/>
          <w:lang w:val="en-US"/>
        </w:rPr>
      </w:pPr>
      <w:bookmarkStart w:id="380" w:name="_Toc20218"/>
      <w:r>
        <w:rPr>
          <w:rFonts w:hint="default"/>
          <w:highlight w:val="none"/>
          <w:lang w:val="en-US" w:eastAsia="zh-CN"/>
        </w:rPr>
        <w:t>4.2.5.3</w:t>
      </w:r>
      <w:r>
        <w:rPr>
          <w:rFonts w:hint="eastAsia"/>
          <w:highlight w:val="none"/>
          <w:lang w:val="en-US" w:eastAsia="zh-CN"/>
        </w:rPr>
        <w:t>评价标准</w:t>
      </w:r>
      <w:bookmarkEnd w:id="380"/>
    </w:p>
    <w:p w14:paraId="3A770C87">
      <w:pPr>
        <w:bidi w:val="0"/>
        <w:rPr>
          <w:rFonts w:hint="default"/>
          <w:highlight w:val="none"/>
          <w:lang w:val="en-US"/>
        </w:rPr>
      </w:pPr>
      <w:bookmarkStart w:id="381" w:name="_Toc12615"/>
      <w:r>
        <w:rPr>
          <w:rFonts w:hint="eastAsia"/>
          <w:highlight w:val="none"/>
          <w:lang w:val="en-US" w:eastAsia="zh-CN"/>
        </w:rPr>
        <w:t>土壤环境质量评价监测点位结果低于《土壤环境质量建设用地土壤污染风险管控标准（试行）》（</w:t>
      </w:r>
      <w:r>
        <w:rPr>
          <w:rFonts w:hint="default"/>
          <w:highlight w:val="none"/>
          <w:lang w:val="en-US" w:eastAsia="zh-CN"/>
        </w:rPr>
        <w:t>GB36600-2018</w:t>
      </w:r>
      <w:r>
        <w:rPr>
          <w:rFonts w:hint="eastAsia"/>
          <w:highlight w:val="none"/>
          <w:lang w:val="en-US" w:eastAsia="zh-CN"/>
        </w:rPr>
        <w:t>）第二类用地中的筛选值。</w:t>
      </w:r>
      <w:bookmarkEnd w:id="381"/>
    </w:p>
    <w:p w14:paraId="6F7DEDC1">
      <w:pPr>
        <w:pStyle w:val="6"/>
        <w:bidi w:val="0"/>
        <w:rPr>
          <w:rFonts w:hint="default"/>
          <w:highlight w:val="none"/>
          <w:lang w:val="en-US"/>
        </w:rPr>
      </w:pPr>
      <w:bookmarkStart w:id="382" w:name="_Toc17486"/>
      <w:r>
        <w:rPr>
          <w:rFonts w:hint="default"/>
          <w:highlight w:val="none"/>
          <w:lang w:val="en-US" w:eastAsia="zh-CN"/>
        </w:rPr>
        <w:t>4.2.5.4</w:t>
      </w:r>
      <w:r>
        <w:rPr>
          <w:rFonts w:hint="eastAsia"/>
          <w:highlight w:val="none"/>
          <w:lang w:val="en-US" w:eastAsia="zh-CN"/>
        </w:rPr>
        <w:t>监测分析统计结果及评价</w:t>
      </w:r>
      <w:bookmarkEnd w:id="382"/>
    </w:p>
    <w:p w14:paraId="31D55FF9">
      <w:pPr>
        <w:bidi w:val="0"/>
        <w:rPr>
          <w:rFonts w:hint="default"/>
          <w:highlight w:val="none"/>
          <w:lang w:val="en-US"/>
        </w:rPr>
      </w:pPr>
      <w:bookmarkStart w:id="383" w:name="_Toc30882"/>
      <w:r>
        <w:rPr>
          <w:rFonts w:hint="eastAsia"/>
          <w:highlight w:val="none"/>
          <w:lang w:val="en-US" w:eastAsia="zh-CN"/>
        </w:rPr>
        <w:t>土壤监测因子现状评价结果见下表。</w:t>
      </w:r>
      <w:bookmarkEnd w:id="383"/>
    </w:p>
    <w:p w14:paraId="16974AD2">
      <w:pPr>
        <w:pStyle w:val="7"/>
        <w:bidi w:val="0"/>
        <w:rPr>
          <w:rFonts w:hint="default"/>
          <w:highlight w:val="none"/>
          <w:lang w:val="en-US"/>
        </w:rPr>
      </w:pPr>
      <w:r>
        <w:rPr>
          <w:rFonts w:hint="eastAsia"/>
          <w:highlight w:val="none"/>
          <w:lang w:val="en-US" w:eastAsia="zh-CN"/>
        </w:rPr>
        <w:t>表</w:t>
      </w:r>
      <w:r>
        <w:rPr>
          <w:rFonts w:hint="default"/>
          <w:highlight w:val="none"/>
          <w:lang w:val="en-US" w:eastAsia="zh-CN"/>
        </w:rPr>
        <w:t>4-2-1</w:t>
      </w:r>
      <w:r>
        <w:rPr>
          <w:rFonts w:hint="eastAsia"/>
          <w:highlight w:val="none"/>
          <w:lang w:val="en-US" w:eastAsia="zh-CN"/>
        </w:rPr>
        <w:t>9</w:t>
      </w:r>
      <w:r>
        <w:rPr>
          <w:rFonts w:hint="eastAsia"/>
          <w:highlight w:val="none"/>
        </w:rPr>
        <w:t>土壤</w:t>
      </w:r>
      <w:r>
        <w:rPr>
          <w:highlight w:val="none"/>
        </w:rPr>
        <w:t>现状评价因子统计结果</w:t>
      </w:r>
    </w:p>
    <w:tbl>
      <w:tblPr>
        <w:tblStyle w:val="4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99"/>
        <w:gridCol w:w="710"/>
        <w:gridCol w:w="996"/>
        <w:gridCol w:w="991"/>
        <w:gridCol w:w="848"/>
        <w:gridCol w:w="853"/>
        <w:gridCol w:w="993"/>
        <w:gridCol w:w="993"/>
        <w:gridCol w:w="1039"/>
      </w:tblGrid>
      <w:tr w14:paraId="0AC1A7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644" w:type="pct"/>
            <w:vAlign w:val="center"/>
          </w:tcPr>
          <w:p w14:paraId="51E6C797">
            <w:pPr>
              <w:pStyle w:val="8"/>
              <w:suppressLineNumbers w:val="0"/>
              <w:bidi w:val="0"/>
              <w:spacing w:before="0" w:beforeAutospacing="0" w:after="0" w:afterAutospacing="0"/>
              <w:ind w:left="0" w:right="0"/>
              <w:jc w:val="center"/>
              <w:rPr>
                <w:rFonts w:hint="default"/>
                <w:highlight w:val="none"/>
              </w:rPr>
            </w:pPr>
            <w:r>
              <w:rPr>
                <w:rFonts w:hint="default"/>
                <w:highlight w:val="none"/>
              </w:rPr>
              <w:t>检测项目</w:t>
            </w:r>
          </w:p>
        </w:tc>
        <w:tc>
          <w:tcPr>
            <w:tcW w:w="416" w:type="pct"/>
            <w:vAlign w:val="center"/>
          </w:tcPr>
          <w:p w14:paraId="4DA2CE8F">
            <w:pPr>
              <w:pStyle w:val="8"/>
              <w:suppressLineNumbers w:val="0"/>
              <w:bidi w:val="0"/>
              <w:spacing w:before="0" w:beforeAutospacing="0" w:after="0" w:afterAutospacing="0"/>
              <w:ind w:left="0" w:right="0"/>
              <w:jc w:val="center"/>
              <w:rPr>
                <w:rFonts w:hint="default"/>
                <w:highlight w:val="none"/>
              </w:rPr>
            </w:pPr>
            <w:r>
              <w:rPr>
                <w:rFonts w:hint="default"/>
                <w:highlight w:val="none"/>
              </w:rPr>
              <w:t>样本数量</w:t>
            </w:r>
          </w:p>
        </w:tc>
        <w:tc>
          <w:tcPr>
            <w:tcW w:w="584" w:type="pct"/>
            <w:vAlign w:val="center"/>
          </w:tcPr>
          <w:p w14:paraId="3F52EF9F">
            <w:pPr>
              <w:pStyle w:val="8"/>
              <w:suppressLineNumbers w:val="0"/>
              <w:bidi w:val="0"/>
              <w:spacing w:before="0" w:beforeAutospacing="0" w:after="0" w:afterAutospacing="0"/>
              <w:ind w:left="0" w:right="0"/>
              <w:jc w:val="center"/>
              <w:rPr>
                <w:rFonts w:hint="default"/>
                <w:highlight w:val="none"/>
              </w:rPr>
            </w:pPr>
            <w:r>
              <w:rPr>
                <w:rFonts w:hint="default"/>
                <w:highlight w:val="none"/>
              </w:rPr>
              <w:t>最大值</w:t>
            </w:r>
          </w:p>
        </w:tc>
        <w:tc>
          <w:tcPr>
            <w:tcW w:w="581" w:type="pct"/>
            <w:vAlign w:val="center"/>
          </w:tcPr>
          <w:p w14:paraId="41C78B8C">
            <w:pPr>
              <w:pStyle w:val="8"/>
              <w:suppressLineNumbers w:val="0"/>
              <w:bidi w:val="0"/>
              <w:spacing w:before="0" w:beforeAutospacing="0" w:after="0" w:afterAutospacing="0"/>
              <w:ind w:left="0" w:right="0"/>
              <w:jc w:val="center"/>
              <w:rPr>
                <w:rFonts w:hint="default"/>
                <w:highlight w:val="none"/>
              </w:rPr>
            </w:pPr>
            <w:r>
              <w:rPr>
                <w:rFonts w:hint="default"/>
                <w:highlight w:val="none"/>
              </w:rPr>
              <w:t>最小值</w:t>
            </w:r>
          </w:p>
        </w:tc>
        <w:tc>
          <w:tcPr>
            <w:tcW w:w="497" w:type="pct"/>
            <w:vAlign w:val="center"/>
          </w:tcPr>
          <w:p w14:paraId="42A709AD">
            <w:pPr>
              <w:pStyle w:val="8"/>
              <w:suppressLineNumbers w:val="0"/>
              <w:bidi w:val="0"/>
              <w:spacing w:before="0" w:beforeAutospacing="0" w:after="0" w:afterAutospacing="0"/>
              <w:ind w:left="0" w:right="0"/>
              <w:jc w:val="center"/>
              <w:rPr>
                <w:rFonts w:hint="default"/>
                <w:highlight w:val="none"/>
              </w:rPr>
            </w:pPr>
            <w:r>
              <w:rPr>
                <w:rFonts w:hint="default"/>
                <w:highlight w:val="none"/>
              </w:rPr>
              <w:t>均值</w:t>
            </w:r>
          </w:p>
        </w:tc>
        <w:tc>
          <w:tcPr>
            <w:tcW w:w="500" w:type="pct"/>
            <w:vAlign w:val="center"/>
          </w:tcPr>
          <w:p w14:paraId="329D8E1F">
            <w:pPr>
              <w:pStyle w:val="8"/>
              <w:suppressLineNumbers w:val="0"/>
              <w:bidi w:val="0"/>
              <w:spacing w:before="0" w:beforeAutospacing="0" w:after="0" w:afterAutospacing="0"/>
              <w:ind w:left="0" w:right="0"/>
              <w:jc w:val="center"/>
              <w:rPr>
                <w:rFonts w:hint="default"/>
                <w:highlight w:val="none"/>
              </w:rPr>
            </w:pPr>
            <w:r>
              <w:rPr>
                <w:rFonts w:hint="default"/>
                <w:highlight w:val="none"/>
              </w:rPr>
              <w:t>标准差</w:t>
            </w:r>
          </w:p>
        </w:tc>
        <w:tc>
          <w:tcPr>
            <w:tcW w:w="582" w:type="pct"/>
            <w:vAlign w:val="center"/>
          </w:tcPr>
          <w:p w14:paraId="6B1C1334">
            <w:pPr>
              <w:pStyle w:val="8"/>
              <w:suppressLineNumbers w:val="0"/>
              <w:bidi w:val="0"/>
              <w:spacing w:before="0" w:beforeAutospacing="0" w:after="0" w:afterAutospacing="0"/>
              <w:ind w:left="0" w:right="0"/>
              <w:jc w:val="center"/>
              <w:rPr>
                <w:rFonts w:hint="default"/>
                <w:highlight w:val="none"/>
              </w:rPr>
            </w:pPr>
            <w:r>
              <w:rPr>
                <w:rFonts w:hint="default"/>
                <w:highlight w:val="none"/>
              </w:rPr>
              <w:t>检出率</w:t>
            </w:r>
          </w:p>
        </w:tc>
        <w:tc>
          <w:tcPr>
            <w:tcW w:w="582" w:type="pct"/>
            <w:vAlign w:val="center"/>
          </w:tcPr>
          <w:p w14:paraId="71986677">
            <w:pPr>
              <w:pStyle w:val="8"/>
              <w:suppressLineNumbers w:val="0"/>
              <w:bidi w:val="0"/>
              <w:spacing w:before="0" w:beforeAutospacing="0" w:after="0" w:afterAutospacing="0"/>
              <w:ind w:left="0" w:right="0"/>
              <w:jc w:val="center"/>
              <w:rPr>
                <w:rFonts w:hint="default"/>
                <w:highlight w:val="none"/>
              </w:rPr>
            </w:pPr>
            <w:r>
              <w:rPr>
                <w:rFonts w:hint="default"/>
                <w:highlight w:val="none"/>
              </w:rPr>
              <w:t>超标率</w:t>
            </w:r>
          </w:p>
        </w:tc>
        <w:tc>
          <w:tcPr>
            <w:tcW w:w="609" w:type="pct"/>
            <w:vAlign w:val="center"/>
          </w:tcPr>
          <w:p w14:paraId="7925DAE4">
            <w:pPr>
              <w:pStyle w:val="8"/>
              <w:suppressLineNumbers w:val="0"/>
              <w:bidi w:val="0"/>
              <w:spacing w:before="0" w:beforeAutospacing="0" w:after="0" w:afterAutospacing="0"/>
              <w:ind w:left="0" w:right="0"/>
              <w:jc w:val="center"/>
              <w:rPr>
                <w:rFonts w:hint="default"/>
                <w:highlight w:val="none"/>
              </w:rPr>
            </w:pPr>
            <w:r>
              <w:rPr>
                <w:rFonts w:hint="default"/>
                <w:highlight w:val="none"/>
              </w:rPr>
              <w:t>最大超标倍数</w:t>
            </w:r>
          </w:p>
        </w:tc>
      </w:tr>
      <w:tr w14:paraId="1C22A6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44" w:type="pct"/>
            <w:vAlign w:val="center"/>
          </w:tcPr>
          <w:p w14:paraId="365925EB">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rPr>
              <w:t>砷</w:t>
            </w:r>
          </w:p>
        </w:tc>
        <w:tc>
          <w:tcPr>
            <w:tcW w:w="416" w:type="pct"/>
            <w:vAlign w:val="center"/>
          </w:tcPr>
          <w:p w14:paraId="1FF0B439">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3</w:t>
            </w:r>
          </w:p>
        </w:tc>
        <w:tc>
          <w:tcPr>
            <w:tcW w:w="584" w:type="pct"/>
            <w:vAlign w:val="center"/>
          </w:tcPr>
          <w:p w14:paraId="1C037D65">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5.73</w:t>
            </w:r>
          </w:p>
        </w:tc>
        <w:tc>
          <w:tcPr>
            <w:tcW w:w="581" w:type="pct"/>
            <w:vAlign w:val="center"/>
          </w:tcPr>
          <w:p w14:paraId="52539A5C">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5.27</w:t>
            </w:r>
          </w:p>
        </w:tc>
        <w:tc>
          <w:tcPr>
            <w:tcW w:w="497" w:type="pct"/>
            <w:vAlign w:val="center"/>
          </w:tcPr>
          <w:p w14:paraId="1846B428">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5.57</w:t>
            </w:r>
          </w:p>
        </w:tc>
        <w:tc>
          <w:tcPr>
            <w:tcW w:w="500" w:type="pct"/>
            <w:vAlign w:val="center"/>
          </w:tcPr>
          <w:p w14:paraId="2C69C26B">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0.18</w:t>
            </w:r>
          </w:p>
        </w:tc>
        <w:tc>
          <w:tcPr>
            <w:tcW w:w="582" w:type="pct"/>
            <w:vAlign w:val="center"/>
          </w:tcPr>
          <w:p w14:paraId="10C59976">
            <w:pPr>
              <w:pStyle w:val="8"/>
              <w:suppressLineNumbers w:val="0"/>
              <w:bidi w:val="0"/>
              <w:spacing w:before="0" w:beforeAutospacing="0" w:after="0" w:afterAutospacing="0"/>
              <w:ind w:left="0" w:right="0"/>
              <w:jc w:val="center"/>
              <w:rPr>
                <w:rFonts w:hint="default"/>
                <w:highlight w:val="none"/>
              </w:rPr>
            </w:pPr>
            <w:r>
              <w:rPr>
                <w:rFonts w:hint="default"/>
                <w:highlight w:val="none"/>
              </w:rPr>
              <w:t>100%</w:t>
            </w:r>
          </w:p>
        </w:tc>
        <w:tc>
          <w:tcPr>
            <w:tcW w:w="582" w:type="pct"/>
            <w:vAlign w:val="center"/>
          </w:tcPr>
          <w:p w14:paraId="5F53DD81">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w:t>
            </w:r>
          </w:p>
        </w:tc>
        <w:tc>
          <w:tcPr>
            <w:tcW w:w="609" w:type="pct"/>
            <w:vAlign w:val="center"/>
          </w:tcPr>
          <w:p w14:paraId="0F2DD2F5">
            <w:pPr>
              <w:pStyle w:val="8"/>
              <w:suppressLineNumbers w:val="0"/>
              <w:bidi w:val="0"/>
              <w:spacing w:before="0" w:beforeAutospacing="0" w:after="0" w:afterAutospacing="0"/>
              <w:ind w:left="0" w:right="0"/>
              <w:jc w:val="center"/>
              <w:rPr>
                <w:rFonts w:hint="default"/>
                <w:highlight w:val="none"/>
              </w:rPr>
            </w:pPr>
            <w:r>
              <w:rPr>
                <w:rFonts w:hint="eastAsia"/>
                <w:highlight w:val="none"/>
              </w:rPr>
              <w:t>-</w:t>
            </w:r>
          </w:p>
        </w:tc>
      </w:tr>
      <w:tr w14:paraId="6B4574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44" w:type="pct"/>
            <w:vAlign w:val="center"/>
          </w:tcPr>
          <w:p w14:paraId="49D9A2DC">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rPr>
              <w:t>镉</w:t>
            </w:r>
          </w:p>
        </w:tc>
        <w:tc>
          <w:tcPr>
            <w:tcW w:w="416" w:type="pct"/>
            <w:vAlign w:val="center"/>
          </w:tcPr>
          <w:p w14:paraId="3A703A33">
            <w:pPr>
              <w:pStyle w:val="8"/>
              <w:suppressLineNumbers w:val="0"/>
              <w:bidi w:val="0"/>
              <w:spacing w:before="0" w:beforeAutospacing="0" w:after="0" w:afterAutospacing="0"/>
              <w:ind w:left="0" w:right="0"/>
              <w:jc w:val="center"/>
              <w:rPr>
                <w:rFonts w:hint="eastAsia"/>
                <w:highlight w:val="none"/>
              </w:rPr>
            </w:pPr>
            <w:r>
              <w:rPr>
                <w:rFonts w:hint="eastAsia"/>
                <w:highlight w:val="none"/>
                <w:lang w:val="en-US" w:eastAsia="zh-CN"/>
              </w:rPr>
              <w:t>3</w:t>
            </w:r>
          </w:p>
        </w:tc>
        <w:tc>
          <w:tcPr>
            <w:tcW w:w="584" w:type="pct"/>
            <w:vAlign w:val="center"/>
          </w:tcPr>
          <w:p w14:paraId="49520F6E">
            <w:pPr>
              <w:pStyle w:val="8"/>
              <w:suppressLineNumbers w:val="0"/>
              <w:bidi w:val="0"/>
              <w:spacing w:before="0" w:beforeAutospacing="0" w:after="0" w:afterAutospacing="0"/>
              <w:ind w:left="0" w:right="0"/>
              <w:jc w:val="center"/>
              <w:rPr>
                <w:rFonts w:hint="eastAsia"/>
                <w:highlight w:val="none"/>
              </w:rPr>
            </w:pPr>
            <w:r>
              <w:rPr>
                <w:rFonts w:hint="eastAsia"/>
                <w:highlight w:val="none"/>
                <w:lang w:val="en-US" w:eastAsia="zh-CN"/>
              </w:rPr>
              <w:t>0.18</w:t>
            </w:r>
          </w:p>
        </w:tc>
        <w:tc>
          <w:tcPr>
            <w:tcW w:w="581" w:type="pct"/>
            <w:vAlign w:val="center"/>
          </w:tcPr>
          <w:p w14:paraId="1F85913A">
            <w:pPr>
              <w:pStyle w:val="8"/>
              <w:suppressLineNumbers w:val="0"/>
              <w:bidi w:val="0"/>
              <w:spacing w:before="0" w:beforeAutospacing="0" w:after="0" w:afterAutospacing="0"/>
              <w:ind w:left="0" w:right="0"/>
              <w:jc w:val="center"/>
              <w:rPr>
                <w:rFonts w:hint="eastAsia"/>
                <w:highlight w:val="none"/>
              </w:rPr>
            </w:pPr>
            <w:r>
              <w:rPr>
                <w:rFonts w:hint="eastAsia"/>
                <w:highlight w:val="none"/>
                <w:lang w:val="en-US" w:eastAsia="zh-CN"/>
              </w:rPr>
              <w:t>0.11</w:t>
            </w:r>
          </w:p>
        </w:tc>
        <w:tc>
          <w:tcPr>
            <w:tcW w:w="497" w:type="pct"/>
            <w:vAlign w:val="center"/>
          </w:tcPr>
          <w:p w14:paraId="66888AAD">
            <w:pPr>
              <w:pStyle w:val="8"/>
              <w:suppressLineNumbers w:val="0"/>
              <w:bidi w:val="0"/>
              <w:spacing w:before="0" w:beforeAutospacing="0" w:after="0" w:afterAutospacing="0"/>
              <w:ind w:left="0" w:right="0"/>
              <w:jc w:val="center"/>
              <w:rPr>
                <w:rFonts w:hint="eastAsia"/>
                <w:highlight w:val="none"/>
              </w:rPr>
            </w:pPr>
            <w:r>
              <w:rPr>
                <w:rFonts w:hint="eastAsia"/>
                <w:highlight w:val="none"/>
                <w:lang w:val="en-US" w:eastAsia="zh-CN"/>
              </w:rPr>
              <w:t>0.14</w:t>
            </w:r>
          </w:p>
        </w:tc>
        <w:tc>
          <w:tcPr>
            <w:tcW w:w="500" w:type="pct"/>
            <w:vAlign w:val="center"/>
          </w:tcPr>
          <w:p w14:paraId="5ABBA168">
            <w:pPr>
              <w:pStyle w:val="8"/>
              <w:suppressLineNumbers w:val="0"/>
              <w:bidi w:val="0"/>
              <w:spacing w:before="0" w:beforeAutospacing="0" w:after="0" w:afterAutospacing="0"/>
              <w:ind w:left="0" w:right="0"/>
              <w:jc w:val="center"/>
              <w:rPr>
                <w:rFonts w:hint="eastAsia"/>
                <w:highlight w:val="none"/>
              </w:rPr>
            </w:pPr>
            <w:r>
              <w:rPr>
                <w:rFonts w:hint="eastAsia"/>
                <w:highlight w:val="none"/>
                <w:lang w:val="en-US" w:eastAsia="zh-CN"/>
              </w:rPr>
              <w:t>0.03</w:t>
            </w:r>
          </w:p>
        </w:tc>
        <w:tc>
          <w:tcPr>
            <w:tcW w:w="582" w:type="pct"/>
            <w:vAlign w:val="center"/>
          </w:tcPr>
          <w:p w14:paraId="4CF8E2C3">
            <w:pPr>
              <w:pStyle w:val="8"/>
              <w:suppressLineNumbers w:val="0"/>
              <w:bidi w:val="0"/>
              <w:spacing w:before="0" w:beforeAutospacing="0" w:after="0" w:afterAutospacing="0"/>
              <w:ind w:left="0" w:right="0"/>
              <w:jc w:val="center"/>
              <w:rPr>
                <w:rFonts w:hint="default"/>
                <w:highlight w:val="none"/>
              </w:rPr>
            </w:pPr>
            <w:r>
              <w:rPr>
                <w:rFonts w:hint="default"/>
                <w:highlight w:val="none"/>
              </w:rPr>
              <w:t>100%</w:t>
            </w:r>
          </w:p>
        </w:tc>
        <w:tc>
          <w:tcPr>
            <w:tcW w:w="582" w:type="pct"/>
            <w:vAlign w:val="center"/>
          </w:tcPr>
          <w:p w14:paraId="201F45CC">
            <w:pPr>
              <w:pStyle w:val="8"/>
              <w:suppressLineNumbers w:val="0"/>
              <w:bidi w:val="0"/>
              <w:spacing w:before="0" w:beforeAutospacing="0" w:after="0" w:afterAutospacing="0"/>
              <w:ind w:left="0" w:right="0"/>
              <w:jc w:val="center"/>
              <w:rPr>
                <w:rFonts w:hint="eastAsia"/>
                <w:highlight w:val="none"/>
              </w:rPr>
            </w:pPr>
            <w:r>
              <w:rPr>
                <w:rFonts w:hint="eastAsia"/>
                <w:highlight w:val="none"/>
                <w:lang w:val="en-US" w:eastAsia="zh-CN"/>
              </w:rPr>
              <w:t>0%</w:t>
            </w:r>
          </w:p>
        </w:tc>
        <w:tc>
          <w:tcPr>
            <w:tcW w:w="609" w:type="pct"/>
            <w:vAlign w:val="center"/>
          </w:tcPr>
          <w:p w14:paraId="4B9E16EB">
            <w:pPr>
              <w:pStyle w:val="8"/>
              <w:suppressLineNumbers w:val="0"/>
              <w:bidi w:val="0"/>
              <w:spacing w:before="0" w:beforeAutospacing="0" w:after="0" w:afterAutospacing="0"/>
              <w:ind w:left="0" w:right="0"/>
              <w:jc w:val="center"/>
              <w:rPr>
                <w:rFonts w:hint="eastAsia"/>
                <w:highlight w:val="none"/>
              </w:rPr>
            </w:pPr>
            <w:r>
              <w:rPr>
                <w:rFonts w:hint="eastAsia"/>
                <w:highlight w:val="none"/>
              </w:rPr>
              <w:t>-</w:t>
            </w:r>
          </w:p>
        </w:tc>
      </w:tr>
      <w:tr w14:paraId="5C9535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44" w:type="pct"/>
            <w:vAlign w:val="center"/>
          </w:tcPr>
          <w:p w14:paraId="2CA469C4">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rPr>
              <w:t>六价铬</w:t>
            </w:r>
          </w:p>
        </w:tc>
        <w:tc>
          <w:tcPr>
            <w:tcW w:w="416" w:type="pct"/>
            <w:vAlign w:val="center"/>
          </w:tcPr>
          <w:p w14:paraId="732B8039">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3</w:t>
            </w:r>
          </w:p>
        </w:tc>
        <w:tc>
          <w:tcPr>
            <w:tcW w:w="584" w:type="pct"/>
            <w:vAlign w:val="center"/>
          </w:tcPr>
          <w:p w14:paraId="63D99709">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0.5L</w:t>
            </w:r>
          </w:p>
        </w:tc>
        <w:tc>
          <w:tcPr>
            <w:tcW w:w="581" w:type="pct"/>
            <w:vAlign w:val="center"/>
          </w:tcPr>
          <w:p w14:paraId="71A64E7D">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0.5L</w:t>
            </w:r>
          </w:p>
        </w:tc>
        <w:tc>
          <w:tcPr>
            <w:tcW w:w="497" w:type="pct"/>
            <w:vAlign w:val="center"/>
          </w:tcPr>
          <w:p w14:paraId="6069C174">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0.5L</w:t>
            </w:r>
          </w:p>
        </w:tc>
        <w:tc>
          <w:tcPr>
            <w:tcW w:w="500" w:type="pct"/>
            <w:vAlign w:val="center"/>
          </w:tcPr>
          <w:p w14:paraId="0A49A488">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387FD8AE">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4173DD2F">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w:t>
            </w:r>
          </w:p>
        </w:tc>
        <w:tc>
          <w:tcPr>
            <w:tcW w:w="609" w:type="pct"/>
            <w:vAlign w:val="center"/>
          </w:tcPr>
          <w:p w14:paraId="11E5BAF6">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r>
      <w:tr w14:paraId="275FDF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44" w:type="pct"/>
            <w:vAlign w:val="center"/>
          </w:tcPr>
          <w:p w14:paraId="4D0C3246">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rPr>
              <w:t>铜</w:t>
            </w:r>
          </w:p>
        </w:tc>
        <w:tc>
          <w:tcPr>
            <w:tcW w:w="416" w:type="pct"/>
            <w:vAlign w:val="center"/>
          </w:tcPr>
          <w:p w14:paraId="57C2BBDC">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3</w:t>
            </w:r>
          </w:p>
        </w:tc>
        <w:tc>
          <w:tcPr>
            <w:tcW w:w="584" w:type="pct"/>
            <w:vAlign w:val="center"/>
          </w:tcPr>
          <w:p w14:paraId="2E628A22">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15</w:t>
            </w:r>
          </w:p>
        </w:tc>
        <w:tc>
          <w:tcPr>
            <w:tcW w:w="581" w:type="pct"/>
            <w:vAlign w:val="center"/>
          </w:tcPr>
          <w:p w14:paraId="0096C840">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15</w:t>
            </w:r>
          </w:p>
        </w:tc>
        <w:tc>
          <w:tcPr>
            <w:tcW w:w="497" w:type="pct"/>
            <w:vAlign w:val="center"/>
          </w:tcPr>
          <w:p w14:paraId="05DC7EA3">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15.00</w:t>
            </w:r>
          </w:p>
        </w:tc>
        <w:tc>
          <w:tcPr>
            <w:tcW w:w="500" w:type="pct"/>
            <w:vAlign w:val="center"/>
          </w:tcPr>
          <w:p w14:paraId="75C93782">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0.00</w:t>
            </w:r>
          </w:p>
        </w:tc>
        <w:tc>
          <w:tcPr>
            <w:tcW w:w="582" w:type="pct"/>
            <w:vAlign w:val="center"/>
          </w:tcPr>
          <w:p w14:paraId="52F82C16">
            <w:pPr>
              <w:pStyle w:val="8"/>
              <w:suppressLineNumbers w:val="0"/>
              <w:bidi w:val="0"/>
              <w:spacing w:before="0" w:beforeAutospacing="0" w:after="0" w:afterAutospacing="0"/>
              <w:ind w:left="0" w:right="0"/>
              <w:jc w:val="center"/>
              <w:rPr>
                <w:rFonts w:hint="eastAsia"/>
                <w:highlight w:val="none"/>
                <w:lang w:val="en-US" w:eastAsia="zh-CN"/>
              </w:rPr>
            </w:pPr>
            <w:r>
              <w:rPr>
                <w:rFonts w:hint="default"/>
                <w:highlight w:val="none"/>
              </w:rPr>
              <w:t>100%</w:t>
            </w:r>
          </w:p>
        </w:tc>
        <w:tc>
          <w:tcPr>
            <w:tcW w:w="582" w:type="pct"/>
            <w:vAlign w:val="center"/>
          </w:tcPr>
          <w:p w14:paraId="55DEBFC0">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w:t>
            </w:r>
          </w:p>
        </w:tc>
        <w:tc>
          <w:tcPr>
            <w:tcW w:w="609" w:type="pct"/>
            <w:vAlign w:val="center"/>
          </w:tcPr>
          <w:p w14:paraId="5E69FDC2">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r>
      <w:tr w14:paraId="15A721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44" w:type="pct"/>
            <w:vAlign w:val="center"/>
          </w:tcPr>
          <w:p w14:paraId="4642C1C6">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rPr>
              <w:t>铅</w:t>
            </w:r>
          </w:p>
        </w:tc>
        <w:tc>
          <w:tcPr>
            <w:tcW w:w="416" w:type="pct"/>
            <w:vAlign w:val="center"/>
          </w:tcPr>
          <w:p w14:paraId="583D4CEF">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3</w:t>
            </w:r>
          </w:p>
        </w:tc>
        <w:tc>
          <w:tcPr>
            <w:tcW w:w="584" w:type="pct"/>
            <w:vAlign w:val="center"/>
          </w:tcPr>
          <w:p w14:paraId="576ED86D">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88</w:t>
            </w:r>
          </w:p>
        </w:tc>
        <w:tc>
          <w:tcPr>
            <w:tcW w:w="581" w:type="pct"/>
            <w:vAlign w:val="center"/>
          </w:tcPr>
          <w:p w14:paraId="47FEAF54">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62</w:t>
            </w:r>
          </w:p>
        </w:tc>
        <w:tc>
          <w:tcPr>
            <w:tcW w:w="497" w:type="pct"/>
            <w:vAlign w:val="center"/>
          </w:tcPr>
          <w:p w14:paraId="4388C78F">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74.50</w:t>
            </w:r>
          </w:p>
        </w:tc>
        <w:tc>
          <w:tcPr>
            <w:tcW w:w="500" w:type="pct"/>
            <w:vAlign w:val="center"/>
          </w:tcPr>
          <w:p w14:paraId="5CF68272">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9.31</w:t>
            </w:r>
          </w:p>
        </w:tc>
        <w:tc>
          <w:tcPr>
            <w:tcW w:w="582" w:type="pct"/>
            <w:vAlign w:val="center"/>
          </w:tcPr>
          <w:p w14:paraId="7FF9AACE">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100%</w:t>
            </w:r>
          </w:p>
        </w:tc>
        <w:tc>
          <w:tcPr>
            <w:tcW w:w="582" w:type="pct"/>
            <w:vAlign w:val="center"/>
          </w:tcPr>
          <w:p w14:paraId="1DCE3E36">
            <w:pPr>
              <w:pStyle w:val="8"/>
              <w:suppressLineNumbers w:val="0"/>
              <w:bidi w:val="0"/>
              <w:spacing w:before="0" w:beforeAutospacing="0" w:after="0" w:afterAutospacing="0"/>
              <w:ind w:left="0" w:right="0"/>
              <w:jc w:val="center"/>
              <w:rPr>
                <w:rFonts w:hint="eastAsia"/>
                <w:highlight w:val="none"/>
              </w:rPr>
            </w:pPr>
            <w:r>
              <w:rPr>
                <w:rFonts w:hint="eastAsia"/>
                <w:highlight w:val="none"/>
                <w:lang w:val="en-US" w:eastAsia="zh-CN"/>
              </w:rPr>
              <w:t>0%</w:t>
            </w:r>
          </w:p>
        </w:tc>
        <w:tc>
          <w:tcPr>
            <w:tcW w:w="609" w:type="pct"/>
            <w:vAlign w:val="center"/>
          </w:tcPr>
          <w:p w14:paraId="10949D92">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r>
      <w:tr w14:paraId="5B5E51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44" w:type="pct"/>
            <w:vAlign w:val="center"/>
          </w:tcPr>
          <w:p w14:paraId="4789277A">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rPr>
              <w:t>汞</w:t>
            </w:r>
          </w:p>
        </w:tc>
        <w:tc>
          <w:tcPr>
            <w:tcW w:w="416" w:type="pct"/>
            <w:vAlign w:val="center"/>
          </w:tcPr>
          <w:p w14:paraId="221A9004">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3</w:t>
            </w:r>
          </w:p>
        </w:tc>
        <w:tc>
          <w:tcPr>
            <w:tcW w:w="584" w:type="pct"/>
            <w:vAlign w:val="center"/>
          </w:tcPr>
          <w:p w14:paraId="6B96A7B2">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0.0363</w:t>
            </w:r>
          </w:p>
        </w:tc>
        <w:tc>
          <w:tcPr>
            <w:tcW w:w="581" w:type="pct"/>
            <w:vAlign w:val="center"/>
          </w:tcPr>
          <w:p w14:paraId="188269E4">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0.0307</w:t>
            </w:r>
          </w:p>
        </w:tc>
        <w:tc>
          <w:tcPr>
            <w:tcW w:w="497" w:type="pct"/>
            <w:vAlign w:val="center"/>
          </w:tcPr>
          <w:p w14:paraId="4A01D533">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0.03</w:t>
            </w:r>
          </w:p>
        </w:tc>
        <w:tc>
          <w:tcPr>
            <w:tcW w:w="500" w:type="pct"/>
            <w:vAlign w:val="center"/>
          </w:tcPr>
          <w:p w14:paraId="16561100">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0.00</w:t>
            </w:r>
          </w:p>
        </w:tc>
        <w:tc>
          <w:tcPr>
            <w:tcW w:w="582" w:type="pct"/>
            <w:vAlign w:val="center"/>
          </w:tcPr>
          <w:p w14:paraId="2BD1FBA1">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100%</w:t>
            </w:r>
          </w:p>
        </w:tc>
        <w:tc>
          <w:tcPr>
            <w:tcW w:w="582" w:type="pct"/>
            <w:vAlign w:val="center"/>
          </w:tcPr>
          <w:p w14:paraId="3660B7C9">
            <w:pPr>
              <w:pStyle w:val="8"/>
              <w:suppressLineNumbers w:val="0"/>
              <w:bidi w:val="0"/>
              <w:spacing w:before="0" w:beforeAutospacing="0" w:after="0" w:afterAutospacing="0"/>
              <w:ind w:left="0" w:right="0"/>
              <w:jc w:val="center"/>
              <w:rPr>
                <w:rFonts w:hint="eastAsia"/>
                <w:highlight w:val="none"/>
              </w:rPr>
            </w:pPr>
            <w:r>
              <w:rPr>
                <w:rFonts w:hint="eastAsia"/>
                <w:highlight w:val="none"/>
                <w:lang w:val="en-US" w:eastAsia="zh-CN"/>
              </w:rPr>
              <w:t>0%</w:t>
            </w:r>
          </w:p>
        </w:tc>
        <w:tc>
          <w:tcPr>
            <w:tcW w:w="609" w:type="pct"/>
            <w:vAlign w:val="center"/>
          </w:tcPr>
          <w:p w14:paraId="1CDD05E5">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r>
      <w:tr w14:paraId="77F0F4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44" w:type="pct"/>
            <w:vAlign w:val="center"/>
          </w:tcPr>
          <w:p w14:paraId="2BB455C9">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rPr>
              <w:t>镍</w:t>
            </w:r>
          </w:p>
        </w:tc>
        <w:tc>
          <w:tcPr>
            <w:tcW w:w="416" w:type="pct"/>
            <w:vAlign w:val="center"/>
          </w:tcPr>
          <w:p w14:paraId="64CA5FA4">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3</w:t>
            </w:r>
          </w:p>
        </w:tc>
        <w:tc>
          <w:tcPr>
            <w:tcW w:w="584" w:type="pct"/>
            <w:vAlign w:val="center"/>
          </w:tcPr>
          <w:p w14:paraId="6C7B7AE8">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46</w:t>
            </w:r>
          </w:p>
        </w:tc>
        <w:tc>
          <w:tcPr>
            <w:tcW w:w="581" w:type="pct"/>
            <w:vAlign w:val="center"/>
          </w:tcPr>
          <w:p w14:paraId="13E607F1">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34</w:t>
            </w:r>
          </w:p>
        </w:tc>
        <w:tc>
          <w:tcPr>
            <w:tcW w:w="497" w:type="pct"/>
            <w:vAlign w:val="center"/>
          </w:tcPr>
          <w:p w14:paraId="692C3075">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40.75</w:t>
            </w:r>
          </w:p>
        </w:tc>
        <w:tc>
          <w:tcPr>
            <w:tcW w:w="500" w:type="pct"/>
            <w:vAlign w:val="center"/>
          </w:tcPr>
          <w:p w14:paraId="05E1648D">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4.66</w:t>
            </w:r>
          </w:p>
        </w:tc>
        <w:tc>
          <w:tcPr>
            <w:tcW w:w="582" w:type="pct"/>
            <w:vAlign w:val="center"/>
          </w:tcPr>
          <w:p w14:paraId="7E8FD9E4">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100%</w:t>
            </w:r>
          </w:p>
        </w:tc>
        <w:tc>
          <w:tcPr>
            <w:tcW w:w="582" w:type="pct"/>
            <w:vAlign w:val="center"/>
          </w:tcPr>
          <w:p w14:paraId="29E1015A">
            <w:pPr>
              <w:pStyle w:val="8"/>
              <w:suppressLineNumbers w:val="0"/>
              <w:bidi w:val="0"/>
              <w:spacing w:before="0" w:beforeAutospacing="0" w:after="0" w:afterAutospacing="0"/>
              <w:ind w:left="0" w:right="0"/>
              <w:jc w:val="center"/>
              <w:rPr>
                <w:rFonts w:hint="eastAsia"/>
                <w:highlight w:val="none"/>
              </w:rPr>
            </w:pPr>
            <w:r>
              <w:rPr>
                <w:rFonts w:hint="eastAsia"/>
                <w:highlight w:val="none"/>
                <w:lang w:val="en-US" w:eastAsia="zh-CN"/>
              </w:rPr>
              <w:t>0%</w:t>
            </w:r>
          </w:p>
        </w:tc>
        <w:tc>
          <w:tcPr>
            <w:tcW w:w="609" w:type="pct"/>
            <w:vAlign w:val="center"/>
          </w:tcPr>
          <w:p w14:paraId="16C1C993">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r>
      <w:tr w14:paraId="795F61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44" w:type="pct"/>
            <w:vAlign w:val="center"/>
          </w:tcPr>
          <w:p w14:paraId="177528A5">
            <w:pPr>
              <w:pStyle w:val="8"/>
              <w:suppressLineNumbers w:val="0"/>
              <w:bidi w:val="0"/>
              <w:spacing w:before="0" w:beforeAutospacing="0" w:after="0" w:afterAutospacing="0"/>
              <w:ind w:left="0" w:right="0"/>
              <w:jc w:val="center"/>
              <w:rPr>
                <w:rFonts w:hint="default"/>
                <w:highlight w:val="none"/>
              </w:rPr>
            </w:pPr>
            <w:r>
              <w:rPr>
                <w:rFonts w:hint="default"/>
                <w:highlight w:val="none"/>
              </w:rPr>
              <w:t>石油烃</w:t>
            </w:r>
          </w:p>
          <w:p w14:paraId="2380412C">
            <w:pPr>
              <w:pStyle w:val="8"/>
              <w:suppressLineNumbers w:val="0"/>
              <w:bidi w:val="0"/>
              <w:spacing w:before="0" w:beforeAutospacing="0" w:after="0" w:afterAutospacing="0"/>
              <w:ind w:left="0" w:right="0"/>
              <w:jc w:val="center"/>
              <w:rPr>
                <w:rFonts w:hint="eastAsia"/>
                <w:highlight w:val="none"/>
                <w:lang w:val="en-US" w:eastAsia="zh-CN"/>
              </w:rPr>
            </w:pPr>
            <w:r>
              <w:rPr>
                <w:rFonts w:hint="default"/>
                <w:highlight w:val="none"/>
              </w:rPr>
              <w:t>（C</w:t>
            </w:r>
            <w:r>
              <w:rPr>
                <w:rFonts w:hint="default"/>
                <w:highlight w:val="none"/>
                <w:vertAlign w:val="subscript"/>
              </w:rPr>
              <w:t>10</w:t>
            </w:r>
            <w:r>
              <w:rPr>
                <w:rFonts w:hint="default"/>
                <w:highlight w:val="none"/>
              </w:rPr>
              <w:t>-C</w:t>
            </w:r>
            <w:r>
              <w:rPr>
                <w:rFonts w:hint="default"/>
                <w:highlight w:val="none"/>
                <w:vertAlign w:val="subscript"/>
              </w:rPr>
              <w:t>40</w:t>
            </w:r>
            <w:r>
              <w:rPr>
                <w:rFonts w:hint="default"/>
                <w:highlight w:val="none"/>
              </w:rPr>
              <w:t>）</w:t>
            </w:r>
          </w:p>
        </w:tc>
        <w:tc>
          <w:tcPr>
            <w:tcW w:w="416" w:type="pct"/>
            <w:vAlign w:val="center"/>
          </w:tcPr>
          <w:p w14:paraId="7B6ED229">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3</w:t>
            </w:r>
          </w:p>
        </w:tc>
        <w:tc>
          <w:tcPr>
            <w:tcW w:w="584" w:type="pct"/>
            <w:vAlign w:val="center"/>
          </w:tcPr>
          <w:p w14:paraId="7E39DD75">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34</w:t>
            </w:r>
          </w:p>
        </w:tc>
        <w:tc>
          <w:tcPr>
            <w:tcW w:w="581" w:type="pct"/>
            <w:vAlign w:val="center"/>
          </w:tcPr>
          <w:p w14:paraId="111F3783">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21</w:t>
            </w:r>
          </w:p>
        </w:tc>
        <w:tc>
          <w:tcPr>
            <w:tcW w:w="497" w:type="pct"/>
            <w:vAlign w:val="center"/>
          </w:tcPr>
          <w:p w14:paraId="19E177F5">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28.25</w:t>
            </w:r>
          </w:p>
        </w:tc>
        <w:tc>
          <w:tcPr>
            <w:tcW w:w="500" w:type="pct"/>
            <w:vAlign w:val="center"/>
          </w:tcPr>
          <w:p w14:paraId="2ED722F7">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4.71</w:t>
            </w:r>
          </w:p>
        </w:tc>
        <w:tc>
          <w:tcPr>
            <w:tcW w:w="582" w:type="pct"/>
            <w:vAlign w:val="center"/>
          </w:tcPr>
          <w:p w14:paraId="350A0558">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100%</w:t>
            </w:r>
          </w:p>
        </w:tc>
        <w:tc>
          <w:tcPr>
            <w:tcW w:w="582" w:type="pct"/>
            <w:vAlign w:val="center"/>
          </w:tcPr>
          <w:p w14:paraId="31D8BA2D">
            <w:pPr>
              <w:pStyle w:val="8"/>
              <w:suppressLineNumbers w:val="0"/>
              <w:bidi w:val="0"/>
              <w:spacing w:before="0" w:beforeAutospacing="0" w:after="0" w:afterAutospacing="0"/>
              <w:ind w:left="0" w:right="0"/>
              <w:jc w:val="center"/>
              <w:rPr>
                <w:rFonts w:hint="eastAsia"/>
                <w:highlight w:val="none"/>
              </w:rPr>
            </w:pPr>
            <w:r>
              <w:rPr>
                <w:rFonts w:hint="eastAsia"/>
                <w:highlight w:val="none"/>
                <w:lang w:val="en-US" w:eastAsia="zh-CN"/>
              </w:rPr>
              <w:t>0%</w:t>
            </w:r>
          </w:p>
        </w:tc>
        <w:tc>
          <w:tcPr>
            <w:tcW w:w="609" w:type="pct"/>
            <w:vAlign w:val="center"/>
          </w:tcPr>
          <w:p w14:paraId="7EFDB501">
            <w:pPr>
              <w:pStyle w:val="8"/>
              <w:suppressLineNumbers w:val="0"/>
              <w:bidi w:val="0"/>
              <w:spacing w:before="0" w:beforeAutospacing="0" w:after="0" w:afterAutospacing="0"/>
              <w:ind w:left="0" w:right="0"/>
              <w:jc w:val="center"/>
              <w:rPr>
                <w:rFonts w:hint="eastAsia"/>
                <w:highlight w:val="none"/>
              </w:rPr>
            </w:pPr>
            <w:r>
              <w:rPr>
                <w:rFonts w:hint="eastAsia"/>
                <w:highlight w:val="none"/>
                <w:lang w:val="en-US" w:eastAsia="zh-CN"/>
              </w:rPr>
              <w:t>-</w:t>
            </w:r>
          </w:p>
        </w:tc>
      </w:tr>
      <w:tr w14:paraId="36F699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44" w:type="pct"/>
            <w:vAlign w:val="center"/>
          </w:tcPr>
          <w:p w14:paraId="55F0A50E">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rPr>
              <w:t>四氯化碳</w:t>
            </w:r>
          </w:p>
        </w:tc>
        <w:tc>
          <w:tcPr>
            <w:tcW w:w="416" w:type="pct"/>
            <w:vAlign w:val="center"/>
          </w:tcPr>
          <w:p w14:paraId="63384F0C">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3</w:t>
            </w:r>
          </w:p>
        </w:tc>
        <w:tc>
          <w:tcPr>
            <w:tcW w:w="584" w:type="pct"/>
            <w:vAlign w:val="center"/>
          </w:tcPr>
          <w:p w14:paraId="2B702ED4">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1.3L</w:t>
            </w:r>
          </w:p>
        </w:tc>
        <w:tc>
          <w:tcPr>
            <w:tcW w:w="581" w:type="pct"/>
            <w:vAlign w:val="center"/>
          </w:tcPr>
          <w:p w14:paraId="2BB2816F">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1.3L</w:t>
            </w:r>
          </w:p>
        </w:tc>
        <w:tc>
          <w:tcPr>
            <w:tcW w:w="497" w:type="pct"/>
            <w:vAlign w:val="center"/>
          </w:tcPr>
          <w:p w14:paraId="50F3820E">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1.3L</w:t>
            </w:r>
          </w:p>
        </w:tc>
        <w:tc>
          <w:tcPr>
            <w:tcW w:w="500" w:type="pct"/>
            <w:vAlign w:val="center"/>
          </w:tcPr>
          <w:p w14:paraId="53832F1E">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w:t>
            </w:r>
          </w:p>
        </w:tc>
        <w:tc>
          <w:tcPr>
            <w:tcW w:w="582" w:type="pct"/>
            <w:vAlign w:val="center"/>
          </w:tcPr>
          <w:p w14:paraId="56DD892B">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w:t>
            </w:r>
          </w:p>
        </w:tc>
        <w:tc>
          <w:tcPr>
            <w:tcW w:w="582" w:type="pct"/>
            <w:vAlign w:val="center"/>
          </w:tcPr>
          <w:p w14:paraId="5A22C729">
            <w:pPr>
              <w:pStyle w:val="8"/>
              <w:suppressLineNumbers w:val="0"/>
              <w:bidi w:val="0"/>
              <w:spacing w:before="0" w:beforeAutospacing="0" w:after="0" w:afterAutospacing="0"/>
              <w:ind w:left="0" w:right="0"/>
              <w:jc w:val="center"/>
              <w:rPr>
                <w:rFonts w:hint="eastAsia"/>
                <w:highlight w:val="none"/>
              </w:rPr>
            </w:pPr>
            <w:r>
              <w:rPr>
                <w:rFonts w:hint="eastAsia"/>
                <w:highlight w:val="none"/>
                <w:lang w:val="en-US" w:eastAsia="zh-CN"/>
              </w:rPr>
              <w:t>0%</w:t>
            </w:r>
          </w:p>
        </w:tc>
        <w:tc>
          <w:tcPr>
            <w:tcW w:w="609" w:type="pct"/>
            <w:vAlign w:val="center"/>
          </w:tcPr>
          <w:p w14:paraId="07DBB942">
            <w:pPr>
              <w:pStyle w:val="8"/>
              <w:suppressLineNumbers w:val="0"/>
              <w:bidi w:val="0"/>
              <w:spacing w:before="0" w:beforeAutospacing="0" w:after="0" w:afterAutospacing="0"/>
              <w:ind w:left="0" w:right="0"/>
              <w:jc w:val="center"/>
              <w:rPr>
                <w:rFonts w:hint="eastAsia"/>
                <w:highlight w:val="none"/>
              </w:rPr>
            </w:pPr>
            <w:r>
              <w:rPr>
                <w:rFonts w:hint="eastAsia"/>
                <w:highlight w:val="none"/>
                <w:lang w:val="en-US" w:eastAsia="zh-CN"/>
              </w:rPr>
              <w:t>-</w:t>
            </w:r>
          </w:p>
        </w:tc>
      </w:tr>
      <w:tr w14:paraId="254C73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44" w:type="pct"/>
            <w:vAlign w:val="center"/>
          </w:tcPr>
          <w:p w14:paraId="2D85081D">
            <w:pPr>
              <w:pStyle w:val="8"/>
              <w:suppressLineNumbers w:val="0"/>
              <w:bidi w:val="0"/>
              <w:spacing w:before="0" w:beforeAutospacing="0" w:after="0" w:afterAutospacing="0"/>
              <w:ind w:left="0" w:right="0"/>
              <w:jc w:val="center"/>
              <w:rPr>
                <w:rFonts w:hint="eastAsia"/>
                <w:highlight w:val="none"/>
                <w:lang w:val="en-US" w:eastAsia="zh-CN"/>
              </w:rPr>
            </w:pPr>
            <w:r>
              <w:rPr>
                <w:rFonts w:hint="default"/>
                <w:highlight w:val="none"/>
              </w:rPr>
              <w:t>氯仿</w:t>
            </w:r>
          </w:p>
        </w:tc>
        <w:tc>
          <w:tcPr>
            <w:tcW w:w="416" w:type="pct"/>
            <w:vAlign w:val="center"/>
          </w:tcPr>
          <w:p w14:paraId="2C04F070">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3</w:t>
            </w:r>
          </w:p>
        </w:tc>
        <w:tc>
          <w:tcPr>
            <w:tcW w:w="584" w:type="pct"/>
            <w:vAlign w:val="center"/>
          </w:tcPr>
          <w:p w14:paraId="319C0898">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1.1L</w:t>
            </w:r>
          </w:p>
        </w:tc>
        <w:tc>
          <w:tcPr>
            <w:tcW w:w="581" w:type="pct"/>
            <w:vAlign w:val="center"/>
          </w:tcPr>
          <w:p w14:paraId="5D195DEC">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1.1L</w:t>
            </w:r>
          </w:p>
        </w:tc>
        <w:tc>
          <w:tcPr>
            <w:tcW w:w="497" w:type="pct"/>
            <w:vAlign w:val="center"/>
          </w:tcPr>
          <w:p w14:paraId="33F813B7">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1.1L</w:t>
            </w:r>
          </w:p>
        </w:tc>
        <w:tc>
          <w:tcPr>
            <w:tcW w:w="500" w:type="pct"/>
            <w:vAlign w:val="center"/>
          </w:tcPr>
          <w:p w14:paraId="05B08CFE">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727C84AF">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5E2BCD36">
            <w:pPr>
              <w:pStyle w:val="8"/>
              <w:suppressLineNumbers w:val="0"/>
              <w:bidi w:val="0"/>
              <w:spacing w:before="0" w:beforeAutospacing="0" w:after="0" w:afterAutospacing="0"/>
              <w:ind w:left="0" w:right="0"/>
              <w:jc w:val="center"/>
              <w:rPr>
                <w:rFonts w:hint="eastAsia"/>
                <w:highlight w:val="none"/>
              </w:rPr>
            </w:pPr>
            <w:r>
              <w:rPr>
                <w:rFonts w:hint="eastAsia"/>
                <w:highlight w:val="none"/>
                <w:lang w:val="en-US" w:eastAsia="zh-CN"/>
              </w:rPr>
              <w:t>0%</w:t>
            </w:r>
          </w:p>
        </w:tc>
        <w:tc>
          <w:tcPr>
            <w:tcW w:w="609" w:type="pct"/>
            <w:vAlign w:val="center"/>
          </w:tcPr>
          <w:p w14:paraId="1AA1F9F2">
            <w:pPr>
              <w:pStyle w:val="8"/>
              <w:suppressLineNumbers w:val="0"/>
              <w:bidi w:val="0"/>
              <w:spacing w:before="0" w:beforeAutospacing="0" w:after="0" w:afterAutospacing="0"/>
              <w:ind w:left="0" w:right="0"/>
              <w:jc w:val="center"/>
              <w:rPr>
                <w:rFonts w:hint="eastAsia"/>
                <w:highlight w:val="none"/>
              </w:rPr>
            </w:pPr>
            <w:r>
              <w:rPr>
                <w:rFonts w:hint="eastAsia"/>
                <w:highlight w:val="none"/>
                <w:lang w:val="en-US" w:eastAsia="zh-CN"/>
              </w:rPr>
              <w:t>-</w:t>
            </w:r>
          </w:p>
        </w:tc>
      </w:tr>
      <w:tr w14:paraId="39B0E4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44" w:type="pct"/>
            <w:vAlign w:val="center"/>
          </w:tcPr>
          <w:p w14:paraId="395E43C5">
            <w:pPr>
              <w:pStyle w:val="8"/>
              <w:suppressLineNumbers w:val="0"/>
              <w:bidi w:val="0"/>
              <w:spacing w:before="0" w:beforeAutospacing="0" w:after="0" w:afterAutospacing="0"/>
              <w:ind w:left="0" w:right="0"/>
              <w:jc w:val="center"/>
              <w:rPr>
                <w:rFonts w:hint="eastAsia"/>
                <w:highlight w:val="none"/>
                <w:lang w:val="en-US" w:eastAsia="zh-CN"/>
              </w:rPr>
            </w:pPr>
            <w:r>
              <w:rPr>
                <w:rFonts w:hint="default"/>
                <w:highlight w:val="none"/>
              </w:rPr>
              <w:t>氯甲烷</w:t>
            </w:r>
          </w:p>
        </w:tc>
        <w:tc>
          <w:tcPr>
            <w:tcW w:w="416" w:type="pct"/>
            <w:vAlign w:val="center"/>
          </w:tcPr>
          <w:p w14:paraId="377F9E7E">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3</w:t>
            </w:r>
          </w:p>
        </w:tc>
        <w:tc>
          <w:tcPr>
            <w:tcW w:w="584" w:type="pct"/>
            <w:vAlign w:val="center"/>
          </w:tcPr>
          <w:p w14:paraId="65919C6D">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1.0L</w:t>
            </w:r>
          </w:p>
        </w:tc>
        <w:tc>
          <w:tcPr>
            <w:tcW w:w="581" w:type="pct"/>
            <w:vAlign w:val="center"/>
          </w:tcPr>
          <w:p w14:paraId="4B31ECB1">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1.0L</w:t>
            </w:r>
          </w:p>
        </w:tc>
        <w:tc>
          <w:tcPr>
            <w:tcW w:w="497" w:type="pct"/>
            <w:vAlign w:val="center"/>
          </w:tcPr>
          <w:p w14:paraId="7624EF2D">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1.0L</w:t>
            </w:r>
          </w:p>
        </w:tc>
        <w:tc>
          <w:tcPr>
            <w:tcW w:w="500" w:type="pct"/>
            <w:vAlign w:val="center"/>
          </w:tcPr>
          <w:p w14:paraId="7ED6260B">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6AD001C2">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2D6FB214">
            <w:pPr>
              <w:pStyle w:val="8"/>
              <w:suppressLineNumbers w:val="0"/>
              <w:bidi w:val="0"/>
              <w:spacing w:before="0" w:beforeAutospacing="0" w:after="0" w:afterAutospacing="0"/>
              <w:ind w:left="0" w:right="0"/>
              <w:jc w:val="center"/>
              <w:rPr>
                <w:rFonts w:hint="eastAsia"/>
                <w:highlight w:val="none"/>
              </w:rPr>
            </w:pPr>
            <w:r>
              <w:rPr>
                <w:rFonts w:hint="eastAsia"/>
                <w:highlight w:val="none"/>
                <w:lang w:val="en-US" w:eastAsia="zh-CN"/>
              </w:rPr>
              <w:t>0%</w:t>
            </w:r>
          </w:p>
        </w:tc>
        <w:tc>
          <w:tcPr>
            <w:tcW w:w="609" w:type="pct"/>
            <w:vAlign w:val="center"/>
          </w:tcPr>
          <w:p w14:paraId="777D30C6">
            <w:pPr>
              <w:pStyle w:val="8"/>
              <w:suppressLineNumbers w:val="0"/>
              <w:bidi w:val="0"/>
              <w:spacing w:before="0" w:beforeAutospacing="0" w:after="0" w:afterAutospacing="0"/>
              <w:ind w:left="0" w:right="0"/>
              <w:jc w:val="center"/>
              <w:rPr>
                <w:rFonts w:hint="eastAsia"/>
                <w:highlight w:val="none"/>
              </w:rPr>
            </w:pPr>
            <w:r>
              <w:rPr>
                <w:rFonts w:hint="eastAsia"/>
                <w:highlight w:val="none"/>
                <w:lang w:val="en-US" w:eastAsia="zh-CN"/>
              </w:rPr>
              <w:t>-</w:t>
            </w:r>
          </w:p>
        </w:tc>
      </w:tr>
      <w:tr w14:paraId="7864CC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44" w:type="pct"/>
            <w:vAlign w:val="center"/>
          </w:tcPr>
          <w:p w14:paraId="54580A10">
            <w:pPr>
              <w:pStyle w:val="8"/>
              <w:suppressLineNumbers w:val="0"/>
              <w:bidi w:val="0"/>
              <w:spacing w:before="0" w:beforeAutospacing="0" w:after="0" w:afterAutospacing="0"/>
              <w:ind w:left="0" w:right="0"/>
              <w:jc w:val="center"/>
              <w:rPr>
                <w:rFonts w:hint="eastAsia"/>
                <w:highlight w:val="none"/>
                <w:lang w:val="en-US" w:eastAsia="zh-CN"/>
              </w:rPr>
            </w:pPr>
            <w:r>
              <w:rPr>
                <w:rFonts w:hint="default"/>
                <w:highlight w:val="none"/>
              </w:rPr>
              <w:t>1</w:t>
            </w:r>
            <w:r>
              <w:rPr>
                <w:rFonts w:hint="eastAsia"/>
                <w:highlight w:val="none"/>
                <w:lang w:eastAsia="zh-CN"/>
              </w:rPr>
              <w:t>，</w:t>
            </w:r>
            <w:r>
              <w:rPr>
                <w:rFonts w:hint="default"/>
                <w:highlight w:val="none"/>
              </w:rPr>
              <w:t>1-二氯乙烷</w:t>
            </w:r>
          </w:p>
        </w:tc>
        <w:tc>
          <w:tcPr>
            <w:tcW w:w="416" w:type="pct"/>
            <w:vAlign w:val="center"/>
          </w:tcPr>
          <w:p w14:paraId="7444D2BB">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3</w:t>
            </w:r>
          </w:p>
        </w:tc>
        <w:tc>
          <w:tcPr>
            <w:tcW w:w="584" w:type="pct"/>
            <w:vAlign w:val="center"/>
          </w:tcPr>
          <w:p w14:paraId="0C0EFF1F">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1.2L</w:t>
            </w:r>
          </w:p>
        </w:tc>
        <w:tc>
          <w:tcPr>
            <w:tcW w:w="581" w:type="pct"/>
            <w:vAlign w:val="center"/>
          </w:tcPr>
          <w:p w14:paraId="2045D297">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1.2L</w:t>
            </w:r>
          </w:p>
        </w:tc>
        <w:tc>
          <w:tcPr>
            <w:tcW w:w="497" w:type="pct"/>
            <w:vAlign w:val="center"/>
          </w:tcPr>
          <w:p w14:paraId="0B080F6B">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1.2L</w:t>
            </w:r>
          </w:p>
        </w:tc>
        <w:tc>
          <w:tcPr>
            <w:tcW w:w="500" w:type="pct"/>
            <w:vAlign w:val="center"/>
          </w:tcPr>
          <w:p w14:paraId="42652CFE">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505CF205">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6853AAF2">
            <w:pPr>
              <w:pStyle w:val="8"/>
              <w:suppressLineNumbers w:val="0"/>
              <w:bidi w:val="0"/>
              <w:spacing w:before="0" w:beforeAutospacing="0" w:after="0" w:afterAutospacing="0"/>
              <w:ind w:left="0" w:right="0"/>
              <w:jc w:val="center"/>
              <w:rPr>
                <w:rFonts w:hint="eastAsia"/>
                <w:highlight w:val="none"/>
              </w:rPr>
            </w:pPr>
            <w:r>
              <w:rPr>
                <w:rFonts w:hint="eastAsia"/>
                <w:highlight w:val="none"/>
                <w:lang w:val="en-US" w:eastAsia="zh-CN"/>
              </w:rPr>
              <w:t>0%</w:t>
            </w:r>
          </w:p>
        </w:tc>
        <w:tc>
          <w:tcPr>
            <w:tcW w:w="609" w:type="pct"/>
            <w:vAlign w:val="center"/>
          </w:tcPr>
          <w:p w14:paraId="044645D1">
            <w:pPr>
              <w:pStyle w:val="8"/>
              <w:suppressLineNumbers w:val="0"/>
              <w:bidi w:val="0"/>
              <w:spacing w:before="0" w:beforeAutospacing="0" w:after="0" w:afterAutospacing="0"/>
              <w:ind w:left="0" w:right="0"/>
              <w:jc w:val="center"/>
              <w:rPr>
                <w:rFonts w:hint="eastAsia"/>
                <w:highlight w:val="none"/>
              </w:rPr>
            </w:pPr>
            <w:r>
              <w:rPr>
                <w:rFonts w:hint="eastAsia"/>
                <w:highlight w:val="none"/>
                <w:lang w:val="en-US" w:eastAsia="zh-CN"/>
              </w:rPr>
              <w:t>-</w:t>
            </w:r>
          </w:p>
        </w:tc>
      </w:tr>
      <w:tr w14:paraId="0A4018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44" w:type="pct"/>
            <w:vAlign w:val="center"/>
          </w:tcPr>
          <w:p w14:paraId="1C24B28E">
            <w:pPr>
              <w:pStyle w:val="8"/>
              <w:suppressLineNumbers w:val="0"/>
              <w:bidi w:val="0"/>
              <w:spacing w:before="0" w:beforeAutospacing="0" w:after="0" w:afterAutospacing="0"/>
              <w:ind w:left="0" w:right="0"/>
              <w:jc w:val="center"/>
              <w:rPr>
                <w:rFonts w:hint="eastAsia"/>
                <w:highlight w:val="none"/>
                <w:lang w:val="en-US" w:eastAsia="zh-CN"/>
              </w:rPr>
            </w:pPr>
            <w:r>
              <w:rPr>
                <w:rFonts w:hint="default"/>
                <w:highlight w:val="none"/>
              </w:rPr>
              <w:t>1</w:t>
            </w:r>
            <w:r>
              <w:rPr>
                <w:rFonts w:hint="eastAsia"/>
                <w:highlight w:val="none"/>
                <w:lang w:eastAsia="zh-CN"/>
              </w:rPr>
              <w:t>，</w:t>
            </w:r>
            <w:r>
              <w:rPr>
                <w:rFonts w:hint="default"/>
                <w:highlight w:val="none"/>
              </w:rPr>
              <w:t>2-二氯乙烷</w:t>
            </w:r>
          </w:p>
        </w:tc>
        <w:tc>
          <w:tcPr>
            <w:tcW w:w="416" w:type="pct"/>
            <w:vAlign w:val="center"/>
          </w:tcPr>
          <w:p w14:paraId="4141E775">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3</w:t>
            </w:r>
          </w:p>
        </w:tc>
        <w:tc>
          <w:tcPr>
            <w:tcW w:w="584" w:type="pct"/>
            <w:vAlign w:val="center"/>
          </w:tcPr>
          <w:p w14:paraId="2A355C43">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1.3L</w:t>
            </w:r>
          </w:p>
        </w:tc>
        <w:tc>
          <w:tcPr>
            <w:tcW w:w="581" w:type="pct"/>
            <w:vAlign w:val="center"/>
          </w:tcPr>
          <w:p w14:paraId="74EB830E">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1.3L</w:t>
            </w:r>
          </w:p>
        </w:tc>
        <w:tc>
          <w:tcPr>
            <w:tcW w:w="497" w:type="pct"/>
            <w:vAlign w:val="center"/>
          </w:tcPr>
          <w:p w14:paraId="28658921">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1.3L</w:t>
            </w:r>
          </w:p>
        </w:tc>
        <w:tc>
          <w:tcPr>
            <w:tcW w:w="500" w:type="pct"/>
            <w:vAlign w:val="center"/>
          </w:tcPr>
          <w:p w14:paraId="59CF472F">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0FA38834">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0AA6DDE1">
            <w:pPr>
              <w:pStyle w:val="8"/>
              <w:suppressLineNumbers w:val="0"/>
              <w:bidi w:val="0"/>
              <w:spacing w:before="0" w:beforeAutospacing="0" w:after="0" w:afterAutospacing="0"/>
              <w:ind w:left="0" w:right="0"/>
              <w:jc w:val="center"/>
              <w:rPr>
                <w:rFonts w:hint="eastAsia"/>
                <w:highlight w:val="none"/>
              </w:rPr>
            </w:pPr>
            <w:r>
              <w:rPr>
                <w:rFonts w:hint="eastAsia"/>
                <w:highlight w:val="none"/>
                <w:lang w:val="en-US" w:eastAsia="zh-CN"/>
              </w:rPr>
              <w:t>0%</w:t>
            </w:r>
          </w:p>
        </w:tc>
        <w:tc>
          <w:tcPr>
            <w:tcW w:w="609" w:type="pct"/>
            <w:vAlign w:val="center"/>
          </w:tcPr>
          <w:p w14:paraId="4BC0E4F1">
            <w:pPr>
              <w:pStyle w:val="8"/>
              <w:suppressLineNumbers w:val="0"/>
              <w:bidi w:val="0"/>
              <w:spacing w:before="0" w:beforeAutospacing="0" w:after="0" w:afterAutospacing="0"/>
              <w:ind w:left="0" w:right="0"/>
              <w:jc w:val="center"/>
              <w:rPr>
                <w:rFonts w:hint="eastAsia"/>
                <w:highlight w:val="none"/>
              </w:rPr>
            </w:pPr>
            <w:r>
              <w:rPr>
                <w:rFonts w:hint="eastAsia"/>
                <w:highlight w:val="none"/>
                <w:lang w:val="en-US" w:eastAsia="zh-CN"/>
              </w:rPr>
              <w:t>-</w:t>
            </w:r>
          </w:p>
        </w:tc>
      </w:tr>
      <w:tr w14:paraId="547B77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44" w:type="pct"/>
            <w:vAlign w:val="center"/>
          </w:tcPr>
          <w:p w14:paraId="24456B34">
            <w:pPr>
              <w:pStyle w:val="8"/>
              <w:suppressLineNumbers w:val="0"/>
              <w:bidi w:val="0"/>
              <w:spacing w:before="0" w:beforeAutospacing="0" w:after="0" w:afterAutospacing="0"/>
              <w:ind w:left="0" w:right="0"/>
              <w:jc w:val="center"/>
              <w:rPr>
                <w:rFonts w:hint="eastAsia"/>
                <w:highlight w:val="none"/>
                <w:lang w:val="en-US" w:eastAsia="zh-CN"/>
              </w:rPr>
            </w:pPr>
            <w:r>
              <w:rPr>
                <w:rFonts w:hint="default"/>
                <w:highlight w:val="none"/>
              </w:rPr>
              <w:t>1</w:t>
            </w:r>
            <w:r>
              <w:rPr>
                <w:rFonts w:hint="eastAsia"/>
                <w:highlight w:val="none"/>
                <w:lang w:eastAsia="zh-CN"/>
              </w:rPr>
              <w:t>，</w:t>
            </w:r>
            <w:r>
              <w:rPr>
                <w:rFonts w:hint="default"/>
                <w:highlight w:val="none"/>
              </w:rPr>
              <w:t>1-二氯乙烯</w:t>
            </w:r>
          </w:p>
        </w:tc>
        <w:tc>
          <w:tcPr>
            <w:tcW w:w="416" w:type="pct"/>
            <w:vAlign w:val="center"/>
          </w:tcPr>
          <w:p w14:paraId="658789DD">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3</w:t>
            </w:r>
          </w:p>
        </w:tc>
        <w:tc>
          <w:tcPr>
            <w:tcW w:w="584" w:type="pct"/>
            <w:vAlign w:val="center"/>
          </w:tcPr>
          <w:p w14:paraId="339928BD">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1.0L</w:t>
            </w:r>
          </w:p>
        </w:tc>
        <w:tc>
          <w:tcPr>
            <w:tcW w:w="581" w:type="pct"/>
            <w:vAlign w:val="center"/>
          </w:tcPr>
          <w:p w14:paraId="2BF4C487">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1.0L</w:t>
            </w:r>
          </w:p>
        </w:tc>
        <w:tc>
          <w:tcPr>
            <w:tcW w:w="497" w:type="pct"/>
            <w:vAlign w:val="center"/>
          </w:tcPr>
          <w:p w14:paraId="2FA476DE">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1.0L</w:t>
            </w:r>
          </w:p>
        </w:tc>
        <w:tc>
          <w:tcPr>
            <w:tcW w:w="500" w:type="pct"/>
            <w:vAlign w:val="center"/>
          </w:tcPr>
          <w:p w14:paraId="1C435F6B">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3BEB3B0C">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1961E86B">
            <w:pPr>
              <w:pStyle w:val="8"/>
              <w:suppressLineNumbers w:val="0"/>
              <w:bidi w:val="0"/>
              <w:spacing w:before="0" w:beforeAutospacing="0" w:after="0" w:afterAutospacing="0"/>
              <w:ind w:left="0" w:right="0"/>
              <w:jc w:val="center"/>
              <w:rPr>
                <w:rFonts w:hint="eastAsia"/>
                <w:highlight w:val="none"/>
              </w:rPr>
            </w:pPr>
            <w:r>
              <w:rPr>
                <w:rFonts w:hint="eastAsia"/>
                <w:highlight w:val="none"/>
                <w:lang w:val="en-US" w:eastAsia="zh-CN"/>
              </w:rPr>
              <w:t>0%</w:t>
            </w:r>
          </w:p>
        </w:tc>
        <w:tc>
          <w:tcPr>
            <w:tcW w:w="609" w:type="pct"/>
            <w:vAlign w:val="center"/>
          </w:tcPr>
          <w:p w14:paraId="2BB62BA8">
            <w:pPr>
              <w:pStyle w:val="8"/>
              <w:suppressLineNumbers w:val="0"/>
              <w:bidi w:val="0"/>
              <w:spacing w:before="0" w:beforeAutospacing="0" w:after="0" w:afterAutospacing="0"/>
              <w:ind w:left="0" w:right="0"/>
              <w:jc w:val="center"/>
              <w:rPr>
                <w:rFonts w:hint="eastAsia"/>
                <w:highlight w:val="none"/>
              </w:rPr>
            </w:pPr>
            <w:r>
              <w:rPr>
                <w:rFonts w:hint="eastAsia"/>
                <w:highlight w:val="none"/>
                <w:lang w:val="en-US" w:eastAsia="zh-CN"/>
              </w:rPr>
              <w:t>-</w:t>
            </w:r>
          </w:p>
        </w:tc>
      </w:tr>
      <w:tr w14:paraId="4CC6FA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44" w:type="pct"/>
            <w:vAlign w:val="center"/>
          </w:tcPr>
          <w:p w14:paraId="54ED40DE">
            <w:pPr>
              <w:pStyle w:val="8"/>
              <w:suppressLineNumbers w:val="0"/>
              <w:bidi w:val="0"/>
              <w:spacing w:before="0" w:beforeAutospacing="0" w:after="0" w:afterAutospacing="0"/>
              <w:ind w:left="0" w:right="0"/>
              <w:jc w:val="center"/>
              <w:rPr>
                <w:rFonts w:hint="eastAsia"/>
                <w:highlight w:val="none"/>
                <w:lang w:val="en-US" w:eastAsia="zh-CN"/>
              </w:rPr>
            </w:pPr>
            <w:r>
              <w:rPr>
                <w:rFonts w:hint="default"/>
                <w:highlight w:val="none"/>
              </w:rPr>
              <w:t>顺-1</w:t>
            </w:r>
            <w:r>
              <w:rPr>
                <w:rFonts w:hint="eastAsia"/>
                <w:highlight w:val="none"/>
                <w:lang w:eastAsia="zh-CN"/>
              </w:rPr>
              <w:t>，</w:t>
            </w:r>
            <w:r>
              <w:rPr>
                <w:rFonts w:hint="default"/>
                <w:highlight w:val="none"/>
              </w:rPr>
              <w:t>2-二氯乙烯</w:t>
            </w:r>
          </w:p>
        </w:tc>
        <w:tc>
          <w:tcPr>
            <w:tcW w:w="416" w:type="pct"/>
            <w:vAlign w:val="center"/>
          </w:tcPr>
          <w:p w14:paraId="563CDEE4">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3</w:t>
            </w:r>
          </w:p>
        </w:tc>
        <w:tc>
          <w:tcPr>
            <w:tcW w:w="584" w:type="pct"/>
            <w:vAlign w:val="center"/>
          </w:tcPr>
          <w:p w14:paraId="23D03E49">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1.3L</w:t>
            </w:r>
          </w:p>
        </w:tc>
        <w:tc>
          <w:tcPr>
            <w:tcW w:w="581" w:type="pct"/>
            <w:vAlign w:val="center"/>
          </w:tcPr>
          <w:p w14:paraId="09C7A01C">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1.3L</w:t>
            </w:r>
          </w:p>
        </w:tc>
        <w:tc>
          <w:tcPr>
            <w:tcW w:w="497" w:type="pct"/>
            <w:vAlign w:val="center"/>
          </w:tcPr>
          <w:p w14:paraId="0FCF7026">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1.3L</w:t>
            </w:r>
          </w:p>
        </w:tc>
        <w:tc>
          <w:tcPr>
            <w:tcW w:w="500" w:type="pct"/>
            <w:vAlign w:val="center"/>
          </w:tcPr>
          <w:p w14:paraId="387BB0ED">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516CDD70">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3BC3F2F3">
            <w:pPr>
              <w:pStyle w:val="8"/>
              <w:suppressLineNumbers w:val="0"/>
              <w:bidi w:val="0"/>
              <w:spacing w:before="0" w:beforeAutospacing="0" w:after="0" w:afterAutospacing="0"/>
              <w:ind w:left="0" w:right="0"/>
              <w:jc w:val="center"/>
              <w:rPr>
                <w:rFonts w:hint="eastAsia"/>
                <w:highlight w:val="none"/>
              </w:rPr>
            </w:pPr>
            <w:r>
              <w:rPr>
                <w:rFonts w:hint="eastAsia"/>
                <w:highlight w:val="none"/>
                <w:lang w:val="en-US" w:eastAsia="zh-CN"/>
              </w:rPr>
              <w:t>0%</w:t>
            </w:r>
          </w:p>
        </w:tc>
        <w:tc>
          <w:tcPr>
            <w:tcW w:w="609" w:type="pct"/>
            <w:vAlign w:val="center"/>
          </w:tcPr>
          <w:p w14:paraId="3F6FC88A">
            <w:pPr>
              <w:pStyle w:val="8"/>
              <w:suppressLineNumbers w:val="0"/>
              <w:bidi w:val="0"/>
              <w:spacing w:before="0" w:beforeAutospacing="0" w:after="0" w:afterAutospacing="0"/>
              <w:ind w:left="0" w:right="0"/>
              <w:jc w:val="center"/>
              <w:rPr>
                <w:rFonts w:hint="eastAsia"/>
                <w:highlight w:val="none"/>
              </w:rPr>
            </w:pPr>
            <w:r>
              <w:rPr>
                <w:rFonts w:hint="eastAsia"/>
                <w:highlight w:val="none"/>
                <w:lang w:val="en-US" w:eastAsia="zh-CN"/>
              </w:rPr>
              <w:t>-</w:t>
            </w:r>
          </w:p>
        </w:tc>
      </w:tr>
      <w:tr w14:paraId="45F754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44" w:type="pct"/>
            <w:vAlign w:val="center"/>
          </w:tcPr>
          <w:p w14:paraId="3FD69E42">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反-1</w:t>
            </w:r>
            <w:r>
              <w:rPr>
                <w:rFonts w:hint="eastAsia"/>
                <w:highlight w:val="none"/>
                <w:lang w:eastAsia="zh-CN"/>
              </w:rPr>
              <w:t>，</w:t>
            </w:r>
            <w:r>
              <w:rPr>
                <w:rFonts w:hint="default"/>
                <w:highlight w:val="none"/>
              </w:rPr>
              <w:t>2-二氯乙烯</w:t>
            </w:r>
          </w:p>
        </w:tc>
        <w:tc>
          <w:tcPr>
            <w:tcW w:w="416" w:type="pct"/>
            <w:vAlign w:val="center"/>
          </w:tcPr>
          <w:p w14:paraId="28116C11">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3</w:t>
            </w:r>
          </w:p>
        </w:tc>
        <w:tc>
          <w:tcPr>
            <w:tcW w:w="584" w:type="pct"/>
            <w:vAlign w:val="center"/>
          </w:tcPr>
          <w:p w14:paraId="0333DE6E">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1.4L</w:t>
            </w:r>
          </w:p>
        </w:tc>
        <w:tc>
          <w:tcPr>
            <w:tcW w:w="581" w:type="pct"/>
            <w:vAlign w:val="center"/>
          </w:tcPr>
          <w:p w14:paraId="4BE5DC59">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1.4L</w:t>
            </w:r>
          </w:p>
        </w:tc>
        <w:tc>
          <w:tcPr>
            <w:tcW w:w="497" w:type="pct"/>
            <w:vAlign w:val="center"/>
          </w:tcPr>
          <w:p w14:paraId="28CAA52E">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1.4L</w:t>
            </w:r>
          </w:p>
        </w:tc>
        <w:tc>
          <w:tcPr>
            <w:tcW w:w="500" w:type="pct"/>
            <w:vAlign w:val="center"/>
          </w:tcPr>
          <w:p w14:paraId="42E6DF4F">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5FB91188">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1EF18370">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w:t>
            </w:r>
          </w:p>
        </w:tc>
        <w:tc>
          <w:tcPr>
            <w:tcW w:w="609" w:type="pct"/>
            <w:vAlign w:val="center"/>
          </w:tcPr>
          <w:p w14:paraId="550E52FE">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r>
      <w:tr w14:paraId="4EF4AF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44" w:type="pct"/>
            <w:vAlign w:val="center"/>
          </w:tcPr>
          <w:p w14:paraId="2C8DF515">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二氯甲烷</w:t>
            </w:r>
          </w:p>
        </w:tc>
        <w:tc>
          <w:tcPr>
            <w:tcW w:w="416" w:type="pct"/>
            <w:vAlign w:val="center"/>
          </w:tcPr>
          <w:p w14:paraId="59635593">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3</w:t>
            </w:r>
          </w:p>
        </w:tc>
        <w:tc>
          <w:tcPr>
            <w:tcW w:w="584" w:type="pct"/>
            <w:vAlign w:val="center"/>
          </w:tcPr>
          <w:p w14:paraId="5E59EA53">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1.5L</w:t>
            </w:r>
          </w:p>
        </w:tc>
        <w:tc>
          <w:tcPr>
            <w:tcW w:w="581" w:type="pct"/>
            <w:vAlign w:val="center"/>
          </w:tcPr>
          <w:p w14:paraId="4923A48D">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1.5L</w:t>
            </w:r>
          </w:p>
        </w:tc>
        <w:tc>
          <w:tcPr>
            <w:tcW w:w="497" w:type="pct"/>
            <w:vAlign w:val="center"/>
          </w:tcPr>
          <w:p w14:paraId="4BAF1F26">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1.5L</w:t>
            </w:r>
          </w:p>
        </w:tc>
        <w:tc>
          <w:tcPr>
            <w:tcW w:w="500" w:type="pct"/>
            <w:vAlign w:val="center"/>
          </w:tcPr>
          <w:p w14:paraId="7CE689AA">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4E9BC5B5">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00E6F4B5">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w:t>
            </w:r>
          </w:p>
        </w:tc>
        <w:tc>
          <w:tcPr>
            <w:tcW w:w="609" w:type="pct"/>
            <w:vAlign w:val="center"/>
          </w:tcPr>
          <w:p w14:paraId="6EC382F0">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r>
      <w:tr w14:paraId="2A9179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44" w:type="pct"/>
            <w:vAlign w:val="center"/>
          </w:tcPr>
          <w:p w14:paraId="4CA2F187">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1</w:t>
            </w:r>
            <w:r>
              <w:rPr>
                <w:rFonts w:hint="eastAsia"/>
                <w:highlight w:val="none"/>
                <w:lang w:eastAsia="zh-CN"/>
              </w:rPr>
              <w:t>，</w:t>
            </w:r>
            <w:r>
              <w:rPr>
                <w:rFonts w:hint="default"/>
                <w:highlight w:val="none"/>
              </w:rPr>
              <w:t>2-二氯丙烷</w:t>
            </w:r>
          </w:p>
        </w:tc>
        <w:tc>
          <w:tcPr>
            <w:tcW w:w="416" w:type="pct"/>
            <w:vAlign w:val="center"/>
          </w:tcPr>
          <w:p w14:paraId="541FF5CF">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3</w:t>
            </w:r>
          </w:p>
        </w:tc>
        <w:tc>
          <w:tcPr>
            <w:tcW w:w="584" w:type="pct"/>
            <w:vAlign w:val="center"/>
          </w:tcPr>
          <w:p w14:paraId="5DD0C50C">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1.1L</w:t>
            </w:r>
          </w:p>
        </w:tc>
        <w:tc>
          <w:tcPr>
            <w:tcW w:w="581" w:type="pct"/>
            <w:vAlign w:val="center"/>
          </w:tcPr>
          <w:p w14:paraId="14A10799">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1.1L</w:t>
            </w:r>
          </w:p>
        </w:tc>
        <w:tc>
          <w:tcPr>
            <w:tcW w:w="497" w:type="pct"/>
            <w:vAlign w:val="center"/>
          </w:tcPr>
          <w:p w14:paraId="301724CA">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1.1L</w:t>
            </w:r>
          </w:p>
        </w:tc>
        <w:tc>
          <w:tcPr>
            <w:tcW w:w="500" w:type="pct"/>
            <w:vAlign w:val="center"/>
          </w:tcPr>
          <w:p w14:paraId="4B7558E8">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30A53918">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64682AAA">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w:t>
            </w:r>
          </w:p>
        </w:tc>
        <w:tc>
          <w:tcPr>
            <w:tcW w:w="609" w:type="pct"/>
            <w:vAlign w:val="center"/>
          </w:tcPr>
          <w:p w14:paraId="09CBC5E9">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r>
      <w:tr w14:paraId="27836D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44" w:type="pct"/>
            <w:vAlign w:val="center"/>
          </w:tcPr>
          <w:p w14:paraId="39B59C45">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1</w:t>
            </w:r>
            <w:r>
              <w:rPr>
                <w:rFonts w:hint="eastAsia"/>
                <w:highlight w:val="none"/>
                <w:lang w:eastAsia="zh-CN"/>
              </w:rPr>
              <w:t>，</w:t>
            </w:r>
            <w:r>
              <w:rPr>
                <w:rFonts w:hint="default"/>
                <w:highlight w:val="none"/>
              </w:rPr>
              <w:t>1</w:t>
            </w:r>
            <w:r>
              <w:rPr>
                <w:rFonts w:hint="eastAsia"/>
                <w:highlight w:val="none"/>
                <w:lang w:eastAsia="zh-CN"/>
              </w:rPr>
              <w:t>，</w:t>
            </w:r>
            <w:r>
              <w:rPr>
                <w:rFonts w:hint="default"/>
                <w:highlight w:val="none"/>
              </w:rPr>
              <w:t>1</w:t>
            </w:r>
            <w:r>
              <w:rPr>
                <w:rFonts w:hint="eastAsia"/>
                <w:highlight w:val="none"/>
                <w:lang w:eastAsia="zh-CN"/>
              </w:rPr>
              <w:t>，</w:t>
            </w:r>
            <w:r>
              <w:rPr>
                <w:rFonts w:hint="default"/>
                <w:highlight w:val="none"/>
              </w:rPr>
              <w:t>2-四氯乙烷</w:t>
            </w:r>
          </w:p>
        </w:tc>
        <w:tc>
          <w:tcPr>
            <w:tcW w:w="416" w:type="pct"/>
            <w:vAlign w:val="center"/>
          </w:tcPr>
          <w:p w14:paraId="6FCAA133">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3</w:t>
            </w:r>
          </w:p>
        </w:tc>
        <w:tc>
          <w:tcPr>
            <w:tcW w:w="584" w:type="pct"/>
            <w:vAlign w:val="center"/>
          </w:tcPr>
          <w:p w14:paraId="3A298492">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1.2L</w:t>
            </w:r>
          </w:p>
        </w:tc>
        <w:tc>
          <w:tcPr>
            <w:tcW w:w="581" w:type="pct"/>
            <w:vAlign w:val="center"/>
          </w:tcPr>
          <w:p w14:paraId="6CF209C3">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1.2L</w:t>
            </w:r>
          </w:p>
        </w:tc>
        <w:tc>
          <w:tcPr>
            <w:tcW w:w="497" w:type="pct"/>
            <w:vAlign w:val="center"/>
          </w:tcPr>
          <w:p w14:paraId="096F0F4B">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1.2L</w:t>
            </w:r>
          </w:p>
        </w:tc>
        <w:tc>
          <w:tcPr>
            <w:tcW w:w="500" w:type="pct"/>
            <w:vAlign w:val="center"/>
          </w:tcPr>
          <w:p w14:paraId="3896B958">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0994D5B1">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5D0098E2">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w:t>
            </w:r>
          </w:p>
        </w:tc>
        <w:tc>
          <w:tcPr>
            <w:tcW w:w="609" w:type="pct"/>
            <w:vAlign w:val="center"/>
          </w:tcPr>
          <w:p w14:paraId="09DD5623">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r>
      <w:tr w14:paraId="29DFF2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44" w:type="pct"/>
            <w:vAlign w:val="center"/>
          </w:tcPr>
          <w:p w14:paraId="756137D7">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1</w:t>
            </w:r>
            <w:r>
              <w:rPr>
                <w:rFonts w:hint="eastAsia"/>
                <w:highlight w:val="none"/>
                <w:lang w:eastAsia="zh-CN"/>
              </w:rPr>
              <w:t>，</w:t>
            </w:r>
            <w:r>
              <w:rPr>
                <w:rFonts w:hint="default"/>
                <w:highlight w:val="none"/>
              </w:rPr>
              <w:t>1</w:t>
            </w:r>
            <w:r>
              <w:rPr>
                <w:rFonts w:hint="eastAsia"/>
                <w:highlight w:val="none"/>
                <w:lang w:eastAsia="zh-CN"/>
              </w:rPr>
              <w:t>，</w:t>
            </w:r>
            <w:r>
              <w:rPr>
                <w:rFonts w:hint="default"/>
                <w:highlight w:val="none"/>
              </w:rPr>
              <w:t>2</w:t>
            </w:r>
            <w:r>
              <w:rPr>
                <w:rFonts w:hint="eastAsia"/>
                <w:highlight w:val="none"/>
                <w:lang w:eastAsia="zh-CN"/>
              </w:rPr>
              <w:t>，</w:t>
            </w:r>
            <w:r>
              <w:rPr>
                <w:rFonts w:hint="default"/>
                <w:highlight w:val="none"/>
              </w:rPr>
              <w:t>2-四氯乙烷</w:t>
            </w:r>
          </w:p>
        </w:tc>
        <w:tc>
          <w:tcPr>
            <w:tcW w:w="416" w:type="pct"/>
            <w:vAlign w:val="center"/>
          </w:tcPr>
          <w:p w14:paraId="7E1B0C51">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3</w:t>
            </w:r>
          </w:p>
        </w:tc>
        <w:tc>
          <w:tcPr>
            <w:tcW w:w="584" w:type="pct"/>
            <w:vAlign w:val="center"/>
          </w:tcPr>
          <w:p w14:paraId="6DF6D620">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1.2L</w:t>
            </w:r>
          </w:p>
        </w:tc>
        <w:tc>
          <w:tcPr>
            <w:tcW w:w="581" w:type="pct"/>
            <w:vAlign w:val="center"/>
          </w:tcPr>
          <w:p w14:paraId="24363C22">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1.2L</w:t>
            </w:r>
          </w:p>
        </w:tc>
        <w:tc>
          <w:tcPr>
            <w:tcW w:w="497" w:type="pct"/>
            <w:vAlign w:val="center"/>
          </w:tcPr>
          <w:p w14:paraId="4AB47912">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1.2L</w:t>
            </w:r>
          </w:p>
        </w:tc>
        <w:tc>
          <w:tcPr>
            <w:tcW w:w="500" w:type="pct"/>
            <w:vAlign w:val="center"/>
          </w:tcPr>
          <w:p w14:paraId="15A51752">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016C6475">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4992A4AC">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w:t>
            </w:r>
          </w:p>
        </w:tc>
        <w:tc>
          <w:tcPr>
            <w:tcW w:w="609" w:type="pct"/>
            <w:vAlign w:val="center"/>
          </w:tcPr>
          <w:p w14:paraId="6AB70C2D">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r>
      <w:tr w14:paraId="46B7FC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44" w:type="pct"/>
            <w:vAlign w:val="center"/>
          </w:tcPr>
          <w:p w14:paraId="66FF1857">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四氯乙烯</w:t>
            </w:r>
          </w:p>
        </w:tc>
        <w:tc>
          <w:tcPr>
            <w:tcW w:w="416" w:type="pct"/>
            <w:vAlign w:val="center"/>
          </w:tcPr>
          <w:p w14:paraId="6CE773C2">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3</w:t>
            </w:r>
          </w:p>
        </w:tc>
        <w:tc>
          <w:tcPr>
            <w:tcW w:w="584" w:type="pct"/>
            <w:vAlign w:val="center"/>
          </w:tcPr>
          <w:p w14:paraId="2CED6147">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1.4L</w:t>
            </w:r>
          </w:p>
        </w:tc>
        <w:tc>
          <w:tcPr>
            <w:tcW w:w="581" w:type="pct"/>
            <w:vAlign w:val="center"/>
          </w:tcPr>
          <w:p w14:paraId="6DB9C446">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1.4L</w:t>
            </w:r>
          </w:p>
        </w:tc>
        <w:tc>
          <w:tcPr>
            <w:tcW w:w="497" w:type="pct"/>
            <w:vAlign w:val="center"/>
          </w:tcPr>
          <w:p w14:paraId="5534EC1F">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1.4L</w:t>
            </w:r>
          </w:p>
        </w:tc>
        <w:tc>
          <w:tcPr>
            <w:tcW w:w="500" w:type="pct"/>
            <w:vAlign w:val="center"/>
          </w:tcPr>
          <w:p w14:paraId="65A44503">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339D1EF9">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4BCD2BBE">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w:t>
            </w:r>
          </w:p>
        </w:tc>
        <w:tc>
          <w:tcPr>
            <w:tcW w:w="609" w:type="pct"/>
            <w:vAlign w:val="center"/>
          </w:tcPr>
          <w:p w14:paraId="4D72B796">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r>
      <w:tr w14:paraId="627817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44" w:type="pct"/>
            <w:vAlign w:val="center"/>
          </w:tcPr>
          <w:p w14:paraId="2C2E43AD">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1</w:t>
            </w:r>
            <w:r>
              <w:rPr>
                <w:rFonts w:hint="eastAsia"/>
                <w:highlight w:val="none"/>
                <w:lang w:eastAsia="zh-CN"/>
              </w:rPr>
              <w:t>，</w:t>
            </w:r>
            <w:r>
              <w:rPr>
                <w:rFonts w:hint="default"/>
                <w:highlight w:val="none"/>
              </w:rPr>
              <w:t>1</w:t>
            </w:r>
            <w:r>
              <w:rPr>
                <w:rFonts w:hint="eastAsia"/>
                <w:highlight w:val="none"/>
                <w:lang w:eastAsia="zh-CN"/>
              </w:rPr>
              <w:t>，</w:t>
            </w:r>
            <w:r>
              <w:rPr>
                <w:rFonts w:hint="default"/>
                <w:highlight w:val="none"/>
              </w:rPr>
              <w:t>1-三氯乙烷</w:t>
            </w:r>
          </w:p>
        </w:tc>
        <w:tc>
          <w:tcPr>
            <w:tcW w:w="416" w:type="pct"/>
            <w:vAlign w:val="center"/>
          </w:tcPr>
          <w:p w14:paraId="196118BF">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3</w:t>
            </w:r>
          </w:p>
        </w:tc>
        <w:tc>
          <w:tcPr>
            <w:tcW w:w="584" w:type="pct"/>
            <w:vAlign w:val="center"/>
          </w:tcPr>
          <w:p w14:paraId="29659A58">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1.3L</w:t>
            </w:r>
          </w:p>
        </w:tc>
        <w:tc>
          <w:tcPr>
            <w:tcW w:w="581" w:type="pct"/>
            <w:vAlign w:val="center"/>
          </w:tcPr>
          <w:p w14:paraId="0A3AD4B2">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1.3L</w:t>
            </w:r>
          </w:p>
        </w:tc>
        <w:tc>
          <w:tcPr>
            <w:tcW w:w="497" w:type="pct"/>
            <w:vAlign w:val="center"/>
          </w:tcPr>
          <w:p w14:paraId="3EC25A70">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1.3L</w:t>
            </w:r>
          </w:p>
        </w:tc>
        <w:tc>
          <w:tcPr>
            <w:tcW w:w="500" w:type="pct"/>
            <w:vAlign w:val="center"/>
          </w:tcPr>
          <w:p w14:paraId="3BB86CC6">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0F04C213">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5E768793">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w:t>
            </w:r>
          </w:p>
        </w:tc>
        <w:tc>
          <w:tcPr>
            <w:tcW w:w="609" w:type="pct"/>
            <w:vAlign w:val="center"/>
          </w:tcPr>
          <w:p w14:paraId="510FC164">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r>
      <w:tr w14:paraId="548AAF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44" w:type="pct"/>
            <w:vAlign w:val="center"/>
          </w:tcPr>
          <w:p w14:paraId="3EC93F9E">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1</w:t>
            </w:r>
            <w:r>
              <w:rPr>
                <w:rFonts w:hint="eastAsia"/>
                <w:highlight w:val="none"/>
                <w:lang w:eastAsia="zh-CN"/>
              </w:rPr>
              <w:t>，</w:t>
            </w:r>
            <w:r>
              <w:rPr>
                <w:rFonts w:hint="default"/>
                <w:highlight w:val="none"/>
              </w:rPr>
              <w:t>1</w:t>
            </w:r>
            <w:r>
              <w:rPr>
                <w:rFonts w:hint="eastAsia"/>
                <w:highlight w:val="none"/>
                <w:lang w:eastAsia="zh-CN"/>
              </w:rPr>
              <w:t>，</w:t>
            </w:r>
            <w:r>
              <w:rPr>
                <w:rFonts w:hint="default"/>
                <w:highlight w:val="none"/>
              </w:rPr>
              <w:t>2-三氯乙烷</w:t>
            </w:r>
          </w:p>
        </w:tc>
        <w:tc>
          <w:tcPr>
            <w:tcW w:w="416" w:type="pct"/>
            <w:vAlign w:val="center"/>
          </w:tcPr>
          <w:p w14:paraId="76ECFDC2">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3</w:t>
            </w:r>
          </w:p>
        </w:tc>
        <w:tc>
          <w:tcPr>
            <w:tcW w:w="584" w:type="pct"/>
            <w:vAlign w:val="center"/>
          </w:tcPr>
          <w:p w14:paraId="74A33E4B">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1.2L</w:t>
            </w:r>
          </w:p>
        </w:tc>
        <w:tc>
          <w:tcPr>
            <w:tcW w:w="581" w:type="pct"/>
            <w:vAlign w:val="center"/>
          </w:tcPr>
          <w:p w14:paraId="5D112CE9">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1.2L</w:t>
            </w:r>
          </w:p>
        </w:tc>
        <w:tc>
          <w:tcPr>
            <w:tcW w:w="497" w:type="pct"/>
            <w:vAlign w:val="center"/>
          </w:tcPr>
          <w:p w14:paraId="260F8F87">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1.2L</w:t>
            </w:r>
          </w:p>
        </w:tc>
        <w:tc>
          <w:tcPr>
            <w:tcW w:w="500" w:type="pct"/>
            <w:vAlign w:val="center"/>
          </w:tcPr>
          <w:p w14:paraId="6674DC08">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695F9533">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70A6F18C">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w:t>
            </w:r>
          </w:p>
        </w:tc>
        <w:tc>
          <w:tcPr>
            <w:tcW w:w="609" w:type="pct"/>
            <w:vAlign w:val="center"/>
          </w:tcPr>
          <w:p w14:paraId="0E5AC9CB">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r>
      <w:tr w14:paraId="211BD7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44" w:type="pct"/>
            <w:vAlign w:val="center"/>
          </w:tcPr>
          <w:p w14:paraId="0ECC9D0E">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三氯乙烯</w:t>
            </w:r>
          </w:p>
        </w:tc>
        <w:tc>
          <w:tcPr>
            <w:tcW w:w="416" w:type="pct"/>
            <w:vAlign w:val="center"/>
          </w:tcPr>
          <w:p w14:paraId="3B8175AA">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3</w:t>
            </w:r>
          </w:p>
        </w:tc>
        <w:tc>
          <w:tcPr>
            <w:tcW w:w="584" w:type="pct"/>
            <w:vAlign w:val="center"/>
          </w:tcPr>
          <w:p w14:paraId="1BA1CC82">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1.2L</w:t>
            </w:r>
          </w:p>
        </w:tc>
        <w:tc>
          <w:tcPr>
            <w:tcW w:w="581" w:type="pct"/>
            <w:vAlign w:val="center"/>
          </w:tcPr>
          <w:p w14:paraId="0128531F">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1.2L</w:t>
            </w:r>
          </w:p>
        </w:tc>
        <w:tc>
          <w:tcPr>
            <w:tcW w:w="497" w:type="pct"/>
            <w:vAlign w:val="center"/>
          </w:tcPr>
          <w:p w14:paraId="4396E659">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1.2L</w:t>
            </w:r>
          </w:p>
        </w:tc>
        <w:tc>
          <w:tcPr>
            <w:tcW w:w="500" w:type="pct"/>
            <w:vAlign w:val="center"/>
          </w:tcPr>
          <w:p w14:paraId="5EAFEC4C">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79D85400">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0C1BD925">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w:t>
            </w:r>
          </w:p>
        </w:tc>
        <w:tc>
          <w:tcPr>
            <w:tcW w:w="609" w:type="pct"/>
            <w:vAlign w:val="center"/>
          </w:tcPr>
          <w:p w14:paraId="6180EDB8">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r>
      <w:tr w14:paraId="743D01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44" w:type="pct"/>
            <w:vAlign w:val="center"/>
          </w:tcPr>
          <w:p w14:paraId="1D8EAAC3">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1</w:t>
            </w:r>
            <w:r>
              <w:rPr>
                <w:rFonts w:hint="eastAsia"/>
                <w:highlight w:val="none"/>
                <w:lang w:eastAsia="zh-CN"/>
              </w:rPr>
              <w:t>，</w:t>
            </w:r>
            <w:r>
              <w:rPr>
                <w:rFonts w:hint="default"/>
                <w:highlight w:val="none"/>
              </w:rPr>
              <w:t>2</w:t>
            </w:r>
            <w:r>
              <w:rPr>
                <w:rFonts w:hint="eastAsia"/>
                <w:highlight w:val="none"/>
                <w:lang w:eastAsia="zh-CN"/>
              </w:rPr>
              <w:t>，</w:t>
            </w:r>
            <w:r>
              <w:rPr>
                <w:rFonts w:hint="default"/>
                <w:highlight w:val="none"/>
              </w:rPr>
              <w:t>3-三氯丙烷</w:t>
            </w:r>
          </w:p>
        </w:tc>
        <w:tc>
          <w:tcPr>
            <w:tcW w:w="416" w:type="pct"/>
            <w:vAlign w:val="center"/>
          </w:tcPr>
          <w:p w14:paraId="4D6593AC">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3</w:t>
            </w:r>
          </w:p>
        </w:tc>
        <w:tc>
          <w:tcPr>
            <w:tcW w:w="584" w:type="pct"/>
            <w:vAlign w:val="center"/>
          </w:tcPr>
          <w:p w14:paraId="3CC12DD0">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1.2L</w:t>
            </w:r>
          </w:p>
        </w:tc>
        <w:tc>
          <w:tcPr>
            <w:tcW w:w="581" w:type="pct"/>
            <w:vAlign w:val="center"/>
          </w:tcPr>
          <w:p w14:paraId="21E7675A">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1.2L</w:t>
            </w:r>
          </w:p>
        </w:tc>
        <w:tc>
          <w:tcPr>
            <w:tcW w:w="497" w:type="pct"/>
            <w:vAlign w:val="center"/>
          </w:tcPr>
          <w:p w14:paraId="35C81ECE">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1.2L</w:t>
            </w:r>
          </w:p>
        </w:tc>
        <w:tc>
          <w:tcPr>
            <w:tcW w:w="500" w:type="pct"/>
            <w:vAlign w:val="center"/>
          </w:tcPr>
          <w:p w14:paraId="7B917E28">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25EF1968">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61F26E7E">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w:t>
            </w:r>
          </w:p>
        </w:tc>
        <w:tc>
          <w:tcPr>
            <w:tcW w:w="609" w:type="pct"/>
            <w:vAlign w:val="center"/>
          </w:tcPr>
          <w:p w14:paraId="3444E838">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r>
      <w:tr w14:paraId="34BEB0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44" w:type="pct"/>
            <w:vAlign w:val="center"/>
          </w:tcPr>
          <w:p w14:paraId="69E2CCE4">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氯乙烯</w:t>
            </w:r>
          </w:p>
        </w:tc>
        <w:tc>
          <w:tcPr>
            <w:tcW w:w="416" w:type="pct"/>
            <w:vAlign w:val="center"/>
          </w:tcPr>
          <w:p w14:paraId="49AFBD75">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3</w:t>
            </w:r>
          </w:p>
        </w:tc>
        <w:tc>
          <w:tcPr>
            <w:tcW w:w="584" w:type="pct"/>
            <w:vAlign w:val="center"/>
          </w:tcPr>
          <w:p w14:paraId="2730F59B">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1.0L</w:t>
            </w:r>
          </w:p>
        </w:tc>
        <w:tc>
          <w:tcPr>
            <w:tcW w:w="581" w:type="pct"/>
            <w:vAlign w:val="center"/>
          </w:tcPr>
          <w:p w14:paraId="65E25500">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1.0L</w:t>
            </w:r>
          </w:p>
        </w:tc>
        <w:tc>
          <w:tcPr>
            <w:tcW w:w="497" w:type="pct"/>
            <w:vAlign w:val="center"/>
          </w:tcPr>
          <w:p w14:paraId="06799524">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1.0L</w:t>
            </w:r>
          </w:p>
        </w:tc>
        <w:tc>
          <w:tcPr>
            <w:tcW w:w="500" w:type="pct"/>
            <w:vAlign w:val="center"/>
          </w:tcPr>
          <w:p w14:paraId="3FA7A6B9">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5A71A41C">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2E65291A">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w:t>
            </w:r>
          </w:p>
        </w:tc>
        <w:tc>
          <w:tcPr>
            <w:tcW w:w="609" w:type="pct"/>
            <w:vAlign w:val="center"/>
          </w:tcPr>
          <w:p w14:paraId="0A041B22">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r>
    </w:tbl>
    <w:p w14:paraId="41698518">
      <w:pPr>
        <w:pStyle w:val="7"/>
        <w:bidi w:val="0"/>
        <w:rPr>
          <w:rFonts w:hint="default"/>
          <w:highlight w:val="none"/>
          <w:lang w:val="en-US"/>
        </w:rPr>
      </w:pPr>
      <w:r>
        <w:rPr>
          <w:rFonts w:hint="eastAsia"/>
          <w:highlight w:val="none"/>
          <w:lang w:val="en-US" w:eastAsia="zh-CN"/>
        </w:rPr>
        <w:t>续表</w:t>
      </w:r>
      <w:r>
        <w:rPr>
          <w:rFonts w:hint="default"/>
          <w:highlight w:val="none"/>
          <w:lang w:val="en-US" w:eastAsia="zh-CN"/>
        </w:rPr>
        <w:t>4-2-1</w:t>
      </w:r>
      <w:r>
        <w:rPr>
          <w:rFonts w:hint="eastAsia"/>
          <w:highlight w:val="none"/>
          <w:lang w:val="en-US" w:eastAsia="zh-CN"/>
        </w:rPr>
        <w:t>9</w:t>
      </w:r>
      <w:r>
        <w:rPr>
          <w:rFonts w:hint="eastAsia"/>
          <w:highlight w:val="none"/>
        </w:rPr>
        <w:t>土壤</w:t>
      </w:r>
      <w:r>
        <w:rPr>
          <w:highlight w:val="none"/>
        </w:rPr>
        <w:t>现状评价因子统计结果</w:t>
      </w:r>
    </w:p>
    <w:tbl>
      <w:tblPr>
        <w:tblStyle w:val="4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99"/>
        <w:gridCol w:w="710"/>
        <w:gridCol w:w="996"/>
        <w:gridCol w:w="991"/>
        <w:gridCol w:w="848"/>
        <w:gridCol w:w="853"/>
        <w:gridCol w:w="993"/>
        <w:gridCol w:w="993"/>
        <w:gridCol w:w="1039"/>
      </w:tblGrid>
      <w:tr w14:paraId="5AA639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44" w:type="pct"/>
            <w:vAlign w:val="center"/>
          </w:tcPr>
          <w:p w14:paraId="59ED2D03">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苯</w:t>
            </w:r>
          </w:p>
        </w:tc>
        <w:tc>
          <w:tcPr>
            <w:tcW w:w="416" w:type="pct"/>
            <w:vAlign w:val="center"/>
          </w:tcPr>
          <w:p w14:paraId="79ECADD1">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3</w:t>
            </w:r>
          </w:p>
        </w:tc>
        <w:tc>
          <w:tcPr>
            <w:tcW w:w="584" w:type="pct"/>
            <w:vAlign w:val="center"/>
          </w:tcPr>
          <w:p w14:paraId="1A126CB6">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1.9L</w:t>
            </w:r>
          </w:p>
        </w:tc>
        <w:tc>
          <w:tcPr>
            <w:tcW w:w="581" w:type="pct"/>
            <w:vAlign w:val="center"/>
          </w:tcPr>
          <w:p w14:paraId="6FE624D4">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1.9L</w:t>
            </w:r>
          </w:p>
        </w:tc>
        <w:tc>
          <w:tcPr>
            <w:tcW w:w="497" w:type="pct"/>
            <w:vAlign w:val="center"/>
          </w:tcPr>
          <w:p w14:paraId="331BA9EB">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1.9L</w:t>
            </w:r>
          </w:p>
        </w:tc>
        <w:tc>
          <w:tcPr>
            <w:tcW w:w="500" w:type="pct"/>
            <w:vAlign w:val="center"/>
          </w:tcPr>
          <w:p w14:paraId="196A8C4A">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2D38564E">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034A3828">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w:t>
            </w:r>
          </w:p>
        </w:tc>
        <w:tc>
          <w:tcPr>
            <w:tcW w:w="609" w:type="pct"/>
            <w:vAlign w:val="center"/>
          </w:tcPr>
          <w:p w14:paraId="742581DF">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r>
      <w:tr w14:paraId="125401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44" w:type="pct"/>
            <w:vAlign w:val="center"/>
          </w:tcPr>
          <w:p w14:paraId="3894D289">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氯苯</w:t>
            </w:r>
          </w:p>
        </w:tc>
        <w:tc>
          <w:tcPr>
            <w:tcW w:w="416" w:type="pct"/>
            <w:vAlign w:val="center"/>
          </w:tcPr>
          <w:p w14:paraId="3C9BB651">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3</w:t>
            </w:r>
          </w:p>
        </w:tc>
        <w:tc>
          <w:tcPr>
            <w:tcW w:w="584" w:type="pct"/>
            <w:vAlign w:val="center"/>
          </w:tcPr>
          <w:p w14:paraId="25FBC119">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1.2L</w:t>
            </w:r>
          </w:p>
        </w:tc>
        <w:tc>
          <w:tcPr>
            <w:tcW w:w="581" w:type="pct"/>
            <w:vAlign w:val="center"/>
          </w:tcPr>
          <w:p w14:paraId="4C4C316D">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1.2L</w:t>
            </w:r>
          </w:p>
        </w:tc>
        <w:tc>
          <w:tcPr>
            <w:tcW w:w="497" w:type="pct"/>
            <w:vAlign w:val="center"/>
          </w:tcPr>
          <w:p w14:paraId="462A27AA">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1.2L</w:t>
            </w:r>
          </w:p>
        </w:tc>
        <w:tc>
          <w:tcPr>
            <w:tcW w:w="500" w:type="pct"/>
            <w:vAlign w:val="center"/>
          </w:tcPr>
          <w:p w14:paraId="7755488B">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1C9057D0">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56AFE706">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w:t>
            </w:r>
          </w:p>
        </w:tc>
        <w:tc>
          <w:tcPr>
            <w:tcW w:w="609" w:type="pct"/>
            <w:vAlign w:val="center"/>
          </w:tcPr>
          <w:p w14:paraId="5A3F22D0">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r>
      <w:tr w14:paraId="493DB3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44" w:type="pct"/>
            <w:vAlign w:val="center"/>
          </w:tcPr>
          <w:p w14:paraId="5C919DA5">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1</w:t>
            </w:r>
            <w:r>
              <w:rPr>
                <w:rFonts w:hint="eastAsia"/>
                <w:highlight w:val="none"/>
                <w:lang w:eastAsia="zh-CN"/>
              </w:rPr>
              <w:t>，</w:t>
            </w:r>
            <w:r>
              <w:rPr>
                <w:rFonts w:hint="default"/>
                <w:highlight w:val="none"/>
              </w:rPr>
              <w:t>2-二氯苯</w:t>
            </w:r>
          </w:p>
        </w:tc>
        <w:tc>
          <w:tcPr>
            <w:tcW w:w="416" w:type="pct"/>
            <w:vAlign w:val="center"/>
          </w:tcPr>
          <w:p w14:paraId="07CDCD01">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3</w:t>
            </w:r>
          </w:p>
        </w:tc>
        <w:tc>
          <w:tcPr>
            <w:tcW w:w="584" w:type="pct"/>
            <w:vAlign w:val="center"/>
          </w:tcPr>
          <w:p w14:paraId="66D76937">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1.5L</w:t>
            </w:r>
          </w:p>
        </w:tc>
        <w:tc>
          <w:tcPr>
            <w:tcW w:w="581" w:type="pct"/>
            <w:vAlign w:val="center"/>
          </w:tcPr>
          <w:p w14:paraId="284F2C04">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1.5L</w:t>
            </w:r>
          </w:p>
        </w:tc>
        <w:tc>
          <w:tcPr>
            <w:tcW w:w="497" w:type="pct"/>
            <w:vAlign w:val="center"/>
          </w:tcPr>
          <w:p w14:paraId="777BB867">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1.5L</w:t>
            </w:r>
          </w:p>
        </w:tc>
        <w:tc>
          <w:tcPr>
            <w:tcW w:w="500" w:type="pct"/>
            <w:vAlign w:val="center"/>
          </w:tcPr>
          <w:p w14:paraId="7D1D5B30">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7A62AA06">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0B316964">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w:t>
            </w:r>
          </w:p>
        </w:tc>
        <w:tc>
          <w:tcPr>
            <w:tcW w:w="609" w:type="pct"/>
            <w:vAlign w:val="center"/>
          </w:tcPr>
          <w:p w14:paraId="4BEF3CC8">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r>
      <w:tr w14:paraId="33AD00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44" w:type="pct"/>
            <w:vAlign w:val="center"/>
          </w:tcPr>
          <w:p w14:paraId="35A299F2">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1</w:t>
            </w:r>
            <w:r>
              <w:rPr>
                <w:rFonts w:hint="eastAsia"/>
                <w:highlight w:val="none"/>
                <w:lang w:eastAsia="zh-CN"/>
              </w:rPr>
              <w:t>，</w:t>
            </w:r>
            <w:r>
              <w:rPr>
                <w:rFonts w:hint="default"/>
                <w:highlight w:val="none"/>
              </w:rPr>
              <w:t>4-二氯苯</w:t>
            </w:r>
          </w:p>
        </w:tc>
        <w:tc>
          <w:tcPr>
            <w:tcW w:w="416" w:type="pct"/>
            <w:vAlign w:val="center"/>
          </w:tcPr>
          <w:p w14:paraId="31EFD60E">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3</w:t>
            </w:r>
          </w:p>
        </w:tc>
        <w:tc>
          <w:tcPr>
            <w:tcW w:w="584" w:type="pct"/>
            <w:vAlign w:val="center"/>
          </w:tcPr>
          <w:p w14:paraId="7F024313">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1.5L</w:t>
            </w:r>
          </w:p>
        </w:tc>
        <w:tc>
          <w:tcPr>
            <w:tcW w:w="581" w:type="pct"/>
            <w:vAlign w:val="center"/>
          </w:tcPr>
          <w:p w14:paraId="31EF3165">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1.5L</w:t>
            </w:r>
          </w:p>
        </w:tc>
        <w:tc>
          <w:tcPr>
            <w:tcW w:w="497" w:type="pct"/>
            <w:vAlign w:val="center"/>
          </w:tcPr>
          <w:p w14:paraId="7579BD2D">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1.5L</w:t>
            </w:r>
          </w:p>
        </w:tc>
        <w:tc>
          <w:tcPr>
            <w:tcW w:w="500" w:type="pct"/>
            <w:vAlign w:val="center"/>
          </w:tcPr>
          <w:p w14:paraId="510AF91F">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39AB71DD">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5EAE6A1D">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w:t>
            </w:r>
          </w:p>
        </w:tc>
        <w:tc>
          <w:tcPr>
            <w:tcW w:w="609" w:type="pct"/>
            <w:vAlign w:val="center"/>
          </w:tcPr>
          <w:p w14:paraId="1D258144">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r>
      <w:tr w14:paraId="499F3E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44" w:type="pct"/>
            <w:vAlign w:val="center"/>
          </w:tcPr>
          <w:p w14:paraId="660D9707">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乙苯</w:t>
            </w:r>
          </w:p>
        </w:tc>
        <w:tc>
          <w:tcPr>
            <w:tcW w:w="416" w:type="pct"/>
            <w:vAlign w:val="center"/>
          </w:tcPr>
          <w:p w14:paraId="4F1BD3D4">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3</w:t>
            </w:r>
          </w:p>
        </w:tc>
        <w:tc>
          <w:tcPr>
            <w:tcW w:w="584" w:type="pct"/>
            <w:vAlign w:val="center"/>
          </w:tcPr>
          <w:p w14:paraId="59C5B45B">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1.2L</w:t>
            </w:r>
          </w:p>
        </w:tc>
        <w:tc>
          <w:tcPr>
            <w:tcW w:w="581" w:type="pct"/>
            <w:vAlign w:val="center"/>
          </w:tcPr>
          <w:p w14:paraId="01D36D15">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1.2L</w:t>
            </w:r>
          </w:p>
        </w:tc>
        <w:tc>
          <w:tcPr>
            <w:tcW w:w="497" w:type="pct"/>
            <w:vAlign w:val="center"/>
          </w:tcPr>
          <w:p w14:paraId="32C4EE6D">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1.2L</w:t>
            </w:r>
          </w:p>
        </w:tc>
        <w:tc>
          <w:tcPr>
            <w:tcW w:w="500" w:type="pct"/>
            <w:vAlign w:val="center"/>
          </w:tcPr>
          <w:p w14:paraId="37747573">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0CF68454">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1DFF8D62">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w:t>
            </w:r>
          </w:p>
        </w:tc>
        <w:tc>
          <w:tcPr>
            <w:tcW w:w="609" w:type="pct"/>
            <w:vAlign w:val="center"/>
          </w:tcPr>
          <w:p w14:paraId="18A49D6F">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r>
      <w:tr w14:paraId="637C8D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44" w:type="pct"/>
            <w:vAlign w:val="center"/>
          </w:tcPr>
          <w:p w14:paraId="5CC627EF">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苯乙烯</w:t>
            </w:r>
          </w:p>
        </w:tc>
        <w:tc>
          <w:tcPr>
            <w:tcW w:w="416" w:type="pct"/>
            <w:vAlign w:val="center"/>
          </w:tcPr>
          <w:p w14:paraId="1012F2B9">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3</w:t>
            </w:r>
          </w:p>
        </w:tc>
        <w:tc>
          <w:tcPr>
            <w:tcW w:w="584" w:type="pct"/>
            <w:vAlign w:val="center"/>
          </w:tcPr>
          <w:p w14:paraId="4FA8776E">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1.1L</w:t>
            </w:r>
          </w:p>
        </w:tc>
        <w:tc>
          <w:tcPr>
            <w:tcW w:w="581" w:type="pct"/>
            <w:vAlign w:val="center"/>
          </w:tcPr>
          <w:p w14:paraId="3D008288">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1.1L</w:t>
            </w:r>
          </w:p>
        </w:tc>
        <w:tc>
          <w:tcPr>
            <w:tcW w:w="497" w:type="pct"/>
            <w:vAlign w:val="center"/>
          </w:tcPr>
          <w:p w14:paraId="78C4AB66">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1.1L</w:t>
            </w:r>
          </w:p>
        </w:tc>
        <w:tc>
          <w:tcPr>
            <w:tcW w:w="500" w:type="pct"/>
            <w:vAlign w:val="center"/>
          </w:tcPr>
          <w:p w14:paraId="4B802346">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47B5119E">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30549BDA">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w:t>
            </w:r>
          </w:p>
        </w:tc>
        <w:tc>
          <w:tcPr>
            <w:tcW w:w="609" w:type="pct"/>
            <w:vAlign w:val="center"/>
          </w:tcPr>
          <w:p w14:paraId="57B19DE3">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r>
      <w:tr w14:paraId="63989D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44" w:type="pct"/>
            <w:vAlign w:val="center"/>
          </w:tcPr>
          <w:p w14:paraId="698EE74A">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甲苯</w:t>
            </w:r>
          </w:p>
        </w:tc>
        <w:tc>
          <w:tcPr>
            <w:tcW w:w="416" w:type="pct"/>
            <w:vAlign w:val="center"/>
          </w:tcPr>
          <w:p w14:paraId="4162FF49">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3</w:t>
            </w:r>
          </w:p>
        </w:tc>
        <w:tc>
          <w:tcPr>
            <w:tcW w:w="584" w:type="pct"/>
            <w:vAlign w:val="center"/>
          </w:tcPr>
          <w:p w14:paraId="671BD119">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1.3L</w:t>
            </w:r>
          </w:p>
        </w:tc>
        <w:tc>
          <w:tcPr>
            <w:tcW w:w="581" w:type="pct"/>
            <w:vAlign w:val="center"/>
          </w:tcPr>
          <w:p w14:paraId="37863061">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1.3L</w:t>
            </w:r>
          </w:p>
        </w:tc>
        <w:tc>
          <w:tcPr>
            <w:tcW w:w="497" w:type="pct"/>
            <w:vAlign w:val="center"/>
          </w:tcPr>
          <w:p w14:paraId="06DDBF65">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1.3L</w:t>
            </w:r>
          </w:p>
        </w:tc>
        <w:tc>
          <w:tcPr>
            <w:tcW w:w="500" w:type="pct"/>
            <w:vAlign w:val="center"/>
          </w:tcPr>
          <w:p w14:paraId="7156D347">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113B581A">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7C6D8089">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w:t>
            </w:r>
          </w:p>
        </w:tc>
        <w:tc>
          <w:tcPr>
            <w:tcW w:w="609" w:type="pct"/>
            <w:vAlign w:val="center"/>
          </w:tcPr>
          <w:p w14:paraId="05981D7B">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r>
      <w:tr w14:paraId="37F636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44" w:type="pct"/>
            <w:vAlign w:val="center"/>
          </w:tcPr>
          <w:p w14:paraId="19A12023">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间二甲苯+对二甲苯</w:t>
            </w:r>
          </w:p>
        </w:tc>
        <w:tc>
          <w:tcPr>
            <w:tcW w:w="416" w:type="pct"/>
            <w:vAlign w:val="center"/>
          </w:tcPr>
          <w:p w14:paraId="188B9AB8">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3</w:t>
            </w:r>
          </w:p>
        </w:tc>
        <w:tc>
          <w:tcPr>
            <w:tcW w:w="584" w:type="pct"/>
            <w:vAlign w:val="center"/>
          </w:tcPr>
          <w:p w14:paraId="4A923759">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1.2L</w:t>
            </w:r>
          </w:p>
        </w:tc>
        <w:tc>
          <w:tcPr>
            <w:tcW w:w="581" w:type="pct"/>
            <w:vAlign w:val="center"/>
          </w:tcPr>
          <w:p w14:paraId="0EC4D65D">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1.2L</w:t>
            </w:r>
          </w:p>
        </w:tc>
        <w:tc>
          <w:tcPr>
            <w:tcW w:w="497" w:type="pct"/>
            <w:vAlign w:val="center"/>
          </w:tcPr>
          <w:p w14:paraId="03B9B54E">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1.2L</w:t>
            </w:r>
          </w:p>
        </w:tc>
        <w:tc>
          <w:tcPr>
            <w:tcW w:w="500" w:type="pct"/>
            <w:vAlign w:val="center"/>
          </w:tcPr>
          <w:p w14:paraId="5D6A804B">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292CF26F">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2851EDF4">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w:t>
            </w:r>
          </w:p>
        </w:tc>
        <w:tc>
          <w:tcPr>
            <w:tcW w:w="609" w:type="pct"/>
            <w:vAlign w:val="center"/>
          </w:tcPr>
          <w:p w14:paraId="51F08E5C">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r>
      <w:tr w14:paraId="404BF8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44" w:type="pct"/>
            <w:vAlign w:val="center"/>
          </w:tcPr>
          <w:p w14:paraId="1EF082F3">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邻二甲苯</w:t>
            </w:r>
          </w:p>
        </w:tc>
        <w:tc>
          <w:tcPr>
            <w:tcW w:w="416" w:type="pct"/>
            <w:vAlign w:val="center"/>
          </w:tcPr>
          <w:p w14:paraId="2CDE8ADF">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3</w:t>
            </w:r>
          </w:p>
        </w:tc>
        <w:tc>
          <w:tcPr>
            <w:tcW w:w="584" w:type="pct"/>
            <w:vAlign w:val="center"/>
          </w:tcPr>
          <w:p w14:paraId="3E8D334B">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1.2L</w:t>
            </w:r>
          </w:p>
        </w:tc>
        <w:tc>
          <w:tcPr>
            <w:tcW w:w="581" w:type="pct"/>
            <w:vAlign w:val="center"/>
          </w:tcPr>
          <w:p w14:paraId="6DCB67A5">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1.2L</w:t>
            </w:r>
          </w:p>
        </w:tc>
        <w:tc>
          <w:tcPr>
            <w:tcW w:w="497" w:type="pct"/>
            <w:vAlign w:val="center"/>
          </w:tcPr>
          <w:p w14:paraId="0D31F170">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1.2L</w:t>
            </w:r>
          </w:p>
        </w:tc>
        <w:tc>
          <w:tcPr>
            <w:tcW w:w="500" w:type="pct"/>
            <w:vAlign w:val="center"/>
          </w:tcPr>
          <w:p w14:paraId="1D64538D">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714B9D80">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59201774">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w:t>
            </w:r>
          </w:p>
        </w:tc>
        <w:tc>
          <w:tcPr>
            <w:tcW w:w="609" w:type="pct"/>
            <w:vAlign w:val="center"/>
          </w:tcPr>
          <w:p w14:paraId="2D07558D">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r>
      <w:tr w14:paraId="7AB1DF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44" w:type="pct"/>
            <w:vAlign w:val="center"/>
          </w:tcPr>
          <w:p w14:paraId="57CCEC51">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硝基苯</w:t>
            </w:r>
          </w:p>
        </w:tc>
        <w:tc>
          <w:tcPr>
            <w:tcW w:w="416" w:type="pct"/>
            <w:vAlign w:val="center"/>
          </w:tcPr>
          <w:p w14:paraId="4B0947AA">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3</w:t>
            </w:r>
          </w:p>
        </w:tc>
        <w:tc>
          <w:tcPr>
            <w:tcW w:w="584" w:type="pct"/>
            <w:vAlign w:val="center"/>
          </w:tcPr>
          <w:p w14:paraId="76266F12">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0.09L</w:t>
            </w:r>
          </w:p>
        </w:tc>
        <w:tc>
          <w:tcPr>
            <w:tcW w:w="581" w:type="pct"/>
            <w:vAlign w:val="center"/>
          </w:tcPr>
          <w:p w14:paraId="6B1AED19">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0.09L</w:t>
            </w:r>
          </w:p>
        </w:tc>
        <w:tc>
          <w:tcPr>
            <w:tcW w:w="497" w:type="pct"/>
            <w:vAlign w:val="center"/>
          </w:tcPr>
          <w:p w14:paraId="6F62EB98">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0.09L</w:t>
            </w:r>
          </w:p>
        </w:tc>
        <w:tc>
          <w:tcPr>
            <w:tcW w:w="500" w:type="pct"/>
            <w:vAlign w:val="center"/>
          </w:tcPr>
          <w:p w14:paraId="26E07FFB">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2042CFC5">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799F9A62">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w:t>
            </w:r>
          </w:p>
        </w:tc>
        <w:tc>
          <w:tcPr>
            <w:tcW w:w="609" w:type="pct"/>
            <w:vAlign w:val="center"/>
          </w:tcPr>
          <w:p w14:paraId="4FA5F1B9">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r>
      <w:tr w14:paraId="5B1CA0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44" w:type="pct"/>
            <w:vAlign w:val="center"/>
          </w:tcPr>
          <w:p w14:paraId="44B54C40">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苯胺</w:t>
            </w:r>
          </w:p>
        </w:tc>
        <w:tc>
          <w:tcPr>
            <w:tcW w:w="416" w:type="pct"/>
            <w:vAlign w:val="center"/>
          </w:tcPr>
          <w:p w14:paraId="6BB05343">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3</w:t>
            </w:r>
          </w:p>
        </w:tc>
        <w:tc>
          <w:tcPr>
            <w:tcW w:w="584" w:type="pct"/>
            <w:vAlign w:val="center"/>
          </w:tcPr>
          <w:p w14:paraId="5D0BA8DC">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未检出</w:t>
            </w:r>
          </w:p>
        </w:tc>
        <w:tc>
          <w:tcPr>
            <w:tcW w:w="581" w:type="pct"/>
            <w:vAlign w:val="center"/>
          </w:tcPr>
          <w:p w14:paraId="449281C7">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未检出</w:t>
            </w:r>
          </w:p>
        </w:tc>
        <w:tc>
          <w:tcPr>
            <w:tcW w:w="497" w:type="pct"/>
            <w:vAlign w:val="center"/>
          </w:tcPr>
          <w:p w14:paraId="4DE66E5C">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未检出</w:t>
            </w:r>
          </w:p>
        </w:tc>
        <w:tc>
          <w:tcPr>
            <w:tcW w:w="500" w:type="pct"/>
            <w:vAlign w:val="center"/>
          </w:tcPr>
          <w:p w14:paraId="0BC4F6B4">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59D309CB">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29D9185B">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w:t>
            </w:r>
          </w:p>
        </w:tc>
        <w:tc>
          <w:tcPr>
            <w:tcW w:w="609" w:type="pct"/>
            <w:vAlign w:val="center"/>
          </w:tcPr>
          <w:p w14:paraId="222F14F8">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r>
      <w:tr w14:paraId="6C7E93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44" w:type="pct"/>
            <w:vAlign w:val="center"/>
          </w:tcPr>
          <w:p w14:paraId="534BDC1F">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2-氯酚</w:t>
            </w:r>
          </w:p>
        </w:tc>
        <w:tc>
          <w:tcPr>
            <w:tcW w:w="416" w:type="pct"/>
            <w:vAlign w:val="center"/>
          </w:tcPr>
          <w:p w14:paraId="0454E24A">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3</w:t>
            </w:r>
          </w:p>
        </w:tc>
        <w:tc>
          <w:tcPr>
            <w:tcW w:w="584" w:type="pct"/>
            <w:vAlign w:val="center"/>
          </w:tcPr>
          <w:p w14:paraId="130B6414">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0.06L</w:t>
            </w:r>
          </w:p>
        </w:tc>
        <w:tc>
          <w:tcPr>
            <w:tcW w:w="581" w:type="pct"/>
            <w:vAlign w:val="center"/>
          </w:tcPr>
          <w:p w14:paraId="7DE2D16B">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0.06L</w:t>
            </w:r>
          </w:p>
        </w:tc>
        <w:tc>
          <w:tcPr>
            <w:tcW w:w="497" w:type="pct"/>
            <w:vAlign w:val="center"/>
          </w:tcPr>
          <w:p w14:paraId="0606C3F4">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0.06L</w:t>
            </w:r>
          </w:p>
        </w:tc>
        <w:tc>
          <w:tcPr>
            <w:tcW w:w="500" w:type="pct"/>
            <w:vAlign w:val="center"/>
          </w:tcPr>
          <w:p w14:paraId="24BB0A89">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3B32A1BE">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0ACF50BA">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w:t>
            </w:r>
          </w:p>
        </w:tc>
        <w:tc>
          <w:tcPr>
            <w:tcW w:w="609" w:type="pct"/>
            <w:vAlign w:val="center"/>
          </w:tcPr>
          <w:p w14:paraId="456B09C8">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r>
      <w:tr w14:paraId="7DE7C9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44" w:type="pct"/>
            <w:vAlign w:val="center"/>
          </w:tcPr>
          <w:p w14:paraId="0A26E9F2">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苯并[a]蒽</w:t>
            </w:r>
          </w:p>
        </w:tc>
        <w:tc>
          <w:tcPr>
            <w:tcW w:w="416" w:type="pct"/>
            <w:vAlign w:val="center"/>
          </w:tcPr>
          <w:p w14:paraId="2B8C6ED7">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3</w:t>
            </w:r>
          </w:p>
        </w:tc>
        <w:tc>
          <w:tcPr>
            <w:tcW w:w="584" w:type="pct"/>
            <w:vAlign w:val="center"/>
          </w:tcPr>
          <w:p w14:paraId="124843A9">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0.1L</w:t>
            </w:r>
          </w:p>
        </w:tc>
        <w:tc>
          <w:tcPr>
            <w:tcW w:w="581" w:type="pct"/>
            <w:vAlign w:val="center"/>
          </w:tcPr>
          <w:p w14:paraId="1A3A7576">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0.1L</w:t>
            </w:r>
          </w:p>
        </w:tc>
        <w:tc>
          <w:tcPr>
            <w:tcW w:w="497" w:type="pct"/>
            <w:vAlign w:val="center"/>
          </w:tcPr>
          <w:p w14:paraId="30C4308F">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0.1L</w:t>
            </w:r>
          </w:p>
        </w:tc>
        <w:tc>
          <w:tcPr>
            <w:tcW w:w="500" w:type="pct"/>
            <w:vAlign w:val="center"/>
          </w:tcPr>
          <w:p w14:paraId="2D3F47D7">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0CB8921A">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4AF3720A">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w:t>
            </w:r>
          </w:p>
        </w:tc>
        <w:tc>
          <w:tcPr>
            <w:tcW w:w="609" w:type="pct"/>
            <w:vAlign w:val="center"/>
          </w:tcPr>
          <w:p w14:paraId="42D4292D">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r>
      <w:tr w14:paraId="13AD06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44" w:type="pct"/>
            <w:vAlign w:val="center"/>
          </w:tcPr>
          <w:p w14:paraId="5A9E4FE4">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苯并[a]芘</w:t>
            </w:r>
          </w:p>
        </w:tc>
        <w:tc>
          <w:tcPr>
            <w:tcW w:w="416" w:type="pct"/>
            <w:vAlign w:val="center"/>
          </w:tcPr>
          <w:p w14:paraId="0D401077">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3</w:t>
            </w:r>
          </w:p>
        </w:tc>
        <w:tc>
          <w:tcPr>
            <w:tcW w:w="584" w:type="pct"/>
            <w:vAlign w:val="center"/>
          </w:tcPr>
          <w:p w14:paraId="10707BCD">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0.1L</w:t>
            </w:r>
          </w:p>
        </w:tc>
        <w:tc>
          <w:tcPr>
            <w:tcW w:w="581" w:type="pct"/>
            <w:vAlign w:val="center"/>
          </w:tcPr>
          <w:p w14:paraId="6C63624C">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0.1L</w:t>
            </w:r>
          </w:p>
        </w:tc>
        <w:tc>
          <w:tcPr>
            <w:tcW w:w="497" w:type="pct"/>
            <w:vAlign w:val="center"/>
          </w:tcPr>
          <w:p w14:paraId="3B4675F1">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0.1L</w:t>
            </w:r>
          </w:p>
        </w:tc>
        <w:tc>
          <w:tcPr>
            <w:tcW w:w="500" w:type="pct"/>
            <w:vAlign w:val="center"/>
          </w:tcPr>
          <w:p w14:paraId="52A24196">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23C3EBED">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48B83FF4">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w:t>
            </w:r>
          </w:p>
        </w:tc>
        <w:tc>
          <w:tcPr>
            <w:tcW w:w="609" w:type="pct"/>
            <w:vAlign w:val="center"/>
          </w:tcPr>
          <w:p w14:paraId="77BB21B6">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r>
      <w:tr w14:paraId="725ABD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44" w:type="pct"/>
            <w:vAlign w:val="center"/>
          </w:tcPr>
          <w:p w14:paraId="0FB69CA5">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苯并[b]荧蒽</w:t>
            </w:r>
          </w:p>
        </w:tc>
        <w:tc>
          <w:tcPr>
            <w:tcW w:w="416" w:type="pct"/>
            <w:vAlign w:val="center"/>
          </w:tcPr>
          <w:p w14:paraId="3ECDDBEF">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3</w:t>
            </w:r>
          </w:p>
        </w:tc>
        <w:tc>
          <w:tcPr>
            <w:tcW w:w="584" w:type="pct"/>
            <w:vAlign w:val="center"/>
          </w:tcPr>
          <w:p w14:paraId="5B931D8D">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0.2L</w:t>
            </w:r>
          </w:p>
        </w:tc>
        <w:tc>
          <w:tcPr>
            <w:tcW w:w="581" w:type="pct"/>
            <w:vAlign w:val="center"/>
          </w:tcPr>
          <w:p w14:paraId="792F5763">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0.2L</w:t>
            </w:r>
          </w:p>
        </w:tc>
        <w:tc>
          <w:tcPr>
            <w:tcW w:w="497" w:type="pct"/>
            <w:vAlign w:val="center"/>
          </w:tcPr>
          <w:p w14:paraId="2A0046EC">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0.2L</w:t>
            </w:r>
          </w:p>
        </w:tc>
        <w:tc>
          <w:tcPr>
            <w:tcW w:w="500" w:type="pct"/>
            <w:vAlign w:val="center"/>
          </w:tcPr>
          <w:p w14:paraId="168776CB">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7E1140A3">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7F11C0A1">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w:t>
            </w:r>
          </w:p>
        </w:tc>
        <w:tc>
          <w:tcPr>
            <w:tcW w:w="609" w:type="pct"/>
            <w:vAlign w:val="center"/>
          </w:tcPr>
          <w:p w14:paraId="0D5560C8">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r>
      <w:tr w14:paraId="68995E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44" w:type="pct"/>
            <w:vAlign w:val="center"/>
          </w:tcPr>
          <w:p w14:paraId="4FDBC6AD">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苯并[k]荧蒽</w:t>
            </w:r>
          </w:p>
        </w:tc>
        <w:tc>
          <w:tcPr>
            <w:tcW w:w="416" w:type="pct"/>
            <w:vAlign w:val="center"/>
          </w:tcPr>
          <w:p w14:paraId="5CF945CE">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3</w:t>
            </w:r>
          </w:p>
        </w:tc>
        <w:tc>
          <w:tcPr>
            <w:tcW w:w="584" w:type="pct"/>
            <w:vAlign w:val="center"/>
          </w:tcPr>
          <w:p w14:paraId="1555D43D">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0.1L</w:t>
            </w:r>
          </w:p>
        </w:tc>
        <w:tc>
          <w:tcPr>
            <w:tcW w:w="581" w:type="pct"/>
            <w:vAlign w:val="center"/>
          </w:tcPr>
          <w:p w14:paraId="4AE1E54A">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0.1L</w:t>
            </w:r>
          </w:p>
        </w:tc>
        <w:tc>
          <w:tcPr>
            <w:tcW w:w="497" w:type="pct"/>
            <w:vAlign w:val="center"/>
          </w:tcPr>
          <w:p w14:paraId="669B3069">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0.1L</w:t>
            </w:r>
          </w:p>
        </w:tc>
        <w:tc>
          <w:tcPr>
            <w:tcW w:w="500" w:type="pct"/>
            <w:vAlign w:val="center"/>
          </w:tcPr>
          <w:p w14:paraId="1549C819">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1E5FC446">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766E6305">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w:t>
            </w:r>
          </w:p>
        </w:tc>
        <w:tc>
          <w:tcPr>
            <w:tcW w:w="609" w:type="pct"/>
            <w:vAlign w:val="center"/>
          </w:tcPr>
          <w:p w14:paraId="73FA0B61">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r>
      <w:tr w14:paraId="1C31B2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44" w:type="pct"/>
            <w:vAlign w:val="center"/>
          </w:tcPr>
          <w:p w14:paraId="1038C5B8">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䓛</w:t>
            </w:r>
          </w:p>
        </w:tc>
        <w:tc>
          <w:tcPr>
            <w:tcW w:w="416" w:type="pct"/>
            <w:vAlign w:val="center"/>
          </w:tcPr>
          <w:p w14:paraId="1A3E18B5">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3</w:t>
            </w:r>
          </w:p>
        </w:tc>
        <w:tc>
          <w:tcPr>
            <w:tcW w:w="584" w:type="pct"/>
            <w:vAlign w:val="center"/>
          </w:tcPr>
          <w:p w14:paraId="26036F49">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0.1L</w:t>
            </w:r>
          </w:p>
        </w:tc>
        <w:tc>
          <w:tcPr>
            <w:tcW w:w="581" w:type="pct"/>
            <w:vAlign w:val="center"/>
          </w:tcPr>
          <w:p w14:paraId="21884C7B">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0.1L</w:t>
            </w:r>
          </w:p>
        </w:tc>
        <w:tc>
          <w:tcPr>
            <w:tcW w:w="497" w:type="pct"/>
            <w:vAlign w:val="center"/>
          </w:tcPr>
          <w:p w14:paraId="0339863B">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0.1L</w:t>
            </w:r>
          </w:p>
        </w:tc>
        <w:tc>
          <w:tcPr>
            <w:tcW w:w="500" w:type="pct"/>
            <w:vAlign w:val="center"/>
          </w:tcPr>
          <w:p w14:paraId="36309EC6">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5B42B871">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73677209">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w:t>
            </w:r>
          </w:p>
        </w:tc>
        <w:tc>
          <w:tcPr>
            <w:tcW w:w="609" w:type="pct"/>
            <w:vAlign w:val="center"/>
          </w:tcPr>
          <w:p w14:paraId="065C968E">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r>
      <w:tr w14:paraId="6E86C9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644" w:type="pct"/>
            <w:vAlign w:val="center"/>
          </w:tcPr>
          <w:p w14:paraId="7FAD6687">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二苯并[a</w:t>
            </w:r>
            <w:r>
              <w:rPr>
                <w:rFonts w:hint="eastAsia"/>
                <w:highlight w:val="none"/>
                <w:lang w:eastAsia="zh-CN"/>
              </w:rPr>
              <w:t>，</w:t>
            </w:r>
            <w:r>
              <w:rPr>
                <w:rFonts w:hint="default"/>
                <w:highlight w:val="none"/>
              </w:rPr>
              <w:t>h]蒽</w:t>
            </w:r>
          </w:p>
        </w:tc>
        <w:tc>
          <w:tcPr>
            <w:tcW w:w="416" w:type="pct"/>
            <w:vAlign w:val="center"/>
          </w:tcPr>
          <w:p w14:paraId="6FD64D08">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3</w:t>
            </w:r>
          </w:p>
        </w:tc>
        <w:tc>
          <w:tcPr>
            <w:tcW w:w="584" w:type="pct"/>
            <w:vAlign w:val="center"/>
          </w:tcPr>
          <w:p w14:paraId="314A692F">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0.1L</w:t>
            </w:r>
          </w:p>
        </w:tc>
        <w:tc>
          <w:tcPr>
            <w:tcW w:w="581" w:type="pct"/>
            <w:vAlign w:val="center"/>
          </w:tcPr>
          <w:p w14:paraId="04029664">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0.1L</w:t>
            </w:r>
          </w:p>
        </w:tc>
        <w:tc>
          <w:tcPr>
            <w:tcW w:w="497" w:type="pct"/>
            <w:vAlign w:val="center"/>
          </w:tcPr>
          <w:p w14:paraId="563AAF5C">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0.1L</w:t>
            </w:r>
          </w:p>
        </w:tc>
        <w:tc>
          <w:tcPr>
            <w:tcW w:w="500" w:type="pct"/>
            <w:vAlign w:val="center"/>
          </w:tcPr>
          <w:p w14:paraId="5378280E">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2AF190C6">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582" w:type="pct"/>
            <w:vAlign w:val="center"/>
          </w:tcPr>
          <w:p w14:paraId="7A408C80">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w:t>
            </w:r>
          </w:p>
        </w:tc>
        <w:tc>
          <w:tcPr>
            <w:tcW w:w="609" w:type="pct"/>
            <w:vAlign w:val="center"/>
          </w:tcPr>
          <w:p w14:paraId="5D965454">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r>
      <w:tr w14:paraId="0DFDE2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0" w:type="auto"/>
            <w:vAlign w:val="center"/>
          </w:tcPr>
          <w:p w14:paraId="25A72943">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茚并[1</w:t>
            </w:r>
            <w:r>
              <w:rPr>
                <w:rFonts w:hint="eastAsia"/>
                <w:highlight w:val="none"/>
                <w:lang w:eastAsia="zh-CN"/>
              </w:rPr>
              <w:t>，</w:t>
            </w:r>
            <w:r>
              <w:rPr>
                <w:rFonts w:hint="default"/>
                <w:highlight w:val="none"/>
              </w:rPr>
              <w:t>2</w:t>
            </w:r>
            <w:r>
              <w:rPr>
                <w:rFonts w:hint="eastAsia"/>
                <w:highlight w:val="none"/>
                <w:lang w:eastAsia="zh-CN"/>
              </w:rPr>
              <w:t>，</w:t>
            </w:r>
            <w:r>
              <w:rPr>
                <w:rFonts w:hint="default"/>
                <w:highlight w:val="none"/>
              </w:rPr>
              <w:t>3-cd]芘</w:t>
            </w:r>
          </w:p>
        </w:tc>
        <w:tc>
          <w:tcPr>
            <w:tcW w:w="0" w:type="auto"/>
            <w:vAlign w:val="center"/>
          </w:tcPr>
          <w:p w14:paraId="30D409F6">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3</w:t>
            </w:r>
          </w:p>
        </w:tc>
        <w:tc>
          <w:tcPr>
            <w:tcW w:w="584" w:type="pct"/>
            <w:vAlign w:val="center"/>
          </w:tcPr>
          <w:p w14:paraId="102144FC">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0.1L</w:t>
            </w:r>
          </w:p>
        </w:tc>
        <w:tc>
          <w:tcPr>
            <w:tcW w:w="581" w:type="pct"/>
            <w:vAlign w:val="center"/>
          </w:tcPr>
          <w:p w14:paraId="4E385051">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0.1L</w:t>
            </w:r>
          </w:p>
        </w:tc>
        <w:tc>
          <w:tcPr>
            <w:tcW w:w="497" w:type="pct"/>
            <w:vAlign w:val="center"/>
          </w:tcPr>
          <w:p w14:paraId="6A9E35BF">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0.1L</w:t>
            </w:r>
          </w:p>
        </w:tc>
        <w:tc>
          <w:tcPr>
            <w:tcW w:w="0" w:type="auto"/>
            <w:vAlign w:val="center"/>
          </w:tcPr>
          <w:p w14:paraId="38D12574">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0" w:type="auto"/>
            <w:vAlign w:val="center"/>
          </w:tcPr>
          <w:p w14:paraId="277FE27C">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w:t>
            </w:r>
          </w:p>
        </w:tc>
        <w:tc>
          <w:tcPr>
            <w:tcW w:w="0" w:type="auto"/>
            <w:vAlign w:val="center"/>
          </w:tcPr>
          <w:p w14:paraId="1A4CC21E">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w:t>
            </w:r>
          </w:p>
        </w:tc>
        <w:tc>
          <w:tcPr>
            <w:tcW w:w="0" w:type="auto"/>
            <w:vAlign w:val="center"/>
          </w:tcPr>
          <w:p w14:paraId="7B1A3982">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rPr>
              <w:t>-</w:t>
            </w:r>
          </w:p>
        </w:tc>
      </w:tr>
      <w:tr w14:paraId="1EFF8F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0" w:type="auto"/>
            <w:vAlign w:val="center"/>
          </w:tcPr>
          <w:p w14:paraId="216599AF">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萘</w:t>
            </w:r>
          </w:p>
        </w:tc>
        <w:tc>
          <w:tcPr>
            <w:tcW w:w="0" w:type="auto"/>
            <w:vAlign w:val="center"/>
          </w:tcPr>
          <w:p w14:paraId="5B0CE272">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3</w:t>
            </w:r>
          </w:p>
        </w:tc>
        <w:tc>
          <w:tcPr>
            <w:tcW w:w="584" w:type="pct"/>
            <w:vAlign w:val="center"/>
          </w:tcPr>
          <w:p w14:paraId="6C6A4775">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0.09L</w:t>
            </w:r>
          </w:p>
        </w:tc>
        <w:tc>
          <w:tcPr>
            <w:tcW w:w="0" w:type="auto"/>
            <w:vAlign w:val="center"/>
          </w:tcPr>
          <w:p w14:paraId="20724EEF">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0.09L</w:t>
            </w:r>
          </w:p>
        </w:tc>
        <w:tc>
          <w:tcPr>
            <w:tcW w:w="0" w:type="auto"/>
            <w:vAlign w:val="center"/>
          </w:tcPr>
          <w:p w14:paraId="597D8C0C">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0.09L</w:t>
            </w:r>
          </w:p>
        </w:tc>
        <w:tc>
          <w:tcPr>
            <w:tcW w:w="0" w:type="auto"/>
            <w:vAlign w:val="center"/>
          </w:tcPr>
          <w:p w14:paraId="5408286C">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w:t>
            </w:r>
          </w:p>
        </w:tc>
        <w:tc>
          <w:tcPr>
            <w:tcW w:w="0" w:type="auto"/>
            <w:vAlign w:val="center"/>
          </w:tcPr>
          <w:p w14:paraId="250FF3F5">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w:t>
            </w:r>
          </w:p>
        </w:tc>
        <w:tc>
          <w:tcPr>
            <w:tcW w:w="0" w:type="auto"/>
            <w:vAlign w:val="center"/>
          </w:tcPr>
          <w:p w14:paraId="718E44C5">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w:t>
            </w:r>
          </w:p>
        </w:tc>
        <w:tc>
          <w:tcPr>
            <w:tcW w:w="0" w:type="auto"/>
            <w:vAlign w:val="center"/>
          </w:tcPr>
          <w:p w14:paraId="15CF4DA6">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rPr>
              <w:t>-</w:t>
            </w:r>
          </w:p>
        </w:tc>
      </w:tr>
      <w:tr w14:paraId="036466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0" w:type="auto"/>
            <w:vAlign w:val="center"/>
          </w:tcPr>
          <w:p w14:paraId="5D7BD4A1">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rPr>
              <w:t>pH</w:t>
            </w:r>
          </w:p>
        </w:tc>
        <w:tc>
          <w:tcPr>
            <w:tcW w:w="0" w:type="auto"/>
            <w:vAlign w:val="center"/>
          </w:tcPr>
          <w:p w14:paraId="5344A350">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3</w:t>
            </w:r>
          </w:p>
        </w:tc>
        <w:tc>
          <w:tcPr>
            <w:tcW w:w="584" w:type="pct"/>
            <w:vAlign w:val="center"/>
          </w:tcPr>
          <w:p w14:paraId="7B5E0CF0">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8.09</w:t>
            </w:r>
          </w:p>
        </w:tc>
        <w:tc>
          <w:tcPr>
            <w:tcW w:w="581" w:type="pct"/>
            <w:vAlign w:val="center"/>
          </w:tcPr>
          <w:p w14:paraId="1C39B818">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7.03</w:t>
            </w:r>
          </w:p>
        </w:tc>
        <w:tc>
          <w:tcPr>
            <w:tcW w:w="497" w:type="pct"/>
            <w:vAlign w:val="center"/>
          </w:tcPr>
          <w:p w14:paraId="1DDA6F53">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7.54</w:t>
            </w:r>
          </w:p>
        </w:tc>
        <w:tc>
          <w:tcPr>
            <w:tcW w:w="500" w:type="pct"/>
            <w:vAlign w:val="center"/>
          </w:tcPr>
          <w:p w14:paraId="45615453">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0.38</w:t>
            </w:r>
          </w:p>
        </w:tc>
        <w:tc>
          <w:tcPr>
            <w:tcW w:w="582" w:type="pct"/>
            <w:vAlign w:val="center"/>
          </w:tcPr>
          <w:p w14:paraId="453960CE">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8.09</w:t>
            </w:r>
          </w:p>
        </w:tc>
        <w:tc>
          <w:tcPr>
            <w:tcW w:w="0" w:type="auto"/>
            <w:vAlign w:val="center"/>
          </w:tcPr>
          <w:p w14:paraId="1C3A3ED3">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w:t>
            </w:r>
          </w:p>
        </w:tc>
        <w:tc>
          <w:tcPr>
            <w:tcW w:w="0" w:type="auto"/>
            <w:vAlign w:val="center"/>
          </w:tcPr>
          <w:p w14:paraId="4C8FCBEA">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rPr>
              <w:t>-</w:t>
            </w:r>
          </w:p>
        </w:tc>
      </w:tr>
      <w:tr w14:paraId="497BE9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0" w:type="auto"/>
            <w:vAlign w:val="center"/>
          </w:tcPr>
          <w:p w14:paraId="31CE8A5C">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rPr>
              <w:t>阳离子交换量</w:t>
            </w:r>
          </w:p>
        </w:tc>
        <w:tc>
          <w:tcPr>
            <w:tcW w:w="0" w:type="auto"/>
            <w:vAlign w:val="center"/>
          </w:tcPr>
          <w:p w14:paraId="1CD00D6A">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3</w:t>
            </w:r>
          </w:p>
        </w:tc>
        <w:tc>
          <w:tcPr>
            <w:tcW w:w="584" w:type="pct"/>
            <w:vAlign w:val="center"/>
          </w:tcPr>
          <w:p w14:paraId="034DBFA4">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19.6</w:t>
            </w:r>
          </w:p>
        </w:tc>
        <w:tc>
          <w:tcPr>
            <w:tcW w:w="581" w:type="pct"/>
            <w:vAlign w:val="center"/>
          </w:tcPr>
          <w:p w14:paraId="04C162F6">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11.6</w:t>
            </w:r>
          </w:p>
        </w:tc>
        <w:tc>
          <w:tcPr>
            <w:tcW w:w="497" w:type="pct"/>
            <w:vAlign w:val="center"/>
          </w:tcPr>
          <w:p w14:paraId="2B7C8F38">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16.35</w:t>
            </w:r>
          </w:p>
        </w:tc>
        <w:tc>
          <w:tcPr>
            <w:tcW w:w="500" w:type="pct"/>
            <w:vAlign w:val="center"/>
          </w:tcPr>
          <w:p w14:paraId="236AA933">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3.09</w:t>
            </w:r>
          </w:p>
        </w:tc>
        <w:tc>
          <w:tcPr>
            <w:tcW w:w="582" w:type="pct"/>
            <w:vAlign w:val="center"/>
          </w:tcPr>
          <w:p w14:paraId="2D53D85C">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19.6</w:t>
            </w:r>
          </w:p>
        </w:tc>
        <w:tc>
          <w:tcPr>
            <w:tcW w:w="0" w:type="auto"/>
            <w:vAlign w:val="center"/>
          </w:tcPr>
          <w:p w14:paraId="7683E705">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w:t>
            </w:r>
          </w:p>
        </w:tc>
        <w:tc>
          <w:tcPr>
            <w:tcW w:w="0" w:type="auto"/>
            <w:vAlign w:val="center"/>
          </w:tcPr>
          <w:p w14:paraId="613AAE63">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rPr>
              <w:t>-</w:t>
            </w:r>
          </w:p>
        </w:tc>
      </w:tr>
      <w:tr w14:paraId="6233EB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0" w:type="auto"/>
            <w:vAlign w:val="center"/>
          </w:tcPr>
          <w:p w14:paraId="0BD20073">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rPr>
              <w:t>氧化还原电位</w:t>
            </w:r>
          </w:p>
        </w:tc>
        <w:tc>
          <w:tcPr>
            <w:tcW w:w="0" w:type="auto"/>
            <w:vAlign w:val="center"/>
          </w:tcPr>
          <w:p w14:paraId="30736765">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3</w:t>
            </w:r>
          </w:p>
        </w:tc>
        <w:tc>
          <w:tcPr>
            <w:tcW w:w="584" w:type="pct"/>
            <w:vAlign w:val="center"/>
          </w:tcPr>
          <w:p w14:paraId="6C6B4AC3">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231</w:t>
            </w:r>
          </w:p>
        </w:tc>
        <w:tc>
          <w:tcPr>
            <w:tcW w:w="581" w:type="pct"/>
            <w:vAlign w:val="center"/>
          </w:tcPr>
          <w:p w14:paraId="7A9A3FBA">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173</w:t>
            </w:r>
          </w:p>
        </w:tc>
        <w:tc>
          <w:tcPr>
            <w:tcW w:w="497" w:type="pct"/>
            <w:vAlign w:val="center"/>
          </w:tcPr>
          <w:p w14:paraId="710DB147">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194.00</w:t>
            </w:r>
          </w:p>
        </w:tc>
        <w:tc>
          <w:tcPr>
            <w:tcW w:w="500" w:type="pct"/>
            <w:vAlign w:val="center"/>
          </w:tcPr>
          <w:p w14:paraId="3FFBDFE3">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22.02</w:t>
            </w:r>
          </w:p>
        </w:tc>
        <w:tc>
          <w:tcPr>
            <w:tcW w:w="582" w:type="pct"/>
            <w:vAlign w:val="center"/>
          </w:tcPr>
          <w:p w14:paraId="0F51D745">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231</w:t>
            </w:r>
          </w:p>
        </w:tc>
        <w:tc>
          <w:tcPr>
            <w:tcW w:w="0" w:type="auto"/>
            <w:vAlign w:val="center"/>
          </w:tcPr>
          <w:p w14:paraId="505BB3A1">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w:t>
            </w:r>
          </w:p>
        </w:tc>
        <w:tc>
          <w:tcPr>
            <w:tcW w:w="0" w:type="auto"/>
            <w:vAlign w:val="center"/>
          </w:tcPr>
          <w:p w14:paraId="0D13629C">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rPr>
              <w:t>-</w:t>
            </w:r>
          </w:p>
        </w:tc>
      </w:tr>
      <w:tr w14:paraId="0F6C06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0" w:type="auto"/>
            <w:vAlign w:val="center"/>
          </w:tcPr>
          <w:p w14:paraId="25D7A331">
            <w:pPr>
              <w:pStyle w:val="8"/>
              <w:suppressLineNumbers w:val="0"/>
              <w:bidi w:val="0"/>
              <w:spacing w:before="0" w:beforeAutospacing="0" w:after="0" w:afterAutospacing="0"/>
              <w:ind w:left="0" w:right="0"/>
              <w:jc w:val="center"/>
              <w:rPr>
                <w:rFonts w:hint="eastAsia" w:eastAsia="宋体"/>
                <w:highlight w:val="none"/>
                <w:lang w:val="en-US" w:eastAsia="zh-CN"/>
              </w:rPr>
            </w:pPr>
            <w:r>
              <w:rPr>
                <w:rFonts w:hint="eastAsia"/>
                <w:highlight w:val="none"/>
                <w:lang w:val="en-US" w:eastAsia="zh-CN"/>
              </w:rPr>
              <w:t>容重</w:t>
            </w:r>
          </w:p>
        </w:tc>
        <w:tc>
          <w:tcPr>
            <w:tcW w:w="0" w:type="auto"/>
            <w:vAlign w:val="center"/>
          </w:tcPr>
          <w:p w14:paraId="2047E602">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3</w:t>
            </w:r>
          </w:p>
        </w:tc>
        <w:tc>
          <w:tcPr>
            <w:tcW w:w="584" w:type="pct"/>
            <w:vAlign w:val="bottom"/>
          </w:tcPr>
          <w:p w14:paraId="2EFEA4C5">
            <w:pPr>
              <w:pStyle w:val="8"/>
              <w:suppressLineNumbers w:val="0"/>
              <w:bidi w:val="0"/>
              <w:spacing w:before="0" w:beforeAutospacing="0" w:after="0" w:afterAutospacing="0"/>
              <w:ind w:left="0" w:right="0"/>
              <w:rPr>
                <w:rFonts w:hint="eastAsia"/>
                <w:highlight w:val="none"/>
                <w:lang w:val="en-US" w:eastAsia="zh-CN"/>
              </w:rPr>
            </w:pPr>
            <w:r>
              <w:rPr>
                <w:rFonts w:hint="eastAsia"/>
                <w:highlight w:val="none"/>
                <w:lang w:val="en-US" w:eastAsia="zh-CN"/>
              </w:rPr>
              <w:t>1.42</w:t>
            </w:r>
          </w:p>
        </w:tc>
        <w:tc>
          <w:tcPr>
            <w:tcW w:w="581" w:type="pct"/>
            <w:vAlign w:val="bottom"/>
          </w:tcPr>
          <w:p w14:paraId="2A281DD2">
            <w:pPr>
              <w:pStyle w:val="8"/>
              <w:suppressLineNumbers w:val="0"/>
              <w:bidi w:val="0"/>
              <w:spacing w:before="0" w:beforeAutospacing="0" w:after="0" w:afterAutospacing="0"/>
              <w:ind w:left="0" w:right="0"/>
              <w:rPr>
                <w:rFonts w:hint="eastAsia"/>
                <w:highlight w:val="none"/>
                <w:lang w:val="en-US" w:eastAsia="zh-CN"/>
              </w:rPr>
            </w:pPr>
            <w:r>
              <w:rPr>
                <w:rFonts w:hint="eastAsia"/>
                <w:highlight w:val="none"/>
                <w:lang w:val="en-US" w:eastAsia="zh-CN"/>
              </w:rPr>
              <w:t>1.24</w:t>
            </w:r>
          </w:p>
        </w:tc>
        <w:tc>
          <w:tcPr>
            <w:tcW w:w="497" w:type="pct"/>
            <w:vAlign w:val="bottom"/>
          </w:tcPr>
          <w:p w14:paraId="386EA7FF">
            <w:pPr>
              <w:pStyle w:val="8"/>
              <w:suppressLineNumbers w:val="0"/>
              <w:bidi w:val="0"/>
              <w:spacing w:before="0" w:beforeAutospacing="0" w:after="0" w:afterAutospacing="0"/>
              <w:ind w:left="0" w:right="0"/>
              <w:rPr>
                <w:rFonts w:hint="eastAsia"/>
                <w:highlight w:val="none"/>
                <w:lang w:val="en-US" w:eastAsia="zh-CN"/>
              </w:rPr>
            </w:pPr>
            <w:r>
              <w:rPr>
                <w:rFonts w:hint="eastAsia"/>
                <w:highlight w:val="none"/>
                <w:lang w:val="en-US" w:eastAsia="zh-CN"/>
              </w:rPr>
              <w:t>1.33</w:t>
            </w:r>
          </w:p>
        </w:tc>
        <w:tc>
          <w:tcPr>
            <w:tcW w:w="500" w:type="pct"/>
            <w:vAlign w:val="bottom"/>
          </w:tcPr>
          <w:p w14:paraId="6C381B6F">
            <w:pPr>
              <w:pStyle w:val="8"/>
              <w:suppressLineNumbers w:val="0"/>
              <w:bidi w:val="0"/>
              <w:spacing w:before="0" w:beforeAutospacing="0" w:after="0" w:afterAutospacing="0"/>
              <w:ind w:left="0" w:right="0"/>
              <w:rPr>
                <w:rFonts w:hint="eastAsia"/>
                <w:highlight w:val="none"/>
                <w:lang w:val="en-US" w:eastAsia="zh-CN"/>
              </w:rPr>
            </w:pPr>
            <w:r>
              <w:rPr>
                <w:rFonts w:hint="eastAsia"/>
                <w:highlight w:val="none"/>
                <w:lang w:val="en-US" w:eastAsia="zh-CN"/>
              </w:rPr>
              <w:t>0.07</w:t>
            </w:r>
          </w:p>
        </w:tc>
        <w:tc>
          <w:tcPr>
            <w:tcW w:w="582" w:type="pct"/>
            <w:vAlign w:val="bottom"/>
          </w:tcPr>
          <w:p w14:paraId="398BCB91">
            <w:pPr>
              <w:pStyle w:val="8"/>
              <w:suppressLineNumbers w:val="0"/>
              <w:bidi w:val="0"/>
              <w:spacing w:before="0" w:beforeAutospacing="0" w:after="0" w:afterAutospacing="0"/>
              <w:ind w:left="0" w:right="0"/>
              <w:rPr>
                <w:rFonts w:hint="eastAsia"/>
                <w:highlight w:val="none"/>
                <w:lang w:val="en-US" w:eastAsia="zh-CN"/>
              </w:rPr>
            </w:pPr>
            <w:r>
              <w:rPr>
                <w:rFonts w:hint="eastAsia"/>
                <w:highlight w:val="none"/>
                <w:lang w:val="en-US" w:eastAsia="zh-CN"/>
              </w:rPr>
              <w:t>1.42</w:t>
            </w:r>
          </w:p>
        </w:tc>
        <w:tc>
          <w:tcPr>
            <w:tcW w:w="0" w:type="auto"/>
            <w:vAlign w:val="center"/>
          </w:tcPr>
          <w:p w14:paraId="5CDA1632">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w:t>
            </w:r>
          </w:p>
        </w:tc>
        <w:tc>
          <w:tcPr>
            <w:tcW w:w="0" w:type="auto"/>
            <w:vAlign w:val="center"/>
          </w:tcPr>
          <w:p w14:paraId="6937B8E0">
            <w:pPr>
              <w:pStyle w:val="8"/>
              <w:suppressLineNumbers w:val="0"/>
              <w:bidi w:val="0"/>
              <w:spacing w:before="0" w:beforeAutospacing="0" w:after="0" w:afterAutospacing="0"/>
              <w:ind w:left="0" w:right="0"/>
              <w:jc w:val="center"/>
              <w:rPr>
                <w:rFonts w:hint="default" w:eastAsia="宋体"/>
                <w:highlight w:val="none"/>
                <w:lang w:val="en-US" w:eastAsia="zh-CN"/>
              </w:rPr>
            </w:pPr>
            <w:r>
              <w:rPr>
                <w:rFonts w:hint="eastAsia"/>
                <w:highlight w:val="none"/>
                <w:lang w:val="en-US" w:eastAsia="zh-CN"/>
              </w:rPr>
              <w:t>-</w:t>
            </w:r>
          </w:p>
        </w:tc>
      </w:tr>
    </w:tbl>
    <w:p w14:paraId="3E79106F">
      <w:pPr>
        <w:pStyle w:val="7"/>
        <w:bidi w:val="0"/>
        <w:rPr>
          <w:rFonts w:hint="default"/>
          <w:highlight w:val="none"/>
          <w:lang w:val="en-US" w:eastAsia="zh-CN"/>
        </w:rPr>
      </w:pPr>
      <w:r>
        <w:rPr>
          <w:rFonts w:hint="eastAsia"/>
          <w:highlight w:val="none"/>
          <w:lang w:val="en-US" w:eastAsia="zh-CN"/>
        </w:rPr>
        <w:t>表</w:t>
      </w:r>
      <w:r>
        <w:rPr>
          <w:rFonts w:hint="default"/>
          <w:highlight w:val="none"/>
          <w:lang w:val="en-US" w:eastAsia="zh-CN"/>
        </w:rPr>
        <w:t>4-2-</w:t>
      </w:r>
      <w:r>
        <w:rPr>
          <w:rFonts w:hint="eastAsia"/>
          <w:highlight w:val="none"/>
          <w:lang w:val="en-US" w:eastAsia="zh-CN"/>
        </w:rPr>
        <w:t>20土壤标准指数表单位：mg/kg</w:t>
      </w:r>
    </w:p>
    <w:tbl>
      <w:tblPr>
        <w:tblStyle w:val="4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68"/>
        <w:gridCol w:w="994"/>
        <w:gridCol w:w="1500"/>
        <w:gridCol w:w="1065"/>
        <w:gridCol w:w="1034"/>
        <w:gridCol w:w="1224"/>
        <w:gridCol w:w="621"/>
        <w:gridCol w:w="716"/>
      </w:tblGrid>
      <w:tr w14:paraId="4B282F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solid" w:color="FFFFFF" w:fill="auto"/>
            <w:vAlign w:val="center"/>
          </w:tcPr>
          <w:p w14:paraId="7A4BE589">
            <w:pPr>
              <w:pStyle w:val="8"/>
              <w:suppressLineNumbers w:val="0"/>
              <w:bidi w:val="0"/>
              <w:spacing w:before="0" w:beforeAutospacing="0" w:after="0" w:afterAutospacing="0"/>
              <w:ind w:left="0" w:right="0"/>
              <w:jc w:val="center"/>
              <w:rPr>
                <w:rFonts w:hint="default"/>
                <w:highlight w:val="none"/>
              </w:rPr>
            </w:pPr>
            <w:r>
              <w:rPr>
                <w:rFonts w:hint="default"/>
                <w:highlight w:val="none"/>
              </w:rPr>
              <w:t>采样地点</w:t>
            </w:r>
          </w:p>
          <w:p w14:paraId="41C8FD8F">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rPr>
              <w:t>检测项目</w:t>
            </w:r>
          </w:p>
        </w:tc>
        <w:tc>
          <w:tcPr>
            <w:tcW w:w="583" w:type="pct"/>
            <w:tcBorders>
              <w:tl2br w:val="nil"/>
              <w:tr2bl w:val="nil"/>
            </w:tcBorders>
            <w:shd w:val="solid" w:color="FFFFFF" w:fill="auto"/>
            <w:vAlign w:val="center"/>
          </w:tcPr>
          <w:p w14:paraId="6C5B4C92">
            <w:pPr>
              <w:pStyle w:val="8"/>
              <w:suppressLineNumbers w:val="0"/>
              <w:bidi w:val="0"/>
              <w:spacing w:before="0" w:beforeAutospacing="0" w:after="0" w:afterAutospacing="0"/>
              <w:ind w:left="0" w:right="0"/>
              <w:jc w:val="center"/>
              <w:rPr>
                <w:rFonts w:hint="default"/>
                <w:highlight w:val="none"/>
              </w:rPr>
            </w:pPr>
            <w:r>
              <w:rPr>
                <w:rFonts w:hint="eastAsia"/>
                <w:highlight w:val="none"/>
              </w:rPr>
              <w:t>占地范围外</w:t>
            </w:r>
            <w:r>
              <w:rPr>
                <w:rFonts w:hint="default"/>
                <w:highlight w:val="none"/>
              </w:rPr>
              <w:t>■1</w:t>
            </w:r>
          </w:p>
        </w:tc>
        <w:tc>
          <w:tcPr>
            <w:tcW w:w="880" w:type="pct"/>
            <w:tcBorders>
              <w:tl2br w:val="nil"/>
              <w:tr2bl w:val="nil"/>
            </w:tcBorders>
            <w:shd w:val="solid" w:color="FFFFFF" w:fill="auto"/>
            <w:vAlign w:val="center"/>
          </w:tcPr>
          <w:p w14:paraId="1EB957B6">
            <w:pPr>
              <w:pStyle w:val="8"/>
              <w:suppressLineNumbers w:val="0"/>
              <w:bidi w:val="0"/>
              <w:spacing w:before="0" w:beforeAutospacing="0" w:after="0" w:afterAutospacing="0"/>
              <w:ind w:left="0" w:right="0"/>
              <w:jc w:val="center"/>
              <w:rPr>
                <w:rFonts w:hint="eastAsia"/>
                <w:highlight w:val="none"/>
              </w:rPr>
            </w:pPr>
            <w:r>
              <w:rPr>
                <w:rFonts w:hint="default"/>
                <w:highlight w:val="none"/>
              </w:rPr>
              <w:t>占地范围外土壤剖面A层</w:t>
            </w:r>
          </w:p>
          <w:p w14:paraId="355D0ECD">
            <w:pPr>
              <w:pStyle w:val="8"/>
              <w:suppressLineNumbers w:val="0"/>
              <w:bidi w:val="0"/>
              <w:spacing w:before="0" w:beforeAutospacing="0" w:after="0" w:afterAutospacing="0"/>
              <w:ind w:left="0" w:right="0"/>
              <w:jc w:val="center"/>
              <w:rPr>
                <w:rFonts w:hint="default"/>
                <w:highlight w:val="none"/>
              </w:rPr>
            </w:pPr>
            <w:r>
              <w:rPr>
                <w:rFonts w:hint="default"/>
                <w:highlight w:val="none"/>
              </w:rPr>
              <w:t>5～20cm■</w:t>
            </w:r>
            <w:r>
              <w:rPr>
                <w:rFonts w:hint="eastAsia"/>
                <w:highlight w:val="none"/>
              </w:rPr>
              <w:t>2</w:t>
            </w:r>
          </w:p>
        </w:tc>
        <w:tc>
          <w:tcPr>
            <w:tcW w:w="624" w:type="pct"/>
            <w:tcBorders>
              <w:tl2br w:val="nil"/>
              <w:tr2bl w:val="nil"/>
            </w:tcBorders>
            <w:shd w:val="solid" w:color="FFFFFF" w:fill="auto"/>
            <w:vAlign w:val="center"/>
          </w:tcPr>
          <w:p w14:paraId="3121735E">
            <w:pPr>
              <w:pStyle w:val="8"/>
              <w:suppressLineNumbers w:val="0"/>
              <w:bidi w:val="0"/>
              <w:spacing w:before="0" w:beforeAutospacing="0" w:after="0" w:afterAutospacing="0"/>
              <w:ind w:left="0" w:right="0"/>
              <w:jc w:val="center"/>
              <w:rPr>
                <w:rFonts w:hint="default"/>
                <w:highlight w:val="none"/>
              </w:rPr>
            </w:pPr>
            <w:r>
              <w:rPr>
                <w:rFonts w:hint="eastAsia"/>
                <w:highlight w:val="none"/>
              </w:rPr>
              <w:t>占地范围外</w:t>
            </w:r>
            <w:r>
              <w:rPr>
                <w:rFonts w:hint="default"/>
                <w:highlight w:val="none"/>
              </w:rPr>
              <w:t>■</w:t>
            </w:r>
            <w:r>
              <w:rPr>
                <w:rFonts w:hint="eastAsia"/>
                <w:highlight w:val="none"/>
              </w:rPr>
              <w:t>3</w:t>
            </w:r>
          </w:p>
        </w:tc>
        <w:tc>
          <w:tcPr>
            <w:tcW w:w="606" w:type="pct"/>
            <w:tcBorders>
              <w:tl2br w:val="nil"/>
              <w:tr2bl w:val="nil"/>
            </w:tcBorders>
            <w:shd w:val="solid" w:color="FFFFFF" w:fill="auto"/>
            <w:vAlign w:val="center"/>
          </w:tcPr>
          <w:p w14:paraId="74E515C0">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rPr>
              <w:t>占地范围外</w:t>
            </w:r>
            <w:r>
              <w:rPr>
                <w:rFonts w:hint="default"/>
                <w:highlight w:val="none"/>
              </w:rPr>
              <w:t>■</w:t>
            </w:r>
            <w:r>
              <w:rPr>
                <w:rFonts w:hint="eastAsia"/>
                <w:highlight w:val="none"/>
              </w:rPr>
              <w:t>4</w:t>
            </w:r>
          </w:p>
        </w:tc>
        <w:tc>
          <w:tcPr>
            <w:tcW w:w="718" w:type="pct"/>
            <w:tcBorders>
              <w:tl2br w:val="nil"/>
              <w:tr2bl w:val="nil"/>
            </w:tcBorders>
            <w:shd w:val="solid" w:color="FFFFFF" w:fill="auto"/>
            <w:vAlign w:val="center"/>
          </w:tcPr>
          <w:p w14:paraId="76D606E4">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en-US"/>
              </w:rPr>
              <w:t>标准值</w:t>
            </w:r>
          </w:p>
        </w:tc>
        <w:tc>
          <w:tcPr>
            <w:tcW w:w="364" w:type="pct"/>
            <w:tcBorders>
              <w:tl2br w:val="nil"/>
              <w:tr2bl w:val="nil"/>
            </w:tcBorders>
            <w:shd w:val="solid" w:color="FFFFFF" w:fill="auto"/>
            <w:vAlign w:val="center"/>
          </w:tcPr>
          <w:p w14:paraId="675F14BB">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en-US"/>
              </w:rPr>
              <w:t>超标率</w:t>
            </w:r>
          </w:p>
        </w:tc>
        <w:tc>
          <w:tcPr>
            <w:tcW w:w="420" w:type="pct"/>
            <w:tcBorders>
              <w:tl2br w:val="nil"/>
              <w:tr2bl w:val="nil"/>
            </w:tcBorders>
            <w:shd w:val="solid" w:color="FFFFFF" w:fill="auto"/>
            <w:vAlign w:val="center"/>
          </w:tcPr>
          <w:p w14:paraId="1D2B33ED">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en-US"/>
              </w:rPr>
              <w:t>达标情况</w:t>
            </w:r>
          </w:p>
        </w:tc>
      </w:tr>
      <w:tr w14:paraId="57E73E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FFFFFF"/>
            <w:vAlign w:val="center"/>
          </w:tcPr>
          <w:p w14:paraId="5D6DD9E6">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rPr>
              <w:t>砷</w:t>
            </w:r>
          </w:p>
        </w:tc>
        <w:tc>
          <w:tcPr>
            <w:tcW w:w="583" w:type="pct"/>
            <w:tcBorders>
              <w:tl2br w:val="nil"/>
              <w:tr2bl w:val="nil"/>
            </w:tcBorders>
            <w:shd w:val="solid" w:color="FFFFFF" w:fill="auto"/>
            <w:vAlign w:val="center"/>
          </w:tcPr>
          <w:p w14:paraId="1DC2F9D2">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0.093</w:t>
            </w:r>
          </w:p>
        </w:tc>
        <w:tc>
          <w:tcPr>
            <w:tcW w:w="880" w:type="pct"/>
            <w:tcBorders>
              <w:tl2br w:val="nil"/>
              <w:tr2bl w:val="nil"/>
            </w:tcBorders>
            <w:shd w:val="solid" w:color="FFFFFF" w:fill="auto"/>
            <w:vAlign w:val="center"/>
          </w:tcPr>
          <w:p w14:paraId="1A66465C">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0.088</w:t>
            </w:r>
          </w:p>
        </w:tc>
        <w:tc>
          <w:tcPr>
            <w:tcW w:w="624" w:type="pct"/>
            <w:tcBorders>
              <w:tl2br w:val="nil"/>
              <w:tr2bl w:val="nil"/>
            </w:tcBorders>
            <w:shd w:val="solid" w:color="FFFFFF" w:fill="auto"/>
            <w:vAlign w:val="center"/>
          </w:tcPr>
          <w:p w14:paraId="70651999">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0.096</w:t>
            </w:r>
          </w:p>
        </w:tc>
        <w:tc>
          <w:tcPr>
            <w:tcW w:w="606" w:type="pct"/>
            <w:tcBorders>
              <w:tl2br w:val="nil"/>
              <w:tr2bl w:val="nil"/>
            </w:tcBorders>
            <w:shd w:val="solid" w:color="FFFFFF" w:fill="auto"/>
            <w:vAlign w:val="center"/>
          </w:tcPr>
          <w:p w14:paraId="1BC871AF">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0.095</w:t>
            </w:r>
          </w:p>
        </w:tc>
        <w:tc>
          <w:tcPr>
            <w:tcW w:w="718" w:type="pct"/>
            <w:tcBorders>
              <w:tl2br w:val="nil"/>
              <w:tr2bl w:val="nil"/>
            </w:tcBorders>
            <w:shd w:val="solid" w:color="FFFFFF" w:fill="auto"/>
            <w:vAlign w:val="center"/>
          </w:tcPr>
          <w:p w14:paraId="1E7D1815">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60</w:t>
            </w:r>
          </w:p>
        </w:tc>
        <w:tc>
          <w:tcPr>
            <w:tcW w:w="364" w:type="pct"/>
            <w:tcBorders>
              <w:tl2br w:val="nil"/>
              <w:tr2bl w:val="nil"/>
            </w:tcBorders>
            <w:shd w:val="solid" w:color="FFFFFF" w:fill="auto"/>
            <w:vAlign w:val="center"/>
          </w:tcPr>
          <w:p w14:paraId="65DDABC7">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solid" w:color="FFFFFF" w:fill="auto"/>
            <w:vAlign w:val="center"/>
          </w:tcPr>
          <w:p w14:paraId="5E8471C0">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r w14:paraId="7D3FBC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FFFFFF"/>
            <w:vAlign w:val="center"/>
          </w:tcPr>
          <w:p w14:paraId="14C4A886">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rPr>
              <w:t>镉</w:t>
            </w:r>
          </w:p>
        </w:tc>
        <w:tc>
          <w:tcPr>
            <w:tcW w:w="583" w:type="pct"/>
            <w:tcBorders>
              <w:tl2br w:val="nil"/>
              <w:tr2bl w:val="nil"/>
            </w:tcBorders>
            <w:shd w:val="solid" w:color="FFFFFF" w:fill="auto"/>
            <w:vAlign w:val="center"/>
          </w:tcPr>
          <w:p w14:paraId="7DD45955">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0.002</w:t>
            </w:r>
          </w:p>
        </w:tc>
        <w:tc>
          <w:tcPr>
            <w:tcW w:w="880" w:type="pct"/>
            <w:tcBorders>
              <w:tl2br w:val="nil"/>
              <w:tr2bl w:val="nil"/>
            </w:tcBorders>
            <w:shd w:val="solid" w:color="FFFFFF" w:fill="auto"/>
            <w:vAlign w:val="center"/>
          </w:tcPr>
          <w:p w14:paraId="14E67EF9">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0.002</w:t>
            </w:r>
          </w:p>
        </w:tc>
        <w:tc>
          <w:tcPr>
            <w:tcW w:w="624" w:type="pct"/>
            <w:tcBorders>
              <w:tl2br w:val="nil"/>
              <w:tr2bl w:val="nil"/>
            </w:tcBorders>
            <w:shd w:val="solid" w:color="FFFFFF" w:fill="auto"/>
            <w:vAlign w:val="center"/>
          </w:tcPr>
          <w:p w14:paraId="0DE61F64">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0.003</w:t>
            </w:r>
          </w:p>
        </w:tc>
        <w:tc>
          <w:tcPr>
            <w:tcW w:w="606" w:type="pct"/>
            <w:tcBorders>
              <w:tl2br w:val="nil"/>
              <w:tr2bl w:val="nil"/>
            </w:tcBorders>
            <w:shd w:val="solid" w:color="FFFFFF" w:fill="auto"/>
            <w:vAlign w:val="center"/>
          </w:tcPr>
          <w:p w14:paraId="752EEF81">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0.002</w:t>
            </w:r>
          </w:p>
        </w:tc>
        <w:tc>
          <w:tcPr>
            <w:tcW w:w="718" w:type="pct"/>
            <w:tcBorders>
              <w:tl2br w:val="nil"/>
              <w:tr2bl w:val="nil"/>
            </w:tcBorders>
            <w:shd w:val="solid" w:color="FFFFFF" w:fill="auto"/>
            <w:vAlign w:val="center"/>
          </w:tcPr>
          <w:p w14:paraId="362ADEA9">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65</w:t>
            </w:r>
          </w:p>
        </w:tc>
        <w:tc>
          <w:tcPr>
            <w:tcW w:w="364" w:type="pct"/>
            <w:tcBorders>
              <w:tl2br w:val="nil"/>
              <w:tr2bl w:val="nil"/>
            </w:tcBorders>
            <w:shd w:val="solid" w:color="FFFFFF" w:fill="auto"/>
            <w:vAlign w:val="center"/>
          </w:tcPr>
          <w:p w14:paraId="1EC4E029">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solid" w:color="FFFFFF" w:fill="auto"/>
            <w:vAlign w:val="center"/>
          </w:tcPr>
          <w:p w14:paraId="45F43612">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r w14:paraId="2BB32B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FFFFFF"/>
            <w:vAlign w:val="center"/>
          </w:tcPr>
          <w:p w14:paraId="1B9B506E">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rPr>
              <w:t>六价铬</w:t>
            </w:r>
          </w:p>
        </w:tc>
        <w:tc>
          <w:tcPr>
            <w:tcW w:w="583" w:type="pct"/>
            <w:tcBorders>
              <w:tl2br w:val="nil"/>
              <w:tr2bl w:val="nil"/>
            </w:tcBorders>
            <w:shd w:val="solid" w:color="FFFFFF" w:fill="auto"/>
            <w:vAlign w:val="center"/>
          </w:tcPr>
          <w:p w14:paraId="0B2FAAEA">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0.044</w:t>
            </w:r>
          </w:p>
        </w:tc>
        <w:tc>
          <w:tcPr>
            <w:tcW w:w="880" w:type="pct"/>
            <w:tcBorders>
              <w:tl2br w:val="nil"/>
              <w:tr2bl w:val="nil"/>
            </w:tcBorders>
            <w:shd w:val="solid" w:color="FFFFFF" w:fill="auto"/>
            <w:vAlign w:val="center"/>
          </w:tcPr>
          <w:p w14:paraId="781C3C38">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0.044</w:t>
            </w:r>
          </w:p>
        </w:tc>
        <w:tc>
          <w:tcPr>
            <w:tcW w:w="624" w:type="pct"/>
            <w:tcBorders>
              <w:tl2br w:val="nil"/>
              <w:tr2bl w:val="nil"/>
            </w:tcBorders>
            <w:shd w:val="solid" w:color="FFFFFF" w:fill="auto"/>
            <w:vAlign w:val="center"/>
          </w:tcPr>
          <w:p w14:paraId="64C4F997">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0.044</w:t>
            </w:r>
          </w:p>
        </w:tc>
        <w:tc>
          <w:tcPr>
            <w:tcW w:w="606" w:type="pct"/>
            <w:tcBorders>
              <w:tl2br w:val="nil"/>
              <w:tr2bl w:val="nil"/>
            </w:tcBorders>
            <w:shd w:val="solid" w:color="FFFFFF" w:fill="auto"/>
            <w:vAlign w:val="center"/>
          </w:tcPr>
          <w:p w14:paraId="122A37A9">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0.044</w:t>
            </w:r>
          </w:p>
        </w:tc>
        <w:tc>
          <w:tcPr>
            <w:tcW w:w="718" w:type="pct"/>
            <w:tcBorders>
              <w:tl2br w:val="nil"/>
              <w:tr2bl w:val="nil"/>
            </w:tcBorders>
            <w:shd w:val="solid" w:color="FFFFFF" w:fill="auto"/>
            <w:vAlign w:val="center"/>
          </w:tcPr>
          <w:p w14:paraId="4E6C5271">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5.7</w:t>
            </w:r>
          </w:p>
        </w:tc>
        <w:tc>
          <w:tcPr>
            <w:tcW w:w="364" w:type="pct"/>
            <w:tcBorders>
              <w:tl2br w:val="nil"/>
              <w:tr2bl w:val="nil"/>
            </w:tcBorders>
            <w:shd w:val="solid" w:color="FFFFFF" w:fill="auto"/>
            <w:vAlign w:val="center"/>
          </w:tcPr>
          <w:p w14:paraId="5B09DBC1">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solid" w:color="FFFFFF" w:fill="auto"/>
            <w:vAlign w:val="center"/>
          </w:tcPr>
          <w:p w14:paraId="5B676BA7">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r w14:paraId="786C2B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FFFFFF"/>
            <w:vAlign w:val="center"/>
          </w:tcPr>
          <w:p w14:paraId="71835266">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rPr>
              <w:t>铜</w:t>
            </w:r>
          </w:p>
        </w:tc>
        <w:tc>
          <w:tcPr>
            <w:tcW w:w="583" w:type="pct"/>
            <w:tcBorders>
              <w:tl2br w:val="nil"/>
              <w:tr2bl w:val="nil"/>
            </w:tcBorders>
            <w:shd w:val="solid" w:color="FFFFFF" w:fill="auto"/>
            <w:vAlign w:val="center"/>
          </w:tcPr>
          <w:p w14:paraId="3B9E8872">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0.000</w:t>
            </w:r>
          </w:p>
        </w:tc>
        <w:tc>
          <w:tcPr>
            <w:tcW w:w="880" w:type="pct"/>
            <w:tcBorders>
              <w:tl2br w:val="nil"/>
              <w:tr2bl w:val="nil"/>
            </w:tcBorders>
            <w:shd w:val="solid" w:color="FFFFFF" w:fill="auto"/>
            <w:vAlign w:val="center"/>
          </w:tcPr>
          <w:p w14:paraId="6F5AF344">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0.000</w:t>
            </w:r>
          </w:p>
        </w:tc>
        <w:tc>
          <w:tcPr>
            <w:tcW w:w="624" w:type="pct"/>
            <w:tcBorders>
              <w:tl2br w:val="nil"/>
              <w:tr2bl w:val="nil"/>
            </w:tcBorders>
            <w:shd w:val="solid" w:color="FFFFFF" w:fill="auto"/>
            <w:vAlign w:val="center"/>
          </w:tcPr>
          <w:p w14:paraId="2A0D64A6">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0.000</w:t>
            </w:r>
          </w:p>
        </w:tc>
        <w:tc>
          <w:tcPr>
            <w:tcW w:w="606" w:type="pct"/>
            <w:tcBorders>
              <w:tl2br w:val="nil"/>
              <w:tr2bl w:val="nil"/>
            </w:tcBorders>
            <w:shd w:val="solid" w:color="FFFFFF" w:fill="auto"/>
            <w:vAlign w:val="center"/>
          </w:tcPr>
          <w:p w14:paraId="4CA5295D">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0.000</w:t>
            </w:r>
          </w:p>
        </w:tc>
        <w:tc>
          <w:tcPr>
            <w:tcW w:w="718" w:type="pct"/>
            <w:tcBorders>
              <w:tl2br w:val="nil"/>
              <w:tr2bl w:val="nil"/>
            </w:tcBorders>
            <w:shd w:val="solid" w:color="FFFFFF" w:fill="auto"/>
            <w:vAlign w:val="center"/>
          </w:tcPr>
          <w:p w14:paraId="2815E5D7">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18000</w:t>
            </w:r>
          </w:p>
        </w:tc>
        <w:tc>
          <w:tcPr>
            <w:tcW w:w="364" w:type="pct"/>
            <w:tcBorders>
              <w:tl2br w:val="nil"/>
              <w:tr2bl w:val="nil"/>
            </w:tcBorders>
            <w:shd w:val="solid" w:color="FFFFFF" w:fill="auto"/>
            <w:vAlign w:val="center"/>
          </w:tcPr>
          <w:p w14:paraId="0065B767">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solid" w:color="FFFFFF" w:fill="auto"/>
            <w:vAlign w:val="center"/>
          </w:tcPr>
          <w:p w14:paraId="420EA2E1">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r w14:paraId="7540BD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FFFFFF"/>
            <w:vAlign w:val="center"/>
          </w:tcPr>
          <w:p w14:paraId="6232CFBC">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rPr>
              <w:t>铅</w:t>
            </w:r>
          </w:p>
        </w:tc>
        <w:tc>
          <w:tcPr>
            <w:tcW w:w="583" w:type="pct"/>
            <w:tcBorders>
              <w:tl2br w:val="nil"/>
              <w:tr2bl w:val="nil"/>
            </w:tcBorders>
            <w:shd w:val="solid" w:color="FFFFFF" w:fill="auto"/>
            <w:vAlign w:val="center"/>
          </w:tcPr>
          <w:p w14:paraId="3F2FD570">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0.110</w:t>
            </w:r>
          </w:p>
        </w:tc>
        <w:tc>
          <w:tcPr>
            <w:tcW w:w="880" w:type="pct"/>
            <w:tcBorders>
              <w:tl2br w:val="nil"/>
              <w:tr2bl w:val="nil"/>
            </w:tcBorders>
            <w:shd w:val="solid" w:color="FFFFFF" w:fill="auto"/>
            <w:vAlign w:val="center"/>
          </w:tcPr>
          <w:p w14:paraId="3E0560D4">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0.095</w:t>
            </w:r>
          </w:p>
        </w:tc>
        <w:tc>
          <w:tcPr>
            <w:tcW w:w="624" w:type="pct"/>
            <w:tcBorders>
              <w:tl2br w:val="nil"/>
              <w:tr2bl w:val="nil"/>
            </w:tcBorders>
            <w:shd w:val="solid" w:color="FFFFFF" w:fill="auto"/>
            <w:vAlign w:val="center"/>
          </w:tcPr>
          <w:p w14:paraId="7915F590">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0.078</w:t>
            </w:r>
          </w:p>
        </w:tc>
        <w:tc>
          <w:tcPr>
            <w:tcW w:w="606" w:type="pct"/>
            <w:tcBorders>
              <w:tl2br w:val="nil"/>
              <w:tr2bl w:val="nil"/>
            </w:tcBorders>
            <w:shd w:val="solid" w:color="FFFFFF" w:fill="auto"/>
            <w:vAlign w:val="center"/>
          </w:tcPr>
          <w:p w14:paraId="41E6410D">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0.090</w:t>
            </w:r>
          </w:p>
        </w:tc>
        <w:tc>
          <w:tcPr>
            <w:tcW w:w="718" w:type="pct"/>
            <w:tcBorders>
              <w:tl2br w:val="nil"/>
              <w:tr2bl w:val="nil"/>
            </w:tcBorders>
            <w:shd w:val="solid" w:color="FFFFFF" w:fill="auto"/>
            <w:vAlign w:val="center"/>
          </w:tcPr>
          <w:p w14:paraId="5B1565AD">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800</w:t>
            </w:r>
          </w:p>
        </w:tc>
        <w:tc>
          <w:tcPr>
            <w:tcW w:w="364" w:type="pct"/>
            <w:tcBorders>
              <w:tl2br w:val="nil"/>
              <w:tr2bl w:val="nil"/>
            </w:tcBorders>
            <w:shd w:val="solid" w:color="FFFFFF" w:fill="auto"/>
            <w:vAlign w:val="center"/>
          </w:tcPr>
          <w:p w14:paraId="6617273B">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solid" w:color="FFFFFF" w:fill="auto"/>
            <w:vAlign w:val="center"/>
          </w:tcPr>
          <w:p w14:paraId="34CA945C">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r w14:paraId="412C4B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FFFFFF"/>
            <w:vAlign w:val="center"/>
          </w:tcPr>
          <w:p w14:paraId="4C8E0330">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rPr>
              <w:t>汞</w:t>
            </w:r>
          </w:p>
        </w:tc>
        <w:tc>
          <w:tcPr>
            <w:tcW w:w="583" w:type="pct"/>
            <w:tcBorders>
              <w:tl2br w:val="nil"/>
              <w:tr2bl w:val="nil"/>
            </w:tcBorders>
            <w:shd w:val="solid" w:color="FFFFFF" w:fill="auto"/>
            <w:vAlign w:val="center"/>
          </w:tcPr>
          <w:p w14:paraId="32995F8A">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0.001</w:t>
            </w:r>
          </w:p>
        </w:tc>
        <w:tc>
          <w:tcPr>
            <w:tcW w:w="880" w:type="pct"/>
            <w:tcBorders>
              <w:tl2br w:val="nil"/>
              <w:tr2bl w:val="nil"/>
            </w:tcBorders>
            <w:shd w:val="solid" w:color="FFFFFF" w:fill="auto"/>
            <w:vAlign w:val="center"/>
          </w:tcPr>
          <w:p w14:paraId="437287FF">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0.001</w:t>
            </w:r>
          </w:p>
        </w:tc>
        <w:tc>
          <w:tcPr>
            <w:tcW w:w="624" w:type="pct"/>
            <w:tcBorders>
              <w:tl2br w:val="nil"/>
              <w:tr2bl w:val="nil"/>
            </w:tcBorders>
            <w:shd w:val="solid" w:color="FFFFFF" w:fill="auto"/>
            <w:vAlign w:val="center"/>
          </w:tcPr>
          <w:p w14:paraId="75CCA88A">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0.001</w:t>
            </w:r>
          </w:p>
        </w:tc>
        <w:tc>
          <w:tcPr>
            <w:tcW w:w="606" w:type="pct"/>
            <w:tcBorders>
              <w:tl2br w:val="nil"/>
              <w:tr2bl w:val="nil"/>
            </w:tcBorders>
            <w:shd w:val="solid" w:color="FFFFFF" w:fill="auto"/>
            <w:vAlign w:val="center"/>
          </w:tcPr>
          <w:p w14:paraId="2E75ACA7">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0.001</w:t>
            </w:r>
          </w:p>
        </w:tc>
        <w:tc>
          <w:tcPr>
            <w:tcW w:w="718" w:type="pct"/>
            <w:tcBorders>
              <w:tl2br w:val="nil"/>
              <w:tr2bl w:val="nil"/>
            </w:tcBorders>
            <w:shd w:val="solid" w:color="FFFFFF" w:fill="auto"/>
            <w:vAlign w:val="center"/>
          </w:tcPr>
          <w:p w14:paraId="024A7AAD">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38</w:t>
            </w:r>
          </w:p>
        </w:tc>
        <w:tc>
          <w:tcPr>
            <w:tcW w:w="364" w:type="pct"/>
            <w:tcBorders>
              <w:tl2br w:val="nil"/>
              <w:tr2bl w:val="nil"/>
            </w:tcBorders>
            <w:shd w:val="solid" w:color="FFFFFF" w:fill="auto"/>
            <w:vAlign w:val="center"/>
          </w:tcPr>
          <w:p w14:paraId="57B06A2A">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solid" w:color="FFFFFF" w:fill="auto"/>
            <w:vAlign w:val="center"/>
          </w:tcPr>
          <w:p w14:paraId="1BE2085D">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r w14:paraId="2A16FD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auto"/>
            <w:vAlign w:val="center"/>
          </w:tcPr>
          <w:p w14:paraId="5D520279">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rPr>
              <w:t>镍</w:t>
            </w:r>
          </w:p>
        </w:tc>
        <w:tc>
          <w:tcPr>
            <w:tcW w:w="583" w:type="pct"/>
            <w:tcBorders>
              <w:tl2br w:val="nil"/>
              <w:tr2bl w:val="nil"/>
            </w:tcBorders>
            <w:shd w:val="clear" w:color="auto" w:fill="auto"/>
            <w:vAlign w:val="center"/>
          </w:tcPr>
          <w:p w14:paraId="42380809">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0.038</w:t>
            </w:r>
          </w:p>
        </w:tc>
        <w:tc>
          <w:tcPr>
            <w:tcW w:w="880" w:type="pct"/>
            <w:tcBorders>
              <w:tl2br w:val="nil"/>
              <w:tr2bl w:val="nil"/>
            </w:tcBorders>
            <w:shd w:val="clear" w:color="auto" w:fill="auto"/>
            <w:vAlign w:val="center"/>
          </w:tcPr>
          <w:p w14:paraId="201DA299">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0.051</w:t>
            </w:r>
          </w:p>
        </w:tc>
        <w:tc>
          <w:tcPr>
            <w:tcW w:w="624" w:type="pct"/>
            <w:tcBorders>
              <w:tl2br w:val="nil"/>
              <w:tr2bl w:val="nil"/>
            </w:tcBorders>
            <w:shd w:val="clear" w:color="auto" w:fill="auto"/>
            <w:vAlign w:val="center"/>
          </w:tcPr>
          <w:p w14:paraId="465D77C4">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0.043</w:t>
            </w:r>
          </w:p>
        </w:tc>
        <w:tc>
          <w:tcPr>
            <w:tcW w:w="606" w:type="pct"/>
            <w:tcBorders>
              <w:tl2br w:val="nil"/>
              <w:tr2bl w:val="nil"/>
            </w:tcBorders>
            <w:shd w:val="clear" w:color="auto" w:fill="auto"/>
            <w:vAlign w:val="center"/>
          </w:tcPr>
          <w:p w14:paraId="6DE0FD83">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0.049</w:t>
            </w:r>
          </w:p>
        </w:tc>
        <w:tc>
          <w:tcPr>
            <w:tcW w:w="718" w:type="pct"/>
            <w:tcBorders>
              <w:tl2br w:val="nil"/>
              <w:tr2bl w:val="nil"/>
            </w:tcBorders>
            <w:shd w:val="clear" w:color="auto" w:fill="auto"/>
            <w:vAlign w:val="center"/>
          </w:tcPr>
          <w:p w14:paraId="7595E794">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900</w:t>
            </w:r>
          </w:p>
        </w:tc>
        <w:tc>
          <w:tcPr>
            <w:tcW w:w="364" w:type="pct"/>
            <w:tcBorders>
              <w:tl2br w:val="nil"/>
              <w:tr2bl w:val="nil"/>
            </w:tcBorders>
            <w:shd w:val="clear" w:color="auto" w:fill="auto"/>
            <w:vAlign w:val="center"/>
          </w:tcPr>
          <w:p w14:paraId="5CEF89E2">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clear" w:color="auto" w:fill="auto"/>
            <w:vAlign w:val="center"/>
          </w:tcPr>
          <w:p w14:paraId="6B73888D">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bl>
    <w:p w14:paraId="56B45842">
      <w:pPr>
        <w:pStyle w:val="7"/>
        <w:bidi w:val="0"/>
        <w:rPr>
          <w:rFonts w:hint="eastAsia"/>
          <w:highlight w:val="none"/>
          <w:lang w:val="en-US" w:eastAsia="zh-CN"/>
        </w:rPr>
      </w:pPr>
    </w:p>
    <w:p w14:paraId="27869CBA">
      <w:pPr>
        <w:pStyle w:val="7"/>
        <w:bidi w:val="0"/>
        <w:rPr>
          <w:rFonts w:hint="default"/>
          <w:highlight w:val="none"/>
          <w:lang w:val="en-US" w:eastAsia="zh-CN"/>
        </w:rPr>
      </w:pPr>
      <w:r>
        <w:rPr>
          <w:rFonts w:hint="eastAsia"/>
          <w:highlight w:val="none"/>
          <w:lang w:val="en-US" w:eastAsia="zh-CN"/>
        </w:rPr>
        <w:t>续表</w:t>
      </w:r>
      <w:r>
        <w:rPr>
          <w:rFonts w:hint="default"/>
          <w:highlight w:val="none"/>
          <w:lang w:val="en-US" w:eastAsia="zh-CN"/>
        </w:rPr>
        <w:t>4-2-</w:t>
      </w:r>
      <w:r>
        <w:rPr>
          <w:rFonts w:hint="eastAsia"/>
          <w:highlight w:val="none"/>
          <w:lang w:val="en-US" w:eastAsia="zh-CN"/>
        </w:rPr>
        <w:t>20土壤标准指数表单位：mg/kg</w:t>
      </w:r>
    </w:p>
    <w:tbl>
      <w:tblPr>
        <w:tblStyle w:val="4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68"/>
        <w:gridCol w:w="994"/>
        <w:gridCol w:w="1500"/>
        <w:gridCol w:w="1065"/>
        <w:gridCol w:w="1034"/>
        <w:gridCol w:w="1224"/>
        <w:gridCol w:w="621"/>
        <w:gridCol w:w="716"/>
      </w:tblGrid>
      <w:tr w14:paraId="178C53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auto"/>
            <w:vAlign w:val="center"/>
          </w:tcPr>
          <w:p w14:paraId="00C24ED9">
            <w:pPr>
              <w:pStyle w:val="8"/>
              <w:suppressLineNumbers w:val="0"/>
              <w:bidi w:val="0"/>
              <w:spacing w:before="0" w:beforeAutospacing="0" w:after="0" w:afterAutospacing="0"/>
              <w:ind w:left="0" w:right="0"/>
              <w:jc w:val="center"/>
              <w:rPr>
                <w:rFonts w:hint="default"/>
                <w:highlight w:val="none"/>
              </w:rPr>
            </w:pPr>
            <w:r>
              <w:rPr>
                <w:rFonts w:hint="default"/>
                <w:highlight w:val="none"/>
              </w:rPr>
              <w:t>石油烃</w:t>
            </w:r>
          </w:p>
          <w:p w14:paraId="4A0F2F83">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（C10-C40）</w:t>
            </w:r>
          </w:p>
        </w:tc>
        <w:tc>
          <w:tcPr>
            <w:tcW w:w="583" w:type="pct"/>
            <w:tcBorders>
              <w:tl2br w:val="nil"/>
              <w:tr2bl w:val="nil"/>
            </w:tcBorders>
            <w:shd w:val="clear" w:color="auto" w:fill="auto"/>
            <w:vAlign w:val="center"/>
          </w:tcPr>
          <w:p w14:paraId="293E4CB7">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0.005</w:t>
            </w:r>
          </w:p>
        </w:tc>
        <w:tc>
          <w:tcPr>
            <w:tcW w:w="880" w:type="pct"/>
            <w:tcBorders>
              <w:tl2br w:val="nil"/>
              <w:tr2bl w:val="nil"/>
            </w:tcBorders>
            <w:shd w:val="clear" w:color="auto" w:fill="auto"/>
            <w:vAlign w:val="center"/>
          </w:tcPr>
          <w:p w14:paraId="125395FC">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0.006</w:t>
            </w:r>
          </w:p>
        </w:tc>
        <w:tc>
          <w:tcPr>
            <w:tcW w:w="624" w:type="pct"/>
            <w:tcBorders>
              <w:tl2br w:val="nil"/>
              <w:tr2bl w:val="nil"/>
            </w:tcBorders>
            <w:shd w:val="clear" w:color="auto" w:fill="auto"/>
            <w:vAlign w:val="center"/>
          </w:tcPr>
          <w:p w14:paraId="2996AE74">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0.007</w:t>
            </w:r>
          </w:p>
        </w:tc>
        <w:tc>
          <w:tcPr>
            <w:tcW w:w="606" w:type="pct"/>
            <w:tcBorders>
              <w:tl2br w:val="nil"/>
              <w:tr2bl w:val="nil"/>
            </w:tcBorders>
            <w:shd w:val="clear" w:color="auto" w:fill="auto"/>
            <w:vAlign w:val="center"/>
          </w:tcPr>
          <w:p w14:paraId="22E0434C">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0.008</w:t>
            </w:r>
          </w:p>
        </w:tc>
        <w:tc>
          <w:tcPr>
            <w:tcW w:w="718" w:type="pct"/>
            <w:tcBorders>
              <w:tl2br w:val="nil"/>
              <w:tr2bl w:val="nil"/>
            </w:tcBorders>
            <w:shd w:val="clear" w:color="auto" w:fill="auto"/>
            <w:vAlign w:val="center"/>
          </w:tcPr>
          <w:p w14:paraId="649C85BD">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4500</w:t>
            </w:r>
          </w:p>
        </w:tc>
        <w:tc>
          <w:tcPr>
            <w:tcW w:w="364" w:type="pct"/>
            <w:tcBorders>
              <w:tl2br w:val="nil"/>
              <w:tr2bl w:val="nil"/>
            </w:tcBorders>
            <w:shd w:val="clear" w:color="auto" w:fill="auto"/>
            <w:vAlign w:val="center"/>
          </w:tcPr>
          <w:p w14:paraId="6DFE3110">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clear" w:color="auto" w:fill="auto"/>
            <w:vAlign w:val="center"/>
          </w:tcPr>
          <w:p w14:paraId="1000DF75">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r w14:paraId="05F992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auto"/>
            <w:vAlign w:val="center"/>
          </w:tcPr>
          <w:p w14:paraId="16A8DAF5">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rPr>
              <w:t>四氯化碳</w:t>
            </w:r>
          </w:p>
        </w:tc>
        <w:tc>
          <w:tcPr>
            <w:tcW w:w="583" w:type="pct"/>
            <w:tcBorders>
              <w:tl2br w:val="nil"/>
              <w:tr2bl w:val="nil"/>
            </w:tcBorders>
            <w:shd w:val="clear" w:color="auto" w:fill="auto"/>
            <w:vAlign w:val="center"/>
          </w:tcPr>
          <w:p w14:paraId="586E38CA">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0.232</w:t>
            </w:r>
          </w:p>
        </w:tc>
        <w:tc>
          <w:tcPr>
            <w:tcW w:w="880" w:type="pct"/>
            <w:tcBorders>
              <w:tl2br w:val="nil"/>
              <w:tr2bl w:val="nil"/>
            </w:tcBorders>
            <w:shd w:val="clear" w:color="auto" w:fill="auto"/>
            <w:vAlign w:val="center"/>
          </w:tcPr>
          <w:p w14:paraId="0C42A922">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0.232</w:t>
            </w:r>
          </w:p>
        </w:tc>
        <w:tc>
          <w:tcPr>
            <w:tcW w:w="624" w:type="pct"/>
            <w:tcBorders>
              <w:tl2br w:val="nil"/>
              <w:tr2bl w:val="nil"/>
            </w:tcBorders>
            <w:shd w:val="clear" w:color="auto" w:fill="auto"/>
            <w:vAlign w:val="center"/>
          </w:tcPr>
          <w:p w14:paraId="1D80E4EF">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0.232</w:t>
            </w:r>
          </w:p>
        </w:tc>
        <w:tc>
          <w:tcPr>
            <w:tcW w:w="606" w:type="pct"/>
            <w:tcBorders>
              <w:tl2br w:val="nil"/>
              <w:tr2bl w:val="nil"/>
            </w:tcBorders>
            <w:shd w:val="clear" w:color="auto" w:fill="auto"/>
            <w:vAlign w:val="center"/>
          </w:tcPr>
          <w:p w14:paraId="7ADAEA23">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0.232</w:t>
            </w:r>
          </w:p>
        </w:tc>
        <w:tc>
          <w:tcPr>
            <w:tcW w:w="718" w:type="pct"/>
            <w:tcBorders>
              <w:tl2br w:val="nil"/>
              <w:tr2bl w:val="nil"/>
            </w:tcBorders>
            <w:shd w:val="clear" w:color="auto" w:fill="auto"/>
            <w:vAlign w:val="center"/>
          </w:tcPr>
          <w:p w14:paraId="49FBF852">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2.8</w:t>
            </w:r>
          </w:p>
        </w:tc>
        <w:tc>
          <w:tcPr>
            <w:tcW w:w="364" w:type="pct"/>
            <w:tcBorders>
              <w:tl2br w:val="nil"/>
              <w:tr2bl w:val="nil"/>
            </w:tcBorders>
            <w:shd w:val="clear" w:color="auto" w:fill="auto"/>
            <w:vAlign w:val="center"/>
          </w:tcPr>
          <w:p w14:paraId="54D91F70">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clear" w:color="auto" w:fill="auto"/>
            <w:vAlign w:val="center"/>
          </w:tcPr>
          <w:p w14:paraId="5ABF35D1">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r w14:paraId="7698F1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FFFFFF"/>
            <w:vAlign w:val="center"/>
          </w:tcPr>
          <w:p w14:paraId="68A7E305">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氯仿</w:t>
            </w:r>
          </w:p>
        </w:tc>
        <w:tc>
          <w:tcPr>
            <w:tcW w:w="583" w:type="pct"/>
            <w:tcBorders>
              <w:tl2br w:val="nil"/>
              <w:tr2bl w:val="nil"/>
            </w:tcBorders>
            <w:shd w:val="solid" w:color="FFFFFF" w:fill="auto"/>
            <w:vAlign w:val="center"/>
          </w:tcPr>
          <w:p w14:paraId="0FE6F658">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0.611</w:t>
            </w:r>
          </w:p>
        </w:tc>
        <w:tc>
          <w:tcPr>
            <w:tcW w:w="880" w:type="pct"/>
            <w:tcBorders>
              <w:tl2br w:val="nil"/>
              <w:tr2bl w:val="nil"/>
            </w:tcBorders>
            <w:shd w:val="solid" w:color="FFFFFF" w:fill="auto"/>
            <w:vAlign w:val="center"/>
          </w:tcPr>
          <w:p w14:paraId="1A2F754F">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0.611</w:t>
            </w:r>
          </w:p>
        </w:tc>
        <w:tc>
          <w:tcPr>
            <w:tcW w:w="624" w:type="pct"/>
            <w:tcBorders>
              <w:tl2br w:val="nil"/>
              <w:tr2bl w:val="nil"/>
            </w:tcBorders>
            <w:shd w:val="solid" w:color="FFFFFF" w:fill="auto"/>
            <w:vAlign w:val="center"/>
          </w:tcPr>
          <w:p w14:paraId="5AF1A271">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0.611</w:t>
            </w:r>
          </w:p>
        </w:tc>
        <w:tc>
          <w:tcPr>
            <w:tcW w:w="606" w:type="pct"/>
            <w:tcBorders>
              <w:tl2br w:val="nil"/>
              <w:tr2bl w:val="nil"/>
            </w:tcBorders>
            <w:shd w:val="solid" w:color="FFFFFF" w:fill="auto"/>
            <w:vAlign w:val="center"/>
          </w:tcPr>
          <w:p w14:paraId="6700FF2E">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0.611</w:t>
            </w:r>
          </w:p>
        </w:tc>
        <w:tc>
          <w:tcPr>
            <w:tcW w:w="718" w:type="pct"/>
            <w:tcBorders>
              <w:tl2br w:val="nil"/>
              <w:tr2bl w:val="nil"/>
            </w:tcBorders>
            <w:shd w:val="solid" w:color="FFFFFF" w:fill="auto"/>
            <w:vAlign w:val="center"/>
          </w:tcPr>
          <w:p w14:paraId="11760371">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0.9</w:t>
            </w:r>
          </w:p>
        </w:tc>
        <w:tc>
          <w:tcPr>
            <w:tcW w:w="364" w:type="pct"/>
            <w:tcBorders>
              <w:tl2br w:val="nil"/>
              <w:tr2bl w:val="nil"/>
            </w:tcBorders>
            <w:shd w:val="solid" w:color="FFFFFF" w:fill="auto"/>
            <w:vAlign w:val="center"/>
          </w:tcPr>
          <w:p w14:paraId="37C39749">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solid" w:color="FFFFFF" w:fill="auto"/>
            <w:vAlign w:val="center"/>
          </w:tcPr>
          <w:p w14:paraId="6F3F7DA8">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r w14:paraId="04D6EA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FFFFFF"/>
            <w:vAlign w:val="center"/>
          </w:tcPr>
          <w:p w14:paraId="7C65C314">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氯甲烷</w:t>
            </w:r>
          </w:p>
        </w:tc>
        <w:tc>
          <w:tcPr>
            <w:tcW w:w="583" w:type="pct"/>
            <w:tcBorders>
              <w:tl2br w:val="nil"/>
              <w:tr2bl w:val="nil"/>
            </w:tcBorders>
            <w:shd w:val="solid" w:color="FFFFFF" w:fill="auto"/>
            <w:vAlign w:val="center"/>
          </w:tcPr>
          <w:p w14:paraId="0C217B2B">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0.014</w:t>
            </w:r>
          </w:p>
        </w:tc>
        <w:tc>
          <w:tcPr>
            <w:tcW w:w="880" w:type="pct"/>
            <w:tcBorders>
              <w:tl2br w:val="nil"/>
              <w:tr2bl w:val="nil"/>
            </w:tcBorders>
            <w:shd w:val="solid" w:color="FFFFFF" w:fill="auto"/>
            <w:vAlign w:val="center"/>
          </w:tcPr>
          <w:p w14:paraId="70AE7496">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0.014</w:t>
            </w:r>
          </w:p>
        </w:tc>
        <w:tc>
          <w:tcPr>
            <w:tcW w:w="624" w:type="pct"/>
            <w:tcBorders>
              <w:tl2br w:val="nil"/>
              <w:tr2bl w:val="nil"/>
            </w:tcBorders>
            <w:shd w:val="solid" w:color="FFFFFF" w:fill="auto"/>
            <w:vAlign w:val="center"/>
          </w:tcPr>
          <w:p w14:paraId="1A895192">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0.014</w:t>
            </w:r>
          </w:p>
        </w:tc>
        <w:tc>
          <w:tcPr>
            <w:tcW w:w="606" w:type="pct"/>
            <w:tcBorders>
              <w:tl2br w:val="nil"/>
              <w:tr2bl w:val="nil"/>
            </w:tcBorders>
            <w:shd w:val="solid" w:color="FFFFFF" w:fill="auto"/>
            <w:vAlign w:val="center"/>
          </w:tcPr>
          <w:p w14:paraId="5C4617A5">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0.014</w:t>
            </w:r>
          </w:p>
        </w:tc>
        <w:tc>
          <w:tcPr>
            <w:tcW w:w="718" w:type="pct"/>
            <w:tcBorders>
              <w:tl2br w:val="nil"/>
              <w:tr2bl w:val="nil"/>
            </w:tcBorders>
            <w:shd w:val="solid" w:color="FFFFFF" w:fill="auto"/>
            <w:vAlign w:val="center"/>
          </w:tcPr>
          <w:p w14:paraId="121EBAA9">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37</w:t>
            </w:r>
          </w:p>
        </w:tc>
        <w:tc>
          <w:tcPr>
            <w:tcW w:w="364" w:type="pct"/>
            <w:tcBorders>
              <w:tl2br w:val="nil"/>
              <w:tr2bl w:val="nil"/>
            </w:tcBorders>
            <w:shd w:val="solid" w:color="FFFFFF" w:fill="auto"/>
            <w:vAlign w:val="center"/>
          </w:tcPr>
          <w:p w14:paraId="2026AED1">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solid" w:color="FFFFFF" w:fill="auto"/>
            <w:vAlign w:val="center"/>
          </w:tcPr>
          <w:p w14:paraId="2FF1A7CE">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r w14:paraId="00571F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FFFFFF"/>
            <w:vAlign w:val="center"/>
          </w:tcPr>
          <w:p w14:paraId="2A4DFD43">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1</w:t>
            </w:r>
            <w:r>
              <w:rPr>
                <w:rFonts w:hint="eastAsia"/>
                <w:highlight w:val="none"/>
                <w:lang w:eastAsia="zh-CN"/>
              </w:rPr>
              <w:t>，</w:t>
            </w:r>
            <w:r>
              <w:rPr>
                <w:rFonts w:hint="default"/>
                <w:highlight w:val="none"/>
              </w:rPr>
              <w:t>1-二氯乙烷</w:t>
            </w:r>
          </w:p>
        </w:tc>
        <w:tc>
          <w:tcPr>
            <w:tcW w:w="583" w:type="pct"/>
            <w:tcBorders>
              <w:tl2br w:val="nil"/>
              <w:tr2bl w:val="nil"/>
            </w:tcBorders>
            <w:shd w:val="solid" w:color="FFFFFF" w:fill="auto"/>
            <w:vAlign w:val="center"/>
          </w:tcPr>
          <w:p w14:paraId="09ECB89B">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0.067</w:t>
            </w:r>
          </w:p>
        </w:tc>
        <w:tc>
          <w:tcPr>
            <w:tcW w:w="880" w:type="pct"/>
            <w:tcBorders>
              <w:tl2br w:val="nil"/>
              <w:tr2bl w:val="nil"/>
            </w:tcBorders>
            <w:shd w:val="solid" w:color="FFFFFF" w:fill="auto"/>
            <w:vAlign w:val="center"/>
          </w:tcPr>
          <w:p w14:paraId="201E6730">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0.067</w:t>
            </w:r>
          </w:p>
        </w:tc>
        <w:tc>
          <w:tcPr>
            <w:tcW w:w="624" w:type="pct"/>
            <w:tcBorders>
              <w:tl2br w:val="nil"/>
              <w:tr2bl w:val="nil"/>
            </w:tcBorders>
            <w:shd w:val="solid" w:color="FFFFFF" w:fill="auto"/>
            <w:vAlign w:val="center"/>
          </w:tcPr>
          <w:p w14:paraId="2D9C9035">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0.067</w:t>
            </w:r>
          </w:p>
        </w:tc>
        <w:tc>
          <w:tcPr>
            <w:tcW w:w="606" w:type="pct"/>
            <w:tcBorders>
              <w:tl2br w:val="nil"/>
              <w:tr2bl w:val="nil"/>
            </w:tcBorders>
            <w:shd w:val="solid" w:color="FFFFFF" w:fill="auto"/>
            <w:vAlign w:val="center"/>
          </w:tcPr>
          <w:p w14:paraId="5DBA40D6">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0.067</w:t>
            </w:r>
          </w:p>
        </w:tc>
        <w:tc>
          <w:tcPr>
            <w:tcW w:w="718" w:type="pct"/>
            <w:tcBorders>
              <w:tl2br w:val="nil"/>
              <w:tr2bl w:val="nil"/>
            </w:tcBorders>
            <w:shd w:val="solid" w:color="FFFFFF" w:fill="auto"/>
            <w:vAlign w:val="center"/>
          </w:tcPr>
          <w:p w14:paraId="620A5E16">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9</w:t>
            </w:r>
          </w:p>
        </w:tc>
        <w:tc>
          <w:tcPr>
            <w:tcW w:w="364" w:type="pct"/>
            <w:tcBorders>
              <w:tl2br w:val="nil"/>
              <w:tr2bl w:val="nil"/>
            </w:tcBorders>
            <w:shd w:val="solid" w:color="FFFFFF" w:fill="auto"/>
            <w:vAlign w:val="center"/>
          </w:tcPr>
          <w:p w14:paraId="735CB6ED">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solid" w:color="FFFFFF" w:fill="auto"/>
            <w:vAlign w:val="center"/>
          </w:tcPr>
          <w:p w14:paraId="7BEE1690">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r w14:paraId="36EF81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solid" w:color="FFFFFF" w:fill="auto"/>
            <w:vAlign w:val="center"/>
          </w:tcPr>
          <w:p w14:paraId="6595B0B9">
            <w:pPr>
              <w:pStyle w:val="8"/>
              <w:suppressLineNumbers w:val="0"/>
              <w:bidi w:val="0"/>
              <w:spacing w:before="0" w:beforeAutospacing="0" w:after="0" w:afterAutospacing="0"/>
              <w:ind w:left="0" w:right="0"/>
              <w:jc w:val="center"/>
              <w:rPr>
                <w:rFonts w:hint="default"/>
                <w:highlight w:val="none"/>
                <w:lang w:val="en-US" w:eastAsia="en-US"/>
              </w:rPr>
            </w:pPr>
            <w:r>
              <w:rPr>
                <w:rFonts w:hint="default"/>
                <w:highlight w:val="none"/>
              </w:rPr>
              <w:t>1</w:t>
            </w:r>
            <w:r>
              <w:rPr>
                <w:rFonts w:hint="eastAsia"/>
                <w:highlight w:val="none"/>
                <w:lang w:eastAsia="zh-CN"/>
              </w:rPr>
              <w:t>，</w:t>
            </w:r>
            <w:r>
              <w:rPr>
                <w:rFonts w:hint="default"/>
                <w:highlight w:val="none"/>
              </w:rPr>
              <w:t>2-二氯乙烷</w:t>
            </w:r>
          </w:p>
        </w:tc>
        <w:tc>
          <w:tcPr>
            <w:tcW w:w="583" w:type="pct"/>
            <w:tcBorders>
              <w:tl2br w:val="nil"/>
              <w:tr2bl w:val="nil"/>
            </w:tcBorders>
            <w:shd w:val="solid" w:color="FFFFFF" w:fill="auto"/>
            <w:vAlign w:val="center"/>
          </w:tcPr>
          <w:p w14:paraId="15426821">
            <w:pPr>
              <w:pStyle w:val="8"/>
              <w:suppressLineNumbers w:val="0"/>
              <w:bidi w:val="0"/>
              <w:spacing w:before="0" w:beforeAutospacing="0" w:after="0" w:afterAutospacing="0"/>
              <w:ind w:left="0" w:right="0"/>
              <w:jc w:val="center"/>
              <w:rPr>
                <w:rFonts w:hint="default"/>
                <w:highlight w:val="none"/>
              </w:rPr>
            </w:pPr>
            <w:r>
              <w:rPr>
                <w:rFonts w:hint="eastAsia"/>
                <w:highlight w:val="none"/>
                <w:lang w:val="en-US" w:eastAsia="zh-CN"/>
              </w:rPr>
              <w:t>0.130</w:t>
            </w:r>
          </w:p>
        </w:tc>
        <w:tc>
          <w:tcPr>
            <w:tcW w:w="880" w:type="pct"/>
            <w:tcBorders>
              <w:tl2br w:val="nil"/>
              <w:tr2bl w:val="nil"/>
            </w:tcBorders>
            <w:shd w:val="solid" w:color="FFFFFF" w:fill="auto"/>
            <w:vAlign w:val="center"/>
          </w:tcPr>
          <w:p w14:paraId="3B537A80">
            <w:pPr>
              <w:pStyle w:val="8"/>
              <w:suppressLineNumbers w:val="0"/>
              <w:bidi w:val="0"/>
              <w:spacing w:before="0" w:beforeAutospacing="0" w:after="0" w:afterAutospacing="0"/>
              <w:ind w:left="0" w:right="0"/>
              <w:jc w:val="center"/>
              <w:rPr>
                <w:rFonts w:hint="default"/>
                <w:highlight w:val="none"/>
              </w:rPr>
            </w:pPr>
            <w:r>
              <w:rPr>
                <w:rFonts w:hint="eastAsia"/>
                <w:highlight w:val="none"/>
                <w:lang w:val="en-US" w:eastAsia="zh-CN"/>
              </w:rPr>
              <w:t>0.130</w:t>
            </w:r>
          </w:p>
        </w:tc>
        <w:tc>
          <w:tcPr>
            <w:tcW w:w="624" w:type="pct"/>
            <w:tcBorders>
              <w:tl2br w:val="nil"/>
              <w:tr2bl w:val="nil"/>
            </w:tcBorders>
            <w:shd w:val="solid" w:color="FFFFFF" w:fill="auto"/>
            <w:vAlign w:val="center"/>
          </w:tcPr>
          <w:p w14:paraId="691BF399">
            <w:pPr>
              <w:pStyle w:val="8"/>
              <w:suppressLineNumbers w:val="0"/>
              <w:bidi w:val="0"/>
              <w:spacing w:before="0" w:beforeAutospacing="0" w:after="0" w:afterAutospacing="0"/>
              <w:ind w:left="0" w:right="0"/>
              <w:jc w:val="center"/>
              <w:rPr>
                <w:rFonts w:hint="default"/>
                <w:highlight w:val="none"/>
              </w:rPr>
            </w:pPr>
            <w:r>
              <w:rPr>
                <w:rFonts w:hint="eastAsia"/>
                <w:highlight w:val="none"/>
                <w:lang w:val="en-US" w:eastAsia="zh-CN"/>
              </w:rPr>
              <w:t>0.130</w:t>
            </w:r>
          </w:p>
        </w:tc>
        <w:tc>
          <w:tcPr>
            <w:tcW w:w="606" w:type="pct"/>
            <w:tcBorders>
              <w:tl2br w:val="nil"/>
              <w:tr2bl w:val="nil"/>
            </w:tcBorders>
            <w:shd w:val="solid" w:color="FFFFFF" w:fill="auto"/>
            <w:vAlign w:val="center"/>
          </w:tcPr>
          <w:p w14:paraId="7FB6068E">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0.130</w:t>
            </w:r>
          </w:p>
        </w:tc>
        <w:tc>
          <w:tcPr>
            <w:tcW w:w="718" w:type="pct"/>
            <w:tcBorders>
              <w:tl2br w:val="nil"/>
              <w:tr2bl w:val="nil"/>
            </w:tcBorders>
            <w:shd w:val="solid" w:color="FFFFFF" w:fill="auto"/>
            <w:vAlign w:val="center"/>
          </w:tcPr>
          <w:p w14:paraId="1A84FDEF">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5</w:t>
            </w:r>
          </w:p>
        </w:tc>
        <w:tc>
          <w:tcPr>
            <w:tcW w:w="364" w:type="pct"/>
            <w:tcBorders>
              <w:tl2br w:val="nil"/>
              <w:tr2bl w:val="nil"/>
            </w:tcBorders>
            <w:shd w:val="solid" w:color="FFFFFF" w:fill="auto"/>
            <w:vAlign w:val="center"/>
          </w:tcPr>
          <w:p w14:paraId="1BC76EFC">
            <w:pPr>
              <w:pStyle w:val="8"/>
              <w:suppressLineNumbers w:val="0"/>
              <w:bidi w:val="0"/>
              <w:spacing w:before="0" w:beforeAutospacing="0" w:after="0" w:afterAutospacing="0"/>
              <w:ind w:left="0" w:right="0"/>
              <w:jc w:val="center"/>
              <w:rPr>
                <w:rFonts w:hint="default"/>
                <w:highlight w:val="none"/>
                <w:lang w:val="en-US" w:eastAsia="zh-CN"/>
              </w:rPr>
            </w:pPr>
          </w:p>
        </w:tc>
        <w:tc>
          <w:tcPr>
            <w:tcW w:w="420" w:type="pct"/>
            <w:tcBorders>
              <w:tl2br w:val="nil"/>
              <w:tr2bl w:val="nil"/>
            </w:tcBorders>
            <w:shd w:val="solid" w:color="FFFFFF" w:fill="auto"/>
            <w:vAlign w:val="center"/>
          </w:tcPr>
          <w:p w14:paraId="39B46CFF">
            <w:pPr>
              <w:pStyle w:val="8"/>
              <w:suppressLineNumbers w:val="0"/>
              <w:bidi w:val="0"/>
              <w:spacing w:before="0" w:beforeAutospacing="0" w:after="0" w:afterAutospacing="0"/>
              <w:ind w:left="0" w:right="0"/>
              <w:jc w:val="center"/>
              <w:rPr>
                <w:rFonts w:hint="default"/>
                <w:highlight w:val="none"/>
                <w:lang w:val="en-US" w:eastAsia="zh-CN"/>
              </w:rPr>
            </w:pPr>
          </w:p>
        </w:tc>
      </w:tr>
      <w:tr w14:paraId="15D964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FFFFFF"/>
            <w:vAlign w:val="center"/>
          </w:tcPr>
          <w:p w14:paraId="304639C6">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1</w:t>
            </w:r>
            <w:r>
              <w:rPr>
                <w:rFonts w:hint="eastAsia"/>
                <w:highlight w:val="none"/>
                <w:lang w:eastAsia="zh-CN"/>
              </w:rPr>
              <w:t>，</w:t>
            </w:r>
            <w:r>
              <w:rPr>
                <w:rFonts w:hint="default"/>
                <w:highlight w:val="none"/>
              </w:rPr>
              <w:t>1-二氯乙烯</w:t>
            </w:r>
          </w:p>
        </w:tc>
        <w:tc>
          <w:tcPr>
            <w:tcW w:w="583" w:type="pct"/>
            <w:tcBorders>
              <w:tl2br w:val="nil"/>
              <w:tr2bl w:val="nil"/>
            </w:tcBorders>
            <w:shd w:val="solid" w:color="FFFFFF" w:fill="auto"/>
            <w:vAlign w:val="center"/>
          </w:tcPr>
          <w:p w14:paraId="40C8DBB4">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0.009</w:t>
            </w:r>
          </w:p>
        </w:tc>
        <w:tc>
          <w:tcPr>
            <w:tcW w:w="880" w:type="pct"/>
            <w:tcBorders>
              <w:tl2br w:val="nil"/>
              <w:tr2bl w:val="nil"/>
            </w:tcBorders>
            <w:shd w:val="solid" w:color="FFFFFF" w:fill="auto"/>
            <w:vAlign w:val="center"/>
          </w:tcPr>
          <w:p w14:paraId="1091130E">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0.009</w:t>
            </w:r>
          </w:p>
        </w:tc>
        <w:tc>
          <w:tcPr>
            <w:tcW w:w="624" w:type="pct"/>
            <w:tcBorders>
              <w:tl2br w:val="nil"/>
              <w:tr2bl w:val="nil"/>
            </w:tcBorders>
            <w:shd w:val="solid" w:color="FFFFFF" w:fill="auto"/>
            <w:vAlign w:val="center"/>
          </w:tcPr>
          <w:p w14:paraId="238E4C15">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0.009</w:t>
            </w:r>
          </w:p>
        </w:tc>
        <w:tc>
          <w:tcPr>
            <w:tcW w:w="606" w:type="pct"/>
            <w:tcBorders>
              <w:tl2br w:val="nil"/>
              <w:tr2bl w:val="nil"/>
            </w:tcBorders>
            <w:shd w:val="solid" w:color="FFFFFF" w:fill="auto"/>
            <w:vAlign w:val="center"/>
          </w:tcPr>
          <w:p w14:paraId="15CECB2D">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0.009</w:t>
            </w:r>
          </w:p>
        </w:tc>
        <w:tc>
          <w:tcPr>
            <w:tcW w:w="718" w:type="pct"/>
            <w:tcBorders>
              <w:tl2br w:val="nil"/>
              <w:tr2bl w:val="nil"/>
            </w:tcBorders>
            <w:shd w:val="solid" w:color="FFFFFF" w:fill="auto"/>
            <w:vAlign w:val="center"/>
          </w:tcPr>
          <w:p w14:paraId="2533CF04">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66</w:t>
            </w:r>
          </w:p>
        </w:tc>
        <w:tc>
          <w:tcPr>
            <w:tcW w:w="364" w:type="pct"/>
            <w:tcBorders>
              <w:tl2br w:val="nil"/>
              <w:tr2bl w:val="nil"/>
            </w:tcBorders>
            <w:shd w:val="solid" w:color="FFFFFF" w:fill="auto"/>
            <w:vAlign w:val="center"/>
          </w:tcPr>
          <w:p w14:paraId="54722E43">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solid" w:color="FFFFFF" w:fill="auto"/>
            <w:vAlign w:val="center"/>
          </w:tcPr>
          <w:p w14:paraId="1F553464">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r w14:paraId="0FC6AA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FFFFFF"/>
            <w:vAlign w:val="center"/>
          </w:tcPr>
          <w:p w14:paraId="36D96ACB">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顺-1</w:t>
            </w:r>
            <w:r>
              <w:rPr>
                <w:rFonts w:hint="eastAsia"/>
                <w:highlight w:val="none"/>
                <w:lang w:eastAsia="zh-CN"/>
              </w:rPr>
              <w:t>，</w:t>
            </w:r>
            <w:r>
              <w:rPr>
                <w:rFonts w:hint="default"/>
                <w:highlight w:val="none"/>
              </w:rPr>
              <w:t>2-二氯乙烯</w:t>
            </w:r>
          </w:p>
        </w:tc>
        <w:tc>
          <w:tcPr>
            <w:tcW w:w="583" w:type="pct"/>
            <w:tcBorders>
              <w:tl2br w:val="nil"/>
              <w:tr2bl w:val="nil"/>
            </w:tcBorders>
            <w:shd w:val="solid" w:color="FFFFFF" w:fill="auto"/>
            <w:vAlign w:val="center"/>
          </w:tcPr>
          <w:p w14:paraId="47D0A960">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0.001</w:t>
            </w:r>
          </w:p>
        </w:tc>
        <w:tc>
          <w:tcPr>
            <w:tcW w:w="880" w:type="pct"/>
            <w:tcBorders>
              <w:tl2br w:val="nil"/>
              <w:tr2bl w:val="nil"/>
            </w:tcBorders>
            <w:shd w:val="solid" w:color="FFFFFF" w:fill="auto"/>
            <w:vAlign w:val="center"/>
          </w:tcPr>
          <w:p w14:paraId="29F500A5">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0.001</w:t>
            </w:r>
          </w:p>
        </w:tc>
        <w:tc>
          <w:tcPr>
            <w:tcW w:w="624" w:type="pct"/>
            <w:tcBorders>
              <w:tl2br w:val="nil"/>
              <w:tr2bl w:val="nil"/>
            </w:tcBorders>
            <w:shd w:val="solid" w:color="FFFFFF" w:fill="auto"/>
            <w:vAlign w:val="center"/>
          </w:tcPr>
          <w:p w14:paraId="1793FD20">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0.001</w:t>
            </w:r>
          </w:p>
        </w:tc>
        <w:tc>
          <w:tcPr>
            <w:tcW w:w="606" w:type="pct"/>
            <w:tcBorders>
              <w:tl2br w:val="nil"/>
              <w:tr2bl w:val="nil"/>
            </w:tcBorders>
            <w:shd w:val="solid" w:color="FFFFFF" w:fill="auto"/>
            <w:vAlign w:val="center"/>
          </w:tcPr>
          <w:p w14:paraId="71E25C51">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0.001</w:t>
            </w:r>
          </w:p>
        </w:tc>
        <w:tc>
          <w:tcPr>
            <w:tcW w:w="718" w:type="pct"/>
            <w:tcBorders>
              <w:tl2br w:val="nil"/>
              <w:tr2bl w:val="nil"/>
            </w:tcBorders>
            <w:shd w:val="solid" w:color="FFFFFF" w:fill="auto"/>
            <w:vAlign w:val="center"/>
          </w:tcPr>
          <w:p w14:paraId="1D315714">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596</w:t>
            </w:r>
          </w:p>
        </w:tc>
        <w:tc>
          <w:tcPr>
            <w:tcW w:w="364" w:type="pct"/>
            <w:tcBorders>
              <w:tl2br w:val="nil"/>
              <w:tr2bl w:val="nil"/>
            </w:tcBorders>
            <w:shd w:val="solid" w:color="FFFFFF" w:fill="auto"/>
            <w:vAlign w:val="center"/>
          </w:tcPr>
          <w:p w14:paraId="0F46F1ED">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solid" w:color="FFFFFF" w:fill="auto"/>
            <w:vAlign w:val="center"/>
          </w:tcPr>
          <w:p w14:paraId="3D545CED">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r w14:paraId="532C4F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FFFFFF"/>
            <w:vAlign w:val="center"/>
          </w:tcPr>
          <w:p w14:paraId="78913B6A">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反-1</w:t>
            </w:r>
            <w:r>
              <w:rPr>
                <w:rFonts w:hint="eastAsia"/>
                <w:highlight w:val="none"/>
                <w:lang w:eastAsia="zh-CN"/>
              </w:rPr>
              <w:t>，</w:t>
            </w:r>
            <w:r>
              <w:rPr>
                <w:rFonts w:hint="default"/>
                <w:highlight w:val="none"/>
              </w:rPr>
              <w:t>2-二氯乙烯</w:t>
            </w:r>
          </w:p>
        </w:tc>
        <w:tc>
          <w:tcPr>
            <w:tcW w:w="583" w:type="pct"/>
            <w:tcBorders>
              <w:tl2br w:val="nil"/>
              <w:tr2bl w:val="nil"/>
            </w:tcBorders>
            <w:shd w:val="solid" w:color="FFFFFF" w:fill="auto"/>
            <w:vAlign w:val="center"/>
          </w:tcPr>
          <w:p w14:paraId="16491CED">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0.013</w:t>
            </w:r>
          </w:p>
        </w:tc>
        <w:tc>
          <w:tcPr>
            <w:tcW w:w="880" w:type="pct"/>
            <w:tcBorders>
              <w:tl2br w:val="nil"/>
              <w:tr2bl w:val="nil"/>
            </w:tcBorders>
            <w:shd w:val="solid" w:color="FFFFFF" w:fill="auto"/>
            <w:vAlign w:val="center"/>
          </w:tcPr>
          <w:p w14:paraId="53579D76">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0.013</w:t>
            </w:r>
          </w:p>
        </w:tc>
        <w:tc>
          <w:tcPr>
            <w:tcW w:w="624" w:type="pct"/>
            <w:tcBorders>
              <w:tl2br w:val="nil"/>
              <w:tr2bl w:val="nil"/>
            </w:tcBorders>
            <w:shd w:val="solid" w:color="FFFFFF" w:fill="auto"/>
            <w:vAlign w:val="center"/>
          </w:tcPr>
          <w:p w14:paraId="1C001FF4">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0.013</w:t>
            </w:r>
          </w:p>
        </w:tc>
        <w:tc>
          <w:tcPr>
            <w:tcW w:w="606" w:type="pct"/>
            <w:tcBorders>
              <w:tl2br w:val="nil"/>
              <w:tr2bl w:val="nil"/>
            </w:tcBorders>
            <w:shd w:val="solid" w:color="FFFFFF" w:fill="auto"/>
            <w:vAlign w:val="center"/>
          </w:tcPr>
          <w:p w14:paraId="2AB4CD6B">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0.013</w:t>
            </w:r>
          </w:p>
        </w:tc>
        <w:tc>
          <w:tcPr>
            <w:tcW w:w="718" w:type="pct"/>
            <w:tcBorders>
              <w:tl2br w:val="nil"/>
              <w:tr2bl w:val="nil"/>
            </w:tcBorders>
            <w:shd w:val="solid" w:color="FFFFFF" w:fill="auto"/>
            <w:vAlign w:val="center"/>
          </w:tcPr>
          <w:p w14:paraId="725C88B5">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54</w:t>
            </w:r>
          </w:p>
        </w:tc>
        <w:tc>
          <w:tcPr>
            <w:tcW w:w="364" w:type="pct"/>
            <w:tcBorders>
              <w:tl2br w:val="nil"/>
              <w:tr2bl w:val="nil"/>
            </w:tcBorders>
            <w:shd w:val="solid" w:color="FFFFFF" w:fill="auto"/>
            <w:vAlign w:val="center"/>
          </w:tcPr>
          <w:p w14:paraId="6FD39CC5">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solid" w:color="FFFFFF" w:fill="auto"/>
            <w:vAlign w:val="center"/>
          </w:tcPr>
          <w:p w14:paraId="09A42C19">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r w14:paraId="39B5D2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FFFFFF"/>
            <w:vAlign w:val="center"/>
          </w:tcPr>
          <w:p w14:paraId="50E27F15">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二氯甲烷</w:t>
            </w:r>
          </w:p>
        </w:tc>
        <w:tc>
          <w:tcPr>
            <w:tcW w:w="583" w:type="pct"/>
            <w:tcBorders>
              <w:tl2br w:val="nil"/>
              <w:tr2bl w:val="nil"/>
            </w:tcBorders>
            <w:shd w:val="solid" w:color="FFFFFF" w:fill="auto"/>
            <w:vAlign w:val="center"/>
          </w:tcPr>
          <w:p w14:paraId="148807A6">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0.001</w:t>
            </w:r>
          </w:p>
        </w:tc>
        <w:tc>
          <w:tcPr>
            <w:tcW w:w="880" w:type="pct"/>
            <w:tcBorders>
              <w:tl2br w:val="nil"/>
              <w:tr2bl w:val="nil"/>
            </w:tcBorders>
            <w:shd w:val="solid" w:color="FFFFFF" w:fill="auto"/>
            <w:vAlign w:val="center"/>
          </w:tcPr>
          <w:p w14:paraId="42E7C1FA">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0.001</w:t>
            </w:r>
          </w:p>
        </w:tc>
        <w:tc>
          <w:tcPr>
            <w:tcW w:w="624" w:type="pct"/>
            <w:tcBorders>
              <w:tl2br w:val="nil"/>
              <w:tr2bl w:val="nil"/>
            </w:tcBorders>
            <w:shd w:val="solid" w:color="FFFFFF" w:fill="auto"/>
            <w:vAlign w:val="center"/>
          </w:tcPr>
          <w:p w14:paraId="04F7E950">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0.001</w:t>
            </w:r>
          </w:p>
        </w:tc>
        <w:tc>
          <w:tcPr>
            <w:tcW w:w="606" w:type="pct"/>
            <w:tcBorders>
              <w:tl2br w:val="nil"/>
              <w:tr2bl w:val="nil"/>
            </w:tcBorders>
            <w:shd w:val="solid" w:color="FFFFFF" w:fill="auto"/>
            <w:vAlign w:val="center"/>
          </w:tcPr>
          <w:p w14:paraId="00C74BB5">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0.001</w:t>
            </w:r>
          </w:p>
        </w:tc>
        <w:tc>
          <w:tcPr>
            <w:tcW w:w="718" w:type="pct"/>
            <w:tcBorders>
              <w:tl2br w:val="nil"/>
              <w:tr2bl w:val="nil"/>
            </w:tcBorders>
            <w:shd w:val="solid" w:color="FFFFFF" w:fill="auto"/>
            <w:vAlign w:val="center"/>
          </w:tcPr>
          <w:p w14:paraId="490563D9">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616</w:t>
            </w:r>
          </w:p>
        </w:tc>
        <w:tc>
          <w:tcPr>
            <w:tcW w:w="364" w:type="pct"/>
            <w:tcBorders>
              <w:tl2br w:val="nil"/>
              <w:tr2bl w:val="nil"/>
            </w:tcBorders>
            <w:shd w:val="solid" w:color="FFFFFF" w:fill="auto"/>
            <w:vAlign w:val="center"/>
          </w:tcPr>
          <w:p w14:paraId="482C7214">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solid" w:color="FFFFFF" w:fill="auto"/>
            <w:vAlign w:val="center"/>
          </w:tcPr>
          <w:p w14:paraId="1F894832">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r w14:paraId="2F7C5B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FFFFFF"/>
            <w:vAlign w:val="center"/>
          </w:tcPr>
          <w:p w14:paraId="7354852C">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1</w:t>
            </w:r>
            <w:r>
              <w:rPr>
                <w:rFonts w:hint="eastAsia"/>
                <w:highlight w:val="none"/>
                <w:lang w:eastAsia="zh-CN"/>
              </w:rPr>
              <w:t>，</w:t>
            </w:r>
            <w:r>
              <w:rPr>
                <w:rFonts w:hint="default"/>
                <w:highlight w:val="none"/>
              </w:rPr>
              <w:t>2-二氯丙烷</w:t>
            </w:r>
          </w:p>
        </w:tc>
        <w:tc>
          <w:tcPr>
            <w:tcW w:w="583" w:type="pct"/>
            <w:tcBorders>
              <w:tl2br w:val="nil"/>
              <w:tr2bl w:val="nil"/>
            </w:tcBorders>
            <w:shd w:val="solid" w:color="FFFFFF" w:fill="auto"/>
            <w:vAlign w:val="center"/>
          </w:tcPr>
          <w:p w14:paraId="272727C8">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0.110</w:t>
            </w:r>
          </w:p>
        </w:tc>
        <w:tc>
          <w:tcPr>
            <w:tcW w:w="880" w:type="pct"/>
            <w:tcBorders>
              <w:tl2br w:val="nil"/>
              <w:tr2bl w:val="nil"/>
            </w:tcBorders>
            <w:shd w:val="solid" w:color="FFFFFF" w:fill="auto"/>
            <w:vAlign w:val="center"/>
          </w:tcPr>
          <w:p w14:paraId="16F5C177">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0.110</w:t>
            </w:r>
          </w:p>
        </w:tc>
        <w:tc>
          <w:tcPr>
            <w:tcW w:w="624" w:type="pct"/>
            <w:tcBorders>
              <w:tl2br w:val="nil"/>
              <w:tr2bl w:val="nil"/>
            </w:tcBorders>
            <w:shd w:val="solid" w:color="FFFFFF" w:fill="auto"/>
            <w:vAlign w:val="center"/>
          </w:tcPr>
          <w:p w14:paraId="6A00D945">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0.110</w:t>
            </w:r>
          </w:p>
        </w:tc>
        <w:tc>
          <w:tcPr>
            <w:tcW w:w="606" w:type="pct"/>
            <w:tcBorders>
              <w:tl2br w:val="nil"/>
              <w:tr2bl w:val="nil"/>
            </w:tcBorders>
            <w:shd w:val="solid" w:color="FFFFFF" w:fill="auto"/>
            <w:vAlign w:val="center"/>
          </w:tcPr>
          <w:p w14:paraId="1BD455DB">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0.110</w:t>
            </w:r>
          </w:p>
        </w:tc>
        <w:tc>
          <w:tcPr>
            <w:tcW w:w="718" w:type="pct"/>
            <w:tcBorders>
              <w:tl2br w:val="nil"/>
              <w:tr2bl w:val="nil"/>
            </w:tcBorders>
            <w:shd w:val="solid" w:color="FFFFFF" w:fill="auto"/>
            <w:vAlign w:val="center"/>
          </w:tcPr>
          <w:p w14:paraId="3FC641CF">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5</w:t>
            </w:r>
          </w:p>
        </w:tc>
        <w:tc>
          <w:tcPr>
            <w:tcW w:w="364" w:type="pct"/>
            <w:tcBorders>
              <w:tl2br w:val="nil"/>
              <w:tr2bl w:val="nil"/>
            </w:tcBorders>
            <w:shd w:val="solid" w:color="FFFFFF" w:fill="auto"/>
            <w:vAlign w:val="center"/>
          </w:tcPr>
          <w:p w14:paraId="5098D92F">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solid" w:color="FFFFFF" w:fill="auto"/>
            <w:vAlign w:val="center"/>
          </w:tcPr>
          <w:p w14:paraId="5E65AFAF">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r w14:paraId="6C966D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FFFFFF"/>
            <w:vAlign w:val="center"/>
          </w:tcPr>
          <w:p w14:paraId="189DA57B">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1</w:t>
            </w:r>
            <w:r>
              <w:rPr>
                <w:rFonts w:hint="eastAsia"/>
                <w:highlight w:val="none"/>
                <w:lang w:eastAsia="zh-CN"/>
              </w:rPr>
              <w:t>，</w:t>
            </w:r>
            <w:r>
              <w:rPr>
                <w:rFonts w:hint="default"/>
                <w:highlight w:val="none"/>
              </w:rPr>
              <w:t>1</w:t>
            </w:r>
            <w:r>
              <w:rPr>
                <w:rFonts w:hint="eastAsia"/>
                <w:highlight w:val="none"/>
                <w:lang w:eastAsia="zh-CN"/>
              </w:rPr>
              <w:t>，</w:t>
            </w:r>
            <w:r>
              <w:rPr>
                <w:rFonts w:hint="default"/>
                <w:highlight w:val="none"/>
              </w:rPr>
              <w:t>1</w:t>
            </w:r>
            <w:r>
              <w:rPr>
                <w:rFonts w:hint="eastAsia"/>
                <w:highlight w:val="none"/>
                <w:lang w:eastAsia="zh-CN"/>
              </w:rPr>
              <w:t>，</w:t>
            </w:r>
            <w:r>
              <w:rPr>
                <w:rFonts w:hint="default"/>
                <w:highlight w:val="none"/>
              </w:rPr>
              <w:t>2-四氯乙烷</w:t>
            </w:r>
          </w:p>
        </w:tc>
        <w:tc>
          <w:tcPr>
            <w:tcW w:w="583" w:type="pct"/>
            <w:tcBorders>
              <w:tl2br w:val="nil"/>
              <w:tr2bl w:val="nil"/>
            </w:tcBorders>
            <w:shd w:val="solid" w:color="FFFFFF" w:fill="auto"/>
            <w:vAlign w:val="center"/>
          </w:tcPr>
          <w:p w14:paraId="2917B66E">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0.060</w:t>
            </w:r>
          </w:p>
        </w:tc>
        <w:tc>
          <w:tcPr>
            <w:tcW w:w="880" w:type="pct"/>
            <w:tcBorders>
              <w:tl2br w:val="nil"/>
              <w:tr2bl w:val="nil"/>
            </w:tcBorders>
            <w:shd w:val="solid" w:color="FFFFFF" w:fill="auto"/>
            <w:vAlign w:val="center"/>
          </w:tcPr>
          <w:p w14:paraId="6F8EBF13">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0.060</w:t>
            </w:r>
          </w:p>
        </w:tc>
        <w:tc>
          <w:tcPr>
            <w:tcW w:w="624" w:type="pct"/>
            <w:tcBorders>
              <w:tl2br w:val="nil"/>
              <w:tr2bl w:val="nil"/>
            </w:tcBorders>
            <w:shd w:val="solid" w:color="FFFFFF" w:fill="auto"/>
            <w:vAlign w:val="center"/>
          </w:tcPr>
          <w:p w14:paraId="04B259AF">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0.060</w:t>
            </w:r>
          </w:p>
        </w:tc>
        <w:tc>
          <w:tcPr>
            <w:tcW w:w="606" w:type="pct"/>
            <w:tcBorders>
              <w:tl2br w:val="nil"/>
              <w:tr2bl w:val="nil"/>
            </w:tcBorders>
            <w:shd w:val="solid" w:color="FFFFFF" w:fill="auto"/>
            <w:vAlign w:val="center"/>
          </w:tcPr>
          <w:p w14:paraId="727FEA34">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0.060</w:t>
            </w:r>
          </w:p>
        </w:tc>
        <w:tc>
          <w:tcPr>
            <w:tcW w:w="718" w:type="pct"/>
            <w:tcBorders>
              <w:tl2br w:val="nil"/>
              <w:tr2bl w:val="nil"/>
            </w:tcBorders>
            <w:shd w:val="solid" w:color="FFFFFF" w:fill="auto"/>
            <w:vAlign w:val="center"/>
          </w:tcPr>
          <w:p w14:paraId="0A41B86B">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10</w:t>
            </w:r>
          </w:p>
        </w:tc>
        <w:tc>
          <w:tcPr>
            <w:tcW w:w="364" w:type="pct"/>
            <w:tcBorders>
              <w:tl2br w:val="nil"/>
              <w:tr2bl w:val="nil"/>
            </w:tcBorders>
            <w:shd w:val="solid" w:color="FFFFFF" w:fill="auto"/>
            <w:vAlign w:val="center"/>
          </w:tcPr>
          <w:p w14:paraId="348D7C3D">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solid" w:color="FFFFFF" w:fill="auto"/>
            <w:vAlign w:val="center"/>
          </w:tcPr>
          <w:p w14:paraId="191502C9">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r w14:paraId="597D00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auto"/>
            <w:vAlign w:val="center"/>
          </w:tcPr>
          <w:p w14:paraId="62E6AF82">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1</w:t>
            </w:r>
            <w:r>
              <w:rPr>
                <w:rFonts w:hint="eastAsia"/>
                <w:highlight w:val="none"/>
                <w:lang w:eastAsia="zh-CN"/>
              </w:rPr>
              <w:t>，</w:t>
            </w:r>
            <w:r>
              <w:rPr>
                <w:rFonts w:hint="default"/>
                <w:highlight w:val="none"/>
              </w:rPr>
              <w:t>1</w:t>
            </w:r>
            <w:r>
              <w:rPr>
                <w:rFonts w:hint="eastAsia"/>
                <w:highlight w:val="none"/>
                <w:lang w:eastAsia="zh-CN"/>
              </w:rPr>
              <w:t>，</w:t>
            </w:r>
            <w:r>
              <w:rPr>
                <w:rFonts w:hint="default"/>
                <w:highlight w:val="none"/>
              </w:rPr>
              <w:t>2</w:t>
            </w:r>
            <w:r>
              <w:rPr>
                <w:rFonts w:hint="eastAsia"/>
                <w:highlight w:val="none"/>
                <w:lang w:eastAsia="zh-CN"/>
              </w:rPr>
              <w:t>，</w:t>
            </w:r>
            <w:r>
              <w:rPr>
                <w:rFonts w:hint="default"/>
                <w:highlight w:val="none"/>
              </w:rPr>
              <w:t>2-四氯乙烷</w:t>
            </w:r>
          </w:p>
        </w:tc>
        <w:tc>
          <w:tcPr>
            <w:tcW w:w="583" w:type="pct"/>
            <w:tcBorders>
              <w:tl2br w:val="nil"/>
              <w:tr2bl w:val="nil"/>
            </w:tcBorders>
            <w:shd w:val="clear" w:color="auto" w:fill="auto"/>
            <w:vAlign w:val="center"/>
          </w:tcPr>
          <w:p w14:paraId="5C979326">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0.088</w:t>
            </w:r>
          </w:p>
        </w:tc>
        <w:tc>
          <w:tcPr>
            <w:tcW w:w="880" w:type="pct"/>
            <w:tcBorders>
              <w:tl2br w:val="nil"/>
              <w:tr2bl w:val="nil"/>
            </w:tcBorders>
            <w:shd w:val="clear" w:color="auto" w:fill="auto"/>
            <w:vAlign w:val="center"/>
          </w:tcPr>
          <w:p w14:paraId="700B7626">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0.088</w:t>
            </w:r>
          </w:p>
        </w:tc>
        <w:tc>
          <w:tcPr>
            <w:tcW w:w="624" w:type="pct"/>
            <w:tcBorders>
              <w:tl2br w:val="nil"/>
              <w:tr2bl w:val="nil"/>
            </w:tcBorders>
            <w:shd w:val="clear" w:color="auto" w:fill="auto"/>
            <w:vAlign w:val="center"/>
          </w:tcPr>
          <w:p w14:paraId="1475ABBC">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0.088</w:t>
            </w:r>
          </w:p>
        </w:tc>
        <w:tc>
          <w:tcPr>
            <w:tcW w:w="606" w:type="pct"/>
            <w:tcBorders>
              <w:tl2br w:val="nil"/>
              <w:tr2bl w:val="nil"/>
            </w:tcBorders>
            <w:shd w:val="clear" w:color="auto" w:fill="auto"/>
            <w:vAlign w:val="center"/>
          </w:tcPr>
          <w:p w14:paraId="74E64B87">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0.088</w:t>
            </w:r>
          </w:p>
        </w:tc>
        <w:tc>
          <w:tcPr>
            <w:tcW w:w="718" w:type="pct"/>
            <w:tcBorders>
              <w:tl2br w:val="nil"/>
              <w:tr2bl w:val="nil"/>
            </w:tcBorders>
            <w:shd w:val="clear" w:color="auto" w:fill="auto"/>
            <w:vAlign w:val="center"/>
          </w:tcPr>
          <w:p w14:paraId="797735C2">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6.8</w:t>
            </w:r>
          </w:p>
        </w:tc>
        <w:tc>
          <w:tcPr>
            <w:tcW w:w="364" w:type="pct"/>
            <w:tcBorders>
              <w:tl2br w:val="nil"/>
              <w:tr2bl w:val="nil"/>
            </w:tcBorders>
            <w:shd w:val="clear" w:color="auto" w:fill="auto"/>
            <w:vAlign w:val="center"/>
          </w:tcPr>
          <w:p w14:paraId="59775854">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clear" w:color="auto" w:fill="auto"/>
            <w:vAlign w:val="center"/>
          </w:tcPr>
          <w:p w14:paraId="21D2D083">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r w14:paraId="02FF1F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auto"/>
            <w:vAlign w:val="center"/>
          </w:tcPr>
          <w:p w14:paraId="222FEE5A">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四氯乙烯</w:t>
            </w:r>
          </w:p>
        </w:tc>
        <w:tc>
          <w:tcPr>
            <w:tcW w:w="583" w:type="pct"/>
            <w:tcBorders>
              <w:tl2br w:val="nil"/>
              <w:tr2bl w:val="nil"/>
            </w:tcBorders>
            <w:shd w:val="clear" w:color="auto" w:fill="auto"/>
            <w:vAlign w:val="center"/>
          </w:tcPr>
          <w:p w14:paraId="4A362593">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0.013</w:t>
            </w:r>
          </w:p>
        </w:tc>
        <w:tc>
          <w:tcPr>
            <w:tcW w:w="880" w:type="pct"/>
            <w:tcBorders>
              <w:tl2br w:val="nil"/>
              <w:tr2bl w:val="nil"/>
            </w:tcBorders>
            <w:shd w:val="clear" w:color="auto" w:fill="auto"/>
            <w:vAlign w:val="center"/>
          </w:tcPr>
          <w:p w14:paraId="4188BE01">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0.013</w:t>
            </w:r>
          </w:p>
        </w:tc>
        <w:tc>
          <w:tcPr>
            <w:tcW w:w="624" w:type="pct"/>
            <w:tcBorders>
              <w:tl2br w:val="nil"/>
              <w:tr2bl w:val="nil"/>
            </w:tcBorders>
            <w:shd w:val="clear" w:color="auto" w:fill="auto"/>
            <w:vAlign w:val="center"/>
          </w:tcPr>
          <w:p w14:paraId="31B078BA">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0.013</w:t>
            </w:r>
          </w:p>
        </w:tc>
        <w:tc>
          <w:tcPr>
            <w:tcW w:w="606" w:type="pct"/>
            <w:tcBorders>
              <w:tl2br w:val="nil"/>
              <w:tr2bl w:val="nil"/>
            </w:tcBorders>
            <w:shd w:val="clear" w:color="auto" w:fill="auto"/>
            <w:vAlign w:val="center"/>
          </w:tcPr>
          <w:p w14:paraId="5377430A">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0.013</w:t>
            </w:r>
          </w:p>
        </w:tc>
        <w:tc>
          <w:tcPr>
            <w:tcW w:w="718" w:type="pct"/>
            <w:tcBorders>
              <w:tl2br w:val="nil"/>
              <w:tr2bl w:val="nil"/>
            </w:tcBorders>
            <w:shd w:val="clear" w:color="auto" w:fill="auto"/>
            <w:vAlign w:val="center"/>
          </w:tcPr>
          <w:p w14:paraId="6A9BBC91">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53</w:t>
            </w:r>
          </w:p>
        </w:tc>
        <w:tc>
          <w:tcPr>
            <w:tcW w:w="364" w:type="pct"/>
            <w:tcBorders>
              <w:tl2br w:val="nil"/>
              <w:tr2bl w:val="nil"/>
            </w:tcBorders>
            <w:shd w:val="clear" w:color="auto" w:fill="auto"/>
            <w:vAlign w:val="center"/>
          </w:tcPr>
          <w:p w14:paraId="68C02EDB">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clear" w:color="auto" w:fill="auto"/>
            <w:vAlign w:val="center"/>
          </w:tcPr>
          <w:p w14:paraId="041163D2">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r w14:paraId="070034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auto"/>
            <w:vAlign w:val="center"/>
          </w:tcPr>
          <w:p w14:paraId="154A809C">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1</w:t>
            </w:r>
            <w:r>
              <w:rPr>
                <w:rFonts w:hint="eastAsia"/>
                <w:highlight w:val="none"/>
                <w:lang w:eastAsia="zh-CN"/>
              </w:rPr>
              <w:t>，</w:t>
            </w:r>
            <w:r>
              <w:rPr>
                <w:rFonts w:hint="default"/>
                <w:highlight w:val="none"/>
              </w:rPr>
              <w:t>1</w:t>
            </w:r>
            <w:r>
              <w:rPr>
                <w:rFonts w:hint="eastAsia"/>
                <w:highlight w:val="none"/>
                <w:lang w:eastAsia="zh-CN"/>
              </w:rPr>
              <w:t>，</w:t>
            </w:r>
            <w:r>
              <w:rPr>
                <w:rFonts w:hint="default"/>
                <w:highlight w:val="none"/>
              </w:rPr>
              <w:t>1-三氯乙烷</w:t>
            </w:r>
          </w:p>
        </w:tc>
        <w:tc>
          <w:tcPr>
            <w:tcW w:w="583" w:type="pct"/>
            <w:tcBorders>
              <w:tl2br w:val="nil"/>
              <w:tr2bl w:val="nil"/>
            </w:tcBorders>
            <w:shd w:val="clear" w:color="auto" w:fill="auto"/>
            <w:vAlign w:val="center"/>
          </w:tcPr>
          <w:p w14:paraId="1FDC5E61">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0.001</w:t>
            </w:r>
          </w:p>
        </w:tc>
        <w:tc>
          <w:tcPr>
            <w:tcW w:w="880" w:type="pct"/>
            <w:tcBorders>
              <w:tl2br w:val="nil"/>
              <w:tr2bl w:val="nil"/>
            </w:tcBorders>
            <w:shd w:val="clear" w:color="auto" w:fill="auto"/>
            <w:vAlign w:val="center"/>
          </w:tcPr>
          <w:p w14:paraId="70F27522">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0.001</w:t>
            </w:r>
          </w:p>
        </w:tc>
        <w:tc>
          <w:tcPr>
            <w:tcW w:w="624" w:type="pct"/>
            <w:tcBorders>
              <w:tl2br w:val="nil"/>
              <w:tr2bl w:val="nil"/>
            </w:tcBorders>
            <w:shd w:val="clear" w:color="auto" w:fill="auto"/>
            <w:vAlign w:val="center"/>
          </w:tcPr>
          <w:p w14:paraId="302FEB69">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0.001</w:t>
            </w:r>
          </w:p>
        </w:tc>
        <w:tc>
          <w:tcPr>
            <w:tcW w:w="606" w:type="pct"/>
            <w:tcBorders>
              <w:tl2br w:val="nil"/>
              <w:tr2bl w:val="nil"/>
            </w:tcBorders>
            <w:shd w:val="clear" w:color="auto" w:fill="auto"/>
            <w:vAlign w:val="center"/>
          </w:tcPr>
          <w:p w14:paraId="0A126BCE">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0.001</w:t>
            </w:r>
          </w:p>
        </w:tc>
        <w:tc>
          <w:tcPr>
            <w:tcW w:w="718" w:type="pct"/>
            <w:tcBorders>
              <w:tl2br w:val="nil"/>
              <w:tr2bl w:val="nil"/>
            </w:tcBorders>
            <w:shd w:val="clear" w:color="auto" w:fill="auto"/>
            <w:vAlign w:val="center"/>
          </w:tcPr>
          <w:p w14:paraId="6DB8E0F2">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840</w:t>
            </w:r>
          </w:p>
        </w:tc>
        <w:tc>
          <w:tcPr>
            <w:tcW w:w="364" w:type="pct"/>
            <w:tcBorders>
              <w:tl2br w:val="nil"/>
              <w:tr2bl w:val="nil"/>
            </w:tcBorders>
            <w:shd w:val="clear" w:color="auto" w:fill="auto"/>
            <w:vAlign w:val="center"/>
          </w:tcPr>
          <w:p w14:paraId="5F3BC79A">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clear" w:color="auto" w:fill="auto"/>
            <w:vAlign w:val="center"/>
          </w:tcPr>
          <w:p w14:paraId="7C5F375D">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r w14:paraId="41FD19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FFFFFF"/>
            <w:vAlign w:val="center"/>
          </w:tcPr>
          <w:p w14:paraId="249676D3">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1</w:t>
            </w:r>
            <w:r>
              <w:rPr>
                <w:rFonts w:hint="eastAsia"/>
                <w:highlight w:val="none"/>
                <w:lang w:eastAsia="zh-CN"/>
              </w:rPr>
              <w:t>，</w:t>
            </w:r>
            <w:r>
              <w:rPr>
                <w:rFonts w:hint="default"/>
                <w:highlight w:val="none"/>
              </w:rPr>
              <w:t>1</w:t>
            </w:r>
            <w:r>
              <w:rPr>
                <w:rFonts w:hint="eastAsia"/>
                <w:highlight w:val="none"/>
                <w:lang w:eastAsia="zh-CN"/>
              </w:rPr>
              <w:t>，</w:t>
            </w:r>
            <w:r>
              <w:rPr>
                <w:rFonts w:hint="default"/>
                <w:highlight w:val="none"/>
              </w:rPr>
              <w:t>2-三氯乙烷</w:t>
            </w:r>
          </w:p>
        </w:tc>
        <w:tc>
          <w:tcPr>
            <w:tcW w:w="583" w:type="pct"/>
            <w:tcBorders>
              <w:tl2br w:val="nil"/>
              <w:tr2bl w:val="nil"/>
            </w:tcBorders>
            <w:shd w:val="solid" w:color="FFFFFF" w:fill="auto"/>
            <w:vAlign w:val="center"/>
          </w:tcPr>
          <w:p w14:paraId="339D0ACC">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0.214</w:t>
            </w:r>
          </w:p>
        </w:tc>
        <w:tc>
          <w:tcPr>
            <w:tcW w:w="880" w:type="pct"/>
            <w:tcBorders>
              <w:tl2br w:val="nil"/>
              <w:tr2bl w:val="nil"/>
            </w:tcBorders>
            <w:shd w:val="solid" w:color="FFFFFF" w:fill="auto"/>
            <w:vAlign w:val="center"/>
          </w:tcPr>
          <w:p w14:paraId="03B2E5C4">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0.214</w:t>
            </w:r>
          </w:p>
        </w:tc>
        <w:tc>
          <w:tcPr>
            <w:tcW w:w="624" w:type="pct"/>
            <w:tcBorders>
              <w:tl2br w:val="nil"/>
              <w:tr2bl w:val="nil"/>
            </w:tcBorders>
            <w:shd w:val="solid" w:color="FFFFFF" w:fill="auto"/>
            <w:vAlign w:val="center"/>
          </w:tcPr>
          <w:p w14:paraId="338F9645">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0.214</w:t>
            </w:r>
          </w:p>
        </w:tc>
        <w:tc>
          <w:tcPr>
            <w:tcW w:w="606" w:type="pct"/>
            <w:tcBorders>
              <w:tl2br w:val="nil"/>
              <w:tr2bl w:val="nil"/>
            </w:tcBorders>
            <w:shd w:val="solid" w:color="FFFFFF" w:fill="auto"/>
            <w:vAlign w:val="center"/>
          </w:tcPr>
          <w:p w14:paraId="2835C266">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0.214</w:t>
            </w:r>
          </w:p>
        </w:tc>
        <w:tc>
          <w:tcPr>
            <w:tcW w:w="718" w:type="pct"/>
            <w:tcBorders>
              <w:tl2br w:val="nil"/>
              <w:tr2bl w:val="nil"/>
            </w:tcBorders>
            <w:shd w:val="solid" w:color="FFFFFF" w:fill="auto"/>
            <w:vAlign w:val="center"/>
          </w:tcPr>
          <w:p w14:paraId="7246ED7C">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2.8</w:t>
            </w:r>
          </w:p>
        </w:tc>
        <w:tc>
          <w:tcPr>
            <w:tcW w:w="364" w:type="pct"/>
            <w:tcBorders>
              <w:tl2br w:val="nil"/>
              <w:tr2bl w:val="nil"/>
            </w:tcBorders>
            <w:shd w:val="solid" w:color="FFFFFF" w:fill="auto"/>
            <w:vAlign w:val="center"/>
          </w:tcPr>
          <w:p w14:paraId="7E73EE51">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solid" w:color="FFFFFF" w:fill="auto"/>
            <w:vAlign w:val="center"/>
          </w:tcPr>
          <w:p w14:paraId="6CD4654C">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r w14:paraId="4433F7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FFFFFF"/>
            <w:vAlign w:val="center"/>
          </w:tcPr>
          <w:p w14:paraId="4CA7CA24">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三氯乙烯</w:t>
            </w:r>
          </w:p>
        </w:tc>
        <w:tc>
          <w:tcPr>
            <w:tcW w:w="583" w:type="pct"/>
            <w:tcBorders>
              <w:tl2br w:val="nil"/>
              <w:tr2bl w:val="nil"/>
            </w:tcBorders>
            <w:shd w:val="solid" w:color="FFFFFF" w:fill="auto"/>
            <w:vAlign w:val="center"/>
          </w:tcPr>
          <w:p w14:paraId="203C24EF">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0.214</w:t>
            </w:r>
          </w:p>
        </w:tc>
        <w:tc>
          <w:tcPr>
            <w:tcW w:w="880" w:type="pct"/>
            <w:tcBorders>
              <w:tl2br w:val="nil"/>
              <w:tr2bl w:val="nil"/>
            </w:tcBorders>
            <w:shd w:val="solid" w:color="FFFFFF" w:fill="auto"/>
            <w:vAlign w:val="center"/>
          </w:tcPr>
          <w:p w14:paraId="575C534A">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0.214</w:t>
            </w:r>
          </w:p>
        </w:tc>
        <w:tc>
          <w:tcPr>
            <w:tcW w:w="624" w:type="pct"/>
            <w:tcBorders>
              <w:tl2br w:val="nil"/>
              <w:tr2bl w:val="nil"/>
            </w:tcBorders>
            <w:shd w:val="solid" w:color="FFFFFF" w:fill="auto"/>
            <w:vAlign w:val="center"/>
          </w:tcPr>
          <w:p w14:paraId="04200E0C">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0.214</w:t>
            </w:r>
          </w:p>
        </w:tc>
        <w:tc>
          <w:tcPr>
            <w:tcW w:w="606" w:type="pct"/>
            <w:tcBorders>
              <w:tl2br w:val="nil"/>
              <w:tr2bl w:val="nil"/>
            </w:tcBorders>
            <w:shd w:val="solid" w:color="FFFFFF" w:fill="auto"/>
            <w:vAlign w:val="center"/>
          </w:tcPr>
          <w:p w14:paraId="728218E3">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0.214</w:t>
            </w:r>
          </w:p>
        </w:tc>
        <w:tc>
          <w:tcPr>
            <w:tcW w:w="718" w:type="pct"/>
            <w:tcBorders>
              <w:tl2br w:val="nil"/>
              <w:tr2bl w:val="nil"/>
            </w:tcBorders>
            <w:shd w:val="solid" w:color="FFFFFF" w:fill="auto"/>
            <w:vAlign w:val="center"/>
          </w:tcPr>
          <w:p w14:paraId="7BD4C380">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2.8</w:t>
            </w:r>
          </w:p>
        </w:tc>
        <w:tc>
          <w:tcPr>
            <w:tcW w:w="364" w:type="pct"/>
            <w:tcBorders>
              <w:tl2br w:val="nil"/>
              <w:tr2bl w:val="nil"/>
            </w:tcBorders>
            <w:shd w:val="solid" w:color="FFFFFF" w:fill="auto"/>
            <w:vAlign w:val="center"/>
          </w:tcPr>
          <w:p w14:paraId="7BF73D69">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solid" w:color="FFFFFF" w:fill="auto"/>
            <w:vAlign w:val="center"/>
          </w:tcPr>
          <w:p w14:paraId="1750E0DE">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r w14:paraId="32D7FA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FFFFFF"/>
            <w:vAlign w:val="center"/>
          </w:tcPr>
          <w:p w14:paraId="4467CDEA">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1</w:t>
            </w:r>
            <w:r>
              <w:rPr>
                <w:rFonts w:hint="eastAsia"/>
                <w:highlight w:val="none"/>
                <w:lang w:eastAsia="zh-CN"/>
              </w:rPr>
              <w:t>，</w:t>
            </w:r>
            <w:r>
              <w:rPr>
                <w:rFonts w:hint="default"/>
                <w:highlight w:val="none"/>
              </w:rPr>
              <w:t>2</w:t>
            </w:r>
            <w:r>
              <w:rPr>
                <w:rFonts w:hint="eastAsia"/>
                <w:highlight w:val="none"/>
                <w:lang w:eastAsia="zh-CN"/>
              </w:rPr>
              <w:t>，</w:t>
            </w:r>
            <w:r>
              <w:rPr>
                <w:rFonts w:hint="default"/>
                <w:highlight w:val="none"/>
              </w:rPr>
              <w:t>3-三氯丙烷</w:t>
            </w:r>
          </w:p>
        </w:tc>
        <w:tc>
          <w:tcPr>
            <w:tcW w:w="583" w:type="pct"/>
            <w:tcBorders>
              <w:tl2br w:val="nil"/>
              <w:tr2bl w:val="nil"/>
            </w:tcBorders>
            <w:shd w:val="solid" w:color="FFFFFF" w:fill="auto"/>
            <w:vAlign w:val="center"/>
          </w:tcPr>
          <w:p w14:paraId="1E926AF6">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1.200</w:t>
            </w:r>
          </w:p>
        </w:tc>
        <w:tc>
          <w:tcPr>
            <w:tcW w:w="880" w:type="pct"/>
            <w:tcBorders>
              <w:tl2br w:val="nil"/>
              <w:tr2bl w:val="nil"/>
            </w:tcBorders>
            <w:shd w:val="solid" w:color="FFFFFF" w:fill="auto"/>
            <w:vAlign w:val="center"/>
          </w:tcPr>
          <w:p w14:paraId="2EEECA64">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1.200</w:t>
            </w:r>
          </w:p>
        </w:tc>
        <w:tc>
          <w:tcPr>
            <w:tcW w:w="624" w:type="pct"/>
            <w:tcBorders>
              <w:tl2br w:val="nil"/>
              <w:tr2bl w:val="nil"/>
            </w:tcBorders>
            <w:shd w:val="solid" w:color="FFFFFF" w:fill="auto"/>
            <w:vAlign w:val="center"/>
          </w:tcPr>
          <w:p w14:paraId="44DAAB2B">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1.200</w:t>
            </w:r>
          </w:p>
        </w:tc>
        <w:tc>
          <w:tcPr>
            <w:tcW w:w="606" w:type="pct"/>
            <w:tcBorders>
              <w:tl2br w:val="nil"/>
              <w:tr2bl w:val="nil"/>
            </w:tcBorders>
            <w:shd w:val="solid" w:color="FFFFFF" w:fill="auto"/>
            <w:vAlign w:val="center"/>
          </w:tcPr>
          <w:p w14:paraId="06C98A97">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1.200</w:t>
            </w:r>
          </w:p>
        </w:tc>
        <w:tc>
          <w:tcPr>
            <w:tcW w:w="718" w:type="pct"/>
            <w:tcBorders>
              <w:tl2br w:val="nil"/>
              <w:tr2bl w:val="nil"/>
            </w:tcBorders>
            <w:shd w:val="solid" w:color="FFFFFF" w:fill="auto"/>
            <w:vAlign w:val="center"/>
          </w:tcPr>
          <w:p w14:paraId="1CFB5A7A">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0.5</w:t>
            </w:r>
          </w:p>
        </w:tc>
        <w:tc>
          <w:tcPr>
            <w:tcW w:w="364" w:type="pct"/>
            <w:tcBorders>
              <w:tl2br w:val="nil"/>
              <w:tr2bl w:val="nil"/>
            </w:tcBorders>
            <w:shd w:val="solid" w:color="FFFFFF" w:fill="auto"/>
            <w:vAlign w:val="center"/>
          </w:tcPr>
          <w:p w14:paraId="47B50E3E">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solid" w:color="FFFFFF" w:fill="auto"/>
            <w:vAlign w:val="center"/>
          </w:tcPr>
          <w:p w14:paraId="79DE3412">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r w14:paraId="0A345A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FFFFFF"/>
            <w:vAlign w:val="center"/>
          </w:tcPr>
          <w:p w14:paraId="0223C558">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氯乙烯</w:t>
            </w:r>
          </w:p>
        </w:tc>
        <w:tc>
          <w:tcPr>
            <w:tcW w:w="583" w:type="pct"/>
            <w:tcBorders>
              <w:tl2br w:val="nil"/>
              <w:tr2bl w:val="nil"/>
            </w:tcBorders>
            <w:shd w:val="solid" w:color="FFFFFF" w:fill="auto"/>
            <w:vAlign w:val="center"/>
          </w:tcPr>
          <w:p w14:paraId="263379F7">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1.163</w:t>
            </w:r>
          </w:p>
        </w:tc>
        <w:tc>
          <w:tcPr>
            <w:tcW w:w="880" w:type="pct"/>
            <w:tcBorders>
              <w:tl2br w:val="nil"/>
              <w:tr2bl w:val="nil"/>
            </w:tcBorders>
            <w:shd w:val="solid" w:color="FFFFFF" w:fill="auto"/>
            <w:vAlign w:val="center"/>
          </w:tcPr>
          <w:p w14:paraId="0ABCF4D5">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1.163</w:t>
            </w:r>
          </w:p>
        </w:tc>
        <w:tc>
          <w:tcPr>
            <w:tcW w:w="624" w:type="pct"/>
            <w:tcBorders>
              <w:tl2br w:val="nil"/>
              <w:tr2bl w:val="nil"/>
            </w:tcBorders>
            <w:shd w:val="solid" w:color="FFFFFF" w:fill="auto"/>
            <w:vAlign w:val="center"/>
          </w:tcPr>
          <w:p w14:paraId="4CFEB2BA">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1.163</w:t>
            </w:r>
          </w:p>
        </w:tc>
        <w:tc>
          <w:tcPr>
            <w:tcW w:w="606" w:type="pct"/>
            <w:tcBorders>
              <w:tl2br w:val="nil"/>
              <w:tr2bl w:val="nil"/>
            </w:tcBorders>
            <w:shd w:val="solid" w:color="FFFFFF" w:fill="auto"/>
            <w:vAlign w:val="center"/>
          </w:tcPr>
          <w:p w14:paraId="25BC6B06">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1.163</w:t>
            </w:r>
          </w:p>
        </w:tc>
        <w:tc>
          <w:tcPr>
            <w:tcW w:w="718" w:type="pct"/>
            <w:tcBorders>
              <w:tl2br w:val="nil"/>
              <w:tr2bl w:val="nil"/>
            </w:tcBorders>
            <w:shd w:val="solid" w:color="FFFFFF" w:fill="auto"/>
            <w:vAlign w:val="center"/>
          </w:tcPr>
          <w:p w14:paraId="53ABD561">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0.43</w:t>
            </w:r>
          </w:p>
        </w:tc>
        <w:tc>
          <w:tcPr>
            <w:tcW w:w="364" w:type="pct"/>
            <w:tcBorders>
              <w:tl2br w:val="nil"/>
              <w:tr2bl w:val="nil"/>
            </w:tcBorders>
            <w:shd w:val="solid" w:color="FFFFFF" w:fill="auto"/>
            <w:vAlign w:val="center"/>
          </w:tcPr>
          <w:p w14:paraId="15FB7C32">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solid" w:color="FFFFFF" w:fill="auto"/>
            <w:vAlign w:val="center"/>
          </w:tcPr>
          <w:p w14:paraId="6DE9EA50">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r w14:paraId="3F15CF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FFFFFF"/>
            <w:vAlign w:val="center"/>
          </w:tcPr>
          <w:p w14:paraId="1771A262">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苯</w:t>
            </w:r>
          </w:p>
        </w:tc>
        <w:tc>
          <w:tcPr>
            <w:tcW w:w="583" w:type="pct"/>
            <w:tcBorders>
              <w:tl2br w:val="nil"/>
              <w:tr2bl w:val="nil"/>
            </w:tcBorders>
            <w:shd w:val="solid" w:color="FFFFFF" w:fill="auto"/>
            <w:vAlign w:val="center"/>
          </w:tcPr>
          <w:p w14:paraId="1D958840">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0.238</w:t>
            </w:r>
          </w:p>
        </w:tc>
        <w:tc>
          <w:tcPr>
            <w:tcW w:w="880" w:type="pct"/>
            <w:tcBorders>
              <w:tl2br w:val="nil"/>
              <w:tr2bl w:val="nil"/>
            </w:tcBorders>
            <w:shd w:val="solid" w:color="FFFFFF" w:fill="auto"/>
            <w:vAlign w:val="center"/>
          </w:tcPr>
          <w:p w14:paraId="15931223">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0.238</w:t>
            </w:r>
          </w:p>
        </w:tc>
        <w:tc>
          <w:tcPr>
            <w:tcW w:w="624" w:type="pct"/>
            <w:tcBorders>
              <w:tl2br w:val="nil"/>
              <w:tr2bl w:val="nil"/>
            </w:tcBorders>
            <w:shd w:val="solid" w:color="FFFFFF" w:fill="auto"/>
            <w:vAlign w:val="center"/>
          </w:tcPr>
          <w:p w14:paraId="02D4954D">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0.238</w:t>
            </w:r>
          </w:p>
        </w:tc>
        <w:tc>
          <w:tcPr>
            <w:tcW w:w="606" w:type="pct"/>
            <w:tcBorders>
              <w:tl2br w:val="nil"/>
              <w:tr2bl w:val="nil"/>
            </w:tcBorders>
            <w:shd w:val="solid" w:color="FFFFFF" w:fill="auto"/>
            <w:vAlign w:val="center"/>
          </w:tcPr>
          <w:p w14:paraId="1B304F85">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0.238</w:t>
            </w:r>
          </w:p>
        </w:tc>
        <w:tc>
          <w:tcPr>
            <w:tcW w:w="718" w:type="pct"/>
            <w:tcBorders>
              <w:tl2br w:val="nil"/>
              <w:tr2bl w:val="nil"/>
            </w:tcBorders>
            <w:shd w:val="solid" w:color="FFFFFF" w:fill="auto"/>
            <w:vAlign w:val="center"/>
          </w:tcPr>
          <w:p w14:paraId="189A1A25">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4</w:t>
            </w:r>
          </w:p>
        </w:tc>
        <w:tc>
          <w:tcPr>
            <w:tcW w:w="364" w:type="pct"/>
            <w:tcBorders>
              <w:tl2br w:val="nil"/>
              <w:tr2bl w:val="nil"/>
            </w:tcBorders>
            <w:shd w:val="solid" w:color="FFFFFF" w:fill="auto"/>
            <w:vAlign w:val="center"/>
          </w:tcPr>
          <w:p w14:paraId="7869C48F">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solid" w:color="FFFFFF" w:fill="auto"/>
            <w:vAlign w:val="center"/>
          </w:tcPr>
          <w:p w14:paraId="471F8638">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r w14:paraId="3E8BA8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FFFFFF"/>
            <w:vAlign w:val="center"/>
          </w:tcPr>
          <w:p w14:paraId="0FBF2B6A">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氯苯</w:t>
            </w:r>
          </w:p>
        </w:tc>
        <w:tc>
          <w:tcPr>
            <w:tcW w:w="583" w:type="pct"/>
            <w:tcBorders>
              <w:tl2br w:val="nil"/>
              <w:tr2bl w:val="nil"/>
            </w:tcBorders>
            <w:shd w:val="solid" w:color="FFFFFF" w:fill="auto"/>
            <w:vAlign w:val="center"/>
          </w:tcPr>
          <w:p w14:paraId="12D5F37E">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0.002</w:t>
            </w:r>
          </w:p>
        </w:tc>
        <w:tc>
          <w:tcPr>
            <w:tcW w:w="880" w:type="pct"/>
            <w:tcBorders>
              <w:tl2br w:val="nil"/>
              <w:tr2bl w:val="nil"/>
            </w:tcBorders>
            <w:shd w:val="solid" w:color="FFFFFF" w:fill="auto"/>
            <w:vAlign w:val="center"/>
          </w:tcPr>
          <w:p w14:paraId="3B56F4FA">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0.002</w:t>
            </w:r>
          </w:p>
        </w:tc>
        <w:tc>
          <w:tcPr>
            <w:tcW w:w="624" w:type="pct"/>
            <w:tcBorders>
              <w:tl2br w:val="nil"/>
              <w:tr2bl w:val="nil"/>
            </w:tcBorders>
            <w:shd w:val="solid" w:color="FFFFFF" w:fill="auto"/>
            <w:vAlign w:val="center"/>
          </w:tcPr>
          <w:p w14:paraId="182B89E2">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0.002</w:t>
            </w:r>
          </w:p>
        </w:tc>
        <w:tc>
          <w:tcPr>
            <w:tcW w:w="606" w:type="pct"/>
            <w:tcBorders>
              <w:tl2br w:val="nil"/>
              <w:tr2bl w:val="nil"/>
            </w:tcBorders>
            <w:shd w:val="solid" w:color="FFFFFF" w:fill="auto"/>
            <w:vAlign w:val="center"/>
          </w:tcPr>
          <w:p w14:paraId="132AF25F">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0.002</w:t>
            </w:r>
          </w:p>
        </w:tc>
        <w:tc>
          <w:tcPr>
            <w:tcW w:w="718" w:type="pct"/>
            <w:tcBorders>
              <w:tl2br w:val="nil"/>
              <w:tr2bl w:val="nil"/>
            </w:tcBorders>
            <w:shd w:val="solid" w:color="FFFFFF" w:fill="auto"/>
            <w:vAlign w:val="center"/>
          </w:tcPr>
          <w:p w14:paraId="6CC2E874">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270</w:t>
            </w:r>
          </w:p>
        </w:tc>
        <w:tc>
          <w:tcPr>
            <w:tcW w:w="364" w:type="pct"/>
            <w:tcBorders>
              <w:tl2br w:val="nil"/>
              <w:tr2bl w:val="nil"/>
            </w:tcBorders>
            <w:shd w:val="solid" w:color="FFFFFF" w:fill="auto"/>
            <w:vAlign w:val="center"/>
          </w:tcPr>
          <w:p w14:paraId="65C25DCE">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solid" w:color="FFFFFF" w:fill="auto"/>
            <w:vAlign w:val="center"/>
          </w:tcPr>
          <w:p w14:paraId="3A1F632A">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r w14:paraId="348F84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FFFFFF"/>
            <w:vAlign w:val="center"/>
          </w:tcPr>
          <w:p w14:paraId="0235BB9C">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1</w:t>
            </w:r>
            <w:r>
              <w:rPr>
                <w:rFonts w:hint="eastAsia"/>
                <w:highlight w:val="none"/>
                <w:lang w:eastAsia="zh-CN"/>
              </w:rPr>
              <w:t>，</w:t>
            </w:r>
            <w:r>
              <w:rPr>
                <w:rFonts w:hint="default"/>
                <w:highlight w:val="none"/>
              </w:rPr>
              <w:t>2-二氯苯</w:t>
            </w:r>
          </w:p>
        </w:tc>
        <w:tc>
          <w:tcPr>
            <w:tcW w:w="583" w:type="pct"/>
            <w:tcBorders>
              <w:tl2br w:val="nil"/>
              <w:tr2bl w:val="nil"/>
            </w:tcBorders>
            <w:shd w:val="solid" w:color="FFFFFF" w:fill="auto"/>
            <w:vAlign w:val="center"/>
          </w:tcPr>
          <w:p w14:paraId="552050C3">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0.001</w:t>
            </w:r>
          </w:p>
        </w:tc>
        <w:tc>
          <w:tcPr>
            <w:tcW w:w="880" w:type="pct"/>
            <w:tcBorders>
              <w:tl2br w:val="nil"/>
              <w:tr2bl w:val="nil"/>
            </w:tcBorders>
            <w:shd w:val="solid" w:color="FFFFFF" w:fill="auto"/>
            <w:vAlign w:val="center"/>
          </w:tcPr>
          <w:p w14:paraId="79A4F923">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0.001</w:t>
            </w:r>
          </w:p>
        </w:tc>
        <w:tc>
          <w:tcPr>
            <w:tcW w:w="624" w:type="pct"/>
            <w:tcBorders>
              <w:tl2br w:val="nil"/>
              <w:tr2bl w:val="nil"/>
            </w:tcBorders>
            <w:shd w:val="solid" w:color="FFFFFF" w:fill="auto"/>
            <w:vAlign w:val="center"/>
          </w:tcPr>
          <w:p w14:paraId="094B30AB">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0.001</w:t>
            </w:r>
          </w:p>
        </w:tc>
        <w:tc>
          <w:tcPr>
            <w:tcW w:w="606" w:type="pct"/>
            <w:tcBorders>
              <w:tl2br w:val="nil"/>
              <w:tr2bl w:val="nil"/>
            </w:tcBorders>
            <w:shd w:val="solid" w:color="FFFFFF" w:fill="auto"/>
            <w:vAlign w:val="center"/>
          </w:tcPr>
          <w:p w14:paraId="07EA7D73">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0.001</w:t>
            </w:r>
          </w:p>
        </w:tc>
        <w:tc>
          <w:tcPr>
            <w:tcW w:w="718" w:type="pct"/>
            <w:tcBorders>
              <w:tl2br w:val="nil"/>
              <w:tr2bl w:val="nil"/>
            </w:tcBorders>
            <w:shd w:val="solid" w:color="FFFFFF" w:fill="auto"/>
            <w:vAlign w:val="center"/>
          </w:tcPr>
          <w:p w14:paraId="009E1CFA">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560</w:t>
            </w:r>
          </w:p>
        </w:tc>
        <w:tc>
          <w:tcPr>
            <w:tcW w:w="364" w:type="pct"/>
            <w:tcBorders>
              <w:tl2br w:val="nil"/>
              <w:tr2bl w:val="nil"/>
            </w:tcBorders>
            <w:shd w:val="solid" w:color="FFFFFF" w:fill="auto"/>
            <w:vAlign w:val="center"/>
          </w:tcPr>
          <w:p w14:paraId="4BB808AA">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solid" w:color="FFFFFF" w:fill="auto"/>
            <w:vAlign w:val="center"/>
          </w:tcPr>
          <w:p w14:paraId="59C8AB7F">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r w14:paraId="55365A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FFFFFF"/>
            <w:vAlign w:val="center"/>
          </w:tcPr>
          <w:p w14:paraId="0545C229">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1</w:t>
            </w:r>
            <w:r>
              <w:rPr>
                <w:rFonts w:hint="eastAsia"/>
                <w:highlight w:val="none"/>
                <w:lang w:eastAsia="zh-CN"/>
              </w:rPr>
              <w:t>，</w:t>
            </w:r>
            <w:r>
              <w:rPr>
                <w:rFonts w:hint="default"/>
                <w:highlight w:val="none"/>
              </w:rPr>
              <w:t>4-二氯苯</w:t>
            </w:r>
          </w:p>
        </w:tc>
        <w:tc>
          <w:tcPr>
            <w:tcW w:w="583" w:type="pct"/>
            <w:tcBorders>
              <w:tl2br w:val="nil"/>
              <w:tr2bl w:val="nil"/>
            </w:tcBorders>
            <w:shd w:val="solid" w:color="FFFFFF" w:fill="auto"/>
            <w:vAlign w:val="center"/>
          </w:tcPr>
          <w:p w14:paraId="225BCB73">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0.038</w:t>
            </w:r>
          </w:p>
        </w:tc>
        <w:tc>
          <w:tcPr>
            <w:tcW w:w="880" w:type="pct"/>
            <w:tcBorders>
              <w:tl2br w:val="nil"/>
              <w:tr2bl w:val="nil"/>
            </w:tcBorders>
            <w:shd w:val="solid" w:color="FFFFFF" w:fill="auto"/>
            <w:vAlign w:val="center"/>
          </w:tcPr>
          <w:p w14:paraId="69BCE6DE">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0.038</w:t>
            </w:r>
          </w:p>
        </w:tc>
        <w:tc>
          <w:tcPr>
            <w:tcW w:w="624" w:type="pct"/>
            <w:tcBorders>
              <w:tl2br w:val="nil"/>
              <w:tr2bl w:val="nil"/>
            </w:tcBorders>
            <w:shd w:val="solid" w:color="FFFFFF" w:fill="auto"/>
            <w:vAlign w:val="center"/>
          </w:tcPr>
          <w:p w14:paraId="6178E9FA">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0.038</w:t>
            </w:r>
          </w:p>
        </w:tc>
        <w:tc>
          <w:tcPr>
            <w:tcW w:w="606" w:type="pct"/>
            <w:tcBorders>
              <w:tl2br w:val="nil"/>
              <w:tr2bl w:val="nil"/>
            </w:tcBorders>
            <w:shd w:val="solid" w:color="FFFFFF" w:fill="auto"/>
            <w:vAlign w:val="center"/>
          </w:tcPr>
          <w:p w14:paraId="544164D5">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0.038</w:t>
            </w:r>
          </w:p>
        </w:tc>
        <w:tc>
          <w:tcPr>
            <w:tcW w:w="718" w:type="pct"/>
            <w:tcBorders>
              <w:tl2br w:val="nil"/>
              <w:tr2bl w:val="nil"/>
            </w:tcBorders>
            <w:shd w:val="solid" w:color="FFFFFF" w:fill="auto"/>
            <w:vAlign w:val="center"/>
          </w:tcPr>
          <w:p w14:paraId="361403A1">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20</w:t>
            </w:r>
          </w:p>
        </w:tc>
        <w:tc>
          <w:tcPr>
            <w:tcW w:w="364" w:type="pct"/>
            <w:tcBorders>
              <w:tl2br w:val="nil"/>
              <w:tr2bl w:val="nil"/>
            </w:tcBorders>
            <w:shd w:val="solid" w:color="FFFFFF" w:fill="auto"/>
            <w:vAlign w:val="center"/>
          </w:tcPr>
          <w:p w14:paraId="1AB8C70A">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solid" w:color="FFFFFF" w:fill="auto"/>
            <w:vAlign w:val="center"/>
          </w:tcPr>
          <w:p w14:paraId="45E19F5E">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r w14:paraId="353C86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FFFFFF"/>
            <w:vAlign w:val="center"/>
          </w:tcPr>
          <w:p w14:paraId="0D7E915D">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乙苯</w:t>
            </w:r>
          </w:p>
        </w:tc>
        <w:tc>
          <w:tcPr>
            <w:tcW w:w="583" w:type="pct"/>
            <w:tcBorders>
              <w:tl2br w:val="nil"/>
              <w:tr2bl w:val="nil"/>
            </w:tcBorders>
            <w:shd w:val="solid" w:color="FFFFFF" w:fill="auto"/>
            <w:vAlign w:val="center"/>
          </w:tcPr>
          <w:p w14:paraId="7DFF3C00">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0.021</w:t>
            </w:r>
          </w:p>
        </w:tc>
        <w:tc>
          <w:tcPr>
            <w:tcW w:w="880" w:type="pct"/>
            <w:tcBorders>
              <w:tl2br w:val="nil"/>
              <w:tr2bl w:val="nil"/>
            </w:tcBorders>
            <w:shd w:val="solid" w:color="FFFFFF" w:fill="auto"/>
            <w:vAlign w:val="center"/>
          </w:tcPr>
          <w:p w14:paraId="37B6CE10">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0.021</w:t>
            </w:r>
          </w:p>
        </w:tc>
        <w:tc>
          <w:tcPr>
            <w:tcW w:w="624" w:type="pct"/>
            <w:tcBorders>
              <w:tl2br w:val="nil"/>
              <w:tr2bl w:val="nil"/>
            </w:tcBorders>
            <w:shd w:val="solid" w:color="FFFFFF" w:fill="auto"/>
            <w:vAlign w:val="center"/>
          </w:tcPr>
          <w:p w14:paraId="765C54F1">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0.021</w:t>
            </w:r>
          </w:p>
        </w:tc>
        <w:tc>
          <w:tcPr>
            <w:tcW w:w="606" w:type="pct"/>
            <w:tcBorders>
              <w:tl2br w:val="nil"/>
              <w:tr2bl w:val="nil"/>
            </w:tcBorders>
            <w:shd w:val="solid" w:color="FFFFFF" w:fill="auto"/>
            <w:vAlign w:val="center"/>
          </w:tcPr>
          <w:p w14:paraId="5E82DA79">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0.021</w:t>
            </w:r>
          </w:p>
        </w:tc>
        <w:tc>
          <w:tcPr>
            <w:tcW w:w="718" w:type="pct"/>
            <w:tcBorders>
              <w:tl2br w:val="nil"/>
              <w:tr2bl w:val="nil"/>
            </w:tcBorders>
            <w:shd w:val="solid" w:color="FFFFFF" w:fill="auto"/>
            <w:vAlign w:val="center"/>
          </w:tcPr>
          <w:p w14:paraId="2FA9F9FD">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28</w:t>
            </w:r>
          </w:p>
        </w:tc>
        <w:tc>
          <w:tcPr>
            <w:tcW w:w="364" w:type="pct"/>
            <w:tcBorders>
              <w:tl2br w:val="nil"/>
              <w:tr2bl w:val="nil"/>
            </w:tcBorders>
            <w:shd w:val="solid" w:color="FFFFFF" w:fill="auto"/>
            <w:vAlign w:val="center"/>
          </w:tcPr>
          <w:p w14:paraId="0AC518D0">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solid" w:color="FFFFFF" w:fill="auto"/>
            <w:vAlign w:val="center"/>
          </w:tcPr>
          <w:p w14:paraId="56AE55C6">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r w14:paraId="4354FD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auto"/>
            <w:vAlign w:val="center"/>
          </w:tcPr>
          <w:p w14:paraId="002EEA28">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苯乙烯</w:t>
            </w:r>
          </w:p>
        </w:tc>
        <w:tc>
          <w:tcPr>
            <w:tcW w:w="583" w:type="pct"/>
            <w:tcBorders>
              <w:tl2br w:val="nil"/>
              <w:tr2bl w:val="nil"/>
            </w:tcBorders>
            <w:shd w:val="clear" w:color="auto" w:fill="auto"/>
            <w:vAlign w:val="center"/>
          </w:tcPr>
          <w:p w14:paraId="53B69547">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0.000</w:t>
            </w:r>
          </w:p>
        </w:tc>
        <w:tc>
          <w:tcPr>
            <w:tcW w:w="880" w:type="pct"/>
            <w:tcBorders>
              <w:tl2br w:val="nil"/>
              <w:tr2bl w:val="nil"/>
            </w:tcBorders>
            <w:shd w:val="clear" w:color="auto" w:fill="auto"/>
            <w:vAlign w:val="center"/>
          </w:tcPr>
          <w:p w14:paraId="68172E48">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0.000</w:t>
            </w:r>
          </w:p>
        </w:tc>
        <w:tc>
          <w:tcPr>
            <w:tcW w:w="624" w:type="pct"/>
            <w:tcBorders>
              <w:tl2br w:val="nil"/>
              <w:tr2bl w:val="nil"/>
            </w:tcBorders>
            <w:shd w:val="clear" w:color="auto" w:fill="auto"/>
            <w:vAlign w:val="center"/>
          </w:tcPr>
          <w:p w14:paraId="5DB12FDE">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0.000</w:t>
            </w:r>
          </w:p>
        </w:tc>
        <w:tc>
          <w:tcPr>
            <w:tcW w:w="606" w:type="pct"/>
            <w:tcBorders>
              <w:tl2br w:val="nil"/>
              <w:tr2bl w:val="nil"/>
            </w:tcBorders>
            <w:shd w:val="clear" w:color="auto" w:fill="auto"/>
            <w:vAlign w:val="center"/>
          </w:tcPr>
          <w:p w14:paraId="3280BCBD">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0.000</w:t>
            </w:r>
          </w:p>
        </w:tc>
        <w:tc>
          <w:tcPr>
            <w:tcW w:w="718" w:type="pct"/>
            <w:tcBorders>
              <w:tl2br w:val="nil"/>
              <w:tr2bl w:val="nil"/>
            </w:tcBorders>
            <w:shd w:val="clear" w:color="auto" w:fill="auto"/>
            <w:vAlign w:val="center"/>
          </w:tcPr>
          <w:p w14:paraId="0757E34C">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1290</w:t>
            </w:r>
          </w:p>
        </w:tc>
        <w:tc>
          <w:tcPr>
            <w:tcW w:w="364" w:type="pct"/>
            <w:tcBorders>
              <w:tl2br w:val="nil"/>
              <w:tr2bl w:val="nil"/>
            </w:tcBorders>
            <w:shd w:val="clear" w:color="auto" w:fill="auto"/>
            <w:vAlign w:val="center"/>
          </w:tcPr>
          <w:p w14:paraId="3A5B0EDC">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clear" w:color="auto" w:fill="auto"/>
            <w:vAlign w:val="center"/>
          </w:tcPr>
          <w:p w14:paraId="06D3439F">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r w14:paraId="1B2B62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auto"/>
            <w:vAlign w:val="center"/>
          </w:tcPr>
          <w:p w14:paraId="5FFAB650">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甲苯</w:t>
            </w:r>
          </w:p>
        </w:tc>
        <w:tc>
          <w:tcPr>
            <w:tcW w:w="583" w:type="pct"/>
            <w:tcBorders>
              <w:tl2br w:val="nil"/>
              <w:tr2bl w:val="nil"/>
            </w:tcBorders>
            <w:shd w:val="clear" w:color="auto" w:fill="auto"/>
            <w:vAlign w:val="center"/>
          </w:tcPr>
          <w:p w14:paraId="54147DD5">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0.001</w:t>
            </w:r>
          </w:p>
        </w:tc>
        <w:tc>
          <w:tcPr>
            <w:tcW w:w="880" w:type="pct"/>
            <w:tcBorders>
              <w:tl2br w:val="nil"/>
              <w:tr2bl w:val="nil"/>
            </w:tcBorders>
            <w:shd w:val="clear" w:color="auto" w:fill="auto"/>
            <w:vAlign w:val="center"/>
          </w:tcPr>
          <w:p w14:paraId="55A87424">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0.001</w:t>
            </w:r>
          </w:p>
        </w:tc>
        <w:tc>
          <w:tcPr>
            <w:tcW w:w="624" w:type="pct"/>
            <w:tcBorders>
              <w:tl2br w:val="nil"/>
              <w:tr2bl w:val="nil"/>
            </w:tcBorders>
            <w:shd w:val="clear" w:color="auto" w:fill="auto"/>
            <w:vAlign w:val="center"/>
          </w:tcPr>
          <w:p w14:paraId="219AC336">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0.001</w:t>
            </w:r>
          </w:p>
        </w:tc>
        <w:tc>
          <w:tcPr>
            <w:tcW w:w="606" w:type="pct"/>
            <w:tcBorders>
              <w:tl2br w:val="nil"/>
              <w:tr2bl w:val="nil"/>
            </w:tcBorders>
            <w:shd w:val="clear" w:color="auto" w:fill="auto"/>
            <w:vAlign w:val="center"/>
          </w:tcPr>
          <w:p w14:paraId="31D02DBA">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0.001</w:t>
            </w:r>
          </w:p>
        </w:tc>
        <w:tc>
          <w:tcPr>
            <w:tcW w:w="718" w:type="pct"/>
            <w:tcBorders>
              <w:tl2br w:val="nil"/>
              <w:tr2bl w:val="nil"/>
            </w:tcBorders>
            <w:shd w:val="clear" w:color="auto" w:fill="auto"/>
            <w:vAlign w:val="center"/>
          </w:tcPr>
          <w:p w14:paraId="67111C46">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1200</w:t>
            </w:r>
          </w:p>
        </w:tc>
        <w:tc>
          <w:tcPr>
            <w:tcW w:w="364" w:type="pct"/>
            <w:tcBorders>
              <w:tl2br w:val="nil"/>
              <w:tr2bl w:val="nil"/>
            </w:tcBorders>
            <w:shd w:val="clear" w:color="auto" w:fill="auto"/>
            <w:vAlign w:val="center"/>
          </w:tcPr>
          <w:p w14:paraId="7B79B686">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clear" w:color="auto" w:fill="auto"/>
            <w:vAlign w:val="center"/>
          </w:tcPr>
          <w:p w14:paraId="466962A9">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r w14:paraId="4B28E8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auto"/>
            <w:vAlign w:val="center"/>
          </w:tcPr>
          <w:p w14:paraId="1F494FCE">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间二甲苯+对二甲苯</w:t>
            </w:r>
          </w:p>
        </w:tc>
        <w:tc>
          <w:tcPr>
            <w:tcW w:w="583" w:type="pct"/>
            <w:tcBorders>
              <w:tl2br w:val="nil"/>
              <w:tr2bl w:val="nil"/>
            </w:tcBorders>
            <w:shd w:val="clear" w:color="auto" w:fill="auto"/>
            <w:vAlign w:val="center"/>
          </w:tcPr>
          <w:p w14:paraId="27641044">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0.001</w:t>
            </w:r>
          </w:p>
        </w:tc>
        <w:tc>
          <w:tcPr>
            <w:tcW w:w="880" w:type="pct"/>
            <w:tcBorders>
              <w:tl2br w:val="nil"/>
              <w:tr2bl w:val="nil"/>
            </w:tcBorders>
            <w:shd w:val="clear" w:color="auto" w:fill="auto"/>
            <w:vAlign w:val="center"/>
          </w:tcPr>
          <w:p w14:paraId="4E15DA33">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0.001</w:t>
            </w:r>
          </w:p>
        </w:tc>
        <w:tc>
          <w:tcPr>
            <w:tcW w:w="624" w:type="pct"/>
            <w:tcBorders>
              <w:tl2br w:val="nil"/>
              <w:tr2bl w:val="nil"/>
            </w:tcBorders>
            <w:shd w:val="clear" w:color="auto" w:fill="auto"/>
            <w:vAlign w:val="center"/>
          </w:tcPr>
          <w:p w14:paraId="00674B14">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0.001</w:t>
            </w:r>
          </w:p>
        </w:tc>
        <w:tc>
          <w:tcPr>
            <w:tcW w:w="606" w:type="pct"/>
            <w:tcBorders>
              <w:tl2br w:val="nil"/>
              <w:tr2bl w:val="nil"/>
            </w:tcBorders>
            <w:shd w:val="clear" w:color="auto" w:fill="auto"/>
            <w:vAlign w:val="center"/>
          </w:tcPr>
          <w:p w14:paraId="48112E95">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0.001</w:t>
            </w:r>
          </w:p>
        </w:tc>
        <w:tc>
          <w:tcPr>
            <w:tcW w:w="718" w:type="pct"/>
            <w:tcBorders>
              <w:tl2br w:val="nil"/>
              <w:tr2bl w:val="nil"/>
            </w:tcBorders>
            <w:shd w:val="clear" w:color="auto" w:fill="auto"/>
            <w:vAlign w:val="center"/>
          </w:tcPr>
          <w:p w14:paraId="4B7F3A84">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570</w:t>
            </w:r>
          </w:p>
        </w:tc>
        <w:tc>
          <w:tcPr>
            <w:tcW w:w="364" w:type="pct"/>
            <w:tcBorders>
              <w:tl2br w:val="nil"/>
              <w:tr2bl w:val="nil"/>
            </w:tcBorders>
            <w:shd w:val="clear" w:color="auto" w:fill="auto"/>
            <w:vAlign w:val="center"/>
          </w:tcPr>
          <w:p w14:paraId="5A4CD0F0">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clear" w:color="auto" w:fill="auto"/>
            <w:vAlign w:val="center"/>
          </w:tcPr>
          <w:p w14:paraId="7B110338">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r w14:paraId="3214C4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FFFFFF"/>
            <w:vAlign w:val="center"/>
          </w:tcPr>
          <w:p w14:paraId="4BA7608C">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邻二甲苯</w:t>
            </w:r>
          </w:p>
        </w:tc>
        <w:tc>
          <w:tcPr>
            <w:tcW w:w="583" w:type="pct"/>
            <w:tcBorders>
              <w:tl2br w:val="nil"/>
              <w:tr2bl w:val="nil"/>
            </w:tcBorders>
            <w:shd w:val="solid" w:color="FFFFFF" w:fill="auto"/>
            <w:vAlign w:val="center"/>
          </w:tcPr>
          <w:p w14:paraId="45314910">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0.001</w:t>
            </w:r>
          </w:p>
        </w:tc>
        <w:tc>
          <w:tcPr>
            <w:tcW w:w="880" w:type="pct"/>
            <w:tcBorders>
              <w:tl2br w:val="nil"/>
              <w:tr2bl w:val="nil"/>
            </w:tcBorders>
            <w:shd w:val="solid" w:color="FFFFFF" w:fill="auto"/>
            <w:vAlign w:val="center"/>
          </w:tcPr>
          <w:p w14:paraId="4D0F9082">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0.001</w:t>
            </w:r>
          </w:p>
        </w:tc>
        <w:tc>
          <w:tcPr>
            <w:tcW w:w="624" w:type="pct"/>
            <w:tcBorders>
              <w:tl2br w:val="nil"/>
              <w:tr2bl w:val="nil"/>
            </w:tcBorders>
            <w:shd w:val="solid" w:color="FFFFFF" w:fill="auto"/>
            <w:vAlign w:val="center"/>
          </w:tcPr>
          <w:p w14:paraId="5AEF1557">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0.001</w:t>
            </w:r>
          </w:p>
        </w:tc>
        <w:tc>
          <w:tcPr>
            <w:tcW w:w="606" w:type="pct"/>
            <w:tcBorders>
              <w:tl2br w:val="nil"/>
              <w:tr2bl w:val="nil"/>
            </w:tcBorders>
            <w:shd w:val="solid" w:color="FFFFFF" w:fill="auto"/>
            <w:vAlign w:val="center"/>
          </w:tcPr>
          <w:p w14:paraId="6D9E865D">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0.001</w:t>
            </w:r>
          </w:p>
        </w:tc>
        <w:tc>
          <w:tcPr>
            <w:tcW w:w="718" w:type="pct"/>
            <w:tcBorders>
              <w:tl2br w:val="nil"/>
              <w:tr2bl w:val="nil"/>
            </w:tcBorders>
            <w:shd w:val="solid" w:color="FFFFFF" w:fill="auto"/>
            <w:vAlign w:val="center"/>
          </w:tcPr>
          <w:p w14:paraId="33C90CF3">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640</w:t>
            </w:r>
          </w:p>
        </w:tc>
        <w:tc>
          <w:tcPr>
            <w:tcW w:w="364" w:type="pct"/>
            <w:tcBorders>
              <w:tl2br w:val="nil"/>
              <w:tr2bl w:val="nil"/>
            </w:tcBorders>
            <w:shd w:val="solid" w:color="FFFFFF" w:fill="auto"/>
            <w:vAlign w:val="center"/>
          </w:tcPr>
          <w:p w14:paraId="19CEB664">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solid" w:color="FFFFFF" w:fill="auto"/>
            <w:vAlign w:val="center"/>
          </w:tcPr>
          <w:p w14:paraId="0E0C1BB8">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r w14:paraId="0919EB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FFFFFF"/>
            <w:vAlign w:val="center"/>
          </w:tcPr>
          <w:p w14:paraId="3FB264CA">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硝基苯</w:t>
            </w:r>
          </w:p>
        </w:tc>
        <w:tc>
          <w:tcPr>
            <w:tcW w:w="583" w:type="pct"/>
            <w:tcBorders>
              <w:tl2br w:val="nil"/>
              <w:tr2bl w:val="nil"/>
            </w:tcBorders>
            <w:shd w:val="solid" w:color="FFFFFF" w:fill="auto"/>
            <w:vAlign w:val="center"/>
          </w:tcPr>
          <w:p w14:paraId="0E33539F">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0.001</w:t>
            </w:r>
          </w:p>
        </w:tc>
        <w:tc>
          <w:tcPr>
            <w:tcW w:w="880" w:type="pct"/>
            <w:tcBorders>
              <w:tl2br w:val="nil"/>
              <w:tr2bl w:val="nil"/>
            </w:tcBorders>
            <w:shd w:val="solid" w:color="FFFFFF" w:fill="auto"/>
            <w:vAlign w:val="center"/>
          </w:tcPr>
          <w:p w14:paraId="3ED9E350">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0.001</w:t>
            </w:r>
          </w:p>
        </w:tc>
        <w:tc>
          <w:tcPr>
            <w:tcW w:w="624" w:type="pct"/>
            <w:tcBorders>
              <w:tl2br w:val="nil"/>
              <w:tr2bl w:val="nil"/>
            </w:tcBorders>
            <w:shd w:val="solid" w:color="FFFFFF" w:fill="auto"/>
            <w:vAlign w:val="center"/>
          </w:tcPr>
          <w:p w14:paraId="61479C25">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0.001</w:t>
            </w:r>
          </w:p>
        </w:tc>
        <w:tc>
          <w:tcPr>
            <w:tcW w:w="606" w:type="pct"/>
            <w:tcBorders>
              <w:tl2br w:val="nil"/>
              <w:tr2bl w:val="nil"/>
            </w:tcBorders>
            <w:shd w:val="solid" w:color="FFFFFF" w:fill="auto"/>
            <w:vAlign w:val="center"/>
          </w:tcPr>
          <w:p w14:paraId="6B246B10">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0.001</w:t>
            </w:r>
          </w:p>
        </w:tc>
        <w:tc>
          <w:tcPr>
            <w:tcW w:w="718" w:type="pct"/>
            <w:tcBorders>
              <w:tl2br w:val="nil"/>
              <w:tr2bl w:val="nil"/>
            </w:tcBorders>
            <w:shd w:val="solid" w:color="FFFFFF" w:fill="auto"/>
            <w:vAlign w:val="center"/>
          </w:tcPr>
          <w:p w14:paraId="4412CC02">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76</w:t>
            </w:r>
          </w:p>
        </w:tc>
        <w:tc>
          <w:tcPr>
            <w:tcW w:w="364" w:type="pct"/>
            <w:tcBorders>
              <w:tl2br w:val="nil"/>
              <w:tr2bl w:val="nil"/>
            </w:tcBorders>
            <w:shd w:val="solid" w:color="FFFFFF" w:fill="auto"/>
            <w:vAlign w:val="center"/>
          </w:tcPr>
          <w:p w14:paraId="47296687">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solid" w:color="FFFFFF" w:fill="auto"/>
            <w:vAlign w:val="center"/>
          </w:tcPr>
          <w:p w14:paraId="08FDEAEF">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r w14:paraId="5E1B9B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FFFFFF"/>
            <w:vAlign w:val="center"/>
          </w:tcPr>
          <w:p w14:paraId="0B69AC53">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苯胺</w:t>
            </w:r>
          </w:p>
        </w:tc>
        <w:tc>
          <w:tcPr>
            <w:tcW w:w="583" w:type="pct"/>
            <w:tcBorders>
              <w:tl2br w:val="nil"/>
              <w:tr2bl w:val="nil"/>
            </w:tcBorders>
            <w:shd w:val="solid" w:color="FFFFFF" w:fill="auto"/>
            <w:vAlign w:val="center"/>
          </w:tcPr>
          <w:p w14:paraId="00626B92">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未检出</w:t>
            </w:r>
          </w:p>
        </w:tc>
        <w:tc>
          <w:tcPr>
            <w:tcW w:w="880" w:type="pct"/>
            <w:tcBorders>
              <w:tl2br w:val="nil"/>
              <w:tr2bl w:val="nil"/>
            </w:tcBorders>
            <w:shd w:val="solid" w:color="FFFFFF" w:fill="auto"/>
            <w:vAlign w:val="center"/>
          </w:tcPr>
          <w:p w14:paraId="7B42D636">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未检出</w:t>
            </w:r>
          </w:p>
        </w:tc>
        <w:tc>
          <w:tcPr>
            <w:tcW w:w="624" w:type="pct"/>
            <w:tcBorders>
              <w:tl2br w:val="nil"/>
              <w:tr2bl w:val="nil"/>
            </w:tcBorders>
            <w:shd w:val="solid" w:color="FFFFFF" w:fill="auto"/>
            <w:vAlign w:val="center"/>
          </w:tcPr>
          <w:p w14:paraId="4F7B3791">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未检出</w:t>
            </w:r>
          </w:p>
        </w:tc>
        <w:tc>
          <w:tcPr>
            <w:tcW w:w="606" w:type="pct"/>
            <w:tcBorders>
              <w:tl2br w:val="nil"/>
              <w:tr2bl w:val="nil"/>
            </w:tcBorders>
            <w:shd w:val="solid" w:color="FFFFFF" w:fill="auto"/>
            <w:vAlign w:val="center"/>
          </w:tcPr>
          <w:p w14:paraId="0FDEE4E4">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未检出</w:t>
            </w:r>
          </w:p>
        </w:tc>
        <w:tc>
          <w:tcPr>
            <w:tcW w:w="718" w:type="pct"/>
            <w:tcBorders>
              <w:tl2br w:val="nil"/>
              <w:tr2bl w:val="nil"/>
            </w:tcBorders>
            <w:shd w:val="solid" w:color="FFFFFF" w:fill="auto"/>
            <w:vAlign w:val="center"/>
          </w:tcPr>
          <w:p w14:paraId="3DFD1548">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260</w:t>
            </w:r>
          </w:p>
        </w:tc>
        <w:tc>
          <w:tcPr>
            <w:tcW w:w="364" w:type="pct"/>
            <w:tcBorders>
              <w:tl2br w:val="nil"/>
              <w:tr2bl w:val="nil"/>
            </w:tcBorders>
            <w:shd w:val="solid" w:color="FFFFFF" w:fill="auto"/>
            <w:vAlign w:val="center"/>
          </w:tcPr>
          <w:p w14:paraId="45BD9B58">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solid" w:color="FFFFFF" w:fill="auto"/>
            <w:vAlign w:val="center"/>
          </w:tcPr>
          <w:p w14:paraId="28430180">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r w14:paraId="703E7E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FFFFFF"/>
            <w:vAlign w:val="center"/>
          </w:tcPr>
          <w:p w14:paraId="27F14781">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2-氯酚</w:t>
            </w:r>
          </w:p>
        </w:tc>
        <w:tc>
          <w:tcPr>
            <w:tcW w:w="583" w:type="pct"/>
            <w:tcBorders>
              <w:tl2br w:val="nil"/>
              <w:tr2bl w:val="nil"/>
            </w:tcBorders>
            <w:shd w:val="solid" w:color="FFFFFF" w:fill="auto"/>
            <w:vAlign w:val="center"/>
          </w:tcPr>
          <w:p w14:paraId="28418B11">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0.000</w:t>
            </w:r>
          </w:p>
        </w:tc>
        <w:tc>
          <w:tcPr>
            <w:tcW w:w="880" w:type="pct"/>
            <w:tcBorders>
              <w:tl2br w:val="nil"/>
              <w:tr2bl w:val="nil"/>
            </w:tcBorders>
            <w:shd w:val="solid" w:color="FFFFFF" w:fill="auto"/>
            <w:vAlign w:val="center"/>
          </w:tcPr>
          <w:p w14:paraId="4AE580AF">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0.000</w:t>
            </w:r>
          </w:p>
        </w:tc>
        <w:tc>
          <w:tcPr>
            <w:tcW w:w="624" w:type="pct"/>
            <w:tcBorders>
              <w:tl2br w:val="nil"/>
              <w:tr2bl w:val="nil"/>
            </w:tcBorders>
            <w:shd w:val="solid" w:color="FFFFFF" w:fill="auto"/>
            <w:vAlign w:val="center"/>
          </w:tcPr>
          <w:p w14:paraId="0B3E09E1">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0.000</w:t>
            </w:r>
          </w:p>
        </w:tc>
        <w:tc>
          <w:tcPr>
            <w:tcW w:w="606" w:type="pct"/>
            <w:tcBorders>
              <w:tl2br w:val="nil"/>
              <w:tr2bl w:val="nil"/>
            </w:tcBorders>
            <w:shd w:val="solid" w:color="FFFFFF" w:fill="auto"/>
            <w:vAlign w:val="center"/>
          </w:tcPr>
          <w:p w14:paraId="6B20152B">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0.000</w:t>
            </w:r>
          </w:p>
        </w:tc>
        <w:tc>
          <w:tcPr>
            <w:tcW w:w="718" w:type="pct"/>
            <w:tcBorders>
              <w:tl2br w:val="nil"/>
              <w:tr2bl w:val="nil"/>
            </w:tcBorders>
            <w:shd w:val="solid" w:color="FFFFFF" w:fill="auto"/>
            <w:vAlign w:val="center"/>
          </w:tcPr>
          <w:p w14:paraId="5B30B07A">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2256</w:t>
            </w:r>
          </w:p>
        </w:tc>
        <w:tc>
          <w:tcPr>
            <w:tcW w:w="364" w:type="pct"/>
            <w:tcBorders>
              <w:tl2br w:val="nil"/>
              <w:tr2bl w:val="nil"/>
            </w:tcBorders>
            <w:shd w:val="solid" w:color="FFFFFF" w:fill="auto"/>
            <w:vAlign w:val="center"/>
          </w:tcPr>
          <w:p w14:paraId="4646FF05">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solid" w:color="FFFFFF" w:fill="auto"/>
            <w:vAlign w:val="center"/>
          </w:tcPr>
          <w:p w14:paraId="72A328B1">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r w14:paraId="4086C2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FFFFFF"/>
            <w:vAlign w:val="center"/>
          </w:tcPr>
          <w:p w14:paraId="33517218">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苯并[a]蒽</w:t>
            </w:r>
          </w:p>
        </w:tc>
        <w:tc>
          <w:tcPr>
            <w:tcW w:w="583" w:type="pct"/>
            <w:tcBorders>
              <w:tl2br w:val="nil"/>
              <w:tr2bl w:val="nil"/>
            </w:tcBorders>
            <w:shd w:val="solid" w:color="FFFFFF" w:fill="auto"/>
            <w:vAlign w:val="center"/>
          </w:tcPr>
          <w:p w14:paraId="671C3F19">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0.003</w:t>
            </w:r>
          </w:p>
        </w:tc>
        <w:tc>
          <w:tcPr>
            <w:tcW w:w="880" w:type="pct"/>
            <w:tcBorders>
              <w:tl2br w:val="nil"/>
              <w:tr2bl w:val="nil"/>
            </w:tcBorders>
            <w:shd w:val="solid" w:color="FFFFFF" w:fill="auto"/>
            <w:vAlign w:val="center"/>
          </w:tcPr>
          <w:p w14:paraId="3DDB7734">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0.003</w:t>
            </w:r>
          </w:p>
        </w:tc>
        <w:tc>
          <w:tcPr>
            <w:tcW w:w="624" w:type="pct"/>
            <w:tcBorders>
              <w:tl2br w:val="nil"/>
              <w:tr2bl w:val="nil"/>
            </w:tcBorders>
            <w:shd w:val="solid" w:color="FFFFFF" w:fill="auto"/>
            <w:vAlign w:val="center"/>
          </w:tcPr>
          <w:p w14:paraId="0E84A6EC">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0.003</w:t>
            </w:r>
          </w:p>
        </w:tc>
        <w:tc>
          <w:tcPr>
            <w:tcW w:w="606" w:type="pct"/>
            <w:tcBorders>
              <w:tl2br w:val="nil"/>
              <w:tr2bl w:val="nil"/>
            </w:tcBorders>
            <w:shd w:val="solid" w:color="FFFFFF" w:fill="auto"/>
            <w:vAlign w:val="center"/>
          </w:tcPr>
          <w:p w14:paraId="7E878AC2">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0.003</w:t>
            </w:r>
          </w:p>
        </w:tc>
        <w:tc>
          <w:tcPr>
            <w:tcW w:w="718" w:type="pct"/>
            <w:tcBorders>
              <w:tl2br w:val="nil"/>
              <w:tr2bl w:val="nil"/>
            </w:tcBorders>
            <w:shd w:val="solid" w:color="FFFFFF" w:fill="auto"/>
            <w:vAlign w:val="center"/>
          </w:tcPr>
          <w:p w14:paraId="4ABCBBCE">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15</w:t>
            </w:r>
          </w:p>
        </w:tc>
        <w:tc>
          <w:tcPr>
            <w:tcW w:w="364" w:type="pct"/>
            <w:tcBorders>
              <w:tl2br w:val="nil"/>
              <w:tr2bl w:val="nil"/>
            </w:tcBorders>
            <w:shd w:val="solid" w:color="FFFFFF" w:fill="auto"/>
            <w:vAlign w:val="center"/>
          </w:tcPr>
          <w:p w14:paraId="698F6344">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solid" w:color="FFFFFF" w:fill="auto"/>
            <w:vAlign w:val="center"/>
          </w:tcPr>
          <w:p w14:paraId="2834C7C4">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r w14:paraId="630E04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FFFFFF"/>
            <w:vAlign w:val="center"/>
          </w:tcPr>
          <w:p w14:paraId="391DAD2E">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苯并[a]芘</w:t>
            </w:r>
          </w:p>
        </w:tc>
        <w:tc>
          <w:tcPr>
            <w:tcW w:w="583" w:type="pct"/>
            <w:tcBorders>
              <w:tl2br w:val="nil"/>
              <w:tr2bl w:val="nil"/>
            </w:tcBorders>
            <w:shd w:val="solid" w:color="FFFFFF" w:fill="auto"/>
            <w:vAlign w:val="center"/>
          </w:tcPr>
          <w:p w14:paraId="69D5A5FE">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0.033</w:t>
            </w:r>
          </w:p>
        </w:tc>
        <w:tc>
          <w:tcPr>
            <w:tcW w:w="880" w:type="pct"/>
            <w:tcBorders>
              <w:tl2br w:val="nil"/>
              <w:tr2bl w:val="nil"/>
            </w:tcBorders>
            <w:shd w:val="solid" w:color="FFFFFF" w:fill="auto"/>
            <w:vAlign w:val="center"/>
          </w:tcPr>
          <w:p w14:paraId="43008CD1">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0.033</w:t>
            </w:r>
          </w:p>
        </w:tc>
        <w:tc>
          <w:tcPr>
            <w:tcW w:w="624" w:type="pct"/>
            <w:tcBorders>
              <w:tl2br w:val="nil"/>
              <w:tr2bl w:val="nil"/>
            </w:tcBorders>
            <w:shd w:val="solid" w:color="FFFFFF" w:fill="auto"/>
            <w:vAlign w:val="center"/>
          </w:tcPr>
          <w:p w14:paraId="1E6587F0">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0.033</w:t>
            </w:r>
          </w:p>
        </w:tc>
        <w:tc>
          <w:tcPr>
            <w:tcW w:w="606" w:type="pct"/>
            <w:tcBorders>
              <w:tl2br w:val="nil"/>
              <w:tr2bl w:val="nil"/>
            </w:tcBorders>
            <w:shd w:val="solid" w:color="FFFFFF" w:fill="auto"/>
            <w:vAlign w:val="center"/>
          </w:tcPr>
          <w:p w14:paraId="4061A654">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0.033</w:t>
            </w:r>
          </w:p>
        </w:tc>
        <w:tc>
          <w:tcPr>
            <w:tcW w:w="718" w:type="pct"/>
            <w:tcBorders>
              <w:tl2br w:val="nil"/>
              <w:tr2bl w:val="nil"/>
            </w:tcBorders>
            <w:shd w:val="solid" w:color="FFFFFF" w:fill="auto"/>
            <w:vAlign w:val="center"/>
          </w:tcPr>
          <w:p w14:paraId="6D1D9769">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1.5</w:t>
            </w:r>
          </w:p>
        </w:tc>
        <w:tc>
          <w:tcPr>
            <w:tcW w:w="364" w:type="pct"/>
            <w:tcBorders>
              <w:tl2br w:val="nil"/>
              <w:tr2bl w:val="nil"/>
            </w:tcBorders>
            <w:shd w:val="solid" w:color="FFFFFF" w:fill="auto"/>
            <w:vAlign w:val="center"/>
          </w:tcPr>
          <w:p w14:paraId="0B09E915">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solid" w:color="FFFFFF" w:fill="auto"/>
            <w:vAlign w:val="center"/>
          </w:tcPr>
          <w:p w14:paraId="41B6FD98">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r w14:paraId="7723C0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FFFFFF"/>
            <w:vAlign w:val="center"/>
          </w:tcPr>
          <w:p w14:paraId="1C1861CF">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苯并[b]荧蒽</w:t>
            </w:r>
          </w:p>
        </w:tc>
        <w:tc>
          <w:tcPr>
            <w:tcW w:w="583" w:type="pct"/>
            <w:tcBorders>
              <w:tl2br w:val="nil"/>
              <w:tr2bl w:val="nil"/>
            </w:tcBorders>
            <w:shd w:val="solid" w:color="FFFFFF" w:fill="auto"/>
            <w:vAlign w:val="center"/>
          </w:tcPr>
          <w:p w14:paraId="002C1BD8">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0.007</w:t>
            </w:r>
          </w:p>
        </w:tc>
        <w:tc>
          <w:tcPr>
            <w:tcW w:w="880" w:type="pct"/>
            <w:tcBorders>
              <w:tl2br w:val="nil"/>
              <w:tr2bl w:val="nil"/>
            </w:tcBorders>
            <w:shd w:val="solid" w:color="FFFFFF" w:fill="auto"/>
            <w:vAlign w:val="center"/>
          </w:tcPr>
          <w:p w14:paraId="23CBBC0E">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0.007</w:t>
            </w:r>
          </w:p>
        </w:tc>
        <w:tc>
          <w:tcPr>
            <w:tcW w:w="624" w:type="pct"/>
            <w:tcBorders>
              <w:tl2br w:val="nil"/>
              <w:tr2bl w:val="nil"/>
            </w:tcBorders>
            <w:shd w:val="solid" w:color="FFFFFF" w:fill="auto"/>
            <w:vAlign w:val="center"/>
          </w:tcPr>
          <w:p w14:paraId="529CCEC9">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0.007</w:t>
            </w:r>
          </w:p>
        </w:tc>
        <w:tc>
          <w:tcPr>
            <w:tcW w:w="606" w:type="pct"/>
            <w:tcBorders>
              <w:tl2br w:val="nil"/>
              <w:tr2bl w:val="nil"/>
            </w:tcBorders>
            <w:shd w:val="solid" w:color="FFFFFF" w:fill="auto"/>
            <w:vAlign w:val="center"/>
          </w:tcPr>
          <w:p w14:paraId="0CC282AB">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0.007</w:t>
            </w:r>
          </w:p>
        </w:tc>
        <w:tc>
          <w:tcPr>
            <w:tcW w:w="718" w:type="pct"/>
            <w:tcBorders>
              <w:tl2br w:val="nil"/>
              <w:tr2bl w:val="nil"/>
            </w:tcBorders>
            <w:shd w:val="solid" w:color="FFFFFF" w:fill="auto"/>
            <w:vAlign w:val="center"/>
          </w:tcPr>
          <w:p w14:paraId="382ED6AE">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15</w:t>
            </w:r>
          </w:p>
        </w:tc>
        <w:tc>
          <w:tcPr>
            <w:tcW w:w="364" w:type="pct"/>
            <w:tcBorders>
              <w:tl2br w:val="nil"/>
              <w:tr2bl w:val="nil"/>
            </w:tcBorders>
            <w:shd w:val="solid" w:color="FFFFFF" w:fill="auto"/>
            <w:vAlign w:val="center"/>
          </w:tcPr>
          <w:p w14:paraId="6CBF5623">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solid" w:color="FFFFFF" w:fill="auto"/>
            <w:vAlign w:val="center"/>
          </w:tcPr>
          <w:p w14:paraId="524B1F97">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r w14:paraId="269FDD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FFFFFF"/>
            <w:vAlign w:val="center"/>
          </w:tcPr>
          <w:p w14:paraId="23222B37">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苯并[k]荧蒽</w:t>
            </w:r>
          </w:p>
        </w:tc>
        <w:tc>
          <w:tcPr>
            <w:tcW w:w="583" w:type="pct"/>
            <w:tcBorders>
              <w:tl2br w:val="nil"/>
              <w:tr2bl w:val="nil"/>
            </w:tcBorders>
            <w:shd w:val="solid" w:color="FFFFFF" w:fill="auto"/>
            <w:vAlign w:val="center"/>
          </w:tcPr>
          <w:p w14:paraId="38A8AFA3">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0.000</w:t>
            </w:r>
          </w:p>
        </w:tc>
        <w:tc>
          <w:tcPr>
            <w:tcW w:w="880" w:type="pct"/>
            <w:tcBorders>
              <w:tl2br w:val="nil"/>
              <w:tr2bl w:val="nil"/>
            </w:tcBorders>
            <w:shd w:val="solid" w:color="FFFFFF" w:fill="auto"/>
            <w:vAlign w:val="center"/>
          </w:tcPr>
          <w:p w14:paraId="08D804EC">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0.000</w:t>
            </w:r>
          </w:p>
        </w:tc>
        <w:tc>
          <w:tcPr>
            <w:tcW w:w="624" w:type="pct"/>
            <w:tcBorders>
              <w:tl2br w:val="nil"/>
              <w:tr2bl w:val="nil"/>
            </w:tcBorders>
            <w:shd w:val="solid" w:color="FFFFFF" w:fill="auto"/>
            <w:vAlign w:val="center"/>
          </w:tcPr>
          <w:p w14:paraId="62761EF4">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0.000</w:t>
            </w:r>
          </w:p>
        </w:tc>
        <w:tc>
          <w:tcPr>
            <w:tcW w:w="606" w:type="pct"/>
            <w:tcBorders>
              <w:tl2br w:val="nil"/>
              <w:tr2bl w:val="nil"/>
            </w:tcBorders>
            <w:shd w:val="solid" w:color="FFFFFF" w:fill="auto"/>
            <w:vAlign w:val="center"/>
          </w:tcPr>
          <w:p w14:paraId="59A2AC82">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0.000</w:t>
            </w:r>
          </w:p>
        </w:tc>
        <w:tc>
          <w:tcPr>
            <w:tcW w:w="718" w:type="pct"/>
            <w:tcBorders>
              <w:tl2br w:val="nil"/>
              <w:tr2bl w:val="nil"/>
            </w:tcBorders>
            <w:shd w:val="solid" w:color="FFFFFF" w:fill="auto"/>
            <w:vAlign w:val="center"/>
          </w:tcPr>
          <w:p w14:paraId="32367709">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151</w:t>
            </w:r>
          </w:p>
        </w:tc>
        <w:tc>
          <w:tcPr>
            <w:tcW w:w="364" w:type="pct"/>
            <w:tcBorders>
              <w:tl2br w:val="nil"/>
              <w:tr2bl w:val="nil"/>
            </w:tcBorders>
            <w:shd w:val="solid" w:color="FFFFFF" w:fill="auto"/>
            <w:vAlign w:val="center"/>
          </w:tcPr>
          <w:p w14:paraId="0B585C03">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solid" w:color="FFFFFF" w:fill="auto"/>
            <w:vAlign w:val="center"/>
          </w:tcPr>
          <w:p w14:paraId="2D64F7B9">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bl>
    <w:p w14:paraId="23983208">
      <w:pPr>
        <w:pStyle w:val="7"/>
        <w:bidi w:val="0"/>
        <w:rPr>
          <w:rFonts w:hint="default"/>
          <w:highlight w:val="none"/>
          <w:lang w:val="en-US" w:eastAsia="zh-CN"/>
        </w:rPr>
      </w:pPr>
      <w:r>
        <w:rPr>
          <w:rFonts w:hint="eastAsia"/>
          <w:highlight w:val="none"/>
          <w:lang w:val="en-US" w:eastAsia="zh-CN"/>
        </w:rPr>
        <w:t>续表</w:t>
      </w:r>
      <w:r>
        <w:rPr>
          <w:rFonts w:hint="default"/>
          <w:highlight w:val="none"/>
          <w:lang w:val="en-US" w:eastAsia="zh-CN"/>
        </w:rPr>
        <w:t>4-2-</w:t>
      </w:r>
      <w:r>
        <w:rPr>
          <w:rFonts w:hint="eastAsia"/>
          <w:highlight w:val="none"/>
          <w:lang w:val="en-US" w:eastAsia="zh-CN"/>
        </w:rPr>
        <w:t>20土壤标准指数表单位：mg/kg</w:t>
      </w:r>
    </w:p>
    <w:tbl>
      <w:tblPr>
        <w:tblStyle w:val="4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68"/>
        <w:gridCol w:w="994"/>
        <w:gridCol w:w="1500"/>
        <w:gridCol w:w="1065"/>
        <w:gridCol w:w="1034"/>
        <w:gridCol w:w="1224"/>
        <w:gridCol w:w="621"/>
        <w:gridCol w:w="716"/>
      </w:tblGrid>
      <w:tr w14:paraId="1EFA17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FFFFFF"/>
            <w:vAlign w:val="center"/>
          </w:tcPr>
          <w:p w14:paraId="3275142E">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䓛</w:t>
            </w:r>
          </w:p>
        </w:tc>
        <w:tc>
          <w:tcPr>
            <w:tcW w:w="583" w:type="pct"/>
            <w:tcBorders>
              <w:tl2br w:val="nil"/>
              <w:tr2bl w:val="nil"/>
            </w:tcBorders>
            <w:shd w:val="solid" w:color="FFFFFF" w:fill="auto"/>
            <w:vAlign w:val="center"/>
          </w:tcPr>
          <w:p w14:paraId="2A104EB6">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0.000</w:t>
            </w:r>
          </w:p>
        </w:tc>
        <w:tc>
          <w:tcPr>
            <w:tcW w:w="880" w:type="pct"/>
            <w:tcBorders>
              <w:tl2br w:val="nil"/>
              <w:tr2bl w:val="nil"/>
            </w:tcBorders>
            <w:shd w:val="solid" w:color="FFFFFF" w:fill="auto"/>
            <w:vAlign w:val="center"/>
          </w:tcPr>
          <w:p w14:paraId="215B5CAF">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0.000</w:t>
            </w:r>
          </w:p>
        </w:tc>
        <w:tc>
          <w:tcPr>
            <w:tcW w:w="624" w:type="pct"/>
            <w:tcBorders>
              <w:tl2br w:val="nil"/>
              <w:tr2bl w:val="nil"/>
            </w:tcBorders>
            <w:shd w:val="solid" w:color="FFFFFF" w:fill="auto"/>
            <w:vAlign w:val="center"/>
          </w:tcPr>
          <w:p w14:paraId="133A6F51">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0.000</w:t>
            </w:r>
          </w:p>
        </w:tc>
        <w:tc>
          <w:tcPr>
            <w:tcW w:w="606" w:type="pct"/>
            <w:tcBorders>
              <w:tl2br w:val="nil"/>
              <w:tr2bl w:val="nil"/>
            </w:tcBorders>
            <w:shd w:val="solid" w:color="FFFFFF" w:fill="auto"/>
            <w:vAlign w:val="center"/>
          </w:tcPr>
          <w:p w14:paraId="636447A8">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0.000</w:t>
            </w:r>
          </w:p>
        </w:tc>
        <w:tc>
          <w:tcPr>
            <w:tcW w:w="718" w:type="pct"/>
            <w:tcBorders>
              <w:tl2br w:val="nil"/>
              <w:tr2bl w:val="nil"/>
            </w:tcBorders>
            <w:shd w:val="solid" w:color="FFFFFF" w:fill="auto"/>
            <w:vAlign w:val="center"/>
          </w:tcPr>
          <w:p w14:paraId="30C82029">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1293</w:t>
            </w:r>
          </w:p>
        </w:tc>
        <w:tc>
          <w:tcPr>
            <w:tcW w:w="364" w:type="pct"/>
            <w:tcBorders>
              <w:tl2br w:val="nil"/>
              <w:tr2bl w:val="nil"/>
            </w:tcBorders>
            <w:shd w:val="solid" w:color="FFFFFF" w:fill="auto"/>
            <w:vAlign w:val="center"/>
          </w:tcPr>
          <w:p w14:paraId="56833AC1">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solid" w:color="FFFFFF" w:fill="auto"/>
            <w:vAlign w:val="center"/>
          </w:tcPr>
          <w:p w14:paraId="306AADAB">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r w14:paraId="4FC4DF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auto"/>
            <w:vAlign w:val="center"/>
          </w:tcPr>
          <w:p w14:paraId="318C96C7">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二苯并[a</w:t>
            </w:r>
            <w:r>
              <w:rPr>
                <w:rFonts w:hint="eastAsia"/>
                <w:highlight w:val="none"/>
                <w:lang w:eastAsia="zh-CN"/>
              </w:rPr>
              <w:t>，</w:t>
            </w:r>
            <w:r>
              <w:rPr>
                <w:rFonts w:hint="default"/>
                <w:highlight w:val="none"/>
              </w:rPr>
              <w:t>h]蒽</w:t>
            </w:r>
          </w:p>
        </w:tc>
        <w:tc>
          <w:tcPr>
            <w:tcW w:w="583" w:type="pct"/>
            <w:tcBorders>
              <w:tl2br w:val="nil"/>
              <w:tr2bl w:val="nil"/>
            </w:tcBorders>
            <w:shd w:val="clear" w:color="auto" w:fill="auto"/>
            <w:vAlign w:val="center"/>
          </w:tcPr>
          <w:p w14:paraId="20BC58A1">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0.033</w:t>
            </w:r>
          </w:p>
        </w:tc>
        <w:tc>
          <w:tcPr>
            <w:tcW w:w="880" w:type="pct"/>
            <w:tcBorders>
              <w:tl2br w:val="nil"/>
              <w:tr2bl w:val="nil"/>
            </w:tcBorders>
            <w:shd w:val="clear" w:color="auto" w:fill="auto"/>
            <w:vAlign w:val="center"/>
          </w:tcPr>
          <w:p w14:paraId="2902B1EC">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0.033</w:t>
            </w:r>
          </w:p>
        </w:tc>
        <w:tc>
          <w:tcPr>
            <w:tcW w:w="624" w:type="pct"/>
            <w:tcBorders>
              <w:tl2br w:val="nil"/>
              <w:tr2bl w:val="nil"/>
            </w:tcBorders>
            <w:shd w:val="clear" w:color="auto" w:fill="auto"/>
            <w:vAlign w:val="center"/>
          </w:tcPr>
          <w:p w14:paraId="49E0249F">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0.033</w:t>
            </w:r>
          </w:p>
        </w:tc>
        <w:tc>
          <w:tcPr>
            <w:tcW w:w="606" w:type="pct"/>
            <w:tcBorders>
              <w:tl2br w:val="nil"/>
              <w:tr2bl w:val="nil"/>
            </w:tcBorders>
            <w:shd w:val="clear" w:color="auto" w:fill="auto"/>
            <w:vAlign w:val="center"/>
          </w:tcPr>
          <w:p w14:paraId="560850BA">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0.033</w:t>
            </w:r>
          </w:p>
        </w:tc>
        <w:tc>
          <w:tcPr>
            <w:tcW w:w="718" w:type="pct"/>
            <w:tcBorders>
              <w:tl2br w:val="nil"/>
              <w:tr2bl w:val="nil"/>
            </w:tcBorders>
            <w:shd w:val="clear" w:color="auto" w:fill="auto"/>
            <w:vAlign w:val="center"/>
          </w:tcPr>
          <w:p w14:paraId="483E0495">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1.5</w:t>
            </w:r>
          </w:p>
        </w:tc>
        <w:tc>
          <w:tcPr>
            <w:tcW w:w="364" w:type="pct"/>
            <w:tcBorders>
              <w:tl2br w:val="nil"/>
              <w:tr2bl w:val="nil"/>
            </w:tcBorders>
            <w:shd w:val="clear" w:color="auto" w:fill="auto"/>
            <w:vAlign w:val="center"/>
          </w:tcPr>
          <w:p w14:paraId="67946119">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clear" w:color="auto" w:fill="auto"/>
            <w:vAlign w:val="center"/>
          </w:tcPr>
          <w:p w14:paraId="49865956">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r w14:paraId="680962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auto"/>
            <w:vAlign w:val="center"/>
          </w:tcPr>
          <w:p w14:paraId="299EAAB1">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茚并[1</w:t>
            </w:r>
            <w:r>
              <w:rPr>
                <w:rFonts w:hint="eastAsia"/>
                <w:highlight w:val="none"/>
                <w:lang w:eastAsia="zh-CN"/>
              </w:rPr>
              <w:t>，</w:t>
            </w:r>
            <w:r>
              <w:rPr>
                <w:rFonts w:hint="default"/>
                <w:highlight w:val="none"/>
              </w:rPr>
              <w:t>2</w:t>
            </w:r>
            <w:r>
              <w:rPr>
                <w:rFonts w:hint="eastAsia"/>
                <w:highlight w:val="none"/>
                <w:lang w:eastAsia="zh-CN"/>
              </w:rPr>
              <w:t>，</w:t>
            </w:r>
            <w:r>
              <w:rPr>
                <w:rFonts w:hint="default"/>
                <w:highlight w:val="none"/>
              </w:rPr>
              <w:t>3-cd]芘</w:t>
            </w:r>
          </w:p>
        </w:tc>
        <w:tc>
          <w:tcPr>
            <w:tcW w:w="583" w:type="pct"/>
            <w:tcBorders>
              <w:tl2br w:val="nil"/>
              <w:tr2bl w:val="nil"/>
            </w:tcBorders>
            <w:shd w:val="clear" w:color="auto" w:fill="auto"/>
            <w:vAlign w:val="center"/>
          </w:tcPr>
          <w:p w14:paraId="6AE26015">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0.003</w:t>
            </w:r>
          </w:p>
        </w:tc>
        <w:tc>
          <w:tcPr>
            <w:tcW w:w="880" w:type="pct"/>
            <w:tcBorders>
              <w:tl2br w:val="nil"/>
              <w:tr2bl w:val="nil"/>
            </w:tcBorders>
            <w:shd w:val="clear" w:color="auto" w:fill="auto"/>
            <w:vAlign w:val="center"/>
          </w:tcPr>
          <w:p w14:paraId="107FEB75">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0.003</w:t>
            </w:r>
          </w:p>
        </w:tc>
        <w:tc>
          <w:tcPr>
            <w:tcW w:w="624" w:type="pct"/>
            <w:tcBorders>
              <w:tl2br w:val="nil"/>
              <w:tr2bl w:val="nil"/>
            </w:tcBorders>
            <w:shd w:val="clear" w:color="auto" w:fill="auto"/>
            <w:vAlign w:val="center"/>
          </w:tcPr>
          <w:p w14:paraId="32ECB37B">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0.003</w:t>
            </w:r>
          </w:p>
        </w:tc>
        <w:tc>
          <w:tcPr>
            <w:tcW w:w="606" w:type="pct"/>
            <w:tcBorders>
              <w:tl2br w:val="nil"/>
              <w:tr2bl w:val="nil"/>
            </w:tcBorders>
            <w:shd w:val="clear" w:color="auto" w:fill="auto"/>
            <w:vAlign w:val="center"/>
          </w:tcPr>
          <w:p w14:paraId="2D9D6D29">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0.003</w:t>
            </w:r>
          </w:p>
        </w:tc>
        <w:tc>
          <w:tcPr>
            <w:tcW w:w="718" w:type="pct"/>
            <w:tcBorders>
              <w:tl2br w:val="nil"/>
              <w:tr2bl w:val="nil"/>
            </w:tcBorders>
            <w:shd w:val="clear" w:color="auto" w:fill="auto"/>
            <w:vAlign w:val="center"/>
          </w:tcPr>
          <w:p w14:paraId="3313AE26">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15</w:t>
            </w:r>
          </w:p>
        </w:tc>
        <w:tc>
          <w:tcPr>
            <w:tcW w:w="364" w:type="pct"/>
            <w:tcBorders>
              <w:tl2br w:val="nil"/>
              <w:tr2bl w:val="nil"/>
            </w:tcBorders>
            <w:shd w:val="clear" w:color="auto" w:fill="auto"/>
            <w:vAlign w:val="center"/>
          </w:tcPr>
          <w:p w14:paraId="1E0FA4B7">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clear" w:color="auto" w:fill="auto"/>
            <w:vAlign w:val="center"/>
          </w:tcPr>
          <w:p w14:paraId="11436393">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r w14:paraId="6A09BA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2" w:type="pct"/>
            <w:tcBorders>
              <w:tl2br w:val="nil"/>
              <w:tr2bl w:val="nil"/>
            </w:tcBorders>
            <w:shd w:val="clear" w:color="auto" w:fill="auto"/>
            <w:vAlign w:val="center"/>
          </w:tcPr>
          <w:p w14:paraId="13E3C71F">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rPr>
              <w:t>萘</w:t>
            </w:r>
          </w:p>
        </w:tc>
        <w:tc>
          <w:tcPr>
            <w:tcW w:w="583" w:type="pct"/>
            <w:tcBorders>
              <w:tl2br w:val="nil"/>
              <w:tr2bl w:val="nil"/>
            </w:tcBorders>
            <w:shd w:val="clear" w:color="auto" w:fill="auto"/>
            <w:vAlign w:val="center"/>
          </w:tcPr>
          <w:p w14:paraId="75496D85">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0.001</w:t>
            </w:r>
          </w:p>
        </w:tc>
        <w:tc>
          <w:tcPr>
            <w:tcW w:w="880" w:type="pct"/>
            <w:tcBorders>
              <w:tl2br w:val="nil"/>
              <w:tr2bl w:val="nil"/>
            </w:tcBorders>
            <w:shd w:val="clear" w:color="auto" w:fill="auto"/>
            <w:vAlign w:val="center"/>
          </w:tcPr>
          <w:p w14:paraId="374AED09">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0.001</w:t>
            </w:r>
          </w:p>
        </w:tc>
        <w:tc>
          <w:tcPr>
            <w:tcW w:w="624" w:type="pct"/>
            <w:tcBorders>
              <w:tl2br w:val="nil"/>
              <w:tr2bl w:val="nil"/>
            </w:tcBorders>
            <w:shd w:val="clear" w:color="auto" w:fill="auto"/>
            <w:vAlign w:val="center"/>
          </w:tcPr>
          <w:p w14:paraId="13A67B88">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0.001</w:t>
            </w:r>
          </w:p>
        </w:tc>
        <w:tc>
          <w:tcPr>
            <w:tcW w:w="606" w:type="pct"/>
            <w:tcBorders>
              <w:tl2br w:val="nil"/>
              <w:tr2bl w:val="nil"/>
            </w:tcBorders>
            <w:shd w:val="clear" w:color="auto" w:fill="auto"/>
            <w:vAlign w:val="center"/>
          </w:tcPr>
          <w:p w14:paraId="1898AE8A">
            <w:pPr>
              <w:pStyle w:val="8"/>
              <w:suppressLineNumbers w:val="0"/>
              <w:bidi w:val="0"/>
              <w:spacing w:before="0" w:beforeAutospacing="0" w:after="0" w:afterAutospacing="0"/>
              <w:ind w:left="0" w:right="0"/>
              <w:jc w:val="center"/>
              <w:rPr>
                <w:rFonts w:hint="eastAsia"/>
                <w:highlight w:val="none"/>
                <w:lang w:val="en-US" w:eastAsia="zh-CN"/>
              </w:rPr>
            </w:pPr>
            <w:r>
              <w:rPr>
                <w:rFonts w:hint="eastAsia"/>
                <w:highlight w:val="none"/>
                <w:lang w:val="en-US" w:eastAsia="zh-CN"/>
              </w:rPr>
              <w:t>0.001</w:t>
            </w:r>
          </w:p>
        </w:tc>
        <w:tc>
          <w:tcPr>
            <w:tcW w:w="718" w:type="pct"/>
            <w:tcBorders>
              <w:tl2br w:val="nil"/>
              <w:tr2bl w:val="nil"/>
            </w:tcBorders>
            <w:shd w:val="clear" w:color="auto" w:fill="auto"/>
            <w:vAlign w:val="center"/>
          </w:tcPr>
          <w:p w14:paraId="1812E8A1">
            <w:pPr>
              <w:pStyle w:val="8"/>
              <w:suppressLineNumbers w:val="0"/>
              <w:bidi w:val="0"/>
              <w:spacing w:before="0" w:beforeAutospacing="0" w:after="0" w:afterAutospacing="0"/>
              <w:ind w:left="0" w:right="0"/>
              <w:jc w:val="center"/>
              <w:rPr>
                <w:rFonts w:hint="default"/>
                <w:highlight w:val="none"/>
                <w:lang w:val="en-US" w:eastAsia="zh-CN"/>
              </w:rPr>
            </w:pPr>
            <w:r>
              <w:rPr>
                <w:rFonts w:hint="default"/>
                <w:highlight w:val="none"/>
                <w:lang w:val="en-US" w:eastAsia="zh-CN"/>
              </w:rPr>
              <w:t>70</w:t>
            </w:r>
          </w:p>
        </w:tc>
        <w:tc>
          <w:tcPr>
            <w:tcW w:w="364" w:type="pct"/>
            <w:tcBorders>
              <w:tl2br w:val="nil"/>
              <w:tr2bl w:val="nil"/>
            </w:tcBorders>
            <w:shd w:val="clear" w:color="auto" w:fill="auto"/>
            <w:vAlign w:val="center"/>
          </w:tcPr>
          <w:p w14:paraId="13CFB3A6">
            <w:pPr>
              <w:pStyle w:val="8"/>
              <w:suppressLineNumbers w:val="0"/>
              <w:bidi w:val="0"/>
              <w:spacing w:before="0" w:beforeAutospacing="0" w:after="0" w:afterAutospacing="0"/>
              <w:ind w:left="0" w:right="0"/>
              <w:jc w:val="center"/>
              <w:rPr>
                <w:rFonts w:hint="default"/>
                <w:highlight w:val="none"/>
              </w:rPr>
            </w:pPr>
            <w:r>
              <w:rPr>
                <w:rFonts w:hint="default"/>
                <w:highlight w:val="none"/>
                <w:lang w:val="en-US" w:eastAsia="en-US"/>
              </w:rPr>
              <w:t>0</w:t>
            </w:r>
          </w:p>
        </w:tc>
        <w:tc>
          <w:tcPr>
            <w:tcW w:w="420" w:type="pct"/>
            <w:tcBorders>
              <w:tl2br w:val="nil"/>
              <w:tr2bl w:val="nil"/>
            </w:tcBorders>
            <w:shd w:val="clear" w:color="auto" w:fill="auto"/>
            <w:vAlign w:val="center"/>
          </w:tcPr>
          <w:p w14:paraId="32A1C27B">
            <w:pPr>
              <w:pStyle w:val="8"/>
              <w:suppressLineNumbers w:val="0"/>
              <w:bidi w:val="0"/>
              <w:spacing w:before="0" w:beforeAutospacing="0" w:after="0" w:afterAutospacing="0"/>
              <w:ind w:left="0" w:right="0"/>
              <w:jc w:val="center"/>
              <w:rPr>
                <w:rFonts w:hint="default"/>
                <w:highlight w:val="none"/>
                <w:lang w:eastAsia="en-US"/>
              </w:rPr>
            </w:pPr>
            <w:r>
              <w:rPr>
                <w:rFonts w:hint="default"/>
                <w:highlight w:val="none"/>
                <w:lang w:val="en-US" w:eastAsia="en-US"/>
              </w:rPr>
              <w:t>达标</w:t>
            </w:r>
          </w:p>
        </w:tc>
      </w:tr>
    </w:tbl>
    <w:p w14:paraId="0E14A3D5">
      <w:pPr>
        <w:bidi w:val="0"/>
        <w:rPr>
          <w:rFonts w:hint="default"/>
          <w:b/>
          <w:bCs/>
          <w:highlight w:val="none"/>
          <w:lang w:val="en-US"/>
        </w:rPr>
      </w:pPr>
      <w:r>
        <w:rPr>
          <w:rFonts w:hint="default"/>
          <w:b/>
          <w:bCs/>
          <w:highlight w:val="none"/>
          <w:lang w:val="en-US" w:eastAsia="zh-CN"/>
        </w:rPr>
        <w:t>4.2.5.5</w:t>
      </w:r>
      <w:r>
        <w:rPr>
          <w:rFonts w:hint="eastAsia"/>
          <w:b/>
          <w:bCs/>
          <w:highlight w:val="none"/>
          <w:lang w:val="en-US" w:eastAsia="zh-CN"/>
        </w:rPr>
        <w:t>评价结论</w:t>
      </w:r>
    </w:p>
    <w:p w14:paraId="0E982B80">
      <w:pPr>
        <w:bidi w:val="0"/>
        <w:rPr>
          <w:rFonts w:hint="default"/>
          <w:highlight w:val="none"/>
          <w:lang w:val="en-US"/>
        </w:rPr>
      </w:pPr>
      <w:r>
        <w:rPr>
          <w:rFonts w:hint="eastAsia"/>
          <w:highlight w:val="none"/>
          <w:lang w:val="en-US" w:eastAsia="zh-CN"/>
        </w:rPr>
        <w:t>本项目用地类型为独立工矿用地，根据《土壤环境质量建设用地土壤污染风险管控标准（试行）》（</w:t>
      </w:r>
      <w:r>
        <w:rPr>
          <w:rFonts w:hint="default"/>
          <w:highlight w:val="none"/>
          <w:lang w:val="en-US" w:eastAsia="zh-CN"/>
        </w:rPr>
        <w:t>GB36600-2018</w:t>
      </w:r>
      <w:r>
        <w:rPr>
          <w:rFonts w:hint="eastAsia"/>
          <w:highlight w:val="none"/>
          <w:lang w:val="en-US" w:eastAsia="zh-CN"/>
        </w:rPr>
        <w:t>）属于第二类用地，各类土壤污染物监测结果低于《土壤环境质量建设用地土壤污染风险管控标准（试行）》（</w:t>
      </w:r>
      <w:r>
        <w:rPr>
          <w:rFonts w:hint="default"/>
          <w:highlight w:val="none"/>
          <w:lang w:val="en-US" w:eastAsia="zh-CN"/>
        </w:rPr>
        <w:t>GB36600-2018</w:t>
      </w:r>
      <w:r>
        <w:rPr>
          <w:rFonts w:hint="eastAsia"/>
          <w:highlight w:val="none"/>
          <w:lang w:val="en-US" w:eastAsia="zh-CN"/>
        </w:rPr>
        <w:t>）第二类用地中的筛选值。</w:t>
      </w:r>
    </w:p>
    <w:p w14:paraId="3E2B659A">
      <w:pPr>
        <w:pStyle w:val="4"/>
        <w:bidi w:val="0"/>
        <w:rPr>
          <w:highlight w:val="none"/>
        </w:rPr>
      </w:pPr>
      <w:bookmarkStart w:id="384" w:name="_Toc31564"/>
      <w:bookmarkStart w:id="385" w:name="_Toc24631"/>
      <w:r>
        <w:rPr>
          <w:highlight w:val="none"/>
        </w:rPr>
        <w:t>4.2.</w:t>
      </w:r>
      <w:r>
        <w:rPr>
          <w:rFonts w:hint="eastAsia"/>
          <w:highlight w:val="none"/>
          <w:lang w:val="en-US" w:eastAsia="zh-CN"/>
        </w:rPr>
        <w:t>6</w:t>
      </w:r>
      <w:r>
        <w:rPr>
          <w:highlight w:val="none"/>
        </w:rPr>
        <w:t>生态环境现状调查</w:t>
      </w:r>
      <w:bookmarkEnd w:id="384"/>
      <w:bookmarkEnd w:id="385"/>
    </w:p>
    <w:p w14:paraId="32514338">
      <w:pPr>
        <w:pStyle w:val="719"/>
        <w:ind w:firstLine="480"/>
        <w:contextualSpacing/>
        <w:rPr>
          <w:rFonts w:ascii="Times New Roman" w:hAnsi="Times New Roman" w:cs="Times New Roman"/>
          <w:highlight w:val="none"/>
        </w:rPr>
      </w:pPr>
      <w:r>
        <w:rPr>
          <w:rFonts w:ascii="Times New Roman" w:cs="Times New Roman" w:hAnsiTheme="minorEastAsia"/>
          <w:highlight w:val="none"/>
        </w:rPr>
        <w:t>本项目建设地点位于</w:t>
      </w:r>
      <w:r>
        <w:rPr>
          <w:rFonts w:ascii="Times New Roman" w:cs="Times New Roman" w:hAnsiTheme="minorEastAsia"/>
          <w:snapToGrid w:val="0"/>
          <w:kern w:val="0"/>
          <w:highlight w:val="none"/>
        </w:rPr>
        <w:t>哈尔滨市平房区征仪南路</w:t>
      </w:r>
      <w:r>
        <w:rPr>
          <w:rFonts w:ascii="Times New Roman" w:hAnsi="Times New Roman" w:cs="Times New Roman"/>
          <w:snapToGrid w:val="0"/>
          <w:kern w:val="0"/>
          <w:highlight w:val="none"/>
        </w:rPr>
        <w:t>6</w:t>
      </w:r>
      <w:r>
        <w:rPr>
          <w:rFonts w:ascii="Times New Roman" w:cs="Times New Roman" w:hAnsiTheme="minorEastAsia"/>
          <w:snapToGrid w:val="0"/>
          <w:kern w:val="0"/>
          <w:highlight w:val="none"/>
        </w:rPr>
        <w:t>号，哈尔滨东安汽车发动机制造有限公司</w:t>
      </w:r>
      <w:r>
        <w:rPr>
          <w:rFonts w:hint="eastAsia" w:ascii="Times New Roman" w:cs="Times New Roman" w:hAnsiTheme="minorEastAsia"/>
          <w:snapToGrid w:val="0"/>
          <w:kern w:val="0"/>
          <w:highlight w:val="none"/>
          <w:lang w:val="en-US" w:eastAsia="zh-CN"/>
        </w:rPr>
        <w:t>院内</w:t>
      </w:r>
      <w:r>
        <w:rPr>
          <w:rFonts w:ascii="Times New Roman" w:cs="Times New Roman" w:hAnsiTheme="minorEastAsia"/>
          <w:highlight w:val="none"/>
        </w:rPr>
        <w:t>，经调查，本项目所在地区周围均为工业企业，项目所在位置用地性质为工业用地，由于多年的开发活动，本区自然生态环境已为人工生态环境所取代。</w:t>
      </w:r>
      <w:r>
        <w:rPr>
          <w:rFonts w:ascii="Times New Roman" w:cs="Times New Roman" w:hAnsiTheme="minorEastAsia"/>
          <w:bCs/>
          <w:szCs w:val="24"/>
          <w:highlight w:val="none"/>
        </w:rPr>
        <w:t>本项目所在地区</w:t>
      </w:r>
      <w:r>
        <w:rPr>
          <w:rFonts w:ascii="Times New Roman" w:cs="Times New Roman" w:hAnsiTheme="minorEastAsia"/>
          <w:highlight w:val="none"/>
        </w:rPr>
        <w:t>没有野生动物保护品种，也未发现濒危、珍惜动物栖息场所，区域内无国家、省、市级自然保护区、风景名胜区等保护目标，区域整体生态环境质量较好。</w:t>
      </w:r>
    </w:p>
    <w:p w14:paraId="48E4B97B">
      <w:pPr>
        <w:pStyle w:val="3"/>
        <w:bidi w:val="0"/>
        <w:rPr>
          <w:highlight w:val="none"/>
        </w:rPr>
      </w:pPr>
      <w:bookmarkStart w:id="386" w:name="_Toc519"/>
      <w:bookmarkStart w:id="387" w:name="_Toc9604"/>
      <w:bookmarkStart w:id="388" w:name="_Toc22113"/>
      <w:bookmarkStart w:id="389" w:name="_Toc514938163"/>
      <w:bookmarkStart w:id="390" w:name="_Toc490807013"/>
      <w:r>
        <w:rPr>
          <w:highlight w:val="none"/>
        </w:rPr>
        <w:t>4.3环境保护目标调查</w:t>
      </w:r>
      <w:bookmarkEnd w:id="386"/>
      <w:bookmarkEnd w:id="387"/>
      <w:bookmarkEnd w:id="388"/>
    </w:p>
    <w:p w14:paraId="0739C8E0">
      <w:pPr>
        <w:bidi w:val="0"/>
        <w:rPr>
          <w:rFonts w:hAnsiTheme="minorEastAsia" w:eastAsiaTheme="minorEastAsia"/>
          <w:bCs/>
          <w:kern w:val="44"/>
          <w:sz w:val="24"/>
          <w:highlight w:val="none"/>
        </w:rPr>
      </w:pPr>
      <w:r>
        <w:rPr>
          <w:rFonts w:hAnsiTheme="minorEastAsia" w:eastAsiaTheme="minorEastAsia"/>
          <w:bCs/>
          <w:kern w:val="44"/>
          <w:sz w:val="24"/>
          <w:highlight w:val="none"/>
        </w:rPr>
        <w:t>调查过程：根据《建设项目环境影响评价技术导则总纲》（</w:t>
      </w:r>
      <w:r>
        <w:rPr>
          <w:rFonts w:eastAsiaTheme="minorEastAsia"/>
          <w:bCs/>
          <w:kern w:val="44"/>
          <w:sz w:val="24"/>
          <w:highlight w:val="none"/>
        </w:rPr>
        <w:t>HJ2.1-2016</w:t>
      </w:r>
      <w:r>
        <w:rPr>
          <w:rFonts w:hAnsiTheme="minorEastAsia" w:eastAsiaTheme="minorEastAsia"/>
          <w:bCs/>
          <w:kern w:val="44"/>
          <w:sz w:val="24"/>
          <w:highlight w:val="none"/>
        </w:rPr>
        <w:t>），环境保护目标调查应调查评价范围内的环境功能区划和主要的环境敏感区，详细了解环境保护目标的地理位置、服务功能、四至范围、保护对象和保护要求等。调查过程见下表：</w:t>
      </w:r>
    </w:p>
    <w:p w14:paraId="6C8E781C">
      <w:pPr>
        <w:pStyle w:val="7"/>
        <w:bidi w:val="0"/>
        <w:rPr>
          <w:highlight w:val="none"/>
        </w:rPr>
      </w:pPr>
      <w:r>
        <w:rPr>
          <w:highlight w:val="none"/>
        </w:rPr>
        <w:t>表4-3-1环境保护目标调查表</w:t>
      </w:r>
    </w:p>
    <w:tbl>
      <w:tblPr>
        <w:tblStyle w:val="4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Layout w:type="fixed"/>
        <w:tblCellMar>
          <w:top w:w="0" w:type="dxa"/>
          <w:left w:w="108" w:type="dxa"/>
          <w:bottom w:w="0" w:type="dxa"/>
          <w:right w:w="108" w:type="dxa"/>
        </w:tblCellMar>
      </w:tblPr>
      <w:tblGrid>
        <w:gridCol w:w="1101"/>
        <w:gridCol w:w="1275"/>
        <w:gridCol w:w="1134"/>
        <w:gridCol w:w="2989"/>
        <w:gridCol w:w="880"/>
        <w:gridCol w:w="1143"/>
      </w:tblGrid>
      <w:tr w14:paraId="4DD15F16">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3" w:hRule="atLeast"/>
        </w:trPr>
        <w:tc>
          <w:tcPr>
            <w:tcW w:w="1101" w:type="dxa"/>
            <w:tcBorders>
              <w:tl2br w:val="nil"/>
              <w:tr2bl w:val="nil"/>
            </w:tcBorders>
            <w:vAlign w:val="center"/>
          </w:tcPr>
          <w:p w14:paraId="20AAA1F3">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napToGrid w:val="0"/>
                <w:kern w:val="0"/>
                <w:sz w:val="21"/>
                <w:szCs w:val="21"/>
                <w:highlight w:val="none"/>
              </w:rPr>
            </w:pPr>
            <w:r>
              <w:rPr>
                <w:rFonts w:hint="default" w:ascii="Times New Roman" w:cs="Times New Roman" w:hAnsiTheme="minorEastAsia" w:eastAsiaTheme="minorEastAsia"/>
                <w:snapToGrid w:val="0"/>
                <w:kern w:val="2"/>
                <w:sz w:val="21"/>
                <w:szCs w:val="21"/>
                <w:highlight w:val="none"/>
              </w:rPr>
              <w:t>名称</w:t>
            </w:r>
          </w:p>
        </w:tc>
        <w:tc>
          <w:tcPr>
            <w:tcW w:w="1275" w:type="dxa"/>
            <w:tcBorders>
              <w:tl2br w:val="nil"/>
              <w:tr2bl w:val="nil"/>
            </w:tcBorders>
            <w:vAlign w:val="center"/>
          </w:tcPr>
          <w:p w14:paraId="084B7A3E">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napToGrid w:val="0"/>
                <w:kern w:val="0"/>
                <w:sz w:val="21"/>
                <w:szCs w:val="21"/>
                <w:highlight w:val="none"/>
              </w:rPr>
            </w:pPr>
            <w:r>
              <w:rPr>
                <w:rFonts w:hint="default" w:ascii="Times New Roman" w:cs="Times New Roman" w:hAnsiTheme="minorEastAsia" w:eastAsiaTheme="minorEastAsia"/>
                <w:snapToGrid w:val="0"/>
                <w:kern w:val="2"/>
                <w:sz w:val="21"/>
                <w:szCs w:val="21"/>
                <w:highlight w:val="none"/>
              </w:rPr>
              <w:t>地理位置</w:t>
            </w:r>
          </w:p>
        </w:tc>
        <w:tc>
          <w:tcPr>
            <w:tcW w:w="1134" w:type="dxa"/>
            <w:tcBorders>
              <w:tl2br w:val="nil"/>
              <w:tr2bl w:val="nil"/>
            </w:tcBorders>
            <w:vAlign w:val="center"/>
          </w:tcPr>
          <w:p w14:paraId="7BBBE463">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napToGrid w:val="0"/>
                <w:kern w:val="0"/>
                <w:sz w:val="21"/>
                <w:szCs w:val="21"/>
                <w:highlight w:val="none"/>
              </w:rPr>
            </w:pPr>
            <w:r>
              <w:rPr>
                <w:rFonts w:hint="default" w:ascii="Times New Roman" w:cs="Times New Roman" w:hAnsiTheme="minorEastAsia" w:eastAsiaTheme="minorEastAsia"/>
                <w:snapToGrid w:val="0"/>
                <w:kern w:val="2"/>
                <w:sz w:val="21"/>
                <w:szCs w:val="21"/>
                <w:highlight w:val="none"/>
              </w:rPr>
              <w:t>服务功能</w:t>
            </w:r>
          </w:p>
        </w:tc>
        <w:tc>
          <w:tcPr>
            <w:tcW w:w="2989" w:type="dxa"/>
            <w:tcBorders>
              <w:tl2br w:val="nil"/>
              <w:tr2bl w:val="nil"/>
            </w:tcBorders>
            <w:vAlign w:val="center"/>
          </w:tcPr>
          <w:p w14:paraId="71FF0497">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napToGrid w:val="0"/>
                <w:kern w:val="0"/>
                <w:sz w:val="21"/>
                <w:szCs w:val="21"/>
                <w:highlight w:val="none"/>
              </w:rPr>
            </w:pPr>
            <w:r>
              <w:rPr>
                <w:rFonts w:hint="default" w:ascii="Times New Roman" w:cs="Times New Roman" w:hAnsiTheme="minorEastAsia" w:eastAsiaTheme="minorEastAsia"/>
                <w:snapToGrid w:val="0"/>
                <w:kern w:val="2"/>
                <w:sz w:val="21"/>
                <w:szCs w:val="21"/>
                <w:highlight w:val="none"/>
              </w:rPr>
              <w:t>四至范围</w:t>
            </w:r>
          </w:p>
        </w:tc>
        <w:tc>
          <w:tcPr>
            <w:tcW w:w="880" w:type="dxa"/>
            <w:tcBorders>
              <w:tl2br w:val="nil"/>
              <w:tr2bl w:val="nil"/>
            </w:tcBorders>
            <w:vAlign w:val="center"/>
          </w:tcPr>
          <w:p w14:paraId="7A5D5B60">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napToGrid w:val="0"/>
                <w:kern w:val="0"/>
                <w:sz w:val="21"/>
                <w:szCs w:val="21"/>
                <w:highlight w:val="none"/>
              </w:rPr>
            </w:pPr>
            <w:r>
              <w:rPr>
                <w:rFonts w:hint="default" w:ascii="Times New Roman" w:cs="Times New Roman" w:hAnsiTheme="minorEastAsia" w:eastAsiaTheme="minorEastAsia"/>
                <w:snapToGrid w:val="0"/>
                <w:kern w:val="2"/>
                <w:sz w:val="21"/>
                <w:szCs w:val="21"/>
                <w:highlight w:val="none"/>
              </w:rPr>
              <w:t>保护对象</w:t>
            </w:r>
          </w:p>
        </w:tc>
        <w:tc>
          <w:tcPr>
            <w:tcW w:w="1143" w:type="dxa"/>
            <w:tcBorders>
              <w:tl2br w:val="nil"/>
              <w:tr2bl w:val="nil"/>
            </w:tcBorders>
            <w:vAlign w:val="center"/>
          </w:tcPr>
          <w:p w14:paraId="254C72EA">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napToGrid w:val="0"/>
                <w:kern w:val="0"/>
                <w:sz w:val="21"/>
                <w:szCs w:val="21"/>
                <w:highlight w:val="none"/>
              </w:rPr>
            </w:pPr>
            <w:r>
              <w:rPr>
                <w:rFonts w:hint="default" w:ascii="Times New Roman" w:cs="Times New Roman" w:hAnsiTheme="minorEastAsia" w:eastAsiaTheme="minorEastAsia"/>
                <w:snapToGrid w:val="0"/>
                <w:kern w:val="2"/>
                <w:sz w:val="21"/>
                <w:szCs w:val="21"/>
                <w:highlight w:val="none"/>
              </w:rPr>
              <w:t>保护要求</w:t>
            </w:r>
          </w:p>
        </w:tc>
      </w:tr>
      <w:tr w14:paraId="236E1284">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3" w:hRule="atLeast"/>
        </w:trPr>
        <w:tc>
          <w:tcPr>
            <w:tcW w:w="1101" w:type="dxa"/>
            <w:tcBorders>
              <w:tl2br w:val="nil"/>
              <w:tr2bl w:val="nil"/>
            </w:tcBorders>
            <w:vAlign w:val="center"/>
          </w:tcPr>
          <w:p w14:paraId="485FDF98">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napToGrid w:val="0"/>
                <w:kern w:val="0"/>
                <w:sz w:val="21"/>
                <w:szCs w:val="21"/>
                <w:highlight w:val="none"/>
              </w:rPr>
            </w:pPr>
            <w:r>
              <w:rPr>
                <w:rFonts w:hint="default" w:ascii="Times New Roman" w:cs="Times New Roman" w:hAnsiTheme="minorEastAsia" w:eastAsiaTheme="minorEastAsia"/>
                <w:snapToGrid w:val="0"/>
                <w:kern w:val="2"/>
                <w:sz w:val="21"/>
                <w:szCs w:val="21"/>
                <w:highlight w:val="none"/>
              </w:rPr>
              <w:t>平房区</w:t>
            </w:r>
          </w:p>
        </w:tc>
        <w:tc>
          <w:tcPr>
            <w:tcW w:w="1275" w:type="dxa"/>
            <w:tcBorders>
              <w:tl2br w:val="nil"/>
              <w:tr2bl w:val="nil"/>
            </w:tcBorders>
            <w:vAlign w:val="center"/>
          </w:tcPr>
          <w:p w14:paraId="3932A599">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napToGrid w:val="0"/>
                <w:kern w:val="2"/>
                <w:sz w:val="21"/>
                <w:szCs w:val="21"/>
                <w:highlight w:val="none"/>
              </w:rPr>
            </w:pPr>
            <w:r>
              <w:rPr>
                <w:rFonts w:hint="default" w:ascii="Times New Roman" w:hAnsi="Times New Roman" w:cs="Times New Roman" w:eastAsiaTheme="minorEastAsia"/>
                <w:snapToGrid w:val="0"/>
                <w:kern w:val="2"/>
                <w:sz w:val="21"/>
                <w:szCs w:val="21"/>
                <w:highlight w:val="none"/>
              </w:rPr>
              <w:t xml:space="preserve">N </w:t>
            </w:r>
            <w:r>
              <w:rPr>
                <w:rFonts w:hint="eastAsia" w:ascii="Times New Roman" w:hAnsi="Times New Roman" w:cs="Times New Roman" w:eastAsiaTheme="minorEastAsia"/>
                <w:snapToGrid w:val="0"/>
                <w:kern w:val="2"/>
                <w:sz w:val="21"/>
                <w:szCs w:val="21"/>
                <w:highlight w:val="none"/>
              </w:rPr>
              <w:t>4.15k</w:t>
            </w:r>
            <w:r>
              <w:rPr>
                <w:rFonts w:hint="default" w:ascii="Times New Roman" w:hAnsi="Times New Roman" w:cs="Times New Roman" w:eastAsiaTheme="minorEastAsia"/>
                <w:snapToGrid w:val="0"/>
                <w:kern w:val="2"/>
                <w:sz w:val="21"/>
                <w:szCs w:val="21"/>
                <w:highlight w:val="none"/>
              </w:rPr>
              <w:t>m</w:t>
            </w:r>
          </w:p>
          <w:p w14:paraId="59241462">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napToGrid w:val="0"/>
                <w:kern w:val="2"/>
                <w:sz w:val="21"/>
                <w:szCs w:val="21"/>
                <w:highlight w:val="none"/>
              </w:rPr>
            </w:pPr>
            <w:r>
              <w:rPr>
                <w:rFonts w:hint="eastAsia" w:ascii="Times New Roman" w:hAnsi="Times New Roman" w:cs="Times New Roman" w:eastAsiaTheme="minorEastAsia"/>
                <w:snapToGrid w:val="0"/>
                <w:kern w:val="2"/>
                <w:sz w:val="21"/>
                <w:szCs w:val="21"/>
                <w:highlight w:val="none"/>
              </w:rPr>
              <w:t>W</w:t>
            </w:r>
            <w:r>
              <w:rPr>
                <w:rFonts w:hint="default" w:ascii="Times New Roman" w:hAnsi="Times New Roman" w:cs="Times New Roman" w:eastAsiaTheme="minorEastAsia"/>
                <w:snapToGrid w:val="0"/>
                <w:kern w:val="2"/>
                <w:sz w:val="21"/>
                <w:szCs w:val="21"/>
                <w:highlight w:val="none"/>
              </w:rPr>
              <w:t xml:space="preserve"> </w:t>
            </w:r>
            <w:r>
              <w:rPr>
                <w:rFonts w:hint="eastAsia" w:ascii="Times New Roman" w:hAnsi="Times New Roman" w:cs="Times New Roman" w:eastAsiaTheme="minorEastAsia"/>
                <w:snapToGrid w:val="0"/>
                <w:kern w:val="2"/>
                <w:sz w:val="21"/>
                <w:szCs w:val="21"/>
                <w:highlight w:val="none"/>
              </w:rPr>
              <w:t>1.53</w:t>
            </w:r>
            <w:r>
              <w:rPr>
                <w:rFonts w:hint="default" w:ascii="Times New Roman" w:hAnsi="Times New Roman" w:cs="Times New Roman" w:eastAsiaTheme="minorEastAsia"/>
                <w:snapToGrid w:val="0"/>
                <w:kern w:val="2"/>
                <w:sz w:val="21"/>
                <w:szCs w:val="21"/>
                <w:highlight w:val="none"/>
              </w:rPr>
              <w:t>m</w:t>
            </w:r>
          </w:p>
          <w:p w14:paraId="38C5CB3B">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napToGrid w:val="0"/>
                <w:kern w:val="0"/>
                <w:sz w:val="21"/>
                <w:szCs w:val="21"/>
                <w:highlight w:val="none"/>
              </w:rPr>
            </w:pPr>
            <w:r>
              <w:rPr>
                <w:rFonts w:hint="default" w:ascii="Times New Roman" w:hAnsi="Times New Roman" w:cs="Times New Roman" w:eastAsiaTheme="minorEastAsia"/>
                <w:snapToGrid w:val="0"/>
                <w:kern w:val="2"/>
                <w:sz w:val="21"/>
                <w:szCs w:val="21"/>
                <w:highlight w:val="none"/>
              </w:rPr>
              <w:t>S</w:t>
            </w:r>
            <w:r>
              <w:rPr>
                <w:rFonts w:hint="eastAsia" w:ascii="Times New Roman" w:hAnsi="Times New Roman" w:cs="Times New Roman" w:eastAsiaTheme="minorEastAsia"/>
                <w:snapToGrid w:val="0"/>
                <w:kern w:val="2"/>
                <w:sz w:val="21"/>
                <w:szCs w:val="21"/>
                <w:highlight w:val="none"/>
              </w:rPr>
              <w:t>W 1.41k</w:t>
            </w:r>
            <w:r>
              <w:rPr>
                <w:rFonts w:hint="default" w:ascii="Times New Roman" w:hAnsi="Times New Roman" w:cs="Times New Roman" w:eastAsiaTheme="minorEastAsia"/>
                <w:snapToGrid w:val="0"/>
                <w:kern w:val="2"/>
                <w:sz w:val="21"/>
                <w:szCs w:val="21"/>
                <w:highlight w:val="none"/>
              </w:rPr>
              <w:t>m</w:t>
            </w:r>
          </w:p>
          <w:p w14:paraId="7BC013E9">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napToGrid w:val="0"/>
                <w:kern w:val="0"/>
                <w:sz w:val="21"/>
                <w:szCs w:val="21"/>
                <w:highlight w:val="none"/>
              </w:rPr>
            </w:pPr>
            <w:r>
              <w:rPr>
                <w:rFonts w:hint="default" w:ascii="Times New Roman" w:hAnsi="Times New Roman" w:cs="Times New Roman" w:eastAsiaTheme="minorEastAsia"/>
                <w:snapToGrid w:val="0"/>
                <w:kern w:val="2"/>
                <w:sz w:val="21"/>
                <w:szCs w:val="21"/>
                <w:highlight w:val="none"/>
              </w:rPr>
              <w:t xml:space="preserve">S </w:t>
            </w:r>
            <w:r>
              <w:rPr>
                <w:rFonts w:hint="eastAsia" w:ascii="Times New Roman" w:hAnsi="Times New Roman" w:cs="Times New Roman" w:eastAsiaTheme="minorEastAsia"/>
                <w:snapToGrid w:val="0"/>
                <w:kern w:val="2"/>
                <w:sz w:val="21"/>
                <w:szCs w:val="21"/>
                <w:highlight w:val="none"/>
              </w:rPr>
              <w:t>1.90k</w:t>
            </w:r>
            <w:r>
              <w:rPr>
                <w:rFonts w:hint="default" w:ascii="Times New Roman" w:hAnsi="Times New Roman" w:cs="Times New Roman" w:eastAsiaTheme="minorEastAsia"/>
                <w:snapToGrid w:val="0"/>
                <w:kern w:val="2"/>
                <w:sz w:val="21"/>
                <w:szCs w:val="21"/>
                <w:highlight w:val="none"/>
              </w:rPr>
              <w:t>m</w:t>
            </w:r>
          </w:p>
        </w:tc>
        <w:tc>
          <w:tcPr>
            <w:tcW w:w="1134" w:type="dxa"/>
            <w:tcBorders>
              <w:tl2br w:val="nil"/>
              <w:tr2bl w:val="nil"/>
            </w:tcBorders>
            <w:vAlign w:val="center"/>
          </w:tcPr>
          <w:p w14:paraId="3092539F">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napToGrid w:val="0"/>
                <w:kern w:val="0"/>
                <w:sz w:val="21"/>
                <w:szCs w:val="21"/>
                <w:highlight w:val="none"/>
              </w:rPr>
            </w:pPr>
            <w:r>
              <w:rPr>
                <w:rFonts w:hint="default" w:ascii="Times New Roman" w:cs="Times New Roman" w:hAnsiTheme="minorEastAsia" w:eastAsiaTheme="minorEastAsia"/>
                <w:snapToGrid w:val="0"/>
                <w:kern w:val="2"/>
                <w:sz w:val="21"/>
                <w:szCs w:val="21"/>
                <w:highlight w:val="none"/>
              </w:rPr>
              <w:t>城市</w:t>
            </w:r>
          </w:p>
        </w:tc>
        <w:tc>
          <w:tcPr>
            <w:tcW w:w="2989" w:type="dxa"/>
            <w:tcBorders>
              <w:tl2br w:val="nil"/>
              <w:tr2bl w:val="nil"/>
            </w:tcBorders>
            <w:vAlign w:val="center"/>
          </w:tcPr>
          <w:p w14:paraId="68182D9B">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napToGrid w:val="0"/>
                <w:kern w:val="0"/>
                <w:sz w:val="21"/>
                <w:szCs w:val="21"/>
                <w:highlight w:val="none"/>
              </w:rPr>
            </w:pPr>
            <w:r>
              <w:rPr>
                <w:rFonts w:hint="default" w:ascii="Times New Roman" w:cs="Times New Roman" w:hAnsiTheme="minorEastAsia" w:eastAsiaTheme="minorEastAsia"/>
                <w:snapToGrid w:val="0"/>
                <w:kern w:val="2"/>
                <w:sz w:val="21"/>
                <w:szCs w:val="21"/>
                <w:highlight w:val="none"/>
              </w:rPr>
              <w:t>东至</w:t>
            </w:r>
            <w:r>
              <w:rPr>
                <w:rFonts w:hint="eastAsia" w:ascii="Times New Roman" w:cs="Times New Roman" w:hAnsiTheme="minorEastAsia" w:eastAsiaTheme="minorEastAsia"/>
                <w:snapToGrid w:val="0"/>
                <w:kern w:val="2"/>
                <w:sz w:val="21"/>
                <w:szCs w:val="21"/>
                <w:highlight w:val="none"/>
              </w:rPr>
              <w:t>哈尔滨</w:t>
            </w:r>
            <w:r>
              <w:rPr>
                <w:rFonts w:hint="default" w:ascii="Times New Roman" w:cs="Times New Roman" w:hAnsiTheme="minorEastAsia" w:eastAsiaTheme="minorEastAsia"/>
                <w:snapToGrid w:val="0"/>
                <w:kern w:val="2"/>
                <w:sz w:val="21"/>
                <w:szCs w:val="21"/>
                <w:highlight w:val="none"/>
              </w:rPr>
              <w:t>绕城高速，南至</w:t>
            </w:r>
            <w:r>
              <w:rPr>
                <w:rFonts w:hint="eastAsia" w:ascii="Times New Roman" w:cs="Times New Roman" w:hAnsiTheme="minorEastAsia" w:eastAsiaTheme="minorEastAsia"/>
                <w:snapToGrid w:val="0"/>
                <w:kern w:val="2"/>
                <w:sz w:val="21"/>
                <w:szCs w:val="21"/>
                <w:highlight w:val="none"/>
              </w:rPr>
              <w:t>联盟南路</w:t>
            </w:r>
            <w:r>
              <w:rPr>
                <w:rFonts w:hint="default" w:ascii="Times New Roman" w:cs="Times New Roman" w:hAnsiTheme="minorEastAsia" w:eastAsiaTheme="minorEastAsia"/>
                <w:snapToGrid w:val="0"/>
                <w:kern w:val="2"/>
                <w:sz w:val="21"/>
                <w:szCs w:val="21"/>
                <w:highlight w:val="none"/>
              </w:rPr>
              <w:t>，西至</w:t>
            </w:r>
            <w:r>
              <w:rPr>
                <w:rFonts w:hint="eastAsia" w:ascii="Times New Roman" w:cs="Times New Roman" w:hAnsiTheme="minorEastAsia" w:eastAsiaTheme="minorEastAsia"/>
                <w:snapToGrid w:val="0"/>
                <w:kern w:val="2"/>
                <w:sz w:val="21"/>
                <w:szCs w:val="21"/>
                <w:highlight w:val="none"/>
              </w:rPr>
              <w:t>102国道</w:t>
            </w:r>
            <w:r>
              <w:rPr>
                <w:rFonts w:hint="default" w:ascii="Times New Roman" w:cs="Times New Roman" w:hAnsiTheme="minorEastAsia" w:eastAsiaTheme="minorEastAsia"/>
                <w:snapToGrid w:val="0"/>
                <w:kern w:val="2"/>
                <w:sz w:val="21"/>
                <w:szCs w:val="21"/>
                <w:highlight w:val="none"/>
              </w:rPr>
              <w:t>，北至</w:t>
            </w:r>
            <w:r>
              <w:rPr>
                <w:rFonts w:hint="eastAsia" w:ascii="Times New Roman" w:cs="Times New Roman" w:hAnsiTheme="minorEastAsia" w:eastAsiaTheme="minorEastAsia"/>
                <w:snapToGrid w:val="0"/>
                <w:kern w:val="2"/>
                <w:sz w:val="21"/>
                <w:szCs w:val="21"/>
                <w:highlight w:val="none"/>
              </w:rPr>
              <w:t>哈尔滨</w:t>
            </w:r>
            <w:r>
              <w:rPr>
                <w:rFonts w:hint="default" w:ascii="Times New Roman" w:cs="Times New Roman" w:hAnsiTheme="minorEastAsia" w:eastAsiaTheme="minorEastAsia"/>
                <w:snapToGrid w:val="0"/>
                <w:kern w:val="2"/>
                <w:sz w:val="21"/>
                <w:szCs w:val="21"/>
                <w:highlight w:val="none"/>
              </w:rPr>
              <w:t>剑桥学院</w:t>
            </w:r>
          </w:p>
        </w:tc>
        <w:tc>
          <w:tcPr>
            <w:tcW w:w="880" w:type="dxa"/>
            <w:vMerge w:val="restart"/>
            <w:tcBorders>
              <w:tl2br w:val="nil"/>
              <w:tr2bl w:val="nil"/>
            </w:tcBorders>
            <w:vAlign w:val="center"/>
          </w:tcPr>
          <w:p w14:paraId="175BF7DF">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r>
              <w:rPr>
                <w:rFonts w:hint="default" w:ascii="Times New Roman" w:cs="Times New Roman" w:hAnsiTheme="minorEastAsia" w:eastAsiaTheme="minorEastAsia"/>
                <w:snapToGrid w:val="0"/>
                <w:kern w:val="0"/>
                <w:sz w:val="21"/>
                <w:szCs w:val="21"/>
                <w:highlight w:val="none"/>
              </w:rPr>
              <w:t>居民</w:t>
            </w:r>
          </w:p>
        </w:tc>
        <w:tc>
          <w:tcPr>
            <w:tcW w:w="1143" w:type="dxa"/>
            <w:vMerge w:val="restart"/>
            <w:tcBorders>
              <w:tl2br w:val="nil"/>
              <w:tr2bl w:val="nil"/>
            </w:tcBorders>
            <w:vAlign w:val="center"/>
          </w:tcPr>
          <w:p w14:paraId="4BCBB917">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r>
              <w:rPr>
                <w:rFonts w:hint="default" w:ascii="Times New Roman" w:cs="Times New Roman" w:hAnsiTheme="minorEastAsia" w:eastAsiaTheme="minorEastAsia"/>
                <w:snapToGrid w:val="0"/>
                <w:kern w:val="2"/>
                <w:sz w:val="21"/>
                <w:szCs w:val="21"/>
                <w:highlight w:val="none"/>
              </w:rPr>
              <w:t>《环境空气质量标准》（</w:t>
            </w:r>
            <w:r>
              <w:rPr>
                <w:rFonts w:hint="default" w:ascii="Times New Roman" w:hAnsi="Times New Roman" w:cs="Times New Roman" w:eastAsiaTheme="minorEastAsia"/>
                <w:snapToGrid w:val="0"/>
                <w:kern w:val="2"/>
                <w:sz w:val="21"/>
                <w:szCs w:val="21"/>
                <w:highlight w:val="none"/>
              </w:rPr>
              <w:t>GB3095-2012</w:t>
            </w:r>
            <w:r>
              <w:rPr>
                <w:rFonts w:hint="default" w:ascii="Times New Roman" w:cs="Times New Roman" w:hAnsiTheme="minorEastAsia" w:eastAsiaTheme="minorEastAsia"/>
                <w:snapToGrid w:val="0"/>
                <w:kern w:val="2"/>
                <w:sz w:val="21"/>
                <w:szCs w:val="21"/>
                <w:highlight w:val="none"/>
              </w:rPr>
              <w:t>）二级标准</w:t>
            </w:r>
          </w:p>
        </w:tc>
      </w:tr>
      <w:tr w14:paraId="1C5201AA">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3" w:hRule="atLeast"/>
        </w:trPr>
        <w:tc>
          <w:tcPr>
            <w:tcW w:w="1101" w:type="dxa"/>
            <w:tcBorders>
              <w:tl2br w:val="nil"/>
              <w:tr2bl w:val="nil"/>
            </w:tcBorders>
            <w:vAlign w:val="center"/>
          </w:tcPr>
          <w:p w14:paraId="330274A6">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napToGrid w:val="0"/>
                <w:kern w:val="0"/>
                <w:sz w:val="21"/>
                <w:szCs w:val="21"/>
                <w:highlight w:val="none"/>
              </w:rPr>
            </w:pPr>
            <w:r>
              <w:rPr>
                <w:rFonts w:hint="default" w:ascii="Times New Roman" w:cs="Times New Roman" w:hAnsiTheme="minorEastAsia" w:eastAsiaTheme="minorEastAsia"/>
                <w:snapToGrid w:val="0"/>
                <w:kern w:val="2"/>
                <w:sz w:val="21"/>
                <w:szCs w:val="21"/>
                <w:highlight w:val="none"/>
              </w:rPr>
              <w:t>朝阳镇</w:t>
            </w:r>
          </w:p>
        </w:tc>
        <w:tc>
          <w:tcPr>
            <w:tcW w:w="1275" w:type="dxa"/>
            <w:tcBorders>
              <w:tl2br w:val="nil"/>
              <w:tr2bl w:val="nil"/>
            </w:tcBorders>
            <w:vAlign w:val="center"/>
          </w:tcPr>
          <w:p w14:paraId="722EA1F8">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napToGrid w:val="0"/>
                <w:kern w:val="0"/>
                <w:sz w:val="21"/>
                <w:szCs w:val="21"/>
                <w:highlight w:val="none"/>
              </w:rPr>
            </w:pPr>
            <w:r>
              <w:rPr>
                <w:rFonts w:hint="default" w:ascii="Times New Roman" w:hAnsi="Times New Roman" w:cs="Times New Roman" w:eastAsiaTheme="minorEastAsia"/>
                <w:snapToGrid w:val="0"/>
                <w:kern w:val="2"/>
                <w:sz w:val="21"/>
                <w:szCs w:val="21"/>
                <w:highlight w:val="none"/>
              </w:rPr>
              <w:t xml:space="preserve">N </w:t>
            </w:r>
            <w:r>
              <w:rPr>
                <w:rFonts w:hint="eastAsia" w:ascii="Times New Roman" w:hAnsi="Times New Roman" w:cs="Times New Roman" w:eastAsiaTheme="minorEastAsia"/>
                <w:snapToGrid w:val="0"/>
                <w:kern w:val="2"/>
                <w:sz w:val="21"/>
                <w:szCs w:val="21"/>
                <w:highlight w:val="none"/>
              </w:rPr>
              <w:t>2.16k</w:t>
            </w:r>
            <w:r>
              <w:rPr>
                <w:rFonts w:hint="default" w:ascii="Times New Roman" w:hAnsi="Times New Roman" w:cs="Times New Roman" w:eastAsiaTheme="minorEastAsia"/>
                <w:snapToGrid w:val="0"/>
                <w:kern w:val="2"/>
                <w:sz w:val="21"/>
                <w:szCs w:val="21"/>
                <w:highlight w:val="none"/>
              </w:rPr>
              <w:t>m</w:t>
            </w:r>
          </w:p>
        </w:tc>
        <w:tc>
          <w:tcPr>
            <w:tcW w:w="1134" w:type="dxa"/>
            <w:tcBorders>
              <w:tl2br w:val="nil"/>
              <w:tr2bl w:val="nil"/>
            </w:tcBorders>
            <w:vAlign w:val="center"/>
          </w:tcPr>
          <w:p w14:paraId="6A53BA31">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napToGrid w:val="0"/>
                <w:kern w:val="0"/>
                <w:sz w:val="21"/>
                <w:szCs w:val="21"/>
                <w:highlight w:val="none"/>
              </w:rPr>
            </w:pPr>
            <w:r>
              <w:rPr>
                <w:rFonts w:hint="eastAsia" w:ascii="Times New Roman" w:cs="Times New Roman" w:hAnsiTheme="minorEastAsia" w:eastAsiaTheme="minorEastAsia"/>
                <w:snapToGrid w:val="0"/>
                <w:kern w:val="2"/>
                <w:sz w:val="21"/>
                <w:szCs w:val="21"/>
                <w:highlight w:val="none"/>
              </w:rPr>
              <w:t>乡</w:t>
            </w:r>
            <w:r>
              <w:rPr>
                <w:rFonts w:hint="default" w:ascii="Times New Roman" w:cs="Times New Roman" w:hAnsiTheme="minorEastAsia" w:eastAsiaTheme="minorEastAsia"/>
                <w:snapToGrid w:val="0"/>
                <w:kern w:val="2"/>
                <w:sz w:val="21"/>
                <w:szCs w:val="21"/>
                <w:highlight w:val="none"/>
              </w:rPr>
              <w:t>镇</w:t>
            </w:r>
          </w:p>
        </w:tc>
        <w:tc>
          <w:tcPr>
            <w:tcW w:w="2989" w:type="dxa"/>
            <w:tcBorders>
              <w:tl2br w:val="nil"/>
              <w:tr2bl w:val="nil"/>
            </w:tcBorders>
            <w:vAlign w:val="center"/>
          </w:tcPr>
          <w:p w14:paraId="1F0C69B2">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napToGrid w:val="0"/>
                <w:kern w:val="0"/>
                <w:sz w:val="21"/>
                <w:szCs w:val="21"/>
                <w:highlight w:val="none"/>
              </w:rPr>
            </w:pPr>
            <w:r>
              <w:rPr>
                <w:rFonts w:hint="default" w:ascii="Times New Roman" w:cs="Times New Roman" w:hAnsiTheme="minorEastAsia" w:eastAsiaTheme="minorEastAsia"/>
                <w:snapToGrid w:val="0"/>
                <w:kern w:val="2"/>
                <w:sz w:val="21"/>
                <w:szCs w:val="21"/>
                <w:highlight w:val="none"/>
              </w:rPr>
              <w:t>东至温州路，南至</w:t>
            </w:r>
            <w:r>
              <w:rPr>
                <w:rFonts w:hint="eastAsia" w:ascii="Times New Roman" w:cs="Times New Roman" w:hAnsiTheme="minorEastAsia" w:eastAsiaTheme="minorEastAsia"/>
                <w:snapToGrid w:val="0"/>
                <w:kern w:val="2"/>
                <w:sz w:val="21"/>
                <w:szCs w:val="21"/>
                <w:highlight w:val="none"/>
              </w:rPr>
              <w:t>九三集团</w:t>
            </w:r>
            <w:r>
              <w:rPr>
                <w:rFonts w:hint="default" w:ascii="Times New Roman" w:cs="Times New Roman" w:hAnsiTheme="minorEastAsia" w:eastAsiaTheme="minorEastAsia"/>
                <w:snapToGrid w:val="0"/>
                <w:kern w:val="2"/>
                <w:sz w:val="21"/>
                <w:szCs w:val="21"/>
                <w:highlight w:val="none"/>
              </w:rPr>
              <w:t>哈尔滨惠康食品有限公司，西至哈平路，北至</w:t>
            </w:r>
            <w:r>
              <w:rPr>
                <w:rFonts w:hint="eastAsia" w:ascii="Times New Roman" w:cs="Times New Roman" w:hAnsiTheme="minorEastAsia" w:eastAsiaTheme="minorEastAsia"/>
                <w:snapToGrid w:val="0"/>
                <w:kern w:val="2"/>
                <w:sz w:val="21"/>
                <w:szCs w:val="21"/>
                <w:highlight w:val="none"/>
              </w:rPr>
              <w:t>三江</w:t>
            </w:r>
            <w:r>
              <w:rPr>
                <w:rFonts w:hint="default" w:ascii="Times New Roman" w:cs="Times New Roman" w:hAnsiTheme="minorEastAsia" w:eastAsiaTheme="minorEastAsia"/>
                <w:snapToGrid w:val="0"/>
                <w:kern w:val="2"/>
                <w:sz w:val="21"/>
                <w:szCs w:val="21"/>
                <w:highlight w:val="none"/>
              </w:rPr>
              <w:t>路</w:t>
            </w:r>
          </w:p>
        </w:tc>
        <w:tc>
          <w:tcPr>
            <w:tcW w:w="880" w:type="dxa"/>
            <w:vMerge w:val="continue"/>
            <w:tcBorders>
              <w:tl2br w:val="nil"/>
              <w:tr2bl w:val="nil"/>
            </w:tcBorders>
            <w:vAlign w:val="center"/>
          </w:tcPr>
          <w:p w14:paraId="2C6FD2EB">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p>
        </w:tc>
        <w:tc>
          <w:tcPr>
            <w:tcW w:w="1143" w:type="dxa"/>
            <w:vMerge w:val="continue"/>
            <w:tcBorders>
              <w:tl2br w:val="nil"/>
              <w:tr2bl w:val="nil"/>
            </w:tcBorders>
            <w:vAlign w:val="center"/>
          </w:tcPr>
          <w:p w14:paraId="366A02E2">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p>
        </w:tc>
      </w:tr>
      <w:tr w14:paraId="4189CE81">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3" w:hRule="atLeast"/>
        </w:trPr>
        <w:tc>
          <w:tcPr>
            <w:tcW w:w="1101" w:type="dxa"/>
            <w:tcBorders>
              <w:tl2br w:val="nil"/>
              <w:tr2bl w:val="nil"/>
            </w:tcBorders>
            <w:vAlign w:val="center"/>
          </w:tcPr>
          <w:p w14:paraId="0708BAA6">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r>
              <w:rPr>
                <w:rFonts w:hint="default" w:ascii="Times New Roman" w:cs="Times New Roman" w:hAnsiTheme="minorEastAsia" w:eastAsiaTheme="minorEastAsia"/>
                <w:snapToGrid w:val="0"/>
                <w:kern w:val="0"/>
                <w:sz w:val="21"/>
                <w:szCs w:val="21"/>
                <w:highlight w:val="none"/>
              </w:rPr>
              <w:t>新发村</w:t>
            </w:r>
          </w:p>
        </w:tc>
        <w:tc>
          <w:tcPr>
            <w:tcW w:w="1275" w:type="dxa"/>
            <w:tcBorders>
              <w:tl2br w:val="nil"/>
              <w:tr2bl w:val="nil"/>
            </w:tcBorders>
            <w:vAlign w:val="center"/>
          </w:tcPr>
          <w:p w14:paraId="0736E476">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napToGrid w:val="0"/>
                <w:kern w:val="0"/>
                <w:sz w:val="21"/>
                <w:szCs w:val="21"/>
                <w:highlight w:val="none"/>
              </w:rPr>
            </w:pPr>
            <w:r>
              <w:rPr>
                <w:rFonts w:hint="eastAsia" w:ascii="Times New Roman" w:hAnsi="Times New Roman" w:eastAsia="宋体" w:cs="Times New Roman"/>
                <w:kern w:val="0"/>
                <w:sz w:val="21"/>
                <w:szCs w:val="21"/>
                <w:highlight w:val="none"/>
              </w:rPr>
              <w:t>NW 4.30</w:t>
            </w:r>
            <w:r>
              <w:rPr>
                <w:rFonts w:hint="default" w:ascii="Times New Roman" w:hAnsi="Times New Roman" w:eastAsia="宋体" w:cs="Times New Roman"/>
                <w:kern w:val="0"/>
                <w:sz w:val="21"/>
                <w:szCs w:val="21"/>
                <w:highlight w:val="none"/>
              </w:rPr>
              <w:t>km</w:t>
            </w:r>
          </w:p>
        </w:tc>
        <w:tc>
          <w:tcPr>
            <w:tcW w:w="1134" w:type="dxa"/>
            <w:vMerge w:val="restart"/>
            <w:tcBorders>
              <w:tl2br w:val="nil"/>
              <w:tr2bl w:val="nil"/>
            </w:tcBorders>
            <w:vAlign w:val="center"/>
          </w:tcPr>
          <w:p w14:paraId="132547EB">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r>
              <w:rPr>
                <w:rFonts w:hint="eastAsia" w:ascii="Times New Roman" w:cs="Times New Roman" w:hAnsiTheme="minorEastAsia" w:eastAsiaTheme="minorEastAsia"/>
                <w:snapToGrid w:val="0"/>
                <w:kern w:val="0"/>
                <w:sz w:val="21"/>
                <w:szCs w:val="21"/>
                <w:highlight w:val="none"/>
              </w:rPr>
              <w:t>农村</w:t>
            </w:r>
          </w:p>
        </w:tc>
        <w:tc>
          <w:tcPr>
            <w:tcW w:w="2989" w:type="dxa"/>
            <w:tcBorders>
              <w:tl2br w:val="nil"/>
              <w:tr2bl w:val="nil"/>
            </w:tcBorders>
            <w:vAlign w:val="center"/>
          </w:tcPr>
          <w:p w14:paraId="748EC72A">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r>
              <w:rPr>
                <w:rFonts w:hint="default" w:ascii="Times New Roman" w:cs="Times New Roman" w:hAnsiTheme="minorEastAsia" w:eastAsiaTheme="minorEastAsia"/>
                <w:snapToGrid w:val="0"/>
                <w:kern w:val="0"/>
                <w:sz w:val="21"/>
                <w:szCs w:val="21"/>
                <w:highlight w:val="none"/>
              </w:rPr>
              <w:t>东至哈平路，南至绥满高速，西至征仪南路，北至哈南之星</w:t>
            </w:r>
          </w:p>
        </w:tc>
        <w:tc>
          <w:tcPr>
            <w:tcW w:w="880" w:type="dxa"/>
            <w:vMerge w:val="continue"/>
            <w:tcBorders>
              <w:tl2br w:val="nil"/>
              <w:tr2bl w:val="nil"/>
            </w:tcBorders>
            <w:vAlign w:val="center"/>
          </w:tcPr>
          <w:p w14:paraId="5ED7F80B">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p>
        </w:tc>
        <w:tc>
          <w:tcPr>
            <w:tcW w:w="1143" w:type="dxa"/>
            <w:vMerge w:val="continue"/>
            <w:tcBorders>
              <w:tl2br w:val="nil"/>
              <w:tr2bl w:val="nil"/>
            </w:tcBorders>
            <w:vAlign w:val="center"/>
          </w:tcPr>
          <w:p w14:paraId="6F566AF2">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p>
        </w:tc>
      </w:tr>
      <w:tr w14:paraId="0C0AFB6E">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3" w:hRule="atLeast"/>
        </w:trPr>
        <w:tc>
          <w:tcPr>
            <w:tcW w:w="1101" w:type="dxa"/>
            <w:tcBorders>
              <w:tl2br w:val="nil"/>
              <w:tr2bl w:val="nil"/>
            </w:tcBorders>
            <w:vAlign w:val="center"/>
          </w:tcPr>
          <w:p w14:paraId="6BFF73D9">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r>
              <w:rPr>
                <w:rFonts w:hint="default" w:ascii="Times New Roman" w:cs="Times New Roman" w:hAnsiTheme="minorEastAsia" w:eastAsiaTheme="minorEastAsia"/>
                <w:snapToGrid w:val="0"/>
                <w:kern w:val="0"/>
                <w:sz w:val="21"/>
                <w:szCs w:val="21"/>
                <w:highlight w:val="none"/>
              </w:rPr>
              <w:t>瓦盆窑</w:t>
            </w:r>
          </w:p>
        </w:tc>
        <w:tc>
          <w:tcPr>
            <w:tcW w:w="1275" w:type="dxa"/>
            <w:tcBorders>
              <w:tl2br w:val="nil"/>
              <w:tr2bl w:val="nil"/>
            </w:tcBorders>
            <w:vAlign w:val="center"/>
          </w:tcPr>
          <w:p w14:paraId="619D8785">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napToGrid w:val="0"/>
                <w:kern w:val="0"/>
                <w:sz w:val="21"/>
                <w:szCs w:val="21"/>
                <w:highlight w:val="none"/>
              </w:rPr>
            </w:pPr>
            <w:r>
              <w:rPr>
                <w:rFonts w:hint="eastAsia" w:ascii="Times New Roman" w:hAnsi="Times New Roman" w:eastAsia="宋体" w:cs="Times New Roman"/>
                <w:kern w:val="0"/>
                <w:sz w:val="21"/>
                <w:szCs w:val="21"/>
                <w:highlight w:val="none"/>
              </w:rPr>
              <w:t>NW4.48</w:t>
            </w:r>
            <w:r>
              <w:rPr>
                <w:rFonts w:hint="default" w:ascii="Times New Roman" w:hAnsi="Times New Roman" w:eastAsia="宋体" w:cs="Times New Roman"/>
                <w:kern w:val="0"/>
                <w:sz w:val="21"/>
                <w:szCs w:val="21"/>
                <w:highlight w:val="none"/>
              </w:rPr>
              <w:t>km</w:t>
            </w:r>
          </w:p>
        </w:tc>
        <w:tc>
          <w:tcPr>
            <w:tcW w:w="1134" w:type="dxa"/>
            <w:vMerge w:val="continue"/>
            <w:tcBorders>
              <w:tl2br w:val="nil"/>
              <w:tr2bl w:val="nil"/>
            </w:tcBorders>
            <w:vAlign w:val="center"/>
          </w:tcPr>
          <w:p w14:paraId="5844B8EE">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p>
        </w:tc>
        <w:tc>
          <w:tcPr>
            <w:tcW w:w="2989" w:type="dxa"/>
            <w:tcBorders>
              <w:tl2br w:val="nil"/>
              <w:tr2bl w:val="nil"/>
            </w:tcBorders>
            <w:vAlign w:val="center"/>
          </w:tcPr>
          <w:p w14:paraId="4B456C7F">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r>
              <w:rPr>
                <w:rFonts w:hint="default" w:ascii="Times New Roman" w:cs="Times New Roman" w:hAnsiTheme="minorEastAsia" w:eastAsiaTheme="minorEastAsia"/>
                <w:snapToGrid w:val="0"/>
                <w:kern w:val="0"/>
                <w:sz w:val="21"/>
                <w:szCs w:val="21"/>
                <w:highlight w:val="none"/>
              </w:rPr>
              <w:t>东至</w:t>
            </w:r>
            <w:r>
              <w:rPr>
                <w:rFonts w:hint="eastAsia" w:ascii="Times New Roman" w:cs="Times New Roman" w:hAnsiTheme="minorEastAsia" w:eastAsiaTheme="minorEastAsia"/>
                <w:snapToGrid w:val="0"/>
                <w:kern w:val="0"/>
                <w:sz w:val="21"/>
                <w:szCs w:val="21"/>
                <w:highlight w:val="none"/>
              </w:rPr>
              <w:t>102国道，南至绥满高速，西至京哈高速，北至哈尔滨分公司三志物流</w:t>
            </w:r>
          </w:p>
        </w:tc>
        <w:tc>
          <w:tcPr>
            <w:tcW w:w="880" w:type="dxa"/>
            <w:vMerge w:val="continue"/>
            <w:tcBorders>
              <w:tl2br w:val="nil"/>
              <w:tr2bl w:val="nil"/>
            </w:tcBorders>
            <w:vAlign w:val="center"/>
          </w:tcPr>
          <w:p w14:paraId="2026D62D">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p>
        </w:tc>
        <w:tc>
          <w:tcPr>
            <w:tcW w:w="1143" w:type="dxa"/>
            <w:vMerge w:val="continue"/>
            <w:tcBorders>
              <w:tl2br w:val="nil"/>
              <w:tr2bl w:val="nil"/>
            </w:tcBorders>
            <w:vAlign w:val="center"/>
          </w:tcPr>
          <w:p w14:paraId="3913C23A">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p>
        </w:tc>
      </w:tr>
      <w:tr w14:paraId="2BFD9BC8">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3" w:hRule="atLeast"/>
        </w:trPr>
        <w:tc>
          <w:tcPr>
            <w:tcW w:w="1101" w:type="dxa"/>
            <w:tcBorders>
              <w:tl2br w:val="nil"/>
              <w:tr2bl w:val="nil"/>
            </w:tcBorders>
            <w:vAlign w:val="center"/>
          </w:tcPr>
          <w:p w14:paraId="10E72317">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r>
              <w:rPr>
                <w:rFonts w:hint="default" w:ascii="Times New Roman" w:hAnsi="Times New Roman" w:eastAsia="宋体" w:cs="Times New Roman"/>
                <w:kern w:val="0"/>
                <w:sz w:val="21"/>
                <w:szCs w:val="21"/>
                <w:highlight w:val="none"/>
              </w:rPr>
              <w:t>新立村</w:t>
            </w:r>
          </w:p>
        </w:tc>
        <w:tc>
          <w:tcPr>
            <w:tcW w:w="1275" w:type="dxa"/>
            <w:tcBorders>
              <w:tl2br w:val="nil"/>
              <w:tr2bl w:val="nil"/>
            </w:tcBorders>
            <w:vAlign w:val="center"/>
          </w:tcPr>
          <w:p w14:paraId="1BFC83E4">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napToGrid w:val="0"/>
                <w:kern w:val="0"/>
                <w:sz w:val="21"/>
                <w:szCs w:val="21"/>
                <w:highlight w:val="none"/>
              </w:rPr>
            </w:pPr>
            <w:r>
              <w:rPr>
                <w:rFonts w:hint="eastAsia" w:ascii="Times New Roman" w:hAnsi="Times New Roman" w:eastAsia="宋体" w:cs="Times New Roman"/>
                <w:kern w:val="0"/>
                <w:sz w:val="21"/>
                <w:szCs w:val="21"/>
                <w:highlight w:val="none"/>
              </w:rPr>
              <w:t>NW4.48km</w:t>
            </w:r>
          </w:p>
        </w:tc>
        <w:tc>
          <w:tcPr>
            <w:tcW w:w="1134" w:type="dxa"/>
            <w:vMerge w:val="continue"/>
            <w:tcBorders>
              <w:tl2br w:val="nil"/>
              <w:tr2bl w:val="nil"/>
            </w:tcBorders>
            <w:vAlign w:val="center"/>
          </w:tcPr>
          <w:p w14:paraId="3B5B2F40">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p>
        </w:tc>
        <w:tc>
          <w:tcPr>
            <w:tcW w:w="2989" w:type="dxa"/>
            <w:tcBorders>
              <w:tl2br w:val="nil"/>
              <w:tr2bl w:val="nil"/>
            </w:tcBorders>
            <w:vAlign w:val="center"/>
          </w:tcPr>
          <w:p w14:paraId="1438340F">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r>
              <w:rPr>
                <w:rFonts w:hint="default" w:ascii="Times New Roman" w:cs="Times New Roman" w:hAnsiTheme="minorEastAsia" w:eastAsiaTheme="minorEastAsia"/>
                <w:snapToGrid w:val="0"/>
                <w:kern w:val="0"/>
                <w:sz w:val="21"/>
                <w:szCs w:val="21"/>
                <w:highlight w:val="none"/>
              </w:rPr>
              <w:t>东至京哈高速，南至</w:t>
            </w:r>
            <w:r>
              <w:rPr>
                <w:rFonts w:hint="eastAsia" w:ascii="Times New Roman" w:cs="Times New Roman" w:hAnsiTheme="minorEastAsia" w:eastAsiaTheme="minorEastAsia"/>
                <w:snapToGrid w:val="0"/>
                <w:kern w:val="0"/>
                <w:sz w:val="21"/>
                <w:szCs w:val="21"/>
                <w:highlight w:val="none"/>
              </w:rPr>
              <w:t>102国道，西至农田，北至哈尔滨市车辆管理所</w:t>
            </w:r>
          </w:p>
        </w:tc>
        <w:tc>
          <w:tcPr>
            <w:tcW w:w="880" w:type="dxa"/>
            <w:vMerge w:val="continue"/>
            <w:tcBorders>
              <w:tl2br w:val="nil"/>
              <w:tr2bl w:val="nil"/>
            </w:tcBorders>
            <w:vAlign w:val="center"/>
          </w:tcPr>
          <w:p w14:paraId="4045336D">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p>
        </w:tc>
        <w:tc>
          <w:tcPr>
            <w:tcW w:w="1143" w:type="dxa"/>
            <w:vMerge w:val="continue"/>
            <w:tcBorders>
              <w:tl2br w:val="nil"/>
              <w:tr2bl w:val="nil"/>
            </w:tcBorders>
            <w:vAlign w:val="center"/>
          </w:tcPr>
          <w:p w14:paraId="70835557">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p>
        </w:tc>
      </w:tr>
      <w:tr w14:paraId="45AEA673">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3" w:hRule="atLeast"/>
        </w:trPr>
        <w:tc>
          <w:tcPr>
            <w:tcW w:w="1101" w:type="dxa"/>
            <w:tcBorders>
              <w:tl2br w:val="nil"/>
              <w:tr2bl w:val="nil"/>
            </w:tcBorders>
            <w:vAlign w:val="center"/>
          </w:tcPr>
          <w:p w14:paraId="35262442">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napToGrid w:val="0"/>
                <w:kern w:val="0"/>
                <w:sz w:val="21"/>
                <w:szCs w:val="21"/>
                <w:highlight w:val="none"/>
              </w:rPr>
            </w:pPr>
            <w:r>
              <w:rPr>
                <w:rFonts w:hint="default" w:ascii="Times New Roman" w:cs="Times New Roman" w:hAnsiTheme="minorEastAsia" w:eastAsiaTheme="minorEastAsia"/>
                <w:snapToGrid w:val="0"/>
                <w:kern w:val="2"/>
                <w:sz w:val="21"/>
                <w:szCs w:val="21"/>
                <w:highlight w:val="none"/>
              </w:rPr>
              <w:t>平顺村</w:t>
            </w:r>
          </w:p>
        </w:tc>
        <w:tc>
          <w:tcPr>
            <w:tcW w:w="1275" w:type="dxa"/>
            <w:tcBorders>
              <w:tl2br w:val="nil"/>
              <w:tr2bl w:val="nil"/>
            </w:tcBorders>
            <w:vAlign w:val="center"/>
          </w:tcPr>
          <w:p w14:paraId="6E9BA866">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napToGrid w:val="0"/>
                <w:kern w:val="0"/>
                <w:sz w:val="21"/>
                <w:szCs w:val="21"/>
                <w:highlight w:val="none"/>
              </w:rPr>
            </w:pPr>
            <w:r>
              <w:rPr>
                <w:rFonts w:hint="default" w:ascii="Times New Roman" w:hAnsi="Times New Roman" w:cs="Times New Roman" w:eastAsiaTheme="minorEastAsia"/>
                <w:snapToGrid w:val="0"/>
                <w:kern w:val="2"/>
                <w:sz w:val="21"/>
                <w:szCs w:val="21"/>
                <w:highlight w:val="none"/>
              </w:rPr>
              <w:t xml:space="preserve">NW </w:t>
            </w:r>
            <w:r>
              <w:rPr>
                <w:rFonts w:hint="eastAsia" w:ascii="Times New Roman" w:hAnsi="Times New Roman" w:cs="Times New Roman" w:eastAsiaTheme="minorEastAsia"/>
                <w:snapToGrid w:val="0"/>
                <w:kern w:val="2"/>
                <w:sz w:val="21"/>
                <w:szCs w:val="21"/>
                <w:highlight w:val="none"/>
              </w:rPr>
              <w:t>2.39k</w:t>
            </w:r>
            <w:r>
              <w:rPr>
                <w:rFonts w:hint="default" w:ascii="Times New Roman" w:hAnsi="Times New Roman" w:cs="Times New Roman" w:eastAsiaTheme="minorEastAsia"/>
                <w:snapToGrid w:val="0"/>
                <w:kern w:val="2"/>
                <w:sz w:val="21"/>
                <w:szCs w:val="21"/>
                <w:highlight w:val="none"/>
              </w:rPr>
              <w:t>m</w:t>
            </w:r>
          </w:p>
        </w:tc>
        <w:tc>
          <w:tcPr>
            <w:tcW w:w="1134" w:type="dxa"/>
            <w:vMerge w:val="continue"/>
            <w:tcBorders>
              <w:tl2br w:val="nil"/>
              <w:tr2bl w:val="nil"/>
            </w:tcBorders>
            <w:vAlign w:val="center"/>
          </w:tcPr>
          <w:p w14:paraId="2497E65F">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napToGrid w:val="0"/>
                <w:kern w:val="0"/>
                <w:sz w:val="21"/>
                <w:szCs w:val="21"/>
                <w:highlight w:val="none"/>
              </w:rPr>
            </w:pPr>
          </w:p>
        </w:tc>
        <w:tc>
          <w:tcPr>
            <w:tcW w:w="2989" w:type="dxa"/>
            <w:tcBorders>
              <w:tl2br w:val="nil"/>
              <w:tr2bl w:val="nil"/>
            </w:tcBorders>
            <w:vAlign w:val="center"/>
          </w:tcPr>
          <w:p w14:paraId="689011D6">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napToGrid w:val="0"/>
                <w:kern w:val="0"/>
                <w:sz w:val="21"/>
                <w:szCs w:val="21"/>
                <w:highlight w:val="none"/>
              </w:rPr>
            </w:pPr>
            <w:r>
              <w:rPr>
                <w:rFonts w:hint="default" w:ascii="Times New Roman" w:cs="Times New Roman" w:hAnsiTheme="minorEastAsia" w:eastAsiaTheme="minorEastAsia"/>
                <w:snapToGrid w:val="0"/>
                <w:kern w:val="2"/>
                <w:sz w:val="21"/>
                <w:szCs w:val="21"/>
                <w:highlight w:val="none"/>
              </w:rPr>
              <w:t>东至大连一路，南至渤海路，西至双拥路，北至渤海三路</w:t>
            </w:r>
          </w:p>
        </w:tc>
        <w:tc>
          <w:tcPr>
            <w:tcW w:w="880" w:type="dxa"/>
            <w:vMerge w:val="continue"/>
            <w:tcBorders>
              <w:tl2br w:val="nil"/>
              <w:tr2bl w:val="nil"/>
            </w:tcBorders>
            <w:vAlign w:val="center"/>
          </w:tcPr>
          <w:p w14:paraId="5CC7A7BB">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p>
        </w:tc>
        <w:tc>
          <w:tcPr>
            <w:tcW w:w="1143" w:type="dxa"/>
            <w:vMerge w:val="continue"/>
            <w:tcBorders>
              <w:tl2br w:val="nil"/>
              <w:tr2bl w:val="nil"/>
            </w:tcBorders>
            <w:vAlign w:val="center"/>
          </w:tcPr>
          <w:p w14:paraId="1AE8C596">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p>
        </w:tc>
      </w:tr>
      <w:tr w14:paraId="2FD5F133">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3" w:hRule="atLeast"/>
        </w:trPr>
        <w:tc>
          <w:tcPr>
            <w:tcW w:w="1101" w:type="dxa"/>
            <w:tcBorders>
              <w:tl2br w:val="nil"/>
              <w:tr2bl w:val="nil"/>
            </w:tcBorders>
            <w:vAlign w:val="center"/>
          </w:tcPr>
          <w:p w14:paraId="3A232AC7">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napToGrid w:val="0"/>
                <w:kern w:val="0"/>
                <w:sz w:val="21"/>
                <w:szCs w:val="21"/>
                <w:highlight w:val="none"/>
              </w:rPr>
            </w:pPr>
            <w:r>
              <w:rPr>
                <w:rFonts w:hint="default" w:ascii="Times New Roman" w:cs="Times New Roman" w:hAnsiTheme="minorEastAsia" w:eastAsiaTheme="minorEastAsia"/>
                <w:snapToGrid w:val="0"/>
                <w:kern w:val="2"/>
                <w:sz w:val="21"/>
                <w:szCs w:val="21"/>
                <w:highlight w:val="none"/>
              </w:rPr>
              <w:t>三家子屯</w:t>
            </w:r>
          </w:p>
        </w:tc>
        <w:tc>
          <w:tcPr>
            <w:tcW w:w="1275" w:type="dxa"/>
            <w:tcBorders>
              <w:tl2br w:val="nil"/>
              <w:tr2bl w:val="nil"/>
            </w:tcBorders>
            <w:vAlign w:val="center"/>
          </w:tcPr>
          <w:p w14:paraId="3C4A8895">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napToGrid w:val="0"/>
                <w:kern w:val="0"/>
                <w:sz w:val="21"/>
                <w:szCs w:val="21"/>
                <w:highlight w:val="none"/>
              </w:rPr>
            </w:pPr>
            <w:r>
              <w:rPr>
                <w:rFonts w:hint="default" w:ascii="Times New Roman" w:hAnsi="Times New Roman" w:cs="Times New Roman" w:eastAsiaTheme="minorEastAsia"/>
                <w:snapToGrid w:val="0"/>
                <w:kern w:val="2"/>
                <w:sz w:val="21"/>
                <w:szCs w:val="21"/>
                <w:highlight w:val="none"/>
              </w:rPr>
              <w:t>SW 2</w:t>
            </w:r>
            <w:r>
              <w:rPr>
                <w:rFonts w:hint="eastAsia" w:ascii="Times New Roman" w:hAnsi="Times New Roman" w:cs="Times New Roman" w:eastAsiaTheme="minorEastAsia"/>
                <w:snapToGrid w:val="0"/>
                <w:kern w:val="2"/>
                <w:sz w:val="21"/>
                <w:szCs w:val="21"/>
                <w:highlight w:val="none"/>
              </w:rPr>
              <w:t>.52k</w:t>
            </w:r>
            <w:r>
              <w:rPr>
                <w:rFonts w:hint="default" w:ascii="Times New Roman" w:hAnsi="Times New Roman" w:cs="Times New Roman" w:eastAsiaTheme="minorEastAsia"/>
                <w:snapToGrid w:val="0"/>
                <w:kern w:val="2"/>
                <w:sz w:val="21"/>
                <w:szCs w:val="21"/>
                <w:highlight w:val="none"/>
              </w:rPr>
              <w:t>m</w:t>
            </w:r>
          </w:p>
        </w:tc>
        <w:tc>
          <w:tcPr>
            <w:tcW w:w="1134" w:type="dxa"/>
            <w:vMerge w:val="continue"/>
            <w:tcBorders>
              <w:tl2br w:val="nil"/>
              <w:tr2bl w:val="nil"/>
            </w:tcBorders>
            <w:vAlign w:val="center"/>
          </w:tcPr>
          <w:p w14:paraId="7BA40629">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napToGrid w:val="0"/>
                <w:kern w:val="0"/>
                <w:sz w:val="21"/>
                <w:szCs w:val="21"/>
                <w:highlight w:val="none"/>
              </w:rPr>
            </w:pPr>
          </w:p>
        </w:tc>
        <w:tc>
          <w:tcPr>
            <w:tcW w:w="2989" w:type="dxa"/>
            <w:tcBorders>
              <w:tl2br w:val="nil"/>
              <w:tr2bl w:val="nil"/>
            </w:tcBorders>
            <w:vAlign w:val="center"/>
          </w:tcPr>
          <w:p w14:paraId="75307120">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napToGrid w:val="0"/>
                <w:kern w:val="0"/>
                <w:sz w:val="21"/>
                <w:szCs w:val="21"/>
                <w:highlight w:val="none"/>
              </w:rPr>
            </w:pPr>
            <w:r>
              <w:rPr>
                <w:rFonts w:hint="default" w:ascii="Times New Roman" w:cs="Times New Roman" w:hAnsiTheme="minorEastAsia" w:eastAsiaTheme="minorEastAsia"/>
                <w:snapToGrid w:val="0"/>
                <w:kern w:val="2"/>
                <w:sz w:val="21"/>
                <w:szCs w:val="21"/>
                <w:highlight w:val="none"/>
              </w:rPr>
              <w:t>东至平房翠柳公园，南至谷丰东街，西至何家沟，北至友协大街</w:t>
            </w:r>
          </w:p>
        </w:tc>
        <w:tc>
          <w:tcPr>
            <w:tcW w:w="880" w:type="dxa"/>
            <w:vMerge w:val="continue"/>
            <w:tcBorders>
              <w:tl2br w:val="nil"/>
              <w:tr2bl w:val="nil"/>
            </w:tcBorders>
            <w:vAlign w:val="center"/>
          </w:tcPr>
          <w:p w14:paraId="110E1727">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p>
        </w:tc>
        <w:tc>
          <w:tcPr>
            <w:tcW w:w="1143" w:type="dxa"/>
            <w:vMerge w:val="continue"/>
            <w:tcBorders>
              <w:tl2br w:val="nil"/>
              <w:tr2bl w:val="nil"/>
            </w:tcBorders>
            <w:vAlign w:val="center"/>
          </w:tcPr>
          <w:p w14:paraId="69292E8D">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p>
        </w:tc>
      </w:tr>
      <w:tr w14:paraId="3B040D20">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3" w:hRule="atLeast"/>
        </w:trPr>
        <w:tc>
          <w:tcPr>
            <w:tcW w:w="1101" w:type="dxa"/>
            <w:tcBorders>
              <w:tl2br w:val="nil"/>
              <w:tr2bl w:val="nil"/>
            </w:tcBorders>
            <w:vAlign w:val="center"/>
          </w:tcPr>
          <w:p w14:paraId="3BFE0094">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napToGrid w:val="0"/>
                <w:kern w:val="0"/>
                <w:sz w:val="21"/>
                <w:szCs w:val="21"/>
                <w:highlight w:val="none"/>
              </w:rPr>
            </w:pPr>
            <w:r>
              <w:rPr>
                <w:rFonts w:hint="default" w:ascii="Times New Roman" w:cs="Times New Roman" w:hAnsiTheme="minorEastAsia" w:eastAsiaTheme="minorEastAsia"/>
                <w:snapToGrid w:val="0"/>
                <w:kern w:val="2"/>
                <w:sz w:val="21"/>
                <w:szCs w:val="21"/>
                <w:highlight w:val="none"/>
              </w:rPr>
              <w:t>二道沟</w:t>
            </w:r>
          </w:p>
        </w:tc>
        <w:tc>
          <w:tcPr>
            <w:tcW w:w="1275" w:type="dxa"/>
            <w:tcBorders>
              <w:tl2br w:val="nil"/>
              <w:tr2bl w:val="nil"/>
            </w:tcBorders>
            <w:vAlign w:val="center"/>
          </w:tcPr>
          <w:p w14:paraId="5830BC5E">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napToGrid w:val="0"/>
                <w:kern w:val="0"/>
                <w:sz w:val="21"/>
                <w:szCs w:val="21"/>
                <w:highlight w:val="none"/>
              </w:rPr>
            </w:pPr>
            <w:r>
              <w:rPr>
                <w:rFonts w:hint="default" w:ascii="Times New Roman" w:hAnsi="Times New Roman" w:cs="Times New Roman" w:eastAsiaTheme="minorEastAsia"/>
                <w:snapToGrid w:val="0"/>
                <w:kern w:val="2"/>
                <w:sz w:val="21"/>
                <w:szCs w:val="21"/>
                <w:highlight w:val="none"/>
              </w:rPr>
              <w:t xml:space="preserve">SE </w:t>
            </w:r>
            <w:r>
              <w:rPr>
                <w:rFonts w:hint="eastAsia" w:ascii="Times New Roman" w:hAnsi="Times New Roman" w:cs="Times New Roman" w:eastAsiaTheme="minorEastAsia"/>
                <w:snapToGrid w:val="0"/>
                <w:kern w:val="2"/>
                <w:sz w:val="21"/>
                <w:szCs w:val="21"/>
                <w:highlight w:val="none"/>
              </w:rPr>
              <w:t>4.00k</w:t>
            </w:r>
            <w:r>
              <w:rPr>
                <w:rFonts w:hint="default" w:ascii="Times New Roman" w:hAnsi="Times New Roman" w:cs="Times New Roman" w:eastAsiaTheme="minorEastAsia"/>
                <w:snapToGrid w:val="0"/>
                <w:kern w:val="2"/>
                <w:sz w:val="21"/>
                <w:szCs w:val="21"/>
                <w:highlight w:val="none"/>
              </w:rPr>
              <w:t>m</w:t>
            </w:r>
          </w:p>
        </w:tc>
        <w:tc>
          <w:tcPr>
            <w:tcW w:w="1134" w:type="dxa"/>
            <w:vMerge w:val="continue"/>
            <w:tcBorders>
              <w:tl2br w:val="nil"/>
              <w:tr2bl w:val="nil"/>
            </w:tcBorders>
            <w:vAlign w:val="center"/>
          </w:tcPr>
          <w:p w14:paraId="20B66F18">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napToGrid w:val="0"/>
                <w:kern w:val="0"/>
                <w:sz w:val="21"/>
                <w:szCs w:val="21"/>
                <w:highlight w:val="none"/>
              </w:rPr>
            </w:pPr>
          </w:p>
        </w:tc>
        <w:tc>
          <w:tcPr>
            <w:tcW w:w="2989" w:type="dxa"/>
            <w:tcBorders>
              <w:tl2br w:val="nil"/>
              <w:tr2bl w:val="nil"/>
            </w:tcBorders>
            <w:vAlign w:val="center"/>
          </w:tcPr>
          <w:p w14:paraId="4F7FEA5C">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napToGrid w:val="0"/>
                <w:kern w:val="0"/>
                <w:sz w:val="21"/>
                <w:szCs w:val="21"/>
                <w:highlight w:val="none"/>
              </w:rPr>
            </w:pPr>
            <w:r>
              <w:rPr>
                <w:rFonts w:hint="default" w:ascii="Times New Roman" w:cs="Times New Roman" w:hAnsiTheme="minorEastAsia" w:eastAsiaTheme="minorEastAsia"/>
                <w:snapToGrid w:val="0"/>
                <w:kern w:val="2"/>
                <w:sz w:val="21"/>
                <w:szCs w:val="21"/>
                <w:highlight w:val="none"/>
              </w:rPr>
              <w:t>东至</w:t>
            </w:r>
            <w:r>
              <w:rPr>
                <w:rFonts w:hint="eastAsia" w:ascii="Times New Roman" w:cs="Times New Roman" w:hAnsiTheme="minorEastAsia" w:eastAsiaTheme="minorEastAsia"/>
                <w:snapToGrid w:val="0"/>
                <w:kern w:val="2"/>
                <w:sz w:val="21"/>
                <w:szCs w:val="21"/>
                <w:highlight w:val="none"/>
              </w:rPr>
              <w:t>汪大力</w:t>
            </w:r>
            <w:r>
              <w:rPr>
                <w:rFonts w:hint="default" w:ascii="Times New Roman" w:cs="Times New Roman" w:hAnsiTheme="minorEastAsia" w:eastAsiaTheme="minorEastAsia"/>
                <w:snapToGrid w:val="0"/>
                <w:kern w:val="2"/>
                <w:sz w:val="21"/>
                <w:szCs w:val="21"/>
                <w:highlight w:val="none"/>
              </w:rPr>
              <w:t>渔家乐，南至</w:t>
            </w:r>
            <w:r>
              <w:rPr>
                <w:rFonts w:hint="eastAsia" w:ascii="Times New Roman" w:cs="Times New Roman" w:hAnsiTheme="minorEastAsia" w:eastAsiaTheme="minorEastAsia"/>
                <w:snapToGrid w:val="0"/>
                <w:kern w:val="2"/>
                <w:sz w:val="21"/>
                <w:szCs w:val="21"/>
                <w:highlight w:val="none"/>
              </w:rPr>
              <w:t>农田</w:t>
            </w:r>
            <w:r>
              <w:rPr>
                <w:rFonts w:hint="default" w:ascii="Times New Roman" w:cs="Times New Roman" w:hAnsiTheme="minorEastAsia" w:eastAsiaTheme="minorEastAsia"/>
                <w:snapToGrid w:val="0"/>
                <w:kern w:val="2"/>
                <w:sz w:val="21"/>
                <w:szCs w:val="21"/>
                <w:highlight w:val="none"/>
              </w:rPr>
              <w:t>，西至</w:t>
            </w:r>
            <w:r>
              <w:rPr>
                <w:rFonts w:hint="eastAsia" w:ascii="Times New Roman" w:cs="Times New Roman" w:hAnsiTheme="minorEastAsia" w:eastAsiaTheme="minorEastAsia"/>
                <w:snapToGrid w:val="0"/>
                <w:kern w:val="2"/>
                <w:sz w:val="21"/>
                <w:szCs w:val="21"/>
                <w:highlight w:val="none"/>
              </w:rPr>
              <w:t>哈南大道</w:t>
            </w:r>
            <w:r>
              <w:rPr>
                <w:rFonts w:hint="default" w:ascii="Times New Roman" w:cs="Times New Roman" w:hAnsiTheme="minorEastAsia" w:eastAsiaTheme="minorEastAsia"/>
                <w:snapToGrid w:val="0"/>
                <w:kern w:val="2"/>
                <w:sz w:val="21"/>
                <w:szCs w:val="21"/>
                <w:highlight w:val="none"/>
              </w:rPr>
              <w:t>，北至农田</w:t>
            </w:r>
          </w:p>
        </w:tc>
        <w:tc>
          <w:tcPr>
            <w:tcW w:w="880" w:type="dxa"/>
            <w:vMerge w:val="continue"/>
            <w:tcBorders>
              <w:tl2br w:val="nil"/>
              <w:tr2bl w:val="nil"/>
            </w:tcBorders>
            <w:vAlign w:val="center"/>
          </w:tcPr>
          <w:p w14:paraId="5B393823">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p>
        </w:tc>
        <w:tc>
          <w:tcPr>
            <w:tcW w:w="1143" w:type="dxa"/>
            <w:vMerge w:val="continue"/>
            <w:tcBorders>
              <w:tl2br w:val="nil"/>
              <w:tr2bl w:val="nil"/>
            </w:tcBorders>
            <w:vAlign w:val="center"/>
          </w:tcPr>
          <w:p w14:paraId="185951BA">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p>
        </w:tc>
      </w:tr>
      <w:tr w14:paraId="0ADC9397">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3" w:hRule="atLeast"/>
        </w:trPr>
        <w:tc>
          <w:tcPr>
            <w:tcW w:w="1101" w:type="dxa"/>
            <w:tcBorders>
              <w:tl2br w:val="nil"/>
              <w:tr2bl w:val="nil"/>
            </w:tcBorders>
            <w:vAlign w:val="center"/>
          </w:tcPr>
          <w:p w14:paraId="71C00AE7">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曙光村</w:t>
            </w:r>
          </w:p>
        </w:tc>
        <w:tc>
          <w:tcPr>
            <w:tcW w:w="1275" w:type="dxa"/>
            <w:tcBorders>
              <w:tl2br w:val="nil"/>
              <w:tr2bl w:val="nil"/>
            </w:tcBorders>
            <w:vAlign w:val="center"/>
          </w:tcPr>
          <w:p w14:paraId="74B2C914">
            <w:pPr>
              <w:keepNext w:val="0"/>
              <w:keepLines w:val="0"/>
              <w:suppressLineNumbers w:val="0"/>
              <w:wordWrap/>
              <w:adjustRightInd/>
              <w:snapToGrid/>
              <w:spacing w:before="0" w:beforeAutospacing="0" w:after="0" w:afterAutospacing="0" w:line="0" w:lineRule="atLeast"/>
              <w:ind w:left="0" w:right="0" w:firstLine="0" w:firstLineChars="0"/>
              <w:contextualSpacing/>
              <w:jc w:val="center"/>
              <w:textAlignment w:val="baseline"/>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SE 3.65km</w:t>
            </w:r>
          </w:p>
        </w:tc>
        <w:tc>
          <w:tcPr>
            <w:tcW w:w="1134" w:type="dxa"/>
            <w:vMerge w:val="continue"/>
            <w:tcBorders>
              <w:tl2br w:val="nil"/>
              <w:tr2bl w:val="nil"/>
            </w:tcBorders>
            <w:vAlign w:val="center"/>
          </w:tcPr>
          <w:p w14:paraId="184E7737">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napToGrid w:val="0"/>
                <w:kern w:val="0"/>
                <w:sz w:val="21"/>
                <w:szCs w:val="21"/>
                <w:highlight w:val="none"/>
              </w:rPr>
            </w:pPr>
          </w:p>
        </w:tc>
        <w:tc>
          <w:tcPr>
            <w:tcW w:w="2989" w:type="dxa"/>
            <w:tcBorders>
              <w:tl2br w:val="nil"/>
              <w:tr2bl w:val="nil"/>
            </w:tcBorders>
            <w:vAlign w:val="center"/>
          </w:tcPr>
          <w:p w14:paraId="06680C1A">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r>
              <w:rPr>
                <w:rFonts w:hint="default" w:ascii="Times New Roman" w:cs="Times New Roman" w:hAnsiTheme="minorEastAsia" w:eastAsiaTheme="minorEastAsia"/>
                <w:snapToGrid w:val="0"/>
                <w:kern w:val="2"/>
                <w:sz w:val="21"/>
                <w:szCs w:val="21"/>
                <w:highlight w:val="none"/>
              </w:rPr>
              <w:t>东至</w:t>
            </w:r>
            <w:r>
              <w:rPr>
                <w:rFonts w:hint="eastAsia" w:ascii="Times New Roman" w:cs="Times New Roman" w:hAnsiTheme="minorEastAsia" w:eastAsiaTheme="minorEastAsia"/>
                <w:snapToGrid w:val="0"/>
                <w:kern w:val="2"/>
                <w:sz w:val="21"/>
                <w:szCs w:val="21"/>
                <w:highlight w:val="none"/>
              </w:rPr>
              <w:t>农田</w:t>
            </w:r>
            <w:r>
              <w:rPr>
                <w:rFonts w:hint="default" w:ascii="Times New Roman" w:cs="Times New Roman" w:hAnsiTheme="minorEastAsia" w:eastAsiaTheme="minorEastAsia"/>
                <w:snapToGrid w:val="0"/>
                <w:kern w:val="2"/>
                <w:sz w:val="21"/>
                <w:szCs w:val="21"/>
                <w:highlight w:val="none"/>
              </w:rPr>
              <w:t>，南至</w:t>
            </w:r>
            <w:r>
              <w:rPr>
                <w:rFonts w:hint="eastAsia" w:ascii="Times New Roman" w:cs="Times New Roman" w:hAnsiTheme="minorEastAsia" w:eastAsiaTheme="minorEastAsia"/>
                <w:snapToGrid w:val="0"/>
                <w:kern w:val="2"/>
                <w:sz w:val="21"/>
                <w:szCs w:val="21"/>
                <w:highlight w:val="none"/>
              </w:rPr>
              <w:t>曙光路</w:t>
            </w:r>
            <w:r>
              <w:rPr>
                <w:rFonts w:hint="default" w:ascii="Times New Roman" w:cs="Times New Roman" w:hAnsiTheme="minorEastAsia" w:eastAsiaTheme="minorEastAsia"/>
                <w:snapToGrid w:val="0"/>
                <w:kern w:val="2"/>
                <w:sz w:val="21"/>
                <w:szCs w:val="21"/>
                <w:highlight w:val="none"/>
              </w:rPr>
              <w:t>，西</w:t>
            </w:r>
            <w:r>
              <w:rPr>
                <w:rFonts w:hint="eastAsia" w:ascii="Times New Roman" w:cs="Times New Roman" w:hAnsiTheme="minorEastAsia" w:eastAsiaTheme="minorEastAsia"/>
                <w:snapToGrid w:val="0"/>
                <w:kern w:val="2"/>
                <w:sz w:val="21"/>
                <w:szCs w:val="21"/>
                <w:highlight w:val="none"/>
              </w:rPr>
              <w:t>农田</w:t>
            </w:r>
            <w:r>
              <w:rPr>
                <w:rFonts w:hint="default" w:ascii="Times New Roman" w:cs="Times New Roman" w:hAnsiTheme="minorEastAsia" w:eastAsiaTheme="minorEastAsia"/>
                <w:snapToGrid w:val="0"/>
                <w:kern w:val="2"/>
                <w:sz w:val="21"/>
                <w:szCs w:val="21"/>
                <w:highlight w:val="none"/>
              </w:rPr>
              <w:t>，北至农田</w:t>
            </w:r>
          </w:p>
        </w:tc>
        <w:tc>
          <w:tcPr>
            <w:tcW w:w="880" w:type="dxa"/>
            <w:vMerge w:val="continue"/>
            <w:tcBorders>
              <w:tl2br w:val="nil"/>
              <w:tr2bl w:val="nil"/>
            </w:tcBorders>
            <w:vAlign w:val="center"/>
          </w:tcPr>
          <w:p w14:paraId="0E1594FE">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p>
        </w:tc>
        <w:tc>
          <w:tcPr>
            <w:tcW w:w="1143" w:type="dxa"/>
            <w:vMerge w:val="continue"/>
            <w:tcBorders>
              <w:tl2br w:val="nil"/>
              <w:tr2bl w:val="nil"/>
            </w:tcBorders>
            <w:vAlign w:val="center"/>
          </w:tcPr>
          <w:p w14:paraId="6F3C19C4">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p>
        </w:tc>
      </w:tr>
      <w:tr w14:paraId="23F7347B">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3" w:hRule="atLeast"/>
        </w:trPr>
        <w:tc>
          <w:tcPr>
            <w:tcW w:w="1101" w:type="dxa"/>
            <w:tcBorders>
              <w:tl2br w:val="nil"/>
              <w:tr2bl w:val="nil"/>
            </w:tcBorders>
            <w:vAlign w:val="center"/>
          </w:tcPr>
          <w:p w14:paraId="3F1D0CBF">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腰屯</w:t>
            </w:r>
          </w:p>
        </w:tc>
        <w:tc>
          <w:tcPr>
            <w:tcW w:w="1275" w:type="dxa"/>
            <w:tcBorders>
              <w:tl2br w:val="nil"/>
              <w:tr2bl w:val="nil"/>
            </w:tcBorders>
            <w:vAlign w:val="center"/>
          </w:tcPr>
          <w:p w14:paraId="4637B2BA">
            <w:pPr>
              <w:keepNext w:val="0"/>
              <w:keepLines w:val="0"/>
              <w:suppressLineNumbers w:val="0"/>
              <w:wordWrap/>
              <w:adjustRightInd/>
              <w:snapToGrid/>
              <w:spacing w:before="0" w:beforeAutospacing="0" w:after="0" w:afterAutospacing="0" w:line="0" w:lineRule="atLeast"/>
              <w:ind w:left="0" w:right="0" w:firstLine="0" w:firstLineChars="0"/>
              <w:contextualSpacing/>
              <w:jc w:val="center"/>
              <w:textAlignment w:val="baseline"/>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SE 4.70km</w:t>
            </w:r>
          </w:p>
        </w:tc>
        <w:tc>
          <w:tcPr>
            <w:tcW w:w="1134" w:type="dxa"/>
            <w:vMerge w:val="continue"/>
            <w:tcBorders>
              <w:tl2br w:val="nil"/>
              <w:tr2bl w:val="nil"/>
            </w:tcBorders>
            <w:vAlign w:val="center"/>
          </w:tcPr>
          <w:p w14:paraId="13FA2296">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napToGrid w:val="0"/>
                <w:kern w:val="0"/>
                <w:sz w:val="21"/>
                <w:szCs w:val="21"/>
                <w:highlight w:val="none"/>
              </w:rPr>
            </w:pPr>
          </w:p>
        </w:tc>
        <w:tc>
          <w:tcPr>
            <w:tcW w:w="2989" w:type="dxa"/>
            <w:tcBorders>
              <w:tl2br w:val="nil"/>
              <w:tr2bl w:val="nil"/>
            </w:tcBorders>
            <w:vAlign w:val="center"/>
          </w:tcPr>
          <w:p w14:paraId="56A42B4D">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r>
              <w:rPr>
                <w:rFonts w:hint="default" w:ascii="Times New Roman" w:cs="Times New Roman" w:hAnsiTheme="minorEastAsia" w:eastAsiaTheme="minorEastAsia"/>
                <w:snapToGrid w:val="0"/>
                <w:kern w:val="2"/>
                <w:sz w:val="21"/>
                <w:szCs w:val="21"/>
                <w:highlight w:val="none"/>
              </w:rPr>
              <w:t>东至</w:t>
            </w:r>
            <w:r>
              <w:rPr>
                <w:rFonts w:hint="eastAsia" w:ascii="Times New Roman" w:cs="Times New Roman" w:hAnsiTheme="minorEastAsia" w:eastAsiaTheme="minorEastAsia"/>
                <w:snapToGrid w:val="0"/>
                <w:kern w:val="2"/>
                <w:sz w:val="21"/>
                <w:szCs w:val="21"/>
                <w:highlight w:val="none"/>
              </w:rPr>
              <w:t>农田</w:t>
            </w:r>
            <w:r>
              <w:rPr>
                <w:rFonts w:hint="default" w:ascii="Times New Roman" w:cs="Times New Roman" w:hAnsiTheme="minorEastAsia" w:eastAsiaTheme="minorEastAsia"/>
                <w:snapToGrid w:val="0"/>
                <w:kern w:val="2"/>
                <w:sz w:val="21"/>
                <w:szCs w:val="21"/>
                <w:highlight w:val="none"/>
              </w:rPr>
              <w:t>，南至</w:t>
            </w:r>
            <w:r>
              <w:rPr>
                <w:rFonts w:hint="eastAsia" w:ascii="Times New Roman" w:cs="Times New Roman" w:hAnsiTheme="minorEastAsia" w:eastAsiaTheme="minorEastAsia"/>
                <w:snapToGrid w:val="0"/>
                <w:kern w:val="2"/>
                <w:sz w:val="21"/>
                <w:szCs w:val="21"/>
                <w:highlight w:val="none"/>
              </w:rPr>
              <w:t>农田</w:t>
            </w:r>
            <w:r>
              <w:rPr>
                <w:rFonts w:hint="default" w:ascii="Times New Roman" w:cs="Times New Roman" w:hAnsiTheme="minorEastAsia" w:eastAsiaTheme="minorEastAsia"/>
                <w:snapToGrid w:val="0"/>
                <w:kern w:val="2"/>
                <w:sz w:val="21"/>
                <w:szCs w:val="21"/>
                <w:highlight w:val="none"/>
              </w:rPr>
              <w:t>，西至</w:t>
            </w:r>
            <w:r>
              <w:rPr>
                <w:rFonts w:hint="eastAsia" w:ascii="Times New Roman" w:cs="Times New Roman" w:hAnsiTheme="minorEastAsia" w:eastAsiaTheme="minorEastAsia"/>
                <w:snapToGrid w:val="0"/>
                <w:kern w:val="2"/>
                <w:sz w:val="21"/>
                <w:szCs w:val="21"/>
                <w:highlight w:val="none"/>
              </w:rPr>
              <w:t>农田</w:t>
            </w:r>
            <w:r>
              <w:rPr>
                <w:rFonts w:hint="default" w:ascii="Times New Roman" w:cs="Times New Roman" w:hAnsiTheme="minorEastAsia" w:eastAsiaTheme="minorEastAsia"/>
                <w:snapToGrid w:val="0"/>
                <w:kern w:val="2"/>
                <w:sz w:val="21"/>
                <w:szCs w:val="21"/>
                <w:highlight w:val="none"/>
              </w:rPr>
              <w:t>，北至农田</w:t>
            </w:r>
          </w:p>
        </w:tc>
        <w:tc>
          <w:tcPr>
            <w:tcW w:w="880" w:type="dxa"/>
            <w:vMerge w:val="continue"/>
            <w:tcBorders>
              <w:tl2br w:val="nil"/>
              <w:tr2bl w:val="nil"/>
            </w:tcBorders>
            <w:vAlign w:val="center"/>
          </w:tcPr>
          <w:p w14:paraId="6F64D1E5">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p>
        </w:tc>
        <w:tc>
          <w:tcPr>
            <w:tcW w:w="1143" w:type="dxa"/>
            <w:vMerge w:val="continue"/>
            <w:tcBorders>
              <w:tl2br w:val="nil"/>
              <w:tr2bl w:val="nil"/>
            </w:tcBorders>
            <w:vAlign w:val="center"/>
          </w:tcPr>
          <w:p w14:paraId="7FF878D4">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p>
        </w:tc>
      </w:tr>
      <w:tr w14:paraId="5572D394">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3" w:hRule="atLeast"/>
        </w:trPr>
        <w:tc>
          <w:tcPr>
            <w:tcW w:w="1101" w:type="dxa"/>
            <w:tcBorders>
              <w:tl2br w:val="nil"/>
              <w:tr2bl w:val="nil"/>
            </w:tcBorders>
            <w:vAlign w:val="center"/>
          </w:tcPr>
          <w:p w14:paraId="7CC0CA80">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平房镇</w:t>
            </w:r>
          </w:p>
        </w:tc>
        <w:tc>
          <w:tcPr>
            <w:tcW w:w="1275" w:type="dxa"/>
            <w:tcBorders>
              <w:tl2br w:val="nil"/>
              <w:tr2bl w:val="nil"/>
            </w:tcBorders>
            <w:vAlign w:val="center"/>
          </w:tcPr>
          <w:p w14:paraId="7E401A3D">
            <w:pPr>
              <w:keepNext w:val="0"/>
              <w:keepLines w:val="0"/>
              <w:suppressLineNumbers w:val="0"/>
              <w:wordWrap/>
              <w:adjustRightInd/>
              <w:snapToGrid/>
              <w:spacing w:before="0" w:beforeAutospacing="0" w:after="0" w:afterAutospacing="0" w:line="0" w:lineRule="atLeast"/>
              <w:ind w:left="0" w:right="0" w:firstLine="0" w:firstLineChars="0"/>
              <w:contextualSpacing/>
              <w:jc w:val="center"/>
              <w:textAlignment w:val="baseline"/>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SE 1.42km</w:t>
            </w:r>
          </w:p>
        </w:tc>
        <w:tc>
          <w:tcPr>
            <w:tcW w:w="1134" w:type="dxa"/>
            <w:tcBorders>
              <w:tl2br w:val="nil"/>
              <w:tr2bl w:val="nil"/>
            </w:tcBorders>
            <w:vAlign w:val="center"/>
          </w:tcPr>
          <w:p w14:paraId="5C3E9A1B">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napToGrid w:val="0"/>
                <w:kern w:val="0"/>
                <w:sz w:val="21"/>
                <w:szCs w:val="21"/>
                <w:highlight w:val="none"/>
              </w:rPr>
            </w:pPr>
            <w:r>
              <w:rPr>
                <w:rFonts w:hint="eastAsia" w:ascii="Times New Roman" w:cs="Times New Roman" w:hAnsiTheme="minorEastAsia" w:eastAsiaTheme="minorEastAsia"/>
                <w:snapToGrid w:val="0"/>
                <w:kern w:val="2"/>
                <w:sz w:val="21"/>
                <w:szCs w:val="21"/>
                <w:highlight w:val="none"/>
              </w:rPr>
              <w:t>乡</w:t>
            </w:r>
            <w:r>
              <w:rPr>
                <w:rFonts w:hint="default" w:ascii="Times New Roman" w:cs="Times New Roman" w:hAnsiTheme="minorEastAsia" w:eastAsiaTheme="minorEastAsia"/>
                <w:snapToGrid w:val="0"/>
                <w:kern w:val="2"/>
                <w:sz w:val="21"/>
                <w:szCs w:val="21"/>
                <w:highlight w:val="none"/>
              </w:rPr>
              <w:t>镇</w:t>
            </w:r>
          </w:p>
        </w:tc>
        <w:tc>
          <w:tcPr>
            <w:tcW w:w="2989" w:type="dxa"/>
            <w:tcBorders>
              <w:tl2br w:val="nil"/>
              <w:tr2bl w:val="nil"/>
            </w:tcBorders>
            <w:vAlign w:val="center"/>
          </w:tcPr>
          <w:p w14:paraId="31FFF65C">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r>
              <w:rPr>
                <w:rFonts w:hint="default" w:ascii="Times New Roman" w:cs="Times New Roman" w:hAnsiTheme="minorEastAsia" w:eastAsiaTheme="minorEastAsia"/>
                <w:snapToGrid w:val="0"/>
                <w:kern w:val="2"/>
                <w:sz w:val="21"/>
                <w:szCs w:val="21"/>
                <w:highlight w:val="none"/>
              </w:rPr>
              <w:t>东至哈平路，南至向东街，西至哈尔滨东安实业发展有限公司，北至农田</w:t>
            </w:r>
          </w:p>
        </w:tc>
        <w:tc>
          <w:tcPr>
            <w:tcW w:w="880" w:type="dxa"/>
            <w:vMerge w:val="continue"/>
            <w:tcBorders>
              <w:tl2br w:val="nil"/>
              <w:tr2bl w:val="nil"/>
            </w:tcBorders>
            <w:vAlign w:val="center"/>
          </w:tcPr>
          <w:p w14:paraId="73724F0F">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p>
        </w:tc>
        <w:tc>
          <w:tcPr>
            <w:tcW w:w="1143" w:type="dxa"/>
            <w:vMerge w:val="continue"/>
            <w:tcBorders>
              <w:tl2br w:val="nil"/>
              <w:tr2bl w:val="nil"/>
            </w:tcBorders>
            <w:vAlign w:val="center"/>
          </w:tcPr>
          <w:p w14:paraId="1E8373B0">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p>
        </w:tc>
      </w:tr>
      <w:tr w14:paraId="41D467A9">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3" w:hRule="atLeast"/>
        </w:trPr>
        <w:tc>
          <w:tcPr>
            <w:tcW w:w="1101" w:type="dxa"/>
            <w:tcBorders>
              <w:tl2br w:val="nil"/>
              <w:tr2bl w:val="nil"/>
            </w:tcBorders>
            <w:vAlign w:val="center"/>
          </w:tcPr>
          <w:p w14:paraId="4731C339">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东沟村</w:t>
            </w:r>
          </w:p>
        </w:tc>
        <w:tc>
          <w:tcPr>
            <w:tcW w:w="1275" w:type="dxa"/>
            <w:tcBorders>
              <w:tl2br w:val="nil"/>
              <w:tr2bl w:val="nil"/>
            </w:tcBorders>
            <w:vAlign w:val="center"/>
          </w:tcPr>
          <w:p w14:paraId="519B7EBA">
            <w:pPr>
              <w:keepNext w:val="0"/>
              <w:keepLines w:val="0"/>
              <w:suppressLineNumbers w:val="0"/>
              <w:wordWrap/>
              <w:adjustRightInd/>
              <w:snapToGrid/>
              <w:spacing w:before="0" w:beforeAutospacing="0" w:after="0" w:afterAutospacing="0" w:line="0" w:lineRule="atLeast"/>
              <w:ind w:left="0" w:right="0" w:firstLine="0" w:firstLineChars="0"/>
              <w:contextualSpacing/>
              <w:jc w:val="center"/>
              <w:textAlignment w:val="baseline"/>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SE 2.30km</w:t>
            </w:r>
          </w:p>
        </w:tc>
        <w:tc>
          <w:tcPr>
            <w:tcW w:w="1134" w:type="dxa"/>
            <w:vMerge w:val="restart"/>
            <w:tcBorders>
              <w:tl2br w:val="nil"/>
              <w:tr2bl w:val="nil"/>
            </w:tcBorders>
            <w:vAlign w:val="center"/>
          </w:tcPr>
          <w:p w14:paraId="14D85848">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napToGrid w:val="0"/>
                <w:kern w:val="0"/>
                <w:sz w:val="21"/>
                <w:szCs w:val="21"/>
                <w:highlight w:val="none"/>
              </w:rPr>
            </w:pPr>
            <w:r>
              <w:rPr>
                <w:rFonts w:hint="default" w:ascii="Times New Roman" w:hAnsi="Times New Roman" w:cs="Times New Roman" w:eastAsiaTheme="minorEastAsia"/>
                <w:snapToGrid w:val="0"/>
                <w:kern w:val="0"/>
                <w:sz w:val="21"/>
                <w:szCs w:val="21"/>
                <w:highlight w:val="none"/>
              </w:rPr>
              <w:t>农村</w:t>
            </w:r>
          </w:p>
        </w:tc>
        <w:tc>
          <w:tcPr>
            <w:tcW w:w="2989" w:type="dxa"/>
            <w:tcBorders>
              <w:tl2br w:val="nil"/>
              <w:tr2bl w:val="nil"/>
            </w:tcBorders>
            <w:vAlign w:val="center"/>
          </w:tcPr>
          <w:p w14:paraId="6371D2DF">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r>
              <w:rPr>
                <w:rFonts w:hint="default" w:ascii="Times New Roman" w:cs="Times New Roman" w:hAnsiTheme="minorEastAsia" w:eastAsiaTheme="minorEastAsia"/>
                <w:snapToGrid w:val="0"/>
                <w:kern w:val="2"/>
                <w:sz w:val="21"/>
                <w:szCs w:val="21"/>
                <w:highlight w:val="none"/>
              </w:rPr>
              <w:t>东至</w:t>
            </w:r>
            <w:r>
              <w:rPr>
                <w:rFonts w:hint="eastAsia" w:ascii="Times New Roman" w:cs="Times New Roman" w:hAnsiTheme="minorEastAsia" w:eastAsiaTheme="minorEastAsia"/>
                <w:snapToGrid w:val="0"/>
                <w:kern w:val="2"/>
                <w:sz w:val="21"/>
                <w:szCs w:val="21"/>
                <w:highlight w:val="none"/>
              </w:rPr>
              <w:t>农田</w:t>
            </w:r>
            <w:r>
              <w:rPr>
                <w:rFonts w:hint="default" w:ascii="Times New Roman" w:cs="Times New Roman" w:hAnsiTheme="minorEastAsia" w:eastAsiaTheme="minorEastAsia"/>
                <w:snapToGrid w:val="0"/>
                <w:kern w:val="2"/>
                <w:sz w:val="21"/>
                <w:szCs w:val="21"/>
                <w:highlight w:val="none"/>
              </w:rPr>
              <w:t>，南至</w:t>
            </w:r>
            <w:r>
              <w:rPr>
                <w:rFonts w:hint="eastAsia" w:ascii="Times New Roman" w:cs="Times New Roman" w:hAnsiTheme="minorEastAsia" w:eastAsiaTheme="minorEastAsia"/>
                <w:snapToGrid w:val="0"/>
                <w:kern w:val="2"/>
                <w:sz w:val="21"/>
                <w:szCs w:val="21"/>
                <w:highlight w:val="none"/>
              </w:rPr>
              <w:t>哈南路</w:t>
            </w:r>
            <w:r>
              <w:rPr>
                <w:rFonts w:hint="default" w:ascii="Times New Roman" w:cs="Times New Roman" w:hAnsiTheme="minorEastAsia" w:eastAsiaTheme="minorEastAsia"/>
                <w:snapToGrid w:val="0"/>
                <w:kern w:val="2"/>
                <w:sz w:val="21"/>
                <w:szCs w:val="21"/>
                <w:highlight w:val="none"/>
              </w:rPr>
              <w:t>，西至</w:t>
            </w:r>
            <w:r>
              <w:rPr>
                <w:rFonts w:hint="eastAsia" w:ascii="Times New Roman" w:cs="Times New Roman" w:hAnsiTheme="minorEastAsia" w:eastAsiaTheme="minorEastAsia"/>
                <w:snapToGrid w:val="0"/>
                <w:kern w:val="2"/>
                <w:sz w:val="21"/>
                <w:szCs w:val="21"/>
                <w:highlight w:val="none"/>
              </w:rPr>
              <w:t>彩虹路</w:t>
            </w:r>
            <w:r>
              <w:rPr>
                <w:rFonts w:hint="default" w:ascii="Times New Roman" w:cs="Times New Roman" w:hAnsiTheme="minorEastAsia" w:eastAsiaTheme="minorEastAsia"/>
                <w:snapToGrid w:val="0"/>
                <w:kern w:val="2"/>
                <w:sz w:val="21"/>
                <w:szCs w:val="21"/>
                <w:highlight w:val="none"/>
              </w:rPr>
              <w:t>，北至农田</w:t>
            </w:r>
          </w:p>
        </w:tc>
        <w:tc>
          <w:tcPr>
            <w:tcW w:w="880" w:type="dxa"/>
            <w:vMerge w:val="continue"/>
            <w:tcBorders>
              <w:tl2br w:val="nil"/>
              <w:tr2bl w:val="nil"/>
            </w:tcBorders>
            <w:vAlign w:val="center"/>
          </w:tcPr>
          <w:p w14:paraId="0B399B25">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p>
        </w:tc>
        <w:tc>
          <w:tcPr>
            <w:tcW w:w="1143" w:type="dxa"/>
            <w:vMerge w:val="continue"/>
            <w:tcBorders>
              <w:tl2br w:val="nil"/>
              <w:tr2bl w:val="nil"/>
            </w:tcBorders>
            <w:vAlign w:val="center"/>
          </w:tcPr>
          <w:p w14:paraId="284DD4C3">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p>
        </w:tc>
      </w:tr>
      <w:tr w14:paraId="13992311">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3" w:hRule="atLeast"/>
        </w:trPr>
        <w:tc>
          <w:tcPr>
            <w:tcW w:w="1101" w:type="dxa"/>
            <w:tcBorders>
              <w:tl2br w:val="nil"/>
              <w:tr2bl w:val="nil"/>
            </w:tcBorders>
            <w:vAlign w:val="center"/>
          </w:tcPr>
          <w:p w14:paraId="69E7F740">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夏家崴子</w:t>
            </w:r>
          </w:p>
        </w:tc>
        <w:tc>
          <w:tcPr>
            <w:tcW w:w="1275" w:type="dxa"/>
            <w:tcBorders>
              <w:tl2br w:val="nil"/>
              <w:tr2bl w:val="nil"/>
            </w:tcBorders>
            <w:vAlign w:val="center"/>
          </w:tcPr>
          <w:p w14:paraId="22D1A5CB">
            <w:pPr>
              <w:keepNext w:val="0"/>
              <w:keepLines w:val="0"/>
              <w:suppressLineNumbers w:val="0"/>
              <w:wordWrap/>
              <w:adjustRightInd/>
              <w:snapToGrid/>
              <w:spacing w:before="0" w:beforeAutospacing="0" w:after="0" w:afterAutospacing="0" w:line="0" w:lineRule="atLeast"/>
              <w:ind w:left="0" w:right="0" w:firstLine="0" w:firstLineChars="0"/>
              <w:contextualSpacing/>
              <w:jc w:val="center"/>
              <w:textAlignment w:val="baseline"/>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SE 3.41km</w:t>
            </w:r>
          </w:p>
        </w:tc>
        <w:tc>
          <w:tcPr>
            <w:tcW w:w="1134" w:type="dxa"/>
            <w:vMerge w:val="continue"/>
            <w:tcBorders>
              <w:tl2br w:val="nil"/>
              <w:tr2bl w:val="nil"/>
            </w:tcBorders>
            <w:vAlign w:val="center"/>
          </w:tcPr>
          <w:p w14:paraId="76D10A03">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napToGrid w:val="0"/>
                <w:kern w:val="0"/>
                <w:sz w:val="21"/>
                <w:szCs w:val="21"/>
                <w:highlight w:val="none"/>
              </w:rPr>
            </w:pPr>
          </w:p>
        </w:tc>
        <w:tc>
          <w:tcPr>
            <w:tcW w:w="2989" w:type="dxa"/>
            <w:tcBorders>
              <w:tl2br w:val="nil"/>
              <w:tr2bl w:val="nil"/>
            </w:tcBorders>
            <w:vAlign w:val="center"/>
          </w:tcPr>
          <w:p w14:paraId="7D5C890C">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r>
              <w:rPr>
                <w:rFonts w:hint="default" w:ascii="Times New Roman" w:cs="Times New Roman" w:hAnsiTheme="minorEastAsia" w:eastAsiaTheme="minorEastAsia"/>
                <w:snapToGrid w:val="0"/>
                <w:kern w:val="2"/>
                <w:sz w:val="21"/>
                <w:szCs w:val="21"/>
                <w:highlight w:val="none"/>
              </w:rPr>
              <w:t>东至</w:t>
            </w:r>
            <w:r>
              <w:rPr>
                <w:rFonts w:hint="eastAsia" w:ascii="Times New Roman" w:cs="Times New Roman" w:hAnsiTheme="minorEastAsia" w:eastAsiaTheme="minorEastAsia"/>
                <w:snapToGrid w:val="0"/>
                <w:kern w:val="2"/>
                <w:sz w:val="21"/>
                <w:szCs w:val="21"/>
                <w:highlight w:val="none"/>
              </w:rPr>
              <w:t>农田</w:t>
            </w:r>
            <w:r>
              <w:rPr>
                <w:rFonts w:hint="default" w:ascii="Times New Roman" w:cs="Times New Roman" w:hAnsiTheme="minorEastAsia" w:eastAsiaTheme="minorEastAsia"/>
                <w:snapToGrid w:val="0"/>
                <w:kern w:val="2"/>
                <w:sz w:val="21"/>
                <w:szCs w:val="21"/>
                <w:highlight w:val="none"/>
              </w:rPr>
              <w:t>，南至</w:t>
            </w:r>
            <w:r>
              <w:rPr>
                <w:rFonts w:hint="eastAsia" w:ascii="Times New Roman" w:cs="Times New Roman" w:hAnsiTheme="minorEastAsia" w:eastAsiaTheme="minorEastAsia"/>
                <w:snapToGrid w:val="0"/>
                <w:kern w:val="2"/>
                <w:sz w:val="21"/>
                <w:szCs w:val="21"/>
                <w:highlight w:val="none"/>
              </w:rPr>
              <w:t>哈南路</w:t>
            </w:r>
            <w:r>
              <w:rPr>
                <w:rFonts w:hint="default" w:ascii="Times New Roman" w:cs="Times New Roman" w:hAnsiTheme="minorEastAsia" w:eastAsiaTheme="minorEastAsia"/>
                <w:snapToGrid w:val="0"/>
                <w:kern w:val="2"/>
                <w:sz w:val="21"/>
                <w:szCs w:val="21"/>
                <w:highlight w:val="none"/>
              </w:rPr>
              <w:t>，西至</w:t>
            </w:r>
            <w:r>
              <w:rPr>
                <w:rFonts w:hint="eastAsia" w:ascii="Times New Roman" w:cs="Times New Roman" w:hAnsiTheme="minorEastAsia" w:eastAsiaTheme="minorEastAsia"/>
                <w:snapToGrid w:val="0"/>
                <w:kern w:val="2"/>
                <w:sz w:val="21"/>
                <w:szCs w:val="21"/>
                <w:highlight w:val="none"/>
              </w:rPr>
              <w:t>农田</w:t>
            </w:r>
            <w:r>
              <w:rPr>
                <w:rFonts w:hint="default" w:ascii="Times New Roman" w:cs="Times New Roman" w:hAnsiTheme="minorEastAsia" w:eastAsiaTheme="minorEastAsia"/>
                <w:snapToGrid w:val="0"/>
                <w:kern w:val="2"/>
                <w:sz w:val="21"/>
                <w:szCs w:val="21"/>
                <w:highlight w:val="none"/>
              </w:rPr>
              <w:t>，北至农田</w:t>
            </w:r>
          </w:p>
        </w:tc>
        <w:tc>
          <w:tcPr>
            <w:tcW w:w="880" w:type="dxa"/>
            <w:vMerge w:val="continue"/>
            <w:tcBorders>
              <w:tl2br w:val="nil"/>
              <w:tr2bl w:val="nil"/>
            </w:tcBorders>
            <w:vAlign w:val="center"/>
          </w:tcPr>
          <w:p w14:paraId="5813CCD1">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p>
        </w:tc>
        <w:tc>
          <w:tcPr>
            <w:tcW w:w="1143" w:type="dxa"/>
            <w:vMerge w:val="continue"/>
            <w:tcBorders>
              <w:tl2br w:val="nil"/>
              <w:tr2bl w:val="nil"/>
            </w:tcBorders>
            <w:vAlign w:val="center"/>
          </w:tcPr>
          <w:p w14:paraId="566B98E0">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p>
        </w:tc>
      </w:tr>
      <w:tr w14:paraId="1E856FA9">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3" w:hRule="atLeast"/>
        </w:trPr>
        <w:tc>
          <w:tcPr>
            <w:tcW w:w="1101" w:type="dxa"/>
            <w:tcBorders>
              <w:tl2br w:val="nil"/>
              <w:tr2bl w:val="nil"/>
            </w:tcBorders>
            <w:vAlign w:val="center"/>
          </w:tcPr>
          <w:p w14:paraId="1DA56C59">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黎明村</w:t>
            </w:r>
          </w:p>
        </w:tc>
        <w:tc>
          <w:tcPr>
            <w:tcW w:w="1275" w:type="dxa"/>
            <w:tcBorders>
              <w:tl2br w:val="nil"/>
              <w:tr2bl w:val="nil"/>
            </w:tcBorders>
            <w:vAlign w:val="center"/>
          </w:tcPr>
          <w:p w14:paraId="06F33E78">
            <w:pPr>
              <w:keepNext w:val="0"/>
              <w:keepLines w:val="0"/>
              <w:suppressLineNumbers w:val="0"/>
              <w:wordWrap/>
              <w:adjustRightInd/>
              <w:snapToGrid/>
              <w:spacing w:before="0" w:beforeAutospacing="0" w:after="0" w:afterAutospacing="0" w:line="0" w:lineRule="atLeast"/>
              <w:ind w:left="0" w:right="0" w:firstLine="0" w:firstLineChars="0"/>
              <w:contextualSpacing/>
              <w:jc w:val="center"/>
              <w:textAlignment w:val="baseline"/>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SE 4.00km</w:t>
            </w:r>
          </w:p>
        </w:tc>
        <w:tc>
          <w:tcPr>
            <w:tcW w:w="1134" w:type="dxa"/>
            <w:vMerge w:val="continue"/>
            <w:tcBorders>
              <w:tl2br w:val="nil"/>
              <w:tr2bl w:val="nil"/>
            </w:tcBorders>
            <w:vAlign w:val="center"/>
          </w:tcPr>
          <w:p w14:paraId="589CE12F">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napToGrid w:val="0"/>
                <w:kern w:val="0"/>
                <w:sz w:val="21"/>
                <w:szCs w:val="21"/>
                <w:highlight w:val="none"/>
              </w:rPr>
            </w:pPr>
          </w:p>
        </w:tc>
        <w:tc>
          <w:tcPr>
            <w:tcW w:w="2989" w:type="dxa"/>
            <w:tcBorders>
              <w:tl2br w:val="nil"/>
              <w:tr2bl w:val="nil"/>
            </w:tcBorders>
            <w:vAlign w:val="center"/>
          </w:tcPr>
          <w:p w14:paraId="03EB6ECE">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r>
              <w:rPr>
                <w:rFonts w:hint="default" w:ascii="Times New Roman" w:cs="Times New Roman" w:hAnsiTheme="minorEastAsia" w:eastAsiaTheme="minorEastAsia"/>
                <w:snapToGrid w:val="0"/>
                <w:kern w:val="2"/>
                <w:sz w:val="21"/>
                <w:szCs w:val="21"/>
                <w:highlight w:val="none"/>
              </w:rPr>
              <w:t>东至</w:t>
            </w:r>
            <w:r>
              <w:rPr>
                <w:rFonts w:hint="eastAsia" w:ascii="Times New Roman" w:cs="Times New Roman" w:hAnsiTheme="minorEastAsia" w:eastAsiaTheme="minorEastAsia"/>
                <w:snapToGrid w:val="0"/>
                <w:kern w:val="2"/>
                <w:sz w:val="21"/>
                <w:szCs w:val="21"/>
                <w:highlight w:val="none"/>
              </w:rPr>
              <w:t>农田</w:t>
            </w:r>
            <w:r>
              <w:rPr>
                <w:rFonts w:hint="default" w:ascii="Times New Roman" w:cs="Times New Roman" w:hAnsiTheme="minorEastAsia" w:eastAsiaTheme="minorEastAsia"/>
                <w:snapToGrid w:val="0"/>
                <w:kern w:val="2"/>
                <w:sz w:val="21"/>
                <w:szCs w:val="21"/>
                <w:highlight w:val="none"/>
              </w:rPr>
              <w:t>，南至</w:t>
            </w:r>
            <w:r>
              <w:rPr>
                <w:rFonts w:hint="eastAsia" w:ascii="Times New Roman" w:cs="Times New Roman" w:hAnsiTheme="minorEastAsia" w:eastAsiaTheme="minorEastAsia"/>
                <w:snapToGrid w:val="0"/>
                <w:kern w:val="2"/>
                <w:sz w:val="21"/>
                <w:szCs w:val="21"/>
                <w:highlight w:val="none"/>
              </w:rPr>
              <w:t>农田</w:t>
            </w:r>
            <w:r>
              <w:rPr>
                <w:rFonts w:hint="default" w:ascii="Times New Roman" w:cs="Times New Roman" w:hAnsiTheme="minorEastAsia" w:eastAsiaTheme="minorEastAsia"/>
                <w:snapToGrid w:val="0"/>
                <w:kern w:val="2"/>
                <w:sz w:val="21"/>
                <w:szCs w:val="21"/>
                <w:highlight w:val="none"/>
              </w:rPr>
              <w:t>，西至</w:t>
            </w:r>
            <w:r>
              <w:rPr>
                <w:rFonts w:hint="eastAsia" w:ascii="Times New Roman" w:cs="Times New Roman" w:hAnsiTheme="minorEastAsia" w:eastAsiaTheme="minorEastAsia"/>
                <w:snapToGrid w:val="0"/>
                <w:kern w:val="2"/>
                <w:sz w:val="21"/>
                <w:szCs w:val="21"/>
                <w:highlight w:val="none"/>
              </w:rPr>
              <w:t>农田</w:t>
            </w:r>
            <w:r>
              <w:rPr>
                <w:rFonts w:hint="default" w:ascii="Times New Roman" w:cs="Times New Roman" w:hAnsiTheme="minorEastAsia" w:eastAsiaTheme="minorEastAsia"/>
                <w:snapToGrid w:val="0"/>
                <w:kern w:val="2"/>
                <w:sz w:val="21"/>
                <w:szCs w:val="21"/>
                <w:highlight w:val="none"/>
              </w:rPr>
              <w:t>，北至农田</w:t>
            </w:r>
          </w:p>
        </w:tc>
        <w:tc>
          <w:tcPr>
            <w:tcW w:w="880" w:type="dxa"/>
            <w:vMerge w:val="continue"/>
            <w:tcBorders>
              <w:tl2br w:val="nil"/>
              <w:tr2bl w:val="nil"/>
            </w:tcBorders>
            <w:vAlign w:val="center"/>
          </w:tcPr>
          <w:p w14:paraId="4584A912">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p>
        </w:tc>
        <w:tc>
          <w:tcPr>
            <w:tcW w:w="1143" w:type="dxa"/>
            <w:vMerge w:val="continue"/>
            <w:tcBorders>
              <w:tl2br w:val="nil"/>
              <w:tr2bl w:val="nil"/>
            </w:tcBorders>
            <w:vAlign w:val="center"/>
          </w:tcPr>
          <w:p w14:paraId="5399CB73">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p>
        </w:tc>
      </w:tr>
      <w:tr w14:paraId="280415A2">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3" w:hRule="atLeast"/>
        </w:trPr>
        <w:tc>
          <w:tcPr>
            <w:tcW w:w="1101" w:type="dxa"/>
            <w:tcBorders>
              <w:tl2br w:val="nil"/>
              <w:tr2bl w:val="nil"/>
            </w:tcBorders>
            <w:vAlign w:val="center"/>
          </w:tcPr>
          <w:p w14:paraId="3281E57B">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刘家村</w:t>
            </w:r>
          </w:p>
        </w:tc>
        <w:tc>
          <w:tcPr>
            <w:tcW w:w="1275" w:type="dxa"/>
            <w:tcBorders>
              <w:tl2br w:val="nil"/>
              <w:tr2bl w:val="nil"/>
            </w:tcBorders>
            <w:vAlign w:val="center"/>
          </w:tcPr>
          <w:p w14:paraId="648AD98B">
            <w:pPr>
              <w:keepNext w:val="0"/>
              <w:keepLines w:val="0"/>
              <w:suppressLineNumbers w:val="0"/>
              <w:wordWrap/>
              <w:adjustRightInd/>
              <w:snapToGrid/>
              <w:spacing w:before="0" w:beforeAutospacing="0" w:after="0" w:afterAutospacing="0" w:line="0" w:lineRule="atLeast"/>
              <w:ind w:left="0" w:right="0" w:firstLine="0" w:firstLineChars="0"/>
              <w:contextualSpacing/>
              <w:jc w:val="center"/>
              <w:textAlignment w:val="baseline"/>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NE 300m</w:t>
            </w:r>
          </w:p>
        </w:tc>
        <w:tc>
          <w:tcPr>
            <w:tcW w:w="1134" w:type="dxa"/>
            <w:vMerge w:val="continue"/>
            <w:tcBorders>
              <w:tl2br w:val="nil"/>
              <w:tr2bl w:val="nil"/>
            </w:tcBorders>
            <w:vAlign w:val="center"/>
          </w:tcPr>
          <w:p w14:paraId="2DAC5000">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napToGrid w:val="0"/>
                <w:kern w:val="0"/>
                <w:sz w:val="21"/>
                <w:szCs w:val="21"/>
                <w:highlight w:val="none"/>
              </w:rPr>
            </w:pPr>
          </w:p>
        </w:tc>
        <w:tc>
          <w:tcPr>
            <w:tcW w:w="2989" w:type="dxa"/>
            <w:tcBorders>
              <w:tl2br w:val="nil"/>
              <w:tr2bl w:val="nil"/>
            </w:tcBorders>
            <w:vAlign w:val="center"/>
          </w:tcPr>
          <w:p w14:paraId="090BBDEA">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r>
              <w:rPr>
                <w:rFonts w:hint="default" w:ascii="Times New Roman" w:cs="Times New Roman" w:hAnsiTheme="minorEastAsia" w:eastAsiaTheme="minorEastAsia"/>
                <w:snapToGrid w:val="0"/>
                <w:kern w:val="2"/>
                <w:sz w:val="21"/>
                <w:szCs w:val="21"/>
                <w:highlight w:val="none"/>
              </w:rPr>
              <w:t>东至青岛路，南至哈尔滨凌云汽车零部件有限公司，西至威海路，北至新疆东路</w:t>
            </w:r>
          </w:p>
        </w:tc>
        <w:tc>
          <w:tcPr>
            <w:tcW w:w="880" w:type="dxa"/>
            <w:vMerge w:val="continue"/>
            <w:tcBorders>
              <w:tl2br w:val="nil"/>
              <w:tr2bl w:val="nil"/>
            </w:tcBorders>
            <w:vAlign w:val="center"/>
          </w:tcPr>
          <w:p w14:paraId="1B3FD7CC">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p>
        </w:tc>
        <w:tc>
          <w:tcPr>
            <w:tcW w:w="1143" w:type="dxa"/>
            <w:vMerge w:val="continue"/>
            <w:tcBorders>
              <w:tl2br w:val="nil"/>
              <w:tr2bl w:val="nil"/>
            </w:tcBorders>
            <w:vAlign w:val="center"/>
          </w:tcPr>
          <w:p w14:paraId="7D1C0263">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1"/>
                <w:szCs w:val="21"/>
                <w:highlight w:val="none"/>
              </w:rPr>
            </w:pPr>
          </w:p>
        </w:tc>
      </w:tr>
      <w:tr w14:paraId="706507BB">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3" w:hRule="atLeast"/>
        </w:trPr>
        <w:tc>
          <w:tcPr>
            <w:tcW w:w="1101" w:type="dxa"/>
            <w:tcBorders>
              <w:tl2br w:val="nil"/>
              <w:tr2bl w:val="nil"/>
            </w:tcBorders>
            <w:vAlign w:val="center"/>
          </w:tcPr>
          <w:p w14:paraId="4D2D4402">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eastAsia="宋体" w:cs="Times New Roman"/>
                <w:kern w:val="0"/>
                <w:sz w:val="20"/>
                <w:szCs w:val="21"/>
                <w:highlight w:val="none"/>
              </w:rPr>
            </w:pPr>
            <w:r>
              <w:rPr>
                <w:rFonts w:hint="default" w:ascii="Times New Roman" w:hAnsi="Times New Roman" w:eastAsia="宋体" w:cs="Times New Roman"/>
                <w:kern w:val="0"/>
                <w:sz w:val="21"/>
                <w:szCs w:val="21"/>
                <w:highlight w:val="none"/>
              </w:rPr>
              <w:t>富民村</w:t>
            </w:r>
          </w:p>
        </w:tc>
        <w:tc>
          <w:tcPr>
            <w:tcW w:w="1275" w:type="dxa"/>
            <w:tcBorders>
              <w:tl2br w:val="nil"/>
              <w:tr2bl w:val="nil"/>
            </w:tcBorders>
            <w:vAlign w:val="center"/>
          </w:tcPr>
          <w:p w14:paraId="5A0A21D9">
            <w:pPr>
              <w:keepNext w:val="0"/>
              <w:keepLines w:val="0"/>
              <w:suppressLineNumbers w:val="0"/>
              <w:wordWrap/>
              <w:adjustRightInd/>
              <w:snapToGrid/>
              <w:spacing w:before="0" w:beforeAutospacing="0" w:after="0" w:afterAutospacing="0" w:line="0" w:lineRule="atLeast"/>
              <w:ind w:left="0" w:right="0" w:firstLine="0" w:firstLineChars="0"/>
              <w:contextualSpacing/>
              <w:jc w:val="center"/>
              <w:textAlignment w:val="baseline"/>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NE 1.36km</w:t>
            </w:r>
          </w:p>
        </w:tc>
        <w:tc>
          <w:tcPr>
            <w:tcW w:w="1134" w:type="dxa"/>
            <w:vMerge w:val="restart"/>
            <w:tcBorders>
              <w:tl2br w:val="nil"/>
              <w:tr2bl w:val="nil"/>
            </w:tcBorders>
            <w:vAlign w:val="center"/>
          </w:tcPr>
          <w:p w14:paraId="2BE9D3A2">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napToGrid w:val="0"/>
                <w:kern w:val="0"/>
                <w:sz w:val="20"/>
                <w:szCs w:val="21"/>
                <w:highlight w:val="none"/>
              </w:rPr>
            </w:pPr>
            <w:r>
              <w:rPr>
                <w:rFonts w:hint="default" w:ascii="Times New Roman" w:hAnsi="Times New Roman" w:cs="Times New Roman" w:eastAsiaTheme="minorEastAsia"/>
                <w:snapToGrid w:val="0"/>
                <w:kern w:val="0"/>
                <w:sz w:val="20"/>
                <w:szCs w:val="21"/>
                <w:highlight w:val="none"/>
              </w:rPr>
              <w:t>农村</w:t>
            </w:r>
          </w:p>
        </w:tc>
        <w:tc>
          <w:tcPr>
            <w:tcW w:w="2989" w:type="dxa"/>
            <w:tcBorders>
              <w:tl2br w:val="nil"/>
              <w:tr2bl w:val="nil"/>
            </w:tcBorders>
            <w:vAlign w:val="center"/>
          </w:tcPr>
          <w:p w14:paraId="70AAC9AA">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0"/>
                <w:szCs w:val="21"/>
                <w:highlight w:val="none"/>
              </w:rPr>
            </w:pPr>
            <w:r>
              <w:rPr>
                <w:rFonts w:hint="default" w:ascii="Times New Roman" w:cs="Times New Roman" w:hAnsiTheme="minorEastAsia" w:eastAsiaTheme="minorEastAsia"/>
                <w:snapToGrid w:val="0"/>
                <w:kern w:val="2"/>
                <w:sz w:val="21"/>
                <w:szCs w:val="21"/>
                <w:highlight w:val="none"/>
              </w:rPr>
              <w:t>东至马家沟，南至哈平路，西至新疆东路，北至温州路</w:t>
            </w:r>
          </w:p>
        </w:tc>
        <w:tc>
          <w:tcPr>
            <w:tcW w:w="880" w:type="dxa"/>
            <w:vMerge w:val="restart"/>
            <w:tcBorders>
              <w:tl2br w:val="nil"/>
              <w:tr2bl w:val="nil"/>
            </w:tcBorders>
            <w:vAlign w:val="center"/>
          </w:tcPr>
          <w:p w14:paraId="06521707">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0"/>
                <w:szCs w:val="21"/>
                <w:highlight w:val="none"/>
              </w:rPr>
            </w:pPr>
            <w:r>
              <w:rPr>
                <w:rFonts w:hint="default" w:ascii="Times New Roman" w:cs="Times New Roman" w:hAnsiTheme="minorEastAsia" w:eastAsiaTheme="minorEastAsia"/>
                <w:snapToGrid w:val="0"/>
                <w:kern w:val="0"/>
                <w:sz w:val="20"/>
                <w:szCs w:val="21"/>
                <w:highlight w:val="none"/>
              </w:rPr>
              <w:t>居民</w:t>
            </w:r>
          </w:p>
        </w:tc>
        <w:tc>
          <w:tcPr>
            <w:tcW w:w="1143" w:type="dxa"/>
            <w:vMerge w:val="restart"/>
            <w:tcBorders>
              <w:tl2br w:val="nil"/>
              <w:tr2bl w:val="nil"/>
            </w:tcBorders>
            <w:vAlign w:val="center"/>
          </w:tcPr>
          <w:p w14:paraId="363B94DB">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0"/>
                <w:szCs w:val="21"/>
                <w:highlight w:val="none"/>
              </w:rPr>
            </w:pPr>
            <w:r>
              <w:rPr>
                <w:rFonts w:hint="default" w:ascii="Times New Roman" w:cs="Times New Roman" w:hAnsiTheme="minorEastAsia" w:eastAsiaTheme="minorEastAsia"/>
                <w:snapToGrid w:val="0"/>
                <w:kern w:val="2"/>
                <w:sz w:val="21"/>
                <w:szCs w:val="21"/>
                <w:highlight w:val="none"/>
              </w:rPr>
              <w:t>《环境空气质量标准》（</w:t>
            </w:r>
            <w:r>
              <w:rPr>
                <w:rFonts w:hint="default" w:ascii="Times New Roman" w:hAnsi="Times New Roman" w:cs="Times New Roman" w:eastAsiaTheme="minorEastAsia"/>
                <w:snapToGrid w:val="0"/>
                <w:kern w:val="2"/>
                <w:sz w:val="21"/>
                <w:szCs w:val="21"/>
                <w:highlight w:val="none"/>
              </w:rPr>
              <w:t>GB3095-2012</w:t>
            </w:r>
            <w:r>
              <w:rPr>
                <w:rFonts w:hint="default" w:ascii="Times New Roman" w:cs="Times New Roman" w:hAnsiTheme="minorEastAsia" w:eastAsiaTheme="minorEastAsia"/>
                <w:snapToGrid w:val="0"/>
                <w:kern w:val="2"/>
                <w:sz w:val="21"/>
                <w:szCs w:val="21"/>
                <w:highlight w:val="none"/>
              </w:rPr>
              <w:t>）二级标准</w:t>
            </w:r>
          </w:p>
        </w:tc>
      </w:tr>
      <w:tr w14:paraId="5D725D92">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3" w:hRule="atLeast"/>
        </w:trPr>
        <w:tc>
          <w:tcPr>
            <w:tcW w:w="1101" w:type="dxa"/>
            <w:tcBorders>
              <w:tl2br w:val="nil"/>
              <w:tr2bl w:val="nil"/>
            </w:tcBorders>
            <w:vAlign w:val="center"/>
          </w:tcPr>
          <w:p w14:paraId="014D2443">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eastAsia="宋体" w:cs="Times New Roman"/>
                <w:kern w:val="0"/>
                <w:sz w:val="20"/>
                <w:szCs w:val="21"/>
                <w:highlight w:val="none"/>
              </w:rPr>
            </w:pPr>
            <w:r>
              <w:rPr>
                <w:rFonts w:hint="default" w:ascii="Times New Roman" w:hAnsi="Times New Roman" w:eastAsia="宋体" w:cs="Times New Roman"/>
                <w:kern w:val="0"/>
                <w:sz w:val="21"/>
                <w:szCs w:val="21"/>
                <w:highlight w:val="none"/>
              </w:rPr>
              <w:t>东升村</w:t>
            </w:r>
          </w:p>
        </w:tc>
        <w:tc>
          <w:tcPr>
            <w:tcW w:w="1275" w:type="dxa"/>
            <w:tcBorders>
              <w:tl2br w:val="nil"/>
              <w:tr2bl w:val="nil"/>
            </w:tcBorders>
            <w:vAlign w:val="center"/>
          </w:tcPr>
          <w:p w14:paraId="4D68ECCC">
            <w:pPr>
              <w:keepNext w:val="0"/>
              <w:keepLines w:val="0"/>
              <w:suppressLineNumbers w:val="0"/>
              <w:wordWrap/>
              <w:adjustRightInd/>
              <w:snapToGrid/>
              <w:spacing w:before="0" w:beforeAutospacing="0" w:after="0" w:afterAutospacing="0" w:line="0" w:lineRule="atLeast"/>
              <w:ind w:left="0" w:right="0" w:firstLine="0" w:firstLineChars="0"/>
              <w:contextualSpacing/>
              <w:jc w:val="center"/>
              <w:textAlignment w:val="baseline"/>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NE 3.57km</w:t>
            </w:r>
          </w:p>
        </w:tc>
        <w:tc>
          <w:tcPr>
            <w:tcW w:w="1134" w:type="dxa"/>
            <w:vMerge w:val="continue"/>
            <w:tcBorders>
              <w:tl2br w:val="nil"/>
              <w:tr2bl w:val="nil"/>
            </w:tcBorders>
            <w:vAlign w:val="center"/>
          </w:tcPr>
          <w:p w14:paraId="5DE9F7CE">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napToGrid w:val="0"/>
                <w:kern w:val="0"/>
                <w:sz w:val="20"/>
                <w:szCs w:val="21"/>
                <w:highlight w:val="none"/>
              </w:rPr>
            </w:pPr>
          </w:p>
        </w:tc>
        <w:tc>
          <w:tcPr>
            <w:tcW w:w="2989" w:type="dxa"/>
            <w:tcBorders>
              <w:tl2br w:val="nil"/>
              <w:tr2bl w:val="nil"/>
            </w:tcBorders>
            <w:vAlign w:val="center"/>
          </w:tcPr>
          <w:p w14:paraId="0A9DD28B">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0"/>
                <w:szCs w:val="21"/>
                <w:highlight w:val="none"/>
              </w:rPr>
            </w:pPr>
            <w:r>
              <w:rPr>
                <w:rFonts w:hint="default" w:ascii="Times New Roman" w:cs="Times New Roman" w:hAnsiTheme="minorEastAsia" w:eastAsiaTheme="minorEastAsia"/>
                <w:snapToGrid w:val="0"/>
                <w:kern w:val="2"/>
                <w:sz w:val="21"/>
                <w:szCs w:val="21"/>
                <w:highlight w:val="none"/>
              </w:rPr>
              <w:t>东至</w:t>
            </w:r>
            <w:r>
              <w:rPr>
                <w:rFonts w:hint="eastAsia" w:ascii="Times New Roman" w:cs="Times New Roman" w:hAnsiTheme="minorEastAsia" w:eastAsiaTheme="minorEastAsia"/>
                <w:snapToGrid w:val="0"/>
                <w:kern w:val="2"/>
                <w:sz w:val="21"/>
                <w:szCs w:val="21"/>
                <w:highlight w:val="none"/>
              </w:rPr>
              <w:t>农田</w:t>
            </w:r>
            <w:r>
              <w:rPr>
                <w:rFonts w:hint="default" w:ascii="Times New Roman" w:cs="Times New Roman" w:hAnsiTheme="minorEastAsia" w:eastAsiaTheme="minorEastAsia"/>
                <w:snapToGrid w:val="0"/>
                <w:kern w:val="2"/>
                <w:sz w:val="21"/>
                <w:szCs w:val="21"/>
                <w:highlight w:val="none"/>
              </w:rPr>
              <w:t>，南至</w:t>
            </w:r>
            <w:r>
              <w:rPr>
                <w:rFonts w:hint="eastAsia" w:ascii="Times New Roman" w:cs="Times New Roman" w:hAnsiTheme="minorEastAsia" w:eastAsiaTheme="minorEastAsia"/>
                <w:snapToGrid w:val="0"/>
                <w:kern w:val="2"/>
                <w:sz w:val="21"/>
                <w:szCs w:val="21"/>
                <w:highlight w:val="none"/>
              </w:rPr>
              <w:t>农田</w:t>
            </w:r>
            <w:r>
              <w:rPr>
                <w:rFonts w:hint="default" w:ascii="Times New Roman" w:cs="Times New Roman" w:hAnsiTheme="minorEastAsia" w:eastAsiaTheme="minorEastAsia"/>
                <w:snapToGrid w:val="0"/>
                <w:kern w:val="2"/>
                <w:sz w:val="21"/>
                <w:szCs w:val="21"/>
                <w:highlight w:val="none"/>
              </w:rPr>
              <w:t>，西至</w:t>
            </w:r>
            <w:r>
              <w:rPr>
                <w:rFonts w:hint="eastAsia" w:ascii="Times New Roman" w:cs="Times New Roman" w:hAnsiTheme="minorEastAsia" w:eastAsiaTheme="minorEastAsia"/>
                <w:snapToGrid w:val="0"/>
                <w:kern w:val="2"/>
                <w:sz w:val="21"/>
                <w:szCs w:val="21"/>
                <w:highlight w:val="none"/>
              </w:rPr>
              <w:t>团结路</w:t>
            </w:r>
            <w:r>
              <w:rPr>
                <w:rFonts w:hint="default" w:ascii="Times New Roman" w:cs="Times New Roman" w:hAnsiTheme="minorEastAsia" w:eastAsiaTheme="minorEastAsia"/>
                <w:snapToGrid w:val="0"/>
                <w:kern w:val="2"/>
                <w:sz w:val="21"/>
                <w:szCs w:val="21"/>
                <w:highlight w:val="none"/>
              </w:rPr>
              <w:t>，北至农田</w:t>
            </w:r>
          </w:p>
        </w:tc>
        <w:tc>
          <w:tcPr>
            <w:tcW w:w="880" w:type="dxa"/>
            <w:vMerge w:val="continue"/>
            <w:tcBorders>
              <w:tl2br w:val="nil"/>
              <w:tr2bl w:val="nil"/>
            </w:tcBorders>
            <w:vAlign w:val="center"/>
          </w:tcPr>
          <w:p w14:paraId="10F1E025">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0"/>
                <w:szCs w:val="21"/>
                <w:highlight w:val="none"/>
              </w:rPr>
            </w:pPr>
          </w:p>
        </w:tc>
        <w:tc>
          <w:tcPr>
            <w:tcW w:w="1143" w:type="dxa"/>
            <w:vMerge w:val="continue"/>
            <w:tcBorders>
              <w:tl2br w:val="nil"/>
              <w:tr2bl w:val="nil"/>
            </w:tcBorders>
            <w:vAlign w:val="center"/>
          </w:tcPr>
          <w:p w14:paraId="783FA2AE">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0"/>
                <w:szCs w:val="21"/>
                <w:highlight w:val="none"/>
              </w:rPr>
            </w:pPr>
          </w:p>
        </w:tc>
      </w:tr>
      <w:tr w14:paraId="692046B2">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343" w:hRule="atLeast"/>
        </w:trPr>
        <w:tc>
          <w:tcPr>
            <w:tcW w:w="1101" w:type="dxa"/>
            <w:tcBorders>
              <w:tl2br w:val="nil"/>
              <w:tr2bl w:val="nil"/>
            </w:tcBorders>
            <w:vAlign w:val="center"/>
          </w:tcPr>
          <w:p w14:paraId="7B36BC5D">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eastAsia="宋体" w:cs="Times New Roman"/>
                <w:kern w:val="0"/>
                <w:sz w:val="20"/>
                <w:szCs w:val="21"/>
                <w:highlight w:val="none"/>
              </w:rPr>
            </w:pPr>
            <w:r>
              <w:rPr>
                <w:rFonts w:hint="default" w:ascii="Times New Roman" w:hAnsi="Times New Roman" w:eastAsia="宋体" w:cs="Times New Roman"/>
                <w:kern w:val="0"/>
                <w:sz w:val="21"/>
                <w:szCs w:val="21"/>
                <w:highlight w:val="none"/>
              </w:rPr>
              <w:t>西大坝</w:t>
            </w:r>
          </w:p>
        </w:tc>
        <w:tc>
          <w:tcPr>
            <w:tcW w:w="1275" w:type="dxa"/>
            <w:tcBorders>
              <w:tl2br w:val="nil"/>
              <w:tr2bl w:val="nil"/>
            </w:tcBorders>
            <w:vAlign w:val="center"/>
          </w:tcPr>
          <w:p w14:paraId="5C178577">
            <w:pPr>
              <w:keepNext w:val="0"/>
              <w:keepLines w:val="0"/>
              <w:suppressLineNumbers w:val="0"/>
              <w:wordWrap/>
              <w:adjustRightInd/>
              <w:snapToGrid/>
              <w:spacing w:before="0" w:beforeAutospacing="0" w:after="0" w:afterAutospacing="0" w:line="0" w:lineRule="atLeast"/>
              <w:ind w:left="0" w:right="0" w:firstLine="0" w:firstLineChars="0"/>
              <w:contextualSpacing/>
              <w:jc w:val="center"/>
              <w:textAlignment w:val="baseline"/>
              <w:rPr>
                <w:rFonts w:hint="default" w:ascii="Times New Roman" w:hAnsi="Times New Roman" w:eastAsia="宋体" w:cs="Times New Roman"/>
                <w:kern w:val="0"/>
                <w:sz w:val="21"/>
                <w:szCs w:val="21"/>
                <w:highlight w:val="none"/>
              </w:rPr>
            </w:pPr>
            <w:r>
              <w:rPr>
                <w:rFonts w:hint="eastAsia" w:ascii="Times New Roman" w:hAnsi="Times New Roman" w:eastAsia="宋体" w:cs="Times New Roman"/>
                <w:kern w:val="0"/>
                <w:sz w:val="21"/>
                <w:szCs w:val="21"/>
                <w:highlight w:val="none"/>
              </w:rPr>
              <w:t>NE 4.74km</w:t>
            </w:r>
          </w:p>
        </w:tc>
        <w:tc>
          <w:tcPr>
            <w:tcW w:w="1134" w:type="dxa"/>
            <w:vMerge w:val="continue"/>
            <w:tcBorders>
              <w:tl2br w:val="nil"/>
              <w:tr2bl w:val="nil"/>
            </w:tcBorders>
            <w:vAlign w:val="center"/>
          </w:tcPr>
          <w:p w14:paraId="0343B937">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napToGrid w:val="0"/>
                <w:kern w:val="0"/>
                <w:sz w:val="20"/>
                <w:szCs w:val="21"/>
                <w:highlight w:val="none"/>
              </w:rPr>
            </w:pPr>
          </w:p>
        </w:tc>
        <w:tc>
          <w:tcPr>
            <w:tcW w:w="2989" w:type="dxa"/>
            <w:tcBorders>
              <w:tl2br w:val="nil"/>
              <w:tr2bl w:val="nil"/>
            </w:tcBorders>
            <w:vAlign w:val="center"/>
          </w:tcPr>
          <w:p w14:paraId="2D74FAD2">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0"/>
                <w:szCs w:val="21"/>
                <w:highlight w:val="none"/>
              </w:rPr>
            </w:pPr>
            <w:r>
              <w:rPr>
                <w:rFonts w:hint="default" w:ascii="Times New Roman" w:cs="Times New Roman" w:hAnsiTheme="minorEastAsia" w:eastAsiaTheme="minorEastAsia"/>
                <w:snapToGrid w:val="0"/>
                <w:kern w:val="2"/>
                <w:sz w:val="21"/>
                <w:szCs w:val="21"/>
                <w:highlight w:val="none"/>
              </w:rPr>
              <w:t>东至</w:t>
            </w:r>
            <w:r>
              <w:rPr>
                <w:rFonts w:hint="eastAsia" w:ascii="Times New Roman" w:cs="Times New Roman" w:hAnsiTheme="minorEastAsia" w:eastAsiaTheme="minorEastAsia"/>
                <w:snapToGrid w:val="0"/>
                <w:kern w:val="2"/>
                <w:sz w:val="21"/>
                <w:szCs w:val="21"/>
                <w:highlight w:val="none"/>
              </w:rPr>
              <w:t>农田</w:t>
            </w:r>
            <w:r>
              <w:rPr>
                <w:rFonts w:hint="default" w:ascii="Times New Roman" w:cs="Times New Roman" w:hAnsiTheme="minorEastAsia" w:eastAsiaTheme="minorEastAsia"/>
                <w:snapToGrid w:val="0"/>
                <w:kern w:val="2"/>
                <w:sz w:val="21"/>
                <w:szCs w:val="21"/>
                <w:highlight w:val="none"/>
              </w:rPr>
              <w:t>，南至</w:t>
            </w:r>
            <w:r>
              <w:rPr>
                <w:rFonts w:hint="eastAsia" w:ascii="Times New Roman" w:cs="Times New Roman" w:hAnsiTheme="minorEastAsia" w:eastAsiaTheme="minorEastAsia"/>
                <w:snapToGrid w:val="0"/>
                <w:kern w:val="2"/>
                <w:sz w:val="21"/>
                <w:szCs w:val="21"/>
                <w:highlight w:val="none"/>
              </w:rPr>
              <w:t>农田</w:t>
            </w:r>
            <w:r>
              <w:rPr>
                <w:rFonts w:hint="default" w:ascii="Times New Roman" w:cs="Times New Roman" w:hAnsiTheme="minorEastAsia" w:eastAsiaTheme="minorEastAsia"/>
                <w:snapToGrid w:val="0"/>
                <w:kern w:val="2"/>
                <w:sz w:val="21"/>
                <w:szCs w:val="21"/>
                <w:highlight w:val="none"/>
              </w:rPr>
              <w:t>，西至</w:t>
            </w:r>
            <w:r>
              <w:rPr>
                <w:rFonts w:hint="eastAsia" w:ascii="Times New Roman" w:cs="Times New Roman" w:hAnsiTheme="minorEastAsia" w:eastAsiaTheme="minorEastAsia"/>
                <w:snapToGrid w:val="0"/>
                <w:kern w:val="2"/>
                <w:sz w:val="21"/>
                <w:szCs w:val="21"/>
                <w:highlight w:val="none"/>
              </w:rPr>
              <w:t>农田</w:t>
            </w:r>
            <w:r>
              <w:rPr>
                <w:rFonts w:hint="default" w:ascii="Times New Roman" w:cs="Times New Roman" w:hAnsiTheme="minorEastAsia" w:eastAsiaTheme="minorEastAsia"/>
                <w:snapToGrid w:val="0"/>
                <w:kern w:val="2"/>
                <w:sz w:val="21"/>
                <w:szCs w:val="21"/>
                <w:highlight w:val="none"/>
              </w:rPr>
              <w:t>，北至农田</w:t>
            </w:r>
          </w:p>
        </w:tc>
        <w:tc>
          <w:tcPr>
            <w:tcW w:w="880" w:type="dxa"/>
            <w:vMerge w:val="continue"/>
            <w:tcBorders>
              <w:tl2br w:val="nil"/>
              <w:tr2bl w:val="nil"/>
            </w:tcBorders>
            <w:vAlign w:val="center"/>
          </w:tcPr>
          <w:p w14:paraId="4DF5A46A">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0"/>
                <w:szCs w:val="21"/>
                <w:highlight w:val="none"/>
              </w:rPr>
            </w:pPr>
          </w:p>
        </w:tc>
        <w:tc>
          <w:tcPr>
            <w:tcW w:w="1143" w:type="dxa"/>
            <w:vMerge w:val="continue"/>
            <w:tcBorders>
              <w:tl2br w:val="nil"/>
              <w:tr2bl w:val="nil"/>
            </w:tcBorders>
            <w:vAlign w:val="center"/>
          </w:tcPr>
          <w:p w14:paraId="2DF59F75">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napToGrid w:val="0"/>
                <w:kern w:val="0"/>
                <w:sz w:val="20"/>
                <w:szCs w:val="21"/>
                <w:highlight w:val="none"/>
              </w:rPr>
            </w:pPr>
          </w:p>
        </w:tc>
      </w:tr>
    </w:tbl>
    <w:p w14:paraId="22E45E18">
      <w:pPr>
        <w:widowControl/>
        <w:numPr>
          <w:ilvl w:val="0"/>
          <w:numId w:val="0"/>
        </w:numPr>
        <w:spacing w:line="360" w:lineRule="auto"/>
        <w:contextualSpacing/>
        <w:rPr>
          <w:rFonts w:hint="eastAsia" w:ascii="Times New Roman" w:hAnsi="宋体" w:eastAsia="宋体" w:cs="Times New Roman"/>
          <w:smallCaps w:val="0"/>
          <w:snapToGrid w:val="0"/>
          <w:color w:val="auto"/>
          <w:kern w:val="2"/>
          <w:sz w:val="24"/>
          <w:szCs w:val="24"/>
          <w:highlight w:val="none"/>
          <w:lang w:val="en-US" w:eastAsia="zh-CN" w:bidi="ar-SA"/>
        </w:rPr>
      </w:pPr>
      <w:r>
        <w:rPr>
          <w:rFonts w:hint="eastAsia" w:hAnsi="宋体" w:cs="Times New Roman"/>
          <w:smallCaps w:val="0"/>
          <w:snapToGrid w:val="0"/>
          <w:color w:val="auto"/>
          <w:kern w:val="2"/>
          <w:sz w:val="24"/>
          <w:szCs w:val="24"/>
          <w:highlight w:val="none"/>
          <w:lang w:val="en-US" w:eastAsia="zh-CN" w:bidi="ar-SA"/>
        </w:rPr>
        <w:t>（1）</w:t>
      </w:r>
      <w:r>
        <w:rPr>
          <w:rFonts w:hint="eastAsia" w:ascii="Times New Roman" w:hAnsi="宋体" w:eastAsia="宋体" w:cs="Times New Roman"/>
          <w:smallCaps w:val="0"/>
          <w:snapToGrid w:val="0"/>
          <w:color w:val="auto"/>
          <w:kern w:val="2"/>
          <w:sz w:val="24"/>
          <w:szCs w:val="24"/>
          <w:highlight w:val="none"/>
          <w:lang w:val="en-US" w:eastAsia="zh-CN" w:bidi="ar-SA"/>
        </w:rPr>
        <w:t>本项目位于哈尔滨市平房区征仪南路6号</w:t>
      </w:r>
      <w:r>
        <w:rPr>
          <w:rFonts w:hint="eastAsia" w:ascii="Times New Roman" w:hAnsi="宋体" w:eastAsia="宋体" w:cs="Times New Roman"/>
          <w:smallCaps w:val="0"/>
          <w:snapToGrid w:val="0"/>
          <w:color w:val="auto"/>
          <w:kern w:val="2"/>
          <w:sz w:val="24"/>
          <w:szCs w:val="24"/>
          <w:highlight w:val="none"/>
          <w:lang w:val="zh-CN" w:eastAsia="zh-CN" w:bidi="ar-SA"/>
        </w:rPr>
        <w:t>哈尔滨东安汽车发动机制造有限公司</w:t>
      </w:r>
      <w:r>
        <w:rPr>
          <w:rFonts w:hint="eastAsia" w:hAnsi="宋体" w:cs="Times New Roman"/>
          <w:smallCaps w:val="0"/>
          <w:snapToGrid w:val="0"/>
          <w:color w:val="auto"/>
          <w:kern w:val="2"/>
          <w:sz w:val="24"/>
          <w:szCs w:val="24"/>
          <w:highlight w:val="none"/>
          <w:lang w:val="en-US" w:eastAsia="zh-CN" w:bidi="ar-SA"/>
        </w:rPr>
        <w:t>院内</w:t>
      </w:r>
      <w:r>
        <w:rPr>
          <w:rFonts w:hint="eastAsia" w:ascii="Times New Roman" w:hAnsi="宋体" w:eastAsia="宋体" w:cs="Times New Roman"/>
          <w:smallCaps w:val="0"/>
          <w:snapToGrid w:val="0"/>
          <w:color w:val="auto"/>
          <w:kern w:val="2"/>
          <w:sz w:val="24"/>
          <w:szCs w:val="24"/>
          <w:highlight w:val="none"/>
          <w:lang w:val="en-US" w:eastAsia="zh-CN" w:bidi="ar-SA"/>
        </w:rPr>
        <w:t>，项目</w:t>
      </w:r>
      <w:r>
        <w:rPr>
          <w:rFonts w:hint="eastAsia" w:ascii="Times New Roman" w:hAnsi="宋体" w:eastAsia="宋体" w:cs="Times New Roman"/>
          <w:smallCaps w:val="0"/>
          <w:snapToGrid w:val="0"/>
          <w:color w:val="auto"/>
          <w:kern w:val="2"/>
          <w:sz w:val="24"/>
          <w:szCs w:val="24"/>
          <w:highlight w:val="none"/>
          <w:lang w:val="zh-CN" w:eastAsia="zh-CN" w:bidi="ar-SA"/>
        </w:rPr>
        <w:t>东侧为哈尔滨艾瑞排放控制技术股份有限公司和哈尔滨凌云汽车零部件有限公司，南侧为哈飞汽车工业集团有限公司，西侧和北侧为哈尔滨云驰汽车制造有限公司</w:t>
      </w:r>
      <w:r>
        <w:rPr>
          <w:rFonts w:hint="eastAsia" w:ascii="Times New Roman" w:hAnsi="宋体" w:eastAsia="宋体" w:cs="Times New Roman"/>
          <w:smallCaps w:val="0"/>
          <w:snapToGrid w:val="0"/>
          <w:color w:val="auto"/>
          <w:kern w:val="2"/>
          <w:sz w:val="24"/>
          <w:szCs w:val="24"/>
          <w:highlight w:val="none"/>
          <w:lang w:val="en-US" w:eastAsia="zh-CN" w:bidi="ar-SA"/>
        </w:rPr>
        <w:t>。</w:t>
      </w:r>
    </w:p>
    <w:p w14:paraId="0C4EE365">
      <w:pPr>
        <w:widowControl/>
        <w:spacing w:line="360" w:lineRule="auto"/>
        <w:ind w:firstLine="480" w:firstLineChars="200"/>
        <w:contextualSpacing/>
        <w:rPr>
          <w:rFonts w:hint="eastAsia" w:ascii="Times New Roman" w:hAnsi="宋体" w:eastAsia="宋体" w:cs="Times New Roman"/>
          <w:smallCaps w:val="0"/>
          <w:snapToGrid w:val="0"/>
          <w:color w:val="auto"/>
          <w:kern w:val="2"/>
          <w:sz w:val="24"/>
          <w:szCs w:val="24"/>
          <w:highlight w:val="none"/>
          <w:lang w:val="en-US" w:eastAsia="zh-CN" w:bidi="ar-SA"/>
        </w:rPr>
      </w:pPr>
      <w:r>
        <w:rPr>
          <w:rFonts w:hint="eastAsia" w:hAnsi="宋体" w:cs="Times New Roman"/>
          <w:smallCaps w:val="0"/>
          <w:snapToGrid w:val="0"/>
          <w:color w:val="auto"/>
          <w:kern w:val="2"/>
          <w:sz w:val="24"/>
          <w:szCs w:val="24"/>
          <w:highlight w:val="none"/>
          <w:lang w:val="en-US" w:eastAsia="zh-CN" w:bidi="ar-SA"/>
        </w:rPr>
        <w:t>（2）</w:t>
      </w:r>
      <w:r>
        <w:rPr>
          <w:rFonts w:hint="eastAsia" w:ascii="Times New Roman" w:hAnsi="宋体" w:eastAsia="宋体" w:cs="Times New Roman"/>
          <w:smallCaps w:val="0"/>
          <w:snapToGrid w:val="0"/>
          <w:color w:val="auto"/>
          <w:kern w:val="2"/>
          <w:sz w:val="24"/>
          <w:szCs w:val="24"/>
          <w:highlight w:val="none"/>
          <w:lang w:val="en-US" w:eastAsia="zh-CN" w:bidi="ar-SA"/>
        </w:rPr>
        <w:t>本项目评价范围内的地表水保护目标为松花江，本项目距松花江</w:t>
      </w:r>
      <w:r>
        <w:rPr>
          <w:rFonts w:hint="eastAsia" w:ascii="Times New Roman" w:hAnsi="宋体" w:cs="Times New Roman"/>
          <w:smallCaps w:val="0"/>
          <w:snapToGrid w:val="0"/>
          <w:color w:val="auto"/>
          <w:kern w:val="2"/>
          <w:sz w:val="24"/>
          <w:szCs w:val="24"/>
          <w:highlight w:val="none"/>
          <w:lang w:val="en-US" w:eastAsia="zh-CN" w:bidi="ar-SA"/>
        </w:rPr>
        <w:t>支流马家沟</w:t>
      </w:r>
      <w:r>
        <w:rPr>
          <w:rFonts w:hint="eastAsia" w:ascii="Times New Roman" w:hAnsi="宋体" w:eastAsia="宋体" w:cs="Times New Roman"/>
          <w:smallCaps w:val="0"/>
          <w:snapToGrid w:val="0"/>
          <w:color w:val="auto"/>
          <w:kern w:val="2"/>
          <w:sz w:val="24"/>
          <w:szCs w:val="24"/>
          <w:highlight w:val="none"/>
          <w:lang w:val="en-US" w:eastAsia="zh-CN" w:bidi="ar-SA"/>
        </w:rPr>
        <w:t>直线距离1.</w:t>
      </w:r>
      <w:r>
        <w:rPr>
          <w:rFonts w:hint="eastAsia" w:ascii="Times New Roman" w:hAnsi="宋体" w:cs="Times New Roman"/>
          <w:smallCaps w:val="0"/>
          <w:snapToGrid w:val="0"/>
          <w:color w:val="auto"/>
          <w:kern w:val="2"/>
          <w:sz w:val="24"/>
          <w:szCs w:val="24"/>
          <w:highlight w:val="none"/>
          <w:lang w:val="en-US" w:eastAsia="zh-CN" w:bidi="ar-SA"/>
        </w:rPr>
        <w:t>72</w:t>
      </w:r>
      <w:r>
        <w:rPr>
          <w:rFonts w:hint="eastAsia" w:ascii="Times New Roman" w:hAnsi="宋体" w:eastAsia="宋体" w:cs="Times New Roman"/>
          <w:smallCaps w:val="0"/>
          <w:snapToGrid w:val="0"/>
          <w:color w:val="auto"/>
          <w:kern w:val="2"/>
          <w:sz w:val="24"/>
          <w:szCs w:val="24"/>
          <w:highlight w:val="none"/>
          <w:lang w:val="en-US" w:eastAsia="zh-CN" w:bidi="ar-SA"/>
        </w:rPr>
        <w:t>km，因此不涉及重要湿地和重要水生生物的自然产卵场、索饵场、越冬场和洄游通道。</w:t>
      </w:r>
    </w:p>
    <w:p w14:paraId="5C3CF01F">
      <w:pPr>
        <w:widowControl/>
        <w:spacing w:line="360" w:lineRule="auto"/>
        <w:ind w:firstLine="480" w:firstLineChars="200"/>
        <w:contextualSpacing/>
        <w:rPr>
          <w:rFonts w:hint="eastAsia" w:ascii="Times New Roman" w:hAnsi="宋体" w:eastAsia="宋体" w:cs="Times New Roman"/>
          <w:smallCaps w:val="0"/>
          <w:snapToGrid w:val="0"/>
          <w:color w:val="auto"/>
          <w:kern w:val="2"/>
          <w:sz w:val="24"/>
          <w:szCs w:val="24"/>
          <w:highlight w:val="none"/>
          <w:lang w:val="en-US" w:eastAsia="zh-CN" w:bidi="ar-SA"/>
        </w:rPr>
      </w:pPr>
      <w:r>
        <w:rPr>
          <w:rFonts w:hint="eastAsia" w:hAnsi="宋体" w:cs="Times New Roman"/>
          <w:smallCaps w:val="0"/>
          <w:snapToGrid w:val="0"/>
          <w:color w:val="auto"/>
          <w:kern w:val="2"/>
          <w:sz w:val="24"/>
          <w:szCs w:val="24"/>
          <w:highlight w:val="none"/>
          <w:lang w:val="en-US" w:eastAsia="zh-CN" w:bidi="ar-SA"/>
        </w:rPr>
        <w:t>（3）</w:t>
      </w:r>
      <w:r>
        <w:rPr>
          <w:rFonts w:hint="eastAsia" w:ascii="Times New Roman" w:hAnsi="宋体" w:eastAsia="宋体" w:cs="Times New Roman"/>
          <w:smallCaps w:val="0"/>
          <w:snapToGrid w:val="0"/>
          <w:color w:val="auto"/>
          <w:kern w:val="2"/>
          <w:sz w:val="24"/>
          <w:szCs w:val="24"/>
          <w:highlight w:val="none"/>
          <w:lang w:val="en-US" w:eastAsia="zh-CN" w:bidi="ar-SA"/>
        </w:rPr>
        <w:t>项目区不在国家森林公园、地质公园和集中式饮用水保护区范围内。</w:t>
      </w:r>
    </w:p>
    <w:p w14:paraId="65368F1A">
      <w:pPr>
        <w:spacing w:line="360" w:lineRule="auto"/>
        <w:ind w:firstLine="480" w:firstLineChars="200"/>
        <w:rPr>
          <w:rFonts w:eastAsiaTheme="minorEastAsia"/>
          <w:sz w:val="24"/>
          <w:highlight w:val="none"/>
        </w:rPr>
      </w:pPr>
      <w:r>
        <w:rPr>
          <w:rFonts w:hint="eastAsia" w:hAnsi="宋体" w:cs="Times New Roman"/>
          <w:smallCaps w:val="0"/>
          <w:snapToGrid w:val="0"/>
          <w:color w:val="auto"/>
          <w:kern w:val="2"/>
          <w:sz w:val="24"/>
          <w:szCs w:val="24"/>
          <w:highlight w:val="none"/>
          <w:lang w:val="en-US" w:eastAsia="zh-CN" w:bidi="ar-SA"/>
        </w:rPr>
        <w:t>（4）</w:t>
      </w:r>
      <w:r>
        <w:rPr>
          <w:rFonts w:hint="eastAsia" w:ascii="Times New Roman" w:hAnsi="宋体" w:eastAsia="宋体" w:cs="Times New Roman"/>
          <w:smallCaps w:val="0"/>
          <w:snapToGrid w:val="0"/>
          <w:color w:val="auto"/>
          <w:kern w:val="2"/>
          <w:sz w:val="24"/>
          <w:szCs w:val="24"/>
          <w:highlight w:val="none"/>
          <w:lang w:val="en-US" w:eastAsia="zh-CN" w:bidi="ar-SA"/>
        </w:rPr>
        <w:t>本项目评价范围内无集中饮用水井，周围饮用水由市政自来水提供，附近刘家村饮用水由村自打的分散式（供水人口数小于1000人）饮用水水井提供，距离本项目厂界150m，此饮用水井供水人口为850人</w:t>
      </w:r>
      <w:r>
        <w:rPr>
          <w:rFonts w:hAnsiTheme="minorEastAsia" w:eastAsiaTheme="minorEastAsia"/>
          <w:sz w:val="24"/>
          <w:highlight w:val="none"/>
        </w:rPr>
        <w:t>。</w:t>
      </w:r>
    </w:p>
    <w:p w14:paraId="12D1E0BB">
      <w:pPr>
        <w:pStyle w:val="3"/>
        <w:bidi w:val="0"/>
        <w:rPr>
          <w:highlight w:val="none"/>
        </w:rPr>
      </w:pPr>
      <w:bookmarkStart w:id="391" w:name="_Toc25636"/>
      <w:bookmarkStart w:id="392" w:name="_Toc7236"/>
      <w:bookmarkStart w:id="393" w:name="_Toc1454"/>
      <w:r>
        <w:rPr>
          <w:highlight w:val="none"/>
        </w:rPr>
        <w:t>4.4区域污染源调查</w:t>
      </w:r>
      <w:bookmarkEnd w:id="391"/>
      <w:bookmarkEnd w:id="392"/>
      <w:bookmarkEnd w:id="393"/>
    </w:p>
    <w:bookmarkEnd w:id="389"/>
    <w:bookmarkEnd w:id="390"/>
    <w:p w14:paraId="11615A4D">
      <w:pPr>
        <w:pStyle w:val="58"/>
        <w:rPr>
          <w:rFonts w:hint="eastAsia"/>
          <w:highlight w:val="none"/>
        </w:rPr>
        <w:sectPr>
          <w:pgSz w:w="11906" w:h="16838"/>
          <w:pgMar w:top="1440" w:right="1800" w:bottom="1440" w:left="1800" w:header="851" w:footer="992" w:gutter="0"/>
          <w:pgBorders w:offsetFrom="page">
            <w:top w:val="none" w:sz="0" w:space="0"/>
            <w:left w:val="none" w:sz="0" w:space="0"/>
            <w:bottom w:val="none" w:sz="0" w:space="0"/>
            <w:right w:val="none" w:sz="0" w:space="0"/>
          </w:pgBorders>
          <w:cols w:space="425" w:num="1"/>
          <w:docGrid w:type="lines" w:linePitch="312" w:charSpace="0"/>
        </w:sectPr>
      </w:pPr>
      <w:bookmarkStart w:id="394" w:name="_Toc9655"/>
      <w:bookmarkStart w:id="395" w:name="_Toc488925382"/>
      <w:bookmarkStart w:id="396" w:name="_Toc477954569"/>
      <w:bookmarkStart w:id="397" w:name="_Toc3218"/>
      <w:bookmarkStart w:id="398" w:name="_Toc494017090"/>
      <w:r>
        <w:rPr>
          <w:rFonts w:hint="eastAsia" w:hAnsiTheme="minorEastAsia" w:eastAsiaTheme="minorEastAsia"/>
          <w:snapToGrid w:val="0"/>
          <w:kern w:val="0"/>
          <w:sz w:val="24"/>
          <w:highlight w:val="none"/>
        </w:rPr>
        <w:t>根据</w:t>
      </w:r>
      <w:r>
        <w:rPr>
          <w:rFonts w:hAnsiTheme="minorEastAsia" w:eastAsiaTheme="minorEastAsia"/>
          <w:snapToGrid w:val="0"/>
          <w:kern w:val="0"/>
          <w:sz w:val="24"/>
          <w:highlight w:val="none"/>
        </w:rPr>
        <w:t>《环境影响评价技术导则</w:t>
      </w:r>
      <w:r>
        <w:rPr>
          <w:rFonts w:hint="eastAsia" w:hAnsiTheme="minorEastAsia" w:eastAsiaTheme="minorEastAsia"/>
          <w:snapToGrid w:val="0"/>
          <w:kern w:val="0"/>
          <w:sz w:val="24"/>
          <w:highlight w:val="none"/>
        </w:rPr>
        <w:t xml:space="preserve"> 大气环境</w:t>
      </w:r>
      <w:r>
        <w:rPr>
          <w:rFonts w:hAnsiTheme="minorEastAsia" w:eastAsiaTheme="minorEastAsia"/>
          <w:snapToGrid w:val="0"/>
          <w:kern w:val="0"/>
          <w:sz w:val="24"/>
          <w:highlight w:val="none"/>
        </w:rPr>
        <w:t>》（</w:t>
      </w:r>
      <w:r>
        <w:rPr>
          <w:rFonts w:hint="eastAsia" w:hAnsiTheme="minorEastAsia" w:eastAsiaTheme="minorEastAsia"/>
          <w:snapToGrid w:val="0"/>
          <w:kern w:val="0"/>
          <w:sz w:val="24"/>
          <w:highlight w:val="none"/>
        </w:rPr>
        <w:t>HJ2.2-2018</w:t>
      </w:r>
      <w:r>
        <w:rPr>
          <w:rFonts w:hAnsiTheme="minorEastAsia" w:eastAsiaTheme="minorEastAsia"/>
          <w:snapToGrid w:val="0"/>
          <w:kern w:val="0"/>
          <w:sz w:val="24"/>
          <w:highlight w:val="none"/>
        </w:rPr>
        <w:t>），二级评价无需调查评价范围内与评价项目排放</w:t>
      </w:r>
      <w:r>
        <w:rPr>
          <w:rFonts w:hint="eastAsia" w:hAnsiTheme="minorEastAsia" w:eastAsiaTheme="minorEastAsia"/>
          <w:snapToGrid w:val="0"/>
          <w:kern w:val="0"/>
          <w:sz w:val="24"/>
          <w:highlight w:val="none"/>
        </w:rPr>
        <w:t>有关</w:t>
      </w:r>
      <w:r>
        <w:rPr>
          <w:rFonts w:hAnsiTheme="minorEastAsia" w:eastAsiaTheme="minorEastAsia"/>
          <w:snapToGrid w:val="0"/>
          <w:kern w:val="0"/>
          <w:sz w:val="24"/>
          <w:highlight w:val="none"/>
        </w:rPr>
        <w:t>的其他在建项目、已批复环境影响评价文件的拟建项目等污染源</w:t>
      </w:r>
      <w:r>
        <w:rPr>
          <w:rFonts w:hint="eastAsia" w:hAnsiTheme="minorEastAsia" w:eastAsiaTheme="minorEastAsia"/>
          <w:snapToGrid w:val="0"/>
          <w:kern w:val="0"/>
          <w:sz w:val="24"/>
          <w:highlight w:val="none"/>
          <w:lang w:eastAsia="zh-CN"/>
        </w:rPr>
        <w:t>，</w:t>
      </w:r>
      <w:r>
        <w:rPr>
          <w:rFonts w:hint="eastAsia" w:hAnsiTheme="minorEastAsia" w:eastAsiaTheme="minorEastAsia"/>
          <w:snapToGrid w:val="0"/>
          <w:kern w:val="0"/>
          <w:sz w:val="24"/>
          <w:highlight w:val="none"/>
          <w:lang w:val="en-US" w:eastAsia="zh-CN"/>
        </w:rPr>
        <w:t>本项目无拟被替代的污染源</w:t>
      </w:r>
      <w:r>
        <w:rPr>
          <w:rFonts w:hAnsiTheme="minorEastAsia" w:eastAsiaTheme="minorEastAsia"/>
          <w:snapToGrid w:val="0"/>
          <w:kern w:val="0"/>
          <w:sz w:val="24"/>
          <w:highlight w:val="none"/>
        </w:rPr>
        <w:t>；</w:t>
      </w:r>
      <w:r>
        <w:rPr>
          <w:rFonts w:hint="eastAsia" w:hAnsiTheme="minorEastAsia" w:eastAsiaTheme="minorEastAsia"/>
          <w:snapToGrid w:val="0"/>
          <w:kern w:val="0"/>
          <w:sz w:val="24"/>
          <w:highlight w:val="none"/>
        </w:rPr>
        <w:t>根据</w:t>
      </w:r>
      <w:r>
        <w:rPr>
          <w:rFonts w:hAnsiTheme="minorEastAsia" w:eastAsiaTheme="minorEastAsia"/>
          <w:snapToGrid w:val="0"/>
          <w:kern w:val="0"/>
          <w:sz w:val="24"/>
          <w:highlight w:val="none"/>
        </w:rPr>
        <w:t>《环境影响评价技术导则</w:t>
      </w:r>
      <w:r>
        <w:rPr>
          <w:rFonts w:hint="eastAsia" w:hAnsiTheme="minorEastAsia" w:eastAsiaTheme="minorEastAsia"/>
          <w:snapToGrid w:val="0"/>
          <w:kern w:val="0"/>
          <w:sz w:val="24"/>
          <w:highlight w:val="none"/>
        </w:rPr>
        <w:t xml:space="preserve"> 地表水环境</w:t>
      </w:r>
      <w:r>
        <w:rPr>
          <w:rFonts w:hAnsiTheme="minorEastAsia" w:eastAsiaTheme="minorEastAsia"/>
          <w:snapToGrid w:val="0"/>
          <w:kern w:val="0"/>
          <w:sz w:val="24"/>
          <w:highlight w:val="none"/>
        </w:rPr>
        <w:t>》（</w:t>
      </w:r>
      <w:r>
        <w:rPr>
          <w:rFonts w:hint="eastAsia" w:hAnsiTheme="minorEastAsia" w:eastAsiaTheme="minorEastAsia"/>
          <w:snapToGrid w:val="0"/>
          <w:kern w:val="0"/>
          <w:sz w:val="24"/>
          <w:highlight w:val="none"/>
        </w:rPr>
        <w:t>HJ2.3-2018</w:t>
      </w:r>
      <w:r>
        <w:rPr>
          <w:rFonts w:hAnsiTheme="minorEastAsia" w:eastAsiaTheme="minorEastAsia"/>
          <w:snapToGrid w:val="0"/>
          <w:kern w:val="0"/>
          <w:sz w:val="24"/>
          <w:highlight w:val="none"/>
        </w:rPr>
        <w:t>），</w:t>
      </w:r>
      <w:r>
        <w:rPr>
          <w:rFonts w:hint="eastAsia" w:hAnsiTheme="minorEastAsia" w:eastAsiaTheme="minorEastAsia"/>
          <w:snapToGrid w:val="0"/>
          <w:kern w:val="0"/>
          <w:sz w:val="24"/>
          <w:highlight w:val="none"/>
        </w:rPr>
        <w:t>水污染</w:t>
      </w:r>
      <w:r>
        <w:rPr>
          <w:rFonts w:hAnsiTheme="minorEastAsia" w:eastAsiaTheme="minorEastAsia"/>
          <w:snapToGrid w:val="0"/>
          <w:kern w:val="0"/>
          <w:sz w:val="24"/>
          <w:highlight w:val="none"/>
        </w:rPr>
        <w:t>影响三级</w:t>
      </w:r>
      <w:r>
        <w:rPr>
          <w:rFonts w:hint="eastAsia" w:hAnsiTheme="minorEastAsia" w:eastAsiaTheme="minorEastAsia"/>
          <w:snapToGrid w:val="0"/>
          <w:kern w:val="0"/>
          <w:sz w:val="24"/>
          <w:highlight w:val="none"/>
        </w:rPr>
        <w:t>B评价，可不开展区域污染源调查</w:t>
      </w:r>
      <w:r>
        <w:rPr>
          <w:rFonts w:hAnsiTheme="minorEastAsia" w:eastAsiaTheme="minorEastAsia"/>
          <w:snapToGrid w:val="0"/>
          <w:kern w:val="0"/>
          <w:sz w:val="24"/>
          <w:highlight w:val="none"/>
        </w:rPr>
        <w:t>；</w:t>
      </w:r>
      <w:r>
        <w:rPr>
          <w:rFonts w:hint="eastAsia" w:hAnsiTheme="minorEastAsia" w:eastAsiaTheme="minorEastAsia"/>
          <w:snapToGrid w:val="0"/>
          <w:kern w:val="0"/>
          <w:sz w:val="24"/>
          <w:highlight w:val="none"/>
        </w:rPr>
        <w:t>根据</w:t>
      </w:r>
      <w:r>
        <w:rPr>
          <w:rFonts w:hAnsiTheme="minorEastAsia" w:eastAsiaTheme="minorEastAsia"/>
          <w:snapToGrid w:val="0"/>
          <w:kern w:val="0"/>
          <w:sz w:val="24"/>
          <w:highlight w:val="none"/>
        </w:rPr>
        <w:t>《环境影响评价技术导则</w:t>
      </w:r>
      <w:r>
        <w:rPr>
          <w:rFonts w:hint="eastAsia" w:hAnsiTheme="minorEastAsia" w:eastAsiaTheme="minorEastAsia"/>
          <w:snapToGrid w:val="0"/>
          <w:kern w:val="0"/>
          <w:sz w:val="24"/>
          <w:highlight w:val="none"/>
        </w:rPr>
        <w:t xml:space="preserve"> 声环境</w:t>
      </w:r>
      <w:r>
        <w:rPr>
          <w:rFonts w:hAnsiTheme="minorEastAsia" w:eastAsiaTheme="minorEastAsia"/>
          <w:snapToGrid w:val="0"/>
          <w:kern w:val="0"/>
          <w:sz w:val="24"/>
          <w:highlight w:val="none"/>
        </w:rPr>
        <w:t>》（</w:t>
      </w:r>
      <w:r>
        <w:rPr>
          <w:rFonts w:hint="eastAsia" w:hAnsiTheme="minorEastAsia" w:eastAsiaTheme="minorEastAsia"/>
          <w:snapToGrid w:val="0"/>
          <w:kern w:val="0"/>
          <w:sz w:val="24"/>
          <w:highlight w:val="none"/>
        </w:rPr>
        <w:t>HJ2.4-2021</w:t>
      </w:r>
      <w:r>
        <w:rPr>
          <w:rFonts w:hAnsiTheme="minorEastAsia" w:eastAsiaTheme="minorEastAsia"/>
          <w:snapToGrid w:val="0"/>
          <w:kern w:val="0"/>
          <w:sz w:val="24"/>
          <w:highlight w:val="none"/>
        </w:rPr>
        <w:t>），</w:t>
      </w:r>
      <w:r>
        <w:rPr>
          <w:rFonts w:hint="eastAsia" w:hAnsiTheme="minorEastAsia" w:eastAsiaTheme="minorEastAsia"/>
          <w:snapToGrid w:val="0"/>
          <w:kern w:val="0"/>
          <w:sz w:val="24"/>
          <w:highlight w:val="none"/>
        </w:rPr>
        <w:t>一、二、三级评价均应调查分析拟建项目的主要噪声源，因此无需进行区域污染源调查。</w:t>
      </w:r>
    </w:p>
    <w:p w14:paraId="59D4192C">
      <w:pPr>
        <w:pStyle w:val="2"/>
        <w:bidi w:val="0"/>
        <w:rPr>
          <w:highlight w:val="none"/>
        </w:rPr>
      </w:pPr>
      <w:bookmarkStart w:id="399" w:name="_Toc18015"/>
      <w:r>
        <w:rPr>
          <w:highlight w:val="none"/>
        </w:rPr>
        <w:t>5环境影响预测与评价</w:t>
      </w:r>
      <w:bookmarkEnd w:id="394"/>
      <w:bookmarkEnd w:id="395"/>
      <w:bookmarkEnd w:id="396"/>
      <w:bookmarkEnd w:id="397"/>
      <w:bookmarkEnd w:id="398"/>
      <w:bookmarkEnd w:id="399"/>
    </w:p>
    <w:p w14:paraId="0F13DC5B">
      <w:pPr>
        <w:pStyle w:val="3"/>
        <w:bidi w:val="0"/>
        <w:rPr>
          <w:highlight w:val="none"/>
        </w:rPr>
      </w:pPr>
      <w:bookmarkStart w:id="400" w:name="_Toc9483"/>
      <w:bookmarkStart w:id="401" w:name="_Toc10315"/>
      <w:bookmarkStart w:id="402" w:name="_Toc494017091"/>
      <w:r>
        <w:rPr>
          <w:highlight w:val="none"/>
        </w:rPr>
        <w:t>5.1施工期环境影响分析</w:t>
      </w:r>
      <w:bookmarkEnd w:id="400"/>
      <w:bookmarkEnd w:id="401"/>
      <w:bookmarkEnd w:id="402"/>
    </w:p>
    <w:p w14:paraId="4628870D">
      <w:pPr>
        <w:pStyle w:val="4"/>
        <w:bidi w:val="0"/>
        <w:rPr>
          <w:highlight w:val="none"/>
        </w:rPr>
      </w:pPr>
      <w:bookmarkStart w:id="403" w:name="_Toc13517"/>
      <w:bookmarkStart w:id="404" w:name="_Toc32737"/>
      <w:r>
        <w:rPr>
          <w:highlight w:val="none"/>
        </w:rPr>
        <w:t>5.1.1</w:t>
      </w:r>
      <w:bookmarkEnd w:id="403"/>
      <w:bookmarkEnd w:id="404"/>
      <w:bookmarkStart w:id="405" w:name="_Toc31611"/>
      <w:bookmarkStart w:id="406" w:name="_Toc2009"/>
      <w:r>
        <w:rPr>
          <w:highlight w:val="none"/>
        </w:rPr>
        <w:t>施工期水环境影响评价</w:t>
      </w:r>
      <w:bookmarkEnd w:id="405"/>
      <w:bookmarkEnd w:id="406"/>
    </w:p>
    <w:p w14:paraId="132150E0">
      <w:pPr>
        <w:bidi w:val="0"/>
        <w:rPr>
          <w:rFonts w:ascii="Times New Roman" w:hAnsi="Times New Roman" w:cs="Times New Roman"/>
          <w:snapToGrid w:val="0"/>
          <w:highlight w:val="none"/>
        </w:rPr>
      </w:pPr>
      <w:r>
        <w:rPr>
          <w:rFonts w:ascii="Times New Roman" w:cs="Times New Roman" w:hAnsiTheme="minorEastAsia"/>
          <w:highlight w:val="none"/>
        </w:rPr>
        <w:t>施工期废水主要是施工人员生活污水，</w:t>
      </w:r>
      <w:r>
        <w:rPr>
          <w:rFonts w:ascii="Times New Roman" w:cs="Times New Roman" w:hAnsiTheme="minorEastAsia"/>
          <w:snapToGrid w:val="0"/>
          <w:highlight w:val="none"/>
          <w:lang w:val="zh-CN"/>
        </w:rPr>
        <w:t>生活污水中污染物主要为</w:t>
      </w:r>
      <w:r>
        <w:rPr>
          <w:rFonts w:ascii="Times New Roman" w:hAnsi="Times New Roman" w:cs="Times New Roman"/>
          <w:snapToGrid w:val="0"/>
          <w:highlight w:val="none"/>
          <w:lang w:val="zh-CN"/>
        </w:rPr>
        <w:t>COD</w:t>
      </w:r>
      <w:r>
        <w:rPr>
          <w:rFonts w:ascii="Times New Roman" w:cs="Times New Roman" w:hAnsiTheme="minorEastAsia"/>
          <w:snapToGrid w:val="0"/>
          <w:highlight w:val="none"/>
          <w:lang w:val="zh-CN"/>
        </w:rPr>
        <w:t>、氨氮，</w:t>
      </w:r>
      <w:r>
        <w:rPr>
          <w:rFonts w:ascii="Times New Roman" w:hAnsi="Times New Roman" w:cs="Times New Roman"/>
          <w:snapToGrid w:val="0"/>
          <w:highlight w:val="none"/>
        </w:rPr>
        <w:t>COD</w:t>
      </w:r>
      <w:r>
        <w:rPr>
          <w:rFonts w:ascii="Times New Roman" w:cs="Times New Roman" w:hAnsiTheme="minorEastAsia"/>
          <w:snapToGrid w:val="0"/>
          <w:highlight w:val="none"/>
        </w:rPr>
        <w:t>排放浓度为</w:t>
      </w:r>
      <w:r>
        <w:rPr>
          <w:rFonts w:ascii="Times New Roman" w:hAnsi="Times New Roman" w:cs="Times New Roman"/>
          <w:snapToGrid w:val="0"/>
          <w:highlight w:val="none"/>
        </w:rPr>
        <w:t>350mg/L</w:t>
      </w:r>
      <w:r>
        <w:rPr>
          <w:rFonts w:ascii="Times New Roman" w:cs="Times New Roman" w:hAnsiTheme="minorEastAsia"/>
          <w:snapToGrid w:val="0"/>
          <w:highlight w:val="none"/>
        </w:rPr>
        <w:t>，氨氮排放浓度为</w:t>
      </w:r>
      <w:r>
        <w:rPr>
          <w:rFonts w:ascii="Times New Roman" w:hAnsi="Times New Roman" w:cs="Times New Roman"/>
          <w:snapToGrid w:val="0"/>
          <w:highlight w:val="none"/>
        </w:rPr>
        <w:t>35mg/L</w:t>
      </w:r>
      <w:r>
        <w:rPr>
          <w:rFonts w:ascii="Times New Roman" w:cs="Times New Roman" w:hAnsiTheme="minorEastAsia"/>
          <w:snapToGrid w:val="0"/>
          <w:highlight w:val="none"/>
        </w:rPr>
        <w:t>，</w:t>
      </w:r>
      <w:r>
        <w:rPr>
          <w:rFonts w:ascii="Times New Roman" w:hAnsi="Times New Roman" w:cs="Times New Roman"/>
          <w:highlight w:val="none"/>
        </w:rPr>
        <w:t>pH</w:t>
      </w:r>
      <w:r>
        <w:rPr>
          <w:rFonts w:ascii="Times New Roman" w:cs="Times New Roman" w:hAnsiTheme="minorEastAsia"/>
          <w:highlight w:val="none"/>
        </w:rPr>
        <w:t>为</w:t>
      </w:r>
      <w:r>
        <w:rPr>
          <w:rFonts w:ascii="Times New Roman" w:hAnsi="Times New Roman" w:cs="Times New Roman"/>
          <w:highlight w:val="none"/>
        </w:rPr>
        <w:t>6.5-7.5</w:t>
      </w:r>
      <w:r>
        <w:rPr>
          <w:rFonts w:ascii="Times New Roman" w:cs="Times New Roman" w:hAnsiTheme="minorEastAsia"/>
          <w:highlight w:val="none"/>
        </w:rPr>
        <w:t>，</w:t>
      </w:r>
      <w:r>
        <w:rPr>
          <w:rFonts w:ascii="Times New Roman" w:hAnsi="Times New Roman" w:cs="Times New Roman"/>
          <w:highlight w:val="none"/>
        </w:rPr>
        <w:t>BOD</w:t>
      </w:r>
      <w:r>
        <w:rPr>
          <w:rFonts w:ascii="Times New Roman" w:hAnsi="Times New Roman" w:cs="Times New Roman"/>
          <w:highlight w:val="none"/>
          <w:vertAlign w:val="subscript"/>
        </w:rPr>
        <w:t>5</w:t>
      </w:r>
      <w:r>
        <w:rPr>
          <w:rFonts w:ascii="Times New Roman" w:cs="Times New Roman" w:hAnsiTheme="minorEastAsia"/>
          <w:highlight w:val="none"/>
        </w:rPr>
        <w:t>排放浓度为</w:t>
      </w:r>
      <w:r>
        <w:rPr>
          <w:rFonts w:ascii="Times New Roman" w:hAnsi="Times New Roman" w:cs="Times New Roman"/>
          <w:highlight w:val="none"/>
        </w:rPr>
        <w:t>180mg/L</w:t>
      </w:r>
      <w:r>
        <w:rPr>
          <w:rFonts w:ascii="Times New Roman" w:cs="Times New Roman" w:hAnsiTheme="minorEastAsia"/>
          <w:highlight w:val="none"/>
        </w:rPr>
        <w:t>、</w:t>
      </w:r>
      <w:r>
        <w:rPr>
          <w:rFonts w:ascii="Times New Roman" w:hAnsi="Times New Roman" w:cs="Times New Roman"/>
          <w:highlight w:val="none"/>
        </w:rPr>
        <w:t>SS</w:t>
      </w:r>
      <w:r>
        <w:rPr>
          <w:rFonts w:ascii="Times New Roman" w:cs="Times New Roman" w:hAnsiTheme="minorEastAsia"/>
          <w:highlight w:val="none"/>
        </w:rPr>
        <w:t>排放浓度为</w:t>
      </w:r>
      <w:r>
        <w:rPr>
          <w:rFonts w:ascii="Times New Roman" w:hAnsi="Times New Roman" w:cs="Times New Roman"/>
          <w:highlight w:val="none"/>
        </w:rPr>
        <w:t>200mg/L</w:t>
      </w:r>
      <w:r>
        <w:rPr>
          <w:rFonts w:ascii="Times New Roman" w:cs="Times New Roman" w:hAnsiTheme="minorEastAsia"/>
          <w:highlight w:val="none"/>
        </w:rPr>
        <w:t>。</w:t>
      </w:r>
      <w:r>
        <w:rPr>
          <w:rFonts w:ascii="Times New Roman" w:cs="Times New Roman" w:hAnsiTheme="minorEastAsia"/>
          <w:snapToGrid w:val="0"/>
          <w:highlight w:val="none"/>
          <w:lang w:val="zh-CN"/>
        </w:rPr>
        <w:t>生活污水</w:t>
      </w:r>
      <w:r>
        <w:rPr>
          <w:rFonts w:ascii="Times New Roman" w:cs="Times New Roman" w:hAnsiTheme="minorEastAsia"/>
          <w:highlight w:val="none"/>
        </w:rPr>
        <w:t>依托尔滨东安汽车发动机制造有限公司生活污水排水系统，</w:t>
      </w:r>
      <w:r>
        <w:rPr>
          <w:rFonts w:ascii="Times New Roman" w:cs="Times New Roman" w:hAnsiTheme="minorEastAsia"/>
          <w:snapToGrid w:val="0"/>
          <w:highlight w:val="none"/>
        </w:rPr>
        <w:t>生活污水经市政管网进入文昌污水处理厂，处理达标后排入阿什河，最终汇入松花江。</w:t>
      </w:r>
    </w:p>
    <w:p w14:paraId="19F259C5">
      <w:pPr>
        <w:pStyle w:val="4"/>
        <w:bidi w:val="0"/>
        <w:rPr>
          <w:highlight w:val="none"/>
        </w:rPr>
      </w:pPr>
      <w:bookmarkStart w:id="407" w:name="_Toc21064"/>
      <w:bookmarkStart w:id="408" w:name="_Toc16588"/>
      <w:r>
        <w:rPr>
          <w:highlight w:val="none"/>
        </w:rPr>
        <w:t>5.1.</w:t>
      </w:r>
      <w:r>
        <w:rPr>
          <w:rFonts w:hint="eastAsia"/>
          <w:highlight w:val="none"/>
          <w:lang w:val="en-US" w:eastAsia="zh-CN"/>
        </w:rPr>
        <w:t>2</w:t>
      </w:r>
      <w:r>
        <w:rPr>
          <w:highlight w:val="none"/>
        </w:rPr>
        <w:t>施工期噪声环境影响评价</w:t>
      </w:r>
      <w:bookmarkEnd w:id="407"/>
      <w:bookmarkEnd w:id="408"/>
    </w:p>
    <w:p w14:paraId="296B756A">
      <w:pPr>
        <w:bidi w:val="0"/>
        <w:rPr>
          <w:highlight w:val="none"/>
        </w:rPr>
      </w:pPr>
      <w:r>
        <w:rPr>
          <w:highlight w:val="none"/>
        </w:rPr>
        <w:t>项目施工期噪声主要来源于设备安装噪声和运输车辆噪声。在施工过程中，由于各种设备安装机器的运转和各类车辆的运行，不可避免地将产生噪声污染。</w:t>
      </w:r>
    </w:p>
    <w:p w14:paraId="75D1E66D">
      <w:pPr>
        <w:bidi w:val="0"/>
        <w:rPr>
          <w:highlight w:val="none"/>
        </w:rPr>
      </w:pPr>
      <w:r>
        <w:rPr>
          <w:highlight w:val="none"/>
        </w:rPr>
        <w:t>施工中使用的各种设备安装机器、运输车辆等都是噪声的产生源。假设所有设备均为稳态连续发声状态，在不考虑任何声屏障情况下，各设备采用最大噪声值进行预测，根据声环境导则无指向性点源几何发散衰减模式：</w:t>
      </w:r>
    </w:p>
    <w:p w14:paraId="6C93739B">
      <w:pPr>
        <w:spacing w:line="360" w:lineRule="auto"/>
        <w:jc w:val="center"/>
        <w:rPr>
          <w:rFonts w:eastAsiaTheme="minorEastAsia"/>
          <w:szCs w:val="21"/>
          <w:highlight w:val="none"/>
          <w:lang w:val="fr-FR"/>
        </w:rPr>
      </w:pPr>
      <w:r>
        <w:rPr>
          <w:rFonts w:eastAsiaTheme="minorEastAsia"/>
          <w:szCs w:val="21"/>
          <w:highlight w:val="none"/>
        </w:rPr>
        <w:drawing>
          <wp:inline distT="0" distB="0" distL="0" distR="0">
            <wp:extent cx="1989455" cy="351155"/>
            <wp:effectExtent l="0" t="0" r="10795" b="10795"/>
            <wp:docPr id="5"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0"/>
                    <pic:cNvPicPr>
                      <a:picLocks noChangeAspect="1" noChangeArrowheads="1"/>
                    </pic:cNvPicPr>
                  </pic:nvPicPr>
                  <pic:blipFill>
                    <a:blip r:embed="rId77" cstate="print"/>
                    <a:srcRect/>
                    <a:stretch>
                      <a:fillRect/>
                    </a:stretch>
                  </pic:blipFill>
                  <pic:spPr>
                    <a:xfrm>
                      <a:off x="0" y="0"/>
                      <a:ext cx="1989455" cy="351155"/>
                    </a:xfrm>
                    <a:prstGeom prst="rect">
                      <a:avLst/>
                    </a:prstGeom>
                    <a:noFill/>
                    <a:ln w="9525">
                      <a:noFill/>
                      <a:miter lim="800000"/>
                      <a:headEnd/>
                      <a:tailEnd/>
                    </a:ln>
                  </pic:spPr>
                </pic:pic>
              </a:graphicData>
            </a:graphic>
          </wp:inline>
        </w:drawing>
      </w:r>
    </w:p>
    <w:p w14:paraId="0CB211E3">
      <w:pPr>
        <w:bidi w:val="0"/>
        <w:rPr>
          <w:rFonts w:eastAsiaTheme="minorEastAsia"/>
          <w:sz w:val="24"/>
          <w:highlight w:val="none"/>
        </w:rPr>
      </w:pPr>
      <w:r>
        <w:rPr>
          <w:rFonts w:hAnsiTheme="minorEastAsia" w:eastAsiaTheme="minorEastAsia"/>
          <w:sz w:val="24"/>
          <w:highlight w:val="none"/>
        </w:rPr>
        <w:t>式中：</w:t>
      </w:r>
      <w:r>
        <w:rPr>
          <w:rFonts w:eastAsiaTheme="minorEastAsia"/>
          <w:sz w:val="24"/>
          <w:highlight w:val="none"/>
        </w:rPr>
        <w:t>L</w:t>
      </w:r>
      <w:r>
        <w:rPr>
          <w:rFonts w:eastAsiaTheme="minorEastAsia"/>
          <w:sz w:val="24"/>
          <w:highlight w:val="none"/>
          <w:vertAlign w:val="subscript"/>
        </w:rPr>
        <w:t>p</w:t>
      </w:r>
      <w:r>
        <w:rPr>
          <w:rFonts w:hint="eastAsia" w:eastAsiaTheme="minorEastAsia"/>
          <w:sz w:val="24"/>
          <w:highlight w:val="none"/>
          <w:lang w:eastAsia="zh-CN"/>
        </w:rPr>
        <w:t>（</w:t>
      </w:r>
      <w:r>
        <w:rPr>
          <w:rFonts w:eastAsiaTheme="minorEastAsia"/>
          <w:sz w:val="24"/>
          <w:highlight w:val="none"/>
        </w:rPr>
        <w:t>r</w:t>
      </w:r>
      <w:r>
        <w:rPr>
          <w:rFonts w:hint="eastAsia" w:eastAsiaTheme="minorEastAsia"/>
          <w:sz w:val="24"/>
          <w:highlight w:val="none"/>
          <w:lang w:eastAsia="zh-CN"/>
        </w:rPr>
        <w:t>）</w:t>
      </w:r>
      <w:r>
        <w:rPr>
          <w:rFonts w:eastAsiaTheme="minorEastAsia"/>
          <w:sz w:val="24"/>
          <w:highlight w:val="none"/>
        </w:rPr>
        <w:t>——</w:t>
      </w:r>
      <w:r>
        <w:rPr>
          <w:rFonts w:hAnsiTheme="minorEastAsia" w:eastAsiaTheme="minorEastAsia"/>
          <w:sz w:val="24"/>
          <w:highlight w:val="none"/>
        </w:rPr>
        <w:t>距声源</w:t>
      </w:r>
      <w:r>
        <w:rPr>
          <w:rFonts w:eastAsiaTheme="minorEastAsia"/>
          <w:sz w:val="24"/>
          <w:highlight w:val="none"/>
        </w:rPr>
        <w:t>r</w:t>
      </w:r>
      <w:r>
        <w:rPr>
          <w:rFonts w:hAnsiTheme="minorEastAsia" w:eastAsiaTheme="minorEastAsia"/>
          <w:sz w:val="24"/>
          <w:highlight w:val="none"/>
        </w:rPr>
        <w:t>处的</w:t>
      </w:r>
      <w:r>
        <w:rPr>
          <w:rFonts w:eastAsiaTheme="minorEastAsia"/>
          <w:sz w:val="24"/>
          <w:highlight w:val="none"/>
        </w:rPr>
        <w:t>A</w:t>
      </w:r>
      <w:r>
        <w:rPr>
          <w:rFonts w:hAnsiTheme="minorEastAsia" w:eastAsiaTheme="minorEastAsia"/>
          <w:sz w:val="24"/>
          <w:highlight w:val="none"/>
        </w:rPr>
        <w:t>声级，</w:t>
      </w:r>
      <w:r>
        <w:rPr>
          <w:rFonts w:eastAsiaTheme="minorEastAsia"/>
          <w:sz w:val="24"/>
          <w:highlight w:val="none"/>
        </w:rPr>
        <w:t>dB</w:t>
      </w:r>
    </w:p>
    <w:p w14:paraId="4619BC27">
      <w:pPr>
        <w:spacing w:line="360" w:lineRule="auto"/>
        <w:ind w:firstLine="1200" w:firstLineChars="500"/>
        <w:jc w:val="left"/>
        <w:rPr>
          <w:rFonts w:eastAsiaTheme="minorEastAsia"/>
          <w:sz w:val="24"/>
          <w:highlight w:val="none"/>
        </w:rPr>
      </w:pPr>
      <w:r>
        <w:rPr>
          <w:rFonts w:eastAsiaTheme="minorEastAsia"/>
          <w:sz w:val="24"/>
          <w:highlight w:val="none"/>
        </w:rPr>
        <w:t>L</w:t>
      </w:r>
      <w:r>
        <w:rPr>
          <w:rFonts w:eastAsiaTheme="minorEastAsia"/>
          <w:sz w:val="24"/>
          <w:highlight w:val="none"/>
          <w:vertAlign w:val="subscript"/>
        </w:rPr>
        <w:t>p</w:t>
      </w:r>
      <w:r>
        <w:rPr>
          <w:rFonts w:hAnsiTheme="minorEastAsia" w:eastAsiaTheme="minorEastAsia"/>
          <w:sz w:val="24"/>
          <w:highlight w:val="none"/>
        </w:rPr>
        <w:t>（</w:t>
      </w:r>
      <w:r>
        <w:rPr>
          <w:rFonts w:eastAsiaTheme="minorEastAsia"/>
          <w:sz w:val="24"/>
          <w:highlight w:val="none"/>
        </w:rPr>
        <w:t>r</w:t>
      </w:r>
      <w:r>
        <w:rPr>
          <w:rFonts w:eastAsiaTheme="minorEastAsia"/>
          <w:sz w:val="24"/>
          <w:highlight w:val="none"/>
          <w:vertAlign w:val="subscript"/>
        </w:rPr>
        <w:t>0</w:t>
      </w:r>
      <w:r>
        <w:rPr>
          <w:rFonts w:hAnsiTheme="minorEastAsia" w:eastAsiaTheme="minorEastAsia"/>
          <w:sz w:val="24"/>
          <w:highlight w:val="none"/>
        </w:rPr>
        <w:t>）</w:t>
      </w:r>
      <w:r>
        <w:rPr>
          <w:rFonts w:eastAsiaTheme="minorEastAsia"/>
          <w:sz w:val="24"/>
          <w:highlight w:val="none"/>
        </w:rPr>
        <w:t>——</w:t>
      </w:r>
      <w:r>
        <w:rPr>
          <w:rFonts w:hAnsiTheme="minorEastAsia" w:eastAsiaTheme="minorEastAsia"/>
          <w:sz w:val="24"/>
          <w:highlight w:val="none"/>
        </w:rPr>
        <w:t>声源噪声功率级，</w:t>
      </w:r>
      <w:r>
        <w:rPr>
          <w:rFonts w:eastAsiaTheme="minorEastAsia"/>
          <w:sz w:val="24"/>
          <w:highlight w:val="none"/>
        </w:rPr>
        <w:t>dB</w:t>
      </w:r>
    </w:p>
    <w:p w14:paraId="1EA55189">
      <w:pPr>
        <w:spacing w:line="360" w:lineRule="auto"/>
        <w:ind w:firstLine="1200" w:firstLineChars="500"/>
        <w:jc w:val="left"/>
        <w:rPr>
          <w:rFonts w:eastAsiaTheme="minorEastAsia"/>
          <w:sz w:val="24"/>
          <w:highlight w:val="none"/>
        </w:rPr>
      </w:pPr>
      <w:r>
        <w:rPr>
          <w:rFonts w:eastAsiaTheme="minorEastAsia"/>
          <w:sz w:val="24"/>
          <w:highlight w:val="none"/>
        </w:rPr>
        <w:t>r——</w:t>
      </w:r>
      <w:r>
        <w:rPr>
          <w:rFonts w:hAnsiTheme="minorEastAsia" w:eastAsiaTheme="minorEastAsia"/>
          <w:sz w:val="24"/>
          <w:highlight w:val="none"/>
        </w:rPr>
        <w:t>受声点与声源距离，</w:t>
      </w:r>
      <w:r>
        <w:rPr>
          <w:rFonts w:eastAsiaTheme="minorEastAsia"/>
          <w:sz w:val="24"/>
          <w:highlight w:val="none"/>
        </w:rPr>
        <w:t>m</w:t>
      </w:r>
    </w:p>
    <w:p w14:paraId="6F8E7C95">
      <w:pPr>
        <w:spacing w:line="360" w:lineRule="auto"/>
        <w:ind w:firstLine="480" w:firstLineChars="200"/>
        <w:jc w:val="left"/>
        <w:rPr>
          <w:rFonts w:eastAsiaTheme="minorEastAsia"/>
          <w:sz w:val="24"/>
          <w:highlight w:val="none"/>
        </w:rPr>
      </w:pPr>
      <w:r>
        <w:rPr>
          <w:rFonts w:hAnsiTheme="minorEastAsia" w:eastAsiaTheme="minorEastAsia"/>
          <w:sz w:val="24"/>
          <w:highlight w:val="none"/>
        </w:rPr>
        <w:t>点声源距离衰减情况如下表所示：</w:t>
      </w:r>
    </w:p>
    <w:p w14:paraId="12878C0A">
      <w:pPr>
        <w:pStyle w:val="7"/>
        <w:bidi w:val="0"/>
        <w:rPr>
          <w:highlight w:val="none"/>
        </w:rPr>
      </w:pPr>
      <w:r>
        <w:rPr>
          <w:highlight w:val="none"/>
        </w:rPr>
        <w:t>表5-1-1点声源距离衰减情况</w:t>
      </w:r>
    </w:p>
    <w:tbl>
      <w:tblPr>
        <w:tblStyle w:val="45"/>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20"/>
        <w:gridCol w:w="760"/>
        <w:gridCol w:w="760"/>
        <w:gridCol w:w="760"/>
        <w:gridCol w:w="760"/>
        <w:gridCol w:w="760"/>
        <w:gridCol w:w="760"/>
        <w:gridCol w:w="760"/>
        <w:gridCol w:w="760"/>
        <w:gridCol w:w="761"/>
        <w:gridCol w:w="761"/>
      </w:tblGrid>
      <w:tr w14:paraId="3FECC9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67" w:hRule="atLeast"/>
        </w:trPr>
        <w:tc>
          <w:tcPr>
            <w:tcW w:w="540" w:type="pct"/>
            <w:tcBorders>
              <w:top w:val="single" w:color="auto" w:sz="12" w:space="0"/>
              <w:left w:val="nil"/>
              <w:bottom w:val="single" w:color="auto" w:sz="4" w:space="0"/>
              <w:right w:val="single" w:color="auto" w:sz="4" w:space="0"/>
            </w:tcBorders>
            <w:vAlign w:val="center"/>
          </w:tcPr>
          <w:p w14:paraId="5AAF7FDA">
            <w:pPr>
              <w:pStyle w:val="8"/>
              <w:suppressLineNumbers w:val="0"/>
              <w:bidi w:val="0"/>
              <w:spacing w:before="0" w:beforeAutospacing="0" w:after="0" w:afterAutospacing="0"/>
              <w:ind w:left="0" w:right="0"/>
              <w:rPr>
                <w:rFonts w:hint="default"/>
                <w:highlight w:val="none"/>
              </w:rPr>
            </w:pPr>
            <w:r>
              <w:rPr>
                <w:rFonts w:hint="default"/>
                <w:highlight w:val="none"/>
              </w:rPr>
              <w:t>源强</w:t>
            </w:r>
          </w:p>
        </w:tc>
        <w:tc>
          <w:tcPr>
            <w:tcW w:w="4460" w:type="pct"/>
            <w:gridSpan w:val="10"/>
            <w:tcBorders>
              <w:top w:val="single" w:color="auto" w:sz="12" w:space="0"/>
              <w:left w:val="single" w:color="auto" w:sz="4" w:space="0"/>
              <w:bottom w:val="single" w:color="auto" w:sz="4" w:space="0"/>
              <w:right w:val="nil"/>
            </w:tcBorders>
            <w:vAlign w:val="center"/>
          </w:tcPr>
          <w:p w14:paraId="5288BB1F">
            <w:pPr>
              <w:pStyle w:val="8"/>
              <w:suppressLineNumbers w:val="0"/>
              <w:bidi w:val="0"/>
              <w:spacing w:before="0" w:beforeAutospacing="0" w:after="0" w:afterAutospacing="0"/>
              <w:ind w:left="0" w:right="0"/>
              <w:rPr>
                <w:rFonts w:hint="default"/>
                <w:highlight w:val="none"/>
              </w:rPr>
            </w:pPr>
            <w:r>
              <w:rPr>
                <w:rFonts w:hint="default"/>
                <w:highlight w:val="none"/>
              </w:rPr>
              <w:t>100dB（A）</w:t>
            </w:r>
          </w:p>
        </w:tc>
      </w:tr>
      <w:tr w14:paraId="7F7DBF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1" w:hRule="atLeast"/>
        </w:trPr>
        <w:tc>
          <w:tcPr>
            <w:tcW w:w="540" w:type="pct"/>
            <w:tcBorders>
              <w:top w:val="single" w:color="auto" w:sz="4" w:space="0"/>
              <w:left w:val="nil"/>
              <w:bottom w:val="single" w:color="auto" w:sz="4" w:space="0"/>
              <w:right w:val="single" w:color="auto" w:sz="4" w:space="0"/>
            </w:tcBorders>
            <w:vAlign w:val="center"/>
          </w:tcPr>
          <w:p w14:paraId="4A6F1252">
            <w:pPr>
              <w:pStyle w:val="8"/>
              <w:suppressLineNumbers w:val="0"/>
              <w:bidi w:val="0"/>
              <w:spacing w:before="0" w:beforeAutospacing="0" w:after="0" w:afterAutospacing="0"/>
              <w:ind w:left="0" w:right="0"/>
              <w:rPr>
                <w:rFonts w:hint="default"/>
                <w:highlight w:val="none"/>
              </w:rPr>
            </w:pPr>
            <w:r>
              <w:rPr>
                <w:rFonts w:hint="default"/>
                <w:highlight w:val="none"/>
              </w:rPr>
              <w:t>距离</w:t>
            </w:r>
          </w:p>
        </w:tc>
        <w:tc>
          <w:tcPr>
            <w:tcW w:w="446" w:type="pct"/>
            <w:tcBorders>
              <w:top w:val="single" w:color="auto" w:sz="4" w:space="0"/>
              <w:left w:val="single" w:color="auto" w:sz="4" w:space="0"/>
              <w:bottom w:val="single" w:color="auto" w:sz="4" w:space="0"/>
              <w:right w:val="single" w:color="auto" w:sz="4" w:space="0"/>
            </w:tcBorders>
            <w:vAlign w:val="center"/>
          </w:tcPr>
          <w:p w14:paraId="7FD8D2FA">
            <w:pPr>
              <w:pStyle w:val="8"/>
              <w:suppressLineNumbers w:val="0"/>
              <w:bidi w:val="0"/>
              <w:spacing w:before="0" w:beforeAutospacing="0" w:after="0" w:afterAutospacing="0"/>
              <w:ind w:left="0" w:right="0"/>
              <w:rPr>
                <w:rFonts w:hint="default"/>
                <w:highlight w:val="none"/>
              </w:rPr>
            </w:pPr>
            <w:r>
              <w:rPr>
                <w:rFonts w:hint="default"/>
                <w:highlight w:val="none"/>
              </w:rPr>
              <w:t>30</w:t>
            </w:r>
          </w:p>
        </w:tc>
        <w:tc>
          <w:tcPr>
            <w:tcW w:w="446" w:type="pct"/>
            <w:tcBorders>
              <w:top w:val="single" w:color="auto" w:sz="4" w:space="0"/>
              <w:left w:val="single" w:color="auto" w:sz="4" w:space="0"/>
              <w:bottom w:val="single" w:color="auto" w:sz="4" w:space="0"/>
              <w:right w:val="single" w:color="auto" w:sz="4" w:space="0"/>
            </w:tcBorders>
            <w:vAlign w:val="center"/>
          </w:tcPr>
          <w:p w14:paraId="7125C459">
            <w:pPr>
              <w:pStyle w:val="8"/>
              <w:suppressLineNumbers w:val="0"/>
              <w:bidi w:val="0"/>
              <w:spacing w:before="0" w:beforeAutospacing="0" w:after="0" w:afterAutospacing="0"/>
              <w:ind w:left="0" w:right="0"/>
              <w:rPr>
                <w:rFonts w:hint="default"/>
                <w:highlight w:val="none"/>
              </w:rPr>
            </w:pPr>
            <w:r>
              <w:rPr>
                <w:rFonts w:hint="default"/>
                <w:highlight w:val="none"/>
              </w:rPr>
              <w:t>50</w:t>
            </w:r>
          </w:p>
        </w:tc>
        <w:tc>
          <w:tcPr>
            <w:tcW w:w="446" w:type="pct"/>
            <w:tcBorders>
              <w:top w:val="single" w:color="auto" w:sz="4" w:space="0"/>
              <w:left w:val="single" w:color="auto" w:sz="4" w:space="0"/>
              <w:bottom w:val="single" w:color="auto" w:sz="4" w:space="0"/>
              <w:right w:val="single" w:color="auto" w:sz="4" w:space="0"/>
            </w:tcBorders>
            <w:vAlign w:val="center"/>
          </w:tcPr>
          <w:p w14:paraId="589B68AF">
            <w:pPr>
              <w:pStyle w:val="8"/>
              <w:suppressLineNumbers w:val="0"/>
              <w:bidi w:val="0"/>
              <w:spacing w:before="0" w:beforeAutospacing="0" w:after="0" w:afterAutospacing="0"/>
              <w:ind w:left="0" w:right="0"/>
              <w:rPr>
                <w:rFonts w:hint="default"/>
                <w:highlight w:val="none"/>
              </w:rPr>
            </w:pPr>
            <w:r>
              <w:rPr>
                <w:rFonts w:hint="default"/>
                <w:highlight w:val="none"/>
              </w:rPr>
              <w:t>100</w:t>
            </w:r>
          </w:p>
        </w:tc>
        <w:tc>
          <w:tcPr>
            <w:tcW w:w="446" w:type="pct"/>
            <w:tcBorders>
              <w:top w:val="single" w:color="auto" w:sz="4" w:space="0"/>
              <w:left w:val="single" w:color="auto" w:sz="4" w:space="0"/>
              <w:bottom w:val="single" w:color="auto" w:sz="4" w:space="0"/>
              <w:right w:val="single" w:color="auto" w:sz="4" w:space="0"/>
            </w:tcBorders>
            <w:vAlign w:val="center"/>
          </w:tcPr>
          <w:p w14:paraId="27221531">
            <w:pPr>
              <w:pStyle w:val="8"/>
              <w:suppressLineNumbers w:val="0"/>
              <w:bidi w:val="0"/>
              <w:spacing w:before="0" w:beforeAutospacing="0" w:after="0" w:afterAutospacing="0"/>
              <w:ind w:left="0" w:right="0"/>
              <w:rPr>
                <w:rFonts w:hint="default"/>
                <w:highlight w:val="none"/>
              </w:rPr>
            </w:pPr>
            <w:r>
              <w:rPr>
                <w:rFonts w:hint="default"/>
                <w:highlight w:val="none"/>
              </w:rPr>
              <w:t>150</w:t>
            </w:r>
          </w:p>
        </w:tc>
        <w:tc>
          <w:tcPr>
            <w:tcW w:w="446" w:type="pct"/>
            <w:tcBorders>
              <w:top w:val="single" w:color="auto" w:sz="4" w:space="0"/>
              <w:left w:val="single" w:color="auto" w:sz="4" w:space="0"/>
              <w:bottom w:val="single" w:color="auto" w:sz="4" w:space="0"/>
              <w:right w:val="single" w:color="auto" w:sz="4" w:space="0"/>
            </w:tcBorders>
            <w:vAlign w:val="center"/>
          </w:tcPr>
          <w:p w14:paraId="491F608A">
            <w:pPr>
              <w:pStyle w:val="8"/>
              <w:suppressLineNumbers w:val="0"/>
              <w:bidi w:val="0"/>
              <w:spacing w:before="0" w:beforeAutospacing="0" w:after="0" w:afterAutospacing="0"/>
              <w:ind w:left="0" w:right="0"/>
              <w:rPr>
                <w:rFonts w:hint="default"/>
                <w:highlight w:val="none"/>
              </w:rPr>
            </w:pPr>
            <w:r>
              <w:rPr>
                <w:rFonts w:hint="default"/>
                <w:highlight w:val="none"/>
              </w:rPr>
              <w:t>200</w:t>
            </w:r>
          </w:p>
        </w:tc>
        <w:tc>
          <w:tcPr>
            <w:tcW w:w="446" w:type="pct"/>
            <w:tcBorders>
              <w:top w:val="single" w:color="auto" w:sz="4" w:space="0"/>
              <w:left w:val="single" w:color="auto" w:sz="4" w:space="0"/>
              <w:bottom w:val="single" w:color="auto" w:sz="4" w:space="0"/>
              <w:right w:val="single" w:color="auto" w:sz="4" w:space="0"/>
            </w:tcBorders>
            <w:vAlign w:val="center"/>
          </w:tcPr>
          <w:p w14:paraId="79FDBF03">
            <w:pPr>
              <w:pStyle w:val="8"/>
              <w:suppressLineNumbers w:val="0"/>
              <w:bidi w:val="0"/>
              <w:spacing w:before="0" w:beforeAutospacing="0" w:after="0" w:afterAutospacing="0"/>
              <w:ind w:left="0" w:right="0"/>
              <w:rPr>
                <w:rFonts w:hint="default"/>
                <w:highlight w:val="none"/>
              </w:rPr>
            </w:pPr>
            <w:r>
              <w:rPr>
                <w:rFonts w:hint="default"/>
                <w:highlight w:val="none"/>
              </w:rPr>
              <w:t>300</w:t>
            </w:r>
          </w:p>
        </w:tc>
        <w:tc>
          <w:tcPr>
            <w:tcW w:w="446" w:type="pct"/>
            <w:tcBorders>
              <w:top w:val="single" w:color="auto" w:sz="4" w:space="0"/>
              <w:left w:val="single" w:color="auto" w:sz="4" w:space="0"/>
              <w:bottom w:val="single" w:color="auto" w:sz="4" w:space="0"/>
              <w:right w:val="single" w:color="auto" w:sz="4" w:space="0"/>
            </w:tcBorders>
            <w:vAlign w:val="center"/>
          </w:tcPr>
          <w:p w14:paraId="524A8873">
            <w:pPr>
              <w:pStyle w:val="8"/>
              <w:suppressLineNumbers w:val="0"/>
              <w:bidi w:val="0"/>
              <w:spacing w:before="0" w:beforeAutospacing="0" w:after="0" w:afterAutospacing="0"/>
              <w:ind w:left="0" w:right="0"/>
              <w:rPr>
                <w:rFonts w:hint="default"/>
                <w:highlight w:val="none"/>
              </w:rPr>
            </w:pPr>
            <w:r>
              <w:rPr>
                <w:rFonts w:hint="default"/>
                <w:highlight w:val="none"/>
              </w:rPr>
              <w:t>400</w:t>
            </w:r>
          </w:p>
        </w:tc>
        <w:tc>
          <w:tcPr>
            <w:tcW w:w="446" w:type="pct"/>
            <w:tcBorders>
              <w:top w:val="single" w:color="auto" w:sz="4" w:space="0"/>
              <w:left w:val="single" w:color="auto" w:sz="4" w:space="0"/>
              <w:bottom w:val="single" w:color="auto" w:sz="4" w:space="0"/>
              <w:right w:val="single" w:color="auto" w:sz="4" w:space="0"/>
            </w:tcBorders>
            <w:vAlign w:val="center"/>
          </w:tcPr>
          <w:p w14:paraId="1593F02B">
            <w:pPr>
              <w:pStyle w:val="8"/>
              <w:suppressLineNumbers w:val="0"/>
              <w:bidi w:val="0"/>
              <w:spacing w:before="0" w:beforeAutospacing="0" w:after="0" w:afterAutospacing="0"/>
              <w:ind w:left="0" w:right="0"/>
              <w:rPr>
                <w:rFonts w:hint="default"/>
                <w:highlight w:val="none"/>
              </w:rPr>
            </w:pPr>
            <w:r>
              <w:rPr>
                <w:rFonts w:hint="default"/>
                <w:highlight w:val="none"/>
              </w:rPr>
              <w:t>500</w:t>
            </w:r>
          </w:p>
        </w:tc>
        <w:tc>
          <w:tcPr>
            <w:tcW w:w="446" w:type="pct"/>
            <w:tcBorders>
              <w:top w:val="single" w:color="auto" w:sz="4" w:space="0"/>
              <w:left w:val="single" w:color="auto" w:sz="4" w:space="0"/>
              <w:bottom w:val="single" w:color="auto" w:sz="4" w:space="0"/>
              <w:right w:val="single" w:color="auto" w:sz="4" w:space="0"/>
            </w:tcBorders>
            <w:vAlign w:val="center"/>
          </w:tcPr>
          <w:p w14:paraId="56D7149E">
            <w:pPr>
              <w:pStyle w:val="8"/>
              <w:suppressLineNumbers w:val="0"/>
              <w:bidi w:val="0"/>
              <w:spacing w:before="0" w:beforeAutospacing="0" w:after="0" w:afterAutospacing="0"/>
              <w:ind w:left="0" w:right="0"/>
              <w:rPr>
                <w:rFonts w:hint="default"/>
                <w:highlight w:val="none"/>
              </w:rPr>
            </w:pPr>
            <w:r>
              <w:rPr>
                <w:rFonts w:hint="default"/>
                <w:highlight w:val="none"/>
              </w:rPr>
              <w:t>600</w:t>
            </w:r>
          </w:p>
        </w:tc>
        <w:tc>
          <w:tcPr>
            <w:tcW w:w="448" w:type="pct"/>
            <w:tcBorders>
              <w:top w:val="single" w:color="auto" w:sz="4" w:space="0"/>
              <w:left w:val="single" w:color="auto" w:sz="4" w:space="0"/>
              <w:bottom w:val="single" w:color="auto" w:sz="4" w:space="0"/>
              <w:right w:val="nil"/>
            </w:tcBorders>
            <w:vAlign w:val="center"/>
          </w:tcPr>
          <w:p w14:paraId="41376CE7">
            <w:pPr>
              <w:pStyle w:val="8"/>
              <w:suppressLineNumbers w:val="0"/>
              <w:bidi w:val="0"/>
              <w:spacing w:before="0" w:beforeAutospacing="0" w:after="0" w:afterAutospacing="0"/>
              <w:ind w:left="0" w:right="0"/>
              <w:rPr>
                <w:rFonts w:hint="default"/>
                <w:highlight w:val="none"/>
              </w:rPr>
            </w:pPr>
            <w:r>
              <w:rPr>
                <w:rFonts w:hint="default"/>
                <w:highlight w:val="none"/>
              </w:rPr>
              <w:t>700</w:t>
            </w:r>
          </w:p>
        </w:tc>
      </w:tr>
      <w:tr w14:paraId="3F19CA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540" w:type="pct"/>
            <w:tcBorders>
              <w:top w:val="single" w:color="auto" w:sz="4" w:space="0"/>
              <w:left w:val="nil"/>
              <w:bottom w:val="single" w:color="auto" w:sz="12" w:space="0"/>
              <w:right w:val="single" w:color="auto" w:sz="4" w:space="0"/>
            </w:tcBorders>
            <w:vAlign w:val="center"/>
          </w:tcPr>
          <w:p w14:paraId="62B65A31">
            <w:pPr>
              <w:pStyle w:val="8"/>
              <w:suppressLineNumbers w:val="0"/>
              <w:bidi w:val="0"/>
              <w:spacing w:before="0" w:beforeAutospacing="0" w:after="0" w:afterAutospacing="0"/>
              <w:ind w:left="0" w:right="0"/>
              <w:rPr>
                <w:rFonts w:hint="default"/>
                <w:highlight w:val="none"/>
              </w:rPr>
            </w:pPr>
            <w:r>
              <w:rPr>
                <w:rFonts w:hint="default"/>
                <w:highlight w:val="none"/>
              </w:rPr>
              <w:t>贡献值</w:t>
            </w:r>
          </w:p>
        </w:tc>
        <w:tc>
          <w:tcPr>
            <w:tcW w:w="446" w:type="pct"/>
            <w:tcBorders>
              <w:top w:val="single" w:color="auto" w:sz="4" w:space="0"/>
              <w:left w:val="single" w:color="auto" w:sz="4" w:space="0"/>
              <w:bottom w:val="single" w:color="auto" w:sz="12" w:space="0"/>
              <w:right w:val="single" w:color="auto" w:sz="4" w:space="0"/>
            </w:tcBorders>
            <w:vAlign w:val="center"/>
          </w:tcPr>
          <w:p w14:paraId="48896231">
            <w:pPr>
              <w:pStyle w:val="8"/>
              <w:suppressLineNumbers w:val="0"/>
              <w:bidi w:val="0"/>
              <w:spacing w:before="0" w:beforeAutospacing="0" w:after="0" w:afterAutospacing="0"/>
              <w:ind w:left="0" w:right="0"/>
              <w:rPr>
                <w:rFonts w:hint="default"/>
                <w:highlight w:val="none"/>
              </w:rPr>
            </w:pPr>
            <w:r>
              <w:rPr>
                <w:rFonts w:hint="default"/>
                <w:highlight w:val="none"/>
              </w:rPr>
              <w:t>70.45</w:t>
            </w:r>
          </w:p>
        </w:tc>
        <w:tc>
          <w:tcPr>
            <w:tcW w:w="446" w:type="pct"/>
            <w:tcBorders>
              <w:top w:val="single" w:color="auto" w:sz="4" w:space="0"/>
              <w:left w:val="single" w:color="auto" w:sz="4" w:space="0"/>
              <w:bottom w:val="single" w:color="auto" w:sz="12" w:space="0"/>
              <w:right w:val="single" w:color="auto" w:sz="4" w:space="0"/>
            </w:tcBorders>
            <w:vAlign w:val="center"/>
          </w:tcPr>
          <w:p w14:paraId="5665EFBD">
            <w:pPr>
              <w:pStyle w:val="8"/>
              <w:suppressLineNumbers w:val="0"/>
              <w:bidi w:val="0"/>
              <w:spacing w:before="0" w:beforeAutospacing="0" w:after="0" w:afterAutospacing="0"/>
              <w:ind w:left="0" w:right="0"/>
              <w:rPr>
                <w:rFonts w:hint="default"/>
                <w:highlight w:val="none"/>
              </w:rPr>
            </w:pPr>
            <w:r>
              <w:rPr>
                <w:rFonts w:hint="default"/>
                <w:highlight w:val="none"/>
              </w:rPr>
              <w:t>66.02</w:t>
            </w:r>
          </w:p>
        </w:tc>
        <w:tc>
          <w:tcPr>
            <w:tcW w:w="446" w:type="pct"/>
            <w:tcBorders>
              <w:top w:val="single" w:color="auto" w:sz="4" w:space="0"/>
              <w:left w:val="single" w:color="auto" w:sz="4" w:space="0"/>
              <w:bottom w:val="single" w:color="auto" w:sz="12" w:space="0"/>
              <w:right w:val="single" w:color="auto" w:sz="4" w:space="0"/>
            </w:tcBorders>
            <w:vAlign w:val="center"/>
          </w:tcPr>
          <w:p w14:paraId="59EE1B14">
            <w:pPr>
              <w:pStyle w:val="8"/>
              <w:suppressLineNumbers w:val="0"/>
              <w:bidi w:val="0"/>
              <w:spacing w:before="0" w:beforeAutospacing="0" w:after="0" w:afterAutospacing="0"/>
              <w:ind w:left="0" w:right="0"/>
              <w:rPr>
                <w:rFonts w:hint="default"/>
                <w:highlight w:val="none"/>
              </w:rPr>
            </w:pPr>
            <w:r>
              <w:rPr>
                <w:rFonts w:hint="default"/>
                <w:highlight w:val="none"/>
              </w:rPr>
              <w:t>60</w:t>
            </w:r>
          </w:p>
        </w:tc>
        <w:tc>
          <w:tcPr>
            <w:tcW w:w="446" w:type="pct"/>
            <w:tcBorders>
              <w:top w:val="single" w:color="auto" w:sz="4" w:space="0"/>
              <w:left w:val="single" w:color="auto" w:sz="4" w:space="0"/>
              <w:bottom w:val="single" w:color="auto" w:sz="12" w:space="0"/>
              <w:right w:val="single" w:color="auto" w:sz="4" w:space="0"/>
            </w:tcBorders>
            <w:vAlign w:val="center"/>
          </w:tcPr>
          <w:p w14:paraId="18A07CAD">
            <w:pPr>
              <w:pStyle w:val="8"/>
              <w:suppressLineNumbers w:val="0"/>
              <w:bidi w:val="0"/>
              <w:spacing w:before="0" w:beforeAutospacing="0" w:after="0" w:afterAutospacing="0"/>
              <w:ind w:left="0" w:right="0"/>
              <w:rPr>
                <w:rFonts w:hint="default"/>
                <w:highlight w:val="none"/>
              </w:rPr>
            </w:pPr>
            <w:r>
              <w:rPr>
                <w:rFonts w:hint="default"/>
                <w:highlight w:val="none"/>
              </w:rPr>
              <w:t>56.48</w:t>
            </w:r>
          </w:p>
        </w:tc>
        <w:tc>
          <w:tcPr>
            <w:tcW w:w="446" w:type="pct"/>
            <w:tcBorders>
              <w:top w:val="single" w:color="auto" w:sz="4" w:space="0"/>
              <w:left w:val="single" w:color="auto" w:sz="4" w:space="0"/>
              <w:bottom w:val="single" w:color="auto" w:sz="12" w:space="0"/>
              <w:right w:val="single" w:color="auto" w:sz="4" w:space="0"/>
            </w:tcBorders>
            <w:vAlign w:val="center"/>
          </w:tcPr>
          <w:p w14:paraId="6C965E36">
            <w:pPr>
              <w:pStyle w:val="8"/>
              <w:suppressLineNumbers w:val="0"/>
              <w:bidi w:val="0"/>
              <w:spacing w:before="0" w:beforeAutospacing="0" w:after="0" w:afterAutospacing="0"/>
              <w:ind w:left="0" w:right="0"/>
              <w:rPr>
                <w:rFonts w:hint="default"/>
                <w:highlight w:val="none"/>
              </w:rPr>
            </w:pPr>
            <w:r>
              <w:rPr>
                <w:rFonts w:hint="default"/>
                <w:highlight w:val="none"/>
              </w:rPr>
              <w:t>53.97</w:t>
            </w:r>
          </w:p>
        </w:tc>
        <w:tc>
          <w:tcPr>
            <w:tcW w:w="446" w:type="pct"/>
            <w:tcBorders>
              <w:top w:val="single" w:color="auto" w:sz="4" w:space="0"/>
              <w:left w:val="single" w:color="auto" w:sz="4" w:space="0"/>
              <w:bottom w:val="single" w:color="auto" w:sz="12" w:space="0"/>
              <w:right w:val="single" w:color="auto" w:sz="4" w:space="0"/>
            </w:tcBorders>
            <w:vAlign w:val="center"/>
          </w:tcPr>
          <w:p w14:paraId="446E7068">
            <w:pPr>
              <w:pStyle w:val="8"/>
              <w:suppressLineNumbers w:val="0"/>
              <w:bidi w:val="0"/>
              <w:spacing w:before="0" w:beforeAutospacing="0" w:after="0" w:afterAutospacing="0"/>
              <w:ind w:left="0" w:right="0"/>
              <w:rPr>
                <w:rFonts w:hint="default"/>
                <w:highlight w:val="none"/>
              </w:rPr>
            </w:pPr>
            <w:r>
              <w:rPr>
                <w:rFonts w:hint="default"/>
                <w:highlight w:val="none"/>
              </w:rPr>
              <w:t>50.45</w:t>
            </w:r>
          </w:p>
        </w:tc>
        <w:tc>
          <w:tcPr>
            <w:tcW w:w="446" w:type="pct"/>
            <w:tcBorders>
              <w:top w:val="single" w:color="auto" w:sz="4" w:space="0"/>
              <w:left w:val="single" w:color="auto" w:sz="4" w:space="0"/>
              <w:bottom w:val="single" w:color="auto" w:sz="12" w:space="0"/>
              <w:right w:val="single" w:color="auto" w:sz="4" w:space="0"/>
            </w:tcBorders>
            <w:vAlign w:val="center"/>
          </w:tcPr>
          <w:p w14:paraId="0A50F3D6">
            <w:pPr>
              <w:pStyle w:val="8"/>
              <w:suppressLineNumbers w:val="0"/>
              <w:bidi w:val="0"/>
              <w:spacing w:before="0" w:beforeAutospacing="0" w:after="0" w:afterAutospacing="0"/>
              <w:ind w:left="0" w:right="0"/>
              <w:rPr>
                <w:rFonts w:hint="default"/>
                <w:highlight w:val="none"/>
              </w:rPr>
            </w:pPr>
            <w:r>
              <w:rPr>
                <w:rFonts w:hint="default"/>
                <w:highlight w:val="none"/>
              </w:rPr>
              <w:t>47.96</w:t>
            </w:r>
          </w:p>
        </w:tc>
        <w:tc>
          <w:tcPr>
            <w:tcW w:w="446" w:type="pct"/>
            <w:tcBorders>
              <w:top w:val="single" w:color="auto" w:sz="4" w:space="0"/>
              <w:left w:val="single" w:color="auto" w:sz="4" w:space="0"/>
              <w:bottom w:val="single" w:color="auto" w:sz="12" w:space="0"/>
              <w:right w:val="single" w:color="auto" w:sz="4" w:space="0"/>
            </w:tcBorders>
            <w:vAlign w:val="center"/>
          </w:tcPr>
          <w:p w14:paraId="448027FA">
            <w:pPr>
              <w:pStyle w:val="8"/>
              <w:suppressLineNumbers w:val="0"/>
              <w:bidi w:val="0"/>
              <w:spacing w:before="0" w:beforeAutospacing="0" w:after="0" w:afterAutospacing="0"/>
              <w:ind w:left="0" w:right="0"/>
              <w:rPr>
                <w:rFonts w:hint="default"/>
                <w:highlight w:val="none"/>
              </w:rPr>
            </w:pPr>
            <w:r>
              <w:rPr>
                <w:rFonts w:hint="default"/>
                <w:highlight w:val="none"/>
              </w:rPr>
              <w:t>46.02</w:t>
            </w:r>
          </w:p>
        </w:tc>
        <w:tc>
          <w:tcPr>
            <w:tcW w:w="446" w:type="pct"/>
            <w:tcBorders>
              <w:top w:val="single" w:color="auto" w:sz="4" w:space="0"/>
              <w:left w:val="single" w:color="auto" w:sz="4" w:space="0"/>
              <w:bottom w:val="single" w:color="auto" w:sz="12" w:space="0"/>
              <w:right w:val="single" w:color="auto" w:sz="4" w:space="0"/>
            </w:tcBorders>
            <w:vAlign w:val="center"/>
          </w:tcPr>
          <w:p w14:paraId="245C9416">
            <w:pPr>
              <w:pStyle w:val="8"/>
              <w:suppressLineNumbers w:val="0"/>
              <w:bidi w:val="0"/>
              <w:spacing w:before="0" w:beforeAutospacing="0" w:after="0" w:afterAutospacing="0"/>
              <w:ind w:left="0" w:right="0"/>
              <w:rPr>
                <w:rFonts w:hint="default"/>
                <w:highlight w:val="none"/>
              </w:rPr>
            </w:pPr>
            <w:r>
              <w:rPr>
                <w:rFonts w:hint="default"/>
                <w:highlight w:val="none"/>
              </w:rPr>
              <w:t>44.43</w:t>
            </w:r>
          </w:p>
        </w:tc>
        <w:tc>
          <w:tcPr>
            <w:tcW w:w="448" w:type="pct"/>
            <w:tcBorders>
              <w:top w:val="single" w:color="auto" w:sz="4" w:space="0"/>
              <w:left w:val="single" w:color="auto" w:sz="4" w:space="0"/>
              <w:bottom w:val="single" w:color="auto" w:sz="12" w:space="0"/>
              <w:right w:val="nil"/>
            </w:tcBorders>
            <w:vAlign w:val="center"/>
          </w:tcPr>
          <w:p w14:paraId="43F99E2E">
            <w:pPr>
              <w:pStyle w:val="8"/>
              <w:suppressLineNumbers w:val="0"/>
              <w:bidi w:val="0"/>
              <w:spacing w:before="0" w:beforeAutospacing="0" w:after="0" w:afterAutospacing="0"/>
              <w:ind w:left="0" w:right="0"/>
              <w:rPr>
                <w:rFonts w:hint="default"/>
                <w:highlight w:val="none"/>
              </w:rPr>
            </w:pPr>
            <w:r>
              <w:rPr>
                <w:rFonts w:hint="default"/>
                <w:highlight w:val="none"/>
              </w:rPr>
              <w:t>43.09</w:t>
            </w:r>
          </w:p>
        </w:tc>
      </w:tr>
    </w:tbl>
    <w:p w14:paraId="1DB5CE02">
      <w:pPr>
        <w:bidi w:val="0"/>
        <w:rPr>
          <w:highlight w:val="none"/>
        </w:rPr>
      </w:pPr>
      <w:r>
        <w:rPr>
          <w:rFonts w:hAnsiTheme="minorEastAsia" w:eastAsiaTheme="minorEastAsia"/>
          <w:szCs w:val="21"/>
          <w:highlight w:val="none"/>
        </w:rPr>
        <w:t>根据《建</w:t>
      </w:r>
      <w:r>
        <w:rPr>
          <w:highlight w:val="none"/>
        </w:rPr>
        <w:t>筑施工场界环境噪声排放标准》（GB12523-2011）的规定，施工噪声控制在昼间70dB（A），夜间控制在55dB（A）。</w:t>
      </w:r>
    </w:p>
    <w:p w14:paraId="752A4041">
      <w:pPr>
        <w:bidi w:val="0"/>
        <w:rPr>
          <w:highlight w:val="none"/>
        </w:rPr>
      </w:pPr>
      <w:r>
        <w:rPr>
          <w:highlight w:val="none"/>
        </w:rPr>
        <w:t>项目施工机械最大声功率级按100dB（A）计算，白天衰减至70dB（A）时需要满足的衰减距离为30m，夜间衰减至55dB（A）时需要满足的衰减距离为230m。距最近敏感目标距离为480m，且夜间不施工，所以能达到距离衰减的要求，对居民区影响较小。</w:t>
      </w:r>
    </w:p>
    <w:p w14:paraId="13548398">
      <w:pPr>
        <w:bidi w:val="0"/>
        <w:rPr>
          <w:rFonts w:eastAsiaTheme="minorEastAsia"/>
          <w:szCs w:val="21"/>
          <w:highlight w:val="none"/>
        </w:rPr>
      </w:pPr>
      <w:r>
        <w:rPr>
          <w:highlight w:val="none"/>
        </w:rPr>
        <w:t>本项目施工期间产生的噪声不会对周围环境造成明显影响，其施工场界声环境可满足《建筑施工场界环境噪声排放标准》（GB12523-2011）要求，对区域声环境不会产生</w:t>
      </w:r>
      <w:r>
        <w:rPr>
          <w:rFonts w:hAnsiTheme="minorEastAsia" w:eastAsiaTheme="minorEastAsia"/>
          <w:szCs w:val="21"/>
          <w:highlight w:val="none"/>
        </w:rPr>
        <w:t>显著性不良影响。</w:t>
      </w:r>
    </w:p>
    <w:p w14:paraId="36778984">
      <w:pPr>
        <w:pStyle w:val="4"/>
        <w:bidi w:val="0"/>
        <w:rPr>
          <w:highlight w:val="none"/>
        </w:rPr>
      </w:pPr>
      <w:bookmarkStart w:id="409" w:name="_Toc31138"/>
      <w:bookmarkStart w:id="410" w:name="_Toc16128"/>
      <w:r>
        <w:rPr>
          <w:highlight w:val="none"/>
        </w:rPr>
        <w:t>5.1.</w:t>
      </w:r>
      <w:r>
        <w:rPr>
          <w:rFonts w:hint="eastAsia"/>
          <w:highlight w:val="none"/>
          <w:lang w:val="en-US" w:eastAsia="zh-CN"/>
        </w:rPr>
        <w:t>3</w:t>
      </w:r>
      <w:r>
        <w:rPr>
          <w:highlight w:val="none"/>
        </w:rPr>
        <w:t>施工期固体废物环境影响评价</w:t>
      </w:r>
      <w:bookmarkEnd w:id="409"/>
      <w:bookmarkEnd w:id="410"/>
    </w:p>
    <w:p w14:paraId="61D0CF00">
      <w:pPr>
        <w:bidi w:val="0"/>
        <w:rPr>
          <w:highlight w:val="none"/>
        </w:rPr>
      </w:pPr>
      <w:r>
        <w:rPr>
          <w:highlight w:val="none"/>
        </w:rPr>
        <w:t>本项目施工期间固体废物主要来自施工过程中</w:t>
      </w:r>
      <w:r>
        <w:rPr>
          <w:rFonts w:hint="eastAsia"/>
          <w:highlight w:val="none"/>
          <w:lang w:eastAsia="zh-CN"/>
        </w:rPr>
        <w:t>产生</w:t>
      </w:r>
      <w:r>
        <w:rPr>
          <w:highlight w:val="none"/>
        </w:rPr>
        <w:t>的建筑垃圾和施工人员产生的生活垃圾。</w:t>
      </w:r>
    </w:p>
    <w:p w14:paraId="207A439A">
      <w:pPr>
        <w:bidi w:val="0"/>
        <w:rPr>
          <w:highlight w:val="none"/>
        </w:rPr>
      </w:pPr>
      <w:r>
        <w:rPr>
          <w:highlight w:val="none"/>
        </w:rPr>
        <w:t>施工期间主要为设备安装工程，在此期间将有一定数量的包装袋以及建筑碎片等建筑废弃物。对施工现场要及时进行清理，建筑垃圾要及时清运、加以利用，防止其因长期堆放而产生扬尘。</w:t>
      </w:r>
    </w:p>
    <w:p w14:paraId="61240497">
      <w:pPr>
        <w:bidi w:val="0"/>
        <w:rPr>
          <w:highlight w:val="none"/>
        </w:rPr>
      </w:pPr>
      <w:r>
        <w:rPr>
          <w:highlight w:val="none"/>
        </w:rPr>
        <w:t>日常生活将产生一定数量的生活垃圾。施工过程中产生的生活垃圾不及时进行清运处理，则会腐烂变质，滋生蚊虫苍蝇，产生恶臭，传染疾病，从而对周围环境和作业人员健康带来不利影响。收集后运至垃圾收集点，由环卫部门统一清运处置。</w:t>
      </w:r>
    </w:p>
    <w:p w14:paraId="2EB9982B">
      <w:pPr>
        <w:pStyle w:val="4"/>
        <w:bidi w:val="0"/>
        <w:rPr>
          <w:highlight w:val="none"/>
        </w:rPr>
      </w:pPr>
      <w:bookmarkStart w:id="411" w:name="_Toc486255087"/>
      <w:bookmarkStart w:id="412" w:name="_Toc30273"/>
      <w:bookmarkStart w:id="413" w:name="_Toc31657"/>
      <w:bookmarkStart w:id="414" w:name="_Toc15991680"/>
      <w:r>
        <w:rPr>
          <w:highlight w:val="none"/>
        </w:rPr>
        <w:t>5.1.</w:t>
      </w:r>
      <w:r>
        <w:rPr>
          <w:rFonts w:hint="eastAsia"/>
          <w:highlight w:val="none"/>
          <w:lang w:val="en-US" w:eastAsia="zh-CN"/>
        </w:rPr>
        <w:t>4</w:t>
      </w:r>
      <w:r>
        <w:rPr>
          <w:highlight w:val="none"/>
        </w:rPr>
        <w:t>生态环境影响</w:t>
      </w:r>
      <w:bookmarkEnd w:id="411"/>
      <w:r>
        <w:rPr>
          <w:highlight w:val="none"/>
        </w:rPr>
        <w:t>评价</w:t>
      </w:r>
      <w:bookmarkEnd w:id="412"/>
      <w:bookmarkEnd w:id="413"/>
      <w:bookmarkEnd w:id="414"/>
    </w:p>
    <w:p w14:paraId="7BA6522F">
      <w:pPr>
        <w:bidi w:val="0"/>
        <w:rPr>
          <w:highlight w:val="none"/>
        </w:rPr>
      </w:pPr>
      <w:bookmarkStart w:id="415" w:name="_Toc494017092"/>
      <w:bookmarkStart w:id="416" w:name="_Toc415146703"/>
      <w:r>
        <w:rPr>
          <w:highlight w:val="none"/>
        </w:rPr>
        <w:t>区域自然生态环境已被人工生态环境所取代，本项目施工对生态环境无影响。</w:t>
      </w:r>
    </w:p>
    <w:p w14:paraId="1E12EBD8">
      <w:pPr>
        <w:pStyle w:val="3"/>
        <w:bidi w:val="0"/>
        <w:rPr>
          <w:highlight w:val="none"/>
        </w:rPr>
      </w:pPr>
      <w:bookmarkStart w:id="417" w:name="_Toc27681"/>
      <w:bookmarkStart w:id="418" w:name="_Toc31405"/>
      <w:r>
        <w:rPr>
          <w:highlight w:val="none"/>
        </w:rPr>
        <w:t>5.2运行期环境影响预测与评价</w:t>
      </w:r>
      <w:bookmarkEnd w:id="415"/>
      <w:bookmarkEnd w:id="416"/>
      <w:bookmarkEnd w:id="417"/>
      <w:bookmarkEnd w:id="418"/>
    </w:p>
    <w:p w14:paraId="419D7D52">
      <w:pPr>
        <w:pStyle w:val="4"/>
        <w:bidi w:val="0"/>
        <w:rPr>
          <w:highlight w:val="none"/>
        </w:rPr>
      </w:pPr>
      <w:bookmarkStart w:id="419" w:name="_Toc8594"/>
      <w:bookmarkStart w:id="420" w:name="_Toc26200"/>
      <w:r>
        <w:rPr>
          <w:highlight w:val="none"/>
        </w:rPr>
        <w:t>5.2.1大气环境影响评价</w:t>
      </w:r>
      <w:bookmarkEnd w:id="419"/>
      <w:bookmarkEnd w:id="420"/>
    </w:p>
    <w:p w14:paraId="0DC07088">
      <w:pPr>
        <w:bidi w:val="0"/>
        <w:rPr>
          <w:highlight w:val="none"/>
        </w:rPr>
      </w:pPr>
      <w:bookmarkStart w:id="421" w:name="_Toc15232"/>
      <w:r>
        <w:rPr>
          <w:highlight w:val="none"/>
        </w:rPr>
        <w:t>1、评价因子及评价标准</w:t>
      </w:r>
      <w:bookmarkEnd w:id="421"/>
    </w:p>
    <w:p w14:paraId="03F5D90A">
      <w:pPr>
        <w:bidi w:val="0"/>
        <w:rPr>
          <w:highlight w:val="none"/>
        </w:rPr>
      </w:pPr>
      <w:r>
        <w:rPr>
          <w:highlight w:val="none"/>
        </w:rPr>
        <w:t>（1）评价因子确定</w:t>
      </w:r>
    </w:p>
    <w:p w14:paraId="41C0CFC4">
      <w:pPr>
        <w:bidi w:val="0"/>
        <w:rPr>
          <w:highlight w:val="none"/>
        </w:rPr>
      </w:pPr>
      <w:r>
        <w:rPr>
          <w:highlight w:val="none"/>
        </w:rPr>
        <w:t>根据工程分析，本项目选取非甲烷总烃为主要评价因子。</w:t>
      </w:r>
    </w:p>
    <w:p w14:paraId="41688D36">
      <w:pPr>
        <w:bidi w:val="0"/>
        <w:rPr>
          <w:highlight w:val="none"/>
        </w:rPr>
      </w:pPr>
      <w:r>
        <w:rPr>
          <w:highlight w:val="none"/>
        </w:rPr>
        <w:t>（2）预测模式和参数选取</w:t>
      </w:r>
    </w:p>
    <w:p w14:paraId="72C396FA">
      <w:pPr>
        <w:bidi w:val="0"/>
        <w:rPr>
          <w:highlight w:val="none"/>
        </w:rPr>
      </w:pPr>
      <w:r>
        <w:rPr>
          <w:highlight w:val="none"/>
        </w:rPr>
        <w:t>①预测模式</w:t>
      </w:r>
    </w:p>
    <w:p w14:paraId="0D183779">
      <w:pPr>
        <w:bidi w:val="0"/>
        <w:rPr>
          <w:highlight w:val="none"/>
        </w:rPr>
      </w:pPr>
      <w:r>
        <w:rPr>
          <w:highlight w:val="none"/>
        </w:rPr>
        <w:t>根据《环境影响评价技术导则大气环境》（HJ2.2-2018）推荐的ARESCREEN估算模式对有组织及无组织排放的污染物进行估算。</w:t>
      </w:r>
    </w:p>
    <w:p w14:paraId="70E4EF00">
      <w:pPr>
        <w:bidi w:val="0"/>
        <w:rPr>
          <w:highlight w:val="none"/>
        </w:rPr>
      </w:pPr>
      <w:r>
        <w:rPr>
          <w:highlight w:val="none"/>
        </w:rPr>
        <w:t>本项目产生的所有有组织污染物进行</w:t>
      </w:r>
      <w:r>
        <w:rPr>
          <w:rFonts w:hint="eastAsia"/>
          <w:highlight w:val="none"/>
          <w:lang w:val="en-US" w:eastAsia="zh-CN"/>
        </w:rPr>
        <w:t>估算</w:t>
      </w:r>
      <w:r>
        <w:rPr>
          <w:highlight w:val="none"/>
        </w:rPr>
        <w:t>，评价因子和评价标准见表5-</w:t>
      </w:r>
      <w:r>
        <w:rPr>
          <w:rFonts w:hint="eastAsia"/>
          <w:highlight w:val="none"/>
          <w:lang w:val="en-US" w:eastAsia="zh-CN"/>
        </w:rPr>
        <w:t>2</w:t>
      </w:r>
      <w:r>
        <w:rPr>
          <w:highlight w:val="none"/>
        </w:rPr>
        <w:t>-</w:t>
      </w:r>
      <w:r>
        <w:rPr>
          <w:rFonts w:hint="eastAsia"/>
          <w:highlight w:val="none"/>
          <w:lang w:val="en-US" w:eastAsia="zh-CN"/>
        </w:rPr>
        <w:t>1</w:t>
      </w:r>
      <w:r>
        <w:rPr>
          <w:highlight w:val="none"/>
        </w:rPr>
        <w:t>，污染源参数见表5-</w:t>
      </w:r>
      <w:r>
        <w:rPr>
          <w:rFonts w:hint="eastAsia"/>
          <w:highlight w:val="none"/>
          <w:lang w:val="en-US" w:eastAsia="zh-CN"/>
        </w:rPr>
        <w:t>2</w:t>
      </w:r>
      <w:r>
        <w:rPr>
          <w:highlight w:val="none"/>
        </w:rPr>
        <w:t>-</w:t>
      </w:r>
      <w:r>
        <w:rPr>
          <w:rFonts w:hint="eastAsia"/>
          <w:highlight w:val="none"/>
          <w:lang w:val="en-US" w:eastAsia="zh-CN"/>
        </w:rPr>
        <w:t>2</w:t>
      </w:r>
      <w:r>
        <w:rPr>
          <w:highlight w:val="none"/>
        </w:rPr>
        <w:t>至表5-2-</w:t>
      </w:r>
      <w:r>
        <w:rPr>
          <w:rFonts w:hint="eastAsia"/>
          <w:highlight w:val="none"/>
          <w:lang w:val="en-US" w:eastAsia="zh-CN"/>
        </w:rPr>
        <w:t>4</w:t>
      </w:r>
      <w:r>
        <w:rPr>
          <w:highlight w:val="none"/>
        </w:rPr>
        <w:t>。</w:t>
      </w:r>
    </w:p>
    <w:p w14:paraId="6E1A3CEA">
      <w:pPr>
        <w:pStyle w:val="7"/>
        <w:bidi w:val="0"/>
        <w:rPr>
          <w:highlight w:val="none"/>
        </w:rPr>
      </w:pPr>
      <w:r>
        <w:rPr>
          <w:highlight w:val="none"/>
        </w:rPr>
        <w:t>表5-2-</w:t>
      </w:r>
      <w:r>
        <w:rPr>
          <w:rFonts w:hint="eastAsia"/>
          <w:highlight w:val="none"/>
          <w:lang w:val="en-US" w:eastAsia="zh-CN"/>
        </w:rPr>
        <w:t>1</w:t>
      </w:r>
      <w:r>
        <w:rPr>
          <w:highlight w:val="none"/>
        </w:rPr>
        <w:t>评价因子及评价标准表</w:t>
      </w:r>
    </w:p>
    <w:p w14:paraId="72E2C90B">
      <w:pPr>
        <w:pStyle w:val="731"/>
        <w:adjustRightInd/>
        <w:spacing w:line="360" w:lineRule="auto"/>
        <w:ind w:firstLine="480" w:firstLineChars="200"/>
        <w:jc w:val="both"/>
        <w:rPr>
          <w:rFonts w:ascii="Times New Roman" w:cs="Times New Roman" w:hAnsiTheme="minorEastAsia" w:eastAsiaTheme="minorEastAsia"/>
          <w:bCs/>
          <w:color w:val="auto"/>
          <w:highlight w:val="none"/>
        </w:rPr>
      </w:pPr>
    </w:p>
    <w:tbl>
      <w:tblPr>
        <w:tblStyle w:val="45"/>
        <w:tblW w:w="5139"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957"/>
        <w:gridCol w:w="1107"/>
        <w:gridCol w:w="1870"/>
        <w:gridCol w:w="3603"/>
      </w:tblGrid>
      <w:tr w14:paraId="3C26143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21" w:hRule="atLeast"/>
          <w:jc w:val="center"/>
        </w:trPr>
        <w:tc>
          <w:tcPr>
            <w:tcW w:w="1146" w:type="pct"/>
            <w:vAlign w:val="center"/>
          </w:tcPr>
          <w:p w14:paraId="1B771746">
            <w:pPr>
              <w:keepNext w:val="0"/>
              <w:keepLines w:val="0"/>
              <w:widowControl w:val="0"/>
              <w:suppressLineNumbers w:val="0"/>
              <w:adjustRightInd w:val="0"/>
              <w:snapToGrid w:val="0"/>
              <w:spacing w:before="0" w:beforeAutospacing="0" w:after="0" w:afterAutospacing="0" w:line="240" w:lineRule="auto"/>
              <w:ind w:left="0" w:right="0"/>
              <w:contextualSpacing/>
              <w:jc w:val="center"/>
              <w:rPr>
                <w:rFonts w:hint="default" w:ascii="Times New Roman" w:hAnsi="Times New Roman" w:cs="Times New Roman" w:eastAsiaTheme="minorEastAsia"/>
                <w:bCs/>
                <w:kern w:val="2"/>
                <w:sz w:val="21"/>
                <w:szCs w:val="21"/>
                <w:highlight w:val="none"/>
                <w:lang w:val="en-US" w:eastAsia="en-US" w:bidi="ar-SA"/>
              </w:rPr>
            </w:pPr>
            <w:r>
              <w:rPr>
                <w:rFonts w:hint="default" w:ascii="Times New Roman" w:cs="Times New Roman" w:hAnsiTheme="minorEastAsia" w:eastAsiaTheme="minorEastAsia"/>
                <w:bCs/>
                <w:kern w:val="2"/>
                <w:sz w:val="21"/>
                <w:szCs w:val="21"/>
                <w:highlight w:val="none"/>
                <w:lang w:val="en-US" w:eastAsia="en-US" w:bidi="ar-SA"/>
              </w:rPr>
              <w:t>预测因子</w:t>
            </w:r>
          </w:p>
        </w:tc>
        <w:tc>
          <w:tcPr>
            <w:tcW w:w="648" w:type="pct"/>
            <w:vAlign w:val="center"/>
          </w:tcPr>
          <w:p w14:paraId="62FCA90F">
            <w:pPr>
              <w:keepNext w:val="0"/>
              <w:keepLines w:val="0"/>
              <w:widowControl w:val="0"/>
              <w:suppressLineNumbers w:val="0"/>
              <w:adjustRightInd w:val="0"/>
              <w:snapToGrid w:val="0"/>
              <w:spacing w:before="0" w:beforeAutospacing="0" w:after="0" w:afterAutospacing="0" w:line="240" w:lineRule="auto"/>
              <w:ind w:left="0" w:right="0"/>
              <w:contextualSpacing/>
              <w:jc w:val="center"/>
              <w:rPr>
                <w:rFonts w:hint="default" w:ascii="Times New Roman" w:hAnsi="Times New Roman" w:cs="Times New Roman" w:eastAsiaTheme="minorEastAsia"/>
                <w:bCs/>
                <w:kern w:val="2"/>
                <w:sz w:val="21"/>
                <w:szCs w:val="21"/>
                <w:highlight w:val="none"/>
                <w:lang w:val="en-US" w:eastAsia="en-US" w:bidi="ar-SA"/>
              </w:rPr>
            </w:pPr>
            <w:r>
              <w:rPr>
                <w:rFonts w:hint="default" w:ascii="Times New Roman" w:cs="Times New Roman" w:hAnsiTheme="minorEastAsia" w:eastAsiaTheme="minorEastAsia"/>
                <w:bCs/>
                <w:kern w:val="2"/>
                <w:sz w:val="21"/>
                <w:szCs w:val="21"/>
                <w:highlight w:val="none"/>
                <w:lang w:val="en-US" w:eastAsia="en-US" w:bidi="ar-SA"/>
              </w:rPr>
              <w:t>平均时段</w:t>
            </w:r>
          </w:p>
        </w:tc>
        <w:tc>
          <w:tcPr>
            <w:tcW w:w="1095" w:type="pct"/>
            <w:vAlign w:val="center"/>
          </w:tcPr>
          <w:p w14:paraId="55CB68B1">
            <w:pPr>
              <w:keepNext w:val="0"/>
              <w:keepLines w:val="0"/>
              <w:widowControl w:val="0"/>
              <w:suppressLineNumbers w:val="0"/>
              <w:adjustRightInd w:val="0"/>
              <w:snapToGrid w:val="0"/>
              <w:spacing w:before="0" w:beforeAutospacing="0" w:after="0" w:afterAutospacing="0" w:line="240" w:lineRule="auto"/>
              <w:ind w:left="0" w:right="0"/>
              <w:contextualSpacing/>
              <w:jc w:val="center"/>
              <w:rPr>
                <w:rFonts w:hint="default" w:ascii="Times New Roman" w:hAnsi="Times New Roman" w:cs="Times New Roman" w:eastAsiaTheme="minorEastAsia"/>
                <w:bCs/>
                <w:kern w:val="2"/>
                <w:sz w:val="21"/>
                <w:szCs w:val="21"/>
                <w:highlight w:val="none"/>
                <w:lang w:val="en-US" w:eastAsia="en-US" w:bidi="ar-SA"/>
              </w:rPr>
            </w:pPr>
            <w:r>
              <w:rPr>
                <w:rFonts w:hint="default" w:ascii="Times New Roman" w:cs="Times New Roman" w:hAnsiTheme="minorEastAsia" w:eastAsiaTheme="minorEastAsia"/>
                <w:bCs/>
                <w:kern w:val="2"/>
                <w:sz w:val="21"/>
                <w:szCs w:val="21"/>
                <w:highlight w:val="none"/>
                <w:lang w:val="en-US" w:eastAsia="en-US" w:bidi="ar-SA"/>
              </w:rPr>
              <w:t>标准值（</w:t>
            </w:r>
            <w:r>
              <w:rPr>
                <w:rFonts w:hint="default" w:ascii="Times New Roman" w:hAnsi="Times New Roman" w:cs="Times New Roman" w:eastAsiaTheme="minorEastAsia"/>
                <w:bCs/>
                <w:kern w:val="2"/>
                <w:sz w:val="21"/>
                <w:szCs w:val="21"/>
                <w:highlight w:val="none"/>
                <w:lang w:val="en-US" w:eastAsia="en-US" w:bidi="ar-SA"/>
              </w:rPr>
              <w:t>μg/m</w:t>
            </w:r>
            <w:r>
              <w:rPr>
                <w:rFonts w:hint="default" w:ascii="Times New Roman" w:hAnsi="Times New Roman" w:cs="Times New Roman" w:eastAsiaTheme="minorEastAsia"/>
                <w:bCs/>
                <w:kern w:val="2"/>
                <w:sz w:val="21"/>
                <w:szCs w:val="21"/>
                <w:highlight w:val="none"/>
                <w:vertAlign w:val="superscript"/>
                <w:lang w:val="en-US" w:eastAsia="en-US" w:bidi="ar-SA"/>
              </w:rPr>
              <w:t>3</w:t>
            </w:r>
            <w:r>
              <w:rPr>
                <w:rFonts w:hint="default" w:ascii="Times New Roman" w:cs="Times New Roman" w:hAnsiTheme="minorEastAsia" w:eastAsiaTheme="minorEastAsia"/>
                <w:bCs/>
                <w:kern w:val="2"/>
                <w:sz w:val="21"/>
                <w:szCs w:val="21"/>
                <w:highlight w:val="none"/>
                <w:lang w:val="en-US" w:eastAsia="en-US" w:bidi="ar-SA"/>
              </w:rPr>
              <w:t>）</w:t>
            </w:r>
          </w:p>
        </w:tc>
        <w:tc>
          <w:tcPr>
            <w:tcW w:w="2109" w:type="pct"/>
            <w:vAlign w:val="center"/>
          </w:tcPr>
          <w:p w14:paraId="09E077E7">
            <w:pPr>
              <w:keepNext w:val="0"/>
              <w:keepLines w:val="0"/>
              <w:widowControl w:val="0"/>
              <w:suppressLineNumbers w:val="0"/>
              <w:adjustRightInd w:val="0"/>
              <w:snapToGrid w:val="0"/>
              <w:spacing w:before="0" w:beforeAutospacing="0" w:after="0" w:afterAutospacing="0" w:line="240" w:lineRule="auto"/>
              <w:ind w:left="0" w:right="0"/>
              <w:contextualSpacing/>
              <w:jc w:val="center"/>
              <w:rPr>
                <w:rFonts w:hint="default" w:ascii="Times New Roman" w:hAnsi="Times New Roman" w:cs="Times New Roman" w:eastAsiaTheme="minorEastAsia"/>
                <w:bCs/>
                <w:kern w:val="2"/>
                <w:sz w:val="21"/>
                <w:szCs w:val="21"/>
                <w:highlight w:val="none"/>
                <w:lang w:val="en-US" w:eastAsia="en-US" w:bidi="ar-SA"/>
              </w:rPr>
            </w:pPr>
            <w:r>
              <w:rPr>
                <w:rFonts w:hint="default" w:ascii="Times New Roman" w:cs="Times New Roman" w:hAnsiTheme="minorEastAsia" w:eastAsiaTheme="minorEastAsia"/>
                <w:bCs/>
                <w:kern w:val="2"/>
                <w:sz w:val="21"/>
                <w:szCs w:val="21"/>
                <w:highlight w:val="none"/>
                <w:lang w:val="en-US" w:eastAsia="en-US" w:bidi="ar-SA"/>
              </w:rPr>
              <w:t>标准来源</w:t>
            </w:r>
          </w:p>
        </w:tc>
      </w:tr>
      <w:tr w14:paraId="40271D9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3" w:hRule="atLeast"/>
          <w:jc w:val="center"/>
        </w:trPr>
        <w:tc>
          <w:tcPr>
            <w:tcW w:w="1146" w:type="pct"/>
            <w:vAlign w:val="center"/>
          </w:tcPr>
          <w:p w14:paraId="64D4550D">
            <w:pPr>
              <w:keepNext w:val="0"/>
              <w:keepLines w:val="0"/>
              <w:widowControl w:val="0"/>
              <w:suppressLineNumbers w:val="0"/>
              <w:adjustRightInd w:val="0"/>
              <w:snapToGrid w:val="0"/>
              <w:spacing w:before="0" w:beforeAutospacing="0" w:after="0" w:afterAutospacing="0" w:line="240" w:lineRule="auto"/>
              <w:ind w:left="0" w:right="0"/>
              <w:contextualSpacing/>
              <w:jc w:val="center"/>
              <w:rPr>
                <w:rFonts w:hint="default" w:ascii="Times New Roman" w:hAnsi="Times New Roman" w:cs="Times New Roman" w:eastAsiaTheme="minorEastAsia"/>
                <w:bCs/>
                <w:kern w:val="2"/>
                <w:sz w:val="21"/>
                <w:szCs w:val="21"/>
                <w:highlight w:val="none"/>
                <w:lang w:val="en-US" w:eastAsia="zh-CN" w:bidi="ar-SA"/>
              </w:rPr>
            </w:pPr>
            <w:r>
              <w:rPr>
                <w:rFonts w:hint="default" w:ascii="Times New Roman" w:cs="Times New Roman" w:hAnsiTheme="minorEastAsia" w:eastAsiaTheme="minorEastAsia"/>
                <w:bCs/>
                <w:kern w:val="2"/>
                <w:sz w:val="21"/>
                <w:szCs w:val="21"/>
                <w:highlight w:val="none"/>
                <w:lang w:val="en-US" w:eastAsia="zh-CN" w:bidi="ar-SA"/>
              </w:rPr>
              <w:t>非甲烷总烃（</w:t>
            </w:r>
            <w:r>
              <w:rPr>
                <w:rFonts w:hint="default" w:ascii="Times New Roman" w:hAnsi="Times New Roman" w:cs="Times New Roman" w:eastAsiaTheme="minorEastAsia"/>
                <w:bCs/>
                <w:kern w:val="2"/>
                <w:sz w:val="21"/>
                <w:szCs w:val="21"/>
                <w:highlight w:val="none"/>
                <w:lang w:val="en-US" w:eastAsia="zh-CN" w:bidi="ar-SA"/>
              </w:rPr>
              <w:t>NMHC</w:t>
            </w:r>
            <w:r>
              <w:rPr>
                <w:rFonts w:hint="default" w:ascii="Times New Roman" w:cs="Times New Roman" w:hAnsiTheme="minorEastAsia" w:eastAsiaTheme="minorEastAsia"/>
                <w:bCs/>
                <w:kern w:val="2"/>
                <w:sz w:val="21"/>
                <w:szCs w:val="21"/>
                <w:highlight w:val="none"/>
                <w:lang w:val="en-US" w:eastAsia="zh-CN" w:bidi="ar-SA"/>
              </w:rPr>
              <w:t>）</w:t>
            </w:r>
          </w:p>
        </w:tc>
        <w:tc>
          <w:tcPr>
            <w:tcW w:w="648" w:type="pct"/>
            <w:vAlign w:val="center"/>
          </w:tcPr>
          <w:p w14:paraId="07734FAE">
            <w:pPr>
              <w:keepNext w:val="0"/>
              <w:keepLines w:val="0"/>
              <w:widowControl w:val="0"/>
              <w:suppressLineNumbers w:val="0"/>
              <w:adjustRightInd w:val="0"/>
              <w:snapToGrid w:val="0"/>
              <w:spacing w:before="0" w:beforeAutospacing="0" w:after="0" w:afterAutospacing="0" w:line="240" w:lineRule="auto"/>
              <w:ind w:left="0" w:right="0"/>
              <w:contextualSpacing/>
              <w:jc w:val="center"/>
              <w:rPr>
                <w:rFonts w:hint="default" w:ascii="Times New Roman" w:hAnsi="Times New Roman" w:cs="Times New Roman" w:eastAsiaTheme="minorEastAsia"/>
                <w:bCs/>
                <w:kern w:val="2"/>
                <w:sz w:val="21"/>
                <w:szCs w:val="21"/>
                <w:highlight w:val="none"/>
                <w:lang w:val="en-US" w:eastAsia="en-US" w:bidi="ar-SA"/>
              </w:rPr>
            </w:pPr>
            <w:r>
              <w:rPr>
                <w:rFonts w:hint="default" w:ascii="Times New Roman" w:hAnsi="Times New Roman" w:cs="Times New Roman" w:eastAsiaTheme="minorEastAsia"/>
                <w:bCs/>
                <w:kern w:val="2"/>
                <w:sz w:val="21"/>
                <w:szCs w:val="21"/>
                <w:highlight w:val="none"/>
                <w:lang w:val="en-US" w:eastAsia="en-US" w:bidi="ar-SA"/>
              </w:rPr>
              <w:t>1</w:t>
            </w:r>
            <w:r>
              <w:rPr>
                <w:rFonts w:hint="default" w:ascii="Times New Roman" w:cs="Times New Roman" w:hAnsiTheme="minorEastAsia" w:eastAsiaTheme="minorEastAsia"/>
                <w:bCs/>
                <w:kern w:val="2"/>
                <w:sz w:val="21"/>
                <w:szCs w:val="21"/>
                <w:highlight w:val="none"/>
                <w:lang w:val="en-US" w:eastAsia="en-US" w:bidi="ar-SA"/>
              </w:rPr>
              <w:t>小时</w:t>
            </w:r>
          </w:p>
        </w:tc>
        <w:tc>
          <w:tcPr>
            <w:tcW w:w="1095" w:type="pct"/>
            <w:vAlign w:val="center"/>
          </w:tcPr>
          <w:p w14:paraId="2A42DA2A">
            <w:pPr>
              <w:keepNext w:val="0"/>
              <w:keepLines w:val="0"/>
              <w:widowControl w:val="0"/>
              <w:suppressLineNumbers w:val="0"/>
              <w:adjustRightInd w:val="0"/>
              <w:snapToGrid w:val="0"/>
              <w:spacing w:before="0" w:beforeAutospacing="0" w:after="0" w:afterAutospacing="0" w:line="240" w:lineRule="auto"/>
              <w:ind w:left="0" w:right="0"/>
              <w:contextualSpacing/>
              <w:jc w:val="center"/>
              <w:rPr>
                <w:rFonts w:hint="default" w:ascii="Times New Roman" w:hAnsi="Times New Roman" w:cs="Times New Roman" w:eastAsiaTheme="minorEastAsia"/>
                <w:bCs/>
                <w:kern w:val="2"/>
                <w:sz w:val="21"/>
                <w:szCs w:val="21"/>
                <w:highlight w:val="none"/>
                <w:lang w:val="en-US" w:eastAsia="zh-CN" w:bidi="ar-SA"/>
              </w:rPr>
            </w:pPr>
            <w:r>
              <w:rPr>
                <w:rFonts w:hint="default" w:ascii="Times New Roman" w:hAnsi="Times New Roman" w:cs="Times New Roman" w:eastAsiaTheme="minorEastAsia"/>
                <w:bCs/>
                <w:kern w:val="2"/>
                <w:sz w:val="21"/>
                <w:szCs w:val="21"/>
                <w:highlight w:val="none"/>
                <w:lang w:val="en-US" w:eastAsia="zh-CN" w:bidi="ar-SA"/>
              </w:rPr>
              <w:t>2000</w:t>
            </w:r>
          </w:p>
        </w:tc>
        <w:tc>
          <w:tcPr>
            <w:tcW w:w="2109" w:type="pct"/>
            <w:vAlign w:val="center"/>
          </w:tcPr>
          <w:p w14:paraId="1BD0FDCF">
            <w:pPr>
              <w:keepNext w:val="0"/>
              <w:keepLines w:val="0"/>
              <w:widowControl w:val="0"/>
              <w:suppressLineNumbers w:val="0"/>
              <w:adjustRightInd w:val="0"/>
              <w:snapToGrid w:val="0"/>
              <w:spacing w:before="0" w:beforeAutospacing="0" w:after="0" w:afterAutospacing="0" w:line="240" w:lineRule="auto"/>
              <w:ind w:left="0" w:right="0"/>
              <w:contextualSpacing/>
              <w:jc w:val="center"/>
              <w:rPr>
                <w:rFonts w:hint="default" w:ascii="Times New Roman" w:hAnsi="Times New Roman" w:cs="Times New Roman" w:eastAsiaTheme="minorEastAsia"/>
                <w:bCs/>
                <w:kern w:val="2"/>
                <w:sz w:val="21"/>
                <w:szCs w:val="21"/>
                <w:highlight w:val="none"/>
                <w:lang w:val="en-US" w:eastAsia="zh-CN" w:bidi="ar-SA"/>
              </w:rPr>
            </w:pPr>
            <w:r>
              <w:rPr>
                <w:rFonts w:hint="default" w:ascii="Times New Roman" w:cs="Times New Roman" w:hAnsiTheme="minorEastAsia" w:eastAsiaTheme="minorEastAsia"/>
                <w:bCs/>
                <w:kern w:val="2"/>
                <w:sz w:val="21"/>
                <w:szCs w:val="21"/>
                <w:highlight w:val="none"/>
                <w:lang w:val="en-US" w:eastAsia="zh-CN" w:bidi="ar-SA"/>
              </w:rPr>
              <w:t>《大气污染物综合排放标准详解》</w:t>
            </w:r>
          </w:p>
        </w:tc>
      </w:tr>
      <w:tr w14:paraId="62749E1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3" w:hRule="atLeast"/>
          <w:jc w:val="center"/>
        </w:trPr>
        <w:tc>
          <w:tcPr>
            <w:tcW w:w="1146" w:type="pct"/>
            <w:vAlign w:val="center"/>
          </w:tcPr>
          <w:p w14:paraId="28654FC3">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Cs/>
                <w:kern w:val="0"/>
                <w:sz w:val="21"/>
                <w:szCs w:val="21"/>
                <w:highlight w:val="none"/>
                <w:lang w:eastAsia="en-US"/>
              </w:rPr>
            </w:pPr>
            <w:r>
              <w:rPr>
                <w:rFonts w:hint="eastAsia" w:ascii="Times New Roman" w:hAnsi="Times New Roman" w:eastAsia="宋体" w:cs="Times New Roman"/>
                <w:bCs/>
                <w:kern w:val="0"/>
                <w:sz w:val="21"/>
                <w:szCs w:val="21"/>
                <w:highlight w:val="none"/>
              </w:rPr>
              <w:t>氮氧化物</w:t>
            </w:r>
            <w:r>
              <w:rPr>
                <w:rFonts w:hint="default" w:ascii="Times New Roman" w:hAnsi="Times New Roman" w:eastAsia="宋体" w:cs="Times New Roman"/>
                <w:bCs/>
                <w:kern w:val="0"/>
                <w:sz w:val="21"/>
                <w:szCs w:val="21"/>
                <w:highlight w:val="none"/>
                <w:lang w:eastAsia="en-US"/>
              </w:rPr>
              <w:t>（NO</w:t>
            </w:r>
            <w:r>
              <w:rPr>
                <w:rFonts w:hint="eastAsia" w:ascii="Times New Roman" w:hAnsi="Times New Roman" w:eastAsia="宋体" w:cs="Times New Roman"/>
                <w:bCs/>
                <w:kern w:val="0"/>
                <w:sz w:val="21"/>
                <w:szCs w:val="21"/>
                <w:highlight w:val="none"/>
              </w:rPr>
              <w:t>x</w:t>
            </w:r>
            <w:r>
              <w:rPr>
                <w:rFonts w:hint="default" w:ascii="Times New Roman" w:hAnsi="Times New Roman" w:eastAsia="宋体" w:cs="Times New Roman"/>
                <w:bCs/>
                <w:kern w:val="0"/>
                <w:sz w:val="21"/>
                <w:szCs w:val="21"/>
                <w:highlight w:val="none"/>
                <w:lang w:eastAsia="en-US"/>
              </w:rPr>
              <w:t>）</w:t>
            </w:r>
          </w:p>
        </w:tc>
        <w:tc>
          <w:tcPr>
            <w:tcW w:w="648" w:type="pct"/>
            <w:vAlign w:val="center"/>
          </w:tcPr>
          <w:p w14:paraId="2A77592D">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Cs/>
                <w:kern w:val="0"/>
                <w:sz w:val="21"/>
                <w:szCs w:val="21"/>
                <w:highlight w:val="none"/>
                <w:lang w:eastAsia="en-US"/>
              </w:rPr>
            </w:pPr>
            <w:r>
              <w:rPr>
                <w:rFonts w:hint="default" w:ascii="Times New Roman" w:hAnsi="Times New Roman" w:eastAsia="宋体" w:cs="Times New Roman"/>
                <w:bCs/>
                <w:kern w:val="0"/>
                <w:sz w:val="21"/>
                <w:szCs w:val="21"/>
                <w:highlight w:val="none"/>
                <w:lang w:eastAsia="en-US"/>
              </w:rPr>
              <w:t>1小时</w:t>
            </w:r>
          </w:p>
        </w:tc>
        <w:tc>
          <w:tcPr>
            <w:tcW w:w="1095" w:type="pct"/>
            <w:vAlign w:val="center"/>
          </w:tcPr>
          <w:p w14:paraId="2D11DA45">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Cs/>
                <w:kern w:val="0"/>
                <w:sz w:val="21"/>
                <w:szCs w:val="21"/>
                <w:highlight w:val="none"/>
              </w:rPr>
            </w:pPr>
            <w:r>
              <w:rPr>
                <w:rFonts w:hint="eastAsia" w:ascii="Times New Roman" w:hAnsi="Times New Roman" w:eastAsia="宋体" w:cs="Times New Roman"/>
                <w:bCs/>
                <w:kern w:val="0"/>
                <w:sz w:val="21"/>
                <w:szCs w:val="21"/>
                <w:highlight w:val="none"/>
              </w:rPr>
              <w:t>250</w:t>
            </w:r>
          </w:p>
        </w:tc>
        <w:tc>
          <w:tcPr>
            <w:tcW w:w="2109" w:type="pct"/>
            <w:vMerge w:val="restart"/>
            <w:vAlign w:val="center"/>
          </w:tcPr>
          <w:p w14:paraId="22DA5D33">
            <w:pPr>
              <w:keepNext w:val="0"/>
              <w:keepLines w:val="0"/>
              <w:widowControl w:val="0"/>
              <w:suppressLineNumbers w:val="0"/>
              <w:adjustRightInd w:val="0"/>
              <w:snapToGrid w:val="0"/>
              <w:spacing w:before="0" w:beforeAutospacing="0" w:after="0" w:afterAutospacing="0" w:line="240" w:lineRule="auto"/>
              <w:ind w:left="0" w:right="0"/>
              <w:contextualSpacing/>
              <w:jc w:val="center"/>
              <w:rPr>
                <w:rFonts w:hint="default" w:ascii="Times New Roman" w:cs="Times New Roman" w:hAnsiTheme="minorEastAsia" w:eastAsiaTheme="minorEastAsia"/>
                <w:bCs/>
                <w:kern w:val="2"/>
                <w:sz w:val="21"/>
                <w:szCs w:val="21"/>
                <w:highlight w:val="none"/>
                <w:lang w:val="en-US" w:eastAsia="zh-CN" w:bidi="ar-SA"/>
              </w:rPr>
            </w:pPr>
            <w:r>
              <w:rPr>
                <w:rFonts w:hint="default" w:ascii="Times New Roman" w:hAnsi="Times New Roman" w:eastAsia="宋体" w:cs="Times New Roman"/>
                <w:bCs/>
                <w:kern w:val="0"/>
                <w:sz w:val="21"/>
                <w:szCs w:val="21"/>
                <w:highlight w:val="none"/>
                <w:lang w:val="en-US" w:eastAsia="zh-CN" w:bidi="ar-SA"/>
              </w:rPr>
              <w:t>《环境空气质量标准》（GB3095-2012）二级标准</w:t>
            </w:r>
          </w:p>
        </w:tc>
      </w:tr>
      <w:tr w14:paraId="32CADC0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3" w:hRule="atLeast"/>
          <w:jc w:val="center"/>
        </w:trPr>
        <w:tc>
          <w:tcPr>
            <w:tcW w:w="1146" w:type="pct"/>
            <w:vAlign w:val="center"/>
          </w:tcPr>
          <w:p w14:paraId="03DC39A2">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Cs/>
                <w:kern w:val="0"/>
                <w:sz w:val="21"/>
                <w:szCs w:val="21"/>
                <w:highlight w:val="none"/>
              </w:rPr>
            </w:pPr>
            <w:r>
              <w:rPr>
                <w:rFonts w:hint="eastAsia" w:ascii="Times New Roman" w:hAnsi="Times New Roman" w:eastAsia="宋体" w:cs="Times New Roman"/>
                <w:bCs/>
                <w:kern w:val="0"/>
                <w:sz w:val="21"/>
                <w:szCs w:val="21"/>
                <w:highlight w:val="none"/>
              </w:rPr>
              <w:t>CO</w:t>
            </w:r>
          </w:p>
        </w:tc>
        <w:tc>
          <w:tcPr>
            <w:tcW w:w="648" w:type="pct"/>
            <w:vAlign w:val="center"/>
          </w:tcPr>
          <w:p w14:paraId="65639D1F">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Cs/>
                <w:kern w:val="0"/>
                <w:sz w:val="21"/>
                <w:szCs w:val="21"/>
                <w:highlight w:val="none"/>
                <w:lang w:eastAsia="en-US"/>
              </w:rPr>
            </w:pPr>
            <w:r>
              <w:rPr>
                <w:rFonts w:hint="default" w:ascii="Times New Roman" w:hAnsi="Times New Roman" w:eastAsia="宋体" w:cs="Times New Roman"/>
                <w:bCs/>
                <w:kern w:val="0"/>
                <w:sz w:val="21"/>
                <w:szCs w:val="21"/>
                <w:highlight w:val="none"/>
                <w:lang w:eastAsia="en-US"/>
              </w:rPr>
              <w:t>1小时</w:t>
            </w:r>
          </w:p>
        </w:tc>
        <w:tc>
          <w:tcPr>
            <w:tcW w:w="1095" w:type="pct"/>
            <w:vAlign w:val="center"/>
          </w:tcPr>
          <w:p w14:paraId="607BBC3C">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Cs/>
                <w:kern w:val="0"/>
                <w:sz w:val="21"/>
                <w:szCs w:val="21"/>
                <w:highlight w:val="none"/>
              </w:rPr>
            </w:pPr>
            <w:r>
              <w:rPr>
                <w:rFonts w:hint="eastAsia" w:ascii="Times New Roman" w:hAnsi="Times New Roman" w:eastAsia="宋体" w:cs="Times New Roman"/>
                <w:bCs/>
                <w:kern w:val="0"/>
                <w:sz w:val="21"/>
                <w:szCs w:val="21"/>
                <w:highlight w:val="none"/>
              </w:rPr>
              <w:t>10000</w:t>
            </w:r>
          </w:p>
        </w:tc>
        <w:tc>
          <w:tcPr>
            <w:tcW w:w="2109" w:type="pct"/>
            <w:vMerge w:val="continue"/>
            <w:vAlign w:val="center"/>
          </w:tcPr>
          <w:p w14:paraId="11F47C01">
            <w:pPr>
              <w:keepNext w:val="0"/>
              <w:keepLines w:val="0"/>
              <w:widowControl w:val="0"/>
              <w:suppressLineNumbers w:val="0"/>
              <w:adjustRightInd w:val="0"/>
              <w:snapToGrid w:val="0"/>
              <w:spacing w:before="0" w:beforeAutospacing="0" w:after="0" w:afterAutospacing="0" w:line="240" w:lineRule="auto"/>
              <w:ind w:left="0" w:right="0"/>
              <w:contextualSpacing/>
              <w:jc w:val="center"/>
              <w:rPr>
                <w:rFonts w:hint="default" w:ascii="Times New Roman" w:cs="Times New Roman" w:hAnsiTheme="minorEastAsia" w:eastAsiaTheme="minorEastAsia"/>
                <w:bCs/>
                <w:kern w:val="2"/>
                <w:sz w:val="21"/>
                <w:szCs w:val="21"/>
                <w:highlight w:val="none"/>
                <w:lang w:val="en-US" w:eastAsia="zh-CN" w:bidi="ar-SA"/>
              </w:rPr>
            </w:pPr>
          </w:p>
        </w:tc>
      </w:tr>
      <w:tr w14:paraId="561D00F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3" w:hRule="atLeast"/>
          <w:jc w:val="center"/>
        </w:trPr>
        <w:tc>
          <w:tcPr>
            <w:tcW w:w="1146" w:type="pct"/>
            <w:vAlign w:val="center"/>
          </w:tcPr>
          <w:p w14:paraId="347FE058">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Cs/>
                <w:kern w:val="0"/>
                <w:sz w:val="21"/>
                <w:szCs w:val="21"/>
                <w:highlight w:val="none"/>
              </w:rPr>
            </w:pPr>
            <w:r>
              <w:rPr>
                <w:rFonts w:hint="eastAsia" w:ascii="Times New Roman" w:hAnsi="Times New Roman" w:eastAsia="宋体" w:cs="Times New Roman"/>
                <w:bCs/>
                <w:kern w:val="0"/>
                <w:sz w:val="21"/>
                <w:szCs w:val="21"/>
                <w:highlight w:val="none"/>
              </w:rPr>
              <w:t>颗粒物（PM</w:t>
            </w:r>
            <w:r>
              <w:rPr>
                <w:rFonts w:hint="eastAsia" w:ascii="Times New Roman" w:hAnsi="Times New Roman" w:eastAsia="宋体" w:cs="Times New Roman"/>
                <w:bCs/>
                <w:kern w:val="0"/>
                <w:sz w:val="21"/>
                <w:szCs w:val="21"/>
                <w:highlight w:val="none"/>
                <w:vertAlign w:val="subscript"/>
              </w:rPr>
              <w:t>10</w:t>
            </w:r>
            <w:r>
              <w:rPr>
                <w:rFonts w:hint="eastAsia" w:ascii="Times New Roman" w:hAnsi="Times New Roman" w:eastAsia="宋体" w:cs="Times New Roman"/>
                <w:bCs/>
                <w:kern w:val="0"/>
                <w:sz w:val="21"/>
                <w:szCs w:val="21"/>
                <w:highlight w:val="none"/>
              </w:rPr>
              <w:t>）</w:t>
            </w:r>
          </w:p>
        </w:tc>
        <w:tc>
          <w:tcPr>
            <w:tcW w:w="648" w:type="pct"/>
            <w:vAlign w:val="center"/>
          </w:tcPr>
          <w:p w14:paraId="5CFA084D">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Cs/>
                <w:kern w:val="0"/>
                <w:sz w:val="21"/>
                <w:szCs w:val="21"/>
                <w:highlight w:val="none"/>
              </w:rPr>
            </w:pPr>
            <w:r>
              <w:rPr>
                <w:rFonts w:hint="eastAsia" w:ascii="Times New Roman" w:hAnsi="Times New Roman" w:eastAsia="宋体" w:cs="Times New Roman"/>
                <w:bCs/>
                <w:kern w:val="0"/>
                <w:sz w:val="21"/>
                <w:szCs w:val="21"/>
                <w:highlight w:val="none"/>
              </w:rPr>
              <w:t>24小时</w:t>
            </w:r>
          </w:p>
        </w:tc>
        <w:tc>
          <w:tcPr>
            <w:tcW w:w="1095" w:type="pct"/>
            <w:vAlign w:val="center"/>
          </w:tcPr>
          <w:p w14:paraId="014B4F7F">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Cs/>
                <w:kern w:val="0"/>
                <w:sz w:val="21"/>
                <w:szCs w:val="21"/>
                <w:highlight w:val="none"/>
              </w:rPr>
            </w:pPr>
            <w:r>
              <w:rPr>
                <w:rFonts w:hint="eastAsia" w:ascii="Times New Roman" w:hAnsi="Times New Roman" w:eastAsia="宋体" w:cs="Times New Roman"/>
                <w:bCs/>
                <w:kern w:val="0"/>
                <w:sz w:val="21"/>
                <w:szCs w:val="21"/>
                <w:highlight w:val="none"/>
              </w:rPr>
              <w:t>150</w:t>
            </w:r>
          </w:p>
        </w:tc>
        <w:tc>
          <w:tcPr>
            <w:tcW w:w="2109" w:type="pct"/>
            <w:vMerge w:val="continue"/>
            <w:vAlign w:val="center"/>
          </w:tcPr>
          <w:p w14:paraId="32C8906E">
            <w:pPr>
              <w:keepNext w:val="0"/>
              <w:keepLines w:val="0"/>
              <w:widowControl w:val="0"/>
              <w:suppressLineNumbers w:val="0"/>
              <w:adjustRightInd w:val="0"/>
              <w:snapToGrid w:val="0"/>
              <w:spacing w:before="0" w:beforeAutospacing="0" w:after="0" w:afterAutospacing="0" w:line="240" w:lineRule="auto"/>
              <w:ind w:left="0" w:right="0"/>
              <w:contextualSpacing/>
              <w:jc w:val="center"/>
              <w:rPr>
                <w:rFonts w:hint="default" w:ascii="Times New Roman" w:cs="Times New Roman" w:hAnsiTheme="minorEastAsia" w:eastAsiaTheme="minorEastAsia"/>
                <w:bCs/>
                <w:kern w:val="2"/>
                <w:sz w:val="21"/>
                <w:szCs w:val="21"/>
                <w:highlight w:val="none"/>
                <w:lang w:val="en-US" w:eastAsia="zh-CN" w:bidi="ar-SA"/>
              </w:rPr>
            </w:pPr>
          </w:p>
        </w:tc>
      </w:tr>
    </w:tbl>
    <w:p w14:paraId="5F02B0F9">
      <w:pPr>
        <w:pStyle w:val="731"/>
        <w:adjustRightInd/>
        <w:spacing w:line="360" w:lineRule="auto"/>
        <w:ind w:firstLine="480" w:firstLineChars="200"/>
        <w:jc w:val="both"/>
        <w:rPr>
          <w:rFonts w:hint="eastAsia" w:ascii="Times New Roman" w:cs="Times New Roman" w:hAnsiTheme="minorEastAsia" w:eastAsiaTheme="minorEastAsia"/>
          <w:bCs/>
          <w:color w:val="auto"/>
          <w:highlight w:val="none"/>
          <w:lang w:val="en-US" w:eastAsia="zh-CN"/>
        </w:rPr>
        <w:sectPr>
          <w:pgSz w:w="11906" w:h="16838"/>
          <w:pgMar w:top="1440" w:right="1800" w:bottom="1440" w:left="1800" w:header="851" w:footer="992" w:gutter="0"/>
          <w:pgBorders w:offsetFrom="page">
            <w:top w:val="none" w:sz="0" w:space="0"/>
            <w:left w:val="none" w:sz="0" w:space="0"/>
            <w:bottom w:val="none" w:sz="0" w:space="0"/>
            <w:right w:val="none" w:sz="0" w:space="0"/>
          </w:pgBorders>
          <w:cols w:space="425" w:num="1"/>
          <w:docGrid w:type="lines" w:linePitch="312" w:charSpace="0"/>
        </w:sectPr>
      </w:pPr>
    </w:p>
    <w:p w14:paraId="2EBA66C6">
      <w:pPr>
        <w:pStyle w:val="7"/>
        <w:bidi w:val="0"/>
        <w:rPr>
          <w:highlight w:val="none"/>
        </w:rPr>
      </w:pPr>
      <w:r>
        <w:rPr>
          <w:highlight w:val="none"/>
        </w:rPr>
        <w:t>表</w:t>
      </w:r>
      <w:r>
        <w:rPr>
          <w:rFonts w:hint="eastAsia"/>
          <w:highlight w:val="none"/>
          <w:lang w:val="en-US" w:eastAsia="zh-CN"/>
        </w:rPr>
        <w:t>5-2-2</w:t>
      </w:r>
      <w:r>
        <w:rPr>
          <w:highlight w:val="none"/>
        </w:rPr>
        <w:t>主要废气污染源参数一览表（点源）</w:t>
      </w:r>
    </w:p>
    <w:tbl>
      <w:tblPr>
        <w:tblStyle w:val="45"/>
        <w:tblpPr w:leftFromText="180" w:rightFromText="180" w:vertAnchor="text" w:tblpXSpec="center" w:tblpY="1"/>
        <w:tblOverlap w:val="never"/>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499"/>
        <w:gridCol w:w="1139"/>
        <w:gridCol w:w="1055"/>
        <w:gridCol w:w="1162"/>
        <w:gridCol w:w="1277"/>
        <w:gridCol w:w="847"/>
        <w:gridCol w:w="1133"/>
        <w:gridCol w:w="1133"/>
        <w:gridCol w:w="850"/>
        <w:gridCol w:w="990"/>
        <w:gridCol w:w="704"/>
        <w:gridCol w:w="850"/>
        <w:gridCol w:w="847"/>
        <w:gridCol w:w="854"/>
        <w:gridCol w:w="674"/>
      </w:tblGrid>
      <w:tr w14:paraId="0087EE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5" w:hRule="atLeast"/>
        </w:trPr>
        <w:tc>
          <w:tcPr>
            <w:tcW w:w="178" w:type="pct"/>
            <w:vMerge w:val="restart"/>
            <w:vAlign w:val="center"/>
          </w:tcPr>
          <w:p w14:paraId="0989AF11">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sz w:val="21"/>
                <w:szCs w:val="21"/>
                <w:highlight w:val="none"/>
              </w:rPr>
              <w:t>编号</w:t>
            </w:r>
          </w:p>
        </w:tc>
        <w:tc>
          <w:tcPr>
            <w:tcW w:w="406" w:type="pct"/>
            <w:vMerge w:val="restart"/>
            <w:vAlign w:val="center"/>
          </w:tcPr>
          <w:p w14:paraId="09CA9C71">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sz w:val="21"/>
                <w:szCs w:val="21"/>
                <w:highlight w:val="none"/>
              </w:rPr>
              <w:t>名称</w:t>
            </w:r>
          </w:p>
        </w:tc>
        <w:tc>
          <w:tcPr>
            <w:tcW w:w="790" w:type="pct"/>
            <w:gridSpan w:val="2"/>
            <w:vAlign w:val="center"/>
          </w:tcPr>
          <w:p w14:paraId="34418970">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sz w:val="21"/>
                <w:szCs w:val="21"/>
                <w:highlight w:val="none"/>
              </w:rPr>
              <w:t>排气筒底部中心坐标（</w:t>
            </w:r>
            <w:r>
              <w:rPr>
                <w:rFonts w:hint="default" w:eastAsiaTheme="minorEastAsia"/>
                <w:sz w:val="21"/>
                <w:szCs w:val="21"/>
                <w:highlight w:val="none"/>
                <w:vertAlign w:val="superscript"/>
              </w:rPr>
              <w:t>o</w:t>
            </w:r>
            <w:r>
              <w:rPr>
                <w:rFonts w:hint="default" w:hAnsiTheme="minorEastAsia" w:eastAsiaTheme="minorEastAsia"/>
                <w:sz w:val="21"/>
                <w:szCs w:val="21"/>
                <w:highlight w:val="none"/>
              </w:rPr>
              <w:t>）</w:t>
            </w:r>
          </w:p>
        </w:tc>
        <w:tc>
          <w:tcPr>
            <w:tcW w:w="455" w:type="pct"/>
            <w:vMerge w:val="restart"/>
            <w:vAlign w:val="center"/>
          </w:tcPr>
          <w:p w14:paraId="499A6809">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sz w:val="21"/>
                <w:szCs w:val="21"/>
                <w:highlight w:val="none"/>
              </w:rPr>
              <w:t>排气筒底部海拔高度（</w:t>
            </w:r>
            <w:r>
              <w:rPr>
                <w:rFonts w:hint="default" w:eastAsiaTheme="minorEastAsia"/>
                <w:sz w:val="21"/>
                <w:szCs w:val="21"/>
                <w:highlight w:val="none"/>
              </w:rPr>
              <w:t>m</w:t>
            </w:r>
            <w:r>
              <w:rPr>
                <w:rFonts w:hint="default" w:hAnsiTheme="minorEastAsia" w:eastAsiaTheme="minorEastAsia"/>
                <w:sz w:val="21"/>
                <w:szCs w:val="21"/>
                <w:highlight w:val="none"/>
              </w:rPr>
              <w:t>）</w:t>
            </w:r>
          </w:p>
        </w:tc>
        <w:tc>
          <w:tcPr>
            <w:tcW w:w="302" w:type="pct"/>
            <w:vMerge w:val="restart"/>
            <w:vAlign w:val="center"/>
          </w:tcPr>
          <w:p w14:paraId="1B90222C">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sz w:val="21"/>
                <w:szCs w:val="21"/>
                <w:highlight w:val="none"/>
              </w:rPr>
              <w:t>排气筒高度（</w:t>
            </w:r>
            <w:r>
              <w:rPr>
                <w:rFonts w:hint="default" w:eastAsiaTheme="minorEastAsia"/>
                <w:sz w:val="21"/>
                <w:szCs w:val="21"/>
                <w:highlight w:val="none"/>
              </w:rPr>
              <w:t>m</w:t>
            </w:r>
            <w:r>
              <w:rPr>
                <w:rFonts w:hint="default" w:hAnsiTheme="minorEastAsia" w:eastAsiaTheme="minorEastAsia"/>
                <w:sz w:val="21"/>
                <w:szCs w:val="21"/>
                <w:highlight w:val="none"/>
              </w:rPr>
              <w:t>）</w:t>
            </w:r>
          </w:p>
        </w:tc>
        <w:tc>
          <w:tcPr>
            <w:tcW w:w="404" w:type="pct"/>
            <w:vMerge w:val="restart"/>
            <w:vAlign w:val="center"/>
          </w:tcPr>
          <w:p w14:paraId="54239E02">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sz w:val="21"/>
                <w:szCs w:val="21"/>
                <w:highlight w:val="none"/>
              </w:rPr>
              <w:t>排气筒出口内径（</w:t>
            </w:r>
            <w:r>
              <w:rPr>
                <w:rFonts w:hint="default" w:eastAsiaTheme="minorEastAsia"/>
                <w:sz w:val="21"/>
                <w:szCs w:val="21"/>
                <w:highlight w:val="none"/>
              </w:rPr>
              <w:t>m</w:t>
            </w:r>
            <w:r>
              <w:rPr>
                <w:rFonts w:hint="default" w:hAnsiTheme="minorEastAsia" w:eastAsiaTheme="minorEastAsia"/>
                <w:sz w:val="21"/>
                <w:szCs w:val="21"/>
                <w:highlight w:val="none"/>
              </w:rPr>
              <w:t>）</w:t>
            </w:r>
          </w:p>
        </w:tc>
        <w:tc>
          <w:tcPr>
            <w:tcW w:w="404" w:type="pct"/>
            <w:vMerge w:val="restart"/>
            <w:vAlign w:val="center"/>
          </w:tcPr>
          <w:p w14:paraId="5069C94C">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sz w:val="21"/>
                <w:szCs w:val="21"/>
                <w:highlight w:val="none"/>
              </w:rPr>
              <w:t>烟气</w:t>
            </w:r>
          </w:p>
          <w:p w14:paraId="1FBB003C">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sz w:val="21"/>
                <w:szCs w:val="21"/>
                <w:highlight w:val="none"/>
              </w:rPr>
              <w:t>流速（</w:t>
            </w:r>
            <w:r>
              <w:rPr>
                <w:rFonts w:hint="default" w:eastAsiaTheme="minorEastAsia"/>
                <w:sz w:val="21"/>
                <w:szCs w:val="21"/>
                <w:highlight w:val="none"/>
              </w:rPr>
              <w:t>m/s</w:t>
            </w:r>
            <w:r>
              <w:rPr>
                <w:rFonts w:hint="default" w:hAnsiTheme="minorEastAsia" w:eastAsiaTheme="minorEastAsia"/>
                <w:sz w:val="21"/>
                <w:szCs w:val="21"/>
                <w:highlight w:val="none"/>
              </w:rPr>
              <w:t>）</w:t>
            </w:r>
          </w:p>
        </w:tc>
        <w:tc>
          <w:tcPr>
            <w:tcW w:w="303" w:type="pct"/>
            <w:vMerge w:val="restart"/>
            <w:vAlign w:val="center"/>
          </w:tcPr>
          <w:p w14:paraId="530C56F8">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sz w:val="21"/>
                <w:szCs w:val="21"/>
                <w:highlight w:val="none"/>
              </w:rPr>
              <w:t>烟气温度</w:t>
            </w:r>
          </w:p>
          <w:p w14:paraId="325E18A9">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w:t>
            </w:r>
          </w:p>
        </w:tc>
        <w:tc>
          <w:tcPr>
            <w:tcW w:w="353" w:type="pct"/>
            <w:vMerge w:val="restart"/>
            <w:vAlign w:val="center"/>
          </w:tcPr>
          <w:p w14:paraId="46F9F822">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sz w:val="21"/>
                <w:szCs w:val="21"/>
                <w:highlight w:val="none"/>
              </w:rPr>
              <w:t>年排放小时数（</w:t>
            </w:r>
            <w:r>
              <w:rPr>
                <w:rFonts w:hint="default" w:eastAsiaTheme="minorEastAsia"/>
                <w:sz w:val="21"/>
                <w:szCs w:val="21"/>
                <w:highlight w:val="none"/>
              </w:rPr>
              <w:t>h</w:t>
            </w:r>
            <w:r>
              <w:rPr>
                <w:rFonts w:hint="default" w:hAnsiTheme="minorEastAsia" w:eastAsiaTheme="minorEastAsia"/>
                <w:sz w:val="21"/>
                <w:szCs w:val="21"/>
                <w:highlight w:val="none"/>
              </w:rPr>
              <w:t>）</w:t>
            </w:r>
          </w:p>
        </w:tc>
        <w:tc>
          <w:tcPr>
            <w:tcW w:w="251" w:type="pct"/>
            <w:vMerge w:val="restart"/>
            <w:vAlign w:val="center"/>
          </w:tcPr>
          <w:p w14:paraId="018173FA">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hAnsiTheme="minorEastAsia" w:eastAsiaTheme="minorEastAsia"/>
                <w:sz w:val="21"/>
                <w:szCs w:val="21"/>
                <w:highlight w:val="none"/>
              </w:rPr>
              <w:t>排放工况</w:t>
            </w:r>
          </w:p>
        </w:tc>
        <w:tc>
          <w:tcPr>
            <w:tcW w:w="1149" w:type="pct"/>
            <w:gridSpan w:val="4"/>
            <w:vMerge w:val="restart"/>
            <w:vAlign w:val="center"/>
          </w:tcPr>
          <w:p w14:paraId="7C2F3957">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hAnsiTheme="minorEastAsia" w:eastAsiaTheme="minorEastAsia"/>
                <w:sz w:val="21"/>
                <w:szCs w:val="21"/>
                <w:highlight w:val="none"/>
              </w:rPr>
              <w:t>污染物排放速率（</w:t>
            </w:r>
            <w:r>
              <w:rPr>
                <w:rFonts w:hint="default" w:eastAsiaTheme="minorEastAsia"/>
                <w:sz w:val="21"/>
                <w:szCs w:val="21"/>
                <w:highlight w:val="none"/>
              </w:rPr>
              <w:t>kg/h</w:t>
            </w:r>
            <w:r>
              <w:rPr>
                <w:rFonts w:hint="default" w:hAnsiTheme="minorEastAsia" w:eastAsiaTheme="minorEastAsia"/>
                <w:sz w:val="21"/>
                <w:szCs w:val="21"/>
                <w:highlight w:val="none"/>
              </w:rPr>
              <w:t>）</w:t>
            </w:r>
          </w:p>
        </w:tc>
      </w:tr>
      <w:tr w14:paraId="3B0DB7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72" w:hRule="atLeast"/>
        </w:trPr>
        <w:tc>
          <w:tcPr>
            <w:tcW w:w="178" w:type="pct"/>
            <w:vMerge w:val="continue"/>
            <w:vAlign w:val="center"/>
          </w:tcPr>
          <w:p w14:paraId="1B5D9291">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406" w:type="pct"/>
            <w:vMerge w:val="continue"/>
            <w:vAlign w:val="center"/>
          </w:tcPr>
          <w:p w14:paraId="3ACFB2E2">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376" w:type="pct"/>
            <w:vMerge w:val="restart"/>
            <w:vAlign w:val="center"/>
          </w:tcPr>
          <w:p w14:paraId="72A3A32F">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sz w:val="21"/>
                <w:szCs w:val="21"/>
                <w:highlight w:val="none"/>
              </w:rPr>
              <w:t>经度</w:t>
            </w:r>
          </w:p>
        </w:tc>
        <w:tc>
          <w:tcPr>
            <w:tcW w:w="414" w:type="pct"/>
            <w:vMerge w:val="restart"/>
            <w:vAlign w:val="center"/>
          </w:tcPr>
          <w:p w14:paraId="2713A77E">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sz w:val="21"/>
                <w:szCs w:val="21"/>
                <w:highlight w:val="none"/>
              </w:rPr>
              <w:t>纬度</w:t>
            </w:r>
          </w:p>
        </w:tc>
        <w:tc>
          <w:tcPr>
            <w:tcW w:w="455" w:type="pct"/>
            <w:vMerge w:val="continue"/>
            <w:vAlign w:val="center"/>
          </w:tcPr>
          <w:p w14:paraId="64ACA687">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302" w:type="pct"/>
            <w:vMerge w:val="continue"/>
            <w:vAlign w:val="center"/>
          </w:tcPr>
          <w:p w14:paraId="4B8C79C9">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404" w:type="pct"/>
            <w:vMerge w:val="continue"/>
            <w:vAlign w:val="center"/>
          </w:tcPr>
          <w:p w14:paraId="189B160F">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404" w:type="pct"/>
            <w:vMerge w:val="continue"/>
            <w:vAlign w:val="center"/>
          </w:tcPr>
          <w:p w14:paraId="4D5176FD">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303" w:type="pct"/>
            <w:vMerge w:val="continue"/>
            <w:vAlign w:val="center"/>
          </w:tcPr>
          <w:p w14:paraId="5FCA6080">
            <w:pPr>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353" w:type="pct"/>
            <w:vMerge w:val="continue"/>
            <w:vAlign w:val="center"/>
          </w:tcPr>
          <w:p w14:paraId="585039E2">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251" w:type="pct"/>
            <w:vMerge w:val="continue"/>
            <w:vAlign w:val="center"/>
          </w:tcPr>
          <w:p w14:paraId="50E5F7F0">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1149" w:type="pct"/>
            <w:gridSpan w:val="4"/>
            <w:vMerge w:val="continue"/>
            <w:vAlign w:val="center"/>
          </w:tcPr>
          <w:p w14:paraId="49A16CAD">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r>
      <w:tr w14:paraId="0789A6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3" w:hRule="atLeast"/>
        </w:trPr>
        <w:tc>
          <w:tcPr>
            <w:tcW w:w="178" w:type="pct"/>
            <w:vMerge w:val="continue"/>
            <w:vAlign w:val="center"/>
          </w:tcPr>
          <w:p w14:paraId="78AB5E15">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406" w:type="pct"/>
            <w:vMerge w:val="continue"/>
            <w:vAlign w:val="center"/>
          </w:tcPr>
          <w:p w14:paraId="739883F8">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376" w:type="pct"/>
            <w:vMerge w:val="continue"/>
            <w:vAlign w:val="center"/>
          </w:tcPr>
          <w:p w14:paraId="147B4817">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414" w:type="pct"/>
            <w:vMerge w:val="continue"/>
            <w:vAlign w:val="center"/>
          </w:tcPr>
          <w:p w14:paraId="0F82FF33">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455" w:type="pct"/>
            <w:vMerge w:val="continue"/>
            <w:vAlign w:val="center"/>
          </w:tcPr>
          <w:p w14:paraId="7C0815D7">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302" w:type="pct"/>
            <w:vMerge w:val="continue"/>
            <w:vAlign w:val="center"/>
          </w:tcPr>
          <w:p w14:paraId="5E8B66D2">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404" w:type="pct"/>
            <w:vMerge w:val="continue"/>
            <w:vAlign w:val="center"/>
          </w:tcPr>
          <w:p w14:paraId="48846E78">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404" w:type="pct"/>
            <w:vMerge w:val="continue"/>
            <w:vAlign w:val="center"/>
          </w:tcPr>
          <w:p w14:paraId="5E524840">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303" w:type="pct"/>
            <w:vMerge w:val="continue"/>
            <w:vAlign w:val="center"/>
          </w:tcPr>
          <w:p w14:paraId="29F8E077">
            <w:pPr>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353" w:type="pct"/>
            <w:vMerge w:val="continue"/>
            <w:vAlign w:val="center"/>
          </w:tcPr>
          <w:p w14:paraId="24B05C26">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251" w:type="pct"/>
            <w:vMerge w:val="continue"/>
            <w:vAlign w:val="center"/>
          </w:tcPr>
          <w:p w14:paraId="5F14E1A8">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303" w:type="pct"/>
            <w:vAlign w:val="center"/>
          </w:tcPr>
          <w:p w14:paraId="1C840CC0">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NMHC</w:t>
            </w:r>
          </w:p>
        </w:tc>
        <w:tc>
          <w:tcPr>
            <w:tcW w:w="302" w:type="pct"/>
            <w:vAlign w:val="center"/>
          </w:tcPr>
          <w:p w14:paraId="357AE520">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eastAsia" w:eastAsiaTheme="minorEastAsia"/>
                <w:sz w:val="21"/>
                <w:szCs w:val="21"/>
                <w:highlight w:val="none"/>
              </w:rPr>
              <w:t>NO</w:t>
            </w:r>
            <w:r>
              <w:rPr>
                <w:rFonts w:hint="eastAsia" w:eastAsiaTheme="minorEastAsia"/>
                <w:sz w:val="21"/>
                <w:szCs w:val="21"/>
                <w:highlight w:val="none"/>
                <w:vertAlign w:val="subscript"/>
              </w:rPr>
              <w:t>X</w:t>
            </w:r>
          </w:p>
        </w:tc>
        <w:tc>
          <w:tcPr>
            <w:tcW w:w="304" w:type="pct"/>
            <w:vAlign w:val="center"/>
          </w:tcPr>
          <w:p w14:paraId="4C8F7933">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eastAsia" w:eastAsiaTheme="minorEastAsia"/>
                <w:sz w:val="21"/>
                <w:szCs w:val="21"/>
                <w:highlight w:val="none"/>
              </w:rPr>
              <w:t>CO</w:t>
            </w:r>
          </w:p>
        </w:tc>
        <w:tc>
          <w:tcPr>
            <w:tcW w:w="239" w:type="pct"/>
            <w:vAlign w:val="center"/>
          </w:tcPr>
          <w:p w14:paraId="31F283D0">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eastAsia" w:eastAsiaTheme="minorEastAsia"/>
                <w:sz w:val="21"/>
                <w:szCs w:val="21"/>
                <w:highlight w:val="none"/>
              </w:rPr>
              <w:t>PM</w:t>
            </w:r>
            <w:r>
              <w:rPr>
                <w:rFonts w:hint="eastAsia" w:eastAsiaTheme="minorEastAsia"/>
                <w:sz w:val="21"/>
                <w:szCs w:val="21"/>
                <w:highlight w:val="none"/>
                <w:vertAlign w:val="subscript"/>
              </w:rPr>
              <w:t>10</w:t>
            </w:r>
          </w:p>
        </w:tc>
      </w:tr>
      <w:tr w14:paraId="49F2CA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57" w:hRule="atLeast"/>
        </w:trPr>
        <w:tc>
          <w:tcPr>
            <w:tcW w:w="178" w:type="pct"/>
            <w:vAlign w:val="center"/>
          </w:tcPr>
          <w:p w14:paraId="622C9159">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sz w:val="21"/>
                <w:szCs w:val="21"/>
                <w:highlight w:val="none"/>
              </w:rPr>
            </w:pPr>
            <w:r>
              <w:rPr>
                <w:rFonts w:hint="default" w:eastAsiaTheme="minorEastAsia"/>
                <w:bCs/>
                <w:sz w:val="21"/>
                <w:szCs w:val="21"/>
                <w:highlight w:val="none"/>
              </w:rPr>
              <w:t>1</w:t>
            </w:r>
          </w:p>
        </w:tc>
        <w:tc>
          <w:tcPr>
            <w:tcW w:w="406" w:type="pct"/>
            <w:vAlign w:val="center"/>
          </w:tcPr>
          <w:p w14:paraId="537B35EF">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sz w:val="21"/>
                <w:szCs w:val="21"/>
                <w:highlight w:val="none"/>
              </w:rPr>
            </w:pPr>
            <w:r>
              <w:rPr>
                <w:rFonts w:hint="default" w:hAnsiTheme="minorEastAsia" w:eastAsiaTheme="minorEastAsia"/>
                <w:bCs/>
                <w:sz w:val="21"/>
                <w:szCs w:val="21"/>
                <w:highlight w:val="none"/>
              </w:rPr>
              <w:t>热试验</w:t>
            </w:r>
            <w:r>
              <w:rPr>
                <w:rFonts w:hint="eastAsia" w:hAnsiTheme="minorEastAsia" w:eastAsiaTheme="minorEastAsia"/>
                <w:bCs/>
                <w:sz w:val="21"/>
                <w:szCs w:val="21"/>
                <w:highlight w:val="none"/>
              </w:rPr>
              <w:t>DA0</w:t>
            </w:r>
            <w:r>
              <w:rPr>
                <w:rFonts w:hint="eastAsia" w:hAnsiTheme="minorEastAsia" w:eastAsiaTheme="minorEastAsia"/>
                <w:bCs/>
                <w:sz w:val="21"/>
                <w:szCs w:val="21"/>
                <w:highlight w:val="none"/>
                <w:lang w:val="en-US" w:eastAsia="zh-CN"/>
              </w:rPr>
              <w:t>64</w:t>
            </w:r>
            <w:r>
              <w:rPr>
                <w:rFonts w:hint="eastAsia" w:hAnsiTheme="minorEastAsia" w:eastAsiaTheme="minorEastAsia"/>
                <w:bCs/>
                <w:sz w:val="21"/>
                <w:szCs w:val="21"/>
                <w:highlight w:val="none"/>
              </w:rPr>
              <w:t>排气筒</w:t>
            </w:r>
          </w:p>
        </w:tc>
        <w:tc>
          <w:tcPr>
            <w:tcW w:w="376" w:type="pct"/>
            <w:vAlign w:val="center"/>
          </w:tcPr>
          <w:p w14:paraId="74AA019D">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eastAsia" w:eastAsiaTheme="minorEastAsia"/>
                <w:sz w:val="21"/>
                <w:szCs w:val="21"/>
                <w:highlight w:val="none"/>
              </w:rPr>
              <w:t>126.659182764</w:t>
            </w:r>
          </w:p>
        </w:tc>
        <w:tc>
          <w:tcPr>
            <w:tcW w:w="414" w:type="pct"/>
            <w:vAlign w:val="center"/>
          </w:tcPr>
          <w:p w14:paraId="066314EC">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eastAsia" w:eastAsiaTheme="minorEastAsia"/>
                <w:sz w:val="21"/>
                <w:szCs w:val="21"/>
                <w:highlight w:val="none"/>
              </w:rPr>
              <w:t>45.607676418</w:t>
            </w:r>
          </w:p>
        </w:tc>
        <w:tc>
          <w:tcPr>
            <w:tcW w:w="455" w:type="pct"/>
            <w:vAlign w:val="center"/>
          </w:tcPr>
          <w:p w14:paraId="735E7736">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181</w:t>
            </w:r>
          </w:p>
        </w:tc>
        <w:tc>
          <w:tcPr>
            <w:tcW w:w="302" w:type="pct"/>
            <w:vAlign w:val="center"/>
          </w:tcPr>
          <w:p w14:paraId="66719B4E">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23</w:t>
            </w:r>
          </w:p>
        </w:tc>
        <w:tc>
          <w:tcPr>
            <w:tcW w:w="404" w:type="pct"/>
            <w:vAlign w:val="center"/>
          </w:tcPr>
          <w:p w14:paraId="2BE13886">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w:t>
            </w:r>
            <w:r>
              <w:rPr>
                <w:rFonts w:hint="eastAsia" w:eastAsiaTheme="minorEastAsia"/>
                <w:sz w:val="21"/>
                <w:szCs w:val="21"/>
                <w:highlight w:val="none"/>
              </w:rPr>
              <w:t>5</w:t>
            </w:r>
          </w:p>
        </w:tc>
        <w:tc>
          <w:tcPr>
            <w:tcW w:w="404" w:type="pct"/>
            <w:vAlign w:val="center"/>
          </w:tcPr>
          <w:p w14:paraId="26F540C3">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15.74</w:t>
            </w:r>
          </w:p>
        </w:tc>
        <w:tc>
          <w:tcPr>
            <w:tcW w:w="303" w:type="pct"/>
            <w:vAlign w:val="center"/>
          </w:tcPr>
          <w:p w14:paraId="4CDD9168">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28.8</w:t>
            </w:r>
          </w:p>
        </w:tc>
        <w:tc>
          <w:tcPr>
            <w:tcW w:w="353" w:type="pct"/>
            <w:vAlign w:val="center"/>
          </w:tcPr>
          <w:p w14:paraId="2BB6FFB0">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2000</w:t>
            </w:r>
          </w:p>
        </w:tc>
        <w:tc>
          <w:tcPr>
            <w:tcW w:w="251" w:type="pct"/>
            <w:vMerge w:val="restart"/>
            <w:vAlign w:val="center"/>
          </w:tcPr>
          <w:p w14:paraId="7822053B">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sz w:val="21"/>
                <w:szCs w:val="21"/>
                <w:highlight w:val="none"/>
              </w:rPr>
              <w:t>正常排放工况</w:t>
            </w:r>
          </w:p>
        </w:tc>
        <w:tc>
          <w:tcPr>
            <w:tcW w:w="303" w:type="pct"/>
            <w:vAlign w:val="center"/>
          </w:tcPr>
          <w:p w14:paraId="24AB6B7D">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302" w:type="pct"/>
            <w:vAlign w:val="center"/>
          </w:tcPr>
          <w:p w14:paraId="5BEB4C59">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304" w:type="pct"/>
            <w:vAlign w:val="center"/>
          </w:tcPr>
          <w:p w14:paraId="1D218554">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239" w:type="pct"/>
            <w:vAlign w:val="center"/>
          </w:tcPr>
          <w:p w14:paraId="620E70D4">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r>
      <w:tr w14:paraId="2D8BCE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57" w:hRule="atLeast"/>
        </w:trPr>
        <w:tc>
          <w:tcPr>
            <w:tcW w:w="178" w:type="pct"/>
            <w:vAlign w:val="center"/>
          </w:tcPr>
          <w:p w14:paraId="5854FF86">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sz w:val="21"/>
                <w:szCs w:val="21"/>
                <w:highlight w:val="none"/>
              </w:rPr>
            </w:pPr>
            <w:r>
              <w:rPr>
                <w:rFonts w:hint="eastAsia" w:eastAsiaTheme="minorEastAsia"/>
                <w:bCs/>
                <w:sz w:val="21"/>
                <w:szCs w:val="21"/>
                <w:highlight w:val="none"/>
              </w:rPr>
              <w:t>2</w:t>
            </w:r>
          </w:p>
        </w:tc>
        <w:tc>
          <w:tcPr>
            <w:tcW w:w="406" w:type="pct"/>
            <w:vAlign w:val="center"/>
          </w:tcPr>
          <w:p w14:paraId="46ABB142">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bCs/>
                <w:sz w:val="21"/>
                <w:szCs w:val="21"/>
                <w:highlight w:val="none"/>
              </w:rPr>
            </w:pPr>
            <w:r>
              <w:rPr>
                <w:rFonts w:hint="default" w:hAnsiTheme="minorEastAsia" w:eastAsiaTheme="minorEastAsia"/>
                <w:bCs/>
                <w:sz w:val="21"/>
                <w:szCs w:val="21"/>
                <w:highlight w:val="none"/>
              </w:rPr>
              <w:t>机加生产线</w:t>
            </w:r>
            <w:r>
              <w:rPr>
                <w:rFonts w:hint="default" w:eastAsiaTheme="minorEastAsia"/>
                <w:bCs/>
                <w:sz w:val="21"/>
                <w:szCs w:val="21"/>
                <w:highlight w:val="none"/>
              </w:rPr>
              <w:t>DA0</w:t>
            </w:r>
            <w:r>
              <w:rPr>
                <w:rFonts w:hint="eastAsia" w:eastAsiaTheme="minorEastAsia"/>
                <w:bCs/>
                <w:sz w:val="21"/>
                <w:szCs w:val="21"/>
                <w:highlight w:val="none"/>
                <w:lang w:val="en-US" w:eastAsia="zh-CN"/>
              </w:rPr>
              <w:t>65</w:t>
            </w:r>
            <w:r>
              <w:rPr>
                <w:rFonts w:hint="default" w:hAnsiTheme="minorEastAsia" w:eastAsiaTheme="minorEastAsia"/>
                <w:bCs/>
                <w:sz w:val="21"/>
                <w:szCs w:val="21"/>
                <w:highlight w:val="none"/>
              </w:rPr>
              <w:t>排气筒</w:t>
            </w:r>
          </w:p>
        </w:tc>
        <w:tc>
          <w:tcPr>
            <w:tcW w:w="376" w:type="pct"/>
            <w:shd w:val="clear" w:color="auto" w:fill="auto"/>
            <w:vAlign w:val="center"/>
          </w:tcPr>
          <w:p w14:paraId="0D58B46B">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kern w:val="2"/>
                <w:sz w:val="21"/>
                <w:szCs w:val="21"/>
                <w:highlight w:val="none"/>
                <w:lang w:val="en-US" w:eastAsia="zh-CN" w:bidi="ar-SA"/>
              </w:rPr>
            </w:pPr>
            <w:r>
              <w:rPr>
                <w:rFonts w:hint="eastAsia" w:eastAsiaTheme="minorEastAsia"/>
                <w:sz w:val="21"/>
                <w:szCs w:val="21"/>
                <w:highlight w:val="none"/>
              </w:rPr>
              <w:t>126.655921198</w:t>
            </w:r>
          </w:p>
        </w:tc>
        <w:tc>
          <w:tcPr>
            <w:tcW w:w="414" w:type="pct"/>
            <w:shd w:val="clear" w:color="auto" w:fill="auto"/>
            <w:vAlign w:val="center"/>
          </w:tcPr>
          <w:p w14:paraId="6A3D520F">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kern w:val="2"/>
                <w:sz w:val="21"/>
                <w:szCs w:val="21"/>
                <w:highlight w:val="none"/>
                <w:lang w:val="en-US" w:eastAsia="zh-CN" w:bidi="ar-SA"/>
              </w:rPr>
            </w:pPr>
            <w:r>
              <w:rPr>
                <w:rFonts w:hint="eastAsia" w:eastAsiaTheme="minorEastAsia"/>
                <w:sz w:val="21"/>
                <w:szCs w:val="21"/>
                <w:highlight w:val="none"/>
              </w:rPr>
              <w:t>45.607526214</w:t>
            </w:r>
          </w:p>
        </w:tc>
        <w:tc>
          <w:tcPr>
            <w:tcW w:w="455" w:type="pct"/>
            <w:vAlign w:val="center"/>
          </w:tcPr>
          <w:p w14:paraId="6A50C624">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179</w:t>
            </w:r>
          </w:p>
        </w:tc>
        <w:tc>
          <w:tcPr>
            <w:tcW w:w="302" w:type="pct"/>
            <w:vAlign w:val="center"/>
          </w:tcPr>
          <w:p w14:paraId="684CBCF4">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23</w:t>
            </w:r>
          </w:p>
        </w:tc>
        <w:tc>
          <w:tcPr>
            <w:tcW w:w="404" w:type="pct"/>
            <w:vAlign w:val="center"/>
          </w:tcPr>
          <w:p w14:paraId="23F0C37D">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eastAsia" w:eastAsiaTheme="minorEastAsia"/>
                <w:sz w:val="21"/>
                <w:szCs w:val="21"/>
                <w:highlight w:val="none"/>
              </w:rPr>
              <w:t>0.5</w:t>
            </w:r>
          </w:p>
        </w:tc>
        <w:tc>
          <w:tcPr>
            <w:tcW w:w="404" w:type="pct"/>
            <w:vAlign w:val="center"/>
          </w:tcPr>
          <w:p w14:paraId="7DF74B3D">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16.83</w:t>
            </w:r>
          </w:p>
        </w:tc>
        <w:tc>
          <w:tcPr>
            <w:tcW w:w="303" w:type="pct"/>
            <w:vAlign w:val="center"/>
          </w:tcPr>
          <w:p w14:paraId="4A34611E">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15</w:t>
            </w:r>
          </w:p>
        </w:tc>
        <w:tc>
          <w:tcPr>
            <w:tcW w:w="353" w:type="pct"/>
            <w:vAlign w:val="center"/>
          </w:tcPr>
          <w:p w14:paraId="172723BC">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2000</w:t>
            </w:r>
          </w:p>
        </w:tc>
        <w:tc>
          <w:tcPr>
            <w:tcW w:w="251" w:type="pct"/>
            <w:vMerge w:val="continue"/>
            <w:vAlign w:val="center"/>
          </w:tcPr>
          <w:p w14:paraId="180BF961">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sz w:val="21"/>
                <w:szCs w:val="21"/>
                <w:highlight w:val="none"/>
              </w:rPr>
            </w:pPr>
          </w:p>
        </w:tc>
        <w:tc>
          <w:tcPr>
            <w:tcW w:w="303" w:type="pct"/>
            <w:vAlign w:val="center"/>
          </w:tcPr>
          <w:p w14:paraId="4930E048">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302" w:type="pct"/>
            <w:vAlign w:val="center"/>
          </w:tcPr>
          <w:p w14:paraId="48BFFF94">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eastAsia" w:eastAsiaTheme="minorEastAsia"/>
                <w:sz w:val="21"/>
                <w:szCs w:val="21"/>
                <w:highlight w:val="none"/>
              </w:rPr>
              <w:t>/</w:t>
            </w:r>
          </w:p>
        </w:tc>
        <w:tc>
          <w:tcPr>
            <w:tcW w:w="304" w:type="pct"/>
            <w:vAlign w:val="center"/>
          </w:tcPr>
          <w:p w14:paraId="11A9BE56">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eastAsia" w:eastAsiaTheme="minorEastAsia"/>
                <w:sz w:val="21"/>
                <w:szCs w:val="21"/>
                <w:highlight w:val="none"/>
              </w:rPr>
              <w:t>/</w:t>
            </w:r>
          </w:p>
        </w:tc>
        <w:tc>
          <w:tcPr>
            <w:tcW w:w="239" w:type="pct"/>
            <w:vAlign w:val="center"/>
          </w:tcPr>
          <w:p w14:paraId="3B505EF4">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eastAsia" w:eastAsiaTheme="minorEastAsia"/>
                <w:sz w:val="21"/>
                <w:szCs w:val="21"/>
                <w:highlight w:val="none"/>
              </w:rPr>
              <w:t>/</w:t>
            </w:r>
          </w:p>
        </w:tc>
      </w:tr>
      <w:tr w14:paraId="0DD60C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57" w:hRule="atLeast"/>
        </w:trPr>
        <w:tc>
          <w:tcPr>
            <w:tcW w:w="178" w:type="pct"/>
            <w:vAlign w:val="center"/>
          </w:tcPr>
          <w:p w14:paraId="4D78B281">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Theme="minorEastAsia"/>
                <w:bCs/>
                <w:sz w:val="21"/>
                <w:szCs w:val="21"/>
                <w:highlight w:val="none"/>
                <w:lang w:val="en-US" w:eastAsia="zh-CN"/>
              </w:rPr>
            </w:pPr>
            <w:r>
              <w:rPr>
                <w:rFonts w:hint="eastAsia" w:eastAsiaTheme="minorEastAsia"/>
                <w:bCs/>
                <w:sz w:val="21"/>
                <w:szCs w:val="21"/>
                <w:highlight w:val="none"/>
                <w:lang w:val="en-US" w:eastAsia="zh-CN"/>
              </w:rPr>
              <w:t>3</w:t>
            </w:r>
          </w:p>
        </w:tc>
        <w:tc>
          <w:tcPr>
            <w:tcW w:w="406" w:type="pct"/>
            <w:vAlign w:val="center"/>
          </w:tcPr>
          <w:p w14:paraId="2E4DB3BD">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bCs/>
                <w:sz w:val="21"/>
                <w:szCs w:val="21"/>
                <w:highlight w:val="none"/>
              </w:rPr>
            </w:pPr>
            <w:r>
              <w:rPr>
                <w:rFonts w:hint="default" w:hAnsiTheme="minorEastAsia" w:eastAsiaTheme="minorEastAsia"/>
                <w:bCs/>
                <w:sz w:val="21"/>
                <w:szCs w:val="21"/>
                <w:highlight w:val="none"/>
              </w:rPr>
              <w:t>机加生产线</w:t>
            </w:r>
            <w:r>
              <w:rPr>
                <w:rFonts w:hint="default" w:eastAsiaTheme="minorEastAsia"/>
                <w:bCs/>
                <w:sz w:val="21"/>
                <w:szCs w:val="21"/>
                <w:highlight w:val="none"/>
              </w:rPr>
              <w:t>DA0</w:t>
            </w:r>
            <w:r>
              <w:rPr>
                <w:rFonts w:hint="eastAsia" w:eastAsiaTheme="minorEastAsia"/>
                <w:bCs/>
                <w:sz w:val="21"/>
                <w:szCs w:val="21"/>
                <w:highlight w:val="none"/>
                <w:lang w:val="en-US" w:eastAsia="zh-CN"/>
              </w:rPr>
              <w:t>66</w:t>
            </w:r>
            <w:r>
              <w:rPr>
                <w:rFonts w:hint="default" w:hAnsiTheme="minorEastAsia" w:eastAsiaTheme="minorEastAsia"/>
                <w:bCs/>
                <w:sz w:val="21"/>
                <w:szCs w:val="21"/>
                <w:highlight w:val="none"/>
              </w:rPr>
              <w:t>排气筒</w:t>
            </w:r>
          </w:p>
        </w:tc>
        <w:tc>
          <w:tcPr>
            <w:tcW w:w="376" w:type="pct"/>
            <w:shd w:val="clear" w:color="auto" w:fill="auto"/>
            <w:vAlign w:val="center"/>
          </w:tcPr>
          <w:p w14:paraId="4426B184">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kern w:val="2"/>
                <w:sz w:val="21"/>
                <w:szCs w:val="21"/>
                <w:highlight w:val="none"/>
                <w:lang w:val="en-US" w:eastAsia="zh-CN" w:bidi="ar-SA"/>
              </w:rPr>
            </w:pPr>
            <w:r>
              <w:rPr>
                <w:rFonts w:hint="eastAsia" w:eastAsiaTheme="minorEastAsia"/>
                <w:sz w:val="21"/>
                <w:szCs w:val="21"/>
                <w:highlight w:val="none"/>
              </w:rPr>
              <w:t>126.656457640</w:t>
            </w:r>
          </w:p>
        </w:tc>
        <w:tc>
          <w:tcPr>
            <w:tcW w:w="414" w:type="pct"/>
            <w:shd w:val="clear" w:color="auto" w:fill="auto"/>
            <w:vAlign w:val="center"/>
          </w:tcPr>
          <w:p w14:paraId="39615248">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kern w:val="2"/>
                <w:sz w:val="21"/>
                <w:szCs w:val="21"/>
                <w:highlight w:val="none"/>
                <w:lang w:val="en-US" w:eastAsia="zh-CN" w:bidi="ar-SA"/>
              </w:rPr>
            </w:pPr>
            <w:r>
              <w:rPr>
                <w:rFonts w:hint="eastAsia" w:eastAsiaTheme="minorEastAsia"/>
                <w:sz w:val="21"/>
                <w:szCs w:val="21"/>
                <w:highlight w:val="none"/>
              </w:rPr>
              <w:t>45.607740791</w:t>
            </w:r>
          </w:p>
        </w:tc>
        <w:tc>
          <w:tcPr>
            <w:tcW w:w="455" w:type="pct"/>
            <w:vAlign w:val="center"/>
          </w:tcPr>
          <w:p w14:paraId="3A60D99E">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179</w:t>
            </w:r>
          </w:p>
        </w:tc>
        <w:tc>
          <w:tcPr>
            <w:tcW w:w="302" w:type="pct"/>
            <w:vAlign w:val="center"/>
          </w:tcPr>
          <w:p w14:paraId="58EFE8B9">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23</w:t>
            </w:r>
          </w:p>
        </w:tc>
        <w:tc>
          <w:tcPr>
            <w:tcW w:w="404" w:type="pct"/>
            <w:vAlign w:val="center"/>
          </w:tcPr>
          <w:p w14:paraId="65232274">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Theme="minorEastAsia"/>
                <w:sz w:val="21"/>
                <w:szCs w:val="21"/>
                <w:highlight w:val="none"/>
              </w:rPr>
            </w:pPr>
            <w:r>
              <w:rPr>
                <w:rFonts w:hint="default" w:eastAsiaTheme="minorEastAsia"/>
                <w:sz w:val="21"/>
                <w:szCs w:val="21"/>
                <w:highlight w:val="none"/>
              </w:rPr>
              <w:t>0.</w:t>
            </w:r>
            <w:r>
              <w:rPr>
                <w:rFonts w:hint="eastAsia" w:eastAsiaTheme="minorEastAsia"/>
                <w:sz w:val="21"/>
                <w:szCs w:val="21"/>
                <w:highlight w:val="none"/>
              </w:rPr>
              <w:t>5</w:t>
            </w:r>
          </w:p>
        </w:tc>
        <w:tc>
          <w:tcPr>
            <w:tcW w:w="404" w:type="pct"/>
            <w:vAlign w:val="center"/>
          </w:tcPr>
          <w:p w14:paraId="05FE91D8">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17.56</w:t>
            </w:r>
          </w:p>
        </w:tc>
        <w:tc>
          <w:tcPr>
            <w:tcW w:w="303" w:type="pct"/>
            <w:vAlign w:val="center"/>
          </w:tcPr>
          <w:p w14:paraId="70B84A2E">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15</w:t>
            </w:r>
          </w:p>
        </w:tc>
        <w:tc>
          <w:tcPr>
            <w:tcW w:w="353" w:type="pct"/>
            <w:vAlign w:val="center"/>
          </w:tcPr>
          <w:p w14:paraId="636D17BA">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2000</w:t>
            </w:r>
          </w:p>
        </w:tc>
        <w:tc>
          <w:tcPr>
            <w:tcW w:w="251" w:type="pct"/>
            <w:vMerge w:val="continue"/>
            <w:vAlign w:val="center"/>
          </w:tcPr>
          <w:p w14:paraId="7F85F4B3">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sz w:val="21"/>
                <w:szCs w:val="21"/>
                <w:highlight w:val="none"/>
              </w:rPr>
            </w:pPr>
          </w:p>
        </w:tc>
        <w:tc>
          <w:tcPr>
            <w:tcW w:w="303" w:type="pct"/>
            <w:vAlign w:val="center"/>
          </w:tcPr>
          <w:p w14:paraId="56FBA475">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Theme="minorEastAsia"/>
                <w:sz w:val="21"/>
                <w:szCs w:val="21"/>
                <w:highlight w:val="none"/>
              </w:rPr>
            </w:pPr>
          </w:p>
        </w:tc>
        <w:tc>
          <w:tcPr>
            <w:tcW w:w="302" w:type="pct"/>
            <w:vAlign w:val="center"/>
          </w:tcPr>
          <w:p w14:paraId="62E5ECA7">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Theme="minorEastAsia"/>
                <w:sz w:val="21"/>
                <w:szCs w:val="21"/>
                <w:highlight w:val="none"/>
              </w:rPr>
            </w:pPr>
            <w:r>
              <w:rPr>
                <w:rFonts w:hint="eastAsia" w:eastAsiaTheme="minorEastAsia"/>
                <w:sz w:val="21"/>
                <w:szCs w:val="21"/>
                <w:highlight w:val="none"/>
              </w:rPr>
              <w:t>/</w:t>
            </w:r>
          </w:p>
        </w:tc>
        <w:tc>
          <w:tcPr>
            <w:tcW w:w="304" w:type="pct"/>
            <w:vAlign w:val="center"/>
          </w:tcPr>
          <w:p w14:paraId="751DAB7A">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Theme="minorEastAsia"/>
                <w:sz w:val="21"/>
                <w:szCs w:val="21"/>
                <w:highlight w:val="none"/>
              </w:rPr>
            </w:pPr>
            <w:r>
              <w:rPr>
                <w:rFonts w:hint="eastAsia" w:eastAsiaTheme="minorEastAsia"/>
                <w:sz w:val="21"/>
                <w:szCs w:val="21"/>
                <w:highlight w:val="none"/>
              </w:rPr>
              <w:t>/</w:t>
            </w:r>
          </w:p>
        </w:tc>
        <w:tc>
          <w:tcPr>
            <w:tcW w:w="239" w:type="pct"/>
            <w:vAlign w:val="center"/>
          </w:tcPr>
          <w:p w14:paraId="2FD85E3D">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Theme="minorEastAsia"/>
                <w:sz w:val="21"/>
                <w:szCs w:val="21"/>
                <w:highlight w:val="none"/>
              </w:rPr>
            </w:pPr>
            <w:r>
              <w:rPr>
                <w:rFonts w:hint="eastAsia" w:eastAsiaTheme="minorEastAsia"/>
                <w:sz w:val="21"/>
                <w:szCs w:val="21"/>
                <w:highlight w:val="none"/>
              </w:rPr>
              <w:t>/</w:t>
            </w:r>
          </w:p>
        </w:tc>
      </w:tr>
      <w:tr w14:paraId="4CDFDD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57" w:hRule="atLeast"/>
        </w:trPr>
        <w:tc>
          <w:tcPr>
            <w:tcW w:w="178" w:type="pct"/>
            <w:vAlign w:val="center"/>
          </w:tcPr>
          <w:p w14:paraId="4D825927">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Theme="minorEastAsia"/>
                <w:bCs/>
                <w:sz w:val="21"/>
                <w:szCs w:val="21"/>
                <w:highlight w:val="none"/>
                <w:lang w:val="en-US" w:eastAsia="zh-CN"/>
              </w:rPr>
            </w:pPr>
            <w:r>
              <w:rPr>
                <w:rFonts w:hint="eastAsia" w:eastAsiaTheme="minorEastAsia"/>
                <w:bCs/>
                <w:sz w:val="21"/>
                <w:szCs w:val="21"/>
                <w:highlight w:val="none"/>
                <w:lang w:val="en-US" w:eastAsia="zh-CN"/>
              </w:rPr>
              <w:t>4</w:t>
            </w:r>
          </w:p>
        </w:tc>
        <w:tc>
          <w:tcPr>
            <w:tcW w:w="406" w:type="pct"/>
            <w:vAlign w:val="center"/>
          </w:tcPr>
          <w:p w14:paraId="6345908B">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bCs/>
                <w:sz w:val="21"/>
                <w:szCs w:val="21"/>
                <w:highlight w:val="none"/>
                <w:lang w:val="en-US" w:eastAsia="zh-CN"/>
              </w:rPr>
            </w:pPr>
            <w:r>
              <w:rPr>
                <w:rFonts w:hint="eastAsia" w:hAnsiTheme="minorEastAsia" w:eastAsiaTheme="minorEastAsia"/>
                <w:bCs/>
                <w:sz w:val="21"/>
                <w:szCs w:val="21"/>
                <w:highlight w:val="none"/>
                <w:lang w:val="en-US" w:eastAsia="zh-CN"/>
              </w:rPr>
              <w:t>甩干生产线DA067排气筒</w:t>
            </w:r>
          </w:p>
        </w:tc>
        <w:tc>
          <w:tcPr>
            <w:tcW w:w="376" w:type="pct"/>
            <w:vAlign w:val="center"/>
          </w:tcPr>
          <w:p w14:paraId="6839CC51">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eastAsia" w:eastAsiaTheme="minorEastAsia"/>
                <w:sz w:val="21"/>
                <w:szCs w:val="21"/>
                <w:highlight w:val="none"/>
              </w:rPr>
              <w:t>126.661328532</w:t>
            </w:r>
          </w:p>
        </w:tc>
        <w:tc>
          <w:tcPr>
            <w:tcW w:w="414" w:type="pct"/>
            <w:vAlign w:val="center"/>
          </w:tcPr>
          <w:p w14:paraId="76D6A748">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eastAsia" w:eastAsiaTheme="minorEastAsia"/>
                <w:sz w:val="21"/>
                <w:szCs w:val="21"/>
                <w:highlight w:val="none"/>
              </w:rPr>
              <w:t>45.604607971</w:t>
            </w:r>
          </w:p>
        </w:tc>
        <w:tc>
          <w:tcPr>
            <w:tcW w:w="455" w:type="pct"/>
            <w:vAlign w:val="center"/>
          </w:tcPr>
          <w:p w14:paraId="1B82CEF7">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183</w:t>
            </w:r>
          </w:p>
        </w:tc>
        <w:tc>
          <w:tcPr>
            <w:tcW w:w="302" w:type="pct"/>
            <w:vAlign w:val="center"/>
          </w:tcPr>
          <w:p w14:paraId="71B3D26F">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23</w:t>
            </w:r>
          </w:p>
        </w:tc>
        <w:tc>
          <w:tcPr>
            <w:tcW w:w="404" w:type="pct"/>
            <w:vAlign w:val="center"/>
          </w:tcPr>
          <w:p w14:paraId="46217858">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Theme="minorEastAsia"/>
                <w:sz w:val="21"/>
                <w:szCs w:val="21"/>
                <w:highlight w:val="none"/>
              </w:rPr>
            </w:pPr>
            <w:r>
              <w:rPr>
                <w:rFonts w:hint="eastAsia" w:eastAsiaTheme="minorEastAsia"/>
                <w:sz w:val="21"/>
                <w:szCs w:val="21"/>
                <w:highlight w:val="none"/>
              </w:rPr>
              <w:t>0.5</w:t>
            </w:r>
          </w:p>
        </w:tc>
        <w:tc>
          <w:tcPr>
            <w:tcW w:w="404" w:type="pct"/>
            <w:vAlign w:val="center"/>
          </w:tcPr>
          <w:p w14:paraId="5B97C147">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15.99</w:t>
            </w:r>
          </w:p>
        </w:tc>
        <w:tc>
          <w:tcPr>
            <w:tcW w:w="303" w:type="pct"/>
            <w:vAlign w:val="center"/>
          </w:tcPr>
          <w:p w14:paraId="459E05B6">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15</w:t>
            </w:r>
          </w:p>
        </w:tc>
        <w:tc>
          <w:tcPr>
            <w:tcW w:w="353" w:type="pct"/>
            <w:vAlign w:val="center"/>
          </w:tcPr>
          <w:p w14:paraId="7540FE4C">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lang w:val="en-US" w:eastAsia="zh-CN"/>
              </w:rPr>
            </w:pPr>
            <w:r>
              <w:rPr>
                <w:rFonts w:hint="eastAsia" w:eastAsiaTheme="minorEastAsia"/>
                <w:sz w:val="21"/>
                <w:szCs w:val="21"/>
                <w:highlight w:val="none"/>
                <w:lang w:val="en-US" w:eastAsia="zh-CN"/>
              </w:rPr>
              <w:t>2000</w:t>
            </w:r>
          </w:p>
        </w:tc>
        <w:tc>
          <w:tcPr>
            <w:tcW w:w="251" w:type="pct"/>
            <w:vMerge w:val="continue"/>
            <w:vAlign w:val="center"/>
          </w:tcPr>
          <w:p w14:paraId="3BA0E824">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Theme="minorEastAsia" w:eastAsiaTheme="minorEastAsia"/>
                <w:sz w:val="21"/>
                <w:szCs w:val="21"/>
                <w:highlight w:val="none"/>
              </w:rPr>
            </w:pPr>
          </w:p>
        </w:tc>
        <w:tc>
          <w:tcPr>
            <w:tcW w:w="303" w:type="pct"/>
            <w:vAlign w:val="center"/>
          </w:tcPr>
          <w:p w14:paraId="6B06B88A">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Theme="minorEastAsia"/>
                <w:sz w:val="21"/>
                <w:szCs w:val="21"/>
                <w:highlight w:val="none"/>
              </w:rPr>
            </w:pPr>
          </w:p>
        </w:tc>
        <w:tc>
          <w:tcPr>
            <w:tcW w:w="302" w:type="pct"/>
            <w:vAlign w:val="center"/>
          </w:tcPr>
          <w:p w14:paraId="0B963DFA">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Theme="minorEastAsia"/>
                <w:sz w:val="21"/>
                <w:szCs w:val="21"/>
                <w:highlight w:val="none"/>
              </w:rPr>
            </w:pPr>
            <w:r>
              <w:rPr>
                <w:rFonts w:hint="eastAsia" w:eastAsiaTheme="minorEastAsia"/>
                <w:sz w:val="21"/>
                <w:szCs w:val="21"/>
                <w:highlight w:val="none"/>
              </w:rPr>
              <w:t>/</w:t>
            </w:r>
          </w:p>
        </w:tc>
        <w:tc>
          <w:tcPr>
            <w:tcW w:w="304" w:type="pct"/>
            <w:vAlign w:val="center"/>
          </w:tcPr>
          <w:p w14:paraId="782210C8">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Theme="minorEastAsia"/>
                <w:sz w:val="21"/>
                <w:szCs w:val="21"/>
                <w:highlight w:val="none"/>
              </w:rPr>
            </w:pPr>
            <w:r>
              <w:rPr>
                <w:rFonts w:hint="eastAsia" w:eastAsiaTheme="minorEastAsia"/>
                <w:sz w:val="21"/>
                <w:szCs w:val="21"/>
                <w:highlight w:val="none"/>
              </w:rPr>
              <w:t>/</w:t>
            </w:r>
          </w:p>
        </w:tc>
        <w:tc>
          <w:tcPr>
            <w:tcW w:w="239" w:type="pct"/>
            <w:vAlign w:val="center"/>
          </w:tcPr>
          <w:p w14:paraId="272D75D2">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Theme="minorEastAsia"/>
                <w:sz w:val="21"/>
                <w:szCs w:val="21"/>
                <w:highlight w:val="none"/>
              </w:rPr>
            </w:pPr>
          </w:p>
        </w:tc>
      </w:tr>
    </w:tbl>
    <w:p w14:paraId="2E9D3CD7">
      <w:pPr>
        <w:pStyle w:val="7"/>
        <w:bidi w:val="0"/>
        <w:rPr>
          <w:highlight w:val="none"/>
        </w:rPr>
      </w:pPr>
      <w:r>
        <w:rPr>
          <w:highlight w:val="none"/>
        </w:rPr>
        <w:t>表</w:t>
      </w:r>
      <w:r>
        <w:rPr>
          <w:rFonts w:hint="eastAsia"/>
          <w:highlight w:val="none"/>
          <w:lang w:val="en-US" w:eastAsia="zh-CN"/>
        </w:rPr>
        <w:t>5-2-3</w:t>
      </w:r>
      <w:r>
        <w:rPr>
          <w:highlight w:val="none"/>
        </w:rPr>
        <w:t>矩形面源参数表</w:t>
      </w:r>
    </w:p>
    <w:tbl>
      <w:tblPr>
        <w:tblStyle w:val="4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45"/>
        <w:gridCol w:w="1118"/>
        <w:gridCol w:w="1215"/>
        <w:gridCol w:w="1391"/>
        <w:gridCol w:w="1155"/>
        <w:gridCol w:w="915"/>
        <w:gridCol w:w="1040"/>
        <w:gridCol w:w="980"/>
        <w:gridCol w:w="1020"/>
        <w:gridCol w:w="980"/>
        <w:gridCol w:w="1090"/>
        <w:gridCol w:w="1362"/>
        <w:gridCol w:w="1363"/>
      </w:tblGrid>
      <w:tr w14:paraId="333CAA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 w:hRule="atLeast"/>
          <w:jc w:val="center"/>
        </w:trPr>
        <w:tc>
          <w:tcPr>
            <w:tcW w:w="192" w:type="pct"/>
            <w:vMerge w:val="restart"/>
            <w:vAlign w:val="center"/>
          </w:tcPr>
          <w:p w14:paraId="135639AA">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编号</w:t>
            </w:r>
          </w:p>
        </w:tc>
        <w:tc>
          <w:tcPr>
            <w:tcW w:w="394" w:type="pct"/>
            <w:vMerge w:val="restart"/>
            <w:vAlign w:val="center"/>
          </w:tcPr>
          <w:p w14:paraId="509A8596">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名称</w:t>
            </w:r>
          </w:p>
        </w:tc>
        <w:tc>
          <w:tcPr>
            <w:tcW w:w="919" w:type="pct"/>
            <w:gridSpan w:val="2"/>
            <w:vAlign w:val="center"/>
          </w:tcPr>
          <w:p w14:paraId="7A78B44E">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面源各顶点坐标（°）</w:t>
            </w:r>
          </w:p>
        </w:tc>
        <w:tc>
          <w:tcPr>
            <w:tcW w:w="407" w:type="pct"/>
            <w:vMerge w:val="restart"/>
            <w:vAlign w:val="center"/>
          </w:tcPr>
          <w:p w14:paraId="709AAD5C">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面源海拔高度（m）</w:t>
            </w:r>
          </w:p>
        </w:tc>
        <w:tc>
          <w:tcPr>
            <w:tcW w:w="322" w:type="pct"/>
            <w:vMerge w:val="restart"/>
            <w:vAlign w:val="center"/>
          </w:tcPr>
          <w:p w14:paraId="14005082">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面源长度（m）</w:t>
            </w:r>
          </w:p>
        </w:tc>
        <w:tc>
          <w:tcPr>
            <w:tcW w:w="366" w:type="pct"/>
            <w:vMerge w:val="restart"/>
            <w:vAlign w:val="center"/>
          </w:tcPr>
          <w:p w14:paraId="40C14C90">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面源宽度（m）</w:t>
            </w:r>
          </w:p>
        </w:tc>
        <w:tc>
          <w:tcPr>
            <w:tcW w:w="345" w:type="pct"/>
            <w:vMerge w:val="restart"/>
            <w:vAlign w:val="center"/>
          </w:tcPr>
          <w:p w14:paraId="2D6FC9C9">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与正北向夹角（°）</w:t>
            </w:r>
          </w:p>
        </w:tc>
        <w:tc>
          <w:tcPr>
            <w:tcW w:w="359" w:type="pct"/>
            <w:vMerge w:val="restart"/>
            <w:vAlign w:val="center"/>
          </w:tcPr>
          <w:p w14:paraId="70663325">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面源有效排放高度（m）</w:t>
            </w:r>
          </w:p>
        </w:tc>
        <w:tc>
          <w:tcPr>
            <w:tcW w:w="345" w:type="pct"/>
            <w:vMerge w:val="restart"/>
            <w:vAlign w:val="center"/>
          </w:tcPr>
          <w:p w14:paraId="1692DF26">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年排放小时数（h）</w:t>
            </w:r>
          </w:p>
        </w:tc>
        <w:tc>
          <w:tcPr>
            <w:tcW w:w="384" w:type="pct"/>
            <w:vMerge w:val="restart"/>
            <w:vAlign w:val="center"/>
          </w:tcPr>
          <w:p w14:paraId="37461F3C">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排放工况</w:t>
            </w:r>
          </w:p>
        </w:tc>
        <w:tc>
          <w:tcPr>
            <w:tcW w:w="961" w:type="pct"/>
            <w:gridSpan w:val="2"/>
            <w:vAlign w:val="center"/>
          </w:tcPr>
          <w:p w14:paraId="20E5217E">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污染物排放速率（kg/h）</w:t>
            </w:r>
          </w:p>
        </w:tc>
      </w:tr>
      <w:tr w14:paraId="136857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 w:hRule="atLeast"/>
          <w:jc w:val="center"/>
        </w:trPr>
        <w:tc>
          <w:tcPr>
            <w:tcW w:w="192" w:type="pct"/>
            <w:vMerge w:val="continue"/>
            <w:vAlign w:val="center"/>
          </w:tcPr>
          <w:p w14:paraId="0EF0C052">
            <w:pPr>
              <w:pStyle w:val="8"/>
              <w:suppressLineNumbers w:val="0"/>
              <w:bidi w:val="0"/>
              <w:spacing w:before="0" w:beforeAutospacing="0" w:after="0" w:afterAutospacing="0"/>
              <w:ind w:left="0" w:right="0"/>
              <w:rPr>
                <w:rFonts w:hint="default"/>
                <w:highlight w:val="none"/>
                <w:lang w:val="en-US" w:eastAsia="zh-CN"/>
              </w:rPr>
            </w:pPr>
          </w:p>
        </w:tc>
        <w:tc>
          <w:tcPr>
            <w:tcW w:w="394" w:type="pct"/>
            <w:vMerge w:val="continue"/>
            <w:vAlign w:val="center"/>
          </w:tcPr>
          <w:p w14:paraId="391F72AC">
            <w:pPr>
              <w:pStyle w:val="8"/>
              <w:suppressLineNumbers w:val="0"/>
              <w:bidi w:val="0"/>
              <w:spacing w:before="0" w:beforeAutospacing="0" w:after="0" w:afterAutospacing="0"/>
              <w:ind w:left="0" w:right="0"/>
              <w:rPr>
                <w:rFonts w:hint="default"/>
                <w:highlight w:val="none"/>
                <w:lang w:val="en-US" w:eastAsia="zh-CN"/>
              </w:rPr>
            </w:pPr>
          </w:p>
        </w:tc>
        <w:tc>
          <w:tcPr>
            <w:tcW w:w="428" w:type="pct"/>
            <w:vAlign w:val="center"/>
          </w:tcPr>
          <w:p w14:paraId="6CD86D7A">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经度</w:t>
            </w:r>
          </w:p>
        </w:tc>
        <w:tc>
          <w:tcPr>
            <w:tcW w:w="490" w:type="pct"/>
            <w:vAlign w:val="center"/>
          </w:tcPr>
          <w:p w14:paraId="092FE8CA">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纬度</w:t>
            </w:r>
          </w:p>
        </w:tc>
        <w:tc>
          <w:tcPr>
            <w:tcW w:w="407" w:type="pct"/>
            <w:vMerge w:val="continue"/>
            <w:vAlign w:val="center"/>
          </w:tcPr>
          <w:p w14:paraId="1B09E430">
            <w:pPr>
              <w:pStyle w:val="8"/>
              <w:suppressLineNumbers w:val="0"/>
              <w:bidi w:val="0"/>
              <w:spacing w:before="0" w:beforeAutospacing="0" w:after="0" w:afterAutospacing="0"/>
              <w:ind w:left="0" w:right="0"/>
              <w:rPr>
                <w:rFonts w:hint="default"/>
                <w:highlight w:val="none"/>
                <w:lang w:val="en-US" w:eastAsia="zh-CN"/>
              </w:rPr>
            </w:pPr>
          </w:p>
        </w:tc>
        <w:tc>
          <w:tcPr>
            <w:tcW w:w="322" w:type="pct"/>
            <w:vMerge w:val="continue"/>
            <w:vAlign w:val="center"/>
          </w:tcPr>
          <w:p w14:paraId="3A8E96FE">
            <w:pPr>
              <w:pStyle w:val="8"/>
              <w:suppressLineNumbers w:val="0"/>
              <w:bidi w:val="0"/>
              <w:spacing w:before="0" w:beforeAutospacing="0" w:after="0" w:afterAutospacing="0"/>
              <w:ind w:left="0" w:right="0"/>
              <w:rPr>
                <w:rFonts w:hint="default"/>
                <w:highlight w:val="none"/>
                <w:lang w:val="en-US" w:eastAsia="zh-CN"/>
              </w:rPr>
            </w:pPr>
          </w:p>
        </w:tc>
        <w:tc>
          <w:tcPr>
            <w:tcW w:w="366" w:type="pct"/>
            <w:vMerge w:val="continue"/>
            <w:vAlign w:val="center"/>
          </w:tcPr>
          <w:p w14:paraId="424A5A33">
            <w:pPr>
              <w:pStyle w:val="8"/>
              <w:suppressLineNumbers w:val="0"/>
              <w:bidi w:val="0"/>
              <w:spacing w:before="0" w:beforeAutospacing="0" w:after="0" w:afterAutospacing="0"/>
              <w:ind w:left="0" w:right="0"/>
              <w:rPr>
                <w:rFonts w:hint="default"/>
                <w:highlight w:val="none"/>
                <w:lang w:val="en-US" w:eastAsia="zh-CN"/>
              </w:rPr>
            </w:pPr>
          </w:p>
        </w:tc>
        <w:tc>
          <w:tcPr>
            <w:tcW w:w="345" w:type="pct"/>
            <w:vMerge w:val="continue"/>
            <w:vAlign w:val="center"/>
          </w:tcPr>
          <w:p w14:paraId="6E639AE8">
            <w:pPr>
              <w:pStyle w:val="8"/>
              <w:suppressLineNumbers w:val="0"/>
              <w:bidi w:val="0"/>
              <w:spacing w:before="0" w:beforeAutospacing="0" w:after="0" w:afterAutospacing="0"/>
              <w:ind w:left="0" w:right="0"/>
              <w:rPr>
                <w:rFonts w:hint="default"/>
                <w:highlight w:val="none"/>
                <w:lang w:val="en-US" w:eastAsia="zh-CN"/>
              </w:rPr>
            </w:pPr>
          </w:p>
        </w:tc>
        <w:tc>
          <w:tcPr>
            <w:tcW w:w="359" w:type="pct"/>
            <w:vMerge w:val="continue"/>
            <w:vAlign w:val="center"/>
          </w:tcPr>
          <w:p w14:paraId="6E8BC402">
            <w:pPr>
              <w:pStyle w:val="8"/>
              <w:suppressLineNumbers w:val="0"/>
              <w:bidi w:val="0"/>
              <w:spacing w:before="0" w:beforeAutospacing="0" w:after="0" w:afterAutospacing="0"/>
              <w:ind w:left="0" w:right="0"/>
              <w:rPr>
                <w:rFonts w:hint="default"/>
                <w:highlight w:val="none"/>
                <w:lang w:val="en-US" w:eastAsia="zh-CN"/>
              </w:rPr>
            </w:pPr>
          </w:p>
        </w:tc>
        <w:tc>
          <w:tcPr>
            <w:tcW w:w="345" w:type="pct"/>
            <w:vMerge w:val="continue"/>
            <w:vAlign w:val="center"/>
          </w:tcPr>
          <w:p w14:paraId="41039220">
            <w:pPr>
              <w:pStyle w:val="8"/>
              <w:suppressLineNumbers w:val="0"/>
              <w:bidi w:val="0"/>
              <w:spacing w:before="0" w:beforeAutospacing="0" w:after="0" w:afterAutospacing="0"/>
              <w:ind w:left="0" w:right="0"/>
              <w:rPr>
                <w:rFonts w:hint="default"/>
                <w:highlight w:val="none"/>
                <w:lang w:val="en-US" w:eastAsia="zh-CN"/>
              </w:rPr>
            </w:pPr>
          </w:p>
        </w:tc>
        <w:tc>
          <w:tcPr>
            <w:tcW w:w="384" w:type="pct"/>
            <w:vMerge w:val="continue"/>
            <w:vAlign w:val="center"/>
          </w:tcPr>
          <w:p w14:paraId="45A0D7F6">
            <w:pPr>
              <w:pStyle w:val="8"/>
              <w:suppressLineNumbers w:val="0"/>
              <w:bidi w:val="0"/>
              <w:spacing w:before="0" w:beforeAutospacing="0" w:after="0" w:afterAutospacing="0"/>
              <w:ind w:left="0" w:right="0"/>
              <w:rPr>
                <w:rFonts w:hint="default"/>
                <w:highlight w:val="none"/>
                <w:lang w:val="en-US" w:eastAsia="zh-CN"/>
              </w:rPr>
            </w:pPr>
          </w:p>
        </w:tc>
        <w:tc>
          <w:tcPr>
            <w:tcW w:w="480" w:type="pct"/>
            <w:vAlign w:val="center"/>
          </w:tcPr>
          <w:p w14:paraId="78613DB9">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NMHC</w:t>
            </w:r>
          </w:p>
        </w:tc>
        <w:tc>
          <w:tcPr>
            <w:tcW w:w="480" w:type="pct"/>
            <w:vAlign w:val="center"/>
          </w:tcPr>
          <w:p w14:paraId="45D4BFE1">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TSP</w:t>
            </w:r>
          </w:p>
        </w:tc>
      </w:tr>
      <w:tr w14:paraId="6D2114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 w:hRule="atLeast"/>
          <w:jc w:val="center"/>
        </w:trPr>
        <w:tc>
          <w:tcPr>
            <w:tcW w:w="192" w:type="pct"/>
            <w:vAlign w:val="center"/>
          </w:tcPr>
          <w:p w14:paraId="07FD2337">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1</w:t>
            </w:r>
          </w:p>
        </w:tc>
        <w:tc>
          <w:tcPr>
            <w:tcW w:w="394" w:type="pct"/>
            <w:vAlign w:val="center"/>
          </w:tcPr>
          <w:p w14:paraId="1DEA2010">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2号厂房</w:t>
            </w:r>
          </w:p>
        </w:tc>
        <w:tc>
          <w:tcPr>
            <w:tcW w:w="428" w:type="pct"/>
            <w:vAlign w:val="center"/>
          </w:tcPr>
          <w:p w14:paraId="4C7A34BA">
            <w:pPr>
              <w:keepNext w:val="0"/>
              <w:keepLines w:val="0"/>
              <w:pageBreakBefore w:val="0"/>
              <w:widowControl/>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color w:val="000000" w:themeColor="text1"/>
                <w:highlight w:val="none"/>
                <w:lang w:val="en-US" w:eastAsia="zh-CN"/>
              </w:rPr>
            </w:pPr>
            <w:r>
              <w:rPr>
                <w:rFonts w:hint="eastAsia" w:ascii="Times New Roman" w:hAnsi="Times New Roman"/>
                <w:color w:val="000000" w:themeColor="text1"/>
                <w:kern w:val="21"/>
                <w:sz w:val="21"/>
                <w:szCs w:val="21"/>
                <w:highlight w:val="none"/>
              </w:rPr>
              <w:t>126.656739</w:t>
            </w:r>
          </w:p>
        </w:tc>
        <w:tc>
          <w:tcPr>
            <w:tcW w:w="490" w:type="pct"/>
            <w:vAlign w:val="center"/>
          </w:tcPr>
          <w:p w14:paraId="77F4E300">
            <w:pPr>
              <w:keepNext w:val="0"/>
              <w:keepLines w:val="0"/>
              <w:pageBreakBefore w:val="0"/>
              <w:widowControl/>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color w:val="000000" w:themeColor="text1"/>
                <w:highlight w:val="none"/>
                <w:lang w:val="en-US" w:eastAsia="zh-CN"/>
              </w:rPr>
            </w:pPr>
            <w:r>
              <w:rPr>
                <w:rFonts w:hint="eastAsia" w:ascii="Times New Roman" w:hAnsi="Times New Roman"/>
                <w:color w:val="000000" w:themeColor="text1"/>
                <w:kern w:val="21"/>
                <w:sz w:val="21"/>
                <w:szCs w:val="21"/>
                <w:highlight w:val="none"/>
              </w:rPr>
              <w:t>45.607001</w:t>
            </w:r>
          </w:p>
        </w:tc>
        <w:tc>
          <w:tcPr>
            <w:tcW w:w="407" w:type="pct"/>
            <w:vAlign w:val="center"/>
          </w:tcPr>
          <w:p w14:paraId="7C3ACB69">
            <w:pPr>
              <w:pStyle w:val="8"/>
              <w:suppressLineNumbers w:val="0"/>
              <w:bidi w:val="0"/>
              <w:spacing w:before="0" w:beforeAutospacing="0" w:after="0" w:afterAutospacing="0"/>
              <w:ind w:left="0" w:right="0"/>
              <w:rPr>
                <w:rFonts w:hint="default"/>
                <w:color w:val="000000" w:themeColor="text1"/>
                <w:highlight w:val="none"/>
                <w:lang w:val="en-US" w:eastAsia="zh-CN"/>
              </w:rPr>
            </w:pPr>
            <w:r>
              <w:rPr>
                <w:rFonts w:hint="eastAsia"/>
                <w:color w:val="000000" w:themeColor="text1"/>
                <w:highlight w:val="none"/>
                <w:lang w:val="en-US" w:eastAsia="zh-CN"/>
              </w:rPr>
              <w:t>179</w:t>
            </w:r>
          </w:p>
        </w:tc>
        <w:tc>
          <w:tcPr>
            <w:tcW w:w="322" w:type="pct"/>
            <w:vAlign w:val="center"/>
          </w:tcPr>
          <w:p w14:paraId="6A8CCF33">
            <w:pPr>
              <w:keepNext w:val="0"/>
              <w:keepLines w:val="0"/>
              <w:pageBreakBefore w:val="0"/>
              <w:widowControl/>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color w:val="000000" w:themeColor="text1"/>
                <w:highlight w:val="none"/>
                <w:lang w:val="en-US" w:eastAsia="zh-CN"/>
              </w:rPr>
            </w:pPr>
            <w:r>
              <w:rPr>
                <w:rFonts w:hint="eastAsia" w:ascii="Times New Roman" w:hAnsi="Times New Roman"/>
                <w:color w:val="000000" w:themeColor="text1"/>
                <w:kern w:val="21"/>
                <w:sz w:val="21"/>
                <w:szCs w:val="21"/>
                <w:highlight w:val="none"/>
              </w:rPr>
              <w:t>208</w:t>
            </w:r>
          </w:p>
        </w:tc>
        <w:tc>
          <w:tcPr>
            <w:tcW w:w="366" w:type="pct"/>
            <w:vAlign w:val="center"/>
          </w:tcPr>
          <w:p w14:paraId="286546FE">
            <w:pPr>
              <w:keepNext w:val="0"/>
              <w:keepLines w:val="0"/>
              <w:pageBreakBefore w:val="0"/>
              <w:widowControl/>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color w:val="000000" w:themeColor="text1"/>
                <w:highlight w:val="none"/>
                <w:lang w:val="en-US" w:eastAsia="zh-CN"/>
              </w:rPr>
            </w:pPr>
            <w:r>
              <w:rPr>
                <w:rFonts w:hint="eastAsia" w:ascii="Times New Roman" w:hAnsi="Times New Roman"/>
                <w:color w:val="000000" w:themeColor="text1"/>
                <w:kern w:val="21"/>
                <w:sz w:val="21"/>
                <w:szCs w:val="21"/>
                <w:highlight w:val="none"/>
              </w:rPr>
              <w:t>106</w:t>
            </w:r>
          </w:p>
        </w:tc>
        <w:tc>
          <w:tcPr>
            <w:tcW w:w="345" w:type="pct"/>
            <w:vAlign w:val="center"/>
          </w:tcPr>
          <w:p w14:paraId="3CAF13F0">
            <w:pPr>
              <w:pStyle w:val="8"/>
              <w:suppressLineNumbers w:val="0"/>
              <w:bidi w:val="0"/>
              <w:spacing w:before="0" w:beforeAutospacing="0" w:after="0" w:afterAutospacing="0"/>
              <w:ind w:left="0" w:right="0"/>
              <w:rPr>
                <w:rFonts w:hint="default" w:eastAsia="宋体"/>
                <w:highlight w:val="none"/>
                <w:lang w:val="en-US" w:eastAsia="zh-CN"/>
              </w:rPr>
            </w:pPr>
            <w:r>
              <w:rPr>
                <w:rFonts w:hint="eastAsia"/>
                <w:szCs w:val="21"/>
                <w:highlight w:val="none"/>
                <w:lang w:val="en-US" w:eastAsia="zh-CN"/>
              </w:rPr>
              <w:t>232</w:t>
            </w:r>
          </w:p>
        </w:tc>
        <w:tc>
          <w:tcPr>
            <w:tcW w:w="359" w:type="pct"/>
            <w:shd w:val="clear" w:color="auto" w:fill="auto"/>
            <w:vAlign w:val="center"/>
          </w:tcPr>
          <w:p w14:paraId="6F5B0B98">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kern w:val="0"/>
                <w:sz w:val="21"/>
                <w:szCs w:val="24"/>
                <w:highlight w:val="none"/>
                <w:lang w:val="en-US" w:eastAsia="zh-CN" w:bidi="ar-SA"/>
              </w:rPr>
            </w:pPr>
            <w:r>
              <w:rPr>
                <w:rFonts w:hint="eastAsia"/>
                <w:highlight w:val="none"/>
                <w:lang w:val="en-US" w:eastAsia="zh-CN"/>
              </w:rPr>
              <w:t>1.5</w:t>
            </w:r>
          </w:p>
        </w:tc>
        <w:tc>
          <w:tcPr>
            <w:tcW w:w="345" w:type="pct"/>
            <w:shd w:val="clear" w:color="auto" w:fill="auto"/>
            <w:vAlign w:val="center"/>
          </w:tcPr>
          <w:p w14:paraId="2EB552FF">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kern w:val="0"/>
                <w:sz w:val="21"/>
                <w:szCs w:val="24"/>
                <w:highlight w:val="none"/>
                <w:lang w:val="en-US" w:eastAsia="zh-CN" w:bidi="ar-SA"/>
              </w:rPr>
            </w:pPr>
            <w:r>
              <w:rPr>
                <w:rFonts w:hint="eastAsia"/>
                <w:highlight w:val="none"/>
                <w:lang w:val="en-US" w:eastAsia="zh-CN"/>
              </w:rPr>
              <w:t>2000</w:t>
            </w:r>
          </w:p>
        </w:tc>
        <w:tc>
          <w:tcPr>
            <w:tcW w:w="384" w:type="pct"/>
            <w:vMerge w:val="restart"/>
            <w:shd w:val="clear" w:color="auto" w:fill="auto"/>
            <w:vAlign w:val="center"/>
          </w:tcPr>
          <w:p w14:paraId="39D0444E">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kern w:val="0"/>
                <w:sz w:val="21"/>
                <w:szCs w:val="24"/>
                <w:highlight w:val="none"/>
                <w:lang w:val="en-US" w:eastAsia="zh-CN" w:bidi="ar-SA"/>
              </w:rPr>
            </w:pPr>
            <w:r>
              <w:rPr>
                <w:rFonts w:hint="default"/>
                <w:highlight w:val="none"/>
                <w:lang w:val="en-US" w:eastAsia="zh-CN"/>
              </w:rPr>
              <w:t>正常排放</w:t>
            </w:r>
          </w:p>
        </w:tc>
        <w:tc>
          <w:tcPr>
            <w:tcW w:w="480" w:type="pct"/>
            <w:shd w:val="clear" w:color="auto" w:fill="auto"/>
            <w:vAlign w:val="center"/>
          </w:tcPr>
          <w:p w14:paraId="1F49D917">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kern w:val="0"/>
                <w:sz w:val="21"/>
                <w:szCs w:val="24"/>
                <w:highlight w:val="none"/>
                <w:lang w:val="en-US" w:eastAsia="zh-CN" w:bidi="ar-SA"/>
              </w:rPr>
            </w:pPr>
          </w:p>
        </w:tc>
        <w:tc>
          <w:tcPr>
            <w:tcW w:w="480" w:type="pct"/>
            <w:shd w:val="clear" w:color="auto" w:fill="auto"/>
            <w:vAlign w:val="center"/>
          </w:tcPr>
          <w:p w14:paraId="054D0597">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kern w:val="0"/>
                <w:sz w:val="21"/>
                <w:szCs w:val="24"/>
                <w:highlight w:val="none"/>
                <w:lang w:val="en-US" w:eastAsia="zh-CN" w:bidi="ar-SA"/>
              </w:rPr>
            </w:pPr>
          </w:p>
        </w:tc>
      </w:tr>
      <w:tr w14:paraId="1F3261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 w:hRule="atLeast"/>
          <w:jc w:val="center"/>
        </w:trPr>
        <w:tc>
          <w:tcPr>
            <w:tcW w:w="192" w:type="pct"/>
            <w:vAlign w:val="center"/>
          </w:tcPr>
          <w:p w14:paraId="63DC0F96">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w:t>
            </w:r>
          </w:p>
        </w:tc>
        <w:tc>
          <w:tcPr>
            <w:tcW w:w="394" w:type="pct"/>
            <w:vAlign w:val="center"/>
          </w:tcPr>
          <w:p w14:paraId="5B41E7B0">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4号厂房</w:t>
            </w:r>
          </w:p>
        </w:tc>
        <w:tc>
          <w:tcPr>
            <w:tcW w:w="428" w:type="pct"/>
            <w:vAlign w:val="center"/>
          </w:tcPr>
          <w:p w14:paraId="30AA0030">
            <w:pPr>
              <w:keepNext w:val="0"/>
              <w:keepLines w:val="0"/>
              <w:pageBreakBefore w:val="0"/>
              <w:widowControl/>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eastAsia"/>
                <w:color w:val="000000" w:themeColor="text1"/>
                <w:highlight w:val="none"/>
                <w:lang w:val="en-US" w:eastAsia="zh-CN"/>
              </w:rPr>
            </w:pPr>
            <w:r>
              <w:rPr>
                <w:rFonts w:hint="eastAsia" w:ascii="Times New Roman" w:hAnsi="Times New Roman"/>
                <w:color w:val="000000" w:themeColor="text1"/>
                <w:kern w:val="21"/>
                <w:sz w:val="21"/>
                <w:szCs w:val="21"/>
                <w:highlight w:val="none"/>
              </w:rPr>
              <w:t>126.661717</w:t>
            </w:r>
          </w:p>
        </w:tc>
        <w:tc>
          <w:tcPr>
            <w:tcW w:w="490" w:type="pct"/>
            <w:vAlign w:val="center"/>
          </w:tcPr>
          <w:p w14:paraId="16047B60">
            <w:pPr>
              <w:keepNext w:val="0"/>
              <w:keepLines w:val="0"/>
              <w:pageBreakBefore w:val="0"/>
              <w:widowControl/>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eastAsia"/>
                <w:color w:val="000000" w:themeColor="text1"/>
                <w:highlight w:val="none"/>
                <w:lang w:val="en-US" w:eastAsia="zh-CN"/>
              </w:rPr>
            </w:pPr>
            <w:r>
              <w:rPr>
                <w:rFonts w:hint="eastAsia" w:ascii="Times New Roman" w:hAnsi="Times New Roman"/>
                <w:color w:val="000000" w:themeColor="text1"/>
                <w:kern w:val="21"/>
                <w:sz w:val="21"/>
                <w:szCs w:val="21"/>
                <w:highlight w:val="none"/>
              </w:rPr>
              <w:t>45.607548</w:t>
            </w:r>
          </w:p>
        </w:tc>
        <w:tc>
          <w:tcPr>
            <w:tcW w:w="407" w:type="pct"/>
            <w:vAlign w:val="center"/>
          </w:tcPr>
          <w:p w14:paraId="63ED02C5">
            <w:pPr>
              <w:pStyle w:val="8"/>
              <w:suppressLineNumbers w:val="0"/>
              <w:bidi w:val="0"/>
              <w:spacing w:before="0" w:beforeAutospacing="0" w:after="0" w:afterAutospacing="0"/>
              <w:ind w:left="0" w:right="0"/>
              <w:rPr>
                <w:rFonts w:hint="default"/>
                <w:color w:val="000000" w:themeColor="text1"/>
                <w:highlight w:val="none"/>
                <w:lang w:val="en-US" w:eastAsia="zh-CN"/>
              </w:rPr>
            </w:pPr>
            <w:r>
              <w:rPr>
                <w:rFonts w:hint="eastAsia"/>
                <w:color w:val="000000" w:themeColor="text1"/>
                <w:highlight w:val="none"/>
                <w:lang w:val="en-US" w:eastAsia="zh-CN"/>
              </w:rPr>
              <w:t>179</w:t>
            </w:r>
          </w:p>
        </w:tc>
        <w:tc>
          <w:tcPr>
            <w:tcW w:w="322" w:type="pct"/>
            <w:vAlign w:val="center"/>
          </w:tcPr>
          <w:p w14:paraId="71933F52">
            <w:pPr>
              <w:keepNext w:val="0"/>
              <w:keepLines w:val="0"/>
              <w:pageBreakBefore w:val="0"/>
              <w:widowControl/>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eastAsia"/>
                <w:color w:val="000000" w:themeColor="text1"/>
                <w:highlight w:val="none"/>
                <w:lang w:val="en-US" w:eastAsia="zh-CN"/>
              </w:rPr>
            </w:pPr>
            <w:r>
              <w:rPr>
                <w:rFonts w:hint="eastAsia" w:ascii="Times New Roman" w:hAnsi="Times New Roman"/>
                <w:color w:val="000000" w:themeColor="text1"/>
                <w:kern w:val="21"/>
                <w:sz w:val="21"/>
                <w:szCs w:val="21"/>
                <w:highlight w:val="none"/>
              </w:rPr>
              <w:t>30</w:t>
            </w:r>
          </w:p>
        </w:tc>
        <w:tc>
          <w:tcPr>
            <w:tcW w:w="366" w:type="pct"/>
            <w:vAlign w:val="center"/>
          </w:tcPr>
          <w:p w14:paraId="3FF37E22">
            <w:pPr>
              <w:keepNext w:val="0"/>
              <w:keepLines w:val="0"/>
              <w:pageBreakBefore w:val="0"/>
              <w:widowControl/>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eastAsia"/>
                <w:color w:val="000000" w:themeColor="text1"/>
                <w:highlight w:val="none"/>
                <w:lang w:val="en-US" w:eastAsia="zh-CN"/>
              </w:rPr>
            </w:pPr>
            <w:r>
              <w:rPr>
                <w:rFonts w:hint="eastAsia" w:ascii="Times New Roman" w:hAnsi="Times New Roman"/>
                <w:color w:val="000000" w:themeColor="text1"/>
                <w:kern w:val="21"/>
                <w:sz w:val="21"/>
                <w:szCs w:val="21"/>
                <w:highlight w:val="none"/>
              </w:rPr>
              <w:t>13</w:t>
            </w:r>
          </w:p>
        </w:tc>
        <w:tc>
          <w:tcPr>
            <w:tcW w:w="345" w:type="pct"/>
            <w:vAlign w:val="center"/>
          </w:tcPr>
          <w:p w14:paraId="5DA40E7E">
            <w:pPr>
              <w:pStyle w:val="8"/>
              <w:suppressLineNumbers w:val="0"/>
              <w:bidi w:val="0"/>
              <w:spacing w:before="0" w:beforeAutospacing="0" w:after="0" w:afterAutospacing="0"/>
              <w:ind w:left="0" w:right="0"/>
              <w:rPr>
                <w:rFonts w:hint="default" w:eastAsia="宋体"/>
                <w:highlight w:val="none"/>
                <w:lang w:val="en-US" w:eastAsia="zh-CN"/>
              </w:rPr>
            </w:pPr>
            <w:r>
              <w:rPr>
                <w:rFonts w:hint="eastAsia"/>
                <w:szCs w:val="21"/>
                <w:highlight w:val="none"/>
                <w:lang w:val="en-US" w:eastAsia="zh-CN"/>
              </w:rPr>
              <w:t>212</w:t>
            </w:r>
          </w:p>
        </w:tc>
        <w:tc>
          <w:tcPr>
            <w:tcW w:w="359" w:type="pct"/>
            <w:shd w:val="clear" w:color="auto" w:fill="auto"/>
            <w:vAlign w:val="center"/>
          </w:tcPr>
          <w:p w14:paraId="5DF511F8">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1.5</w:t>
            </w:r>
          </w:p>
        </w:tc>
        <w:tc>
          <w:tcPr>
            <w:tcW w:w="345" w:type="pct"/>
            <w:shd w:val="clear" w:color="auto" w:fill="auto"/>
            <w:vAlign w:val="center"/>
          </w:tcPr>
          <w:p w14:paraId="517019E9">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2000</w:t>
            </w:r>
          </w:p>
        </w:tc>
        <w:tc>
          <w:tcPr>
            <w:tcW w:w="384" w:type="pct"/>
            <w:vMerge w:val="continue"/>
            <w:shd w:val="clear" w:color="auto" w:fill="auto"/>
            <w:vAlign w:val="center"/>
          </w:tcPr>
          <w:p w14:paraId="158D31F0">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p>
        </w:tc>
        <w:tc>
          <w:tcPr>
            <w:tcW w:w="480" w:type="pct"/>
            <w:shd w:val="clear" w:color="auto" w:fill="auto"/>
            <w:vAlign w:val="center"/>
          </w:tcPr>
          <w:p w14:paraId="6A5290E1">
            <w:pPr>
              <w:pStyle w:val="8"/>
              <w:suppressLineNumbers w:val="0"/>
              <w:bidi w:val="0"/>
              <w:spacing w:before="0" w:beforeAutospacing="0" w:after="0" w:afterAutospacing="0"/>
              <w:ind w:left="0" w:leftChars="0" w:right="0" w:rightChars="0" w:firstLine="0" w:firstLineChars="0"/>
              <w:rPr>
                <w:rFonts w:hint="eastAsia"/>
                <w:highlight w:val="none"/>
                <w:lang w:val="en-US" w:eastAsia="zh-CN"/>
              </w:rPr>
            </w:pPr>
          </w:p>
        </w:tc>
        <w:tc>
          <w:tcPr>
            <w:tcW w:w="480" w:type="pct"/>
            <w:shd w:val="clear" w:color="auto" w:fill="auto"/>
            <w:vAlign w:val="center"/>
          </w:tcPr>
          <w:p w14:paraId="7EA9E372">
            <w:pPr>
              <w:pStyle w:val="8"/>
              <w:suppressLineNumbers w:val="0"/>
              <w:bidi w:val="0"/>
              <w:spacing w:before="0" w:beforeAutospacing="0" w:after="0" w:afterAutospacing="0"/>
              <w:ind w:left="0" w:leftChars="0" w:right="0" w:rightChars="0" w:firstLine="0" w:firstLineChars="0"/>
              <w:rPr>
                <w:rFonts w:hint="eastAsia"/>
                <w:highlight w:val="none"/>
                <w:lang w:val="en-US" w:eastAsia="zh-CN"/>
              </w:rPr>
            </w:pPr>
          </w:p>
        </w:tc>
      </w:tr>
      <w:tr w14:paraId="35F38F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 w:hRule="atLeast"/>
          <w:jc w:val="center"/>
        </w:trPr>
        <w:tc>
          <w:tcPr>
            <w:tcW w:w="192" w:type="pct"/>
            <w:vAlign w:val="center"/>
          </w:tcPr>
          <w:p w14:paraId="4AAC4D6F">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3</w:t>
            </w:r>
          </w:p>
        </w:tc>
        <w:tc>
          <w:tcPr>
            <w:tcW w:w="394" w:type="pct"/>
            <w:vAlign w:val="center"/>
          </w:tcPr>
          <w:p w14:paraId="7FBE8F60">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甩干生产区域</w:t>
            </w:r>
          </w:p>
        </w:tc>
        <w:tc>
          <w:tcPr>
            <w:tcW w:w="428" w:type="pct"/>
            <w:vAlign w:val="center"/>
          </w:tcPr>
          <w:p w14:paraId="07718D60">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olor w:val="000000" w:themeColor="text1"/>
                <w:highlight w:val="none"/>
                <w:lang w:val="en-US" w:eastAsia="zh-CN"/>
              </w:rPr>
            </w:pPr>
            <w:r>
              <w:rPr>
                <w:rFonts w:hint="eastAsia" w:eastAsiaTheme="minorEastAsia"/>
                <w:color w:val="000000" w:themeColor="text1"/>
                <w:sz w:val="21"/>
                <w:szCs w:val="21"/>
                <w:highlight w:val="none"/>
              </w:rPr>
              <w:t>126.661328</w:t>
            </w:r>
          </w:p>
        </w:tc>
        <w:tc>
          <w:tcPr>
            <w:tcW w:w="490" w:type="pct"/>
            <w:vAlign w:val="center"/>
          </w:tcPr>
          <w:p w14:paraId="60EF94DB">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olor w:val="000000" w:themeColor="text1"/>
                <w:highlight w:val="none"/>
                <w:lang w:val="en-US" w:eastAsia="zh-CN"/>
              </w:rPr>
            </w:pPr>
            <w:r>
              <w:rPr>
                <w:rFonts w:hint="eastAsia" w:eastAsiaTheme="minorEastAsia"/>
                <w:color w:val="000000" w:themeColor="text1"/>
                <w:sz w:val="21"/>
                <w:szCs w:val="21"/>
                <w:highlight w:val="none"/>
              </w:rPr>
              <w:t>45.604607</w:t>
            </w:r>
          </w:p>
        </w:tc>
        <w:tc>
          <w:tcPr>
            <w:tcW w:w="407" w:type="pct"/>
            <w:vAlign w:val="center"/>
          </w:tcPr>
          <w:p w14:paraId="041EE738">
            <w:pPr>
              <w:pStyle w:val="8"/>
              <w:suppressLineNumbers w:val="0"/>
              <w:bidi w:val="0"/>
              <w:spacing w:before="0" w:beforeAutospacing="0" w:after="0" w:afterAutospacing="0"/>
              <w:ind w:left="0" w:right="0"/>
              <w:rPr>
                <w:rFonts w:hint="default"/>
                <w:color w:val="000000" w:themeColor="text1"/>
                <w:highlight w:val="none"/>
                <w:lang w:val="en-US" w:eastAsia="zh-CN"/>
              </w:rPr>
            </w:pPr>
            <w:r>
              <w:rPr>
                <w:rFonts w:hint="eastAsia"/>
                <w:color w:val="000000" w:themeColor="text1"/>
                <w:highlight w:val="none"/>
                <w:lang w:val="en-US" w:eastAsia="zh-CN"/>
              </w:rPr>
              <w:t>183</w:t>
            </w:r>
          </w:p>
        </w:tc>
        <w:tc>
          <w:tcPr>
            <w:tcW w:w="322" w:type="pct"/>
            <w:vAlign w:val="center"/>
          </w:tcPr>
          <w:p w14:paraId="25932E3C">
            <w:pPr>
              <w:pStyle w:val="8"/>
              <w:suppressLineNumbers w:val="0"/>
              <w:bidi w:val="0"/>
              <w:spacing w:before="0" w:beforeAutospacing="0" w:after="0" w:afterAutospacing="0"/>
              <w:ind w:left="0" w:right="0"/>
              <w:rPr>
                <w:rFonts w:hint="default"/>
                <w:color w:val="000000" w:themeColor="text1"/>
                <w:highlight w:val="none"/>
                <w:lang w:val="en-US" w:eastAsia="zh-CN"/>
              </w:rPr>
            </w:pPr>
            <w:r>
              <w:rPr>
                <w:rFonts w:hint="eastAsia"/>
                <w:color w:val="000000" w:themeColor="text1"/>
                <w:highlight w:val="none"/>
                <w:lang w:val="en-US" w:eastAsia="zh-CN"/>
              </w:rPr>
              <w:t>60</w:t>
            </w:r>
          </w:p>
        </w:tc>
        <w:tc>
          <w:tcPr>
            <w:tcW w:w="366" w:type="pct"/>
            <w:vAlign w:val="center"/>
          </w:tcPr>
          <w:p w14:paraId="237023E8">
            <w:pPr>
              <w:pStyle w:val="8"/>
              <w:suppressLineNumbers w:val="0"/>
              <w:bidi w:val="0"/>
              <w:spacing w:before="0" w:beforeAutospacing="0" w:after="0" w:afterAutospacing="0"/>
              <w:ind w:left="0" w:right="0"/>
              <w:rPr>
                <w:rFonts w:hint="default"/>
                <w:color w:val="000000" w:themeColor="text1"/>
                <w:highlight w:val="none"/>
                <w:lang w:val="en-US" w:eastAsia="zh-CN"/>
              </w:rPr>
            </w:pPr>
            <w:r>
              <w:rPr>
                <w:rFonts w:hint="eastAsia"/>
                <w:color w:val="000000" w:themeColor="text1"/>
                <w:highlight w:val="none"/>
                <w:lang w:val="en-US" w:eastAsia="zh-CN"/>
              </w:rPr>
              <w:t>10</w:t>
            </w:r>
          </w:p>
        </w:tc>
        <w:tc>
          <w:tcPr>
            <w:tcW w:w="345" w:type="pct"/>
            <w:vAlign w:val="center"/>
          </w:tcPr>
          <w:p w14:paraId="072FF3FE">
            <w:pPr>
              <w:pStyle w:val="8"/>
              <w:suppressLineNumbers w:val="0"/>
              <w:bidi w:val="0"/>
              <w:spacing w:before="0" w:beforeAutospacing="0" w:after="0" w:afterAutospacing="0"/>
              <w:ind w:left="0" w:right="0"/>
              <w:rPr>
                <w:rFonts w:hint="default" w:eastAsia="宋体"/>
                <w:highlight w:val="none"/>
                <w:lang w:val="en-US" w:eastAsia="zh-CN"/>
              </w:rPr>
            </w:pPr>
            <w:r>
              <w:rPr>
                <w:rFonts w:hint="eastAsia"/>
                <w:szCs w:val="21"/>
                <w:highlight w:val="none"/>
                <w:lang w:val="en-US" w:eastAsia="zh-CN"/>
              </w:rPr>
              <w:t>242</w:t>
            </w:r>
          </w:p>
        </w:tc>
        <w:tc>
          <w:tcPr>
            <w:tcW w:w="359" w:type="pct"/>
            <w:shd w:val="clear" w:color="auto" w:fill="auto"/>
            <w:vAlign w:val="center"/>
          </w:tcPr>
          <w:p w14:paraId="07081DC9">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1.5</w:t>
            </w:r>
          </w:p>
        </w:tc>
        <w:tc>
          <w:tcPr>
            <w:tcW w:w="345" w:type="pct"/>
            <w:shd w:val="clear" w:color="auto" w:fill="auto"/>
            <w:vAlign w:val="center"/>
          </w:tcPr>
          <w:p w14:paraId="63A3C07A">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2000</w:t>
            </w:r>
          </w:p>
        </w:tc>
        <w:tc>
          <w:tcPr>
            <w:tcW w:w="384" w:type="pct"/>
            <w:vMerge w:val="continue"/>
            <w:shd w:val="clear" w:color="auto" w:fill="auto"/>
            <w:vAlign w:val="center"/>
          </w:tcPr>
          <w:p w14:paraId="1D3FC617">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p>
        </w:tc>
        <w:tc>
          <w:tcPr>
            <w:tcW w:w="480" w:type="pct"/>
            <w:shd w:val="clear" w:color="auto" w:fill="auto"/>
            <w:vAlign w:val="center"/>
          </w:tcPr>
          <w:p w14:paraId="70ECA00A">
            <w:pPr>
              <w:pStyle w:val="8"/>
              <w:suppressLineNumbers w:val="0"/>
              <w:bidi w:val="0"/>
              <w:spacing w:before="0" w:beforeAutospacing="0" w:after="0" w:afterAutospacing="0"/>
              <w:ind w:left="0" w:leftChars="0" w:right="0" w:rightChars="0" w:firstLine="0" w:firstLineChars="0"/>
              <w:rPr>
                <w:rFonts w:hint="eastAsia"/>
                <w:highlight w:val="none"/>
                <w:lang w:val="en-US" w:eastAsia="zh-CN"/>
              </w:rPr>
            </w:pPr>
          </w:p>
        </w:tc>
        <w:tc>
          <w:tcPr>
            <w:tcW w:w="480" w:type="pct"/>
            <w:shd w:val="clear" w:color="auto" w:fill="auto"/>
            <w:vAlign w:val="center"/>
          </w:tcPr>
          <w:p w14:paraId="45932232">
            <w:pPr>
              <w:pStyle w:val="8"/>
              <w:suppressLineNumbers w:val="0"/>
              <w:bidi w:val="0"/>
              <w:spacing w:before="0" w:beforeAutospacing="0" w:after="0" w:afterAutospacing="0"/>
              <w:ind w:left="0" w:leftChars="0" w:right="0" w:rightChars="0" w:firstLine="0" w:firstLineChars="0"/>
              <w:rPr>
                <w:rFonts w:hint="eastAsia"/>
                <w:highlight w:val="none"/>
                <w:lang w:val="en-US" w:eastAsia="zh-CN"/>
              </w:rPr>
            </w:pPr>
          </w:p>
        </w:tc>
      </w:tr>
    </w:tbl>
    <w:p w14:paraId="5120886D">
      <w:pPr>
        <w:spacing w:line="360" w:lineRule="auto"/>
        <w:ind w:firstLine="482" w:firstLineChars="200"/>
        <w:rPr>
          <w:rFonts w:eastAsiaTheme="minorEastAsia"/>
          <w:b/>
          <w:sz w:val="24"/>
          <w:highlight w:val="none"/>
        </w:rPr>
      </w:pPr>
    </w:p>
    <w:p w14:paraId="00802E50">
      <w:pPr>
        <w:spacing w:line="360" w:lineRule="auto"/>
        <w:ind w:firstLine="482" w:firstLineChars="200"/>
        <w:rPr>
          <w:rFonts w:eastAsiaTheme="minorEastAsia"/>
          <w:b/>
          <w:sz w:val="24"/>
          <w:highlight w:val="none"/>
        </w:rPr>
        <w:sectPr>
          <w:pgSz w:w="16838" w:h="11906" w:orient="landscape"/>
          <w:pgMar w:top="1800" w:right="1440" w:bottom="1800" w:left="1440" w:header="851" w:footer="992" w:gutter="0"/>
          <w:pgBorders w:offsetFrom="page">
            <w:top w:val="none" w:sz="0" w:space="0"/>
            <w:left w:val="none" w:sz="0" w:space="0"/>
            <w:bottom w:val="none" w:sz="0" w:space="0"/>
            <w:right w:val="none" w:sz="0" w:space="0"/>
          </w:pgBorders>
          <w:cols w:space="425" w:num="1"/>
          <w:docGrid w:type="lines" w:linePitch="312" w:charSpace="0"/>
        </w:sectPr>
      </w:pPr>
    </w:p>
    <w:p w14:paraId="406B103C">
      <w:pPr>
        <w:bidi w:val="0"/>
        <w:rPr>
          <w:rFonts w:hint="default"/>
          <w:highlight w:val="none"/>
        </w:rPr>
      </w:pPr>
      <w:r>
        <w:rPr>
          <w:rFonts w:hint="default"/>
          <w:highlight w:val="none"/>
        </w:rPr>
        <w:t>②估算模式参数</w:t>
      </w:r>
    </w:p>
    <w:p w14:paraId="08398022">
      <w:pPr>
        <w:bidi w:val="0"/>
        <w:rPr>
          <w:highlight w:val="none"/>
        </w:rPr>
      </w:pPr>
      <w:r>
        <w:rPr>
          <w:highlight w:val="none"/>
        </w:rPr>
        <w:t>本项目估算模型参数表见表</w:t>
      </w:r>
      <w:r>
        <w:rPr>
          <w:rFonts w:hint="eastAsia"/>
          <w:highlight w:val="none"/>
          <w:lang w:val="en-US" w:eastAsia="zh-CN"/>
        </w:rPr>
        <w:t>5-2-4</w:t>
      </w:r>
      <w:r>
        <w:rPr>
          <w:highlight w:val="none"/>
        </w:rPr>
        <w:t>。</w:t>
      </w:r>
    </w:p>
    <w:p w14:paraId="387A0DB3">
      <w:pPr>
        <w:pStyle w:val="7"/>
        <w:bidi w:val="0"/>
        <w:rPr>
          <w:highlight w:val="none"/>
        </w:rPr>
      </w:pPr>
      <w:r>
        <w:rPr>
          <w:highlight w:val="none"/>
        </w:rPr>
        <w:t>表</w:t>
      </w:r>
      <w:r>
        <w:rPr>
          <w:rFonts w:hint="eastAsia"/>
          <w:highlight w:val="none"/>
          <w:lang w:val="en-US" w:eastAsia="zh-CN"/>
        </w:rPr>
        <w:t>5-2-4</w:t>
      </w:r>
      <w:r>
        <w:rPr>
          <w:highlight w:val="none"/>
        </w:rPr>
        <w:t>估算模型参数表</w:t>
      </w:r>
    </w:p>
    <w:tbl>
      <w:tblPr>
        <w:tblStyle w:val="45"/>
        <w:tblW w:w="5000"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1838"/>
        <w:gridCol w:w="3769"/>
        <w:gridCol w:w="2699"/>
      </w:tblGrid>
      <w:tr w14:paraId="4372FBF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5316" w:type="dxa"/>
            <w:gridSpan w:val="2"/>
            <w:vAlign w:val="center"/>
          </w:tcPr>
          <w:p w14:paraId="131C3D77">
            <w:pPr>
              <w:pStyle w:val="8"/>
              <w:suppressLineNumbers w:val="0"/>
              <w:bidi w:val="0"/>
              <w:spacing w:before="0" w:beforeAutospacing="0" w:after="0" w:afterAutospacing="0"/>
              <w:ind w:left="0" w:right="0"/>
              <w:rPr>
                <w:rFonts w:hint="default"/>
                <w:highlight w:val="none"/>
              </w:rPr>
            </w:pPr>
            <w:r>
              <w:rPr>
                <w:rFonts w:hint="default"/>
                <w:highlight w:val="none"/>
              </w:rPr>
              <w:t>参数</w:t>
            </w:r>
          </w:p>
        </w:tc>
        <w:tc>
          <w:tcPr>
            <w:tcW w:w="2559" w:type="dxa"/>
            <w:vAlign w:val="center"/>
          </w:tcPr>
          <w:p w14:paraId="468C5F28">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取值</w:t>
            </w:r>
          </w:p>
        </w:tc>
      </w:tr>
      <w:tr w14:paraId="2C4F595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2" w:hRule="atLeast"/>
          <w:jc w:val="center"/>
        </w:trPr>
        <w:tc>
          <w:tcPr>
            <w:tcW w:w="1743" w:type="dxa"/>
            <w:vMerge w:val="restart"/>
            <w:vAlign w:val="center"/>
          </w:tcPr>
          <w:p w14:paraId="72D627FF">
            <w:pPr>
              <w:pStyle w:val="8"/>
              <w:suppressLineNumbers w:val="0"/>
              <w:bidi w:val="0"/>
              <w:spacing w:before="0" w:beforeAutospacing="0" w:after="0" w:afterAutospacing="0"/>
              <w:ind w:left="0" w:right="0"/>
              <w:rPr>
                <w:rFonts w:hint="default"/>
                <w:highlight w:val="none"/>
              </w:rPr>
            </w:pPr>
            <w:r>
              <w:rPr>
                <w:rFonts w:hint="default"/>
                <w:highlight w:val="none"/>
              </w:rPr>
              <w:t>城市/农村选项</w:t>
            </w:r>
          </w:p>
        </w:tc>
        <w:tc>
          <w:tcPr>
            <w:tcW w:w="3573" w:type="dxa"/>
            <w:vAlign w:val="center"/>
          </w:tcPr>
          <w:p w14:paraId="29170FBB">
            <w:pPr>
              <w:pStyle w:val="8"/>
              <w:suppressLineNumbers w:val="0"/>
              <w:bidi w:val="0"/>
              <w:spacing w:before="0" w:beforeAutospacing="0" w:after="0" w:afterAutospacing="0"/>
              <w:ind w:left="0" w:right="0"/>
              <w:rPr>
                <w:rFonts w:hint="default"/>
                <w:highlight w:val="none"/>
              </w:rPr>
            </w:pPr>
            <w:r>
              <w:rPr>
                <w:rFonts w:hint="default"/>
                <w:highlight w:val="none"/>
              </w:rPr>
              <w:t>城市/农村</w:t>
            </w:r>
          </w:p>
        </w:tc>
        <w:tc>
          <w:tcPr>
            <w:tcW w:w="2559" w:type="dxa"/>
            <w:vAlign w:val="center"/>
          </w:tcPr>
          <w:p w14:paraId="77BEDEE1">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城市</w:t>
            </w:r>
          </w:p>
        </w:tc>
      </w:tr>
      <w:tr w14:paraId="1C0C266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08" w:hRule="atLeast"/>
          <w:jc w:val="center"/>
        </w:trPr>
        <w:tc>
          <w:tcPr>
            <w:tcW w:w="1743" w:type="dxa"/>
            <w:vMerge w:val="continue"/>
            <w:vAlign w:val="center"/>
          </w:tcPr>
          <w:p w14:paraId="4FFD7E0C">
            <w:pPr>
              <w:pStyle w:val="8"/>
              <w:suppressLineNumbers w:val="0"/>
              <w:bidi w:val="0"/>
              <w:spacing w:before="0" w:beforeAutospacing="0" w:after="0" w:afterAutospacing="0"/>
              <w:ind w:left="0" w:right="0"/>
              <w:rPr>
                <w:rFonts w:hint="default"/>
                <w:highlight w:val="none"/>
              </w:rPr>
            </w:pPr>
          </w:p>
        </w:tc>
        <w:tc>
          <w:tcPr>
            <w:tcW w:w="3573" w:type="dxa"/>
            <w:vAlign w:val="center"/>
          </w:tcPr>
          <w:p w14:paraId="73F59B09">
            <w:pPr>
              <w:pStyle w:val="8"/>
              <w:suppressLineNumbers w:val="0"/>
              <w:bidi w:val="0"/>
              <w:spacing w:before="0" w:beforeAutospacing="0" w:after="0" w:afterAutospacing="0"/>
              <w:ind w:left="0" w:right="0"/>
              <w:rPr>
                <w:rFonts w:hint="default"/>
                <w:highlight w:val="none"/>
              </w:rPr>
            </w:pPr>
            <w:r>
              <w:rPr>
                <w:rFonts w:hint="default"/>
                <w:highlight w:val="none"/>
              </w:rPr>
              <w:t>人口数（城市选项时）</w:t>
            </w:r>
          </w:p>
        </w:tc>
        <w:tc>
          <w:tcPr>
            <w:tcW w:w="2559" w:type="dxa"/>
            <w:vAlign w:val="center"/>
          </w:tcPr>
          <w:p w14:paraId="50DA0FF7">
            <w:pPr>
              <w:pStyle w:val="8"/>
              <w:suppressLineNumbers w:val="0"/>
              <w:bidi w:val="0"/>
              <w:spacing w:before="0" w:beforeAutospacing="0" w:after="0" w:afterAutospacing="0"/>
              <w:ind w:left="0" w:right="0"/>
              <w:rPr>
                <w:rFonts w:hint="default"/>
                <w:highlight w:val="none"/>
              </w:rPr>
            </w:pPr>
            <w:r>
              <w:rPr>
                <w:rFonts w:hint="default"/>
                <w:highlight w:val="none"/>
              </w:rPr>
              <w:t>154122</w:t>
            </w:r>
          </w:p>
        </w:tc>
      </w:tr>
      <w:tr w14:paraId="4FC58EE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12" w:hRule="atLeast"/>
          <w:jc w:val="center"/>
        </w:trPr>
        <w:tc>
          <w:tcPr>
            <w:tcW w:w="5316" w:type="dxa"/>
            <w:gridSpan w:val="2"/>
            <w:vAlign w:val="center"/>
          </w:tcPr>
          <w:p w14:paraId="14BDF071">
            <w:pPr>
              <w:pStyle w:val="8"/>
              <w:suppressLineNumbers w:val="0"/>
              <w:bidi w:val="0"/>
              <w:spacing w:before="0" w:beforeAutospacing="0" w:after="0" w:afterAutospacing="0"/>
              <w:ind w:left="0" w:right="0"/>
              <w:rPr>
                <w:rFonts w:hint="default"/>
                <w:highlight w:val="none"/>
              </w:rPr>
            </w:pPr>
            <w:r>
              <w:rPr>
                <w:rFonts w:hint="default"/>
                <w:highlight w:val="none"/>
              </w:rPr>
              <w:t>最高环境温度/℃</w:t>
            </w:r>
          </w:p>
        </w:tc>
        <w:tc>
          <w:tcPr>
            <w:tcW w:w="2559" w:type="dxa"/>
            <w:vAlign w:val="center"/>
          </w:tcPr>
          <w:p w14:paraId="6C708F03">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39.2</w:t>
            </w:r>
          </w:p>
        </w:tc>
      </w:tr>
      <w:tr w14:paraId="518BCBA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2" w:hRule="atLeast"/>
          <w:jc w:val="center"/>
        </w:trPr>
        <w:tc>
          <w:tcPr>
            <w:tcW w:w="5316" w:type="dxa"/>
            <w:gridSpan w:val="2"/>
            <w:vAlign w:val="center"/>
          </w:tcPr>
          <w:p w14:paraId="63066402">
            <w:pPr>
              <w:pStyle w:val="8"/>
              <w:suppressLineNumbers w:val="0"/>
              <w:bidi w:val="0"/>
              <w:spacing w:before="0" w:beforeAutospacing="0" w:after="0" w:afterAutospacing="0"/>
              <w:ind w:left="0" w:right="0"/>
              <w:rPr>
                <w:rFonts w:hint="default"/>
                <w:highlight w:val="none"/>
              </w:rPr>
            </w:pPr>
            <w:r>
              <w:rPr>
                <w:rFonts w:hint="default"/>
                <w:highlight w:val="none"/>
              </w:rPr>
              <w:t>最低环境温度/℃</w:t>
            </w:r>
          </w:p>
        </w:tc>
        <w:tc>
          <w:tcPr>
            <w:tcW w:w="2559" w:type="dxa"/>
            <w:vAlign w:val="center"/>
          </w:tcPr>
          <w:p w14:paraId="6AACE43C">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-38.1</w:t>
            </w:r>
          </w:p>
        </w:tc>
      </w:tr>
      <w:tr w14:paraId="6E7302B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67" w:hRule="atLeast"/>
          <w:jc w:val="center"/>
        </w:trPr>
        <w:tc>
          <w:tcPr>
            <w:tcW w:w="5316" w:type="dxa"/>
            <w:gridSpan w:val="2"/>
            <w:vAlign w:val="center"/>
          </w:tcPr>
          <w:p w14:paraId="2DC38255">
            <w:pPr>
              <w:pStyle w:val="8"/>
              <w:suppressLineNumbers w:val="0"/>
              <w:bidi w:val="0"/>
              <w:spacing w:before="0" w:beforeAutospacing="0" w:after="0" w:afterAutospacing="0"/>
              <w:ind w:left="0" w:right="0"/>
              <w:rPr>
                <w:rFonts w:hint="default"/>
                <w:highlight w:val="none"/>
              </w:rPr>
            </w:pPr>
            <w:r>
              <w:rPr>
                <w:rFonts w:hint="default"/>
                <w:highlight w:val="none"/>
              </w:rPr>
              <w:t>土地利用类型</w:t>
            </w:r>
          </w:p>
        </w:tc>
        <w:tc>
          <w:tcPr>
            <w:tcW w:w="2559" w:type="dxa"/>
            <w:vAlign w:val="center"/>
          </w:tcPr>
          <w:p w14:paraId="58BF2919">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城市</w:t>
            </w:r>
          </w:p>
        </w:tc>
      </w:tr>
      <w:tr w14:paraId="3A6A4EE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0" w:hRule="atLeast"/>
          <w:jc w:val="center"/>
        </w:trPr>
        <w:tc>
          <w:tcPr>
            <w:tcW w:w="5316" w:type="dxa"/>
            <w:gridSpan w:val="2"/>
            <w:vAlign w:val="center"/>
          </w:tcPr>
          <w:p w14:paraId="4AA3ACD4">
            <w:pPr>
              <w:pStyle w:val="8"/>
              <w:suppressLineNumbers w:val="0"/>
              <w:bidi w:val="0"/>
              <w:spacing w:before="0" w:beforeAutospacing="0" w:after="0" w:afterAutospacing="0"/>
              <w:ind w:left="0" w:right="0"/>
              <w:rPr>
                <w:rFonts w:hint="default"/>
                <w:highlight w:val="none"/>
              </w:rPr>
            </w:pPr>
            <w:r>
              <w:rPr>
                <w:rFonts w:hint="default"/>
                <w:highlight w:val="none"/>
              </w:rPr>
              <w:t>区域湿度条件</w:t>
            </w:r>
          </w:p>
        </w:tc>
        <w:tc>
          <w:tcPr>
            <w:tcW w:w="2559" w:type="dxa"/>
            <w:vAlign w:val="center"/>
          </w:tcPr>
          <w:p w14:paraId="6A7D1C3C">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中等湿度</w:t>
            </w:r>
          </w:p>
        </w:tc>
      </w:tr>
      <w:tr w14:paraId="296BF5C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1743" w:type="dxa"/>
            <w:vMerge w:val="restart"/>
            <w:vAlign w:val="center"/>
          </w:tcPr>
          <w:p w14:paraId="257C17AA">
            <w:pPr>
              <w:pStyle w:val="8"/>
              <w:suppressLineNumbers w:val="0"/>
              <w:bidi w:val="0"/>
              <w:spacing w:before="0" w:beforeAutospacing="0" w:after="0" w:afterAutospacing="0"/>
              <w:ind w:left="0" w:right="0"/>
              <w:rPr>
                <w:rFonts w:hint="default"/>
                <w:highlight w:val="none"/>
              </w:rPr>
            </w:pPr>
            <w:r>
              <w:rPr>
                <w:rFonts w:hint="default"/>
                <w:highlight w:val="none"/>
              </w:rPr>
              <w:t>是否考虑地形</w:t>
            </w:r>
          </w:p>
        </w:tc>
        <w:tc>
          <w:tcPr>
            <w:tcW w:w="3573" w:type="dxa"/>
            <w:vAlign w:val="center"/>
          </w:tcPr>
          <w:p w14:paraId="1CC8ECF0">
            <w:pPr>
              <w:pStyle w:val="8"/>
              <w:suppressLineNumbers w:val="0"/>
              <w:bidi w:val="0"/>
              <w:spacing w:before="0" w:beforeAutospacing="0" w:after="0" w:afterAutospacing="0"/>
              <w:ind w:left="0" w:right="0"/>
              <w:rPr>
                <w:rFonts w:hint="default"/>
                <w:highlight w:val="none"/>
              </w:rPr>
            </w:pPr>
            <w:r>
              <w:rPr>
                <w:rFonts w:hint="default"/>
                <w:highlight w:val="none"/>
              </w:rPr>
              <w:t>考虑地形</w:t>
            </w:r>
          </w:p>
        </w:tc>
        <w:tc>
          <w:tcPr>
            <w:tcW w:w="2559" w:type="dxa"/>
            <w:vAlign w:val="center"/>
          </w:tcPr>
          <w:p w14:paraId="21566020">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是</w:t>
            </w:r>
          </w:p>
        </w:tc>
      </w:tr>
      <w:tr w14:paraId="65C4EFA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1743" w:type="dxa"/>
            <w:vMerge w:val="continue"/>
            <w:vAlign w:val="center"/>
          </w:tcPr>
          <w:p w14:paraId="60542EF3">
            <w:pPr>
              <w:pStyle w:val="8"/>
              <w:suppressLineNumbers w:val="0"/>
              <w:bidi w:val="0"/>
              <w:spacing w:before="0" w:beforeAutospacing="0" w:after="0" w:afterAutospacing="0"/>
              <w:ind w:left="0" w:right="0"/>
              <w:rPr>
                <w:rFonts w:hint="default"/>
                <w:highlight w:val="none"/>
              </w:rPr>
            </w:pPr>
          </w:p>
        </w:tc>
        <w:tc>
          <w:tcPr>
            <w:tcW w:w="3573" w:type="dxa"/>
            <w:vAlign w:val="center"/>
          </w:tcPr>
          <w:p w14:paraId="528371B0">
            <w:pPr>
              <w:pStyle w:val="8"/>
              <w:suppressLineNumbers w:val="0"/>
              <w:bidi w:val="0"/>
              <w:spacing w:before="0" w:beforeAutospacing="0" w:after="0" w:afterAutospacing="0"/>
              <w:ind w:left="0" w:right="0"/>
              <w:rPr>
                <w:rFonts w:hint="default"/>
                <w:highlight w:val="none"/>
              </w:rPr>
            </w:pPr>
            <w:r>
              <w:rPr>
                <w:rFonts w:hint="default"/>
                <w:highlight w:val="none"/>
              </w:rPr>
              <w:t>地形数据分辨率/m</w:t>
            </w:r>
          </w:p>
        </w:tc>
        <w:tc>
          <w:tcPr>
            <w:tcW w:w="2559" w:type="dxa"/>
            <w:vAlign w:val="center"/>
          </w:tcPr>
          <w:p w14:paraId="53B98017">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90</w:t>
            </w:r>
          </w:p>
        </w:tc>
      </w:tr>
      <w:tr w14:paraId="092BB69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68" w:hRule="atLeast"/>
          <w:jc w:val="center"/>
        </w:trPr>
        <w:tc>
          <w:tcPr>
            <w:tcW w:w="1743" w:type="dxa"/>
            <w:vMerge w:val="restart"/>
            <w:vAlign w:val="center"/>
          </w:tcPr>
          <w:p w14:paraId="60FA476B">
            <w:pPr>
              <w:pStyle w:val="8"/>
              <w:suppressLineNumbers w:val="0"/>
              <w:bidi w:val="0"/>
              <w:spacing w:before="0" w:beforeAutospacing="0" w:after="0" w:afterAutospacing="0"/>
              <w:ind w:left="0" w:right="0"/>
              <w:rPr>
                <w:rFonts w:hint="default"/>
                <w:highlight w:val="none"/>
              </w:rPr>
            </w:pPr>
            <w:r>
              <w:rPr>
                <w:rFonts w:hint="default"/>
                <w:highlight w:val="none"/>
              </w:rPr>
              <w:t>是否考虑岸线熏烟</w:t>
            </w:r>
          </w:p>
        </w:tc>
        <w:tc>
          <w:tcPr>
            <w:tcW w:w="3573" w:type="dxa"/>
            <w:vAlign w:val="center"/>
          </w:tcPr>
          <w:p w14:paraId="15E04CE6">
            <w:pPr>
              <w:pStyle w:val="8"/>
              <w:suppressLineNumbers w:val="0"/>
              <w:bidi w:val="0"/>
              <w:spacing w:before="0" w:beforeAutospacing="0" w:after="0" w:afterAutospacing="0"/>
              <w:ind w:left="0" w:right="0"/>
              <w:rPr>
                <w:rFonts w:hint="default"/>
                <w:highlight w:val="none"/>
              </w:rPr>
            </w:pPr>
            <w:r>
              <w:rPr>
                <w:rFonts w:hint="default"/>
                <w:highlight w:val="none"/>
              </w:rPr>
              <w:t>考虑岸线熏烟</w:t>
            </w:r>
          </w:p>
        </w:tc>
        <w:tc>
          <w:tcPr>
            <w:tcW w:w="2559" w:type="dxa"/>
            <w:vAlign w:val="center"/>
          </w:tcPr>
          <w:p w14:paraId="536873D2">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否</w:t>
            </w:r>
          </w:p>
        </w:tc>
      </w:tr>
      <w:tr w14:paraId="486BA8A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1743" w:type="dxa"/>
            <w:vMerge w:val="continue"/>
            <w:vAlign w:val="center"/>
          </w:tcPr>
          <w:p w14:paraId="4FE72517">
            <w:pPr>
              <w:pStyle w:val="8"/>
              <w:suppressLineNumbers w:val="0"/>
              <w:bidi w:val="0"/>
              <w:spacing w:before="0" w:beforeAutospacing="0" w:after="0" w:afterAutospacing="0"/>
              <w:ind w:left="0" w:right="0"/>
              <w:rPr>
                <w:rFonts w:hint="default"/>
                <w:highlight w:val="none"/>
              </w:rPr>
            </w:pPr>
          </w:p>
        </w:tc>
        <w:tc>
          <w:tcPr>
            <w:tcW w:w="3573" w:type="dxa"/>
            <w:vAlign w:val="center"/>
          </w:tcPr>
          <w:p w14:paraId="3F4BFCD2">
            <w:pPr>
              <w:pStyle w:val="8"/>
              <w:suppressLineNumbers w:val="0"/>
              <w:bidi w:val="0"/>
              <w:spacing w:before="0" w:beforeAutospacing="0" w:after="0" w:afterAutospacing="0"/>
              <w:ind w:left="0" w:right="0"/>
              <w:rPr>
                <w:rFonts w:hint="default"/>
                <w:highlight w:val="none"/>
              </w:rPr>
            </w:pPr>
            <w:r>
              <w:rPr>
                <w:rFonts w:hint="default"/>
                <w:highlight w:val="none"/>
              </w:rPr>
              <w:t>岸线距离/km</w:t>
            </w:r>
          </w:p>
        </w:tc>
        <w:tc>
          <w:tcPr>
            <w:tcW w:w="2559" w:type="dxa"/>
            <w:vAlign w:val="center"/>
          </w:tcPr>
          <w:p w14:paraId="56E5C2A2">
            <w:pPr>
              <w:pStyle w:val="8"/>
              <w:suppressLineNumbers w:val="0"/>
              <w:bidi w:val="0"/>
              <w:spacing w:before="0" w:beforeAutospacing="0" w:after="0" w:afterAutospacing="0"/>
              <w:ind w:left="0" w:right="0"/>
              <w:rPr>
                <w:rFonts w:hint="default"/>
                <w:highlight w:val="none"/>
              </w:rPr>
            </w:pPr>
            <w:r>
              <w:rPr>
                <w:rFonts w:hint="default"/>
                <w:highlight w:val="none"/>
              </w:rPr>
              <w:t>/</w:t>
            </w:r>
          </w:p>
        </w:tc>
      </w:tr>
      <w:tr w14:paraId="766EE6B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34" w:hRule="atLeast"/>
          <w:jc w:val="center"/>
        </w:trPr>
        <w:tc>
          <w:tcPr>
            <w:tcW w:w="1743" w:type="dxa"/>
            <w:vMerge w:val="continue"/>
            <w:vAlign w:val="center"/>
          </w:tcPr>
          <w:p w14:paraId="5A89072F">
            <w:pPr>
              <w:pStyle w:val="8"/>
              <w:suppressLineNumbers w:val="0"/>
              <w:bidi w:val="0"/>
              <w:spacing w:before="0" w:beforeAutospacing="0" w:after="0" w:afterAutospacing="0"/>
              <w:ind w:left="0" w:right="0"/>
              <w:rPr>
                <w:rFonts w:hint="default"/>
                <w:highlight w:val="none"/>
              </w:rPr>
            </w:pPr>
          </w:p>
        </w:tc>
        <w:tc>
          <w:tcPr>
            <w:tcW w:w="3573" w:type="dxa"/>
            <w:vAlign w:val="center"/>
          </w:tcPr>
          <w:p w14:paraId="63791E38">
            <w:pPr>
              <w:pStyle w:val="8"/>
              <w:suppressLineNumbers w:val="0"/>
              <w:bidi w:val="0"/>
              <w:spacing w:before="0" w:beforeAutospacing="0" w:after="0" w:afterAutospacing="0"/>
              <w:ind w:left="0" w:right="0"/>
              <w:rPr>
                <w:rFonts w:hint="default"/>
                <w:highlight w:val="none"/>
              </w:rPr>
            </w:pPr>
            <w:r>
              <w:rPr>
                <w:rFonts w:hint="default"/>
                <w:highlight w:val="none"/>
              </w:rPr>
              <w:t>岸线方向/°</w:t>
            </w:r>
          </w:p>
        </w:tc>
        <w:tc>
          <w:tcPr>
            <w:tcW w:w="2559" w:type="dxa"/>
            <w:vAlign w:val="center"/>
          </w:tcPr>
          <w:p w14:paraId="20A32B49">
            <w:pPr>
              <w:pStyle w:val="8"/>
              <w:suppressLineNumbers w:val="0"/>
              <w:bidi w:val="0"/>
              <w:spacing w:before="0" w:beforeAutospacing="0" w:after="0" w:afterAutospacing="0"/>
              <w:ind w:left="0" w:right="0"/>
              <w:rPr>
                <w:rFonts w:hint="default"/>
                <w:highlight w:val="none"/>
              </w:rPr>
            </w:pPr>
            <w:r>
              <w:rPr>
                <w:rFonts w:hint="default"/>
                <w:highlight w:val="none"/>
              </w:rPr>
              <w:t>/</w:t>
            </w:r>
          </w:p>
        </w:tc>
      </w:tr>
    </w:tbl>
    <w:p w14:paraId="23E60FCB">
      <w:pPr>
        <w:bidi w:val="0"/>
        <w:rPr>
          <w:highlight w:val="none"/>
        </w:rPr>
      </w:pPr>
      <w:bookmarkStart w:id="422" w:name="_Toc22896"/>
      <w:r>
        <w:rPr>
          <w:rFonts w:eastAsiaTheme="minorEastAsia"/>
          <w:bCs/>
          <w:highlight w:val="none"/>
        </w:rPr>
        <w:t>2</w:t>
      </w:r>
      <w:r>
        <w:rPr>
          <w:rFonts w:hAnsiTheme="minorEastAsia" w:eastAsiaTheme="minorEastAsia"/>
          <w:bCs/>
          <w:highlight w:val="none"/>
        </w:rPr>
        <w:t>、估</w:t>
      </w:r>
      <w:r>
        <w:rPr>
          <w:highlight w:val="none"/>
        </w:rPr>
        <w:t>算结果分析</w:t>
      </w:r>
      <w:bookmarkEnd w:id="422"/>
    </w:p>
    <w:p w14:paraId="7230B55C">
      <w:pPr>
        <w:bidi w:val="0"/>
        <w:rPr>
          <w:rFonts w:eastAsiaTheme="minorEastAsia"/>
          <w:bCs/>
          <w:highlight w:val="none"/>
        </w:rPr>
      </w:pPr>
      <w:r>
        <w:rPr>
          <w:highlight w:val="none"/>
        </w:rPr>
        <w:t>本项</w:t>
      </w:r>
      <w:r>
        <w:rPr>
          <w:rFonts w:hAnsiTheme="minorEastAsia" w:eastAsiaTheme="minorEastAsia"/>
          <w:bCs/>
          <w:highlight w:val="none"/>
        </w:rPr>
        <w:t>目正常工况下无组织排放废气及有组织排放废气预测结果详见表</w:t>
      </w:r>
      <w:r>
        <w:rPr>
          <w:rFonts w:eastAsiaTheme="minorEastAsia"/>
          <w:bCs/>
          <w:highlight w:val="none"/>
        </w:rPr>
        <w:t>5-2-</w:t>
      </w:r>
      <w:r>
        <w:rPr>
          <w:rFonts w:hint="eastAsia" w:eastAsiaTheme="minorEastAsia"/>
          <w:bCs/>
          <w:highlight w:val="none"/>
          <w:lang w:val="en-US" w:eastAsia="zh-CN"/>
        </w:rPr>
        <w:t>5</w:t>
      </w:r>
      <w:r>
        <w:rPr>
          <w:rFonts w:eastAsiaTheme="minorEastAsia"/>
          <w:bCs/>
          <w:highlight w:val="none"/>
        </w:rPr>
        <w:t>~5-2-</w:t>
      </w:r>
      <w:r>
        <w:rPr>
          <w:rFonts w:hint="eastAsia" w:eastAsiaTheme="minorEastAsia"/>
          <w:bCs/>
          <w:highlight w:val="none"/>
          <w:lang w:val="en-US" w:eastAsia="zh-CN"/>
        </w:rPr>
        <w:t>9</w:t>
      </w:r>
      <w:r>
        <w:rPr>
          <w:rFonts w:hAnsiTheme="minorEastAsia" w:eastAsiaTheme="minorEastAsia"/>
          <w:bCs/>
          <w:highlight w:val="none"/>
        </w:rPr>
        <w:t>。</w:t>
      </w:r>
    </w:p>
    <w:p w14:paraId="7F3445FD">
      <w:pPr>
        <w:pStyle w:val="7"/>
        <w:bidi w:val="0"/>
        <w:rPr>
          <w:highlight w:val="none"/>
        </w:rPr>
      </w:pPr>
      <w:r>
        <w:rPr>
          <w:highlight w:val="none"/>
        </w:rPr>
        <w:t>表5-2-</w:t>
      </w:r>
      <w:r>
        <w:rPr>
          <w:rFonts w:hint="eastAsia"/>
          <w:highlight w:val="none"/>
          <w:lang w:val="en-US" w:eastAsia="zh-CN"/>
        </w:rPr>
        <w:t>5</w:t>
      </w:r>
      <w:r>
        <w:rPr>
          <w:highlight w:val="none"/>
        </w:rPr>
        <w:t>主要污染源估算模型计算结果表（面源）</w:t>
      </w:r>
    </w:p>
    <w:tbl>
      <w:tblPr>
        <w:tblStyle w:val="45"/>
        <w:tblW w:w="0" w:type="auto"/>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372"/>
        <w:gridCol w:w="1444"/>
        <w:gridCol w:w="1206"/>
        <w:gridCol w:w="1270"/>
        <w:gridCol w:w="926"/>
        <w:gridCol w:w="1270"/>
        <w:gridCol w:w="926"/>
      </w:tblGrid>
      <w:tr w14:paraId="3481EB9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0" w:type="auto"/>
            <w:vMerge w:val="restart"/>
            <w:tcMar>
              <w:left w:w="0" w:type="dxa"/>
              <w:right w:w="0" w:type="dxa"/>
            </w:tcMar>
            <w:vAlign w:val="center"/>
          </w:tcPr>
          <w:p w14:paraId="7A118A14">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eastAsia" w:eastAsia="宋体"/>
                <w:sz w:val="21"/>
                <w:szCs w:val="21"/>
                <w:highlight w:val="none"/>
                <w:lang w:eastAsia="zh-CN"/>
              </w:rPr>
            </w:pPr>
            <w:r>
              <w:rPr>
                <w:rFonts w:hint="default"/>
                <w:sz w:val="21"/>
                <w:szCs w:val="21"/>
                <w:highlight w:val="none"/>
              </w:rPr>
              <w:t>下风向距离D</w:t>
            </w:r>
            <w:r>
              <w:rPr>
                <w:rFonts w:hint="eastAsia"/>
                <w:sz w:val="21"/>
                <w:szCs w:val="21"/>
                <w:highlight w:val="none"/>
                <w:lang w:eastAsia="zh-CN"/>
              </w:rPr>
              <w:t>（</w:t>
            </w:r>
            <w:r>
              <w:rPr>
                <w:rFonts w:hint="default"/>
                <w:sz w:val="21"/>
                <w:szCs w:val="21"/>
                <w:highlight w:val="none"/>
              </w:rPr>
              <w:t>m</w:t>
            </w:r>
            <w:r>
              <w:rPr>
                <w:rFonts w:hint="eastAsia"/>
                <w:sz w:val="21"/>
                <w:szCs w:val="21"/>
                <w:highlight w:val="none"/>
                <w:lang w:eastAsia="zh-CN"/>
              </w:rPr>
              <w:t>）</w:t>
            </w:r>
          </w:p>
        </w:tc>
        <w:tc>
          <w:tcPr>
            <w:tcW w:w="0" w:type="auto"/>
            <w:gridSpan w:val="2"/>
            <w:vAlign w:val="center"/>
          </w:tcPr>
          <w:p w14:paraId="31E2C4A0">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sz w:val="21"/>
                <w:szCs w:val="21"/>
                <w:highlight w:val="none"/>
              </w:rPr>
            </w:pPr>
            <w:r>
              <w:rPr>
                <w:rFonts w:hint="eastAsia"/>
                <w:sz w:val="21"/>
                <w:szCs w:val="21"/>
                <w:highlight w:val="none"/>
                <w:lang w:val="en-US" w:eastAsia="zh-CN"/>
              </w:rPr>
              <w:t>2#厂房</w:t>
            </w:r>
            <w:r>
              <w:rPr>
                <w:rFonts w:hint="default"/>
                <w:sz w:val="21"/>
                <w:szCs w:val="21"/>
                <w:highlight w:val="none"/>
              </w:rPr>
              <w:t>NMHC</w:t>
            </w:r>
          </w:p>
        </w:tc>
        <w:tc>
          <w:tcPr>
            <w:tcW w:w="0" w:type="auto"/>
            <w:gridSpan w:val="2"/>
            <w:vAlign w:val="center"/>
          </w:tcPr>
          <w:p w14:paraId="605D288E">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eastAsia="宋体"/>
                <w:sz w:val="21"/>
                <w:szCs w:val="21"/>
                <w:highlight w:val="none"/>
                <w:lang w:val="en-US" w:eastAsia="zh-CN"/>
              </w:rPr>
            </w:pPr>
            <w:r>
              <w:rPr>
                <w:rFonts w:hint="eastAsia"/>
                <w:sz w:val="21"/>
                <w:szCs w:val="21"/>
                <w:highlight w:val="none"/>
                <w:lang w:val="en-US" w:eastAsia="zh-CN"/>
              </w:rPr>
              <w:t>TSP</w:t>
            </w:r>
          </w:p>
        </w:tc>
        <w:tc>
          <w:tcPr>
            <w:tcW w:w="0" w:type="auto"/>
            <w:gridSpan w:val="2"/>
            <w:vAlign w:val="center"/>
          </w:tcPr>
          <w:p w14:paraId="1B56E4F8">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eastAsia"/>
                <w:sz w:val="21"/>
                <w:szCs w:val="21"/>
                <w:highlight w:val="none"/>
                <w:lang w:val="en-US" w:eastAsia="zh-CN"/>
              </w:rPr>
            </w:pPr>
            <w:r>
              <w:rPr>
                <w:rFonts w:hint="eastAsia"/>
                <w:sz w:val="21"/>
                <w:szCs w:val="21"/>
                <w:highlight w:val="none"/>
                <w:lang w:val="en-US" w:eastAsia="zh-CN"/>
              </w:rPr>
              <w:t>4#厂房</w:t>
            </w:r>
            <w:r>
              <w:rPr>
                <w:rFonts w:hint="default"/>
                <w:sz w:val="21"/>
                <w:szCs w:val="21"/>
                <w:highlight w:val="none"/>
              </w:rPr>
              <w:t>NMHC</w:t>
            </w:r>
          </w:p>
        </w:tc>
      </w:tr>
      <w:tr w14:paraId="4577E44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0" w:type="auto"/>
            <w:vMerge w:val="continue"/>
            <w:tcMar>
              <w:left w:w="0" w:type="dxa"/>
              <w:right w:w="0" w:type="dxa"/>
            </w:tcMar>
            <w:vAlign w:val="center"/>
          </w:tcPr>
          <w:p w14:paraId="1C2B076B">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sz w:val="21"/>
                <w:szCs w:val="21"/>
                <w:highlight w:val="none"/>
              </w:rPr>
            </w:pPr>
          </w:p>
        </w:tc>
        <w:tc>
          <w:tcPr>
            <w:tcW w:w="0" w:type="auto"/>
            <w:vAlign w:val="center"/>
          </w:tcPr>
          <w:p w14:paraId="221933E1">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eastAsia" w:eastAsia="宋体"/>
                <w:sz w:val="21"/>
                <w:szCs w:val="21"/>
                <w:highlight w:val="none"/>
                <w:lang w:eastAsia="zh-CN"/>
              </w:rPr>
            </w:pPr>
            <w:r>
              <w:rPr>
                <w:rFonts w:hint="default"/>
                <w:sz w:val="21"/>
                <w:szCs w:val="21"/>
                <w:highlight w:val="none"/>
              </w:rPr>
              <w:t>预测浓度</w:t>
            </w:r>
            <w:r>
              <w:rPr>
                <w:rFonts w:hint="eastAsia"/>
                <w:sz w:val="21"/>
                <w:szCs w:val="21"/>
                <w:highlight w:val="none"/>
                <w:lang w:eastAsia="zh-CN"/>
              </w:rPr>
              <w:t>（</w:t>
            </w:r>
            <w:r>
              <w:rPr>
                <w:rFonts w:hint="default"/>
                <w:sz w:val="21"/>
                <w:szCs w:val="21"/>
                <w:highlight w:val="none"/>
              </w:rPr>
              <w:t>μg/m</w:t>
            </w:r>
            <w:r>
              <w:rPr>
                <w:rFonts w:hint="default"/>
                <w:sz w:val="21"/>
                <w:szCs w:val="21"/>
                <w:highlight w:val="none"/>
                <w:vertAlign w:val="superscript"/>
              </w:rPr>
              <w:t>3</w:t>
            </w:r>
            <w:r>
              <w:rPr>
                <w:rFonts w:hint="eastAsia"/>
                <w:sz w:val="21"/>
                <w:szCs w:val="21"/>
                <w:highlight w:val="none"/>
                <w:lang w:eastAsia="zh-CN"/>
              </w:rPr>
              <w:t>）</w:t>
            </w:r>
          </w:p>
        </w:tc>
        <w:tc>
          <w:tcPr>
            <w:tcW w:w="0" w:type="auto"/>
            <w:vAlign w:val="center"/>
          </w:tcPr>
          <w:p w14:paraId="2B6D8FEC">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eastAsia" w:eastAsia="宋体"/>
                <w:sz w:val="21"/>
                <w:szCs w:val="21"/>
                <w:highlight w:val="none"/>
                <w:lang w:eastAsia="zh-CN"/>
              </w:rPr>
            </w:pPr>
            <w:r>
              <w:rPr>
                <w:rFonts w:hint="default"/>
                <w:sz w:val="21"/>
                <w:szCs w:val="21"/>
                <w:highlight w:val="none"/>
              </w:rPr>
              <w:t>占标率</w:t>
            </w:r>
            <w:r>
              <w:rPr>
                <w:rFonts w:hint="eastAsia"/>
                <w:sz w:val="21"/>
                <w:szCs w:val="21"/>
                <w:highlight w:val="none"/>
                <w:lang w:eastAsia="zh-CN"/>
              </w:rPr>
              <w:t>（</w:t>
            </w:r>
            <w:r>
              <w:rPr>
                <w:rFonts w:hint="default"/>
                <w:sz w:val="21"/>
                <w:szCs w:val="21"/>
                <w:highlight w:val="none"/>
              </w:rPr>
              <w:t>%</w:t>
            </w:r>
            <w:r>
              <w:rPr>
                <w:rFonts w:hint="eastAsia"/>
                <w:sz w:val="21"/>
                <w:szCs w:val="21"/>
                <w:highlight w:val="none"/>
                <w:lang w:eastAsia="zh-CN"/>
              </w:rPr>
              <w:t>）</w:t>
            </w:r>
          </w:p>
        </w:tc>
        <w:tc>
          <w:tcPr>
            <w:tcW w:w="0" w:type="auto"/>
            <w:vAlign w:val="center"/>
          </w:tcPr>
          <w:p w14:paraId="5BAED8EC">
            <w:pPr>
              <w:keepNext w:val="0"/>
              <w:keepLines w:val="0"/>
              <w:pageBreakBefore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sz w:val="21"/>
                <w:szCs w:val="21"/>
                <w:highlight w:val="none"/>
              </w:rPr>
            </w:pPr>
            <w:r>
              <w:rPr>
                <w:rFonts w:hint="default" w:hAnsiTheme="minorEastAsia" w:eastAsiaTheme="minorEastAsia"/>
                <w:kern w:val="0"/>
                <w:sz w:val="21"/>
                <w:szCs w:val="21"/>
                <w:highlight w:val="none"/>
              </w:rPr>
              <w:t>预测浓度</w:t>
            </w:r>
            <w:r>
              <w:rPr>
                <w:rFonts w:hint="default" w:eastAsiaTheme="minorEastAsia"/>
                <w:kern w:val="0"/>
                <w:sz w:val="21"/>
                <w:szCs w:val="21"/>
                <w:highlight w:val="none"/>
                <w:vertAlign w:val="subscript"/>
              </w:rPr>
              <w:t xml:space="preserve"> </w:t>
            </w:r>
            <w:r>
              <w:rPr>
                <w:rFonts w:hint="default" w:eastAsiaTheme="minorEastAsia"/>
                <w:kern w:val="0"/>
                <w:sz w:val="21"/>
                <w:szCs w:val="21"/>
                <w:highlight w:val="none"/>
              </w:rPr>
              <w:t>(</w:t>
            </w:r>
            <w:r>
              <w:rPr>
                <w:rFonts w:hint="default" w:eastAsiaTheme="minorEastAsia"/>
                <w:sz w:val="21"/>
                <w:szCs w:val="21"/>
                <w:highlight w:val="none"/>
              </w:rPr>
              <w:t>μg/m</w:t>
            </w:r>
            <w:r>
              <w:rPr>
                <w:rFonts w:hint="default" w:eastAsiaTheme="minorEastAsia"/>
                <w:sz w:val="21"/>
                <w:szCs w:val="21"/>
                <w:highlight w:val="none"/>
                <w:vertAlign w:val="superscript"/>
              </w:rPr>
              <w:t>3</w:t>
            </w:r>
            <w:r>
              <w:rPr>
                <w:rFonts w:hint="default" w:eastAsiaTheme="minorEastAsia"/>
                <w:kern w:val="0"/>
                <w:sz w:val="21"/>
                <w:szCs w:val="21"/>
                <w:highlight w:val="none"/>
              </w:rPr>
              <w:t>)</w:t>
            </w:r>
          </w:p>
        </w:tc>
        <w:tc>
          <w:tcPr>
            <w:tcW w:w="0" w:type="auto"/>
            <w:vAlign w:val="center"/>
          </w:tcPr>
          <w:p w14:paraId="5D67A8F0">
            <w:pPr>
              <w:keepNext w:val="0"/>
              <w:keepLines w:val="0"/>
              <w:pageBreakBefore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sz w:val="21"/>
                <w:szCs w:val="21"/>
                <w:highlight w:val="none"/>
              </w:rPr>
            </w:pPr>
            <w:r>
              <w:rPr>
                <w:rFonts w:hint="default" w:hAnsiTheme="minorEastAsia" w:eastAsiaTheme="minorEastAsia"/>
                <w:kern w:val="0"/>
                <w:sz w:val="21"/>
                <w:szCs w:val="21"/>
                <w:highlight w:val="none"/>
              </w:rPr>
              <w:t>占标率</w:t>
            </w:r>
            <w:r>
              <w:rPr>
                <w:rFonts w:hint="default" w:eastAsiaTheme="minorEastAsia"/>
                <w:kern w:val="0"/>
                <w:sz w:val="21"/>
                <w:szCs w:val="21"/>
                <w:highlight w:val="none"/>
              </w:rPr>
              <w:t>(%)</w:t>
            </w:r>
          </w:p>
        </w:tc>
        <w:tc>
          <w:tcPr>
            <w:tcW w:w="0" w:type="auto"/>
            <w:vAlign w:val="center"/>
          </w:tcPr>
          <w:p w14:paraId="3F88582C">
            <w:pPr>
              <w:keepNext w:val="0"/>
              <w:keepLines w:val="0"/>
              <w:pageBreakBefore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hAnsiTheme="minorEastAsia" w:eastAsiaTheme="minorEastAsia"/>
                <w:kern w:val="0"/>
                <w:sz w:val="21"/>
                <w:szCs w:val="21"/>
                <w:highlight w:val="none"/>
              </w:rPr>
            </w:pPr>
            <w:r>
              <w:rPr>
                <w:rFonts w:hint="default" w:hAnsiTheme="minorEastAsia" w:eastAsiaTheme="minorEastAsia"/>
                <w:kern w:val="0"/>
                <w:sz w:val="21"/>
                <w:szCs w:val="21"/>
                <w:highlight w:val="none"/>
              </w:rPr>
              <w:t>预测浓度</w:t>
            </w:r>
            <w:r>
              <w:rPr>
                <w:rFonts w:hint="default" w:eastAsiaTheme="minorEastAsia"/>
                <w:kern w:val="0"/>
                <w:sz w:val="21"/>
                <w:szCs w:val="21"/>
                <w:highlight w:val="none"/>
                <w:vertAlign w:val="subscript"/>
              </w:rPr>
              <w:t xml:space="preserve"> </w:t>
            </w:r>
            <w:r>
              <w:rPr>
                <w:rFonts w:hint="default" w:eastAsiaTheme="minorEastAsia"/>
                <w:kern w:val="0"/>
                <w:sz w:val="21"/>
                <w:szCs w:val="21"/>
                <w:highlight w:val="none"/>
              </w:rPr>
              <w:t>(</w:t>
            </w:r>
            <w:r>
              <w:rPr>
                <w:rFonts w:hint="default" w:eastAsiaTheme="minorEastAsia"/>
                <w:sz w:val="21"/>
                <w:szCs w:val="21"/>
                <w:highlight w:val="none"/>
              </w:rPr>
              <w:t>μg/m</w:t>
            </w:r>
            <w:r>
              <w:rPr>
                <w:rFonts w:hint="default" w:eastAsiaTheme="minorEastAsia"/>
                <w:sz w:val="21"/>
                <w:szCs w:val="21"/>
                <w:highlight w:val="none"/>
                <w:vertAlign w:val="superscript"/>
              </w:rPr>
              <w:t>3</w:t>
            </w:r>
            <w:r>
              <w:rPr>
                <w:rFonts w:hint="default" w:eastAsiaTheme="minorEastAsia"/>
                <w:kern w:val="0"/>
                <w:sz w:val="21"/>
                <w:szCs w:val="21"/>
                <w:highlight w:val="none"/>
              </w:rPr>
              <w:t>)</w:t>
            </w:r>
          </w:p>
        </w:tc>
        <w:tc>
          <w:tcPr>
            <w:tcW w:w="0" w:type="auto"/>
            <w:vAlign w:val="center"/>
          </w:tcPr>
          <w:p w14:paraId="4037B89B">
            <w:pPr>
              <w:keepNext w:val="0"/>
              <w:keepLines w:val="0"/>
              <w:pageBreakBefore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hAnsiTheme="minorEastAsia" w:eastAsiaTheme="minorEastAsia"/>
                <w:kern w:val="0"/>
                <w:sz w:val="21"/>
                <w:szCs w:val="21"/>
                <w:highlight w:val="none"/>
              </w:rPr>
            </w:pPr>
            <w:r>
              <w:rPr>
                <w:rFonts w:hint="default" w:hAnsiTheme="minorEastAsia" w:eastAsiaTheme="minorEastAsia"/>
                <w:kern w:val="0"/>
                <w:sz w:val="21"/>
                <w:szCs w:val="21"/>
                <w:highlight w:val="none"/>
              </w:rPr>
              <w:t>占标率</w:t>
            </w:r>
            <w:r>
              <w:rPr>
                <w:rFonts w:hint="default" w:eastAsiaTheme="minorEastAsia"/>
                <w:kern w:val="0"/>
                <w:sz w:val="21"/>
                <w:szCs w:val="21"/>
                <w:highlight w:val="none"/>
              </w:rPr>
              <w:t>(%)</w:t>
            </w:r>
          </w:p>
        </w:tc>
      </w:tr>
      <w:tr w14:paraId="5CE60AE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0" w:type="auto"/>
            <w:tcMar>
              <w:left w:w="0" w:type="dxa"/>
              <w:right w:w="0" w:type="dxa"/>
            </w:tcMar>
            <w:vAlign w:val="center"/>
          </w:tcPr>
          <w:p w14:paraId="369AB490">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1.0</w:t>
            </w:r>
          </w:p>
        </w:tc>
        <w:tc>
          <w:tcPr>
            <w:tcW w:w="0" w:type="auto"/>
            <w:vAlign w:val="center"/>
          </w:tcPr>
          <w:p w14:paraId="7792DDC0">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lang w:val="en-US" w:eastAsia="zh-CN"/>
              </w:rPr>
            </w:pPr>
            <w:r>
              <w:rPr>
                <w:rFonts w:hint="default" w:ascii="Times New Roman" w:hAnsi="Times New Roman" w:cs="Times New Roman" w:eastAsiaTheme="minorEastAsia"/>
                <w:sz w:val="21"/>
                <w:szCs w:val="21"/>
                <w:highlight w:val="none"/>
              </w:rPr>
              <w:t>132.2600</w:t>
            </w:r>
          </w:p>
        </w:tc>
        <w:tc>
          <w:tcPr>
            <w:tcW w:w="0" w:type="auto"/>
            <w:vAlign w:val="center"/>
          </w:tcPr>
          <w:p w14:paraId="66DF90E6">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lang w:val="en-US" w:eastAsia="zh-CN"/>
              </w:rPr>
            </w:pPr>
            <w:r>
              <w:rPr>
                <w:rFonts w:hint="default" w:ascii="Times New Roman" w:hAnsi="Times New Roman" w:cs="Times New Roman" w:eastAsiaTheme="minorEastAsia"/>
                <w:sz w:val="21"/>
                <w:szCs w:val="21"/>
                <w:highlight w:val="none"/>
              </w:rPr>
              <w:t>6.6130</w:t>
            </w:r>
          </w:p>
        </w:tc>
        <w:tc>
          <w:tcPr>
            <w:tcW w:w="0" w:type="auto"/>
            <w:vAlign w:val="center"/>
          </w:tcPr>
          <w:p w14:paraId="671448CA">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0.1311</w:t>
            </w:r>
          </w:p>
        </w:tc>
        <w:tc>
          <w:tcPr>
            <w:tcW w:w="0" w:type="auto"/>
            <w:vAlign w:val="center"/>
          </w:tcPr>
          <w:p w14:paraId="6564FAEC">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0.0066</w:t>
            </w:r>
          </w:p>
        </w:tc>
        <w:tc>
          <w:tcPr>
            <w:tcW w:w="0" w:type="auto"/>
            <w:vAlign w:val="center"/>
          </w:tcPr>
          <w:p w14:paraId="5A5E680B">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0.2786</w:t>
            </w:r>
          </w:p>
        </w:tc>
        <w:tc>
          <w:tcPr>
            <w:tcW w:w="0" w:type="auto"/>
            <w:vAlign w:val="center"/>
          </w:tcPr>
          <w:p w14:paraId="6C8AE8E7">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2.7857</w:t>
            </w:r>
          </w:p>
        </w:tc>
      </w:tr>
      <w:tr w14:paraId="77A7D38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0" w:type="auto"/>
            <w:shd w:val="clear" w:color="auto" w:fill="auto"/>
            <w:tcMar>
              <w:left w:w="0" w:type="dxa"/>
              <w:right w:w="0" w:type="dxa"/>
            </w:tcMar>
            <w:vAlign w:val="center"/>
          </w:tcPr>
          <w:p w14:paraId="4F6687FD">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lang w:val="en-US" w:eastAsia="zh-CN"/>
              </w:rPr>
            </w:pPr>
            <w:r>
              <w:rPr>
                <w:rFonts w:hint="default" w:ascii="Times New Roman" w:hAnsi="Times New Roman" w:cs="Times New Roman" w:eastAsiaTheme="minorEastAsia"/>
                <w:sz w:val="21"/>
                <w:szCs w:val="21"/>
                <w:highlight w:val="none"/>
              </w:rPr>
              <w:t>25</w:t>
            </w:r>
          </w:p>
        </w:tc>
        <w:tc>
          <w:tcPr>
            <w:tcW w:w="0" w:type="auto"/>
            <w:shd w:val="clear" w:color="auto" w:fill="auto"/>
            <w:vAlign w:val="center"/>
          </w:tcPr>
          <w:p w14:paraId="00EABC14">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lang w:val="en-US" w:eastAsia="zh-CN"/>
              </w:rPr>
            </w:pPr>
            <w:r>
              <w:rPr>
                <w:rFonts w:hint="default" w:ascii="Times New Roman" w:hAnsi="Times New Roman" w:cs="Times New Roman" w:eastAsiaTheme="minorEastAsia"/>
                <w:sz w:val="21"/>
                <w:szCs w:val="21"/>
                <w:highlight w:val="none"/>
              </w:rPr>
              <w:t>182.5700</w:t>
            </w:r>
          </w:p>
        </w:tc>
        <w:tc>
          <w:tcPr>
            <w:tcW w:w="0" w:type="auto"/>
            <w:shd w:val="clear" w:color="auto" w:fill="auto"/>
            <w:vAlign w:val="center"/>
          </w:tcPr>
          <w:p w14:paraId="619B5197">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lang w:val="en-US" w:eastAsia="zh-CN"/>
              </w:rPr>
            </w:pPr>
            <w:r>
              <w:rPr>
                <w:rFonts w:hint="default" w:ascii="Times New Roman" w:hAnsi="Times New Roman" w:cs="Times New Roman" w:eastAsiaTheme="minorEastAsia"/>
                <w:sz w:val="21"/>
                <w:szCs w:val="21"/>
                <w:highlight w:val="none"/>
              </w:rPr>
              <w:t>9.1285</w:t>
            </w:r>
          </w:p>
        </w:tc>
        <w:tc>
          <w:tcPr>
            <w:tcW w:w="0" w:type="auto"/>
            <w:shd w:val="clear" w:color="auto" w:fill="auto"/>
            <w:vAlign w:val="center"/>
          </w:tcPr>
          <w:p w14:paraId="3DE711EC">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0.1094</w:t>
            </w:r>
          </w:p>
        </w:tc>
        <w:tc>
          <w:tcPr>
            <w:tcW w:w="0" w:type="auto"/>
            <w:shd w:val="clear" w:color="auto" w:fill="auto"/>
            <w:vAlign w:val="center"/>
          </w:tcPr>
          <w:p w14:paraId="4886E4A8">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0.0055</w:t>
            </w:r>
          </w:p>
        </w:tc>
        <w:tc>
          <w:tcPr>
            <w:tcW w:w="0" w:type="auto"/>
            <w:shd w:val="clear" w:color="auto" w:fill="auto"/>
            <w:vAlign w:val="center"/>
          </w:tcPr>
          <w:p w14:paraId="202E7AF8">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0.0500</w:t>
            </w:r>
          </w:p>
        </w:tc>
        <w:tc>
          <w:tcPr>
            <w:tcW w:w="0" w:type="auto"/>
            <w:shd w:val="clear" w:color="auto" w:fill="auto"/>
            <w:vAlign w:val="center"/>
          </w:tcPr>
          <w:p w14:paraId="2641C025">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0.4998</w:t>
            </w:r>
          </w:p>
        </w:tc>
      </w:tr>
      <w:tr w14:paraId="2960A52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0" w:type="auto"/>
            <w:shd w:val="clear" w:color="auto" w:fill="auto"/>
            <w:tcMar>
              <w:left w:w="0" w:type="dxa"/>
              <w:right w:w="0" w:type="dxa"/>
            </w:tcMar>
            <w:vAlign w:val="center"/>
          </w:tcPr>
          <w:p w14:paraId="00BD2B4E">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lang w:val="en-US" w:eastAsia="zh-CN"/>
              </w:rPr>
            </w:pPr>
            <w:r>
              <w:rPr>
                <w:rFonts w:hint="default" w:ascii="Times New Roman" w:hAnsi="Times New Roman" w:cs="Times New Roman" w:eastAsiaTheme="minorEastAsia"/>
                <w:sz w:val="21"/>
                <w:szCs w:val="21"/>
                <w:highlight w:val="none"/>
              </w:rPr>
              <w:t>32</w:t>
            </w:r>
          </w:p>
        </w:tc>
        <w:tc>
          <w:tcPr>
            <w:tcW w:w="0" w:type="auto"/>
            <w:shd w:val="clear" w:color="auto" w:fill="auto"/>
            <w:vAlign w:val="center"/>
          </w:tcPr>
          <w:p w14:paraId="50FECA93">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lang w:val="en-US" w:eastAsia="zh-CN"/>
              </w:rPr>
            </w:pPr>
            <w:r>
              <w:rPr>
                <w:rFonts w:hint="default" w:ascii="Times New Roman" w:hAnsi="Times New Roman" w:cs="Times New Roman" w:eastAsiaTheme="minorEastAsia"/>
                <w:sz w:val="21"/>
                <w:szCs w:val="21"/>
                <w:highlight w:val="none"/>
              </w:rPr>
              <w:t>193.0200</w:t>
            </w:r>
          </w:p>
        </w:tc>
        <w:tc>
          <w:tcPr>
            <w:tcW w:w="0" w:type="auto"/>
            <w:shd w:val="clear" w:color="auto" w:fill="auto"/>
            <w:vAlign w:val="center"/>
          </w:tcPr>
          <w:p w14:paraId="44B2F386">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lang w:val="en-US" w:eastAsia="zh-CN"/>
              </w:rPr>
            </w:pPr>
            <w:r>
              <w:rPr>
                <w:rFonts w:hint="default" w:ascii="Times New Roman" w:hAnsi="Times New Roman" w:cs="Times New Roman" w:eastAsiaTheme="minorEastAsia"/>
                <w:sz w:val="21"/>
                <w:szCs w:val="21"/>
                <w:highlight w:val="none"/>
              </w:rPr>
              <w:t>9.6510</w:t>
            </w:r>
          </w:p>
        </w:tc>
        <w:tc>
          <w:tcPr>
            <w:tcW w:w="0" w:type="auto"/>
            <w:shd w:val="clear" w:color="auto" w:fill="auto"/>
            <w:vAlign w:val="center"/>
          </w:tcPr>
          <w:p w14:paraId="64D044FD">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0.0852</w:t>
            </w:r>
          </w:p>
        </w:tc>
        <w:tc>
          <w:tcPr>
            <w:tcW w:w="0" w:type="auto"/>
            <w:shd w:val="clear" w:color="auto" w:fill="auto"/>
            <w:vAlign w:val="center"/>
          </w:tcPr>
          <w:p w14:paraId="0B7F689B">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0.0043</w:t>
            </w:r>
          </w:p>
        </w:tc>
        <w:tc>
          <w:tcPr>
            <w:tcW w:w="0" w:type="auto"/>
            <w:shd w:val="clear" w:color="auto" w:fill="auto"/>
            <w:vAlign w:val="center"/>
          </w:tcPr>
          <w:p w14:paraId="6164FC69">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0.0202</w:t>
            </w:r>
          </w:p>
        </w:tc>
        <w:tc>
          <w:tcPr>
            <w:tcW w:w="0" w:type="auto"/>
            <w:shd w:val="clear" w:color="auto" w:fill="auto"/>
            <w:vAlign w:val="center"/>
          </w:tcPr>
          <w:p w14:paraId="6A826D7F">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0.2018</w:t>
            </w:r>
          </w:p>
        </w:tc>
      </w:tr>
      <w:tr w14:paraId="79037ED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0" w:type="auto"/>
            <w:shd w:val="clear" w:color="auto" w:fill="auto"/>
            <w:tcMar>
              <w:left w:w="0" w:type="dxa"/>
              <w:right w:w="0" w:type="dxa"/>
            </w:tcMar>
            <w:vAlign w:val="center"/>
          </w:tcPr>
          <w:p w14:paraId="529CB43F">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lang w:val="en-US" w:eastAsia="zh-CN"/>
              </w:rPr>
            </w:pPr>
            <w:r>
              <w:rPr>
                <w:rFonts w:hint="default" w:ascii="Times New Roman" w:hAnsi="Times New Roman" w:cs="Times New Roman" w:eastAsiaTheme="minorEastAsia"/>
                <w:sz w:val="21"/>
                <w:szCs w:val="21"/>
                <w:highlight w:val="none"/>
              </w:rPr>
              <w:t>50</w:t>
            </w:r>
          </w:p>
        </w:tc>
        <w:tc>
          <w:tcPr>
            <w:tcW w:w="0" w:type="auto"/>
            <w:shd w:val="clear" w:color="auto" w:fill="auto"/>
            <w:vAlign w:val="center"/>
          </w:tcPr>
          <w:p w14:paraId="53CE26C5">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lang w:val="en-US" w:eastAsia="zh-CN"/>
              </w:rPr>
            </w:pPr>
            <w:r>
              <w:rPr>
                <w:rFonts w:hint="default" w:ascii="Times New Roman" w:hAnsi="Times New Roman" w:cs="Times New Roman" w:eastAsiaTheme="minorEastAsia"/>
                <w:sz w:val="21"/>
                <w:szCs w:val="21"/>
                <w:highlight w:val="none"/>
              </w:rPr>
              <w:t>129.9100</w:t>
            </w:r>
          </w:p>
        </w:tc>
        <w:tc>
          <w:tcPr>
            <w:tcW w:w="0" w:type="auto"/>
            <w:shd w:val="clear" w:color="auto" w:fill="auto"/>
            <w:vAlign w:val="center"/>
          </w:tcPr>
          <w:p w14:paraId="24D88D16">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lang w:val="en-US" w:eastAsia="zh-CN"/>
              </w:rPr>
            </w:pPr>
            <w:r>
              <w:rPr>
                <w:rFonts w:hint="default" w:ascii="Times New Roman" w:hAnsi="Times New Roman" w:cs="Times New Roman" w:eastAsiaTheme="minorEastAsia"/>
                <w:sz w:val="21"/>
                <w:szCs w:val="21"/>
                <w:highlight w:val="none"/>
              </w:rPr>
              <w:t>6.4955</w:t>
            </w:r>
          </w:p>
        </w:tc>
        <w:tc>
          <w:tcPr>
            <w:tcW w:w="0" w:type="auto"/>
            <w:shd w:val="clear" w:color="auto" w:fill="auto"/>
            <w:vAlign w:val="center"/>
          </w:tcPr>
          <w:p w14:paraId="4A3E9EC9">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0.0572</w:t>
            </w:r>
          </w:p>
        </w:tc>
        <w:tc>
          <w:tcPr>
            <w:tcW w:w="0" w:type="auto"/>
            <w:shd w:val="clear" w:color="auto" w:fill="auto"/>
            <w:vAlign w:val="center"/>
          </w:tcPr>
          <w:p w14:paraId="42E93DE1">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0.0029</w:t>
            </w:r>
          </w:p>
        </w:tc>
        <w:tc>
          <w:tcPr>
            <w:tcW w:w="0" w:type="auto"/>
            <w:shd w:val="clear" w:color="auto" w:fill="auto"/>
            <w:vAlign w:val="center"/>
          </w:tcPr>
          <w:p w14:paraId="61D76105">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0.0117</w:t>
            </w:r>
          </w:p>
        </w:tc>
        <w:tc>
          <w:tcPr>
            <w:tcW w:w="0" w:type="auto"/>
            <w:shd w:val="clear" w:color="auto" w:fill="auto"/>
            <w:vAlign w:val="center"/>
          </w:tcPr>
          <w:p w14:paraId="41796D51">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0.1171</w:t>
            </w:r>
          </w:p>
        </w:tc>
      </w:tr>
      <w:tr w14:paraId="7B18B66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0" w:type="auto"/>
            <w:shd w:val="clear" w:color="auto" w:fill="auto"/>
            <w:tcMar>
              <w:left w:w="0" w:type="dxa"/>
              <w:right w:w="0" w:type="dxa"/>
            </w:tcMar>
            <w:vAlign w:val="center"/>
          </w:tcPr>
          <w:p w14:paraId="297B91F8">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lang w:val="en-US" w:eastAsia="zh-CN"/>
              </w:rPr>
            </w:pPr>
            <w:r>
              <w:rPr>
                <w:rFonts w:hint="default" w:ascii="Times New Roman" w:hAnsi="Times New Roman" w:cs="Times New Roman" w:eastAsiaTheme="minorEastAsia"/>
                <w:sz w:val="21"/>
                <w:szCs w:val="21"/>
                <w:highlight w:val="none"/>
              </w:rPr>
              <w:t>75</w:t>
            </w:r>
          </w:p>
        </w:tc>
        <w:tc>
          <w:tcPr>
            <w:tcW w:w="0" w:type="auto"/>
            <w:shd w:val="clear" w:color="auto" w:fill="auto"/>
            <w:vAlign w:val="center"/>
          </w:tcPr>
          <w:p w14:paraId="65BBF07D">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lang w:val="en-US" w:eastAsia="zh-CN"/>
              </w:rPr>
            </w:pPr>
            <w:r>
              <w:rPr>
                <w:rFonts w:hint="default" w:ascii="Times New Roman" w:hAnsi="Times New Roman" w:cs="Times New Roman" w:eastAsiaTheme="minorEastAsia"/>
                <w:sz w:val="21"/>
                <w:szCs w:val="21"/>
                <w:highlight w:val="none"/>
              </w:rPr>
              <w:t>73.9960</w:t>
            </w:r>
          </w:p>
        </w:tc>
        <w:tc>
          <w:tcPr>
            <w:tcW w:w="0" w:type="auto"/>
            <w:shd w:val="clear" w:color="auto" w:fill="auto"/>
            <w:vAlign w:val="center"/>
          </w:tcPr>
          <w:p w14:paraId="5FE28C2D">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lang w:val="en-US" w:eastAsia="zh-CN"/>
              </w:rPr>
            </w:pPr>
            <w:r>
              <w:rPr>
                <w:rFonts w:hint="default" w:ascii="Times New Roman" w:hAnsi="Times New Roman" w:cs="Times New Roman" w:eastAsiaTheme="minorEastAsia"/>
                <w:sz w:val="21"/>
                <w:szCs w:val="21"/>
                <w:highlight w:val="none"/>
              </w:rPr>
              <w:t>3.6998</w:t>
            </w:r>
          </w:p>
        </w:tc>
        <w:tc>
          <w:tcPr>
            <w:tcW w:w="0" w:type="auto"/>
            <w:shd w:val="clear" w:color="auto" w:fill="auto"/>
            <w:vAlign w:val="center"/>
          </w:tcPr>
          <w:p w14:paraId="056CB6E4">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0.0448</w:t>
            </w:r>
          </w:p>
        </w:tc>
        <w:tc>
          <w:tcPr>
            <w:tcW w:w="0" w:type="auto"/>
            <w:shd w:val="clear" w:color="auto" w:fill="auto"/>
            <w:vAlign w:val="center"/>
          </w:tcPr>
          <w:p w14:paraId="2DB59C47">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0.0022</w:t>
            </w:r>
          </w:p>
        </w:tc>
        <w:tc>
          <w:tcPr>
            <w:tcW w:w="0" w:type="auto"/>
            <w:shd w:val="clear" w:color="auto" w:fill="auto"/>
            <w:vAlign w:val="center"/>
          </w:tcPr>
          <w:p w14:paraId="2F8507EE">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0.0079</w:t>
            </w:r>
          </w:p>
        </w:tc>
        <w:tc>
          <w:tcPr>
            <w:tcW w:w="0" w:type="auto"/>
            <w:shd w:val="clear" w:color="auto" w:fill="auto"/>
            <w:vAlign w:val="center"/>
          </w:tcPr>
          <w:p w14:paraId="6EA4CE45">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0.0793</w:t>
            </w:r>
          </w:p>
        </w:tc>
      </w:tr>
      <w:tr w14:paraId="17F31B4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0" w:type="auto"/>
            <w:shd w:val="clear" w:color="auto" w:fill="auto"/>
            <w:tcMar>
              <w:left w:w="0" w:type="dxa"/>
              <w:right w:w="0" w:type="dxa"/>
            </w:tcMar>
            <w:vAlign w:val="center"/>
          </w:tcPr>
          <w:p w14:paraId="16F6370C">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lang w:val="en-US" w:eastAsia="zh-CN"/>
              </w:rPr>
            </w:pPr>
            <w:r>
              <w:rPr>
                <w:rFonts w:hint="default" w:ascii="Times New Roman" w:hAnsi="Times New Roman" w:cs="Times New Roman" w:eastAsiaTheme="minorEastAsia"/>
                <w:sz w:val="21"/>
                <w:szCs w:val="21"/>
                <w:highlight w:val="none"/>
              </w:rPr>
              <w:t>100</w:t>
            </w:r>
          </w:p>
        </w:tc>
        <w:tc>
          <w:tcPr>
            <w:tcW w:w="0" w:type="auto"/>
            <w:shd w:val="clear" w:color="auto" w:fill="auto"/>
            <w:vAlign w:val="center"/>
          </w:tcPr>
          <w:p w14:paraId="6BD89C2F">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lang w:val="en-US" w:eastAsia="zh-CN"/>
              </w:rPr>
            </w:pPr>
            <w:r>
              <w:rPr>
                <w:rFonts w:hint="default" w:ascii="Times New Roman" w:hAnsi="Times New Roman" w:cs="Times New Roman" w:eastAsiaTheme="minorEastAsia"/>
                <w:sz w:val="21"/>
                <w:szCs w:val="21"/>
                <w:highlight w:val="none"/>
              </w:rPr>
              <w:t>49.2300</w:t>
            </w:r>
          </w:p>
        </w:tc>
        <w:tc>
          <w:tcPr>
            <w:tcW w:w="0" w:type="auto"/>
            <w:shd w:val="clear" w:color="auto" w:fill="auto"/>
            <w:vAlign w:val="center"/>
          </w:tcPr>
          <w:p w14:paraId="57CE8431">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lang w:val="en-US" w:eastAsia="zh-CN"/>
              </w:rPr>
            </w:pPr>
            <w:r>
              <w:rPr>
                <w:rFonts w:hint="default" w:ascii="Times New Roman" w:hAnsi="Times New Roman" w:cs="Times New Roman" w:eastAsiaTheme="minorEastAsia"/>
                <w:sz w:val="21"/>
                <w:szCs w:val="21"/>
                <w:highlight w:val="none"/>
              </w:rPr>
              <w:t>2.4615</w:t>
            </w:r>
          </w:p>
        </w:tc>
        <w:tc>
          <w:tcPr>
            <w:tcW w:w="0" w:type="auto"/>
            <w:shd w:val="clear" w:color="auto" w:fill="auto"/>
            <w:vAlign w:val="center"/>
          </w:tcPr>
          <w:p w14:paraId="050E0D96">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0.0341</w:t>
            </w:r>
          </w:p>
        </w:tc>
        <w:tc>
          <w:tcPr>
            <w:tcW w:w="0" w:type="auto"/>
            <w:shd w:val="clear" w:color="auto" w:fill="auto"/>
            <w:vAlign w:val="center"/>
          </w:tcPr>
          <w:p w14:paraId="330291B8">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0.0017</w:t>
            </w:r>
          </w:p>
        </w:tc>
        <w:tc>
          <w:tcPr>
            <w:tcW w:w="0" w:type="auto"/>
            <w:shd w:val="clear" w:color="auto" w:fill="auto"/>
            <w:vAlign w:val="center"/>
          </w:tcPr>
          <w:p w14:paraId="6056FD46">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0.0059</w:t>
            </w:r>
          </w:p>
        </w:tc>
        <w:tc>
          <w:tcPr>
            <w:tcW w:w="0" w:type="auto"/>
            <w:shd w:val="clear" w:color="auto" w:fill="auto"/>
            <w:vAlign w:val="center"/>
          </w:tcPr>
          <w:p w14:paraId="5478F64A">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0.0585</w:t>
            </w:r>
          </w:p>
        </w:tc>
      </w:tr>
      <w:tr w14:paraId="147E92C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0" w:type="auto"/>
            <w:shd w:val="clear" w:color="auto" w:fill="auto"/>
            <w:tcMar>
              <w:left w:w="0" w:type="dxa"/>
              <w:right w:w="0" w:type="dxa"/>
            </w:tcMar>
            <w:vAlign w:val="center"/>
          </w:tcPr>
          <w:p w14:paraId="168B007F">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lang w:val="en-US" w:eastAsia="zh-CN"/>
              </w:rPr>
            </w:pPr>
            <w:r>
              <w:rPr>
                <w:rFonts w:hint="default" w:ascii="Times New Roman" w:hAnsi="Times New Roman" w:cs="Times New Roman" w:eastAsiaTheme="minorEastAsia"/>
                <w:sz w:val="21"/>
                <w:szCs w:val="21"/>
                <w:highlight w:val="none"/>
              </w:rPr>
              <w:t>500</w:t>
            </w:r>
          </w:p>
        </w:tc>
        <w:tc>
          <w:tcPr>
            <w:tcW w:w="0" w:type="auto"/>
            <w:shd w:val="clear" w:color="auto" w:fill="auto"/>
            <w:vAlign w:val="center"/>
          </w:tcPr>
          <w:p w14:paraId="5D1EA10C">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lang w:val="en-US" w:eastAsia="zh-CN"/>
              </w:rPr>
            </w:pPr>
            <w:r>
              <w:rPr>
                <w:rFonts w:hint="default" w:ascii="Times New Roman" w:hAnsi="Times New Roman" w:cs="Times New Roman" w:eastAsiaTheme="minorEastAsia"/>
                <w:sz w:val="21"/>
                <w:szCs w:val="21"/>
                <w:highlight w:val="none"/>
              </w:rPr>
              <w:t>5.2689</w:t>
            </w:r>
          </w:p>
        </w:tc>
        <w:tc>
          <w:tcPr>
            <w:tcW w:w="0" w:type="auto"/>
            <w:shd w:val="clear" w:color="auto" w:fill="auto"/>
            <w:vAlign w:val="center"/>
          </w:tcPr>
          <w:p w14:paraId="09DF038B">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lang w:val="en-US" w:eastAsia="zh-CN"/>
              </w:rPr>
            </w:pPr>
            <w:r>
              <w:rPr>
                <w:rFonts w:hint="default" w:ascii="Times New Roman" w:hAnsi="Times New Roman" w:cs="Times New Roman" w:eastAsiaTheme="minorEastAsia"/>
                <w:sz w:val="21"/>
                <w:szCs w:val="21"/>
                <w:highlight w:val="none"/>
              </w:rPr>
              <w:t>0.2634</w:t>
            </w:r>
          </w:p>
        </w:tc>
        <w:tc>
          <w:tcPr>
            <w:tcW w:w="0" w:type="auto"/>
            <w:shd w:val="clear" w:color="auto" w:fill="auto"/>
            <w:vAlign w:val="center"/>
          </w:tcPr>
          <w:p w14:paraId="2190B74B">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0.0317</w:t>
            </w:r>
          </w:p>
        </w:tc>
        <w:tc>
          <w:tcPr>
            <w:tcW w:w="0" w:type="auto"/>
            <w:shd w:val="clear" w:color="auto" w:fill="auto"/>
            <w:vAlign w:val="center"/>
          </w:tcPr>
          <w:p w14:paraId="6414A42A">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0.0016</w:t>
            </w:r>
          </w:p>
        </w:tc>
        <w:tc>
          <w:tcPr>
            <w:tcW w:w="0" w:type="auto"/>
            <w:shd w:val="clear" w:color="auto" w:fill="auto"/>
            <w:vAlign w:val="center"/>
          </w:tcPr>
          <w:p w14:paraId="60080C7B">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0.0046</w:t>
            </w:r>
          </w:p>
        </w:tc>
        <w:tc>
          <w:tcPr>
            <w:tcW w:w="0" w:type="auto"/>
            <w:shd w:val="clear" w:color="auto" w:fill="auto"/>
            <w:vAlign w:val="center"/>
          </w:tcPr>
          <w:p w14:paraId="4298F508">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0.0456</w:t>
            </w:r>
          </w:p>
        </w:tc>
      </w:tr>
      <w:tr w14:paraId="2E2419B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0" w:type="auto"/>
            <w:tcMar>
              <w:left w:w="0" w:type="dxa"/>
              <w:right w:w="0" w:type="dxa"/>
            </w:tcMar>
            <w:vAlign w:val="center"/>
          </w:tcPr>
          <w:p w14:paraId="59D82E80">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800</w:t>
            </w:r>
          </w:p>
        </w:tc>
        <w:tc>
          <w:tcPr>
            <w:tcW w:w="0" w:type="auto"/>
            <w:vAlign w:val="center"/>
          </w:tcPr>
          <w:p w14:paraId="25F3F216">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lang w:val="en-US" w:eastAsia="zh-CN"/>
              </w:rPr>
            </w:pPr>
            <w:r>
              <w:rPr>
                <w:rFonts w:hint="default" w:ascii="Times New Roman" w:hAnsi="Times New Roman" w:cs="Times New Roman" w:eastAsiaTheme="minorEastAsia"/>
                <w:sz w:val="21"/>
                <w:szCs w:val="21"/>
                <w:highlight w:val="none"/>
              </w:rPr>
              <w:t>0.0048</w:t>
            </w:r>
          </w:p>
        </w:tc>
        <w:tc>
          <w:tcPr>
            <w:tcW w:w="0" w:type="auto"/>
            <w:vAlign w:val="center"/>
          </w:tcPr>
          <w:p w14:paraId="503E746F">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lang w:val="en-US" w:eastAsia="zh-CN"/>
              </w:rPr>
            </w:pPr>
            <w:r>
              <w:rPr>
                <w:rFonts w:hint="default" w:ascii="Times New Roman" w:hAnsi="Times New Roman" w:cs="Times New Roman" w:eastAsiaTheme="minorEastAsia"/>
                <w:sz w:val="21"/>
                <w:szCs w:val="21"/>
                <w:highlight w:val="none"/>
              </w:rPr>
              <w:t>0.0002</w:t>
            </w:r>
          </w:p>
        </w:tc>
        <w:tc>
          <w:tcPr>
            <w:tcW w:w="0" w:type="auto"/>
            <w:vAlign w:val="center"/>
          </w:tcPr>
          <w:p w14:paraId="55238D8A">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0.0288</w:t>
            </w:r>
          </w:p>
        </w:tc>
        <w:tc>
          <w:tcPr>
            <w:tcW w:w="0" w:type="auto"/>
            <w:vAlign w:val="center"/>
          </w:tcPr>
          <w:p w14:paraId="5553E57C">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0.0014</w:t>
            </w:r>
          </w:p>
        </w:tc>
        <w:tc>
          <w:tcPr>
            <w:tcW w:w="0" w:type="auto"/>
            <w:vAlign w:val="center"/>
          </w:tcPr>
          <w:p w14:paraId="2F778B23">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0.0037</w:t>
            </w:r>
          </w:p>
        </w:tc>
        <w:tc>
          <w:tcPr>
            <w:tcW w:w="0" w:type="auto"/>
            <w:vAlign w:val="center"/>
          </w:tcPr>
          <w:p w14:paraId="5B122697">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0.0370</w:t>
            </w:r>
          </w:p>
        </w:tc>
      </w:tr>
      <w:tr w14:paraId="2CF54D6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0" w:type="auto"/>
            <w:tcMar>
              <w:left w:w="0" w:type="dxa"/>
              <w:right w:w="0" w:type="dxa"/>
            </w:tcMar>
            <w:vAlign w:val="center"/>
          </w:tcPr>
          <w:p w14:paraId="657E732B">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900</w:t>
            </w:r>
          </w:p>
        </w:tc>
        <w:tc>
          <w:tcPr>
            <w:tcW w:w="0" w:type="auto"/>
            <w:vAlign w:val="center"/>
          </w:tcPr>
          <w:p w14:paraId="1D9A988D">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lang w:val="en-US" w:eastAsia="zh-CN"/>
              </w:rPr>
            </w:pPr>
            <w:r>
              <w:rPr>
                <w:rFonts w:hint="default" w:ascii="Times New Roman" w:hAnsi="Times New Roman" w:cs="Times New Roman" w:eastAsiaTheme="minorEastAsia"/>
                <w:sz w:val="21"/>
                <w:szCs w:val="21"/>
                <w:highlight w:val="none"/>
              </w:rPr>
              <w:t>0.0041</w:t>
            </w:r>
          </w:p>
        </w:tc>
        <w:tc>
          <w:tcPr>
            <w:tcW w:w="0" w:type="auto"/>
            <w:vAlign w:val="center"/>
          </w:tcPr>
          <w:p w14:paraId="3B8DD7BC">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lang w:val="en-US" w:eastAsia="zh-CN"/>
              </w:rPr>
            </w:pPr>
            <w:r>
              <w:rPr>
                <w:rFonts w:hint="default" w:ascii="Times New Roman" w:hAnsi="Times New Roman" w:cs="Times New Roman" w:eastAsiaTheme="minorEastAsia"/>
                <w:sz w:val="21"/>
                <w:szCs w:val="21"/>
                <w:highlight w:val="none"/>
              </w:rPr>
              <w:t>0.0002</w:t>
            </w:r>
          </w:p>
        </w:tc>
        <w:tc>
          <w:tcPr>
            <w:tcW w:w="0" w:type="auto"/>
            <w:vAlign w:val="center"/>
          </w:tcPr>
          <w:p w14:paraId="45888F41">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0.0273</w:t>
            </w:r>
          </w:p>
        </w:tc>
        <w:tc>
          <w:tcPr>
            <w:tcW w:w="0" w:type="auto"/>
            <w:vAlign w:val="center"/>
          </w:tcPr>
          <w:p w14:paraId="70BD4089">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0.0014</w:t>
            </w:r>
          </w:p>
        </w:tc>
        <w:tc>
          <w:tcPr>
            <w:tcW w:w="0" w:type="auto"/>
            <w:vAlign w:val="center"/>
          </w:tcPr>
          <w:p w14:paraId="495A345D">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0.0031</w:t>
            </w:r>
          </w:p>
        </w:tc>
        <w:tc>
          <w:tcPr>
            <w:tcW w:w="0" w:type="auto"/>
            <w:vAlign w:val="center"/>
          </w:tcPr>
          <w:p w14:paraId="69D40DA5">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0.0308</w:t>
            </w:r>
          </w:p>
        </w:tc>
      </w:tr>
      <w:tr w14:paraId="6B4DE7A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0" w:type="auto"/>
            <w:tcMar>
              <w:left w:w="0" w:type="dxa"/>
              <w:right w:w="0" w:type="dxa"/>
            </w:tcMar>
            <w:vAlign w:val="center"/>
          </w:tcPr>
          <w:p w14:paraId="5AB1AFA9">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1000</w:t>
            </w:r>
          </w:p>
        </w:tc>
        <w:tc>
          <w:tcPr>
            <w:tcW w:w="0" w:type="auto"/>
            <w:shd w:val="clear" w:color="auto" w:fill="auto"/>
            <w:vAlign w:val="center"/>
          </w:tcPr>
          <w:p w14:paraId="768FD1C3">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lang w:val="en-US" w:eastAsia="zh-CN"/>
              </w:rPr>
            </w:pPr>
            <w:r>
              <w:rPr>
                <w:rFonts w:hint="default" w:ascii="Times New Roman" w:hAnsi="Times New Roman" w:cs="Times New Roman" w:eastAsiaTheme="minorEastAsia"/>
                <w:sz w:val="21"/>
                <w:szCs w:val="21"/>
                <w:highlight w:val="none"/>
              </w:rPr>
              <w:t>2.0417</w:t>
            </w:r>
          </w:p>
        </w:tc>
        <w:tc>
          <w:tcPr>
            <w:tcW w:w="0" w:type="auto"/>
            <w:shd w:val="clear" w:color="auto" w:fill="auto"/>
            <w:vAlign w:val="center"/>
          </w:tcPr>
          <w:p w14:paraId="3DFF1B9E">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lang w:val="en-US" w:eastAsia="zh-CN"/>
              </w:rPr>
            </w:pPr>
            <w:r>
              <w:rPr>
                <w:rFonts w:hint="default" w:ascii="Times New Roman" w:hAnsi="Times New Roman" w:cs="Times New Roman" w:eastAsiaTheme="minorEastAsia"/>
                <w:sz w:val="21"/>
                <w:szCs w:val="21"/>
                <w:highlight w:val="none"/>
              </w:rPr>
              <w:t>0.1021</w:t>
            </w:r>
          </w:p>
        </w:tc>
        <w:tc>
          <w:tcPr>
            <w:tcW w:w="0" w:type="auto"/>
            <w:shd w:val="clear" w:color="auto" w:fill="auto"/>
            <w:vAlign w:val="center"/>
          </w:tcPr>
          <w:p w14:paraId="7F72729C">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0.0208</w:t>
            </w:r>
          </w:p>
        </w:tc>
        <w:tc>
          <w:tcPr>
            <w:tcW w:w="0" w:type="auto"/>
            <w:shd w:val="clear" w:color="auto" w:fill="auto"/>
            <w:vAlign w:val="center"/>
          </w:tcPr>
          <w:p w14:paraId="067D2936">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0.0010</w:t>
            </w:r>
          </w:p>
        </w:tc>
        <w:tc>
          <w:tcPr>
            <w:tcW w:w="0" w:type="auto"/>
            <w:shd w:val="clear" w:color="auto" w:fill="auto"/>
            <w:vAlign w:val="center"/>
          </w:tcPr>
          <w:p w14:paraId="48606DAF">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0.0026</w:t>
            </w:r>
          </w:p>
        </w:tc>
        <w:tc>
          <w:tcPr>
            <w:tcW w:w="0" w:type="auto"/>
            <w:shd w:val="clear" w:color="auto" w:fill="auto"/>
            <w:vAlign w:val="center"/>
          </w:tcPr>
          <w:p w14:paraId="4735E586">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0.0262</w:t>
            </w:r>
          </w:p>
        </w:tc>
      </w:tr>
      <w:tr w14:paraId="0B7E205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0" w:type="auto"/>
            <w:tcMar>
              <w:left w:w="0" w:type="dxa"/>
              <w:right w:w="0" w:type="dxa"/>
            </w:tcMar>
            <w:vAlign w:val="center"/>
          </w:tcPr>
          <w:p w14:paraId="00CDBF05">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lang w:val="en-US" w:eastAsia="zh-CN"/>
              </w:rPr>
            </w:pPr>
            <w:r>
              <w:rPr>
                <w:rFonts w:hint="default" w:ascii="Times New Roman" w:hAnsi="Times New Roman" w:cs="Times New Roman" w:eastAsiaTheme="minorEastAsia"/>
                <w:sz w:val="21"/>
                <w:szCs w:val="21"/>
                <w:highlight w:val="none"/>
              </w:rPr>
              <w:t>1</w:t>
            </w:r>
            <w:r>
              <w:rPr>
                <w:rFonts w:hint="eastAsia" w:ascii="Times New Roman" w:hAnsi="Times New Roman" w:cs="Times New Roman" w:eastAsiaTheme="minorEastAsia"/>
                <w:sz w:val="21"/>
                <w:szCs w:val="21"/>
                <w:highlight w:val="none"/>
                <w:lang w:val="en-US" w:eastAsia="zh-CN"/>
              </w:rPr>
              <w:t>500</w:t>
            </w:r>
          </w:p>
        </w:tc>
        <w:tc>
          <w:tcPr>
            <w:tcW w:w="0" w:type="auto"/>
            <w:shd w:val="clear" w:color="auto" w:fill="auto"/>
            <w:vAlign w:val="center"/>
          </w:tcPr>
          <w:p w14:paraId="5DDF06E2">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lang w:val="en-US" w:eastAsia="zh-CN"/>
              </w:rPr>
            </w:pPr>
            <w:r>
              <w:rPr>
                <w:rFonts w:hint="default" w:ascii="Times New Roman" w:hAnsi="Times New Roman" w:cs="Times New Roman" w:eastAsiaTheme="minorEastAsia"/>
                <w:sz w:val="21"/>
                <w:szCs w:val="21"/>
                <w:highlight w:val="none"/>
              </w:rPr>
              <w:t>1.1980</w:t>
            </w:r>
          </w:p>
        </w:tc>
        <w:tc>
          <w:tcPr>
            <w:tcW w:w="0" w:type="auto"/>
            <w:shd w:val="clear" w:color="auto" w:fill="auto"/>
            <w:vAlign w:val="center"/>
          </w:tcPr>
          <w:p w14:paraId="7A876A34">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lang w:val="en-US" w:eastAsia="zh-CN"/>
              </w:rPr>
            </w:pPr>
            <w:r>
              <w:rPr>
                <w:rFonts w:hint="default" w:ascii="Times New Roman" w:hAnsi="Times New Roman" w:cs="Times New Roman" w:eastAsiaTheme="minorEastAsia"/>
                <w:sz w:val="21"/>
                <w:szCs w:val="21"/>
                <w:highlight w:val="none"/>
              </w:rPr>
              <w:t>0.0599</w:t>
            </w:r>
          </w:p>
        </w:tc>
        <w:tc>
          <w:tcPr>
            <w:tcW w:w="0" w:type="auto"/>
            <w:shd w:val="clear" w:color="auto" w:fill="auto"/>
            <w:vAlign w:val="center"/>
          </w:tcPr>
          <w:p w14:paraId="4AD2E363">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0.0134</w:t>
            </w:r>
          </w:p>
        </w:tc>
        <w:tc>
          <w:tcPr>
            <w:tcW w:w="0" w:type="auto"/>
            <w:shd w:val="clear" w:color="auto" w:fill="auto"/>
            <w:vAlign w:val="center"/>
          </w:tcPr>
          <w:p w14:paraId="7E637353">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0.0007</w:t>
            </w:r>
          </w:p>
        </w:tc>
        <w:tc>
          <w:tcPr>
            <w:tcW w:w="0" w:type="auto"/>
            <w:shd w:val="clear" w:color="auto" w:fill="auto"/>
            <w:vAlign w:val="center"/>
          </w:tcPr>
          <w:p w14:paraId="507CC19F">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0.0023</w:t>
            </w:r>
          </w:p>
        </w:tc>
        <w:tc>
          <w:tcPr>
            <w:tcW w:w="0" w:type="auto"/>
            <w:shd w:val="clear" w:color="auto" w:fill="auto"/>
            <w:vAlign w:val="center"/>
          </w:tcPr>
          <w:p w14:paraId="39EFA228">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0.0227</w:t>
            </w:r>
          </w:p>
        </w:tc>
      </w:tr>
      <w:tr w14:paraId="6D1E931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0" w:type="auto"/>
            <w:tcMar>
              <w:left w:w="0" w:type="dxa"/>
              <w:right w:w="0" w:type="dxa"/>
            </w:tcMar>
            <w:vAlign w:val="center"/>
          </w:tcPr>
          <w:p w14:paraId="5623BFA5">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2000</w:t>
            </w:r>
          </w:p>
        </w:tc>
        <w:tc>
          <w:tcPr>
            <w:tcW w:w="0" w:type="auto"/>
            <w:shd w:val="clear" w:color="auto" w:fill="auto"/>
            <w:vAlign w:val="center"/>
          </w:tcPr>
          <w:p w14:paraId="57C6461B">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lang w:val="en-US" w:eastAsia="zh-CN"/>
              </w:rPr>
            </w:pPr>
            <w:r>
              <w:rPr>
                <w:rFonts w:hint="default" w:ascii="Times New Roman" w:hAnsi="Times New Roman" w:cs="Times New Roman" w:eastAsiaTheme="minorEastAsia"/>
                <w:sz w:val="21"/>
                <w:szCs w:val="21"/>
                <w:highlight w:val="none"/>
              </w:rPr>
              <w:t>0.8095</w:t>
            </w:r>
          </w:p>
        </w:tc>
        <w:tc>
          <w:tcPr>
            <w:tcW w:w="0" w:type="auto"/>
            <w:shd w:val="clear" w:color="auto" w:fill="auto"/>
            <w:vAlign w:val="center"/>
          </w:tcPr>
          <w:p w14:paraId="50981539">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lang w:val="en-US" w:eastAsia="zh-CN"/>
              </w:rPr>
            </w:pPr>
            <w:r>
              <w:rPr>
                <w:rFonts w:hint="default" w:ascii="Times New Roman" w:hAnsi="Times New Roman" w:cs="Times New Roman" w:eastAsiaTheme="minorEastAsia"/>
                <w:sz w:val="21"/>
                <w:szCs w:val="21"/>
                <w:highlight w:val="none"/>
              </w:rPr>
              <w:t>0.0405</w:t>
            </w:r>
          </w:p>
        </w:tc>
        <w:tc>
          <w:tcPr>
            <w:tcW w:w="0" w:type="auto"/>
            <w:shd w:val="clear" w:color="auto" w:fill="auto"/>
            <w:vAlign w:val="center"/>
          </w:tcPr>
          <w:p w14:paraId="300DC348">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0.0084</w:t>
            </w:r>
          </w:p>
        </w:tc>
        <w:tc>
          <w:tcPr>
            <w:tcW w:w="0" w:type="auto"/>
            <w:shd w:val="clear" w:color="auto" w:fill="auto"/>
            <w:vAlign w:val="center"/>
          </w:tcPr>
          <w:p w14:paraId="717D0E61">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0.0004</w:t>
            </w:r>
          </w:p>
        </w:tc>
        <w:tc>
          <w:tcPr>
            <w:tcW w:w="0" w:type="auto"/>
            <w:shd w:val="clear" w:color="auto" w:fill="auto"/>
            <w:vAlign w:val="center"/>
          </w:tcPr>
          <w:p w14:paraId="4934D002">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0.0014</w:t>
            </w:r>
          </w:p>
        </w:tc>
        <w:tc>
          <w:tcPr>
            <w:tcW w:w="0" w:type="auto"/>
            <w:shd w:val="clear" w:color="auto" w:fill="auto"/>
            <w:vAlign w:val="center"/>
          </w:tcPr>
          <w:p w14:paraId="08012FA5">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0.0143</w:t>
            </w:r>
          </w:p>
        </w:tc>
      </w:tr>
      <w:tr w14:paraId="5514DD1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0" w:type="auto"/>
            <w:tcMar>
              <w:left w:w="0" w:type="dxa"/>
              <w:right w:w="0" w:type="dxa"/>
            </w:tcMar>
            <w:vAlign w:val="center"/>
          </w:tcPr>
          <w:p w14:paraId="5BBA70FC">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2500</w:t>
            </w:r>
          </w:p>
        </w:tc>
        <w:tc>
          <w:tcPr>
            <w:tcW w:w="0" w:type="auto"/>
            <w:shd w:val="clear" w:color="auto" w:fill="auto"/>
            <w:vAlign w:val="center"/>
          </w:tcPr>
          <w:p w14:paraId="3A73C088">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lang w:val="en-US" w:eastAsia="zh-CN"/>
              </w:rPr>
            </w:pPr>
            <w:r>
              <w:rPr>
                <w:rFonts w:hint="default" w:ascii="Times New Roman" w:hAnsi="Times New Roman" w:cs="Times New Roman" w:eastAsiaTheme="minorEastAsia"/>
                <w:sz w:val="21"/>
                <w:szCs w:val="21"/>
                <w:highlight w:val="none"/>
              </w:rPr>
              <w:t>0.5973</w:t>
            </w:r>
          </w:p>
        </w:tc>
        <w:tc>
          <w:tcPr>
            <w:tcW w:w="0" w:type="auto"/>
            <w:shd w:val="clear" w:color="auto" w:fill="auto"/>
            <w:vAlign w:val="center"/>
          </w:tcPr>
          <w:p w14:paraId="7E09222F">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lang w:val="en-US" w:eastAsia="zh-CN"/>
              </w:rPr>
            </w:pPr>
            <w:r>
              <w:rPr>
                <w:rFonts w:hint="default" w:ascii="Times New Roman" w:hAnsi="Times New Roman" w:cs="Times New Roman" w:eastAsiaTheme="minorEastAsia"/>
                <w:sz w:val="21"/>
                <w:szCs w:val="21"/>
                <w:highlight w:val="none"/>
              </w:rPr>
              <w:t>0.0299</w:t>
            </w:r>
          </w:p>
        </w:tc>
        <w:tc>
          <w:tcPr>
            <w:tcW w:w="0" w:type="auto"/>
            <w:shd w:val="clear" w:color="auto" w:fill="auto"/>
            <w:vAlign w:val="center"/>
          </w:tcPr>
          <w:p w14:paraId="495D00DE">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0.0068</w:t>
            </w:r>
          </w:p>
        </w:tc>
        <w:tc>
          <w:tcPr>
            <w:tcW w:w="0" w:type="auto"/>
            <w:shd w:val="clear" w:color="auto" w:fill="auto"/>
            <w:vAlign w:val="center"/>
          </w:tcPr>
          <w:p w14:paraId="00F853BA">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0.0003</w:t>
            </w:r>
          </w:p>
        </w:tc>
        <w:tc>
          <w:tcPr>
            <w:tcW w:w="0" w:type="auto"/>
            <w:shd w:val="clear" w:color="auto" w:fill="auto"/>
            <w:vAlign w:val="center"/>
          </w:tcPr>
          <w:p w14:paraId="6F7E3DE4">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0.0009</w:t>
            </w:r>
          </w:p>
        </w:tc>
        <w:tc>
          <w:tcPr>
            <w:tcW w:w="0" w:type="auto"/>
            <w:shd w:val="clear" w:color="auto" w:fill="auto"/>
            <w:vAlign w:val="center"/>
          </w:tcPr>
          <w:p w14:paraId="3686A84D">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0.0088</w:t>
            </w:r>
          </w:p>
        </w:tc>
      </w:tr>
      <w:tr w14:paraId="0C916C3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0" w:type="auto"/>
            <w:tcMar>
              <w:left w:w="0" w:type="dxa"/>
              <w:right w:w="0" w:type="dxa"/>
            </w:tcMar>
            <w:vAlign w:val="center"/>
          </w:tcPr>
          <w:p w14:paraId="46346D30">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下风向最大浓度处</w:t>
            </w:r>
          </w:p>
        </w:tc>
        <w:tc>
          <w:tcPr>
            <w:tcW w:w="0" w:type="auto"/>
            <w:vAlign w:val="center"/>
          </w:tcPr>
          <w:p w14:paraId="10B1AB58">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lang w:val="en-US" w:eastAsia="zh-CN"/>
              </w:rPr>
            </w:pPr>
            <w:r>
              <w:rPr>
                <w:rFonts w:hint="default" w:ascii="Times New Roman" w:hAnsi="Times New Roman" w:cs="Times New Roman" w:eastAsiaTheme="minorEastAsia"/>
                <w:sz w:val="21"/>
                <w:szCs w:val="21"/>
                <w:highlight w:val="none"/>
              </w:rPr>
              <w:t>193.0200</w:t>
            </w:r>
          </w:p>
        </w:tc>
        <w:tc>
          <w:tcPr>
            <w:tcW w:w="0" w:type="auto"/>
            <w:vAlign w:val="center"/>
          </w:tcPr>
          <w:p w14:paraId="2FF2160B">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lang w:val="en-US" w:eastAsia="zh-CN"/>
              </w:rPr>
            </w:pPr>
            <w:r>
              <w:rPr>
                <w:rFonts w:hint="default" w:ascii="Times New Roman" w:hAnsi="Times New Roman" w:cs="Times New Roman" w:eastAsiaTheme="minorEastAsia"/>
                <w:sz w:val="21"/>
                <w:szCs w:val="21"/>
                <w:highlight w:val="none"/>
              </w:rPr>
              <w:t>9.6510</w:t>
            </w:r>
          </w:p>
        </w:tc>
        <w:tc>
          <w:tcPr>
            <w:tcW w:w="0" w:type="auto"/>
            <w:vAlign w:val="center"/>
          </w:tcPr>
          <w:p w14:paraId="0FE1B081">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0.1320</w:t>
            </w:r>
          </w:p>
        </w:tc>
        <w:tc>
          <w:tcPr>
            <w:tcW w:w="0" w:type="auto"/>
            <w:vAlign w:val="center"/>
          </w:tcPr>
          <w:p w14:paraId="05A7C525">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0.0066</w:t>
            </w:r>
          </w:p>
        </w:tc>
        <w:tc>
          <w:tcPr>
            <w:tcW w:w="0" w:type="auto"/>
            <w:vAlign w:val="center"/>
          </w:tcPr>
          <w:p w14:paraId="7E29A576">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0.0006</w:t>
            </w:r>
          </w:p>
        </w:tc>
        <w:tc>
          <w:tcPr>
            <w:tcW w:w="0" w:type="auto"/>
            <w:vAlign w:val="center"/>
          </w:tcPr>
          <w:p w14:paraId="0CB4E311">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0.0065</w:t>
            </w:r>
          </w:p>
        </w:tc>
      </w:tr>
      <w:tr w14:paraId="700AE66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0" w:type="auto"/>
            <w:tcMar>
              <w:left w:w="0" w:type="dxa"/>
              <w:right w:w="0" w:type="dxa"/>
            </w:tcMar>
            <w:vAlign w:val="center"/>
          </w:tcPr>
          <w:p w14:paraId="0AE507EC">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sz w:val="21"/>
                <w:szCs w:val="21"/>
                <w:highlight w:val="none"/>
              </w:rPr>
            </w:pPr>
            <w:r>
              <w:rPr>
                <w:rFonts w:hint="default"/>
                <w:sz w:val="21"/>
                <w:szCs w:val="21"/>
                <w:highlight w:val="none"/>
              </w:rPr>
              <w:t>最大落地浓度距离</w:t>
            </w:r>
          </w:p>
        </w:tc>
        <w:tc>
          <w:tcPr>
            <w:tcW w:w="0" w:type="auto"/>
            <w:gridSpan w:val="2"/>
            <w:vAlign w:val="center"/>
          </w:tcPr>
          <w:p w14:paraId="098D4240">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eastAsia"/>
                <w:sz w:val="21"/>
                <w:szCs w:val="21"/>
                <w:highlight w:val="none"/>
              </w:rPr>
            </w:pPr>
            <w:r>
              <w:rPr>
                <w:rFonts w:hint="eastAsia"/>
                <w:sz w:val="21"/>
                <w:szCs w:val="21"/>
                <w:highlight w:val="none"/>
                <w:lang w:val="en-US" w:eastAsia="zh-CN"/>
              </w:rPr>
              <w:t>32</w:t>
            </w:r>
            <w:r>
              <w:rPr>
                <w:rFonts w:hint="default"/>
                <w:sz w:val="21"/>
                <w:szCs w:val="21"/>
                <w:highlight w:val="none"/>
              </w:rPr>
              <w:t>m</w:t>
            </w:r>
          </w:p>
        </w:tc>
        <w:tc>
          <w:tcPr>
            <w:tcW w:w="0" w:type="auto"/>
            <w:gridSpan w:val="2"/>
            <w:vAlign w:val="center"/>
          </w:tcPr>
          <w:p w14:paraId="22478EBE">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eastAsia"/>
                <w:sz w:val="21"/>
                <w:szCs w:val="21"/>
                <w:highlight w:val="none"/>
                <w:lang w:val="en-US" w:eastAsia="zh-CN"/>
              </w:rPr>
            </w:pPr>
            <w:r>
              <w:rPr>
                <w:rFonts w:hint="eastAsia" w:eastAsiaTheme="minorEastAsia"/>
                <w:sz w:val="21"/>
                <w:szCs w:val="21"/>
                <w:highlight w:val="none"/>
              </w:rPr>
              <w:t>79</w:t>
            </w:r>
            <w:r>
              <w:rPr>
                <w:rFonts w:hint="default" w:eastAsiaTheme="minorEastAsia"/>
                <w:sz w:val="21"/>
                <w:szCs w:val="21"/>
                <w:highlight w:val="none"/>
              </w:rPr>
              <w:t>m</w:t>
            </w:r>
          </w:p>
        </w:tc>
        <w:tc>
          <w:tcPr>
            <w:tcW w:w="0" w:type="auto"/>
            <w:gridSpan w:val="2"/>
            <w:vAlign w:val="center"/>
          </w:tcPr>
          <w:p w14:paraId="0CED9230">
            <w:pPr>
              <w:keepNext w:val="0"/>
              <w:keepLines w:val="0"/>
              <w:pageBreakBefore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eastAsiaTheme="minorEastAsia"/>
                <w:sz w:val="21"/>
                <w:szCs w:val="21"/>
                <w:highlight w:val="none"/>
                <w:lang w:val="en-US" w:eastAsia="zh-CN"/>
              </w:rPr>
            </w:pPr>
            <w:r>
              <w:rPr>
                <w:rFonts w:hint="eastAsia" w:eastAsiaTheme="minorEastAsia"/>
                <w:sz w:val="21"/>
                <w:szCs w:val="21"/>
                <w:highlight w:val="none"/>
                <w:lang w:val="en-US" w:eastAsia="zh-CN"/>
              </w:rPr>
              <w:t>16m</w:t>
            </w:r>
          </w:p>
        </w:tc>
      </w:tr>
    </w:tbl>
    <w:p w14:paraId="678EE024">
      <w:pPr>
        <w:pStyle w:val="7"/>
        <w:bidi w:val="0"/>
        <w:rPr>
          <w:rFonts w:hint="eastAsia"/>
          <w:highlight w:val="none"/>
          <w:lang w:val="en-US" w:eastAsia="zh-CN"/>
        </w:rPr>
      </w:pPr>
    </w:p>
    <w:p w14:paraId="6CB2406A">
      <w:pPr>
        <w:wordWrap/>
        <w:adjustRightInd/>
        <w:snapToGrid/>
        <w:spacing w:line="240" w:lineRule="auto"/>
        <w:ind w:firstLine="0" w:firstLineChars="0"/>
        <w:jc w:val="center"/>
        <w:rPr>
          <w:rFonts w:ascii="Times New Roman" w:hAnsi="Times New Roman" w:cs="Times New Roman" w:eastAsiaTheme="minorEastAsia"/>
          <w:b/>
          <w:sz w:val="24"/>
          <w:highlight w:val="none"/>
        </w:rPr>
      </w:pPr>
      <w:r>
        <w:rPr>
          <w:rFonts w:ascii="Times New Roman" w:cs="Times New Roman" w:hAnsiTheme="minorEastAsia" w:eastAsiaTheme="minorEastAsia"/>
          <w:b/>
          <w:sz w:val="24"/>
          <w:highlight w:val="none"/>
        </w:rPr>
        <w:t>表</w:t>
      </w:r>
      <w:r>
        <w:rPr>
          <w:rFonts w:ascii="Times New Roman" w:hAnsi="Times New Roman" w:cs="Times New Roman" w:eastAsiaTheme="minorEastAsia"/>
          <w:b/>
          <w:sz w:val="24"/>
          <w:highlight w:val="none"/>
        </w:rPr>
        <w:t>5-2-8</w:t>
      </w:r>
      <w:r>
        <w:rPr>
          <w:rFonts w:hint="eastAsia" w:ascii="Times New Roman" w:hAnsi="Times New Roman" w:cs="Times New Roman" w:eastAsiaTheme="minorEastAsia"/>
          <w:b/>
          <w:sz w:val="24"/>
          <w:highlight w:val="none"/>
        </w:rPr>
        <w:t xml:space="preserve"> </w:t>
      </w:r>
      <w:r>
        <w:rPr>
          <w:rFonts w:ascii="Times New Roman" w:cs="Times New Roman" w:hAnsiTheme="minorEastAsia" w:eastAsiaTheme="minorEastAsia"/>
          <w:b/>
          <w:sz w:val="24"/>
          <w:highlight w:val="none"/>
        </w:rPr>
        <w:t>主要污染源估算模型计算结果表（</w:t>
      </w:r>
      <w:r>
        <w:rPr>
          <w:rFonts w:hAnsiTheme="minorEastAsia" w:eastAsiaTheme="minorEastAsia"/>
          <w:b/>
          <w:bCs/>
          <w:sz w:val="24"/>
          <w:highlight w:val="none"/>
        </w:rPr>
        <w:t>机加生产线</w:t>
      </w:r>
      <w:r>
        <w:rPr>
          <w:rFonts w:eastAsiaTheme="minorEastAsia"/>
          <w:b/>
          <w:bCs/>
          <w:sz w:val="24"/>
          <w:highlight w:val="none"/>
        </w:rPr>
        <w:t>DA0</w:t>
      </w:r>
      <w:r>
        <w:rPr>
          <w:rFonts w:hint="eastAsia" w:eastAsiaTheme="minorEastAsia"/>
          <w:b/>
          <w:bCs/>
          <w:sz w:val="24"/>
          <w:highlight w:val="none"/>
          <w:lang w:val="en-US" w:eastAsia="zh-CN"/>
        </w:rPr>
        <w:t>65</w:t>
      </w:r>
      <w:r>
        <w:rPr>
          <w:rFonts w:hAnsiTheme="minorEastAsia" w:eastAsiaTheme="minorEastAsia"/>
          <w:b/>
          <w:bCs/>
          <w:sz w:val="24"/>
          <w:highlight w:val="none"/>
        </w:rPr>
        <w:t>排气筒</w:t>
      </w:r>
      <w:r>
        <w:rPr>
          <w:rFonts w:ascii="Times New Roman" w:cs="Times New Roman" w:hAnsiTheme="minorEastAsia" w:eastAsiaTheme="minorEastAsia"/>
          <w:b/>
          <w:sz w:val="24"/>
          <w:highlight w:val="none"/>
        </w:rPr>
        <w:t>）</w:t>
      </w:r>
    </w:p>
    <w:tbl>
      <w:tblPr>
        <w:tblStyle w:val="45"/>
        <w:tblW w:w="8088"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2433"/>
        <w:gridCol w:w="2881"/>
        <w:gridCol w:w="2774"/>
      </w:tblGrid>
      <w:tr w14:paraId="50A35DC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25" w:hRule="atLeast"/>
          <w:jc w:val="center"/>
        </w:trPr>
        <w:tc>
          <w:tcPr>
            <w:tcW w:w="2433" w:type="dxa"/>
            <w:vMerge w:val="restart"/>
            <w:tcMar>
              <w:left w:w="0" w:type="dxa"/>
              <w:right w:w="0" w:type="dxa"/>
            </w:tcMar>
            <w:vAlign w:val="center"/>
          </w:tcPr>
          <w:p w14:paraId="488546E8">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kern w:val="0"/>
                <w:sz w:val="21"/>
                <w:szCs w:val="21"/>
                <w:highlight w:val="none"/>
              </w:rPr>
            </w:pPr>
            <w:r>
              <w:rPr>
                <w:rFonts w:hint="default" w:ascii="Times New Roman" w:cs="Times New Roman" w:hAnsiTheme="minorEastAsia" w:eastAsiaTheme="minorEastAsia"/>
                <w:kern w:val="0"/>
                <w:sz w:val="21"/>
                <w:szCs w:val="21"/>
                <w:highlight w:val="none"/>
              </w:rPr>
              <w:t>下风向距离</w:t>
            </w:r>
            <w:r>
              <w:rPr>
                <w:rFonts w:hint="default" w:ascii="Times New Roman" w:hAnsi="Times New Roman" w:cs="Times New Roman" w:eastAsiaTheme="minorEastAsia"/>
                <w:kern w:val="0"/>
                <w:sz w:val="21"/>
                <w:szCs w:val="21"/>
                <w:highlight w:val="none"/>
              </w:rPr>
              <w:t>D(m)</w:t>
            </w:r>
          </w:p>
        </w:tc>
        <w:tc>
          <w:tcPr>
            <w:tcW w:w="5655" w:type="dxa"/>
            <w:gridSpan w:val="2"/>
            <w:vAlign w:val="center"/>
          </w:tcPr>
          <w:p w14:paraId="091BE12D">
            <w:pPr>
              <w:pStyle w:val="135"/>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NMHC</w:t>
            </w:r>
          </w:p>
        </w:tc>
      </w:tr>
      <w:tr w14:paraId="7B5A44B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25" w:hRule="atLeast"/>
          <w:jc w:val="center"/>
        </w:trPr>
        <w:tc>
          <w:tcPr>
            <w:tcW w:w="2433" w:type="dxa"/>
            <w:vMerge w:val="continue"/>
            <w:tcMar>
              <w:left w:w="0" w:type="dxa"/>
              <w:right w:w="0" w:type="dxa"/>
            </w:tcMar>
            <w:vAlign w:val="center"/>
          </w:tcPr>
          <w:p w14:paraId="56C89433">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p>
        </w:tc>
        <w:tc>
          <w:tcPr>
            <w:tcW w:w="2881" w:type="dxa"/>
            <w:vAlign w:val="center"/>
          </w:tcPr>
          <w:p w14:paraId="1C661F64">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cs="Times New Roman" w:hAnsiTheme="minorEastAsia" w:eastAsiaTheme="minorEastAsia"/>
                <w:kern w:val="0"/>
                <w:sz w:val="21"/>
                <w:szCs w:val="21"/>
                <w:highlight w:val="none"/>
              </w:rPr>
              <w:t>预测浓度</w:t>
            </w:r>
            <w:r>
              <w:rPr>
                <w:rFonts w:hint="default" w:ascii="Times New Roman" w:hAnsi="Times New Roman" w:cs="Times New Roman" w:eastAsiaTheme="minorEastAsia"/>
                <w:kern w:val="0"/>
                <w:sz w:val="21"/>
                <w:szCs w:val="21"/>
                <w:highlight w:val="none"/>
              </w:rPr>
              <w:t>(</w:t>
            </w:r>
            <w:r>
              <w:rPr>
                <w:rFonts w:hint="default" w:ascii="Times New Roman" w:hAnsi="Times New Roman" w:cs="Times New Roman" w:eastAsiaTheme="minorEastAsia"/>
                <w:sz w:val="21"/>
                <w:szCs w:val="21"/>
                <w:highlight w:val="none"/>
              </w:rPr>
              <w:t>μg/m</w:t>
            </w:r>
            <w:r>
              <w:rPr>
                <w:rFonts w:hint="default" w:ascii="Times New Roman" w:hAnsi="Times New Roman" w:cs="Times New Roman" w:eastAsiaTheme="minorEastAsia"/>
                <w:sz w:val="21"/>
                <w:szCs w:val="21"/>
                <w:highlight w:val="none"/>
                <w:vertAlign w:val="superscript"/>
              </w:rPr>
              <w:t>3</w:t>
            </w:r>
            <w:r>
              <w:rPr>
                <w:rFonts w:hint="default" w:ascii="Times New Roman" w:hAnsi="Times New Roman" w:cs="Times New Roman" w:eastAsiaTheme="minorEastAsia"/>
                <w:kern w:val="0"/>
                <w:sz w:val="21"/>
                <w:szCs w:val="21"/>
                <w:highlight w:val="none"/>
              </w:rPr>
              <w:t>)</w:t>
            </w:r>
          </w:p>
        </w:tc>
        <w:tc>
          <w:tcPr>
            <w:tcW w:w="2774" w:type="dxa"/>
            <w:vAlign w:val="center"/>
          </w:tcPr>
          <w:p w14:paraId="3D603BA1">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cs="Times New Roman" w:hAnsiTheme="minorEastAsia" w:eastAsiaTheme="minorEastAsia"/>
                <w:kern w:val="0"/>
                <w:sz w:val="21"/>
                <w:szCs w:val="21"/>
                <w:highlight w:val="none"/>
              </w:rPr>
              <w:t>占标率</w:t>
            </w:r>
            <w:r>
              <w:rPr>
                <w:rFonts w:hint="default" w:ascii="Times New Roman" w:hAnsi="Times New Roman" w:cs="Times New Roman" w:eastAsiaTheme="minorEastAsia"/>
                <w:kern w:val="0"/>
                <w:sz w:val="21"/>
                <w:szCs w:val="21"/>
                <w:highlight w:val="none"/>
              </w:rPr>
              <w:t>(%)</w:t>
            </w:r>
          </w:p>
        </w:tc>
      </w:tr>
      <w:tr w14:paraId="6539A1A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25" w:hRule="atLeast"/>
          <w:jc w:val="center"/>
        </w:trPr>
        <w:tc>
          <w:tcPr>
            <w:tcW w:w="2433" w:type="dxa"/>
            <w:tcMar>
              <w:left w:w="0" w:type="dxa"/>
              <w:right w:w="0" w:type="dxa"/>
            </w:tcMar>
            <w:vAlign w:val="center"/>
          </w:tcPr>
          <w:p w14:paraId="0C1B8FF1">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1.0</w:t>
            </w:r>
          </w:p>
        </w:tc>
        <w:tc>
          <w:tcPr>
            <w:tcW w:w="2881" w:type="dxa"/>
            <w:vAlign w:val="center"/>
          </w:tcPr>
          <w:p w14:paraId="0C0989FB">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14.7640</w:t>
            </w:r>
          </w:p>
        </w:tc>
        <w:tc>
          <w:tcPr>
            <w:tcW w:w="2774" w:type="dxa"/>
            <w:vAlign w:val="center"/>
          </w:tcPr>
          <w:p w14:paraId="72B1370F">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0.7382</w:t>
            </w:r>
          </w:p>
        </w:tc>
      </w:tr>
      <w:tr w14:paraId="74CAD40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1" w:hRule="atLeast"/>
          <w:jc w:val="center"/>
        </w:trPr>
        <w:tc>
          <w:tcPr>
            <w:tcW w:w="2433" w:type="dxa"/>
            <w:tcMar>
              <w:left w:w="0" w:type="dxa"/>
              <w:right w:w="0" w:type="dxa"/>
            </w:tcMar>
            <w:vAlign w:val="center"/>
          </w:tcPr>
          <w:p w14:paraId="50C1C2B9">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100</w:t>
            </w:r>
          </w:p>
        </w:tc>
        <w:tc>
          <w:tcPr>
            <w:tcW w:w="2881" w:type="dxa"/>
            <w:vAlign w:val="center"/>
          </w:tcPr>
          <w:p w14:paraId="5DC0D484">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21.4600</w:t>
            </w:r>
          </w:p>
        </w:tc>
        <w:tc>
          <w:tcPr>
            <w:tcW w:w="2774" w:type="dxa"/>
            <w:vAlign w:val="center"/>
          </w:tcPr>
          <w:p w14:paraId="53842608">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1.0730</w:t>
            </w:r>
          </w:p>
        </w:tc>
      </w:tr>
      <w:tr w14:paraId="0EBED8A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1" w:hRule="atLeast"/>
          <w:jc w:val="center"/>
        </w:trPr>
        <w:tc>
          <w:tcPr>
            <w:tcW w:w="2433" w:type="dxa"/>
            <w:tcMar>
              <w:left w:w="0" w:type="dxa"/>
              <w:right w:w="0" w:type="dxa"/>
            </w:tcMar>
            <w:vAlign w:val="center"/>
          </w:tcPr>
          <w:p w14:paraId="154FCE9F">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200</w:t>
            </w:r>
          </w:p>
        </w:tc>
        <w:tc>
          <w:tcPr>
            <w:tcW w:w="2881" w:type="dxa"/>
            <w:vAlign w:val="center"/>
          </w:tcPr>
          <w:p w14:paraId="4FDA5D0D">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8.8834</w:t>
            </w:r>
          </w:p>
        </w:tc>
        <w:tc>
          <w:tcPr>
            <w:tcW w:w="2774" w:type="dxa"/>
            <w:vAlign w:val="center"/>
          </w:tcPr>
          <w:p w14:paraId="2E278676">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0.4442</w:t>
            </w:r>
          </w:p>
        </w:tc>
      </w:tr>
      <w:tr w14:paraId="21BCC90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1" w:hRule="atLeast"/>
          <w:jc w:val="center"/>
        </w:trPr>
        <w:tc>
          <w:tcPr>
            <w:tcW w:w="2433" w:type="dxa"/>
            <w:tcMar>
              <w:left w:w="0" w:type="dxa"/>
              <w:right w:w="0" w:type="dxa"/>
            </w:tcMar>
            <w:vAlign w:val="center"/>
          </w:tcPr>
          <w:p w14:paraId="644710C8">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300</w:t>
            </w:r>
          </w:p>
        </w:tc>
        <w:tc>
          <w:tcPr>
            <w:tcW w:w="2881" w:type="dxa"/>
            <w:vAlign w:val="center"/>
          </w:tcPr>
          <w:p w14:paraId="4A3A9BFA">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5.2372</w:t>
            </w:r>
          </w:p>
        </w:tc>
        <w:tc>
          <w:tcPr>
            <w:tcW w:w="2774" w:type="dxa"/>
            <w:vAlign w:val="center"/>
          </w:tcPr>
          <w:p w14:paraId="1AE9C00A">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0.2619</w:t>
            </w:r>
          </w:p>
        </w:tc>
      </w:tr>
      <w:tr w14:paraId="05892C0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1" w:hRule="atLeast"/>
          <w:jc w:val="center"/>
        </w:trPr>
        <w:tc>
          <w:tcPr>
            <w:tcW w:w="2433" w:type="dxa"/>
            <w:tcMar>
              <w:left w:w="0" w:type="dxa"/>
              <w:right w:w="0" w:type="dxa"/>
            </w:tcMar>
            <w:vAlign w:val="center"/>
          </w:tcPr>
          <w:p w14:paraId="1F9DB5A4">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400</w:t>
            </w:r>
          </w:p>
        </w:tc>
        <w:tc>
          <w:tcPr>
            <w:tcW w:w="2881" w:type="dxa"/>
            <w:vAlign w:val="center"/>
          </w:tcPr>
          <w:p w14:paraId="6F2B0668">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3.5779</w:t>
            </w:r>
          </w:p>
        </w:tc>
        <w:tc>
          <w:tcPr>
            <w:tcW w:w="2774" w:type="dxa"/>
            <w:vAlign w:val="center"/>
          </w:tcPr>
          <w:p w14:paraId="26A4B03C">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0.1789</w:t>
            </w:r>
          </w:p>
        </w:tc>
      </w:tr>
      <w:tr w14:paraId="035F7C7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1" w:hRule="atLeast"/>
          <w:jc w:val="center"/>
        </w:trPr>
        <w:tc>
          <w:tcPr>
            <w:tcW w:w="2433" w:type="dxa"/>
            <w:tcMar>
              <w:left w:w="0" w:type="dxa"/>
              <w:right w:w="0" w:type="dxa"/>
            </w:tcMar>
            <w:vAlign w:val="center"/>
          </w:tcPr>
          <w:p w14:paraId="0456E457">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500</w:t>
            </w:r>
          </w:p>
        </w:tc>
        <w:tc>
          <w:tcPr>
            <w:tcW w:w="2881" w:type="dxa"/>
            <w:vAlign w:val="center"/>
          </w:tcPr>
          <w:p w14:paraId="24A40275">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2.6549</w:t>
            </w:r>
          </w:p>
        </w:tc>
        <w:tc>
          <w:tcPr>
            <w:tcW w:w="2774" w:type="dxa"/>
            <w:vAlign w:val="center"/>
          </w:tcPr>
          <w:p w14:paraId="780CDD3D">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0.1327</w:t>
            </w:r>
          </w:p>
        </w:tc>
      </w:tr>
      <w:tr w14:paraId="65401CC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1" w:hRule="atLeast"/>
          <w:jc w:val="center"/>
        </w:trPr>
        <w:tc>
          <w:tcPr>
            <w:tcW w:w="2433" w:type="dxa"/>
            <w:tcMar>
              <w:left w:w="0" w:type="dxa"/>
              <w:right w:w="0" w:type="dxa"/>
            </w:tcMar>
            <w:vAlign w:val="center"/>
          </w:tcPr>
          <w:p w14:paraId="6B5B761B">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600</w:t>
            </w:r>
          </w:p>
        </w:tc>
        <w:tc>
          <w:tcPr>
            <w:tcW w:w="2881" w:type="dxa"/>
            <w:vAlign w:val="center"/>
          </w:tcPr>
          <w:p w14:paraId="1FAC21C0">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2.0788</w:t>
            </w:r>
          </w:p>
        </w:tc>
        <w:tc>
          <w:tcPr>
            <w:tcW w:w="2774" w:type="dxa"/>
            <w:vAlign w:val="center"/>
          </w:tcPr>
          <w:p w14:paraId="38BD27EB">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0.1039</w:t>
            </w:r>
          </w:p>
        </w:tc>
      </w:tr>
      <w:tr w14:paraId="6BF70DF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1" w:hRule="atLeast"/>
          <w:jc w:val="center"/>
        </w:trPr>
        <w:tc>
          <w:tcPr>
            <w:tcW w:w="2433" w:type="dxa"/>
            <w:tcMar>
              <w:left w:w="0" w:type="dxa"/>
              <w:right w:w="0" w:type="dxa"/>
            </w:tcMar>
            <w:vAlign w:val="center"/>
          </w:tcPr>
          <w:p w14:paraId="67E07A04">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700</w:t>
            </w:r>
          </w:p>
        </w:tc>
        <w:tc>
          <w:tcPr>
            <w:tcW w:w="2881" w:type="dxa"/>
            <w:vAlign w:val="center"/>
          </w:tcPr>
          <w:p w14:paraId="4C06BDF6">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1.6890</w:t>
            </w:r>
          </w:p>
        </w:tc>
        <w:tc>
          <w:tcPr>
            <w:tcW w:w="2774" w:type="dxa"/>
            <w:vAlign w:val="center"/>
          </w:tcPr>
          <w:p w14:paraId="38B4182C">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0.0844</w:t>
            </w:r>
          </w:p>
        </w:tc>
      </w:tr>
      <w:tr w14:paraId="05B6DCA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1" w:hRule="atLeast"/>
          <w:jc w:val="center"/>
        </w:trPr>
        <w:tc>
          <w:tcPr>
            <w:tcW w:w="2433" w:type="dxa"/>
            <w:tcMar>
              <w:left w:w="0" w:type="dxa"/>
              <w:right w:w="0" w:type="dxa"/>
            </w:tcMar>
            <w:vAlign w:val="center"/>
          </w:tcPr>
          <w:p w14:paraId="3CA5B034">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800</w:t>
            </w:r>
          </w:p>
        </w:tc>
        <w:tc>
          <w:tcPr>
            <w:tcW w:w="2881" w:type="dxa"/>
            <w:vAlign w:val="center"/>
          </w:tcPr>
          <w:p w14:paraId="1CB0E3FA">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1.4102</w:t>
            </w:r>
          </w:p>
        </w:tc>
        <w:tc>
          <w:tcPr>
            <w:tcW w:w="2774" w:type="dxa"/>
            <w:vAlign w:val="center"/>
          </w:tcPr>
          <w:p w14:paraId="1A0D058C">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0.0705</w:t>
            </w:r>
          </w:p>
        </w:tc>
      </w:tr>
      <w:tr w14:paraId="5F6517A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1" w:hRule="atLeast"/>
          <w:jc w:val="center"/>
        </w:trPr>
        <w:tc>
          <w:tcPr>
            <w:tcW w:w="2433" w:type="dxa"/>
            <w:tcMar>
              <w:left w:w="0" w:type="dxa"/>
              <w:right w:w="0" w:type="dxa"/>
            </w:tcMar>
            <w:vAlign w:val="center"/>
          </w:tcPr>
          <w:p w14:paraId="2BF290EC">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900</w:t>
            </w:r>
          </w:p>
        </w:tc>
        <w:tc>
          <w:tcPr>
            <w:tcW w:w="2881" w:type="dxa"/>
            <w:vAlign w:val="center"/>
          </w:tcPr>
          <w:p w14:paraId="03D9C32F">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1.2021</w:t>
            </w:r>
          </w:p>
        </w:tc>
        <w:tc>
          <w:tcPr>
            <w:tcW w:w="2774" w:type="dxa"/>
            <w:vAlign w:val="center"/>
          </w:tcPr>
          <w:p w14:paraId="0D651ADF">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0.0601</w:t>
            </w:r>
          </w:p>
        </w:tc>
      </w:tr>
      <w:tr w14:paraId="784AA32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1" w:hRule="atLeast"/>
          <w:jc w:val="center"/>
        </w:trPr>
        <w:tc>
          <w:tcPr>
            <w:tcW w:w="2433" w:type="dxa"/>
            <w:tcMar>
              <w:left w:w="0" w:type="dxa"/>
              <w:right w:w="0" w:type="dxa"/>
            </w:tcMar>
            <w:vAlign w:val="center"/>
          </w:tcPr>
          <w:p w14:paraId="037D1846">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1000</w:t>
            </w:r>
          </w:p>
        </w:tc>
        <w:tc>
          <w:tcPr>
            <w:tcW w:w="2881" w:type="dxa"/>
            <w:vAlign w:val="center"/>
          </w:tcPr>
          <w:p w14:paraId="335B0E7B">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1.0424</w:t>
            </w:r>
          </w:p>
        </w:tc>
        <w:tc>
          <w:tcPr>
            <w:tcW w:w="2774" w:type="dxa"/>
            <w:vAlign w:val="center"/>
          </w:tcPr>
          <w:p w14:paraId="3414BBEC">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0.0521</w:t>
            </w:r>
          </w:p>
        </w:tc>
      </w:tr>
      <w:tr w14:paraId="09292A5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1" w:hRule="atLeast"/>
          <w:jc w:val="center"/>
        </w:trPr>
        <w:tc>
          <w:tcPr>
            <w:tcW w:w="2433" w:type="dxa"/>
            <w:tcMar>
              <w:left w:w="0" w:type="dxa"/>
              <w:right w:w="0" w:type="dxa"/>
            </w:tcMar>
            <w:vAlign w:val="center"/>
          </w:tcPr>
          <w:p w14:paraId="61491F49">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w:t>
            </w:r>
            <w:r>
              <w:rPr>
                <w:rFonts w:hint="eastAsia" w:ascii="Times New Roman" w:hAnsi="Times New Roman" w:cs="Times New Roman" w:eastAsiaTheme="minorEastAsia"/>
                <w:sz w:val="21"/>
                <w:szCs w:val="21"/>
                <w:highlight w:val="none"/>
              </w:rPr>
              <w:t>400</w:t>
            </w:r>
          </w:p>
        </w:tc>
        <w:tc>
          <w:tcPr>
            <w:tcW w:w="2881" w:type="dxa"/>
            <w:vAlign w:val="center"/>
          </w:tcPr>
          <w:p w14:paraId="22CD97EA">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0.6600</w:t>
            </w:r>
          </w:p>
        </w:tc>
        <w:tc>
          <w:tcPr>
            <w:tcW w:w="2774" w:type="dxa"/>
            <w:vAlign w:val="center"/>
          </w:tcPr>
          <w:p w14:paraId="3B3D4EB1">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0.0330</w:t>
            </w:r>
          </w:p>
        </w:tc>
      </w:tr>
      <w:tr w14:paraId="31F9472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1" w:hRule="atLeast"/>
          <w:jc w:val="center"/>
        </w:trPr>
        <w:tc>
          <w:tcPr>
            <w:tcW w:w="2433" w:type="dxa"/>
            <w:tcMar>
              <w:left w:w="0" w:type="dxa"/>
              <w:right w:w="0" w:type="dxa"/>
            </w:tcMar>
            <w:vAlign w:val="center"/>
          </w:tcPr>
          <w:p w14:paraId="165C6658">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2000</w:t>
            </w:r>
          </w:p>
        </w:tc>
        <w:tc>
          <w:tcPr>
            <w:tcW w:w="2881" w:type="dxa"/>
            <w:vAlign w:val="center"/>
          </w:tcPr>
          <w:p w14:paraId="766FC174">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0.4066</w:t>
            </w:r>
          </w:p>
        </w:tc>
        <w:tc>
          <w:tcPr>
            <w:tcW w:w="2774" w:type="dxa"/>
            <w:vAlign w:val="center"/>
          </w:tcPr>
          <w:p w14:paraId="4012AFEA">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0.0203</w:t>
            </w:r>
          </w:p>
        </w:tc>
      </w:tr>
      <w:tr w14:paraId="1118621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1" w:hRule="atLeast"/>
          <w:jc w:val="center"/>
        </w:trPr>
        <w:tc>
          <w:tcPr>
            <w:tcW w:w="2433" w:type="dxa"/>
            <w:tcMar>
              <w:left w:w="0" w:type="dxa"/>
              <w:right w:w="0" w:type="dxa"/>
            </w:tcMar>
            <w:vAlign w:val="center"/>
          </w:tcPr>
          <w:p w14:paraId="4DBC9253">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2500</w:t>
            </w:r>
          </w:p>
        </w:tc>
        <w:tc>
          <w:tcPr>
            <w:tcW w:w="2881" w:type="dxa"/>
            <w:vAlign w:val="center"/>
          </w:tcPr>
          <w:p w14:paraId="57C21033">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0.3010</w:t>
            </w:r>
          </w:p>
        </w:tc>
        <w:tc>
          <w:tcPr>
            <w:tcW w:w="2774" w:type="dxa"/>
            <w:vAlign w:val="center"/>
          </w:tcPr>
          <w:p w14:paraId="51D191E7">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0.0151</w:t>
            </w:r>
          </w:p>
        </w:tc>
      </w:tr>
      <w:tr w14:paraId="2FB2916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44" w:hRule="atLeast"/>
          <w:jc w:val="center"/>
        </w:trPr>
        <w:tc>
          <w:tcPr>
            <w:tcW w:w="2433" w:type="dxa"/>
            <w:tcMar>
              <w:left w:w="0" w:type="dxa"/>
              <w:right w:w="0" w:type="dxa"/>
            </w:tcMar>
            <w:vAlign w:val="center"/>
          </w:tcPr>
          <w:p w14:paraId="279BE80F">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cs="Times New Roman" w:hAnsiTheme="minorEastAsia" w:eastAsiaTheme="minorEastAsia"/>
                <w:sz w:val="21"/>
                <w:szCs w:val="21"/>
                <w:highlight w:val="none"/>
              </w:rPr>
              <w:t>下风向最大浓度处</w:t>
            </w:r>
          </w:p>
        </w:tc>
        <w:tc>
          <w:tcPr>
            <w:tcW w:w="2881" w:type="dxa"/>
            <w:vAlign w:val="center"/>
          </w:tcPr>
          <w:p w14:paraId="2B2ACE94">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21.5780</w:t>
            </w:r>
          </w:p>
        </w:tc>
        <w:tc>
          <w:tcPr>
            <w:tcW w:w="2774" w:type="dxa"/>
            <w:vAlign w:val="center"/>
          </w:tcPr>
          <w:p w14:paraId="67A8B7AC">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1.0789</w:t>
            </w:r>
          </w:p>
        </w:tc>
      </w:tr>
      <w:tr w14:paraId="2C577F7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4" w:hRule="atLeast"/>
          <w:jc w:val="center"/>
        </w:trPr>
        <w:tc>
          <w:tcPr>
            <w:tcW w:w="2433" w:type="dxa"/>
            <w:tcMar>
              <w:left w:w="0" w:type="dxa"/>
              <w:right w:w="0" w:type="dxa"/>
            </w:tcMar>
            <w:vAlign w:val="center"/>
          </w:tcPr>
          <w:p w14:paraId="438EC28A">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cs="Times New Roman" w:hAnsiTheme="minorEastAsia" w:eastAsiaTheme="minorEastAsia"/>
                <w:sz w:val="21"/>
                <w:szCs w:val="21"/>
                <w:highlight w:val="none"/>
              </w:rPr>
              <w:t>最大落地浓度距离</w:t>
            </w:r>
          </w:p>
        </w:tc>
        <w:tc>
          <w:tcPr>
            <w:tcW w:w="5655" w:type="dxa"/>
            <w:gridSpan w:val="2"/>
            <w:vAlign w:val="center"/>
          </w:tcPr>
          <w:p w14:paraId="022165E6">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eastAsia" w:ascii="Times New Roman" w:hAnsi="Times New Roman" w:cs="Times New Roman" w:eastAsiaTheme="minorEastAsia"/>
                <w:sz w:val="21"/>
                <w:szCs w:val="21"/>
                <w:highlight w:val="none"/>
              </w:rPr>
              <w:t>104</w:t>
            </w:r>
            <w:r>
              <w:rPr>
                <w:rFonts w:hint="default" w:ascii="Times New Roman" w:hAnsi="Times New Roman" w:cs="Times New Roman" w:eastAsiaTheme="minorEastAsia"/>
                <w:sz w:val="21"/>
                <w:szCs w:val="21"/>
                <w:highlight w:val="none"/>
              </w:rPr>
              <w:t>m</w:t>
            </w:r>
          </w:p>
        </w:tc>
      </w:tr>
    </w:tbl>
    <w:p w14:paraId="3100BFE4">
      <w:pPr>
        <w:wordWrap/>
        <w:adjustRightInd/>
        <w:snapToGrid/>
        <w:spacing w:line="240" w:lineRule="auto"/>
        <w:ind w:firstLine="0" w:firstLineChars="0"/>
        <w:jc w:val="center"/>
        <w:rPr>
          <w:rFonts w:ascii="Times New Roman" w:hAnsi="Times New Roman" w:cs="Times New Roman" w:eastAsiaTheme="minorEastAsia"/>
          <w:b/>
          <w:sz w:val="24"/>
          <w:highlight w:val="none"/>
        </w:rPr>
      </w:pPr>
      <w:r>
        <w:rPr>
          <w:rFonts w:ascii="Times New Roman" w:cs="Times New Roman" w:hAnsiTheme="minorEastAsia" w:eastAsiaTheme="minorEastAsia"/>
          <w:b/>
          <w:sz w:val="24"/>
          <w:highlight w:val="none"/>
        </w:rPr>
        <w:t>表</w:t>
      </w:r>
      <w:r>
        <w:rPr>
          <w:rFonts w:ascii="Times New Roman" w:hAnsi="Times New Roman" w:cs="Times New Roman" w:eastAsiaTheme="minorEastAsia"/>
          <w:b/>
          <w:sz w:val="24"/>
          <w:highlight w:val="none"/>
        </w:rPr>
        <w:t>5-2-8</w:t>
      </w:r>
      <w:r>
        <w:rPr>
          <w:rFonts w:hint="eastAsia" w:ascii="Times New Roman" w:hAnsi="Times New Roman" w:cs="Times New Roman" w:eastAsiaTheme="minorEastAsia"/>
          <w:b/>
          <w:sz w:val="24"/>
          <w:highlight w:val="none"/>
        </w:rPr>
        <w:t xml:space="preserve"> </w:t>
      </w:r>
      <w:r>
        <w:rPr>
          <w:rFonts w:ascii="Times New Roman" w:cs="Times New Roman" w:hAnsiTheme="minorEastAsia" w:eastAsiaTheme="minorEastAsia"/>
          <w:b/>
          <w:sz w:val="24"/>
          <w:highlight w:val="none"/>
        </w:rPr>
        <w:t>主要污染源估算模型计算结果表（</w:t>
      </w:r>
      <w:r>
        <w:rPr>
          <w:rFonts w:hAnsiTheme="minorEastAsia" w:eastAsiaTheme="minorEastAsia"/>
          <w:b/>
          <w:bCs/>
          <w:sz w:val="24"/>
          <w:highlight w:val="none"/>
        </w:rPr>
        <w:t>机加生产线</w:t>
      </w:r>
      <w:r>
        <w:rPr>
          <w:rFonts w:eastAsiaTheme="minorEastAsia"/>
          <w:b/>
          <w:bCs/>
          <w:sz w:val="24"/>
          <w:highlight w:val="none"/>
        </w:rPr>
        <w:t>DA0</w:t>
      </w:r>
      <w:r>
        <w:rPr>
          <w:rFonts w:hint="eastAsia" w:eastAsiaTheme="minorEastAsia"/>
          <w:b/>
          <w:bCs/>
          <w:sz w:val="24"/>
          <w:highlight w:val="none"/>
          <w:lang w:val="en-US" w:eastAsia="zh-CN"/>
        </w:rPr>
        <w:t>66</w:t>
      </w:r>
      <w:r>
        <w:rPr>
          <w:rFonts w:hAnsiTheme="minorEastAsia" w:eastAsiaTheme="minorEastAsia"/>
          <w:b/>
          <w:bCs/>
          <w:sz w:val="24"/>
          <w:highlight w:val="none"/>
        </w:rPr>
        <w:t>排气筒</w:t>
      </w:r>
      <w:r>
        <w:rPr>
          <w:rFonts w:ascii="Times New Roman" w:cs="Times New Roman" w:hAnsiTheme="minorEastAsia" w:eastAsiaTheme="minorEastAsia"/>
          <w:b/>
          <w:sz w:val="24"/>
          <w:highlight w:val="none"/>
        </w:rPr>
        <w:t>）</w:t>
      </w:r>
    </w:p>
    <w:tbl>
      <w:tblPr>
        <w:tblStyle w:val="45"/>
        <w:tblW w:w="8088"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2433"/>
        <w:gridCol w:w="2881"/>
        <w:gridCol w:w="2774"/>
      </w:tblGrid>
      <w:tr w14:paraId="7AD3B1B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25" w:hRule="atLeast"/>
          <w:jc w:val="center"/>
        </w:trPr>
        <w:tc>
          <w:tcPr>
            <w:tcW w:w="2433" w:type="dxa"/>
            <w:vMerge w:val="restart"/>
            <w:tcMar>
              <w:left w:w="0" w:type="dxa"/>
              <w:right w:w="0" w:type="dxa"/>
            </w:tcMar>
            <w:vAlign w:val="center"/>
          </w:tcPr>
          <w:p w14:paraId="7B635D0D">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kern w:val="0"/>
                <w:sz w:val="21"/>
                <w:szCs w:val="21"/>
                <w:highlight w:val="none"/>
              </w:rPr>
            </w:pPr>
            <w:r>
              <w:rPr>
                <w:rFonts w:hint="default" w:ascii="Times New Roman" w:cs="Times New Roman" w:hAnsiTheme="minorEastAsia" w:eastAsiaTheme="minorEastAsia"/>
                <w:kern w:val="0"/>
                <w:sz w:val="21"/>
                <w:szCs w:val="21"/>
                <w:highlight w:val="none"/>
              </w:rPr>
              <w:t>下风向距离</w:t>
            </w:r>
            <w:r>
              <w:rPr>
                <w:rFonts w:hint="default" w:ascii="Times New Roman" w:hAnsi="Times New Roman" w:cs="Times New Roman" w:eastAsiaTheme="minorEastAsia"/>
                <w:kern w:val="0"/>
                <w:sz w:val="21"/>
                <w:szCs w:val="21"/>
                <w:highlight w:val="none"/>
              </w:rPr>
              <w:t>D(m)</w:t>
            </w:r>
          </w:p>
        </w:tc>
        <w:tc>
          <w:tcPr>
            <w:tcW w:w="5655" w:type="dxa"/>
            <w:gridSpan w:val="2"/>
            <w:vAlign w:val="center"/>
          </w:tcPr>
          <w:p w14:paraId="07A79A78">
            <w:pPr>
              <w:pStyle w:val="135"/>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NMHC</w:t>
            </w:r>
          </w:p>
        </w:tc>
      </w:tr>
      <w:tr w14:paraId="1ECF4A7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25" w:hRule="atLeast"/>
          <w:jc w:val="center"/>
        </w:trPr>
        <w:tc>
          <w:tcPr>
            <w:tcW w:w="2433" w:type="dxa"/>
            <w:vMerge w:val="continue"/>
            <w:tcMar>
              <w:left w:w="0" w:type="dxa"/>
              <w:right w:w="0" w:type="dxa"/>
            </w:tcMar>
            <w:vAlign w:val="center"/>
          </w:tcPr>
          <w:p w14:paraId="58A6C5D5">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p>
        </w:tc>
        <w:tc>
          <w:tcPr>
            <w:tcW w:w="2881" w:type="dxa"/>
            <w:vAlign w:val="center"/>
          </w:tcPr>
          <w:p w14:paraId="2CFA854D">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cs="Times New Roman" w:hAnsiTheme="minorEastAsia" w:eastAsiaTheme="minorEastAsia"/>
                <w:kern w:val="0"/>
                <w:sz w:val="21"/>
                <w:szCs w:val="21"/>
                <w:highlight w:val="none"/>
              </w:rPr>
              <w:t>预测浓度</w:t>
            </w:r>
            <w:r>
              <w:rPr>
                <w:rFonts w:hint="default" w:ascii="Times New Roman" w:hAnsi="Times New Roman" w:cs="Times New Roman" w:eastAsiaTheme="minorEastAsia"/>
                <w:kern w:val="0"/>
                <w:sz w:val="21"/>
                <w:szCs w:val="21"/>
                <w:highlight w:val="none"/>
              </w:rPr>
              <w:t>(</w:t>
            </w:r>
            <w:r>
              <w:rPr>
                <w:rFonts w:hint="default" w:ascii="Times New Roman" w:hAnsi="Times New Roman" w:cs="Times New Roman" w:eastAsiaTheme="minorEastAsia"/>
                <w:sz w:val="21"/>
                <w:szCs w:val="21"/>
                <w:highlight w:val="none"/>
              </w:rPr>
              <w:t>μg/m</w:t>
            </w:r>
            <w:r>
              <w:rPr>
                <w:rFonts w:hint="default" w:ascii="Times New Roman" w:hAnsi="Times New Roman" w:cs="Times New Roman" w:eastAsiaTheme="minorEastAsia"/>
                <w:sz w:val="21"/>
                <w:szCs w:val="21"/>
                <w:highlight w:val="none"/>
                <w:vertAlign w:val="superscript"/>
              </w:rPr>
              <w:t>3</w:t>
            </w:r>
            <w:r>
              <w:rPr>
                <w:rFonts w:hint="default" w:ascii="Times New Roman" w:hAnsi="Times New Roman" w:cs="Times New Roman" w:eastAsiaTheme="minorEastAsia"/>
                <w:kern w:val="0"/>
                <w:sz w:val="21"/>
                <w:szCs w:val="21"/>
                <w:highlight w:val="none"/>
              </w:rPr>
              <w:t>)</w:t>
            </w:r>
          </w:p>
        </w:tc>
        <w:tc>
          <w:tcPr>
            <w:tcW w:w="2774" w:type="dxa"/>
            <w:vAlign w:val="center"/>
          </w:tcPr>
          <w:p w14:paraId="3CA9D282">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cs="Times New Roman" w:hAnsiTheme="minorEastAsia" w:eastAsiaTheme="minorEastAsia"/>
                <w:kern w:val="0"/>
                <w:sz w:val="21"/>
                <w:szCs w:val="21"/>
                <w:highlight w:val="none"/>
              </w:rPr>
              <w:t>占标率</w:t>
            </w:r>
            <w:r>
              <w:rPr>
                <w:rFonts w:hint="default" w:ascii="Times New Roman" w:hAnsi="Times New Roman" w:cs="Times New Roman" w:eastAsiaTheme="minorEastAsia"/>
                <w:kern w:val="0"/>
                <w:sz w:val="21"/>
                <w:szCs w:val="21"/>
                <w:highlight w:val="none"/>
              </w:rPr>
              <w:t>(%)</w:t>
            </w:r>
          </w:p>
        </w:tc>
      </w:tr>
      <w:tr w14:paraId="295A375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25" w:hRule="atLeast"/>
          <w:jc w:val="center"/>
        </w:trPr>
        <w:tc>
          <w:tcPr>
            <w:tcW w:w="2433" w:type="dxa"/>
            <w:tcMar>
              <w:left w:w="0" w:type="dxa"/>
              <w:right w:w="0" w:type="dxa"/>
            </w:tcMar>
            <w:vAlign w:val="center"/>
          </w:tcPr>
          <w:p w14:paraId="772A3DE7">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1.0</w:t>
            </w:r>
          </w:p>
        </w:tc>
        <w:tc>
          <w:tcPr>
            <w:tcW w:w="2881" w:type="dxa"/>
            <w:vAlign w:val="center"/>
          </w:tcPr>
          <w:p w14:paraId="23676BA2">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14.7640</w:t>
            </w:r>
          </w:p>
        </w:tc>
        <w:tc>
          <w:tcPr>
            <w:tcW w:w="2774" w:type="dxa"/>
            <w:vAlign w:val="center"/>
          </w:tcPr>
          <w:p w14:paraId="5683AC37">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0.7382</w:t>
            </w:r>
          </w:p>
        </w:tc>
      </w:tr>
      <w:tr w14:paraId="0CE4F32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1" w:hRule="atLeast"/>
          <w:jc w:val="center"/>
        </w:trPr>
        <w:tc>
          <w:tcPr>
            <w:tcW w:w="2433" w:type="dxa"/>
            <w:tcMar>
              <w:left w:w="0" w:type="dxa"/>
              <w:right w:w="0" w:type="dxa"/>
            </w:tcMar>
            <w:vAlign w:val="center"/>
          </w:tcPr>
          <w:p w14:paraId="36FDA1ED">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100</w:t>
            </w:r>
          </w:p>
        </w:tc>
        <w:tc>
          <w:tcPr>
            <w:tcW w:w="2881" w:type="dxa"/>
            <w:vAlign w:val="center"/>
          </w:tcPr>
          <w:p w14:paraId="5B915BB6">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21.4600</w:t>
            </w:r>
          </w:p>
        </w:tc>
        <w:tc>
          <w:tcPr>
            <w:tcW w:w="2774" w:type="dxa"/>
            <w:vAlign w:val="center"/>
          </w:tcPr>
          <w:p w14:paraId="17D14062">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1.0730</w:t>
            </w:r>
          </w:p>
        </w:tc>
      </w:tr>
      <w:tr w14:paraId="5B566F9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1" w:hRule="atLeast"/>
          <w:jc w:val="center"/>
        </w:trPr>
        <w:tc>
          <w:tcPr>
            <w:tcW w:w="2433" w:type="dxa"/>
            <w:tcMar>
              <w:left w:w="0" w:type="dxa"/>
              <w:right w:w="0" w:type="dxa"/>
            </w:tcMar>
            <w:vAlign w:val="center"/>
          </w:tcPr>
          <w:p w14:paraId="24101768">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200</w:t>
            </w:r>
          </w:p>
        </w:tc>
        <w:tc>
          <w:tcPr>
            <w:tcW w:w="2881" w:type="dxa"/>
            <w:vAlign w:val="center"/>
          </w:tcPr>
          <w:p w14:paraId="54C30A54">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8.8834</w:t>
            </w:r>
          </w:p>
        </w:tc>
        <w:tc>
          <w:tcPr>
            <w:tcW w:w="2774" w:type="dxa"/>
            <w:vAlign w:val="center"/>
          </w:tcPr>
          <w:p w14:paraId="4A6831CD">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0.4442</w:t>
            </w:r>
          </w:p>
        </w:tc>
      </w:tr>
      <w:tr w14:paraId="43D2D14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1" w:hRule="atLeast"/>
          <w:jc w:val="center"/>
        </w:trPr>
        <w:tc>
          <w:tcPr>
            <w:tcW w:w="2433" w:type="dxa"/>
            <w:tcMar>
              <w:left w:w="0" w:type="dxa"/>
              <w:right w:w="0" w:type="dxa"/>
            </w:tcMar>
            <w:vAlign w:val="center"/>
          </w:tcPr>
          <w:p w14:paraId="5A71C592">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300</w:t>
            </w:r>
          </w:p>
        </w:tc>
        <w:tc>
          <w:tcPr>
            <w:tcW w:w="2881" w:type="dxa"/>
            <w:vAlign w:val="center"/>
          </w:tcPr>
          <w:p w14:paraId="17B34547">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5.2372</w:t>
            </w:r>
          </w:p>
        </w:tc>
        <w:tc>
          <w:tcPr>
            <w:tcW w:w="2774" w:type="dxa"/>
            <w:vAlign w:val="center"/>
          </w:tcPr>
          <w:p w14:paraId="2FA524C2">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0.2619</w:t>
            </w:r>
          </w:p>
        </w:tc>
      </w:tr>
      <w:tr w14:paraId="1A714A3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1" w:hRule="atLeast"/>
          <w:jc w:val="center"/>
        </w:trPr>
        <w:tc>
          <w:tcPr>
            <w:tcW w:w="2433" w:type="dxa"/>
            <w:tcMar>
              <w:left w:w="0" w:type="dxa"/>
              <w:right w:w="0" w:type="dxa"/>
            </w:tcMar>
            <w:vAlign w:val="center"/>
          </w:tcPr>
          <w:p w14:paraId="3846FFD2">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400</w:t>
            </w:r>
          </w:p>
        </w:tc>
        <w:tc>
          <w:tcPr>
            <w:tcW w:w="2881" w:type="dxa"/>
            <w:vAlign w:val="center"/>
          </w:tcPr>
          <w:p w14:paraId="173BF491">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3.5779</w:t>
            </w:r>
          </w:p>
        </w:tc>
        <w:tc>
          <w:tcPr>
            <w:tcW w:w="2774" w:type="dxa"/>
            <w:vAlign w:val="center"/>
          </w:tcPr>
          <w:p w14:paraId="6DACAD1D">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0.1789</w:t>
            </w:r>
          </w:p>
        </w:tc>
      </w:tr>
      <w:tr w14:paraId="48EC9E8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1" w:hRule="atLeast"/>
          <w:jc w:val="center"/>
        </w:trPr>
        <w:tc>
          <w:tcPr>
            <w:tcW w:w="2433" w:type="dxa"/>
            <w:tcMar>
              <w:left w:w="0" w:type="dxa"/>
              <w:right w:w="0" w:type="dxa"/>
            </w:tcMar>
            <w:vAlign w:val="center"/>
          </w:tcPr>
          <w:p w14:paraId="15C3F93C">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500</w:t>
            </w:r>
          </w:p>
        </w:tc>
        <w:tc>
          <w:tcPr>
            <w:tcW w:w="2881" w:type="dxa"/>
            <w:vAlign w:val="center"/>
          </w:tcPr>
          <w:p w14:paraId="235465A1">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2.6549</w:t>
            </w:r>
          </w:p>
        </w:tc>
        <w:tc>
          <w:tcPr>
            <w:tcW w:w="2774" w:type="dxa"/>
            <w:vAlign w:val="center"/>
          </w:tcPr>
          <w:p w14:paraId="56132589">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0.1327</w:t>
            </w:r>
          </w:p>
        </w:tc>
      </w:tr>
      <w:tr w14:paraId="073A532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1" w:hRule="atLeast"/>
          <w:jc w:val="center"/>
        </w:trPr>
        <w:tc>
          <w:tcPr>
            <w:tcW w:w="2433" w:type="dxa"/>
            <w:tcMar>
              <w:left w:w="0" w:type="dxa"/>
              <w:right w:w="0" w:type="dxa"/>
            </w:tcMar>
            <w:vAlign w:val="center"/>
          </w:tcPr>
          <w:p w14:paraId="6403D98A">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600</w:t>
            </w:r>
          </w:p>
        </w:tc>
        <w:tc>
          <w:tcPr>
            <w:tcW w:w="2881" w:type="dxa"/>
            <w:vAlign w:val="center"/>
          </w:tcPr>
          <w:p w14:paraId="1FA2B123">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2.0788</w:t>
            </w:r>
          </w:p>
        </w:tc>
        <w:tc>
          <w:tcPr>
            <w:tcW w:w="2774" w:type="dxa"/>
            <w:vAlign w:val="center"/>
          </w:tcPr>
          <w:p w14:paraId="58749E3D">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0.1039</w:t>
            </w:r>
          </w:p>
        </w:tc>
      </w:tr>
      <w:tr w14:paraId="550D58E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1" w:hRule="atLeast"/>
          <w:jc w:val="center"/>
        </w:trPr>
        <w:tc>
          <w:tcPr>
            <w:tcW w:w="2433" w:type="dxa"/>
            <w:tcMar>
              <w:left w:w="0" w:type="dxa"/>
              <w:right w:w="0" w:type="dxa"/>
            </w:tcMar>
            <w:vAlign w:val="center"/>
          </w:tcPr>
          <w:p w14:paraId="4E23382B">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700</w:t>
            </w:r>
          </w:p>
        </w:tc>
        <w:tc>
          <w:tcPr>
            <w:tcW w:w="2881" w:type="dxa"/>
            <w:vAlign w:val="center"/>
          </w:tcPr>
          <w:p w14:paraId="48106166">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1.6890</w:t>
            </w:r>
          </w:p>
        </w:tc>
        <w:tc>
          <w:tcPr>
            <w:tcW w:w="2774" w:type="dxa"/>
            <w:vAlign w:val="center"/>
          </w:tcPr>
          <w:p w14:paraId="7EC174C7">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0.0844</w:t>
            </w:r>
          </w:p>
        </w:tc>
      </w:tr>
      <w:tr w14:paraId="299CE1A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1" w:hRule="atLeast"/>
          <w:jc w:val="center"/>
        </w:trPr>
        <w:tc>
          <w:tcPr>
            <w:tcW w:w="2433" w:type="dxa"/>
            <w:tcMar>
              <w:left w:w="0" w:type="dxa"/>
              <w:right w:w="0" w:type="dxa"/>
            </w:tcMar>
            <w:vAlign w:val="center"/>
          </w:tcPr>
          <w:p w14:paraId="49276E65">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800</w:t>
            </w:r>
          </w:p>
        </w:tc>
        <w:tc>
          <w:tcPr>
            <w:tcW w:w="2881" w:type="dxa"/>
            <w:vAlign w:val="center"/>
          </w:tcPr>
          <w:p w14:paraId="3053D06A">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1.4102</w:t>
            </w:r>
          </w:p>
        </w:tc>
        <w:tc>
          <w:tcPr>
            <w:tcW w:w="2774" w:type="dxa"/>
            <w:vAlign w:val="center"/>
          </w:tcPr>
          <w:p w14:paraId="3C674200">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0.0705</w:t>
            </w:r>
          </w:p>
        </w:tc>
      </w:tr>
      <w:tr w14:paraId="1BBD125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1" w:hRule="atLeast"/>
          <w:jc w:val="center"/>
        </w:trPr>
        <w:tc>
          <w:tcPr>
            <w:tcW w:w="2433" w:type="dxa"/>
            <w:tcMar>
              <w:left w:w="0" w:type="dxa"/>
              <w:right w:w="0" w:type="dxa"/>
            </w:tcMar>
            <w:vAlign w:val="center"/>
          </w:tcPr>
          <w:p w14:paraId="292440F9">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900</w:t>
            </w:r>
          </w:p>
        </w:tc>
        <w:tc>
          <w:tcPr>
            <w:tcW w:w="2881" w:type="dxa"/>
            <w:vAlign w:val="center"/>
          </w:tcPr>
          <w:p w14:paraId="4D7753F2">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1.2021</w:t>
            </w:r>
          </w:p>
        </w:tc>
        <w:tc>
          <w:tcPr>
            <w:tcW w:w="2774" w:type="dxa"/>
            <w:vAlign w:val="center"/>
          </w:tcPr>
          <w:p w14:paraId="2FFE1733">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0.0601</w:t>
            </w:r>
          </w:p>
        </w:tc>
      </w:tr>
      <w:tr w14:paraId="45EE95F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1" w:hRule="atLeast"/>
          <w:jc w:val="center"/>
        </w:trPr>
        <w:tc>
          <w:tcPr>
            <w:tcW w:w="2433" w:type="dxa"/>
            <w:tcMar>
              <w:left w:w="0" w:type="dxa"/>
              <w:right w:w="0" w:type="dxa"/>
            </w:tcMar>
            <w:vAlign w:val="center"/>
          </w:tcPr>
          <w:p w14:paraId="4F21748B">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1000</w:t>
            </w:r>
          </w:p>
        </w:tc>
        <w:tc>
          <w:tcPr>
            <w:tcW w:w="2881" w:type="dxa"/>
            <w:vAlign w:val="center"/>
          </w:tcPr>
          <w:p w14:paraId="0BF32F2C">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1.0424</w:t>
            </w:r>
          </w:p>
        </w:tc>
        <w:tc>
          <w:tcPr>
            <w:tcW w:w="2774" w:type="dxa"/>
            <w:vAlign w:val="center"/>
          </w:tcPr>
          <w:p w14:paraId="7047EAC9">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0.0521</w:t>
            </w:r>
          </w:p>
        </w:tc>
      </w:tr>
      <w:tr w14:paraId="55C1370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1" w:hRule="atLeast"/>
          <w:jc w:val="center"/>
        </w:trPr>
        <w:tc>
          <w:tcPr>
            <w:tcW w:w="2433" w:type="dxa"/>
            <w:tcMar>
              <w:left w:w="0" w:type="dxa"/>
              <w:right w:w="0" w:type="dxa"/>
            </w:tcMar>
            <w:vAlign w:val="center"/>
          </w:tcPr>
          <w:p w14:paraId="063A2326">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w:t>
            </w:r>
            <w:r>
              <w:rPr>
                <w:rFonts w:hint="eastAsia" w:ascii="Times New Roman" w:hAnsi="Times New Roman" w:cs="Times New Roman" w:eastAsiaTheme="minorEastAsia"/>
                <w:sz w:val="21"/>
                <w:szCs w:val="21"/>
                <w:highlight w:val="none"/>
              </w:rPr>
              <w:t>400</w:t>
            </w:r>
          </w:p>
        </w:tc>
        <w:tc>
          <w:tcPr>
            <w:tcW w:w="2881" w:type="dxa"/>
            <w:vAlign w:val="center"/>
          </w:tcPr>
          <w:p w14:paraId="606A51BB">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0.6600</w:t>
            </w:r>
          </w:p>
        </w:tc>
        <w:tc>
          <w:tcPr>
            <w:tcW w:w="2774" w:type="dxa"/>
            <w:vAlign w:val="center"/>
          </w:tcPr>
          <w:p w14:paraId="1FECA1D3">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0.0330</w:t>
            </w:r>
          </w:p>
        </w:tc>
      </w:tr>
      <w:tr w14:paraId="0B085E9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1" w:hRule="atLeast"/>
          <w:jc w:val="center"/>
        </w:trPr>
        <w:tc>
          <w:tcPr>
            <w:tcW w:w="2433" w:type="dxa"/>
            <w:tcMar>
              <w:left w:w="0" w:type="dxa"/>
              <w:right w:w="0" w:type="dxa"/>
            </w:tcMar>
            <w:vAlign w:val="center"/>
          </w:tcPr>
          <w:p w14:paraId="0364B71F">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2000</w:t>
            </w:r>
          </w:p>
        </w:tc>
        <w:tc>
          <w:tcPr>
            <w:tcW w:w="2881" w:type="dxa"/>
            <w:vAlign w:val="center"/>
          </w:tcPr>
          <w:p w14:paraId="02FFD4DD">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0.4066</w:t>
            </w:r>
          </w:p>
        </w:tc>
        <w:tc>
          <w:tcPr>
            <w:tcW w:w="2774" w:type="dxa"/>
            <w:vAlign w:val="center"/>
          </w:tcPr>
          <w:p w14:paraId="7ECCDAF2">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0.0203</w:t>
            </w:r>
          </w:p>
        </w:tc>
      </w:tr>
      <w:tr w14:paraId="4511F1A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1" w:hRule="atLeast"/>
          <w:jc w:val="center"/>
        </w:trPr>
        <w:tc>
          <w:tcPr>
            <w:tcW w:w="2433" w:type="dxa"/>
            <w:tcMar>
              <w:left w:w="0" w:type="dxa"/>
              <w:right w:w="0" w:type="dxa"/>
            </w:tcMar>
            <w:vAlign w:val="center"/>
          </w:tcPr>
          <w:p w14:paraId="6305729E">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2500</w:t>
            </w:r>
          </w:p>
        </w:tc>
        <w:tc>
          <w:tcPr>
            <w:tcW w:w="2881" w:type="dxa"/>
            <w:vAlign w:val="center"/>
          </w:tcPr>
          <w:p w14:paraId="21E6A6E3">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0.3010</w:t>
            </w:r>
          </w:p>
        </w:tc>
        <w:tc>
          <w:tcPr>
            <w:tcW w:w="2774" w:type="dxa"/>
            <w:vAlign w:val="center"/>
          </w:tcPr>
          <w:p w14:paraId="0F2F0795">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0.0151</w:t>
            </w:r>
          </w:p>
        </w:tc>
      </w:tr>
      <w:tr w14:paraId="5CE82F4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44" w:hRule="atLeast"/>
          <w:jc w:val="center"/>
        </w:trPr>
        <w:tc>
          <w:tcPr>
            <w:tcW w:w="2433" w:type="dxa"/>
            <w:tcMar>
              <w:left w:w="0" w:type="dxa"/>
              <w:right w:w="0" w:type="dxa"/>
            </w:tcMar>
            <w:vAlign w:val="center"/>
          </w:tcPr>
          <w:p w14:paraId="5449A064">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cs="Times New Roman" w:hAnsiTheme="minorEastAsia" w:eastAsiaTheme="minorEastAsia"/>
                <w:sz w:val="21"/>
                <w:szCs w:val="21"/>
                <w:highlight w:val="none"/>
              </w:rPr>
              <w:t>下风向最大浓度处</w:t>
            </w:r>
          </w:p>
        </w:tc>
        <w:tc>
          <w:tcPr>
            <w:tcW w:w="2881" w:type="dxa"/>
            <w:vAlign w:val="center"/>
          </w:tcPr>
          <w:p w14:paraId="622D9E23">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21.5780</w:t>
            </w:r>
          </w:p>
        </w:tc>
        <w:tc>
          <w:tcPr>
            <w:tcW w:w="2774" w:type="dxa"/>
            <w:vAlign w:val="center"/>
          </w:tcPr>
          <w:p w14:paraId="58288C18">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1.0789</w:t>
            </w:r>
          </w:p>
        </w:tc>
      </w:tr>
      <w:tr w14:paraId="483F0F6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4" w:hRule="atLeast"/>
          <w:jc w:val="center"/>
        </w:trPr>
        <w:tc>
          <w:tcPr>
            <w:tcW w:w="2433" w:type="dxa"/>
            <w:tcMar>
              <w:left w:w="0" w:type="dxa"/>
              <w:right w:w="0" w:type="dxa"/>
            </w:tcMar>
            <w:vAlign w:val="center"/>
          </w:tcPr>
          <w:p w14:paraId="3C617A29">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cs="Times New Roman" w:hAnsiTheme="minorEastAsia" w:eastAsiaTheme="minorEastAsia"/>
                <w:sz w:val="21"/>
                <w:szCs w:val="21"/>
                <w:highlight w:val="none"/>
              </w:rPr>
              <w:t>最大落地浓度距离</w:t>
            </w:r>
          </w:p>
        </w:tc>
        <w:tc>
          <w:tcPr>
            <w:tcW w:w="5655" w:type="dxa"/>
            <w:gridSpan w:val="2"/>
            <w:vAlign w:val="center"/>
          </w:tcPr>
          <w:p w14:paraId="0CAA6644">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eastAsia" w:ascii="Times New Roman" w:hAnsi="Times New Roman" w:cs="Times New Roman" w:eastAsiaTheme="minorEastAsia"/>
                <w:sz w:val="21"/>
                <w:szCs w:val="21"/>
                <w:highlight w:val="none"/>
              </w:rPr>
              <w:t>104</w:t>
            </w:r>
            <w:r>
              <w:rPr>
                <w:rFonts w:hint="default" w:ascii="Times New Roman" w:hAnsi="Times New Roman" w:cs="Times New Roman" w:eastAsiaTheme="minorEastAsia"/>
                <w:sz w:val="21"/>
                <w:szCs w:val="21"/>
                <w:highlight w:val="none"/>
              </w:rPr>
              <w:t>m</w:t>
            </w:r>
          </w:p>
        </w:tc>
      </w:tr>
    </w:tbl>
    <w:p w14:paraId="1076A8C1">
      <w:pPr>
        <w:spacing w:line="360" w:lineRule="auto"/>
        <w:jc w:val="center"/>
        <w:rPr>
          <w:rFonts w:eastAsiaTheme="minorEastAsia"/>
          <w:b/>
          <w:sz w:val="24"/>
          <w:highlight w:val="none"/>
        </w:rPr>
      </w:pPr>
      <w:r>
        <w:rPr>
          <w:rFonts w:hAnsiTheme="minorEastAsia" w:eastAsiaTheme="minorEastAsia"/>
          <w:b/>
          <w:sz w:val="24"/>
          <w:highlight w:val="none"/>
        </w:rPr>
        <w:t>表</w:t>
      </w:r>
      <w:r>
        <w:rPr>
          <w:rFonts w:eastAsiaTheme="minorEastAsia"/>
          <w:b/>
          <w:sz w:val="24"/>
          <w:highlight w:val="none"/>
        </w:rPr>
        <w:t>5-2-</w:t>
      </w:r>
      <w:r>
        <w:rPr>
          <w:rFonts w:hint="eastAsia" w:eastAsiaTheme="minorEastAsia"/>
          <w:b/>
          <w:sz w:val="24"/>
          <w:highlight w:val="none"/>
        </w:rPr>
        <w:t xml:space="preserve">11 </w:t>
      </w:r>
      <w:r>
        <w:rPr>
          <w:rFonts w:hAnsiTheme="minorEastAsia" w:eastAsiaTheme="minorEastAsia"/>
          <w:b/>
          <w:sz w:val="24"/>
          <w:highlight w:val="none"/>
        </w:rPr>
        <w:t>主要污染源估算模型计算结果表（</w:t>
      </w:r>
      <w:r>
        <w:rPr>
          <w:rFonts w:hint="eastAsia" w:hAnsiTheme="minorEastAsia" w:eastAsiaTheme="minorEastAsia"/>
          <w:b/>
          <w:bCs/>
          <w:sz w:val="24"/>
          <w:highlight w:val="none"/>
        </w:rPr>
        <w:t>热试验</w:t>
      </w:r>
      <w:r>
        <w:rPr>
          <w:rFonts w:hint="eastAsia" w:hAnsiTheme="minorEastAsia" w:eastAsiaTheme="minorEastAsia"/>
          <w:b/>
          <w:bCs/>
          <w:sz w:val="24"/>
          <w:highlight w:val="none"/>
          <w:lang w:val="en-US" w:eastAsia="zh-CN"/>
        </w:rPr>
        <w:t>DA064</w:t>
      </w:r>
      <w:r>
        <w:rPr>
          <w:rFonts w:hAnsiTheme="minorEastAsia" w:eastAsiaTheme="minorEastAsia"/>
          <w:b/>
          <w:bCs/>
          <w:sz w:val="24"/>
          <w:highlight w:val="none"/>
        </w:rPr>
        <w:t>排气筒</w:t>
      </w:r>
      <w:r>
        <w:rPr>
          <w:rFonts w:hAnsiTheme="minorEastAsia" w:eastAsiaTheme="minorEastAsia"/>
          <w:b/>
          <w:sz w:val="24"/>
          <w:highlight w:val="none"/>
        </w:rPr>
        <w:t>）</w:t>
      </w:r>
    </w:p>
    <w:tbl>
      <w:tblPr>
        <w:tblStyle w:val="45"/>
        <w:tblW w:w="8109"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895"/>
        <w:gridCol w:w="992"/>
        <w:gridCol w:w="850"/>
        <w:gridCol w:w="993"/>
        <w:gridCol w:w="850"/>
        <w:gridCol w:w="992"/>
        <w:gridCol w:w="851"/>
        <w:gridCol w:w="850"/>
        <w:gridCol w:w="836"/>
      </w:tblGrid>
      <w:tr w14:paraId="4AAE081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22" w:hRule="atLeast"/>
          <w:jc w:val="center"/>
        </w:trPr>
        <w:tc>
          <w:tcPr>
            <w:tcW w:w="895" w:type="dxa"/>
            <w:vMerge w:val="restart"/>
            <w:tcMar>
              <w:left w:w="0" w:type="dxa"/>
              <w:right w:w="0" w:type="dxa"/>
            </w:tcMar>
            <w:vAlign w:val="center"/>
          </w:tcPr>
          <w:p w14:paraId="760C11A7">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下风向距离</w:t>
            </w:r>
            <w:r>
              <w:rPr>
                <w:rFonts w:hint="default" w:eastAsiaTheme="minorEastAsia"/>
                <w:kern w:val="0"/>
                <w:sz w:val="21"/>
                <w:szCs w:val="21"/>
                <w:highlight w:val="none"/>
              </w:rPr>
              <w:t>D(m)</w:t>
            </w:r>
          </w:p>
        </w:tc>
        <w:tc>
          <w:tcPr>
            <w:tcW w:w="1842" w:type="dxa"/>
            <w:gridSpan w:val="2"/>
            <w:tcBorders>
              <w:right w:val="single" w:color="auto" w:sz="4" w:space="0"/>
            </w:tcBorders>
            <w:vAlign w:val="center"/>
          </w:tcPr>
          <w:p w14:paraId="410977EF">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NMHC</w:t>
            </w:r>
          </w:p>
        </w:tc>
        <w:tc>
          <w:tcPr>
            <w:tcW w:w="1843" w:type="dxa"/>
            <w:gridSpan w:val="2"/>
            <w:tcBorders>
              <w:left w:val="single" w:color="auto" w:sz="4" w:space="0"/>
              <w:right w:val="single" w:color="auto" w:sz="4" w:space="0"/>
            </w:tcBorders>
            <w:vAlign w:val="center"/>
          </w:tcPr>
          <w:p w14:paraId="32345E41">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eastAsia" w:eastAsiaTheme="minorEastAsia"/>
                <w:sz w:val="21"/>
                <w:szCs w:val="21"/>
                <w:highlight w:val="none"/>
              </w:rPr>
              <w:t>NO</w:t>
            </w:r>
            <w:r>
              <w:rPr>
                <w:rFonts w:hint="eastAsia" w:eastAsiaTheme="minorEastAsia"/>
                <w:sz w:val="21"/>
                <w:szCs w:val="21"/>
                <w:highlight w:val="none"/>
                <w:vertAlign w:val="subscript"/>
              </w:rPr>
              <w:t>X</w:t>
            </w:r>
          </w:p>
        </w:tc>
        <w:tc>
          <w:tcPr>
            <w:tcW w:w="1843" w:type="dxa"/>
            <w:gridSpan w:val="2"/>
            <w:tcBorders>
              <w:left w:val="single" w:color="auto" w:sz="4" w:space="0"/>
              <w:right w:val="single" w:color="auto" w:sz="4" w:space="0"/>
            </w:tcBorders>
            <w:vAlign w:val="center"/>
          </w:tcPr>
          <w:p w14:paraId="5DC4DA5D">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eastAsia" w:eastAsiaTheme="minorEastAsia"/>
                <w:sz w:val="21"/>
                <w:szCs w:val="21"/>
                <w:highlight w:val="none"/>
              </w:rPr>
              <w:t>CO</w:t>
            </w:r>
          </w:p>
        </w:tc>
        <w:tc>
          <w:tcPr>
            <w:tcW w:w="1686" w:type="dxa"/>
            <w:gridSpan w:val="2"/>
            <w:tcBorders>
              <w:top w:val="single" w:color="auto" w:sz="12" w:space="0"/>
              <w:left w:val="single" w:color="auto" w:sz="4" w:space="0"/>
              <w:bottom w:val="single" w:color="auto" w:sz="2" w:space="0"/>
              <w:right w:val="nil"/>
            </w:tcBorders>
            <w:vAlign w:val="center"/>
          </w:tcPr>
          <w:p w14:paraId="30409190">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eastAsia" w:eastAsiaTheme="minorEastAsia"/>
                <w:sz w:val="21"/>
                <w:szCs w:val="21"/>
                <w:highlight w:val="none"/>
              </w:rPr>
              <w:t>PM</w:t>
            </w:r>
            <w:r>
              <w:rPr>
                <w:rFonts w:hint="eastAsia" w:eastAsiaTheme="minorEastAsia"/>
                <w:sz w:val="21"/>
                <w:szCs w:val="21"/>
                <w:highlight w:val="none"/>
                <w:vertAlign w:val="subscript"/>
              </w:rPr>
              <w:t>10</w:t>
            </w:r>
          </w:p>
        </w:tc>
      </w:tr>
      <w:tr w14:paraId="243CF1A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22" w:hRule="atLeast"/>
          <w:jc w:val="center"/>
        </w:trPr>
        <w:tc>
          <w:tcPr>
            <w:tcW w:w="895" w:type="dxa"/>
            <w:vMerge w:val="continue"/>
            <w:tcMar>
              <w:left w:w="0" w:type="dxa"/>
              <w:right w:w="0" w:type="dxa"/>
            </w:tcMar>
            <w:vAlign w:val="center"/>
          </w:tcPr>
          <w:p w14:paraId="1DB573FD">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992" w:type="dxa"/>
            <w:vAlign w:val="center"/>
          </w:tcPr>
          <w:p w14:paraId="2CC684AD">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kern w:val="0"/>
                <w:sz w:val="21"/>
                <w:szCs w:val="21"/>
                <w:highlight w:val="none"/>
              </w:rPr>
              <w:t>预测浓度</w:t>
            </w:r>
            <w:r>
              <w:rPr>
                <w:rFonts w:hint="default" w:eastAsiaTheme="minorEastAsia"/>
                <w:kern w:val="0"/>
                <w:sz w:val="21"/>
                <w:szCs w:val="21"/>
                <w:highlight w:val="none"/>
                <w:vertAlign w:val="subscript"/>
              </w:rPr>
              <w:t xml:space="preserve"> </w:t>
            </w:r>
            <w:r>
              <w:rPr>
                <w:rFonts w:hint="default" w:eastAsiaTheme="minorEastAsia"/>
                <w:kern w:val="0"/>
                <w:sz w:val="21"/>
                <w:szCs w:val="21"/>
                <w:highlight w:val="none"/>
              </w:rPr>
              <w:t>(</w:t>
            </w:r>
            <w:r>
              <w:rPr>
                <w:rFonts w:hint="default" w:eastAsiaTheme="minorEastAsia"/>
                <w:sz w:val="21"/>
                <w:szCs w:val="21"/>
                <w:highlight w:val="none"/>
              </w:rPr>
              <w:t>μg/m</w:t>
            </w:r>
            <w:r>
              <w:rPr>
                <w:rFonts w:hint="default" w:eastAsiaTheme="minorEastAsia"/>
                <w:sz w:val="21"/>
                <w:szCs w:val="21"/>
                <w:highlight w:val="none"/>
                <w:vertAlign w:val="superscript"/>
              </w:rPr>
              <w:t>3</w:t>
            </w:r>
            <w:r>
              <w:rPr>
                <w:rFonts w:hint="default" w:eastAsiaTheme="minorEastAsia"/>
                <w:kern w:val="0"/>
                <w:sz w:val="21"/>
                <w:szCs w:val="21"/>
                <w:highlight w:val="none"/>
              </w:rPr>
              <w:t>)</w:t>
            </w:r>
          </w:p>
        </w:tc>
        <w:tc>
          <w:tcPr>
            <w:tcW w:w="850" w:type="dxa"/>
            <w:tcBorders>
              <w:right w:val="single" w:color="auto" w:sz="4" w:space="0"/>
            </w:tcBorders>
            <w:vAlign w:val="center"/>
          </w:tcPr>
          <w:p w14:paraId="7990F118">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kern w:val="0"/>
                <w:sz w:val="21"/>
                <w:szCs w:val="21"/>
                <w:highlight w:val="none"/>
              </w:rPr>
              <w:t>占标率</w:t>
            </w:r>
            <w:r>
              <w:rPr>
                <w:rFonts w:hint="default" w:eastAsiaTheme="minorEastAsia"/>
                <w:kern w:val="0"/>
                <w:sz w:val="21"/>
                <w:szCs w:val="21"/>
                <w:highlight w:val="none"/>
              </w:rPr>
              <w:t>(%)</w:t>
            </w:r>
          </w:p>
        </w:tc>
        <w:tc>
          <w:tcPr>
            <w:tcW w:w="993" w:type="dxa"/>
            <w:tcBorders>
              <w:left w:val="single" w:color="auto" w:sz="4" w:space="0"/>
            </w:tcBorders>
            <w:vAlign w:val="center"/>
          </w:tcPr>
          <w:p w14:paraId="5B9CE3CA">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kern w:val="0"/>
                <w:sz w:val="21"/>
                <w:szCs w:val="21"/>
                <w:highlight w:val="none"/>
              </w:rPr>
              <w:t>预测浓度</w:t>
            </w:r>
            <w:r>
              <w:rPr>
                <w:rFonts w:hint="default" w:eastAsiaTheme="minorEastAsia"/>
                <w:kern w:val="0"/>
                <w:sz w:val="21"/>
                <w:szCs w:val="21"/>
                <w:highlight w:val="none"/>
                <w:vertAlign w:val="subscript"/>
              </w:rPr>
              <w:t xml:space="preserve"> </w:t>
            </w:r>
            <w:r>
              <w:rPr>
                <w:rFonts w:hint="default" w:eastAsiaTheme="minorEastAsia"/>
                <w:kern w:val="0"/>
                <w:sz w:val="21"/>
                <w:szCs w:val="21"/>
                <w:highlight w:val="none"/>
              </w:rPr>
              <w:t>(</w:t>
            </w:r>
            <w:r>
              <w:rPr>
                <w:rFonts w:hint="default" w:eastAsiaTheme="minorEastAsia"/>
                <w:sz w:val="21"/>
                <w:szCs w:val="21"/>
                <w:highlight w:val="none"/>
              </w:rPr>
              <w:t>μg/m</w:t>
            </w:r>
            <w:r>
              <w:rPr>
                <w:rFonts w:hint="default" w:eastAsiaTheme="minorEastAsia"/>
                <w:sz w:val="21"/>
                <w:szCs w:val="21"/>
                <w:highlight w:val="none"/>
                <w:vertAlign w:val="superscript"/>
              </w:rPr>
              <w:t>3</w:t>
            </w:r>
            <w:r>
              <w:rPr>
                <w:rFonts w:hint="default" w:eastAsiaTheme="minorEastAsia"/>
                <w:kern w:val="0"/>
                <w:sz w:val="21"/>
                <w:szCs w:val="21"/>
                <w:highlight w:val="none"/>
              </w:rPr>
              <w:t>)</w:t>
            </w:r>
          </w:p>
        </w:tc>
        <w:tc>
          <w:tcPr>
            <w:tcW w:w="850" w:type="dxa"/>
            <w:tcBorders>
              <w:left w:val="single" w:color="auto" w:sz="4" w:space="0"/>
            </w:tcBorders>
            <w:vAlign w:val="center"/>
          </w:tcPr>
          <w:p w14:paraId="658CD74F">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kern w:val="0"/>
                <w:sz w:val="21"/>
                <w:szCs w:val="21"/>
                <w:highlight w:val="none"/>
              </w:rPr>
              <w:t>占标率</w:t>
            </w:r>
            <w:r>
              <w:rPr>
                <w:rFonts w:hint="default" w:eastAsiaTheme="minorEastAsia"/>
                <w:kern w:val="0"/>
                <w:sz w:val="21"/>
                <w:szCs w:val="21"/>
                <w:highlight w:val="none"/>
              </w:rPr>
              <w:t>(%)</w:t>
            </w:r>
          </w:p>
        </w:tc>
        <w:tc>
          <w:tcPr>
            <w:tcW w:w="992" w:type="dxa"/>
            <w:tcBorders>
              <w:left w:val="single" w:color="auto" w:sz="4" w:space="0"/>
            </w:tcBorders>
            <w:vAlign w:val="center"/>
          </w:tcPr>
          <w:p w14:paraId="1380DFA0">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kern w:val="0"/>
                <w:sz w:val="21"/>
                <w:szCs w:val="21"/>
                <w:highlight w:val="none"/>
              </w:rPr>
              <w:t>预测浓度</w:t>
            </w:r>
            <w:r>
              <w:rPr>
                <w:rFonts w:hint="default" w:eastAsiaTheme="minorEastAsia"/>
                <w:kern w:val="0"/>
                <w:sz w:val="21"/>
                <w:szCs w:val="21"/>
                <w:highlight w:val="none"/>
                <w:vertAlign w:val="subscript"/>
              </w:rPr>
              <w:t xml:space="preserve"> </w:t>
            </w:r>
            <w:r>
              <w:rPr>
                <w:rFonts w:hint="default" w:eastAsiaTheme="minorEastAsia"/>
                <w:kern w:val="0"/>
                <w:sz w:val="21"/>
                <w:szCs w:val="21"/>
                <w:highlight w:val="none"/>
              </w:rPr>
              <w:t>(</w:t>
            </w:r>
            <w:r>
              <w:rPr>
                <w:rFonts w:hint="default" w:eastAsiaTheme="minorEastAsia"/>
                <w:sz w:val="21"/>
                <w:szCs w:val="21"/>
                <w:highlight w:val="none"/>
              </w:rPr>
              <w:t>μg/m</w:t>
            </w:r>
            <w:r>
              <w:rPr>
                <w:rFonts w:hint="default" w:eastAsiaTheme="minorEastAsia"/>
                <w:sz w:val="21"/>
                <w:szCs w:val="21"/>
                <w:highlight w:val="none"/>
                <w:vertAlign w:val="superscript"/>
              </w:rPr>
              <w:t>3</w:t>
            </w:r>
            <w:r>
              <w:rPr>
                <w:rFonts w:hint="default" w:eastAsiaTheme="minorEastAsia"/>
                <w:kern w:val="0"/>
                <w:sz w:val="21"/>
                <w:szCs w:val="21"/>
                <w:highlight w:val="none"/>
              </w:rPr>
              <w:t>)</w:t>
            </w:r>
          </w:p>
        </w:tc>
        <w:tc>
          <w:tcPr>
            <w:tcW w:w="851" w:type="dxa"/>
            <w:tcBorders>
              <w:left w:val="single" w:color="auto" w:sz="4" w:space="0"/>
            </w:tcBorders>
            <w:vAlign w:val="center"/>
          </w:tcPr>
          <w:p w14:paraId="1FF23370">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kern w:val="0"/>
                <w:sz w:val="21"/>
                <w:szCs w:val="21"/>
                <w:highlight w:val="none"/>
              </w:rPr>
              <w:t>占标率</w:t>
            </w:r>
            <w:r>
              <w:rPr>
                <w:rFonts w:hint="default" w:eastAsiaTheme="minorEastAsia"/>
                <w:kern w:val="0"/>
                <w:sz w:val="21"/>
                <w:szCs w:val="21"/>
                <w:highlight w:val="none"/>
              </w:rPr>
              <w:t>(%)</w:t>
            </w:r>
          </w:p>
        </w:tc>
        <w:tc>
          <w:tcPr>
            <w:tcW w:w="850" w:type="dxa"/>
            <w:tcBorders>
              <w:left w:val="single" w:color="auto" w:sz="4" w:space="0"/>
            </w:tcBorders>
            <w:vAlign w:val="center"/>
          </w:tcPr>
          <w:p w14:paraId="2B0D165D">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kern w:val="0"/>
                <w:sz w:val="21"/>
                <w:szCs w:val="21"/>
                <w:highlight w:val="none"/>
              </w:rPr>
              <w:t>预测浓度</w:t>
            </w:r>
            <w:r>
              <w:rPr>
                <w:rFonts w:hint="default" w:eastAsiaTheme="minorEastAsia"/>
                <w:kern w:val="0"/>
                <w:sz w:val="21"/>
                <w:szCs w:val="21"/>
                <w:highlight w:val="none"/>
                <w:vertAlign w:val="subscript"/>
              </w:rPr>
              <w:t xml:space="preserve"> </w:t>
            </w:r>
            <w:r>
              <w:rPr>
                <w:rFonts w:hint="eastAsia" w:eastAsiaTheme="minorEastAsia"/>
                <w:spacing w:val="-4"/>
                <w:kern w:val="0"/>
                <w:sz w:val="21"/>
                <w:szCs w:val="21"/>
                <w:highlight w:val="none"/>
              </w:rPr>
              <w:t>(</w:t>
            </w:r>
            <w:r>
              <w:rPr>
                <w:rFonts w:hint="default" w:eastAsiaTheme="minorEastAsia"/>
                <w:spacing w:val="-4"/>
                <w:sz w:val="21"/>
                <w:szCs w:val="21"/>
                <w:highlight w:val="none"/>
              </w:rPr>
              <w:t>μg/m</w:t>
            </w:r>
            <w:r>
              <w:rPr>
                <w:rFonts w:hint="default" w:eastAsiaTheme="minorEastAsia"/>
                <w:spacing w:val="-4"/>
                <w:sz w:val="21"/>
                <w:szCs w:val="21"/>
                <w:highlight w:val="none"/>
                <w:vertAlign w:val="superscript"/>
              </w:rPr>
              <w:t>3</w:t>
            </w:r>
            <w:r>
              <w:rPr>
                <w:rFonts w:hint="eastAsia" w:eastAsiaTheme="minorEastAsia"/>
                <w:spacing w:val="-4"/>
                <w:kern w:val="0"/>
                <w:sz w:val="21"/>
                <w:szCs w:val="21"/>
                <w:highlight w:val="none"/>
              </w:rPr>
              <w:t>)</w:t>
            </w:r>
          </w:p>
        </w:tc>
        <w:tc>
          <w:tcPr>
            <w:tcW w:w="836" w:type="dxa"/>
            <w:tcBorders>
              <w:left w:val="single" w:color="auto" w:sz="4" w:space="0"/>
            </w:tcBorders>
            <w:vAlign w:val="center"/>
          </w:tcPr>
          <w:p w14:paraId="349BC221">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kern w:val="0"/>
                <w:sz w:val="21"/>
                <w:szCs w:val="21"/>
                <w:highlight w:val="none"/>
              </w:rPr>
              <w:t>占标率</w:t>
            </w:r>
            <w:r>
              <w:rPr>
                <w:rFonts w:hint="default" w:eastAsiaTheme="minorEastAsia"/>
                <w:kern w:val="0"/>
                <w:sz w:val="21"/>
                <w:szCs w:val="21"/>
                <w:highlight w:val="none"/>
              </w:rPr>
              <w:t>(%)</w:t>
            </w:r>
          </w:p>
        </w:tc>
      </w:tr>
      <w:tr w14:paraId="719E3C9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5" w:hRule="atLeast"/>
          <w:jc w:val="center"/>
        </w:trPr>
        <w:tc>
          <w:tcPr>
            <w:tcW w:w="895" w:type="dxa"/>
            <w:tcMar>
              <w:left w:w="0" w:type="dxa"/>
              <w:right w:w="0" w:type="dxa"/>
            </w:tcMar>
            <w:vAlign w:val="center"/>
          </w:tcPr>
          <w:p w14:paraId="62F2B8D4">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100</w:t>
            </w:r>
          </w:p>
        </w:tc>
        <w:tc>
          <w:tcPr>
            <w:tcW w:w="992" w:type="dxa"/>
            <w:vAlign w:val="center"/>
          </w:tcPr>
          <w:p w14:paraId="2D3E4BA0">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4.6172</w:t>
            </w:r>
          </w:p>
        </w:tc>
        <w:tc>
          <w:tcPr>
            <w:tcW w:w="850" w:type="dxa"/>
            <w:tcBorders>
              <w:right w:val="single" w:color="auto" w:sz="4" w:space="0"/>
            </w:tcBorders>
            <w:vAlign w:val="center"/>
          </w:tcPr>
          <w:p w14:paraId="69AF74DC">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0.2309</w:t>
            </w:r>
          </w:p>
        </w:tc>
        <w:tc>
          <w:tcPr>
            <w:tcW w:w="993" w:type="dxa"/>
            <w:tcBorders>
              <w:left w:val="single" w:color="auto" w:sz="4" w:space="0"/>
            </w:tcBorders>
            <w:vAlign w:val="center"/>
          </w:tcPr>
          <w:p w14:paraId="20A1A96F">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17.6031</w:t>
            </w:r>
          </w:p>
        </w:tc>
        <w:tc>
          <w:tcPr>
            <w:tcW w:w="850" w:type="dxa"/>
            <w:tcBorders>
              <w:left w:val="single" w:color="auto" w:sz="4" w:space="0"/>
            </w:tcBorders>
            <w:vAlign w:val="center"/>
          </w:tcPr>
          <w:p w14:paraId="58B2ACC2">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7.0412</w:t>
            </w:r>
          </w:p>
        </w:tc>
        <w:tc>
          <w:tcPr>
            <w:tcW w:w="992" w:type="dxa"/>
            <w:tcBorders>
              <w:left w:val="single" w:color="auto" w:sz="4" w:space="0"/>
            </w:tcBorders>
            <w:vAlign w:val="center"/>
          </w:tcPr>
          <w:p w14:paraId="6A2D1AFC">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30.9038</w:t>
            </w:r>
          </w:p>
        </w:tc>
        <w:tc>
          <w:tcPr>
            <w:tcW w:w="851" w:type="dxa"/>
            <w:tcBorders>
              <w:left w:val="single" w:color="auto" w:sz="4" w:space="0"/>
            </w:tcBorders>
            <w:vAlign w:val="center"/>
          </w:tcPr>
          <w:p w14:paraId="180626F9">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0.3090</w:t>
            </w:r>
          </w:p>
        </w:tc>
        <w:tc>
          <w:tcPr>
            <w:tcW w:w="850" w:type="dxa"/>
            <w:tcBorders>
              <w:left w:val="single" w:color="auto" w:sz="4" w:space="0"/>
            </w:tcBorders>
            <w:vAlign w:val="center"/>
          </w:tcPr>
          <w:p w14:paraId="2321589E">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1.3904</w:t>
            </w:r>
          </w:p>
        </w:tc>
        <w:tc>
          <w:tcPr>
            <w:tcW w:w="836" w:type="dxa"/>
            <w:tcBorders>
              <w:left w:val="single" w:color="auto" w:sz="4" w:space="0"/>
            </w:tcBorders>
            <w:vAlign w:val="center"/>
          </w:tcPr>
          <w:p w14:paraId="0AC05E59">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0.3090</w:t>
            </w:r>
          </w:p>
        </w:tc>
      </w:tr>
      <w:tr w14:paraId="300A362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5" w:hRule="atLeast"/>
          <w:jc w:val="center"/>
        </w:trPr>
        <w:tc>
          <w:tcPr>
            <w:tcW w:w="895" w:type="dxa"/>
            <w:tcMar>
              <w:left w:w="0" w:type="dxa"/>
              <w:right w:w="0" w:type="dxa"/>
            </w:tcMar>
            <w:vAlign w:val="center"/>
          </w:tcPr>
          <w:p w14:paraId="1A33D5F6">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200</w:t>
            </w:r>
          </w:p>
        </w:tc>
        <w:tc>
          <w:tcPr>
            <w:tcW w:w="992" w:type="dxa"/>
            <w:vAlign w:val="center"/>
          </w:tcPr>
          <w:p w14:paraId="1697A6F2">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3.8473</w:t>
            </w:r>
          </w:p>
        </w:tc>
        <w:tc>
          <w:tcPr>
            <w:tcW w:w="850" w:type="dxa"/>
            <w:tcBorders>
              <w:right w:val="single" w:color="auto" w:sz="4" w:space="0"/>
            </w:tcBorders>
            <w:vAlign w:val="center"/>
          </w:tcPr>
          <w:p w14:paraId="440E39B8">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0.1924</w:t>
            </w:r>
          </w:p>
        </w:tc>
        <w:tc>
          <w:tcPr>
            <w:tcW w:w="993" w:type="dxa"/>
            <w:tcBorders>
              <w:left w:val="single" w:color="auto" w:sz="4" w:space="0"/>
            </w:tcBorders>
            <w:vAlign w:val="center"/>
          </w:tcPr>
          <w:p w14:paraId="2AED9213">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14.6678</w:t>
            </w:r>
          </w:p>
        </w:tc>
        <w:tc>
          <w:tcPr>
            <w:tcW w:w="850" w:type="dxa"/>
            <w:tcBorders>
              <w:left w:val="single" w:color="auto" w:sz="4" w:space="0"/>
            </w:tcBorders>
            <w:vAlign w:val="center"/>
          </w:tcPr>
          <w:p w14:paraId="02AA8701">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5.8671</w:t>
            </w:r>
          </w:p>
        </w:tc>
        <w:tc>
          <w:tcPr>
            <w:tcW w:w="992" w:type="dxa"/>
            <w:tcBorders>
              <w:left w:val="single" w:color="auto" w:sz="4" w:space="0"/>
            </w:tcBorders>
            <w:vAlign w:val="center"/>
          </w:tcPr>
          <w:p w14:paraId="656A332F">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25.7507</w:t>
            </w:r>
          </w:p>
        </w:tc>
        <w:tc>
          <w:tcPr>
            <w:tcW w:w="851" w:type="dxa"/>
            <w:tcBorders>
              <w:left w:val="single" w:color="auto" w:sz="4" w:space="0"/>
            </w:tcBorders>
            <w:vAlign w:val="center"/>
          </w:tcPr>
          <w:p w14:paraId="76F59040">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0.2575</w:t>
            </w:r>
          </w:p>
        </w:tc>
        <w:tc>
          <w:tcPr>
            <w:tcW w:w="850" w:type="dxa"/>
            <w:tcBorders>
              <w:left w:val="single" w:color="auto" w:sz="4" w:space="0"/>
            </w:tcBorders>
            <w:vAlign w:val="center"/>
          </w:tcPr>
          <w:p w14:paraId="41C903CD">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1.1586</w:t>
            </w:r>
          </w:p>
        </w:tc>
        <w:tc>
          <w:tcPr>
            <w:tcW w:w="836" w:type="dxa"/>
            <w:tcBorders>
              <w:left w:val="single" w:color="auto" w:sz="4" w:space="0"/>
            </w:tcBorders>
            <w:vAlign w:val="center"/>
          </w:tcPr>
          <w:p w14:paraId="78D0CD9A">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0.2575</w:t>
            </w:r>
          </w:p>
        </w:tc>
      </w:tr>
      <w:tr w14:paraId="13CE63E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5" w:hRule="atLeast"/>
          <w:jc w:val="center"/>
        </w:trPr>
        <w:tc>
          <w:tcPr>
            <w:tcW w:w="895" w:type="dxa"/>
            <w:tcMar>
              <w:left w:w="0" w:type="dxa"/>
              <w:right w:w="0" w:type="dxa"/>
            </w:tcMar>
            <w:vAlign w:val="center"/>
          </w:tcPr>
          <w:p w14:paraId="09C5DE46">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300</w:t>
            </w:r>
          </w:p>
        </w:tc>
        <w:tc>
          <w:tcPr>
            <w:tcW w:w="992" w:type="dxa"/>
            <w:vAlign w:val="center"/>
          </w:tcPr>
          <w:p w14:paraId="7F0D01CC">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3.0192</w:t>
            </w:r>
          </w:p>
        </w:tc>
        <w:tc>
          <w:tcPr>
            <w:tcW w:w="850" w:type="dxa"/>
            <w:tcBorders>
              <w:right w:val="single" w:color="auto" w:sz="4" w:space="0"/>
            </w:tcBorders>
            <w:vAlign w:val="center"/>
          </w:tcPr>
          <w:p w14:paraId="7F592182">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0.1510</w:t>
            </w:r>
          </w:p>
        </w:tc>
        <w:tc>
          <w:tcPr>
            <w:tcW w:w="993" w:type="dxa"/>
            <w:tcBorders>
              <w:left w:val="single" w:color="auto" w:sz="4" w:space="0"/>
            </w:tcBorders>
            <w:vAlign w:val="center"/>
          </w:tcPr>
          <w:p w14:paraId="36D7559D">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11.5107</w:t>
            </w:r>
          </w:p>
        </w:tc>
        <w:tc>
          <w:tcPr>
            <w:tcW w:w="850" w:type="dxa"/>
            <w:tcBorders>
              <w:left w:val="single" w:color="auto" w:sz="4" w:space="0"/>
            </w:tcBorders>
            <w:vAlign w:val="center"/>
          </w:tcPr>
          <w:p w14:paraId="13AE130E">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4.6043</w:t>
            </w:r>
          </w:p>
        </w:tc>
        <w:tc>
          <w:tcPr>
            <w:tcW w:w="992" w:type="dxa"/>
            <w:tcBorders>
              <w:left w:val="single" w:color="auto" w:sz="4" w:space="0"/>
            </w:tcBorders>
            <w:vAlign w:val="center"/>
          </w:tcPr>
          <w:p w14:paraId="125E9B17">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20.2081</w:t>
            </w:r>
          </w:p>
        </w:tc>
        <w:tc>
          <w:tcPr>
            <w:tcW w:w="851" w:type="dxa"/>
            <w:tcBorders>
              <w:left w:val="single" w:color="auto" w:sz="4" w:space="0"/>
            </w:tcBorders>
            <w:vAlign w:val="center"/>
          </w:tcPr>
          <w:p w14:paraId="5884E6B4">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0.2021</w:t>
            </w:r>
          </w:p>
        </w:tc>
        <w:tc>
          <w:tcPr>
            <w:tcW w:w="850" w:type="dxa"/>
            <w:tcBorders>
              <w:left w:val="single" w:color="auto" w:sz="4" w:space="0"/>
            </w:tcBorders>
            <w:vAlign w:val="center"/>
          </w:tcPr>
          <w:p w14:paraId="6C9EB363">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0.9092</w:t>
            </w:r>
          </w:p>
        </w:tc>
        <w:tc>
          <w:tcPr>
            <w:tcW w:w="836" w:type="dxa"/>
            <w:tcBorders>
              <w:left w:val="single" w:color="auto" w:sz="4" w:space="0"/>
            </w:tcBorders>
            <w:vAlign w:val="center"/>
          </w:tcPr>
          <w:p w14:paraId="534E8214">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0.2020</w:t>
            </w:r>
          </w:p>
        </w:tc>
      </w:tr>
      <w:tr w14:paraId="49FDC9E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5" w:hRule="atLeast"/>
          <w:jc w:val="center"/>
        </w:trPr>
        <w:tc>
          <w:tcPr>
            <w:tcW w:w="895" w:type="dxa"/>
            <w:tcMar>
              <w:left w:w="0" w:type="dxa"/>
              <w:right w:w="0" w:type="dxa"/>
            </w:tcMar>
            <w:vAlign w:val="center"/>
          </w:tcPr>
          <w:p w14:paraId="208D476F">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400</w:t>
            </w:r>
          </w:p>
        </w:tc>
        <w:tc>
          <w:tcPr>
            <w:tcW w:w="992" w:type="dxa"/>
            <w:vAlign w:val="center"/>
          </w:tcPr>
          <w:p w14:paraId="3421300D">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2.3148</w:t>
            </w:r>
          </w:p>
        </w:tc>
        <w:tc>
          <w:tcPr>
            <w:tcW w:w="850" w:type="dxa"/>
            <w:tcBorders>
              <w:right w:val="single" w:color="auto" w:sz="4" w:space="0"/>
            </w:tcBorders>
            <w:vAlign w:val="center"/>
          </w:tcPr>
          <w:p w14:paraId="579263A9">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0.1157</w:t>
            </w:r>
          </w:p>
        </w:tc>
        <w:tc>
          <w:tcPr>
            <w:tcW w:w="993" w:type="dxa"/>
            <w:tcBorders>
              <w:left w:val="single" w:color="auto" w:sz="4" w:space="0"/>
            </w:tcBorders>
            <w:vAlign w:val="center"/>
          </w:tcPr>
          <w:p w14:paraId="567DB28F">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8.8252</w:t>
            </w:r>
          </w:p>
        </w:tc>
        <w:tc>
          <w:tcPr>
            <w:tcW w:w="850" w:type="dxa"/>
            <w:tcBorders>
              <w:left w:val="single" w:color="auto" w:sz="4" w:space="0"/>
            </w:tcBorders>
            <w:vAlign w:val="center"/>
          </w:tcPr>
          <w:p w14:paraId="79C14F43">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3.5301</w:t>
            </w:r>
          </w:p>
        </w:tc>
        <w:tc>
          <w:tcPr>
            <w:tcW w:w="992" w:type="dxa"/>
            <w:tcBorders>
              <w:left w:val="single" w:color="auto" w:sz="4" w:space="0"/>
            </w:tcBorders>
            <w:vAlign w:val="center"/>
          </w:tcPr>
          <w:p w14:paraId="4BD21B99">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15.4934</w:t>
            </w:r>
          </w:p>
        </w:tc>
        <w:tc>
          <w:tcPr>
            <w:tcW w:w="851" w:type="dxa"/>
            <w:tcBorders>
              <w:left w:val="single" w:color="auto" w:sz="4" w:space="0"/>
            </w:tcBorders>
            <w:vAlign w:val="center"/>
          </w:tcPr>
          <w:p w14:paraId="512578F8">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0.1549</w:t>
            </w:r>
          </w:p>
        </w:tc>
        <w:tc>
          <w:tcPr>
            <w:tcW w:w="850" w:type="dxa"/>
            <w:tcBorders>
              <w:left w:val="single" w:color="auto" w:sz="4" w:space="0"/>
            </w:tcBorders>
            <w:vAlign w:val="center"/>
          </w:tcPr>
          <w:p w14:paraId="495B332F">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0.6971</w:t>
            </w:r>
          </w:p>
        </w:tc>
        <w:tc>
          <w:tcPr>
            <w:tcW w:w="836" w:type="dxa"/>
            <w:tcBorders>
              <w:left w:val="single" w:color="auto" w:sz="4" w:space="0"/>
            </w:tcBorders>
            <w:vAlign w:val="center"/>
          </w:tcPr>
          <w:p w14:paraId="53A430D8">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0.1549</w:t>
            </w:r>
          </w:p>
        </w:tc>
      </w:tr>
      <w:tr w14:paraId="3A9ACBF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5" w:hRule="atLeast"/>
          <w:jc w:val="center"/>
        </w:trPr>
        <w:tc>
          <w:tcPr>
            <w:tcW w:w="895" w:type="dxa"/>
            <w:tcMar>
              <w:left w:w="0" w:type="dxa"/>
              <w:right w:w="0" w:type="dxa"/>
            </w:tcMar>
            <w:vAlign w:val="center"/>
          </w:tcPr>
          <w:p w14:paraId="6655D3C8">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500</w:t>
            </w:r>
          </w:p>
        </w:tc>
        <w:tc>
          <w:tcPr>
            <w:tcW w:w="992" w:type="dxa"/>
            <w:vAlign w:val="center"/>
          </w:tcPr>
          <w:p w14:paraId="55FA2C7D">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1.7545</w:t>
            </w:r>
          </w:p>
        </w:tc>
        <w:tc>
          <w:tcPr>
            <w:tcW w:w="850" w:type="dxa"/>
            <w:tcBorders>
              <w:right w:val="single" w:color="auto" w:sz="4" w:space="0"/>
            </w:tcBorders>
            <w:vAlign w:val="center"/>
          </w:tcPr>
          <w:p w14:paraId="2F948C5C">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0.0877</w:t>
            </w:r>
          </w:p>
        </w:tc>
        <w:tc>
          <w:tcPr>
            <w:tcW w:w="993" w:type="dxa"/>
            <w:tcBorders>
              <w:left w:val="single" w:color="auto" w:sz="4" w:space="0"/>
            </w:tcBorders>
            <w:vAlign w:val="center"/>
          </w:tcPr>
          <w:p w14:paraId="15AB1316">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6.6890</w:t>
            </w:r>
          </w:p>
        </w:tc>
        <w:tc>
          <w:tcPr>
            <w:tcW w:w="850" w:type="dxa"/>
            <w:tcBorders>
              <w:left w:val="single" w:color="auto" w:sz="4" w:space="0"/>
            </w:tcBorders>
            <w:vAlign w:val="center"/>
          </w:tcPr>
          <w:p w14:paraId="4493E595">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2.6756</w:t>
            </w:r>
          </w:p>
        </w:tc>
        <w:tc>
          <w:tcPr>
            <w:tcW w:w="992" w:type="dxa"/>
            <w:tcBorders>
              <w:left w:val="single" w:color="auto" w:sz="4" w:space="0"/>
            </w:tcBorders>
            <w:vAlign w:val="center"/>
          </w:tcPr>
          <w:p w14:paraId="6D37433A">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11.7432</w:t>
            </w:r>
          </w:p>
        </w:tc>
        <w:tc>
          <w:tcPr>
            <w:tcW w:w="851" w:type="dxa"/>
            <w:tcBorders>
              <w:left w:val="single" w:color="auto" w:sz="4" w:space="0"/>
            </w:tcBorders>
            <w:vAlign w:val="center"/>
          </w:tcPr>
          <w:p w14:paraId="613891D3">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0.1174</w:t>
            </w:r>
          </w:p>
        </w:tc>
        <w:tc>
          <w:tcPr>
            <w:tcW w:w="850" w:type="dxa"/>
            <w:tcBorders>
              <w:left w:val="single" w:color="auto" w:sz="4" w:space="0"/>
            </w:tcBorders>
            <w:vAlign w:val="center"/>
          </w:tcPr>
          <w:p w14:paraId="3B254A55">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0.5283</w:t>
            </w:r>
          </w:p>
        </w:tc>
        <w:tc>
          <w:tcPr>
            <w:tcW w:w="836" w:type="dxa"/>
            <w:tcBorders>
              <w:left w:val="single" w:color="auto" w:sz="4" w:space="0"/>
            </w:tcBorders>
            <w:vAlign w:val="center"/>
          </w:tcPr>
          <w:p w14:paraId="320AF296">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0.1174</w:t>
            </w:r>
          </w:p>
        </w:tc>
      </w:tr>
      <w:tr w14:paraId="2DD43D1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5" w:hRule="atLeast"/>
          <w:jc w:val="center"/>
        </w:trPr>
        <w:tc>
          <w:tcPr>
            <w:tcW w:w="895" w:type="dxa"/>
            <w:tcMar>
              <w:left w:w="0" w:type="dxa"/>
              <w:right w:w="0" w:type="dxa"/>
            </w:tcMar>
            <w:vAlign w:val="center"/>
          </w:tcPr>
          <w:p w14:paraId="3BAA8DAC">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600</w:t>
            </w:r>
          </w:p>
        </w:tc>
        <w:tc>
          <w:tcPr>
            <w:tcW w:w="992" w:type="dxa"/>
            <w:vAlign w:val="center"/>
          </w:tcPr>
          <w:p w14:paraId="01851D4B">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1.3621</w:t>
            </w:r>
          </w:p>
        </w:tc>
        <w:tc>
          <w:tcPr>
            <w:tcW w:w="850" w:type="dxa"/>
            <w:tcBorders>
              <w:right w:val="single" w:color="auto" w:sz="4" w:space="0"/>
            </w:tcBorders>
            <w:vAlign w:val="center"/>
          </w:tcPr>
          <w:p w14:paraId="123414D4">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0.0681</w:t>
            </w:r>
          </w:p>
        </w:tc>
        <w:tc>
          <w:tcPr>
            <w:tcW w:w="993" w:type="dxa"/>
            <w:tcBorders>
              <w:left w:val="single" w:color="auto" w:sz="4" w:space="0"/>
            </w:tcBorders>
            <w:vAlign w:val="center"/>
          </w:tcPr>
          <w:p w14:paraId="3274BE14">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5.1930</w:t>
            </w:r>
          </w:p>
        </w:tc>
        <w:tc>
          <w:tcPr>
            <w:tcW w:w="850" w:type="dxa"/>
            <w:tcBorders>
              <w:left w:val="single" w:color="auto" w:sz="4" w:space="0"/>
            </w:tcBorders>
            <w:vAlign w:val="center"/>
          </w:tcPr>
          <w:p w14:paraId="40DEAB1A">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2.0772</w:t>
            </w:r>
          </w:p>
        </w:tc>
        <w:tc>
          <w:tcPr>
            <w:tcW w:w="992" w:type="dxa"/>
            <w:tcBorders>
              <w:left w:val="single" w:color="auto" w:sz="4" w:space="0"/>
            </w:tcBorders>
            <w:vAlign w:val="center"/>
          </w:tcPr>
          <w:p w14:paraId="42B28B67">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9.1168</w:t>
            </w:r>
          </w:p>
        </w:tc>
        <w:tc>
          <w:tcPr>
            <w:tcW w:w="851" w:type="dxa"/>
            <w:tcBorders>
              <w:left w:val="single" w:color="auto" w:sz="4" w:space="0"/>
            </w:tcBorders>
            <w:vAlign w:val="center"/>
          </w:tcPr>
          <w:p w14:paraId="1C915ACE">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0.0912</w:t>
            </w:r>
          </w:p>
        </w:tc>
        <w:tc>
          <w:tcPr>
            <w:tcW w:w="850" w:type="dxa"/>
            <w:tcBorders>
              <w:left w:val="single" w:color="auto" w:sz="4" w:space="0"/>
            </w:tcBorders>
            <w:vAlign w:val="center"/>
          </w:tcPr>
          <w:p w14:paraId="48D513DA">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0.4102</w:t>
            </w:r>
          </w:p>
        </w:tc>
        <w:tc>
          <w:tcPr>
            <w:tcW w:w="836" w:type="dxa"/>
            <w:tcBorders>
              <w:left w:val="single" w:color="auto" w:sz="4" w:space="0"/>
            </w:tcBorders>
            <w:vAlign w:val="center"/>
          </w:tcPr>
          <w:p w14:paraId="401610C6">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0.0912</w:t>
            </w:r>
          </w:p>
        </w:tc>
      </w:tr>
      <w:tr w14:paraId="59FB363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5" w:hRule="atLeast"/>
          <w:jc w:val="center"/>
        </w:trPr>
        <w:tc>
          <w:tcPr>
            <w:tcW w:w="895" w:type="dxa"/>
            <w:tcMar>
              <w:left w:w="0" w:type="dxa"/>
              <w:right w:w="0" w:type="dxa"/>
            </w:tcMar>
            <w:vAlign w:val="center"/>
          </w:tcPr>
          <w:p w14:paraId="3C149653">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700</w:t>
            </w:r>
          </w:p>
        </w:tc>
        <w:tc>
          <w:tcPr>
            <w:tcW w:w="992" w:type="dxa"/>
            <w:vAlign w:val="center"/>
          </w:tcPr>
          <w:p w14:paraId="118A7FB0">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1.1837</w:t>
            </w:r>
          </w:p>
        </w:tc>
        <w:tc>
          <w:tcPr>
            <w:tcW w:w="850" w:type="dxa"/>
            <w:tcBorders>
              <w:right w:val="single" w:color="auto" w:sz="4" w:space="0"/>
            </w:tcBorders>
            <w:vAlign w:val="center"/>
          </w:tcPr>
          <w:p w14:paraId="487F4F49">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0.0592</w:t>
            </w:r>
          </w:p>
        </w:tc>
        <w:tc>
          <w:tcPr>
            <w:tcW w:w="993" w:type="dxa"/>
            <w:tcBorders>
              <w:left w:val="single" w:color="auto" w:sz="4" w:space="0"/>
            </w:tcBorders>
            <w:vAlign w:val="center"/>
          </w:tcPr>
          <w:p w14:paraId="35FD5B77">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4.5129</w:t>
            </w:r>
          </w:p>
        </w:tc>
        <w:tc>
          <w:tcPr>
            <w:tcW w:w="850" w:type="dxa"/>
            <w:tcBorders>
              <w:left w:val="single" w:color="auto" w:sz="4" w:space="0"/>
            </w:tcBorders>
            <w:vAlign w:val="center"/>
          </w:tcPr>
          <w:p w14:paraId="173210DC">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1.8051</w:t>
            </w:r>
          </w:p>
        </w:tc>
        <w:tc>
          <w:tcPr>
            <w:tcW w:w="992" w:type="dxa"/>
            <w:tcBorders>
              <w:left w:val="single" w:color="auto" w:sz="4" w:space="0"/>
            </w:tcBorders>
            <w:vAlign w:val="center"/>
          </w:tcPr>
          <w:p w14:paraId="2D9B928B">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7.9227</w:t>
            </w:r>
          </w:p>
        </w:tc>
        <w:tc>
          <w:tcPr>
            <w:tcW w:w="851" w:type="dxa"/>
            <w:tcBorders>
              <w:left w:val="single" w:color="auto" w:sz="4" w:space="0"/>
            </w:tcBorders>
            <w:vAlign w:val="center"/>
          </w:tcPr>
          <w:p w14:paraId="4A5244E0">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0.0792</w:t>
            </w:r>
          </w:p>
        </w:tc>
        <w:tc>
          <w:tcPr>
            <w:tcW w:w="850" w:type="dxa"/>
            <w:tcBorders>
              <w:left w:val="single" w:color="auto" w:sz="4" w:space="0"/>
            </w:tcBorders>
            <w:vAlign w:val="center"/>
          </w:tcPr>
          <w:p w14:paraId="34A3775F">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0.3565</w:t>
            </w:r>
          </w:p>
        </w:tc>
        <w:tc>
          <w:tcPr>
            <w:tcW w:w="836" w:type="dxa"/>
            <w:tcBorders>
              <w:left w:val="single" w:color="auto" w:sz="4" w:space="0"/>
            </w:tcBorders>
            <w:vAlign w:val="center"/>
          </w:tcPr>
          <w:p w14:paraId="501FE947">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0.0792</w:t>
            </w:r>
          </w:p>
        </w:tc>
      </w:tr>
      <w:tr w14:paraId="4D3E425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5" w:hRule="atLeast"/>
          <w:jc w:val="center"/>
        </w:trPr>
        <w:tc>
          <w:tcPr>
            <w:tcW w:w="895" w:type="dxa"/>
            <w:tcMar>
              <w:left w:w="0" w:type="dxa"/>
              <w:right w:w="0" w:type="dxa"/>
            </w:tcMar>
            <w:vAlign w:val="center"/>
          </w:tcPr>
          <w:p w14:paraId="1A1CF798">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800</w:t>
            </w:r>
          </w:p>
        </w:tc>
        <w:tc>
          <w:tcPr>
            <w:tcW w:w="992" w:type="dxa"/>
            <w:vAlign w:val="center"/>
          </w:tcPr>
          <w:p w14:paraId="25AAB521">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1.0622</w:t>
            </w:r>
          </w:p>
        </w:tc>
        <w:tc>
          <w:tcPr>
            <w:tcW w:w="850" w:type="dxa"/>
            <w:tcBorders>
              <w:right w:val="single" w:color="auto" w:sz="4" w:space="0"/>
            </w:tcBorders>
            <w:vAlign w:val="center"/>
          </w:tcPr>
          <w:p w14:paraId="01D417F4">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0.0531</w:t>
            </w:r>
          </w:p>
        </w:tc>
        <w:tc>
          <w:tcPr>
            <w:tcW w:w="993" w:type="dxa"/>
            <w:tcBorders>
              <w:left w:val="single" w:color="auto" w:sz="4" w:space="0"/>
            </w:tcBorders>
            <w:vAlign w:val="center"/>
          </w:tcPr>
          <w:p w14:paraId="2E9F61F4">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4.0496</w:t>
            </w:r>
          </w:p>
        </w:tc>
        <w:tc>
          <w:tcPr>
            <w:tcW w:w="850" w:type="dxa"/>
            <w:tcBorders>
              <w:left w:val="single" w:color="auto" w:sz="4" w:space="0"/>
            </w:tcBorders>
            <w:vAlign w:val="center"/>
          </w:tcPr>
          <w:p w14:paraId="7994D13A">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1.6199</w:t>
            </w:r>
          </w:p>
        </w:tc>
        <w:tc>
          <w:tcPr>
            <w:tcW w:w="992" w:type="dxa"/>
            <w:tcBorders>
              <w:left w:val="single" w:color="auto" w:sz="4" w:space="0"/>
            </w:tcBorders>
            <w:vAlign w:val="center"/>
          </w:tcPr>
          <w:p w14:paraId="65D86077">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7.1095</w:t>
            </w:r>
          </w:p>
        </w:tc>
        <w:tc>
          <w:tcPr>
            <w:tcW w:w="851" w:type="dxa"/>
            <w:tcBorders>
              <w:left w:val="single" w:color="auto" w:sz="4" w:space="0"/>
            </w:tcBorders>
            <w:vAlign w:val="center"/>
          </w:tcPr>
          <w:p w14:paraId="2535EF59">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0.0711</w:t>
            </w:r>
          </w:p>
        </w:tc>
        <w:tc>
          <w:tcPr>
            <w:tcW w:w="850" w:type="dxa"/>
            <w:tcBorders>
              <w:left w:val="single" w:color="auto" w:sz="4" w:space="0"/>
            </w:tcBorders>
            <w:vAlign w:val="center"/>
          </w:tcPr>
          <w:p w14:paraId="68ED4C15">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0.3199</w:t>
            </w:r>
          </w:p>
        </w:tc>
        <w:tc>
          <w:tcPr>
            <w:tcW w:w="836" w:type="dxa"/>
            <w:tcBorders>
              <w:left w:val="single" w:color="auto" w:sz="4" w:space="0"/>
            </w:tcBorders>
            <w:vAlign w:val="center"/>
          </w:tcPr>
          <w:p w14:paraId="5863AB85">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0.0711</w:t>
            </w:r>
          </w:p>
        </w:tc>
      </w:tr>
      <w:tr w14:paraId="3060485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5" w:hRule="atLeast"/>
          <w:jc w:val="center"/>
        </w:trPr>
        <w:tc>
          <w:tcPr>
            <w:tcW w:w="895" w:type="dxa"/>
            <w:tcMar>
              <w:left w:w="0" w:type="dxa"/>
              <w:right w:w="0" w:type="dxa"/>
            </w:tcMar>
            <w:vAlign w:val="center"/>
          </w:tcPr>
          <w:p w14:paraId="2D010F89">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900</w:t>
            </w:r>
          </w:p>
        </w:tc>
        <w:tc>
          <w:tcPr>
            <w:tcW w:w="992" w:type="dxa"/>
            <w:vAlign w:val="center"/>
          </w:tcPr>
          <w:p w14:paraId="17D15134">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0.9385</w:t>
            </w:r>
          </w:p>
        </w:tc>
        <w:tc>
          <w:tcPr>
            <w:tcW w:w="850" w:type="dxa"/>
            <w:tcBorders>
              <w:right w:val="single" w:color="auto" w:sz="4" w:space="0"/>
            </w:tcBorders>
            <w:vAlign w:val="center"/>
          </w:tcPr>
          <w:p w14:paraId="1EBCD4B3">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0.0469</w:t>
            </w:r>
          </w:p>
        </w:tc>
        <w:tc>
          <w:tcPr>
            <w:tcW w:w="993" w:type="dxa"/>
            <w:tcBorders>
              <w:left w:val="single" w:color="auto" w:sz="4" w:space="0"/>
            </w:tcBorders>
            <w:vAlign w:val="center"/>
          </w:tcPr>
          <w:p w14:paraId="6DAB35AD">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3.5781</w:t>
            </w:r>
          </w:p>
        </w:tc>
        <w:tc>
          <w:tcPr>
            <w:tcW w:w="850" w:type="dxa"/>
            <w:tcBorders>
              <w:left w:val="single" w:color="auto" w:sz="4" w:space="0"/>
            </w:tcBorders>
            <w:vAlign w:val="center"/>
          </w:tcPr>
          <w:p w14:paraId="2D3CB99F">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1.4312</w:t>
            </w:r>
          </w:p>
        </w:tc>
        <w:tc>
          <w:tcPr>
            <w:tcW w:w="992" w:type="dxa"/>
            <w:tcBorders>
              <w:left w:val="single" w:color="auto" w:sz="4" w:space="0"/>
            </w:tcBorders>
            <w:vAlign w:val="center"/>
          </w:tcPr>
          <w:p w14:paraId="10B60C6E">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6.2817</w:t>
            </w:r>
          </w:p>
        </w:tc>
        <w:tc>
          <w:tcPr>
            <w:tcW w:w="851" w:type="dxa"/>
            <w:tcBorders>
              <w:left w:val="single" w:color="auto" w:sz="4" w:space="0"/>
            </w:tcBorders>
            <w:vAlign w:val="center"/>
          </w:tcPr>
          <w:p w14:paraId="205C7EDB">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0.0628</w:t>
            </w:r>
          </w:p>
        </w:tc>
        <w:tc>
          <w:tcPr>
            <w:tcW w:w="850" w:type="dxa"/>
            <w:tcBorders>
              <w:left w:val="single" w:color="auto" w:sz="4" w:space="0"/>
            </w:tcBorders>
            <w:vAlign w:val="center"/>
          </w:tcPr>
          <w:p w14:paraId="0F87C8A5">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0.2826</w:t>
            </w:r>
          </w:p>
        </w:tc>
        <w:tc>
          <w:tcPr>
            <w:tcW w:w="836" w:type="dxa"/>
            <w:tcBorders>
              <w:left w:val="single" w:color="auto" w:sz="4" w:space="0"/>
            </w:tcBorders>
            <w:vAlign w:val="center"/>
          </w:tcPr>
          <w:p w14:paraId="23A5129E">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0.0628</w:t>
            </w:r>
          </w:p>
        </w:tc>
      </w:tr>
      <w:tr w14:paraId="5C3507F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5" w:hRule="atLeast"/>
          <w:jc w:val="center"/>
        </w:trPr>
        <w:tc>
          <w:tcPr>
            <w:tcW w:w="895" w:type="dxa"/>
            <w:tcMar>
              <w:left w:w="0" w:type="dxa"/>
              <w:right w:w="0" w:type="dxa"/>
            </w:tcMar>
            <w:vAlign w:val="center"/>
          </w:tcPr>
          <w:p w14:paraId="0678D8D0">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1000</w:t>
            </w:r>
          </w:p>
        </w:tc>
        <w:tc>
          <w:tcPr>
            <w:tcW w:w="992" w:type="dxa"/>
            <w:vAlign w:val="center"/>
          </w:tcPr>
          <w:p w14:paraId="60E4BDE3">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0.8111</w:t>
            </w:r>
          </w:p>
        </w:tc>
        <w:tc>
          <w:tcPr>
            <w:tcW w:w="850" w:type="dxa"/>
            <w:tcBorders>
              <w:right w:val="single" w:color="auto" w:sz="4" w:space="0"/>
            </w:tcBorders>
            <w:vAlign w:val="center"/>
          </w:tcPr>
          <w:p w14:paraId="51711D79">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0.0406</w:t>
            </w:r>
          </w:p>
        </w:tc>
        <w:tc>
          <w:tcPr>
            <w:tcW w:w="993" w:type="dxa"/>
            <w:tcBorders>
              <w:left w:val="single" w:color="auto" w:sz="4" w:space="0"/>
            </w:tcBorders>
            <w:vAlign w:val="center"/>
          </w:tcPr>
          <w:p w14:paraId="64DEF01C">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3.0922</w:t>
            </w:r>
          </w:p>
        </w:tc>
        <w:tc>
          <w:tcPr>
            <w:tcW w:w="850" w:type="dxa"/>
            <w:tcBorders>
              <w:left w:val="single" w:color="auto" w:sz="4" w:space="0"/>
            </w:tcBorders>
            <w:vAlign w:val="center"/>
          </w:tcPr>
          <w:p w14:paraId="41138C7E">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1.2369</w:t>
            </w:r>
          </w:p>
        </w:tc>
        <w:tc>
          <w:tcPr>
            <w:tcW w:w="992" w:type="dxa"/>
            <w:tcBorders>
              <w:left w:val="single" w:color="auto" w:sz="4" w:space="0"/>
            </w:tcBorders>
            <w:vAlign w:val="center"/>
          </w:tcPr>
          <w:p w14:paraId="69BD780A">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5.4286</w:t>
            </w:r>
          </w:p>
        </w:tc>
        <w:tc>
          <w:tcPr>
            <w:tcW w:w="851" w:type="dxa"/>
            <w:tcBorders>
              <w:left w:val="single" w:color="auto" w:sz="4" w:space="0"/>
            </w:tcBorders>
            <w:vAlign w:val="center"/>
          </w:tcPr>
          <w:p w14:paraId="49E9DD6D">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0.0543</w:t>
            </w:r>
          </w:p>
        </w:tc>
        <w:tc>
          <w:tcPr>
            <w:tcW w:w="850" w:type="dxa"/>
            <w:tcBorders>
              <w:left w:val="single" w:color="auto" w:sz="4" w:space="0"/>
            </w:tcBorders>
            <w:vAlign w:val="center"/>
          </w:tcPr>
          <w:p w14:paraId="4D367FBB">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0.2442</w:t>
            </w:r>
          </w:p>
        </w:tc>
        <w:tc>
          <w:tcPr>
            <w:tcW w:w="836" w:type="dxa"/>
            <w:tcBorders>
              <w:left w:val="single" w:color="auto" w:sz="4" w:space="0"/>
            </w:tcBorders>
            <w:vAlign w:val="center"/>
          </w:tcPr>
          <w:p w14:paraId="22FD4F5F">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0.0543</w:t>
            </w:r>
          </w:p>
        </w:tc>
      </w:tr>
      <w:tr w14:paraId="028CC3E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04" w:hRule="atLeast"/>
          <w:jc w:val="center"/>
        </w:trPr>
        <w:tc>
          <w:tcPr>
            <w:tcW w:w="895" w:type="dxa"/>
            <w:tcMar>
              <w:left w:w="0" w:type="dxa"/>
              <w:right w:w="0" w:type="dxa"/>
            </w:tcMar>
            <w:vAlign w:val="center"/>
          </w:tcPr>
          <w:p w14:paraId="3DF71A72">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1400</w:t>
            </w:r>
          </w:p>
        </w:tc>
        <w:tc>
          <w:tcPr>
            <w:tcW w:w="992" w:type="dxa"/>
            <w:vAlign w:val="center"/>
          </w:tcPr>
          <w:p w14:paraId="1C965240">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0.4916</w:t>
            </w:r>
          </w:p>
        </w:tc>
        <w:tc>
          <w:tcPr>
            <w:tcW w:w="850" w:type="dxa"/>
            <w:tcBorders>
              <w:right w:val="single" w:color="auto" w:sz="4" w:space="0"/>
            </w:tcBorders>
            <w:vAlign w:val="center"/>
          </w:tcPr>
          <w:p w14:paraId="12A29115">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0.0246</w:t>
            </w:r>
          </w:p>
        </w:tc>
        <w:tc>
          <w:tcPr>
            <w:tcW w:w="993" w:type="dxa"/>
            <w:tcBorders>
              <w:left w:val="single" w:color="auto" w:sz="4" w:space="0"/>
            </w:tcBorders>
            <w:vAlign w:val="center"/>
          </w:tcPr>
          <w:p w14:paraId="7CB92951">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1.8744</w:t>
            </w:r>
          </w:p>
        </w:tc>
        <w:tc>
          <w:tcPr>
            <w:tcW w:w="850" w:type="dxa"/>
            <w:tcBorders>
              <w:left w:val="single" w:color="auto" w:sz="4" w:space="0"/>
            </w:tcBorders>
            <w:vAlign w:val="center"/>
          </w:tcPr>
          <w:p w14:paraId="72EA4E7F">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0.7498</w:t>
            </w:r>
          </w:p>
        </w:tc>
        <w:tc>
          <w:tcPr>
            <w:tcW w:w="992" w:type="dxa"/>
            <w:tcBorders>
              <w:left w:val="single" w:color="auto" w:sz="4" w:space="0"/>
            </w:tcBorders>
            <w:vAlign w:val="center"/>
          </w:tcPr>
          <w:p w14:paraId="3CEDB257">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3.2907</w:t>
            </w:r>
          </w:p>
        </w:tc>
        <w:tc>
          <w:tcPr>
            <w:tcW w:w="851" w:type="dxa"/>
            <w:tcBorders>
              <w:left w:val="single" w:color="auto" w:sz="4" w:space="0"/>
            </w:tcBorders>
            <w:vAlign w:val="center"/>
          </w:tcPr>
          <w:p w14:paraId="195AF0FA">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0.0329</w:t>
            </w:r>
          </w:p>
        </w:tc>
        <w:tc>
          <w:tcPr>
            <w:tcW w:w="850" w:type="dxa"/>
            <w:tcBorders>
              <w:left w:val="single" w:color="auto" w:sz="4" w:space="0"/>
            </w:tcBorders>
            <w:vAlign w:val="center"/>
          </w:tcPr>
          <w:p w14:paraId="3D6EA09A">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0.1481</w:t>
            </w:r>
          </w:p>
        </w:tc>
        <w:tc>
          <w:tcPr>
            <w:tcW w:w="836" w:type="dxa"/>
            <w:tcBorders>
              <w:left w:val="single" w:color="auto" w:sz="4" w:space="0"/>
            </w:tcBorders>
            <w:vAlign w:val="center"/>
          </w:tcPr>
          <w:p w14:paraId="55EC61E0">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0.0329</w:t>
            </w:r>
          </w:p>
        </w:tc>
      </w:tr>
      <w:tr w14:paraId="61A0EA7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5" w:hRule="atLeast"/>
          <w:jc w:val="center"/>
        </w:trPr>
        <w:tc>
          <w:tcPr>
            <w:tcW w:w="895" w:type="dxa"/>
            <w:tcMar>
              <w:left w:w="0" w:type="dxa"/>
              <w:right w:w="0" w:type="dxa"/>
            </w:tcMar>
            <w:vAlign w:val="center"/>
          </w:tcPr>
          <w:p w14:paraId="2C52D666">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2000</w:t>
            </w:r>
          </w:p>
        </w:tc>
        <w:tc>
          <w:tcPr>
            <w:tcW w:w="992" w:type="dxa"/>
            <w:vAlign w:val="center"/>
          </w:tcPr>
          <w:p w14:paraId="7A8DEDAE">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0.3209</w:t>
            </w:r>
          </w:p>
        </w:tc>
        <w:tc>
          <w:tcPr>
            <w:tcW w:w="850" w:type="dxa"/>
            <w:tcBorders>
              <w:right w:val="single" w:color="auto" w:sz="4" w:space="0"/>
            </w:tcBorders>
            <w:vAlign w:val="center"/>
          </w:tcPr>
          <w:p w14:paraId="72CC1373">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0.0160</w:t>
            </w:r>
          </w:p>
        </w:tc>
        <w:tc>
          <w:tcPr>
            <w:tcW w:w="993" w:type="dxa"/>
            <w:tcBorders>
              <w:left w:val="single" w:color="auto" w:sz="4" w:space="0"/>
            </w:tcBorders>
            <w:vAlign w:val="center"/>
          </w:tcPr>
          <w:p w14:paraId="61B75DD9">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1.2232</w:t>
            </w:r>
          </w:p>
        </w:tc>
        <w:tc>
          <w:tcPr>
            <w:tcW w:w="850" w:type="dxa"/>
            <w:tcBorders>
              <w:left w:val="single" w:color="auto" w:sz="4" w:space="0"/>
            </w:tcBorders>
            <w:vAlign w:val="center"/>
          </w:tcPr>
          <w:p w14:paraId="384C619A">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0.4893</w:t>
            </w:r>
          </w:p>
        </w:tc>
        <w:tc>
          <w:tcPr>
            <w:tcW w:w="992" w:type="dxa"/>
            <w:tcBorders>
              <w:left w:val="single" w:color="auto" w:sz="4" w:space="0"/>
            </w:tcBorders>
            <w:vAlign w:val="center"/>
          </w:tcPr>
          <w:p w14:paraId="3CD6CCDF">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2.1475</w:t>
            </w:r>
          </w:p>
        </w:tc>
        <w:tc>
          <w:tcPr>
            <w:tcW w:w="851" w:type="dxa"/>
            <w:tcBorders>
              <w:left w:val="single" w:color="auto" w:sz="4" w:space="0"/>
            </w:tcBorders>
            <w:vAlign w:val="center"/>
          </w:tcPr>
          <w:p w14:paraId="0AE43039">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0.0215</w:t>
            </w:r>
          </w:p>
        </w:tc>
        <w:tc>
          <w:tcPr>
            <w:tcW w:w="850" w:type="dxa"/>
            <w:tcBorders>
              <w:left w:val="single" w:color="auto" w:sz="4" w:space="0"/>
            </w:tcBorders>
            <w:vAlign w:val="center"/>
          </w:tcPr>
          <w:p w14:paraId="6BD793C9">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0.0966</w:t>
            </w:r>
          </w:p>
        </w:tc>
        <w:tc>
          <w:tcPr>
            <w:tcW w:w="836" w:type="dxa"/>
            <w:tcBorders>
              <w:left w:val="single" w:color="auto" w:sz="4" w:space="0"/>
            </w:tcBorders>
            <w:vAlign w:val="center"/>
          </w:tcPr>
          <w:p w14:paraId="4C007983">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0.0215</w:t>
            </w:r>
          </w:p>
        </w:tc>
      </w:tr>
      <w:tr w14:paraId="5181DD8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5" w:hRule="atLeast"/>
          <w:jc w:val="center"/>
        </w:trPr>
        <w:tc>
          <w:tcPr>
            <w:tcW w:w="895" w:type="dxa"/>
            <w:tcMar>
              <w:left w:w="0" w:type="dxa"/>
              <w:right w:w="0" w:type="dxa"/>
            </w:tcMar>
            <w:vAlign w:val="center"/>
          </w:tcPr>
          <w:p w14:paraId="421DA601">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2500</w:t>
            </w:r>
          </w:p>
        </w:tc>
        <w:tc>
          <w:tcPr>
            <w:tcW w:w="992" w:type="dxa"/>
            <w:vAlign w:val="center"/>
          </w:tcPr>
          <w:p w14:paraId="74FF2FE5">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0.2579</w:t>
            </w:r>
          </w:p>
        </w:tc>
        <w:tc>
          <w:tcPr>
            <w:tcW w:w="850" w:type="dxa"/>
            <w:tcBorders>
              <w:right w:val="single" w:color="auto" w:sz="4" w:space="0"/>
            </w:tcBorders>
            <w:vAlign w:val="center"/>
          </w:tcPr>
          <w:p w14:paraId="35274F6F">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0.0129</w:t>
            </w:r>
          </w:p>
        </w:tc>
        <w:tc>
          <w:tcPr>
            <w:tcW w:w="993" w:type="dxa"/>
            <w:tcBorders>
              <w:left w:val="single" w:color="auto" w:sz="4" w:space="0"/>
            </w:tcBorders>
            <w:vAlign w:val="center"/>
          </w:tcPr>
          <w:p w14:paraId="739C79B3">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0.9831</w:t>
            </w:r>
          </w:p>
        </w:tc>
        <w:tc>
          <w:tcPr>
            <w:tcW w:w="850" w:type="dxa"/>
            <w:tcBorders>
              <w:left w:val="single" w:color="auto" w:sz="4" w:space="0"/>
            </w:tcBorders>
            <w:vAlign w:val="center"/>
          </w:tcPr>
          <w:p w14:paraId="0E35F04E">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0.3933</w:t>
            </w:r>
          </w:p>
        </w:tc>
        <w:tc>
          <w:tcPr>
            <w:tcW w:w="992" w:type="dxa"/>
            <w:tcBorders>
              <w:left w:val="single" w:color="auto" w:sz="4" w:space="0"/>
            </w:tcBorders>
            <w:vAlign w:val="center"/>
          </w:tcPr>
          <w:p w14:paraId="63342D8A">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1.7260</w:t>
            </w:r>
          </w:p>
        </w:tc>
        <w:tc>
          <w:tcPr>
            <w:tcW w:w="851" w:type="dxa"/>
            <w:tcBorders>
              <w:left w:val="single" w:color="auto" w:sz="4" w:space="0"/>
            </w:tcBorders>
            <w:vAlign w:val="center"/>
          </w:tcPr>
          <w:p w14:paraId="75957651">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0.0173</w:t>
            </w:r>
          </w:p>
        </w:tc>
        <w:tc>
          <w:tcPr>
            <w:tcW w:w="850" w:type="dxa"/>
            <w:tcBorders>
              <w:left w:val="single" w:color="auto" w:sz="4" w:space="0"/>
            </w:tcBorders>
            <w:vAlign w:val="center"/>
          </w:tcPr>
          <w:p w14:paraId="0E30B9EB">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0.0777</w:t>
            </w:r>
          </w:p>
        </w:tc>
        <w:tc>
          <w:tcPr>
            <w:tcW w:w="836" w:type="dxa"/>
            <w:tcBorders>
              <w:left w:val="single" w:color="auto" w:sz="4" w:space="0"/>
            </w:tcBorders>
            <w:vAlign w:val="center"/>
          </w:tcPr>
          <w:p w14:paraId="7310BE2B">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0.0173</w:t>
            </w:r>
          </w:p>
        </w:tc>
      </w:tr>
      <w:tr w14:paraId="1B34309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9" w:hRule="atLeast"/>
          <w:jc w:val="center"/>
        </w:trPr>
        <w:tc>
          <w:tcPr>
            <w:tcW w:w="895" w:type="dxa"/>
            <w:tcMar>
              <w:left w:w="0" w:type="dxa"/>
              <w:right w:w="0" w:type="dxa"/>
            </w:tcMar>
            <w:vAlign w:val="center"/>
          </w:tcPr>
          <w:p w14:paraId="257BCDD1">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下风向最大浓度处</w:t>
            </w:r>
          </w:p>
        </w:tc>
        <w:tc>
          <w:tcPr>
            <w:tcW w:w="992" w:type="dxa"/>
            <w:vAlign w:val="center"/>
          </w:tcPr>
          <w:p w14:paraId="150D9489">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4.6283</w:t>
            </w:r>
          </w:p>
        </w:tc>
        <w:tc>
          <w:tcPr>
            <w:tcW w:w="850" w:type="dxa"/>
            <w:tcBorders>
              <w:right w:val="single" w:color="auto" w:sz="4" w:space="0"/>
            </w:tcBorders>
            <w:vAlign w:val="center"/>
          </w:tcPr>
          <w:p w14:paraId="398648FC">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0.2314</w:t>
            </w:r>
          </w:p>
        </w:tc>
        <w:tc>
          <w:tcPr>
            <w:tcW w:w="993" w:type="dxa"/>
            <w:tcBorders>
              <w:left w:val="single" w:color="auto" w:sz="4" w:space="0"/>
            </w:tcBorders>
            <w:vAlign w:val="center"/>
          </w:tcPr>
          <w:p w14:paraId="2C532CC1">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17.6454</w:t>
            </w:r>
          </w:p>
        </w:tc>
        <w:tc>
          <w:tcPr>
            <w:tcW w:w="850" w:type="dxa"/>
            <w:tcBorders>
              <w:left w:val="single" w:color="auto" w:sz="4" w:space="0"/>
            </w:tcBorders>
            <w:vAlign w:val="center"/>
          </w:tcPr>
          <w:p w14:paraId="5542D411">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7.0582</w:t>
            </w:r>
          </w:p>
        </w:tc>
        <w:tc>
          <w:tcPr>
            <w:tcW w:w="992" w:type="dxa"/>
            <w:tcBorders>
              <w:left w:val="single" w:color="auto" w:sz="4" w:space="0"/>
            </w:tcBorders>
            <w:vAlign w:val="center"/>
          </w:tcPr>
          <w:p w14:paraId="39CBA5DE">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30.9781</w:t>
            </w:r>
          </w:p>
        </w:tc>
        <w:tc>
          <w:tcPr>
            <w:tcW w:w="851" w:type="dxa"/>
            <w:tcBorders>
              <w:left w:val="single" w:color="auto" w:sz="4" w:space="0"/>
            </w:tcBorders>
            <w:vAlign w:val="center"/>
          </w:tcPr>
          <w:p w14:paraId="3A5295F9">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0.3098</w:t>
            </w:r>
          </w:p>
        </w:tc>
        <w:tc>
          <w:tcPr>
            <w:tcW w:w="850" w:type="dxa"/>
            <w:tcBorders>
              <w:left w:val="single" w:color="auto" w:sz="4" w:space="0"/>
            </w:tcBorders>
            <w:vAlign w:val="center"/>
          </w:tcPr>
          <w:p w14:paraId="1BEF1328">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1.3937</w:t>
            </w:r>
          </w:p>
        </w:tc>
        <w:tc>
          <w:tcPr>
            <w:tcW w:w="836" w:type="dxa"/>
            <w:tcBorders>
              <w:left w:val="single" w:color="auto" w:sz="4" w:space="0"/>
            </w:tcBorders>
            <w:vAlign w:val="center"/>
          </w:tcPr>
          <w:p w14:paraId="248542D2">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0.3097</w:t>
            </w:r>
          </w:p>
        </w:tc>
      </w:tr>
      <w:tr w14:paraId="2650B54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9" w:hRule="atLeast"/>
          <w:jc w:val="center"/>
        </w:trPr>
        <w:tc>
          <w:tcPr>
            <w:tcW w:w="895" w:type="dxa"/>
            <w:tcMar>
              <w:left w:w="0" w:type="dxa"/>
              <w:right w:w="0" w:type="dxa"/>
            </w:tcMar>
            <w:vAlign w:val="center"/>
          </w:tcPr>
          <w:p w14:paraId="37CE84C1">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sz w:val="21"/>
                <w:szCs w:val="21"/>
                <w:highlight w:val="none"/>
              </w:rPr>
              <w:t>最大落地浓度距离</w:t>
            </w:r>
          </w:p>
        </w:tc>
        <w:tc>
          <w:tcPr>
            <w:tcW w:w="7214" w:type="dxa"/>
            <w:gridSpan w:val="8"/>
            <w:vAlign w:val="center"/>
          </w:tcPr>
          <w:p w14:paraId="52364E3B">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eastAsia" w:eastAsiaTheme="minorEastAsia"/>
                <w:sz w:val="21"/>
                <w:szCs w:val="21"/>
                <w:highlight w:val="none"/>
              </w:rPr>
              <w:t>81</w:t>
            </w:r>
            <w:r>
              <w:rPr>
                <w:rFonts w:hint="default" w:eastAsiaTheme="minorEastAsia"/>
                <w:sz w:val="21"/>
                <w:szCs w:val="21"/>
                <w:highlight w:val="none"/>
              </w:rPr>
              <w:t>m</w:t>
            </w:r>
          </w:p>
        </w:tc>
      </w:tr>
    </w:tbl>
    <w:p w14:paraId="3D76888A">
      <w:pPr>
        <w:spacing w:line="360" w:lineRule="auto"/>
        <w:jc w:val="center"/>
        <w:rPr>
          <w:rFonts w:eastAsiaTheme="minorEastAsia"/>
          <w:b/>
          <w:sz w:val="24"/>
          <w:highlight w:val="none"/>
        </w:rPr>
      </w:pPr>
      <w:r>
        <w:rPr>
          <w:rFonts w:hAnsiTheme="minorEastAsia" w:eastAsiaTheme="minorEastAsia"/>
          <w:b/>
          <w:sz w:val="24"/>
          <w:highlight w:val="none"/>
        </w:rPr>
        <w:t>表</w:t>
      </w:r>
      <w:r>
        <w:rPr>
          <w:rFonts w:eastAsiaTheme="minorEastAsia"/>
          <w:b/>
          <w:sz w:val="24"/>
          <w:highlight w:val="none"/>
        </w:rPr>
        <w:t>5-2-</w:t>
      </w:r>
      <w:r>
        <w:rPr>
          <w:rFonts w:hint="eastAsia" w:eastAsiaTheme="minorEastAsia"/>
          <w:b/>
          <w:sz w:val="24"/>
          <w:highlight w:val="none"/>
        </w:rPr>
        <w:t xml:space="preserve">11 </w:t>
      </w:r>
      <w:r>
        <w:rPr>
          <w:rFonts w:hAnsiTheme="minorEastAsia" w:eastAsiaTheme="minorEastAsia"/>
          <w:b/>
          <w:sz w:val="24"/>
          <w:highlight w:val="none"/>
        </w:rPr>
        <w:t>主要污染源估算模型计算结果表（</w:t>
      </w:r>
      <w:r>
        <w:rPr>
          <w:rFonts w:hint="eastAsia" w:hAnsiTheme="minorEastAsia" w:eastAsiaTheme="minorEastAsia"/>
          <w:b/>
          <w:bCs/>
          <w:sz w:val="24"/>
          <w:highlight w:val="none"/>
          <w:lang w:val="en-US" w:eastAsia="zh-CN"/>
        </w:rPr>
        <w:t>DA067</w:t>
      </w:r>
      <w:r>
        <w:rPr>
          <w:rFonts w:hAnsiTheme="minorEastAsia" w:eastAsiaTheme="minorEastAsia"/>
          <w:b/>
          <w:bCs/>
          <w:sz w:val="24"/>
          <w:highlight w:val="none"/>
        </w:rPr>
        <w:t>排气筒</w:t>
      </w:r>
      <w:r>
        <w:rPr>
          <w:rFonts w:hAnsiTheme="minorEastAsia" w:eastAsiaTheme="minorEastAsia"/>
          <w:b/>
          <w:sz w:val="24"/>
          <w:highlight w:val="none"/>
        </w:rPr>
        <w:t>）</w:t>
      </w:r>
    </w:p>
    <w:tbl>
      <w:tblPr>
        <w:tblStyle w:val="45"/>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703"/>
        <w:gridCol w:w="1887"/>
        <w:gridCol w:w="1617"/>
        <w:gridCol w:w="1617"/>
        <w:gridCol w:w="1590"/>
      </w:tblGrid>
      <w:tr w14:paraId="23C7660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22" w:hRule="atLeast"/>
          <w:jc w:val="center"/>
        </w:trPr>
        <w:tc>
          <w:tcPr>
            <w:tcW w:w="895" w:type="dxa"/>
            <w:vMerge w:val="restart"/>
            <w:tcMar>
              <w:left w:w="0" w:type="dxa"/>
              <w:right w:w="0" w:type="dxa"/>
            </w:tcMar>
            <w:vAlign w:val="center"/>
          </w:tcPr>
          <w:p w14:paraId="67D424D5">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kern w:val="0"/>
                <w:sz w:val="21"/>
                <w:szCs w:val="21"/>
                <w:highlight w:val="none"/>
              </w:rPr>
            </w:pPr>
            <w:r>
              <w:rPr>
                <w:rFonts w:hint="default" w:hAnsiTheme="minorEastAsia" w:eastAsiaTheme="minorEastAsia"/>
                <w:kern w:val="0"/>
                <w:sz w:val="21"/>
                <w:szCs w:val="21"/>
                <w:highlight w:val="none"/>
              </w:rPr>
              <w:t>下风向距离</w:t>
            </w:r>
            <w:r>
              <w:rPr>
                <w:rFonts w:hint="default" w:eastAsiaTheme="minorEastAsia"/>
                <w:kern w:val="0"/>
                <w:sz w:val="21"/>
                <w:szCs w:val="21"/>
                <w:highlight w:val="none"/>
              </w:rPr>
              <w:t>D(m)</w:t>
            </w:r>
          </w:p>
        </w:tc>
        <w:tc>
          <w:tcPr>
            <w:tcW w:w="1842" w:type="dxa"/>
            <w:gridSpan w:val="2"/>
            <w:tcBorders>
              <w:right w:val="single" w:color="auto" w:sz="4" w:space="0"/>
            </w:tcBorders>
            <w:vAlign w:val="center"/>
          </w:tcPr>
          <w:p w14:paraId="2A606034">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NMHC</w:t>
            </w:r>
          </w:p>
        </w:tc>
        <w:tc>
          <w:tcPr>
            <w:tcW w:w="1686" w:type="dxa"/>
            <w:gridSpan w:val="2"/>
            <w:tcBorders>
              <w:top w:val="single" w:color="auto" w:sz="12" w:space="0"/>
              <w:left w:val="single" w:color="auto" w:sz="4" w:space="0"/>
              <w:bottom w:val="single" w:color="auto" w:sz="2" w:space="0"/>
              <w:right w:val="nil"/>
            </w:tcBorders>
            <w:vAlign w:val="center"/>
          </w:tcPr>
          <w:p w14:paraId="3070CEA2">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eastAsia" w:eastAsiaTheme="minorEastAsia"/>
                <w:sz w:val="21"/>
                <w:szCs w:val="21"/>
                <w:highlight w:val="none"/>
              </w:rPr>
              <w:t>PM</w:t>
            </w:r>
            <w:r>
              <w:rPr>
                <w:rFonts w:hint="eastAsia" w:eastAsiaTheme="minorEastAsia"/>
                <w:sz w:val="21"/>
                <w:szCs w:val="21"/>
                <w:highlight w:val="none"/>
                <w:vertAlign w:val="subscript"/>
              </w:rPr>
              <w:t>10</w:t>
            </w:r>
          </w:p>
        </w:tc>
      </w:tr>
      <w:tr w14:paraId="27C24D7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22" w:hRule="atLeast"/>
          <w:jc w:val="center"/>
        </w:trPr>
        <w:tc>
          <w:tcPr>
            <w:tcW w:w="895" w:type="dxa"/>
            <w:vMerge w:val="continue"/>
            <w:tcMar>
              <w:left w:w="0" w:type="dxa"/>
              <w:right w:w="0" w:type="dxa"/>
            </w:tcMar>
            <w:vAlign w:val="center"/>
          </w:tcPr>
          <w:p w14:paraId="5510A206">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p>
        </w:tc>
        <w:tc>
          <w:tcPr>
            <w:tcW w:w="992" w:type="dxa"/>
            <w:vAlign w:val="center"/>
          </w:tcPr>
          <w:p w14:paraId="26B6443F">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kern w:val="0"/>
                <w:sz w:val="21"/>
                <w:szCs w:val="21"/>
                <w:highlight w:val="none"/>
              </w:rPr>
              <w:t>预测浓度</w:t>
            </w:r>
            <w:r>
              <w:rPr>
                <w:rFonts w:hint="default" w:eastAsiaTheme="minorEastAsia"/>
                <w:kern w:val="0"/>
                <w:sz w:val="21"/>
                <w:szCs w:val="21"/>
                <w:highlight w:val="none"/>
                <w:vertAlign w:val="subscript"/>
              </w:rPr>
              <w:t xml:space="preserve"> </w:t>
            </w:r>
            <w:r>
              <w:rPr>
                <w:rFonts w:hint="default" w:eastAsiaTheme="minorEastAsia"/>
                <w:kern w:val="0"/>
                <w:sz w:val="21"/>
                <w:szCs w:val="21"/>
                <w:highlight w:val="none"/>
              </w:rPr>
              <w:t>(</w:t>
            </w:r>
            <w:r>
              <w:rPr>
                <w:rFonts w:hint="default" w:eastAsiaTheme="minorEastAsia"/>
                <w:sz w:val="21"/>
                <w:szCs w:val="21"/>
                <w:highlight w:val="none"/>
              </w:rPr>
              <w:t>μg/m</w:t>
            </w:r>
            <w:r>
              <w:rPr>
                <w:rFonts w:hint="default" w:eastAsiaTheme="minorEastAsia"/>
                <w:sz w:val="21"/>
                <w:szCs w:val="21"/>
                <w:highlight w:val="none"/>
                <w:vertAlign w:val="superscript"/>
              </w:rPr>
              <w:t>3</w:t>
            </w:r>
            <w:r>
              <w:rPr>
                <w:rFonts w:hint="default" w:eastAsiaTheme="minorEastAsia"/>
                <w:kern w:val="0"/>
                <w:sz w:val="21"/>
                <w:szCs w:val="21"/>
                <w:highlight w:val="none"/>
              </w:rPr>
              <w:t>)</w:t>
            </w:r>
          </w:p>
        </w:tc>
        <w:tc>
          <w:tcPr>
            <w:tcW w:w="850" w:type="dxa"/>
            <w:tcBorders>
              <w:right w:val="single" w:color="auto" w:sz="4" w:space="0"/>
            </w:tcBorders>
            <w:vAlign w:val="center"/>
          </w:tcPr>
          <w:p w14:paraId="210B5959">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kern w:val="0"/>
                <w:sz w:val="21"/>
                <w:szCs w:val="21"/>
                <w:highlight w:val="none"/>
              </w:rPr>
              <w:t>占标率</w:t>
            </w:r>
            <w:r>
              <w:rPr>
                <w:rFonts w:hint="default" w:eastAsiaTheme="minorEastAsia"/>
                <w:kern w:val="0"/>
                <w:sz w:val="21"/>
                <w:szCs w:val="21"/>
                <w:highlight w:val="none"/>
              </w:rPr>
              <w:t>(%)</w:t>
            </w:r>
          </w:p>
        </w:tc>
        <w:tc>
          <w:tcPr>
            <w:tcW w:w="850" w:type="dxa"/>
            <w:tcBorders>
              <w:left w:val="single" w:color="auto" w:sz="4" w:space="0"/>
            </w:tcBorders>
            <w:vAlign w:val="center"/>
          </w:tcPr>
          <w:p w14:paraId="4C2AD909">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kern w:val="0"/>
                <w:sz w:val="21"/>
                <w:szCs w:val="21"/>
                <w:highlight w:val="none"/>
              </w:rPr>
              <w:t>预测浓度</w:t>
            </w:r>
            <w:r>
              <w:rPr>
                <w:rFonts w:hint="default" w:eastAsiaTheme="minorEastAsia"/>
                <w:kern w:val="0"/>
                <w:sz w:val="21"/>
                <w:szCs w:val="21"/>
                <w:highlight w:val="none"/>
                <w:vertAlign w:val="subscript"/>
              </w:rPr>
              <w:t xml:space="preserve"> </w:t>
            </w:r>
            <w:r>
              <w:rPr>
                <w:rFonts w:hint="eastAsia" w:eastAsiaTheme="minorEastAsia"/>
                <w:spacing w:val="-4"/>
                <w:kern w:val="0"/>
                <w:sz w:val="21"/>
                <w:szCs w:val="21"/>
                <w:highlight w:val="none"/>
              </w:rPr>
              <w:t>(</w:t>
            </w:r>
            <w:r>
              <w:rPr>
                <w:rFonts w:hint="default" w:eastAsiaTheme="minorEastAsia"/>
                <w:spacing w:val="-4"/>
                <w:sz w:val="21"/>
                <w:szCs w:val="21"/>
                <w:highlight w:val="none"/>
              </w:rPr>
              <w:t>μg/m</w:t>
            </w:r>
            <w:r>
              <w:rPr>
                <w:rFonts w:hint="default" w:eastAsiaTheme="minorEastAsia"/>
                <w:spacing w:val="-4"/>
                <w:sz w:val="21"/>
                <w:szCs w:val="21"/>
                <w:highlight w:val="none"/>
                <w:vertAlign w:val="superscript"/>
              </w:rPr>
              <w:t>3</w:t>
            </w:r>
            <w:r>
              <w:rPr>
                <w:rFonts w:hint="eastAsia" w:eastAsiaTheme="minorEastAsia"/>
                <w:spacing w:val="-4"/>
                <w:kern w:val="0"/>
                <w:sz w:val="21"/>
                <w:szCs w:val="21"/>
                <w:highlight w:val="none"/>
              </w:rPr>
              <w:t>)</w:t>
            </w:r>
          </w:p>
        </w:tc>
        <w:tc>
          <w:tcPr>
            <w:tcW w:w="836" w:type="dxa"/>
            <w:tcBorders>
              <w:left w:val="single" w:color="auto" w:sz="4" w:space="0"/>
            </w:tcBorders>
            <w:vAlign w:val="center"/>
          </w:tcPr>
          <w:p w14:paraId="7C82E891">
            <w:pPr>
              <w:keepNext w:val="0"/>
              <w:keepLines w:val="0"/>
              <w:pageBreakBefore w:val="0"/>
              <w:widowControl w:val="0"/>
              <w:suppressLineNumbers w:val="0"/>
              <w:kinsoku/>
              <w:wordWrap w:val="0"/>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kern w:val="0"/>
                <w:sz w:val="21"/>
                <w:szCs w:val="21"/>
                <w:highlight w:val="none"/>
              </w:rPr>
              <w:t>占标率</w:t>
            </w:r>
            <w:r>
              <w:rPr>
                <w:rFonts w:hint="default" w:eastAsiaTheme="minorEastAsia"/>
                <w:kern w:val="0"/>
                <w:sz w:val="21"/>
                <w:szCs w:val="21"/>
                <w:highlight w:val="none"/>
              </w:rPr>
              <w:t>(%)</w:t>
            </w:r>
          </w:p>
        </w:tc>
      </w:tr>
      <w:tr w14:paraId="4B5ABDD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5" w:hRule="atLeast"/>
          <w:jc w:val="center"/>
        </w:trPr>
        <w:tc>
          <w:tcPr>
            <w:tcW w:w="895" w:type="dxa"/>
            <w:tcMar>
              <w:left w:w="0" w:type="dxa"/>
              <w:right w:w="0" w:type="dxa"/>
            </w:tcMar>
            <w:vAlign w:val="center"/>
          </w:tcPr>
          <w:p w14:paraId="16DE0F9E">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100</w:t>
            </w:r>
          </w:p>
        </w:tc>
        <w:tc>
          <w:tcPr>
            <w:tcW w:w="992" w:type="dxa"/>
            <w:vAlign w:val="center"/>
          </w:tcPr>
          <w:p w14:paraId="47BD94B8">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4.6172</w:t>
            </w:r>
          </w:p>
        </w:tc>
        <w:tc>
          <w:tcPr>
            <w:tcW w:w="850" w:type="dxa"/>
            <w:tcBorders>
              <w:right w:val="single" w:color="auto" w:sz="4" w:space="0"/>
            </w:tcBorders>
            <w:vAlign w:val="center"/>
          </w:tcPr>
          <w:p w14:paraId="0A281F5F">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0.2309</w:t>
            </w:r>
          </w:p>
        </w:tc>
        <w:tc>
          <w:tcPr>
            <w:tcW w:w="850" w:type="dxa"/>
            <w:tcBorders>
              <w:left w:val="single" w:color="auto" w:sz="4" w:space="0"/>
            </w:tcBorders>
            <w:vAlign w:val="center"/>
          </w:tcPr>
          <w:p w14:paraId="0D9515C0">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1.3904</w:t>
            </w:r>
          </w:p>
        </w:tc>
        <w:tc>
          <w:tcPr>
            <w:tcW w:w="836" w:type="dxa"/>
            <w:tcBorders>
              <w:left w:val="single" w:color="auto" w:sz="4" w:space="0"/>
            </w:tcBorders>
            <w:vAlign w:val="center"/>
          </w:tcPr>
          <w:p w14:paraId="07DDFD8D">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0.3090</w:t>
            </w:r>
          </w:p>
        </w:tc>
      </w:tr>
      <w:tr w14:paraId="02F72D3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5" w:hRule="atLeast"/>
          <w:jc w:val="center"/>
        </w:trPr>
        <w:tc>
          <w:tcPr>
            <w:tcW w:w="895" w:type="dxa"/>
            <w:tcMar>
              <w:left w:w="0" w:type="dxa"/>
              <w:right w:w="0" w:type="dxa"/>
            </w:tcMar>
            <w:vAlign w:val="center"/>
          </w:tcPr>
          <w:p w14:paraId="758FA60A">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200</w:t>
            </w:r>
          </w:p>
        </w:tc>
        <w:tc>
          <w:tcPr>
            <w:tcW w:w="992" w:type="dxa"/>
            <w:vAlign w:val="center"/>
          </w:tcPr>
          <w:p w14:paraId="65C032FF">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3.8473</w:t>
            </w:r>
          </w:p>
        </w:tc>
        <w:tc>
          <w:tcPr>
            <w:tcW w:w="850" w:type="dxa"/>
            <w:tcBorders>
              <w:right w:val="single" w:color="auto" w:sz="4" w:space="0"/>
            </w:tcBorders>
            <w:vAlign w:val="center"/>
          </w:tcPr>
          <w:p w14:paraId="239B6B00">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0.1924</w:t>
            </w:r>
          </w:p>
        </w:tc>
        <w:tc>
          <w:tcPr>
            <w:tcW w:w="850" w:type="dxa"/>
            <w:tcBorders>
              <w:left w:val="single" w:color="auto" w:sz="4" w:space="0"/>
            </w:tcBorders>
            <w:vAlign w:val="center"/>
          </w:tcPr>
          <w:p w14:paraId="2F8E1C84">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1.1586</w:t>
            </w:r>
          </w:p>
        </w:tc>
        <w:tc>
          <w:tcPr>
            <w:tcW w:w="836" w:type="dxa"/>
            <w:tcBorders>
              <w:left w:val="single" w:color="auto" w:sz="4" w:space="0"/>
            </w:tcBorders>
            <w:vAlign w:val="center"/>
          </w:tcPr>
          <w:p w14:paraId="0C84B868">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0.2575</w:t>
            </w:r>
          </w:p>
        </w:tc>
      </w:tr>
      <w:tr w14:paraId="3822331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5" w:hRule="atLeast"/>
          <w:jc w:val="center"/>
        </w:trPr>
        <w:tc>
          <w:tcPr>
            <w:tcW w:w="895" w:type="dxa"/>
            <w:tcMar>
              <w:left w:w="0" w:type="dxa"/>
              <w:right w:w="0" w:type="dxa"/>
            </w:tcMar>
            <w:vAlign w:val="center"/>
          </w:tcPr>
          <w:p w14:paraId="4C0E8EF0">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300</w:t>
            </w:r>
          </w:p>
        </w:tc>
        <w:tc>
          <w:tcPr>
            <w:tcW w:w="992" w:type="dxa"/>
            <w:vAlign w:val="center"/>
          </w:tcPr>
          <w:p w14:paraId="2E5236BF">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3.0192</w:t>
            </w:r>
          </w:p>
        </w:tc>
        <w:tc>
          <w:tcPr>
            <w:tcW w:w="850" w:type="dxa"/>
            <w:tcBorders>
              <w:right w:val="single" w:color="auto" w:sz="4" w:space="0"/>
            </w:tcBorders>
            <w:vAlign w:val="center"/>
          </w:tcPr>
          <w:p w14:paraId="3AB5C531">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0.1510</w:t>
            </w:r>
          </w:p>
        </w:tc>
        <w:tc>
          <w:tcPr>
            <w:tcW w:w="850" w:type="dxa"/>
            <w:tcBorders>
              <w:left w:val="single" w:color="auto" w:sz="4" w:space="0"/>
            </w:tcBorders>
            <w:vAlign w:val="center"/>
          </w:tcPr>
          <w:p w14:paraId="41798D2B">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0.9092</w:t>
            </w:r>
          </w:p>
        </w:tc>
        <w:tc>
          <w:tcPr>
            <w:tcW w:w="836" w:type="dxa"/>
            <w:tcBorders>
              <w:left w:val="single" w:color="auto" w:sz="4" w:space="0"/>
            </w:tcBorders>
            <w:vAlign w:val="center"/>
          </w:tcPr>
          <w:p w14:paraId="10B9B85F">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0.2020</w:t>
            </w:r>
          </w:p>
        </w:tc>
      </w:tr>
      <w:tr w14:paraId="024B863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5" w:hRule="atLeast"/>
          <w:jc w:val="center"/>
        </w:trPr>
        <w:tc>
          <w:tcPr>
            <w:tcW w:w="895" w:type="dxa"/>
            <w:tcMar>
              <w:left w:w="0" w:type="dxa"/>
              <w:right w:w="0" w:type="dxa"/>
            </w:tcMar>
            <w:vAlign w:val="center"/>
          </w:tcPr>
          <w:p w14:paraId="55763D7F">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400</w:t>
            </w:r>
          </w:p>
        </w:tc>
        <w:tc>
          <w:tcPr>
            <w:tcW w:w="992" w:type="dxa"/>
            <w:vAlign w:val="center"/>
          </w:tcPr>
          <w:p w14:paraId="43E0993A">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2.3148</w:t>
            </w:r>
          </w:p>
        </w:tc>
        <w:tc>
          <w:tcPr>
            <w:tcW w:w="850" w:type="dxa"/>
            <w:tcBorders>
              <w:right w:val="single" w:color="auto" w:sz="4" w:space="0"/>
            </w:tcBorders>
            <w:vAlign w:val="center"/>
          </w:tcPr>
          <w:p w14:paraId="7467C967">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0.1157</w:t>
            </w:r>
          </w:p>
        </w:tc>
        <w:tc>
          <w:tcPr>
            <w:tcW w:w="850" w:type="dxa"/>
            <w:tcBorders>
              <w:left w:val="single" w:color="auto" w:sz="4" w:space="0"/>
            </w:tcBorders>
            <w:vAlign w:val="center"/>
          </w:tcPr>
          <w:p w14:paraId="44422E18">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0.6971</w:t>
            </w:r>
          </w:p>
        </w:tc>
        <w:tc>
          <w:tcPr>
            <w:tcW w:w="836" w:type="dxa"/>
            <w:tcBorders>
              <w:left w:val="single" w:color="auto" w:sz="4" w:space="0"/>
            </w:tcBorders>
            <w:vAlign w:val="center"/>
          </w:tcPr>
          <w:p w14:paraId="1C826CF4">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0.1549</w:t>
            </w:r>
          </w:p>
        </w:tc>
      </w:tr>
      <w:tr w14:paraId="6696FF7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5" w:hRule="atLeast"/>
          <w:jc w:val="center"/>
        </w:trPr>
        <w:tc>
          <w:tcPr>
            <w:tcW w:w="895" w:type="dxa"/>
            <w:tcMar>
              <w:left w:w="0" w:type="dxa"/>
              <w:right w:w="0" w:type="dxa"/>
            </w:tcMar>
            <w:vAlign w:val="center"/>
          </w:tcPr>
          <w:p w14:paraId="4D491532">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500</w:t>
            </w:r>
          </w:p>
        </w:tc>
        <w:tc>
          <w:tcPr>
            <w:tcW w:w="992" w:type="dxa"/>
            <w:vAlign w:val="center"/>
          </w:tcPr>
          <w:p w14:paraId="0DCA9F7D">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1.7545</w:t>
            </w:r>
          </w:p>
        </w:tc>
        <w:tc>
          <w:tcPr>
            <w:tcW w:w="850" w:type="dxa"/>
            <w:tcBorders>
              <w:right w:val="single" w:color="auto" w:sz="4" w:space="0"/>
            </w:tcBorders>
            <w:vAlign w:val="center"/>
          </w:tcPr>
          <w:p w14:paraId="0D6BB943">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0.0877</w:t>
            </w:r>
          </w:p>
        </w:tc>
        <w:tc>
          <w:tcPr>
            <w:tcW w:w="850" w:type="dxa"/>
            <w:tcBorders>
              <w:left w:val="single" w:color="auto" w:sz="4" w:space="0"/>
            </w:tcBorders>
            <w:vAlign w:val="center"/>
          </w:tcPr>
          <w:p w14:paraId="36433319">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0.5283</w:t>
            </w:r>
          </w:p>
        </w:tc>
        <w:tc>
          <w:tcPr>
            <w:tcW w:w="836" w:type="dxa"/>
            <w:tcBorders>
              <w:left w:val="single" w:color="auto" w:sz="4" w:space="0"/>
            </w:tcBorders>
            <w:vAlign w:val="center"/>
          </w:tcPr>
          <w:p w14:paraId="0AA81904">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0.1174</w:t>
            </w:r>
          </w:p>
        </w:tc>
      </w:tr>
      <w:tr w14:paraId="1FEDA72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5" w:hRule="atLeast"/>
          <w:jc w:val="center"/>
        </w:trPr>
        <w:tc>
          <w:tcPr>
            <w:tcW w:w="895" w:type="dxa"/>
            <w:tcMar>
              <w:left w:w="0" w:type="dxa"/>
              <w:right w:w="0" w:type="dxa"/>
            </w:tcMar>
            <w:vAlign w:val="center"/>
          </w:tcPr>
          <w:p w14:paraId="66909627">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600</w:t>
            </w:r>
          </w:p>
        </w:tc>
        <w:tc>
          <w:tcPr>
            <w:tcW w:w="992" w:type="dxa"/>
            <w:vAlign w:val="center"/>
          </w:tcPr>
          <w:p w14:paraId="695C53C5">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1.3621</w:t>
            </w:r>
          </w:p>
        </w:tc>
        <w:tc>
          <w:tcPr>
            <w:tcW w:w="850" w:type="dxa"/>
            <w:tcBorders>
              <w:right w:val="single" w:color="auto" w:sz="4" w:space="0"/>
            </w:tcBorders>
            <w:vAlign w:val="center"/>
          </w:tcPr>
          <w:p w14:paraId="1587A48B">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0.0681</w:t>
            </w:r>
          </w:p>
        </w:tc>
        <w:tc>
          <w:tcPr>
            <w:tcW w:w="850" w:type="dxa"/>
            <w:tcBorders>
              <w:left w:val="single" w:color="auto" w:sz="4" w:space="0"/>
            </w:tcBorders>
            <w:vAlign w:val="center"/>
          </w:tcPr>
          <w:p w14:paraId="2D1C509B">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0.4102</w:t>
            </w:r>
          </w:p>
        </w:tc>
        <w:tc>
          <w:tcPr>
            <w:tcW w:w="836" w:type="dxa"/>
            <w:tcBorders>
              <w:left w:val="single" w:color="auto" w:sz="4" w:space="0"/>
            </w:tcBorders>
            <w:vAlign w:val="center"/>
          </w:tcPr>
          <w:p w14:paraId="4399C469">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0.0912</w:t>
            </w:r>
          </w:p>
        </w:tc>
      </w:tr>
      <w:tr w14:paraId="65F5691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5" w:hRule="atLeast"/>
          <w:jc w:val="center"/>
        </w:trPr>
        <w:tc>
          <w:tcPr>
            <w:tcW w:w="895" w:type="dxa"/>
            <w:tcMar>
              <w:left w:w="0" w:type="dxa"/>
              <w:right w:w="0" w:type="dxa"/>
            </w:tcMar>
            <w:vAlign w:val="center"/>
          </w:tcPr>
          <w:p w14:paraId="2A72DF9D">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700</w:t>
            </w:r>
          </w:p>
        </w:tc>
        <w:tc>
          <w:tcPr>
            <w:tcW w:w="992" w:type="dxa"/>
            <w:vAlign w:val="center"/>
          </w:tcPr>
          <w:p w14:paraId="149A8406">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1.1837</w:t>
            </w:r>
          </w:p>
        </w:tc>
        <w:tc>
          <w:tcPr>
            <w:tcW w:w="850" w:type="dxa"/>
            <w:tcBorders>
              <w:right w:val="single" w:color="auto" w:sz="4" w:space="0"/>
            </w:tcBorders>
            <w:vAlign w:val="center"/>
          </w:tcPr>
          <w:p w14:paraId="403B185F">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0.0592</w:t>
            </w:r>
          </w:p>
        </w:tc>
        <w:tc>
          <w:tcPr>
            <w:tcW w:w="850" w:type="dxa"/>
            <w:tcBorders>
              <w:left w:val="single" w:color="auto" w:sz="4" w:space="0"/>
            </w:tcBorders>
            <w:vAlign w:val="center"/>
          </w:tcPr>
          <w:p w14:paraId="70D29285">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0.3565</w:t>
            </w:r>
          </w:p>
        </w:tc>
        <w:tc>
          <w:tcPr>
            <w:tcW w:w="836" w:type="dxa"/>
            <w:tcBorders>
              <w:left w:val="single" w:color="auto" w:sz="4" w:space="0"/>
            </w:tcBorders>
            <w:vAlign w:val="center"/>
          </w:tcPr>
          <w:p w14:paraId="11662721">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0.0792</w:t>
            </w:r>
          </w:p>
        </w:tc>
      </w:tr>
      <w:tr w14:paraId="578644B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5" w:hRule="atLeast"/>
          <w:jc w:val="center"/>
        </w:trPr>
        <w:tc>
          <w:tcPr>
            <w:tcW w:w="895" w:type="dxa"/>
            <w:tcMar>
              <w:left w:w="0" w:type="dxa"/>
              <w:right w:w="0" w:type="dxa"/>
            </w:tcMar>
            <w:vAlign w:val="center"/>
          </w:tcPr>
          <w:p w14:paraId="6D273454">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800</w:t>
            </w:r>
          </w:p>
        </w:tc>
        <w:tc>
          <w:tcPr>
            <w:tcW w:w="992" w:type="dxa"/>
            <w:vAlign w:val="center"/>
          </w:tcPr>
          <w:p w14:paraId="4E75722B">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1.0622</w:t>
            </w:r>
          </w:p>
        </w:tc>
        <w:tc>
          <w:tcPr>
            <w:tcW w:w="850" w:type="dxa"/>
            <w:tcBorders>
              <w:right w:val="single" w:color="auto" w:sz="4" w:space="0"/>
            </w:tcBorders>
            <w:vAlign w:val="center"/>
          </w:tcPr>
          <w:p w14:paraId="7A9FF86D">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0.0531</w:t>
            </w:r>
          </w:p>
        </w:tc>
        <w:tc>
          <w:tcPr>
            <w:tcW w:w="850" w:type="dxa"/>
            <w:tcBorders>
              <w:left w:val="single" w:color="auto" w:sz="4" w:space="0"/>
            </w:tcBorders>
            <w:vAlign w:val="center"/>
          </w:tcPr>
          <w:p w14:paraId="538513CE">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0.3199</w:t>
            </w:r>
          </w:p>
        </w:tc>
        <w:tc>
          <w:tcPr>
            <w:tcW w:w="836" w:type="dxa"/>
            <w:tcBorders>
              <w:left w:val="single" w:color="auto" w:sz="4" w:space="0"/>
            </w:tcBorders>
            <w:vAlign w:val="center"/>
          </w:tcPr>
          <w:p w14:paraId="78AE2703">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0.0711</w:t>
            </w:r>
          </w:p>
        </w:tc>
      </w:tr>
      <w:tr w14:paraId="7AA1696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5" w:hRule="atLeast"/>
          <w:jc w:val="center"/>
        </w:trPr>
        <w:tc>
          <w:tcPr>
            <w:tcW w:w="895" w:type="dxa"/>
            <w:tcMar>
              <w:left w:w="0" w:type="dxa"/>
              <w:right w:w="0" w:type="dxa"/>
            </w:tcMar>
            <w:vAlign w:val="center"/>
          </w:tcPr>
          <w:p w14:paraId="3006A89B">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900</w:t>
            </w:r>
          </w:p>
        </w:tc>
        <w:tc>
          <w:tcPr>
            <w:tcW w:w="992" w:type="dxa"/>
            <w:vAlign w:val="center"/>
          </w:tcPr>
          <w:p w14:paraId="63BE9141">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0.9385</w:t>
            </w:r>
          </w:p>
        </w:tc>
        <w:tc>
          <w:tcPr>
            <w:tcW w:w="850" w:type="dxa"/>
            <w:tcBorders>
              <w:right w:val="single" w:color="auto" w:sz="4" w:space="0"/>
            </w:tcBorders>
            <w:vAlign w:val="center"/>
          </w:tcPr>
          <w:p w14:paraId="5DA781BD">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0.0469</w:t>
            </w:r>
          </w:p>
        </w:tc>
        <w:tc>
          <w:tcPr>
            <w:tcW w:w="850" w:type="dxa"/>
            <w:tcBorders>
              <w:left w:val="single" w:color="auto" w:sz="4" w:space="0"/>
            </w:tcBorders>
            <w:vAlign w:val="center"/>
          </w:tcPr>
          <w:p w14:paraId="64298177">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0.2826</w:t>
            </w:r>
          </w:p>
        </w:tc>
        <w:tc>
          <w:tcPr>
            <w:tcW w:w="836" w:type="dxa"/>
            <w:tcBorders>
              <w:left w:val="single" w:color="auto" w:sz="4" w:space="0"/>
            </w:tcBorders>
            <w:vAlign w:val="center"/>
          </w:tcPr>
          <w:p w14:paraId="6F3E2E50">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0.0628</w:t>
            </w:r>
          </w:p>
        </w:tc>
      </w:tr>
      <w:tr w14:paraId="7409A7D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5" w:hRule="atLeast"/>
          <w:jc w:val="center"/>
        </w:trPr>
        <w:tc>
          <w:tcPr>
            <w:tcW w:w="895" w:type="dxa"/>
            <w:tcMar>
              <w:left w:w="0" w:type="dxa"/>
              <w:right w:w="0" w:type="dxa"/>
            </w:tcMar>
            <w:vAlign w:val="center"/>
          </w:tcPr>
          <w:p w14:paraId="3FA11E54">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1000</w:t>
            </w:r>
          </w:p>
        </w:tc>
        <w:tc>
          <w:tcPr>
            <w:tcW w:w="992" w:type="dxa"/>
            <w:vAlign w:val="center"/>
          </w:tcPr>
          <w:p w14:paraId="1DA566D4">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0.8111</w:t>
            </w:r>
          </w:p>
        </w:tc>
        <w:tc>
          <w:tcPr>
            <w:tcW w:w="850" w:type="dxa"/>
            <w:tcBorders>
              <w:right w:val="single" w:color="auto" w:sz="4" w:space="0"/>
            </w:tcBorders>
            <w:vAlign w:val="center"/>
          </w:tcPr>
          <w:p w14:paraId="5246C39C">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0.0406</w:t>
            </w:r>
          </w:p>
        </w:tc>
        <w:tc>
          <w:tcPr>
            <w:tcW w:w="850" w:type="dxa"/>
            <w:tcBorders>
              <w:left w:val="single" w:color="auto" w:sz="4" w:space="0"/>
            </w:tcBorders>
            <w:vAlign w:val="center"/>
          </w:tcPr>
          <w:p w14:paraId="1E495719">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0.2442</w:t>
            </w:r>
          </w:p>
        </w:tc>
        <w:tc>
          <w:tcPr>
            <w:tcW w:w="836" w:type="dxa"/>
            <w:tcBorders>
              <w:left w:val="single" w:color="auto" w:sz="4" w:space="0"/>
            </w:tcBorders>
            <w:vAlign w:val="center"/>
          </w:tcPr>
          <w:p w14:paraId="6204C6FB">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0.0543</w:t>
            </w:r>
          </w:p>
        </w:tc>
      </w:tr>
      <w:tr w14:paraId="2B1B3F6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04" w:hRule="atLeast"/>
          <w:jc w:val="center"/>
        </w:trPr>
        <w:tc>
          <w:tcPr>
            <w:tcW w:w="895" w:type="dxa"/>
            <w:tcMar>
              <w:left w:w="0" w:type="dxa"/>
              <w:right w:w="0" w:type="dxa"/>
            </w:tcMar>
            <w:vAlign w:val="center"/>
          </w:tcPr>
          <w:p w14:paraId="58B94F77">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1400</w:t>
            </w:r>
          </w:p>
        </w:tc>
        <w:tc>
          <w:tcPr>
            <w:tcW w:w="992" w:type="dxa"/>
            <w:vAlign w:val="center"/>
          </w:tcPr>
          <w:p w14:paraId="29D5636A">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0.4916</w:t>
            </w:r>
          </w:p>
        </w:tc>
        <w:tc>
          <w:tcPr>
            <w:tcW w:w="850" w:type="dxa"/>
            <w:tcBorders>
              <w:right w:val="single" w:color="auto" w:sz="4" w:space="0"/>
            </w:tcBorders>
            <w:vAlign w:val="center"/>
          </w:tcPr>
          <w:p w14:paraId="1E817D73">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0.0246</w:t>
            </w:r>
          </w:p>
        </w:tc>
        <w:tc>
          <w:tcPr>
            <w:tcW w:w="850" w:type="dxa"/>
            <w:tcBorders>
              <w:left w:val="single" w:color="auto" w:sz="4" w:space="0"/>
            </w:tcBorders>
            <w:vAlign w:val="center"/>
          </w:tcPr>
          <w:p w14:paraId="2C5A385F">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0.1481</w:t>
            </w:r>
          </w:p>
        </w:tc>
        <w:tc>
          <w:tcPr>
            <w:tcW w:w="836" w:type="dxa"/>
            <w:tcBorders>
              <w:left w:val="single" w:color="auto" w:sz="4" w:space="0"/>
            </w:tcBorders>
            <w:vAlign w:val="center"/>
          </w:tcPr>
          <w:p w14:paraId="67981B86">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0.0329</w:t>
            </w:r>
          </w:p>
        </w:tc>
      </w:tr>
      <w:tr w14:paraId="0396619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5" w:hRule="atLeast"/>
          <w:jc w:val="center"/>
        </w:trPr>
        <w:tc>
          <w:tcPr>
            <w:tcW w:w="895" w:type="dxa"/>
            <w:tcMar>
              <w:left w:w="0" w:type="dxa"/>
              <w:right w:w="0" w:type="dxa"/>
            </w:tcMar>
            <w:vAlign w:val="center"/>
          </w:tcPr>
          <w:p w14:paraId="3B8EED76">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2000</w:t>
            </w:r>
          </w:p>
        </w:tc>
        <w:tc>
          <w:tcPr>
            <w:tcW w:w="992" w:type="dxa"/>
            <w:vAlign w:val="center"/>
          </w:tcPr>
          <w:p w14:paraId="03976B02">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0.3209</w:t>
            </w:r>
          </w:p>
        </w:tc>
        <w:tc>
          <w:tcPr>
            <w:tcW w:w="850" w:type="dxa"/>
            <w:tcBorders>
              <w:right w:val="single" w:color="auto" w:sz="4" w:space="0"/>
            </w:tcBorders>
            <w:vAlign w:val="center"/>
          </w:tcPr>
          <w:p w14:paraId="386B0FB1">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0.0160</w:t>
            </w:r>
          </w:p>
        </w:tc>
        <w:tc>
          <w:tcPr>
            <w:tcW w:w="850" w:type="dxa"/>
            <w:tcBorders>
              <w:left w:val="single" w:color="auto" w:sz="4" w:space="0"/>
            </w:tcBorders>
            <w:vAlign w:val="center"/>
          </w:tcPr>
          <w:p w14:paraId="7ED43BC6">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0.0966</w:t>
            </w:r>
          </w:p>
        </w:tc>
        <w:tc>
          <w:tcPr>
            <w:tcW w:w="836" w:type="dxa"/>
            <w:tcBorders>
              <w:left w:val="single" w:color="auto" w:sz="4" w:space="0"/>
            </w:tcBorders>
            <w:vAlign w:val="center"/>
          </w:tcPr>
          <w:p w14:paraId="1ABCEFCA">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0.0215</w:t>
            </w:r>
          </w:p>
        </w:tc>
      </w:tr>
      <w:tr w14:paraId="45A70F8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5" w:hRule="atLeast"/>
          <w:jc w:val="center"/>
        </w:trPr>
        <w:tc>
          <w:tcPr>
            <w:tcW w:w="895" w:type="dxa"/>
            <w:tcMar>
              <w:left w:w="0" w:type="dxa"/>
              <w:right w:w="0" w:type="dxa"/>
            </w:tcMar>
            <w:vAlign w:val="center"/>
          </w:tcPr>
          <w:p w14:paraId="35925F39">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2500</w:t>
            </w:r>
          </w:p>
        </w:tc>
        <w:tc>
          <w:tcPr>
            <w:tcW w:w="992" w:type="dxa"/>
            <w:vAlign w:val="center"/>
          </w:tcPr>
          <w:p w14:paraId="023209DA">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0.2579</w:t>
            </w:r>
          </w:p>
        </w:tc>
        <w:tc>
          <w:tcPr>
            <w:tcW w:w="850" w:type="dxa"/>
            <w:tcBorders>
              <w:right w:val="single" w:color="auto" w:sz="4" w:space="0"/>
            </w:tcBorders>
            <w:vAlign w:val="center"/>
          </w:tcPr>
          <w:p w14:paraId="59DD8E95">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0.0129</w:t>
            </w:r>
          </w:p>
        </w:tc>
        <w:tc>
          <w:tcPr>
            <w:tcW w:w="850" w:type="dxa"/>
            <w:tcBorders>
              <w:left w:val="single" w:color="auto" w:sz="4" w:space="0"/>
            </w:tcBorders>
            <w:vAlign w:val="center"/>
          </w:tcPr>
          <w:p w14:paraId="0C82319F">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0.0777</w:t>
            </w:r>
          </w:p>
        </w:tc>
        <w:tc>
          <w:tcPr>
            <w:tcW w:w="836" w:type="dxa"/>
            <w:tcBorders>
              <w:left w:val="single" w:color="auto" w:sz="4" w:space="0"/>
            </w:tcBorders>
            <w:vAlign w:val="center"/>
          </w:tcPr>
          <w:p w14:paraId="4AAE1422">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0.0173</w:t>
            </w:r>
          </w:p>
        </w:tc>
      </w:tr>
      <w:tr w14:paraId="77C1171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5" w:hRule="atLeast"/>
          <w:jc w:val="center"/>
        </w:trPr>
        <w:tc>
          <w:tcPr>
            <w:tcW w:w="895" w:type="dxa"/>
            <w:tcMar>
              <w:left w:w="0" w:type="dxa"/>
              <w:right w:w="0" w:type="dxa"/>
            </w:tcMar>
            <w:vAlign w:val="center"/>
          </w:tcPr>
          <w:p w14:paraId="53CDD498">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下风向最大浓度处</w:t>
            </w:r>
          </w:p>
        </w:tc>
        <w:tc>
          <w:tcPr>
            <w:tcW w:w="992" w:type="dxa"/>
            <w:vAlign w:val="center"/>
          </w:tcPr>
          <w:p w14:paraId="440C998F">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4.6283</w:t>
            </w:r>
          </w:p>
        </w:tc>
        <w:tc>
          <w:tcPr>
            <w:tcW w:w="850" w:type="dxa"/>
            <w:tcBorders>
              <w:right w:val="single" w:color="auto" w:sz="4" w:space="0"/>
            </w:tcBorders>
            <w:vAlign w:val="center"/>
          </w:tcPr>
          <w:p w14:paraId="0CEB6F71">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0.2314</w:t>
            </w:r>
          </w:p>
        </w:tc>
        <w:tc>
          <w:tcPr>
            <w:tcW w:w="850" w:type="dxa"/>
            <w:tcBorders>
              <w:left w:val="single" w:color="auto" w:sz="4" w:space="0"/>
            </w:tcBorders>
            <w:vAlign w:val="center"/>
          </w:tcPr>
          <w:p w14:paraId="58DD1D84">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17.6454</w:t>
            </w:r>
          </w:p>
        </w:tc>
        <w:tc>
          <w:tcPr>
            <w:tcW w:w="836" w:type="dxa"/>
            <w:tcBorders>
              <w:left w:val="single" w:color="auto" w:sz="4" w:space="0"/>
            </w:tcBorders>
            <w:vAlign w:val="center"/>
          </w:tcPr>
          <w:p w14:paraId="1587319C">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eastAsiaTheme="minorEastAsia"/>
                <w:sz w:val="21"/>
                <w:szCs w:val="21"/>
                <w:highlight w:val="none"/>
              </w:rPr>
              <w:t>7.0582</w:t>
            </w:r>
          </w:p>
        </w:tc>
      </w:tr>
      <w:tr w14:paraId="1F7AC89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05" w:hRule="atLeast"/>
          <w:jc w:val="center"/>
        </w:trPr>
        <w:tc>
          <w:tcPr>
            <w:tcW w:w="895" w:type="dxa"/>
            <w:tcMar>
              <w:left w:w="0" w:type="dxa"/>
              <w:right w:w="0" w:type="dxa"/>
            </w:tcMar>
            <w:vAlign w:val="center"/>
          </w:tcPr>
          <w:p w14:paraId="553AD30A">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Theme="minorEastAsia" w:eastAsiaTheme="minorEastAsia"/>
                <w:sz w:val="21"/>
                <w:szCs w:val="21"/>
                <w:highlight w:val="none"/>
              </w:rPr>
              <w:t>最大落地浓度距离</w:t>
            </w:r>
          </w:p>
        </w:tc>
        <w:tc>
          <w:tcPr>
            <w:tcW w:w="3528" w:type="dxa"/>
            <w:gridSpan w:val="4"/>
            <w:vAlign w:val="center"/>
          </w:tcPr>
          <w:p w14:paraId="04A7C0F1">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eastAsia" w:eastAsiaTheme="minorEastAsia"/>
                <w:sz w:val="21"/>
                <w:szCs w:val="21"/>
                <w:highlight w:val="none"/>
              </w:rPr>
              <w:t>81</w:t>
            </w:r>
            <w:r>
              <w:rPr>
                <w:rFonts w:hint="default" w:eastAsiaTheme="minorEastAsia"/>
                <w:sz w:val="21"/>
                <w:szCs w:val="21"/>
                <w:highlight w:val="none"/>
              </w:rPr>
              <w:t>m</w:t>
            </w:r>
          </w:p>
        </w:tc>
      </w:tr>
    </w:tbl>
    <w:p w14:paraId="7029D8D6">
      <w:pPr>
        <w:bidi w:val="0"/>
        <w:rPr>
          <w:highlight w:val="none"/>
        </w:rPr>
      </w:pPr>
      <w:r>
        <w:rPr>
          <w:highlight w:val="none"/>
        </w:rPr>
        <w:t>由上表可见，项目大气污染物下风向最大浓度均较低，估算模式已考虑了最不利的气象条件，分析预测结果表明，无组织非甲烷总烃最大落地浓度占标率最大，占标率为</w:t>
      </w:r>
      <w:r>
        <w:rPr>
          <w:rFonts w:hint="eastAsia"/>
          <w:highlight w:val="none"/>
          <w:lang w:val="en-US" w:eastAsia="zh-CN"/>
        </w:rPr>
        <w:t>9.6510</w:t>
      </w:r>
      <w:r>
        <w:rPr>
          <w:highlight w:val="none"/>
        </w:rPr>
        <w:t>%，故本项目废气排放对周围大气环境质量影响不大，污染物下风向最大浓度均小于标准要求，因此，项目正常情况排放的污染物对大气环境影响较小。</w:t>
      </w:r>
    </w:p>
    <w:p w14:paraId="6F1D9C71">
      <w:pPr>
        <w:bidi w:val="0"/>
        <w:rPr>
          <w:highlight w:val="none"/>
        </w:rPr>
      </w:pPr>
      <w:bookmarkStart w:id="423" w:name="_Toc16559"/>
      <w:r>
        <w:rPr>
          <w:highlight w:val="none"/>
        </w:rPr>
        <w:t>3、</w:t>
      </w:r>
      <w:bookmarkStart w:id="424" w:name="_Toc7851"/>
      <w:bookmarkStart w:id="425" w:name="_Toc38386591"/>
      <w:bookmarkStart w:id="426" w:name="_Toc38386205"/>
      <w:bookmarkStart w:id="427" w:name="_Toc18429"/>
      <w:bookmarkStart w:id="428" w:name="_Toc42072127"/>
      <w:r>
        <w:rPr>
          <w:highlight w:val="none"/>
        </w:rPr>
        <w:t>大气环境防护距离</w:t>
      </w:r>
      <w:bookmarkEnd w:id="423"/>
      <w:bookmarkEnd w:id="424"/>
      <w:bookmarkEnd w:id="425"/>
      <w:bookmarkEnd w:id="426"/>
      <w:bookmarkEnd w:id="427"/>
      <w:bookmarkEnd w:id="428"/>
    </w:p>
    <w:p w14:paraId="0F16F29E">
      <w:pPr>
        <w:bidi w:val="0"/>
        <w:rPr>
          <w:highlight w:val="none"/>
        </w:rPr>
      </w:pPr>
      <w:r>
        <w:rPr>
          <w:highlight w:val="none"/>
        </w:rPr>
        <w:t>说明项目在采取环保治理措施后排放的污染物对环境的影响不大，当地环境空气质量可维持现状水平。本项目</w:t>
      </w:r>
      <w:r>
        <w:rPr>
          <w:rFonts w:eastAsiaTheme="minorEastAsia"/>
          <w:bCs/>
          <w:sz w:val="24"/>
          <w:highlight w:val="none"/>
        </w:rPr>
        <w:t>1%≤Pmax</w:t>
      </w:r>
      <w:r>
        <w:rPr>
          <w:rFonts w:hAnsiTheme="minorEastAsia" w:eastAsiaTheme="minorEastAsia"/>
          <w:bCs/>
          <w:sz w:val="24"/>
          <w:highlight w:val="none"/>
        </w:rPr>
        <w:t>＜</w:t>
      </w:r>
      <w:r>
        <w:rPr>
          <w:rFonts w:eastAsiaTheme="minorEastAsia"/>
          <w:bCs/>
          <w:sz w:val="24"/>
          <w:highlight w:val="none"/>
        </w:rPr>
        <w:t>10%</w:t>
      </w:r>
      <w:r>
        <w:rPr>
          <w:rFonts w:hAnsiTheme="minorEastAsia" w:eastAsiaTheme="minorEastAsia"/>
          <w:bCs/>
          <w:sz w:val="24"/>
          <w:highlight w:val="none"/>
        </w:rPr>
        <w:t>，</w:t>
      </w:r>
      <w:r>
        <w:rPr>
          <w:highlight w:val="none"/>
        </w:rPr>
        <w:t>，因此本项目大气评价等级为</w:t>
      </w:r>
      <w:r>
        <w:rPr>
          <w:rFonts w:hint="eastAsia"/>
          <w:highlight w:val="none"/>
          <w:lang w:val="en-US" w:eastAsia="zh-CN"/>
        </w:rPr>
        <w:t>二</w:t>
      </w:r>
      <w:r>
        <w:rPr>
          <w:highlight w:val="none"/>
        </w:rPr>
        <w:t>级，因此不需进行进一步预测与评价</w:t>
      </w:r>
      <w:r>
        <w:rPr>
          <w:rFonts w:hAnsiTheme="minorEastAsia" w:eastAsiaTheme="minorEastAsia"/>
          <w:bCs/>
          <w:sz w:val="24"/>
          <w:highlight w:val="none"/>
        </w:rPr>
        <w:t>，只对污染物排放量进行核算</w:t>
      </w:r>
      <w:r>
        <w:rPr>
          <w:highlight w:val="none"/>
        </w:rPr>
        <w:t>。</w:t>
      </w:r>
    </w:p>
    <w:p w14:paraId="71666B62">
      <w:pPr>
        <w:pStyle w:val="18"/>
        <w:spacing w:after="0" w:line="360" w:lineRule="auto"/>
        <w:ind w:firstLine="480" w:firstLineChars="200"/>
        <w:rPr>
          <w:rFonts w:eastAsiaTheme="minorEastAsia"/>
          <w:sz w:val="24"/>
          <w:highlight w:val="none"/>
        </w:rPr>
      </w:pPr>
      <w:r>
        <w:rPr>
          <w:rFonts w:eastAsiaTheme="minorEastAsia"/>
          <w:sz w:val="24"/>
          <w:highlight w:val="none"/>
        </w:rPr>
        <w:t>4</w:t>
      </w:r>
      <w:r>
        <w:rPr>
          <w:rFonts w:hAnsiTheme="minorEastAsia" w:eastAsiaTheme="minorEastAsia"/>
          <w:sz w:val="24"/>
          <w:highlight w:val="none"/>
        </w:rPr>
        <w:t>、大气污染物排放量核算</w:t>
      </w:r>
    </w:p>
    <w:p w14:paraId="6E71C7AE">
      <w:pPr>
        <w:pStyle w:val="18"/>
        <w:spacing w:after="0" w:line="360" w:lineRule="auto"/>
        <w:ind w:firstLine="480" w:firstLineChars="200"/>
        <w:rPr>
          <w:rFonts w:eastAsiaTheme="minorEastAsia"/>
          <w:sz w:val="24"/>
          <w:highlight w:val="none"/>
        </w:rPr>
      </w:pPr>
      <w:r>
        <w:rPr>
          <w:rFonts w:hAnsiTheme="minorEastAsia" w:eastAsiaTheme="minorEastAsia"/>
          <w:sz w:val="24"/>
          <w:highlight w:val="none"/>
        </w:rPr>
        <w:t>项目正常工况下，大气污染物有组织排放量核算见下表。</w:t>
      </w:r>
    </w:p>
    <w:p w14:paraId="65648F1B">
      <w:pPr>
        <w:pStyle w:val="7"/>
        <w:bidi w:val="0"/>
        <w:rPr>
          <w:highlight w:val="none"/>
        </w:rPr>
      </w:pPr>
      <w:r>
        <w:rPr>
          <w:highlight w:val="none"/>
        </w:rPr>
        <w:t>表5-2-</w:t>
      </w:r>
      <w:r>
        <w:rPr>
          <w:rFonts w:hint="eastAsia"/>
          <w:highlight w:val="none"/>
          <w:lang w:val="en-US" w:eastAsia="zh-CN"/>
        </w:rPr>
        <w:t>7</w:t>
      </w:r>
      <w:r>
        <w:rPr>
          <w:highlight w:val="none"/>
        </w:rPr>
        <w:t>本项目污染物有组织排放核算表</w:t>
      </w:r>
    </w:p>
    <w:tbl>
      <w:tblPr>
        <w:tblStyle w:val="45"/>
        <w:tblW w:w="909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7"/>
        <w:gridCol w:w="1583"/>
        <w:gridCol w:w="1276"/>
        <w:gridCol w:w="1738"/>
        <w:gridCol w:w="2076"/>
        <w:gridCol w:w="1626"/>
      </w:tblGrid>
      <w:tr w14:paraId="20552A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797" w:type="dxa"/>
            <w:vAlign w:val="center"/>
          </w:tcPr>
          <w:p w14:paraId="13EFFB97">
            <w:pPr>
              <w:pStyle w:val="8"/>
              <w:suppressLineNumbers w:val="0"/>
              <w:bidi w:val="0"/>
              <w:spacing w:before="0" w:beforeAutospacing="0" w:after="0" w:afterAutospacing="0"/>
              <w:ind w:left="0" w:right="0"/>
              <w:rPr>
                <w:rFonts w:hint="default"/>
                <w:highlight w:val="none"/>
              </w:rPr>
            </w:pPr>
            <w:r>
              <w:rPr>
                <w:rFonts w:hint="default"/>
                <w:highlight w:val="none"/>
              </w:rPr>
              <w:t>序号</w:t>
            </w:r>
          </w:p>
        </w:tc>
        <w:tc>
          <w:tcPr>
            <w:tcW w:w="1583" w:type="dxa"/>
            <w:vAlign w:val="center"/>
          </w:tcPr>
          <w:p w14:paraId="6A4E719B">
            <w:pPr>
              <w:pStyle w:val="8"/>
              <w:suppressLineNumbers w:val="0"/>
              <w:bidi w:val="0"/>
              <w:spacing w:before="0" w:beforeAutospacing="0" w:after="0" w:afterAutospacing="0"/>
              <w:ind w:left="0" w:right="0"/>
              <w:rPr>
                <w:rFonts w:hint="default"/>
                <w:highlight w:val="none"/>
              </w:rPr>
            </w:pPr>
            <w:r>
              <w:rPr>
                <w:rFonts w:hint="default"/>
                <w:highlight w:val="none"/>
              </w:rPr>
              <w:t>排放口编号</w:t>
            </w:r>
          </w:p>
        </w:tc>
        <w:tc>
          <w:tcPr>
            <w:tcW w:w="1276" w:type="dxa"/>
            <w:vAlign w:val="center"/>
          </w:tcPr>
          <w:p w14:paraId="01D888E7">
            <w:pPr>
              <w:pStyle w:val="8"/>
              <w:suppressLineNumbers w:val="0"/>
              <w:bidi w:val="0"/>
              <w:spacing w:before="0" w:beforeAutospacing="0" w:after="0" w:afterAutospacing="0"/>
              <w:ind w:left="0" w:right="0"/>
              <w:rPr>
                <w:rFonts w:hint="default"/>
                <w:highlight w:val="none"/>
              </w:rPr>
            </w:pPr>
            <w:r>
              <w:rPr>
                <w:rFonts w:hint="default"/>
                <w:highlight w:val="none"/>
              </w:rPr>
              <w:t>污染物</w:t>
            </w:r>
          </w:p>
        </w:tc>
        <w:tc>
          <w:tcPr>
            <w:tcW w:w="1738" w:type="dxa"/>
            <w:vAlign w:val="center"/>
          </w:tcPr>
          <w:p w14:paraId="34147F26">
            <w:pPr>
              <w:pStyle w:val="8"/>
              <w:suppressLineNumbers w:val="0"/>
              <w:bidi w:val="0"/>
              <w:spacing w:before="0" w:beforeAutospacing="0" w:after="0" w:afterAutospacing="0"/>
              <w:ind w:left="0" w:right="0"/>
              <w:rPr>
                <w:rFonts w:hint="default"/>
                <w:highlight w:val="none"/>
              </w:rPr>
            </w:pPr>
            <w:r>
              <w:rPr>
                <w:rFonts w:hint="default"/>
                <w:highlight w:val="none"/>
              </w:rPr>
              <w:t>核算排放浓度/（μg/m</w:t>
            </w:r>
            <w:r>
              <w:rPr>
                <w:rFonts w:hint="default"/>
                <w:highlight w:val="none"/>
                <w:vertAlign w:val="superscript"/>
              </w:rPr>
              <w:t>3</w:t>
            </w:r>
            <w:r>
              <w:rPr>
                <w:rFonts w:hint="default"/>
                <w:highlight w:val="none"/>
              </w:rPr>
              <w:t>）</w:t>
            </w:r>
          </w:p>
        </w:tc>
        <w:tc>
          <w:tcPr>
            <w:tcW w:w="2076" w:type="dxa"/>
            <w:vAlign w:val="center"/>
          </w:tcPr>
          <w:p w14:paraId="45D44643">
            <w:pPr>
              <w:pStyle w:val="8"/>
              <w:suppressLineNumbers w:val="0"/>
              <w:bidi w:val="0"/>
              <w:spacing w:before="0" w:beforeAutospacing="0" w:after="0" w:afterAutospacing="0"/>
              <w:ind w:left="0" w:right="0"/>
              <w:rPr>
                <w:rFonts w:hint="default"/>
                <w:highlight w:val="none"/>
              </w:rPr>
            </w:pPr>
            <w:r>
              <w:rPr>
                <w:rFonts w:hint="default"/>
                <w:highlight w:val="none"/>
              </w:rPr>
              <w:t>核算排放速率/（kg/h）</w:t>
            </w:r>
          </w:p>
        </w:tc>
        <w:tc>
          <w:tcPr>
            <w:tcW w:w="1626" w:type="dxa"/>
            <w:vAlign w:val="center"/>
          </w:tcPr>
          <w:p w14:paraId="717A81B3">
            <w:pPr>
              <w:pStyle w:val="8"/>
              <w:suppressLineNumbers w:val="0"/>
              <w:bidi w:val="0"/>
              <w:spacing w:before="0" w:beforeAutospacing="0" w:after="0" w:afterAutospacing="0"/>
              <w:ind w:left="0" w:right="0"/>
              <w:rPr>
                <w:rFonts w:hint="default"/>
                <w:highlight w:val="none"/>
              </w:rPr>
            </w:pPr>
            <w:r>
              <w:rPr>
                <w:rFonts w:hint="default"/>
                <w:highlight w:val="none"/>
              </w:rPr>
              <w:t>核算年排放量/（t/a）</w:t>
            </w:r>
          </w:p>
        </w:tc>
      </w:tr>
      <w:tr w14:paraId="19BA41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797" w:type="dxa"/>
            <w:vMerge w:val="restart"/>
            <w:shd w:val="clear" w:color="auto" w:fill="auto"/>
            <w:vAlign w:val="center"/>
          </w:tcPr>
          <w:p w14:paraId="1031C43C">
            <w:pPr>
              <w:pStyle w:val="8"/>
              <w:suppressLineNumbers w:val="0"/>
              <w:bidi w:val="0"/>
              <w:spacing w:before="0" w:beforeAutospacing="0" w:after="0" w:afterAutospacing="0"/>
              <w:ind w:left="0" w:right="0"/>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1</w:t>
            </w:r>
          </w:p>
        </w:tc>
        <w:tc>
          <w:tcPr>
            <w:tcW w:w="1583" w:type="dxa"/>
            <w:vMerge w:val="restart"/>
            <w:shd w:val="clear" w:color="auto" w:fill="auto"/>
            <w:vAlign w:val="center"/>
          </w:tcPr>
          <w:p w14:paraId="6ED10848">
            <w:pPr>
              <w:pStyle w:val="8"/>
              <w:suppressLineNumbers w:val="0"/>
              <w:bidi w:val="0"/>
              <w:spacing w:before="0" w:beforeAutospacing="0" w:after="0" w:afterAutospacing="0"/>
              <w:ind w:left="0" w:right="0"/>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rPr>
              <w:t>热试验DA0</w:t>
            </w:r>
            <w:r>
              <w:rPr>
                <w:rFonts w:hint="eastAsia" w:ascii="Times New Roman" w:hAnsi="Times New Roman" w:eastAsia="宋体" w:cs="Times New Roman"/>
                <w:highlight w:val="none"/>
                <w:lang w:val="en-US" w:eastAsia="zh-CN"/>
              </w:rPr>
              <w:t>64</w:t>
            </w:r>
            <w:r>
              <w:rPr>
                <w:rFonts w:hint="eastAsia" w:ascii="Times New Roman" w:hAnsi="Times New Roman" w:eastAsia="宋体" w:cs="Times New Roman"/>
                <w:highlight w:val="none"/>
              </w:rPr>
              <w:t>排气筒</w:t>
            </w:r>
          </w:p>
        </w:tc>
        <w:tc>
          <w:tcPr>
            <w:tcW w:w="1276" w:type="dxa"/>
            <w:shd w:val="clear" w:color="auto" w:fill="auto"/>
            <w:vAlign w:val="center"/>
          </w:tcPr>
          <w:p w14:paraId="67FCB855">
            <w:pPr>
              <w:pStyle w:val="8"/>
              <w:suppressLineNumbers w:val="0"/>
              <w:bidi w:val="0"/>
              <w:spacing w:before="0" w:beforeAutospacing="0" w:after="0" w:afterAutospacing="0"/>
              <w:ind w:left="0" w:right="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rPr>
              <w:t>氮氧化物</w:t>
            </w:r>
          </w:p>
        </w:tc>
        <w:tc>
          <w:tcPr>
            <w:tcW w:w="1738" w:type="dxa"/>
            <w:shd w:val="clear" w:color="auto" w:fill="auto"/>
            <w:vAlign w:val="center"/>
          </w:tcPr>
          <w:p w14:paraId="059B1278">
            <w:pPr>
              <w:pStyle w:val="8"/>
              <w:suppressLineNumbers w:val="0"/>
              <w:bidi w:val="0"/>
              <w:spacing w:before="0" w:beforeAutospacing="0" w:after="0" w:afterAutospacing="0"/>
              <w:ind w:left="0" w:right="0"/>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rPr>
              <w:t>15730</w:t>
            </w:r>
          </w:p>
        </w:tc>
        <w:tc>
          <w:tcPr>
            <w:tcW w:w="2076" w:type="dxa"/>
            <w:shd w:val="clear" w:color="auto" w:fill="auto"/>
            <w:vAlign w:val="center"/>
          </w:tcPr>
          <w:p w14:paraId="1F6F31E3">
            <w:pPr>
              <w:pStyle w:val="8"/>
              <w:suppressLineNumbers w:val="0"/>
              <w:bidi w:val="0"/>
              <w:spacing w:before="0" w:beforeAutospacing="0" w:after="0" w:afterAutospacing="0"/>
              <w:ind w:left="0" w:right="0"/>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rPr>
              <w:t>0.671</w:t>
            </w:r>
          </w:p>
        </w:tc>
        <w:tc>
          <w:tcPr>
            <w:tcW w:w="1626" w:type="dxa"/>
            <w:shd w:val="clear" w:color="auto" w:fill="auto"/>
            <w:vAlign w:val="center"/>
          </w:tcPr>
          <w:p w14:paraId="091BD331">
            <w:pPr>
              <w:pStyle w:val="8"/>
              <w:suppressLineNumbers w:val="0"/>
              <w:bidi w:val="0"/>
              <w:spacing w:before="0" w:beforeAutospacing="0" w:after="0" w:afterAutospacing="0"/>
              <w:ind w:left="0" w:right="0"/>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rPr>
              <w:t>1.772</w:t>
            </w:r>
          </w:p>
        </w:tc>
      </w:tr>
      <w:tr w14:paraId="6AEF5E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797" w:type="dxa"/>
            <w:vMerge w:val="continue"/>
            <w:vAlign w:val="center"/>
          </w:tcPr>
          <w:p w14:paraId="3753895D">
            <w:pPr>
              <w:pStyle w:val="8"/>
              <w:suppressLineNumbers w:val="0"/>
              <w:bidi w:val="0"/>
              <w:spacing w:before="0" w:beforeAutospacing="0" w:after="0" w:afterAutospacing="0"/>
              <w:ind w:left="0" w:right="0"/>
              <w:rPr>
                <w:rFonts w:hint="default" w:ascii="Times New Roman" w:hAnsi="Times New Roman" w:eastAsia="宋体" w:cs="Times New Roman"/>
                <w:highlight w:val="none"/>
              </w:rPr>
            </w:pPr>
          </w:p>
        </w:tc>
        <w:tc>
          <w:tcPr>
            <w:tcW w:w="1583" w:type="dxa"/>
            <w:vMerge w:val="continue"/>
            <w:vAlign w:val="center"/>
          </w:tcPr>
          <w:p w14:paraId="79D12F1C">
            <w:pPr>
              <w:pStyle w:val="8"/>
              <w:suppressLineNumbers w:val="0"/>
              <w:bidi w:val="0"/>
              <w:spacing w:before="0" w:beforeAutospacing="0" w:after="0" w:afterAutospacing="0"/>
              <w:ind w:left="0" w:right="0"/>
              <w:rPr>
                <w:rFonts w:hint="default" w:ascii="Times New Roman" w:hAnsi="Times New Roman" w:eastAsia="宋体" w:cs="Times New Roman"/>
                <w:highlight w:val="none"/>
              </w:rPr>
            </w:pPr>
          </w:p>
        </w:tc>
        <w:tc>
          <w:tcPr>
            <w:tcW w:w="1276" w:type="dxa"/>
            <w:shd w:val="clear" w:color="auto" w:fill="auto"/>
            <w:vAlign w:val="center"/>
          </w:tcPr>
          <w:p w14:paraId="1E429F8F">
            <w:pPr>
              <w:pStyle w:val="8"/>
              <w:suppressLineNumbers w:val="0"/>
              <w:bidi w:val="0"/>
              <w:spacing w:before="0" w:beforeAutospacing="0" w:after="0" w:afterAutospacing="0"/>
              <w:ind w:left="0" w:right="0"/>
              <w:rPr>
                <w:rFonts w:hint="eastAsia" w:ascii="Times New Roman" w:hAnsi="Times New Roman" w:eastAsia="宋体" w:cs="Times New Roman"/>
                <w:highlight w:val="none"/>
                <w:lang w:val="en-US" w:eastAsia="zh-CN"/>
              </w:rPr>
            </w:pPr>
            <w:r>
              <w:rPr>
                <w:rFonts w:hint="default" w:ascii="Times New Roman" w:hAnsi="Times New Roman" w:eastAsia="宋体" w:cs="Times New Roman"/>
                <w:highlight w:val="none"/>
              </w:rPr>
              <w:t>非甲烷总烃</w:t>
            </w:r>
          </w:p>
        </w:tc>
        <w:tc>
          <w:tcPr>
            <w:tcW w:w="1738" w:type="dxa"/>
            <w:shd w:val="clear" w:color="auto" w:fill="auto"/>
            <w:vAlign w:val="center"/>
          </w:tcPr>
          <w:p w14:paraId="589A280D">
            <w:pPr>
              <w:pStyle w:val="8"/>
              <w:suppressLineNumbers w:val="0"/>
              <w:bidi w:val="0"/>
              <w:spacing w:before="0" w:beforeAutospacing="0" w:after="0" w:afterAutospacing="0"/>
              <w:ind w:left="0" w:right="0"/>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rPr>
              <w:t>4126</w:t>
            </w:r>
          </w:p>
        </w:tc>
        <w:tc>
          <w:tcPr>
            <w:tcW w:w="2076" w:type="dxa"/>
            <w:shd w:val="clear" w:color="auto" w:fill="auto"/>
            <w:vAlign w:val="center"/>
          </w:tcPr>
          <w:p w14:paraId="6E77A96C">
            <w:pPr>
              <w:pStyle w:val="8"/>
              <w:suppressLineNumbers w:val="0"/>
              <w:bidi w:val="0"/>
              <w:spacing w:before="0" w:beforeAutospacing="0" w:after="0" w:afterAutospacing="0"/>
              <w:ind w:left="0" w:right="0"/>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rPr>
              <w:t>0.176</w:t>
            </w:r>
          </w:p>
        </w:tc>
        <w:tc>
          <w:tcPr>
            <w:tcW w:w="1626" w:type="dxa"/>
            <w:shd w:val="clear" w:color="auto" w:fill="auto"/>
            <w:vAlign w:val="center"/>
          </w:tcPr>
          <w:p w14:paraId="76DB1205">
            <w:pPr>
              <w:pStyle w:val="8"/>
              <w:suppressLineNumbers w:val="0"/>
              <w:bidi w:val="0"/>
              <w:spacing w:before="0" w:beforeAutospacing="0" w:after="0" w:afterAutospacing="0"/>
              <w:ind w:left="0" w:right="0"/>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rPr>
              <w:t>0.465</w:t>
            </w:r>
          </w:p>
        </w:tc>
      </w:tr>
      <w:tr w14:paraId="628217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797" w:type="dxa"/>
            <w:vMerge w:val="continue"/>
            <w:vAlign w:val="center"/>
          </w:tcPr>
          <w:p w14:paraId="6A540F5A">
            <w:pPr>
              <w:pStyle w:val="8"/>
              <w:suppressLineNumbers w:val="0"/>
              <w:bidi w:val="0"/>
              <w:spacing w:before="0" w:beforeAutospacing="0" w:after="0" w:afterAutospacing="0"/>
              <w:ind w:left="0" w:right="0"/>
              <w:rPr>
                <w:rFonts w:hint="default" w:ascii="Times New Roman" w:hAnsi="Times New Roman" w:eastAsia="宋体" w:cs="Times New Roman"/>
                <w:highlight w:val="none"/>
              </w:rPr>
            </w:pPr>
          </w:p>
        </w:tc>
        <w:tc>
          <w:tcPr>
            <w:tcW w:w="1583" w:type="dxa"/>
            <w:vMerge w:val="continue"/>
            <w:vAlign w:val="center"/>
          </w:tcPr>
          <w:p w14:paraId="6DE5D43E">
            <w:pPr>
              <w:pStyle w:val="8"/>
              <w:suppressLineNumbers w:val="0"/>
              <w:bidi w:val="0"/>
              <w:spacing w:before="0" w:beforeAutospacing="0" w:after="0" w:afterAutospacing="0"/>
              <w:ind w:left="0" w:right="0"/>
              <w:rPr>
                <w:rFonts w:hint="default" w:ascii="Times New Roman" w:hAnsi="Times New Roman" w:eastAsia="宋体" w:cs="Times New Roman"/>
                <w:highlight w:val="none"/>
              </w:rPr>
            </w:pPr>
          </w:p>
        </w:tc>
        <w:tc>
          <w:tcPr>
            <w:tcW w:w="1276" w:type="dxa"/>
            <w:shd w:val="clear" w:color="auto" w:fill="auto"/>
            <w:vAlign w:val="center"/>
          </w:tcPr>
          <w:p w14:paraId="70F635D2">
            <w:pPr>
              <w:pStyle w:val="8"/>
              <w:suppressLineNumbers w:val="0"/>
              <w:bidi w:val="0"/>
              <w:spacing w:before="0" w:beforeAutospacing="0" w:after="0" w:afterAutospacing="0"/>
              <w:ind w:left="0" w:right="0"/>
              <w:rPr>
                <w:rFonts w:hint="eastAsia" w:ascii="Times New Roman" w:hAnsi="Times New Roman" w:eastAsia="宋体" w:cs="Times New Roman"/>
                <w:highlight w:val="none"/>
                <w:lang w:val="en-US" w:eastAsia="zh-CN"/>
              </w:rPr>
            </w:pPr>
            <w:r>
              <w:rPr>
                <w:rFonts w:hint="default" w:ascii="Times New Roman" w:hAnsi="Times New Roman" w:eastAsia="宋体" w:cs="Times New Roman"/>
                <w:highlight w:val="none"/>
              </w:rPr>
              <w:t>一氧化碳</w:t>
            </w:r>
          </w:p>
        </w:tc>
        <w:tc>
          <w:tcPr>
            <w:tcW w:w="1738" w:type="dxa"/>
            <w:shd w:val="clear" w:color="auto" w:fill="auto"/>
            <w:vAlign w:val="center"/>
          </w:tcPr>
          <w:p w14:paraId="16515A0C">
            <w:pPr>
              <w:pStyle w:val="8"/>
              <w:suppressLineNumbers w:val="0"/>
              <w:bidi w:val="0"/>
              <w:spacing w:before="0" w:beforeAutospacing="0" w:after="0" w:afterAutospacing="0"/>
              <w:ind w:left="0" w:right="0"/>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rPr>
              <w:t>27632</w:t>
            </w:r>
          </w:p>
        </w:tc>
        <w:tc>
          <w:tcPr>
            <w:tcW w:w="2076" w:type="dxa"/>
            <w:shd w:val="clear" w:color="auto" w:fill="auto"/>
            <w:vAlign w:val="center"/>
          </w:tcPr>
          <w:p w14:paraId="3C41B1D4">
            <w:pPr>
              <w:pStyle w:val="8"/>
              <w:suppressLineNumbers w:val="0"/>
              <w:bidi w:val="0"/>
              <w:spacing w:before="0" w:beforeAutospacing="0" w:after="0" w:afterAutospacing="0"/>
              <w:ind w:left="0" w:right="0"/>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rPr>
              <w:t>1.178</w:t>
            </w:r>
          </w:p>
        </w:tc>
        <w:tc>
          <w:tcPr>
            <w:tcW w:w="1626" w:type="dxa"/>
            <w:shd w:val="clear" w:color="auto" w:fill="auto"/>
            <w:vAlign w:val="center"/>
          </w:tcPr>
          <w:p w14:paraId="47152C2F">
            <w:pPr>
              <w:pStyle w:val="8"/>
              <w:suppressLineNumbers w:val="0"/>
              <w:bidi w:val="0"/>
              <w:spacing w:before="0" w:beforeAutospacing="0" w:after="0" w:afterAutospacing="0"/>
              <w:ind w:left="0" w:right="0"/>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rPr>
              <w:t>3.108</w:t>
            </w:r>
          </w:p>
        </w:tc>
      </w:tr>
      <w:tr w14:paraId="610728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797" w:type="dxa"/>
            <w:vMerge w:val="continue"/>
            <w:vAlign w:val="center"/>
          </w:tcPr>
          <w:p w14:paraId="58D914C4">
            <w:pPr>
              <w:pStyle w:val="8"/>
              <w:suppressLineNumbers w:val="0"/>
              <w:bidi w:val="0"/>
              <w:spacing w:before="0" w:beforeAutospacing="0" w:after="0" w:afterAutospacing="0"/>
              <w:ind w:left="0" w:right="0"/>
              <w:rPr>
                <w:rFonts w:hint="default" w:ascii="Times New Roman" w:hAnsi="Times New Roman" w:eastAsia="宋体" w:cs="Times New Roman"/>
                <w:highlight w:val="none"/>
              </w:rPr>
            </w:pPr>
          </w:p>
        </w:tc>
        <w:tc>
          <w:tcPr>
            <w:tcW w:w="1583" w:type="dxa"/>
            <w:vMerge w:val="continue"/>
            <w:vAlign w:val="center"/>
          </w:tcPr>
          <w:p w14:paraId="397B8B02">
            <w:pPr>
              <w:pStyle w:val="8"/>
              <w:suppressLineNumbers w:val="0"/>
              <w:bidi w:val="0"/>
              <w:spacing w:before="0" w:beforeAutospacing="0" w:after="0" w:afterAutospacing="0"/>
              <w:ind w:left="0" w:right="0"/>
              <w:rPr>
                <w:rFonts w:hint="default" w:ascii="Times New Roman" w:hAnsi="Times New Roman" w:eastAsia="宋体" w:cs="Times New Roman"/>
                <w:highlight w:val="none"/>
              </w:rPr>
            </w:pPr>
          </w:p>
        </w:tc>
        <w:tc>
          <w:tcPr>
            <w:tcW w:w="1276" w:type="dxa"/>
            <w:shd w:val="clear" w:color="auto" w:fill="auto"/>
            <w:vAlign w:val="center"/>
          </w:tcPr>
          <w:p w14:paraId="1D207B75">
            <w:pPr>
              <w:pStyle w:val="8"/>
              <w:suppressLineNumbers w:val="0"/>
              <w:bidi w:val="0"/>
              <w:spacing w:before="0" w:beforeAutospacing="0" w:after="0" w:afterAutospacing="0"/>
              <w:ind w:left="0" w:right="0"/>
              <w:rPr>
                <w:rFonts w:hint="eastAsia" w:ascii="Times New Roman" w:hAnsi="Times New Roman" w:eastAsia="宋体" w:cs="Times New Roman"/>
                <w:highlight w:val="none"/>
                <w:lang w:val="en-US" w:eastAsia="zh-CN"/>
              </w:rPr>
            </w:pPr>
            <w:r>
              <w:rPr>
                <w:rFonts w:hint="default" w:ascii="Times New Roman" w:hAnsi="Times New Roman" w:eastAsia="宋体" w:cs="Times New Roman"/>
                <w:highlight w:val="none"/>
              </w:rPr>
              <w:t>颗粒物</w:t>
            </w:r>
          </w:p>
        </w:tc>
        <w:tc>
          <w:tcPr>
            <w:tcW w:w="1738" w:type="dxa"/>
            <w:shd w:val="clear" w:color="auto" w:fill="auto"/>
            <w:vAlign w:val="center"/>
          </w:tcPr>
          <w:p w14:paraId="228495C0">
            <w:pPr>
              <w:pStyle w:val="8"/>
              <w:suppressLineNumbers w:val="0"/>
              <w:bidi w:val="0"/>
              <w:spacing w:before="0" w:beforeAutospacing="0" w:after="0" w:afterAutospacing="0"/>
              <w:ind w:left="0" w:right="0"/>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rPr>
              <w:t>1243</w:t>
            </w:r>
          </w:p>
        </w:tc>
        <w:tc>
          <w:tcPr>
            <w:tcW w:w="2076" w:type="dxa"/>
            <w:shd w:val="clear" w:color="auto" w:fill="auto"/>
            <w:vAlign w:val="center"/>
          </w:tcPr>
          <w:p w14:paraId="737D811C">
            <w:pPr>
              <w:pStyle w:val="8"/>
              <w:suppressLineNumbers w:val="0"/>
              <w:bidi w:val="0"/>
              <w:spacing w:before="0" w:beforeAutospacing="0" w:after="0" w:afterAutospacing="0"/>
              <w:ind w:left="0" w:right="0"/>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rPr>
              <w:t>0.053</w:t>
            </w:r>
          </w:p>
        </w:tc>
        <w:tc>
          <w:tcPr>
            <w:tcW w:w="1626" w:type="dxa"/>
            <w:shd w:val="clear" w:color="auto" w:fill="auto"/>
            <w:vAlign w:val="center"/>
          </w:tcPr>
          <w:p w14:paraId="638AADD2">
            <w:pPr>
              <w:pStyle w:val="8"/>
              <w:suppressLineNumbers w:val="0"/>
              <w:bidi w:val="0"/>
              <w:spacing w:before="0" w:beforeAutospacing="0" w:after="0" w:afterAutospacing="0"/>
              <w:ind w:left="0" w:right="0"/>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rPr>
              <w:t>0.14</w:t>
            </w:r>
          </w:p>
        </w:tc>
      </w:tr>
      <w:tr w14:paraId="1EFD7B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797" w:type="dxa"/>
            <w:vAlign w:val="center"/>
          </w:tcPr>
          <w:p w14:paraId="27867C28">
            <w:pPr>
              <w:pStyle w:val="8"/>
              <w:suppressLineNumbers w:val="0"/>
              <w:bidi w:val="0"/>
              <w:spacing w:before="0" w:beforeAutospacing="0" w:after="0" w:afterAutospacing="0"/>
              <w:ind w:left="0" w:right="0"/>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2</w:t>
            </w:r>
          </w:p>
        </w:tc>
        <w:tc>
          <w:tcPr>
            <w:tcW w:w="1583" w:type="dxa"/>
            <w:vAlign w:val="center"/>
          </w:tcPr>
          <w:p w14:paraId="058272A8">
            <w:pPr>
              <w:pStyle w:val="8"/>
              <w:suppressLineNumbers w:val="0"/>
              <w:bidi w:val="0"/>
              <w:spacing w:before="0" w:beforeAutospacing="0" w:after="0" w:afterAutospacing="0"/>
              <w:ind w:left="0" w:right="0"/>
              <w:rPr>
                <w:rFonts w:hint="default" w:ascii="Times New Roman" w:hAnsi="Times New Roman" w:eastAsia="宋体" w:cs="Times New Roman"/>
                <w:highlight w:val="none"/>
              </w:rPr>
            </w:pPr>
            <w:r>
              <w:rPr>
                <w:rFonts w:hint="default" w:ascii="Times New Roman" w:hAnsi="Times New Roman" w:eastAsia="宋体" w:cs="Times New Roman"/>
                <w:highlight w:val="none"/>
              </w:rPr>
              <w:t>机加生产线DA0</w:t>
            </w:r>
            <w:r>
              <w:rPr>
                <w:rFonts w:hint="eastAsia" w:ascii="Times New Roman" w:hAnsi="Times New Roman" w:eastAsia="宋体" w:cs="Times New Roman"/>
                <w:highlight w:val="none"/>
                <w:lang w:val="en-US" w:eastAsia="zh-CN"/>
              </w:rPr>
              <w:t>65</w:t>
            </w:r>
            <w:r>
              <w:rPr>
                <w:rFonts w:hint="default" w:ascii="Times New Roman" w:hAnsi="Times New Roman" w:eastAsia="宋体" w:cs="Times New Roman"/>
                <w:highlight w:val="none"/>
              </w:rPr>
              <w:t>排气筒</w:t>
            </w:r>
          </w:p>
        </w:tc>
        <w:tc>
          <w:tcPr>
            <w:tcW w:w="1276" w:type="dxa"/>
            <w:vAlign w:val="center"/>
          </w:tcPr>
          <w:p w14:paraId="4EA22000">
            <w:pPr>
              <w:pStyle w:val="8"/>
              <w:suppressLineNumbers w:val="0"/>
              <w:bidi w:val="0"/>
              <w:spacing w:before="0" w:beforeAutospacing="0" w:after="0" w:afterAutospacing="0"/>
              <w:ind w:left="0" w:right="0"/>
              <w:rPr>
                <w:rFonts w:hint="eastAsia" w:ascii="Times New Roman" w:hAnsi="Times New Roman" w:eastAsia="宋体" w:cs="Times New Roman"/>
                <w:highlight w:val="none"/>
                <w:lang w:val="en-US" w:eastAsia="zh-CN"/>
              </w:rPr>
            </w:pPr>
            <w:r>
              <w:rPr>
                <w:rFonts w:hint="default" w:ascii="Times New Roman" w:hAnsi="Times New Roman" w:eastAsia="宋体" w:cs="Times New Roman"/>
                <w:highlight w:val="none"/>
              </w:rPr>
              <w:t>非甲烷总烃</w:t>
            </w:r>
          </w:p>
        </w:tc>
        <w:tc>
          <w:tcPr>
            <w:tcW w:w="1738" w:type="dxa"/>
            <w:vAlign w:val="center"/>
          </w:tcPr>
          <w:p w14:paraId="43CA3543">
            <w:pPr>
              <w:pStyle w:val="8"/>
              <w:suppressLineNumbers w:val="0"/>
              <w:bidi w:val="0"/>
              <w:spacing w:before="0" w:beforeAutospacing="0" w:after="0" w:afterAutospacing="0"/>
              <w:ind w:left="0" w:right="0"/>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rPr>
              <w:t>169</w:t>
            </w:r>
          </w:p>
        </w:tc>
        <w:tc>
          <w:tcPr>
            <w:tcW w:w="2076" w:type="dxa"/>
            <w:vAlign w:val="center"/>
          </w:tcPr>
          <w:p w14:paraId="741549EF">
            <w:pPr>
              <w:pStyle w:val="8"/>
              <w:suppressLineNumbers w:val="0"/>
              <w:bidi w:val="0"/>
              <w:spacing w:before="0" w:beforeAutospacing="0" w:after="0" w:afterAutospacing="0"/>
              <w:ind w:left="0" w:right="0"/>
              <w:rPr>
                <w:rFonts w:hint="eastAsia" w:ascii="Times New Roman" w:hAnsi="Times New Roman" w:eastAsia="宋体" w:cs="Times New Roman"/>
                <w:highlight w:val="none"/>
                <w:lang w:eastAsia="zh-CN"/>
              </w:rPr>
            </w:pPr>
            <w:r>
              <w:rPr>
                <w:rFonts w:hint="eastAsia" w:ascii="Times New Roman" w:hAnsi="Times New Roman" w:eastAsia="宋体" w:cs="Times New Roman"/>
                <w:highlight w:val="none"/>
              </w:rPr>
              <w:t>0.005</w:t>
            </w:r>
          </w:p>
        </w:tc>
        <w:tc>
          <w:tcPr>
            <w:tcW w:w="1626" w:type="dxa"/>
            <w:vAlign w:val="center"/>
          </w:tcPr>
          <w:p w14:paraId="4519D507">
            <w:pPr>
              <w:pStyle w:val="8"/>
              <w:suppressLineNumbers w:val="0"/>
              <w:bidi w:val="0"/>
              <w:spacing w:before="0" w:beforeAutospacing="0" w:after="0" w:afterAutospacing="0"/>
              <w:ind w:left="0" w:right="0"/>
              <w:rPr>
                <w:rFonts w:hint="eastAsia" w:ascii="Times New Roman" w:hAnsi="Times New Roman" w:eastAsia="宋体" w:cs="Times New Roman"/>
                <w:highlight w:val="none"/>
                <w:lang w:val="en-US" w:eastAsia="zh-CN"/>
              </w:rPr>
            </w:pPr>
            <w:r>
              <w:rPr>
                <w:rFonts w:hint="default" w:ascii="Times New Roman" w:hAnsi="Times New Roman" w:eastAsia="宋体" w:cs="Times New Roman"/>
                <w:highlight w:val="none"/>
              </w:rPr>
              <w:t>0.01</w:t>
            </w:r>
          </w:p>
        </w:tc>
      </w:tr>
      <w:tr w14:paraId="209349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797" w:type="dxa"/>
            <w:vAlign w:val="center"/>
          </w:tcPr>
          <w:p w14:paraId="1D244906">
            <w:pPr>
              <w:pStyle w:val="8"/>
              <w:suppressLineNumbers w:val="0"/>
              <w:bidi w:val="0"/>
              <w:spacing w:before="0" w:beforeAutospacing="0" w:after="0" w:afterAutospacing="0"/>
              <w:ind w:left="0" w:right="0"/>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3</w:t>
            </w:r>
          </w:p>
        </w:tc>
        <w:tc>
          <w:tcPr>
            <w:tcW w:w="1583" w:type="dxa"/>
            <w:vAlign w:val="center"/>
          </w:tcPr>
          <w:p w14:paraId="2A6DE919">
            <w:pPr>
              <w:pStyle w:val="8"/>
              <w:suppressLineNumbers w:val="0"/>
              <w:bidi w:val="0"/>
              <w:spacing w:before="0" w:beforeAutospacing="0" w:after="0" w:afterAutospacing="0"/>
              <w:ind w:left="0" w:right="0"/>
              <w:rPr>
                <w:rFonts w:hint="default" w:ascii="Times New Roman" w:hAnsi="Times New Roman" w:eastAsia="宋体" w:cs="Times New Roman"/>
                <w:highlight w:val="none"/>
              </w:rPr>
            </w:pPr>
            <w:r>
              <w:rPr>
                <w:rFonts w:hint="default" w:ascii="Times New Roman" w:hAnsi="Times New Roman" w:eastAsia="宋体" w:cs="Times New Roman"/>
                <w:highlight w:val="none"/>
              </w:rPr>
              <w:t>机加生产线DA0</w:t>
            </w:r>
            <w:r>
              <w:rPr>
                <w:rFonts w:hint="eastAsia" w:ascii="Times New Roman" w:hAnsi="Times New Roman" w:eastAsia="宋体" w:cs="Times New Roman"/>
                <w:highlight w:val="none"/>
                <w:lang w:val="en-US" w:eastAsia="zh-CN"/>
              </w:rPr>
              <w:t>66</w:t>
            </w:r>
            <w:r>
              <w:rPr>
                <w:rFonts w:hint="default" w:ascii="Times New Roman" w:hAnsi="Times New Roman" w:eastAsia="宋体" w:cs="Times New Roman"/>
                <w:highlight w:val="none"/>
              </w:rPr>
              <w:t>排气筒</w:t>
            </w:r>
          </w:p>
        </w:tc>
        <w:tc>
          <w:tcPr>
            <w:tcW w:w="1276" w:type="dxa"/>
            <w:vAlign w:val="center"/>
          </w:tcPr>
          <w:p w14:paraId="281C9A6A">
            <w:pPr>
              <w:pStyle w:val="8"/>
              <w:suppressLineNumbers w:val="0"/>
              <w:bidi w:val="0"/>
              <w:spacing w:before="0" w:beforeAutospacing="0" w:after="0" w:afterAutospacing="0"/>
              <w:ind w:left="0" w:right="0"/>
              <w:rPr>
                <w:rFonts w:hint="eastAsia" w:ascii="Times New Roman" w:hAnsi="Times New Roman" w:eastAsia="宋体" w:cs="Times New Roman"/>
                <w:highlight w:val="none"/>
                <w:lang w:val="en-US" w:eastAsia="zh-CN"/>
              </w:rPr>
            </w:pPr>
            <w:r>
              <w:rPr>
                <w:rFonts w:hint="default" w:ascii="Times New Roman" w:hAnsi="Times New Roman" w:eastAsia="宋体" w:cs="Times New Roman"/>
                <w:highlight w:val="none"/>
              </w:rPr>
              <w:t>非甲烷总烃</w:t>
            </w:r>
          </w:p>
        </w:tc>
        <w:tc>
          <w:tcPr>
            <w:tcW w:w="1738" w:type="dxa"/>
            <w:vAlign w:val="center"/>
          </w:tcPr>
          <w:p w14:paraId="2FBE1C1D">
            <w:pPr>
              <w:pStyle w:val="8"/>
              <w:suppressLineNumbers w:val="0"/>
              <w:bidi w:val="0"/>
              <w:spacing w:before="0" w:beforeAutospacing="0" w:after="0" w:afterAutospacing="0"/>
              <w:ind w:left="0" w:right="0"/>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rPr>
              <w:t>169</w:t>
            </w:r>
          </w:p>
        </w:tc>
        <w:tc>
          <w:tcPr>
            <w:tcW w:w="2076" w:type="dxa"/>
            <w:vAlign w:val="center"/>
          </w:tcPr>
          <w:p w14:paraId="1CC9F4A2">
            <w:pPr>
              <w:pStyle w:val="8"/>
              <w:suppressLineNumbers w:val="0"/>
              <w:bidi w:val="0"/>
              <w:spacing w:before="0" w:beforeAutospacing="0" w:after="0" w:afterAutospacing="0"/>
              <w:ind w:left="0" w:right="0"/>
              <w:rPr>
                <w:rFonts w:hint="eastAsia" w:ascii="Times New Roman" w:hAnsi="Times New Roman" w:eastAsia="宋体" w:cs="Times New Roman"/>
                <w:highlight w:val="none"/>
                <w:lang w:eastAsia="zh-CN"/>
              </w:rPr>
            </w:pPr>
            <w:r>
              <w:rPr>
                <w:rFonts w:hint="eastAsia" w:ascii="Times New Roman" w:hAnsi="Times New Roman" w:eastAsia="宋体" w:cs="Times New Roman"/>
                <w:highlight w:val="none"/>
              </w:rPr>
              <w:t>0.005</w:t>
            </w:r>
          </w:p>
        </w:tc>
        <w:tc>
          <w:tcPr>
            <w:tcW w:w="1626" w:type="dxa"/>
            <w:vAlign w:val="center"/>
          </w:tcPr>
          <w:p w14:paraId="49FE0DF2">
            <w:pPr>
              <w:pStyle w:val="8"/>
              <w:suppressLineNumbers w:val="0"/>
              <w:bidi w:val="0"/>
              <w:spacing w:before="0" w:beforeAutospacing="0" w:after="0" w:afterAutospacing="0"/>
              <w:ind w:left="0" w:right="0"/>
              <w:rPr>
                <w:rFonts w:hint="eastAsia" w:ascii="Times New Roman" w:hAnsi="Times New Roman" w:eastAsia="宋体" w:cs="Times New Roman"/>
                <w:highlight w:val="none"/>
                <w:lang w:val="en-US" w:eastAsia="zh-CN"/>
              </w:rPr>
            </w:pPr>
            <w:r>
              <w:rPr>
                <w:rFonts w:hint="default" w:ascii="Times New Roman" w:hAnsi="Times New Roman" w:eastAsia="宋体" w:cs="Times New Roman"/>
                <w:highlight w:val="none"/>
              </w:rPr>
              <w:t>0.01</w:t>
            </w:r>
          </w:p>
        </w:tc>
      </w:tr>
      <w:tr w14:paraId="15662C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797" w:type="dxa"/>
            <w:vMerge w:val="restart"/>
            <w:vAlign w:val="center"/>
          </w:tcPr>
          <w:p w14:paraId="50E87660">
            <w:pPr>
              <w:pStyle w:val="8"/>
              <w:suppressLineNumbers w:val="0"/>
              <w:bidi w:val="0"/>
              <w:spacing w:before="0" w:beforeAutospacing="0" w:after="0" w:afterAutospacing="0"/>
              <w:ind w:left="0" w:right="0"/>
              <w:rPr>
                <w:rFonts w:hint="eastAsia" w:eastAsia="宋体"/>
                <w:highlight w:val="none"/>
                <w:lang w:val="en-US" w:eastAsia="zh-CN"/>
              </w:rPr>
            </w:pPr>
            <w:r>
              <w:rPr>
                <w:rFonts w:hint="eastAsia"/>
                <w:highlight w:val="none"/>
                <w:lang w:val="en-US" w:eastAsia="zh-CN"/>
              </w:rPr>
              <w:t>4</w:t>
            </w:r>
          </w:p>
        </w:tc>
        <w:tc>
          <w:tcPr>
            <w:tcW w:w="1583" w:type="dxa"/>
            <w:vMerge w:val="restart"/>
            <w:vAlign w:val="center"/>
          </w:tcPr>
          <w:p w14:paraId="6FA3300D">
            <w:pPr>
              <w:pStyle w:val="8"/>
              <w:suppressLineNumbers w:val="0"/>
              <w:bidi w:val="0"/>
              <w:spacing w:before="0" w:beforeAutospacing="0" w:after="0" w:afterAutospacing="0"/>
              <w:ind w:left="0" w:right="0"/>
              <w:rPr>
                <w:rFonts w:hint="default" w:eastAsia="宋体"/>
                <w:highlight w:val="none"/>
                <w:lang w:val="en-US" w:eastAsia="zh-CN"/>
              </w:rPr>
            </w:pPr>
            <w:r>
              <w:rPr>
                <w:rFonts w:hint="eastAsia"/>
                <w:highlight w:val="none"/>
                <w:lang w:val="en-US" w:eastAsia="zh-CN"/>
              </w:rPr>
              <w:t>DA067</w:t>
            </w:r>
          </w:p>
        </w:tc>
        <w:tc>
          <w:tcPr>
            <w:tcW w:w="1276" w:type="dxa"/>
            <w:vAlign w:val="center"/>
          </w:tcPr>
          <w:p w14:paraId="46E5EB0C">
            <w:pPr>
              <w:pStyle w:val="8"/>
              <w:suppressLineNumbers w:val="0"/>
              <w:bidi w:val="0"/>
              <w:spacing w:before="0" w:beforeAutospacing="0" w:after="0" w:afterAutospacing="0"/>
              <w:ind w:left="0" w:leftChars="0" w:right="0" w:rightChars="0" w:firstLine="0" w:firstLineChars="0"/>
              <w:rPr>
                <w:rFonts w:hint="eastAsia"/>
                <w:highlight w:val="none"/>
                <w:lang w:val="en-US" w:eastAsia="zh-CN"/>
              </w:rPr>
            </w:pPr>
            <w:r>
              <w:rPr>
                <w:rFonts w:hint="default" w:ascii="Times New Roman" w:hAnsi="Times New Roman" w:eastAsia="宋体" w:cs="Times New Roman"/>
                <w:highlight w:val="none"/>
              </w:rPr>
              <w:t>颗粒物</w:t>
            </w:r>
          </w:p>
        </w:tc>
        <w:tc>
          <w:tcPr>
            <w:tcW w:w="1738" w:type="dxa"/>
            <w:vAlign w:val="center"/>
          </w:tcPr>
          <w:p w14:paraId="3308BDA4">
            <w:pPr>
              <w:pStyle w:val="8"/>
              <w:suppressLineNumbers w:val="0"/>
              <w:bidi w:val="0"/>
              <w:spacing w:before="0" w:beforeAutospacing="0" w:after="0" w:afterAutospacing="0"/>
              <w:ind w:left="0" w:leftChars="0" w:right="0" w:rightChars="0" w:firstLine="0" w:firstLineChars="0"/>
              <w:rPr>
                <w:rFonts w:hint="eastAsia"/>
                <w:highlight w:val="none"/>
                <w:lang w:val="en-US" w:eastAsia="zh-CN"/>
              </w:rPr>
            </w:pPr>
            <w:r>
              <w:rPr>
                <w:rFonts w:hint="eastAsia" w:ascii="Times New Roman" w:hAnsi="Times New Roman" w:eastAsia="宋体" w:cs="Times New Roman"/>
                <w:highlight w:val="none"/>
              </w:rPr>
              <w:t>1243</w:t>
            </w:r>
          </w:p>
        </w:tc>
        <w:tc>
          <w:tcPr>
            <w:tcW w:w="2076" w:type="dxa"/>
            <w:vAlign w:val="center"/>
          </w:tcPr>
          <w:p w14:paraId="240B7E85">
            <w:pPr>
              <w:pStyle w:val="8"/>
              <w:suppressLineNumbers w:val="0"/>
              <w:bidi w:val="0"/>
              <w:spacing w:before="0" w:beforeAutospacing="0" w:after="0" w:afterAutospacing="0"/>
              <w:ind w:left="0" w:leftChars="0" w:right="0" w:rightChars="0" w:firstLine="0" w:firstLineChars="0"/>
              <w:rPr>
                <w:rFonts w:hint="eastAsia"/>
                <w:highlight w:val="none"/>
                <w:lang w:eastAsia="zh-CN"/>
              </w:rPr>
            </w:pPr>
            <w:r>
              <w:rPr>
                <w:rFonts w:hint="eastAsia" w:ascii="Times New Roman" w:hAnsi="Times New Roman" w:eastAsia="宋体" w:cs="Times New Roman"/>
                <w:highlight w:val="none"/>
              </w:rPr>
              <w:t>0.053</w:t>
            </w:r>
          </w:p>
        </w:tc>
        <w:tc>
          <w:tcPr>
            <w:tcW w:w="1626" w:type="dxa"/>
            <w:vAlign w:val="center"/>
          </w:tcPr>
          <w:p w14:paraId="15BD2F75">
            <w:pPr>
              <w:pStyle w:val="8"/>
              <w:suppressLineNumbers w:val="0"/>
              <w:bidi w:val="0"/>
              <w:spacing w:before="0" w:beforeAutospacing="0" w:after="0" w:afterAutospacing="0"/>
              <w:ind w:left="0" w:leftChars="0" w:right="0" w:rightChars="0" w:firstLine="0" w:firstLineChars="0"/>
              <w:rPr>
                <w:rFonts w:hint="eastAsia"/>
                <w:highlight w:val="none"/>
                <w:lang w:val="en-US" w:eastAsia="zh-CN"/>
              </w:rPr>
            </w:pPr>
            <w:r>
              <w:rPr>
                <w:rFonts w:hint="eastAsia" w:ascii="Times New Roman" w:hAnsi="Times New Roman" w:eastAsia="宋体" w:cs="Times New Roman"/>
                <w:highlight w:val="none"/>
              </w:rPr>
              <w:t>0.14</w:t>
            </w:r>
          </w:p>
        </w:tc>
      </w:tr>
      <w:tr w14:paraId="2FE001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797" w:type="dxa"/>
            <w:vMerge w:val="continue"/>
            <w:vAlign w:val="center"/>
          </w:tcPr>
          <w:p w14:paraId="5251C5E8">
            <w:pPr>
              <w:pStyle w:val="8"/>
              <w:suppressLineNumbers w:val="0"/>
              <w:bidi w:val="0"/>
              <w:spacing w:before="0" w:beforeAutospacing="0" w:after="0" w:afterAutospacing="0"/>
              <w:ind w:left="0" w:right="0"/>
              <w:rPr>
                <w:rFonts w:hint="default"/>
                <w:highlight w:val="none"/>
              </w:rPr>
            </w:pPr>
          </w:p>
        </w:tc>
        <w:tc>
          <w:tcPr>
            <w:tcW w:w="1583" w:type="dxa"/>
            <w:vMerge w:val="continue"/>
            <w:vAlign w:val="center"/>
          </w:tcPr>
          <w:p w14:paraId="08F78D83">
            <w:pPr>
              <w:pStyle w:val="8"/>
              <w:suppressLineNumbers w:val="0"/>
              <w:bidi w:val="0"/>
              <w:spacing w:before="0" w:beforeAutospacing="0" w:after="0" w:afterAutospacing="0"/>
              <w:ind w:left="0" w:right="0"/>
              <w:rPr>
                <w:rFonts w:hint="default"/>
                <w:highlight w:val="none"/>
              </w:rPr>
            </w:pPr>
          </w:p>
        </w:tc>
        <w:tc>
          <w:tcPr>
            <w:tcW w:w="1276" w:type="dxa"/>
            <w:vAlign w:val="center"/>
          </w:tcPr>
          <w:p w14:paraId="6EA9DF54">
            <w:pPr>
              <w:pStyle w:val="8"/>
              <w:suppressLineNumbers w:val="0"/>
              <w:bidi w:val="0"/>
              <w:spacing w:before="0" w:beforeAutospacing="0" w:after="0" w:afterAutospacing="0"/>
              <w:ind w:left="0" w:leftChars="0" w:right="0" w:rightChars="0" w:firstLine="0" w:firstLineChars="0"/>
              <w:rPr>
                <w:rFonts w:hint="eastAsia"/>
                <w:highlight w:val="none"/>
                <w:lang w:val="en-US" w:eastAsia="zh-CN"/>
              </w:rPr>
            </w:pPr>
            <w:r>
              <w:rPr>
                <w:rFonts w:hint="default" w:ascii="Times New Roman" w:hAnsi="Times New Roman" w:eastAsia="宋体" w:cs="Times New Roman"/>
                <w:highlight w:val="none"/>
              </w:rPr>
              <w:t>非甲烷总烃</w:t>
            </w:r>
          </w:p>
        </w:tc>
        <w:tc>
          <w:tcPr>
            <w:tcW w:w="1738" w:type="dxa"/>
            <w:vAlign w:val="center"/>
          </w:tcPr>
          <w:p w14:paraId="73761DDB">
            <w:pPr>
              <w:pStyle w:val="8"/>
              <w:suppressLineNumbers w:val="0"/>
              <w:bidi w:val="0"/>
              <w:spacing w:before="0" w:beforeAutospacing="0" w:after="0" w:afterAutospacing="0"/>
              <w:ind w:left="0" w:leftChars="0" w:right="0" w:rightChars="0" w:firstLine="0" w:firstLineChars="0"/>
              <w:rPr>
                <w:rFonts w:hint="eastAsia"/>
                <w:highlight w:val="none"/>
                <w:lang w:val="en-US" w:eastAsia="zh-CN"/>
              </w:rPr>
            </w:pPr>
            <w:r>
              <w:rPr>
                <w:rFonts w:hint="eastAsia"/>
                <w:highlight w:val="none"/>
                <w:lang w:val="en-US" w:eastAsia="zh-CN"/>
              </w:rPr>
              <w:t>0.95</w:t>
            </w:r>
          </w:p>
        </w:tc>
        <w:tc>
          <w:tcPr>
            <w:tcW w:w="2076" w:type="dxa"/>
            <w:vAlign w:val="center"/>
          </w:tcPr>
          <w:p w14:paraId="0CDEF8F5">
            <w:pPr>
              <w:pStyle w:val="8"/>
              <w:suppressLineNumbers w:val="0"/>
              <w:bidi w:val="0"/>
              <w:spacing w:before="0" w:beforeAutospacing="0" w:after="0" w:afterAutospacing="0"/>
              <w:ind w:left="0" w:leftChars="0" w:right="0" w:rightChars="0" w:firstLine="0" w:firstLineChars="0"/>
              <w:rPr>
                <w:rFonts w:hint="eastAsia"/>
                <w:highlight w:val="none"/>
                <w:lang w:eastAsia="zh-CN"/>
              </w:rPr>
            </w:pPr>
            <w:r>
              <w:rPr>
                <w:rFonts w:hint="eastAsia"/>
                <w:highlight w:val="none"/>
                <w:lang w:eastAsia="zh-CN"/>
              </w:rPr>
              <w:t>0.</w:t>
            </w:r>
            <w:r>
              <w:rPr>
                <w:rFonts w:hint="eastAsia"/>
                <w:highlight w:val="none"/>
                <w:lang w:val="en-US" w:eastAsia="zh-CN"/>
              </w:rPr>
              <w:t>13</w:t>
            </w:r>
          </w:p>
        </w:tc>
        <w:tc>
          <w:tcPr>
            <w:tcW w:w="1626" w:type="dxa"/>
            <w:vAlign w:val="center"/>
          </w:tcPr>
          <w:p w14:paraId="15B419D3">
            <w:pPr>
              <w:pStyle w:val="8"/>
              <w:suppressLineNumbers w:val="0"/>
              <w:bidi w:val="0"/>
              <w:spacing w:before="0" w:beforeAutospacing="0" w:after="0" w:afterAutospacing="0"/>
              <w:ind w:left="0" w:leftChars="0" w:right="0" w:rightChars="0" w:firstLine="0" w:firstLineChars="0"/>
              <w:rPr>
                <w:rFonts w:hint="eastAsia"/>
                <w:highlight w:val="none"/>
                <w:lang w:val="en-US" w:eastAsia="zh-CN"/>
              </w:rPr>
            </w:pPr>
            <w:r>
              <w:rPr>
                <w:rFonts w:hint="eastAsia"/>
                <w:highlight w:val="none"/>
                <w:lang w:val="en-US" w:eastAsia="zh-CN"/>
              </w:rPr>
              <w:t>0.337</w:t>
            </w:r>
          </w:p>
        </w:tc>
      </w:tr>
      <w:tr w14:paraId="45C017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2380" w:type="dxa"/>
            <w:gridSpan w:val="2"/>
            <w:vMerge w:val="restart"/>
            <w:vAlign w:val="center"/>
          </w:tcPr>
          <w:p w14:paraId="34D8F665">
            <w:pPr>
              <w:pStyle w:val="8"/>
              <w:suppressLineNumbers w:val="0"/>
              <w:bidi w:val="0"/>
              <w:spacing w:before="0" w:beforeAutospacing="0" w:after="0" w:afterAutospacing="0"/>
              <w:ind w:left="0" w:right="0"/>
              <w:rPr>
                <w:rFonts w:hint="default"/>
                <w:highlight w:val="none"/>
              </w:rPr>
            </w:pPr>
            <w:r>
              <w:rPr>
                <w:rFonts w:hint="default"/>
                <w:highlight w:val="none"/>
              </w:rPr>
              <w:t>有组织排放总计</w:t>
            </w:r>
          </w:p>
        </w:tc>
        <w:tc>
          <w:tcPr>
            <w:tcW w:w="5090" w:type="dxa"/>
            <w:gridSpan w:val="3"/>
            <w:vAlign w:val="center"/>
          </w:tcPr>
          <w:p w14:paraId="0EACA2F8">
            <w:pPr>
              <w:pStyle w:val="8"/>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非甲烷总烃</w:t>
            </w:r>
          </w:p>
        </w:tc>
        <w:tc>
          <w:tcPr>
            <w:tcW w:w="1626" w:type="dxa"/>
            <w:vAlign w:val="center"/>
          </w:tcPr>
          <w:p w14:paraId="73D12F40">
            <w:pPr>
              <w:pStyle w:val="8"/>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0.475</w:t>
            </w:r>
          </w:p>
        </w:tc>
      </w:tr>
      <w:tr w14:paraId="1EFB29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2380" w:type="dxa"/>
            <w:gridSpan w:val="2"/>
            <w:vMerge w:val="continue"/>
            <w:vAlign w:val="center"/>
          </w:tcPr>
          <w:p w14:paraId="417D46BF">
            <w:pPr>
              <w:pStyle w:val="8"/>
              <w:suppressLineNumbers w:val="0"/>
              <w:bidi w:val="0"/>
              <w:spacing w:before="0" w:beforeAutospacing="0" w:after="0" w:afterAutospacing="0"/>
              <w:ind w:left="0" w:right="0"/>
              <w:rPr>
                <w:rFonts w:hint="default"/>
                <w:highlight w:val="none"/>
              </w:rPr>
            </w:pPr>
          </w:p>
        </w:tc>
        <w:tc>
          <w:tcPr>
            <w:tcW w:w="5090" w:type="dxa"/>
            <w:gridSpan w:val="3"/>
            <w:vAlign w:val="center"/>
          </w:tcPr>
          <w:p w14:paraId="165F3E75">
            <w:pPr>
              <w:pStyle w:val="8"/>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氮氧化物</w:t>
            </w:r>
          </w:p>
        </w:tc>
        <w:tc>
          <w:tcPr>
            <w:tcW w:w="1626" w:type="dxa"/>
            <w:vAlign w:val="center"/>
          </w:tcPr>
          <w:p w14:paraId="4BD6FDCF">
            <w:pPr>
              <w:pStyle w:val="8"/>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1.772</w:t>
            </w:r>
          </w:p>
        </w:tc>
      </w:tr>
      <w:tr w14:paraId="200107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2380" w:type="dxa"/>
            <w:gridSpan w:val="2"/>
            <w:vMerge w:val="continue"/>
            <w:vAlign w:val="center"/>
          </w:tcPr>
          <w:p w14:paraId="211DCA75">
            <w:pPr>
              <w:pStyle w:val="8"/>
              <w:suppressLineNumbers w:val="0"/>
              <w:bidi w:val="0"/>
              <w:spacing w:before="0" w:beforeAutospacing="0" w:after="0" w:afterAutospacing="0"/>
              <w:ind w:left="0" w:right="0"/>
              <w:rPr>
                <w:rFonts w:hint="default"/>
                <w:highlight w:val="none"/>
              </w:rPr>
            </w:pPr>
          </w:p>
        </w:tc>
        <w:tc>
          <w:tcPr>
            <w:tcW w:w="5090" w:type="dxa"/>
            <w:gridSpan w:val="3"/>
            <w:vAlign w:val="center"/>
          </w:tcPr>
          <w:p w14:paraId="142969F9">
            <w:pPr>
              <w:pStyle w:val="8"/>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一氧化碳</w:t>
            </w:r>
          </w:p>
        </w:tc>
        <w:tc>
          <w:tcPr>
            <w:tcW w:w="1626" w:type="dxa"/>
            <w:vAlign w:val="center"/>
          </w:tcPr>
          <w:p w14:paraId="1E39B82F">
            <w:pPr>
              <w:pStyle w:val="8"/>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3.108</w:t>
            </w:r>
          </w:p>
        </w:tc>
      </w:tr>
      <w:tr w14:paraId="42586A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4" w:hRule="atLeast"/>
          <w:jc w:val="center"/>
        </w:trPr>
        <w:tc>
          <w:tcPr>
            <w:tcW w:w="2380" w:type="dxa"/>
            <w:gridSpan w:val="2"/>
            <w:vMerge w:val="continue"/>
            <w:vAlign w:val="center"/>
          </w:tcPr>
          <w:p w14:paraId="3A223A1C">
            <w:pPr>
              <w:pStyle w:val="8"/>
              <w:suppressLineNumbers w:val="0"/>
              <w:bidi w:val="0"/>
              <w:spacing w:before="0" w:beforeAutospacing="0" w:after="0" w:afterAutospacing="0"/>
              <w:ind w:left="0" w:right="0"/>
              <w:rPr>
                <w:rFonts w:hint="default"/>
                <w:highlight w:val="none"/>
              </w:rPr>
            </w:pPr>
          </w:p>
        </w:tc>
        <w:tc>
          <w:tcPr>
            <w:tcW w:w="5090" w:type="dxa"/>
            <w:gridSpan w:val="3"/>
            <w:vAlign w:val="center"/>
          </w:tcPr>
          <w:p w14:paraId="49D52A7F">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颗粒物</w:t>
            </w:r>
          </w:p>
        </w:tc>
        <w:tc>
          <w:tcPr>
            <w:tcW w:w="1626" w:type="dxa"/>
            <w:vAlign w:val="center"/>
          </w:tcPr>
          <w:p w14:paraId="262C4469">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0.14</w:t>
            </w:r>
          </w:p>
        </w:tc>
      </w:tr>
    </w:tbl>
    <w:p w14:paraId="7E8F29D0">
      <w:pPr>
        <w:pStyle w:val="7"/>
        <w:bidi w:val="0"/>
        <w:rPr>
          <w:highlight w:val="none"/>
        </w:rPr>
      </w:pPr>
      <w:r>
        <w:rPr>
          <w:highlight w:val="none"/>
        </w:rPr>
        <w:t>表5-2-</w:t>
      </w:r>
      <w:r>
        <w:rPr>
          <w:rFonts w:hint="eastAsia"/>
          <w:highlight w:val="none"/>
          <w:lang w:val="en-US" w:eastAsia="zh-CN"/>
        </w:rPr>
        <w:t>8</w:t>
      </w:r>
      <w:r>
        <w:rPr>
          <w:highlight w:val="none"/>
        </w:rPr>
        <w:t>大气污染物无组织排放量核算表</w:t>
      </w:r>
    </w:p>
    <w:tbl>
      <w:tblPr>
        <w:tblStyle w:val="45"/>
        <w:tblW w:w="9154"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423"/>
        <w:gridCol w:w="851"/>
        <w:gridCol w:w="727"/>
        <w:gridCol w:w="1436"/>
        <w:gridCol w:w="1264"/>
        <w:gridCol w:w="1534"/>
        <w:gridCol w:w="1627"/>
        <w:gridCol w:w="1292"/>
      </w:tblGrid>
      <w:tr w14:paraId="1CDFFF3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 w:hRule="atLeast"/>
          <w:jc w:val="center"/>
        </w:trPr>
        <w:tc>
          <w:tcPr>
            <w:tcW w:w="423" w:type="dxa"/>
            <w:vMerge w:val="restart"/>
            <w:tcBorders>
              <w:tl2br w:val="nil"/>
              <w:tr2bl w:val="nil"/>
            </w:tcBorders>
            <w:vAlign w:val="center"/>
          </w:tcPr>
          <w:p w14:paraId="485EAFF3">
            <w:pPr>
              <w:pStyle w:val="8"/>
              <w:suppressLineNumbers w:val="0"/>
              <w:bidi w:val="0"/>
              <w:spacing w:before="0" w:beforeAutospacing="0" w:after="0" w:afterAutospacing="0"/>
              <w:ind w:left="0" w:right="0"/>
              <w:rPr>
                <w:rFonts w:hint="default"/>
                <w:highlight w:val="none"/>
              </w:rPr>
            </w:pPr>
            <w:r>
              <w:rPr>
                <w:rFonts w:hint="default"/>
                <w:highlight w:val="none"/>
              </w:rPr>
              <w:t>序号</w:t>
            </w:r>
          </w:p>
        </w:tc>
        <w:tc>
          <w:tcPr>
            <w:tcW w:w="851" w:type="dxa"/>
            <w:vMerge w:val="restart"/>
            <w:tcBorders>
              <w:tl2br w:val="nil"/>
              <w:tr2bl w:val="nil"/>
            </w:tcBorders>
            <w:vAlign w:val="center"/>
          </w:tcPr>
          <w:p w14:paraId="1804D9DC">
            <w:pPr>
              <w:pStyle w:val="8"/>
              <w:suppressLineNumbers w:val="0"/>
              <w:bidi w:val="0"/>
              <w:spacing w:before="0" w:beforeAutospacing="0" w:after="0" w:afterAutospacing="0"/>
              <w:ind w:left="0" w:right="0"/>
              <w:rPr>
                <w:rFonts w:hint="default"/>
                <w:highlight w:val="none"/>
              </w:rPr>
            </w:pPr>
            <w:r>
              <w:rPr>
                <w:rFonts w:hint="default"/>
                <w:highlight w:val="none"/>
              </w:rPr>
              <w:t>排放口编号</w:t>
            </w:r>
          </w:p>
        </w:tc>
        <w:tc>
          <w:tcPr>
            <w:tcW w:w="727" w:type="dxa"/>
            <w:vMerge w:val="restart"/>
            <w:tcBorders>
              <w:tl2br w:val="nil"/>
              <w:tr2bl w:val="nil"/>
            </w:tcBorders>
            <w:vAlign w:val="center"/>
          </w:tcPr>
          <w:p w14:paraId="00C40FE9">
            <w:pPr>
              <w:pStyle w:val="8"/>
              <w:suppressLineNumbers w:val="0"/>
              <w:bidi w:val="0"/>
              <w:spacing w:before="0" w:beforeAutospacing="0" w:after="0" w:afterAutospacing="0"/>
              <w:ind w:left="0" w:right="0"/>
              <w:rPr>
                <w:rFonts w:hint="default"/>
                <w:highlight w:val="none"/>
              </w:rPr>
            </w:pPr>
            <w:r>
              <w:rPr>
                <w:rFonts w:hint="default"/>
                <w:highlight w:val="none"/>
              </w:rPr>
              <w:t>产污环节</w:t>
            </w:r>
          </w:p>
        </w:tc>
        <w:tc>
          <w:tcPr>
            <w:tcW w:w="1436" w:type="dxa"/>
            <w:vMerge w:val="restart"/>
            <w:tcBorders>
              <w:tl2br w:val="nil"/>
              <w:tr2bl w:val="nil"/>
            </w:tcBorders>
            <w:vAlign w:val="center"/>
          </w:tcPr>
          <w:p w14:paraId="5F62BDB0">
            <w:pPr>
              <w:pStyle w:val="8"/>
              <w:suppressLineNumbers w:val="0"/>
              <w:bidi w:val="0"/>
              <w:spacing w:before="0" w:beforeAutospacing="0" w:after="0" w:afterAutospacing="0"/>
              <w:ind w:left="0" w:right="0"/>
              <w:rPr>
                <w:rFonts w:hint="default"/>
                <w:highlight w:val="none"/>
              </w:rPr>
            </w:pPr>
            <w:r>
              <w:rPr>
                <w:rFonts w:hint="default"/>
                <w:highlight w:val="none"/>
              </w:rPr>
              <w:t>污染物</w:t>
            </w:r>
          </w:p>
        </w:tc>
        <w:tc>
          <w:tcPr>
            <w:tcW w:w="1264" w:type="dxa"/>
            <w:vMerge w:val="restart"/>
            <w:tcBorders>
              <w:tl2br w:val="nil"/>
              <w:tr2bl w:val="nil"/>
            </w:tcBorders>
            <w:vAlign w:val="center"/>
          </w:tcPr>
          <w:p w14:paraId="1C7E5F18">
            <w:pPr>
              <w:pStyle w:val="8"/>
              <w:suppressLineNumbers w:val="0"/>
              <w:bidi w:val="0"/>
              <w:spacing w:before="0" w:beforeAutospacing="0" w:after="0" w:afterAutospacing="0"/>
              <w:ind w:left="0" w:right="0"/>
              <w:rPr>
                <w:rFonts w:hint="default"/>
                <w:highlight w:val="none"/>
              </w:rPr>
            </w:pPr>
            <w:r>
              <w:rPr>
                <w:rFonts w:hint="default"/>
                <w:highlight w:val="none"/>
              </w:rPr>
              <w:t>主要污染防治措施</w:t>
            </w:r>
          </w:p>
        </w:tc>
        <w:tc>
          <w:tcPr>
            <w:tcW w:w="3161" w:type="dxa"/>
            <w:gridSpan w:val="2"/>
            <w:tcBorders>
              <w:tl2br w:val="nil"/>
              <w:tr2bl w:val="nil"/>
            </w:tcBorders>
            <w:vAlign w:val="center"/>
          </w:tcPr>
          <w:p w14:paraId="037DEB80">
            <w:pPr>
              <w:pStyle w:val="8"/>
              <w:suppressLineNumbers w:val="0"/>
              <w:bidi w:val="0"/>
              <w:spacing w:before="0" w:beforeAutospacing="0" w:after="0" w:afterAutospacing="0"/>
              <w:ind w:left="0" w:right="0"/>
              <w:rPr>
                <w:rFonts w:hint="default"/>
                <w:highlight w:val="none"/>
              </w:rPr>
            </w:pPr>
            <w:r>
              <w:rPr>
                <w:rFonts w:hint="default"/>
                <w:highlight w:val="none"/>
              </w:rPr>
              <w:t>国家污染物排放</w:t>
            </w:r>
            <w:r>
              <w:rPr>
                <w:rFonts w:hint="eastAsia"/>
                <w:highlight w:val="none"/>
                <w:lang w:eastAsia="zh-CN"/>
              </w:rPr>
              <w:t>标准</w:t>
            </w:r>
          </w:p>
        </w:tc>
        <w:tc>
          <w:tcPr>
            <w:tcW w:w="1292" w:type="dxa"/>
            <w:vMerge w:val="restart"/>
            <w:tcBorders>
              <w:tl2br w:val="nil"/>
              <w:tr2bl w:val="nil"/>
            </w:tcBorders>
            <w:vAlign w:val="center"/>
          </w:tcPr>
          <w:p w14:paraId="225A9844">
            <w:pPr>
              <w:pStyle w:val="8"/>
              <w:suppressLineNumbers w:val="0"/>
              <w:bidi w:val="0"/>
              <w:spacing w:before="0" w:beforeAutospacing="0" w:after="0" w:afterAutospacing="0"/>
              <w:ind w:left="0" w:right="0"/>
              <w:rPr>
                <w:rFonts w:hint="default"/>
                <w:highlight w:val="none"/>
              </w:rPr>
            </w:pPr>
            <w:r>
              <w:rPr>
                <w:rFonts w:hint="default"/>
                <w:highlight w:val="none"/>
              </w:rPr>
              <w:t>年排放量/（t/a）</w:t>
            </w:r>
          </w:p>
        </w:tc>
      </w:tr>
      <w:tr w14:paraId="0B3AEFC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 w:hRule="atLeast"/>
          <w:jc w:val="center"/>
        </w:trPr>
        <w:tc>
          <w:tcPr>
            <w:tcW w:w="423" w:type="dxa"/>
            <w:vMerge w:val="continue"/>
            <w:tcBorders>
              <w:tl2br w:val="nil"/>
              <w:tr2bl w:val="nil"/>
            </w:tcBorders>
            <w:vAlign w:val="center"/>
          </w:tcPr>
          <w:p w14:paraId="109ACE9B">
            <w:pPr>
              <w:pStyle w:val="8"/>
              <w:suppressLineNumbers w:val="0"/>
              <w:bidi w:val="0"/>
              <w:spacing w:before="0" w:beforeAutospacing="0" w:after="0" w:afterAutospacing="0"/>
              <w:ind w:left="0" w:right="0"/>
              <w:rPr>
                <w:rFonts w:hint="default"/>
                <w:highlight w:val="none"/>
              </w:rPr>
            </w:pPr>
          </w:p>
        </w:tc>
        <w:tc>
          <w:tcPr>
            <w:tcW w:w="851" w:type="dxa"/>
            <w:vMerge w:val="continue"/>
            <w:tcBorders>
              <w:tl2br w:val="nil"/>
              <w:tr2bl w:val="nil"/>
            </w:tcBorders>
            <w:vAlign w:val="center"/>
          </w:tcPr>
          <w:p w14:paraId="366852D2">
            <w:pPr>
              <w:pStyle w:val="8"/>
              <w:suppressLineNumbers w:val="0"/>
              <w:bidi w:val="0"/>
              <w:spacing w:before="0" w:beforeAutospacing="0" w:after="0" w:afterAutospacing="0"/>
              <w:ind w:left="0" w:right="0"/>
              <w:rPr>
                <w:rFonts w:hint="default"/>
                <w:highlight w:val="none"/>
              </w:rPr>
            </w:pPr>
          </w:p>
        </w:tc>
        <w:tc>
          <w:tcPr>
            <w:tcW w:w="727" w:type="dxa"/>
            <w:vMerge w:val="continue"/>
            <w:tcBorders>
              <w:tl2br w:val="nil"/>
              <w:tr2bl w:val="nil"/>
            </w:tcBorders>
            <w:vAlign w:val="center"/>
          </w:tcPr>
          <w:p w14:paraId="30FBF311">
            <w:pPr>
              <w:pStyle w:val="8"/>
              <w:suppressLineNumbers w:val="0"/>
              <w:bidi w:val="0"/>
              <w:spacing w:before="0" w:beforeAutospacing="0" w:after="0" w:afterAutospacing="0"/>
              <w:ind w:left="0" w:right="0"/>
              <w:rPr>
                <w:rFonts w:hint="default"/>
                <w:highlight w:val="none"/>
              </w:rPr>
            </w:pPr>
          </w:p>
        </w:tc>
        <w:tc>
          <w:tcPr>
            <w:tcW w:w="1436" w:type="dxa"/>
            <w:vMerge w:val="continue"/>
            <w:tcBorders>
              <w:tl2br w:val="nil"/>
              <w:tr2bl w:val="nil"/>
            </w:tcBorders>
            <w:vAlign w:val="center"/>
          </w:tcPr>
          <w:p w14:paraId="07BDD0BB">
            <w:pPr>
              <w:pStyle w:val="8"/>
              <w:suppressLineNumbers w:val="0"/>
              <w:bidi w:val="0"/>
              <w:spacing w:before="0" w:beforeAutospacing="0" w:after="0" w:afterAutospacing="0"/>
              <w:ind w:left="0" w:right="0"/>
              <w:rPr>
                <w:rFonts w:hint="default"/>
                <w:highlight w:val="none"/>
              </w:rPr>
            </w:pPr>
          </w:p>
        </w:tc>
        <w:tc>
          <w:tcPr>
            <w:tcW w:w="1264" w:type="dxa"/>
            <w:vMerge w:val="continue"/>
            <w:tcBorders>
              <w:tl2br w:val="nil"/>
              <w:tr2bl w:val="nil"/>
            </w:tcBorders>
            <w:vAlign w:val="center"/>
          </w:tcPr>
          <w:p w14:paraId="16A572AD">
            <w:pPr>
              <w:pStyle w:val="8"/>
              <w:suppressLineNumbers w:val="0"/>
              <w:bidi w:val="0"/>
              <w:spacing w:before="0" w:beforeAutospacing="0" w:after="0" w:afterAutospacing="0"/>
              <w:ind w:left="0" w:right="0"/>
              <w:rPr>
                <w:rFonts w:hint="default"/>
                <w:highlight w:val="none"/>
              </w:rPr>
            </w:pPr>
          </w:p>
        </w:tc>
        <w:tc>
          <w:tcPr>
            <w:tcW w:w="1534" w:type="dxa"/>
            <w:tcBorders>
              <w:tl2br w:val="nil"/>
              <w:tr2bl w:val="nil"/>
            </w:tcBorders>
            <w:vAlign w:val="center"/>
          </w:tcPr>
          <w:p w14:paraId="3D6E6854">
            <w:pPr>
              <w:pStyle w:val="8"/>
              <w:suppressLineNumbers w:val="0"/>
              <w:bidi w:val="0"/>
              <w:spacing w:before="0" w:beforeAutospacing="0" w:after="0" w:afterAutospacing="0"/>
              <w:ind w:left="0" w:right="0"/>
              <w:rPr>
                <w:rFonts w:hint="default"/>
                <w:highlight w:val="none"/>
              </w:rPr>
            </w:pPr>
            <w:r>
              <w:rPr>
                <w:rFonts w:hint="default"/>
                <w:highlight w:val="none"/>
              </w:rPr>
              <w:t>标准名称</w:t>
            </w:r>
          </w:p>
        </w:tc>
        <w:tc>
          <w:tcPr>
            <w:tcW w:w="1627" w:type="dxa"/>
            <w:tcBorders>
              <w:tl2br w:val="nil"/>
              <w:tr2bl w:val="nil"/>
            </w:tcBorders>
            <w:vAlign w:val="center"/>
          </w:tcPr>
          <w:p w14:paraId="363C0880">
            <w:pPr>
              <w:pStyle w:val="8"/>
              <w:suppressLineNumbers w:val="0"/>
              <w:bidi w:val="0"/>
              <w:spacing w:before="0" w:beforeAutospacing="0" w:after="0" w:afterAutospacing="0"/>
              <w:ind w:left="0" w:right="0"/>
              <w:rPr>
                <w:rFonts w:hint="eastAsia" w:eastAsia="宋体"/>
                <w:highlight w:val="none"/>
                <w:lang w:eastAsia="zh-CN"/>
              </w:rPr>
            </w:pPr>
            <w:r>
              <w:rPr>
                <w:rFonts w:hint="default"/>
                <w:highlight w:val="none"/>
              </w:rPr>
              <w:t>浓度限值/</w:t>
            </w:r>
            <w:r>
              <w:rPr>
                <w:rFonts w:hint="eastAsia"/>
                <w:highlight w:val="none"/>
                <w:lang w:eastAsia="zh-CN"/>
              </w:rPr>
              <w:t>（</w:t>
            </w:r>
            <w:r>
              <w:rPr>
                <w:rFonts w:hint="default"/>
                <w:highlight w:val="none"/>
              </w:rPr>
              <w:t>mg/m</w:t>
            </w:r>
            <w:r>
              <w:rPr>
                <w:rFonts w:hint="default"/>
                <w:highlight w:val="none"/>
                <w:vertAlign w:val="superscript"/>
              </w:rPr>
              <w:t>3</w:t>
            </w:r>
            <w:r>
              <w:rPr>
                <w:rFonts w:hint="eastAsia"/>
                <w:highlight w:val="none"/>
                <w:lang w:eastAsia="zh-CN"/>
              </w:rPr>
              <w:t>）</w:t>
            </w:r>
          </w:p>
        </w:tc>
        <w:tc>
          <w:tcPr>
            <w:tcW w:w="1292" w:type="dxa"/>
            <w:vMerge w:val="continue"/>
            <w:tcBorders>
              <w:tl2br w:val="nil"/>
              <w:tr2bl w:val="nil"/>
            </w:tcBorders>
            <w:vAlign w:val="center"/>
          </w:tcPr>
          <w:p w14:paraId="2709C369">
            <w:pPr>
              <w:pStyle w:val="8"/>
              <w:suppressLineNumbers w:val="0"/>
              <w:bidi w:val="0"/>
              <w:spacing w:before="0" w:beforeAutospacing="0" w:after="0" w:afterAutospacing="0"/>
              <w:ind w:left="0" w:right="0"/>
              <w:rPr>
                <w:rFonts w:hint="default"/>
                <w:highlight w:val="none"/>
              </w:rPr>
            </w:pPr>
          </w:p>
        </w:tc>
      </w:tr>
      <w:tr w14:paraId="0B45135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3" w:hRule="atLeast"/>
          <w:jc w:val="center"/>
        </w:trPr>
        <w:tc>
          <w:tcPr>
            <w:tcW w:w="423" w:type="dxa"/>
            <w:vMerge w:val="restart"/>
            <w:tcBorders>
              <w:tl2br w:val="nil"/>
              <w:tr2bl w:val="nil"/>
            </w:tcBorders>
            <w:vAlign w:val="center"/>
          </w:tcPr>
          <w:p w14:paraId="67E0CC5E">
            <w:pPr>
              <w:pStyle w:val="8"/>
              <w:suppressLineNumbers w:val="0"/>
              <w:bidi w:val="0"/>
              <w:spacing w:before="0" w:beforeAutospacing="0" w:after="0" w:afterAutospacing="0"/>
              <w:ind w:left="0" w:right="0"/>
              <w:rPr>
                <w:rFonts w:hint="default"/>
                <w:highlight w:val="none"/>
              </w:rPr>
            </w:pPr>
            <w:r>
              <w:rPr>
                <w:rFonts w:hint="default"/>
                <w:highlight w:val="none"/>
              </w:rPr>
              <w:t>1</w:t>
            </w:r>
          </w:p>
        </w:tc>
        <w:tc>
          <w:tcPr>
            <w:tcW w:w="851" w:type="dxa"/>
            <w:vMerge w:val="restart"/>
            <w:tcBorders>
              <w:tl2br w:val="nil"/>
              <w:tr2bl w:val="nil"/>
            </w:tcBorders>
            <w:vAlign w:val="center"/>
          </w:tcPr>
          <w:p w14:paraId="7A2A6C4B">
            <w:pPr>
              <w:pStyle w:val="8"/>
              <w:suppressLineNumbers w:val="0"/>
              <w:bidi w:val="0"/>
              <w:spacing w:before="0" w:beforeAutospacing="0" w:after="0" w:afterAutospacing="0"/>
              <w:ind w:left="0" w:right="0"/>
              <w:rPr>
                <w:rFonts w:hint="eastAsia" w:eastAsia="宋体"/>
                <w:highlight w:val="none"/>
                <w:lang w:eastAsia="zh-CN"/>
              </w:rPr>
            </w:pPr>
            <w:r>
              <w:rPr>
                <w:rFonts w:hint="eastAsia"/>
                <w:highlight w:val="none"/>
              </w:rPr>
              <w:t>生产</w:t>
            </w:r>
            <w:r>
              <w:rPr>
                <w:rFonts w:hint="eastAsia"/>
                <w:highlight w:val="none"/>
                <w:lang w:val="en-US" w:eastAsia="zh-CN"/>
              </w:rPr>
              <w:t>车间</w:t>
            </w:r>
          </w:p>
        </w:tc>
        <w:tc>
          <w:tcPr>
            <w:tcW w:w="727" w:type="dxa"/>
            <w:vMerge w:val="restart"/>
            <w:tcBorders>
              <w:tl2br w:val="nil"/>
              <w:tr2bl w:val="nil"/>
            </w:tcBorders>
            <w:vAlign w:val="center"/>
          </w:tcPr>
          <w:p w14:paraId="73613DD7">
            <w:pPr>
              <w:pStyle w:val="8"/>
              <w:suppressLineNumbers w:val="0"/>
              <w:bidi w:val="0"/>
              <w:spacing w:before="0" w:beforeAutospacing="0" w:after="0" w:afterAutospacing="0"/>
              <w:ind w:left="0" w:right="0"/>
              <w:rPr>
                <w:rFonts w:hint="eastAsia" w:eastAsia="宋体"/>
                <w:highlight w:val="none"/>
                <w:lang w:eastAsia="zh-CN"/>
              </w:rPr>
            </w:pPr>
            <w:r>
              <w:rPr>
                <w:rFonts w:hint="eastAsia"/>
                <w:highlight w:val="none"/>
                <w:lang w:val="en-US" w:eastAsia="zh-CN"/>
              </w:rPr>
              <w:t>生产线</w:t>
            </w:r>
          </w:p>
        </w:tc>
        <w:tc>
          <w:tcPr>
            <w:tcW w:w="1436" w:type="dxa"/>
            <w:tcBorders>
              <w:tl2br w:val="nil"/>
              <w:tr2bl w:val="nil"/>
            </w:tcBorders>
            <w:vAlign w:val="center"/>
          </w:tcPr>
          <w:p w14:paraId="5602D351">
            <w:pPr>
              <w:pStyle w:val="8"/>
              <w:suppressLineNumbers w:val="0"/>
              <w:bidi w:val="0"/>
              <w:spacing w:before="0" w:beforeAutospacing="0" w:after="0" w:afterAutospacing="0"/>
              <w:ind w:left="0" w:right="0"/>
              <w:rPr>
                <w:rFonts w:hint="default"/>
                <w:highlight w:val="none"/>
              </w:rPr>
            </w:pPr>
            <w:r>
              <w:rPr>
                <w:rFonts w:hint="eastAsia" w:ascii="Times New Roman" w:hAnsi="Times New Roman" w:eastAsia="宋体" w:cs="Times New Roman"/>
                <w:highlight w:val="none"/>
              </w:rPr>
              <w:t>非甲烷总烃</w:t>
            </w:r>
          </w:p>
        </w:tc>
        <w:tc>
          <w:tcPr>
            <w:tcW w:w="1264" w:type="dxa"/>
            <w:tcBorders>
              <w:tl2br w:val="nil"/>
              <w:tr2bl w:val="nil"/>
            </w:tcBorders>
            <w:vAlign w:val="center"/>
          </w:tcPr>
          <w:p w14:paraId="34DEEF49">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1534" w:type="dxa"/>
            <w:vMerge w:val="restart"/>
            <w:tcBorders>
              <w:tl2br w:val="nil"/>
              <w:tr2bl w:val="nil"/>
            </w:tcBorders>
            <w:vAlign w:val="center"/>
          </w:tcPr>
          <w:p w14:paraId="14423A63">
            <w:pPr>
              <w:pStyle w:val="8"/>
              <w:suppressLineNumbers w:val="0"/>
              <w:bidi w:val="0"/>
              <w:spacing w:before="0" w:beforeAutospacing="0" w:after="0" w:afterAutospacing="0"/>
              <w:ind w:left="0" w:right="0"/>
              <w:rPr>
                <w:rFonts w:hint="default"/>
                <w:highlight w:val="none"/>
              </w:rPr>
            </w:pPr>
            <w:r>
              <w:rPr>
                <w:rFonts w:hint="default"/>
                <w:highlight w:val="none"/>
              </w:rPr>
              <w:t>《大气污染物综合排放标准》（GB16297-1996）</w:t>
            </w:r>
          </w:p>
        </w:tc>
        <w:tc>
          <w:tcPr>
            <w:tcW w:w="1627" w:type="dxa"/>
            <w:vMerge w:val="restart"/>
            <w:tcBorders>
              <w:tl2br w:val="nil"/>
              <w:tr2bl w:val="nil"/>
            </w:tcBorders>
            <w:vAlign w:val="center"/>
          </w:tcPr>
          <w:p w14:paraId="17E1AF31">
            <w:pPr>
              <w:pStyle w:val="8"/>
              <w:suppressLineNumbers w:val="0"/>
              <w:bidi w:val="0"/>
              <w:spacing w:before="0" w:beforeAutospacing="0" w:after="0" w:afterAutospacing="0"/>
              <w:ind w:left="0" w:right="0"/>
              <w:rPr>
                <w:rFonts w:hint="default"/>
                <w:highlight w:val="none"/>
              </w:rPr>
            </w:pPr>
            <w:r>
              <w:rPr>
                <w:rFonts w:hint="default"/>
                <w:highlight w:val="none"/>
              </w:rPr>
              <w:t>4.0</w:t>
            </w:r>
          </w:p>
        </w:tc>
        <w:tc>
          <w:tcPr>
            <w:tcW w:w="1292" w:type="dxa"/>
            <w:tcBorders>
              <w:tl2br w:val="nil"/>
              <w:tr2bl w:val="nil"/>
            </w:tcBorders>
            <w:vAlign w:val="center"/>
          </w:tcPr>
          <w:p w14:paraId="28BA2D9B">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0.6</w:t>
            </w:r>
          </w:p>
        </w:tc>
      </w:tr>
      <w:tr w14:paraId="616F9A1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3" w:hRule="atLeast"/>
          <w:jc w:val="center"/>
        </w:trPr>
        <w:tc>
          <w:tcPr>
            <w:tcW w:w="423" w:type="dxa"/>
            <w:vMerge w:val="continue"/>
            <w:tcBorders>
              <w:tl2br w:val="nil"/>
              <w:tr2bl w:val="nil"/>
            </w:tcBorders>
            <w:vAlign w:val="center"/>
          </w:tcPr>
          <w:p w14:paraId="75CE7655">
            <w:pPr>
              <w:pStyle w:val="8"/>
              <w:suppressLineNumbers w:val="0"/>
              <w:bidi w:val="0"/>
              <w:spacing w:before="0" w:beforeAutospacing="0" w:after="0" w:afterAutospacing="0"/>
              <w:ind w:left="0" w:right="0"/>
              <w:rPr>
                <w:rFonts w:hint="default"/>
                <w:highlight w:val="none"/>
              </w:rPr>
            </w:pPr>
          </w:p>
        </w:tc>
        <w:tc>
          <w:tcPr>
            <w:tcW w:w="851" w:type="dxa"/>
            <w:vMerge w:val="continue"/>
            <w:tcBorders>
              <w:tl2br w:val="nil"/>
              <w:tr2bl w:val="nil"/>
            </w:tcBorders>
            <w:vAlign w:val="center"/>
          </w:tcPr>
          <w:p w14:paraId="1337D6CF">
            <w:pPr>
              <w:pStyle w:val="8"/>
              <w:suppressLineNumbers w:val="0"/>
              <w:bidi w:val="0"/>
              <w:spacing w:before="0" w:beforeAutospacing="0" w:after="0" w:afterAutospacing="0"/>
              <w:ind w:left="0" w:right="0"/>
              <w:rPr>
                <w:rFonts w:hint="eastAsia" w:ascii="Times New Roman" w:hAnsi="Times New Roman" w:eastAsia="宋体" w:cs="Times New Roman"/>
                <w:highlight w:val="none"/>
              </w:rPr>
            </w:pPr>
          </w:p>
        </w:tc>
        <w:tc>
          <w:tcPr>
            <w:tcW w:w="727" w:type="dxa"/>
            <w:vMerge w:val="continue"/>
            <w:tcBorders>
              <w:tl2br w:val="nil"/>
              <w:tr2bl w:val="nil"/>
            </w:tcBorders>
            <w:vAlign w:val="center"/>
          </w:tcPr>
          <w:p w14:paraId="20C9FC6D">
            <w:pPr>
              <w:pStyle w:val="8"/>
              <w:suppressLineNumbers w:val="0"/>
              <w:bidi w:val="0"/>
              <w:spacing w:before="0" w:beforeAutospacing="0" w:after="0" w:afterAutospacing="0"/>
              <w:ind w:left="0" w:right="0"/>
              <w:rPr>
                <w:rFonts w:hint="eastAsia" w:ascii="Times New Roman" w:hAnsi="Times New Roman" w:eastAsia="宋体" w:cs="Times New Roman"/>
                <w:highlight w:val="none"/>
                <w:lang w:val="en-US" w:eastAsia="zh-CN"/>
              </w:rPr>
            </w:pPr>
          </w:p>
        </w:tc>
        <w:tc>
          <w:tcPr>
            <w:tcW w:w="1436" w:type="dxa"/>
            <w:tcBorders>
              <w:tl2br w:val="nil"/>
              <w:tr2bl w:val="nil"/>
            </w:tcBorders>
            <w:vAlign w:val="center"/>
          </w:tcPr>
          <w:p w14:paraId="741DA618">
            <w:pPr>
              <w:pStyle w:val="8"/>
              <w:suppressLineNumbers w:val="0"/>
              <w:bidi w:val="0"/>
              <w:spacing w:before="0" w:beforeAutospacing="0" w:after="0" w:afterAutospacing="0"/>
              <w:ind w:left="0" w:right="0"/>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颗粒物</w:t>
            </w:r>
          </w:p>
        </w:tc>
        <w:tc>
          <w:tcPr>
            <w:tcW w:w="1264" w:type="dxa"/>
            <w:tcBorders>
              <w:tl2br w:val="nil"/>
              <w:tr2bl w:val="nil"/>
            </w:tcBorders>
            <w:vAlign w:val="center"/>
          </w:tcPr>
          <w:p w14:paraId="035EF0BF">
            <w:pPr>
              <w:pStyle w:val="8"/>
              <w:suppressLineNumbers w:val="0"/>
              <w:bidi w:val="0"/>
              <w:spacing w:before="0" w:beforeAutospacing="0" w:after="0" w:afterAutospacing="0"/>
              <w:ind w:left="0" w:right="0"/>
              <w:rPr>
                <w:rFonts w:hint="eastAsia" w:eastAsia="宋体"/>
                <w:highlight w:val="none"/>
                <w:lang w:val="en-US" w:eastAsia="zh-CN"/>
              </w:rPr>
            </w:pPr>
            <w:r>
              <w:rPr>
                <w:rFonts w:hint="eastAsia"/>
                <w:highlight w:val="none"/>
                <w:lang w:val="en-US" w:eastAsia="zh-CN"/>
              </w:rPr>
              <w:t>/</w:t>
            </w:r>
          </w:p>
        </w:tc>
        <w:tc>
          <w:tcPr>
            <w:tcW w:w="1534" w:type="dxa"/>
            <w:vMerge w:val="continue"/>
            <w:tcBorders>
              <w:tl2br w:val="nil"/>
              <w:tr2bl w:val="nil"/>
            </w:tcBorders>
            <w:vAlign w:val="center"/>
          </w:tcPr>
          <w:p w14:paraId="7C88D25F">
            <w:pPr>
              <w:pStyle w:val="8"/>
              <w:suppressLineNumbers w:val="0"/>
              <w:bidi w:val="0"/>
              <w:spacing w:before="0" w:beforeAutospacing="0" w:after="0" w:afterAutospacing="0"/>
              <w:ind w:left="0" w:right="0"/>
              <w:rPr>
                <w:rFonts w:hint="default"/>
                <w:highlight w:val="none"/>
              </w:rPr>
            </w:pPr>
          </w:p>
        </w:tc>
        <w:tc>
          <w:tcPr>
            <w:tcW w:w="1627" w:type="dxa"/>
            <w:vMerge w:val="continue"/>
            <w:tcBorders>
              <w:tl2br w:val="nil"/>
              <w:tr2bl w:val="nil"/>
            </w:tcBorders>
            <w:vAlign w:val="center"/>
          </w:tcPr>
          <w:p w14:paraId="5B475729">
            <w:pPr>
              <w:pStyle w:val="8"/>
              <w:suppressLineNumbers w:val="0"/>
              <w:bidi w:val="0"/>
              <w:spacing w:before="0" w:beforeAutospacing="0" w:after="0" w:afterAutospacing="0"/>
              <w:ind w:left="0" w:right="0"/>
              <w:rPr>
                <w:rFonts w:hint="default"/>
                <w:highlight w:val="none"/>
              </w:rPr>
            </w:pPr>
          </w:p>
        </w:tc>
        <w:tc>
          <w:tcPr>
            <w:tcW w:w="1292" w:type="dxa"/>
            <w:tcBorders>
              <w:tl2br w:val="nil"/>
              <w:tr2bl w:val="nil"/>
            </w:tcBorders>
            <w:vAlign w:val="center"/>
          </w:tcPr>
          <w:p w14:paraId="31BBA35C">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0.2</w:t>
            </w:r>
          </w:p>
        </w:tc>
      </w:tr>
      <w:tr w14:paraId="4820B41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3" w:hRule="atLeast"/>
          <w:jc w:val="center"/>
        </w:trPr>
        <w:tc>
          <w:tcPr>
            <w:tcW w:w="423" w:type="dxa"/>
            <w:vMerge w:val="restart"/>
            <w:tcBorders>
              <w:tl2br w:val="nil"/>
              <w:tr2bl w:val="nil"/>
            </w:tcBorders>
            <w:vAlign w:val="center"/>
          </w:tcPr>
          <w:p w14:paraId="77CD3227">
            <w:pPr>
              <w:pStyle w:val="8"/>
              <w:suppressLineNumbers w:val="0"/>
              <w:bidi w:val="0"/>
              <w:spacing w:before="0" w:beforeAutospacing="0" w:after="0" w:afterAutospacing="0"/>
              <w:ind w:left="0" w:right="0"/>
              <w:rPr>
                <w:rFonts w:hint="default"/>
                <w:highlight w:val="none"/>
              </w:rPr>
            </w:pPr>
            <w:r>
              <w:rPr>
                <w:rFonts w:hint="eastAsia"/>
                <w:highlight w:val="none"/>
              </w:rPr>
              <w:t>2</w:t>
            </w:r>
          </w:p>
        </w:tc>
        <w:tc>
          <w:tcPr>
            <w:tcW w:w="851" w:type="dxa"/>
            <w:tcBorders>
              <w:tl2br w:val="nil"/>
              <w:tr2bl w:val="nil"/>
            </w:tcBorders>
            <w:vAlign w:val="center"/>
          </w:tcPr>
          <w:p w14:paraId="7B84C349">
            <w:pPr>
              <w:pStyle w:val="8"/>
              <w:suppressLineNumbers w:val="0"/>
              <w:bidi w:val="0"/>
              <w:spacing w:before="0" w:beforeAutospacing="0" w:after="0" w:afterAutospacing="0"/>
              <w:ind w:left="0" w:right="0"/>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rPr>
              <w:t>生产区域</w:t>
            </w:r>
          </w:p>
        </w:tc>
        <w:tc>
          <w:tcPr>
            <w:tcW w:w="727" w:type="dxa"/>
            <w:tcBorders>
              <w:tl2br w:val="nil"/>
              <w:tr2bl w:val="nil"/>
            </w:tcBorders>
            <w:vAlign w:val="center"/>
          </w:tcPr>
          <w:p w14:paraId="6EA23CE8">
            <w:pPr>
              <w:pStyle w:val="8"/>
              <w:suppressLineNumbers w:val="0"/>
              <w:bidi w:val="0"/>
              <w:spacing w:before="0" w:beforeAutospacing="0" w:after="0" w:afterAutospacing="0"/>
              <w:ind w:left="0" w:right="0"/>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rPr>
              <w:t>涂胶工序</w:t>
            </w:r>
          </w:p>
        </w:tc>
        <w:tc>
          <w:tcPr>
            <w:tcW w:w="1436" w:type="dxa"/>
            <w:tcBorders>
              <w:tl2br w:val="nil"/>
              <w:tr2bl w:val="nil"/>
            </w:tcBorders>
            <w:vAlign w:val="center"/>
          </w:tcPr>
          <w:p w14:paraId="311169C6">
            <w:pPr>
              <w:pStyle w:val="8"/>
              <w:suppressLineNumbers w:val="0"/>
              <w:bidi w:val="0"/>
              <w:spacing w:before="0" w:beforeAutospacing="0" w:after="0" w:afterAutospacing="0"/>
              <w:ind w:left="0" w:right="0"/>
              <w:rPr>
                <w:rFonts w:hint="default" w:ascii="Times New Roman" w:hAnsi="Times New Roman" w:eastAsia="宋体" w:cs="Times New Roman"/>
                <w:highlight w:val="none"/>
              </w:rPr>
            </w:pPr>
            <w:r>
              <w:rPr>
                <w:rFonts w:hint="eastAsia" w:ascii="Times New Roman" w:hAnsi="Times New Roman" w:eastAsia="宋体" w:cs="Times New Roman"/>
                <w:highlight w:val="none"/>
              </w:rPr>
              <w:t>非甲烷总烃</w:t>
            </w:r>
          </w:p>
        </w:tc>
        <w:tc>
          <w:tcPr>
            <w:tcW w:w="1264" w:type="dxa"/>
            <w:tcBorders>
              <w:tl2br w:val="nil"/>
              <w:tr2bl w:val="nil"/>
            </w:tcBorders>
            <w:vAlign w:val="center"/>
          </w:tcPr>
          <w:p w14:paraId="7524F213">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1534" w:type="dxa"/>
            <w:vMerge w:val="continue"/>
            <w:tcBorders>
              <w:tl2br w:val="nil"/>
              <w:tr2bl w:val="nil"/>
            </w:tcBorders>
            <w:vAlign w:val="center"/>
          </w:tcPr>
          <w:p w14:paraId="53E723AB">
            <w:pPr>
              <w:pStyle w:val="8"/>
              <w:suppressLineNumbers w:val="0"/>
              <w:bidi w:val="0"/>
              <w:spacing w:before="0" w:beforeAutospacing="0" w:after="0" w:afterAutospacing="0"/>
              <w:ind w:left="0" w:right="0"/>
              <w:rPr>
                <w:rFonts w:hint="default"/>
                <w:highlight w:val="none"/>
              </w:rPr>
            </w:pPr>
          </w:p>
        </w:tc>
        <w:tc>
          <w:tcPr>
            <w:tcW w:w="1627" w:type="dxa"/>
            <w:vMerge w:val="continue"/>
            <w:tcBorders>
              <w:tl2br w:val="nil"/>
              <w:tr2bl w:val="nil"/>
            </w:tcBorders>
            <w:vAlign w:val="center"/>
          </w:tcPr>
          <w:p w14:paraId="09EE9186">
            <w:pPr>
              <w:pStyle w:val="8"/>
              <w:suppressLineNumbers w:val="0"/>
              <w:bidi w:val="0"/>
              <w:spacing w:before="0" w:beforeAutospacing="0" w:after="0" w:afterAutospacing="0"/>
              <w:ind w:left="0" w:right="0"/>
              <w:rPr>
                <w:rFonts w:hint="default"/>
                <w:highlight w:val="none"/>
              </w:rPr>
            </w:pPr>
          </w:p>
        </w:tc>
        <w:tc>
          <w:tcPr>
            <w:tcW w:w="1292" w:type="dxa"/>
            <w:tcBorders>
              <w:tl2br w:val="nil"/>
              <w:tr2bl w:val="nil"/>
            </w:tcBorders>
            <w:shd w:val="clear" w:color="auto" w:fill="auto"/>
            <w:vAlign w:val="center"/>
          </w:tcPr>
          <w:p w14:paraId="1325EE2C">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0.213</w:t>
            </w:r>
            <w:r>
              <w:rPr>
                <w:rFonts w:hint="eastAsia"/>
                <w:highlight w:val="none"/>
                <w:lang w:val="en-US" w:eastAsia="zh-CN"/>
              </w:rPr>
              <w:t>kg/h</w:t>
            </w:r>
          </w:p>
        </w:tc>
      </w:tr>
      <w:tr w14:paraId="2905D88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3" w:hRule="atLeast"/>
          <w:jc w:val="center"/>
        </w:trPr>
        <w:tc>
          <w:tcPr>
            <w:tcW w:w="423" w:type="dxa"/>
            <w:vMerge w:val="continue"/>
            <w:tcBorders>
              <w:tl2br w:val="nil"/>
              <w:tr2bl w:val="nil"/>
            </w:tcBorders>
            <w:vAlign w:val="center"/>
          </w:tcPr>
          <w:p w14:paraId="34D1C0FD">
            <w:pPr>
              <w:pStyle w:val="8"/>
              <w:suppressLineNumbers w:val="0"/>
              <w:bidi w:val="0"/>
              <w:spacing w:before="0" w:beforeAutospacing="0" w:after="0" w:afterAutospacing="0"/>
              <w:ind w:left="0" w:right="0"/>
              <w:rPr>
                <w:rFonts w:hint="eastAsia"/>
                <w:highlight w:val="none"/>
              </w:rPr>
            </w:pPr>
          </w:p>
        </w:tc>
        <w:tc>
          <w:tcPr>
            <w:tcW w:w="851" w:type="dxa"/>
            <w:tcBorders>
              <w:tl2br w:val="nil"/>
              <w:tr2bl w:val="nil"/>
            </w:tcBorders>
            <w:vAlign w:val="center"/>
          </w:tcPr>
          <w:p w14:paraId="235C0FD3">
            <w:pPr>
              <w:pStyle w:val="8"/>
              <w:suppressLineNumbers w:val="0"/>
              <w:bidi w:val="0"/>
              <w:spacing w:before="0" w:beforeAutospacing="0" w:after="0" w:afterAutospacing="0"/>
              <w:ind w:left="0" w:right="0"/>
              <w:rPr>
                <w:rFonts w:hint="eastAsia" w:ascii="Times New Roman" w:hAnsi="Times New Roman" w:eastAsia="宋体" w:cs="Times New Roman"/>
                <w:highlight w:val="none"/>
              </w:rPr>
            </w:pPr>
            <w:r>
              <w:rPr>
                <w:rFonts w:hint="eastAsia" w:ascii="Times New Roman" w:hAnsi="Times New Roman" w:eastAsia="宋体" w:cs="Times New Roman"/>
                <w:highlight w:val="none"/>
              </w:rPr>
              <w:t>生产区域</w:t>
            </w:r>
          </w:p>
        </w:tc>
        <w:tc>
          <w:tcPr>
            <w:tcW w:w="727" w:type="dxa"/>
            <w:tcBorders>
              <w:tl2br w:val="nil"/>
              <w:tr2bl w:val="nil"/>
            </w:tcBorders>
            <w:vAlign w:val="center"/>
          </w:tcPr>
          <w:p w14:paraId="68125360">
            <w:pPr>
              <w:pStyle w:val="8"/>
              <w:suppressLineNumbers w:val="0"/>
              <w:bidi w:val="0"/>
              <w:spacing w:before="0" w:beforeAutospacing="0" w:after="0" w:afterAutospacing="0"/>
              <w:ind w:left="0" w:right="0"/>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rPr>
              <w:t>机加工序</w:t>
            </w:r>
          </w:p>
        </w:tc>
        <w:tc>
          <w:tcPr>
            <w:tcW w:w="1436" w:type="dxa"/>
            <w:tcBorders>
              <w:tl2br w:val="nil"/>
              <w:tr2bl w:val="nil"/>
            </w:tcBorders>
            <w:vAlign w:val="center"/>
          </w:tcPr>
          <w:p w14:paraId="03F59533">
            <w:pPr>
              <w:pStyle w:val="8"/>
              <w:suppressLineNumbers w:val="0"/>
              <w:bidi w:val="0"/>
              <w:spacing w:before="0" w:beforeAutospacing="0" w:after="0" w:afterAutospacing="0"/>
              <w:ind w:left="0" w:right="0"/>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rPr>
              <w:t>非甲烷总烃</w:t>
            </w:r>
          </w:p>
        </w:tc>
        <w:tc>
          <w:tcPr>
            <w:tcW w:w="1264" w:type="dxa"/>
            <w:tcBorders>
              <w:tl2br w:val="nil"/>
              <w:tr2bl w:val="nil"/>
            </w:tcBorders>
            <w:vAlign w:val="center"/>
          </w:tcPr>
          <w:p w14:paraId="2248FE80">
            <w:pPr>
              <w:pStyle w:val="8"/>
              <w:suppressLineNumbers w:val="0"/>
              <w:bidi w:val="0"/>
              <w:spacing w:before="0" w:beforeAutospacing="0" w:after="0" w:afterAutospacing="0"/>
              <w:ind w:left="0" w:right="0"/>
              <w:rPr>
                <w:rFonts w:hint="eastAsia"/>
                <w:highlight w:val="none"/>
                <w:lang w:val="en-US" w:eastAsia="zh-CN"/>
              </w:rPr>
            </w:pPr>
            <w:r>
              <w:rPr>
                <w:rFonts w:hint="eastAsia"/>
                <w:highlight w:val="none"/>
                <w:lang w:val="en-US" w:eastAsia="zh-CN"/>
              </w:rPr>
              <w:t>/</w:t>
            </w:r>
          </w:p>
        </w:tc>
        <w:tc>
          <w:tcPr>
            <w:tcW w:w="1534" w:type="dxa"/>
            <w:vMerge w:val="continue"/>
            <w:tcBorders>
              <w:tl2br w:val="nil"/>
              <w:tr2bl w:val="nil"/>
            </w:tcBorders>
            <w:vAlign w:val="center"/>
          </w:tcPr>
          <w:p w14:paraId="24E49C51">
            <w:pPr>
              <w:pStyle w:val="8"/>
              <w:suppressLineNumbers w:val="0"/>
              <w:bidi w:val="0"/>
              <w:spacing w:before="0" w:beforeAutospacing="0" w:after="0" w:afterAutospacing="0"/>
              <w:ind w:left="0" w:right="0"/>
              <w:rPr>
                <w:rFonts w:hint="default"/>
                <w:highlight w:val="none"/>
              </w:rPr>
            </w:pPr>
          </w:p>
        </w:tc>
        <w:tc>
          <w:tcPr>
            <w:tcW w:w="1627" w:type="dxa"/>
            <w:tcBorders>
              <w:tl2br w:val="nil"/>
              <w:tr2bl w:val="nil"/>
            </w:tcBorders>
            <w:vAlign w:val="center"/>
          </w:tcPr>
          <w:p w14:paraId="0A075452">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1.0</w:t>
            </w:r>
          </w:p>
        </w:tc>
        <w:tc>
          <w:tcPr>
            <w:tcW w:w="1292" w:type="dxa"/>
            <w:tcBorders>
              <w:tl2br w:val="nil"/>
              <w:tr2bl w:val="nil"/>
            </w:tcBorders>
            <w:shd w:val="clear" w:color="auto" w:fill="auto"/>
            <w:vAlign w:val="center"/>
          </w:tcPr>
          <w:p w14:paraId="25826A2B">
            <w:pPr>
              <w:pStyle w:val="8"/>
              <w:suppressLineNumbers w:val="0"/>
              <w:bidi w:val="0"/>
              <w:spacing w:before="0" w:beforeAutospacing="0" w:after="0" w:afterAutospacing="0"/>
              <w:ind w:left="0" w:right="0"/>
              <w:rPr>
                <w:rFonts w:hint="eastAsia"/>
                <w:highlight w:val="none"/>
                <w:lang w:val="en-US" w:eastAsia="zh-CN"/>
              </w:rPr>
            </w:pPr>
            <w:r>
              <w:rPr>
                <w:rFonts w:hint="default"/>
                <w:highlight w:val="none"/>
                <w:lang w:val="en-US" w:eastAsia="zh-CN"/>
              </w:rPr>
              <w:t>0.031</w:t>
            </w:r>
            <w:r>
              <w:rPr>
                <w:rFonts w:hint="eastAsia"/>
                <w:highlight w:val="none"/>
                <w:lang w:val="en-US" w:eastAsia="zh-CN"/>
              </w:rPr>
              <w:t>kg/h</w:t>
            </w:r>
          </w:p>
        </w:tc>
      </w:tr>
      <w:tr w14:paraId="3CA3282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2" w:hRule="atLeast"/>
          <w:jc w:val="center"/>
        </w:trPr>
        <w:tc>
          <w:tcPr>
            <w:tcW w:w="3437" w:type="dxa"/>
            <w:gridSpan w:val="4"/>
            <w:vMerge w:val="restart"/>
            <w:tcBorders>
              <w:tl2br w:val="nil"/>
              <w:tr2bl w:val="nil"/>
            </w:tcBorders>
            <w:vAlign w:val="center"/>
          </w:tcPr>
          <w:p w14:paraId="0047D8AE">
            <w:pPr>
              <w:pStyle w:val="8"/>
              <w:suppressLineNumbers w:val="0"/>
              <w:bidi w:val="0"/>
              <w:spacing w:before="0" w:beforeAutospacing="0" w:after="0" w:afterAutospacing="0"/>
              <w:ind w:left="0" w:right="0"/>
              <w:rPr>
                <w:rFonts w:hint="default"/>
                <w:highlight w:val="none"/>
              </w:rPr>
            </w:pPr>
            <w:r>
              <w:rPr>
                <w:rFonts w:hint="default"/>
                <w:highlight w:val="none"/>
              </w:rPr>
              <w:t>无组织排放总计</w:t>
            </w:r>
          </w:p>
        </w:tc>
        <w:tc>
          <w:tcPr>
            <w:tcW w:w="2798" w:type="dxa"/>
            <w:gridSpan w:val="2"/>
            <w:tcBorders>
              <w:tl2br w:val="nil"/>
              <w:tr2bl w:val="nil"/>
            </w:tcBorders>
            <w:vAlign w:val="center"/>
          </w:tcPr>
          <w:p w14:paraId="2057B753">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油雾、挥发性有机物</w:t>
            </w:r>
          </w:p>
        </w:tc>
        <w:tc>
          <w:tcPr>
            <w:tcW w:w="2919" w:type="dxa"/>
            <w:gridSpan w:val="2"/>
            <w:tcBorders>
              <w:tl2br w:val="nil"/>
              <w:tr2bl w:val="nil"/>
            </w:tcBorders>
            <w:vAlign w:val="center"/>
          </w:tcPr>
          <w:p w14:paraId="7C46A60E">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0.628</w:t>
            </w:r>
            <w:r>
              <w:rPr>
                <w:rFonts w:hint="default"/>
                <w:highlight w:val="none"/>
              </w:rPr>
              <w:t>t/a</w:t>
            </w:r>
          </w:p>
        </w:tc>
      </w:tr>
      <w:tr w14:paraId="068BEFA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2" w:hRule="atLeast"/>
          <w:jc w:val="center"/>
        </w:trPr>
        <w:tc>
          <w:tcPr>
            <w:tcW w:w="3437" w:type="dxa"/>
            <w:gridSpan w:val="4"/>
            <w:vMerge w:val="continue"/>
            <w:tcBorders>
              <w:tl2br w:val="nil"/>
              <w:tr2bl w:val="nil"/>
            </w:tcBorders>
            <w:vAlign w:val="center"/>
          </w:tcPr>
          <w:p w14:paraId="16D94A2A">
            <w:pPr>
              <w:pStyle w:val="8"/>
              <w:suppressLineNumbers w:val="0"/>
              <w:bidi w:val="0"/>
              <w:spacing w:before="0" w:beforeAutospacing="0" w:after="0" w:afterAutospacing="0"/>
              <w:ind w:left="0" w:right="0"/>
              <w:rPr>
                <w:rFonts w:hint="default"/>
                <w:highlight w:val="none"/>
              </w:rPr>
            </w:pPr>
          </w:p>
        </w:tc>
        <w:tc>
          <w:tcPr>
            <w:tcW w:w="2798" w:type="dxa"/>
            <w:gridSpan w:val="2"/>
            <w:tcBorders>
              <w:tl2br w:val="nil"/>
              <w:tr2bl w:val="nil"/>
            </w:tcBorders>
            <w:vAlign w:val="center"/>
          </w:tcPr>
          <w:p w14:paraId="77FCD9CC">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颗粒物</w:t>
            </w:r>
          </w:p>
        </w:tc>
        <w:tc>
          <w:tcPr>
            <w:tcW w:w="2919" w:type="dxa"/>
            <w:gridSpan w:val="2"/>
            <w:tcBorders>
              <w:tl2br w:val="nil"/>
              <w:tr2bl w:val="nil"/>
            </w:tcBorders>
            <w:vAlign w:val="center"/>
          </w:tcPr>
          <w:p w14:paraId="1ACB3971">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0.2t/a</w:t>
            </w:r>
          </w:p>
        </w:tc>
      </w:tr>
    </w:tbl>
    <w:p w14:paraId="0EF128A9">
      <w:pPr>
        <w:pStyle w:val="7"/>
        <w:bidi w:val="0"/>
        <w:rPr>
          <w:highlight w:val="none"/>
        </w:rPr>
      </w:pPr>
      <w:r>
        <w:rPr>
          <w:highlight w:val="none"/>
        </w:rPr>
        <w:t>表5-2-</w:t>
      </w:r>
      <w:r>
        <w:rPr>
          <w:rFonts w:hint="eastAsia"/>
          <w:highlight w:val="none"/>
          <w:lang w:val="en-US" w:eastAsia="zh-CN"/>
        </w:rPr>
        <w:t>9</w:t>
      </w:r>
      <w:r>
        <w:rPr>
          <w:highlight w:val="none"/>
        </w:rPr>
        <w:t>大气污染物年排放量核算表</w:t>
      </w:r>
    </w:p>
    <w:tbl>
      <w:tblPr>
        <w:tblStyle w:val="45"/>
        <w:tblW w:w="9132"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28" w:type="dxa"/>
          <w:left w:w="108" w:type="dxa"/>
          <w:bottom w:w="28" w:type="dxa"/>
          <w:right w:w="108" w:type="dxa"/>
        </w:tblCellMar>
      </w:tblPr>
      <w:tblGrid>
        <w:gridCol w:w="1693"/>
        <w:gridCol w:w="4173"/>
        <w:gridCol w:w="3266"/>
      </w:tblGrid>
      <w:tr w14:paraId="3FAD75B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28" w:type="dxa"/>
            <w:left w:w="108" w:type="dxa"/>
            <w:bottom w:w="28" w:type="dxa"/>
            <w:right w:w="108" w:type="dxa"/>
          </w:tblCellMar>
        </w:tblPrEx>
        <w:trPr>
          <w:trHeight w:val="232" w:hRule="atLeast"/>
          <w:jc w:val="center"/>
        </w:trPr>
        <w:tc>
          <w:tcPr>
            <w:tcW w:w="1693" w:type="dxa"/>
            <w:vAlign w:val="center"/>
          </w:tcPr>
          <w:p w14:paraId="4B47952B">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cs="Times New Roman" w:hAnsiTheme="minorEastAsia" w:eastAsiaTheme="minorEastAsia"/>
                <w:sz w:val="21"/>
                <w:szCs w:val="21"/>
                <w:highlight w:val="none"/>
              </w:rPr>
              <w:t>序号</w:t>
            </w:r>
          </w:p>
        </w:tc>
        <w:tc>
          <w:tcPr>
            <w:tcW w:w="4173" w:type="dxa"/>
            <w:vAlign w:val="center"/>
          </w:tcPr>
          <w:p w14:paraId="1C39BF51">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cs="Times New Roman" w:hAnsiTheme="minorEastAsia" w:eastAsiaTheme="minorEastAsia"/>
                <w:sz w:val="21"/>
                <w:szCs w:val="21"/>
                <w:highlight w:val="none"/>
              </w:rPr>
              <w:t>污染物</w:t>
            </w:r>
          </w:p>
        </w:tc>
        <w:tc>
          <w:tcPr>
            <w:tcW w:w="3266" w:type="dxa"/>
            <w:vAlign w:val="center"/>
          </w:tcPr>
          <w:p w14:paraId="2D7AC74E">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cs="Times New Roman" w:hAnsiTheme="minorEastAsia" w:eastAsiaTheme="minorEastAsia"/>
                <w:sz w:val="21"/>
                <w:szCs w:val="21"/>
                <w:highlight w:val="none"/>
              </w:rPr>
              <w:t>年排放量</w:t>
            </w:r>
            <w:r>
              <w:rPr>
                <w:rFonts w:hint="default" w:ascii="Times New Roman" w:hAnsi="Times New Roman" w:cs="Times New Roman" w:eastAsiaTheme="minorEastAsia"/>
                <w:sz w:val="21"/>
                <w:szCs w:val="21"/>
                <w:highlight w:val="none"/>
              </w:rPr>
              <w:t>t/a</w:t>
            </w:r>
          </w:p>
        </w:tc>
      </w:tr>
      <w:tr w14:paraId="1DD1072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28" w:type="dxa"/>
            <w:left w:w="108" w:type="dxa"/>
            <w:bottom w:w="28" w:type="dxa"/>
            <w:right w:w="108" w:type="dxa"/>
          </w:tblCellMar>
        </w:tblPrEx>
        <w:trPr>
          <w:trHeight w:val="20" w:hRule="atLeast"/>
          <w:jc w:val="center"/>
        </w:trPr>
        <w:tc>
          <w:tcPr>
            <w:tcW w:w="1693" w:type="dxa"/>
            <w:vAlign w:val="center"/>
          </w:tcPr>
          <w:p w14:paraId="431E6BD0">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bCs/>
                <w:sz w:val="21"/>
                <w:szCs w:val="21"/>
                <w:highlight w:val="none"/>
              </w:rPr>
            </w:pPr>
            <w:r>
              <w:rPr>
                <w:rFonts w:hint="default" w:ascii="Times New Roman" w:hAnsi="Times New Roman" w:cs="Times New Roman" w:eastAsiaTheme="minorEastAsia"/>
                <w:bCs/>
                <w:sz w:val="21"/>
                <w:szCs w:val="21"/>
                <w:highlight w:val="none"/>
              </w:rPr>
              <w:t>1</w:t>
            </w:r>
          </w:p>
        </w:tc>
        <w:tc>
          <w:tcPr>
            <w:tcW w:w="4173" w:type="dxa"/>
            <w:vAlign w:val="center"/>
          </w:tcPr>
          <w:p w14:paraId="2B92885C">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cs="Times New Roman" w:hAnsiTheme="minorEastAsia" w:eastAsiaTheme="minorEastAsia"/>
                <w:sz w:val="21"/>
                <w:szCs w:val="21"/>
                <w:highlight w:val="none"/>
              </w:rPr>
              <w:t>非甲烷总烃</w:t>
            </w:r>
          </w:p>
        </w:tc>
        <w:tc>
          <w:tcPr>
            <w:tcW w:w="3266" w:type="dxa"/>
            <w:vAlign w:val="center"/>
          </w:tcPr>
          <w:p w14:paraId="6DA6EDBE">
            <w:pPr>
              <w:keepNext w:val="0"/>
              <w:keepLines w:val="0"/>
              <w:suppressLineNumbers w:val="0"/>
              <w:wordWrap/>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z w:val="21"/>
                <w:szCs w:val="21"/>
                <w:highlight w:val="none"/>
              </w:rPr>
            </w:pPr>
            <w:r>
              <w:rPr>
                <w:rFonts w:hint="eastAsia" w:ascii="Times New Roman" w:hAnsi="Times New Roman" w:cs="Times New Roman" w:eastAsiaTheme="minorEastAsia"/>
                <w:sz w:val="21"/>
                <w:szCs w:val="21"/>
                <w:highlight w:val="none"/>
              </w:rPr>
              <w:t>0.891</w:t>
            </w:r>
          </w:p>
        </w:tc>
      </w:tr>
      <w:tr w14:paraId="0C1CBA9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28" w:type="dxa"/>
            <w:left w:w="108" w:type="dxa"/>
            <w:bottom w:w="28" w:type="dxa"/>
            <w:right w:w="108" w:type="dxa"/>
          </w:tblCellMar>
        </w:tblPrEx>
        <w:trPr>
          <w:trHeight w:val="20" w:hRule="atLeast"/>
          <w:jc w:val="center"/>
        </w:trPr>
        <w:tc>
          <w:tcPr>
            <w:tcW w:w="1693" w:type="dxa"/>
            <w:vAlign w:val="center"/>
          </w:tcPr>
          <w:p w14:paraId="22E1C756">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bCs/>
                <w:sz w:val="21"/>
                <w:szCs w:val="21"/>
                <w:highlight w:val="none"/>
              </w:rPr>
            </w:pPr>
            <w:r>
              <w:rPr>
                <w:rFonts w:hint="eastAsia" w:ascii="Times New Roman" w:hAnsi="Times New Roman" w:cs="Times New Roman" w:eastAsiaTheme="minorEastAsia"/>
                <w:bCs/>
                <w:sz w:val="21"/>
                <w:szCs w:val="21"/>
                <w:highlight w:val="none"/>
              </w:rPr>
              <w:t>2</w:t>
            </w:r>
          </w:p>
        </w:tc>
        <w:tc>
          <w:tcPr>
            <w:tcW w:w="4173" w:type="dxa"/>
            <w:vAlign w:val="center"/>
          </w:tcPr>
          <w:p w14:paraId="3FB94D4E">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z w:val="21"/>
                <w:szCs w:val="21"/>
                <w:highlight w:val="none"/>
              </w:rPr>
            </w:pPr>
            <w:r>
              <w:rPr>
                <w:rFonts w:hint="default" w:ascii="Times New Roman" w:hAnsi="Times New Roman" w:cs="Times New Roman" w:eastAsiaTheme="minorEastAsia"/>
                <w:sz w:val="21"/>
                <w:szCs w:val="21"/>
                <w:highlight w:val="none"/>
              </w:rPr>
              <w:t>氮氧化物</w:t>
            </w:r>
          </w:p>
        </w:tc>
        <w:tc>
          <w:tcPr>
            <w:tcW w:w="3266" w:type="dxa"/>
            <w:vAlign w:val="center"/>
          </w:tcPr>
          <w:p w14:paraId="7789708A">
            <w:pPr>
              <w:keepNext w:val="0"/>
              <w:keepLines w:val="0"/>
              <w:suppressLineNumbers w:val="0"/>
              <w:wordWrap/>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z w:val="21"/>
                <w:szCs w:val="21"/>
                <w:highlight w:val="none"/>
              </w:rPr>
            </w:pPr>
            <w:r>
              <w:rPr>
                <w:rFonts w:hint="eastAsia" w:ascii="Times New Roman" w:hAnsi="Times New Roman" w:cs="Times New Roman" w:eastAsiaTheme="minorEastAsia"/>
                <w:sz w:val="21"/>
                <w:szCs w:val="21"/>
                <w:highlight w:val="none"/>
              </w:rPr>
              <w:t>1.772</w:t>
            </w:r>
          </w:p>
        </w:tc>
      </w:tr>
      <w:tr w14:paraId="338783A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28" w:type="dxa"/>
            <w:left w:w="108" w:type="dxa"/>
            <w:bottom w:w="28" w:type="dxa"/>
            <w:right w:w="108" w:type="dxa"/>
          </w:tblCellMar>
        </w:tblPrEx>
        <w:trPr>
          <w:trHeight w:val="20" w:hRule="atLeast"/>
          <w:jc w:val="center"/>
        </w:trPr>
        <w:tc>
          <w:tcPr>
            <w:tcW w:w="1693" w:type="dxa"/>
            <w:vAlign w:val="center"/>
          </w:tcPr>
          <w:p w14:paraId="439DCA41">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bCs/>
                <w:sz w:val="21"/>
                <w:szCs w:val="21"/>
                <w:highlight w:val="none"/>
              </w:rPr>
            </w:pPr>
            <w:r>
              <w:rPr>
                <w:rFonts w:hint="eastAsia" w:ascii="Times New Roman" w:hAnsi="Times New Roman" w:cs="Times New Roman" w:eastAsiaTheme="minorEastAsia"/>
                <w:bCs/>
                <w:sz w:val="21"/>
                <w:szCs w:val="21"/>
                <w:highlight w:val="none"/>
              </w:rPr>
              <w:t>3</w:t>
            </w:r>
          </w:p>
        </w:tc>
        <w:tc>
          <w:tcPr>
            <w:tcW w:w="4173" w:type="dxa"/>
            <w:vAlign w:val="center"/>
          </w:tcPr>
          <w:p w14:paraId="3BA19660">
            <w:pPr>
              <w:keepNext w:val="0"/>
              <w:keepLines w:val="0"/>
              <w:suppressLineNumbers w:val="0"/>
              <w:wordWrap/>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一氧化碳</w:t>
            </w:r>
          </w:p>
        </w:tc>
        <w:tc>
          <w:tcPr>
            <w:tcW w:w="3266" w:type="dxa"/>
            <w:vAlign w:val="center"/>
          </w:tcPr>
          <w:p w14:paraId="211DE7CB">
            <w:pPr>
              <w:keepNext w:val="0"/>
              <w:keepLines w:val="0"/>
              <w:suppressLineNumbers w:val="0"/>
              <w:wordWrap/>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z w:val="21"/>
                <w:szCs w:val="21"/>
                <w:highlight w:val="none"/>
              </w:rPr>
            </w:pPr>
            <w:r>
              <w:rPr>
                <w:rFonts w:hint="eastAsia" w:ascii="Times New Roman" w:hAnsi="Times New Roman" w:cs="Times New Roman" w:eastAsiaTheme="minorEastAsia"/>
                <w:sz w:val="21"/>
                <w:szCs w:val="21"/>
                <w:highlight w:val="none"/>
              </w:rPr>
              <w:t>3.108</w:t>
            </w:r>
          </w:p>
        </w:tc>
      </w:tr>
      <w:tr w14:paraId="4319B2E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28" w:type="dxa"/>
            <w:left w:w="108" w:type="dxa"/>
            <w:bottom w:w="28" w:type="dxa"/>
            <w:right w:w="108" w:type="dxa"/>
          </w:tblCellMar>
        </w:tblPrEx>
        <w:trPr>
          <w:trHeight w:val="20" w:hRule="atLeast"/>
          <w:jc w:val="center"/>
        </w:trPr>
        <w:tc>
          <w:tcPr>
            <w:tcW w:w="1693" w:type="dxa"/>
            <w:vAlign w:val="center"/>
          </w:tcPr>
          <w:p w14:paraId="38754D06">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bCs/>
                <w:sz w:val="21"/>
                <w:szCs w:val="21"/>
                <w:highlight w:val="none"/>
              </w:rPr>
            </w:pPr>
            <w:r>
              <w:rPr>
                <w:rFonts w:hint="eastAsia" w:ascii="Times New Roman" w:hAnsi="Times New Roman" w:cs="Times New Roman" w:eastAsiaTheme="minorEastAsia"/>
                <w:bCs/>
                <w:sz w:val="21"/>
                <w:szCs w:val="21"/>
                <w:highlight w:val="none"/>
              </w:rPr>
              <w:t>4</w:t>
            </w:r>
          </w:p>
        </w:tc>
        <w:tc>
          <w:tcPr>
            <w:tcW w:w="4173" w:type="dxa"/>
            <w:vAlign w:val="center"/>
          </w:tcPr>
          <w:p w14:paraId="4632F161">
            <w:pPr>
              <w:keepNext w:val="0"/>
              <w:keepLines w:val="0"/>
              <w:suppressLineNumbers w:val="0"/>
              <w:wordWrap/>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颗粒物</w:t>
            </w:r>
          </w:p>
        </w:tc>
        <w:tc>
          <w:tcPr>
            <w:tcW w:w="3266" w:type="dxa"/>
            <w:vAlign w:val="center"/>
          </w:tcPr>
          <w:p w14:paraId="5AC97891">
            <w:pPr>
              <w:keepNext w:val="0"/>
              <w:keepLines w:val="0"/>
              <w:suppressLineNumbers w:val="0"/>
              <w:wordWrap/>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z w:val="21"/>
                <w:szCs w:val="21"/>
                <w:highlight w:val="none"/>
              </w:rPr>
            </w:pPr>
            <w:r>
              <w:rPr>
                <w:rFonts w:hint="eastAsia" w:ascii="Times New Roman" w:hAnsi="Times New Roman" w:cs="Times New Roman" w:eastAsiaTheme="minorEastAsia"/>
                <w:sz w:val="21"/>
                <w:szCs w:val="21"/>
                <w:highlight w:val="none"/>
              </w:rPr>
              <w:t>0.14</w:t>
            </w:r>
          </w:p>
        </w:tc>
      </w:tr>
    </w:tbl>
    <w:p w14:paraId="1B99D202">
      <w:pPr>
        <w:pStyle w:val="7"/>
        <w:bidi w:val="0"/>
        <w:rPr>
          <w:highlight w:val="none"/>
        </w:rPr>
      </w:pPr>
      <w:r>
        <w:rPr>
          <w:highlight w:val="none"/>
        </w:rPr>
        <w:t>表5-2-1</w:t>
      </w:r>
      <w:r>
        <w:rPr>
          <w:rFonts w:hint="eastAsia"/>
          <w:highlight w:val="none"/>
          <w:lang w:val="en-US" w:eastAsia="zh-CN"/>
        </w:rPr>
        <w:t>0</w:t>
      </w:r>
      <w:r>
        <w:rPr>
          <w:highlight w:val="none"/>
        </w:rPr>
        <w:t>污染源非正常排放核算表</w:t>
      </w:r>
    </w:p>
    <w:tbl>
      <w:tblPr>
        <w:tblStyle w:val="45"/>
        <w:tblW w:w="889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17"/>
        <w:gridCol w:w="967"/>
        <w:gridCol w:w="1134"/>
        <w:gridCol w:w="1449"/>
        <w:gridCol w:w="1037"/>
        <w:gridCol w:w="1037"/>
        <w:gridCol w:w="890"/>
        <w:gridCol w:w="852"/>
        <w:gridCol w:w="1108"/>
      </w:tblGrid>
      <w:tr w14:paraId="036BCB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4" w:hRule="atLeast"/>
        </w:trPr>
        <w:tc>
          <w:tcPr>
            <w:tcW w:w="417" w:type="dxa"/>
            <w:vAlign w:val="center"/>
          </w:tcPr>
          <w:p w14:paraId="78EDBAC0">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kern w:val="0"/>
                <w:sz w:val="21"/>
                <w:szCs w:val="21"/>
                <w:highlight w:val="none"/>
              </w:rPr>
            </w:pPr>
            <w:bookmarkStart w:id="429" w:name="_Toc7295"/>
            <w:bookmarkStart w:id="430" w:name="_Toc38386207"/>
            <w:bookmarkStart w:id="431" w:name="_Toc30903"/>
            <w:bookmarkStart w:id="432" w:name="_Toc8843"/>
            <w:bookmarkStart w:id="433" w:name="_Toc38386593"/>
            <w:bookmarkStart w:id="434" w:name="_Toc42072129"/>
            <w:r>
              <w:rPr>
                <w:rFonts w:hint="default" w:ascii="Times New Roman" w:cs="Times New Roman" w:hAnsiTheme="minorEastAsia" w:eastAsiaTheme="minorEastAsia"/>
                <w:kern w:val="0"/>
                <w:sz w:val="21"/>
                <w:szCs w:val="21"/>
                <w:highlight w:val="none"/>
              </w:rPr>
              <w:t>序号</w:t>
            </w:r>
          </w:p>
        </w:tc>
        <w:tc>
          <w:tcPr>
            <w:tcW w:w="967" w:type="dxa"/>
            <w:vAlign w:val="center"/>
          </w:tcPr>
          <w:p w14:paraId="56AB7A95">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kern w:val="0"/>
                <w:sz w:val="21"/>
                <w:szCs w:val="21"/>
                <w:highlight w:val="none"/>
              </w:rPr>
            </w:pPr>
            <w:r>
              <w:rPr>
                <w:rFonts w:hint="default" w:ascii="Times New Roman" w:cs="Times New Roman" w:hAnsiTheme="minorEastAsia" w:eastAsiaTheme="minorEastAsia"/>
                <w:kern w:val="0"/>
                <w:sz w:val="21"/>
                <w:szCs w:val="21"/>
                <w:highlight w:val="none"/>
              </w:rPr>
              <w:t>污染源</w:t>
            </w:r>
          </w:p>
        </w:tc>
        <w:tc>
          <w:tcPr>
            <w:tcW w:w="1134" w:type="dxa"/>
            <w:vAlign w:val="center"/>
          </w:tcPr>
          <w:p w14:paraId="6DD4231E">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kern w:val="0"/>
                <w:sz w:val="21"/>
                <w:szCs w:val="21"/>
                <w:highlight w:val="none"/>
              </w:rPr>
            </w:pPr>
            <w:r>
              <w:rPr>
                <w:rFonts w:hint="default" w:ascii="Times New Roman" w:cs="Times New Roman" w:hAnsiTheme="minorEastAsia" w:eastAsiaTheme="minorEastAsia"/>
                <w:kern w:val="0"/>
                <w:sz w:val="21"/>
                <w:szCs w:val="21"/>
                <w:highlight w:val="none"/>
              </w:rPr>
              <w:t>非正常排放原因</w:t>
            </w:r>
          </w:p>
        </w:tc>
        <w:tc>
          <w:tcPr>
            <w:tcW w:w="1449" w:type="dxa"/>
            <w:vAlign w:val="center"/>
          </w:tcPr>
          <w:p w14:paraId="3036215F">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kern w:val="0"/>
                <w:sz w:val="21"/>
                <w:szCs w:val="21"/>
                <w:highlight w:val="none"/>
              </w:rPr>
            </w:pPr>
            <w:r>
              <w:rPr>
                <w:rFonts w:hint="default" w:ascii="Times New Roman" w:cs="Times New Roman" w:hAnsiTheme="minorEastAsia" w:eastAsiaTheme="minorEastAsia"/>
                <w:kern w:val="0"/>
                <w:sz w:val="21"/>
                <w:szCs w:val="21"/>
                <w:highlight w:val="none"/>
              </w:rPr>
              <w:t>污染物</w:t>
            </w:r>
          </w:p>
        </w:tc>
        <w:tc>
          <w:tcPr>
            <w:tcW w:w="1037" w:type="dxa"/>
            <w:vAlign w:val="center"/>
          </w:tcPr>
          <w:p w14:paraId="45091C2B">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kern w:val="0"/>
                <w:sz w:val="21"/>
                <w:szCs w:val="21"/>
                <w:highlight w:val="none"/>
              </w:rPr>
            </w:pPr>
            <w:r>
              <w:rPr>
                <w:rFonts w:hint="default" w:ascii="Times New Roman" w:cs="Times New Roman" w:hAnsiTheme="minorEastAsia" w:eastAsiaTheme="minorEastAsia"/>
                <w:kern w:val="0"/>
                <w:sz w:val="21"/>
                <w:szCs w:val="21"/>
                <w:highlight w:val="none"/>
              </w:rPr>
              <w:t>非正常排放浓度</w:t>
            </w:r>
            <w:r>
              <w:rPr>
                <w:rFonts w:hint="default" w:ascii="Times New Roman" w:hAnsi="Times New Roman" w:cs="Times New Roman" w:eastAsiaTheme="minorEastAsia"/>
                <w:kern w:val="0"/>
                <w:sz w:val="21"/>
                <w:szCs w:val="21"/>
                <w:highlight w:val="none"/>
              </w:rPr>
              <w:t>/μg/m</w:t>
            </w:r>
            <w:r>
              <w:rPr>
                <w:rFonts w:hint="default" w:ascii="Times New Roman" w:hAnsi="Times New Roman" w:cs="Times New Roman" w:eastAsiaTheme="minorEastAsia"/>
                <w:kern w:val="0"/>
                <w:sz w:val="21"/>
                <w:szCs w:val="21"/>
                <w:highlight w:val="none"/>
                <w:vertAlign w:val="superscript"/>
              </w:rPr>
              <w:t>3</w:t>
            </w:r>
          </w:p>
        </w:tc>
        <w:tc>
          <w:tcPr>
            <w:tcW w:w="1037" w:type="dxa"/>
            <w:vAlign w:val="center"/>
          </w:tcPr>
          <w:p w14:paraId="21544994">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kern w:val="0"/>
                <w:sz w:val="21"/>
                <w:szCs w:val="21"/>
                <w:highlight w:val="none"/>
              </w:rPr>
            </w:pPr>
            <w:r>
              <w:rPr>
                <w:rFonts w:hint="default" w:ascii="Times New Roman" w:cs="Times New Roman" w:hAnsiTheme="minorEastAsia" w:eastAsiaTheme="minorEastAsia"/>
                <w:kern w:val="0"/>
                <w:sz w:val="21"/>
                <w:szCs w:val="21"/>
                <w:highlight w:val="none"/>
              </w:rPr>
              <w:t>非正常排放速率</w:t>
            </w:r>
            <w:r>
              <w:rPr>
                <w:rFonts w:hint="default" w:ascii="Times New Roman" w:hAnsi="Times New Roman" w:cs="Times New Roman" w:eastAsiaTheme="minorEastAsia"/>
                <w:kern w:val="0"/>
                <w:sz w:val="21"/>
                <w:szCs w:val="21"/>
                <w:highlight w:val="none"/>
              </w:rPr>
              <w:t>/kg/h</w:t>
            </w:r>
          </w:p>
        </w:tc>
        <w:tc>
          <w:tcPr>
            <w:tcW w:w="890" w:type="dxa"/>
            <w:vAlign w:val="center"/>
          </w:tcPr>
          <w:p w14:paraId="59618BB5">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kern w:val="0"/>
                <w:sz w:val="21"/>
                <w:szCs w:val="21"/>
                <w:highlight w:val="none"/>
              </w:rPr>
            </w:pPr>
            <w:r>
              <w:rPr>
                <w:rFonts w:hint="default" w:ascii="Times New Roman" w:cs="Times New Roman" w:hAnsiTheme="minorEastAsia" w:eastAsiaTheme="minorEastAsia"/>
                <w:kern w:val="0"/>
                <w:sz w:val="21"/>
                <w:szCs w:val="21"/>
                <w:highlight w:val="none"/>
              </w:rPr>
              <w:t>单次持续时间</w:t>
            </w:r>
            <w:r>
              <w:rPr>
                <w:rFonts w:hint="default" w:ascii="Times New Roman" w:hAnsi="Times New Roman" w:cs="Times New Roman" w:eastAsiaTheme="minorEastAsia"/>
                <w:kern w:val="0"/>
                <w:sz w:val="21"/>
                <w:szCs w:val="21"/>
                <w:highlight w:val="none"/>
              </w:rPr>
              <w:t>/h</w:t>
            </w:r>
          </w:p>
        </w:tc>
        <w:tc>
          <w:tcPr>
            <w:tcW w:w="852" w:type="dxa"/>
            <w:vAlign w:val="center"/>
          </w:tcPr>
          <w:p w14:paraId="23786B67">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kern w:val="0"/>
                <w:sz w:val="21"/>
                <w:szCs w:val="21"/>
                <w:highlight w:val="none"/>
              </w:rPr>
            </w:pPr>
            <w:r>
              <w:rPr>
                <w:rFonts w:hint="default" w:ascii="Times New Roman" w:cs="Times New Roman" w:hAnsiTheme="minorEastAsia" w:eastAsiaTheme="minorEastAsia"/>
                <w:kern w:val="0"/>
                <w:sz w:val="21"/>
                <w:szCs w:val="21"/>
                <w:highlight w:val="none"/>
              </w:rPr>
              <w:t>年发生频次</w:t>
            </w:r>
            <w:r>
              <w:rPr>
                <w:rFonts w:hint="default" w:ascii="Times New Roman" w:hAnsi="Times New Roman" w:cs="Times New Roman" w:eastAsiaTheme="minorEastAsia"/>
                <w:kern w:val="0"/>
                <w:sz w:val="21"/>
                <w:szCs w:val="21"/>
                <w:highlight w:val="none"/>
              </w:rPr>
              <w:t>/</w:t>
            </w:r>
            <w:r>
              <w:rPr>
                <w:rFonts w:hint="default" w:ascii="Times New Roman" w:cs="Times New Roman" w:hAnsiTheme="minorEastAsia" w:eastAsiaTheme="minorEastAsia"/>
                <w:kern w:val="0"/>
                <w:sz w:val="21"/>
                <w:szCs w:val="21"/>
                <w:highlight w:val="none"/>
              </w:rPr>
              <w:t>次</w:t>
            </w:r>
          </w:p>
        </w:tc>
        <w:tc>
          <w:tcPr>
            <w:tcW w:w="1108" w:type="dxa"/>
            <w:vAlign w:val="center"/>
          </w:tcPr>
          <w:p w14:paraId="5ABACC8A">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kern w:val="0"/>
                <w:sz w:val="21"/>
                <w:szCs w:val="21"/>
                <w:highlight w:val="none"/>
              </w:rPr>
            </w:pPr>
            <w:r>
              <w:rPr>
                <w:rFonts w:hint="default" w:ascii="Times New Roman" w:cs="Times New Roman" w:hAnsiTheme="minorEastAsia" w:eastAsiaTheme="minorEastAsia"/>
                <w:kern w:val="0"/>
                <w:sz w:val="21"/>
                <w:szCs w:val="21"/>
                <w:highlight w:val="none"/>
              </w:rPr>
              <w:t>应对措施</w:t>
            </w:r>
          </w:p>
        </w:tc>
      </w:tr>
      <w:tr w14:paraId="7E2DA5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417" w:type="dxa"/>
            <w:vAlign w:val="center"/>
          </w:tcPr>
          <w:p w14:paraId="0E8A7A9F">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1</w:t>
            </w:r>
          </w:p>
        </w:tc>
        <w:tc>
          <w:tcPr>
            <w:tcW w:w="967" w:type="dxa"/>
            <w:vAlign w:val="center"/>
          </w:tcPr>
          <w:p w14:paraId="75E25EAE">
            <w:pPr>
              <w:keepNext w:val="0"/>
              <w:keepLines w:val="0"/>
              <w:suppressLineNumbers w:val="0"/>
              <w:wordWrap/>
              <w:adjustRightInd/>
              <w:snapToGrid/>
              <w:spacing w:before="0" w:beforeAutospacing="0" w:after="0" w:afterAutospacing="0" w:line="0" w:lineRule="atLeast"/>
              <w:ind w:left="0" w:right="0" w:firstLine="0" w:firstLineChars="0"/>
              <w:jc w:val="center"/>
              <w:rPr>
                <w:rFonts w:hint="default" w:ascii="Times New Roman" w:hAnsi="Times New Roman" w:cs="Times New Roman" w:eastAsiaTheme="minorEastAsia"/>
                <w:sz w:val="21"/>
                <w:szCs w:val="21"/>
                <w:highlight w:val="none"/>
              </w:rPr>
            </w:pPr>
            <w:r>
              <w:rPr>
                <w:rFonts w:hint="eastAsia" w:ascii="Times New Roman" w:cs="Times New Roman" w:hAnsiTheme="minorEastAsia" w:eastAsiaTheme="minorEastAsia"/>
                <w:sz w:val="21"/>
                <w:szCs w:val="21"/>
                <w:highlight w:val="none"/>
              </w:rPr>
              <w:t>DA001</w:t>
            </w:r>
          </w:p>
        </w:tc>
        <w:tc>
          <w:tcPr>
            <w:tcW w:w="1134" w:type="dxa"/>
            <w:vMerge w:val="restart"/>
            <w:vAlign w:val="center"/>
          </w:tcPr>
          <w:p w14:paraId="584B6B15">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kern w:val="0"/>
                <w:sz w:val="21"/>
                <w:szCs w:val="21"/>
                <w:highlight w:val="none"/>
              </w:rPr>
            </w:pPr>
            <w:r>
              <w:rPr>
                <w:rFonts w:hint="default" w:ascii="Times New Roman" w:cs="Times New Roman" w:hAnsiTheme="minorEastAsia" w:eastAsiaTheme="minorEastAsia"/>
                <w:sz w:val="21"/>
                <w:szCs w:val="21"/>
                <w:highlight w:val="none"/>
              </w:rPr>
              <w:t>环保设备设备不能正常运转时</w:t>
            </w:r>
          </w:p>
        </w:tc>
        <w:tc>
          <w:tcPr>
            <w:tcW w:w="1449" w:type="dxa"/>
            <w:vAlign w:val="center"/>
          </w:tcPr>
          <w:p w14:paraId="590C4BBF">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kern w:val="0"/>
                <w:sz w:val="21"/>
                <w:szCs w:val="21"/>
                <w:highlight w:val="none"/>
              </w:rPr>
            </w:pPr>
            <w:r>
              <w:rPr>
                <w:rFonts w:hint="default" w:ascii="Times New Roman" w:cs="Times New Roman" w:hAnsiTheme="minorEastAsia" w:eastAsiaTheme="minorEastAsia"/>
                <w:kern w:val="0"/>
                <w:sz w:val="21"/>
                <w:szCs w:val="21"/>
                <w:highlight w:val="none"/>
              </w:rPr>
              <w:t>非甲烷总烃</w:t>
            </w:r>
          </w:p>
        </w:tc>
        <w:tc>
          <w:tcPr>
            <w:tcW w:w="1037" w:type="dxa"/>
            <w:vAlign w:val="center"/>
          </w:tcPr>
          <w:p w14:paraId="5D0E284F">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eastAsia" w:ascii="Times New Roman" w:hAnsi="Times New Roman" w:cs="Times New Roman" w:eastAsiaTheme="minorEastAsia"/>
                <w:sz w:val="21"/>
                <w:szCs w:val="21"/>
                <w:highlight w:val="none"/>
              </w:rPr>
              <w:t>1181</w:t>
            </w:r>
          </w:p>
        </w:tc>
        <w:tc>
          <w:tcPr>
            <w:tcW w:w="1037" w:type="dxa"/>
            <w:vAlign w:val="center"/>
          </w:tcPr>
          <w:p w14:paraId="371357D3">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eastAsia" w:ascii="Times New Roman" w:hAnsi="Times New Roman" w:cs="Times New Roman" w:eastAsiaTheme="minorEastAsia"/>
                <w:sz w:val="21"/>
                <w:szCs w:val="21"/>
                <w:highlight w:val="none"/>
              </w:rPr>
              <w:t>0.036</w:t>
            </w:r>
          </w:p>
        </w:tc>
        <w:tc>
          <w:tcPr>
            <w:tcW w:w="890" w:type="dxa"/>
            <w:vMerge w:val="restart"/>
            <w:vAlign w:val="center"/>
          </w:tcPr>
          <w:p w14:paraId="6F9FEB9B">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cs="Times New Roman" w:hAnsiTheme="minorEastAsia" w:eastAsiaTheme="minorEastAsia"/>
                <w:sz w:val="21"/>
                <w:szCs w:val="21"/>
                <w:highlight w:val="none"/>
              </w:rPr>
              <w:t>＜</w:t>
            </w:r>
            <w:r>
              <w:rPr>
                <w:rFonts w:hint="default" w:ascii="Times New Roman" w:hAnsi="Times New Roman" w:cs="Times New Roman" w:eastAsiaTheme="minorEastAsia"/>
                <w:sz w:val="21"/>
                <w:szCs w:val="21"/>
                <w:highlight w:val="none"/>
              </w:rPr>
              <w:t>1</w:t>
            </w:r>
          </w:p>
        </w:tc>
        <w:tc>
          <w:tcPr>
            <w:tcW w:w="852" w:type="dxa"/>
            <w:vMerge w:val="restart"/>
            <w:vAlign w:val="center"/>
          </w:tcPr>
          <w:p w14:paraId="342A7D9C">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w:t>
            </w:r>
          </w:p>
        </w:tc>
        <w:tc>
          <w:tcPr>
            <w:tcW w:w="1108" w:type="dxa"/>
            <w:vMerge w:val="restart"/>
            <w:vAlign w:val="center"/>
          </w:tcPr>
          <w:p w14:paraId="52352DE9">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kern w:val="0"/>
                <w:sz w:val="21"/>
                <w:szCs w:val="21"/>
                <w:highlight w:val="none"/>
              </w:rPr>
            </w:pPr>
            <w:r>
              <w:rPr>
                <w:rFonts w:hint="default" w:ascii="Times New Roman" w:cs="Times New Roman" w:hAnsiTheme="minorEastAsia" w:eastAsiaTheme="minorEastAsia"/>
                <w:kern w:val="0"/>
                <w:sz w:val="21"/>
                <w:szCs w:val="21"/>
                <w:highlight w:val="none"/>
              </w:rPr>
              <w:t>及时检修，加强维护</w:t>
            </w:r>
          </w:p>
        </w:tc>
      </w:tr>
      <w:tr w14:paraId="5F29E1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417" w:type="dxa"/>
            <w:vAlign w:val="center"/>
          </w:tcPr>
          <w:p w14:paraId="66419000">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2</w:t>
            </w:r>
          </w:p>
        </w:tc>
        <w:tc>
          <w:tcPr>
            <w:tcW w:w="967" w:type="dxa"/>
            <w:vMerge w:val="restart"/>
            <w:vAlign w:val="center"/>
          </w:tcPr>
          <w:p w14:paraId="005A5321">
            <w:pPr>
              <w:keepNext w:val="0"/>
              <w:keepLines w:val="0"/>
              <w:suppressLineNumbers w:val="0"/>
              <w:wordWrap/>
              <w:adjustRightInd/>
              <w:snapToGrid/>
              <w:spacing w:before="0" w:beforeAutospacing="0" w:after="0" w:afterAutospacing="0" w:line="0" w:lineRule="atLeast"/>
              <w:ind w:left="0" w:right="0" w:firstLine="0" w:firstLineChars="0"/>
              <w:jc w:val="center"/>
              <w:rPr>
                <w:rFonts w:hint="default" w:ascii="Times New Roman" w:cs="Times New Roman" w:hAnsiTheme="minorEastAsia" w:eastAsiaTheme="minorEastAsia"/>
                <w:sz w:val="21"/>
                <w:szCs w:val="21"/>
                <w:highlight w:val="none"/>
              </w:rPr>
            </w:pPr>
            <w:r>
              <w:rPr>
                <w:rFonts w:hint="eastAsia" w:ascii="Times New Roman" w:cs="Times New Roman" w:hAnsiTheme="minorEastAsia" w:eastAsiaTheme="minorEastAsia"/>
                <w:sz w:val="21"/>
                <w:szCs w:val="21"/>
                <w:highlight w:val="none"/>
              </w:rPr>
              <w:t>DA002</w:t>
            </w:r>
          </w:p>
        </w:tc>
        <w:tc>
          <w:tcPr>
            <w:tcW w:w="1134" w:type="dxa"/>
            <w:vMerge w:val="continue"/>
            <w:vAlign w:val="center"/>
          </w:tcPr>
          <w:p w14:paraId="0D6CA83B">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z w:val="21"/>
                <w:szCs w:val="21"/>
                <w:highlight w:val="none"/>
              </w:rPr>
            </w:pPr>
          </w:p>
        </w:tc>
        <w:tc>
          <w:tcPr>
            <w:tcW w:w="1449" w:type="dxa"/>
            <w:vAlign w:val="center"/>
          </w:tcPr>
          <w:p w14:paraId="6188D1C4">
            <w:pPr>
              <w:keepNext w:val="0"/>
              <w:keepLines w:val="0"/>
              <w:suppressLineNumbers w:val="0"/>
              <w:wordWrap/>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氮氧化物</w:t>
            </w:r>
          </w:p>
        </w:tc>
        <w:tc>
          <w:tcPr>
            <w:tcW w:w="1037" w:type="dxa"/>
            <w:vAlign w:val="center"/>
          </w:tcPr>
          <w:p w14:paraId="774A247C">
            <w:pPr>
              <w:keepNext w:val="0"/>
              <w:keepLines w:val="0"/>
              <w:suppressLineNumbers w:val="0"/>
              <w:wordWrap/>
              <w:adjustRightInd/>
              <w:snapToGrid/>
              <w:spacing w:before="0" w:beforeAutospacing="0" w:after="0" w:afterAutospacing="0" w:line="0" w:lineRule="atLeast"/>
              <w:ind w:left="0" w:right="0" w:firstLine="0" w:firstLineChars="0"/>
              <w:jc w:val="center"/>
              <w:rPr>
                <w:rFonts w:hint="default" w:ascii="Times New Roman" w:hAnsi="Times New Roman" w:cs="Times New Roman" w:eastAsiaTheme="minorEastAsia"/>
                <w:sz w:val="21"/>
                <w:szCs w:val="21"/>
                <w:highlight w:val="none"/>
              </w:rPr>
            </w:pPr>
            <w:r>
              <w:rPr>
                <w:rFonts w:hint="eastAsia" w:ascii="Times New Roman" w:hAnsi="Times New Roman" w:cs="Times New Roman" w:eastAsiaTheme="minorEastAsia"/>
                <w:sz w:val="21"/>
                <w:szCs w:val="21"/>
                <w:highlight w:val="none"/>
              </w:rPr>
              <w:t>110110</w:t>
            </w:r>
          </w:p>
        </w:tc>
        <w:tc>
          <w:tcPr>
            <w:tcW w:w="1037" w:type="dxa"/>
            <w:vAlign w:val="center"/>
          </w:tcPr>
          <w:p w14:paraId="0CDDF377">
            <w:pPr>
              <w:keepNext w:val="0"/>
              <w:keepLines w:val="0"/>
              <w:suppressLineNumbers w:val="0"/>
              <w:wordWrap/>
              <w:adjustRightInd/>
              <w:snapToGrid/>
              <w:spacing w:before="0" w:beforeAutospacing="0" w:after="0" w:afterAutospacing="0" w:line="0" w:lineRule="atLeast"/>
              <w:ind w:left="0" w:right="0" w:firstLine="0" w:firstLineChars="0"/>
              <w:jc w:val="center"/>
              <w:rPr>
                <w:rFonts w:hint="default" w:ascii="Times New Roman" w:hAnsi="Times New Roman" w:cs="Times New Roman" w:eastAsiaTheme="minorEastAsia"/>
                <w:sz w:val="21"/>
                <w:szCs w:val="21"/>
                <w:highlight w:val="none"/>
              </w:rPr>
            </w:pPr>
            <w:r>
              <w:rPr>
                <w:rFonts w:hint="eastAsia" w:ascii="Times New Roman" w:hAnsi="Times New Roman" w:cs="Times New Roman" w:eastAsiaTheme="minorEastAsia"/>
                <w:sz w:val="21"/>
                <w:szCs w:val="21"/>
                <w:highlight w:val="none"/>
              </w:rPr>
              <w:t>4.697</w:t>
            </w:r>
          </w:p>
        </w:tc>
        <w:tc>
          <w:tcPr>
            <w:tcW w:w="890" w:type="dxa"/>
            <w:vMerge w:val="continue"/>
            <w:vAlign w:val="center"/>
          </w:tcPr>
          <w:p w14:paraId="1D84CCC6">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z w:val="21"/>
                <w:szCs w:val="21"/>
                <w:highlight w:val="none"/>
              </w:rPr>
            </w:pPr>
          </w:p>
        </w:tc>
        <w:tc>
          <w:tcPr>
            <w:tcW w:w="852" w:type="dxa"/>
            <w:vMerge w:val="continue"/>
            <w:vAlign w:val="center"/>
          </w:tcPr>
          <w:p w14:paraId="0E588BF2">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p>
        </w:tc>
        <w:tc>
          <w:tcPr>
            <w:tcW w:w="1108" w:type="dxa"/>
            <w:vMerge w:val="continue"/>
            <w:vAlign w:val="center"/>
          </w:tcPr>
          <w:p w14:paraId="025EA714">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kern w:val="0"/>
                <w:sz w:val="21"/>
                <w:szCs w:val="21"/>
                <w:highlight w:val="none"/>
              </w:rPr>
            </w:pPr>
          </w:p>
        </w:tc>
      </w:tr>
      <w:tr w14:paraId="5CFDAA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417" w:type="dxa"/>
            <w:vAlign w:val="center"/>
          </w:tcPr>
          <w:p w14:paraId="58E47587">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3</w:t>
            </w:r>
          </w:p>
        </w:tc>
        <w:tc>
          <w:tcPr>
            <w:tcW w:w="967" w:type="dxa"/>
            <w:vMerge w:val="continue"/>
            <w:vAlign w:val="center"/>
          </w:tcPr>
          <w:p w14:paraId="639D39AF">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z w:val="21"/>
                <w:szCs w:val="21"/>
                <w:highlight w:val="none"/>
              </w:rPr>
            </w:pPr>
          </w:p>
        </w:tc>
        <w:tc>
          <w:tcPr>
            <w:tcW w:w="1134" w:type="dxa"/>
            <w:vMerge w:val="continue"/>
            <w:vAlign w:val="center"/>
          </w:tcPr>
          <w:p w14:paraId="7CFE828E">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z w:val="21"/>
                <w:szCs w:val="21"/>
                <w:highlight w:val="none"/>
              </w:rPr>
            </w:pPr>
          </w:p>
        </w:tc>
        <w:tc>
          <w:tcPr>
            <w:tcW w:w="1449" w:type="dxa"/>
            <w:vAlign w:val="center"/>
          </w:tcPr>
          <w:p w14:paraId="6FE50FF6">
            <w:pPr>
              <w:keepNext w:val="0"/>
              <w:keepLines w:val="0"/>
              <w:suppressLineNumbers w:val="0"/>
              <w:wordWrap/>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非甲烷总烃</w:t>
            </w:r>
          </w:p>
        </w:tc>
        <w:tc>
          <w:tcPr>
            <w:tcW w:w="1037" w:type="dxa"/>
            <w:vAlign w:val="center"/>
          </w:tcPr>
          <w:p w14:paraId="3A98EF69">
            <w:pPr>
              <w:keepNext w:val="0"/>
              <w:keepLines w:val="0"/>
              <w:suppressLineNumbers w:val="0"/>
              <w:wordWrap/>
              <w:adjustRightInd/>
              <w:snapToGrid/>
              <w:spacing w:before="0" w:beforeAutospacing="0" w:after="0" w:afterAutospacing="0" w:line="0" w:lineRule="atLeast"/>
              <w:ind w:left="0" w:right="0" w:firstLine="0" w:firstLineChars="0"/>
              <w:jc w:val="center"/>
              <w:rPr>
                <w:rFonts w:hint="default" w:ascii="Times New Roman" w:hAnsi="Times New Roman" w:cs="Times New Roman" w:eastAsiaTheme="minorEastAsia"/>
                <w:sz w:val="21"/>
                <w:szCs w:val="21"/>
                <w:highlight w:val="none"/>
              </w:rPr>
            </w:pPr>
            <w:r>
              <w:rPr>
                <w:rFonts w:hint="eastAsia" w:ascii="Times New Roman" w:hAnsi="Times New Roman" w:cs="Times New Roman" w:eastAsiaTheme="minorEastAsia"/>
                <w:sz w:val="21"/>
                <w:szCs w:val="21"/>
                <w:highlight w:val="none"/>
              </w:rPr>
              <w:t>28882</w:t>
            </w:r>
          </w:p>
        </w:tc>
        <w:tc>
          <w:tcPr>
            <w:tcW w:w="1037" w:type="dxa"/>
            <w:vAlign w:val="center"/>
          </w:tcPr>
          <w:p w14:paraId="268C577C">
            <w:pPr>
              <w:keepNext w:val="0"/>
              <w:keepLines w:val="0"/>
              <w:suppressLineNumbers w:val="0"/>
              <w:wordWrap/>
              <w:adjustRightInd/>
              <w:snapToGrid/>
              <w:spacing w:before="0" w:beforeAutospacing="0" w:after="0" w:afterAutospacing="0" w:line="0" w:lineRule="atLeast"/>
              <w:ind w:left="0" w:right="0" w:firstLine="0" w:firstLineChars="0"/>
              <w:jc w:val="center"/>
              <w:rPr>
                <w:rFonts w:hint="default" w:ascii="Times New Roman" w:hAnsi="Times New Roman" w:cs="Times New Roman" w:eastAsiaTheme="minorEastAsia"/>
                <w:sz w:val="21"/>
                <w:szCs w:val="21"/>
                <w:highlight w:val="none"/>
              </w:rPr>
            </w:pPr>
            <w:r>
              <w:rPr>
                <w:rFonts w:hint="eastAsia" w:ascii="Times New Roman" w:hAnsi="Times New Roman" w:cs="Times New Roman" w:eastAsiaTheme="minorEastAsia"/>
                <w:sz w:val="21"/>
                <w:szCs w:val="21"/>
                <w:highlight w:val="none"/>
              </w:rPr>
              <w:t>1.232</w:t>
            </w:r>
          </w:p>
        </w:tc>
        <w:tc>
          <w:tcPr>
            <w:tcW w:w="890" w:type="dxa"/>
            <w:vMerge w:val="continue"/>
            <w:vAlign w:val="center"/>
          </w:tcPr>
          <w:p w14:paraId="3E34A0E8">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z w:val="21"/>
                <w:szCs w:val="21"/>
                <w:highlight w:val="none"/>
              </w:rPr>
            </w:pPr>
          </w:p>
        </w:tc>
        <w:tc>
          <w:tcPr>
            <w:tcW w:w="852" w:type="dxa"/>
            <w:vMerge w:val="continue"/>
            <w:vAlign w:val="center"/>
          </w:tcPr>
          <w:p w14:paraId="07A845E0">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p>
        </w:tc>
        <w:tc>
          <w:tcPr>
            <w:tcW w:w="1108" w:type="dxa"/>
            <w:vMerge w:val="continue"/>
            <w:vAlign w:val="center"/>
          </w:tcPr>
          <w:p w14:paraId="3F59DD1B">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kern w:val="0"/>
                <w:sz w:val="21"/>
                <w:szCs w:val="21"/>
                <w:highlight w:val="none"/>
              </w:rPr>
            </w:pPr>
          </w:p>
        </w:tc>
      </w:tr>
      <w:tr w14:paraId="333331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417" w:type="dxa"/>
            <w:vAlign w:val="center"/>
          </w:tcPr>
          <w:p w14:paraId="3660F0E4">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4</w:t>
            </w:r>
          </w:p>
        </w:tc>
        <w:tc>
          <w:tcPr>
            <w:tcW w:w="967" w:type="dxa"/>
            <w:vMerge w:val="continue"/>
            <w:vAlign w:val="center"/>
          </w:tcPr>
          <w:p w14:paraId="0E89D4BA">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z w:val="21"/>
                <w:szCs w:val="21"/>
                <w:highlight w:val="none"/>
              </w:rPr>
            </w:pPr>
          </w:p>
        </w:tc>
        <w:tc>
          <w:tcPr>
            <w:tcW w:w="1134" w:type="dxa"/>
            <w:vMerge w:val="continue"/>
            <w:vAlign w:val="center"/>
          </w:tcPr>
          <w:p w14:paraId="44B787ED">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z w:val="21"/>
                <w:szCs w:val="21"/>
                <w:highlight w:val="none"/>
              </w:rPr>
            </w:pPr>
          </w:p>
        </w:tc>
        <w:tc>
          <w:tcPr>
            <w:tcW w:w="1449" w:type="dxa"/>
            <w:vAlign w:val="center"/>
          </w:tcPr>
          <w:p w14:paraId="60A56109">
            <w:pPr>
              <w:keepNext w:val="0"/>
              <w:keepLines w:val="0"/>
              <w:suppressLineNumbers w:val="0"/>
              <w:wordWrap/>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一氧化碳</w:t>
            </w:r>
          </w:p>
        </w:tc>
        <w:tc>
          <w:tcPr>
            <w:tcW w:w="1037" w:type="dxa"/>
            <w:vAlign w:val="center"/>
          </w:tcPr>
          <w:p w14:paraId="44AFC2F3">
            <w:pPr>
              <w:keepNext w:val="0"/>
              <w:keepLines w:val="0"/>
              <w:suppressLineNumbers w:val="0"/>
              <w:wordWrap/>
              <w:adjustRightInd/>
              <w:snapToGrid/>
              <w:spacing w:before="0" w:beforeAutospacing="0" w:after="0" w:afterAutospacing="0" w:line="0" w:lineRule="atLeast"/>
              <w:ind w:left="0" w:right="0" w:firstLine="0" w:firstLineChars="0"/>
              <w:jc w:val="center"/>
              <w:rPr>
                <w:rFonts w:hint="default" w:ascii="Times New Roman" w:hAnsi="Times New Roman" w:cs="Times New Roman" w:eastAsiaTheme="minorEastAsia"/>
                <w:sz w:val="21"/>
                <w:szCs w:val="21"/>
                <w:highlight w:val="none"/>
              </w:rPr>
            </w:pPr>
            <w:r>
              <w:rPr>
                <w:rFonts w:hint="eastAsia" w:ascii="Times New Roman" w:hAnsi="Times New Roman" w:cs="Times New Roman" w:eastAsiaTheme="minorEastAsia"/>
                <w:sz w:val="21"/>
                <w:szCs w:val="21"/>
                <w:highlight w:val="none"/>
              </w:rPr>
              <w:t>193424</w:t>
            </w:r>
          </w:p>
        </w:tc>
        <w:tc>
          <w:tcPr>
            <w:tcW w:w="1037" w:type="dxa"/>
            <w:vAlign w:val="center"/>
          </w:tcPr>
          <w:p w14:paraId="738D2A02">
            <w:pPr>
              <w:keepNext w:val="0"/>
              <w:keepLines w:val="0"/>
              <w:suppressLineNumbers w:val="0"/>
              <w:wordWrap/>
              <w:adjustRightInd/>
              <w:snapToGrid/>
              <w:spacing w:before="0" w:beforeAutospacing="0" w:after="0" w:afterAutospacing="0" w:line="0" w:lineRule="atLeast"/>
              <w:ind w:left="0" w:right="0" w:firstLine="0" w:firstLineChars="0"/>
              <w:jc w:val="center"/>
              <w:rPr>
                <w:rFonts w:hint="default" w:ascii="Times New Roman" w:hAnsi="Times New Roman" w:cs="Times New Roman" w:eastAsiaTheme="minorEastAsia"/>
                <w:sz w:val="21"/>
                <w:szCs w:val="21"/>
                <w:highlight w:val="none"/>
              </w:rPr>
            </w:pPr>
            <w:r>
              <w:rPr>
                <w:rFonts w:hint="eastAsia" w:ascii="Times New Roman" w:hAnsi="Times New Roman" w:cs="Times New Roman" w:eastAsiaTheme="minorEastAsia"/>
                <w:sz w:val="21"/>
                <w:szCs w:val="21"/>
                <w:highlight w:val="none"/>
              </w:rPr>
              <w:t>8.246</w:t>
            </w:r>
          </w:p>
        </w:tc>
        <w:tc>
          <w:tcPr>
            <w:tcW w:w="890" w:type="dxa"/>
            <w:vMerge w:val="continue"/>
            <w:vAlign w:val="center"/>
          </w:tcPr>
          <w:p w14:paraId="7F726D2C">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sz w:val="21"/>
                <w:szCs w:val="21"/>
                <w:highlight w:val="none"/>
              </w:rPr>
            </w:pPr>
          </w:p>
        </w:tc>
        <w:tc>
          <w:tcPr>
            <w:tcW w:w="852" w:type="dxa"/>
            <w:vMerge w:val="continue"/>
            <w:vAlign w:val="center"/>
          </w:tcPr>
          <w:p w14:paraId="19DBE32C">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hAnsi="Times New Roman" w:cs="Times New Roman" w:eastAsiaTheme="minorEastAsia"/>
                <w:sz w:val="21"/>
                <w:szCs w:val="21"/>
                <w:highlight w:val="none"/>
              </w:rPr>
            </w:pPr>
          </w:p>
        </w:tc>
        <w:tc>
          <w:tcPr>
            <w:tcW w:w="1108" w:type="dxa"/>
            <w:vMerge w:val="continue"/>
            <w:vAlign w:val="center"/>
          </w:tcPr>
          <w:p w14:paraId="4B7451C8">
            <w:pPr>
              <w:keepNext w:val="0"/>
              <w:keepLines w:val="0"/>
              <w:suppressLineNumbers w:val="0"/>
              <w:wordWrap/>
              <w:adjustRightInd/>
              <w:snapToGrid/>
              <w:spacing w:before="0" w:beforeAutospacing="0" w:after="0" w:afterAutospacing="0" w:line="240" w:lineRule="auto"/>
              <w:ind w:left="0" w:right="0" w:firstLine="0" w:firstLineChars="0"/>
              <w:jc w:val="center"/>
              <w:rPr>
                <w:rFonts w:hint="default" w:ascii="Times New Roman" w:cs="Times New Roman" w:hAnsiTheme="minorEastAsia" w:eastAsiaTheme="minorEastAsia"/>
                <w:kern w:val="0"/>
                <w:sz w:val="21"/>
                <w:szCs w:val="21"/>
                <w:highlight w:val="none"/>
              </w:rPr>
            </w:pPr>
          </w:p>
        </w:tc>
      </w:tr>
    </w:tbl>
    <w:p w14:paraId="38107DBD">
      <w:pPr>
        <w:bidi w:val="0"/>
        <w:rPr>
          <w:rFonts w:eastAsiaTheme="minorEastAsia"/>
          <w:sz w:val="24"/>
          <w:highlight w:val="none"/>
        </w:rPr>
      </w:pPr>
      <w:r>
        <w:rPr>
          <w:rFonts w:hint="eastAsia" w:eastAsiaTheme="minorEastAsia"/>
          <w:sz w:val="24"/>
          <w:highlight w:val="none"/>
          <w:lang w:val="en-US" w:eastAsia="zh-CN"/>
        </w:rPr>
        <w:t>5</w:t>
      </w:r>
      <w:r>
        <w:rPr>
          <w:rFonts w:hAnsiTheme="minorEastAsia" w:eastAsiaTheme="minorEastAsia"/>
          <w:sz w:val="24"/>
          <w:highlight w:val="none"/>
        </w:rPr>
        <w:t>、大气环境影响分析结论</w:t>
      </w:r>
      <w:bookmarkEnd w:id="429"/>
      <w:bookmarkEnd w:id="430"/>
      <w:bookmarkEnd w:id="431"/>
      <w:bookmarkEnd w:id="432"/>
      <w:bookmarkEnd w:id="433"/>
      <w:bookmarkEnd w:id="434"/>
    </w:p>
    <w:p w14:paraId="73513648">
      <w:pPr>
        <w:spacing w:line="360" w:lineRule="auto"/>
        <w:ind w:firstLine="480" w:firstLineChars="200"/>
        <w:rPr>
          <w:rFonts w:hAnsiTheme="minorEastAsia" w:eastAsiaTheme="minorEastAsia"/>
          <w:kern w:val="0"/>
          <w:sz w:val="24"/>
          <w:highlight w:val="none"/>
        </w:rPr>
      </w:pPr>
      <w:r>
        <w:rPr>
          <w:rFonts w:hAnsiTheme="minorEastAsia" w:eastAsiaTheme="minorEastAsia"/>
          <w:kern w:val="0"/>
          <w:sz w:val="24"/>
          <w:highlight w:val="none"/>
        </w:rPr>
        <w:t>机械加工件在密闭的机械加工中心内进行，</w:t>
      </w:r>
      <w:r>
        <w:rPr>
          <w:rFonts w:hint="eastAsia" w:hAnsiTheme="minorEastAsia" w:eastAsiaTheme="minorEastAsia"/>
          <w:bCs/>
          <w:kern w:val="0"/>
          <w:sz w:val="24"/>
          <w:highlight w:val="none"/>
        </w:rPr>
        <w:t>废气经设备自带</w:t>
      </w:r>
      <w:r>
        <w:rPr>
          <w:rFonts w:hAnsiTheme="minorEastAsia" w:eastAsiaTheme="minorEastAsia"/>
          <w:bCs/>
          <w:kern w:val="0"/>
          <w:sz w:val="24"/>
          <w:highlight w:val="none"/>
        </w:rPr>
        <w:t>油雾净化装置处理后由1根15米高DA001排气筒排放，集气效率为</w:t>
      </w:r>
      <w:r>
        <w:rPr>
          <w:rFonts w:hint="eastAsia" w:hAnsiTheme="minorEastAsia" w:eastAsiaTheme="minorEastAsia"/>
          <w:bCs/>
          <w:kern w:val="0"/>
          <w:sz w:val="24"/>
          <w:highlight w:val="none"/>
        </w:rPr>
        <w:t>95</w:t>
      </w:r>
      <w:r>
        <w:rPr>
          <w:rFonts w:hAnsiTheme="minorEastAsia" w:eastAsiaTheme="minorEastAsia"/>
          <w:bCs/>
          <w:kern w:val="0"/>
          <w:sz w:val="24"/>
          <w:highlight w:val="none"/>
        </w:rPr>
        <w:t>%，处理效率为90%</w:t>
      </w:r>
      <w:r>
        <w:rPr>
          <w:rFonts w:hAnsiTheme="minorEastAsia" w:eastAsiaTheme="minorEastAsia"/>
          <w:kern w:val="0"/>
          <w:sz w:val="24"/>
          <w:highlight w:val="none"/>
        </w:rPr>
        <w:t>。非甲烷总烃排放速率为</w:t>
      </w:r>
      <w:r>
        <w:rPr>
          <w:rFonts w:eastAsiaTheme="minorEastAsia"/>
          <w:kern w:val="0"/>
          <w:sz w:val="24"/>
          <w:highlight w:val="none"/>
        </w:rPr>
        <w:t>0.00</w:t>
      </w:r>
      <w:r>
        <w:rPr>
          <w:rFonts w:hint="eastAsia" w:eastAsiaTheme="minorEastAsia"/>
          <w:kern w:val="0"/>
          <w:sz w:val="24"/>
          <w:highlight w:val="none"/>
        </w:rPr>
        <w:t>5</w:t>
      </w:r>
      <w:r>
        <w:rPr>
          <w:rFonts w:eastAsiaTheme="minorEastAsia"/>
          <w:kern w:val="0"/>
          <w:sz w:val="24"/>
          <w:highlight w:val="none"/>
        </w:rPr>
        <w:t>kg/h</w:t>
      </w:r>
      <w:r>
        <w:rPr>
          <w:rFonts w:hAnsiTheme="minorEastAsia" w:eastAsiaTheme="minorEastAsia"/>
          <w:kern w:val="0"/>
          <w:sz w:val="24"/>
          <w:highlight w:val="none"/>
        </w:rPr>
        <w:t>，排放浓度为</w:t>
      </w:r>
      <w:r>
        <w:rPr>
          <w:rFonts w:hint="eastAsia" w:eastAsiaTheme="minorEastAsia"/>
          <w:kern w:val="0"/>
          <w:sz w:val="24"/>
          <w:highlight w:val="none"/>
        </w:rPr>
        <w:t>0.169</w:t>
      </w:r>
      <w:r>
        <w:rPr>
          <w:rFonts w:eastAsiaTheme="minorEastAsia"/>
          <w:kern w:val="0"/>
          <w:sz w:val="24"/>
          <w:highlight w:val="none"/>
        </w:rPr>
        <w:t>mg/m</w:t>
      </w:r>
      <w:r>
        <w:rPr>
          <w:rFonts w:eastAsiaTheme="minorEastAsia"/>
          <w:kern w:val="0"/>
          <w:sz w:val="24"/>
          <w:highlight w:val="none"/>
          <w:vertAlign w:val="superscript"/>
        </w:rPr>
        <w:t>3</w:t>
      </w:r>
      <w:r>
        <w:rPr>
          <w:rFonts w:hAnsiTheme="minorEastAsia" w:eastAsiaTheme="minorEastAsia"/>
          <w:kern w:val="0"/>
          <w:sz w:val="24"/>
          <w:highlight w:val="none"/>
        </w:rPr>
        <w:t>，排放浓度及速率均满足《大气污染物综合排放标准》（</w:t>
      </w:r>
      <w:r>
        <w:rPr>
          <w:rFonts w:eastAsiaTheme="minorEastAsia"/>
          <w:kern w:val="0"/>
          <w:sz w:val="24"/>
          <w:highlight w:val="none"/>
        </w:rPr>
        <w:t>GB16297-1996</w:t>
      </w:r>
      <w:r>
        <w:rPr>
          <w:rFonts w:hAnsiTheme="minorEastAsia" w:eastAsiaTheme="minorEastAsia"/>
          <w:kern w:val="0"/>
          <w:sz w:val="24"/>
          <w:highlight w:val="none"/>
        </w:rPr>
        <w:t>）表</w:t>
      </w:r>
      <w:r>
        <w:rPr>
          <w:rFonts w:eastAsiaTheme="minorEastAsia"/>
          <w:kern w:val="0"/>
          <w:sz w:val="24"/>
          <w:highlight w:val="none"/>
        </w:rPr>
        <w:t>2</w:t>
      </w:r>
      <w:r>
        <w:rPr>
          <w:rFonts w:hAnsiTheme="minorEastAsia" w:eastAsiaTheme="minorEastAsia"/>
          <w:kern w:val="0"/>
          <w:sz w:val="24"/>
          <w:highlight w:val="none"/>
        </w:rPr>
        <w:t>中二级标准。</w:t>
      </w:r>
    </w:p>
    <w:p w14:paraId="7E5FD583">
      <w:pPr>
        <w:spacing w:line="360" w:lineRule="auto"/>
        <w:ind w:firstLine="480" w:firstLineChars="200"/>
        <w:contextualSpacing/>
        <w:rPr>
          <w:rFonts w:hAnsiTheme="minorEastAsia" w:eastAsiaTheme="minorEastAsia"/>
          <w:kern w:val="0"/>
          <w:sz w:val="24"/>
          <w:highlight w:val="none"/>
        </w:rPr>
      </w:pPr>
      <w:r>
        <w:rPr>
          <w:rFonts w:hint="eastAsia" w:hAnsiTheme="minorEastAsia" w:eastAsiaTheme="minorEastAsia"/>
          <w:kern w:val="0"/>
          <w:sz w:val="24"/>
          <w:highlight w:val="none"/>
        </w:rPr>
        <w:t>本项目热试验设置有12台热试台架，热试台架均自带三元催化装置，尾气经处理后，集中经1根15m高DA002排气筒排放。</w:t>
      </w:r>
      <w:r>
        <w:rPr>
          <w:rFonts w:ascii="宋体" w:hAnsi="宋体"/>
          <w:sz w:val="24"/>
          <w:highlight w:val="none"/>
        </w:rPr>
        <w:t>热试台架为集装箱封闭形式，</w:t>
      </w:r>
      <w:r>
        <w:rPr>
          <w:rFonts w:hint="eastAsia" w:hAnsiTheme="minorEastAsia" w:eastAsiaTheme="minorEastAsia"/>
          <w:kern w:val="0"/>
          <w:sz w:val="24"/>
          <w:highlight w:val="none"/>
        </w:rPr>
        <w:t>排放管紧紧套在排气管上并以卡子卡紧，废气收集率100%，三元催化装置处理效率为90%。</w:t>
      </w:r>
      <w:r>
        <w:rPr>
          <w:rFonts w:hAnsi="Calibri"/>
          <w:sz w:val="24"/>
          <w:highlight w:val="none"/>
        </w:rPr>
        <w:t>氮氧化物排放浓度为</w:t>
      </w:r>
      <w:r>
        <w:rPr>
          <w:rFonts w:hint="eastAsia" w:hAnsi="Calibri"/>
          <w:sz w:val="24"/>
          <w:highlight w:val="none"/>
        </w:rPr>
        <w:t>15.730</w:t>
      </w:r>
      <w:r>
        <w:rPr>
          <w:sz w:val="24"/>
          <w:highlight w:val="none"/>
        </w:rPr>
        <w:t>mg/m</w:t>
      </w:r>
      <w:r>
        <w:rPr>
          <w:sz w:val="24"/>
          <w:highlight w:val="none"/>
          <w:vertAlign w:val="superscript"/>
        </w:rPr>
        <w:t>3</w:t>
      </w:r>
      <w:r>
        <w:rPr>
          <w:rFonts w:hAnsi="Calibri"/>
          <w:sz w:val="24"/>
          <w:highlight w:val="none"/>
        </w:rPr>
        <w:t>、排放速率为</w:t>
      </w:r>
      <w:r>
        <w:rPr>
          <w:rFonts w:hint="eastAsia" w:hAnsi="Calibri"/>
          <w:sz w:val="24"/>
          <w:highlight w:val="none"/>
        </w:rPr>
        <w:t>0.671</w:t>
      </w:r>
      <w:r>
        <w:rPr>
          <w:sz w:val="24"/>
          <w:highlight w:val="none"/>
        </w:rPr>
        <w:t>kg/h</w:t>
      </w:r>
      <w:r>
        <w:rPr>
          <w:rFonts w:hAnsi="Calibri"/>
          <w:sz w:val="24"/>
          <w:highlight w:val="none"/>
        </w:rPr>
        <w:t>，</w:t>
      </w:r>
      <w:r>
        <w:rPr>
          <w:rFonts w:hint="eastAsia" w:hAnsi="Calibri"/>
          <w:sz w:val="24"/>
          <w:highlight w:val="none"/>
        </w:rPr>
        <w:t>非甲烷</w:t>
      </w:r>
      <w:r>
        <w:rPr>
          <w:rFonts w:hAnsi="Calibri"/>
          <w:sz w:val="24"/>
          <w:highlight w:val="none"/>
        </w:rPr>
        <w:t>总烃排放浓度为</w:t>
      </w:r>
      <w:r>
        <w:rPr>
          <w:rFonts w:hint="eastAsia" w:hAnsi="Calibri"/>
          <w:sz w:val="24"/>
          <w:highlight w:val="none"/>
        </w:rPr>
        <w:t>4.126</w:t>
      </w:r>
      <w:r>
        <w:rPr>
          <w:sz w:val="24"/>
          <w:highlight w:val="none"/>
        </w:rPr>
        <w:t>mg/m</w:t>
      </w:r>
      <w:r>
        <w:rPr>
          <w:sz w:val="24"/>
          <w:highlight w:val="none"/>
          <w:vertAlign w:val="superscript"/>
        </w:rPr>
        <w:t>3</w:t>
      </w:r>
      <w:r>
        <w:rPr>
          <w:rFonts w:hAnsi="Calibri"/>
          <w:sz w:val="24"/>
          <w:highlight w:val="none"/>
        </w:rPr>
        <w:t>、排放速率为</w:t>
      </w:r>
      <w:r>
        <w:rPr>
          <w:rFonts w:hint="eastAsia" w:hAnsi="Calibri"/>
          <w:sz w:val="24"/>
          <w:highlight w:val="none"/>
        </w:rPr>
        <w:t>0.176</w:t>
      </w:r>
      <w:r>
        <w:rPr>
          <w:sz w:val="24"/>
          <w:highlight w:val="none"/>
        </w:rPr>
        <w:t>kg/h</w:t>
      </w:r>
      <w:r>
        <w:rPr>
          <w:rFonts w:hAnsi="Calibri"/>
          <w:sz w:val="24"/>
          <w:highlight w:val="none"/>
        </w:rPr>
        <w:t>，</w:t>
      </w:r>
      <w:r>
        <w:rPr>
          <w:rFonts w:hint="eastAsia" w:hAnsi="Calibri"/>
          <w:sz w:val="24"/>
          <w:highlight w:val="none"/>
        </w:rPr>
        <w:t>颗粒物</w:t>
      </w:r>
      <w:r>
        <w:rPr>
          <w:rFonts w:hAnsi="Calibri"/>
          <w:sz w:val="24"/>
          <w:highlight w:val="none"/>
        </w:rPr>
        <w:t>排放浓度为</w:t>
      </w:r>
      <w:r>
        <w:rPr>
          <w:rFonts w:hint="eastAsia" w:hAnsi="Calibri"/>
          <w:sz w:val="24"/>
          <w:highlight w:val="none"/>
        </w:rPr>
        <w:t>1.243</w:t>
      </w:r>
      <w:r>
        <w:rPr>
          <w:sz w:val="24"/>
          <w:highlight w:val="none"/>
        </w:rPr>
        <w:t>mg/m</w:t>
      </w:r>
      <w:r>
        <w:rPr>
          <w:sz w:val="24"/>
          <w:highlight w:val="none"/>
          <w:vertAlign w:val="superscript"/>
        </w:rPr>
        <w:t>3</w:t>
      </w:r>
      <w:r>
        <w:rPr>
          <w:rFonts w:hAnsi="Calibri"/>
          <w:sz w:val="24"/>
          <w:highlight w:val="none"/>
        </w:rPr>
        <w:t>、排放速率为</w:t>
      </w:r>
      <w:r>
        <w:rPr>
          <w:rFonts w:hint="eastAsia" w:hAnsi="Calibri"/>
          <w:sz w:val="24"/>
          <w:highlight w:val="none"/>
        </w:rPr>
        <w:t>0.053</w:t>
      </w:r>
      <w:r>
        <w:rPr>
          <w:sz w:val="24"/>
          <w:highlight w:val="none"/>
        </w:rPr>
        <w:t>kg/h</w:t>
      </w:r>
      <w:r>
        <w:rPr>
          <w:rFonts w:hint="eastAsia" w:hAnsi="Calibri"/>
          <w:sz w:val="24"/>
          <w:highlight w:val="none"/>
        </w:rPr>
        <w:t>。以上污染物</w:t>
      </w:r>
      <w:r>
        <w:rPr>
          <w:rFonts w:hAnsiTheme="minorEastAsia" w:eastAsiaTheme="minorEastAsia"/>
          <w:kern w:val="0"/>
          <w:sz w:val="24"/>
          <w:highlight w:val="none"/>
        </w:rPr>
        <w:t>排放浓度及速率均满足《大气污染物综合排放标准》（</w:t>
      </w:r>
      <w:r>
        <w:rPr>
          <w:rFonts w:eastAsiaTheme="minorEastAsia"/>
          <w:kern w:val="0"/>
          <w:sz w:val="24"/>
          <w:highlight w:val="none"/>
        </w:rPr>
        <w:t>GB16297-1996</w:t>
      </w:r>
      <w:r>
        <w:rPr>
          <w:rFonts w:hAnsiTheme="minorEastAsia" w:eastAsiaTheme="minorEastAsia"/>
          <w:kern w:val="0"/>
          <w:sz w:val="24"/>
          <w:highlight w:val="none"/>
        </w:rPr>
        <w:t>）表</w:t>
      </w:r>
      <w:r>
        <w:rPr>
          <w:rFonts w:eastAsiaTheme="minorEastAsia"/>
          <w:kern w:val="0"/>
          <w:sz w:val="24"/>
          <w:highlight w:val="none"/>
        </w:rPr>
        <w:t>2</w:t>
      </w:r>
      <w:r>
        <w:rPr>
          <w:rFonts w:hAnsiTheme="minorEastAsia" w:eastAsiaTheme="minorEastAsia"/>
          <w:kern w:val="0"/>
          <w:sz w:val="24"/>
          <w:highlight w:val="none"/>
        </w:rPr>
        <w:t>中二级标准。</w:t>
      </w:r>
    </w:p>
    <w:p w14:paraId="68305548">
      <w:pPr>
        <w:spacing w:line="360" w:lineRule="auto"/>
        <w:ind w:firstLine="480" w:firstLineChars="200"/>
        <w:rPr>
          <w:rFonts w:hint="default"/>
          <w:highlight w:val="none"/>
          <w:lang w:val="en-US" w:eastAsia="zh-CN"/>
        </w:rPr>
      </w:pPr>
      <w:r>
        <w:rPr>
          <w:rFonts w:hAnsiTheme="minorEastAsia" w:eastAsiaTheme="minorEastAsia"/>
          <w:kern w:val="0"/>
          <w:sz w:val="24"/>
          <w:highlight w:val="none"/>
        </w:rPr>
        <w:t>经</w:t>
      </w:r>
      <w:r>
        <w:rPr>
          <w:rFonts w:hint="eastAsia" w:hAnsiTheme="minorEastAsia" w:eastAsiaTheme="minorEastAsia"/>
          <w:kern w:val="0"/>
          <w:sz w:val="24"/>
          <w:highlight w:val="none"/>
        </w:rPr>
        <w:t>估算</w:t>
      </w:r>
      <w:r>
        <w:rPr>
          <w:rFonts w:hAnsiTheme="minorEastAsia" w:eastAsiaTheme="minorEastAsia"/>
          <w:kern w:val="0"/>
          <w:sz w:val="24"/>
          <w:highlight w:val="none"/>
        </w:rPr>
        <w:t>，无组织非甲烷总烃排放浓度为</w:t>
      </w:r>
      <w:r>
        <w:rPr>
          <w:rFonts w:eastAsiaTheme="minorEastAsia"/>
          <w:kern w:val="0"/>
          <w:sz w:val="24"/>
          <w:highlight w:val="none"/>
        </w:rPr>
        <w:t>0.</w:t>
      </w:r>
      <w:r>
        <w:rPr>
          <w:rFonts w:hint="eastAsia" w:eastAsiaTheme="minorEastAsia"/>
          <w:kern w:val="0"/>
          <w:sz w:val="24"/>
          <w:highlight w:val="none"/>
        </w:rPr>
        <w:t>015</w:t>
      </w:r>
      <w:r>
        <w:rPr>
          <w:rFonts w:eastAsiaTheme="minorEastAsia"/>
          <w:kern w:val="0"/>
          <w:sz w:val="24"/>
          <w:highlight w:val="none"/>
        </w:rPr>
        <w:t>mg/m</w:t>
      </w:r>
      <w:r>
        <w:rPr>
          <w:rFonts w:eastAsiaTheme="minorEastAsia"/>
          <w:kern w:val="0"/>
          <w:sz w:val="24"/>
          <w:highlight w:val="none"/>
          <w:vertAlign w:val="superscript"/>
        </w:rPr>
        <w:t>3</w:t>
      </w:r>
      <w:r>
        <w:rPr>
          <w:rFonts w:hAnsiTheme="minorEastAsia" w:eastAsiaTheme="minorEastAsia"/>
          <w:kern w:val="0"/>
          <w:sz w:val="24"/>
          <w:highlight w:val="none"/>
        </w:rPr>
        <w:t>，厂界非甲烷总烃满足《大气污染物综合排放标准》（</w:t>
      </w:r>
      <w:r>
        <w:rPr>
          <w:rFonts w:eastAsiaTheme="minorEastAsia"/>
          <w:kern w:val="0"/>
          <w:sz w:val="24"/>
          <w:highlight w:val="none"/>
        </w:rPr>
        <w:t>GB16297-1996</w:t>
      </w:r>
      <w:r>
        <w:rPr>
          <w:rFonts w:hAnsiTheme="minorEastAsia" w:eastAsiaTheme="minorEastAsia"/>
          <w:kern w:val="0"/>
          <w:sz w:val="24"/>
          <w:highlight w:val="none"/>
        </w:rPr>
        <w:t>）表</w:t>
      </w:r>
      <w:r>
        <w:rPr>
          <w:rFonts w:eastAsiaTheme="minorEastAsia"/>
          <w:kern w:val="0"/>
          <w:sz w:val="24"/>
          <w:highlight w:val="none"/>
        </w:rPr>
        <w:t>2</w:t>
      </w:r>
      <w:r>
        <w:rPr>
          <w:rFonts w:hAnsiTheme="minorEastAsia" w:eastAsiaTheme="minorEastAsia"/>
          <w:kern w:val="0"/>
          <w:sz w:val="24"/>
          <w:highlight w:val="none"/>
        </w:rPr>
        <w:t>中无组织排放监控浓度限值要求</w:t>
      </w:r>
      <w:r>
        <w:rPr>
          <w:highlight w:val="none"/>
        </w:rPr>
        <w:t>。</w:t>
      </w:r>
    </w:p>
    <w:p w14:paraId="7A1F24C2">
      <w:pPr>
        <w:bidi w:val="0"/>
        <w:rPr>
          <w:rFonts w:eastAsiaTheme="minorEastAsia"/>
          <w:kern w:val="0"/>
          <w:highlight w:val="none"/>
        </w:rPr>
      </w:pPr>
      <w:r>
        <w:rPr>
          <w:highlight w:val="none"/>
        </w:rPr>
        <w:t>综上所述，项目采取的污染控制措施可以保证污染物达标排放，项目废气对外界环境影响很小，大气环境影响可接受</w:t>
      </w:r>
      <w:r>
        <w:rPr>
          <w:rFonts w:hAnsiTheme="minorEastAsia" w:eastAsiaTheme="minorEastAsia"/>
          <w:kern w:val="0"/>
          <w:highlight w:val="none"/>
        </w:rPr>
        <w:t>。</w:t>
      </w:r>
    </w:p>
    <w:p w14:paraId="517A7849">
      <w:pPr>
        <w:pStyle w:val="4"/>
        <w:bidi w:val="0"/>
        <w:rPr>
          <w:highlight w:val="none"/>
        </w:rPr>
      </w:pPr>
      <w:bookmarkStart w:id="435" w:name="_Toc6184"/>
      <w:bookmarkStart w:id="436" w:name="_Toc4645"/>
      <w:r>
        <w:rPr>
          <w:highlight w:val="none"/>
        </w:rPr>
        <w:t>5.2.2水环境影响预测分析</w:t>
      </w:r>
      <w:bookmarkEnd w:id="435"/>
      <w:bookmarkEnd w:id="436"/>
    </w:p>
    <w:p w14:paraId="7714316C">
      <w:pPr>
        <w:pStyle w:val="6"/>
        <w:bidi w:val="0"/>
        <w:rPr>
          <w:highlight w:val="none"/>
        </w:rPr>
      </w:pPr>
      <w:r>
        <w:rPr>
          <w:highlight w:val="none"/>
        </w:rPr>
        <w:t>5.2.2.1地表水环境影响分析</w:t>
      </w:r>
    </w:p>
    <w:p w14:paraId="206BD757">
      <w:pPr>
        <w:bidi w:val="0"/>
        <w:rPr>
          <w:rFonts w:eastAsiaTheme="minorEastAsia"/>
          <w:sz w:val="24"/>
          <w:highlight w:val="none"/>
        </w:rPr>
      </w:pPr>
      <w:bookmarkStart w:id="437" w:name="_Hlk10651079"/>
      <w:r>
        <w:rPr>
          <w:rFonts w:hint="eastAsia" w:hAnsiTheme="minorEastAsia" w:eastAsiaTheme="minorEastAsia"/>
          <w:kern w:val="0"/>
          <w:sz w:val="24"/>
          <w:highlight w:val="none"/>
          <w:lang w:val="en-US" w:eastAsia="zh-CN"/>
        </w:rPr>
        <w:t>本项目无</w:t>
      </w:r>
      <w:r>
        <w:rPr>
          <w:rFonts w:hAnsiTheme="minorEastAsia" w:eastAsiaTheme="minorEastAsia"/>
          <w:kern w:val="0"/>
          <w:sz w:val="24"/>
          <w:highlight w:val="none"/>
        </w:rPr>
        <w:t>生产废水</w:t>
      </w:r>
      <w:r>
        <w:rPr>
          <w:rFonts w:hint="eastAsia" w:hAnsiTheme="minorEastAsia" w:eastAsiaTheme="minorEastAsia"/>
          <w:kern w:val="0"/>
          <w:sz w:val="24"/>
          <w:highlight w:val="none"/>
          <w:lang w:val="en-US" w:eastAsia="zh-CN"/>
        </w:rPr>
        <w:t>外排</w:t>
      </w:r>
      <w:r>
        <w:rPr>
          <w:rFonts w:hAnsiTheme="minorEastAsia" w:eastAsiaTheme="minorEastAsia"/>
          <w:kern w:val="0"/>
          <w:sz w:val="24"/>
          <w:highlight w:val="none"/>
        </w:rPr>
        <w:t>；生活污水排入市政管网，进入</w:t>
      </w:r>
      <w:r>
        <w:rPr>
          <w:rFonts w:hint="eastAsia" w:hAnsiTheme="minorEastAsia" w:eastAsiaTheme="minorEastAsia"/>
          <w:kern w:val="0"/>
          <w:sz w:val="24"/>
          <w:highlight w:val="none"/>
          <w:lang w:val="en-US" w:eastAsia="zh-CN"/>
        </w:rPr>
        <w:t>平房污水处理厂</w:t>
      </w:r>
      <w:r>
        <w:rPr>
          <w:rFonts w:hAnsiTheme="minorEastAsia" w:eastAsiaTheme="minorEastAsia"/>
          <w:kern w:val="0"/>
          <w:sz w:val="24"/>
          <w:highlight w:val="none"/>
        </w:rPr>
        <w:t>，处理达标后排入</w:t>
      </w:r>
      <w:r>
        <w:rPr>
          <w:rFonts w:hint="eastAsia" w:hAnsiTheme="minorEastAsia" w:eastAsiaTheme="minorEastAsia"/>
          <w:kern w:val="0"/>
          <w:sz w:val="24"/>
          <w:highlight w:val="none"/>
          <w:lang w:val="en-US" w:eastAsia="zh-CN"/>
        </w:rPr>
        <w:t>何家沟</w:t>
      </w:r>
      <w:r>
        <w:rPr>
          <w:rFonts w:hAnsiTheme="minorEastAsia" w:eastAsiaTheme="minorEastAsia"/>
          <w:kern w:val="0"/>
          <w:sz w:val="24"/>
          <w:highlight w:val="none"/>
        </w:rPr>
        <w:t>，最终汇入松花江</w:t>
      </w:r>
      <w:r>
        <w:rPr>
          <w:rFonts w:hAnsiTheme="minorEastAsia" w:eastAsiaTheme="minorEastAsia"/>
          <w:sz w:val="24"/>
          <w:highlight w:val="none"/>
        </w:rPr>
        <w:t>。根据《环境影响评价技术导则地表水环境》（</w:t>
      </w:r>
      <w:r>
        <w:rPr>
          <w:rFonts w:eastAsiaTheme="minorEastAsia"/>
          <w:sz w:val="24"/>
          <w:highlight w:val="none"/>
        </w:rPr>
        <w:t>HJ2.3-2018</w:t>
      </w:r>
      <w:r>
        <w:rPr>
          <w:rFonts w:hAnsiTheme="minorEastAsia" w:eastAsiaTheme="minorEastAsia"/>
          <w:sz w:val="24"/>
          <w:highlight w:val="none"/>
        </w:rPr>
        <w:t>），本项目参照地表水环境评价等级为三级</w:t>
      </w:r>
      <w:r>
        <w:rPr>
          <w:rFonts w:eastAsiaTheme="minorEastAsia"/>
          <w:sz w:val="24"/>
          <w:highlight w:val="none"/>
        </w:rPr>
        <w:t>B</w:t>
      </w:r>
      <w:r>
        <w:rPr>
          <w:rFonts w:hAnsiTheme="minorEastAsia" w:eastAsiaTheme="minorEastAsia"/>
          <w:sz w:val="24"/>
          <w:highlight w:val="none"/>
        </w:rPr>
        <w:t>。</w:t>
      </w:r>
    </w:p>
    <w:p w14:paraId="59CC9038">
      <w:pPr>
        <w:pStyle w:val="7"/>
        <w:bidi w:val="0"/>
        <w:rPr>
          <w:highlight w:val="none"/>
        </w:rPr>
      </w:pPr>
      <w:r>
        <w:rPr>
          <w:highlight w:val="none"/>
        </w:rPr>
        <w:t>表5-2-</w:t>
      </w:r>
      <w:r>
        <w:rPr>
          <w:rFonts w:hint="eastAsia"/>
          <w:highlight w:val="none"/>
          <w:lang w:val="en-US" w:eastAsia="zh-CN"/>
        </w:rPr>
        <w:t>11</w:t>
      </w:r>
      <w:r>
        <w:rPr>
          <w:highlight w:val="none"/>
        </w:rPr>
        <w:t>废水类别、污染物及污染治理设施信息表</w:t>
      </w:r>
    </w:p>
    <w:tbl>
      <w:tblPr>
        <w:tblStyle w:val="45"/>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356"/>
        <w:gridCol w:w="640"/>
        <w:gridCol w:w="775"/>
        <w:gridCol w:w="676"/>
        <w:gridCol w:w="726"/>
        <w:gridCol w:w="675"/>
        <w:gridCol w:w="750"/>
        <w:gridCol w:w="660"/>
        <w:gridCol w:w="660"/>
        <w:gridCol w:w="930"/>
        <w:gridCol w:w="1674"/>
      </w:tblGrid>
      <w:tr w14:paraId="63B19B8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208" w:type="pct"/>
            <w:vMerge w:val="restart"/>
            <w:vAlign w:val="center"/>
          </w:tcPr>
          <w:p w14:paraId="0E3791C3">
            <w:pPr>
              <w:pStyle w:val="8"/>
              <w:suppressLineNumbers w:val="0"/>
              <w:bidi w:val="0"/>
              <w:spacing w:before="0" w:beforeAutospacing="0" w:after="0" w:afterAutospacing="0"/>
              <w:ind w:left="0" w:right="0"/>
              <w:rPr>
                <w:rFonts w:hint="default"/>
                <w:highlight w:val="none"/>
              </w:rPr>
            </w:pPr>
            <w:r>
              <w:rPr>
                <w:rFonts w:hint="default"/>
                <w:highlight w:val="none"/>
              </w:rPr>
              <w:t>序号</w:t>
            </w:r>
          </w:p>
        </w:tc>
        <w:tc>
          <w:tcPr>
            <w:tcW w:w="375" w:type="pct"/>
            <w:vMerge w:val="restart"/>
            <w:vAlign w:val="center"/>
          </w:tcPr>
          <w:p w14:paraId="660D1701">
            <w:pPr>
              <w:pStyle w:val="8"/>
              <w:suppressLineNumbers w:val="0"/>
              <w:bidi w:val="0"/>
              <w:spacing w:before="0" w:beforeAutospacing="0" w:after="0" w:afterAutospacing="0"/>
              <w:ind w:left="0" w:right="0"/>
              <w:rPr>
                <w:rFonts w:hint="default"/>
                <w:highlight w:val="none"/>
              </w:rPr>
            </w:pPr>
            <w:r>
              <w:rPr>
                <w:rFonts w:hint="default"/>
                <w:highlight w:val="none"/>
              </w:rPr>
              <w:t>废水类别</w:t>
            </w:r>
          </w:p>
        </w:tc>
        <w:tc>
          <w:tcPr>
            <w:tcW w:w="454" w:type="pct"/>
            <w:vMerge w:val="restart"/>
            <w:vAlign w:val="center"/>
          </w:tcPr>
          <w:p w14:paraId="36420815">
            <w:pPr>
              <w:pStyle w:val="8"/>
              <w:suppressLineNumbers w:val="0"/>
              <w:bidi w:val="0"/>
              <w:spacing w:before="0" w:beforeAutospacing="0" w:after="0" w:afterAutospacing="0"/>
              <w:ind w:left="0" w:right="0"/>
              <w:rPr>
                <w:rFonts w:hint="default"/>
                <w:highlight w:val="none"/>
              </w:rPr>
            </w:pPr>
            <w:r>
              <w:rPr>
                <w:rFonts w:hint="default"/>
                <w:highlight w:val="none"/>
              </w:rPr>
              <w:t>污染物种类</w:t>
            </w:r>
          </w:p>
        </w:tc>
        <w:tc>
          <w:tcPr>
            <w:tcW w:w="396" w:type="pct"/>
            <w:vMerge w:val="restart"/>
            <w:vAlign w:val="center"/>
          </w:tcPr>
          <w:p w14:paraId="71CDB33E">
            <w:pPr>
              <w:pStyle w:val="8"/>
              <w:suppressLineNumbers w:val="0"/>
              <w:bidi w:val="0"/>
              <w:spacing w:before="0" w:beforeAutospacing="0" w:after="0" w:afterAutospacing="0"/>
              <w:ind w:left="0" w:right="0"/>
              <w:rPr>
                <w:rFonts w:hint="default"/>
                <w:highlight w:val="none"/>
              </w:rPr>
            </w:pPr>
            <w:r>
              <w:rPr>
                <w:rFonts w:hint="default"/>
                <w:highlight w:val="none"/>
              </w:rPr>
              <w:t>排放去向</w:t>
            </w:r>
          </w:p>
        </w:tc>
        <w:tc>
          <w:tcPr>
            <w:tcW w:w="425" w:type="pct"/>
            <w:vMerge w:val="restart"/>
            <w:vAlign w:val="center"/>
          </w:tcPr>
          <w:p w14:paraId="5F6BB1C5">
            <w:pPr>
              <w:pStyle w:val="8"/>
              <w:suppressLineNumbers w:val="0"/>
              <w:bidi w:val="0"/>
              <w:spacing w:before="0" w:beforeAutospacing="0" w:after="0" w:afterAutospacing="0"/>
              <w:ind w:left="0" w:right="0"/>
              <w:rPr>
                <w:rFonts w:hint="default"/>
                <w:highlight w:val="none"/>
              </w:rPr>
            </w:pPr>
            <w:r>
              <w:rPr>
                <w:rFonts w:hint="default"/>
                <w:highlight w:val="none"/>
              </w:rPr>
              <w:t>排放规律</w:t>
            </w:r>
          </w:p>
        </w:tc>
        <w:tc>
          <w:tcPr>
            <w:tcW w:w="1223" w:type="pct"/>
            <w:gridSpan w:val="3"/>
            <w:vAlign w:val="center"/>
          </w:tcPr>
          <w:p w14:paraId="7B23ADB2">
            <w:pPr>
              <w:pStyle w:val="8"/>
              <w:suppressLineNumbers w:val="0"/>
              <w:bidi w:val="0"/>
              <w:spacing w:before="0" w:beforeAutospacing="0" w:after="0" w:afterAutospacing="0"/>
              <w:ind w:left="0" w:right="0"/>
              <w:rPr>
                <w:rFonts w:hint="default"/>
                <w:highlight w:val="none"/>
              </w:rPr>
            </w:pPr>
            <w:r>
              <w:rPr>
                <w:rFonts w:hint="default"/>
                <w:highlight w:val="none"/>
              </w:rPr>
              <w:t>污染治理设施</w:t>
            </w:r>
          </w:p>
        </w:tc>
        <w:tc>
          <w:tcPr>
            <w:tcW w:w="387" w:type="pct"/>
            <w:vMerge w:val="restart"/>
            <w:vAlign w:val="center"/>
          </w:tcPr>
          <w:p w14:paraId="6F680A9B">
            <w:pPr>
              <w:pStyle w:val="8"/>
              <w:suppressLineNumbers w:val="0"/>
              <w:bidi w:val="0"/>
              <w:spacing w:before="0" w:beforeAutospacing="0" w:after="0" w:afterAutospacing="0"/>
              <w:ind w:left="0" w:right="0"/>
              <w:rPr>
                <w:rFonts w:hint="default"/>
                <w:highlight w:val="none"/>
              </w:rPr>
            </w:pPr>
            <w:r>
              <w:rPr>
                <w:rFonts w:hint="default"/>
                <w:highlight w:val="none"/>
              </w:rPr>
              <w:t>排放口编号</w:t>
            </w:r>
          </w:p>
        </w:tc>
        <w:tc>
          <w:tcPr>
            <w:tcW w:w="545" w:type="pct"/>
            <w:vMerge w:val="restart"/>
            <w:vAlign w:val="center"/>
          </w:tcPr>
          <w:p w14:paraId="4EC24A72">
            <w:pPr>
              <w:pStyle w:val="8"/>
              <w:suppressLineNumbers w:val="0"/>
              <w:bidi w:val="0"/>
              <w:spacing w:before="0" w:beforeAutospacing="0" w:after="0" w:afterAutospacing="0"/>
              <w:ind w:left="0" w:right="0"/>
              <w:rPr>
                <w:rFonts w:hint="default"/>
                <w:highlight w:val="none"/>
              </w:rPr>
            </w:pPr>
            <w:r>
              <w:rPr>
                <w:rFonts w:hint="default"/>
                <w:highlight w:val="none"/>
              </w:rPr>
              <w:t>排放口设置是否符合要求</w:t>
            </w:r>
          </w:p>
        </w:tc>
        <w:tc>
          <w:tcPr>
            <w:tcW w:w="982" w:type="pct"/>
            <w:vMerge w:val="restart"/>
            <w:vAlign w:val="center"/>
          </w:tcPr>
          <w:p w14:paraId="1F55575B">
            <w:pPr>
              <w:pStyle w:val="8"/>
              <w:suppressLineNumbers w:val="0"/>
              <w:bidi w:val="0"/>
              <w:spacing w:before="0" w:beforeAutospacing="0" w:after="0" w:afterAutospacing="0"/>
              <w:ind w:left="0" w:right="0"/>
              <w:rPr>
                <w:rFonts w:hint="default"/>
                <w:highlight w:val="none"/>
              </w:rPr>
            </w:pPr>
            <w:r>
              <w:rPr>
                <w:rFonts w:hint="default"/>
                <w:highlight w:val="none"/>
              </w:rPr>
              <w:t>排放口类型</w:t>
            </w:r>
          </w:p>
        </w:tc>
      </w:tr>
      <w:tr w14:paraId="271AE0B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208" w:type="pct"/>
            <w:vMerge w:val="continue"/>
            <w:vAlign w:val="center"/>
          </w:tcPr>
          <w:p w14:paraId="0F2DD805">
            <w:pPr>
              <w:pStyle w:val="8"/>
              <w:suppressLineNumbers w:val="0"/>
              <w:bidi w:val="0"/>
              <w:spacing w:before="0" w:beforeAutospacing="0" w:after="0" w:afterAutospacing="0"/>
              <w:ind w:left="0" w:right="0"/>
              <w:rPr>
                <w:rFonts w:hint="default"/>
                <w:highlight w:val="none"/>
              </w:rPr>
            </w:pPr>
          </w:p>
        </w:tc>
        <w:tc>
          <w:tcPr>
            <w:tcW w:w="375" w:type="pct"/>
            <w:vMerge w:val="continue"/>
            <w:vAlign w:val="center"/>
          </w:tcPr>
          <w:p w14:paraId="3644C7CB">
            <w:pPr>
              <w:pStyle w:val="8"/>
              <w:suppressLineNumbers w:val="0"/>
              <w:bidi w:val="0"/>
              <w:spacing w:before="0" w:beforeAutospacing="0" w:after="0" w:afterAutospacing="0"/>
              <w:ind w:left="0" w:right="0"/>
              <w:rPr>
                <w:rFonts w:hint="default"/>
                <w:highlight w:val="none"/>
              </w:rPr>
            </w:pPr>
          </w:p>
        </w:tc>
        <w:tc>
          <w:tcPr>
            <w:tcW w:w="454" w:type="pct"/>
            <w:vMerge w:val="continue"/>
            <w:vAlign w:val="center"/>
          </w:tcPr>
          <w:p w14:paraId="05B1BEA9">
            <w:pPr>
              <w:pStyle w:val="8"/>
              <w:suppressLineNumbers w:val="0"/>
              <w:bidi w:val="0"/>
              <w:spacing w:before="0" w:beforeAutospacing="0" w:after="0" w:afterAutospacing="0"/>
              <w:ind w:left="0" w:right="0"/>
              <w:rPr>
                <w:rFonts w:hint="default"/>
                <w:highlight w:val="none"/>
              </w:rPr>
            </w:pPr>
          </w:p>
        </w:tc>
        <w:tc>
          <w:tcPr>
            <w:tcW w:w="396" w:type="pct"/>
            <w:vMerge w:val="continue"/>
            <w:vAlign w:val="center"/>
          </w:tcPr>
          <w:p w14:paraId="01FDFF0B">
            <w:pPr>
              <w:pStyle w:val="8"/>
              <w:suppressLineNumbers w:val="0"/>
              <w:bidi w:val="0"/>
              <w:spacing w:before="0" w:beforeAutospacing="0" w:after="0" w:afterAutospacing="0"/>
              <w:ind w:left="0" w:right="0"/>
              <w:rPr>
                <w:rFonts w:hint="default"/>
                <w:highlight w:val="none"/>
              </w:rPr>
            </w:pPr>
          </w:p>
        </w:tc>
        <w:tc>
          <w:tcPr>
            <w:tcW w:w="425" w:type="pct"/>
            <w:vMerge w:val="continue"/>
            <w:vAlign w:val="center"/>
          </w:tcPr>
          <w:p w14:paraId="36C4DA3C">
            <w:pPr>
              <w:pStyle w:val="8"/>
              <w:suppressLineNumbers w:val="0"/>
              <w:bidi w:val="0"/>
              <w:spacing w:before="0" w:beforeAutospacing="0" w:after="0" w:afterAutospacing="0"/>
              <w:ind w:left="0" w:right="0"/>
              <w:rPr>
                <w:rFonts w:hint="default"/>
                <w:highlight w:val="none"/>
              </w:rPr>
            </w:pPr>
          </w:p>
        </w:tc>
        <w:tc>
          <w:tcPr>
            <w:tcW w:w="396" w:type="pct"/>
            <w:vAlign w:val="center"/>
          </w:tcPr>
          <w:p w14:paraId="078529F4">
            <w:pPr>
              <w:pStyle w:val="8"/>
              <w:suppressLineNumbers w:val="0"/>
              <w:bidi w:val="0"/>
              <w:spacing w:before="0" w:beforeAutospacing="0" w:after="0" w:afterAutospacing="0"/>
              <w:ind w:left="0" w:right="0"/>
              <w:rPr>
                <w:rFonts w:hint="default"/>
                <w:highlight w:val="none"/>
              </w:rPr>
            </w:pPr>
            <w:r>
              <w:rPr>
                <w:rFonts w:hint="default"/>
                <w:highlight w:val="none"/>
              </w:rPr>
              <w:t>污染治理设施编号</w:t>
            </w:r>
          </w:p>
        </w:tc>
        <w:tc>
          <w:tcPr>
            <w:tcW w:w="440" w:type="pct"/>
            <w:vAlign w:val="center"/>
          </w:tcPr>
          <w:p w14:paraId="1164E907">
            <w:pPr>
              <w:pStyle w:val="8"/>
              <w:suppressLineNumbers w:val="0"/>
              <w:bidi w:val="0"/>
              <w:spacing w:before="0" w:beforeAutospacing="0" w:after="0" w:afterAutospacing="0"/>
              <w:ind w:left="0" w:right="0"/>
              <w:rPr>
                <w:rFonts w:hint="default"/>
                <w:highlight w:val="none"/>
              </w:rPr>
            </w:pPr>
            <w:r>
              <w:rPr>
                <w:rFonts w:hint="default"/>
                <w:highlight w:val="none"/>
              </w:rPr>
              <w:t>污染治理设施名称</w:t>
            </w:r>
          </w:p>
        </w:tc>
        <w:tc>
          <w:tcPr>
            <w:tcW w:w="387" w:type="pct"/>
            <w:vAlign w:val="center"/>
          </w:tcPr>
          <w:p w14:paraId="2297F558">
            <w:pPr>
              <w:pStyle w:val="8"/>
              <w:suppressLineNumbers w:val="0"/>
              <w:bidi w:val="0"/>
              <w:spacing w:before="0" w:beforeAutospacing="0" w:after="0" w:afterAutospacing="0"/>
              <w:ind w:left="0" w:right="0"/>
              <w:rPr>
                <w:rFonts w:hint="default"/>
                <w:highlight w:val="none"/>
              </w:rPr>
            </w:pPr>
            <w:r>
              <w:rPr>
                <w:rFonts w:hint="default"/>
                <w:highlight w:val="none"/>
              </w:rPr>
              <w:t>污染治理设施工艺</w:t>
            </w:r>
          </w:p>
        </w:tc>
        <w:tc>
          <w:tcPr>
            <w:tcW w:w="387" w:type="pct"/>
            <w:vMerge w:val="continue"/>
            <w:vAlign w:val="center"/>
          </w:tcPr>
          <w:p w14:paraId="1CB5C586">
            <w:pPr>
              <w:pStyle w:val="8"/>
              <w:suppressLineNumbers w:val="0"/>
              <w:bidi w:val="0"/>
              <w:spacing w:before="0" w:beforeAutospacing="0" w:after="0" w:afterAutospacing="0"/>
              <w:ind w:left="0" w:right="0"/>
              <w:rPr>
                <w:rFonts w:hint="default"/>
                <w:highlight w:val="none"/>
              </w:rPr>
            </w:pPr>
          </w:p>
        </w:tc>
        <w:tc>
          <w:tcPr>
            <w:tcW w:w="545" w:type="pct"/>
            <w:vMerge w:val="continue"/>
            <w:vAlign w:val="center"/>
          </w:tcPr>
          <w:p w14:paraId="0C79AA95">
            <w:pPr>
              <w:pStyle w:val="8"/>
              <w:suppressLineNumbers w:val="0"/>
              <w:bidi w:val="0"/>
              <w:spacing w:before="0" w:beforeAutospacing="0" w:after="0" w:afterAutospacing="0"/>
              <w:ind w:left="0" w:right="0"/>
              <w:rPr>
                <w:rFonts w:hint="default"/>
                <w:highlight w:val="none"/>
              </w:rPr>
            </w:pPr>
          </w:p>
        </w:tc>
        <w:tc>
          <w:tcPr>
            <w:tcW w:w="982" w:type="pct"/>
            <w:vMerge w:val="continue"/>
            <w:vAlign w:val="center"/>
          </w:tcPr>
          <w:p w14:paraId="2D1F6F47">
            <w:pPr>
              <w:pStyle w:val="8"/>
              <w:suppressLineNumbers w:val="0"/>
              <w:bidi w:val="0"/>
              <w:spacing w:before="0" w:beforeAutospacing="0" w:after="0" w:afterAutospacing="0"/>
              <w:ind w:left="0" w:right="0"/>
              <w:rPr>
                <w:rFonts w:hint="default"/>
                <w:highlight w:val="none"/>
              </w:rPr>
            </w:pPr>
          </w:p>
        </w:tc>
      </w:tr>
      <w:tr w14:paraId="3FAD698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208" w:type="pct"/>
            <w:vAlign w:val="center"/>
          </w:tcPr>
          <w:p w14:paraId="24DB196F">
            <w:pPr>
              <w:pStyle w:val="8"/>
              <w:suppressLineNumbers w:val="0"/>
              <w:bidi w:val="0"/>
              <w:spacing w:before="0" w:beforeAutospacing="0" w:after="0" w:afterAutospacing="0"/>
              <w:ind w:left="0" w:right="0"/>
              <w:rPr>
                <w:rFonts w:hint="eastAsia" w:eastAsia="宋体"/>
                <w:highlight w:val="none"/>
                <w:lang w:eastAsia="zh-CN"/>
              </w:rPr>
            </w:pPr>
            <w:r>
              <w:rPr>
                <w:rFonts w:hint="eastAsia"/>
                <w:highlight w:val="none"/>
                <w:lang w:val="en-US" w:eastAsia="zh-CN"/>
              </w:rPr>
              <w:t>1</w:t>
            </w:r>
          </w:p>
        </w:tc>
        <w:tc>
          <w:tcPr>
            <w:tcW w:w="375" w:type="pct"/>
            <w:vAlign w:val="center"/>
          </w:tcPr>
          <w:p w14:paraId="5345B136">
            <w:pPr>
              <w:pStyle w:val="8"/>
              <w:suppressLineNumbers w:val="0"/>
              <w:bidi w:val="0"/>
              <w:spacing w:before="0" w:beforeAutospacing="0" w:after="0" w:afterAutospacing="0"/>
              <w:ind w:left="0" w:right="0"/>
              <w:rPr>
                <w:rFonts w:hint="default"/>
                <w:highlight w:val="none"/>
                <w:lang w:val="en-US" w:eastAsia="zh-CN"/>
              </w:rPr>
            </w:pPr>
            <w:r>
              <w:rPr>
                <w:rFonts w:hint="default"/>
                <w:highlight w:val="none"/>
              </w:rPr>
              <w:t>生活污水</w:t>
            </w:r>
          </w:p>
        </w:tc>
        <w:tc>
          <w:tcPr>
            <w:tcW w:w="454" w:type="pct"/>
            <w:vAlign w:val="center"/>
          </w:tcPr>
          <w:p w14:paraId="7AC4053F">
            <w:pPr>
              <w:pStyle w:val="8"/>
              <w:suppressLineNumbers w:val="0"/>
              <w:bidi w:val="0"/>
              <w:spacing w:before="0" w:beforeAutospacing="0" w:after="0" w:afterAutospacing="0"/>
              <w:ind w:left="0" w:right="0"/>
              <w:rPr>
                <w:rFonts w:hint="default"/>
                <w:highlight w:val="none"/>
              </w:rPr>
            </w:pPr>
            <w:r>
              <w:rPr>
                <w:rFonts w:hint="default"/>
                <w:highlight w:val="none"/>
              </w:rPr>
              <w:t>COD、氨氮、pH、SS、BOD</w:t>
            </w:r>
            <w:r>
              <w:rPr>
                <w:rFonts w:hint="default"/>
                <w:highlight w:val="none"/>
                <w:vertAlign w:val="subscript"/>
              </w:rPr>
              <w:t>5</w:t>
            </w:r>
          </w:p>
        </w:tc>
        <w:tc>
          <w:tcPr>
            <w:tcW w:w="396" w:type="pct"/>
            <w:vAlign w:val="center"/>
          </w:tcPr>
          <w:p w14:paraId="785FE8FF">
            <w:pPr>
              <w:pStyle w:val="8"/>
              <w:suppressLineNumbers w:val="0"/>
              <w:bidi w:val="0"/>
              <w:spacing w:before="0" w:beforeAutospacing="0" w:after="0" w:afterAutospacing="0"/>
              <w:ind w:left="0" w:right="0"/>
              <w:rPr>
                <w:rFonts w:hint="default"/>
                <w:highlight w:val="none"/>
              </w:rPr>
            </w:pPr>
            <w:r>
              <w:rPr>
                <w:rFonts w:hint="default"/>
                <w:highlight w:val="none"/>
              </w:rPr>
              <w:t>进入污水处理厂</w:t>
            </w:r>
          </w:p>
        </w:tc>
        <w:tc>
          <w:tcPr>
            <w:tcW w:w="425" w:type="pct"/>
            <w:vAlign w:val="center"/>
          </w:tcPr>
          <w:p w14:paraId="152FAFD1">
            <w:pPr>
              <w:pStyle w:val="8"/>
              <w:suppressLineNumbers w:val="0"/>
              <w:bidi w:val="0"/>
              <w:spacing w:before="0" w:beforeAutospacing="0" w:after="0" w:afterAutospacing="0"/>
              <w:ind w:left="0" w:right="0"/>
              <w:rPr>
                <w:rFonts w:hint="default"/>
                <w:highlight w:val="none"/>
              </w:rPr>
            </w:pPr>
            <w:r>
              <w:rPr>
                <w:rFonts w:hint="default"/>
                <w:highlight w:val="none"/>
              </w:rPr>
              <w:t>间断排放，流量不稳定</w:t>
            </w:r>
          </w:p>
        </w:tc>
        <w:tc>
          <w:tcPr>
            <w:tcW w:w="396" w:type="pct"/>
            <w:vAlign w:val="center"/>
          </w:tcPr>
          <w:p w14:paraId="71195722">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440" w:type="pct"/>
            <w:vAlign w:val="center"/>
          </w:tcPr>
          <w:p w14:paraId="7C348791">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387" w:type="pct"/>
            <w:vAlign w:val="center"/>
          </w:tcPr>
          <w:p w14:paraId="43E071F8">
            <w:pPr>
              <w:pStyle w:val="8"/>
              <w:suppressLineNumbers w:val="0"/>
              <w:bidi w:val="0"/>
              <w:spacing w:before="0" w:beforeAutospacing="0" w:after="0" w:afterAutospacing="0"/>
              <w:ind w:left="0" w:right="0"/>
              <w:rPr>
                <w:rFonts w:hint="default"/>
                <w:highlight w:val="none"/>
                <w:lang w:val="zh-CN"/>
              </w:rPr>
            </w:pPr>
            <w:r>
              <w:rPr>
                <w:rFonts w:hint="default"/>
                <w:highlight w:val="none"/>
                <w:lang w:val="zh-CN"/>
              </w:rPr>
              <w:t>/</w:t>
            </w:r>
          </w:p>
        </w:tc>
        <w:tc>
          <w:tcPr>
            <w:tcW w:w="387" w:type="pct"/>
            <w:vAlign w:val="center"/>
          </w:tcPr>
          <w:p w14:paraId="334C2F12">
            <w:pPr>
              <w:pStyle w:val="8"/>
              <w:suppressLineNumbers w:val="0"/>
              <w:bidi w:val="0"/>
              <w:spacing w:before="0" w:beforeAutospacing="0" w:after="0" w:afterAutospacing="0"/>
              <w:ind w:left="0" w:right="0"/>
              <w:rPr>
                <w:rFonts w:hint="eastAsia" w:eastAsia="宋体"/>
                <w:highlight w:val="none"/>
                <w:lang w:eastAsia="zh-CN"/>
              </w:rPr>
            </w:pPr>
            <w:r>
              <w:rPr>
                <w:rFonts w:hint="eastAsia"/>
                <w:highlight w:val="none"/>
              </w:rPr>
              <w:t>DW00</w:t>
            </w:r>
            <w:r>
              <w:rPr>
                <w:rFonts w:hint="eastAsia"/>
                <w:highlight w:val="none"/>
                <w:lang w:val="en-US" w:eastAsia="zh-CN"/>
              </w:rPr>
              <w:t>1</w:t>
            </w:r>
          </w:p>
        </w:tc>
        <w:tc>
          <w:tcPr>
            <w:tcW w:w="545" w:type="pct"/>
            <w:vAlign w:val="center"/>
          </w:tcPr>
          <w:p w14:paraId="7AA00BF2">
            <w:pPr>
              <w:pStyle w:val="8"/>
              <w:suppressLineNumbers w:val="0"/>
              <w:bidi w:val="0"/>
              <w:spacing w:before="0" w:beforeAutospacing="0" w:after="0" w:afterAutospacing="0"/>
              <w:ind w:left="0" w:right="0"/>
              <w:rPr>
                <w:rFonts w:hint="default"/>
                <w:highlight w:val="none"/>
              </w:rPr>
            </w:pPr>
            <w:r>
              <w:rPr>
                <w:rFonts w:hint="default"/>
                <w:highlight w:val="none"/>
              </w:rPr>
              <w:t>是</w:t>
            </w:r>
            <w:r>
              <w:rPr>
                <w:rFonts w:hint="eastAsia"/>
                <w:highlight w:val="none"/>
              </w:rPr>
              <w:t>√</w:t>
            </w:r>
          </w:p>
          <w:p w14:paraId="381FF390">
            <w:pPr>
              <w:pStyle w:val="8"/>
              <w:suppressLineNumbers w:val="0"/>
              <w:bidi w:val="0"/>
              <w:spacing w:before="0" w:beforeAutospacing="0" w:after="0" w:afterAutospacing="0"/>
              <w:ind w:left="0" w:right="0"/>
              <w:rPr>
                <w:rFonts w:hint="default"/>
                <w:highlight w:val="none"/>
              </w:rPr>
            </w:pPr>
            <w:r>
              <w:rPr>
                <w:rFonts w:hint="default"/>
                <w:highlight w:val="none"/>
              </w:rPr>
              <w:t>否□</w:t>
            </w:r>
          </w:p>
        </w:tc>
        <w:tc>
          <w:tcPr>
            <w:tcW w:w="982" w:type="pct"/>
            <w:vAlign w:val="center"/>
          </w:tcPr>
          <w:p w14:paraId="45AF1C0A">
            <w:pPr>
              <w:pStyle w:val="8"/>
              <w:suppressLineNumbers w:val="0"/>
              <w:bidi w:val="0"/>
              <w:spacing w:before="0" w:beforeAutospacing="0" w:after="0" w:afterAutospacing="0"/>
              <w:ind w:left="0" w:right="0"/>
              <w:rPr>
                <w:rFonts w:hint="default"/>
                <w:highlight w:val="none"/>
              </w:rPr>
            </w:pPr>
            <w:r>
              <w:rPr>
                <w:rFonts w:hint="default"/>
                <w:highlight w:val="none"/>
              </w:rPr>
              <w:t>√企业总排</w:t>
            </w:r>
          </w:p>
          <w:p w14:paraId="64A248A7">
            <w:pPr>
              <w:pStyle w:val="8"/>
              <w:suppressLineNumbers w:val="0"/>
              <w:bidi w:val="0"/>
              <w:spacing w:before="0" w:beforeAutospacing="0" w:after="0" w:afterAutospacing="0"/>
              <w:ind w:left="0" w:right="0"/>
              <w:rPr>
                <w:rFonts w:hint="default"/>
                <w:highlight w:val="none"/>
              </w:rPr>
            </w:pPr>
            <w:r>
              <w:rPr>
                <w:rFonts w:hint="default"/>
                <w:highlight w:val="none"/>
              </w:rPr>
              <w:t>□雨水总排</w:t>
            </w:r>
          </w:p>
          <w:p w14:paraId="3039CCBF">
            <w:pPr>
              <w:pStyle w:val="8"/>
              <w:suppressLineNumbers w:val="0"/>
              <w:bidi w:val="0"/>
              <w:spacing w:before="0" w:beforeAutospacing="0" w:after="0" w:afterAutospacing="0"/>
              <w:ind w:left="0" w:right="0"/>
              <w:rPr>
                <w:rFonts w:hint="default"/>
                <w:highlight w:val="none"/>
              </w:rPr>
            </w:pPr>
            <w:r>
              <w:rPr>
                <w:rFonts w:hint="default"/>
                <w:highlight w:val="none"/>
              </w:rPr>
              <w:t>□清净下水排放</w:t>
            </w:r>
          </w:p>
          <w:p w14:paraId="0D1BD6EF">
            <w:pPr>
              <w:pStyle w:val="8"/>
              <w:suppressLineNumbers w:val="0"/>
              <w:bidi w:val="0"/>
              <w:spacing w:before="0" w:beforeAutospacing="0" w:after="0" w:afterAutospacing="0"/>
              <w:ind w:left="0" w:right="0"/>
              <w:rPr>
                <w:rFonts w:hint="default"/>
                <w:highlight w:val="none"/>
              </w:rPr>
            </w:pPr>
            <w:r>
              <w:rPr>
                <w:rFonts w:hint="default"/>
                <w:highlight w:val="none"/>
              </w:rPr>
              <w:t>□温排水排放</w:t>
            </w:r>
          </w:p>
          <w:p w14:paraId="76566210">
            <w:pPr>
              <w:pStyle w:val="8"/>
              <w:suppressLineNumbers w:val="0"/>
              <w:bidi w:val="0"/>
              <w:spacing w:before="0" w:beforeAutospacing="0" w:after="0" w:afterAutospacing="0"/>
              <w:ind w:left="0" w:right="0"/>
              <w:rPr>
                <w:rFonts w:hint="default"/>
                <w:highlight w:val="none"/>
              </w:rPr>
            </w:pPr>
            <w:r>
              <w:rPr>
                <w:rFonts w:hint="default"/>
                <w:highlight w:val="none"/>
              </w:rPr>
              <w:t>□车间或车间处理设施排放口</w:t>
            </w:r>
          </w:p>
        </w:tc>
      </w:tr>
      <w:bookmarkEnd w:id="437"/>
    </w:tbl>
    <w:p w14:paraId="7ECDFE3C">
      <w:pPr>
        <w:pStyle w:val="7"/>
        <w:bidi w:val="0"/>
        <w:rPr>
          <w:highlight w:val="none"/>
        </w:rPr>
      </w:pPr>
      <w:r>
        <w:rPr>
          <w:highlight w:val="none"/>
        </w:rPr>
        <w:t>表5-2-</w:t>
      </w:r>
      <w:r>
        <w:rPr>
          <w:rFonts w:hint="eastAsia"/>
          <w:highlight w:val="none"/>
          <w:lang w:val="en-US" w:eastAsia="zh-CN"/>
        </w:rPr>
        <w:t>12</w:t>
      </w:r>
      <w:r>
        <w:rPr>
          <w:highlight w:val="none"/>
        </w:rPr>
        <w:t>废水污染物排放信息表</w:t>
      </w:r>
    </w:p>
    <w:tbl>
      <w:tblPr>
        <w:tblStyle w:val="45"/>
        <w:tblW w:w="5000"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
      <w:tblGrid>
        <w:gridCol w:w="697"/>
        <w:gridCol w:w="1435"/>
        <w:gridCol w:w="1224"/>
        <w:gridCol w:w="1722"/>
        <w:gridCol w:w="1868"/>
        <w:gridCol w:w="1576"/>
      </w:tblGrid>
      <w:tr w14:paraId="1A95F4B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0" w:hRule="atLeast"/>
          <w:jc w:val="center"/>
        </w:trPr>
        <w:tc>
          <w:tcPr>
            <w:tcW w:w="697" w:type="dxa"/>
            <w:tcBorders>
              <w:tl2br w:val="nil"/>
              <w:tr2bl w:val="nil"/>
            </w:tcBorders>
            <w:vAlign w:val="center"/>
          </w:tcPr>
          <w:p w14:paraId="2EC74687">
            <w:pPr>
              <w:pStyle w:val="8"/>
              <w:suppressLineNumbers w:val="0"/>
              <w:bidi w:val="0"/>
              <w:spacing w:before="0" w:beforeAutospacing="0" w:after="0" w:afterAutospacing="0"/>
              <w:ind w:left="0" w:right="0"/>
              <w:rPr>
                <w:rFonts w:hint="default"/>
                <w:highlight w:val="none"/>
              </w:rPr>
            </w:pPr>
            <w:r>
              <w:rPr>
                <w:rFonts w:hint="default"/>
                <w:highlight w:val="none"/>
              </w:rPr>
              <w:t>序号</w:t>
            </w:r>
          </w:p>
        </w:tc>
        <w:tc>
          <w:tcPr>
            <w:tcW w:w="1435" w:type="dxa"/>
            <w:tcBorders>
              <w:tl2br w:val="nil"/>
              <w:tr2bl w:val="nil"/>
            </w:tcBorders>
            <w:vAlign w:val="center"/>
          </w:tcPr>
          <w:p w14:paraId="2ADDA69A">
            <w:pPr>
              <w:pStyle w:val="8"/>
              <w:suppressLineNumbers w:val="0"/>
              <w:bidi w:val="0"/>
              <w:spacing w:before="0" w:beforeAutospacing="0" w:after="0" w:afterAutospacing="0"/>
              <w:ind w:left="0" w:right="0"/>
              <w:rPr>
                <w:rFonts w:hint="default"/>
                <w:highlight w:val="none"/>
              </w:rPr>
            </w:pPr>
            <w:r>
              <w:rPr>
                <w:rFonts w:hint="default"/>
                <w:highlight w:val="none"/>
              </w:rPr>
              <w:t>排放口编号</w:t>
            </w:r>
          </w:p>
        </w:tc>
        <w:tc>
          <w:tcPr>
            <w:tcW w:w="1224" w:type="dxa"/>
            <w:tcBorders>
              <w:tl2br w:val="nil"/>
              <w:tr2bl w:val="nil"/>
            </w:tcBorders>
            <w:vAlign w:val="center"/>
          </w:tcPr>
          <w:p w14:paraId="1404C4EF">
            <w:pPr>
              <w:pStyle w:val="8"/>
              <w:suppressLineNumbers w:val="0"/>
              <w:bidi w:val="0"/>
              <w:spacing w:before="0" w:beforeAutospacing="0" w:after="0" w:afterAutospacing="0"/>
              <w:ind w:left="0" w:right="0"/>
              <w:rPr>
                <w:rFonts w:hint="default"/>
                <w:highlight w:val="none"/>
              </w:rPr>
            </w:pPr>
            <w:r>
              <w:rPr>
                <w:rFonts w:hint="default"/>
                <w:highlight w:val="none"/>
              </w:rPr>
              <w:t>污染物种类</w:t>
            </w:r>
          </w:p>
        </w:tc>
        <w:tc>
          <w:tcPr>
            <w:tcW w:w="1722" w:type="dxa"/>
            <w:tcBorders>
              <w:tl2br w:val="nil"/>
              <w:tr2bl w:val="nil"/>
            </w:tcBorders>
            <w:vAlign w:val="center"/>
          </w:tcPr>
          <w:p w14:paraId="6DE255F2">
            <w:pPr>
              <w:pStyle w:val="8"/>
              <w:suppressLineNumbers w:val="0"/>
              <w:bidi w:val="0"/>
              <w:spacing w:before="0" w:beforeAutospacing="0" w:after="0" w:afterAutospacing="0"/>
              <w:ind w:left="0" w:right="0"/>
              <w:rPr>
                <w:rFonts w:hint="default"/>
                <w:highlight w:val="none"/>
              </w:rPr>
            </w:pPr>
            <w:r>
              <w:rPr>
                <w:rFonts w:hint="default"/>
                <w:highlight w:val="none"/>
              </w:rPr>
              <w:t>排放浓度/（mg/L）</w:t>
            </w:r>
          </w:p>
        </w:tc>
        <w:tc>
          <w:tcPr>
            <w:tcW w:w="1868" w:type="dxa"/>
            <w:tcBorders>
              <w:tl2br w:val="nil"/>
              <w:tr2bl w:val="nil"/>
            </w:tcBorders>
            <w:vAlign w:val="center"/>
          </w:tcPr>
          <w:p w14:paraId="3065F4AA">
            <w:pPr>
              <w:pStyle w:val="8"/>
              <w:suppressLineNumbers w:val="0"/>
              <w:bidi w:val="0"/>
              <w:spacing w:before="0" w:beforeAutospacing="0" w:after="0" w:afterAutospacing="0"/>
              <w:ind w:left="0" w:right="0"/>
              <w:rPr>
                <w:rFonts w:hint="default"/>
                <w:highlight w:val="none"/>
              </w:rPr>
            </w:pPr>
            <w:r>
              <w:rPr>
                <w:rFonts w:hint="default"/>
                <w:highlight w:val="none"/>
              </w:rPr>
              <w:t>日排放量/（t/d）</w:t>
            </w:r>
          </w:p>
        </w:tc>
        <w:tc>
          <w:tcPr>
            <w:tcW w:w="1576" w:type="dxa"/>
            <w:tcBorders>
              <w:tl2br w:val="nil"/>
              <w:tr2bl w:val="nil"/>
            </w:tcBorders>
            <w:vAlign w:val="center"/>
          </w:tcPr>
          <w:p w14:paraId="3EB1EA0A">
            <w:pPr>
              <w:pStyle w:val="8"/>
              <w:suppressLineNumbers w:val="0"/>
              <w:bidi w:val="0"/>
              <w:spacing w:before="0" w:beforeAutospacing="0" w:after="0" w:afterAutospacing="0"/>
              <w:ind w:left="0" w:right="0"/>
              <w:rPr>
                <w:rFonts w:hint="default"/>
                <w:highlight w:val="none"/>
              </w:rPr>
            </w:pPr>
            <w:r>
              <w:rPr>
                <w:rFonts w:hint="default"/>
                <w:highlight w:val="none"/>
              </w:rPr>
              <w:t>年排放量/（t/a）</w:t>
            </w:r>
          </w:p>
        </w:tc>
      </w:tr>
      <w:tr w14:paraId="5B43993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0" w:hRule="atLeast"/>
          <w:jc w:val="center"/>
        </w:trPr>
        <w:tc>
          <w:tcPr>
            <w:tcW w:w="697" w:type="dxa"/>
            <w:vMerge w:val="restart"/>
            <w:tcBorders>
              <w:tl2br w:val="nil"/>
              <w:tr2bl w:val="nil"/>
            </w:tcBorders>
            <w:vAlign w:val="center"/>
          </w:tcPr>
          <w:p w14:paraId="78147968">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1</w:t>
            </w:r>
          </w:p>
        </w:tc>
        <w:tc>
          <w:tcPr>
            <w:tcW w:w="1435" w:type="dxa"/>
            <w:vMerge w:val="restart"/>
            <w:tcBorders>
              <w:tl2br w:val="nil"/>
              <w:tr2bl w:val="nil"/>
            </w:tcBorders>
            <w:vAlign w:val="center"/>
          </w:tcPr>
          <w:p w14:paraId="2F37C415">
            <w:pPr>
              <w:pStyle w:val="8"/>
              <w:suppressLineNumbers w:val="0"/>
              <w:bidi w:val="0"/>
              <w:spacing w:before="0" w:beforeAutospacing="0" w:after="0" w:afterAutospacing="0"/>
              <w:ind w:left="0" w:right="0"/>
              <w:rPr>
                <w:rFonts w:hint="eastAsia"/>
                <w:highlight w:val="none"/>
                <w:lang w:eastAsia="zh-CN"/>
              </w:rPr>
            </w:pPr>
            <w:r>
              <w:rPr>
                <w:rFonts w:hint="eastAsia"/>
                <w:highlight w:val="none"/>
              </w:rPr>
              <w:t>DW00</w:t>
            </w:r>
            <w:r>
              <w:rPr>
                <w:rFonts w:hint="eastAsia"/>
                <w:highlight w:val="none"/>
                <w:lang w:val="en-US" w:eastAsia="zh-CN"/>
              </w:rPr>
              <w:t>1</w:t>
            </w:r>
          </w:p>
        </w:tc>
        <w:tc>
          <w:tcPr>
            <w:tcW w:w="1224" w:type="dxa"/>
            <w:tcBorders>
              <w:tl2br w:val="nil"/>
              <w:tr2bl w:val="nil"/>
            </w:tcBorders>
            <w:vAlign w:val="bottom"/>
          </w:tcPr>
          <w:p w14:paraId="64F15BCC">
            <w:pPr>
              <w:pStyle w:val="8"/>
              <w:suppressLineNumbers w:val="0"/>
              <w:bidi w:val="0"/>
              <w:spacing w:before="0" w:beforeAutospacing="0" w:after="0" w:afterAutospacing="0"/>
              <w:ind w:left="0" w:right="0"/>
              <w:rPr>
                <w:rFonts w:hint="default"/>
                <w:highlight w:val="none"/>
              </w:rPr>
            </w:pPr>
            <w:r>
              <w:rPr>
                <w:rFonts w:hint="default"/>
                <w:highlight w:val="none"/>
              </w:rPr>
              <w:t>COD</w:t>
            </w:r>
          </w:p>
        </w:tc>
        <w:tc>
          <w:tcPr>
            <w:tcW w:w="1722" w:type="dxa"/>
            <w:tcBorders>
              <w:tl2br w:val="nil"/>
              <w:tr2bl w:val="nil"/>
            </w:tcBorders>
            <w:vAlign w:val="center"/>
          </w:tcPr>
          <w:p w14:paraId="7CC6553B">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350</w:t>
            </w:r>
          </w:p>
        </w:tc>
        <w:tc>
          <w:tcPr>
            <w:tcW w:w="1868" w:type="dxa"/>
            <w:tcBorders>
              <w:tl2br w:val="nil"/>
              <w:tr2bl w:val="nil"/>
            </w:tcBorders>
            <w:vAlign w:val="center"/>
          </w:tcPr>
          <w:p w14:paraId="515F44FF">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0.0003</w:t>
            </w:r>
          </w:p>
        </w:tc>
        <w:tc>
          <w:tcPr>
            <w:tcW w:w="1576" w:type="dxa"/>
            <w:tcBorders>
              <w:tl2br w:val="nil"/>
              <w:tr2bl w:val="nil"/>
            </w:tcBorders>
            <w:vAlign w:val="center"/>
          </w:tcPr>
          <w:p w14:paraId="515CF469">
            <w:pPr>
              <w:pStyle w:val="8"/>
              <w:suppressLineNumbers w:val="0"/>
              <w:bidi w:val="0"/>
              <w:spacing w:before="0" w:beforeAutospacing="0" w:after="0" w:afterAutospacing="0"/>
              <w:ind w:left="0" w:leftChars="0" w:right="0" w:rightChars="0" w:firstLine="0" w:firstLineChars="0"/>
              <w:rPr>
                <w:rFonts w:hint="default"/>
                <w:highlight w:val="none"/>
                <w:lang w:val="en-US"/>
              </w:rPr>
            </w:pPr>
            <w:r>
              <w:rPr>
                <w:rFonts w:hint="eastAsia"/>
                <w:highlight w:val="none"/>
                <w:lang w:val="en-US" w:eastAsia="zh-CN"/>
              </w:rPr>
              <w:t>0.08</w:t>
            </w:r>
          </w:p>
        </w:tc>
      </w:tr>
      <w:tr w14:paraId="34FE699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0" w:hRule="atLeast"/>
          <w:jc w:val="center"/>
        </w:trPr>
        <w:tc>
          <w:tcPr>
            <w:tcW w:w="697" w:type="dxa"/>
            <w:vMerge w:val="continue"/>
            <w:tcBorders>
              <w:tl2br w:val="nil"/>
              <w:tr2bl w:val="nil"/>
            </w:tcBorders>
            <w:vAlign w:val="center"/>
          </w:tcPr>
          <w:p w14:paraId="0C63CDBF">
            <w:pPr>
              <w:pStyle w:val="8"/>
              <w:suppressLineNumbers w:val="0"/>
              <w:bidi w:val="0"/>
              <w:spacing w:before="0" w:beforeAutospacing="0" w:after="0" w:afterAutospacing="0"/>
              <w:ind w:left="0" w:right="0"/>
              <w:rPr>
                <w:rFonts w:hint="default"/>
                <w:highlight w:val="none"/>
              </w:rPr>
            </w:pPr>
          </w:p>
        </w:tc>
        <w:tc>
          <w:tcPr>
            <w:tcW w:w="1435" w:type="dxa"/>
            <w:vMerge w:val="continue"/>
            <w:tcBorders>
              <w:tl2br w:val="nil"/>
              <w:tr2bl w:val="nil"/>
            </w:tcBorders>
            <w:vAlign w:val="center"/>
          </w:tcPr>
          <w:p w14:paraId="30610E99">
            <w:pPr>
              <w:pStyle w:val="8"/>
              <w:suppressLineNumbers w:val="0"/>
              <w:bidi w:val="0"/>
              <w:spacing w:before="0" w:beforeAutospacing="0" w:after="0" w:afterAutospacing="0"/>
              <w:ind w:left="0" w:right="0"/>
              <w:rPr>
                <w:rFonts w:hint="default"/>
                <w:highlight w:val="none"/>
              </w:rPr>
            </w:pPr>
          </w:p>
        </w:tc>
        <w:tc>
          <w:tcPr>
            <w:tcW w:w="1224" w:type="dxa"/>
            <w:tcBorders>
              <w:tl2br w:val="nil"/>
              <w:tr2bl w:val="nil"/>
            </w:tcBorders>
            <w:vAlign w:val="bottom"/>
          </w:tcPr>
          <w:p w14:paraId="1D14C9AD">
            <w:pPr>
              <w:pStyle w:val="8"/>
              <w:suppressLineNumbers w:val="0"/>
              <w:bidi w:val="0"/>
              <w:spacing w:before="0" w:beforeAutospacing="0" w:after="0" w:afterAutospacing="0"/>
              <w:ind w:left="0" w:right="0"/>
              <w:rPr>
                <w:rFonts w:hint="default"/>
                <w:highlight w:val="none"/>
              </w:rPr>
            </w:pPr>
            <w:r>
              <w:rPr>
                <w:rFonts w:hint="default"/>
                <w:highlight w:val="none"/>
              </w:rPr>
              <w:t>氨氮</w:t>
            </w:r>
          </w:p>
        </w:tc>
        <w:tc>
          <w:tcPr>
            <w:tcW w:w="1722" w:type="dxa"/>
            <w:tcBorders>
              <w:tl2br w:val="nil"/>
              <w:tr2bl w:val="nil"/>
            </w:tcBorders>
            <w:vAlign w:val="center"/>
          </w:tcPr>
          <w:p w14:paraId="608411CE">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35</w:t>
            </w:r>
          </w:p>
        </w:tc>
        <w:tc>
          <w:tcPr>
            <w:tcW w:w="1868" w:type="dxa"/>
            <w:tcBorders>
              <w:tl2br w:val="nil"/>
              <w:tr2bl w:val="nil"/>
            </w:tcBorders>
            <w:vAlign w:val="center"/>
          </w:tcPr>
          <w:p w14:paraId="317FF9AF">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0.00003</w:t>
            </w:r>
          </w:p>
        </w:tc>
        <w:tc>
          <w:tcPr>
            <w:tcW w:w="1576" w:type="dxa"/>
            <w:tcBorders>
              <w:tl2br w:val="nil"/>
              <w:tr2bl w:val="nil"/>
            </w:tcBorders>
            <w:vAlign w:val="center"/>
          </w:tcPr>
          <w:p w14:paraId="1212194F">
            <w:pPr>
              <w:pStyle w:val="8"/>
              <w:suppressLineNumbers w:val="0"/>
              <w:bidi w:val="0"/>
              <w:spacing w:before="0" w:beforeAutospacing="0" w:after="0" w:afterAutospacing="0"/>
              <w:ind w:left="0" w:leftChars="0" w:right="0" w:rightChars="0" w:firstLine="0" w:firstLineChars="0"/>
              <w:rPr>
                <w:rFonts w:hint="default"/>
                <w:highlight w:val="none"/>
                <w:lang w:val="en-US"/>
              </w:rPr>
            </w:pPr>
            <w:r>
              <w:rPr>
                <w:rFonts w:hint="eastAsia"/>
                <w:highlight w:val="none"/>
                <w:lang w:val="en-US" w:eastAsia="zh-CN"/>
              </w:rPr>
              <w:t>0.008</w:t>
            </w:r>
          </w:p>
        </w:tc>
      </w:tr>
      <w:tr w14:paraId="42B8B51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0" w:hRule="atLeast"/>
          <w:jc w:val="center"/>
        </w:trPr>
        <w:tc>
          <w:tcPr>
            <w:tcW w:w="697" w:type="dxa"/>
            <w:vMerge w:val="continue"/>
            <w:tcBorders>
              <w:tl2br w:val="nil"/>
              <w:tr2bl w:val="nil"/>
            </w:tcBorders>
            <w:vAlign w:val="center"/>
          </w:tcPr>
          <w:p w14:paraId="4EB2B3D6">
            <w:pPr>
              <w:pStyle w:val="8"/>
              <w:suppressLineNumbers w:val="0"/>
              <w:bidi w:val="0"/>
              <w:spacing w:before="0" w:beforeAutospacing="0" w:after="0" w:afterAutospacing="0"/>
              <w:ind w:left="0" w:right="0"/>
              <w:rPr>
                <w:rFonts w:hint="default"/>
                <w:highlight w:val="none"/>
              </w:rPr>
            </w:pPr>
          </w:p>
        </w:tc>
        <w:tc>
          <w:tcPr>
            <w:tcW w:w="1435" w:type="dxa"/>
            <w:vMerge w:val="continue"/>
            <w:tcBorders>
              <w:tl2br w:val="nil"/>
              <w:tr2bl w:val="nil"/>
            </w:tcBorders>
            <w:vAlign w:val="center"/>
          </w:tcPr>
          <w:p w14:paraId="2F26AB47">
            <w:pPr>
              <w:pStyle w:val="8"/>
              <w:suppressLineNumbers w:val="0"/>
              <w:bidi w:val="0"/>
              <w:spacing w:before="0" w:beforeAutospacing="0" w:after="0" w:afterAutospacing="0"/>
              <w:ind w:left="0" w:right="0"/>
              <w:rPr>
                <w:rFonts w:hint="default"/>
                <w:highlight w:val="none"/>
              </w:rPr>
            </w:pPr>
          </w:p>
        </w:tc>
        <w:tc>
          <w:tcPr>
            <w:tcW w:w="1224" w:type="dxa"/>
            <w:tcBorders>
              <w:tl2br w:val="nil"/>
              <w:tr2bl w:val="nil"/>
            </w:tcBorders>
            <w:vAlign w:val="center"/>
          </w:tcPr>
          <w:p w14:paraId="28160F90">
            <w:pPr>
              <w:pStyle w:val="8"/>
              <w:suppressLineNumbers w:val="0"/>
              <w:bidi w:val="0"/>
              <w:spacing w:before="0" w:beforeAutospacing="0" w:after="0" w:afterAutospacing="0"/>
              <w:ind w:left="0" w:right="0"/>
              <w:rPr>
                <w:rFonts w:hint="default"/>
                <w:highlight w:val="none"/>
              </w:rPr>
            </w:pPr>
            <w:r>
              <w:rPr>
                <w:rFonts w:hint="default"/>
                <w:highlight w:val="none"/>
              </w:rPr>
              <w:t>BOD</w:t>
            </w:r>
            <w:r>
              <w:rPr>
                <w:rFonts w:hint="default"/>
                <w:highlight w:val="none"/>
                <w:vertAlign w:val="subscript"/>
              </w:rPr>
              <w:t>5</w:t>
            </w:r>
          </w:p>
        </w:tc>
        <w:tc>
          <w:tcPr>
            <w:tcW w:w="1722" w:type="dxa"/>
            <w:tcBorders>
              <w:tl2br w:val="nil"/>
              <w:tr2bl w:val="nil"/>
            </w:tcBorders>
            <w:vAlign w:val="center"/>
          </w:tcPr>
          <w:p w14:paraId="38D25034">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180</w:t>
            </w:r>
          </w:p>
        </w:tc>
        <w:tc>
          <w:tcPr>
            <w:tcW w:w="1868" w:type="dxa"/>
            <w:tcBorders>
              <w:tl2br w:val="nil"/>
              <w:tr2bl w:val="nil"/>
            </w:tcBorders>
            <w:vAlign w:val="center"/>
          </w:tcPr>
          <w:p w14:paraId="2D3410CD">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0.0001</w:t>
            </w:r>
          </w:p>
        </w:tc>
        <w:tc>
          <w:tcPr>
            <w:tcW w:w="1576" w:type="dxa"/>
            <w:tcBorders>
              <w:tl2br w:val="nil"/>
              <w:tr2bl w:val="nil"/>
            </w:tcBorders>
            <w:vAlign w:val="center"/>
          </w:tcPr>
          <w:p w14:paraId="7FEF3221">
            <w:pPr>
              <w:pStyle w:val="8"/>
              <w:suppressLineNumbers w:val="0"/>
              <w:bidi w:val="0"/>
              <w:spacing w:before="0" w:beforeAutospacing="0" w:after="0" w:afterAutospacing="0"/>
              <w:ind w:left="0" w:leftChars="0" w:right="0" w:rightChars="0" w:firstLine="0" w:firstLineChars="0"/>
              <w:rPr>
                <w:rFonts w:hint="default"/>
                <w:highlight w:val="none"/>
                <w:lang w:val="en-US"/>
              </w:rPr>
            </w:pPr>
            <w:r>
              <w:rPr>
                <w:rFonts w:hint="eastAsia"/>
                <w:highlight w:val="none"/>
                <w:lang w:val="en-US" w:eastAsia="zh-CN"/>
              </w:rPr>
              <w:t>0.03</w:t>
            </w:r>
          </w:p>
        </w:tc>
      </w:tr>
      <w:tr w14:paraId="59DEB18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0" w:hRule="atLeast"/>
          <w:jc w:val="center"/>
        </w:trPr>
        <w:tc>
          <w:tcPr>
            <w:tcW w:w="697" w:type="dxa"/>
            <w:vMerge w:val="continue"/>
            <w:tcBorders>
              <w:tl2br w:val="nil"/>
              <w:tr2bl w:val="nil"/>
            </w:tcBorders>
            <w:vAlign w:val="center"/>
          </w:tcPr>
          <w:p w14:paraId="6BA289A0">
            <w:pPr>
              <w:pStyle w:val="8"/>
              <w:suppressLineNumbers w:val="0"/>
              <w:bidi w:val="0"/>
              <w:spacing w:before="0" w:beforeAutospacing="0" w:after="0" w:afterAutospacing="0"/>
              <w:ind w:left="0" w:right="0"/>
              <w:rPr>
                <w:rFonts w:hint="default"/>
                <w:highlight w:val="none"/>
              </w:rPr>
            </w:pPr>
          </w:p>
        </w:tc>
        <w:tc>
          <w:tcPr>
            <w:tcW w:w="1435" w:type="dxa"/>
            <w:vMerge w:val="continue"/>
            <w:tcBorders>
              <w:tl2br w:val="nil"/>
              <w:tr2bl w:val="nil"/>
            </w:tcBorders>
            <w:vAlign w:val="center"/>
          </w:tcPr>
          <w:p w14:paraId="67399FD9">
            <w:pPr>
              <w:pStyle w:val="8"/>
              <w:suppressLineNumbers w:val="0"/>
              <w:bidi w:val="0"/>
              <w:spacing w:before="0" w:beforeAutospacing="0" w:after="0" w:afterAutospacing="0"/>
              <w:ind w:left="0" w:right="0"/>
              <w:rPr>
                <w:rFonts w:hint="default"/>
                <w:highlight w:val="none"/>
              </w:rPr>
            </w:pPr>
          </w:p>
        </w:tc>
        <w:tc>
          <w:tcPr>
            <w:tcW w:w="1224" w:type="dxa"/>
            <w:tcBorders>
              <w:tl2br w:val="nil"/>
              <w:tr2bl w:val="nil"/>
            </w:tcBorders>
            <w:vAlign w:val="center"/>
          </w:tcPr>
          <w:p w14:paraId="262E8C46">
            <w:pPr>
              <w:pStyle w:val="8"/>
              <w:suppressLineNumbers w:val="0"/>
              <w:bidi w:val="0"/>
              <w:spacing w:before="0" w:beforeAutospacing="0" w:after="0" w:afterAutospacing="0"/>
              <w:ind w:left="0" w:right="0"/>
              <w:rPr>
                <w:rFonts w:hint="default"/>
                <w:highlight w:val="none"/>
              </w:rPr>
            </w:pPr>
            <w:r>
              <w:rPr>
                <w:rFonts w:hint="default"/>
                <w:highlight w:val="none"/>
              </w:rPr>
              <w:t>SS</w:t>
            </w:r>
          </w:p>
        </w:tc>
        <w:tc>
          <w:tcPr>
            <w:tcW w:w="1722" w:type="dxa"/>
            <w:tcBorders>
              <w:tl2br w:val="nil"/>
              <w:tr2bl w:val="nil"/>
            </w:tcBorders>
            <w:vAlign w:val="center"/>
          </w:tcPr>
          <w:p w14:paraId="767E542B">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200</w:t>
            </w:r>
          </w:p>
        </w:tc>
        <w:tc>
          <w:tcPr>
            <w:tcW w:w="1868" w:type="dxa"/>
            <w:tcBorders>
              <w:tl2br w:val="nil"/>
              <w:tr2bl w:val="nil"/>
            </w:tcBorders>
            <w:vAlign w:val="center"/>
          </w:tcPr>
          <w:p w14:paraId="7B933A4B">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0.0002</w:t>
            </w:r>
          </w:p>
        </w:tc>
        <w:tc>
          <w:tcPr>
            <w:tcW w:w="1576" w:type="dxa"/>
            <w:tcBorders>
              <w:tl2br w:val="nil"/>
              <w:tr2bl w:val="nil"/>
            </w:tcBorders>
            <w:vAlign w:val="center"/>
          </w:tcPr>
          <w:p w14:paraId="5DD40BE3">
            <w:pPr>
              <w:pStyle w:val="8"/>
              <w:suppressLineNumbers w:val="0"/>
              <w:bidi w:val="0"/>
              <w:spacing w:before="0" w:beforeAutospacing="0" w:after="0" w:afterAutospacing="0"/>
              <w:ind w:left="0" w:leftChars="0" w:right="0" w:rightChars="0" w:firstLine="0" w:firstLineChars="0"/>
              <w:rPr>
                <w:rFonts w:hint="default"/>
                <w:highlight w:val="none"/>
              </w:rPr>
            </w:pPr>
            <w:r>
              <w:rPr>
                <w:rFonts w:hint="eastAsia"/>
                <w:highlight w:val="none"/>
                <w:lang w:val="en-US" w:eastAsia="zh-CN"/>
              </w:rPr>
              <w:t>0.05</w:t>
            </w:r>
          </w:p>
        </w:tc>
      </w:tr>
      <w:tr w14:paraId="232CB44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0" w:hRule="atLeast"/>
          <w:jc w:val="center"/>
        </w:trPr>
        <w:tc>
          <w:tcPr>
            <w:tcW w:w="2132" w:type="dxa"/>
            <w:gridSpan w:val="2"/>
            <w:vMerge w:val="restart"/>
            <w:tcBorders>
              <w:tl2br w:val="nil"/>
              <w:tr2bl w:val="nil"/>
            </w:tcBorders>
            <w:vAlign w:val="center"/>
          </w:tcPr>
          <w:p w14:paraId="417569C1">
            <w:pPr>
              <w:pStyle w:val="8"/>
              <w:suppressLineNumbers w:val="0"/>
              <w:bidi w:val="0"/>
              <w:spacing w:before="0" w:beforeAutospacing="0" w:after="0" w:afterAutospacing="0"/>
              <w:ind w:left="0" w:right="0"/>
              <w:rPr>
                <w:rFonts w:hint="default"/>
                <w:highlight w:val="none"/>
              </w:rPr>
            </w:pPr>
            <w:r>
              <w:rPr>
                <w:rFonts w:hint="default"/>
                <w:highlight w:val="none"/>
              </w:rPr>
              <w:t>排放口合计</w:t>
            </w:r>
          </w:p>
        </w:tc>
        <w:tc>
          <w:tcPr>
            <w:tcW w:w="4814" w:type="dxa"/>
            <w:gridSpan w:val="3"/>
            <w:tcBorders>
              <w:tl2br w:val="nil"/>
              <w:tr2bl w:val="nil"/>
            </w:tcBorders>
            <w:vAlign w:val="bottom"/>
          </w:tcPr>
          <w:p w14:paraId="0C4E0A69">
            <w:pPr>
              <w:pStyle w:val="8"/>
              <w:suppressLineNumbers w:val="0"/>
              <w:bidi w:val="0"/>
              <w:spacing w:before="0" w:beforeAutospacing="0" w:after="0" w:afterAutospacing="0"/>
              <w:ind w:left="0" w:leftChars="0" w:right="0" w:rightChars="0" w:firstLine="0" w:firstLineChars="0"/>
              <w:rPr>
                <w:rFonts w:hint="default"/>
                <w:highlight w:val="none"/>
              </w:rPr>
            </w:pPr>
            <w:r>
              <w:rPr>
                <w:rFonts w:hint="default"/>
                <w:highlight w:val="none"/>
              </w:rPr>
              <w:t>COD</w:t>
            </w:r>
          </w:p>
        </w:tc>
        <w:tc>
          <w:tcPr>
            <w:tcW w:w="1576" w:type="dxa"/>
            <w:tcBorders>
              <w:tl2br w:val="nil"/>
              <w:tr2bl w:val="nil"/>
            </w:tcBorders>
            <w:vAlign w:val="center"/>
          </w:tcPr>
          <w:p w14:paraId="29B15C06">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0.08</w:t>
            </w:r>
          </w:p>
        </w:tc>
      </w:tr>
      <w:tr w14:paraId="2314478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0" w:hRule="atLeast"/>
          <w:jc w:val="center"/>
        </w:trPr>
        <w:tc>
          <w:tcPr>
            <w:tcW w:w="2132" w:type="dxa"/>
            <w:gridSpan w:val="2"/>
            <w:vMerge w:val="continue"/>
            <w:tcBorders>
              <w:tl2br w:val="nil"/>
              <w:tr2bl w:val="nil"/>
            </w:tcBorders>
            <w:vAlign w:val="center"/>
          </w:tcPr>
          <w:p w14:paraId="54B88D3A">
            <w:pPr>
              <w:pStyle w:val="8"/>
              <w:suppressLineNumbers w:val="0"/>
              <w:bidi w:val="0"/>
              <w:spacing w:before="0" w:beforeAutospacing="0" w:after="0" w:afterAutospacing="0"/>
              <w:ind w:left="0" w:right="0"/>
              <w:rPr>
                <w:rFonts w:hint="default"/>
                <w:highlight w:val="none"/>
              </w:rPr>
            </w:pPr>
          </w:p>
        </w:tc>
        <w:tc>
          <w:tcPr>
            <w:tcW w:w="4814" w:type="dxa"/>
            <w:gridSpan w:val="3"/>
            <w:tcBorders>
              <w:tl2br w:val="nil"/>
              <w:tr2bl w:val="nil"/>
            </w:tcBorders>
            <w:vAlign w:val="bottom"/>
          </w:tcPr>
          <w:p w14:paraId="517DB5C9">
            <w:pPr>
              <w:pStyle w:val="8"/>
              <w:suppressLineNumbers w:val="0"/>
              <w:bidi w:val="0"/>
              <w:spacing w:before="0" w:beforeAutospacing="0" w:after="0" w:afterAutospacing="0"/>
              <w:ind w:left="0" w:leftChars="0" w:right="0" w:rightChars="0" w:firstLine="0" w:firstLineChars="0"/>
              <w:rPr>
                <w:rFonts w:hint="default"/>
                <w:highlight w:val="none"/>
              </w:rPr>
            </w:pPr>
            <w:r>
              <w:rPr>
                <w:rFonts w:hint="default"/>
                <w:highlight w:val="none"/>
              </w:rPr>
              <w:t>氨氮</w:t>
            </w:r>
          </w:p>
        </w:tc>
        <w:tc>
          <w:tcPr>
            <w:tcW w:w="1576" w:type="dxa"/>
            <w:tcBorders>
              <w:tl2br w:val="nil"/>
              <w:tr2bl w:val="nil"/>
            </w:tcBorders>
            <w:vAlign w:val="center"/>
          </w:tcPr>
          <w:p w14:paraId="1B9EBC9D">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0.008</w:t>
            </w:r>
          </w:p>
        </w:tc>
      </w:tr>
      <w:tr w14:paraId="1EEC08C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0" w:hRule="atLeast"/>
          <w:jc w:val="center"/>
        </w:trPr>
        <w:tc>
          <w:tcPr>
            <w:tcW w:w="2132" w:type="dxa"/>
            <w:gridSpan w:val="2"/>
            <w:vMerge w:val="continue"/>
            <w:tcBorders>
              <w:tl2br w:val="nil"/>
              <w:tr2bl w:val="nil"/>
            </w:tcBorders>
            <w:vAlign w:val="center"/>
          </w:tcPr>
          <w:p w14:paraId="7312C72F">
            <w:pPr>
              <w:pStyle w:val="8"/>
              <w:suppressLineNumbers w:val="0"/>
              <w:bidi w:val="0"/>
              <w:spacing w:before="0" w:beforeAutospacing="0" w:after="0" w:afterAutospacing="0"/>
              <w:ind w:left="0" w:right="0"/>
              <w:rPr>
                <w:rFonts w:hint="default"/>
                <w:highlight w:val="none"/>
              </w:rPr>
            </w:pPr>
          </w:p>
        </w:tc>
        <w:tc>
          <w:tcPr>
            <w:tcW w:w="4814" w:type="dxa"/>
            <w:gridSpan w:val="3"/>
            <w:tcBorders>
              <w:tl2br w:val="nil"/>
              <w:tr2bl w:val="nil"/>
            </w:tcBorders>
            <w:vAlign w:val="center"/>
          </w:tcPr>
          <w:p w14:paraId="21D62E68">
            <w:pPr>
              <w:pStyle w:val="8"/>
              <w:suppressLineNumbers w:val="0"/>
              <w:bidi w:val="0"/>
              <w:spacing w:before="0" w:beforeAutospacing="0" w:after="0" w:afterAutospacing="0"/>
              <w:ind w:left="0" w:leftChars="0" w:right="0" w:rightChars="0" w:firstLine="0" w:firstLineChars="0"/>
              <w:rPr>
                <w:rFonts w:hint="default"/>
                <w:highlight w:val="none"/>
              </w:rPr>
            </w:pPr>
            <w:r>
              <w:rPr>
                <w:rFonts w:hint="default"/>
                <w:highlight w:val="none"/>
              </w:rPr>
              <w:t>BOD</w:t>
            </w:r>
            <w:r>
              <w:rPr>
                <w:rFonts w:hint="default"/>
                <w:highlight w:val="none"/>
                <w:vertAlign w:val="subscript"/>
              </w:rPr>
              <w:t>5</w:t>
            </w:r>
          </w:p>
        </w:tc>
        <w:tc>
          <w:tcPr>
            <w:tcW w:w="1576" w:type="dxa"/>
            <w:tcBorders>
              <w:tl2br w:val="nil"/>
              <w:tr2bl w:val="nil"/>
            </w:tcBorders>
            <w:vAlign w:val="center"/>
          </w:tcPr>
          <w:p w14:paraId="26401FA4">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0.03</w:t>
            </w:r>
          </w:p>
        </w:tc>
      </w:tr>
      <w:tr w14:paraId="7086745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0" w:hRule="atLeast"/>
          <w:jc w:val="center"/>
        </w:trPr>
        <w:tc>
          <w:tcPr>
            <w:tcW w:w="2132" w:type="dxa"/>
            <w:gridSpan w:val="2"/>
            <w:vMerge w:val="continue"/>
            <w:tcBorders>
              <w:tl2br w:val="nil"/>
              <w:tr2bl w:val="nil"/>
            </w:tcBorders>
            <w:vAlign w:val="center"/>
          </w:tcPr>
          <w:p w14:paraId="59624F29">
            <w:pPr>
              <w:pStyle w:val="8"/>
              <w:suppressLineNumbers w:val="0"/>
              <w:bidi w:val="0"/>
              <w:spacing w:before="0" w:beforeAutospacing="0" w:after="0" w:afterAutospacing="0"/>
              <w:ind w:left="0" w:right="0"/>
              <w:rPr>
                <w:rFonts w:hint="default"/>
                <w:highlight w:val="none"/>
              </w:rPr>
            </w:pPr>
          </w:p>
        </w:tc>
        <w:tc>
          <w:tcPr>
            <w:tcW w:w="4814" w:type="dxa"/>
            <w:gridSpan w:val="3"/>
            <w:tcBorders>
              <w:tl2br w:val="nil"/>
              <w:tr2bl w:val="nil"/>
            </w:tcBorders>
            <w:vAlign w:val="center"/>
          </w:tcPr>
          <w:p w14:paraId="4F1756F0">
            <w:pPr>
              <w:pStyle w:val="8"/>
              <w:suppressLineNumbers w:val="0"/>
              <w:bidi w:val="0"/>
              <w:spacing w:before="0" w:beforeAutospacing="0" w:after="0" w:afterAutospacing="0"/>
              <w:ind w:left="0" w:leftChars="0" w:right="0" w:rightChars="0" w:firstLine="0" w:firstLineChars="0"/>
              <w:rPr>
                <w:rFonts w:hint="default"/>
                <w:highlight w:val="none"/>
              </w:rPr>
            </w:pPr>
            <w:r>
              <w:rPr>
                <w:rFonts w:hint="default"/>
                <w:highlight w:val="none"/>
              </w:rPr>
              <w:t>SS</w:t>
            </w:r>
          </w:p>
        </w:tc>
        <w:tc>
          <w:tcPr>
            <w:tcW w:w="1576" w:type="dxa"/>
            <w:tcBorders>
              <w:tl2br w:val="nil"/>
              <w:tr2bl w:val="nil"/>
            </w:tcBorders>
            <w:vAlign w:val="center"/>
          </w:tcPr>
          <w:p w14:paraId="6A786C2E">
            <w:pPr>
              <w:pStyle w:val="8"/>
              <w:suppressLineNumbers w:val="0"/>
              <w:bidi w:val="0"/>
              <w:spacing w:before="0" w:beforeAutospacing="0" w:after="0" w:afterAutospacing="0"/>
              <w:ind w:left="0" w:leftChars="0" w:right="0" w:rightChars="0" w:firstLine="0" w:firstLineChars="0"/>
              <w:rPr>
                <w:rFonts w:hint="default"/>
                <w:highlight w:val="none"/>
              </w:rPr>
            </w:pPr>
            <w:r>
              <w:rPr>
                <w:rFonts w:hint="eastAsia"/>
                <w:highlight w:val="none"/>
                <w:lang w:val="en-US" w:eastAsia="zh-CN"/>
              </w:rPr>
              <w:t>0.05</w:t>
            </w:r>
          </w:p>
        </w:tc>
      </w:tr>
      <w:tr w14:paraId="2BC4D43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0" w:hRule="atLeast"/>
          <w:jc w:val="center"/>
        </w:trPr>
        <w:tc>
          <w:tcPr>
            <w:tcW w:w="2132" w:type="dxa"/>
            <w:gridSpan w:val="2"/>
            <w:vMerge w:val="continue"/>
            <w:tcBorders>
              <w:tl2br w:val="nil"/>
              <w:tr2bl w:val="nil"/>
            </w:tcBorders>
            <w:vAlign w:val="center"/>
          </w:tcPr>
          <w:p w14:paraId="22ABAEA3">
            <w:pPr>
              <w:pStyle w:val="8"/>
              <w:suppressLineNumbers w:val="0"/>
              <w:bidi w:val="0"/>
              <w:spacing w:before="0" w:beforeAutospacing="0" w:after="0" w:afterAutospacing="0"/>
              <w:ind w:left="0" w:right="0"/>
              <w:rPr>
                <w:rFonts w:hint="default"/>
                <w:highlight w:val="none"/>
              </w:rPr>
            </w:pPr>
          </w:p>
        </w:tc>
        <w:tc>
          <w:tcPr>
            <w:tcW w:w="4814" w:type="dxa"/>
            <w:gridSpan w:val="3"/>
            <w:tcBorders>
              <w:tl2br w:val="nil"/>
              <w:tr2bl w:val="nil"/>
            </w:tcBorders>
            <w:vAlign w:val="bottom"/>
          </w:tcPr>
          <w:p w14:paraId="67324E1E">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pH</w:t>
            </w:r>
          </w:p>
        </w:tc>
        <w:tc>
          <w:tcPr>
            <w:tcW w:w="1576" w:type="dxa"/>
            <w:tcBorders>
              <w:tl2br w:val="nil"/>
              <w:tr2bl w:val="nil"/>
            </w:tcBorders>
            <w:vAlign w:val="bottom"/>
          </w:tcPr>
          <w:p w14:paraId="41DEC582">
            <w:pPr>
              <w:pStyle w:val="8"/>
              <w:suppressLineNumbers w:val="0"/>
              <w:bidi w:val="0"/>
              <w:spacing w:before="0" w:beforeAutospacing="0" w:after="0" w:afterAutospacing="0"/>
              <w:ind w:left="0" w:right="0"/>
              <w:rPr>
                <w:rFonts w:hint="eastAsia"/>
                <w:highlight w:val="none"/>
                <w:lang w:val="en-US" w:eastAsia="zh-CN"/>
              </w:rPr>
            </w:pPr>
            <w:r>
              <w:rPr>
                <w:rFonts w:hint="eastAsia"/>
                <w:highlight w:val="none"/>
                <w:lang w:val="en-US" w:eastAsia="zh-CN"/>
              </w:rPr>
              <w:t>/</w:t>
            </w:r>
          </w:p>
        </w:tc>
      </w:tr>
    </w:tbl>
    <w:p w14:paraId="0972E6D5">
      <w:pPr>
        <w:spacing w:line="360" w:lineRule="auto"/>
        <w:jc w:val="left"/>
        <w:rPr>
          <w:rFonts w:eastAsiaTheme="minorEastAsia"/>
          <w:b/>
          <w:bCs/>
          <w:sz w:val="18"/>
          <w:szCs w:val="18"/>
          <w:highlight w:val="none"/>
        </w:rPr>
      </w:pPr>
      <w:r>
        <w:rPr>
          <w:rFonts w:eastAsiaTheme="minorEastAsia"/>
          <w:b/>
          <w:bCs/>
          <w:sz w:val="18"/>
          <w:szCs w:val="18"/>
          <w:highlight w:val="none"/>
        </w:rPr>
        <w:t>注：日排放量为平均日排放量</w:t>
      </w:r>
    </w:p>
    <w:p w14:paraId="50408E5E">
      <w:pPr>
        <w:pStyle w:val="7"/>
        <w:bidi w:val="0"/>
        <w:rPr>
          <w:highlight w:val="none"/>
        </w:rPr>
      </w:pPr>
      <w:r>
        <w:rPr>
          <w:highlight w:val="none"/>
        </w:rPr>
        <w:t>表5-2-</w:t>
      </w:r>
      <w:r>
        <w:rPr>
          <w:rFonts w:hint="eastAsia"/>
          <w:highlight w:val="none"/>
          <w:lang w:val="en-US" w:eastAsia="zh-CN"/>
        </w:rPr>
        <w:t>13</w:t>
      </w:r>
      <w:r>
        <w:rPr>
          <w:highlight w:val="none"/>
        </w:rPr>
        <w:t>废水间接排放口基本情况表</w:t>
      </w:r>
    </w:p>
    <w:tbl>
      <w:tblPr>
        <w:tblStyle w:val="4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19"/>
        <w:gridCol w:w="533"/>
        <w:gridCol w:w="789"/>
        <w:gridCol w:w="788"/>
        <w:gridCol w:w="789"/>
        <w:gridCol w:w="661"/>
        <w:gridCol w:w="660"/>
        <w:gridCol w:w="661"/>
        <w:gridCol w:w="661"/>
        <w:gridCol w:w="794"/>
        <w:gridCol w:w="1767"/>
      </w:tblGrid>
      <w:tr w14:paraId="0EFD1E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19" w:type="dxa"/>
            <w:vMerge w:val="restart"/>
            <w:vAlign w:val="center"/>
          </w:tcPr>
          <w:p w14:paraId="734F8BE0">
            <w:pPr>
              <w:pStyle w:val="8"/>
              <w:suppressLineNumbers w:val="0"/>
              <w:bidi w:val="0"/>
              <w:spacing w:before="0" w:beforeAutospacing="0" w:after="0" w:afterAutospacing="0"/>
              <w:ind w:left="0" w:right="0"/>
              <w:jc w:val="center"/>
              <w:rPr>
                <w:rFonts w:hint="default"/>
                <w:highlight w:val="none"/>
              </w:rPr>
            </w:pPr>
            <w:r>
              <w:rPr>
                <w:rFonts w:hint="default"/>
                <w:highlight w:val="none"/>
              </w:rPr>
              <w:t>序号</w:t>
            </w:r>
          </w:p>
        </w:tc>
        <w:tc>
          <w:tcPr>
            <w:tcW w:w="533" w:type="dxa"/>
            <w:vMerge w:val="restart"/>
            <w:vAlign w:val="center"/>
          </w:tcPr>
          <w:p w14:paraId="2927955A">
            <w:pPr>
              <w:pStyle w:val="8"/>
              <w:suppressLineNumbers w:val="0"/>
              <w:bidi w:val="0"/>
              <w:spacing w:before="0" w:beforeAutospacing="0" w:after="0" w:afterAutospacing="0"/>
              <w:ind w:left="0" w:right="0"/>
              <w:jc w:val="center"/>
              <w:rPr>
                <w:rFonts w:hint="default"/>
                <w:highlight w:val="none"/>
              </w:rPr>
            </w:pPr>
            <w:r>
              <w:rPr>
                <w:rFonts w:hint="default"/>
                <w:highlight w:val="none"/>
              </w:rPr>
              <w:t>排放口编号</w:t>
            </w:r>
          </w:p>
        </w:tc>
        <w:tc>
          <w:tcPr>
            <w:tcW w:w="1577" w:type="dxa"/>
            <w:gridSpan w:val="2"/>
            <w:vAlign w:val="center"/>
          </w:tcPr>
          <w:p w14:paraId="42870C10">
            <w:pPr>
              <w:pStyle w:val="8"/>
              <w:suppressLineNumbers w:val="0"/>
              <w:bidi w:val="0"/>
              <w:spacing w:before="0" w:beforeAutospacing="0" w:after="0" w:afterAutospacing="0"/>
              <w:ind w:left="0" w:right="0"/>
              <w:jc w:val="center"/>
              <w:rPr>
                <w:rFonts w:hint="default"/>
                <w:highlight w:val="none"/>
              </w:rPr>
            </w:pPr>
            <w:r>
              <w:rPr>
                <w:rFonts w:hint="default"/>
                <w:highlight w:val="none"/>
              </w:rPr>
              <w:t>排放口地理坐标</w:t>
            </w:r>
          </w:p>
        </w:tc>
        <w:tc>
          <w:tcPr>
            <w:tcW w:w="789" w:type="dxa"/>
            <w:vMerge w:val="restart"/>
            <w:vAlign w:val="center"/>
          </w:tcPr>
          <w:p w14:paraId="35AE323C">
            <w:pPr>
              <w:pStyle w:val="8"/>
              <w:suppressLineNumbers w:val="0"/>
              <w:bidi w:val="0"/>
              <w:spacing w:before="0" w:beforeAutospacing="0" w:after="0" w:afterAutospacing="0"/>
              <w:ind w:left="0" w:right="0"/>
              <w:jc w:val="center"/>
              <w:rPr>
                <w:rFonts w:hint="default"/>
                <w:highlight w:val="none"/>
              </w:rPr>
            </w:pPr>
            <w:r>
              <w:rPr>
                <w:rFonts w:hint="default"/>
                <w:highlight w:val="none"/>
              </w:rPr>
              <w:t>废水排放量/（万t/a）</w:t>
            </w:r>
          </w:p>
        </w:tc>
        <w:tc>
          <w:tcPr>
            <w:tcW w:w="661" w:type="dxa"/>
            <w:vMerge w:val="restart"/>
            <w:vAlign w:val="center"/>
          </w:tcPr>
          <w:p w14:paraId="7F09D7BC">
            <w:pPr>
              <w:pStyle w:val="8"/>
              <w:suppressLineNumbers w:val="0"/>
              <w:bidi w:val="0"/>
              <w:spacing w:before="0" w:beforeAutospacing="0" w:after="0" w:afterAutospacing="0"/>
              <w:ind w:left="0" w:right="0"/>
              <w:jc w:val="center"/>
              <w:rPr>
                <w:rFonts w:hint="default"/>
                <w:highlight w:val="none"/>
              </w:rPr>
            </w:pPr>
            <w:r>
              <w:rPr>
                <w:rFonts w:hint="default"/>
                <w:highlight w:val="none"/>
              </w:rPr>
              <w:t>排放去向</w:t>
            </w:r>
          </w:p>
        </w:tc>
        <w:tc>
          <w:tcPr>
            <w:tcW w:w="660" w:type="dxa"/>
            <w:vMerge w:val="restart"/>
            <w:vAlign w:val="center"/>
          </w:tcPr>
          <w:p w14:paraId="09BEE707">
            <w:pPr>
              <w:pStyle w:val="8"/>
              <w:suppressLineNumbers w:val="0"/>
              <w:bidi w:val="0"/>
              <w:spacing w:before="0" w:beforeAutospacing="0" w:after="0" w:afterAutospacing="0"/>
              <w:ind w:left="0" w:right="0"/>
              <w:jc w:val="center"/>
              <w:rPr>
                <w:rFonts w:hint="default"/>
                <w:highlight w:val="none"/>
              </w:rPr>
            </w:pPr>
            <w:r>
              <w:rPr>
                <w:rFonts w:hint="default"/>
                <w:highlight w:val="none"/>
              </w:rPr>
              <w:t>排放规律</w:t>
            </w:r>
          </w:p>
        </w:tc>
        <w:tc>
          <w:tcPr>
            <w:tcW w:w="661" w:type="dxa"/>
            <w:vMerge w:val="restart"/>
            <w:vAlign w:val="center"/>
          </w:tcPr>
          <w:p w14:paraId="30E0811B">
            <w:pPr>
              <w:pStyle w:val="8"/>
              <w:suppressLineNumbers w:val="0"/>
              <w:bidi w:val="0"/>
              <w:spacing w:before="0" w:beforeAutospacing="0" w:after="0" w:afterAutospacing="0"/>
              <w:ind w:left="0" w:right="0"/>
              <w:jc w:val="center"/>
              <w:rPr>
                <w:rFonts w:hint="default"/>
                <w:highlight w:val="none"/>
              </w:rPr>
            </w:pPr>
            <w:r>
              <w:rPr>
                <w:rFonts w:hint="default"/>
                <w:highlight w:val="none"/>
              </w:rPr>
              <w:t>间歇排放时段</w:t>
            </w:r>
          </w:p>
        </w:tc>
        <w:tc>
          <w:tcPr>
            <w:tcW w:w="3222" w:type="dxa"/>
            <w:gridSpan w:val="3"/>
            <w:vAlign w:val="center"/>
          </w:tcPr>
          <w:p w14:paraId="0BB01AAC">
            <w:pPr>
              <w:pStyle w:val="8"/>
              <w:suppressLineNumbers w:val="0"/>
              <w:bidi w:val="0"/>
              <w:spacing w:before="0" w:beforeAutospacing="0" w:after="0" w:afterAutospacing="0"/>
              <w:ind w:left="0" w:right="0"/>
              <w:jc w:val="center"/>
              <w:rPr>
                <w:rFonts w:hint="default"/>
                <w:highlight w:val="none"/>
              </w:rPr>
            </w:pPr>
            <w:r>
              <w:rPr>
                <w:rFonts w:hint="default"/>
                <w:highlight w:val="none"/>
              </w:rPr>
              <w:t>受纳污水处理厂信息</w:t>
            </w:r>
          </w:p>
        </w:tc>
      </w:tr>
      <w:tr w14:paraId="64AF4D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19" w:type="dxa"/>
            <w:vMerge w:val="continue"/>
            <w:tcBorders>
              <w:bottom w:val="single" w:color="auto" w:sz="4" w:space="0"/>
            </w:tcBorders>
            <w:vAlign w:val="center"/>
          </w:tcPr>
          <w:p w14:paraId="5D6FF86B">
            <w:pPr>
              <w:pStyle w:val="8"/>
              <w:suppressLineNumbers w:val="0"/>
              <w:bidi w:val="0"/>
              <w:spacing w:before="0" w:beforeAutospacing="0" w:after="0" w:afterAutospacing="0"/>
              <w:ind w:left="0" w:right="0"/>
              <w:jc w:val="center"/>
              <w:rPr>
                <w:rFonts w:hint="default"/>
                <w:highlight w:val="none"/>
              </w:rPr>
            </w:pPr>
          </w:p>
        </w:tc>
        <w:tc>
          <w:tcPr>
            <w:tcW w:w="533" w:type="dxa"/>
            <w:vMerge w:val="continue"/>
            <w:tcBorders>
              <w:bottom w:val="single" w:color="auto" w:sz="4" w:space="0"/>
            </w:tcBorders>
            <w:vAlign w:val="center"/>
          </w:tcPr>
          <w:p w14:paraId="5AE54F3B">
            <w:pPr>
              <w:pStyle w:val="8"/>
              <w:suppressLineNumbers w:val="0"/>
              <w:bidi w:val="0"/>
              <w:spacing w:before="0" w:beforeAutospacing="0" w:after="0" w:afterAutospacing="0"/>
              <w:ind w:left="0" w:right="0"/>
              <w:jc w:val="center"/>
              <w:rPr>
                <w:rFonts w:hint="default"/>
                <w:highlight w:val="none"/>
              </w:rPr>
            </w:pPr>
          </w:p>
        </w:tc>
        <w:tc>
          <w:tcPr>
            <w:tcW w:w="789" w:type="dxa"/>
            <w:tcBorders>
              <w:bottom w:val="single" w:color="auto" w:sz="4" w:space="0"/>
            </w:tcBorders>
            <w:vAlign w:val="center"/>
          </w:tcPr>
          <w:p w14:paraId="6B52D758">
            <w:pPr>
              <w:pStyle w:val="8"/>
              <w:suppressLineNumbers w:val="0"/>
              <w:bidi w:val="0"/>
              <w:spacing w:before="0" w:beforeAutospacing="0" w:after="0" w:afterAutospacing="0"/>
              <w:ind w:left="0" w:right="0"/>
              <w:jc w:val="center"/>
              <w:rPr>
                <w:rFonts w:hint="default"/>
                <w:highlight w:val="none"/>
              </w:rPr>
            </w:pPr>
            <w:r>
              <w:rPr>
                <w:rFonts w:hint="default"/>
                <w:highlight w:val="none"/>
              </w:rPr>
              <w:t>经度</w:t>
            </w:r>
          </w:p>
        </w:tc>
        <w:tc>
          <w:tcPr>
            <w:tcW w:w="788" w:type="dxa"/>
            <w:tcBorders>
              <w:bottom w:val="single" w:color="auto" w:sz="4" w:space="0"/>
            </w:tcBorders>
            <w:vAlign w:val="center"/>
          </w:tcPr>
          <w:p w14:paraId="41D3ACB1">
            <w:pPr>
              <w:pStyle w:val="8"/>
              <w:suppressLineNumbers w:val="0"/>
              <w:bidi w:val="0"/>
              <w:spacing w:before="0" w:beforeAutospacing="0" w:after="0" w:afterAutospacing="0"/>
              <w:ind w:left="0" w:right="0"/>
              <w:jc w:val="center"/>
              <w:rPr>
                <w:rFonts w:hint="default"/>
                <w:highlight w:val="none"/>
              </w:rPr>
            </w:pPr>
            <w:r>
              <w:rPr>
                <w:rFonts w:hint="default"/>
                <w:highlight w:val="none"/>
              </w:rPr>
              <w:t>纬度</w:t>
            </w:r>
          </w:p>
        </w:tc>
        <w:tc>
          <w:tcPr>
            <w:tcW w:w="789" w:type="dxa"/>
            <w:vMerge w:val="continue"/>
            <w:tcBorders>
              <w:bottom w:val="single" w:color="auto" w:sz="4" w:space="0"/>
            </w:tcBorders>
            <w:vAlign w:val="center"/>
          </w:tcPr>
          <w:p w14:paraId="686884D3">
            <w:pPr>
              <w:pStyle w:val="8"/>
              <w:suppressLineNumbers w:val="0"/>
              <w:bidi w:val="0"/>
              <w:spacing w:before="0" w:beforeAutospacing="0" w:after="0" w:afterAutospacing="0"/>
              <w:ind w:left="0" w:right="0"/>
              <w:jc w:val="center"/>
              <w:rPr>
                <w:rFonts w:hint="default"/>
                <w:highlight w:val="none"/>
              </w:rPr>
            </w:pPr>
          </w:p>
        </w:tc>
        <w:tc>
          <w:tcPr>
            <w:tcW w:w="661" w:type="dxa"/>
            <w:vMerge w:val="continue"/>
            <w:vAlign w:val="center"/>
          </w:tcPr>
          <w:p w14:paraId="4855C7CA">
            <w:pPr>
              <w:pStyle w:val="8"/>
              <w:suppressLineNumbers w:val="0"/>
              <w:bidi w:val="0"/>
              <w:spacing w:before="0" w:beforeAutospacing="0" w:after="0" w:afterAutospacing="0"/>
              <w:ind w:left="0" w:right="0"/>
              <w:jc w:val="center"/>
              <w:rPr>
                <w:rFonts w:hint="default"/>
                <w:highlight w:val="none"/>
              </w:rPr>
            </w:pPr>
          </w:p>
        </w:tc>
        <w:tc>
          <w:tcPr>
            <w:tcW w:w="660" w:type="dxa"/>
            <w:vMerge w:val="continue"/>
            <w:vAlign w:val="center"/>
          </w:tcPr>
          <w:p w14:paraId="38A7A6D4">
            <w:pPr>
              <w:pStyle w:val="8"/>
              <w:suppressLineNumbers w:val="0"/>
              <w:bidi w:val="0"/>
              <w:spacing w:before="0" w:beforeAutospacing="0" w:after="0" w:afterAutospacing="0"/>
              <w:ind w:left="0" w:right="0"/>
              <w:jc w:val="center"/>
              <w:rPr>
                <w:rFonts w:hint="default"/>
                <w:highlight w:val="none"/>
              </w:rPr>
            </w:pPr>
          </w:p>
        </w:tc>
        <w:tc>
          <w:tcPr>
            <w:tcW w:w="661" w:type="dxa"/>
            <w:vMerge w:val="continue"/>
            <w:vAlign w:val="center"/>
          </w:tcPr>
          <w:p w14:paraId="4DEC5205">
            <w:pPr>
              <w:pStyle w:val="8"/>
              <w:suppressLineNumbers w:val="0"/>
              <w:bidi w:val="0"/>
              <w:spacing w:before="0" w:beforeAutospacing="0" w:after="0" w:afterAutospacing="0"/>
              <w:ind w:left="0" w:right="0"/>
              <w:jc w:val="center"/>
              <w:rPr>
                <w:rFonts w:hint="default"/>
                <w:highlight w:val="none"/>
              </w:rPr>
            </w:pPr>
          </w:p>
        </w:tc>
        <w:tc>
          <w:tcPr>
            <w:tcW w:w="661" w:type="dxa"/>
            <w:vAlign w:val="center"/>
          </w:tcPr>
          <w:p w14:paraId="5E306535">
            <w:pPr>
              <w:pStyle w:val="8"/>
              <w:suppressLineNumbers w:val="0"/>
              <w:bidi w:val="0"/>
              <w:spacing w:before="0" w:beforeAutospacing="0" w:after="0" w:afterAutospacing="0"/>
              <w:ind w:left="0" w:right="0"/>
              <w:jc w:val="center"/>
              <w:rPr>
                <w:rFonts w:hint="default"/>
                <w:highlight w:val="none"/>
              </w:rPr>
            </w:pPr>
            <w:r>
              <w:rPr>
                <w:rFonts w:hint="default"/>
                <w:highlight w:val="none"/>
              </w:rPr>
              <w:t>名称</w:t>
            </w:r>
          </w:p>
        </w:tc>
        <w:tc>
          <w:tcPr>
            <w:tcW w:w="794" w:type="dxa"/>
            <w:vAlign w:val="center"/>
          </w:tcPr>
          <w:p w14:paraId="53BA899E">
            <w:pPr>
              <w:pStyle w:val="8"/>
              <w:suppressLineNumbers w:val="0"/>
              <w:bidi w:val="0"/>
              <w:spacing w:before="0" w:beforeAutospacing="0" w:after="0" w:afterAutospacing="0"/>
              <w:ind w:left="0" w:right="0"/>
              <w:jc w:val="center"/>
              <w:rPr>
                <w:rFonts w:hint="default"/>
                <w:highlight w:val="none"/>
              </w:rPr>
            </w:pPr>
            <w:r>
              <w:rPr>
                <w:rFonts w:hint="default"/>
                <w:highlight w:val="none"/>
              </w:rPr>
              <w:t>污染物种类</w:t>
            </w:r>
          </w:p>
        </w:tc>
        <w:tc>
          <w:tcPr>
            <w:tcW w:w="1767" w:type="dxa"/>
            <w:vAlign w:val="center"/>
          </w:tcPr>
          <w:p w14:paraId="73BB3F4B">
            <w:pPr>
              <w:pStyle w:val="8"/>
              <w:suppressLineNumbers w:val="0"/>
              <w:bidi w:val="0"/>
              <w:spacing w:before="0" w:beforeAutospacing="0" w:after="0" w:afterAutospacing="0"/>
              <w:ind w:left="0" w:right="0"/>
              <w:jc w:val="center"/>
              <w:rPr>
                <w:rFonts w:hint="default"/>
                <w:highlight w:val="none"/>
              </w:rPr>
            </w:pPr>
            <w:r>
              <w:rPr>
                <w:rFonts w:hint="default"/>
                <w:highlight w:val="none"/>
              </w:rPr>
              <w:t>国家或地方污染物排放标准浓度限值/（mg/L）</w:t>
            </w:r>
          </w:p>
        </w:tc>
      </w:tr>
      <w:tr w14:paraId="38FFE9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19" w:type="dxa"/>
            <w:vMerge w:val="restart"/>
            <w:tcBorders>
              <w:top w:val="single" w:color="auto" w:sz="4" w:space="0"/>
              <w:bottom w:val="single" w:color="auto" w:sz="2" w:space="0"/>
            </w:tcBorders>
            <w:vAlign w:val="center"/>
          </w:tcPr>
          <w:p w14:paraId="73FC2D96">
            <w:pPr>
              <w:pStyle w:val="8"/>
              <w:suppressLineNumbers w:val="0"/>
              <w:bidi w:val="0"/>
              <w:spacing w:before="0" w:beforeAutospacing="0" w:after="0" w:afterAutospacing="0"/>
              <w:ind w:left="0" w:right="0"/>
              <w:jc w:val="center"/>
              <w:rPr>
                <w:rFonts w:hint="default"/>
                <w:highlight w:val="none"/>
              </w:rPr>
            </w:pPr>
            <w:r>
              <w:rPr>
                <w:rFonts w:hint="default"/>
                <w:highlight w:val="none"/>
              </w:rPr>
              <w:t>1</w:t>
            </w:r>
          </w:p>
        </w:tc>
        <w:tc>
          <w:tcPr>
            <w:tcW w:w="533" w:type="dxa"/>
            <w:vMerge w:val="restart"/>
            <w:tcBorders>
              <w:top w:val="single" w:color="auto" w:sz="4" w:space="0"/>
              <w:bottom w:val="single" w:color="auto" w:sz="2" w:space="0"/>
            </w:tcBorders>
            <w:vAlign w:val="center"/>
          </w:tcPr>
          <w:p w14:paraId="07CACC4B">
            <w:pPr>
              <w:pStyle w:val="8"/>
              <w:suppressLineNumbers w:val="0"/>
              <w:bidi w:val="0"/>
              <w:spacing w:before="0" w:beforeAutospacing="0" w:after="0" w:afterAutospacing="0"/>
              <w:ind w:left="0" w:right="0"/>
              <w:jc w:val="center"/>
              <w:rPr>
                <w:rFonts w:hint="default"/>
                <w:highlight w:val="none"/>
              </w:rPr>
            </w:pPr>
            <w:r>
              <w:rPr>
                <w:rFonts w:hint="eastAsia"/>
                <w:highlight w:val="none"/>
              </w:rPr>
              <w:t>DW001</w:t>
            </w:r>
          </w:p>
        </w:tc>
        <w:tc>
          <w:tcPr>
            <w:tcW w:w="789" w:type="dxa"/>
            <w:vMerge w:val="restart"/>
            <w:tcBorders>
              <w:top w:val="single" w:color="auto" w:sz="4" w:space="0"/>
              <w:bottom w:val="single" w:color="auto" w:sz="2" w:space="0"/>
            </w:tcBorders>
            <w:vAlign w:val="center"/>
          </w:tcPr>
          <w:p w14:paraId="6705DDCF">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126.633097526</w:t>
            </w:r>
          </w:p>
        </w:tc>
        <w:tc>
          <w:tcPr>
            <w:tcW w:w="788" w:type="dxa"/>
            <w:vMerge w:val="restart"/>
            <w:tcBorders>
              <w:top w:val="single" w:color="auto" w:sz="4" w:space="0"/>
              <w:bottom w:val="single" w:color="auto" w:sz="2" w:space="0"/>
            </w:tcBorders>
            <w:vAlign w:val="center"/>
          </w:tcPr>
          <w:p w14:paraId="3C676458">
            <w:pPr>
              <w:pStyle w:val="8"/>
              <w:suppressLineNumbers w:val="0"/>
              <w:bidi w:val="0"/>
              <w:spacing w:before="0" w:beforeAutospacing="0" w:after="0" w:afterAutospacing="0"/>
              <w:ind w:left="0" w:right="0"/>
              <w:jc w:val="center"/>
              <w:rPr>
                <w:rFonts w:hint="default"/>
                <w:highlight w:val="none"/>
                <w:lang w:val="en-US" w:eastAsia="zh-CN"/>
              </w:rPr>
            </w:pPr>
            <w:r>
              <w:rPr>
                <w:rFonts w:hint="eastAsia"/>
                <w:highlight w:val="none"/>
                <w:lang w:val="en-US" w:eastAsia="zh-CN"/>
              </w:rPr>
              <w:t>45.589562282</w:t>
            </w:r>
          </w:p>
        </w:tc>
        <w:tc>
          <w:tcPr>
            <w:tcW w:w="789" w:type="dxa"/>
            <w:vMerge w:val="restart"/>
            <w:tcBorders>
              <w:top w:val="single" w:color="auto" w:sz="4" w:space="0"/>
              <w:bottom w:val="single" w:color="auto" w:sz="2" w:space="0"/>
            </w:tcBorders>
            <w:vAlign w:val="center"/>
          </w:tcPr>
          <w:p w14:paraId="7C5E8E33">
            <w:pPr>
              <w:pStyle w:val="8"/>
              <w:suppressLineNumbers w:val="0"/>
              <w:bidi w:val="0"/>
              <w:spacing w:before="0" w:beforeAutospacing="0" w:after="0" w:afterAutospacing="0"/>
              <w:ind w:left="0" w:right="0"/>
              <w:jc w:val="center"/>
              <w:rPr>
                <w:rFonts w:hint="default" w:eastAsia="宋体"/>
                <w:highlight w:val="none"/>
                <w:lang w:val="en-US" w:eastAsia="zh-CN"/>
              </w:rPr>
            </w:pPr>
            <w:r>
              <w:rPr>
                <w:rFonts w:hint="eastAsia"/>
                <w:highlight w:val="none"/>
                <w:lang w:val="en-US" w:eastAsia="zh-CN"/>
              </w:rPr>
              <w:t>0.02304</w:t>
            </w:r>
          </w:p>
        </w:tc>
        <w:tc>
          <w:tcPr>
            <w:tcW w:w="661" w:type="dxa"/>
            <w:vMerge w:val="restart"/>
            <w:vAlign w:val="center"/>
          </w:tcPr>
          <w:p w14:paraId="0E394AAB">
            <w:pPr>
              <w:pStyle w:val="8"/>
              <w:suppressLineNumbers w:val="0"/>
              <w:bidi w:val="0"/>
              <w:spacing w:before="0" w:beforeAutospacing="0" w:after="0" w:afterAutospacing="0"/>
              <w:ind w:left="0" w:right="0"/>
              <w:jc w:val="center"/>
              <w:rPr>
                <w:rFonts w:hint="default"/>
                <w:highlight w:val="none"/>
              </w:rPr>
            </w:pPr>
            <w:r>
              <w:rPr>
                <w:rFonts w:hint="default"/>
                <w:highlight w:val="none"/>
              </w:rPr>
              <w:t>进入污水处理厂</w:t>
            </w:r>
          </w:p>
        </w:tc>
        <w:tc>
          <w:tcPr>
            <w:tcW w:w="660" w:type="dxa"/>
            <w:vMerge w:val="restart"/>
            <w:vAlign w:val="center"/>
          </w:tcPr>
          <w:p w14:paraId="51175125">
            <w:pPr>
              <w:pStyle w:val="8"/>
              <w:suppressLineNumbers w:val="0"/>
              <w:bidi w:val="0"/>
              <w:spacing w:before="0" w:beforeAutospacing="0" w:after="0" w:afterAutospacing="0"/>
              <w:ind w:left="0" w:right="0"/>
              <w:jc w:val="center"/>
              <w:rPr>
                <w:rFonts w:hint="default"/>
                <w:highlight w:val="none"/>
              </w:rPr>
            </w:pPr>
            <w:r>
              <w:rPr>
                <w:rFonts w:hint="default"/>
                <w:highlight w:val="none"/>
              </w:rPr>
              <w:t>间断排放，流量不稳</w:t>
            </w:r>
          </w:p>
          <w:p w14:paraId="0DC8A36D">
            <w:pPr>
              <w:pStyle w:val="8"/>
              <w:suppressLineNumbers w:val="0"/>
              <w:bidi w:val="0"/>
              <w:spacing w:before="0" w:beforeAutospacing="0" w:after="0" w:afterAutospacing="0"/>
              <w:ind w:left="0" w:right="0"/>
              <w:jc w:val="center"/>
              <w:rPr>
                <w:rFonts w:hint="default"/>
                <w:highlight w:val="none"/>
              </w:rPr>
            </w:pPr>
            <w:r>
              <w:rPr>
                <w:rFonts w:hint="default"/>
                <w:highlight w:val="none"/>
              </w:rPr>
              <w:t>定</w:t>
            </w:r>
          </w:p>
        </w:tc>
        <w:tc>
          <w:tcPr>
            <w:tcW w:w="661" w:type="dxa"/>
            <w:vMerge w:val="restart"/>
            <w:vAlign w:val="center"/>
          </w:tcPr>
          <w:p w14:paraId="3B960EAB">
            <w:pPr>
              <w:pStyle w:val="8"/>
              <w:suppressLineNumbers w:val="0"/>
              <w:bidi w:val="0"/>
              <w:spacing w:before="0" w:beforeAutospacing="0" w:after="0" w:afterAutospacing="0"/>
              <w:ind w:left="0" w:right="0"/>
              <w:jc w:val="center"/>
              <w:rPr>
                <w:rFonts w:hint="default"/>
                <w:highlight w:val="none"/>
              </w:rPr>
            </w:pPr>
            <w:r>
              <w:rPr>
                <w:rFonts w:hint="default"/>
                <w:highlight w:val="none"/>
              </w:rPr>
              <w:t>/</w:t>
            </w:r>
          </w:p>
        </w:tc>
        <w:tc>
          <w:tcPr>
            <w:tcW w:w="661" w:type="dxa"/>
            <w:vMerge w:val="restart"/>
            <w:vAlign w:val="center"/>
          </w:tcPr>
          <w:p w14:paraId="40D90038">
            <w:pPr>
              <w:pStyle w:val="8"/>
              <w:suppressLineNumbers w:val="0"/>
              <w:bidi w:val="0"/>
              <w:spacing w:before="0" w:beforeAutospacing="0" w:after="0" w:afterAutospacing="0"/>
              <w:ind w:left="0" w:right="0"/>
              <w:jc w:val="center"/>
              <w:rPr>
                <w:rFonts w:hint="default"/>
                <w:highlight w:val="none"/>
                <w:lang w:val="en-US"/>
              </w:rPr>
            </w:pPr>
            <w:r>
              <w:rPr>
                <w:rFonts w:hint="eastAsia"/>
                <w:highlight w:val="none"/>
                <w:lang w:eastAsia="zh-CN"/>
              </w:rPr>
              <w:t>哈尔滨</w:t>
            </w:r>
            <w:r>
              <w:rPr>
                <w:rFonts w:hint="eastAsia"/>
                <w:highlight w:val="none"/>
                <w:lang w:val="en-US" w:eastAsia="zh-CN"/>
              </w:rPr>
              <w:t>平房污水处理厂</w:t>
            </w:r>
          </w:p>
        </w:tc>
        <w:tc>
          <w:tcPr>
            <w:tcW w:w="794" w:type="dxa"/>
            <w:vAlign w:val="center"/>
          </w:tcPr>
          <w:p w14:paraId="5886C774">
            <w:pPr>
              <w:pStyle w:val="8"/>
              <w:suppressLineNumbers w:val="0"/>
              <w:bidi w:val="0"/>
              <w:spacing w:before="0" w:beforeAutospacing="0" w:after="0" w:afterAutospacing="0"/>
              <w:ind w:left="0" w:leftChars="0" w:right="0" w:rightChars="0" w:firstLine="0" w:firstLineChars="0"/>
              <w:jc w:val="center"/>
              <w:rPr>
                <w:rFonts w:hint="default"/>
                <w:highlight w:val="none"/>
              </w:rPr>
            </w:pPr>
            <w:r>
              <w:rPr>
                <w:rFonts w:hint="default"/>
                <w:highlight w:val="none"/>
              </w:rPr>
              <w:t>COD</w:t>
            </w:r>
          </w:p>
        </w:tc>
        <w:tc>
          <w:tcPr>
            <w:tcW w:w="1767" w:type="dxa"/>
            <w:vAlign w:val="center"/>
          </w:tcPr>
          <w:p w14:paraId="5456FCE4">
            <w:pPr>
              <w:pStyle w:val="8"/>
              <w:suppressLineNumbers w:val="0"/>
              <w:bidi w:val="0"/>
              <w:spacing w:before="0" w:beforeAutospacing="0" w:after="0" w:afterAutospacing="0"/>
              <w:ind w:left="0" w:right="0"/>
              <w:jc w:val="center"/>
              <w:rPr>
                <w:rFonts w:hint="default"/>
                <w:highlight w:val="none"/>
              </w:rPr>
            </w:pPr>
            <w:r>
              <w:rPr>
                <w:rFonts w:hint="default"/>
                <w:highlight w:val="none"/>
              </w:rPr>
              <w:t>50</w:t>
            </w:r>
          </w:p>
        </w:tc>
      </w:tr>
      <w:tr w14:paraId="083B29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19" w:type="dxa"/>
            <w:vMerge w:val="continue"/>
            <w:tcBorders>
              <w:top w:val="single" w:color="auto" w:sz="4" w:space="0"/>
              <w:bottom w:val="single" w:color="auto" w:sz="2" w:space="0"/>
            </w:tcBorders>
            <w:vAlign w:val="center"/>
          </w:tcPr>
          <w:p w14:paraId="08E1FAA2">
            <w:pPr>
              <w:pStyle w:val="8"/>
              <w:suppressLineNumbers w:val="0"/>
              <w:bidi w:val="0"/>
              <w:spacing w:before="0" w:beforeAutospacing="0" w:after="0" w:afterAutospacing="0"/>
              <w:ind w:left="0" w:right="0"/>
              <w:jc w:val="center"/>
              <w:rPr>
                <w:rFonts w:hint="default"/>
                <w:highlight w:val="none"/>
              </w:rPr>
            </w:pPr>
          </w:p>
        </w:tc>
        <w:tc>
          <w:tcPr>
            <w:tcW w:w="533" w:type="dxa"/>
            <w:vMerge w:val="continue"/>
            <w:tcBorders>
              <w:top w:val="single" w:color="auto" w:sz="4" w:space="0"/>
              <w:bottom w:val="single" w:color="auto" w:sz="2" w:space="0"/>
            </w:tcBorders>
            <w:vAlign w:val="center"/>
          </w:tcPr>
          <w:p w14:paraId="6BB4E3F0">
            <w:pPr>
              <w:pStyle w:val="8"/>
              <w:suppressLineNumbers w:val="0"/>
              <w:bidi w:val="0"/>
              <w:spacing w:before="0" w:beforeAutospacing="0" w:after="0" w:afterAutospacing="0"/>
              <w:ind w:left="0" w:right="0"/>
              <w:jc w:val="center"/>
              <w:rPr>
                <w:rFonts w:hint="default"/>
                <w:highlight w:val="none"/>
              </w:rPr>
            </w:pPr>
          </w:p>
        </w:tc>
        <w:tc>
          <w:tcPr>
            <w:tcW w:w="789" w:type="dxa"/>
            <w:vMerge w:val="continue"/>
            <w:tcBorders>
              <w:top w:val="single" w:color="auto" w:sz="4" w:space="0"/>
              <w:bottom w:val="single" w:color="auto" w:sz="2" w:space="0"/>
            </w:tcBorders>
            <w:vAlign w:val="center"/>
          </w:tcPr>
          <w:p w14:paraId="61BA80FF">
            <w:pPr>
              <w:pStyle w:val="8"/>
              <w:suppressLineNumbers w:val="0"/>
              <w:bidi w:val="0"/>
              <w:spacing w:before="0" w:beforeAutospacing="0" w:after="0" w:afterAutospacing="0"/>
              <w:ind w:left="0" w:right="0"/>
              <w:jc w:val="center"/>
              <w:rPr>
                <w:rFonts w:hint="default"/>
                <w:highlight w:val="none"/>
              </w:rPr>
            </w:pPr>
          </w:p>
        </w:tc>
        <w:tc>
          <w:tcPr>
            <w:tcW w:w="788" w:type="dxa"/>
            <w:vMerge w:val="continue"/>
            <w:tcBorders>
              <w:top w:val="single" w:color="auto" w:sz="4" w:space="0"/>
              <w:bottom w:val="single" w:color="auto" w:sz="2" w:space="0"/>
            </w:tcBorders>
            <w:vAlign w:val="center"/>
          </w:tcPr>
          <w:p w14:paraId="3164C3F4">
            <w:pPr>
              <w:pStyle w:val="8"/>
              <w:suppressLineNumbers w:val="0"/>
              <w:bidi w:val="0"/>
              <w:spacing w:before="0" w:beforeAutospacing="0" w:after="0" w:afterAutospacing="0"/>
              <w:ind w:left="0" w:right="0"/>
              <w:jc w:val="center"/>
              <w:rPr>
                <w:rFonts w:hint="default"/>
                <w:highlight w:val="none"/>
              </w:rPr>
            </w:pPr>
          </w:p>
        </w:tc>
        <w:tc>
          <w:tcPr>
            <w:tcW w:w="789" w:type="dxa"/>
            <w:vMerge w:val="continue"/>
            <w:tcBorders>
              <w:top w:val="single" w:color="auto" w:sz="4" w:space="0"/>
              <w:bottom w:val="single" w:color="auto" w:sz="2" w:space="0"/>
            </w:tcBorders>
            <w:vAlign w:val="center"/>
          </w:tcPr>
          <w:p w14:paraId="16C30C69">
            <w:pPr>
              <w:pStyle w:val="8"/>
              <w:suppressLineNumbers w:val="0"/>
              <w:bidi w:val="0"/>
              <w:spacing w:before="0" w:beforeAutospacing="0" w:after="0" w:afterAutospacing="0"/>
              <w:ind w:left="0" w:right="0"/>
              <w:jc w:val="center"/>
              <w:rPr>
                <w:rFonts w:hint="default"/>
                <w:highlight w:val="none"/>
              </w:rPr>
            </w:pPr>
          </w:p>
        </w:tc>
        <w:tc>
          <w:tcPr>
            <w:tcW w:w="661" w:type="dxa"/>
            <w:vMerge w:val="continue"/>
            <w:vAlign w:val="center"/>
          </w:tcPr>
          <w:p w14:paraId="34E39387">
            <w:pPr>
              <w:pStyle w:val="8"/>
              <w:suppressLineNumbers w:val="0"/>
              <w:bidi w:val="0"/>
              <w:spacing w:before="0" w:beforeAutospacing="0" w:after="0" w:afterAutospacing="0"/>
              <w:ind w:left="0" w:right="0"/>
              <w:jc w:val="center"/>
              <w:rPr>
                <w:rFonts w:hint="default"/>
                <w:highlight w:val="none"/>
              </w:rPr>
            </w:pPr>
          </w:p>
        </w:tc>
        <w:tc>
          <w:tcPr>
            <w:tcW w:w="660" w:type="dxa"/>
            <w:vMerge w:val="continue"/>
            <w:vAlign w:val="center"/>
          </w:tcPr>
          <w:p w14:paraId="4EE99756">
            <w:pPr>
              <w:pStyle w:val="8"/>
              <w:suppressLineNumbers w:val="0"/>
              <w:bidi w:val="0"/>
              <w:spacing w:before="0" w:beforeAutospacing="0" w:after="0" w:afterAutospacing="0"/>
              <w:ind w:left="0" w:right="0"/>
              <w:jc w:val="center"/>
              <w:rPr>
                <w:rFonts w:hint="default"/>
                <w:highlight w:val="none"/>
              </w:rPr>
            </w:pPr>
          </w:p>
        </w:tc>
        <w:tc>
          <w:tcPr>
            <w:tcW w:w="661" w:type="dxa"/>
            <w:vMerge w:val="continue"/>
            <w:vAlign w:val="center"/>
          </w:tcPr>
          <w:p w14:paraId="70B5AF35">
            <w:pPr>
              <w:pStyle w:val="8"/>
              <w:suppressLineNumbers w:val="0"/>
              <w:bidi w:val="0"/>
              <w:spacing w:before="0" w:beforeAutospacing="0" w:after="0" w:afterAutospacing="0"/>
              <w:ind w:left="0" w:right="0"/>
              <w:jc w:val="center"/>
              <w:rPr>
                <w:rFonts w:hint="default"/>
                <w:highlight w:val="none"/>
              </w:rPr>
            </w:pPr>
          </w:p>
        </w:tc>
        <w:tc>
          <w:tcPr>
            <w:tcW w:w="661" w:type="dxa"/>
            <w:vMerge w:val="continue"/>
            <w:vAlign w:val="center"/>
          </w:tcPr>
          <w:p w14:paraId="7A8A4030">
            <w:pPr>
              <w:pStyle w:val="8"/>
              <w:suppressLineNumbers w:val="0"/>
              <w:bidi w:val="0"/>
              <w:spacing w:before="0" w:beforeAutospacing="0" w:after="0" w:afterAutospacing="0"/>
              <w:ind w:left="0" w:right="0"/>
              <w:jc w:val="center"/>
              <w:rPr>
                <w:rFonts w:hint="default"/>
                <w:highlight w:val="none"/>
              </w:rPr>
            </w:pPr>
          </w:p>
        </w:tc>
        <w:tc>
          <w:tcPr>
            <w:tcW w:w="794" w:type="dxa"/>
            <w:vAlign w:val="center"/>
          </w:tcPr>
          <w:p w14:paraId="3DEEF410">
            <w:pPr>
              <w:pStyle w:val="8"/>
              <w:suppressLineNumbers w:val="0"/>
              <w:bidi w:val="0"/>
              <w:spacing w:before="0" w:beforeAutospacing="0" w:after="0" w:afterAutospacing="0"/>
              <w:ind w:left="0" w:leftChars="0" w:right="0" w:rightChars="0" w:firstLine="0" w:firstLineChars="0"/>
              <w:jc w:val="center"/>
              <w:rPr>
                <w:rFonts w:hint="default"/>
                <w:highlight w:val="none"/>
              </w:rPr>
            </w:pPr>
            <w:r>
              <w:rPr>
                <w:rFonts w:hint="default"/>
                <w:highlight w:val="none"/>
              </w:rPr>
              <w:t>氨氮</w:t>
            </w:r>
          </w:p>
        </w:tc>
        <w:tc>
          <w:tcPr>
            <w:tcW w:w="1767" w:type="dxa"/>
            <w:vAlign w:val="center"/>
          </w:tcPr>
          <w:p w14:paraId="7A8909AB">
            <w:pPr>
              <w:pStyle w:val="8"/>
              <w:suppressLineNumbers w:val="0"/>
              <w:bidi w:val="0"/>
              <w:spacing w:before="0" w:beforeAutospacing="0" w:after="0" w:afterAutospacing="0"/>
              <w:ind w:left="0" w:right="0"/>
              <w:jc w:val="center"/>
              <w:rPr>
                <w:rFonts w:hint="default"/>
                <w:highlight w:val="none"/>
              </w:rPr>
            </w:pPr>
            <w:r>
              <w:rPr>
                <w:rFonts w:hint="default"/>
                <w:highlight w:val="none"/>
              </w:rPr>
              <w:t>5（8）</w:t>
            </w:r>
          </w:p>
        </w:tc>
      </w:tr>
      <w:tr w14:paraId="594A86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19" w:type="dxa"/>
            <w:vMerge w:val="continue"/>
            <w:tcBorders>
              <w:top w:val="single" w:color="auto" w:sz="4" w:space="0"/>
              <w:bottom w:val="single" w:color="auto" w:sz="2" w:space="0"/>
            </w:tcBorders>
            <w:vAlign w:val="center"/>
          </w:tcPr>
          <w:p w14:paraId="0A4F9679">
            <w:pPr>
              <w:pStyle w:val="8"/>
              <w:suppressLineNumbers w:val="0"/>
              <w:bidi w:val="0"/>
              <w:spacing w:before="0" w:beforeAutospacing="0" w:after="0" w:afterAutospacing="0"/>
              <w:ind w:left="0" w:right="0"/>
              <w:jc w:val="center"/>
              <w:rPr>
                <w:rFonts w:hint="default"/>
                <w:highlight w:val="none"/>
              </w:rPr>
            </w:pPr>
          </w:p>
        </w:tc>
        <w:tc>
          <w:tcPr>
            <w:tcW w:w="533" w:type="dxa"/>
            <w:vMerge w:val="continue"/>
            <w:tcBorders>
              <w:top w:val="single" w:color="auto" w:sz="4" w:space="0"/>
              <w:bottom w:val="single" w:color="auto" w:sz="2" w:space="0"/>
            </w:tcBorders>
            <w:vAlign w:val="center"/>
          </w:tcPr>
          <w:p w14:paraId="40C0540E">
            <w:pPr>
              <w:pStyle w:val="8"/>
              <w:suppressLineNumbers w:val="0"/>
              <w:bidi w:val="0"/>
              <w:spacing w:before="0" w:beforeAutospacing="0" w:after="0" w:afterAutospacing="0"/>
              <w:ind w:left="0" w:right="0"/>
              <w:jc w:val="center"/>
              <w:rPr>
                <w:rFonts w:hint="default"/>
                <w:highlight w:val="none"/>
              </w:rPr>
            </w:pPr>
          </w:p>
        </w:tc>
        <w:tc>
          <w:tcPr>
            <w:tcW w:w="789" w:type="dxa"/>
            <w:vMerge w:val="continue"/>
            <w:tcBorders>
              <w:top w:val="single" w:color="auto" w:sz="4" w:space="0"/>
              <w:bottom w:val="single" w:color="auto" w:sz="2" w:space="0"/>
            </w:tcBorders>
            <w:vAlign w:val="center"/>
          </w:tcPr>
          <w:p w14:paraId="7643200C">
            <w:pPr>
              <w:pStyle w:val="8"/>
              <w:suppressLineNumbers w:val="0"/>
              <w:bidi w:val="0"/>
              <w:spacing w:before="0" w:beforeAutospacing="0" w:after="0" w:afterAutospacing="0"/>
              <w:ind w:left="0" w:right="0"/>
              <w:jc w:val="center"/>
              <w:rPr>
                <w:rFonts w:hint="default"/>
                <w:highlight w:val="none"/>
              </w:rPr>
            </w:pPr>
          </w:p>
        </w:tc>
        <w:tc>
          <w:tcPr>
            <w:tcW w:w="788" w:type="dxa"/>
            <w:vMerge w:val="continue"/>
            <w:tcBorders>
              <w:top w:val="single" w:color="auto" w:sz="4" w:space="0"/>
              <w:bottom w:val="single" w:color="auto" w:sz="2" w:space="0"/>
            </w:tcBorders>
            <w:vAlign w:val="center"/>
          </w:tcPr>
          <w:p w14:paraId="31543C9E">
            <w:pPr>
              <w:pStyle w:val="8"/>
              <w:suppressLineNumbers w:val="0"/>
              <w:bidi w:val="0"/>
              <w:spacing w:before="0" w:beforeAutospacing="0" w:after="0" w:afterAutospacing="0"/>
              <w:ind w:left="0" w:right="0"/>
              <w:jc w:val="center"/>
              <w:rPr>
                <w:rFonts w:hint="default"/>
                <w:highlight w:val="none"/>
              </w:rPr>
            </w:pPr>
          </w:p>
        </w:tc>
        <w:tc>
          <w:tcPr>
            <w:tcW w:w="789" w:type="dxa"/>
            <w:vMerge w:val="continue"/>
            <w:tcBorders>
              <w:top w:val="single" w:color="auto" w:sz="4" w:space="0"/>
              <w:bottom w:val="single" w:color="auto" w:sz="2" w:space="0"/>
            </w:tcBorders>
            <w:vAlign w:val="center"/>
          </w:tcPr>
          <w:p w14:paraId="3C6AD8D3">
            <w:pPr>
              <w:pStyle w:val="8"/>
              <w:suppressLineNumbers w:val="0"/>
              <w:bidi w:val="0"/>
              <w:spacing w:before="0" w:beforeAutospacing="0" w:after="0" w:afterAutospacing="0"/>
              <w:ind w:left="0" w:right="0"/>
              <w:jc w:val="center"/>
              <w:rPr>
                <w:rFonts w:hint="default"/>
                <w:highlight w:val="none"/>
              </w:rPr>
            </w:pPr>
          </w:p>
        </w:tc>
        <w:tc>
          <w:tcPr>
            <w:tcW w:w="661" w:type="dxa"/>
            <w:vMerge w:val="continue"/>
            <w:vAlign w:val="center"/>
          </w:tcPr>
          <w:p w14:paraId="13EFCC4C">
            <w:pPr>
              <w:pStyle w:val="8"/>
              <w:suppressLineNumbers w:val="0"/>
              <w:bidi w:val="0"/>
              <w:spacing w:before="0" w:beforeAutospacing="0" w:after="0" w:afterAutospacing="0"/>
              <w:ind w:left="0" w:right="0"/>
              <w:jc w:val="center"/>
              <w:rPr>
                <w:rFonts w:hint="default"/>
                <w:highlight w:val="none"/>
              </w:rPr>
            </w:pPr>
          </w:p>
        </w:tc>
        <w:tc>
          <w:tcPr>
            <w:tcW w:w="660" w:type="dxa"/>
            <w:vMerge w:val="continue"/>
            <w:vAlign w:val="center"/>
          </w:tcPr>
          <w:p w14:paraId="77629CA7">
            <w:pPr>
              <w:pStyle w:val="8"/>
              <w:suppressLineNumbers w:val="0"/>
              <w:bidi w:val="0"/>
              <w:spacing w:before="0" w:beforeAutospacing="0" w:after="0" w:afterAutospacing="0"/>
              <w:ind w:left="0" w:right="0"/>
              <w:jc w:val="center"/>
              <w:rPr>
                <w:rFonts w:hint="default"/>
                <w:highlight w:val="none"/>
              </w:rPr>
            </w:pPr>
          </w:p>
        </w:tc>
        <w:tc>
          <w:tcPr>
            <w:tcW w:w="661" w:type="dxa"/>
            <w:vMerge w:val="continue"/>
            <w:vAlign w:val="center"/>
          </w:tcPr>
          <w:p w14:paraId="0F67DB7A">
            <w:pPr>
              <w:pStyle w:val="8"/>
              <w:suppressLineNumbers w:val="0"/>
              <w:bidi w:val="0"/>
              <w:spacing w:before="0" w:beforeAutospacing="0" w:after="0" w:afterAutospacing="0"/>
              <w:ind w:left="0" w:right="0"/>
              <w:jc w:val="center"/>
              <w:rPr>
                <w:rFonts w:hint="default"/>
                <w:highlight w:val="none"/>
              </w:rPr>
            </w:pPr>
          </w:p>
        </w:tc>
        <w:tc>
          <w:tcPr>
            <w:tcW w:w="661" w:type="dxa"/>
            <w:vMerge w:val="continue"/>
            <w:vAlign w:val="center"/>
          </w:tcPr>
          <w:p w14:paraId="72DB5907">
            <w:pPr>
              <w:pStyle w:val="8"/>
              <w:suppressLineNumbers w:val="0"/>
              <w:bidi w:val="0"/>
              <w:spacing w:before="0" w:beforeAutospacing="0" w:after="0" w:afterAutospacing="0"/>
              <w:ind w:left="0" w:right="0"/>
              <w:jc w:val="center"/>
              <w:rPr>
                <w:rFonts w:hint="default"/>
                <w:highlight w:val="none"/>
              </w:rPr>
            </w:pPr>
          </w:p>
        </w:tc>
        <w:tc>
          <w:tcPr>
            <w:tcW w:w="794" w:type="dxa"/>
            <w:vAlign w:val="center"/>
          </w:tcPr>
          <w:p w14:paraId="13051D79">
            <w:pPr>
              <w:pStyle w:val="8"/>
              <w:suppressLineNumbers w:val="0"/>
              <w:bidi w:val="0"/>
              <w:spacing w:before="0" w:beforeAutospacing="0" w:after="0" w:afterAutospacing="0"/>
              <w:ind w:left="0" w:leftChars="0" w:right="0" w:rightChars="0" w:firstLine="0" w:firstLineChars="0"/>
              <w:jc w:val="center"/>
              <w:rPr>
                <w:rFonts w:hint="default"/>
                <w:highlight w:val="none"/>
              </w:rPr>
            </w:pPr>
            <w:r>
              <w:rPr>
                <w:rFonts w:hint="default"/>
                <w:highlight w:val="none"/>
              </w:rPr>
              <w:t>BOD</w:t>
            </w:r>
            <w:r>
              <w:rPr>
                <w:rFonts w:hint="default"/>
                <w:highlight w:val="none"/>
                <w:vertAlign w:val="subscript"/>
              </w:rPr>
              <w:t>5</w:t>
            </w:r>
          </w:p>
        </w:tc>
        <w:tc>
          <w:tcPr>
            <w:tcW w:w="1767" w:type="dxa"/>
            <w:vAlign w:val="center"/>
          </w:tcPr>
          <w:p w14:paraId="6D82FCF8">
            <w:pPr>
              <w:pStyle w:val="8"/>
              <w:suppressLineNumbers w:val="0"/>
              <w:bidi w:val="0"/>
              <w:spacing w:before="0" w:beforeAutospacing="0" w:after="0" w:afterAutospacing="0"/>
              <w:ind w:left="0" w:right="0"/>
              <w:jc w:val="center"/>
              <w:rPr>
                <w:rFonts w:hint="default" w:eastAsia="宋体"/>
                <w:highlight w:val="none"/>
                <w:lang w:val="en-US" w:eastAsia="zh-CN"/>
              </w:rPr>
            </w:pPr>
            <w:r>
              <w:rPr>
                <w:rFonts w:hint="eastAsia"/>
                <w:highlight w:val="none"/>
                <w:lang w:val="en-US" w:eastAsia="zh-CN"/>
              </w:rPr>
              <w:t>10</w:t>
            </w:r>
          </w:p>
        </w:tc>
      </w:tr>
      <w:tr w14:paraId="5221F1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19" w:type="dxa"/>
            <w:vMerge w:val="continue"/>
            <w:tcBorders>
              <w:top w:val="single" w:color="auto" w:sz="4" w:space="0"/>
              <w:bottom w:val="single" w:color="auto" w:sz="4" w:space="0"/>
            </w:tcBorders>
            <w:vAlign w:val="center"/>
          </w:tcPr>
          <w:p w14:paraId="5A2E5CE0">
            <w:pPr>
              <w:pStyle w:val="8"/>
              <w:suppressLineNumbers w:val="0"/>
              <w:bidi w:val="0"/>
              <w:spacing w:before="0" w:beforeAutospacing="0" w:after="0" w:afterAutospacing="0"/>
              <w:ind w:left="0" w:right="0"/>
              <w:jc w:val="center"/>
              <w:rPr>
                <w:rFonts w:hint="default"/>
                <w:highlight w:val="none"/>
              </w:rPr>
            </w:pPr>
          </w:p>
        </w:tc>
        <w:tc>
          <w:tcPr>
            <w:tcW w:w="533" w:type="dxa"/>
            <w:vMerge w:val="continue"/>
            <w:tcBorders>
              <w:top w:val="single" w:color="auto" w:sz="4" w:space="0"/>
              <w:bottom w:val="single" w:color="auto" w:sz="4" w:space="0"/>
            </w:tcBorders>
            <w:vAlign w:val="center"/>
          </w:tcPr>
          <w:p w14:paraId="0876F697">
            <w:pPr>
              <w:pStyle w:val="8"/>
              <w:suppressLineNumbers w:val="0"/>
              <w:bidi w:val="0"/>
              <w:spacing w:before="0" w:beforeAutospacing="0" w:after="0" w:afterAutospacing="0"/>
              <w:ind w:left="0" w:right="0"/>
              <w:jc w:val="center"/>
              <w:rPr>
                <w:rFonts w:hint="default"/>
                <w:highlight w:val="none"/>
              </w:rPr>
            </w:pPr>
          </w:p>
        </w:tc>
        <w:tc>
          <w:tcPr>
            <w:tcW w:w="789" w:type="dxa"/>
            <w:vMerge w:val="continue"/>
            <w:tcBorders>
              <w:top w:val="single" w:color="auto" w:sz="4" w:space="0"/>
              <w:bottom w:val="single" w:color="auto" w:sz="4" w:space="0"/>
            </w:tcBorders>
            <w:vAlign w:val="center"/>
          </w:tcPr>
          <w:p w14:paraId="109B9A70">
            <w:pPr>
              <w:pStyle w:val="8"/>
              <w:suppressLineNumbers w:val="0"/>
              <w:bidi w:val="0"/>
              <w:spacing w:before="0" w:beforeAutospacing="0" w:after="0" w:afterAutospacing="0"/>
              <w:ind w:left="0" w:right="0"/>
              <w:jc w:val="center"/>
              <w:rPr>
                <w:rFonts w:hint="default"/>
                <w:highlight w:val="none"/>
              </w:rPr>
            </w:pPr>
          </w:p>
        </w:tc>
        <w:tc>
          <w:tcPr>
            <w:tcW w:w="788" w:type="dxa"/>
            <w:vMerge w:val="continue"/>
            <w:tcBorders>
              <w:top w:val="single" w:color="auto" w:sz="4" w:space="0"/>
              <w:bottom w:val="single" w:color="auto" w:sz="4" w:space="0"/>
            </w:tcBorders>
            <w:vAlign w:val="center"/>
          </w:tcPr>
          <w:p w14:paraId="22864E37">
            <w:pPr>
              <w:pStyle w:val="8"/>
              <w:suppressLineNumbers w:val="0"/>
              <w:bidi w:val="0"/>
              <w:spacing w:before="0" w:beforeAutospacing="0" w:after="0" w:afterAutospacing="0"/>
              <w:ind w:left="0" w:right="0"/>
              <w:jc w:val="center"/>
              <w:rPr>
                <w:rFonts w:hint="default"/>
                <w:highlight w:val="none"/>
              </w:rPr>
            </w:pPr>
          </w:p>
        </w:tc>
        <w:tc>
          <w:tcPr>
            <w:tcW w:w="789" w:type="dxa"/>
            <w:vMerge w:val="continue"/>
            <w:tcBorders>
              <w:top w:val="single" w:color="auto" w:sz="4" w:space="0"/>
              <w:bottom w:val="single" w:color="auto" w:sz="4" w:space="0"/>
            </w:tcBorders>
            <w:vAlign w:val="center"/>
          </w:tcPr>
          <w:p w14:paraId="086038E7">
            <w:pPr>
              <w:pStyle w:val="8"/>
              <w:suppressLineNumbers w:val="0"/>
              <w:bidi w:val="0"/>
              <w:spacing w:before="0" w:beforeAutospacing="0" w:after="0" w:afterAutospacing="0"/>
              <w:ind w:left="0" w:right="0"/>
              <w:jc w:val="center"/>
              <w:rPr>
                <w:rFonts w:hint="default"/>
                <w:highlight w:val="none"/>
              </w:rPr>
            </w:pPr>
          </w:p>
        </w:tc>
        <w:tc>
          <w:tcPr>
            <w:tcW w:w="661" w:type="dxa"/>
            <w:vMerge w:val="continue"/>
            <w:vAlign w:val="center"/>
          </w:tcPr>
          <w:p w14:paraId="3E401016">
            <w:pPr>
              <w:pStyle w:val="8"/>
              <w:suppressLineNumbers w:val="0"/>
              <w:bidi w:val="0"/>
              <w:spacing w:before="0" w:beforeAutospacing="0" w:after="0" w:afterAutospacing="0"/>
              <w:ind w:left="0" w:right="0"/>
              <w:jc w:val="center"/>
              <w:rPr>
                <w:rFonts w:hint="default"/>
                <w:highlight w:val="none"/>
              </w:rPr>
            </w:pPr>
          </w:p>
        </w:tc>
        <w:tc>
          <w:tcPr>
            <w:tcW w:w="660" w:type="dxa"/>
            <w:vMerge w:val="continue"/>
            <w:vAlign w:val="center"/>
          </w:tcPr>
          <w:p w14:paraId="554055AC">
            <w:pPr>
              <w:pStyle w:val="8"/>
              <w:suppressLineNumbers w:val="0"/>
              <w:bidi w:val="0"/>
              <w:spacing w:before="0" w:beforeAutospacing="0" w:after="0" w:afterAutospacing="0"/>
              <w:ind w:left="0" w:right="0"/>
              <w:jc w:val="center"/>
              <w:rPr>
                <w:rFonts w:hint="default"/>
                <w:highlight w:val="none"/>
              </w:rPr>
            </w:pPr>
          </w:p>
        </w:tc>
        <w:tc>
          <w:tcPr>
            <w:tcW w:w="661" w:type="dxa"/>
            <w:vMerge w:val="continue"/>
            <w:vAlign w:val="center"/>
          </w:tcPr>
          <w:p w14:paraId="74174EBC">
            <w:pPr>
              <w:pStyle w:val="8"/>
              <w:suppressLineNumbers w:val="0"/>
              <w:bidi w:val="0"/>
              <w:spacing w:before="0" w:beforeAutospacing="0" w:after="0" w:afterAutospacing="0"/>
              <w:ind w:left="0" w:right="0"/>
              <w:jc w:val="center"/>
              <w:rPr>
                <w:rFonts w:hint="default"/>
                <w:highlight w:val="none"/>
              </w:rPr>
            </w:pPr>
          </w:p>
        </w:tc>
        <w:tc>
          <w:tcPr>
            <w:tcW w:w="661" w:type="dxa"/>
            <w:vMerge w:val="continue"/>
            <w:vAlign w:val="center"/>
          </w:tcPr>
          <w:p w14:paraId="16E942B6">
            <w:pPr>
              <w:pStyle w:val="8"/>
              <w:suppressLineNumbers w:val="0"/>
              <w:bidi w:val="0"/>
              <w:spacing w:before="0" w:beforeAutospacing="0" w:after="0" w:afterAutospacing="0"/>
              <w:ind w:left="0" w:right="0"/>
              <w:jc w:val="center"/>
              <w:rPr>
                <w:rFonts w:hint="default"/>
                <w:highlight w:val="none"/>
              </w:rPr>
            </w:pPr>
          </w:p>
        </w:tc>
        <w:tc>
          <w:tcPr>
            <w:tcW w:w="794" w:type="dxa"/>
            <w:vAlign w:val="center"/>
          </w:tcPr>
          <w:p w14:paraId="348414EC">
            <w:pPr>
              <w:pStyle w:val="8"/>
              <w:suppressLineNumbers w:val="0"/>
              <w:bidi w:val="0"/>
              <w:spacing w:before="0" w:beforeAutospacing="0" w:after="0" w:afterAutospacing="0"/>
              <w:ind w:left="0" w:leftChars="0" w:right="0" w:rightChars="0" w:firstLine="0" w:firstLineChars="0"/>
              <w:jc w:val="center"/>
              <w:rPr>
                <w:rFonts w:hint="default"/>
                <w:highlight w:val="none"/>
              </w:rPr>
            </w:pPr>
            <w:r>
              <w:rPr>
                <w:rFonts w:hint="default"/>
                <w:highlight w:val="none"/>
              </w:rPr>
              <w:t>SS</w:t>
            </w:r>
          </w:p>
        </w:tc>
        <w:tc>
          <w:tcPr>
            <w:tcW w:w="1767" w:type="dxa"/>
            <w:vAlign w:val="center"/>
          </w:tcPr>
          <w:p w14:paraId="3E6857F4">
            <w:pPr>
              <w:pStyle w:val="8"/>
              <w:suppressLineNumbers w:val="0"/>
              <w:bidi w:val="0"/>
              <w:spacing w:before="0" w:beforeAutospacing="0" w:after="0" w:afterAutospacing="0"/>
              <w:ind w:left="0" w:right="0"/>
              <w:jc w:val="center"/>
              <w:rPr>
                <w:rFonts w:hint="default"/>
                <w:highlight w:val="none"/>
              </w:rPr>
            </w:pPr>
            <w:r>
              <w:rPr>
                <w:rFonts w:hint="default"/>
                <w:highlight w:val="none"/>
              </w:rPr>
              <w:t>10</w:t>
            </w:r>
          </w:p>
        </w:tc>
      </w:tr>
      <w:tr w14:paraId="459338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19" w:type="dxa"/>
            <w:vMerge w:val="continue"/>
            <w:vAlign w:val="center"/>
          </w:tcPr>
          <w:p w14:paraId="5F8A7F3D">
            <w:pPr>
              <w:pStyle w:val="8"/>
              <w:suppressLineNumbers w:val="0"/>
              <w:bidi w:val="0"/>
              <w:spacing w:before="0" w:beforeAutospacing="0" w:after="0" w:afterAutospacing="0"/>
              <w:ind w:left="0" w:right="0"/>
              <w:jc w:val="center"/>
              <w:rPr>
                <w:rFonts w:hint="default"/>
                <w:highlight w:val="none"/>
              </w:rPr>
            </w:pPr>
          </w:p>
        </w:tc>
        <w:tc>
          <w:tcPr>
            <w:tcW w:w="533" w:type="dxa"/>
            <w:vMerge w:val="continue"/>
            <w:vAlign w:val="center"/>
          </w:tcPr>
          <w:p w14:paraId="297B477A">
            <w:pPr>
              <w:pStyle w:val="8"/>
              <w:suppressLineNumbers w:val="0"/>
              <w:bidi w:val="0"/>
              <w:spacing w:before="0" w:beforeAutospacing="0" w:after="0" w:afterAutospacing="0"/>
              <w:ind w:left="0" w:right="0"/>
              <w:jc w:val="center"/>
              <w:rPr>
                <w:rFonts w:hint="default"/>
                <w:highlight w:val="none"/>
              </w:rPr>
            </w:pPr>
          </w:p>
        </w:tc>
        <w:tc>
          <w:tcPr>
            <w:tcW w:w="789" w:type="dxa"/>
            <w:vMerge w:val="continue"/>
            <w:vAlign w:val="center"/>
          </w:tcPr>
          <w:p w14:paraId="66EB2000">
            <w:pPr>
              <w:pStyle w:val="8"/>
              <w:suppressLineNumbers w:val="0"/>
              <w:bidi w:val="0"/>
              <w:spacing w:before="0" w:beforeAutospacing="0" w:after="0" w:afterAutospacing="0"/>
              <w:ind w:left="0" w:right="0"/>
              <w:jc w:val="center"/>
              <w:rPr>
                <w:rFonts w:hint="default"/>
                <w:highlight w:val="none"/>
              </w:rPr>
            </w:pPr>
          </w:p>
        </w:tc>
        <w:tc>
          <w:tcPr>
            <w:tcW w:w="788" w:type="dxa"/>
            <w:vMerge w:val="continue"/>
            <w:vAlign w:val="center"/>
          </w:tcPr>
          <w:p w14:paraId="653B8847">
            <w:pPr>
              <w:pStyle w:val="8"/>
              <w:suppressLineNumbers w:val="0"/>
              <w:bidi w:val="0"/>
              <w:spacing w:before="0" w:beforeAutospacing="0" w:after="0" w:afterAutospacing="0"/>
              <w:ind w:left="0" w:right="0"/>
              <w:jc w:val="center"/>
              <w:rPr>
                <w:rFonts w:hint="default"/>
                <w:highlight w:val="none"/>
              </w:rPr>
            </w:pPr>
          </w:p>
        </w:tc>
        <w:tc>
          <w:tcPr>
            <w:tcW w:w="789" w:type="dxa"/>
            <w:vMerge w:val="continue"/>
            <w:vAlign w:val="center"/>
          </w:tcPr>
          <w:p w14:paraId="186666D8">
            <w:pPr>
              <w:pStyle w:val="8"/>
              <w:suppressLineNumbers w:val="0"/>
              <w:bidi w:val="0"/>
              <w:spacing w:before="0" w:beforeAutospacing="0" w:after="0" w:afterAutospacing="0"/>
              <w:ind w:left="0" w:right="0"/>
              <w:jc w:val="center"/>
              <w:rPr>
                <w:rFonts w:hint="default"/>
                <w:highlight w:val="none"/>
              </w:rPr>
            </w:pPr>
          </w:p>
        </w:tc>
        <w:tc>
          <w:tcPr>
            <w:tcW w:w="661" w:type="dxa"/>
            <w:vMerge w:val="continue"/>
            <w:vAlign w:val="center"/>
          </w:tcPr>
          <w:p w14:paraId="47125FE3">
            <w:pPr>
              <w:pStyle w:val="8"/>
              <w:suppressLineNumbers w:val="0"/>
              <w:bidi w:val="0"/>
              <w:spacing w:before="0" w:beforeAutospacing="0" w:after="0" w:afterAutospacing="0"/>
              <w:ind w:left="0" w:right="0"/>
              <w:jc w:val="center"/>
              <w:rPr>
                <w:rFonts w:hint="default"/>
                <w:highlight w:val="none"/>
              </w:rPr>
            </w:pPr>
          </w:p>
        </w:tc>
        <w:tc>
          <w:tcPr>
            <w:tcW w:w="660" w:type="dxa"/>
            <w:vMerge w:val="continue"/>
            <w:vAlign w:val="center"/>
          </w:tcPr>
          <w:p w14:paraId="6F83F8B6">
            <w:pPr>
              <w:pStyle w:val="8"/>
              <w:suppressLineNumbers w:val="0"/>
              <w:bidi w:val="0"/>
              <w:spacing w:before="0" w:beforeAutospacing="0" w:after="0" w:afterAutospacing="0"/>
              <w:ind w:left="0" w:right="0"/>
              <w:jc w:val="center"/>
              <w:rPr>
                <w:rFonts w:hint="default"/>
                <w:highlight w:val="none"/>
              </w:rPr>
            </w:pPr>
          </w:p>
        </w:tc>
        <w:tc>
          <w:tcPr>
            <w:tcW w:w="661" w:type="dxa"/>
            <w:vMerge w:val="continue"/>
            <w:vAlign w:val="center"/>
          </w:tcPr>
          <w:p w14:paraId="411E3EAA">
            <w:pPr>
              <w:pStyle w:val="8"/>
              <w:suppressLineNumbers w:val="0"/>
              <w:bidi w:val="0"/>
              <w:spacing w:before="0" w:beforeAutospacing="0" w:after="0" w:afterAutospacing="0"/>
              <w:ind w:left="0" w:right="0"/>
              <w:jc w:val="center"/>
              <w:rPr>
                <w:rFonts w:hint="default"/>
                <w:highlight w:val="none"/>
              </w:rPr>
            </w:pPr>
          </w:p>
        </w:tc>
        <w:tc>
          <w:tcPr>
            <w:tcW w:w="661" w:type="dxa"/>
            <w:vMerge w:val="continue"/>
            <w:vAlign w:val="center"/>
          </w:tcPr>
          <w:p w14:paraId="71564DEF">
            <w:pPr>
              <w:pStyle w:val="8"/>
              <w:suppressLineNumbers w:val="0"/>
              <w:bidi w:val="0"/>
              <w:spacing w:before="0" w:beforeAutospacing="0" w:after="0" w:afterAutospacing="0"/>
              <w:ind w:left="0" w:right="0"/>
              <w:jc w:val="center"/>
              <w:rPr>
                <w:rFonts w:hint="default"/>
                <w:highlight w:val="none"/>
              </w:rPr>
            </w:pPr>
          </w:p>
        </w:tc>
        <w:tc>
          <w:tcPr>
            <w:tcW w:w="794" w:type="dxa"/>
            <w:vAlign w:val="center"/>
          </w:tcPr>
          <w:p w14:paraId="30508ACA">
            <w:pPr>
              <w:pStyle w:val="8"/>
              <w:suppressLineNumbers w:val="0"/>
              <w:bidi w:val="0"/>
              <w:spacing w:before="0" w:beforeAutospacing="0" w:after="0" w:afterAutospacing="0"/>
              <w:ind w:left="0" w:leftChars="0" w:right="0" w:rightChars="0" w:firstLine="0" w:firstLineChars="0"/>
              <w:jc w:val="center"/>
              <w:rPr>
                <w:rFonts w:hint="default"/>
                <w:highlight w:val="none"/>
              </w:rPr>
            </w:pPr>
            <w:r>
              <w:rPr>
                <w:rFonts w:hint="eastAsia"/>
                <w:highlight w:val="none"/>
                <w:lang w:val="en-US" w:eastAsia="zh-CN"/>
              </w:rPr>
              <w:t>pH</w:t>
            </w:r>
          </w:p>
        </w:tc>
        <w:tc>
          <w:tcPr>
            <w:tcW w:w="1767" w:type="dxa"/>
            <w:vAlign w:val="center"/>
          </w:tcPr>
          <w:p w14:paraId="328DB214">
            <w:pPr>
              <w:pStyle w:val="8"/>
              <w:suppressLineNumbers w:val="0"/>
              <w:bidi w:val="0"/>
              <w:spacing w:before="0" w:beforeAutospacing="0" w:after="0" w:afterAutospacing="0"/>
              <w:ind w:left="0" w:right="0"/>
              <w:jc w:val="center"/>
              <w:rPr>
                <w:rFonts w:hint="default" w:eastAsia="宋体"/>
                <w:highlight w:val="none"/>
                <w:lang w:val="en-US" w:eastAsia="zh-CN"/>
              </w:rPr>
            </w:pPr>
            <w:r>
              <w:rPr>
                <w:rFonts w:hint="eastAsia"/>
                <w:highlight w:val="none"/>
                <w:lang w:val="en-US" w:eastAsia="zh-CN"/>
              </w:rPr>
              <w:t>6-9</w:t>
            </w:r>
          </w:p>
        </w:tc>
      </w:tr>
    </w:tbl>
    <w:p w14:paraId="0D7B4E50">
      <w:pPr>
        <w:pStyle w:val="6"/>
        <w:bidi w:val="0"/>
        <w:rPr>
          <w:highlight w:val="none"/>
        </w:rPr>
      </w:pPr>
      <w:r>
        <w:rPr>
          <w:highlight w:val="none"/>
        </w:rPr>
        <w:t>5.2.2.2地表水环境影响评价</w:t>
      </w:r>
    </w:p>
    <w:p w14:paraId="73A8F671">
      <w:pPr>
        <w:bidi w:val="0"/>
        <w:rPr>
          <w:rFonts w:hAnsiTheme="minorEastAsia" w:eastAsiaTheme="minorEastAsia"/>
          <w:bCs/>
          <w:sz w:val="24"/>
          <w:highlight w:val="none"/>
        </w:rPr>
      </w:pPr>
      <w:r>
        <w:rPr>
          <w:rFonts w:hAnsiTheme="minorEastAsia" w:eastAsiaTheme="minorEastAsia"/>
          <w:sz w:val="24"/>
          <w:highlight w:val="none"/>
        </w:rPr>
        <w:t>本项目</w:t>
      </w:r>
      <w:r>
        <w:rPr>
          <w:rFonts w:hint="eastAsia" w:hAnsiTheme="minorEastAsia" w:eastAsiaTheme="minorEastAsia"/>
          <w:sz w:val="24"/>
          <w:highlight w:val="none"/>
          <w:lang w:val="en-US" w:eastAsia="zh-CN"/>
        </w:rPr>
        <w:t>无生产废水外排</w:t>
      </w:r>
      <w:r>
        <w:rPr>
          <w:rFonts w:hAnsiTheme="minorEastAsia" w:eastAsiaTheme="minorEastAsia"/>
          <w:sz w:val="24"/>
          <w:highlight w:val="none"/>
        </w:rPr>
        <w:t>；</w:t>
      </w:r>
      <w:r>
        <w:rPr>
          <w:rFonts w:hAnsiTheme="minorEastAsia" w:eastAsiaTheme="minorEastAsia"/>
          <w:kern w:val="0"/>
          <w:sz w:val="24"/>
          <w:highlight w:val="none"/>
        </w:rPr>
        <w:t>生活污水排入市政管网，进入</w:t>
      </w:r>
      <w:r>
        <w:rPr>
          <w:rFonts w:hint="eastAsia" w:hAnsiTheme="minorEastAsia" w:eastAsiaTheme="minorEastAsia"/>
          <w:kern w:val="0"/>
          <w:sz w:val="24"/>
          <w:highlight w:val="none"/>
          <w:lang w:val="en-US" w:eastAsia="zh-CN"/>
        </w:rPr>
        <w:t>平房污水处理厂</w:t>
      </w:r>
      <w:r>
        <w:rPr>
          <w:rFonts w:hAnsiTheme="minorEastAsia" w:eastAsiaTheme="minorEastAsia"/>
          <w:kern w:val="0"/>
          <w:sz w:val="24"/>
          <w:highlight w:val="none"/>
        </w:rPr>
        <w:t>，处理达标后排入</w:t>
      </w:r>
      <w:r>
        <w:rPr>
          <w:rFonts w:hint="eastAsia" w:hAnsiTheme="minorEastAsia" w:eastAsiaTheme="minorEastAsia"/>
          <w:kern w:val="0"/>
          <w:sz w:val="24"/>
          <w:highlight w:val="none"/>
          <w:lang w:val="en-US" w:eastAsia="zh-CN"/>
        </w:rPr>
        <w:t>何家沟</w:t>
      </w:r>
      <w:r>
        <w:rPr>
          <w:rFonts w:hAnsiTheme="minorEastAsia" w:eastAsiaTheme="minorEastAsia"/>
          <w:kern w:val="0"/>
          <w:sz w:val="24"/>
          <w:highlight w:val="none"/>
        </w:rPr>
        <w:t>，最终汇入松花江，</w:t>
      </w:r>
      <w:r>
        <w:rPr>
          <w:rFonts w:eastAsiaTheme="minorEastAsia"/>
          <w:kern w:val="0"/>
          <w:sz w:val="24"/>
          <w:highlight w:val="none"/>
        </w:rPr>
        <w:t>COD</w:t>
      </w:r>
      <w:r>
        <w:rPr>
          <w:rFonts w:hAnsiTheme="minorEastAsia" w:eastAsiaTheme="minorEastAsia"/>
          <w:kern w:val="0"/>
          <w:sz w:val="24"/>
          <w:highlight w:val="none"/>
        </w:rPr>
        <w:t>排放浓度为</w:t>
      </w:r>
      <w:r>
        <w:rPr>
          <w:rFonts w:hint="eastAsia" w:eastAsiaTheme="minorEastAsia"/>
          <w:kern w:val="0"/>
          <w:sz w:val="24"/>
          <w:highlight w:val="none"/>
          <w:lang w:val="en-US" w:eastAsia="zh-CN"/>
        </w:rPr>
        <w:t>350</w:t>
      </w:r>
      <w:r>
        <w:rPr>
          <w:rFonts w:eastAsiaTheme="minorEastAsia"/>
          <w:kern w:val="0"/>
          <w:sz w:val="24"/>
          <w:highlight w:val="none"/>
        </w:rPr>
        <w:t>mg/L</w:t>
      </w:r>
      <w:r>
        <w:rPr>
          <w:rFonts w:hAnsiTheme="minorEastAsia" w:eastAsiaTheme="minorEastAsia"/>
          <w:kern w:val="0"/>
          <w:sz w:val="24"/>
          <w:highlight w:val="none"/>
        </w:rPr>
        <w:t>，氨氮排放浓度为</w:t>
      </w:r>
      <w:r>
        <w:rPr>
          <w:rFonts w:eastAsiaTheme="minorEastAsia"/>
          <w:kern w:val="0"/>
          <w:sz w:val="24"/>
          <w:highlight w:val="none"/>
        </w:rPr>
        <w:t>3</w:t>
      </w:r>
      <w:r>
        <w:rPr>
          <w:rFonts w:hint="eastAsia" w:eastAsiaTheme="minorEastAsia"/>
          <w:kern w:val="0"/>
          <w:sz w:val="24"/>
          <w:highlight w:val="none"/>
          <w:lang w:val="en-US" w:eastAsia="zh-CN"/>
        </w:rPr>
        <w:t>5</w:t>
      </w:r>
      <w:r>
        <w:rPr>
          <w:rFonts w:eastAsiaTheme="minorEastAsia"/>
          <w:kern w:val="0"/>
          <w:sz w:val="24"/>
          <w:highlight w:val="none"/>
        </w:rPr>
        <w:t>mg/L</w:t>
      </w:r>
      <w:r>
        <w:rPr>
          <w:rFonts w:hint="eastAsia" w:hAnsiTheme="minorEastAsia" w:eastAsiaTheme="minorEastAsia"/>
          <w:kern w:val="0"/>
          <w:sz w:val="24"/>
          <w:highlight w:val="none"/>
        </w:rPr>
        <w:t>、</w:t>
      </w:r>
      <w:r>
        <w:rPr>
          <w:rFonts w:eastAsiaTheme="minorEastAsia"/>
          <w:kern w:val="0"/>
          <w:sz w:val="24"/>
          <w:highlight w:val="none"/>
        </w:rPr>
        <w:t>pH</w:t>
      </w:r>
      <w:r>
        <w:rPr>
          <w:rFonts w:hAnsiTheme="minorEastAsia" w:eastAsiaTheme="minorEastAsia"/>
          <w:kern w:val="0"/>
          <w:sz w:val="24"/>
          <w:highlight w:val="none"/>
        </w:rPr>
        <w:t>为</w:t>
      </w:r>
      <w:r>
        <w:rPr>
          <w:rFonts w:eastAsiaTheme="minorEastAsia"/>
          <w:kern w:val="0"/>
          <w:sz w:val="24"/>
          <w:highlight w:val="none"/>
        </w:rPr>
        <w:t>6.5-7.5</w:t>
      </w:r>
      <w:r>
        <w:rPr>
          <w:rFonts w:hint="eastAsia" w:eastAsiaTheme="minorEastAsia"/>
          <w:kern w:val="0"/>
          <w:sz w:val="24"/>
          <w:highlight w:val="none"/>
          <w:lang w:eastAsia="zh-CN"/>
        </w:rPr>
        <w:t>（</w:t>
      </w:r>
      <w:r>
        <w:rPr>
          <w:rFonts w:hint="eastAsia" w:eastAsiaTheme="minorEastAsia"/>
          <w:kern w:val="0"/>
          <w:sz w:val="24"/>
          <w:highlight w:val="none"/>
          <w:lang w:val="en-US" w:eastAsia="zh-CN"/>
        </w:rPr>
        <w:t>无量纲</w:t>
      </w:r>
      <w:r>
        <w:rPr>
          <w:rFonts w:hint="eastAsia" w:eastAsiaTheme="minorEastAsia"/>
          <w:kern w:val="0"/>
          <w:sz w:val="24"/>
          <w:highlight w:val="none"/>
          <w:lang w:eastAsia="zh-CN"/>
        </w:rPr>
        <w:t>）</w:t>
      </w:r>
      <w:r>
        <w:rPr>
          <w:rFonts w:hint="eastAsia" w:hAnsiTheme="minorEastAsia" w:eastAsiaTheme="minorEastAsia"/>
          <w:kern w:val="0"/>
          <w:sz w:val="24"/>
          <w:highlight w:val="none"/>
        </w:rPr>
        <w:t>、</w:t>
      </w:r>
      <w:r>
        <w:rPr>
          <w:rFonts w:eastAsiaTheme="minorEastAsia"/>
          <w:kern w:val="0"/>
          <w:sz w:val="24"/>
          <w:highlight w:val="none"/>
        </w:rPr>
        <w:t>BOD</w:t>
      </w:r>
      <w:r>
        <w:rPr>
          <w:rFonts w:eastAsiaTheme="minorEastAsia"/>
          <w:kern w:val="0"/>
          <w:sz w:val="24"/>
          <w:highlight w:val="none"/>
          <w:vertAlign w:val="subscript"/>
        </w:rPr>
        <w:t>5</w:t>
      </w:r>
      <w:r>
        <w:rPr>
          <w:rFonts w:hAnsiTheme="minorEastAsia" w:eastAsiaTheme="minorEastAsia"/>
          <w:kern w:val="0"/>
          <w:sz w:val="24"/>
          <w:highlight w:val="none"/>
        </w:rPr>
        <w:t>排放浓度为</w:t>
      </w:r>
      <w:r>
        <w:rPr>
          <w:rFonts w:eastAsiaTheme="minorEastAsia"/>
          <w:kern w:val="0"/>
          <w:sz w:val="24"/>
          <w:highlight w:val="none"/>
        </w:rPr>
        <w:t>1</w:t>
      </w:r>
      <w:r>
        <w:rPr>
          <w:rFonts w:hint="eastAsia" w:eastAsiaTheme="minorEastAsia"/>
          <w:kern w:val="0"/>
          <w:sz w:val="24"/>
          <w:highlight w:val="none"/>
          <w:lang w:val="en-US" w:eastAsia="zh-CN"/>
        </w:rPr>
        <w:t>50</w:t>
      </w:r>
      <w:r>
        <w:rPr>
          <w:rFonts w:eastAsiaTheme="minorEastAsia"/>
          <w:kern w:val="0"/>
          <w:sz w:val="24"/>
          <w:highlight w:val="none"/>
        </w:rPr>
        <w:t>mg/L</w:t>
      </w:r>
      <w:r>
        <w:rPr>
          <w:rFonts w:hAnsiTheme="minorEastAsia" w:eastAsiaTheme="minorEastAsia"/>
          <w:kern w:val="0"/>
          <w:sz w:val="24"/>
          <w:highlight w:val="none"/>
        </w:rPr>
        <w:t>、</w:t>
      </w:r>
      <w:r>
        <w:rPr>
          <w:rFonts w:eastAsiaTheme="minorEastAsia"/>
          <w:kern w:val="0"/>
          <w:sz w:val="24"/>
          <w:highlight w:val="none"/>
        </w:rPr>
        <w:t>SS</w:t>
      </w:r>
      <w:r>
        <w:rPr>
          <w:rFonts w:hAnsiTheme="minorEastAsia" w:eastAsiaTheme="minorEastAsia"/>
          <w:kern w:val="0"/>
          <w:sz w:val="24"/>
          <w:highlight w:val="none"/>
        </w:rPr>
        <w:t>排放浓度为</w:t>
      </w:r>
      <w:r>
        <w:rPr>
          <w:rFonts w:hint="eastAsia" w:eastAsiaTheme="minorEastAsia"/>
          <w:kern w:val="0"/>
          <w:sz w:val="24"/>
          <w:highlight w:val="none"/>
          <w:lang w:val="en-US" w:eastAsia="zh-CN"/>
        </w:rPr>
        <w:t>200</w:t>
      </w:r>
      <w:r>
        <w:rPr>
          <w:rFonts w:eastAsiaTheme="minorEastAsia"/>
          <w:kern w:val="0"/>
          <w:sz w:val="24"/>
          <w:highlight w:val="none"/>
        </w:rPr>
        <w:t>mg/L</w:t>
      </w:r>
      <w:r>
        <w:rPr>
          <w:rFonts w:hint="eastAsia" w:eastAsiaTheme="minorEastAsia"/>
          <w:kern w:val="0"/>
          <w:sz w:val="24"/>
          <w:highlight w:val="none"/>
          <w:lang w:eastAsia="zh-CN"/>
        </w:rPr>
        <w:t>，</w:t>
      </w:r>
      <w:r>
        <w:rPr>
          <w:rFonts w:hAnsiTheme="minorEastAsia" w:eastAsiaTheme="minorEastAsia"/>
          <w:sz w:val="24"/>
          <w:highlight w:val="none"/>
        </w:rPr>
        <w:t>生活污水排放浓度满足</w:t>
      </w:r>
      <w:r>
        <w:rPr>
          <w:rFonts w:hAnsiTheme="minorEastAsia" w:eastAsiaTheme="minorEastAsia"/>
          <w:bCs/>
          <w:sz w:val="24"/>
          <w:highlight w:val="none"/>
        </w:rPr>
        <w:t>《污水综合排放标准》（</w:t>
      </w:r>
      <w:r>
        <w:rPr>
          <w:rFonts w:eastAsiaTheme="minorEastAsia"/>
          <w:bCs/>
          <w:sz w:val="24"/>
          <w:highlight w:val="none"/>
        </w:rPr>
        <w:t>GB8978-1996</w:t>
      </w:r>
      <w:r>
        <w:rPr>
          <w:rFonts w:hAnsiTheme="minorEastAsia" w:eastAsiaTheme="minorEastAsia"/>
          <w:bCs/>
          <w:sz w:val="24"/>
          <w:highlight w:val="none"/>
        </w:rPr>
        <w:t>）表</w:t>
      </w:r>
      <w:r>
        <w:rPr>
          <w:rFonts w:eastAsiaTheme="minorEastAsia"/>
          <w:bCs/>
          <w:sz w:val="24"/>
          <w:highlight w:val="none"/>
        </w:rPr>
        <w:t>4</w:t>
      </w:r>
      <w:r>
        <w:rPr>
          <w:rFonts w:hAnsiTheme="minorEastAsia" w:eastAsiaTheme="minorEastAsia"/>
          <w:bCs/>
          <w:sz w:val="24"/>
          <w:highlight w:val="none"/>
        </w:rPr>
        <w:t>中三级标准值</w:t>
      </w:r>
      <w:r>
        <w:rPr>
          <w:rFonts w:hint="eastAsia" w:hAnsiTheme="minorEastAsia" w:eastAsiaTheme="minorEastAsia"/>
          <w:bCs/>
          <w:sz w:val="24"/>
          <w:highlight w:val="none"/>
          <w:lang w:val="en-US" w:eastAsia="zh-CN"/>
        </w:rPr>
        <w:t>及平房污水处理厂进水水质标准</w:t>
      </w:r>
      <w:r>
        <w:rPr>
          <w:rFonts w:hAnsiTheme="minorEastAsia" w:eastAsiaTheme="minorEastAsia"/>
          <w:bCs/>
          <w:sz w:val="24"/>
          <w:highlight w:val="none"/>
        </w:rPr>
        <w:t>。</w:t>
      </w:r>
    </w:p>
    <w:p w14:paraId="5140F8B5">
      <w:pPr>
        <w:pStyle w:val="4"/>
        <w:bidi w:val="0"/>
        <w:rPr>
          <w:highlight w:val="none"/>
        </w:rPr>
      </w:pPr>
      <w:bookmarkStart w:id="438" w:name="_Toc7018"/>
      <w:bookmarkStart w:id="439" w:name="_Toc1919"/>
      <w:r>
        <w:rPr>
          <w:highlight w:val="none"/>
        </w:rPr>
        <w:t>5.2.3地下水环境影响预测与分析</w:t>
      </w:r>
      <w:bookmarkEnd w:id="438"/>
      <w:bookmarkEnd w:id="439"/>
    </w:p>
    <w:p w14:paraId="401BE76E">
      <w:pPr>
        <w:pStyle w:val="6"/>
        <w:bidi w:val="0"/>
        <w:rPr>
          <w:highlight w:val="none"/>
        </w:rPr>
      </w:pPr>
      <w:r>
        <w:rPr>
          <w:highlight w:val="none"/>
        </w:rPr>
        <w:t>5.2.3.1水文地质条件概述</w:t>
      </w:r>
    </w:p>
    <w:p w14:paraId="45A9CA2E">
      <w:pPr>
        <w:bidi w:val="0"/>
        <w:rPr>
          <w:rFonts w:hint="eastAsia"/>
          <w:highlight w:val="none"/>
          <w:lang w:eastAsia="zh-CN"/>
        </w:rPr>
      </w:pPr>
      <w:r>
        <w:rPr>
          <w:highlight w:val="none"/>
        </w:rPr>
        <w:t>评价区含水层上覆5~8m厚的弱透水黄土状粉质粘土和30~40m相对不透水的粉质粘土层，含水层上部为下荒山组黄色中粗砂含砾石，厚度为10~24m，运粮河以南较薄，一般为10m左右，由运粮河往北变厚，一般为20m左右，最厚地段在评价区中部，达29m。含水层顶板较平缓，高程为120~125m，中部地区略高，顶板高程125~136m。顶板埋藏深度基本随地形而异，南部深达60m，向北变浅为40m，下部为猞猁组灰白色中细砂、中粗砂含砾石，中上段夹</w:t>
      </w:r>
      <w:r>
        <w:rPr>
          <w:rFonts w:hint="eastAsia"/>
          <w:highlight w:val="none"/>
        </w:rPr>
        <w:t>两层灰色淤泥质粉质粘土或粉质粘土层。地下水流向近南向北</w:t>
      </w:r>
      <w:r>
        <w:rPr>
          <w:rFonts w:hint="eastAsia"/>
          <w:highlight w:val="none"/>
          <w:lang w:eastAsia="zh-CN"/>
        </w:rPr>
        <w:t>。</w:t>
      </w:r>
    </w:p>
    <w:p w14:paraId="68E248A1">
      <w:pPr>
        <w:pStyle w:val="6"/>
        <w:bidi w:val="0"/>
        <w:rPr>
          <w:highlight w:val="none"/>
        </w:rPr>
      </w:pPr>
      <w:r>
        <w:rPr>
          <w:highlight w:val="none"/>
        </w:rPr>
        <w:t>5.2.3.2项目对地下水影响预测</w:t>
      </w:r>
    </w:p>
    <w:p w14:paraId="09A6EAD1">
      <w:pPr>
        <w:bidi w:val="0"/>
        <w:rPr>
          <w:highlight w:val="none"/>
        </w:rPr>
      </w:pPr>
      <w:r>
        <w:rPr>
          <w:highlight w:val="none"/>
        </w:rPr>
        <w:t>为了准确、详细刻画事故工况下，</w:t>
      </w:r>
      <w:r>
        <w:rPr>
          <w:rFonts w:hint="eastAsia"/>
          <w:highlight w:val="none"/>
          <w:lang w:val="en-US" w:eastAsia="zh-CN"/>
        </w:rPr>
        <w:t>储存</w:t>
      </w:r>
      <w:r>
        <w:rPr>
          <w:highlight w:val="none"/>
        </w:rPr>
        <w:t>区域地下水环境的影响，本次评价通过预测非正常工况下</w:t>
      </w:r>
      <w:r>
        <w:rPr>
          <w:rFonts w:hint="eastAsia"/>
          <w:highlight w:val="none"/>
          <w:lang w:val="en-US" w:eastAsia="zh-CN"/>
        </w:rPr>
        <w:t>防渗</w:t>
      </w:r>
      <w:r>
        <w:rPr>
          <w:highlight w:val="none"/>
        </w:rPr>
        <w:t>破裂时污水渗漏对地下水水质造成</w:t>
      </w:r>
      <w:r>
        <w:rPr>
          <w:rFonts w:hint="eastAsia"/>
          <w:highlight w:val="none"/>
          <w:lang w:eastAsia="zh-CN"/>
        </w:rPr>
        <w:t>影响</w:t>
      </w:r>
      <w:r>
        <w:rPr>
          <w:highlight w:val="none"/>
        </w:rPr>
        <w:t>。</w:t>
      </w:r>
    </w:p>
    <w:p w14:paraId="08D2146F">
      <w:pPr>
        <w:bidi w:val="0"/>
        <w:rPr>
          <w:highlight w:val="none"/>
        </w:rPr>
      </w:pPr>
      <w:bookmarkStart w:id="440" w:name="_Toc5442"/>
      <w:r>
        <w:rPr>
          <w:highlight w:val="none"/>
        </w:rPr>
        <w:t>1、预测情景</w:t>
      </w:r>
      <w:bookmarkEnd w:id="440"/>
    </w:p>
    <w:p w14:paraId="2A95CFD9">
      <w:pPr>
        <w:bidi w:val="0"/>
        <w:rPr>
          <w:highlight w:val="none"/>
        </w:rPr>
      </w:pPr>
      <w:r>
        <w:rPr>
          <w:highlight w:val="none"/>
        </w:rPr>
        <w:t>本项目油类物质存储区对地下水产生影响，</w:t>
      </w:r>
      <w:r>
        <w:rPr>
          <w:rFonts w:hint="eastAsia"/>
          <w:highlight w:val="none"/>
          <w:lang w:val="en-US" w:eastAsia="zh-CN"/>
        </w:rPr>
        <w:t>废液</w:t>
      </w:r>
      <w:r>
        <w:rPr>
          <w:highlight w:val="none"/>
        </w:rPr>
        <w:t>均采用密闭</w:t>
      </w:r>
      <w:r>
        <w:rPr>
          <w:rFonts w:hint="eastAsia"/>
          <w:highlight w:val="none"/>
          <w:lang w:val="en-US" w:eastAsia="zh-CN"/>
        </w:rPr>
        <w:t>吨桶</w:t>
      </w:r>
      <w:r>
        <w:rPr>
          <w:highlight w:val="none"/>
        </w:rPr>
        <w:t>存储，且油类物质存储区设置防渗及围堰，正常运营状态下不会发生渗漏。</w:t>
      </w:r>
    </w:p>
    <w:p w14:paraId="712938DB">
      <w:pPr>
        <w:bidi w:val="0"/>
        <w:rPr>
          <w:highlight w:val="none"/>
        </w:rPr>
      </w:pPr>
      <w:r>
        <w:rPr>
          <w:highlight w:val="none"/>
        </w:rPr>
        <w:t>本项目</w:t>
      </w:r>
      <w:r>
        <w:rPr>
          <w:rFonts w:hint="eastAsia"/>
          <w:highlight w:val="none"/>
          <w:lang w:val="en-US" w:eastAsia="zh-CN"/>
        </w:rPr>
        <w:t>废水储存池</w:t>
      </w:r>
      <w:r>
        <w:rPr>
          <w:highlight w:val="none"/>
        </w:rPr>
        <w:t>对地下水产生影响，在达到防渗要求时正常运营状态下不会有污水渗漏，当因</w:t>
      </w:r>
      <w:r>
        <w:rPr>
          <w:rFonts w:hint="eastAsia"/>
          <w:highlight w:val="none"/>
          <w:lang w:val="en-US" w:eastAsia="zh-CN"/>
        </w:rPr>
        <w:t>吨桶</w:t>
      </w:r>
      <w:r>
        <w:rPr>
          <w:highlight w:val="none"/>
        </w:rPr>
        <w:t>裂等突发情况可能造成</w:t>
      </w:r>
      <w:r>
        <w:rPr>
          <w:rFonts w:hint="eastAsia"/>
          <w:highlight w:val="none"/>
          <w:lang w:val="en-US" w:eastAsia="zh-CN"/>
        </w:rPr>
        <w:t>油类物质</w:t>
      </w:r>
      <w:r>
        <w:rPr>
          <w:highlight w:val="none"/>
        </w:rPr>
        <w:t>渗漏，本项目针对</w:t>
      </w:r>
      <w:r>
        <w:rPr>
          <w:rFonts w:hint="eastAsia"/>
          <w:highlight w:val="none"/>
        </w:rPr>
        <w:t>非正常工况</w:t>
      </w:r>
      <w:r>
        <w:rPr>
          <w:highlight w:val="none"/>
        </w:rPr>
        <w:t>下进行地下水环境影响预测。</w:t>
      </w:r>
    </w:p>
    <w:p w14:paraId="2DD93115">
      <w:pPr>
        <w:bidi w:val="0"/>
        <w:rPr>
          <w:highlight w:val="none"/>
        </w:rPr>
      </w:pPr>
      <w:bookmarkStart w:id="441" w:name="_Toc31391"/>
      <w:r>
        <w:rPr>
          <w:highlight w:val="none"/>
        </w:rPr>
        <w:t>2、预测范围</w:t>
      </w:r>
      <w:bookmarkEnd w:id="441"/>
    </w:p>
    <w:p w14:paraId="5930285C">
      <w:pPr>
        <w:bidi w:val="0"/>
        <w:rPr>
          <w:highlight w:val="none"/>
        </w:rPr>
      </w:pPr>
      <w:r>
        <w:rPr>
          <w:highlight w:val="none"/>
        </w:rPr>
        <w:t>根据《环境影响评价技术导则地下水环境》（HJ610-2016）的要求，本次地下水环境影响评价预测范围与地下水现状调查范围一致，即：项目所在区域6km</w:t>
      </w:r>
      <w:r>
        <w:rPr>
          <w:highlight w:val="none"/>
          <w:vertAlign w:val="superscript"/>
        </w:rPr>
        <w:t>2</w:t>
      </w:r>
      <w:r>
        <w:rPr>
          <w:highlight w:val="none"/>
        </w:rPr>
        <w:t>（边界上游1000m、下游2000m、两侧各1000m范围的矩形）范围内。由于本项目所在区域潜水层缺失，因此预测层位为地下水的承压水层。</w:t>
      </w:r>
    </w:p>
    <w:p w14:paraId="6E2B4486">
      <w:pPr>
        <w:bidi w:val="0"/>
        <w:rPr>
          <w:highlight w:val="none"/>
        </w:rPr>
      </w:pPr>
      <w:bookmarkStart w:id="442" w:name="_Toc13358"/>
      <w:r>
        <w:rPr>
          <w:highlight w:val="none"/>
        </w:rPr>
        <w:t>3、预测时段</w:t>
      </w:r>
      <w:bookmarkEnd w:id="442"/>
    </w:p>
    <w:p w14:paraId="6F98BB2E">
      <w:pPr>
        <w:bidi w:val="0"/>
        <w:rPr>
          <w:highlight w:val="none"/>
        </w:rPr>
      </w:pPr>
      <w:r>
        <w:rPr>
          <w:highlight w:val="none"/>
        </w:rPr>
        <w:t>选取可能产生地下水污染的关键时段，预测时段设定为发生</w:t>
      </w:r>
      <w:r>
        <w:rPr>
          <w:rFonts w:hint="eastAsia"/>
          <w:highlight w:val="none"/>
          <w:lang w:val="en-US" w:eastAsia="zh-CN"/>
        </w:rPr>
        <w:t>油类物质</w:t>
      </w:r>
      <w:r>
        <w:rPr>
          <w:highlight w:val="none"/>
        </w:rPr>
        <w:t>泄漏后的100天、1000天</w:t>
      </w:r>
      <w:r>
        <w:rPr>
          <w:rFonts w:hint="eastAsia"/>
          <w:highlight w:val="none"/>
          <w:lang w:eastAsia="zh-CN"/>
        </w:rPr>
        <w:t>、</w:t>
      </w:r>
      <w:r>
        <w:rPr>
          <w:rFonts w:hint="eastAsia"/>
          <w:highlight w:val="none"/>
          <w:lang w:val="en-US" w:eastAsia="zh-CN"/>
        </w:rPr>
        <w:t>20年</w:t>
      </w:r>
      <w:r>
        <w:rPr>
          <w:rFonts w:hint="eastAsia"/>
          <w:highlight w:val="none"/>
          <w:lang w:eastAsia="zh-CN"/>
        </w:rPr>
        <w:t>；预测期内建设项目场地边界特征因子随时间的变化规律</w:t>
      </w:r>
      <w:r>
        <w:rPr>
          <w:highlight w:val="none"/>
        </w:rPr>
        <w:t>。</w:t>
      </w:r>
    </w:p>
    <w:p w14:paraId="006F150B">
      <w:pPr>
        <w:bidi w:val="0"/>
        <w:rPr>
          <w:highlight w:val="none"/>
        </w:rPr>
      </w:pPr>
      <w:bookmarkStart w:id="443" w:name="_Toc9211"/>
      <w:r>
        <w:rPr>
          <w:highlight w:val="none"/>
        </w:rPr>
        <w:t>4、预测因子</w:t>
      </w:r>
      <w:bookmarkEnd w:id="443"/>
    </w:p>
    <w:p w14:paraId="7FDFD702">
      <w:pPr>
        <w:bidi w:val="0"/>
        <w:rPr>
          <w:highlight w:val="none"/>
        </w:rPr>
      </w:pPr>
      <w:r>
        <w:rPr>
          <w:highlight w:val="none"/>
        </w:rPr>
        <w:t>根据前文地下水潜在污染物识别部分，本项目非正常状况下主要结合项目的特点，评价以石油类作为特征污染物进行预测。</w:t>
      </w:r>
    </w:p>
    <w:p w14:paraId="46BB3B3D">
      <w:pPr>
        <w:bidi w:val="0"/>
        <w:rPr>
          <w:highlight w:val="none"/>
        </w:rPr>
      </w:pPr>
      <w:bookmarkStart w:id="444" w:name="_Toc13015"/>
      <w:r>
        <w:rPr>
          <w:highlight w:val="none"/>
        </w:rPr>
        <w:t>5、评价标准</w:t>
      </w:r>
      <w:bookmarkEnd w:id="444"/>
    </w:p>
    <w:p w14:paraId="0FBBA482">
      <w:pPr>
        <w:bidi w:val="0"/>
        <w:rPr>
          <w:highlight w:val="none"/>
        </w:rPr>
      </w:pPr>
      <w:r>
        <w:rPr>
          <w:highlight w:val="none"/>
        </w:rPr>
        <w:t>污染物</w:t>
      </w:r>
      <w:r>
        <w:rPr>
          <w:rFonts w:hint="eastAsia"/>
          <w:highlight w:val="none"/>
        </w:rPr>
        <w:t>石油类</w:t>
      </w:r>
      <w:r>
        <w:rPr>
          <w:highlight w:val="none"/>
        </w:rPr>
        <w:t>在《地下水质量标准》（GB/T14848-2017）中无标准，根据《环境影响评价技术导则地下水环境》（HJ610-2016）规定可参照国家（行业、地方）相关标准的水质标准值（如GB3838、GB5749等）进行评价。本项目石油类的评价标准参照《地表水质量标准》（GB3838-2002）中</w:t>
      </w:r>
      <w:r>
        <w:rPr>
          <w:highlight w:val="none"/>
        </w:rPr>
        <w:fldChar w:fldCharType="begin"/>
      </w:r>
      <w:r>
        <w:rPr>
          <w:highlight w:val="none"/>
        </w:rPr>
        <w:instrText xml:space="preserve"> </w:instrText>
      </w:r>
      <w:r>
        <w:rPr>
          <w:rFonts w:hint="eastAsia"/>
          <w:highlight w:val="none"/>
        </w:rPr>
        <w:instrText xml:space="preserve">= 3 \* ROMAN</w:instrText>
      </w:r>
      <w:r>
        <w:rPr>
          <w:highlight w:val="none"/>
        </w:rPr>
        <w:instrText xml:space="preserve"> </w:instrText>
      </w:r>
      <w:r>
        <w:rPr>
          <w:highlight w:val="none"/>
        </w:rPr>
        <w:fldChar w:fldCharType="separate"/>
      </w:r>
      <w:r>
        <w:rPr>
          <w:highlight w:val="none"/>
        </w:rPr>
        <w:t>III</w:t>
      </w:r>
      <w:r>
        <w:rPr>
          <w:highlight w:val="none"/>
        </w:rPr>
        <w:fldChar w:fldCharType="end"/>
      </w:r>
      <w:r>
        <w:rPr>
          <w:highlight w:val="none"/>
        </w:rPr>
        <w:t>类水体标准限值，即石油类0.05mg/L。</w:t>
      </w:r>
    </w:p>
    <w:p w14:paraId="38D3A49C">
      <w:pPr>
        <w:bidi w:val="0"/>
        <w:rPr>
          <w:highlight w:val="none"/>
        </w:rPr>
      </w:pPr>
      <w:r>
        <w:rPr>
          <w:highlight w:val="none"/>
        </w:rPr>
        <w:t>为分析污染物进入含水层后的污染程度和影响距离，选定污染物的标准值和检出限作为划分依据。当预测结果小于检出限时则视同对地下水环境几乎没有影响，超过检出限的范围视为污染影响区，超过标准值的为超标范围。</w:t>
      </w:r>
    </w:p>
    <w:p w14:paraId="6E816242">
      <w:pPr>
        <w:bidi w:val="0"/>
        <w:rPr>
          <w:highlight w:val="none"/>
        </w:rPr>
      </w:pPr>
      <w:bookmarkStart w:id="445" w:name="_Toc4197"/>
      <w:r>
        <w:rPr>
          <w:highlight w:val="none"/>
        </w:rPr>
        <w:t>6、预测模式</w:t>
      </w:r>
      <w:bookmarkEnd w:id="445"/>
    </w:p>
    <w:p w14:paraId="521EFA51">
      <w:pPr>
        <w:spacing w:line="360" w:lineRule="auto"/>
        <w:ind w:firstLine="480" w:firstLineChars="200"/>
        <w:rPr>
          <w:rFonts w:eastAsiaTheme="minorEastAsia"/>
          <w:sz w:val="24"/>
          <w:highlight w:val="none"/>
        </w:rPr>
      </w:pPr>
      <w:r>
        <w:rPr>
          <w:rFonts w:hAnsiTheme="minorEastAsia" w:eastAsiaTheme="minorEastAsia"/>
          <w:sz w:val="24"/>
          <w:highlight w:val="none"/>
        </w:rPr>
        <w:t>根据《环境影响评价技术导则地下水环境》（</w:t>
      </w:r>
      <w:r>
        <w:rPr>
          <w:rFonts w:eastAsiaTheme="minorEastAsia"/>
          <w:sz w:val="24"/>
          <w:highlight w:val="none"/>
        </w:rPr>
        <w:t>HJ610-2016</w:t>
      </w:r>
      <w:r>
        <w:rPr>
          <w:rFonts w:hAnsiTheme="minorEastAsia" w:eastAsiaTheme="minorEastAsia"/>
          <w:sz w:val="24"/>
          <w:highlight w:val="none"/>
        </w:rPr>
        <w:t>）要求，地下水环境影响评价</w:t>
      </w:r>
      <w:r>
        <w:rPr>
          <w:rFonts w:hint="eastAsia" w:hAnsiTheme="minorEastAsia" w:eastAsiaTheme="minorEastAsia"/>
          <w:sz w:val="24"/>
          <w:highlight w:val="none"/>
          <w:lang w:val="en-US" w:eastAsia="zh-CN"/>
        </w:rPr>
        <w:t>二</w:t>
      </w:r>
      <w:r>
        <w:rPr>
          <w:rFonts w:hAnsiTheme="minorEastAsia" w:eastAsiaTheme="minorEastAsia"/>
          <w:sz w:val="24"/>
          <w:highlight w:val="none"/>
        </w:rPr>
        <w:t>级评价预测方法可以选用解析法。根据本项目地下水的污染特性选用</w:t>
      </w:r>
      <w:r>
        <w:rPr>
          <w:rFonts w:hint="eastAsia" w:eastAsiaTheme="minorEastAsia"/>
          <w:sz w:val="24"/>
          <w:highlight w:val="none"/>
          <w:lang w:eastAsia="zh-CN"/>
        </w:rPr>
        <w:t>“</w:t>
      </w:r>
      <w:r>
        <w:rPr>
          <w:rFonts w:hint="eastAsia" w:hAnsiTheme="minorEastAsia" w:eastAsiaTheme="minorEastAsia"/>
          <w:sz w:val="24"/>
          <w:highlight w:val="none"/>
        </w:rPr>
        <w:t>一维无限长多孔介质柱体，示踪剂瞬时注入</w:t>
      </w:r>
      <w:r>
        <w:rPr>
          <w:rFonts w:hint="eastAsia" w:eastAsiaTheme="minorEastAsia"/>
          <w:sz w:val="24"/>
          <w:highlight w:val="none"/>
          <w:lang w:eastAsia="zh-CN"/>
        </w:rPr>
        <w:t>”</w:t>
      </w:r>
      <w:r>
        <w:rPr>
          <w:rFonts w:hAnsiTheme="minorEastAsia" w:eastAsiaTheme="minorEastAsia"/>
          <w:sz w:val="24"/>
          <w:highlight w:val="none"/>
        </w:rPr>
        <w:t>预测模型，公式如下。</w:t>
      </w:r>
    </w:p>
    <w:p w14:paraId="66BBB15D">
      <w:pPr>
        <w:spacing w:line="360" w:lineRule="auto"/>
        <w:jc w:val="center"/>
        <w:rPr>
          <w:rFonts w:eastAsiaTheme="minorEastAsia"/>
          <w:sz w:val="24"/>
          <w:highlight w:val="none"/>
        </w:rPr>
      </w:pPr>
      <w:r>
        <w:rPr>
          <w:highlight w:val="none"/>
        </w:rPr>
        <w:drawing>
          <wp:inline distT="0" distB="0" distL="114300" distR="114300">
            <wp:extent cx="2000250" cy="685800"/>
            <wp:effectExtent l="0" t="0" r="0" b="0"/>
            <wp:docPr id="3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7"/>
                    <pic:cNvPicPr>
                      <a:picLocks noChangeAspect="1"/>
                    </pic:cNvPicPr>
                  </pic:nvPicPr>
                  <pic:blipFill>
                    <a:blip r:embed="rId78"/>
                    <a:stretch>
                      <a:fillRect/>
                    </a:stretch>
                  </pic:blipFill>
                  <pic:spPr>
                    <a:xfrm>
                      <a:off x="0" y="0"/>
                      <a:ext cx="2000250" cy="685800"/>
                    </a:xfrm>
                    <a:prstGeom prst="rect">
                      <a:avLst/>
                    </a:prstGeom>
                    <a:noFill/>
                    <a:ln>
                      <a:noFill/>
                    </a:ln>
                  </pic:spPr>
                </pic:pic>
              </a:graphicData>
            </a:graphic>
          </wp:inline>
        </w:drawing>
      </w:r>
    </w:p>
    <w:p w14:paraId="243C8364">
      <w:pPr>
        <w:bidi w:val="0"/>
        <w:rPr>
          <w:highlight w:val="none"/>
        </w:rPr>
      </w:pPr>
      <w:r>
        <w:rPr>
          <w:highlight w:val="none"/>
        </w:rPr>
        <w:t>式中：</w:t>
      </w:r>
    </w:p>
    <w:p w14:paraId="62807C74">
      <w:pPr>
        <w:spacing w:line="360" w:lineRule="auto"/>
        <w:ind w:firstLine="480" w:firstLineChars="200"/>
        <w:rPr>
          <w:rFonts w:hint="eastAsia" w:eastAsiaTheme="minorEastAsia"/>
          <w:sz w:val="24"/>
          <w:highlight w:val="none"/>
          <w:lang w:eastAsia="zh-CN"/>
        </w:rPr>
      </w:pPr>
      <w:r>
        <w:rPr>
          <w:rFonts w:eastAsiaTheme="minorEastAsia"/>
          <w:sz w:val="24"/>
          <w:highlight w:val="none"/>
        </w:rPr>
        <w:t>x——</w:t>
      </w:r>
      <w:r>
        <w:rPr>
          <w:rFonts w:hint="eastAsia" w:hAnsiTheme="minorEastAsia" w:eastAsiaTheme="minorEastAsia"/>
          <w:sz w:val="24"/>
          <w:highlight w:val="none"/>
        </w:rPr>
        <w:t>距注入点的距离，m</w:t>
      </w:r>
      <w:r>
        <w:rPr>
          <w:rFonts w:hAnsiTheme="minorEastAsia" w:eastAsiaTheme="minorEastAsia"/>
          <w:sz w:val="24"/>
          <w:highlight w:val="none"/>
        </w:rPr>
        <w:t>；</w:t>
      </w:r>
    </w:p>
    <w:p w14:paraId="24AEFDC4">
      <w:pPr>
        <w:spacing w:line="360" w:lineRule="auto"/>
        <w:ind w:firstLine="480" w:firstLineChars="200"/>
        <w:rPr>
          <w:rFonts w:eastAsiaTheme="minorEastAsia"/>
          <w:sz w:val="24"/>
          <w:highlight w:val="none"/>
        </w:rPr>
      </w:pPr>
      <w:r>
        <w:rPr>
          <w:rFonts w:eastAsiaTheme="minorEastAsia"/>
          <w:sz w:val="24"/>
          <w:highlight w:val="none"/>
        </w:rPr>
        <w:t>t——</w:t>
      </w:r>
      <w:r>
        <w:rPr>
          <w:rFonts w:hAnsiTheme="minorEastAsia" w:eastAsiaTheme="minorEastAsia"/>
          <w:sz w:val="24"/>
          <w:highlight w:val="none"/>
        </w:rPr>
        <w:t>时间，</w:t>
      </w:r>
      <w:r>
        <w:rPr>
          <w:rFonts w:eastAsiaTheme="minorEastAsia"/>
          <w:sz w:val="24"/>
          <w:highlight w:val="none"/>
        </w:rPr>
        <w:t>d</w:t>
      </w:r>
      <w:r>
        <w:rPr>
          <w:rFonts w:hAnsiTheme="minorEastAsia" w:eastAsiaTheme="minorEastAsia"/>
          <w:sz w:val="24"/>
          <w:highlight w:val="none"/>
        </w:rPr>
        <w:t>；</w:t>
      </w:r>
    </w:p>
    <w:p w14:paraId="0BCAD530">
      <w:pPr>
        <w:spacing w:line="360" w:lineRule="auto"/>
        <w:ind w:firstLine="480" w:firstLineChars="200"/>
        <w:rPr>
          <w:rFonts w:eastAsiaTheme="minorEastAsia"/>
          <w:sz w:val="24"/>
          <w:highlight w:val="none"/>
        </w:rPr>
      </w:pPr>
      <w:r>
        <w:rPr>
          <w:rFonts w:eastAsiaTheme="minorEastAsia"/>
          <w:sz w:val="24"/>
          <w:highlight w:val="none"/>
        </w:rPr>
        <w:t>C</w:t>
      </w:r>
      <w:r>
        <w:rPr>
          <w:rFonts w:hint="eastAsia" w:eastAsiaTheme="minorEastAsia"/>
          <w:sz w:val="24"/>
          <w:highlight w:val="none"/>
          <w:lang w:eastAsia="zh-CN"/>
        </w:rPr>
        <w:t>（</w:t>
      </w:r>
      <w:r>
        <w:rPr>
          <w:rFonts w:hint="eastAsia" w:eastAsiaTheme="minorEastAsia"/>
          <w:sz w:val="24"/>
          <w:highlight w:val="none"/>
        </w:rPr>
        <w:t>x</w:t>
      </w:r>
      <w:r>
        <w:rPr>
          <w:rFonts w:hint="eastAsia" w:eastAsiaTheme="minorEastAsia"/>
          <w:sz w:val="24"/>
          <w:highlight w:val="none"/>
          <w:lang w:eastAsia="zh-CN"/>
        </w:rPr>
        <w:t>，</w:t>
      </w:r>
      <w:r>
        <w:rPr>
          <w:rFonts w:hint="eastAsia" w:eastAsiaTheme="minorEastAsia"/>
          <w:sz w:val="24"/>
          <w:highlight w:val="none"/>
        </w:rPr>
        <w:t>t</w:t>
      </w:r>
      <w:r>
        <w:rPr>
          <w:rFonts w:hint="eastAsia" w:eastAsiaTheme="minorEastAsia"/>
          <w:sz w:val="24"/>
          <w:highlight w:val="none"/>
          <w:lang w:eastAsia="zh-CN"/>
        </w:rPr>
        <w:t>）</w:t>
      </w:r>
      <w:r>
        <w:rPr>
          <w:rFonts w:eastAsiaTheme="minorEastAsia"/>
          <w:sz w:val="24"/>
          <w:highlight w:val="none"/>
        </w:rPr>
        <w:t>——t</w:t>
      </w:r>
      <w:r>
        <w:rPr>
          <w:rFonts w:hAnsiTheme="minorEastAsia" w:eastAsiaTheme="minorEastAsia"/>
          <w:sz w:val="24"/>
          <w:highlight w:val="none"/>
        </w:rPr>
        <w:t>时刻点</w:t>
      </w:r>
      <w:r>
        <w:rPr>
          <w:rFonts w:eastAsiaTheme="minorEastAsia"/>
          <w:sz w:val="24"/>
          <w:highlight w:val="none"/>
        </w:rPr>
        <w:t>x</w:t>
      </w:r>
      <w:r>
        <w:rPr>
          <w:rFonts w:hAnsiTheme="minorEastAsia" w:eastAsiaTheme="minorEastAsia"/>
          <w:sz w:val="24"/>
          <w:highlight w:val="none"/>
        </w:rPr>
        <w:t>处的示踪剂浓度，</w:t>
      </w:r>
      <w:r>
        <w:rPr>
          <w:rFonts w:eastAsiaTheme="minorEastAsia"/>
          <w:sz w:val="24"/>
          <w:highlight w:val="none"/>
        </w:rPr>
        <w:t>g/L</w:t>
      </w:r>
      <w:r>
        <w:rPr>
          <w:rFonts w:hAnsiTheme="minorEastAsia" w:eastAsiaTheme="minorEastAsia"/>
          <w:sz w:val="24"/>
          <w:highlight w:val="none"/>
        </w:rPr>
        <w:t>；</w:t>
      </w:r>
    </w:p>
    <w:p w14:paraId="51B938B4">
      <w:pPr>
        <w:spacing w:line="360" w:lineRule="auto"/>
        <w:ind w:firstLine="480" w:firstLineChars="200"/>
        <w:rPr>
          <w:rFonts w:hint="eastAsia" w:eastAsiaTheme="minorEastAsia"/>
          <w:sz w:val="24"/>
          <w:highlight w:val="none"/>
          <w:lang w:eastAsia="zh-CN"/>
        </w:rPr>
      </w:pPr>
      <w:r>
        <w:rPr>
          <w:rFonts w:hint="eastAsia" w:eastAsiaTheme="minorEastAsia"/>
          <w:sz w:val="24"/>
          <w:highlight w:val="none"/>
          <w:lang w:val="en-US" w:eastAsia="zh-CN"/>
        </w:rPr>
        <w:t>m</w:t>
      </w:r>
      <w:r>
        <w:rPr>
          <w:rFonts w:eastAsiaTheme="minorEastAsia"/>
          <w:sz w:val="24"/>
          <w:highlight w:val="none"/>
        </w:rPr>
        <w:t>——</w:t>
      </w:r>
      <w:r>
        <w:rPr>
          <w:rFonts w:hint="eastAsia" w:hAnsiTheme="minorEastAsia" w:eastAsiaTheme="minorEastAsia"/>
          <w:sz w:val="24"/>
          <w:highlight w:val="none"/>
        </w:rPr>
        <w:t>注入的示踪剂质量，kg</w:t>
      </w:r>
      <w:r>
        <w:rPr>
          <w:rFonts w:hAnsiTheme="minorEastAsia" w:eastAsiaTheme="minorEastAsia"/>
          <w:sz w:val="24"/>
          <w:highlight w:val="none"/>
        </w:rPr>
        <w:t>；</w:t>
      </w:r>
    </w:p>
    <w:p w14:paraId="15135D96">
      <w:pPr>
        <w:spacing w:line="360" w:lineRule="auto"/>
        <w:ind w:firstLine="480" w:firstLineChars="200"/>
        <w:rPr>
          <w:rFonts w:hint="default" w:eastAsiaTheme="minorEastAsia"/>
          <w:sz w:val="24"/>
          <w:highlight w:val="none"/>
          <w:lang w:val="en-US" w:eastAsia="zh-CN"/>
        </w:rPr>
      </w:pPr>
      <w:r>
        <w:rPr>
          <w:rFonts w:hint="eastAsia" w:eastAsiaTheme="minorEastAsia"/>
          <w:sz w:val="24"/>
          <w:highlight w:val="none"/>
          <w:lang w:val="en-US" w:eastAsia="zh-CN"/>
        </w:rPr>
        <w:t>W</w:t>
      </w:r>
      <w:r>
        <w:rPr>
          <w:rFonts w:eastAsiaTheme="minorEastAsia"/>
          <w:sz w:val="24"/>
          <w:highlight w:val="none"/>
        </w:rPr>
        <w:t>——</w:t>
      </w:r>
      <w:r>
        <w:rPr>
          <w:rFonts w:hint="eastAsia" w:eastAsiaTheme="minorEastAsia"/>
          <w:sz w:val="24"/>
          <w:highlight w:val="none"/>
        </w:rPr>
        <w:t>横截面面积，m</w:t>
      </w:r>
      <w:r>
        <w:rPr>
          <w:rFonts w:hint="eastAsia" w:eastAsiaTheme="minorEastAsia"/>
          <w:sz w:val="24"/>
          <w:highlight w:val="none"/>
          <w:vertAlign w:val="superscript"/>
          <w:lang w:val="en-US" w:eastAsia="zh-CN"/>
        </w:rPr>
        <w:t>2</w:t>
      </w:r>
      <w:r>
        <w:rPr>
          <w:rFonts w:hint="eastAsia" w:eastAsiaTheme="minorEastAsia"/>
          <w:sz w:val="24"/>
          <w:highlight w:val="none"/>
          <w:lang w:val="en-US" w:eastAsia="zh-CN"/>
        </w:rPr>
        <w:t>；</w:t>
      </w:r>
    </w:p>
    <w:p w14:paraId="255EB2D3">
      <w:pPr>
        <w:spacing w:line="360" w:lineRule="auto"/>
        <w:ind w:firstLine="480" w:firstLineChars="200"/>
        <w:rPr>
          <w:rFonts w:hAnsiTheme="minorEastAsia" w:eastAsiaTheme="minorEastAsia"/>
          <w:sz w:val="24"/>
          <w:highlight w:val="none"/>
        </w:rPr>
      </w:pPr>
      <w:r>
        <w:rPr>
          <w:rFonts w:eastAsiaTheme="minorEastAsia"/>
          <w:sz w:val="24"/>
          <w:highlight w:val="none"/>
        </w:rPr>
        <w:t>u——</w:t>
      </w:r>
      <w:r>
        <w:rPr>
          <w:rFonts w:hAnsiTheme="minorEastAsia" w:eastAsiaTheme="minorEastAsia"/>
          <w:sz w:val="24"/>
          <w:highlight w:val="none"/>
        </w:rPr>
        <w:t>水流速度，</w:t>
      </w:r>
      <w:r>
        <w:rPr>
          <w:rFonts w:eastAsiaTheme="minorEastAsia"/>
          <w:sz w:val="24"/>
          <w:highlight w:val="none"/>
        </w:rPr>
        <w:t>m/d</w:t>
      </w:r>
      <w:r>
        <w:rPr>
          <w:rFonts w:hAnsiTheme="minorEastAsia" w:eastAsiaTheme="minorEastAsia"/>
          <w:sz w:val="24"/>
          <w:highlight w:val="none"/>
        </w:rPr>
        <w:t>；</w:t>
      </w:r>
    </w:p>
    <w:p w14:paraId="19569709">
      <w:pPr>
        <w:spacing w:line="360" w:lineRule="auto"/>
        <w:ind w:firstLine="480" w:firstLineChars="200"/>
        <w:rPr>
          <w:rFonts w:hint="eastAsia" w:hAnsiTheme="minorEastAsia" w:eastAsiaTheme="minorEastAsia"/>
          <w:sz w:val="24"/>
          <w:highlight w:val="none"/>
          <w:lang w:val="en-US" w:eastAsia="zh-CN"/>
        </w:rPr>
      </w:pPr>
      <w:r>
        <w:rPr>
          <w:rFonts w:hint="eastAsia" w:hAnsiTheme="minorEastAsia" w:eastAsiaTheme="minorEastAsia"/>
          <w:sz w:val="24"/>
          <w:highlight w:val="none"/>
          <w:lang w:val="en-US" w:eastAsia="zh-CN"/>
        </w:rPr>
        <w:t>n</w:t>
      </w:r>
      <w:r>
        <w:rPr>
          <w:rFonts w:hint="eastAsia" w:hAnsiTheme="minorEastAsia" w:eastAsiaTheme="minorEastAsia"/>
          <w:sz w:val="24"/>
          <w:highlight w:val="none"/>
          <w:vertAlign w:val="subscript"/>
          <w:lang w:val="en-US" w:eastAsia="zh-CN"/>
        </w:rPr>
        <w:t>e</w:t>
      </w:r>
      <w:r>
        <w:rPr>
          <w:rFonts w:eastAsiaTheme="minorEastAsia"/>
          <w:sz w:val="24"/>
          <w:highlight w:val="none"/>
        </w:rPr>
        <w:t>——</w:t>
      </w:r>
      <w:r>
        <w:rPr>
          <w:rFonts w:hint="eastAsia" w:eastAsiaTheme="minorEastAsia"/>
          <w:sz w:val="24"/>
          <w:highlight w:val="none"/>
        </w:rPr>
        <w:t>有效孔隙度，量纲为1</w:t>
      </w:r>
      <w:r>
        <w:rPr>
          <w:rFonts w:hint="eastAsia" w:eastAsiaTheme="minorEastAsia"/>
          <w:sz w:val="24"/>
          <w:highlight w:val="none"/>
          <w:lang w:eastAsia="zh-CN"/>
        </w:rPr>
        <w:t>；</w:t>
      </w:r>
    </w:p>
    <w:p w14:paraId="74D883BC">
      <w:pPr>
        <w:spacing w:line="360" w:lineRule="auto"/>
        <w:ind w:firstLine="480" w:firstLineChars="200"/>
        <w:rPr>
          <w:rFonts w:hint="eastAsia" w:eastAsiaTheme="minorEastAsia"/>
          <w:sz w:val="24"/>
          <w:highlight w:val="none"/>
          <w:lang w:eastAsia="zh-CN"/>
        </w:rPr>
      </w:pPr>
      <w:r>
        <w:rPr>
          <w:rFonts w:eastAsiaTheme="minorEastAsia"/>
          <w:sz w:val="24"/>
          <w:highlight w:val="none"/>
        </w:rPr>
        <w:t>D</w:t>
      </w:r>
      <w:r>
        <w:rPr>
          <w:rFonts w:eastAsiaTheme="minorEastAsia"/>
          <w:sz w:val="24"/>
          <w:highlight w:val="none"/>
          <w:vertAlign w:val="subscript"/>
        </w:rPr>
        <w:t>L</w:t>
      </w:r>
      <w:r>
        <w:rPr>
          <w:rFonts w:eastAsiaTheme="minorEastAsia"/>
          <w:sz w:val="24"/>
          <w:highlight w:val="none"/>
        </w:rPr>
        <w:t>——</w:t>
      </w:r>
      <w:r>
        <w:rPr>
          <w:rFonts w:hAnsiTheme="minorEastAsia" w:eastAsiaTheme="minorEastAsia"/>
          <w:sz w:val="24"/>
          <w:highlight w:val="none"/>
        </w:rPr>
        <w:t>纵向弥散系数，</w:t>
      </w:r>
      <w:r>
        <w:rPr>
          <w:rFonts w:eastAsiaTheme="minorEastAsia"/>
          <w:sz w:val="24"/>
          <w:highlight w:val="none"/>
        </w:rPr>
        <w:t>m</w:t>
      </w:r>
      <w:r>
        <w:rPr>
          <w:rFonts w:eastAsiaTheme="minorEastAsia"/>
          <w:sz w:val="24"/>
          <w:highlight w:val="none"/>
          <w:vertAlign w:val="superscript"/>
        </w:rPr>
        <w:t>2</w:t>
      </w:r>
      <w:r>
        <w:rPr>
          <w:rFonts w:eastAsiaTheme="minorEastAsia"/>
          <w:sz w:val="24"/>
          <w:highlight w:val="none"/>
        </w:rPr>
        <w:t>/d</w:t>
      </w:r>
      <w:r>
        <w:rPr>
          <w:rFonts w:hAnsiTheme="minorEastAsia" w:eastAsiaTheme="minorEastAsia"/>
          <w:sz w:val="24"/>
          <w:highlight w:val="none"/>
        </w:rPr>
        <w:t>；</w:t>
      </w:r>
    </w:p>
    <w:p w14:paraId="475C67CD">
      <w:pPr>
        <w:spacing w:line="360" w:lineRule="auto"/>
        <w:ind w:firstLine="480" w:firstLineChars="200"/>
        <w:rPr>
          <w:rFonts w:eastAsiaTheme="minorEastAsia"/>
          <w:sz w:val="24"/>
          <w:highlight w:val="none"/>
        </w:rPr>
      </w:pPr>
      <w:r>
        <w:rPr>
          <w:rFonts w:hint="eastAsia" w:eastAsiaTheme="minorEastAsia"/>
          <w:sz w:val="24"/>
          <w:highlight w:val="none"/>
          <w:lang w:val="en-US" w:eastAsia="zh-CN"/>
        </w:rPr>
        <w:t>π</w:t>
      </w:r>
      <w:r>
        <w:rPr>
          <w:rFonts w:eastAsiaTheme="minorEastAsia"/>
          <w:sz w:val="24"/>
          <w:highlight w:val="none"/>
        </w:rPr>
        <w:t>——</w:t>
      </w:r>
      <w:r>
        <w:rPr>
          <w:rFonts w:hint="eastAsia" w:hAnsiTheme="minorEastAsia" w:eastAsiaTheme="minorEastAsia"/>
          <w:sz w:val="24"/>
          <w:highlight w:val="none"/>
          <w:lang w:val="en-US" w:eastAsia="zh-CN"/>
        </w:rPr>
        <w:t>圆周率</w:t>
      </w:r>
      <w:r>
        <w:rPr>
          <w:rFonts w:hAnsiTheme="minorEastAsia" w:eastAsiaTheme="minorEastAsia"/>
          <w:sz w:val="24"/>
          <w:highlight w:val="none"/>
        </w:rPr>
        <w:t>。</w:t>
      </w:r>
    </w:p>
    <w:p w14:paraId="2F2431DA">
      <w:pPr>
        <w:bidi w:val="0"/>
        <w:rPr>
          <w:highlight w:val="none"/>
        </w:rPr>
      </w:pPr>
      <w:bookmarkStart w:id="446" w:name="_Toc29163"/>
      <w:bookmarkStart w:id="447" w:name="_Toc24685"/>
      <w:r>
        <w:rPr>
          <w:highlight w:val="none"/>
        </w:rPr>
        <w:t>（2）预测参数的确定</w:t>
      </w:r>
      <w:bookmarkEnd w:id="446"/>
      <w:bookmarkEnd w:id="447"/>
    </w:p>
    <w:p w14:paraId="6F805693">
      <w:pPr>
        <w:bidi w:val="0"/>
        <w:rPr>
          <w:highlight w:val="none"/>
        </w:rPr>
      </w:pPr>
      <w:r>
        <w:rPr>
          <w:rFonts w:hint="eastAsia" w:hAnsiTheme="minorEastAsia" w:eastAsiaTheme="minorEastAsia"/>
          <w:sz w:val="24"/>
          <w:highlight w:val="none"/>
        </w:rPr>
        <w:t>注入的示踪剂质量</w:t>
      </w:r>
      <w:r>
        <w:rPr>
          <w:highlight w:val="none"/>
        </w:rPr>
        <w:t>（</w:t>
      </w:r>
      <w:r>
        <w:rPr>
          <w:rFonts w:hint="eastAsia"/>
          <w:highlight w:val="none"/>
          <w:lang w:val="en-US" w:eastAsia="zh-CN"/>
        </w:rPr>
        <w:t>m</w:t>
      </w:r>
      <w:r>
        <w:rPr>
          <w:highlight w:val="none"/>
        </w:rPr>
        <w:t>）</w:t>
      </w:r>
      <w:r>
        <w:rPr>
          <w:rFonts w:hint="eastAsia"/>
          <w:highlight w:val="none"/>
          <w:lang w:eastAsia="zh-CN"/>
        </w:rPr>
        <w:t>：</w:t>
      </w:r>
      <w:r>
        <w:rPr>
          <w:rFonts w:hint="eastAsia"/>
          <w:highlight w:val="none"/>
          <w:lang w:val="en-US" w:eastAsia="zh-CN"/>
        </w:rPr>
        <w:t>185kg</w:t>
      </w:r>
      <w:r>
        <w:rPr>
          <w:highlight w:val="none"/>
        </w:rPr>
        <w:t>。</w:t>
      </w:r>
    </w:p>
    <w:p w14:paraId="105AC352">
      <w:pPr>
        <w:bidi w:val="0"/>
        <w:rPr>
          <w:rFonts w:hint="eastAsia" w:eastAsia="宋体"/>
          <w:highlight w:val="none"/>
          <w:lang w:val="en-US" w:eastAsia="zh-CN"/>
        </w:rPr>
      </w:pPr>
      <w:r>
        <w:rPr>
          <w:rFonts w:hint="eastAsia"/>
          <w:highlight w:val="none"/>
          <w:lang w:val="en-US" w:eastAsia="zh-CN"/>
        </w:rPr>
        <w:t>横截面面积（W）：取</w:t>
      </w:r>
      <w:r>
        <w:rPr>
          <w:rFonts w:hint="eastAsia" w:hAnsi="宋体"/>
          <w:highlight w:val="none"/>
        </w:rPr>
        <w:t>0.0000785</w:t>
      </w:r>
      <w:r>
        <w:rPr>
          <w:rFonts w:hint="eastAsia" w:hAnsi="宋体"/>
          <w:highlight w:val="none"/>
          <w:lang w:val="en-US" w:eastAsia="zh-CN"/>
        </w:rPr>
        <w:t>m</w:t>
      </w:r>
      <w:r>
        <w:rPr>
          <w:rFonts w:hint="eastAsia" w:hAnsi="宋体"/>
          <w:highlight w:val="none"/>
          <w:vertAlign w:val="superscript"/>
          <w:lang w:val="en-US" w:eastAsia="zh-CN"/>
        </w:rPr>
        <w:t>2</w:t>
      </w:r>
      <w:r>
        <w:rPr>
          <w:rFonts w:hint="eastAsia" w:hAnsi="宋体"/>
          <w:highlight w:val="none"/>
          <w:lang w:eastAsia="zh-CN"/>
        </w:rPr>
        <w:t>。</w:t>
      </w:r>
    </w:p>
    <w:p w14:paraId="1BAA583E">
      <w:pPr>
        <w:bidi w:val="0"/>
        <w:rPr>
          <w:highlight w:val="none"/>
        </w:rPr>
      </w:pPr>
      <w:r>
        <w:rPr>
          <w:highlight w:val="none"/>
        </w:rPr>
        <w:t>水流速度（u）：</w:t>
      </w:r>
      <w:r>
        <w:rPr>
          <w:rFonts w:ascii="Times New Roman" w:cs="Times New Roman"/>
          <w:color w:val="auto"/>
          <w:highlight w:val="none"/>
        </w:rPr>
        <w:t>水流速度根据达西定律取渗透系数和水力梯度的乘积，取0.0522m/d</w:t>
      </w:r>
      <w:r>
        <w:rPr>
          <w:highlight w:val="none"/>
        </w:rPr>
        <w:t>。</w:t>
      </w:r>
    </w:p>
    <w:p w14:paraId="43424142">
      <w:pPr>
        <w:bidi w:val="0"/>
        <w:rPr>
          <w:rFonts w:hint="eastAsia" w:eastAsia="宋体"/>
          <w:highlight w:val="none"/>
          <w:lang w:val="en-US" w:eastAsia="zh-CN"/>
        </w:rPr>
      </w:pPr>
      <w:r>
        <w:rPr>
          <w:rFonts w:hint="eastAsia"/>
          <w:highlight w:val="none"/>
          <w:lang w:val="en-US" w:eastAsia="zh-CN"/>
        </w:rPr>
        <w:t>有效孔隙度（</w:t>
      </w:r>
      <w:r>
        <w:rPr>
          <w:rFonts w:hint="eastAsia" w:hAnsiTheme="minorEastAsia" w:eastAsiaTheme="minorEastAsia"/>
          <w:sz w:val="24"/>
          <w:highlight w:val="none"/>
          <w:lang w:val="en-US" w:eastAsia="zh-CN"/>
        </w:rPr>
        <w:t>n</w:t>
      </w:r>
      <w:r>
        <w:rPr>
          <w:rFonts w:hint="eastAsia" w:hAnsiTheme="minorEastAsia" w:eastAsiaTheme="minorEastAsia"/>
          <w:sz w:val="24"/>
          <w:highlight w:val="none"/>
          <w:vertAlign w:val="subscript"/>
          <w:lang w:val="en-US" w:eastAsia="zh-CN"/>
        </w:rPr>
        <w:t>e</w:t>
      </w:r>
      <w:r>
        <w:rPr>
          <w:rFonts w:hint="eastAsia"/>
          <w:highlight w:val="none"/>
          <w:lang w:val="en-US" w:eastAsia="zh-CN"/>
        </w:rPr>
        <w:t>）：</w:t>
      </w:r>
      <w:r>
        <w:rPr>
          <w:rFonts w:ascii="Times New Roman" w:hAnsi="Times New Roman" w:eastAsia="宋体" w:cs="Times New Roman"/>
          <w:color w:val="auto"/>
          <w:sz w:val="24"/>
          <w:szCs w:val="24"/>
          <w:highlight w:val="none"/>
        </w:rPr>
        <w:t>取0.30</w:t>
      </w:r>
      <w:r>
        <w:rPr>
          <w:rFonts w:hint="eastAsia" w:ascii="Times New Roman" w:hAnsi="Times New Roman" w:eastAsia="宋体" w:cs="Times New Roman"/>
          <w:color w:val="auto"/>
          <w:sz w:val="24"/>
          <w:szCs w:val="24"/>
          <w:highlight w:val="none"/>
          <w:lang w:eastAsia="zh-CN"/>
        </w:rPr>
        <w:t>。</w:t>
      </w:r>
    </w:p>
    <w:p w14:paraId="56E62CCA">
      <w:pPr>
        <w:bidi w:val="0"/>
        <w:rPr>
          <w:rFonts w:eastAsiaTheme="minorEastAsia"/>
          <w:highlight w:val="none"/>
        </w:rPr>
      </w:pPr>
      <w:r>
        <w:rPr>
          <w:rFonts w:hint="eastAsia"/>
          <w:highlight w:val="none"/>
          <w:lang w:val="en-US" w:eastAsia="zh-CN"/>
        </w:rPr>
        <w:t>纵向</w:t>
      </w:r>
      <w:r>
        <w:rPr>
          <w:highlight w:val="none"/>
        </w:rPr>
        <w:t>弥散系数：纵横弥散系数根据含水层岩性及渗透系数、水力坡度等因素，根据《水文地质学》对于弥</w:t>
      </w:r>
      <w:r>
        <w:rPr>
          <w:rFonts w:hAnsiTheme="minorEastAsia" w:eastAsiaTheme="minorEastAsia"/>
          <w:highlight w:val="none"/>
        </w:rPr>
        <w:t>散系数的经验值，同时考虑地层结构、含水层岩性。</w:t>
      </w:r>
      <w:r>
        <w:rPr>
          <w:rFonts w:eastAsiaTheme="minorEastAsia"/>
          <w:highlight w:val="none"/>
        </w:rPr>
        <w:t>D</w:t>
      </w:r>
      <w:r>
        <w:rPr>
          <w:rFonts w:eastAsiaTheme="minorEastAsia"/>
          <w:highlight w:val="none"/>
          <w:vertAlign w:val="subscript"/>
        </w:rPr>
        <w:t>L</w:t>
      </w:r>
      <w:r>
        <w:rPr>
          <w:rFonts w:eastAsiaTheme="minorEastAsia"/>
          <w:highlight w:val="none"/>
        </w:rPr>
        <w:t>=0.5m</w:t>
      </w:r>
      <w:r>
        <w:rPr>
          <w:rFonts w:eastAsiaTheme="minorEastAsia"/>
          <w:highlight w:val="none"/>
          <w:vertAlign w:val="superscript"/>
        </w:rPr>
        <w:t>2</w:t>
      </w:r>
      <w:r>
        <w:rPr>
          <w:rFonts w:eastAsiaTheme="minorEastAsia"/>
          <w:highlight w:val="none"/>
        </w:rPr>
        <w:t>/d</w:t>
      </w:r>
      <w:r>
        <w:rPr>
          <w:rFonts w:hAnsiTheme="minorEastAsia" w:eastAsiaTheme="minorEastAsia"/>
          <w:highlight w:val="none"/>
        </w:rPr>
        <w:t>。</w:t>
      </w:r>
    </w:p>
    <w:p w14:paraId="099A683E">
      <w:pPr>
        <w:bidi w:val="0"/>
        <w:rPr>
          <w:highlight w:val="none"/>
        </w:rPr>
      </w:pPr>
      <w:bookmarkStart w:id="448" w:name="_Toc10884"/>
      <w:r>
        <w:rPr>
          <w:rFonts w:eastAsiaTheme="minorEastAsia"/>
          <w:highlight w:val="none"/>
        </w:rPr>
        <w:t>7</w:t>
      </w:r>
      <w:r>
        <w:rPr>
          <w:rFonts w:hAnsiTheme="minorEastAsia" w:eastAsiaTheme="minorEastAsia"/>
          <w:highlight w:val="none"/>
        </w:rPr>
        <w:t>、预测</w:t>
      </w:r>
      <w:r>
        <w:rPr>
          <w:highlight w:val="none"/>
        </w:rPr>
        <w:t>结果</w:t>
      </w:r>
      <w:bookmarkEnd w:id="448"/>
    </w:p>
    <w:p w14:paraId="3E513DFC">
      <w:pPr>
        <w:bidi w:val="0"/>
        <w:rPr>
          <w:rFonts w:eastAsiaTheme="minorEastAsia"/>
          <w:highlight w:val="none"/>
        </w:rPr>
      </w:pPr>
      <w:r>
        <w:rPr>
          <w:highlight w:val="none"/>
        </w:rPr>
        <w:t>预测计算</w:t>
      </w:r>
      <w:r>
        <w:rPr>
          <w:rFonts w:hAnsiTheme="minorEastAsia" w:eastAsiaTheme="minorEastAsia"/>
          <w:highlight w:val="none"/>
        </w:rPr>
        <w:t>结果见下表。</w:t>
      </w:r>
    </w:p>
    <w:p w14:paraId="618CA02C">
      <w:pPr>
        <w:pStyle w:val="7"/>
        <w:bidi w:val="0"/>
        <w:rPr>
          <w:highlight w:val="none"/>
        </w:rPr>
      </w:pPr>
      <w:r>
        <w:rPr>
          <w:highlight w:val="none"/>
        </w:rPr>
        <w:t>表5-2-</w:t>
      </w:r>
      <w:r>
        <w:rPr>
          <w:rFonts w:hint="eastAsia"/>
          <w:highlight w:val="none"/>
          <w:lang w:val="en-US" w:eastAsia="zh-CN"/>
        </w:rPr>
        <w:t>14</w:t>
      </w:r>
      <w:r>
        <w:rPr>
          <w:highlight w:val="none"/>
        </w:rPr>
        <w:t>地下水预测计算结果</w:t>
      </w:r>
    </w:p>
    <w:tbl>
      <w:tblPr>
        <w:tblStyle w:val="45"/>
        <w:tblW w:w="4998" w:type="pct"/>
        <w:jc w:val="center"/>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387"/>
        <w:gridCol w:w="1390"/>
        <w:gridCol w:w="2"/>
        <w:gridCol w:w="1391"/>
        <w:gridCol w:w="2"/>
        <w:gridCol w:w="1391"/>
        <w:gridCol w:w="2"/>
        <w:gridCol w:w="1391"/>
        <w:gridCol w:w="2"/>
        <w:gridCol w:w="1401"/>
      </w:tblGrid>
      <w:tr w14:paraId="110F0A43">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0" w:hRule="atLeast"/>
          <w:jc w:val="center"/>
        </w:trPr>
        <w:tc>
          <w:tcPr>
            <w:tcW w:w="5000" w:type="pct"/>
            <w:gridSpan w:val="10"/>
            <w:vAlign w:val="center"/>
          </w:tcPr>
          <w:p w14:paraId="2D72DADB">
            <w:pPr>
              <w:pStyle w:val="8"/>
              <w:suppressLineNumbers w:val="0"/>
              <w:bidi w:val="0"/>
              <w:spacing w:before="0" w:beforeAutospacing="0" w:after="0" w:afterAutospacing="0"/>
              <w:ind w:left="0" w:right="0"/>
              <w:rPr>
                <w:rFonts w:hint="default"/>
                <w:highlight w:val="none"/>
              </w:rPr>
            </w:pPr>
            <w:r>
              <w:rPr>
                <w:rFonts w:hint="default"/>
                <w:highlight w:val="none"/>
              </w:rPr>
              <w:t>石油类</w:t>
            </w:r>
          </w:p>
        </w:tc>
      </w:tr>
      <w:tr w14:paraId="5ADB9B93">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0" w:hRule="atLeast"/>
          <w:jc w:val="center"/>
        </w:trPr>
        <w:tc>
          <w:tcPr>
            <w:tcW w:w="1662" w:type="pct"/>
            <w:gridSpan w:val="2"/>
            <w:vAlign w:val="center"/>
          </w:tcPr>
          <w:p w14:paraId="7BF7621F">
            <w:pPr>
              <w:pStyle w:val="8"/>
              <w:suppressLineNumbers w:val="0"/>
              <w:bidi w:val="0"/>
              <w:spacing w:before="0" w:beforeAutospacing="0" w:after="0" w:afterAutospacing="0"/>
              <w:ind w:left="0" w:right="0"/>
              <w:rPr>
                <w:rFonts w:hint="default"/>
                <w:highlight w:val="none"/>
              </w:rPr>
            </w:pPr>
            <w:r>
              <w:rPr>
                <w:rFonts w:hint="default"/>
                <w:highlight w:val="none"/>
              </w:rPr>
              <w:t>100天</w:t>
            </w:r>
          </w:p>
        </w:tc>
        <w:tc>
          <w:tcPr>
            <w:tcW w:w="1666" w:type="pct"/>
            <w:gridSpan w:val="4"/>
            <w:vAlign w:val="center"/>
          </w:tcPr>
          <w:p w14:paraId="57193722">
            <w:pPr>
              <w:pStyle w:val="8"/>
              <w:suppressLineNumbers w:val="0"/>
              <w:bidi w:val="0"/>
              <w:spacing w:before="0" w:beforeAutospacing="0" w:after="0" w:afterAutospacing="0"/>
              <w:ind w:left="0" w:right="0"/>
              <w:rPr>
                <w:rFonts w:hint="default"/>
                <w:highlight w:val="none"/>
              </w:rPr>
            </w:pPr>
            <w:r>
              <w:rPr>
                <w:rFonts w:hint="default"/>
                <w:highlight w:val="none"/>
              </w:rPr>
              <w:t>1000天</w:t>
            </w:r>
          </w:p>
        </w:tc>
        <w:tc>
          <w:tcPr>
            <w:tcW w:w="1671" w:type="pct"/>
            <w:gridSpan w:val="4"/>
            <w:vAlign w:val="center"/>
          </w:tcPr>
          <w:p w14:paraId="3FA78D34">
            <w:pPr>
              <w:pStyle w:val="8"/>
              <w:suppressLineNumbers w:val="0"/>
              <w:bidi w:val="0"/>
              <w:spacing w:before="0" w:beforeAutospacing="0" w:after="0" w:afterAutospacing="0"/>
              <w:ind w:left="0" w:right="0"/>
              <w:rPr>
                <w:rFonts w:hint="default" w:eastAsia="宋体"/>
                <w:highlight w:val="none"/>
                <w:lang w:val="en-US" w:eastAsia="zh-CN"/>
              </w:rPr>
            </w:pPr>
            <w:r>
              <w:rPr>
                <w:rFonts w:hint="eastAsia"/>
                <w:highlight w:val="none"/>
                <w:lang w:val="en-US" w:eastAsia="zh-CN"/>
              </w:rPr>
              <w:t>20年</w:t>
            </w:r>
          </w:p>
        </w:tc>
      </w:tr>
      <w:tr w14:paraId="2203BC6F">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0" w:hRule="atLeast"/>
          <w:jc w:val="center"/>
        </w:trPr>
        <w:tc>
          <w:tcPr>
            <w:tcW w:w="829" w:type="pct"/>
            <w:vAlign w:val="center"/>
          </w:tcPr>
          <w:p w14:paraId="7B548271">
            <w:pPr>
              <w:pStyle w:val="8"/>
              <w:suppressLineNumbers w:val="0"/>
              <w:bidi w:val="0"/>
              <w:spacing w:before="0" w:beforeAutospacing="0" w:after="0" w:afterAutospacing="0"/>
              <w:ind w:left="0" w:right="0"/>
              <w:rPr>
                <w:rFonts w:hint="default"/>
                <w:highlight w:val="none"/>
              </w:rPr>
            </w:pPr>
            <w:r>
              <w:rPr>
                <w:rFonts w:hint="default"/>
                <w:highlight w:val="none"/>
              </w:rPr>
              <w:t>距离（m）</w:t>
            </w:r>
          </w:p>
        </w:tc>
        <w:tc>
          <w:tcPr>
            <w:tcW w:w="832" w:type="pct"/>
            <w:vAlign w:val="center"/>
          </w:tcPr>
          <w:p w14:paraId="186F5FC3">
            <w:pPr>
              <w:pStyle w:val="8"/>
              <w:suppressLineNumbers w:val="0"/>
              <w:bidi w:val="0"/>
              <w:spacing w:before="0" w:beforeAutospacing="0" w:after="0" w:afterAutospacing="0"/>
              <w:ind w:left="0" w:right="0"/>
              <w:rPr>
                <w:rFonts w:hint="default"/>
                <w:highlight w:val="none"/>
              </w:rPr>
            </w:pPr>
            <w:r>
              <w:rPr>
                <w:rFonts w:hint="default"/>
                <w:highlight w:val="none"/>
              </w:rPr>
              <w:t>浓度（mg/L）</w:t>
            </w:r>
          </w:p>
        </w:tc>
        <w:tc>
          <w:tcPr>
            <w:tcW w:w="833" w:type="pct"/>
            <w:gridSpan w:val="2"/>
            <w:vAlign w:val="center"/>
          </w:tcPr>
          <w:p w14:paraId="6BD65456">
            <w:pPr>
              <w:pStyle w:val="8"/>
              <w:suppressLineNumbers w:val="0"/>
              <w:bidi w:val="0"/>
              <w:spacing w:before="0" w:beforeAutospacing="0" w:after="0" w:afterAutospacing="0"/>
              <w:ind w:left="0" w:right="0"/>
              <w:rPr>
                <w:rFonts w:hint="default"/>
                <w:highlight w:val="none"/>
              </w:rPr>
            </w:pPr>
            <w:r>
              <w:rPr>
                <w:rFonts w:hint="default"/>
                <w:highlight w:val="none"/>
              </w:rPr>
              <w:t>距离（m）</w:t>
            </w:r>
          </w:p>
        </w:tc>
        <w:tc>
          <w:tcPr>
            <w:tcW w:w="833" w:type="pct"/>
            <w:gridSpan w:val="2"/>
            <w:vAlign w:val="center"/>
          </w:tcPr>
          <w:p w14:paraId="6484D94E">
            <w:pPr>
              <w:pStyle w:val="8"/>
              <w:suppressLineNumbers w:val="0"/>
              <w:bidi w:val="0"/>
              <w:spacing w:before="0" w:beforeAutospacing="0" w:after="0" w:afterAutospacing="0"/>
              <w:ind w:left="0" w:right="0"/>
              <w:rPr>
                <w:rFonts w:hint="default"/>
                <w:highlight w:val="none"/>
              </w:rPr>
            </w:pPr>
            <w:r>
              <w:rPr>
                <w:rFonts w:hint="default"/>
                <w:highlight w:val="none"/>
              </w:rPr>
              <w:t>浓度（mg/L）</w:t>
            </w:r>
          </w:p>
        </w:tc>
        <w:tc>
          <w:tcPr>
            <w:tcW w:w="833" w:type="pct"/>
            <w:gridSpan w:val="2"/>
            <w:shd w:val="clear" w:color="auto" w:fill="auto"/>
            <w:vAlign w:val="center"/>
          </w:tcPr>
          <w:p w14:paraId="54A72C60">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kern w:val="0"/>
                <w:sz w:val="21"/>
                <w:szCs w:val="24"/>
                <w:highlight w:val="none"/>
                <w:lang w:val="en-US" w:eastAsia="zh-CN" w:bidi="ar-SA"/>
              </w:rPr>
            </w:pPr>
            <w:r>
              <w:rPr>
                <w:rFonts w:hint="default"/>
                <w:highlight w:val="none"/>
              </w:rPr>
              <w:t>距离（m）</w:t>
            </w:r>
          </w:p>
        </w:tc>
        <w:tc>
          <w:tcPr>
            <w:tcW w:w="838" w:type="pct"/>
            <w:gridSpan w:val="2"/>
            <w:shd w:val="clear" w:color="auto" w:fill="auto"/>
            <w:vAlign w:val="center"/>
          </w:tcPr>
          <w:p w14:paraId="25D7185D">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kern w:val="0"/>
                <w:sz w:val="21"/>
                <w:szCs w:val="24"/>
                <w:highlight w:val="none"/>
                <w:lang w:val="en-US" w:eastAsia="zh-CN" w:bidi="ar-SA"/>
              </w:rPr>
            </w:pPr>
            <w:r>
              <w:rPr>
                <w:rFonts w:hint="default"/>
                <w:highlight w:val="none"/>
              </w:rPr>
              <w:t>浓度（mg/L）</w:t>
            </w:r>
          </w:p>
        </w:tc>
      </w:tr>
      <w:tr w14:paraId="37122A30">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0" w:hRule="atLeast"/>
          <w:jc w:val="center"/>
        </w:trPr>
        <w:tc>
          <w:tcPr>
            <w:tcW w:w="829" w:type="pct"/>
            <w:vAlign w:val="center"/>
          </w:tcPr>
          <w:p w14:paraId="7626D0D6">
            <w:pPr>
              <w:pStyle w:val="8"/>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color w:val="000000"/>
                <w:kern w:val="0"/>
                <w:sz w:val="21"/>
                <w:szCs w:val="24"/>
                <w:highlight w:val="none"/>
                <w:lang w:val="en-US" w:eastAsia="zh-CN" w:bidi="ar-SA"/>
              </w:rPr>
            </w:pPr>
            <w:r>
              <w:rPr>
                <w:rFonts w:hint="eastAsia"/>
                <w:highlight w:val="none"/>
                <w:lang w:val="en-US" w:eastAsia="zh-CN"/>
              </w:rPr>
              <w:t>0</w:t>
            </w:r>
          </w:p>
        </w:tc>
        <w:tc>
          <w:tcPr>
            <w:tcW w:w="832" w:type="pct"/>
            <w:vAlign w:val="center"/>
          </w:tcPr>
          <w:p w14:paraId="0226007C">
            <w:pPr>
              <w:pStyle w:val="8"/>
              <w:suppressLineNumbers w:val="0"/>
              <w:bidi w:val="0"/>
              <w:spacing w:before="0" w:beforeAutospacing="0" w:after="0" w:afterAutospacing="0"/>
              <w:ind w:left="0" w:right="0"/>
              <w:rPr>
                <w:rFonts w:hint="default"/>
                <w:highlight w:val="none"/>
              </w:rPr>
            </w:pPr>
            <w:r>
              <w:rPr>
                <w:rFonts w:hint="default"/>
                <w:highlight w:val="none"/>
              </w:rPr>
              <w:t>2.765693E+08</w:t>
            </w:r>
          </w:p>
        </w:tc>
        <w:tc>
          <w:tcPr>
            <w:tcW w:w="833" w:type="pct"/>
            <w:gridSpan w:val="2"/>
            <w:vAlign w:val="center"/>
          </w:tcPr>
          <w:p w14:paraId="38D37C14">
            <w:pPr>
              <w:pStyle w:val="8"/>
              <w:suppressLineNumbers w:val="0"/>
              <w:bidi w:val="0"/>
              <w:spacing w:before="0" w:beforeAutospacing="0" w:after="0" w:afterAutospacing="0"/>
              <w:ind w:left="0" w:right="0"/>
              <w:rPr>
                <w:rFonts w:hint="eastAsia" w:eastAsia="宋体"/>
                <w:highlight w:val="none"/>
                <w:lang w:eastAsia="zh-CN"/>
              </w:rPr>
            </w:pPr>
            <w:r>
              <w:rPr>
                <w:rFonts w:hint="eastAsia"/>
                <w:highlight w:val="none"/>
                <w:lang w:val="en-US" w:eastAsia="zh-CN"/>
              </w:rPr>
              <w:t>0</w:t>
            </w:r>
          </w:p>
        </w:tc>
        <w:tc>
          <w:tcPr>
            <w:tcW w:w="833" w:type="pct"/>
            <w:gridSpan w:val="2"/>
            <w:vAlign w:val="center"/>
          </w:tcPr>
          <w:p w14:paraId="3E9C64AC">
            <w:pPr>
              <w:pStyle w:val="8"/>
              <w:suppressLineNumbers w:val="0"/>
              <w:bidi w:val="0"/>
              <w:spacing w:before="0" w:beforeAutospacing="0" w:after="0" w:afterAutospacing="0"/>
              <w:ind w:left="0" w:right="0"/>
              <w:rPr>
                <w:rFonts w:hint="default"/>
                <w:highlight w:val="none"/>
              </w:rPr>
            </w:pPr>
            <w:r>
              <w:rPr>
                <w:rFonts w:hint="default"/>
                <w:highlight w:val="none"/>
              </w:rPr>
              <w:t>2.839375E+07</w:t>
            </w:r>
          </w:p>
        </w:tc>
        <w:tc>
          <w:tcPr>
            <w:tcW w:w="833" w:type="pct"/>
            <w:gridSpan w:val="2"/>
            <w:vAlign w:val="center"/>
          </w:tcPr>
          <w:p w14:paraId="3CB678AD">
            <w:pPr>
              <w:pStyle w:val="8"/>
              <w:suppressLineNumbers w:val="0"/>
              <w:bidi w:val="0"/>
              <w:spacing w:before="0" w:beforeAutospacing="0" w:after="0" w:afterAutospacing="0"/>
              <w:ind w:left="0" w:right="0"/>
              <w:rPr>
                <w:rFonts w:hint="eastAsia" w:eastAsia="宋体"/>
                <w:highlight w:val="none"/>
                <w:lang w:val="en-US" w:eastAsia="zh-CN"/>
              </w:rPr>
            </w:pPr>
            <w:r>
              <w:rPr>
                <w:rFonts w:hint="eastAsia"/>
                <w:highlight w:val="none"/>
                <w:lang w:val="en-US" w:eastAsia="zh-CN"/>
              </w:rPr>
              <w:t>0</w:t>
            </w:r>
          </w:p>
        </w:tc>
        <w:tc>
          <w:tcPr>
            <w:tcW w:w="838" w:type="pct"/>
            <w:gridSpan w:val="2"/>
            <w:vAlign w:val="center"/>
          </w:tcPr>
          <w:p w14:paraId="196C2C1B">
            <w:pPr>
              <w:pStyle w:val="8"/>
              <w:suppressLineNumbers w:val="0"/>
              <w:bidi w:val="0"/>
              <w:spacing w:before="0" w:beforeAutospacing="0" w:after="0" w:afterAutospacing="0"/>
              <w:ind w:left="0" w:right="0"/>
              <w:rPr>
                <w:rFonts w:hint="default"/>
                <w:highlight w:val="none"/>
              </w:rPr>
            </w:pPr>
            <w:r>
              <w:rPr>
                <w:rFonts w:hint="default"/>
                <w:highlight w:val="none"/>
              </w:rPr>
              <w:t>3994.773</w:t>
            </w:r>
          </w:p>
        </w:tc>
      </w:tr>
      <w:tr w14:paraId="070E9B8A">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0" w:hRule="atLeast"/>
          <w:jc w:val="center"/>
        </w:trPr>
        <w:tc>
          <w:tcPr>
            <w:tcW w:w="829" w:type="pct"/>
            <w:vAlign w:val="center"/>
          </w:tcPr>
          <w:p w14:paraId="2706EA6D">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kern w:val="0"/>
                <w:sz w:val="21"/>
                <w:szCs w:val="24"/>
                <w:highlight w:val="none"/>
                <w:lang w:val="en-US" w:eastAsia="zh-CN" w:bidi="ar-SA"/>
              </w:rPr>
            </w:pPr>
            <w:r>
              <w:rPr>
                <w:rFonts w:hint="eastAsia"/>
                <w:highlight w:val="none"/>
              </w:rPr>
              <w:t>50</w:t>
            </w:r>
          </w:p>
        </w:tc>
        <w:tc>
          <w:tcPr>
            <w:tcW w:w="832" w:type="pct"/>
            <w:vAlign w:val="center"/>
          </w:tcPr>
          <w:p w14:paraId="575327C6">
            <w:pPr>
              <w:pStyle w:val="8"/>
              <w:suppressLineNumbers w:val="0"/>
              <w:bidi w:val="0"/>
              <w:spacing w:before="0" w:beforeAutospacing="0" w:after="0" w:afterAutospacing="0"/>
              <w:ind w:left="0" w:right="0"/>
              <w:rPr>
                <w:rFonts w:hint="default"/>
                <w:highlight w:val="none"/>
              </w:rPr>
            </w:pPr>
            <w:r>
              <w:rPr>
                <w:rFonts w:hint="default"/>
                <w:highlight w:val="none"/>
              </w:rPr>
              <w:t>12556.23</w:t>
            </w:r>
          </w:p>
        </w:tc>
        <w:tc>
          <w:tcPr>
            <w:tcW w:w="833" w:type="pct"/>
            <w:gridSpan w:val="2"/>
            <w:vAlign w:val="center"/>
          </w:tcPr>
          <w:p w14:paraId="3749B77F">
            <w:pPr>
              <w:pStyle w:val="8"/>
              <w:suppressLineNumbers w:val="0"/>
              <w:bidi w:val="0"/>
              <w:spacing w:before="0" w:beforeAutospacing="0" w:after="0" w:afterAutospacing="0"/>
              <w:ind w:left="0" w:right="0"/>
              <w:rPr>
                <w:rFonts w:hint="default"/>
                <w:highlight w:val="none"/>
              </w:rPr>
            </w:pPr>
            <w:r>
              <w:rPr>
                <w:rFonts w:hint="eastAsia"/>
                <w:highlight w:val="none"/>
              </w:rPr>
              <w:t>50</w:t>
            </w:r>
          </w:p>
        </w:tc>
        <w:tc>
          <w:tcPr>
            <w:tcW w:w="833" w:type="pct"/>
            <w:gridSpan w:val="2"/>
            <w:vAlign w:val="center"/>
          </w:tcPr>
          <w:p w14:paraId="0FFD14F6">
            <w:pPr>
              <w:pStyle w:val="8"/>
              <w:suppressLineNumbers w:val="0"/>
              <w:bidi w:val="0"/>
              <w:spacing w:before="0" w:beforeAutospacing="0" w:after="0" w:afterAutospacing="0"/>
              <w:ind w:left="0" w:right="0"/>
              <w:rPr>
                <w:rFonts w:hint="default"/>
                <w:highlight w:val="none"/>
              </w:rPr>
            </w:pPr>
            <w:r>
              <w:rPr>
                <w:rFonts w:hint="default"/>
                <w:highlight w:val="none"/>
              </w:rPr>
              <w:t>9.910393E+07</w:t>
            </w:r>
          </w:p>
        </w:tc>
        <w:tc>
          <w:tcPr>
            <w:tcW w:w="833" w:type="pct"/>
            <w:gridSpan w:val="2"/>
            <w:vAlign w:val="center"/>
          </w:tcPr>
          <w:p w14:paraId="7F30FEA8">
            <w:pPr>
              <w:pStyle w:val="8"/>
              <w:suppressLineNumbers w:val="0"/>
              <w:bidi w:val="0"/>
              <w:spacing w:before="0" w:beforeAutospacing="0" w:after="0" w:afterAutospacing="0"/>
              <w:ind w:left="0" w:right="0"/>
              <w:rPr>
                <w:rFonts w:hint="default" w:eastAsia="宋体"/>
                <w:highlight w:val="none"/>
                <w:lang w:val="en-US" w:eastAsia="zh-CN"/>
              </w:rPr>
            </w:pPr>
            <w:r>
              <w:rPr>
                <w:rFonts w:hint="eastAsia"/>
                <w:highlight w:val="none"/>
                <w:lang w:val="en-US" w:eastAsia="zh-CN"/>
              </w:rPr>
              <w:t>50</w:t>
            </w:r>
          </w:p>
        </w:tc>
        <w:tc>
          <w:tcPr>
            <w:tcW w:w="838" w:type="pct"/>
            <w:gridSpan w:val="2"/>
            <w:vAlign w:val="center"/>
          </w:tcPr>
          <w:p w14:paraId="65A16606">
            <w:pPr>
              <w:pStyle w:val="8"/>
              <w:suppressLineNumbers w:val="0"/>
              <w:bidi w:val="0"/>
              <w:spacing w:before="0" w:beforeAutospacing="0" w:after="0" w:afterAutospacing="0"/>
              <w:ind w:left="0" w:right="0"/>
              <w:rPr>
                <w:rFonts w:hint="default"/>
                <w:highlight w:val="none"/>
              </w:rPr>
            </w:pPr>
            <w:r>
              <w:rPr>
                <w:rFonts w:hint="default"/>
                <w:highlight w:val="none"/>
              </w:rPr>
              <w:t>41007.46</w:t>
            </w:r>
          </w:p>
        </w:tc>
      </w:tr>
      <w:tr w14:paraId="7D3627CA">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0" w:hRule="atLeast"/>
          <w:jc w:val="center"/>
        </w:trPr>
        <w:tc>
          <w:tcPr>
            <w:tcW w:w="829" w:type="pct"/>
            <w:vAlign w:val="center"/>
          </w:tcPr>
          <w:p w14:paraId="499E7E7E">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kern w:val="0"/>
                <w:sz w:val="21"/>
                <w:szCs w:val="24"/>
                <w:highlight w:val="none"/>
                <w:lang w:val="en-US" w:eastAsia="zh-CN" w:bidi="ar-SA"/>
              </w:rPr>
            </w:pPr>
            <w:r>
              <w:rPr>
                <w:rFonts w:hint="eastAsia"/>
                <w:highlight w:val="none"/>
                <w:lang w:val="en-US" w:eastAsia="zh-CN"/>
              </w:rPr>
              <w:t>60</w:t>
            </w:r>
          </w:p>
        </w:tc>
        <w:tc>
          <w:tcPr>
            <w:tcW w:w="832" w:type="pct"/>
            <w:vAlign w:val="center"/>
          </w:tcPr>
          <w:p w14:paraId="0F266723">
            <w:pPr>
              <w:pStyle w:val="8"/>
              <w:suppressLineNumbers w:val="0"/>
              <w:bidi w:val="0"/>
              <w:spacing w:before="0" w:beforeAutospacing="0" w:after="0" w:afterAutospacing="0"/>
              <w:ind w:left="0" w:right="0"/>
              <w:rPr>
                <w:rFonts w:hint="default"/>
                <w:highlight w:val="none"/>
              </w:rPr>
            </w:pPr>
            <w:r>
              <w:rPr>
                <w:rFonts w:hint="default"/>
                <w:highlight w:val="none"/>
              </w:rPr>
              <w:t>84.60321</w:t>
            </w:r>
          </w:p>
        </w:tc>
        <w:tc>
          <w:tcPr>
            <w:tcW w:w="833" w:type="pct"/>
            <w:gridSpan w:val="2"/>
            <w:vAlign w:val="center"/>
          </w:tcPr>
          <w:p w14:paraId="190A1F3A">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100</w:t>
            </w:r>
          </w:p>
        </w:tc>
        <w:tc>
          <w:tcPr>
            <w:tcW w:w="833" w:type="pct"/>
            <w:gridSpan w:val="2"/>
            <w:vAlign w:val="center"/>
          </w:tcPr>
          <w:p w14:paraId="58CD1429">
            <w:pPr>
              <w:pStyle w:val="8"/>
              <w:suppressLineNumbers w:val="0"/>
              <w:bidi w:val="0"/>
              <w:spacing w:before="0" w:beforeAutospacing="0" w:after="0" w:afterAutospacing="0"/>
              <w:ind w:left="0" w:right="0"/>
              <w:rPr>
                <w:rFonts w:hint="default"/>
                <w:highlight w:val="none"/>
              </w:rPr>
            </w:pPr>
            <w:r>
              <w:rPr>
                <w:rFonts w:hint="default"/>
                <w:highlight w:val="none"/>
              </w:rPr>
              <w:t>2.839375E+07</w:t>
            </w:r>
          </w:p>
        </w:tc>
        <w:tc>
          <w:tcPr>
            <w:tcW w:w="833" w:type="pct"/>
            <w:gridSpan w:val="2"/>
            <w:shd w:val="clear" w:color="auto" w:fill="auto"/>
            <w:vAlign w:val="center"/>
          </w:tcPr>
          <w:p w14:paraId="10F796AB">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kern w:val="0"/>
                <w:sz w:val="21"/>
                <w:szCs w:val="24"/>
                <w:highlight w:val="none"/>
                <w:lang w:val="en-US" w:eastAsia="zh-CN" w:bidi="ar-SA"/>
              </w:rPr>
            </w:pPr>
            <w:r>
              <w:rPr>
                <w:rFonts w:hint="default"/>
                <w:highlight w:val="none"/>
              </w:rPr>
              <w:t>200</w:t>
            </w:r>
          </w:p>
        </w:tc>
        <w:tc>
          <w:tcPr>
            <w:tcW w:w="838" w:type="pct"/>
            <w:gridSpan w:val="2"/>
            <w:shd w:val="clear" w:color="auto" w:fill="auto"/>
            <w:vAlign w:val="center"/>
          </w:tcPr>
          <w:p w14:paraId="2BEF079E">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kern w:val="0"/>
                <w:sz w:val="21"/>
                <w:szCs w:val="24"/>
                <w:highlight w:val="none"/>
                <w:lang w:val="en-US" w:eastAsia="zh-CN" w:bidi="ar-SA"/>
              </w:rPr>
            </w:pPr>
            <w:r>
              <w:rPr>
                <w:rFonts w:hint="default"/>
                <w:highlight w:val="none"/>
              </w:rPr>
              <w:t>5683151</w:t>
            </w:r>
          </w:p>
        </w:tc>
      </w:tr>
      <w:tr w14:paraId="4980F254">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0" w:hRule="atLeast"/>
          <w:jc w:val="center"/>
        </w:trPr>
        <w:tc>
          <w:tcPr>
            <w:tcW w:w="829" w:type="pct"/>
            <w:vAlign w:val="center"/>
          </w:tcPr>
          <w:p w14:paraId="3D9CEB5E">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kern w:val="0"/>
                <w:sz w:val="21"/>
                <w:szCs w:val="24"/>
                <w:highlight w:val="none"/>
                <w:lang w:val="en-US" w:eastAsia="zh-CN" w:bidi="ar-SA"/>
              </w:rPr>
            </w:pPr>
            <w:r>
              <w:rPr>
                <w:rFonts w:hint="eastAsia"/>
                <w:highlight w:val="none"/>
                <w:lang w:val="en-US" w:eastAsia="zh-CN"/>
              </w:rPr>
              <w:t>70</w:t>
            </w:r>
          </w:p>
        </w:tc>
        <w:tc>
          <w:tcPr>
            <w:tcW w:w="832" w:type="pct"/>
            <w:vAlign w:val="center"/>
          </w:tcPr>
          <w:p w14:paraId="20A194BB">
            <w:pPr>
              <w:pStyle w:val="8"/>
              <w:suppressLineNumbers w:val="0"/>
              <w:bidi w:val="0"/>
              <w:spacing w:before="0" w:beforeAutospacing="0" w:after="0" w:afterAutospacing="0"/>
              <w:ind w:left="0" w:right="0"/>
              <w:rPr>
                <w:rFonts w:hint="default"/>
                <w:highlight w:val="none"/>
              </w:rPr>
            </w:pPr>
            <w:r>
              <w:rPr>
                <w:rFonts w:hint="default"/>
                <w:highlight w:val="none"/>
              </w:rPr>
              <w:t>0.2097104</w:t>
            </w:r>
          </w:p>
        </w:tc>
        <w:tc>
          <w:tcPr>
            <w:tcW w:w="833" w:type="pct"/>
            <w:gridSpan w:val="2"/>
            <w:vAlign w:val="center"/>
          </w:tcPr>
          <w:p w14:paraId="37EBD195">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200</w:t>
            </w:r>
          </w:p>
        </w:tc>
        <w:tc>
          <w:tcPr>
            <w:tcW w:w="833" w:type="pct"/>
            <w:gridSpan w:val="2"/>
            <w:vAlign w:val="center"/>
          </w:tcPr>
          <w:p w14:paraId="4BE1DF14">
            <w:pPr>
              <w:pStyle w:val="8"/>
              <w:suppressLineNumbers w:val="0"/>
              <w:bidi w:val="0"/>
              <w:spacing w:before="0" w:beforeAutospacing="0" w:after="0" w:afterAutospacing="0"/>
              <w:ind w:left="0" w:right="0"/>
              <w:rPr>
                <w:rFonts w:hint="default"/>
                <w:highlight w:val="none"/>
              </w:rPr>
            </w:pPr>
            <w:r>
              <w:rPr>
                <w:rFonts w:hint="default"/>
                <w:highlight w:val="none"/>
              </w:rPr>
              <w:t>1289.074</w:t>
            </w:r>
          </w:p>
        </w:tc>
        <w:tc>
          <w:tcPr>
            <w:tcW w:w="833" w:type="pct"/>
            <w:gridSpan w:val="2"/>
            <w:shd w:val="clear" w:color="auto" w:fill="auto"/>
            <w:vAlign w:val="center"/>
          </w:tcPr>
          <w:p w14:paraId="7422C766">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kern w:val="0"/>
                <w:sz w:val="21"/>
                <w:szCs w:val="24"/>
                <w:highlight w:val="none"/>
                <w:lang w:val="en-US" w:eastAsia="zh-CN" w:bidi="ar-SA"/>
              </w:rPr>
            </w:pPr>
            <w:r>
              <w:rPr>
                <w:rFonts w:hint="default"/>
                <w:highlight w:val="none"/>
              </w:rPr>
              <w:t>500</w:t>
            </w:r>
          </w:p>
        </w:tc>
        <w:tc>
          <w:tcPr>
            <w:tcW w:w="838" w:type="pct"/>
            <w:gridSpan w:val="2"/>
            <w:shd w:val="clear" w:color="auto" w:fill="auto"/>
            <w:vAlign w:val="center"/>
          </w:tcPr>
          <w:p w14:paraId="22FC1DC0">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kern w:val="0"/>
                <w:sz w:val="21"/>
                <w:szCs w:val="24"/>
                <w:highlight w:val="none"/>
                <w:lang w:val="en-US" w:eastAsia="zh-CN" w:bidi="ar-SA"/>
              </w:rPr>
            </w:pPr>
            <w:r>
              <w:rPr>
                <w:rFonts w:hint="default"/>
                <w:highlight w:val="none"/>
              </w:rPr>
              <w:t>1.052701E+07</w:t>
            </w:r>
          </w:p>
        </w:tc>
      </w:tr>
      <w:tr w14:paraId="2387F7D6">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0" w:hRule="atLeast"/>
          <w:jc w:val="center"/>
        </w:trPr>
        <w:tc>
          <w:tcPr>
            <w:tcW w:w="829" w:type="pct"/>
            <w:vAlign w:val="center"/>
          </w:tcPr>
          <w:p w14:paraId="4B96842C">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72</w:t>
            </w:r>
          </w:p>
        </w:tc>
        <w:tc>
          <w:tcPr>
            <w:tcW w:w="832" w:type="pct"/>
            <w:vAlign w:val="center"/>
          </w:tcPr>
          <w:p w14:paraId="48D77913">
            <w:pPr>
              <w:pStyle w:val="8"/>
              <w:suppressLineNumbers w:val="0"/>
              <w:bidi w:val="0"/>
              <w:spacing w:before="0" w:beforeAutospacing="0" w:after="0" w:afterAutospacing="0"/>
              <w:ind w:left="0" w:right="0"/>
              <w:rPr>
                <w:rFonts w:hint="default"/>
                <w:highlight w:val="none"/>
              </w:rPr>
            </w:pPr>
            <w:r>
              <w:rPr>
                <w:rFonts w:hint="default"/>
                <w:highlight w:val="none"/>
              </w:rPr>
              <w:t>0.05602105</w:t>
            </w:r>
          </w:p>
        </w:tc>
        <w:tc>
          <w:tcPr>
            <w:tcW w:w="833" w:type="pct"/>
            <w:gridSpan w:val="2"/>
            <w:vAlign w:val="center"/>
          </w:tcPr>
          <w:p w14:paraId="2CA6F31D">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256</w:t>
            </w:r>
          </w:p>
        </w:tc>
        <w:tc>
          <w:tcPr>
            <w:tcW w:w="833" w:type="pct"/>
            <w:gridSpan w:val="2"/>
            <w:vAlign w:val="center"/>
          </w:tcPr>
          <w:p w14:paraId="259F6F87">
            <w:pPr>
              <w:pStyle w:val="8"/>
              <w:suppressLineNumbers w:val="0"/>
              <w:bidi w:val="0"/>
              <w:spacing w:before="0" w:beforeAutospacing="0" w:after="0" w:afterAutospacing="0"/>
              <w:ind w:left="0" w:right="0"/>
              <w:rPr>
                <w:rFonts w:hint="default"/>
                <w:highlight w:val="none"/>
              </w:rPr>
            </w:pPr>
            <w:r>
              <w:rPr>
                <w:rFonts w:hint="default"/>
                <w:highlight w:val="none"/>
              </w:rPr>
              <w:t>0.06042694</w:t>
            </w:r>
          </w:p>
        </w:tc>
        <w:tc>
          <w:tcPr>
            <w:tcW w:w="833" w:type="pct"/>
            <w:gridSpan w:val="2"/>
            <w:shd w:val="clear" w:color="auto" w:fill="auto"/>
            <w:vAlign w:val="center"/>
          </w:tcPr>
          <w:p w14:paraId="418EAB0F">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kern w:val="0"/>
                <w:sz w:val="21"/>
                <w:szCs w:val="24"/>
                <w:highlight w:val="none"/>
                <w:lang w:val="en-US" w:eastAsia="zh-CN" w:bidi="ar-SA"/>
              </w:rPr>
            </w:pPr>
            <w:r>
              <w:rPr>
                <w:rFonts w:hint="default"/>
                <w:highlight w:val="none"/>
              </w:rPr>
              <w:t>900</w:t>
            </w:r>
          </w:p>
        </w:tc>
        <w:tc>
          <w:tcPr>
            <w:tcW w:w="838" w:type="pct"/>
            <w:gridSpan w:val="2"/>
            <w:shd w:val="clear" w:color="auto" w:fill="auto"/>
            <w:vAlign w:val="center"/>
          </w:tcPr>
          <w:p w14:paraId="66487CA0">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kern w:val="0"/>
                <w:sz w:val="21"/>
                <w:szCs w:val="24"/>
                <w:highlight w:val="none"/>
                <w:lang w:val="en-US" w:eastAsia="zh-CN" w:bidi="ar-SA"/>
              </w:rPr>
            </w:pPr>
            <w:r>
              <w:rPr>
                <w:rFonts w:hint="default"/>
                <w:highlight w:val="none"/>
              </w:rPr>
              <w:t>0.1122857</w:t>
            </w:r>
          </w:p>
        </w:tc>
      </w:tr>
      <w:tr w14:paraId="022006F6">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0" w:hRule="atLeast"/>
          <w:jc w:val="center"/>
        </w:trPr>
        <w:tc>
          <w:tcPr>
            <w:tcW w:w="829" w:type="pct"/>
            <w:vAlign w:val="center"/>
          </w:tcPr>
          <w:p w14:paraId="183EE0A0">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73</w:t>
            </w:r>
          </w:p>
        </w:tc>
        <w:tc>
          <w:tcPr>
            <w:tcW w:w="832" w:type="pct"/>
            <w:vAlign w:val="center"/>
          </w:tcPr>
          <w:p w14:paraId="17EAFC9D">
            <w:pPr>
              <w:pStyle w:val="8"/>
              <w:suppressLineNumbers w:val="0"/>
              <w:bidi w:val="0"/>
              <w:spacing w:before="0" w:beforeAutospacing="0" w:after="0" w:afterAutospacing="0"/>
              <w:ind w:left="0" w:right="0"/>
              <w:rPr>
                <w:rFonts w:hint="default"/>
                <w:highlight w:val="none"/>
              </w:rPr>
            </w:pPr>
            <w:r>
              <w:rPr>
                <w:rFonts w:hint="default"/>
                <w:highlight w:val="none"/>
              </w:rPr>
              <w:t>0.02852348</w:t>
            </w:r>
          </w:p>
        </w:tc>
        <w:tc>
          <w:tcPr>
            <w:tcW w:w="833" w:type="pct"/>
            <w:gridSpan w:val="2"/>
            <w:vAlign w:val="center"/>
          </w:tcPr>
          <w:p w14:paraId="79A75E44">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257</w:t>
            </w:r>
          </w:p>
        </w:tc>
        <w:tc>
          <w:tcPr>
            <w:tcW w:w="833" w:type="pct"/>
            <w:gridSpan w:val="2"/>
            <w:vAlign w:val="center"/>
          </w:tcPr>
          <w:p w14:paraId="249E0F37">
            <w:pPr>
              <w:pStyle w:val="8"/>
              <w:suppressLineNumbers w:val="0"/>
              <w:bidi w:val="0"/>
              <w:spacing w:before="0" w:beforeAutospacing="0" w:after="0" w:afterAutospacing="0"/>
              <w:ind w:left="0" w:right="0"/>
              <w:rPr>
                <w:rFonts w:hint="default"/>
                <w:highlight w:val="none"/>
              </w:rPr>
            </w:pPr>
            <w:r>
              <w:rPr>
                <w:rFonts w:hint="default"/>
                <w:highlight w:val="none"/>
              </w:rPr>
              <w:t>0.04915286</w:t>
            </w:r>
          </w:p>
        </w:tc>
        <w:tc>
          <w:tcPr>
            <w:tcW w:w="833" w:type="pct"/>
            <w:gridSpan w:val="2"/>
            <w:shd w:val="clear" w:color="auto" w:fill="auto"/>
            <w:vAlign w:val="center"/>
          </w:tcPr>
          <w:p w14:paraId="4890CE6C">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kern w:val="0"/>
                <w:sz w:val="21"/>
                <w:szCs w:val="24"/>
                <w:highlight w:val="none"/>
                <w:lang w:val="en-US" w:eastAsia="zh-CN" w:bidi="ar-SA"/>
              </w:rPr>
            </w:pPr>
            <w:r>
              <w:rPr>
                <w:rFonts w:hint="eastAsia"/>
                <w:highlight w:val="none"/>
                <w:lang w:val="en-US" w:eastAsia="zh-CN"/>
              </w:rPr>
              <w:t>910</w:t>
            </w:r>
          </w:p>
        </w:tc>
        <w:tc>
          <w:tcPr>
            <w:tcW w:w="838" w:type="pct"/>
            <w:gridSpan w:val="2"/>
            <w:shd w:val="clear" w:color="auto" w:fill="auto"/>
            <w:vAlign w:val="center"/>
          </w:tcPr>
          <w:p w14:paraId="5CA6160F">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kern w:val="0"/>
                <w:sz w:val="21"/>
                <w:szCs w:val="24"/>
                <w:highlight w:val="none"/>
                <w:lang w:val="en-US" w:eastAsia="zh-CN" w:bidi="ar-SA"/>
              </w:rPr>
            </w:pPr>
            <w:r>
              <w:rPr>
                <w:rFonts w:hint="default"/>
                <w:highlight w:val="none"/>
              </w:rPr>
              <w:t>0.05358773</w:t>
            </w:r>
          </w:p>
        </w:tc>
      </w:tr>
      <w:tr w14:paraId="358963A7">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0" w:hRule="atLeast"/>
          <w:jc w:val="center"/>
        </w:trPr>
        <w:tc>
          <w:tcPr>
            <w:tcW w:w="830" w:type="pct"/>
            <w:vAlign w:val="center"/>
          </w:tcPr>
          <w:p w14:paraId="6B25A22F">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80</w:t>
            </w:r>
          </w:p>
        </w:tc>
        <w:tc>
          <w:tcPr>
            <w:tcW w:w="833" w:type="pct"/>
            <w:gridSpan w:val="2"/>
            <w:vAlign w:val="center"/>
          </w:tcPr>
          <w:p w14:paraId="758CB392">
            <w:pPr>
              <w:pStyle w:val="8"/>
              <w:suppressLineNumbers w:val="0"/>
              <w:bidi w:val="0"/>
              <w:spacing w:before="0" w:beforeAutospacing="0" w:after="0" w:afterAutospacing="0"/>
              <w:ind w:left="0" w:right="0"/>
              <w:rPr>
                <w:rFonts w:hint="default"/>
                <w:highlight w:val="none"/>
              </w:rPr>
            </w:pPr>
            <w:r>
              <w:rPr>
                <w:rFonts w:hint="default"/>
                <w:highlight w:val="none"/>
              </w:rPr>
              <w:t>0.0001912311</w:t>
            </w:r>
          </w:p>
        </w:tc>
        <w:tc>
          <w:tcPr>
            <w:tcW w:w="833" w:type="pct"/>
            <w:gridSpan w:val="2"/>
            <w:vAlign w:val="center"/>
          </w:tcPr>
          <w:p w14:paraId="3B19D13B">
            <w:pPr>
              <w:pStyle w:val="8"/>
              <w:suppressLineNumbers w:val="0"/>
              <w:bidi w:val="0"/>
              <w:spacing w:before="0" w:beforeAutospacing="0" w:after="0" w:afterAutospacing="0"/>
              <w:ind w:left="0" w:right="0"/>
              <w:rPr>
                <w:rFonts w:hint="default" w:eastAsia="宋体"/>
                <w:highlight w:val="none"/>
                <w:lang w:val="en-US" w:eastAsia="zh-CN"/>
              </w:rPr>
            </w:pPr>
            <w:r>
              <w:rPr>
                <w:rFonts w:hint="eastAsia"/>
                <w:highlight w:val="none"/>
                <w:lang w:val="en-US" w:eastAsia="zh-CN"/>
              </w:rPr>
              <w:t>265</w:t>
            </w:r>
          </w:p>
        </w:tc>
        <w:tc>
          <w:tcPr>
            <w:tcW w:w="833" w:type="pct"/>
            <w:gridSpan w:val="2"/>
            <w:vAlign w:val="center"/>
          </w:tcPr>
          <w:p w14:paraId="392BCA7A">
            <w:pPr>
              <w:pStyle w:val="8"/>
              <w:suppressLineNumbers w:val="0"/>
              <w:bidi w:val="0"/>
              <w:spacing w:before="0" w:beforeAutospacing="0" w:after="0" w:afterAutospacing="0"/>
              <w:ind w:left="0" w:right="0"/>
              <w:rPr>
                <w:rFonts w:hint="default"/>
                <w:highlight w:val="none"/>
              </w:rPr>
            </w:pPr>
            <w:r>
              <w:rPr>
                <w:rFonts w:hint="default"/>
                <w:highlight w:val="none"/>
              </w:rPr>
              <w:t>0.00908782</w:t>
            </w:r>
          </w:p>
        </w:tc>
        <w:tc>
          <w:tcPr>
            <w:tcW w:w="833" w:type="pct"/>
            <w:gridSpan w:val="2"/>
            <w:shd w:val="clear" w:color="auto" w:fill="auto"/>
            <w:vAlign w:val="center"/>
          </w:tcPr>
          <w:p w14:paraId="6E56B91F">
            <w:pPr>
              <w:pStyle w:val="8"/>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color w:val="000000"/>
                <w:kern w:val="0"/>
                <w:sz w:val="21"/>
                <w:szCs w:val="24"/>
                <w:highlight w:val="none"/>
                <w:lang w:val="en-US" w:eastAsia="zh-CN" w:bidi="ar-SA"/>
              </w:rPr>
            </w:pPr>
            <w:r>
              <w:rPr>
                <w:rFonts w:hint="default"/>
                <w:highlight w:val="none"/>
              </w:rPr>
              <w:t>91</w:t>
            </w:r>
            <w:r>
              <w:rPr>
                <w:rFonts w:hint="eastAsia"/>
                <w:highlight w:val="none"/>
                <w:lang w:val="en-US" w:eastAsia="zh-CN"/>
              </w:rPr>
              <w:t>1</w:t>
            </w:r>
          </w:p>
        </w:tc>
        <w:tc>
          <w:tcPr>
            <w:tcW w:w="836" w:type="pct"/>
            <w:shd w:val="clear" w:color="auto" w:fill="auto"/>
            <w:vAlign w:val="center"/>
          </w:tcPr>
          <w:p w14:paraId="2C1C2332">
            <w:pPr>
              <w:pStyle w:val="8"/>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000000"/>
                <w:kern w:val="0"/>
                <w:sz w:val="21"/>
                <w:szCs w:val="24"/>
                <w:highlight w:val="none"/>
                <w:lang w:val="en-US" w:eastAsia="zh-CN" w:bidi="ar-SA"/>
              </w:rPr>
            </w:pPr>
            <w:r>
              <w:rPr>
                <w:rFonts w:hint="default"/>
                <w:highlight w:val="none"/>
              </w:rPr>
              <w:t>0.04972929</w:t>
            </w:r>
          </w:p>
        </w:tc>
      </w:tr>
      <w:tr w14:paraId="2BD8EAD0">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0" w:hRule="atLeast"/>
          <w:jc w:val="center"/>
        </w:trPr>
        <w:tc>
          <w:tcPr>
            <w:tcW w:w="830" w:type="pct"/>
            <w:vAlign w:val="center"/>
          </w:tcPr>
          <w:p w14:paraId="231A8B5F">
            <w:pPr>
              <w:pStyle w:val="8"/>
              <w:suppressLineNumbers w:val="0"/>
              <w:bidi w:val="0"/>
              <w:spacing w:before="0" w:beforeAutospacing="0" w:after="0" w:afterAutospacing="0"/>
              <w:ind w:left="0" w:right="0"/>
              <w:rPr>
                <w:rFonts w:hint="default" w:eastAsia="宋体"/>
                <w:highlight w:val="none"/>
                <w:lang w:val="en-US" w:eastAsia="zh-CN"/>
              </w:rPr>
            </w:pPr>
            <w:r>
              <w:rPr>
                <w:rFonts w:hint="eastAsia"/>
                <w:highlight w:val="none"/>
                <w:lang w:val="en-US" w:eastAsia="zh-CN"/>
              </w:rPr>
              <w:t>162</w:t>
            </w:r>
          </w:p>
        </w:tc>
        <w:tc>
          <w:tcPr>
            <w:tcW w:w="833" w:type="pct"/>
            <w:gridSpan w:val="2"/>
            <w:vAlign w:val="center"/>
          </w:tcPr>
          <w:p w14:paraId="38A83F23">
            <w:pPr>
              <w:pStyle w:val="8"/>
              <w:suppressLineNumbers w:val="0"/>
              <w:bidi w:val="0"/>
              <w:spacing w:before="0" w:beforeAutospacing="0" w:after="0" w:afterAutospacing="0"/>
              <w:ind w:left="0" w:right="0"/>
              <w:rPr>
                <w:rFonts w:hint="default"/>
                <w:highlight w:val="none"/>
              </w:rPr>
            </w:pPr>
            <w:r>
              <w:rPr>
                <w:rFonts w:hint="default"/>
                <w:highlight w:val="none"/>
              </w:rPr>
              <w:t>1.401298E-45</w:t>
            </w:r>
          </w:p>
        </w:tc>
        <w:tc>
          <w:tcPr>
            <w:tcW w:w="833" w:type="pct"/>
            <w:gridSpan w:val="2"/>
            <w:vAlign w:val="center"/>
          </w:tcPr>
          <w:p w14:paraId="079CE6E2">
            <w:pPr>
              <w:pStyle w:val="8"/>
              <w:suppressLineNumbers w:val="0"/>
              <w:bidi w:val="0"/>
              <w:spacing w:before="0" w:beforeAutospacing="0" w:after="0" w:afterAutospacing="0"/>
              <w:ind w:left="0" w:right="0"/>
              <w:rPr>
                <w:rFonts w:hint="default" w:eastAsia="宋体"/>
                <w:highlight w:val="none"/>
                <w:lang w:val="en-US" w:eastAsia="zh-CN"/>
              </w:rPr>
            </w:pPr>
            <w:r>
              <w:rPr>
                <w:rFonts w:hint="eastAsia"/>
                <w:highlight w:val="none"/>
                <w:lang w:val="en-US" w:eastAsia="zh-CN"/>
              </w:rPr>
              <w:t>544</w:t>
            </w:r>
          </w:p>
        </w:tc>
        <w:tc>
          <w:tcPr>
            <w:tcW w:w="833" w:type="pct"/>
            <w:gridSpan w:val="2"/>
            <w:vAlign w:val="center"/>
          </w:tcPr>
          <w:p w14:paraId="7BF9EE5A">
            <w:pPr>
              <w:pStyle w:val="8"/>
              <w:suppressLineNumbers w:val="0"/>
              <w:bidi w:val="0"/>
              <w:spacing w:before="0" w:beforeAutospacing="0" w:after="0" w:afterAutospacing="0"/>
              <w:ind w:left="0" w:right="0"/>
              <w:rPr>
                <w:rFonts w:hint="default"/>
                <w:highlight w:val="none"/>
              </w:rPr>
            </w:pPr>
            <w:r>
              <w:rPr>
                <w:rFonts w:hint="default"/>
                <w:highlight w:val="none"/>
              </w:rPr>
              <w:t>1.401298E-45</w:t>
            </w:r>
          </w:p>
        </w:tc>
        <w:tc>
          <w:tcPr>
            <w:tcW w:w="833" w:type="pct"/>
            <w:gridSpan w:val="2"/>
            <w:vAlign w:val="center"/>
          </w:tcPr>
          <w:p w14:paraId="1DEC2AFE">
            <w:pPr>
              <w:pStyle w:val="8"/>
              <w:suppressLineNumbers w:val="0"/>
              <w:bidi w:val="0"/>
              <w:spacing w:before="0" w:beforeAutospacing="0" w:after="0" w:afterAutospacing="0"/>
              <w:ind w:left="0" w:right="0"/>
              <w:rPr>
                <w:rFonts w:hint="default"/>
                <w:highlight w:val="none"/>
              </w:rPr>
            </w:pPr>
            <w:r>
              <w:rPr>
                <w:rFonts w:hint="default"/>
                <w:highlight w:val="none"/>
              </w:rPr>
              <w:t>1696</w:t>
            </w:r>
          </w:p>
        </w:tc>
        <w:tc>
          <w:tcPr>
            <w:tcW w:w="836" w:type="pct"/>
            <w:vAlign w:val="center"/>
          </w:tcPr>
          <w:p w14:paraId="26A0392F">
            <w:pPr>
              <w:pStyle w:val="8"/>
              <w:suppressLineNumbers w:val="0"/>
              <w:bidi w:val="0"/>
              <w:spacing w:before="0" w:beforeAutospacing="0" w:after="0" w:afterAutospacing="0"/>
              <w:ind w:left="0" w:right="0"/>
              <w:rPr>
                <w:rFonts w:hint="default"/>
                <w:highlight w:val="none"/>
              </w:rPr>
            </w:pPr>
            <w:r>
              <w:rPr>
                <w:rFonts w:hint="default"/>
                <w:highlight w:val="none"/>
              </w:rPr>
              <w:t>1.401298E-45</w:t>
            </w:r>
          </w:p>
        </w:tc>
      </w:tr>
      <w:tr w14:paraId="67175CD0">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0" w:hRule="atLeast"/>
          <w:jc w:val="center"/>
        </w:trPr>
        <w:tc>
          <w:tcPr>
            <w:tcW w:w="830" w:type="pct"/>
            <w:vAlign w:val="center"/>
          </w:tcPr>
          <w:p w14:paraId="176869CF">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163</w:t>
            </w:r>
          </w:p>
        </w:tc>
        <w:tc>
          <w:tcPr>
            <w:tcW w:w="833" w:type="pct"/>
            <w:gridSpan w:val="2"/>
            <w:vAlign w:val="center"/>
          </w:tcPr>
          <w:p w14:paraId="59AEE0D7">
            <w:pPr>
              <w:pStyle w:val="8"/>
              <w:suppressLineNumbers w:val="0"/>
              <w:bidi w:val="0"/>
              <w:spacing w:before="0" w:beforeAutospacing="0" w:after="0" w:afterAutospacing="0"/>
              <w:ind w:left="0" w:right="0"/>
              <w:rPr>
                <w:rFonts w:hint="eastAsia" w:eastAsia="宋体"/>
                <w:highlight w:val="none"/>
                <w:lang w:eastAsia="zh-CN"/>
              </w:rPr>
            </w:pPr>
            <w:r>
              <w:rPr>
                <w:rFonts w:hint="eastAsia"/>
                <w:highlight w:val="none"/>
                <w:lang w:val="en-US" w:eastAsia="zh-CN"/>
              </w:rPr>
              <w:t>0</w:t>
            </w:r>
          </w:p>
        </w:tc>
        <w:tc>
          <w:tcPr>
            <w:tcW w:w="833" w:type="pct"/>
            <w:gridSpan w:val="2"/>
            <w:vAlign w:val="center"/>
          </w:tcPr>
          <w:p w14:paraId="5522AF3D">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545</w:t>
            </w:r>
          </w:p>
        </w:tc>
        <w:tc>
          <w:tcPr>
            <w:tcW w:w="833" w:type="pct"/>
            <w:gridSpan w:val="2"/>
            <w:vAlign w:val="center"/>
          </w:tcPr>
          <w:p w14:paraId="2DFF84FA">
            <w:pPr>
              <w:pStyle w:val="8"/>
              <w:suppressLineNumbers w:val="0"/>
              <w:bidi w:val="0"/>
              <w:spacing w:before="0" w:beforeAutospacing="0" w:after="0" w:afterAutospacing="0"/>
              <w:ind w:left="0" w:right="0"/>
              <w:rPr>
                <w:rFonts w:hint="eastAsia" w:eastAsia="宋体"/>
                <w:highlight w:val="none"/>
                <w:lang w:eastAsia="zh-CN"/>
              </w:rPr>
            </w:pPr>
            <w:r>
              <w:rPr>
                <w:rFonts w:hint="eastAsia"/>
                <w:highlight w:val="none"/>
                <w:lang w:val="en-US" w:eastAsia="zh-CN"/>
              </w:rPr>
              <w:t>0</w:t>
            </w:r>
          </w:p>
        </w:tc>
        <w:tc>
          <w:tcPr>
            <w:tcW w:w="833" w:type="pct"/>
            <w:gridSpan w:val="2"/>
            <w:vAlign w:val="center"/>
          </w:tcPr>
          <w:p w14:paraId="10C01863">
            <w:pPr>
              <w:pStyle w:val="8"/>
              <w:suppressLineNumbers w:val="0"/>
              <w:bidi w:val="0"/>
              <w:spacing w:before="0" w:beforeAutospacing="0" w:after="0" w:afterAutospacing="0"/>
              <w:ind w:left="0" w:right="0"/>
              <w:rPr>
                <w:rFonts w:hint="eastAsia"/>
                <w:highlight w:val="none"/>
                <w:lang w:val="en-US" w:eastAsia="zh-CN"/>
              </w:rPr>
            </w:pPr>
            <w:r>
              <w:rPr>
                <w:rFonts w:hint="eastAsia"/>
                <w:highlight w:val="none"/>
                <w:lang w:val="en-US" w:eastAsia="zh-CN"/>
              </w:rPr>
              <w:t>1697</w:t>
            </w:r>
          </w:p>
        </w:tc>
        <w:tc>
          <w:tcPr>
            <w:tcW w:w="836" w:type="pct"/>
            <w:vAlign w:val="center"/>
          </w:tcPr>
          <w:p w14:paraId="3B7A57AF">
            <w:pPr>
              <w:pStyle w:val="8"/>
              <w:suppressLineNumbers w:val="0"/>
              <w:bidi w:val="0"/>
              <w:spacing w:before="0" w:beforeAutospacing="0" w:after="0" w:afterAutospacing="0"/>
              <w:ind w:left="0" w:right="0"/>
              <w:rPr>
                <w:rFonts w:hint="eastAsia"/>
                <w:highlight w:val="none"/>
                <w:lang w:val="en-US" w:eastAsia="zh-CN"/>
              </w:rPr>
            </w:pPr>
            <w:r>
              <w:rPr>
                <w:rFonts w:hint="eastAsia"/>
                <w:highlight w:val="none"/>
                <w:lang w:val="en-US" w:eastAsia="zh-CN"/>
              </w:rPr>
              <w:t>0</w:t>
            </w:r>
          </w:p>
        </w:tc>
      </w:tr>
    </w:tbl>
    <w:p w14:paraId="3A44CBC9">
      <w:pPr>
        <w:bidi w:val="0"/>
        <w:rPr>
          <w:rFonts w:eastAsiaTheme="minorEastAsia"/>
          <w:sz w:val="24"/>
          <w:highlight w:val="none"/>
        </w:rPr>
      </w:pPr>
      <w:r>
        <w:rPr>
          <w:rFonts w:hAnsiTheme="minorEastAsia" w:eastAsiaTheme="minorEastAsia"/>
          <w:sz w:val="24"/>
          <w:highlight w:val="none"/>
        </w:rPr>
        <w:t>由结果可知：预测时间</w:t>
      </w:r>
      <w:r>
        <w:rPr>
          <w:rFonts w:eastAsiaTheme="minorEastAsia"/>
          <w:sz w:val="24"/>
          <w:highlight w:val="none"/>
        </w:rPr>
        <w:t>100</w:t>
      </w:r>
      <w:r>
        <w:rPr>
          <w:rFonts w:hAnsiTheme="minorEastAsia" w:eastAsiaTheme="minorEastAsia"/>
          <w:sz w:val="24"/>
          <w:highlight w:val="none"/>
        </w:rPr>
        <w:t>天时，石油类达标距离为地下水下游</w:t>
      </w:r>
      <w:r>
        <w:rPr>
          <w:rFonts w:hint="eastAsia" w:eastAsiaTheme="minorEastAsia"/>
          <w:sz w:val="24"/>
          <w:highlight w:val="none"/>
          <w:lang w:val="en-US" w:eastAsia="zh-CN"/>
        </w:rPr>
        <w:t>73</w:t>
      </w:r>
      <w:r>
        <w:rPr>
          <w:rFonts w:eastAsiaTheme="minorEastAsia"/>
          <w:sz w:val="24"/>
          <w:highlight w:val="none"/>
        </w:rPr>
        <w:t>m</w:t>
      </w:r>
      <w:r>
        <w:rPr>
          <w:rFonts w:hAnsiTheme="minorEastAsia" w:eastAsiaTheme="minorEastAsia"/>
          <w:sz w:val="24"/>
          <w:highlight w:val="none"/>
        </w:rPr>
        <w:t>，影响距离最远为</w:t>
      </w:r>
      <w:r>
        <w:rPr>
          <w:rFonts w:hint="eastAsia" w:eastAsiaTheme="minorEastAsia"/>
          <w:sz w:val="24"/>
          <w:highlight w:val="none"/>
          <w:lang w:val="en-US" w:eastAsia="zh-CN"/>
        </w:rPr>
        <w:t>163</w:t>
      </w:r>
      <w:r>
        <w:rPr>
          <w:rFonts w:eastAsiaTheme="minorEastAsia"/>
          <w:sz w:val="24"/>
          <w:highlight w:val="none"/>
        </w:rPr>
        <w:t>m</w:t>
      </w:r>
      <w:r>
        <w:rPr>
          <w:rFonts w:hAnsiTheme="minorEastAsia" w:eastAsiaTheme="minorEastAsia"/>
          <w:sz w:val="24"/>
          <w:highlight w:val="none"/>
        </w:rPr>
        <w:t>；预测时间</w:t>
      </w:r>
      <w:r>
        <w:rPr>
          <w:rFonts w:eastAsiaTheme="minorEastAsia"/>
          <w:sz w:val="24"/>
          <w:highlight w:val="none"/>
        </w:rPr>
        <w:t>1000</w:t>
      </w:r>
      <w:r>
        <w:rPr>
          <w:rFonts w:hAnsiTheme="minorEastAsia" w:eastAsiaTheme="minorEastAsia"/>
          <w:sz w:val="24"/>
          <w:highlight w:val="none"/>
        </w:rPr>
        <w:t>天时，达标距离为地下水下游</w:t>
      </w:r>
      <w:r>
        <w:rPr>
          <w:rFonts w:hint="eastAsia" w:eastAsiaTheme="minorEastAsia"/>
          <w:sz w:val="24"/>
          <w:highlight w:val="none"/>
          <w:lang w:val="en-US" w:eastAsia="zh-CN"/>
        </w:rPr>
        <w:t>257</w:t>
      </w:r>
      <w:r>
        <w:rPr>
          <w:rFonts w:eastAsiaTheme="minorEastAsia"/>
          <w:sz w:val="24"/>
          <w:highlight w:val="none"/>
        </w:rPr>
        <w:t>m</w:t>
      </w:r>
      <w:r>
        <w:rPr>
          <w:rFonts w:hAnsiTheme="minorEastAsia" w:eastAsiaTheme="minorEastAsia"/>
          <w:sz w:val="24"/>
          <w:highlight w:val="none"/>
        </w:rPr>
        <w:t>，影响距离最远为</w:t>
      </w:r>
      <w:r>
        <w:rPr>
          <w:rFonts w:hint="eastAsia" w:eastAsiaTheme="minorEastAsia"/>
          <w:sz w:val="24"/>
          <w:highlight w:val="none"/>
          <w:lang w:val="en-US" w:eastAsia="zh-CN"/>
        </w:rPr>
        <w:t>545</w:t>
      </w:r>
      <w:r>
        <w:rPr>
          <w:rFonts w:eastAsiaTheme="minorEastAsia"/>
          <w:sz w:val="24"/>
          <w:highlight w:val="none"/>
        </w:rPr>
        <w:t>m</w:t>
      </w:r>
      <w:r>
        <w:rPr>
          <w:rFonts w:hint="eastAsia" w:eastAsiaTheme="minorEastAsia"/>
          <w:sz w:val="24"/>
          <w:highlight w:val="none"/>
          <w:lang w:eastAsia="zh-CN"/>
        </w:rPr>
        <w:t>；</w:t>
      </w:r>
      <w:r>
        <w:rPr>
          <w:rFonts w:hint="eastAsia" w:eastAsiaTheme="minorEastAsia"/>
          <w:sz w:val="24"/>
          <w:highlight w:val="none"/>
          <w:lang w:val="en-US" w:eastAsia="zh-CN"/>
        </w:rPr>
        <w:t>预测时间20年时，</w:t>
      </w:r>
      <w:r>
        <w:rPr>
          <w:rFonts w:hAnsiTheme="minorEastAsia" w:eastAsiaTheme="minorEastAsia"/>
          <w:sz w:val="24"/>
          <w:highlight w:val="none"/>
        </w:rPr>
        <w:t>石油类达标距离为地下水下游</w:t>
      </w:r>
      <w:r>
        <w:rPr>
          <w:rFonts w:hint="eastAsia" w:eastAsiaTheme="minorEastAsia"/>
          <w:sz w:val="24"/>
          <w:highlight w:val="none"/>
          <w:lang w:val="en-US" w:eastAsia="zh-CN"/>
        </w:rPr>
        <w:t>911</w:t>
      </w:r>
      <w:r>
        <w:rPr>
          <w:rFonts w:eastAsiaTheme="minorEastAsia"/>
          <w:sz w:val="24"/>
          <w:highlight w:val="none"/>
        </w:rPr>
        <w:t>m</w:t>
      </w:r>
      <w:r>
        <w:rPr>
          <w:rFonts w:hAnsiTheme="minorEastAsia" w:eastAsiaTheme="minorEastAsia"/>
          <w:sz w:val="24"/>
          <w:highlight w:val="none"/>
        </w:rPr>
        <w:t>，影响距离最远为</w:t>
      </w:r>
      <w:r>
        <w:rPr>
          <w:rFonts w:hint="eastAsia" w:eastAsiaTheme="minorEastAsia"/>
          <w:sz w:val="24"/>
          <w:highlight w:val="none"/>
          <w:lang w:val="en-US" w:eastAsia="zh-CN"/>
        </w:rPr>
        <w:t>1697</w:t>
      </w:r>
      <w:r>
        <w:rPr>
          <w:rFonts w:eastAsiaTheme="minorEastAsia"/>
          <w:sz w:val="24"/>
          <w:highlight w:val="none"/>
        </w:rPr>
        <w:t>m</w:t>
      </w:r>
      <w:r>
        <w:rPr>
          <w:rFonts w:hint="eastAsia" w:eastAsiaTheme="minorEastAsia"/>
          <w:sz w:val="24"/>
          <w:highlight w:val="none"/>
          <w:lang w:eastAsia="zh-CN"/>
        </w:rPr>
        <w:t>。</w:t>
      </w:r>
      <w:r>
        <w:rPr>
          <w:rFonts w:hAnsiTheme="minorEastAsia" w:eastAsiaTheme="minorEastAsia"/>
          <w:sz w:val="24"/>
          <w:highlight w:val="none"/>
        </w:rPr>
        <w:t>石油类环境质量标准选取《地表水环境质量标准》（</w:t>
      </w:r>
      <w:r>
        <w:rPr>
          <w:rFonts w:eastAsiaTheme="minorEastAsia"/>
          <w:sz w:val="24"/>
          <w:highlight w:val="none"/>
        </w:rPr>
        <w:t>GB3838-2002</w:t>
      </w:r>
      <w:r>
        <w:rPr>
          <w:rFonts w:hAnsiTheme="minorEastAsia" w:eastAsiaTheme="minorEastAsia"/>
          <w:sz w:val="24"/>
          <w:highlight w:val="none"/>
        </w:rPr>
        <w:t>）</w:t>
      </w:r>
      <w:r>
        <w:rPr>
          <w:rFonts w:eastAsiaTheme="minorEastAsia"/>
          <w:sz w:val="24"/>
          <w:highlight w:val="none"/>
        </w:rPr>
        <w:t>Ⅲ</w:t>
      </w:r>
      <w:r>
        <w:rPr>
          <w:rFonts w:hAnsiTheme="minorEastAsia" w:eastAsiaTheme="minorEastAsia"/>
          <w:sz w:val="24"/>
          <w:highlight w:val="none"/>
        </w:rPr>
        <w:t>类标准限值，即</w:t>
      </w:r>
      <w:r>
        <w:rPr>
          <w:rFonts w:eastAsiaTheme="minorEastAsia"/>
          <w:sz w:val="24"/>
          <w:highlight w:val="none"/>
        </w:rPr>
        <w:t>0.05mg/L</w:t>
      </w:r>
      <w:r>
        <w:rPr>
          <w:rFonts w:hAnsiTheme="minorEastAsia" w:eastAsiaTheme="minorEastAsia"/>
          <w:sz w:val="24"/>
          <w:highlight w:val="none"/>
        </w:rPr>
        <w:t>。</w:t>
      </w:r>
    </w:p>
    <w:p w14:paraId="648F34A2">
      <w:pPr>
        <w:keepNext w:val="0"/>
        <w:keepLines w:val="0"/>
        <w:pageBreakBefore w:val="0"/>
        <w:widowControl w:val="0"/>
        <w:kinsoku/>
        <w:wordWrap w:val="0"/>
        <w:overflowPunct/>
        <w:topLinePunct w:val="0"/>
        <w:autoSpaceDE/>
        <w:autoSpaceDN/>
        <w:bidi w:val="0"/>
        <w:adjustRightInd w:val="0"/>
        <w:snapToGrid w:val="0"/>
        <w:ind w:firstLine="0" w:firstLineChars="0"/>
        <w:jc w:val="center"/>
        <w:textAlignment w:val="auto"/>
        <w:rPr>
          <w:rFonts w:eastAsiaTheme="minorEastAsia"/>
          <w:highlight w:val="none"/>
        </w:rPr>
      </w:pPr>
      <w:r>
        <w:rPr>
          <w:highlight w:val="none"/>
        </w:rPr>
        <w:drawing>
          <wp:inline distT="0" distB="0" distL="114300" distR="114300">
            <wp:extent cx="5273675" cy="3168015"/>
            <wp:effectExtent l="9525" t="9525" r="12700" b="22860"/>
            <wp:docPr id="3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1"/>
                    <pic:cNvPicPr>
                      <a:picLocks noChangeAspect="1"/>
                    </pic:cNvPicPr>
                  </pic:nvPicPr>
                  <pic:blipFill>
                    <a:blip r:embed="rId79"/>
                    <a:stretch>
                      <a:fillRect/>
                    </a:stretch>
                  </pic:blipFill>
                  <pic:spPr>
                    <a:xfrm>
                      <a:off x="0" y="0"/>
                      <a:ext cx="5273675" cy="3168015"/>
                    </a:xfrm>
                    <a:prstGeom prst="rect">
                      <a:avLst/>
                    </a:prstGeom>
                    <a:noFill/>
                    <a:ln>
                      <a:solidFill>
                        <a:schemeClr val="tx1"/>
                      </a:solidFill>
                    </a:ln>
                  </pic:spPr>
                </pic:pic>
              </a:graphicData>
            </a:graphic>
          </wp:inline>
        </w:drawing>
      </w:r>
    </w:p>
    <w:p w14:paraId="026CBB0F">
      <w:pPr>
        <w:widowControl/>
        <w:ind w:left="1205" w:hanging="1205" w:hangingChars="500"/>
        <w:jc w:val="center"/>
        <w:rPr>
          <w:rFonts w:eastAsiaTheme="minorEastAsia"/>
          <w:b/>
          <w:sz w:val="24"/>
          <w:highlight w:val="none"/>
        </w:rPr>
      </w:pPr>
      <w:r>
        <w:rPr>
          <w:rFonts w:hAnsiTheme="minorEastAsia" w:eastAsiaTheme="minorEastAsia"/>
          <w:b/>
          <w:sz w:val="24"/>
          <w:highlight w:val="none"/>
        </w:rPr>
        <w:t>图</w:t>
      </w:r>
      <w:r>
        <w:rPr>
          <w:rFonts w:eastAsiaTheme="minorEastAsia"/>
          <w:b/>
          <w:sz w:val="24"/>
          <w:highlight w:val="none"/>
        </w:rPr>
        <w:t>5-2-</w:t>
      </w:r>
      <w:r>
        <w:rPr>
          <w:rFonts w:hint="eastAsia" w:eastAsiaTheme="minorEastAsia"/>
          <w:b/>
          <w:sz w:val="24"/>
          <w:highlight w:val="none"/>
          <w:lang w:val="en-US" w:eastAsia="zh-CN"/>
        </w:rPr>
        <w:t>1</w:t>
      </w:r>
      <w:r>
        <w:rPr>
          <w:rFonts w:hAnsiTheme="minorEastAsia" w:eastAsiaTheme="minorEastAsia"/>
          <w:b/>
          <w:sz w:val="24"/>
          <w:highlight w:val="none"/>
        </w:rPr>
        <w:t>石油类</w:t>
      </w:r>
      <w:r>
        <w:rPr>
          <w:rFonts w:eastAsiaTheme="minorEastAsia"/>
          <w:b/>
          <w:sz w:val="24"/>
          <w:highlight w:val="none"/>
        </w:rPr>
        <w:t>100</w:t>
      </w:r>
      <w:r>
        <w:rPr>
          <w:rFonts w:hAnsiTheme="minorEastAsia" w:eastAsiaTheme="minorEastAsia"/>
          <w:b/>
          <w:sz w:val="24"/>
          <w:highlight w:val="none"/>
        </w:rPr>
        <w:t>天溶质迁移图</w:t>
      </w:r>
    </w:p>
    <w:p w14:paraId="1C4F3636">
      <w:pPr>
        <w:keepNext w:val="0"/>
        <w:keepLines w:val="0"/>
        <w:pageBreakBefore w:val="0"/>
        <w:widowControl w:val="0"/>
        <w:kinsoku/>
        <w:wordWrap w:val="0"/>
        <w:overflowPunct/>
        <w:topLinePunct w:val="0"/>
        <w:autoSpaceDE/>
        <w:autoSpaceDN/>
        <w:bidi w:val="0"/>
        <w:adjustRightInd w:val="0"/>
        <w:snapToGrid w:val="0"/>
        <w:ind w:firstLine="0" w:firstLineChars="0"/>
        <w:jc w:val="center"/>
        <w:textAlignment w:val="auto"/>
        <w:rPr>
          <w:rFonts w:eastAsiaTheme="minorEastAsia"/>
          <w:highlight w:val="none"/>
        </w:rPr>
      </w:pPr>
      <w:r>
        <w:rPr>
          <w:highlight w:val="none"/>
        </w:rPr>
        <w:drawing>
          <wp:inline distT="0" distB="0" distL="114300" distR="114300">
            <wp:extent cx="5269865" cy="3147060"/>
            <wp:effectExtent l="9525" t="9525" r="16510" b="24765"/>
            <wp:docPr id="3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0"/>
                    <pic:cNvPicPr>
                      <a:picLocks noChangeAspect="1"/>
                    </pic:cNvPicPr>
                  </pic:nvPicPr>
                  <pic:blipFill>
                    <a:blip r:embed="rId80"/>
                    <a:stretch>
                      <a:fillRect/>
                    </a:stretch>
                  </pic:blipFill>
                  <pic:spPr>
                    <a:xfrm>
                      <a:off x="0" y="0"/>
                      <a:ext cx="5269865" cy="3147060"/>
                    </a:xfrm>
                    <a:prstGeom prst="rect">
                      <a:avLst/>
                    </a:prstGeom>
                    <a:noFill/>
                    <a:ln>
                      <a:solidFill>
                        <a:schemeClr val="tx1"/>
                      </a:solidFill>
                    </a:ln>
                  </pic:spPr>
                </pic:pic>
              </a:graphicData>
            </a:graphic>
          </wp:inline>
        </w:drawing>
      </w:r>
    </w:p>
    <w:p w14:paraId="72B13AB0">
      <w:pPr>
        <w:widowControl/>
        <w:ind w:left="1205" w:hanging="1205" w:hangingChars="500"/>
        <w:jc w:val="center"/>
        <w:rPr>
          <w:rFonts w:hAnsiTheme="minorEastAsia" w:eastAsiaTheme="minorEastAsia"/>
          <w:b/>
          <w:sz w:val="24"/>
          <w:highlight w:val="none"/>
        </w:rPr>
      </w:pPr>
      <w:r>
        <w:rPr>
          <w:rFonts w:hAnsiTheme="minorEastAsia" w:eastAsiaTheme="minorEastAsia"/>
          <w:b/>
          <w:sz w:val="24"/>
          <w:highlight w:val="none"/>
        </w:rPr>
        <w:t>图</w:t>
      </w:r>
      <w:r>
        <w:rPr>
          <w:rFonts w:eastAsiaTheme="minorEastAsia"/>
          <w:b/>
          <w:sz w:val="24"/>
          <w:highlight w:val="none"/>
        </w:rPr>
        <w:t>5-2-</w:t>
      </w:r>
      <w:r>
        <w:rPr>
          <w:rFonts w:hint="eastAsia" w:eastAsiaTheme="minorEastAsia"/>
          <w:b/>
          <w:sz w:val="24"/>
          <w:highlight w:val="none"/>
          <w:lang w:val="en-US" w:eastAsia="zh-CN"/>
        </w:rPr>
        <w:t>2</w:t>
      </w:r>
      <w:r>
        <w:rPr>
          <w:rFonts w:hAnsiTheme="minorEastAsia" w:eastAsiaTheme="minorEastAsia"/>
          <w:b/>
          <w:sz w:val="24"/>
          <w:highlight w:val="none"/>
        </w:rPr>
        <w:t>石油类</w:t>
      </w:r>
      <w:r>
        <w:rPr>
          <w:rFonts w:eastAsiaTheme="minorEastAsia"/>
          <w:b/>
          <w:sz w:val="24"/>
          <w:highlight w:val="none"/>
        </w:rPr>
        <w:t>1000</w:t>
      </w:r>
      <w:r>
        <w:rPr>
          <w:rFonts w:hAnsiTheme="minorEastAsia" w:eastAsiaTheme="minorEastAsia"/>
          <w:b/>
          <w:sz w:val="24"/>
          <w:highlight w:val="none"/>
        </w:rPr>
        <w:t>天溶质迁移图</w:t>
      </w:r>
    </w:p>
    <w:p w14:paraId="3DB26747">
      <w:pPr>
        <w:widowControl/>
        <w:ind w:left="1205" w:hanging="1200" w:hangingChars="500"/>
        <w:jc w:val="center"/>
        <w:rPr>
          <w:rFonts w:hAnsiTheme="minorEastAsia" w:eastAsiaTheme="minorEastAsia"/>
          <w:b/>
          <w:sz w:val="24"/>
          <w:highlight w:val="none"/>
        </w:rPr>
      </w:pPr>
      <w:r>
        <w:rPr>
          <w:highlight w:val="none"/>
        </w:rPr>
        <w:drawing>
          <wp:inline distT="0" distB="0" distL="114300" distR="114300">
            <wp:extent cx="5274310" cy="3247390"/>
            <wp:effectExtent l="9525" t="9525" r="12065" b="19685"/>
            <wp:docPr id="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4"/>
                    <pic:cNvPicPr>
                      <a:picLocks noChangeAspect="1"/>
                    </pic:cNvPicPr>
                  </pic:nvPicPr>
                  <pic:blipFill>
                    <a:blip r:embed="rId81"/>
                    <a:stretch>
                      <a:fillRect/>
                    </a:stretch>
                  </pic:blipFill>
                  <pic:spPr>
                    <a:xfrm>
                      <a:off x="0" y="0"/>
                      <a:ext cx="5274310" cy="3247390"/>
                    </a:xfrm>
                    <a:prstGeom prst="rect">
                      <a:avLst/>
                    </a:prstGeom>
                    <a:noFill/>
                    <a:ln>
                      <a:solidFill>
                        <a:schemeClr val="tx1"/>
                      </a:solidFill>
                    </a:ln>
                  </pic:spPr>
                </pic:pic>
              </a:graphicData>
            </a:graphic>
          </wp:inline>
        </w:drawing>
      </w:r>
    </w:p>
    <w:p w14:paraId="714BD56E">
      <w:pPr>
        <w:widowControl/>
        <w:ind w:left="1205" w:hanging="1205" w:hangingChars="500"/>
        <w:jc w:val="center"/>
        <w:rPr>
          <w:rFonts w:hAnsiTheme="minorEastAsia" w:eastAsiaTheme="minorEastAsia"/>
          <w:b/>
          <w:sz w:val="24"/>
          <w:highlight w:val="none"/>
        </w:rPr>
      </w:pPr>
      <w:r>
        <w:rPr>
          <w:rFonts w:hAnsiTheme="minorEastAsia" w:eastAsiaTheme="minorEastAsia"/>
          <w:b/>
          <w:sz w:val="24"/>
          <w:highlight w:val="none"/>
        </w:rPr>
        <w:t>图</w:t>
      </w:r>
      <w:r>
        <w:rPr>
          <w:rFonts w:eastAsiaTheme="minorEastAsia"/>
          <w:b/>
          <w:sz w:val="24"/>
          <w:highlight w:val="none"/>
        </w:rPr>
        <w:t>5-2-</w:t>
      </w:r>
      <w:r>
        <w:rPr>
          <w:rFonts w:hint="eastAsia" w:eastAsiaTheme="minorEastAsia"/>
          <w:b/>
          <w:sz w:val="24"/>
          <w:highlight w:val="none"/>
          <w:lang w:val="en-US" w:eastAsia="zh-CN"/>
        </w:rPr>
        <w:t>3</w:t>
      </w:r>
      <w:r>
        <w:rPr>
          <w:rFonts w:hAnsiTheme="minorEastAsia" w:eastAsiaTheme="minorEastAsia"/>
          <w:b/>
          <w:sz w:val="24"/>
          <w:highlight w:val="none"/>
        </w:rPr>
        <w:t>石油类</w:t>
      </w:r>
      <w:r>
        <w:rPr>
          <w:rFonts w:hint="eastAsia" w:eastAsiaTheme="minorEastAsia"/>
          <w:b/>
          <w:sz w:val="24"/>
          <w:highlight w:val="none"/>
          <w:lang w:val="en-US" w:eastAsia="zh-CN"/>
        </w:rPr>
        <w:t>20年</w:t>
      </w:r>
      <w:r>
        <w:rPr>
          <w:rFonts w:hAnsiTheme="minorEastAsia" w:eastAsiaTheme="minorEastAsia"/>
          <w:b/>
          <w:sz w:val="24"/>
          <w:highlight w:val="none"/>
        </w:rPr>
        <w:t>溶质迁移图</w:t>
      </w:r>
    </w:p>
    <w:p w14:paraId="44AF2F9C">
      <w:pPr>
        <w:keepNext w:val="0"/>
        <w:keepLines w:val="0"/>
        <w:pageBreakBefore w:val="0"/>
        <w:widowControl/>
        <w:kinsoku/>
        <w:wordWrap/>
        <w:overflowPunct/>
        <w:topLinePunct w:val="0"/>
        <w:autoSpaceDE/>
        <w:autoSpaceDN/>
        <w:bidi w:val="0"/>
        <w:adjustRightInd/>
        <w:snapToGrid/>
        <w:spacing w:line="360" w:lineRule="auto"/>
        <w:ind w:left="0" w:firstLine="480" w:firstLineChars="200"/>
        <w:jc w:val="both"/>
        <w:textAlignment w:val="auto"/>
        <w:rPr>
          <w:rFonts w:hint="eastAsia" w:cs="Times New Roman" w:eastAsiaTheme="minorEastAsia"/>
          <w:b w:val="0"/>
          <w:bCs/>
          <w:color w:val="auto"/>
          <w:spacing w:val="0"/>
          <w:position w:val="0"/>
          <w:sz w:val="24"/>
          <w:highlight w:val="none"/>
          <w:lang w:val="en-US" w:eastAsia="zh-CN"/>
        </w:rPr>
      </w:pPr>
      <w:r>
        <w:rPr>
          <w:rFonts w:hint="eastAsia" w:cs="Times New Roman" w:eastAsiaTheme="minorEastAsia"/>
          <w:b w:val="0"/>
          <w:bCs/>
          <w:color w:val="auto"/>
          <w:spacing w:val="0"/>
          <w:position w:val="0"/>
          <w:sz w:val="24"/>
          <w:highlight w:val="none"/>
          <w:lang w:val="en-US" w:eastAsia="zh-CN"/>
        </w:rPr>
        <w:t>反映特征因子迁移规律的其他重要的时间节点：考虑污染物泄漏出厂界外，对厂界外的影响时间作为节点，本项目厂房边界即为厂界，储存区距厂界约1m，污染物达到厂区边界计算结果见下表。</w:t>
      </w:r>
    </w:p>
    <w:p w14:paraId="0BFF9780">
      <w:pPr>
        <w:pStyle w:val="7"/>
        <w:bidi w:val="0"/>
        <w:rPr>
          <w:rFonts w:hint="default"/>
          <w:highlight w:val="none"/>
        </w:rPr>
      </w:pPr>
      <w:r>
        <w:rPr>
          <w:rFonts w:hint="default"/>
          <w:highlight w:val="none"/>
        </w:rPr>
        <w:t>表5-2-</w:t>
      </w:r>
      <w:r>
        <w:rPr>
          <w:rFonts w:hint="eastAsia"/>
          <w:highlight w:val="none"/>
          <w:lang w:val="en-US" w:eastAsia="zh-CN"/>
        </w:rPr>
        <w:t>15</w:t>
      </w:r>
      <w:r>
        <w:rPr>
          <w:rFonts w:hint="default"/>
          <w:highlight w:val="none"/>
        </w:rPr>
        <w:t>地下水预测计算结果</w:t>
      </w:r>
    </w:p>
    <w:tbl>
      <w:tblPr>
        <w:tblStyle w:val="45"/>
        <w:tblW w:w="4927" w:type="pct"/>
        <w:jc w:val="center"/>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4120"/>
        <w:gridCol w:w="4120"/>
      </w:tblGrid>
      <w:tr w14:paraId="64562725">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30" w:hRule="atLeast"/>
          <w:jc w:val="center"/>
        </w:trPr>
        <w:tc>
          <w:tcPr>
            <w:tcW w:w="5000" w:type="pct"/>
            <w:gridSpan w:val="2"/>
            <w:vAlign w:val="center"/>
          </w:tcPr>
          <w:p w14:paraId="2C6B9F14">
            <w:pPr>
              <w:pStyle w:val="8"/>
              <w:suppressLineNumbers w:val="0"/>
              <w:bidi w:val="0"/>
              <w:spacing w:before="0" w:beforeAutospacing="0" w:after="0" w:afterAutospacing="0"/>
              <w:ind w:left="0" w:right="0"/>
              <w:rPr>
                <w:rFonts w:hint="eastAsia"/>
                <w:highlight w:val="none"/>
                <w:lang w:eastAsia="zh-CN"/>
              </w:rPr>
            </w:pPr>
            <w:r>
              <w:rPr>
                <w:rFonts w:hint="eastAsia"/>
                <w:highlight w:val="none"/>
                <w:lang w:val="en-US" w:eastAsia="zh-CN"/>
              </w:rPr>
              <w:t>石油类</w:t>
            </w:r>
          </w:p>
        </w:tc>
      </w:tr>
      <w:tr w14:paraId="6B752EFF">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128" w:hRule="atLeast"/>
          <w:jc w:val="center"/>
        </w:trPr>
        <w:tc>
          <w:tcPr>
            <w:tcW w:w="2500" w:type="pct"/>
            <w:vAlign w:val="center"/>
          </w:tcPr>
          <w:p w14:paraId="48F1A199">
            <w:pPr>
              <w:pStyle w:val="8"/>
              <w:suppressLineNumbers w:val="0"/>
              <w:bidi w:val="0"/>
              <w:spacing w:before="0" w:beforeAutospacing="0" w:after="0" w:afterAutospacing="0"/>
              <w:ind w:left="0" w:right="0"/>
              <w:rPr>
                <w:rFonts w:hint="eastAsia"/>
                <w:highlight w:val="none"/>
                <w:lang w:val="en-US" w:eastAsia="zh-CN"/>
              </w:rPr>
            </w:pPr>
            <w:r>
              <w:rPr>
                <w:rFonts w:hint="eastAsia"/>
                <w:highlight w:val="none"/>
                <w:lang w:val="en-US" w:eastAsia="zh-CN"/>
              </w:rPr>
              <w:t>距离</w:t>
            </w:r>
          </w:p>
        </w:tc>
        <w:tc>
          <w:tcPr>
            <w:tcW w:w="2500" w:type="pct"/>
            <w:vAlign w:val="center"/>
          </w:tcPr>
          <w:p w14:paraId="1DA4A310">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10m</w:t>
            </w:r>
          </w:p>
        </w:tc>
      </w:tr>
      <w:tr w14:paraId="2F3A7BB8">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181" w:hRule="atLeast"/>
          <w:jc w:val="center"/>
        </w:trPr>
        <w:tc>
          <w:tcPr>
            <w:tcW w:w="2500" w:type="pct"/>
            <w:vAlign w:val="center"/>
          </w:tcPr>
          <w:p w14:paraId="4EF9DC98">
            <w:pPr>
              <w:pStyle w:val="8"/>
              <w:suppressLineNumbers w:val="0"/>
              <w:bidi w:val="0"/>
              <w:spacing w:before="0" w:beforeAutospacing="0" w:after="0" w:afterAutospacing="0"/>
              <w:ind w:left="0" w:right="0"/>
              <w:rPr>
                <w:rFonts w:hint="eastAsia"/>
                <w:highlight w:val="none"/>
                <w:lang w:eastAsia="zh-CN"/>
              </w:rPr>
            </w:pPr>
            <w:r>
              <w:rPr>
                <w:rFonts w:hint="eastAsia"/>
                <w:highlight w:val="none"/>
                <w:lang w:val="en-US" w:eastAsia="zh-CN"/>
              </w:rPr>
              <w:t>X（d）</w:t>
            </w:r>
          </w:p>
        </w:tc>
        <w:tc>
          <w:tcPr>
            <w:tcW w:w="2500" w:type="pct"/>
            <w:vAlign w:val="center"/>
          </w:tcPr>
          <w:p w14:paraId="44CA7B07">
            <w:pPr>
              <w:pStyle w:val="8"/>
              <w:suppressLineNumbers w:val="0"/>
              <w:bidi w:val="0"/>
              <w:spacing w:before="0" w:beforeAutospacing="0" w:after="0" w:afterAutospacing="0"/>
              <w:ind w:left="0" w:right="0"/>
              <w:rPr>
                <w:rFonts w:hint="eastAsia"/>
                <w:highlight w:val="none"/>
                <w:lang w:eastAsia="zh-CN"/>
              </w:rPr>
            </w:pPr>
            <w:r>
              <w:rPr>
                <w:rFonts w:hint="eastAsia"/>
                <w:highlight w:val="none"/>
                <w:lang w:val="en-US" w:eastAsia="zh-CN"/>
              </w:rPr>
              <w:t>C（mg/L）</w:t>
            </w:r>
          </w:p>
        </w:tc>
      </w:tr>
      <w:tr w14:paraId="535EA53B">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55" w:hRule="atLeast"/>
          <w:jc w:val="center"/>
        </w:trPr>
        <w:tc>
          <w:tcPr>
            <w:tcW w:w="2500" w:type="pct"/>
            <w:vAlign w:val="center"/>
          </w:tcPr>
          <w:p w14:paraId="7A55A017">
            <w:pPr>
              <w:pStyle w:val="8"/>
              <w:suppressLineNumbers w:val="0"/>
              <w:bidi w:val="0"/>
              <w:spacing w:before="0" w:beforeAutospacing="0" w:after="0" w:afterAutospacing="0"/>
              <w:ind w:left="0" w:right="0"/>
              <w:rPr>
                <w:rFonts w:hint="eastAsia"/>
                <w:highlight w:val="none"/>
                <w:lang w:eastAsia="zh-CN"/>
              </w:rPr>
            </w:pPr>
            <w:r>
              <w:rPr>
                <w:rFonts w:hint="eastAsia"/>
                <w:highlight w:val="none"/>
                <w:lang w:val="en-US" w:eastAsia="zh-CN"/>
              </w:rPr>
              <w:t>1</w:t>
            </w:r>
          </w:p>
        </w:tc>
        <w:tc>
          <w:tcPr>
            <w:tcW w:w="2500" w:type="pct"/>
            <w:vAlign w:val="center"/>
          </w:tcPr>
          <w:p w14:paraId="6BF821C8">
            <w:pPr>
              <w:pStyle w:val="8"/>
              <w:suppressLineNumbers w:val="0"/>
              <w:bidi w:val="0"/>
              <w:spacing w:before="0" w:beforeAutospacing="0" w:after="0" w:afterAutospacing="0"/>
              <w:ind w:left="0" w:right="0"/>
              <w:rPr>
                <w:rFonts w:hint="default"/>
                <w:highlight w:val="none"/>
              </w:rPr>
            </w:pPr>
            <w:r>
              <w:rPr>
                <w:rFonts w:hint="default"/>
                <w:highlight w:val="none"/>
              </w:rPr>
              <w:t>1.995793E+09</w:t>
            </w:r>
          </w:p>
        </w:tc>
      </w:tr>
      <w:tr w14:paraId="34680E2C">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55" w:hRule="atLeast"/>
          <w:jc w:val="center"/>
        </w:trPr>
        <w:tc>
          <w:tcPr>
            <w:tcW w:w="2500" w:type="pct"/>
            <w:vAlign w:val="center"/>
          </w:tcPr>
          <w:p w14:paraId="40AE36D1">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2</w:t>
            </w:r>
          </w:p>
        </w:tc>
        <w:tc>
          <w:tcPr>
            <w:tcW w:w="2500" w:type="pct"/>
            <w:vAlign w:val="center"/>
          </w:tcPr>
          <w:p w14:paraId="0E505646">
            <w:pPr>
              <w:pStyle w:val="8"/>
              <w:suppressLineNumbers w:val="0"/>
              <w:bidi w:val="0"/>
              <w:spacing w:before="0" w:beforeAutospacing="0" w:after="0" w:afterAutospacing="0"/>
              <w:ind w:left="0" w:right="0"/>
              <w:rPr>
                <w:rFonts w:hint="default"/>
                <w:highlight w:val="none"/>
              </w:rPr>
            </w:pPr>
            <w:r>
              <w:rPr>
                <w:rFonts w:hint="eastAsia"/>
                <w:highlight w:val="none"/>
              </w:rPr>
              <w:t>1.809803E+09</w:t>
            </w:r>
          </w:p>
        </w:tc>
      </w:tr>
      <w:tr w14:paraId="723EC236">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55" w:hRule="atLeast"/>
          <w:jc w:val="center"/>
        </w:trPr>
        <w:tc>
          <w:tcPr>
            <w:tcW w:w="2500" w:type="pct"/>
            <w:vAlign w:val="center"/>
          </w:tcPr>
          <w:p w14:paraId="750DFF78">
            <w:pPr>
              <w:pStyle w:val="8"/>
              <w:suppressLineNumbers w:val="0"/>
              <w:bidi w:val="0"/>
              <w:spacing w:before="0" w:beforeAutospacing="0" w:after="0" w:afterAutospacing="0"/>
              <w:ind w:left="0" w:right="0"/>
              <w:rPr>
                <w:rFonts w:hint="eastAsia"/>
                <w:highlight w:val="none"/>
                <w:lang w:val="en-US" w:eastAsia="zh-CN"/>
              </w:rPr>
            </w:pPr>
            <w:r>
              <w:rPr>
                <w:rFonts w:hint="eastAsia"/>
                <w:highlight w:val="none"/>
                <w:lang w:val="en-US" w:eastAsia="zh-CN"/>
              </w:rPr>
              <w:t>3</w:t>
            </w:r>
          </w:p>
        </w:tc>
        <w:tc>
          <w:tcPr>
            <w:tcW w:w="2500" w:type="pct"/>
            <w:vAlign w:val="center"/>
          </w:tcPr>
          <w:p w14:paraId="6D42FC2B">
            <w:pPr>
              <w:pStyle w:val="8"/>
              <w:suppressLineNumbers w:val="0"/>
              <w:bidi w:val="0"/>
              <w:spacing w:before="0" w:beforeAutospacing="0" w:after="0" w:afterAutospacing="0"/>
              <w:ind w:left="0" w:right="0"/>
              <w:rPr>
                <w:rFonts w:hint="default"/>
                <w:highlight w:val="none"/>
              </w:rPr>
            </w:pPr>
            <w:r>
              <w:rPr>
                <w:rFonts w:hint="eastAsia"/>
                <w:highlight w:val="none"/>
              </w:rPr>
              <w:t>1.604109E+09</w:t>
            </w:r>
          </w:p>
        </w:tc>
      </w:tr>
      <w:tr w14:paraId="759E4AF5">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55" w:hRule="atLeast"/>
          <w:jc w:val="center"/>
        </w:trPr>
        <w:tc>
          <w:tcPr>
            <w:tcW w:w="2500" w:type="pct"/>
            <w:vAlign w:val="center"/>
          </w:tcPr>
          <w:p w14:paraId="77FA53D1">
            <w:pPr>
              <w:pStyle w:val="8"/>
              <w:suppressLineNumbers w:val="0"/>
              <w:bidi w:val="0"/>
              <w:spacing w:before="0" w:beforeAutospacing="0" w:after="0" w:afterAutospacing="0"/>
              <w:ind w:left="0" w:right="0"/>
              <w:rPr>
                <w:rFonts w:hint="eastAsia"/>
                <w:highlight w:val="none"/>
                <w:lang w:val="en-US" w:eastAsia="zh-CN"/>
              </w:rPr>
            </w:pPr>
            <w:r>
              <w:rPr>
                <w:rFonts w:hint="eastAsia"/>
                <w:highlight w:val="none"/>
                <w:lang w:val="en-US" w:eastAsia="zh-CN"/>
              </w:rPr>
              <w:t>4</w:t>
            </w:r>
          </w:p>
        </w:tc>
        <w:tc>
          <w:tcPr>
            <w:tcW w:w="2500" w:type="pct"/>
            <w:vAlign w:val="center"/>
          </w:tcPr>
          <w:p w14:paraId="14C89249">
            <w:pPr>
              <w:pStyle w:val="8"/>
              <w:suppressLineNumbers w:val="0"/>
              <w:bidi w:val="0"/>
              <w:spacing w:before="0" w:beforeAutospacing="0" w:after="0" w:afterAutospacing="0"/>
              <w:ind w:left="0" w:right="0"/>
              <w:rPr>
                <w:rFonts w:hint="default"/>
                <w:highlight w:val="none"/>
              </w:rPr>
            </w:pPr>
            <w:r>
              <w:rPr>
                <w:rFonts w:hint="eastAsia"/>
                <w:highlight w:val="none"/>
              </w:rPr>
              <w:t>1.446496E+09</w:t>
            </w:r>
          </w:p>
        </w:tc>
      </w:tr>
      <w:tr w14:paraId="76BA4C1B">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55" w:hRule="atLeast"/>
          <w:jc w:val="center"/>
        </w:trPr>
        <w:tc>
          <w:tcPr>
            <w:tcW w:w="2500" w:type="pct"/>
            <w:vAlign w:val="center"/>
          </w:tcPr>
          <w:p w14:paraId="4977DABD">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5</w:t>
            </w:r>
          </w:p>
        </w:tc>
        <w:tc>
          <w:tcPr>
            <w:tcW w:w="2500" w:type="pct"/>
            <w:vAlign w:val="center"/>
          </w:tcPr>
          <w:p w14:paraId="0D113A04">
            <w:pPr>
              <w:pStyle w:val="8"/>
              <w:suppressLineNumbers w:val="0"/>
              <w:bidi w:val="0"/>
              <w:spacing w:before="0" w:beforeAutospacing="0" w:after="0" w:afterAutospacing="0"/>
              <w:ind w:left="0" w:right="0"/>
              <w:rPr>
                <w:rFonts w:hint="eastAsia"/>
                <w:highlight w:val="none"/>
              </w:rPr>
            </w:pPr>
            <w:r>
              <w:rPr>
                <w:rFonts w:hint="eastAsia"/>
                <w:highlight w:val="none"/>
              </w:rPr>
              <w:t>1.324881E+09</w:t>
            </w:r>
          </w:p>
        </w:tc>
      </w:tr>
      <w:tr w14:paraId="332CEDA7">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55" w:hRule="atLeast"/>
          <w:jc w:val="center"/>
        </w:trPr>
        <w:tc>
          <w:tcPr>
            <w:tcW w:w="2500" w:type="pct"/>
            <w:vAlign w:val="center"/>
          </w:tcPr>
          <w:p w14:paraId="2F50FCA4">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50</w:t>
            </w:r>
          </w:p>
        </w:tc>
        <w:tc>
          <w:tcPr>
            <w:tcW w:w="2500" w:type="pct"/>
            <w:vAlign w:val="center"/>
          </w:tcPr>
          <w:p w14:paraId="68D803FD">
            <w:pPr>
              <w:pStyle w:val="8"/>
              <w:suppressLineNumbers w:val="0"/>
              <w:bidi w:val="0"/>
              <w:spacing w:before="0" w:beforeAutospacing="0" w:after="0" w:afterAutospacing="0"/>
              <w:ind w:left="0" w:right="0"/>
              <w:rPr>
                <w:rFonts w:hint="eastAsia"/>
                <w:highlight w:val="none"/>
              </w:rPr>
            </w:pPr>
            <w:r>
              <w:rPr>
                <w:rFonts w:hint="eastAsia"/>
                <w:highlight w:val="none"/>
              </w:rPr>
              <w:t>4.333454E+08</w:t>
            </w:r>
          </w:p>
        </w:tc>
      </w:tr>
      <w:tr w14:paraId="13974671">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90" w:hRule="atLeast"/>
          <w:jc w:val="center"/>
        </w:trPr>
        <w:tc>
          <w:tcPr>
            <w:tcW w:w="2500" w:type="pct"/>
            <w:vAlign w:val="center"/>
          </w:tcPr>
          <w:p w14:paraId="7C8BA78C">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100</w:t>
            </w:r>
          </w:p>
        </w:tc>
        <w:tc>
          <w:tcPr>
            <w:tcW w:w="2500" w:type="pct"/>
            <w:vAlign w:val="center"/>
          </w:tcPr>
          <w:p w14:paraId="33B89461">
            <w:pPr>
              <w:pStyle w:val="8"/>
              <w:suppressLineNumbers w:val="0"/>
              <w:bidi w:val="0"/>
              <w:spacing w:before="0" w:beforeAutospacing="0" w:after="0" w:afterAutospacing="0"/>
              <w:ind w:left="0" w:right="0"/>
              <w:rPr>
                <w:rFonts w:hint="eastAsia"/>
                <w:highlight w:val="none"/>
              </w:rPr>
            </w:pPr>
            <w:r>
              <w:rPr>
                <w:rFonts w:hint="eastAsia"/>
                <w:highlight w:val="none"/>
              </w:rPr>
              <w:t>2.892992E+08</w:t>
            </w:r>
          </w:p>
        </w:tc>
      </w:tr>
    </w:tbl>
    <w:p w14:paraId="0BCE8C6A">
      <w:pPr>
        <w:keepNext w:val="0"/>
        <w:keepLines w:val="0"/>
        <w:pageBreakBefore w:val="0"/>
        <w:widowControl/>
        <w:kinsoku/>
        <w:wordWrap/>
        <w:overflowPunct/>
        <w:topLinePunct w:val="0"/>
        <w:autoSpaceDE/>
        <w:autoSpaceDN/>
        <w:bidi w:val="0"/>
        <w:adjustRightInd/>
        <w:snapToGrid/>
        <w:spacing w:line="360" w:lineRule="auto"/>
        <w:ind w:left="0" w:firstLine="480" w:firstLineChars="200"/>
        <w:jc w:val="both"/>
        <w:textAlignment w:val="auto"/>
        <w:rPr>
          <w:rFonts w:hint="eastAsia" w:cs="Times New Roman" w:eastAsiaTheme="minorEastAsia"/>
          <w:b w:val="0"/>
          <w:bCs/>
          <w:color w:val="auto"/>
          <w:spacing w:val="0"/>
          <w:position w:val="0"/>
          <w:sz w:val="24"/>
          <w:highlight w:val="none"/>
          <w:lang w:val="en-US" w:eastAsia="zh-CN"/>
        </w:rPr>
      </w:pPr>
      <w:r>
        <w:rPr>
          <w:rFonts w:hint="eastAsia" w:cs="Times New Roman" w:eastAsiaTheme="minorEastAsia"/>
          <w:b w:val="0"/>
          <w:bCs/>
          <w:color w:val="auto"/>
          <w:spacing w:val="0"/>
          <w:position w:val="0"/>
          <w:sz w:val="24"/>
          <w:highlight w:val="none"/>
          <w:lang w:val="en-US" w:eastAsia="zh-CN"/>
        </w:rPr>
        <w:t>经预测，到达厂界时出现超标时间点为1d。</w:t>
      </w:r>
    </w:p>
    <w:p w14:paraId="09021B69">
      <w:pPr>
        <w:keepNext w:val="0"/>
        <w:keepLines w:val="0"/>
        <w:pageBreakBefore w:val="0"/>
        <w:widowControl/>
        <w:kinsoku/>
        <w:wordWrap/>
        <w:overflowPunct/>
        <w:topLinePunct w:val="0"/>
        <w:autoSpaceDE/>
        <w:autoSpaceDN/>
        <w:bidi w:val="0"/>
        <w:adjustRightInd/>
        <w:snapToGrid/>
        <w:spacing w:line="360" w:lineRule="auto"/>
        <w:ind w:left="0" w:firstLine="0" w:firstLineChars="0"/>
        <w:jc w:val="center"/>
        <w:textAlignment w:val="auto"/>
        <w:rPr>
          <w:color w:val="auto"/>
          <w:spacing w:val="0"/>
          <w:position w:val="0"/>
          <w:highlight w:val="none"/>
        </w:rPr>
      </w:pPr>
      <w:r>
        <w:rPr>
          <w:highlight w:val="none"/>
        </w:rPr>
        <w:drawing>
          <wp:inline distT="0" distB="0" distL="114300" distR="114300">
            <wp:extent cx="5271135" cy="3077210"/>
            <wp:effectExtent l="9525" t="9525" r="15240" b="18415"/>
            <wp:docPr id="4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7"/>
                    <pic:cNvPicPr>
                      <a:picLocks noChangeAspect="1"/>
                    </pic:cNvPicPr>
                  </pic:nvPicPr>
                  <pic:blipFill>
                    <a:blip r:embed="rId82"/>
                    <a:stretch>
                      <a:fillRect/>
                    </a:stretch>
                  </pic:blipFill>
                  <pic:spPr>
                    <a:xfrm>
                      <a:off x="0" y="0"/>
                      <a:ext cx="5271135" cy="3077210"/>
                    </a:xfrm>
                    <a:prstGeom prst="rect">
                      <a:avLst/>
                    </a:prstGeom>
                    <a:noFill/>
                    <a:ln>
                      <a:solidFill>
                        <a:schemeClr val="tx1"/>
                      </a:solidFill>
                    </a:ln>
                  </pic:spPr>
                </pic:pic>
              </a:graphicData>
            </a:graphic>
          </wp:inline>
        </w:drawing>
      </w:r>
    </w:p>
    <w:p w14:paraId="5D328D1B">
      <w:pPr>
        <w:keepNext w:val="0"/>
        <w:keepLines w:val="0"/>
        <w:pageBreakBefore w:val="0"/>
        <w:widowControl/>
        <w:kinsoku/>
        <w:wordWrap/>
        <w:overflowPunct/>
        <w:topLinePunct w:val="0"/>
        <w:autoSpaceDE/>
        <w:autoSpaceDN/>
        <w:bidi w:val="0"/>
        <w:adjustRightInd/>
        <w:snapToGrid/>
        <w:spacing w:line="360" w:lineRule="auto"/>
        <w:ind w:left="0" w:firstLine="0" w:firstLineChars="0"/>
        <w:jc w:val="center"/>
        <w:textAlignment w:val="auto"/>
        <w:rPr>
          <w:rFonts w:hint="eastAsia" w:cs="Times New Roman" w:eastAsiaTheme="minorEastAsia"/>
          <w:b/>
          <w:color w:val="auto"/>
          <w:spacing w:val="0"/>
          <w:position w:val="0"/>
          <w:sz w:val="24"/>
          <w:highlight w:val="none"/>
          <w:lang w:val="en-US" w:eastAsia="zh-CN"/>
        </w:rPr>
      </w:pPr>
      <w:r>
        <w:rPr>
          <w:rFonts w:hint="default" w:ascii="Times New Roman" w:hAnsi="Times New Roman" w:cs="Times New Roman" w:eastAsiaTheme="minorEastAsia"/>
          <w:b/>
          <w:color w:val="auto"/>
          <w:spacing w:val="0"/>
          <w:position w:val="0"/>
          <w:sz w:val="24"/>
          <w:highlight w:val="none"/>
        </w:rPr>
        <w:t>图5-2-</w:t>
      </w:r>
      <w:r>
        <w:rPr>
          <w:rFonts w:hint="eastAsia" w:cs="Times New Roman" w:eastAsiaTheme="minorEastAsia"/>
          <w:b/>
          <w:color w:val="auto"/>
          <w:spacing w:val="0"/>
          <w:position w:val="0"/>
          <w:sz w:val="24"/>
          <w:highlight w:val="none"/>
          <w:lang w:val="en-US" w:eastAsia="zh-CN"/>
        </w:rPr>
        <w:t>4</w:t>
      </w:r>
      <w:r>
        <w:rPr>
          <w:rFonts w:hint="eastAsia" w:ascii="Times New Roman" w:hAnsi="Times New Roman" w:cs="Times New Roman" w:eastAsiaTheme="minorEastAsia"/>
          <w:b/>
          <w:color w:val="auto"/>
          <w:spacing w:val="0"/>
          <w:position w:val="0"/>
          <w:sz w:val="24"/>
          <w:highlight w:val="none"/>
          <w:lang w:val="en-US" w:eastAsia="zh-CN"/>
        </w:rPr>
        <w:t>石油类</w:t>
      </w:r>
      <w:r>
        <w:rPr>
          <w:rFonts w:hint="default" w:ascii="Times New Roman" w:hAnsi="Times New Roman" w:cs="Times New Roman" w:eastAsiaTheme="minorEastAsia"/>
          <w:b/>
          <w:color w:val="auto"/>
          <w:spacing w:val="0"/>
          <w:position w:val="0"/>
          <w:sz w:val="24"/>
          <w:highlight w:val="none"/>
        </w:rPr>
        <w:t>溶质</w:t>
      </w:r>
      <w:r>
        <w:rPr>
          <w:rFonts w:hint="eastAsia" w:cs="Times New Roman" w:eastAsiaTheme="minorEastAsia"/>
          <w:b/>
          <w:color w:val="auto"/>
          <w:spacing w:val="0"/>
          <w:position w:val="0"/>
          <w:sz w:val="24"/>
          <w:highlight w:val="none"/>
          <w:lang w:val="en-US" w:eastAsia="zh-CN"/>
        </w:rPr>
        <w:t>到达厂界预测图</w:t>
      </w:r>
    </w:p>
    <w:p w14:paraId="4F910E99">
      <w:pPr>
        <w:pStyle w:val="4"/>
        <w:bidi w:val="0"/>
        <w:rPr>
          <w:highlight w:val="none"/>
        </w:rPr>
      </w:pPr>
      <w:bookmarkStart w:id="449" w:name="_Toc11677"/>
      <w:bookmarkStart w:id="450" w:name="_Toc6405"/>
      <w:r>
        <w:rPr>
          <w:highlight w:val="none"/>
        </w:rPr>
        <w:t>5.2.4声环境影响预测与分析</w:t>
      </w:r>
      <w:bookmarkEnd w:id="449"/>
      <w:bookmarkEnd w:id="450"/>
    </w:p>
    <w:p w14:paraId="4D58993D">
      <w:pPr>
        <w:pStyle w:val="6"/>
        <w:bidi w:val="0"/>
        <w:rPr>
          <w:highlight w:val="none"/>
        </w:rPr>
      </w:pPr>
      <w:r>
        <w:rPr>
          <w:highlight w:val="none"/>
        </w:rPr>
        <w:t>5.2.4.1主要噪声源</w:t>
      </w:r>
    </w:p>
    <w:p w14:paraId="2E004584">
      <w:pPr>
        <w:bidi w:val="0"/>
        <w:rPr>
          <w:highlight w:val="none"/>
        </w:rPr>
      </w:pPr>
      <w:r>
        <w:rPr>
          <w:highlight w:val="none"/>
        </w:rPr>
        <w:t>①源强调查</w:t>
      </w:r>
    </w:p>
    <w:p w14:paraId="56801A81">
      <w:pPr>
        <w:bidi w:val="0"/>
        <w:rPr>
          <w:rFonts w:eastAsiaTheme="minorEastAsia"/>
          <w:szCs w:val="24"/>
          <w:highlight w:val="none"/>
        </w:rPr>
      </w:pPr>
      <w:r>
        <w:rPr>
          <w:highlight w:val="none"/>
        </w:rPr>
        <w:t>项目室内噪声</w:t>
      </w:r>
      <w:r>
        <w:rPr>
          <w:rFonts w:hAnsiTheme="minorEastAsia" w:eastAsiaTheme="minorEastAsia"/>
          <w:szCs w:val="24"/>
          <w:highlight w:val="none"/>
        </w:rPr>
        <w:t>源的源强调查清单见下表。</w:t>
      </w:r>
    </w:p>
    <w:p w14:paraId="4DFB5E30">
      <w:pPr>
        <w:pStyle w:val="732"/>
        <w:adjustRightInd/>
        <w:snapToGrid/>
        <w:ind w:firstLine="480"/>
        <w:rPr>
          <w:rFonts w:cs="Times New Roman" w:eastAsiaTheme="minorEastAsia"/>
          <w:highlight w:val="none"/>
        </w:rPr>
        <w:sectPr>
          <w:headerReference r:id="rId15" w:type="default"/>
          <w:footerReference r:id="rId16" w:type="default"/>
          <w:pgSz w:w="11906" w:h="16838"/>
          <w:pgMar w:top="1440" w:right="1800" w:bottom="1440" w:left="1800" w:header="851" w:footer="992" w:gutter="0"/>
          <w:pgBorders w:offsetFrom="page">
            <w:top w:val="none" w:sz="0" w:space="0"/>
            <w:left w:val="none" w:sz="0" w:space="0"/>
            <w:bottom w:val="none" w:sz="0" w:space="0"/>
            <w:right w:val="none" w:sz="0" w:space="0"/>
          </w:pgBorders>
          <w:cols w:space="425" w:num="1"/>
          <w:docGrid w:type="lines" w:linePitch="312" w:charSpace="0"/>
        </w:sectPr>
      </w:pPr>
    </w:p>
    <w:p w14:paraId="4D5708C0">
      <w:pPr>
        <w:pStyle w:val="7"/>
        <w:bidi w:val="0"/>
        <w:rPr>
          <w:highlight w:val="none"/>
        </w:rPr>
      </w:pPr>
      <w:r>
        <w:rPr>
          <w:highlight w:val="none"/>
        </w:rPr>
        <w:t>表</w:t>
      </w:r>
      <w:r>
        <w:rPr>
          <w:rFonts w:hint="eastAsia"/>
          <w:highlight w:val="none"/>
          <w:lang w:val="en-US" w:eastAsia="zh-CN"/>
        </w:rPr>
        <w:t>5-2-16</w:t>
      </w:r>
      <w:r>
        <w:rPr>
          <w:highlight w:val="none"/>
        </w:rPr>
        <w:t>工业企业</w:t>
      </w:r>
      <w:r>
        <w:rPr>
          <w:rFonts w:hint="eastAsia"/>
          <w:highlight w:val="none"/>
          <w:lang w:eastAsia="zh-CN"/>
        </w:rPr>
        <w:t>噪声</w:t>
      </w:r>
      <w:r>
        <w:rPr>
          <w:rFonts w:hint="eastAsia"/>
          <w:highlight w:val="none"/>
          <w:lang w:val="en-US" w:eastAsia="zh-CN"/>
        </w:rPr>
        <w:t>源</w:t>
      </w:r>
      <w:r>
        <w:rPr>
          <w:highlight w:val="none"/>
        </w:rPr>
        <w:t>强调查清单（室内声源）</w:t>
      </w:r>
    </w:p>
    <w:p w14:paraId="28EE4ED7">
      <w:pPr>
        <w:rPr>
          <w:rFonts w:eastAsiaTheme="minorEastAsia"/>
          <w:highlight w:val="none"/>
        </w:rPr>
      </w:pPr>
    </w:p>
    <w:p w14:paraId="535E80FC">
      <w:pPr>
        <w:rPr>
          <w:rFonts w:eastAsiaTheme="minorEastAsia"/>
          <w:highlight w:val="none"/>
        </w:rPr>
      </w:pPr>
    </w:p>
    <w:tbl>
      <w:tblPr>
        <w:tblStyle w:val="4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92"/>
        <w:gridCol w:w="892"/>
        <w:gridCol w:w="892"/>
        <w:gridCol w:w="90"/>
        <w:gridCol w:w="1348"/>
        <w:gridCol w:w="313"/>
        <w:gridCol w:w="662"/>
        <w:gridCol w:w="319"/>
        <w:gridCol w:w="592"/>
        <w:gridCol w:w="300"/>
        <w:gridCol w:w="644"/>
        <w:gridCol w:w="191"/>
        <w:gridCol w:w="641"/>
        <w:gridCol w:w="194"/>
        <w:gridCol w:w="638"/>
        <w:gridCol w:w="174"/>
        <w:gridCol w:w="765"/>
        <w:gridCol w:w="127"/>
        <w:gridCol w:w="790"/>
        <w:gridCol w:w="139"/>
        <w:gridCol w:w="783"/>
        <w:gridCol w:w="109"/>
        <w:gridCol w:w="840"/>
        <w:gridCol w:w="52"/>
        <w:gridCol w:w="868"/>
        <w:gridCol w:w="26"/>
        <w:gridCol w:w="893"/>
      </w:tblGrid>
      <w:tr w14:paraId="59A901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6" w:type="pct"/>
            <w:vMerge w:val="restart"/>
            <w:vAlign w:val="center"/>
          </w:tcPr>
          <w:p w14:paraId="2F7678B8">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序号</w:t>
            </w:r>
          </w:p>
        </w:tc>
        <w:tc>
          <w:tcPr>
            <w:tcW w:w="249" w:type="pct"/>
            <w:vMerge w:val="restart"/>
            <w:vAlign w:val="center"/>
          </w:tcPr>
          <w:p w14:paraId="468684F5">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建筑物名称</w:t>
            </w:r>
          </w:p>
        </w:tc>
        <w:tc>
          <w:tcPr>
            <w:tcW w:w="305" w:type="pct"/>
            <w:vMerge w:val="restart"/>
            <w:vAlign w:val="center"/>
          </w:tcPr>
          <w:p w14:paraId="0D785A75">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声源名称</w:t>
            </w:r>
          </w:p>
        </w:tc>
        <w:tc>
          <w:tcPr>
            <w:tcW w:w="627" w:type="pct"/>
            <w:gridSpan w:val="3"/>
            <w:vMerge w:val="restart"/>
            <w:vAlign w:val="center"/>
          </w:tcPr>
          <w:p w14:paraId="0C5FEFE7">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型号</w:t>
            </w:r>
          </w:p>
        </w:tc>
        <w:tc>
          <w:tcPr>
            <w:tcW w:w="391" w:type="pct"/>
            <w:gridSpan w:val="2"/>
            <w:vAlign w:val="center"/>
          </w:tcPr>
          <w:p w14:paraId="79A6D4E4">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声源源强</w:t>
            </w:r>
          </w:p>
        </w:tc>
        <w:tc>
          <w:tcPr>
            <w:tcW w:w="273" w:type="pct"/>
            <w:gridSpan w:val="2"/>
            <w:vMerge w:val="restart"/>
            <w:vAlign w:val="center"/>
          </w:tcPr>
          <w:p w14:paraId="4632D77B">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声源控制措施</w:t>
            </w:r>
          </w:p>
        </w:tc>
        <w:tc>
          <w:tcPr>
            <w:tcW w:w="949" w:type="pct"/>
            <w:gridSpan w:val="6"/>
            <w:vAlign w:val="center"/>
          </w:tcPr>
          <w:p w14:paraId="7A7F8C30">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空间相对位置/m</w:t>
            </w:r>
          </w:p>
        </w:tc>
        <w:tc>
          <w:tcPr>
            <w:tcW w:w="358" w:type="pct"/>
            <w:gridSpan w:val="2"/>
            <w:vMerge w:val="restart"/>
            <w:vAlign w:val="center"/>
          </w:tcPr>
          <w:p w14:paraId="54890FDE">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距室内边界距离</w:t>
            </w:r>
          </w:p>
        </w:tc>
        <w:tc>
          <w:tcPr>
            <w:tcW w:w="358" w:type="pct"/>
            <w:gridSpan w:val="2"/>
            <w:vMerge w:val="restart"/>
            <w:vAlign w:val="center"/>
          </w:tcPr>
          <w:p w14:paraId="667B7A87">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室内边界声级/dB（A）</w:t>
            </w:r>
          </w:p>
        </w:tc>
        <w:tc>
          <w:tcPr>
            <w:tcW w:w="253" w:type="pct"/>
            <w:gridSpan w:val="2"/>
            <w:vMerge w:val="restart"/>
            <w:vAlign w:val="center"/>
          </w:tcPr>
          <w:p w14:paraId="231BF6E9">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运行时段</w:t>
            </w:r>
          </w:p>
        </w:tc>
        <w:tc>
          <w:tcPr>
            <w:tcW w:w="358" w:type="pct"/>
            <w:gridSpan w:val="2"/>
            <w:vMerge w:val="restart"/>
            <w:vAlign w:val="center"/>
          </w:tcPr>
          <w:p w14:paraId="57EE1CEE">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建筑物插入损失</w:t>
            </w:r>
          </w:p>
        </w:tc>
        <w:tc>
          <w:tcPr>
            <w:tcW w:w="717" w:type="pct"/>
            <w:gridSpan w:val="3"/>
            <w:vAlign w:val="center"/>
          </w:tcPr>
          <w:p w14:paraId="3D5025D0">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建筑物外噪声</w:t>
            </w:r>
          </w:p>
        </w:tc>
      </w:tr>
      <w:tr w14:paraId="2CDEE1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9" w:hRule="atLeast"/>
          <w:jc w:val="center"/>
        </w:trPr>
        <w:tc>
          <w:tcPr>
            <w:tcW w:w="156" w:type="pct"/>
            <w:vMerge w:val="continue"/>
            <w:vAlign w:val="center"/>
          </w:tcPr>
          <w:p w14:paraId="1FD26A9B">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p>
        </w:tc>
        <w:tc>
          <w:tcPr>
            <w:tcW w:w="249" w:type="pct"/>
            <w:vMerge w:val="continue"/>
            <w:vAlign w:val="center"/>
          </w:tcPr>
          <w:p w14:paraId="42E1F7C7">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p>
        </w:tc>
        <w:tc>
          <w:tcPr>
            <w:tcW w:w="305" w:type="pct"/>
            <w:vMerge w:val="continue"/>
            <w:vAlign w:val="center"/>
          </w:tcPr>
          <w:p w14:paraId="6BD12FFF">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p>
        </w:tc>
        <w:tc>
          <w:tcPr>
            <w:tcW w:w="627" w:type="pct"/>
            <w:gridSpan w:val="3"/>
            <w:vMerge w:val="continue"/>
            <w:vAlign w:val="center"/>
          </w:tcPr>
          <w:p w14:paraId="090BFBB5">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p>
        </w:tc>
        <w:tc>
          <w:tcPr>
            <w:tcW w:w="391" w:type="pct"/>
            <w:gridSpan w:val="2"/>
            <w:vAlign w:val="center"/>
          </w:tcPr>
          <w:p w14:paraId="4D205CA9">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声功率级/dB（A）</w:t>
            </w:r>
          </w:p>
        </w:tc>
        <w:tc>
          <w:tcPr>
            <w:tcW w:w="273" w:type="pct"/>
            <w:gridSpan w:val="2"/>
            <w:vMerge w:val="continue"/>
            <w:vAlign w:val="center"/>
          </w:tcPr>
          <w:p w14:paraId="69711A88">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p>
        </w:tc>
        <w:tc>
          <w:tcPr>
            <w:tcW w:w="358" w:type="pct"/>
            <w:gridSpan w:val="2"/>
            <w:vAlign w:val="center"/>
          </w:tcPr>
          <w:p w14:paraId="5971DD35">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X</w:t>
            </w:r>
          </w:p>
        </w:tc>
        <w:tc>
          <w:tcPr>
            <w:tcW w:w="306" w:type="pct"/>
            <w:gridSpan w:val="2"/>
            <w:vAlign w:val="center"/>
          </w:tcPr>
          <w:p w14:paraId="480B39A6">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Y</w:t>
            </w:r>
          </w:p>
        </w:tc>
        <w:tc>
          <w:tcPr>
            <w:tcW w:w="285" w:type="pct"/>
            <w:gridSpan w:val="2"/>
            <w:vAlign w:val="center"/>
          </w:tcPr>
          <w:p w14:paraId="4F504D07">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Z</w:t>
            </w:r>
          </w:p>
        </w:tc>
        <w:tc>
          <w:tcPr>
            <w:tcW w:w="358" w:type="pct"/>
            <w:gridSpan w:val="2"/>
            <w:vMerge w:val="continue"/>
            <w:vAlign w:val="center"/>
          </w:tcPr>
          <w:p w14:paraId="484CF90F">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p>
        </w:tc>
        <w:tc>
          <w:tcPr>
            <w:tcW w:w="358" w:type="pct"/>
            <w:gridSpan w:val="2"/>
            <w:vMerge w:val="continue"/>
            <w:vAlign w:val="center"/>
          </w:tcPr>
          <w:p w14:paraId="0AD54B8E">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p>
        </w:tc>
        <w:tc>
          <w:tcPr>
            <w:tcW w:w="253" w:type="pct"/>
            <w:gridSpan w:val="2"/>
            <w:vMerge w:val="continue"/>
            <w:vAlign w:val="center"/>
          </w:tcPr>
          <w:p w14:paraId="09C241FF">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p>
        </w:tc>
        <w:tc>
          <w:tcPr>
            <w:tcW w:w="358" w:type="pct"/>
            <w:gridSpan w:val="2"/>
            <w:vMerge w:val="continue"/>
            <w:vAlign w:val="center"/>
          </w:tcPr>
          <w:p w14:paraId="00E329B7">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p>
        </w:tc>
        <w:tc>
          <w:tcPr>
            <w:tcW w:w="359" w:type="pct"/>
            <w:gridSpan w:val="2"/>
            <w:vAlign w:val="center"/>
          </w:tcPr>
          <w:p w14:paraId="1B6DC230">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声压级/dB（A）</w:t>
            </w:r>
          </w:p>
        </w:tc>
        <w:tc>
          <w:tcPr>
            <w:tcW w:w="358" w:type="pct"/>
            <w:vAlign w:val="center"/>
          </w:tcPr>
          <w:p w14:paraId="1B60D9C7">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建筑物外距离</w:t>
            </w:r>
          </w:p>
        </w:tc>
      </w:tr>
      <w:tr w14:paraId="7ECC85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6" w:type="pct"/>
            <w:vAlign w:val="center"/>
          </w:tcPr>
          <w:p w14:paraId="34395AC2">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w:t>
            </w:r>
          </w:p>
        </w:tc>
        <w:tc>
          <w:tcPr>
            <w:tcW w:w="249" w:type="pct"/>
            <w:vMerge w:val="restart"/>
            <w:vAlign w:val="center"/>
          </w:tcPr>
          <w:p w14:paraId="09CFEBC2">
            <w:pPr>
              <w:keepNext w:val="0"/>
              <w:keepLines w:val="0"/>
              <w:widowControl/>
              <w:suppressLineNumbers w:val="0"/>
              <w:spacing w:before="0" w:beforeAutospacing="0" w:after="0" w:afterAutospacing="0" w:line="0" w:lineRule="atLeast"/>
              <w:ind w:left="0" w:right="0"/>
              <w:contextualSpacing/>
              <w:jc w:val="center"/>
              <w:textAlignment w:val="center"/>
              <w:rPr>
                <w:rFonts w:hint="default" w:ascii="Times New Roman" w:hAnsi="Times New Roman" w:cs="Times New Roman" w:eastAsiaTheme="minorEastAsia"/>
                <w:color w:val="auto"/>
                <w:kern w:val="0"/>
                <w:sz w:val="21"/>
                <w:szCs w:val="21"/>
                <w:highlight w:val="none"/>
                <w:lang w:val="zh-CN" w:eastAsia="zh-CN" w:bidi="ar-SA"/>
              </w:rPr>
            </w:pPr>
            <w:r>
              <w:rPr>
                <w:rFonts w:hint="default" w:ascii="Times New Roman" w:cs="Times New Roman" w:hAnsiTheme="minorEastAsia" w:eastAsiaTheme="minorEastAsia"/>
                <w:color w:val="auto"/>
                <w:kern w:val="0"/>
                <w:sz w:val="21"/>
                <w:szCs w:val="21"/>
                <w:highlight w:val="none"/>
                <w:lang w:val="en-US" w:eastAsia="zh-CN" w:bidi="ar-SA"/>
              </w:rPr>
              <w:t>机械加工区域</w:t>
            </w:r>
          </w:p>
        </w:tc>
        <w:tc>
          <w:tcPr>
            <w:tcW w:w="305" w:type="pct"/>
            <w:vAlign w:val="center"/>
          </w:tcPr>
          <w:p w14:paraId="2FD89A70">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cs="Times New Roman" w:hAnsiTheme="minorEastAsia" w:eastAsiaTheme="minorEastAsia"/>
                <w:sz w:val="21"/>
                <w:szCs w:val="21"/>
                <w:highlight w:val="none"/>
              </w:rPr>
              <w:t>卧式加工中心</w:t>
            </w:r>
          </w:p>
        </w:tc>
        <w:tc>
          <w:tcPr>
            <w:tcW w:w="627" w:type="pct"/>
            <w:gridSpan w:val="3"/>
            <w:vAlign w:val="center"/>
          </w:tcPr>
          <w:p w14:paraId="752EFC9C">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G525A2</w:t>
            </w:r>
            <w:r>
              <w:rPr>
                <w:rFonts w:hint="default" w:ascii="Times New Roman" w:cs="Times New Roman" w:hAnsiTheme="minorEastAsia" w:eastAsiaTheme="minorEastAsia"/>
                <w:sz w:val="21"/>
                <w:szCs w:val="21"/>
                <w:highlight w:val="none"/>
              </w:rPr>
              <w:t>（工序号</w:t>
            </w:r>
            <w:r>
              <w:rPr>
                <w:rFonts w:hint="default" w:ascii="Times New Roman" w:hAnsi="Times New Roman" w:cs="Times New Roman" w:eastAsiaTheme="minorEastAsia"/>
                <w:sz w:val="21"/>
                <w:szCs w:val="21"/>
                <w:highlight w:val="none"/>
              </w:rPr>
              <w:t>OP20</w:t>
            </w:r>
            <w:r>
              <w:rPr>
                <w:rFonts w:hint="default" w:ascii="Times New Roman" w:cs="Times New Roman" w:hAnsiTheme="minorEastAsia" w:eastAsiaTheme="minorEastAsia"/>
                <w:sz w:val="21"/>
                <w:szCs w:val="21"/>
                <w:highlight w:val="none"/>
              </w:rPr>
              <w:t>）</w:t>
            </w:r>
          </w:p>
        </w:tc>
        <w:tc>
          <w:tcPr>
            <w:tcW w:w="391" w:type="pct"/>
            <w:gridSpan w:val="2"/>
            <w:vAlign w:val="center"/>
          </w:tcPr>
          <w:p w14:paraId="74F9A319">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napToGrid w:val="0"/>
                <w:sz w:val="21"/>
                <w:szCs w:val="21"/>
                <w:highlight w:val="none"/>
              </w:rPr>
            </w:pPr>
            <w:r>
              <w:rPr>
                <w:rFonts w:hint="default" w:ascii="Times New Roman" w:hAnsi="Times New Roman" w:cs="Times New Roman" w:eastAsiaTheme="minorEastAsia"/>
                <w:snapToGrid w:val="0"/>
                <w:sz w:val="21"/>
                <w:szCs w:val="21"/>
                <w:highlight w:val="none"/>
              </w:rPr>
              <w:t>90</w:t>
            </w:r>
          </w:p>
        </w:tc>
        <w:tc>
          <w:tcPr>
            <w:tcW w:w="273" w:type="pct"/>
            <w:gridSpan w:val="2"/>
            <w:vMerge w:val="restart"/>
            <w:vAlign w:val="center"/>
          </w:tcPr>
          <w:p w14:paraId="2C9EAF37">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基础减振、厂房隔声措施</w:t>
            </w:r>
          </w:p>
        </w:tc>
        <w:tc>
          <w:tcPr>
            <w:tcW w:w="358" w:type="pct"/>
            <w:gridSpan w:val="2"/>
            <w:vAlign w:val="center"/>
          </w:tcPr>
          <w:p w14:paraId="11D8A957">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59</w:t>
            </w:r>
          </w:p>
        </w:tc>
        <w:tc>
          <w:tcPr>
            <w:tcW w:w="306" w:type="pct"/>
            <w:gridSpan w:val="2"/>
            <w:vAlign w:val="center"/>
          </w:tcPr>
          <w:p w14:paraId="0A1CF5F6">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37</w:t>
            </w:r>
          </w:p>
        </w:tc>
        <w:tc>
          <w:tcPr>
            <w:tcW w:w="285" w:type="pct"/>
            <w:gridSpan w:val="2"/>
            <w:vAlign w:val="center"/>
          </w:tcPr>
          <w:p w14:paraId="7EF9FB15">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178</w:t>
            </w:r>
          </w:p>
        </w:tc>
        <w:tc>
          <w:tcPr>
            <w:tcW w:w="358" w:type="pct"/>
            <w:gridSpan w:val="2"/>
            <w:vAlign w:val="center"/>
          </w:tcPr>
          <w:p w14:paraId="0728BBA6">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135</w:t>
            </w:r>
          </w:p>
          <w:p w14:paraId="10148F18">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26</w:t>
            </w:r>
          </w:p>
          <w:p w14:paraId="0D1DC5A4">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27</w:t>
            </w:r>
          </w:p>
          <w:p w14:paraId="5B4438E6">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91</w:t>
            </w:r>
          </w:p>
        </w:tc>
        <w:tc>
          <w:tcPr>
            <w:tcW w:w="358" w:type="pct"/>
            <w:gridSpan w:val="2"/>
            <w:vAlign w:val="center"/>
          </w:tcPr>
          <w:p w14:paraId="17EA37BB">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47.4</w:t>
            </w:r>
          </w:p>
          <w:p w14:paraId="33E8A823">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61.7</w:t>
            </w:r>
          </w:p>
          <w:p w14:paraId="647FF757">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61.4</w:t>
            </w:r>
          </w:p>
          <w:p w14:paraId="0DCC8757">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50.2</w:t>
            </w:r>
          </w:p>
        </w:tc>
        <w:tc>
          <w:tcPr>
            <w:tcW w:w="253" w:type="pct"/>
            <w:gridSpan w:val="2"/>
            <w:vAlign w:val="center"/>
          </w:tcPr>
          <w:p w14:paraId="0FF00CC3">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连续</w:t>
            </w:r>
          </w:p>
        </w:tc>
        <w:tc>
          <w:tcPr>
            <w:tcW w:w="358" w:type="pct"/>
            <w:gridSpan w:val="2"/>
            <w:vAlign w:val="center"/>
          </w:tcPr>
          <w:p w14:paraId="38353A4C">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20</w:t>
            </w:r>
          </w:p>
        </w:tc>
        <w:tc>
          <w:tcPr>
            <w:tcW w:w="359" w:type="pct"/>
            <w:gridSpan w:val="2"/>
            <w:vAlign w:val="center"/>
          </w:tcPr>
          <w:p w14:paraId="25F7C1A9">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27.4</w:t>
            </w:r>
          </w:p>
          <w:p w14:paraId="66F45ED3">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41.7</w:t>
            </w:r>
          </w:p>
          <w:p w14:paraId="7424D65C">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41.4</w:t>
            </w:r>
          </w:p>
          <w:p w14:paraId="37AF5848">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30.2</w:t>
            </w:r>
          </w:p>
        </w:tc>
        <w:tc>
          <w:tcPr>
            <w:tcW w:w="358" w:type="pct"/>
            <w:vAlign w:val="center"/>
          </w:tcPr>
          <w:p w14:paraId="50DE37FB">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1m</w:t>
            </w:r>
          </w:p>
        </w:tc>
      </w:tr>
      <w:tr w14:paraId="6887B7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6" w:type="pct"/>
            <w:vAlign w:val="center"/>
          </w:tcPr>
          <w:p w14:paraId="0EDD8FBA">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w:t>
            </w:r>
          </w:p>
        </w:tc>
        <w:tc>
          <w:tcPr>
            <w:tcW w:w="249" w:type="pct"/>
            <w:vMerge w:val="continue"/>
            <w:vAlign w:val="center"/>
          </w:tcPr>
          <w:p w14:paraId="23B02292">
            <w:pPr>
              <w:keepNext w:val="0"/>
              <w:keepLines w:val="0"/>
              <w:widowControl/>
              <w:suppressLineNumbers w:val="0"/>
              <w:spacing w:before="0" w:beforeAutospacing="0" w:after="0" w:afterAutospacing="0" w:line="0" w:lineRule="atLeast"/>
              <w:ind w:left="0" w:right="0"/>
              <w:contextualSpacing/>
              <w:jc w:val="center"/>
              <w:textAlignment w:val="center"/>
              <w:rPr>
                <w:rFonts w:hint="default" w:ascii="Times New Roman" w:hAnsi="Times New Roman" w:cs="Times New Roman" w:eastAsiaTheme="minorEastAsia"/>
                <w:color w:val="auto"/>
                <w:kern w:val="0"/>
                <w:sz w:val="21"/>
                <w:szCs w:val="21"/>
                <w:highlight w:val="none"/>
                <w:lang w:val="en-US" w:eastAsia="zh-CN" w:bidi="ar-SA"/>
              </w:rPr>
            </w:pPr>
          </w:p>
        </w:tc>
        <w:tc>
          <w:tcPr>
            <w:tcW w:w="305" w:type="pct"/>
            <w:vAlign w:val="center"/>
          </w:tcPr>
          <w:p w14:paraId="488275AE">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cs="Times New Roman" w:hAnsiTheme="minorEastAsia" w:eastAsiaTheme="minorEastAsia"/>
                <w:sz w:val="21"/>
                <w:szCs w:val="21"/>
                <w:highlight w:val="none"/>
              </w:rPr>
              <w:t>卧式加工中心</w:t>
            </w:r>
          </w:p>
        </w:tc>
        <w:tc>
          <w:tcPr>
            <w:tcW w:w="627" w:type="pct"/>
            <w:gridSpan w:val="3"/>
            <w:vAlign w:val="center"/>
          </w:tcPr>
          <w:p w14:paraId="14BC3329">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G525A2</w:t>
            </w:r>
            <w:r>
              <w:rPr>
                <w:rFonts w:hint="default" w:ascii="Times New Roman" w:cs="Times New Roman" w:hAnsiTheme="minorEastAsia" w:eastAsiaTheme="minorEastAsia"/>
                <w:sz w:val="21"/>
                <w:szCs w:val="21"/>
                <w:highlight w:val="none"/>
              </w:rPr>
              <w:t>（工序号</w:t>
            </w:r>
            <w:r>
              <w:rPr>
                <w:rFonts w:hint="default" w:ascii="Times New Roman" w:hAnsi="Times New Roman" w:cs="Times New Roman" w:eastAsiaTheme="minorEastAsia"/>
                <w:sz w:val="21"/>
                <w:szCs w:val="21"/>
                <w:highlight w:val="none"/>
              </w:rPr>
              <w:t>OP30</w:t>
            </w:r>
            <w:r>
              <w:rPr>
                <w:rFonts w:hint="default" w:ascii="Times New Roman" w:cs="Times New Roman" w:hAnsiTheme="minorEastAsia" w:eastAsiaTheme="minorEastAsia"/>
                <w:sz w:val="21"/>
                <w:szCs w:val="21"/>
                <w:highlight w:val="none"/>
              </w:rPr>
              <w:t>）</w:t>
            </w:r>
          </w:p>
        </w:tc>
        <w:tc>
          <w:tcPr>
            <w:tcW w:w="391" w:type="pct"/>
            <w:gridSpan w:val="2"/>
            <w:vAlign w:val="center"/>
          </w:tcPr>
          <w:p w14:paraId="13C6EB2E">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napToGrid w:val="0"/>
                <w:sz w:val="21"/>
                <w:szCs w:val="21"/>
                <w:highlight w:val="none"/>
              </w:rPr>
            </w:pPr>
            <w:r>
              <w:rPr>
                <w:rFonts w:hint="default" w:ascii="Times New Roman" w:hAnsi="Times New Roman" w:cs="Times New Roman" w:eastAsiaTheme="minorEastAsia"/>
                <w:snapToGrid w:val="0"/>
                <w:sz w:val="21"/>
                <w:szCs w:val="21"/>
                <w:highlight w:val="none"/>
              </w:rPr>
              <w:t>90</w:t>
            </w:r>
          </w:p>
        </w:tc>
        <w:tc>
          <w:tcPr>
            <w:tcW w:w="273" w:type="pct"/>
            <w:gridSpan w:val="2"/>
            <w:vMerge w:val="continue"/>
            <w:vAlign w:val="center"/>
          </w:tcPr>
          <w:p w14:paraId="5D0DDFD1">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p>
        </w:tc>
        <w:tc>
          <w:tcPr>
            <w:tcW w:w="358" w:type="pct"/>
            <w:gridSpan w:val="2"/>
            <w:vAlign w:val="center"/>
          </w:tcPr>
          <w:p w14:paraId="46D44CF0">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59</w:t>
            </w:r>
          </w:p>
        </w:tc>
        <w:tc>
          <w:tcPr>
            <w:tcW w:w="306" w:type="pct"/>
            <w:gridSpan w:val="2"/>
            <w:vAlign w:val="center"/>
          </w:tcPr>
          <w:p w14:paraId="6FF70D0F">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39</w:t>
            </w:r>
          </w:p>
        </w:tc>
        <w:tc>
          <w:tcPr>
            <w:tcW w:w="285" w:type="pct"/>
            <w:gridSpan w:val="2"/>
            <w:vAlign w:val="center"/>
          </w:tcPr>
          <w:p w14:paraId="441171D6">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178</w:t>
            </w:r>
          </w:p>
        </w:tc>
        <w:tc>
          <w:tcPr>
            <w:tcW w:w="358" w:type="pct"/>
            <w:gridSpan w:val="2"/>
            <w:vAlign w:val="center"/>
          </w:tcPr>
          <w:p w14:paraId="2DBEE56D">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135</w:t>
            </w:r>
          </w:p>
          <w:p w14:paraId="5D371467">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28</w:t>
            </w:r>
          </w:p>
          <w:p w14:paraId="360867EE">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27</w:t>
            </w:r>
          </w:p>
          <w:p w14:paraId="48CB8F0D">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89</w:t>
            </w:r>
          </w:p>
        </w:tc>
        <w:tc>
          <w:tcPr>
            <w:tcW w:w="358" w:type="pct"/>
            <w:gridSpan w:val="2"/>
            <w:vAlign w:val="center"/>
          </w:tcPr>
          <w:p w14:paraId="50F374C9">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47.4</w:t>
            </w:r>
          </w:p>
          <w:p w14:paraId="4302E5DC">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61.1</w:t>
            </w:r>
          </w:p>
          <w:p w14:paraId="47919105">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61.4</w:t>
            </w:r>
          </w:p>
          <w:p w14:paraId="3DE27BFA">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51.0</w:t>
            </w:r>
          </w:p>
        </w:tc>
        <w:tc>
          <w:tcPr>
            <w:tcW w:w="253" w:type="pct"/>
            <w:gridSpan w:val="2"/>
            <w:vAlign w:val="center"/>
          </w:tcPr>
          <w:p w14:paraId="6194975E">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连续</w:t>
            </w:r>
          </w:p>
        </w:tc>
        <w:tc>
          <w:tcPr>
            <w:tcW w:w="358" w:type="pct"/>
            <w:gridSpan w:val="2"/>
            <w:vAlign w:val="center"/>
          </w:tcPr>
          <w:p w14:paraId="74B14C9D">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20</w:t>
            </w:r>
          </w:p>
        </w:tc>
        <w:tc>
          <w:tcPr>
            <w:tcW w:w="359" w:type="pct"/>
            <w:gridSpan w:val="2"/>
            <w:vAlign w:val="center"/>
          </w:tcPr>
          <w:p w14:paraId="4BAD4A28">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27.4</w:t>
            </w:r>
          </w:p>
          <w:p w14:paraId="10E8551D">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41.1</w:t>
            </w:r>
          </w:p>
          <w:p w14:paraId="5F7ADAA1">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41.4</w:t>
            </w:r>
          </w:p>
          <w:p w14:paraId="41184461">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31.0</w:t>
            </w:r>
          </w:p>
        </w:tc>
        <w:tc>
          <w:tcPr>
            <w:tcW w:w="358" w:type="pct"/>
            <w:vAlign w:val="center"/>
          </w:tcPr>
          <w:p w14:paraId="2BA3ACFB">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1m</w:t>
            </w:r>
          </w:p>
        </w:tc>
      </w:tr>
      <w:tr w14:paraId="1D9530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6" w:type="pct"/>
            <w:vAlign w:val="center"/>
          </w:tcPr>
          <w:p w14:paraId="63DCF885">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3</w:t>
            </w:r>
          </w:p>
        </w:tc>
        <w:tc>
          <w:tcPr>
            <w:tcW w:w="249" w:type="pct"/>
            <w:vMerge w:val="continue"/>
            <w:vAlign w:val="center"/>
          </w:tcPr>
          <w:p w14:paraId="1E5C1C00">
            <w:pPr>
              <w:keepNext w:val="0"/>
              <w:keepLines w:val="0"/>
              <w:widowControl/>
              <w:suppressLineNumbers w:val="0"/>
              <w:spacing w:before="0" w:beforeAutospacing="0" w:after="0" w:afterAutospacing="0" w:line="0" w:lineRule="atLeast"/>
              <w:ind w:left="0" w:right="0"/>
              <w:contextualSpacing/>
              <w:jc w:val="center"/>
              <w:textAlignment w:val="center"/>
              <w:rPr>
                <w:rFonts w:hint="default" w:ascii="Times New Roman" w:hAnsi="Times New Roman" w:cs="Times New Roman" w:eastAsiaTheme="minorEastAsia"/>
                <w:color w:val="auto"/>
                <w:kern w:val="0"/>
                <w:sz w:val="21"/>
                <w:szCs w:val="21"/>
                <w:highlight w:val="none"/>
                <w:lang w:val="en-US" w:eastAsia="zh-CN" w:bidi="ar-SA"/>
              </w:rPr>
            </w:pPr>
          </w:p>
        </w:tc>
        <w:tc>
          <w:tcPr>
            <w:tcW w:w="305" w:type="pct"/>
            <w:vAlign w:val="center"/>
          </w:tcPr>
          <w:p w14:paraId="4F33DB23">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cs="Times New Roman" w:hAnsiTheme="minorEastAsia" w:eastAsiaTheme="minorEastAsia"/>
                <w:sz w:val="21"/>
                <w:szCs w:val="21"/>
                <w:highlight w:val="none"/>
              </w:rPr>
              <w:t>卧式加工中心</w:t>
            </w:r>
          </w:p>
        </w:tc>
        <w:tc>
          <w:tcPr>
            <w:tcW w:w="627" w:type="pct"/>
            <w:gridSpan w:val="3"/>
            <w:vAlign w:val="center"/>
          </w:tcPr>
          <w:p w14:paraId="5121EC4B">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G525A2</w:t>
            </w:r>
            <w:r>
              <w:rPr>
                <w:rFonts w:hint="default" w:ascii="Times New Roman" w:cs="Times New Roman" w:hAnsiTheme="minorEastAsia" w:eastAsiaTheme="minorEastAsia"/>
                <w:sz w:val="21"/>
                <w:szCs w:val="21"/>
                <w:highlight w:val="none"/>
              </w:rPr>
              <w:t>（工序号</w:t>
            </w:r>
            <w:r>
              <w:rPr>
                <w:rFonts w:hint="default" w:ascii="Times New Roman" w:hAnsi="Times New Roman" w:cs="Times New Roman" w:eastAsiaTheme="minorEastAsia"/>
                <w:sz w:val="21"/>
                <w:szCs w:val="21"/>
                <w:highlight w:val="none"/>
              </w:rPr>
              <w:t>OP40</w:t>
            </w:r>
            <w:r>
              <w:rPr>
                <w:rFonts w:hint="default" w:ascii="Times New Roman" w:cs="Times New Roman" w:hAnsiTheme="minorEastAsia" w:eastAsiaTheme="minorEastAsia"/>
                <w:sz w:val="21"/>
                <w:szCs w:val="21"/>
                <w:highlight w:val="none"/>
              </w:rPr>
              <w:t>）</w:t>
            </w:r>
          </w:p>
        </w:tc>
        <w:tc>
          <w:tcPr>
            <w:tcW w:w="391" w:type="pct"/>
            <w:gridSpan w:val="2"/>
            <w:vAlign w:val="center"/>
          </w:tcPr>
          <w:p w14:paraId="2ECC2812">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napToGrid w:val="0"/>
                <w:sz w:val="21"/>
                <w:szCs w:val="21"/>
                <w:highlight w:val="none"/>
              </w:rPr>
            </w:pPr>
            <w:r>
              <w:rPr>
                <w:rFonts w:hint="default" w:ascii="Times New Roman" w:hAnsi="Times New Roman" w:cs="Times New Roman" w:eastAsiaTheme="minorEastAsia"/>
                <w:snapToGrid w:val="0"/>
                <w:sz w:val="21"/>
                <w:szCs w:val="21"/>
                <w:highlight w:val="none"/>
              </w:rPr>
              <w:t>90</w:t>
            </w:r>
          </w:p>
        </w:tc>
        <w:tc>
          <w:tcPr>
            <w:tcW w:w="273" w:type="pct"/>
            <w:gridSpan w:val="2"/>
            <w:vMerge w:val="continue"/>
            <w:vAlign w:val="center"/>
          </w:tcPr>
          <w:p w14:paraId="303695D1">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p>
        </w:tc>
        <w:tc>
          <w:tcPr>
            <w:tcW w:w="358" w:type="pct"/>
            <w:gridSpan w:val="2"/>
            <w:vAlign w:val="center"/>
          </w:tcPr>
          <w:p w14:paraId="04FD632D">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60</w:t>
            </w:r>
          </w:p>
        </w:tc>
        <w:tc>
          <w:tcPr>
            <w:tcW w:w="306" w:type="pct"/>
            <w:gridSpan w:val="2"/>
            <w:vAlign w:val="center"/>
          </w:tcPr>
          <w:p w14:paraId="4BA97B47">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41</w:t>
            </w:r>
          </w:p>
        </w:tc>
        <w:tc>
          <w:tcPr>
            <w:tcW w:w="285" w:type="pct"/>
            <w:gridSpan w:val="2"/>
            <w:vAlign w:val="center"/>
          </w:tcPr>
          <w:p w14:paraId="2D8CE1DB">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178</w:t>
            </w:r>
          </w:p>
        </w:tc>
        <w:tc>
          <w:tcPr>
            <w:tcW w:w="358" w:type="pct"/>
            <w:gridSpan w:val="2"/>
            <w:vAlign w:val="center"/>
          </w:tcPr>
          <w:p w14:paraId="59FA3995">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134</w:t>
            </w:r>
          </w:p>
          <w:p w14:paraId="27DFAF2A">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30</w:t>
            </w:r>
          </w:p>
          <w:p w14:paraId="4A9226B1">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28</w:t>
            </w:r>
          </w:p>
          <w:p w14:paraId="3EBC5AE5">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87</w:t>
            </w:r>
          </w:p>
        </w:tc>
        <w:tc>
          <w:tcPr>
            <w:tcW w:w="358" w:type="pct"/>
            <w:gridSpan w:val="2"/>
            <w:vAlign w:val="center"/>
          </w:tcPr>
          <w:p w14:paraId="0E43D646">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47.5</w:t>
            </w:r>
          </w:p>
          <w:p w14:paraId="348F896C">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60.5</w:t>
            </w:r>
          </w:p>
          <w:p w14:paraId="14DED552">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61.1</w:t>
            </w:r>
          </w:p>
          <w:p w14:paraId="07F58794">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51.2</w:t>
            </w:r>
          </w:p>
        </w:tc>
        <w:tc>
          <w:tcPr>
            <w:tcW w:w="253" w:type="pct"/>
            <w:gridSpan w:val="2"/>
            <w:vAlign w:val="center"/>
          </w:tcPr>
          <w:p w14:paraId="12F41395">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连续</w:t>
            </w:r>
          </w:p>
        </w:tc>
        <w:tc>
          <w:tcPr>
            <w:tcW w:w="358" w:type="pct"/>
            <w:gridSpan w:val="2"/>
            <w:vAlign w:val="center"/>
          </w:tcPr>
          <w:p w14:paraId="0E43968C">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20</w:t>
            </w:r>
          </w:p>
        </w:tc>
        <w:tc>
          <w:tcPr>
            <w:tcW w:w="359" w:type="pct"/>
            <w:gridSpan w:val="2"/>
            <w:vAlign w:val="center"/>
          </w:tcPr>
          <w:p w14:paraId="3154AEFC">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27.5</w:t>
            </w:r>
          </w:p>
          <w:p w14:paraId="3312BBFA">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40.5</w:t>
            </w:r>
          </w:p>
          <w:p w14:paraId="2C524A26">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41.1</w:t>
            </w:r>
          </w:p>
          <w:p w14:paraId="05E8B563">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31.2</w:t>
            </w:r>
          </w:p>
        </w:tc>
        <w:tc>
          <w:tcPr>
            <w:tcW w:w="358" w:type="pct"/>
            <w:vAlign w:val="center"/>
          </w:tcPr>
          <w:p w14:paraId="1F8F012B">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1m</w:t>
            </w:r>
          </w:p>
        </w:tc>
      </w:tr>
      <w:tr w14:paraId="715F8B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6" w:type="pct"/>
            <w:vAlign w:val="center"/>
          </w:tcPr>
          <w:p w14:paraId="2E163FB2">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4</w:t>
            </w:r>
          </w:p>
        </w:tc>
        <w:tc>
          <w:tcPr>
            <w:tcW w:w="249" w:type="pct"/>
            <w:vMerge w:val="continue"/>
            <w:vAlign w:val="center"/>
          </w:tcPr>
          <w:p w14:paraId="443055AC">
            <w:pPr>
              <w:keepNext w:val="0"/>
              <w:keepLines w:val="0"/>
              <w:widowControl/>
              <w:suppressLineNumbers w:val="0"/>
              <w:spacing w:before="0" w:beforeAutospacing="0" w:after="0" w:afterAutospacing="0" w:line="0" w:lineRule="atLeast"/>
              <w:ind w:left="0" w:right="0"/>
              <w:contextualSpacing/>
              <w:jc w:val="center"/>
              <w:textAlignment w:val="center"/>
              <w:rPr>
                <w:rFonts w:hint="default" w:ascii="Times New Roman" w:hAnsi="Times New Roman" w:cs="Times New Roman" w:eastAsiaTheme="minorEastAsia"/>
                <w:color w:val="auto"/>
                <w:kern w:val="0"/>
                <w:sz w:val="21"/>
                <w:szCs w:val="21"/>
                <w:highlight w:val="none"/>
                <w:lang w:val="en-US" w:eastAsia="zh-CN" w:bidi="ar-SA"/>
              </w:rPr>
            </w:pPr>
          </w:p>
        </w:tc>
        <w:tc>
          <w:tcPr>
            <w:tcW w:w="305" w:type="pct"/>
            <w:vAlign w:val="center"/>
          </w:tcPr>
          <w:p w14:paraId="79170E67">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cs="Times New Roman" w:hAnsiTheme="minorEastAsia" w:eastAsiaTheme="minorEastAsia"/>
                <w:sz w:val="21"/>
                <w:szCs w:val="21"/>
                <w:highlight w:val="none"/>
              </w:rPr>
              <w:t>中间清洗机</w:t>
            </w:r>
          </w:p>
        </w:tc>
        <w:tc>
          <w:tcPr>
            <w:tcW w:w="627" w:type="pct"/>
            <w:gridSpan w:val="3"/>
            <w:vAlign w:val="center"/>
          </w:tcPr>
          <w:p w14:paraId="7F4ECB27">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ECOCAGILE</w:t>
            </w:r>
          </w:p>
        </w:tc>
        <w:tc>
          <w:tcPr>
            <w:tcW w:w="391" w:type="pct"/>
            <w:gridSpan w:val="2"/>
            <w:vAlign w:val="center"/>
          </w:tcPr>
          <w:p w14:paraId="62257D07">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napToGrid w:val="0"/>
                <w:sz w:val="21"/>
                <w:szCs w:val="21"/>
                <w:highlight w:val="none"/>
              </w:rPr>
            </w:pPr>
            <w:r>
              <w:rPr>
                <w:rFonts w:hint="default" w:ascii="Times New Roman" w:hAnsi="Times New Roman" w:cs="Times New Roman" w:eastAsiaTheme="minorEastAsia"/>
                <w:snapToGrid w:val="0"/>
                <w:sz w:val="21"/>
                <w:szCs w:val="21"/>
                <w:highlight w:val="none"/>
              </w:rPr>
              <w:t>80</w:t>
            </w:r>
          </w:p>
        </w:tc>
        <w:tc>
          <w:tcPr>
            <w:tcW w:w="273" w:type="pct"/>
            <w:gridSpan w:val="2"/>
            <w:vMerge w:val="continue"/>
            <w:vAlign w:val="center"/>
          </w:tcPr>
          <w:p w14:paraId="49BC844C">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p>
        </w:tc>
        <w:tc>
          <w:tcPr>
            <w:tcW w:w="358" w:type="pct"/>
            <w:gridSpan w:val="2"/>
            <w:vAlign w:val="center"/>
          </w:tcPr>
          <w:p w14:paraId="38AE096D">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59</w:t>
            </w:r>
          </w:p>
        </w:tc>
        <w:tc>
          <w:tcPr>
            <w:tcW w:w="306" w:type="pct"/>
            <w:gridSpan w:val="2"/>
            <w:vAlign w:val="center"/>
          </w:tcPr>
          <w:p w14:paraId="07D1C4A0">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38</w:t>
            </w:r>
          </w:p>
        </w:tc>
        <w:tc>
          <w:tcPr>
            <w:tcW w:w="285" w:type="pct"/>
            <w:gridSpan w:val="2"/>
            <w:vAlign w:val="center"/>
          </w:tcPr>
          <w:p w14:paraId="4B0E23B8">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178</w:t>
            </w:r>
          </w:p>
        </w:tc>
        <w:tc>
          <w:tcPr>
            <w:tcW w:w="358" w:type="pct"/>
            <w:gridSpan w:val="2"/>
            <w:vAlign w:val="center"/>
          </w:tcPr>
          <w:p w14:paraId="294E714D">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135</w:t>
            </w:r>
          </w:p>
          <w:p w14:paraId="237AA8EC">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27</w:t>
            </w:r>
          </w:p>
          <w:p w14:paraId="2DE06EE8">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28</w:t>
            </w:r>
          </w:p>
          <w:p w14:paraId="65AA70B0">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91</w:t>
            </w:r>
          </w:p>
        </w:tc>
        <w:tc>
          <w:tcPr>
            <w:tcW w:w="358" w:type="pct"/>
            <w:gridSpan w:val="2"/>
            <w:vAlign w:val="center"/>
          </w:tcPr>
          <w:p w14:paraId="45132754">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37.4</w:t>
            </w:r>
          </w:p>
          <w:p w14:paraId="30181655">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51.4</w:t>
            </w:r>
          </w:p>
          <w:p w14:paraId="5BE5EC1D">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51.1</w:t>
            </w:r>
          </w:p>
          <w:p w14:paraId="43DB3EE5">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40.8</w:t>
            </w:r>
          </w:p>
        </w:tc>
        <w:tc>
          <w:tcPr>
            <w:tcW w:w="253" w:type="pct"/>
            <w:gridSpan w:val="2"/>
            <w:vAlign w:val="center"/>
          </w:tcPr>
          <w:p w14:paraId="205B8BDF">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连续</w:t>
            </w:r>
          </w:p>
        </w:tc>
        <w:tc>
          <w:tcPr>
            <w:tcW w:w="358" w:type="pct"/>
            <w:gridSpan w:val="2"/>
            <w:vAlign w:val="center"/>
          </w:tcPr>
          <w:p w14:paraId="16996E7D">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20</w:t>
            </w:r>
          </w:p>
        </w:tc>
        <w:tc>
          <w:tcPr>
            <w:tcW w:w="359" w:type="pct"/>
            <w:gridSpan w:val="2"/>
            <w:vAlign w:val="center"/>
          </w:tcPr>
          <w:p w14:paraId="29983FF0">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17.4</w:t>
            </w:r>
          </w:p>
          <w:p w14:paraId="2330C9E1">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31.4</w:t>
            </w:r>
          </w:p>
          <w:p w14:paraId="1BAA59A4">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31.1</w:t>
            </w:r>
          </w:p>
          <w:p w14:paraId="5DF5FD80">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20.8</w:t>
            </w:r>
          </w:p>
        </w:tc>
        <w:tc>
          <w:tcPr>
            <w:tcW w:w="358" w:type="pct"/>
            <w:vAlign w:val="center"/>
          </w:tcPr>
          <w:p w14:paraId="2D4F99EF">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1m</w:t>
            </w:r>
          </w:p>
        </w:tc>
      </w:tr>
      <w:tr w14:paraId="0702C5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6" w:type="pct"/>
            <w:vAlign w:val="center"/>
          </w:tcPr>
          <w:p w14:paraId="18BC2116">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5</w:t>
            </w:r>
          </w:p>
        </w:tc>
        <w:tc>
          <w:tcPr>
            <w:tcW w:w="249" w:type="pct"/>
            <w:vMerge w:val="continue"/>
            <w:vAlign w:val="center"/>
          </w:tcPr>
          <w:p w14:paraId="716BC6BA">
            <w:pPr>
              <w:keepNext w:val="0"/>
              <w:keepLines w:val="0"/>
              <w:widowControl/>
              <w:suppressLineNumbers w:val="0"/>
              <w:spacing w:before="0" w:beforeAutospacing="0" w:after="0" w:afterAutospacing="0" w:line="0" w:lineRule="atLeast"/>
              <w:ind w:left="0" w:right="0"/>
              <w:contextualSpacing/>
              <w:jc w:val="center"/>
              <w:textAlignment w:val="center"/>
              <w:rPr>
                <w:rFonts w:hint="default" w:ascii="Times New Roman" w:hAnsi="Times New Roman" w:cs="Times New Roman" w:eastAsiaTheme="minorEastAsia"/>
                <w:color w:val="auto"/>
                <w:kern w:val="0"/>
                <w:sz w:val="21"/>
                <w:szCs w:val="21"/>
                <w:highlight w:val="none"/>
                <w:lang w:val="en-US" w:eastAsia="zh-CN" w:bidi="ar-SA"/>
              </w:rPr>
            </w:pPr>
          </w:p>
        </w:tc>
        <w:tc>
          <w:tcPr>
            <w:tcW w:w="305" w:type="pct"/>
            <w:vAlign w:val="center"/>
          </w:tcPr>
          <w:p w14:paraId="429A09AA">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cs="Times New Roman" w:hAnsiTheme="minorEastAsia" w:eastAsiaTheme="minorEastAsia"/>
                <w:sz w:val="21"/>
                <w:szCs w:val="21"/>
                <w:highlight w:val="none"/>
              </w:rPr>
              <w:t>卧式加工中心</w:t>
            </w:r>
          </w:p>
        </w:tc>
        <w:tc>
          <w:tcPr>
            <w:tcW w:w="627" w:type="pct"/>
            <w:gridSpan w:val="3"/>
            <w:vAlign w:val="center"/>
          </w:tcPr>
          <w:p w14:paraId="5AFCD36D">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G315A1</w:t>
            </w:r>
          </w:p>
        </w:tc>
        <w:tc>
          <w:tcPr>
            <w:tcW w:w="391" w:type="pct"/>
            <w:gridSpan w:val="2"/>
            <w:vAlign w:val="center"/>
          </w:tcPr>
          <w:p w14:paraId="538485D5">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napToGrid w:val="0"/>
                <w:sz w:val="21"/>
                <w:szCs w:val="21"/>
                <w:highlight w:val="none"/>
              </w:rPr>
            </w:pPr>
            <w:r>
              <w:rPr>
                <w:rFonts w:hint="default" w:ascii="Times New Roman" w:hAnsi="Times New Roman" w:cs="Times New Roman" w:eastAsiaTheme="minorEastAsia"/>
                <w:snapToGrid w:val="0"/>
                <w:sz w:val="21"/>
                <w:szCs w:val="21"/>
                <w:highlight w:val="none"/>
              </w:rPr>
              <w:t>90</w:t>
            </w:r>
          </w:p>
        </w:tc>
        <w:tc>
          <w:tcPr>
            <w:tcW w:w="273" w:type="pct"/>
            <w:gridSpan w:val="2"/>
            <w:vMerge w:val="continue"/>
            <w:vAlign w:val="center"/>
          </w:tcPr>
          <w:p w14:paraId="2DCAAB2C">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p>
        </w:tc>
        <w:tc>
          <w:tcPr>
            <w:tcW w:w="358" w:type="pct"/>
            <w:gridSpan w:val="2"/>
            <w:vAlign w:val="center"/>
          </w:tcPr>
          <w:p w14:paraId="2FA53E9F">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66</w:t>
            </w:r>
          </w:p>
        </w:tc>
        <w:tc>
          <w:tcPr>
            <w:tcW w:w="306" w:type="pct"/>
            <w:gridSpan w:val="2"/>
            <w:vAlign w:val="center"/>
          </w:tcPr>
          <w:p w14:paraId="723F8634">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43</w:t>
            </w:r>
          </w:p>
        </w:tc>
        <w:tc>
          <w:tcPr>
            <w:tcW w:w="285" w:type="pct"/>
            <w:gridSpan w:val="2"/>
            <w:vAlign w:val="center"/>
          </w:tcPr>
          <w:p w14:paraId="4B0E965A">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178</w:t>
            </w:r>
          </w:p>
        </w:tc>
        <w:tc>
          <w:tcPr>
            <w:tcW w:w="358" w:type="pct"/>
            <w:gridSpan w:val="2"/>
            <w:vAlign w:val="center"/>
          </w:tcPr>
          <w:p w14:paraId="473ACC34">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128</w:t>
            </w:r>
          </w:p>
          <w:p w14:paraId="5F4EC7D9">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33</w:t>
            </w:r>
          </w:p>
          <w:p w14:paraId="74691C27">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35</w:t>
            </w:r>
          </w:p>
          <w:p w14:paraId="475D621D">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93</w:t>
            </w:r>
          </w:p>
        </w:tc>
        <w:tc>
          <w:tcPr>
            <w:tcW w:w="358" w:type="pct"/>
            <w:gridSpan w:val="2"/>
            <w:vAlign w:val="center"/>
          </w:tcPr>
          <w:p w14:paraId="25ADB210">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47.9</w:t>
            </w:r>
          </w:p>
          <w:p w14:paraId="4D6F088F">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59.6</w:t>
            </w:r>
          </w:p>
          <w:p w14:paraId="0AA66345">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59.1</w:t>
            </w:r>
          </w:p>
          <w:p w14:paraId="38F058CB">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50.6</w:t>
            </w:r>
          </w:p>
        </w:tc>
        <w:tc>
          <w:tcPr>
            <w:tcW w:w="253" w:type="pct"/>
            <w:gridSpan w:val="2"/>
            <w:vAlign w:val="center"/>
          </w:tcPr>
          <w:p w14:paraId="6D6ECCB9">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连续</w:t>
            </w:r>
          </w:p>
        </w:tc>
        <w:tc>
          <w:tcPr>
            <w:tcW w:w="358" w:type="pct"/>
            <w:gridSpan w:val="2"/>
            <w:vAlign w:val="center"/>
          </w:tcPr>
          <w:p w14:paraId="19B0C437">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20</w:t>
            </w:r>
          </w:p>
        </w:tc>
        <w:tc>
          <w:tcPr>
            <w:tcW w:w="359" w:type="pct"/>
            <w:gridSpan w:val="2"/>
            <w:vAlign w:val="center"/>
          </w:tcPr>
          <w:p w14:paraId="6C143145">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27.9</w:t>
            </w:r>
          </w:p>
          <w:p w14:paraId="01EAC512">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39.6</w:t>
            </w:r>
          </w:p>
          <w:p w14:paraId="06E460A9">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39.1</w:t>
            </w:r>
          </w:p>
          <w:p w14:paraId="2DFE8E2B">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30.6</w:t>
            </w:r>
          </w:p>
        </w:tc>
        <w:tc>
          <w:tcPr>
            <w:tcW w:w="358" w:type="pct"/>
            <w:vAlign w:val="center"/>
          </w:tcPr>
          <w:p w14:paraId="31A25E22">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1m</w:t>
            </w:r>
          </w:p>
        </w:tc>
      </w:tr>
      <w:tr w14:paraId="2E4D61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6" w:type="pct"/>
            <w:vAlign w:val="center"/>
          </w:tcPr>
          <w:p w14:paraId="5F953A67">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6</w:t>
            </w:r>
          </w:p>
        </w:tc>
        <w:tc>
          <w:tcPr>
            <w:tcW w:w="249" w:type="pct"/>
            <w:vMerge w:val="continue"/>
            <w:vAlign w:val="center"/>
          </w:tcPr>
          <w:p w14:paraId="65C4E77D">
            <w:pPr>
              <w:keepNext w:val="0"/>
              <w:keepLines w:val="0"/>
              <w:widowControl/>
              <w:suppressLineNumbers w:val="0"/>
              <w:spacing w:before="0" w:beforeAutospacing="0" w:after="0" w:afterAutospacing="0" w:line="0" w:lineRule="atLeast"/>
              <w:ind w:left="0" w:right="0"/>
              <w:contextualSpacing/>
              <w:jc w:val="center"/>
              <w:textAlignment w:val="center"/>
              <w:rPr>
                <w:rFonts w:hint="default" w:ascii="Times New Roman" w:hAnsi="Times New Roman" w:cs="Times New Roman" w:eastAsiaTheme="minorEastAsia"/>
                <w:color w:val="auto"/>
                <w:kern w:val="0"/>
                <w:sz w:val="21"/>
                <w:szCs w:val="21"/>
                <w:highlight w:val="none"/>
                <w:lang w:val="en-US" w:eastAsia="zh-CN" w:bidi="ar-SA"/>
              </w:rPr>
            </w:pPr>
          </w:p>
        </w:tc>
        <w:tc>
          <w:tcPr>
            <w:tcW w:w="305" w:type="pct"/>
            <w:vAlign w:val="center"/>
          </w:tcPr>
          <w:p w14:paraId="14FF16DA">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cs="Times New Roman" w:hAnsiTheme="minorEastAsia" w:eastAsiaTheme="minorEastAsia"/>
                <w:sz w:val="21"/>
                <w:szCs w:val="21"/>
                <w:highlight w:val="none"/>
              </w:rPr>
              <w:t>珩磨机</w:t>
            </w:r>
          </w:p>
        </w:tc>
        <w:tc>
          <w:tcPr>
            <w:tcW w:w="627" w:type="pct"/>
            <w:gridSpan w:val="3"/>
            <w:vAlign w:val="center"/>
          </w:tcPr>
          <w:p w14:paraId="51B0A66E">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#28-9498/28-9499</w:t>
            </w:r>
          </w:p>
        </w:tc>
        <w:tc>
          <w:tcPr>
            <w:tcW w:w="391" w:type="pct"/>
            <w:gridSpan w:val="2"/>
            <w:vAlign w:val="center"/>
          </w:tcPr>
          <w:p w14:paraId="0CB62933">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napToGrid w:val="0"/>
                <w:sz w:val="21"/>
                <w:szCs w:val="21"/>
                <w:highlight w:val="none"/>
              </w:rPr>
            </w:pPr>
            <w:r>
              <w:rPr>
                <w:rFonts w:hint="default" w:ascii="Times New Roman" w:hAnsi="Times New Roman" w:cs="Times New Roman" w:eastAsiaTheme="minorEastAsia"/>
                <w:snapToGrid w:val="0"/>
                <w:sz w:val="21"/>
                <w:szCs w:val="21"/>
                <w:highlight w:val="none"/>
              </w:rPr>
              <w:t>85</w:t>
            </w:r>
          </w:p>
        </w:tc>
        <w:tc>
          <w:tcPr>
            <w:tcW w:w="273" w:type="pct"/>
            <w:gridSpan w:val="2"/>
            <w:vMerge w:val="continue"/>
            <w:vAlign w:val="center"/>
          </w:tcPr>
          <w:p w14:paraId="6B7B12F7">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p>
        </w:tc>
        <w:tc>
          <w:tcPr>
            <w:tcW w:w="358" w:type="pct"/>
            <w:gridSpan w:val="2"/>
            <w:vAlign w:val="center"/>
          </w:tcPr>
          <w:p w14:paraId="2FBD00F3">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67</w:t>
            </w:r>
          </w:p>
        </w:tc>
        <w:tc>
          <w:tcPr>
            <w:tcW w:w="306" w:type="pct"/>
            <w:gridSpan w:val="2"/>
            <w:vAlign w:val="center"/>
          </w:tcPr>
          <w:p w14:paraId="446A4400">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38</w:t>
            </w:r>
          </w:p>
        </w:tc>
        <w:tc>
          <w:tcPr>
            <w:tcW w:w="285" w:type="pct"/>
            <w:gridSpan w:val="2"/>
            <w:vAlign w:val="center"/>
          </w:tcPr>
          <w:p w14:paraId="54A1B25C">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178</w:t>
            </w:r>
          </w:p>
        </w:tc>
        <w:tc>
          <w:tcPr>
            <w:tcW w:w="358" w:type="pct"/>
            <w:gridSpan w:val="2"/>
            <w:vAlign w:val="center"/>
          </w:tcPr>
          <w:p w14:paraId="6F8D7F00">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129</w:t>
            </w:r>
          </w:p>
          <w:p w14:paraId="1E3C5DF6">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27</w:t>
            </w:r>
          </w:p>
          <w:p w14:paraId="27A78836">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34</w:t>
            </w:r>
          </w:p>
          <w:p w14:paraId="115BC694">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91</w:t>
            </w:r>
          </w:p>
        </w:tc>
        <w:tc>
          <w:tcPr>
            <w:tcW w:w="358" w:type="pct"/>
            <w:gridSpan w:val="2"/>
            <w:vAlign w:val="center"/>
          </w:tcPr>
          <w:p w14:paraId="1310B929">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42.8</w:t>
            </w:r>
          </w:p>
          <w:p w14:paraId="5F331A02">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56.4</w:t>
            </w:r>
          </w:p>
          <w:p w14:paraId="160B1E5C">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54.4</w:t>
            </w:r>
          </w:p>
          <w:p w14:paraId="724EDD88">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45.8</w:t>
            </w:r>
          </w:p>
        </w:tc>
        <w:tc>
          <w:tcPr>
            <w:tcW w:w="253" w:type="pct"/>
            <w:gridSpan w:val="2"/>
            <w:vAlign w:val="center"/>
          </w:tcPr>
          <w:p w14:paraId="1E2869C5">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连续</w:t>
            </w:r>
          </w:p>
        </w:tc>
        <w:tc>
          <w:tcPr>
            <w:tcW w:w="358" w:type="pct"/>
            <w:gridSpan w:val="2"/>
            <w:vAlign w:val="center"/>
          </w:tcPr>
          <w:p w14:paraId="6A3C6CD2">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20</w:t>
            </w:r>
          </w:p>
        </w:tc>
        <w:tc>
          <w:tcPr>
            <w:tcW w:w="359" w:type="pct"/>
            <w:gridSpan w:val="2"/>
            <w:vAlign w:val="center"/>
          </w:tcPr>
          <w:p w14:paraId="7309D484">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22.8</w:t>
            </w:r>
          </w:p>
          <w:p w14:paraId="25924539">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36.4</w:t>
            </w:r>
          </w:p>
          <w:p w14:paraId="7A1BC3F5">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34.4</w:t>
            </w:r>
          </w:p>
          <w:p w14:paraId="26227E1D">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25.8</w:t>
            </w:r>
          </w:p>
        </w:tc>
        <w:tc>
          <w:tcPr>
            <w:tcW w:w="358" w:type="pct"/>
            <w:vAlign w:val="center"/>
          </w:tcPr>
          <w:p w14:paraId="15C5B178">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1m</w:t>
            </w:r>
          </w:p>
        </w:tc>
      </w:tr>
      <w:tr w14:paraId="2DE11F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6" w:type="pct"/>
            <w:vAlign w:val="center"/>
          </w:tcPr>
          <w:p w14:paraId="5D1E6608">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7</w:t>
            </w:r>
          </w:p>
        </w:tc>
        <w:tc>
          <w:tcPr>
            <w:tcW w:w="249" w:type="pct"/>
            <w:vMerge w:val="continue"/>
            <w:vAlign w:val="center"/>
          </w:tcPr>
          <w:p w14:paraId="39525E22">
            <w:pPr>
              <w:keepNext w:val="0"/>
              <w:keepLines w:val="0"/>
              <w:widowControl/>
              <w:suppressLineNumbers w:val="0"/>
              <w:spacing w:before="0" w:beforeAutospacing="0" w:after="0" w:afterAutospacing="0" w:line="0" w:lineRule="atLeast"/>
              <w:ind w:left="0" w:right="0"/>
              <w:contextualSpacing/>
              <w:jc w:val="center"/>
              <w:textAlignment w:val="center"/>
              <w:rPr>
                <w:rFonts w:hint="default" w:ascii="Times New Roman" w:hAnsi="Times New Roman" w:cs="Times New Roman" w:eastAsiaTheme="minorEastAsia"/>
                <w:color w:val="auto"/>
                <w:kern w:val="0"/>
                <w:sz w:val="21"/>
                <w:szCs w:val="21"/>
                <w:highlight w:val="none"/>
                <w:lang w:val="en-US" w:eastAsia="zh-CN" w:bidi="ar-SA"/>
              </w:rPr>
            </w:pPr>
          </w:p>
        </w:tc>
        <w:tc>
          <w:tcPr>
            <w:tcW w:w="305" w:type="pct"/>
            <w:vAlign w:val="center"/>
          </w:tcPr>
          <w:p w14:paraId="43A1B14F">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cs="Times New Roman" w:hAnsiTheme="minorEastAsia" w:eastAsiaTheme="minorEastAsia"/>
                <w:sz w:val="21"/>
                <w:szCs w:val="21"/>
                <w:highlight w:val="none"/>
              </w:rPr>
              <w:t>最终清洗机</w:t>
            </w:r>
          </w:p>
        </w:tc>
        <w:tc>
          <w:tcPr>
            <w:tcW w:w="627" w:type="pct"/>
            <w:gridSpan w:val="3"/>
            <w:vAlign w:val="center"/>
          </w:tcPr>
          <w:p w14:paraId="607A69AF">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EcoCFlex M</w:t>
            </w:r>
          </w:p>
        </w:tc>
        <w:tc>
          <w:tcPr>
            <w:tcW w:w="391" w:type="pct"/>
            <w:gridSpan w:val="2"/>
            <w:vAlign w:val="center"/>
          </w:tcPr>
          <w:p w14:paraId="41189F6E">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napToGrid w:val="0"/>
                <w:sz w:val="21"/>
                <w:szCs w:val="21"/>
                <w:highlight w:val="none"/>
              </w:rPr>
            </w:pPr>
            <w:r>
              <w:rPr>
                <w:rFonts w:hint="default" w:ascii="Times New Roman" w:hAnsi="Times New Roman" w:cs="Times New Roman" w:eastAsiaTheme="minorEastAsia"/>
                <w:snapToGrid w:val="0"/>
                <w:sz w:val="21"/>
                <w:szCs w:val="21"/>
                <w:highlight w:val="none"/>
              </w:rPr>
              <w:t>80</w:t>
            </w:r>
          </w:p>
        </w:tc>
        <w:tc>
          <w:tcPr>
            <w:tcW w:w="273" w:type="pct"/>
            <w:gridSpan w:val="2"/>
            <w:vMerge w:val="continue"/>
            <w:vAlign w:val="center"/>
          </w:tcPr>
          <w:p w14:paraId="7E46F53E">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p>
        </w:tc>
        <w:tc>
          <w:tcPr>
            <w:tcW w:w="358" w:type="pct"/>
            <w:gridSpan w:val="2"/>
            <w:vAlign w:val="center"/>
          </w:tcPr>
          <w:p w14:paraId="159ED57F">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62</w:t>
            </w:r>
          </w:p>
        </w:tc>
        <w:tc>
          <w:tcPr>
            <w:tcW w:w="306" w:type="pct"/>
            <w:gridSpan w:val="2"/>
            <w:vAlign w:val="center"/>
          </w:tcPr>
          <w:p w14:paraId="214259A1">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45</w:t>
            </w:r>
          </w:p>
        </w:tc>
        <w:tc>
          <w:tcPr>
            <w:tcW w:w="285" w:type="pct"/>
            <w:gridSpan w:val="2"/>
            <w:vAlign w:val="center"/>
          </w:tcPr>
          <w:p w14:paraId="0B9AB7CE">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178</w:t>
            </w:r>
          </w:p>
        </w:tc>
        <w:tc>
          <w:tcPr>
            <w:tcW w:w="358" w:type="pct"/>
            <w:gridSpan w:val="2"/>
            <w:vAlign w:val="center"/>
          </w:tcPr>
          <w:p w14:paraId="470EF2F6">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134</w:t>
            </w:r>
          </w:p>
          <w:p w14:paraId="4D6C557B">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36</w:t>
            </w:r>
          </w:p>
          <w:p w14:paraId="734603A3">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39</w:t>
            </w:r>
          </w:p>
          <w:p w14:paraId="46F78008">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89</w:t>
            </w:r>
          </w:p>
        </w:tc>
        <w:tc>
          <w:tcPr>
            <w:tcW w:w="358" w:type="pct"/>
            <w:gridSpan w:val="2"/>
            <w:vAlign w:val="center"/>
          </w:tcPr>
          <w:p w14:paraId="1A3BC827">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37.5</w:t>
            </w:r>
          </w:p>
          <w:p w14:paraId="7F94ED78">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49.9</w:t>
            </w:r>
          </w:p>
          <w:p w14:paraId="392BD20D">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48.2</w:t>
            </w:r>
          </w:p>
          <w:p w14:paraId="55E345CA">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41.0</w:t>
            </w:r>
          </w:p>
        </w:tc>
        <w:tc>
          <w:tcPr>
            <w:tcW w:w="253" w:type="pct"/>
            <w:gridSpan w:val="2"/>
            <w:vAlign w:val="center"/>
          </w:tcPr>
          <w:p w14:paraId="2D8765B3">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连续</w:t>
            </w:r>
          </w:p>
        </w:tc>
        <w:tc>
          <w:tcPr>
            <w:tcW w:w="358" w:type="pct"/>
            <w:gridSpan w:val="2"/>
            <w:vAlign w:val="center"/>
          </w:tcPr>
          <w:p w14:paraId="3A2F0235">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20</w:t>
            </w:r>
          </w:p>
        </w:tc>
        <w:tc>
          <w:tcPr>
            <w:tcW w:w="359" w:type="pct"/>
            <w:gridSpan w:val="2"/>
            <w:vAlign w:val="center"/>
          </w:tcPr>
          <w:p w14:paraId="6A3A3FA2">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17.5</w:t>
            </w:r>
          </w:p>
          <w:p w14:paraId="4DE06D1B">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29.9</w:t>
            </w:r>
          </w:p>
          <w:p w14:paraId="101B8D6E">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28.2</w:t>
            </w:r>
          </w:p>
          <w:p w14:paraId="18667920">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21.0</w:t>
            </w:r>
          </w:p>
        </w:tc>
        <w:tc>
          <w:tcPr>
            <w:tcW w:w="358" w:type="pct"/>
            <w:vAlign w:val="center"/>
          </w:tcPr>
          <w:p w14:paraId="5B8CD29C">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1m</w:t>
            </w:r>
          </w:p>
        </w:tc>
      </w:tr>
      <w:tr w14:paraId="2B1C8E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6" w:type="pct"/>
            <w:vAlign w:val="center"/>
          </w:tcPr>
          <w:p w14:paraId="29B86246">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8</w:t>
            </w:r>
          </w:p>
        </w:tc>
        <w:tc>
          <w:tcPr>
            <w:tcW w:w="249" w:type="pct"/>
            <w:vMerge w:val="restart"/>
            <w:vAlign w:val="center"/>
          </w:tcPr>
          <w:p w14:paraId="493752E2">
            <w:pPr>
              <w:keepNext w:val="0"/>
              <w:keepLines w:val="0"/>
              <w:widowControl/>
              <w:suppressLineNumbers w:val="0"/>
              <w:spacing w:before="0" w:beforeAutospacing="0" w:after="0" w:afterAutospacing="0" w:line="0" w:lineRule="atLeast"/>
              <w:ind w:left="0" w:right="0"/>
              <w:contextualSpacing/>
              <w:jc w:val="center"/>
              <w:textAlignment w:val="center"/>
              <w:rPr>
                <w:rFonts w:hint="default" w:ascii="Times New Roman" w:hAnsi="Times New Roman" w:cs="Times New Roman" w:eastAsiaTheme="minorEastAsia"/>
                <w:color w:val="auto"/>
                <w:kern w:val="0"/>
                <w:sz w:val="21"/>
                <w:szCs w:val="21"/>
                <w:highlight w:val="none"/>
                <w:lang w:val="en-US" w:eastAsia="zh-CN" w:bidi="ar-SA"/>
              </w:rPr>
            </w:pPr>
            <w:r>
              <w:rPr>
                <w:rFonts w:hint="default" w:ascii="Times New Roman" w:cs="Times New Roman" w:hAnsiTheme="minorEastAsia" w:eastAsiaTheme="minorEastAsia"/>
                <w:color w:val="auto"/>
                <w:kern w:val="0"/>
                <w:sz w:val="21"/>
                <w:szCs w:val="21"/>
                <w:highlight w:val="none"/>
                <w:lang w:val="en-US" w:eastAsia="zh-CN" w:bidi="ar-SA"/>
              </w:rPr>
              <w:t>机械加工区域</w:t>
            </w:r>
          </w:p>
        </w:tc>
        <w:tc>
          <w:tcPr>
            <w:tcW w:w="305" w:type="pct"/>
            <w:vAlign w:val="center"/>
          </w:tcPr>
          <w:p w14:paraId="4B393A07">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cs="Times New Roman" w:hAnsiTheme="minorEastAsia" w:eastAsiaTheme="minorEastAsia"/>
                <w:sz w:val="21"/>
                <w:szCs w:val="21"/>
                <w:highlight w:val="none"/>
              </w:rPr>
              <w:t>精清洗机</w:t>
            </w:r>
          </w:p>
        </w:tc>
        <w:tc>
          <w:tcPr>
            <w:tcW w:w="627" w:type="pct"/>
            <w:gridSpan w:val="3"/>
            <w:vAlign w:val="center"/>
          </w:tcPr>
          <w:p w14:paraId="2B196B2F">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1111066-40-02</w:t>
            </w:r>
          </w:p>
        </w:tc>
        <w:tc>
          <w:tcPr>
            <w:tcW w:w="391" w:type="pct"/>
            <w:gridSpan w:val="2"/>
            <w:vAlign w:val="center"/>
          </w:tcPr>
          <w:p w14:paraId="50A0BA35">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napToGrid w:val="0"/>
                <w:sz w:val="21"/>
                <w:szCs w:val="21"/>
                <w:highlight w:val="none"/>
              </w:rPr>
            </w:pPr>
            <w:r>
              <w:rPr>
                <w:rFonts w:hint="default" w:ascii="Times New Roman" w:hAnsi="Times New Roman" w:cs="Times New Roman" w:eastAsiaTheme="minorEastAsia"/>
                <w:snapToGrid w:val="0"/>
                <w:sz w:val="21"/>
                <w:szCs w:val="21"/>
                <w:highlight w:val="none"/>
              </w:rPr>
              <w:t>80</w:t>
            </w:r>
          </w:p>
        </w:tc>
        <w:tc>
          <w:tcPr>
            <w:tcW w:w="273" w:type="pct"/>
            <w:gridSpan w:val="2"/>
            <w:vMerge w:val="restart"/>
            <w:vAlign w:val="center"/>
          </w:tcPr>
          <w:p w14:paraId="015CC55C">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基础减振、厂房隔声措施</w:t>
            </w:r>
          </w:p>
        </w:tc>
        <w:tc>
          <w:tcPr>
            <w:tcW w:w="358" w:type="pct"/>
            <w:gridSpan w:val="2"/>
            <w:vAlign w:val="center"/>
          </w:tcPr>
          <w:p w14:paraId="366DAD4E">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65</w:t>
            </w:r>
          </w:p>
        </w:tc>
        <w:tc>
          <w:tcPr>
            <w:tcW w:w="306" w:type="pct"/>
            <w:gridSpan w:val="2"/>
            <w:vAlign w:val="center"/>
          </w:tcPr>
          <w:p w14:paraId="3BF2036B">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42</w:t>
            </w:r>
          </w:p>
        </w:tc>
        <w:tc>
          <w:tcPr>
            <w:tcW w:w="285" w:type="pct"/>
            <w:gridSpan w:val="2"/>
            <w:vAlign w:val="center"/>
          </w:tcPr>
          <w:p w14:paraId="17FC29A3">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178</w:t>
            </w:r>
          </w:p>
        </w:tc>
        <w:tc>
          <w:tcPr>
            <w:tcW w:w="358" w:type="pct"/>
            <w:gridSpan w:val="2"/>
            <w:vAlign w:val="center"/>
          </w:tcPr>
          <w:p w14:paraId="63578D05">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129</w:t>
            </w:r>
          </w:p>
          <w:p w14:paraId="0EC59476">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31</w:t>
            </w:r>
          </w:p>
          <w:p w14:paraId="4292EA57">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35</w:t>
            </w:r>
          </w:p>
          <w:p w14:paraId="321F0E98">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88</w:t>
            </w:r>
          </w:p>
        </w:tc>
        <w:tc>
          <w:tcPr>
            <w:tcW w:w="358" w:type="pct"/>
            <w:gridSpan w:val="2"/>
            <w:vAlign w:val="center"/>
          </w:tcPr>
          <w:p w14:paraId="4FF5E937">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37.8</w:t>
            </w:r>
          </w:p>
          <w:p w14:paraId="0609DFE9">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50.2</w:t>
            </w:r>
          </w:p>
          <w:p w14:paraId="2A198D66">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49.1</w:t>
            </w:r>
          </w:p>
          <w:p w14:paraId="5DBC0712">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41.1</w:t>
            </w:r>
          </w:p>
        </w:tc>
        <w:tc>
          <w:tcPr>
            <w:tcW w:w="253" w:type="pct"/>
            <w:gridSpan w:val="2"/>
            <w:vAlign w:val="center"/>
          </w:tcPr>
          <w:p w14:paraId="43CF1E07">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连续</w:t>
            </w:r>
          </w:p>
        </w:tc>
        <w:tc>
          <w:tcPr>
            <w:tcW w:w="358" w:type="pct"/>
            <w:gridSpan w:val="2"/>
            <w:vAlign w:val="center"/>
          </w:tcPr>
          <w:p w14:paraId="29CB0553">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20</w:t>
            </w:r>
          </w:p>
        </w:tc>
        <w:tc>
          <w:tcPr>
            <w:tcW w:w="359" w:type="pct"/>
            <w:gridSpan w:val="2"/>
            <w:vAlign w:val="center"/>
          </w:tcPr>
          <w:p w14:paraId="1CEFDD1B">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17.8</w:t>
            </w:r>
          </w:p>
          <w:p w14:paraId="6B8C8D81">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30.2</w:t>
            </w:r>
          </w:p>
          <w:p w14:paraId="133AC464">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29.1</w:t>
            </w:r>
          </w:p>
          <w:p w14:paraId="466563E4">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21.1</w:t>
            </w:r>
          </w:p>
        </w:tc>
        <w:tc>
          <w:tcPr>
            <w:tcW w:w="358" w:type="pct"/>
            <w:vAlign w:val="center"/>
          </w:tcPr>
          <w:p w14:paraId="2F76DC84">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1m</w:t>
            </w:r>
          </w:p>
        </w:tc>
      </w:tr>
      <w:tr w14:paraId="1EA922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6" w:type="pct"/>
            <w:vAlign w:val="center"/>
          </w:tcPr>
          <w:p w14:paraId="44E6DDDD">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9</w:t>
            </w:r>
          </w:p>
        </w:tc>
        <w:tc>
          <w:tcPr>
            <w:tcW w:w="249" w:type="pct"/>
            <w:vMerge w:val="continue"/>
            <w:vAlign w:val="center"/>
          </w:tcPr>
          <w:p w14:paraId="760AFD1C">
            <w:pPr>
              <w:keepNext w:val="0"/>
              <w:keepLines w:val="0"/>
              <w:widowControl/>
              <w:suppressLineNumbers w:val="0"/>
              <w:spacing w:before="0" w:beforeAutospacing="0" w:after="0" w:afterAutospacing="0" w:line="0" w:lineRule="atLeast"/>
              <w:ind w:left="0" w:right="0"/>
              <w:contextualSpacing/>
              <w:jc w:val="center"/>
              <w:textAlignment w:val="center"/>
              <w:rPr>
                <w:rFonts w:hint="default" w:ascii="Times New Roman" w:hAnsi="Times New Roman" w:cs="Times New Roman" w:eastAsiaTheme="minorEastAsia"/>
                <w:color w:val="auto"/>
                <w:kern w:val="0"/>
                <w:sz w:val="21"/>
                <w:szCs w:val="21"/>
                <w:highlight w:val="none"/>
                <w:lang w:val="en-US" w:eastAsia="zh-CN" w:bidi="ar-SA"/>
              </w:rPr>
            </w:pPr>
          </w:p>
        </w:tc>
        <w:tc>
          <w:tcPr>
            <w:tcW w:w="305" w:type="pct"/>
            <w:vAlign w:val="center"/>
          </w:tcPr>
          <w:p w14:paraId="4CF83AE8">
            <w:pPr>
              <w:keepNext w:val="0"/>
              <w:keepLines w:val="0"/>
              <w:widowControl/>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default" w:ascii="Times New Roman" w:cs="Times New Roman" w:hAnsiTheme="minorEastAsia" w:eastAsiaTheme="minorEastAsia"/>
                <w:kern w:val="0"/>
                <w:sz w:val="21"/>
                <w:szCs w:val="21"/>
                <w:highlight w:val="none"/>
              </w:rPr>
              <w:t>卧式加工中心</w:t>
            </w:r>
          </w:p>
        </w:tc>
        <w:tc>
          <w:tcPr>
            <w:tcW w:w="627" w:type="pct"/>
            <w:gridSpan w:val="3"/>
            <w:vAlign w:val="center"/>
          </w:tcPr>
          <w:p w14:paraId="044ADA4C">
            <w:pPr>
              <w:keepNext w:val="0"/>
              <w:keepLines w:val="0"/>
              <w:widowControl/>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G325AB21KD</w:t>
            </w:r>
            <w:r>
              <w:rPr>
                <w:rFonts w:hint="default" w:ascii="Times New Roman" w:cs="Times New Roman" w:hAnsiTheme="minorEastAsia" w:eastAsiaTheme="minorEastAsia"/>
                <w:sz w:val="21"/>
                <w:szCs w:val="21"/>
                <w:highlight w:val="none"/>
              </w:rPr>
              <w:t>（工序号</w:t>
            </w:r>
            <w:r>
              <w:rPr>
                <w:rFonts w:hint="default" w:ascii="Times New Roman" w:hAnsi="Times New Roman" w:cs="Times New Roman" w:eastAsiaTheme="minorEastAsia"/>
                <w:sz w:val="21"/>
                <w:szCs w:val="21"/>
                <w:highlight w:val="none"/>
              </w:rPr>
              <w:t>OP10</w:t>
            </w:r>
            <w:r>
              <w:rPr>
                <w:rFonts w:hint="default" w:ascii="Times New Roman" w:cs="Times New Roman" w:hAnsiTheme="minorEastAsia" w:eastAsiaTheme="minorEastAsia"/>
                <w:sz w:val="21"/>
                <w:szCs w:val="21"/>
                <w:highlight w:val="none"/>
              </w:rPr>
              <w:t>）</w:t>
            </w:r>
          </w:p>
        </w:tc>
        <w:tc>
          <w:tcPr>
            <w:tcW w:w="391" w:type="pct"/>
            <w:gridSpan w:val="2"/>
            <w:vAlign w:val="center"/>
          </w:tcPr>
          <w:p w14:paraId="05EE7EB0">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napToGrid w:val="0"/>
                <w:sz w:val="21"/>
                <w:szCs w:val="21"/>
                <w:highlight w:val="none"/>
              </w:rPr>
            </w:pPr>
            <w:r>
              <w:rPr>
                <w:rFonts w:hint="default" w:ascii="Times New Roman" w:hAnsi="Times New Roman" w:cs="Times New Roman" w:eastAsiaTheme="minorEastAsia"/>
                <w:snapToGrid w:val="0"/>
                <w:sz w:val="21"/>
                <w:szCs w:val="21"/>
                <w:highlight w:val="none"/>
              </w:rPr>
              <w:t>90</w:t>
            </w:r>
          </w:p>
        </w:tc>
        <w:tc>
          <w:tcPr>
            <w:tcW w:w="273" w:type="pct"/>
            <w:gridSpan w:val="2"/>
            <w:vMerge w:val="continue"/>
            <w:vAlign w:val="center"/>
          </w:tcPr>
          <w:p w14:paraId="286FF2A7">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p>
        </w:tc>
        <w:tc>
          <w:tcPr>
            <w:tcW w:w="358" w:type="pct"/>
            <w:gridSpan w:val="2"/>
            <w:vAlign w:val="center"/>
          </w:tcPr>
          <w:p w14:paraId="3CE36642">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107</w:t>
            </w:r>
          </w:p>
        </w:tc>
        <w:tc>
          <w:tcPr>
            <w:tcW w:w="306" w:type="pct"/>
            <w:gridSpan w:val="2"/>
            <w:vAlign w:val="center"/>
          </w:tcPr>
          <w:p w14:paraId="4B3724B5">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34</w:t>
            </w:r>
          </w:p>
        </w:tc>
        <w:tc>
          <w:tcPr>
            <w:tcW w:w="285" w:type="pct"/>
            <w:gridSpan w:val="2"/>
            <w:vAlign w:val="center"/>
          </w:tcPr>
          <w:p w14:paraId="47EEEC7C">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179</w:t>
            </w:r>
          </w:p>
        </w:tc>
        <w:tc>
          <w:tcPr>
            <w:tcW w:w="358" w:type="pct"/>
            <w:gridSpan w:val="2"/>
            <w:vAlign w:val="center"/>
          </w:tcPr>
          <w:p w14:paraId="7D33312D">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92</w:t>
            </w:r>
          </w:p>
          <w:p w14:paraId="31D1C7F0">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48</w:t>
            </w:r>
          </w:p>
          <w:p w14:paraId="72B5D804">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91</w:t>
            </w:r>
          </w:p>
          <w:p w14:paraId="46B3E4FA">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70</w:t>
            </w:r>
          </w:p>
        </w:tc>
        <w:tc>
          <w:tcPr>
            <w:tcW w:w="358" w:type="pct"/>
            <w:gridSpan w:val="2"/>
            <w:vAlign w:val="center"/>
          </w:tcPr>
          <w:p w14:paraId="1D40BC02">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50.7</w:t>
            </w:r>
          </w:p>
          <w:p w14:paraId="1657E09A">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56.4</w:t>
            </w:r>
          </w:p>
          <w:p w14:paraId="2BCC3E89">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50.8</w:t>
            </w:r>
          </w:p>
          <w:p w14:paraId="09E792B6">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53.1</w:t>
            </w:r>
          </w:p>
        </w:tc>
        <w:tc>
          <w:tcPr>
            <w:tcW w:w="253" w:type="pct"/>
            <w:gridSpan w:val="2"/>
            <w:vAlign w:val="center"/>
          </w:tcPr>
          <w:p w14:paraId="54F2A63E">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连续</w:t>
            </w:r>
          </w:p>
        </w:tc>
        <w:tc>
          <w:tcPr>
            <w:tcW w:w="358" w:type="pct"/>
            <w:gridSpan w:val="2"/>
            <w:vAlign w:val="center"/>
          </w:tcPr>
          <w:p w14:paraId="75F85C57">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20</w:t>
            </w:r>
          </w:p>
        </w:tc>
        <w:tc>
          <w:tcPr>
            <w:tcW w:w="359" w:type="pct"/>
            <w:gridSpan w:val="2"/>
            <w:vAlign w:val="center"/>
          </w:tcPr>
          <w:p w14:paraId="20FD8504">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30.7</w:t>
            </w:r>
          </w:p>
          <w:p w14:paraId="0B9680FB">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36.4</w:t>
            </w:r>
          </w:p>
          <w:p w14:paraId="6ABADAED">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30.8</w:t>
            </w:r>
          </w:p>
          <w:p w14:paraId="20750BF1">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33.1</w:t>
            </w:r>
          </w:p>
        </w:tc>
        <w:tc>
          <w:tcPr>
            <w:tcW w:w="358" w:type="pct"/>
            <w:vAlign w:val="center"/>
          </w:tcPr>
          <w:p w14:paraId="63C90078">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1m</w:t>
            </w:r>
          </w:p>
        </w:tc>
      </w:tr>
      <w:tr w14:paraId="1A8189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6" w:type="pct"/>
            <w:vAlign w:val="center"/>
          </w:tcPr>
          <w:p w14:paraId="2ACB97B9">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10</w:t>
            </w:r>
          </w:p>
        </w:tc>
        <w:tc>
          <w:tcPr>
            <w:tcW w:w="249" w:type="pct"/>
            <w:vMerge w:val="continue"/>
            <w:vAlign w:val="center"/>
          </w:tcPr>
          <w:p w14:paraId="1444A9EC">
            <w:pPr>
              <w:keepNext w:val="0"/>
              <w:keepLines w:val="0"/>
              <w:widowControl/>
              <w:suppressLineNumbers w:val="0"/>
              <w:spacing w:before="0" w:beforeAutospacing="0" w:after="0" w:afterAutospacing="0" w:line="0" w:lineRule="atLeast"/>
              <w:ind w:left="0" w:right="0"/>
              <w:contextualSpacing/>
              <w:jc w:val="center"/>
              <w:textAlignment w:val="center"/>
              <w:rPr>
                <w:rFonts w:hint="default" w:ascii="Times New Roman" w:hAnsi="Times New Roman" w:cs="Times New Roman" w:eastAsiaTheme="minorEastAsia"/>
                <w:color w:val="auto"/>
                <w:kern w:val="0"/>
                <w:sz w:val="21"/>
                <w:szCs w:val="21"/>
                <w:highlight w:val="none"/>
                <w:lang w:val="en-US" w:eastAsia="zh-CN" w:bidi="ar-SA"/>
              </w:rPr>
            </w:pPr>
          </w:p>
        </w:tc>
        <w:tc>
          <w:tcPr>
            <w:tcW w:w="305" w:type="pct"/>
            <w:vAlign w:val="center"/>
          </w:tcPr>
          <w:p w14:paraId="7582A2A8">
            <w:pPr>
              <w:keepNext w:val="0"/>
              <w:keepLines w:val="0"/>
              <w:widowControl/>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default" w:ascii="Times New Roman" w:cs="Times New Roman" w:hAnsiTheme="minorEastAsia" w:eastAsiaTheme="minorEastAsia"/>
                <w:kern w:val="0"/>
                <w:sz w:val="21"/>
                <w:szCs w:val="21"/>
                <w:highlight w:val="none"/>
              </w:rPr>
              <w:t>卧式加工中心</w:t>
            </w:r>
          </w:p>
        </w:tc>
        <w:tc>
          <w:tcPr>
            <w:tcW w:w="627" w:type="pct"/>
            <w:gridSpan w:val="3"/>
            <w:vAlign w:val="center"/>
          </w:tcPr>
          <w:p w14:paraId="72EA89E1">
            <w:pPr>
              <w:keepNext w:val="0"/>
              <w:keepLines w:val="0"/>
              <w:widowControl/>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G325EA21KD</w:t>
            </w:r>
            <w:r>
              <w:rPr>
                <w:rFonts w:hint="default" w:ascii="Times New Roman" w:cs="Times New Roman" w:hAnsiTheme="minorEastAsia" w:eastAsiaTheme="minorEastAsia"/>
                <w:sz w:val="21"/>
                <w:szCs w:val="21"/>
                <w:highlight w:val="none"/>
              </w:rPr>
              <w:t>（工序号</w:t>
            </w:r>
            <w:r>
              <w:rPr>
                <w:rFonts w:hint="default" w:ascii="Times New Roman" w:hAnsi="Times New Roman" w:cs="Times New Roman" w:eastAsiaTheme="minorEastAsia"/>
                <w:sz w:val="21"/>
                <w:szCs w:val="21"/>
                <w:highlight w:val="none"/>
              </w:rPr>
              <w:t>OP30</w:t>
            </w:r>
            <w:r>
              <w:rPr>
                <w:rFonts w:hint="default" w:ascii="Times New Roman" w:cs="Times New Roman" w:hAnsiTheme="minorEastAsia" w:eastAsiaTheme="minorEastAsia"/>
                <w:sz w:val="21"/>
                <w:szCs w:val="21"/>
                <w:highlight w:val="none"/>
              </w:rPr>
              <w:t>）</w:t>
            </w:r>
          </w:p>
        </w:tc>
        <w:tc>
          <w:tcPr>
            <w:tcW w:w="391" w:type="pct"/>
            <w:gridSpan w:val="2"/>
            <w:vAlign w:val="center"/>
          </w:tcPr>
          <w:p w14:paraId="6712FF89">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napToGrid w:val="0"/>
                <w:sz w:val="21"/>
                <w:szCs w:val="21"/>
                <w:highlight w:val="none"/>
              </w:rPr>
            </w:pPr>
            <w:r>
              <w:rPr>
                <w:rFonts w:hint="default" w:ascii="Times New Roman" w:hAnsi="Times New Roman" w:cs="Times New Roman" w:eastAsiaTheme="minorEastAsia"/>
                <w:snapToGrid w:val="0"/>
                <w:sz w:val="21"/>
                <w:szCs w:val="21"/>
                <w:highlight w:val="none"/>
              </w:rPr>
              <w:t>90</w:t>
            </w:r>
          </w:p>
        </w:tc>
        <w:tc>
          <w:tcPr>
            <w:tcW w:w="273" w:type="pct"/>
            <w:gridSpan w:val="2"/>
            <w:vMerge w:val="continue"/>
            <w:vAlign w:val="center"/>
          </w:tcPr>
          <w:p w14:paraId="604BD984">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p>
        </w:tc>
        <w:tc>
          <w:tcPr>
            <w:tcW w:w="358" w:type="pct"/>
            <w:gridSpan w:val="2"/>
            <w:vAlign w:val="center"/>
          </w:tcPr>
          <w:p w14:paraId="7ACFD37F">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107</w:t>
            </w:r>
          </w:p>
        </w:tc>
        <w:tc>
          <w:tcPr>
            <w:tcW w:w="306" w:type="pct"/>
            <w:gridSpan w:val="2"/>
            <w:vAlign w:val="center"/>
          </w:tcPr>
          <w:p w14:paraId="36C976BC">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38</w:t>
            </w:r>
          </w:p>
        </w:tc>
        <w:tc>
          <w:tcPr>
            <w:tcW w:w="285" w:type="pct"/>
            <w:gridSpan w:val="2"/>
            <w:vAlign w:val="center"/>
          </w:tcPr>
          <w:p w14:paraId="5611EFD4">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179</w:t>
            </w:r>
          </w:p>
        </w:tc>
        <w:tc>
          <w:tcPr>
            <w:tcW w:w="358" w:type="pct"/>
            <w:gridSpan w:val="2"/>
            <w:vAlign w:val="center"/>
          </w:tcPr>
          <w:p w14:paraId="1B127EC8">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92</w:t>
            </w:r>
          </w:p>
          <w:p w14:paraId="53B6C239">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52</w:t>
            </w:r>
          </w:p>
          <w:p w14:paraId="33F5D854">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91</w:t>
            </w:r>
          </w:p>
          <w:p w14:paraId="7B809B81">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74</w:t>
            </w:r>
          </w:p>
        </w:tc>
        <w:tc>
          <w:tcPr>
            <w:tcW w:w="358" w:type="pct"/>
            <w:gridSpan w:val="2"/>
            <w:vAlign w:val="center"/>
          </w:tcPr>
          <w:p w14:paraId="4650A031">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50.7</w:t>
            </w:r>
          </w:p>
          <w:p w14:paraId="544CBEDA">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55.7</w:t>
            </w:r>
          </w:p>
          <w:p w14:paraId="28BCB80E">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50.8</w:t>
            </w:r>
          </w:p>
          <w:p w14:paraId="23E42F6F">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52.6</w:t>
            </w:r>
          </w:p>
        </w:tc>
        <w:tc>
          <w:tcPr>
            <w:tcW w:w="253" w:type="pct"/>
            <w:gridSpan w:val="2"/>
            <w:vAlign w:val="center"/>
          </w:tcPr>
          <w:p w14:paraId="3DCCF11F">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连续</w:t>
            </w:r>
          </w:p>
        </w:tc>
        <w:tc>
          <w:tcPr>
            <w:tcW w:w="358" w:type="pct"/>
            <w:gridSpan w:val="2"/>
            <w:vAlign w:val="center"/>
          </w:tcPr>
          <w:p w14:paraId="6FD7A73D">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20</w:t>
            </w:r>
          </w:p>
        </w:tc>
        <w:tc>
          <w:tcPr>
            <w:tcW w:w="359" w:type="pct"/>
            <w:gridSpan w:val="2"/>
            <w:vAlign w:val="center"/>
          </w:tcPr>
          <w:p w14:paraId="4AE7B7FF">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30.7</w:t>
            </w:r>
          </w:p>
          <w:p w14:paraId="10742849">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35.7</w:t>
            </w:r>
          </w:p>
          <w:p w14:paraId="38FF477E">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30.8</w:t>
            </w:r>
          </w:p>
          <w:p w14:paraId="499E0541">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32.6</w:t>
            </w:r>
          </w:p>
        </w:tc>
        <w:tc>
          <w:tcPr>
            <w:tcW w:w="358" w:type="pct"/>
            <w:vAlign w:val="center"/>
          </w:tcPr>
          <w:p w14:paraId="7446F7E2">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1m</w:t>
            </w:r>
          </w:p>
        </w:tc>
      </w:tr>
      <w:tr w14:paraId="578C4D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6" w:type="pct"/>
            <w:vAlign w:val="center"/>
          </w:tcPr>
          <w:p w14:paraId="7AF7B60B">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11</w:t>
            </w:r>
          </w:p>
        </w:tc>
        <w:tc>
          <w:tcPr>
            <w:tcW w:w="249" w:type="pct"/>
            <w:vMerge w:val="continue"/>
            <w:vAlign w:val="center"/>
          </w:tcPr>
          <w:p w14:paraId="6113684C">
            <w:pPr>
              <w:keepNext w:val="0"/>
              <w:keepLines w:val="0"/>
              <w:widowControl/>
              <w:suppressLineNumbers w:val="0"/>
              <w:spacing w:before="0" w:beforeAutospacing="0" w:after="0" w:afterAutospacing="0" w:line="0" w:lineRule="atLeast"/>
              <w:ind w:left="0" w:right="0"/>
              <w:contextualSpacing/>
              <w:jc w:val="center"/>
              <w:textAlignment w:val="center"/>
              <w:rPr>
                <w:rFonts w:hint="default" w:ascii="Times New Roman" w:hAnsi="Times New Roman" w:cs="Times New Roman" w:eastAsiaTheme="minorEastAsia"/>
                <w:color w:val="auto"/>
                <w:kern w:val="0"/>
                <w:sz w:val="21"/>
                <w:szCs w:val="21"/>
                <w:highlight w:val="none"/>
                <w:lang w:val="en-US" w:eastAsia="zh-CN" w:bidi="ar-SA"/>
              </w:rPr>
            </w:pPr>
          </w:p>
        </w:tc>
        <w:tc>
          <w:tcPr>
            <w:tcW w:w="305" w:type="pct"/>
            <w:vAlign w:val="center"/>
          </w:tcPr>
          <w:p w14:paraId="01810052">
            <w:pPr>
              <w:keepNext w:val="0"/>
              <w:keepLines w:val="0"/>
              <w:widowControl/>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default" w:ascii="Times New Roman" w:cs="Times New Roman" w:hAnsiTheme="minorEastAsia" w:eastAsiaTheme="minorEastAsia"/>
                <w:kern w:val="0"/>
                <w:sz w:val="21"/>
                <w:szCs w:val="21"/>
                <w:highlight w:val="none"/>
              </w:rPr>
              <w:t>卧式加工中心</w:t>
            </w:r>
          </w:p>
        </w:tc>
        <w:tc>
          <w:tcPr>
            <w:tcW w:w="627" w:type="pct"/>
            <w:gridSpan w:val="3"/>
            <w:vAlign w:val="center"/>
          </w:tcPr>
          <w:p w14:paraId="57A96E46">
            <w:pPr>
              <w:keepNext w:val="0"/>
              <w:keepLines w:val="0"/>
              <w:widowControl/>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G325EA21KD</w:t>
            </w:r>
            <w:r>
              <w:rPr>
                <w:rFonts w:hint="default" w:ascii="Times New Roman" w:cs="Times New Roman" w:hAnsiTheme="minorEastAsia" w:eastAsiaTheme="minorEastAsia"/>
                <w:sz w:val="21"/>
                <w:szCs w:val="21"/>
                <w:highlight w:val="none"/>
              </w:rPr>
              <w:t>（工序号</w:t>
            </w:r>
            <w:r>
              <w:rPr>
                <w:rFonts w:hint="default" w:ascii="Times New Roman" w:hAnsi="Times New Roman" w:cs="Times New Roman" w:eastAsiaTheme="minorEastAsia"/>
                <w:sz w:val="21"/>
                <w:szCs w:val="21"/>
                <w:highlight w:val="none"/>
              </w:rPr>
              <w:t>OP34</w:t>
            </w:r>
            <w:r>
              <w:rPr>
                <w:rFonts w:hint="default" w:ascii="Times New Roman" w:cs="Times New Roman" w:hAnsiTheme="minorEastAsia" w:eastAsiaTheme="minorEastAsia"/>
                <w:sz w:val="21"/>
                <w:szCs w:val="21"/>
                <w:highlight w:val="none"/>
              </w:rPr>
              <w:t>）</w:t>
            </w:r>
          </w:p>
        </w:tc>
        <w:tc>
          <w:tcPr>
            <w:tcW w:w="391" w:type="pct"/>
            <w:gridSpan w:val="2"/>
            <w:vAlign w:val="center"/>
          </w:tcPr>
          <w:p w14:paraId="7377DDD0">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napToGrid w:val="0"/>
                <w:sz w:val="21"/>
                <w:szCs w:val="21"/>
                <w:highlight w:val="none"/>
              </w:rPr>
            </w:pPr>
            <w:r>
              <w:rPr>
                <w:rFonts w:hint="default" w:ascii="Times New Roman" w:hAnsi="Times New Roman" w:cs="Times New Roman" w:eastAsiaTheme="minorEastAsia"/>
                <w:snapToGrid w:val="0"/>
                <w:sz w:val="21"/>
                <w:szCs w:val="21"/>
                <w:highlight w:val="none"/>
              </w:rPr>
              <w:t>90</w:t>
            </w:r>
          </w:p>
        </w:tc>
        <w:tc>
          <w:tcPr>
            <w:tcW w:w="273" w:type="pct"/>
            <w:gridSpan w:val="2"/>
            <w:vMerge w:val="continue"/>
            <w:vAlign w:val="center"/>
          </w:tcPr>
          <w:p w14:paraId="1F9AF882">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p>
        </w:tc>
        <w:tc>
          <w:tcPr>
            <w:tcW w:w="358" w:type="pct"/>
            <w:gridSpan w:val="2"/>
            <w:vAlign w:val="center"/>
          </w:tcPr>
          <w:p w14:paraId="13AF9B0A">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112</w:t>
            </w:r>
          </w:p>
        </w:tc>
        <w:tc>
          <w:tcPr>
            <w:tcW w:w="306" w:type="pct"/>
            <w:gridSpan w:val="2"/>
            <w:vAlign w:val="center"/>
          </w:tcPr>
          <w:p w14:paraId="5C7C9895">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39</w:t>
            </w:r>
          </w:p>
        </w:tc>
        <w:tc>
          <w:tcPr>
            <w:tcW w:w="285" w:type="pct"/>
            <w:gridSpan w:val="2"/>
            <w:vAlign w:val="center"/>
          </w:tcPr>
          <w:p w14:paraId="28A39D75">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179</w:t>
            </w:r>
          </w:p>
        </w:tc>
        <w:tc>
          <w:tcPr>
            <w:tcW w:w="358" w:type="pct"/>
            <w:gridSpan w:val="2"/>
            <w:vAlign w:val="center"/>
          </w:tcPr>
          <w:p w14:paraId="69D1278D">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87</w:t>
            </w:r>
          </w:p>
          <w:p w14:paraId="50BE00DD">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28</w:t>
            </w:r>
          </w:p>
          <w:p w14:paraId="77C5D081">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96</w:t>
            </w:r>
          </w:p>
          <w:p w14:paraId="63F273FB">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89</w:t>
            </w:r>
          </w:p>
        </w:tc>
        <w:tc>
          <w:tcPr>
            <w:tcW w:w="358" w:type="pct"/>
            <w:gridSpan w:val="2"/>
            <w:vAlign w:val="center"/>
          </w:tcPr>
          <w:p w14:paraId="1701608E">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57.2</w:t>
            </w:r>
          </w:p>
          <w:p w14:paraId="6D201DAB">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61.1</w:t>
            </w:r>
          </w:p>
          <w:p w14:paraId="7D42B092">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50.4</w:t>
            </w:r>
          </w:p>
          <w:p w14:paraId="2618E85A">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51.0</w:t>
            </w:r>
          </w:p>
        </w:tc>
        <w:tc>
          <w:tcPr>
            <w:tcW w:w="253" w:type="pct"/>
            <w:gridSpan w:val="2"/>
            <w:vAlign w:val="center"/>
          </w:tcPr>
          <w:p w14:paraId="7CE5BB5E">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连续</w:t>
            </w:r>
          </w:p>
        </w:tc>
        <w:tc>
          <w:tcPr>
            <w:tcW w:w="358" w:type="pct"/>
            <w:gridSpan w:val="2"/>
            <w:vAlign w:val="center"/>
          </w:tcPr>
          <w:p w14:paraId="201AA2D1">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20</w:t>
            </w:r>
          </w:p>
        </w:tc>
        <w:tc>
          <w:tcPr>
            <w:tcW w:w="359" w:type="pct"/>
            <w:gridSpan w:val="2"/>
            <w:vAlign w:val="center"/>
          </w:tcPr>
          <w:p w14:paraId="24CE2819">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37.2</w:t>
            </w:r>
          </w:p>
          <w:p w14:paraId="3D70BC0B">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41.1</w:t>
            </w:r>
          </w:p>
          <w:p w14:paraId="7FEB7A06">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30.4</w:t>
            </w:r>
          </w:p>
          <w:p w14:paraId="37FA30C3">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31.0</w:t>
            </w:r>
          </w:p>
        </w:tc>
        <w:tc>
          <w:tcPr>
            <w:tcW w:w="358" w:type="pct"/>
            <w:vAlign w:val="center"/>
          </w:tcPr>
          <w:p w14:paraId="5EE077D4">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1m</w:t>
            </w:r>
          </w:p>
        </w:tc>
      </w:tr>
      <w:tr w14:paraId="772B43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6" w:type="pct"/>
            <w:vAlign w:val="center"/>
          </w:tcPr>
          <w:p w14:paraId="668A4C34">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12</w:t>
            </w:r>
          </w:p>
        </w:tc>
        <w:tc>
          <w:tcPr>
            <w:tcW w:w="249" w:type="pct"/>
            <w:vMerge w:val="continue"/>
            <w:vAlign w:val="center"/>
          </w:tcPr>
          <w:p w14:paraId="1C80CC14">
            <w:pPr>
              <w:keepNext w:val="0"/>
              <w:keepLines w:val="0"/>
              <w:widowControl/>
              <w:suppressLineNumbers w:val="0"/>
              <w:spacing w:before="0" w:beforeAutospacing="0" w:after="0" w:afterAutospacing="0" w:line="0" w:lineRule="atLeast"/>
              <w:ind w:left="0" w:right="0"/>
              <w:contextualSpacing/>
              <w:jc w:val="center"/>
              <w:textAlignment w:val="center"/>
              <w:rPr>
                <w:rFonts w:hint="default" w:ascii="Times New Roman" w:hAnsi="Times New Roman" w:cs="Times New Roman" w:eastAsiaTheme="minorEastAsia"/>
                <w:color w:val="auto"/>
                <w:kern w:val="0"/>
                <w:sz w:val="21"/>
                <w:szCs w:val="21"/>
                <w:highlight w:val="none"/>
                <w:lang w:val="en-US" w:eastAsia="zh-CN" w:bidi="ar-SA"/>
              </w:rPr>
            </w:pPr>
          </w:p>
        </w:tc>
        <w:tc>
          <w:tcPr>
            <w:tcW w:w="305" w:type="pct"/>
            <w:vAlign w:val="center"/>
          </w:tcPr>
          <w:p w14:paraId="44120C98">
            <w:pPr>
              <w:keepNext w:val="0"/>
              <w:keepLines w:val="0"/>
              <w:widowControl/>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default" w:ascii="Times New Roman" w:cs="Times New Roman" w:hAnsiTheme="minorEastAsia" w:eastAsiaTheme="minorEastAsia"/>
                <w:kern w:val="0"/>
                <w:sz w:val="21"/>
                <w:szCs w:val="21"/>
                <w:highlight w:val="none"/>
              </w:rPr>
              <w:t>中间清洗机</w:t>
            </w:r>
          </w:p>
        </w:tc>
        <w:tc>
          <w:tcPr>
            <w:tcW w:w="627" w:type="pct"/>
            <w:gridSpan w:val="3"/>
            <w:vAlign w:val="center"/>
          </w:tcPr>
          <w:p w14:paraId="6533CA76">
            <w:pPr>
              <w:keepNext w:val="0"/>
              <w:keepLines w:val="0"/>
              <w:widowControl/>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EcoCAgile</w:t>
            </w:r>
          </w:p>
        </w:tc>
        <w:tc>
          <w:tcPr>
            <w:tcW w:w="391" w:type="pct"/>
            <w:gridSpan w:val="2"/>
            <w:vAlign w:val="center"/>
          </w:tcPr>
          <w:p w14:paraId="7D9696AA">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napToGrid w:val="0"/>
                <w:sz w:val="21"/>
                <w:szCs w:val="21"/>
                <w:highlight w:val="none"/>
              </w:rPr>
            </w:pPr>
            <w:r>
              <w:rPr>
                <w:rFonts w:hint="default" w:ascii="Times New Roman" w:hAnsi="Times New Roman" w:cs="Times New Roman" w:eastAsiaTheme="minorEastAsia"/>
                <w:snapToGrid w:val="0"/>
                <w:sz w:val="21"/>
                <w:szCs w:val="21"/>
                <w:highlight w:val="none"/>
              </w:rPr>
              <w:t>80</w:t>
            </w:r>
          </w:p>
        </w:tc>
        <w:tc>
          <w:tcPr>
            <w:tcW w:w="273" w:type="pct"/>
            <w:gridSpan w:val="2"/>
            <w:vMerge w:val="continue"/>
            <w:vAlign w:val="center"/>
          </w:tcPr>
          <w:p w14:paraId="1FB9C4D0">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p>
        </w:tc>
        <w:tc>
          <w:tcPr>
            <w:tcW w:w="358" w:type="pct"/>
            <w:gridSpan w:val="2"/>
            <w:vAlign w:val="center"/>
          </w:tcPr>
          <w:p w14:paraId="2488F488">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113</w:t>
            </w:r>
          </w:p>
        </w:tc>
        <w:tc>
          <w:tcPr>
            <w:tcW w:w="306" w:type="pct"/>
            <w:gridSpan w:val="2"/>
            <w:vAlign w:val="center"/>
          </w:tcPr>
          <w:p w14:paraId="72408E65">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42</w:t>
            </w:r>
          </w:p>
        </w:tc>
        <w:tc>
          <w:tcPr>
            <w:tcW w:w="285" w:type="pct"/>
            <w:gridSpan w:val="2"/>
            <w:vAlign w:val="center"/>
          </w:tcPr>
          <w:p w14:paraId="6F5B6F4E">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179</w:t>
            </w:r>
          </w:p>
        </w:tc>
        <w:tc>
          <w:tcPr>
            <w:tcW w:w="358" w:type="pct"/>
            <w:gridSpan w:val="2"/>
            <w:vAlign w:val="center"/>
          </w:tcPr>
          <w:p w14:paraId="47BFF593">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86</w:t>
            </w:r>
          </w:p>
          <w:p w14:paraId="5457FB2E">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25</w:t>
            </w:r>
          </w:p>
          <w:p w14:paraId="1EA44EC1">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97</w:t>
            </w:r>
          </w:p>
          <w:p w14:paraId="2B9BF41B">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92</w:t>
            </w:r>
          </w:p>
        </w:tc>
        <w:tc>
          <w:tcPr>
            <w:tcW w:w="358" w:type="pct"/>
            <w:gridSpan w:val="2"/>
            <w:vAlign w:val="center"/>
          </w:tcPr>
          <w:p w14:paraId="74D5A9A1">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41.3</w:t>
            </w:r>
          </w:p>
          <w:p w14:paraId="528F5081">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52.0</w:t>
            </w:r>
          </w:p>
          <w:p w14:paraId="4495893B">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40.2</w:t>
            </w:r>
          </w:p>
          <w:p w14:paraId="66530C2B">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40.7</w:t>
            </w:r>
          </w:p>
        </w:tc>
        <w:tc>
          <w:tcPr>
            <w:tcW w:w="253" w:type="pct"/>
            <w:gridSpan w:val="2"/>
            <w:vAlign w:val="center"/>
          </w:tcPr>
          <w:p w14:paraId="58036C08">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连续</w:t>
            </w:r>
          </w:p>
        </w:tc>
        <w:tc>
          <w:tcPr>
            <w:tcW w:w="358" w:type="pct"/>
            <w:gridSpan w:val="2"/>
            <w:vAlign w:val="center"/>
          </w:tcPr>
          <w:p w14:paraId="4260E939">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20</w:t>
            </w:r>
          </w:p>
        </w:tc>
        <w:tc>
          <w:tcPr>
            <w:tcW w:w="359" w:type="pct"/>
            <w:gridSpan w:val="2"/>
            <w:vAlign w:val="center"/>
          </w:tcPr>
          <w:p w14:paraId="37C3648E">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21.3</w:t>
            </w:r>
          </w:p>
          <w:p w14:paraId="6F753363">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32.0</w:t>
            </w:r>
          </w:p>
          <w:p w14:paraId="66E66F76">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20.2</w:t>
            </w:r>
          </w:p>
          <w:p w14:paraId="03120619">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20.7</w:t>
            </w:r>
          </w:p>
        </w:tc>
        <w:tc>
          <w:tcPr>
            <w:tcW w:w="358" w:type="pct"/>
            <w:vAlign w:val="center"/>
          </w:tcPr>
          <w:p w14:paraId="3CA6261C">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1m</w:t>
            </w:r>
          </w:p>
        </w:tc>
      </w:tr>
      <w:tr w14:paraId="70A230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6" w:type="pct"/>
            <w:vAlign w:val="center"/>
          </w:tcPr>
          <w:p w14:paraId="3D3E5141">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13</w:t>
            </w:r>
          </w:p>
        </w:tc>
        <w:tc>
          <w:tcPr>
            <w:tcW w:w="249" w:type="pct"/>
            <w:vMerge w:val="continue"/>
            <w:vAlign w:val="center"/>
          </w:tcPr>
          <w:p w14:paraId="597C54D7">
            <w:pPr>
              <w:keepNext w:val="0"/>
              <w:keepLines w:val="0"/>
              <w:widowControl/>
              <w:suppressLineNumbers w:val="0"/>
              <w:spacing w:before="0" w:beforeAutospacing="0" w:after="0" w:afterAutospacing="0" w:line="0" w:lineRule="atLeast"/>
              <w:ind w:left="0" w:right="0"/>
              <w:contextualSpacing/>
              <w:jc w:val="center"/>
              <w:textAlignment w:val="center"/>
              <w:rPr>
                <w:rFonts w:hint="default" w:ascii="Times New Roman" w:hAnsi="Times New Roman" w:cs="Times New Roman" w:eastAsiaTheme="minorEastAsia"/>
                <w:color w:val="auto"/>
                <w:kern w:val="0"/>
                <w:sz w:val="21"/>
                <w:szCs w:val="21"/>
                <w:highlight w:val="none"/>
                <w:lang w:val="en-US" w:eastAsia="zh-CN" w:bidi="ar-SA"/>
              </w:rPr>
            </w:pPr>
          </w:p>
        </w:tc>
        <w:tc>
          <w:tcPr>
            <w:tcW w:w="305" w:type="pct"/>
            <w:vAlign w:val="center"/>
          </w:tcPr>
          <w:p w14:paraId="3A3A69EE">
            <w:pPr>
              <w:keepNext w:val="0"/>
              <w:keepLines w:val="0"/>
              <w:widowControl/>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default" w:ascii="Times New Roman" w:cs="Times New Roman" w:hAnsiTheme="minorEastAsia" w:eastAsiaTheme="minorEastAsia"/>
                <w:kern w:val="0"/>
                <w:sz w:val="21"/>
                <w:szCs w:val="21"/>
                <w:highlight w:val="none"/>
              </w:rPr>
              <w:t>卧式加工中心</w:t>
            </w:r>
          </w:p>
        </w:tc>
        <w:tc>
          <w:tcPr>
            <w:tcW w:w="627" w:type="pct"/>
            <w:gridSpan w:val="3"/>
            <w:vAlign w:val="center"/>
          </w:tcPr>
          <w:p w14:paraId="3CFAE1A4">
            <w:pPr>
              <w:keepNext w:val="0"/>
              <w:keepLines w:val="0"/>
              <w:widowControl/>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G325AB21KD</w:t>
            </w:r>
            <w:r>
              <w:rPr>
                <w:rFonts w:hint="default" w:ascii="Times New Roman" w:cs="Times New Roman" w:hAnsiTheme="minorEastAsia" w:eastAsiaTheme="minorEastAsia"/>
                <w:sz w:val="21"/>
                <w:szCs w:val="21"/>
                <w:highlight w:val="none"/>
              </w:rPr>
              <w:t>（工序号</w:t>
            </w:r>
            <w:r>
              <w:rPr>
                <w:rFonts w:hint="default" w:ascii="Times New Roman" w:hAnsi="Times New Roman" w:cs="Times New Roman" w:eastAsiaTheme="minorEastAsia"/>
                <w:sz w:val="21"/>
                <w:szCs w:val="21"/>
                <w:highlight w:val="none"/>
              </w:rPr>
              <w:t>OP70</w:t>
            </w:r>
            <w:r>
              <w:rPr>
                <w:rFonts w:hint="default" w:ascii="Times New Roman" w:cs="Times New Roman" w:hAnsiTheme="minorEastAsia" w:eastAsiaTheme="minorEastAsia"/>
                <w:sz w:val="21"/>
                <w:szCs w:val="21"/>
                <w:highlight w:val="none"/>
              </w:rPr>
              <w:t>）</w:t>
            </w:r>
          </w:p>
        </w:tc>
        <w:tc>
          <w:tcPr>
            <w:tcW w:w="391" w:type="pct"/>
            <w:gridSpan w:val="2"/>
            <w:vAlign w:val="center"/>
          </w:tcPr>
          <w:p w14:paraId="11C6BAD8">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napToGrid w:val="0"/>
                <w:sz w:val="21"/>
                <w:szCs w:val="21"/>
                <w:highlight w:val="none"/>
              </w:rPr>
            </w:pPr>
            <w:r>
              <w:rPr>
                <w:rFonts w:hint="default" w:ascii="Times New Roman" w:hAnsi="Times New Roman" w:cs="Times New Roman" w:eastAsiaTheme="minorEastAsia"/>
                <w:snapToGrid w:val="0"/>
                <w:sz w:val="21"/>
                <w:szCs w:val="21"/>
                <w:highlight w:val="none"/>
              </w:rPr>
              <w:t>90</w:t>
            </w:r>
          </w:p>
        </w:tc>
        <w:tc>
          <w:tcPr>
            <w:tcW w:w="273" w:type="pct"/>
            <w:gridSpan w:val="2"/>
            <w:vMerge w:val="continue"/>
            <w:vAlign w:val="center"/>
          </w:tcPr>
          <w:p w14:paraId="6E399268">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p>
        </w:tc>
        <w:tc>
          <w:tcPr>
            <w:tcW w:w="358" w:type="pct"/>
            <w:gridSpan w:val="2"/>
            <w:vAlign w:val="center"/>
          </w:tcPr>
          <w:p w14:paraId="1D860581">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116</w:t>
            </w:r>
          </w:p>
        </w:tc>
        <w:tc>
          <w:tcPr>
            <w:tcW w:w="306" w:type="pct"/>
            <w:gridSpan w:val="2"/>
            <w:vAlign w:val="center"/>
          </w:tcPr>
          <w:p w14:paraId="2478FAEC">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41</w:t>
            </w:r>
          </w:p>
        </w:tc>
        <w:tc>
          <w:tcPr>
            <w:tcW w:w="285" w:type="pct"/>
            <w:gridSpan w:val="2"/>
            <w:vAlign w:val="center"/>
          </w:tcPr>
          <w:p w14:paraId="0562A0AB">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179</w:t>
            </w:r>
          </w:p>
        </w:tc>
        <w:tc>
          <w:tcPr>
            <w:tcW w:w="358" w:type="pct"/>
            <w:gridSpan w:val="2"/>
            <w:vAlign w:val="center"/>
          </w:tcPr>
          <w:p w14:paraId="670509D6">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83</w:t>
            </w:r>
          </w:p>
          <w:p w14:paraId="2E047C22">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26</w:t>
            </w:r>
          </w:p>
          <w:p w14:paraId="134FD2D0">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100</w:t>
            </w:r>
          </w:p>
          <w:p w14:paraId="29E2F938">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91</w:t>
            </w:r>
          </w:p>
        </w:tc>
        <w:tc>
          <w:tcPr>
            <w:tcW w:w="358" w:type="pct"/>
            <w:gridSpan w:val="2"/>
            <w:vAlign w:val="center"/>
          </w:tcPr>
          <w:p w14:paraId="02BAE2DD">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51.6</w:t>
            </w:r>
          </w:p>
          <w:p w14:paraId="626042C1">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61.7</w:t>
            </w:r>
          </w:p>
          <w:p w14:paraId="1F016592">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50.0</w:t>
            </w:r>
          </w:p>
          <w:p w14:paraId="58EF7898">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50.2</w:t>
            </w:r>
          </w:p>
        </w:tc>
        <w:tc>
          <w:tcPr>
            <w:tcW w:w="253" w:type="pct"/>
            <w:gridSpan w:val="2"/>
            <w:vAlign w:val="center"/>
          </w:tcPr>
          <w:p w14:paraId="44D887CD">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连续</w:t>
            </w:r>
          </w:p>
        </w:tc>
        <w:tc>
          <w:tcPr>
            <w:tcW w:w="358" w:type="pct"/>
            <w:gridSpan w:val="2"/>
            <w:vAlign w:val="center"/>
          </w:tcPr>
          <w:p w14:paraId="7683ECC6">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20</w:t>
            </w:r>
          </w:p>
        </w:tc>
        <w:tc>
          <w:tcPr>
            <w:tcW w:w="359" w:type="pct"/>
            <w:gridSpan w:val="2"/>
            <w:vAlign w:val="center"/>
          </w:tcPr>
          <w:p w14:paraId="56FD93BC">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31.6</w:t>
            </w:r>
          </w:p>
          <w:p w14:paraId="3D565A31">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41.7</w:t>
            </w:r>
          </w:p>
          <w:p w14:paraId="1483EFE5">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30.0</w:t>
            </w:r>
          </w:p>
          <w:p w14:paraId="4F032E05">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30.2</w:t>
            </w:r>
          </w:p>
        </w:tc>
        <w:tc>
          <w:tcPr>
            <w:tcW w:w="358" w:type="pct"/>
            <w:vAlign w:val="center"/>
          </w:tcPr>
          <w:p w14:paraId="45EE4DE4">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1m</w:t>
            </w:r>
          </w:p>
        </w:tc>
      </w:tr>
      <w:tr w14:paraId="58992F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6" w:type="pct"/>
            <w:vAlign w:val="center"/>
          </w:tcPr>
          <w:p w14:paraId="617703E0">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14</w:t>
            </w:r>
          </w:p>
        </w:tc>
        <w:tc>
          <w:tcPr>
            <w:tcW w:w="249" w:type="pct"/>
            <w:vMerge w:val="continue"/>
            <w:vAlign w:val="center"/>
          </w:tcPr>
          <w:p w14:paraId="4B74C822">
            <w:pPr>
              <w:keepNext w:val="0"/>
              <w:keepLines w:val="0"/>
              <w:widowControl/>
              <w:suppressLineNumbers w:val="0"/>
              <w:spacing w:before="0" w:beforeAutospacing="0" w:after="0" w:afterAutospacing="0" w:line="0" w:lineRule="atLeast"/>
              <w:ind w:left="0" w:right="0"/>
              <w:contextualSpacing/>
              <w:jc w:val="center"/>
              <w:textAlignment w:val="center"/>
              <w:rPr>
                <w:rFonts w:hint="default" w:ascii="Times New Roman" w:hAnsi="Times New Roman" w:cs="Times New Roman" w:eastAsiaTheme="minorEastAsia"/>
                <w:color w:val="auto"/>
                <w:kern w:val="0"/>
                <w:sz w:val="21"/>
                <w:szCs w:val="21"/>
                <w:highlight w:val="none"/>
                <w:lang w:val="en-US" w:eastAsia="zh-CN" w:bidi="ar-SA"/>
              </w:rPr>
            </w:pPr>
          </w:p>
        </w:tc>
        <w:tc>
          <w:tcPr>
            <w:tcW w:w="305" w:type="pct"/>
            <w:vAlign w:val="center"/>
          </w:tcPr>
          <w:p w14:paraId="72CA7B33">
            <w:pPr>
              <w:keepNext w:val="0"/>
              <w:keepLines w:val="0"/>
              <w:widowControl/>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default" w:ascii="Times New Roman" w:cs="Times New Roman" w:hAnsiTheme="minorEastAsia" w:eastAsiaTheme="minorEastAsia"/>
                <w:kern w:val="0"/>
                <w:sz w:val="21"/>
                <w:szCs w:val="21"/>
                <w:highlight w:val="none"/>
              </w:rPr>
              <w:t>罩盖装配与打刻机</w:t>
            </w:r>
          </w:p>
        </w:tc>
        <w:tc>
          <w:tcPr>
            <w:tcW w:w="627" w:type="pct"/>
            <w:gridSpan w:val="3"/>
            <w:vAlign w:val="center"/>
          </w:tcPr>
          <w:p w14:paraId="176F457A">
            <w:pPr>
              <w:keepNext w:val="0"/>
              <w:keepLines w:val="0"/>
              <w:widowControl/>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ZY-ZX141</w:t>
            </w:r>
          </w:p>
        </w:tc>
        <w:tc>
          <w:tcPr>
            <w:tcW w:w="391" w:type="pct"/>
            <w:gridSpan w:val="2"/>
            <w:vAlign w:val="center"/>
          </w:tcPr>
          <w:p w14:paraId="485A6018">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napToGrid w:val="0"/>
                <w:sz w:val="21"/>
                <w:szCs w:val="21"/>
                <w:highlight w:val="none"/>
              </w:rPr>
            </w:pPr>
            <w:r>
              <w:rPr>
                <w:rFonts w:hint="default" w:ascii="Times New Roman" w:hAnsi="Times New Roman" w:cs="Times New Roman" w:eastAsiaTheme="minorEastAsia"/>
                <w:snapToGrid w:val="0"/>
                <w:sz w:val="21"/>
                <w:szCs w:val="21"/>
                <w:highlight w:val="none"/>
              </w:rPr>
              <w:t>75</w:t>
            </w:r>
          </w:p>
        </w:tc>
        <w:tc>
          <w:tcPr>
            <w:tcW w:w="273" w:type="pct"/>
            <w:gridSpan w:val="2"/>
            <w:vMerge w:val="continue"/>
            <w:vAlign w:val="center"/>
          </w:tcPr>
          <w:p w14:paraId="22DD848A">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p>
        </w:tc>
        <w:tc>
          <w:tcPr>
            <w:tcW w:w="358" w:type="pct"/>
            <w:gridSpan w:val="2"/>
            <w:vAlign w:val="center"/>
          </w:tcPr>
          <w:p w14:paraId="1A3EBB15">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117</w:t>
            </w:r>
          </w:p>
        </w:tc>
        <w:tc>
          <w:tcPr>
            <w:tcW w:w="306" w:type="pct"/>
            <w:gridSpan w:val="2"/>
            <w:vAlign w:val="center"/>
          </w:tcPr>
          <w:p w14:paraId="3269D6C5">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36</w:t>
            </w:r>
          </w:p>
        </w:tc>
        <w:tc>
          <w:tcPr>
            <w:tcW w:w="285" w:type="pct"/>
            <w:gridSpan w:val="2"/>
            <w:vAlign w:val="center"/>
          </w:tcPr>
          <w:p w14:paraId="34634E57">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179</w:t>
            </w:r>
          </w:p>
        </w:tc>
        <w:tc>
          <w:tcPr>
            <w:tcW w:w="358" w:type="pct"/>
            <w:gridSpan w:val="2"/>
            <w:vAlign w:val="center"/>
          </w:tcPr>
          <w:p w14:paraId="58E994BC">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82</w:t>
            </w:r>
          </w:p>
          <w:p w14:paraId="6F4D9124">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37</w:t>
            </w:r>
          </w:p>
          <w:p w14:paraId="74CEFABA">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101</w:t>
            </w:r>
          </w:p>
          <w:p w14:paraId="133DFF0A">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90</w:t>
            </w:r>
          </w:p>
        </w:tc>
        <w:tc>
          <w:tcPr>
            <w:tcW w:w="358" w:type="pct"/>
            <w:gridSpan w:val="2"/>
            <w:vAlign w:val="center"/>
          </w:tcPr>
          <w:p w14:paraId="46E567C4">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36.7</w:t>
            </w:r>
          </w:p>
          <w:p w14:paraId="78A6D18D">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43.6</w:t>
            </w:r>
          </w:p>
          <w:p w14:paraId="1FE4CF40">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34.9</w:t>
            </w:r>
          </w:p>
          <w:p w14:paraId="7D68662A">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35.9</w:t>
            </w:r>
          </w:p>
        </w:tc>
        <w:tc>
          <w:tcPr>
            <w:tcW w:w="253" w:type="pct"/>
            <w:gridSpan w:val="2"/>
            <w:vAlign w:val="center"/>
          </w:tcPr>
          <w:p w14:paraId="001BCE09">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连续</w:t>
            </w:r>
          </w:p>
        </w:tc>
        <w:tc>
          <w:tcPr>
            <w:tcW w:w="358" w:type="pct"/>
            <w:gridSpan w:val="2"/>
            <w:vAlign w:val="center"/>
          </w:tcPr>
          <w:p w14:paraId="6F079F79">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20</w:t>
            </w:r>
          </w:p>
        </w:tc>
        <w:tc>
          <w:tcPr>
            <w:tcW w:w="359" w:type="pct"/>
            <w:gridSpan w:val="2"/>
            <w:vAlign w:val="center"/>
          </w:tcPr>
          <w:p w14:paraId="70781080">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16.7</w:t>
            </w:r>
          </w:p>
          <w:p w14:paraId="2944AF30">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23.6</w:t>
            </w:r>
          </w:p>
          <w:p w14:paraId="20E76ECE">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14.9</w:t>
            </w:r>
          </w:p>
          <w:p w14:paraId="76F9986E">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15.9</w:t>
            </w:r>
          </w:p>
        </w:tc>
        <w:tc>
          <w:tcPr>
            <w:tcW w:w="358" w:type="pct"/>
            <w:vAlign w:val="center"/>
          </w:tcPr>
          <w:p w14:paraId="5C94B686">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1m</w:t>
            </w:r>
          </w:p>
        </w:tc>
      </w:tr>
      <w:tr w14:paraId="722EF7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6" w:type="pct"/>
            <w:vAlign w:val="center"/>
          </w:tcPr>
          <w:p w14:paraId="2C263457">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15</w:t>
            </w:r>
          </w:p>
        </w:tc>
        <w:tc>
          <w:tcPr>
            <w:tcW w:w="249" w:type="pct"/>
            <w:vMerge w:val="restart"/>
            <w:vAlign w:val="center"/>
          </w:tcPr>
          <w:p w14:paraId="6353F043">
            <w:pPr>
              <w:keepNext w:val="0"/>
              <w:keepLines w:val="0"/>
              <w:widowControl/>
              <w:suppressLineNumbers w:val="0"/>
              <w:spacing w:before="0" w:beforeAutospacing="0" w:after="0" w:afterAutospacing="0" w:line="0" w:lineRule="atLeast"/>
              <w:ind w:left="0" w:right="0"/>
              <w:contextualSpacing/>
              <w:jc w:val="center"/>
              <w:textAlignment w:val="center"/>
              <w:rPr>
                <w:rFonts w:hint="default" w:ascii="Times New Roman" w:hAnsi="Times New Roman" w:cs="Times New Roman" w:eastAsiaTheme="minorEastAsia"/>
                <w:color w:val="auto"/>
                <w:kern w:val="0"/>
                <w:sz w:val="21"/>
                <w:szCs w:val="21"/>
                <w:highlight w:val="none"/>
                <w:lang w:val="en-US" w:eastAsia="zh-CN" w:bidi="ar-SA"/>
              </w:rPr>
            </w:pPr>
            <w:r>
              <w:rPr>
                <w:rFonts w:hint="default" w:ascii="Times New Roman" w:cs="Times New Roman" w:hAnsiTheme="minorEastAsia" w:eastAsiaTheme="minorEastAsia"/>
                <w:color w:val="auto"/>
                <w:kern w:val="0"/>
                <w:sz w:val="21"/>
                <w:szCs w:val="21"/>
                <w:highlight w:val="none"/>
                <w:lang w:val="en-US" w:eastAsia="zh-CN" w:bidi="ar-SA"/>
              </w:rPr>
              <w:t>机械加工区域</w:t>
            </w:r>
          </w:p>
        </w:tc>
        <w:tc>
          <w:tcPr>
            <w:tcW w:w="305" w:type="pct"/>
            <w:vAlign w:val="center"/>
          </w:tcPr>
          <w:p w14:paraId="71A0D2F0">
            <w:pPr>
              <w:keepNext w:val="0"/>
              <w:keepLines w:val="0"/>
              <w:widowControl/>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default" w:ascii="Times New Roman" w:cs="Times New Roman" w:hAnsiTheme="minorEastAsia" w:eastAsiaTheme="minorEastAsia"/>
                <w:kern w:val="0"/>
                <w:sz w:val="21"/>
                <w:szCs w:val="21"/>
                <w:highlight w:val="none"/>
              </w:rPr>
              <w:t>卧式加工中心</w:t>
            </w:r>
          </w:p>
        </w:tc>
        <w:tc>
          <w:tcPr>
            <w:tcW w:w="627" w:type="pct"/>
            <w:gridSpan w:val="3"/>
            <w:vAlign w:val="center"/>
          </w:tcPr>
          <w:p w14:paraId="3578C8E2">
            <w:pPr>
              <w:keepNext w:val="0"/>
              <w:keepLines w:val="0"/>
              <w:widowControl/>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G325AB21KDS</w:t>
            </w:r>
          </w:p>
        </w:tc>
        <w:tc>
          <w:tcPr>
            <w:tcW w:w="391" w:type="pct"/>
            <w:gridSpan w:val="2"/>
            <w:vAlign w:val="center"/>
          </w:tcPr>
          <w:p w14:paraId="075E6DD9">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napToGrid w:val="0"/>
                <w:sz w:val="21"/>
                <w:szCs w:val="21"/>
                <w:highlight w:val="none"/>
              </w:rPr>
            </w:pPr>
            <w:r>
              <w:rPr>
                <w:rFonts w:hint="default" w:ascii="Times New Roman" w:hAnsi="Times New Roman" w:cs="Times New Roman" w:eastAsiaTheme="minorEastAsia"/>
                <w:snapToGrid w:val="0"/>
                <w:sz w:val="21"/>
                <w:szCs w:val="21"/>
                <w:highlight w:val="none"/>
              </w:rPr>
              <w:t>90</w:t>
            </w:r>
          </w:p>
        </w:tc>
        <w:tc>
          <w:tcPr>
            <w:tcW w:w="273" w:type="pct"/>
            <w:gridSpan w:val="2"/>
            <w:vMerge w:val="restart"/>
            <w:vAlign w:val="center"/>
          </w:tcPr>
          <w:p w14:paraId="34FA8B6F">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基础减振、厂房隔声措施</w:t>
            </w:r>
          </w:p>
        </w:tc>
        <w:tc>
          <w:tcPr>
            <w:tcW w:w="358" w:type="pct"/>
            <w:gridSpan w:val="2"/>
            <w:vAlign w:val="center"/>
          </w:tcPr>
          <w:p w14:paraId="3F356C3C">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123</w:t>
            </w:r>
          </w:p>
        </w:tc>
        <w:tc>
          <w:tcPr>
            <w:tcW w:w="306" w:type="pct"/>
            <w:gridSpan w:val="2"/>
            <w:vAlign w:val="center"/>
          </w:tcPr>
          <w:p w14:paraId="4340BA5E">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38</w:t>
            </w:r>
          </w:p>
        </w:tc>
        <w:tc>
          <w:tcPr>
            <w:tcW w:w="285" w:type="pct"/>
            <w:gridSpan w:val="2"/>
            <w:vAlign w:val="center"/>
          </w:tcPr>
          <w:p w14:paraId="3F0A4E9B">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179</w:t>
            </w:r>
          </w:p>
        </w:tc>
        <w:tc>
          <w:tcPr>
            <w:tcW w:w="358" w:type="pct"/>
            <w:gridSpan w:val="2"/>
            <w:vAlign w:val="center"/>
          </w:tcPr>
          <w:p w14:paraId="22248471">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77</w:t>
            </w:r>
          </w:p>
          <w:p w14:paraId="34FF6F37">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39</w:t>
            </w:r>
          </w:p>
          <w:p w14:paraId="1DF48535">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106</w:t>
            </w:r>
          </w:p>
          <w:p w14:paraId="7CA2AB3A">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88</w:t>
            </w:r>
          </w:p>
        </w:tc>
        <w:tc>
          <w:tcPr>
            <w:tcW w:w="358" w:type="pct"/>
            <w:gridSpan w:val="2"/>
            <w:vAlign w:val="center"/>
          </w:tcPr>
          <w:p w14:paraId="0640D774">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52.3</w:t>
            </w:r>
          </w:p>
          <w:p w14:paraId="7094BF69">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58.2</w:t>
            </w:r>
          </w:p>
          <w:p w14:paraId="13A2E50C">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49.5</w:t>
            </w:r>
          </w:p>
          <w:p w14:paraId="49151712">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51.1</w:t>
            </w:r>
          </w:p>
        </w:tc>
        <w:tc>
          <w:tcPr>
            <w:tcW w:w="253" w:type="pct"/>
            <w:gridSpan w:val="2"/>
            <w:vAlign w:val="center"/>
          </w:tcPr>
          <w:p w14:paraId="6D854D09">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连续</w:t>
            </w:r>
          </w:p>
        </w:tc>
        <w:tc>
          <w:tcPr>
            <w:tcW w:w="358" w:type="pct"/>
            <w:gridSpan w:val="2"/>
            <w:vAlign w:val="center"/>
          </w:tcPr>
          <w:p w14:paraId="4E9E531B">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20</w:t>
            </w:r>
          </w:p>
        </w:tc>
        <w:tc>
          <w:tcPr>
            <w:tcW w:w="359" w:type="pct"/>
            <w:gridSpan w:val="2"/>
            <w:vAlign w:val="center"/>
          </w:tcPr>
          <w:p w14:paraId="7FC46425">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32.3</w:t>
            </w:r>
          </w:p>
          <w:p w14:paraId="3174AFE5">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38.2</w:t>
            </w:r>
          </w:p>
          <w:p w14:paraId="319741C5">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29.5</w:t>
            </w:r>
          </w:p>
          <w:p w14:paraId="280FDD1E">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31.1</w:t>
            </w:r>
          </w:p>
        </w:tc>
        <w:tc>
          <w:tcPr>
            <w:tcW w:w="358" w:type="pct"/>
            <w:vAlign w:val="center"/>
          </w:tcPr>
          <w:p w14:paraId="1ACA47CF">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1m</w:t>
            </w:r>
          </w:p>
        </w:tc>
      </w:tr>
      <w:tr w14:paraId="2EC16A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6" w:type="pct"/>
            <w:vAlign w:val="center"/>
          </w:tcPr>
          <w:p w14:paraId="44F88F7B">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16</w:t>
            </w:r>
          </w:p>
        </w:tc>
        <w:tc>
          <w:tcPr>
            <w:tcW w:w="249" w:type="pct"/>
            <w:vMerge w:val="continue"/>
            <w:vAlign w:val="center"/>
          </w:tcPr>
          <w:p w14:paraId="6308C520">
            <w:pPr>
              <w:keepNext w:val="0"/>
              <w:keepLines w:val="0"/>
              <w:widowControl/>
              <w:suppressLineNumbers w:val="0"/>
              <w:spacing w:before="0" w:beforeAutospacing="0" w:after="0" w:afterAutospacing="0" w:line="0" w:lineRule="atLeast"/>
              <w:ind w:left="0" w:right="0"/>
              <w:contextualSpacing/>
              <w:jc w:val="center"/>
              <w:textAlignment w:val="center"/>
              <w:rPr>
                <w:rFonts w:hint="default" w:ascii="Times New Roman" w:hAnsi="Times New Roman" w:cs="Times New Roman" w:eastAsiaTheme="minorEastAsia"/>
                <w:color w:val="auto"/>
                <w:kern w:val="0"/>
                <w:sz w:val="21"/>
                <w:szCs w:val="21"/>
                <w:highlight w:val="none"/>
                <w:lang w:val="en-US" w:eastAsia="zh-CN" w:bidi="ar-SA"/>
              </w:rPr>
            </w:pPr>
          </w:p>
        </w:tc>
        <w:tc>
          <w:tcPr>
            <w:tcW w:w="305" w:type="pct"/>
            <w:vAlign w:val="center"/>
          </w:tcPr>
          <w:p w14:paraId="010D9AEE">
            <w:pPr>
              <w:keepNext w:val="0"/>
              <w:keepLines w:val="0"/>
              <w:widowControl/>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default" w:ascii="Times New Roman" w:cs="Times New Roman" w:hAnsiTheme="minorEastAsia" w:eastAsiaTheme="minorEastAsia"/>
                <w:kern w:val="0"/>
                <w:sz w:val="21"/>
                <w:szCs w:val="21"/>
                <w:highlight w:val="none"/>
              </w:rPr>
              <w:t>高压清洗机</w:t>
            </w:r>
          </w:p>
        </w:tc>
        <w:tc>
          <w:tcPr>
            <w:tcW w:w="627" w:type="pct"/>
            <w:gridSpan w:val="3"/>
            <w:vAlign w:val="center"/>
          </w:tcPr>
          <w:p w14:paraId="61EA6860">
            <w:pPr>
              <w:keepNext w:val="0"/>
              <w:keepLines w:val="0"/>
              <w:widowControl/>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EcoCFlex M</w:t>
            </w:r>
          </w:p>
        </w:tc>
        <w:tc>
          <w:tcPr>
            <w:tcW w:w="391" w:type="pct"/>
            <w:gridSpan w:val="2"/>
            <w:vAlign w:val="center"/>
          </w:tcPr>
          <w:p w14:paraId="217D7202">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napToGrid w:val="0"/>
                <w:sz w:val="21"/>
                <w:szCs w:val="21"/>
                <w:highlight w:val="none"/>
              </w:rPr>
            </w:pPr>
            <w:r>
              <w:rPr>
                <w:rFonts w:hint="default" w:ascii="Times New Roman" w:hAnsi="Times New Roman" w:cs="Times New Roman" w:eastAsiaTheme="minorEastAsia"/>
                <w:snapToGrid w:val="0"/>
                <w:sz w:val="21"/>
                <w:szCs w:val="21"/>
                <w:highlight w:val="none"/>
              </w:rPr>
              <w:t>80</w:t>
            </w:r>
          </w:p>
        </w:tc>
        <w:tc>
          <w:tcPr>
            <w:tcW w:w="273" w:type="pct"/>
            <w:gridSpan w:val="2"/>
            <w:vMerge w:val="continue"/>
            <w:vAlign w:val="center"/>
          </w:tcPr>
          <w:p w14:paraId="0469C25F">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p>
        </w:tc>
        <w:tc>
          <w:tcPr>
            <w:tcW w:w="358" w:type="pct"/>
            <w:gridSpan w:val="2"/>
            <w:vAlign w:val="center"/>
          </w:tcPr>
          <w:p w14:paraId="241C9202">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125</w:t>
            </w:r>
          </w:p>
        </w:tc>
        <w:tc>
          <w:tcPr>
            <w:tcW w:w="306" w:type="pct"/>
            <w:gridSpan w:val="2"/>
            <w:vAlign w:val="center"/>
          </w:tcPr>
          <w:p w14:paraId="171B50D9">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40</w:t>
            </w:r>
          </w:p>
        </w:tc>
        <w:tc>
          <w:tcPr>
            <w:tcW w:w="285" w:type="pct"/>
            <w:gridSpan w:val="2"/>
            <w:vAlign w:val="center"/>
          </w:tcPr>
          <w:p w14:paraId="4940B9D9">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179</w:t>
            </w:r>
          </w:p>
        </w:tc>
        <w:tc>
          <w:tcPr>
            <w:tcW w:w="358" w:type="pct"/>
            <w:gridSpan w:val="2"/>
            <w:vAlign w:val="center"/>
          </w:tcPr>
          <w:p w14:paraId="0DC1E1EF">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75</w:t>
            </w:r>
          </w:p>
          <w:p w14:paraId="71211781">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37</w:t>
            </w:r>
          </w:p>
          <w:p w14:paraId="780F7564">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108</w:t>
            </w:r>
          </w:p>
          <w:p w14:paraId="04FDF6A3">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90</w:t>
            </w:r>
          </w:p>
        </w:tc>
        <w:tc>
          <w:tcPr>
            <w:tcW w:w="358" w:type="pct"/>
            <w:gridSpan w:val="2"/>
            <w:vAlign w:val="center"/>
          </w:tcPr>
          <w:p w14:paraId="2E32DC0C">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42.5</w:t>
            </w:r>
          </w:p>
          <w:p w14:paraId="0E9AAEA5">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48.6</w:t>
            </w:r>
          </w:p>
          <w:p w14:paraId="07587625">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39.3</w:t>
            </w:r>
          </w:p>
          <w:p w14:paraId="3F534304">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40.9</w:t>
            </w:r>
          </w:p>
        </w:tc>
        <w:tc>
          <w:tcPr>
            <w:tcW w:w="253" w:type="pct"/>
            <w:gridSpan w:val="2"/>
            <w:vAlign w:val="center"/>
          </w:tcPr>
          <w:p w14:paraId="2C62CA5F">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连续</w:t>
            </w:r>
          </w:p>
        </w:tc>
        <w:tc>
          <w:tcPr>
            <w:tcW w:w="358" w:type="pct"/>
            <w:gridSpan w:val="2"/>
            <w:vAlign w:val="center"/>
          </w:tcPr>
          <w:p w14:paraId="3944AE9B">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20</w:t>
            </w:r>
          </w:p>
        </w:tc>
        <w:tc>
          <w:tcPr>
            <w:tcW w:w="359" w:type="pct"/>
            <w:gridSpan w:val="2"/>
            <w:vAlign w:val="center"/>
          </w:tcPr>
          <w:p w14:paraId="57C3C2A2">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22.5</w:t>
            </w:r>
          </w:p>
          <w:p w14:paraId="4FDC010A">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28.6</w:t>
            </w:r>
          </w:p>
          <w:p w14:paraId="10F18C8B">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19.3</w:t>
            </w:r>
          </w:p>
          <w:p w14:paraId="60639D7C">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20.9</w:t>
            </w:r>
          </w:p>
        </w:tc>
        <w:tc>
          <w:tcPr>
            <w:tcW w:w="358" w:type="pct"/>
            <w:vAlign w:val="center"/>
          </w:tcPr>
          <w:p w14:paraId="015DF950">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1m</w:t>
            </w:r>
          </w:p>
        </w:tc>
      </w:tr>
      <w:tr w14:paraId="15BC64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6" w:type="pct"/>
            <w:vAlign w:val="center"/>
          </w:tcPr>
          <w:p w14:paraId="4820229E">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17</w:t>
            </w:r>
          </w:p>
        </w:tc>
        <w:tc>
          <w:tcPr>
            <w:tcW w:w="249" w:type="pct"/>
            <w:vMerge w:val="continue"/>
            <w:vAlign w:val="center"/>
          </w:tcPr>
          <w:p w14:paraId="31ECF825">
            <w:pPr>
              <w:keepNext w:val="0"/>
              <w:keepLines w:val="0"/>
              <w:widowControl/>
              <w:suppressLineNumbers w:val="0"/>
              <w:spacing w:before="0" w:beforeAutospacing="0" w:after="0" w:afterAutospacing="0" w:line="0" w:lineRule="atLeast"/>
              <w:ind w:left="0" w:right="0"/>
              <w:contextualSpacing/>
              <w:jc w:val="center"/>
              <w:textAlignment w:val="center"/>
              <w:rPr>
                <w:rFonts w:hint="default" w:ascii="Times New Roman" w:hAnsi="Times New Roman" w:cs="Times New Roman" w:eastAsiaTheme="minorEastAsia"/>
                <w:color w:val="auto"/>
                <w:kern w:val="0"/>
                <w:sz w:val="21"/>
                <w:szCs w:val="21"/>
                <w:highlight w:val="none"/>
                <w:lang w:val="en-US" w:eastAsia="zh-CN" w:bidi="ar-SA"/>
              </w:rPr>
            </w:pPr>
          </w:p>
        </w:tc>
        <w:tc>
          <w:tcPr>
            <w:tcW w:w="305" w:type="pct"/>
            <w:vAlign w:val="center"/>
          </w:tcPr>
          <w:p w14:paraId="4280BE44">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cs="Times New Roman" w:hAnsiTheme="minorEastAsia" w:eastAsiaTheme="minorEastAsia"/>
                <w:kern w:val="0"/>
                <w:sz w:val="21"/>
                <w:szCs w:val="21"/>
                <w:highlight w:val="none"/>
              </w:rPr>
              <w:t>精细清洗机</w:t>
            </w:r>
          </w:p>
        </w:tc>
        <w:tc>
          <w:tcPr>
            <w:tcW w:w="627" w:type="pct"/>
            <w:gridSpan w:val="3"/>
            <w:vAlign w:val="center"/>
          </w:tcPr>
          <w:p w14:paraId="4C60D22A">
            <w:pPr>
              <w:keepNext w:val="0"/>
              <w:keepLines w:val="0"/>
              <w:widowControl/>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1111066-40-01</w:t>
            </w:r>
          </w:p>
        </w:tc>
        <w:tc>
          <w:tcPr>
            <w:tcW w:w="391" w:type="pct"/>
            <w:gridSpan w:val="2"/>
            <w:vAlign w:val="center"/>
          </w:tcPr>
          <w:p w14:paraId="3065D7D8">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napToGrid w:val="0"/>
                <w:sz w:val="21"/>
                <w:szCs w:val="21"/>
                <w:highlight w:val="none"/>
              </w:rPr>
            </w:pPr>
            <w:r>
              <w:rPr>
                <w:rFonts w:hint="default" w:ascii="Times New Roman" w:hAnsi="Times New Roman" w:cs="Times New Roman" w:eastAsiaTheme="minorEastAsia"/>
                <w:snapToGrid w:val="0"/>
                <w:sz w:val="21"/>
                <w:szCs w:val="21"/>
                <w:highlight w:val="none"/>
              </w:rPr>
              <w:t>80</w:t>
            </w:r>
          </w:p>
        </w:tc>
        <w:tc>
          <w:tcPr>
            <w:tcW w:w="273" w:type="pct"/>
            <w:gridSpan w:val="2"/>
            <w:vMerge w:val="continue"/>
            <w:vAlign w:val="center"/>
          </w:tcPr>
          <w:p w14:paraId="41CD96D9">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p>
        </w:tc>
        <w:tc>
          <w:tcPr>
            <w:tcW w:w="358" w:type="pct"/>
            <w:gridSpan w:val="2"/>
            <w:vAlign w:val="center"/>
          </w:tcPr>
          <w:p w14:paraId="2C035F69">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125</w:t>
            </w:r>
          </w:p>
        </w:tc>
        <w:tc>
          <w:tcPr>
            <w:tcW w:w="306" w:type="pct"/>
            <w:gridSpan w:val="2"/>
            <w:vAlign w:val="center"/>
          </w:tcPr>
          <w:p w14:paraId="47B117FD">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43</w:t>
            </w:r>
          </w:p>
        </w:tc>
        <w:tc>
          <w:tcPr>
            <w:tcW w:w="285" w:type="pct"/>
            <w:gridSpan w:val="2"/>
            <w:vAlign w:val="center"/>
          </w:tcPr>
          <w:p w14:paraId="46B63D8F">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179</w:t>
            </w:r>
          </w:p>
        </w:tc>
        <w:tc>
          <w:tcPr>
            <w:tcW w:w="358" w:type="pct"/>
            <w:gridSpan w:val="2"/>
            <w:vAlign w:val="center"/>
          </w:tcPr>
          <w:p w14:paraId="72FA672C">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75</w:t>
            </w:r>
          </w:p>
          <w:p w14:paraId="6A566184">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34</w:t>
            </w:r>
          </w:p>
          <w:p w14:paraId="7462C91B">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106</w:t>
            </w:r>
          </w:p>
          <w:p w14:paraId="22077A83">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92</w:t>
            </w:r>
          </w:p>
        </w:tc>
        <w:tc>
          <w:tcPr>
            <w:tcW w:w="358" w:type="pct"/>
            <w:gridSpan w:val="2"/>
            <w:vAlign w:val="center"/>
          </w:tcPr>
          <w:p w14:paraId="4F9D56F3">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42.5</w:t>
            </w:r>
          </w:p>
          <w:p w14:paraId="76D6822C">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49.4</w:t>
            </w:r>
          </w:p>
          <w:p w14:paraId="6F111F00">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39.5</w:t>
            </w:r>
          </w:p>
          <w:p w14:paraId="2E51A5C3">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40.7</w:t>
            </w:r>
          </w:p>
        </w:tc>
        <w:tc>
          <w:tcPr>
            <w:tcW w:w="253" w:type="pct"/>
            <w:gridSpan w:val="2"/>
            <w:vAlign w:val="center"/>
          </w:tcPr>
          <w:p w14:paraId="195D8790">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连续</w:t>
            </w:r>
          </w:p>
        </w:tc>
        <w:tc>
          <w:tcPr>
            <w:tcW w:w="358" w:type="pct"/>
            <w:gridSpan w:val="2"/>
            <w:vAlign w:val="center"/>
          </w:tcPr>
          <w:p w14:paraId="40751920">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20</w:t>
            </w:r>
          </w:p>
        </w:tc>
        <w:tc>
          <w:tcPr>
            <w:tcW w:w="359" w:type="pct"/>
            <w:gridSpan w:val="2"/>
            <w:vAlign w:val="center"/>
          </w:tcPr>
          <w:p w14:paraId="3CBF06B6">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22.5</w:t>
            </w:r>
          </w:p>
          <w:p w14:paraId="71E53EA0">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29.4</w:t>
            </w:r>
          </w:p>
          <w:p w14:paraId="6700EB09">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19.5</w:t>
            </w:r>
          </w:p>
          <w:p w14:paraId="48B1126A">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20.7</w:t>
            </w:r>
          </w:p>
        </w:tc>
        <w:tc>
          <w:tcPr>
            <w:tcW w:w="358" w:type="pct"/>
            <w:vAlign w:val="center"/>
          </w:tcPr>
          <w:p w14:paraId="7C238147">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1m</w:t>
            </w:r>
          </w:p>
        </w:tc>
      </w:tr>
      <w:tr w14:paraId="67002F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6" w:type="pct"/>
            <w:vAlign w:val="center"/>
          </w:tcPr>
          <w:p w14:paraId="0FD9A9CA">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18</w:t>
            </w:r>
          </w:p>
        </w:tc>
        <w:tc>
          <w:tcPr>
            <w:tcW w:w="249" w:type="pct"/>
            <w:vMerge w:val="restart"/>
            <w:vAlign w:val="center"/>
          </w:tcPr>
          <w:p w14:paraId="155B536B">
            <w:pPr>
              <w:keepNext w:val="0"/>
              <w:keepLines w:val="0"/>
              <w:widowControl/>
              <w:suppressLineNumbers w:val="0"/>
              <w:spacing w:before="0" w:beforeAutospacing="0" w:after="0" w:afterAutospacing="0" w:line="0" w:lineRule="atLeast"/>
              <w:ind w:left="0" w:right="0"/>
              <w:contextualSpacing/>
              <w:jc w:val="center"/>
              <w:textAlignment w:val="center"/>
              <w:rPr>
                <w:rFonts w:hint="default" w:ascii="Times New Roman" w:hAnsi="Times New Roman" w:cs="Times New Roman" w:eastAsiaTheme="minorEastAsia"/>
                <w:color w:val="auto"/>
                <w:kern w:val="0"/>
                <w:sz w:val="21"/>
                <w:szCs w:val="21"/>
                <w:highlight w:val="none"/>
                <w:lang w:val="en-US" w:eastAsia="zh-CN" w:bidi="ar-SA"/>
              </w:rPr>
            </w:pPr>
            <w:r>
              <w:rPr>
                <w:rFonts w:hint="default" w:ascii="Times New Roman" w:cs="Times New Roman" w:hAnsiTheme="minorEastAsia" w:eastAsiaTheme="minorEastAsia"/>
                <w:color w:val="auto"/>
                <w:kern w:val="0"/>
                <w:sz w:val="21"/>
                <w:szCs w:val="21"/>
                <w:highlight w:val="none"/>
                <w:lang w:val="en-US" w:eastAsia="zh-CN" w:bidi="ar-SA"/>
              </w:rPr>
              <w:t>试装区域</w:t>
            </w:r>
          </w:p>
        </w:tc>
        <w:tc>
          <w:tcPr>
            <w:tcW w:w="305" w:type="pct"/>
            <w:vAlign w:val="center"/>
          </w:tcPr>
          <w:p w14:paraId="412F5AD6">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OP010</w:t>
            </w:r>
            <w:r>
              <w:rPr>
                <w:rFonts w:hint="default" w:ascii="Times New Roman" w:cs="Times New Roman" w:hAnsiTheme="minorEastAsia" w:eastAsiaTheme="minorEastAsia"/>
                <w:sz w:val="21"/>
                <w:szCs w:val="21"/>
                <w:highlight w:val="none"/>
              </w:rPr>
              <w:t>装配</w:t>
            </w:r>
            <w:r>
              <w:rPr>
                <w:rFonts w:hint="default" w:ascii="Times New Roman" w:hAnsi="Times New Roman" w:cs="Times New Roman" w:eastAsiaTheme="minorEastAsia"/>
                <w:sz w:val="21"/>
                <w:szCs w:val="21"/>
                <w:highlight w:val="none"/>
              </w:rPr>
              <w:t>KBK</w:t>
            </w:r>
            <w:r>
              <w:rPr>
                <w:rFonts w:hint="default" w:ascii="Times New Roman" w:cs="Times New Roman" w:hAnsiTheme="minorEastAsia" w:eastAsiaTheme="minorEastAsia"/>
                <w:sz w:val="21"/>
                <w:szCs w:val="21"/>
                <w:highlight w:val="none"/>
              </w:rPr>
              <w:t>组合式起重机</w:t>
            </w:r>
          </w:p>
        </w:tc>
        <w:tc>
          <w:tcPr>
            <w:tcW w:w="627" w:type="pct"/>
            <w:gridSpan w:val="3"/>
            <w:vAlign w:val="center"/>
          </w:tcPr>
          <w:p w14:paraId="5E884C58">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kern w:val="0"/>
                <w:sz w:val="21"/>
                <w:szCs w:val="21"/>
                <w:highlight w:val="none"/>
              </w:rPr>
              <w:t>/</w:t>
            </w:r>
          </w:p>
        </w:tc>
        <w:tc>
          <w:tcPr>
            <w:tcW w:w="391" w:type="pct"/>
            <w:gridSpan w:val="2"/>
            <w:vAlign w:val="center"/>
          </w:tcPr>
          <w:p w14:paraId="26B5D383">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napToGrid w:val="0"/>
                <w:sz w:val="21"/>
                <w:szCs w:val="21"/>
                <w:highlight w:val="none"/>
              </w:rPr>
            </w:pPr>
            <w:r>
              <w:rPr>
                <w:rFonts w:hint="default" w:ascii="Times New Roman" w:hAnsi="Times New Roman" w:cs="Times New Roman" w:eastAsiaTheme="minorEastAsia"/>
                <w:snapToGrid w:val="0"/>
                <w:sz w:val="21"/>
                <w:szCs w:val="21"/>
                <w:highlight w:val="none"/>
              </w:rPr>
              <w:t>80</w:t>
            </w:r>
          </w:p>
        </w:tc>
        <w:tc>
          <w:tcPr>
            <w:tcW w:w="273" w:type="pct"/>
            <w:gridSpan w:val="2"/>
            <w:vMerge w:val="continue"/>
            <w:vAlign w:val="center"/>
          </w:tcPr>
          <w:p w14:paraId="76A746C0">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p>
        </w:tc>
        <w:tc>
          <w:tcPr>
            <w:tcW w:w="358" w:type="pct"/>
            <w:gridSpan w:val="2"/>
            <w:vAlign w:val="center"/>
          </w:tcPr>
          <w:p w14:paraId="7EAA8A4D">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73</w:t>
            </w:r>
          </w:p>
        </w:tc>
        <w:tc>
          <w:tcPr>
            <w:tcW w:w="306" w:type="pct"/>
            <w:gridSpan w:val="2"/>
            <w:vAlign w:val="center"/>
          </w:tcPr>
          <w:p w14:paraId="2A8B4F79">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68</w:t>
            </w:r>
          </w:p>
        </w:tc>
        <w:tc>
          <w:tcPr>
            <w:tcW w:w="285" w:type="pct"/>
            <w:gridSpan w:val="2"/>
            <w:vAlign w:val="center"/>
          </w:tcPr>
          <w:p w14:paraId="10888D70">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178</w:t>
            </w:r>
          </w:p>
        </w:tc>
        <w:tc>
          <w:tcPr>
            <w:tcW w:w="358" w:type="pct"/>
            <w:gridSpan w:val="2"/>
            <w:vAlign w:val="center"/>
          </w:tcPr>
          <w:p w14:paraId="72DBC9F6">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132</w:t>
            </w:r>
          </w:p>
          <w:p w14:paraId="18CB6D15">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68</w:t>
            </w:r>
          </w:p>
          <w:p w14:paraId="6BF70FC2">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33</w:t>
            </w:r>
          </w:p>
          <w:p w14:paraId="780C3358">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60</w:t>
            </w:r>
          </w:p>
        </w:tc>
        <w:tc>
          <w:tcPr>
            <w:tcW w:w="358" w:type="pct"/>
            <w:gridSpan w:val="2"/>
            <w:vAlign w:val="center"/>
          </w:tcPr>
          <w:p w14:paraId="128F2173">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37.6</w:t>
            </w:r>
          </w:p>
          <w:p w14:paraId="6D43DB0D">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43.3</w:t>
            </w:r>
          </w:p>
          <w:p w14:paraId="18BF394C">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49.6</w:t>
            </w:r>
          </w:p>
          <w:p w14:paraId="1F5F16A9">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44.4</w:t>
            </w:r>
          </w:p>
        </w:tc>
        <w:tc>
          <w:tcPr>
            <w:tcW w:w="253" w:type="pct"/>
            <w:gridSpan w:val="2"/>
            <w:vAlign w:val="center"/>
          </w:tcPr>
          <w:p w14:paraId="48A02B4D">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连续</w:t>
            </w:r>
          </w:p>
        </w:tc>
        <w:tc>
          <w:tcPr>
            <w:tcW w:w="358" w:type="pct"/>
            <w:gridSpan w:val="2"/>
            <w:vAlign w:val="center"/>
          </w:tcPr>
          <w:p w14:paraId="1241155F">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20</w:t>
            </w:r>
          </w:p>
        </w:tc>
        <w:tc>
          <w:tcPr>
            <w:tcW w:w="359" w:type="pct"/>
            <w:gridSpan w:val="2"/>
            <w:vAlign w:val="center"/>
          </w:tcPr>
          <w:p w14:paraId="077F048C">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17.6</w:t>
            </w:r>
          </w:p>
          <w:p w14:paraId="1E67AD68">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13.3</w:t>
            </w:r>
          </w:p>
          <w:p w14:paraId="573CD7FC">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29.6</w:t>
            </w:r>
          </w:p>
          <w:p w14:paraId="412D16D2">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24.4</w:t>
            </w:r>
          </w:p>
        </w:tc>
        <w:tc>
          <w:tcPr>
            <w:tcW w:w="358" w:type="pct"/>
            <w:vAlign w:val="center"/>
          </w:tcPr>
          <w:p w14:paraId="6BD58DC7">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1m</w:t>
            </w:r>
          </w:p>
        </w:tc>
      </w:tr>
      <w:tr w14:paraId="389D20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6" w:type="pct"/>
            <w:vAlign w:val="center"/>
          </w:tcPr>
          <w:p w14:paraId="19B238D9">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19</w:t>
            </w:r>
          </w:p>
        </w:tc>
        <w:tc>
          <w:tcPr>
            <w:tcW w:w="249" w:type="pct"/>
            <w:vMerge w:val="continue"/>
            <w:vAlign w:val="center"/>
          </w:tcPr>
          <w:p w14:paraId="3B4746BE">
            <w:pPr>
              <w:keepNext w:val="0"/>
              <w:keepLines w:val="0"/>
              <w:widowControl/>
              <w:suppressLineNumbers w:val="0"/>
              <w:spacing w:before="0" w:beforeAutospacing="0" w:after="0" w:afterAutospacing="0" w:line="0" w:lineRule="atLeast"/>
              <w:ind w:left="0" w:right="0"/>
              <w:contextualSpacing/>
              <w:jc w:val="center"/>
              <w:textAlignment w:val="center"/>
              <w:rPr>
                <w:rFonts w:hint="default" w:ascii="Times New Roman" w:hAnsi="Times New Roman" w:cs="Times New Roman" w:eastAsiaTheme="minorEastAsia"/>
                <w:color w:val="auto"/>
                <w:kern w:val="0"/>
                <w:sz w:val="21"/>
                <w:szCs w:val="21"/>
                <w:highlight w:val="none"/>
                <w:lang w:val="en-US" w:eastAsia="zh-CN" w:bidi="ar-SA"/>
              </w:rPr>
            </w:pPr>
          </w:p>
        </w:tc>
        <w:tc>
          <w:tcPr>
            <w:tcW w:w="305" w:type="pct"/>
            <w:vAlign w:val="center"/>
          </w:tcPr>
          <w:p w14:paraId="112654A2">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cs="Times New Roman" w:hAnsiTheme="minorEastAsia" w:eastAsiaTheme="minorEastAsia"/>
                <w:sz w:val="21"/>
                <w:szCs w:val="21"/>
                <w:highlight w:val="none"/>
              </w:rPr>
              <w:t>冷试验设备</w:t>
            </w:r>
          </w:p>
        </w:tc>
        <w:tc>
          <w:tcPr>
            <w:tcW w:w="627" w:type="pct"/>
            <w:gridSpan w:val="3"/>
            <w:vAlign w:val="center"/>
          </w:tcPr>
          <w:p w14:paraId="4A0EBF68">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kern w:val="0"/>
                <w:sz w:val="21"/>
                <w:szCs w:val="21"/>
                <w:highlight w:val="none"/>
              </w:rPr>
              <w:t>/</w:t>
            </w:r>
          </w:p>
        </w:tc>
        <w:tc>
          <w:tcPr>
            <w:tcW w:w="391" w:type="pct"/>
            <w:gridSpan w:val="2"/>
            <w:vAlign w:val="center"/>
          </w:tcPr>
          <w:p w14:paraId="619AF780">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napToGrid w:val="0"/>
                <w:sz w:val="21"/>
                <w:szCs w:val="21"/>
                <w:highlight w:val="none"/>
              </w:rPr>
            </w:pPr>
            <w:r>
              <w:rPr>
                <w:rFonts w:hint="default" w:ascii="Times New Roman" w:hAnsi="Times New Roman" w:cs="Times New Roman" w:eastAsiaTheme="minorEastAsia"/>
                <w:snapToGrid w:val="0"/>
                <w:sz w:val="21"/>
                <w:szCs w:val="21"/>
                <w:highlight w:val="none"/>
              </w:rPr>
              <w:t>75</w:t>
            </w:r>
          </w:p>
        </w:tc>
        <w:tc>
          <w:tcPr>
            <w:tcW w:w="273" w:type="pct"/>
            <w:gridSpan w:val="2"/>
            <w:vMerge w:val="continue"/>
            <w:vAlign w:val="center"/>
          </w:tcPr>
          <w:p w14:paraId="43C8190E">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p>
        </w:tc>
        <w:tc>
          <w:tcPr>
            <w:tcW w:w="358" w:type="pct"/>
            <w:gridSpan w:val="2"/>
            <w:vAlign w:val="center"/>
          </w:tcPr>
          <w:p w14:paraId="0ED43999">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78</w:t>
            </w:r>
          </w:p>
        </w:tc>
        <w:tc>
          <w:tcPr>
            <w:tcW w:w="306" w:type="pct"/>
            <w:gridSpan w:val="2"/>
            <w:vAlign w:val="center"/>
          </w:tcPr>
          <w:p w14:paraId="64CE04E9">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69</w:t>
            </w:r>
          </w:p>
        </w:tc>
        <w:tc>
          <w:tcPr>
            <w:tcW w:w="285" w:type="pct"/>
            <w:gridSpan w:val="2"/>
            <w:vAlign w:val="center"/>
          </w:tcPr>
          <w:p w14:paraId="5691E292">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178</w:t>
            </w:r>
          </w:p>
        </w:tc>
        <w:tc>
          <w:tcPr>
            <w:tcW w:w="358" w:type="pct"/>
            <w:gridSpan w:val="2"/>
            <w:vAlign w:val="center"/>
          </w:tcPr>
          <w:p w14:paraId="04404C48">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127</w:t>
            </w:r>
          </w:p>
          <w:p w14:paraId="62F2FC63">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67</w:t>
            </w:r>
          </w:p>
          <w:p w14:paraId="7FD48A41">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38</w:t>
            </w:r>
          </w:p>
          <w:p w14:paraId="3227BC48">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61</w:t>
            </w:r>
          </w:p>
        </w:tc>
        <w:tc>
          <w:tcPr>
            <w:tcW w:w="358" w:type="pct"/>
            <w:gridSpan w:val="2"/>
            <w:vAlign w:val="center"/>
          </w:tcPr>
          <w:p w14:paraId="54124792">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32.9</w:t>
            </w:r>
          </w:p>
          <w:p w14:paraId="13C188CE">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38.5</w:t>
            </w:r>
          </w:p>
          <w:p w14:paraId="431ED20F">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43.4</w:t>
            </w:r>
          </w:p>
          <w:p w14:paraId="6B1B5A4C">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39.3</w:t>
            </w:r>
          </w:p>
        </w:tc>
        <w:tc>
          <w:tcPr>
            <w:tcW w:w="253" w:type="pct"/>
            <w:gridSpan w:val="2"/>
            <w:vAlign w:val="center"/>
          </w:tcPr>
          <w:p w14:paraId="4C096425">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连续</w:t>
            </w:r>
          </w:p>
        </w:tc>
        <w:tc>
          <w:tcPr>
            <w:tcW w:w="358" w:type="pct"/>
            <w:gridSpan w:val="2"/>
            <w:vAlign w:val="center"/>
          </w:tcPr>
          <w:p w14:paraId="42C5EC45">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20</w:t>
            </w:r>
          </w:p>
        </w:tc>
        <w:tc>
          <w:tcPr>
            <w:tcW w:w="359" w:type="pct"/>
            <w:gridSpan w:val="2"/>
            <w:vAlign w:val="center"/>
          </w:tcPr>
          <w:p w14:paraId="0BE572E7">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12.9</w:t>
            </w:r>
          </w:p>
          <w:p w14:paraId="4C09CC36">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18.5</w:t>
            </w:r>
          </w:p>
          <w:p w14:paraId="2E7B3398">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23.4</w:t>
            </w:r>
          </w:p>
          <w:p w14:paraId="7D9651CD">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19.3</w:t>
            </w:r>
          </w:p>
        </w:tc>
        <w:tc>
          <w:tcPr>
            <w:tcW w:w="358" w:type="pct"/>
            <w:vAlign w:val="center"/>
          </w:tcPr>
          <w:p w14:paraId="72C271AC">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1m</w:t>
            </w:r>
          </w:p>
        </w:tc>
      </w:tr>
      <w:tr w14:paraId="6DCBF8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6" w:type="pct"/>
            <w:vAlign w:val="center"/>
          </w:tcPr>
          <w:p w14:paraId="61503B17">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20</w:t>
            </w:r>
          </w:p>
        </w:tc>
        <w:tc>
          <w:tcPr>
            <w:tcW w:w="249" w:type="pct"/>
            <w:vMerge w:val="continue"/>
            <w:vAlign w:val="center"/>
          </w:tcPr>
          <w:p w14:paraId="03EF61DB">
            <w:pPr>
              <w:keepNext w:val="0"/>
              <w:keepLines w:val="0"/>
              <w:widowControl/>
              <w:suppressLineNumbers w:val="0"/>
              <w:spacing w:before="0" w:beforeAutospacing="0" w:after="0" w:afterAutospacing="0" w:line="0" w:lineRule="atLeast"/>
              <w:ind w:left="0" w:right="0"/>
              <w:contextualSpacing/>
              <w:jc w:val="center"/>
              <w:textAlignment w:val="center"/>
              <w:rPr>
                <w:rFonts w:hint="default" w:ascii="Times New Roman" w:hAnsi="Times New Roman" w:cs="Times New Roman" w:eastAsiaTheme="minorEastAsia"/>
                <w:color w:val="auto"/>
                <w:kern w:val="0"/>
                <w:sz w:val="21"/>
                <w:szCs w:val="21"/>
                <w:highlight w:val="none"/>
                <w:lang w:val="en-US" w:eastAsia="zh-CN" w:bidi="ar-SA"/>
              </w:rPr>
            </w:pPr>
          </w:p>
        </w:tc>
        <w:tc>
          <w:tcPr>
            <w:tcW w:w="305" w:type="pct"/>
            <w:vAlign w:val="center"/>
          </w:tcPr>
          <w:p w14:paraId="6010DAA6">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OP010</w:t>
            </w:r>
            <w:r>
              <w:rPr>
                <w:rFonts w:hint="default" w:ascii="Times New Roman" w:cs="Times New Roman" w:hAnsiTheme="minorEastAsia" w:eastAsiaTheme="minorEastAsia"/>
                <w:sz w:val="21"/>
                <w:szCs w:val="21"/>
                <w:highlight w:val="none"/>
              </w:rPr>
              <w:t>装配</w:t>
            </w:r>
            <w:r>
              <w:rPr>
                <w:rFonts w:hint="default" w:ascii="Times New Roman" w:hAnsi="Times New Roman" w:cs="Times New Roman" w:eastAsiaTheme="minorEastAsia"/>
                <w:sz w:val="21"/>
                <w:szCs w:val="21"/>
                <w:highlight w:val="none"/>
              </w:rPr>
              <w:t>KBK</w:t>
            </w:r>
            <w:r>
              <w:rPr>
                <w:rFonts w:hint="default" w:ascii="Times New Roman" w:cs="Times New Roman" w:hAnsiTheme="minorEastAsia" w:eastAsiaTheme="minorEastAsia"/>
                <w:sz w:val="21"/>
                <w:szCs w:val="21"/>
                <w:highlight w:val="none"/>
              </w:rPr>
              <w:t>组合式起重机</w:t>
            </w:r>
          </w:p>
        </w:tc>
        <w:tc>
          <w:tcPr>
            <w:tcW w:w="627" w:type="pct"/>
            <w:gridSpan w:val="3"/>
            <w:vAlign w:val="center"/>
          </w:tcPr>
          <w:p w14:paraId="790AA97F">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kern w:val="0"/>
                <w:sz w:val="21"/>
                <w:szCs w:val="21"/>
                <w:highlight w:val="none"/>
              </w:rPr>
              <w:t>/</w:t>
            </w:r>
          </w:p>
        </w:tc>
        <w:tc>
          <w:tcPr>
            <w:tcW w:w="391" w:type="pct"/>
            <w:gridSpan w:val="2"/>
            <w:vAlign w:val="center"/>
          </w:tcPr>
          <w:p w14:paraId="330123FD">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napToGrid w:val="0"/>
                <w:sz w:val="21"/>
                <w:szCs w:val="21"/>
                <w:highlight w:val="none"/>
              </w:rPr>
            </w:pPr>
            <w:r>
              <w:rPr>
                <w:rFonts w:hint="default" w:ascii="Times New Roman" w:hAnsi="Times New Roman" w:cs="Times New Roman" w:eastAsiaTheme="minorEastAsia"/>
                <w:snapToGrid w:val="0"/>
                <w:sz w:val="21"/>
                <w:szCs w:val="21"/>
                <w:highlight w:val="none"/>
              </w:rPr>
              <w:t>80</w:t>
            </w:r>
          </w:p>
        </w:tc>
        <w:tc>
          <w:tcPr>
            <w:tcW w:w="273" w:type="pct"/>
            <w:gridSpan w:val="2"/>
            <w:vMerge w:val="continue"/>
            <w:vAlign w:val="center"/>
          </w:tcPr>
          <w:p w14:paraId="122176EF">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p>
        </w:tc>
        <w:tc>
          <w:tcPr>
            <w:tcW w:w="358" w:type="pct"/>
            <w:gridSpan w:val="2"/>
            <w:vAlign w:val="center"/>
          </w:tcPr>
          <w:p w14:paraId="79E1CB44">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86</w:t>
            </w:r>
          </w:p>
        </w:tc>
        <w:tc>
          <w:tcPr>
            <w:tcW w:w="306" w:type="pct"/>
            <w:gridSpan w:val="2"/>
            <w:vAlign w:val="center"/>
          </w:tcPr>
          <w:p w14:paraId="0C1786C5">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68</w:t>
            </w:r>
          </w:p>
        </w:tc>
        <w:tc>
          <w:tcPr>
            <w:tcW w:w="285" w:type="pct"/>
            <w:gridSpan w:val="2"/>
            <w:vAlign w:val="center"/>
          </w:tcPr>
          <w:p w14:paraId="20CB9622">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178</w:t>
            </w:r>
          </w:p>
        </w:tc>
        <w:tc>
          <w:tcPr>
            <w:tcW w:w="358" w:type="pct"/>
            <w:gridSpan w:val="2"/>
            <w:vAlign w:val="center"/>
          </w:tcPr>
          <w:p w14:paraId="6FF2719B">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124</w:t>
            </w:r>
          </w:p>
          <w:p w14:paraId="4AD4530E">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68</w:t>
            </w:r>
          </w:p>
          <w:p w14:paraId="7545E75E">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41</w:t>
            </w:r>
          </w:p>
          <w:p w14:paraId="77B2C98D">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60</w:t>
            </w:r>
          </w:p>
        </w:tc>
        <w:tc>
          <w:tcPr>
            <w:tcW w:w="358" w:type="pct"/>
            <w:gridSpan w:val="2"/>
            <w:vAlign w:val="center"/>
          </w:tcPr>
          <w:p w14:paraId="61138A72">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38.1</w:t>
            </w:r>
          </w:p>
          <w:p w14:paraId="0E8AD1E4">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43.3</w:t>
            </w:r>
          </w:p>
          <w:p w14:paraId="25EE0356">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47.7</w:t>
            </w:r>
          </w:p>
          <w:p w14:paraId="0BD26D81">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44.4</w:t>
            </w:r>
          </w:p>
        </w:tc>
        <w:tc>
          <w:tcPr>
            <w:tcW w:w="253" w:type="pct"/>
            <w:gridSpan w:val="2"/>
            <w:vAlign w:val="center"/>
          </w:tcPr>
          <w:p w14:paraId="54EF5D29">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连续</w:t>
            </w:r>
          </w:p>
        </w:tc>
        <w:tc>
          <w:tcPr>
            <w:tcW w:w="358" w:type="pct"/>
            <w:gridSpan w:val="2"/>
            <w:vAlign w:val="center"/>
          </w:tcPr>
          <w:p w14:paraId="7989F549">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20</w:t>
            </w:r>
          </w:p>
        </w:tc>
        <w:tc>
          <w:tcPr>
            <w:tcW w:w="359" w:type="pct"/>
            <w:gridSpan w:val="2"/>
            <w:vAlign w:val="center"/>
          </w:tcPr>
          <w:p w14:paraId="09979B35">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18.1</w:t>
            </w:r>
          </w:p>
          <w:p w14:paraId="48FA39C8">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23.3</w:t>
            </w:r>
          </w:p>
          <w:p w14:paraId="0FA9E062">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27.7</w:t>
            </w:r>
          </w:p>
          <w:p w14:paraId="6D1E8E42">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24.4</w:t>
            </w:r>
          </w:p>
        </w:tc>
        <w:tc>
          <w:tcPr>
            <w:tcW w:w="358" w:type="pct"/>
            <w:vAlign w:val="center"/>
          </w:tcPr>
          <w:p w14:paraId="764A4940">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1m</w:t>
            </w:r>
          </w:p>
        </w:tc>
      </w:tr>
      <w:tr w14:paraId="649F55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6" w:type="pct"/>
            <w:vAlign w:val="center"/>
          </w:tcPr>
          <w:p w14:paraId="602AAEC3">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21</w:t>
            </w:r>
          </w:p>
        </w:tc>
        <w:tc>
          <w:tcPr>
            <w:tcW w:w="249" w:type="pct"/>
            <w:vMerge w:val="restart"/>
            <w:vAlign w:val="center"/>
          </w:tcPr>
          <w:p w14:paraId="6E29F16A">
            <w:pPr>
              <w:keepNext w:val="0"/>
              <w:keepLines w:val="0"/>
              <w:widowControl/>
              <w:suppressLineNumbers w:val="0"/>
              <w:spacing w:before="0" w:beforeAutospacing="0" w:after="0" w:afterAutospacing="0" w:line="0" w:lineRule="atLeast"/>
              <w:ind w:left="0" w:right="0"/>
              <w:contextualSpacing/>
              <w:jc w:val="center"/>
              <w:textAlignment w:val="center"/>
              <w:rPr>
                <w:rFonts w:hint="default" w:ascii="Times New Roman" w:hAnsi="Times New Roman" w:cs="Times New Roman" w:eastAsiaTheme="minorEastAsia"/>
                <w:color w:val="auto"/>
                <w:kern w:val="0"/>
                <w:sz w:val="21"/>
                <w:szCs w:val="21"/>
                <w:highlight w:val="none"/>
                <w:lang w:val="en-US" w:eastAsia="zh-CN" w:bidi="ar-SA"/>
              </w:rPr>
            </w:pPr>
            <w:r>
              <w:rPr>
                <w:rFonts w:hint="default" w:ascii="Times New Roman" w:cs="Times New Roman" w:hAnsiTheme="minorEastAsia" w:eastAsiaTheme="minorEastAsia"/>
                <w:color w:val="auto"/>
                <w:kern w:val="0"/>
                <w:sz w:val="21"/>
                <w:szCs w:val="21"/>
                <w:highlight w:val="none"/>
                <w:lang w:val="en-US" w:eastAsia="zh-CN" w:bidi="ar-SA"/>
              </w:rPr>
              <w:t>试装区域</w:t>
            </w:r>
          </w:p>
        </w:tc>
        <w:tc>
          <w:tcPr>
            <w:tcW w:w="305" w:type="pct"/>
            <w:vAlign w:val="center"/>
          </w:tcPr>
          <w:p w14:paraId="77200175">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OP420</w:t>
            </w:r>
            <w:r>
              <w:rPr>
                <w:rFonts w:hint="default" w:ascii="Times New Roman" w:cs="Times New Roman" w:hAnsiTheme="minorEastAsia" w:eastAsiaTheme="minorEastAsia"/>
                <w:sz w:val="21"/>
                <w:szCs w:val="21"/>
                <w:highlight w:val="none"/>
              </w:rPr>
              <w:t>装配</w:t>
            </w:r>
            <w:r>
              <w:rPr>
                <w:rFonts w:hint="default" w:ascii="Times New Roman" w:hAnsi="Times New Roman" w:cs="Times New Roman" w:eastAsiaTheme="minorEastAsia"/>
                <w:sz w:val="21"/>
                <w:szCs w:val="21"/>
                <w:highlight w:val="none"/>
              </w:rPr>
              <w:t>KBK</w:t>
            </w:r>
            <w:r>
              <w:rPr>
                <w:rFonts w:hint="default" w:ascii="Times New Roman" w:cs="Times New Roman" w:hAnsiTheme="minorEastAsia" w:eastAsiaTheme="minorEastAsia"/>
                <w:sz w:val="21"/>
                <w:szCs w:val="21"/>
                <w:highlight w:val="none"/>
              </w:rPr>
              <w:t>组合式起重机</w:t>
            </w:r>
          </w:p>
        </w:tc>
        <w:tc>
          <w:tcPr>
            <w:tcW w:w="627" w:type="pct"/>
            <w:gridSpan w:val="3"/>
            <w:vAlign w:val="center"/>
          </w:tcPr>
          <w:p w14:paraId="54614F34">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kern w:val="0"/>
                <w:sz w:val="21"/>
                <w:szCs w:val="21"/>
                <w:highlight w:val="none"/>
              </w:rPr>
              <w:t>/</w:t>
            </w:r>
          </w:p>
        </w:tc>
        <w:tc>
          <w:tcPr>
            <w:tcW w:w="391" w:type="pct"/>
            <w:gridSpan w:val="2"/>
            <w:vAlign w:val="center"/>
          </w:tcPr>
          <w:p w14:paraId="70C98ABA">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napToGrid w:val="0"/>
                <w:sz w:val="21"/>
                <w:szCs w:val="21"/>
                <w:highlight w:val="none"/>
              </w:rPr>
            </w:pPr>
            <w:r>
              <w:rPr>
                <w:rFonts w:hint="default" w:ascii="Times New Roman" w:hAnsi="Times New Roman" w:cs="Times New Roman" w:eastAsiaTheme="minorEastAsia"/>
                <w:snapToGrid w:val="0"/>
                <w:sz w:val="21"/>
                <w:szCs w:val="21"/>
                <w:highlight w:val="none"/>
              </w:rPr>
              <w:t>80</w:t>
            </w:r>
          </w:p>
        </w:tc>
        <w:tc>
          <w:tcPr>
            <w:tcW w:w="273" w:type="pct"/>
            <w:gridSpan w:val="2"/>
            <w:vMerge w:val="restart"/>
            <w:vAlign w:val="center"/>
          </w:tcPr>
          <w:p w14:paraId="7E62528D">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基础减振、厂房隔声措施</w:t>
            </w:r>
          </w:p>
        </w:tc>
        <w:tc>
          <w:tcPr>
            <w:tcW w:w="358" w:type="pct"/>
            <w:gridSpan w:val="2"/>
            <w:vAlign w:val="center"/>
          </w:tcPr>
          <w:p w14:paraId="68DB0DA7">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93</w:t>
            </w:r>
          </w:p>
        </w:tc>
        <w:tc>
          <w:tcPr>
            <w:tcW w:w="306" w:type="pct"/>
            <w:gridSpan w:val="2"/>
            <w:vAlign w:val="center"/>
          </w:tcPr>
          <w:p w14:paraId="344EBE8B">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70</w:t>
            </w:r>
          </w:p>
        </w:tc>
        <w:tc>
          <w:tcPr>
            <w:tcW w:w="285" w:type="pct"/>
            <w:gridSpan w:val="2"/>
            <w:vAlign w:val="center"/>
          </w:tcPr>
          <w:p w14:paraId="1DAF2F3D">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179</w:t>
            </w:r>
          </w:p>
        </w:tc>
        <w:tc>
          <w:tcPr>
            <w:tcW w:w="358" w:type="pct"/>
            <w:gridSpan w:val="2"/>
            <w:vAlign w:val="center"/>
          </w:tcPr>
          <w:p w14:paraId="24E0EF71">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117</w:t>
            </w:r>
          </w:p>
          <w:p w14:paraId="09C9D03B">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66</w:t>
            </w:r>
          </w:p>
          <w:p w14:paraId="03D54DC6">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48</w:t>
            </w:r>
          </w:p>
          <w:p w14:paraId="0DB4C2B5">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62</w:t>
            </w:r>
          </w:p>
        </w:tc>
        <w:tc>
          <w:tcPr>
            <w:tcW w:w="358" w:type="pct"/>
            <w:gridSpan w:val="2"/>
            <w:vAlign w:val="center"/>
          </w:tcPr>
          <w:p w14:paraId="4EE3586F">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38.6</w:t>
            </w:r>
          </w:p>
          <w:p w14:paraId="7B7D48A1">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43.6</w:t>
            </w:r>
          </w:p>
          <w:p w14:paraId="6B52017E">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46.4</w:t>
            </w:r>
          </w:p>
          <w:p w14:paraId="7B831A9A">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44.2</w:t>
            </w:r>
          </w:p>
        </w:tc>
        <w:tc>
          <w:tcPr>
            <w:tcW w:w="253" w:type="pct"/>
            <w:gridSpan w:val="2"/>
            <w:vAlign w:val="center"/>
          </w:tcPr>
          <w:p w14:paraId="349E300F">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连续</w:t>
            </w:r>
          </w:p>
        </w:tc>
        <w:tc>
          <w:tcPr>
            <w:tcW w:w="358" w:type="pct"/>
            <w:gridSpan w:val="2"/>
            <w:vAlign w:val="center"/>
          </w:tcPr>
          <w:p w14:paraId="6CD351A6">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20</w:t>
            </w:r>
          </w:p>
        </w:tc>
        <w:tc>
          <w:tcPr>
            <w:tcW w:w="359" w:type="pct"/>
            <w:gridSpan w:val="2"/>
            <w:vAlign w:val="center"/>
          </w:tcPr>
          <w:p w14:paraId="62714EB4">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18.6</w:t>
            </w:r>
          </w:p>
          <w:p w14:paraId="3F78EFEF">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23.6</w:t>
            </w:r>
          </w:p>
          <w:p w14:paraId="332940C9">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26.4</w:t>
            </w:r>
          </w:p>
          <w:p w14:paraId="0EE6B549">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24.2</w:t>
            </w:r>
          </w:p>
        </w:tc>
        <w:tc>
          <w:tcPr>
            <w:tcW w:w="358" w:type="pct"/>
            <w:vAlign w:val="center"/>
          </w:tcPr>
          <w:p w14:paraId="40DB71AB">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1m</w:t>
            </w:r>
          </w:p>
        </w:tc>
      </w:tr>
      <w:tr w14:paraId="698E5C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6" w:type="pct"/>
            <w:vAlign w:val="center"/>
          </w:tcPr>
          <w:p w14:paraId="777948B8">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22</w:t>
            </w:r>
          </w:p>
        </w:tc>
        <w:tc>
          <w:tcPr>
            <w:tcW w:w="249" w:type="pct"/>
            <w:vMerge w:val="continue"/>
            <w:vAlign w:val="center"/>
          </w:tcPr>
          <w:p w14:paraId="7C906EC2">
            <w:pPr>
              <w:keepNext w:val="0"/>
              <w:keepLines w:val="0"/>
              <w:widowControl/>
              <w:suppressLineNumbers w:val="0"/>
              <w:spacing w:before="0" w:beforeAutospacing="0" w:after="0" w:afterAutospacing="0" w:line="0" w:lineRule="atLeast"/>
              <w:ind w:left="0" w:right="0"/>
              <w:contextualSpacing/>
              <w:jc w:val="center"/>
              <w:textAlignment w:val="center"/>
              <w:rPr>
                <w:rFonts w:hint="default" w:ascii="Times New Roman" w:hAnsi="Times New Roman" w:cs="Times New Roman" w:eastAsiaTheme="minorEastAsia"/>
                <w:color w:val="auto"/>
                <w:kern w:val="0"/>
                <w:sz w:val="21"/>
                <w:szCs w:val="21"/>
                <w:highlight w:val="none"/>
                <w:lang w:val="en-US" w:eastAsia="zh-CN" w:bidi="ar-SA"/>
              </w:rPr>
            </w:pPr>
          </w:p>
        </w:tc>
        <w:tc>
          <w:tcPr>
            <w:tcW w:w="305" w:type="pct"/>
            <w:vAlign w:val="center"/>
          </w:tcPr>
          <w:p w14:paraId="7FF598DB">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OP610</w:t>
            </w:r>
            <w:r>
              <w:rPr>
                <w:rFonts w:hint="default" w:ascii="Times New Roman" w:cs="Times New Roman" w:hAnsiTheme="minorEastAsia" w:eastAsiaTheme="minorEastAsia"/>
                <w:sz w:val="21"/>
                <w:szCs w:val="21"/>
                <w:highlight w:val="none"/>
              </w:rPr>
              <w:t>前油封压装机</w:t>
            </w:r>
          </w:p>
        </w:tc>
        <w:tc>
          <w:tcPr>
            <w:tcW w:w="627" w:type="pct"/>
            <w:gridSpan w:val="3"/>
            <w:vAlign w:val="center"/>
          </w:tcPr>
          <w:p w14:paraId="346C9F0B">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kern w:val="0"/>
                <w:sz w:val="21"/>
                <w:szCs w:val="21"/>
                <w:highlight w:val="none"/>
              </w:rPr>
              <w:t>/</w:t>
            </w:r>
          </w:p>
        </w:tc>
        <w:tc>
          <w:tcPr>
            <w:tcW w:w="391" w:type="pct"/>
            <w:gridSpan w:val="2"/>
            <w:vAlign w:val="center"/>
          </w:tcPr>
          <w:p w14:paraId="460EE1CF">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napToGrid w:val="0"/>
                <w:sz w:val="21"/>
                <w:szCs w:val="21"/>
                <w:highlight w:val="none"/>
              </w:rPr>
            </w:pPr>
            <w:r>
              <w:rPr>
                <w:rFonts w:hint="default" w:ascii="Times New Roman" w:hAnsi="Times New Roman" w:cs="Times New Roman" w:eastAsiaTheme="minorEastAsia"/>
                <w:snapToGrid w:val="0"/>
                <w:sz w:val="21"/>
                <w:szCs w:val="21"/>
                <w:highlight w:val="none"/>
              </w:rPr>
              <w:t>75</w:t>
            </w:r>
          </w:p>
        </w:tc>
        <w:tc>
          <w:tcPr>
            <w:tcW w:w="273" w:type="pct"/>
            <w:gridSpan w:val="2"/>
            <w:vMerge w:val="continue"/>
            <w:vAlign w:val="center"/>
          </w:tcPr>
          <w:p w14:paraId="55D51E0A">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p>
        </w:tc>
        <w:tc>
          <w:tcPr>
            <w:tcW w:w="358" w:type="pct"/>
            <w:gridSpan w:val="2"/>
            <w:vAlign w:val="center"/>
          </w:tcPr>
          <w:p w14:paraId="08B94D7C">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99</w:t>
            </w:r>
          </w:p>
        </w:tc>
        <w:tc>
          <w:tcPr>
            <w:tcW w:w="306" w:type="pct"/>
            <w:gridSpan w:val="2"/>
            <w:vAlign w:val="center"/>
          </w:tcPr>
          <w:p w14:paraId="78C3B509">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72</w:t>
            </w:r>
          </w:p>
        </w:tc>
        <w:tc>
          <w:tcPr>
            <w:tcW w:w="285" w:type="pct"/>
            <w:gridSpan w:val="2"/>
            <w:vAlign w:val="center"/>
          </w:tcPr>
          <w:p w14:paraId="34E58790">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179</w:t>
            </w:r>
          </w:p>
        </w:tc>
        <w:tc>
          <w:tcPr>
            <w:tcW w:w="358" w:type="pct"/>
            <w:gridSpan w:val="2"/>
            <w:vAlign w:val="center"/>
          </w:tcPr>
          <w:p w14:paraId="315200BD">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111</w:t>
            </w:r>
          </w:p>
          <w:p w14:paraId="70B8E98F">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64</w:t>
            </w:r>
          </w:p>
          <w:p w14:paraId="6C429598">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54</w:t>
            </w:r>
          </w:p>
          <w:p w14:paraId="33839C1B">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58</w:t>
            </w:r>
          </w:p>
        </w:tc>
        <w:tc>
          <w:tcPr>
            <w:tcW w:w="358" w:type="pct"/>
            <w:gridSpan w:val="2"/>
            <w:vAlign w:val="center"/>
          </w:tcPr>
          <w:p w14:paraId="48A97F8F">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34.1</w:t>
            </w:r>
          </w:p>
          <w:p w14:paraId="2A5D216C">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38.9</w:t>
            </w:r>
          </w:p>
          <w:p w14:paraId="6031D043">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40.4</w:t>
            </w:r>
          </w:p>
          <w:p w14:paraId="167386E4">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39.7</w:t>
            </w:r>
          </w:p>
        </w:tc>
        <w:tc>
          <w:tcPr>
            <w:tcW w:w="253" w:type="pct"/>
            <w:gridSpan w:val="2"/>
            <w:vAlign w:val="center"/>
          </w:tcPr>
          <w:p w14:paraId="0C568657">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连续</w:t>
            </w:r>
          </w:p>
        </w:tc>
        <w:tc>
          <w:tcPr>
            <w:tcW w:w="358" w:type="pct"/>
            <w:gridSpan w:val="2"/>
            <w:vAlign w:val="center"/>
          </w:tcPr>
          <w:p w14:paraId="6FE47273">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20</w:t>
            </w:r>
          </w:p>
        </w:tc>
        <w:tc>
          <w:tcPr>
            <w:tcW w:w="359" w:type="pct"/>
            <w:gridSpan w:val="2"/>
            <w:vAlign w:val="center"/>
          </w:tcPr>
          <w:p w14:paraId="190A5CBD">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14.1</w:t>
            </w:r>
          </w:p>
          <w:p w14:paraId="532E3260">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18.9</w:t>
            </w:r>
          </w:p>
          <w:p w14:paraId="57D85255">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20.4</w:t>
            </w:r>
          </w:p>
          <w:p w14:paraId="527682E5">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19.7</w:t>
            </w:r>
          </w:p>
        </w:tc>
        <w:tc>
          <w:tcPr>
            <w:tcW w:w="358" w:type="pct"/>
            <w:vAlign w:val="center"/>
          </w:tcPr>
          <w:p w14:paraId="3F96F4B0">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1m</w:t>
            </w:r>
          </w:p>
        </w:tc>
      </w:tr>
      <w:tr w14:paraId="74F81C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6" w:type="pct"/>
            <w:vAlign w:val="center"/>
          </w:tcPr>
          <w:p w14:paraId="19155DD5">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23</w:t>
            </w:r>
          </w:p>
        </w:tc>
        <w:tc>
          <w:tcPr>
            <w:tcW w:w="249" w:type="pct"/>
            <w:vMerge w:val="continue"/>
            <w:vAlign w:val="center"/>
          </w:tcPr>
          <w:p w14:paraId="6D1C92E2">
            <w:pPr>
              <w:keepNext w:val="0"/>
              <w:keepLines w:val="0"/>
              <w:widowControl/>
              <w:suppressLineNumbers w:val="0"/>
              <w:spacing w:before="0" w:beforeAutospacing="0" w:after="0" w:afterAutospacing="0" w:line="0" w:lineRule="atLeast"/>
              <w:ind w:left="0" w:right="0"/>
              <w:contextualSpacing/>
              <w:jc w:val="center"/>
              <w:textAlignment w:val="center"/>
              <w:rPr>
                <w:rFonts w:hint="default" w:ascii="Times New Roman" w:hAnsi="Times New Roman" w:cs="Times New Roman" w:eastAsiaTheme="minorEastAsia"/>
                <w:color w:val="auto"/>
                <w:kern w:val="0"/>
                <w:sz w:val="21"/>
                <w:szCs w:val="21"/>
                <w:highlight w:val="none"/>
                <w:lang w:val="en-US" w:eastAsia="zh-CN" w:bidi="ar-SA"/>
              </w:rPr>
            </w:pPr>
          </w:p>
        </w:tc>
        <w:tc>
          <w:tcPr>
            <w:tcW w:w="305" w:type="pct"/>
            <w:vAlign w:val="center"/>
          </w:tcPr>
          <w:p w14:paraId="6AE11C5C">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OP070</w:t>
            </w:r>
            <w:r>
              <w:rPr>
                <w:rFonts w:hint="default" w:ascii="Times New Roman" w:cs="Times New Roman" w:hAnsiTheme="minorEastAsia" w:eastAsiaTheme="minorEastAsia"/>
                <w:sz w:val="21"/>
                <w:szCs w:val="21"/>
                <w:highlight w:val="none"/>
              </w:rPr>
              <w:t>装配</w:t>
            </w:r>
            <w:r>
              <w:rPr>
                <w:rFonts w:hint="default" w:ascii="Times New Roman" w:hAnsi="Times New Roman" w:cs="Times New Roman" w:eastAsiaTheme="minorEastAsia"/>
                <w:sz w:val="21"/>
                <w:szCs w:val="21"/>
                <w:highlight w:val="none"/>
              </w:rPr>
              <w:t>KBK</w:t>
            </w:r>
            <w:r>
              <w:rPr>
                <w:rFonts w:hint="default" w:ascii="Times New Roman" w:cs="Times New Roman" w:hAnsiTheme="minorEastAsia" w:eastAsiaTheme="minorEastAsia"/>
                <w:sz w:val="21"/>
                <w:szCs w:val="21"/>
                <w:highlight w:val="none"/>
              </w:rPr>
              <w:t>组合式起重机</w:t>
            </w:r>
          </w:p>
        </w:tc>
        <w:tc>
          <w:tcPr>
            <w:tcW w:w="627" w:type="pct"/>
            <w:gridSpan w:val="3"/>
            <w:vAlign w:val="center"/>
          </w:tcPr>
          <w:p w14:paraId="3C170924">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kern w:val="0"/>
                <w:sz w:val="21"/>
                <w:szCs w:val="21"/>
                <w:highlight w:val="none"/>
              </w:rPr>
              <w:t>/</w:t>
            </w:r>
          </w:p>
        </w:tc>
        <w:tc>
          <w:tcPr>
            <w:tcW w:w="391" w:type="pct"/>
            <w:gridSpan w:val="2"/>
            <w:vAlign w:val="center"/>
          </w:tcPr>
          <w:p w14:paraId="1BDD364C">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napToGrid w:val="0"/>
                <w:sz w:val="21"/>
                <w:szCs w:val="21"/>
                <w:highlight w:val="none"/>
              </w:rPr>
            </w:pPr>
            <w:r>
              <w:rPr>
                <w:rFonts w:hint="default" w:ascii="Times New Roman" w:hAnsi="Times New Roman" w:cs="Times New Roman" w:eastAsiaTheme="minorEastAsia"/>
                <w:snapToGrid w:val="0"/>
                <w:sz w:val="21"/>
                <w:szCs w:val="21"/>
                <w:highlight w:val="none"/>
              </w:rPr>
              <w:t>80</w:t>
            </w:r>
          </w:p>
        </w:tc>
        <w:tc>
          <w:tcPr>
            <w:tcW w:w="273" w:type="pct"/>
            <w:gridSpan w:val="2"/>
            <w:vMerge w:val="continue"/>
            <w:vAlign w:val="center"/>
          </w:tcPr>
          <w:p w14:paraId="3CE866BB">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p>
        </w:tc>
        <w:tc>
          <w:tcPr>
            <w:tcW w:w="358" w:type="pct"/>
            <w:gridSpan w:val="2"/>
            <w:vAlign w:val="center"/>
          </w:tcPr>
          <w:p w14:paraId="617814DB">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105</w:t>
            </w:r>
          </w:p>
        </w:tc>
        <w:tc>
          <w:tcPr>
            <w:tcW w:w="306" w:type="pct"/>
            <w:gridSpan w:val="2"/>
            <w:vAlign w:val="center"/>
          </w:tcPr>
          <w:p w14:paraId="5C30B5BD">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76</w:t>
            </w:r>
          </w:p>
        </w:tc>
        <w:tc>
          <w:tcPr>
            <w:tcW w:w="285" w:type="pct"/>
            <w:gridSpan w:val="2"/>
            <w:vAlign w:val="center"/>
          </w:tcPr>
          <w:p w14:paraId="3A5EAA98">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179</w:t>
            </w:r>
          </w:p>
        </w:tc>
        <w:tc>
          <w:tcPr>
            <w:tcW w:w="358" w:type="pct"/>
            <w:gridSpan w:val="2"/>
            <w:vAlign w:val="center"/>
          </w:tcPr>
          <w:p w14:paraId="06F3B6F7">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122</w:t>
            </w:r>
          </w:p>
          <w:p w14:paraId="1814D2C1">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58</w:t>
            </w:r>
          </w:p>
          <w:p w14:paraId="2F9CEAE5">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43</w:t>
            </w:r>
          </w:p>
          <w:p w14:paraId="7A53A63B">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64</w:t>
            </w:r>
          </w:p>
        </w:tc>
        <w:tc>
          <w:tcPr>
            <w:tcW w:w="358" w:type="pct"/>
            <w:gridSpan w:val="2"/>
            <w:vAlign w:val="center"/>
          </w:tcPr>
          <w:p w14:paraId="1EE7D581">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38.3</w:t>
            </w:r>
          </w:p>
          <w:p w14:paraId="2F6F58C6">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44.7</w:t>
            </w:r>
          </w:p>
          <w:p w14:paraId="3236A43A">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47.3</w:t>
            </w:r>
          </w:p>
          <w:p w14:paraId="54E492CD">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43.9</w:t>
            </w:r>
          </w:p>
        </w:tc>
        <w:tc>
          <w:tcPr>
            <w:tcW w:w="253" w:type="pct"/>
            <w:gridSpan w:val="2"/>
            <w:vAlign w:val="center"/>
          </w:tcPr>
          <w:p w14:paraId="08766FBA">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连续</w:t>
            </w:r>
          </w:p>
        </w:tc>
        <w:tc>
          <w:tcPr>
            <w:tcW w:w="358" w:type="pct"/>
            <w:gridSpan w:val="2"/>
            <w:vAlign w:val="center"/>
          </w:tcPr>
          <w:p w14:paraId="0B4E61D0">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20</w:t>
            </w:r>
          </w:p>
        </w:tc>
        <w:tc>
          <w:tcPr>
            <w:tcW w:w="359" w:type="pct"/>
            <w:gridSpan w:val="2"/>
            <w:vAlign w:val="center"/>
          </w:tcPr>
          <w:p w14:paraId="6342FE54">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18.3</w:t>
            </w:r>
          </w:p>
          <w:p w14:paraId="17B887E8">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24.7</w:t>
            </w:r>
          </w:p>
          <w:p w14:paraId="2A6C7CB0">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24.3</w:t>
            </w:r>
          </w:p>
          <w:p w14:paraId="735ABBDA">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23.9</w:t>
            </w:r>
          </w:p>
        </w:tc>
        <w:tc>
          <w:tcPr>
            <w:tcW w:w="358" w:type="pct"/>
            <w:vAlign w:val="center"/>
          </w:tcPr>
          <w:p w14:paraId="38604115">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1m</w:t>
            </w:r>
          </w:p>
        </w:tc>
      </w:tr>
      <w:tr w14:paraId="3F0157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6" w:type="pct"/>
            <w:vAlign w:val="center"/>
          </w:tcPr>
          <w:p w14:paraId="4542DFBA">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24</w:t>
            </w:r>
          </w:p>
        </w:tc>
        <w:tc>
          <w:tcPr>
            <w:tcW w:w="249" w:type="pct"/>
            <w:vMerge w:val="continue"/>
            <w:vAlign w:val="center"/>
          </w:tcPr>
          <w:p w14:paraId="5841A9A8">
            <w:pPr>
              <w:keepNext w:val="0"/>
              <w:keepLines w:val="0"/>
              <w:widowControl/>
              <w:suppressLineNumbers w:val="0"/>
              <w:spacing w:before="0" w:beforeAutospacing="0" w:after="0" w:afterAutospacing="0" w:line="0" w:lineRule="atLeast"/>
              <w:ind w:left="0" w:right="0"/>
              <w:contextualSpacing/>
              <w:jc w:val="center"/>
              <w:textAlignment w:val="center"/>
              <w:rPr>
                <w:rFonts w:hint="default" w:ascii="Times New Roman" w:hAnsi="Times New Roman" w:cs="Times New Roman" w:eastAsiaTheme="minorEastAsia"/>
                <w:color w:val="auto"/>
                <w:kern w:val="0"/>
                <w:sz w:val="21"/>
                <w:szCs w:val="21"/>
                <w:highlight w:val="none"/>
                <w:lang w:val="en-US" w:eastAsia="zh-CN" w:bidi="ar-SA"/>
              </w:rPr>
            </w:pPr>
          </w:p>
        </w:tc>
        <w:tc>
          <w:tcPr>
            <w:tcW w:w="305" w:type="pct"/>
            <w:vAlign w:val="center"/>
          </w:tcPr>
          <w:p w14:paraId="4BCC01AB">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OP070</w:t>
            </w:r>
            <w:r>
              <w:rPr>
                <w:rFonts w:hint="default" w:ascii="Times New Roman" w:cs="Times New Roman" w:hAnsiTheme="minorEastAsia" w:eastAsiaTheme="minorEastAsia"/>
                <w:sz w:val="21"/>
                <w:szCs w:val="21"/>
                <w:highlight w:val="none"/>
              </w:rPr>
              <w:t>曲轴后轴承压装机</w:t>
            </w:r>
          </w:p>
        </w:tc>
        <w:tc>
          <w:tcPr>
            <w:tcW w:w="627" w:type="pct"/>
            <w:gridSpan w:val="3"/>
            <w:vAlign w:val="center"/>
          </w:tcPr>
          <w:p w14:paraId="7938A0EB">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kern w:val="0"/>
                <w:sz w:val="21"/>
                <w:szCs w:val="21"/>
                <w:highlight w:val="none"/>
              </w:rPr>
              <w:t>/</w:t>
            </w:r>
          </w:p>
        </w:tc>
        <w:tc>
          <w:tcPr>
            <w:tcW w:w="391" w:type="pct"/>
            <w:gridSpan w:val="2"/>
            <w:vAlign w:val="center"/>
          </w:tcPr>
          <w:p w14:paraId="1F1B58E3">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napToGrid w:val="0"/>
                <w:sz w:val="21"/>
                <w:szCs w:val="21"/>
                <w:highlight w:val="none"/>
              </w:rPr>
            </w:pPr>
            <w:r>
              <w:rPr>
                <w:rFonts w:hint="default" w:ascii="Times New Roman" w:hAnsi="Times New Roman" w:cs="Times New Roman" w:eastAsiaTheme="minorEastAsia"/>
                <w:snapToGrid w:val="0"/>
                <w:sz w:val="21"/>
                <w:szCs w:val="21"/>
                <w:highlight w:val="none"/>
              </w:rPr>
              <w:t>75</w:t>
            </w:r>
          </w:p>
        </w:tc>
        <w:tc>
          <w:tcPr>
            <w:tcW w:w="273" w:type="pct"/>
            <w:gridSpan w:val="2"/>
            <w:vMerge w:val="continue"/>
            <w:vAlign w:val="center"/>
          </w:tcPr>
          <w:p w14:paraId="28BEFC3C">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p>
        </w:tc>
        <w:tc>
          <w:tcPr>
            <w:tcW w:w="358" w:type="pct"/>
            <w:gridSpan w:val="2"/>
            <w:vAlign w:val="center"/>
          </w:tcPr>
          <w:p w14:paraId="2AA45EEA">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116</w:t>
            </w:r>
          </w:p>
        </w:tc>
        <w:tc>
          <w:tcPr>
            <w:tcW w:w="306" w:type="pct"/>
            <w:gridSpan w:val="2"/>
            <w:vAlign w:val="center"/>
          </w:tcPr>
          <w:p w14:paraId="6CD1B6CC">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83</w:t>
            </w:r>
          </w:p>
        </w:tc>
        <w:tc>
          <w:tcPr>
            <w:tcW w:w="285" w:type="pct"/>
            <w:gridSpan w:val="2"/>
            <w:vAlign w:val="center"/>
          </w:tcPr>
          <w:p w14:paraId="56B2E560">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179</w:t>
            </w:r>
          </w:p>
        </w:tc>
        <w:tc>
          <w:tcPr>
            <w:tcW w:w="358" w:type="pct"/>
            <w:gridSpan w:val="2"/>
            <w:vAlign w:val="center"/>
          </w:tcPr>
          <w:p w14:paraId="302A6F57">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122</w:t>
            </w:r>
          </w:p>
          <w:p w14:paraId="4C5B708C">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49</w:t>
            </w:r>
          </w:p>
          <w:p w14:paraId="491EB249">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43</w:t>
            </w:r>
          </w:p>
          <w:p w14:paraId="4B87796C">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71</w:t>
            </w:r>
          </w:p>
        </w:tc>
        <w:tc>
          <w:tcPr>
            <w:tcW w:w="358" w:type="pct"/>
            <w:gridSpan w:val="2"/>
            <w:vAlign w:val="center"/>
          </w:tcPr>
          <w:p w14:paraId="17A46A77">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33.3</w:t>
            </w:r>
          </w:p>
          <w:p w14:paraId="32137250">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41.2</w:t>
            </w:r>
          </w:p>
          <w:p w14:paraId="3368E434">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42.3</w:t>
            </w:r>
          </w:p>
          <w:p w14:paraId="1E14CC9C">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38.0</w:t>
            </w:r>
          </w:p>
        </w:tc>
        <w:tc>
          <w:tcPr>
            <w:tcW w:w="253" w:type="pct"/>
            <w:gridSpan w:val="2"/>
            <w:vAlign w:val="center"/>
          </w:tcPr>
          <w:p w14:paraId="116914C2">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连续</w:t>
            </w:r>
          </w:p>
        </w:tc>
        <w:tc>
          <w:tcPr>
            <w:tcW w:w="358" w:type="pct"/>
            <w:gridSpan w:val="2"/>
            <w:vAlign w:val="center"/>
          </w:tcPr>
          <w:p w14:paraId="30D02CED">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20</w:t>
            </w:r>
          </w:p>
        </w:tc>
        <w:tc>
          <w:tcPr>
            <w:tcW w:w="359" w:type="pct"/>
            <w:gridSpan w:val="2"/>
            <w:vAlign w:val="center"/>
          </w:tcPr>
          <w:p w14:paraId="0947A36E">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13.3</w:t>
            </w:r>
          </w:p>
          <w:p w14:paraId="3B3EF4DF">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21.2</w:t>
            </w:r>
          </w:p>
          <w:p w14:paraId="316A8627">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22.3</w:t>
            </w:r>
          </w:p>
          <w:p w14:paraId="68457F23">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18.0</w:t>
            </w:r>
          </w:p>
        </w:tc>
        <w:tc>
          <w:tcPr>
            <w:tcW w:w="358" w:type="pct"/>
            <w:vAlign w:val="center"/>
          </w:tcPr>
          <w:p w14:paraId="4A6256F4">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1m</w:t>
            </w:r>
          </w:p>
        </w:tc>
      </w:tr>
      <w:tr w14:paraId="134D4A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6" w:type="pct"/>
            <w:vAlign w:val="center"/>
          </w:tcPr>
          <w:p w14:paraId="06084EEE">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25</w:t>
            </w:r>
          </w:p>
        </w:tc>
        <w:tc>
          <w:tcPr>
            <w:tcW w:w="249" w:type="pct"/>
            <w:vMerge w:val="continue"/>
            <w:vAlign w:val="center"/>
          </w:tcPr>
          <w:p w14:paraId="338367E9">
            <w:pPr>
              <w:keepNext w:val="0"/>
              <w:keepLines w:val="0"/>
              <w:widowControl/>
              <w:suppressLineNumbers w:val="0"/>
              <w:spacing w:before="0" w:beforeAutospacing="0" w:after="0" w:afterAutospacing="0" w:line="0" w:lineRule="atLeast"/>
              <w:ind w:left="0" w:right="0"/>
              <w:contextualSpacing/>
              <w:jc w:val="center"/>
              <w:textAlignment w:val="center"/>
              <w:rPr>
                <w:rFonts w:hint="default" w:ascii="Times New Roman" w:hAnsi="Times New Roman" w:cs="Times New Roman" w:eastAsiaTheme="minorEastAsia"/>
                <w:color w:val="auto"/>
                <w:kern w:val="0"/>
                <w:sz w:val="21"/>
                <w:szCs w:val="21"/>
                <w:highlight w:val="none"/>
                <w:lang w:val="en-US" w:eastAsia="zh-CN" w:bidi="ar-SA"/>
              </w:rPr>
            </w:pPr>
          </w:p>
        </w:tc>
        <w:tc>
          <w:tcPr>
            <w:tcW w:w="305" w:type="pct"/>
            <w:vAlign w:val="center"/>
          </w:tcPr>
          <w:p w14:paraId="48A706B8">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cs="Times New Roman" w:hAnsiTheme="minorEastAsia" w:eastAsiaTheme="minorEastAsia"/>
                <w:sz w:val="21"/>
                <w:szCs w:val="21"/>
                <w:highlight w:val="none"/>
              </w:rPr>
              <w:t>热试台架</w:t>
            </w:r>
            <w:r>
              <w:rPr>
                <w:rFonts w:hint="eastAsia" w:ascii="Times New Roman" w:cs="Times New Roman" w:hAnsiTheme="minorEastAsia" w:eastAsiaTheme="minorEastAsia"/>
                <w:sz w:val="21"/>
                <w:szCs w:val="21"/>
                <w:highlight w:val="none"/>
              </w:rPr>
              <w:t>1#</w:t>
            </w:r>
          </w:p>
        </w:tc>
        <w:tc>
          <w:tcPr>
            <w:tcW w:w="627" w:type="pct"/>
            <w:gridSpan w:val="3"/>
            <w:vAlign w:val="center"/>
          </w:tcPr>
          <w:p w14:paraId="43D00115">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w:t>
            </w:r>
          </w:p>
        </w:tc>
        <w:tc>
          <w:tcPr>
            <w:tcW w:w="391" w:type="pct"/>
            <w:gridSpan w:val="2"/>
            <w:vAlign w:val="center"/>
          </w:tcPr>
          <w:p w14:paraId="03855D11">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napToGrid w:val="0"/>
                <w:sz w:val="21"/>
                <w:szCs w:val="21"/>
                <w:highlight w:val="none"/>
              </w:rPr>
            </w:pPr>
            <w:r>
              <w:rPr>
                <w:rFonts w:hint="eastAsia" w:ascii="Times New Roman" w:hAnsi="Times New Roman" w:cs="Times New Roman" w:eastAsiaTheme="minorEastAsia"/>
                <w:snapToGrid w:val="0"/>
                <w:sz w:val="21"/>
                <w:szCs w:val="21"/>
                <w:highlight w:val="none"/>
              </w:rPr>
              <w:t>80</w:t>
            </w:r>
          </w:p>
        </w:tc>
        <w:tc>
          <w:tcPr>
            <w:tcW w:w="273" w:type="pct"/>
            <w:gridSpan w:val="2"/>
            <w:vMerge w:val="continue"/>
            <w:vAlign w:val="center"/>
          </w:tcPr>
          <w:p w14:paraId="15E0454D">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p>
        </w:tc>
        <w:tc>
          <w:tcPr>
            <w:tcW w:w="358" w:type="pct"/>
            <w:gridSpan w:val="2"/>
            <w:vAlign w:val="center"/>
          </w:tcPr>
          <w:p w14:paraId="6C223C2D">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90</w:t>
            </w:r>
          </w:p>
        </w:tc>
        <w:tc>
          <w:tcPr>
            <w:tcW w:w="306" w:type="pct"/>
            <w:gridSpan w:val="2"/>
            <w:vAlign w:val="center"/>
          </w:tcPr>
          <w:p w14:paraId="4145DD35">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105</w:t>
            </w:r>
          </w:p>
        </w:tc>
        <w:tc>
          <w:tcPr>
            <w:tcW w:w="285" w:type="pct"/>
            <w:gridSpan w:val="2"/>
            <w:vAlign w:val="center"/>
          </w:tcPr>
          <w:p w14:paraId="39B502ED">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179</w:t>
            </w:r>
          </w:p>
        </w:tc>
        <w:tc>
          <w:tcPr>
            <w:tcW w:w="358" w:type="pct"/>
            <w:gridSpan w:val="2"/>
            <w:vAlign w:val="center"/>
          </w:tcPr>
          <w:p w14:paraId="7DBFDD62">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102</w:t>
            </w:r>
          </w:p>
          <w:p w14:paraId="298E6DD6">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85</w:t>
            </w:r>
          </w:p>
          <w:p w14:paraId="3C7CFE81">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90</w:t>
            </w:r>
          </w:p>
          <w:p w14:paraId="61EEA3D3">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105</w:t>
            </w:r>
          </w:p>
        </w:tc>
        <w:tc>
          <w:tcPr>
            <w:tcW w:w="358" w:type="pct"/>
            <w:gridSpan w:val="2"/>
            <w:vAlign w:val="center"/>
          </w:tcPr>
          <w:p w14:paraId="32CF7BFF">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39.8</w:t>
            </w:r>
          </w:p>
          <w:p w14:paraId="10204AB0">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bCs/>
                <w:sz w:val="21"/>
                <w:szCs w:val="21"/>
                <w:highlight w:val="none"/>
              </w:rPr>
            </w:pPr>
            <w:r>
              <w:rPr>
                <w:rFonts w:hint="eastAsia" w:ascii="Times New Roman" w:hAnsi="Times New Roman" w:cs="Times New Roman" w:eastAsiaTheme="minorEastAsia"/>
                <w:bCs/>
                <w:sz w:val="21"/>
                <w:szCs w:val="21"/>
                <w:highlight w:val="none"/>
              </w:rPr>
              <w:t>41.4</w:t>
            </w:r>
          </w:p>
          <w:p w14:paraId="61E70016">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bCs/>
                <w:sz w:val="21"/>
                <w:szCs w:val="21"/>
                <w:highlight w:val="none"/>
              </w:rPr>
            </w:pPr>
            <w:r>
              <w:rPr>
                <w:rFonts w:hint="eastAsia" w:ascii="Times New Roman" w:hAnsi="Times New Roman" w:cs="Times New Roman" w:eastAsiaTheme="minorEastAsia"/>
                <w:bCs/>
                <w:sz w:val="21"/>
                <w:szCs w:val="21"/>
                <w:highlight w:val="none"/>
              </w:rPr>
              <w:t>40.9</w:t>
            </w:r>
          </w:p>
          <w:p w14:paraId="7E8918C9">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bCs/>
                <w:sz w:val="21"/>
                <w:szCs w:val="21"/>
                <w:highlight w:val="none"/>
              </w:rPr>
            </w:pPr>
            <w:r>
              <w:rPr>
                <w:rFonts w:hint="eastAsia" w:ascii="Times New Roman" w:hAnsi="Times New Roman" w:cs="Times New Roman" w:eastAsiaTheme="minorEastAsia"/>
                <w:bCs/>
                <w:sz w:val="21"/>
                <w:szCs w:val="21"/>
                <w:highlight w:val="none"/>
              </w:rPr>
              <w:t>39.6</w:t>
            </w:r>
          </w:p>
        </w:tc>
        <w:tc>
          <w:tcPr>
            <w:tcW w:w="253" w:type="pct"/>
            <w:gridSpan w:val="2"/>
            <w:vAlign w:val="center"/>
          </w:tcPr>
          <w:p w14:paraId="3CAA974F">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连续</w:t>
            </w:r>
          </w:p>
        </w:tc>
        <w:tc>
          <w:tcPr>
            <w:tcW w:w="358" w:type="pct"/>
            <w:gridSpan w:val="2"/>
            <w:vAlign w:val="center"/>
          </w:tcPr>
          <w:p w14:paraId="39887C33">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20</w:t>
            </w:r>
          </w:p>
        </w:tc>
        <w:tc>
          <w:tcPr>
            <w:tcW w:w="359" w:type="pct"/>
            <w:gridSpan w:val="2"/>
            <w:vAlign w:val="center"/>
          </w:tcPr>
          <w:p w14:paraId="3ADA1CE7">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19.8</w:t>
            </w:r>
          </w:p>
          <w:p w14:paraId="1298554B">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bCs/>
                <w:sz w:val="21"/>
                <w:szCs w:val="21"/>
                <w:highlight w:val="none"/>
              </w:rPr>
            </w:pPr>
            <w:r>
              <w:rPr>
                <w:rFonts w:hint="eastAsia" w:ascii="Times New Roman" w:hAnsi="Times New Roman" w:cs="Times New Roman" w:eastAsiaTheme="minorEastAsia"/>
                <w:bCs/>
                <w:sz w:val="21"/>
                <w:szCs w:val="21"/>
                <w:highlight w:val="none"/>
              </w:rPr>
              <w:t>21.4</w:t>
            </w:r>
          </w:p>
          <w:p w14:paraId="35DA757E">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bCs/>
                <w:sz w:val="21"/>
                <w:szCs w:val="21"/>
                <w:highlight w:val="none"/>
              </w:rPr>
            </w:pPr>
            <w:r>
              <w:rPr>
                <w:rFonts w:hint="eastAsia" w:ascii="Times New Roman" w:hAnsi="Times New Roman" w:cs="Times New Roman" w:eastAsiaTheme="minorEastAsia"/>
                <w:bCs/>
                <w:sz w:val="21"/>
                <w:szCs w:val="21"/>
                <w:highlight w:val="none"/>
              </w:rPr>
              <w:t>20.9</w:t>
            </w:r>
          </w:p>
          <w:p w14:paraId="4079AFF9">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bCs/>
                <w:sz w:val="21"/>
                <w:szCs w:val="21"/>
                <w:highlight w:val="none"/>
              </w:rPr>
            </w:pPr>
            <w:r>
              <w:rPr>
                <w:rFonts w:hint="eastAsia" w:ascii="Times New Roman" w:hAnsi="Times New Roman" w:cs="Times New Roman" w:eastAsiaTheme="minorEastAsia"/>
                <w:bCs/>
                <w:sz w:val="21"/>
                <w:szCs w:val="21"/>
                <w:highlight w:val="none"/>
              </w:rPr>
              <w:t>19.6</w:t>
            </w:r>
          </w:p>
        </w:tc>
        <w:tc>
          <w:tcPr>
            <w:tcW w:w="358" w:type="pct"/>
            <w:vAlign w:val="center"/>
          </w:tcPr>
          <w:p w14:paraId="4AE10C51">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1m</w:t>
            </w:r>
          </w:p>
        </w:tc>
      </w:tr>
      <w:tr w14:paraId="568177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6" w:type="pct"/>
            <w:vAlign w:val="center"/>
          </w:tcPr>
          <w:p w14:paraId="199A235C">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26</w:t>
            </w:r>
          </w:p>
        </w:tc>
        <w:tc>
          <w:tcPr>
            <w:tcW w:w="249" w:type="pct"/>
            <w:vMerge w:val="continue"/>
            <w:vAlign w:val="center"/>
          </w:tcPr>
          <w:p w14:paraId="409734BD">
            <w:pPr>
              <w:keepNext w:val="0"/>
              <w:keepLines w:val="0"/>
              <w:widowControl/>
              <w:suppressLineNumbers w:val="0"/>
              <w:spacing w:before="0" w:beforeAutospacing="0" w:after="0" w:afterAutospacing="0" w:line="0" w:lineRule="atLeast"/>
              <w:ind w:left="0" w:right="0"/>
              <w:contextualSpacing/>
              <w:jc w:val="center"/>
              <w:textAlignment w:val="center"/>
              <w:rPr>
                <w:rFonts w:hint="default" w:ascii="Times New Roman" w:hAnsi="Times New Roman" w:cs="Times New Roman" w:eastAsiaTheme="minorEastAsia"/>
                <w:color w:val="auto"/>
                <w:kern w:val="0"/>
                <w:sz w:val="21"/>
                <w:szCs w:val="21"/>
                <w:highlight w:val="none"/>
                <w:lang w:val="en-US" w:eastAsia="zh-CN" w:bidi="ar-SA"/>
              </w:rPr>
            </w:pPr>
          </w:p>
        </w:tc>
        <w:tc>
          <w:tcPr>
            <w:tcW w:w="305" w:type="pct"/>
            <w:vAlign w:val="center"/>
          </w:tcPr>
          <w:p w14:paraId="10996D80">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cs="Times New Roman" w:hAnsiTheme="minorEastAsia" w:eastAsiaTheme="minorEastAsia"/>
                <w:sz w:val="21"/>
                <w:szCs w:val="21"/>
                <w:highlight w:val="none"/>
              </w:rPr>
            </w:pPr>
            <w:r>
              <w:rPr>
                <w:rFonts w:hint="default" w:ascii="Times New Roman" w:cs="Times New Roman" w:hAnsiTheme="minorEastAsia" w:eastAsiaTheme="minorEastAsia"/>
                <w:sz w:val="21"/>
                <w:szCs w:val="21"/>
                <w:highlight w:val="none"/>
              </w:rPr>
              <w:t>热试台架</w:t>
            </w:r>
            <w:r>
              <w:rPr>
                <w:rFonts w:hint="eastAsia" w:ascii="Times New Roman" w:cs="Times New Roman" w:hAnsiTheme="minorEastAsia" w:eastAsiaTheme="minorEastAsia"/>
                <w:sz w:val="21"/>
                <w:szCs w:val="21"/>
                <w:highlight w:val="none"/>
              </w:rPr>
              <w:t>2#</w:t>
            </w:r>
          </w:p>
        </w:tc>
        <w:tc>
          <w:tcPr>
            <w:tcW w:w="627" w:type="pct"/>
            <w:gridSpan w:val="3"/>
            <w:vAlign w:val="center"/>
          </w:tcPr>
          <w:p w14:paraId="744BD320">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kern w:val="0"/>
                <w:sz w:val="21"/>
                <w:szCs w:val="21"/>
                <w:highlight w:val="none"/>
              </w:rPr>
              <w:t>/</w:t>
            </w:r>
          </w:p>
        </w:tc>
        <w:tc>
          <w:tcPr>
            <w:tcW w:w="391" w:type="pct"/>
            <w:gridSpan w:val="2"/>
            <w:vAlign w:val="center"/>
          </w:tcPr>
          <w:p w14:paraId="57A6BAC3">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napToGrid w:val="0"/>
                <w:sz w:val="21"/>
                <w:szCs w:val="21"/>
                <w:highlight w:val="none"/>
              </w:rPr>
            </w:pPr>
            <w:r>
              <w:rPr>
                <w:rFonts w:hint="eastAsia" w:ascii="Times New Roman" w:hAnsi="Times New Roman" w:cs="Times New Roman" w:eastAsiaTheme="minorEastAsia"/>
                <w:snapToGrid w:val="0"/>
                <w:sz w:val="21"/>
                <w:szCs w:val="21"/>
                <w:highlight w:val="none"/>
              </w:rPr>
              <w:t>80</w:t>
            </w:r>
          </w:p>
        </w:tc>
        <w:tc>
          <w:tcPr>
            <w:tcW w:w="273" w:type="pct"/>
            <w:gridSpan w:val="2"/>
            <w:vMerge w:val="continue"/>
            <w:vAlign w:val="center"/>
          </w:tcPr>
          <w:p w14:paraId="62F41573">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p>
        </w:tc>
        <w:tc>
          <w:tcPr>
            <w:tcW w:w="358" w:type="pct"/>
            <w:gridSpan w:val="2"/>
            <w:vAlign w:val="center"/>
          </w:tcPr>
          <w:p w14:paraId="7023AE8F">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90</w:t>
            </w:r>
          </w:p>
        </w:tc>
        <w:tc>
          <w:tcPr>
            <w:tcW w:w="306" w:type="pct"/>
            <w:gridSpan w:val="2"/>
            <w:vAlign w:val="center"/>
          </w:tcPr>
          <w:p w14:paraId="7DFD9892">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105</w:t>
            </w:r>
          </w:p>
        </w:tc>
        <w:tc>
          <w:tcPr>
            <w:tcW w:w="285" w:type="pct"/>
            <w:gridSpan w:val="2"/>
            <w:vAlign w:val="center"/>
          </w:tcPr>
          <w:p w14:paraId="0A51263C">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179</w:t>
            </w:r>
          </w:p>
        </w:tc>
        <w:tc>
          <w:tcPr>
            <w:tcW w:w="358" w:type="pct"/>
            <w:gridSpan w:val="2"/>
            <w:vAlign w:val="center"/>
          </w:tcPr>
          <w:p w14:paraId="31B3CD9C">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102</w:t>
            </w:r>
          </w:p>
          <w:p w14:paraId="68DD3FA3">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85</w:t>
            </w:r>
          </w:p>
          <w:p w14:paraId="05B36989">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90</w:t>
            </w:r>
          </w:p>
          <w:p w14:paraId="7B78057E">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105</w:t>
            </w:r>
          </w:p>
        </w:tc>
        <w:tc>
          <w:tcPr>
            <w:tcW w:w="358" w:type="pct"/>
            <w:gridSpan w:val="2"/>
            <w:vAlign w:val="center"/>
          </w:tcPr>
          <w:p w14:paraId="66C349A3">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39.8</w:t>
            </w:r>
          </w:p>
          <w:p w14:paraId="469C8F09">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bCs/>
                <w:sz w:val="21"/>
                <w:szCs w:val="21"/>
                <w:highlight w:val="none"/>
              </w:rPr>
            </w:pPr>
            <w:r>
              <w:rPr>
                <w:rFonts w:hint="eastAsia" w:ascii="Times New Roman" w:hAnsi="Times New Roman" w:cs="Times New Roman" w:eastAsiaTheme="minorEastAsia"/>
                <w:bCs/>
                <w:sz w:val="21"/>
                <w:szCs w:val="21"/>
                <w:highlight w:val="none"/>
              </w:rPr>
              <w:t>41.4</w:t>
            </w:r>
          </w:p>
          <w:p w14:paraId="2CB8CB23">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bCs/>
                <w:sz w:val="21"/>
                <w:szCs w:val="21"/>
                <w:highlight w:val="none"/>
              </w:rPr>
            </w:pPr>
            <w:r>
              <w:rPr>
                <w:rFonts w:hint="eastAsia" w:ascii="Times New Roman" w:hAnsi="Times New Roman" w:cs="Times New Roman" w:eastAsiaTheme="minorEastAsia"/>
                <w:bCs/>
                <w:sz w:val="21"/>
                <w:szCs w:val="21"/>
                <w:highlight w:val="none"/>
              </w:rPr>
              <w:t>40.9</w:t>
            </w:r>
          </w:p>
          <w:p w14:paraId="11BF2BEC">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val="0"/>
                <w:kern w:val="2"/>
                <w:sz w:val="21"/>
                <w:szCs w:val="21"/>
                <w:highlight w:val="none"/>
                <w:lang w:val="en-US" w:eastAsia="zh-CN" w:bidi="ar-SA"/>
              </w:rPr>
              <w:t>39.6</w:t>
            </w:r>
          </w:p>
        </w:tc>
        <w:tc>
          <w:tcPr>
            <w:tcW w:w="253" w:type="pct"/>
            <w:gridSpan w:val="2"/>
            <w:vAlign w:val="center"/>
          </w:tcPr>
          <w:p w14:paraId="29EDCD1F">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连续</w:t>
            </w:r>
          </w:p>
        </w:tc>
        <w:tc>
          <w:tcPr>
            <w:tcW w:w="358" w:type="pct"/>
            <w:gridSpan w:val="2"/>
            <w:vAlign w:val="center"/>
          </w:tcPr>
          <w:p w14:paraId="3C49586B">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20</w:t>
            </w:r>
          </w:p>
        </w:tc>
        <w:tc>
          <w:tcPr>
            <w:tcW w:w="359" w:type="pct"/>
            <w:gridSpan w:val="2"/>
            <w:vAlign w:val="center"/>
          </w:tcPr>
          <w:p w14:paraId="4A848CB9">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19.8</w:t>
            </w:r>
          </w:p>
          <w:p w14:paraId="273CB4EF">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bCs/>
                <w:sz w:val="21"/>
                <w:szCs w:val="21"/>
                <w:highlight w:val="none"/>
              </w:rPr>
            </w:pPr>
            <w:r>
              <w:rPr>
                <w:rFonts w:hint="eastAsia" w:ascii="Times New Roman" w:hAnsi="Times New Roman" w:cs="Times New Roman" w:eastAsiaTheme="minorEastAsia"/>
                <w:bCs/>
                <w:sz w:val="21"/>
                <w:szCs w:val="21"/>
                <w:highlight w:val="none"/>
              </w:rPr>
              <w:t>21.4</w:t>
            </w:r>
          </w:p>
          <w:p w14:paraId="7F6F4C7B">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bCs/>
                <w:sz w:val="21"/>
                <w:szCs w:val="21"/>
                <w:highlight w:val="none"/>
              </w:rPr>
            </w:pPr>
            <w:r>
              <w:rPr>
                <w:rFonts w:hint="eastAsia" w:ascii="Times New Roman" w:hAnsi="Times New Roman" w:cs="Times New Roman" w:eastAsiaTheme="minorEastAsia"/>
                <w:bCs/>
                <w:sz w:val="21"/>
                <w:szCs w:val="21"/>
                <w:highlight w:val="none"/>
              </w:rPr>
              <w:t>20.9</w:t>
            </w:r>
          </w:p>
          <w:p w14:paraId="10DF3A58">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val="0"/>
                <w:kern w:val="2"/>
                <w:sz w:val="21"/>
                <w:szCs w:val="21"/>
                <w:highlight w:val="none"/>
                <w:lang w:val="en-US" w:eastAsia="zh-CN" w:bidi="ar-SA"/>
              </w:rPr>
              <w:t>19.6</w:t>
            </w:r>
          </w:p>
        </w:tc>
        <w:tc>
          <w:tcPr>
            <w:tcW w:w="358" w:type="pct"/>
            <w:vAlign w:val="center"/>
          </w:tcPr>
          <w:p w14:paraId="36C1D57E">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1m</w:t>
            </w:r>
          </w:p>
        </w:tc>
      </w:tr>
      <w:tr w14:paraId="55922C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6" w:type="pct"/>
            <w:vAlign w:val="center"/>
          </w:tcPr>
          <w:p w14:paraId="43B8D67C">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27</w:t>
            </w:r>
          </w:p>
        </w:tc>
        <w:tc>
          <w:tcPr>
            <w:tcW w:w="249" w:type="pct"/>
            <w:vMerge w:val="continue"/>
            <w:vAlign w:val="center"/>
          </w:tcPr>
          <w:p w14:paraId="4FEEC766">
            <w:pPr>
              <w:keepNext w:val="0"/>
              <w:keepLines w:val="0"/>
              <w:widowControl/>
              <w:suppressLineNumbers w:val="0"/>
              <w:spacing w:before="0" w:beforeAutospacing="0" w:after="0" w:afterAutospacing="0" w:line="0" w:lineRule="atLeast"/>
              <w:ind w:left="0" w:right="0"/>
              <w:contextualSpacing/>
              <w:jc w:val="center"/>
              <w:textAlignment w:val="center"/>
              <w:rPr>
                <w:rFonts w:hint="default" w:ascii="Times New Roman" w:hAnsi="Times New Roman" w:cs="Times New Roman" w:eastAsiaTheme="minorEastAsia"/>
                <w:color w:val="auto"/>
                <w:kern w:val="0"/>
                <w:sz w:val="21"/>
                <w:szCs w:val="21"/>
                <w:highlight w:val="none"/>
                <w:lang w:val="en-US" w:eastAsia="zh-CN" w:bidi="ar-SA"/>
              </w:rPr>
            </w:pPr>
          </w:p>
        </w:tc>
        <w:tc>
          <w:tcPr>
            <w:tcW w:w="305" w:type="pct"/>
            <w:vAlign w:val="center"/>
          </w:tcPr>
          <w:p w14:paraId="225679BB">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cs="Times New Roman" w:hAnsiTheme="minorEastAsia" w:eastAsiaTheme="minorEastAsia"/>
                <w:sz w:val="21"/>
                <w:szCs w:val="21"/>
                <w:highlight w:val="none"/>
              </w:rPr>
              <w:t>热试台架</w:t>
            </w:r>
            <w:r>
              <w:rPr>
                <w:rFonts w:hint="eastAsia" w:ascii="Times New Roman" w:cs="Times New Roman" w:hAnsiTheme="minorEastAsia" w:eastAsiaTheme="minorEastAsia"/>
                <w:sz w:val="21"/>
                <w:szCs w:val="21"/>
                <w:highlight w:val="none"/>
              </w:rPr>
              <w:t>3#</w:t>
            </w:r>
          </w:p>
        </w:tc>
        <w:tc>
          <w:tcPr>
            <w:tcW w:w="627" w:type="pct"/>
            <w:gridSpan w:val="3"/>
            <w:vAlign w:val="center"/>
          </w:tcPr>
          <w:p w14:paraId="7BFA62AA">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w:t>
            </w:r>
          </w:p>
        </w:tc>
        <w:tc>
          <w:tcPr>
            <w:tcW w:w="391" w:type="pct"/>
            <w:gridSpan w:val="2"/>
            <w:vAlign w:val="center"/>
          </w:tcPr>
          <w:p w14:paraId="1182E958">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napToGrid w:val="0"/>
                <w:sz w:val="21"/>
                <w:szCs w:val="21"/>
                <w:highlight w:val="none"/>
              </w:rPr>
            </w:pPr>
            <w:r>
              <w:rPr>
                <w:rFonts w:hint="eastAsia" w:ascii="Times New Roman" w:hAnsi="Times New Roman" w:cs="Times New Roman" w:eastAsiaTheme="minorEastAsia"/>
                <w:snapToGrid w:val="0"/>
                <w:sz w:val="21"/>
                <w:szCs w:val="21"/>
                <w:highlight w:val="none"/>
              </w:rPr>
              <w:t>80</w:t>
            </w:r>
          </w:p>
        </w:tc>
        <w:tc>
          <w:tcPr>
            <w:tcW w:w="273" w:type="pct"/>
            <w:gridSpan w:val="2"/>
            <w:vMerge w:val="continue"/>
            <w:vAlign w:val="center"/>
          </w:tcPr>
          <w:p w14:paraId="1D36CE53">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p>
        </w:tc>
        <w:tc>
          <w:tcPr>
            <w:tcW w:w="358" w:type="pct"/>
            <w:gridSpan w:val="2"/>
            <w:vAlign w:val="center"/>
          </w:tcPr>
          <w:p w14:paraId="6A18D254">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93</w:t>
            </w:r>
          </w:p>
        </w:tc>
        <w:tc>
          <w:tcPr>
            <w:tcW w:w="306" w:type="pct"/>
            <w:gridSpan w:val="2"/>
            <w:vAlign w:val="center"/>
          </w:tcPr>
          <w:p w14:paraId="6EB332CB">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105</w:t>
            </w:r>
          </w:p>
        </w:tc>
        <w:tc>
          <w:tcPr>
            <w:tcW w:w="285" w:type="pct"/>
            <w:gridSpan w:val="2"/>
            <w:vAlign w:val="center"/>
          </w:tcPr>
          <w:p w14:paraId="62F3C424">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179</w:t>
            </w:r>
          </w:p>
        </w:tc>
        <w:tc>
          <w:tcPr>
            <w:tcW w:w="358" w:type="pct"/>
            <w:gridSpan w:val="2"/>
            <w:vAlign w:val="center"/>
          </w:tcPr>
          <w:p w14:paraId="2E2DFC67">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99</w:t>
            </w:r>
          </w:p>
          <w:p w14:paraId="73F5A84D">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bCs/>
                <w:sz w:val="21"/>
                <w:szCs w:val="21"/>
                <w:highlight w:val="none"/>
              </w:rPr>
            </w:pPr>
            <w:r>
              <w:rPr>
                <w:rFonts w:hint="eastAsia" w:ascii="Times New Roman" w:hAnsi="Times New Roman" w:cs="Times New Roman" w:eastAsiaTheme="minorEastAsia"/>
                <w:bCs/>
                <w:sz w:val="21"/>
                <w:szCs w:val="21"/>
                <w:highlight w:val="none"/>
              </w:rPr>
              <w:t>85</w:t>
            </w:r>
          </w:p>
          <w:p w14:paraId="693B803D">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bCs/>
                <w:sz w:val="21"/>
                <w:szCs w:val="21"/>
                <w:highlight w:val="none"/>
              </w:rPr>
            </w:pPr>
            <w:r>
              <w:rPr>
                <w:rFonts w:hint="eastAsia" w:ascii="Times New Roman" w:hAnsi="Times New Roman" w:cs="Times New Roman" w:eastAsiaTheme="minorEastAsia"/>
                <w:bCs/>
                <w:sz w:val="21"/>
                <w:szCs w:val="21"/>
                <w:highlight w:val="none"/>
              </w:rPr>
              <w:t>93</w:t>
            </w:r>
          </w:p>
          <w:p w14:paraId="66D31A5A">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bCs/>
                <w:sz w:val="21"/>
                <w:szCs w:val="21"/>
                <w:highlight w:val="none"/>
              </w:rPr>
            </w:pPr>
            <w:r>
              <w:rPr>
                <w:rFonts w:hint="eastAsia" w:ascii="Times New Roman" w:hAnsi="Times New Roman" w:cs="Times New Roman" w:eastAsiaTheme="minorEastAsia"/>
                <w:bCs/>
                <w:sz w:val="21"/>
                <w:szCs w:val="21"/>
                <w:highlight w:val="none"/>
              </w:rPr>
              <w:t>105</w:t>
            </w:r>
          </w:p>
        </w:tc>
        <w:tc>
          <w:tcPr>
            <w:tcW w:w="358" w:type="pct"/>
            <w:gridSpan w:val="2"/>
            <w:vAlign w:val="center"/>
          </w:tcPr>
          <w:p w14:paraId="7C0DCCED">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40.1</w:t>
            </w:r>
          </w:p>
          <w:p w14:paraId="1E3930F5">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41.4</w:t>
            </w:r>
          </w:p>
          <w:p w14:paraId="1C742CBB">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40.6</w:t>
            </w:r>
          </w:p>
          <w:p w14:paraId="35B87EAB">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val="0"/>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39.6</w:t>
            </w:r>
          </w:p>
        </w:tc>
        <w:tc>
          <w:tcPr>
            <w:tcW w:w="253" w:type="pct"/>
            <w:gridSpan w:val="2"/>
            <w:vAlign w:val="center"/>
          </w:tcPr>
          <w:p w14:paraId="56F441B8">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连续</w:t>
            </w:r>
          </w:p>
        </w:tc>
        <w:tc>
          <w:tcPr>
            <w:tcW w:w="358" w:type="pct"/>
            <w:gridSpan w:val="2"/>
            <w:vAlign w:val="center"/>
          </w:tcPr>
          <w:p w14:paraId="110A9C89">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20</w:t>
            </w:r>
          </w:p>
        </w:tc>
        <w:tc>
          <w:tcPr>
            <w:tcW w:w="359" w:type="pct"/>
            <w:gridSpan w:val="2"/>
            <w:vAlign w:val="center"/>
          </w:tcPr>
          <w:p w14:paraId="4117B50B">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20.1</w:t>
            </w:r>
          </w:p>
          <w:p w14:paraId="7B99D5DE">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21.4</w:t>
            </w:r>
          </w:p>
          <w:p w14:paraId="07C048EF">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20.6</w:t>
            </w:r>
          </w:p>
          <w:p w14:paraId="51BFCC92">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val="0"/>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19.6</w:t>
            </w:r>
          </w:p>
        </w:tc>
        <w:tc>
          <w:tcPr>
            <w:tcW w:w="358" w:type="pct"/>
            <w:vAlign w:val="center"/>
          </w:tcPr>
          <w:p w14:paraId="7D9F3EBD">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1m</w:t>
            </w:r>
          </w:p>
        </w:tc>
      </w:tr>
      <w:tr w14:paraId="76361A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6" w:type="pct"/>
            <w:vAlign w:val="center"/>
          </w:tcPr>
          <w:p w14:paraId="46E175A7">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28</w:t>
            </w:r>
          </w:p>
        </w:tc>
        <w:tc>
          <w:tcPr>
            <w:tcW w:w="249" w:type="pct"/>
            <w:vMerge w:val="restart"/>
            <w:vAlign w:val="center"/>
          </w:tcPr>
          <w:p w14:paraId="268FC423">
            <w:pPr>
              <w:keepNext w:val="0"/>
              <w:keepLines w:val="0"/>
              <w:widowControl/>
              <w:suppressLineNumbers w:val="0"/>
              <w:spacing w:before="0" w:beforeAutospacing="0" w:after="0" w:afterAutospacing="0" w:line="0" w:lineRule="atLeast"/>
              <w:ind w:left="0" w:right="0"/>
              <w:contextualSpacing/>
              <w:jc w:val="center"/>
              <w:textAlignment w:val="center"/>
              <w:rPr>
                <w:rFonts w:hint="default" w:ascii="Times New Roman" w:hAnsi="Times New Roman" w:cs="Times New Roman" w:eastAsiaTheme="minorEastAsia"/>
                <w:color w:val="auto"/>
                <w:kern w:val="0"/>
                <w:sz w:val="21"/>
                <w:szCs w:val="21"/>
                <w:highlight w:val="none"/>
                <w:lang w:val="en-US" w:eastAsia="zh-CN" w:bidi="ar-SA"/>
              </w:rPr>
            </w:pPr>
            <w:r>
              <w:rPr>
                <w:rFonts w:hint="default" w:ascii="Times New Roman" w:cs="Times New Roman" w:hAnsiTheme="minorEastAsia" w:eastAsiaTheme="minorEastAsia"/>
                <w:color w:val="auto"/>
                <w:kern w:val="0"/>
                <w:sz w:val="21"/>
                <w:szCs w:val="21"/>
                <w:highlight w:val="none"/>
                <w:lang w:val="en-US" w:eastAsia="zh-CN" w:bidi="ar-SA"/>
              </w:rPr>
              <w:t>试装区域</w:t>
            </w:r>
          </w:p>
        </w:tc>
        <w:tc>
          <w:tcPr>
            <w:tcW w:w="305" w:type="pct"/>
            <w:vAlign w:val="center"/>
          </w:tcPr>
          <w:p w14:paraId="24ED7B50">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cs="Times New Roman" w:hAnsiTheme="minorEastAsia" w:eastAsiaTheme="minorEastAsia"/>
                <w:sz w:val="21"/>
                <w:szCs w:val="21"/>
                <w:highlight w:val="none"/>
              </w:rPr>
            </w:pPr>
            <w:r>
              <w:rPr>
                <w:rFonts w:hint="default" w:ascii="Times New Roman" w:cs="Times New Roman" w:hAnsiTheme="minorEastAsia" w:eastAsiaTheme="minorEastAsia"/>
                <w:sz w:val="21"/>
                <w:szCs w:val="21"/>
                <w:highlight w:val="none"/>
              </w:rPr>
              <w:t>热试台架</w:t>
            </w:r>
            <w:r>
              <w:rPr>
                <w:rFonts w:hint="eastAsia" w:ascii="Times New Roman" w:cs="Times New Roman" w:hAnsiTheme="minorEastAsia" w:eastAsiaTheme="minorEastAsia"/>
                <w:sz w:val="21"/>
                <w:szCs w:val="21"/>
                <w:highlight w:val="none"/>
              </w:rPr>
              <w:t>4#</w:t>
            </w:r>
          </w:p>
        </w:tc>
        <w:tc>
          <w:tcPr>
            <w:tcW w:w="627" w:type="pct"/>
            <w:gridSpan w:val="3"/>
            <w:vAlign w:val="center"/>
          </w:tcPr>
          <w:p w14:paraId="52F5BA83">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kern w:val="0"/>
                <w:sz w:val="21"/>
                <w:szCs w:val="21"/>
                <w:highlight w:val="none"/>
              </w:rPr>
              <w:t>/</w:t>
            </w:r>
          </w:p>
        </w:tc>
        <w:tc>
          <w:tcPr>
            <w:tcW w:w="391" w:type="pct"/>
            <w:gridSpan w:val="2"/>
            <w:vAlign w:val="center"/>
          </w:tcPr>
          <w:p w14:paraId="69277AAA">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napToGrid w:val="0"/>
                <w:sz w:val="21"/>
                <w:szCs w:val="21"/>
                <w:highlight w:val="none"/>
              </w:rPr>
            </w:pPr>
            <w:r>
              <w:rPr>
                <w:rFonts w:hint="eastAsia" w:ascii="Times New Roman" w:hAnsi="Times New Roman" w:cs="Times New Roman" w:eastAsiaTheme="minorEastAsia"/>
                <w:snapToGrid w:val="0"/>
                <w:sz w:val="21"/>
                <w:szCs w:val="21"/>
                <w:highlight w:val="none"/>
              </w:rPr>
              <w:t>80</w:t>
            </w:r>
          </w:p>
        </w:tc>
        <w:tc>
          <w:tcPr>
            <w:tcW w:w="273" w:type="pct"/>
            <w:gridSpan w:val="2"/>
            <w:vMerge w:val="restart"/>
            <w:vAlign w:val="center"/>
          </w:tcPr>
          <w:p w14:paraId="335C1662">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基础减振、厂房隔声措施</w:t>
            </w:r>
          </w:p>
        </w:tc>
        <w:tc>
          <w:tcPr>
            <w:tcW w:w="358" w:type="pct"/>
            <w:gridSpan w:val="2"/>
            <w:vAlign w:val="center"/>
          </w:tcPr>
          <w:p w14:paraId="78A19E07">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93</w:t>
            </w:r>
          </w:p>
        </w:tc>
        <w:tc>
          <w:tcPr>
            <w:tcW w:w="306" w:type="pct"/>
            <w:gridSpan w:val="2"/>
            <w:vAlign w:val="center"/>
          </w:tcPr>
          <w:p w14:paraId="48BF3AA7">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105</w:t>
            </w:r>
          </w:p>
        </w:tc>
        <w:tc>
          <w:tcPr>
            <w:tcW w:w="285" w:type="pct"/>
            <w:gridSpan w:val="2"/>
            <w:vAlign w:val="center"/>
          </w:tcPr>
          <w:p w14:paraId="79B278B6">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179</w:t>
            </w:r>
          </w:p>
        </w:tc>
        <w:tc>
          <w:tcPr>
            <w:tcW w:w="358" w:type="pct"/>
            <w:gridSpan w:val="2"/>
            <w:vAlign w:val="center"/>
          </w:tcPr>
          <w:p w14:paraId="61D1DB58">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99</w:t>
            </w:r>
          </w:p>
          <w:p w14:paraId="07F3B78E">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bCs/>
                <w:sz w:val="21"/>
                <w:szCs w:val="21"/>
                <w:highlight w:val="none"/>
              </w:rPr>
            </w:pPr>
            <w:r>
              <w:rPr>
                <w:rFonts w:hint="eastAsia" w:ascii="Times New Roman" w:hAnsi="Times New Roman" w:cs="Times New Roman" w:eastAsiaTheme="minorEastAsia"/>
                <w:bCs/>
                <w:sz w:val="21"/>
                <w:szCs w:val="21"/>
                <w:highlight w:val="none"/>
              </w:rPr>
              <w:t>85</w:t>
            </w:r>
          </w:p>
          <w:p w14:paraId="18B63B86">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bCs/>
                <w:sz w:val="21"/>
                <w:szCs w:val="21"/>
                <w:highlight w:val="none"/>
              </w:rPr>
            </w:pPr>
            <w:r>
              <w:rPr>
                <w:rFonts w:hint="eastAsia" w:ascii="Times New Roman" w:hAnsi="Times New Roman" w:cs="Times New Roman" w:eastAsiaTheme="minorEastAsia"/>
                <w:bCs/>
                <w:sz w:val="21"/>
                <w:szCs w:val="21"/>
                <w:highlight w:val="none"/>
              </w:rPr>
              <w:t>93</w:t>
            </w:r>
          </w:p>
          <w:p w14:paraId="06015C6F">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val="0"/>
                <w:kern w:val="2"/>
                <w:sz w:val="21"/>
                <w:szCs w:val="21"/>
                <w:highlight w:val="none"/>
                <w:lang w:val="en-US" w:eastAsia="zh-CN" w:bidi="ar-SA"/>
              </w:rPr>
              <w:t>105</w:t>
            </w:r>
          </w:p>
        </w:tc>
        <w:tc>
          <w:tcPr>
            <w:tcW w:w="358" w:type="pct"/>
            <w:gridSpan w:val="2"/>
            <w:vAlign w:val="center"/>
          </w:tcPr>
          <w:p w14:paraId="1324994B">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40.1</w:t>
            </w:r>
          </w:p>
          <w:p w14:paraId="79AD8EAC">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41.4</w:t>
            </w:r>
          </w:p>
          <w:p w14:paraId="0C7F041D">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40.6</w:t>
            </w:r>
          </w:p>
          <w:p w14:paraId="27F28ACE">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39.6</w:t>
            </w:r>
          </w:p>
        </w:tc>
        <w:tc>
          <w:tcPr>
            <w:tcW w:w="253" w:type="pct"/>
            <w:gridSpan w:val="2"/>
            <w:vAlign w:val="center"/>
          </w:tcPr>
          <w:p w14:paraId="7D47A182">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连续</w:t>
            </w:r>
          </w:p>
        </w:tc>
        <w:tc>
          <w:tcPr>
            <w:tcW w:w="358" w:type="pct"/>
            <w:gridSpan w:val="2"/>
            <w:vAlign w:val="center"/>
          </w:tcPr>
          <w:p w14:paraId="645635FF">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20</w:t>
            </w:r>
          </w:p>
        </w:tc>
        <w:tc>
          <w:tcPr>
            <w:tcW w:w="359" w:type="pct"/>
            <w:gridSpan w:val="2"/>
            <w:vAlign w:val="center"/>
          </w:tcPr>
          <w:p w14:paraId="4D640B49">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20.1</w:t>
            </w:r>
          </w:p>
          <w:p w14:paraId="24B116A8">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21.4</w:t>
            </w:r>
          </w:p>
          <w:p w14:paraId="38752C1D">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20.6</w:t>
            </w:r>
          </w:p>
          <w:p w14:paraId="0EEB1197">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19.6</w:t>
            </w:r>
          </w:p>
        </w:tc>
        <w:tc>
          <w:tcPr>
            <w:tcW w:w="358" w:type="pct"/>
            <w:vAlign w:val="center"/>
          </w:tcPr>
          <w:p w14:paraId="234DB2F9">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1m</w:t>
            </w:r>
          </w:p>
        </w:tc>
      </w:tr>
      <w:tr w14:paraId="46829F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6" w:type="pct"/>
            <w:vAlign w:val="center"/>
          </w:tcPr>
          <w:p w14:paraId="7E90020A">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29</w:t>
            </w:r>
          </w:p>
        </w:tc>
        <w:tc>
          <w:tcPr>
            <w:tcW w:w="249" w:type="pct"/>
            <w:vMerge w:val="continue"/>
            <w:vAlign w:val="center"/>
          </w:tcPr>
          <w:p w14:paraId="6BDDE408">
            <w:pPr>
              <w:keepNext w:val="0"/>
              <w:keepLines w:val="0"/>
              <w:widowControl/>
              <w:suppressLineNumbers w:val="0"/>
              <w:spacing w:before="0" w:beforeAutospacing="0" w:after="0" w:afterAutospacing="0" w:line="0" w:lineRule="atLeast"/>
              <w:ind w:left="0" w:right="0"/>
              <w:contextualSpacing/>
              <w:jc w:val="center"/>
              <w:textAlignment w:val="center"/>
              <w:rPr>
                <w:rFonts w:hint="default" w:ascii="Times New Roman" w:hAnsi="Times New Roman" w:cs="Times New Roman" w:eastAsiaTheme="minorEastAsia"/>
                <w:color w:val="auto"/>
                <w:kern w:val="0"/>
                <w:sz w:val="21"/>
                <w:szCs w:val="21"/>
                <w:highlight w:val="none"/>
                <w:lang w:val="en-US" w:eastAsia="zh-CN" w:bidi="ar-SA"/>
              </w:rPr>
            </w:pPr>
          </w:p>
        </w:tc>
        <w:tc>
          <w:tcPr>
            <w:tcW w:w="305" w:type="pct"/>
            <w:vAlign w:val="center"/>
          </w:tcPr>
          <w:p w14:paraId="6913E48C">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cs="Times New Roman" w:hAnsiTheme="minorEastAsia" w:eastAsiaTheme="minorEastAsia"/>
                <w:sz w:val="21"/>
                <w:szCs w:val="21"/>
                <w:highlight w:val="none"/>
              </w:rPr>
              <w:t>热试台架</w:t>
            </w:r>
            <w:r>
              <w:rPr>
                <w:rFonts w:hint="eastAsia" w:ascii="Times New Roman" w:cs="Times New Roman" w:hAnsiTheme="minorEastAsia" w:eastAsiaTheme="minorEastAsia"/>
                <w:sz w:val="21"/>
                <w:szCs w:val="21"/>
                <w:highlight w:val="none"/>
              </w:rPr>
              <w:t>5#</w:t>
            </w:r>
          </w:p>
        </w:tc>
        <w:tc>
          <w:tcPr>
            <w:tcW w:w="627" w:type="pct"/>
            <w:gridSpan w:val="3"/>
            <w:vAlign w:val="center"/>
          </w:tcPr>
          <w:p w14:paraId="3A8DBC33">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w:t>
            </w:r>
          </w:p>
        </w:tc>
        <w:tc>
          <w:tcPr>
            <w:tcW w:w="391" w:type="pct"/>
            <w:gridSpan w:val="2"/>
            <w:vAlign w:val="center"/>
          </w:tcPr>
          <w:p w14:paraId="122C1ED0">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napToGrid w:val="0"/>
                <w:sz w:val="21"/>
                <w:szCs w:val="21"/>
                <w:highlight w:val="none"/>
              </w:rPr>
            </w:pPr>
            <w:r>
              <w:rPr>
                <w:rFonts w:hint="eastAsia" w:ascii="Times New Roman" w:hAnsi="Times New Roman" w:cs="Times New Roman" w:eastAsiaTheme="minorEastAsia"/>
                <w:snapToGrid w:val="0"/>
                <w:sz w:val="21"/>
                <w:szCs w:val="21"/>
                <w:highlight w:val="none"/>
              </w:rPr>
              <w:t>80</w:t>
            </w:r>
          </w:p>
        </w:tc>
        <w:tc>
          <w:tcPr>
            <w:tcW w:w="273" w:type="pct"/>
            <w:gridSpan w:val="2"/>
            <w:vMerge w:val="continue"/>
            <w:vAlign w:val="center"/>
          </w:tcPr>
          <w:p w14:paraId="331851FF">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p>
        </w:tc>
        <w:tc>
          <w:tcPr>
            <w:tcW w:w="358" w:type="pct"/>
            <w:gridSpan w:val="2"/>
            <w:vAlign w:val="center"/>
          </w:tcPr>
          <w:p w14:paraId="418EA8D4">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96</w:t>
            </w:r>
          </w:p>
        </w:tc>
        <w:tc>
          <w:tcPr>
            <w:tcW w:w="306" w:type="pct"/>
            <w:gridSpan w:val="2"/>
            <w:vAlign w:val="center"/>
          </w:tcPr>
          <w:p w14:paraId="121A391F">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105</w:t>
            </w:r>
          </w:p>
        </w:tc>
        <w:tc>
          <w:tcPr>
            <w:tcW w:w="285" w:type="pct"/>
            <w:gridSpan w:val="2"/>
            <w:vAlign w:val="center"/>
          </w:tcPr>
          <w:p w14:paraId="41AE3ECF">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179</w:t>
            </w:r>
          </w:p>
        </w:tc>
        <w:tc>
          <w:tcPr>
            <w:tcW w:w="358" w:type="pct"/>
            <w:gridSpan w:val="2"/>
            <w:vAlign w:val="center"/>
          </w:tcPr>
          <w:p w14:paraId="1AD7D662">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96</w:t>
            </w:r>
          </w:p>
          <w:p w14:paraId="551AD7D6">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bCs/>
                <w:sz w:val="21"/>
                <w:szCs w:val="21"/>
                <w:highlight w:val="none"/>
              </w:rPr>
            </w:pPr>
            <w:r>
              <w:rPr>
                <w:rFonts w:hint="eastAsia" w:ascii="Times New Roman" w:hAnsi="Times New Roman" w:cs="Times New Roman" w:eastAsiaTheme="minorEastAsia"/>
                <w:bCs/>
                <w:sz w:val="21"/>
                <w:szCs w:val="21"/>
                <w:highlight w:val="none"/>
              </w:rPr>
              <w:t>85</w:t>
            </w:r>
          </w:p>
          <w:p w14:paraId="25F755DF">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bCs/>
                <w:sz w:val="21"/>
                <w:szCs w:val="21"/>
                <w:highlight w:val="none"/>
              </w:rPr>
            </w:pPr>
            <w:r>
              <w:rPr>
                <w:rFonts w:hint="eastAsia" w:ascii="Times New Roman" w:hAnsi="Times New Roman" w:cs="Times New Roman" w:eastAsiaTheme="minorEastAsia"/>
                <w:bCs/>
                <w:sz w:val="21"/>
                <w:szCs w:val="21"/>
                <w:highlight w:val="none"/>
              </w:rPr>
              <w:t>96</w:t>
            </w:r>
          </w:p>
          <w:p w14:paraId="29C5F78A">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bCs/>
                <w:sz w:val="21"/>
                <w:szCs w:val="21"/>
                <w:highlight w:val="none"/>
              </w:rPr>
            </w:pPr>
            <w:r>
              <w:rPr>
                <w:rFonts w:hint="eastAsia" w:ascii="Times New Roman" w:hAnsi="Times New Roman" w:cs="Times New Roman" w:eastAsiaTheme="minorEastAsia"/>
                <w:bCs/>
                <w:sz w:val="21"/>
                <w:szCs w:val="21"/>
                <w:highlight w:val="none"/>
              </w:rPr>
              <w:t>105</w:t>
            </w:r>
          </w:p>
        </w:tc>
        <w:tc>
          <w:tcPr>
            <w:tcW w:w="358" w:type="pct"/>
            <w:gridSpan w:val="2"/>
            <w:vAlign w:val="center"/>
          </w:tcPr>
          <w:p w14:paraId="537B64EF">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40.4</w:t>
            </w:r>
          </w:p>
          <w:p w14:paraId="529820A4">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41.4</w:t>
            </w:r>
          </w:p>
          <w:p w14:paraId="6B6A1B53">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40.4</w:t>
            </w:r>
          </w:p>
          <w:p w14:paraId="29BB1EB7">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39.6</w:t>
            </w:r>
          </w:p>
        </w:tc>
        <w:tc>
          <w:tcPr>
            <w:tcW w:w="253" w:type="pct"/>
            <w:gridSpan w:val="2"/>
            <w:vAlign w:val="center"/>
          </w:tcPr>
          <w:p w14:paraId="1E00FBBA">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连续</w:t>
            </w:r>
          </w:p>
        </w:tc>
        <w:tc>
          <w:tcPr>
            <w:tcW w:w="358" w:type="pct"/>
            <w:gridSpan w:val="2"/>
            <w:vAlign w:val="center"/>
          </w:tcPr>
          <w:p w14:paraId="5DFEC0B5">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20</w:t>
            </w:r>
          </w:p>
        </w:tc>
        <w:tc>
          <w:tcPr>
            <w:tcW w:w="359" w:type="pct"/>
            <w:gridSpan w:val="2"/>
            <w:vAlign w:val="center"/>
          </w:tcPr>
          <w:p w14:paraId="528FE42D">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20.4</w:t>
            </w:r>
          </w:p>
          <w:p w14:paraId="48B281C3">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21.4</w:t>
            </w:r>
          </w:p>
          <w:p w14:paraId="543AEF65">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20.4</w:t>
            </w:r>
          </w:p>
          <w:p w14:paraId="136343E9">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19.6</w:t>
            </w:r>
          </w:p>
        </w:tc>
        <w:tc>
          <w:tcPr>
            <w:tcW w:w="358" w:type="pct"/>
            <w:vAlign w:val="center"/>
          </w:tcPr>
          <w:p w14:paraId="2F6DDEE7">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1m</w:t>
            </w:r>
          </w:p>
        </w:tc>
      </w:tr>
      <w:tr w14:paraId="5166C5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6" w:type="pct"/>
            <w:vAlign w:val="center"/>
          </w:tcPr>
          <w:p w14:paraId="6C5EBFDE">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30</w:t>
            </w:r>
          </w:p>
        </w:tc>
        <w:tc>
          <w:tcPr>
            <w:tcW w:w="249" w:type="pct"/>
            <w:vMerge w:val="continue"/>
            <w:vAlign w:val="center"/>
          </w:tcPr>
          <w:p w14:paraId="1C04B65E">
            <w:pPr>
              <w:keepNext w:val="0"/>
              <w:keepLines w:val="0"/>
              <w:widowControl/>
              <w:suppressLineNumbers w:val="0"/>
              <w:spacing w:before="0" w:beforeAutospacing="0" w:after="0" w:afterAutospacing="0" w:line="0" w:lineRule="atLeast"/>
              <w:ind w:left="0" w:right="0"/>
              <w:contextualSpacing/>
              <w:jc w:val="center"/>
              <w:textAlignment w:val="center"/>
              <w:rPr>
                <w:rFonts w:hint="default" w:ascii="Times New Roman" w:hAnsi="Times New Roman" w:cs="Times New Roman" w:eastAsiaTheme="minorEastAsia"/>
                <w:color w:val="auto"/>
                <w:kern w:val="0"/>
                <w:sz w:val="21"/>
                <w:szCs w:val="21"/>
                <w:highlight w:val="none"/>
                <w:lang w:val="en-US" w:eastAsia="zh-CN" w:bidi="ar-SA"/>
              </w:rPr>
            </w:pPr>
          </w:p>
        </w:tc>
        <w:tc>
          <w:tcPr>
            <w:tcW w:w="305" w:type="pct"/>
            <w:vAlign w:val="center"/>
          </w:tcPr>
          <w:p w14:paraId="3E405367">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cs="Times New Roman" w:hAnsiTheme="minorEastAsia" w:eastAsiaTheme="minorEastAsia"/>
                <w:sz w:val="21"/>
                <w:szCs w:val="21"/>
                <w:highlight w:val="none"/>
              </w:rPr>
            </w:pPr>
            <w:r>
              <w:rPr>
                <w:rFonts w:hint="default" w:ascii="Times New Roman" w:cs="Times New Roman" w:hAnsiTheme="minorEastAsia" w:eastAsiaTheme="minorEastAsia"/>
                <w:sz w:val="21"/>
                <w:szCs w:val="21"/>
                <w:highlight w:val="none"/>
              </w:rPr>
              <w:t>热试台架</w:t>
            </w:r>
            <w:r>
              <w:rPr>
                <w:rFonts w:hint="eastAsia" w:ascii="Times New Roman" w:cs="Times New Roman" w:hAnsiTheme="minorEastAsia" w:eastAsiaTheme="minorEastAsia"/>
                <w:sz w:val="21"/>
                <w:szCs w:val="21"/>
                <w:highlight w:val="none"/>
              </w:rPr>
              <w:t>6#</w:t>
            </w:r>
          </w:p>
        </w:tc>
        <w:tc>
          <w:tcPr>
            <w:tcW w:w="627" w:type="pct"/>
            <w:gridSpan w:val="3"/>
            <w:vAlign w:val="center"/>
          </w:tcPr>
          <w:p w14:paraId="0115B8D2">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kern w:val="0"/>
                <w:sz w:val="21"/>
                <w:szCs w:val="21"/>
                <w:highlight w:val="none"/>
              </w:rPr>
              <w:t>/</w:t>
            </w:r>
          </w:p>
        </w:tc>
        <w:tc>
          <w:tcPr>
            <w:tcW w:w="391" w:type="pct"/>
            <w:gridSpan w:val="2"/>
            <w:vAlign w:val="center"/>
          </w:tcPr>
          <w:p w14:paraId="464D4F44">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napToGrid w:val="0"/>
                <w:sz w:val="21"/>
                <w:szCs w:val="21"/>
                <w:highlight w:val="none"/>
              </w:rPr>
            </w:pPr>
            <w:r>
              <w:rPr>
                <w:rFonts w:hint="eastAsia" w:ascii="Times New Roman" w:hAnsi="Times New Roman" w:cs="Times New Roman" w:eastAsiaTheme="minorEastAsia"/>
                <w:snapToGrid w:val="0"/>
                <w:sz w:val="21"/>
                <w:szCs w:val="21"/>
                <w:highlight w:val="none"/>
              </w:rPr>
              <w:t>80</w:t>
            </w:r>
          </w:p>
        </w:tc>
        <w:tc>
          <w:tcPr>
            <w:tcW w:w="273" w:type="pct"/>
            <w:gridSpan w:val="2"/>
            <w:vMerge w:val="continue"/>
            <w:vAlign w:val="center"/>
          </w:tcPr>
          <w:p w14:paraId="087926F5">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p>
        </w:tc>
        <w:tc>
          <w:tcPr>
            <w:tcW w:w="358" w:type="pct"/>
            <w:gridSpan w:val="2"/>
            <w:vAlign w:val="center"/>
          </w:tcPr>
          <w:p w14:paraId="6E35BEA7">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96</w:t>
            </w:r>
          </w:p>
        </w:tc>
        <w:tc>
          <w:tcPr>
            <w:tcW w:w="306" w:type="pct"/>
            <w:gridSpan w:val="2"/>
            <w:vAlign w:val="center"/>
          </w:tcPr>
          <w:p w14:paraId="2BE6F10B">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105</w:t>
            </w:r>
          </w:p>
        </w:tc>
        <w:tc>
          <w:tcPr>
            <w:tcW w:w="285" w:type="pct"/>
            <w:gridSpan w:val="2"/>
            <w:vAlign w:val="center"/>
          </w:tcPr>
          <w:p w14:paraId="06AD290B">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179</w:t>
            </w:r>
          </w:p>
        </w:tc>
        <w:tc>
          <w:tcPr>
            <w:tcW w:w="358" w:type="pct"/>
            <w:gridSpan w:val="2"/>
            <w:vAlign w:val="center"/>
          </w:tcPr>
          <w:p w14:paraId="0CFB94AB">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96</w:t>
            </w:r>
          </w:p>
          <w:p w14:paraId="375DB165">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bCs/>
                <w:sz w:val="21"/>
                <w:szCs w:val="21"/>
                <w:highlight w:val="none"/>
              </w:rPr>
            </w:pPr>
            <w:r>
              <w:rPr>
                <w:rFonts w:hint="eastAsia" w:ascii="Times New Roman" w:hAnsi="Times New Roman" w:cs="Times New Roman" w:eastAsiaTheme="minorEastAsia"/>
                <w:bCs/>
                <w:sz w:val="21"/>
                <w:szCs w:val="21"/>
                <w:highlight w:val="none"/>
              </w:rPr>
              <w:t>85</w:t>
            </w:r>
          </w:p>
          <w:p w14:paraId="3D72E498">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bCs/>
                <w:sz w:val="21"/>
                <w:szCs w:val="21"/>
                <w:highlight w:val="none"/>
              </w:rPr>
            </w:pPr>
            <w:r>
              <w:rPr>
                <w:rFonts w:hint="eastAsia" w:ascii="Times New Roman" w:hAnsi="Times New Roman" w:cs="Times New Roman" w:eastAsiaTheme="minorEastAsia"/>
                <w:bCs/>
                <w:sz w:val="21"/>
                <w:szCs w:val="21"/>
                <w:highlight w:val="none"/>
              </w:rPr>
              <w:t>96</w:t>
            </w:r>
          </w:p>
          <w:p w14:paraId="1605CBAA">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105</w:t>
            </w:r>
          </w:p>
        </w:tc>
        <w:tc>
          <w:tcPr>
            <w:tcW w:w="358" w:type="pct"/>
            <w:gridSpan w:val="2"/>
            <w:vAlign w:val="center"/>
          </w:tcPr>
          <w:p w14:paraId="5CFC07D6">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40.4</w:t>
            </w:r>
          </w:p>
          <w:p w14:paraId="2D99F744">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41.4</w:t>
            </w:r>
          </w:p>
          <w:p w14:paraId="73B1BFBB">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40.4</w:t>
            </w:r>
          </w:p>
          <w:p w14:paraId="09ADD56C">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39.6</w:t>
            </w:r>
          </w:p>
        </w:tc>
        <w:tc>
          <w:tcPr>
            <w:tcW w:w="253" w:type="pct"/>
            <w:gridSpan w:val="2"/>
            <w:vAlign w:val="center"/>
          </w:tcPr>
          <w:p w14:paraId="3B66E155">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连续</w:t>
            </w:r>
          </w:p>
        </w:tc>
        <w:tc>
          <w:tcPr>
            <w:tcW w:w="358" w:type="pct"/>
            <w:gridSpan w:val="2"/>
            <w:vAlign w:val="center"/>
          </w:tcPr>
          <w:p w14:paraId="1881B96E">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20</w:t>
            </w:r>
          </w:p>
        </w:tc>
        <w:tc>
          <w:tcPr>
            <w:tcW w:w="359" w:type="pct"/>
            <w:gridSpan w:val="2"/>
            <w:vAlign w:val="center"/>
          </w:tcPr>
          <w:p w14:paraId="6CA15566">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20.4</w:t>
            </w:r>
          </w:p>
          <w:p w14:paraId="24815E56">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21.4</w:t>
            </w:r>
          </w:p>
          <w:p w14:paraId="22E7F4DF">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20.4</w:t>
            </w:r>
          </w:p>
          <w:p w14:paraId="3A08C775">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19.6</w:t>
            </w:r>
          </w:p>
        </w:tc>
        <w:tc>
          <w:tcPr>
            <w:tcW w:w="358" w:type="pct"/>
            <w:vAlign w:val="center"/>
          </w:tcPr>
          <w:p w14:paraId="01EAFDB4">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1m</w:t>
            </w:r>
          </w:p>
        </w:tc>
      </w:tr>
      <w:tr w14:paraId="462800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6" w:type="pct"/>
            <w:vAlign w:val="center"/>
          </w:tcPr>
          <w:p w14:paraId="75631F45">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31</w:t>
            </w:r>
          </w:p>
        </w:tc>
        <w:tc>
          <w:tcPr>
            <w:tcW w:w="249" w:type="pct"/>
            <w:vMerge w:val="continue"/>
            <w:vAlign w:val="center"/>
          </w:tcPr>
          <w:p w14:paraId="5D1C0DB2">
            <w:pPr>
              <w:keepNext w:val="0"/>
              <w:keepLines w:val="0"/>
              <w:widowControl/>
              <w:suppressLineNumbers w:val="0"/>
              <w:spacing w:before="0" w:beforeAutospacing="0" w:after="0" w:afterAutospacing="0" w:line="0" w:lineRule="atLeast"/>
              <w:ind w:left="0" w:right="0"/>
              <w:contextualSpacing/>
              <w:jc w:val="center"/>
              <w:textAlignment w:val="center"/>
              <w:rPr>
                <w:rFonts w:hint="default" w:ascii="Times New Roman" w:hAnsi="Times New Roman" w:cs="Times New Roman" w:eastAsiaTheme="minorEastAsia"/>
                <w:color w:val="auto"/>
                <w:kern w:val="0"/>
                <w:sz w:val="21"/>
                <w:szCs w:val="21"/>
                <w:highlight w:val="none"/>
                <w:lang w:val="en-US" w:eastAsia="zh-CN" w:bidi="ar-SA"/>
              </w:rPr>
            </w:pPr>
          </w:p>
        </w:tc>
        <w:tc>
          <w:tcPr>
            <w:tcW w:w="305" w:type="pct"/>
            <w:vAlign w:val="center"/>
          </w:tcPr>
          <w:p w14:paraId="1FBF9DB7">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cs="Times New Roman" w:hAnsiTheme="minorEastAsia" w:eastAsiaTheme="minorEastAsia"/>
                <w:sz w:val="21"/>
                <w:szCs w:val="21"/>
                <w:highlight w:val="none"/>
              </w:rPr>
              <w:t>热试台架</w:t>
            </w:r>
            <w:r>
              <w:rPr>
                <w:rFonts w:hint="eastAsia" w:ascii="Times New Roman" w:cs="Times New Roman" w:hAnsiTheme="minorEastAsia" w:eastAsiaTheme="minorEastAsia"/>
                <w:sz w:val="21"/>
                <w:szCs w:val="21"/>
                <w:highlight w:val="none"/>
              </w:rPr>
              <w:t>7#</w:t>
            </w:r>
          </w:p>
        </w:tc>
        <w:tc>
          <w:tcPr>
            <w:tcW w:w="627" w:type="pct"/>
            <w:gridSpan w:val="3"/>
            <w:vAlign w:val="center"/>
          </w:tcPr>
          <w:p w14:paraId="32ECA92F">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w:t>
            </w:r>
          </w:p>
        </w:tc>
        <w:tc>
          <w:tcPr>
            <w:tcW w:w="391" w:type="pct"/>
            <w:gridSpan w:val="2"/>
            <w:vAlign w:val="center"/>
          </w:tcPr>
          <w:p w14:paraId="405E1D38">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napToGrid w:val="0"/>
                <w:sz w:val="21"/>
                <w:szCs w:val="21"/>
                <w:highlight w:val="none"/>
              </w:rPr>
            </w:pPr>
            <w:r>
              <w:rPr>
                <w:rFonts w:hint="eastAsia" w:ascii="Times New Roman" w:hAnsi="Times New Roman" w:cs="Times New Roman" w:eastAsiaTheme="minorEastAsia"/>
                <w:snapToGrid w:val="0"/>
                <w:sz w:val="21"/>
                <w:szCs w:val="21"/>
                <w:highlight w:val="none"/>
              </w:rPr>
              <w:t>80</w:t>
            </w:r>
          </w:p>
        </w:tc>
        <w:tc>
          <w:tcPr>
            <w:tcW w:w="273" w:type="pct"/>
            <w:gridSpan w:val="2"/>
            <w:vMerge w:val="continue"/>
            <w:vAlign w:val="center"/>
          </w:tcPr>
          <w:p w14:paraId="1474E1F2">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p>
        </w:tc>
        <w:tc>
          <w:tcPr>
            <w:tcW w:w="358" w:type="pct"/>
            <w:gridSpan w:val="2"/>
            <w:vAlign w:val="center"/>
          </w:tcPr>
          <w:p w14:paraId="7009F703">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90</w:t>
            </w:r>
          </w:p>
        </w:tc>
        <w:tc>
          <w:tcPr>
            <w:tcW w:w="306" w:type="pct"/>
            <w:gridSpan w:val="2"/>
            <w:vAlign w:val="center"/>
          </w:tcPr>
          <w:p w14:paraId="3DFB6180">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99</w:t>
            </w:r>
          </w:p>
        </w:tc>
        <w:tc>
          <w:tcPr>
            <w:tcW w:w="285" w:type="pct"/>
            <w:gridSpan w:val="2"/>
            <w:vAlign w:val="center"/>
          </w:tcPr>
          <w:p w14:paraId="7E617078">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179</w:t>
            </w:r>
          </w:p>
        </w:tc>
        <w:tc>
          <w:tcPr>
            <w:tcW w:w="358" w:type="pct"/>
            <w:gridSpan w:val="2"/>
            <w:vAlign w:val="center"/>
          </w:tcPr>
          <w:p w14:paraId="5E68D6B1">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102</w:t>
            </w:r>
          </w:p>
          <w:p w14:paraId="03C30D50">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bCs/>
                <w:sz w:val="21"/>
                <w:szCs w:val="21"/>
                <w:highlight w:val="none"/>
              </w:rPr>
            </w:pPr>
            <w:r>
              <w:rPr>
                <w:rFonts w:hint="eastAsia" w:ascii="Times New Roman" w:hAnsi="Times New Roman" w:cs="Times New Roman" w:eastAsiaTheme="minorEastAsia"/>
                <w:bCs/>
                <w:sz w:val="21"/>
                <w:szCs w:val="21"/>
                <w:highlight w:val="none"/>
              </w:rPr>
              <w:t>91</w:t>
            </w:r>
          </w:p>
          <w:p w14:paraId="2227FDFA">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bCs/>
                <w:sz w:val="21"/>
                <w:szCs w:val="21"/>
                <w:highlight w:val="none"/>
              </w:rPr>
            </w:pPr>
            <w:r>
              <w:rPr>
                <w:rFonts w:hint="eastAsia" w:ascii="Times New Roman" w:hAnsi="Times New Roman" w:cs="Times New Roman" w:eastAsiaTheme="minorEastAsia"/>
                <w:bCs/>
                <w:sz w:val="21"/>
                <w:szCs w:val="21"/>
                <w:highlight w:val="none"/>
              </w:rPr>
              <w:t>90</w:t>
            </w:r>
          </w:p>
          <w:p w14:paraId="207A1762">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bCs/>
                <w:sz w:val="21"/>
                <w:szCs w:val="21"/>
                <w:highlight w:val="none"/>
              </w:rPr>
            </w:pPr>
            <w:r>
              <w:rPr>
                <w:rFonts w:hint="eastAsia" w:ascii="Times New Roman" w:hAnsi="Times New Roman" w:cs="Times New Roman" w:eastAsiaTheme="minorEastAsia"/>
                <w:bCs/>
                <w:sz w:val="21"/>
                <w:szCs w:val="21"/>
                <w:highlight w:val="none"/>
              </w:rPr>
              <w:t>99</w:t>
            </w:r>
          </w:p>
        </w:tc>
        <w:tc>
          <w:tcPr>
            <w:tcW w:w="358" w:type="pct"/>
            <w:gridSpan w:val="2"/>
            <w:vAlign w:val="center"/>
          </w:tcPr>
          <w:p w14:paraId="6EA92D83">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39.8</w:t>
            </w:r>
          </w:p>
          <w:p w14:paraId="616EFA1F">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40.8</w:t>
            </w:r>
          </w:p>
          <w:p w14:paraId="447A9A0E">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40.9</w:t>
            </w:r>
          </w:p>
          <w:p w14:paraId="0D9E7A53">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40.1</w:t>
            </w:r>
          </w:p>
        </w:tc>
        <w:tc>
          <w:tcPr>
            <w:tcW w:w="253" w:type="pct"/>
            <w:gridSpan w:val="2"/>
            <w:vAlign w:val="center"/>
          </w:tcPr>
          <w:p w14:paraId="331F51B3">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连续</w:t>
            </w:r>
          </w:p>
        </w:tc>
        <w:tc>
          <w:tcPr>
            <w:tcW w:w="358" w:type="pct"/>
            <w:gridSpan w:val="2"/>
            <w:vAlign w:val="center"/>
          </w:tcPr>
          <w:p w14:paraId="3B7AA609">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20</w:t>
            </w:r>
          </w:p>
        </w:tc>
        <w:tc>
          <w:tcPr>
            <w:tcW w:w="359" w:type="pct"/>
            <w:gridSpan w:val="2"/>
            <w:vAlign w:val="center"/>
          </w:tcPr>
          <w:p w14:paraId="31544C62">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19.8</w:t>
            </w:r>
          </w:p>
          <w:p w14:paraId="34A5C8E9">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20.8</w:t>
            </w:r>
          </w:p>
          <w:p w14:paraId="0916C168">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20.9</w:t>
            </w:r>
          </w:p>
          <w:p w14:paraId="333574AF">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20.1</w:t>
            </w:r>
          </w:p>
        </w:tc>
        <w:tc>
          <w:tcPr>
            <w:tcW w:w="358" w:type="pct"/>
            <w:vAlign w:val="center"/>
          </w:tcPr>
          <w:p w14:paraId="6992C729">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1m</w:t>
            </w:r>
          </w:p>
        </w:tc>
      </w:tr>
      <w:tr w14:paraId="47883C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6" w:type="pct"/>
            <w:vAlign w:val="center"/>
          </w:tcPr>
          <w:p w14:paraId="35E08C91">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32</w:t>
            </w:r>
          </w:p>
        </w:tc>
        <w:tc>
          <w:tcPr>
            <w:tcW w:w="249" w:type="pct"/>
            <w:vMerge w:val="continue"/>
            <w:vAlign w:val="center"/>
          </w:tcPr>
          <w:p w14:paraId="4A0BBB5E">
            <w:pPr>
              <w:keepNext w:val="0"/>
              <w:keepLines w:val="0"/>
              <w:widowControl/>
              <w:suppressLineNumbers w:val="0"/>
              <w:spacing w:before="0" w:beforeAutospacing="0" w:after="0" w:afterAutospacing="0" w:line="0" w:lineRule="atLeast"/>
              <w:ind w:left="0" w:right="0"/>
              <w:contextualSpacing/>
              <w:jc w:val="center"/>
              <w:textAlignment w:val="center"/>
              <w:rPr>
                <w:rFonts w:hint="default" w:ascii="Times New Roman" w:hAnsi="Times New Roman" w:cs="Times New Roman" w:eastAsiaTheme="minorEastAsia"/>
                <w:color w:val="auto"/>
                <w:kern w:val="0"/>
                <w:sz w:val="21"/>
                <w:szCs w:val="21"/>
                <w:highlight w:val="none"/>
                <w:lang w:val="en-US" w:eastAsia="zh-CN" w:bidi="ar-SA"/>
              </w:rPr>
            </w:pPr>
          </w:p>
        </w:tc>
        <w:tc>
          <w:tcPr>
            <w:tcW w:w="305" w:type="pct"/>
            <w:vAlign w:val="center"/>
          </w:tcPr>
          <w:p w14:paraId="19063BA5">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cs="Times New Roman" w:hAnsiTheme="minorEastAsia" w:eastAsiaTheme="minorEastAsia"/>
                <w:sz w:val="21"/>
                <w:szCs w:val="21"/>
                <w:highlight w:val="none"/>
              </w:rPr>
            </w:pPr>
            <w:r>
              <w:rPr>
                <w:rFonts w:hint="default" w:ascii="Times New Roman" w:cs="Times New Roman" w:hAnsiTheme="minorEastAsia" w:eastAsiaTheme="minorEastAsia"/>
                <w:sz w:val="21"/>
                <w:szCs w:val="21"/>
                <w:highlight w:val="none"/>
              </w:rPr>
              <w:t>热试台架</w:t>
            </w:r>
            <w:r>
              <w:rPr>
                <w:rFonts w:hint="eastAsia" w:ascii="Times New Roman" w:cs="Times New Roman" w:hAnsiTheme="minorEastAsia" w:eastAsiaTheme="minorEastAsia"/>
                <w:sz w:val="21"/>
                <w:szCs w:val="21"/>
                <w:highlight w:val="none"/>
              </w:rPr>
              <w:t>8#</w:t>
            </w:r>
          </w:p>
        </w:tc>
        <w:tc>
          <w:tcPr>
            <w:tcW w:w="627" w:type="pct"/>
            <w:gridSpan w:val="3"/>
            <w:vAlign w:val="center"/>
          </w:tcPr>
          <w:p w14:paraId="0CB84AE4">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kern w:val="0"/>
                <w:sz w:val="21"/>
                <w:szCs w:val="21"/>
                <w:highlight w:val="none"/>
              </w:rPr>
              <w:t>/</w:t>
            </w:r>
          </w:p>
        </w:tc>
        <w:tc>
          <w:tcPr>
            <w:tcW w:w="391" w:type="pct"/>
            <w:gridSpan w:val="2"/>
            <w:vAlign w:val="center"/>
          </w:tcPr>
          <w:p w14:paraId="7D060F7F">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napToGrid w:val="0"/>
                <w:sz w:val="21"/>
                <w:szCs w:val="21"/>
                <w:highlight w:val="none"/>
              </w:rPr>
            </w:pPr>
            <w:r>
              <w:rPr>
                <w:rFonts w:hint="eastAsia" w:ascii="Times New Roman" w:hAnsi="Times New Roman" w:cs="Times New Roman" w:eastAsiaTheme="minorEastAsia"/>
                <w:snapToGrid w:val="0"/>
                <w:sz w:val="21"/>
                <w:szCs w:val="21"/>
                <w:highlight w:val="none"/>
              </w:rPr>
              <w:t>80</w:t>
            </w:r>
          </w:p>
        </w:tc>
        <w:tc>
          <w:tcPr>
            <w:tcW w:w="273" w:type="pct"/>
            <w:gridSpan w:val="2"/>
            <w:vMerge w:val="continue"/>
            <w:vAlign w:val="center"/>
          </w:tcPr>
          <w:p w14:paraId="51077492">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p>
        </w:tc>
        <w:tc>
          <w:tcPr>
            <w:tcW w:w="358" w:type="pct"/>
            <w:gridSpan w:val="2"/>
            <w:vAlign w:val="center"/>
          </w:tcPr>
          <w:p w14:paraId="67783BE6">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90</w:t>
            </w:r>
          </w:p>
        </w:tc>
        <w:tc>
          <w:tcPr>
            <w:tcW w:w="306" w:type="pct"/>
            <w:gridSpan w:val="2"/>
            <w:vAlign w:val="center"/>
          </w:tcPr>
          <w:p w14:paraId="4E628757">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99</w:t>
            </w:r>
          </w:p>
        </w:tc>
        <w:tc>
          <w:tcPr>
            <w:tcW w:w="285" w:type="pct"/>
            <w:gridSpan w:val="2"/>
            <w:vAlign w:val="center"/>
          </w:tcPr>
          <w:p w14:paraId="44C5C2A1">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179</w:t>
            </w:r>
          </w:p>
        </w:tc>
        <w:tc>
          <w:tcPr>
            <w:tcW w:w="358" w:type="pct"/>
            <w:gridSpan w:val="2"/>
            <w:vAlign w:val="center"/>
          </w:tcPr>
          <w:p w14:paraId="74499CBA">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102</w:t>
            </w:r>
          </w:p>
          <w:p w14:paraId="72761AA2">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bCs/>
                <w:sz w:val="21"/>
                <w:szCs w:val="21"/>
                <w:highlight w:val="none"/>
              </w:rPr>
            </w:pPr>
            <w:r>
              <w:rPr>
                <w:rFonts w:hint="eastAsia" w:ascii="Times New Roman" w:hAnsi="Times New Roman" w:cs="Times New Roman" w:eastAsiaTheme="minorEastAsia"/>
                <w:bCs/>
                <w:sz w:val="21"/>
                <w:szCs w:val="21"/>
                <w:highlight w:val="none"/>
              </w:rPr>
              <w:t>91</w:t>
            </w:r>
          </w:p>
          <w:p w14:paraId="0CBA34CB">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bCs/>
                <w:sz w:val="21"/>
                <w:szCs w:val="21"/>
                <w:highlight w:val="none"/>
              </w:rPr>
            </w:pPr>
            <w:r>
              <w:rPr>
                <w:rFonts w:hint="eastAsia" w:ascii="Times New Roman" w:hAnsi="Times New Roman" w:cs="Times New Roman" w:eastAsiaTheme="minorEastAsia"/>
                <w:bCs/>
                <w:sz w:val="21"/>
                <w:szCs w:val="21"/>
                <w:highlight w:val="none"/>
              </w:rPr>
              <w:t>90</w:t>
            </w:r>
          </w:p>
          <w:p w14:paraId="2D5927BA">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99</w:t>
            </w:r>
          </w:p>
        </w:tc>
        <w:tc>
          <w:tcPr>
            <w:tcW w:w="358" w:type="pct"/>
            <w:gridSpan w:val="2"/>
            <w:vAlign w:val="center"/>
          </w:tcPr>
          <w:p w14:paraId="3DA73A76">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39.8</w:t>
            </w:r>
          </w:p>
          <w:p w14:paraId="709FDE23">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40.8</w:t>
            </w:r>
          </w:p>
          <w:p w14:paraId="5941FD7B">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40.9</w:t>
            </w:r>
          </w:p>
          <w:p w14:paraId="4E06EB0F">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40.1</w:t>
            </w:r>
          </w:p>
        </w:tc>
        <w:tc>
          <w:tcPr>
            <w:tcW w:w="253" w:type="pct"/>
            <w:gridSpan w:val="2"/>
            <w:vAlign w:val="center"/>
          </w:tcPr>
          <w:p w14:paraId="1979FF66">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连续</w:t>
            </w:r>
          </w:p>
        </w:tc>
        <w:tc>
          <w:tcPr>
            <w:tcW w:w="358" w:type="pct"/>
            <w:gridSpan w:val="2"/>
            <w:vAlign w:val="center"/>
          </w:tcPr>
          <w:p w14:paraId="3E69E61D">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20</w:t>
            </w:r>
          </w:p>
        </w:tc>
        <w:tc>
          <w:tcPr>
            <w:tcW w:w="359" w:type="pct"/>
            <w:gridSpan w:val="2"/>
            <w:vAlign w:val="center"/>
          </w:tcPr>
          <w:p w14:paraId="48EC842F">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19.8</w:t>
            </w:r>
          </w:p>
          <w:p w14:paraId="427019BB">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20.8</w:t>
            </w:r>
          </w:p>
          <w:p w14:paraId="795967B8">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20.9</w:t>
            </w:r>
          </w:p>
          <w:p w14:paraId="750C0E97">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20.1</w:t>
            </w:r>
          </w:p>
        </w:tc>
        <w:tc>
          <w:tcPr>
            <w:tcW w:w="358" w:type="pct"/>
            <w:vAlign w:val="center"/>
          </w:tcPr>
          <w:p w14:paraId="4E229C82">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1m</w:t>
            </w:r>
          </w:p>
        </w:tc>
      </w:tr>
      <w:tr w14:paraId="318231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6" w:type="pct"/>
            <w:vAlign w:val="center"/>
          </w:tcPr>
          <w:p w14:paraId="603CDE3F">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33</w:t>
            </w:r>
          </w:p>
        </w:tc>
        <w:tc>
          <w:tcPr>
            <w:tcW w:w="249" w:type="pct"/>
            <w:vMerge w:val="continue"/>
            <w:vAlign w:val="center"/>
          </w:tcPr>
          <w:p w14:paraId="61EC1EFF">
            <w:pPr>
              <w:keepNext w:val="0"/>
              <w:keepLines w:val="0"/>
              <w:widowControl/>
              <w:suppressLineNumbers w:val="0"/>
              <w:spacing w:before="0" w:beforeAutospacing="0" w:after="0" w:afterAutospacing="0" w:line="0" w:lineRule="atLeast"/>
              <w:ind w:left="0" w:right="0"/>
              <w:contextualSpacing/>
              <w:jc w:val="center"/>
              <w:textAlignment w:val="center"/>
              <w:rPr>
                <w:rFonts w:hint="default" w:ascii="Times New Roman" w:hAnsi="Times New Roman" w:cs="Times New Roman" w:eastAsiaTheme="minorEastAsia"/>
                <w:color w:val="auto"/>
                <w:kern w:val="0"/>
                <w:sz w:val="21"/>
                <w:szCs w:val="21"/>
                <w:highlight w:val="none"/>
                <w:lang w:val="en-US" w:eastAsia="zh-CN" w:bidi="ar-SA"/>
              </w:rPr>
            </w:pPr>
          </w:p>
        </w:tc>
        <w:tc>
          <w:tcPr>
            <w:tcW w:w="305" w:type="pct"/>
            <w:vAlign w:val="center"/>
          </w:tcPr>
          <w:p w14:paraId="7290E760">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cs="Times New Roman" w:hAnsiTheme="minorEastAsia" w:eastAsiaTheme="minorEastAsia"/>
                <w:sz w:val="21"/>
                <w:szCs w:val="21"/>
                <w:highlight w:val="none"/>
              </w:rPr>
              <w:t>热试台架</w:t>
            </w:r>
            <w:r>
              <w:rPr>
                <w:rFonts w:hint="eastAsia" w:ascii="Times New Roman" w:cs="Times New Roman" w:hAnsiTheme="minorEastAsia" w:eastAsiaTheme="minorEastAsia"/>
                <w:sz w:val="21"/>
                <w:szCs w:val="21"/>
                <w:highlight w:val="none"/>
              </w:rPr>
              <w:t>9#</w:t>
            </w:r>
          </w:p>
        </w:tc>
        <w:tc>
          <w:tcPr>
            <w:tcW w:w="627" w:type="pct"/>
            <w:gridSpan w:val="3"/>
            <w:vAlign w:val="center"/>
          </w:tcPr>
          <w:p w14:paraId="3EB864EE">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w:t>
            </w:r>
          </w:p>
        </w:tc>
        <w:tc>
          <w:tcPr>
            <w:tcW w:w="391" w:type="pct"/>
            <w:gridSpan w:val="2"/>
            <w:vAlign w:val="center"/>
          </w:tcPr>
          <w:p w14:paraId="0CB5549C">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napToGrid w:val="0"/>
                <w:sz w:val="21"/>
                <w:szCs w:val="21"/>
                <w:highlight w:val="none"/>
              </w:rPr>
            </w:pPr>
            <w:r>
              <w:rPr>
                <w:rFonts w:hint="eastAsia" w:ascii="Times New Roman" w:hAnsi="Times New Roman" w:cs="Times New Roman" w:eastAsiaTheme="minorEastAsia"/>
                <w:snapToGrid w:val="0"/>
                <w:sz w:val="21"/>
                <w:szCs w:val="21"/>
                <w:highlight w:val="none"/>
              </w:rPr>
              <w:t>80</w:t>
            </w:r>
          </w:p>
        </w:tc>
        <w:tc>
          <w:tcPr>
            <w:tcW w:w="273" w:type="pct"/>
            <w:gridSpan w:val="2"/>
            <w:vMerge w:val="continue"/>
            <w:vAlign w:val="center"/>
          </w:tcPr>
          <w:p w14:paraId="0B414CF4">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p>
        </w:tc>
        <w:tc>
          <w:tcPr>
            <w:tcW w:w="358" w:type="pct"/>
            <w:gridSpan w:val="2"/>
            <w:vAlign w:val="center"/>
          </w:tcPr>
          <w:p w14:paraId="107BB3B9">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93</w:t>
            </w:r>
          </w:p>
        </w:tc>
        <w:tc>
          <w:tcPr>
            <w:tcW w:w="306" w:type="pct"/>
            <w:gridSpan w:val="2"/>
            <w:vAlign w:val="center"/>
          </w:tcPr>
          <w:p w14:paraId="36D77A7B">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99</w:t>
            </w:r>
          </w:p>
        </w:tc>
        <w:tc>
          <w:tcPr>
            <w:tcW w:w="285" w:type="pct"/>
            <w:gridSpan w:val="2"/>
            <w:vAlign w:val="center"/>
          </w:tcPr>
          <w:p w14:paraId="4E940DF8">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179</w:t>
            </w:r>
          </w:p>
        </w:tc>
        <w:tc>
          <w:tcPr>
            <w:tcW w:w="358" w:type="pct"/>
            <w:gridSpan w:val="2"/>
            <w:vAlign w:val="center"/>
          </w:tcPr>
          <w:p w14:paraId="7F51CFA6">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99</w:t>
            </w:r>
          </w:p>
          <w:p w14:paraId="565D91FB">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bCs/>
                <w:sz w:val="21"/>
                <w:szCs w:val="21"/>
                <w:highlight w:val="none"/>
              </w:rPr>
            </w:pPr>
            <w:r>
              <w:rPr>
                <w:rFonts w:hint="eastAsia" w:ascii="Times New Roman" w:hAnsi="Times New Roman" w:cs="Times New Roman" w:eastAsiaTheme="minorEastAsia"/>
                <w:bCs/>
                <w:sz w:val="21"/>
                <w:szCs w:val="21"/>
                <w:highlight w:val="none"/>
              </w:rPr>
              <w:t>91</w:t>
            </w:r>
          </w:p>
          <w:p w14:paraId="6031AE35">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bCs/>
                <w:sz w:val="21"/>
                <w:szCs w:val="21"/>
                <w:highlight w:val="none"/>
              </w:rPr>
            </w:pPr>
            <w:r>
              <w:rPr>
                <w:rFonts w:hint="eastAsia" w:ascii="Times New Roman" w:hAnsi="Times New Roman" w:cs="Times New Roman" w:eastAsiaTheme="minorEastAsia"/>
                <w:bCs/>
                <w:sz w:val="21"/>
                <w:szCs w:val="21"/>
                <w:highlight w:val="none"/>
              </w:rPr>
              <w:t>93</w:t>
            </w:r>
          </w:p>
          <w:p w14:paraId="7172BE90">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bCs/>
                <w:sz w:val="21"/>
                <w:szCs w:val="21"/>
                <w:highlight w:val="none"/>
              </w:rPr>
            </w:pPr>
            <w:r>
              <w:rPr>
                <w:rFonts w:hint="eastAsia" w:ascii="Times New Roman" w:hAnsi="Times New Roman" w:cs="Times New Roman" w:eastAsiaTheme="minorEastAsia"/>
                <w:bCs/>
                <w:sz w:val="21"/>
                <w:szCs w:val="21"/>
                <w:highlight w:val="none"/>
              </w:rPr>
              <w:t>99</w:t>
            </w:r>
          </w:p>
        </w:tc>
        <w:tc>
          <w:tcPr>
            <w:tcW w:w="358" w:type="pct"/>
            <w:gridSpan w:val="2"/>
            <w:vAlign w:val="center"/>
          </w:tcPr>
          <w:p w14:paraId="0C4E0024">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40.1</w:t>
            </w:r>
          </w:p>
          <w:p w14:paraId="6C77FA3A">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40.8</w:t>
            </w:r>
          </w:p>
          <w:p w14:paraId="3709541B">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40.6</w:t>
            </w:r>
          </w:p>
          <w:p w14:paraId="4D9CD076">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40.1</w:t>
            </w:r>
          </w:p>
        </w:tc>
        <w:tc>
          <w:tcPr>
            <w:tcW w:w="253" w:type="pct"/>
            <w:gridSpan w:val="2"/>
            <w:vAlign w:val="center"/>
          </w:tcPr>
          <w:p w14:paraId="30C00CD1">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连续</w:t>
            </w:r>
          </w:p>
        </w:tc>
        <w:tc>
          <w:tcPr>
            <w:tcW w:w="358" w:type="pct"/>
            <w:gridSpan w:val="2"/>
            <w:vAlign w:val="center"/>
          </w:tcPr>
          <w:p w14:paraId="2FC38DC7">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20</w:t>
            </w:r>
          </w:p>
        </w:tc>
        <w:tc>
          <w:tcPr>
            <w:tcW w:w="359" w:type="pct"/>
            <w:gridSpan w:val="2"/>
            <w:vAlign w:val="center"/>
          </w:tcPr>
          <w:p w14:paraId="27769CAB">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20.1</w:t>
            </w:r>
          </w:p>
          <w:p w14:paraId="78EBE350">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20.8</w:t>
            </w:r>
          </w:p>
          <w:p w14:paraId="6ADAC3BA">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20.6</w:t>
            </w:r>
          </w:p>
          <w:p w14:paraId="2414C29F">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20.1</w:t>
            </w:r>
          </w:p>
        </w:tc>
        <w:tc>
          <w:tcPr>
            <w:tcW w:w="358" w:type="pct"/>
            <w:vAlign w:val="center"/>
          </w:tcPr>
          <w:p w14:paraId="50430EBC">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1m</w:t>
            </w:r>
          </w:p>
        </w:tc>
      </w:tr>
      <w:tr w14:paraId="358B1B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6" w:type="pct"/>
            <w:vAlign w:val="center"/>
          </w:tcPr>
          <w:p w14:paraId="2E09AC33">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34</w:t>
            </w:r>
          </w:p>
        </w:tc>
        <w:tc>
          <w:tcPr>
            <w:tcW w:w="249" w:type="pct"/>
            <w:vMerge w:val="continue"/>
            <w:vAlign w:val="center"/>
          </w:tcPr>
          <w:p w14:paraId="7D48F64B">
            <w:pPr>
              <w:keepNext w:val="0"/>
              <w:keepLines w:val="0"/>
              <w:widowControl/>
              <w:suppressLineNumbers w:val="0"/>
              <w:spacing w:before="0" w:beforeAutospacing="0" w:after="0" w:afterAutospacing="0" w:line="0" w:lineRule="atLeast"/>
              <w:ind w:left="0" w:right="0"/>
              <w:contextualSpacing/>
              <w:jc w:val="center"/>
              <w:textAlignment w:val="center"/>
              <w:rPr>
                <w:rFonts w:hint="default" w:ascii="Times New Roman" w:hAnsi="Times New Roman" w:cs="Times New Roman" w:eastAsiaTheme="minorEastAsia"/>
                <w:color w:val="auto"/>
                <w:kern w:val="0"/>
                <w:sz w:val="21"/>
                <w:szCs w:val="21"/>
                <w:highlight w:val="none"/>
                <w:lang w:val="en-US" w:eastAsia="zh-CN" w:bidi="ar-SA"/>
              </w:rPr>
            </w:pPr>
          </w:p>
        </w:tc>
        <w:tc>
          <w:tcPr>
            <w:tcW w:w="305" w:type="pct"/>
            <w:vAlign w:val="center"/>
          </w:tcPr>
          <w:p w14:paraId="181D249D">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cs="Times New Roman" w:hAnsiTheme="minorEastAsia" w:eastAsiaTheme="minorEastAsia"/>
                <w:sz w:val="21"/>
                <w:szCs w:val="21"/>
                <w:highlight w:val="none"/>
              </w:rPr>
            </w:pPr>
            <w:r>
              <w:rPr>
                <w:rFonts w:hint="default" w:ascii="Times New Roman" w:cs="Times New Roman" w:hAnsiTheme="minorEastAsia" w:eastAsiaTheme="minorEastAsia"/>
                <w:sz w:val="21"/>
                <w:szCs w:val="21"/>
                <w:highlight w:val="none"/>
              </w:rPr>
              <w:t>热试台架</w:t>
            </w:r>
            <w:r>
              <w:rPr>
                <w:rFonts w:hint="eastAsia" w:ascii="Times New Roman" w:cs="Times New Roman" w:hAnsiTheme="minorEastAsia" w:eastAsiaTheme="minorEastAsia"/>
                <w:sz w:val="21"/>
                <w:szCs w:val="21"/>
                <w:highlight w:val="none"/>
              </w:rPr>
              <w:t>10#</w:t>
            </w:r>
          </w:p>
        </w:tc>
        <w:tc>
          <w:tcPr>
            <w:tcW w:w="627" w:type="pct"/>
            <w:gridSpan w:val="3"/>
            <w:vAlign w:val="center"/>
          </w:tcPr>
          <w:p w14:paraId="28B459E1">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kern w:val="0"/>
                <w:sz w:val="21"/>
                <w:szCs w:val="21"/>
                <w:highlight w:val="none"/>
              </w:rPr>
              <w:t>/</w:t>
            </w:r>
          </w:p>
        </w:tc>
        <w:tc>
          <w:tcPr>
            <w:tcW w:w="391" w:type="pct"/>
            <w:gridSpan w:val="2"/>
            <w:vAlign w:val="center"/>
          </w:tcPr>
          <w:p w14:paraId="558A8D12">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napToGrid w:val="0"/>
                <w:sz w:val="21"/>
                <w:szCs w:val="21"/>
                <w:highlight w:val="none"/>
              </w:rPr>
            </w:pPr>
            <w:r>
              <w:rPr>
                <w:rFonts w:hint="eastAsia" w:ascii="Times New Roman" w:hAnsi="Times New Roman" w:cs="Times New Roman" w:eastAsiaTheme="minorEastAsia"/>
                <w:snapToGrid w:val="0"/>
                <w:sz w:val="21"/>
                <w:szCs w:val="21"/>
                <w:highlight w:val="none"/>
              </w:rPr>
              <w:t>80</w:t>
            </w:r>
          </w:p>
        </w:tc>
        <w:tc>
          <w:tcPr>
            <w:tcW w:w="273" w:type="pct"/>
            <w:gridSpan w:val="2"/>
            <w:vMerge w:val="continue"/>
            <w:vAlign w:val="center"/>
          </w:tcPr>
          <w:p w14:paraId="7BF0C1AD">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p>
        </w:tc>
        <w:tc>
          <w:tcPr>
            <w:tcW w:w="358" w:type="pct"/>
            <w:gridSpan w:val="2"/>
            <w:vAlign w:val="center"/>
          </w:tcPr>
          <w:p w14:paraId="753FFE4D">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93</w:t>
            </w:r>
          </w:p>
        </w:tc>
        <w:tc>
          <w:tcPr>
            <w:tcW w:w="306" w:type="pct"/>
            <w:gridSpan w:val="2"/>
            <w:vAlign w:val="center"/>
          </w:tcPr>
          <w:p w14:paraId="47563E96">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99</w:t>
            </w:r>
          </w:p>
        </w:tc>
        <w:tc>
          <w:tcPr>
            <w:tcW w:w="285" w:type="pct"/>
            <w:gridSpan w:val="2"/>
            <w:vAlign w:val="center"/>
          </w:tcPr>
          <w:p w14:paraId="08BB4F45">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179</w:t>
            </w:r>
          </w:p>
        </w:tc>
        <w:tc>
          <w:tcPr>
            <w:tcW w:w="358" w:type="pct"/>
            <w:gridSpan w:val="2"/>
            <w:vAlign w:val="center"/>
          </w:tcPr>
          <w:p w14:paraId="348D96CA">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99</w:t>
            </w:r>
          </w:p>
          <w:p w14:paraId="374DF3EF">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bCs/>
                <w:sz w:val="21"/>
                <w:szCs w:val="21"/>
                <w:highlight w:val="none"/>
              </w:rPr>
            </w:pPr>
            <w:r>
              <w:rPr>
                <w:rFonts w:hint="eastAsia" w:ascii="Times New Roman" w:hAnsi="Times New Roman" w:cs="Times New Roman" w:eastAsiaTheme="minorEastAsia"/>
                <w:bCs/>
                <w:sz w:val="21"/>
                <w:szCs w:val="21"/>
                <w:highlight w:val="none"/>
              </w:rPr>
              <w:t>91</w:t>
            </w:r>
          </w:p>
          <w:p w14:paraId="03D9E9A6">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bCs/>
                <w:sz w:val="21"/>
                <w:szCs w:val="21"/>
                <w:highlight w:val="none"/>
              </w:rPr>
            </w:pPr>
            <w:r>
              <w:rPr>
                <w:rFonts w:hint="eastAsia" w:ascii="Times New Roman" w:hAnsi="Times New Roman" w:cs="Times New Roman" w:eastAsiaTheme="minorEastAsia"/>
                <w:bCs/>
                <w:sz w:val="21"/>
                <w:szCs w:val="21"/>
                <w:highlight w:val="none"/>
              </w:rPr>
              <w:t>93</w:t>
            </w:r>
          </w:p>
          <w:p w14:paraId="06635796">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99</w:t>
            </w:r>
          </w:p>
        </w:tc>
        <w:tc>
          <w:tcPr>
            <w:tcW w:w="358" w:type="pct"/>
            <w:gridSpan w:val="2"/>
            <w:vAlign w:val="center"/>
          </w:tcPr>
          <w:p w14:paraId="31BBB487">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40.1</w:t>
            </w:r>
          </w:p>
          <w:p w14:paraId="727E751B">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40.8</w:t>
            </w:r>
          </w:p>
          <w:p w14:paraId="4132193F">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40.6</w:t>
            </w:r>
          </w:p>
          <w:p w14:paraId="187AAAC3">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40.1</w:t>
            </w:r>
          </w:p>
        </w:tc>
        <w:tc>
          <w:tcPr>
            <w:tcW w:w="253" w:type="pct"/>
            <w:gridSpan w:val="2"/>
            <w:vAlign w:val="center"/>
          </w:tcPr>
          <w:p w14:paraId="04BAE44C">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连续</w:t>
            </w:r>
          </w:p>
        </w:tc>
        <w:tc>
          <w:tcPr>
            <w:tcW w:w="358" w:type="pct"/>
            <w:gridSpan w:val="2"/>
            <w:vAlign w:val="center"/>
          </w:tcPr>
          <w:p w14:paraId="15858328">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20</w:t>
            </w:r>
          </w:p>
        </w:tc>
        <w:tc>
          <w:tcPr>
            <w:tcW w:w="359" w:type="pct"/>
            <w:gridSpan w:val="2"/>
            <w:vAlign w:val="center"/>
          </w:tcPr>
          <w:p w14:paraId="08E10A6D">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20.1</w:t>
            </w:r>
          </w:p>
          <w:p w14:paraId="253B64AE">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20.8</w:t>
            </w:r>
          </w:p>
          <w:p w14:paraId="6157F3CA">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20.6</w:t>
            </w:r>
          </w:p>
          <w:p w14:paraId="0E9082AA">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20.1</w:t>
            </w:r>
          </w:p>
        </w:tc>
        <w:tc>
          <w:tcPr>
            <w:tcW w:w="358" w:type="pct"/>
            <w:vAlign w:val="center"/>
          </w:tcPr>
          <w:p w14:paraId="768DD713">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1m</w:t>
            </w:r>
          </w:p>
        </w:tc>
      </w:tr>
      <w:tr w14:paraId="5B79C1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2"/>
          <w:wAfter w:w="368" w:type="pct"/>
          <w:jc w:val="center"/>
        </w:trPr>
        <w:tc>
          <w:tcPr>
            <w:tcW w:w="156" w:type="pct"/>
            <w:vAlign w:val="center"/>
          </w:tcPr>
          <w:p w14:paraId="5FC1E68B">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35</w:t>
            </w:r>
          </w:p>
        </w:tc>
        <w:tc>
          <w:tcPr>
            <w:tcW w:w="249" w:type="pct"/>
            <w:vMerge w:val="restart"/>
            <w:vAlign w:val="center"/>
          </w:tcPr>
          <w:p w14:paraId="51713121">
            <w:pPr>
              <w:keepNext w:val="0"/>
              <w:keepLines w:val="0"/>
              <w:widowControl/>
              <w:suppressLineNumbers w:val="0"/>
              <w:spacing w:before="0" w:beforeAutospacing="0" w:after="0" w:afterAutospacing="0" w:line="0" w:lineRule="atLeast"/>
              <w:ind w:left="0" w:right="0"/>
              <w:contextualSpacing/>
              <w:jc w:val="center"/>
              <w:textAlignment w:val="center"/>
              <w:rPr>
                <w:rFonts w:hint="default" w:ascii="Times New Roman" w:hAnsi="Times New Roman" w:cs="Times New Roman" w:eastAsiaTheme="minorEastAsia"/>
                <w:color w:val="auto"/>
                <w:kern w:val="0"/>
                <w:sz w:val="21"/>
                <w:szCs w:val="21"/>
                <w:highlight w:val="none"/>
                <w:lang w:val="en-US" w:eastAsia="zh-CN" w:bidi="ar-SA"/>
              </w:rPr>
            </w:pPr>
            <w:r>
              <w:rPr>
                <w:rFonts w:hint="default" w:ascii="Times New Roman" w:cs="Times New Roman" w:hAnsiTheme="minorEastAsia" w:eastAsiaTheme="minorEastAsia"/>
                <w:color w:val="auto"/>
                <w:kern w:val="0"/>
                <w:sz w:val="21"/>
                <w:szCs w:val="21"/>
                <w:highlight w:val="none"/>
                <w:lang w:val="en-US" w:eastAsia="zh-CN" w:bidi="ar-SA"/>
              </w:rPr>
              <w:t>试装区域</w:t>
            </w:r>
          </w:p>
        </w:tc>
        <w:tc>
          <w:tcPr>
            <w:tcW w:w="337" w:type="pct"/>
            <w:gridSpan w:val="2"/>
            <w:vAlign w:val="center"/>
          </w:tcPr>
          <w:p w14:paraId="6C37C576">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cs="Times New Roman" w:hAnsiTheme="minorEastAsia" w:eastAsiaTheme="minorEastAsia"/>
                <w:sz w:val="21"/>
                <w:szCs w:val="21"/>
                <w:highlight w:val="none"/>
              </w:rPr>
              <w:t>热试台架</w:t>
            </w:r>
            <w:r>
              <w:rPr>
                <w:rFonts w:hint="eastAsia" w:ascii="Times New Roman" w:cs="Times New Roman" w:hAnsiTheme="minorEastAsia" w:eastAsiaTheme="minorEastAsia"/>
                <w:sz w:val="21"/>
                <w:szCs w:val="21"/>
                <w:highlight w:val="none"/>
              </w:rPr>
              <w:t>11#</w:t>
            </w:r>
          </w:p>
        </w:tc>
        <w:tc>
          <w:tcPr>
            <w:tcW w:w="483" w:type="pct"/>
            <w:vAlign w:val="center"/>
          </w:tcPr>
          <w:p w14:paraId="27263D9D">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kern w:val="0"/>
                <w:sz w:val="21"/>
                <w:szCs w:val="21"/>
                <w:highlight w:val="none"/>
              </w:rPr>
              <w:t>/</w:t>
            </w:r>
          </w:p>
        </w:tc>
        <w:tc>
          <w:tcPr>
            <w:tcW w:w="402" w:type="pct"/>
            <w:gridSpan w:val="2"/>
            <w:vAlign w:val="center"/>
          </w:tcPr>
          <w:p w14:paraId="1D20359F">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napToGrid w:val="0"/>
                <w:sz w:val="21"/>
                <w:szCs w:val="21"/>
                <w:highlight w:val="none"/>
              </w:rPr>
            </w:pPr>
            <w:r>
              <w:rPr>
                <w:rFonts w:hint="eastAsia" w:ascii="Times New Roman" w:hAnsi="Times New Roman" w:cs="Times New Roman" w:eastAsiaTheme="minorEastAsia"/>
                <w:snapToGrid w:val="0"/>
                <w:sz w:val="21"/>
                <w:szCs w:val="21"/>
                <w:highlight w:val="none"/>
              </w:rPr>
              <w:t>80</w:t>
            </w:r>
          </w:p>
        </w:tc>
        <w:tc>
          <w:tcPr>
            <w:tcW w:w="282" w:type="pct"/>
            <w:gridSpan w:val="2"/>
            <w:vMerge w:val="restart"/>
            <w:vAlign w:val="center"/>
          </w:tcPr>
          <w:p w14:paraId="33CC6635">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基础减振、厂房隔声措施</w:t>
            </w:r>
          </w:p>
        </w:tc>
        <w:tc>
          <w:tcPr>
            <w:tcW w:w="368" w:type="pct"/>
            <w:gridSpan w:val="2"/>
            <w:vAlign w:val="center"/>
          </w:tcPr>
          <w:p w14:paraId="45F3CBFD">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96</w:t>
            </w:r>
          </w:p>
        </w:tc>
        <w:tc>
          <w:tcPr>
            <w:tcW w:w="317" w:type="pct"/>
            <w:gridSpan w:val="2"/>
            <w:vAlign w:val="center"/>
          </w:tcPr>
          <w:p w14:paraId="01367478">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99</w:t>
            </w:r>
          </w:p>
        </w:tc>
        <w:tc>
          <w:tcPr>
            <w:tcW w:w="295" w:type="pct"/>
            <w:gridSpan w:val="2"/>
            <w:vAlign w:val="center"/>
          </w:tcPr>
          <w:p w14:paraId="2D7B8725">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179</w:t>
            </w:r>
          </w:p>
        </w:tc>
        <w:tc>
          <w:tcPr>
            <w:tcW w:w="368" w:type="pct"/>
            <w:gridSpan w:val="2"/>
            <w:vAlign w:val="center"/>
          </w:tcPr>
          <w:p w14:paraId="7A33F4D3">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96</w:t>
            </w:r>
          </w:p>
          <w:p w14:paraId="46714BC1">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bCs/>
                <w:sz w:val="21"/>
                <w:szCs w:val="21"/>
                <w:highlight w:val="none"/>
              </w:rPr>
            </w:pPr>
            <w:r>
              <w:rPr>
                <w:rFonts w:hint="eastAsia" w:ascii="Times New Roman" w:hAnsi="Times New Roman" w:cs="Times New Roman" w:eastAsiaTheme="minorEastAsia"/>
                <w:bCs/>
                <w:sz w:val="21"/>
                <w:szCs w:val="21"/>
                <w:highlight w:val="none"/>
              </w:rPr>
              <w:t>93</w:t>
            </w:r>
          </w:p>
          <w:p w14:paraId="6BD0193A">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bCs/>
                <w:sz w:val="21"/>
                <w:szCs w:val="21"/>
                <w:highlight w:val="none"/>
              </w:rPr>
            </w:pPr>
            <w:r>
              <w:rPr>
                <w:rFonts w:hint="eastAsia" w:ascii="Times New Roman" w:hAnsi="Times New Roman" w:cs="Times New Roman" w:eastAsiaTheme="minorEastAsia"/>
                <w:bCs/>
                <w:sz w:val="21"/>
                <w:szCs w:val="21"/>
                <w:highlight w:val="none"/>
              </w:rPr>
              <w:t>96</w:t>
            </w:r>
          </w:p>
          <w:p w14:paraId="75D9A679">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bCs/>
                <w:sz w:val="21"/>
                <w:szCs w:val="21"/>
                <w:highlight w:val="none"/>
              </w:rPr>
            </w:pPr>
            <w:r>
              <w:rPr>
                <w:rFonts w:hint="eastAsia" w:ascii="Times New Roman" w:hAnsi="Times New Roman" w:cs="Times New Roman" w:eastAsiaTheme="minorEastAsia"/>
                <w:bCs/>
                <w:sz w:val="21"/>
                <w:szCs w:val="21"/>
                <w:highlight w:val="none"/>
              </w:rPr>
              <w:t>99</w:t>
            </w:r>
          </w:p>
        </w:tc>
        <w:tc>
          <w:tcPr>
            <w:tcW w:w="368" w:type="pct"/>
            <w:gridSpan w:val="2"/>
            <w:vAlign w:val="center"/>
          </w:tcPr>
          <w:p w14:paraId="01222DA8">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40.4</w:t>
            </w:r>
          </w:p>
          <w:p w14:paraId="1521F179">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40.6</w:t>
            </w:r>
          </w:p>
          <w:p w14:paraId="32F1C216">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40.4</w:t>
            </w:r>
          </w:p>
          <w:p w14:paraId="1BEFDB53">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val="0"/>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40.1</w:t>
            </w:r>
          </w:p>
        </w:tc>
        <w:tc>
          <w:tcPr>
            <w:tcW w:w="263" w:type="pct"/>
            <w:gridSpan w:val="2"/>
            <w:vAlign w:val="center"/>
          </w:tcPr>
          <w:p w14:paraId="5B509F3F">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连续</w:t>
            </w:r>
          </w:p>
        </w:tc>
        <w:tc>
          <w:tcPr>
            <w:tcW w:w="368" w:type="pct"/>
            <w:gridSpan w:val="2"/>
            <w:vAlign w:val="center"/>
          </w:tcPr>
          <w:p w14:paraId="4373F146">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20</w:t>
            </w:r>
          </w:p>
        </w:tc>
        <w:tc>
          <w:tcPr>
            <w:tcW w:w="370" w:type="pct"/>
            <w:gridSpan w:val="2"/>
            <w:vAlign w:val="center"/>
          </w:tcPr>
          <w:p w14:paraId="4EF197F2">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20.4</w:t>
            </w:r>
          </w:p>
          <w:p w14:paraId="5FBCFE25">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20.6</w:t>
            </w:r>
          </w:p>
          <w:p w14:paraId="73F0BAE5">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20.4</w:t>
            </w:r>
          </w:p>
          <w:p w14:paraId="02CD6EE0">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val="0"/>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20.1</w:t>
            </w:r>
          </w:p>
        </w:tc>
      </w:tr>
      <w:tr w14:paraId="3E196A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2"/>
          <w:wAfter w:w="368" w:type="pct"/>
          <w:jc w:val="center"/>
        </w:trPr>
        <w:tc>
          <w:tcPr>
            <w:tcW w:w="156" w:type="pct"/>
            <w:vAlign w:val="center"/>
          </w:tcPr>
          <w:p w14:paraId="0D66E44F">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36</w:t>
            </w:r>
          </w:p>
        </w:tc>
        <w:tc>
          <w:tcPr>
            <w:tcW w:w="249" w:type="pct"/>
            <w:vMerge w:val="continue"/>
            <w:vAlign w:val="center"/>
          </w:tcPr>
          <w:p w14:paraId="43A1BC3A">
            <w:pPr>
              <w:keepNext w:val="0"/>
              <w:keepLines w:val="0"/>
              <w:widowControl/>
              <w:suppressLineNumbers w:val="0"/>
              <w:spacing w:before="0" w:beforeAutospacing="0" w:after="0" w:afterAutospacing="0" w:line="0" w:lineRule="atLeast"/>
              <w:ind w:left="0" w:right="0"/>
              <w:contextualSpacing/>
              <w:jc w:val="center"/>
              <w:textAlignment w:val="center"/>
              <w:rPr>
                <w:rFonts w:hint="default" w:ascii="Times New Roman" w:hAnsi="Times New Roman" w:cs="Times New Roman" w:eastAsiaTheme="minorEastAsia"/>
                <w:color w:val="auto"/>
                <w:kern w:val="0"/>
                <w:sz w:val="21"/>
                <w:szCs w:val="21"/>
                <w:highlight w:val="none"/>
                <w:lang w:val="en-US" w:eastAsia="zh-CN" w:bidi="ar-SA"/>
              </w:rPr>
            </w:pPr>
          </w:p>
        </w:tc>
        <w:tc>
          <w:tcPr>
            <w:tcW w:w="337" w:type="pct"/>
            <w:gridSpan w:val="2"/>
            <w:vAlign w:val="center"/>
          </w:tcPr>
          <w:p w14:paraId="38CAEAAE">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cs="Times New Roman" w:hAnsiTheme="minorEastAsia" w:eastAsiaTheme="minorEastAsia"/>
                <w:sz w:val="21"/>
                <w:szCs w:val="21"/>
                <w:highlight w:val="none"/>
              </w:rPr>
            </w:pPr>
            <w:r>
              <w:rPr>
                <w:rFonts w:hint="default" w:ascii="Times New Roman" w:cs="Times New Roman" w:hAnsiTheme="minorEastAsia" w:eastAsiaTheme="minorEastAsia"/>
                <w:sz w:val="21"/>
                <w:szCs w:val="21"/>
                <w:highlight w:val="none"/>
              </w:rPr>
              <w:t>热试台架</w:t>
            </w:r>
            <w:r>
              <w:rPr>
                <w:rFonts w:hint="eastAsia" w:ascii="Times New Roman" w:cs="Times New Roman" w:hAnsiTheme="minorEastAsia" w:eastAsiaTheme="minorEastAsia"/>
                <w:sz w:val="21"/>
                <w:szCs w:val="21"/>
                <w:highlight w:val="none"/>
              </w:rPr>
              <w:t>12#</w:t>
            </w:r>
          </w:p>
        </w:tc>
        <w:tc>
          <w:tcPr>
            <w:tcW w:w="483" w:type="pct"/>
            <w:vAlign w:val="center"/>
          </w:tcPr>
          <w:p w14:paraId="576B64E7">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w:t>
            </w:r>
          </w:p>
        </w:tc>
        <w:tc>
          <w:tcPr>
            <w:tcW w:w="402" w:type="pct"/>
            <w:gridSpan w:val="2"/>
            <w:vAlign w:val="center"/>
          </w:tcPr>
          <w:p w14:paraId="5C3F2DD4">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napToGrid w:val="0"/>
                <w:sz w:val="21"/>
                <w:szCs w:val="21"/>
                <w:highlight w:val="none"/>
              </w:rPr>
            </w:pPr>
            <w:r>
              <w:rPr>
                <w:rFonts w:hint="eastAsia" w:ascii="Times New Roman" w:hAnsi="Times New Roman" w:cs="Times New Roman" w:eastAsiaTheme="minorEastAsia"/>
                <w:snapToGrid w:val="0"/>
                <w:sz w:val="21"/>
                <w:szCs w:val="21"/>
                <w:highlight w:val="none"/>
              </w:rPr>
              <w:t>80</w:t>
            </w:r>
          </w:p>
        </w:tc>
        <w:tc>
          <w:tcPr>
            <w:tcW w:w="282" w:type="pct"/>
            <w:gridSpan w:val="2"/>
            <w:vMerge w:val="continue"/>
            <w:vAlign w:val="center"/>
          </w:tcPr>
          <w:p w14:paraId="5957C63F">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p>
        </w:tc>
        <w:tc>
          <w:tcPr>
            <w:tcW w:w="368" w:type="pct"/>
            <w:gridSpan w:val="2"/>
            <w:vAlign w:val="center"/>
          </w:tcPr>
          <w:p w14:paraId="1BAB9130">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96</w:t>
            </w:r>
          </w:p>
        </w:tc>
        <w:tc>
          <w:tcPr>
            <w:tcW w:w="317" w:type="pct"/>
            <w:gridSpan w:val="2"/>
            <w:vAlign w:val="center"/>
          </w:tcPr>
          <w:p w14:paraId="336E3E6D">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99</w:t>
            </w:r>
          </w:p>
        </w:tc>
        <w:tc>
          <w:tcPr>
            <w:tcW w:w="295" w:type="pct"/>
            <w:gridSpan w:val="2"/>
            <w:vAlign w:val="center"/>
          </w:tcPr>
          <w:p w14:paraId="63A5BAEA">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179</w:t>
            </w:r>
          </w:p>
        </w:tc>
        <w:tc>
          <w:tcPr>
            <w:tcW w:w="368" w:type="pct"/>
            <w:gridSpan w:val="2"/>
            <w:vAlign w:val="center"/>
          </w:tcPr>
          <w:p w14:paraId="1F3C06C2">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96</w:t>
            </w:r>
          </w:p>
          <w:p w14:paraId="03C03114">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eastAsia="宋体" w:cs="Times New Roman"/>
                <w:sz w:val="21"/>
                <w:highlight w:val="none"/>
              </w:rPr>
            </w:pPr>
            <w:r>
              <w:rPr>
                <w:rFonts w:hint="eastAsia" w:ascii="Times New Roman" w:hAnsi="Times New Roman" w:eastAsia="宋体" w:cs="Times New Roman"/>
                <w:sz w:val="21"/>
                <w:highlight w:val="none"/>
              </w:rPr>
              <w:t>93</w:t>
            </w:r>
          </w:p>
          <w:p w14:paraId="3DFF0020">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eastAsia="宋体" w:cs="Times New Roman"/>
                <w:sz w:val="21"/>
                <w:highlight w:val="none"/>
              </w:rPr>
            </w:pPr>
            <w:r>
              <w:rPr>
                <w:rFonts w:hint="eastAsia" w:ascii="Times New Roman" w:hAnsi="Times New Roman" w:eastAsia="宋体" w:cs="Times New Roman"/>
                <w:sz w:val="21"/>
                <w:highlight w:val="none"/>
              </w:rPr>
              <w:t>96</w:t>
            </w:r>
          </w:p>
          <w:p w14:paraId="5666ADDA">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99</w:t>
            </w:r>
          </w:p>
        </w:tc>
        <w:tc>
          <w:tcPr>
            <w:tcW w:w="368" w:type="pct"/>
            <w:gridSpan w:val="2"/>
            <w:vAlign w:val="center"/>
          </w:tcPr>
          <w:p w14:paraId="3DAFE442">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40.4</w:t>
            </w:r>
          </w:p>
          <w:p w14:paraId="36D3891D">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40.6</w:t>
            </w:r>
          </w:p>
          <w:p w14:paraId="01432D86">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40.4</w:t>
            </w:r>
          </w:p>
          <w:p w14:paraId="41E88D06">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40.1</w:t>
            </w:r>
          </w:p>
        </w:tc>
        <w:tc>
          <w:tcPr>
            <w:tcW w:w="263" w:type="pct"/>
            <w:gridSpan w:val="2"/>
            <w:vAlign w:val="center"/>
          </w:tcPr>
          <w:p w14:paraId="282FB05B">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连续</w:t>
            </w:r>
          </w:p>
        </w:tc>
        <w:tc>
          <w:tcPr>
            <w:tcW w:w="368" w:type="pct"/>
            <w:gridSpan w:val="2"/>
            <w:vAlign w:val="center"/>
          </w:tcPr>
          <w:p w14:paraId="5A899865">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default" w:ascii="Times New Roman" w:hAnsi="Times New Roman" w:cs="Times New Roman" w:eastAsiaTheme="minorEastAsia"/>
                <w:b w:val="0"/>
                <w:bCs/>
                <w:kern w:val="2"/>
                <w:sz w:val="21"/>
                <w:szCs w:val="21"/>
                <w:highlight w:val="none"/>
                <w:lang w:val="en-US" w:eastAsia="zh-CN" w:bidi="ar-SA"/>
              </w:rPr>
              <w:t>20</w:t>
            </w:r>
          </w:p>
        </w:tc>
        <w:tc>
          <w:tcPr>
            <w:tcW w:w="370" w:type="pct"/>
            <w:gridSpan w:val="2"/>
            <w:vAlign w:val="center"/>
          </w:tcPr>
          <w:p w14:paraId="0577E69D">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20.4</w:t>
            </w:r>
          </w:p>
          <w:p w14:paraId="3A8DAF54">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20.6</w:t>
            </w:r>
          </w:p>
          <w:p w14:paraId="059B3A51">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20.4</w:t>
            </w:r>
          </w:p>
          <w:p w14:paraId="10B74992">
            <w:pPr>
              <w:keepNext w:val="0"/>
              <w:keepLines w:val="0"/>
              <w:widowControl w:val="0"/>
              <w:suppressLineNumbers w:val="0"/>
              <w:spacing w:before="0" w:beforeAutospacing="0" w:after="0" w:afterAutospacing="0" w:line="0" w:lineRule="atLeast"/>
              <w:ind w:left="0" w:right="0"/>
              <w:contextualSpacing/>
              <w:jc w:val="center"/>
              <w:outlineLvl w:val="9"/>
              <w:rPr>
                <w:rFonts w:hint="default" w:ascii="Times New Roman" w:hAnsi="Times New Roman" w:cs="Times New Roman" w:eastAsiaTheme="minorEastAsia"/>
                <w:b w:val="0"/>
                <w:bCs/>
                <w:kern w:val="2"/>
                <w:sz w:val="21"/>
                <w:szCs w:val="21"/>
                <w:highlight w:val="none"/>
                <w:lang w:val="en-US" w:eastAsia="zh-CN" w:bidi="ar-SA"/>
              </w:rPr>
            </w:pPr>
            <w:r>
              <w:rPr>
                <w:rFonts w:hint="eastAsia" w:ascii="Times New Roman" w:hAnsi="Times New Roman" w:cs="Times New Roman" w:eastAsiaTheme="minorEastAsia"/>
                <w:b w:val="0"/>
                <w:bCs/>
                <w:kern w:val="2"/>
                <w:sz w:val="21"/>
                <w:szCs w:val="21"/>
                <w:highlight w:val="none"/>
                <w:lang w:val="en-US" w:eastAsia="zh-CN" w:bidi="ar-SA"/>
              </w:rPr>
              <w:t>20.1</w:t>
            </w:r>
          </w:p>
        </w:tc>
      </w:tr>
    </w:tbl>
    <w:p w14:paraId="4D5EAB71">
      <w:pPr>
        <w:pStyle w:val="732"/>
        <w:adjustRightInd/>
        <w:snapToGrid/>
        <w:ind w:firstLine="480"/>
        <w:rPr>
          <w:rFonts w:cs="Times New Roman" w:eastAsiaTheme="minorEastAsia"/>
          <w:highlight w:val="none"/>
        </w:rPr>
        <w:sectPr>
          <w:pgSz w:w="16838" w:h="11906" w:orient="landscape"/>
          <w:pgMar w:top="1800" w:right="1440" w:bottom="1800" w:left="1440" w:header="851" w:footer="992" w:gutter="0"/>
          <w:pgBorders w:offsetFrom="page">
            <w:top w:val="none" w:sz="0" w:space="0"/>
            <w:left w:val="none" w:sz="0" w:space="0"/>
            <w:bottom w:val="none" w:sz="0" w:space="0"/>
            <w:right w:val="none" w:sz="0" w:space="0"/>
          </w:pgBorders>
          <w:cols w:space="425" w:num="1"/>
          <w:docGrid w:type="lines" w:linePitch="312" w:charSpace="0"/>
        </w:sectPr>
      </w:pPr>
    </w:p>
    <w:p w14:paraId="221573AA">
      <w:pPr>
        <w:bidi w:val="0"/>
        <w:rPr>
          <w:rFonts w:eastAsiaTheme="minorEastAsia"/>
          <w:sz w:val="24"/>
          <w:szCs w:val="24"/>
          <w:highlight w:val="none"/>
        </w:rPr>
      </w:pPr>
      <w:r>
        <w:rPr>
          <w:rFonts w:asciiTheme="minorEastAsia" w:hAnsiTheme="minorEastAsia" w:eastAsiaTheme="minorEastAsia"/>
          <w:sz w:val="24"/>
          <w:szCs w:val="24"/>
          <w:highlight w:val="none"/>
        </w:rPr>
        <w:t>②</w:t>
      </w:r>
      <w:r>
        <w:rPr>
          <w:rFonts w:hAnsiTheme="minorEastAsia" w:eastAsiaTheme="minorEastAsia"/>
          <w:sz w:val="24"/>
          <w:szCs w:val="24"/>
          <w:highlight w:val="none"/>
        </w:rPr>
        <w:t>环境数据</w:t>
      </w:r>
    </w:p>
    <w:p w14:paraId="5A7F63AC">
      <w:pPr>
        <w:pStyle w:val="44"/>
        <w:spacing w:after="0"/>
        <w:ind w:left="0" w:leftChars="0" w:firstLine="480"/>
        <w:rPr>
          <w:rFonts w:ascii="Times New Roman" w:hAnsi="Times New Roman" w:cs="Times New Roman"/>
          <w:sz w:val="24"/>
          <w:highlight w:val="none"/>
        </w:rPr>
      </w:pPr>
      <w:r>
        <w:rPr>
          <w:rFonts w:ascii="Times New Roman" w:cs="Times New Roman" w:hAnsiTheme="minorEastAsia"/>
          <w:sz w:val="24"/>
          <w:highlight w:val="none"/>
        </w:rPr>
        <w:t>本项目噪声环境影响预测基础数据见下表。</w:t>
      </w:r>
    </w:p>
    <w:p w14:paraId="2551B367">
      <w:pPr>
        <w:pStyle w:val="7"/>
        <w:bidi w:val="0"/>
        <w:rPr>
          <w:highlight w:val="none"/>
        </w:rPr>
      </w:pPr>
      <w:r>
        <w:rPr>
          <w:highlight w:val="none"/>
        </w:rPr>
        <w:t>表5-2-</w:t>
      </w:r>
      <w:r>
        <w:rPr>
          <w:rFonts w:hint="eastAsia"/>
          <w:highlight w:val="none"/>
          <w:lang w:val="en-US" w:eastAsia="zh-CN"/>
        </w:rPr>
        <w:t>17</w:t>
      </w:r>
      <w:r>
        <w:rPr>
          <w:highlight w:val="none"/>
        </w:rPr>
        <w:t>本项目噪声环境影响预测基础数据表</w:t>
      </w:r>
      <w:bookmarkStart w:id="451" w:name="PT_4"/>
    </w:p>
    <w:tbl>
      <w:tblPr>
        <w:tblStyle w:val="45"/>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65"/>
        <w:gridCol w:w="2791"/>
        <w:gridCol w:w="2130"/>
        <w:gridCol w:w="2131"/>
      </w:tblGrid>
      <w:tr w14:paraId="3FC4C9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860" w:type="pct"/>
            <w:tcBorders>
              <w:tl2br w:val="nil"/>
              <w:tr2bl w:val="nil"/>
            </w:tcBorders>
            <w:vAlign w:val="center"/>
          </w:tcPr>
          <w:p w14:paraId="5D6AB987">
            <w:pPr>
              <w:pStyle w:val="8"/>
              <w:suppressLineNumbers w:val="0"/>
              <w:bidi w:val="0"/>
              <w:spacing w:before="0" w:beforeAutospacing="0" w:after="0" w:afterAutospacing="0"/>
              <w:ind w:left="0" w:right="0"/>
              <w:rPr>
                <w:rFonts w:hint="default"/>
                <w:highlight w:val="none"/>
              </w:rPr>
            </w:pPr>
            <w:r>
              <w:rPr>
                <w:rFonts w:hint="default"/>
                <w:highlight w:val="none"/>
              </w:rPr>
              <w:t>序号</w:t>
            </w:r>
          </w:p>
        </w:tc>
        <w:tc>
          <w:tcPr>
            <w:tcW w:w="1638" w:type="pct"/>
            <w:tcBorders>
              <w:tl2br w:val="nil"/>
              <w:tr2bl w:val="nil"/>
            </w:tcBorders>
            <w:vAlign w:val="center"/>
          </w:tcPr>
          <w:p w14:paraId="1D7BA4D4">
            <w:pPr>
              <w:pStyle w:val="8"/>
              <w:suppressLineNumbers w:val="0"/>
              <w:bidi w:val="0"/>
              <w:spacing w:before="0" w:beforeAutospacing="0" w:after="0" w:afterAutospacing="0"/>
              <w:ind w:left="0" w:right="0"/>
              <w:rPr>
                <w:rFonts w:hint="default"/>
                <w:highlight w:val="none"/>
              </w:rPr>
            </w:pPr>
            <w:r>
              <w:rPr>
                <w:rFonts w:hint="default"/>
                <w:highlight w:val="none"/>
              </w:rPr>
              <w:t>名称</w:t>
            </w:r>
          </w:p>
        </w:tc>
        <w:tc>
          <w:tcPr>
            <w:tcW w:w="1250" w:type="pct"/>
            <w:tcBorders>
              <w:tl2br w:val="nil"/>
              <w:tr2bl w:val="nil"/>
            </w:tcBorders>
            <w:vAlign w:val="center"/>
          </w:tcPr>
          <w:p w14:paraId="2D2B7390">
            <w:pPr>
              <w:pStyle w:val="8"/>
              <w:suppressLineNumbers w:val="0"/>
              <w:bidi w:val="0"/>
              <w:spacing w:before="0" w:beforeAutospacing="0" w:after="0" w:afterAutospacing="0"/>
              <w:ind w:left="0" w:right="0"/>
              <w:rPr>
                <w:rFonts w:hint="default"/>
                <w:highlight w:val="none"/>
              </w:rPr>
            </w:pPr>
            <w:r>
              <w:rPr>
                <w:rFonts w:hint="default"/>
                <w:highlight w:val="none"/>
              </w:rPr>
              <w:t>单位</w:t>
            </w:r>
          </w:p>
        </w:tc>
        <w:tc>
          <w:tcPr>
            <w:tcW w:w="1250" w:type="pct"/>
            <w:tcBorders>
              <w:tl2br w:val="nil"/>
              <w:tr2bl w:val="nil"/>
            </w:tcBorders>
            <w:vAlign w:val="center"/>
          </w:tcPr>
          <w:p w14:paraId="2599166E">
            <w:pPr>
              <w:pStyle w:val="8"/>
              <w:suppressLineNumbers w:val="0"/>
              <w:bidi w:val="0"/>
              <w:spacing w:before="0" w:beforeAutospacing="0" w:after="0" w:afterAutospacing="0"/>
              <w:ind w:left="0" w:right="0"/>
              <w:rPr>
                <w:rFonts w:hint="default"/>
                <w:highlight w:val="none"/>
              </w:rPr>
            </w:pPr>
            <w:r>
              <w:rPr>
                <w:rFonts w:hint="default"/>
                <w:highlight w:val="none"/>
              </w:rPr>
              <w:t>数据</w:t>
            </w:r>
          </w:p>
        </w:tc>
      </w:tr>
      <w:tr w14:paraId="72225E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860" w:type="pct"/>
            <w:tcBorders>
              <w:tl2br w:val="nil"/>
              <w:tr2bl w:val="nil"/>
            </w:tcBorders>
            <w:shd w:val="clear" w:color="auto" w:fill="FFFFFF"/>
            <w:vAlign w:val="center"/>
          </w:tcPr>
          <w:p w14:paraId="6A84937B">
            <w:pPr>
              <w:pStyle w:val="8"/>
              <w:suppressLineNumbers w:val="0"/>
              <w:bidi w:val="0"/>
              <w:spacing w:before="0" w:beforeAutospacing="0" w:after="0" w:afterAutospacing="0"/>
              <w:ind w:left="0" w:right="0"/>
              <w:rPr>
                <w:rFonts w:hint="default"/>
                <w:highlight w:val="none"/>
              </w:rPr>
            </w:pPr>
            <w:r>
              <w:rPr>
                <w:rFonts w:hint="default"/>
                <w:highlight w:val="none"/>
              </w:rPr>
              <w:t>1</w:t>
            </w:r>
          </w:p>
        </w:tc>
        <w:tc>
          <w:tcPr>
            <w:tcW w:w="1638" w:type="pct"/>
            <w:tcBorders>
              <w:tl2br w:val="nil"/>
              <w:tr2bl w:val="nil"/>
            </w:tcBorders>
            <w:shd w:val="clear" w:color="auto" w:fill="FFFFFF"/>
            <w:vAlign w:val="center"/>
          </w:tcPr>
          <w:p w14:paraId="28F6CF72">
            <w:pPr>
              <w:pStyle w:val="8"/>
              <w:suppressLineNumbers w:val="0"/>
              <w:bidi w:val="0"/>
              <w:spacing w:before="0" w:beforeAutospacing="0" w:after="0" w:afterAutospacing="0"/>
              <w:ind w:left="0" w:right="0"/>
              <w:rPr>
                <w:rFonts w:hint="default"/>
                <w:highlight w:val="none"/>
              </w:rPr>
            </w:pPr>
            <w:r>
              <w:rPr>
                <w:rFonts w:hint="default"/>
                <w:highlight w:val="none"/>
              </w:rPr>
              <w:t>年平均风速</w:t>
            </w:r>
          </w:p>
        </w:tc>
        <w:tc>
          <w:tcPr>
            <w:tcW w:w="1250" w:type="pct"/>
            <w:tcBorders>
              <w:tl2br w:val="nil"/>
              <w:tr2bl w:val="nil"/>
            </w:tcBorders>
            <w:shd w:val="clear" w:color="auto" w:fill="FFFFFF"/>
            <w:vAlign w:val="center"/>
          </w:tcPr>
          <w:p w14:paraId="7EE8D549">
            <w:pPr>
              <w:pStyle w:val="8"/>
              <w:suppressLineNumbers w:val="0"/>
              <w:bidi w:val="0"/>
              <w:spacing w:before="0" w:beforeAutospacing="0" w:after="0" w:afterAutospacing="0"/>
              <w:ind w:left="0" w:right="0"/>
              <w:rPr>
                <w:rFonts w:hint="default"/>
                <w:highlight w:val="none"/>
              </w:rPr>
            </w:pPr>
            <w:r>
              <w:rPr>
                <w:rFonts w:hint="default"/>
                <w:highlight w:val="none"/>
              </w:rPr>
              <w:t>m/s</w:t>
            </w:r>
          </w:p>
        </w:tc>
        <w:tc>
          <w:tcPr>
            <w:tcW w:w="1250" w:type="pct"/>
            <w:tcBorders>
              <w:tl2br w:val="nil"/>
              <w:tr2bl w:val="nil"/>
            </w:tcBorders>
            <w:shd w:val="clear" w:color="auto" w:fill="FFFFFF"/>
            <w:vAlign w:val="center"/>
          </w:tcPr>
          <w:p w14:paraId="51DDC52F">
            <w:pPr>
              <w:pStyle w:val="8"/>
              <w:suppressLineNumbers w:val="0"/>
              <w:bidi w:val="0"/>
              <w:spacing w:before="0" w:beforeAutospacing="0" w:after="0" w:afterAutospacing="0"/>
              <w:ind w:left="0" w:right="0"/>
              <w:rPr>
                <w:rFonts w:hint="default"/>
                <w:highlight w:val="none"/>
              </w:rPr>
            </w:pPr>
            <w:r>
              <w:rPr>
                <w:rFonts w:hint="default"/>
                <w:highlight w:val="none"/>
              </w:rPr>
              <w:t>2.6</w:t>
            </w:r>
          </w:p>
        </w:tc>
      </w:tr>
      <w:tr w14:paraId="1CA18A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860" w:type="pct"/>
            <w:tcBorders>
              <w:tl2br w:val="nil"/>
              <w:tr2bl w:val="nil"/>
            </w:tcBorders>
            <w:shd w:val="clear" w:color="auto" w:fill="FFFFFF"/>
            <w:vAlign w:val="center"/>
          </w:tcPr>
          <w:p w14:paraId="28BB3284">
            <w:pPr>
              <w:pStyle w:val="8"/>
              <w:suppressLineNumbers w:val="0"/>
              <w:bidi w:val="0"/>
              <w:spacing w:before="0" w:beforeAutospacing="0" w:after="0" w:afterAutospacing="0"/>
              <w:ind w:left="0" w:right="0"/>
              <w:rPr>
                <w:rFonts w:hint="default"/>
                <w:highlight w:val="none"/>
              </w:rPr>
            </w:pPr>
            <w:r>
              <w:rPr>
                <w:rFonts w:hint="default"/>
                <w:highlight w:val="none"/>
              </w:rPr>
              <w:t>2</w:t>
            </w:r>
          </w:p>
        </w:tc>
        <w:tc>
          <w:tcPr>
            <w:tcW w:w="1638" w:type="pct"/>
            <w:tcBorders>
              <w:tl2br w:val="nil"/>
              <w:tr2bl w:val="nil"/>
            </w:tcBorders>
            <w:shd w:val="clear" w:color="auto" w:fill="FFFFFF"/>
            <w:vAlign w:val="center"/>
          </w:tcPr>
          <w:p w14:paraId="6B90A4EE">
            <w:pPr>
              <w:pStyle w:val="8"/>
              <w:suppressLineNumbers w:val="0"/>
              <w:bidi w:val="0"/>
              <w:spacing w:before="0" w:beforeAutospacing="0" w:after="0" w:afterAutospacing="0"/>
              <w:ind w:left="0" w:right="0"/>
              <w:rPr>
                <w:rFonts w:hint="default"/>
                <w:highlight w:val="none"/>
              </w:rPr>
            </w:pPr>
            <w:r>
              <w:rPr>
                <w:rFonts w:hint="default"/>
                <w:highlight w:val="none"/>
              </w:rPr>
              <w:t>主导风向</w:t>
            </w:r>
          </w:p>
        </w:tc>
        <w:tc>
          <w:tcPr>
            <w:tcW w:w="1250" w:type="pct"/>
            <w:tcBorders>
              <w:tl2br w:val="nil"/>
              <w:tr2bl w:val="nil"/>
            </w:tcBorders>
            <w:shd w:val="clear" w:color="auto" w:fill="FFFFFF"/>
            <w:vAlign w:val="center"/>
          </w:tcPr>
          <w:p w14:paraId="68EDB75C">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1250" w:type="pct"/>
            <w:tcBorders>
              <w:tl2br w:val="nil"/>
              <w:tr2bl w:val="nil"/>
            </w:tcBorders>
            <w:shd w:val="clear" w:color="auto" w:fill="FFFFFF"/>
            <w:vAlign w:val="center"/>
          </w:tcPr>
          <w:p w14:paraId="4942B203">
            <w:pPr>
              <w:pStyle w:val="8"/>
              <w:suppressLineNumbers w:val="0"/>
              <w:bidi w:val="0"/>
              <w:spacing w:before="0" w:beforeAutospacing="0" w:after="0" w:afterAutospacing="0"/>
              <w:ind w:left="0" w:right="0"/>
              <w:rPr>
                <w:rFonts w:hint="default"/>
                <w:highlight w:val="none"/>
              </w:rPr>
            </w:pPr>
            <w:r>
              <w:rPr>
                <w:rFonts w:hint="default"/>
                <w:highlight w:val="none"/>
              </w:rPr>
              <w:t>SW</w:t>
            </w:r>
          </w:p>
        </w:tc>
      </w:tr>
      <w:tr w14:paraId="52F202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860" w:type="pct"/>
            <w:tcBorders>
              <w:tl2br w:val="nil"/>
              <w:tr2bl w:val="nil"/>
            </w:tcBorders>
            <w:shd w:val="clear" w:color="auto" w:fill="FFFFFF"/>
            <w:vAlign w:val="center"/>
          </w:tcPr>
          <w:p w14:paraId="575CCB5B">
            <w:pPr>
              <w:pStyle w:val="8"/>
              <w:suppressLineNumbers w:val="0"/>
              <w:bidi w:val="0"/>
              <w:spacing w:before="0" w:beforeAutospacing="0" w:after="0" w:afterAutospacing="0"/>
              <w:ind w:left="0" w:right="0"/>
              <w:rPr>
                <w:rFonts w:hint="default"/>
                <w:highlight w:val="none"/>
              </w:rPr>
            </w:pPr>
            <w:r>
              <w:rPr>
                <w:rFonts w:hint="default"/>
                <w:highlight w:val="none"/>
              </w:rPr>
              <w:t>3</w:t>
            </w:r>
          </w:p>
        </w:tc>
        <w:tc>
          <w:tcPr>
            <w:tcW w:w="1638" w:type="pct"/>
            <w:tcBorders>
              <w:tl2br w:val="nil"/>
              <w:tr2bl w:val="nil"/>
            </w:tcBorders>
            <w:shd w:val="clear" w:color="auto" w:fill="FFFFFF"/>
            <w:vAlign w:val="center"/>
          </w:tcPr>
          <w:p w14:paraId="5F79C496">
            <w:pPr>
              <w:pStyle w:val="8"/>
              <w:suppressLineNumbers w:val="0"/>
              <w:bidi w:val="0"/>
              <w:spacing w:before="0" w:beforeAutospacing="0" w:after="0" w:afterAutospacing="0"/>
              <w:ind w:left="0" w:right="0"/>
              <w:rPr>
                <w:rFonts w:hint="default"/>
                <w:highlight w:val="none"/>
              </w:rPr>
            </w:pPr>
            <w:r>
              <w:rPr>
                <w:rFonts w:hint="default"/>
                <w:highlight w:val="none"/>
              </w:rPr>
              <w:t>年平均气温</w:t>
            </w:r>
          </w:p>
        </w:tc>
        <w:tc>
          <w:tcPr>
            <w:tcW w:w="1250" w:type="pct"/>
            <w:tcBorders>
              <w:tl2br w:val="nil"/>
              <w:tr2bl w:val="nil"/>
            </w:tcBorders>
            <w:shd w:val="clear" w:color="auto" w:fill="FFFFFF"/>
            <w:vAlign w:val="center"/>
          </w:tcPr>
          <w:p w14:paraId="62B8F12F">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1250" w:type="pct"/>
            <w:tcBorders>
              <w:tl2br w:val="nil"/>
              <w:tr2bl w:val="nil"/>
            </w:tcBorders>
            <w:shd w:val="clear" w:color="auto" w:fill="FFFFFF"/>
            <w:vAlign w:val="center"/>
          </w:tcPr>
          <w:p w14:paraId="7D78C8F7">
            <w:pPr>
              <w:pStyle w:val="8"/>
              <w:suppressLineNumbers w:val="0"/>
              <w:bidi w:val="0"/>
              <w:spacing w:before="0" w:beforeAutospacing="0" w:after="0" w:afterAutospacing="0"/>
              <w:ind w:left="0" w:right="0"/>
              <w:rPr>
                <w:rFonts w:hint="default"/>
                <w:highlight w:val="none"/>
              </w:rPr>
            </w:pPr>
            <w:r>
              <w:rPr>
                <w:rFonts w:hint="default"/>
                <w:highlight w:val="none"/>
              </w:rPr>
              <w:t>4.2</w:t>
            </w:r>
          </w:p>
        </w:tc>
      </w:tr>
      <w:tr w14:paraId="2764F6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860" w:type="pct"/>
            <w:tcBorders>
              <w:tl2br w:val="nil"/>
              <w:tr2bl w:val="nil"/>
            </w:tcBorders>
            <w:shd w:val="clear" w:color="auto" w:fill="FFFFFF"/>
            <w:vAlign w:val="center"/>
          </w:tcPr>
          <w:p w14:paraId="3C55ABD8">
            <w:pPr>
              <w:pStyle w:val="8"/>
              <w:suppressLineNumbers w:val="0"/>
              <w:bidi w:val="0"/>
              <w:spacing w:before="0" w:beforeAutospacing="0" w:after="0" w:afterAutospacing="0"/>
              <w:ind w:left="0" w:right="0"/>
              <w:rPr>
                <w:rFonts w:hint="default"/>
                <w:highlight w:val="none"/>
              </w:rPr>
            </w:pPr>
            <w:r>
              <w:rPr>
                <w:rFonts w:hint="default"/>
                <w:highlight w:val="none"/>
              </w:rPr>
              <w:t>4</w:t>
            </w:r>
          </w:p>
        </w:tc>
        <w:tc>
          <w:tcPr>
            <w:tcW w:w="1638" w:type="pct"/>
            <w:tcBorders>
              <w:tl2br w:val="nil"/>
              <w:tr2bl w:val="nil"/>
            </w:tcBorders>
            <w:shd w:val="clear" w:color="auto" w:fill="FFFFFF"/>
            <w:vAlign w:val="center"/>
          </w:tcPr>
          <w:p w14:paraId="19CBBCAE">
            <w:pPr>
              <w:pStyle w:val="8"/>
              <w:suppressLineNumbers w:val="0"/>
              <w:bidi w:val="0"/>
              <w:spacing w:before="0" w:beforeAutospacing="0" w:after="0" w:afterAutospacing="0"/>
              <w:ind w:left="0" w:right="0"/>
              <w:rPr>
                <w:rFonts w:hint="default"/>
                <w:highlight w:val="none"/>
              </w:rPr>
            </w:pPr>
            <w:r>
              <w:rPr>
                <w:rFonts w:hint="default"/>
                <w:highlight w:val="none"/>
              </w:rPr>
              <w:t>年平均相对湿度</w:t>
            </w:r>
          </w:p>
        </w:tc>
        <w:tc>
          <w:tcPr>
            <w:tcW w:w="1250" w:type="pct"/>
            <w:tcBorders>
              <w:tl2br w:val="nil"/>
              <w:tr2bl w:val="nil"/>
            </w:tcBorders>
            <w:shd w:val="clear" w:color="auto" w:fill="FFFFFF"/>
            <w:vAlign w:val="center"/>
          </w:tcPr>
          <w:p w14:paraId="70F8E1F6">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1250" w:type="pct"/>
            <w:tcBorders>
              <w:tl2br w:val="nil"/>
              <w:tr2bl w:val="nil"/>
            </w:tcBorders>
            <w:shd w:val="clear" w:color="auto" w:fill="FFFFFF"/>
            <w:vAlign w:val="center"/>
          </w:tcPr>
          <w:p w14:paraId="18E578F3">
            <w:pPr>
              <w:pStyle w:val="8"/>
              <w:suppressLineNumbers w:val="0"/>
              <w:bidi w:val="0"/>
              <w:spacing w:before="0" w:beforeAutospacing="0" w:after="0" w:afterAutospacing="0"/>
              <w:ind w:left="0" w:right="0"/>
              <w:rPr>
                <w:rFonts w:hint="default"/>
                <w:highlight w:val="none"/>
              </w:rPr>
            </w:pPr>
            <w:r>
              <w:rPr>
                <w:rFonts w:hint="default"/>
                <w:highlight w:val="none"/>
              </w:rPr>
              <w:t>65</w:t>
            </w:r>
          </w:p>
        </w:tc>
      </w:tr>
      <w:tr w14:paraId="36D789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860" w:type="pct"/>
            <w:tcBorders>
              <w:tl2br w:val="nil"/>
              <w:tr2bl w:val="nil"/>
            </w:tcBorders>
            <w:shd w:val="clear" w:color="auto" w:fill="FFFFFF"/>
            <w:vAlign w:val="center"/>
          </w:tcPr>
          <w:p w14:paraId="14870E08">
            <w:pPr>
              <w:pStyle w:val="8"/>
              <w:suppressLineNumbers w:val="0"/>
              <w:bidi w:val="0"/>
              <w:spacing w:before="0" w:beforeAutospacing="0" w:after="0" w:afterAutospacing="0"/>
              <w:ind w:left="0" w:right="0"/>
              <w:rPr>
                <w:rFonts w:hint="default"/>
                <w:highlight w:val="none"/>
              </w:rPr>
            </w:pPr>
            <w:r>
              <w:rPr>
                <w:rFonts w:hint="default"/>
                <w:highlight w:val="none"/>
              </w:rPr>
              <w:t>5</w:t>
            </w:r>
          </w:p>
        </w:tc>
        <w:tc>
          <w:tcPr>
            <w:tcW w:w="1638" w:type="pct"/>
            <w:tcBorders>
              <w:tl2br w:val="nil"/>
              <w:tr2bl w:val="nil"/>
            </w:tcBorders>
            <w:shd w:val="clear" w:color="auto" w:fill="FFFFFF"/>
            <w:vAlign w:val="center"/>
          </w:tcPr>
          <w:p w14:paraId="328F87BF">
            <w:pPr>
              <w:pStyle w:val="8"/>
              <w:suppressLineNumbers w:val="0"/>
              <w:bidi w:val="0"/>
              <w:spacing w:before="0" w:beforeAutospacing="0" w:after="0" w:afterAutospacing="0"/>
              <w:ind w:left="0" w:right="0"/>
              <w:rPr>
                <w:rFonts w:hint="default"/>
                <w:highlight w:val="none"/>
              </w:rPr>
            </w:pPr>
            <w:r>
              <w:rPr>
                <w:rFonts w:hint="default"/>
                <w:highlight w:val="none"/>
              </w:rPr>
              <w:t>大气压强</w:t>
            </w:r>
          </w:p>
        </w:tc>
        <w:tc>
          <w:tcPr>
            <w:tcW w:w="1250" w:type="pct"/>
            <w:tcBorders>
              <w:tl2br w:val="nil"/>
              <w:tr2bl w:val="nil"/>
            </w:tcBorders>
            <w:shd w:val="clear" w:color="auto" w:fill="FFFFFF"/>
            <w:vAlign w:val="center"/>
          </w:tcPr>
          <w:p w14:paraId="1E3F0E55">
            <w:pPr>
              <w:pStyle w:val="8"/>
              <w:suppressLineNumbers w:val="0"/>
              <w:bidi w:val="0"/>
              <w:spacing w:before="0" w:beforeAutospacing="0" w:after="0" w:afterAutospacing="0"/>
              <w:ind w:left="0" w:right="0"/>
              <w:rPr>
                <w:rFonts w:hint="default"/>
                <w:highlight w:val="none"/>
              </w:rPr>
            </w:pPr>
            <w:r>
              <w:rPr>
                <w:rFonts w:hint="default"/>
                <w:highlight w:val="none"/>
              </w:rPr>
              <w:t>hPa</w:t>
            </w:r>
          </w:p>
        </w:tc>
        <w:tc>
          <w:tcPr>
            <w:tcW w:w="1250" w:type="pct"/>
            <w:tcBorders>
              <w:tl2br w:val="nil"/>
              <w:tr2bl w:val="nil"/>
            </w:tcBorders>
            <w:shd w:val="clear" w:color="auto" w:fill="FFFFFF"/>
            <w:vAlign w:val="center"/>
          </w:tcPr>
          <w:p w14:paraId="63BCD1EC">
            <w:pPr>
              <w:pStyle w:val="8"/>
              <w:suppressLineNumbers w:val="0"/>
              <w:bidi w:val="0"/>
              <w:spacing w:before="0" w:beforeAutospacing="0" w:after="0" w:afterAutospacing="0"/>
              <w:ind w:left="0" w:right="0"/>
              <w:rPr>
                <w:rFonts w:hint="default"/>
                <w:highlight w:val="none"/>
              </w:rPr>
            </w:pPr>
            <w:r>
              <w:rPr>
                <w:rFonts w:hint="default"/>
                <w:highlight w:val="none"/>
              </w:rPr>
              <w:t>989.0</w:t>
            </w:r>
          </w:p>
        </w:tc>
      </w:tr>
      <w:bookmarkEnd w:id="451"/>
    </w:tbl>
    <w:p w14:paraId="4FDA188F">
      <w:pPr>
        <w:pStyle w:val="6"/>
        <w:bidi w:val="0"/>
        <w:rPr>
          <w:highlight w:val="none"/>
        </w:rPr>
      </w:pPr>
      <w:r>
        <w:rPr>
          <w:highlight w:val="none"/>
        </w:rPr>
        <w:t>5.2.4.2预测模式</w:t>
      </w:r>
    </w:p>
    <w:p w14:paraId="01CEC32E">
      <w:pPr>
        <w:bidi w:val="0"/>
        <w:rPr>
          <w:rFonts w:eastAsiaTheme="minorEastAsia"/>
          <w:position w:val="-28"/>
          <w:sz w:val="24"/>
          <w:szCs w:val="24"/>
          <w:highlight w:val="none"/>
        </w:rPr>
      </w:pPr>
      <w:r>
        <w:rPr>
          <w:rFonts w:asciiTheme="minorEastAsia" w:hAnsiTheme="minorEastAsia" w:eastAsiaTheme="minorEastAsia"/>
          <w:sz w:val="24"/>
          <w:szCs w:val="24"/>
          <w:highlight w:val="none"/>
        </w:rPr>
        <w:t>①</w:t>
      </w:r>
      <w:r>
        <w:rPr>
          <w:rFonts w:hAnsiTheme="minorEastAsia" w:eastAsiaTheme="minorEastAsia"/>
          <w:sz w:val="24"/>
          <w:szCs w:val="24"/>
          <w:highlight w:val="none"/>
        </w:rPr>
        <w:t>某一室内声源靠近围护结构处产生的倍频带声压级</w:t>
      </w:r>
    </w:p>
    <w:p w14:paraId="1284254D">
      <w:pPr>
        <w:pStyle w:val="746"/>
        <w:spacing w:line="360" w:lineRule="auto"/>
        <w:ind w:left="1320" w:hanging="1320" w:hangingChars="550"/>
        <w:jc w:val="center"/>
        <w:textAlignment w:val="center"/>
        <w:rPr>
          <w:rFonts w:eastAsiaTheme="minorEastAsia"/>
          <w:sz w:val="24"/>
          <w:szCs w:val="24"/>
          <w:highlight w:val="none"/>
        </w:rPr>
      </w:pPr>
      <w:r>
        <w:rPr>
          <w:rFonts w:eastAsiaTheme="minorEastAsia"/>
          <w:position w:val="-28"/>
          <w:sz w:val="24"/>
          <w:szCs w:val="24"/>
          <w:highlight w:val="none"/>
        </w:rPr>
        <w:object>
          <v:shape id="_x0000_i1035" o:spt="75" type="#_x0000_t75" style="height:41.45pt;width:171.65pt;" o:ole="t" filled="f" coordsize="21600,21600">
            <v:path/>
            <v:fill on="f" focussize="0,0"/>
            <v:stroke/>
            <v:imagedata r:id="rId84" o:title=""/>
            <o:lock v:ext="edit" aspectratio="t"/>
            <w10:wrap type="none"/>
            <w10:anchorlock/>
          </v:shape>
          <o:OLEObject Type="Embed" ProgID="Equation.3" ShapeID="_x0000_i1035" DrawAspect="Content" ObjectID="_1468075736" r:id="rId83">
            <o:LockedField>false</o:LockedField>
          </o:OLEObject>
        </w:object>
      </w:r>
    </w:p>
    <w:p w14:paraId="4DD4CED6">
      <w:pPr>
        <w:pStyle w:val="746"/>
        <w:spacing w:line="360" w:lineRule="auto"/>
        <w:ind w:left="1320" w:hanging="1320" w:hangingChars="550"/>
        <w:textAlignment w:val="center"/>
        <w:rPr>
          <w:rFonts w:eastAsiaTheme="minorEastAsia"/>
          <w:sz w:val="24"/>
          <w:szCs w:val="24"/>
          <w:highlight w:val="none"/>
        </w:rPr>
      </w:pPr>
      <w:r>
        <w:rPr>
          <w:rFonts w:hAnsiTheme="minorEastAsia" w:eastAsiaTheme="minorEastAsia"/>
          <w:sz w:val="24"/>
          <w:szCs w:val="24"/>
          <w:highlight w:val="none"/>
        </w:rPr>
        <w:t>式中：</w:t>
      </w:r>
      <w:r>
        <w:rPr>
          <w:rFonts w:eastAsiaTheme="minorEastAsia"/>
          <w:sz w:val="24"/>
          <w:szCs w:val="24"/>
          <w:highlight w:val="none"/>
        </w:rPr>
        <w:t>L</w:t>
      </w:r>
      <w:r>
        <w:rPr>
          <w:rFonts w:eastAsiaTheme="minorEastAsia"/>
          <w:sz w:val="24"/>
          <w:szCs w:val="24"/>
          <w:highlight w:val="none"/>
          <w:vertAlign w:val="subscript"/>
        </w:rPr>
        <w:t>p1</w:t>
      </w:r>
      <w:r>
        <w:rPr>
          <w:rFonts w:eastAsiaTheme="minorEastAsia"/>
          <w:sz w:val="24"/>
          <w:szCs w:val="24"/>
          <w:highlight w:val="none"/>
        </w:rPr>
        <w:t>—</w:t>
      </w:r>
      <w:r>
        <w:rPr>
          <w:rFonts w:hAnsiTheme="minorEastAsia" w:eastAsiaTheme="minorEastAsia"/>
          <w:sz w:val="24"/>
          <w:szCs w:val="24"/>
          <w:highlight w:val="none"/>
        </w:rPr>
        <w:t>靠近开口处（窗户）室内某倍频带的声压级或</w:t>
      </w:r>
      <w:r>
        <w:rPr>
          <w:rFonts w:eastAsiaTheme="minorEastAsia"/>
          <w:sz w:val="24"/>
          <w:szCs w:val="24"/>
          <w:highlight w:val="none"/>
        </w:rPr>
        <w:t>A</w:t>
      </w:r>
      <w:r>
        <w:rPr>
          <w:rFonts w:hAnsiTheme="minorEastAsia" w:eastAsiaTheme="minorEastAsia"/>
          <w:sz w:val="24"/>
          <w:szCs w:val="24"/>
          <w:highlight w:val="none"/>
        </w:rPr>
        <w:t>声级，</w:t>
      </w:r>
      <w:r>
        <w:rPr>
          <w:rFonts w:eastAsiaTheme="minorEastAsia"/>
          <w:sz w:val="24"/>
          <w:szCs w:val="24"/>
          <w:highlight w:val="none"/>
        </w:rPr>
        <w:t>dB</w:t>
      </w:r>
      <w:r>
        <w:rPr>
          <w:rFonts w:hAnsiTheme="minorEastAsia" w:eastAsiaTheme="minorEastAsia"/>
          <w:sz w:val="24"/>
          <w:szCs w:val="24"/>
          <w:highlight w:val="none"/>
        </w:rPr>
        <w:t>；</w:t>
      </w:r>
    </w:p>
    <w:p w14:paraId="6C71DAAD">
      <w:pPr>
        <w:pStyle w:val="746"/>
        <w:spacing w:line="360" w:lineRule="auto"/>
        <w:ind w:firstLine="679" w:firstLineChars="283"/>
        <w:textAlignment w:val="center"/>
        <w:rPr>
          <w:rFonts w:eastAsiaTheme="minorEastAsia"/>
          <w:sz w:val="24"/>
          <w:szCs w:val="24"/>
          <w:highlight w:val="none"/>
        </w:rPr>
      </w:pPr>
      <w:r>
        <w:rPr>
          <w:rFonts w:eastAsiaTheme="minorEastAsia"/>
          <w:sz w:val="24"/>
          <w:szCs w:val="24"/>
          <w:highlight w:val="none"/>
        </w:rPr>
        <w:t>L</w:t>
      </w:r>
      <w:r>
        <w:rPr>
          <w:rFonts w:eastAsiaTheme="minorEastAsia"/>
          <w:sz w:val="24"/>
          <w:szCs w:val="24"/>
          <w:highlight w:val="none"/>
          <w:vertAlign w:val="subscript"/>
        </w:rPr>
        <w:t>w</w:t>
      </w:r>
      <w:r>
        <w:rPr>
          <w:rFonts w:eastAsiaTheme="minorEastAsia"/>
          <w:sz w:val="24"/>
          <w:szCs w:val="24"/>
          <w:highlight w:val="none"/>
        </w:rPr>
        <w:t>—</w:t>
      </w:r>
      <w:r>
        <w:rPr>
          <w:rFonts w:hAnsiTheme="minorEastAsia" w:eastAsiaTheme="minorEastAsia"/>
          <w:sz w:val="24"/>
          <w:szCs w:val="24"/>
          <w:highlight w:val="none"/>
        </w:rPr>
        <w:t>点声源声功率级（</w:t>
      </w:r>
      <w:r>
        <w:rPr>
          <w:rFonts w:eastAsiaTheme="minorEastAsia"/>
          <w:sz w:val="24"/>
          <w:szCs w:val="24"/>
          <w:highlight w:val="none"/>
        </w:rPr>
        <w:t>A</w:t>
      </w:r>
      <w:r>
        <w:rPr>
          <w:rFonts w:hAnsiTheme="minorEastAsia" w:eastAsiaTheme="minorEastAsia"/>
          <w:sz w:val="24"/>
          <w:szCs w:val="24"/>
          <w:highlight w:val="none"/>
        </w:rPr>
        <w:t>计权或倍频带），</w:t>
      </w:r>
      <w:r>
        <w:rPr>
          <w:rFonts w:eastAsiaTheme="minorEastAsia"/>
          <w:sz w:val="24"/>
          <w:szCs w:val="24"/>
          <w:highlight w:val="none"/>
        </w:rPr>
        <w:t>dB</w:t>
      </w:r>
      <w:r>
        <w:rPr>
          <w:rFonts w:hAnsiTheme="minorEastAsia" w:eastAsiaTheme="minorEastAsia"/>
          <w:sz w:val="24"/>
          <w:szCs w:val="24"/>
          <w:highlight w:val="none"/>
        </w:rPr>
        <w:t>；</w:t>
      </w:r>
    </w:p>
    <w:p w14:paraId="3632C10A">
      <w:pPr>
        <w:pStyle w:val="746"/>
        <w:spacing w:line="360" w:lineRule="auto"/>
        <w:ind w:firstLine="720" w:firstLineChars="300"/>
        <w:textAlignment w:val="center"/>
        <w:rPr>
          <w:rFonts w:eastAsiaTheme="minorEastAsia"/>
          <w:sz w:val="24"/>
          <w:szCs w:val="24"/>
          <w:highlight w:val="none"/>
        </w:rPr>
      </w:pPr>
      <w:r>
        <w:rPr>
          <w:rFonts w:eastAsiaTheme="minorEastAsia"/>
          <w:sz w:val="24"/>
          <w:szCs w:val="24"/>
          <w:highlight w:val="none"/>
        </w:rPr>
        <w:t>Q—</w:t>
      </w:r>
      <w:r>
        <w:rPr>
          <w:rFonts w:hAnsiTheme="minorEastAsia" w:eastAsiaTheme="minorEastAsia"/>
          <w:sz w:val="24"/>
          <w:szCs w:val="24"/>
          <w:highlight w:val="none"/>
        </w:rPr>
        <w:t>指向性因数，通常对无指向性声源，当声源放在房间中心时，</w:t>
      </w:r>
      <w:r>
        <w:rPr>
          <w:rFonts w:eastAsiaTheme="minorEastAsia"/>
          <w:i/>
          <w:sz w:val="24"/>
          <w:szCs w:val="24"/>
          <w:highlight w:val="none"/>
        </w:rPr>
        <w:t>Q</w:t>
      </w:r>
      <w:r>
        <w:rPr>
          <w:rFonts w:eastAsiaTheme="minorEastAsia"/>
          <w:sz w:val="24"/>
          <w:szCs w:val="24"/>
          <w:highlight w:val="none"/>
        </w:rPr>
        <w:t>=1</w:t>
      </w:r>
      <w:r>
        <w:rPr>
          <w:rFonts w:hAnsiTheme="minorEastAsia" w:eastAsiaTheme="minorEastAsia"/>
          <w:sz w:val="24"/>
          <w:szCs w:val="24"/>
          <w:highlight w:val="none"/>
        </w:rPr>
        <w:t>，当放在一面墙的中心时，</w:t>
      </w:r>
      <w:r>
        <w:rPr>
          <w:rFonts w:eastAsiaTheme="minorEastAsia"/>
          <w:i/>
          <w:sz w:val="24"/>
          <w:szCs w:val="24"/>
          <w:highlight w:val="none"/>
        </w:rPr>
        <w:t>Q</w:t>
      </w:r>
      <w:r>
        <w:rPr>
          <w:rFonts w:eastAsiaTheme="minorEastAsia"/>
          <w:sz w:val="24"/>
          <w:szCs w:val="24"/>
          <w:highlight w:val="none"/>
        </w:rPr>
        <w:t>=2</w:t>
      </w:r>
      <w:r>
        <w:rPr>
          <w:rFonts w:hAnsiTheme="minorEastAsia" w:eastAsiaTheme="minorEastAsia"/>
          <w:sz w:val="24"/>
          <w:szCs w:val="24"/>
          <w:highlight w:val="none"/>
        </w:rPr>
        <w:t>；当放在两面墙夹角处时，</w:t>
      </w:r>
      <w:r>
        <w:rPr>
          <w:rFonts w:eastAsiaTheme="minorEastAsia"/>
          <w:i/>
          <w:sz w:val="24"/>
          <w:szCs w:val="24"/>
          <w:highlight w:val="none"/>
        </w:rPr>
        <w:t>Q</w:t>
      </w:r>
      <w:r>
        <w:rPr>
          <w:rFonts w:eastAsiaTheme="minorEastAsia"/>
          <w:sz w:val="24"/>
          <w:szCs w:val="24"/>
          <w:highlight w:val="none"/>
        </w:rPr>
        <w:t>=4</w:t>
      </w:r>
      <w:r>
        <w:rPr>
          <w:rFonts w:hAnsiTheme="minorEastAsia" w:eastAsiaTheme="minorEastAsia"/>
          <w:sz w:val="24"/>
          <w:szCs w:val="24"/>
          <w:highlight w:val="none"/>
        </w:rPr>
        <w:t>，当放在三面墙夹角处时，</w:t>
      </w:r>
      <w:r>
        <w:rPr>
          <w:rFonts w:eastAsiaTheme="minorEastAsia"/>
          <w:i/>
          <w:sz w:val="24"/>
          <w:szCs w:val="24"/>
          <w:highlight w:val="none"/>
        </w:rPr>
        <w:t>Q</w:t>
      </w:r>
      <w:r>
        <w:rPr>
          <w:rFonts w:eastAsiaTheme="minorEastAsia"/>
          <w:sz w:val="24"/>
          <w:szCs w:val="24"/>
          <w:highlight w:val="none"/>
        </w:rPr>
        <w:t>=8</w:t>
      </w:r>
      <w:r>
        <w:rPr>
          <w:rFonts w:hAnsiTheme="minorEastAsia" w:eastAsiaTheme="minorEastAsia"/>
          <w:sz w:val="24"/>
          <w:szCs w:val="24"/>
          <w:highlight w:val="none"/>
        </w:rPr>
        <w:t>；</w:t>
      </w:r>
    </w:p>
    <w:p w14:paraId="2AAEF401">
      <w:pPr>
        <w:pStyle w:val="746"/>
        <w:spacing w:line="360" w:lineRule="auto"/>
        <w:ind w:firstLine="120" w:firstLineChars="50"/>
        <w:textAlignment w:val="center"/>
        <w:rPr>
          <w:rFonts w:eastAsiaTheme="minorEastAsia"/>
          <w:sz w:val="24"/>
          <w:szCs w:val="24"/>
          <w:highlight w:val="none"/>
        </w:rPr>
      </w:pPr>
      <w:r>
        <w:rPr>
          <w:rFonts w:eastAsiaTheme="minorEastAsia"/>
          <w:i/>
          <w:sz w:val="24"/>
          <w:szCs w:val="24"/>
          <w:highlight w:val="none"/>
        </w:rPr>
        <w:t>R</w:t>
      </w:r>
      <w:r>
        <w:rPr>
          <w:rFonts w:eastAsiaTheme="minorEastAsia"/>
          <w:sz w:val="24"/>
          <w:szCs w:val="24"/>
          <w:highlight w:val="none"/>
        </w:rPr>
        <w:t>—</w:t>
      </w:r>
      <w:r>
        <w:rPr>
          <w:rFonts w:hAnsiTheme="minorEastAsia" w:eastAsiaTheme="minorEastAsia"/>
          <w:sz w:val="24"/>
          <w:szCs w:val="24"/>
          <w:highlight w:val="none"/>
        </w:rPr>
        <w:t>房间常数，</w:t>
      </w:r>
      <w:r>
        <w:rPr>
          <w:rFonts w:eastAsiaTheme="minorEastAsia"/>
          <w:i/>
          <w:sz w:val="24"/>
          <w:szCs w:val="24"/>
          <w:highlight w:val="none"/>
        </w:rPr>
        <w:t>R</w:t>
      </w:r>
      <w:r>
        <w:rPr>
          <w:rFonts w:eastAsiaTheme="minorEastAsia"/>
          <w:sz w:val="24"/>
          <w:szCs w:val="24"/>
          <w:highlight w:val="none"/>
        </w:rPr>
        <w:t>=</w:t>
      </w:r>
      <w:r>
        <w:rPr>
          <w:rFonts w:eastAsiaTheme="minorEastAsia"/>
          <w:i/>
          <w:sz w:val="24"/>
          <w:szCs w:val="24"/>
          <w:highlight w:val="none"/>
        </w:rPr>
        <w:t>S</w:t>
      </w:r>
      <w:r>
        <w:rPr>
          <w:rFonts w:eastAsiaTheme="minorEastAsia"/>
          <w:sz w:val="24"/>
          <w:szCs w:val="24"/>
          <w:highlight w:val="none"/>
        </w:rPr>
        <w:t>α/</w:t>
      </w:r>
      <w:r>
        <w:rPr>
          <w:rFonts w:hint="eastAsia" w:eastAsiaTheme="minorEastAsia"/>
          <w:sz w:val="24"/>
          <w:szCs w:val="24"/>
          <w:highlight w:val="none"/>
          <w:lang w:eastAsia="zh-CN"/>
        </w:rPr>
        <w:t>（</w:t>
      </w:r>
      <w:r>
        <w:rPr>
          <w:rFonts w:eastAsiaTheme="minorEastAsia"/>
          <w:sz w:val="24"/>
          <w:szCs w:val="24"/>
          <w:highlight w:val="none"/>
        </w:rPr>
        <w:t>1</w:t>
      </w:r>
      <w:r>
        <w:rPr>
          <w:rFonts w:eastAsia="MS Mincho"/>
          <w:sz w:val="24"/>
          <w:szCs w:val="24"/>
          <w:highlight w:val="none"/>
        </w:rPr>
        <w:t>−</w:t>
      </w:r>
      <w:r>
        <w:rPr>
          <w:rFonts w:eastAsiaTheme="minorEastAsia"/>
          <w:sz w:val="24"/>
          <w:szCs w:val="24"/>
          <w:highlight w:val="none"/>
        </w:rPr>
        <w:t>α</w:t>
      </w:r>
      <w:r>
        <w:rPr>
          <w:rFonts w:hint="eastAsia" w:eastAsiaTheme="minorEastAsia"/>
          <w:sz w:val="24"/>
          <w:szCs w:val="24"/>
          <w:highlight w:val="none"/>
          <w:lang w:eastAsia="zh-CN"/>
        </w:rPr>
        <w:t>）</w:t>
      </w:r>
      <w:r>
        <w:rPr>
          <w:rFonts w:hAnsiTheme="minorEastAsia" w:eastAsiaTheme="minorEastAsia"/>
          <w:sz w:val="24"/>
          <w:szCs w:val="24"/>
          <w:highlight w:val="none"/>
        </w:rPr>
        <w:t>，</w:t>
      </w:r>
      <w:r>
        <w:rPr>
          <w:rFonts w:eastAsiaTheme="minorEastAsia"/>
          <w:i/>
          <w:sz w:val="24"/>
          <w:szCs w:val="24"/>
          <w:highlight w:val="none"/>
        </w:rPr>
        <w:t>S</w:t>
      </w:r>
      <w:r>
        <w:rPr>
          <w:rFonts w:hAnsiTheme="minorEastAsia" w:eastAsiaTheme="minorEastAsia"/>
          <w:sz w:val="24"/>
          <w:szCs w:val="24"/>
          <w:highlight w:val="none"/>
        </w:rPr>
        <w:t>为房间内表面面积，</w:t>
      </w:r>
      <w:r>
        <w:rPr>
          <w:rFonts w:eastAsiaTheme="minorEastAsia"/>
          <w:sz w:val="24"/>
          <w:szCs w:val="24"/>
          <w:highlight w:val="none"/>
        </w:rPr>
        <w:t>m</w:t>
      </w:r>
      <w:r>
        <w:rPr>
          <w:rFonts w:eastAsiaTheme="minorEastAsia"/>
          <w:sz w:val="24"/>
          <w:szCs w:val="24"/>
          <w:highlight w:val="none"/>
          <w:vertAlign w:val="superscript"/>
        </w:rPr>
        <w:t>2</w:t>
      </w:r>
      <w:r>
        <w:rPr>
          <w:rFonts w:hAnsiTheme="minorEastAsia" w:eastAsiaTheme="minorEastAsia"/>
          <w:sz w:val="24"/>
          <w:szCs w:val="24"/>
          <w:highlight w:val="none"/>
        </w:rPr>
        <w:t>，</w:t>
      </w:r>
      <w:r>
        <w:rPr>
          <w:rFonts w:eastAsiaTheme="minorEastAsia"/>
          <w:sz w:val="24"/>
          <w:szCs w:val="24"/>
          <w:highlight w:val="none"/>
        </w:rPr>
        <w:t>α</w:t>
      </w:r>
      <w:r>
        <w:rPr>
          <w:rFonts w:hAnsiTheme="minorEastAsia" w:eastAsiaTheme="minorEastAsia"/>
          <w:sz w:val="24"/>
          <w:szCs w:val="24"/>
          <w:highlight w:val="none"/>
        </w:rPr>
        <w:t>为平均吸声系数；</w:t>
      </w:r>
    </w:p>
    <w:p w14:paraId="208FD8DE">
      <w:pPr>
        <w:pStyle w:val="746"/>
        <w:spacing w:line="360" w:lineRule="auto"/>
        <w:ind w:firstLine="240" w:firstLineChars="100"/>
        <w:textAlignment w:val="center"/>
        <w:rPr>
          <w:rFonts w:eastAsiaTheme="minorEastAsia"/>
          <w:sz w:val="24"/>
          <w:szCs w:val="24"/>
          <w:highlight w:val="none"/>
        </w:rPr>
      </w:pPr>
      <w:r>
        <w:rPr>
          <w:rFonts w:eastAsiaTheme="minorEastAsia"/>
          <w:i/>
          <w:sz w:val="24"/>
          <w:szCs w:val="24"/>
          <w:highlight w:val="none"/>
        </w:rPr>
        <w:t>r</w:t>
      </w:r>
      <w:r>
        <w:rPr>
          <w:rFonts w:eastAsiaTheme="minorEastAsia"/>
          <w:sz w:val="24"/>
          <w:szCs w:val="24"/>
          <w:highlight w:val="none"/>
        </w:rPr>
        <w:t>—</w:t>
      </w:r>
      <w:r>
        <w:rPr>
          <w:rFonts w:hAnsiTheme="minorEastAsia" w:eastAsiaTheme="minorEastAsia"/>
          <w:sz w:val="24"/>
          <w:szCs w:val="24"/>
          <w:highlight w:val="none"/>
        </w:rPr>
        <w:t>声源到靠近围护结构某点处的距离，</w:t>
      </w:r>
      <w:r>
        <w:rPr>
          <w:rFonts w:eastAsiaTheme="minorEastAsia"/>
          <w:sz w:val="24"/>
          <w:szCs w:val="24"/>
          <w:highlight w:val="none"/>
        </w:rPr>
        <w:t>m</w:t>
      </w:r>
      <w:r>
        <w:rPr>
          <w:rFonts w:hAnsiTheme="minorEastAsia" w:eastAsiaTheme="minorEastAsia"/>
          <w:sz w:val="24"/>
          <w:szCs w:val="24"/>
          <w:highlight w:val="none"/>
        </w:rPr>
        <w:t>。</w:t>
      </w:r>
    </w:p>
    <w:p w14:paraId="0C545187">
      <w:pPr>
        <w:bidi w:val="0"/>
        <w:rPr>
          <w:rFonts w:eastAsiaTheme="minorEastAsia"/>
          <w:sz w:val="24"/>
          <w:szCs w:val="24"/>
          <w:highlight w:val="none"/>
        </w:rPr>
      </w:pPr>
      <w:r>
        <w:rPr>
          <w:rFonts w:asciiTheme="minorEastAsia" w:hAnsiTheme="minorEastAsia" w:eastAsiaTheme="minorEastAsia"/>
          <w:sz w:val="24"/>
          <w:szCs w:val="24"/>
          <w:highlight w:val="none"/>
        </w:rPr>
        <w:t>②</w:t>
      </w:r>
      <w:r>
        <w:rPr>
          <w:rFonts w:hAnsiTheme="minorEastAsia" w:eastAsiaTheme="minorEastAsia"/>
          <w:sz w:val="24"/>
          <w:szCs w:val="24"/>
          <w:highlight w:val="none"/>
        </w:rPr>
        <w:t>所有室内声源在围护结构处产生的</w:t>
      </w:r>
      <w:r>
        <w:rPr>
          <w:rFonts w:eastAsiaTheme="minorEastAsia"/>
          <w:i/>
          <w:sz w:val="24"/>
          <w:szCs w:val="24"/>
          <w:highlight w:val="none"/>
        </w:rPr>
        <w:t>i</w:t>
      </w:r>
      <w:r>
        <w:rPr>
          <w:rFonts w:hAnsiTheme="minorEastAsia" w:eastAsiaTheme="minorEastAsia"/>
          <w:sz w:val="24"/>
          <w:szCs w:val="24"/>
          <w:highlight w:val="none"/>
        </w:rPr>
        <w:t>倍频带叠加声压级：</w:t>
      </w:r>
    </w:p>
    <w:p w14:paraId="2527BC52">
      <w:pPr>
        <w:pStyle w:val="746"/>
        <w:spacing w:line="360" w:lineRule="auto"/>
        <w:ind w:firstLine="198"/>
        <w:jc w:val="center"/>
        <w:textAlignment w:val="center"/>
        <w:rPr>
          <w:rFonts w:eastAsiaTheme="minorEastAsia"/>
          <w:sz w:val="24"/>
          <w:szCs w:val="24"/>
          <w:highlight w:val="none"/>
        </w:rPr>
      </w:pPr>
      <w:r>
        <w:rPr>
          <w:rFonts w:eastAsiaTheme="minorEastAsia"/>
          <w:position w:val="-34"/>
          <w:sz w:val="24"/>
          <w:szCs w:val="24"/>
          <w:highlight w:val="none"/>
        </w:rPr>
        <w:object>
          <v:shape id="_x0000_i1036" o:spt="75" type="#_x0000_t75" style="height:42.05pt;width:141.7pt;" o:ole="t" filled="f" coordsize="21600,21600">
            <v:path/>
            <v:fill on="f" focussize="0,0"/>
            <v:stroke/>
            <v:imagedata r:id="rId86" o:title=""/>
            <o:lock v:ext="edit" aspectratio="t"/>
            <w10:wrap type="none"/>
            <w10:anchorlock/>
          </v:shape>
          <o:OLEObject Type="Embed" ProgID="Equation.3" ShapeID="_x0000_i1036" DrawAspect="Content" ObjectID="_1468075737" r:id="rId85">
            <o:LockedField>false</o:LockedField>
          </o:OLEObject>
        </w:object>
      </w:r>
    </w:p>
    <w:p w14:paraId="29BA0739">
      <w:pPr>
        <w:pStyle w:val="746"/>
        <w:spacing w:line="360" w:lineRule="auto"/>
        <w:ind w:left="1920" w:hanging="1920" w:hangingChars="800"/>
        <w:textAlignment w:val="center"/>
        <w:rPr>
          <w:rFonts w:eastAsiaTheme="minorEastAsia"/>
          <w:sz w:val="24"/>
          <w:szCs w:val="24"/>
          <w:highlight w:val="none"/>
        </w:rPr>
      </w:pPr>
      <w:r>
        <w:rPr>
          <w:rFonts w:hAnsiTheme="minorEastAsia" w:eastAsiaTheme="minorEastAsia"/>
          <w:sz w:val="24"/>
          <w:szCs w:val="24"/>
          <w:highlight w:val="none"/>
        </w:rPr>
        <w:t>式中：</w:t>
      </w:r>
      <w:r>
        <w:rPr>
          <w:rFonts w:eastAsiaTheme="minorEastAsia"/>
          <w:i/>
          <w:sz w:val="24"/>
          <w:szCs w:val="24"/>
          <w:highlight w:val="none"/>
        </w:rPr>
        <w:t>L</w:t>
      </w:r>
      <w:r>
        <w:rPr>
          <w:rFonts w:eastAsiaTheme="minorEastAsia"/>
          <w:sz w:val="24"/>
          <w:szCs w:val="24"/>
          <w:highlight w:val="none"/>
          <w:vertAlign w:val="subscript"/>
        </w:rPr>
        <w:t>p1i</w:t>
      </w:r>
      <w:r>
        <w:rPr>
          <w:rFonts w:hint="eastAsia" w:eastAsiaTheme="minorEastAsia"/>
          <w:sz w:val="24"/>
          <w:szCs w:val="24"/>
          <w:highlight w:val="none"/>
          <w:lang w:eastAsia="zh-CN"/>
        </w:rPr>
        <w:t>（</w:t>
      </w:r>
      <w:r>
        <w:rPr>
          <w:rFonts w:eastAsiaTheme="minorEastAsia"/>
          <w:i/>
          <w:sz w:val="24"/>
          <w:szCs w:val="24"/>
          <w:highlight w:val="none"/>
        </w:rPr>
        <w:t>T</w:t>
      </w:r>
      <w:r>
        <w:rPr>
          <w:rFonts w:hint="eastAsia" w:eastAsiaTheme="minorEastAsia"/>
          <w:sz w:val="24"/>
          <w:szCs w:val="24"/>
          <w:highlight w:val="none"/>
          <w:lang w:eastAsia="zh-CN"/>
        </w:rPr>
        <w:t>）</w:t>
      </w:r>
      <w:r>
        <w:rPr>
          <w:rFonts w:eastAsiaTheme="minorEastAsia"/>
          <w:sz w:val="24"/>
          <w:szCs w:val="24"/>
          <w:highlight w:val="none"/>
        </w:rPr>
        <w:t>—</w:t>
      </w:r>
      <w:r>
        <w:rPr>
          <w:rFonts w:hAnsiTheme="minorEastAsia" w:eastAsiaTheme="minorEastAsia"/>
          <w:sz w:val="24"/>
          <w:szCs w:val="24"/>
          <w:highlight w:val="none"/>
        </w:rPr>
        <w:t>靠近围护结构处室内</w:t>
      </w:r>
      <w:r>
        <w:rPr>
          <w:rFonts w:eastAsiaTheme="minorEastAsia"/>
          <w:i/>
          <w:iCs/>
          <w:sz w:val="24"/>
          <w:szCs w:val="24"/>
          <w:highlight w:val="none"/>
        </w:rPr>
        <w:t>N</w:t>
      </w:r>
      <w:r>
        <w:rPr>
          <w:rFonts w:hAnsiTheme="minorEastAsia" w:eastAsiaTheme="minorEastAsia"/>
          <w:sz w:val="24"/>
          <w:szCs w:val="24"/>
          <w:highlight w:val="none"/>
        </w:rPr>
        <w:t>个声源</w:t>
      </w:r>
      <w:r>
        <w:rPr>
          <w:rFonts w:eastAsiaTheme="minorEastAsia"/>
          <w:i/>
          <w:iCs/>
          <w:sz w:val="24"/>
          <w:szCs w:val="24"/>
          <w:highlight w:val="none"/>
        </w:rPr>
        <w:t>i</w:t>
      </w:r>
      <w:r>
        <w:rPr>
          <w:rFonts w:hAnsiTheme="minorEastAsia" w:eastAsiaTheme="minorEastAsia"/>
          <w:sz w:val="24"/>
          <w:szCs w:val="24"/>
          <w:highlight w:val="none"/>
        </w:rPr>
        <w:t>倍频带的叠加声压级，</w:t>
      </w:r>
      <w:r>
        <w:rPr>
          <w:rFonts w:eastAsiaTheme="minorEastAsia"/>
          <w:sz w:val="24"/>
          <w:szCs w:val="24"/>
          <w:highlight w:val="none"/>
        </w:rPr>
        <w:t>dB</w:t>
      </w:r>
      <w:r>
        <w:rPr>
          <w:rFonts w:hAnsiTheme="minorEastAsia" w:eastAsiaTheme="minorEastAsia"/>
          <w:sz w:val="24"/>
          <w:szCs w:val="24"/>
          <w:highlight w:val="none"/>
        </w:rPr>
        <w:t>；</w:t>
      </w:r>
    </w:p>
    <w:p w14:paraId="45B2AF86">
      <w:pPr>
        <w:pStyle w:val="746"/>
        <w:spacing w:line="360" w:lineRule="auto"/>
        <w:ind w:firstLine="676" w:firstLineChars="282"/>
        <w:textAlignment w:val="center"/>
        <w:rPr>
          <w:rFonts w:eastAsiaTheme="minorEastAsia"/>
          <w:sz w:val="24"/>
          <w:szCs w:val="24"/>
          <w:highlight w:val="none"/>
        </w:rPr>
      </w:pPr>
      <w:r>
        <w:rPr>
          <w:rFonts w:eastAsiaTheme="minorEastAsia"/>
          <w:iCs/>
          <w:sz w:val="24"/>
          <w:szCs w:val="24"/>
          <w:highlight w:val="none"/>
        </w:rPr>
        <w:t>L</w:t>
      </w:r>
      <w:r>
        <w:rPr>
          <w:rFonts w:eastAsiaTheme="minorEastAsia"/>
          <w:iCs/>
          <w:sz w:val="24"/>
          <w:szCs w:val="24"/>
          <w:highlight w:val="none"/>
          <w:vertAlign w:val="subscript"/>
        </w:rPr>
        <w:t>p</w:t>
      </w:r>
      <w:r>
        <w:rPr>
          <w:rFonts w:eastAsiaTheme="minorEastAsia"/>
          <w:sz w:val="24"/>
          <w:szCs w:val="24"/>
          <w:highlight w:val="none"/>
          <w:vertAlign w:val="subscript"/>
        </w:rPr>
        <w:t>1</w:t>
      </w:r>
      <w:r>
        <w:rPr>
          <w:rFonts w:eastAsiaTheme="minorEastAsia"/>
          <w:iCs/>
          <w:sz w:val="24"/>
          <w:szCs w:val="24"/>
          <w:highlight w:val="none"/>
          <w:vertAlign w:val="subscript"/>
        </w:rPr>
        <w:t>ij</w:t>
      </w:r>
      <w:r>
        <w:rPr>
          <w:rFonts w:eastAsiaTheme="minorEastAsia"/>
          <w:sz w:val="24"/>
          <w:szCs w:val="24"/>
          <w:highlight w:val="none"/>
        </w:rPr>
        <w:t>—</w:t>
      </w:r>
      <w:r>
        <w:rPr>
          <w:rFonts w:hAnsiTheme="minorEastAsia" w:eastAsiaTheme="minorEastAsia"/>
          <w:sz w:val="24"/>
          <w:szCs w:val="24"/>
          <w:highlight w:val="none"/>
        </w:rPr>
        <w:t>室内</w:t>
      </w:r>
      <w:r>
        <w:rPr>
          <w:rFonts w:eastAsiaTheme="minorEastAsia"/>
          <w:iCs/>
          <w:sz w:val="24"/>
          <w:szCs w:val="24"/>
          <w:highlight w:val="none"/>
        </w:rPr>
        <w:t>j</w:t>
      </w:r>
      <w:r>
        <w:rPr>
          <w:rFonts w:hAnsiTheme="minorEastAsia" w:eastAsiaTheme="minorEastAsia"/>
          <w:sz w:val="24"/>
          <w:szCs w:val="24"/>
          <w:highlight w:val="none"/>
        </w:rPr>
        <w:t>声源</w:t>
      </w:r>
      <w:r>
        <w:rPr>
          <w:rFonts w:eastAsiaTheme="minorEastAsia"/>
          <w:iCs/>
          <w:sz w:val="24"/>
          <w:szCs w:val="24"/>
          <w:highlight w:val="none"/>
        </w:rPr>
        <w:t>i</w:t>
      </w:r>
      <w:r>
        <w:rPr>
          <w:rFonts w:hAnsiTheme="minorEastAsia" w:eastAsiaTheme="minorEastAsia"/>
          <w:sz w:val="24"/>
          <w:szCs w:val="24"/>
          <w:highlight w:val="none"/>
        </w:rPr>
        <w:t>倍频带的声压级，</w:t>
      </w:r>
      <w:r>
        <w:rPr>
          <w:rFonts w:eastAsiaTheme="minorEastAsia"/>
          <w:sz w:val="24"/>
          <w:szCs w:val="24"/>
          <w:highlight w:val="none"/>
        </w:rPr>
        <w:t>dB</w:t>
      </w:r>
      <w:r>
        <w:rPr>
          <w:rFonts w:hAnsiTheme="minorEastAsia" w:eastAsiaTheme="minorEastAsia"/>
          <w:sz w:val="24"/>
          <w:szCs w:val="24"/>
          <w:highlight w:val="none"/>
        </w:rPr>
        <w:t>；</w:t>
      </w:r>
    </w:p>
    <w:p w14:paraId="4A111C85">
      <w:pPr>
        <w:pStyle w:val="746"/>
        <w:spacing w:line="360" w:lineRule="auto"/>
        <w:ind w:firstLine="679" w:firstLineChars="283"/>
        <w:textAlignment w:val="center"/>
        <w:rPr>
          <w:rFonts w:eastAsiaTheme="minorEastAsia"/>
          <w:sz w:val="24"/>
          <w:szCs w:val="24"/>
          <w:highlight w:val="none"/>
        </w:rPr>
      </w:pPr>
      <w:r>
        <w:rPr>
          <w:rFonts w:eastAsiaTheme="minorEastAsia"/>
          <w:iCs/>
          <w:sz w:val="24"/>
          <w:szCs w:val="24"/>
          <w:highlight w:val="none"/>
        </w:rPr>
        <w:t>N</w:t>
      </w:r>
      <w:r>
        <w:rPr>
          <w:rFonts w:eastAsiaTheme="minorEastAsia"/>
          <w:sz w:val="24"/>
          <w:szCs w:val="24"/>
          <w:highlight w:val="none"/>
        </w:rPr>
        <w:t>—</w:t>
      </w:r>
      <w:r>
        <w:rPr>
          <w:rFonts w:hAnsiTheme="minorEastAsia" w:eastAsiaTheme="minorEastAsia"/>
          <w:sz w:val="24"/>
          <w:szCs w:val="24"/>
          <w:highlight w:val="none"/>
        </w:rPr>
        <w:t>室内声源总数。</w:t>
      </w:r>
    </w:p>
    <w:p w14:paraId="058E3FDC">
      <w:pPr>
        <w:bidi w:val="0"/>
        <w:rPr>
          <w:rFonts w:eastAsiaTheme="minorEastAsia"/>
          <w:sz w:val="24"/>
          <w:szCs w:val="24"/>
          <w:highlight w:val="none"/>
        </w:rPr>
      </w:pPr>
      <w:r>
        <w:rPr>
          <w:rFonts w:asciiTheme="minorEastAsia" w:hAnsiTheme="minorEastAsia" w:eastAsiaTheme="minorEastAsia"/>
          <w:sz w:val="24"/>
          <w:highlight w:val="none"/>
        </w:rPr>
        <w:t>③</w:t>
      </w:r>
      <w:r>
        <w:rPr>
          <w:rFonts w:hAnsiTheme="minorEastAsia" w:eastAsiaTheme="minorEastAsia"/>
          <w:sz w:val="24"/>
          <w:szCs w:val="24"/>
          <w:highlight w:val="none"/>
        </w:rPr>
        <w:t>无指向性点声源几何发散衰减的基本公式是：</w:t>
      </w:r>
    </w:p>
    <w:p w14:paraId="711DE265">
      <w:pPr>
        <w:pStyle w:val="746"/>
        <w:spacing w:line="360" w:lineRule="auto"/>
        <w:ind w:firstLine="198"/>
        <w:jc w:val="center"/>
        <w:textAlignment w:val="center"/>
        <w:rPr>
          <w:rFonts w:eastAsiaTheme="minorEastAsia"/>
          <w:sz w:val="24"/>
          <w:szCs w:val="24"/>
          <w:highlight w:val="none"/>
        </w:rPr>
      </w:pPr>
      <w:r>
        <w:rPr>
          <w:rFonts w:eastAsiaTheme="minorEastAsia"/>
          <w:position w:val="-30"/>
          <w:sz w:val="24"/>
          <w:szCs w:val="24"/>
          <w:highlight w:val="none"/>
        </w:rPr>
        <w:object>
          <v:shape id="_x0000_i1037" o:spt="75" type="#_x0000_t75" style="height:35.7pt;width:131.35pt;" o:ole="t" filled="f" coordsize="21600,21600">
            <v:path/>
            <v:fill on="f" focussize="0,0"/>
            <v:stroke/>
            <v:imagedata r:id="rId88" o:title=""/>
            <o:lock v:ext="edit" aspectratio="t"/>
            <w10:wrap type="none"/>
            <w10:anchorlock/>
          </v:shape>
          <o:OLEObject Type="Embed" ProgID="Equation.3" ShapeID="_x0000_i1037" DrawAspect="Content" ObjectID="_1468075738" r:id="rId87">
            <o:LockedField>false</o:LockedField>
          </o:OLEObject>
        </w:object>
      </w:r>
    </w:p>
    <w:p w14:paraId="7A5C6293">
      <w:pPr>
        <w:spacing w:line="360" w:lineRule="auto"/>
        <w:ind w:firstLine="480"/>
        <w:textAlignment w:val="center"/>
        <w:rPr>
          <w:rFonts w:eastAsiaTheme="minorEastAsia"/>
          <w:sz w:val="24"/>
          <w:highlight w:val="none"/>
        </w:rPr>
      </w:pPr>
      <w:r>
        <w:rPr>
          <w:rFonts w:hAnsiTheme="minorEastAsia" w:eastAsiaTheme="minorEastAsia"/>
          <w:sz w:val="24"/>
          <w:highlight w:val="none"/>
        </w:rPr>
        <w:t>式中：</w:t>
      </w:r>
      <w:r>
        <w:rPr>
          <w:rFonts w:eastAsiaTheme="minorEastAsia"/>
          <w:i/>
          <w:sz w:val="24"/>
          <w:highlight w:val="none"/>
        </w:rPr>
        <w:t>L</w:t>
      </w:r>
      <w:r>
        <w:rPr>
          <w:rFonts w:eastAsiaTheme="minorEastAsia"/>
          <w:sz w:val="24"/>
          <w:highlight w:val="none"/>
          <w:vertAlign w:val="subscript"/>
        </w:rPr>
        <w:t>p</w:t>
      </w:r>
      <w:r>
        <w:rPr>
          <w:rFonts w:hint="eastAsia" w:eastAsiaTheme="minorEastAsia"/>
          <w:sz w:val="24"/>
          <w:highlight w:val="none"/>
          <w:lang w:eastAsia="zh-CN"/>
        </w:rPr>
        <w:t>（</w:t>
      </w:r>
      <w:r>
        <w:rPr>
          <w:rFonts w:eastAsiaTheme="minorEastAsia"/>
          <w:i/>
          <w:sz w:val="24"/>
          <w:highlight w:val="none"/>
        </w:rPr>
        <w:t>r</w:t>
      </w:r>
      <w:r>
        <w:rPr>
          <w:rFonts w:hint="eastAsia" w:eastAsiaTheme="minorEastAsia"/>
          <w:sz w:val="24"/>
          <w:highlight w:val="none"/>
          <w:lang w:eastAsia="zh-CN"/>
        </w:rPr>
        <w:t>）</w:t>
      </w:r>
      <w:r>
        <w:rPr>
          <w:rFonts w:eastAsiaTheme="minorEastAsia"/>
          <w:sz w:val="24"/>
          <w:highlight w:val="none"/>
        </w:rPr>
        <w:t>—</w:t>
      </w:r>
      <w:r>
        <w:rPr>
          <w:rFonts w:hAnsiTheme="minorEastAsia" w:eastAsiaTheme="minorEastAsia"/>
          <w:sz w:val="24"/>
          <w:highlight w:val="none"/>
        </w:rPr>
        <w:t>预测点处声压级，</w:t>
      </w:r>
      <w:r>
        <w:rPr>
          <w:rFonts w:eastAsiaTheme="minorEastAsia"/>
          <w:sz w:val="24"/>
          <w:highlight w:val="none"/>
        </w:rPr>
        <w:t>dB</w:t>
      </w:r>
      <w:r>
        <w:rPr>
          <w:rFonts w:hAnsiTheme="minorEastAsia" w:eastAsiaTheme="minorEastAsia"/>
          <w:sz w:val="24"/>
          <w:highlight w:val="none"/>
        </w:rPr>
        <w:t>；</w:t>
      </w:r>
    </w:p>
    <w:p w14:paraId="00257B24">
      <w:pPr>
        <w:spacing w:line="360" w:lineRule="auto"/>
        <w:ind w:firstLine="948" w:firstLineChars="395"/>
        <w:textAlignment w:val="center"/>
        <w:rPr>
          <w:rFonts w:eastAsiaTheme="minorEastAsia"/>
          <w:sz w:val="24"/>
          <w:highlight w:val="none"/>
        </w:rPr>
      </w:pPr>
      <w:r>
        <w:rPr>
          <w:rFonts w:eastAsiaTheme="minorEastAsia"/>
          <w:i/>
          <w:sz w:val="24"/>
          <w:highlight w:val="none"/>
        </w:rPr>
        <w:t>L</w:t>
      </w:r>
      <w:r>
        <w:rPr>
          <w:rFonts w:eastAsiaTheme="minorEastAsia"/>
          <w:sz w:val="24"/>
          <w:highlight w:val="none"/>
          <w:vertAlign w:val="subscript"/>
        </w:rPr>
        <w:t>p</w:t>
      </w:r>
      <w:r>
        <w:rPr>
          <w:rFonts w:hint="eastAsia" w:eastAsiaTheme="minorEastAsia"/>
          <w:sz w:val="24"/>
          <w:highlight w:val="none"/>
          <w:lang w:eastAsia="zh-CN"/>
        </w:rPr>
        <w:t>（</w:t>
      </w:r>
      <w:r>
        <w:rPr>
          <w:rFonts w:eastAsiaTheme="minorEastAsia"/>
          <w:i/>
          <w:sz w:val="24"/>
          <w:highlight w:val="none"/>
        </w:rPr>
        <w:t>r</w:t>
      </w:r>
      <w:r>
        <w:rPr>
          <w:rFonts w:eastAsiaTheme="minorEastAsia"/>
          <w:i/>
          <w:sz w:val="24"/>
          <w:highlight w:val="none"/>
          <w:vertAlign w:val="subscript"/>
        </w:rPr>
        <w:t>0</w:t>
      </w:r>
      <w:r>
        <w:rPr>
          <w:rFonts w:hint="eastAsia" w:eastAsiaTheme="minorEastAsia"/>
          <w:sz w:val="24"/>
          <w:highlight w:val="none"/>
          <w:lang w:eastAsia="zh-CN"/>
        </w:rPr>
        <w:t>）</w:t>
      </w:r>
      <w:r>
        <w:rPr>
          <w:rFonts w:eastAsiaTheme="minorEastAsia"/>
          <w:sz w:val="24"/>
          <w:highlight w:val="none"/>
        </w:rPr>
        <w:t>—</w:t>
      </w:r>
      <w:r>
        <w:rPr>
          <w:rFonts w:hAnsiTheme="minorEastAsia" w:eastAsiaTheme="minorEastAsia"/>
          <w:sz w:val="24"/>
          <w:highlight w:val="none"/>
        </w:rPr>
        <w:t>参考位置</w:t>
      </w:r>
      <w:r>
        <w:rPr>
          <w:rFonts w:eastAsiaTheme="minorEastAsia"/>
          <w:i/>
          <w:sz w:val="24"/>
          <w:highlight w:val="none"/>
        </w:rPr>
        <w:t>r</w:t>
      </w:r>
      <w:r>
        <w:rPr>
          <w:rFonts w:eastAsiaTheme="minorEastAsia"/>
          <w:sz w:val="24"/>
          <w:highlight w:val="none"/>
          <w:vertAlign w:val="subscript"/>
        </w:rPr>
        <w:t>0</w:t>
      </w:r>
      <w:r>
        <w:rPr>
          <w:rFonts w:hAnsiTheme="minorEastAsia" w:eastAsiaTheme="minorEastAsia"/>
          <w:sz w:val="24"/>
          <w:highlight w:val="none"/>
        </w:rPr>
        <w:t>处的声压级，</w:t>
      </w:r>
      <w:r>
        <w:rPr>
          <w:rFonts w:eastAsiaTheme="minorEastAsia"/>
          <w:sz w:val="24"/>
          <w:highlight w:val="none"/>
        </w:rPr>
        <w:t>dB</w:t>
      </w:r>
      <w:r>
        <w:rPr>
          <w:rFonts w:hAnsiTheme="minorEastAsia" w:eastAsiaTheme="minorEastAsia"/>
          <w:sz w:val="24"/>
          <w:highlight w:val="none"/>
        </w:rPr>
        <w:t>；</w:t>
      </w:r>
    </w:p>
    <w:p w14:paraId="5187470B">
      <w:pPr>
        <w:pStyle w:val="746"/>
        <w:spacing w:line="360" w:lineRule="auto"/>
        <w:ind w:firstLine="916" w:firstLineChars="382"/>
        <w:textAlignment w:val="center"/>
        <w:rPr>
          <w:rFonts w:eastAsiaTheme="minorEastAsia"/>
          <w:sz w:val="24"/>
          <w:szCs w:val="24"/>
          <w:highlight w:val="none"/>
        </w:rPr>
      </w:pPr>
      <w:r>
        <w:rPr>
          <w:rFonts w:eastAsiaTheme="minorEastAsia"/>
          <w:i/>
          <w:sz w:val="24"/>
          <w:szCs w:val="24"/>
          <w:highlight w:val="none"/>
        </w:rPr>
        <w:t>r</w:t>
      </w:r>
      <w:r>
        <w:rPr>
          <w:rFonts w:eastAsiaTheme="minorEastAsia"/>
          <w:sz w:val="24"/>
          <w:szCs w:val="24"/>
          <w:highlight w:val="none"/>
        </w:rPr>
        <w:t>—</w:t>
      </w:r>
      <w:r>
        <w:rPr>
          <w:rFonts w:hAnsiTheme="minorEastAsia" w:eastAsiaTheme="minorEastAsia"/>
          <w:sz w:val="24"/>
          <w:szCs w:val="24"/>
          <w:highlight w:val="none"/>
        </w:rPr>
        <w:t>预测点距声源的距离；</w:t>
      </w:r>
    </w:p>
    <w:p w14:paraId="3389139F">
      <w:pPr>
        <w:pStyle w:val="746"/>
        <w:spacing w:line="360" w:lineRule="auto"/>
        <w:ind w:firstLine="916" w:firstLineChars="382"/>
        <w:textAlignment w:val="center"/>
        <w:rPr>
          <w:rFonts w:eastAsiaTheme="minorEastAsia"/>
          <w:sz w:val="24"/>
          <w:szCs w:val="24"/>
          <w:highlight w:val="none"/>
        </w:rPr>
      </w:pPr>
      <w:r>
        <w:rPr>
          <w:rFonts w:eastAsiaTheme="minorEastAsia"/>
          <w:i/>
          <w:sz w:val="24"/>
          <w:szCs w:val="24"/>
          <w:highlight w:val="none"/>
        </w:rPr>
        <w:t>r</w:t>
      </w:r>
      <w:r>
        <w:rPr>
          <w:rFonts w:eastAsiaTheme="minorEastAsia"/>
          <w:sz w:val="24"/>
          <w:szCs w:val="24"/>
          <w:highlight w:val="none"/>
          <w:vertAlign w:val="subscript"/>
        </w:rPr>
        <w:t>0</w:t>
      </w:r>
      <w:r>
        <w:rPr>
          <w:rFonts w:eastAsiaTheme="minorEastAsia"/>
          <w:sz w:val="24"/>
          <w:szCs w:val="24"/>
          <w:highlight w:val="none"/>
        </w:rPr>
        <w:t>—</w:t>
      </w:r>
      <w:r>
        <w:rPr>
          <w:rFonts w:hAnsiTheme="minorEastAsia" w:eastAsiaTheme="minorEastAsia"/>
          <w:sz w:val="24"/>
          <w:szCs w:val="24"/>
          <w:highlight w:val="none"/>
        </w:rPr>
        <w:t>参考位置距声源的距离，</w:t>
      </w:r>
      <w:r>
        <w:rPr>
          <w:rFonts w:eastAsiaTheme="minorEastAsia"/>
          <w:sz w:val="24"/>
          <w:szCs w:val="24"/>
          <w:highlight w:val="none"/>
        </w:rPr>
        <w:t>m</w:t>
      </w:r>
      <w:r>
        <w:rPr>
          <w:rFonts w:hAnsiTheme="minorEastAsia" w:eastAsiaTheme="minorEastAsia"/>
          <w:sz w:val="24"/>
          <w:szCs w:val="24"/>
          <w:highlight w:val="none"/>
        </w:rPr>
        <w:t>。</w:t>
      </w:r>
    </w:p>
    <w:p w14:paraId="2B8BEAD9">
      <w:pPr>
        <w:pStyle w:val="148"/>
        <w:autoSpaceDE w:val="0"/>
        <w:autoSpaceDN w:val="0"/>
        <w:adjustRightInd/>
        <w:spacing w:line="360" w:lineRule="auto"/>
        <w:ind w:firstLine="480" w:firstLineChars="200"/>
        <w:jc w:val="both"/>
        <w:textAlignment w:val="center"/>
        <w:rPr>
          <w:rFonts w:ascii="Times New Roman" w:hAnsi="Times New Roman" w:cs="Times New Roman" w:eastAsiaTheme="minorEastAsia"/>
          <w:highlight w:val="none"/>
        </w:rPr>
      </w:pPr>
      <w:r>
        <w:rPr>
          <w:rFonts w:cs="Times New Roman" w:asciiTheme="minorEastAsia" w:hAnsiTheme="minorEastAsia" w:eastAsiaTheme="minorEastAsia"/>
          <w:highlight w:val="none"/>
        </w:rPr>
        <w:t>④</w:t>
      </w:r>
      <w:r>
        <w:rPr>
          <w:rFonts w:ascii="Times New Roman" w:cs="Times New Roman" w:hAnsiTheme="minorEastAsia" w:eastAsiaTheme="minorEastAsia"/>
          <w:highlight w:val="none"/>
        </w:rPr>
        <w:t>建设项目声源在预测点产生的等效声级贡献值</w:t>
      </w:r>
      <w:r>
        <w:rPr>
          <w:rFonts w:hint="eastAsia" w:ascii="Times New Roman" w:hAnsi="Times New Roman" w:cs="Times New Roman" w:eastAsiaTheme="minorEastAsia"/>
          <w:highlight w:val="none"/>
          <w:lang w:eastAsia="zh-CN"/>
        </w:rPr>
        <w:t>（</w:t>
      </w:r>
      <w:r>
        <w:rPr>
          <w:rFonts w:ascii="Times New Roman" w:hAnsi="Times New Roman" w:cs="Times New Roman" w:eastAsiaTheme="minorEastAsia"/>
          <w:i/>
          <w:highlight w:val="none"/>
        </w:rPr>
        <w:t>L</w:t>
      </w:r>
      <w:r>
        <w:rPr>
          <w:rFonts w:ascii="Times New Roman" w:hAnsi="Times New Roman" w:cs="Times New Roman" w:eastAsiaTheme="minorEastAsia"/>
          <w:highlight w:val="none"/>
          <w:vertAlign w:val="subscript"/>
        </w:rPr>
        <w:t>eqg</w:t>
      </w:r>
      <w:r>
        <w:rPr>
          <w:rFonts w:hint="eastAsia" w:ascii="Times New Roman" w:hAnsi="Times New Roman" w:cs="Times New Roman" w:eastAsiaTheme="minorEastAsia"/>
          <w:highlight w:val="none"/>
          <w:lang w:eastAsia="zh-CN"/>
        </w:rPr>
        <w:t>）</w:t>
      </w:r>
      <w:r>
        <w:rPr>
          <w:rFonts w:ascii="Times New Roman" w:cs="Times New Roman" w:hAnsiTheme="minorEastAsia" w:eastAsiaTheme="minorEastAsia"/>
          <w:highlight w:val="none"/>
        </w:rPr>
        <w:t>计算公式：</w:t>
      </w:r>
    </w:p>
    <w:p w14:paraId="237AF930">
      <w:pPr>
        <w:pStyle w:val="148"/>
        <w:autoSpaceDE w:val="0"/>
        <w:autoSpaceDN w:val="0"/>
        <w:adjustRightInd/>
        <w:spacing w:line="360" w:lineRule="auto"/>
        <w:ind w:firstLine="198"/>
        <w:jc w:val="center"/>
        <w:textAlignment w:val="center"/>
        <w:rPr>
          <w:rFonts w:ascii="Times New Roman" w:hAnsi="Times New Roman" w:cs="Times New Roman" w:eastAsiaTheme="minorEastAsia"/>
          <w:highlight w:val="none"/>
        </w:rPr>
      </w:pPr>
      <w:r>
        <w:rPr>
          <w:rFonts w:ascii="Times New Roman" w:hAnsi="Times New Roman" w:cs="Times New Roman" w:eastAsiaTheme="minorEastAsia"/>
          <w:position w:val="-30"/>
          <w:highlight w:val="none"/>
        </w:rPr>
        <w:object>
          <v:shape id="_x0000_i1038" o:spt="75" type="#_x0000_t75" style="height:39.15pt;width:141.7pt;" o:ole="t" filled="f" coordsize="21600,21600">
            <v:path/>
            <v:fill on="f" focussize="0,0"/>
            <v:stroke/>
            <v:imagedata r:id="rId90" o:title=""/>
            <o:lock v:ext="edit" aspectratio="t"/>
            <w10:wrap type="none"/>
            <w10:anchorlock/>
          </v:shape>
          <o:OLEObject Type="Embed" ProgID="Equation.3" ShapeID="_x0000_i1038" DrawAspect="Content" ObjectID="_1468075739" r:id="rId89">
            <o:LockedField>false</o:LockedField>
          </o:OLEObject>
        </w:object>
      </w:r>
    </w:p>
    <w:p w14:paraId="5B1B3B30">
      <w:pPr>
        <w:pStyle w:val="148"/>
        <w:autoSpaceDE w:val="0"/>
        <w:autoSpaceDN w:val="0"/>
        <w:adjustRightInd/>
        <w:spacing w:line="360" w:lineRule="auto"/>
        <w:ind w:firstLine="200"/>
        <w:jc w:val="both"/>
        <w:textAlignment w:val="center"/>
        <w:rPr>
          <w:rFonts w:ascii="Times New Roman" w:hAnsi="Times New Roman" w:cs="Times New Roman" w:eastAsiaTheme="minorEastAsia"/>
          <w:highlight w:val="none"/>
        </w:rPr>
      </w:pPr>
      <w:r>
        <w:rPr>
          <w:rFonts w:ascii="Times New Roman" w:cs="Times New Roman" w:hAnsiTheme="minorEastAsia" w:eastAsiaTheme="minorEastAsia"/>
          <w:highlight w:val="none"/>
        </w:rPr>
        <w:t>式中：</w:t>
      </w:r>
      <w:r>
        <w:rPr>
          <w:rFonts w:ascii="Times New Roman" w:hAnsi="Times New Roman" w:cs="Times New Roman" w:eastAsiaTheme="minorEastAsia"/>
          <w:i/>
          <w:highlight w:val="none"/>
        </w:rPr>
        <w:t>L</w:t>
      </w:r>
      <w:r>
        <w:rPr>
          <w:rFonts w:ascii="Times New Roman" w:hAnsi="Times New Roman" w:cs="Times New Roman" w:eastAsiaTheme="minorEastAsia"/>
          <w:highlight w:val="none"/>
          <w:vertAlign w:val="subscript"/>
        </w:rPr>
        <w:t>eqg</w:t>
      </w:r>
      <w:r>
        <w:rPr>
          <w:rFonts w:ascii="Times New Roman" w:hAnsi="Times New Roman" w:cs="Times New Roman" w:eastAsiaTheme="minorEastAsia"/>
          <w:highlight w:val="none"/>
        </w:rPr>
        <w:t>—</w:t>
      </w:r>
      <w:r>
        <w:rPr>
          <w:rFonts w:ascii="Times New Roman" w:cs="Times New Roman" w:hAnsiTheme="minorEastAsia" w:eastAsiaTheme="minorEastAsia"/>
          <w:highlight w:val="none"/>
        </w:rPr>
        <w:t>建设项目声源在预测点的等效声级贡献值，</w:t>
      </w:r>
      <w:r>
        <w:rPr>
          <w:rFonts w:ascii="Times New Roman" w:hAnsi="Times New Roman" w:cs="Times New Roman" w:eastAsiaTheme="minorEastAsia"/>
          <w:highlight w:val="none"/>
        </w:rPr>
        <w:t>dB</w:t>
      </w:r>
      <w:r>
        <w:rPr>
          <w:rFonts w:hint="eastAsia" w:ascii="Times New Roman" w:hAnsi="Times New Roman" w:cs="Times New Roman" w:eastAsiaTheme="minorEastAsia"/>
          <w:highlight w:val="none"/>
          <w:lang w:eastAsia="zh-CN"/>
        </w:rPr>
        <w:t>（</w:t>
      </w:r>
      <w:r>
        <w:rPr>
          <w:rFonts w:ascii="Times New Roman" w:hAnsi="Times New Roman" w:cs="Times New Roman" w:eastAsiaTheme="minorEastAsia"/>
          <w:highlight w:val="none"/>
        </w:rPr>
        <w:t>A</w:t>
      </w:r>
      <w:r>
        <w:rPr>
          <w:rFonts w:hint="eastAsia" w:ascii="Times New Roman" w:hAnsi="Times New Roman" w:cs="Times New Roman" w:eastAsiaTheme="minorEastAsia"/>
          <w:highlight w:val="none"/>
          <w:lang w:eastAsia="zh-CN"/>
        </w:rPr>
        <w:t>）</w:t>
      </w:r>
      <w:r>
        <w:rPr>
          <w:rFonts w:ascii="Times New Roman" w:cs="Times New Roman" w:hAnsiTheme="minorEastAsia" w:eastAsiaTheme="minorEastAsia"/>
          <w:highlight w:val="none"/>
        </w:rPr>
        <w:t>；</w:t>
      </w:r>
    </w:p>
    <w:p w14:paraId="2F1039F2">
      <w:pPr>
        <w:pStyle w:val="148"/>
        <w:autoSpaceDE w:val="0"/>
        <w:autoSpaceDN w:val="0"/>
        <w:adjustRightInd/>
        <w:spacing w:line="360" w:lineRule="auto"/>
        <w:ind w:firstLine="820" w:firstLineChars="342"/>
        <w:jc w:val="both"/>
        <w:textAlignment w:val="center"/>
        <w:rPr>
          <w:rFonts w:ascii="Times New Roman" w:hAnsi="Times New Roman" w:cs="Times New Roman" w:eastAsiaTheme="minorEastAsia"/>
          <w:highlight w:val="none"/>
        </w:rPr>
      </w:pPr>
      <w:r>
        <w:rPr>
          <w:rFonts w:ascii="Times New Roman" w:hAnsi="Times New Roman" w:cs="Times New Roman" w:eastAsiaTheme="minorEastAsia"/>
          <w:i/>
          <w:highlight w:val="none"/>
        </w:rPr>
        <w:t>L</w:t>
      </w:r>
      <w:r>
        <w:rPr>
          <w:rFonts w:ascii="Times New Roman" w:hAnsi="Times New Roman" w:cs="Times New Roman" w:eastAsiaTheme="minorEastAsia"/>
          <w:highlight w:val="none"/>
          <w:vertAlign w:val="subscript"/>
        </w:rPr>
        <w:t>Ai</w:t>
      </w:r>
      <w:r>
        <w:rPr>
          <w:rFonts w:ascii="Times New Roman" w:hAnsi="Times New Roman" w:cs="Times New Roman" w:eastAsiaTheme="minorEastAsia"/>
          <w:highlight w:val="none"/>
        </w:rPr>
        <w:t>—</w:t>
      </w:r>
      <w:r>
        <w:rPr>
          <w:rFonts w:ascii="Times New Roman" w:hAnsi="Times New Roman" w:cs="Times New Roman" w:eastAsiaTheme="minorEastAsia"/>
          <w:i/>
          <w:highlight w:val="none"/>
        </w:rPr>
        <w:t>i</w:t>
      </w:r>
      <w:r>
        <w:rPr>
          <w:rFonts w:ascii="Times New Roman" w:cs="Times New Roman" w:hAnsiTheme="minorEastAsia" w:eastAsiaTheme="minorEastAsia"/>
          <w:highlight w:val="none"/>
        </w:rPr>
        <w:t>声源在预测点产生的</w:t>
      </w:r>
      <w:r>
        <w:rPr>
          <w:rFonts w:ascii="Times New Roman" w:hAnsi="Times New Roman" w:cs="Times New Roman" w:eastAsiaTheme="minorEastAsia"/>
          <w:highlight w:val="none"/>
        </w:rPr>
        <w:t>A</w:t>
      </w:r>
      <w:r>
        <w:rPr>
          <w:rFonts w:ascii="Times New Roman" w:cs="Times New Roman" w:hAnsiTheme="minorEastAsia" w:eastAsiaTheme="minorEastAsia"/>
          <w:highlight w:val="none"/>
        </w:rPr>
        <w:t>声级，</w:t>
      </w:r>
      <w:r>
        <w:rPr>
          <w:rFonts w:ascii="Times New Roman" w:hAnsi="Times New Roman" w:cs="Times New Roman" w:eastAsiaTheme="minorEastAsia"/>
          <w:highlight w:val="none"/>
        </w:rPr>
        <w:t>dB</w:t>
      </w:r>
      <w:r>
        <w:rPr>
          <w:rFonts w:hint="eastAsia" w:ascii="Times New Roman" w:hAnsi="Times New Roman" w:cs="Times New Roman" w:eastAsiaTheme="minorEastAsia"/>
          <w:highlight w:val="none"/>
          <w:lang w:eastAsia="zh-CN"/>
        </w:rPr>
        <w:t>（</w:t>
      </w:r>
      <w:r>
        <w:rPr>
          <w:rFonts w:ascii="Times New Roman" w:hAnsi="Times New Roman" w:cs="Times New Roman" w:eastAsiaTheme="minorEastAsia"/>
          <w:highlight w:val="none"/>
        </w:rPr>
        <w:t>A</w:t>
      </w:r>
      <w:r>
        <w:rPr>
          <w:rFonts w:hint="eastAsia" w:ascii="Times New Roman" w:hAnsi="Times New Roman" w:cs="Times New Roman" w:eastAsiaTheme="minorEastAsia"/>
          <w:highlight w:val="none"/>
          <w:lang w:eastAsia="zh-CN"/>
        </w:rPr>
        <w:t>）</w:t>
      </w:r>
      <w:r>
        <w:rPr>
          <w:rFonts w:ascii="Times New Roman" w:cs="Times New Roman" w:hAnsiTheme="minorEastAsia" w:eastAsiaTheme="minorEastAsia"/>
          <w:highlight w:val="none"/>
        </w:rPr>
        <w:t>；</w:t>
      </w:r>
    </w:p>
    <w:p w14:paraId="265C09C7">
      <w:pPr>
        <w:pStyle w:val="148"/>
        <w:autoSpaceDE w:val="0"/>
        <w:autoSpaceDN w:val="0"/>
        <w:adjustRightInd/>
        <w:spacing w:line="360" w:lineRule="auto"/>
        <w:ind w:firstLine="840" w:firstLineChars="350"/>
        <w:jc w:val="both"/>
        <w:textAlignment w:val="center"/>
        <w:rPr>
          <w:rFonts w:ascii="Times New Roman" w:hAnsi="Times New Roman" w:cs="Times New Roman" w:eastAsiaTheme="minorEastAsia"/>
          <w:highlight w:val="none"/>
        </w:rPr>
      </w:pPr>
      <w:r>
        <w:rPr>
          <w:rFonts w:ascii="Times New Roman" w:hAnsi="Times New Roman" w:cs="Times New Roman" w:eastAsiaTheme="minorEastAsia"/>
          <w:i/>
          <w:highlight w:val="none"/>
        </w:rPr>
        <w:t>T</w:t>
      </w:r>
      <w:r>
        <w:rPr>
          <w:rFonts w:ascii="Times New Roman" w:hAnsi="Times New Roman" w:cs="Times New Roman" w:eastAsiaTheme="minorEastAsia"/>
          <w:highlight w:val="none"/>
        </w:rPr>
        <w:t>—</w:t>
      </w:r>
      <w:r>
        <w:rPr>
          <w:rFonts w:ascii="Times New Roman" w:cs="Times New Roman" w:hAnsiTheme="minorEastAsia" w:eastAsiaTheme="minorEastAsia"/>
          <w:highlight w:val="none"/>
        </w:rPr>
        <w:t>预测计算的时间段，</w:t>
      </w:r>
      <w:r>
        <w:rPr>
          <w:rFonts w:ascii="Times New Roman" w:hAnsi="Times New Roman" w:cs="Times New Roman" w:eastAsiaTheme="minorEastAsia"/>
          <w:highlight w:val="none"/>
        </w:rPr>
        <w:t>s</w:t>
      </w:r>
      <w:r>
        <w:rPr>
          <w:rFonts w:ascii="Times New Roman" w:cs="Times New Roman" w:hAnsiTheme="minorEastAsia" w:eastAsiaTheme="minorEastAsia"/>
          <w:highlight w:val="none"/>
        </w:rPr>
        <w:t>；</w:t>
      </w:r>
    </w:p>
    <w:p w14:paraId="4DD37AFA">
      <w:pPr>
        <w:pStyle w:val="746"/>
        <w:spacing w:line="360" w:lineRule="auto"/>
        <w:ind w:firstLine="840" w:firstLineChars="350"/>
        <w:textAlignment w:val="center"/>
        <w:rPr>
          <w:rFonts w:eastAsiaTheme="minorEastAsia"/>
          <w:sz w:val="24"/>
          <w:szCs w:val="24"/>
          <w:highlight w:val="none"/>
        </w:rPr>
      </w:pPr>
      <w:r>
        <w:rPr>
          <w:rFonts w:eastAsiaTheme="minorEastAsia"/>
          <w:i/>
          <w:sz w:val="24"/>
          <w:szCs w:val="24"/>
          <w:highlight w:val="none"/>
        </w:rPr>
        <w:t>t</w:t>
      </w:r>
      <w:r>
        <w:rPr>
          <w:rFonts w:eastAsiaTheme="minorEastAsia"/>
          <w:sz w:val="24"/>
          <w:szCs w:val="24"/>
          <w:highlight w:val="none"/>
          <w:vertAlign w:val="subscript"/>
        </w:rPr>
        <w:t>i</w:t>
      </w:r>
      <w:r>
        <w:rPr>
          <w:rFonts w:eastAsiaTheme="minorEastAsia"/>
          <w:sz w:val="24"/>
          <w:szCs w:val="24"/>
          <w:highlight w:val="none"/>
        </w:rPr>
        <w:t>—</w:t>
      </w:r>
      <w:r>
        <w:rPr>
          <w:rFonts w:eastAsiaTheme="minorEastAsia"/>
          <w:i/>
          <w:sz w:val="24"/>
          <w:szCs w:val="24"/>
          <w:highlight w:val="none"/>
        </w:rPr>
        <w:t>i</w:t>
      </w:r>
      <w:r>
        <w:rPr>
          <w:rFonts w:hAnsiTheme="minorEastAsia" w:eastAsiaTheme="minorEastAsia"/>
          <w:sz w:val="24"/>
          <w:szCs w:val="24"/>
          <w:highlight w:val="none"/>
        </w:rPr>
        <w:t>声源在</w:t>
      </w:r>
      <w:r>
        <w:rPr>
          <w:rFonts w:eastAsiaTheme="minorEastAsia"/>
          <w:sz w:val="24"/>
          <w:szCs w:val="24"/>
          <w:highlight w:val="none"/>
        </w:rPr>
        <w:t>T</w:t>
      </w:r>
      <w:r>
        <w:rPr>
          <w:rFonts w:hAnsiTheme="minorEastAsia" w:eastAsiaTheme="minorEastAsia"/>
          <w:sz w:val="24"/>
          <w:szCs w:val="24"/>
          <w:highlight w:val="none"/>
        </w:rPr>
        <w:t>时段内的运行时间，</w:t>
      </w:r>
      <w:r>
        <w:rPr>
          <w:rFonts w:eastAsiaTheme="minorEastAsia"/>
          <w:sz w:val="24"/>
          <w:szCs w:val="24"/>
          <w:highlight w:val="none"/>
        </w:rPr>
        <w:t>s</w:t>
      </w:r>
      <w:r>
        <w:rPr>
          <w:rFonts w:hAnsiTheme="minorEastAsia" w:eastAsiaTheme="minorEastAsia"/>
          <w:sz w:val="24"/>
          <w:szCs w:val="24"/>
          <w:highlight w:val="none"/>
        </w:rPr>
        <w:t>。</w:t>
      </w:r>
    </w:p>
    <w:p w14:paraId="49A0E0C8">
      <w:pPr>
        <w:pStyle w:val="148"/>
        <w:autoSpaceDE w:val="0"/>
        <w:autoSpaceDN w:val="0"/>
        <w:adjustRightInd/>
        <w:spacing w:line="360" w:lineRule="auto"/>
        <w:jc w:val="both"/>
        <w:textAlignment w:val="center"/>
        <w:rPr>
          <w:rFonts w:hint="eastAsia" w:ascii="Times New Roman" w:hAnsi="Times New Roman" w:cs="Times New Roman" w:eastAsiaTheme="minorEastAsia"/>
          <w:highlight w:val="none"/>
          <w:lang w:eastAsia="zh-CN"/>
        </w:rPr>
      </w:pPr>
      <w:r>
        <w:rPr>
          <w:rFonts w:ascii="Times New Roman" w:cs="Times New Roman" w:hAnsiTheme="minorEastAsia" w:eastAsiaTheme="minorEastAsia"/>
          <w:highlight w:val="none"/>
        </w:rPr>
        <w:t>预测点的预测等效声级</w:t>
      </w:r>
      <w:r>
        <w:rPr>
          <w:rFonts w:hint="eastAsia" w:ascii="Times New Roman" w:hAnsi="Times New Roman" w:cs="Times New Roman" w:eastAsiaTheme="minorEastAsia"/>
          <w:highlight w:val="none"/>
          <w:lang w:eastAsia="zh-CN"/>
        </w:rPr>
        <w:t>（</w:t>
      </w:r>
      <w:r>
        <w:rPr>
          <w:rFonts w:ascii="Times New Roman" w:hAnsi="Times New Roman" w:cs="Times New Roman" w:eastAsiaTheme="minorEastAsia"/>
          <w:highlight w:val="none"/>
        </w:rPr>
        <w:t>L</w:t>
      </w:r>
      <w:r>
        <w:rPr>
          <w:rFonts w:ascii="Times New Roman" w:hAnsi="Times New Roman" w:cs="Times New Roman" w:eastAsiaTheme="minorEastAsia"/>
          <w:highlight w:val="none"/>
          <w:vertAlign w:val="subscript"/>
        </w:rPr>
        <w:t>eq</w:t>
      </w:r>
      <w:r>
        <w:rPr>
          <w:rFonts w:hint="eastAsia" w:ascii="Times New Roman" w:hAnsi="Times New Roman" w:cs="Times New Roman" w:eastAsiaTheme="minorEastAsia"/>
          <w:highlight w:val="none"/>
          <w:lang w:eastAsia="zh-CN"/>
        </w:rPr>
        <w:t>）</w:t>
      </w:r>
      <w:r>
        <w:rPr>
          <w:rFonts w:ascii="Times New Roman" w:cs="Times New Roman" w:hAnsiTheme="minorEastAsia" w:eastAsiaTheme="minorEastAsia"/>
          <w:highlight w:val="none"/>
        </w:rPr>
        <w:t>计算公式：</w:t>
      </w:r>
    </w:p>
    <w:p w14:paraId="68D4BFF8">
      <w:pPr>
        <w:autoSpaceDE w:val="0"/>
        <w:autoSpaceDN w:val="0"/>
        <w:spacing w:line="360" w:lineRule="auto"/>
        <w:ind w:firstLine="480"/>
        <w:jc w:val="center"/>
        <w:textAlignment w:val="center"/>
        <w:rPr>
          <w:rFonts w:eastAsiaTheme="minorEastAsia"/>
          <w:sz w:val="24"/>
          <w:highlight w:val="none"/>
        </w:rPr>
      </w:pPr>
      <w:r>
        <w:rPr>
          <w:rFonts w:eastAsiaTheme="minorEastAsia"/>
          <w:position w:val="-10"/>
          <w:sz w:val="24"/>
          <w:highlight w:val="none"/>
        </w:rPr>
        <w:object>
          <v:shape id="_x0000_i1039" o:spt="75" type="#_x0000_t75" style="height:23.05pt;width:183.15pt;" o:ole="t" filled="f" coordsize="21600,21600">
            <v:path/>
            <v:fill on="f" focussize="0,0"/>
            <v:stroke/>
            <v:imagedata r:id="rId92" o:title=""/>
            <o:lock v:ext="edit" aspectratio="t"/>
            <w10:wrap type="none"/>
            <w10:anchorlock/>
          </v:shape>
          <o:OLEObject Type="Embed" ProgID="Equation.3" ShapeID="_x0000_i1039" DrawAspect="Content" ObjectID="_1468075740" r:id="rId91">
            <o:LockedField>false</o:LockedField>
          </o:OLEObject>
        </w:object>
      </w:r>
    </w:p>
    <w:p w14:paraId="0481D752">
      <w:pPr>
        <w:pStyle w:val="148"/>
        <w:autoSpaceDE w:val="0"/>
        <w:autoSpaceDN w:val="0"/>
        <w:adjustRightInd/>
        <w:spacing w:line="360" w:lineRule="auto"/>
        <w:ind w:left="1680" w:hanging="1680" w:hangingChars="700"/>
        <w:jc w:val="both"/>
        <w:textAlignment w:val="center"/>
        <w:rPr>
          <w:rFonts w:hint="eastAsia" w:ascii="Times New Roman" w:hAnsi="Times New Roman" w:cs="Times New Roman" w:eastAsiaTheme="minorEastAsia"/>
          <w:highlight w:val="none"/>
          <w:lang w:eastAsia="zh-CN"/>
        </w:rPr>
      </w:pPr>
      <w:r>
        <w:rPr>
          <w:rFonts w:ascii="Times New Roman" w:cs="Times New Roman" w:hAnsiTheme="minorEastAsia" w:eastAsiaTheme="minorEastAsia"/>
          <w:highlight w:val="none"/>
        </w:rPr>
        <w:t>式中：</w:t>
      </w:r>
      <w:r>
        <w:rPr>
          <w:rFonts w:ascii="Times New Roman" w:hAnsi="Times New Roman" w:cs="Times New Roman" w:eastAsiaTheme="minorEastAsia"/>
          <w:i/>
          <w:highlight w:val="none"/>
        </w:rPr>
        <w:t>L</w:t>
      </w:r>
      <w:r>
        <w:rPr>
          <w:rFonts w:ascii="Times New Roman" w:hAnsi="Times New Roman" w:cs="Times New Roman" w:eastAsiaTheme="minorEastAsia"/>
          <w:highlight w:val="none"/>
          <w:vertAlign w:val="subscript"/>
        </w:rPr>
        <w:t>eqg</w:t>
      </w:r>
      <w:r>
        <w:rPr>
          <w:rFonts w:ascii="Times New Roman" w:hAnsi="Times New Roman" w:cs="Times New Roman" w:eastAsiaTheme="minorEastAsia"/>
          <w:highlight w:val="none"/>
        </w:rPr>
        <w:t>—</w:t>
      </w:r>
      <w:r>
        <w:rPr>
          <w:rFonts w:ascii="Times New Roman" w:cs="Times New Roman" w:hAnsiTheme="minorEastAsia" w:eastAsiaTheme="minorEastAsia"/>
          <w:highlight w:val="none"/>
        </w:rPr>
        <w:t>建设项目声源在预测点的等效声级贡献值，</w:t>
      </w:r>
      <w:r>
        <w:rPr>
          <w:rFonts w:ascii="Times New Roman" w:hAnsi="Times New Roman" w:cs="Times New Roman" w:eastAsiaTheme="minorEastAsia"/>
          <w:highlight w:val="none"/>
        </w:rPr>
        <w:t>dB</w:t>
      </w:r>
      <w:r>
        <w:rPr>
          <w:rFonts w:hint="eastAsia" w:ascii="Times New Roman" w:hAnsi="Times New Roman" w:cs="Times New Roman" w:eastAsiaTheme="minorEastAsia"/>
          <w:highlight w:val="none"/>
          <w:lang w:eastAsia="zh-CN"/>
        </w:rPr>
        <w:t>（</w:t>
      </w:r>
      <w:r>
        <w:rPr>
          <w:rFonts w:ascii="Times New Roman" w:hAnsi="Times New Roman" w:cs="Times New Roman" w:eastAsiaTheme="minorEastAsia"/>
          <w:highlight w:val="none"/>
        </w:rPr>
        <w:t>A</w:t>
      </w:r>
      <w:r>
        <w:rPr>
          <w:rFonts w:hint="eastAsia" w:ascii="Times New Roman" w:hAnsi="Times New Roman" w:cs="Times New Roman" w:eastAsiaTheme="minorEastAsia"/>
          <w:highlight w:val="none"/>
          <w:lang w:eastAsia="zh-CN"/>
        </w:rPr>
        <w:t>）</w:t>
      </w:r>
      <w:r>
        <w:rPr>
          <w:rFonts w:ascii="Times New Roman" w:cs="Times New Roman" w:hAnsiTheme="minorEastAsia" w:eastAsiaTheme="minorEastAsia"/>
          <w:highlight w:val="none"/>
        </w:rPr>
        <w:t>；</w:t>
      </w:r>
    </w:p>
    <w:p w14:paraId="44FDF88C">
      <w:pPr>
        <w:pStyle w:val="76"/>
        <w:widowControl w:val="0"/>
        <w:adjustRightInd/>
        <w:snapToGrid/>
        <w:ind w:firstLine="600" w:firstLineChars="250"/>
        <w:rPr>
          <w:rFonts w:ascii="Times New Roman" w:hAnsi="Times New Roman" w:cs="Times New Roman"/>
          <w:highlight w:val="none"/>
        </w:rPr>
      </w:pPr>
      <w:r>
        <w:rPr>
          <w:rFonts w:ascii="Times New Roman" w:hAnsi="Times New Roman" w:cs="Times New Roman"/>
          <w:highlight w:val="none"/>
        </w:rPr>
        <w:t>L</w:t>
      </w:r>
      <w:r>
        <w:rPr>
          <w:rFonts w:ascii="Times New Roman" w:hAnsi="Times New Roman" w:cs="Times New Roman"/>
          <w:highlight w:val="none"/>
          <w:vertAlign w:val="subscript"/>
        </w:rPr>
        <w:t>eqb</w:t>
      </w:r>
      <w:r>
        <w:rPr>
          <w:rFonts w:ascii="Times New Roman" w:hAnsi="Times New Roman" w:cs="Times New Roman"/>
          <w:highlight w:val="none"/>
        </w:rPr>
        <w:t>—</w:t>
      </w:r>
      <w:r>
        <w:rPr>
          <w:rFonts w:ascii="Times New Roman" w:cs="Times New Roman" w:hAnsiTheme="minorEastAsia"/>
          <w:highlight w:val="none"/>
        </w:rPr>
        <w:t>预测点的背景值，</w:t>
      </w:r>
      <w:r>
        <w:rPr>
          <w:rFonts w:ascii="Times New Roman" w:hAnsi="Times New Roman" w:cs="Times New Roman"/>
          <w:highlight w:val="none"/>
        </w:rPr>
        <w:t>dB</w:t>
      </w:r>
      <w:r>
        <w:rPr>
          <w:rFonts w:hint="eastAsia" w:ascii="Times New Roman" w:hAnsi="Times New Roman" w:cs="Times New Roman"/>
          <w:highlight w:val="none"/>
          <w:lang w:eastAsia="zh-CN"/>
        </w:rPr>
        <w:t>（</w:t>
      </w:r>
      <w:r>
        <w:rPr>
          <w:rFonts w:ascii="Times New Roman" w:hAnsi="Times New Roman" w:cs="Times New Roman"/>
          <w:highlight w:val="none"/>
        </w:rPr>
        <w:t>A</w:t>
      </w:r>
      <w:r>
        <w:rPr>
          <w:rFonts w:hint="eastAsia" w:ascii="Times New Roman" w:hAnsi="Times New Roman" w:cs="Times New Roman"/>
          <w:highlight w:val="none"/>
          <w:lang w:eastAsia="zh-CN"/>
        </w:rPr>
        <w:t>）</w:t>
      </w:r>
      <w:r>
        <w:rPr>
          <w:rFonts w:ascii="Times New Roman" w:cs="Times New Roman" w:hAnsiTheme="minorEastAsia"/>
          <w:highlight w:val="none"/>
        </w:rPr>
        <w:t>。</w:t>
      </w:r>
    </w:p>
    <w:p w14:paraId="6B174D50">
      <w:pPr>
        <w:bidi w:val="0"/>
        <w:rPr>
          <w:rFonts w:eastAsiaTheme="minorEastAsia"/>
          <w:sz w:val="24"/>
          <w:highlight w:val="none"/>
        </w:rPr>
      </w:pPr>
      <w:r>
        <w:rPr>
          <w:rFonts w:asciiTheme="minorEastAsia" w:hAnsiTheme="minorEastAsia" w:eastAsiaTheme="minorEastAsia"/>
          <w:sz w:val="24"/>
          <w:highlight w:val="none"/>
        </w:rPr>
        <w:t>⑤</w:t>
      </w:r>
      <w:r>
        <w:rPr>
          <w:rFonts w:hAnsiTheme="minorEastAsia" w:eastAsiaTheme="minorEastAsia"/>
          <w:sz w:val="24"/>
          <w:highlight w:val="none"/>
        </w:rPr>
        <w:t>户外声传播衰减计算</w:t>
      </w:r>
    </w:p>
    <w:p w14:paraId="1283CA4E">
      <w:pPr>
        <w:spacing w:line="360" w:lineRule="auto"/>
        <w:ind w:firstLine="480" w:firstLineChars="200"/>
        <w:rPr>
          <w:rFonts w:eastAsiaTheme="minorEastAsia"/>
          <w:sz w:val="24"/>
          <w:highlight w:val="none"/>
        </w:rPr>
      </w:pPr>
      <w:r>
        <w:rPr>
          <w:rFonts w:hAnsiTheme="minorEastAsia" w:eastAsiaTheme="minorEastAsia"/>
          <w:sz w:val="24"/>
          <w:highlight w:val="none"/>
        </w:rPr>
        <w:t>户外声传播衰减包括几何发散（</w:t>
      </w:r>
      <w:r>
        <w:rPr>
          <w:rFonts w:eastAsiaTheme="minorEastAsia"/>
          <w:sz w:val="24"/>
          <w:highlight w:val="none"/>
        </w:rPr>
        <w:t>A</w:t>
      </w:r>
      <w:r>
        <w:rPr>
          <w:rFonts w:eastAsiaTheme="minorEastAsia"/>
          <w:sz w:val="24"/>
          <w:highlight w:val="none"/>
          <w:vertAlign w:val="subscript"/>
        </w:rPr>
        <w:t>div</w:t>
      </w:r>
      <w:r>
        <w:rPr>
          <w:rFonts w:hAnsiTheme="minorEastAsia" w:eastAsiaTheme="minorEastAsia"/>
          <w:sz w:val="24"/>
          <w:highlight w:val="none"/>
        </w:rPr>
        <w:t>）、大气吸收（</w:t>
      </w:r>
      <w:r>
        <w:rPr>
          <w:rFonts w:eastAsiaTheme="minorEastAsia"/>
          <w:sz w:val="24"/>
          <w:highlight w:val="none"/>
        </w:rPr>
        <w:t>A</w:t>
      </w:r>
      <w:r>
        <w:rPr>
          <w:rFonts w:eastAsiaTheme="minorEastAsia"/>
          <w:sz w:val="24"/>
          <w:highlight w:val="none"/>
          <w:vertAlign w:val="subscript"/>
        </w:rPr>
        <w:t>atm</w:t>
      </w:r>
      <w:r>
        <w:rPr>
          <w:rFonts w:hAnsiTheme="minorEastAsia" w:eastAsiaTheme="minorEastAsia"/>
          <w:sz w:val="24"/>
          <w:highlight w:val="none"/>
        </w:rPr>
        <w:t>）、地面效应（</w:t>
      </w:r>
      <w:r>
        <w:rPr>
          <w:rFonts w:eastAsiaTheme="minorEastAsia"/>
          <w:sz w:val="24"/>
          <w:highlight w:val="none"/>
        </w:rPr>
        <w:t>A</w:t>
      </w:r>
      <w:r>
        <w:rPr>
          <w:rFonts w:eastAsiaTheme="minorEastAsia"/>
          <w:sz w:val="24"/>
          <w:highlight w:val="none"/>
          <w:vertAlign w:val="subscript"/>
        </w:rPr>
        <w:t>gr</w:t>
      </w:r>
      <w:r>
        <w:rPr>
          <w:rFonts w:hAnsiTheme="minorEastAsia" w:eastAsiaTheme="minorEastAsia"/>
          <w:sz w:val="24"/>
          <w:highlight w:val="none"/>
        </w:rPr>
        <w:t>）、屏障屏蔽（</w:t>
      </w:r>
      <w:r>
        <w:rPr>
          <w:rFonts w:eastAsiaTheme="minorEastAsia"/>
          <w:sz w:val="24"/>
          <w:highlight w:val="none"/>
        </w:rPr>
        <w:t>A</w:t>
      </w:r>
      <w:r>
        <w:rPr>
          <w:rFonts w:eastAsiaTheme="minorEastAsia"/>
          <w:sz w:val="24"/>
          <w:highlight w:val="none"/>
          <w:vertAlign w:val="subscript"/>
        </w:rPr>
        <w:t>bar</w:t>
      </w:r>
      <w:r>
        <w:rPr>
          <w:rFonts w:hAnsiTheme="minorEastAsia" w:eastAsiaTheme="minorEastAsia"/>
          <w:sz w:val="24"/>
          <w:highlight w:val="none"/>
        </w:rPr>
        <w:t>）、其他多方面效应（</w:t>
      </w:r>
      <w:r>
        <w:rPr>
          <w:rFonts w:eastAsiaTheme="minorEastAsia"/>
          <w:sz w:val="24"/>
          <w:highlight w:val="none"/>
        </w:rPr>
        <w:t>A</w:t>
      </w:r>
      <w:r>
        <w:rPr>
          <w:rFonts w:eastAsiaTheme="minorEastAsia"/>
          <w:sz w:val="24"/>
          <w:highlight w:val="none"/>
          <w:vertAlign w:val="subscript"/>
        </w:rPr>
        <w:t>misc</w:t>
      </w:r>
      <w:r>
        <w:rPr>
          <w:rFonts w:hAnsiTheme="minorEastAsia" w:eastAsiaTheme="minorEastAsia"/>
          <w:sz w:val="24"/>
          <w:highlight w:val="none"/>
        </w:rPr>
        <w:t>）引起的衰减。</w:t>
      </w:r>
    </w:p>
    <w:p w14:paraId="3C03C086">
      <w:pPr>
        <w:spacing w:line="360" w:lineRule="auto"/>
        <w:ind w:firstLine="480" w:firstLineChars="200"/>
        <w:rPr>
          <w:rFonts w:eastAsiaTheme="minorEastAsia"/>
          <w:sz w:val="24"/>
          <w:highlight w:val="none"/>
        </w:rPr>
      </w:pPr>
      <w:r>
        <w:rPr>
          <w:rFonts w:hAnsiTheme="minorEastAsia" w:eastAsiaTheme="minorEastAsia"/>
          <w:sz w:val="24"/>
          <w:highlight w:val="none"/>
        </w:rPr>
        <w:t>距声源点</w:t>
      </w:r>
      <w:r>
        <w:rPr>
          <w:rFonts w:eastAsiaTheme="minorEastAsia"/>
          <w:sz w:val="24"/>
          <w:highlight w:val="none"/>
        </w:rPr>
        <w:t>r</w:t>
      </w:r>
      <w:r>
        <w:rPr>
          <w:rFonts w:hAnsiTheme="minorEastAsia" w:eastAsiaTheme="minorEastAsia"/>
          <w:sz w:val="24"/>
          <w:highlight w:val="none"/>
        </w:rPr>
        <w:t>处的</w:t>
      </w:r>
      <w:r>
        <w:rPr>
          <w:rFonts w:eastAsiaTheme="minorEastAsia"/>
          <w:sz w:val="24"/>
          <w:highlight w:val="none"/>
        </w:rPr>
        <w:t>A</w:t>
      </w:r>
      <w:r>
        <w:rPr>
          <w:rFonts w:hAnsiTheme="minorEastAsia" w:eastAsiaTheme="minorEastAsia"/>
          <w:sz w:val="24"/>
          <w:highlight w:val="none"/>
        </w:rPr>
        <w:t>声级按下式计算：</w:t>
      </w:r>
    </w:p>
    <w:p w14:paraId="685966F1">
      <w:pPr>
        <w:spacing w:line="360" w:lineRule="auto"/>
        <w:jc w:val="center"/>
        <w:rPr>
          <w:rFonts w:eastAsiaTheme="minorEastAsia"/>
          <w:sz w:val="24"/>
          <w:highlight w:val="none"/>
        </w:rPr>
      </w:pPr>
      <w:r>
        <w:rPr>
          <w:rFonts w:eastAsiaTheme="minorEastAsia"/>
          <w:sz w:val="24"/>
          <w:highlight w:val="none"/>
        </w:rPr>
        <w:drawing>
          <wp:inline distT="0" distB="0" distL="0" distR="0">
            <wp:extent cx="3928110" cy="334010"/>
            <wp:effectExtent l="19050" t="0" r="0" b="0"/>
            <wp:docPr id="211" name="图片 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3144"/>
                    <pic:cNvPicPr>
                      <a:picLocks noChangeAspect="1" noChangeArrowheads="1"/>
                    </pic:cNvPicPr>
                  </pic:nvPicPr>
                  <pic:blipFill>
                    <a:blip r:embed="rId93"/>
                    <a:srcRect/>
                    <a:stretch>
                      <a:fillRect/>
                    </a:stretch>
                  </pic:blipFill>
                  <pic:spPr>
                    <a:xfrm>
                      <a:off x="0" y="0"/>
                      <a:ext cx="3928110" cy="334010"/>
                    </a:xfrm>
                    <a:prstGeom prst="rect">
                      <a:avLst/>
                    </a:prstGeom>
                    <a:noFill/>
                    <a:ln w="9525">
                      <a:noFill/>
                      <a:miter lim="800000"/>
                      <a:headEnd/>
                      <a:tailEnd/>
                    </a:ln>
                  </pic:spPr>
                </pic:pic>
              </a:graphicData>
            </a:graphic>
          </wp:inline>
        </w:drawing>
      </w:r>
    </w:p>
    <w:p w14:paraId="575325BA">
      <w:pPr>
        <w:pStyle w:val="76"/>
        <w:adjustRightInd/>
        <w:snapToGrid/>
        <w:rPr>
          <w:rFonts w:ascii="Times New Roman" w:hAnsi="Times New Roman" w:cs="Times New Roman"/>
          <w:highlight w:val="none"/>
        </w:rPr>
      </w:pPr>
      <w:r>
        <w:rPr>
          <w:rFonts w:ascii="Times New Roman" w:cs="Times New Roman" w:hAnsiTheme="minorEastAsia"/>
          <w:highlight w:val="none"/>
        </w:rPr>
        <w:t>在预测中考虑反射引起的修正、屏障引起的衰减、双绕射、室内声源等效室外声源等影响和计算方法。</w:t>
      </w:r>
    </w:p>
    <w:p w14:paraId="328A4BAF">
      <w:pPr>
        <w:bidi w:val="0"/>
        <w:rPr>
          <w:rFonts w:eastAsiaTheme="minorEastAsia"/>
          <w:b/>
          <w:snapToGrid w:val="0"/>
          <w:sz w:val="24"/>
          <w:highlight w:val="none"/>
        </w:rPr>
      </w:pPr>
      <w:r>
        <w:rPr>
          <w:rFonts w:eastAsiaTheme="minorEastAsia"/>
          <w:b/>
          <w:snapToGrid w:val="0"/>
          <w:sz w:val="24"/>
          <w:highlight w:val="none"/>
        </w:rPr>
        <w:t>5.2.4.3</w:t>
      </w:r>
      <w:r>
        <w:rPr>
          <w:rFonts w:hAnsiTheme="minorEastAsia" w:eastAsiaTheme="minorEastAsia"/>
          <w:b/>
          <w:snapToGrid w:val="0"/>
          <w:sz w:val="24"/>
          <w:highlight w:val="none"/>
        </w:rPr>
        <w:t>预测结果</w:t>
      </w:r>
    </w:p>
    <w:p w14:paraId="42CEC9F3">
      <w:pPr>
        <w:pStyle w:val="76"/>
        <w:adjustRightInd/>
        <w:snapToGrid/>
        <w:rPr>
          <w:rFonts w:ascii="Times New Roman" w:hAnsi="Times New Roman" w:cs="Times New Roman"/>
          <w:snapToGrid w:val="0"/>
          <w:highlight w:val="none"/>
        </w:rPr>
      </w:pPr>
      <w:r>
        <w:rPr>
          <w:rFonts w:ascii="Times New Roman" w:hAnsi="Times New Roman" w:cs="Times New Roman"/>
          <w:snapToGrid w:val="0"/>
          <w:highlight w:val="none"/>
        </w:rPr>
        <w:t>本项目预测时仅考虑点声源对周边环境的影响</w:t>
      </w:r>
      <w:r>
        <w:rPr>
          <w:rFonts w:hint="eastAsia" w:ascii="Times New Roman" w:hAnsi="Times New Roman" w:cs="Times New Roman"/>
          <w:snapToGrid w:val="0"/>
          <w:highlight w:val="none"/>
          <w:lang w:eastAsia="zh-CN"/>
        </w:rPr>
        <w:t>，</w:t>
      </w:r>
      <w:r>
        <w:rPr>
          <w:rFonts w:ascii="Times New Roman" w:hAnsi="Times New Roman" w:cs="Times New Roman"/>
          <w:highlight w:val="none"/>
        </w:rPr>
        <w:t>厂界</w:t>
      </w:r>
      <w:r>
        <w:rPr>
          <w:rFonts w:ascii="Times New Roman" w:hAnsi="Times New Roman" w:cs="Times New Roman"/>
          <w:snapToGrid w:val="0"/>
          <w:highlight w:val="none"/>
        </w:rPr>
        <w:t>噪声</w:t>
      </w:r>
      <w:r>
        <w:rPr>
          <w:rFonts w:ascii="Times New Roman" w:hAnsi="Times New Roman" w:cs="Times New Roman"/>
          <w:iCs/>
          <w:snapToGrid w:val="0"/>
          <w:highlight w:val="none"/>
        </w:rPr>
        <w:t>预测结果见下表。</w:t>
      </w:r>
    </w:p>
    <w:p w14:paraId="1C4610E7">
      <w:pPr>
        <w:pStyle w:val="7"/>
        <w:bidi w:val="0"/>
        <w:rPr>
          <w:rFonts w:hint="eastAsia"/>
          <w:highlight w:val="none"/>
          <w:lang w:eastAsia="zh-CN"/>
        </w:rPr>
      </w:pPr>
      <w:r>
        <w:rPr>
          <w:highlight w:val="none"/>
        </w:rPr>
        <w:t>表5-2-</w:t>
      </w:r>
      <w:r>
        <w:rPr>
          <w:rFonts w:hint="eastAsia"/>
          <w:highlight w:val="none"/>
          <w:lang w:val="en-US" w:eastAsia="zh-CN"/>
        </w:rPr>
        <w:t>18</w:t>
      </w:r>
      <w:r>
        <w:rPr>
          <w:highlight w:val="none"/>
        </w:rPr>
        <w:t>厂界噪声预测结果单位：dB</w:t>
      </w:r>
      <w:r>
        <w:rPr>
          <w:rFonts w:hint="eastAsia"/>
          <w:highlight w:val="none"/>
          <w:lang w:eastAsia="zh-CN"/>
        </w:rPr>
        <w:t>（</w:t>
      </w:r>
      <w:r>
        <w:rPr>
          <w:highlight w:val="none"/>
        </w:rPr>
        <w:t>A</w:t>
      </w:r>
      <w:r>
        <w:rPr>
          <w:rFonts w:hint="eastAsia"/>
          <w:highlight w:val="none"/>
          <w:lang w:eastAsia="zh-CN"/>
        </w:rPr>
        <w:t>）</w:t>
      </w:r>
    </w:p>
    <w:tbl>
      <w:tblPr>
        <w:tblStyle w:val="45"/>
        <w:tblW w:w="483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453"/>
        <w:gridCol w:w="1431"/>
        <w:gridCol w:w="1722"/>
        <w:gridCol w:w="1381"/>
        <w:gridCol w:w="1254"/>
      </w:tblGrid>
      <w:tr w14:paraId="7C28C4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7" w:hRule="atLeast"/>
          <w:jc w:val="center"/>
        </w:trPr>
        <w:tc>
          <w:tcPr>
            <w:tcW w:w="1488" w:type="pct"/>
            <w:noWrap w:val="0"/>
            <w:vAlign w:val="center"/>
          </w:tcPr>
          <w:p w14:paraId="3556D20C">
            <w:pPr>
              <w:pStyle w:val="8"/>
              <w:suppressLineNumbers w:val="0"/>
              <w:bidi w:val="0"/>
              <w:spacing w:before="0" w:beforeAutospacing="0" w:after="0" w:afterAutospacing="0"/>
              <w:ind w:left="0" w:right="0"/>
              <w:rPr>
                <w:rFonts w:hint="default"/>
                <w:highlight w:val="none"/>
              </w:rPr>
            </w:pPr>
            <w:r>
              <w:rPr>
                <w:rFonts w:hint="default"/>
                <w:highlight w:val="none"/>
              </w:rPr>
              <w:t>预测点位</w:t>
            </w:r>
          </w:p>
        </w:tc>
        <w:tc>
          <w:tcPr>
            <w:tcW w:w="868" w:type="pct"/>
            <w:noWrap w:val="0"/>
            <w:vAlign w:val="center"/>
          </w:tcPr>
          <w:p w14:paraId="6E94A035">
            <w:pPr>
              <w:pStyle w:val="8"/>
              <w:suppressLineNumbers w:val="0"/>
              <w:bidi w:val="0"/>
              <w:spacing w:before="0" w:beforeAutospacing="0" w:after="0" w:afterAutospacing="0"/>
              <w:ind w:left="0" w:right="0"/>
              <w:rPr>
                <w:rFonts w:hint="default"/>
                <w:highlight w:val="none"/>
              </w:rPr>
            </w:pPr>
            <w:r>
              <w:rPr>
                <w:rFonts w:hint="default"/>
                <w:highlight w:val="none"/>
              </w:rPr>
              <w:t>预测时段</w:t>
            </w:r>
          </w:p>
        </w:tc>
        <w:tc>
          <w:tcPr>
            <w:tcW w:w="1044" w:type="pct"/>
            <w:noWrap w:val="0"/>
            <w:vAlign w:val="center"/>
          </w:tcPr>
          <w:p w14:paraId="5D4ACEE3">
            <w:pPr>
              <w:pStyle w:val="8"/>
              <w:suppressLineNumbers w:val="0"/>
              <w:bidi w:val="0"/>
              <w:spacing w:before="0" w:beforeAutospacing="0" w:after="0" w:afterAutospacing="0"/>
              <w:ind w:left="0" w:right="0"/>
              <w:rPr>
                <w:rFonts w:hint="default"/>
                <w:highlight w:val="none"/>
              </w:rPr>
            </w:pPr>
            <w:r>
              <w:rPr>
                <w:rFonts w:hint="default"/>
                <w:highlight w:val="none"/>
              </w:rPr>
              <w:t>贡献值</w:t>
            </w:r>
          </w:p>
        </w:tc>
        <w:tc>
          <w:tcPr>
            <w:tcW w:w="837" w:type="pct"/>
            <w:noWrap w:val="0"/>
            <w:vAlign w:val="center"/>
          </w:tcPr>
          <w:p w14:paraId="563FC34B">
            <w:pPr>
              <w:pStyle w:val="8"/>
              <w:suppressLineNumbers w:val="0"/>
              <w:bidi w:val="0"/>
              <w:spacing w:before="0" w:beforeAutospacing="0" w:after="0" w:afterAutospacing="0"/>
              <w:ind w:left="0" w:right="0"/>
              <w:rPr>
                <w:rFonts w:hint="default"/>
                <w:highlight w:val="none"/>
              </w:rPr>
            </w:pPr>
            <w:r>
              <w:rPr>
                <w:rFonts w:hint="default"/>
                <w:highlight w:val="none"/>
              </w:rPr>
              <w:t>背景值</w:t>
            </w:r>
          </w:p>
        </w:tc>
        <w:tc>
          <w:tcPr>
            <w:tcW w:w="760" w:type="pct"/>
            <w:noWrap w:val="0"/>
            <w:vAlign w:val="center"/>
          </w:tcPr>
          <w:p w14:paraId="4BB72B31">
            <w:pPr>
              <w:pStyle w:val="8"/>
              <w:suppressLineNumbers w:val="0"/>
              <w:bidi w:val="0"/>
              <w:spacing w:before="0" w:beforeAutospacing="0" w:after="0" w:afterAutospacing="0"/>
              <w:ind w:left="0" w:right="0"/>
              <w:rPr>
                <w:rFonts w:hint="default"/>
                <w:highlight w:val="none"/>
              </w:rPr>
            </w:pPr>
            <w:r>
              <w:rPr>
                <w:rFonts w:hint="default"/>
                <w:highlight w:val="none"/>
              </w:rPr>
              <w:t>叠加值</w:t>
            </w:r>
          </w:p>
        </w:tc>
      </w:tr>
      <w:tr w14:paraId="6B40AE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1488" w:type="pct"/>
            <w:vMerge w:val="restart"/>
            <w:noWrap w:val="0"/>
            <w:vAlign w:val="center"/>
          </w:tcPr>
          <w:p w14:paraId="756A8E3C">
            <w:pPr>
              <w:pStyle w:val="8"/>
              <w:suppressLineNumbers w:val="0"/>
              <w:bidi w:val="0"/>
              <w:spacing w:before="0" w:beforeAutospacing="0" w:after="0" w:afterAutospacing="0"/>
              <w:ind w:left="0" w:right="0"/>
              <w:rPr>
                <w:rFonts w:hint="default"/>
                <w:highlight w:val="none"/>
              </w:rPr>
            </w:pPr>
            <w:r>
              <w:rPr>
                <w:rFonts w:hint="default"/>
                <w:highlight w:val="none"/>
              </w:rPr>
              <w:t>东侧</w:t>
            </w:r>
          </w:p>
        </w:tc>
        <w:tc>
          <w:tcPr>
            <w:tcW w:w="868" w:type="pct"/>
            <w:noWrap w:val="0"/>
            <w:vAlign w:val="center"/>
          </w:tcPr>
          <w:p w14:paraId="645CEEF0">
            <w:pPr>
              <w:pStyle w:val="8"/>
              <w:suppressLineNumbers w:val="0"/>
              <w:bidi w:val="0"/>
              <w:spacing w:before="0" w:beforeAutospacing="0" w:after="0" w:afterAutospacing="0"/>
              <w:ind w:left="0" w:right="0"/>
              <w:rPr>
                <w:rFonts w:hint="default"/>
                <w:highlight w:val="none"/>
              </w:rPr>
            </w:pPr>
            <w:r>
              <w:rPr>
                <w:rFonts w:hint="default"/>
                <w:highlight w:val="none"/>
              </w:rPr>
              <w:t>昼间</w:t>
            </w:r>
          </w:p>
        </w:tc>
        <w:tc>
          <w:tcPr>
            <w:tcW w:w="1722" w:type="dxa"/>
            <w:noWrap w:val="0"/>
            <w:vAlign w:val="center"/>
          </w:tcPr>
          <w:p w14:paraId="7C05A8E4">
            <w:pPr>
              <w:pStyle w:val="8"/>
              <w:suppressLineNumbers w:val="0"/>
              <w:bidi w:val="0"/>
              <w:spacing w:before="0" w:beforeAutospacing="0" w:after="0" w:afterAutospacing="0"/>
              <w:ind w:left="0" w:right="0"/>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54.4</w:t>
            </w:r>
          </w:p>
        </w:tc>
        <w:tc>
          <w:tcPr>
            <w:tcW w:w="837" w:type="pct"/>
            <w:noWrap w:val="0"/>
            <w:vAlign w:val="center"/>
          </w:tcPr>
          <w:p w14:paraId="130AA114">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w:t>
            </w:r>
          </w:p>
        </w:tc>
        <w:tc>
          <w:tcPr>
            <w:tcW w:w="760" w:type="pct"/>
            <w:noWrap w:val="0"/>
            <w:vAlign w:val="center"/>
          </w:tcPr>
          <w:p w14:paraId="02511F63">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w:t>
            </w:r>
          </w:p>
        </w:tc>
      </w:tr>
      <w:tr w14:paraId="304D74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1488" w:type="pct"/>
            <w:vMerge w:val="continue"/>
            <w:noWrap w:val="0"/>
            <w:vAlign w:val="center"/>
          </w:tcPr>
          <w:p w14:paraId="269FABD8">
            <w:pPr>
              <w:pStyle w:val="8"/>
              <w:suppressLineNumbers w:val="0"/>
              <w:bidi w:val="0"/>
              <w:spacing w:before="0" w:beforeAutospacing="0" w:after="0" w:afterAutospacing="0"/>
              <w:ind w:left="0" w:right="0"/>
              <w:rPr>
                <w:rFonts w:hint="default"/>
                <w:highlight w:val="none"/>
              </w:rPr>
            </w:pPr>
          </w:p>
        </w:tc>
        <w:tc>
          <w:tcPr>
            <w:tcW w:w="868" w:type="pct"/>
            <w:noWrap w:val="0"/>
            <w:vAlign w:val="center"/>
          </w:tcPr>
          <w:p w14:paraId="2EC63606">
            <w:pPr>
              <w:pStyle w:val="8"/>
              <w:suppressLineNumbers w:val="0"/>
              <w:bidi w:val="0"/>
              <w:spacing w:before="0" w:beforeAutospacing="0" w:after="0" w:afterAutospacing="0"/>
              <w:ind w:left="0" w:right="0"/>
              <w:rPr>
                <w:rFonts w:hint="eastAsia" w:eastAsia="宋体"/>
                <w:highlight w:val="none"/>
                <w:lang w:val="en-US" w:eastAsia="zh-CN"/>
              </w:rPr>
            </w:pPr>
            <w:r>
              <w:rPr>
                <w:rFonts w:hint="eastAsia"/>
                <w:highlight w:val="none"/>
                <w:lang w:val="en-US" w:eastAsia="zh-CN"/>
              </w:rPr>
              <w:t>夜间</w:t>
            </w:r>
          </w:p>
        </w:tc>
        <w:tc>
          <w:tcPr>
            <w:tcW w:w="1722" w:type="dxa"/>
            <w:noWrap w:val="0"/>
            <w:vAlign w:val="center"/>
          </w:tcPr>
          <w:p w14:paraId="189DED99">
            <w:pPr>
              <w:pStyle w:val="8"/>
              <w:suppressLineNumbers w:val="0"/>
              <w:bidi w:val="0"/>
              <w:spacing w:before="0" w:beforeAutospacing="0" w:after="0" w:afterAutospacing="0"/>
              <w:ind w:left="0" w:right="0"/>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54.4</w:t>
            </w:r>
          </w:p>
        </w:tc>
        <w:tc>
          <w:tcPr>
            <w:tcW w:w="1381" w:type="dxa"/>
            <w:noWrap w:val="0"/>
            <w:vAlign w:val="center"/>
          </w:tcPr>
          <w:p w14:paraId="64549E60">
            <w:pPr>
              <w:pStyle w:val="8"/>
              <w:suppressLineNumbers w:val="0"/>
              <w:bidi w:val="0"/>
              <w:spacing w:before="0" w:beforeAutospacing="0" w:after="0" w:afterAutospacing="0"/>
              <w:ind w:left="0" w:leftChars="0" w:right="0" w:rightChars="0" w:firstLine="0" w:firstLineChars="0"/>
              <w:rPr>
                <w:rFonts w:hint="eastAsia"/>
                <w:highlight w:val="none"/>
                <w:lang w:val="en-US" w:eastAsia="zh-CN"/>
              </w:rPr>
            </w:pPr>
            <w:r>
              <w:rPr>
                <w:rFonts w:hint="eastAsia"/>
                <w:highlight w:val="none"/>
                <w:lang w:val="en-US" w:eastAsia="zh-CN"/>
              </w:rPr>
              <w:t>/</w:t>
            </w:r>
          </w:p>
        </w:tc>
        <w:tc>
          <w:tcPr>
            <w:tcW w:w="1254" w:type="dxa"/>
            <w:noWrap w:val="0"/>
            <w:vAlign w:val="center"/>
          </w:tcPr>
          <w:p w14:paraId="5C20AE9C">
            <w:pPr>
              <w:pStyle w:val="8"/>
              <w:suppressLineNumbers w:val="0"/>
              <w:bidi w:val="0"/>
              <w:spacing w:before="0" w:beforeAutospacing="0" w:after="0" w:afterAutospacing="0"/>
              <w:ind w:left="0" w:leftChars="0" w:right="0" w:rightChars="0" w:firstLine="0" w:firstLineChars="0"/>
              <w:rPr>
                <w:rFonts w:hint="eastAsia"/>
                <w:highlight w:val="none"/>
                <w:lang w:val="en-US" w:eastAsia="zh-CN"/>
              </w:rPr>
            </w:pPr>
            <w:r>
              <w:rPr>
                <w:rFonts w:hint="eastAsia"/>
                <w:highlight w:val="none"/>
                <w:lang w:val="en-US" w:eastAsia="zh-CN"/>
              </w:rPr>
              <w:t>/</w:t>
            </w:r>
          </w:p>
        </w:tc>
      </w:tr>
      <w:tr w14:paraId="5F9D54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9" w:hRule="atLeast"/>
          <w:jc w:val="center"/>
        </w:trPr>
        <w:tc>
          <w:tcPr>
            <w:tcW w:w="1488" w:type="pct"/>
            <w:vMerge w:val="restart"/>
            <w:noWrap w:val="0"/>
            <w:vAlign w:val="center"/>
          </w:tcPr>
          <w:p w14:paraId="593093BB">
            <w:pPr>
              <w:pStyle w:val="8"/>
              <w:suppressLineNumbers w:val="0"/>
              <w:bidi w:val="0"/>
              <w:spacing w:before="0" w:beforeAutospacing="0" w:after="0" w:afterAutospacing="0"/>
              <w:ind w:left="0" w:right="0"/>
              <w:rPr>
                <w:rFonts w:hint="default"/>
                <w:highlight w:val="none"/>
              </w:rPr>
            </w:pPr>
            <w:r>
              <w:rPr>
                <w:rFonts w:hint="default"/>
                <w:highlight w:val="none"/>
              </w:rPr>
              <w:t>南侧</w:t>
            </w:r>
          </w:p>
        </w:tc>
        <w:tc>
          <w:tcPr>
            <w:tcW w:w="868" w:type="pct"/>
            <w:noWrap w:val="0"/>
            <w:vAlign w:val="center"/>
          </w:tcPr>
          <w:p w14:paraId="52B0BE57">
            <w:pPr>
              <w:pStyle w:val="8"/>
              <w:suppressLineNumbers w:val="0"/>
              <w:bidi w:val="0"/>
              <w:spacing w:before="0" w:beforeAutospacing="0" w:after="0" w:afterAutospacing="0"/>
              <w:ind w:left="0" w:right="0"/>
              <w:rPr>
                <w:rFonts w:hint="default"/>
                <w:highlight w:val="none"/>
              </w:rPr>
            </w:pPr>
            <w:r>
              <w:rPr>
                <w:rFonts w:hint="default"/>
                <w:highlight w:val="none"/>
              </w:rPr>
              <w:t>昼间</w:t>
            </w:r>
          </w:p>
        </w:tc>
        <w:tc>
          <w:tcPr>
            <w:tcW w:w="1722" w:type="dxa"/>
            <w:noWrap w:val="0"/>
            <w:vAlign w:val="center"/>
          </w:tcPr>
          <w:p w14:paraId="26109916">
            <w:pPr>
              <w:pStyle w:val="8"/>
              <w:suppressLineNumbers w:val="0"/>
              <w:bidi w:val="0"/>
              <w:spacing w:before="0" w:beforeAutospacing="0" w:after="0" w:afterAutospacing="0"/>
              <w:ind w:left="0" w:right="0"/>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55</w:t>
            </w:r>
          </w:p>
        </w:tc>
        <w:tc>
          <w:tcPr>
            <w:tcW w:w="1381" w:type="dxa"/>
            <w:noWrap w:val="0"/>
            <w:vAlign w:val="center"/>
          </w:tcPr>
          <w:p w14:paraId="7E9E48C8">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w:t>
            </w:r>
          </w:p>
        </w:tc>
        <w:tc>
          <w:tcPr>
            <w:tcW w:w="1254" w:type="dxa"/>
            <w:noWrap w:val="0"/>
            <w:vAlign w:val="center"/>
          </w:tcPr>
          <w:p w14:paraId="7D22E63E">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w:t>
            </w:r>
          </w:p>
        </w:tc>
      </w:tr>
      <w:tr w14:paraId="3BA8C2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9" w:hRule="atLeast"/>
          <w:jc w:val="center"/>
        </w:trPr>
        <w:tc>
          <w:tcPr>
            <w:tcW w:w="1488" w:type="pct"/>
            <w:vMerge w:val="continue"/>
            <w:noWrap w:val="0"/>
            <w:vAlign w:val="center"/>
          </w:tcPr>
          <w:p w14:paraId="2F2B15A4">
            <w:pPr>
              <w:pStyle w:val="8"/>
              <w:suppressLineNumbers w:val="0"/>
              <w:bidi w:val="0"/>
              <w:spacing w:before="0" w:beforeAutospacing="0" w:after="0" w:afterAutospacing="0"/>
              <w:ind w:left="0" w:right="0"/>
              <w:rPr>
                <w:rFonts w:hint="default"/>
                <w:highlight w:val="none"/>
              </w:rPr>
            </w:pPr>
          </w:p>
        </w:tc>
        <w:tc>
          <w:tcPr>
            <w:tcW w:w="868" w:type="pct"/>
            <w:noWrap w:val="0"/>
            <w:vAlign w:val="center"/>
          </w:tcPr>
          <w:p w14:paraId="1E506BA9">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夜间</w:t>
            </w:r>
          </w:p>
        </w:tc>
        <w:tc>
          <w:tcPr>
            <w:tcW w:w="1722" w:type="dxa"/>
            <w:noWrap w:val="0"/>
            <w:vAlign w:val="center"/>
          </w:tcPr>
          <w:p w14:paraId="117C51CF">
            <w:pPr>
              <w:pStyle w:val="8"/>
              <w:suppressLineNumbers w:val="0"/>
              <w:bidi w:val="0"/>
              <w:spacing w:before="0" w:beforeAutospacing="0" w:after="0" w:afterAutospacing="0"/>
              <w:ind w:left="0" w:right="0"/>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45</w:t>
            </w:r>
          </w:p>
        </w:tc>
        <w:tc>
          <w:tcPr>
            <w:tcW w:w="1381" w:type="dxa"/>
            <w:noWrap w:val="0"/>
            <w:vAlign w:val="center"/>
          </w:tcPr>
          <w:p w14:paraId="19616CE9">
            <w:pPr>
              <w:pStyle w:val="8"/>
              <w:suppressLineNumbers w:val="0"/>
              <w:bidi w:val="0"/>
              <w:spacing w:before="0" w:beforeAutospacing="0" w:after="0" w:afterAutospacing="0"/>
              <w:ind w:left="0" w:leftChars="0" w:right="0" w:rightChars="0" w:firstLine="0" w:firstLineChars="0"/>
              <w:rPr>
                <w:rFonts w:hint="eastAsia"/>
                <w:highlight w:val="none"/>
                <w:lang w:val="en-US" w:eastAsia="zh-CN"/>
              </w:rPr>
            </w:pPr>
            <w:r>
              <w:rPr>
                <w:rFonts w:hint="eastAsia"/>
                <w:highlight w:val="none"/>
                <w:lang w:val="en-US" w:eastAsia="zh-CN"/>
              </w:rPr>
              <w:t>/</w:t>
            </w:r>
          </w:p>
        </w:tc>
        <w:tc>
          <w:tcPr>
            <w:tcW w:w="1254" w:type="dxa"/>
            <w:noWrap w:val="0"/>
            <w:vAlign w:val="center"/>
          </w:tcPr>
          <w:p w14:paraId="3AFD7AC4">
            <w:pPr>
              <w:pStyle w:val="8"/>
              <w:suppressLineNumbers w:val="0"/>
              <w:bidi w:val="0"/>
              <w:spacing w:before="0" w:beforeAutospacing="0" w:after="0" w:afterAutospacing="0"/>
              <w:ind w:left="0" w:leftChars="0" w:right="0" w:rightChars="0" w:firstLine="0" w:firstLineChars="0"/>
              <w:rPr>
                <w:rFonts w:hint="eastAsia"/>
                <w:highlight w:val="none"/>
                <w:lang w:val="en-US" w:eastAsia="zh-CN"/>
              </w:rPr>
            </w:pPr>
            <w:r>
              <w:rPr>
                <w:rFonts w:hint="eastAsia"/>
                <w:highlight w:val="none"/>
                <w:lang w:val="en-US" w:eastAsia="zh-CN"/>
              </w:rPr>
              <w:t>/</w:t>
            </w:r>
          </w:p>
        </w:tc>
      </w:tr>
      <w:tr w14:paraId="3EC247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 w:hRule="atLeast"/>
          <w:jc w:val="center"/>
        </w:trPr>
        <w:tc>
          <w:tcPr>
            <w:tcW w:w="1488" w:type="pct"/>
            <w:vMerge w:val="restart"/>
            <w:noWrap w:val="0"/>
            <w:vAlign w:val="center"/>
          </w:tcPr>
          <w:p w14:paraId="213A099E">
            <w:pPr>
              <w:pStyle w:val="8"/>
              <w:suppressLineNumbers w:val="0"/>
              <w:bidi w:val="0"/>
              <w:spacing w:before="0" w:beforeAutospacing="0" w:after="0" w:afterAutospacing="0"/>
              <w:ind w:left="0" w:right="0"/>
              <w:rPr>
                <w:rFonts w:hint="default"/>
                <w:highlight w:val="none"/>
              </w:rPr>
            </w:pPr>
            <w:r>
              <w:rPr>
                <w:rFonts w:hint="default"/>
                <w:highlight w:val="none"/>
              </w:rPr>
              <w:t>西侧</w:t>
            </w:r>
          </w:p>
        </w:tc>
        <w:tc>
          <w:tcPr>
            <w:tcW w:w="868" w:type="pct"/>
            <w:noWrap w:val="0"/>
            <w:vAlign w:val="center"/>
          </w:tcPr>
          <w:p w14:paraId="698D9C7F">
            <w:pPr>
              <w:pStyle w:val="8"/>
              <w:suppressLineNumbers w:val="0"/>
              <w:bidi w:val="0"/>
              <w:spacing w:before="0" w:beforeAutospacing="0" w:after="0" w:afterAutospacing="0"/>
              <w:ind w:left="0" w:right="0"/>
              <w:rPr>
                <w:rFonts w:hint="default"/>
                <w:highlight w:val="none"/>
              </w:rPr>
            </w:pPr>
            <w:r>
              <w:rPr>
                <w:rFonts w:hint="default"/>
                <w:highlight w:val="none"/>
              </w:rPr>
              <w:t>昼间</w:t>
            </w:r>
          </w:p>
        </w:tc>
        <w:tc>
          <w:tcPr>
            <w:tcW w:w="1722" w:type="dxa"/>
            <w:noWrap w:val="0"/>
            <w:vAlign w:val="center"/>
          </w:tcPr>
          <w:p w14:paraId="28142CB4">
            <w:pPr>
              <w:pStyle w:val="8"/>
              <w:suppressLineNumbers w:val="0"/>
              <w:bidi w:val="0"/>
              <w:spacing w:before="0" w:beforeAutospacing="0" w:after="0" w:afterAutospacing="0"/>
              <w:ind w:left="0" w:right="0"/>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57.7</w:t>
            </w:r>
          </w:p>
        </w:tc>
        <w:tc>
          <w:tcPr>
            <w:tcW w:w="1381" w:type="dxa"/>
            <w:noWrap w:val="0"/>
            <w:vAlign w:val="center"/>
          </w:tcPr>
          <w:p w14:paraId="4B22A3AF">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w:t>
            </w:r>
          </w:p>
        </w:tc>
        <w:tc>
          <w:tcPr>
            <w:tcW w:w="1254" w:type="dxa"/>
            <w:noWrap w:val="0"/>
            <w:vAlign w:val="center"/>
          </w:tcPr>
          <w:p w14:paraId="41AA38B6">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w:t>
            </w:r>
          </w:p>
        </w:tc>
      </w:tr>
      <w:tr w14:paraId="54AA66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 w:hRule="atLeast"/>
          <w:jc w:val="center"/>
        </w:trPr>
        <w:tc>
          <w:tcPr>
            <w:tcW w:w="1488" w:type="pct"/>
            <w:vMerge w:val="continue"/>
            <w:noWrap w:val="0"/>
            <w:vAlign w:val="center"/>
          </w:tcPr>
          <w:p w14:paraId="6D046B4C">
            <w:pPr>
              <w:pStyle w:val="8"/>
              <w:suppressLineNumbers w:val="0"/>
              <w:bidi w:val="0"/>
              <w:spacing w:before="0" w:beforeAutospacing="0" w:after="0" w:afterAutospacing="0"/>
              <w:ind w:left="0" w:right="0"/>
              <w:rPr>
                <w:rFonts w:hint="default"/>
                <w:highlight w:val="none"/>
              </w:rPr>
            </w:pPr>
          </w:p>
        </w:tc>
        <w:tc>
          <w:tcPr>
            <w:tcW w:w="868" w:type="pct"/>
            <w:noWrap w:val="0"/>
            <w:vAlign w:val="center"/>
          </w:tcPr>
          <w:p w14:paraId="36B87226">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夜间</w:t>
            </w:r>
          </w:p>
        </w:tc>
        <w:tc>
          <w:tcPr>
            <w:tcW w:w="1722" w:type="dxa"/>
            <w:noWrap w:val="0"/>
            <w:vAlign w:val="center"/>
          </w:tcPr>
          <w:p w14:paraId="38F083D1">
            <w:pPr>
              <w:pStyle w:val="8"/>
              <w:suppressLineNumbers w:val="0"/>
              <w:bidi w:val="0"/>
              <w:spacing w:before="0" w:beforeAutospacing="0" w:after="0" w:afterAutospacing="0"/>
              <w:ind w:left="0" w:right="0"/>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54.8</w:t>
            </w:r>
          </w:p>
        </w:tc>
        <w:tc>
          <w:tcPr>
            <w:tcW w:w="1381" w:type="dxa"/>
            <w:noWrap w:val="0"/>
            <w:vAlign w:val="center"/>
          </w:tcPr>
          <w:p w14:paraId="33E9C256">
            <w:pPr>
              <w:pStyle w:val="8"/>
              <w:suppressLineNumbers w:val="0"/>
              <w:bidi w:val="0"/>
              <w:spacing w:before="0" w:beforeAutospacing="0" w:after="0" w:afterAutospacing="0"/>
              <w:ind w:left="0" w:leftChars="0" w:right="0" w:rightChars="0" w:firstLine="0" w:firstLineChars="0"/>
              <w:rPr>
                <w:rFonts w:hint="eastAsia"/>
                <w:highlight w:val="none"/>
                <w:lang w:val="en-US" w:eastAsia="zh-CN"/>
              </w:rPr>
            </w:pPr>
            <w:r>
              <w:rPr>
                <w:rFonts w:hint="eastAsia"/>
                <w:highlight w:val="none"/>
                <w:lang w:val="en-US" w:eastAsia="zh-CN"/>
              </w:rPr>
              <w:t>/</w:t>
            </w:r>
          </w:p>
        </w:tc>
        <w:tc>
          <w:tcPr>
            <w:tcW w:w="1254" w:type="dxa"/>
            <w:noWrap w:val="0"/>
            <w:vAlign w:val="center"/>
          </w:tcPr>
          <w:p w14:paraId="35BED97B">
            <w:pPr>
              <w:pStyle w:val="8"/>
              <w:suppressLineNumbers w:val="0"/>
              <w:bidi w:val="0"/>
              <w:spacing w:before="0" w:beforeAutospacing="0" w:after="0" w:afterAutospacing="0"/>
              <w:ind w:left="0" w:leftChars="0" w:right="0" w:rightChars="0" w:firstLine="0" w:firstLineChars="0"/>
              <w:rPr>
                <w:rFonts w:hint="eastAsia"/>
                <w:highlight w:val="none"/>
                <w:lang w:val="en-US" w:eastAsia="zh-CN"/>
              </w:rPr>
            </w:pPr>
            <w:r>
              <w:rPr>
                <w:rFonts w:hint="eastAsia"/>
                <w:highlight w:val="none"/>
                <w:lang w:val="en-US" w:eastAsia="zh-CN"/>
              </w:rPr>
              <w:t>/</w:t>
            </w:r>
          </w:p>
        </w:tc>
      </w:tr>
      <w:tr w14:paraId="7BFEE8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1488" w:type="pct"/>
            <w:vMerge w:val="restart"/>
            <w:noWrap w:val="0"/>
            <w:vAlign w:val="center"/>
          </w:tcPr>
          <w:p w14:paraId="331579B8">
            <w:pPr>
              <w:pStyle w:val="8"/>
              <w:suppressLineNumbers w:val="0"/>
              <w:bidi w:val="0"/>
              <w:spacing w:before="0" w:beforeAutospacing="0" w:after="0" w:afterAutospacing="0"/>
              <w:ind w:left="0" w:right="0"/>
              <w:rPr>
                <w:rFonts w:hint="default"/>
                <w:highlight w:val="none"/>
              </w:rPr>
            </w:pPr>
            <w:r>
              <w:rPr>
                <w:rFonts w:hint="default"/>
                <w:highlight w:val="none"/>
              </w:rPr>
              <w:t>北侧</w:t>
            </w:r>
          </w:p>
        </w:tc>
        <w:tc>
          <w:tcPr>
            <w:tcW w:w="868" w:type="pct"/>
            <w:noWrap w:val="0"/>
            <w:vAlign w:val="center"/>
          </w:tcPr>
          <w:p w14:paraId="786C05F9">
            <w:pPr>
              <w:pStyle w:val="8"/>
              <w:suppressLineNumbers w:val="0"/>
              <w:bidi w:val="0"/>
              <w:spacing w:before="0" w:beforeAutospacing="0" w:after="0" w:afterAutospacing="0"/>
              <w:ind w:left="0" w:right="0"/>
              <w:rPr>
                <w:rFonts w:hint="default"/>
                <w:highlight w:val="none"/>
              </w:rPr>
            </w:pPr>
            <w:r>
              <w:rPr>
                <w:rFonts w:hint="default"/>
                <w:highlight w:val="none"/>
              </w:rPr>
              <w:t>昼间</w:t>
            </w:r>
          </w:p>
        </w:tc>
        <w:tc>
          <w:tcPr>
            <w:tcW w:w="1722" w:type="dxa"/>
            <w:noWrap w:val="0"/>
            <w:vAlign w:val="center"/>
          </w:tcPr>
          <w:p w14:paraId="48136AE3">
            <w:pPr>
              <w:pStyle w:val="8"/>
              <w:suppressLineNumbers w:val="0"/>
              <w:bidi w:val="0"/>
              <w:spacing w:before="0" w:beforeAutospacing="0" w:after="0" w:afterAutospacing="0"/>
              <w:ind w:left="0" w:right="0"/>
              <w:rPr>
                <w:rFonts w:hint="default"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54.4</w:t>
            </w:r>
          </w:p>
        </w:tc>
        <w:tc>
          <w:tcPr>
            <w:tcW w:w="1381" w:type="dxa"/>
            <w:noWrap w:val="0"/>
            <w:vAlign w:val="center"/>
          </w:tcPr>
          <w:p w14:paraId="147229E5">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w:t>
            </w:r>
          </w:p>
        </w:tc>
        <w:tc>
          <w:tcPr>
            <w:tcW w:w="1254" w:type="dxa"/>
            <w:noWrap w:val="0"/>
            <w:vAlign w:val="center"/>
          </w:tcPr>
          <w:p w14:paraId="75F14664">
            <w:pPr>
              <w:pStyle w:val="8"/>
              <w:suppressLineNumbers w:val="0"/>
              <w:bidi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w:t>
            </w:r>
          </w:p>
        </w:tc>
      </w:tr>
      <w:tr w14:paraId="22124D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1488" w:type="pct"/>
            <w:vMerge w:val="continue"/>
            <w:noWrap w:val="0"/>
            <w:vAlign w:val="center"/>
          </w:tcPr>
          <w:p w14:paraId="06149F6A">
            <w:pPr>
              <w:pStyle w:val="8"/>
              <w:suppressLineNumbers w:val="0"/>
              <w:bidi w:val="0"/>
              <w:spacing w:before="0" w:beforeAutospacing="0" w:after="0" w:afterAutospacing="0"/>
              <w:ind w:left="0" w:right="0"/>
              <w:rPr>
                <w:rFonts w:hint="default"/>
                <w:highlight w:val="none"/>
              </w:rPr>
            </w:pPr>
          </w:p>
        </w:tc>
        <w:tc>
          <w:tcPr>
            <w:tcW w:w="868" w:type="pct"/>
            <w:noWrap w:val="0"/>
            <w:vAlign w:val="center"/>
          </w:tcPr>
          <w:p w14:paraId="32B3813E">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夜间</w:t>
            </w:r>
          </w:p>
        </w:tc>
        <w:tc>
          <w:tcPr>
            <w:tcW w:w="1722" w:type="dxa"/>
            <w:noWrap w:val="0"/>
            <w:vAlign w:val="center"/>
          </w:tcPr>
          <w:p w14:paraId="088DFC00">
            <w:pPr>
              <w:pStyle w:val="8"/>
              <w:suppressLineNumbers w:val="0"/>
              <w:bidi w:val="0"/>
              <w:spacing w:before="0" w:beforeAutospacing="0" w:after="0" w:afterAutospacing="0"/>
              <w:ind w:left="0" w:right="0"/>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54.4</w:t>
            </w:r>
          </w:p>
        </w:tc>
        <w:tc>
          <w:tcPr>
            <w:tcW w:w="1381" w:type="dxa"/>
            <w:noWrap w:val="0"/>
            <w:vAlign w:val="center"/>
          </w:tcPr>
          <w:p w14:paraId="3BD4585F">
            <w:pPr>
              <w:pStyle w:val="8"/>
              <w:suppressLineNumbers w:val="0"/>
              <w:bidi w:val="0"/>
              <w:spacing w:before="0" w:beforeAutospacing="0" w:after="0" w:afterAutospacing="0"/>
              <w:ind w:left="0" w:leftChars="0" w:right="0" w:rightChars="0" w:firstLine="0" w:firstLineChars="0"/>
              <w:rPr>
                <w:rFonts w:hint="eastAsia"/>
                <w:highlight w:val="none"/>
                <w:lang w:val="en-US" w:eastAsia="zh-CN"/>
              </w:rPr>
            </w:pPr>
            <w:r>
              <w:rPr>
                <w:rFonts w:hint="eastAsia"/>
                <w:highlight w:val="none"/>
                <w:lang w:val="en-US" w:eastAsia="zh-CN"/>
              </w:rPr>
              <w:t>/</w:t>
            </w:r>
          </w:p>
        </w:tc>
        <w:tc>
          <w:tcPr>
            <w:tcW w:w="1254" w:type="dxa"/>
            <w:noWrap w:val="0"/>
            <w:vAlign w:val="center"/>
          </w:tcPr>
          <w:p w14:paraId="122C11DF">
            <w:pPr>
              <w:pStyle w:val="8"/>
              <w:suppressLineNumbers w:val="0"/>
              <w:bidi w:val="0"/>
              <w:spacing w:before="0" w:beforeAutospacing="0" w:after="0" w:afterAutospacing="0"/>
              <w:ind w:left="0" w:leftChars="0" w:right="0" w:rightChars="0" w:firstLine="0" w:firstLineChars="0"/>
              <w:rPr>
                <w:rFonts w:hint="eastAsia"/>
                <w:highlight w:val="none"/>
                <w:lang w:val="en-US" w:eastAsia="zh-CN"/>
              </w:rPr>
            </w:pPr>
            <w:r>
              <w:rPr>
                <w:rFonts w:hint="eastAsia"/>
                <w:highlight w:val="none"/>
                <w:lang w:val="en-US" w:eastAsia="zh-CN"/>
              </w:rPr>
              <w:t>/</w:t>
            </w:r>
          </w:p>
        </w:tc>
      </w:tr>
      <w:tr w14:paraId="151064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1488" w:type="pct"/>
            <w:vMerge w:val="restart"/>
            <w:noWrap w:val="0"/>
            <w:vAlign w:val="center"/>
          </w:tcPr>
          <w:p w14:paraId="0B1C304E">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刘家村居民</w:t>
            </w:r>
          </w:p>
        </w:tc>
        <w:tc>
          <w:tcPr>
            <w:tcW w:w="868" w:type="pct"/>
            <w:noWrap w:val="0"/>
            <w:vAlign w:val="center"/>
          </w:tcPr>
          <w:p w14:paraId="381DEA98">
            <w:pPr>
              <w:pStyle w:val="8"/>
              <w:suppressLineNumbers w:val="0"/>
              <w:bidi w:val="0"/>
              <w:spacing w:before="0" w:beforeAutospacing="0" w:after="0" w:afterAutospacing="0"/>
              <w:ind w:left="0" w:right="0"/>
              <w:rPr>
                <w:rFonts w:hint="default"/>
                <w:highlight w:val="none"/>
              </w:rPr>
            </w:pPr>
            <w:r>
              <w:rPr>
                <w:rFonts w:hint="default"/>
                <w:highlight w:val="none"/>
              </w:rPr>
              <w:t>昼间</w:t>
            </w:r>
          </w:p>
        </w:tc>
        <w:tc>
          <w:tcPr>
            <w:tcW w:w="1044" w:type="pct"/>
            <w:noWrap w:val="0"/>
            <w:vAlign w:val="center"/>
          </w:tcPr>
          <w:p w14:paraId="2DC2D02E">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40.48</w:t>
            </w:r>
          </w:p>
        </w:tc>
        <w:tc>
          <w:tcPr>
            <w:tcW w:w="837" w:type="pct"/>
            <w:noWrap w:val="0"/>
            <w:vAlign w:val="center"/>
          </w:tcPr>
          <w:p w14:paraId="3605526E">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51</w:t>
            </w:r>
          </w:p>
        </w:tc>
        <w:tc>
          <w:tcPr>
            <w:tcW w:w="760" w:type="pct"/>
            <w:noWrap w:val="0"/>
            <w:vAlign w:val="center"/>
          </w:tcPr>
          <w:p w14:paraId="1CA07AF5">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51.37</w:t>
            </w:r>
          </w:p>
        </w:tc>
      </w:tr>
      <w:tr w14:paraId="51BEA3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1488" w:type="pct"/>
            <w:vMerge w:val="continue"/>
            <w:noWrap w:val="0"/>
            <w:vAlign w:val="center"/>
          </w:tcPr>
          <w:p w14:paraId="0134A755">
            <w:pPr>
              <w:pStyle w:val="8"/>
              <w:suppressLineNumbers w:val="0"/>
              <w:bidi w:val="0"/>
              <w:spacing w:before="0" w:beforeAutospacing="0" w:after="0" w:afterAutospacing="0"/>
              <w:ind w:left="0" w:right="0"/>
              <w:rPr>
                <w:rFonts w:hint="eastAsia"/>
                <w:highlight w:val="none"/>
                <w:lang w:val="en-US" w:eastAsia="zh-CN"/>
              </w:rPr>
            </w:pPr>
          </w:p>
        </w:tc>
        <w:tc>
          <w:tcPr>
            <w:tcW w:w="868" w:type="pct"/>
            <w:noWrap w:val="0"/>
            <w:vAlign w:val="center"/>
          </w:tcPr>
          <w:p w14:paraId="730FA852">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夜间</w:t>
            </w:r>
          </w:p>
        </w:tc>
        <w:tc>
          <w:tcPr>
            <w:tcW w:w="1044" w:type="pct"/>
            <w:noWrap w:val="0"/>
            <w:vAlign w:val="center"/>
          </w:tcPr>
          <w:p w14:paraId="2BDFA25D">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39.6</w:t>
            </w:r>
          </w:p>
        </w:tc>
        <w:tc>
          <w:tcPr>
            <w:tcW w:w="837" w:type="pct"/>
            <w:noWrap w:val="0"/>
            <w:vAlign w:val="center"/>
          </w:tcPr>
          <w:p w14:paraId="2C8DA6E1">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40</w:t>
            </w:r>
          </w:p>
        </w:tc>
        <w:tc>
          <w:tcPr>
            <w:tcW w:w="760" w:type="pct"/>
            <w:noWrap w:val="0"/>
            <w:vAlign w:val="center"/>
          </w:tcPr>
          <w:p w14:paraId="0D94B20D">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42.3</w:t>
            </w:r>
          </w:p>
        </w:tc>
      </w:tr>
    </w:tbl>
    <w:p w14:paraId="3572E850">
      <w:pPr>
        <w:keepNext w:val="0"/>
        <w:keepLines w:val="0"/>
        <w:pageBreakBefore w:val="0"/>
        <w:widowControl w:val="0"/>
        <w:kinsoku/>
        <w:wordWrap w:val="0"/>
        <w:overflowPunct/>
        <w:topLinePunct w:val="0"/>
        <w:autoSpaceDE/>
        <w:autoSpaceDN/>
        <w:bidi w:val="0"/>
        <w:adjustRightInd w:val="0"/>
        <w:snapToGrid w:val="0"/>
        <w:ind w:firstLine="0" w:firstLineChars="0"/>
        <w:jc w:val="center"/>
        <w:textAlignment w:val="auto"/>
        <w:rPr>
          <w:rFonts w:eastAsiaTheme="minorEastAsia"/>
          <w:b/>
          <w:kern w:val="0"/>
          <w:szCs w:val="21"/>
          <w:highlight w:val="none"/>
        </w:rPr>
      </w:pPr>
      <w:r>
        <w:rPr>
          <w:rFonts w:eastAsiaTheme="minorEastAsia"/>
          <w:b/>
          <w:kern w:val="0"/>
          <w:szCs w:val="21"/>
          <w:highlight w:val="none"/>
        </w:rPr>
        <w:drawing>
          <wp:inline distT="0" distB="0" distL="0" distR="0">
            <wp:extent cx="4445000" cy="4662170"/>
            <wp:effectExtent l="3175" t="3175" r="9525" b="20955"/>
            <wp:docPr id="2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6"/>
                    <pic:cNvPicPr>
                      <a:picLocks noChangeAspect="1" noChangeArrowheads="1"/>
                    </pic:cNvPicPr>
                  </pic:nvPicPr>
                  <pic:blipFill>
                    <a:blip r:embed="rId94"/>
                    <a:srcRect/>
                    <a:stretch>
                      <a:fillRect/>
                    </a:stretch>
                  </pic:blipFill>
                  <pic:spPr>
                    <a:xfrm>
                      <a:off x="0" y="0"/>
                      <a:ext cx="4444528" cy="4661784"/>
                    </a:xfrm>
                    <a:prstGeom prst="rect">
                      <a:avLst/>
                    </a:prstGeom>
                    <a:noFill/>
                    <a:ln w="9525">
                      <a:noFill/>
                      <a:miter lim="800000"/>
                      <a:headEnd/>
                      <a:tailEnd/>
                    </a:ln>
                    <a:scene3d>
                      <a:camera prst="orthographicFront"/>
                      <a:lightRig rig="threePt" dir="t"/>
                    </a:scene3d>
                    <a:sp3d contourW="6350"/>
                  </pic:spPr>
                </pic:pic>
              </a:graphicData>
            </a:graphic>
          </wp:inline>
        </w:drawing>
      </w:r>
    </w:p>
    <w:p w14:paraId="7753AD45">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eastAsiaTheme="minorEastAsia"/>
          <w:b/>
          <w:kern w:val="0"/>
          <w:sz w:val="24"/>
          <w:highlight w:val="none"/>
        </w:rPr>
      </w:pPr>
      <w:r>
        <w:rPr>
          <w:rFonts w:hAnsiTheme="minorEastAsia" w:eastAsiaTheme="minorEastAsia"/>
          <w:b/>
          <w:kern w:val="0"/>
          <w:sz w:val="24"/>
          <w:highlight w:val="none"/>
        </w:rPr>
        <w:t>图</w:t>
      </w:r>
      <w:r>
        <w:rPr>
          <w:rFonts w:eastAsiaTheme="minorEastAsia"/>
          <w:b/>
          <w:kern w:val="0"/>
          <w:sz w:val="24"/>
          <w:highlight w:val="none"/>
        </w:rPr>
        <w:t>5-2-</w:t>
      </w:r>
      <w:r>
        <w:rPr>
          <w:rFonts w:hint="eastAsia" w:eastAsiaTheme="minorEastAsia"/>
          <w:b/>
          <w:kern w:val="0"/>
          <w:sz w:val="24"/>
          <w:highlight w:val="none"/>
          <w:lang w:val="en-US" w:eastAsia="zh-CN"/>
        </w:rPr>
        <w:t>3</w:t>
      </w:r>
      <w:r>
        <w:rPr>
          <w:rFonts w:hAnsiTheme="minorEastAsia" w:eastAsiaTheme="minorEastAsia"/>
          <w:b/>
          <w:kern w:val="0"/>
          <w:sz w:val="24"/>
          <w:highlight w:val="none"/>
        </w:rPr>
        <w:t>声环境预测结果等值线图</w:t>
      </w:r>
    </w:p>
    <w:p w14:paraId="1550C4CE">
      <w:pPr>
        <w:bidi w:val="0"/>
        <w:rPr>
          <w:rFonts w:ascii="Times New Roman" w:hAnsi="Times New Roman" w:cs="Times New Roman"/>
          <w:highlight w:val="none"/>
        </w:rPr>
      </w:pPr>
      <w:r>
        <w:rPr>
          <w:rFonts w:ascii="Times New Roman" w:cs="Times New Roman" w:hAnsiTheme="minorEastAsia"/>
          <w:highlight w:val="none"/>
        </w:rPr>
        <w:t>选取低噪声设备、</w:t>
      </w:r>
      <w:r>
        <w:rPr>
          <w:rFonts w:hint="eastAsia" w:ascii="Times New Roman" w:cs="Times New Roman" w:hAnsiTheme="minorEastAsia"/>
          <w:highlight w:val="none"/>
        </w:rPr>
        <w:t>基础减震、</w:t>
      </w:r>
      <w:r>
        <w:rPr>
          <w:rFonts w:ascii="Times New Roman" w:cs="Times New Roman" w:hAnsiTheme="minorEastAsia"/>
          <w:highlight w:val="none"/>
        </w:rPr>
        <w:t>厂房隔声</w:t>
      </w:r>
      <w:r>
        <w:rPr>
          <w:rFonts w:hint="eastAsia" w:ascii="Times New Roman" w:cs="Times New Roman" w:hAnsiTheme="minorEastAsia"/>
          <w:highlight w:val="none"/>
        </w:rPr>
        <w:t>等</w:t>
      </w:r>
      <w:r>
        <w:rPr>
          <w:rFonts w:ascii="Times New Roman" w:cs="Times New Roman" w:hAnsiTheme="minorEastAsia"/>
          <w:highlight w:val="none"/>
        </w:rPr>
        <w:t>措施后，厂界昼间最大噪声值为</w:t>
      </w:r>
      <w:r>
        <w:rPr>
          <w:rFonts w:hint="eastAsia" w:ascii="Times New Roman" w:hAnsi="Times New Roman" w:cs="Times New Roman"/>
          <w:highlight w:val="none"/>
        </w:rPr>
        <w:t>57.7</w:t>
      </w:r>
      <w:r>
        <w:rPr>
          <w:rFonts w:ascii="Times New Roman" w:hAnsi="Times New Roman" w:cs="Times New Roman"/>
          <w:highlight w:val="none"/>
        </w:rPr>
        <w:t>dB</w:t>
      </w:r>
      <w:r>
        <w:rPr>
          <w:rFonts w:ascii="Times New Roman" w:cs="Times New Roman" w:hAnsiTheme="minorEastAsia"/>
          <w:highlight w:val="none"/>
        </w:rPr>
        <w:t>（</w:t>
      </w:r>
      <w:r>
        <w:rPr>
          <w:rFonts w:ascii="Times New Roman" w:hAnsi="Times New Roman" w:cs="Times New Roman"/>
          <w:highlight w:val="none"/>
        </w:rPr>
        <w:t>A</w:t>
      </w:r>
      <w:r>
        <w:rPr>
          <w:rFonts w:ascii="Times New Roman" w:cs="Times New Roman" w:hAnsiTheme="minorEastAsia"/>
          <w:highlight w:val="none"/>
        </w:rPr>
        <w:t>），夜间最大噪声值为</w:t>
      </w:r>
      <w:r>
        <w:rPr>
          <w:rFonts w:hint="eastAsia" w:ascii="Times New Roman" w:hAnsi="Times New Roman" w:cs="Times New Roman"/>
          <w:highlight w:val="none"/>
        </w:rPr>
        <w:t>54.8</w:t>
      </w:r>
      <w:r>
        <w:rPr>
          <w:rFonts w:ascii="Times New Roman" w:hAnsi="Times New Roman" w:cs="Times New Roman"/>
          <w:highlight w:val="none"/>
        </w:rPr>
        <w:t>dB</w:t>
      </w:r>
      <w:r>
        <w:rPr>
          <w:rFonts w:ascii="Times New Roman" w:cs="Times New Roman" w:hAnsiTheme="minorEastAsia"/>
          <w:highlight w:val="none"/>
        </w:rPr>
        <w:t>（</w:t>
      </w:r>
      <w:r>
        <w:rPr>
          <w:rFonts w:ascii="Times New Roman" w:hAnsi="Times New Roman" w:cs="Times New Roman"/>
          <w:highlight w:val="none"/>
        </w:rPr>
        <w:t>A</w:t>
      </w:r>
      <w:r>
        <w:rPr>
          <w:rFonts w:ascii="Times New Roman" w:cs="Times New Roman" w:hAnsiTheme="minorEastAsia"/>
          <w:highlight w:val="none"/>
        </w:rPr>
        <w:t>），厂界满足《工业企业厂界环境噪声排放标准》（</w:t>
      </w:r>
      <w:r>
        <w:rPr>
          <w:rFonts w:ascii="Times New Roman" w:hAnsi="Times New Roman" w:cs="Times New Roman"/>
          <w:highlight w:val="none"/>
        </w:rPr>
        <w:t>GB12348-2008</w:t>
      </w:r>
      <w:r>
        <w:rPr>
          <w:rFonts w:ascii="Times New Roman" w:cs="Times New Roman" w:hAnsiTheme="minorEastAsia"/>
          <w:highlight w:val="none"/>
        </w:rPr>
        <w:t>）</w:t>
      </w:r>
      <w:r>
        <w:rPr>
          <w:rFonts w:ascii="Times New Roman" w:hAnsi="Times New Roman" w:cs="Times New Roman"/>
          <w:highlight w:val="none"/>
        </w:rPr>
        <w:t>3</w:t>
      </w:r>
      <w:r>
        <w:rPr>
          <w:rFonts w:ascii="Times New Roman" w:cs="Times New Roman" w:hAnsiTheme="minorEastAsia"/>
          <w:highlight w:val="none"/>
        </w:rPr>
        <w:t>类标准，可以被周围环境接受</w:t>
      </w:r>
      <w:r>
        <w:rPr>
          <w:rFonts w:hint="eastAsia" w:cs="Times New Roman" w:hAnsiTheme="minorEastAsia"/>
          <w:highlight w:val="none"/>
          <w:lang w:eastAsia="zh-CN"/>
        </w:rPr>
        <w:t>；</w:t>
      </w:r>
      <w:r>
        <w:rPr>
          <w:rFonts w:hint="default" w:ascii="Times New Roman" w:hAnsi="Times New Roman" w:cs="Times New Roman"/>
          <w:spacing w:val="0"/>
          <w:position w:val="0"/>
          <w:highlight w:val="none"/>
          <w:lang w:val="en-US" w:eastAsia="zh-CN"/>
        </w:rPr>
        <w:t>噪声敏感点处昼间最大噪声值为</w:t>
      </w:r>
      <w:r>
        <w:rPr>
          <w:rFonts w:hint="eastAsia" w:cs="Times New Roman"/>
          <w:spacing w:val="0"/>
          <w:position w:val="0"/>
          <w:highlight w:val="none"/>
          <w:lang w:val="en-US" w:eastAsia="zh-CN"/>
        </w:rPr>
        <w:t>52.11</w:t>
      </w:r>
      <w:r>
        <w:rPr>
          <w:rFonts w:hint="default" w:ascii="Times New Roman" w:hAnsi="Times New Roman" w:cs="Times New Roman"/>
          <w:spacing w:val="0"/>
          <w:position w:val="0"/>
          <w:highlight w:val="none"/>
        </w:rPr>
        <w:t>dB（A）</w:t>
      </w:r>
      <w:r>
        <w:rPr>
          <w:rFonts w:hint="default" w:ascii="Times New Roman" w:hAnsi="Times New Roman" w:cs="Times New Roman"/>
          <w:spacing w:val="0"/>
          <w:position w:val="0"/>
          <w:highlight w:val="none"/>
          <w:lang w:eastAsia="zh-CN"/>
        </w:rPr>
        <w:t>，</w:t>
      </w:r>
      <w:r>
        <w:rPr>
          <w:rFonts w:hint="default" w:ascii="Times New Roman" w:hAnsi="Times New Roman" w:cs="Times New Roman"/>
          <w:spacing w:val="0"/>
          <w:position w:val="0"/>
          <w:highlight w:val="none"/>
          <w:lang w:val="en-US" w:eastAsia="zh-CN"/>
        </w:rPr>
        <w:t>敏感点处噪声满足</w:t>
      </w:r>
      <w:r>
        <w:rPr>
          <w:rFonts w:hint="default" w:ascii="Times New Roman" w:hAnsi="Times New Roman" w:cs="Times New Roman"/>
          <w:color w:val="auto"/>
          <w:spacing w:val="0"/>
          <w:position w:val="0"/>
          <w:sz w:val="24"/>
          <w:szCs w:val="20"/>
          <w:highlight w:val="none"/>
        </w:rPr>
        <w:t>《声环境质量标准》（GB3096-2008）中</w:t>
      </w:r>
      <w:r>
        <w:rPr>
          <w:rFonts w:hint="eastAsia" w:cs="Times New Roman"/>
          <w:color w:val="auto"/>
          <w:spacing w:val="0"/>
          <w:position w:val="0"/>
          <w:sz w:val="24"/>
          <w:szCs w:val="20"/>
          <w:highlight w:val="none"/>
          <w:lang w:val="en-US" w:eastAsia="zh-CN"/>
        </w:rPr>
        <w:t>2</w:t>
      </w:r>
      <w:r>
        <w:rPr>
          <w:rFonts w:hint="default" w:ascii="Times New Roman" w:hAnsi="Times New Roman" w:cs="Times New Roman"/>
          <w:color w:val="auto"/>
          <w:spacing w:val="0"/>
          <w:position w:val="0"/>
          <w:sz w:val="24"/>
          <w:szCs w:val="20"/>
          <w:highlight w:val="none"/>
        </w:rPr>
        <w:t>类标准</w:t>
      </w:r>
      <w:r>
        <w:rPr>
          <w:rFonts w:hint="default" w:ascii="Times New Roman" w:hAnsi="Times New Roman" w:cs="Times New Roman"/>
          <w:color w:val="auto"/>
          <w:spacing w:val="0"/>
          <w:position w:val="0"/>
          <w:sz w:val="24"/>
          <w:szCs w:val="20"/>
          <w:highlight w:val="none"/>
          <w:lang w:eastAsia="zh-CN"/>
        </w:rPr>
        <w:t>，</w:t>
      </w:r>
      <w:r>
        <w:rPr>
          <w:rFonts w:hint="default" w:ascii="Times New Roman" w:hAnsi="Times New Roman" w:cs="Times New Roman"/>
          <w:spacing w:val="0"/>
          <w:position w:val="0"/>
          <w:highlight w:val="none"/>
        </w:rPr>
        <w:t>可以被周围环境接受</w:t>
      </w:r>
      <w:r>
        <w:rPr>
          <w:rFonts w:ascii="Times New Roman" w:cs="Times New Roman" w:hAnsiTheme="minorEastAsia"/>
          <w:highlight w:val="none"/>
        </w:rPr>
        <w:t>。</w:t>
      </w:r>
    </w:p>
    <w:p w14:paraId="77974E07">
      <w:pPr>
        <w:pStyle w:val="4"/>
        <w:bidi w:val="0"/>
        <w:rPr>
          <w:highlight w:val="none"/>
        </w:rPr>
      </w:pPr>
      <w:bookmarkStart w:id="452" w:name="_Toc5999"/>
      <w:bookmarkStart w:id="453" w:name="_Toc5308"/>
      <w:r>
        <w:rPr>
          <w:highlight w:val="none"/>
        </w:rPr>
        <w:t>5.2.5固体废物环境影响分析</w:t>
      </w:r>
      <w:bookmarkEnd w:id="452"/>
      <w:bookmarkEnd w:id="453"/>
    </w:p>
    <w:p w14:paraId="15021B21">
      <w:pPr>
        <w:bidi w:val="0"/>
        <w:rPr>
          <w:rFonts w:hint="default"/>
          <w:highlight w:val="none"/>
          <w:lang w:val="en-US" w:eastAsia="zh-CN"/>
        </w:rPr>
      </w:pPr>
      <w:r>
        <w:rPr>
          <w:rFonts w:hint="eastAsia"/>
          <w:b/>
          <w:bCs/>
          <w:highlight w:val="none"/>
          <w:lang w:val="en-US" w:eastAsia="zh-CN"/>
        </w:rPr>
        <w:t>5.2.5.1</w:t>
      </w:r>
      <w:r>
        <w:rPr>
          <w:rFonts w:hint="default"/>
          <w:b/>
          <w:bCs/>
          <w:highlight w:val="none"/>
          <w:lang w:val="en-US" w:eastAsia="zh-CN"/>
        </w:rPr>
        <w:t>固体废物处置方式影响分析</w:t>
      </w:r>
    </w:p>
    <w:p w14:paraId="30B4EC6A">
      <w:pPr>
        <w:spacing w:line="360" w:lineRule="auto"/>
        <w:ind w:firstLine="480" w:firstLineChars="200"/>
        <w:contextualSpacing/>
        <w:rPr>
          <w:rFonts w:eastAsiaTheme="minorEastAsia"/>
          <w:bCs/>
          <w:sz w:val="24"/>
          <w:highlight w:val="none"/>
        </w:rPr>
      </w:pPr>
      <w:r>
        <w:rPr>
          <w:rFonts w:hAnsiTheme="minorEastAsia" w:eastAsiaTheme="minorEastAsia"/>
          <w:bCs/>
          <w:sz w:val="24"/>
          <w:highlight w:val="none"/>
        </w:rPr>
        <w:t>（</w:t>
      </w:r>
      <w:r>
        <w:rPr>
          <w:rFonts w:hint="eastAsia" w:eastAsiaTheme="minorEastAsia"/>
          <w:bCs/>
          <w:sz w:val="24"/>
          <w:highlight w:val="none"/>
          <w:lang w:val="en-US" w:eastAsia="zh-CN"/>
        </w:rPr>
        <w:t>1</w:t>
      </w:r>
      <w:r>
        <w:rPr>
          <w:rFonts w:hAnsiTheme="minorEastAsia" w:eastAsiaTheme="minorEastAsia"/>
          <w:bCs/>
          <w:sz w:val="24"/>
          <w:highlight w:val="none"/>
        </w:rPr>
        <w:t>）</w:t>
      </w:r>
      <w:r>
        <w:rPr>
          <w:rFonts w:hAnsiTheme="minorEastAsia" w:eastAsiaTheme="minorEastAsia"/>
          <w:kern w:val="21"/>
          <w:sz w:val="24"/>
          <w:highlight w:val="none"/>
        </w:rPr>
        <w:t>一般工业固体废物</w:t>
      </w:r>
    </w:p>
    <w:p w14:paraId="0153B589">
      <w:pPr>
        <w:spacing w:line="360" w:lineRule="auto"/>
        <w:ind w:firstLine="480" w:firstLineChars="200"/>
        <w:contextualSpacing/>
        <w:rPr>
          <w:rFonts w:eastAsiaTheme="minorEastAsia"/>
          <w:bCs/>
          <w:sz w:val="24"/>
          <w:highlight w:val="none"/>
        </w:rPr>
      </w:pPr>
      <w:r>
        <w:rPr>
          <w:rFonts w:hAnsiTheme="minorEastAsia" w:eastAsiaTheme="minorEastAsia"/>
          <w:bCs/>
          <w:sz w:val="24"/>
          <w:highlight w:val="none"/>
        </w:rPr>
        <w:t>机械加工线加工工序产生金属碎屑、外购零部件</w:t>
      </w:r>
      <w:r>
        <w:rPr>
          <w:rFonts w:hint="eastAsia" w:hAnsiTheme="minorEastAsia" w:eastAsiaTheme="minorEastAsia"/>
          <w:bCs/>
          <w:sz w:val="24"/>
          <w:highlight w:val="none"/>
        </w:rPr>
        <w:t>及</w:t>
      </w:r>
      <w:r>
        <w:rPr>
          <w:rFonts w:hAnsiTheme="minorEastAsia" w:eastAsiaTheme="minorEastAsia"/>
          <w:bCs/>
          <w:sz w:val="24"/>
          <w:highlight w:val="none"/>
        </w:rPr>
        <w:t>缸体、缸盖毛坯件的包装物（主要为纸箱、包装袋等），收集后作为废品外售。</w:t>
      </w:r>
    </w:p>
    <w:p w14:paraId="7460312E">
      <w:pPr>
        <w:spacing w:line="360" w:lineRule="auto"/>
        <w:ind w:firstLine="480" w:firstLineChars="200"/>
        <w:contextualSpacing/>
        <w:rPr>
          <w:rFonts w:eastAsiaTheme="minorEastAsia"/>
          <w:bCs/>
          <w:sz w:val="24"/>
          <w:highlight w:val="none"/>
        </w:rPr>
      </w:pPr>
      <w:r>
        <w:rPr>
          <w:rFonts w:hAnsiTheme="minorEastAsia" w:eastAsiaTheme="minorEastAsia"/>
          <w:bCs/>
          <w:sz w:val="24"/>
          <w:highlight w:val="none"/>
        </w:rPr>
        <w:t>（</w:t>
      </w:r>
      <w:r>
        <w:rPr>
          <w:rFonts w:hint="eastAsia" w:eastAsiaTheme="minorEastAsia"/>
          <w:bCs/>
          <w:sz w:val="24"/>
          <w:highlight w:val="none"/>
          <w:lang w:val="en-US" w:eastAsia="zh-CN"/>
        </w:rPr>
        <w:t>2</w:t>
      </w:r>
      <w:r>
        <w:rPr>
          <w:rFonts w:hAnsiTheme="minorEastAsia" w:eastAsiaTheme="minorEastAsia"/>
          <w:bCs/>
          <w:sz w:val="24"/>
          <w:highlight w:val="none"/>
        </w:rPr>
        <w:t>）</w:t>
      </w:r>
      <w:r>
        <w:rPr>
          <w:rFonts w:hAnsiTheme="minorEastAsia" w:eastAsiaTheme="minorEastAsia"/>
          <w:kern w:val="21"/>
          <w:sz w:val="24"/>
          <w:highlight w:val="none"/>
        </w:rPr>
        <w:t>危险废物</w:t>
      </w:r>
    </w:p>
    <w:p w14:paraId="27E77390">
      <w:pPr>
        <w:bidi w:val="0"/>
        <w:rPr>
          <w:rFonts w:hint="default"/>
          <w:highlight w:val="none"/>
          <w:lang w:val="en-US" w:eastAsia="zh-CN"/>
        </w:rPr>
      </w:pPr>
      <w:r>
        <w:rPr>
          <w:rFonts w:hAnsiTheme="minorEastAsia" w:eastAsiaTheme="minorEastAsia"/>
          <w:bCs/>
          <w:sz w:val="24"/>
          <w:highlight w:val="none"/>
        </w:rPr>
        <w:t>机械加工线清洗设备油水分离产生的废油（类别：</w:t>
      </w:r>
      <w:r>
        <w:rPr>
          <w:rFonts w:eastAsiaTheme="minorEastAsia"/>
          <w:bCs/>
          <w:sz w:val="24"/>
          <w:highlight w:val="none"/>
        </w:rPr>
        <w:t>HW08</w:t>
      </w:r>
      <w:r>
        <w:rPr>
          <w:rFonts w:hAnsiTheme="minorEastAsia" w:eastAsiaTheme="minorEastAsia"/>
          <w:bCs/>
          <w:sz w:val="24"/>
          <w:highlight w:val="none"/>
        </w:rPr>
        <w:t>，代码：</w:t>
      </w:r>
      <w:r>
        <w:rPr>
          <w:rFonts w:eastAsiaTheme="minorEastAsia"/>
          <w:bCs/>
          <w:sz w:val="24"/>
          <w:highlight w:val="none"/>
        </w:rPr>
        <w:t>900-210-08</w:t>
      </w:r>
      <w:r>
        <w:rPr>
          <w:rFonts w:hAnsiTheme="minorEastAsia" w:eastAsiaTheme="minorEastAsia"/>
          <w:bCs/>
          <w:sz w:val="24"/>
          <w:highlight w:val="none"/>
        </w:rPr>
        <w:t>）、废润滑油（类别：</w:t>
      </w:r>
      <w:r>
        <w:rPr>
          <w:rFonts w:eastAsiaTheme="minorEastAsia"/>
          <w:bCs/>
          <w:sz w:val="24"/>
          <w:highlight w:val="none"/>
        </w:rPr>
        <w:t>HW08</w:t>
      </w:r>
      <w:r>
        <w:rPr>
          <w:rFonts w:hAnsiTheme="minorEastAsia" w:eastAsiaTheme="minorEastAsia"/>
          <w:bCs/>
          <w:sz w:val="24"/>
          <w:highlight w:val="none"/>
        </w:rPr>
        <w:t>，代码：</w:t>
      </w:r>
      <w:r>
        <w:rPr>
          <w:rFonts w:eastAsiaTheme="minorEastAsia"/>
          <w:bCs/>
          <w:sz w:val="24"/>
          <w:highlight w:val="none"/>
        </w:rPr>
        <w:t>900-249-08</w:t>
      </w:r>
      <w:r>
        <w:rPr>
          <w:rFonts w:hAnsiTheme="minorEastAsia" w:eastAsiaTheme="minorEastAsia"/>
          <w:bCs/>
          <w:sz w:val="24"/>
          <w:highlight w:val="none"/>
        </w:rPr>
        <w:t>）、废机油（类别：</w:t>
      </w:r>
      <w:r>
        <w:rPr>
          <w:rFonts w:eastAsiaTheme="minorEastAsia"/>
          <w:bCs/>
          <w:sz w:val="24"/>
          <w:highlight w:val="none"/>
        </w:rPr>
        <w:t>HW08</w:t>
      </w:r>
      <w:r>
        <w:rPr>
          <w:rFonts w:hAnsiTheme="minorEastAsia" w:eastAsiaTheme="minorEastAsia"/>
          <w:bCs/>
          <w:sz w:val="24"/>
          <w:highlight w:val="none"/>
        </w:rPr>
        <w:t>，代码：</w:t>
      </w:r>
      <w:r>
        <w:rPr>
          <w:rFonts w:eastAsiaTheme="minorEastAsia"/>
          <w:bCs/>
          <w:sz w:val="24"/>
          <w:highlight w:val="none"/>
        </w:rPr>
        <w:t>900-249-08</w:t>
      </w:r>
      <w:r>
        <w:rPr>
          <w:rFonts w:hAnsiTheme="minorEastAsia" w:eastAsiaTheme="minorEastAsia"/>
          <w:bCs/>
          <w:sz w:val="24"/>
          <w:highlight w:val="none"/>
        </w:rPr>
        <w:t>）、含油抹布（类别：</w:t>
      </w:r>
      <w:r>
        <w:rPr>
          <w:rFonts w:eastAsiaTheme="minorEastAsia"/>
          <w:bCs/>
          <w:sz w:val="24"/>
          <w:highlight w:val="none"/>
        </w:rPr>
        <w:t>HW49</w:t>
      </w:r>
      <w:r>
        <w:rPr>
          <w:rFonts w:hAnsiTheme="minorEastAsia" w:eastAsiaTheme="minorEastAsia"/>
          <w:bCs/>
          <w:sz w:val="24"/>
          <w:highlight w:val="none"/>
        </w:rPr>
        <w:t>，代码：</w:t>
      </w:r>
      <w:r>
        <w:rPr>
          <w:rFonts w:eastAsiaTheme="minorEastAsia"/>
          <w:bCs/>
          <w:sz w:val="24"/>
          <w:highlight w:val="none"/>
        </w:rPr>
        <w:t>900-041-49</w:t>
      </w:r>
      <w:r>
        <w:rPr>
          <w:rFonts w:hAnsiTheme="minorEastAsia" w:eastAsiaTheme="minorEastAsia"/>
          <w:bCs/>
          <w:sz w:val="24"/>
          <w:highlight w:val="none"/>
        </w:rPr>
        <w:t>）、切削液过滤系统产生的滤布（类别：</w:t>
      </w:r>
      <w:r>
        <w:rPr>
          <w:rFonts w:eastAsiaTheme="minorEastAsia"/>
          <w:bCs/>
          <w:sz w:val="24"/>
          <w:highlight w:val="none"/>
        </w:rPr>
        <w:t>HW49</w:t>
      </w:r>
      <w:r>
        <w:rPr>
          <w:rFonts w:hAnsiTheme="minorEastAsia" w:eastAsiaTheme="minorEastAsia"/>
          <w:bCs/>
          <w:sz w:val="24"/>
          <w:highlight w:val="none"/>
        </w:rPr>
        <w:t>，代码：</w:t>
      </w:r>
      <w:r>
        <w:rPr>
          <w:rFonts w:eastAsiaTheme="minorEastAsia"/>
          <w:bCs/>
          <w:sz w:val="24"/>
          <w:highlight w:val="none"/>
        </w:rPr>
        <w:t>900-041-49</w:t>
      </w:r>
      <w:r>
        <w:rPr>
          <w:rFonts w:hAnsiTheme="minorEastAsia" w:eastAsiaTheme="minorEastAsia"/>
          <w:bCs/>
          <w:sz w:val="24"/>
          <w:highlight w:val="none"/>
        </w:rPr>
        <w:t>）、矿物油类包装桶（类别：</w:t>
      </w:r>
      <w:r>
        <w:rPr>
          <w:rFonts w:eastAsiaTheme="minorEastAsia"/>
          <w:bCs/>
          <w:sz w:val="24"/>
          <w:highlight w:val="none"/>
        </w:rPr>
        <w:t>HW</w:t>
      </w:r>
      <w:r>
        <w:rPr>
          <w:rFonts w:hint="eastAsia" w:eastAsiaTheme="minorEastAsia"/>
          <w:bCs/>
          <w:sz w:val="24"/>
          <w:highlight w:val="none"/>
        </w:rPr>
        <w:t>08</w:t>
      </w:r>
      <w:r>
        <w:rPr>
          <w:rFonts w:hAnsiTheme="minorEastAsia" w:eastAsiaTheme="minorEastAsia"/>
          <w:bCs/>
          <w:sz w:val="24"/>
          <w:highlight w:val="none"/>
        </w:rPr>
        <w:t>，代码：</w:t>
      </w:r>
      <w:r>
        <w:rPr>
          <w:rFonts w:eastAsiaTheme="minorEastAsia"/>
          <w:bCs/>
          <w:sz w:val="24"/>
          <w:highlight w:val="none"/>
        </w:rPr>
        <w:t>900-</w:t>
      </w:r>
      <w:r>
        <w:rPr>
          <w:rFonts w:hint="eastAsia" w:eastAsiaTheme="minorEastAsia"/>
          <w:bCs/>
          <w:sz w:val="24"/>
          <w:highlight w:val="none"/>
        </w:rPr>
        <w:t>249</w:t>
      </w:r>
      <w:r>
        <w:rPr>
          <w:rFonts w:eastAsiaTheme="minorEastAsia"/>
          <w:bCs/>
          <w:sz w:val="24"/>
          <w:highlight w:val="none"/>
        </w:rPr>
        <w:t>-</w:t>
      </w:r>
      <w:r>
        <w:rPr>
          <w:rFonts w:hint="eastAsia" w:eastAsiaTheme="minorEastAsia"/>
          <w:bCs/>
          <w:sz w:val="24"/>
          <w:highlight w:val="none"/>
        </w:rPr>
        <w:t>08</w:t>
      </w:r>
      <w:r>
        <w:rPr>
          <w:rFonts w:hAnsiTheme="minorEastAsia" w:eastAsiaTheme="minorEastAsia"/>
          <w:bCs/>
          <w:sz w:val="24"/>
          <w:highlight w:val="none"/>
        </w:rPr>
        <w:t>）、胶类包装桶（类别：</w:t>
      </w:r>
      <w:r>
        <w:rPr>
          <w:rFonts w:eastAsiaTheme="minorEastAsia"/>
          <w:bCs/>
          <w:sz w:val="24"/>
          <w:highlight w:val="none"/>
        </w:rPr>
        <w:t>HW49</w:t>
      </w:r>
      <w:r>
        <w:rPr>
          <w:rFonts w:hAnsiTheme="minorEastAsia" w:eastAsiaTheme="minorEastAsia"/>
          <w:bCs/>
          <w:sz w:val="24"/>
          <w:highlight w:val="none"/>
        </w:rPr>
        <w:t>，代码：</w:t>
      </w:r>
      <w:r>
        <w:rPr>
          <w:rFonts w:eastAsiaTheme="minorEastAsia"/>
          <w:bCs/>
          <w:sz w:val="24"/>
          <w:highlight w:val="none"/>
        </w:rPr>
        <w:t>900-041-49</w:t>
      </w:r>
      <w:r>
        <w:rPr>
          <w:rFonts w:hAnsiTheme="minorEastAsia" w:eastAsiaTheme="minorEastAsia"/>
          <w:bCs/>
          <w:sz w:val="24"/>
          <w:highlight w:val="none"/>
        </w:rPr>
        <w:t>）、珩磨过程会产生少量的废油泥（类别：</w:t>
      </w:r>
      <w:r>
        <w:rPr>
          <w:rFonts w:eastAsiaTheme="minorEastAsia"/>
          <w:bCs/>
          <w:sz w:val="24"/>
          <w:highlight w:val="none"/>
        </w:rPr>
        <w:t>HW08</w:t>
      </w:r>
      <w:r>
        <w:rPr>
          <w:rFonts w:hAnsiTheme="minorEastAsia" w:eastAsiaTheme="minorEastAsia"/>
          <w:bCs/>
          <w:sz w:val="24"/>
          <w:highlight w:val="none"/>
        </w:rPr>
        <w:t>，代码：</w:t>
      </w:r>
      <w:r>
        <w:rPr>
          <w:rFonts w:eastAsiaTheme="minorEastAsia"/>
          <w:bCs/>
          <w:sz w:val="24"/>
          <w:highlight w:val="none"/>
        </w:rPr>
        <w:t>900-200-08</w:t>
      </w:r>
      <w:r>
        <w:rPr>
          <w:rFonts w:hAnsiTheme="minorEastAsia" w:eastAsiaTheme="minorEastAsia"/>
          <w:bCs/>
          <w:sz w:val="24"/>
          <w:highlight w:val="none"/>
        </w:rPr>
        <w:t>）及油雾净化系统产生的废油（类别：</w:t>
      </w:r>
      <w:r>
        <w:rPr>
          <w:rFonts w:eastAsiaTheme="minorEastAsia"/>
          <w:bCs/>
          <w:sz w:val="24"/>
          <w:highlight w:val="none"/>
        </w:rPr>
        <w:t>HW08</w:t>
      </w:r>
      <w:r>
        <w:rPr>
          <w:rFonts w:hAnsiTheme="minorEastAsia" w:eastAsiaTheme="minorEastAsia"/>
          <w:bCs/>
          <w:sz w:val="24"/>
          <w:highlight w:val="none"/>
        </w:rPr>
        <w:t>，代码：</w:t>
      </w:r>
      <w:r>
        <w:rPr>
          <w:rFonts w:eastAsiaTheme="minorEastAsia"/>
          <w:bCs/>
          <w:sz w:val="24"/>
          <w:highlight w:val="none"/>
        </w:rPr>
        <w:t>900-249-08</w:t>
      </w:r>
      <w:r>
        <w:rPr>
          <w:rFonts w:hAnsiTheme="minorEastAsia" w:eastAsiaTheme="minorEastAsia"/>
          <w:bCs/>
          <w:sz w:val="24"/>
          <w:highlight w:val="none"/>
        </w:rPr>
        <w:t>）和废过滤材料（类别：</w:t>
      </w:r>
      <w:r>
        <w:rPr>
          <w:rFonts w:eastAsiaTheme="minorEastAsia"/>
          <w:bCs/>
          <w:sz w:val="24"/>
          <w:highlight w:val="none"/>
        </w:rPr>
        <w:t>HW49</w:t>
      </w:r>
      <w:r>
        <w:rPr>
          <w:rFonts w:hAnsiTheme="minorEastAsia" w:eastAsiaTheme="minorEastAsia"/>
          <w:bCs/>
          <w:sz w:val="24"/>
          <w:highlight w:val="none"/>
        </w:rPr>
        <w:t>，代码：</w:t>
      </w:r>
      <w:r>
        <w:rPr>
          <w:rFonts w:eastAsiaTheme="minorEastAsia"/>
          <w:bCs/>
          <w:sz w:val="24"/>
          <w:highlight w:val="none"/>
        </w:rPr>
        <w:t>900-041-49</w:t>
      </w:r>
      <w:r>
        <w:rPr>
          <w:rFonts w:hAnsiTheme="minorEastAsia" w:eastAsiaTheme="minorEastAsia"/>
          <w:bCs/>
          <w:sz w:val="24"/>
          <w:highlight w:val="none"/>
        </w:rPr>
        <w:t>）、废催化剂（类别：HW50，代码：900-049-50）</w:t>
      </w:r>
      <w:r>
        <w:rPr>
          <w:rFonts w:ascii="宋体" w:hAnsi="宋体"/>
          <w:sz w:val="24"/>
          <w:highlight w:val="none"/>
        </w:rPr>
        <w:t>、</w:t>
      </w:r>
      <w:r>
        <w:rPr>
          <w:sz w:val="24"/>
          <w:highlight w:val="none"/>
        </w:rPr>
        <w:t>4</w:t>
      </w:r>
      <w:r>
        <w:rPr>
          <w:rFonts w:hAnsi="宋体"/>
          <w:sz w:val="24"/>
          <w:highlight w:val="none"/>
        </w:rPr>
        <w:t>号厂房污水处理站废切削液和废清洗剂预处理分离过程出废油（类别</w:t>
      </w:r>
      <w:r>
        <w:rPr>
          <w:sz w:val="24"/>
          <w:highlight w:val="none"/>
        </w:rPr>
        <w:t>HW08</w:t>
      </w:r>
      <w:r>
        <w:rPr>
          <w:rFonts w:hAnsi="宋体"/>
          <w:sz w:val="24"/>
          <w:highlight w:val="none"/>
        </w:rPr>
        <w:t>，代码：</w:t>
      </w:r>
      <w:r>
        <w:rPr>
          <w:sz w:val="24"/>
          <w:highlight w:val="none"/>
        </w:rPr>
        <w:t>900-210-08</w:t>
      </w:r>
      <w:r>
        <w:rPr>
          <w:rFonts w:hAnsi="宋体"/>
          <w:sz w:val="24"/>
          <w:highlight w:val="none"/>
        </w:rPr>
        <w:t>）、</w:t>
      </w:r>
      <w:r>
        <w:rPr>
          <w:sz w:val="24"/>
          <w:highlight w:val="none"/>
        </w:rPr>
        <w:t>4</w:t>
      </w:r>
      <w:r>
        <w:rPr>
          <w:rFonts w:hAnsi="宋体"/>
          <w:sz w:val="24"/>
          <w:highlight w:val="none"/>
        </w:rPr>
        <w:t>号厂房污水处理站污泥（类别</w:t>
      </w:r>
      <w:r>
        <w:rPr>
          <w:sz w:val="24"/>
          <w:highlight w:val="none"/>
        </w:rPr>
        <w:t>HW08</w:t>
      </w:r>
      <w:r>
        <w:rPr>
          <w:rFonts w:hAnsi="宋体"/>
          <w:sz w:val="24"/>
          <w:highlight w:val="none"/>
        </w:rPr>
        <w:t>，代码：</w:t>
      </w:r>
      <w:r>
        <w:rPr>
          <w:sz w:val="24"/>
          <w:highlight w:val="none"/>
        </w:rPr>
        <w:t>900-210-08</w:t>
      </w:r>
      <w:r>
        <w:rPr>
          <w:rFonts w:hAnsi="宋体"/>
          <w:sz w:val="24"/>
          <w:highlight w:val="none"/>
        </w:rPr>
        <w:t>）</w:t>
      </w:r>
      <w:r>
        <w:rPr>
          <w:rFonts w:hAnsiTheme="minorEastAsia" w:eastAsiaTheme="minorEastAsia"/>
          <w:bCs/>
          <w:sz w:val="24"/>
          <w:highlight w:val="none"/>
        </w:rPr>
        <w:t>，</w:t>
      </w:r>
      <w:r>
        <w:rPr>
          <w:rFonts w:hint="eastAsia" w:hAnsiTheme="minorEastAsia" w:eastAsiaTheme="minorEastAsia"/>
          <w:bCs/>
          <w:sz w:val="24"/>
          <w:highlight w:val="none"/>
        </w:rPr>
        <w:t>污泥暂存于污泥干化池，其余危废</w:t>
      </w:r>
      <w:r>
        <w:rPr>
          <w:rFonts w:hAnsiTheme="minorEastAsia" w:eastAsiaTheme="minorEastAsia"/>
          <w:bCs/>
          <w:sz w:val="24"/>
          <w:highlight w:val="none"/>
        </w:rPr>
        <w:t>暂存于危废贮存库，危废均交由有资质单位处理</w:t>
      </w:r>
      <w:r>
        <w:rPr>
          <w:rFonts w:hint="default"/>
          <w:highlight w:val="none"/>
          <w:lang w:val="en-US" w:eastAsia="zh-CN"/>
        </w:rPr>
        <w:t>。</w:t>
      </w:r>
    </w:p>
    <w:p w14:paraId="7F8DA763">
      <w:pPr>
        <w:bidi w:val="0"/>
        <w:rPr>
          <w:kern w:val="24"/>
          <w:highlight w:val="none"/>
        </w:rPr>
      </w:pPr>
      <w:r>
        <w:rPr>
          <w:highlight w:val="none"/>
        </w:rPr>
        <w:t>本项目危险废物汇总</w:t>
      </w:r>
      <w:r>
        <w:rPr>
          <w:rFonts w:hint="eastAsia"/>
          <w:highlight w:val="none"/>
          <w:lang w:val="en-US" w:eastAsia="zh-CN"/>
        </w:rPr>
        <w:t>及</w:t>
      </w:r>
      <w:r>
        <w:rPr>
          <w:rFonts w:hint="eastAsia"/>
          <w:kern w:val="24"/>
          <w:highlight w:val="none"/>
        </w:rPr>
        <w:t>危险废物贮存设施见</w:t>
      </w:r>
      <w:r>
        <w:rPr>
          <w:rFonts w:hint="eastAsia"/>
          <w:kern w:val="24"/>
          <w:highlight w:val="none"/>
          <w:lang w:val="en-US" w:eastAsia="zh-CN"/>
        </w:rPr>
        <w:t>下表</w:t>
      </w:r>
      <w:r>
        <w:rPr>
          <w:rFonts w:hint="eastAsia"/>
          <w:kern w:val="24"/>
          <w:highlight w:val="none"/>
        </w:rPr>
        <w:t>。</w:t>
      </w:r>
    </w:p>
    <w:p w14:paraId="7C12B564">
      <w:pPr>
        <w:spacing w:line="360" w:lineRule="auto"/>
        <w:ind w:firstLine="480" w:firstLineChars="200"/>
        <w:contextualSpacing/>
        <w:rPr>
          <w:rFonts w:hAnsiTheme="minorEastAsia" w:eastAsiaTheme="minorEastAsia"/>
          <w:bCs/>
          <w:sz w:val="24"/>
          <w:highlight w:val="none"/>
        </w:rPr>
      </w:pPr>
    </w:p>
    <w:p w14:paraId="6822FC14">
      <w:pPr>
        <w:spacing w:line="360" w:lineRule="auto"/>
        <w:ind w:firstLine="480" w:firstLineChars="200"/>
        <w:contextualSpacing/>
        <w:rPr>
          <w:rFonts w:hAnsiTheme="minorEastAsia" w:eastAsiaTheme="minorEastAsia"/>
          <w:bCs/>
          <w:sz w:val="24"/>
          <w:highlight w:val="none"/>
        </w:rPr>
      </w:pPr>
    </w:p>
    <w:p w14:paraId="6DFC99F7">
      <w:pPr>
        <w:spacing w:line="360" w:lineRule="auto"/>
        <w:ind w:firstLine="480" w:firstLineChars="200"/>
        <w:contextualSpacing/>
        <w:rPr>
          <w:rFonts w:hAnsiTheme="minorEastAsia" w:eastAsiaTheme="minorEastAsia"/>
          <w:bCs/>
          <w:sz w:val="24"/>
          <w:highlight w:val="none"/>
        </w:rPr>
        <w:sectPr>
          <w:pgSz w:w="11906" w:h="16838"/>
          <w:pgMar w:top="1440" w:right="1800" w:bottom="1440" w:left="1800" w:header="851" w:footer="992" w:gutter="0"/>
          <w:pgBorders w:offsetFrom="page">
            <w:top w:val="none" w:sz="0" w:space="0"/>
            <w:left w:val="none" w:sz="0" w:space="0"/>
            <w:bottom w:val="none" w:sz="0" w:space="0"/>
            <w:right w:val="none" w:sz="0" w:space="0"/>
          </w:pgBorders>
          <w:cols w:space="425" w:num="1"/>
          <w:docGrid w:type="lines" w:linePitch="312" w:charSpace="0"/>
        </w:sectPr>
      </w:pPr>
    </w:p>
    <w:p w14:paraId="5DD66824">
      <w:pPr>
        <w:pStyle w:val="7"/>
        <w:bidi w:val="0"/>
        <w:rPr>
          <w:highlight w:val="none"/>
        </w:rPr>
      </w:pPr>
      <w:r>
        <w:rPr>
          <w:highlight w:val="none"/>
        </w:rPr>
        <w:t>表5-2-</w:t>
      </w:r>
      <w:r>
        <w:rPr>
          <w:rFonts w:hint="eastAsia"/>
          <w:highlight w:val="none"/>
          <w:lang w:val="en-US" w:eastAsia="zh-CN"/>
        </w:rPr>
        <w:t>19</w:t>
      </w:r>
      <w:r>
        <w:rPr>
          <w:highlight w:val="none"/>
        </w:rPr>
        <w:t>危险废物产生、处置情况汇总表</w:t>
      </w:r>
    </w:p>
    <w:tbl>
      <w:tblPr>
        <w:tblStyle w:val="739"/>
        <w:tblW w:w="14178"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739"/>
        <w:gridCol w:w="1114"/>
        <w:gridCol w:w="882"/>
        <w:gridCol w:w="1368"/>
        <w:gridCol w:w="1120"/>
        <w:gridCol w:w="1408"/>
        <w:gridCol w:w="992"/>
        <w:gridCol w:w="1088"/>
        <w:gridCol w:w="1243"/>
        <w:gridCol w:w="1436"/>
        <w:gridCol w:w="2788"/>
      </w:tblGrid>
      <w:tr w14:paraId="56A3DD9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74" w:hRule="atLeast"/>
          <w:jc w:val="center"/>
        </w:trPr>
        <w:tc>
          <w:tcPr>
            <w:tcW w:w="739" w:type="dxa"/>
            <w:vAlign w:val="center"/>
          </w:tcPr>
          <w:p w14:paraId="1D9258C3">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bookmarkStart w:id="454" w:name="_Toc10126"/>
            <w:r>
              <w:rPr>
                <w:rFonts w:hint="default" w:ascii="Times New Roman" w:cs="Times New Roman" w:hAnsiTheme="minorEastAsia" w:eastAsiaTheme="minorEastAsia"/>
                <w:snapToGrid w:val="0"/>
                <w:color w:val="auto"/>
                <w:kern w:val="0"/>
                <w:sz w:val="21"/>
                <w:szCs w:val="21"/>
                <w:highlight w:val="none"/>
              </w:rPr>
              <w:t>序号</w:t>
            </w:r>
          </w:p>
        </w:tc>
        <w:tc>
          <w:tcPr>
            <w:tcW w:w="1114" w:type="dxa"/>
            <w:vAlign w:val="center"/>
          </w:tcPr>
          <w:p w14:paraId="67A3A624">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default" w:ascii="Times New Roman" w:cs="Times New Roman" w:hAnsiTheme="minorEastAsia" w:eastAsiaTheme="minorEastAsia"/>
                <w:snapToGrid w:val="0"/>
                <w:color w:val="auto"/>
                <w:kern w:val="0"/>
                <w:sz w:val="21"/>
                <w:szCs w:val="21"/>
                <w:highlight w:val="none"/>
              </w:rPr>
              <w:t>危险废物名称</w:t>
            </w:r>
          </w:p>
        </w:tc>
        <w:tc>
          <w:tcPr>
            <w:tcW w:w="882" w:type="dxa"/>
            <w:vAlign w:val="center"/>
          </w:tcPr>
          <w:p w14:paraId="46CF84A1">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default" w:ascii="Times New Roman" w:cs="Times New Roman" w:hAnsiTheme="minorEastAsia" w:eastAsiaTheme="minorEastAsia"/>
                <w:snapToGrid w:val="0"/>
                <w:color w:val="auto"/>
                <w:kern w:val="0"/>
                <w:sz w:val="21"/>
                <w:szCs w:val="21"/>
                <w:highlight w:val="none"/>
              </w:rPr>
              <w:t>危险废物类别</w:t>
            </w:r>
          </w:p>
        </w:tc>
        <w:tc>
          <w:tcPr>
            <w:tcW w:w="1368" w:type="dxa"/>
            <w:vAlign w:val="center"/>
          </w:tcPr>
          <w:p w14:paraId="03745057">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default" w:ascii="Times New Roman" w:cs="Times New Roman" w:hAnsiTheme="minorEastAsia" w:eastAsiaTheme="minorEastAsia"/>
                <w:snapToGrid w:val="0"/>
                <w:color w:val="auto"/>
                <w:kern w:val="0"/>
                <w:sz w:val="21"/>
                <w:szCs w:val="21"/>
                <w:highlight w:val="none"/>
              </w:rPr>
              <w:t>危险废物代码</w:t>
            </w:r>
          </w:p>
        </w:tc>
        <w:tc>
          <w:tcPr>
            <w:tcW w:w="1120" w:type="dxa"/>
            <w:vAlign w:val="center"/>
          </w:tcPr>
          <w:p w14:paraId="627A07FE">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default" w:ascii="Times New Roman" w:cs="Times New Roman" w:hAnsiTheme="minorEastAsia" w:eastAsiaTheme="minorEastAsia"/>
                <w:snapToGrid w:val="0"/>
                <w:color w:val="auto"/>
                <w:kern w:val="0"/>
                <w:sz w:val="21"/>
                <w:szCs w:val="21"/>
                <w:highlight w:val="none"/>
              </w:rPr>
              <w:t>产生量</w:t>
            </w:r>
          </w:p>
          <w:p w14:paraId="6C6A09CC">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default" w:ascii="Times New Roman" w:cs="Times New Roman" w:hAnsiTheme="minorEastAsia" w:eastAsiaTheme="minorEastAsia"/>
                <w:snapToGrid w:val="0"/>
                <w:color w:val="auto"/>
                <w:kern w:val="0"/>
                <w:sz w:val="21"/>
                <w:szCs w:val="21"/>
                <w:highlight w:val="none"/>
              </w:rPr>
              <w:t>（</w:t>
            </w:r>
            <w:r>
              <w:rPr>
                <w:rFonts w:hint="default" w:ascii="Times New Roman" w:hAnsi="Times New Roman" w:cs="Times New Roman" w:eastAsiaTheme="minorEastAsia"/>
                <w:snapToGrid w:val="0"/>
                <w:color w:val="auto"/>
                <w:kern w:val="0"/>
                <w:sz w:val="21"/>
                <w:szCs w:val="21"/>
                <w:highlight w:val="none"/>
              </w:rPr>
              <w:t>t/a</w:t>
            </w:r>
            <w:r>
              <w:rPr>
                <w:rFonts w:hint="default" w:ascii="Times New Roman" w:cs="Times New Roman" w:hAnsiTheme="minorEastAsia" w:eastAsiaTheme="minorEastAsia"/>
                <w:snapToGrid w:val="0"/>
                <w:color w:val="auto"/>
                <w:kern w:val="0"/>
                <w:sz w:val="21"/>
                <w:szCs w:val="21"/>
                <w:highlight w:val="none"/>
              </w:rPr>
              <w:t>）</w:t>
            </w:r>
          </w:p>
        </w:tc>
        <w:tc>
          <w:tcPr>
            <w:tcW w:w="1408" w:type="dxa"/>
            <w:vAlign w:val="center"/>
          </w:tcPr>
          <w:p w14:paraId="346EE618">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default" w:ascii="Times New Roman" w:cs="Times New Roman" w:hAnsiTheme="minorEastAsia" w:eastAsiaTheme="minorEastAsia"/>
                <w:snapToGrid w:val="0"/>
                <w:color w:val="auto"/>
                <w:kern w:val="0"/>
                <w:sz w:val="21"/>
                <w:szCs w:val="21"/>
                <w:highlight w:val="none"/>
              </w:rPr>
              <w:t>产生工序及装置</w:t>
            </w:r>
          </w:p>
        </w:tc>
        <w:tc>
          <w:tcPr>
            <w:tcW w:w="992" w:type="dxa"/>
            <w:vAlign w:val="center"/>
          </w:tcPr>
          <w:p w14:paraId="28B11203">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default" w:ascii="Times New Roman" w:cs="Times New Roman" w:hAnsiTheme="minorEastAsia" w:eastAsiaTheme="minorEastAsia"/>
                <w:snapToGrid w:val="0"/>
                <w:color w:val="auto"/>
                <w:kern w:val="0"/>
                <w:sz w:val="21"/>
                <w:szCs w:val="21"/>
                <w:highlight w:val="none"/>
              </w:rPr>
              <w:t>形态</w:t>
            </w:r>
          </w:p>
        </w:tc>
        <w:tc>
          <w:tcPr>
            <w:tcW w:w="1088" w:type="dxa"/>
            <w:vAlign w:val="center"/>
          </w:tcPr>
          <w:p w14:paraId="53E4B0B7">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default" w:ascii="Times New Roman" w:cs="Times New Roman" w:hAnsiTheme="minorEastAsia" w:eastAsiaTheme="minorEastAsia"/>
                <w:snapToGrid w:val="0"/>
                <w:color w:val="auto"/>
                <w:kern w:val="0"/>
                <w:sz w:val="21"/>
                <w:szCs w:val="21"/>
                <w:highlight w:val="none"/>
              </w:rPr>
              <w:t>主要成分</w:t>
            </w:r>
          </w:p>
        </w:tc>
        <w:tc>
          <w:tcPr>
            <w:tcW w:w="1243" w:type="dxa"/>
            <w:vAlign w:val="center"/>
          </w:tcPr>
          <w:p w14:paraId="7626EB51">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default" w:ascii="Times New Roman" w:cs="Times New Roman" w:hAnsiTheme="minorEastAsia" w:eastAsiaTheme="minorEastAsia"/>
                <w:snapToGrid w:val="0"/>
                <w:color w:val="auto"/>
                <w:kern w:val="0"/>
                <w:sz w:val="21"/>
                <w:szCs w:val="21"/>
                <w:highlight w:val="none"/>
              </w:rPr>
              <w:t>有害成分</w:t>
            </w:r>
          </w:p>
        </w:tc>
        <w:tc>
          <w:tcPr>
            <w:tcW w:w="1436" w:type="dxa"/>
            <w:vAlign w:val="center"/>
          </w:tcPr>
          <w:p w14:paraId="3EF24E0A">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default" w:ascii="Times New Roman" w:cs="Times New Roman" w:hAnsiTheme="minorEastAsia" w:eastAsiaTheme="minorEastAsia"/>
                <w:snapToGrid w:val="0"/>
                <w:color w:val="auto"/>
                <w:kern w:val="0"/>
                <w:sz w:val="21"/>
                <w:szCs w:val="21"/>
                <w:highlight w:val="none"/>
              </w:rPr>
              <w:t>危险特性</w:t>
            </w:r>
          </w:p>
        </w:tc>
        <w:tc>
          <w:tcPr>
            <w:tcW w:w="2788" w:type="dxa"/>
            <w:vAlign w:val="center"/>
          </w:tcPr>
          <w:p w14:paraId="0FDE2260">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default" w:ascii="Times New Roman" w:cs="Times New Roman" w:hAnsiTheme="minorEastAsia" w:eastAsiaTheme="minorEastAsia"/>
                <w:snapToGrid w:val="0"/>
                <w:color w:val="auto"/>
                <w:kern w:val="0"/>
                <w:sz w:val="21"/>
                <w:szCs w:val="21"/>
                <w:highlight w:val="none"/>
              </w:rPr>
              <w:t>污染防治措施</w:t>
            </w:r>
          </w:p>
        </w:tc>
      </w:tr>
      <w:tr w14:paraId="7F95D9F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129" w:hRule="atLeast"/>
          <w:jc w:val="center"/>
        </w:trPr>
        <w:tc>
          <w:tcPr>
            <w:tcW w:w="739" w:type="dxa"/>
            <w:vAlign w:val="center"/>
          </w:tcPr>
          <w:p w14:paraId="44AEB866">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default" w:ascii="Times New Roman" w:hAnsi="Times New Roman" w:cs="Times New Roman" w:eastAsiaTheme="minorEastAsia"/>
                <w:snapToGrid w:val="0"/>
                <w:color w:val="auto"/>
                <w:kern w:val="0"/>
                <w:sz w:val="21"/>
                <w:szCs w:val="21"/>
                <w:highlight w:val="none"/>
              </w:rPr>
              <w:t>1</w:t>
            </w:r>
          </w:p>
        </w:tc>
        <w:tc>
          <w:tcPr>
            <w:tcW w:w="1114" w:type="dxa"/>
            <w:vAlign w:val="center"/>
          </w:tcPr>
          <w:p w14:paraId="20FD09D3">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default" w:ascii="Times New Roman" w:cs="Times New Roman" w:hAnsiTheme="minorEastAsia" w:eastAsiaTheme="minorEastAsia"/>
                <w:snapToGrid w:val="0"/>
                <w:color w:val="auto"/>
                <w:kern w:val="0"/>
                <w:sz w:val="21"/>
                <w:szCs w:val="21"/>
                <w:highlight w:val="none"/>
              </w:rPr>
              <w:t>废油</w:t>
            </w:r>
          </w:p>
        </w:tc>
        <w:tc>
          <w:tcPr>
            <w:tcW w:w="882" w:type="dxa"/>
            <w:vAlign w:val="center"/>
          </w:tcPr>
          <w:p w14:paraId="2623AD0A">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default" w:ascii="Times New Roman" w:hAnsi="Times New Roman" w:cs="Times New Roman" w:eastAsiaTheme="minorEastAsia"/>
                <w:snapToGrid w:val="0"/>
                <w:color w:val="auto"/>
                <w:kern w:val="0"/>
                <w:sz w:val="21"/>
                <w:szCs w:val="21"/>
                <w:highlight w:val="none"/>
              </w:rPr>
              <w:t>HW08</w:t>
            </w:r>
          </w:p>
        </w:tc>
        <w:tc>
          <w:tcPr>
            <w:tcW w:w="1368" w:type="dxa"/>
            <w:vAlign w:val="center"/>
          </w:tcPr>
          <w:p w14:paraId="43E05875">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default" w:ascii="Times New Roman" w:hAnsi="Times New Roman" w:cs="Times New Roman" w:eastAsiaTheme="minorEastAsia"/>
                <w:snapToGrid w:val="0"/>
                <w:color w:val="auto"/>
                <w:kern w:val="0"/>
                <w:sz w:val="21"/>
                <w:szCs w:val="21"/>
                <w:highlight w:val="none"/>
              </w:rPr>
              <w:t>900-210-08</w:t>
            </w:r>
          </w:p>
        </w:tc>
        <w:tc>
          <w:tcPr>
            <w:tcW w:w="1120" w:type="dxa"/>
            <w:vAlign w:val="center"/>
          </w:tcPr>
          <w:p w14:paraId="4A474D66">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default" w:ascii="Times New Roman" w:hAnsi="Times New Roman" w:cs="Times New Roman" w:eastAsiaTheme="minorEastAsia"/>
                <w:snapToGrid w:val="0"/>
                <w:color w:val="auto"/>
                <w:kern w:val="0"/>
                <w:sz w:val="21"/>
                <w:szCs w:val="21"/>
                <w:highlight w:val="none"/>
              </w:rPr>
              <w:t>5.0</w:t>
            </w:r>
          </w:p>
        </w:tc>
        <w:tc>
          <w:tcPr>
            <w:tcW w:w="1408" w:type="dxa"/>
            <w:vAlign w:val="center"/>
          </w:tcPr>
          <w:p w14:paraId="0C65B002">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default" w:ascii="Times New Roman" w:cs="Times New Roman" w:hAnsiTheme="minorEastAsia" w:eastAsiaTheme="minorEastAsia"/>
                <w:snapToGrid w:val="0"/>
                <w:color w:val="auto"/>
                <w:kern w:val="0"/>
                <w:sz w:val="21"/>
                <w:szCs w:val="21"/>
                <w:highlight w:val="none"/>
              </w:rPr>
              <w:t>机械加工线清洗设备油水分离器</w:t>
            </w:r>
          </w:p>
        </w:tc>
        <w:tc>
          <w:tcPr>
            <w:tcW w:w="992" w:type="dxa"/>
            <w:vAlign w:val="center"/>
          </w:tcPr>
          <w:p w14:paraId="62069F0E">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default" w:ascii="Times New Roman" w:cs="Times New Roman" w:hAnsiTheme="minorEastAsia" w:eastAsiaTheme="minorEastAsia"/>
                <w:snapToGrid w:val="0"/>
                <w:color w:val="auto"/>
                <w:kern w:val="0"/>
                <w:sz w:val="21"/>
                <w:szCs w:val="21"/>
                <w:highlight w:val="none"/>
              </w:rPr>
              <w:t>液态</w:t>
            </w:r>
          </w:p>
        </w:tc>
        <w:tc>
          <w:tcPr>
            <w:tcW w:w="1088" w:type="dxa"/>
            <w:vAlign w:val="center"/>
          </w:tcPr>
          <w:p w14:paraId="06C8AC0E">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default" w:ascii="Times New Roman" w:cs="Times New Roman" w:hAnsiTheme="minorEastAsia" w:eastAsiaTheme="minorEastAsia"/>
                <w:snapToGrid w:val="0"/>
                <w:color w:val="auto"/>
                <w:kern w:val="0"/>
                <w:sz w:val="21"/>
                <w:szCs w:val="21"/>
                <w:highlight w:val="none"/>
              </w:rPr>
              <w:t>矿物油</w:t>
            </w:r>
          </w:p>
        </w:tc>
        <w:tc>
          <w:tcPr>
            <w:tcW w:w="1243" w:type="dxa"/>
            <w:vAlign w:val="center"/>
          </w:tcPr>
          <w:p w14:paraId="1238E090">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default" w:ascii="Times New Roman" w:cs="Times New Roman" w:hAnsiTheme="minorEastAsia" w:eastAsiaTheme="minorEastAsia"/>
                <w:snapToGrid w:val="0"/>
                <w:color w:val="auto"/>
                <w:kern w:val="0"/>
                <w:sz w:val="21"/>
                <w:szCs w:val="21"/>
                <w:highlight w:val="none"/>
              </w:rPr>
              <w:t>矿物油</w:t>
            </w:r>
          </w:p>
        </w:tc>
        <w:tc>
          <w:tcPr>
            <w:tcW w:w="1436" w:type="dxa"/>
            <w:vAlign w:val="center"/>
          </w:tcPr>
          <w:p w14:paraId="442BCABE">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default" w:ascii="Times New Roman" w:hAnsi="Times New Roman" w:cs="Times New Roman" w:eastAsiaTheme="minorEastAsia"/>
                <w:snapToGrid w:val="0"/>
                <w:color w:val="auto"/>
                <w:kern w:val="0"/>
                <w:sz w:val="21"/>
                <w:szCs w:val="21"/>
                <w:highlight w:val="none"/>
              </w:rPr>
              <w:t>T</w:t>
            </w:r>
            <w:r>
              <w:rPr>
                <w:rFonts w:hint="default" w:ascii="Times New Roman" w:cs="Times New Roman" w:hAnsiTheme="minorEastAsia" w:eastAsiaTheme="minorEastAsia"/>
                <w:snapToGrid w:val="0"/>
                <w:color w:val="auto"/>
                <w:kern w:val="0"/>
                <w:sz w:val="21"/>
                <w:szCs w:val="21"/>
                <w:highlight w:val="none"/>
              </w:rPr>
              <w:t>、</w:t>
            </w:r>
            <w:r>
              <w:rPr>
                <w:rFonts w:hint="default" w:ascii="Times New Roman" w:hAnsi="Times New Roman" w:cs="Times New Roman" w:eastAsiaTheme="minorEastAsia"/>
                <w:snapToGrid w:val="0"/>
                <w:color w:val="auto"/>
                <w:kern w:val="0"/>
                <w:sz w:val="21"/>
                <w:szCs w:val="21"/>
                <w:highlight w:val="none"/>
              </w:rPr>
              <w:t>I</w:t>
            </w:r>
          </w:p>
        </w:tc>
        <w:tc>
          <w:tcPr>
            <w:tcW w:w="2788" w:type="dxa"/>
            <w:vAlign w:val="center"/>
          </w:tcPr>
          <w:p w14:paraId="4014F832">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default" w:ascii="Times New Roman" w:cs="Times New Roman" w:hAnsiTheme="minorEastAsia" w:eastAsiaTheme="minorEastAsia"/>
                <w:snapToGrid w:val="0"/>
                <w:color w:val="auto"/>
                <w:kern w:val="0"/>
                <w:sz w:val="21"/>
                <w:szCs w:val="21"/>
                <w:highlight w:val="none"/>
              </w:rPr>
              <w:t>采用桶装，暂存在危废贮存库，交由具有危险废物处置许可证的经营单位处理</w:t>
            </w:r>
          </w:p>
        </w:tc>
      </w:tr>
      <w:tr w14:paraId="26F084F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53" w:hRule="atLeast"/>
          <w:jc w:val="center"/>
        </w:trPr>
        <w:tc>
          <w:tcPr>
            <w:tcW w:w="739" w:type="dxa"/>
            <w:vAlign w:val="center"/>
          </w:tcPr>
          <w:p w14:paraId="635D8BCA">
            <w:pPr>
              <w:keepNext w:val="0"/>
              <w:keepLines w:val="0"/>
              <w:suppressLineNumbers w:val="0"/>
              <w:wordWrap/>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highlight w:val="none"/>
              </w:rPr>
            </w:pPr>
            <w:r>
              <w:rPr>
                <w:rFonts w:hint="default" w:ascii="Times New Roman" w:hAnsi="Times New Roman" w:cs="Times New Roman" w:eastAsiaTheme="minorEastAsia"/>
                <w:snapToGrid w:val="0"/>
                <w:color w:val="auto"/>
                <w:kern w:val="0"/>
                <w:sz w:val="21"/>
                <w:highlight w:val="none"/>
              </w:rPr>
              <w:t>2</w:t>
            </w:r>
          </w:p>
        </w:tc>
        <w:tc>
          <w:tcPr>
            <w:tcW w:w="1114" w:type="dxa"/>
            <w:vAlign w:val="center"/>
          </w:tcPr>
          <w:p w14:paraId="0DA64B0C">
            <w:pPr>
              <w:keepNext w:val="0"/>
              <w:keepLines w:val="0"/>
              <w:suppressLineNumbers w:val="0"/>
              <w:wordWrap/>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highlight w:val="none"/>
              </w:rPr>
            </w:pPr>
            <w:r>
              <w:rPr>
                <w:rFonts w:hint="default" w:ascii="Times New Roman" w:cs="Times New Roman" w:hAnsiTheme="minorEastAsia" w:eastAsiaTheme="minorEastAsia"/>
                <w:snapToGrid w:val="0"/>
                <w:color w:val="auto"/>
                <w:spacing w:val="-3"/>
                <w:kern w:val="0"/>
                <w:sz w:val="21"/>
                <w:highlight w:val="none"/>
              </w:rPr>
              <w:t>废润滑</w:t>
            </w:r>
            <w:r>
              <w:rPr>
                <w:rFonts w:hint="default" w:ascii="Times New Roman" w:cs="Times New Roman" w:hAnsiTheme="minorEastAsia" w:eastAsiaTheme="minorEastAsia"/>
                <w:snapToGrid w:val="0"/>
                <w:color w:val="auto"/>
                <w:spacing w:val="-4"/>
                <w:kern w:val="0"/>
                <w:sz w:val="21"/>
                <w:highlight w:val="none"/>
              </w:rPr>
              <w:t>油</w:t>
            </w:r>
          </w:p>
        </w:tc>
        <w:tc>
          <w:tcPr>
            <w:tcW w:w="882" w:type="dxa"/>
            <w:vAlign w:val="center"/>
          </w:tcPr>
          <w:p w14:paraId="5B7CAC79">
            <w:pPr>
              <w:keepNext w:val="0"/>
              <w:keepLines w:val="0"/>
              <w:suppressLineNumbers w:val="0"/>
              <w:wordWrap/>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highlight w:val="none"/>
              </w:rPr>
            </w:pPr>
            <w:r>
              <w:rPr>
                <w:rFonts w:hint="default" w:ascii="Times New Roman" w:hAnsi="Times New Roman" w:cs="Times New Roman" w:eastAsiaTheme="minorEastAsia"/>
                <w:snapToGrid w:val="0"/>
                <w:color w:val="auto"/>
                <w:spacing w:val="-2"/>
                <w:kern w:val="0"/>
                <w:sz w:val="21"/>
                <w:highlight w:val="none"/>
              </w:rPr>
              <w:t>HW08</w:t>
            </w:r>
          </w:p>
        </w:tc>
        <w:tc>
          <w:tcPr>
            <w:tcW w:w="1368" w:type="dxa"/>
            <w:vAlign w:val="center"/>
          </w:tcPr>
          <w:p w14:paraId="3930B7FC">
            <w:pPr>
              <w:keepNext w:val="0"/>
              <w:keepLines w:val="0"/>
              <w:suppressLineNumbers w:val="0"/>
              <w:wordWrap/>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highlight w:val="none"/>
              </w:rPr>
            </w:pPr>
            <w:r>
              <w:rPr>
                <w:rFonts w:hint="default" w:ascii="Times New Roman" w:hAnsi="Times New Roman" w:cs="Times New Roman" w:eastAsiaTheme="minorEastAsia"/>
                <w:snapToGrid w:val="0"/>
                <w:color w:val="auto"/>
                <w:spacing w:val="-2"/>
                <w:kern w:val="0"/>
                <w:sz w:val="21"/>
                <w:highlight w:val="none"/>
              </w:rPr>
              <w:t>900-249-08</w:t>
            </w:r>
          </w:p>
        </w:tc>
        <w:tc>
          <w:tcPr>
            <w:tcW w:w="1120" w:type="dxa"/>
            <w:vAlign w:val="center"/>
          </w:tcPr>
          <w:p w14:paraId="4F49A792">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default" w:ascii="Times New Roman" w:hAnsi="Times New Roman" w:cs="Times New Roman" w:eastAsiaTheme="minorEastAsia"/>
                <w:snapToGrid w:val="0"/>
                <w:color w:val="auto"/>
                <w:kern w:val="0"/>
                <w:sz w:val="21"/>
                <w:szCs w:val="21"/>
                <w:highlight w:val="none"/>
              </w:rPr>
              <w:t>0.4</w:t>
            </w:r>
          </w:p>
        </w:tc>
        <w:tc>
          <w:tcPr>
            <w:tcW w:w="1408" w:type="dxa"/>
            <w:vAlign w:val="center"/>
          </w:tcPr>
          <w:p w14:paraId="72839B2B">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default" w:ascii="Times New Roman" w:cs="Times New Roman" w:hAnsiTheme="minorEastAsia" w:eastAsiaTheme="minorEastAsia"/>
                <w:snapToGrid w:val="0"/>
                <w:color w:val="auto"/>
                <w:kern w:val="0"/>
                <w:sz w:val="21"/>
                <w:szCs w:val="21"/>
                <w:highlight w:val="none"/>
              </w:rPr>
              <w:t>机械加工线、装试线</w:t>
            </w:r>
          </w:p>
        </w:tc>
        <w:tc>
          <w:tcPr>
            <w:tcW w:w="992" w:type="dxa"/>
            <w:vAlign w:val="center"/>
          </w:tcPr>
          <w:p w14:paraId="72C81334">
            <w:pPr>
              <w:keepNext w:val="0"/>
              <w:keepLines w:val="0"/>
              <w:suppressLineNumbers w:val="0"/>
              <w:wordWrap/>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highlight w:val="none"/>
              </w:rPr>
            </w:pPr>
            <w:r>
              <w:rPr>
                <w:rFonts w:hint="default" w:ascii="Times New Roman" w:cs="Times New Roman" w:hAnsiTheme="minorEastAsia" w:eastAsiaTheme="minorEastAsia"/>
                <w:snapToGrid w:val="0"/>
                <w:color w:val="auto"/>
                <w:spacing w:val="-6"/>
                <w:kern w:val="0"/>
                <w:sz w:val="21"/>
                <w:highlight w:val="none"/>
              </w:rPr>
              <w:t>液态</w:t>
            </w:r>
          </w:p>
        </w:tc>
        <w:tc>
          <w:tcPr>
            <w:tcW w:w="1088" w:type="dxa"/>
            <w:vAlign w:val="center"/>
          </w:tcPr>
          <w:p w14:paraId="74B2C684">
            <w:pPr>
              <w:keepNext w:val="0"/>
              <w:keepLines w:val="0"/>
              <w:suppressLineNumbers w:val="0"/>
              <w:wordWrap/>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highlight w:val="none"/>
              </w:rPr>
            </w:pPr>
            <w:r>
              <w:rPr>
                <w:rFonts w:hint="default" w:ascii="Times New Roman" w:cs="Times New Roman" w:hAnsiTheme="minorEastAsia" w:eastAsiaTheme="minorEastAsia"/>
                <w:snapToGrid w:val="0"/>
                <w:color w:val="auto"/>
                <w:spacing w:val="-3"/>
                <w:kern w:val="0"/>
                <w:sz w:val="21"/>
                <w:highlight w:val="none"/>
              </w:rPr>
              <w:t>矿物油</w:t>
            </w:r>
          </w:p>
        </w:tc>
        <w:tc>
          <w:tcPr>
            <w:tcW w:w="1243" w:type="dxa"/>
            <w:vAlign w:val="center"/>
          </w:tcPr>
          <w:p w14:paraId="6176E802">
            <w:pPr>
              <w:keepNext w:val="0"/>
              <w:keepLines w:val="0"/>
              <w:suppressLineNumbers w:val="0"/>
              <w:wordWrap/>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highlight w:val="none"/>
              </w:rPr>
            </w:pPr>
            <w:r>
              <w:rPr>
                <w:rFonts w:hint="default" w:ascii="Times New Roman" w:cs="Times New Roman" w:hAnsiTheme="minorEastAsia" w:eastAsiaTheme="minorEastAsia"/>
                <w:snapToGrid w:val="0"/>
                <w:color w:val="auto"/>
                <w:spacing w:val="-3"/>
                <w:kern w:val="0"/>
                <w:sz w:val="21"/>
                <w:highlight w:val="none"/>
              </w:rPr>
              <w:t>矿物油</w:t>
            </w:r>
          </w:p>
        </w:tc>
        <w:tc>
          <w:tcPr>
            <w:tcW w:w="1436" w:type="dxa"/>
            <w:vAlign w:val="center"/>
          </w:tcPr>
          <w:p w14:paraId="150305E7">
            <w:pPr>
              <w:keepNext w:val="0"/>
              <w:keepLines w:val="0"/>
              <w:suppressLineNumbers w:val="0"/>
              <w:wordWrap/>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highlight w:val="none"/>
              </w:rPr>
            </w:pPr>
            <w:r>
              <w:rPr>
                <w:rFonts w:hint="default" w:ascii="Times New Roman" w:hAnsi="Times New Roman" w:cs="Times New Roman" w:eastAsiaTheme="minorEastAsia"/>
                <w:snapToGrid w:val="0"/>
                <w:color w:val="auto"/>
                <w:spacing w:val="-7"/>
                <w:w w:val="98"/>
                <w:kern w:val="0"/>
                <w:sz w:val="21"/>
                <w:highlight w:val="none"/>
              </w:rPr>
              <w:t>T</w:t>
            </w:r>
            <w:r>
              <w:rPr>
                <w:rFonts w:hint="default" w:ascii="Times New Roman" w:cs="Times New Roman" w:hAnsiTheme="minorEastAsia" w:eastAsiaTheme="minorEastAsia"/>
                <w:snapToGrid w:val="0"/>
                <w:color w:val="auto"/>
                <w:spacing w:val="-7"/>
                <w:w w:val="98"/>
                <w:kern w:val="0"/>
                <w:sz w:val="21"/>
                <w:highlight w:val="none"/>
              </w:rPr>
              <w:t>、</w:t>
            </w:r>
            <w:r>
              <w:rPr>
                <w:rFonts w:hint="default" w:ascii="Times New Roman" w:hAnsi="Times New Roman" w:cs="Times New Roman" w:eastAsiaTheme="minorEastAsia"/>
                <w:snapToGrid w:val="0"/>
                <w:color w:val="auto"/>
                <w:spacing w:val="-7"/>
                <w:w w:val="98"/>
                <w:kern w:val="0"/>
                <w:sz w:val="21"/>
                <w:highlight w:val="none"/>
              </w:rPr>
              <w:t>I</w:t>
            </w:r>
          </w:p>
        </w:tc>
        <w:tc>
          <w:tcPr>
            <w:tcW w:w="2788" w:type="dxa"/>
            <w:vAlign w:val="center"/>
          </w:tcPr>
          <w:p w14:paraId="573F095E">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default" w:ascii="Times New Roman" w:cs="Times New Roman" w:hAnsiTheme="minorEastAsia" w:eastAsiaTheme="minorEastAsia"/>
                <w:snapToGrid w:val="0"/>
                <w:color w:val="auto"/>
                <w:kern w:val="0"/>
                <w:sz w:val="21"/>
                <w:szCs w:val="21"/>
                <w:highlight w:val="none"/>
              </w:rPr>
              <w:t>采用桶装，暂存在危废贮存库，交由具有危险废物处置许可证的经营单位处理</w:t>
            </w:r>
          </w:p>
        </w:tc>
      </w:tr>
      <w:tr w14:paraId="47E12D9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61" w:hRule="atLeast"/>
          <w:jc w:val="center"/>
        </w:trPr>
        <w:tc>
          <w:tcPr>
            <w:tcW w:w="739" w:type="dxa"/>
            <w:vAlign w:val="center"/>
          </w:tcPr>
          <w:p w14:paraId="20AD6E87">
            <w:pPr>
              <w:keepNext w:val="0"/>
              <w:keepLines w:val="0"/>
              <w:suppressLineNumbers w:val="0"/>
              <w:wordWrap/>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highlight w:val="none"/>
              </w:rPr>
            </w:pPr>
            <w:r>
              <w:rPr>
                <w:rFonts w:hint="default" w:ascii="Times New Roman" w:hAnsi="Times New Roman" w:cs="Times New Roman" w:eastAsiaTheme="minorEastAsia"/>
                <w:snapToGrid w:val="0"/>
                <w:color w:val="auto"/>
                <w:kern w:val="0"/>
                <w:sz w:val="21"/>
                <w:highlight w:val="none"/>
              </w:rPr>
              <w:t>3</w:t>
            </w:r>
          </w:p>
        </w:tc>
        <w:tc>
          <w:tcPr>
            <w:tcW w:w="1114" w:type="dxa"/>
            <w:vAlign w:val="center"/>
          </w:tcPr>
          <w:p w14:paraId="21BC3323">
            <w:pPr>
              <w:keepNext w:val="0"/>
              <w:keepLines w:val="0"/>
              <w:suppressLineNumbers w:val="0"/>
              <w:wordWrap/>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spacing w:val="-3"/>
                <w:kern w:val="0"/>
                <w:sz w:val="21"/>
                <w:highlight w:val="none"/>
              </w:rPr>
            </w:pPr>
            <w:r>
              <w:rPr>
                <w:rFonts w:hint="default" w:ascii="Times New Roman" w:cs="Times New Roman" w:hAnsiTheme="minorEastAsia" w:eastAsiaTheme="minorEastAsia"/>
                <w:snapToGrid w:val="0"/>
                <w:color w:val="auto"/>
                <w:spacing w:val="-4"/>
                <w:kern w:val="0"/>
                <w:sz w:val="21"/>
                <w:highlight w:val="none"/>
              </w:rPr>
              <w:t>废机</w:t>
            </w:r>
            <w:r>
              <w:rPr>
                <w:rFonts w:hint="default" w:ascii="Times New Roman" w:cs="Times New Roman" w:hAnsiTheme="minorEastAsia" w:eastAsiaTheme="minorEastAsia"/>
                <w:snapToGrid w:val="0"/>
                <w:color w:val="auto"/>
                <w:kern w:val="0"/>
                <w:sz w:val="21"/>
                <w:highlight w:val="none"/>
              </w:rPr>
              <w:t>油</w:t>
            </w:r>
          </w:p>
        </w:tc>
        <w:tc>
          <w:tcPr>
            <w:tcW w:w="882" w:type="dxa"/>
            <w:vAlign w:val="center"/>
          </w:tcPr>
          <w:p w14:paraId="19F9D789">
            <w:pPr>
              <w:keepNext w:val="0"/>
              <w:keepLines w:val="0"/>
              <w:suppressLineNumbers w:val="0"/>
              <w:wordWrap/>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highlight w:val="none"/>
              </w:rPr>
            </w:pPr>
            <w:r>
              <w:rPr>
                <w:rFonts w:hint="default" w:ascii="Times New Roman" w:hAnsi="Times New Roman" w:cs="Times New Roman" w:eastAsiaTheme="minorEastAsia"/>
                <w:snapToGrid w:val="0"/>
                <w:color w:val="auto"/>
                <w:spacing w:val="-2"/>
                <w:kern w:val="0"/>
                <w:sz w:val="21"/>
                <w:highlight w:val="none"/>
              </w:rPr>
              <w:t>HW08</w:t>
            </w:r>
          </w:p>
        </w:tc>
        <w:tc>
          <w:tcPr>
            <w:tcW w:w="1368" w:type="dxa"/>
            <w:vAlign w:val="center"/>
          </w:tcPr>
          <w:p w14:paraId="5113D96A">
            <w:pPr>
              <w:keepNext w:val="0"/>
              <w:keepLines w:val="0"/>
              <w:suppressLineNumbers w:val="0"/>
              <w:wordWrap/>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highlight w:val="none"/>
              </w:rPr>
            </w:pPr>
            <w:r>
              <w:rPr>
                <w:rFonts w:hint="default" w:ascii="Times New Roman" w:hAnsi="Times New Roman" w:cs="Times New Roman" w:eastAsiaTheme="minorEastAsia"/>
                <w:snapToGrid w:val="0"/>
                <w:color w:val="auto"/>
                <w:spacing w:val="-2"/>
                <w:kern w:val="0"/>
                <w:sz w:val="21"/>
                <w:highlight w:val="none"/>
              </w:rPr>
              <w:t>900-249-08</w:t>
            </w:r>
          </w:p>
        </w:tc>
        <w:tc>
          <w:tcPr>
            <w:tcW w:w="1120" w:type="dxa"/>
            <w:vAlign w:val="center"/>
          </w:tcPr>
          <w:p w14:paraId="4C42EF09">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default" w:ascii="Times New Roman" w:hAnsi="Times New Roman" w:cs="Times New Roman" w:eastAsiaTheme="minorEastAsia"/>
                <w:snapToGrid w:val="0"/>
                <w:color w:val="auto"/>
                <w:kern w:val="0"/>
                <w:sz w:val="21"/>
                <w:szCs w:val="21"/>
                <w:highlight w:val="none"/>
              </w:rPr>
              <w:t>91.17</w:t>
            </w:r>
          </w:p>
        </w:tc>
        <w:tc>
          <w:tcPr>
            <w:tcW w:w="1408" w:type="dxa"/>
            <w:vAlign w:val="center"/>
          </w:tcPr>
          <w:p w14:paraId="147F18C5">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default" w:ascii="Times New Roman" w:cs="Times New Roman" w:hAnsiTheme="minorEastAsia" w:eastAsiaTheme="minorEastAsia"/>
                <w:snapToGrid w:val="0"/>
                <w:color w:val="auto"/>
                <w:kern w:val="0"/>
                <w:sz w:val="21"/>
                <w:szCs w:val="21"/>
                <w:highlight w:val="none"/>
              </w:rPr>
              <w:t>机械加工线、装试线</w:t>
            </w:r>
          </w:p>
        </w:tc>
        <w:tc>
          <w:tcPr>
            <w:tcW w:w="992" w:type="dxa"/>
            <w:vAlign w:val="center"/>
          </w:tcPr>
          <w:p w14:paraId="032FD48C">
            <w:pPr>
              <w:keepNext w:val="0"/>
              <w:keepLines w:val="0"/>
              <w:suppressLineNumbers w:val="0"/>
              <w:wordWrap/>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highlight w:val="none"/>
              </w:rPr>
            </w:pPr>
            <w:r>
              <w:rPr>
                <w:rFonts w:hint="default" w:ascii="Times New Roman" w:cs="Times New Roman" w:hAnsiTheme="minorEastAsia" w:eastAsiaTheme="minorEastAsia"/>
                <w:snapToGrid w:val="0"/>
                <w:color w:val="auto"/>
                <w:spacing w:val="-6"/>
                <w:kern w:val="0"/>
                <w:sz w:val="21"/>
                <w:highlight w:val="none"/>
              </w:rPr>
              <w:t>液态</w:t>
            </w:r>
          </w:p>
        </w:tc>
        <w:tc>
          <w:tcPr>
            <w:tcW w:w="1088" w:type="dxa"/>
            <w:vAlign w:val="center"/>
          </w:tcPr>
          <w:p w14:paraId="12365C56">
            <w:pPr>
              <w:keepNext w:val="0"/>
              <w:keepLines w:val="0"/>
              <w:suppressLineNumbers w:val="0"/>
              <w:wordWrap/>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highlight w:val="none"/>
              </w:rPr>
            </w:pPr>
            <w:r>
              <w:rPr>
                <w:rFonts w:hint="default" w:ascii="Times New Roman" w:cs="Times New Roman" w:hAnsiTheme="minorEastAsia" w:eastAsiaTheme="minorEastAsia"/>
                <w:snapToGrid w:val="0"/>
                <w:color w:val="auto"/>
                <w:spacing w:val="-3"/>
                <w:kern w:val="0"/>
                <w:sz w:val="21"/>
                <w:highlight w:val="none"/>
              </w:rPr>
              <w:t>矿物油</w:t>
            </w:r>
          </w:p>
        </w:tc>
        <w:tc>
          <w:tcPr>
            <w:tcW w:w="1243" w:type="dxa"/>
            <w:vAlign w:val="center"/>
          </w:tcPr>
          <w:p w14:paraId="50121B92">
            <w:pPr>
              <w:keepNext w:val="0"/>
              <w:keepLines w:val="0"/>
              <w:suppressLineNumbers w:val="0"/>
              <w:wordWrap/>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highlight w:val="none"/>
              </w:rPr>
            </w:pPr>
            <w:r>
              <w:rPr>
                <w:rFonts w:hint="default" w:ascii="Times New Roman" w:cs="Times New Roman" w:hAnsiTheme="minorEastAsia" w:eastAsiaTheme="minorEastAsia"/>
                <w:snapToGrid w:val="0"/>
                <w:color w:val="auto"/>
                <w:spacing w:val="-3"/>
                <w:kern w:val="0"/>
                <w:sz w:val="21"/>
                <w:highlight w:val="none"/>
              </w:rPr>
              <w:t>矿物油</w:t>
            </w:r>
          </w:p>
        </w:tc>
        <w:tc>
          <w:tcPr>
            <w:tcW w:w="1436" w:type="dxa"/>
            <w:vAlign w:val="center"/>
          </w:tcPr>
          <w:p w14:paraId="3C060743">
            <w:pPr>
              <w:keepNext w:val="0"/>
              <w:keepLines w:val="0"/>
              <w:suppressLineNumbers w:val="0"/>
              <w:wordWrap/>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highlight w:val="none"/>
              </w:rPr>
            </w:pPr>
            <w:r>
              <w:rPr>
                <w:rFonts w:hint="default" w:ascii="Times New Roman" w:hAnsi="Times New Roman" w:cs="Times New Roman" w:eastAsiaTheme="minorEastAsia"/>
                <w:snapToGrid w:val="0"/>
                <w:color w:val="auto"/>
                <w:spacing w:val="-7"/>
                <w:w w:val="98"/>
                <w:kern w:val="0"/>
                <w:sz w:val="21"/>
                <w:highlight w:val="none"/>
              </w:rPr>
              <w:t>T</w:t>
            </w:r>
            <w:r>
              <w:rPr>
                <w:rFonts w:hint="default" w:ascii="Times New Roman" w:cs="Times New Roman" w:hAnsiTheme="minorEastAsia" w:eastAsiaTheme="minorEastAsia"/>
                <w:snapToGrid w:val="0"/>
                <w:color w:val="auto"/>
                <w:spacing w:val="-7"/>
                <w:w w:val="98"/>
                <w:kern w:val="0"/>
                <w:sz w:val="21"/>
                <w:highlight w:val="none"/>
              </w:rPr>
              <w:t>、</w:t>
            </w:r>
            <w:r>
              <w:rPr>
                <w:rFonts w:hint="default" w:ascii="Times New Roman" w:hAnsi="Times New Roman" w:cs="Times New Roman" w:eastAsiaTheme="minorEastAsia"/>
                <w:snapToGrid w:val="0"/>
                <w:color w:val="auto"/>
                <w:spacing w:val="-7"/>
                <w:w w:val="98"/>
                <w:kern w:val="0"/>
                <w:sz w:val="21"/>
                <w:highlight w:val="none"/>
              </w:rPr>
              <w:t>I</w:t>
            </w:r>
          </w:p>
        </w:tc>
        <w:tc>
          <w:tcPr>
            <w:tcW w:w="2788" w:type="dxa"/>
            <w:vAlign w:val="center"/>
          </w:tcPr>
          <w:p w14:paraId="17444870">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default" w:ascii="Times New Roman" w:cs="Times New Roman" w:hAnsiTheme="minorEastAsia" w:eastAsiaTheme="minorEastAsia"/>
                <w:snapToGrid w:val="0"/>
                <w:color w:val="auto"/>
                <w:kern w:val="0"/>
                <w:sz w:val="21"/>
                <w:szCs w:val="21"/>
                <w:highlight w:val="none"/>
              </w:rPr>
              <w:t>采用桶装，暂存在危废贮存库，交由具有危险废物处置许可证的经营单位处理</w:t>
            </w:r>
          </w:p>
        </w:tc>
      </w:tr>
      <w:tr w14:paraId="6766D35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61" w:hRule="atLeast"/>
          <w:jc w:val="center"/>
        </w:trPr>
        <w:tc>
          <w:tcPr>
            <w:tcW w:w="739" w:type="dxa"/>
            <w:vAlign w:val="center"/>
          </w:tcPr>
          <w:p w14:paraId="3C79CEE5">
            <w:pPr>
              <w:keepNext w:val="0"/>
              <w:keepLines w:val="0"/>
              <w:suppressLineNumbers w:val="0"/>
              <w:wordWrap/>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highlight w:val="none"/>
              </w:rPr>
            </w:pPr>
            <w:r>
              <w:rPr>
                <w:rFonts w:hint="default" w:ascii="Times New Roman" w:hAnsi="Times New Roman" w:cs="Times New Roman" w:eastAsiaTheme="minorEastAsia"/>
                <w:snapToGrid w:val="0"/>
                <w:color w:val="auto"/>
                <w:kern w:val="0"/>
                <w:sz w:val="21"/>
                <w:highlight w:val="none"/>
              </w:rPr>
              <w:t>4</w:t>
            </w:r>
          </w:p>
        </w:tc>
        <w:tc>
          <w:tcPr>
            <w:tcW w:w="1114" w:type="dxa"/>
            <w:vAlign w:val="center"/>
          </w:tcPr>
          <w:p w14:paraId="10057AF5">
            <w:pPr>
              <w:keepNext w:val="0"/>
              <w:keepLines w:val="0"/>
              <w:suppressLineNumbers w:val="0"/>
              <w:wordWrap/>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highlight w:val="none"/>
              </w:rPr>
            </w:pPr>
            <w:r>
              <w:rPr>
                <w:rFonts w:hint="default" w:ascii="Times New Roman" w:cs="Times New Roman" w:hAnsiTheme="minorEastAsia" w:eastAsiaTheme="minorEastAsia"/>
                <w:snapToGrid w:val="0"/>
                <w:color w:val="auto"/>
                <w:spacing w:val="-3"/>
                <w:kern w:val="0"/>
                <w:sz w:val="21"/>
                <w:highlight w:val="none"/>
              </w:rPr>
              <w:t>含油废抹布</w:t>
            </w:r>
          </w:p>
        </w:tc>
        <w:tc>
          <w:tcPr>
            <w:tcW w:w="882" w:type="dxa"/>
            <w:vAlign w:val="center"/>
          </w:tcPr>
          <w:p w14:paraId="2C0B2CD2">
            <w:pPr>
              <w:keepNext w:val="0"/>
              <w:keepLines w:val="0"/>
              <w:suppressLineNumbers w:val="0"/>
              <w:wordWrap/>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highlight w:val="none"/>
              </w:rPr>
            </w:pPr>
            <w:r>
              <w:rPr>
                <w:rFonts w:hint="default" w:ascii="Times New Roman" w:hAnsi="Times New Roman" w:cs="Times New Roman" w:eastAsiaTheme="minorEastAsia"/>
                <w:snapToGrid w:val="0"/>
                <w:color w:val="auto"/>
                <w:spacing w:val="-2"/>
                <w:kern w:val="0"/>
                <w:sz w:val="21"/>
                <w:highlight w:val="none"/>
              </w:rPr>
              <w:t>HW49</w:t>
            </w:r>
          </w:p>
        </w:tc>
        <w:tc>
          <w:tcPr>
            <w:tcW w:w="1368" w:type="dxa"/>
            <w:vAlign w:val="center"/>
          </w:tcPr>
          <w:p w14:paraId="393ADB56">
            <w:pPr>
              <w:keepNext w:val="0"/>
              <w:keepLines w:val="0"/>
              <w:suppressLineNumbers w:val="0"/>
              <w:wordWrap/>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highlight w:val="none"/>
              </w:rPr>
            </w:pPr>
            <w:r>
              <w:rPr>
                <w:rFonts w:hint="default" w:ascii="Times New Roman" w:hAnsi="Times New Roman" w:cs="Times New Roman" w:eastAsiaTheme="minorEastAsia"/>
                <w:snapToGrid w:val="0"/>
                <w:color w:val="auto"/>
                <w:spacing w:val="-2"/>
                <w:kern w:val="0"/>
                <w:sz w:val="21"/>
                <w:highlight w:val="none"/>
              </w:rPr>
              <w:t>900-041-49</w:t>
            </w:r>
          </w:p>
        </w:tc>
        <w:tc>
          <w:tcPr>
            <w:tcW w:w="1120" w:type="dxa"/>
            <w:vAlign w:val="center"/>
          </w:tcPr>
          <w:p w14:paraId="221CF0E2">
            <w:pPr>
              <w:keepNext w:val="0"/>
              <w:keepLines w:val="0"/>
              <w:suppressLineNumbers w:val="0"/>
              <w:wordWrap/>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highlight w:val="none"/>
              </w:rPr>
            </w:pPr>
            <w:r>
              <w:rPr>
                <w:rFonts w:hint="default" w:ascii="Times New Roman" w:hAnsi="Times New Roman" w:cs="Times New Roman" w:eastAsiaTheme="minorEastAsia"/>
                <w:snapToGrid w:val="0"/>
                <w:color w:val="auto"/>
                <w:kern w:val="0"/>
                <w:sz w:val="21"/>
                <w:szCs w:val="21"/>
                <w:highlight w:val="none"/>
              </w:rPr>
              <w:t>2.5</w:t>
            </w:r>
          </w:p>
        </w:tc>
        <w:tc>
          <w:tcPr>
            <w:tcW w:w="1408" w:type="dxa"/>
            <w:vAlign w:val="center"/>
          </w:tcPr>
          <w:p w14:paraId="1FA2ECD6">
            <w:pPr>
              <w:keepNext w:val="0"/>
              <w:keepLines w:val="0"/>
              <w:suppressLineNumbers w:val="0"/>
              <w:wordWrap/>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highlight w:val="none"/>
              </w:rPr>
            </w:pPr>
            <w:r>
              <w:rPr>
                <w:rFonts w:hint="default" w:ascii="Times New Roman" w:cs="Times New Roman" w:hAnsiTheme="minorEastAsia" w:eastAsiaTheme="minorEastAsia"/>
                <w:snapToGrid w:val="0"/>
                <w:color w:val="auto"/>
                <w:spacing w:val="-8"/>
                <w:kern w:val="0"/>
                <w:sz w:val="21"/>
                <w:highlight w:val="none"/>
              </w:rPr>
              <w:t>机械加工线</w:t>
            </w:r>
          </w:p>
        </w:tc>
        <w:tc>
          <w:tcPr>
            <w:tcW w:w="992" w:type="dxa"/>
            <w:vAlign w:val="center"/>
          </w:tcPr>
          <w:p w14:paraId="33FBFCE0">
            <w:pPr>
              <w:keepNext w:val="0"/>
              <w:keepLines w:val="0"/>
              <w:suppressLineNumbers w:val="0"/>
              <w:wordWrap/>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highlight w:val="none"/>
              </w:rPr>
            </w:pPr>
            <w:r>
              <w:rPr>
                <w:rFonts w:hint="default" w:ascii="Times New Roman" w:cs="Times New Roman" w:hAnsiTheme="minorEastAsia" w:eastAsiaTheme="minorEastAsia"/>
                <w:snapToGrid w:val="0"/>
                <w:color w:val="auto"/>
                <w:spacing w:val="-14"/>
                <w:kern w:val="0"/>
                <w:sz w:val="21"/>
                <w:highlight w:val="none"/>
              </w:rPr>
              <w:t>固态</w:t>
            </w:r>
          </w:p>
        </w:tc>
        <w:tc>
          <w:tcPr>
            <w:tcW w:w="1088" w:type="dxa"/>
            <w:vAlign w:val="center"/>
          </w:tcPr>
          <w:p w14:paraId="17FDA0DA">
            <w:pPr>
              <w:keepNext w:val="0"/>
              <w:keepLines w:val="0"/>
              <w:suppressLineNumbers w:val="0"/>
              <w:wordWrap/>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highlight w:val="none"/>
              </w:rPr>
            </w:pPr>
            <w:r>
              <w:rPr>
                <w:rFonts w:hint="default" w:ascii="Times New Roman" w:cs="Times New Roman" w:hAnsiTheme="minorEastAsia" w:eastAsiaTheme="minorEastAsia"/>
                <w:snapToGrid w:val="0"/>
                <w:color w:val="auto"/>
                <w:spacing w:val="-3"/>
                <w:kern w:val="0"/>
                <w:sz w:val="21"/>
                <w:highlight w:val="none"/>
              </w:rPr>
              <w:t>矿物油</w:t>
            </w:r>
          </w:p>
        </w:tc>
        <w:tc>
          <w:tcPr>
            <w:tcW w:w="1243" w:type="dxa"/>
            <w:vAlign w:val="center"/>
          </w:tcPr>
          <w:p w14:paraId="41D27036">
            <w:pPr>
              <w:keepNext w:val="0"/>
              <w:keepLines w:val="0"/>
              <w:suppressLineNumbers w:val="0"/>
              <w:wordWrap/>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highlight w:val="none"/>
              </w:rPr>
            </w:pPr>
            <w:r>
              <w:rPr>
                <w:rFonts w:hint="default" w:ascii="Times New Roman" w:cs="Times New Roman" w:hAnsiTheme="minorEastAsia" w:eastAsiaTheme="minorEastAsia"/>
                <w:snapToGrid w:val="0"/>
                <w:color w:val="auto"/>
                <w:spacing w:val="-3"/>
                <w:kern w:val="0"/>
                <w:sz w:val="21"/>
                <w:highlight w:val="none"/>
              </w:rPr>
              <w:t>矿物油</w:t>
            </w:r>
          </w:p>
        </w:tc>
        <w:tc>
          <w:tcPr>
            <w:tcW w:w="1436" w:type="dxa"/>
            <w:vAlign w:val="center"/>
          </w:tcPr>
          <w:p w14:paraId="15B087E7">
            <w:pPr>
              <w:keepNext w:val="0"/>
              <w:keepLines w:val="0"/>
              <w:suppressLineNumbers w:val="0"/>
              <w:wordWrap/>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highlight w:val="none"/>
              </w:rPr>
            </w:pPr>
            <w:r>
              <w:rPr>
                <w:rFonts w:hint="default" w:ascii="Times New Roman" w:hAnsi="Times New Roman" w:cs="Times New Roman" w:eastAsiaTheme="minorEastAsia"/>
                <w:snapToGrid w:val="0"/>
                <w:color w:val="auto"/>
                <w:spacing w:val="-7"/>
                <w:w w:val="98"/>
                <w:kern w:val="0"/>
                <w:sz w:val="21"/>
                <w:highlight w:val="none"/>
              </w:rPr>
              <w:t>T</w:t>
            </w:r>
            <w:r>
              <w:rPr>
                <w:rFonts w:hint="default" w:ascii="Times New Roman" w:cs="Times New Roman" w:hAnsiTheme="minorEastAsia" w:eastAsiaTheme="minorEastAsia"/>
                <w:snapToGrid w:val="0"/>
                <w:color w:val="auto"/>
                <w:spacing w:val="-7"/>
                <w:w w:val="98"/>
                <w:kern w:val="0"/>
                <w:sz w:val="21"/>
                <w:highlight w:val="none"/>
              </w:rPr>
              <w:t>、</w:t>
            </w:r>
            <w:r>
              <w:rPr>
                <w:rFonts w:hint="default" w:ascii="Times New Roman" w:hAnsi="Times New Roman" w:cs="Times New Roman" w:eastAsiaTheme="minorEastAsia"/>
                <w:snapToGrid w:val="0"/>
                <w:color w:val="auto"/>
                <w:spacing w:val="-7"/>
                <w:w w:val="98"/>
                <w:kern w:val="0"/>
                <w:sz w:val="21"/>
                <w:highlight w:val="none"/>
              </w:rPr>
              <w:t>I</w:t>
            </w:r>
          </w:p>
        </w:tc>
        <w:tc>
          <w:tcPr>
            <w:tcW w:w="2788" w:type="dxa"/>
            <w:vAlign w:val="center"/>
          </w:tcPr>
          <w:p w14:paraId="57F7F9F0">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default" w:ascii="Times New Roman" w:cs="Times New Roman" w:hAnsiTheme="minorEastAsia" w:eastAsiaTheme="minorEastAsia"/>
                <w:snapToGrid w:val="0"/>
                <w:color w:val="auto"/>
                <w:kern w:val="0"/>
                <w:sz w:val="21"/>
                <w:szCs w:val="21"/>
                <w:highlight w:val="none"/>
              </w:rPr>
              <w:t>采用桶装，暂存在危废贮存库，交由具有危险废物处置许可证的经营单位处理</w:t>
            </w:r>
          </w:p>
        </w:tc>
      </w:tr>
      <w:tr w14:paraId="5AEF9F3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61" w:hRule="atLeast"/>
          <w:jc w:val="center"/>
        </w:trPr>
        <w:tc>
          <w:tcPr>
            <w:tcW w:w="739" w:type="dxa"/>
            <w:vAlign w:val="center"/>
          </w:tcPr>
          <w:p w14:paraId="6317CB6E">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bCs/>
                <w:snapToGrid w:val="0"/>
                <w:color w:val="auto"/>
                <w:kern w:val="0"/>
                <w:sz w:val="21"/>
                <w:szCs w:val="21"/>
                <w:highlight w:val="none"/>
              </w:rPr>
            </w:pPr>
            <w:r>
              <w:rPr>
                <w:rFonts w:hint="default" w:ascii="Times New Roman" w:hAnsi="Times New Roman" w:cs="Times New Roman" w:eastAsiaTheme="minorEastAsia"/>
                <w:bCs/>
                <w:snapToGrid w:val="0"/>
                <w:color w:val="auto"/>
                <w:kern w:val="0"/>
                <w:sz w:val="21"/>
                <w:szCs w:val="21"/>
                <w:highlight w:val="none"/>
              </w:rPr>
              <w:t>5</w:t>
            </w:r>
          </w:p>
        </w:tc>
        <w:tc>
          <w:tcPr>
            <w:tcW w:w="1114" w:type="dxa"/>
            <w:vAlign w:val="center"/>
          </w:tcPr>
          <w:p w14:paraId="4BD6FCDC">
            <w:pPr>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cs="Times New Roman" w:eastAsiaTheme="minorEastAsia"/>
                <w:b w:val="0"/>
                <w:bCs/>
                <w:snapToGrid/>
                <w:color w:val="auto"/>
                <w:kern w:val="0"/>
                <w:sz w:val="21"/>
                <w:szCs w:val="21"/>
                <w:highlight w:val="none"/>
                <w:lang w:val="en-US" w:eastAsia="zh-CN" w:bidi="ar-SA"/>
              </w:rPr>
            </w:pPr>
            <w:r>
              <w:rPr>
                <w:rFonts w:hint="default" w:ascii="Times New Roman" w:cs="Times New Roman" w:hAnsiTheme="minorEastAsia" w:eastAsiaTheme="minorEastAsia"/>
                <w:b w:val="0"/>
                <w:bCs/>
                <w:snapToGrid w:val="0"/>
                <w:color w:val="auto"/>
                <w:kern w:val="0"/>
                <w:sz w:val="21"/>
                <w:szCs w:val="21"/>
                <w:highlight w:val="none"/>
                <w:lang w:val="en-US" w:eastAsia="zh-CN" w:bidi="ar-SA"/>
              </w:rPr>
              <w:t>油泥</w:t>
            </w:r>
          </w:p>
        </w:tc>
        <w:tc>
          <w:tcPr>
            <w:tcW w:w="882" w:type="dxa"/>
            <w:vAlign w:val="center"/>
          </w:tcPr>
          <w:p w14:paraId="4A1C1CE3">
            <w:pPr>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cs="Times New Roman" w:eastAsiaTheme="minorEastAsia"/>
                <w:b w:val="0"/>
                <w:bCs/>
                <w:snapToGrid/>
                <w:color w:val="auto"/>
                <w:kern w:val="0"/>
                <w:sz w:val="21"/>
                <w:szCs w:val="21"/>
                <w:highlight w:val="none"/>
                <w:lang w:val="en-US" w:eastAsia="zh-CN" w:bidi="ar-SA"/>
              </w:rPr>
            </w:pPr>
            <w:r>
              <w:rPr>
                <w:rFonts w:hint="default" w:ascii="Times New Roman" w:hAnsi="Times New Roman" w:cs="Times New Roman" w:eastAsiaTheme="minorEastAsia"/>
                <w:b w:val="0"/>
                <w:bCs/>
                <w:snapToGrid w:val="0"/>
                <w:color w:val="auto"/>
                <w:kern w:val="0"/>
                <w:sz w:val="21"/>
                <w:szCs w:val="21"/>
                <w:highlight w:val="none"/>
                <w:lang w:val="en-US" w:eastAsia="zh-CN" w:bidi="ar-SA"/>
              </w:rPr>
              <w:t>HW08</w:t>
            </w:r>
          </w:p>
        </w:tc>
        <w:tc>
          <w:tcPr>
            <w:tcW w:w="1368" w:type="dxa"/>
            <w:vAlign w:val="center"/>
          </w:tcPr>
          <w:p w14:paraId="4CCB3E71">
            <w:pPr>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cs="Times New Roman" w:eastAsiaTheme="minorEastAsia"/>
                <w:b w:val="0"/>
                <w:bCs/>
                <w:snapToGrid/>
                <w:color w:val="auto"/>
                <w:kern w:val="0"/>
                <w:sz w:val="21"/>
                <w:szCs w:val="21"/>
                <w:highlight w:val="none"/>
                <w:lang w:val="en-US" w:eastAsia="zh-CN" w:bidi="ar-SA"/>
              </w:rPr>
            </w:pPr>
            <w:r>
              <w:rPr>
                <w:rFonts w:hint="default" w:ascii="Times New Roman" w:hAnsi="Times New Roman" w:cs="Times New Roman" w:eastAsiaTheme="minorEastAsia"/>
                <w:b w:val="0"/>
                <w:bCs/>
                <w:snapToGrid w:val="0"/>
                <w:color w:val="auto"/>
                <w:kern w:val="0"/>
                <w:sz w:val="21"/>
                <w:szCs w:val="21"/>
                <w:highlight w:val="none"/>
                <w:lang w:val="en-US" w:eastAsia="zh-CN" w:bidi="ar-SA"/>
              </w:rPr>
              <w:t>900-200-08</w:t>
            </w:r>
          </w:p>
        </w:tc>
        <w:tc>
          <w:tcPr>
            <w:tcW w:w="1120" w:type="dxa"/>
            <w:vAlign w:val="center"/>
          </w:tcPr>
          <w:p w14:paraId="170188D3">
            <w:pPr>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cs="Times New Roman" w:eastAsiaTheme="minorEastAsia"/>
                <w:b w:val="0"/>
                <w:bCs/>
                <w:snapToGrid/>
                <w:color w:val="auto"/>
                <w:kern w:val="0"/>
                <w:sz w:val="21"/>
                <w:szCs w:val="21"/>
                <w:highlight w:val="none"/>
                <w:lang w:val="en-US" w:eastAsia="zh-CN" w:bidi="ar-SA"/>
              </w:rPr>
            </w:pPr>
            <w:r>
              <w:rPr>
                <w:rFonts w:hint="default" w:ascii="Times New Roman" w:hAnsi="Times New Roman" w:cs="Times New Roman" w:eastAsiaTheme="minorEastAsia"/>
                <w:b w:val="0"/>
                <w:bCs/>
                <w:snapToGrid w:val="0"/>
                <w:color w:val="auto"/>
                <w:kern w:val="0"/>
                <w:sz w:val="21"/>
                <w:szCs w:val="21"/>
                <w:highlight w:val="none"/>
                <w:lang w:val="en-US" w:eastAsia="zh-CN" w:bidi="ar-SA"/>
              </w:rPr>
              <w:t>5</w:t>
            </w:r>
          </w:p>
        </w:tc>
        <w:tc>
          <w:tcPr>
            <w:tcW w:w="1408" w:type="dxa"/>
            <w:vAlign w:val="center"/>
          </w:tcPr>
          <w:p w14:paraId="3FAE90E2">
            <w:pPr>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cs="Times New Roman" w:eastAsiaTheme="minorEastAsia"/>
                <w:b w:val="0"/>
                <w:bCs/>
                <w:snapToGrid/>
                <w:color w:val="auto"/>
                <w:kern w:val="0"/>
                <w:sz w:val="21"/>
                <w:szCs w:val="21"/>
                <w:highlight w:val="none"/>
                <w:lang w:val="en-US" w:eastAsia="zh-CN" w:bidi="ar-SA"/>
              </w:rPr>
            </w:pPr>
            <w:r>
              <w:rPr>
                <w:rFonts w:hint="default" w:ascii="Times New Roman" w:cs="Times New Roman" w:hAnsiTheme="minorEastAsia" w:eastAsiaTheme="minorEastAsia"/>
                <w:b w:val="0"/>
                <w:bCs/>
                <w:snapToGrid w:val="0"/>
                <w:color w:val="auto"/>
                <w:kern w:val="0"/>
                <w:sz w:val="21"/>
                <w:szCs w:val="21"/>
                <w:highlight w:val="none"/>
                <w:lang w:val="en-US" w:eastAsia="zh-CN" w:bidi="ar-SA"/>
              </w:rPr>
              <w:t>珩磨过程</w:t>
            </w:r>
          </w:p>
        </w:tc>
        <w:tc>
          <w:tcPr>
            <w:tcW w:w="992" w:type="dxa"/>
            <w:vAlign w:val="center"/>
          </w:tcPr>
          <w:p w14:paraId="0885F333">
            <w:pPr>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cs="Times New Roman" w:eastAsiaTheme="minorEastAsia"/>
                <w:b w:val="0"/>
                <w:bCs/>
                <w:snapToGrid/>
                <w:color w:val="auto"/>
                <w:kern w:val="0"/>
                <w:sz w:val="21"/>
                <w:szCs w:val="21"/>
                <w:highlight w:val="none"/>
                <w:lang w:val="en-US" w:eastAsia="zh-CN" w:bidi="ar-SA"/>
              </w:rPr>
            </w:pPr>
            <w:r>
              <w:rPr>
                <w:rFonts w:hint="default" w:ascii="Times New Roman" w:cs="Times New Roman" w:hAnsiTheme="minorEastAsia" w:eastAsiaTheme="minorEastAsia"/>
                <w:b w:val="0"/>
                <w:bCs/>
                <w:snapToGrid w:val="0"/>
                <w:color w:val="auto"/>
                <w:kern w:val="0"/>
                <w:sz w:val="21"/>
                <w:szCs w:val="21"/>
                <w:highlight w:val="none"/>
                <w:lang w:val="en-US" w:eastAsia="zh-CN" w:bidi="ar-SA"/>
              </w:rPr>
              <w:t>固态</w:t>
            </w:r>
          </w:p>
        </w:tc>
        <w:tc>
          <w:tcPr>
            <w:tcW w:w="1088" w:type="dxa"/>
            <w:vAlign w:val="center"/>
          </w:tcPr>
          <w:p w14:paraId="472BED9B">
            <w:pPr>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cs="Times New Roman" w:eastAsiaTheme="minorEastAsia"/>
                <w:b w:val="0"/>
                <w:bCs/>
                <w:snapToGrid/>
                <w:color w:val="auto"/>
                <w:kern w:val="0"/>
                <w:sz w:val="21"/>
                <w:szCs w:val="21"/>
                <w:highlight w:val="none"/>
                <w:lang w:val="en-US" w:eastAsia="zh-CN" w:bidi="ar-SA"/>
              </w:rPr>
            </w:pPr>
            <w:r>
              <w:rPr>
                <w:rFonts w:hint="default" w:ascii="Times New Roman" w:cs="Times New Roman" w:hAnsiTheme="minorEastAsia" w:eastAsiaTheme="minorEastAsia"/>
                <w:b w:val="0"/>
                <w:bCs/>
                <w:snapToGrid w:val="0"/>
                <w:color w:val="auto"/>
                <w:kern w:val="0"/>
                <w:sz w:val="21"/>
                <w:szCs w:val="21"/>
                <w:highlight w:val="none"/>
                <w:lang w:val="en-US" w:eastAsia="zh-CN" w:bidi="ar-SA"/>
              </w:rPr>
              <w:t>矿物油</w:t>
            </w:r>
          </w:p>
        </w:tc>
        <w:tc>
          <w:tcPr>
            <w:tcW w:w="1243" w:type="dxa"/>
            <w:vAlign w:val="center"/>
          </w:tcPr>
          <w:p w14:paraId="33883993">
            <w:pPr>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cs="Times New Roman" w:eastAsiaTheme="minorEastAsia"/>
                <w:b w:val="0"/>
                <w:bCs/>
                <w:snapToGrid/>
                <w:color w:val="auto"/>
                <w:kern w:val="0"/>
                <w:sz w:val="21"/>
                <w:szCs w:val="21"/>
                <w:highlight w:val="none"/>
                <w:lang w:val="en-US" w:eastAsia="zh-CN" w:bidi="ar-SA"/>
              </w:rPr>
            </w:pPr>
            <w:r>
              <w:rPr>
                <w:rFonts w:hint="default" w:ascii="Times New Roman" w:cs="Times New Roman" w:hAnsiTheme="minorEastAsia" w:eastAsiaTheme="minorEastAsia"/>
                <w:b w:val="0"/>
                <w:bCs/>
                <w:snapToGrid w:val="0"/>
                <w:color w:val="auto"/>
                <w:kern w:val="0"/>
                <w:sz w:val="21"/>
                <w:szCs w:val="21"/>
                <w:highlight w:val="none"/>
                <w:lang w:val="en-US" w:eastAsia="zh-CN" w:bidi="ar-SA"/>
              </w:rPr>
              <w:t>矿物油</w:t>
            </w:r>
          </w:p>
        </w:tc>
        <w:tc>
          <w:tcPr>
            <w:tcW w:w="1436" w:type="dxa"/>
            <w:vAlign w:val="center"/>
          </w:tcPr>
          <w:p w14:paraId="6840ACC9">
            <w:pPr>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cs="Times New Roman" w:eastAsiaTheme="minorEastAsia"/>
                <w:b w:val="0"/>
                <w:bCs/>
                <w:snapToGrid/>
                <w:color w:val="auto"/>
                <w:kern w:val="0"/>
                <w:sz w:val="21"/>
                <w:szCs w:val="21"/>
                <w:highlight w:val="none"/>
                <w:lang w:val="en-US" w:eastAsia="zh-CN" w:bidi="ar-SA"/>
              </w:rPr>
            </w:pPr>
            <w:r>
              <w:rPr>
                <w:rFonts w:hint="default" w:ascii="Times New Roman" w:hAnsi="Times New Roman" w:cs="Times New Roman" w:eastAsiaTheme="minorEastAsia"/>
                <w:b w:val="0"/>
                <w:bCs/>
                <w:snapToGrid w:val="0"/>
                <w:color w:val="auto"/>
                <w:kern w:val="0"/>
                <w:sz w:val="21"/>
                <w:szCs w:val="21"/>
                <w:highlight w:val="none"/>
                <w:lang w:val="en-US" w:eastAsia="zh-CN" w:bidi="ar-SA"/>
              </w:rPr>
              <w:t>T</w:t>
            </w:r>
            <w:r>
              <w:rPr>
                <w:rFonts w:hint="default" w:ascii="Times New Roman" w:cs="Times New Roman" w:hAnsiTheme="minorEastAsia" w:eastAsiaTheme="minorEastAsia"/>
                <w:b w:val="0"/>
                <w:bCs/>
                <w:snapToGrid w:val="0"/>
                <w:color w:val="auto"/>
                <w:kern w:val="0"/>
                <w:sz w:val="21"/>
                <w:szCs w:val="21"/>
                <w:highlight w:val="none"/>
                <w:lang w:val="en-US" w:eastAsia="zh-CN" w:bidi="ar-SA"/>
              </w:rPr>
              <w:t>、</w:t>
            </w:r>
            <w:r>
              <w:rPr>
                <w:rFonts w:hint="default" w:ascii="Times New Roman" w:hAnsi="Times New Roman" w:cs="Times New Roman" w:eastAsiaTheme="minorEastAsia"/>
                <w:b w:val="0"/>
                <w:bCs/>
                <w:snapToGrid w:val="0"/>
                <w:color w:val="auto"/>
                <w:kern w:val="0"/>
                <w:sz w:val="21"/>
                <w:szCs w:val="21"/>
                <w:highlight w:val="none"/>
                <w:lang w:val="en-US" w:eastAsia="zh-CN" w:bidi="ar-SA"/>
              </w:rPr>
              <w:t>I</w:t>
            </w:r>
          </w:p>
        </w:tc>
        <w:tc>
          <w:tcPr>
            <w:tcW w:w="2788" w:type="dxa"/>
            <w:vAlign w:val="center"/>
          </w:tcPr>
          <w:p w14:paraId="677380FB">
            <w:pPr>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cs="Times New Roman" w:eastAsiaTheme="minorEastAsia"/>
                <w:b w:val="0"/>
                <w:bCs/>
                <w:snapToGrid/>
                <w:color w:val="auto"/>
                <w:kern w:val="0"/>
                <w:sz w:val="21"/>
                <w:szCs w:val="21"/>
                <w:highlight w:val="none"/>
                <w:lang w:val="en-US" w:eastAsia="zh-CN" w:bidi="ar-SA"/>
              </w:rPr>
            </w:pPr>
            <w:r>
              <w:rPr>
                <w:rFonts w:hint="default" w:ascii="Times New Roman" w:cs="Times New Roman" w:hAnsiTheme="minorEastAsia" w:eastAsiaTheme="minorEastAsia"/>
                <w:b w:val="0"/>
                <w:bCs/>
                <w:snapToGrid w:val="0"/>
                <w:color w:val="auto"/>
                <w:kern w:val="0"/>
                <w:sz w:val="21"/>
                <w:szCs w:val="21"/>
                <w:highlight w:val="none"/>
                <w:lang w:val="en-US" w:eastAsia="zh-CN" w:bidi="ar-SA"/>
              </w:rPr>
              <w:t>采用桶装，暂存在危废贮存库，交由具有危险废物处置许可证的经营单位处理</w:t>
            </w:r>
          </w:p>
        </w:tc>
      </w:tr>
      <w:tr w14:paraId="1496643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61" w:hRule="atLeast"/>
          <w:jc w:val="center"/>
        </w:trPr>
        <w:tc>
          <w:tcPr>
            <w:tcW w:w="739" w:type="dxa"/>
            <w:vAlign w:val="center"/>
          </w:tcPr>
          <w:p w14:paraId="553B9D03">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default" w:ascii="Times New Roman" w:hAnsi="Times New Roman" w:cs="Times New Roman" w:eastAsiaTheme="minorEastAsia"/>
                <w:snapToGrid w:val="0"/>
                <w:color w:val="auto"/>
                <w:kern w:val="0"/>
                <w:sz w:val="21"/>
                <w:szCs w:val="21"/>
                <w:highlight w:val="none"/>
              </w:rPr>
              <w:t>6</w:t>
            </w:r>
          </w:p>
        </w:tc>
        <w:tc>
          <w:tcPr>
            <w:tcW w:w="1114" w:type="dxa"/>
            <w:vAlign w:val="center"/>
          </w:tcPr>
          <w:p w14:paraId="581A0DD2">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bCs/>
                <w:snapToGrid w:val="0"/>
                <w:color w:val="auto"/>
                <w:kern w:val="0"/>
                <w:sz w:val="21"/>
                <w:szCs w:val="21"/>
                <w:highlight w:val="none"/>
              </w:rPr>
            </w:pPr>
            <w:r>
              <w:rPr>
                <w:rFonts w:hint="default" w:ascii="Times New Roman" w:cs="Times New Roman" w:hAnsiTheme="minorEastAsia" w:eastAsiaTheme="minorEastAsia"/>
                <w:bCs/>
                <w:snapToGrid w:val="0"/>
                <w:color w:val="auto"/>
                <w:kern w:val="0"/>
                <w:sz w:val="21"/>
                <w:szCs w:val="21"/>
                <w:highlight w:val="none"/>
              </w:rPr>
              <w:t>滤布</w:t>
            </w:r>
          </w:p>
        </w:tc>
        <w:tc>
          <w:tcPr>
            <w:tcW w:w="882" w:type="dxa"/>
            <w:vAlign w:val="center"/>
          </w:tcPr>
          <w:p w14:paraId="71ABE7BE">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bCs/>
                <w:snapToGrid w:val="0"/>
                <w:color w:val="auto"/>
                <w:kern w:val="0"/>
                <w:sz w:val="21"/>
                <w:szCs w:val="21"/>
                <w:highlight w:val="none"/>
              </w:rPr>
            </w:pPr>
            <w:r>
              <w:rPr>
                <w:rFonts w:hint="default" w:ascii="Times New Roman" w:hAnsi="Times New Roman" w:cs="Times New Roman" w:eastAsiaTheme="minorEastAsia"/>
                <w:bCs/>
                <w:snapToGrid w:val="0"/>
                <w:color w:val="auto"/>
                <w:kern w:val="0"/>
                <w:sz w:val="21"/>
                <w:szCs w:val="21"/>
                <w:highlight w:val="none"/>
              </w:rPr>
              <w:t>HW49</w:t>
            </w:r>
          </w:p>
        </w:tc>
        <w:tc>
          <w:tcPr>
            <w:tcW w:w="1368" w:type="dxa"/>
            <w:vAlign w:val="center"/>
          </w:tcPr>
          <w:p w14:paraId="278B48ED">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bCs/>
                <w:snapToGrid w:val="0"/>
                <w:color w:val="auto"/>
                <w:kern w:val="0"/>
                <w:sz w:val="21"/>
                <w:szCs w:val="21"/>
                <w:highlight w:val="none"/>
              </w:rPr>
            </w:pPr>
            <w:r>
              <w:rPr>
                <w:rFonts w:hint="default" w:ascii="Times New Roman" w:hAnsi="Times New Roman" w:cs="Times New Roman" w:eastAsiaTheme="minorEastAsia"/>
                <w:bCs/>
                <w:snapToGrid w:val="0"/>
                <w:color w:val="auto"/>
                <w:kern w:val="0"/>
                <w:sz w:val="21"/>
                <w:szCs w:val="21"/>
                <w:highlight w:val="none"/>
              </w:rPr>
              <w:t>900-041-49</w:t>
            </w:r>
          </w:p>
        </w:tc>
        <w:tc>
          <w:tcPr>
            <w:tcW w:w="1120" w:type="dxa"/>
            <w:vAlign w:val="center"/>
          </w:tcPr>
          <w:p w14:paraId="7A42CDDF">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highlight w:val="none"/>
              </w:rPr>
            </w:pPr>
            <w:r>
              <w:rPr>
                <w:rFonts w:hint="default" w:ascii="Times New Roman" w:hAnsi="Times New Roman" w:cs="Times New Roman" w:eastAsiaTheme="minorEastAsia"/>
                <w:snapToGrid w:val="0"/>
                <w:color w:val="auto"/>
                <w:kern w:val="0"/>
                <w:sz w:val="21"/>
                <w:szCs w:val="21"/>
                <w:highlight w:val="none"/>
              </w:rPr>
              <w:t>5</w:t>
            </w:r>
          </w:p>
        </w:tc>
        <w:tc>
          <w:tcPr>
            <w:tcW w:w="1408" w:type="dxa"/>
            <w:vAlign w:val="center"/>
          </w:tcPr>
          <w:p w14:paraId="1633B598">
            <w:pPr>
              <w:keepNext w:val="0"/>
              <w:keepLines w:val="0"/>
              <w:suppressLineNumbers w:val="0"/>
              <w:wordWrap/>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spacing w:val="-8"/>
                <w:kern w:val="0"/>
                <w:sz w:val="21"/>
                <w:highlight w:val="none"/>
              </w:rPr>
            </w:pPr>
            <w:r>
              <w:rPr>
                <w:rFonts w:hint="default" w:ascii="Times New Roman" w:cs="Times New Roman" w:hAnsiTheme="minorEastAsia" w:eastAsiaTheme="minorEastAsia"/>
                <w:bCs/>
                <w:snapToGrid w:val="0"/>
                <w:color w:val="auto"/>
                <w:kern w:val="0"/>
                <w:sz w:val="21"/>
                <w:szCs w:val="21"/>
                <w:highlight w:val="none"/>
              </w:rPr>
              <w:t>切削液过滤系统</w:t>
            </w:r>
          </w:p>
        </w:tc>
        <w:tc>
          <w:tcPr>
            <w:tcW w:w="992" w:type="dxa"/>
            <w:vAlign w:val="center"/>
          </w:tcPr>
          <w:p w14:paraId="6C34DB7B">
            <w:pPr>
              <w:keepNext w:val="0"/>
              <w:keepLines w:val="0"/>
              <w:suppressLineNumbers w:val="0"/>
              <w:wordWrap/>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highlight w:val="none"/>
              </w:rPr>
            </w:pPr>
            <w:r>
              <w:rPr>
                <w:rFonts w:hint="default" w:ascii="Times New Roman" w:cs="Times New Roman" w:hAnsiTheme="minorEastAsia" w:eastAsiaTheme="minorEastAsia"/>
                <w:snapToGrid w:val="0"/>
                <w:color w:val="auto"/>
                <w:spacing w:val="-14"/>
                <w:kern w:val="0"/>
                <w:sz w:val="21"/>
                <w:highlight w:val="none"/>
              </w:rPr>
              <w:t>固态</w:t>
            </w:r>
          </w:p>
        </w:tc>
        <w:tc>
          <w:tcPr>
            <w:tcW w:w="1088" w:type="dxa"/>
            <w:vAlign w:val="center"/>
          </w:tcPr>
          <w:p w14:paraId="7BE9ACDA">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default" w:ascii="Times New Roman" w:cs="Times New Roman" w:hAnsiTheme="minorEastAsia" w:eastAsiaTheme="minorEastAsia"/>
                <w:snapToGrid w:val="0"/>
                <w:color w:val="auto"/>
                <w:kern w:val="0"/>
                <w:sz w:val="21"/>
                <w:szCs w:val="21"/>
                <w:highlight w:val="none"/>
              </w:rPr>
              <w:t>矿物油</w:t>
            </w:r>
          </w:p>
        </w:tc>
        <w:tc>
          <w:tcPr>
            <w:tcW w:w="1243" w:type="dxa"/>
            <w:vAlign w:val="center"/>
          </w:tcPr>
          <w:p w14:paraId="74A49D27">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default" w:ascii="Times New Roman" w:cs="Times New Roman" w:hAnsiTheme="minorEastAsia" w:eastAsiaTheme="minorEastAsia"/>
                <w:snapToGrid w:val="0"/>
                <w:color w:val="auto"/>
                <w:kern w:val="0"/>
                <w:sz w:val="21"/>
                <w:szCs w:val="21"/>
                <w:highlight w:val="none"/>
              </w:rPr>
              <w:t>矿物油</w:t>
            </w:r>
          </w:p>
        </w:tc>
        <w:tc>
          <w:tcPr>
            <w:tcW w:w="1436" w:type="dxa"/>
            <w:vAlign w:val="center"/>
          </w:tcPr>
          <w:p w14:paraId="0F2784AD">
            <w:pPr>
              <w:keepNext w:val="0"/>
              <w:keepLines w:val="0"/>
              <w:suppressLineNumbers w:val="0"/>
              <w:wordWrap/>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highlight w:val="none"/>
              </w:rPr>
            </w:pPr>
            <w:r>
              <w:rPr>
                <w:rFonts w:hint="default" w:ascii="Times New Roman" w:hAnsi="Times New Roman" w:cs="Times New Roman" w:eastAsiaTheme="minorEastAsia"/>
                <w:snapToGrid w:val="0"/>
                <w:color w:val="auto"/>
                <w:spacing w:val="-7"/>
                <w:w w:val="98"/>
                <w:kern w:val="0"/>
                <w:sz w:val="21"/>
                <w:highlight w:val="none"/>
              </w:rPr>
              <w:t>T</w:t>
            </w:r>
            <w:r>
              <w:rPr>
                <w:rFonts w:hint="default" w:ascii="Times New Roman" w:cs="Times New Roman" w:hAnsiTheme="minorEastAsia" w:eastAsiaTheme="minorEastAsia"/>
                <w:snapToGrid w:val="0"/>
                <w:color w:val="auto"/>
                <w:spacing w:val="-7"/>
                <w:w w:val="98"/>
                <w:kern w:val="0"/>
                <w:sz w:val="21"/>
                <w:highlight w:val="none"/>
              </w:rPr>
              <w:t>、</w:t>
            </w:r>
            <w:r>
              <w:rPr>
                <w:rFonts w:hint="default" w:ascii="Times New Roman" w:hAnsi="Times New Roman" w:cs="Times New Roman" w:eastAsiaTheme="minorEastAsia"/>
                <w:snapToGrid w:val="0"/>
                <w:color w:val="auto"/>
                <w:spacing w:val="-7"/>
                <w:w w:val="98"/>
                <w:kern w:val="0"/>
                <w:sz w:val="21"/>
                <w:highlight w:val="none"/>
              </w:rPr>
              <w:t>I</w:t>
            </w:r>
          </w:p>
        </w:tc>
        <w:tc>
          <w:tcPr>
            <w:tcW w:w="2788" w:type="dxa"/>
            <w:vAlign w:val="center"/>
          </w:tcPr>
          <w:p w14:paraId="52D9E208">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default" w:ascii="Times New Roman" w:cs="Times New Roman" w:hAnsiTheme="minorEastAsia" w:eastAsiaTheme="minorEastAsia"/>
                <w:snapToGrid w:val="0"/>
                <w:color w:val="auto"/>
                <w:kern w:val="0"/>
                <w:sz w:val="21"/>
                <w:szCs w:val="21"/>
                <w:highlight w:val="none"/>
              </w:rPr>
              <w:t>采用桶装，暂存在危废贮存库，交由具有危险废物处置许可证的经营单位处理</w:t>
            </w:r>
          </w:p>
        </w:tc>
      </w:tr>
      <w:tr w14:paraId="25C26A0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127" w:hRule="atLeast"/>
          <w:jc w:val="center"/>
        </w:trPr>
        <w:tc>
          <w:tcPr>
            <w:tcW w:w="739" w:type="dxa"/>
            <w:vAlign w:val="center"/>
          </w:tcPr>
          <w:p w14:paraId="1AB0279B">
            <w:pPr>
              <w:keepNext w:val="0"/>
              <w:keepLines w:val="0"/>
              <w:suppressLineNumbers w:val="0"/>
              <w:wordWrap/>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default" w:ascii="Times New Roman" w:hAnsi="Times New Roman" w:cs="Times New Roman" w:eastAsiaTheme="minorEastAsia"/>
                <w:snapToGrid w:val="0"/>
                <w:color w:val="auto"/>
                <w:kern w:val="0"/>
                <w:sz w:val="21"/>
                <w:szCs w:val="21"/>
                <w:highlight w:val="none"/>
              </w:rPr>
              <w:t>7</w:t>
            </w:r>
          </w:p>
        </w:tc>
        <w:tc>
          <w:tcPr>
            <w:tcW w:w="1114" w:type="dxa"/>
            <w:vAlign w:val="center"/>
          </w:tcPr>
          <w:p w14:paraId="359D5601">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default" w:ascii="Times New Roman" w:cs="Times New Roman" w:hAnsiTheme="minorEastAsia" w:eastAsiaTheme="minorEastAsia"/>
                <w:bCs/>
                <w:snapToGrid w:val="0"/>
                <w:color w:val="auto"/>
                <w:kern w:val="0"/>
                <w:sz w:val="21"/>
                <w:szCs w:val="21"/>
                <w:highlight w:val="none"/>
              </w:rPr>
              <w:t>矿物油类包装桶</w:t>
            </w:r>
          </w:p>
        </w:tc>
        <w:tc>
          <w:tcPr>
            <w:tcW w:w="882" w:type="dxa"/>
            <w:vAlign w:val="center"/>
          </w:tcPr>
          <w:p w14:paraId="7EE0FBB7">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default" w:ascii="Times New Roman" w:hAnsi="Times New Roman" w:cs="Times New Roman" w:eastAsiaTheme="minorEastAsia"/>
                <w:bCs/>
                <w:snapToGrid w:val="0"/>
                <w:color w:val="auto"/>
                <w:kern w:val="0"/>
                <w:sz w:val="21"/>
                <w:szCs w:val="21"/>
                <w:highlight w:val="none"/>
              </w:rPr>
              <w:t>HW</w:t>
            </w:r>
            <w:r>
              <w:rPr>
                <w:rFonts w:hint="eastAsia" w:ascii="Times New Roman" w:hAnsi="Times New Roman" w:cs="Times New Roman" w:eastAsiaTheme="minorEastAsia"/>
                <w:bCs/>
                <w:snapToGrid w:val="0"/>
                <w:color w:val="auto"/>
                <w:kern w:val="0"/>
                <w:sz w:val="21"/>
                <w:szCs w:val="21"/>
                <w:highlight w:val="none"/>
              </w:rPr>
              <w:t>08</w:t>
            </w:r>
          </w:p>
        </w:tc>
        <w:tc>
          <w:tcPr>
            <w:tcW w:w="1368" w:type="dxa"/>
            <w:vAlign w:val="center"/>
          </w:tcPr>
          <w:p w14:paraId="21FD9AD0">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default" w:ascii="Times New Roman" w:hAnsi="Times New Roman" w:cs="Times New Roman" w:eastAsiaTheme="minorEastAsia"/>
                <w:bCs/>
                <w:snapToGrid w:val="0"/>
                <w:color w:val="auto"/>
                <w:kern w:val="0"/>
                <w:sz w:val="21"/>
                <w:szCs w:val="21"/>
                <w:highlight w:val="none"/>
              </w:rPr>
              <w:t>900-</w:t>
            </w:r>
            <w:r>
              <w:rPr>
                <w:rFonts w:hint="eastAsia" w:ascii="Times New Roman" w:hAnsi="Times New Roman" w:cs="Times New Roman" w:eastAsiaTheme="minorEastAsia"/>
                <w:bCs/>
                <w:snapToGrid w:val="0"/>
                <w:color w:val="auto"/>
                <w:kern w:val="0"/>
                <w:sz w:val="21"/>
                <w:szCs w:val="21"/>
                <w:highlight w:val="none"/>
              </w:rPr>
              <w:t>249</w:t>
            </w:r>
            <w:r>
              <w:rPr>
                <w:rFonts w:hint="default" w:ascii="Times New Roman" w:hAnsi="Times New Roman" w:cs="Times New Roman" w:eastAsiaTheme="minorEastAsia"/>
                <w:bCs/>
                <w:snapToGrid w:val="0"/>
                <w:color w:val="auto"/>
                <w:kern w:val="0"/>
                <w:sz w:val="21"/>
                <w:szCs w:val="21"/>
                <w:highlight w:val="none"/>
              </w:rPr>
              <w:t>-</w:t>
            </w:r>
            <w:r>
              <w:rPr>
                <w:rFonts w:hint="eastAsia" w:ascii="Times New Roman" w:hAnsi="Times New Roman" w:cs="Times New Roman" w:eastAsiaTheme="minorEastAsia"/>
                <w:bCs/>
                <w:snapToGrid w:val="0"/>
                <w:color w:val="auto"/>
                <w:kern w:val="0"/>
                <w:sz w:val="21"/>
                <w:szCs w:val="21"/>
                <w:highlight w:val="none"/>
              </w:rPr>
              <w:t>08</w:t>
            </w:r>
          </w:p>
        </w:tc>
        <w:tc>
          <w:tcPr>
            <w:tcW w:w="1120" w:type="dxa"/>
            <w:vAlign w:val="center"/>
          </w:tcPr>
          <w:p w14:paraId="691FAD90">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eastAsia" w:ascii="Times New Roman" w:hAnsi="Times New Roman" w:cs="Times New Roman" w:eastAsiaTheme="minorEastAsia"/>
                <w:snapToGrid w:val="0"/>
                <w:color w:val="auto"/>
                <w:kern w:val="0"/>
                <w:sz w:val="21"/>
                <w:szCs w:val="21"/>
                <w:highlight w:val="none"/>
              </w:rPr>
              <w:t>18.8</w:t>
            </w:r>
          </w:p>
        </w:tc>
        <w:tc>
          <w:tcPr>
            <w:tcW w:w="1408" w:type="dxa"/>
            <w:vAlign w:val="center"/>
          </w:tcPr>
          <w:p w14:paraId="40943800">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default" w:ascii="Times New Roman" w:cs="Times New Roman" w:hAnsiTheme="minorEastAsia" w:eastAsiaTheme="minorEastAsia"/>
                <w:snapToGrid w:val="0"/>
                <w:color w:val="auto"/>
                <w:kern w:val="0"/>
                <w:sz w:val="21"/>
                <w:szCs w:val="21"/>
                <w:highlight w:val="none"/>
              </w:rPr>
              <w:t>原</w:t>
            </w:r>
            <w:r>
              <w:rPr>
                <w:rFonts w:hint="default" w:ascii="Times New Roman" w:cs="Times New Roman" w:hAnsiTheme="minorEastAsia" w:eastAsiaTheme="minorEastAsia"/>
                <w:bCs/>
                <w:snapToGrid w:val="0"/>
                <w:color w:val="auto"/>
                <w:kern w:val="0"/>
                <w:sz w:val="21"/>
                <w:szCs w:val="21"/>
                <w:highlight w:val="none"/>
              </w:rPr>
              <w:t>材料</w:t>
            </w:r>
            <w:r>
              <w:rPr>
                <w:rFonts w:hint="default" w:ascii="Times New Roman" w:cs="Times New Roman" w:hAnsiTheme="minorEastAsia" w:eastAsiaTheme="minorEastAsia"/>
                <w:snapToGrid w:val="0"/>
                <w:color w:val="auto"/>
                <w:kern w:val="0"/>
                <w:sz w:val="21"/>
                <w:szCs w:val="21"/>
                <w:highlight w:val="none"/>
              </w:rPr>
              <w:t>储存区</w:t>
            </w:r>
          </w:p>
        </w:tc>
        <w:tc>
          <w:tcPr>
            <w:tcW w:w="992" w:type="dxa"/>
            <w:vAlign w:val="center"/>
          </w:tcPr>
          <w:p w14:paraId="7A58301D">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default" w:ascii="Times New Roman" w:cs="Times New Roman" w:hAnsiTheme="minorEastAsia" w:eastAsiaTheme="minorEastAsia"/>
                <w:snapToGrid w:val="0"/>
                <w:color w:val="auto"/>
                <w:spacing w:val="-14"/>
                <w:kern w:val="0"/>
                <w:sz w:val="21"/>
                <w:highlight w:val="none"/>
              </w:rPr>
              <w:t>固态</w:t>
            </w:r>
          </w:p>
        </w:tc>
        <w:tc>
          <w:tcPr>
            <w:tcW w:w="1088" w:type="dxa"/>
            <w:vAlign w:val="center"/>
          </w:tcPr>
          <w:p w14:paraId="7C7F576F">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default" w:ascii="Times New Roman" w:cs="Times New Roman" w:hAnsiTheme="minorEastAsia" w:eastAsiaTheme="minorEastAsia"/>
                <w:snapToGrid w:val="0"/>
                <w:color w:val="auto"/>
                <w:kern w:val="0"/>
                <w:sz w:val="21"/>
                <w:szCs w:val="21"/>
                <w:highlight w:val="none"/>
              </w:rPr>
              <w:t>矿物油</w:t>
            </w:r>
            <w:r>
              <w:rPr>
                <w:rFonts w:hint="default" w:ascii="Times New Roman" w:cs="Times New Roman" w:hAnsiTheme="minorEastAsia" w:eastAsiaTheme="minorEastAsia"/>
                <w:snapToGrid w:val="0"/>
                <w:color w:val="auto"/>
                <w:spacing w:val="-3"/>
                <w:kern w:val="0"/>
                <w:sz w:val="21"/>
                <w:highlight w:val="none"/>
              </w:rPr>
              <w:t>切削液</w:t>
            </w:r>
          </w:p>
        </w:tc>
        <w:tc>
          <w:tcPr>
            <w:tcW w:w="1243" w:type="dxa"/>
            <w:vAlign w:val="center"/>
          </w:tcPr>
          <w:p w14:paraId="0D1DE941">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default" w:ascii="Times New Roman" w:cs="Times New Roman" w:hAnsiTheme="minorEastAsia" w:eastAsiaTheme="minorEastAsia"/>
                <w:snapToGrid w:val="0"/>
                <w:color w:val="auto"/>
                <w:kern w:val="0"/>
                <w:sz w:val="21"/>
                <w:szCs w:val="21"/>
                <w:highlight w:val="none"/>
              </w:rPr>
              <w:t>矿物油</w:t>
            </w:r>
            <w:r>
              <w:rPr>
                <w:rFonts w:hint="default" w:ascii="Times New Roman" w:cs="Times New Roman" w:hAnsiTheme="minorEastAsia" w:eastAsiaTheme="minorEastAsia"/>
                <w:snapToGrid w:val="0"/>
                <w:color w:val="auto"/>
                <w:spacing w:val="-3"/>
                <w:kern w:val="0"/>
                <w:sz w:val="21"/>
                <w:highlight w:val="none"/>
              </w:rPr>
              <w:t>切削液</w:t>
            </w:r>
          </w:p>
        </w:tc>
        <w:tc>
          <w:tcPr>
            <w:tcW w:w="1436" w:type="dxa"/>
            <w:vAlign w:val="center"/>
          </w:tcPr>
          <w:p w14:paraId="0B2D19DE">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default" w:ascii="Times New Roman" w:hAnsi="Times New Roman" w:cs="Times New Roman" w:eastAsiaTheme="minorEastAsia"/>
                <w:snapToGrid w:val="0"/>
                <w:color w:val="auto"/>
                <w:kern w:val="0"/>
                <w:sz w:val="21"/>
                <w:szCs w:val="21"/>
                <w:highlight w:val="none"/>
              </w:rPr>
              <w:t>T</w:t>
            </w:r>
            <w:r>
              <w:rPr>
                <w:rFonts w:hint="default" w:ascii="Times New Roman" w:cs="Times New Roman" w:hAnsiTheme="minorEastAsia" w:eastAsiaTheme="minorEastAsia"/>
                <w:snapToGrid w:val="0"/>
                <w:color w:val="auto"/>
                <w:kern w:val="0"/>
                <w:sz w:val="21"/>
                <w:szCs w:val="21"/>
                <w:highlight w:val="none"/>
              </w:rPr>
              <w:t>、</w:t>
            </w:r>
            <w:r>
              <w:rPr>
                <w:rFonts w:hint="default" w:ascii="Times New Roman" w:hAnsi="Times New Roman" w:cs="Times New Roman" w:eastAsiaTheme="minorEastAsia"/>
                <w:snapToGrid w:val="0"/>
                <w:color w:val="auto"/>
                <w:kern w:val="0"/>
                <w:sz w:val="21"/>
                <w:szCs w:val="21"/>
                <w:highlight w:val="none"/>
              </w:rPr>
              <w:t>I</w:t>
            </w:r>
          </w:p>
        </w:tc>
        <w:tc>
          <w:tcPr>
            <w:tcW w:w="2788" w:type="dxa"/>
            <w:vAlign w:val="center"/>
          </w:tcPr>
          <w:p w14:paraId="465BA015">
            <w:pPr>
              <w:keepNext w:val="0"/>
              <w:keepLines w:val="0"/>
              <w:suppressLineNumbers w:val="0"/>
              <w:wordWrap/>
              <w:autoSpaceDE w:val="0"/>
              <w:autoSpaceDN w:val="0"/>
              <w:adjustRightInd/>
              <w:snapToGrid/>
              <w:spacing w:before="0" w:beforeAutospacing="0" w:after="0" w:afterAutospacing="0" w:line="240" w:lineRule="auto"/>
              <w:ind w:left="0" w:right="0" w:firstLine="0" w:firstLineChars="0"/>
              <w:contextualSpacing/>
              <w:jc w:val="center"/>
              <w:rPr>
                <w:rFonts w:hint="default" w:ascii="Times New Roman" w:hAnsi="Times New Roman" w:cs="Times New Roman" w:eastAsiaTheme="minorEastAsia"/>
                <w:snapToGrid w:val="0"/>
                <w:color w:val="auto"/>
                <w:kern w:val="0"/>
                <w:sz w:val="21"/>
                <w:szCs w:val="21"/>
                <w:highlight w:val="none"/>
              </w:rPr>
            </w:pPr>
            <w:r>
              <w:rPr>
                <w:rFonts w:hint="default" w:ascii="Times New Roman" w:cs="Times New Roman" w:hAnsiTheme="minorEastAsia" w:eastAsiaTheme="minorEastAsia"/>
                <w:snapToGrid w:val="0"/>
                <w:color w:val="auto"/>
                <w:kern w:val="0"/>
                <w:sz w:val="21"/>
                <w:szCs w:val="21"/>
                <w:highlight w:val="none"/>
              </w:rPr>
              <w:t>采用桶装，暂存在危废贮存库，交由具有危险废物处置许可证的经营单位处理</w:t>
            </w:r>
          </w:p>
        </w:tc>
      </w:tr>
    </w:tbl>
    <w:p w14:paraId="0909C786">
      <w:pPr>
        <w:pStyle w:val="7"/>
        <w:bidi w:val="0"/>
        <w:rPr>
          <w:highlight w:val="none"/>
        </w:rPr>
      </w:pPr>
    </w:p>
    <w:p w14:paraId="59B2699A">
      <w:pPr>
        <w:pStyle w:val="7"/>
        <w:bidi w:val="0"/>
        <w:rPr>
          <w:highlight w:val="none"/>
        </w:rPr>
      </w:pPr>
      <w:r>
        <w:rPr>
          <w:highlight w:val="none"/>
        </w:rPr>
        <w:t>表5-2-</w:t>
      </w:r>
      <w:r>
        <w:rPr>
          <w:rFonts w:hint="eastAsia"/>
          <w:highlight w:val="none"/>
          <w:lang w:val="en-US" w:eastAsia="zh-CN"/>
        </w:rPr>
        <w:t>20</w:t>
      </w:r>
      <w:r>
        <w:rPr>
          <w:highlight w:val="none"/>
        </w:rPr>
        <w:t>建设项目危险废物贮存场所（设施）基本情况表</w:t>
      </w:r>
      <w:bookmarkEnd w:id="454"/>
    </w:p>
    <w:tbl>
      <w:tblPr>
        <w:tblStyle w:val="749"/>
        <w:tblW w:w="4996"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77"/>
        <w:gridCol w:w="652"/>
        <w:gridCol w:w="1774"/>
        <w:gridCol w:w="927"/>
        <w:gridCol w:w="1953"/>
        <w:gridCol w:w="1562"/>
        <w:gridCol w:w="1139"/>
        <w:gridCol w:w="1142"/>
        <w:gridCol w:w="1763"/>
        <w:gridCol w:w="1417"/>
        <w:gridCol w:w="1157"/>
      </w:tblGrid>
      <w:tr w14:paraId="2AA9D08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0" w:hRule="atLeast"/>
        </w:trPr>
        <w:tc>
          <w:tcPr>
            <w:tcW w:w="239" w:type="pct"/>
            <w:tcBorders>
              <w:tl2br w:val="nil"/>
              <w:tr2bl w:val="nil"/>
            </w:tcBorders>
            <w:vAlign w:val="center"/>
          </w:tcPr>
          <w:p w14:paraId="74967ED7">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bookmarkStart w:id="455" w:name="_Toc16384"/>
            <w:r>
              <w:rPr>
                <w:rFonts w:hint="default" w:ascii="Times New Roman" w:cs="Times New Roman"/>
                <w:kern w:val="2"/>
                <w:sz w:val="21"/>
                <w:szCs w:val="21"/>
                <w:highlight w:val="none"/>
              </w:rPr>
              <w:t>序号</w:t>
            </w:r>
            <w:bookmarkEnd w:id="455"/>
          </w:p>
        </w:tc>
        <w:tc>
          <w:tcPr>
            <w:tcW w:w="230" w:type="pct"/>
            <w:tcBorders>
              <w:tl2br w:val="nil"/>
              <w:tr2bl w:val="nil"/>
            </w:tcBorders>
            <w:vAlign w:val="center"/>
          </w:tcPr>
          <w:p w14:paraId="22133E97">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bookmarkStart w:id="456" w:name="_Toc21228"/>
            <w:r>
              <w:rPr>
                <w:rFonts w:hint="default" w:ascii="Times New Roman" w:cs="Times New Roman"/>
                <w:kern w:val="2"/>
                <w:sz w:val="21"/>
                <w:szCs w:val="21"/>
                <w:highlight w:val="none"/>
              </w:rPr>
              <w:t>贮存场所</w:t>
            </w:r>
            <w:bookmarkEnd w:id="456"/>
          </w:p>
        </w:tc>
        <w:tc>
          <w:tcPr>
            <w:tcW w:w="626" w:type="pct"/>
            <w:tcBorders>
              <w:tl2br w:val="nil"/>
              <w:tr2bl w:val="nil"/>
            </w:tcBorders>
            <w:vAlign w:val="center"/>
          </w:tcPr>
          <w:p w14:paraId="5CE15A56">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bookmarkStart w:id="457" w:name="_Toc4112"/>
            <w:r>
              <w:rPr>
                <w:rFonts w:hint="default" w:ascii="Times New Roman" w:cs="Times New Roman"/>
                <w:kern w:val="2"/>
                <w:sz w:val="21"/>
                <w:szCs w:val="21"/>
                <w:highlight w:val="none"/>
              </w:rPr>
              <w:t>危险废物名称</w:t>
            </w:r>
            <w:bookmarkEnd w:id="457"/>
          </w:p>
        </w:tc>
        <w:tc>
          <w:tcPr>
            <w:tcW w:w="327" w:type="pct"/>
            <w:tcBorders>
              <w:tl2br w:val="nil"/>
              <w:tr2bl w:val="nil"/>
            </w:tcBorders>
            <w:vAlign w:val="center"/>
          </w:tcPr>
          <w:p w14:paraId="5480BCC7">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bookmarkStart w:id="458" w:name="_Toc5852"/>
            <w:r>
              <w:rPr>
                <w:rFonts w:hint="default" w:ascii="Times New Roman" w:cs="Times New Roman"/>
                <w:kern w:val="2"/>
                <w:sz w:val="21"/>
                <w:szCs w:val="21"/>
                <w:highlight w:val="none"/>
              </w:rPr>
              <w:t>危险废物类别</w:t>
            </w:r>
            <w:bookmarkEnd w:id="458"/>
          </w:p>
        </w:tc>
        <w:tc>
          <w:tcPr>
            <w:tcW w:w="689" w:type="pct"/>
            <w:tcBorders>
              <w:tl2br w:val="nil"/>
              <w:tr2bl w:val="nil"/>
            </w:tcBorders>
            <w:vAlign w:val="center"/>
          </w:tcPr>
          <w:p w14:paraId="17B38D23">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bookmarkStart w:id="459" w:name="_Toc10234"/>
            <w:r>
              <w:rPr>
                <w:rFonts w:hint="default" w:ascii="Times New Roman" w:cs="Times New Roman"/>
                <w:kern w:val="2"/>
                <w:sz w:val="21"/>
                <w:szCs w:val="21"/>
                <w:highlight w:val="none"/>
              </w:rPr>
              <w:t>危险废物代码</w:t>
            </w:r>
            <w:bookmarkEnd w:id="459"/>
          </w:p>
        </w:tc>
        <w:tc>
          <w:tcPr>
            <w:tcW w:w="551" w:type="pct"/>
            <w:tcBorders>
              <w:tl2br w:val="nil"/>
              <w:tr2bl w:val="nil"/>
            </w:tcBorders>
            <w:vAlign w:val="center"/>
          </w:tcPr>
          <w:p w14:paraId="2E4D5502">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bookmarkStart w:id="460" w:name="_Toc9102"/>
            <w:r>
              <w:rPr>
                <w:rFonts w:hint="default" w:ascii="Times New Roman" w:cs="Times New Roman"/>
                <w:kern w:val="2"/>
                <w:sz w:val="21"/>
                <w:szCs w:val="21"/>
                <w:highlight w:val="none"/>
              </w:rPr>
              <w:t>位置</w:t>
            </w:r>
            <w:bookmarkEnd w:id="460"/>
          </w:p>
        </w:tc>
        <w:tc>
          <w:tcPr>
            <w:tcW w:w="402" w:type="pct"/>
            <w:tcBorders>
              <w:tl2br w:val="nil"/>
              <w:tr2bl w:val="nil"/>
            </w:tcBorders>
            <w:vAlign w:val="center"/>
          </w:tcPr>
          <w:p w14:paraId="25C2F82B">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bookmarkStart w:id="461" w:name="_Toc1468"/>
            <w:r>
              <w:rPr>
                <w:rFonts w:hint="default" w:ascii="Times New Roman" w:cs="Times New Roman"/>
                <w:kern w:val="2"/>
                <w:sz w:val="21"/>
                <w:szCs w:val="21"/>
                <w:highlight w:val="none"/>
              </w:rPr>
              <w:t>占地面积</w:t>
            </w:r>
            <w:bookmarkEnd w:id="461"/>
          </w:p>
        </w:tc>
        <w:tc>
          <w:tcPr>
            <w:tcW w:w="403" w:type="pct"/>
            <w:tcBorders>
              <w:tl2br w:val="nil"/>
              <w:tr2bl w:val="nil"/>
            </w:tcBorders>
            <w:vAlign w:val="center"/>
          </w:tcPr>
          <w:p w14:paraId="7382CDEB">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bookmarkStart w:id="462" w:name="_Toc31587"/>
            <w:r>
              <w:rPr>
                <w:rFonts w:hint="default" w:ascii="Times New Roman" w:cs="Times New Roman"/>
                <w:kern w:val="2"/>
                <w:sz w:val="21"/>
                <w:szCs w:val="21"/>
                <w:highlight w:val="none"/>
              </w:rPr>
              <w:t>贮存能力</w:t>
            </w:r>
            <w:r>
              <w:rPr>
                <w:rFonts w:hint="default" w:ascii="Times New Roman" w:hAnsi="Times New Roman" w:cs="Times New Roman"/>
                <w:kern w:val="2"/>
                <w:sz w:val="21"/>
                <w:szCs w:val="21"/>
                <w:highlight w:val="none"/>
              </w:rPr>
              <w:t>t</w:t>
            </w:r>
          </w:p>
        </w:tc>
        <w:tc>
          <w:tcPr>
            <w:tcW w:w="622" w:type="pct"/>
            <w:tcBorders>
              <w:tl2br w:val="nil"/>
              <w:tr2bl w:val="nil"/>
            </w:tcBorders>
            <w:vAlign w:val="center"/>
          </w:tcPr>
          <w:p w14:paraId="126A0DB6">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r>
              <w:rPr>
                <w:rFonts w:hint="default" w:ascii="Times New Roman" w:cs="Times New Roman"/>
                <w:kern w:val="2"/>
                <w:sz w:val="21"/>
                <w:szCs w:val="21"/>
                <w:highlight w:val="none"/>
              </w:rPr>
              <w:t>贮存方式</w:t>
            </w:r>
            <w:bookmarkEnd w:id="462"/>
          </w:p>
        </w:tc>
        <w:tc>
          <w:tcPr>
            <w:tcW w:w="500" w:type="pct"/>
            <w:tcBorders>
              <w:tl2br w:val="nil"/>
              <w:tr2bl w:val="nil"/>
            </w:tcBorders>
            <w:vAlign w:val="center"/>
          </w:tcPr>
          <w:p w14:paraId="0210BC32">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bookmarkStart w:id="463" w:name="_Toc13576"/>
            <w:r>
              <w:rPr>
                <w:rFonts w:hint="default" w:ascii="Times New Roman" w:cs="Times New Roman"/>
                <w:kern w:val="2"/>
                <w:sz w:val="21"/>
                <w:szCs w:val="21"/>
                <w:highlight w:val="none"/>
              </w:rPr>
              <w:t>最大贮存</w:t>
            </w:r>
            <w:bookmarkEnd w:id="463"/>
            <w:r>
              <w:rPr>
                <w:rFonts w:hint="default" w:ascii="Times New Roman" w:cs="Times New Roman"/>
                <w:kern w:val="2"/>
                <w:sz w:val="21"/>
                <w:szCs w:val="21"/>
                <w:highlight w:val="none"/>
              </w:rPr>
              <w:t>量</w:t>
            </w:r>
            <w:r>
              <w:rPr>
                <w:rFonts w:hint="default" w:ascii="Times New Roman" w:hAnsi="Times New Roman" w:cs="Times New Roman"/>
                <w:kern w:val="2"/>
                <w:sz w:val="21"/>
                <w:szCs w:val="21"/>
                <w:highlight w:val="none"/>
              </w:rPr>
              <w:t>t</w:t>
            </w:r>
          </w:p>
        </w:tc>
        <w:tc>
          <w:tcPr>
            <w:tcW w:w="408" w:type="pct"/>
            <w:tcBorders>
              <w:tl2br w:val="nil"/>
              <w:tr2bl w:val="nil"/>
            </w:tcBorders>
            <w:vAlign w:val="center"/>
          </w:tcPr>
          <w:p w14:paraId="4CE56CEE">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bookmarkStart w:id="464" w:name="_Toc10938"/>
            <w:r>
              <w:rPr>
                <w:rFonts w:hint="default" w:ascii="Times New Roman" w:cs="Times New Roman"/>
                <w:kern w:val="2"/>
                <w:sz w:val="21"/>
                <w:szCs w:val="21"/>
                <w:highlight w:val="none"/>
              </w:rPr>
              <w:t>贮存周期</w:t>
            </w:r>
            <w:bookmarkEnd w:id="464"/>
          </w:p>
        </w:tc>
      </w:tr>
      <w:tr w14:paraId="0E4B85F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5" w:hRule="atLeast"/>
        </w:trPr>
        <w:tc>
          <w:tcPr>
            <w:tcW w:w="239" w:type="pct"/>
            <w:tcBorders>
              <w:tl2br w:val="nil"/>
              <w:tr2bl w:val="nil"/>
            </w:tcBorders>
            <w:vAlign w:val="center"/>
          </w:tcPr>
          <w:p w14:paraId="1261C9A0">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bookmarkStart w:id="465" w:name="_Toc19054"/>
            <w:r>
              <w:rPr>
                <w:rFonts w:hint="default" w:ascii="Times New Roman" w:hAnsi="Times New Roman" w:cs="Times New Roman"/>
                <w:kern w:val="2"/>
                <w:sz w:val="21"/>
                <w:szCs w:val="21"/>
                <w:highlight w:val="none"/>
              </w:rPr>
              <w:t>1</w:t>
            </w:r>
            <w:bookmarkEnd w:id="465"/>
          </w:p>
        </w:tc>
        <w:tc>
          <w:tcPr>
            <w:tcW w:w="230" w:type="pct"/>
            <w:vMerge w:val="restart"/>
            <w:tcBorders>
              <w:tl2br w:val="nil"/>
              <w:tr2bl w:val="nil"/>
            </w:tcBorders>
            <w:vAlign w:val="center"/>
          </w:tcPr>
          <w:p w14:paraId="2B3CD4A9">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r>
              <w:rPr>
                <w:rFonts w:hint="default" w:ascii="Times New Roman" w:cs="Times New Roman"/>
                <w:kern w:val="2"/>
                <w:sz w:val="21"/>
                <w:szCs w:val="21"/>
                <w:highlight w:val="none"/>
              </w:rPr>
              <w:t>危废贮存库</w:t>
            </w:r>
          </w:p>
        </w:tc>
        <w:tc>
          <w:tcPr>
            <w:tcW w:w="626" w:type="pct"/>
            <w:tcBorders>
              <w:tl2br w:val="nil"/>
              <w:tr2bl w:val="nil"/>
            </w:tcBorders>
            <w:vAlign w:val="center"/>
          </w:tcPr>
          <w:p w14:paraId="086F5FD3">
            <w:pPr>
              <w:keepNext w:val="0"/>
              <w:keepLines w:val="0"/>
              <w:suppressLineNumbers w:val="0"/>
              <w:wordWrap/>
              <w:autoSpaceDE w:val="0"/>
              <w:autoSpaceDN w:val="0"/>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default" w:ascii="Times New Roman" w:cs="Times New Roman" w:hAnsiTheme="minorEastAsia" w:eastAsiaTheme="minorEastAsia"/>
                <w:kern w:val="0"/>
                <w:sz w:val="21"/>
                <w:szCs w:val="21"/>
                <w:highlight w:val="none"/>
              </w:rPr>
              <w:t>废油</w:t>
            </w:r>
          </w:p>
        </w:tc>
        <w:tc>
          <w:tcPr>
            <w:tcW w:w="327" w:type="pct"/>
            <w:tcBorders>
              <w:tl2br w:val="nil"/>
              <w:tr2bl w:val="nil"/>
            </w:tcBorders>
            <w:vAlign w:val="center"/>
          </w:tcPr>
          <w:p w14:paraId="33B6EC35">
            <w:pPr>
              <w:keepNext w:val="0"/>
              <w:keepLines w:val="0"/>
              <w:suppressLineNumbers w:val="0"/>
              <w:wordWrap/>
              <w:autoSpaceDE w:val="0"/>
              <w:autoSpaceDN w:val="0"/>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HW08</w:t>
            </w:r>
          </w:p>
        </w:tc>
        <w:tc>
          <w:tcPr>
            <w:tcW w:w="689" w:type="pct"/>
            <w:tcBorders>
              <w:tl2br w:val="nil"/>
              <w:tr2bl w:val="nil"/>
            </w:tcBorders>
            <w:vAlign w:val="center"/>
          </w:tcPr>
          <w:p w14:paraId="55B5A3C7">
            <w:pPr>
              <w:keepNext w:val="0"/>
              <w:keepLines w:val="0"/>
              <w:suppressLineNumbers w:val="0"/>
              <w:wordWrap/>
              <w:autoSpaceDE w:val="0"/>
              <w:autoSpaceDN w:val="0"/>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900-210-08</w:t>
            </w:r>
          </w:p>
        </w:tc>
        <w:tc>
          <w:tcPr>
            <w:tcW w:w="551" w:type="pct"/>
            <w:vMerge w:val="restart"/>
            <w:tcBorders>
              <w:tl2br w:val="nil"/>
              <w:tr2bl w:val="nil"/>
            </w:tcBorders>
            <w:vAlign w:val="center"/>
          </w:tcPr>
          <w:p w14:paraId="5DC889F7">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bookmarkStart w:id="466" w:name="_Toc9445"/>
            <w:r>
              <w:rPr>
                <w:rFonts w:hint="eastAsia" w:ascii="Times New Roman" w:hAnsi="Times New Roman" w:cs="Times New Roman"/>
                <w:kern w:val="24"/>
                <w:sz w:val="21"/>
                <w:szCs w:val="21"/>
                <w:highlight w:val="none"/>
              </w:rPr>
              <w:t>4</w:t>
            </w:r>
            <w:r>
              <w:rPr>
                <w:rFonts w:hint="default" w:ascii="Times New Roman" w:cs="Times New Roman"/>
                <w:kern w:val="24"/>
                <w:sz w:val="21"/>
                <w:szCs w:val="21"/>
                <w:highlight w:val="none"/>
              </w:rPr>
              <w:t>号厂房</w:t>
            </w:r>
            <w:r>
              <w:rPr>
                <w:rFonts w:hint="eastAsia" w:ascii="Times New Roman" w:cs="Times New Roman"/>
                <w:kern w:val="24"/>
                <w:sz w:val="21"/>
                <w:szCs w:val="21"/>
                <w:highlight w:val="none"/>
              </w:rPr>
              <w:t>西</w:t>
            </w:r>
            <w:r>
              <w:rPr>
                <w:rFonts w:hint="default" w:ascii="Times New Roman" w:cs="Times New Roman"/>
                <w:kern w:val="24"/>
                <w:sz w:val="21"/>
                <w:szCs w:val="21"/>
                <w:highlight w:val="none"/>
              </w:rPr>
              <w:t>侧</w:t>
            </w:r>
            <w:r>
              <w:rPr>
                <w:rFonts w:hint="eastAsia" w:ascii="Times New Roman" w:hAnsi="Times New Roman" w:cs="Times New Roman"/>
                <w:kern w:val="24"/>
                <w:sz w:val="21"/>
                <w:szCs w:val="21"/>
                <w:highlight w:val="none"/>
              </w:rPr>
              <w:t>6</w:t>
            </w:r>
            <w:r>
              <w:rPr>
                <w:rFonts w:hint="default" w:ascii="Times New Roman" w:hAnsi="Times New Roman" w:cs="Times New Roman"/>
                <w:kern w:val="24"/>
                <w:sz w:val="21"/>
                <w:szCs w:val="21"/>
                <w:highlight w:val="none"/>
              </w:rPr>
              <w:t>0m</w:t>
            </w:r>
            <w:r>
              <w:rPr>
                <w:rFonts w:hint="default" w:ascii="Times New Roman" w:cs="Times New Roman"/>
                <w:kern w:val="24"/>
                <w:sz w:val="21"/>
                <w:szCs w:val="21"/>
                <w:highlight w:val="none"/>
              </w:rPr>
              <w:t>处</w:t>
            </w:r>
            <w:bookmarkEnd w:id="466"/>
          </w:p>
        </w:tc>
        <w:tc>
          <w:tcPr>
            <w:tcW w:w="402" w:type="pct"/>
            <w:vMerge w:val="restart"/>
            <w:tcBorders>
              <w:tl2br w:val="nil"/>
              <w:tr2bl w:val="nil"/>
            </w:tcBorders>
            <w:vAlign w:val="center"/>
          </w:tcPr>
          <w:p w14:paraId="2020902F">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bookmarkStart w:id="467" w:name="_Toc19989"/>
            <w:r>
              <w:rPr>
                <w:rFonts w:hint="eastAsia" w:ascii="Times New Roman" w:hAnsi="Times New Roman" w:cs="Times New Roman"/>
                <w:kern w:val="2"/>
                <w:sz w:val="21"/>
                <w:szCs w:val="21"/>
                <w:highlight w:val="none"/>
              </w:rPr>
              <w:t>60</w:t>
            </w:r>
            <w:r>
              <w:rPr>
                <w:rFonts w:hint="default" w:ascii="Times New Roman" w:hAnsi="Times New Roman" w:cs="Times New Roman"/>
                <w:kern w:val="24"/>
                <w:sz w:val="21"/>
                <w:szCs w:val="21"/>
                <w:highlight w:val="none"/>
              </w:rPr>
              <w:t>m</w:t>
            </w:r>
            <w:r>
              <w:rPr>
                <w:rFonts w:hint="default" w:ascii="Times New Roman" w:hAnsi="Times New Roman" w:cs="Times New Roman"/>
                <w:kern w:val="24"/>
                <w:sz w:val="21"/>
                <w:szCs w:val="21"/>
                <w:highlight w:val="none"/>
                <w:vertAlign w:val="superscript"/>
              </w:rPr>
              <w:t>2</w:t>
            </w:r>
            <w:bookmarkEnd w:id="467"/>
          </w:p>
        </w:tc>
        <w:tc>
          <w:tcPr>
            <w:tcW w:w="403" w:type="pct"/>
            <w:vMerge w:val="restart"/>
            <w:tcBorders>
              <w:tl2br w:val="nil"/>
              <w:tr2bl w:val="nil"/>
            </w:tcBorders>
            <w:vAlign w:val="center"/>
          </w:tcPr>
          <w:p w14:paraId="6986A24C">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bookmarkStart w:id="468" w:name="_Toc4298"/>
            <w:r>
              <w:rPr>
                <w:rFonts w:hint="eastAsia" w:ascii="Times New Roman" w:hAnsi="Times New Roman" w:cs="Times New Roman"/>
                <w:kern w:val="2"/>
                <w:sz w:val="21"/>
                <w:szCs w:val="21"/>
                <w:highlight w:val="none"/>
              </w:rPr>
              <w:t>8.5</w:t>
            </w:r>
          </w:p>
        </w:tc>
        <w:tc>
          <w:tcPr>
            <w:tcW w:w="622" w:type="pct"/>
            <w:tcBorders>
              <w:tl2br w:val="nil"/>
              <w:tr2bl w:val="nil"/>
            </w:tcBorders>
            <w:vAlign w:val="center"/>
          </w:tcPr>
          <w:p w14:paraId="669DAFC0">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r>
              <w:rPr>
                <w:rFonts w:hint="default" w:ascii="Times New Roman" w:cs="Times New Roman"/>
                <w:kern w:val="2"/>
                <w:sz w:val="21"/>
                <w:szCs w:val="21"/>
                <w:highlight w:val="none"/>
              </w:rPr>
              <w:t>桶装封闭贮存</w:t>
            </w:r>
            <w:bookmarkEnd w:id="468"/>
          </w:p>
        </w:tc>
        <w:tc>
          <w:tcPr>
            <w:tcW w:w="500" w:type="pct"/>
            <w:tcBorders>
              <w:tl2br w:val="nil"/>
              <w:tr2bl w:val="nil"/>
            </w:tcBorders>
            <w:vAlign w:val="center"/>
          </w:tcPr>
          <w:p w14:paraId="6ADC4B14">
            <w:pPr>
              <w:keepNext w:val="0"/>
              <w:keepLines w:val="0"/>
              <w:suppressLineNumbers w:val="0"/>
              <w:wordWrap/>
              <w:autoSpaceDE w:val="0"/>
              <w:autoSpaceDN w:val="0"/>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0.5</w:t>
            </w:r>
          </w:p>
        </w:tc>
        <w:tc>
          <w:tcPr>
            <w:tcW w:w="408" w:type="pct"/>
            <w:tcBorders>
              <w:tl2br w:val="nil"/>
              <w:tr2bl w:val="nil"/>
            </w:tcBorders>
            <w:vAlign w:val="center"/>
          </w:tcPr>
          <w:p w14:paraId="5FE8B081">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r>
              <w:rPr>
                <w:rFonts w:hint="eastAsia" w:ascii="Times New Roman" w:hAnsi="Times New Roman" w:cs="Times New Roman"/>
                <w:kern w:val="2"/>
                <w:sz w:val="21"/>
                <w:szCs w:val="21"/>
                <w:highlight w:val="none"/>
              </w:rPr>
              <w:t>10天</w:t>
            </w:r>
          </w:p>
        </w:tc>
      </w:tr>
      <w:tr w14:paraId="34E6CEC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5" w:hRule="atLeast"/>
        </w:trPr>
        <w:tc>
          <w:tcPr>
            <w:tcW w:w="239" w:type="pct"/>
            <w:tcBorders>
              <w:tl2br w:val="nil"/>
              <w:tr2bl w:val="nil"/>
            </w:tcBorders>
            <w:vAlign w:val="center"/>
          </w:tcPr>
          <w:p w14:paraId="1E41F337">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bookmarkStart w:id="469" w:name="_Toc28368"/>
            <w:r>
              <w:rPr>
                <w:rFonts w:hint="default" w:ascii="Times New Roman" w:hAnsi="Times New Roman" w:cs="Times New Roman"/>
                <w:kern w:val="2"/>
                <w:sz w:val="21"/>
                <w:szCs w:val="21"/>
                <w:highlight w:val="none"/>
              </w:rPr>
              <w:t>2</w:t>
            </w:r>
            <w:bookmarkEnd w:id="469"/>
          </w:p>
        </w:tc>
        <w:tc>
          <w:tcPr>
            <w:tcW w:w="230" w:type="pct"/>
            <w:vMerge w:val="continue"/>
            <w:tcBorders>
              <w:tl2br w:val="nil"/>
              <w:tr2bl w:val="nil"/>
            </w:tcBorders>
            <w:vAlign w:val="center"/>
          </w:tcPr>
          <w:p w14:paraId="2B8A6123">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p>
        </w:tc>
        <w:tc>
          <w:tcPr>
            <w:tcW w:w="626" w:type="pct"/>
            <w:tcBorders>
              <w:tl2br w:val="nil"/>
              <w:tr2bl w:val="nil"/>
            </w:tcBorders>
            <w:vAlign w:val="center"/>
          </w:tcPr>
          <w:p w14:paraId="57659BCD">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default" w:ascii="Times New Roman" w:cs="Times New Roman" w:hAnsiTheme="minorEastAsia" w:eastAsiaTheme="minorEastAsia"/>
                <w:spacing w:val="-3"/>
                <w:kern w:val="0"/>
                <w:sz w:val="21"/>
                <w:szCs w:val="21"/>
                <w:highlight w:val="none"/>
              </w:rPr>
              <w:t>废润滑</w:t>
            </w:r>
            <w:r>
              <w:rPr>
                <w:rFonts w:hint="default" w:ascii="Times New Roman" w:cs="Times New Roman" w:hAnsiTheme="minorEastAsia" w:eastAsiaTheme="minorEastAsia"/>
                <w:spacing w:val="-4"/>
                <w:kern w:val="0"/>
                <w:sz w:val="21"/>
                <w:szCs w:val="21"/>
                <w:highlight w:val="none"/>
              </w:rPr>
              <w:t>油</w:t>
            </w:r>
          </w:p>
        </w:tc>
        <w:tc>
          <w:tcPr>
            <w:tcW w:w="327" w:type="pct"/>
            <w:tcBorders>
              <w:tl2br w:val="nil"/>
              <w:tr2bl w:val="nil"/>
            </w:tcBorders>
            <w:vAlign w:val="center"/>
          </w:tcPr>
          <w:p w14:paraId="5E941B70">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spacing w:val="-2"/>
                <w:kern w:val="0"/>
                <w:sz w:val="21"/>
                <w:szCs w:val="21"/>
                <w:highlight w:val="none"/>
              </w:rPr>
              <w:t>HW08</w:t>
            </w:r>
          </w:p>
        </w:tc>
        <w:tc>
          <w:tcPr>
            <w:tcW w:w="689" w:type="pct"/>
            <w:tcBorders>
              <w:tl2br w:val="nil"/>
              <w:tr2bl w:val="nil"/>
            </w:tcBorders>
            <w:vAlign w:val="center"/>
          </w:tcPr>
          <w:p w14:paraId="24B18C4E">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spacing w:val="-2"/>
                <w:kern w:val="0"/>
                <w:sz w:val="21"/>
                <w:szCs w:val="21"/>
                <w:highlight w:val="none"/>
              </w:rPr>
              <w:t>900-249-08</w:t>
            </w:r>
          </w:p>
        </w:tc>
        <w:tc>
          <w:tcPr>
            <w:tcW w:w="551" w:type="pct"/>
            <w:vMerge w:val="continue"/>
            <w:tcBorders>
              <w:tl2br w:val="nil"/>
              <w:tr2bl w:val="nil"/>
            </w:tcBorders>
            <w:vAlign w:val="center"/>
          </w:tcPr>
          <w:p w14:paraId="1FA4D8D3">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p>
        </w:tc>
        <w:tc>
          <w:tcPr>
            <w:tcW w:w="402" w:type="pct"/>
            <w:vMerge w:val="continue"/>
            <w:tcBorders>
              <w:tl2br w:val="nil"/>
              <w:tr2bl w:val="nil"/>
            </w:tcBorders>
            <w:vAlign w:val="center"/>
          </w:tcPr>
          <w:p w14:paraId="318D3B31">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p>
        </w:tc>
        <w:tc>
          <w:tcPr>
            <w:tcW w:w="403" w:type="pct"/>
            <w:vMerge w:val="continue"/>
            <w:tcBorders>
              <w:tl2br w:val="nil"/>
              <w:tr2bl w:val="nil"/>
            </w:tcBorders>
            <w:vAlign w:val="center"/>
          </w:tcPr>
          <w:p w14:paraId="6E153090">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p>
        </w:tc>
        <w:tc>
          <w:tcPr>
            <w:tcW w:w="622" w:type="pct"/>
            <w:tcBorders>
              <w:tl2br w:val="nil"/>
              <w:tr2bl w:val="nil"/>
            </w:tcBorders>
            <w:vAlign w:val="center"/>
          </w:tcPr>
          <w:p w14:paraId="19DA531C">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r>
              <w:rPr>
                <w:rFonts w:hint="default" w:ascii="Times New Roman" w:cs="Times New Roman"/>
                <w:kern w:val="2"/>
                <w:sz w:val="21"/>
                <w:szCs w:val="21"/>
                <w:highlight w:val="none"/>
              </w:rPr>
              <w:t>桶装封闭贮存</w:t>
            </w:r>
          </w:p>
        </w:tc>
        <w:tc>
          <w:tcPr>
            <w:tcW w:w="500" w:type="pct"/>
            <w:tcBorders>
              <w:tl2br w:val="nil"/>
              <w:tr2bl w:val="nil"/>
            </w:tcBorders>
            <w:vAlign w:val="center"/>
          </w:tcPr>
          <w:p w14:paraId="1392ADE8">
            <w:pPr>
              <w:keepNext w:val="0"/>
              <w:keepLines w:val="0"/>
              <w:suppressLineNumbers w:val="0"/>
              <w:wordWrap/>
              <w:autoSpaceDE w:val="0"/>
              <w:autoSpaceDN w:val="0"/>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kern w:val="0"/>
                <w:sz w:val="21"/>
                <w:szCs w:val="21"/>
                <w:highlight w:val="none"/>
              </w:rPr>
              <w:t>0.</w:t>
            </w:r>
            <w:r>
              <w:rPr>
                <w:rFonts w:hint="eastAsia" w:ascii="Times New Roman" w:hAnsi="Times New Roman" w:cs="Times New Roman" w:eastAsiaTheme="minorEastAsia"/>
                <w:kern w:val="0"/>
                <w:sz w:val="21"/>
                <w:szCs w:val="21"/>
                <w:highlight w:val="none"/>
              </w:rPr>
              <w:t>0</w:t>
            </w:r>
            <w:r>
              <w:rPr>
                <w:rFonts w:hint="default" w:ascii="Times New Roman" w:hAnsi="Times New Roman" w:cs="Times New Roman" w:eastAsiaTheme="minorEastAsia"/>
                <w:kern w:val="0"/>
                <w:sz w:val="21"/>
                <w:szCs w:val="21"/>
                <w:highlight w:val="none"/>
              </w:rPr>
              <w:t>4</w:t>
            </w:r>
          </w:p>
        </w:tc>
        <w:tc>
          <w:tcPr>
            <w:tcW w:w="408" w:type="pct"/>
            <w:tcBorders>
              <w:tl2br w:val="nil"/>
              <w:tr2bl w:val="nil"/>
            </w:tcBorders>
            <w:vAlign w:val="center"/>
          </w:tcPr>
          <w:p w14:paraId="5618E64D">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r>
              <w:rPr>
                <w:rFonts w:hint="eastAsia" w:ascii="Times New Roman" w:hAnsi="Times New Roman" w:cs="Times New Roman"/>
                <w:kern w:val="2"/>
                <w:sz w:val="21"/>
                <w:szCs w:val="21"/>
                <w:highlight w:val="none"/>
              </w:rPr>
              <w:t>10天</w:t>
            </w:r>
          </w:p>
        </w:tc>
      </w:tr>
      <w:tr w14:paraId="02F47D0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5" w:hRule="atLeast"/>
        </w:trPr>
        <w:tc>
          <w:tcPr>
            <w:tcW w:w="239" w:type="pct"/>
            <w:tcBorders>
              <w:tl2br w:val="nil"/>
              <w:tr2bl w:val="nil"/>
            </w:tcBorders>
            <w:vAlign w:val="center"/>
          </w:tcPr>
          <w:p w14:paraId="47E7DD03">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bookmarkStart w:id="470" w:name="_Toc32638"/>
            <w:r>
              <w:rPr>
                <w:rFonts w:hint="default" w:ascii="Times New Roman" w:hAnsi="Times New Roman" w:cs="Times New Roman"/>
                <w:kern w:val="2"/>
                <w:sz w:val="21"/>
                <w:szCs w:val="21"/>
                <w:highlight w:val="none"/>
              </w:rPr>
              <w:t>3</w:t>
            </w:r>
            <w:bookmarkEnd w:id="470"/>
          </w:p>
        </w:tc>
        <w:tc>
          <w:tcPr>
            <w:tcW w:w="230" w:type="pct"/>
            <w:vMerge w:val="continue"/>
            <w:tcBorders>
              <w:tl2br w:val="nil"/>
              <w:tr2bl w:val="nil"/>
            </w:tcBorders>
            <w:vAlign w:val="center"/>
          </w:tcPr>
          <w:p w14:paraId="14D5396E">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p>
        </w:tc>
        <w:tc>
          <w:tcPr>
            <w:tcW w:w="626" w:type="pct"/>
            <w:tcBorders>
              <w:tl2br w:val="nil"/>
              <w:tr2bl w:val="nil"/>
            </w:tcBorders>
            <w:vAlign w:val="center"/>
          </w:tcPr>
          <w:p w14:paraId="648836F6">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spacing w:val="-3"/>
                <w:kern w:val="0"/>
                <w:sz w:val="21"/>
                <w:szCs w:val="21"/>
                <w:highlight w:val="none"/>
              </w:rPr>
            </w:pPr>
            <w:r>
              <w:rPr>
                <w:rFonts w:hint="default" w:ascii="Times New Roman" w:cs="Times New Roman" w:hAnsiTheme="minorEastAsia" w:eastAsiaTheme="minorEastAsia"/>
                <w:spacing w:val="-4"/>
                <w:kern w:val="0"/>
                <w:sz w:val="21"/>
                <w:szCs w:val="21"/>
                <w:highlight w:val="none"/>
              </w:rPr>
              <w:t>废机</w:t>
            </w:r>
            <w:r>
              <w:rPr>
                <w:rFonts w:hint="default" w:ascii="Times New Roman" w:cs="Times New Roman" w:hAnsiTheme="minorEastAsia" w:eastAsiaTheme="minorEastAsia"/>
                <w:kern w:val="0"/>
                <w:sz w:val="21"/>
                <w:szCs w:val="21"/>
                <w:highlight w:val="none"/>
              </w:rPr>
              <w:t>油</w:t>
            </w:r>
          </w:p>
        </w:tc>
        <w:tc>
          <w:tcPr>
            <w:tcW w:w="327" w:type="pct"/>
            <w:tcBorders>
              <w:tl2br w:val="nil"/>
              <w:tr2bl w:val="nil"/>
            </w:tcBorders>
            <w:vAlign w:val="center"/>
          </w:tcPr>
          <w:p w14:paraId="0C100DB6">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spacing w:val="-2"/>
                <w:kern w:val="0"/>
                <w:sz w:val="21"/>
                <w:szCs w:val="21"/>
                <w:highlight w:val="none"/>
              </w:rPr>
              <w:t>HW08</w:t>
            </w:r>
          </w:p>
        </w:tc>
        <w:tc>
          <w:tcPr>
            <w:tcW w:w="689" w:type="pct"/>
            <w:tcBorders>
              <w:tl2br w:val="nil"/>
              <w:tr2bl w:val="nil"/>
            </w:tcBorders>
            <w:vAlign w:val="center"/>
          </w:tcPr>
          <w:p w14:paraId="44A08629">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spacing w:val="-2"/>
                <w:kern w:val="0"/>
                <w:sz w:val="21"/>
                <w:szCs w:val="21"/>
                <w:highlight w:val="none"/>
              </w:rPr>
              <w:t>900-249-08</w:t>
            </w:r>
          </w:p>
        </w:tc>
        <w:tc>
          <w:tcPr>
            <w:tcW w:w="551" w:type="pct"/>
            <w:vMerge w:val="continue"/>
            <w:tcBorders>
              <w:tl2br w:val="nil"/>
              <w:tr2bl w:val="nil"/>
            </w:tcBorders>
            <w:vAlign w:val="center"/>
          </w:tcPr>
          <w:p w14:paraId="1B579CC3">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p>
        </w:tc>
        <w:tc>
          <w:tcPr>
            <w:tcW w:w="402" w:type="pct"/>
            <w:vMerge w:val="continue"/>
            <w:tcBorders>
              <w:tl2br w:val="nil"/>
              <w:tr2bl w:val="nil"/>
            </w:tcBorders>
            <w:vAlign w:val="center"/>
          </w:tcPr>
          <w:p w14:paraId="6757D330">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p>
        </w:tc>
        <w:tc>
          <w:tcPr>
            <w:tcW w:w="403" w:type="pct"/>
            <w:vMerge w:val="continue"/>
            <w:tcBorders>
              <w:tl2br w:val="nil"/>
              <w:tr2bl w:val="nil"/>
            </w:tcBorders>
            <w:vAlign w:val="center"/>
          </w:tcPr>
          <w:p w14:paraId="105D7141">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p>
        </w:tc>
        <w:tc>
          <w:tcPr>
            <w:tcW w:w="622" w:type="pct"/>
            <w:tcBorders>
              <w:tl2br w:val="nil"/>
              <w:tr2bl w:val="nil"/>
            </w:tcBorders>
            <w:vAlign w:val="center"/>
          </w:tcPr>
          <w:p w14:paraId="734A2EA5">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r>
              <w:rPr>
                <w:rFonts w:hint="default" w:ascii="Times New Roman" w:cs="Times New Roman"/>
                <w:kern w:val="2"/>
                <w:sz w:val="21"/>
                <w:szCs w:val="21"/>
                <w:highlight w:val="none"/>
              </w:rPr>
              <w:t>桶装封闭贮存</w:t>
            </w:r>
          </w:p>
        </w:tc>
        <w:tc>
          <w:tcPr>
            <w:tcW w:w="500" w:type="pct"/>
            <w:tcBorders>
              <w:tl2br w:val="nil"/>
              <w:tr2bl w:val="nil"/>
            </w:tcBorders>
            <w:vAlign w:val="center"/>
          </w:tcPr>
          <w:p w14:paraId="1843D391">
            <w:pPr>
              <w:keepNext w:val="0"/>
              <w:keepLines w:val="0"/>
              <w:suppressLineNumbers w:val="0"/>
              <w:wordWrap/>
              <w:autoSpaceDE w:val="0"/>
              <w:autoSpaceDN w:val="0"/>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4.6</w:t>
            </w:r>
          </w:p>
        </w:tc>
        <w:tc>
          <w:tcPr>
            <w:tcW w:w="408" w:type="pct"/>
            <w:tcBorders>
              <w:tl2br w:val="nil"/>
              <w:tr2bl w:val="nil"/>
            </w:tcBorders>
            <w:vAlign w:val="center"/>
          </w:tcPr>
          <w:p w14:paraId="2A7A266E">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r>
              <w:rPr>
                <w:rFonts w:hint="eastAsia" w:ascii="Times New Roman" w:hAnsi="Times New Roman" w:cs="Times New Roman"/>
                <w:kern w:val="2"/>
                <w:sz w:val="21"/>
                <w:szCs w:val="21"/>
                <w:highlight w:val="none"/>
              </w:rPr>
              <w:t>10天</w:t>
            </w:r>
          </w:p>
        </w:tc>
      </w:tr>
      <w:tr w14:paraId="3059E98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5" w:hRule="atLeast"/>
        </w:trPr>
        <w:tc>
          <w:tcPr>
            <w:tcW w:w="239" w:type="pct"/>
            <w:tcBorders>
              <w:tl2br w:val="nil"/>
              <w:tr2bl w:val="nil"/>
            </w:tcBorders>
            <w:vAlign w:val="center"/>
          </w:tcPr>
          <w:p w14:paraId="743E785E">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bookmarkStart w:id="471" w:name="_Toc13732"/>
            <w:r>
              <w:rPr>
                <w:rFonts w:hint="default" w:ascii="Times New Roman" w:hAnsi="Times New Roman" w:cs="Times New Roman"/>
                <w:kern w:val="2"/>
                <w:sz w:val="21"/>
                <w:szCs w:val="21"/>
                <w:highlight w:val="none"/>
              </w:rPr>
              <w:t>4</w:t>
            </w:r>
            <w:bookmarkEnd w:id="471"/>
          </w:p>
        </w:tc>
        <w:tc>
          <w:tcPr>
            <w:tcW w:w="230" w:type="pct"/>
            <w:vMerge w:val="continue"/>
            <w:tcBorders>
              <w:tl2br w:val="nil"/>
              <w:tr2bl w:val="nil"/>
            </w:tcBorders>
            <w:vAlign w:val="center"/>
          </w:tcPr>
          <w:p w14:paraId="6A4B4DED">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p>
        </w:tc>
        <w:tc>
          <w:tcPr>
            <w:tcW w:w="626" w:type="pct"/>
            <w:tcBorders>
              <w:tl2br w:val="nil"/>
              <w:tr2bl w:val="nil"/>
            </w:tcBorders>
            <w:vAlign w:val="center"/>
          </w:tcPr>
          <w:p w14:paraId="016B070B">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default" w:ascii="Times New Roman" w:cs="Times New Roman" w:hAnsiTheme="minorEastAsia" w:eastAsiaTheme="minorEastAsia"/>
                <w:spacing w:val="-3"/>
                <w:kern w:val="0"/>
                <w:sz w:val="21"/>
                <w:szCs w:val="21"/>
                <w:highlight w:val="none"/>
              </w:rPr>
              <w:t>含油废抹布</w:t>
            </w:r>
          </w:p>
        </w:tc>
        <w:tc>
          <w:tcPr>
            <w:tcW w:w="327" w:type="pct"/>
            <w:tcBorders>
              <w:tl2br w:val="nil"/>
              <w:tr2bl w:val="nil"/>
            </w:tcBorders>
            <w:vAlign w:val="center"/>
          </w:tcPr>
          <w:p w14:paraId="6FD97176">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spacing w:val="-2"/>
                <w:kern w:val="0"/>
                <w:sz w:val="21"/>
                <w:szCs w:val="21"/>
                <w:highlight w:val="none"/>
              </w:rPr>
              <w:t>HW49</w:t>
            </w:r>
          </w:p>
        </w:tc>
        <w:tc>
          <w:tcPr>
            <w:tcW w:w="689" w:type="pct"/>
            <w:tcBorders>
              <w:tl2br w:val="nil"/>
              <w:tr2bl w:val="nil"/>
            </w:tcBorders>
            <w:vAlign w:val="center"/>
          </w:tcPr>
          <w:p w14:paraId="47E49B1B">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spacing w:val="-2"/>
                <w:kern w:val="0"/>
                <w:sz w:val="21"/>
                <w:szCs w:val="21"/>
                <w:highlight w:val="none"/>
              </w:rPr>
              <w:t>900-041-49</w:t>
            </w:r>
          </w:p>
        </w:tc>
        <w:tc>
          <w:tcPr>
            <w:tcW w:w="551" w:type="pct"/>
            <w:vMerge w:val="continue"/>
            <w:tcBorders>
              <w:tl2br w:val="nil"/>
              <w:tr2bl w:val="nil"/>
            </w:tcBorders>
            <w:vAlign w:val="center"/>
          </w:tcPr>
          <w:p w14:paraId="6A8083DF">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p>
        </w:tc>
        <w:tc>
          <w:tcPr>
            <w:tcW w:w="402" w:type="pct"/>
            <w:vMerge w:val="continue"/>
            <w:tcBorders>
              <w:tl2br w:val="nil"/>
              <w:tr2bl w:val="nil"/>
            </w:tcBorders>
            <w:vAlign w:val="center"/>
          </w:tcPr>
          <w:p w14:paraId="57D84856">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p>
        </w:tc>
        <w:tc>
          <w:tcPr>
            <w:tcW w:w="403" w:type="pct"/>
            <w:vMerge w:val="continue"/>
            <w:tcBorders>
              <w:tl2br w:val="nil"/>
              <w:tr2bl w:val="nil"/>
            </w:tcBorders>
            <w:vAlign w:val="center"/>
          </w:tcPr>
          <w:p w14:paraId="70E0EE0B">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p>
        </w:tc>
        <w:tc>
          <w:tcPr>
            <w:tcW w:w="622" w:type="pct"/>
            <w:tcBorders>
              <w:tl2br w:val="nil"/>
              <w:tr2bl w:val="nil"/>
            </w:tcBorders>
            <w:vAlign w:val="center"/>
          </w:tcPr>
          <w:p w14:paraId="17572A5D">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r>
              <w:rPr>
                <w:rFonts w:hint="default" w:ascii="Times New Roman" w:cs="Times New Roman"/>
                <w:kern w:val="2"/>
                <w:sz w:val="21"/>
                <w:szCs w:val="21"/>
                <w:highlight w:val="none"/>
              </w:rPr>
              <w:t>桶装封闭贮存</w:t>
            </w:r>
          </w:p>
        </w:tc>
        <w:tc>
          <w:tcPr>
            <w:tcW w:w="500" w:type="pct"/>
            <w:tcBorders>
              <w:tl2br w:val="nil"/>
              <w:tr2bl w:val="nil"/>
            </w:tcBorders>
            <w:vAlign w:val="center"/>
          </w:tcPr>
          <w:p w14:paraId="18FBB2A8">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0.25</w:t>
            </w:r>
          </w:p>
        </w:tc>
        <w:tc>
          <w:tcPr>
            <w:tcW w:w="408" w:type="pct"/>
            <w:tcBorders>
              <w:tl2br w:val="nil"/>
              <w:tr2bl w:val="nil"/>
            </w:tcBorders>
            <w:vAlign w:val="center"/>
          </w:tcPr>
          <w:p w14:paraId="477BE51F">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r>
              <w:rPr>
                <w:rFonts w:hint="eastAsia" w:ascii="Times New Roman" w:hAnsi="Times New Roman" w:cs="Times New Roman"/>
                <w:kern w:val="2"/>
                <w:sz w:val="21"/>
                <w:szCs w:val="21"/>
                <w:highlight w:val="none"/>
              </w:rPr>
              <w:t>10天</w:t>
            </w:r>
          </w:p>
        </w:tc>
      </w:tr>
      <w:tr w14:paraId="13FE90C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5" w:hRule="atLeast"/>
        </w:trPr>
        <w:tc>
          <w:tcPr>
            <w:tcW w:w="239" w:type="pct"/>
            <w:tcBorders>
              <w:tl2br w:val="nil"/>
              <w:tr2bl w:val="nil"/>
            </w:tcBorders>
            <w:vAlign w:val="center"/>
          </w:tcPr>
          <w:p w14:paraId="326612B1">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bookmarkStart w:id="472" w:name="_Toc24909"/>
            <w:r>
              <w:rPr>
                <w:rFonts w:hint="default" w:ascii="Times New Roman" w:hAnsi="Times New Roman" w:cs="Times New Roman"/>
                <w:kern w:val="2"/>
                <w:sz w:val="21"/>
                <w:szCs w:val="21"/>
                <w:highlight w:val="none"/>
              </w:rPr>
              <w:t>5</w:t>
            </w:r>
            <w:bookmarkEnd w:id="472"/>
          </w:p>
        </w:tc>
        <w:tc>
          <w:tcPr>
            <w:tcW w:w="230" w:type="pct"/>
            <w:vMerge w:val="continue"/>
            <w:tcBorders>
              <w:tl2br w:val="nil"/>
              <w:tr2bl w:val="nil"/>
            </w:tcBorders>
            <w:vAlign w:val="center"/>
          </w:tcPr>
          <w:p w14:paraId="106AA23B">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p>
        </w:tc>
        <w:tc>
          <w:tcPr>
            <w:tcW w:w="626" w:type="pct"/>
            <w:tcBorders>
              <w:tl2br w:val="nil"/>
              <w:tr2bl w:val="nil"/>
            </w:tcBorders>
            <w:vAlign w:val="center"/>
          </w:tcPr>
          <w:p w14:paraId="7597F6A5">
            <w:pPr>
              <w:keepNext w:val="0"/>
              <w:keepLines w:val="0"/>
              <w:widowControl w:val="0"/>
              <w:suppressLineNumbers w:val="0"/>
              <w:autoSpaceDE w:val="0"/>
              <w:autoSpaceDN w:val="0"/>
              <w:spacing w:before="0" w:beforeAutospacing="0" w:after="0" w:afterAutospacing="0" w:line="0" w:lineRule="atLeast"/>
              <w:ind w:left="0" w:right="0"/>
              <w:contextualSpacing/>
              <w:jc w:val="center"/>
              <w:rPr>
                <w:rFonts w:hint="default" w:ascii="Times New Roman" w:hAnsi="Times New Roman" w:cs="Times New Roman" w:eastAsiaTheme="minorEastAsia"/>
                <w:b w:val="0"/>
                <w:bCs/>
                <w:color w:val="auto"/>
                <w:kern w:val="0"/>
                <w:sz w:val="21"/>
                <w:szCs w:val="21"/>
                <w:highlight w:val="none"/>
                <w:lang w:val="en-US" w:eastAsia="zh-CN" w:bidi="ar-SA"/>
              </w:rPr>
            </w:pPr>
            <w:r>
              <w:rPr>
                <w:rFonts w:hint="default" w:ascii="Times New Roman" w:cs="Times New Roman" w:hAnsiTheme="minorEastAsia" w:eastAsiaTheme="minorEastAsia"/>
                <w:b w:val="0"/>
                <w:bCs/>
                <w:color w:val="auto"/>
                <w:kern w:val="0"/>
                <w:sz w:val="21"/>
                <w:szCs w:val="21"/>
                <w:highlight w:val="none"/>
                <w:lang w:val="en-US" w:eastAsia="zh-CN" w:bidi="ar-SA"/>
              </w:rPr>
              <w:t>油泥</w:t>
            </w:r>
          </w:p>
        </w:tc>
        <w:tc>
          <w:tcPr>
            <w:tcW w:w="327" w:type="pct"/>
            <w:tcBorders>
              <w:tl2br w:val="nil"/>
              <w:tr2bl w:val="nil"/>
            </w:tcBorders>
            <w:vAlign w:val="center"/>
          </w:tcPr>
          <w:p w14:paraId="7EA68358">
            <w:pPr>
              <w:keepNext w:val="0"/>
              <w:keepLines w:val="0"/>
              <w:widowControl w:val="0"/>
              <w:suppressLineNumbers w:val="0"/>
              <w:autoSpaceDE w:val="0"/>
              <w:autoSpaceDN w:val="0"/>
              <w:spacing w:before="0" w:beforeAutospacing="0" w:after="0" w:afterAutospacing="0" w:line="0" w:lineRule="atLeast"/>
              <w:ind w:left="0" w:right="0"/>
              <w:contextualSpacing/>
              <w:jc w:val="center"/>
              <w:rPr>
                <w:rFonts w:hint="default" w:ascii="Times New Roman" w:hAnsi="Times New Roman" w:cs="Times New Roman" w:eastAsiaTheme="minorEastAsia"/>
                <w:b w:val="0"/>
                <w:bCs/>
                <w:color w:val="auto"/>
                <w:kern w:val="0"/>
                <w:sz w:val="21"/>
                <w:szCs w:val="21"/>
                <w:highlight w:val="none"/>
                <w:lang w:val="en-US" w:eastAsia="zh-CN" w:bidi="ar-SA"/>
              </w:rPr>
            </w:pPr>
            <w:r>
              <w:rPr>
                <w:rFonts w:hint="default" w:ascii="Times New Roman" w:hAnsi="Times New Roman" w:cs="Times New Roman" w:eastAsiaTheme="minorEastAsia"/>
                <w:b w:val="0"/>
                <w:bCs/>
                <w:color w:val="auto"/>
                <w:kern w:val="0"/>
                <w:sz w:val="21"/>
                <w:szCs w:val="21"/>
                <w:highlight w:val="none"/>
                <w:lang w:val="en-US" w:eastAsia="zh-CN" w:bidi="ar-SA"/>
              </w:rPr>
              <w:t>HW08</w:t>
            </w:r>
          </w:p>
        </w:tc>
        <w:tc>
          <w:tcPr>
            <w:tcW w:w="689" w:type="pct"/>
            <w:tcBorders>
              <w:tl2br w:val="nil"/>
              <w:tr2bl w:val="nil"/>
            </w:tcBorders>
            <w:vAlign w:val="center"/>
          </w:tcPr>
          <w:p w14:paraId="0B5B845F">
            <w:pPr>
              <w:keepNext w:val="0"/>
              <w:keepLines w:val="0"/>
              <w:widowControl w:val="0"/>
              <w:suppressLineNumbers w:val="0"/>
              <w:autoSpaceDE w:val="0"/>
              <w:autoSpaceDN w:val="0"/>
              <w:spacing w:before="0" w:beforeAutospacing="0" w:after="0" w:afterAutospacing="0" w:line="0" w:lineRule="atLeast"/>
              <w:ind w:left="0" w:right="0"/>
              <w:contextualSpacing/>
              <w:jc w:val="center"/>
              <w:rPr>
                <w:rFonts w:hint="default" w:ascii="Times New Roman" w:hAnsi="Times New Roman" w:cs="Times New Roman" w:eastAsiaTheme="minorEastAsia"/>
                <w:b w:val="0"/>
                <w:bCs/>
                <w:color w:val="auto"/>
                <w:kern w:val="0"/>
                <w:sz w:val="21"/>
                <w:szCs w:val="21"/>
                <w:highlight w:val="none"/>
                <w:lang w:val="en-US" w:eastAsia="zh-CN" w:bidi="ar-SA"/>
              </w:rPr>
            </w:pPr>
            <w:r>
              <w:rPr>
                <w:rFonts w:hint="default" w:ascii="Times New Roman" w:hAnsi="Times New Roman" w:cs="Times New Roman" w:eastAsiaTheme="minorEastAsia"/>
                <w:b w:val="0"/>
                <w:bCs/>
                <w:color w:val="auto"/>
                <w:kern w:val="0"/>
                <w:sz w:val="21"/>
                <w:szCs w:val="21"/>
                <w:highlight w:val="none"/>
                <w:lang w:val="en-US" w:eastAsia="zh-CN" w:bidi="ar-SA"/>
              </w:rPr>
              <w:t>900-200-08</w:t>
            </w:r>
          </w:p>
        </w:tc>
        <w:tc>
          <w:tcPr>
            <w:tcW w:w="551" w:type="pct"/>
            <w:vMerge w:val="continue"/>
            <w:tcBorders>
              <w:tl2br w:val="nil"/>
              <w:tr2bl w:val="nil"/>
            </w:tcBorders>
            <w:vAlign w:val="center"/>
          </w:tcPr>
          <w:p w14:paraId="6CCF3EB6">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p>
        </w:tc>
        <w:tc>
          <w:tcPr>
            <w:tcW w:w="402" w:type="pct"/>
            <w:vMerge w:val="continue"/>
            <w:tcBorders>
              <w:tl2br w:val="nil"/>
              <w:tr2bl w:val="nil"/>
            </w:tcBorders>
            <w:vAlign w:val="center"/>
          </w:tcPr>
          <w:p w14:paraId="2E220893">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p>
        </w:tc>
        <w:tc>
          <w:tcPr>
            <w:tcW w:w="403" w:type="pct"/>
            <w:vMerge w:val="continue"/>
            <w:tcBorders>
              <w:tl2br w:val="nil"/>
              <w:tr2bl w:val="nil"/>
            </w:tcBorders>
            <w:vAlign w:val="center"/>
          </w:tcPr>
          <w:p w14:paraId="4A24AE37">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p>
        </w:tc>
        <w:tc>
          <w:tcPr>
            <w:tcW w:w="622" w:type="pct"/>
            <w:tcBorders>
              <w:tl2br w:val="nil"/>
              <w:tr2bl w:val="nil"/>
            </w:tcBorders>
            <w:vAlign w:val="center"/>
          </w:tcPr>
          <w:p w14:paraId="0B369648">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r>
              <w:rPr>
                <w:rFonts w:hint="default" w:ascii="Times New Roman" w:cs="Times New Roman"/>
                <w:kern w:val="2"/>
                <w:sz w:val="21"/>
                <w:szCs w:val="21"/>
                <w:highlight w:val="none"/>
              </w:rPr>
              <w:t>桶装封闭贮存</w:t>
            </w:r>
          </w:p>
        </w:tc>
        <w:tc>
          <w:tcPr>
            <w:tcW w:w="500" w:type="pct"/>
            <w:tcBorders>
              <w:tl2br w:val="nil"/>
              <w:tr2bl w:val="nil"/>
            </w:tcBorders>
            <w:vAlign w:val="center"/>
          </w:tcPr>
          <w:p w14:paraId="1FDB5938">
            <w:pPr>
              <w:keepNext w:val="0"/>
              <w:keepLines w:val="0"/>
              <w:widowControl w:val="0"/>
              <w:suppressLineNumbers w:val="0"/>
              <w:autoSpaceDE w:val="0"/>
              <w:autoSpaceDN w:val="0"/>
              <w:spacing w:before="0" w:beforeAutospacing="0" w:after="0" w:afterAutospacing="0" w:line="0" w:lineRule="atLeast"/>
              <w:ind w:left="0" w:right="0"/>
              <w:contextualSpacing/>
              <w:jc w:val="center"/>
              <w:rPr>
                <w:rFonts w:hint="default" w:ascii="Times New Roman" w:hAnsi="Times New Roman" w:cs="Times New Roman" w:eastAsiaTheme="minorEastAsia"/>
                <w:b w:val="0"/>
                <w:bCs/>
                <w:color w:val="auto"/>
                <w:kern w:val="0"/>
                <w:sz w:val="21"/>
                <w:szCs w:val="21"/>
                <w:highlight w:val="none"/>
                <w:lang w:val="en-US" w:eastAsia="zh-CN" w:bidi="ar-SA"/>
              </w:rPr>
            </w:pPr>
            <w:r>
              <w:rPr>
                <w:rFonts w:hint="eastAsia" w:ascii="Times New Roman" w:hAnsi="Times New Roman" w:cs="Times New Roman" w:eastAsiaTheme="minorEastAsia"/>
                <w:b w:val="0"/>
                <w:bCs/>
                <w:color w:val="auto"/>
                <w:kern w:val="0"/>
                <w:sz w:val="21"/>
                <w:szCs w:val="21"/>
                <w:highlight w:val="none"/>
                <w:lang w:val="en-US" w:eastAsia="zh-CN" w:bidi="ar-SA"/>
              </w:rPr>
              <w:t>0.</w:t>
            </w:r>
            <w:r>
              <w:rPr>
                <w:rFonts w:hint="default" w:ascii="Times New Roman" w:hAnsi="Times New Roman" w:cs="Times New Roman" w:eastAsiaTheme="minorEastAsia"/>
                <w:b w:val="0"/>
                <w:bCs/>
                <w:color w:val="auto"/>
                <w:kern w:val="0"/>
                <w:sz w:val="21"/>
                <w:szCs w:val="21"/>
                <w:highlight w:val="none"/>
                <w:lang w:val="en-US" w:eastAsia="zh-CN" w:bidi="ar-SA"/>
              </w:rPr>
              <w:t>5</w:t>
            </w:r>
          </w:p>
        </w:tc>
        <w:tc>
          <w:tcPr>
            <w:tcW w:w="408" w:type="pct"/>
            <w:tcBorders>
              <w:tl2br w:val="nil"/>
              <w:tr2bl w:val="nil"/>
            </w:tcBorders>
            <w:vAlign w:val="center"/>
          </w:tcPr>
          <w:p w14:paraId="314C6A22">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r>
              <w:rPr>
                <w:rFonts w:hint="eastAsia" w:ascii="Times New Roman" w:hAnsi="Times New Roman" w:cs="Times New Roman"/>
                <w:kern w:val="2"/>
                <w:sz w:val="21"/>
                <w:szCs w:val="21"/>
                <w:highlight w:val="none"/>
              </w:rPr>
              <w:t>10天</w:t>
            </w:r>
          </w:p>
        </w:tc>
      </w:tr>
      <w:tr w14:paraId="6DB4F1D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5" w:hRule="atLeast"/>
        </w:trPr>
        <w:tc>
          <w:tcPr>
            <w:tcW w:w="239" w:type="pct"/>
            <w:tcBorders>
              <w:tl2br w:val="nil"/>
              <w:tr2bl w:val="nil"/>
            </w:tcBorders>
            <w:vAlign w:val="center"/>
          </w:tcPr>
          <w:p w14:paraId="73C3C99B">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bookmarkStart w:id="473" w:name="_Toc8181"/>
            <w:r>
              <w:rPr>
                <w:rFonts w:hint="default" w:ascii="Times New Roman" w:hAnsi="Times New Roman" w:cs="Times New Roman"/>
                <w:kern w:val="2"/>
                <w:sz w:val="21"/>
                <w:szCs w:val="21"/>
                <w:highlight w:val="none"/>
              </w:rPr>
              <w:t>6</w:t>
            </w:r>
            <w:bookmarkEnd w:id="473"/>
          </w:p>
        </w:tc>
        <w:tc>
          <w:tcPr>
            <w:tcW w:w="230" w:type="pct"/>
            <w:vMerge w:val="continue"/>
            <w:tcBorders>
              <w:tl2br w:val="nil"/>
              <w:tr2bl w:val="nil"/>
            </w:tcBorders>
            <w:vAlign w:val="center"/>
          </w:tcPr>
          <w:p w14:paraId="52496490">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p>
        </w:tc>
        <w:tc>
          <w:tcPr>
            <w:tcW w:w="626" w:type="pct"/>
            <w:tcBorders>
              <w:tl2br w:val="nil"/>
              <w:tr2bl w:val="nil"/>
            </w:tcBorders>
            <w:vAlign w:val="center"/>
          </w:tcPr>
          <w:p w14:paraId="61543F6C">
            <w:pPr>
              <w:keepNext w:val="0"/>
              <w:keepLines w:val="0"/>
              <w:suppressLineNumbers w:val="0"/>
              <w:wordWrap/>
              <w:autoSpaceDE w:val="0"/>
              <w:autoSpaceDN w:val="0"/>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bCs/>
                <w:kern w:val="0"/>
                <w:sz w:val="21"/>
                <w:szCs w:val="21"/>
                <w:highlight w:val="none"/>
              </w:rPr>
            </w:pPr>
            <w:r>
              <w:rPr>
                <w:rFonts w:hint="default" w:ascii="Times New Roman" w:cs="Times New Roman" w:hAnsiTheme="minorEastAsia" w:eastAsiaTheme="minorEastAsia"/>
                <w:bCs/>
                <w:kern w:val="0"/>
                <w:sz w:val="21"/>
                <w:szCs w:val="21"/>
                <w:highlight w:val="none"/>
              </w:rPr>
              <w:t>滤布</w:t>
            </w:r>
          </w:p>
        </w:tc>
        <w:tc>
          <w:tcPr>
            <w:tcW w:w="327" w:type="pct"/>
            <w:tcBorders>
              <w:tl2br w:val="nil"/>
              <w:tr2bl w:val="nil"/>
            </w:tcBorders>
            <w:vAlign w:val="center"/>
          </w:tcPr>
          <w:p w14:paraId="78BD442D">
            <w:pPr>
              <w:keepNext w:val="0"/>
              <w:keepLines w:val="0"/>
              <w:suppressLineNumbers w:val="0"/>
              <w:wordWrap/>
              <w:autoSpaceDE w:val="0"/>
              <w:autoSpaceDN w:val="0"/>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bCs/>
                <w:kern w:val="0"/>
                <w:sz w:val="21"/>
                <w:szCs w:val="21"/>
                <w:highlight w:val="none"/>
              </w:rPr>
            </w:pPr>
            <w:r>
              <w:rPr>
                <w:rFonts w:hint="default" w:ascii="Times New Roman" w:hAnsi="Times New Roman" w:cs="Times New Roman" w:eastAsiaTheme="minorEastAsia"/>
                <w:bCs/>
                <w:kern w:val="0"/>
                <w:sz w:val="21"/>
                <w:szCs w:val="21"/>
                <w:highlight w:val="none"/>
              </w:rPr>
              <w:t>HW49</w:t>
            </w:r>
          </w:p>
        </w:tc>
        <w:tc>
          <w:tcPr>
            <w:tcW w:w="689" w:type="pct"/>
            <w:tcBorders>
              <w:tl2br w:val="nil"/>
              <w:tr2bl w:val="nil"/>
            </w:tcBorders>
            <w:vAlign w:val="center"/>
          </w:tcPr>
          <w:p w14:paraId="5D848A88">
            <w:pPr>
              <w:keepNext w:val="0"/>
              <w:keepLines w:val="0"/>
              <w:suppressLineNumbers w:val="0"/>
              <w:wordWrap/>
              <w:autoSpaceDE w:val="0"/>
              <w:autoSpaceDN w:val="0"/>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bCs/>
                <w:kern w:val="0"/>
                <w:sz w:val="21"/>
                <w:szCs w:val="21"/>
                <w:highlight w:val="none"/>
              </w:rPr>
            </w:pPr>
            <w:r>
              <w:rPr>
                <w:rFonts w:hint="default" w:ascii="Times New Roman" w:hAnsi="Times New Roman" w:cs="Times New Roman" w:eastAsiaTheme="minorEastAsia"/>
                <w:bCs/>
                <w:kern w:val="0"/>
                <w:sz w:val="21"/>
                <w:szCs w:val="21"/>
                <w:highlight w:val="none"/>
              </w:rPr>
              <w:t>900-041-49</w:t>
            </w:r>
          </w:p>
        </w:tc>
        <w:tc>
          <w:tcPr>
            <w:tcW w:w="551" w:type="pct"/>
            <w:vMerge w:val="continue"/>
            <w:tcBorders>
              <w:tl2br w:val="nil"/>
              <w:tr2bl w:val="nil"/>
            </w:tcBorders>
            <w:vAlign w:val="center"/>
          </w:tcPr>
          <w:p w14:paraId="4ABB3A60">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p>
        </w:tc>
        <w:tc>
          <w:tcPr>
            <w:tcW w:w="402" w:type="pct"/>
            <w:vMerge w:val="continue"/>
            <w:tcBorders>
              <w:tl2br w:val="nil"/>
              <w:tr2bl w:val="nil"/>
            </w:tcBorders>
            <w:vAlign w:val="center"/>
          </w:tcPr>
          <w:p w14:paraId="5A271908">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p>
        </w:tc>
        <w:tc>
          <w:tcPr>
            <w:tcW w:w="403" w:type="pct"/>
            <w:vMerge w:val="continue"/>
            <w:tcBorders>
              <w:tl2br w:val="nil"/>
              <w:tr2bl w:val="nil"/>
            </w:tcBorders>
            <w:vAlign w:val="center"/>
          </w:tcPr>
          <w:p w14:paraId="39E75C0D">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p>
        </w:tc>
        <w:tc>
          <w:tcPr>
            <w:tcW w:w="622" w:type="pct"/>
            <w:tcBorders>
              <w:tl2br w:val="nil"/>
              <w:tr2bl w:val="nil"/>
            </w:tcBorders>
            <w:vAlign w:val="center"/>
          </w:tcPr>
          <w:p w14:paraId="0956789B">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r>
              <w:rPr>
                <w:rFonts w:hint="default" w:ascii="Times New Roman" w:cs="Times New Roman"/>
                <w:kern w:val="2"/>
                <w:sz w:val="21"/>
                <w:szCs w:val="21"/>
                <w:highlight w:val="none"/>
              </w:rPr>
              <w:t>桶装封闭贮存</w:t>
            </w:r>
          </w:p>
        </w:tc>
        <w:tc>
          <w:tcPr>
            <w:tcW w:w="500" w:type="pct"/>
            <w:tcBorders>
              <w:tl2br w:val="nil"/>
              <w:tr2bl w:val="nil"/>
            </w:tcBorders>
            <w:vAlign w:val="center"/>
          </w:tcPr>
          <w:p w14:paraId="5AF4FC2B">
            <w:pPr>
              <w:keepNext w:val="0"/>
              <w:keepLines w:val="0"/>
              <w:suppressLineNumbers w:val="0"/>
              <w:wordWrap/>
              <w:autoSpaceDE w:val="0"/>
              <w:autoSpaceDN w:val="0"/>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r>
              <w:rPr>
                <w:rFonts w:hint="default" w:ascii="Times New Roman" w:hAnsi="Times New Roman" w:cs="Times New Roman" w:eastAsiaTheme="minorEastAsia"/>
                <w:kern w:val="0"/>
                <w:sz w:val="21"/>
                <w:szCs w:val="21"/>
                <w:highlight w:val="none"/>
              </w:rPr>
              <w:t>5</w:t>
            </w:r>
          </w:p>
        </w:tc>
        <w:tc>
          <w:tcPr>
            <w:tcW w:w="408" w:type="pct"/>
            <w:tcBorders>
              <w:tl2br w:val="nil"/>
              <w:tr2bl w:val="nil"/>
            </w:tcBorders>
            <w:vAlign w:val="center"/>
          </w:tcPr>
          <w:p w14:paraId="7436DF38">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r>
              <w:rPr>
                <w:rFonts w:hint="eastAsia" w:ascii="Times New Roman" w:hAnsi="Times New Roman" w:cs="Times New Roman"/>
                <w:kern w:val="2"/>
                <w:sz w:val="21"/>
                <w:szCs w:val="21"/>
                <w:highlight w:val="none"/>
              </w:rPr>
              <w:t>10天</w:t>
            </w:r>
          </w:p>
        </w:tc>
      </w:tr>
      <w:tr w14:paraId="7AE7409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5" w:hRule="atLeast"/>
        </w:trPr>
        <w:tc>
          <w:tcPr>
            <w:tcW w:w="239" w:type="pct"/>
            <w:tcBorders>
              <w:tl2br w:val="nil"/>
              <w:tr2bl w:val="nil"/>
            </w:tcBorders>
            <w:vAlign w:val="center"/>
          </w:tcPr>
          <w:p w14:paraId="248570AA">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bookmarkStart w:id="474" w:name="_Toc23369"/>
            <w:r>
              <w:rPr>
                <w:rFonts w:hint="default" w:ascii="Times New Roman" w:hAnsi="Times New Roman" w:cs="Times New Roman"/>
                <w:kern w:val="2"/>
                <w:sz w:val="21"/>
                <w:szCs w:val="21"/>
                <w:highlight w:val="none"/>
              </w:rPr>
              <w:t>7</w:t>
            </w:r>
            <w:bookmarkEnd w:id="474"/>
          </w:p>
        </w:tc>
        <w:tc>
          <w:tcPr>
            <w:tcW w:w="230" w:type="pct"/>
            <w:vMerge w:val="continue"/>
            <w:tcBorders>
              <w:tl2br w:val="nil"/>
              <w:tr2bl w:val="nil"/>
            </w:tcBorders>
            <w:vAlign w:val="center"/>
          </w:tcPr>
          <w:p w14:paraId="5FEDFF3E">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p>
        </w:tc>
        <w:tc>
          <w:tcPr>
            <w:tcW w:w="626" w:type="pct"/>
            <w:tcBorders>
              <w:tl2br w:val="nil"/>
              <w:tr2bl w:val="nil"/>
            </w:tcBorders>
            <w:vAlign w:val="center"/>
          </w:tcPr>
          <w:p w14:paraId="6B1B2E52">
            <w:pPr>
              <w:keepNext w:val="0"/>
              <w:keepLines w:val="0"/>
              <w:suppressLineNumbers w:val="0"/>
              <w:wordWrap/>
              <w:autoSpaceDE w:val="0"/>
              <w:autoSpaceDN w:val="0"/>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default" w:ascii="Times New Roman" w:cs="Times New Roman" w:hAnsiTheme="minorEastAsia" w:eastAsiaTheme="minorEastAsia"/>
                <w:bCs/>
                <w:kern w:val="0"/>
                <w:sz w:val="21"/>
                <w:szCs w:val="21"/>
                <w:highlight w:val="none"/>
              </w:rPr>
              <w:t>矿物油类包装桶</w:t>
            </w:r>
          </w:p>
        </w:tc>
        <w:tc>
          <w:tcPr>
            <w:tcW w:w="327" w:type="pct"/>
            <w:tcBorders>
              <w:tl2br w:val="nil"/>
              <w:tr2bl w:val="nil"/>
            </w:tcBorders>
            <w:vAlign w:val="center"/>
          </w:tcPr>
          <w:p w14:paraId="676A6135">
            <w:pPr>
              <w:keepNext w:val="0"/>
              <w:keepLines w:val="0"/>
              <w:suppressLineNumbers w:val="0"/>
              <w:wordWrap/>
              <w:autoSpaceDE w:val="0"/>
              <w:autoSpaceDN w:val="0"/>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bCs/>
                <w:kern w:val="0"/>
                <w:sz w:val="21"/>
                <w:szCs w:val="21"/>
                <w:highlight w:val="none"/>
              </w:rPr>
              <w:t>HW</w:t>
            </w:r>
            <w:r>
              <w:rPr>
                <w:rFonts w:hint="eastAsia" w:ascii="Times New Roman" w:hAnsi="Times New Roman" w:cs="Times New Roman" w:eastAsiaTheme="minorEastAsia"/>
                <w:bCs/>
                <w:kern w:val="0"/>
                <w:sz w:val="21"/>
                <w:szCs w:val="21"/>
                <w:highlight w:val="none"/>
              </w:rPr>
              <w:t>08</w:t>
            </w:r>
          </w:p>
        </w:tc>
        <w:tc>
          <w:tcPr>
            <w:tcW w:w="689" w:type="pct"/>
            <w:tcBorders>
              <w:tl2br w:val="nil"/>
              <w:tr2bl w:val="nil"/>
            </w:tcBorders>
            <w:vAlign w:val="center"/>
          </w:tcPr>
          <w:p w14:paraId="4C0149F5">
            <w:pPr>
              <w:keepNext w:val="0"/>
              <w:keepLines w:val="0"/>
              <w:suppressLineNumbers w:val="0"/>
              <w:wordWrap/>
              <w:autoSpaceDE w:val="0"/>
              <w:autoSpaceDN w:val="0"/>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bCs/>
                <w:kern w:val="0"/>
                <w:sz w:val="21"/>
                <w:szCs w:val="21"/>
                <w:highlight w:val="none"/>
              </w:rPr>
              <w:t>900-</w:t>
            </w:r>
            <w:r>
              <w:rPr>
                <w:rFonts w:hint="eastAsia" w:ascii="Times New Roman" w:hAnsi="Times New Roman" w:cs="Times New Roman" w:eastAsiaTheme="minorEastAsia"/>
                <w:bCs/>
                <w:kern w:val="0"/>
                <w:sz w:val="21"/>
                <w:szCs w:val="21"/>
                <w:highlight w:val="none"/>
              </w:rPr>
              <w:t>249</w:t>
            </w:r>
            <w:r>
              <w:rPr>
                <w:rFonts w:hint="default" w:ascii="Times New Roman" w:hAnsi="Times New Roman" w:cs="Times New Roman" w:eastAsiaTheme="minorEastAsia"/>
                <w:bCs/>
                <w:kern w:val="0"/>
                <w:sz w:val="21"/>
                <w:szCs w:val="21"/>
                <w:highlight w:val="none"/>
              </w:rPr>
              <w:t>-</w:t>
            </w:r>
            <w:r>
              <w:rPr>
                <w:rFonts w:hint="eastAsia" w:ascii="Times New Roman" w:hAnsi="Times New Roman" w:cs="Times New Roman" w:eastAsiaTheme="minorEastAsia"/>
                <w:bCs/>
                <w:kern w:val="0"/>
                <w:sz w:val="21"/>
                <w:szCs w:val="21"/>
                <w:highlight w:val="none"/>
              </w:rPr>
              <w:t>08</w:t>
            </w:r>
          </w:p>
        </w:tc>
        <w:tc>
          <w:tcPr>
            <w:tcW w:w="551" w:type="pct"/>
            <w:vMerge w:val="continue"/>
            <w:tcBorders>
              <w:tl2br w:val="nil"/>
              <w:tr2bl w:val="nil"/>
            </w:tcBorders>
            <w:vAlign w:val="center"/>
          </w:tcPr>
          <w:p w14:paraId="6D42A7AF">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p>
        </w:tc>
        <w:tc>
          <w:tcPr>
            <w:tcW w:w="402" w:type="pct"/>
            <w:vMerge w:val="continue"/>
            <w:tcBorders>
              <w:tl2br w:val="nil"/>
              <w:tr2bl w:val="nil"/>
            </w:tcBorders>
            <w:vAlign w:val="center"/>
          </w:tcPr>
          <w:p w14:paraId="0C310D42">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p>
        </w:tc>
        <w:tc>
          <w:tcPr>
            <w:tcW w:w="403" w:type="pct"/>
            <w:vMerge w:val="continue"/>
            <w:tcBorders>
              <w:tl2br w:val="nil"/>
              <w:tr2bl w:val="nil"/>
            </w:tcBorders>
            <w:vAlign w:val="center"/>
          </w:tcPr>
          <w:p w14:paraId="05519A1E">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p>
        </w:tc>
        <w:tc>
          <w:tcPr>
            <w:tcW w:w="622" w:type="pct"/>
            <w:tcBorders>
              <w:tl2br w:val="nil"/>
              <w:tr2bl w:val="nil"/>
            </w:tcBorders>
            <w:vAlign w:val="center"/>
          </w:tcPr>
          <w:p w14:paraId="770A065B">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r>
              <w:rPr>
                <w:rFonts w:hint="default" w:ascii="Times New Roman" w:cs="Times New Roman"/>
                <w:kern w:val="2"/>
                <w:sz w:val="21"/>
                <w:szCs w:val="21"/>
                <w:highlight w:val="none"/>
              </w:rPr>
              <w:t>桶装封闭贮存</w:t>
            </w:r>
          </w:p>
        </w:tc>
        <w:tc>
          <w:tcPr>
            <w:tcW w:w="500" w:type="pct"/>
            <w:tcBorders>
              <w:tl2br w:val="nil"/>
              <w:tr2bl w:val="nil"/>
            </w:tcBorders>
            <w:vAlign w:val="center"/>
          </w:tcPr>
          <w:p w14:paraId="0E5AB8A5">
            <w:pPr>
              <w:keepNext w:val="0"/>
              <w:keepLines w:val="0"/>
              <w:suppressLineNumbers w:val="0"/>
              <w:wordWrap/>
              <w:autoSpaceDE w:val="0"/>
              <w:autoSpaceDN w:val="0"/>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0.8</w:t>
            </w:r>
          </w:p>
        </w:tc>
        <w:tc>
          <w:tcPr>
            <w:tcW w:w="408" w:type="pct"/>
            <w:tcBorders>
              <w:tl2br w:val="nil"/>
              <w:tr2bl w:val="nil"/>
            </w:tcBorders>
            <w:vAlign w:val="center"/>
          </w:tcPr>
          <w:p w14:paraId="59ADB4D2">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r>
              <w:rPr>
                <w:rFonts w:hint="eastAsia" w:ascii="Times New Roman" w:hAnsi="Times New Roman" w:cs="Times New Roman"/>
                <w:kern w:val="2"/>
                <w:sz w:val="21"/>
                <w:szCs w:val="21"/>
                <w:highlight w:val="none"/>
              </w:rPr>
              <w:t>10天</w:t>
            </w:r>
          </w:p>
        </w:tc>
      </w:tr>
      <w:tr w14:paraId="435292A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5" w:hRule="atLeast"/>
        </w:trPr>
        <w:tc>
          <w:tcPr>
            <w:tcW w:w="239" w:type="pct"/>
            <w:tcBorders>
              <w:tl2br w:val="nil"/>
              <w:tr2bl w:val="nil"/>
            </w:tcBorders>
            <w:vAlign w:val="center"/>
          </w:tcPr>
          <w:p w14:paraId="57C53EB9">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bookmarkStart w:id="475" w:name="_Toc20183"/>
            <w:r>
              <w:rPr>
                <w:rFonts w:hint="default" w:ascii="Times New Roman" w:hAnsi="Times New Roman" w:cs="Times New Roman"/>
                <w:kern w:val="2"/>
                <w:sz w:val="21"/>
                <w:szCs w:val="21"/>
                <w:highlight w:val="none"/>
              </w:rPr>
              <w:t>8</w:t>
            </w:r>
            <w:bookmarkEnd w:id="475"/>
          </w:p>
        </w:tc>
        <w:tc>
          <w:tcPr>
            <w:tcW w:w="230" w:type="pct"/>
            <w:vMerge w:val="continue"/>
            <w:tcBorders>
              <w:tl2br w:val="nil"/>
              <w:tr2bl w:val="nil"/>
            </w:tcBorders>
            <w:vAlign w:val="center"/>
          </w:tcPr>
          <w:p w14:paraId="76125B55">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p>
        </w:tc>
        <w:tc>
          <w:tcPr>
            <w:tcW w:w="626" w:type="pct"/>
            <w:tcBorders>
              <w:tl2br w:val="nil"/>
              <w:tr2bl w:val="nil"/>
            </w:tcBorders>
            <w:vAlign w:val="center"/>
          </w:tcPr>
          <w:p w14:paraId="638A4DD8">
            <w:pPr>
              <w:keepNext w:val="0"/>
              <w:keepLines w:val="0"/>
              <w:suppressLineNumbers w:val="0"/>
              <w:wordWrap/>
              <w:autoSpaceDE w:val="0"/>
              <w:autoSpaceDN w:val="0"/>
              <w:adjustRightInd/>
              <w:snapToGrid/>
              <w:spacing w:before="0" w:beforeAutospacing="0" w:after="0" w:afterAutospacing="0" w:line="0" w:lineRule="atLeast"/>
              <w:ind w:left="0" w:right="0" w:firstLine="0" w:firstLineChars="0"/>
              <w:contextualSpacing/>
              <w:jc w:val="center"/>
              <w:rPr>
                <w:rFonts w:hint="default" w:ascii="Times New Roman" w:cs="Times New Roman" w:hAnsiTheme="minorEastAsia" w:eastAsiaTheme="minorEastAsia"/>
                <w:bCs/>
                <w:kern w:val="0"/>
                <w:sz w:val="21"/>
                <w:szCs w:val="21"/>
                <w:highlight w:val="none"/>
              </w:rPr>
            </w:pPr>
            <w:r>
              <w:rPr>
                <w:rFonts w:hint="default" w:ascii="Times New Roman" w:cs="Times New Roman" w:hAnsiTheme="minorEastAsia" w:eastAsiaTheme="minorEastAsia"/>
                <w:bCs/>
                <w:kern w:val="0"/>
                <w:sz w:val="21"/>
                <w:szCs w:val="21"/>
                <w:highlight w:val="none"/>
              </w:rPr>
              <w:t>胶类包装桶</w:t>
            </w:r>
          </w:p>
        </w:tc>
        <w:tc>
          <w:tcPr>
            <w:tcW w:w="327" w:type="pct"/>
            <w:tcBorders>
              <w:tl2br w:val="nil"/>
              <w:tr2bl w:val="nil"/>
            </w:tcBorders>
            <w:vAlign w:val="center"/>
          </w:tcPr>
          <w:p w14:paraId="415550C2">
            <w:pPr>
              <w:keepNext w:val="0"/>
              <w:keepLines w:val="0"/>
              <w:suppressLineNumbers w:val="0"/>
              <w:wordWrap/>
              <w:autoSpaceDE w:val="0"/>
              <w:autoSpaceDN w:val="0"/>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bCs/>
                <w:kern w:val="0"/>
                <w:sz w:val="21"/>
                <w:szCs w:val="21"/>
                <w:highlight w:val="none"/>
              </w:rPr>
            </w:pPr>
            <w:r>
              <w:rPr>
                <w:rFonts w:hint="default" w:ascii="Times New Roman" w:hAnsi="Times New Roman" w:cs="Times New Roman" w:eastAsiaTheme="minorEastAsia"/>
                <w:bCs/>
                <w:kern w:val="0"/>
                <w:sz w:val="21"/>
                <w:szCs w:val="21"/>
                <w:highlight w:val="none"/>
              </w:rPr>
              <w:t>HW49</w:t>
            </w:r>
          </w:p>
        </w:tc>
        <w:tc>
          <w:tcPr>
            <w:tcW w:w="689" w:type="pct"/>
            <w:tcBorders>
              <w:tl2br w:val="nil"/>
              <w:tr2bl w:val="nil"/>
            </w:tcBorders>
            <w:vAlign w:val="center"/>
          </w:tcPr>
          <w:p w14:paraId="75520FAA">
            <w:pPr>
              <w:keepNext w:val="0"/>
              <w:keepLines w:val="0"/>
              <w:suppressLineNumbers w:val="0"/>
              <w:wordWrap/>
              <w:autoSpaceDE w:val="0"/>
              <w:autoSpaceDN w:val="0"/>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bCs/>
                <w:kern w:val="0"/>
                <w:sz w:val="21"/>
                <w:szCs w:val="21"/>
                <w:highlight w:val="none"/>
              </w:rPr>
            </w:pPr>
            <w:r>
              <w:rPr>
                <w:rFonts w:hint="default" w:ascii="Times New Roman" w:hAnsi="Times New Roman" w:cs="Times New Roman" w:eastAsiaTheme="minorEastAsia"/>
                <w:bCs/>
                <w:kern w:val="0"/>
                <w:sz w:val="21"/>
                <w:szCs w:val="21"/>
                <w:highlight w:val="none"/>
              </w:rPr>
              <w:t>900-041-49</w:t>
            </w:r>
          </w:p>
        </w:tc>
        <w:tc>
          <w:tcPr>
            <w:tcW w:w="551" w:type="pct"/>
            <w:vMerge w:val="continue"/>
            <w:tcBorders>
              <w:tl2br w:val="nil"/>
              <w:tr2bl w:val="nil"/>
            </w:tcBorders>
            <w:vAlign w:val="center"/>
          </w:tcPr>
          <w:p w14:paraId="2FA5B89E">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p>
        </w:tc>
        <w:tc>
          <w:tcPr>
            <w:tcW w:w="402" w:type="pct"/>
            <w:vMerge w:val="continue"/>
            <w:tcBorders>
              <w:tl2br w:val="nil"/>
              <w:tr2bl w:val="nil"/>
            </w:tcBorders>
            <w:vAlign w:val="center"/>
          </w:tcPr>
          <w:p w14:paraId="00B32409">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p>
        </w:tc>
        <w:tc>
          <w:tcPr>
            <w:tcW w:w="403" w:type="pct"/>
            <w:vMerge w:val="continue"/>
            <w:tcBorders>
              <w:tl2br w:val="nil"/>
              <w:tr2bl w:val="nil"/>
            </w:tcBorders>
            <w:vAlign w:val="center"/>
          </w:tcPr>
          <w:p w14:paraId="5A7331A9">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p>
        </w:tc>
        <w:tc>
          <w:tcPr>
            <w:tcW w:w="622" w:type="pct"/>
            <w:tcBorders>
              <w:tl2br w:val="nil"/>
              <w:tr2bl w:val="nil"/>
            </w:tcBorders>
            <w:vAlign w:val="center"/>
          </w:tcPr>
          <w:p w14:paraId="5497A9E7">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r>
              <w:rPr>
                <w:rFonts w:hint="default" w:ascii="Times New Roman" w:cs="Times New Roman"/>
                <w:kern w:val="2"/>
                <w:sz w:val="21"/>
                <w:szCs w:val="21"/>
                <w:highlight w:val="none"/>
              </w:rPr>
              <w:t>桶装封闭贮存</w:t>
            </w:r>
          </w:p>
        </w:tc>
        <w:tc>
          <w:tcPr>
            <w:tcW w:w="500" w:type="pct"/>
            <w:tcBorders>
              <w:tl2br w:val="nil"/>
              <w:tr2bl w:val="nil"/>
            </w:tcBorders>
            <w:vAlign w:val="center"/>
          </w:tcPr>
          <w:p w14:paraId="59B3B6E5">
            <w:pPr>
              <w:keepNext w:val="0"/>
              <w:keepLines w:val="0"/>
              <w:suppressLineNumbers w:val="0"/>
              <w:wordWrap/>
              <w:autoSpaceDE w:val="0"/>
              <w:autoSpaceDN w:val="0"/>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0.12</w:t>
            </w:r>
          </w:p>
        </w:tc>
        <w:tc>
          <w:tcPr>
            <w:tcW w:w="408" w:type="pct"/>
            <w:tcBorders>
              <w:tl2br w:val="nil"/>
              <w:tr2bl w:val="nil"/>
            </w:tcBorders>
            <w:vAlign w:val="center"/>
          </w:tcPr>
          <w:p w14:paraId="36D7C112">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r>
              <w:rPr>
                <w:rFonts w:hint="eastAsia" w:ascii="Times New Roman" w:hAnsi="Times New Roman" w:cs="Times New Roman"/>
                <w:kern w:val="2"/>
                <w:sz w:val="21"/>
                <w:szCs w:val="21"/>
                <w:highlight w:val="none"/>
              </w:rPr>
              <w:t>10天</w:t>
            </w:r>
          </w:p>
        </w:tc>
      </w:tr>
      <w:tr w14:paraId="404FFFA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5" w:hRule="atLeast"/>
        </w:trPr>
        <w:tc>
          <w:tcPr>
            <w:tcW w:w="239" w:type="pct"/>
            <w:tcBorders>
              <w:tl2br w:val="nil"/>
              <w:tr2bl w:val="nil"/>
            </w:tcBorders>
            <w:vAlign w:val="center"/>
          </w:tcPr>
          <w:p w14:paraId="4C8A2104">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bookmarkStart w:id="476" w:name="_Toc8507"/>
            <w:r>
              <w:rPr>
                <w:rFonts w:hint="default" w:ascii="Times New Roman" w:hAnsi="Times New Roman" w:cs="Times New Roman"/>
                <w:kern w:val="2"/>
                <w:sz w:val="21"/>
                <w:szCs w:val="21"/>
                <w:highlight w:val="none"/>
              </w:rPr>
              <w:t>9</w:t>
            </w:r>
            <w:bookmarkEnd w:id="476"/>
          </w:p>
        </w:tc>
        <w:tc>
          <w:tcPr>
            <w:tcW w:w="230" w:type="pct"/>
            <w:vMerge w:val="continue"/>
            <w:tcBorders>
              <w:tl2br w:val="nil"/>
              <w:tr2bl w:val="nil"/>
            </w:tcBorders>
            <w:vAlign w:val="center"/>
          </w:tcPr>
          <w:p w14:paraId="495FD3BC">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p>
        </w:tc>
        <w:tc>
          <w:tcPr>
            <w:tcW w:w="626" w:type="pct"/>
            <w:tcBorders>
              <w:tl2br w:val="nil"/>
              <w:tr2bl w:val="nil"/>
            </w:tcBorders>
            <w:vAlign w:val="center"/>
          </w:tcPr>
          <w:p w14:paraId="68880319">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default" w:ascii="Times New Roman" w:cs="Times New Roman" w:hAnsiTheme="minorEastAsia" w:eastAsiaTheme="minorEastAsia"/>
                <w:spacing w:val="-6"/>
                <w:kern w:val="0"/>
                <w:sz w:val="21"/>
                <w:szCs w:val="21"/>
                <w:highlight w:val="none"/>
              </w:rPr>
              <w:t>废油</w:t>
            </w:r>
          </w:p>
        </w:tc>
        <w:tc>
          <w:tcPr>
            <w:tcW w:w="327" w:type="pct"/>
            <w:tcBorders>
              <w:tl2br w:val="nil"/>
              <w:tr2bl w:val="nil"/>
            </w:tcBorders>
            <w:vAlign w:val="center"/>
          </w:tcPr>
          <w:p w14:paraId="7845BD77">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bCs/>
                <w:kern w:val="0"/>
                <w:sz w:val="21"/>
                <w:szCs w:val="21"/>
                <w:highlight w:val="none"/>
              </w:rPr>
              <w:t>HW08</w:t>
            </w:r>
          </w:p>
        </w:tc>
        <w:tc>
          <w:tcPr>
            <w:tcW w:w="689" w:type="pct"/>
            <w:tcBorders>
              <w:tl2br w:val="nil"/>
              <w:tr2bl w:val="nil"/>
            </w:tcBorders>
            <w:vAlign w:val="center"/>
          </w:tcPr>
          <w:p w14:paraId="51B4B268">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bCs/>
                <w:kern w:val="0"/>
                <w:sz w:val="21"/>
                <w:szCs w:val="21"/>
                <w:highlight w:val="none"/>
              </w:rPr>
              <w:t>900-249-08</w:t>
            </w:r>
          </w:p>
        </w:tc>
        <w:tc>
          <w:tcPr>
            <w:tcW w:w="551" w:type="pct"/>
            <w:vMerge w:val="continue"/>
            <w:tcBorders>
              <w:tl2br w:val="nil"/>
              <w:tr2bl w:val="nil"/>
            </w:tcBorders>
            <w:vAlign w:val="center"/>
          </w:tcPr>
          <w:p w14:paraId="260F834B">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p>
        </w:tc>
        <w:tc>
          <w:tcPr>
            <w:tcW w:w="402" w:type="pct"/>
            <w:vMerge w:val="continue"/>
            <w:tcBorders>
              <w:tl2br w:val="nil"/>
              <w:tr2bl w:val="nil"/>
            </w:tcBorders>
            <w:vAlign w:val="center"/>
          </w:tcPr>
          <w:p w14:paraId="1F9704C6">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p>
        </w:tc>
        <w:tc>
          <w:tcPr>
            <w:tcW w:w="403" w:type="pct"/>
            <w:vMerge w:val="continue"/>
            <w:tcBorders>
              <w:tl2br w:val="nil"/>
              <w:tr2bl w:val="nil"/>
            </w:tcBorders>
            <w:vAlign w:val="center"/>
          </w:tcPr>
          <w:p w14:paraId="4F7D2E9C">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p>
        </w:tc>
        <w:tc>
          <w:tcPr>
            <w:tcW w:w="622" w:type="pct"/>
            <w:tcBorders>
              <w:tl2br w:val="nil"/>
              <w:tr2bl w:val="nil"/>
            </w:tcBorders>
            <w:vAlign w:val="center"/>
          </w:tcPr>
          <w:p w14:paraId="3071DA84">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r>
              <w:rPr>
                <w:rFonts w:hint="default" w:ascii="Times New Roman" w:cs="Times New Roman"/>
                <w:kern w:val="2"/>
                <w:sz w:val="21"/>
                <w:szCs w:val="21"/>
                <w:highlight w:val="none"/>
              </w:rPr>
              <w:t>桶装封闭贮存</w:t>
            </w:r>
          </w:p>
        </w:tc>
        <w:tc>
          <w:tcPr>
            <w:tcW w:w="500" w:type="pct"/>
            <w:tcBorders>
              <w:tl2br w:val="nil"/>
              <w:tr2bl w:val="nil"/>
            </w:tcBorders>
            <w:vAlign w:val="center"/>
          </w:tcPr>
          <w:p w14:paraId="4126FE39">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spacing w:val="-5"/>
                <w:w w:val="96"/>
                <w:kern w:val="0"/>
                <w:sz w:val="21"/>
                <w:szCs w:val="21"/>
                <w:highlight w:val="none"/>
              </w:rPr>
              <w:t>0.</w:t>
            </w:r>
            <w:r>
              <w:rPr>
                <w:rFonts w:hint="eastAsia" w:ascii="Times New Roman" w:hAnsi="Times New Roman" w:cs="Times New Roman" w:eastAsiaTheme="minorEastAsia"/>
                <w:spacing w:val="-5"/>
                <w:w w:val="96"/>
                <w:kern w:val="0"/>
                <w:sz w:val="21"/>
                <w:szCs w:val="21"/>
                <w:highlight w:val="none"/>
              </w:rPr>
              <w:t>0</w:t>
            </w:r>
            <w:r>
              <w:rPr>
                <w:rFonts w:hint="default" w:ascii="Times New Roman" w:hAnsi="Times New Roman" w:cs="Times New Roman" w:eastAsiaTheme="minorEastAsia"/>
                <w:spacing w:val="-5"/>
                <w:w w:val="96"/>
                <w:kern w:val="0"/>
                <w:sz w:val="21"/>
                <w:szCs w:val="21"/>
                <w:highlight w:val="none"/>
              </w:rPr>
              <w:t>1</w:t>
            </w:r>
          </w:p>
        </w:tc>
        <w:tc>
          <w:tcPr>
            <w:tcW w:w="408" w:type="pct"/>
            <w:tcBorders>
              <w:tl2br w:val="nil"/>
              <w:tr2bl w:val="nil"/>
            </w:tcBorders>
            <w:vAlign w:val="center"/>
          </w:tcPr>
          <w:p w14:paraId="73DEA284">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r>
              <w:rPr>
                <w:rFonts w:hint="eastAsia" w:ascii="Times New Roman" w:hAnsi="Times New Roman" w:cs="Times New Roman"/>
                <w:kern w:val="2"/>
                <w:sz w:val="21"/>
                <w:szCs w:val="21"/>
                <w:highlight w:val="none"/>
              </w:rPr>
              <w:t>10天</w:t>
            </w:r>
          </w:p>
        </w:tc>
      </w:tr>
      <w:tr w14:paraId="02740DE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5" w:hRule="atLeast"/>
        </w:trPr>
        <w:tc>
          <w:tcPr>
            <w:tcW w:w="239" w:type="pct"/>
            <w:tcBorders>
              <w:tl2br w:val="nil"/>
              <w:tr2bl w:val="nil"/>
            </w:tcBorders>
            <w:vAlign w:val="center"/>
          </w:tcPr>
          <w:p w14:paraId="3F8899D2">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bookmarkStart w:id="477" w:name="_Toc15320"/>
            <w:r>
              <w:rPr>
                <w:rFonts w:hint="default" w:ascii="Times New Roman" w:hAnsi="Times New Roman" w:cs="Times New Roman"/>
                <w:kern w:val="2"/>
                <w:sz w:val="21"/>
                <w:szCs w:val="21"/>
                <w:highlight w:val="none"/>
              </w:rPr>
              <w:t>10</w:t>
            </w:r>
            <w:bookmarkEnd w:id="477"/>
          </w:p>
        </w:tc>
        <w:tc>
          <w:tcPr>
            <w:tcW w:w="230" w:type="pct"/>
            <w:vMerge w:val="continue"/>
            <w:tcBorders>
              <w:tl2br w:val="nil"/>
              <w:tr2bl w:val="nil"/>
            </w:tcBorders>
            <w:vAlign w:val="center"/>
          </w:tcPr>
          <w:p w14:paraId="6CF75A03">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p>
        </w:tc>
        <w:tc>
          <w:tcPr>
            <w:tcW w:w="626" w:type="pct"/>
            <w:tcBorders>
              <w:tl2br w:val="nil"/>
              <w:tr2bl w:val="nil"/>
            </w:tcBorders>
            <w:vAlign w:val="center"/>
          </w:tcPr>
          <w:p w14:paraId="1519C748">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default" w:ascii="Times New Roman" w:cs="Times New Roman" w:hAnsiTheme="minorEastAsia" w:eastAsiaTheme="minorEastAsia"/>
                <w:bCs/>
                <w:kern w:val="0"/>
                <w:sz w:val="21"/>
                <w:szCs w:val="21"/>
                <w:highlight w:val="none"/>
              </w:rPr>
              <w:t>废过滤材料</w:t>
            </w:r>
          </w:p>
        </w:tc>
        <w:tc>
          <w:tcPr>
            <w:tcW w:w="327" w:type="pct"/>
            <w:tcBorders>
              <w:tl2br w:val="nil"/>
              <w:tr2bl w:val="nil"/>
            </w:tcBorders>
            <w:vAlign w:val="center"/>
          </w:tcPr>
          <w:p w14:paraId="41745F86">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bCs/>
                <w:kern w:val="0"/>
                <w:sz w:val="21"/>
                <w:szCs w:val="21"/>
                <w:highlight w:val="none"/>
              </w:rPr>
              <w:t>HW49</w:t>
            </w:r>
          </w:p>
        </w:tc>
        <w:tc>
          <w:tcPr>
            <w:tcW w:w="689" w:type="pct"/>
            <w:tcBorders>
              <w:tl2br w:val="nil"/>
              <w:tr2bl w:val="nil"/>
            </w:tcBorders>
            <w:vAlign w:val="center"/>
          </w:tcPr>
          <w:p w14:paraId="67D53081">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default" w:ascii="Times New Roman" w:hAnsi="Times New Roman" w:cs="Times New Roman" w:eastAsiaTheme="minorEastAsia"/>
                <w:bCs/>
                <w:kern w:val="0"/>
                <w:sz w:val="21"/>
                <w:szCs w:val="21"/>
                <w:highlight w:val="none"/>
              </w:rPr>
              <w:t>900-041-49</w:t>
            </w:r>
          </w:p>
        </w:tc>
        <w:tc>
          <w:tcPr>
            <w:tcW w:w="551" w:type="pct"/>
            <w:vMerge w:val="continue"/>
            <w:tcBorders>
              <w:tl2br w:val="nil"/>
              <w:tr2bl w:val="nil"/>
            </w:tcBorders>
            <w:vAlign w:val="center"/>
          </w:tcPr>
          <w:p w14:paraId="08D0D8EC">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p>
        </w:tc>
        <w:tc>
          <w:tcPr>
            <w:tcW w:w="402" w:type="pct"/>
            <w:vMerge w:val="continue"/>
            <w:tcBorders>
              <w:tl2br w:val="nil"/>
              <w:tr2bl w:val="nil"/>
            </w:tcBorders>
            <w:vAlign w:val="center"/>
          </w:tcPr>
          <w:p w14:paraId="5BE86F9D">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p>
        </w:tc>
        <w:tc>
          <w:tcPr>
            <w:tcW w:w="403" w:type="pct"/>
            <w:vMerge w:val="continue"/>
            <w:tcBorders>
              <w:tl2br w:val="nil"/>
              <w:tr2bl w:val="nil"/>
            </w:tcBorders>
            <w:vAlign w:val="center"/>
          </w:tcPr>
          <w:p w14:paraId="668498E6">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p>
        </w:tc>
        <w:tc>
          <w:tcPr>
            <w:tcW w:w="622" w:type="pct"/>
            <w:tcBorders>
              <w:tl2br w:val="nil"/>
              <w:tr2bl w:val="nil"/>
            </w:tcBorders>
            <w:vAlign w:val="center"/>
          </w:tcPr>
          <w:p w14:paraId="7A7EC1C8">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r>
              <w:rPr>
                <w:rFonts w:hint="default" w:ascii="Times New Roman" w:cs="Times New Roman"/>
                <w:kern w:val="2"/>
                <w:sz w:val="21"/>
                <w:szCs w:val="21"/>
                <w:highlight w:val="none"/>
              </w:rPr>
              <w:t>桶装封闭贮存</w:t>
            </w:r>
          </w:p>
        </w:tc>
        <w:tc>
          <w:tcPr>
            <w:tcW w:w="500" w:type="pct"/>
            <w:tcBorders>
              <w:tl2br w:val="nil"/>
              <w:tr2bl w:val="nil"/>
            </w:tcBorders>
            <w:vAlign w:val="center"/>
          </w:tcPr>
          <w:p w14:paraId="18FCD540">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0.2</w:t>
            </w:r>
          </w:p>
        </w:tc>
        <w:tc>
          <w:tcPr>
            <w:tcW w:w="408" w:type="pct"/>
            <w:tcBorders>
              <w:tl2br w:val="nil"/>
              <w:tr2bl w:val="nil"/>
            </w:tcBorders>
            <w:vAlign w:val="center"/>
          </w:tcPr>
          <w:p w14:paraId="43042182">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r>
              <w:rPr>
                <w:rFonts w:hint="eastAsia" w:ascii="Times New Roman" w:hAnsi="Times New Roman" w:cs="Times New Roman"/>
                <w:kern w:val="2"/>
                <w:sz w:val="21"/>
                <w:szCs w:val="21"/>
                <w:highlight w:val="none"/>
              </w:rPr>
              <w:t>10天</w:t>
            </w:r>
          </w:p>
        </w:tc>
      </w:tr>
      <w:tr w14:paraId="45B2EF3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5" w:hRule="atLeast"/>
        </w:trPr>
        <w:tc>
          <w:tcPr>
            <w:tcW w:w="239" w:type="pct"/>
            <w:tcBorders>
              <w:tl2br w:val="nil"/>
              <w:tr2bl w:val="nil"/>
            </w:tcBorders>
            <w:vAlign w:val="center"/>
          </w:tcPr>
          <w:p w14:paraId="6FD5D347">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0"/>
                <w:sz w:val="21"/>
                <w:szCs w:val="21"/>
                <w:highlight w:val="none"/>
              </w:rPr>
            </w:pPr>
            <w:r>
              <w:rPr>
                <w:rFonts w:hint="eastAsia" w:ascii="Times New Roman" w:hAnsi="Times New Roman" w:cs="Times New Roman"/>
                <w:kern w:val="0"/>
                <w:sz w:val="21"/>
                <w:szCs w:val="21"/>
                <w:highlight w:val="none"/>
              </w:rPr>
              <w:t>11</w:t>
            </w:r>
          </w:p>
        </w:tc>
        <w:tc>
          <w:tcPr>
            <w:tcW w:w="230" w:type="pct"/>
            <w:vMerge w:val="continue"/>
            <w:tcBorders>
              <w:tl2br w:val="nil"/>
              <w:tr2bl w:val="nil"/>
            </w:tcBorders>
            <w:vAlign w:val="center"/>
          </w:tcPr>
          <w:p w14:paraId="34C824BF">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0"/>
                <w:sz w:val="21"/>
                <w:szCs w:val="21"/>
                <w:highlight w:val="none"/>
              </w:rPr>
            </w:pPr>
          </w:p>
        </w:tc>
        <w:tc>
          <w:tcPr>
            <w:tcW w:w="626" w:type="pct"/>
            <w:tcBorders>
              <w:tl2br w:val="nil"/>
              <w:tr2bl w:val="nil"/>
            </w:tcBorders>
            <w:vAlign w:val="center"/>
          </w:tcPr>
          <w:p w14:paraId="167B8281">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cs="Times New Roman" w:hAnsiTheme="minorEastAsia" w:eastAsiaTheme="minorEastAsia"/>
                <w:bCs/>
                <w:kern w:val="0"/>
                <w:sz w:val="21"/>
                <w:szCs w:val="21"/>
                <w:highlight w:val="none"/>
              </w:rPr>
            </w:pPr>
            <w:r>
              <w:rPr>
                <w:rFonts w:hint="eastAsia" w:ascii="Times New Roman" w:cs="Times New Roman" w:hAnsiTheme="minorEastAsia" w:eastAsiaTheme="minorEastAsia"/>
                <w:bCs/>
                <w:kern w:val="0"/>
                <w:sz w:val="21"/>
                <w:szCs w:val="21"/>
                <w:highlight w:val="none"/>
              </w:rPr>
              <w:t>废催化剂</w:t>
            </w:r>
          </w:p>
        </w:tc>
        <w:tc>
          <w:tcPr>
            <w:tcW w:w="327" w:type="pct"/>
            <w:tcBorders>
              <w:tl2br w:val="nil"/>
              <w:tr2bl w:val="nil"/>
            </w:tcBorders>
            <w:vAlign w:val="center"/>
          </w:tcPr>
          <w:p w14:paraId="66B1730D">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bCs/>
                <w:kern w:val="0"/>
                <w:sz w:val="21"/>
                <w:szCs w:val="21"/>
                <w:highlight w:val="none"/>
              </w:rPr>
            </w:pPr>
            <w:r>
              <w:rPr>
                <w:rFonts w:hint="eastAsia" w:ascii="Times New Roman" w:cs="Times New Roman" w:hAnsiTheme="minorEastAsia" w:eastAsiaTheme="minorEastAsia"/>
                <w:bCs/>
                <w:kern w:val="0"/>
                <w:sz w:val="21"/>
                <w:szCs w:val="21"/>
                <w:highlight w:val="none"/>
              </w:rPr>
              <w:t>HW50</w:t>
            </w:r>
          </w:p>
        </w:tc>
        <w:tc>
          <w:tcPr>
            <w:tcW w:w="689" w:type="pct"/>
            <w:tcBorders>
              <w:tl2br w:val="nil"/>
              <w:tr2bl w:val="nil"/>
            </w:tcBorders>
            <w:vAlign w:val="center"/>
          </w:tcPr>
          <w:p w14:paraId="368BEA42">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bCs/>
                <w:kern w:val="0"/>
                <w:sz w:val="21"/>
                <w:szCs w:val="21"/>
                <w:highlight w:val="none"/>
              </w:rPr>
            </w:pPr>
            <w:r>
              <w:rPr>
                <w:rFonts w:hint="eastAsia" w:ascii="Times New Roman" w:cs="Times New Roman" w:hAnsiTheme="minorEastAsia" w:eastAsiaTheme="minorEastAsia"/>
                <w:bCs/>
                <w:kern w:val="0"/>
                <w:sz w:val="21"/>
                <w:szCs w:val="21"/>
                <w:highlight w:val="none"/>
              </w:rPr>
              <w:t>900-049-50</w:t>
            </w:r>
          </w:p>
        </w:tc>
        <w:tc>
          <w:tcPr>
            <w:tcW w:w="551" w:type="pct"/>
            <w:vMerge w:val="continue"/>
            <w:tcBorders>
              <w:tl2br w:val="nil"/>
              <w:tr2bl w:val="nil"/>
            </w:tcBorders>
            <w:vAlign w:val="center"/>
          </w:tcPr>
          <w:p w14:paraId="641A1250">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0"/>
                <w:sz w:val="21"/>
                <w:szCs w:val="21"/>
                <w:highlight w:val="none"/>
              </w:rPr>
            </w:pPr>
          </w:p>
        </w:tc>
        <w:tc>
          <w:tcPr>
            <w:tcW w:w="402" w:type="pct"/>
            <w:vMerge w:val="continue"/>
            <w:tcBorders>
              <w:tl2br w:val="nil"/>
              <w:tr2bl w:val="nil"/>
            </w:tcBorders>
            <w:vAlign w:val="center"/>
          </w:tcPr>
          <w:p w14:paraId="36F7D97E">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0"/>
                <w:sz w:val="21"/>
                <w:szCs w:val="21"/>
                <w:highlight w:val="none"/>
              </w:rPr>
            </w:pPr>
          </w:p>
        </w:tc>
        <w:tc>
          <w:tcPr>
            <w:tcW w:w="403" w:type="pct"/>
            <w:vMerge w:val="continue"/>
            <w:tcBorders>
              <w:tl2br w:val="nil"/>
              <w:tr2bl w:val="nil"/>
            </w:tcBorders>
            <w:vAlign w:val="center"/>
          </w:tcPr>
          <w:p w14:paraId="7F98AF2F">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0"/>
                <w:sz w:val="21"/>
                <w:szCs w:val="21"/>
                <w:highlight w:val="none"/>
              </w:rPr>
            </w:pPr>
          </w:p>
        </w:tc>
        <w:tc>
          <w:tcPr>
            <w:tcW w:w="622" w:type="pct"/>
            <w:tcBorders>
              <w:tl2br w:val="nil"/>
              <w:tr2bl w:val="nil"/>
            </w:tcBorders>
            <w:vAlign w:val="center"/>
          </w:tcPr>
          <w:p w14:paraId="084253A1">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r>
              <w:rPr>
                <w:rFonts w:hint="default" w:ascii="Times New Roman" w:cs="Times New Roman"/>
                <w:kern w:val="2"/>
                <w:sz w:val="21"/>
                <w:szCs w:val="21"/>
                <w:highlight w:val="none"/>
              </w:rPr>
              <w:t>桶装封闭贮存</w:t>
            </w:r>
          </w:p>
        </w:tc>
        <w:tc>
          <w:tcPr>
            <w:tcW w:w="500" w:type="pct"/>
            <w:tcBorders>
              <w:tl2br w:val="nil"/>
              <w:tr2bl w:val="nil"/>
            </w:tcBorders>
            <w:vAlign w:val="center"/>
          </w:tcPr>
          <w:p w14:paraId="418BC398">
            <w:pPr>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0.48</w:t>
            </w:r>
          </w:p>
        </w:tc>
        <w:tc>
          <w:tcPr>
            <w:tcW w:w="408" w:type="pct"/>
            <w:tcBorders>
              <w:tl2br w:val="nil"/>
              <w:tr2bl w:val="nil"/>
            </w:tcBorders>
            <w:vAlign w:val="center"/>
          </w:tcPr>
          <w:p w14:paraId="54046851">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2"/>
                <w:sz w:val="21"/>
                <w:szCs w:val="21"/>
                <w:highlight w:val="none"/>
              </w:rPr>
            </w:pPr>
            <w:r>
              <w:rPr>
                <w:rFonts w:hint="eastAsia" w:ascii="Times New Roman" w:hAnsi="Times New Roman" w:cs="Times New Roman"/>
                <w:kern w:val="2"/>
                <w:sz w:val="21"/>
                <w:szCs w:val="21"/>
                <w:highlight w:val="none"/>
              </w:rPr>
              <w:t>10天</w:t>
            </w:r>
          </w:p>
        </w:tc>
      </w:tr>
      <w:tr w14:paraId="2B9A45F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5" w:hRule="atLeast"/>
        </w:trPr>
        <w:tc>
          <w:tcPr>
            <w:tcW w:w="239" w:type="pct"/>
            <w:tcBorders>
              <w:tl2br w:val="nil"/>
              <w:tr2bl w:val="nil"/>
            </w:tcBorders>
            <w:vAlign w:val="center"/>
          </w:tcPr>
          <w:p w14:paraId="5321F79D">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0"/>
                <w:sz w:val="21"/>
                <w:szCs w:val="21"/>
                <w:highlight w:val="none"/>
              </w:rPr>
            </w:pPr>
            <w:r>
              <w:rPr>
                <w:rFonts w:hint="eastAsia" w:ascii="Times New Roman" w:hAnsi="Times New Roman" w:cs="Times New Roman"/>
                <w:kern w:val="0"/>
                <w:sz w:val="21"/>
                <w:szCs w:val="21"/>
                <w:highlight w:val="none"/>
              </w:rPr>
              <w:t>12</w:t>
            </w:r>
          </w:p>
        </w:tc>
        <w:tc>
          <w:tcPr>
            <w:tcW w:w="230" w:type="pct"/>
            <w:vMerge w:val="continue"/>
            <w:tcBorders>
              <w:tl2br w:val="nil"/>
              <w:tr2bl w:val="nil"/>
            </w:tcBorders>
            <w:vAlign w:val="center"/>
          </w:tcPr>
          <w:p w14:paraId="137D585F">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hAnsi="Times New Roman" w:cs="Times New Roman"/>
                <w:kern w:val="0"/>
                <w:sz w:val="21"/>
                <w:szCs w:val="21"/>
                <w:highlight w:val="none"/>
              </w:rPr>
            </w:pPr>
          </w:p>
        </w:tc>
        <w:tc>
          <w:tcPr>
            <w:tcW w:w="626" w:type="pct"/>
            <w:tcBorders>
              <w:tl2br w:val="nil"/>
              <w:tr2bl w:val="nil"/>
            </w:tcBorders>
            <w:vAlign w:val="center"/>
          </w:tcPr>
          <w:p w14:paraId="4B74B082">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cs="Times New Roman"/>
                <w:kern w:val="2"/>
                <w:sz w:val="21"/>
                <w:szCs w:val="21"/>
                <w:highlight w:val="none"/>
              </w:rPr>
            </w:pPr>
            <w:r>
              <w:rPr>
                <w:rFonts w:hint="default" w:ascii="Times New Roman" w:cs="Times New Roman"/>
                <w:kern w:val="2"/>
                <w:sz w:val="21"/>
                <w:szCs w:val="21"/>
                <w:highlight w:val="none"/>
              </w:rPr>
              <w:t>废油</w:t>
            </w:r>
          </w:p>
        </w:tc>
        <w:tc>
          <w:tcPr>
            <w:tcW w:w="327" w:type="pct"/>
            <w:tcBorders>
              <w:tl2br w:val="nil"/>
              <w:tr2bl w:val="nil"/>
            </w:tcBorders>
            <w:vAlign w:val="center"/>
          </w:tcPr>
          <w:p w14:paraId="024A2325">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cs="Times New Roman"/>
                <w:kern w:val="2"/>
                <w:sz w:val="21"/>
                <w:szCs w:val="21"/>
                <w:highlight w:val="none"/>
              </w:rPr>
            </w:pPr>
            <w:r>
              <w:rPr>
                <w:rFonts w:hint="default" w:ascii="Times New Roman" w:cs="Times New Roman"/>
                <w:kern w:val="2"/>
                <w:sz w:val="21"/>
                <w:szCs w:val="21"/>
                <w:highlight w:val="none"/>
              </w:rPr>
              <w:t>HW08</w:t>
            </w:r>
          </w:p>
        </w:tc>
        <w:tc>
          <w:tcPr>
            <w:tcW w:w="689" w:type="pct"/>
            <w:tcBorders>
              <w:tl2br w:val="nil"/>
              <w:tr2bl w:val="nil"/>
            </w:tcBorders>
            <w:vAlign w:val="center"/>
          </w:tcPr>
          <w:p w14:paraId="1CFDD96B">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cs="Times New Roman"/>
                <w:kern w:val="2"/>
                <w:sz w:val="21"/>
                <w:szCs w:val="21"/>
                <w:highlight w:val="none"/>
              </w:rPr>
            </w:pPr>
            <w:r>
              <w:rPr>
                <w:rFonts w:hint="default" w:ascii="Times New Roman" w:cs="Times New Roman"/>
                <w:kern w:val="2"/>
                <w:sz w:val="21"/>
                <w:szCs w:val="21"/>
                <w:highlight w:val="none"/>
              </w:rPr>
              <w:t>900-210-08</w:t>
            </w:r>
          </w:p>
        </w:tc>
        <w:tc>
          <w:tcPr>
            <w:tcW w:w="551" w:type="pct"/>
            <w:vMerge w:val="continue"/>
            <w:tcBorders>
              <w:tl2br w:val="nil"/>
              <w:tr2bl w:val="nil"/>
            </w:tcBorders>
            <w:vAlign w:val="center"/>
          </w:tcPr>
          <w:p w14:paraId="52059B88">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cs="Times New Roman"/>
                <w:kern w:val="2"/>
                <w:sz w:val="21"/>
                <w:szCs w:val="21"/>
                <w:highlight w:val="none"/>
              </w:rPr>
            </w:pPr>
          </w:p>
        </w:tc>
        <w:tc>
          <w:tcPr>
            <w:tcW w:w="402" w:type="pct"/>
            <w:vMerge w:val="continue"/>
            <w:tcBorders>
              <w:tl2br w:val="nil"/>
              <w:tr2bl w:val="nil"/>
            </w:tcBorders>
            <w:vAlign w:val="center"/>
          </w:tcPr>
          <w:p w14:paraId="025EEB80">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cs="Times New Roman"/>
                <w:kern w:val="2"/>
                <w:sz w:val="21"/>
                <w:szCs w:val="21"/>
                <w:highlight w:val="none"/>
              </w:rPr>
            </w:pPr>
          </w:p>
        </w:tc>
        <w:tc>
          <w:tcPr>
            <w:tcW w:w="403" w:type="pct"/>
            <w:vMerge w:val="continue"/>
            <w:tcBorders>
              <w:tl2br w:val="nil"/>
              <w:tr2bl w:val="nil"/>
            </w:tcBorders>
            <w:vAlign w:val="center"/>
          </w:tcPr>
          <w:p w14:paraId="1B3111BF">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cs="Times New Roman"/>
                <w:kern w:val="2"/>
                <w:sz w:val="21"/>
                <w:szCs w:val="21"/>
                <w:highlight w:val="none"/>
              </w:rPr>
            </w:pPr>
          </w:p>
        </w:tc>
        <w:tc>
          <w:tcPr>
            <w:tcW w:w="622" w:type="pct"/>
            <w:tcBorders>
              <w:tl2br w:val="nil"/>
              <w:tr2bl w:val="nil"/>
            </w:tcBorders>
            <w:vAlign w:val="center"/>
          </w:tcPr>
          <w:p w14:paraId="47022BBC">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cs="Times New Roman"/>
                <w:kern w:val="2"/>
                <w:sz w:val="21"/>
                <w:szCs w:val="21"/>
                <w:highlight w:val="none"/>
              </w:rPr>
            </w:pPr>
            <w:r>
              <w:rPr>
                <w:rFonts w:hint="default" w:ascii="Times New Roman" w:cs="Times New Roman"/>
                <w:kern w:val="2"/>
                <w:sz w:val="21"/>
                <w:szCs w:val="21"/>
                <w:highlight w:val="none"/>
              </w:rPr>
              <w:t>桶装封闭贮存</w:t>
            </w:r>
          </w:p>
        </w:tc>
        <w:tc>
          <w:tcPr>
            <w:tcW w:w="500" w:type="pct"/>
            <w:tcBorders>
              <w:tl2br w:val="nil"/>
              <w:tr2bl w:val="nil"/>
            </w:tcBorders>
            <w:vAlign w:val="center"/>
          </w:tcPr>
          <w:p w14:paraId="6C959C58">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cs="Times New Roman"/>
                <w:kern w:val="2"/>
                <w:sz w:val="21"/>
                <w:szCs w:val="21"/>
                <w:highlight w:val="none"/>
              </w:rPr>
            </w:pPr>
            <w:bookmarkStart w:id="478" w:name="_Toc2519"/>
            <w:r>
              <w:rPr>
                <w:rFonts w:hint="eastAsia" w:ascii="Times New Roman" w:cs="Times New Roman"/>
                <w:kern w:val="2"/>
                <w:sz w:val="21"/>
                <w:szCs w:val="21"/>
                <w:highlight w:val="none"/>
              </w:rPr>
              <w:t>0.2</w:t>
            </w:r>
            <w:bookmarkEnd w:id="478"/>
          </w:p>
        </w:tc>
        <w:tc>
          <w:tcPr>
            <w:tcW w:w="408" w:type="pct"/>
            <w:tcBorders>
              <w:tl2br w:val="nil"/>
              <w:tr2bl w:val="nil"/>
            </w:tcBorders>
            <w:vAlign w:val="center"/>
          </w:tcPr>
          <w:p w14:paraId="403AA0B9">
            <w:pPr>
              <w:pStyle w:val="76"/>
              <w:keepNext w:val="0"/>
              <w:keepLines w:val="0"/>
              <w:suppressLineNumbers w:val="0"/>
              <w:wordWrap/>
              <w:adjustRightInd/>
              <w:snapToGrid/>
              <w:spacing w:before="0" w:beforeAutospacing="0" w:after="0" w:afterAutospacing="0" w:line="0" w:lineRule="atLeast"/>
              <w:ind w:left="0" w:right="0" w:firstLine="0" w:firstLineChars="0"/>
              <w:contextualSpacing/>
              <w:jc w:val="center"/>
              <w:rPr>
                <w:rFonts w:hint="default" w:ascii="Times New Roman" w:cs="Times New Roman"/>
                <w:kern w:val="2"/>
                <w:sz w:val="21"/>
                <w:szCs w:val="21"/>
                <w:highlight w:val="none"/>
              </w:rPr>
            </w:pPr>
            <w:r>
              <w:rPr>
                <w:rFonts w:hint="eastAsia" w:ascii="Times New Roman" w:cs="Times New Roman"/>
                <w:kern w:val="2"/>
                <w:sz w:val="21"/>
                <w:szCs w:val="21"/>
                <w:highlight w:val="none"/>
              </w:rPr>
              <w:t>10天</w:t>
            </w:r>
          </w:p>
        </w:tc>
      </w:tr>
    </w:tbl>
    <w:p w14:paraId="3E519C28">
      <w:pPr>
        <w:spacing w:line="360" w:lineRule="auto"/>
        <w:contextualSpacing/>
        <w:rPr>
          <w:rFonts w:eastAsiaTheme="minorEastAsia"/>
          <w:bCs/>
          <w:sz w:val="24"/>
          <w:highlight w:val="none"/>
        </w:rPr>
        <w:sectPr>
          <w:pgSz w:w="16838" w:h="11906" w:orient="landscape"/>
          <w:pgMar w:top="1800" w:right="1440" w:bottom="1800" w:left="1440" w:header="851" w:footer="992" w:gutter="0"/>
          <w:pgBorders w:offsetFrom="page">
            <w:top w:val="none" w:sz="0" w:space="0"/>
            <w:left w:val="none" w:sz="0" w:space="0"/>
            <w:bottom w:val="none" w:sz="0" w:space="0"/>
            <w:right w:val="none" w:sz="0" w:space="0"/>
          </w:pgBorders>
          <w:cols w:space="425" w:num="1"/>
          <w:docGrid w:type="lines" w:linePitch="312" w:charSpace="0"/>
        </w:sectPr>
      </w:pPr>
    </w:p>
    <w:p w14:paraId="26BE85F6">
      <w:pPr>
        <w:spacing w:line="360" w:lineRule="auto"/>
        <w:ind w:firstLine="480" w:firstLineChars="200"/>
        <w:contextualSpacing/>
        <w:rPr>
          <w:rFonts w:eastAsiaTheme="minorEastAsia"/>
          <w:sz w:val="24"/>
          <w:highlight w:val="none"/>
        </w:rPr>
      </w:pPr>
      <w:r>
        <w:rPr>
          <w:rFonts w:hAnsiTheme="minorEastAsia" w:eastAsiaTheme="minorEastAsia"/>
          <w:sz w:val="24"/>
          <w:highlight w:val="none"/>
        </w:rPr>
        <w:t>建设项目强化废物产生、收集、贮运各环节的管理，杜绝固废在厂区内的散失、渗漏。做好固体废物在厂区内的收集防护工作，</w:t>
      </w:r>
      <w:r>
        <w:rPr>
          <w:rFonts w:hint="eastAsia" w:hAnsiTheme="minorEastAsia" w:eastAsiaTheme="minorEastAsia"/>
          <w:sz w:val="24"/>
          <w:highlight w:val="none"/>
          <w:lang w:val="en-US" w:eastAsia="zh-CN"/>
        </w:rPr>
        <w:t>危废在厂区内运输，厂区内运输路线没有环境敏感点，</w:t>
      </w:r>
      <w:r>
        <w:rPr>
          <w:rFonts w:hAnsiTheme="minorEastAsia" w:eastAsiaTheme="minorEastAsia"/>
          <w:sz w:val="24"/>
          <w:highlight w:val="none"/>
        </w:rPr>
        <w:t>收集后</w:t>
      </w:r>
      <w:r>
        <w:rPr>
          <w:rFonts w:hint="eastAsia" w:hAnsiTheme="minorEastAsia" w:eastAsiaTheme="minorEastAsia"/>
          <w:sz w:val="24"/>
          <w:highlight w:val="none"/>
          <w:lang w:val="en-US" w:eastAsia="zh-CN"/>
        </w:rPr>
        <w:t>于危废贮存库暂存，委托有资质单位</w:t>
      </w:r>
      <w:r>
        <w:rPr>
          <w:rFonts w:hAnsiTheme="minorEastAsia" w:eastAsiaTheme="minorEastAsia"/>
          <w:sz w:val="24"/>
          <w:highlight w:val="none"/>
        </w:rPr>
        <w:t>进行</w:t>
      </w:r>
      <w:r>
        <w:rPr>
          <w:rFonts w:hint="eastAsia" w:hAnsiTheme="minorEastAsia" w:eastAsiaTheme="minorEastAsia"/>
          <w:sz w:val="24"/>
          <w:highlight w:val="none"/>
          <w:lang w:val="en-US" w:eastAsia="zh-CN"/>
        </w:rPr>
        <w:t>运输和</w:t>
      </w:r>
      <w:r>
        <w:rPr>
          <w:rFonts w:hAnsiTheme="minorEastAsia" w:eastAsiaTheme="minorEastAsia"/>
          <w:sz w:val="24"/>
          <w:highlight w:val="none"/>
        </w:rPr>
        <w:t>有效处置。建立完善的规章制度，以降低危险固体废物散落对周围环境的影响。</w:t>
      </w:r>
    </w:p>
    <w:p w14:paraId="555676C2">
      <w:pPr>
        <w:spacing w:line="360" w:lineRule="auto"/>
        <w:ind w:firstLine="480" w:firstLineChars="200"/>
        <w:contextualSpacing/>
        <w:rPr>
          <w:rFonts w:eastAsiaTheme="minorEastAsia"/>
          <w:sz w:val="24"/>
          <w:highlight w:val="none"/>
        </w:rPr>
      </w:pPr>
      <w:r>
        <w:rPr>
          <w:rFonts w:hAnsiTheme="minorEastAsia" w:eastAsiaTheme="minorEastAsia"/>
          <w:sz w:val="24"/>
          <w:highlight w:val="none"/>
        </w:rPr>
        <w:t>因此，建设项目产生的固体废物经有效处理和处置后对环境影响较小。</w:t>
      </w:r>
    </w:p>
    <w:p w14:paraId="65ECE9D0">
      <w:pPr>
        <w:pStyle w:val="4"/>
        <w:bidi w:val="0"/>
        <w:rPr>
          <w:rFonts w:hint="eastAsia"/>
          <w:highlight w:val="none"/>
          <w:lang w:val="en-US" w:eastAsia="zh-CN"/>
        </w:rPr>
      </w:pPr>
      <w:bookmarkStart w:id="479" w:name="_Toc25585"/>
      <w:bookmarkStart w:id="480" w:name="_Toc14694"/>
      <w:r>
        <w:rPr>
          <w:highlight w:val="none"/>
        </w:rPr>
        <w:t>5.2.</w:t>
      </w:r>
      <w:r>
        <w:rPr>
          <w:rFonts w:hint="eastAsia"/>
          <w:highlight w:val="none"/>
          <w:lang w:val="en-US" w:eastAsia="zh-CN"/>
        </w:rPr>
        <w:t>6土壤环境影响预测与评价</w:t>
      </w:r>
      <w:bookmarkEnd w:id="479"/>
      <w:bookmarkEnd w:id="480"/>
    </w:p>
    <w:p w14:paraId="44593CB0">
      <w:pPr>
        <w:bidi w:val="0"/>
        <w:rPr>
          <w:rFonts w:hint="default" w:eastAsiaTheme="minorEastAsia"/>
          <w:b/>
          <w:snapToGrid w:val="0"/>
          <w:spacing w:val="0"/>
          <w:position w:val="0"/>
          <w:sz w:val="24"/>
          <w:highlight w:val="none"/>
          <w:lang w:val="en-US" w:eastAsia="zh-CN"/>
        </w:rPr>
      </w:pPr>
      <w:r>
        <w:rPr>
          <w:rFonts w:eastAsiaTheme="minorEastAsia"/>
          <w:b/>
          <w:snapToGrid w:val="0"/>
          <w:spacing w:val="0"/>
          <w:position w:val="0"/>
          <w:sz w:val="24"/>
          <w:highlight w:val="none"/>
        </w:rPr>
        <w:t>5.2.</w:t>
      </w:r>
      <w:r>
        <w:rPr>
          <w:rFonts w:hint="eastAsia" w:eastAsiaTheme="minorEastAsia"/>
          <w:b/>
          <w:snapToGrid w:val="0"/>
          <w:spacing w:val="0"/>
          <w:position w:val="0"/>
          <w:sz w:val="24"/>
          <w:highlight w:val="none"/>
          <w:lang w:val="en-US" w:eastAsia="zh-CN"/>
        </w:rPr>
        <w:t>6</w:t>
      </w:r>
      <w:r>
        <w:rPr>
          <w:rFonts w:eastAsiaTheme="minorEastAsia"/>
          <w:b/>
          <w:snapToGrid w:val="0"/>
          <w:spacing w:val="0"/>
          <w:position w:val="0"/>
          <w:sz w:val="24"/>
          <w:highlight w:val="none"/>
        </w:rPr>
        <w:t>.</w:t>
      </w:r>
      <w:r>
        <w:rPr>
          <w:rFonts w:hint="eastAsia" w:eastAsiaTheme="minorEastAsia"/>
          <w:b/>
          <w:snapToGrid w:val="0"/>
          <w:spacing w:val="0"/>
          <w:position w:val="0"/>
          <w:sz w:val="24"/>
          <w:highlight w:val="none"/>
          <w:lang w:val="en-US" w:eastAsia="zh-CN"/>
        </w:rPr>
        <w:t>1</w:t>
      </w:r>
      <w:r>
        <w:rPr>
          <w:rFonts w:hint="eastAsia" w:hAnsiTheme="minorEastAsia" w:eastAsiaTheme="minorEastAsia"/>
          <w:b/>
          <w:snapToGrid w:val="0"/>
          <w:spacing w:val="0"/>
          <w:position w:val="0"/>
          <w:sz w:val="24"/>
          <w:highlight w:val="none"/>
          <w:lang w:val="en-US" w:eastAsia="zh-CN"/>
        </w:rPr>
        <w:t>土壤环境影响识别</w:t>
      </w:r>
    </w:p>
    <w:p w14:paraId="18967E9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宋体" w:hAnsi="宋体" w:eastAsia="宋体" w:cs="宋体"/>
          <w:spacing w:val="0"/>
          <w:position w:val="0"/>
          <w:sz w:val="24"/>
          <w:szCs w:val="24"/>
          <w:highlight w:val="none"/>
          <w:lang w:eastAsia="zh-CN"/>
        </w:rPr>
      </w:pPr>
      <w:r>
        <w:rPr>
          <w:rFonts w:hint="eastAsia" w:ascii="宋体" w:hAnsi="宋体" w:eastAsia="宋体" w:cs="宋体"/>
          <w:b w:val="0"/>
          <w:bCs w:val="0"/>
          <w:i w:val="0"/>
          <w:iCs w:val="0"/>
          <w:color w:val="000000"/>
          <w:spacing w:val="0"/>
          <w:position w:val="0"/>
          <w:sz w:val="24"/>
          <w:szCs w:val="24"/>
          <w:highlight w:val="none"/>
        </w:rPr>
        <w:t>本项目对土壤的影响主要来自运营期，本项目对土壤的影响类型和途径见下表。</w:t>
      </w:r>
    </w:p>
    <w:p w14:paraId="2DFE3AB8">
      <w:pPr>
        <w:pStyle w:val="7"/>
        <w:bidi w:val="0"/>
        <w:rPr>
          <w:highlight w:val="none"/>
        </w:rPr>
      </w:pPr>
      <w:r>
        <w:rPr>
          <w:rFonts w:hint="eastAsia"/>
          <w:highlight w:val="none"/>
          <w:lang w:val="en-US" w:eastAsia="zh-CN"/>
        </w:rPr>
        <w:t>表</w:t>
      </w:r>
      <w:r>
        <w:rPr>
          <w:rFonts w:hint="default"/>
          <w:highlight w:val="none"/>
          <w:lang w:val="en-US" w:eastAsia="zh-CN"/>
        </w:rPr>
        <w:t>5-2-</w:t>
      </w:r>
      <w:r>
        <w:rPr>
          <w:rFonts w:hint="eastAsia"/>
          <w:highlight w:val="none"/>
          <w:lang w:val="en-US" w:eastAsia="zh-CN"/>
        </w:rPr>
        <w:t>21本项目土壤影响类型与途径表</w:t>
      </w:r>
    </w:p>
    <w:tbl>
      <w:tblPr>
        <w:tblStyle w:val="739"/>
        <w:tblW w:w="0" w:type="auto"/>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shd w:val="clear" w:color="auto" w:fill="auto"/>
        <w:tblLayout w:type="fixed"/>
        <w:tblCellMar>
          <w:top w:w="0" w:type="dxa"/>
          <w:left w:w="0" w:type="dxa"/>
          <w:bottom w:w="0" w:type="dxa"/>
          <w:right w:w="0" w:type="dxa"/>
        </w:tblCellMar>
      </w:tblPr>
      <w:tblGrid>
        <w:gridCol w:w="2379"/>
        <w:gridCol w:w="2100"/>
        <w:gridCol w:w="2088"/>
        <w:gridCol w:w="1920"/>
      </w:tblGrid>
      <w:tr w14:paraId="53E57D61">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shd w:val="clear" w:color="auto" w:fill="auto"/>
          <w:tblCellMar>
            <w:top w:w="0" w:type="dxa"/>
            <w:left w:w="0" w:type="dxa"/>
            <w:bottom w:w="0" w:type="dxa"/>
            <w:right w:w="0" w:type="dxa"/>
          </w:tblCellMar>
        </w:tblPrEx>
        <w:trPr>
          <w:trHeight w:val="314" w:hRule="atLeast"/>
          <w:jc w:val="center"/>
        </w:trPr>
        <w:tc>
          <w:tcPr>
            <w:tcW w:w="2379" w:type="dxa"/>
            <w:vMerge w:val="restart"/>
            <w:tcBorders>
              <w:top w:val="single" w:color="000000" w:sz="12" w:space="0"/>
              <w:left w:val="nil"/>
              <w:bottom w:val="single" w:color="000000" w:sz="2" w:space="0"/>
              <w:right w:val="single" w:color="000000" w:sz="2" w:space="0"/>
            </w:tcBorders>
            <w:shd w:val="clear" w:color="auto" w:fill="auto"/>
            <w:vAlign w:val="center"/>
          </w:tcPr>
          <w:p w14:paraId="05C83295">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不同时段</w:t>
            </w:r>
          </w:p>
        </w:tc>
        <w:tc>
          <w:tcPr>
            <w:tcW w:w="6108" w:type="dxa"/>
            <w:gridSpan w:val="3"/>
            <w:tcBorders>
              <w:top w:val="single" w:color="000000" w:sz="12" w:space="0"/>
              <w:left w:val="single" w:color="000000" w:sz="2" w:space="0"/>
              <w:bottom w:val="single" w:color="000000" w:sz="2" w:space="0"/>
              <w:right w:val="nil"/>
            </w:tcBorders>
            <w:shd w:val="clear" w:color="auto" w:fill="auto"/>
            <w:vAlign w:val="center"/>
          </w:tcPr>
          <w:p w14:paraId="38ED06A0">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污染影响型</w:t>
            </w:r>
          </w:p>
        </w:tc>
      </w:tr>
      <w:tr w14:paraId="6D0ECF2C">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1" w:hRule="atLeast"/>
          <w:jc w:val="center"/>
        </w:trPr>
        <w:tc>
          <w:tcPr>
            <w:tcW w:w="2379" w:type="dxa"/>
            <w:vMerge w:val="continue"/>
            <w:tcBorders>
              <w:top w:val="single" w:color="000000" w:sz="12" w:space="0"/>
              <w:left w:val="nil"/>
              <w:bottom w:val="single" w:color="000000" w:sz="2" w:space="0"/>
              <w:right w:val="single" w:color="000000" w:sz="2" w:space="0"/>
            </w:tcBorders>
            <w:shd w:val="clear" w:color="auto" w:fill="auto"/>
            <w:vAlign w:val="center"/>
          </w:tcPr>
          <w:p w14:paraId="5D937416">
            <w:pPr>
              <w:pStyle w:val="8"/>
              <w:suppressLineNumbers w:val="0"/>
              <w:bidi w:val="0"/>
              <w:spacing w:before="0" w:beforeAutospacing="0" w:after="0" w:afterAutospacing="0"/>
              <w:ind w:left="0" w:right="0"/>
              <w:rPr>
                <w:rFonts w:hint="default"/>
                <w:snapToGrid w:val="0"/>
                <w:highlight w:val="none"/>
                <w:lang w:eastAsia="en-US"/>
              </w:rPr>
            </w:pPr>
          </w:p>
        </w:tc>
        <w:tc>
          <w:tcPr>
            <w:tcW w:w="2100" w:type="dxa"/>
            <w:tcBorders>
              <w:top w:val="single" w:color="000000" w:sz="2" w:space="0"/>
              <w:left w:val="single" w:color="000000" w:sz="2" w:space="0"/>
              <w:bottom w:val="single" w:color="000000" w:sz="2" w:space="0"/>
              <w:right w:val="single" w:color="000000" w:sz="2" w:space="0"/>
            </w:tcBorders>
            <w:shd w:val="clear" w:color="auto" w:fill="auto"/>
            <w:vAlign w:val="center"/>
          </w:tcPr>
          <w:p w14:paraId="7F56D486">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大气沉降</w:t>
            </w:r>
          </w:p>
        </w:tc>
        <w:tc>
          <w:tcPr>
            <w:tcW w:w="2088" w:type="dxa"/>
            <w:tcBorders>
              <w:top w:val="single" w:color="000000" w:sz="2" w:space="0"/>
              <w:left w:val="single" w:color="000000" w:sz="2" w:space="0"/>
              <w:bottom w:val="single" w:color="000000" w:sz="2" w:space="0"/>
              <w:right w:val="single" w:color="000000" w:sz="2" w:space="0"/>
            </w:tcBorders>
            <w:shd w:val="clear" w:color="auto" w:fill="auto"/>
            <w:vAlign w:val="center"/>
          </w:tcPr>
          <w:p w14:paraId="15484CA6">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地面漫流</w:t>
            </w:r>
          </w:p>
        </w:tc>
        <w:tc>
          <w:tcPr>
            <w:tcW w:w="1920" w:type="dxa"/>
            <w:tcBorders>
              <w:top w:val="single" w:color="000000" w:sz="2" w:space="0"/>
              <w:left w:val="single" w:color="000000" w:sz="2" w:space="0"/>
              <w:bottom w:val="single" w:color="000000" w:sz="2" w:space="0"/>
              <w:right w:val="nil"/>
            </w:tcBorders>
            <w:shd w:val="clear" w:color="auto" w:fill="auto"/>
            <w:vAlign w:val="center"/>
          </w:tcPr>
          <w:p w14:paraId="605C4AC3">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垂直入渗</w:t>
            </w:r>
          </w:p>
        </w:tc>
      </w:tr>
      <w:tr w14:paraId="6BEEE185">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1" w:hRule="atLeast"/>
          <w:jc w:val="center"/>
        </w:trPr>
        <w:tc>
          <w:tcPr>
            <w:tcW w:w="2379" w:type="dxa"/>
            <w:tcBorders>
              <w:top w:val="single" w:color="000000" w:sz="2" w:space="0"/>
              <w:left w:val="nil"/>
              <w:bottom w:val="single" w:color="000000" w:sz="12" w:space="0"/>
              <w:right w:val="single" w:color="000000" w:sz="2" w:space="0"/>
            </w:tcBorders>
            <w:shd w:val="clear" w:color="auto" w:fill="auto"/>
            <w:vAlign w:val="center"/>
          </w:tcPr>
          <w:p w14:paraId="7E05450D">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运营期</w:t>
            </w:r>
          </w:p>
        </w:tc>
        <w:tc>
          <w:tcPr>
            <w:tcW w:w="2100" w:type="dxa"/>
            <w:tcBorders>
              <w:top w:val="single" w:color="000000" w:sz="2" w:space="0"/>
              <w:left w:val="single" w:color="000000" w:sz="2" w:space="0"/>
              <w:bottom w:val="single" w:color="000000" w:sz="12" w:space="0"/>
              <w:right w:val="single" w:color="000000" w:sz="2" w:space="0"/>
            </w:tcBorders>
            <w:shd w:val="clear" w:color="auto" w:fill="auto"/>
            <w:vAlign w:val="center"/>
          </w:tcPr>
          <w:p w14:paraId="7D8417A4">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w:t>
            </w:r>
          </w:p>
        </w:tc>
        <w:tc>
          <w:tcPr>
            <w:tcW w:w="2088" w:type="dxa"/>
            <w:tcBorders>
              <w:top w:val="single" w:color="000000" w:sz="2" w:space="0"/>
              <w:left w:val="single" w:color="000000" w:sz="2" w:space="0"/>
              <w:bottom w:val="single" w:color="000000" w:sz="12" w:space="0"/>
              <w:right w:val="single" w:color="000000" w:sz="2" w:space="0"/>
            </w:tcBorders>
            <w:shd w:val="clear" w:color="auto" w:fill="auto"/>
            <w:vAlign w:val="center"/>
          </w:tcPr>
          <w:p w14:paraId="5AF5D777">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w:t>
            </w:r>
          </w:p>
        </w:tc>
        <w:tc>
          <w:tcPr>
            <w:tcW w:w="1920" w:type="dxa"/>
            <w:tcBorders>
              <w:top w:val="single" w:color="000000" w:sz="2" w:space="0"/>
              <w:left w:val="single" w:color="000000" w:sz="2" w:space="0"/>
              <w:bottom w:val="single" w:color="000000" w:sz="12" w:space="0"/>
              <w:right w:val="nil"/>
            </w:tcBorders>
            <w:shd w:val="clear" w:color="auto" w:fill="auto"/>
            <w:vAlign w:val="center"/>
          </w:tcPr>
          <w:p w14:paraId="4EB6CC57">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w:t>
            </w:r>
          </w:p>
        </w:tc>
      </w:tr>
    </w:tbl>
    <w:p w14:paraId="132A7199">
      <w:pPr>
        <w:bidi w:val="0"/>
        <w:rPr>
          <w:rFonts w:hint="eastAsia"/>
          <w:highlight w:val="none"/>
          <w:lang w:val="en-US" w:eastAsia="zh-CN"/>
        </w:rPr>
      </w:pPr>
      <w:r>
        <w:rPr>
          <w:rFonts w:hint="eastAsia"/>
          <w:highlight w:val="none"/>
          <w:lang w:val="en-US" w:eastAsia="zh-CN"/>
        </w:rPr>
        <w:t>本项目土壤环境影响识别见下表。</w:t>
      </w:r>
    </w:p>
    <w:p w14:paraId="1BF8CC1F">
      <w:pPr>
        <w:pStyle w:val="7"/>
        <w:bidi w:val="0"/>
        <w:rPr>
          <w:highlight w:val="none"/>
          <w:lang w:eastAsia="zh-CN"/>
        </w:rPr>
      </w:pPr>
      <w:r>
        <w:rPr>
          <w:rFonts w:hint="default"/>
          <w:highlight w:val="none"/>
          <w:lang w:val="en-US" w:eastAsia="zh-CN"/>
        </w:rPr>
        <w:t>表5-2-</w:t>
      </w:r>
      <w:r>
        <w:rPr>
          <w:rFonts w:hint="eastAsia"/>
          <w:highlight w:val="none"/>
          <w:lang w:val="en-US" w:eastAsia="zh-CN"/>
        </w:rPr>
        <w:t>22</w:t>
      </w:r>
      <w:r>
        <w:rPr>
          <w:rFonts w:hint="default"/>
          <w:highlight w:val="none"/>
          <w:lang w:val="en-US" w:eastAsia="zh-CN"/>
        </w:rPr>
        <w:t>本项目土壤环境影响源及影响因子识别表</w:t>
      </w:r>
    </w:p>
    <w:tbl>
      <w:tblPr>
        <w:tblStyle w:val="739"/>
        <w:tblW w:w="8536"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2" w:space="0"/>
        </w:tblBorders>
        <w:tblLayout w:type="fixed"/>
        <w:tblCellMar>
          <w:top w:w="0" w:type="dxa"/>
          <w:left w:w="0" w:type="dxa"/>
          <w:bottom w:w="0" w:type="dxa"/>
          <w:right w:w="0" w:type="dxa"/>
        </w:tblCellMar>
      </w:tblPr>
      <w:tblGrid>
        <w:gridCol w:w="583"/>
        <w:gridCol w:w="1517"/>
        <w:gridCol w:w="1701"/>
        <w:gridCol w:w="1076"/>
        <w:gridCol w:w="1220"/>
        <w:gridCol w:w="1219"/>
        <w:gridCol w:w="1220"/>
      </w:tblGrid>
      <w:tr w14:paraId="1DCA3B1A">
        <w:tblPrEx>
          <w:tblBorders>
            <w:top w:val="single" w:color="000000" w:sz="12" w:space="0"/>
            <w:left w:val="none" w:color="auto" w:sz="0" w:space="0"/>
            <w:bottom w:val="single" w:color="000000" w:sz="12" w:space="0"/>
            <w:right w:val="none" w:color="auto" w:sz="0" w:space="0"/>
            <w:insideH w:val="single" w:color="000000" w:sz="6" w:space="0"/>
            <w:insideV w:val="single" w:color="000000" w:sz="2" w:space="0"/>
          </w:tblBorders>
          <w:tblCellMar>
            <w:top w:w="0" w:type="dxa"/>
            <w:left w:w="0" w:type="dxa"/>
            <w:bottom w:w="0" w:type="dxa"/>
            <w:right w:w="0" w:type="dxa"/>
          </w:tblCellMar>
        </w:tblPrEx>
        <w:trPr>
          <w:trHeight w:val="642" w:hRule="atLeast"/>
          <w:jc w:val="center"/>
        </w:trPr>
        <w:tc>
          <w:tcPr>
            <w:tcW w:w="2100" w:type="dxa"/>
            <w:gridSpan w:val="2"/>
            <w:tcBorders>
              <w:tl2br w:val="nil"/>
              <w:tr2bl w:val="nil"/>
            </w:tcBorders>
            <w:vAlign w:val="center"/>
          </w:tcPr>
          <w:p w14:paraId="23D55A1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snapToGrid w:val="0"/>
                <w:color w:val="auto"/>
                <w:spacing w:val="-1"/>
                <w:sz w:val="21"/>
                <w:szCs w:val="21"/>
                <w:highlight w:val="none"/>
              </w:rPr>
            </w:pPr>
            <w:r>
              <w:rPr>
                <w:rFonts w:hint="default" w:ascii="Times New Roman" w:hAnsi="Times New Roman" w:eastAsia="宋体" w:cs="Times New Roman"/>
                <w:b w:val="0"/>
                <w:bCs/>
                <w:snapToGrid w:val="0"/>
                <w:color w:val="auto"/>
                <w:spacing w:val="-1"/>
                <w:sz w:val="21"/>
                <w:szCs w:val="21"/>
                <w:highlight w:val="none"/>
              </w:rPr>
              <w:t>污染源</w:t>
            </w:r>
          </w:p>
        </w:tc>
        <w:tc>
          <w:tcPr>
            <w:tcW w:w="1701" w:type="dxa"/>
            <w:tcBorders>
              <w:tl2br w:val="nil"/>
              <w:tr2bl w:val="nil"/>
            </w:tcBorders>
            <w:vAlign w:val="center"/>
          </w:tcPr>
          <w:p w14:paraId="50B81B3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snapToGrid w:val="0"/>
                <w:color w:val="auto"/>
                <w:spacing w:val="-1"/>
                <w:sz w:val="21"/>
                <w:szCs w:val="21"/>
                <w:highlight w:val="none"/>
              </w:rPr>
            </w:pPr>
            <w:r>
              <w:rPr>
                <w:rFonts w:hint="default" w:ascii="Times New Roman" w:hAnsi="Times New Roman" w:eastAsia="宋体" w:cs="Times New Roman"/>
                <w:b w:val="0"/>
                <w:bCs/>
                <w:snapToGrid w:val="0"/>
                <w:color w:val="auto"/>
                <w:spacing w:val="-1"/>
                <w:sz w:val="21"/>
                <w:szCs w:val="21"/>
                <w:highlight w:val="none"/>
              </w:rPr>
              <w:t>工艺流程/节点</w:t>
            </w:r>
          </w:p>
        </w:tc>
        <w:tc>
          <w:tcPr>
            <w:tcW w:w="1076" w:type="dxa"/>
            <w:tcBorders>
              <w:tl2br w:val="nil"/>
              <w:tr2bl w:val="nil"/>
            </w:tcBorders>
            <w:vAlign w:val="center"/>
          </w:tcPr>
          <w:p w14:paraId="1943A89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snapToGrid w:val="0"/>
                <w:color w:val="auto"/>
                <w:spacing w:val="-1"/>
                <w:sz w:val="21"/>
                <w:szCs w:val="21"/>
                <w:highlight w:val="none"/>
              </w:rPr>
            </w:pPr>
            <w:r>
              <w:rPr>
                <w:rFonts w:hint="default" w:ascii="Times New Roman" w:hAnsi="Times New Roman" w:eastAsia="宋体" w:cs="Times New Roman"/>
                <w:b w:val="0"/>
                <w:bCs/>
                <w:snapToGrid w:val="0"/>
                <w:color w:val="auto"/>
                <w:spacing w:val="-1"/>
                <w:sz w:val="21"/>
                <w:szCs w:val="21"/>
                <w:highlight w:val="none"/>
              </w:rPr>
              <w:t>污染途径</w:t>
            </w:r>
          </w:p>
        </w:tc>
        <w:tc>
          <w:tcPr>
            <w:tcW w:w="1220" w:type="dxa"/>
            <w:tcBorders>
              <w:tl2br w:val="nil"/>
              <w:tr2bl w:val="nil"/>
            </w:tcBorders>
            <w:vAlign w:val="center"/>
          </w:tcPr>
          <w:p w14:paraId="0D9E2C3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snapToGrid w:val="0"/>
                <w:color w:val="auto"/>
                <w:spacing w:val="-1"/>
                <w:sz w:val="21"/>
                <w:szCs w:val="21"/>
                <w:highlight w:val="none"/>
              </w:rPr>
            </w:pPr>
            <w:r>
              <w:rPr>
                <w:rFonts w:hint="default" w:ascii="Times New Roman" w:hAnsi="Times New Roman" w:eastAsia="宋体" w:cs="Times New Roman"/>
                <w:b w:val="0"/>
                <w:bCs/>
                <w:snapToGrid w:val="0"/>
                <w:color w:val="auto"/>
                <w:spacing w:val="-1"/>
                <w:sz w:val="21"/>
                <w:szCs w:val="21"/>
                <w:highlight w:val="none"/>
              </w:rPr>
              <w:t>全部污染物指标</w:t>
            </w:r>
          </w:p>
        </w:tc>
        <w:tc>
          <w:tcPr>
            <w:tcW w:w="1219" w:type="dxa"/>
            <w:tcBorders>
              <w:tl2br w:val="nil"/>
              <w:tr2bl w:val="nil"/>
            </w:tcBorders>
            <w:vAlign w:val="center"/>
          </w:tcPr>
          <w:p w14:paraId="47D0489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snapToGrid w:val="0"/>
                <w:color w:val="auto"/>
                <w:spacing w:val="-1"/>
                <w:sz w:val="21"/>
                <w:szCs w:val="21"/>
                <w:highlight w:val="none"/>
              </w:rPr>
            </w:pPr>
            <w:r>
              <w:rPr>
                <w:rFonts w:hint="default" w:ascii="Times New Roman" w:hAnsi="Times New Roman" w:eastAsia="宋体" w:cs="Times New Roman"/>
                <w:b w:val="0"/>
                <w:bCs/>
                <w:snapToGrid w:val="0"/>
                <w:color w:val="auto"/>
                <w:spacing w:val="-1"/>
                <w:sz w:val="21"/>
                <w:szCs w:val="21"/>
                <w:highlight w:val="none"/>
              </w:rPr>
              <w:t>特征因子</w:t>
            </w:r>
          </w:p>
        </w:tc>
        <w:tc>
          <w:tcPr>
            <w:tcW w:w="1220" w:type="dxa"/>
            <w:tcBorders>
              <w:tl2br w:val="nil"/>
              <w:tr2bl w:val="nil"/>
            </w:tcBorders>
            <w:vAlign w:val="center"/>
          </w:tcPr>
          <w:p w14:paraId="638A46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snapToGrid w:val="0"/>
                <w:color w:val="auto"/>
                <w:spacing w:val="-1"/>
                <w:sz w:val="21"/>
                <w:szCs w:val="21"/>
                <w:highlight w:val="none"/>
              </w:rPr>
            </w:pPr>
            <w:r>
              <w:rPr>
                <w:rFonts w:hint="default" w:ascii="Times New Roman" w:hAnsi="Times New Roman" w:eastAsia="宋体" w:cs="Times New Roman"/>
                <w:b w:val="0"/>
                <w:bCs/>
                <w:snapToGrid w:val="0"/>
                <w:color w:val="auto"/>
                <w:spacing w:val="-1"/>
                <w:sz w:val="21"/>
                <w:szCs w:val="21"/>
                <w:highlight w:val="none"/>
              </w:rPr>
              <w:t>备注</w:t>
            </w:r>
          </w:p>
        </w:tc>
      </w:tr>
      <w:tr w14:paraId="748C8B25">
        <w:tblPrEx>
          <w:tblBorders>
            <w:top w:val="single" w:color="000000" w:sz="12" w:space="0"/>
            <w:left w:val="none" w:color="auto" w:sz="0" w:space="0"/>
            <w:bottom w:val="single" w:color="000000" w:sz="12" w:space="0"/>
            <w:right w:val="none" w:color="auto" w:sz="0" w:space="0"/>
            <w:insideH w:val="single" w:color="000000" w:sz="6" w:space="0"/>
            <w:insideV w:val="single" w:color="000000" w:sz="2" w:space="0"/>
          </w:tblBorders>
          <w:tblCellMar>
            <w:top w:w="0" w:type="dxa"/>
            <w:left w:w="0" w:type="dxa"/>
            <w:bottom w:w="0" w:type="dxa"/>
            <w:right w:w="0" w:type="dxa"/>
          </w:tblCellMar>
        </w:tblPrEx>
        <w:trPr>
          <w:trHeight w:val="601" w:hRule="atLeast"/>
          <w:jc w:val="center"/>
        </w:trPr>
        <w:tc>
          <w:tcPr>
            <w:tcW w:w="583" w:type="dxa"/>
            <w:tcBorders>
              <w:tl2br w:val="nil"/>
              <w:tr2bl w:val="nil"/>
            </w:tcBorders>
            <w:vAlign w:val="center"/>
          </w:tcPr>
          <w:p w14:paraId="0B08EA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snapToGrid w:val="0"/>
                <w:color w:val="auto"/>
                <w:spacing w:val="-1"/>
                <w:sz w:val="21"/>
                <w:szCs w:val="21"/>
                <w:highlight w:val="none"/>
              </w:rPr>
            </w:pPr>
            <w:r>
              <w:rPr>
                <w:rFonts w:hint="default" w:ascii="Times New Roman" w:hAnsi="Times New Roman" w:eastAsia="宋体" w:cs="Times New Roman"/>
                <w:b w:val="0"/>
                <w:bCs/>
                <w:snapToGrid w:val="0"/>
                <w:color w:val="auto"/>
                <w:spacing w:val="-1"/>
                <w:sz w:val="21"/>
                <w:szCs w:val="21"/>
                <w:highlight w:val="none"/>
              </w:rPr>
              <w:t>主体工程</w:t>
            </w:r>
          </w:p>
        </w:tc>
        <w:tc>
          <w:tcPr>
            <w:tcW w:w="1517" w:type="dxa"/>
            <w:tcBorders>
              <w:tl2br w:val="nil"/>
              <w:tr2bl w:val="nil"/>
            </w:tcBorders>
            <w:vAlign w:val="center"/>
          </w:tcPr>
          <w:p w14:paraId="62D487F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snapToGrid w:val="0"/>
                <w:color w:val="auto"/>
                <w:spacing w:val="-1"/>
                <w:sz w:val="21"/>
                <w:szCs w:val="21"/>
                <w:highlight w:val="none"/>
                <w:lang w:val="en-US" w:eastAsia="zh-CN"/>
              </w:rPr>
            </w:pPr>
            <w:r>
              <w:rPr>
                <w:rFonts w:hint="eastAsia" w:ascii="Times New Roman" w:hAnsi="Times New Roman" w:eastAsia="宋体" w:cs="Times New Roman"/>
                <w:b w:val="0"/>
                <w:bCs/>
                <w:snapToGrid w:val="0"/>
                <w:color w:val="auto"/>
                <w:spacing w:val="-1"/>
                <w:sz w:val="21"/>
                <w:szCs w:val="21"/>
                <w:highlight w:val="none"/>
              </w:rPr>
              <w:t>机械</w:t>
            </w:r>
            <w:r>
              <w:rPr>
                <w:rFonts w:hint="default" w:ascii="Times New Roman" w:hAnsi="Times New Roman" w:eastAsia="宋体" w:cs="Times New Roman"/>
                <w:b w:val="0"/>
                <w:bCs/>
                <w:snapToGrid w:val="0"/>
                <w:color w:val="auto"/>
                <w:spacing w:val="-1"/>
                <w:sz w:val="21"/>
                <w:szCs w:val="21"/>
                <w:highlight w:val="none"/>
              </w:rPr>
              <w:t>加工</w:t>
            </w:r>
            <w:r>
              <w:rPr>
                <w:rFonts w:hint="eastAsia" w:ascii="Times New Roman" w:hAnsi="Times New Roman" w:eastAsia="宋体" w:cs="Times New Roman"/>
                <w:b w:val="0"/>
                <w:bCs/>
                <w:snapToGrid w:val="0"/>
                <w:color w:val="auto"/>
                <w:spacing w:val="-1"/>
                <w:sz w:val="21"/>
                <w:szCs w:val="21"/>
                <w:highlight w:val="none"/>
              </w:rPr>
              <w:t>、热试验</w:t>
            </w:r>
            <w:r>
              <w:rPr>
                <w:rFonts w:hint="eastAsia" w:cs="Times New Roman"/>
                <w:b w:val="0"/>
                <w:bCs/>
                <w:snapToGrid w:val="0"/>
                <w:color w:val="auto"/>
                <w:spacing w:val="-1"/>
                <w:sz w:val="21"/>
                <w:szCs w:val="21"/>
                <w:highlight w:val="none"/>
                <w:lang w:eastAsia="zh-CN"/>
              </w:rPr>
              <w:t>、</w:t>
            </w:r>
            <w:r>
              <w:rPr>
                <w:rFonts w:hint="eastAsia" w:cs="Times New Roman"/>
                <w:b w:val="0"/>
                <w:bCs/>
                <w:snapToGrid w:val="0"/>
                <w:color w:val="auto"/>
                <w:spacing w:val="-1"/>
                <w:sz w:val="21"/>
                <w:szCs w:val="21"/>
                <w:highlight w:val="none"/>
                <w:lang w:val="en-US" w:eastAsia="zh-CN"/>
              </w:rPr>
              <w:t>含油金属屑收集处理</w:t>
            </w:r>
          </w:p>
        </w:tc>
        <w:tc>
          <w:tcPr>
            <w:tcW w:w="1701" w:type="dxa"/>
            <w:tcBorders>
              <w:tl2br w:val="nil"/>
              <w:tr2bl w:val="nil"/>
            </w:tcBorders>
            <w:vAlign w:val="center"/>
          </w:tcPr>
          <w:p w14:paraId="0B5C41F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snapToGrid w:val="0"/>
                <w:color w:val="auto"/>
                <w:spacing w:val="-1"/>
                <w:sz w:val="21"/>
                <w:szCs w:val="21"/>
                <w:highlight w:val="none"/>
              </w:rPr>
            </w:pPr>
            <w:r>
              <w:rPr>
                <w:rFonts w:hint="eastAsia" w:ascii="Times New Roman" w:hAnsi="Times New Roman" w:eastAsia="宋体" w:cs="Times New Roman"/>
                <w:b w:val="0"/>
                <w:bCs/>
                <w:snapToGrid w:val="0"/>
                <w:color w:val="auto"/>
                <w:spacing w:val="-1"/>
                <w:sz w:val="21"/>
                <w:szCs w:val="21"/>
                <w:highlight w:val="none"/>
              </w:rPr>
              <w:t>机械</w:t>
            </w:r>
            <w:r>
              <w:rPr>
                <w:rFonts w:hint="default" w:ascii="Times New Roman" w:hAnsi="Times New Roman" w:eastAsia="宋体" w:cs="Times New Roman"/>
                <w:b w:val="0"/>
                <w:bCs/>
                <w:snapToGrid w:val="0"/>
                <w:color w:val="auto"/>
                <w:spacing w:val="-1"/>
                <w:sz w:val="21"/>
                <w:szCs w:val="21"/>
                <w:highlight w:val="none"/>
              </w:rPr>
              <w:t>加工油雾，热</w:t>
            </w:r>
            <w:r>
              <w:rPr>
                <w:rFonts w:hint="eastAsia" w:ascii="Times New Roman" w:hAnsi="Times New Roman" w:eastAsia="宋体" w:cs="Times New Roman"/>
                <w:b w:val="0"/>
                <w:bCs/>
                <w:snapToGrid w:val="0"/>
                <w:color w:val="auto"/>
                <w:spacing w:val="-1"/>
                <w:sz w:val="21"/>
                <w:szCs w:val="21"/>
                <w:highlight w:val="none"/>
              </w:rPr>
              <w:t>试验</w:t>
            </w:r>
            <w:r>
              <w:rPr>
                <w:rFonts w:hint="default" w:ascii="Times New Roman" w:hAnsi="Times New Roman" w:eastAsia="宋体" w:cs="Times New Roman"/>
                <w:b w:val="0"/>
                <w:bCs/>
                <w:snapToGrid w:val="0"/>
                <w:color w:val="auto"/>
                <w:spacing w:val="-1"/>
                <w:sz w:val="21"/>
                <w:szCs w:val="21"/>
                <w:highlight w:val="none"/>
              </w:rPr>
              <w:t>汽油燃烧废气</w:t>
            </w:r>
          </w:p>
        </w:tc>
        <w:tc>
          <w:tcPr>
            <w:tcW w:w="1076" w:type="dxa"/>
            <w:tcBorders>
              <w:tl2br w:val="nil"/>
              <w:tr2bl w:val="nil"/>
            </w:tcBorders>
            <w:vAlign w:val="center"/>
          </w:tcPr>
          <w:p w14:paraId="4A67AC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snapToGrid w:val="0"/>
                <w:color w:val="auto"/>
                <w:spacing w:val="-1"/>
                <w:sz w:val="21"/>
                <w:szCs w:val="21"/>
                <w:highlight w:val="none"/>
              </w:rPr>
            </w:pPr>
            <w:r>
              <w:rPr>
                <w:rFonts w:hint="default" w:ascii="Times New Roman" w:hAnsi="Times New Roman" w:eastAsia="宋体" w:cs="Times New Roman"/>
                <w:b w:val="0"/>
                <w:bCs/>
                <w:snapToGrid w:val="0"/>
                <w:color w:val="auto"/>
                <w:spacing w:val="-1"/>
                <w:sz w:val="21"/>
                <w:szCs w:val="21"/>
                <w:highlight w:val="none"/>
              </w:rPr>
              <w:t>大气沉降</w:t>
            </w:r>
          </w:p>
        </w:tc>
        <w:tc>
          <w:tcPr>
            <w:tcW w:w="1220" w:type="dxa"/>
            <w:tcBorders>
              <w:tl2br w:val="nil"/>
              <w:tr2bl w:val="nil"/>
            </w:tcBorders>
            <w:vAlign w:val="center"/>
          </w:tcPr>
          <w:p w14:paraId="202359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snapToGrid w:val="0"/>
                <w:color w:val="auto"/>
                <w:spacing w:val="-1"/>
                <w:sz w:val="21"/>
                <w:szCs w:val="21"/>
                <w:highlight w:val="none"/>
              </w:rPr>
            </w:pPr>
            <w:r>
              <w:rPr>
                <w:rFonts w:hint="default" w:ascii="Times New Roman" w:hAnsi="Times New Roman" w:eastAsia="宋体" w:cs="Times New Roman"/>
                <w:b w:val="0"/>
                <w:bCs/>
                <w:snapToGrid w:val="0"/>
                <w:color w:val="auto"/>
                <w:spacing w:val="-1"/>
                <w:sz w:val="21"/>
                <w:szCs w:val="21"/>
                <w:highlight w:val="none"/>
              </w:rPr>
              <w:t>NMHC、</w:t>
            </w:r>
          </w:p>
          <w:p w14:paraId="05DBAB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snapToGrid w:val="0"/>
                <w:color w:val="auto"/>
                <w:spacing w:val="-1"/>
                <w:sz w:val="21"/>
                <w:szCs w:val="21"/>
                <w:highlight w:val="none"/>
                <w:lang w:val="en-US" w:eastAsia="zh-CN"/>
              </w:rPr>
            </w:pPr>
            <w:r>
              <w:rPr>
                <w:rFonts w:hint="default" w:ascii="Times New Roman" w:hAnsi="Times New Roman" w:eastAsia="宋体" w:cs="Times New Roman"/>
                <w:b w:val="0"/>
                <w:bCs/>
                <w:snapToGrid w:val="0"/>
                <w:color w:val="auto"/>
                <w:spacing w:val="-1"/>
                <w:sz w:val="21"/>
                <w:szCs w:val="21"/>
                <w:highlight w:val="none"/>
              </w:rPr>
              <w:t>NOx、</w:t>
            </w:r>
            <w:r>
              <w:rPr>
                <w:rFonts w:hint="eastAsia" w:ascii="Times New Roman" w:hAnsi="Times New Roman" w:cs="Times New Roman"/>
                <w:b w:val="0"/>
                <w:bCs/>
                <w:snapToGrid w:val="0"/>
                <w:color w:val="auto"/>
                <w:spacing w:val="-1"/>
                <w:sz w:val="21"/>
                <w:szCs w:val="21"/>
                <w:highlight w:val="none"/>
                <w:lang w:val="en-US" w:eastAsia="zh-CN"/>
              </w:rPr>
              <w:t>颗粒物</w:t>
            </w:r>
          </w:p>
        </w:tc>
        <w:tc>
          <w:tcPr>
            <w:tcW w:w="1219" w:type="dxa"/>
            <w:tcBorders>
              <w:tl2br w:val="nil"/>
              <w:tr2bl w:val="nil"/>
            </w:tcBorders>
            <w:vAlign w:val="center"/>
          </w:tcPr>
          <w:p w14:paraId="26F1900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snapToGrid w:val="0"/>
                <w:color w:val="auto"/>
                <w:spacing w:val="-1"/>
                <w:sz w:val="21"/>
                <w:szCs w:val="21"/>
                <w:highlight w:val="none"/>
              </w:rPr>
            </w:pPr>
            <w:r>
              <w:rPr>
                <w:rFonts w:hint="default" w:ascii="Times New Roman" w:hAnsi="Times New Roman" w:eastAsia="宋体" w:cs="Times New Roman"/>
                <w:b w:val="0"/>
                <w:bCs/>
                <w:snapToGrid w:val="0"/>
                <w:color w:val="auto"/>
                <w:spacing w:val="-1"/>
                <w:sz w:val="21"/>
                <w:szCs w:val="21"/>
                <w:highlight w:val="none"/>
              </w:rPr>
              <w:t>NMHC</w:t>
            </w:r>
          </w:p>
        </w:tc>
        <w:tc>
          <w:tcPr>
            <w:tcW w:w="1220" w:type="dxa"/>
            <w:tcBorders>
              <w:tl2br w:val="nil"/>
              <w:tr2bl w:val="nil"/>
            </w:tcBorders>
            <w:vAlign w:val="center"/>
          </w:tcPr>
          <w:p w14:paraId="1A669A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snapToGrid w:val="0"/>
                <w:color w:val="auto"/>
                <w:spacing w:val="-1"/>
                <w:sz w:val="21"/>
                <w:szCs w:val="21"/>
                <w:highlight w:val="none"/>
              </w:rPr>
            </w:pPr>
            <w:r>
              <w:rPr>
                <w:rFonts w:hint="default" w:ascii="Times New Roman" w:hAnsi="Times New Roman" w:eastAsia="宋体" w:cs="Times New Roman"/>
                <w:b w:val="0"/>
                <w:bCs/>
                <w:snapToGrid w:val="0"/>
                <w:color w:val="auto"/>
                <w:spacing w:val="-1"/>
                <w:sz w:val="21"/>
                <w:szCs w:val="21"/>
                <w:highlight w:val="none"/>
              </w:rPr>
              <w:t>连续</w:t>
            </w:r>
          </w:p>
        </w:tc>
      </w:tr>
      <w:tr w14:paraId="0C01E8C7">
        <w:tblPrEx>
          <w:tblBorders>
            <w:top w:val="single" w:color="000000" w:sz="12" w:space="0"/>
            <w:left w:val="none" w:color="auto" w:sz="0" w:space="0"/>
            <w:bottom w:val="single" w:color="000000" w:sz="12" w:space="0"/>
            <w:right w:val="none" w:color="auto" w:sz="0" w:space="0"/>
            <w:insideH w:val="single" w:color="000000" w:sz="6" w:space="0"/>
            <w:insideV w:val="single" w:color="000000" w:sz="2" w:space="0"/>
          </w:tblBorders>
          <w:tblCellMar>
            <w:top w:w="0" w:type="dxa"/>
            <w:left w:w="0" w:type="dxa"/>
            <w:bottom w:w="0" w:type="dxa"/>
            <w:right w:w="0" w:type="dxa"/>
          </w:tblCellMar>
        </w:tblPrEx>
        <w:trPr>
          <w:trHeight w:val="321" w:hRule="atLeast"/>
          <w:jc w:val="center"/>
        </w:trPr>
        <w:tc>
          <w:tcPr>
            <w:tcW w:w="583" w:type="dxa"/>
            <w:tcBorders>
              <w:tl2br w:val="nil"/>
              <w:tr2bl w:val="nil"/>
            </w:tcBorders>
            <w:vAlign w:val="center"/>
          </w:tcPr>
          <w:p w14:paraId="152B543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snapToGrid w:val="0"/>
                <w:color w:val="auto"/>
                <w:spacing w:val="-1"/>
                <w:sz w:val="21"/>
                <w:szCs w:val="21"/>
                <w:highlight w:val="none"/>
              </w:rPr>
            </w:pPr>
            <w:r>
              <w:rPr>
                <w:rFonts w:hint="default" w:ascii="Times New Roman" w:hAnsi="Times New Roman" w:eastAsia="宋体" w:cs="Times New Roman"/>
                <w:b w:val="0"/>
                <w:bCs/>
                <w:snapToGrid w:val="0"/>
                <w:color w:val="auto"/>
                <w:spacing w:val="-1"/>
                <w:sz w:val="21"/>
                <w:szCs w:val="21"/>
                <w:highlight w:val="none"/>
              </w:rPr>
              <w:t>仓储</w:t>
            </w:r>
          </w:p>
        </w:tc>
        <w:tc>
          <w:tcPr>
            <w:tcW w:w="1517" w:type="dxa"/>
            <w:tcBorders>
              <w:tl2br w:val="nil"/>
              <w:tr2bl w:val="nil"/>
            </w:tcBorders>
            <w:vAlign w:val="center"/>
          </w:tcPr>
          <w:p w14:paraId="6574111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snapToGrid w:val="0"/>
                <w:color w:val="auto"/>
                <w:spacing w:val="-1"/>
                <w:sz w:val="21"/>
                <w:szCs w:val="21"/>
                <w:highlight w:val="none"/>
                <w:lang w:val="en-US" w:eastAsia="zh-CN"/>
              </w:rPr>
            </w:pPr>
            <w:r>
              <w:rPr>
                <w:rFonts w:hint="eastAsia" w:cs="Times New Roman"/>
                <w:b w:val="0"/>
                <w:bCs/>
                <w:snapToGrid w:val="0"/>
                <w:color w:val="auto"/>
                <w:spacing w:val="-1"/>
                <w:sz w:val="21"/>
                <w:szCs w:val="21"/>
                <w:highlight w:val="none"/>
                <w:lang w:val="en-US" w:eastAsia="zh-CN"/>
              </w:rPr>
              <w:t>含油金属屑原料暂存区</w:t>
            </w:r>
          </w:p>
        </w:tc>
        <w:tc>
          <w:tcPr>
            <w:tcW w:w="1701" w:type="dxa"/>
            <w:tcBorders>
              <w:tl2br w:val="nil"/>
              <w:tr2bl w:val="nil"/>
            </w:tcBorders>
            <w:vAlign w:val="center"/>
          </w:tcPr>
          <w:p w14:paraId="145110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snapToGrid w:val="0"/>
                <w:color w:val="auto"/>
                <w:spacing w:val="-1"/>
                <w:sz w:val="21"/>
                <w:szCs w:val="21"/>
                <w:highlight w:val="none"/>
                <w:lang w:eastAsia="zh-CN"/>
              </w:rPr>
            </w:pPr>
            <w:r>
              <w:rPr>
                <w:rFonts w:hint="default" w:ascii="Times New Roman" w:hAnsi="Times New Roman" w:eastAsia="宋体" w:cs="Times New Roman"/>
                <w:b w:val="0"/>
                <w:bCs/>
                <w:snapToGrid w:val="0"/>
                <w:color w:val="auto"/>
                <w:spacing w:val="-1"/>
                <w:sz w:val="21"/>
                <w:szCs w:val="21"/>
                <w:highlight w:val="none"/>
              </w:rPr>
              <w:t>池体渗漏</w:t>
            </w:r>
            <w:r>
              <w:rPr>
                <w:rFonts w:hint="eastAsia" w:ascii="Times New Roman" w:hAnsi="Times New Roman" w:cs="Times New Roman"/>
                <w:b w:val="0"/>
                <w:bCs/>
                <w:snapToGrid w:val="0"/>
                <w:color w:val="auto"/>
                <w:spacing w:val="-1"/>
                <w:sz w:val="21"/>
                <w:szCs w:val="21"/>
                <w:highlight w:val="none"/>
                <w:lang w:eastAsia="zh-CN"/>
              </w:rPr>
              <w:t>、危废泄漏</w:t>
            </w:r>
          </w:p>
        </w:tc>
        <w:tc>
          <w:tcPr>
            <w:tcW w:w="1076" w:type="dxa"/>
            <w:tcBorders>
              <w:tl2br w:val="nil"/>
              <w:tr2bl w:val="nil"/>
            </w:tcBorders>
            <w:vAlign w:val="center"/>
          </w:tcPr>
          <w:p w14:paraId="27E87EE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snapToGrid w:val="0"/>
                <w:color w:val="auto"/>
                <w:spacing w:val="-1"/>
                <w:sz w:val="21"/>
                <w:szCs w:val="21"/>
                <w:highlight w:val="none"/>
                <w:lang w:eastAsia="zh-CN"/>
              </w:rPr>
            </w:pPr>
            <w:r>
              <w:rPr>
                <w:rFonts w:hint="default" w:ascii="Times New Roman" w:hAnsi="Times New Roman" w:eastAsia="宋体" w:cs="Times New Roman"/>
                <w:b w:val="0"/>
                <w:bCs/>
                <w:snapToGrid w:val="0"/>
                <w:color w:val="auto"/>
                <w:spacing w:val="-1"/>
                <w:sz w:val="21"/>
                <w:szCs w:val="21"/>
                <w:highlight w:val="none"/>
              </w:rPr>
              <w:t>垂直入渗</w:t>
            </w:r>
            <w:r>
              <w:rPr>
                <w:rFonts w:hint="eastAsia" w:ascii="Times New Roman" w:hAnsi="Times New Roman" w:cs="Times New Roman"/>
                <w:b w:val="0"/>
                <w:bCs/>
                <w:snapToGrid w:val="0"/>
                <w:color w:val="auto"/>
                <w:spacing w:val="-1"/>
                <w:sz w:val="21"/>
                <w:szCs w:val="21"/>
                <w:highlight w:val="none"/>
                <w:lang w:eastAsia="zh-CN"/>
              </w:rPr>
              <w:t>、地面漫流</w:t>
            </w:r>
          </w:p>
        </w:tc>
        <w:tc>
          <w:tcPr>
            <w:tcW w:w="1220" w:type="dxa"/>
            <w:tcBorders>
              <w:tl2br w:val="nil"/>
              <w:tr2bl w:val="nil"/>
            </w:tcBorders>
            <w:vAlign w:val="center"/>
          </w:tcPr>
          <w:p w14:paraId="06E18F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snapToGrid w:val="0"/>
                <w:color w:val="auto"/>
                <w:spacing w:val="-1"/>
                <w:sz w:val="21"/>
                <w:szCs w:val="21"/>
                <w:highlight w:val="none"/>
              </w:rPr>
            </w:pPr>
            <w:r>
              <w:rPr>
                <w:rFonts w:hint="default" w:ascii="Times New Roman" w:hAnsi="Times New Roman" w:eastAsia="宋体" w:cs="Times New Roman"/>
                <w:b w:val="0"/>
                <w:bCs/>
                <w:snapToGrid w:val="0"/>
                <w:color w:val="auto"/>
                <w:spacing w:val="-1"/>
                <w:sz w:val="21"/>
                <w:szCs w:val="21"/>
                <w:highlight w:val="none"/>
              </w:rPr>
              <w:t>石油类</w:t>
            </w:r>
          </w:p>
        </w:tc>
        <w:tc>
          <w:tcPr>
            <w:tcW w:w="1219" w:type="dxa"/>
            <w:tcBorders>
              <w:tl2br w:val="nil"/>
              <w:tr2bl w:val="nil"/>
            </w:tcBorders>
            <w:vAlign w:val="center"/>
          </w:tcPr>
          <w:p w14:paraId="528B33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snapToGrid w:val="0"/>
                <w:color w:val="auto"/>
                <w:spacing w:val="-1"/>
                <w:sz w:val="21"/>
                <w:szCs w:val="21"/>
                <w:highlight w:val="none"/>
              </w:rPr>
            </w:pPr>
            <w:r>
              <w:rPr>
                <w:rFonts w:hint="default" w:ascii="Times New Roman" w:hAnsi="Times New Roman" w:eastAsia="宋体" w:cs="Times New Roman"/>
                <w:b w:val="0"/>
                <w:bCs/>
                <w:snapToGrid w:val="0"/>
                <w:color w:val="auto"/>
                <w:spacing w:val="-1"/>
                <w:sz w:val="21"/>
                <w:szCs w:val="21"/>
                <w:highlight w:val="none"/>
              </w:rPr>
              <w:t>石油类</w:t>
            </w:r>
          </w:p>
        </w:tc>
        <w:tc>
          <w:tcPr>
            <w:tcW w:w="1220" w:type="dxa"/>
            <w:tcBorders>
              <w:tl2br w:val="nil"/>
              <w:tr2bl w:val="nil"/>
            </w:tcBorders>
            <w:vAlign w:val="center"/>
          </w:tcPr>
          <w:p w14:paraId="218B77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snapToGrid w:val="0"/>
                <w:color w:val="auto"/>
                <w:spacing w:val="-1"/>
                <w:sz w:val="21"/>
                <w:szCs w:val="21"/>
                <w:highlight w:val="none"/>
              </w:rPr>
            </w:pPr>
            <w:r>
              <w:rPr>
                <w:rFonts w:hint="eastAsia" w:ascii="Times New Roman" w:hAnsi="Times New Roman" w:eastAsia="宋体" w:cs="Times New Roman"/>
                <w:b w:val="0"/>
                <w:bCs/>
                <w:snapToGrid w:val="0"/>
                <w:color w:val="auto"/>
                <w:spacing w:val="-1"/>
                <w:sz w:val="21"/>
                <w:szCs w:val="21"/>
                <w:highlight w:val="none"/>
              </w:rPr>
              <w:t>非正常工况</w:t>
            </w:r>
          </w:p>
        </w:tc>
      </w:tr>
    </w:tbl>
    <w:p w14:paraId="6E9F1F74">
      <w:pPr>
        <w:bidi w:val="0"/>
        <w:rPr>
          <w:rFonts w:hint="default" w:eastAsiaTheme="minorEastAsia"/>
          <w:b/>
          <w:snapToGrid w:val="0"/>
          <w:spacing w:val="0"/>
          <w:position w:val="0"/>
          <w:sz w:val="24"/>
          <w:highlight w:val="none"/>
          <w:lang w:val="en-US" w:eastAsia="zh-CN"/>
        </w:rPr>
      </w:pPr>
      <w:r>
        <w:rPr>
          <w:rFonts w:eastAsiaTheme="minorEastAsia"/>
          <w:b/>
          <w:snapToGrid w:val="0"/>
          <w:spacing w:val="0"/>
          <w:position w:val="0"/>
          <w:sz w:val="24"/>
          <w:highlight w:val="none"/>
        </w:rPr>
        <w:t>5.2.</w:t>
      </w:r>
      <w:r>
        <w:rPr>
          <w:rFonts w:hint="eastAsia" w:eastAsiaTheme="minorEastAsia"/>
          <w:b/>
          <w:snapToGrid w:val="0"/>
          <w:spacing w:val="0"/>
          <w:position w:val="0"/>
          <w:sz w:val="24"/>
          <w:highlight w:val="none"/>
          <w:lang w:val="en-US" w:eastAsia="zh-CN"/>
        </w:rPr>
        <w:t>6</w:t>
      </w:r>
      <w:r>
        <w:rPr>
          <w:rFonts w:eastAsiaTheme="minorEastAsia"/>
          <w:b/>
          <w:snapToGrid w:val="0"/>
          <w:spacing w:val="0"/>
          <w:position w:val="0"/>
          <w:sz w:val="24"/>
          <w:highlight w:val="none"/>
        </w:rPr>
        <w:t>.</w:t>
      </w:r>
      <w:r>
        <w:rPr>
          <w:rFonts w:hint="eastAsia" w:eastAsiaTheme="minorEastAsia"/>
          <w:b/>
          <w:snapToGrid w:val="0"/>
          <w:spacing w:val="0"/>
          <w:position w:val="0"/>
          <w:sz w:val="24"/>
          <w:highlight w:val="none"/>
          <w:lang w:val="en-US" w:eastAsia="zh-CN"/>
        </w:rPr>
        <w:t>2</w:t>
      </w:r>
      <w:r>
        <w:rPr>
          <w:rFonts w:hint="eastAsia" w:hAnsiTheme="minorEastAsia" w:eastAsiaTheme="minorEastAsia"/>
          <w:b/>
          <w:snapToGrid w:val="0"/>
          <w:spacing w:val="0"/>
          <w:position w:val="0"/>
          <w:sz w:val="24"/>
          <w:highlight w:val="none"/>
          <w:lang w:val="en-US" w:eastAsia="zh-CN"/>
        </w:rPr>
        <w:t>评价范围</w:t>
      </w:r>
    </w:p>
    <w:p w14:paraId="693D8870">
      <w:pPr>
        <w:bidi w:val="0"/>
        <w:rPr>
          <w:rFonts w:hint="default"/>
          <w:spacing w:val="0"/>
          <w:position w:val="0"/>
          <w:sz w:val="24"/>
          <w:szCs w:val="24"/>
          <w:highlight w:val="none"/>
          <w:lang w:val="en-US" w:eastAsia="zh-CN"/>
        </w:rPr>
      </w:pPr>
      <w:r>
        <w:rPr>
          <w:rFonts w:hint="eastAsia"/>
          <w:spacing w:val="0"/>
          <w:position w:val="0"/>
          <w:sz w:val="24"/>
          <w:szCs w:val="24"/>
          <w:highlight w:val="none"/>
          <w:lang w:val="en-US" w:eastAsia="zh-CN"/>
        </w:rPr>
        <w:t>根据《环境影响评价技术导则土壤环境》（HJ964－2018）“表5现状调查范围”，评价工作等级为一级的污染影响型项目调查范围应为占地范围外1km范围内，本项目调查评价范围面积为3.14km</w:t>
      </w:r>
      <w:r>
        <w:rPr>
          <w:rFonts w:hint="eastAsia"/>
          <w:spacing w:val="0"/>
          <w:position w:val="0"/>
          <w:sz w:val="24"/>
          <w:szCs w:val="24"/>
          <w:highlight w:val="none"/>
          <w:vertAlign w:val="superscript"/>
          <w:lang w:val="en-US" w:eastAsia="zh-CN"/>
        </w:rPr>
        <w:t>2</w:t>
      </w:r>
      <w:r>
        <w:rPr>
          <w:rFonts w:hint="eastAsia"/>
          <w:spacing w:val="0"/>
          <w:position w:val="0"/>
          <w:sz w:val="24"/>
          <w:szCs w:val="24"/>
          <w:highlight w:val="none"/>
          <w:lang w:val="en-US" w:eastAsia="zh-CN"/>
        </w:rPr>
        <w:t>。</w:t>
      </w:r>
    </w:p>
    <w:p w14:paraId="3B4BB0EC">
      <w:pPr>
        <w:bidi w:val="0"/>
        <w:rPr>
          <w:rFonts w:hint="default" w:eastAsiaTheme="minorEastAsia"/>
          <w:b/>
          <w:snapToGrid w:val="0"/>
          <w:spacing w:val="0"/>
          <w:position w:val="0"/>
          <w:sz w:val="24"/>
          <w:highlight w:val="none"/>
          <w:lang w:val="en-US" w:eastAsia="zh-CN"/>
        </w:rPr>
      </w:pPr>
      <w:r>
        <w:rPr>
          <w:rFonts w:eastAsiaTheme="minorEastAsia"/>
          <w:b/>
          <w:snapToGrid w:val="0"/>
          <w:spacing w:val="0"/>
          <w:position w:val="0"/>
          <w:sz w:val="24"/>
          <w:highlight w:val="none"/>
        </w:rPr>
        <w:t>5.2.</w:t>
      </w:r>
      <w:r>
        <w:rPr>
          <w:rFonts w:hint="eastAsia" w:eastAsiaTheme="minorEastAsia"/>
          <w:b/>
          <w:snapToGrid w:val="0"/>
          <w:spacing w:val="0"/>
          <w:position w:val="0"/>
          <w:sz w:val="24"/>
          <w:highlight w:val="none"/>
          <w:lang w:val="en-US" w:eastAsia="zh-CN"/>
        </w:rPr>
        <w:t>6</w:t>
      </w:r>
      <w:r>
        <w:rPr>
          <w:rFonts w:eastAsiaTheme="minorEastAsia"/>
          <w:b/>
          <w:snapToGrid w:val="0"/>
          <w:spacing w:val="0"/>
          <w:position w:val="0"/>
          <w:sz w:val="24"/>
          <w:highlight w:val="none"/>
        </w:rPr>
        <w:t>.</w:t>
      </w:r>
      <w:r>
        <w:rPr>
          <w:rFonts w:hint="eastAsia" w:eastAsiaTheme="minorEastAsia"/>
          <w:b/>
          <w:snapToGrid w:val="0"/>
          <w:spacing w:val="0"/>
          <w:position w:val="0"/>
          <w:sz w:val="24"/>
          <w:highlight w:val="none"/>
          <w:lang w:val="en-US" w:eastAsia="zh-CN"/>
        </w:rPr>
        <w:t>3</w:t>
      </w:r>
      <w:r>
        <w:rPr>
          <w:rFonts w:hint="eastAsia" w:hAnsiTheme="minorEastAsia" w:eastAsiaTheme="minorEastAsia"/>
          <w:b/>
          <w:snapToGrid w:val="0"/>
          <w:spacing w:val="0"/>
          <w:position w:val="0"/>
          <w:sz w:val="24"/>
          <w:highlight w:val="none"/>
          <w:lang w:val="en-US" w:eastAsia="zh-CN"/>
        </w:rPr>
        <w:t>土壤现状</w:t>
      </w:r>
    </w:p>
    <w:p w14:paraId="43BF9F34">
      <w:pPr>
        <w:bidi w:val="0"/>
        <w:rPr>
          <w:rFonts w:hint="eastAsia"/>
          <w:highlight w:val="none"/>
          <w:lang w:val="en-US" w:eastAsia="zh-CN"/>
        </w:rPr>
      </w:pPr>
      <w:r>
        <w:rPr>
          <w:rFonts w:hint="eastAsia"/>
          <w:highlight w:val="none"/>
          <w:lang w:val="en-US" w:eastAsia="zh-CN"/>
        </w:rPr>
        <w:t>根据国家土壤信息服务平台查询可知，本项目调查评价范围内土壤类型为熟黑土。结合工程分析内容，项目位于</w:t>
      </w:r>
      <w:r>
        <w:rPr>
          <w:rFonts w:hint="eastAsia" w:ascii="Times New Roman" w:hAnsi="Times New Roman" w:cs="Times New Roman"/>
          <w:color w:val="auto"/>
          <w:sz w:val="24"/>
          <w:highlight w:val="none"/>
        </w:rPr>
        <w:t>哈尔滨市</w:t>
      </w:r>
      <w:r>
        <w:rPr>
          <w:rFonts w:hint="default" w:ascii="Times New Roman" w:hAnsi="Times New Roman" w:cs="Times New Roman"/>
          <w:color w:val="auto"/>
          <w:sz w:val="24"/>
          <w:highlight w:val="none"/>
        </w:rPr>
        <w:t>平房区</w:t>
      </w:r>
      <w:r>
        <w:rPr>
          <w:rFonts w:hint="eastAsia" w:ascii="Times New Roman" w:hAnsi="Times New Roman" w:cs="Times New Roman"/>
          <w:color w:val="auto"/>
          <w:sz w:val="24"/>
          <w:highlight w:val="none"/>
          <w:lang w:eastAsia="zh-CN"/>
        </w:rPr>
        <w:t>征仪南路东侧</w:t>
      </w:r>
      <w:r>
        <w:rPr>
          <w:rFonts w:hint="eastAsia"/>
          <w:highlight w:val="none"/>
          <w:lang w:val="en-US" w:eastAsia="zh-CN"/>
        </w:rPr>
        <w:t>。据现场调查，本项目评价范围内分布土壤污染源主要为工业污染源。</w:t>
      </w:r>
    </w:p>
    <w:p w14:paraId="38ED0991">
      <w:pPr>
        <w:bidi w:val="0"/>
        <w:rPr>
          <w:rFonts w:hint="eastAsia" w:hAnsiTheme="minorEastAsia" w:eastAsiaTheme="minorEastAsia"/>
          <w:b/>
          <w:snapToGrid w:val="0"/>
          <w:spacing w:val="0"/>
          <w:position w:val="0"/>
          <w:sz w:val="24"/>
          <w:highlight w:val="none"/>
          <w:lang w:val="en-US" w:eastAsia="zh-CN"/>
        </w:rPr>
      </w:pPr>
      <w:r>
        <w:rPr>
          <w:rFonts w:eastAsiaTheme="minorEastAsia"/>
          <w:b/>
          <w:snapToGrid w:val="0"/>
          <w:spacing w:val="0"/>
          <w:position w:val="0"/>
          <w:sz w:val="24"/>
          <w:highlight w:val="none"/>
        </w:rPr>
        <w:t>5.2.</w:t>
      </w:r>
      <w:r>
        <w:rPr>
          <w:rFonts w:hint="eastAsia" w:eastAsiaTheme="minorEastAsia"/>
          <w:b/>
          <w:snapToGrid w:val="0"/>
          <w:spacing w:val="0"/>
          <w:position w:val="0"/>
          <w:sz w:val="24"/>
          <w:highlight w:val="none"/>
          <w:lang w:val="en-US" w:eastAsia="zh-CN"/>
        </w:rPr>
        <w:t>6</w:t>
      </w:r>
      <w:r>
        <w:rPr>
          <w:rFonts w:eastAsiaTheme="minorEastAsia"/>
          <w:b/>
          <w:snapToGrid w:val="0"/>
          <w:spacing w:val="0"/>
          <w:position w:val="0"/>
          <w:sz w:val="24"/>
          <w:highlight w:val="none"/>
        </w:rPr>
        <w:t>.</w:t>
      </w:r>
      <w:r>
        <w:rPr>
          <w:rFonts w:hint="eastAsia" w:eastAsiaTheme="minorEastAsia"/>
          <w:b/>
          <w:snapToGrid w:val="0"/>
          <w:spacing w:val="0"/>
          <w:position w:val="0"/>
          <w:sz w:val="24"/>
          <w:highlight w:val="none"/>
          <w:lang w:val="en-US" w:eastAsia="zh-CN"/>
        </w:rPr>
        <w:t>4</w:t>
      </w:r>
      <w:r>
        <w:rPr>
          <w:rFonts w:hint="eastAsia" w:hAnsiTheme="minorEastAsia" w:eastAsiaTheme="minorEastAsia"/>
          <w:b/>
          <w:snapToGrid w:val="0"/>
          <w:spacing w:val="0"/>
          <w:position w:val="0"/>
          <w:sz w:val="24"/>
          <w:highlight w:val="none"/>
          <w:lang w:val="en-US" w:eastAsia="zh-CN"/>
        </w:rPr>
        <w:t>影响预测与评价</w:t>
      </w:r>
    </w:p>
    <w:p w14:paraId="0E84FCE9">
      <w:pPr>
        <w:numPr>
          <w:ilvl w:val="0"/>
          <w:numId w:val="11"/>
        </w:numPr>
        <w:bidi w:val="0"/>
        <w:rPr>
          <w:rFonts w:hint="eastAsia"/>
          <w:highlight w:val="none"/>
          <w:lang w:val="en-US" w:eastAsia="zh-CN"/>
        </w:rPr>
      </w:pPr>
      <w:r>
        <w:rPr>
          <w:rFonts w:hint="eastAsia"/>
          <w:highlight w:val="none"/>
          <w:lang w:val="en-US" w:eastAsia="zh-CN"/>
        </w:rPr>
        <w:t>大气沉降</w:t>
      </w:r>
    </w:p>
    <w:p w14:paraId="605121CF">
      <w:pPr>
        <w:spacing w:line="360" w:lineRule="auto"/>
        <w:ind w:firstLine="480" w:firstLineChars="200"/>
        <w:rPr>
          <w:rFonts w:hint="eastAsia" w:ascii="Times New Roman" w:hAnsi="Times New Roman" w:cs="Times New Roman"/>
          <w:color w:val="auto"/>
          <w:sz w:val="24"/>
          <w:highlight w:val="none"/>
        </w:rPr>
      </w:pPr>
      <w:r>
        <w:rPr>
          <w:rFonts w:hint="eastAsia" w:ascii="Times New Roman" w:hAnsi="Times New Roman" w:cs="Times New Roman"/>
          <w:color w:val="auto"/>
          <w:sz w:val="24"/>
          <w:highlight w:val="none"/>
        </w:rPr>
        <w:t>1）预测评价范围、时段和预测情景设置</w:t>
      </w:r>
    </w:p>
    <w:p w14:paraId="73168F06">
      <w:pPr>
        <w:spacing w:line="360" w:lineRule="auto"/>
        <w:ind w:firstLine="480" w:firstLineChars="200"/>
        <w:rPr>
          <w:rFonts w:hint="eastAsia" w:ascii="Times New Roman" w:hAnsi="Times New Roman" w:cs="Times New Roman"/>
          <w:color w:val="auto"/>
          <w:sz w:val="24"/>
          <w:highlight w:val="none"/>
        </w:rPr>
      </w:pPr>
      <w:r>
        <w:rPr>
          <w:rFonts w:hint="eastAsia" w:ascii="Times New Roman" w:hAnsi="Times New Roman" w:cs="Times New Roman"/>
          <w:color w:val="auto"/>
          <w:sz w:val="24"/>
          <w:highlight w:val="none"/>
        </w:rPr>
        <w:t>项目的预测评价范围与调查评价范围一致，评价时段为项目运营期。以项目正常运营为预测工况。</w:t>
      </w:r>
    </w:p>
    <w:p w14:paraId="641F3D4C">
      <w:pPr>
        <w:spacing w:line="360" w:lineRule="auto"/>
        <w:ind w:firstLine="480" w:firstLineChars="200"/>
        <w:rPr>
          <w:rFonts w:hint="eastAsia" w:ascii="Times New Roman" w:hAnsi="Times New Roman" w:cs="Times New Roman"/>
          <w:color w:val="auto"/>
          <w:sz w:val="24"/>
          <w:highlight w:val="none"/>
        </w:rPr>
      </w:pPr>
      <w:r>
        <w:rPr>
          <w:rFonts w:hint="eastAsia" w:ascii="Times New Roman" w:hAnsi="Times New Roman" w:cs="Times New Roman"/>
          <w:color w:val="auto"/>
          <w:sz w:val="24"/>
          <w:highlight w:val="none"/>
        </w:rPr>
        <w:t>本项目大气沉降包括排气筒排放非甲烷总烃和无组织排放的非甲烷总烃，主要污染因子NMHC。废气中的NMHC主要在湿沉降作用下进入土壤层，在土壤吸附、络合、沉淀和阻留作用下，迁移速度较缓慢，大部分残留在土壤耕作层，极少向下层土壤迁移。颗粒物在干湿沉降的联合作用下进入土壤，大部分残留在土壤耕作层。根据土壤导则，本次评价假定废气中污染物全部沉降在耕作层中，不考虑其输出影响；废气污染源排放量保持不变，均匀沉降在固定区域内；按最不利排放情况的影响进行考虑。</w:t>
      </w:r>
    </w:p>
    <w:p w14:paraId="6469C8B7">
      <w:pPr>
        <w:spacing w:line="360" w:lineRule="auto"/>
        <w:ind w:firstLine="480" w:firstLineChars="200"/>
        <w:rPr>
          <w:rFonts w:hint="eastAsia" w:ascii="Times New Roman" w:hAnsi="Times New Roman" w:cs="Times New Roman"/>
          <w:color w:val="auto"/>
          <w:sz w:val="24"/>
          <w:highlight w:val="none"/>
        </w:rPr>
      </w:pPr>
      <w:r>
        <w:rPr>
          <w:rFonts w:hint="eastAsia" w:ascii="Times New Roman" w:hAnsi="Times New Roman" w:cs="Times New Roman"/>
          <w:color w:val="auto"/>
          <w:sz w:val="24"/>
          <w:highlight w:val="none"/>
        </w:rPr>
        <w:t>2）预测评价因子</w:t>
      </w:r>
    </w:p>
    <w:p w14:paraId="58663596">
      <w:pPr>
        <w:spacing w:line="360" w:lineRule="auto"/>
        <w:ind w:firstLine="480" w:firstLineChars="200"/>
        <w:rPr>
          <w:rFonts w:hint="eastAsia" w:ascii="Times New Roman" w:hAnsi="Times New Roman" w:cs="Times New Roman"/>
          <w:color w:val="auto"/>
          <w:sz w:val="24"/>
          <w:highlight w:val="none"/>
        </w:rPr>
      </w:pPr>
      <w:r>
        <w:rPr>
          <w:rFonts w:hint="eastAsia" w:ascii="Times New Roman" w:hAnsi="Times New Roman" w:cs="Times New Roman"/>
          <w:color w:val="auto"/>
          <w:sz w:val="24"/>
          <w:highlight w:val="none"/>
        </w:rPr>
        <w:t>根据工程分析及大气环境影响识别结果，大气污染物在沉降状态下进入土壤，将引起土壤污染，结合大气影响分析结果和污染物对环境的危害程度，确定本项目环境影响要素的评价因子为NMHC。</w:t>
      </w:r>
    </w:p>
    <w:p w14:paraId="55B14C5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表5-2-</w:t>
      </w:r>
      <w:r>
        <w:rPr>
          <w:rFonts w:hint="eastAsia" w:ascii="Times New Roman" w:hAnsi="Times New Roman" w:cs="Times New Roman"/>
          <w:b/>
          <w:bCs/>
          <w:color w:val="auto"/>
          <w:sz w:val="21"/>
          <w:szCs w:val="21"/>
          <w:highlight w:val="none"/>
          <w:lang w:val="en-US" w:eastAsia="zh-CN"/>
        </w:rPr>
        <w:t>31</w:t>
      </w:r>
      <w:r>
        <w:rPr>
          <w:rFonts w:hint="eastAsia" w:ascii="Times New Roman" w:hAnsi="Times New Roman" w:eastAsia="宋体"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highlight w:val="none"/>
        </w:rPr>
        <w:t>评级因子筛选</w:t>
      </w:r>
    </w:p>
    <w:tbl>
      <w:tblPr>
        <w:tblStyle w:val="739"/>
        <w:tblW w:w="8470"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11"/>
        <w:gridCol w:w="1366"/>
        <w:gridCol w:w="5474"/>
        <w:gridCol w:w="319"/>
      </w:tblGrid>
      <w:tr w14:paraId="4DA00A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1" w:hRule="atLeast"/>
          <w:jc w:val="center"/>
        </w:trPr>
        <w:tc>
          <w:tcPr>
            <w:tcW w:w="1311" w:type="dxa"/>
            <w:tcBorders>
              <w:top w:val="single" w:color="000000" w:sz="12" w:space="0"/>
              <w:left w:val="nil"/>
            </w:tcBorders>
            <w:vAlign w:val="center"/>
          </w:tcPr>
          <w:p w14:paraId="2EC896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环境要素</w:t>
            </w:r>
          </w:p>
        </w:tc>
        <w:tc>
          <w:tcPr>
            <w:tcW w:w="1366" w:type="dxa"/>
            <w:tcBorders>
              <w:top w:val="single" w:color="000000" w:sz="12" w:space="0"/>
            </w:tcBorders>
            <w:vAlign w:val="center"/>
          </w:tcPr>
          <w:p w14:paraId="2F39D8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装置区</w:t>
            </w:r>
          </w:p>
        </w:tc>
        <w:tc>
          <w:tcPr>
            <w:tcW w:w="5474" w:type="dxa"/>
            <w:tcBorders>
              <w:top w:val="single" w:color="000000" w:sz="12" w:space="0"/>
              <w:right w:val="nil"/>
            </w:tcBorders>
            <w:vAlign w:val="center"/>
          </w:tcPr>
          <w:p w14:paraId="22C099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预测评价因子</w:t>
            </w:r>
          </w:p>
        </w:tc>
        <w:tc>
          <w:tcPr>
            <w:tcW w:w="319" w:type="dxa"/>
            <w:tcBorders>
              <w:top w:val="single" w:color="000000" w:sz="12" w:space="0"/>
              <w:left w:val="nil"/>
              <w:right w:val="nil"/>
            </w:tcBorders>
            <w:vAlign w:val="center"/>
          </w:tcPr>
          <w:p w14:paraId="3DD7BF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auto"/>
                <w:sz w:val="21"/>
                <w:szCs w:val="21"/>
                <w:highlight w:val="none"/>
              </w:rPr>
            </w:pPr>
          </w:p>
        </w:tc>
      </w:tr>
      <w:tr w14:paraId="09C58F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2" w:hRule="atLeast"/>
          <w:jc w:val="center"/>
        </w:trPr>
        <w:tc>
          <w:tcPr>
            <w:tcW w:w="1311" w:type="dxa"/>
            <w:tcBorders>
              <w:left w:val="nil"/>
              <w:bottom w:val="single" w:color="000000" w:sz="12" w:space="0"/>
            </w:tcBorders>
            <w:vAlign w:val="center"/>
          </w:tcPr>
          <w:p w14:paraId="3748943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土壤环境</w:t>
            </w:r>
          </w:p>
        </w:tc>
        <w:tc>
          <w:tcPr>
            <w:tcW w:w="1366" w:type="dxa"/>
            <w:tcBorders>
              <w:bottom w:val="single" w:color="000000" w:sz="12" w:space="0"/>
            </w:tcBorders>
            <w:vAlign w:val="center"/>
          </w:tcPr>
          <w:p w14:paraId="2CBC6AA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snapToGrid w:val="0"/>
                <w:color w:val="auto"/>
                <w:sz w:val="21"/>
                <w:szCs w:val="21"/>
                <w:highlight w:val="none"/>
                <w:lang w:val="en-US" w:eastAsia="zh-CN"/>
              </w:rPr>
              <w:t>2号</w:t>
            </w:r>
            <w:r>
              <w:rPr>
                <w:rFonts w:hint="default" w:ascii="Times New Roman" w:hAnsi="Times New Roman" w:eastAsia="宋体" w:cs="Times New Roman"/>
                <w:snapToGrid w:val="0"/>
                <w:color w:val="auto"/>
                <w:sz w:val="21"/>
                <w:szCs w:val="21"/>
                <w:highlight w:val="none"/>
              </w:rPr>
              <w:t>厂房</w:t>
            </w:r>
          </w:p>
        </w:tc>
        <w:tc>
          <w:tcPr>
            <w:tcW w:w="5474" w:type="dxa"/>
            <w:tcBorders>
              <w:bottom w:val="single" w:color="000000" w:sz="12" w:space="0"/>
              <w:right w:val="nil"/>
            </w:tcBorders>
            <w:vAlign w:val="center"/>
          </w:tcPr>
          <w:p w14:paraId="4BA0413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大气沉降：NMHC，最大落地浓度贡献值为</w:t>
            </w:r>
            <w:r>
              <w:rPr>
                <w:rFonts w:hint="eastAsia" w:ascii="Times New Roman" w:hAnsi="Times New Roman" w:cs="Times New Roman"/>
                <w:snapToGrid w:val="0"/>
                <w:color w:val="auto"/>
                <w:sz w:val="21"/>
                <w:szCs w:val="21"/>
                <w:highlight w:val="none"/>
                <w:lang w:val="en-US" w:eastAsia="zh-CN"/>
              </w:rPr>
              <w:t>42.486</w:t>
            </w:r>
            <w:r>
              <w:rPr>
                <w:rFonts w:hint="default" w:ascii="Times New Roman" w:hAnsi="Times New Roman" w:eastAsia="宋体" w:cs="Times New Roman"/>
                <w:snapToGrid w:val="0"/>
                <w:color w:val="auto"/>
                <w:sz w:val="21"/>
                <w:szCs w:val="21"/>
                <w:highlight w:val="none"/>
              </w:rPr>
              <w:t>μg/m</w:t>
            </w:r>
            <w:r>
              <w:rPr>
                <w:rFonts w:hint="default" w:ascii="Times New Roman" w:hAnsi="Times New Roman" w:eastAsia="宋体" w:cs="Times New Roman"/>
                <w:snapToGrid w:val="0"/>
                <w:color w:val="auto"/>
                <w:sz w:val="21"/>
                <w:szCs w:val="21"/>
                <w:highlight w:val="none"/>
                <w:vertAlign w:val="superscript"/>
              </w:rPr>
              <w:t>3</w:t>
            </w:r>
            <w:r>
              <w:rPr>
                <w:rFonts w:hint="default" w:ascii="Times New Roman" w:hAnsi="Times New Roman" w:eastAsia="宋体" w:cs="Times New Roman"/>
                <w:snapToGrid w:val="0"/>
                <w:color w:val="auto"/>
                <w:sz w:val="21"/>
                <w:szCs w:val="21"/>
                <w:highlight w:val="none"/>
              </w:rPr>
              <w:t>，占标率为</w:t>
            </w:r>
            <w:r>
              <w:rPr>
                <w:rFonts w:hint="eastAsia" w:ascii="Times New Roman" w:hAnsi="Times New Roman" w:cs="Times New Roman"/>
                <w:snapToGrid w:val="0"/>
                <w:color w:val="auto"/>
                <w:sz w:val="21"/>
                <w:szCs w:val="21"/>
                <w:highlight w:val="none"/>
                <w:lang w:val="en-US" w:eastAsia="zh-CN"/>
              </w:rPr>
              <w:t>2.12</w:t>
            </w:r>
            <w:r>
              <w:rPr>
                <w:rFonts w:hint="default" w:ascii="Times New Roman" w:hAnsi="Times New Roman" w:eastAsia="宋体" w:cs="Times New Roman"/>
                <w:snapToGrid w:val="0"/>
                <w:color w:val="auto"/>
                <w:sz w:val="21"/>
                <w:szCs w:val="21"/>
                <w:highlight w:val="none"/>
              </w:rPr>
              <w:t>%。</w:t>
            </w:r>
          </w:p>
        </w:tc>
        <w:tc>
          <w:tcPr>
            <w:tcW w:w="319" w:type="dxa"/>
            <w:tcBorders>
              <w:left w:val="nil"/>
              <w:bottom w:val="single" w:color="000000" w:sz="12" w:space="0"/>
              <w:right w:val="nil"/>
            </w:tcBorders>
            <w:vAlign w:val="center"/>
          </w:tcPr>
          <w:p w14:paraId="14EF446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napToGrid w:val="0"/>
                <w:color w:val="auto"/>
                <w:sz w:val="21"/>
                <w:szCs w:val="21"/>
                <w:highlight w:val="none"/>
              </w:rPr>
            </w:pPr>
          </w:p>
        </w:tc>
      </w:tr>
    </w:tbl>
    <w:p w14:paraId="3BA37ADE">
      <w:pPr>
        <w:spacing w:line="360" w:lineRule="auto"/>
        <w:ind w:firstLine="480" w:firstLineChars="200"/>
        <w:rPr>
          <w:rFonts w:hint="eastAsia" w:ascii="Times New Roman" w:hAnsi="Times New Roman" w:cs="Times New Roman"/>
          <w:color w:val="auto"/>
          <w:sz w:val="24"/>
          <w:highlight w:val="none"/>
        </w:rPr>
      </w:pPr>
      <w:r>
        <w:rPr>
          <w:rFonts w:hint="eastAsia" w:ascii="Times New Roman" w:hAnsi="Times New Roman" w:cs="Times New Roman"/>
          <w:color w:val="auto"/>
          <w:sz w:val="24"/>
          <w:highlight w:val="none"/>
        </w:rPr>
        <w:t>3）预测方法</w:t>
      </w:r>
    </w:p>
    <w:p w14:paraId="2EB5EE36">
      <w:pPr>
        <w:spacing w:line="360" w:lineRule="auto"/>
        <w:ind w:firstLine="480" w:firstLineChars="200"/>
        <w:rPr>
          <w:rFonts w:hint="eastAsia" w:ascii="Times New Roman" w:hAnsi="Times New Roman" w:cs="Times New Roman"/>
          <w:color w:val="auto"/>
          <w:sz w:val="24"/>
          <w:highlight w:val="none"/>
        </w:rPr>
      </w:pPr>
      <w:r>
        <w:rPr>
          <w:rFonts w:hint="eastAsia" w:ascii="Times New Roman" w:hAnsi="Times New Roman" w:cs="Times New Roman"/>
          <w:color w:val="auto"/>
          <w:sz w:val="24"/>
          <w:highlight w:val="none"/>
          <w:lang w:val="en-US" w:eastAsia="zh-CN"/>
        </w:rPr>
        <w:fldChar w:fldCharType="begin"/>
      </w:r>
      <w:r>
        <w:rPr>
          <w:rFonts w:hint="eastAsia" w:ascii="Times New Roman" w:hAnsi="Times New Roman" w:cs="Times New Roman"/>
          <w:color w:val="auto"/>
          <w:sz w:val="24"/>
          <w:highlight w:val="none"/>
          <w:lang w:val="en-US" w:eastAsia="zh-CN"/>
        </w:rPr>
        <w:instrText xml:space="preserve"> = 1 \* GB3 \* MERGEFORMAT </w:instrText>
      </w:r>
      <w:r>
        <w:rPr>
          <w:rFonts w:hint="eastAsia" w:ascii="Times New Roman" w:hAnsi="Times New Roman" w:cs="Times New Roman"/>
          <w:color w:val="auto"/>
          <w:sz w:val="24"/>
          <w:highlight w:val="none"/>
          <w:lang w:val="en-US" w:eastAsia="zh-CN"/>
        </w:rPr>
        <w:fldChar w:fldCharType="separate"/>
      </w:r>
      <w:r>
        <w:rPr>
          <w:color w:val="auto"/>
          <w:highlight w:val="none"/>
        </w:rPr>
        <w:t>①</w:t>
      </w:r>
      <w:r>
        <w:rPr>
          <w:rFonts w:hint="eastAsia" w:ascii="Times New Roman" w:hAnsi="Times New Roman" w:cs="Times New Roman"/>
          <w:color w:val="auto"/>
          <w:sz w:val="24"/>
          <w:highlight w:val="none"/>
          <w:lang w:val="en-US" w:eastAsia="zh-CN"/>
        </w:rPr>
        <w:fldChar w:fldCharType="end"/>
      </w:r>
      <w:r>
        <w:rPr>
          <w:rFonts w:hint="eastAsia" w:ascii="Times New Roman" w:hAnsi="Times New Roman" w:cs="Times New Roman"/>
          <w:color w:val="auto"/>
          <w:sz w:val="24"/>
          <w:highlight w:val="none"/>
        </w:rPr>
        <w:t>单位质量土壤中某种物质的增量可用下式计算：</w:t>
      </w:r>
    </w:p>
    <w:p w14:paraId="3F260C8B">
      <w:pPr>
        <w:spacing w:line="360" w:lineRule="auto"/>
        <w:ind w:firstLine="480" w:firstLineChars="200"/>
        <w:rPr>
          <w:rFonts w:hint="eastAsia" w:ascii="Times New Roman" w:hAnsi="Times New Roman" w:cs="Times New Roman"/>
          <w:color w:val="auto"/>
          <w:sz w:val="24"/>
          <w:highlight w:val="none"/>
        </w:rPr>
      </w:pPr>
      <w:r>
        <w:rPr>
          <w:rFonts w:hint="eastAsia" w:ascii="Times New Roman" w:hAnsi="Times New Roman" w:cs="Times New Roman"/>
          <w:color w:val="auto"/>
          <w:sz w:val="24"/>
          <w:highlight w:val="none"/>
          <w:lang w:val="en-US" w:eastAsia="zh-CN"/>
        </w:rPr>
        <w:t xml:space="preserve">     </w:t>
      </w:r>
      <w:r>
        <w:rPr>
          <w:rFonts w:hint="eastAsia" w:ascii="Times New Roman" w:hAnsi="Times New Roman" w:cs="Times New Roman"/>
          <w:color w:val="auto"/>
          <w:sz w:val="24"/>
          <w:highlight w:val="none"/>
        </w:rPr>
        <w:drawing>
          <wp:inline distT="0" distB="0" distL="0" distR="0">
            <wp:extent cx="2276475" cy="176530"/>
            <wp:effectExtent l="0" t="0" r="9525" b="14605"/>
            <wp:docPr id="89" name="IM 89"/>
            <wp:cNvGraphicFramePr/>
            <a:graphic xmlns:a="http://schemas.openxmlformats.org/drawingml/2006/main">
              <a:graphicData uri="http://schemas.openxmlformats.org/drawingml/2006/picture">
                <pic:pic xmlns:pic="http://schemas.openxmlformats.org/drawingml/2006/picture">
                  <pic:nvPicPr>
                    <pic:cNvPr id="89" name="IM 89"/>
                    <pic:cNvPicPr/>
                  </pic:nvPicPr>
                  <pic:blipFill>
                    <a:blip r:embed="rId95" cstate="print"/>
                    <a:stretch>
                      <a:fillRect/>
                    </a:stretch>
                  </pic:blipFill>
                  <pic:spPr>
                    <a:xfrm>
                      <a:off x="0" y="0"/>
                      <a:ext cx="2276855" cy="176783"/>
                    </a:xfrm>
                    <a:prstGeom prst="rect">
                      <a:avLst/>
                    </a:prstGeom>
                  </pic:spPr>
                </pic:pic>
              </a:graphicData>
            </a:graphic>
          </wp:inline>
        </w:drawing>
      </w:r>
    </w:p>
    <w:p w14:paraId="4D6F7BCC">
      <w:pPr>
        <w:spacing w:line="360" w:lineRule="auto"/>
        <w:ind w:firstLine="480" w:firstLineChars="200"/>
        <w:rPr>
          <w:rFonts w:hint="eastAsia" w:ascii="Times New Roman" w:hAnsi="Times New Roman" w:cs="Times New Roman"/>
          <w:color w:val="auto"/>
          <w:sz w:val="24"/>
          <w:highlight w:val="none"/>
        </w:rPr>
      </w:pPr>
      <w:r>
        <w:rPr>
          <w:rFonts w:hint="eastAsia" w:ascii="Times New Roman" w:hAnsi="Times New Roman" w:cs="Times New Roman"/>
          <w:color w:val="auto"/>
          <w:sz w:val="24"/>
          <w:highlight w:val="none"/>
        </w:rPr>
        <w:t>式中：ΔS——单位质量表层土壤中某种物质的增量，g/kg；</w:t>
      </w:r>
    </w:p>
    <w:p w14:paraId="7B9BA3C6">
      <w:pPr>
        <w:spacing w:line="360" w:lineRule="auto"/>
        <w:ind w:firstLine="480" w:firstLineChars="200"/>
        <w:rPr>
          <w:rFonts w:hint="eastAsia" w:ascii="Times New Roman" w:hAnsi="Times New Roman" w:cs="Times New Roman"/>
          <w:color w:val="auto"/>
          <w:sz w:val="24"/>
          <w:highlight w:val="none"/>
        </w:rPr>
      </w:pPr>
      <w:r>
        <w:rPr>
          <w:rFonts w:hint="eastAsia" w:ascii="Times New Roman" w:hAnsi="Times New Roman" w:cs="Times New Roman"/>
          <w:color w:val="auto"/>
          <w:sz w:val="24"/>
          <w:highlight w:val="none"/>
        </w:rPr>
        <w:t>I</w:t>
      </w:r>
      <w:r>
        <w:rPr>
          <w:rFonts w:hint="eastAsia" w:ascii="Times New Roman" w:hAnsi="Times New Roman" w:cs="Times New Roman"/>
          <w:color w:val="auto"/>
          <w:sz w:val="24"/>
          <w:highlight w:val="none"/>
          <w:vertAlign w:val="subscript"/>
        </w:rPr>
        <w:t>S</w:t>
      </w:r>
      <w:r>
        <w:rPr>
          <w:rFonts w:hint="eastAsia" w:ascii="Times New Roman" w:hAnsi="Times New Roman" w:cs="Times New Roman"/>
          <w:color w:val="auto"/>
          <w:sz w:val="24"/>
          <w:highlight w:val="none"/>
        </w:rPr>
        <w:t xml:space="preserve"> ——预测评价范围内单位年份表层土壤中某种物质的输入量，g；</w:t>
      </w:r>
    </w:p>
    <w:p w14:paraId="03F8430E">
      <w:pPr>
        <w:spacing w:line="360" w:lineRule="auto"/>
        <w:ind w:firstLine="480" w:firstLineChars="200"/>
        <w:rPr>
          <w:rFonts w:hint="eastAsia" w:ascii="Times New Roman" w:hAnsi="Times New Roman" w:cs="Times New Roman"/>
          <w:color w:val="auto"/>
          <w:sz w:val="24"/>
          <w:highlight w:val="none"/>
        </w:rPr>
      </w:pPr>
      <w:r>
        <w:rPr>
          <w:rFonts w:hint="eastAsia" w:ascii="Times New Roman" w:hAnsi="Times New Roman" w:cs="Times New Roman"/>
          <w:color w:val="auto"/>
          <w:sz w:val="24"/>
          <w:highlight w:val="none"/>
        </w:rPr>
        <w:t>L</w:t>
      </w:r>
      <w:r>
        <w:rPr>
          <w:rFonts w:hint="eastAsia" w:ascii="Times New Roman" w:hAnsi="Times New Roman" w:cs="Times New Roman"/>
          <w:color w:val="auto"/>
          <w:sz w:val="24"/>
          <w:highlight w:val="none"/>
          <w:vertAlign w:val="subscript"/>
        </w:rPr>
        <w:t>S</w:t>
      </w:r>
      <w:r>
        <w:rPr>
          <w:rFonts w:hint="eastAsia" w:ascii="Times New Roman" w:hAnsi="Times New Roman" w:cs="Times New Roman"/>
          <w:color w:val="auto"/>
          <w:sz w:val="24"/>
          <w:highlight w:val="none"/>
        </w:rPr>
        <w:t>——预测评价范围内单位年份表层土壤中某种物质经淋溶排出的量，g；</w:t>
      </w:r>
    </w:p>
    <w:p w14:paraId="6C99F6A9">
      <w:pPr>
        <w:spacing w:line="360" w:lineRule="auto"/>
        <w:ind w:firstLine="480" w:firstLineChars="200"/>
        <w:rPr>
          <w:rFonts w:hint="eastAsia" w:ascii="Times New Roman" w:hAnsi="Times New Roman" w:cs="Times New Roman"/>
          <w:color w:val="auto"/>
          <w:sz w:val="24"/>
          <w:highlight w:val="none"/>
        </w:rPr>
      </w:pPr>
      <w:r>
        <w:rPr>
          <w:rFonts w:hint="eastAsia" w:ascii="Times New Roman" w:hAnsi="Times New Roman" w:cs="Times New Roman"/>
          <w:color w:val="auto"/>
          <w:sz w:val="24"/>
          <w:highlight w:val="none"/>
        </w:rPr>
        <w:t xml:space="preserve">RS——预测评价范围内单位年份表层土壤中某种物质经径流排出的量，g； </w:t>
      </w:r>
    </w:p>
    <w:p w14:paraId="2E7514CD">
      <w:pPr>
        <w:spacing w:line="360" w:lineRule="auto"/>
        <w:ind w:firstLine="480" w:firstLineChars="200"/>
        <w:rPr>
          <w:rFonts w:hint="eastAsia" w:ascii="Times New Roman" w:hAnsi="Times New Roman" w:cs="Times New Roman"/>
          <w:color w:val="auto"/>
          <w:sz w:val="24"/>
          <w:highlight w:val="none"/>
        </w:rPr>
      </w:pPr>
      <w:r>
        <w:rPr>
          <w:rFonts w:hint="eastAsia" w:ascii="Times New Roman" w:hAnsi="Times New Roman" w:cs="Times New Roman"/>
          <w:color w:val="auto"/>
          <w:sz w:val="24"/>
          <w:highlight w:val="none"/>
        </w:rPr>
        <w:t>ρ</w:t>
      </w:r>
      <w:r>
        <w:rPr>
          <w:rFonts w:hint="eastAsia" w:ascii="Times New Roman" w:hAnsi="Times New Roman" w:cs="Times New Roman"/>
          <w:color w:val="auto"/>
          <w:sz w:val="24"/>
          <w:highlight w:val="none"/>
          <w:vertAlign w:val="subscript"/>
        </w:rPr>
        <w:t>b</w:t>
      </w:r>
      <w:r>
        <w:rPr>
          <w:rFonts w:hint="eastAsia" w:ascii="Times New Roman" w:hAnsi="Times New Roman" w:cs="Times New Roman"/>
          <w:color w:val="auto"/>
          <w:sz w:val="24"/>
          <w:highlight w:val="none"/>
        </w:rPr>
        <w:t>——表层土壤容重，kg/m</w:t>
      </w:r>
      <w:r>
        <w:rPr>
          <w:rFonts w:hint="eastAsia" w:ascii="Times New Roman" w:hAnsi="Times New Roman" w:cs="Times New Roman"/>
          <w:color w:val="auto"/>
          <w:sz w:val="24"/>
          <w:highlight w:val="none"/>
          <w:vertAlign w:val="superscript"/>
        </w:rPr>
        <w:t>3</w:t>
      </w:r>
      <w:r>
        <w:rPr>
          <w:rFonts w:hint="eastAsia" w:ascii="Times New Roman" w:hAnsi="Times New Roman" w:cs="Times New Roman"/>
          <w:color w:val="auto"/>
          <w:sz w:val="24"/>
          <w:highlight w:val="none"/>
        </w:rPr>
        <w:t>；</w:t>
      </w:r>
    </w:p>
    <w:p w14:paraId="17CF4BC4">
      <w:pPr>
        <w:spacing w:line="360" w:lineRule="auto"/>
        <w:ind w:firstLine="480" w:firstLineChars="200"/>
        <w:rPr>
          <w:rFonts w:hint="eastAsia" w:ascii="Times New Roman" w:hAnsi="Times New Roman" w:cs="Times New Roman"/>
          <w:color w:val="auto"/>
          <w:sz w:val="24"/>
          <w:highlight w:val="none"/>
        </w:rPr>
      </w:pPr>
      <w:r>
        <w:rPr>
          <w:rFonts w:hint="eastAsia" w:ascii="Times New Roman" w:hAnsi="Times New Roman" w:cs="Times New Roman"/>
          <w:color w:val="auto"/>
          <w:sz w:val="24"/>
          <w:highlight w:val="none"/>
        </w:rPr>
        <w:t>A——预测评价范围，m</w:t>
      </w:r>
      <w:r>
        <w:rPr>
          <w:rFonts w:hint="eastAsia" w:ascii="Times New Roman" w:hAnsi="Times New Roman" w:cs="Times New Roman"/>
          <w:color w:val="auto"/>
          <w:sz w:val="24"/>
          <w:highlight w:val="none"/>
          <w:vertAlign w:val="superscript"/>
        </w:rPr>
        <w:t>2</w:t>
      </w:r>
      <w:r>
        <w:rPr>
          <w:rFonts w:hint="eastAsia" w:ascii="Times New Roman" w:hAnsi="Times New Roman" w:cs="Times New Roman"/>
          <w:color w:val="auto"/>
          <w:sz w:val="24"/>
          <w:highlight w:val="none"/>
        </w:rPr>
        <w:t>；</w:t>
      </w:r>
    </w:p>
    <w:p w14:paraId="0CEBA52B">
      <w:pPr>
        <w:spacing w:line="360" w:lineRule="auto"/>
        <w:ind w:firstLine="480" w:firstLineChars="200"/>
        <w:rPr>
          <w:rFonts w:hint="eastAsia" w:ascii="Times New Roman" w:hAnsi="Times New Roman" w:cs="Times New Roman"/>
          <w:color w:val="auto"/>
          <w:sz w:val="24"/>
          <w:highlight w:val="none"/>
        </w:rPr>
      </w:pPr>
      <w:r>
        <w:rPr>
          <w:rFonts w:hint="eastAsia" w:ascii="Times New Roman" w:hAnsi="Times New Roman" w:cs="Times New Roman"/>
          <w:color w:val="auto"/>
          <w:sz w:val="24"/>
          <w:highlight w:val="none"/>
        </w:rPr>
        <w:t>D——表层土壤深度，一般取0.2m，可根据实际情况适当调整；</w:t>
      </w:r>
    </w:p>
    <w:p w14:paraId="556967F5">
      <w:pPr>
        <w:spacing w:line="360" w:lineRule="auto"/>
        <w:ind w:firstLine="480" w:firstLineChars="200"/>
        <w:rPr>
          <w:rFonts w:hint="eastAsia" w:ascii="Times New Roman" w:hAnsi="Times New Roman" w:cs="Times New Roman"/>
          <w:color w:val="auto"/>
          <w:sz w:val="24"/>
          <w:highlight w:val="none"/>
        </w:rPr>
      </w:pPr>
      <w:r>
        <w:rPr>
          <w:rFonts w:hint="eastAsia" w:ascii="Times New Roman" w:hAnsi="Times New Roman" w:cs="Times New Roman"/>
          <w:color w:val="auto"/>
          <w:sz w:val="24"/>
          <w:highlight w:val="none"/>
        </w:rPr>
        <w:t>n——持续年份，a。</w:t>
      </w:r>
    </w:p>
    <w:p w14:paraId="35CBAFC4">
      <w:pPr>
        <w:spacing w:line="360" w:lineRule="auto"/>
        <w:ind w:firstLine="480" w:firstLineChars="200"/>
        <w:rPr>
          <w:rFonts w:hint="eastAsia" w:ascii="Times New Roman" w:hAnsi="Times New Roman" w:cs="Times New Roman"/>
          <w:color w:val="auto"/>
          <w:sz w:val="24"/>
          <w:highlight w:val="none"/>
        </w:rPr>
      </w:pPr>
      <w:r>
        <w:rPr>
          <w:rFonts w:hint="eastAsia" w:ascii="Times New Roman" w:hAnsi="Times New Roman" w:cs="Times New Roman"/>
          <w:color w:val="auto"/>
          <w:sz w:val="24"/>
          <w:highlight w:val="none"/>
        </w:rPr>
        <w:t>根据土壤导则附录E，项目涉及大气沉降影响的，可不考虑输出量，因此上述公式可简化为如下：</w:t>
      </w:r>
    </w:p>
    <w:p w14:paraId="5586C082">
      <w:pPr>
        <w:spacing w:line="360" w:lineRule="auto"/>
        <w:ind w:firstLine="480" w:firstLineChars="200"/>
        <w:rPr>
          <w:rFonts w:hint="eastAsia" w:ascii="Times New Roman" w:hAnsi="Times New Roman" w:cs="Times New Roman"/>
          <w:color w:val="auto"/>
          <w:sz w:val="24"/>
          <w:highlight w:val="none"/>
        </w:rPr>
      </w:pPr>
      <w:r>
        <w:rPr>
          <w:rFonts w:hint="eastAsia" w:ascii="Times New Roman" w:hAnsi="Times New Roman" w:cs="Times New Roman"/>
          <w:color w:val="auto"/>
          <w:sz w:val="24"/>
          <w:highlight w:val="none"/>
          <w:lang w:val="en-US" w:eastAsia="zh-CN"/>
        </w:rPr>
        <w:t xml:space="preserve">                </w:t>
      </w:r>
      <w:r>
        <w:rPr>
          <w:rFonts w:hint="eastAsia" w:ascii="Times New Roman" w:hAnsi="Times New Roman" w:cs="Times New Roman"/>
          <w:color w:val="auto"/>
          <w:sz w:val="24"/>
          <w:highlight w:val="none"/>
        </w:rPr>
        <w:drawing>
          <wp:inline distT="0" distB="0" distL="0" distR="0">
            <wp:extent cx="1500505" cy="176530"/>
            <wp:effectExtent l="0" t="0" r="4445" b="14605"/>
            <wp:docPr id="90" name="IM 90"/>
            <wp:cNvGraphicFramePr/>
            <a:graphic xmlns:a="http://schemas.openxmlformats.org/drawingml/2006/main">
              <a:graphicData uri="http://schemas.openxmlformats.org/drawingml/2006/picture">
                <pic:pic xmlns:pic="http://schemas.openxmlformats.org/drawingml/2006/picture">
                  <pic:nvPicPr>
                    <pic:cNvPr id="90" name="IM 90"/>
                    <pic:cNvPicPr/>
                  </pic:nvPicPr>
                  <pic:blipFill>
                    <a:blip r:embed="rId96" cstate="print"/>
                    <a:stretch>
                      <a:fillRect/>
                    </a:stretch>
                  </pic:blipFill>
                  <pic:spPr>
                    <a:xfrm>
                      <a:off x="0" y="0"/>
                      <a:ext cx="1501139" cy="176784"/>
                    </a:xfrm>
                    <a:prstGeom prst="rect">
                      <a:avLst/>
                    </a:prstGeom>
                  </pic:spPr>
                </pic:pic>
              </a:graphicData>
            </a:graphic>
          </wp:inline>
        </w:drawing>
      </w:r>
    </w:p>
    <w:p w14:paraId="3E3B3A0C">
      <w:pPr>
        <w:spacing w:line="360" w:lineRule="auto"/>
        <w:ind w:firstLine="480" w:firstLineChars="200"/>
        <w:rPr>
          <w:rFonts w:hint="eastAsia" w:ascii="Times New Roman" w:hAnsi="Times New Roman" w:cs="Times New Roman"/>
          <w:color w:val="auto"/>
          <w:sz w:val="24"/>
          <w:highlight w:val="none"/>
        </w:rPr>
      </w:pPr>
      <w:r>
        <w:rPr>
          <w:rFonts w:hint="eastAsia" w:ascii="Times New Roman" w:hAnsi="Times New Roman" w:cs="Times New Roman"/>
          <w:color w:val="auto"/>
          <w:sz w:val="24"/>
          <w:highlight w:val="none"/>
          <w:lang w:val="en-US" w:eastAsia="zh-CN"/>
        </w:rPr>
        <w:fldChar w:fldCharType="begin"/>
      </w:r>
      <w:r>
        <w:rPr>
          <w:rFonts w:hint="eastAsia" w:ascii="Times New Roman" w:hAnsi="Times New Roman" w:cs="Times New Roman"/>
          <w:color w:val="auto"/>
          <w:sz w:val="24"/>
          <w:highlight w:val="none"/>
          <w:lang w:val="en-US" w:eastAsia="zh-CN"/>
        </w:rPr>
        <w:instrText xml:space="preserve"> = 2 \* GB3 \* MERGEFORMAT </w:instrText>
      </w:r>
      <w:r>
        <w:rPr>
          <w:rFonts w:hint="eastAsia" w:ascii="Times New Roman" w:hAnsi="Times New Roman" w:cs="Times New Roman"/>
          <w:color w:val="auto"/>
          <w:sz w:val="24"/>
          <w:highlight w:val="none"/>
          <w:lang w:val="en-US" w:eastAsia="zh-CN"/>
        </w:rPr>
        <w:fldChar w:fldCharType="separate"/>
      </w:r>
      <w:r>
        <w:rPr>
          <w:color w:val="auto"/>
          <w:highlight w:val="none"/>
        </w:rPr>
        <w:t>②</w:t>
      </w:r>
      <w:r>
        <w:rPr>
          <w:rFonts w:hint="eastAsia" w:ascii="Times New Roman" w:hAnsi="Times New Roman" w:cs="Times New Roman"/>
          <w:color w:val="auto"/>
          <w:sz w:val="24"/>
          <w:highlight w:val="none"/>
          <w:lang w:val="en-US" w:eastAsia="zh-CN"/>
        </w:rPr>
        <w:fldChar w:fldCharType="end"/>
      </w:r>
      <w:r>
        <w:rPr>
          <w:rFonts w:hint="eastAsia" w:ascii="Times New Roman" w:hAnsi="Times New Roman" w:cs="Times New Roman"/>
          <w:color w:val="auto"/>
          <w:sz w:val="24"/>
          <w:highlight w:val="none"/>
        </w:rPr>
        <w:t>单位质量土壤中某种物质的预测值可根据其增量叠加现状值进行计算：</w:t>
      </w:r>
    </w:p>
    <w:p w14:paraId="78AB37F9">
      <w:pPr>
        <w:spacing w:line="360" w:lineRule="auto"/>
        <w:ind w:firstLine="480" w:firstLineChars="200"/>
        <w:rPr>
          <w:rFonts w:hint="eastAsia" w:ascii="Times New Roman" w:hAnsi="Times New Roman" w:cs="Times New Roman"/>
          <w:color w:val="auto"/>
          <w:sz w:val="24"/>
          <w:highlight w:val="none"/>
        </w:rPr>
      </w:pPr>
    </w:p>
    <w:p w14:paraId="61F6E437">
      <w:pPr>
        <w:spacing w:line="360" w:lineRule="auto"/>
        <w:ind w:firstLine="480" w:firstLineChars="200"/>
        <w:rPr>
          <w:color w:val="auto"/>
          <w:highlight w:val="none"/>
        </w:rPr>
      </w:pPr>
      <w:r>
        <w:rPr>
          <w:color w:val="auto"/>
          <w:highlight w:val="none"/>
        </w:rPr>
        <w:drawing>
          <wp:inline distT="0" distB="0" distL="114300" distR="114300">
            <wp:extent cx="990600" cy="276225"/>
            <wp:effectExtent l="0" t="0" r="0" b="9525"/>
            <wp:docPr id="2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8"/>
                    <pic:cNvPicPr>
                      <a:picLocks noChangeAspect="1"/>
                    </pic:cNvPicPr>
                  </pic:nvPicPr>
                  <pic:blipFill>
                    <a:blip r:embed="rId97"/>
                    <a:stretch>
                      <a:fillRect/>
                    </a:stretch>
                  </pic:blipFill>
                  <pic:spPr>
                    <a:xfrm>
                      <a:off x="0" y="0"/>
                      <a:ext cx="990600" cy="276225"/>
                    </a:xfrm>
                    <a:prstGeom prst="rect">
                      <a:avLst/>
                    </a:prstGeom>
                    <a:noFill/>
                    <a:ln>
                      <a:noFill/>
                    </a:ln>
                  </pic:spPr>
                </pic:pic>
              </a:graphicData>
            </a:graphic>
          </wp:inline>
        </w:drawing>
      </w:r>
    </w:p>
    <w:p w14:paraId="17D2B5EC">
      <w:pPr>
        <w:spacing w:line="360" w:lineRule="auto"/>
        <w:ind w:firstLine="480" w:firstLineChars="200"/>
        <w:rPr>
          <w:rFonts w:hint="eastAsia" w:ascii="Times New Roman" w:hAnsi="Times New Roman" w:cs="Times New Roman"/>
          <w:color w:val="auto"/>
          <w:sz w:val="24"/>
          <w:highlight w:val="none"/>
        </w:rPr>
      </w:pPr>
      <w:r>
        <w:rPr>
          <w:rFonts w:hint="eastAsia" w:ascii="Times New Roman" w:hAnsi="Times New Roman" w:cs="Times New Roman"/>
          <w:color w:val="auto"/>
          <w:sz w:val="24"/>
          <w:highlight w:val="none"/>
        </w:rPr>
        <w:t>式中：Sb——单位质量表层土壤中某种物质的现状值，g/kg；</w:t>
      </w:r>
    </w:p>
    <w:p w14:paraId="4483E539">
      <w:pPr>
        <w:spacing w:line="360" w:lineRule="auto"/>
        <w:ind w:firstLine="480" w:firstLineChars="200"/>
        <w:rPr>
          <w:rFonts w:hint="eastAsia" w:ascii="Times New Roman" w:hAnsi="Times New Roman" w:cs="Times New Roman"/>
          <w:color w:val="auto"/>
          <w:sz w:val="24"/>
          <w:highlight w:val="none"/>
        </w:rPr>
      </w:pPr>
      <w:r>
        <w:rPr>
          <w:rFonts w:hint="eastAsia" w:ascii="Times New Roman" w:hAnsi="Times New Roman" w:cs="Times New Roman"/>
          <w:color w:val="auto"/>
          <w:sz w:val="24"/>
          <w:highlight w:val="none"/>
        </w:rPr>
        <w:t>S——单位质量表层土壤中某种物质的预测值，g/kg。</w:t>
      </w:r>
    </w:p>
    <w:p w14:paraId="6739E744">
      <w:pPr>
        <w:spacing w:line="360" w:lineRule="auto"/>
        <w:ind w:firstLine="480" w:firstLineChars="200"/>
        <w:rPr>
          <w:rFonts w:hint="eastAsia" w:ascii="Times New Roman" w:hAnsi="Times New Roman" w:cs="Times New Roman"/>
          <w:color w:val="auto"/>
          <w:sz w:val="24"/>
          <w:highlight w:val="none"/>
        </w:rPr>
      </w:pPr>
      <w:r>
        <w:rPr>
          <w:rFonts w:hint="eastAsia" w:ascii="Times New Roman" w:hAnsi="Times New Roman" w:cs="Times New Roman"/>
          <w:color w:val="auto"/>
          <w:sz w:val="24"/>
          <w:highlight w:val="none"/>
        </w:rPr>
        <w:t>4）预测结果</w:t>
      </w:r>
    </w:p>
    <w:p w14:paraId="3C9AF8B8">
      <w:pPr>
        <w:spacing w:line="360" w:lineRule="auto"/>
        <w:ind w:firstLine="480" w:firstLineChars="200"/>
        <w:rPr>
          <w:rFonts w:ascii="宋体" w:hAnsi="宋体" w:cs="宋体" w:eastAsiaTheme="minorEastAsia"/>
          <w:color w:val="auto"/>
          <w:spacing w:val="-1"/>
          <w:sz w:val="24"/>
          <w:highlight w:val="none"/>
        </w:rPr>
      </w:pPr>
      <w:r>
        <w:rPr>
          <w:rFonts w:hint="eastAsia" w:ascii="Times New Roman" w:hAnsi="Times New Roman" w:cs="Times New Roman"/>
          <w:color w:val="auto"/>
          <w:sz w:val="24"/>
          <w:highlight w:val="none"/>
        </w:rPr>
        <w:t>本项目的预测评价范围为0.</w:t>
      </w:r>
      <w:r>
        <w:rPr>
          <w:rFonts w:hint="eastAsia" w:ascii="Times New Roman" w:hAnsi="Times New Roman" w:cs="Times New Roman"/>
          <w:color w:val="auto"/>
          <w:sz w:val="24"/>
          <w:highlight w:val="none"/>
          <w:lang w:val="en-US" w:eastAsia="zh-CN"/>
        </w:rPr>
        <w:t>392</w:t>
      </w:r>
      <w:r>
        <w:rPr>
          <w:rFonts w:hint="eastAsia" w:ascii="Times New Roman" w:hAnsi="Times New Roman" w:cs="Times New Roman"/>
          <w:color w:val="auto"/>
          <w:sz w:val="24"/>
          <w:highlight w:val="none"/>
        </w:rPr>
        <w:t>km</w:t>
      </w:r>
      <w:r>
        <w:rPr>
          <w:rFonts w:hint="eastAsia" w:ascii="Times New Roman" w:hAnsi="Times New Roman" w:cs="Times New Roman"/>
          <w:color w:val="auto"/>
          <w:sz w:val="24"/>
          <w:highlight w:val="none"/>
          <w:vertAlign w:val="superscript"/>
        </w:rPr>
        <w:t>2</w:t>
      </w:r>
      <w:r>
        <w:rPr>
          <w:rFonts w:hint="eastAsia" w:ascii="Times New Roman" w:hAnsi="Times New Roman" w:cs="Times New Roman"/>
          <w:color w:val="auto"/>
          <w:sz w:val="24"/>
          <w:highlight w:val="none"/>
        </w:rPr>
        <w:t>（即调查评价范围，含厂内），根据大气污染物扩散情况，假设污染物全部沉降至某一地块，设置不同的地块面积情形（分别占预测评价范围的20%、50%和100%）和不同持续年份（分为5年、10年、20年）的情形进行土壤增量预测，预测评价范围内单位年份表层土壤中某种物质的输入量采用大气环境影响预测中正常工况下最大落地浓度，背景最大值采用土壤环境监测石油烃最大浓度。其预测情形参数设置及结果见下表。</w:t>
      </w:r>
    </w:p>
    <w:p w14:paraId="490A46B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color w:val="auto"/>
          <w:spacing w:val="-1"/>
          <w:sz w:val="21"/>
          <w:szCs w:val="21"/>
          <w:highlight w:val="none"/>
        </w:rPr>
        <w:t>表</w:t>
      </w:r>
      <w:r>
        <w:rPr>
          <w:rFonts w:hint="default" w:ascii="Times New Roman" w:hAnsi="Times New Roman" w:eastAsia="宋体" w:cs="Times New Roman"/>
          <w:b/>
          <w:bCs/>
          <w:color w:val="auto"/>
          <w:spacing w:val="-1"/>
          <w:sz w:val="21"/>
          <w:szCs w:val="21"/>
          <w:highlight w:val="none"/>
        </w:rPr>
        <w:t>5-2-</w:t>
      </w:r>
      <w:r>
        <w:rPr>
          <w:rFonts w:hint="eastAsia" w:ascii="Times New Roman" w:hAnsi="Times New Roman" w:cs="Times New Roman"/>
          <w:b/>
          <w:bCs/>
          <w:color w:val="auto"/>
          <w:spacing w:val="-1"/>
          <w:sz w:val="21"/>
          <w:szCs w:val="21"/>
          <w:highlight w:val="none"/>
          <w:lang w:val="en-US" w:eastAsia="zh-CN"/>
        </w:rPr>
        <w:t>32</w:t>
      </w:r>
      <w:r>
        <w:rPr>
          <w:rFonts w:hint="eastAsia" w:ascii="Times New Roman" w:hAnsi="Times New Roman" w:eastAsia="宋体" w:cs="Times New Roman"/>
          <w:b/>
          <w:bCs/>
          <w:color w:val="auto"/>
          <w:spacing w:val="-1"/>
          <w:sz w:val="21"/>
          <w:szCs w:val="21"/>
          <w:highlight w:val="none"/>
          <w:lang w:val="en-US" w:eastAsia="zh-CN"/>
        </w:rPr>
        <w:t xml:space="preserve">  </w:t>
      </w:r>
      <w:r>
        <w:rPr>
          <w:rFonts w:hint="default" w:ascii="Times New Roman" w:hAnsi="Times New Roman" w:eastAsia="宋体" w:cs="Times New Roman"/>
          <w:b/>
          <w:color w:val="auto"/>
          <w:spacing w:val="-1"/>
          <w:sz w:val="21"/>
          <w:szCs w:val="21"/>
          <w:highlight w:val="none"/>
        </w:rPr>
        <w:t>大气沉降预测参数设置及结果</w:t>
      </w:r>
    </w:p>
    <w:tbl>
      <w:tblPr>
        <w:tblStyle w:val="739"/>
        <w:tblW w:w="8720"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2" w:space="0"/>
        </w:tblBorders>
        <w:tblLayout w:type="fixed"/>
        <w:tblCellMar>
          <w:top w:w="0" w:type="dxa"/>
          <w:left w:w="0" w:type="dxa"/>
          <w:bottom w:w="0" w:type="dxa"/>
          <w:right w:w="0" w:type="dxa"/>
        </w:tblCellMar>
      </w:tblPr>
      <w:tblGrid>
        <w:gridCol w:w="765"/>
        <w:gridCol w:w="860"/>
        <w:gridCol w:w="1072"/>
        <w:gridCol w:w="849"/>
        <w:gridCol w:w="772"/>
        <w:gridCol w:w="1153"/>
        <w:gridCol w:w="1190"/>
        <w:gridCol w:w="1059"/>
        <w:gridCol w:w="1000"/>
      </w:tblGrid>
      <w:tr w14:paraId="1CB3A466">
        <w:tblPrEx>
          <w:tblBorders>
            <w:top w:val="single" w:color="000000" w:sz="12" w:space="0"/>
            <w:left w:val="none" w:color="auto" w:sz="0" w:space="0"/>
            <w:bottom w:val="single" w:color="000000" w:sz="12" w:space="0"/>
            <w:right w:val="none" w:color="auto" w:sz="0" w:space="0"/>
            <w:insideH w:val="single" w:color="000000" w:sz="6" w:space="0"/>
            <w:insideV w:val="single" w:color="000000" w:sz="2" w:space="0"/>
          </w:tblBorders>
          <w:tblCellMar>
            <w:top w:w="0" w:type="dxa"/>
            <w:left w:w="0" w:type="dxa"/>
            <w:bottom w:w="0" w:type="dxa"/>
            <w:right w:w="0" w:type="dxa"/>
          </w:tblCellMar>
        </w:tblPrEx>
        <w:trPr>
          <w:trHeight w:val="811" w:hRule="atLeast"/>
          <w:jc w:val="center"/>
        </w:trPr>
        <w:tc>
          <w:tcPr>
            <w:tcW w:w="765" w:type="dxa"/>
            <w:tcBorders>
              <w:tl2br w:val="nil"/>
              <w:tr2bl w:val="nil"/>
            </w:tcBorders>
            <w:vAlign w:val="center"/>
          </w:tcPr>
          <w:p w14:paraId="6CCEF2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r>
              <w:rPr>
                <w:rFonts w:hint="default" w:ascii="Times New Roman" w:hAnsi="Times New Roman" w:eastAsia="宋体" w:cs="Times New Roman"/>
                <w:snapToGrid w:val="0"/>
                <w:color w:val="auto"/>
                <w:spacing w:val="0"/>
                <w:w w:val="100"/>
                <w:kern w:val="0"/>
                <w:position w:val="0"/>
                <w:sz w:val="21"/>
                <w:szCs w:val="21"/>
                <w:highlight w:val="none"/>
              </w:rPr>
              <w:t>n（年）</w:t>
            </w:r>
          </w:p>
        </w:tc>
        <w:tc>
          <w:tcPr>
            <w:tcW w:w="860" w:type="dxa"/>
            <w:tcBorders>
              <w:tl2br w:val="nil"/>
              <w:tr2bl w:val="nil"/>
            </w:tcBorders>
            <w:vAlign w:val="center"/>
          </w:tcPr>
          <w:p w14:paraId="7CB2AA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r>
              <w:rPr>
                <w:rFonts w:hint="default" w:ascii="Times New Roman" w:hAnsi="Times New Roman" w:eastAsia="宋体" w:cs="Times New Roman"/>
                <w:i/>
                <w:iCs/>
                <w:snapToGrid w:val="0"/>
                <w:color w:val="auto"/>
                <w:spacing w:val="0"/>
                <w:w w:val="100"/>
                <w:kern w:val="0"/>
                <w:position w:val="0"/>
                <w:sz w:val="21"/>
                <w:szCs w:val="21"/>
                <w:highlight w:val="none"/>
              </w:rPr>
              <w:t>ρ</w:t>
            </w:r>
            <w:r>
              <w:rPr>
                <w:rFonts w:hint="default" w:ascii="Times New Roman" w:hAnsi="Times New Roman" w:eastAsia="宋体" w:cs="Times New Roman"/>
                <w:snapToGrid w:val="0"/>
                <w:color w:val="auto"/>
                <w:spacing w:val="0"/>
                <w:w w:val="100"/>
                <w:kern w:val="0"/>
                <w:position w:val="0"/>
                <w:sz w:val="21"/>
                <w:szCs w:val="21"/>
                <w:highlight w:val="none"/>
                <w:vertAlign w:val="subscript"/>
              </w:rPr>
              <w:t>b</w:t>
            </w:r>
            <w:r>
              <w:rPr>
                <w:rFonts w:hint="default" w:ascii="Times New Roman" w:hAnsi="Times New Roman" w:eastAsia="宋体" w:cs="Times New Roman"/>
                <w:snapToGrid w:val="0"/>
                <w:color w:val="auto"/>
                <w:spacing w:val="0"/>
                <w:w w:val="100"/>
                <w:kern w:val="0"/>
                <w:position w:val="0"/>
                <w:sz w:val="21"/>
                <w:szCs w:val="21"/>
                <w:highlight w:val="none"/>
              </w:rPr>
              <w:t>（kg/m</w:t>
            </w:r>
            <w:r>
              <w:rPr>
                <w:rFonts w:hint="default" w:ascii="Times New Roman" w:hAnsi="Times New Roman" w:eastAsia="宋体" w:cs="Times New Roman"/>
                <w:snapToGrid w:val="0"/>
                <w:color w:val="auto"/>
                <w:spacing w:val="0"/>
                <w:w w:val="100"/>
                <w:kern w:val="0"/>
                <w:position w:val="0"/>
                <w:sz w:val="21"/>
                <w:szCs w:val="21"/>
                <w:highlight w:val="none"/>
                <w:vertAlign w:val="superscript"/>
              </w:rPr>
              <w:t>3</w:t>
            </w:r>
            <w:r>
              <w:rPr>
                <w:rFonts w:hint="default" w:ascii="Times New Roman" w:hAnsi="Times New Roman" w:eastAsia="宋体" w:cs="Times New Roman"/>
                <w:snapToGrid w:val="0"/>
                <w:color w:val="auto"/>
                <w:spacing w:val="0"/>
                <w:w w:val="100"/>
                <w:kern w:val="0"/>
                <w:position w:val="0"/>
                <w:sz w:val="21"/>
                <w:szCs w:val="21"/>
                <w:highlight w:val="none"/>
              </w:rPr>
              <w:t>）</w:t>
            </w:r>
          </w:p>
        </w:tc>
        <w:tc>
          <w:tcPr>
            <w:tcW w:w="1072" w:type="dxa"/>
            <w:tcBorders>
              <w:tl2br w:val="nil"/>
              <w:tr2bl w:val="nil"/>
            </w:tcBorders>
            <w:vAlign w:val="center"/>
          </w:tcPr>
          <w:p w14:paraId="05328E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r>
              <w:rPr>
                <w:rFonts w:hint="default" w:ascii="Times New Roman" w:hAnsi="Times New Roman" w:eastAsia="宋体" w:cs="Times New Roman"/>
                <w:snapToGrid w:val="0"/>
                <w:color w:val="auto"/>
                <w:spacing w:val="0"/>
                <w:w w:val="100"/>
                <w:kern w:val="0"/>
                <w:position w:val="0"/>
                <w:sz w:val="21"/>
                <w:szCs w:val="21"/>
                <w:highlight w:val="none"/>
              </w:rPr>
              <w:t>A（m</w:t>
            </w:r>
            <w:r>
              <w:rPr>
                <w:rFonts w:hint="default" w:ascii="Times New Roman" w:hAnsi="Times New Roman" w:eastAsia="宋体" w:cs="Times New Roman"/>
                <w:snapToGrid w:val="0"/>
                <w:color w:val="auto"/>
                <w:spacing w:val="0"/>
                <w:w w:val="100"/>
                <w:kern w:val="0"/>
                <w:position w:val="0"/>
                <w:sz w:val="21"/>
                <w:szCs w:val="21"/>
                <w:highlight w:val="none"/>
                <w:vertAlign w:val="superscript"/>
              </w:rPr>
              <w:t>2</w:t>
            </w:r>
            <w:r>
              <w:rPr>
                <w:rFonts w:hint="default" w:ascii="Times New Roman" w:hAnsi="Times New Roman" w:eastAsia="宋体" w:cs="Times New Roman"/>
                <w:snapToGrid w:val="0"/>
                <w:color w:val="auto"/>
                <w:spacing w:val="0"/>
                <w:w w:val="100"/>
                <w:kern w:val="0"/>
                <w:position w:val="0"/>
                <w:sz w:val="21"/>
                <w:szCs w:val="21"/>
                <w:highlight w:val="none"/>
              </w:rPr>
              <w:t>）</w:t>
            </w:r>
          </w:p>
        </w:tc>
        <w:tc>
          <w:tcPr>
            <w:tcW w:w="849" w:type="dxa"/>
            <w:tcBorders>
              <w:tl2br w:val="nil"/>
              <w:tr2bl w:val="nil"/>
            </w:tcBorders>
            <w:vAlign w:val="center"/>
          </w:tcPr>
          <w:p w14:paraId="6F5A94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r>
              <w:rPr>
                <w:rFonts w:hint="default" w:ascii="Times New Roman" w:hAnsi="Times New Roman" w:eastAsia="宋体" w:cs="Times New Roman"/>
                <w:snapToGrid w:val="0"/>
                <w:color w:val="auto"/>
                <w:spacing w:val="0"/>
                <w:w w:val="100"/>
                <w:kern w:val="0"/>
                <w:position w:val="0"/>
                <w:sz w:val="21"/>
                <w:szCs w:val="21"/>
                <w:highlight w:val="none"/>
              </w:rPr>
              <w:t>D（m）</w:t>
            </w:r>
          </w:p>
        </w:tc>
        <w:tc>
          <w:tcPr>
            <w:tcW w:w="772" w:type="dxa"/>
            <w:tcBorders>
              <w:tl2br w:val="nil"/>
              <w:tr2bl w:val="nil"/>
            </w:tcBorders>
            <w:vAlign w:val="center"/>
          </w:tcPr>
          <w:p w14:paraId="55F57C5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r>
              <w:rPr>
                <w:rFonts w:hint="default" w:ascii="Times New Roman" w:hAnsi="Times New Roman" w:eastAsia="宋体" w:cs="Times New Roman"/>
                <w:i/>
                <w:iCs/>
                <w:snapToGrid w:val="0"/>
                <w:color w:val="auto"/>
                <w:spacing w:val="0"/>
                <w:w w:val="100"/>
                <w:kern w:val="0"/>
                <w:position w:val="0"/>
                <w:sz w:val="21"/>
                <w:szCs w:val="21"/>
                <w:highlight w:val="none"/>
              </w:rPr>
              <w:t>I</w:t>
            </w:r>
            <w:r>
              <w:rPr>
                <w:rFonts w:hint="default" w:ascii="Times New Roman" w:hAnsi="Times New Roman" w:eastAsia="宋体" w:cs="Times New Roman"/>
                <w:snapToGrid w:val="0"/>
                <w:color w:val="auto"/>
                <w:spacing w:val="0"/>
                <w:w w:val="100"/>
                <w:kern w:val="0"/>
                <w:position w:val="0"/>
                <w:sz w:val="21"/>
                <w:szCs w:val="21"/>
                <w:highlight w:val="none"/>
                <w:vertAlign w:val="subscript"/>
              </w:rPr>
              <w:t>S</w:t>
            </w:r>
            <w:r>
              <w:rPr>
                <w:rFonts w:hint="default" w:ascii="Times New Roman" w:hAnsi="Times New Roman" w:eastAsia="宋体" w:cs="Times New Roman"/>
                <w:snapToGrid w:val="0"/>
                <w:color w:val="auto"/>
                <w:spacing w:val="0"/>
                <w:w w:val="100"/>
                <w:kern w:val="0"/>
                <w:position w:val="0"/>
                <w:sz w:val="21"/>
                <w:szCs w:val="21"/>
                <w:highlight w:val="none"/>
              </w:rPr>
              <w:t>（g）</w:t>
            </w:r>
          </w:p>
        </w:tc>
        <w:tc>
          <w:tcPr>
            <w:tcW w:w="1153" w:type="dxa"/>
            <w:tcBorders>
              <w:tl2br w:val="nil"/>
              <w:tr2bl w:val="nil"/>
            </w:tcBorders>
            <w:vAlign w:val="center"/>
          </w:tcPr>
          <w:p w14:paraId="14E782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r>
              <w:rPr>
                <w:rFonts w:hint="default" w:ascii="Times New Roman" w:hAnsi="Times New Roman" w:eastAsia="宋体" w:cs="Times New Roman"/>
                <w:snapToGrid w:val="0"/>
                <w:color w:val="auto"/>
                <w:spacing w:val="0"/>
                <w:w w:val="100"/>
                <w:kern w:val="0"/>
                <w:position w:val="0"/>
                <w:sz w:val="21"/>
                <w:szCs w:val="21"/>
                <w:highlight w:val="none"/>
              </w:rPr>
              <w:t>背景最大值（g/kg）</w:t>
            </w:r>
          </w:p>
        </w:tc>
        <w:tc>
          <w:tcPr>
            <w:tcW w:w="1190" w:type="dxa"/>
            <w:tcBorders>
              <w:tl2br w:val="nil"/>
              <w:tr2bl w:val="nil"/>
            </w:tcBorders>
            <w:vAlign w:val="center"/>
          </w:tcPr>
          <w:p w14:paraId="69E28E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r>
              <w:rPr>
                <w:rFonts w:hint="default" w:ascii="Times New Roman" w:hAnsi="Times New Roman" w:eastAsia="宋体" w:cs="Times New Roman"/>
                <w:snapToGrid w:val="0"/>
                <w:color w:val="auto"/>
                <w:spacing w:val="0"/>
                <w:w w:val="100"/>
                <w:kern w:val="0"/>
                <w:position w:val="0"/>
                <w:sz w:val="21"/>
                <w:szCs w:val="21"/>
                <w:highlight w:val="none"/>
              </w:rPr>
              <w:t>△S（g/kg）</w:t>
            </w:r>
          </w:p>
        </w:tc>
        <w:tc>
          <w:tcPr>
            <w:tcW w:w="1059" w:type="dxa"/>
            <w:tcBorders>
              <w:tl2br w:val="nil"/>
              <w:tr2bl w:val="nil"/>
            </w:tcBorders>
            <w:vAlign w:val="center"/>
          </w:tcPr>
          <w:p w14:paraId="0A19E5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r>
              <w:rPr>
                <w:rFonts w:hint="default" w:ascii="Times New Roman" w:hAnsi="Times New Roman" w:eastAsia="宋体" w:cs="Times New Roman"/>
                <w:snapToGrid w:val="0"/>
                <w:color w:val="auto"/>
                <w:spacing w:val="0"/>
                <w:w w:val="100"/>
                <w:kern w:val="0"/>
                <w:position w:val="0"/>
                <w:sz w:val="21"/>
                <w:szCs w:val="21"/>
                <w:highlight w:val="none"/>
              </w:rPr>
              <w:t>预测值</w:t>
            </w:r>
          </w:p>
          <w:p w14:paraId="7CD689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r>
              <w:rPr>
                <w:rFonts w:hint="default" w:ascii="Times New Roman" w:hAnsi="Times New Roman" w:eastAsia="宋体" w:cs="Times New Roman"/>
                <w:snapToGrid w:val="0"/>
                <w:color w:val="auto"/>
                <w:spacing w:val="0"/>
                <w:w w:val="100"/>
                <w:kern w:val="0"/>
                <w:position w:val="0"/>
                <w:sz w:val="21"/>
                <w:szCs w:val="21"/>
                <w:highlight w:val="none"/>
              </w:rPr>
              <w:t>（g/kg）</w:t>
            </w:r>
          </w:p>
        </w:tc>
        <w:tc>
          <w:tcPr>
            <w:tcW w:w="1000" w:type="dxa"/>
            <w:tcBorders>
              <w:tl2br w:val="nil"/>
              <w:tr2bl w:val="nil"/>
            </w:tcBorders>
            <w:vAlign w:val="center"/>
          </w:tcPr>
          <w:p w14:paraId="109E1DD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r>
              <w:rPr>
                <w:rFonts w:hint="default" w:ascii="Times New Roman" w:hAnsi="Times New Roman" w:eastAsia="宋体" w:cs="Times New Roman"/>
                <w:snapToGrid w:val="0"/>
                <w:color w:val="auto"/>
                <w:spacing w:val="0"/>
                <w:w w:val="100"/>
                <w:kern w:val="0"/>
                <w:position w:val="0"/>
                <w:sz w:val="21"/>
                <w:szCs w:val="21"/>
                <w:highlight w:val="none"/>
              </w:rPr>
              <w:t>筛选值（g/kg）</w:t>
            </w:r>
          </w:p>
        </w:tc>
      </w:tr>
      <w:tr w14:paraId="069AD64B">
        <w:tblPrEx>
          <w:tblBorders>
            <w:top w:val="single" w:color="000000" w:sz="12" w:space="0"/>
            <w:left w:val="none" w:color="auto" w:sz="0" w:space="0"/>
            <w:bottom w:val="single" w:color="000000" w:sz="12" w:space="0"/>
            <w:right w:val="none" w:color="auto" w:sz="0" w:space="0"/>
            <w:insideH w:val="single" w:color="000000" w:sz="6" w:space="0"/>
            <w:insideV w:val="single" w:color="000000" w:sz="2" w:space="0"/>
          </w:tblBorders>
          <w:tblCellMar>
            <w:top w:w="0" w:type="dxa"/>
            <w:left w:w="0" w:type="dxa"/>
            <w:bottom w:w="0" w:type="dxa"/>
            <w:right w:w="0" w:type="dxa"/>
          </w:tblCellMar>
        </w:tblPrEx>
        <w:trPr>
          <w:trHeight w:val="199" w:hRule="atLeast"/>
          <w:jc w:val="center"/>
        </w:trPr>
        <w:tc>
          <w:tcPr>
            <w:tcW w:w="765" w:type="dxa"/>
            <w:vMerge w:val="restart"/>
            <w:tcBorders>
              <w:tl2br w:val="nil"/>
              <w:tr2bl w:val="nil"/>
            </w:tcBorders>
            <w:vAlign w:val="center"/>
          </w:tcPr>
          <w:p w14:paraId="200633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r>
              <w:rPr>
                <w:rFonts w:hint="default" w:ascii="Times New Roman" w:hAnsi="Times New Roman" w:eastAsia="宋体" w:cs="Times New Roman"/>
                <w:snapToGrid w:val="0"/>
                <w:color w:val="auto"/>
                <w:spacing w:val="0"/>
                <w:w w:val="100"/>
                <w:kern w:val="0"/>
                <w:position w:val="0"/>
                <w:sz w:val="21"/>
                <w:szCs w:val="21"/>
                <w:highlight w:val="none"/>
              </w:rPr>
              <w:t>5</w:t>
            </w:r>
          </w:p>
        </w:tc>
        <w:tc>
          <w:tcPr>
            <w:tcW w:w="860" w:type="dxa"/>
            <w:vMerge w:val="restart"/>
            <w:tcBorders>
              <w:tl2br w:val="nil"/>
              <w:tr2bl w:val="nil"/>
            </w:tcBorders>
            <w:vAlign w:val="center"/>
          </w:tcPr>
          <w:p w14:paraId="006616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r>
              <w:rPr>
                <w:rFonts w:hint="default" w:ascii="Times New Roman" w:hAnsi="Times New Roman" w:eastAsia="宋体" w:cs="Times New Roman"/>
                <w:snapToGrid w:val="0"/>
                <w:color w:val="auto"/>
                <w:spacing w:val="0"/>
                <w:w w:val="100"/>
                <w:kern w:val="0"/>
                <w:position w:val="0"/>
                <w:sz w:val="21"/>
                <w:szCs w:val="21"/>
                <w:highlight w:val="none"/>
              </w:rPr>
              <w:t>1450</w:t>
            </w:r>
          </w:p>
        </w:tc>
        <w:tc>
          <w:tcPr>
            <w:tcW w:w="1072" w:type="dxa"/>
            <w:tcBorders>
              <w:tl2br w:val="nil"/>
              <w:tr2bl w:val="nil"/>
            </w:tcBorders>
            <w:vAlign w:val="center"/>
          </w:tcPr>
          <w:p w14:paraId="7A84D73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lang w:val="en-US" w:eastAsia="zh-CN"/>
              </w:rPr>
            </w:pPr>
            <w:r>
              <w:rPr>
                <w:rFonts w:hint="eastAsia" w:ascii="Times New Roman" w:hAnsi="Times New Roman" w:eastAsia="宋体" w:cs="Times New Roman"/>
                <w:snapToGrid w:val="0"/>
                <w:color w:val="auto"/>
                <w:spacing w:val="0"/>
                <w:w w:val="100"/>
                <w:kern w:val="0"/>
                <w:position w:val="0"/>
                <w:sz w:val="21"/>
                <w:szCs w:val="21"/>
                <w:highlight w:val="none"/>
                <w:lang w:val="en-US" w:eastAsia="zh-CN"/>
              </w:rPr>
              <w:t>78400</w:t>
            </w:r>
          </w:p>
        </w:tc>
        <w:tc>
          <w:tcPr>
            <w:tcW w:w="849" w:type="dxa"/>
            <w:vMerge w:val="restart"/>
            <w:tcBorders>
              <w:tl2br w:val="nil"/>
              <w:tr2bl w:val="nil"/>
            </w:tcBorders>
            <w:vAlign w:val="center"/>
          </w:tcPr>
          <w:p w14:paraId="1F64775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r>
              <w:rPr>
                <w:rFonts w:hint="default" w:ascii="Times New Roman" w:hAnsi="Times New Roman" w:eastAsia="宋体" w:cs="Times New Roman"/>
                <w:snapToGrid w:val="0"/>
                <w:color w:val="auto"/>
                <w:spacing w:val="0"/>
                <w:w w:val="100"/>
                <w:kern w:val="0"/>
                <w:position w:val="0"/>
                <w:sz w:val="21"/>
                <w:szCs w:val="21"/>
                <w:highlight w:val="none"/>
              </w:rPr>
              <w:t>0.2</w:t>
            </w:r>
          </w:p>
        </w:tc>
        <w:tc>
          <w:tcPr>
            <w:tcW w:w="772" w:type="dxa"/>
            <w:vMerge w:val="restart"/>
            <w:tcBorders>
              <w:tl2br w:val="nil"/>
              <w:tr2bl w:val="nil"/>
            </w:tcBorders>
            <w:vAlign w:val="center"/>
          </w:tcPr>
          <w:p w14:paraId="18970F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lang w:val="en-US" w:eastAsia="zh-CN"/>
              </w:rPr>
            </w:pPr>
            <w:r>
              <w:rPr>
                <w:rFonts w:hint="eastAsia" w:ascii="Times New Roman" w:hAnsi="Times New Roman" w:cs="Times New Roman"/>
                <w:snapToGrid w:val="0"/>
                <w:color w:val="auto"/>
                <w:spacing w:val="0"/>
                <w:w w:val="100"/>
                <w:kern w:val="0"/>
                <w:position w:val="0"/>
                <w:sz w:val="21"/>
                <w:szCs w:val="21"/>
                <w:highlight w:val="none"/>
                <w:lang w:val="en-US" w:eastAsia="zh-CN"/>
              </w:rPr>
              <w:t>540000</w:t>
            </w:r>
          </w:p>
        </w:tc>
        <w:tc>
          <w:tcPr>
            <w:tcW w:w="1153" w:type="dxa"/>
            <w:vMerge w:val="restart"/>
            <w:tcBorders>
              <w:tl2br w:val="nil"/>
              <w:tr2bl w:val="nil"/>
            </w:tcBorders>
            <w:vAlign w:val="center"/>
          </w:tcPr>
          <w:p w14:paraId="6728A43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lang w:val="en-US" w:eastAsia="zh-CN"/>
              </w:rPr>
            </w:pPr>
            <w:r>
              <w:rPr>
                <w:rFonts w:hint="eastAsia" w:ascii="Times New Roman" w:hAnsi="Times New Roman" w:cs="Times New Roman"/>
                <w:snapToGrid w:val="0"/>
                <w:color w:val="auto"/>
                <w:spacing w:val="0"/>
                <w:w w:val="100"/>
                <w:kern w:val="0"/>
                <w:position w:val="0"/>
                <w:sz w:val="21"/>
                <w:szCs w:val="21"/>
                <w:highlight w:val="none"/>
                <w:lang w:val="en-US" w:eastAsia="zh-CN"/>
              </w:rPr>
              <w:t>0.006</w:t>
            </w:r>
          </w:p>
        </w:tc>
        <w:tc>
          <w:tcPr>
            <w:tcW w:w="1190" w:type="dxa"/>
            <w:tcBorders>
              <w:tl2br w:val="nil"/>
              <w:tr2bl w:val="nil"/>
            </w:tcBorders>
            <w:vAlign w:val="bottom"/>
          </w:tcPr>
          <w:p w14:paraId="436BC64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lang w:val="en-US" w:eastAsia="zh-CN"/>
              </w:rPr>
            </w:pPr>
            <w:r>
              <w:rPr>
                <w:rFonts w:hint="eastAsia" w:ascii="Times New Roman" w:hAnsi="Times New Roman" w:cs="Times New Roman"/>
                <w:snapToGrid w:val="0"/>
                <w:color w:val="auto"/>
                <w:spacing w:val="0"/>
                <w:w w:val="100"/>
                <w:kern w:val="0"/>
                <w:position w:val="0"/>
                <w:sz w:val="21"/>
                <w:szCs w:val="21"/>
                <w:highlight w:val="none"/>
                <w:lang w:val="en-US" w:eastAsia="zh-CN"/>
              </w:rPr>
              <w:t>0.119</w:t>
            </w:r>
          </w:p>
        </w:tc>
        <w:tc>
          <w:tcPr>
            <w:tcW w:w="1059" w:type="dxa"/>
            <w:tcBorders>
              <w:tl2br w:val="nil"/>
              <w:tr2bl w:val="nil"/>
            </w:tcBorders>
            <w:vAlign w:val="bottom"/>
          </w:tcPr>
          <w:p w14:paraId="1389C45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lang w:val="en-US" w:eastAsia="zh-CN"/>
              </w:rPr>
            </w:pPr>
            <w:r>
              <w:rPr>
                <w:rFonts w:hint="eastAsia" w:ascii="Times New Roman" w:hAnsi="Times New Roman" w:cs="Times New Roman"/>
                <w:snapToGrid w:val="0"/>
                <w:color w:val="auto"/>
                <w:spacing w:val="0"/>
                <w:w w:val="100"/>
                <w:kern w:val="0"/>
                <w:position w:val="0"/>
                <w:sz w:val="21"/>
                <w:szCs w:val="21"/>
                <w:highlight w:val="none"/>
                <w:lang w:val="en-US" w:eastAsia="zh-CN"/>
              </w:rPr>
              <w:t>0.125</w:t>
            </w:r>
          </w:p>
        </w:tc>
        <w:tc>
          <w:tcPr>
            <w:tcW w:w="1000" w:type="dxa"/>
            <w:vMerge w:val="restart"/>
            <w:tcBorders>
              <w:tl2br w:val="nil"/>
              <w:tr2bl w:val="nil"/>
            </w:tcBorders>
            <w:vAlign w:val="center"/>
          </w:tcPr>
          <w:p w14:paraId="2871F0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r>
              <w:rPr>
                <w:rFonts w:hint="default" w:ascii="Times New Roman" w:hAnsi="Times New Roman" w:eastAsia="宋体" w:cs="Times New Roman"/>
                <w:snapToGrid w:val="0"/>
                <w:color w:val="auto"/>
                <w:spacing w:val="0"/>
                <w:w w:val="100"/>
                <w:kern w:val="0"/>
                <w:position w:val="0"/>
                <w:sz w:val="21"/>
                <w:szCs w:val="21"/>
                <w:highlight w:val="none"/>
              </w:rPr>
              <w:t>建设用</w:t>
            </w:r>
          </w:p>
          <w:p w14:paraId="1F83B75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r>
              <w:rPr>
                <w:rFonts w:hint="default" w:ascii="Times New Roman" w:hAnsi="Times New Roman" w:eastAsia="宋体" w:cs="Times New Roman"/>
                <w:snapToGrid w:val="0"/>
                <w:color w:val="auto"/>
                <w:spacing w:val="0"/>
                <w:w w:val="100"/>
                <w:kern w:val="0"/>
                <w:position w:val="0"/>
                <w:sz w:val="21"/>
                <w:szCs w:val="21"/>
                <w:highlight w:val="none"/>
              </w:rPr>
              <w:t>地</w:t>
            </w:r>
          </w:p>
          <w:p w14:paraId="75EEFCE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r>
              <w:rPr>
                <w:rFonts w:hint="default" w:ascii="Times New Roman" w:hAnsi="Times New Roman" w:eastAsia="宋体" w:cs="Times New Roman"/>
                <w:snapToGrid w:val="0"/>
                <w:color w:val="auto"/>
                <w:spacing w:val="0"/>
                <w:w w:val="100"/>
                <w:kern w:val="0"/>
                <w:position w:val="0"/>
                <w:sz w:val="21"/>
                <w:szCs w:val="21"/>
                <w:highlight w:val="none"/>
              </w:rPr>
              <w:t>第二类</w:t>
            </w:r>
          </w:p>
          <w:p w14:paraId="7F07790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r>
              <w:rPr>
                <w:rFonts w:hint="default" w:ascii="Times New Roman" w:hAnsi="Times New Roman" w:eastAsia="宋体" w:cs="Times New Roman"/>
                <w:snapToGrid w:val="0"/>
                <w:color w:val="auto"/>
                <w:spacing w:val="0"/>
                <w:w w:val="100"/>
                <w:kern w:val="0"/>
                <w:position w:val="0"/>
                <w:sz w:val="21"/>
                <w:szCs w:val="21"/>
                <w:highlight w:val="none"/>
              </w:rPr>
              <w:t>用地:</w:t>
            </w:r>
          </w:p>
          <w:p w14:paraId="79E61BA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r>
              <w:rPr>
                <w:rFonts w:hint="default" w:ascii="Times New Roman" w:hAnsi="Times New Roman" w:eastAsia="宋体" w:cs="Times New Roman"/>
                <w:snapToGrid w:val="0"/>
                <w:color w:val="auto"/>
                <w:spacing w:val="0"/>
                <w:w w:val="100"/>
                <w:kern w:val="0"/>
                <w:position w:val="0"/>
                <w:sz w:val="21"/>
                <w:szCs w:val="21"/>
                <w:highlight w:val="none"/>
              </w:rPr>
              <w:t>石油烃</w:t>
            </w:r>
          </w:p>
          <w:p w14:paraId="260C03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r>
              <w:rPr>
                <w:rFonts w:hint="default" w:ascii="Times New Roman" w:hAnsi="Times New Roman" w:eastAsia="宋体" w:cs="Times New Roman"/>
                <w:snapToGrid w:val="0"/>
                <w:color w:val="auto"/>
                <w:spacing w:val="0"/>
                <w:w w:val="100"/>
                <w:kern w:val="0"/>
                <w:position w:val="0"/>
                <w:sz w:val="21"/>
                <w:szCs w:val="21"/>
                <w:highlight w:val="none"/>
              </w:rPr>
              <w:t>4.5</w:t>
            </w:r>
          </w:p>
        </w:tc>
      </w:tr>
      <w:tr w14:paraId="461CDC58">
        <w:tblPrEx>
          <w:tblBorders>
            <w:top w:val="single" w:color="000000" w:sz="12" w:space="0"/>
            <w:left w:val="none" w:color="auto" w:sz="0" w:space="0"/>
            <w:bottom w:val="single" w:color="000000" w:sz="12" w:space="0"/>
            <w:right w:val="none" w:color="auto" w:sz="0" w:space="0"/>
            <w:insideH w:val="single" w:color="000000" w:sz="6" w:space="0"/>
            <w:insideV w:val="single" w:color="000000" w:sz="2" w:space="0"/>
          </w:tblBorders>
          <w:tblCellMar>
            <w:top w:w="0" w:type="dxa"/>
            <w:left w:w="0" w:type="dxa"/>
            <w:bottom w:w="0" w:type="dxa"/>
            <w:right w:w="0" w:type="dxa"/>
          </w:tblCellMar>
        </w:tblPrEx>
        <w:trPr>
          <w:trHeight w:val="280" w:hRule="atLeast"/>
          <w:jc w:val="center"/>
        </w:trPr>
        <w:tc>
          <w:tcPr>
            <w:tcW w:w="765" w:type="dxa"/>
            <w:vMerge w:val="continue"/>
            <w:tcBorders>
              <w:tl2br w:val="nil"/>
              <w:tr2bl w:val="nil"/>
            </w:tcBorders>
            <w:vAlign w:val="center"/>
          </w:tcPr>
          <w:p w14:paraId="7C0D85C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p>
        </w:tc>
        <w:tc>
          <w:tcPr>
            <w:tcW w:w="860" w:type="dxa"/>
            <w:vMerge w:val="continue"/>
            <w:tcBorders>
              <w:tl2br w:val="nil"/>
              <w:tr2bl w:val="nil"/>
            </w:tcBorders>
            <w:vAlign w:val="center"/>
          </w:tcPr>
          <w:p w14:paraId="68941B4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p>
        </w:tc>
        <w:tc>
          <w:tcPr>
            <w:tcW w:w="1072" w:type="dxa"/>
            <w:tcBorders>
              <w:tl2br w:val="nil"/>
              <w:tr2bl w:val="nil"/>
            </w:tcBorders>
            <w:vAlign w:val="center"/>
          </w:tcPr>
          <w:p w14:paraId="1E497DB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lang w:val="en-US" w:eastAsia="zh-CN"/>
              </w:rPr>
            </w:pPr>
            <w:r>
              <w:rPr>
                <w:rFonts w:hint="eastAsia" w:ascii="Times New Roman" w:hAnsi="Times New Roman" w:eastAsia="宋体" w:cs="Times New Roman"/>
                <w:snapToGrid w:val="0"/>
                <w:color w:val="auto"/>
                <w:spacing w:val="0"/>
                <w:w w:val="100"/>
                <w:kern w:val="0"/>
                <w:position w:val="0"/>
                <w:sz w:val="21"/>
                <w:szCs w:val="21"/>
                <w:highlight w:val="none"/>
                <w:lang w:val="en-US" w:eastAsia="zh-CN"/>
              </w:rPr>
              <w:t>196000</w:t>
            </w:r>
          </w:p>
        </w:tc>
        <w:tc>
          <w:tcPr>
            <w:tcW w:w="849" w:type="dxa"/>
            <w:vMerge w:val="continue"/>
            <w:tcBorders>
              <w:tl2br w:val="nil"/>
              <w:tr2bl w:val="nil"/>
            </w:tcBorders>
            <w:vAlign w:val="center"/>
          </w:tcPr>
          <w:p w14:paraId="45A462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p>
        </w:tc>
        <w:tc>
          <w:tcPr>
            <w:tcW w:w="772" w:type="dxa"/>
            <w:vMerge w:val="continue"/>
            <w:tcBorders>
              <w:tl2br w:val="nil"/>
              <w:tr2bl w:val="nil"/>
            </w:tcBorders>
            <w:vAlign w:val="center"/>
          </w:tcPr>
          <w:p w14:paraId="13FA07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p>
        </w:tc>
        <w:tc>
          <w:tcPr>
            <w:tcW w:w="1153" w:type="dxa"/>
            <w:vMerge w:val="continue"/>
            <w:tcBorders>
              <w:tl2br w:val="nil"/>
              <w:tr2bl w:val="nil"/>
            </w:tcBorders>
            <w:vAlign w:val="center"/>
          </w:tcPr>
          <w:p w14:paraId="0CC3B0D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p>
        </w:tc>
        <w:tc>
          <w:tcPr>
            <w:tcW w:w="1190" w:type="dxa"/>
            <w:tcBorders>
              <w:tl2br w:val="nil"/>
              <w:tr2bl w:val="nil"/>
            </w:tcBorders>
            <w:vAlign w:val="bottom"/>
          </w:tcPr>
          <w:p w14:paraId="1F5A30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lang w:val="en-US" w:eastAsia="zh-CN"/>
              </w:rPr>
            </w:pPr>
            <w:r>
              <w:rPr>
                <w:rFonts w:hint="eastAsia" w:ascii="Times New Roman" w:hAnsi="Times New Roman" w:cs="Times New Roman"/>
                <w:snapToGrid w:val="0"/>
                <w:color w:val="auto"/>
                <w:spacing w:val="0"/>
                <w:w w:val="100"/>
                <w:kern w:val="0"/>
                <w:position w:val="0"/>
                <w:sz w:val="21"/>
                <w:szCs w:val="21"/>
                <w:highlight w:val="none"/>
                <w:lang w:val="en-US" w:eastAsia="zh-CN"/>
              </w:rPr>
              <w:t>0.048</w:t>
            </w:r>
          </w:p>
        </w:tc>
        <w:tc>
          <w:tcPr>
            <w:tcW w:w="1059" w:type="dxa"/>
            <w:tcBorders>
              <w:tl2br w:val="nil"/>
              <w:tr2bl w:val="nil"/>
            </w:tcBorders>
            <w:vAlign w:val="bottom"/>
          </w:tcPr>
          <w:p w14:paraId="3C46F80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lang w:val="en-US" w:eastAsia="zh-CN"/>
              </w:rPr>
            </w:pPr>
            <w:r>
              <w:rPr>
                <w:rFonts w:hint="eastAsia" w:ascii="Times New Roman" w:hAnsi="Times New Roman" w:cs="Times New Roman"/>
                <w:snapToGrid w:val="0"/>
                <w:color w:val="auto"/>
                <w:spacing w:val="0"/>
                <w:w w:val="100"/>
                <w:kern w:val="0"/>
                <w:position w:val="0"/>
                <w:sz w:val="21"/>
                <w:szCs w:val="21"/>
                <w:highlight w:val="none"/>
                <w:lang w:val="en-US" w:eastAsia="zh-CN"/>
              </w:rPr>
              <w:t>0.054</w:t>
            </w:r>
          </w:p>
        </w:tc>
        <w:tc>
          <w:tcPr>
            <w:tcW w:w="1000" w:type="dxa"/>
            <w:vMerge w:val="continue"/>
            <w:tcBorders>
              <w:tl2br w:val="nil"/>
              <w:tr2bl w:val="nil"/>
            </w:tcBorders>
            <w:vAlign w:val="center"/>
          </w:tcPr>
          <w:p w14:paraId="04DA529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p>
        </w:tc>
      </w:tr>
      <w:tr w14:paraId="101EDAF2">
        <w:tblPrEx>
          <w:tblBorders>
            <w:top w:val="single" w:color="000000" w:sz="12" w:space="0"/>
            <w:left w:val="none" w:color="auto" w:sz="0" w:space="0"/>
            <w:bottom w:val="single" w:color="000000" w:sz="12" w:space="0"/>
            <w:right w:val="none" w:color="auto" w:sz="0" w:space="0"/>
            <w:insideH w:val="single" w:color="000000" w:sz="6" w:space="0"/>
            <w:insideV w:val="single" w:color="000000" w:sz="2" w:space="0"/>
          </w:tblBorders>
          <w:tblCellMar>
            <w:top w:w="0" w:type="dxa"/>
            <w:left w:w="0" w:type="dxa"/>
            <w:bottom w:w="0" w:type="dxa"/>
            <w:right w:w="0" w:type="dxa"/>
          </w:tblCellMar>
        </w:tblPrEx>
        <w:trPr>
          <w:trHeight w:val="194" w:hRule="atLeast"/>
          <w:jc w:val="center"/>
        </w:trPr>
        <w:tc>
          <w:tcPr>
            <w:tcW w:w="765" w:type="dxa"/>
            <w:vMerge w:val="continue"/>
            <w:tcBorders>
              <w:tl2br w:val="nil"/>
              <w:tr2bl w:val="nil"/>
            </w:tcBorders>
            <w:vAlign w:val="center"/>
          </w:tcPr>
          <w:p w14:paraId="1F43661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p>
        </w:tc>
        <w:tc>
          <w:tcPr>
            <w:tcW w:w="860" w:type="dxa"/>
            <w:vMerge w:val="continue"/>
            <w:tcBorders>
              <w:tl2br w:val="nil"/>
              <w:tr2bl w:val="nil"/>
            </w:tcBorders>
            <w:vAlign w:val="center"/>
          </w:tcPr>
          <w:p w14:paraId="3CB5774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p>
        </w:tc>
        <w:tc>
          <w:tcPr>
            <w:tcW w:w="1072" w:type="dxa"/>
            <w:tcBorders>
              <w:tl2br w:val="nil"/>
              <w:tr2bl w:val="nil"/>
            </w:tcBorders>
            <w:vAlign w:val="center"/>
          </w:tcPr>
          <w:p w14:paraId="2C954C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lang w:val="en-US" w:eastAsia="zh-CN"/>
              </w:rPr>
            </w:pPr>
            <w:r>
              <w:rPr>
                <w:rFonts w:hint="eastAsia" w:ascii="Times New Roman" w:hAnsi="Times New Roman" w:eastAsia="宋体" w:cs="Times New Roman"/>
                <w:snapToGrid w:val="0"/>
                <w:color w:val="auto"/>
                <w:spacing w:val="0"/>
                <w:w w:val="100"/>
                <w:kern w:val="0"/>
                <w:position w:val="0"/>
                <w:sz w:val="21"/>
                <w:szCs w:val="21"/>
                <w:highlight w:val="none"/>
                <w:lang w:val="en-US" w:eastAsia="zh-CN"/>
              </w:rPr>
              <w:t>392000</w:t>
            </w:r>
          </w:p>
        </w:tc>
        <w:tc>
          <w:tcPr>
            <w:tcW w:w="849" w:type="dxa"/>
            <w:vMerge w:val="continue"/>
            <w:tcBorders>
              <w:tl2br w:val="nil"/>
              <w:tr2bl w:val="nil"/>
            </w:tcBorders>
            <w:vAlign w:val="center"/>
          </w:tcPr>
          <w:p w14:paraId="3AB4E15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p>
        </w:tc>
        <w:tc>
          <w:tcPr>
            <w:tcW w:w="772" w:type="dxa"/>
            <w:vMerge w:val="continue"/>
            <w:tcBorders>
              <w:tl2br w:val="nil"/>
              <w:tr2bl w:val="nil"/>
            </w:tcBorders>
            <w:vAlign w:val="center"/>
          </w:tcPr>
          <w:p w14:paraId="6C75854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p>
        </w:tc>
        <w:tc>
          <w:tcPr>
            <w:tcW w:w="1153" w:type="dxa"/>
            <w:vMerge w:val="continue"/>
            <w:tcBorders>
              <w:tl2br w:val="nil"/>
              <w:tr2bl w:val="nil"/>
            </w:tcBorders>
            <w:vAlign w:val="center"/>
          </w:tcPr>
          <w:p w14:paraId="35CAB98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p>
        </w:tc>
        <w:tc>
          <w:tcPr>
            <w:tcW w:w="1190" w:type="dxa"/>
            <w:tcBorders>
              <w:tl2br w:val="nil"/>
              <w:tr2bl w:val="nil"/>
            </w:tcBorders>
            <w:vAlign w:val="bottom"/>
          </w:tcPr>
          <w:p w14:paraId="0E640B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lang w:val="en-US" w:eastAsia="zh-CN"/>
              </w:rPr>
            </w:pPr>
            <w:r>
              <w:rPr>
                <w:rFonts w:hint="eastAsia" w:ascii="Times New Roman" w:hAnsi="Times New Roman" w:cs="Times New Roman"/>
                <w:snapToGrid w:val="0"/>
                <w:color w:val="auto"/>
                <w:spacing w:val="0"/>
                <w:w w:val="100"/>
                <w:kern w:val="0"/>
                <w:position w:val="0"/>
                <w:sz w:val="21"/>
                <w:szCs w:val="21"/>
                <w:highlight w:val="none"/>
                <w:lang w:val="en-US" w:eastAsia="zh-CN"/>
              </w:rPr>
              <w:t>0.024</w:t>
            </w:r>
          </w:p>
        </w:tc>
        <w:tc>
          <w:tcPr>
            <w:tcW w:w="1059" w:type="dxa"/>
            <w:tcBorders>
              <w:tl2br w:val="nil"/>
              <w:tr2bl w:val="nil"/>
            </w:tcBorders>
            <w:vAlign w:val="bottom"/>
          </w:tcPr>
          <w:p w14:paraId="2D95A4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lang w:val="en-US" w:eastAsia="zh-CN"/>
              </w:rPr>
            </w:pPr>
            <w:r>
              <w:rPr>
                <w:rFonts w:hint="eastAsia" w:ascii="Times New Roman" w:hAnsi="Times New Roman" w:cs="Times New Roman"/>
                <w:snapToGrid w:val="0"/>
                <w:color w:val="auto"/>
                <w:spacing w:val="0"/>
                <w:w w:val="100"/>
                <w:kern w:val="0"/>
                <w:position w:val="0"/>
                <w:sz w:val="21"/>
                <w:szCs w:val="21"/>
                <w:highlight w:val="none"/>
                <w:lang w:val="en-US" w:eastAsia="zh-CN"/>
              </w:rPr>
              <w:t>0.030</w:t>
            </w:r>
          </w:p>
        </w:tc>
        <w:tc>
          <w:tcPr>
            <w:tcW w:w="1000" w:type="dxa"/>
            <w:vMerge w:val="continue"/>
            <w:tcBorders>
              <w:tl2br w:val="nil"/>
              <w:tr2bl w:val="nil"/>
            </w:tcBorders>
            <w:vAlign w:val="center"/>
          </w:tcPr>
          <w:p w14:paraId="0768D8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p>
        </w:tc>
      </w:tr>
      <w:tr w14:paraId="2787970C">
        <w:tblPrEx>
          <w:tblBorders>
            <w:top w:val="single" w:color="000000" w:sz="12" w:space="0"/>
            <w:left w:val="none" w:color="auto" w:sz="0" w:space="0"/>
            <w:bottom w:val="single" w:color="000000" w:sz="12" w:space="0"/>
            <w:right w:val="none" w:color="auto" w:sz="0" w:space="0"/>
            <w:insideH w:val="single" w:color="000000" w:sz="6" w:space="0"/>
            <w:insideV w:val="single" w:color="000000" w:sz="2" w:space="0"/>
          </w:tblBorders>
          <w:tblCellMar>
            <w:top w:w="0" w:type="dxa"/>
            <w:left w:w="0" w:type="dxa"/>
            <w:bottom w:w="0" w:type="dxa"/>
            <w:right w:w="0" w:type="dxa"/>
          </w:tblCellMar>
        </w:tblPrEx>
        <w:trPr>
          <w:trHeight w:val="240" w:hRule="atLeast"/>
          <w:jc w:val="center"/>
        </w:trPr>
        <w:tc>
          <w:tcPr>
            <w:tcW w:w="765" w:type="dxa"/>
            <w:vMerge w:val="restart"/>
            <w:tcBorders>
              <w:tl2br w:val="nil"/>
              <w:tr2bl w:val="nil"/>
            </w:tcBorders>
            <w:vAlign w:val="center"/>
          </w:tcPr>
          <w:p w14:paraId="3FED37A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r>
              <w:rPr>
                <w:rFonts w:hint="default" w:ascii="Times New Roman" w:hAnsi="Times New Roman" w:eastAsia="宋体" w:cs="Times New Roman"/>
                <w:snapToGrid w:val="0"/>
                <w:color w:val="auto"/>
                <w:spacing w:val="0"/>
                <w:w w:val="100"/>
                <w:kern w:val="0"/>
                <w:position w:val="0"/>
                <w:sz w:val="21"/>
                <w:szCs w:val="21"/>
                <w:highlight w:val="none"/>
              </w:rPr>
              <w:t>10</w:t>
            </w:r>
          </w:p>
        </w:tc>
        <w:tc>
          <w:tcPr>
            <w:tcW w:w="860" w:type="dxa"/>
            <w:vMerge w:val="restart"/>
            <w:tcBorders>
              <w:tl2br w:val="nil"/>
              <w:tr2bl w:val="nil"/>
            </w:tcBorders>
            <w:vAlign w:val="center"/>
          </w:tcPr>
          <w:p w14:paraId="1DEAF9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r>
              <w:rPr>
                <w:rFonts w:hint="default" w:ascii="Times New Roman" w:hAnsi="Times New Roman" w:eastAsia="宋体" w:cs="Times New Roman"/>
                <w:snapToGrid w:val="0"/>
                <w:color w:val="auto"/>
                <w:spacing w:val="0"/>
                <w:w w:val="100"/>
                <w:kern w:val="0"/>
                <w:position w:val="0"/>
                <w:sz w:val="21"/>
                <w:szCs w:val="21"/>
                <w:highlight w:val="none"/>
              </w:rPr>
              <w:t>1450</w:t>
            </w:r>
          </w:p>
        </w:tc>
        <w:tc>
          <w:tcPr>
            <w:tcW w:w="1072" w:type="dxa"/>
            <w:tcBorders>
              <w:tl2br w:val="nil"/>
              <w:tr2bl w:val="nil"/>
            </w:tcBorders>
            <w:vAlign w:val="center"/>
          </w:tcPr>
          <w:p w14:paraId="1A3947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r>
              <w:rPr>
                <w:rFonts w:hint="eastAsia" w:ascii="Times New Roman" w:hAnsi="Times New Roman" w:eastAsia="宋体" w:cs="Times New Roman"/>
                <w:snapToGrid w:val="0"/>
                <w:color w:val="auto"/>
                <w:spacing w:val="0"/>
                <w:w w:val="100"/>
                <w:kern w:val="0"/>
                <w:position w:val="0"/>
                <w:sz w:val="21"/>
                <w:szCs w:val="21"/>
                <w:highlight w:val="none"/>
                <w:lang w:val="en-US" w:eastAsia="zh-CN"/>
              </w:rPr>
              <w:t>78400</w:t>
            </w:r>
          </w:p>
        </w:tc>
        <w:tc>
          <w:tcPr>
            <w:tcW w:w="849" w:type="dxa"/>
            <w:vMerge w:val="restart"/>
            <w:tcBorders>
              <w:tl2br w:val="nil"/>
              <w:tr2bl w:val="nil"/>
            </w:tcBorders>
            <w:vAlign w:val="center"/>
          </w:tcPr>
          <w:p w14:paraId="47758D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r>
              <w:rPr>
                <w:rFonts w:hint="default" w:ascii="Times New Roman" w:hAnsi="Times New Roman" w:eastAsia="宋体" w:cs="Times New Roman"/>
                <w:snapToGrid w:val="0"/>
                <w:color w:val="auto"/>
                <w:spacing w:val="0"/>
                <w:w w:val="100"/>
                <w:kern w:val="0"/>
                <w:position w:val="0"/>
                <w:sz w:val="21"/>
                <w:szCs w:val="21"/>
                <w:highlight w:val="none"/>
              </w:rPr>
              <w:t>0.2</w:t>
            </w:r>
          </w:p>
        </w:tc>
        <w:tc>
          <w:tcPr>
            <w:tcW w:w="772" w:type="dxa"/>
            <w:vMerge w:val="restart"/>
            <w:tcBorders>
              <w:tl2br w:val="nil"/>
              <w:tr2bl w:val="nil"/>
            </w:tcBorders>
            <w:vAlign w:val="center"/>
          </w:tcPr>
          <w:p w14:paraId="450780A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snapToGrid w:val="0"/>
                <w:color w:val="auto"/>
                <w:sz w:val="21"/>
                <w:szCs w:val="21"/>
                <w:highlight w:val="none"/>
              </w:rPr>
            </w:pPr>
            <w:r>
              <w:rPr>
                <w:rFonts w:hint="eastAsia" w:ascii="Times New Roman" w:hAnsi="Times New Roman" w:cs="Times New Roman"/>
                <w:snapToGrid w:val="0"/>
                <w:color w:val="auto"/>
                <w:spacing w:val="0"/>
                <w:w w:val="100"/>
                <w:kern w:val="0"/>
                <w:position w:val="0"/>
                <w:sz w:val="21"/>
                <w:szCs w:val="21"/>
                <w:highlight w:val="none"/>
                <w:lang w:val="en-US" w:eastAsia="zh-CN"/>
              </w:rPr>
              <w:t>540000</w:t>
            </w:r>
          </w:p>
        </w:tc>
        <w:tc>
          <w:tcPr>
            <w:tcW w:w="1153" w:type="dxa"/>
            <w:vMerge w:val="restart"/>
            <w:tcBorders>
              <w:tl2br w:val="nil"/>
              <w:tr2bl w:val="nil"/>
            </w:tcBorders>
            <w:vAlign w:val="center"/>
          </w:tcPr>
          <w:p w14:paraId="46B608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lang w:val="en-US" w:eastAsia="zh-CN"/>
              </w:rPr>
            </w:pPr>
            <w:r>
              <w:rPr>
                <w:rFonts w:hint="eastAsia" w:ascii="Times New Roman" w:hAnsi="Times New Roman" w:cs="Times New Roman"/>
                <w:snapToGrid w:val="0"/>
                <w:color w:val="auto"/>
                <w:spacing w:val="0"/>
                <w:w w:val="100"/>
                <w:kern w:val="0"/>
                <w:position w:val="0"/>
                <w:sz w:val="21"/>
                <w:szCs w:val="21"/>
                <w:highlight w:val="none"/>
                <w:lang w:val="en-US" w:eastAsia="zh-CN"/>
              </w:rPr>
              <w:t>0.006</w:t>
            </w:r>
          </w:p>
        </w:tc>
        <w:tc>
          <w:tcPr>
            <w:tcW w:w="1190" w:type="dxa"/>
            <w:tcBorders>
              <w:tl2br w:val="nil"/>
              <w:tr2bl w:val="nil"/>
            </w:tcBorders>
            <w:vAlign w:val="bottom"/>
          </w:tcPr>
          <w:p w14:paraId="538AE8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lang w:val="en-US" w:eastAsia="zh-CN"/>
              </w:rPr>
            </w:pPr>
            <w:r>
              <w:rPr>
                <w:rFonts w:hint="eastAsia" w:ascii="Times New Roman" w:hAnsi="Times New Roman" w:cs="Times New Roman"/>
                <w:snapToGrid w:val="0"/>
                <w:color w:val="auto"/>
                <w:spacing w:val="0"/>
                <w:w w:val="100"/>
                <w:kern w:val="0"/>
                <w:position w:val="0"/>
                <w:sz w:val="21"/>
                <w:szCs w:val="21"/>
                <w:highlight w:val="none"/>
                <w:lang w:val="en-US" w:eastAsia="zh-CN"/>
              </w:rPr>
              <w:t>0.238</w:t>
            </w:r>
          </w:p>
        </w:tc>
        <w:tc>
          <w:tcPr>
            <w:tcW w:w="1059" w:type="dxa"/>
            <w:tcBorders>
              <w:tl2br w:val="nil"/>
              <w:tr2bl w:val="nil"/>
            </w:tcBorders>
            <w:vAlign w:val="bottom"/>
          </w:tcPr>
          <w:p w14:paraId="38AB415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lang w:val="en-US" w:eastAsia="zh-CN"/>
              </w:rPr>
            </w:pPr>
            <w:r>
              <w:rPr>
                <w:rFonts w:hint="eastAsia" w:ascii="Times New Roman" w:hAnsi="Times New Roman" w:cs="Times New Roman"/>
                <w:snapToGrid w:val="0"/>
                <w:color w:val="auto"/>
                <w:spacing w:val="0"/>
                <w:w w:val="100"/>
                <w:kern w:val="0"/>
                <w:position w:val="0"/>
                <w:sz w:val="21"/>
                <w:szCs w:val="21"/>
                <w:highlight w:val="none"/>
                <w:lang w:val="en-US" w:eastAsia="zh-CN"/>
              </w:rPr>
              <w:t>0.244</w:t>
            </w:r>
          </w:p>
        </w:tc>
        <w:tc>
          <w:tcPr>
            <w:tcW w:w="1000" w:type="dxa"/>
            <w:vMerge w:val="continue"/>
            <w:tcBorders>
              <w:tl2br w:val="nil"/>
              <w:tr2bl w:val="nil"/>
            </w:tcBorders>
            <w:vAlign w:val="center"/>
          </w:tcPr>
          <w:p w14:paraId="01F9A9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p>
        </w:tc>
      </w:tr>
      <w:tr w14:paraId="462D2043">
        <w:tblPrEx>
          <w:tblBorders>
            <w:top w:val="single" w:color="000000" w:sz="12" w:space="0"/>
            <w:left w:val="none" w:color="auto" w:sz="0" w:space="0"/>
            <w:bottom w:val="single" w:color="000000" w:sz="12" w:space="0"/>
            <w:right w:val="none" w:color="auto" w:sz="0" w:space="0"/>
            <w:insideH w:val="single" w:color="000000" w:sz="6" w:space="0"/>
            <w:insideV w:val="single" w:color="000000" w:sz="2" w:space="0"/>
          </w:tblBorders>
          <w:tblCellMar>
            <w:top w:w="0" w:type="dxa"/>
            <w:left w:w="0" w:type="dxa"/>
            <w:bottom w:w="0" w:type="dxa"/>
            <w:right w:w="0" w:type="dxa"/>
          </w:tblCellMar>
        </w:tblPrEx>
        <w:trPr>
          <w:trHeight w:val="280" w:hRule="atLeast"/>
          <w:jc w:val="center"/>
        </w:trPr>
        <w:tc>
          <w:tcPr>
            <w:tcW w:w="765" w:type="dxa"/>
            <w:vMerge w:val="continue"/>
            <w:tcBorders>
              <w:tl2br w:val="nil"/>
              <w:tr2bl w:val="nil"/>
            </w:tcBorders>
            <w:vAlign w:val="center"/>
          </w:tcPr>
          <w:p w14:paraId="13F586A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p>
        </w:tc>
        <w:tc>
          <w:tcPr>
            <w:tcW w:w="860" w:type="dxa"/>
            <w:vMerge w:val="continue"/>
            <w:tcBorders>
              <w:tl2br w:val="nil"/>
              <w:tr2bl w:val="nil"/>
            </w:tcBorders>
            <w:vAlign w:val="center"/>
          </w:tcPr>
          <w:p w14:paraId="4472F0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p>
        </w:tc>
        <w:tc>
          <w:tcPr>
            <w:tcW w:w="1072" w:type="dxa"/>
            <w:tcBorders>
              <w:tl2br w:val="nil"/>
              <w:tr2bl w:val="nil"/>
            </w:tcBorders>
            <w:vAlign w:val="center"/>
          </w:tcPr>
          <w:p w14:paraId="25557C4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r>
              <w:rPr>
                <w:rFonts w:hint="eastAsia" w:ascii="Times New Roman" w:hAnsi="Times New Roman" w:eastAsia="宋体" w:cs="Times New Roman"/>
                <w:snapToGrid w:val="0"/>
                <w:color w:val="auto"/>
                <w:spacing w:val="0"/>
                <w:w w:val="100"/>
                <w:kern w:val="0"/>
                <w:position w:val="0"/>
                <w:sz w:val="21"/>
                <w:szCs w:val="21"/>
                <w:highlight w:val="none"/>
                <w:lang w:val="en-US" w:eastAsia="zh-CN"/>
              </w:rPr>
              <w:t>196000</w:t>
            </w:r>
          </w:p>
        </w:tc>
        <w:tc>
          <w:tcPr>
            <w:tcW w:w="849" w:type="dxa"/>
            <w:vMerge w:val="continue"/>
            <w:tcBorders>
              <w:tl2br w:val="nil"/>
              <w:tr2bl w:val="nil"/>
            </w:tcBorders>
            <w:vAlign w:val="center"/>
          </w:tcPr>
          <w:p w14:paraId="2722B1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p>
        </w:tc>
        <w:tc>
          <w:tcPr>
            <w:tcW w:w="772" w:type="dxa"/>
            <w:vMerge w:val="continue"/>
            <w:tcBorders>
              <w:tl2br w:val="nil"/>
              <w:tr2bl w:val="nil"/>
            </w:tcBorders>
            <w:vAlign w:val="center"/>
          </w:tcPr>
          <w:p w14:paraId="413E2CF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p>
        </w:tc>
        <w:tc>
          <w:tcPr>
            <w:tcW w:w="1153" w:type="dxa"/>
            <w:vMerge w:val="continue"/>
            <w:tcBorders>
              <w:tl2br w:val="nil"/>
              <w:tr2bl w:val="nil"/>
            </w:tcBorders>
            <w:vAlign w:val="center"/>
          </w:tcPr>
          <w:p w14:paraId="6F8E78E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p>
        </w:tc>
        <w:tc>
          <w:tcPr>
            <w:tcW w:w="1190" w:type="dxa"/>
            <w:tcBorders>
              <w:tl2br w:val="nil"/>
              <w:tr2bl w:val="nil"/>
            </w:tcBorders>
            <w:vAlign w:val="bottom"/>
          </w:tcPr>
          <w:p w14:paraId="0B82D6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lang w:val="en-US" w:eastAsia="zh-CN"/>
              </w:rPr>
            </w:pPr>
            <w:r>
              <w:rPr>
                <w:rFonts w:hint="eastAsia" w:ascii="Times New Roman" w:hAnsi="Times New Roman" w:cs="Times New Roman"/>
                <w:snapToGrid w:val="0"/>
                <w:color w:val="auto"/>
                <w:spacing w:val="0"/>
                <w:w w:val="100"/>
                <w:kern w:val="0"/>
                <w:position w:val="0"/>
                <w:sz w:val="21"/>
                <w:szCs w:val="21"/>
                <w:highlight w:val="none"/>
                <w:lang w:val="en-US" w:eastAsia="zh-CN"/>
              </w:rPr>
              <w:t>0.095</w:t>
            </w:r>
          </w:p>
        </w:tc>
        <w:tc>
          <w:tcPr>
            <w:tcW w:w="1059" w:type="dxa"/>
            <w:tcBorders>
              <w:tl2br w:val="nil"/>
              <w:tr2bl w:val="nil"/>
            </w:tcBorders>
            <w:vAlign w:val="bottom"/>
          </w:tcPr>
          <w:p w14:paraId="346D698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lang w:val="en-US" w:eastAsia="zh-CN"/>
              </w:rPr>
            </w:pPr>
            <w:r>
              <w:rPr>
                <w:rFonts w:hint="eastAsia" w:ascii="Times New Roman" w:hAnsi="Times New Roman" w:cs="Times New Roman"/>
                <w:snapToGrid w:val="0"/>
                <w:color w:val="auto"/>
                <w:spacing w:val="0"/>
                <w:w w:val="100"/>
                <w:kern w:val="0"/>
                <w:position w:val="0"/>
                <w:sz w:val="21"/>
                <w:szCs w:val="21"/>
                <w:highlight w:val="none"/>
                <w:lang w:val="en-US" w:eastAsia="zh-CN"/>
              </w:rPr>
              <w:t>0.101</w:t>
            </w:r>
          </w:p>
        </w:tc>
        <w:tc>
          <w:tcPr>
            <w:tcW w:w="1000" w:type="dxa"/>
            <w:vMerge w:val="continue"/>
            <w:tcBorders>
              <w:tl2br w:val="nil"/>
              <w:tr2bl w:val="nil"/>
            </w:tcBorders>
            <w:vAlign w:val="center"/>
          </w:tcPr>
          <w:p w14:paraId="4B4A67A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p>
        </w:tc>
      </w:tr>
      <w:tr w14:paraId="6448B3C6">
        <w:tblPrEx>
          <w:tblBorders>
            <w:top w:val="single" w:color="000000" w:sz="12" w:space="0"/>
            <w:left w:val="none" w:color="auto" w:sz="0" w:space="0"/>
            <w:bottom w:val="single" w:color="000000" w:sz="12" w:space="0"/>
            <w:right w:val="none" w:color="auto" w:sz="0" w:space="0"/>
            <w:insideH w:val="single" w:color="000000" w:sz="6" w:space="0"/>
            <w:insideV w:val="single" w:color="000000" w:sz="2" w:space="0"/>
          </w:tblBorders>
          <w:tblCellMar>
            <w:top w:w="0" w:type="dxa"/>
            <w:left w:w="0" w:type="dxa"/>
            <w:bottom w:w="0" w:type="dxa"/>
            <w:right w:w="0" w:type="dxa"/>
          </w:tblCellMar>
        </w:tblPrEx>
        <w:trPr>
          <w:trHeight w:val="241" w:hRule="atLeast"/>
          <w:jc w:val="center"/>
        </w:trPr>
        <w:tc>
          <w:tcPr>
            <w:tcW w:w="765" w:type="dxa"/>
            <w:vMerge w:val="continue"/>
            <w:tcBorders>
              <w:tl2br w:val="nil"/>
              <w:tr2bl w:val="nil"/>
            </w:tcBorders>
            <w:vAlign w:val="center"/>
          </w:tcPr>
          <w:p w14:paraId="593ED88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p>
        </w:tc>
        <w:tc>
          <w:tcPr>
            <w:tcW w:w="860" w:type="dxa"/>
            <w:vMerge w:val="continue"/>
            <w:tcBorders>
              <w:tl2br w:val="nil"/>
              <w:tr2bl w:val="nil"/>
            </w:tcBorders>
            <w:vAlign w:val="center"/>
          </w:tcPr>
          <w:p w14:paraId="088A9E0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p>
        </w:tc>
        <w:tc>
          <w:tcPr>
            <w:tcW w:w="1072" w:type="dxa"/>
            <w:tcBorders>
              <w:tl2br w:val="nil"/>
              <w:tr2bl w:val="nil"/>
            </w:tcBorders>
            <w:vAlign w:val="center"/>
          </w:tcPr>
          <w:p w14:paraId="2B2A9C3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r>
              <w:rPr>
                <w:rFonts w:hint="eastAsia" w:ascii="Times New Roman" w:hAnsi="Times New Roman" w:eastAsia="宋体" w:cs="Times New Roman"/>
                <w:snapToGrid w:val="0"/>
                <w:color w:val="auto"/>
                <w:spacing w:val="0"/>
                <w:w w:val="100"/>
                <w:kern w:val="0"/>
                <w:position w:val="0"/>
                <w:sz w:val="21"/>
                <w:szCs w:val="21"/>
                <w:highlight w:val="none"/>
                <w:lang w:val="en-US" w:eastAsia="zh-CN"/>
              </w:rPr>
              <w:t>392000</w:t>
            </w:r>
          </w:p>
        </w:tc>
        <w:tc>
          <w:tcPr>
            <w:tcW w:w="849" w:type="dxa"/>
            <w:vMerge w:val="continue"/>
            <w:tcBorders>
              <w:tl2br w:val="nil"/>
              <w:tr2bl w:val="nil"/>
            </w:tcBorders>
            <w:vAlign w:val="center"/>
          </w:tcPr>
          <w:p w14:paraId="00FC8D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p>
        </w:tc>
        <w:tc>
          <w:tcPr>
            <w:tcW w:w="772" w:type="dxa"/>
            <w:vMerge w:val="continue"/>
            <w:tcBorders>
              <w:tl2br w:val="nil"/>
              <w:tr2bl w:val="nil"/>
            </w:tcBorders>
            <w:vAlign w:val="center"/>
          </w:tcPr>
          <w:p w14:paraId="32A494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p>
        </w:tc>
        <w:tc>
          <w:tcPr>
            <w:tcW w:w="1153" w:type="dxa"/>
            <w:vMerge w:val="continue"/>
            <w:tcBorders>
              <w:tl2br w:val="nil"/>
              <w:tr2bl w:val="nil"/>
            </w:tcBorders>
            <w:vAlign w:val="center"/>
          </w:tcPr>
          <w:p w14:paraId="50843E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p>
        </w:tc>
        <w:tc>
          <w:tcPr>
            <w:tcW w:w="1190" w:type="dxa"/>
            <w:tcBorders>
              <w:tl2br w:val="nil"/>
              <w:tr2bl w:val="nil"/>
            </w:tcBorders>
            <w:vAlign w:val="bottom"/>
          </w:tcPr>
          <w:p w14:paraId="62303F8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lang w:val="en-US" w:eastAsia="zh-CN"/>
              </w:rPr>
            </w:pPr>
            <w:r>
              <w:rPr>
                <w:rFonts w:hint="eastAsia" w:ascii="Times New Roman" w:hAnsi="Times New Roman" w:cs="Times New Roman"/>
                <w:snapToGrid w:val="0"/>
                <w:color w:val="auto"/>
                <w:spacing w:val="0"/>
                <w:w w:val="100"/>
                <w:kern w:val="0"/>
                <w:position w:val="0"/>
                <w:sz w:val="21"/>
                <w:szCs w:val="21"/>
                <w:highlight w:val="none"/>
                <w:lang w:val="en-US" w:eastAsia="zh-CN"/>
              </w:rPr>
              <w:t>0.048</w:t>
            </w:r>
          </w:p>
        </w:tc>
        <w:tc>
          <w:tcPr>
            <w:tcW w:w="1059" w:type="dxa"/>
            <w:tcBorders>
              <w:tl2br w:val="nil"/>
              <w:tr2bl w:val="nil"/>
            </w:tcBorders>
            <w:vAlign w:val="bottom"/>
          </w:tcPr>
          <w:p w14:paraId="49B2BFE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lang w:val="en-US" w:eastAsia="zh-CN"/>
              </w:rPr>
            </w:pPr>
            <w:r>
              <w:rPr>
                <w:rFonts w:hint="eastAsia" w:ascii="Times New Roman" w:hAnsi="Times New Roman" w:cs="Times New Roman"/>
                <w:snapToGrid w:val="0"/>
                <w:color w:val="auto"/>
                <w:spacing w:val="0"/>
                <w:w w:val="100"/>
                <w:kern w:val="0"/>
                <w:position w:val="0"/>
                <w:sz w:val="21"/>
                <w:szCs w:val="21"/>
                <w:highlight w:val="none"/>
                <w:lang w:val="en-US" w:eastAsia="zh-CN"/>
              </w:rPr>
              <w:t>0.054</w:t>
            </w:r>
          </w:p>
        </w:tc>
        <w:tc>
          <w:tcPr>
            <w:tcW w:w="1000" w:type="dxa"/>
            <w:vMerge w:val="continue"/>
            <w:tcBorders>
              <w:tl2br w:val="nil"/>
              <w:tr2bl w:val="nil"/>
            </w:tcBorders>
            <w:vAlign w:val="center"/>
          </w:tcPr>
          <w:p w14:paraId="4FB6C4C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p>
        </w:tc>
      </w:tr>
      <w:tr w14:paraId="3490CBAC">
        <w:tblPrEx>
          <w:tblBorders>
            <w:top w:val="single" w:color="000000" w:sz="12" w:space="0"/>
            <w:left w:val="none" w:color="auto" w:sz="0" w:space="0"/>
            <w:bottom w:val="single" w:color="000000" w:sz="12" w:space="0"/>
            <w:right w:val="none" w:color="auto" w:sz="0" w:space="0"/>
            <w:insideH w:val="single" w:color="000000" w:sz="6" w:space="0"/>
            <w:insideV w:val="single" w:color="000000" w:sz="2" w:space="0"/>
          </w:tblBorders>
          <w:tblCellMar>
            <w:top w:w="0" w:type="dxa"/>
            <w:left w:w="0" w:type="dxa"/>
            <w:bottom w:w="0" w:type="dxa"/>
            <w:right w:w="0" w:type="dxa"/>
          </w:tblCellMar>
        </w:tblPrEx>
        <w:trPr>
          <w:trHeight w:val="154" w:hRule="atLeast"/>
          <w:jc w:val="center"/>
        </w:trPr>
        <w:tc>
          <w:tcPr>
            <w:tcW w:w="765" w:type="dxa"/>
            <w:vMerge w:val="restart"/>
            <w:tcBorders>
              <w:tl2br w:val="nil"/>
              <w:tr2bl w:val="nil"/>
            </w:tcBorders>
            <w:vAlign w:val="center"/>
          </w:tcPr>
          <w:p w14:paraId="4B5B05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r>
              <w:rPr>
                <w:rFonts w:hint="default" w:ascii="Times New Roman" w:hAnsi="Times New Roman" w:eastAsia="宋体" w:cs="Times New Roman"/>
                <w:snapToGrid w:val="0"/>
                <w:color w:val="auto"/>
                <w:spacing w:val="0"/>
                <w:w w:val="100"/>
                <w:kern w:val="0"/>
                <w:position w:val="0"/>
                <w:sz w:val="21"/>
                <w:szCs w:val="21"/>
                <w:highlight w:val="none"/>
              </w:rPr>
              <w:t>20</w:t>
            </w:r>
          </w:p>
        </w:tc>
        <w:tc>
          <w:tcPr>
            <w:tcW w:w="860" w:type="dxa"/>
            <w:vMerge w:val="restart"/>
            <w:tcBorders>
              <w:tl2br w:val="nil"/>
              <w:tr2bl w:val="nil"/>
            </w:tcBorders>
            <w:vAlign w:val="center"/>
          </w:tcPr>
          <w:p w14:paraId="4AB52A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r>
              <w:rPr>
                <w:rFonts w:hint="default" w:ascii="Times New Roman" w:hAnsi="Times New Roman" w:eastAsia="宋体" w:cs="Times New Roman"/>
                <w:snapToGrid w:val="0"/>
                <w:color w:val="auto"/>
                <w:spacing w:val="0"/>
                <w:w w:val="100"/>
                <w:kern w:val="0"/>
                <w:position w:val="0"/>
                <w:sz w:val="21"/>
                <w:szCs w:val="21"/>
                <w:highlight w:val="none"/>
              </w:rPr>
              <w:t>1450</w:t>
            </w:r>
          </w:p>
        </w:tc>
        <w:tc>
          <w:tcPr>
            <w:tcW w:w="1072" w:type="dxa"/>
            <w:tcBorders>
              <w:tl2br w:val="nil"/>
              <w:tr2bl w:val="nil"/>
            </w:tcBorders>
            <w:vAlign w:val="center"/>
          </w:tcPr>
          <w:p w14:paraId="36B0BD1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r>
              <w:rPr>
                <w:rFonts w:hint="eastAsia" w:ascii="Times New Roman" w:hAnsi="Times New Roman" w:eastAsia="宋体" w:cs="Times New Roman"/>
                <w:snapToGrid w:val="0"/>
                <w:color w:val="auto"/>
                <w:spacing w:val="0"/>
                <w:w w:val="100"/>
                <w:kern w:val="0"/>
                <w:position w:val="0"/>
                <w:sz w:val="21"/>
                <w:szCs w:val="21"/>
                <w:highlight w:val="none"/>
                <w:lang w:val="en-US" w:eastAsia="zh-CN"/>
              </w:rPr>
              <w:t>78400</w:t>
            </w:r>
          </w:p>
        </w:tc>
        <w:tc>
          <w:tcPr>
            <w:tcW w:w="849" w:type="dxa"/>
            <w:vMerge w:val="restart"/>
            <w:tcBorders>
              <w:tl2br w:val="nil"/>
              <w:tr2bl w:val="nil"/>
            </w:tcBorders>
            <w:vAlign w:val="center"/>
          </w:tcPr>
          <w:p w14:paraId="2550409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r>
              <w:rPr>
                <w:rFonts w:hint="default" w:ascii="Times New Roman" w:hAnsi="Times New Roman" w:eastAsia="宋体" w:cs="Times New Roman"/>
                <w:snapToGrid w:val="0"/>
                <w:color w:val="auto"/>
                <w:spacing w:val="0"/>
                <w:w w:val="100"/>
                <w:kern w:val="0"/>
                <w:position w:val="0"/>
                <w:sz w:val="21"/>
                <w:szCs w:val="21"/>
                <w:highlight w:val="none"/>
              </w:rPr>
              <w:t>0.2</w:t>
            </w:r>
          </w:p>
        </w:tc>
        <w:tc>
          <w:tcPr>
            <w:tcW w:w="772" w:type="dxa"/>
            <w:vMerge w:val="restart"/>
            <w:tcBorders>
              <w:tl2br w:val="nil"/>
              <w:tr2bl w:val="nil"/>
            </w:tcBorders>
            <w:vAlign w:val="center"/>
          </w:tcPr>
          <w:p w14:paraId="40A549D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r>
              <w:rPr>
                <w:rFonts w:hint="eastAsia" w:ascii="Times New Roman" w:hAnsi="Times New Roman" w:cs="Times New Roman"/>
                <w:snapToGrid w:val="0"/>
                <w:color w:val="auto"/>
                <w:spacing w:val="0"/>
                <w:w w:val="100"/>
                <w:kern w:val="0"/>
                <w:position w:val="0"/>
                <w:sz w:val="21"/>
                <w:szCs w:val="21"/>
                <w:highlight w:val="none"/>
                <w:lang w:val="en-US" w:eastAsia="zh-CN"/>
              </w:rPr>
              <w:t>540000</w:t>
            </w:r>
          </w:p>
        </w:tc>
        <w:tc>
          <w:tcPr>
            <w:tcW w:w="1153" w:type="dxa"/>
            <w:vMerge w:val="restart"/>
            <w:tcBorders>
              <w:tl2br w:val="nil"/>
              <w:tr2bl w:val="nil"/>
            </w:tcBorders>
            <w:vAlign w:val="center"/>
          </w:tcPr>
          <w:p w14:paraId="2B6355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lang w:val="en-US" w:eastAsia="zh-CN"/>
              </w:rPr>
            </w:pPr>
            <w:r>
              <w:rPr>
                <w:rFonts w:hint="eastAsia" w:ascii="Times New Roman" w:hAnsi="Times New Roman" w:cs="Times New Roman"/>
                <w:snapToGrid w:val="0"/>
                <w:color w:val="auto"/>
                <w:spacing w:val="0"/>
                <w:w w:val="100"/>
                <w:kern w:val="0"/>
                <w:position w:val="0"/>
                <w:sz w:val="21"/>
                <w:szCs w:val="21"/>
                <w:highlight w:val="none"/>
                <w:lang w:val="en-US" w:eastAsia="zh-CN"/>
              </w:rPr>
              <w:t>0.006</w:t>
            </w:r>
          </w:p>
        </w:tc>
        <w:tc>
          <w:tcPr>
            <w:tcW w:w="1190" w:type="dxa"/>
            <w:tcBorders>
              <w:tl2br w:val="nil"/>
              <w:tr2bl w:val="nil"/>
            </w:tcBorders>
            <w:vAlign w:val="bottom"/>
          </w:tcPr>
          <w:p w14:paraId="7943C2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lang w:val="en-US" w:eastAsia="zh-CN"/>
              </w:rPr>
            </w:pPr>
            <w:r>
              <w:rPr>
                <w:rFonts w:hint="eastAsia" w:ascii="Times New Roman" w:hAnsi="Times New Roman" w:cs="Times New Roman"/>
                <w:snapToGrid w:val="0"/>
                <w:color w:val="auto"/>
                <w:spacing w:val="0"/>
                <w:w w:val="100"/>
                <w:kern w:val="0"/>
                <w:position w:val="0"/>
                <w:sz w:val="21"/>
                <w:szCs w:val="21"/>
                <w:highlight w:val="none"/>
                <w:lang w:val="en-US" w:eastAsia="zh-CN"/>
              </w:rPr>
              <w:t>0.475</w:t>
            </w:r>
          </w:p>
        </w:tc>
        <w:tc>
          <w:tcPr>
            <w:tcW w:w="1059" w:type="dxa"/>
            <w:tcBorders>
              <w:tl2br w:val="nil"/>
              <w:tr2bl w:val="nil"/>
            </w:tcBorders>
            <w:vAlign w:val="bottom"/>
          </w:tcPr>
          <w:p w14:paraId="408E2E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lang w:val="en-US" w:eastAsia="zh-CN"/>
              </w:rPr>
            </w:pPr>
            <w:r>
              <w:rPr>
                <w:rFonts w:hint="eastAsia" w:ascii="Times New Roman" w:hAnsi="Times New Roman" w:cs="Times New Roman"/>
                <w:snapToGrid w:val="0"/>
                <w:color w:val="auto"/>
                <w:spacing w:val="0"/>
                <w:w w:val="100"/>
                <w:kern w:val="0"/>
                <w:position w:val="0"/>
                <w:sz w:val="21"/>
                <w:szCs w:val="21"/>
                <w:highlight w:val="none"/>
                <w:lang w:val="en-US" w:eastAsia="zh-CN"/>
              </w:rPr>
              <w:t>0.481</w:t>
            </w:r>
          </w:p>
        </w:tc>
        <w:tc>
          <w:tcPr>
            <w:tcW w:w="1000" w:type="dxa"/>
            <w:vMerge w:val="continue"/>
            <w:tcBorders>
              <w:tl2br w:val="nil"/>
              <w:tr2bl w:val="nil"/>
            </w:tcBorders>
            <w:vAlign w:val="center"/>
          </w:tcPr>
          <w:p w14:paraId="37DE4C7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p>
        </w:tc>
      </w:tr>
      <w:tr w14:paraId="6C92B05E">
        <w:tblPrEx>
          <w:tblBorders>
            <w:top w:val="single" w:color="000000" w:sz="12" w:space="0"/>
            <w:left w:val="none" w:color="auto" w:sz="0" w:space="0"/>
            <w:bottom w:val="single" w:color="000000" w:sz="12" w:space="0"/>
            <w:right w:val="none" w:color="auto" w:sz="0" w:space="0"/>
            <w:insideH w:val="single" w:color="000000" w:sz="6" w:space="0"/>
            <w:insideV w:val="single" w:color="000000" w:sz="2" w:space="0"/>
          </w:tblBorders>
          <w:tblCellMar>
            <w:top w:w="0" w:type="dxa"/>
            <w:left w:w="0" w:type="dxa"/>
            <w:bottom w:w="0" w:type="dxa"/>
            <w:right w:w="0" w:type="dxa"/>
          </w:tblCellMar>
        </w:tblPrEx>
        <w:trPr>
          <w:trHeight w:val="242" w:hRule="atLeast"/>
          <w:jc w:val="center"/>
        </w:trPr>
        <w:tc>
          <w:tcPr>
            <w:tcW w:w="765" w:type="dxa"/>
            <w:vMerge w:val="continue"/>
            <w:tcBorders>
              <w:tl2br w:val="nil"/>
              <w:tr2bl w:val="nil"/>
            </w:tcBorders>
            <w:vAlign w:val="center"/>
          </w:tcPr>
          <w:p w14:paraId="7C2E095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p>
        </w:tc>
        <w:tc>
          <w:tcPr>
            <w:tcW w:w="860" w:type="dxa"/>
            <w:vMerge w:val="continue"/>
            <w:tcBorders>
              <w:tl2br w:val="nil"/>
              <w:tr2bl w:val="nil"/>
            </w:tcBorders>
            <w:vAlign w:val="center"/>
          </w:tcPr>
          <w:p w14:paraId="7908726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p>
        </w:tc>
        <w:tc>
          <w:tcPr>
            <w:tcW w:w="1072" w:type="dxa"/>
            <w:tcBorders>
              <w:tl2br w:val="nil"/>
              <w:tr2bl w:val="nil"/>
            </w:tcBorders>
            <w:vAlign w:val="center"/>
          </w:tcPr>
          <w:p w14:paraId="0CAB6B2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r>
              <w:rPr>
                <w:rFonts w:hint="eastAsia" w:ascii="Times New Roman" w:hAnsi="Times New Roman" w:eastAsia="宋体" w:cs="Times New Roman"/>
                <w:snapToGrid w:val="0"/>
                <w:color w:val="auto"/>
                <w:spacing w:val="0"/>
                <w:w w:val="100"/>
                <w:kern w:val="0"/>
                <w:position w:val="0"/>
                <w:sz w:val="21"/>
                <w:szCs w:val="21"/>
                <w:highlight w:val="none"/>
                <w:lang w:val="en-US" w:eastAsia="zh-CN"/>
              </w:rPr>
              <w:t>196000</w:t>
            </w:r>
          </w:p>
        </w:tc>
        <w:tc>
          <w:tcPr>
            <w:tcW w:w="849" w:type="dxa"/>
            <w:vMerge w:val="continue"/>
            <w:tcBorders>
              <w:tl2br w:val="nil"/>
              <w:tr2bl w:val="nil"/>
            </w:tcBorders>
            <w:vAlign w:val="center"/>
          </w:tcPr>
          <w:p w14:paraId="7B63391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p>
        </w:tc>
        <w:tc>
          <w:tcPr>
            <w:tcW w:w="772" w:type="dxa"/>
            <w:vMerge w:val="continue"/>
            <w:tcBorders>
              <w:tl2br w:val="nil"/>
              <w:tr2bl w:val="nil"/>
            </w:tcBorders>
            <w:vAlign w:val="center"/>
          </w:tcPr>
          <w:p w14:paraId="3E174D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p>
        </w:tc>
        <w:tc>
          <w:tcPr>
            <w:tcW w:w="1153" w:type="dxa"/>
            <w:vMerge w:val="continue"/>
            <w:tcBorders>
              <w:tl2br w:val="nil"/>
              <w:tr2bl w:val="nil"/>
            </w:tcBorders>
            <w:vAlign w:val="center"/>
          </w:tcPr>
          <w:p w14:paraId="5C1BC1D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p>
        </w:tc>
        <w:tc>
          <w:tcPr>
            <w:tcW w:w="1190" w:type="dxa"/>
            <w:tcBorders>
              <w:tl2br w:val="nil"/>
              <w:tr2bl w:val="nil"/>
            </w:tcBorders>
            <w:vAlign w:val="bottom"/>
          </w:tcPr>
          <w:p w14:paraId="3B7DC7D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lang w:val="en-US" w:eastAsia="zh-CN"/>
              </w:rPr>
            </w:pPr>
            <w:r>
              <w:rPr>
                <w:rFonts w:hint="eastAsia" w:ascii="Times New Roman" w:hAnsi="Times New Roman" w:cs="Times New Roman"/>
                <w:snapToGrid w:val="0"/>
                <w:color w:val="auto"/>
                <w:spacing w:val="0"/>
                <w:w w:val="100"/>
                <w:kern w:val="0"/>
                <w:position w:val="0"/>
                <w:sz w:val="21"/>
                <w:szCs w:val="21"/>
                <w:highlight w:val="none"/>
                <w:lang w:val="en-US" w:eastAsia="zh-CN"/>
              </w:rPr>
              <w:t>0.190</w:t>
            </w:r>
          </w:p>
        </w:tc>
        <w:tc>
          <w:tcPr>
            <w:tcW w:w="1059" w:type="dxa"/>
            <w:tcBorders>
              <w:tl2br w:val="nil"/>
              <w:tr2bl w:val="nil"/>
            </w:tcBorders>
            <w:vAlign w:val="bottom"/>
          </w:tcPr>
          <w:p w14:paraId="0F2C1E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lang w:val="en-US" w:eastAsia="zh-CN"/>
              </w:rPr>
            </w:pPr>
            <w:r>
              <w:rPr>
                <w:rFonts w:hint="eastAsia" w:ascii="Times New Roman" w:hAnsi="Times New Roman" w:cs="Times New Roman"/>
                <w:snapToGrid w:val="0"/>
                <w:color w:val="auto"/>
                <w:spacing w:val="0"/>
                <w:w w:val="100"/>
                <w:kern w:val="0"/>
                <w:position w:val="0"/>
                <w:sz w:val="21"/>
                <w:szCs w:val="21"/>
                <w:highlight w:val="none"/>
                <w:lang w:val="en-US" w:eastAsia="zh-CN"/>
              </w:rPr>
              <w:t>0.196</w:t>
            </w:r>
          </w:p>
        </w:tc>
        <w:tc>
          <w:tcPr>
            <w:tcW w:w="1000" w:type="dxa"/>
            <w:vMerge w:val="continue"/>
            <w:tcBorders>
              <w:tl2br w:val="nil"/>
              <w:tr2bl w:val="nil"/>
            </w:tcBorders>
            <w:vAlign w:val="center"/>
          </w:tcPr>
          <w:p w14:paraId="6FB6C58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p>
        </w:tc>
      </w:tr>
      <w:tr w14:paraId="297A0A42">
        <w:tblPrEx>
          <w:tblBorders>
            <w:top w:val="single" w:color="000000" w:sz="12" w:space="0"/>
            <w:left w:val="none" w:color="auto" w:sz="0" w:space="0"/>
            <w:bottom w:val="single" w:color="000000" w:sz="12" w:space="0"/>
            <w:right w:val="none" w:color="auto" w:sz="0" w:space="0"/>
            <w:insideH w:val="single" w:color="000000" w:sz="6" w:space="0"/>
            <w:insideV w:val="single" w:color="000000" w:sz="2" w:space="0"/>
          </w:tblBorders>
          <w:tblCellMar>
            <w:top w:w="0" w:type="dxa"/>
            <w:left w:w="0" w:type="dxa"/>
            <w:bottom w:w="0" w:type="dxa"/>
            <w:right w:w="0" w:type="dxa"/>
          </w:tblCellMar>
        </w:tblPrEx>
        <w:trPr>
          <w:trHeight w:val="241" w:hRule="atLeast"/>
          <w:jc w:val="center"/>
        </w:trPr>
        <w:tc>
          <w:tcPr>
            <w:tcW w:w="765" w:type="dxa"/>
            <w:vMerge w:val="continue"/>
            <w:tcBorders>
              <w:tl2br w:val="nil"/>
              <w:tr2bl w:val="nil"/>
            </w:tcBorders>
            <w:vAlign w:val="center"/>
          </w:tcPr>
          <w:p w14:paraId="3CEBC2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p>
        </w:tc>
        <w:tc>
          <w:tcPr>
            <w:tcW w:w="860" w:type="dxa"/>
            <w:vMerge w:val="continue"/>
            <w:tcBorders>
              <w:tl2br w:val="nil"/>
              <w:tr2bl w:val="nil"/>
            </w:tcBorders>
            <w:vAlign w:val="center"/>
          </w:tcPr>
          <w:p w14:paraId="755273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p>
        </w:tc>
        <w:tc>
          <w:tcPr>
            <w:tcW w:w="1072" w:type="dxa"/>
            <w:tcBorders>
              <w:tl2br w:val="nil"/>
              <w:tr2bl w:val="nil"/>
            </w:tcBorders>
            <w:vAlign w:val="center"/>
          </w:tcPr>
          <w:p w14:paraId="166C39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r>
              <w:rPr>
                <w:rFonts w:hint="eastAsia" w:ascii="Times New Roman" w:hAnsi="Times New Roman" w:eastAsia="宋体" w:cs="Times New Roman"/>
                <w:snapToGrid w:val="0"/>
                <w:color w:val="auto"/>
                <w:spacing w:val="0"/>
                <w:w w:val="100"/>
                <w:kern w:val="0"/>
                <w:position w:val="0"/>
                <w:sz w:val="21"/>
                <w:szCs w:val="21"/>
                <w:highlight w:val="none"/>
                <w:lang w:val="en-US" w:eastAsia="zh-CN"/>
              </w:rPr>
              <w:t>392000</w:t>
            </w:r>
          </w:p>
        </w:tc>
        <w:tc>
          <w:tcPr>
            <w:tcW w:w="849" w:type="dxa"/>
            <w:vMerge w:val="continue"/>
            <w:tcBorders>
              <w:tl2br w:val="nil"/>
              <w:tr2bl w:val="nil"/>
            </w:tcBorders>
            <w:vAlign w:val="center"/>
          </w:tcPr>
          <w:p w14:paraId="2566D2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p>
        </w:tc>
        <w:tc>
          <w:tcPr>
            <w:tcW w:w="772" w:type="dxa"/>
            <w:vMerge w:val="continue"/>
            <w:tcBorders>
              <w:tl2br w:val="nil"/>
              <w:tr2bl w:val="nil"/>
            </w:tcBorders>
            <w:vAlign w:val="center"/>
          </w:tcPr>
          <w:p w14:paraId="573632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p>
        </w:tc>
        <w:tc>
          <w:tcPr>
            <w:tcW w:w="1153" w:type="dxa"/>
            <w:vMerge w:val="continue"/>
            <w:tcBorders>
              <w:tl2br w:val="nil"/>
              <w:tr2bl w:val="nil"/>
            </w:tcBorders>
            <w:vAlign w:val="center"/>
          </w:tcPr>
          <w:p w14:paraId="00C899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p>
        </w:tc>
        <w:tc>
          <w:tcPr>
            <w:tcW w:w="1190" w:type="dxa"/>
            <w:tcBorders>
              <w:tl2br w:val="nil"/>
              <w:tr2bl w:val="nil"/>
            </w:tcBorders>
            <w:vAlign w:val="bottom"/>
          </w:tcPr>
          <w:p w14:paraId="443172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lang w:val="en-US" w:eastAsia="zh-CN"/>
              </w:rPr>
            </w:pPr>
            <w:r>
              <w:rPr>
                <w:rFonts w:hint="eastAsia" w:ascii="Times New Roman" w:hAnsi="Times New Roman" w:cs="Times New Roman"/>
                <w:snapToGrid w:val="0"/>
                <w:color w:val="auto"/>
                <w:spacing w:val="0"/>
                <w:w w:val="100"/>
                <w:kern w:val="0"/>
                <w:position w:val="0"/>
                <w:sz w:val="21"/>
                <w:szCs w:val="21"/>
                <w:highlight w:val="none"/>
                <w:lang w:val="en-US" w:eastAsia="zh-CN"/>
              </w:rPr>
              <w:t>0.095</w:t>
            </w:r>
          </w:p>
        </w:tc>
        <w:tc>
          <w:tcPr>
            <w:tcW w:w="1059" w:type="dxa"/>
            <w:tcBorders>
              <w:tl2br w:val="nil"/>
              <w:tr2bl w:val="nil"/>
            </w:tcBorders>
            <w:vAlign w:val="bottom"/>
          </w:tcPr>
          <w:p w14:paraId="10DECCC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lang w:val="en-US" w:eastAsia="zh-CN"/>
              </w:rPr>
            </w:pPr>
            <w:r>
              <w:rPr>
                <w:rFonts w:hint="eastAsia" w:ascii="Times New Roman" w:hAnsi="Times New Roman" w:cs="Times New Roman"/>
                <w:snapToGrid w:val="0"/>
                <w:color w:val="auto"/>
                <w:spacing w:val="0"/>
                <w:w w:val="100"/>
                <w:kern w:val="0"/>
                <w:position w:val="0"/>
                <w:sz w:val="21"/>
                <w:szCs w:val="21"/>
                <w:highlight w:val="none"/>
                <w:lang w:val="en-US" w:eastAsia="zh-CN"/>
              </w:rPr>
              <w:t>0.101</w:t>
            </w:r>
          </w:p>
        </w:tc>
        <w:tc>
          <w:tcPr>
            <w:tcW w:w="1000" w:type="dxa"/>
            <w:vMerge w:val="continue"/>
            <w:tcBorders>
              <w:tl2br w:val="nil"/>
              <w:tr2bl w:val="nil"/>
            </w:tcBorders>
            <w:vAlign w:val="center"/>
          </w:tcPr>
          <w:p w14:paraId="403FD2D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napToGrid w:val="0"/>
                <w:color w:val="auto"/>
                <w:spacing w:val="0"/>
                <w:w w:val="100"/>
                <w:kern w:val="0"/>
                <w:position w:val="0"/>
                <w:sz w:val="21"/>
                <w:szCs w:val="21"/>
                <w:highlight w:val="none"/>
              </w:rPr>
            </w:pPr>
          </w:p>
        </w:tc>
      </w:tr>
    </w:tbl>
    <w:p w14:paraId="7EBD9243">
      <w:pPr>
        <w:spacing w:line="360" w:lineRule="auto"/>
        <w:ind w:firstLine="480" w:firstLineChars="200"/>
        <w:rPr>
          <w:rFonts w:hint="eastAsia" w:ascii="Times New Roman" w:hAnsi="Times New Roman" w:cs="Times New Roman"/>
          <w:color w:val="auto"/>
          <w:sz w:val="24"/>
          <w:highlight w:val="none"/>
        </w:rPr>
      </w:pPr>
      <w:r>
        <w:rPr>
          <w:rFonts w:hint="eastAsia" w:ascii="Times New Roman" w:hAnsi="Times New Roman" w:cs="Times New Roman"/>
          <w:color w:val="auto"/>
          <w:sz w:val="24"/>
          <w:highlight w:val="none"/>
        </w:rPr>
        <w:t>预测结果显示，在正常工况下，排入大气环境的NMHC沉降对土壤环境的贡献浓度较低，通过大气沉降对土壤的增量较小，在20年的预测时间内土壤中的预测值远小于《土壤环境质量 建设用地土壤污染风险管控标准（试行）》（GB36600-2018）中表1第二类用地风险筛选值，因此项目运行不会对周边土壤环境产生明显影响。</w:t>
      </w:r>
    </w:p>
    <w:p w14:paraId="5BF7BF2F">
      <w:pPr>
        <w:numPr>
          <w:ilvl w:val="0"/>
          <w:numId w:val="0"/>
        </w:numPr>
        <w:bidi w:val="0"/>
        <w:rPr>
          <w:rFonts w:hint="default"/>
          <w:highlight w:val="none"/>
          <w:lang w:val="en-US" w:eastAsia="zh-CN"/>
        </w:rPr>
      </w:pPr>
      <w:r>
        <w:rPr>
          <w:rFonts w:hint="eastAsia"/>
          <w:highlight w:val="none"/>
          <w:lang w:val="en-US" w:eastAsia="zh-CN"/>
        </w:rPr>
        <w:t>（2）地表漫流</w:t>
      </w:r>
    </w:p>
    <w:p w14:paraId="0D103A34">
      <w:pPr>
        <w:spacing w:line="360" w:lineRule="auto"/>
        <w:ind w:firstLine="480" w:firstLineChars="200"/>
        <w:rPr>
          <w:rFonts w:hint="eastAsia" w:ascii="Times New Roman" w:hAnsi="Times New Roman" w:cs="Times New Roman"/>
          <w:color w:val="auto"/>
          <w:sz w:val="24"/>
          <w:highlight w:val="none"/>
        </w:rPr>
      </w:pPr>
      <w:r>
        <w:rPr>
          <w:rFonts w:hint="eastAsia" w:ascii="Times New Roman" w:hAnsi="Times New Roman" w:cs="Times New Roman"/>
          <w:color w:val="auto"/>
          <w:sz w:val="24"/>
          <w:highlight w:val="none"/>
          <w:lang w:val="en-US" w:eastAsia="zh-CN"/>
        </w:rPr>
        <w:t xml:space="preserve">从本项目废水及危险废物的主要有害成分来看，废水及危废中主要污染物为石油类。 </w:t>
      </w:r>
    </w:p>
    <w:p w14:paraId="4BFF86BC">
      <w:pPr>
        <w:spacing w:line="360" w:lineRule="auto"/>
        <w:ind w:firstLine="480" w:firstLineChars="200"/>
        <w:rPr>
          <w:rFonts w:hint="eastAsia" w:ascii="Times New Roman" w:hAnsi="Times New Roman" w:cs="Times New Roman"/>
          <w:color w:val="auto"/>
          <w:sz w:val="24"/>
          <w:highlight w:val="none"/>
        </w:rPr>
      </w:pPr>
      <w:r>
        <w:rPr>
          <w:rFonts w:hint="eastAsia" w:ascii="Times New Roman" w:hAnsi="Times New Roman" w:cs="Times New Roman"/>
          <w:color w:val="auto"/>
          <w:sz w:val="24"/>
          <w:highlight w:val="none"/>
          <w:lang w:val="en-US" w:eastAsia="zh-CN"/>
        </w:rPr>
        <w:t xml:space="preserve">项目危险废物储存区、污水处理站以及污水管线若没有适当的防漏措施，其中的有害组分渗出后，很容易经过雨水淋溶、地表径流侵蚀而渗入土壤，破坏微生物、植物等于周边环境构成系统的平衡。同时这些水分经土壤渗入地下水，对地下水水质也造成污染。对于地上设施，在事故情况下的废水会发生地面漫流，进一步污染土壤。 </w:t>
      </w:r>
    </w:p>
    <w:p w14:paraId="18A8BC94">
      <w:pPr>
        <w:numPr>
          <w:ilvl w:val="0"/>
          <w:numId w:val="0"/>
        </w:numPr>
        <w:bidi w:val="0"/>
        <w:rPr>
          <w:rFonts w:hint="eastAsia"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企业危废暂存间内设置导流沟、事故池和废液槽，可有效收集拦截危废泄漏产生的事故废水。同时根据地势，在厂区地势最低的地方设置雨水截止阀，保证可能受污染的雨排水截留至雨水沟，</w:t>
      </w:r>
      <w:r>
        <w:rPr>
          <w:rFonts w:hint="default" w:ascii="Times New Roman" w:hAnsi="Times New Roman" w:eastAsia="宋体" w:cs="Times New Roman"/>
          <w:color w:val="auto"/>
          <w:kern w:val="0"/>
          <w:sz w:val="24"/>
          <w:szCs w:val="24"/>
          <w:highlight w:val="none"/>
          <w:lang w:val="en-US" w:eastAsia="zh-CN" w:bidi="ar"/>
        </w:rPr>
        <w:t>协调利用厂区</w:t>
      </w:r>
      <w:r>
        <w:rPr>
          <w:rFonts w:hint="eastAsia" w:cs="Times New Roman"/>
          <w:color w:val="auto"/>
          <w:kern w:val="0"/>
          <w:sz w:val="24"/>
          <w:szCs w:val="24"/>
          <w:highlight w:val="none"/>
          <w:lang w:val="en-US" w:eastAsia="zh-CN" w:bidi="ar"/>
        </w:rPr>
        <w:t>3</w:t>
      </w:r>
      <w:r>
        <w:rPr>
          <w:rFonts w:hint="default" w:ascii="Times New Roman" w:hAnsi="Times New Roman" w:eastAsia="宋体" w:cs="Times New Roman"/>
          <w:color w:val="auto"/>
          <w:kern w:val="0"/>
          <w:sz w:val="24"/>
          <w:szCs w:val="24"/>
          <w:highlight w:val="none"/>
          <w:lang w:val="en-US" w:eastAsia="zh-CN" w:bidi="ar"/>
        </w:rPr>
        <w:t>号厂房污水处理站，保证废水达标排放</w:t>
      </w:r>
      <w:r>
        <w:rPr>
          <w:rFonts w:hint="eastAsia" w:ascii="Times New Roman" w:hAnsi="Times New Roman" w:cs="Times New Roman"/>
          <w:color w:val="auto"/>
          <w:sz w:val="24"/>
          <w:highlight w:val="none"/>
          <w:lang w:val="en-US" w:eastAsia="zh-CN"/>
        </w:rPr>
        <w:t>。全面防控事故废水和可能受污染的雨水发生地面漫流，进入土壤。在全面落实三级防控措施的情况下，物料或污染物的地面漫流对土壤影响较小，不会泄漏到厂区外</w:t>
      </w:r>
      <w:r>
        <w:rPr>
          <w:rFonts w:hint="eastAsia" w:cs="Times New Roman"/>
          <w:color w:val="auto"/>
          <w:sz w:val="24"/>
          <w:highlight w:val="none"/>
          <w:lang w:val="en-US" w:eastAsia="zh-CN"/>
        </w:rPr>
        <w:t>。</w:t>
      </w:r>
    </w:p>
    <w:p w14:paraId="17C1AAB6">
      <w:pPr>
        <w:bidi w:val="0"/>
        <w:rPr>
          <w:rFonts w:hint="default"/>
          <w:highlight w:val="none"/>
          <w:lang w:val="en-US" w:eastAsia="zh-CN"/>
        </w:rPr>
      </w:pPr>
      <w:r>
        <w:rPr>
          <w:rFonts w:hint="eastAsia"/>
          <w:highlight w:val="none"/>
          <w:lang w:val="en-US" w:eastAsia="zh-CN"/>
        </w:rPr>
        <w:t>（3）垂直入渗</w:t>
      </w:r>
    </w:p>
    <w:p w14:paraId="79FD19A0">
      <w:pPr>
        <w:bidi w:val="0"/>
        <w:rPr>
          <w:rFonts w:hint="eastAsia"/>
          <w:highlight w:val="none"/>
          <w:lang w:val="en-US" w:eastAsia="zh-CN"/>
        </w:rPr>
      </w:pPr>
      <w:r>
        <w:rPr>
          <w:rFonts w:hint="eastAsia"/>
          <w:highlight w:val="none"/>
          <w:lang w:val="en-US" w:eastAsia="zh-CN"/>
        </w:rPr>
        <w:t>厂区地面进行了分区防渗，在可能下渗污染土壤的设备和构筑物下方地面设置重点防渗区和一般防渗区。</w:t>
      </w:r>
      <w:r>
        <w:rPr>
          <w:rFonts w:hint="default"/>
          <w:highlight w:val="none"/>
          <w:lang w:val="en-US" w:eastAsia="zh-CN"/>
        </w:rPr>
        <w:t>厂房</w:t>
      </w:r>
      <w:r>
        <w:rPr>
          <w:rFonts w:hint="eastAsia"/>
          <w:highlight w:val="none"/>
          <w:lang w:val="en-US" w:eastAsia="zh-CN"/>
        </w:rPr>
        <w:t>均</w:t>
      </w:r>
      <w:r>
        <w:rPr>
          <w:rFonts w:hint="default"/>
          <w:highlight w:val="none"/>
          <w:lang w:val="en-US" w:eastAsia="zh-CN"/>
        </w:rPr>
        <w:t>采用一般防渗，地面采用</w:t>
      </w:r>
      <w:r>
        <w:rPr>
          <w:rFonts w:hint="default"/>
          <w:highlight w:val="none"/>
        </w:rPr>
        <w:t>抗渗混凝土</w:t>
      </w:r>
      <w:r>
        <w:rPr>
          <w:rFonts w:hint="default"/>
          <w:highlight w:val="none"/>
          <w:lang w:eastAsia="zh-CN"/>
        </w:rPr>
        <w:t>，</w:t>
      </w:r>
      <w:r>
        <w:rPr>
          <w:rFonts w:hint="default"/>
          <w:highlight w:val="none"/>
        </w:rPr>
        <w:t>厚度150mm，抗渗等级P8，强度等级C25</w:t>
      </w:r>
      <w:r>
        <w:rPr>
          <w:rFonts w:hint="eastAsia"/>
          <w:highlight w:val="none"/>
          <w:lang w:eastAsia="zh-CN"/>
        </w:rPr>
        <w:t>，</w:t>
      </w:r>
      <w:r>
        <w:rPr>
          <w:rFonts w:hint="eastAsia"/>
          <w:highlight w:val="none"/>
        </w:rPr>
        <w:t>防渗技术要求</w:t>
      </w:r>
      <w:r>
        <w:rPr>
          <w:rFonts w:hint="eastAsia"/>
          <w:highlight w:val="none"/>
          <w:lang w:eastAsia="zh-CN"/>
        </w:rPr>
        <w:t>满足</w:t>
      </w:r>
      <w:r>
        <w:rPr>
          <w:rFonts w:hint="eastAsia"/>
          <w:highlight w:val="none"/>
        </w:rPr>
        <w:t>：等效黏土防渗层厚度Mb≥</w:t>
      </w:r>
      <w:r>
        <w:rPr>
          <w:rFonts w:hint="eastAsia"/>
          <w:highlight w:val="none"/>
          <w:lang w:val="en-US" w:eastAsia="zh-CN"/>
        </w:rPr>
        <w:t>1.5</w:t>
      </w:r>
      <w:r>
        <w:rPr>
          <w:rFonts w:hint="eastAsia"/>
          <w:highlight w:val="none"/>
        </w:rPr>
        <w:t>m，渗透系数K≤1.0×10</w:t>
      </w:r>
      <w:r>
        <w:rPr>
          <w:rFonts w:hint="eastAsia"/>
          <w:highlight w:val="none"/>
          <w:vertAlign w:val="superscript"/>
        </w:rPr>
        <w:t>-7</w:t>
      </w:r>
      <w:r>
        <w:rPr>
          <w:rFonts w:hint="eastAsia"/>
          <w:highlight w:val="none"/>
        </w:rPr>
        <w:t>cm/s</w:t>
      </w:r>
      <w:r>
        <w:rPr>
          <w:rFonts w:hint="default"/>
          <w:highlight w:val="none"/>
          <w:lang w:val="en-US" w:eastAsia="zh-CN"/>
        </w:rPr>
        <w:t>；</w:t>
      </w:r>
      <w:r>
        <w:rPr>
          <w:rFonts w:hint="eastAsia"/>
          <w:highlight w:val="none"/>
          <w:lang w:val="en-US" w:eastAsia="zh-CN"/>
        </w:rPr>
        <w:t>危险废物贮存库及含油金属屑生产线车间</w:t>
      </w:r>
      <w:r>
        <w:rPr>
          <w:rFonts w:hint="eastAsia"/>
          <w:highlight w:val="none"/>
        </w:rPr>
        <w:t>按照重点防渗建设，</w:t>
      </w:r>
      <w:r>
        <w:rPr>
          <w:rFonts w:hint="default"/>
          <w:highlight w:val="none"/>
        </w:rPr>
        <w:t>地面自下而上为防护垫层+2mmHDPE膜+保护层+防渗水泥硬化，防渗系数≤1.0×10</w:t>
      </w:r>
      <w:r>
        <w:rPr>
          <w:rFonts w:hint="default"/>
          <w:highlight w:val="none"/>
          <w:vertAlign w:val="superscript"/>
        </w:rPr>
        <w:t>-10</w:t>
      </w:r>
      <w:r>
        <w:rPr>
          <w:rFonts w:hint="default"/>
          <w:highlight w:val="none"/>
        </w:rPr>
        <w:t>cm/s</w:t>
      </w:r>
      <w:r>
        <w:rPr>
          <w:rFonts w:hint="eastAsia"/>
          <w:highlight w:val="none"/>
          <w:lang w:eastAsia="zh-CN"/>
        </w:rPr>
        <w:t>；厂区地面硬化。</w:t>
      </w:r>
      <w:r>
        <w:rPr>
          <w:rFonts w:hint="eastAsia"/>
          <w:highlight w:val="none"/>
          <w:lang w:val="en-US" w:eastAsia="zh-CN"/>
        </w:rPr>
        <w:t xml:space="preserve">可有效防渗污染物垂直入渗污染土壤。 </w:t>
      </w:r>
    </w:p>
    <w:p w14:paraId="11D56007">
      <w:pPr>
        <w:bidi w:val="0"/>
        <w:rPr>
          <w:rFonts w:hint="default"/>
          <w:highlight w:val="none"/>
          <w:lang w:val="en-US" w:eastAsia="zh-CN"/>
        </w:rPr>
      </w:pPr>
      <w:bookmarkStart w:id="481" w:name="_Toc4160"/>
      <w:r>
        <w:rPr>
          <w:rFonts w:hint="eastAsia"/>
          <w:highlight w:val="none"/>
          <w:lang w:val="en-US" w:eastAsia="zh-CN"/>
        </w:rPr>
        <w:t>1、</w:t>
      </w:r>
      <w:r>
        <w:rPr>
          <w:rFonts w:hint="default"/>
          <w:highlight w:val="none"/>
          <w:lang w:val="en-US" w:eastAsia="zh-CN"/>
        </w:rPr>
        <w:t>预测情景</w:t>
      </w:r>
      <w:bookmarkEnd w:id="481"/>
    </w:p>
    <w:p w14:paraId="4321D87A">
      <w:pPr>
        <w:bidi w:val="0"/>
        <w:rPr>
          <w:rFonts w:hint="default"/>
          <w:highlight w:val="none"/>
          <w:lang w:val="en-US" w:eastAsia="zh-CN"/>
        </w:rPr>
      </w:pPr>
      <w:r>
        <w:rPr>
          <w:rFonts w:hint="default"/>
          <w:highlight w:val="none"/>
          <w:lang w:val="en-US" w:eastAsia="zh-CN"/>
        </w:rPr>
        <w:t>当</w:t>
      </w:r>
      <w:r>
        <w:rPr>
          <w:rFonts w:hint="eastAsia"/>
          <w:highlight w:val="none"/>
          <w:lang w:val="en-US" w:eastAsia="zh-CN"/>
        </w:rPr>
        <w:t>含油金属屑原料贮存区</w:t>
      </w:r>
      <w:r>
        <w:rPr>
          <w:rFonts w:hint="default"/>
          <w:highlight w:val="none"/>
          <w:lang w:val="en-US" w:eastAsia="zh-CN"/>
        </w:rPr>
        <w:t>防渗膜破裂等突发情况可能造成</w:t>
      </w:r>
      <w:r>
        <w:rPr>
          <w:rFonts w:hint="eastAsia"/>
          <w:highlight w:val="none"/>
          <w:lang w:val="en-US" w:eastAsia="zh-CN"/>
        </w:rPr>
        <w:t>油类物质</w:t>
      </w:r>
      <w:r>
        <w:rPr>
          <w:rFonts w:hint="default"/>
          <w:highlight w:val="none"/>
          <w:lang w:val="en-US" w:eastAsia="zh-CN"/>
        </w:rPr>
        <w:t>渗漏，本项目针对</w:t>
      </w:r>
      <w:r>
        <w:rPr>
          <w:rFonts w:hint="eastAsia"/>
          <w:highlight w:val="none"/>
          <w:lang w:val="en-US" w:eastAsia="zh-CN"/>
        </w:rPr>
        <w:t>储存区</w:t>
      </w:r>
      <w:r>
        <w:rPr>
          <w:rFonts w:hint="default"/>
          <w:highlight w:val="none"/>
          <w:lang w:val="en-US" w:eastAsia="zh-CN"/>
        </w:rPr>
        <w:t>非正常工况下进行土壤环境影响预测。预测时间为100天和1000天。</w:t>
      </w:r>
    </w:p>
    <w:p w14:paraId="23103CD4">
      <w:pPr>
        <w:bidi w:val="0"/>
        <w:rPr>
          <w:rFonts w:hint="default"/>
          <w:highlight w:val="none"/>
          <w:lang w:val="en-US" w:eastAsia="zh-CN"/>
        </w:rPr>
      </w:pPr>
      <w:bookmarkStart w:id="482" w:name="_Toc7543"/>
      <w:r>
        <w:rPr>
          <w:rFonts w:hint="eastAsia"/>
          <w:highlight w:val="none"/>
          <w:lang w:val="en-US" w:eastAsia="zh-CN"/>
        </w:rPr>
        <w:t>2、</w:t>
      </w:r>
      <w:r>
        <w:rPr>
          <w:rFonts w:hint="default"/>
          <w:highlight w:val="none"/>
          <w:lang w:val="en-US" w:eastAsia="zh-CN"/>
        </w:rPr>
        <w:t>预测因子</w:t>
      </w:r>
      <w:bookmarkEnd w:id="482"/>
    </w:p>
    <w:p w14:paraId="6241185F">
      <w:pPr>
        <w:bidi w:val="0"/>
        <w:rPr>
          <w:rFonts w:hint="default"/>
          <w:highlight w:val="none"/>
          <w:lang w:val="en-US" w:eastAsia="zh-CN"/>
        </w:rPr>
      </w:pPr>
      <w:r>
        <w:rPr>
          <w:rFonts w:hint="eastAsia"/>
          <w:highlight w:val="none"/>
          <w:lang w:val="en-US" w:eastAsia="zh-CN"/>
        </w:rPr>
        <w:t>本项目非正常状况下主要结合项目的特点，主要污染因子为石油烃，故本评价以石油烃作为特征污染物进行预测。</w:t>
      </w:r>
    </w:p>
    <w:p w14:paraId="6B471B5C">
      <w:pPr>
        <w:bidi w:val="0"/>
        <w:rPr>
          <w:rFonts w:hint="default"/>
          <w:highlight w:val="none"/>
          <w:lang w:val="en-US" w:eastAsia="zh-CN"/>
        </w:rPr>
      </w:pPr>
      <w:bookmarkStart w:id="483" w:name="_Toc27262"/>
      <w:r>
        <w:rPr>
          <w:rFonts w:hint="eastAsia"/>
          <w:highlight w:val="none"/>
          <w:lang w:val="en-US" w:eastAsia="zh-CN"/>
        </w:rPr>
        <w:t>3、预测方法</w:t>
      </w:r>
      <w:bookmarkEnd w:id="483"/>
    </w:p>
    <w:p w14:paraId="6CCAF051">
      <w:pPr>
        <w:bidi w:val="0"/>
        <w:rPr>
          <w:highlight w:val="none"/>
        </w:rPr>
      </w:pPr>
      <w:r>
        <w:rPr>
          <w:rFonts w:hint="eastAsia"/>
          <w:highlight w:val="none"/>
          <w:lang w:val="en-US" w:eastAsia="zh-CN"/>
        </w:rPr>
        <w:t>本项目土壤预测是模拟污染物在重力的作用下，由地表运移至饱水带的过程，选择《环境影响评价技术导则土壤环境（试行）》（</w:t>
      </w:r>
      <w:r>
        <w:rPr>
          <w:rFonts w:hint="default"/>
          <w:highlight w:val="none"/>
          <w:lang w:val="en-US" w:eastAsia="zh-CN"/>
        </w:rPr>
        <w:t>HJ964-2018</w:t>
      </w:r>
      <w:r>
        <w:rPr>
          <w:rFonts w:hint="eastAsia"/>
          <w:highlight w:val="none"/>
          <w:lang w:val="en-US" w:eastAsia="zh-CN"/>
        </w:rPr>
        <w:t>）</w:t>
      </w:r>
      <w:r>
        <w:rPr>
          <w:rFonts w:hint="default"/>
          <w:highlight w:val="none"/>
          <w:lang w:val="en-US" w:eastAsia="zh-CN"/>
        </w:rPr>
        <w:t>E.2</w:t>
      </w:r>
      <w:r>
        <w:rPr>
          <w:rFonts w:hint="eastAsia"/>
          <w:highlight w:val="none"/>
          <w:lang w:val="en-US" w:eastAsia="zh-CN"/>
        </w:rPr>
        <w:t>作为本项目预测方法。预测层位为包气带，该区域的土壤环境是由固、液、气三部分共同组成，是非饱和状态。因此本次土壤溶质运移模拟软件，采用在模拟土壤中水分运动，盐分、污染物和养分运移方面得到广泛应用的</w:t>
      </w:r>
      <w:r>
        <w:rPr>
          <w:rFonts w:hint="default"/>
          <w:highlight w:val="none"/>
          <w:lang w:val="en-US" w:eastAsia="zh-CN"/>
        </w:rPr>
        <w:t>HYDRUS-1D</w:t>
      </w:r>
      <w:r>
        <w:rPr>
          <w:rFonts w:hint="eastAsia"/>
          <w:highlight w:val="none"/>
          <w:lang w:val="en-US" w:eastAsia="zh-CN"/>
        </w:rPr>
        <w:t>软件。</w:t>
      </w:r>
    </w:p>
    <w:p w14:paraId="43DB83E8">
      <w:pPr>
        <w:bidi w:val="0"/>
        <w:rPr>
          <w:rFonts w:hint="eastAsia"/>
          <w:highlight w:val="none"/>
          <w:lang w:val="en-US" w:eastAsia="zh-CN"/>
        </w:rPr>
      </w:pPr>
      <w:bookmarkStart w:id="484" w:name="_Toc21903"/>
      <w:r>
        <w:rPr>
          <w:rFonts w:hint="eastAsia"/>
          <w:highlight w:val="none"/>
          <w:lang w:val="en-US" w:eastAsia="zh-CN"/>
        </w:rPr>
        <w:t>4、数学模型</w:t>
      </w:r>
      <w:bookmarkEnd w:id="484"/>
    </w:p>
    <w:p w14:paraId="322F5072">
      <w:pPr>
        <w:bidi w:val="0"/>
        <w:rPr>
          <w:rFonts w:hint="eastAsia"/>
          <w:highlight w:val="none"/>
          <w:lang w:val="en-US" w:eastAsia="zh-CN"/>
        </w:rPr>
      </w:pPr>
      <w:r>
        <w:rPr>
          <w:rFonts w:hint="eastAsia"/>
          <w:highlight w:val="none"/>
          <w:lang w:val="en-US" w:eastAsia="zh-CN"/>
        </w:rPr>
        <w:t>污染物在包气带中的运移受诸多因素的控制，如污染物本身的物理化学性质、土壤性质、土壤含水率等。污染物的弥散、吸附和降解作用所产生的侧向迁移距离远小于垂向迁移距离，本次模拟预测忽略侧向运移，重点预测污染物在包气带中垂向运移的情况。</w:t>
      </w:r>
    </w:p>
    <w:p w14:paraId="040F3A33">
      <w:pPr>
        <w:bidi w:val="0"/>
        <w:rPr>
          <w:rFonts w:hint="eastAsia"/>
          <w:highlight w:val="none"/>
          <w:lang w:val="en-US" w:eastAsia="zh-CN"/>
        </w:rPr>
      </w:pPr>
      <w:r>
        <w:rPr>
          <w:rFonts w:hint="eastAsia"/>
          <w:highlight w:val="none"/>
          <w:lang w:val="en-US" w:eastAsia="zh-CN"/>
        </w:rPr>
        <w:t>本次模拟预测运用</w:t>
      </w:r>
      <w:r>
        <w:rPr>
          <w:rFonts w:hint="default"/>
          <w:highlight w:val="none"/>
          <w:lang w:val="en-US" w:eastAsia="zh-CN"/>
        </w:rPr>
        <w:t>HYDRUS-1D</w:t>
      </w:r>
      <w:r>
        <w:rPr>
          <w:rFonts w:hint="eastAsia"/>
          <w:highlight w:val="none"/>
          <w:lang w:val="en-US" w:eastAsia="zh-CN"/>
        </w:rPr>
        <w:t>软件中水流及溶质运移两大模块拟污染溶质在非饱和带中的运移。</w:t>
      </w:r>
    </w:p>
    <w:p w14:paraId="7E89BA68">
      <w:pPr>
        <w:bidi w:val="0"/>
        <w:rPr>
          <w:rFonts w:hint="eastAsia"/>
          <w:highlight w:val="none"/>
          <w:lang w:val="en-US" w:eastAsia="zh-CN"/>
        </w:rPr>
      </w:pPr>
      <w:r>
        <w:rPr>
          <w:rFonts w:hint="eastAsia"/>
          <w:highlight w:val="none"/>
          <w:lang w:val="en-US" w:eastAsia="zh-CN"/>
        </w:rPr>
        <w:t>①水流运动方程</w:t>
      </w:r>
    </w:p>
    <w:p w14:paraId="7FCDF110">
      <w:pPr>
        <w:bidi w:val="0"/>
        <w:rPr>
          <w:rFonts w:hint="eastAsia"/>
          <w:highlight w:val="none"/>
          <w:lang w:val="en-US" w:eastAsia="zh-CN"/>
        </w:rPr>
      </w:pPr>
      <w:r>
        <w:rPr>
          <w:rFonts w:hint="eastAsia"/>
          <w:highlight w:val="none"/>
          <w:lang w:val="en-US" w:eastAsia="zh-CN"/>
        </w:rPr>
        <w:t>包气带中土壤水流数学模型选择各向同性的土壤、不可压缩的液体，一维情形的非饱和土壤水流运动的控制方程，即HYDRUS-1D中使用的经典Richards方程描述一维平衡水流运动，即：</w:t>
      </w:r>
    </w:p>
    <w:p w14:paraId="10E5964C">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sz w:val="24"/>
          <w:szCs w:val="24"/>
          <w:highlight w:val="none"/>
          <w:lang w:val="en-US" w:eastAsia="zh-CN"/>
        </w:rPr>
      </w:pPr>
      <w:r>
        <w:rPr>
          <w:rFonts w:hint="eastAsia"/>
          <w:sz w:val="24"/>
          <w:szCs w:val="24"/>
          <w:highlight w:val="none"/>
          <w:lang w:val="en-US" w:eastAsia="zh-CN"/>
        </w:rPr>
        <w:drawing>
          <wp:inline distT="0" distB="0" distL="0" distR="0">
            <wp:extent cx="2506980" cy="603885"/>
            <wp:effectExtent l="0" t="0" r="7620" b="5715"/>
            <wp:docPr id="51"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56.jpeg"/>
                    <pic:cNvPicPr>
                      <a:picLocks noChangeAspect="1"/>
                    </pic:cNvPicPr>
                  </pic:nvPicPr>
                  <pic:blipFill>
                    <a:blip r:embed="rId98"/>
                    <a:stretch>
                      <a:fillRect/>
                    </a:stretch>
                  </pic:blipFill>
                  <pic:spPr>
                    <a:xfrm>
                      <a:off x="0" y="0"/>
                      <a:ext cx="2506980" cy="603885"/>
                    </a:xfrm>
                    <a:prstGeom prst="rect">
                      <a:avLst/>
                    </a:prstGeom>
                    <a:noFill/>
                    <a:ln>
                      <a:noFill/>
                    </a:ln>
                  </pic:spPr>
                </pic:pic>
              </a:graphicData>
            </a:graphic>
          </wp:inline>
        </w:drawing>
      </w:r>
    </w:p>
    <w:p w14:paraId="1FB39C4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highlight w:val="none"/>
          <w:lang w:val="en-US" w:eastAsia="zh-CN"/>
        </w:rPr>
      </w:pPr>
    </w:p>
    <w:p w14:paraId="73EB67D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式中：θ—体积含水率；</w:t>
      </w:r>
    </w:p>
    <w:p w14:paraId="2DA42E94">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t—模拟时间；</w:t>
      </w:r>
    </w:p>
    <w:p w14:paraId="1F1951DA">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h—压力水头；</w:t>
      </w:r>
    </w:p>
    <w:p w14:paraId="66313648">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z—沿z轴的距离，z轴以地面为零基准点，向上为正；</w:t>
      </w:r>
    </w:p>
    <w:p w14:paraId="53C12D59">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K（h）—非饱和渗透系数；</w:t>
      </w:r>
    </w:p>
    <w:p w14:paraId="31985619">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ɑ—水流方向与纵轴夹角，本次模拟认为水流一维连续垂向入渗，故ɑ=0。</w:t>
      </w:r>
    </w:p>
    <w:p w14:paraId="7120883E">
      <w:pPr>
        <w:bidi w:val="0"/>
        <w:rPr>
          <w:highlight w:val="none"/>
        </w:rPr>
      </w:pPr>
      <w:r>
        <w:rPr>
          <w:rFonts w:hint="eastAsia"/>
          <w:highlight w:val="none"/>
          <w:lang w:val="en-US" w:eastAsia="zh-CN"/>
        </w:rPr>
        <w:t>②土壤水分运移模型</w:t>
      </w:r>
    </w:p>
    <w:p w14:paraId="0E40C3C9">
      <w:pPr>
        <w:bidi w:val="0"/>
        <w:rPr>
          <w:rFonts w:hint="eastAsia"/>
          <w:highlight w:val="none"/>
          <w:lang w:val="en-US" w:eastAsia="zh-CN"/>
        </w:rPr>
      </w:pPr>
      <w:r>
        <w:rPr>
          <w:rFonts w:hint="eastAsia"/>
          <w:highlight w:val="none"/>
          <w:lang w:val="en-US" w:eastAsia="zh-CN"/>
        </w:rPr>
        <w:t>土壤水分运移模型可用来描述水分在土壤中的运移过程，本次模拟时间采用</w:t>
      </w:r>
      <w:r>
        <w:rPr>
          <w:rFonts w:hint="default"/>
          <w:highlight w:val="none"/>
          <w:lang w:val="en-US" w:eastAsia="zh-CN"/>
        </w:rPr>
        <w:t>HYDRUS-1D</w:t>
      </w:r>
      <w:r>
        <w:rPr>
          <w:rFonts w:hint="eastAsia"/>
          <w:highlight w:val="none"/>
          <w:lang w:val="en-US" w:eastAsia="zh-CN"/>
        </w:rPr>
        <w:t>软件中</w:t>
      </w:r>
      <w:r>
        <w:rPr>
          <w:rFonts w:hint="default"/>
          <w:highlight w:val="none"/>
          <w:lang w:val="en-US" w:eastAsia="zh-CN"/>
        </w:rPr>
        <w:t>VanGenuchten-Malen</w:t>
      </w:r>
      <w:r>
        <w:rPr>
          <w:rFonts w:hint="eastAsia"/>
          <w:highlight w:val="none"/>
          <w:lang w:val="en-US" w:eastAsia="zh-CN"/>
        </w:rPr>
        <w:t>提出的土壤水力模型，且不考虑水流滞后现象，方程为：</w:t>
      </w:r>
    </w:p>
    <w:p w14:paraId="44A9B29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sz w:val="24"/>
          <w:szCs w:val="24"/>
          <w:highlight w:val="none"/>
          <w:lang w:val="en-US" w:eastAsia="zh-CN"/>
        </w:rPr>
      </w:pPr>
      <w:r>
        <w:rPr>
          <w:highlight w:val="none"/>
        </w:rPr>
        <w:drawing>
          <wp:inline distT="0" distB="0" distL="114300" distR="114300">
            <wp:extent cx="1871345" cy="1987550"/>
            <wp:effectExtent l="0" t="0" r="14605" b="12700"/>
            <wp:docPr id="5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5"/>
                    <pic:cNvPicPr>
                      <a:picLocks noChangeAspect="1"/>
                    </pic:cNvPicPr>
                  </pic:nvPicPr>
                  <pic:blipFill>
                    <a:blip r:embed="rId99"/>
                    <a:stretch>
                      <a:fillRect/>
                    </a:stretch>
                  </pic:blipFill>
                  <pic:spPr>
                    <a:xfrm>
                      <a:off x="0" y="0"/>
                      <a:ext cx="1871345" cy="1987550"/>
                    </a:xfrm>
                    <a:prstGeom prst="rect">
                      <a:avLst/>
                    </a:prstGeom>
                    <a:noFill/>
                    <a:ln>
                      <a:noFill/>
                    </a:ln>
                  </pic:spPr>
                </pic:pic>
              </a:graphicData>
            </a:graphic>
          </wp:inline>
        </w:drawing>
      </w:r>
    </w:p>
    <w:p w14:paraId="67A7EF9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val="en-US" w:eastAsia="zh-CN"/>
        </w:rPr>
      </w:pPr>
      <w:r>
        <w:rPr>
          <w:rFonts w:hint="default"/>
          <w:sz w:val="24"/>
          <w:szCs w:val="24"/>
          <w:highlight w:val="none"/>
          <w:lang w:val="en-US" w:eastAsia="zh-CN"/>
        </w:rPr>
        <w:t>式中：θr—土壤残余含水率；</w:t>
      </w:r>
    </w:p>
    <w:p w14:paraId="427466DA">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sz w:val="24"/>
          <w:szCs w:val="24"/>
          <w:highlight w:val="none"/>
          <w:lang w:val="en-US" w:eastAsia="zh-CN"/>
        </w:rPr>
      </w:pPr>
      <w:r>
        <w:rPr>
          <w:rFonts w:hint="default"/>
          <w:sz w:val="24"/>
          <w:szCs w:val="24"/>
          <w:highlight w:val="none"/>
          <w:lang w:val="en-US" w:eastAsia="zh-CN"/>
        </w:rPr>
        <w:t>θs—土壤饱和含水率；</w:t>
      </w:r>
    </w:p>
    <w:p w14:paraId="063A353C">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sz w:val="24"/>
          <w:szCs w:val="24"/>
          <w:highlight w:val="none"/>
          <w:lang w:val="en-US" w:eastAsia="zh-CN"/>
        </w:rPr>
      </w:pPr>
      <w:r>
        <w:rPr>
          <w:rFonts w:hint="default"/>
          <w:sz w:val="24"/>
          <w:szCs w:val="24"/>
          <w:highlight w:val="none"/>
          <w:lang w:val="en-US" w:eastAsia="zh-CN"/>
        </w:rPr>
        <w:t>Se—有效饱和度；</w:t>
      </w:r>
    </w:p>
    <w:p w14:paraId="7D2B63F1">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sz w:val="24"/>
          <w:szCs w:val="24"/>
          <w:highlight w:val="none"/>
          <w:lang w:val="en-US" w:eastAsia="zh-CN"/>
        </w:rPr>
      </w:pPr>
      <w:r>
        <w:rPr>
          <w:rFonts w:hint="default"/>
          <w:sz w:val="24"/>
          <w:szCs w:val="24"/>
          <w:highlight w:val="none"/>
          <w:lang w:val="en-US" w:eastAsia="zh-CN"/>
        </w:rPr>
        <w:t>ɑ—冒泡压力；</w:t>
      </w:r>
    </w:p>
    <w:p w14:paraId="0C21EE5F">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sz w:val="24"/>
          <w:szCs w:val="24"/>
          <w:highlight w:val="none"/>
          <w:lang w:val="en-US" w:eastAsia="zh-CN"/>
        </w:rPr>
      </w:pPr>
      <w:r>
        <w:rPr>
          <w:rFonts w:hint="default"/>
          <w:sz w:val="24"/>
          <w:szCs w:val="24"/>
          <w:highlight w:val="none"/>
          <w:lang w:val="en-US" w:eastAsia="zh-CN"/>
        </w:rPr>
        <w:t>n—土壤空隙大小分配指数；</w:t>
      </w:r>
    </w:p>
    <w:p w14:paraId="2BB79EAC">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sz w:val="24"/>
          <w:szCs w:val="24"/>
          <w:highlight w:val="none"/>
          <w:lang w:val="en-US" w:eastAsia="zh-CN"/>
        </w:rPr>
      </w:pPr>
      <w:r>
        <w:rPr>
          <w:rFonts w:hint="default"/>
          <w:sz w:val="24"/>
          <w:szCs w:val="24"/>
          <w:highlight w:val="none"/>
          <w:lang w:val="en-US" w:eastAsia="zh-CN"/>
        </w:rPr>
        <w:t>Ks—饱和导水率；</w:t>
      </w:r>
    </w:p>
    <w:p w14:paraId="0A1D9650">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sz w:val="24"/>
          <w:szCs w:val="24"/>
          <w:highlight w:val="none"/>
          <w:lang w:val="en-US" w:eastAsia="zh-CN"/>
        </w:rPr>
      </w:pPr>
      <w:r>
        <w:rPr>
          <w:rFonts w:hint="default"/>
          <w:sz w:val="24"/>
          <w:szCs w:val="24"/>
          <w:highlight w:val="none"/>
          <w:lang w:val="en-US" w:eastAsia="zh-CN"/>
        </w:rPr>
        <w:t>l—土壤空隙连通性，通常取0.5</w:t>
      </w:r>
      <w:r>
        <w:rPr>
          <w:rFonts w:hint="eastAsia"/>
          <w:sz w:val="24"/>
          <w:szCs w:val="24"/>
          <w:highlight w:val="none"/>
          <w:lang w:val="en-US" w:eastAsia="zh-CN"/>
        </w:rPr>
        <w:t>。</w:t>
      </w:r>
    </w:p>
    <w:p w14:paraId="5E35CA66">
      <w:pPr>
        <w:bidi w:val="0"/>
        <w:rPr>
          <w:rFonts w:hint="default"/>
          <w:highlight w:val="none"/>
          <w:lang w:val="en-US" w:eastAsia="zh-CN"/>
        </w:rPr>
      </w:pPr>
      <w:r>
        <w:rPr>
          <w:rFonts w:hint="default"/>
          <w:highlight w:val="none"/>
          <w:lang w:val="en-US" w:eastAsia="zh-CN"/>
        </w:rPr>
        <w:t>③溶质运移方程</w:t>
      </w:r>
    </w:p>
    <w:p w14:paraId="1ADDDD5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宋体" w:hAnsi="宋体" w:eastAsia="宋体" w:cs="宋体"/>
          <w:sz w:val="24"/>
          <w:szCs w:val="24"/>
          <w:highlight w:val="none"/>
          <w:lang w:val="en-US" w:eastAsia="zh-CN"/>
        </w:rPr>
      </w:pPr>
      <w:r>
        <w:rPr>
          <w:rFonts w:hint="default" w:ascii="宋体" w:hAnsi="宋体" w:eastAsia="宋体" w:cs="宋体"/>
          <w:sz w:val="24"/>
          <w:szCs w:val="24"/>
          <w:highlight w:val="none"/>
          <w:lang w:val="en-US" w:eastAsia="zh-CN"/>
        </w:rPr>
        <w:t>溶质运移方程建立在水流模型的基础上，本次模拟采用的溶质运移模型为一维非饱</w:t>
      </w:r>
      <w:r>
        <w:rPr>
          <w:rFonts w:hint="eastAsia" w:ascii="宋体" w:hAnsi="宋体" w:cs="宋体"/>
          <w:sz w:val="24"/>
          <w:szCs w:val="24"/>
          <w:highlight w:val="none"/>
          <w:lang w:val="en-US" w:eastAsia="zh-CN"/>
        </w:rPr>
        <w:t>和</w:t>
      </w:r>
      <w:r>
        <w:rPr>
          <w:rFonts w:hint="default" w:ascii="宋体" w:hAnsi="宋体" w:eastAsia="宋体" w:cs="宋体"/>
          <w:sz w:val="24"/>
          <w:szCs w:val="24"/>
          <w:highlight w:val="none"/>
          <w:lang w:val="en-US" w:eastAsia="zh-CN"/>
        </w:rPr>
        <w:t>溶质垂向运移模型，运移方程为：</w:t>
      </w:r>
    </w:p>
    <w:p w14:paraId="121C09D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outlineLvl w:val="9"/>
        <w:rPr>
          <w:highlight w:val="none"/>
        </w:rPr>
      </w:pPr>
      <w:r>
        <w:rPr>
          <w:highlight w:val="none"/>
        </w:rPr>
        <w:drawing>
          <wp:inline distT="0" distB="0" distL="114300" distR="114300">
            <wp:extent cx="1974850" cy="536575"/>
            <wp:effectExtent l="0" t="0" r="6350" b="15875"/>
            <wp:docPr id="5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6"/>
                    <pic:cNvPicPr>
                      <a:picLocks noChangeAspect="1"/>
                    </pic:cNvPicPr>
                  </pic:nvPicPr>
                  <pic:blipFill>
                    <a:blip r:embed="rId100"/>
                    <a:stretch>
                      <a:fillRect/>
                    </a:stretch>
                  </pic:blipFill>
                  <pic:spPr>
                    <a:xfrm>
                      <a:off x="0" y="0"/>
                      <a:ext cx="1974850" cy="536575"/>
                    </a:xfrm>
                    <a:prstGeom prst="rect">
                      <a:avLst/>
                    </a:prstGeom>
                    <a:noFill/>
                    <a:ln>
                      <a:noFill/>
                    </a:ln>
                  </pic:spPr>
                </pic:pic>
              </a:graphicData>
            </a:graphic>
          </wp:inline>
        </w:drawing>
      </w:r>
    </w:p>
    <w:p w14:paraId="3133DC5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default"/>
          <w:sz w:val="24"/>
          <w:szCs w:val="24"/>
          <w:highlight w:val="none"/>
          <w:lang w:val="en-US" w:eastAsia="zh-CN"/>
        </w:rPr>
      </w:pPr>
      <w:r>
        <w:rPr>
          <w:rFonts w:hint="default"/>
          <w:sz w:val="24"/>
          <w:szCs w:val="24"/>
          <w:highlight w:val="none"/>
          <w:lang w:val="en-US" w:eastAsia="zh-CN"/>
        </w:rPr>
        <w:t>式中：c—土壤液相中污染物的浓度，mg/L；</w:t>
      </w:r>
    </w:p>
    <w:p w14:paraId="4903C0BB">
      <w:pPr>
        <w:keepNext w:val="0"/>
        <w:keepLines w:val="0"/>
        <w:pageBreakBefore w:val="0"/>
        <w:widowControl w:val="0"/>
        <w:kinsoku/>
        <w:wordWrap/>
        <w:overflowPunct/>
        <w:topLinePunct w:val="0"/>
        <w:autoSpaceDE/>
        <w:autoSpaceDN/>
        <w:bidi w:val="0"/>
        <w:adjustRightInd/>
        <w:snapToGrid/>
        <w:spacing w:line="360" w:lineRule="auto"/>
        <w:ind w:firstLine="1200" w:firstLineChars="500"/>
        <w:jc w:val="both"/>
        <w:textAlignment w:val="auto"/>
        <w:outlineLvl w:val="9"/>
        <w:rPr>
          <w:rFonts w:hint="default"/>
          <w:sz w:val="24"/>
          <w:szCs w:val="24"/>
          <w:highlight w:val="none"/>
          <w:lang w:val="en-US" w:eastAsia="zh-CN"/>
        </w:rPr>
      </w:pPr>
      <w:r>
        <w:rPr>
          <w:rFonts w:hint="default"/>
          <w:sz w:val="24"/>
          <w:szCs w:val="24"/>
          <w:highlight w:val="none"/>
          <w:lang w:val="en-US" w:eastAsia="zh-CN"/>
        </w:rPr>
        <w:t>D—弥散系数，cm</w:t>
      </w:r>
      <w:r>
        <w:rPr>
          <w:rFonts w:hint="default"/>
          <w:sz w:val="24"/>
          <w:szCs w:val="24"/>
          <w:highlight w:val="none"/>
          <w:vertAlign w:val="superscript"/>
          <w:lang w:val="en-US" w:eastAsia="zh-CN"/>
        </w:rPr>
        <w:t>2</w:t>
      </w:r>
      <w:r>
        <w:rPr>
          <w:rFonts w:hint="default"/>
          <w:sz w:val="24"/>
          <w:szCs w:val="24"/>
          <w:highlight w:val="none"/>
          <w:lang w:val="en-US" w:eastAsia="zh-CN"/>
        </w:rPr>
        <w:t>/d；</w:t>
      </w:r>
    </w:p>
    <w:p w14:paraId="397F16A0">
      <w:pPr>
        <w:keepNext w:val="0"/>
        <w:keepLines w:val="0"/>
        <w:pageBreakBefore w:val="0"/>
        <w:widowControl w:val="0"/>
        <w:kinsoku/>
        <w:wordWrap/>
        <w:overflowPunct/>
        <w:topLinePunct w:val="0"/>
        <w:autoSpaceDE/>
        <w:autoSpaceDN/>
        <w:bidi w:val="0"/>
        <w:adjustRightInd/>
        <w:snapToGrid/>
        <w:spacing w:line="360" w:lineRule="auto"/>
        <w:ind w:firstLine="1200" w:firstLineChars="500"/>
        <w:jc w:val="both"/>
        <w:textAlignment w:val="auto"/>
        <w:outlineLvl w:val="9"/>
        <w:rPr>
          <w:rFonts w:hint="default"/>
          <w:sz w:val="24"/>
          <w:szCs w:val="24"/>
          <w:highlight w:val="none"/>
          <w:lang w:val="en-US" w:eastAsia="zh-CN"/>
        </w:rPr>
      </w:pPr>
      <w:r>
        <w:rPr>
          <w:rFonts w:hint="default"/>
          <w:sz w:val="24"/>
          <w:szCs w:val="24"/>
          <w:highlight w:val="none"/>
          <w:lang w:val="en-US" w:eastAsia="zh-CN"/>
        </w:rPr>
        <w:t>q—饱和导水率，cm/d。</w:t>
      </w:r>
    </w:p>
    <w:p w14:paraId="16EE1D2C">
      <w:pPr>
        <w:bidi w:val="0"/>
        <w:rPr>
          <w:rFonts w:hint="default"/>
          <w:highlight w:val="none"/>
          <w:lang w:val="en-US" w:eastAsia="zh-CN"/>
        </w:rPr>
      </w:pPr>
      <w:r>
        <w:rPr>
          <w:rFonts w:hint="default"/>
          <w:highlight w:val="none"/>
          <w:lang w:val="en-US" w:eastAsia="zh-CN"/>
        </w:rPr>
        <w:t>④参数选取</w:t>
      </w:r>
    </w:p>
    <w:p w14:paraId="18BBCEBA">
      <w:pPr>
        <w:keepNext w:val="0"/>
        <w:keepLines w:val="0"/>
        <w:pageBreakBefore w:val="0"/>
        <w:widowControl w:val="0"/>
        <w:kinsoku/>
        <w:wordWrap/>
        <w:overflowPunct/>
        <w:topLinePunct w:val="0"/>
        <w:autoSpaceDE/>
        <w:autoSpaceDN/>
        <w:bidi w:val="0"/>
        <w:adjustRightInd/>
        <w:snapToGrid/>
        <w:spacing w:line="360" w:lineRule="auto"/>
        <w:ind w:firstLine="0" w:firstLineChars="0"/>
        <w:jc w:val="both"/>
        <w:textAlignment w:val="auto"/>
        <w:outlineLvl w:val="9"/>
        <w:rPr>
          <w:rFonts w:hint="default"/>
          <w:sz w:val="24"/>
          <w:szCs w:val="24"/>
          <w:highlight w:val="none"/>
          <w:lang w:val="en-US" w:eastAsia="zh-CN"/>
        </w:rPr>
      </w:pPr>
      <w:r>
        <w:rPr>
          <w:rFonts w:hint="default"/>
          <w:sz w:val="24"/>
          <w:szCs w:val="24"/>
          <w:highlight w:val="none"/>
          <w:lang w:val="en-US" w:eastAsia="zh-CN"/>
        </w:rPr>
        <w:t>水力参数见下表</w:t>
      </w:r>
    </w:p>
    <w:p w14:paraId="2A86D08C">
      <w:pPr>
        <w:pStyle w:val="40"/>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jc w:val="center"/>
        <w:textAlignment w:val="auto"/>
        <w:outlineLvl w:val="9"/>
        <w:rPr>
          <w:b/>
          <w:bCs w:val="0"/>
          <w:sz w:val="6"/>
          <w:szCs w:val="24"/>
          <w:highlight w:val="none"/>
          <w:lang w:eastAsia="zh-CN"/>
        </w:rPr>
      </w:pPr>
      <w:r>
        <w:rPr>
          <w:rFonts w:hint="eastAsia" w:ascii="宋体" w:hAnsi="宋体" w:eastAsia="宋体" w:cs="宋体"/>
          <w:b/>
          <w:bCs/>
          <w:kern w:val="0"/>
          <w:sz w:val="24"/>
          <w:szCs w:val="24"/>
          <w:highlight w:val="none"/>
          <w:lang w:val="en-US" w:eastAsia="zh-CN" w:bidi="ar"/>
        </w:rPr>
        <w:t>表</w:t>
      </w:r>
      <w:r>
        <w:rPr>
          <w:rFonts w:hint="default" w:ascii="Times New Roman" w:hAnsi="宋体" w:eastAsia="Times New Roman" w:cs="宋体"/>
          <w:b/>
          <w:bCs/>
          <w:kern w:val="0"/>
          <w:sz w:val="24"/>
          <w:szCs w:val="24"/>
          <w:highlight w:val="none"/>
          <w:lang w:val="en-US" w:eastAsia="zh-CN" w:bidi="ar"/>
        </w:rPr>
        <w:t>5-2-</w:t>
      </w:r>
      <w:r>
        <w:rPr>
          <w:rFonts w:hint="eastAsia" w:hAnsi="宋体" w:eastAsia="Times New Roman" w:cs="宋体"/>
          <w:b/>
          <w:bCs/>
          <w:kern w:val="0"/>
          <w:sz w:val="24"/>
          <w:szCs w:val="24"/>
          <w:highlight w:val="none"/>
          <w:lang w:val="en-US" w:eastAsia="zh-CN" w:bidi="ar"/>
        </w:rPr>
        <w:t>23土壤</w:t>
      </w:r>
      <w:r>
        <w:rPr>
          <w:rFonts w:hint="eastAsia" w:ascii="宋体" w:hAnsi="宋体" w:eastAsia="宋体" w:cs="宋体"/>
          <w:b/>
          <w:bCs/>
          <w:kern w:val="0"/>
          <w:sz w:val="24"/>
          <w:szCs w:val="24"/>
          <w:highlight w:val="none"/>
          <w:lang w:val="en-US" w:eastAsia="zh-CN" w:bidi="ar"/>
        </w:rPr>
        <w:t>水力参数一览表</w:t>
      </w:r>
    </w:p>
    <w:tbl>
      <w:tblPr>
        <w:tblStyle w:val="739"/>
        <w:tblW w:w="8497"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shd w:val="clear" w:color="auto" w:fill="auto"/>
        <w:tblLayout w:type="fixed"/>
        <w:tblCellMar>
          <w:top w:w="0" w:type="dxa"/>
          <w:left w:w="0" w:type="dxa"/>
          <w:bottom w:w="0" w:type="dxa"/>
          <w:right w:w="0" w:type="dxa"/>
        </w:tblCellMar>
      </w:tblPr>
      <w:tblGrid>
        <w:gridCol w:w="1138"/>
        <w:gridCol w:w="929"/>
        <w:gridCol w:w="1285"/>
        <w:gridCol w:w="1287"/>
        <w:gridCol w:w="1126"/>
        <w:gridCol w:w="1284"/>
        <w:gridCol w:w="1448"/>
      </w:tblGrid>
      <w:tr w14:paraId="683377E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976" w:hRule="atLeast"/>
          <w:jc w:val="center"/>
        </w:trPr>
        <w:tc>
          <w:tcPr>
            <w:tcW w:w="1138" w:type="dxa"/>
            <w:tcBorders>
              <w:tl2br w:val="nil"/>
              <w:tr2bl w:val="nil"/>
            </w:tcBorders>
            <w:shd w:val="clear" w:color="auto" w:fill="auto"/>
            <w:vAlign w:val="center"/>
          </w:tcPr>
          <w:p w14:paraId="457F82FA">
            <w:pPr>
              <w:pStyle w:val="8"/>
              <w:suppressLineNumbers w:val="0"/>
              <w:bidi w:val="0"/>
              <w:spacing w:before="0" w:beforeAutospacing="0" w:after="0" w:afterAutospacing="0"/>
              <w:ind w:left="0" w:right="0"/>
              <w:rPr>
                <w:rFonts w:hint="default"/>
                <w:snapToGrid w:val="0"/>
                <w:highlight w:val="none"/>
                <w:lang w:eastAsia="en-US"/>
              </w:rPr>
            </w:pPr>
          </w:p>
          <w:p w14:paraId="4E469EA0">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土壤层次（</w:t>
            </w:r>
            <w:r>
              <w:rPr>
                <w:rFonts w:hint="default"/>
                <w:snapToGrid w:val="0"/>
                <w:highlight w:val="none"/>
                <w:lang w:val="en-US" w:eastAsia="en-US"/>
              </w:rPr>
              <w:t>cm</w:t>
            </w:r>
            <w:r>
              <w:rPr>
                <w:rFonts w:hint="eastAsia"/>
                <w:snapToGrid w:val="0"/>
                <w:highlight w:val="none"/>
                <w:lang w:val="en-US" w:eastAsia="en-US"/>
              </w:rPr>
              <w:t>）</w:t>
            </w:r>
          </w:p>
        </w:tc>
        <w:tc>
          <w:tcPr>
            <w:tcW w:w="929" w:type="dxa"/>
            <w:tcBorders>
              <w:tl2br w:val="nil"/>
              <w:tr2bl w:val="nil"/>
            </w:tcBorders>
            <w:shd w:val="clear" w:color="auto" w:fill="auto"/>
            <w:vAlign w:val="center"/>
          </w:tcPr>
          <w:p w14:paraId="688BC8DC">
            <w:pPr>
              <w:pStyle w:val="8"/>
              <w:suppressLineNumbers w:val="0"/>
              <w:bidi w:val="0"/>
              <w:spacing w:before="0" w:beforeAutospacing="0" w:after="0" w:afterAutospacing="0"/>
              <w:ind w:left="0" w:right="0"/>
              <w:rPr>
                <w:rFonts w:hint="default"/>
                <w:snapToGrid w:val="0"/>
                <w:highlight w:val="none"/>
                <w:lang w:eastAsia="en-US"/>
              </w:rPr>
            </w:pPr>
          </w:p>
          <w:p w14:paraId="75D24861">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土壤类型</w:t>
            </w:r>
          </w:p>
        </w:tc>
        <w:tc>
          <w:tcPr>
            <w:tcW w:w="1285" w:type="dxa"/>
            <w:tcBorders>
              <w:tl2br w:val="nil"/>
              <w:tr2bl w:val="nil"/>
            </w:tcBorders>
            <w:shd w:val="clear" w:color="auto" w:fill="auto"/>
            <w:vAlign w:val="center"/>
          </w:tcPr>
          <w:p w14:paraId="756DFAC4">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土壤残余含水率</w:t>
            </w:r>
            <w:r>
              <w:rPr>
                <w:rFonts w:hint="default"/>
                <w:snapToGrid w:val="0"/>
                <w:highlight w:val="none"/>
                <w:lang w:val="en-US" w:eastAsia="en-US"/>
              </w:rPr>
              <w:t>cm</w:t>
            </w:r>
            <w:r>
              <w:rPr>
                <w:rFonts w:hint="default"/>
                <w:snapToGrid w:val="0"/>
                <w:highlight w:val="none"/>
                <w:vertAlign w:val="superscript"/>
                <w:lang w:val="en-US" w:eastAsia="en-US"/>
              </w:rPr>
              <w:t>3</w:t>
            </w:r>
            <w:r>
              <w:rPr>
                <w:rFonts w:hint="default"/>
                <w:snapToGrid w:val="0"/>
                <w:highlight w:val="none"/>
                <w:lang w:val="en-US" w:eastAsia="en-US"/>
              </w:rPr>
              <w:t>/cm</w:t>
            </w:r>
            <w:r>
              <w:rPr>
                <w:rFonts w:hint="default"/>
                <w:snapToGrid w:val="0"/>
                <w:highlight w:val="none"/>
                <w:vertAlign w:val="superscript"/>
                <w:lang w:val="en-US" w:eastAsia="en-US"/>
              </w:rPr>
              <w:t>3</w:t>
            </w:r>
          </w:p>
        </w:tc>
        <w:tc>
          <w:tcPr>
            <w:tcW w:w="1287" w:type="dxa"/>
            <w:tcBorders>
              <w:tl2br w:val="nil"/>
              <w:tr2bl w:val="nil"/>
            </w:tcBorders>
            <w:shd w:val="clear" w:color="auto" w:fill="auto"/>
            <w:vAlign w:val="center"/>
          </w:tcPr>
          <w:p w14:paraId="164DDE4E">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饱和土壤含水率</w:t>
            </w:r>
            <w:r>
              <w:rPr>
                <w:rFonts w:hint="default"/>
                <w:snapToGrid w:val="0"/>
                <w:highlight w:val="none"/>
                <w:lang w:val="en-US" w:eastAsia="en-US"/>
              </w:rPr>
              <w:t>cm</w:t>
            </w:r>
            <w:r>
              <w:rPr>
                <w:rFonts w:hint="default"/>
                <w:snapToGrid w:val="0"/>
                <w:highlight w:val="none"/>
                <w:vertAlign w:val="superscript"/>
                <w:lang w:val="en-US" w:eastAsia="en-US"/>
              </w:rPr>
              <w:t>3</w:t>
            </w:r>
            <w:r>
              <w:rPr>
                <w:rFonts w:hint="default"/>
                <w:snapToGrid w:val="0"/>
                <w:highlight w:val="none"/>
                <w:lang w:val="en-US" w:eastAsia="en-US"/>
              </w:rPr>
              <w:t>/cm</w:t>
            </w:r>
            <w:r>
              <w:rPr>
                <w:rFonts w:hint="default"/>
                <w:snapToGrid w:val="0"/>
                <w:highlight w:val="none"/>
                <w:vertAlign w:val="superscript"/>
                <w:lang w:val="en-US" w:eastAsia="en-US"/>
              </w:rPr>
              <w:t>3</w:t>
            </w:r>
          </w:p>
        </w:tc>
        <w:tc>
          <w:tcPr>
            <w:tcW w:w="1126" w:type="dxa"/>
            <w:tcBorders>
              <w:tl2br w:val="nil"/>
              <w:tr2bl w:val="nil"/>
            </w:tcBorders>
            <w:shd w:val="clear" w:color="auto" w:fill="auto"/>
            <w:vAlign w:val="center"/>
          </w:tcPr>
          <w:p w14:paraId="64D38C0F">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土壤水分保持参数</w:t>
            </w:r>
          </w:p>
          <w:p w14:paraId="007471E4">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1/cm</w:t>
            </w:r>
          </w:p>
        </w:tc>
        <w:tc>
          <w:tcPr>
            <w:tcW w:w="1284" w:type="dxa"/>
            <w:tcBorders>
              <w:tl2br w:val="nil"/>
              <w:tr2bl w:val="nil"/>
            </w:tcBorders>
            <w:shd w:val="clear" w:color="auto" w:fill="auto"/>
            <w:vAlign w:val="center"/>
          </w:tcPr>
          <w:p w14:paraId="1313B0DB">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饱和导水率</w:t>
            </w:r>
            <w:r>
              <w:rPr>
                <w:rFonts w:hint="default"/>
                <w:snapToGrid w:val="0"/>
                <w:highlight w:val="none"/>
                <w:lang w:val="en-US" w:eastAsia="en-US"/>
              </w:rPr>
              <w:t>cm/days</w:t>
            </w:r>
          </w:p>
        </w:tc>
        <w:tc>
          <w:tcPr>
            <w:tcW w:w="1448" w:type="dxa"/>
            <w:tcBorders>
              <w:tl2br w:val="nil"/>
              <w:tr2bl w:val="nil"/>
            </w:tcBorders>
            <w:shd w:val="clear" w:color="auto" w:fill="auto"/>
            <w:vAlign w:val="center"/>
          </w:tcPr>
          <w:p w14:paraId="70769BC5">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电导率函数中的弯曲参数</w:t>
            </w:r>
          </w:p>
        </w:tc>
      </w:tr>
      <w:tr w14:paraId="4F4FD75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313" w:hRule="atLeast"/>
          <w:jc w:val="center"/>
        </w:trPr>
        <w:tc>
          <w:tcPr>
            <w:tcW w:w="1138" w:type="dxa"/>
            <w:tcBorders>
              <w:tl2br w:val="nil"/>
              <w:tr2bl w:val="nil"/>
            </w:tcBorders>
            <w:shd w:val="clear" w:color="auto" w:fill="auto"/>
            <w:vAlign w:val="center"/>
          </w:tcPr>
          <w:p w14:paraId="49C03BBB">
            <w:pPr>
              <w:pStyle w:val="8"/>
              <w:suppressLineNumbers w:val="0"/>
              <w:bidi w:val="0"/>
              <w:spacing w:before="0" w:beforeAutospacing="0" w:after="0" w:afterAutospacing="0"/>
              <w:ind w:left="0" w:right="0"/>
              <w:rPr>
                <w:rFonts w:hint="default"/>
                <w:snapToGrid w:val="0"/>
                <w:highlight w:val="none"/>
                <w:lang w:val="en-US" w:eastAsia="zh-CN"/>
              </w:rPr>
            </w:pPr>
            <w:r>
              <w:rPr>
                <w:rFonts w:hint="default"/>
                <w:snapToGrid w:val="0"/>
                <w:highlight w:val="none"/>
                <w:lang w:val="en-US" w:eastAsia="en-US"/>
              </w:rPr>
              <w:t>0-</w:t>
            </w:r>
            <w:r>
              <w:rPr>
                <w:rFonts w:hint="eastAsia"/>
                <w:snapToGrid w:val="0"/>
                <w:highlight w:val="none"/>
                <w:lang w:val="en-US" w:eastAsia="zh-CN"/>
              </w:rPr>
              <w:t>120</w:t>
            </w:r>
          </w:p>
        </w:tc>
        <w:tc>
          <w:tcPr>
            <w:tcW w:w="929" w:type="dxa"/>
            <w:tcBorders>
              <w:tl2br w:val="nil"/>
              <w:tr2bl w:val="nil"/>
            </w:tcBorders>
            <w:shd w:val="clear" w:color="auto" w:fill="auto"/>
            <w:vAlign w:val="center"/>
          </w:tcPr>
          <w:p w14:paraId="7950F1CA">
            <w:pPr>
              <w:pStyle w:val="8"/>
              <w:suppressLineNumbers w:val="0"/>
              <w:bidi w:val="0"/>
              <w:spacing w:before="0" w:beforeAutospacing="0" w:after="0" w:afterAutospacing="0"/>
              <w:ind w:left="0" w:right="0"/>
              <w:rPr>
                <w:rFonts w:hint="default"/>
                <w:snapToGrid w:val="0"/>
                <w:highlight w:val="none"/>
                <w:lang w:eastAsia="en-US"/>
              </w:rPr>
            </w:pPr>
            <w:r>
              <w:rPr>
                <w:rFonts w:hint="eastAsia"/>
                <w:snapToGrid w:val="0"/>
                <w:highlight w:val="none"/>
                <w:lang w:val="en-US" w:eastAsia="en-US"/>
              </w:rPr>
              <w:t>壤土</w:t>
            </w:r>
          </w:p>
        </w:tc>
        <w:tc>
          <w:tcPr>
            <w:tcW w:w="1285" w:type="dxa"/>
            <w:tcBorders>
              <w:tl2br w:val="nil"/>
              <w:tr2bl w:val="nil"/>
            </w:tcBorders>
            <w:shd w:val="clear" w:color="auto" w:fill="auto"/>
            <w:vAlign w:val="center"/>
          </w:tcPr>
          <w:p w14:paraId="072A21D2">
            <w:pPr>
              <w:pStyle w:val="8"/>
              <w:suppressLineNumbers w:val="0"/>
              <w:bidi w:val="0"/>
              <w:spacing w:before="0" w:beforeAutospacing="0" w:after="0" w:afterAutospacing="0"/>
              <w:ind w:left="0" w:right="0"/>
              <w:rPr>
                <w:rFonts w:hint="default"/>
                <w:snapToGrid w:val="0"/>
                <w:highlight w:val="none"/>
                <w:lang w:val="en-US" w:eastAsia="zh-CN"/>
              </w:rPr>
            </w:pPr>
            <w:r>
              <w:rPr>
                <w:rFonts w:hint="default"/>
                <w:snapToGrid w:val="0"/>
                <w:highlight w:val="none"/>
                <w:lang w:val="en-US" w:eastAsia="en-US"/>
              </w:rPr>
              <w:t>0.0</w:t>
            </w:r>
            <w:r>
              <w:rPr>
                <w:rFonts w:hint="eastAsia"/>
                <w:snapToGrid w:val="0"/>
                <w:highlight w:val="none"/>
                <w:lang w:val="en-US" w:eastAsia="zh-CN"/>
              </w:rPr>
              <w:t>78</w:t>
            </w:r>
          </w:p>
        </w:tc>
        <w:tc>
          <w:tcPr>
            <w:tcW w:w="1287" w:type="dxa"/>
            <w:tcBorders>
              <w:tl2br w:val="nil"/>
              <w:tr2bl w:val="nil"/>
            </w:tcBorders>
            <w:shd w:val="clear" w:color="auto" w:fill="auto"/>
            <w:vAlign w:val="center"/>
          </w:tcPr>
          <w:p w14:paraId="38941B19">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0.43</w:t>
            </w:r>
          </w:p>
        </w:tc>
        <w:tc>
          <w:tcPr>
            <w:tcW w:w="1126" w:type="dxa"/>
            <w:tcBorders>
              <w:tl2br w:val="nil"/>
              <w:tr2bl w:val="nil"/>
            </w:tcBorders>
            <w:shd w:val="clear" w:color="auto" w:fill="auto"/>
            <w:vAlign w:val="center"/>
          </w:tcPr>
          <w:p w14:paraId="331048E3">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0.0</w:t>
            </w:r>
            <w:r>
              <w:rPr>
                <w:rFonts w:hint="eastAsia"/>
                <w:snapToGrid w:val="0"/>
                <w:highlight w:val="none"/>
                <w:lang w:val="en-US" w:eastAsia="zh-CN"/>
              </w:rPr>
              <w:t>36</w:t>
            </w:r>
          </w:p>
        </w:tc>
        <w:tc>
          <w:tcPr>
            <w:tcW w:w="1284" w:type="dxa"/>
            <w:tcBorders>
              <w:tl2br w:val="nil"/>
              <w:tr2bl w:val="nil"/>
            </w:tcBorders>
            <w:shd w:val="clear" w:color="auto" w:fill="auto"/>
            <w:vAlign w:val="center"/>
          </w:tcPr>
          <w:p w14:paraId="17FB2C9E">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24.96</w:t>
            </w:r>
          </w:p>
        </w:tc>
        <w:tc>
          <w:tcPr>
            <w:tcW w:w="1448" w:type="dxa"/>
            <w:tcBorders>
              <w:tl2br w:val="nil"/>
              <w:tr2bl w:val="nil"/>
            </w:tcBorders>
            <w:shd w:val="clear" w:color="auto" w:fill="auto"/>
            <w:vAlign w:val="center"/>
          </w:tcPr>
          <w:p w14:paraId="7670144E">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0.5</w:t>
            </w:r>
          </w:p>
        </w:tc>
      </w:tr>
    </w:tbl>
    <w:p w14:paraId="0E6A9A37">
      <w:pPr>
        <w:bidi w:val="0"/>
        <w:rPr>
          <w:highlight w:val="none"/>
        </w:rPr>
      </w:pPr>
      <w:r>
        <w:rPr>
          <w:rFonts w:hint="eastAsia"/>
          <w:highlight w:val="none"/>
          <w:lang w:val="en-US" w:eastAsia="zh-CN"/>
        </w:rPr>
        <w:t>溶质运移参数见下表。</w:t>
      </w:r>
    </w:p>
    <w:p w14:paraId="768E9943">
      <w:pPr>
        <w:pStyle w:val="40"/>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jc w:val="center"/>
        <w:textAlignment w:val="auto"/>
        <w:outlineLvl w:val="9"/>
        <w:rPr>
          <w:highlight w:val="none"/>
        </w:rPr>
      </w:pPr>
      <w:r>
        <w:rPr>
          <w:rFonts w:hint="eastAsia" w:ascii="宋体" w:hAnsi="宋体" w:eastAsia="宋体" w:cs="宋体"/>
          <w:b/>
          <w:bCs/>
          <w:kern w:val="0"/>
          <w:sz w:val="24"/>
          <w:szCs w:val="24"/>
          <w:highlight w:val="none"/>
          <w:lang w:val="en-US" w:eastAsia="zh-CN" w:bidi="ar"/>
        </w:rPr>
        <w:t>表</w:t>
      </w:r>
      <w:r>
        <w:rPr>
          <w:rFonts w:hint="default" w:ascii="Times New Roman" w:hAnsi="宋体" w:eastAsia="Times New Roman" w:cs="宋体"/>
          <w:b/>
          <w:bCs/>
          <w:kern w:val="0"/>
          <w:sz w:val="24"/>
          <w:szCs w:val="24"/>
          <w:highlight w:val="none"/>
          <w:lang w:val="en-US" w:eastAsia="zh-CN" w:bidi="ar"/>
        </w:rPr>
        <w:t>5-2-</w:t>
      </w:r>
      <w:r>
        <w:rPr>
          <w:rFonts w:hint="eastAsia" w:hAnsi="宋体" w:eastAsia="Times New Roman" w:cs="宋体"/>
          <w:b/>
          <w:bCs/>
          <w:kern w:val="0"/>
          <w:sz w:val="24"/>
          <w:szCs w:val="24"/>
          <w:highlight w:val="none"/>
          <w:lang w:val="en-US" w:eastAsia="zh-CN" w:bidi="ar"/>
        </w:rPr>
        <w:t>24</w:t>
      </w:r>
      <w:r>
        <w:rPr>
          <w:rFonts w:hint="eastAsia" w:ascii="宋体" w:hAnsi="宋体" w:eastAsia="宋体" w:cs="宋体"/>
          <w:b/>
          <w:bCs/>
          <w:kern w:val="0"/>
          <w:sz w:val="24"/>
          <w:szCs w:val="24"/>
          <w:highlight w:val="none"/>
          <w:lang w:val="en-US" w:eastAsia="zh-CN" w:bidi="ar"/>
        </w:rPr>
        <w:t>溶质运移相关一览表</w:t>
      </w:r>
    </w:p>
    <w:tbl>
      <w:tblPr>
        <w:tblStyle w:val="739"/>
        <w:tblW w:w="8503" w:type="dxa"/>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shd w:val="clear" w:color="auto" w:fill="auto"/>
        <w:tblLayout w:type="fixed"/>
        <w:tblCellMar>
          <w:top w:w="0" w:type="dxa"/>
          <w:left w:w="0" w:type="dxa"/>
          <w:bottom w:w="0" w:type="dxa"/>
          <w:right w:w="0" w:type="dxa"/>
        </w:tblCellMar>
      </w:tblPr>
      <w:tblGrid>
        <w:gridCol w:w="1013"/>
        <w:gridCol w:w="723"/>
        <w:gridCol w:w="815"/>
        <w:gridCol w:w="901"/>
        <w:gridCol w:w="764"/>
        <w:gridCol w:w="796"/>
        <w:gridCol w:w="967"/>
        <w:gridCol w:w="1258"/>
        <w:gridCol w:w="1266"/>
      </w:tblGrid>
      <w:tr w14:paraId="36D30BEB">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shd w:val="clear" w:color="auto" w:fill="auto"/>
          <w:tblCellMar>
            <w:top w:w="0" w:type="dxa"/>
            <w:left w:w="0" w:type="dxa"/>
            <w:bottom w:w="0" w:type="dxa"/>
            <w:right w:w="0" w:type="dxa"/>
          </w:tblCellMar>
        </w:tblPrEx>
        <w:trPr>
          <w:trHeight w:val="1135" w:hRule="atLeast"/>
          <w:jc w:val="center"/>
        </w:trPr>
        <w:tc>
          <w:tcPr>
            <w:tcW w:w="1013" w:type="dxa"/>
            <w:tcBorders>
              <w:top w:val="single" w:color="000000" w:sz="12" w:space="0"/>
              <w:left w:val="nil"/>
              <w:bottom w:val="single" w:color="000000" w:sz="2" w:space="0"/>
              <w:right w:val="single" w:color="000000" w:sz="2" w:space="0"/>
            </w:tcBorders>
            <w:shd w:val="clear" w:color="auto" w:fill="auto"/>
            <w:vAlign w:val="center"/>
          </w:tcPr>
          <w:p w14:paraId="1B0BEB17">
            <w:pPr>
              <w:pStyle w:val="8"/>
              <w:suppressLineNumbers w:val="0"/>
              <w:bidi w:val="0"/>
              <w:spacing w:before="0" w:beforeAutospacing="0" w:after="0" w:afterAutospacing="0"/>
              <w:ind w:left="0" w:right="0"/>
              <w:rPr>
                <w:rFonts w:hint="default"/>
                <w:snapToGrid w:val="0"/>
                <w:highlight w:val="none"/>
                <w:lang w:eastAsia="en-US"/>
              </w:rPr>
            </w:pPr>
          </w:p>
          <w:p w14:paraId="6B25B40F">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土壤层次（cm）</w:t>
            </w:r>
          </w:p>
        </w:tc>
        <w:tc>
          <w:tcPr>
            <w:tcW w:w="723" w:type="dxa"/>
            <w:tcBorders>
              <w:top w:val="single" w:color="000000" w:sz="12" w:space="0"/>
              <w:left w:val="single" w:color="000000" w:sz="2" w:space="0"/>
              <w:bottom w:val="single" w:color="000000" w:sz="2" w:space="0"/>
              <w:right w:val="single" w:color="000000" w:sz="2" w:space="0"/>
            </w:tcBorders>
            <w:shd w:val="clear" w:color="auto" w:fill="auto"/>
            <w:vAlign w:val="center"/>
          </w:tcPr>
          <w:p w14:paraId="46AF23EB">
            <w:pPr>
              <w:pStyle w:val="8"/>
              <w:suppressLineNumbers w:val="0"/>
              <w:bidi w:val="0"/>
              <w:spacing w:before="0" w:beforeAutospacing="0" w:after="0" w:afterAutospacing="0"/>
              <w:ind w:left="0" w:right="0"/>
              <w:rPr>
                <w:rFonts w:hint="default"/>
                <w:snapToGrid w:val="0"/>
                <w:highlight w:val="none"/>
                <w:lang w:eastAsia="en-US"/>
              </w:rPr>
            </w:pPr>
          </w:p>
          <w:p w14:paraId="7907F624">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土壤类型</w:t>
            </w:r>
          </w:p>
        </w:tc>
        <w:tc>
          <w:tcPr>
            <w:tcW w:w="815" w:type="dxa"/>
            <w:tcBorders>
              <w:top w:val="single" w:color="000000" w:sz="12" w:space="0"/>
              <w:left w:val="single" w:color="000000" w:sz="2" w:space="0"/>
              <w:bottom w:val="single" w:color="000000" w:sz="2" w:space="0"/>
              <w:right w:val="single" w:color="000000" w:sz="2" w:space="0"/>
            </w:tcBorders>
            <w:shd w:val="clear" w:color="auto" w:fill="auto"/>
            <w:vAlign w:val="center"/>
          </w:tcPr>
          <w:p w14:paraId="5625DA2B">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污染物浓度</w:t>
            </w:r>
          </w:p>
          <w:p w14:paraId="1EC7C234">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mg/L</w:t>
            </w:r>
          </w:p>
        </w:tc>
        <w:tc>
          <w:tcPr>
            <w:tcW w:w="901" w:type="dxa"/>
            <w:tcBorders>
              <w:top w:val="single" w:color="000000" w:sz="12" w:space="0"/>
              <w:left w:val="single" w:color="000000" w:sz="2" w:space="0"/>
              <w:bottom w:val="single" w:color="000000" w:sz="2" w:space="0"/>
              <w:right w:val="single" w:color="000000" w:sz="2" w:space="0"/>
            </w:tcBorders>
            <w:shd w:val="clear" w:color="auto" w:fill="auto"/>
            <w:vAlign w:val="center"/>
          </w:tcPr>
          <w:p w14:paraId="1DF62827">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土壤密度</w:t>
            </w:r>
            <w:r>
              <w:rPr>
                <w:rFonts w:hint="eastAsia"/>
                <w:snapToGrid w:val="0"/>
                <w:highlight w:val="none"/>
                <w:lang w:val="en-US" w:eastAsia="zh-CN"/>
              </w:rPr>
              <w:t>m</w:t>
            </w:r>
            <w:r>
              <w:rPr>
                <w:rFonts w:hint="default"/>
                <w:snapToGrid w:val="0"/>
                <w:highlight w:val="none"/>
                <w:lang w:val="en-US" w:eastAsia="en-US"/>
              </w:rPr>
              <w:t>g/cm</w:t>
            </w:r>
            <w:r>
              <w:rPr>
                <w:rFonts w:hint="default"/>
                <w:snapToGrid w:val="0"/>
                <w:highlight w:val="none"/>
                <w:vertAlign w:val="superscript"/>
                <w:lang w:val="en-US" w:eastAsia="en-US"/>
              </w:rPr>
              <w:t>3</w:t>
            </w:r>
          </w:p>
        </w:tc>
        <w:tc>
          <w:tcPr>
            <w:tcW w:w="764" w:type="dxa"/>
            <w:tcBorders>
              <w:top w:val="single" w:color="000000" w:sz="12" w:space="0"/>
              <w:left w:val="single" w:color="000000" w:sz="2" w:space="0"/>
              <w:bottom w:val="single" w:color="000000" w:sz="2" w:space="0"/>
              <w:right w:val="single" w:color="000000" w:sz="2" w:space="0"/>
            </w:tcBorders>
            <w:shd w:val="clear" w:color="auto" w:fill="auto"/>
            <w:vAlign w:val="center"/>
          </w:tcPr>
          <w:p w14:paraId="3C384207">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纵向弥散系数</w:t>
            </w:r>
          </w:p>
          <w:p w14:paraId="220FAAD3">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cm</w:t>
            </w:r>
          </w:p>
        </w:tc>
        <w:tc>
          <w:tcPr>
            <w:tcW w:w="796" w:type="dxa"/>
            <w:tcBorders>
              <w:top w:val="single" w:color="000000" w:sz="12" w:space="0"/>
              <w:left w:val="single" w:color="000000" w:sz="2" w:space="0"/>
              <w:bottom w:val="single" w:color="000000" w:sz="2" w:space="0"/>
              <w:right w:val="single" w:color="000000" w:sz="2" w:space="0"/>
            </w:tcBorders>
            <w:shd w:val="clear" w:color="auto" w:fill="auto"/>
            <w:vAlign w:val="center"/>
          </w:tcPr>
          <w:p w14:paraId="4EA0B4D3">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扩散系数cm</w:t>
            </w:r>
            <w:r>
              <w:rPr>
                <w:rFonts w:hint="default"/>
                <w:snapToGrid w:val="0"/>
                <w:highlight w:val="none"/>
                <w:vertAlign w:val="superscript"/>
                <w:lang w:val="en-US" w:eastAsia="en-US"/>
              </w:rPr>
              <w:t>2</w:t>
            </w:r>
            <w:r>
              <w:rPr>
                <w:rFonts w:hint="default"/>
                <w:snapToGrid w:val="0"/>
                <w:highlight w:val="none"/>
                <w:lang w:val="en-US" w:eastAsia="en-US"/>
              </w:rPr>
              <w:t>/d</w:t>
            </w:r>
          </w:p>
        </w:tc>
        <w:tc>
          <w:tcPr>
            <w:tcW w:w="967" w:type="dxa"/>
            <w:tcBorders>
              <w:top w:val="single" w:color="000000" w:sz="12" w:space="0"/>
              <w:left w:val="single" w:color="000000" w:sz="2" w:space="0"/>
              <w:bottom w:val="single" w:color="000000" w:sz="2" w:space="0"/>
              <w:right w:val="single" w:color="000000" w:sz="2" w:space="0"/>
            </w:tcBorders>
            <w:shd w:val="clear" w:color="auto" w:fill="auto"/>
            <w:vAlign w:val="center"/>
          </w:tcPr>
          <w:p w14:paraId="645E585D">
            <w:pPr>
              <w:pStyle w:val="8"/>
              <w:suppressLineNumbers w:val="0"/>
              <w:bidi w:val="0"/>
              <w:spacing w:before="0" w:beforeAutospacing="0" w:after="0" w:afterAutospacing="0"/>
              <w:ind w:left="0" w:right="0"/>
              <w:rPr>
                <w:rFonts w:hint="default"/>
                <w:snapToGrid w:val="0"/>
                <w:highlight w:val="none"/>
                <w:lang w:eastAsia="en-US"/>
              </w:rPr>
            </w:pPr>
          </w:p>
          <w:p w14:paraId="03EA4F0B">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Kdm</w:t>
            </w:r>
            <w:r>
              <w:rPr>
                <w:rFonts w:hint="default"/>
                <w:snapToGrid w:val="0"/>
                <w:highlight w:val="none"/>
                <w:vertAlign w:val="superscript"/>
                <w:lang w:val="en-US" w:eastAsia="en-US"/>
              </w:rPr>
              <w:t>3</w:t>
            </w:r>
            <w:r>
              <w:rPr>
                <w:rFonts w:hint="default"/>
                <w:snapToGrid w:val="0"/>
                <w:highlight w:val="none"/>
                <w:lang w:val="en-US" w:eastAsia="en-US"/>
              </w:rPr>
              <w:t>/g</w:t>
            </w:r>
          </w:p>
        </w:tc>
        <w:tc>
          <w:tcPr>
            <w:tcW w:w="1258" w:type="dxa"/>
            <w:tcBorders>
              <w:top w:val="single" w:color="000000" w:sz="12" w:space="0"/>
              <w:left w:val="single" w:color="000000" w:sz="2" w:space="0"/>
              <w:bottom w:val="single" w:color="000000" w:sz="2" w:space="0"/>
              <w:right w:val="single" w:color="000000" w:sz="2" w:space="0"/>
            </w:tcBorders>
            <w:shd w:val="clear" w:color="auto" w:fill="auto"/>
            <w:vAlign w:val="center"/>
          </w:tcPr>
          <w:p w14:paraId="7D52FF8E">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在空气中的扩散系数</w:t>
            </w:r>
          </w:p>
          <w:p w14:paraId="18D01DBB">
            <w:pPr>
              <w:pStyle w:val="8"/>
              <w:suppressLineNumbers w:val="0"/>
              <w:bidi w:val="0"/>
              <w:spacing w:before="0" w:beforeAutospacing="0" w:after="0" w:afterAutospacing="0"/>
              <w:ind w:left="0" w:right="0"/>
              <w:rPr>
                <w:rFonts w:hint="eastAsia" w:eastAsia="宋体"/>
                <w:snapToGrid w:val="0"/>
                <w:highlight w:val="none"/>
                <w:lang w:eastAsia="zh-CN"/>
              </w:rPr>
            </w:pPr>
            <w:r>
              <w:rPr>
                <w:rFonts w:hint="eastAsia"/>
                <w:snapToGrid w:val="0"/>
                <w:highlight w:val="none"/>
                <w:lang w:val="en-US" w:eastAsia="zh-CN"/>
              </w:rPr>
              <w:t>（</w:t>
            </w:r>
            <w:r>
              <w:rPr>
                <w:rFonts w:hint="default"/>
                <w:snapToGrid w:val="0"/>
                <w:highlight w:val="none"/>
                <w:lang w:val="en-US" w:eastAsia="en-US"/>
              </w:rPr>
              <w:t>cm</w:t>
            </w:r>
            <w:r>
              <w:rPr>
                <w:rFonts w:hint="default"/>
                <w:snapToGrid w:val="0"/>
                <w:highlight w:val="none"/>
                <w:vertAlign w:val="superscript"/>
                <w:lang w:val="en-US" w:eastAsia="en-US"/>
              </w:rPr>
              <w:t>2</w:t>
            </w:r>
            <w:r>
              <w:rPr>
                <w:rFonts w:hint="default"/>
                <w:snapToGrid w:val="0"/>
                <w:highlight w:val="none"/>
                <w:lang w:val="en-US" w:eastAsia="en-US"/>
              </w:rPr>
              <w:t>/days</w:t>
            </w:r>
            <w:r>
              <w:rPr>
                <w:rFonts w:hint="eastAsia"/>
                <w:snapToGrid w:val="0"/>
                <w:highlight w:val="none"/>
                <w:lang w:val="en-US" w:eastAsia="zh-CN"/>
              </w:rPr>
              <w:t>）</w:t>
            </w:r>
          </w:p>
        </w:tc>
        <w:tc>
          <w:tcPr>
            <w:tcW w:w="1266" w:type="dxa"/>
            <w:tcBorders>
              <w:top w:val="single" w:color="000000" w:sz="12" w:space="0"/>
              <w:left w:val="single" w:color="000000" w:sz="2" w:space="0"/>
              <w:bottom w:val="single" w:color="000000" w:sz="2" w:space="0"/>
              <w:right w:val="nil"/>
            </w:tcBorders>
            <w:shd w:val="clear" w:color="auto" w:fill="auto"/>
            <w:vAlign w:val="center"/>
          </w:tcPr>
          <w:p w14:paraId="0204B634">
            <w:pPr>
              <w:pStyle w:val="8"/>
              <w:suppressLineNumbers w:val="0"/>
              <w:bidi w:val="0"/>
              <w:spacing w:before="0" w:beforeAutospacing="0" w:after="0" w:afterAutospacing="0"/>
              <w:ind w:left="0" w:right="0"/>
              <w:rPr>
                <w:rFonts w:hint="eastAsia" w:eastAsia="宋体"/>
                <w:snapToGrid w:val="0"/>
                <w:highlight w:val="none"/>
                <w:lang w:eastAsia="zh-CN"/>
              </w:rPr>
            </w:pPr>
            <w:r>
              <w:rPr>
                <w:rFonts w:hint="default"/>
                <w:snapToGrid w:val="0"/>
                <w:highlight w:val="none"/>
                <w:lang w:val="en-US" w:eastAsia="en-US"/>
              </w:rPr>
              <w:t>在水中的扩散系数</w:t>
            </w:r>
            <w:r>
              <w:rPr>
                <w:rFonts w:hint="eastAsia"/>
                <w:snapToGrid w:val="0"/>
                <w:highlight w:val="none"/>
                <w:lang w:val="en-US" w:eastAsia="zh-CN"/>
              </w:rPr>
              <w:t>（</w:t>
            </w:r>
            <w:r>
              <w:rPr>
                <w:rFonts w:hint="default"/>
                <w:snapToGrid w:val="0"/>
                <w:highlight w:val="none"/>
                <w:lang w:val="en-US" w:eastAsia="en-US"/>
              </w:rPr>
              <w:t>cm/days</w:t>
            </w:r>
            <w:r>
              <w:rPr>
                <w:rFonts w:hint="eastAsia"/>
                <w:snapToGrid w:val="0"/>
                <w:highlight w:val="none"/>
                <w:lang w:val="en-US" w:eastAsia="zh-CN"/>
              </w:rPr>
              <w:t>）</w:t>
            </w:r>
          </w:p>
        </w:tc>
      </w:tr>
      <w:tr w14:paraId="4BBBC43C">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shd w:val="clear" w:color="auto" w:fill="auto"/>
          <w:tblCellMar>
            <w:top w:w="0" w:type="dxa"/>
            <w:left w:w="0" w:type="dxa"/>
            <w:bottom w:w="0" w:type="dxa"/>
            <w:right w:w="0" w:type="dxa"/>
          </w:tblCellMar>
        </w:tblPrEx>
        <w:trPr>
          <w:trHeight w:val="630" w:hRule="atLeast"/>
          <w:jc w:val="center"/>
        </w:trPr>
        <w:tc>
          <w:tcPr>
            <w:tcW w:w="1013" w:type="dxa"/>
            <w:tcBorders>
              <w:top w:val="single" w:color="000000" w:sz="2" w:space="0"/>
              <w:left w:val="nil"/>
              <w:bottom w:val="single" w:color="000000" w:sz="12" w:space="0"/>
              <w:right w:val="single" w:color="000000" w:sz="2" w:space="0"/>
            </w:tcBorders>
            <w:shd w:val="clear" w:color="auto" w:fill="auto"/>
            <w:vAlign w:val="center"/>
          </w:tcPr>
          <w:p w14:paraId="195AF279">
            <w:pPr>
              <w:pStyle w:val="8"/>
              <w:suppressLineNumbers w:val="0"/>
              <w:bidi w:val="0"/>
              <w:spacing w:before="0" w:beforeAutospacing="0" w:after="0" w:afterAutospacing="0"/>
              <w:ind w:left="0" w:right="0"/>
              <w:rPr>
                <w:rFonts w:hint="default"/>
                <w:snapToGrid w:val="0"/>
                <w:highlight w:val="none"/>
                <w:lang w:val="en-US" w:eastAsia="zh-CN"/>
              </w:rPr>
            </w:pPr>
            <w:r>
              <w:rPr>
                <w:rFonts w:hint="default"/>
                <w:snapToGrid w:val="0"/>
                <w:highlight w:val="none"/>
                <w:lang w:val="en-US" w:eastAsia="en-US"/>
              </w:rPr>
              <w:t>0-</w:t>
            </w:r>
            <w:r>
              <w:rPr>
                <w:rFonts w:hint="eastAsia"/>
                <w:snapToGrid w:val="0"/>
                <w:highlight w:val="none"/>
                <w:lang w:val="en-US" w:eastAsia="zh-CN"/>
              </w:rPr>
              <w:t>120</w:t>
            </w:r>
          </w:p>
        </w:tc>
        <w:tc>
          <w:tcPr>
            <w:tcW w:w="723" w:type="dxa"/>
            <w:tcBorders>
              <w:top w:val="single" w:color="000000" w:sz="2" w:space="0"/>
              <w:left w:val="single" w:color="000000" w:sz="2" w:space="0"/>
              <w:bottom w:val="single" w:color="000000" w:sz="12" w:space="0"/>
              <w:right w:val="single" w:color="000000" w:sz="2" w:space="0"/>
            </w:tcBorders>
            <w:shd w:val="clear" w:color="auto" w:fill="auto"/>
            <w:vAlign w:val="center"/>
          </w:tcPr>
          <w:p w14:paraId="429B5096">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壤土</w:t>
            </w:r>
          </w:p>
        </w:tc>
        <w:tc>
          <w:tcPr>
            <w:tcW w:w="815" w:type="dxa"/>
            <w:tcBorders>
              <w:top w:val="single" w:color="000000" w:sz="2" w:space="0"/>
              <w:left w:val="single" w:color="000000" w:sz="2" w:space="0"/>
              <w:bottom w:val="single" w:color="000000" w:sz="12" w:space="0"/>
              <w:right w:val="single" w:color="000000" w:sz="2" w:space="0"/>
            </w:tcBorders>
            <w:shd w:val="clear" w:color="auto" w:fill="auto"/>
            <w:vAlign w:val="center"/>
          </w:tcPr>
          <w:p w14:paraId="6DCB3CF3">
            <w:pPr>
              <w:pStyle w:val="8"/>
              <w:suppressLineNumbers w:val="0"/>
              <w:bidi w:val="0"/>
              <w:spacing w:before="0" w:beforeAutospacing="0" w:after="0" w:afterAutospacing="0"/>
              <w:ind w:left="0" w:right="0"/>
              <w:rPr>
                <w:rFonts w:hint="default" w:eastAsia="宋体"/>
                <w:snapToGrid w:val="0"/>
                <w:highlight w:val="none"/>
                <w:lang w:val="en-US" w:eastAsia="zh-CN"/>
              </w:rPr>
            </w:pPr>
            <w:r>
              <w:rPr>
                <w:rFonts w:hint="default"/>
                <w:snapToGrid w:val="0"/>
                <w:highlight w:val="none"/>
              </w:rPr>
              <w:t>2765693</w:t>
            </w:r>
            <w:r>
              <w:rPr>
                <w:rFonts w:hint="eastAsia"/>
                <w:snapToGrid w:val="0"/>
                <w:highlight w:val="none"/>
                <w:lang w:val="en-US" w:eastAsia="zh-CN"/>
              </w:rPr>
              <w:t>00</w:t>
            </w:r>
          </w:p>
        </w:tc>
        <w:tc>
          <w:tcPr>
            <w:tcW w:w="901" w:type="dxa"/>
            <w:tcBorders>
              <w:top w:val="single" w:color="000000" w:sz="2" w:space="0"/>
              <w:left w:val="single" w:color="000000" w:sz="2" w:space="0"/>
              <w:bottom w:val="single" w:color="000000" w:sz="12" w:space="0"/>
              <w:right w:val="single" w:color="000000" w:sz="2" w:space="0"/>
            </w:tcBorders>
            <w:shd w:val="clear" w:color="auto" w:fill="auto"/>
            <w:vAlign w:val="center"/>
          </w:tcPr>
          <w:p w14:paraId="284A060B">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1.5</w:t>
            </w:r>
          </w:p>
        </w:tc>
        <w:tc>
          <w:tcPr>
            <w:tcW w:w="764" w:type="dxa"/>
            <w:tcBorders>
              <w:top w:val="single" w:color="000000" w:sz="2" w:space="0"/>
              <w:left w:val="single" w:color="000000" w:sz="2" w:space="0"/>
              <w:bottom w:val="single" w:color="000000" w:sz="12" w:space="0"/>
              <w:right w:val="single" w:color="000000" w:sz="2" w:space="0"/>
            </w:tcBorders>
            <w:shd w:val="clear" w:color="auto" w:fill="auto"/>
            <w:vAlign w:val="center"/>
          </w:tcPr>
          <w:p w14:paraId="40276E69">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10</w:t>
            </w:r>
          </w:p>
        </w:tc>
        <w:tc>
          <w:tcPr>
            <w:tcW w:w="796" w:type="dxa"/>
            <w:tcBorders>
              <w:top w:val="single" w:color="000000" w:sz="2" w:space="0"/>
              <w:left w:val="single" w:color="000000" w:sz="2" w:space="0"/>
              <w:bottom w:val="single" w:color="000000" w:sz="12" w:space="0"/>
              <w:right w:val="single" w:color="000000" w:sz="2" w:space="0"/>
            </w:tcBorders>
            <w:shd w:val="clear" w:color="auto" w:fill="auto"/>
            <w:vAlign w:val="center"/>
          </w:tcPr>
          <w:p w14:paraId="6A52F912">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11.52</w:t>
            </w:r>
          </w:p>
        </w:tc>
        <w:tc>
          <w:tcPr>
            <w:tcW w:w="967" w:type="dxa"/>
            <w:tcBorders>
              <w:top w:val="single" w:color="000000" w:sz="2" w:space="0"/>
              <w:left w:val="single" w:color="000000" w:sz="2" w:space="0"/>
              <w:bottom w:val="single" w:color="000000" w:sz="12" w:space="0"/>
              <w:right w:val="single" w:color="000000" w:sz="2" w:space="0"/>
            </w:tcBorders>
            <w:shd w:val="clear" w:color="auto" w:fill="auto"/>
            <w:vAlign w:val="center"/>
          </w:tcPr>
          <w:p w14:paraId="4ADC26EA">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0</w:t>
            </w:r>
          </w:p>
        </w:tc>
        <w:tc>
          <w:tcPr>
            <w:tcW w:w="1258" w:type="dxa"/>
            <w:tcBorders>
              <w:top w:val="single" w:color="000000" w:sz="2" w:space="0"/>
              <w:left w:val="single" w:color="000000" w:sz="2" w:space="0"/>
              <w:bottom w:val="single" w:color="000000" w:sz="12" w:space="0"/>
              <w:right w:val="single" w:color="000000" w:sz="2" w:space="0"/>
            </w:tcBorders>
            <w:shd w:val="clear" w:color="auto" w:fill="auto"/>
            <w:vAlign w:val="center"/>
          </w:tcPr>
          <w:p w14:paraId="5A1D58A8">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0</w:t>
            </w:r>
          </w:p>
        </w:tc>
        <w:tc>
          <w:tcPr>
            <w:tcW w:w="1266" w:type="dxa"/>
            <w:tcBorders>
              <w:top w:val="single" w:color="000000" w:sz="2" w:space="0"/>
              <w:left w:val="single" w:color="000000" w:sz="2" w:space="0"/>
              <w:bottom w:val="single" w:color="000000" w:sz="12" w:space="0"/>
              <w:right w:val="nil"/>
            </w:tcBorders>
            <w:shd w:val="clear" w:color="auto" w:fill="auto"/>
            <w:vAlign w:val="center"/>
          </w:tcPr>
          <w:p w14:paraId="672C5BB2">
            <w:pPr>
              <w:pStyle w:val="8"/>
              <w:suppressLineNumbers w:val="0"/>
              <w:bidi w:val="0"/>
              <w:spacing w:before="0" w:beforeAutospacing="0" w:after="0" w:afterAutospacing="0"/>
              <w:ind w:left="0" w:right="0"/>
              <w:rPr>
                <w:rFonts w:hint="default"/>
                <w:snapToGrid w:val="0"/>
                <w:highlight w:val="none"/>
                <w:lang w:eastAsia="en-US"/>
              </w:rPr>
            </w:pPr>
            <w:r>
              <w:rPr>
                <w:rFonts w:hint="default"/>
                <w:snapToGrid w:val="0"/>
                <w:highlight w:val="none"/>
                <w:lang w:val="en-US" w:eastAsia="en-US"/>
              </w:rPr>
              <w:t>0</w:t>
            </w:r>
          </w:p>
        </w:tc>
      </w:tr>
    </w:tbl>
    <w:p w14:paraId="51F08E1A">
      <w:pPr>
        <w:bidi w:val="0"/>
        <w:rPr>
          <w:rFonts w:hint="default"/>
          <w:highlight w:val="none"/>
          <w:lang w:val="en-US" w:eastAsia="zh-CN"/>
        </w:rPr>
      </w:pPr>
      <w:bookmarkStart w:id="485" w:name="_Toc19805"/>
      <w:r>
        <w:rPr>
          <w:rFonts w:hint="eastAsia"/>
          <w:szCs w:val="24"/>
          <w:highlight w:val="none"/>
          <w:lang w:val="en-US" w:eastAsia="zh-CN"/>
        </w:rPr>
        <w:t>5、</w:t>
      </w:r>
      <w:r>
        <w:rPr>
          <w:rFonts w:hint="eastAsia" w:ascii="宋体" w:hAnsi="宋体" w:eastAsia="宋体" w:cs="宋体"/>
          <w:spacing w:val="-2"/>
          <w:szCs w:val="22"/>
          <w:highlight w:val="none"/>
          <w:lang w:val="zh-CN" w:eastAsia="zh-CN" w:bidi="zh-CN"/>
        </w:rPr>
        <w:t>渗</w:t>
      </w:r>
      <w:r>
        <w:rPr>
          <w:rFonts w:hint="eastAsia"/>
          <w:highlight w:val="none"/>
          <w:lang w:val="zh-CN" w:eastAsia="zh-CN"/>
        </w:rPr>
        <w:t>漏情景预测结果与分析</w:t>
      </w:r>
      <w:bookmarkEnd w:id="485"/>
    </w:p>
    <w:p w14:paraId="1DD86158">
      <w:pPr>
        <w:bidi w:val="0"/>
        <w:rPr>
          <w:rFonts w:hint="default"/>
          <w:szCs w:val="24"/>
          <w:highlight w:val="none"/>
          <w:lang w:val="en-US" w:eastAsia="zh-CN"/>
        </w:rPr>
      </w:pPr>
      <w:r>
        <w:rPr>
          <w:rFonts w:hint="eastAsia"/>
          <w:highlight w:val="none"/>
          <w:lang w:val="en-US" w:eastAsia="zh-CN"/>
        </w:rPr>
        <w:t>模拟结</w:t>
      </w:r>
      <w:r>
        <w:rPr>
          <w:rFonts w:hint="eastAsia"/>
          <w:szCs w:val="24"/>
          <w:highlight w:val="none"/>
          <w:lang w:val="en-US" w:eastAsia="zh-CN"/>
        </w:rPr>
        <w:t>果</w:t>
      </w:r>
      <w:r>
        <w:rPr>
          <w:rFonts w:hint="eastAsia" w:ascii="宋体" w:hAnsi="宋体" w:eastAsia="宋体" w:cs="宋体"/>
          <w:szCs w:val="24"/>
          <w:highlight w:val="none"/>
          <w:lang w:val="en-US" w:eastAsia="zh-CN"/>
        </w:rPr>
        <w:t>见下图：</w:t>
      </w:r>
    </w:p>
    <w:p w14:paraId="33B6779A">
      <w:pPr>
        <w:pStyle w:val="40"/>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jc w:val="center"/>
        <w:textAlignment w:val="auto"/>
        <w:outlineLvl w:val="9"/>
        <w:rPr>
          <w:rFonts w:hint="default" w:ascii="Calibri" w:hAnsi="Calibri" w:eastAsia="宋体" w:cs="Times New Roman"/>
          <w:sz w:val="21"/>
          <w:szCs w:val="22"/>
          <w:highlight w:val="none"/>
          <w:lang w:val="en-US" w:eastAsia="zh-CN" w:bidi="ar"/>
        </w:rPr>
      </w:pPr>
      <w:r>
        <w:rPr>
          <w:rFonts w:hint="default" w:ascii="Calibri" w:hAnsi="Calibri" w:eastAsia="宋体" w:cs="Times New Roman"/>
          <w:sz w:val="21"/>
          <w:szCs w:val="22"/>
          <w:highlight w:val="none"/>
          <w:lang w:val="en-US" w:eastAsia="zh-CN" w:bidi="ar"/>
        </w:rPr>
        <w:drawing>
          <wp:inline distT="0" distB="0" distL="114300" distR="114300">
            <wp:extent cx="5252085" cy="2178685"/>
            <wp:effectExtent l="9525" t="9525" r="15240" b="21590"/>
            <wp:docPr id="41" name="图片 41" descr="折线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折线图"/>
                    <pic:cNvPicPr>
                      <a:picLocks noChangeAspect="1"/>
                    </pic:cNvPicPr>
                  </pic:nvPicPr>
                  <pic:blipFill>
                    <a:blip r:embed="rId101"/>
                    <a:stretch>
                      <a:fillRect/>
                    </a:stretch>
                  </pic:blipFill>
                  <pic:spPr>
                    <a:xfrm>
                      <a:off x="0" y="0"/>
                      <a:ext cx="5252085" cy="2178685"/>
                    </a:xfrm>
                    <a:prstGeom prst="rect">
                      <a:avLst/>
                    </a:prstGeom>
                    <a:ln>
                      <a:solidFill>
                        <a:schemeClr val="tx1"/>
                      </a:solidFill>
                    </a:ln>
                  </pic:spPr>
                </pic:pic>
              </a:graphicData>
            </a:graphic>
          </wp:inline>
        </w:drawing>
      </w:r>
    </w:p>
    <w:p w14:paraId="585C107E">
      <w:pPr>
        <w:pStyle w:val="40"/>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jc w:val="center"/>
        <w:textAlignment w:val="auto"/>
        <w:outlineLvl w:val="9"/>
        <w:rPr>
          <w:sz w:val="24"/>
          <w:szCs w:val="24"/>
          <w:highlight w:val="none"/>
        </w:rPr>
      </w:pPr>
      <w:r>
        <w:rPr>
          <w:rFonts w:hint="eastAsia" w:ascii="宋体" w:hAnsi="宋体" w:eastAsia="宋体" w:cs="宋体"/>
          <w:b/>
          <w:bCs/>
          <w:kern w:val="0"/>
          <w:sz w:val="24"/>
          <w:szCs w:val="24"/>
          <w:highlight w:val="none"/>
          <w:lang w:val="en-US" w:eastAsia="zh-CN" w:bidi="ar"/>
        </w:rPr>
        <w:t>图</w:t>
      </w:r>
      <w:r>
        <w:rPr>
          <w:rFonts w:hint="default" w:ascii="Times New Roman" w:hAnsi="宋体" w:eastAsia="Times New Roman" w:cs="宋体"/>
          <w:b/>
          <w:bCs/>
          <w:kern w:val="0"/>
          <w:sz w:val="24"/>
          <w:szCs w:val="24"/>
          <w:highlight w:val="none"/>
          <w:lang w:val="en-US" w:eastAsia="zh-CN" w:bidi="ar"/>
        </w:rPr>
        <w:t>5-2-</w:t>
      </w:r>
      <w:r>
        <w:rPr>
          <w:rFonts w:hint="eastAsia" w:hAnsi="宋体" w:eastAsia="Times New Roman" w:cs="宋体"/>
          <w:b/>
          <w:bCs/>
          <w:kern w:val="0"/>
          <w:sz w:val="24"/>
          <w:szCs w:val="24"/>
          <w:highlight w:val="none"/>
          <w:lang w:val="en-US" w:eastAsia="zh-CN" w:bidi="ar"/>
        </w:rPr>
        <w:t>4</w:t>
      </w:r>
      <w:r>
        <w:rPr>
          <w:rFonts w:hint="eastAsia" w:ascii="宋体" w:hAnsi="宋体" w:eastAsia="宋体" w:cs="宋体"/>
          <w:b/>
          <w:bCs/>
          <w:kern w:val="0"/>
          <w:sz w:val="24"/>
          <w:szCs w:val="24"/>
          <w:highlight w:val="none"/>
          <w:lang w:val="en-US" w:eastAsia="zh-CN" w:bidi="ar"/>
        </w:rPr>
        <w:t>连续渗漏</w:t>
      </w:r>
      <w:r>
        <w:rPr>
          <w:rFonts w:hint="default" w:ascii="Times New Roman" w:hAnsi="宋体" w:eastAsia="Times New Roman" w:cs="宋体"/>
          <w:b/>
          <w:bCs/>
          <w:kern w:val="0"/>
          <w:sz w:val="24"/>
          <w:szCs w:val="24"/>
          <w:highlight w:val="none"/>
          <w:lang w:val="en-US" w:eastAsia="zh-CN" w:bidi="ar"/>
        </w:rPr>
        <w:t>100d</w:t>
      </w:r>
      <w:r>
        <w:rPr>
          <w:rFonts w:hint="eastAsia" w:ascii="宋体" w:hAnsi="宋体" w:eastAsia="宋体" w:cs="宋体"/>
          <w:b/>
          <w:bCs/>
          <w:kern w:val="0"/>
          <w:sz w:val="24"/>
          <w:szCs w:val="24"/>
          <w:highlight w:val="none"/>
          <w:lang w:val="en-US" w:eastAsia="zh-CN" w:bidi="ar"/>
        </w:rPr>
        <w:t>、</w:t>
      </w:r>
      <w:r>
        <w:rPr>
          <w:rFonts w:hint="default" w:ascii="Times New Roman" w:hAnsi="宋体" w:eastAsia="Times New Roman" w:cs="宋体"/>
          <w:b/>
          <w:bCs/>
          <w:kern w:val="0"/>
          <w:sz w:val="24"/>
          <w:szCs w:val="24"/>
          <w:highlight w:val="none"/>
          <w:lang w:val="en-US" w:eastAsia="zh-CN" w:bidi="ar"/>
        </w:rPr>
        <w:t>1000d</w:t>
      </w:r>
      <w:r>
        <w:rPr>
          <w:rFonts w:hint="eastAsia" w:ascii="宋体" w:hAnsi="宋体" w:eastAsia="宋体" w:cs="宋体"/>
          <w:b/>
          <w:bCs/>
          <w:kern w:val="0"/>
          <w:sz w:val="24"/>
          <w:szCs w:val="24"/>
          <w:highlight w:val="none"/>
          <w:lang w:val="en-US" w:eastAsia="zh-CN" w:bidi="ar"/>
        </w:rPr>
        <w:t>垂向运移变化曲线图</w:t>
      </w:r>
    </w:p>
    <w:p w14:paraId="4509D99C">
      <w:pPr>
        <w:bidi w:val="0"/>
        <w:rPr>
          <w:rFonts w:hint="default"/>
          <w:highlight w:val="none"/>
          <w:lang w:val="en-US" w:eastAsia="zh-CN"/>
        </w:rPr>
      </w:pPr>
      <w:r>
        <w:rPr>
          <w:rFonts w:hint="default"/>
          <w:highlight w:val="none"/>
          <w:lang w:val="en-US" w:eastAsia="zh-CN"/>
        </w:rPr>
        <w:t>根据预测结果，在预测非正常工况下，渗漏发生100天后，</w:t>
      </w:r>
      <w:r>
        <w:rPr>
          <w:rFonts w:hint="eastAsia"/>
          <w:highlight w:val="none"/>
          <w:lang w:val="en-US" w:eastAsia="zh-CN"/>
        </w:rPr>
        <w:t>污染物垂直入渗深度约为37</w:t>
      </w:r>
      <w:r>
        <w:rPr>
          <w:rFonts w:hint="default"/>
          <w:highlight w:val="none"/>
          <w:lang w:val="en-US" w:eastAsia="zh-CN"/>
        </w:rPr>
        <w:t>cm</w:t>
      </w:r>
      <w:r>
        <w:rPr>
          <w:rFonts w:hint="eastAsia"/>
          <w:highlight w:val="none"/>
          <w:lang w:val="en-US" w:eastAsia="zh-CN"/>
        </w:rPr>
        <w:t>，</w:t>
      </w:r>
      <w:r>
        <w:rPr>
          <w:rFonts w:hint="default"/>
          <w:highlight w:val="none"/>
          <w:lang w:val="en-US" w:eastAsia="zh-CN"/>
        </w:rPr>
        <w:t>土壤中石油烃最大值为</w:t>
      </w:r>
      <w:r>
        <w:rPr>
          <w:rFonts w:hint="eastAsia"/>
          <w:highlight w:val="none"/>
          <w:lang w:val="en-US" w:eastAsia="zh-CN"/>
        </w:rPr>
        <w:t>1.51×10</w:t>
      </w:r>
      <w:r>
        <w:rPr>
          <w:rFonts w:hint="eastAsia"/>
          <w:highlight w:val="none"/>
          <w:vertAlign w:val="superscript"/>
          <w:lang w:val="en-US" w:eastAsia="zh-CN"/>
        </w:rPr>
        <w:t>5</w:t>
      </w:r>
      <w:r>
        <w:rPr>
          <w:rFonts w:hint="default"/>
          <w:highlight w:val="none"/>
          <w:lang w:val="en-US" w:eastAsia="zh-CN"/>
        </w:rPr>
        <w:t>mg/kg，渗漏发生1000天后，</w:t>
      </w:r>
      <w:r>
        <w:rPr>
          <w:rFonts w:hint="eastAsia"/>
          <w:highlight w:val="none"/>
          <w:lang w:val="en-US" w:eastAsia="zh-CN"/>
        </w:rPr>
        <w:t>污染物垂直入渗深度约为219</w:t>
      </w:r>
      <w:r>
        <w:rPr>
          <w:rFonts w:hint="default"/>
          <w:highlight w:val="none"/>
          <w:lang w:val="en-US" w:eastAsia="zh-CN"/>
        </w:rPr>
        <w:t>cm</w:t>
      </w:r>
      <w:r>
        <w:rPr>
          <w:rFonts w:hint="eastAsia"/>
          <w:highlight w:val="none"/>
          <w:lang w:val="en-US" w:eastAsia="zh-CN"/>
        </w:rPr>
        <w:t>，</w:t>
      </w:r>
      <w:r>
        <w:rPr>
          <w:rFonts w:hint="default"/>
          <w:highlight w:val="none"/>
          <w:lang w:val="en-US" w:eastAsia="zh-CN"/>
        </w:rPr>
        <w:t>土壤中石油烃最大值为</w:t>
      </w:r>
      <w:r>
        <w:rPr>
          <w:rFonts w:hint="eastAsia"/>
          <w:highlight w:val="none"/>
          <w:lang w:val="en-US" w:eastAsia="zh-CN"/>
        </w:rPr>
        <w:t>1.36×10</w:t>
      </w:r>
      <w:r>
        <w:rPr>
          <w:rFonts w:hint="eastAsia"/>
          <w:highlight w:val="none"/>
          <w:vertAlign w:val="superscript"/>
          <w:lang w:val="en-US" w:eastAsia="zh-CN"/>
        </w:rPr>
        <w:t>5</w:t>
      </w:r>
      <w:r>
        <w:rPr>
          <w:rFonts w:hint="default"/>
          <w:highlight w:val="none"/>
          <w:lang w:val="en-US" w:eastAsia="zh-CN"/>
        </w:rPr>
        <w:t>mg/kg。</w:t>
      </w:r>
    </w:p>
    <w:p w14:paraId="1F5A55E6">
      <w:pPr>
        <w:bidi w:val="0"/>
        <w:rPr>
          <w:rFonts w:hint="default"/>
          <w:highlight w:val="none"/>
          <w:lang w:val="en-US" w:eastAsia="zh-CN"/>
        </w:rPr>
      </w:pPr>
      <w:r>
        <w:rPr>
          <w:rFonts w:hint="eastAsia"/>
          <w:highlight w:val="none"/>
          <w:lang w:val="en-US" w:eastAsia="zh-CN"/>
        </w:rPr>
        <w:t>预测结果表明，一旦出现废机油泄漏，并持续泄漏未被发现及未采取措施状况下，将造成渗漏液垂直入渗，形成土壤局地污染。</w:t>
      </w:r>
    </w:p>
    <w:p w14:paraId="4272D7B8">
      <w:pPr>
        <w:bidi w:val="0"/>
        <w:rPr>
          <w:rFonts w:hint="default"/>
          <w:highlight w:val="none"/>
          <w:lang w:val="en-US" w:eastAsia="zh-CN"/>
        </w:rPr>
      </w:pPr>
      <w:r>
        <w:rPr>
          <w:rFonts w:hint="default"/>
          <w:highlight w:val="none"/>
          <w:lang w:val="en-US" w:eastAsia="zh-CN"/>
        </w:rPr>
        <w:t>企业应根据本环评及相关法律法规要求实施土壤环境监测，记录监测数据，建立档案，并定期向建设单位安全环保部门汇报，对于常规监测数据应该进行公开，特别是对项目所在区域的公众进行公开，满足法律中关于知情权的要求。如发现异常或发生事故，加密监测频次，并分析污染原因，确定泄漏污染源，确定是否对土壤、地下水有影响，及时采取</w:t>
      </w:r>
      <w:r>
        <w:rPr>
          <w:rFonts w:hint="eastAsia"/>
          <w:highlight w:val="none"/>
          <w:lang w:val="en-US" w:eastAsia="zh-CN"/>
        </w:rPr>
        <w:t>相应</w:t>
      </w:r>
      <w:r>
        <w:rPr>
          <w:rFonts w:hint="default"/>
          <w:highlight w:val="none"/>
          <w:lang w:val="en-US" w:eastAsia="zh-CN"/>
        </w:rPr>
        <w:t>应急措施。</w:t>
      </w:r>
    </w:p>
    <w:p w14:paraId="07481E8A">
      <w:pPr>
        <w:bidi w:val="0"/>
        <w:rPr>
          <w:rFonts w:hint="default"/>
          <w:highlight w:val="none"/>
          <w:lang w:val="en-US" w:eastAsia="zh-CN"/>
        </w:rPr>
      </w:pPr>
      <w:r>
        <w:rPr>
          <w:rFonts w:hint="default"/>
          <w:highlight w:val="none"/>
          <w:lang w:val="en-US" w:eastAsia="zh-CN"/>
        </w:rPr>
        <w:t>综上所述，本项目在认真落实上述提出的各项土壤及地下水污染防治措施的基础上，项目建设不会对当地土壤环境产生明显不利影响，从土壤环境保护角度而言，项目建设可行。</w:t>
      </w:r>
    </w:p>
    <w:p w14:paraId="797E53C1">
      <w:pPr>
        <w:pStyle w:val="4"/>
        <w:bidi w:val="0"/>
        <w:rPr>
          <w:highlight w:val="none"/>
        </w:rPr>
      </w:pPr>
      <w:bookmarkStart w:id="486" w:name="_Toc3957"/>
      <w:bookmarkStart w:id="487" w:name="_Toc6511"/>
      <w:r>
        <w:rPr>
          <w:highlight w:val="none"/>
        </w:rPr>
        <w:t>5.2.</w:t>
      </w:r>
      <w:r>
        <w:rPr>
          <w:rFonts w:hint="eastAsia"/>
          <w:highlight w:val="none"/>
          <w:lang w:val="en-US" w:eastAsia="zh-CN"/>
        </w:rPr>
        <w:t>7</w:t>
      </w:r>
      <w:r>
        <w:rPr>
          <w:highlight w:val="none"/>
        </w:rPr>
        <w:t>环境风险预测</w:t>
      </w:r>
      <w:r>
        <w:rPr>
          <w:rFonts w:hint="eastAsia"/>
          <w:highlight w:val="none"/>
        </w:rPr>
        <w:t>与</w:t>
      </w:r>
      <w:r>
        <w:rPr>
          <w:highlight w:val="none"/>
        </w:rPr>
        <w:t>分析</w:t>
      </w:r>
      <w:bookmarkEnd w:id="486"/>
      <w:bookmarkEnd w:id="487"/>
    </w:p>
    <w:p w14:paraId="43E47DFA">
      <w:pPr>
        <w:spacing w:line="360" w:lineRule="auto"/>
        <w:outlineLvl w:val="3"/>
        <w:rPr>
          <w:rFonts w:eastAsiaTheme="minorEastAsia"/>
          <w:b/>
          <w:sz w:val="24"/>
          <w:highlight w:val="none"/>
        </w:rPr>
      </w:pPr>
      <w:bookmarkStart w:id="488" w:name="_Toc24820"/>
      <w:bookmarkStart w:id="489" w:name="_Toc15098"/>
      <w:bookmarkStart w:id="490" w:name="_Toc477954576"/>
      <w:bookmarkStart w:id="491" w:name="_Toc23949"/>
      <w:bookmarkStart w:id="492" w:name="_Toc6203"/>
      <w:bookmarkStart w:id="493" w:name="_Toc479252821"/>
      <w:r>
        <w:rPr>
          <w:rFonts w:eastAsiaTheme="minorEastAsia"/>
          <w:b/>
          <w:sz w:val="24"/>
          <w:highlight w:val="none"/>
        </w:rPr>
        <w:t>5.2.6.1</w:t>
      </w:r>
      <w:r>
        <w:rPr>
          <w:rFonts w:hint="eastAsia" w:hAnsiTheme="minorEastAsia" w:eastAsiaTheme="minorEastAsia"/>
          <w:b/>
          <w:sz w:val="24"/>
          <w:highlight w:val="none"/>
        </w:rPr>
        <w:t>危险单元分布</w:t>
      </w:r>
    </w:p>
    <w:p w14:paraId="47A9E9FA">
      <w:pPr>
        <w:spacing w:line="360" w:lineRule="auto"/>
        <w:ind w:firstLine="480" w:firstLineChars="200"/>
        <w:rPr>
          <w:sz w:val="24"/>
          <w:highlight w:val="none"/>
        </w:rPr>
      </w:pPr>
      <w:r>
        <w:rPr>
          <w:rFonts w:hint="eastAsia"/>
          <w:sz w:val="24"/>
          <w:highlight w:val="none"/>
        </w:rPr>
        <w:t>本项目风险物质为润滑油、机油、切削液母液（以上统称为油类物质）、封口胶及</w:t>
      </w:r>
      <w:r>
        <w:rPr>
          <w:sz w:val="24"/>
          <w:highlight w:val="none"/>
        </w:rPr>
        <w:t>废切削液和清洗液废水（COD≥10000mg/L）。</w:t>
      </w:r>
    </w:p>
    <w:p w14:paraId="2148CD3D">
      <w:pPr>
        <w:spacing w:line="360" w:lineRule="auto"/>
        <w:jc w:val="center"/>
        <w:rPr>
          <w:sz w:val="24"/>
          <w:highlight w:val="none"/>
        </w:rPr>
      </w:pPr>
      <w:r>
        <w:rPr>
          <w:sz w:val="24"/>
          <w:highlight w:val="none"/>
        </w:rPr>
        <w:pict>
          <v:rect id="_x0000_s2083" o:spid="_x0000_s2083" o:spt="1" style="position:absolute;left:0pt;margin-left:292.35pt;margin-top:192.9pt;height:33.65pt;width:83.65pt;z-index:251716608;mso-width-relative:page;mso-height-relative:page;" filled="f" stroked="f" coordsize="21600,21600">
            <v:path/>
            <v:fill on="f" focussize="0,0"/>
            <v:stroke on="f"/>
            <v:imagedata o:title=""/>
            <o:lock v:ext="edit"/>
            <v:textbox>
              <w:txbxContent>
                <w:p w14:paraId="50D3939E">
                  <w:pPr>
                    <w:rPr>
                      <w:b/>
                      <w:sz w:val="15"/>
                      <w:szCs w:val="15"/>
                    </w:rPr>
                  </w:pPr>
                  <w:r>
                    <w:rPr>
                      <w:b/>
                      <w:sz w:val="15"/>
                      <w:szCs w:val="15"/>
                    </w:rPr>
                    <w:t>危险单元</w:t>
                  </w:r>
                </w:p>
              </w:txbxContent>
            </v:textbox>
          </v:rect>
        </w:pict>
      </w:r>
      <w:r>
        <w:rPr>
          <w:sz w:val="24"/>
          <w:highlight w:val="none"/>
        </w:rPr>
        <w:pict>
          <v:shape id="_x0000_s2084" o:spid="_x0000_s2084" o:spt="71" type="#_x0000_t71" style="position:absolute;left:0pt;margin-left:290.55pt;margin-top:184.6pt;height:38.35pt;width:49.55pt;z-index:251715584;mso-width-relative:page;mso-height-relative:page;" fillcolor="#FF0000" filled="t" coordsize="21600,21600">
            <v:path/>
            <v:fill on="t" opacity="52429f" focussize="0,0"/>
            <v:stroke joinstyle="miter"/>
            <v:imagedata o:title=""/>
            <o:lock v:ext="edit"/>
          </v:shape>
        </w:pict>
      </w:r>
      <w:r>
        <w:rPr>
          <w:rFonts w:hint="eastAsia"/>
          <w:sz w:val="24"/>
          <w:highlight w:val="none"/>
        </w:rPr>
        <w:drawing>
          <wp:inline distT="0" distB="0" distL="0" distR="0">
            <wp:extent cx="3352800" cy="4475480"/>
            <wp:effectExtent l="0" t="0" r="0" b="127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noChangeArrowheads="1"/>
                    </pic:cNvPicPr>
                  </pic:nvPicPr>
                  <pic:blipFill>
                    <a:blip r:embed="rId102"/>
                    <a:srcRect/>
                    <a:stretch>
                      <a:fillRect/>
                    </a:stretch>
                  </pic:blipFill>
                  <pic:spPr>
                    <a:xfrm>
                      <a:off x="0" y="0"/>
                      <a:ext cx="3352874" cy="4475585"/>
                    </a:xfrm>
                    <a:prstGeom prst="rect">
                      <a:avLst/>
                    </a:prstGeom>
                    <a:noFill/>
                    <a:ln w="9525">
                      <a:noFill/>
                      <a:miter lim="800000"/>
                      <a:headEnd/>
                      <a:tailEnd/>
                    </a:ln>
                  </pic:spPr>
                </pic:pic>
              </a:graphicData>
            </a:graphic>
          </wp:inline>
        </w:drawing>
      </w:r>
    </w:p>
    <w:p w14:paraId="6E1AE08E">
      <w:pPr>
        <w:pStyle w:val="7"/>
        <w:bidi w:val="0"/>
        <w:rPr>
          <w:highlight w:val="none"/>
        </w:rPr>
      </w:pPr>
      <w:r>
        <w:rPr>
          <w:rFonts w:hint="eastAsia"/>
          <w:highlight w:val="none"/>
        </w:rPr>
        <w:t>图5-2-8 危险单元分布图</w:t>
      </w:r>
    </w:p>
    <w:p w14:paraId="3118A3FF">
      <w:pPr>
        <w:spacing w:line="360" w:lineRule="auto"/>
        <w:outlineLvl w:val="3"/>
        <w:rPr>
          <w:rFonts w:eastAsiaTheme="minorEastAsia"/>
          <w:b/>
          <w:sz w:val="24"/>
          <w:highlight w:val="none"/>
        </w:rPr>
      </w:pPr>
      <w:r>
        <w:rPr>
          <w:rFonts w:eastAsiaTheme="minorEastAsia"/>
          <w:b/>
          <w:sz w:val="24"/>
          <w:highlight w:val="none"/>
        </w:rPr>
        <w:t>5.2.6.</w:t>
      </w:r>
      <w:r>
        <w:rPr>
          <w:rFonts w:hint="eastAsia" w:eastAsiaTheme="minorEastAsia"/>
          <w:b/>
          <w:sz w:val="24"/>
          <w:highlight w:val="none"/>
        </w:rPr>
        <w:t>2</w:t>
      </w:r>
      <w:r>
        <w:rPr>
          <w:rFonts w:hint="eastAsia" w:hAnsiTheme="minorEastAsia" w:eastAsiaTheme="minorEastAsia"/>
          <w:b/>
          <w:sz w:val="24"/>
          <w:highlight w:val="none"/>
        </w:rPr>
        <w:t>预测模型</w:t>
      </w:r>
    </w:p>
    <w:p w14:paraId="5EC30E39">
      <w:pPr>
        <w:spacing w:line="360" w:lineRule="auto"/>
        <w:ind w:firstLine="480" w:firstLineChars="200"/>
        <w:rPr>
          <w:sz w:val="24"/>
          <w:highlight w:val="none"/>
        </w:rPr>
      </w:pPr>
      <w:r>
        <w:rPr>
          <w:sz w:val="24"/>
          <w:highlight w:val="none"/>
        </w:rPr>
        <w:t>采用《建设项目环境风险评价技术导则》（HJ 169-2018）推荐的ATFOX模型预测</w:t>
      </w:r>
      <w:r>
        <w:rPr>
          <w:rFonts w:hint="eastAsia"/>
          <w:sz w:val="24"/>
          <w:highlight w:val="none"/>
        </w:rPr>
        <w:t>燃爆</w:t>
      </w:r>
      <w:r>
        <w:rPr>
          <w:sz w:val="24"/>
          <w:highlight w:val="none"/>
        </w:rPr>
        <w:t>情境下发环境风险影响。</w:t>
      </w:r>
    </w:p>
    <w:p w14:paraId="1208BC13">
      <w:pPr>
        <w:spacing w:line="360" w:lineRule="auto"/>
        <w:outlineLvl w:val="3"/>
        <w:rPr>
          <w:rFonts w:eastAsiaTheme="minorEastAsia"/>
          <w:b/>
          <w:sz w:val="24"/>
          <w:highlight w:val="none"/>
        </w:rPr>
      </w:pPr>
      <w:r>
        <w:rPr>
          <w:rFonts w:eastAsiaTheme="minorEastAsia"/>
          <w:b/>
          <w:sz w:val="24"/>
          <w:highlight w:val="none"/>
        </w:rPr>
        <w:t>5.2.6.</w:t>
      </w:r>
      <w:r>
        <w:rPr>
          <w:rFonts w:hint="eastAsia" w:eastAsiaTheme="minorEastAsia"/>
          <w:b/>
          <w:sz w:val="24"/>
          <w:highlight w:val="none"/>
        </w:rPr>
        <w:t>3</w:t>
      </w:r>
      <w:r>
        <w:rPr>
          <w:rFonts w:hint="eastAsia" w:hAnsiTheme="minorEastAsia" w:eastAsiaTheme="minorEastAsia"/>
          <w:b/>
          <w:sz w:val="24"/>
          <w:highlight w:val="none"/>
        </w:rPr>
        <w:t>预测分析结果</w:t>
      </w:r>
    </w:p>
    <w:p w14:paraId="0D79C209">
      <w:pPr>
        <w:spacing w:line="360" w:lineRule="auto"/>
        <w:ind w:firstLine="480" w:firstLineChars="200"/>
        <w:rPr>
          <w:sz w:val="24"/>
          <w:highlight w:val="none"/>
        </w:rPr>
      </w:pPr>
      <w:r>
        <w:rPr>
          <w:rFonts w:hint="eastAsia"/>
          <w:sz w:val="24"/>
          <w:highlight w:val="none"/>
        </w:rPr>
        <w:t>1、建设项目危险物质及工艺系统危险性（P）分级</w:t>
      </w:r>
    </w:p>
    <w:p w14:paraId="64C0BF45">
      <w:pPr>
        <w:spacing w:line="360" w:lineRule="auto"/>
        <w:ind w:firstLine="480" w:firstLineChars="200"/>
        <w:rPr>
          <w:sz w:val="24"/>
          <w:highlight w:val="none"/>
        </w:rPr>
      </w:pPr>
      <w:r>
        <w:rPr>
          <w:rFonts w:hint="eastAsia"/>
          <w:sz w:val="24"/>
          <w:highlight w:val="none"/>
        </w:rPr>
        <w:t>（1）危险物质数量与临界量比值（Q）</w:t>
      </w:r>
    </w:p>
    <w:p w14:paraId="7A252F20">
      <w:pPr>
        <w:spacing w:line="360" w:lineRule="auto"/>
        <w:ind w:firstLine="480" w:firstLineChars="200"/>
        <w:rPr>
          <w:sz w:val="24"/>
          <w:highlight w:val="none"/>
        </w:rPr>
      </w:pPr>
      <w:r>
        <w:rPr>
          <w:sz w:val="24"/>
          <w:highlight w:val="none"/>
        </w:rPr>
        <w:t>本项目物质储存情况与标准比较见下表。</w:t>
      </w:r>
    </w:p>
    <w:p w14:paraId="3B114D7C">
      <w:pPr>
        <w:pStyle w:val="7"/>
        <w:bidi w:val="0"/>
        <w:rPr>
          <w:highlight w:val="none"/>
        </w:rPr>
      </w:pPr>
      <w:r>
        <w:rPr>
          <w:rFonts w:hint="eastAsia"/>
          <w:highlight w:val="none"/>
        </w:rPr>
        <w:t>表5-2-25 建设</w:t>
      </w:r>
      <w:r>
        <w:rPr>
          <w:highlight w:val="none"/>
        </w:rPr>
        <w:t>项目</w:t>
      </w:r>
      <w:r>
        <w:rPr>
          <w:rFonts w:hint="eastAsia"/>
          <w:highlight w:val="none"/>
        </w:rPr>
        <w:t>Q值确定表</w:t>
      </w:r>
    </w:p>
    <w:tbl>
      <w:tblPr>
        <w:tblStyle w:val="45"/>
        <w:tblW w:w="8527" w:type="dxa"/>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 w:type="dxa"/>
          <w:bottom w:w="0" w:type="dxa"/>
          <w:right w:w="10" w:type="dxa"/>
        </w:tblCellMar>
      </w:tblPr>
      <w:tblGrid>
        <w:gridCol w:w="440"/>
        <w:gridCol w:w="2405"/>
        <w:gridCol w:w="1701"/>
        <w:gridCol w:w="1560"/>
        <w:gridCol w:w="992"/>
        <w:gridCol w:w="1429"/>
      </w:tblGrid>
      <w:tr w14:paraId="1851E71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Align w:val="center"/>
          </w:tcPr>
          <w:p w14:paraId="0446DB9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hAnsi="宋体"/>
                <w:sz w:val="21"/>
                <w:szCs w:val="21"/>
                <w:highlight w:val="none"/>
              </w:rPr>
              <w:t>序号</w:t>
            </w:r>
          </w:p>
        </w:tc>
        <w:tc>
          <w:tcPr>
            <w:tcW w:w="2405" w:type="dxa"/>
            <w:vAlign w:val="center"/>
          </w:tcPr>
          <w:p w14:paraId="30C6A7A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hAnsi="宋体"/>
                <w:sz w:val="21"/>
                <w:szCs w:val="21"/>
                <w:highlight w:val="none"/>
              </w:rPr>
              <w:t>危险物质名称</w:t>
            </w:r>
          </w:p>
        </w:tc>
        <w:tc>
          <w:tcPr>
            <w:tcW w:w="1701" w:type="dxa"/>
            <w:vAlign w:val="center"/>
          </w:tcPr>
          <w:p w14:paraId="5469237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sz w:val="21"/>
                <w:szCs w:val="21"/>
                <w:highlight w:val="none"/>
              </w:rPr>
              <w:t>CAS</w:t>
            </w:r>
            <w:r>
              <w:rPr>
                <w:rFonts w:hint="default" w:hAnsi="宋体"/>
                <w:sz w:val="21"/>
                <w:szCs w:val="21"/>
                <w:highlight w:val="none"/>
              </w:rPr>
              <w:t>号</w:t>
            </w:r>
          </w:p>
        </w:tc>
        <w:tc>
          <w:tcPr>
            <w:tcW w:w="1560" w:type="dxa"/>
            <w:vAlign w:val="center"/>
          </w:tcPr>
          <w:p w14:paraId="2844792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hAnsi="宋体"/>
                <w:sz w:val="21"/>
                <w:szCs w:val="21"/>
                <w:highlight w:val="none"/>
              </w:rPr>
              <w:t>最大存在总量</w:t>
            </w:r>
            <w:r>
              <w:rPr>
                <w:rFonts w:hint="default"/>
                <w:sz w:val="21"/>
                <w:szCs w:val="21"/>
                <w:highlight w:val="none"/>
              </w:rPr>
              <w:t>/t</w:t>
            </w:r>
          </w:p>
        </w:tc>
        <w:tc>
          <w:tcPr>
            <w:tcW w:w="992" w:type="dxa"/>
            <w:vAlign w:val="center"/>
          </w:tcPr>
          <w:p w14:paraId="031655C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hAnsi="宋体"/>
                <w:sz w:val="21"/>
                <w:szCs w:val="21"/>
                <w:highlight w:val="none"/>
              </w:rPr>
              <w:t>临界量</w:t>
            </w:r>
            <w:r>
              <w:rPr>
                <w:rFonts w:hint="default"/>
                <w:sz w:val="21"/>
                <w:szCs w:val="21"/>
                <w:highlight w:val="none"/>
              </w:rPr>
              <w:t>/t</w:t>
            </w:r>
          </w:p>
        </w:tc>
        <w:tc>
          <w:tcPr>
            <w:tcW w:w="1429" w:type="dxa"/>
            <w:vAlign w:val="center"/>
          </w:tcPr>
          <w:p w14:paraId="6406E17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hAnsi="宋体"/>
                <w:sz w:val="21"/>
                <w:szCs w:val="21"/>
                <w:highlight w:val="none"/>
              </w:rPr>
              <w:t>危险物质</w:t>
            </w:r>
            <w:r>
              <w:rPr>
                <w:rFonts w:hint="default"/>
                <w:sz w:val="21"/>
                <w:szCs w:val="21"/>
                <w:highlight w:val="none"/>
              </w:rPr>
              <w:t>Q</w:t>
            </w:r>
            <w:r>
              <w:rPr>
                <w:rFonts w:hint="default" w:hAnsi="宋体"/>
                <w:sz w:val="21"/>
                <w:szCs w:val="21"/>
                <w:highlight w:val="none"/>
              </w:rPr>
              <w:t>值</w:t>
            </w:r>
          </w:p>
        </w:tc>
      </w:tr>
      <w:tr w14:paraId="5728702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336" w:hRule="atLeast"/>
        </w:trPr>
        <w:tc>
          <w:tcPr>
            <w:tcW w:w="0" w:type="auto"/>
            <w:vAlign w:val="center"/>
          </w:tcPr>
          <w:p w14:paraId="405F349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eastAsia"/>
                <w:sz w:val="21"/>
                <w:szCs w:val="21"/>
                <w:highlight w:val="none"/>
              </w:rPr>
              <w:t>1</w:t>
            </w:r>
          </w:p>
        </w:tc>
        <w:tc>
          <w:tcPr>
            <w:tcW w:w="2405" w:type="dxa"/>
            <w:vAlign w:val="center"/>
          </w:tcPr>
          <w:p w14:paraId="00731D2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lang w:val="en-US" w:eastAsia="zh-CN"/>
              </w:rPr>
              <w:t>废油</w:t>
            </w:r>
          </w:p>
        </w:tc>
        <w:tc>
          <w:tcPr>
            <w:tcW w:w="1701" w:type="dxa"/>
            <w:vAlign w:val="center"/>
          </w:tcPr>
          <w:p w14:paraId="02A1157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eastAsia" w:eastAsiaTheme="minorEastAsia"/>
                <w:sz w:val="21"/>
                <w:szCs w:val="21"/>
                <w:highlight w:val="none"/>
              </w:rPr>
              <w:t>/</w:t>
            </w:r>
          </w:p>
        </w:tc>
        <w:tc>
          <w:tcPr>
            <w:tcW w:w="1560" w:type="dxa"/>
            <w:vAlign w:val="center"/>
          </w:tcPr>
          <w:p w14:paraId="265B0D5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10.5</w:t>
            </w:r>
          </w:p>
        </w:tc>
        <w:tc>
          <w:tcPr>
            <w:tcW w:w="992" w:type="dxa"/>
            <w:vAlign w:val="center"/>
          </w:tcPr>
          <w:p w14:paraId="37C3282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2500</w:t>
            </w:r>
          </w:p>
        </w:tc>
        <w:tc>
          <w:tcPr>
            <w:tcW w:w="1429" w:type="dxa"/>
            <w:vAlign w:val="center"/>
          </w:tcPr>
          <w:p w14:paraId="5A8EF63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0.0042</w:t>
            </w:r>
          </w:p>
        </w:tc>
      </w:tr>
      <w:tr w14:paraId="6E43E03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Align w:val="center"/>
          </w:tcPr>
          <w:p w14:paraId="4214BDF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sz w:val="21"/>
                <w:szCs w:val="21"/>
                <w:highlight w:val="none"/>
              </w:rPr>
            </w:pPr>
            <w:r>
              <w:rPr>
                <w:rFonts w:hint="eastAsia"/>
                <w:sz w:val="21"/>
                <w:szCs w:val="21"/>
                <w:highlight w:val="none"/>
              </w:rPr>
              <w:t>2</w:t>
            </w:r>
          </w:p>
        </w:tc>
        <w:tc>
          <w:tcPr>
            <w:tcW w:w="2405" w:type="dxa"/>
            <w:vAlign w:val="center"/>
          </w:tcPr>
          <w:p w14:paraId="7F06EC8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lang w:val="en-US" w:eastAsia="zh-CN"/>
              </w:rPr>
              <w:t>含油金属屑中的油</w:t>
            </w:r>
          </w:p>
        </w:tc>
        <w:tc>
          <w:tcPr>
            <w:tcW w:w="1701" w:type="dxa"/>
            <w:vAlign w:val="center"/>
          </w:tcPr>
          <w:p w14:paraId="4AB8D7C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sz w:val="21"/>
                <w:szCs w:val="21"/>
                <w:highlight w:val="none"/>
              </w:rPr>
            </w:pPr>
            <w:r>
              <w:rPr>
                <w:rFonts w:hint="eastAsia"/>
                <w:sz w:val="21"/>
                <w:szCs w:val="21"/>
                <w:highlight w:val="none"/>
              </w:rPr>
              <w:t>/</w:t>
            </w:r>
          </w:p>
        </w:tc>
        <w:tc>
          <w:tcPr>
            <w:tcW w:w="1560" w:type="dxa"/>
            <w:vAlign w:val="center"/>
          </w:tcPr>
          <w:p w14:paraId="354B36E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14</w:t>
            </w:r>
          </w:p>
        </w:tc>
        <w:tc>
          <w:tcPr>
            <w:tcW w:w="992" w:type="dxa"/>
            <w:vAlign w:val="center"/>
          </w:tcPr>
          <w:p w14:paraId="0DBB707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2500</w:t>
            </w:r>
          </w:p>
        </w:tc>
        <w:tc>
          <w:tcPr>
            <w:tcW w:w="1429" w:type="dxa"/>
            <w:vAlign w:val="center"/>
          </w:tcPr>
          <w:p w14:paraId="06E2424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0.0056</w:t>
            </w:r>
          </w:p>
        </w:tc>
      </w:tr>
      <w:tr w14:paraId="1845B03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Align w:val="center"/>
          </w:tcPr>
          <w:p w14:paraId="4B121D3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sz w:val="21"/>
                <w:szCs w:val="21"/>
                <w:highlight w:val="none"/>
              </w:rPr>
            </w:pPr>
            <w:r>
              <w:rPr>
                <w:rFonts w:hint="eastAsia"/>
                <w:sz w:val="21"/>
                <w:szCs w:val="21"/>
                <w:highlight w:val="none"/>
              </w:rPr>
              <w:t>3</w:t>
            </w:r>
          </w:p>
        </w:tc>
        <w:tc>
          <w:tcPr>
            <w:tcW w:w="2405" w:type="dxa"/>
            <w:vAlign w:val="center"/>
          </w:tcPr>
          <w:p w14:paraId="674DBC8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lang w:val="en-US" w:eastAsia="zh-CN"/>
              </w:rPr>
              <w:t>机油</w:t>
            </w:r>
          </w:p>
        </w:tc>
        <w:tc>
          <w:tcPr>
            <w:tcW w:w="1701" w:type="dxa"/>
            <w:vAlign w:val="center"/>
          </w:tcPr>
          <w:p w14:paraId="316A202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sz w:val="21"/>
                <w:szCs w:val="21"/>
                <w:highlight w:val="none"/>
              </w:rPr>
            </w:pPr>
            <w:r>
              <w:rPr>
                <w:rFonts w:hint="eastAsia"/>
                <w:sz w:val="21"/>
                <w:szCs w:val="21"/>
                <w:highlight w:val="none"/>
              </w:rPr>
              <w:t>/</w:t>
            </w:r>
          </w:p>
        </w:tc>
        <w:tc>
          <w:tcPr>
            <w:tcW w:w="1560" w:type="dxa"/>
            <w:vAlign w:val="center"/>
          </w:tcPr>
          <w:p w14:paraId="5C61F9E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2.5</w:t>
            </w:r>
          </w:p>
        </w:tc>
        <w:tc>
          <w:tcPr>
            <w:tcW w:w="992" w:type="dxa"/>
            <w:vAlign w:val="center"/>
          </w:tcPr>
          <w:p w14:paraId="46A8C99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2500</w:t>
            </w:r>
          </w:p>
        </w:tc>
        <w:tc>
          <w:tcPr>
            <w:tcW w:w="1429" w:type="dxa"/>
            <w:vAlign w:val="center"/>
          </w:tcPr>
          <w:p w14:paraId="33CF3ED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0.001</w:t>
            </w:r>
          </w:p>
        </w:tc>
      </w:tr>
      <w:tr w14:paraId="4A5745D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Align w:val="center"/>
          </w:tcPr>
          <w:p w14:paraId="2F70413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sz w:val="21"/>
                <w:szCs w:val="21"/>
                <w:highlight w:val="none"/>
              </w:rPr>
            </w:pPr>
            <w:r>
              <w:rPr>
                <w:rFonts w:hint="eastAsia"/>
                <w:sz w:val="21"/>
                <w:szCs w:val="21"/>
                <w:highlight w:val="none"/>
              </w:rPr>
              <w:t>4</w:t>
            </w:r>
          </w:p>
        </w:tc>
        <w:tc>
          <w:tcPr>
            <w:tcW w:w="2405" w:type="dxa"/>
            <w:vAlign w:val="center"/>
          </w:tcPr>
          <w:p w14:paraId="39C5232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lang w:val="en-US" w:eastAsia="zh-CN"/>
              </w:rPr>
              <w:t>切削液母液</w:t>
            </w:r>
          </w:p>
        </w:tc>
        <w:tc>
          <w:tcPr>
            <w:tcW w:w="1701" w:type="dxa"/>
            <w:vAlign w:val="center"/>
          </w:tcPr>
          <w:p w14:paraId="40410B9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sz w:val="21"/>
                <w:szCs w:val="21"/>
                <w:highlight w:val="none"/>
              </w:rPr>
            </w:pPr>
            <w:r>
              <w:rPr>
                <w:rFonts w:hint="eastAsia"/>
                <w:sz w:val="21"/>
                <w:szCs w:val="21"/>
                <w:highlight w:val="none"/>
              </w:rPr>
              <w:t>/</w:t>
            </w:r>
          </w:p>
        </w:tc>
        <w:tc>
          <w:tcPr>
            <w:tcW w:w="1560" w:type="dxa"/>
            <w:vAlign w:val="center"/>
          </w:tcPr>
          <w:p w14:paraId="0A9EA29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2</w:t>
            </w:r>
          </w:p>
        </w:tc>
        <w:tc>
          <w:tcPr>
            <w:tcW w:w="992" w:type="dxa"/>
            <w:vAlign w:val="center"/>
          </w:tcPr>
          <w:p w14:paraId="702D5F3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2500</w:t>
            </w:r>
          </w:p>
        </w:tc>
        <w:tc>
          <w:tcPr>
            <w:tcW w:w="1429" w:type="dxa"/>
            <w:vAlign w:val="center"/>
          </w:tcPr>
          <w:p w14:paraId="08C5349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0.0008</w:t>
            </w:r>
          </w:p>
        </w:tc>
      </w:tr>
      <w:tr w14:paraId="201C05B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Align w:val="center"/>
          </w:tcPr>
          <w:p w14:paraId="63BE448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eastAsia="宋体"/>
                <w:sz w:val="21"/>
                <w:szCs w:val="21"/>
                <w:highlight w:val="none"/>
                <w:lang w:val="en-US" w:eastAsia="zh-CN"/>
              </w:rPr>
            </w:pPr>
            <w:r>
              <w:rPr>
                <w:rFonts w:hint="eastAsia"/>
                <w:sz w:val="21"/>
                <w:szCs w:val="21"/>
                <w:highlight w:val="none"/>
                <w:lang w:val="en-US" w:eastAsia="zh-CN"/>
              </w:rPr>
              <w:t>5</w:t>
            </w:r>
          </w:p>
        </w:tc>
        <w:tc>
          <w:tcPr>
            <w:tcW w:w="2405" w:type="dxa"/>
            <w:vAlign w:val="center"/>
          </w:tcPr>
          <w:p w14:paraId="7E2C62B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lang w:val="en-US" w:eastAsia="zh-CN"/>
              </w:rPr>
              <w:t>封口胶</w:t>
            </w:r>
          </w:p>
        </w:tc>
        <w:tc>
          <w:tcPr>
            <w:tcW w:w="1701" w:type="dxa"/>
            <w:vAlign w:val="center"/>
          </w:tcPr>
          <w:p w14:paraId="7E0EBFA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eastAsia="宋体"/>
                <w:sz w:val="21"/>
                <w:szCs w:val="21"/>
                <w:highlight w:val="none"/>
                <w:lang w:val="en-US" w:eastAsia="zh-CN"/>
              </w:rPr>
            </w:pPr>
            <w:r>
              <w:rPr>
                <w:rFonts w:hint="eastAsia"/>
                <w:sz w:val="21"/>
                <w:szCs w:val="21"/>
                <w:highlight w:val="none"/>
                <w:lang w:val="en-US" w:eastAsia="zh-CN"/>
              </w:rPr>
              <w:t>/</w:t>
            </w:r>
          </w:p>
        </w:tc>
        <w:tc>
          <w:tcPr>
            <w:tcW w:w="1560" w:type="dxa"/>
            <w:vAlign w:val="center"/>
          </w:tcPr>
          <w:p w14:paraId="3CADD0E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0.5</w:t>
            </w:r>
          </w:p>
        </w:tc>
        <w:tc>
          <w:tcPr>
            <w:tcW w:w="992" w:type="dxa"/>
            <w:vAlign w:val="center"/>
          </w:tcPr>
          <w:p w14:paraId="4870F1F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50</w:t>
            </w:r>
          </w:p>
        </w:tc>
        <w:tc>
          <w:tcPr>
            <w:tcW w:w="1429" w:type="dxa"/>
            <w:vAlign w:val="center"/>
          </w:tcPr>
          <w:p w14:paraId="58B64D2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0.01</w:t>
            </w:r>
          </w:p>
        </w:tc>
      </w:tr>
      <w:tr w14:paraId="086F6D2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Align w:val="center"/>
          </w:tcPr>
          <w:p w14:paraId="52F7348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eastAsia="宋体"/>
                <w:sz w:val="21"/>
                <w:szCs w:val="21"/>
                <w:highlight w:val="none"/>
                <w:lang w:val="en-US" w:eastAsia="zh-CN"/>
              </w:rPr>
            </w:pPr>
            <w:r>
              <w:rPr>
                <w:rFonts w:hint="eastAsia"/>
                <w:sz w:val="21"/>
                <w:szCs w:val="21"/>
                <w:highlight w:val="none"/>
                <w:lang w:val="en-US" w:eastAsia="zh-CN"/>
              </w:rPr>
              <w:t>6</w:t>
            </w:r>
          </w:p>
        </w:tc>
        <w:tc>
          <w:tcPr>
            <w:tcW w:w="2405" w:type="dxa"/>
            <w:vAlign w:val="center"/>
          </w:tcPr>
          <w:p w14:paraId="48B2475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lang w:val="en-US" w:eastAsia="zh-CN"/>
              </w:rPr>
              <w:t>废切削液和清洗液废水（</w:t>
            </w:r>
            <w:r>
              <w:rPr>
                <w:rFonts w:hint="default" w:ascii="Times New Roman" w:hAnsi="Times New Roman" w:eastAsia="宋体" w:cs="Times New Roman"/>
                <w:sz w:val="21"/>
                <w:szCs w:val="21"/>
                <w:highlight w:val="none"/>
                <w:lang w:val="en-US" w:eastAsia="zh-CN"/>
              </w:rPr>
              <w:t>COD</w:t>
            </w:r>
            <w:r>
              <w:rPr>
                <w:rFonts w:hint="eastAsia" w:ascii="Times New Roman" w:hAnsi="Times New Roman" w:eastAsia="宋体" w:cs="Times New Roman"/>
                <w:sz w:val="21"/>
                <w:szCs w:val="21"/>
                <w:highlight w:val="none"/>
                <w:lang w:val="en-US" w:eastAsia="zh-CN"/>
              </w:rPr>
              <w:t>≥</w:t>
            </w:r>
            <w:r>
              <w:rPr>
                <w:rFonts w:hint="default" w:ascii="Times New Roman" w:hAnsi="Times New Roman" w:eastAsia="宋体" w:cs="Times New Roman"/>
                <w:sz w:val="21"/>
                <w:szCs w:val="21"/>
                <w:highlight w:val="none"/>
                <w:lang w:val="en-US" w:eastAsia="zh-CN"/>
              </w:rPr>
              <w:t>10000mg/L</w:t>
            </w:r>
            <w:r>
              <w:rPr>
                <w:rFonts w:hint="eastAsia" w:ascii="Times New Roman" w:hAnsi="Times New Roman" w:eastAsia="宋体" w:cs="Times New Roman"/>
                <w:sz w:val="21"/>
                <w:szCs w:val="21"/>
                <w:highlight w:val="none"/>
                <w:lang w:val="en-US" w:eastAsia="zh-CN"/>
              </w:rPr>
              <w:t>）</w:t>
            </w:r>
          </w:p>
        </w:tc>
        <w:tc>
          <w:tcPr>
            <w:tcW w:w="1701" w:type="dxa"/>
            <w:vAlign w:val="center"/>
          </w:tcPr>
          <w:p w14:paraId="6EA14A9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eastAsia="宋体"/>
                <w:sz w:val="21"/>
                <w:szCs w:val="21"/>
                <w:highlight w:val="none"/>
                <w:lang w:val="en-US" w:eastAsia="zh-CN"/>
              </w:rPr>
            </w:pPr>
            <w:r>
              <w:rPr>
                <w:rFonts w:hint="eastAsia"/>
                <w:sz w:val="21"/>
                <w:szCs w:val="21"/>
                <w:highlight w:val="none"/>
                <w:lang w:val="en-US" w:eastAsia="zh-CN"/>
              </w:rPr>
              <w:t>/</w:t>
            </w:r>
          </w:p>
        </w:tc>
        <w:tc>
          <w:tcPr>
            <w:tcW w:w="1560" w:type="dxa"/>
            <w:vAlign w:val="center"/>
          </w:tcPr>
          <w:p w14:paraId="4A91EDB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173.5</w:t>
            </w:r>
          </w:p>
        </w:tc>
        <w:tc>
          <w:tcPr>
            <w:tcW w:w="992" w:type="dxa"/>
            <w:vAlign w:val="center"/>
          </w:tcPr>
          <w:p w14:paraId="1A9A839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10</w:t>
            </w:r>
          </w:p>
        </w:tc>
        <w:tc>
          <w:tcPr>
            <w:tcW w:w="1429" w:type="dxa"/>
            <w:vAlign w:val="center"/>
          </w:tcPr>
          <w:p w14:paraId="11A2F53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17.35</w:t>
            </w:r>
          </w:p>
        </w:tc>
      </w:tr>
      <w:tr w14:paraId="2FBA008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7098" w:type="dxa"/>
            <w:gridSpan w:val="5"/>
            <w:vAlign w:val="center"/>
          </w:tcPr>
          <w:p w14:paraId="756F888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hAnsi="宋体"/>
                <w:sz w:val="21"/>
                <w:szCs w:val="21"/>
                <w:highlight w:val="none"/>
              </w:rPr>
              <w:t>项目</w:t>
            </w:r>
            <w:r>
              <w:rPr>
                <w:rFonts w:hint="default"/>
                <w:sz w:val="21"/>
                <w:szCs w:val="21"/>
                <w:highlight w:val="none"/>
              </w:rPr>
              <w:t>Q</w:t>
            </w:r>
            <w:r>
              <w:rPr>
                <w:rFonts w:hint="default" w:hAnsi="宋体"/>
                <w:sz w:val="21"/>
                <w:szCs w:val="21"/>
                <w:highlight w:val="none"/>
              </w:rPr>
              <w:t>值</w:t>
            </w:r>
            <w:r>
              <w:rPr>
                <w:rFonts w:hint="default"/>
                <w:sz w:val="21"/>
                <w:szCs w:val="21"/>
                <w:highlight w:val="none"/>
              </w:rPr>
              <w:t>Σ</w:t>
            </w:r>
          </w:p>
        </w:tc>
        <w:tc>
          <w:tcPr>
            <w:tcW w:w="1429" w:type="dxa"/>
            <w:vAlign w:val="center"/>
          </w:tcPr>
          <w:p w14:paraId="0EDCF11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lang w:val="en-US" w:eastAsia="zh-CN"/>
              </w:rPr>
            </w:pPr>
            <w:r>
              <w:rPr>
                <w:rFonts w:hint="eastAsia" w:eastAsiaTheme="minorEastAsia"/>
                <w:spacing w:val="-2"/>
                <w:sz w:val="21"/>
                <w:szCs w:val="21"/>
                <w:highlight w:val="none"/>
                <w:lang w:val="en-US" w:eastAsia="zh-CN"/>
              </w:rPr>
              <w:t>17.3716</w:t>
            </w:r>
          </w:p>
        </w:tc>
      </w:tr>
    </w:tbl>
    <w:p w14:paraId="6494D91C">
      <w:pPr>
        <w:spacing w:line="360" w:lineRule="auto"/>
        <w:ind w:firstLine="460" w:firstLineChars="192"/>
        <w:rPr>
          <w:rFonts w:eastAsiaTheme="minorEastAsia"/>
          <w:sz w:val="24"/>
          <w:highlight w:val="none"/>
        </w:rPr>
      </w:pPr>
      <w:r>
        <w:rPr>
          <w:rFonts w:hint="eastAsia" w:eastAsiaTheme="minorEastAsia"/>
          <w:sz w:val="24"/>
          <w:highlight w:val="none"/>
        </w:rPr>
        <w:t>（2）</w:t>
      </w:r>
      <w:r>
        <w:rPr>
          <w:rFonts w:eastAsiaTheme="minorEastAsia"/>
          <w:sz w:val="24"/>
          <w:highlight w:val="none"/>
        </w:rPr>
        <w:t>行业及生产工艺（M）</w:t>
      </w:r>
    </w:p>
    <w:p w14:paraId="317DAC8A">
      <w:pPr>
        <w:spacing w:line="360" w:lineRule="auto"/>
        <w:ind w:firstLine="480" w:firstLineChars="200"/>
        <w:rPr>
          <w:sz w:val="24"/>
          <w:highlight w:val="none"/>
        </w:rPr>
      </w:pPr>
      <w:r>
        <w:rPr>
          <w:sz w:val="24"/>
          <w:highlight w:val="none"/>
        </w:rPr>
        <w:t>本项目M值确定见下表。</w:t>
      </w:r>
    </w:p>
    <w:p w14:paraId="7EA42E78">
      <w:pPr>
        <w:pStyle w:val="7"/>
        <w:bidi w:val="0"/>
        <w:rPr>
          <w:highlight w:val="none"/>
        </w:rPr>
      </w:pPr>
      <w:r>
        <w:rPr>
          <w:rFonts w:hint="eastAsia"/>
          <w:highlight w:val="none"/>
        </w:rPr>
        <w:t>表5-2-26 建设</w:t>
      </w:r>
      <w:r>
        <w:rPr>
          <w:highlight w:val="none"/>
        </w:rPr>
        <w:t>项目</w:t>
      </w:r>
      <w:r>
        <w:rPr>
          <w:rFonts w:hint="eastAsia"/>
          <w:highlight w:val="none"/>
        </w:rPr>
        <w:t>M值确定表</w:t>
      </w:r>
    </w:p>
    <w:tbl>
      <w:tblPr>
        <w:tblStyle w:val="45"/>
        <w:tblW w:w="8527" w:type="dxa"/>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 w:type="dxa"/>
          <w:bottom w:w="0" w:type="dxa"/>
          <w:right w:w="10" w:type="dxa"/>
        </w:tblCellMar>
      </w:tblPr>
      <w:tblGrid>
        <w:gridCol w:w="543"/>
        <w:gridCol w:w="1580"/>
        <w:gridCol w:w="3653"/>
        <w:gridCol w:w="875"/>
        <w:gridCol w:w="1876"/>
      </w:tblGrid>
      <w:tr w14:paraId="300214D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rPr>
          <w:trHeight w:val="66" w:hRule="atLeast"/>
        </w:trPr>
        <w:tc>
          <w:tcPr>
            <w:tcW w:w="0" w:type="auto"/>
            <w:vAlign w:val="center"/>
          </w:tcPr>
          <w:p w14:paraId="49CD3F7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序号</w:t>
            </w:r>
          </w:p>
        </w:tc>
        <w:tc>
          <w:tcPr>
            <w:tcW w:w="0" w:type="auto"/>
            <w:vAlign w:val="center"/>
          </w:tcPr>
          <w:p w14:paraId="2735DC8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工艺单元名称</w:t>
            </w:r>
          </w:p>
        </w:tc>
        <w:tc>
          <w:tcPr>
            <w:tcW w:w="0" w:type="auto"/>
            <w:vAlign w:val="center"/>
          </w:tcPr>
          <w:p w14:paraId="5CCC14C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生产工艺</w:t>
            </w:r>
          </w:p>
        </w:tc>
        <w:tc>
          <w:tcPr>
            <w:tcW w:w="0" w:type="auto"/>
            <w:vAlign w:val="center"/>
          </w:tcPr>
          <w:p w14:paraId="422CDFF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数量/套</w:t>
            </w:r>
          </w:p>
        </w:tc>
        <w:tc>
          <w:tcPr>
            <w:tcW w:w="0" w:type="auto"/>
            <w:vAlign w:val="center"/>
          </w:tcPr>
          <w:p w14:paraId="33B7582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M分值（单套）</w:t>
            </w:r>
          </w:p>
        </w:tc>
      </w:tr>
      <w:tr w14:paraId="22DF288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Align w:val="center"/>
          </w:tcPr>
          <w:p w14:paraId="23B4D18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1</w:t>
            </w:r>
          </w:p>
        </w:tc>
        <w:tc>
          <w:tcPr>
            <w:tcW w:w="0" w:type="auto"/>
            <w:vAlign w:val="center"/>
          </w:tcPr>
          <w:p w14:paraId="7D5C9E1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原料存储</w:t>
            </w:r>
          </w:p>
        </w:tc>
        <w:tc>
          <w:tcPr>
            <w:tcW w:w="0" w:type="auto"/>
            <w:vAlign w:val="center"/>
          </w:tcPr>
          <w:p w14:paraId="3D78CB0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涉及危险物质使用、贮存的项目</w:t>
            </w:r>
          </w:p>
        </w:tc>
        <w:tc>
          <w:tcPr>
            <w:tcW w:w="0" w:type="auto"/>
            <w:vAlign w:val="center"/>
          </w:tcPr>
          <w:p w14:paraId="44B3B46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1</w:t>
            </w:r>
          </w:p>
        </w:tc>
        <w:tc>
          <w:tcPr>
            <w:tcW w:w="0" w:type="auto"/>
            <w:vAlign w:val="center"/>
          </w:tcPr>
          <w:p w14:paraId="4B23ACC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5</w:t>
            </w:r>
          </w:p>
        </w:tc>
      </w:tr>
      <w:tr w14:paraId="1FE4B27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gridSpan w:val="4"/>
            <w:vAlign w:val="center"/>
          </w:tcPr>
          <w:p w14:paraId="74537DC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项目M值Σ</w:t>
            </w:r>
          </w:p>
        </w:tc>
        <w:tc>
          <w:tcPr>
            <w:tcW w:w="0" w:type="auto"/>
            <w:vAlign w:val="center"/>
          </w:tcPr>
          <w:p w14:paraId="5BFA2DD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5</w:t>
            </w:r>
          </w:p>
        </w:tc>
      </w:tr>
    </w:tbl>
    <w:p w14:paraId="0A710F89">
      <w:pPr>
        <w:spacing w:line="360" w:lineRule="auto"/>
        <w:ind w:firstLine="460" w:firstLineChars="192"/>
        <w:rPr>
          <w:rFonts w:eastAsiaTheme="minorEastAsia"/>
          <w:sz w:val="24"/>
          <w:highlight w:val="none"/>
        </w:rPr>
      </w:pPr>
      <w:r>
        <w:rPr>
          <w:rFonts w:hint="eastAsia" w:eastAsiaTheme="minorEastAsia"/>
          <w:sz w:val="24"/>
          <w:highlight w:val="none"/>
        </w:rPr>
        <w:t>（3）危险物质及工艺系统危险性（P）分级</w:t>
      </w:r>
    </w:p>
    <w:p w14:paraId="3ADDB4F9">
      <w:pPr>
        <w:spacing w:line="360" w:lineRule="auto"/>
        <w:ind w:firstLine="460" w:firstLineChars="192"/>
        <w:rPr>
          <w:rFonts w:eastAsiaTheme="minorEastAsia"/>
          <w:sz w:val="24"/>
          <w:highlight w:val="none"/>
        </w:rPr>
      </w:pPr>
      <w:r>
        <w:rPr>
          <w:rFonts w:hint="eastAsia" w:eastAsiaTheme="minorEastAsia"/>
          <w:sz w:val="24"/>
          <w:highlight w:val="none"/>
        </w:rPr>
        <w:t>危险物质及工艺系统危险性（P）等级见下表。</w:t>
      </w:r>
    </w:p>
    <w:p w14:paraId="43306A39">
      <w:pPr>
        <w:spacing w:line="360" w:lineRule="auto"/>
        <w:jc w:val="center"/>
        <w:rPr>
          <w:b/>
          <w:sz w:val="24"/>
          <w:highlight w:val="none"/>
        </w:rPr>
      </w:pPr>
      <w:r>
        <w:rPr>
          <w:rFonts w:hint="eastAsia"/>
          <w:b/>
          <w:sz w:val="24"/>
          <w:highlight w:val="none"/>
        </w:rPr>
        <w:t>表5-2-27 建设</w:t>
      </w:r>
      <w:r>
        <w:rPr>
          <w:b/>
          <w:sz w:val="24"/>
          <w:highlight w:val="none"/>
        </w:rPr>
        <w:t>项目</w:t>
      </w:r>
      <w:r>
        <w:rPr>
          <w:rFonts w:hint="eastAsia"/>
          <w:b/>
          <w:sz w:val="24"/>
          <w:highlight w:val="none"/>
        </w:rPr>
        <w:t>P等级确定表</w:t>
      </w:r>
    </w:p>
    <w:tbl>
      <w:tblPr>
        <w:tblStyle w:val="45"/>
        <w:tblW w:w="8527" w:type="dxa"/>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 w:type="dxa"/>
          <w:bottom w:w="0" w:type="dxa"/>
          <w:right w:w="10" w:type="dxa"/>
        </w:tblCellMar>
      </w:tblPr>
      <w:tblGrid>
        <w:gridCol w:w="3129"/>
        <w:gridCol w:w="1276"/>
        <w:gridCol w:w="1417"/>
        <w:gridCol w:w="1276"/>
        <w:gridCol w:w="1429"/>
      </w:tblGrid>
      <w:tr w14:paraId="2172815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3129" w:type="dxa"/>
            <w:vAlign w:val="center"/>
          </w:tcPr>
          <w:p w14:paraId="48F1356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危险物质数量 与临界量比值（Q）</w:t>
            </w:r>
          </w:p>
        </w:tc>
        <w:tc>
          <w:tcPr>
            <w:tcW w:w="1276" w:type="dxa"/>
            <w:vAlign w:val="center"/>
          </w:tcPr>
          <w:p w14:paraId="1CD3376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M1</w:t>
            </w:r>
          </w:p>
        </w:tc>
        <w:tc>
          <w:tcPr>
            <w:tcW w:w="1417" w:type="dxa"/>
            <w:vAlign w:val="center"/>
          </w:tcPr>
          <w:p w14:paraId="70FE362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M2</w:t>
            </w:r>
          </w:p>
        </w:tc>
        <w:tc>
          <w:tcPr>
            <w:tcW w:w="1276" w:type="dxa"/>
            <w:vAlign w:val="center"/>
          </w:tcPr>
          <w:p w14:paraId="282809F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M3</w:t>
            </w:r>
          </w:p>
        </w:tc>
        <w:tc>
          <w:tcPr>
            <w:tcW w:w="1429" w:type="dxa"/>
            <w:vAlign w:val="center"/>
          </w:tcPr>
          <w:p w14:paraId="77320A7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M4</w:t>
            </w:r>
          </w:p>
        </w:tc>
      </w:tr>
      <w:tr w14:paraId="0450149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3129" w:type="dxa"/>
            <w:vAlign w:val="center"/>
          </w:tcPr>
          <w:p w14:paraId="784970C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Q≥100</w:t>
            </w:r>
          </w:p>
        </w:tc>
        <w:tc>
          <w:tcPr>
            <w:tcW w:w="1276" w:type="dxa"/>
            <w:vAlign w:val="center"/>
          </w:tcPr>
          <w:p w14:paraId="01ADC2B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P1</w:t>
            </w:r>
          </w:p>
        </w:tc>
        <w:tc>
          <w:tcPr>
            <w:tcW w:w="1417" w:type="dxa"/>
            <w:vAlign w:val="center"/>
          </w:tcPr>
          <w:p w14:paraId="39BC3D7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P1</w:t>
            </w:r>
          </w:p>
        </w:tc>
        <w:tc>
          <w:tcPr>
            <w:tcW w:w="1276" w:type="dxa"/>
            <w:vAlign w:val="center"/>
          </w:tcPr>
          <w:p w14:paraId="264F887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P2</w:t>
            </w:r>
          </w:p>
        </w:tc>
        <w:tc>
          <w:tcPr>
            <w:tcW w:w="1429" w:type="dxa"/>
            <w:vAlign w:val="center"/>
          </w:tcPr>
          <w:p w14:paraId="6DE68DC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P3</w:t>
            </w:r>
          </w:p>
        </w:tc>
      </w:tr>
      <w:tr w14:paraId="140C3CA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3129" w:type="dxa"/>
            <w:vAlign w:val="center"/>
          </w:tcPr>
          <w:p w14:paraId="7CE3554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10≤Q＜100</w:t>
            </w:r>
          </w:p>
        </w:tc>
        <w:tc>
          <w:tcPr>
            <w:tcW w:w="1276" w:type="dxa"/>
            <w:vAlign w:val="center"/>
          </w:tcPr>
          <w:p w14:paraId="6BF6BE8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P1</w:t>
            </w:r>
          </w:p>
        </w:tc>
        <w:tc>
          <w:tcPr>
            <w:tcW w:w="1417" w:type="dxa"/>
            <w:vAlign w:val="center"/>
          </w:tcPr>
          <w:p w14:paraId="0657327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P2</w:t>
            </w:r>
          </w:p>
        </w:tc>
        <w:tc>
          <w:tcPr>
            <w:tcW w:w="1276" w:type="dxa"/>
            <w:vAlign w:val="center"/>
          </w:tcPr>
          <w:p w14:paraId="7773756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P3</w:t>
            </w:r>
          </w:p>
        </w:tc>
        <w:tc>
          <w:tcPr>
            <w:tcW w:w="1429" w:type="dxa"/>
            <w:vAlign w:val="center"/>
          </w:tcPr>
          <w:p w14:paraId="34D4C4F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P4</w:t>
            </w:r>
          </w:p>
        </w:tc>
      </w:tr>
      <w:tr w14:paraId="3229C4F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3129" w:type="dxa"/>
            <w:vAlign w:val="center"/>
          </w:tcPr>
          <w:p w14:paraId="5DE9813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1≤Q＜10</w:t>
            </w:r>
          </w:p>
        </w:tc>
        <w:tc>
          <w:tcPr>
            <w:tcW w:w="1276" w:type="dxa"/>
            <w:vAlign w:val="center"/>
          </w:tcPr>
          <w:p w14:paraId="0FB01A6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P2</w:t>
            </w:r>
          </w:p>
        </w:tc>
        <w:tc>
          <w:tcPr>
            <w:tcW w:w="1417" w:type="dxa"/>
            <w:vAlign w:val="center"/>
          </w:tcPr>
          <w:p w14:paraId="4C549A5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P3</w:t>
            </w:r>
          </w:p>
        </w:tc>
        <w:tc>
          <w:tcPr>
            <w:tcW w:w="1276" w:type="dxa"/>
            <w:vAlign w:val="center"/>
          </w:tcPr>
          <w:p w14:paraId="444D008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P4</w:t>
            </w:r>
          </w:p>
        </w:tc>
        <w:tc>
          <w:tcPr>
            <w:tcW w:w="1429" w:type="dxa"/>
            <w:vAlign w:val="center"/>
          </w:tcPr>
          <w:p w14:paraId="5731B2A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P4</w:t>
            </w:r>
          </w:p>
        </w:tc>
      </w:tr>
    </w:tbl>
    <w:p w14:paraId="65FF898E">
      <w:pPr>
        <w:spacing w:line="360" w:lineRule="auto"/>
        <w:ind w:firstLine="460" w:firstLineChars="192"/>
        <w:rPr>
          <w:rFonts w:eastAsiaTheme="minorEastAsia"/>
          <w:sz w:val="24"/>
          <w:highlight w:val="none"/>
        </w:rPr>
      </w:pPr>
      <w:r>
        <w:rPr>
          <w:rFonts w:hint="eastAsia" w:eastAsiaTheme="minorEastAsia"/>
          <w:sz w:val="24"/>
          <w:highlight w:val="none"/>
        </w:rPr>
        <w:t>本项目属于P4。</w:t>
      </w:r>
    </w:p>
    <w:p w14:paraId="32A92A7F">
      <w:pPr>
        <w:spacing w:line="360" w:lineRule="auto"/>
        <w:ind w:firstLine="460" w:firstLineChars="192"/>
        <w:rPr>
          <w:rFonts w:eastAsiaTheme="minorEastAsia"/>
          <w:sz w:val="24"/>
          <w:highlight w:val="none"/>
        </w:rPr>
      </w:pPr>
      <w:r>
        <w:rPr>
          <w:rFonts w:hint="eastAsia" w:eastAsiaTheme="minorEastAsia"/>
          <w:sz w:val="24"/>
          <w:highlight w:val="none"/>
        </w:rPr>
        <w:t>2、大气环境敏感程度（E）分级</w:t>
      </w:r>
    </w:p>
    <w:p w14:paraId="219386C4">
      <w:pPr>
        <w:pStyle w:val="7"/>
        <w:bidi w:val="0"/>
        <w:rPr>
          <w:highlight w:val="none"/>
        </w:rPr>
      </w:pPr>
      <w:r>
        <w:rPr>
          <w:highlight w:val="none"/>
        </w:rPr>
        <w:t>表</w:t>
      </w:r>
      <w:r>
        <w:rPr>
          <w:rFonts w:hint="eastAsia"/>
          <w:highlight w:val="none"/>
        </w:rPr>
        <w:t xml:space="preserve">5-2-28 </w:t>
      </w:r>
      <w:r>
        <w:rPr>
          <w:highlight w:val="none"/>
        </w:rPr>
        <w:t>建设项目大气环境敏感程度特征表</w:t>
      </w:r>
    </w:p>
    <w:tbl>
      <w:tblPr>
        <w:tblStyle w:val="45"/>
        <w:tblW w:w="8527" w:type="dxa"/>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 w:type="dxa"/>
          <w:bottom w:w="0" w:type="dxa"/>
          <w:right w:w="10" w:type="dxa"/>
        </w:tblCellMar>
      </w:tblPr>
      <w:tblGrid>
        <w:gridCol w:w="1136"/>
        <w:gridCol w:w="581"/>
        <w:gridCol w:w="1692"/>
        <w:gridCol w:w="1137"/>
        <w:gridCol w:w="2263"/>
        <w:gridCol w:w="859"/>
        <w:gridCol w:w="859"/>
      </w:tblGrid>
      <w:tr w14:paraId="2461E16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Align w:val="center"/>
          </w:tcPr>
          <w:p w14:paraId="6C8B165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类别</w:t>
            </w:r>
          </w:p>
        </w:tc>
        <w:tc>
          <w:tcPr>
            <w:tcW w:w="0" w:type="auto"/>
            <w:gridSpan w:val="6"/>
            <w:vAlign w:val="center"/>
          </w:tcPr>
          <w:p w14:paraId="768EB5F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环境敏感特征</w:t>
            </w:r>
          </w:p>
        </w:tc>
      </w:tr>
      <w:tr w14:paraId="74B14D0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Merge w:val="restart"/>
            <w:vAlign w:val="center"/>
          </w:tcPr>
          <w:p w14:paraId="3DCDF72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环境空气</w:t>
            </w:r>
          </w:p>
        </w:tc>
        <w:tc>
          <w:tcPr>
            <w:tcW w:w="0" w:type="auto"/>
            <w:gridSpan w:val="6"/>
            <w:vAlign w:val="center"/>
          </w:tcPr>
          <w:p w14:paraId="3CFA23D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厂址周边5km范围内</w:t>
            </w:r>
          </w:p>
        </w:tc>
      </w:tr>
      <w:tr w14:paraId="5546964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Merge w:val="continue"/>
            <w:vAlign w:val="center"/>
          </w:tcPr>
          <w:p w14:paraId="4A4E4FD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p>
        </w:tc>
        <w:tc>
          <w:tcPr>
            <w:tcW w:w="0" w:type="auto"/>
            <w:vAlign w:val="center"/>
          </w:tcPr>
          <w:p w14:paraId="6A4E157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序号</w:t>
            </w:r>
          </w:p>
        </w:tc>
        <w:tc>
          <w:tcPr>
            <w:tcW w:w="0" w:type="auto"/>
            <w:vAlign w:val="center"/>
          </w:tcPr>
          <w:p w14:paraId="13BA44D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敏感目标名称</w:t>
            </w:r>
          </w:p>
        </w:tc>
        <w:tc>
          <w:tcPr>
            <w:tcW w:w="0" w:type="auto"/>
            <w:vAlign w:val="center"/>
          </w:tcPr>
          <w:p w14:paraId="19D3C13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相对方位</w:t>
            </w:r>
          </w:p>
        </w:tc>
        <w:tc>
          <w:tcPr>
            <w:tcW w:w="0" w:type="auto"/>
            <w:vAlign w:val="center"/>
          </w:tcPr>
          <w:p w14:paraId="4811906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距厂界中心距离/m</w:t>
            </w:r>
          </w:p>
        </w:tc>
        <w:tc>
          <w:tcPr>
            <w:tcW w:w="0" w:type="auto"/>
            <w:vAlign w:val="center"/>
          </w:tcPr>
          <w:p w14:paraId="487739E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属性</w:t>
            </w:r>
          </w:p>
        </w:tc>
        <w:tc>
          <w:tcPr>
            <w:tcW w:w="0" w:type="auto"/>
            <w:vAlign w:val="center"/>
          </w:tcPr>
          <w:p w14:paraId="72E3C84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人口数</w:t>
            </w:r>
          </w:p>
        </w:tc>
      </w:tr>
      <w:tr w14:paraId="03DDEDE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Merge w:val="continue"/>
            <w:vAlign w:val="center"/>
          </w:tcPr>
          <w:p w14:paraId="64D9804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p>
        </w:tc>
        <w:tc>
          <w:tcPr>
            <w:tcW w:w="0" w:type="auto"/>
            <w:vAlign w:val="center"/>
          </w:tcPr>
          <w:p w14:paraId="52901C2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1</w:t>
            </w:r>
          </w:p>
        </w:tc>
        <w:tc>
          <w:tcPr>
            <w:tcW w:w="0" w:type="auto"/>
            <w:vAlign w:val="center"/>
          </w:tcPr>
          <w:p w14:paraId="38978DD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刘家村</w:t>
            </w:r>
          </w:p>
        </w:tc>
        <w:tc>
          <w:tcPr>
            <w:tcW w:w="0" w:type="auto"/>
            <w:vAlign w:val="center"/>
          </w:tcPr>
          <w:p w14:paraId="449752D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NE</w:t>
            </w:r>
          </w:p>
        </w:tc>
        <w:tc>
          <w:tcPr>
            <w:tcW w:w="0" w:type="auto"/>
            <w:vAlign w:val="center"/>
          </w:tcPr>
          <w:p w14:paraId="703AF4D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350</w:t>
            </w:r>
          </w:p>
        </w:tc>
        <w:tc>
          <w:tcPr>
            <w:tcW w:w="0" w:type="auto"/>
            <w:vMerge w:val="restart"/>
            <w:vAlign w:val="center"/>
          </w:tcPr>
          <w:p w14:paraId="3F72AEC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居住区</w:t>
            </w:r>
          </w:p>
        </w:tc>
        <w:tc>
          <w:tcPr>
            <w:tcW w:w="0" w:type="auto"/>
            <w:vAlign w:val="center"/>
          </w:tcPr>
          <w:p w14:paraId="5D4391F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850</w:t>
            </w:r>
          </w:p>
        </w:tc>
      </w:tr>
      <w:tr w14:paraId="1DE86E1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Merge w:val="continue"/>
            <w:vAlign w:val="center"/>
          </w:tcPr>
          <w:p w14:paraId="4277289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p>
        </w:tc>
        <w:tc>
          <w:tcPr>
            <w:tcW w:w="0" w:type="auto"/>
            <w:vAlign w:val="center"/>
          </w:tcPr>
          <w:p w14:paraId="13AAF0F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2</w:t>
            </w:r>
          </w:p>
        </w:tc>
        <w:tc>
          <w:tcPr>
            <w:tcW w:w="0" w:type="auto"/>
            <w:vAlign w:val="center"/>
          </w:tcPr>
          <w:p w14:paraId="49AC022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香悦馨领域</w:t>
            </w:r>
          </w:p>
        </w:tc>
        <w:tc>
          <w:tcPr>
            <w:tcW w:w="0" w:type="auto"/>
            <w:vAlign w:val="center"/>
          </w:tcPr>
          <w:p w14:paraId="16896FA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SW</w:t>
            </w:r>
          </w:p>
        </w:tc>
        <w:tc>
          <w:tcPr>
            <w:tcW w:w="0" w:type="auto"/>
            <w:vAlign w:val="center"/>
          </w:tcPr>
          <w:p w14:paraId="461E144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750</w:t>
            </w:r>
          </w:p>
        </w:tc>
        <w:tc>
          <w:tcPr>
            <w:tcW w:w="0" w:type="auto"/>
            <w:vMerge w:val="continue"/>
            <w:vAlign w:val="center"/>
          </w:tcPr>
          <w:p w14:paraId="1F3738F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p>
        </w:tc>
        <w:tc>
          <w:tcPr>
            <w:tcW w:w="0" w:type="auto"/>
            <w:vAlign w:val="center"/>
          </w:tcPr>
          <w:p w14:paraId="179B694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9500</w:t>
            </w:r>
          </w:p>
        </w:tc>
      </w:tr>
      <w:tr w14:paraId="51DEF62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Merge w:val="continue"/>
            <w:vAlign w:val="center"/>
          </w:tcPr>
          <w:p w14:paraId="201B7DF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p>
        </w:tc>
        <w:tc>
          <w:tcPr>
            <w:tcW w:w="0" w:type="auto"/>
            <w:vAlign w:val="center"/>
          </w:tcPr>
          <w:p w14:paraId="0428DA7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3</w:t>
            </w:r>
          </w:p>
        </w:tc>
        <w:tc>
          <w:tcPr>
            <w:tcW w:w="0" w:type="auto"/>
            <w:vAlign w:val="center"/>
          </w:tcPr>
          <w:p w14:paraId="4043F0E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香悦蓝天下</w:t>
            </w:r>
          </w:p>
        </w:tc>
        <w:tc>
          <w:tcPr>
            <w:tcW w:w="0" w:type="auto"/>
            <w:vAlign w:val="center"/>
          </w:tcPr>
          <w:p w14:paraId="55A6ED4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SW</w:t>
            </w:r>
          </w:p>
        </w:tc>
        <w:tc>
          <w:tcPr>
            <w:tcW w:w="0" w:type="auto"/>
            <w:vAlign w:val="center"/>
          </w:tcPr>
          <w:p w14:paraId="7139A65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1010</w:t>
            </w:r>
          </w:p>
        </w:tc>
        <w:tc>
          <w:tcPr>
            <w:tcW w:w="0" w:type="auto"/>
            <w:vMerge w:val="continue"/>
            <w:vAlign w:val="center"/>
          </w:tcPr>
          <w:p w14:paraId="0B59F6A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p>
        </w:tc>
        <w:tc>
          <w:tcPr>
            <w:tcW w:w="0" w:type="auto"/>
            <w:vAlign w:val="center"/>
          </w:tcPr>
          <w:p w14:paraId="26FA6CF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13300</w:t>
            </w:r>
          </w:p>
        </w:tc>
      </w:tr>
      <w:tr w14:paraId="54E2720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Merge w:val="continue"/>
            <w:vAlign w:val="center"/>
          </w:tcPr>
          <w:p w14:paraId="2551875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p>
        </w:tc>
        <w:tc>
          <w:tcPr>
            <w:tcW w:w="0" w:type="auto"/>
            <w:vAlign w:val="center"/>
          </w:tcPr>
          <w:p w14:paraId="1ECF156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4</w:t>
            </w:r>
          </w:p>
        </w:tc>
        <w:tc>
          <w:tcPr>
            <w:tcW w:w="0" w:type="auto"/>
            <w:vAlign w:val="center"/>
          </w:tcPr>
          <w:p w14:paraId="62BD856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哈飞家园</w:t>
            </w:r>
          </w:p>
        </w:tc>
        <w:tc>
          <w:tcPr>
            <w:tcW w:w="0" w:type="auto"/>
            <w:vAlign w:val="center"/>
          </w:tcPr>
          <w:p w14:paraId="1CDAC24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SW</w:t>
            </w:r>
          </w:p>
        </w:tc>
        <w:tc>
          <w:tcPr>
            <w:tcW w:w="0" w:type="auto"/>
            <w:vAlign w:val="center"/>
          </w:tcPr>
          <w:p w14:paraId="1062ACE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990</w:t>
            </w:r>
          </w:p>
        </w:tc>
        <w:tc>
          <w:tcPr>
            <w:tcW w:w="0" w:type="auto"/>
            <w:vMerge w:val="continue"/>
            <w:vAlign w:val="center"/>
          </w:tcPr>
          <w:p w14:paraId="5F4427C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p>
        </w:tc>
        <w:tc>
          <w:tcPr>
            <w:tcW w:w="0" w:type="auto"/>
            <w:vAlign w:val="center"/>
          </w:tcPr>
          <w:p w14:paraId="635D588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13800</w:t>
            </w:r>
          </w:p>
        </w:tc>
      </w:tr>
      <w:tr w14:paraId="2B25853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Merge w:val="continue"/>
            <w:vAlign w:val="center"/>
          </w:tcPr>
          <w:p w14:paraId="1AF5DF9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p>
        </w:tc>
        <w:tc>
          <w:tcPr>
            <w:tcW w:w="0" w:type="auto"/>
            <w:gridSpan w:val="5"/>
            <w:vAlign w:val="center"/>
          </w:tcPr>
          <w:p w14:paraId="2AD55E1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厂址周边500m范围内人口数小计</w:t>
            </w:r>
          </w:p>
        </w:tc>
        <w:tc>
          <w:tcPr>
            <w:tcW w:w="0" w:type="auto"/>
            <w:vAlign w:val="center"/>
          </w:tcPr>
          <w:p w14:paraId="4994036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850</w:t>
            </w:r>
          </w:p>
        </w:tc>
      </w:tr>
      <w:tr w14:paraId="0823E76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Merge w:val="continue"/>
            <w:vAlign w:val="center"/>
          </w:tcPr>
          <w:p w14:paraId="4A92CC2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p>
        </w:tc>
        <w:tc>
          <w:tcPr>
            <w:tcW w:w="0" w:type="auto"/>
            <w:gridSpan w:val="5"/>
            <w:vAlign w:val="center"/>
          </w:tcPr>
          <w:p w14:paraId="6A2907C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厂址周边5km范围内人口数小计</w:t>
            </w:r>
          </w:p>
        </w:tc>
        <w:tc>
          <w:tcPr>
            <w:tcW w:w="0" w:type="auto"/>
            <w:vAlign w:val="center"/>
          </w:tcPr>
          <w:p w14:paraId="13545BB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272170</w:t>
            </w:r>
          </w:p>
        </w:tc>
      </w:tr>
      <w:tr w14:paraId="2975554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Merge w:val="continue"/>
            <w:vAlign w:val="center"/>
          </w:tcPr>
          <w:p w14:paraId="3A06BBA9">
            <w:pPr>
              <w:keepNext w:val="0"/>
              <w:keepLines w:val="0"/>
              <w:suppressLineNumbers w:val="0"/>
              <w:spacing w:before="0" w:beforeAutospacing="0" w:after="0" w:afterAutospacing="0"/>
              <w:ind w:left="0" w:right="0"/>
              <w:jc w:val="center"/>
              <w:rPr>
                <w:rFonts w:hint="default" w:eastAsiaTheme="minorEastAsia"/>
                <w:szCs w:val="21"/>
                <w:highlight w:val="none"/>
              </w:rPr>
            </w:pPr>
          </w:p>
        </w:tc>
        <w:tc>
          <w:tcPr>
            <w:tcW w:w="0" w:type="auto"/>
            <w:gridSpan w:val="5"/>
            <w:vAlign w:val="center"/>
          </w:tcPr>
          <w:p w14:paraId="7362979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大气环境敏感程度E值</w:t>
            </w:r>
          </w:p>
        </w:tc>
        <w:tc>
          <w:tcPr>
            <w:tcW w:w="0" w:type="auto"/>
            <w:vAlign w:val="center"/>
          </w:tcPr>
          <w:p w14:paraId="7346FF0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E1</w:t>
            </w:r>
          </w:p>
        </w:tc>
      </w:tr>
    </w:tbl>
    <w:p w14:paraId="2367BB7D">
      <w:pPr>
        <w:spacing w:line="360" w:lineRule="auto"/>
        <w:ind w:firstLine="460" w:firstLineChars="192"/>
        <w:rPr>
          <w:rFonts w:eastAsiaTheme="minorEastAsia"/>
          <w:sz w:val="24"/>
          <w:highlight w:val="none"/>
        </w:rPr>
      </w:pPr>
      <w:r>
        <w:rPr>
          <w:rFonts w:hint="eastAsia" w:eastAsiaTheme="minorEastAsia"/>
          <w:sz w:val="24"/>
          <w:highlight w:val="none"/>
        </w:rPr>
        <w:t>3、</w:t>
      </w:r>
      <w:r>
        <w:rPr>
          <w:rFonts w:eastAsiaTheme="minorEastAsia"/>
          <w:sz w:val="24"/>
          <w:highlight w:val="none"/>
        </w:rPr>
        <w:t>大气环境风险潜势初判</w:t>
      </w:r>
    </w:p>
    <w:p w14:paraId="203E59F9">
      <w:pPr>
        <w:spacing w:line="360" w:lineRule="auto"/>
        <w:ind w:firstLine="460" w:firstLineChars="192"/>
        <w:rPr>
          <w:rFonts w:eastAsiaTheme="minorEastAsia"/>
          <w:sz w:val="24"/>
          <w:highlight w:val="none"/>
        </w:rPr>
      </w:pPr>
      <w:r>
        <w:rPr>
          <w:rFonts w:eastAsiaTheme="minorEastAsia"/>
          <w:sz w:val="24"/>
          <w:highlight w:val="none"/>
        </w:rPr>
        <w:t>本项目大气环境风险潜势</w:t>
      </w:r>
      <w:r>
        <w:rPr>
          <w:rFonts w:hint="default" w:ascii="Times New Roman" w:hAnsi="Times New Roman" w:cs="Times New Roman" w:eastAsiaTheme="minorEastAsia"/>
          <w:sz w:val="24"/>
          <w:highlight w:val="none"/>
        </w:rPr>
        <w:t>为</w:t>
      </w:r>
      <w:r>
        <w:rPr>
          <w:rFonts w:hint="default" w:ascii="Times New Roman" w:hAnsi="Times New Roman" w:cs="Times New Roman"/>
          <w:sz w:val="23"/>
          <w:szCs w:val="23"/>
          <w:highlight w:val="none"/>
        </w:rPr>
        <w:t>Ⅲ</w:t>
      </w:r>
      <w:r>
        <w:rPr>
          <w:rFonts w:hint="default" w:ascii="Times New Roman" w:hAnsi="Times New Roman" w:cs="Times New Roman" w:eastAsiaTheme="minorEastAsia"/>
          <w:sz w:val="24"/>
          <w:highlight w:val="none"/>
        </w:rPr>
        <w:t>，</w:t>
      </w:r>
      <w:r>
        <w:rPr>
          <w:rFonts w:eastAsiaTheme="minorEastAsia"/>
          <w:sz w:val="24"/>
          <w:highlight w:val="none"/>
        </w:rPr>
        <w:t>风险潜势划分见下表。</w:t>
      </w:r>
    </w:p>
    <w:p w14:paraId="0CD08895">
      <w:pPr>
        <w:pStyle w:val="7"/>
        <w:bidi w:val="0"/>
        <w:rPr>
          <w:highlight w:val="none"/>
        </w:rPr>
      </w:pPr>
      <w:r>
        <w:rPr>
          <w:highlight w:val="none"/>
        </w:rPr>
        <w:t>表</w:t>
      </w:r>
      <w:r>
        <w:rPr>
          <w:rFonts w:hint="eastAsia"/>
          <w:highlight w:val="none"/>
        </w:rPr>
        <w:t xml:space="preserve">5-2-29 </w:t>
      </w:r>
      <w:r>
        <w:rPr>
          <w:highlight w:val="none"/>
        </w:rPr>
        <w:t>建设项目大气环境敏感程度特征表</w:t>
      </w:r>
    </w:p>
    <w:tbl>
      <w:tblPr>
        <w:tblStyle w:val="45"/>
        <w:tblW w:w="8527" w:type="dxa"/>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 w:type="dxa"/>
          <w:bottom w:w="0" w:type="dxa"/>
          <w:right w:w="10" w:type="dxa"/>
        </w:tblCellMar>
      </w:tblPr>
      <w:tblGrid>
        <w:gridCol w:w="2243"/>
        <w:gridCol w:w="1571"/>
        <w:gridCol w:w="1571"/>
        <w:gridCol w:w="1571"/>
        <w:gridCol w:w="1571"/>
      </w:tblGrid>
      <w:tr w14:paraId="28BC90A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Merge w:val="restart"/>
            <w:vAlign w:val="center"/>
          </w:tcPr>
          <w:p w14:paraId="0318241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环境敏感程度（E）</w:t>
            </w:r>
          </w:p>
        </w:tc>
        <w:tc>
          <w:tcPr>
            <w:tcW w:w="0" w:type="auto"/>
            <w:gridSpan w:val="4"/>
            <w:vAlign w:val="center"/>
          </w:tcPr>
          <w:p w14:paraId="2F423A6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危险物质及工艺系统危险性（P）</w:t>
            </w:r>
          </w:p>
        </w:tc>
      </w:tr>
      <w:tr w14:paraId="23A8E25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Merge w:val="continue"/>
            <w:vAlign w:val="center"/>
          </w:tcPr>
          <w:p w14:paraId="5297C3F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p>
        </w:tc>
        <w:tc>
          <w:tcPr>
            <w:tcW w:w="0" w:type="auto"/>
            <w:vAlign w:val="center"/>
          </w:tcPr>
          <w:p w14:paraId="71AD9F5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极高危害（P1）</w:t>
            </w:r>
          </w:p>
        </w:tc>
        <w:tc>
          <w:tcPr>
            <w:tcW w:w="0" w:type="auto"/>
            <w:vAlign w:val="center"/>
          </w:tcPr>
          <w:p w14:paraId="6479D91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高度危害（P2）</w:t>
            </w:r>
          </w:p>
        </w:tc>
        <w:tc>
          <w:tcPr>
            <w:tcW w:w="0" w:type="auto"/>
            <w:vAlign w:val="center"/>
          </w:tcPr>
          <w:p w14:paraId="73D2C81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中度危害（P3）</w:t>
            </w:r>
          </w:p>
        </w:tc>
        <w:tc>
          <w:tcPr>
            <w:tcW w:w="0" w:type="auto"/>
            <w:vAlign w:val="center"/>
          </w:tcPr>
          <w:p w14:paraId="227F2A8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轻度危害（P4）</w:t>
            </w:r>
          </w:p>
        </w:tc>
      </w:tr>
      <w:tr w14:paraId="2EC8B5E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Align w:val="center"/>
          </w:tcPr>
          <w:p w14:paraId="4F576FA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环境高度敏感区（E1）</w:t>
            </w:r>
          </w:p>
        </w:tc>
        <w:tc>
          <w:tcPr>
            <w:tcW w:w="0" w:type="auto"/>
            <w:vAlign w:val="center"/>
          </w:tcPr>
          <w:p w14:paraId="3500486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Ⅳ+</w:t>
            </w:r>
          </w:p>
        </w:tc>
        <w:tc>
          <w:tcPr>
            <w:tcW w:w="0" w:type="auto"/>
            <w:vAlign w:val="center"/>
          </w:tcPr>
          <w:p w14:paraId="261A36A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Ⅳ</w:t>
            </w:r>
          </w:p>
        </w:tc>
        <w:tc>
          <w:tcPr>
            <w:tcW w:w="0" w:type="auto"/>
            <w:vAlign w:val="center"/>
          </w:tcPr>
          <w:p w14:paraId="3173AAA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Ⅲ</w:t>
            </w:r>
          </w:p>
        </w:tc>
        <w:tc>
          <w:tcPr>
            <w:tcW w:w="0" w:type="auto"/>
            <w:vAlign w:val="center"/>
          </w:tcPr>
          <w:p w14:paraId="6742603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Ⅲ</w:t>
            </w:r>
          </w:p>
        </w:tc>
      </w:tr>
      <w:tr w14:paraId="2111A30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Align w:val="center"/>
          </w:tcPr>
          <w:p w14:paraId="3E8BB04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环境中度敏感区（E2）</w:t>
            </w:r>
          </w:p>
        </w:tc>
        <w:tc>
          <w:tcPr>
            <w:tcW w:w="0" w:type="auto"/>
            <w:vAlign w:val="center"/>
          </w:tcPr>
          <w:p w14:paraId="1960A49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Ⅳ</w:t>
            </w:r>
          </w:p>
        </w:tc>
        <w:tc>
          <w:tcPr>
            <w:tcW w:w="0" w:type="auto"/>
            <w:vAlign w:val="center"/>
          </w:tcPr>
          <w:p w14:paraId="5A66371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Ⅲ</w:t>
            </w:r>
          </w:p>
        </w:tc>
        <w:tc>
          <w:tcPr>
            <w:tcW w:w="0" w:type="auto"/>
            <w:vAlign w:val="center"/>
          </w:tcPr>
          <w:p w14:paraId="59497AE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Ⅲ</w:t>
            </w:r>
          </w:p>
        </w:tc>
        <w:tc>
          <w:tcPr>
            <w:tcW w:w="0" w:type="auto"/>
            <w:vAlign w:val="center"/>
          </w:tcPr>
          <w:p w14:paraId="13C1A26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Ⅱ</w:t>
            </w:r>
          </w:p>
        </w:tc>
      </w:tr>
      <w:tr w14:paraId="18C046E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Align w:val="center"/>
          </w:tcPr>
          <w:p w14:paraId="6B81D56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环境低度敏感区（E3）</w:t>
            </w:r>
          </w:p>
        </w:tc>
        <w:tc>
          <w:tcPr>
            <w:tcW w:w="0" w:type="auto"/>
            <w:vAlign w:val="center"/>
          </w:tcPr>
          <w:p w14:paraId="22B8D42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Ⅲ</w:t>
            </w:r>
          </w:p>
        </w:tc>
        <w:tc>
          <w:tcPr>
            <w:tcW w:w="0" w:type="auto"/>
            <w:vAlign w:val="center"/>
          </w:tcPr>
          <w:p w14:paraId="32D1E7C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Ⅲ</w:t>
            </w:r>
          </w:p>
        </w:tc>
        <w:tc>
          <w:tcPr>
            <w:tcW w:w="0" w:type="auto"/>
            <w:vAlign w:val="center"/>
          </w:tcPr>
          <w:p w14:paraId="13E2B56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Ⅱ</w:t>
            </w:r>
          </w:p>
        </w:tc>
        <w:tc>
          <w:tcPr>
            <w:tcW w:w="0" w:type="auto"/>
            <w:vAlign w:val="center"/>
          </w:tcPr>
          <w:p w14:paraId="591E3B8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Ⅰ</w:t>
            </w:r>
          </w:p>
        </w:tc>
      </w:tr>
      <w:tr w14:paraId="51CAB65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gridSpan w:val="5"/>
            <w:vAlign w:val="center"/>
          </w:tcPr>
          <w:p w14:paraId="6BECA72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注：Ⅳ+为极高环境风险。</w:t>
            </w:r>
          </w:p>
        </w:tc>
      </w:tr>
    </w:tbl>
    <w:p w14:paraId="303F02A6">
      <w:pPr>
        <w:spacing w:line="360" w:lineRule="auto"/>
        <w:ind w:firstLine="460" w:firstLineChars="192"/>
        <w:rPr>
          <w:rFonts w:eastAsiaTheme="minorEastAsia"/>
          <w:sz w:val="24"/>
          <w:highlight w:val="none"/>
        </w:rPr>
      </w:pPr>
      <w:r>
        <w:rPr>
          <w:rFonts w:eastAsiaTheme="minorEastAsia"/>
          <w:sz w:val="24"/>
          <w:highlight w:val="none"/>
        </w:rPr>
        <w:t>本项目大气环境风险评价等级为二级。判定原则见下表</w:t>
      </w:r>
      <w:r>
        <w:rPr>
          <w:rFonts w:hint="eastAsia" w:eastAsiaTheme="minorEastAsia"/>
          <w:sz w:val="24"/>
          <w:highlight w:val="none"/>
        </w:rPr>
        <w:t>。</w:t>
      </w:r>
    </w:p>
    <w:p w14:paraId="52D0C7F4">
      <w:pPr>
        <w:pStyle w:val="7"/>
        <w:bidi w:val="0"/>
        <w:rPr>
          <w:highlight w:val="none"/>
        </w:rPr>
      </w:pPr>
      <w:r>
        <w:rPr>
          <w:highlight w:val="none"/>
        </w:rPr>
        <w:t>表</w:t>
      </w:r>
      <w:r>
        <w:rPr>
          <w:rFonts w:hint="eastAsia"/>
          <w:highlight w:val="none"/>
        </w:rPr>
        <w:t xml:space="preserve">5-2-30 </w:t>
      </w:r>
      <w:r>
        <w:rPr>
          <w:highlight w:val="none"/>
        </w:rPr>
        <w:t>大气环境评价工作等级划分</w:t>
      </w:r>
    </w:p>
    <w:tbl>
      <w:tblPr>
        <w:tblStyle w:val="45"/>
        <w:tblW w:w="8527" w:type="dxa"/>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 w:type="dxa"/>
          <w:bottom w:w="0" w:type="dxa"/>
          <w:right w:w="10" w:type="dxa"/>
        </w:tblCellMar>
      </w:tblPr>
      <w:tblGrid>
        <w:gridCol w:w="3136"/>
        <w:gridCol w:w="1639"/>
        <w:gridCol w:w="1444"/>
        <w:gridCol w:w="1112"/>
        <w:gridCol w:w="1196"/>
      </w:tblGrid>
      <w:tr w14:paraId="27C3EE7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3221" w:type="dxa"/>
            <w:vAlign w:val="center"/>
          </w:tcPr>
          <w:p w14:paraId="67D5120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环境风险潜势</w:t>
            </w:r>
          </w:p>
        </w:tc>
        <w:tc>
          <w:tcPr>
            <w:tcW w:w="1581" w:type="dxa"/>
            <w:vAlign w:val="center"/>
          </w:tcPr>
          <w:p w14:paraId="592C25B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Ⅳ、Ⅳ+</w:t>
            </w:r>
          </w:p>
        </w:tc>
        <w:tc>
          <w:tcPr>
            <w:tcW w:w="1445" w:type="dxa"/>
            <w:vAlign w:val="center"/>
          </w:tcPr>
          <w:p w14:paraId="6CA7247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Ⅲ</w:t>
            </w:r>
          </w:p>
        </w:tc>
        <w:tc>
          <w:tcPr>
            <w:tcW w:w="1096" w:type="dxa"/>
            <w:vAlign w:val="center"/>
          </w:tcPr>
          <w:p w14:paraId="620DA3E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Ⅱ</w:t>
            </w:r>
          </w:p>
        </w:tc>
        <w:tc>
          <w:tcPr>
            <w:tcW w:w="1184" w:type="dxa"/>
            <w:vAlign w:val="center"/>
          </w:tcPr>
          <w:p w14:paraId="35409D3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Ⅰ</w:t>
            </w:r>
          </w:p>
        </w:tc>
      </w:tr>
      <w:tr w14:paraId="0A1D08D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3221" w:type="dxa"/>
            <w:vAlign w:val="center"/>
          </w:tcPr>
          <w:p w14:paraId="0ACBDF7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评价工作等级</w:t>
            </w:r>
          </w:p>
        </w:tc>
        <w:tc>
          <w:tcPr>
            <w:tcW w:w="1581" w:type="dxa"/>
            <w:vAlign w:val="center"/>
          </w:tcPr>
          <w:p w14:paraId="55B3DC7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一</w:t>
            </w:r>
          </w:p>
        </w:tc>
        <w:tc>
          <w:tcPr>
            <w:tcW w:w="1445" w:type="dxa"/>
            <w:vAlign w:val="center"/>
          </w:tcPr>
          <w:p w14:paraId="6FADA6B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二</w:t>
            </w:r>
          </w:p>
        </w:tc>
        <w:tc>
          <w:tcPr>
            <w:tcW w:w="1096" w:type="dxa"/>
            <w:vAlign w:val="center"/>
          </w:tcPr>
          <w:p w14:paraId="1F7814A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三</w:t>
            </w:r>
          </w:p>
        </w:tc>
        <w:tc>
          <w:tcPr>
            <w:tcW w:w="1184" w:type="dxa"/>
            <w:vAlign w:val="center"/>
          </w:tcPr>
          <w:p w14:paraId="405153B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简单分析a</w:t>
            </w:r>
          </w:p>
        </w:tc>
      </w:tr>
      <w:tr w14:paraId="3C8279E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gridSpan w:val="5"/>
            <w:vAlign w:val="center"/>
          </w:tcPr>
          <w:p w14:paraId="3938217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a是相对于详细评价工作内容而言，在描述危险物质、环境影响途径、环境危害后果、风险防范措施等方面给出定性的说明。</w:t>
            </w:r>
          </w:p>
        </w:tc>
      </w:tr>
    </w:tbl>
    <w:p w14:paraId="61542BF7">
      <w:pPr>
        <w:spacing w:line="360" w:lineRule="auto"/>
        <w:ind w:firstLine="460" w:firstLineChars="192"/>
        <w:rPr>
          <w:rFonts w:eastAsiaTheme="minorEastAsia"/>
          <w:sz w:val="24"/>
          <w:highlight w:val="none"/>
        </w:rPr>
      </w:pPr>
      <w:r>
        <w:rPr>
          <w:rFonts w:hint="eastAsia" w:eastAsiaTheme="minorEastAsia"/>
          <w:sz w:val="24"/>
          <w:highlight w:val="none"/>
        </w:rPr>
        <w:t>4、</w:t>
      </w:r>
      <w:r>
        <w:rPr>
          <w:rFonts w:eastAsiaTheme="minorEastAsia"/>
          <w:sz w:val="24"/>
          <w:highlight w:val="none"/>
        </w:rPr>
        <w:t>风险识别及源强汇总</w:t>
      </w:r>
    </w:p>
    <w:p w14:paraId="280F71AC">
      <w:pPr>
        <w:pStyle w:val="7"/>
        <w:bidi w:val="0"/>
        <w:rPr>
          <w:highlight w:val="none"/>
        </w:rPr>
      </w:pPr>
      <w:r>
        <w:rPr>
          <w:highlight w:val="none"/>
        </w:rPr>
        <w:t>表</w:t>
      </w:r>
      <w:r>
        <w:rPr>
          <w:rFonts w:hint="eastAsia"/>
          <w:highlight w:val="none"/>
        </w:rPr>
        <w:t xml:space="preserve">5-2-31 </w:t>
      </w:r>
      <w:r>
        <w:rPr>
          <w:highlight w:val="none"/>
        </w:rPr>
        <w:t>建设项目源强一览表</w:t>
      </w:r>
    </w:p>
    <w:tbl>
      <w:tblPr>
        <w:tblStyle w:val="45"/>
        <w:tblW w:w="8527" w:type="dxa"/>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 w:type="dxa"/>
          <w:bottom w:w="0" w:type="dxa"/>
          <w:right w:w="10" w:type="dxa"/>
        </w:tblCellMar>
      </w:tblPr>
      <w:tblGrid>
        <w:gridCol w:w="333"/>
        <w:gridCol w:w="956"/>
        <w:gridCol w:w="853"/>
        <w:gridCol w:w="541"/>
        <w:gridCol w:w="541"/>
        <w:gridCol w:w="1095"/>
        <w:gridCol w:w="1096"/>
        <w:gridCol w:w="1233"/>
        <w:gridCol w:w="853"/>
        <w:gridCol w:w="1026"/>
      </w:tblGrid>
      <w:tr w14:paraId="63CA83D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321" w:hRule="atLeast"/>
        </w:trPr>
        <w:tc>
          <w:tcPr>
            <w:tcW w:w="0" w:type="auto"/>
            <w:vAlign w:val="center"/>
          </w:tcPr>
          <w:p w14:paraId="264B73B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序号</w:t>
            </w:r>
          </w:p>
        </w:tc>
        <w:tc>
          <w:tcPr>
            <w:tcW w:w="0" w:type="auto"/>
            <w:vAlign w:val="center"/>
          </w:tcPr>
          <w:p w14:paraId="297A31A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风险事故情形描述</w:t>
            </w:r>
          </w:p>
        </w:tc>
        <w:tc>
          <w:tcPr>
            <w:tcW w:w="0" w:type="auto"/>
            <w:vAlign w:val="center"/>
          </w:tcPr>
          <w:p w14:paraId="00DD13B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危险单元</w:t>
            </w:r>
          </w:p>
        </w:tc>
        <w:tc>
          <w:tcPr>
            <w:tcW w:w="0" w:type="auto"/>
            <w:vAlign w:val="center"/>
          </w:tcPr>
          <w:p w14:paraId="04B5462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危险物质</w:t>
            </w:r>
          </w:p>
        </w:tc>
        <w:tc>
          <w:tcPr>
            <w:tcW w:w="0" w:type="auto"/>
            <w:vAlign w:val="center"/>
          </w:tcPr>
          <w:p w14:paraId="3790C39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影响途径</w:t>
            </w:r>
          </w:p>
        </w:tc>
        <w:tc>
          <w:tcPr>
            <w:tcW w:w="0" w:type="auto"/>
            <w:vAlign w:val="center"/>
          </w:tcPr>
          <w:p w14:paraId="34F75E0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释放或泄露速率(kg/s)</w:t>
            </w:r>
          </w:p>
        </w:tc>
        <w:tc>
          <w:tcPr>
            <w:tcW w:w="0" w:type="auto"/>
            <w:vAlign w:val="center"/>
          </w:tcPr>
          <w:p w14:paraId="13E372B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释放或泄露时间(min)</w:t>
            </w:r>
          </w:p>
        </w:tc>
        <w:tc>
          <w:tcPr>
            <w:tcW w:w="0" w:type="auto"/>
            <w:vAlign w:val="center"/>
          </w:tcPr>
          <w:p w14:paraId="7667A03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最大释放或者泄露量(kg)</w:t>
            </w:r>
          </w:p>
        </w:tc>
        <w:tc>
          <w:tcPr>
            <w:tcW w:w="0" w:type="auto"/>
            <w:vAlign w:val="center"/>
          </w:tcPr>
          <w:p w14:paraId="44BF734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气象数据名称</w:t>
            </w:r>
          </w:p>
        </w:tc>
        <w:tc>
          <w:tcPr>
            <w:tcW w:w="0" w:type="auto"/>
            <w:vAlign w:val="center"/>
          </w:tcPr>
          <w:p w14:paraId="58811F0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泄露液池蒸发量(kg)</w:t>
            </w:r>
          </w:p>
        </w:tc>
      </w:tr>
      <w:tr w14:paraId="5F352C5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Align w:val="center"/>
          </w:tcPr>
          <w:p w14:paraId="5CFFC92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w:t>
            </w:r>
          </w:p>
        </w:tc>
        <w:tc>
          <w:tcPr>
            <w:tcW w:w="0" w:type="auto"/>
            <w:vAlign w:val="center"/>
          </w:tcPr>
          <w:p w14:paraId="46C95E3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短时或持续泄露</w:t>
            </w:r>
          </w:p>
        </w:tc>
        <w:tc>
          <w:tcPr>
            <w:tcW w:w="0" w:type="auto"/>
            <w:vAlign w:val="center"/>
          </w:tcPr>
          <w:p w14:paraId="498E307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油类物质存储区</w:t>
            </w:r>
          </w:p>
        </w:tc>
        <w:tc>
          <w:tcPr>
            <w:tcW w:w="0" w:type="auto"/>
            <w:vAlign w:val="center"/>
          </w:tcPr>
          <w:p w14:paraId="5BFACBC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二氧化硫</w:t>
            </w:r>
          </w:p>
        </w:tc>
        <w:tc>
          <w:tcPr>
            <w:tcW w:w="0" w:type="auto"/>
            <w:vAlign w:val="center"/>
          </w:tcPr>
          <w:p w14:paraId="00F8051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大气</w:t>
            </w:r>
          </w:p>
        </w:tc>
        <w:tc>
          <w:tcPr>
            <w:tcW w:w="0" w:type="auto"/>
            <w:vAlign w:val="center"/>
          </w:tcPr>
          <w:p w14:paraId="59C46A1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6.0000</w:t>
            </w:r>
          </w:p>
        </w:tc>
        <w:tc>
          <w:tcPr>
            <w:tcW w:w="0" w:type="auto"/>
            <w:vAlign w:val="center"/>
          </w:tcPr>
          <w:p w14:paraId="6C80E38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10.00</w:t>
            </w:r>
          </w:p>
        </w:tc>
        <w:tc>
          <w:tcPr>
            <w:tcW w:w="0" w:type="auto"/>
            <w:vAlign w:val="center"/>
          </w:tcPr>
          <w:p w14:paraId="1DB8869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3600.0000</w:t>
            </w:r>
          </w:p>
        </w:tc>
        <w:tc>
          <w:tcPr>
            <w:tcW w:w="0" w:type="auto"/>
            <w:vAlign w:val="center"/>
          </w:tcPr>
          <w:p w14:paraId="16EEBEF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最不利气象条件</w:t>
            </w:r>
          </w:p>
        </w:tc>
        <w:tc>
          <w:tcPr>
            <w:tcW w:w="0" w:type="auto"/>
            <w:vAlign w:val="center"/>
          </w:tcPr>
          <w:p w14:paraId="0E82D81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r>
      <w:tr w14:paraId="3EE1E28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800" w:hRule="atLeast"/>
        </w:trPr>
        <w:tc>
          <w:tcPr>
            <w:tcW w:w="0" w:type="auto"/>
            <w:vAlign w:val="center"/>
          </w:tcPr>
          <w:p w14:paraId="6B6490D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2</w:t>
            </w:r>
          </w:p>
        </w:tc>
        <w:tc>
          <w:tcPr>
            <w:tcW w:w="0" w:type="auto"/>
            <w:vAlign w:val="center"/>
          </w:tcPr>
          <w:p w14:paraId="1B61DCE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短时或持续泄露</w:t>
            </w:r>
          </w:p>
        </w:tc>
        <w:tc>
          <w:tcPr>
            <w:tcW w:w="0" w:type="auto"/>
            <w:vAlign w:val="center"/>
          </w:tcPr>
          <w:p w14:paraId="3F58FAE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油类物质存储区</w:t>
            </w:r>
          </w:p>
        </w:tc>
        <w:tc>
          <w:tcPr>
            <w:tcW w:w="0" w:type="auto"/>
            <w:vAlign w:val="center"/>
          </w:tcPr>
          <w:p w14:paraId="52234DB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甲醛</w:t>
            </w:r>
          </w:p>
        </w:tc>
        <w:tc>
          <w:tcPr>
            <w:tcW w:w="0" w:type="auto"/>
            <w:vAlign w:val="center"/>
          </w:tcPr>
          <w:p w14:paraId="113E477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大气</w:t>
            </w:r>
          </w:p>
        </w:tc>
        <w:tc>
          <w:tcPr>
            <w:tcW w:w="0" w:type="auto"/>
            <w:vAlign w:val="center"/>
          </w:tcPr>
          <w:p w14:paraId="1EE9CA7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0.0400</w:t>
            </w:r>
          </w:p>
        </w:tc>
        <w:tc>
          <w:tcPr>
            <w:tcW w:w="0" w:type="auto"/>
            <w:vAlign w:val="center"/>
          </w:tcPr>
          <w:p w14:paraId="7813DE7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10.00</w:t>
            </w:r>
          </w:p>
        </w:tc>
        <w:tc>
          <w:tcPr>
            <w:tcW w:w="0" w:type="auto"/>
            <w:vAlign w:val="center"/>
          </w:tcPr>
          <w:p w14:paraId="3FF9BD7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24.0000</w:t>
            </w:r>
          </w:p>
        </w:tc>
        <w:tc>
          <w:tcPr>
            <w:tcW w:w="0" w:type="auto"/>
            <w:vAlign w:val="center"/>
          </w:tcPr>
          <w:p w14:paraId="028F7DE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最不利气象条件</w:t>
            </w:r>
          </w:p>
        </w:tc>
        <w:tc>
          <w:tcPr>
            <w:tcW w:w="0" w:type="auto"/>
            <w:vAlign w:val="center"/>
          </w:tcPr>
          <w:p w14:paraId="21AFEEF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r>
      <w:tr w14:paraId="37F17BD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800" w:hRule="atLeast"/>
        </w:trPr>
        <w:tc>
          <w:tcPr>
            <w:tcW w:w="0" w:type="auto"/>
            <w:vAlign w:val="center"/>
          </w:tcPr>
          <w:p w14:paraId="6A4A55A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3</w:t>
            </w:r>
          </w:p>
        </w:tc>
        <w:tc>
          <w:tcPr>
            <w:tcW w:w="0" w:type="auto"/>
            <w:vAlign w:val="center"/>
          </w:tcPr>
          <w:p w14:paraId="423E5F8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短时或持续泄露</w:t>
            </w:r>
          </w:p>
        </w:tc>
        <w:tc>
          <w:tcPr>
            <w:tcW w:w="0" w:type="auto"/>
            <w:vAlign w:val="center"/>
          </w:tcPr>
          <w:p w14:paraId="3E917EE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油类物质存储区</w:t>
            </w:r>
          </w:p>
        </w:tc>
        <w:tc>
          <w:tcPr>
            <w:tcW w:w="0" w:type="auto"/>
            <w:vAlign w:val="center"/>
          </w:tcPr>
          <w:p w14:paraId="5398105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一氧化碳</w:t>
            </w:r>
          </w:p>
        </w:tc>
        <w:tc>
          <w:tcPr>
            <w:tcW w:w="0" w:type="auto"/>
            <w:vAlign w:val="center"/>
          </w:tcPr>
          <w:p w14:paraId="3D446C7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大气</w:t>
            </w:r>
          </w:p>
        </w:tc>
        <w:tc>
          <w:tcPr>
            <w:tcW w:w="0" w:type="auto"/>
            <w:vAlign w:val="center"/>
          </w:tcPr>
          <w:p w14:paraId="26622D3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0.6600</w:t>
            </w:r>
          </w:p>
        </w:tc>
        <w:tc>
          <w:tcPr>
            <w:tcW w:w="0" w:type="auto"/>
            <w:vAlign w:val="center"/>
          </w:tcPr>
          <w:p w14:paraId="6F1F48B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10.00</w:t>
            </w:r>
          </w:p>
        </w:tc>
        <w:tc>
          <w:tcPr>
            <w:tcW w:w="0" w:type="auto"/>
            <w:vAlign w:val="center"/>
          </w:tcPr>
          <w:p w14:paraId="6E1AB93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396.0000</w:t>
            </w:r>
          </w:p>
        </w:tc>
        <w:tc>
          <w:tcPr>
            <w:tcW w:w="0" w:type="auto"/>
            <w:vAlign w:val="center"/>
          </w:tcPr>
          <w:p w14:paraId="1EB80D9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最不利气象条件</w:t>
            </w:r>
          </w:p>
        </w:tc>
        <w:tc>
          <w:tcPr>
            <w:tcW w:w="0" w:type="auto"/>
            <w:vAlign w:val="center"/>
          </w:tcPr>
          <w:p w14:paraId="194AFA5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r>
    </w:tbl>
    <w:p w14:paraId="33AAA02F">
      <w:pPr>
        <w:spacing w:line="360" w:lineRule="auto"/>
        <w:ind w:firstLine="460" w:firstLineChars="192"/>
        <w:rPr>
          <w:rFonts w:eastAsiaTheme="minorEastAsia"/>
          <w:sz w:val="24"/>
          <w:highlight w:val="none"/>
        </w:rPr>
      </w:pPr>
      <w:r>
        <w:rPr>
          <w:rFonts w:hint="eastAsia" w:eastAsiaTheme="minorEastAsia"/>
          <w:sz w:val="24"/>
          <w:highlight w:val="none"/>
        </w:rPr>
        <w:t>5</w:t>
      </w:r>
      <w:r>
        <w:rPr>
          <w:rFonts w:eastAsiaTheme="minorEastAsia"/>
          <w:sz w:val="24"/>
          <w:highlight w:val="none"/>
        </w:rPr>
        <w:t>、大气风险预测模型主要参数表</w:t>
      </w:r>
    </w:p>
    <w:p w14:paraId="512052EE">
      <w:pPr>
        <w:pStyle w:val="7"/>
        <w:bidi w:val="0"/>
        <w:rPr>
          <w:highlight w:val="none"/>
        </w:rPr>
      </w:pPr>
      <w:r>
        <w:rPr>
          <w:highlight w:val="none"/>
        </w:rPr>
        <w:t>表</w:t>
      </w:r>
      <w:r>
        <w:rPr>
          <w:rFonts w:hint="eastAsia"/>
          <w:highlight w:val="none"/>
        </w:rPr>
        <w:t xml:space="preserve">5-2-32 </w:t>
      </w:r>
      <w:r>
        <w:rPr>
          <w:highlight w:val="none"/>
        </w:rPr>
        <w:t>大气风险预测模型主要参数表</w:t>
      </w:r>
    </w:p>
    <w:tbl>
      <w:tblPr>
        <w:tblStyle w:val="45"/>
        <w:tblW w:w="8527" w:type="dxa"/>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 w:type="dxa"/>
          <w:bottom w:w="0" w:type="dxa"/>
          <w:right w:w="10" w:type="dxa"/>
        </w:tblCellMar>
      </w:tblPr>
      <w:tblGrid>
        <w:gridCol w:w="1831"/>
        <w:gridCol w:w="3522"/>
        <w:gridCol w:w="3174"/>
      </w:tblGrid>
      <w:tr w14:paraId="0E14934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rPr>
          <w:trHeight w:val="66" w:hRule="atLeast"/>
        </w:trPr>
        <w:tc>
          <w:tcPr>
            <w:tcW w:w="0" w:type="auto"/>
            <w:gridSpan w:val="3"/>
            <w:vAlign w:val="center"/>
          </w:tcPr>
          <w:p w14:paraId="4D587DF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油类物质存储区SO</w:t>
            </w:r>
            <w:r>
              <w:rPr>
                <w:rFonts w:hint="default" w:ascii="Times New Roman" w:hAnsi="Times New Roman" w:eastAsia="宋体" w:cs="Times New Roman"/>
                <w:sz w:val="21"/>
                <w:szCs w:val="21"/>
                <w:highlight w:val="none"/>
                <w:vertAlign w:val="subscript"/>
                <w:lang w:val="en-US" w:eastAsia="zh-CN"/>
              </w:rPr>
              <w:t>2</w:t>
            </w:r>
          </w:p>
        </w:tc>
      </w:tr>
      <w:tr w14:paraId="6614A73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Align w:val="center"/>
          </w:tcPr>
          <w:p w14:paraId="1D48FCD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参数类型</w:t>
            </w:r>
          </w:p>
        </w:tc>
        <w:tc>
          <w:tcPr>
            <w:tcW w:w="0" w:type="auto"/>
            <w:vAlign w:val="center"/>
          </w:tcPr>
          <w:p w14:paraId="779E24B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选项</w:t>
            </w:r>
          </w:p>
        </w:tc>
        <w:tc>
          <w:tcPr>
            <w:tcW w:w="0" w:type="auto"/>
            <w:vAlign w:val="center"/>
          </w:tcPr>
          <w:p w14:paraId="5AF5F75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参数</w:t>
            </w:r>
          </w:p>
        </w:tc>
      </w:tr>
      <w:tr w14:paraId="505621F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Merge w:val="restart"/>
            <w:vAlign w:val="center"/>
          </w:tcPr>
          <w:p w14:paraId="06644D0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基本情况</w:t>
            </w:r>
          </w:p>
        </w:tc>
        <w:tc>
          <w:tcPr>
            <w:tcW w:w="0" w:type="auto"/>
            <w:vAlign w:val="center"/>
          </w:tcPr>
          <w:p w14:paraId="4CE3BF1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事故源经度(°)</w:t>
            </w:r>
          </w:p>
        </w:tc>
        <w:tc>
          <w:tcPr>
            <w:tcW w:w="0" w:type="auto"/>
            <w:vAlign w:val="center"/>
          </w:tcPr>
          <w:p w14:paraId="3329624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126.661111</w:t>
            </w:r>
          </w:p>
        </w:tc>
      </w:tr>
      <w:tr w14:paraId="197F8A5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Merge w:val="continue"/>
            <w:vAlign w:val="center"/>
          </w:tcPr>
          <w:p w14:paraId="1805E29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p>
        </w:tc>
        <w:tc>
          <w:tcPr>
            <w:tcW w:w="0" w:type="auto"/>
            <w:vAlign w:val="center"/>
          </w:tcPr>
          <w:p w14:paraId="45E8A70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事故源纬度(°)</w:t>
            </w:r>
          </w:p>
        </w:tc>
        <w:tc>
          <w:tcPr>
            <w:tcW w:w="0" w:type="auto"/>
            <w:vAlign w:val="center"/>
          </w:tcPr>
          <w:p w14:paraId="6BD4022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45.607474</w:t>
            </w:r>
          </w:p>
        </w:tc>
      </w:tr>
      <w:tr w14:paraId="0242BAE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Merge w:val="continue"/>
            <w:vAlign w:val="center"/>
          </w:tcPr>
          <w:p w14:paraId="0812FC5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p>
        </w:tc>
        <w:tc>
          <w:tcPr>
            <w:tcW w:w="0" w:type="auto"/>
            <w:vAlign w:val="center"/>
          </w:tcPr>
          <w:p w14:paraId="203ED7F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事故源类型</w:t>
            </w:r>
          </w:p>
        </w:tc>
        <w:tc>
          <w:tcPr>
            <w:tcW w:w="0" w:type="auto"/>
            <w:vAlign w:val="center"/>
          </w:tcPr>
          <w:p w14:paraId="6CC508A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气体泄漏</w:t>
            </w:r>
          </w:p>
        </w:tc>
      </w:tr>
      <w:tr w14:paraId="6DAE965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Merge w:val="restart"/>
            <w:vAlign w:val="center"/>
          </w:tcPr>
          <w:p w14:paraId="1C74834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气象参数</w:t>
            </w:r>
          </w:p>
        </w:tc>
        <w:tc>
          <w:tcPr>
            <w:tcW w:w="0" w:type="auto"/>
            <w:vAlign w:val="center"/>
          </w:tcPr>
          <w:p w14:paraId="7B68508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气象条件类型</w:t>
            </w:r>
          </w:p>
        </w:tc>
        <w:tc>
          <w:tcPr>
            <w:tcW w:w="0" w:type="auto"/>
            <w:vAlign w:val="center"/>
          </w:tcPr>
          <w:p w14:paraId="7316BAF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最不利气象条件</w:t>
            </w:r>
          </w:p>
        </w:tc>
      </w:tr>
      <w:tr w14:paraId="407C38D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Merge w:val="continue"/>
            <w:vAlign w:val="center"/>
          </w:tcPr>
          <w:p w14:paraId="61C5069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p>
        </w:tc>
        <w:tc>
          <w:tcPr>
            <w:tcW w:w="0" w:type="auto"/>
            <w:vAlign w:val="center"/>
          </w:tcPr>
          <w:p w14:paraId="1A6ED46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风速(m/s)</w:t>
            </w:r>
          </w:p>
        </w:tc>
        <w:tc>
          <w:tcPr>
            <w:tcW w:w="0" w:type="auto"/>
            <w:vAlign w:val="center"/>
          </w:tcPr>
          <w:p w14:paraId="7A5156E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1.5000</w:t>
            </w:r>
          </w:p>
        </w:tc>
      </w:tr>
      <w:tr w14:paraId="6CB8811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Merge w:val="continue"/>
            <w:vAlign w:val="center"/>
          </w:tcPr>
          <w:p w14:paraId="39E794C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p>
        </w:tc>
        <w:tc>
          <w:tcPr>
            <w:tcW w:w="0" w:type="auto"/>
            <w:vAlign w:val="center"/>
          </w:tcPr>
          <w:p w14:paraId="75CB4D0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环境温度(℃)</w:t>
            </w:r>
          </w:p>
        </w:tc>
        <w:tc>
          <w:tcPr>
            <w:tcW w:w="0" w:type="auto"/>
            <w:vAlign w:val="center"/>
          </w:tcPr>
          <w:p w14:paraId="5BA5631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25.00</w:t>
            </w:r>
          </w:p>
        </w:tc>
      </w:tr>
      <w:tr w14:paraId="12D1AB3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Merge w:val="continue"/>
            <w:vAlign w:val="center"/>
          </w:tcPr>
          <w:p w14:paraId="4B9AEAE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p>
        </w:tc>
        <w:tc>
          <w:tcPr>
            <w:tcW w:w="0" w:type="auto"/>
            <w:vAlign w:val="center"/>
          </w:tcPr>
          <w:p w14:paraId="0D09E23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相对湿度(%)</w:t>
            </w:r>
          </w:p>
        </w:tc>
        <w:tc>
          <w:tcPr>
            <w:tcW w:w="0" w:type="auto"/>
            <w:vAlign w:val="center"/>
          </w:tcPr>
          <w:p w14:paraId="4B57CCF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50.0</w:t>
            </w:r>
          </w:p>
        </w:tc>
      </w:tr>
      <w:tr w14:paraId="6E0CC57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Align w:val="center"/>
          </w:tcPr>
          <w:p w14:paraId="1AE6A0D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气象参数</w:t>
            </w:r>
          </w:p>
        </w:tc>
        <w:tc>
          <w:tcPr>
            <w:tcW w:w="0" w:type="auto"/>
            <w:vAlign w:val="center"/>
          </w:tcPr>
          <w:p w14:paraId="751BD55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稳定度</w:t>
            </w:r>
          </w:p>
        </w:tc>
        <w:tc>
          <w:tcPr>
            <w:tcW w:w="0" w:type="auto"/>
            <w:vAlign w:val="center"/>
          </w:tcPr>
          <w:p w14:paraId="006F6C0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F(稳定)</w:t>
            </w:r>
          </w:p>
        </w:tc>
      </w:tr>
      <w:tr w14:paraId="55938C4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Merge w:val="restart"/>
            <w:vAlign w:val="center"/>
          </w:tcPr>
          <w:p w14:paraId="1DBB04D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其他参数</w:t>
            </w:r>
          </w:p>
        </w:tc>
        <w:tc>
          <w:tcPr>
            <w:tcW w:w="0" w:type="auto"/>
            <w:vAlign w:val="center"/>
          </w:tcPr>
          <w:p w14:paraId="2C550F7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地表粗糙度（m）</w:t>
            </w:r>
          </w:p>
        </w:tc>
        <w:tc>
          <w:tcPr>
            <w:tcW w:w="0" w:type="auto"/>
            <w:vAlign w:val="center"/>
          </w:tcPr>
          <w:p w14:paraId="356B05F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0.5</w:t>
            </w:r>
          </w:p>
        </w:tc>
      </w:tr>
      <w:tr w14:paraId="7790C34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Merge w:val="continue"/>
            <w:vAlign w:val="center"/>
          </w:tcPr>
          <w:p w14:paraId="1503813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p>
        </w:tc>
        <w:tc>
          <w:tcPr>
            <w:tcW w:w="0" w:type="auto"/>
            <w:vAlign w:val="center"/>
          </w:tcPr>
          <w:p w14:paraId="43C5E0E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是否考虑地形</w:t>
            </w:r>
          </w:p>
        </w:tc>
        <w:tc>
          <w:tcPr>
            <w:tcW w:w="0" w:type="auto"/>
            <w:vAlign w:val="center"/>
          </w:tcPr>
          <w:p w14:paraId="2BFA05B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否</w:t>
            </w:r>
          </w:p>
        </w:tc>
      </w:tr>
      <w:tr w14:paraId="5A3B614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Merge w:val="continue"/>
            <w:vAlign w:val="center"/>
          </w:tcPr>
          <w:p w14:paraId="63480DD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p>
        </w:tc>
        <w:tc>
          <w:tcPr>
            <w:tcW w:w="0" w:type="auto"/>
            <w:vAlign w:val="center"/>
          </w:tcPr>
          <w:p w14:paraId="5253840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地形数据精度</w:t>
            </w:r>
          </w:p>
        </w:tc>
        <w:tc>
          <w:tcPr>
            <w:tcW w:w="0" w:type="auto"/>
            <w:vAlign w:val="center"/>
          </w:tcPr>
          <w:p w14:paraId="54D00F2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90m</w:t>
            </w:r>
          </w:p>
        </w:tc>
      </w:tr>
      <w:tr w14:paraId="6AFC271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gridSpan w:val="3"/>
            <w:vAlign w:val="center"/>
          </w:tcPr>
          <w:p w14:paraId="00B834D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油类物质存储区CO</w:t>
            </w:r>
          </w:p>
        </w:tc>
      </w:tr>
      <w:tr w14:paraId="2C9CB2B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Align w:val="center"/>
          </w:tcPr>
          <w:p w14:paraId="7A1524E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参数类型</w:t>
            </w:r>
          </w:p>
        </w:tc>
        <w:tc>
          <w:tcPr>
            <w:tcW w:w="0" w:type="auto"/>
            <w:vAlign w:val="center"/>
          </w:tcPr>
          <w:p w14:paraId="09F4BBC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选项</w:t>
            </w:r>
          </w:p>
        </w:tc>
        <w:tc>
          <w:tcPr>
            <w:tcW w:w="0" w:type="auto"/>
            <w:vAlign w:val="center"/>
          </w:tcPr>
          <w:p w14:paraId="56CDA81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参数</w:t>
            </w:r>
          </w:p>
        </w:tc>
      </w:tr>
      <w:tr w14:paraId="339ACB6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Merge w:val="restart"/>
            <w:vAlign w:val="center"/>
          </w:tcPr>
          <w:p w14:paraId="3A53330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基本情况</w:t>
            </w:r>
          </w:p>
        </w:tc>
        <w:tc>
          <w:tcPr>
            <w:tcW w:w="0" w:type="auto"/>
            <w:vAlign w:val="center"/>
          </w:tcPr>
          <w:p w14:paraId="783B2BA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事故源经度(°)</w:t>
            </w:r>
          </w:p>
        </w:tc>
        <w:tc>
          <w:tcPr>
            <w:tcW w:w="0" w:type="auto"/>
            <w:vAlign w:val="center"/>
          </w:tcPr>
          <w:p w14:paraId="3071A0A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126.661112</w:t>
            </w:r>
          </w:p>
        </w:tc>
      </w:tr>
      <w:tr w14:paraId="64C07DF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Merge w:val="continue"/>
            <w:vAlign w:val="center"/>
          </w:tcPr>
          <w:p w14:paraId="7C43D6F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p>
        </w:tc>
        <w:tc>
          <w:tcPr>
            <w:tcW w:w="0" w:type="auto"/>
            <w:vAlign w:val="center"/>
          </w:tcPr>
          <w:p w14:paraId="0FF512A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事故源纬度(°)</w:t>
            </w:r>
          </w:p>
        </w:tc>
        <w:tc>
          <w:tcPr>
            <w:tcW w:w="0" w:type="auto"/>
            <w:vAlign w:val="center"/>
          </w:tcPr>
          <w:p w14:paraId="75792F5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45.607475</w:t>
            </w:r>
          </w:p>
        </w:tc>
      </w:tr>
      <w:tr w14:paraId="03D5DCB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Merge w:val="continue"/>
            <w:vAlign w:val="center"/>
          </w:tcPr>
          <w:p w14:paraId="5F2B038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p>
        </w:tc>
        <w:tc>
          <w:tcPr>
            <w:tcW w:w="0" w:type="auto"/>
            <w:vAlign w:val="center"/>
          </w:tcPr>
          <w:p w14:paraId="25F44A3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事故源类型</w:t>
            </w:r>
          </w:p>
        </w:tc>
        <w:tc>
          <w:tcPr>
            <w:tcW w:w="0" w:type="auto"/>
            <w:vAlign w:val="center"/>
          </w:tcPr>
          <w:p w14:paraId="2A9EBC8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气体泄漏</w:t>
            </w:r>
          </w:p>
        </w:tc>
      </w:tr>
      <w:tr w14:paraId="6967695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Merge w:val="restart"/>
            <w:vAlign w:val="center"/>
          </w:tcPr>
          <w:p w14:paraId="118B90E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气象参数</w:t>
            </w:r>
          </w:p>
        </w:tc>
        <w:tc>
          <w:tcPr>
            <w:tcW w:w="0" w:type="auto"/>
            <w:vAlign w:val="center"/>
          </w:tcPr>
          <w:p w14:paraId="59B6804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气象条件类型</w:t>
            </w:r>
          </w:p>
        </w:tc>
        <w:tc>
          <w:tcPr>
            <w:tcW w:w="0" w:type="auto"/>
            <w:vAlign w:val="center"/>
          </w:tcPr>
          <w:p w14:paraId="0D408C0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最不利气象条件</w:t>
            </w:r>
          </w:p>
        </w:tc>
      </w:tr>
      <w:tr w14:paraId="0F7635D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Merge w:val="continue"/>
            <w:vAlign w:val="center"/>
          </w:tcPr>
          <w:p w14:paraId="1ED1589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p>
        </w:tc>
        <w:tc>
          <w:tcPr>
            <w:tcW w:w="0" w:type="auto"/>
            <w:vAlign w:val="center"/>
          </w:tcPr>
          <w:p w14:paraId="5400362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风速(m/s)</w:t>
            </w:r>
          </w:p>
        </w:tc>
        <w:tc>
          <w:tcPr>
            <w:tcW w:w="0" w:type="auto"/>
            <w:vAlign w:val="center"/>
          </w:tcPr>
          <w:p w14:paraId="6997A04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1.5000</w:t>
            </w:r>
          </w:p>
        </w:tc>
      </w:tr>
      <w:tr w14:paraId="6D860B4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Merge w:val="continue"/>
            <w:vAlign w:val="center"/>
          </w:tcPr>
          <w:p w14:paraId="2881FEE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p>
        </w:tc>
        <w:tc>
          <w:tcPr>
            <w:tcW w:w="0" w:type="auto"/>
            <w:vAlign w:val="center"/>
          </w:tcPr>
          <w:p w14:paraId="7EDB34D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环境温度(℃)</w:t>
            </w:r>
          </w:p>
        </w:tc>
        <w:tc>
          <w:tcPr>
            <w:tcW w:w="0" w:type="auto"/>
            <w:vAlign w:val="center"/>
          </w:tcPr>
          <w:p w14:paraId="34E7612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25.00</w:t>
            </w:r>
          </w:p>
        </w:tc>
      </w:tr>
      <w:tr w14:paraId="3B9B984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Merge w:val="continue"/>
            <w:vAlign w:val="center"/>
          </w:tcPr>
          <w:p w14:paraId="6A37E6C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p>
        </w:tc>
        <w:tc>
          <w:tcPr>
            <w:tcW w:w="0" w:type="auto"/>
            <w:vAlign w:val="center"/>
          </w:tcPr>
          <w:p w14:paraId="480069C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相对湿度(%)</w:t>
            </w:r>
          </w:p>
        </w:tc>
        <w:tc>
          <w:tcPr>
            <w:tcW w:w="0" w:type="auto"/>
            <w:vAlign w:val="center"/>
          </w:tcPr>
          <w:p w14:paraId="1179554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50.0</w:t>
            </w:r>
          </w:p>
        </w:tc>
      </w:tr>
      <w:tr w14:paraId="5067358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Merge w:val="continue"/>
            <w:vAlign w:val="center"/>
          </w:tcPr>
          <w:p w14:paraId="0D09377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p>
        </w:tc>
        <w:tc>
          <w:tcPr>
            <w:tcW w:w="0" w:type="auto"/>
            <w:vAlign w:val="center"/>
          </w:tcPr>
          <w:p w14:paraId="049E52F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稳定度</w:t>
            </w:r>
          </w:p>
        </w:tc>
        <w:tc>
          <w:tcPr>
            <w:tcW w:w="0" w:type="auto"/>
            <w:vAlign w:val="center"/>
          </w:tcPr>
          <w:p w14:paraId="514B13F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F(稳定)</w:t>
            </w:r>
          </w:p>
        </w:tc>
      </w:tr>
      <w:tr w14:paraId="79D79E8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Merge w:val="restart"/>
            <w:vAlign w:val="center"/>
          </w:tcPr>
          <w:p w14:paraId="5A3DA3F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其他参数</w:t>
            </w:r>
          </w:p>
        </w:tc>
        <w:tc>
          <w:tcPr>
            <w:tcW w:w="0" w:type="auto"/>
            <w:vAlign w:val="center"/>
          </w:tcPr>
          <w:p w14:paraId="7AEBC34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地表粗糙度（m）</w:t>
            </w:r>
          </w:p>
        </w:tc>
        <w:tc>
          <w:tcPr>
            <w:tcW w:w="0" w:type="auto"/>
            <w:vAlign w:val="center"/>
          </w:tcPr>
          <w:p w14:paraId="4958402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0.5</w:t>
            </w:r>
          </w:p>
        </w:tc>
      </w:tr>
      <w:tr w14:paraId="73D401D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Merge w:val="continue"/>
            <w:vAlign w:val="center"/>
          </w:tcPr>
          <w:p w14:paraId="26E97A0B">
            <w:pPr>
              <w:keepNext w:val="0"/>
              <w:keepLines w:val="0"/>
              <w:suppressLineNumbers w:val="0"/>
              <w:spacing w:before="0" w:beforeAutospacing="0" w:after="0" w:afterAutospacing="0"/>
              <w:ind w:left="0" w:right="0"/>
              <w:jc w:val="center"/>
              <w:rPr>
                <w:rFonts w:hint="default" w:eastAsiaTheme="minorEastAsia"/>
                <w:szCs w:val="21"/>
                <w:highlight w:val="none"/>
              </w:rPr>
            </w:pPr>
          </w:p>
        </w:tc>
        <w:tc>
          <w:tcPr>
            <w:tcW w:w="0" w:type="auto"/>
            <w:vAlign w:val="center"/>
          </w:tcPr>
          <w:p w14:paraId="036D7E2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是否考虑地形</w:t>
            </w:r>
          </w:p>
        </w:tc>
        <w:tc>
          <w:tcPr>
            <w:tcW w:w="0" w:type="auto"/>
            <w:vAlign w:val="center"/>
          </w:tcPr>
          <w:p w14:paraId="64262BB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否</w:t>
            </w:r>
          </w:p>
        </w:tc>
      </w:tr>
      <w:tr w14:paraId="762C9DA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Merge w:val="continue"/>
            <w:vAlign w:val="center"/>
          </w:tcPr>
          <w:p w14:paraId="33CEE025">
            <w:pPr>
              <w:keepNext w:val="0"/>
              <w:keepLines w:val="0"/>
              <w:suppressLineNumbers w:val="0"/>
              <w:spacing w:before="0" w:beforeAutospacing="0" w:after="0" w:afterAutospacing="0"/>
              <w:ind w:left="0" w:right="0"/>
              <w:jc w:val="center"/>
              <w:rPr>
                <w:rFonts w:hint="default" w:eastAsiaTheme="minorEastAsia"/>
                <w:szCs w:val="21"/>
                <w:highlight w:val="none"/>
              </w:rPr>
            </w:pPr>
          </w:p>
        </w:tc>
        <w:tc>
          <w:tcPr>
            <w:tcW w:w="0" w:type="auto"/>
            <w:vAlign w:val="center"/>
          </w:tcPr>
          <w:p w14:paraId="139068D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地形数据精度</w:t>
            </w:r>
          </w:p>
        </w:tc>
        <w:tc>
          <w:tcPr>
            <w:tcW w:w="0" w:type="auto"/>
            <w:vAlign w:val="center"/>
          </w:tcPr>
          <w:p w14:paraId="43138A6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90m</w:t>
            </w:r>
          </w:p>
        </w:tc>
      </w:tr>
    </w:tbl>
    <w:p w14:paraId="38C17501">
      <w:pPr>
        <w:spacing w:line="360" w:lineRule="auto"/>
        <w:ind w:firstLine="460" w:firstLineChars="192"/>
        <w:rPr>
          <w:rFonts w:asciiTheme="minorHAnsi" w:hAnsiTheme="minorHAnsi" w:eastAsiaTheme="minorEastAsia" w:cstheme="minorBidi"/>
          <w:szCs w:val="22"/>
          <w:highlight w:val="none"/>
        </w:rPr>
      </w:pPr>
      <w:r>
        <w:rPr>
          <w:rFonts w:hint="eastAsia" w:eastAsiaTheme="minorEastAsia"/>
          <w:sz w:val="24"/>
          <w:highlight w:val="none"/>
        </w:rPr>
        <w:t>6</w:t>
      </w:r>
      <w:r>
        <w:rPr>
          <w:rFonts w:eastAsiaTheme="minorEastAsia"/>
          <w:sz w:val="24"/>
          <w:highlight w:val="none"/>
        </w:rPr>
        <w:t>、风险事故情形分析及事故后果预测</w:t>
      </w:r>
    </w:p>
    <w:p w14:paraId="196C15E3">
      <w:pPr>
        <w:spacing w:line="360" w:lineRule="auto"/>
        <w:jc w:val="center"/>
        <w:rPr>
          <w:rFonts w:asciiTheme="minorHAnsi" w:hAnsiTheme="minorHAnsi" w:eastAsiaTheme="minorEastAsia" w:cstheme="minorBidi"/>
          <w:szCs w:val="22"/>
          <w:highlight w:val="none"/>
        </w:rPr>
      </w:pPr>
      <w:r>
        <w:rPr>
          <w:b/>
          <w:sz w:val="24"/>
          <w:highlight w:val="none"/>
        </w:rPr>
        <w:t>表</w:t>
      </w:r>
      <w:r>
        <w:rPr>
          <w:rFonts w:hint="eastAsia"/>
          <w:b/>
          <w:sz w:val="24"/>
          <w:highlight w:val="none"/>
        </w:rPr>
        <w:t xml:space="preserve">5-2-33 </w:t>
      </w:r>
      <w:r>
        <w:rPr>
          <w:b/>
          <w:sz w:val="24"/>
          <w:highlight w:val="none"/>
        </w:rPr>
        <w:t>风险事故情形分析表（</w:t>
      </w:r>
      <w:r>
        <w:rPr>
          <w:rFonts w:hint="eastAsia"/>
          <w:b/>
          <w:sz w:val="24"/>
          <w:highlight w:val="none"/>
        </w:rPr>
        <w:t>SO</w:t>
      </w:r>
      <w:r>
        <w:rPr>
          <w:rFonts w:hint="eastAsia"/>
          <w:b/>
          <w:sz w:val="24"/>
          <w:highlight w:val="none"/>
          <w:vertAlign w:val="subscript"/>
        </w:rPr>
        <w:t>2</w:t>
      </w:r>
      <w:r>
        <w:rPr>
          <w:b/>
          <w:sz w:val="24"/>
          <w:highlight w:val="none"/>
        </w:rPr>
        <w:t>）</w:t>
      </w:r>
    </w:p>
    <w:tbl>
      <w:tblPr>
        <w:tblStyle w:val="45"/>
        <w:tblW w:w="8527" w:type="dxa"/>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 w:type="dxa"/>
          <w:bottom w:w="0" w:type="dxa"/>
          <w:right w:w="10" w:type="dxa"/>
        </w:tblCellMar>
      </w:tblPr>
      <w:tblGrid>
        <w:gridCol w:w="958"/>
        <w:gridCol w:w="1479"/>
        <w:gridCol w:w="1723"/>
        <w:gridCol w:w="1521"/>
        <w:gridCol w:w="560"/>
        <w:gridCol w:w="1091"/>
        <w:gridCol w:w="518"/>
        <w:gridCol w:w="677"/>
      </w:tblGrid>
      <w:tr w14:paraId="77D49E8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gridSpan w:val="8"/>
            <w:vAlign w:val="center"/>
          </w:tcPr>
          <w:p w14:paraId="42C4A23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sz w:val="21"/>
                <w:szCs w:val="21"/>
                <w:highlight w:val="none"/>
              </w:rPr>
              <w:t>油类物质存储区SO</w:t>
            </w:r>
            <w:r>
              <w:rPr>
                <w:rFonts w:hint="default"/>
                <w:sz w:val="21"/>
                <w:szCs w:val="21"/>
                <w:highlight w:val="none"/>
                <w:vertAlign w:val="subscript"/>
              </w:rPr>
              <w:t>2</w:t>
            </w:r>
            <w:r>
              <w:rPr>
                <w:rFonts w:hint="default"/>
                <w:sz w:val="21"/>
                <w:szCs w:val="21"/>
                <w:highlight w:val="none"/>
              </w:rPr>
              <w:t>-aftox</w:t>
            </w:r>
            <w:r>
              <w:rPr>
                <w:rFonts w:hint="default" w:hAnsi="宋体"/>
                <w:sz w:val="21"/>
                <w:szCs w:val="21"/>
                <w:highlight w:val="none"/>
              </w:rPr>
              <w:t>泄漏源</w:t>
            </w:r>
            <w:r>
              <w:rPr>
                <w:rFonts w:hint="default"/>
                <w:sz w:val="21"/>
                <w:szCs w:val="21"/>
                <w:highlight w:val="none"/>
              </w:rPr>
              <w:t>-</w:t>
            </w:r>
            <w:r>
              <w:rPr>
                <w:rFonts w:hint="default" w:hAnsi="宋体"/>
                <w:sz w:val="21"/>
                <w:szCs w:val="21"/>
                <w:highlight w:val="none"/>
              </w:rPr>
              <w:t>最不利气象条件</w:t>
            </w:r>
            <w:r>
              <w:rPr>
                <w:rFonts w:hint="default"/>
                <w:sz w:val="21"/>
                <w:szCs w:val="21"/>
                <w:highlight w:val="none"/>
              </w:rPr>
              <w:t>-aftox</w:t>
            </w:r>
            <w:r>
              <w:rPr>
                <w:rFonts w:hint="default" w:hAnsi="宋体"/>
                <w:sz w:val="21"/>
                <w:szCs w:val="21"/>
                <w:highlight w:val="none"/>
              </w:rPr>
              <w:t>模型</w:t>
            </w:r>
          </w:p>
        </w:tc>
      </w:tr>
      <w:tr w14:paraId="2EBC221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Align w:val="center"/>
          </w:tcPr>
          <w:p w14:paraId="2667F93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hAnsi="宋体"/>
                <w:sz w:val="21"/>
                <w:szCs w:val="21"/>
                <w:highlight w:val="none"/>
              </w:rPr>
              <w:t>泄露设备类型</w:t>
            </w:r>
          </w:p>
        </w:tc>
        <w:tc>
          <w:tcPr>
            <w:tcW w:w="0" w:type="auto"/>
            <w:vAlign w:val="center"/>
          </w:tcPr>
          <w:p w14:paraId="01313D1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hAnsi="宋体"/>
                <w:sz w:val="21"/>
                <w:szCs w:val="21"/>
                <w:highlight w:val="none"/>
              </w:rPr>
              <w:t>压力气体容器</w:t>
            </w:r>
          </w:p>
        </w:tc>
        <w:tc>
          <w:tcPr>
            <w:tcW w:w="0" w:type="auto"/>
            <w:vAlign w:val="center"/>
          </w:tcPr>
          <w:p w14:paraId="2351DBC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hAnsi="宋体"/>
                <w:sz w:val="21"/>
                <w:szCs w:val="21"/>
                <w:highlight w:val="none"/>
              </w:rPr>
              <w:t>操作温度</w:t>
            </w:r>
            <w:r>
              <w:rPr>
                <w:rFonts w:hint="default"/>
                <w:sz w:val="21"/>
                <w:szCs w:val="21"/>
                <w:highlight w:val="none"/>
              </w:rPr>
              <w:t>(℃)</w:t>
            </w:r>
          </w:p>
        </w:tc>
        <w:tc>
          <w:tcPr>
            <w:tcW w:w="0" w:type="auto"/>
            <w:gridSpan w:val="2"/>
            <w:vAlign w:val="center"/>
          </w:tcPr>
          <w:p w14:paraId="3FF9FE9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sz w:val="21"/>
                <w:szCs w:val="21"/>
                <w:highlight w:val="none"/>
              </w:rPr>
              <w:t>100.00</w:t>
            </w:r>
          </w:p>
        </w:tc>
        <w:tc>
          <w:tcPr>
            <w:tcW w:w="0" w:type="auto"/>
            <w:gridSpan w:val="2"/>
            <w:vAlign w:val="center"/>
          </w:tcPr>
          <w:p w14:paraId="2F75C2F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hAnsi="宋体"/>
                <w:sz w:val="21"/>
                <w:szCs w:val="21"/>
                <w:highlight w:val="none"/>
              </w:rPr>
              <w:t>操作压力</w:t>
            </w:r>
            <w:r>
              <w:rPr>
                <w:rFonts w:hint="default"/>
                <w:sz w:val="21"/>
                <w:szCs w:val="21"/>
                <w:highlight w:val="none"/>
              </w:rPr>
              <w:t>(MPa)</w:t>
            </w:r>
          </w:p>
        </w:tc>
        <w:tc>
          <w:tcPr>
            <w:tcW w:w="0" w:type="auto"/>
            <w:vAlign w:val="center"/>
          </w:tcPr>
          <w:p w14:paraId="3FC04AD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sz w:val="21"/>
                <w:szCs w:val="21"/>
                <w:highlight w:val="none"/>
              </w:rPr>
              <w:t>0.101326</w:t>
            </w:r>
          </w:p>
        </w:tc>
      </w:tr>
      <w:tr w14:paraId="6A7B033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Align w:val="center"/>
          </w:tcPr>
          <w:p w14:paraId="54BF588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hAnsi="宋体"/>
                <w:sz w:val="21"/>
                <w:szCs w:val="21"/>
                <w:highlight w:val="none"/>
              </w:rPr>
              <w:t>泄露危险物质</w:t>
            </w:r>
          </w:p>
        </w:tc>
        <w:tc>
          <w:tcPr>
            <w:tcW w:w="0" w:type="auto"/>
            <w:vAlign w:val="center"/>
          </w:tcPr>
          <w:p w14:paraId="576FA45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hAnsi="宋体"/>
                <w:sz w:val="21"/>
                <w:szCs w:val="21"/>
                <w:highlight w:val="none"/>
              </w:rPr>
              <w:t>二氧化硫</w:t>
            </w:r>
          </w:p>
        </w:tc>
        <w:tc>
          <w:tcPr>
            <w:tcW w:w="0" w:type="auto"/>
            <w:vAlign w:val="center"/>
          </w:tcPr>
          <w:p w14:paraId="7E077BB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hAnsi="宋体"/>
                <w:sz w:val="21"/>
                <w:szCs w:val="21"/>
                <w:highlight w:val="none"/>
              </w:rPr>
              <w:t>最大存在量</w:t>
            </w:r>
            <w:r>
              <w:rPr>
                <w:rFonts w:hint="default"/>
                <w:sz w:val="21"/>
                <w:szCs w:val="21"/>
                <w:highlight w:val="none"/>
              </w:rPr>
              <w:t>(kg)</w:t>
            </w:r>
          </w:p>
        </w:tc>
        <w:tc>
          <w:tcPr>
            <w:tcW w:w="0" w:type="auto"/>
            <w:gridSpan w:val="2"/>
            <w:vAlign w:val="center"/>
          </w:tcPr>
          <w:p w14:paraId="5121872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sz w:val="21"/>
                <w:szCs w:val="21"/>
                <w:highlight w:val="none"/>
              </w:rPr>
              <w:t>71.1366</w:t>
            </w:r>
          </w:p>
        </w:tc>
        <w:tc>
          <w:tcPr>
            <w:tcW w:w="0" w:type="auto"/>
            <w:gridSpan w:val="2"/>
            <w:vAlign w:val="center"/>
          </w:tcPr>
          <w:p w14:paraId="02C73EB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hAnsi="宋体"/>
                <w:sz w:val="21"/>
                <w:szCs w:val="21"/>
                <w:highlight w:val="none"/>
              </w:rPr>
              <w:t>裂口直径</w:t>
            </w:r>
            <w:r>
              <w:rPr>
                <w:rFonts w:hint="default"/>
                <w:sz w:val="21"/>
                <w:szCs w:val="21"/>
                <w:highlight w:val="none"/>
              </w:rPr>
              <w:t>(mm)</w:t>
            </w:r>
          </w:p>
        </w:tc>
        <w:tc>
          <w:tcPr>
            <w:tcW w:w="0" w:type="auto"/>
            <w:vAlign w:val="center"/>
          </w:tcPr>
          <w:p w14:paraId="39E5B7A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sz w:val="21"/>
                <w:szCs w:val="21"/>
                <w:highlight w:val="none"/>
              </w:rPr>
              <w:t>-</w:t>
            </w:r>
          </w:p>
        </w:tc>
      </w:tr>
      <w:tr w14:paraId="4D24A73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Align w:val="center"/>
          </w:tcPr>
          <w:p w14:paraId="5708C87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hAnsi="宋体"/>
                <w:sz w:val="21"/>
                <w:szCs w:val="21"/>
                <w:highlight w:val="none"/>
              </w:rPr>
              <w:t>泄露速率</w:t>
            </w:r>
            <w:r>
              <w:rPr>
                <w:rFonts w:hint="default"/>
                <w:sz w:val="21"/>
                <w:szCs w:val="21"/>
                <w:highlight w:val="none"/>
              </w:rPr>
              <w:t>(kg/s)</w:t>
            </w:r>
          </w:p>
        </w:tc>
        <w:tc>
          <w:tcPr>
            <w:tcW w:w="0" w:type="auto"/>
            <w:vAlign w:val="center"/>
          </w:tcPr>
          <w:p w14:paraId="362C3E9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sz w:val="21"/>
                <w:szCs w:val="21"/>
                <w:highlight w:val="none"/>
              </w:rPr>
              <w:t>6.0000</w:t>
            </w:r>
          </w:p>
        </w:tc>
        <w:tc>
          <w:tcPr>
            <w:tcW w:w="0" w:type="auto"/>
            <w:vAlign w:val="center"/>
          </w:tcPr>
          <w:p w14:paraId="6CA5245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hAnsi="宋体"/>
                <w:sz w:val="21"/>
                <w:szCs w:val="21"/>
                <w:highlight w:val="none"/>
              </w:rPr>
              <w:t>泄露时间</w:t>
            </w:r>
            <w:r>
              <w:rPr>
                <w:rFonts w:hint="default"/>
                <w:sz w:val="21"/>
                <w:szCs w:val="21"/>
                <w:highlight w:val="none"/>
              </w:rPr>
              <w:t>(min)</w:t>
            </w:r>
          </w:p>
        </w:tc>
        <w:tc>
          <w:tcPr>
            <w:tcW w:w="0" w:type="auto"/>
            <w:gridSpan w:val="2"/>
            <w:vAlign w:val="center"/>
          </w:tcPr>
          <w:p w14:paraId="0AA6D0D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sz w:val="21"/>
                <w:szCs w:val="21"/>
                <w:highlight w:val="none"/>
              </w:rPr>
              <w:t>10.00</w:t>
            </w:r>
          </w:p>
        </w:tc>
        <w:tc>
          <w:tcPr>
            <w:tcW w:w="0" w:type="auto"/>
            <w:gridSpan w:val="2"/>
            <w:vAlign w:val="center"/>
          </w:tcPr>
          <w:p w14:paraId="173F20F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hAnsi="宋体"/>
                <w:sz w:val="21"/>
                <w:szCs w:val="21"/>
                <w:highlight w:val="none"/>
              </w:rPr>
              <w:t>泄露量</w:t>
            </w:r>
            <w:r>
              <w:rPr>
                <w:rFonts w:hint="default"/>
                <w:sz w:val="21"/>
                <w:szCs w:val="21"/>
                <w:highlight w:val="none"/>
              </w:rPr>
              <w:t>(kg)</w:t>
            </w:r>
          </w:p>
        </w:tc>
        <w:tc>
          <w:tcPr>
            <w:tcW w:w="0" w:type="auto"/>
            <w:vAlign w:val="center"/>
          </w:tcPr>
          <w:p w14:paraId="125B510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sz w:val="21"/>
                <w:szCs w:val="21"/>
                <w:highlight w:val="none"/>
              </w:rPr>
              <w:t>3600.0000</w:t>
            </w:r>
          </w:p>
        </w:tc>
      </w:tr>
      <w:tr w14:paraId="67C6FBB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Align w:val="center"/>
          </w:tcPr>
          <w:p w14:paraId="132FE9E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hAnsi="宋体"/>
                <w:sz w:val="21"/>
                <w:szCs w:val="21"/>
                <w:highlight w:val="none"/>
              </w:rPr>
              <w:t>泄露高度</w:t>
            </w:r>
            <w:r>
              <w:rPr>
                <w:rFonts w:hint="default"/>
                <w:sz w:val="21"/>
                <w:szCs w:val="21"/>
                <w:highlight w:val="none"/>
              </w:rPr>
              <w:t>(m)</w:t>
            </w:r>
          </w:p>
        </w:tc>
        <w:tc>
          <w:tcPr>
            <w:tcW w:w="0" w:type="auto"/>
            <w:vAlign w:val="center"/>
          </w:tcPr>
          <w:p w14:paraId="5270226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sz w:val="21"/>
                <w:szCs w:val="21"/>
                <w:highlight w:val="none"/>
              </w:rPr>
              <w:t>0.1000</w:t>
            </w:r>
          </w:p>
        </w:tc>
        <w:tc>
          <w:tcPr>
            <w:tcW w:w="0" w:type="auto"/>
            <w:vAlign w:val="center"/>
          </w:tcPr>
          <w:p w14:paraId="33A630B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hAnsi="宋体"/>
                <w:sz w:val="21"/>
                <w:szCs w:val="21"/>
                <w:highlight w:val="none"/>
              </w:rPr>
              <w:t>泄露概率</w:t>
            </w:r>
            <w:r>
              <w:rPr>
                <w:rFonts w:hint="default"/>
                <w:sz w:val="21"/>
                <w:szCs w:val="21"/>
                <w:highlight w:val="none"/>
              </w:rPr>
              <w:t>(</w:t>
            </w:r>
            <w:r>
              <w:rPr>
                <w:rFonts w:hint="default" w:hAnsi="宋体"/>
                <w:sz w:val="21"/>
                <w:szCs w:val="21"/>
                <w:highlight w:val="none"/>
              </w:rPr>
              <w:t>次</w:t>
            </w:r>
            <w:r>
              <w:rPr>
                <w:rFonts w:hint="default"/>
                <w:sz w:val="21"/>
                <w:szCs w:val="21"/>
                <w:highlight w:val="none"/>
              </w:rPr>
              <w:t>/</w:t>
            </w:r>
            <w:r>
              <w:rPr>
                <w:rFonts w:hint="default" w:hAnsi="宋体"/>
                <w:sz w:val="21"/>
                <w:szCs w:val="21"/>
                <w:highlight w:val="none"/>
              </w:rPr>
              <w:t>年</w:t>
            </w:r>
            <w:r>
              <w:rPr>
                <w:rFonts w:hint="default"/>
                <w:sz w:val="21"/>
                <w:szCs w:val="21"/>
                <w:highlight w:val="none"/>
              </w:rPr>
              <w:t>)</w:t>
            </w:r>
          </w:p>
        </w:tc>
        <w:tc>
          <w:tcPr>
            <w:tcW w:w="0" w:type="auto"/>
            <w:gridSpan w:val="2"/>
            <w:vAlign w:val="center"/>
          </w:tcPr>
          <w:p w14:paraId="2AD3D3B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sz w:val="21"/>
                <w:szCs w:val="21"/>
                <w:highlight w:val="none"/>
              </w:rPr>
              <w:t>-</w:t>
            </w:r>
          </w:p>
        </w:tc>
        <w:tc>
          <w:tcPr>
            <w:tcW w:w="0" w:type="auto"/>
            <w:gridSpan w:val="2"/>
            <w:vAlign w:val="center"/>
          </w:tcPr>
          <w:p w14:paraId="5872DC9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hAnsi="宋体"/>
                <w:sz w:val="21"/>
                <w:szCs w:val="21"/>
                <w:highlight w:val="none"/>
              </w:rPr>
              <w:t>蒸发量</w:t>
            </w:r>
            <w:r>
              <w:rPr>
                <w:rFonts w:hint="default"/>
                <w:sz w:val="21"/>
                <w:szCs w:val="21"/>
                <w:highlight w:val="none"/>
              </w:rPr>
              <w:t>(kg)</w:t>
            </w:r>
          </w:p>
        </w:tc>
        <w:tc>
          <w:tcPr>
            <w:tcW w:w="0" w:type="auto"/>
            <w:vAlign w:val="center"/>
          </w:tcPr>
          <w:p w14:paraId="167BD17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sz w:val="21"/>
                <w:szCs w:val="21"/>
                <w:highlight w:val="none"/>
              </w:rPr>
              <w:t>-</w:t>
            </w:r>
          </w:p>
        </w:tc>
      </w:tr>
      <w:tr w14:paraId="564CBCA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gridSpan w:val="3"/>
            <w:vAlign w:val="center"/>
          </w:tcPr>
          <w:p w14:paraId="401D9FB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hAnsi="宋体"/>
                <w:sz w:val="21"/>
                <w:szCs w:val="21"/>
                <w:highlight w:val="none"/>
              </w:rPr>
              <w:t>大气环境影响</w:t>
            </w:r>
            <w:r>
              <w:rPr>
                <w:rFonts w:hint="default"/>
                <w:sz w:val="21"/>
                <w:szCs w:val="21"/>
                <w:highlight w:val="none"/>
              </w:rPr>
              <w:t>-</w:t>
            </w:r>
            <w:r>
              <w:rPr>
                <w:rFonts w:hint="default" w:hAnsi="宋体"/>
                <w:sz w:val="21"/>
                <w:szCs w:val="21"/>
                <w:highlight w:val="none"/>
              </w:rPr>
              <w:t>气象条件名称</w:t>
            </w:r>
            <w:r>
              <w:rPr>
                <w:rFonts w:hint="default"/>
                <w:sz w:val="21"/>
                <w:szCs w:val="21"/>
                <w:highlight w:val="none"/>
              </w:rPr>
              <w:t>-</w:t>
            </w:r>
            <w:r>
              <w:rPr>
                <w:rFonts w:hint="default" w:hAnsi="宋体"/>
                <w:sz w:val="21"/>
                <w:szCs w:val="21"/>
                <w:highlight w:val="none"/>
              </w:rPr>
              <w:t>模型类型</w:t>
            </w:r>
          </w:p>
        </w:tc>
        <w:tc>
          <w:tcPr>
            <w:tcW w:w="0" w:type="auto"/>
            <w:gridSpan w:val="5"/>
            <w:vAlign w:val="center"/>
          </w:tcPr>
          <w:p w14:paraId="0B6AA99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hAnsi="宋体"/>
                <w:sz w:val="21"/>
                <w:szCs w:val="21"/>
                <w:highlight w:val="none"/>
              </w:rPr>
              <w:t>最不利气象条件</w:t>
            </w:r>
            <w:r>
              <w:rPr>
                <w:rFonts w:hint="default"/>
                <w:sz w:val="21"/>
                <w:szCs w:val="21"/>
                <w:highlight w:val="none"/>
              </w:rPr>
              <w:t>-aftox</w:t>
            </w:r>
            <w:r>
              <w:rPr>
                <w:rFonts w:hint="default" w:hAnsi="宋体"/>
                <w:sz w:val="21"/>
                <w:szCs w:val="21"/>
                <w:highlight w:val="none"/>
              </w:rPr>
              <w:t>模型</w:t>
            </w:r>
          </w:p>
        </w:tc>
      </w:tr>
      <w:tr w14:paraId="2C199CC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Align w:val="center"/>
          </w:tcPr>
          <w:p w14:paraId="662410F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hAnsi="宋体"/>
                <w:sz w:val="21"/>
                <w:szCs w:val="21"/>
                <w:highlight w:val="none"/>
              </w:rPr>
              <w:t>指标</w:t>
            </w:r>
          </w:p>
        </w:tc>
        <w:tc>
          <w:tcPr>
            <w:tcW w:w="0" w:type="auto"/>
            <w:gridSpan w:val="2"/>
            <w:vAlign w:val="center"/>
          </w:tcPr>
          <w:p w14:paraId="0B18945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hAnsi="宋体"/>
                <w:sz w:val="21"/>
                <w:szCs w:val="21"/>
                <w:highlight w:val="none"/>
              </w:rPr>
              <w:t>浓度值</w:t>
            </w:r>
            <w:r>
              <w:rPr>
                <w:rFonts w:hint="default"/>
                <w:sz w:val="21"/>
                <w:szCs w:val="21"/>
                <w:highlight w:val="none"/>
              </w:rPr>
              <w:t>(mg/m</w:t>
            </w:r>
            <w:r>
              <w:rPr>
                <w:rFonts w:hint="default"/>
                <w:sz w:val="21"/>
                <w:szCs w:val="21"/>
                <w:highlight w:val="none"/>
                <w:vertAlign w:val="superscript"/>
              </w:rPr>
              <w:t>3</w:t>
            </w:r>
            <w:r>
              <w:rPr>
                <w:rFonts w:hint="default"/>
                <w:sz w:val="21"/>
                <w:szCs w:val="21"/>
                <w:highlight w:val="none"/>
              </w:rPr>
              <w:t>)</w:t>
            </w:r>
          </w:p>
        </w:tc>
        <w:tc>
          <w:tcPr>
            <w:tcW w:w="0" w:type="auto"/>
            <w:vAlign w:val="center"/>
          </w:tcPr>
          <w:p w14:paraId="2A98439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hAnsi="宋体"/>
                <w:sz w:val="21"/>
                <w:szCs w:val="21"/>
                <w:highlight w:val="none"/>
              </w:rPr>
              <w:t>最远影响距离</w:t>
            </w:r>
            <w:r>
              <w:rPr>
                <w:rFonts w:hint="default"/>
                <w:sz w:val="21"/>
                <w:szCs w:val="21"/>
                <w:highlight w:val="none"/>
              </w:rPr>
              <w:t>(m)</w:t>
            </w:r>
          </w:p>
        </w:tc>
        <w:tc>
          <w:tcPr>
            <w:tcW w:w="0" w:type="auto"/>
            <w:gridSpan w:val="4"/>
            <w:vAlign w:val="center"/>
          </w:tcPr>
          <w:p w14:paraId="31B3EAA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hAnsi="宋体"/>
                <w:sz w:val="21"/>
                <w:szCs w:val="21"/>
                <w:highlight w:val="none"/>
              </w:rPr>
              <w:t>到达时间</w:t>
            </w:r>
            <w:r>
              <w:rPr>
                <w:rFonts w:hint="default"/>
                <w:sz w:val="21"/>
                <w:szCs w:val="21"/>
                <w:highlight w:val="none"/>
              </w:rPr>
              <w:t>(min)</w:t>
            </w:r>
          </w:p>
        </w:tc>
      </w:tr>
      <w:tr w14:paraId="287942F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Align w:val="center"/>
          </w:tcPr>
          <w:p w14:paraId="6FD4827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hAnsi="宋体"/>
                <w:sz w:val="21"/>
                <w:szCs w:val="21"/>
                <w:highlight w:val="none"/>
              </w:rPr>
              <w:t>大气毒性终点浓度</w:t>
            </w:r>
            <w:r>
              <w:rPr>
                <w:rFonts w:hint="default"/>
                <w:sz w:val="21"/>
                <w:szCs w:val="21"/>
                <w:highlight w:val="none"/>
              </w:rPr>
              <w:t>-1</w:t>
            </w:r>
          </w:p>
        </w:tc>
        <w:tc>
          <w:tcPr>
            <w:tcW w:w="0" w:type="auto"/>
            <w:gridSpan w:val="2"/>
            <w:vAlign w:val="center"/>
          </w:tcPr>
          <w:p w14:paraId="4FD3868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sz w:val="21"/>
                <w:szCs w:val="21"/>
                <w:highlight w:val="none"/>
              </w:rPr>
              <w:t>79.000000</w:t>
            </w:r>
          </w:p>
        </w:tc>
        <w:tc>
          <w:tcPr>
            <w:tcW w:w="0" w:type="auto"/>
            <w:vAlign w:val="center"/>
          </w:tcPr>
          <w:p w14:paraId="2E773AB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sz w:val="21"/>
                <w:szCs w:val="21"/>
                <w:highlight w:val="none"/>
              </w:rPr>
              <w:t>485.70</w:t>
            </w:r>
          </w:p>
        </w:tc>
        <w:tc>
          <w:tcPr>
            <w:tcW w:w="0" w:type="auto"/>
            <w:gridSpan w:val="4"/>
            <w:vAlign w:val="center"/>
          </w:tcPr>
          <w:p w14:paraId="3722654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sz w:val="21"/>
                <w:szCs w:val="21"/>
                <w:highlight w:val="none"/>
              </w:rPr>
              <w:t>7.50</w:t>
            </w:r>
          </w:p>
        </w:tc>
      </w:tr>
      <w:tr w14:paraId="4D84043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800" w:hRule="atLeast"/>
        </w:trPr>
        <w:tc>
          <w:tcPr>
            <w:tcW w:w="0" w:type="auto"/>
            <w:vAlign w:val="center"/>
          </w:tcPr>
          <w:p w14:paraId="175DD03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hAnsi="宋体"/>
                <w:sz w:val="21"/>
                <w:szCs w:val="21"/>
                <w:highlight w:val="none"/>
              </w:rPr>
              <w:t>大气毒性终点浓度</w:t>
            </w:r>
            <w:r>
              <w:rPr>
                <w:rFonts w:hint="default"/>
                <w:sz w:val="21"/>
                <w:szCs w:val="21"/>
                <w:highlight w:val="none"/>
              </w:rPr>
              <w:t>-2</w:t>
            </w:r>
          </w:p>
        </w:tc>
        <w:tc>
          <w:tcPr>
            <w:tcW w:w="0" w:type="auto"/>
            <w:gridSpan w:val="2"/>
            <w:vAlign w:val="center"/>
          </w:tcPr>
          <w:p w14:paraId="6EA8483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sz w:val="21"/>
                <w:szCs w:val="21"/>
                <w:highlight w:val="none"/>
              </w:rPr>
              <w:t>2.000000</w:t>
            </w:r>
          </w:p>
        </w:tc>
        <w:tc>
          <w:tcPr>
            <w:tcW w:w="0" w:type="auto"/>
            <w:vAlign w:val="center"/>
          </w:tcPr>
          <w:p w14:paraId="2EB6C86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sz w:val="21"/>
                <w:szCs w:val="21"/>
                <w:highlight w:val="none"/>
              </w:rPr>
              <w:t>1322.10</w:t>
            </w:r>
          </w:p>
        </w:tc>
        <w:tc>
          <w:tcPr>
            <w:tcW w:w="0" w:type="auto"/>
            <w:gridSpan w:val="4"/>
            <w:vAlign w:val="center"/>
          </w:tcPr>
          <w:p w14:paraId="2CA93F1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sz w:val="21"/>
                <w:szCs w:val="21"/>
                <w:highlight w:val="none"/>
              </w:rPr>
              <w:t>10.00</w:t>
            </w:r>
          </w:p>
        </w:tc>
      </w:tr>
      <w:tr w14:paraId="609A445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800" w:hRule="atLeast"/>
        </w:trPr>
        <w:tc>
          <w:tcPr>
            <w:tcW w:w="0" w:type="auto"/>
            <w:vAlign w:val="center"/>
          </w:tcPr>
          <w:p w14:paraId="592B53A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hAnsi="宋体"/>
                <w:sz w:val="21"/>
                <w:szCs w:val="21"/>
                <w:highlight w:val="none"/>
              </w:rPr>
              <w:t>敏感目标名称</w:t>
            </w:r>
          </w:p>
        </w:tc>
        <w:tc>
          <w:tcPr>
            <w:tcW w:w="0" w:type="auto"/>
            <w:vAlign w:val="center"/>
          </w:tcPr>
          <w:p w14:paraId="303F9FC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hAnsi="宋体"/>
                <w:sz w:val="21"/>
                <w:szCs w:val="21"/>
                <w:highlight w:val="none"/>
              </w:rPr>
              <w:t>大气毒性终点浓度</w:t>
            </w:r>
            <w:r>
              <w:rPr>
                <w:rFonts w:hint="default"/>
                <w:sz w:val="21"/>
                <w:szCs w:val="21"/>
                <w:highlight w:val="none"/>
              </w:rPr>
              <w:t>-1-</w:t>
            </w:r>
            <w:r>
              <w:rPr>
                <w:rFonts w:hint="default" w:hAnsi="宋体"/>
                <w:sz w:val="21"/>
                <w:szCs w:val="21"/>
                <w:highlight w:val="none"/>
              </w:rPr>
              <w:t>超标时间</w:t>
            </w:r>
            <w:r>
              <w:rPr>
                <w:rFonts w:hint="default"/>
                <w:sz w:val="21"/>
                <w:szCs w:val="21"/>
                <w:highlight w:val="none"/>
              </w:rPr>
              <w:t>(min)</w:t>
            </w:r>
          </w:p>
        </w:tc>
        <w:tc>
          <w:tcPr>
            <w:tcW w:w="0" w:type="auto"/>
            <w:vAlign w:val="center"/>
          </w:tcPr>
          <w:p w14:paraId="5CF1185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hAnsi="宋体"/>
                <w:sz w:val="21"/>
                <w:szCs w:val="21"/>
                <w:highlight w:val="none"/>
              </w:rPr>
              <w:t>大气毒性终点浓度</w:t>
            </w:r>
            <w:r>
              <w:rPr>
                <w:rFonts w:hint="default"/>
                <w:sz w:val="21"/>
                <w:szCs w:val="21"/>
                <w:highlight w:val="none"/>
              </w:rPr>
              <w:t>-1-</w:t>
            </w:r>
            <w:r>
              <w:rPr>
                <w:rFonts w:hint="default" w:hAnsi="宋体"/>
                <w:sz w:val="21"/>
                <w:szCs w:val="21"/>
                <w:highlight w:val="none"/>
              </w:rPr>
              <w:t>超标持续时间</w:t>
            </w:r>
            <w:r>
              <w:rPr>
                <w:rFonts w:hint="default"/>
                <w:sz w:val="21"/>
                <w:szCs w:val="21"/>
                <w:highlight w:val="none"/>
              </w:rPr>
              <w:t>(min)</w:t>
            </w:r>
          </w:p>
        </w:tc>
        <w:tc>
          <w:tcPr>
            <w:tcW w:w="0" w:type="auto"/>
            <w:vAlign w:val="center"/>
          </w:tcPr>
          <w:p w14:paraId="2E38376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hAnsi="宋体"/>
                <w:sz w:val="21"/>
                <w:szCs w:val="21"/>
                <w:highlight w:val="none"/>
              </w:rPr>
              <w:t>大气毒性终点浓度</w:t>
            </w:r>
            <w:r>
              <w:rPr>
                <w:rFonts w:hint="default"/>
                <w:sz w:val="21"/>
                <w:szCs w:val="21"/>
                <w:highlight w:val="none"/>
              </w:rPr>
              <w:t>-2-</w:t>
            </w:r>
            <w:r>
              <w:rPr>
                <w:rFonts w:hint="default" w:hAnsi="宋体"/>
                <w:sz w:val="21"/>
                <w:szCs w:val="21"/>
                <w:highlight w:val="none"/>
              </w:rPr>
              <w:t>超标时间</w:t>
            </w:r>
            <w:r>
              <w:rPr>
                <w:rFonts w:hint="default"/>
                <w:sz w:val="21"/>
                <w:szCs w:val="21"/>
                <w:highlight w:val="none"/>
              </w:rPr>
              <w:t>(min)</w:t>
            </w:r>
          </w:p>
        </w:tc>
        <w:tc>
          <w:tcPr>
            <w:tcW w:w="0" w:type="auto"/>
            <w:gridSpan w:val="2"/>
            <w:vAlign w:val="center"/>
          </w:tcPr>
          <w:p w14:paraId="0AA0F0C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hAnsi="宋体"/>
                <w:sz w:val="21"/>
                <w:szCs w:val="21"/>
                <w:highlight w:val="none"/>
              </w:rPr>
              <w:t>大气毒性终点浓度</w:t>
            </w:r>
            <w:r>
              <w:rPr>
                <w:rFonts w:hint="default"/>
                <w:sz w:val="21"/>
                <w:szCs w:val="21"/>
                <w:highlight w:val="none"/>
              </w:rPr>
              <w:t>-2-</w:t>
            </w:r>
            <w:r>
              <w:rPr>
                <w:rFonts w:hint="default" w:hAnsi="宋体"/>
                <w:sz w:val="21"/>
                <w:szCs w:val="21"/>
                <w:highlight w:val="none"/>
              </w:rPr>
              <w:t>超标持续时间</w:t>
            </w:r>
            <w:r>
              <w:rPr>
                <w:rFonts w:hint="default"/>
                <w:sz w:val="21"/>
                <w:szCs w:val="21"/>
                <w:highlight w:val="none"/>
              </w:rPr>
              <w:t>(min)</w:t>
            </w:r>
          </w:p>
        </w:tc>
        <w:tc>
          <w:tcPr>
            <w:tcW w:w="0" w:type="auto"/>
            <w:gridSpan w:val="2"/>
            <w:vAlign w:val="center"/>
          </w:tcPr>
          <w:p w14:paraId="05DDCCA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hAnsi="宋体"/>
                <w:sz w:val="21"/>
                <w:szCs w:val="21"/>
                <w:highlight w:val="none"/>
              </w:rPr>
              <w:t>敏感目标</w:t>
            </w:r>
            <w:r>
              <w:rPr>
                <w:rFonts w:hint="default"/>
                <w:sz w:val="21"/>
                <w:szCs w:val="21"/>
                <w:highlight w:val="none"/>
              </w:rPr>
              <w:t>-</w:t>
            </w:r>
            <w:r>
              <w:rPr>
                <w:rFonts w:hint="default" w:hAnsi="宋体"/>
                <w:sz w:val="21"/>
                <w:szCs w:val="21"/>
                <w:highlight w:val="none"/>
              </w:rPr>
              <w:t>最大浓度</w:t>
            </w:r>
            <w:r>
              <w:rPr>
                <w:rFonts w:hint="default"/>
                <w:sz w:val="21"/>
                <w:szCs w:val="21"/>
                <w:highlight w:val="none"/>
              </w:rPr>
              <w:t>(mg/m</w:t>
            </w:r>
            <w:r>
              <w:rPr>
                <w:rFonts w:hint="default"/>
                <w:sz w:val="21"/>
                <w:szCs w:val="21"/>
                <w:highlight w:val="none"/>
                <w:vertAlign w:val="superscript"/>
              </w:rPr>
              <w:t>3</w:t>
            </w:r>
            <w:r>
              <w:rPr>
                <w:rFonts w:hint="default"/>
                <w:sz w:val="21"/>
                <w:szCs w:val="21"/>
                <w:highlight w:val="none"/>
              </w:rPr>
              <w:t>)</w:t>
            </w:r>
          </w:p>
        </w:tc>
      </w:tr>
      <w:tr w14:paraId="73665F9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Align w:val="center"/>
          </w:tcPr>
          <w:p w14:paraId="2F0AB8A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eastAsia" w:hAnsi="宋体"/>
                <w:sz w:val="21"/>
                <w:szCs w:val="21"/>
                <w:highlight w:val="none"/>
              </w:rPr>
              <w:t>刘家村</w:t>
            </w:r>
          </w:p>
        </w:tc>
        <w:tc>
          <w:tcPr>
            <w:tcW w:w="0" w:type="auto"/>
            <w:vAlign w:val="center"/>
          </w:tcPr>
          <w:p w14:paraId="398E9E1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sz w:val="21"/>
                <w:szCs w:val="21"/>
                <w:highlight w:val="none"/>
              </w:rPr>
              <w:t>7.50</w:t>
            </w:r>
          </w:p>
        </w:tc>
        <w:tc>
          <w:tcPr>
            <w:tcW w:w="0" w:type="auto"/>
            <w:vAlign w:val="center"/>
          </w:tcPr>
          <w:p w14:paraId="782FD76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sz w:val="21"/>
                <w:szCs w:val="21"/>
                <w:highlight w:val="none"/>
              </w:rPr>
              <w:t>2.50</w:t>
            </w:r>
          </w:p>
        </w:tc>
        <w:tc>
          <w:tcPr>
            <w:tcW w:w="0" w:type="auto"/>
            <w:vAlign w:val="center"/>
          </w:tcPr>
          <w:p w14:paraId="6DE3DD9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sz w:val="21"/>
                <w:szCs w:val="21"/>
                <w:highlight w:val="none"/>
              </w:rPr>
              <w:t>7.50</w:t>
            </w:r>
          </w:p>
        </w:tc>
        <w:tc>
          <w:tcPr>
            <w:tcW w:w="0" w:type="auto"/>
            <w:gridSpan w:val="2"/>
            <w:vAlign w:val="center"/>
          </w:tcPr>
          <w:p w14:paraId="4AEB3C0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sz w:val="21"/>
                <w:szCs w:val="21"/>
                <w:highlight w:val="none"/>
              </w:rPr>
              <w:t>2.50</w:t>
            </w:r>
          </w:p>
        </w:tc>
        <w:tc>
          <w:tcPr>
            <w:tcW w:w="0" w:type="auto"/>
            <w:gridSpan w:val="2"/>
            <w:vAlign w:val="center"/>
          </w:tcPr>
          <w:p w14:paraId="1253042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sz w:val="21"/>
                <w:szCs w:val="21"/>
                <w:highlight w:val="none"/>
              </w:rPr>
            </w:pPr>
            <w:r>
              <w:rPr>
                <w:rFonts w:hint="default"/>
                <w:sz w:val="21"/>
                <w:szCs w:val="21"/>
                <w:highlight w:val="none"/>
              </w:rPr>
              <w:t>79.800530</w:t>
            </w:r>
          </w:p>
        </w:tc>
      </w:tr>
      <w:tr w14:paraId="68ED852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Align w:val="center"/>
          </w:tcPr>
          <w:p w14:paraId="36254E0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sz w:val="21"/>
                <w:szCs w:val="21"/>
                <w:highlight w:val="none"/>
              </w:rPr>
            </w:pPr>
            <w:r>
              <w:rPr>
                <w:rFonts w:hint="default"/>
                <w:sz w:val="21"/>
                <w:szCs w:val="21"/>
                <w:highlight w:val="none"/>
              </w:rPr>
              <w:t>香悦馨领域</w:t>
            </w:r>
          </w:p>
        </w:tc>
        <w:tc>
          <w:tcPr>
            <w:tcW w:w="0" w:type="auto"/>
            <w:vAlign w:val="center"/>
          </w:tcPr>
          <w:p w14:paraId="52FD87F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sz w:val="21"/>
                <w:szCs w:val="21"/>
                <w:highlight w:val="none"/>
              </w:rPr>
            </w:pPr>
            <w:r>
              <w:rPr>
                <w:rFonts w:hint="default"/>
                <w:sz w:val="21"/>
                <w:szCs w:val="21"/>
                <w:highlight w:val="none"/>
              </w:rPr>
              <w:t>-</w:t>
            </w:r>
          </w:p>
        </w:tc>
        <w:tc>
          <w:tcPr>
            <w:tcW w:w="0" w:type="auto"/>
            <w:vAlign w:val="center"/>
          </w:tcPr>
          <w:p w14:paraId="183BFDB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sz w:val="21"/>
                <w:szCs w:val="21"/>
                <w:highlight w:val="none"/>
              </w:rPr>
            </w:pPr>
            <w:r>
              <w:rPr>
                <w:rFonts w:hint="default"/>
                <w:sz w:val="21"/>
                <w:szCs w:val="21"/>
                <w:highlight w:val="none"/>
              </w:rPr>
              <w:t>-</w:t>
            </w:r>
          </w:p>
        </w:tc>
        <w:tc>
          <w:tcPr>
            <w:tcW w:w="0" w:type="auto"/>
            <w:vAlign w:val="center"/>
          </w:tcPr>
          <w:p w14:paraId="14D47C7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sz w:val="21"/>
                <w:szCs w:val="21"/>
                <w:highlight w:val="none"/>
              </w:rPr>
            </w:pPr>
            <w:r>
              <w:rPr>
                <w:rFonts w:hint="default"/>
                <w:sz w:val="21"/>
                <w:szCs w:val="21"/>
                <w:highlight w:val="none"/>
              </w:rPr>
              <w:t>6.00</w:t>
            </w:r>
          </w:p>
        </w:tc>
        <w:tc>
          <w:tcPr>
            <w:tcW w:w="0" w:type="auto"/>
            <w:gridSpan w:val="2"/>
            <w:vAlign w:val="center"/>
          </w:tcPr>
          <w:p w14:paraId="0814FD2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sz w:val="21"/>
                <w:szCs w:val="21"/>
                <w:highlight w:val="none"/>
              </w:rPr>
            </w:pPr>
            <w:r>
              <w:rPr>
                <w:rFonts w:hint="default"/>
                <w:sz w:val="21"/>
                <w:szCs w:val="21"/>
                <w:highlight w:val="none"/>
              </w:rPr>
              <w:t>4.00</w:t>
            </w:r>
          </w:p>
        </w:tc>
        <w:tc>
          <w:tcPr>
            <w:tcW w:w="0" w:type="auto"/>
            <w:gridSpan w:val="2"/>
            <w:vAlign w:val="center"/>
          </w:tcPr>
          <w:p w14:paraId="7DE36A0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sz w:val="21"/>
                <w:szCs w:val="21"/>
                <w:highlight w:val="none"/>
              </w:rPr>
            </w:pPr>
            <w:r>
              <w:rPr>
                <w:rFonts w:hint="default"/>
                <w:sz w:val="21"/>
                <w:szCs w:val="21"/>
                <w:highlight w:val="none"/>
              </w:rPr>
              <w:t>10.608140</w:t>
            </w:r>
          </w:p>
        </w:tc>
      </w:tr>
      <w:tr w14:paraId="00CE34A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Align w:val="center"/>
          </w:tcPr>
          <w:p w14:paraId="65A0798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sz w:val="21"/>
                <w:szCs w:val="21"/>
                <w:highlight w:val="none"/>
              </w:rPr>
            </w:pPr>
            <w:r>
              <w:rPr>
                <w:rFonts w:hint="default"/>
                <w:sz w:val="21"/>
                <w:szCs w:val="21"/>
                <w:highlight w:val="none"/>
              </w:rPr>
              <w:t>香悦蓝天下</w:t>
            </w:r>
          </w:p>
        </w:tc>
        <w:tc>
          <w:tcPr>
            <w:tcW w:w="0" w:type="auto"/>
            <w:vAlign w:val="center"/>
          </w:tcPr>
          <w:p w14:paraId="27EACCA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sz w:val="21"/>
                <w:szCs w:val="21"/>
                <w:highlight w:val="none"/>
              </w:rPr>
            </w:pPr>
            <w:r>
              <w:rPr>
                <w:rFonts w:hint="default"/>
                <w:sz w:val="21"/>
                <w:szCs w:val="21"/>
                <w:highlight w:val="none"/>
              </w:rPr>
              <w:t>-</w:t>
            </w:r>
          </w:p>
        </w:tc>
        <w:tc>
          <w:tcPr>
            <w:tcW w:w="0" w:type="auto"/>
            <w:vAlign w:val="center"/>
          </w:tcPr>
          <w:p w14:paraId="4445CBC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sz w:val="21"/>
                <w:szCs w:val="21"/>
                <w:highlight w:val="none"/>
              </w:rPr>
            </w:pPr>
            <w:r>
              <w:rPr>
                <w:rFonts w:hint="default"/>
                <w:sz w:val="21"/>
                <w:szCs w:val="21"/>
                <w:highlight w:val="none"/>
              </w:rPr>
              <w:t>-</w:t>
            </w:r>
          </w:p>
        </w:tc>
        <w:tc>
          <w:tcPr>
            <w:tcW w:w="0" w:type="auto"/>
            <w:vAlign w:val="center"/>
          </w:tcPr>
          <w:p w14:paraId="184867F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sz w:val="21"/>
                <w:szCs w:val="21"/>
                <w:highlight w:val="none"/>
              </w:rPr>
            </w:pPr>
            <w:r>
              <w:rPr>
                <w:rFonts w:hint="default"/>
                <w:sz w:val="21"/>
                <w:szCs w:val="21"/>
                <w:highlight w:val="none"/>
              </w:rPr>
              <w:t>8.50</w:t>
            </w:r>
          </w:p>
        </w:tc>
        <w:tc>
          <w:tcPr>
            <w:tcW w:w="0" w:type="auto"/>
            <w:gridSpan w:val="2"/>
            <w:vAlign w:val="center"/>
          </w:tcPr>
          <w:p w14:paraId="013FD1A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sz w:val="21"/>
                <w:szCs w:val="21"/>
                <w:highlight w:val="none"/>
              </w:rPr>
            </w:pPr>
            <w:r>
              <w:rPr>
                <w:rFonts w:hint="default"/>
                <w:sz w:val="21"/>
                <w:szCs w:val="21"/>
                <w:highlight w:val="none"/>
              </w:rPr>
              <w:t>1.50</w:t>
            </w:r>
          </w:p>
        </w:tc>
        <w:tc>
          <w:tcPr>
            <w:tcW w:w="0" w:type="auto"/>
            <w:gridSpan w:val="2"/>
            <w:vAlign w:val="center"/>
          </w:tcPr>
          <w:p w14:paraId="66DAC58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sz w:val="21"/>
                <w:szCs w:val="21"/>
                <w:highlight w:val="none"/>
              </w:rPr>
            </w:pPr>
            <w:r>
              <w:rPr>
                <w:rFonts w:hint="default"/>
                <w:sz w:val="21"/>
                <w:szCs w:val="21"/>
                <w:highlight w:val="none"/>
              </w:rPr>
              <w:t>3.690733</w:t>
            </w:r>
          </w:p>
        </w:tc>
      </w:tr>
      <w:tr w14:paraId="1155B94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Align w:val="center"/>
          </w:tcPr>
          <w:p w14:paraId="3676CC5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sz w:val="21"/>
                <w:szCs w:val="21"/>
                <w:highlight w:val="none"/>
              </w:rPr>
            </w:pPr>
            <w:r>
              <w:rPr>
                <w:rFonts w:hint="default"/>
                <w:sz w:val="21"/>
                <w:szCs w:val="21"/>
                <w:highlight w:val="none"/>
              </w:rPr>
              <w:t>哈飞家园</w:t>
            </w:r>
          </w:p>
        </w:tc>
        <w:tc>
          <w:tcPr>
            <w:tcW w:w="0" w:type="auto"/>
            <w:vAlign w:val="center"/>
          </w:tcPr>
          <w:p w14:paraId="5F219A9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sz w:val="21"/>
                <w:szCs w:val="21"/>
                <w:highlight w:val="none"/>
              </w:rPr>
            </w:pPr>
            <w:r>
              <w:rPr>
                <w:rFonts w:hint="default"/>
                <w:sz w:val="21"/>
                <w:szCs w:val="21"/>
                <w:highlight w:val="none"/>
              </w:rPr>
              <w:t>-</w:t>
            </w:r>
          </w:p>
        </w:tc>
        <w:tc>
          <w:tcPr>
            <w:tcW w:w="0" w:type="auto"/>
            <w:vAlign w:val="center"/>
          </w:tcPr>
          <w:p w14:paraId="2EB5F59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sz w:val="21"/>
                <w:szCs w:val="21"/>
                <w:highlight w:val="none"/>
              </w:rPr>
            </w:pPr>
            <w:r>
              <w:rPr>
                <w:rFonts w:hint="default"/>
                <w:sz w:val="21"/>
                <w:szCs w:val="21"/>
                <w:highlight w:val="none"/>
              </w:rPr>
              <w:t>-</w:t>
            </w:r>
          </w:p>
        </w:tc>
        <w:tc>
          <w:tcPr>
            <w:tcW w:w="0" w:type="auto"/>
            <w:vAlign w:val="center"/>
          </w:tcPr>
          <w:p w14:paraId="57D2E8B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sz w:val="21"/>
                <w:szCs w:val="21"/>
                <w:highlight w:val="none"/>
              </w:rPr>
            </w:pPr>
            <w:r>
              <w:rPr>
                <w:rFonts w:hint="default"/>
                <w:sz w:val="21"/>
                <w:szCs w:val="21"/>
                <w:highlight w:val="none"/>
              </w:rPr>
              <w:t>8.50</w:t>
            </w:r>
          </w:p>
        </w:tc>
        <w:tc>
          <w:tcPr>
            <w:tcW w:w="0" w:type="auto"/>
            <w:gridSpan w:val="2"/>
            <w:vAlign w:val="center"/>
          </w:tcPr>
          <w:p w14:paraId="31B66B2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sz w:val="21"/>
                <w:szCs w:val="21"/>
                <w:highlight w:val="none"/>
              </w:rPr>
            </w:pPr>
            <w:r>
              <w:rPr>
                <w:rFonts w:hint="default"/>
                <w:sz w:val="21"/>
                <w:szCs w:val="21"/>
                <w:highlight w:val="none"/>
              </w:rPr>
              <w:t>1.50</w:t>
            </w:r>
          </w:p>
        </w:tc>
        <w:tc>
          <w:tcPr>
            <w:tcW w:w="0" w:type="auto"/>
            <w:gridSpan w:val="2"/>
            <w:vAlign w:val="center"/>
          </w:tcPr>
          <w:p w14:paraId="100BAB5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sz w:val="21"/>
                <w:szCs w:val="21"/>
                <w:highlight w:val="none"/>
              </w:rPr>
            </w:pPr>
            <w:r>
              <w:rPr>
                <w:rFonts w:hint="default"/>
                <w:sz w:val="21"/>
                <w:szCs w:val="21"/>
                <w:highlight w:val="none"/>
              </w:rPr>
              <w:t>3.781598</w:t>
            </w:r>
          </w:p>
        </w:tc>
      </w:tr>
    </w:tbl>
    <w:p w14:paraId="2C267316">
      <w:pPr>
        <w:pStyle w:val="7"/>
        <w:bidi w:val="0"/>
        <w:rPr>
          <w:highlight w:val="none"/>
        </w:rPr>
      </w:pPr>
      <w:r>
        <w:rPr>
          <w:highlight w:val="none"/>
        </w:rPr>
        <w:t>表</w:t>
      </w:r>
      <w:r>
        <w:rPr>
          <w:rFonts w:hint="eastAsia"/>
          <w:highlight w:val="none"/>
        </w:rPr>
        <w:t xml:space="preserve">5-2-35 </w:t>
      </w:r>
      <w:r>
        <w:rPr>
          <w:highlight w:val="none"/>
        </w:rPr>
        <w:t>风险事故情形分析表（</w:t>
      </w:r>
      <w:r>
        <w:rPr>
          <w:rFonts w:hint="eastAsia"/>
          <w:highlight w:val="none"/>
        </w:rPr>
        <w:t>CO</w:t>
      </w:r>
      <w:r>
        <w:rPr>
          <w:highlight w:val="none"/>
        </w:rPr>
        <w:t>）</w:t>
      </w:r>
    </w:p>
    <w:tbl>
      <w:tblPr>
        <w:tblStyle w:val="45"/>
        <w:tblW w:w="8527" w:type="dxa"/>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 w:type="dxa"/>
          <w:bottom w:w="0" w:type="dxa"/>
          <w:right w:w="10" w:type="dxa"/>
        </w:tblCellMar>
      </w:tblPr>
      <w:tblGrid>
        <w:gridCol w:w="960"/>
        <w:gridCol w:w="1484"/>
        <w:gridCol w:w="1727"/>
        <w:gridCol w:w="1525"/>
        <w:gridCol w:w="1669"/>
        <w:gridCol w:w="1162"/>
      </w:tblGrid>
      <w:tr w14:paraId="5FEBFE3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gridSpan w:val="6"/>
            <w:vAlign w:val="center"/>
          </w:tcPr>
          <w:p w14:paraId="04B628A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sz w:val="21"/>
                <w:szCs w:val="21"/>
                <w:highlight w:val="none"/>
              </w:rPr>
              <w:t>油类物质存储区CO-aftox</w:t>
            </w:r>
            <w:r>
              <w:rPr>
                <w:rFonts w:hint="default" w:hAnsi="宋体"/>
                <w:sz w:val="21"/>
                <w:szCs w:val="21"/>
                <w:highlight w:val="none"/>
              </w:rPr>
              <w:t>泄漏源</w:t>
            </w:r>
            <w:r>
              <w:rPr>
                <w:rFonts w:hint="default"/>
                <w:sz w:val="21"/>
                <w:szCs w:val="21"/>
                <w:highlight w:val="none"/>
              </w:rPr>
              <w:t>-</w:t>
            </w:r>
            <w:r>
              <w:rPr>
                <w:rFonts w:hint="default" w:hAnsi="宋体"/>
                <w:sz w:val="21"/>
                <w:szCs w:val="21"/>
                <w:highlight w:val="none"/>
              </w:rPr>
              <w:t>最不利气象条件</w:t>
            </w:r>
            <w:r>
              <w:rPr>
                <w:rFonts w:hint="default"/>
                <w:sz w:val="21"/>
                <w:szCs w:val="21"/>
                <w:highlight w:val="none"/>
              </w:rPr>
              <w:t>-aftox</w:t>
            </w:r>
            <w:r>
              <w:rPr>
                <w:rFonts w:hint="default" w:hAnsi="宋体"/>
                <w:sz w:val="21"/>
                <w:szCs w:val="21"/>
                <w:highlight w:val="none"/>
              </w:rPr>
              <w:t>模型</w:t>
            </w:r>
          </w:p>
        </w:tc>
      </w:tr>
      <w:tr w14:paraId="0594062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Align w:val="center"/>
          </w:tcPr>
          <w:p w14:paraId="7724E4A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宋体"/>
                <w:sz w:val="21"/>
                <w:szCs w:val="21"/>
                <w:highlight w:val="none"/>
              </w:rPr>
              <w:t>泄露设备类型</w:t>
            </w:r>
          </w:p>
        </w:tc>
        <w:tc>
          <w:tcPr>
            <w:tcW w:w="0" w:type="auto"/>
            <w:vAlign w:val="center"/>
          </w:tcPr>
          <w:p w14:paraId="1BF744D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宋体"/>
                <w:sz w:val="21"/>
                <w:szCs w:val="21"/>
                <w:highlight w:val="none"/>
              </w:rPr>
              <w:t>压力气体容器</w:t>
            </w:r>
          </w:p>
        </w:tc>
        <w:tc>
          <w:tcPr>
            <w:tcW w:w="0" w:type="auto"/>
            <w:vAlign w:val="center"/>
          </w:tcPr>
          <w:p w14:paraId="5291EE9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宋体"/>
                <w:sz w:val="21"/>
                <w:szCs w:val="21"/>
                <w:highlight w:val="none"/>
              </w:rPr>
              <w:t>操作温度</w:t>
            </w:r>
            <w:r>
              <w:rPr>
                <w:rFonts w:hint="default"/>
                <w:sz w:val="21"/>
                <w:szCs w:val="21"/>
                <w:highlight w:val="none"/>
              </w:rPr>
              <w:t>(℃)</w:t>
            </w:r>
          </w:p>
        </w:tc>
        <w:tc>
          <w:tcPr>
            <w:tcW w:w="0" w:type="auto"/>
            <w:vAlign w:val="center"/>
          </w:tcPr>
          <w:p w14:paraId="172D6B8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sz w:val="21"/>
                <w:szCs w:val="21"/>
                <w:highlight w:val="none"/>
              </w:rPr>
              <w:t>100.00</w:t>
            </w:r>
          </w:p>
        </w:tc>
        <w:tc>
          <w:tcPr>
            <w:tcW w:w="0" w:type="auto"/>
            <w:vAlign w:val="center"/>
          </w:tcPr>
          <w:p w14:paraId="2987116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宋体"/>
                <w:sz w:val="21"/>
                <w:szCs w:val="21"/>
                <w:highlight w:val="none"/>
              </w:rPr>
              <w:t>操作压力</w:t>
            </w:r>
            <w:r>
              <w:rPr>
                <w:rFonts w:hint="default"/>
                <w:sz w:val="21"/>
                <w:szCs w:val="21"/>
                <w:highlight w:val="none"/>
              </w:rPr>
              <w:t>(MPa)</w:t>
            </w:r>
          </w:p>
        </w:tc>
        <w:tc>
          <w:tcPr>
            <w:tcW w:w="0" w:type="auto"/>
            <w:vAlign w:val="center"/>
          </w:tcPr>
          <w:p w14:paraId="2AF835A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sz w:val="21"/>
                <w:szCs w:val="21"/>
                <w:highlight w:val="none"/>
              </w:rPr>
              <w:t>0.101326</w:t>
            </w:r>
          </w:p>
        </w:tc>
      </w:tr>
      <w:tr w14:paraId="0671E6B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Align w:val="center"/>
          </w:tcPr>
          <w:p w14:paraId="2811992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宋体"/>
                <w:sz w:val="21"/>
                <w:szCs w:val="21"/>
                <w:highlight w:val="none"/>
              </w:rPr>
              <w:t>泄露危险物质</w:t>
            </w:r>
          </w:p>
        </w:tc>
        <w:tc>
          <w:tcPr>
            <w:tcW w:w="0" w:type="auto"/>
            <w:vAlign w:val="center"/>
          </w:tcPr>
          <w:p w14:paraId="728E97C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宋体"/>
                <w:sz w:val="21"/>
                <w:szCs w:val="21"/>
                <w:highlight w:val="none"/>
              </w:rPr>
              <w:t>一氧化碳</w:t>
            </w:r>
          </w:p>
        </w:tc>
        <w:tc>
          <w:tcPr>
            <w:tcW w:w="0" w:type="auto"/>
            <w:vAlign w:val="center"/>
          </w:tcPr>
          <w:p w14:paraId="3A1BEBD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宋体"/>
                <w:sz w:val="21"/>
                <w:szCs w:val="21"/>
                <w:highlight w:val="none"/>
              </w:rPr>
              <w:t>最大存在量</w:t>
            </w:r>
            <w:r>
              <w:rPr>
                <w:rFonts w:hint="default"/>
                <w:sz w:val="21"/>
                <w:szCs w:val="21"/>
                <w:highlight w:val="none"/>
              </w:rPr>
              <w:t>(kg)</w:t>
            </w:r>
          </w:p>
        </w:tc>
        <w:tc>
          <w:tcPr>
            <w:tcW w:w="0" w:type="auto"/>
            <w:vAlign w:val="center"/>
          </w:tcPr>
          <w:p w14:paraId="0162A3E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sz w:val="21"/>
                <w:szCs w:val="21"/>
                <w:highlight w:val="none"/>
              </w:rPr>
              <w:t>33.8487</w:t>
            </w:r>
          </w:p>
        </w:tc>
        <w:tc>
          <w:tcPr>
            <w:tcW w:w="0" w:type="auto"/>
            <w:vAlign w:val="center"/>
          </w:tcPr>
          <w:p w14:paraId="7D105BF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宋体"/>
                <w:sz w:val="21"/>
                <w:szCs w:val="21"/>
                <w:highlight w:val="none"/>
              </w:rPr>
              <w:t>裂口直径</w:t>
            </w:r>
            <w:r>
              <w:rPr>
                <w:rFonts w:hint="default"/>
                <w:sz w:val="21"/>
                <w:szCs w:val="21"/>
                <w:highlight w:val="none"/>
              </w:rPr>
              <w:t>(mm)</w:t>
            </w:r>
          </w:p>
        </w:tc>
        <w:tc>
          <w:tcPr>
            <w:tcW w:w="0" w:type="auto"/>
            <w:vAlign w:val="center"/>
          </w:tcPr>
          <w:p w14:paraId="1A28744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sz w:val="21"/>
                <w:szCs w:val="21"/>
                <w:highlight w:val="none"/>
              </w:rPr>
              <w:t>-</w:t>
            </w:r>
          </w:p>
        </w:tc>
      </w:tr>
      <w:tr w14:paraId="0302763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Align w:val="center"/>
          </w:tcPr>
          <w:p w14:paraId="70ED87F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宋体"/>
                <w:sz w:val="21"/>
                <w:szCs w:val="21"/>
                <w:highlight w:val="none"/>
              </w:rPr>
              <w:t>泄露速率</w:t>
            </w:r>
            <w:r>
              <w:rPr>
                <w:rFonts w:hint="default"/>
                <w:sz w:val="21"/>
                <w:szCs w:val="21"/>
                <w:highlight w:val="none"/>
              </w:rPr>
              <w:t>(kg/s)</w:t>
            </w:r>
          </w:p>
        </w:tc>
        <w:tc>
          <w:tcPr>
            <w:tcW w:w="0" w:type="auto"/>
            <w:vAlign w:val="center"/>
          </w:tcPr>
          <w:p w14:paraId="1C6975B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sz w:val="21"/>
                <w:szCs w:val="21"/>
                <w:highlight w:val="none"/>
              </w:rPr>
              <w:t>0.6600</w:t>
            </w:r>
          </w:p>
        </w:tc>
        <w:tc>
          <w:tcPr>
            <w:tcW w:w="0" w:type="auto"/>
            <w:vAlign w:val="center"/>
          </w:tcPr>
          <w:p w14:paraId="0937F50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宋体"/>
                <w:sz w:val="21"/>
                <w:szCs w:val="21"/>
                <w:highlight w:val="none"/>
              </w:rPr>
              <w:t>泄露时间</w:t>
            </w:r>
            <w:r>
              <w:rPr>
                <w:rFonts w:hint="default"/>
                <w:sz w:val="21"/>
                <w:szCs w:val="21"/>
                <w:highlight w:val="none"/>
              </w:rPr>
              <w:t>(min)</w:t>
            </w:r>
          </w:p>
        </w:tc>
        <w:tc>
          <w:tcPr>
            <w:tcW w:w="0" w:type="auto"/>
            <w:vAlign w:val="center"/>
          </w:tcPr>
          <w:p w14:paraId="4CF4917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sz w:val="21"/>
                <w:szCs w:val="21"/>
                <w:highlight w:val="none"/>
              </w:rPr>
              <w:t>10.00</w:t>
            </w:r>
          </w:p>
        </w:tc>
        <w:tc>
          <w:tcPr>
            <w:tcW w:w="0" w:type="auto"/>
            <w:vAlign w:val="center"/>
          </w:tcPr>
          <w:p w14:paraId="38FE6F7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宋体"/>
                <w:sz w:val="21"/>
                <w:szCs w:val="21"/>
                <w:highlight w:val="none"/>
              </w:rPr>
              <w:t>泄露量</w:t>
            </w:r>
            <w:r>
              <w:rPr>
                <w:rFonts w:hint="default"/>
                <w:sz w:val="21"/>
                <w:szCs w:val="21"/>
                <w:highlight w:val="none"/>
              </w:rPr>
              <w:t>(kg)</w:t>
            </w:r>
          </w:p>
        </w:tc>
        <w:tc>
          <w:tcPr>
            <w:tcW w:w="0" w:type="auto"/>
            <w:vAlign w:val="center"/>
          </w:tcPr>
          <w:p w14:paraId="111D157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sz w:val="21"/>
                <w:szCs w:val="21"/>
                <w:highlight w:val="none"/>
              </w:rPr>
              <w:t>396.0000</w:t>
            </w:r>
          </w:p>
        </w:tc>
      </w:tr>
      <w:tr w14:paraId="0EE4070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Align w:val="center"/>
          </w:tcPr>
          <w:p w14:paraId="38A77ED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宋体"/>
                <w:sz w:val="21"/>
                <w:szCs w:val="21"/>
                <w:highlight w:val="none"/>
              </w:rPr>
              <w:t>泄露高度</w:t>
            </w:r>
            <w:r>
              <w:rPr>
                <w:rFonts w:hint="default"/>
                <w:sz w:val="21"/>
                <w:szCs w:val="21"/>
                <w:highlight w:val="none"/>
              </w:rPr>
              <w:t>(m)</w:t>
            </w:r>
          </w:p>
        </w:tc>
        <w:tc>
          <w:tcPr>
            <w:tcW w:w="0" w:type="auto"/>
            <w:vAlign w:val="center"/>
          </w:tcPr>
          <w:p w14:paraId="56761AD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sz w:val="21"/>
                <w:szCs w:val="21"/>
                <w:highlight w:val="none"/>
              </w:rPr>
              <w:t>0.1000</w:t>
            </w:r>
          </w:p>
        </w:tc>
        <w:tc>
          <w:tcPr>
            <w:tcW w:w="0" w:type="auto"/>
            <w:vAlign w:val="center"/>
          </w:tcPr>
          <w:p w14:paraId="7BB2B8A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宋体"/>
                <w:sz w:val="21"/>
                <w:szCs w:val="21"/>
                <w:highlight w:val="none"/>
              </w:rPr>
              <w:t>泄露概率</w:t>
            </w:r>
            <w:r>
              <w:rPr>
                <w:rFonts w:hint="default"/>
                <w:sz w:val="21"/>
                <w:szCs w:val="21"/>
                <w:highlight w:val="none"/>
              </w:rPr>
              <w:t>(</w:t>
            </w:r>
            <w:r>
              <w:rPr>
                <w:rFonts w:hint="default" w:hAnsi="宋体"/>
                <w:sz w:val="21"/>
                <w:szCs w:val="21"/>
                <w:highlight w:val="none"/>
              </w:rPr>
              <w:t>次</w:t>
            </w:r>
            <w:r>
              <w:rPr>
                <w:rFonts w:hint="default"/>
                <w:sz w:val="21"/>
                <w:szCs w:val="21"/>
                <w:highlight w:val="none"/>
              </w:rPr>
              <w:t>/</w:t>
            </w:r>
            <w:r>
              <w:rPr>
                <w:rFonts w:hint="default" w:hAnsi="宋体"/>
                <w:sz w:val="21"/>
                <w:szCs w:val="21"/>
                <w:highlight w:val="none"/>
              </w:rPr>
              <w:t>年</w:t>
            </w:r>
            <w:r>
              <w:rPr>
                <w:rFonts w:hint="default"/>
                <w:sz w:val="21"/>
                <w:szCs w:val="21"/>
                <w:highlight w:val="none"/>
              </w:rPr>
              <w:t>)</w:t>
            </w:r>
          </w:p>
        </w:tc>
        <w:tc>
          <w:tcPr>
            <w:tcW w:w="0" w:type="auto"/>
            <w:vAlign w:val="center"/>
          </w:tcPr>
          <w:p w14:paraId="2367BA1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sz w:val="21"/>
                <w:szCs w:val="21"/>
                <w:highlight w:val="none"/>
              </w:rPr>
              <w:t>-</w:t>
            </w:r>
          </w:p>
        </w:tc>
        <w:tc>
          <w:tcPr>
            <w:tcW w:w="0" w:type="auto"/>
            <w:vAlign w:val="center"/>
          </w:tcPr>
          <w:p w14:paraId="2F27932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宋体"/>
                <w:sz w:val="21"/>
                <w:szCs w:val="21"/>
                <w:highlight w:val="none"/>
              </w:rPr>
              <w:t>蒸发量</w:t>
            </w:r>
            <w:r>
              <w:rPr>
                <w:rFonts w:hint="default"/>
                <w:sz w:val="21"/>
                <w:szCs w:val="21"/>
                <w:highlight w:val="none"/>
              </w:rPr>
              <w:t>(kg)</w:t>
            </w:r>
          </w:p>
        </w:tc>
        <w:tc>
          <w:tcPr>
            <w:tcW w:w="0" w:type="auto"/>
            <w:vAlign w:val="center"/>
          </w:tcPr>
          <w:p w14:paraId="6C24DA0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sz w:val="21"/>
                <w:szCs w:val="21"/>
                <w:highlight w:val="none"/>
              </w:rPr>
              <w:t>-</w:t>
            </w:r>
          </w:p>
        </w:tc>
      </w:tr>
      <w:tr w14:paraId="4E0CC3C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gridSpan w:val="3"/>
            <w:vAlign w:val="center"/>
          </w:tcPr>
          <w:p w14:paraId="285329D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宋体"/>
                <w:sz w:val="21"/>
                <w:szCs w:val="21"/>
                <w:highlight w:val="none"/>
              </w:rPr>
              <w:t>大气环境影响</w:t>
            </w:r>
            <w:r>
              <w:rPr>
                <w:rFonts w:hint="default"/>
                <w:sz w:val="21"/>
                <w:szCs w:val="21"/>
                <w:highlight w:val="none"/>
              </w:rPr>
              <w:t>-</w:t>
            </w:r>
            <w:r>
              <w:rPr>
                <w:rFonts w:hint="default" w:hAnsi="宋体"/>
                <w:sz w:val="21"/>
                <w:szCs w:val="21"/>
                <w:highlight w:val="none"/>
              </w:rPr>
              <w:t>气象条件名称</w:t>
            </w:r>
            <w:r>
              <w:rPr>
                <w:rFonts w:hint="default"/>
                <w:sz w:val="21"/>
                <w:szCs w:val="21"/>
                <w:highlight w:val="none"/>
              </w:rPr>
              <w:t>-</w:t>
            </w:r>
            <w:r>
              <w:rPr>
                <w:rFonts w:hint="default" w:hAnsi="宋体"/>
                <w:sz w:val="21"/>
                <w:szCs w:val="21"/>
                <w:highlight w:val="none"/>
              </w:rPr>
              <w:t>模型类型</w:t>
            </w:r>
          </w:p>
        </w:tc>
        <w:tc>
          <w:tcPr>
            <w:tcW w:w="0" w:type="auto"/>
            <w:gridSpan w:val="3"/>
            <w:vAlign w:val="center"/>
          </w:tcPr>
          <w:p w14:paraId="02D419B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宋体"/>
                <w:sz w:val="21"/>
                <w:szCs w:val="21"/>
                <w:highlight w:val="none"/>
              </w:rPr>
              <w:t>最不利气象条件</w:t>
            </w:r>
            <w:r>
              <w:rPr>
                <w:rFonts w:hint="default"/>
                <w:sz w:val="21"/>
                <w:szCs w:val="21"/>
                <w:highlight w:val="none"/>
              </w:rPr>
              <w:t>-aftox</w:t>
            </w:r>
            <w:r>
              <w:rPr>
                <w:rFonts w:hint="default" w:hAnsi="宋体"/>
                <w:sz w:val="21"/>
                <w:szCs w:val="21"/>
                <w:highlight w:val="none"/>
              </w:rPr>
              <w:t>模型</w:t>
            </w:r>
          </w:p>
        </w:tc>
      </w:tr>
      <w:tr w14:paraId="08F5BDE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Align w:val="center"/>
          </w:tcPr>
          <w:p w14:paraId="0AA2DCD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宋体"/>
                <w:sz w:val="21"/>
                <w:szCs w:val="21"/>
                <w:highlight w:val="none"/>
              </w:rPr>
              <w:t>指标</w:t>
            </w:r>
          </w:p>
        </w:tc>
        <w:tc>
          <w:tcPr>
            <w:tcW w:w="0" w:type="auto"/>
            <w:gridSpan w:val="2"/>
            <w:vAlign w:val="center"/>
          </w:tcPr>
          <w:p w14:paraId="041B53E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宋体"/>
                <w:sz w:val="21"/>
                <w:szCs w:val="21"/>
                <w:highlight w:val="none"/>
              </w:rPr>
              <w:t>浓度值</w:t>
            </w:r>
            <w:r>
              <w:rPr>
                <w:rFonts w:hint="default"/>
                <w:sz w:val="21"/>
                <w:szCs w:val="21"/>
                <w:highlight w:val="none"/>
              </w:rPr>
              <w:t>(mg/m</w:t>
            </w:r>
            <w:r>
              <w:rPr>
                <w:rFonts w:hint="default"/>
                <w:sz w:val="21"/>
                <w:szCs w:val="21"/>
                <w:highlight w:val="none"/>
                <w:vertAlign w:val="superscript"/>
              </w:rPr>
              <w:t>3</w:t>
            </w:r>
            <w:r>
              <w:rPr>
                <w:rFonts w:hint="default"/>
                <w:sz w:val="21"/>
                <w:szCs w:val="21"/>
                <w:highlight w:val="none"/>
              </w:rPr>
              <w:t>)</w:t>
            </w:r>
          </w:p>
        </w:tc>
        <w:tc>
          <w:tcPr>
            <w:tcW w:w="0" w:type="auto"/>
            <w:vAlign w:val="center"/>
          </w:tcPr>
          <w:p w14:paraId="6988798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宋体"/>
                <w:sz w:val="21"/>
                <w:szCs w:val="21"/>
                <w:highlight w:val="none"/>
              </w:rPr>
              <w:t>最远影响距离</w:t>
            </w:r>
            <w:r>
              <w:rPr>
                <w:rFonts w:hint="default"/>
                <w:sz w:val="21"/>
                <w:szCs w:val="21"/>
                <w:highlight w:val="none"/>
              </w:rPr>
              <w:t>(m)</w:t>
            </w:r>
          </w:p>
        </w:tc>
        <w:tc>
          <w:tcPr>
            <w:tcW w:w="0" w:type="auto"/>
            <w:gridSpan w:val="2"/>
            <w:vAlign w:val="center"/>
          </w:tcPr>
          <w:p w14:paraId="2464A71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宋体"/>
                <w:sz w:val="21"/>
                <w:szCs w:val="21"/>
                <w:highlight w:val="none"/>
              </w:rPr>
              <w:t>到达时间</w:t>
            </w:r>
            <w:r>
              <w:rPr>
                <w:rFonts w:hint="default"/>
                <w:sz w:val="21"/>
                <w:szCs w:val="21"/>
                <w:highlight w:val="none"/>
              </w:rPr>
              <w:t>(min)</w:t>
            </w:r>
          </w:p>
        </w:tc>
      </w:tr>
      <w:tr w14:paraId="7672E96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Align w:val="center"/>
          </w:tcPr>
          <w:p w14:paraId="59FED7D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宋体"/>
                <w:sz w:val="21"/>
                <w:szCs w:val="21"/>
                <w:highlight w:val="none"/>
              </w:rPr>
              <w:t>大气毒性终点浓度</w:t>
            </w:r>
            <w:r>
              <w:rPr>
                <w:rFonts w:hint="default"/>
                <w:sz w:val="21"/>
                <w:szCs w:val="21"/>
                <w:highlight w:val="none"/>
              </w:rPr>
              <w:t>-1</w:t>
            </w:r>
          </w:p>
        </w:tc>
        <w:tc>
          <w:tcPr>
            <w:tcW w:w="0" w:type="auto"/>
            <w:gridSpan w:val="2"/>
            <w:vAlign w:val="center"/>
          </w:tcPr>
          <w:p w14:paraId="55E844F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sz w:val="21"/>
                <w:szCs w:val="21"/>
                <w:highlight w:val="none"/>
              </w:rPr>
              <w:t>380.000000</w:t>
            </w:r>
          </w:p>
        </w:tc>
        <w:tc>
          <w:tcPr>
            <w:tcW w:w="0" w:type="auto"/>
            <w:vAlign w:val="center"/>
          </w:tcPr>
          <w:p w14:paraId="439F19E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sz w:val="21"/>
                <w:szCs w:val="21"/>
                <w:highlight w:val="none"/>
              </w:rPr>
              <w:t>81.20</w:t>
            </w:r>
          </w:p>
        </w:tc>
        <w:tc>
          <w:tcPr>
            <w:tcW w:w="0" w:type="auto"/>
            <w:gridSpan w:val="2"/>
            <w:vAlign w:val="center"/>
          </w:tcPr>
          <w:p w14:paraId="44D6A4D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sz w:val="21"/>
                <w:szCs w:val="21"/>
                <w:highlight w:val="none"/>
              </w:rPr>
              <w:t>1.50</w:t>
            </w:r>
          </w:p>
        </w:tc>
      </w:tr>
      <w:tr w14:paraId="56C90C2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Align w:val="center"/>
          </w:tcPr>
          <w:p w14:paraId="013E4D1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宋体"/>
                <w:sz w:val="21"/>
                <w:szCs w:val="21"/>
                <w:highlight w:val="none"/>
              </w:rPr>
              <w:t>大气毒性终点浓度</w:t>
            </w:r>
            <w:r>
              <w:rPr>
                <w:rFonts w:hint="default"/>
                <w:sz w:val="21"/>
                <w:szCs w:val="21"/>
                <w:highlight w:val="none"/>
              </w:rPr>
              <w:t>-2</w:t>
            </w:r>
          </w:p>
        </w:tc>
        <w:tc>
          <w:tcPr>
            <w:tcW w:w="0" w:type="auto"/>
            <w:gridSpan w:val="2"/>
            <w:vAlign w:val="center"/>
          </w:tcPr>
          <w:p w14:paraId="5B05FD1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sz w:val="21"/>
                <w:szCs w:val="21"/>
                <w:highlight w:val="none"/>
              </w:rPr>
              <w:t>95.000000</w:t>
            </w:r>
          </w:p>
        </w:tc>
        <w:tc>
          <w:tcPr>
            <w:tcW w:w="0" w:type="auto"/>
            <w:vAlign w:val="center"/>
          </w:tcPr>
          <w:p w14:paraId="7F98517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sz w:val="21"/>
                <w:szCs w:val="21"/>
                <w:highlight w:val="none"/>
              </w:rPr>
              <w:t>157.30</w:t>
            </w:r>
          </w:p>
        </w:tc>
        <w:tc>
          <w:tcPr>
            <w:tcW w:w="0" w:type="auto"/>
            <w:gridSpan w:val="2"/>
            <w:vAlign w:val="center"/>
          </w:tcPr>
          <w:p w14:paraId="0C0D03F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sz w:val="21"/>
                <w:szCs w:val="21"/>
                <w:highlight w:val="none"/>
              </w:rPr>
              <w:t>2.50</w:t>
            </w:r>
          </w:p>
        </w:tc>
      </w:tr>
      <w:tr w14:paraId="5624404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800" w:hRule="atLeast"/>
        </w:trPr>
        <w:tc>
          <w:tcPr>
            <w:tcW w:w="0" w:type="auto"/>
            <w:vAlign w:val="center"/>
          </w:tcPr>
          <w:p w14:paraId="320453F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宋体"/>
                <w:sz w:val="21"/>
                <w:szCs w:val="21"/>
                <w:highlight w:val="none"/>
              </w:rPr>
              <w:t>敏感目标名称</w:t>
            </w:r>
          </w:p>
        </w:tc>
        <w:tc>
          <w:tcPr>
            <w:tcW w:w="0" w:type="auto"/>
            <w:vAlign w:val="center"/>
          </w:tcPr>
          <w:p w14:paraId="0CBD672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宋体"/>
                <w:sz w:val="21"/>
                <w:szCs w:val="21"/>
                <w:highlight w:val="none"/>
              </w:rPr>
              <w:t>大气毒性终点浓度</w:t>
            </w:r>
            <w:r>
              <w:rPr>
                <w:rFonts w:hint="default"/>
                <w:sz w:val="21"/>
                <w:szCs w:val="21"/>
                <w:highlight w:val="none"/>
              </w:rPr>
              <w:t>-1-</w:t>
            </w:r>
            <w:r>
              <w:rPr>
                <w:rFonts w:hint="default" w:hAnsi="宋体"/>
                <w:sz w:val="21"/>
                <w:szCs w:val="21"/>
                <w:highlight w:val="none"/>
              </w:rPr>
              <w:t>超标时间</w:t>
            </w:r>
            <w:r>
              <w:rPr>
                <w:rFonts w:hint="default"/>
                <w:sz w:val="21"/>
                <w:szCs w:val="21"/>
                <w:highlight w:val="none"/>
              </w:rPr>
              <w:t>(min)</w:t>
            </w:r>
          </w:p>
        </w:tc>
        <w:tc>
          <w:tcPr>
            <w:tcW w:w="0" w:type="auto"/>
            <w:vAlign w:val="center"/>
          </w:tcPr>
          <w:p w14:paraId="51A7D69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宋体"/>
                <w:sz w:val="21"/>
                <w:szCs w:val="21"/>
                <w:highlight w:val="none"/>
              </w:rPr>
              <w:t>大气毒性终点浓度</w:t>
            </w:r>
            <w:r>
              <w:rPr>
                <w:rFonts w:hint="default"/>
                <w:sz w:val="21"/>
                <w:szCs w:val="21"/>
                <w:highlight w:val="none"/>
              </w:rPr>
              <w:t>-1-</w:t>
            </w:r>
            <w:r>
              <w:rPr>
                <w:rFonts w:hint="default" w:hAnsi="宋体"/>
                <w:sz w:val="21"/>
                <w:szCs w:val="21"/>
                <w:highlight w:val="none"/>
              </w:rPr>
              <w:t>超标持续时间</w:t>
            </w:r>
            <w:r>
              <w:rPr>
                <w:rFonts w:hint="default"/>
                <w:sz w:val="21"/>
                <w:szCs w:val="21"/>
                <w:highlight w:val="none"/>
              </w:rPr>
              <w:t>(min)</w:t>
            </w:r>
          </w:p>
        </w:tc>
        <w:tc>
          <w:tcPr>
            <w:tcW w:w="0" w:type="auto"/>
            <w:vAlign w:val="center"/>
          </w:tcPr>
          <w:p w14:paraId="79C3855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宋体"/>
                <w:sz w:val="21"/>
                <w:szCs w:val="21"/>
                <w:highlight w:val="none"/>
              </w:rPr>
              <w:t>大气毒性终点浓度</w:t>
            </w:r>
            <w:r>
              <w:rPr>
                <w:rFonts w:hint="default"/>
                <w:sz w:val="21"/>
                <w:szCs w:val="21"/>
                <w:highlight w:val="none"/>
              </w:rPr>
              <w:t>-2-</w:t>
            </w:r>
            <w:r>
              <w:rPr>
                <w:rFonts w:hint="default" w:hAnsi="宋体"/>
                <w:sz w:val="21"/>
                <w:szCs w:val="21"/>
                <w:highlight w:val="none"/>
              </w:rPr>
              <w:t>超标时间</w:t>
            </w:r>
            <w:r>
              <w:rPr>
                <w:rFonts w:hint="default"/>
                <w:sz w:val="21"/>
                <w:szCs w:val="21"/>
                <w:highlight w:val="none"/>
              </w:rPr>
              <w:t>(min)</w:t>
            </w:r>
          </w:p>
        </w:tc>
        <w:tc>
          <w:tcPr>
            <w:tcW w:w="0" w:type="auto"/>
            <w:vAlign w:val="center"/>
          </w:tcPr>
          <w:p w14:paraId="49AB640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宋体"/>
                <w:sz w:val="21"/>
                <w:szCs w:val="21"/>
                <w:highlight w:val="none"/>
              </w:rPr>
              <w:t>大气毒性终点浓度</w:t>
            </w:r>
            <w:r>
              <w:rPr>
                <w:rFonts w:hint="default"/>
                <w:sz w:val="21"/>
                <w:szCs w:val="21"/>
                <w:highlight w:val="none"/>
              </w:rPr>
              <w:t>-2-</w:t>
            </w:r>
            <w:r>
              <w:rPr>
                <w:rFonts w:hint="default" w:hAnsi="宋体"/>
                <w:sz w:val="21"/>
                <w:szCs w:val="21"/>
                <w:highlight w:val="none"/>
              </w:rPr>
              <w:t>超标持续时间</w:t>
            </w:r>
            <w:r>
              <w:rPr>
                <w:rFonts w:hint="default"/>
                <w:sz w:val="21"/>
                <w:szCs w:val="21"/>
                <w:highlight w:val="none"/>
              </w:rPr>
              <w:t>(min)</w:t>
            </w:r>
          </w:p>
        </w:tc>
        <w:tc>
          <w:tcPr>
            <w:tcW w:w="0" w:type="auto"/>
            <w:vAlign w:val="center"/>
          </w:tcPr>
          <w:p w14:paraId="0F7F7DD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宋体"/>
                <w:sz w:val="21"/>
                <w:szCs w:val="21"/>
                <w:highlight w:val="none"/>
              </w:rPr>
              <w:t>敏感目标</w:t>
            </w:r>
            <w:r>
              <w:rPr>
                <w:rFonts w:hint="default"/>
                <w:sz w:val="21"/>
                <w:szCs w:val="21"/>
                <w:highlight w:val="none"/>
              </w:rPr>
              <w:t>-</w:t>
            </w:r>
            <w:r>
              <w:rPr>
                <w:rFonts w:hint="default" w:hAnsi="宋体"/>
                <w:sz w:val="21"/>
                <w:szCs w:val="21"/>
                <w:highlight w:val="none"/>
              </w:rPr>
              <w:t>最大浓度</w:t>
            </w:r>
            <w:r>
              <w:rPr>
                <w:rFonts w:hint="default"/>
                <w:sz w:val="21"/>
                <w:szCs w:val="21"/>
                <w:highlight w:val="none"/>
              </w:rPr>
              <w:t>(mg/m</w:t>
            </w:r>
            <w:r>
              <w:rPr>
                <w:rFonts w:hint="default"/>
                <w:sz w:val="21"/>
                <w:szCs w:val="21"/>
                <w:highlight w:val="none"/>
                <w:vertAlign w:val="superscript"/>
              </w:rPr>
              <w:t>3</w:t>
            </w:r>
            <w:r>
              <w:rPr>
                <w:rFonts w:hint="default"/>
                <w:sz w:val="21"/>
                <w:szCs w:val="21"/>
                <w:highlight w:val="none"/>
              </w:rPr>
              <w:t>)</w:t>
            </w:r>
          </w:p>
        </w:tc>
      </w:tr>
      <w:tr w14:paraId="4015C85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Align w:val="center"/>
          </w:tcPr>
          <w:p w14:paraId="2F4E643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eastAsia" w:hAnsi="宋体"/>
                <w:sz w:val="21"/>
                <w:szCs w:val="21"/>
                <w:highlight w:val="none"/>
              </w:rPr>
              <w:t>刘家村</w:t>
            </w:r>
          </w:p>
        </w:tc>
        <w:tc>
          <w:tcPr>
            <w:tcW w:w="0" w:type="auto"/>
            <w:vAlign w:val="center"/>
          </w:tcPr>
          <w:p w14:paraId="5E3270C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sz w:val="21"/>
                <w:szCs w:val="21"/>
                <w:highlight w:val="none"/>
              </w:rPr>
              <w:t>-</w:t>
            </w:r>
          </w:p>
        </w:tc>
        <w:tc>
          <w:tcPr>
            <w:tcW w:w="0" w:type="auto"/>
            <w:vAlign w:val="center"/>
          </w:tcPr>
          <w:p w14:paraId="1EF002E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sz w:val="21"/>
                <w:szCs w:val="21"/>
                <w:highlight w:val="none"/>
              </w:rPr>
              <w:t>-</w:t>
            </w:r>
          </w:p>
        </w:tc>
        <w:tc>
          <w:tcPr>
            <w:tcW w:w="0" w:type="auto"/>
            <w:vAlign w:val="center"/>
          </w:tcPr>
          <w:p w14:paraId="0DF6D30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sz w:val="21"/>
                <w:szCs w:val="21"/>
                <w:highlight w:val="none"/>
              </w:rPr>
              <w:t>-</w:t>
            </w:r>
          </w:p>
        </w:tc>
        <w:tc>
          <w:tcPr>
            <w:tcW w:w="0" w:type="auto"/>
            <w:vAlign w:val="center"/>
          </w:tcPr>
          <w:p w14:paraId="5DBFB5A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sz w:val="21"/>
                <w:szCs w:val="21"/>
                <w:highlight w:val="none"/>
              </w:rPr>
              <w:t>-</w:t>
            </w:r>
          </w:p>
        </w:tc>
        <w:tc>
          <w:tcPr>
            <w:tcW w:w="0" w:type="auto"/>
            <w:vAlign w:val="center"/>
          </w:tcPr>
          <w:p w14:paraId="6A534B1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sz w:val="21"/>
                <w:szCs w:val="21"/>
                <w:highlight w:val="none"/>
              </w:rPr>
              <w:t>8.781861</w:t>
            </w:r>
          </w:p>
        </w:tc>
      </w:tr>
      <w:tr w14:paraId="79AF943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Align w:val="center"/>
          </w:tcPr>
          <w:p w14:paraId="7597FE9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sz w:val="21"/>
                <w:szCs w:val="21"/>
                <w:highlight w:val="none"/>
              </w:rPr>
            </w:pPr>
            <w:r>
              <w:rPr>
                <w:rFonts w:hint="default"/>
                <w:sz w:val="21"/>
                <w:szCs w:val="21"/>
                <w:highlight w:val="none"/>
              </w:rPr>
              <w:t>香悦馨领域</w:t>
            </w:r>
          </w:p>
        </w:tc>
        <w:tc>
          <w:tcPr>
            <w:tcW w:w="0" w:type="auto"/>
            <w:vAlign w:val="center"/>
          </w:tcPr>
          <w:p w14:paraId="145BA43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宋体"/>
                <w:sz w:val="21"/>
                <w:szCs w:val="21"/>
                <w:highlight w:val="none"/>
              </w:rPr>
            </w:pPr>
            <w:r>
              <w:rPr>
                <w:rFonts w:hint="default" w:hAnsi="宋体"/>
                <w:sz w:val="21"/>
                <w:szCs w:val="21"/>
                <w:highlight w:val="none"/>
              </w:rPr>
              <w:t>-</w:t>
            </w:r>
          </w:p>
        </w:tc>
        <w:tc>
          <w:tcPr>
            <w:tcW w:w="0" w:type="auto"/>
            <w:vAlign w:val="center"/>
          </w:tcPr>
          <w:p w14:paraId="28BEFDB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宋体"/>
                <w:sz w:val="21"/>
                <w:szCs w:val="21"/>
                <w:highlight w:val="none"/>
              </w:rPr>
            </w:pPr>
            <w:r>
              <w:rPr>
                <w:rFonts w:hint="default" w:hAnsi="宋体"/>
                <w:sz w:val="21"/>
                <w:szCs w:val="21"/>
                <w:highlight w:val="none"/>
              </w:rPr>
              <w:t>-</w:t>
            </w:r>
          </w:p>
        </w:tc>
        <w:tc>
          <w:tcPr>
            <w:tcW w:w="0" w:type="auto"/>
            <w:vAlign w:val="center"/>
          </w:tcPr>
          <w:p w14:paraId="07700F6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宋体"/>
                <w:sz w:val="21"/>
                <w:szCs w:val="21"/>
                <w:highlight w:val="none"/>
              </w:rPr>
            </w:pPr>
            <w:r>
              <w:rPr>
                <w:rFonts w:hint="default" w:hAnsi="宋体"/>
                <w:sz w:val="21"/>
                <w:szCs w:val="21"/>
                <w:highlight w:val="none"/>
              </w:rPr>
              <w:t>-</w:t>
            </w:r>
          </w:p>
        </w:tc>
        <w:tc>
          <w:tcPr>
            <w:tcW w:w="0" w:type="auto"/>
            <w:vAlign w:val="center"/>
          </w:tcPr>
          <w:p w14:paraId="6452E42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宋体"/>
                <w:sz w:val="21"/>
                <w:szCs w:val="21"/>
                <w:highlight w:val="none"/>
              </w:rPr>
            </w:pPr>
            <w:r>
              <w:rPr>
                <w:rFonts w:hint="default" w:hAnsi="宋体"/>
                <w:sz w:val="21"/>
                <w:szCs w:val="21"/>
                <w:highlight w:val="none"/>
              </w:rPr>
              <w:t>-</w:t>
            </w:r>
          </w:p>
        </w:tc>
        <w:tc>
          <w:tcPr>
            <w:tcW w:w="0" w:type="auto"/>
            <w:vAlign w:val="center"/>
          </w:tcPr>
          <w:p w14:paraId="70B2985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宋体"/>
                <w:sz w:val="21"/>
                <w:szCs w:val="21"/>
                <w:highlight w:val="none"/>
              </w:rPr>
            </w:pPr>
            <w:r>
              <w:rPr>
                <w:rFonts w:hint="default" w:hAnsi="宋体"/>
                <w:sz w:val="21"/>
                <w:szCs w:val="21"/>
                <w:highlight w:val="none"/>
              </w:rPr>
              <w:t>1.166296</w:t>
            </w:r>
          </w:p>
        </w:tc>
      </w:tr>
      <w:tr w14:paraId="66D0764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Align w:val="center"/>
          </w:tcPr>
          <w:p w14:paraId="53F36A6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sz w:val="21"/>
                <w:szCs w:val="21"/>
                <w:highlight w:val="none"/>
              </w:rPr>
            </w:pPr>
            <w:r>
              <w:rPr>
                <w:rFonts w:hint="default"/>
                <w:sz w:val="21"/>
                <w:szCs w:val="21"/>
                <w:highlight w:val="none"/>
              </w:rPr>
              <w:t>香悦蓝天下</w:t>
            </w:r>
          </w:p>
        </w:tc>
        <w:tc>
          <w:tcPr>
            <w:tcW w:w="0" w:type="auto"/>
            <w:vAlign w:val="center"/>
          </w:tcPr>
          <w:p w14:paraId="78F7821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宋体"/>
                <w:sz w:val="21"/>
                <w:szCs w:val="21"/>
                <w:highlight w:val="none"/>
              </w:rPr>
            </w:pPr>
            <w:r>
              <w:rPr>
                <w:rFonts w:hint="default" w:hAnsi="宋体"/>
                <w:sz w:val="21"/>
                <w:szCs w:val="21"/>
                <w:highlight w:val="none"/>
              </w:rPr>
              <w:t>-</w:t>
            </w:r>
          </w:p>
        </w:tc>
        <w:tc>
          <w:tcPr>
            <w:tcW w:w="0" w:type="auto"/>
            <w:vAlign w:val="center"/>
          </w:tcPr>
          <w:p w14:paraId="1600C7E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宋体"/>
                <w:sz w:val="21"/>
                <w:szCs w:val="21"/>
                <w:highlight w:val="none"/>
              </w:rPr>
            </w:pPr>
            <w:r>
              <w:rPr>
                <w:rFonts w:hint="default" w:hAnsi="宋体"/>
                <w:sz w:val="21"/>
                <w:szCs w:val="21"/>
                <w:highlight w:val="none"/>
              </w:rPr>
              <w:t>-</w:t>
            </w:r>
          </w:p>
        </w:tc>
        <w:tc>
          <w:tcPr>
            <w:tcW w:w="0" w:type="auto"/>
            <w:vAlign w:val="center"/>
          </w:tcPr>
          <w:p w14:paraId="23D5023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宋体"/>
                <w:sz w:val="21"/>
                <w:szCs w:val="21"/>
                <w:highlight w:val="none"/>
              </w:rPr>
            </w:pPr>
            <w:r>
              <w:rPr>
                <w:rFonts w:hint="default" w:hAnsi="宋体"/>
                <w:sz w:val="21"/>
                <w:szCs w:val="21"/>
                <w:highlight w:val="none"/>
              </w:rPr>
              <w:t>-</w:t>
            </w:r>
          </w:p>
        </w:tc>
        <w:tc>
          <w:tcPr>
            <w:tcW w:w="0" w:type="auto"/>
            <w:vAlign w:val="center"/>
          </w:tcPr>
          <w:p w14:paraId="5E3B2C2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宋体"/>
                <w:sz w:val="21"/>
                <w:szCs w:val="21"/>
                <w:highlight w:val="none"/>
              </w:rPr>
            </w:pPr>
            <w:r>
              <w:rPr>
                <w:rFonts w:hint="default" w:hAnsi="宋体"/>
                <w:sz w:val="21"/>
                <w:szCs w:val="21"/>
                <w:highlight w:val="none"/>
              </w:rPr>
              <w:t>-</w:t>
            </w:r>
          </w:p>
        </w:tc>
        <w:tc>
          <w:tcPr>
            <w:tcW w:w="0" w:type="auto"/>
            <w:vAlign w:val="center"/>
          </w:tcPr>
          <w:p w14:paraId="04EA546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宋体"/>
                <w:sz w:val="21"/>
                <w:szCs w:val="21"/>
                <w:highlight w:val="none"/>
              </w:rPr>
            </w:pPr>
            <w:r>
              <w:rPr>
                <w:rFonts w:hint="default" w:hAnsi="宋体"/>
                <w:sz w:val="21"/>
                <w:szCs w:val="21"/>
                <w:highlight w:val="none"/>
              </w:rPr>
              <w:t>0.405816</w:t>
            </w:r>
          </w:p>
        </w:tc>
      </w:tr>
      <w:tr w14:paraId="3E0B573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Align w:val="center"/>
          </w:tcPr>
          <w:p w14:paraId="539A868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sz w:val="21"/>
                <w:szCs w:val="21"/>
                <w:highlight w:val="none"/>
              </w:rPr>
            </w:pPr>
            <w:r>
              <w:rPr>
                <w:rFonts w:hint="default"/>
                <w:sz w:val="21"/>
                <w:szCs w:val="21"/>
                <w:highlight w:val="none"/>
              </w:rPr>
              <w:t>哈飞家园</w:t>
            </w:r>
          </w:p>
        </w:tc>
        <w:tc>
          <w:tcPr>
            <w:tcW w:w="0" w:type="auto"/>
            <w:vAlign w:val="center"/>
          </w:tcPr>
          <w:p w14:paraId="6215CC1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宋体"/>
                <w:sz w:val="21"/>
                <w:szCs w:val="21"/>
                <w:highlight w:val="none"/>
              </w:rPr>
            </w:pPr>
            <w:r>
              <w:rPr>
                <w:rFonts w:hint="default" w:hAnsi="宋体"/>
                <w:sz w:val="21"/>
                <w:szCs w:val="21"/>
                <w:highlight w:val="none"/>
              </w:rPr>
              <w:t>-</w:t>
            </w:r>
          </w:p>
        </w:tc>
        <w:tc>
          <w:tcPr>
            <w:tcW w:w="0" w:type="auto"/>
            <w:vAlign w:val="center"/>
          </w:tcPr>
          <w:p w14:paraId="2913651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宋体"/>
                <w:sz w:val="21"/>
                <w:szCs w:val="21"/>
                <w:highlight w:val="none"/>
              </w:rPr>
            </w:pPr>
            <w:r>
              <w:rPr>
                <w:rFonts w:hint="default" w:hAnsi="宋体"/>
                <w:sz w:val="21"/>
                <w:szCs w:val="21"/>
                <w:highlight w:val="none"/>
              </w:rPr>
              <w:t>-</w:t>
            </w:r>
          </w:p>
        </w:tc>
        <w:tc>
          <w:tcPr>
            <w:tcW w:w="0" w:type="auto"/>
            <w:vAlign w:val="center"/>
          </w:tcPr>
          <w:p w14:paraId="3358827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宋体"/>
                <w:sz w:val="21"/>
                <w:szCs w:val="21"/>
                <w:highlight w:val="none"/>
              </w:rPr>
            </w:pPr>
            <w:r>
              <w:rPr>
                <w:rFonts w:hint="default" w:hAnsi="宋体"/>
                <w:sz w:val="21"/>
                <w:szCs w:val="21"/>
                <w:highlight w:val="none"/>
              </w:rPr>
              <w:t>-</w:t>
            </w:r>
          </w:p>
        </w:tc>
        <w:tc>
          <w:tcPr>
            <w:tcW w:w="0" w:type="auto"/>
            <w:vAlign w:val="center"/>
          </w:tcPr>
          <w:p w14:paraId="3F14E9C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宋体"/>
                <w:sz w:val="21"/>
                <w:szCs w:val="21"/>
                <w:highlight w:val="none"/>
              </w:rPr>
            </w:pPr>
            <w:r>
              <w:rPr>
                <w:rFonts w:hint="default" w:hAnsi="宋体"/>
                <w:sz w:val="21"/>
                <w:szCs w:val="21"/>
                <w:highlight w:val="none"/>
              </w:rPr>
              <w:t>-</w:t>
            </w:r>
          </w:p>
        </w:tc>
        <w:tc>
          <w:tcPr>
            <w:tcW w:w="0" w:type="auto"/>
            <w:vAlign w:val="center"/>
          </w:tcPr>
          <w:p w14:paraId="716FC28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hAnsi="宋体"/>
                <w:sz w:val="21"/>
                <w:szCs w:val="21"/>
                <w:highlight w:val="none"/>
              </w:rPr>
            </w:pPr>
            <w:r>
              <w:rPr>
                <w:rFonts w:hint="default" w:hAnsi="宋体"/>
                <w:sz w:val="21"/>
                <w:szCs w:val="21"/>
                <w:highlight w:val="none"/>
              </w:rPr>
              <w:t>0.415799</w:t>
            </w:r>
          </w:p>
        </w:tc>
      </w:tr>
    </w:tbl>
    <w:p w14:paraId="260879A9">
      <w:pPr>
        <w:spacing w:line="360" w:lineRule="auto"/>
        <w:jc w:val="center"/>
        <w:rPr>
          <w:b/>
          <w:sz w:val="24"/>
          <w:highlight w:val="none"/>
        </w:rPr>
      </w:pPr>
      <w:r>
        <w:rPr>
          <w:b/>
          <w:sz w:val="24"/>
          <w:highlight w:val="none"/>
        </w:rPr>
        <w:pict>
          <v:rect id="_x0000_s2085" o:spid="_x0000_s2085" o:spt="1" style="position:absolute;left:0pt;margin-left:380.8pt;margin-top:32.5pt;height:22.45pt;width:19.55pt;z-index:251712512;mso-width-relative:page;mso-height-relative:page;" filled="f" stroked="f" coordsize="21600,21600">
            <v:path/>
            <v:fill on="f" focussize="0,0"/>
            <v:stroke on="f"/>
            <v:imagedata o:title=""/>
            <o:lock v:ext="edit"/>
            <v:textbox>
              <w:txbxContent>
                <w:p w14:paraId="164993BF">
                  <w:pPr>
                    <w:rPr>
                      <w:b/>
                      <w:color w:val="FF0000"/>
                    </w:rPr>
                  </w:pPr>
                  <w:r>
                    <w:rPr>
                      <w:rFonts w:hint="eastAsia"/>
                      <w:b/>
                      <w:color w:val="FF0000"/>
                    </w:rPr>
                    <w:t>N</w:t>
                  </w:r>
                </w:p>
              </w:txbxContent>
            </v:textbox>
          </v:rect>
        </w:pict>
      </w:r>
      <w:r>
        <w:rPr>
          <w:b/>
          <w:sz w:val="24"/>
          <w:highlight w:val="none"/>
        </w:rPr>
        <w:pict>
          <v:shape id="_x0000_s2086" o:spid="_x0000_s2086" o:spt="68" type="#_x0000_t68" style="position:absolute;left:0pt;margin-left:394.75pt;margin-top:19.35pt;height:37.45pt;width:9.65pt;z-index:251711488;mso-width-relative:page;mso-height-relative:page;" fillcolor="#FF0000" filled="t" stroked="t" coordsize="21600,21600">
            <v:path/>
            <v:fill on="t" focussize="0,0"/>
            <v:stroke color="#FF0000" joinstyle="miter"/>
            <v:imagedata o:title=""/>
            <o:lock v:ext="edit"/>
            <v:textbox style="layout-flow:vertical-ideographic;"/>
          </v:shape>
        </w:pict>
      </w:r>
      <w:r>
        <w:rPr>
          <w:rFonts w:hint="eastAsia"/>
          <w:b/>
          <w:sz w:val="24"/>
          <w:highlight w:val="none"/>
        </w:rPr>
        <w:drawing>
          <wp:inline distT="0" distB="0" distL="0" distR="0">
            <wp:extent cx="5264785" cy="3662045"/>
            <wp:effectExtent l="3175" t="3175" r="8890" b="11430"/>
            <wp:docPr id="3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6"/>
                    <pic:cNvPicPr>
                      <a:picLocks noChangeAspect="1" noChangeArrowheads="1"/>
                    </pic:cNvPicPr>
                  </pic:nvPicPr>
                  <pic:blipFill>
                    <a:blip r:embed="rId103"/>
                    <a:srcRect/>
                    <a:stretch>
                      <a:fillRect/>
                    </a:stretch>
                  </pic:blipFill>
                  <pic:spPr>
                    <a:xfrm>
                      <a:off x="0" y="0"/>
                      <a:ext cx="5271478" cy="3666420"/>
                    </a:xfrm>
                    <a:prstGeom prst="rect">
                      <a:avLst/>
                    </a:prstGeom>
                    <a:noFill/>
                    <a:ln w="9525">
                      <a:noFill/>
                      <a:miter lim="800000"/>
                      <a:headEnd/>
                      <a:tailEnd/>
                    </a:ln>
                    <a:scene3d>
                      <a:camera prst="orthographicFront"/>
                      <a:lightRig rig="threePt" dir="t"/>
                    </a:scene3d>
                    <a:sp3d contourW="6350"/>
                  </pic:spPr>
                </pic:pic>
              </a:graphicData>
            </a:graphic>
          </wp:inline>
        </w:drawing>
      </w:r>
    </w:p>
    <w:p w14:paraId="233E85A0">
      <w:pPr>
        <w:spacing w:line="360" w:lineRule="auto"/>
        <w:jc w:val="center"/>
        <w:rPr>
          <w:b/>
          <w:sz w:val="24"/>
          <w:highlight w:val="none"/>
        </w:rPr>
      </w:pPr>
      <w:r>
        <w:rPr>
          <w:rFonts w:hint="eastAsia"/>
          <w:b/>
          <w:sz w:val="24"/>
          <w:highlight w:val="none"/>
        </w:rPr>
        <w:t>图5-2-8 二氧化硫影响范围图</w:t>
      </w:r>
    </w:p>
    <w:p w14:paraId="48FADB64">
      <w:pPr>
        <w:spacing w:line="360" w:lineRule="auto"/>
        <w:jc w:val="center"/>
        <w:rPr>
          <w:b/>
          <w:sz w:val="24"/>
          <w:highlight w:val="none"/>
        </w:rPr>
      </w:pPr>
      <w:r>
        <w:rPr>
          <w:b/>
          <w:sz w:val="24"/>
          <w:highlight w:val="none"/>
        </w:rPr>
        <w:pict>
          <v:rect id="_x0000_s2088" o:spid="_x0000_s2088" o:spt="1" style="position:absolute;left:0pt;margin-left:376.25pt;margin-top:21.75pt;height:22.45pt;width:19.55pt;z-index:251713536;mso-width-relative:page;mso-height-relative:page;" filled="f" stroked="f" coordsize="21600,21600">
            <v:path/>
            <v:fill on="f" focussize="0,0"/>
            <v:stroke on="f"/>
            <v:imagedata o:title=""/>
            <o:lock v:ext="edit"/>
            <v:textbox>
              <w:txbxContent>
                <w:p w14:paraId="275A8746">
                  <w:pPr>
                    <w:rPr>
                      <w:b/>
                      <w:color w:val="FF0000"/>
                    </w:rPr>
                  </w:pPr>
                  <w:r>
                    <w:rPr>
                      <w:rFonts w:hint="eastAsia"/>
                      <w:b/>
                      <w:color w:val="FF0000"/>
                    </w:rPr>
                    <w:t>N</w:t>
                  </w:r>
                </w:p>
              </w:txbxContent>
            </v:textbox>
          </v:rect>
        </w:pict>
      </w:r>
      <w:r>
        <w:rPr>
          <w:b/>
          <w:sz w:val="24"/>
          <w:highlight w:val="none"/>
        </w:rPr>
        <w:pict>
          <v:shape id="_x0000_s2089" o:spid="_x0000_s2089" o:spt="68" type="#_x0000_t68" style="position:absolute;left:0pt;margin-left:392.95pt;margin-top:11.8pt;height:37.45pt;width:9.65pt;z-index:251714560;mso-width-relative:page;mso-height-relative:page;" fillcolor="#FF0000" filled="t" stroked="t" coordsize="21600,21600">
            <v:path/>
            <v:fill on="t" focussize="0,0"/>
            <v:stroke color="#FF0000" joinstyle="miter"/>
            <v:imagedata o:title=""/>
            <o:lock v:ext="edit"/>
            <v:textbox style="layout-flow:vertical-ideographic;"/>
          </v:shape>
        </w:pict>
      </w:r>
      <w:r>
        <w:rPr>
          <w:rFonts w:hint="eastAsia"/>
          <w:b/>
          <w:sz w:val="24"/>
          <w:highlight w:val="none"/>
        </w:rPr>
        <w:drawing>
          <wp:inline distT="0" distB="0" distL="0" distR="0">
            <wp:extent cx="5070475" cy="3572510"/>
            <wp:effectExtent l="3175" t="3175" r="12700" b="571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noChangeArrowheads="1"/>
                    </pic:cNvPicPr>
                  </pic:nvPicPr>
                  <pic:blipFill>
                    <a:blip r:embed="rId104"/>
                    <a:srcRect/>
                    <a:stretch>
                      <a:fillRect/>
                    </a:stretch>
                  </pic:blipFill>
                  <pic:spPr>
                    <a:xfrm>
                      <a:off x="0" y="0"/>
                      <a:ext cx="5069283" cy="3571578"/>
                    </a:xfrm>
                    <a:prstGeom prst="rect">
                      <a:avLst/>
                    </a:prstGeom>
                    <a:noFill/>
                    <a:ln w="9525">
                      <a:noFill/>
                      <a:miter lim="800000"/>
                      <a:headEnd/>
                      <a:tailEnd/>
                    </a:ln>
                    <a:scene3d>
                      <a:camera prst="orthographicFront"/>
                      <a:lightRig rig="threePt" dir="t"/>
                    </a:scene3d>
                    <a:sp3d contourW="6350"/>
                  </pic:spPr>
                </pic:pic>
              </a:graphicData>
            </a:graphic>
          </wp:inline>
        </w:drawing>
      </w:r>
    </w:p>
    <w:p w14:paraId="2EA90C4B">
      <w:pPr>
        <w:spacing w:line="360" w:lineRule="auto"/>
        <w:jc w:val="center"/>
        <w:rPr>
          <w:b/>
          <w:sz w:val="24"/>
          <w:highlight w:val="none"/>
        </w:rPr>
      </w:pPr>
      <w:r>
        <w:rPr>
          <w:rFonts w:hint="eastAsia"/>
          <w:b/>
          <w:sz w:val="24"/>
          <w:highlight w:val="none"/>
        </w:rPr>
        <w:t>图5-2-10 一氧化碳影响范围图</w:t>
      </w:r>
    </w:p>
    <w:p w14:paraId="218EE445">
      <w:pPr>
        <w:spacing w:line="360" w:lineRule="auto"/>
        <w:ind w:firstLine="460" w:firstLineChars="192"/>
        <w:rPr>
          <w:rFonts w:eastAsiaTheme="minorEastAsia"/>
          <w:sz w:val="24"/>
          <w:highlight w:val="none"/>
        </w:rPr>
      </w:pPr>
      <w:r>
        <w:rPr>
          <w:rFonts w:hint="eastAsia" w:eastAsiaTheme="minorEastAsia"/>
          <w:sz w:val="24"/>
          <w:highlight w:val="none"/>
        </w:rPr>
        <w:t>7</w:t>
      </w:r>
      <w:r>
        <w:rPr>
          <w:rFonts w:eastAsiaTheme="minorEastAsia"/>
          <w:sz w:val="24"/>
          <w:highlight w:val="none"/>
        </w:rPr>
        <w:t>、风险源最大影响统计表</w:t>
      </w:r>
    </w:p>
    <w:p w14:paraId="2D6A75D2">
      <w:pPr>
        <w:pStyle w:val="7"/>
        <w:bidi w:val="0"/>
        <w:rPr>
          <w:highlight w:val="none"/>
        </w:rPr>
      </w:pPr>
      <w:r>
        <w:rPr>
          <w:highlight w:val="none"/>
        </w:rPr>
        <w:t>表</w:t>
      </w:r>
      <w:r>
        <w:rPr>
          <w:rFonts w:hint="eastAsia"/>
          <w:highlight w:val="none"/>
        </w:rPr>
        <w:t xml:space="preserve">5-2-36 </w:t>
      </w:r>
      <w:r>
        <w:rPr>
          <w:highlight w:val="none"/>
        </w:rPr>
        <w:t>风险源最大影响统计表</w:t>
      </w:r>
    </w:p>
    <w:tbl>
      <w:tblPr>
        <w:tblStyle w:val="45"/>
        <w:tblW w:w="8527" w:type="dxa"/>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 w:type="dxa"/>
          <w:bottom w:w="0" w:type="dxa"/>
          <w:right w:w="10" w:type="dxa"/>
        </w:tblCellMar>
      </w:tblPr>
      <w:tblGrid>
        <w:gridCol w:w="4105"/>
        <w:gridCol w:w="1438"/>
        <w:gridCol w:w="1851"/>
        <w:gridCol w:w="1133"/>
      </w:tblGrid>
      <w:tr w14:paraId="4AC5672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gridSpan w:val="4"/>
            <w:vAlign w:val="center"/>
          </w:tcPr>
          <w:p w14:paraId="16FAB9F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宋体"/>
                <w:sz w:val="21"/>
                <w:szCs w:val="21"/>
                <w:highlight w:val="none"/>
              </w:rPr>
              <w:t>油类物质存储区</w:t>
            </w:r>
            <w:r>
              <w:rPr>
                <w:rFonts w:hint="default"/>
                <w:sz w:val="21"/>
                <w:szCs w:val="21"/>
                <w:highlight w:val="none"/>
              </w:rPr>
              <w:t xml:space="preserve"> </w:t>
            </w:r>
            <w:r>
              <w:rPr>
                <w:rFonts w:hint="default" w:hAnsi="宋体"/>
                <w:sz w:val="21"/>
                <w:szCs w:val="21"/>
                <w:highlight w:val="none"/>
              </w:rPr>
              <w:t>最不利气象条件气象条件</w:t>
            </w:r>
          </w:p>
        </w:tc>
      </w:tr>
      <w:tr w14:paraId="06289F7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Align w:val="center"/>
          </w:tcPr>
          <w:p w14:paraId="289EC3A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宋体"/>
                <w:sz w:val="21"/>
                <w:szCs w:val="21"/>
                <w:highlight w:val="none"/>
              </w:rPr>
              <w:t>风险源名称</w:t>
            </w:r>
          </w:p>
        </w:tc>
        <w:tc>
          <w:tcPr>
            <w:tcW w:w="0" w:type="auto"/>
            <w:vAlign w:val="center"/>
          </w:tcPr>
          <w:p w14:paraId="77323CB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宋体"/>
                <w:sz w:val="21"/>
                <w:szCs w:val="21"/>
                <w:highlight w:val="none"/>
              </w:rPr>
              <w:t>下风向距离</w:t>
            </w:r>
            <w:r>
              <w:rPr>
                <w:rFonts w:hint="default"/>
                <w:sz w:val="21"/>
                <w:szCs w:val="21"/>
                <w:highlight w:val="none"/>
              </w:rPr>
              <w:t>(m)</w:t>
            </w:r>
          </w:p>
        </w:tc>
        <w:tc>
          <w:tcPr>
            <w:tcW w:w="0" w:type="auto"/>
            <w:vAlign w:val="center"/>
          </w:tcPr>
          <w:p w14:paraId="3C49CEB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宋体"/>
                <w:sz w:val="21"/>
                <w:szCs w:val="21"/>
                <w:highlight w:val="none"/>
              </w:rPr>
              <w:t>最大浓度值</w:t>
            </w:r>
            <w:r>
              <w:rPr>
                <w:rFonts w:hint="default"/>
                <w:sz w:val="21"/>
                <w:szCs w:val="21"/>
                <w:highlight w:val="none"/>
              </w:rPr>
              <w:t>(mg/m</w:t>
            </w:r>
            <w:r>
              <w:rPr>
                <w:rFonts w:hint="default"/>
                <w:sz w:val="21"/>
                <w:szCs w:val="21"/>
                <w:highlight w:val="none"/>
                <w:vertAlign w:val="superscript"/>
              </w:rPr>
              <w:t>3</w:t>
            </w:r>
            <w:r>
              <w:rPr>
                <w:rFonts w:hint="default"/>
                <w:sz w:val="21"/>
                <w:szCs w:val="21"/>
                <w:highlight w:val="none"/>
              </w:rPr>
              <w:t>)</w:t>
            </w:r>
          </w:p>
        </w:tc>
        <w:tc>
          <w:tcPr>
            <w:tcW w:w="0" w:type="auto"/>
            <w:vAlign w:val="center"/>
          </w:tcPr>
          <w:p w14:paraId="558194B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hAnsi="宋体"/>
                <w:sz w:val="21"/>
                <w:szCs w:val="21"/>
                <w:highlight w:val="none"/>
              </w:rPr>
              <w:t>出现时刻</w:t>
            </w:r>
            <w:r>
              <w:rPr>
                <w:rFonts w:hint="default"/>
                <w:sz w:val="21"/>
                <w:szCs w:val="21"/>
                <w:highlight w:val="none"/>
              </w:rPr>
              <w:t>(s)</w:t>
            </w:r>
          </w:p>
        </w:tc>
      </w:tr>
      <w:tr w14:paraId="0F1ED83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Align w:val="center"/>
          </w:tcPr>
          <w:p w14:paraId="523B0D9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sz w:val="21"/>
                <w:szCs w:val="21"/>
                <w:highlight w:val="none"/>
              </w:rPr>
              <w:t>SO</w:t>
            </w:r>
            <w:r>
              <w:rPr>
                <w:rFonts w:hint="default"/>
                <w:sz w:val="21"/>
                <w:szCs w:val="21"/>
                <w:highlight w:val="none"/>
                <w:vertAlign w:val="subscript"/>
              </w:rPr>
              <w:t>2</w:t>
            </w:r>
            <w:r>
              <w:rPr>
                <w:rFonts w:hint="default"/>
                <w:sz w:val="21"/>
                <w:szCs w:val="21"/>
                <w:highlight w:val="none"/>
              </w:rPr>
              <w:t>-aftox</w:t>
            </w:r>
            <w:r>
              <w:rPr>
                <w:rFonts w:hint="default" w:hAnsi="宋体"/>
                <w:sz w:val="21"/>
                <w:szCs w:val="21"/>
                <w:highlight w:val="none"/>
              </w:rPr>
              <w:t>泄漏源</w:t>
            </w:r>
            <w:r>
              <w:rPr>
                <w:rFonts w:hint="default"/>
                <w:sz w:val="21"/>
                <w:szCs w:val="21"/>
                <w:highlight w:val="none"/>
              </w:rPr>
              <w:t>-</w:t>
            </w:r>
            <w:r>
              <w:rPr>
                <w:rFonts w:hint="default" w:hAnsi="宋体"/>
                <w:sz w:val="21"/>
                <w:szCs w:val="21"/>
                <w:highlight w:val="none"/>
              </w:rPr>
              <w:t>中性气体扩散模型</w:t>
            </w:r>
            <w:r>
              <w:rPr>
                <w:rFonts w:hint="default"/>
                <w:sz w:val="21"/>
                <w:szCs w:val="21"/>
                <w:highlight w:val="none"/>
              </w:rPr>
              <w:t>(Aftox)</w:t>
            </w:r>
          </w:p>
        </w:tc>
        <w:tc>
          <w:tcPr>
            <w:tcW w:w="0" w:type="auto"/>
            <w:vAlign w:val="center"/>
          </w:tcPr>
          <w:p w14:paraId="57439C3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sz w:val="21"/>
                <w:szCs w:val="21"/>
                <w:highlight w:val="none"/>
              </w:rPr>
              <w:t>8.0000</w:t>
            </w:r>
          </w:p>
        </w:tc>
        <w:tc>
          <w:tcPr>
            <w:tcW w:w="0" w:type="auto"/>
            <w:vAlign w:val="center"/>
          </w:tcPr>
          <w:p w14:paraId="4365333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sz w:val="21"/>
                <w:szCs w:val="21"/>
                <w:highlight w:val="none"/>
              </w:rPr>
              <w:t>160730.300000</w:t>
            </w:r>
          </w:p>
        </w:tc>
        <w:tc>
          <w:tcPr>
            <w:tcW w:w="0" w:type="auto"/>
            <w:vAlign w:val="center"/>
          </w:tcPr>
          <w:p w14:paraId="7106DF3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sz w:val="21"/>
                <w:szCs w:val="21"/>
                <w:highlight w:val="none"/>
              </w:rPr>
              <w:t>12.00</w:t>
            </w:r>
          </w:p>
        </w:tc>
      </w:tr>
      <w:tr w14:paraId="5581984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 w:type="dxa"/>
            <w:bottom w:w="0" w:type="dxa"/>
            <w:right w:w="10" w:type="dxa"/>
          </w:tblCellMar>
        </w:tblPrEx>
        <w:trPr>
          <w:trHeight w:val="66" w:hRule="atLeast"/>
        </w:trPr>
        <w:tc>
          <w:tcPr>
            <w:tcW w:w="0" w:type="auto"/>
            <w:vAlign w:val="center"/>
          </w:tcPr>
          <w:p w14:paraId="1BC98DD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sz w:val="21"/>
                <w:szCs w:val="21"/>
                <w:highlight w:val="none"/>
              </w:rPr>
              <w:t>CO-aftox</w:t>
            </w:r>
            <w:r>
              <w:rPr>
                <w:rFonts w:hint="default" w:hAnsi="宋体"/>
                <w:sz w:val="21"/>
                <w:szCs w:val="21"/>
                <w:highlight w:val="none"/>
              </w:rPr>
              <w:t>泄漏源</w:t>
            </w:r>
            <w:r>
              <w:rPr>
                <w:rFonts w:hint="default"/>
                <w:sz w:val="21"/>
                <w:szCs w:val="21"/>
                <w:highlight w:val="none"/>
              </w:rPr>
              <w:t>-</w:t>
            </w:r>
            <w:r>
              <w:rPr>
                <w:rFonts w:hint="default" w:hAnsi="宋体"/>
                <w:sz w:val="21"/>
                <w:szCs w:val="21"/>
                <w:highlight w:val="none"/>
              </w:rPr>
              <w:t>中性气体扩散模型</w:t>
            </w:r>
            <w:r>
              <w:rPr>
                <w:rFonts w:hint="default"/>
                <w:sz w:val="21"/>
                <w:szCs w:val="21"/>
                <w:highlight w:val="none"/>
              </w:rPr>
              <w:t>(Aftox)</w:t>
            </w:r>
          </w:p>
        </w:tc>
        <w:tc>
          <w:tcPr>
            <w:tcW w:w="0" w:type="auto"/>
            <w:vAlign w:val="center"/>
          </w:tcPr>
          <w:p w14:paraId="1F39B7E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sz w:val="21"/>
                <w:szCs w:val="21"/>
                <w:highlight w:val="none"/>
              </w:rPr>
              <w:t>8.0000</w:t>
            </w:r>
          </w:p>
        </w:tc>
        <w:tc>
          <w:tcPr>
            <w:tcW w:w="0" w:type="auto"/>
            <w:vAlign w:val="center"/>
          </w:tcPr>
          <w:p w14:paraId="2D3BA90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sz w:val="21"/>
                <w:szCs w:val="21"/>
                <w:highlight w:val="none"/>
              </w:rPr>
              <w:t>17680.330000</w:t>
            </w:r>
          </w:p>
        </w:tc>
        <w:tc>
          <w:tcPr>
            <w:tcW w:w="0" w:type="auto"/>
            <w:vAlign w:val="center"/>
          </w:tcPr>
          <w:p w14:paraId="1C69B32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sz w:val="21"/>
                <w:szCs w:val="21"/>
                <w:highlight w:val="none"/>
              </w:rPr>
            </w:pPr>
            <w:r>
              <w:rPr>
                <w:rFonts w:hint="default"/>
                <w:sz w:val="21"/>
                <w:szCs w:val="21"/>
                <w:highlight w:val="none"/>
              </w:rPr>
              <w:t>12.00</w:t>
            </w:r>
          </w:p>
        </w:tc>
      </w:tr>
    </w:tbl>
    <w:p w14:paraId="1DF93A6B">
      <w:pPr>
        <w:spacing w:line="360" w:lineRule="auto"/>
        <w:ind w:firstLine="460" w:firstLineChars="192"/>
        <w:rPr>
          <w:rFonts w:eastAsiaTheme="minorEastAsia"/>
          <w:sz w:val="24"/>
          <w:highlight w:val="none"/>
        </w:rPr>
      </w:pPr>
      <w:r>
        <w:rPr>
          <w:rFonts w:hint="eastAsia" w:eastAsiaTheme="minorEastAsia"/>
          <w:sz w:val="24"/>
          <w:highlight w:val="none"/>
        </w:rPr>
        <w:t>8、敏感点预测结果</w:t>
      </w:r>
    </w:p>
    <w:p w14:paraId="308AC0C5">
      <w:pPr>
        <w:spacing w:line="360" w:lineRule="auto"/>
        <w:ind w:firstLine="460" w:firstLineChars="192"/>
        <w:rPr>
          <w:rFonts w:eastAsiaTheme="minorEastAsia"/>
          <w:sz w:val="24"/>
          <w:highlight w:val="none"/>
        </w:rPr>
      </w:pPr>
      <w:r>
        <w:rPr>
          <w:rFonts w:hint="eastAsia" w:eastAsiaTheme="minorEastAsia"/>
          <w:sz w:val="24"/>
          <w:highlight w:val="none"/>
        </w:rPr>
        <w:t>（1）二氧化硫对敏感点的影响</w:t>
      </w:r>
    </w:p>
    <w:p w14:paraId="2259BB5B">
      <w:pPr>
        <w:spacing w:line="360" w:lineRule="auto"/>
        <w:jc w:val="center"/>
        <w:rPr>
          <w:rFonts w:eastAsiaTheme="minorEastAsia"/>
          <w:b/>
          <w:sz w:val="24"/>
          <w:highlight w:val="none"/>
        </w:rPr>
      </w:pPr>
      <w:r>
        <w:rPr>
          <w:rFonts w:hint="eastAsia" w:eastAsiaTheme="minorEastAsia"/>
          <w:b/>
          <w:sz w:val="24"/>
          <w:highlight w:val="none"/>
        </w:rPr>
        <w:t>表5-2-37 二氧化硫在刘家村的高峰轴线浓度表</w:t>
      </w:r>
    </w:p>
    <w:tbl>
      <w:tblPr>
        <w:tblStyle w:val="46"/>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239"/>
        <w:gridCol w:w="2169"/>
        <w:gridCol w:w="1705"/>
        <w:gridCol w:w="1705"/>
      </w:tblGrid>
      <w:tr w14:paraId="045E51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7C783AA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下风向距离（m）</w:t>
            </w:r>
          </w:p>
        </w:tc>
        <w:tc>
          <w:tcPr>
            <w:tcW w:w="1239" w:type="dxa"/>
            <w:vAlign w:val="center"/>
          </w:tcPr>
          <w:p w14:paraId="671C679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时间（秒）</w:t>
            </w:r>
          </w:p>
        </w:tc>
        <w:tc>
          <w:tcPr>
            <w:tcW w:w="2169" w:type="dxa"/>
            <w:vAlign w:val="center"/>
          </w:tcPr>
          <w:p w14:paraId="73DFC7D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浓度（mg/m3）</w:t>
            </w:r>
          </w:p>
        </w:tc>
        <w:tc>
          <w:tcPr>
            <w:tcW w:w="1705" w:type="dxa"/>
            <w:vAlign w:val="center"/>
          </w:tcPr>
          <w:p w14:paraId="3B29F0F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PAC-2（%）</w:t>
            </w:r>
          </w:p>
        </w:tc>
        <w:tc>
          <w:tcPr>
            <w:tcW w:w="1705" w:type="dxa"/>
            <w:vAlign w:val="center"/>
          </w:tcPr>
          <w:p w14:paraId="43F3CED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PAC-3（%）</w:t>
            </w:r>
          </w:p>
        </w:tc>
      </w:tr>
      <w:tr w14:paraId="662C99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122FC63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483.2848</w:t>
            </w:r>
          </w:p>
        </w:tc>
        <w:tc>
          <w:tcPr>
            <w:tcW w:w="1239" w:type="dxa"/>
            <w:vAlign w:val="center"/>
          </w:tcPr>
          <w:p w14:paraId="4A977A7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3</w:t>
            </w:r>
          </w:p>
        </w:tc>
        <w:tc>
          <w:tcPr>
            <w:tcW w:w="2169" w:type="dxa"/>
            <w:vAlign w:val="center"/>
          </w:tcPr>
          <w:p w14:paraId="21A2EC1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0</w:t>
            </w:r>
          </w:p>
        </w:tc>
        <w:tc>
          <w:tcPr>
            <w:tcW w:w="1705" w:type="dxa"/>
            <w:vAlign w:val="center"/>
          </w:tcPr>
          <w:p w14:paraId="3B7EBC3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0</w:t>
            </w:r>
          </w:p>
        </w:tc>
        <w:tc>
          <w:tcPr>
            <w:tcW w:w="1705" w:type="dxa"/>
            <w:vAlign w:val="center"/>
          </w:tcPr>
          <w:p w14:paraId="7E3E035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0</w:t>
            </w:r>
          </w:p>
        </w:tc>
      </w:tr>
      <w:tr w14:paraId="7E58C2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0E65254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483.2848</w:t>
            </w:r>
          </w:p>
        </w:tc>
        <w:tc>
          <w:tcPr>
            <w:tcW w:w="1239" w:type="dxa"/>
            <w:vAlign w:val="center"/>
          </w:tcPr>
          <w:p w14:paraId="0C1638B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6</w:t>
            </w:r>
          </w:p>
        </w:tc>
        <w:tc>
          <w:tcPr>
            <w:tcW w:w="2169" w:type="dxa"/>
            <w:vAlign w:val="center"/>
          </w:tcPr>
          <w:p w14:paraId="6890D33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0</w:t>
            </w:r>
          </w:p>
        </w:tc>
        <w:tc>
          <w:tcPr>
            <w:tcW w:w="1705" w:type="dxa"/>
            <w:vAlign w:val="center"/>
          </w:tcPr>
          <w:p w14:paraId="0DB940E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0</w:t>
            </w:r>
          </w:p>
        </w:tc>
        <w:tc>
          <w:tcPr>
            <w:tcW w:w="1705" w:type="dxa"/>
            <w:vAlign w:val="center"/>
          </w:tcPr>
          <w:p w14:paraId="77536FE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0</w:t>
            </w:r>
          </w:p>
        </w:tc>
      </w:tr>
      <w:tr w14:paraId="2758BB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58927B2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483.2848</w:t>
            </w:r>
          </w:p>
        </w:tc>
        <w:tc>
          <w:tcPr>
            <w:tcW w:w="1239" w:type="dxa"/>
            <w:vAlign w:val="center"/>
          </w:tcPr>
          <w:p w14:paraId="39F146D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12</w:t>
            </w:r>
          </w:p>
        </w:tc>
        <w:tc>
          <w:tcPr>
            <w:tcW w:w="2169" w:type="dxa"/>
            <w:vAlign w:val="center"/>
          </w:tcPr>
          <w:p w14:paraId="1BC4D09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0</w:t>
            </w:r>
          </w:p>
        </w:tc>
        <w:tc>
          <w:tcPr>
            <w:tcW w:w="1705" w:type="dxa"/>
            <w:vAlign w:val="center"/>
          </w:tcPr>
          <w:p w14:paraId="156ED86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0</w:t>
            </w:r>
          </w:p>
        </w:tc>
        <w:tc>
          <w:tcPr>
            <w:tcW w:w="1705" w:type="dxa"/>
            <w:vAlign w:val="center"/>
          </w:tcPr>
          <w:p w14:paraId="2367CAD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0</w:t>
            </w:r>
          </w:p>
        </w:tc>
      </w:tr>
      <w:tr w14:paraId="7D3CAD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5B78504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483.2848</w:t>
            </w:r>
          </w:p>
        </w:tc>
        <w:tc>
          <w:tcPr>
            <w:tcW w:w="1239" w:type="dxa"/>
            <w:vAlign w:val="center"/>
          </w:tcPr>
          <w:p w14:paraId="191B5E7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18</w:t>
            </w:r>
          </w:p>
        </w:tc>
        <w:tc>
          <w:tcPr>
            <w:tcW w:w="2169" w:type="dxa"/>
            <w:vAlign w:val="center"/>
          </w:tcPr>
          <w:p w14:paraId="08BDCFF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0</w:t>
            </w:r>
          </w:p>
        </w:tc>
        <w:tc>
          <w:tcPr>
            <w:tcW w:w="1705" w:type="dxa"/>
            <w:vAlign w:val="center"/>
          </w:tcPr>
          <w:p w14:paraId="040527C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0</w:t>
            </w:r>
          </w:p>
        </w:tc>
        <w:tc>
          <w:tcPr>
            <w:tcW w:w="1705" w:type="dxa"/>
            <w:vAlign w:val="center"/>
          </w:tcPr>
          <w:p w14:paraId="25DBD20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0</w:t>
            </w:r>
          </w:p>
        </w:tc>
      </w:tr>
      <w:tr w14:paraId="7945FF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0010C77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483.2848</w:t>
            </w:r>
          </w:p>
        </w:tc>
        <w:tc>
          <w:tcPr>
            <w:tcW w:w="1239" w:type="dxa"/>
            <w:vAlign w:val="center"/>
          </w:tcPr>
          <w:p w14:paraId="0429D39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24</w:t>
            </w:r>
          </w:p>
        </w:tc>
        <w:tc>
          <w:tcPr>
            <w:tcW w:w="2169" w:type="dxa"/>
            <w:vAlign w:val="center"/>
          </w:tcPr>
          <w:p w14:paraId="3FB82C5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0</w:t>
            </w:r>
          </w:p>
        </w:tc>
        <w:tc>
          <w:tcPr>
            <w:tcW w:w="1705" w:type="dxa"/>
            <w:vAlign w:val="center"/>
          </w:tcPr>
          <w:p w14:paraId="65DC5BF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0</w:t>
            </w:r>
          </w:p>
        </w:tc>
        <w:tc>
          <w:tcPr>
            <w:tcW w:w="1705" w:type="dxa"/>
            <w:vAlign w:val="center"/>
          </w:tcPr>
          <w:p w14:paraId="3941FDD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0</w:t>
            </w:r>
          </w:p>
        </w:tc>
      </w:tr>
      <w:tr w14:paraId="4C4256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1F83971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483.2848</w:t>
            </w:r>
          </w:p>
        </w:tc>
        <w:tc>
          <w:tcPr>
            <w:tcW w:w="1239" w:type="dxa"/>
            <w:vAlign w:val="center"/>
          </w:tcPr>
          <w:p w14:paraId="25EC50C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30</w:t>
            </w:r>
          </w:p>
        </w:tc>
        <w:tc>
          <w:tcPr>
            <w:tcW w:w="2169" w:type="dxa"/>
            <w:vAlign w:val="center"/>
          </w:tcPr>
          <w:p w14:paraId="405FB28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0</w:t>
            </w:r>
          </w:p>
        </w:tc>
        <w:tc>
          <w:tcPr>
            <w:tcW w:w="1705" w:type="dxa"/>
            <w:vAlign w:val="center"/>
          </w:tcPr>
          <w:p w14:paraId="606A4F8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0</w:t>
            </w:r>
          </w:p>
        </w:tc>
        <w:tc>
          <w:tcPr>
            <w:tcW w:w="1705" w:type="dxa"/>
            <w:vAlign w:val="center"/>
          </w:tcPr>
          <w:p w14:paraId="3DF93D2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0</w:t>
            </w:r>
          </w:p>
        </w:tc>
      </w:tr>
      <w:tr w14:paraId="020D53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59AF480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483.2848</w:t>
            </w:r>
          </w:p>
        </w:tc>
        <w:tc>
          <w:tcPr>
            <w:tcW w:w="1239" w:type="dxa"/>
            <w:vAlign w:val="center"/>
          </w:tcPr>
          <w:p w14:paraId="672029A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150</w:t>
            </w:r>
          </w:p>
        </w:tc>
        <w:tc>
          <w:tcPr>
            <w:tcW w:w="2169" w:type="dxa"/>
            <w:vAlign w:val="center"/>
          </w:tcPr>
          <w:p w14:paraId="334B4E1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0</w:t>
            </w:r>
          </w:p>
        </w:tc>
        <w:tc>
          <w:tcPr>
            <w:tcW w:w="1705" w:type="dxa"/>
            <w:vAlign w:val="center"/>
          </w:tcPr>
          <w:p w14:paraId="376704F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0</w:t>
            </w:r>
          </w:p>
        </w:tc>
        <w:tc>
          <w:tcPr>
            <w:tcW w:w="1705" w:type="dxa"/>
            <w:vAlign w:val="center"/>
          </w:tcPr>
          <w:p w14:paraId="76D7086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0</w:t>
            </w:r>
          </w:p>
        </w:tc>
      </w:tr>
      <w:tr w14:paraId="57927E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62E18C2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483.2848</w:t>
            </w:r>
          </w:p>
        </w:tc>
        <w:tc>
          <w:tcPr>
            <w:tcW w:w="1239" w:type="dxa"/>
            <w:vAlign w:val="center"/>
          </w:tcPr>
          <w:p w14:paraId="1EF22F7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300</w:t>
            </w:r>
          </w:p>
        </w:tc>
        <w:tc>
          <w:tcPr>
            <w:tcW w:w="2169" w:type="dxa"/>
            <w:vAlign w:val="center"/>
          </w:tcPr>
          <w:p w14:paraId="5F5B279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0</w:t>
            </w:r>
          </w:p>
        </w:tc>
        <w:tc>
          <w:tcPr>
            <w:tcW w:w="1705" w:type="dxa"/>
            <w:vAlign w:val="center"/>
          </w:tcPr>
          <w:p w14:paraId="176715B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0</w:t>
            </w:r>
          </w:p>
        </w:tc>
        <w:tc>
          <w:tcPr>
            <w:tcW w:w="1705" w:type="dxa"/>
            <w:vAlign w:val="center"/>
          </w:tcPr>
          <w:p w14:paraId="05741CE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0</w:t>
            </w:r>
          </w:p>
        </w:tc>
      </w:tr>
      <w:tr w14:paraId="06D229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36A8817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483.2848</w:t>
            </w:r>
          </w:p>
        </w:tc>
        <w:tc>
          <w:tcPr>
            <w:tcW w:w="1239" w:type="dxa"/>
            <w:vAlign w:val="center"/>
          </w:tcPr>
          <w:p w14:paraId="4DA617F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420</w:t>
            </w:r>
          </w:p>
        </w:tc>
        <w:tc>
          <w:tcPr>
            <w:tcW w:w="2169" w:type="dxa"/>
            <w:vAlign w:val="center"/>
          </w:tcPr>
          <w:p w14:paraId="5D19818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0</w:t>
            </w:r>
          </w:p>
        </w:tc>
        <w:tc>
          <w:tcPr>
            <w:tcW w:w="1705" w:type="dxa"/>
            <w:vAlign w:val="center"/>
          </w:tcPr>
          <w:p w14:paraId="5E15DCB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0</w:t>
            </w:r>
          </w:p>
        </w:tc>
        <w:tc>
          <w:tcPr>
            <w:tcW w:w="1705" w:type="dxa"/>
            <w:vAlign w:val="center"/>
          </w:tcPr>
          <w:p w14:paraId="134B1B1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0</w:t>
            </w:r>
          </w:p>
        </w:tc>
      </w:tr>
      <w:tr w14:paraId="329B6F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5D41103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483.2848</w:t>
            </w:r>
          </w:p>
        </w:tc>
        <w:tc>
          <w:tcPr>
            <w:tcW w:w="1239" w:type="dxa"/>
            <w:vAlign w:val="center"/>
          </w:tcPr>
          <w:p w14:paraId="42C38B3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450</w:t>
            </w:r>
          </w:p>
        </w:tc>
        <w:tc>
          <w:tcPr>
            <w:tcW w:w="2169" w:type="dxa"/>
            <w:vAlign w:val="center"/>
          </w:tcPr>
          <w:p w14:paraId="57D2080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79.80053</w:t>
            </w:r>
          </w:p>
        </w:tc>
        <w:tc>
          <w:tcPr>
            <w:tcW w:w="1705" w:type="dxa"/>
            <w:vAlign w:val="center"/>
          </w:tcPr>
          <w:p w14:paraId="5D734C4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3990.03</w:t>
            </w:r>
          </w:p>
        </w:tc>
        <w:tc>
          <w:tcPr>
            <w:tcW w:w="1705" w:type="dxa"/>
            <w:vAlign w:val="center"/>
          </w:tcPr>
          <w:p w14:paraId="25FD99E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101.01</w:t>
            </w:r>
          </w:p>
        </w:tc>
      </w:tr>
      <w:tr w14:paraId="631493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39200B0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483.2848</w:t>
            </w:r>
          </w:p>
        </w:tc>
        <w:tc>
          <w:tcPr>
            <w:tcW w:w="1239" w:type="dxa"/>
            <w:vAlign w:val="center"/>
          </w:tcPr>
          <w:p w14:paraId="468C825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480</w:t>
            </w:r>
          </w:p>
        </w:tc>
        <w:tc>
          <w:tcPr>
            <w:tcW w:w="2169" w:type="dxa"/>
            <w:vAlign w:val="center"/>
          </w:tcPr>
          <w:p w14:paraId="1129E65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79.80053</w:t>
            </w:r>
          </w:p>
        </w:tc>
        <w:tc>
          <w:tcPr>
            <w:tcW w:w="1705" w:type="dxa"/>
            <w:vAlign w:val="center"/>
          </w:tcPr>
          <w:p w14:paraId="0368A24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3990.03</w:t>
            </w:r>
          </w:p>
        </w:tc>
        <w:tc>
          <w:tcPr>
            <w:tcW w:w="1705" w:type="dxa"/>
            <w:vAlign w:val="center"/>
          </w:tcPr>
          <w:p w14:paraId="5E3D61A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101.01</w:t>
            </w:r>
          </w:p>
        </w:tc>
      </w:tr>
      <w:tr w14:paraId="01AD37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69DBFD9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483.2848</w:t>
            </w:r>
          </w:p>
        </w:tc>
        <w:tc>
          <w:tcPr>
            <w:tcW w:w="1239" w:type="dxa"/>
            <w:vAlign w:val="center"/>
          </w:tcPr>
          <w:p w14:paraId="58EFCA6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510</w:t>
            </w:r>
          </w:p>
        </w:tc>
        <w:tc>
          <w:tcPr>
            <w:tcW w:w="2169" w:type="dxa"/>
            <w:vAlign w:val="center"/>
          </w:tcPr>
          <w:p w14:paraId="64564F8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79.80053</w:t>
            </w:r>
          </w:p>
        </w:tc>
        <w:tc>
          <w:tcPr>
            <w:tcW w:w="1705" w:type="dxa"/>
            <w:vAlign w:val="center"/>
          </w:tcPr>
          <w:p w14:paraId="0FEE777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3990.03</w:t>
            </w:r>
          </w:p>
        </w:tc>
        <w:tc>
          <w:tcPr>
            <w:tcW w:w="1705" w:type="dxa"/>
            <w:vAlign w:val="center"/>
          </w:tcPr>
          <w:p w14:paraId="08D0360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101.01</w:t>
            </w:r>
          </w:p>
        </w:tc>
      </w:tr>
      <w:tr w14:paraId="245EFB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5B6F145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483.2848</w:t>
            </w:r>
          </w:p>
        </w:tc>
        <w:tc>
          <w:tcPr>
            <w:tcW w:w="1239" w:type="dxa"/>
            <w:vAlign w:val="center"/>
          </w:tcPr>
          <w:p w14:paraId="1D2998C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540</w:t>
            </w:r>
          </w:p>
        </w:tc>
        <w:tc>
          <w:tcPr>
            <w:tcW w:w="2169" w:type="dxa"/>
            <w:vAlign w:val="center"/>
          </w:tcPr>
          <w:p w14:paraId="365DE9E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79.80053</w:t>
            </w:r>
          </w:p>
        </w:tc>
        <w:tc>
          <w:tcPr>
            <w:tcW w:w="1705" w:type="dxa"/>
            <w:vAlign w:val="center"/>
          </w:tcPr>
          <w:p w14:paraId="29D948B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3990.03</w:t>
            </w:r>
          </w:p>
        </w:tc>
        <w:tc>
          <w:tcPr>
            <w:tcW w:w="1705" w:type="dxa"/>
            <w:vAlign w:val="center"/>
          </w:tcPr>
          <w:p w14:paraId="32A8990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101.01</w:t>
            </w:r>
          </w:p>
        </w:tc>
      </w:tr>
      <w:tr w14:paraId="77EC61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7FB1355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483.2848</w:t>
            </w:r>
          </w:p>
        </w:tc>
        <w:tc>
          <w:tcPr>
            <w:tcW w:w="1239" w:type="dxa"/>
            <w:vAlign w:val="center"/>
          </w:tcPr>
          <w:p w14:paraId="55867C6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570</w:t>
            </w:r>
          </w:p>
        </w:tc>
        <w:tc>
          <w:tcPr>
            <w:tcW w:w="2169" w:type="dxa"/>
            <w:vAlign w:val="center"/>
          </w:tcPr>
          <w:p w14:paraId="7C5A853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79.80053</w:t>
            </w:r>
          </w:p>
        </w:tc>
        <w:tc>
          <w:tcPr>
            <w:tcW w:w="1705" w:type="dxa"/>
            <w:vAlign w:val="center"/>
          </w:tcPr>
          <w:p w14:paraId="3B46F1C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3990.03</w:t>
            </w:r>
          </w:p>
        </w:tc>
        <w:tc>
          <w:tcPr>
            <w:tcW w:w="1705" w:type="dxa"/>
            <w:vAlign w:val="center"/>
          </w:tcPr>
          <w:p w14:paraId="5627403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101.01</w:t>
            </w:r>
          </w:p>
        </w:tc>
      </w:tr>
      <w:tr w14:paraId="3DD11D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3B3F91D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483.2848</w:t>
            </w:r>
          </w:p>
        </w:tc>
        <w:tc>
          <w:tcPr>
            <w:tcW w:w="1239" w:type="dxa"/>
            <w:vAlign w:val="center"/>
          </w:tcPr>
          <w:p w14:paraId="3C43E90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600</w:t>
            </w:r>
          </w:p>
        </w:tc>
        <w:tc>
          <w:tcPr>
            <w:tcW w:w="2169" w:type="dxa"/>
            <w:vAlign w:val="center"/>
          </w:tcPr>
          <w:p w14:paraId="60ADCC7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79.80053</w:t>
            </w:r>
          </w:p>
        </w:tc>
        <w:tc>
          <w:tcPr>
            <w:tcW w:w="1705" w:type="dxa"/>
            <w:vAlign w:val="center"/>
          </w:tcPr>
          <w:p w14:paraId="2BFADED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3990.03</w:t>
            </w:r>
          </w:p>
        </w:tc>
        <w:tc>
          <w:tcPr>
            <w:tcW w:w="1705" w:type="dxa"/>
            <w:vAlign w:val="center"/>
          </w:tcPr>
          <w:p w14:paraId="203AF58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101.01</w:t>
            </w:r>
          </w:p>
        </w:tc>
      </w:tr>
    </w:tbl>
    <w:p w14:paraId="322A0202">
      <w:pPr>
        <w:spacing w:line="360" w:lineRule="auto"/>
        <w:jc w:val="center"/>
        <w:rPr>
          <w:rFonts w:eastAsiaTheme="minorEastAsia"/>
          <w:sz w:val="24"/>
          <w:highlight w:val="none"/>
        </w:rPr>
      </w:pPr>
      <w:r>
        <w:rPr>
          <w:rFonts w:hint="eastAsia" w:eastAsiaTheme="minorEastAsia"/>
          <w:sz w:val="24"/>
          <w:highlight w:val="none"/>
        </w:rPr>
        <w:drawing>
          <wp:inline distT="0" distB="0" distL="0" distR="0">
            <wp:extent cx="4360545" cy="2230755"/>
            <wp:effectExtent l="3175" t="3175" r="17780" b="1397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105"/>
                    <a:srcRect/>
                    <a:stretch>
                      <a:fillRect/>
                    </a:stretch>
                  </pic:blipFill>
                  <pic:spPr>
                    <a:xfrm>
                      <a:off x="0" y="0"/>
                      <a:ext cx="4372842" cy="2237146"/>
                    </a:xfrm>
                    <a:prstGeom prst="rect">
                      <a:avLst/>
                    </a:prstGeom>
                    <a:noFill/>
                    <a:ln w="9525">
                      <a:noFill/>
                      <a:miter lim="800000"/>
                      <a:headEnd/>
                      <a:tailEnd/>
                    </a:ln>
                    <a:scene3d>
                      <a:camera prst="orthographicFront"/>
                      <a:lightRig rig="threePt" dir="t"/>
                    </a:scene3d>
                    <a:sp3d contourW="6350"/>
                  </pic:spPr>
                </pic:pic>
              </a:graphicData>
            </a:graphic>
          </wp:inline>
        </w:drawing>
      </w:r>
    </w:p>
    <w:p w14:paraId="147EAF26">
      <w:pPr>
        <w:spacing w:line="360" w:lineRule="auto"/>
        <w:jc w:val="center"/>
        <w:rPr>
          <w:rFonts w:eastAsiaTheme="minorEastAsia"/>
          <w:b/>
          <w:sz w:val="24"/>
          <w:highlight w:val="none"/>
        </w:rPr>
      </w:pPr>
      <w:r>
        <w:rPr>
          <w:rFonts w:hint="eastAsia" w:eastAsiaTheme="minorEastAsia"/>
          <w:b/>
          <w:sz w:val="24"/>
          <w:highlight w:val="none"/>
        </w:rPr>
        <w:t>图5-2-11 刘家村二氧化硫</w:t>
      </w:r>
      <w:r>
        <w:rPr>
          <w:rFonts w:eastAsiaTheme="minorEastAsia"/>
          <w:b/>
          <w:sz w:val="24"/>
          <w:highlight w:val="none"/>
        </w:rPr>
        <w:t>下风向距离浓度曲线图</w:t>
      </w:r>
    </w:p>
    <w:p w14:paraId="73FD9974">
      <w:pPr>
        <w:spacing w:line="360" w:lineRule="auto"/>
        <w:ind w:firstLine="480" w:firstLineChars="200"/>
        <w:rPr>
          <w:rFonts w:eastAsiaTheme="minorEastAsia"/>
          <w:sz w:val="24"/>
          <w:highlight w:val="none"/>
        </w:rPr>
      </w:pPr>
      <w:r>
        <w:rPr>
          <w:rFonts w:hint="eastAsia" w:eastAsiaTheme="minorEastAsia"/>
          <w:sz w:val="24"/>
          <w:highlight w:val="none"/>
        </w:rPr>
        <w:t>二氧化硫在刘家村的大气终点浓度2(PAC-2)是2mg/m</w:t>
      </w:r>
      <w:r>
        <w:rPr>
          <w:rFonts w:hint="eastAsia" w:eastAsiaTheme="minorEastAsia"/>
          <w:sz w:val="24"/>
          <w:highlight w:val="none"/>
          <w:vertAlign w:val="superscript"/>
        </w:rPr>
        <w:t>3</w:t>
      </w:r>
      <w:r>
        <w:rPr>
          <w:rFonts w:hint="eastAsia" w:eastAsiaTheme="minorEastAsia"/>
          <w:sz w:val="24"/>
          <w:highlight w:val="none"/>
        </w:rPr>
        <w:t>，第一个达到的时间是450秒，持续了150秒；大气终点浓度1(PAC-3)是79mg/m</w:t>
      </w:r>
      <w:r>
        <w:rPr>
          <w:rFonts w:hint="eastAsia" w:eastAsiaTheme="minorEastAsia"/>
          <w:sz w:val="24"/>
          <w:highlight w:val="none"/>
          <w:vertAlign w:val="superscript"/>
        </w:rPr>
        <w:t>3</w:t>
      </w:r>
      <w:r>
        <w:rPr>
          <w:rFonts w:hint="eastAsia" w:eastAsiaTheme="minorEastAsia"/>
          <w:sz w:val="24"/>
          <w:highlight w:val="none"/>
        </w:rPr>
        <w:t>，第一个达到的时间是450秒，持续了150秒；敏感点最大浓度是79.80053mg/m</w:t>
      </w:r>
      <w:r>
        <w:rPr>
          <w:rFonts w:hint="eastAsia" w:eastAsiaTheme="minorEastAsia"/>
          <w:sz w:val="24"/>
          <w:highlight w:val="none"/>
          <w:vertAlign w:val="superscript"/>
        </w:rPr>
        <w:t>3</w:t>
      </w:r>
      <w:r>
        <w:rPr>
          <w:rFonts w:hint="eastAsia" w:eastAsiaTheme="minorEastAsia"/>
          <w:sz w:val="24"/>
          <w:highlight w:val="none"/>
        </w:rPr>
        <w:t>；时间累积浓度为：110137.48mg/m</w:t>
      </w:r>
      <w:r>
        <w:rPr>
          <w:rFonts w:hint="eastAsia" w:eastAsiaTheme="minorEastAsia"/>
          <w:sz w:val="24"/>
          <w:highlight w:val="none"/>
          <w:vertAlign w:val="superscript"/>
        </w:rPr>
        <w:t>3</w:t>
      </w:r>
      <w:r>
        <w:rPr>
          <w:rFonts w:hint="eastAsia" w:eastAsiaTheme="minorEastAsia"/>
          <w:sz w:val="24"/>
          <w:highlight w:val="none"/>
        </w:rPr>
        <w:t>。</w:t>
      </w:r>
    </w:p>
    <w:p w14:paraId="0789F4EC">
      <w:pPr>
        <w:spacing w:line="360" w:lineRule="auto"/>
        <w:jc w:val="center"/>
        <w:rPr>
          <w:rFonts w:eastAsiaTheme="minorEastAsia"/>
          <w:b/>
          <w:sz w:val="24"/>
          <w:highlight w:val="none"/>
        </w:rPr>
      </w:pPr>
    </w:p>
    <w:p w14:paraId="2C491DE8">
      <w:pPr>
        <w:spacing w:line="360" w:lineRule="auto"/>
        <w:jc w:val="center"/>
        <w:rPr>
          <w:rFonts w:eastAsiaTheme="minorEastAsia"/>
          <w:b/>
          <w:sz w:val="24"/>
          <w:highlight w:val="none"/>
        </w:rPr>
      </w:pPr>
    </w:p>
    <w:p w14:paraId="35D0A367">
      <w:pPr>
        <w:spacing w:line="360" w:lineRule="auto"/>
        <w:jc w:val="center"/>
        <w:rPr>
          <w:rFonts w:eastAsiaTheme="minorEastAsia"/>
          <w:b/>
          <w:sz w:val="24"/>
          <w:highlight w:val="none"/>
        </w:rPr>
      </w:pPr>
    </w:p>
    <w:p w14:paraId="6A7D47A6">
      <w:pPr>
        <w:spacing w:line="360" w:lineRule="auto"/>
        <w:jc w:val="center"/>
        <w:rPr>
          <w:rFonts w:eastAsiaTheme="minorEastAsia"/>
          <w:b/>
          <w:sz w:val="24"/>
          <w:highlight w:val="none"/>
        </w:rPr>
      </w:pPr>
    </w:p>
    <w:p w14:paraId="68E8C85D">
      <w:pPr>
        <w:spacing w:line="360" w:lineRule="auto"/>
        <w:jc w:val="center"/>
        <w:rPr>
          <w:rFonts w:eastAsiaTheme="minorEastAsia"/>
          <w:b/>
          <w:sz w:val="24"/>
          <w:highlight w:val="none"/>
        </w:rPr>
      </w:pPr>
      <w:r>
        <w:rPr>
          <w:rFonts w:hint="eastAsia" w:eastAsiaTheme="minorEastAsia"/>
          <w:b/>
          <w:sz w:val="24"/>
          <w:highlight w:val="none"/>
        </w:rPr>
        <w:t>表5-2-38 二氧化硫在香悦馨领域的高峰轴线浓度表</w:t>
      </w:r>
    </w:p>
    <w:tbl>
      <w:tblPr>
        <w:tblStyle w:val="46"/>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239"/>
        <w:gridCol w:w="2169"/>
        <w:gridCol w:w="1705"/>
        <w:gridCol w:w="1705"/>
      </w:tblGrid>
      <w:tr w14:paraId="49C98A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286377F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下风向距离（m）</w:t>
            </w:r>
          </w:p>
        </w:tc>
        <w:tc>
          <w:tcPr>
            <w:tcW w:w="1239" w:type="dxa"/>
            <w:vAlign w:val="center"/>
          </w:tcPr>
          <w:p w14:paraId="62C2962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时间（秒）</w:t>
            </w:r>
          </w:p>
        </w:tc>
        <w:tc>
          <w:tcPr>
            <w:tcW w:w="2169" w:type="dxa"/>
            <w:vAlign w:val="center"/>
          </w:tcPr>
          <w:p w14:paraId="1C19D91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浓度（mg/m</w:t>
            </w:r>
            <w:r>
              <w:rPr>
                <w:rFonts w:hint="eastAsia" w:eastAsiaTheme="minorEastAsia"/>
                <w:kern w:val="0"/>
                <w:sz w:val="21"/>
                <w:szCs w:val="21"/>
                <w:highlight w:val="none"/>
                <w:vertAlign w:val="superscript"/>
              </w:rPr>
              <w:t>3</w:t>
            </w:r>
            <w:r>
              <w:rPr>
                <w:rFonts w:hint="eastAsia" w:eastAsiaTheme="minorEastAsia"/>
                <w:kern w:val="0"/>
                <w:sz w:val="21"/>
                <w:szCs w:val="21"/>
                <w:highlight w:val="none"/>
              </w:rPr>
              <w:t>）</w:t>
            </w:r>
          </w:p>
        </w:tc>
        <w:tc>
          <w:tcPr>
            <w:tcW w:w="1705" w:type="dxa"/>
            <w:vAlign w:val="center"/>
          </w:tcPr>
          <w:p w14:paraId="7AA6DFB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PAC-2（%）</w:t>
            </w:r>
          </w:p>
        </w:tc>
        <w:tc>
          <w:tcPr>
            <w:tcW w:w="1705" w:type="dxa"/>
            <w:vAlign w:val="center"/>
          </w:tcPr>
          <w:p w14:paraId="203097D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PAC-3（%）</w:t>
            </w:r>
          </w:p>
        </w:tc>
      </w:tr>
      <w:tr w14:paraId="12612F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452994C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891.6119</w:t>
            </w:r>
          </w:p>
        </w:tc>
        <w:tc>
          <w:tcPr>
            <w:tcW w:w="1239" w:type="dxa"/>
            <w:vAlign w:val="center"/>
          </w:tcPr>
          <w:p w14:paraId="18E60A6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3</w:t>
            </w:r>
          </w:p>
        </w:tc>
        <w:tc>
          <w:tcPr>
            <w:tcW w:w="2169" w:type="dxa"/>
            <w:vAlign w:val="center"/>
          </w:tcPr>
          <w:p w14:paraId="1EA3F38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0.002289078</w:t>
            </w:r>
          </w:p>
        </w:tc>
        <w:tc>
          <w:tcPr>
            <w:tcW w:w="1705" w:type="dxa"/>
            <w:vAlign w:val="center"/>
          </w:tcPr>
          <w:p w14:paraId="4F16BF3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0.11</w:t>
            </w:r>
          </w:p>
        </w:tc>
        <w:tc>
          <w:tcPr>
            <w:tcW w:w="1705" w:type="dxa"/>
            <w:vAlign w:val="center"/>
          </w:tcPr>
          <w:p w14:paraId="3D916DE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w:t>
            </w:r>
          </w:p>
        </w:tc>
      </w:tr>
      <w:tr w14:paraId="13CAF7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1C19F47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891.6119</w:t>
            </w:r>
          </w:p>
        </w:tc>
        <w:tc>
          <w:tcPr>
            <w:tcW w:w="1239" w:type="dxa"/>
            <w:vAlign w:val="center"/>
          </w:tcPr>
          <w:p w14:paraId="7BFE407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6</w:t>
            </w:r>
          </w:p>
        </w:tc>
        <w:tc>
          <w:tcPr>
            <w:tcW w:w="2169" w:type="dxa"/>
            <w:vAlign w:val="center"/>
          </w:tcPr>
          <w:p w14:paraId="065FE75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0.003517905</w:t>
            </w:r>
          </w:p>
        </w:tc>
        <w:tc>
          <w:tcPr>
            <w:tcW w:w="1705" w:type="dxa"/>
            <w:vAlign w:val="center"/>
          </w:tcPr>
          <w:p w14:paraId="427F513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0.18</w:t>
            </w:r>
          </w:p>
        </w:tc>
        <w:tc>
          <w:tcPr>
            <w:tcW w:w="1705" w:type="dxa"/>
            <w:vAlign w:val="center"/>
          </w:tcPr>
          <w:p w14:paraId="62647ED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w:t>
            </w:r>
          </w:p>
        </w:tc>
      </w:tr>
      <w:tr w14:paraId="740293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15C171E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891.6119</w:t>
            </w:r>
          </w:p>
        </w:tc>
        <w:tc>
          <w:tcPr>
            <w:tcW w:w="1239" w:type="dxa"/>
            <w:vAlign w:val="center"/>
          </w:tcPr>
          <w:p w14:paraId="5A7D36C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12</w:t>
            </w:r>
          </w:p>
        </w:tc>
        <w:tc>
          <w:tcPr>
            <w:tcW w:w="2169" w:type="dxa"/>
            <w:vAlign w:val="center"/>
          </w:tcPr>
          <w:p w14:paraId="12C4961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0.006156443</w:t>
            </w:r>
          </w:p>
        </w:tc>
        <w:tc>
          <w:tcPr>
            <w:tcW w:w="1705" w:type="dxa"/>
            <w:vAlign w:val="center"/>
          </w:tcPr>
          <w:p w14:paraId="4E9D504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0.31</w:t>
            </w:r>
          </w:p>
        </w:tc>
        <w:tc>
          <w:tcPr>
            <w:tcW w:w="1705" w:type="dxa"/>
            <w:vAlign w:val="center"/>
          </w:tcPr>
          <w:p w14:paraId="3174790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0.01</w:t>
            </w:r>
          </w:p>
        </w:tc>
      </w:tr>
      <w:tr w14:paraId="33C739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3096D28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891.6119</w:t>
            </w:r>
          </w:p>
        </w:tc>
        <w:tc>
          <w:tcPr>
            <w:tcW w:w="1239" w:type="dxa"/>
            <w:vAlign w:val="center"/>
          </w:tcPr>
          <w:p w14:paraId="6F98961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18</w:t>
            </w:r>
          </w:p>
        </w:tc>
        <w:tc>
          <w:tcPr>
            <w:tcW w:w="2169" w:type="dxa"/>
            <w:vAlign w:val="center"/>
          </w:tcPr>
          <w:p w14:paraId="45148D1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0.009053617</w:t>
            </w:r>
          </w:p>
        </w:tc>
        <w:tc>
          <w:tcPr>
            <w:tcW w:w="1705" w:type="dxa"/>
            <w:vAlign w:val="center"/>
          </w:tcPr>
          <w:p w14:paraId="66DEFFB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0.45</w:t>
            </w:r>
          </w:p>
        </w:tc>
        <w:tc>
          <w:tcPr>
            <w:tcW w:w="1705" w:type="dxa"/>
            <w:vAlign w:val="center"/>
          </w:tcPr>
          <w:p w14:paraId="0C6317A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0.01</w:t>
            </w:r>
          </w:p>
        </w:tc>
      </w:tr>
      <w:tr w14:paraId="3886A0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2EDB4D0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891.6119</w:t>
            </w:r>
          </w:p>
        </w:tc>
        <w:tc>
          <w:tcPr>
            <w:tcW w:w="1239" w:type="dxa"/>
            <w:vAlign w:val="center"/>
          </w:tcPr>
          <w:p w14:paraId="594C616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24</w:t>
            </w:r>
          </w:p>
        </w:tc>
        <w:tc>
          <w:tcPr>
            <w:tcW w:w="2169" w:type="dxa"/>
            <w:vAlign w:val="center"/>
          </w:tcPr>
          <w:p w14:paraId="7FF24A2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0.01223171</w:t>
            </w:r>
          </w:p>
        </w:tc>
        <w:tc>
          <w:tcPr>
            <w:tcW w:w="1705" w:type="dxa"/>
            <w:vAlign w:val="center"/>
          </w:tcPr>
          <w:p w14:paraId="5148A56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0.61</w:t>
            </w:r>
          </w:p>
        </w:tc>
        <w:tc>
          <w:tcPr>
            <w:tcW w:w="1705" w:type="dxa"/>
            <w:vAlign w:val="center"/>
          </w:tcPr>
          <w:p w14:paraId="538C8A3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0.02</w:t>
            </w:r>
          </w:p>
        </w:tc>
      </w:tr>
      <w:tr w14:paraId="3A450F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491A9C1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891.6119</w:t>
            </w:r>
          </w:p>
        </w:tc>
        <w:tc>
          <w:tcPr>
            <w:tcW w:w="1239" w:type="dxa"/>
            <w:vAlign w:val="center"/>
          </w:tcPr>
          <w:p w14:paraId="11DC43A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150</w:t>
            </w:r>
          </w:p>
        </w:tc>
        <w:tc>
          <w:tcPr>
            <w:tcW w:w="2169" w:type="dxa"/>
            <w:vAlign w:val="center"/>
          </w:tcPr>
          <w:p w14:paraId="59145B4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0.2036962</w:t>
            </w:r>
          </w:p>
        </w:tc>
        <w:tc>
          <w:tcPr>
            <w:tcW w:w="1705" w:type="dxa"/>
            <w:vAlign w:val="center"/>
          </w:tcPr>
          <w:p w14:paraId="34C5473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10.18</w:t>
            </w:r>
          </w:p>
        </w:tc>
        <w:tc>
          <w:tcPr>
            <w:tcW w:w="1705" w:type="dxa"/>
            <w:vAlign w:val="center"/>
          </w:tcPr>
          <w:p w14:paraId="2A676EB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0.26</w:t>
            </w:r>
          </w:p>
        </w:tc>
      </w:tr>
      <w:tr w14:paraId="0CEAE4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266BC89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891.6119</w:t>
            </w:r>
          </w:p>
        </w:tc>
        <w:tc>
          <w:tcPr>
            <w:tcW w:w="1239" w:type="dxa"/>
            <w:vAlign w:val="center"/>
          </w:tcPr>
          <w:p w14:paraId="370DB87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330</w:t>
            </w:r>
          </w:p>
        </w:tc>
        <w:tc>
          <w:tcPr>
            <w:tcW w:w="2169" w:type="dxa"/>
            <w:vAlign w:val="center"/>
          </w:tcPr>
          <w:p w14:paraId="621C9D6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1.766291</w:t>
            </w:r>
          </w:p>
        </w:tc>
        <w:tc>
          <w:tcPr>
            <w:tcW w:w="1705" w:type="dxa"/>
            <w:vAlign w:val="center"/>
          </w:tcPr>
          <w:p w14:paraId="68DD206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88.31</w:t>
            </w:r>
          </w:p>
        </w:tc>
        <w:tc>
          <w:tcPr>
            <w:tcW w:w="1705" w:type="dxa"/>
            <w:vAlign w:val="center"/>
          </w:tcPr>
          <w:p w14:paraId="7F4A0C2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2.24</w:t>
            </w:r>
          </w:p>
        </w:tc>
      </w:tr>
      <w:tr w14:paraId="4690FE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086A18C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891.6119</w:t>
            </w:r>
          </w:p>
        </w:tc>
        <w:tc>
          <w:tcPr>
            <w:tcW w:w="1239" w:type="dxa"/>
            <w:vAlign w:val="center"/>
          </w:tcPr>
          <w:p w14:paraId="3DA78D3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360</w:t>
            </w:r>
          </w:p>
        </w:tc>
        <w:tc>
          <w:tcPr>
            <w:tcW w:w="2169" w:type="dxa"/>
            <w:vAlign w:val="center"/>
          </w:tcPr>
          <w:p w14:paraId="1E6CF03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2.32768</w:t>
            </w:r>
          </w:p>
        </w:tc>
        <w:tc>
          <w:tcPr>
            <w:tcW w:w="1705" w:type="dxa"/>
            <w:vAlign w:val="center"/>
          </w:tcPr>
          <w:p w14:paraId="61DBCF2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116.38</w:t>
            </w:r>
          </w:p>
        </w:tc>
        <w:tc>
          <w:tcPr>
            <w:tcW w:w="1705" w:type="dxa"/>
            <w:vAlign w:val="center"/>
          </w:tcPr>
          <w:p w14:paraId="20EC903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2.95</w:t>
            </w:r>
          </w:p>
        </w:tc>
      </w:tr>
      <w:tr w14:paraId="446BA5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1704" w:type="dxa"/>
            <w:vAlign w:val="center"/>
          </w:tcPr>
          <w:p w14:paraId="010504D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891.6119</w:t>
            </w:r>
          </w:p>
        </w:tc>
        <w:tc>
          <w:tcPr>
            <w:tcW w:w="1239" w:type="dxa"/>
            <w:vAlign w:val="center"/>
          </w:tcPr>
          <w:p w14:paraId="0C3D3E9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390</w:t>
            </w:r>
          </w:p>
        </w:tc>
        <w:tc>
          <w:tcPr>
            <w:tcW w:w="2169" w:type="dxa"/>
            <w:vAlign w:val="center"/>
          </w:tcPr>
          <w:p w14:paraId="08B905C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3.004689</w:t>
            </w:r>
          </w:p>
        </w:tc>
        <w:tc>
          <w:tcPr>
            <w:tcW w:w="1705" w:type="dxa"/>
            <w:vAlign w:val="center"/>
          </w:tcPr>
          <w:p w14:paraId="427F458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150.23</w:t>
            </w:r>
          </w:p>
        </w:tc>
        <w:tc>
          <w:tcPr>
            <w:tcW w:w="1705" w:type="dxa"/>
            <w:vAlign w:val="center"/>
          </w:tcPr>
          <w:p w14:paraId="75751BC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3.8</w:t>
            </w:r>
          </w:p>
        </w:tc>
      </w:tr>
      <w:tr w14:paraId="492AA2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1644481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891.6119</w:t>
            </w:r>
          </w:p>
        </w:tc>
        <w:tc>
          <w:tcPr>
            <w:tcW w:w="1239" w:type="dxa"/>
            <w:vAlign w:val="center"/>
          </w:tcPr>
          <w:p w14:paraId="4BBA433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450</w:t>
            </w:r>
          </w:p>
        </w:tc>
        <w:tc>
          <w:tcPr>
            <w:tcW w:w="2169" w:type="dxa"/>
            <w:vAlign w:val="center"/>
          </w:tcPr>
          <w:p w14:paraId="5C787B7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4.717667</w:t>
            </w:r>
          </w:p>
        </w:tc>
        <w:tc>
          <w:tcPr>
            <w:tcW w:w="1705" w:type="dxa"/>
            <w:vAlign w:val="center"/>
          </w:tcPr>
          <w:p w14:paraId="21D5A37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235.88</w:t>
            </w:r>
          </w:p>
        </w:tc>
        <w:tc>
          <w:tcPr>
            <w:tcW w:w="1705" w:type="dxa"/>
            <w:vAlign w:val="center"/>
          </w:tcPr>
          <w:p w14:paraId="0B05A9B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5.97</w:t>
            </w:r>
          </w:p>
        </w:tc>
      </w:tr>
      <w:tr w14:paraId="433CFB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4B3CB67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891.6119</w:t>
            </w:r>
          </w:p>
        </w:tc>
        <w:tc>
          <w:tcPr>
            <w:tcW w:w="1239" w:type="dxa"/>
            <w:vAlign w:val="center"/>
          </w:tcPr>
          <w:p w14:paraId="322A95B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480</w:t>
            </w:r>
          </w:p>
        </w:tc>
        <w:tc>
          <w:tcPr>
            <w:tcW w:w="2169" w:type="dxa"/>
            <w:vAlign w:val="center"/>
          </w:tcPr>
          <w:p w14:paraId="7A8430C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5.745279</w:t>
            </w:r>
          </w:p>
        </w:tc>
        <w:tc>
          <w:tcPr>
            <w:tcW w:w="1705" w:type="dxa"/>
            <w:vAlign w:val="center"/>
          </w:tcPr>
          <w:p w14:paraId="3C39EA9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287.26</w:t>
            </w:r>
          </w:p>
        </w:tc>
        <w:tc>
          <w:tcPr>
            <w:tcW w:w="1705" w:type="dxa"/>
            <w:vAlign w:val="center"/>
          </w:tcPr>
          <w:p w14:paraId="3AC30F7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7.27</w:t>
            </w:r>
          </w:p>
        </w:tc>
      </w:tr>
      <w:tr w14:paraId="6FA685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08F3D6B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891.6119</w:t>
            </w:r>
          </w:p>
        </w:tc>
        <w:tc>
          <w:tcPr>
            <w:tcW w:w="1239" w:type="dxa"/>
            <w:vAlign w:val="center"/>
          </w:tcPr>
          <w:p w14:paraId="32FB883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510</w:t>
            </w:r>
          </w:p>
        </w:tc>
        <w:tc>
          <w:tcPr>
            <w:tcW w:w="2169" w:type="dxa"/>
            <w:vAlign w:val="center"/>
          </w:tcPr>
          <w:p w14:paraId="1301D48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6.870715</w:t>
            </w:r>
          </w:p>
        </w:tc>
        <w:tc>
          <w:tcPr>
            <w:tcW w:w="1705" w:type="dxa"/>
            <w:vAlign w:val="center"/>
          </w:tcPr>
          <w:p w14:paraId="3645F0C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343.54</w:t>
            </w:r>
          </w:p>
        </w:tc>
        <w:tc>
          <w:tcPr>
            <w:tcW w:w="1705" w:type="dxa"/>
            <w:vAlign w:val="center"/>
          </w:tcPr>
          <w:p w14:paraId="2694FD8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8.7</w:t>
            </w:r>
          </w:p>
        </w:tc>
      </w:tr>
      <w:tr w14:paraId="46E3B7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3671F68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891.6119</w:t>
            </w:r>
          </w:p>
        </w:tc>
        <w:tc>
          <w:tcPr>
            <w:tcW w:w="1239" w:type="dxa"/>
            <w:vAlign w:val="center"/>
          </w:tcPr>
          <w:p w14:paraId="1BD40FF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540</w:t>
            </w:r>
          </w:p>
        </w:tc>
        <w:tc>
          <w:tcPr>
            <w:tcW w:w="2169" w:type="dxa"/>
            <w:vAlign w:val="center"/>
          </w:tcPr>
          <w:p w14:paraId="734CDD8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8.073954</w:t>
            </w:r>
          </w:p>
        </w:tc>
        <w:tc>
          <w:tcPr>
            <w:tcW w:w="1705" w:type="dxa"/>
            <w:vAlign w:val="center"/>
          </w:tcPr>
          <w:p w14:paraId="56DB81D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403.7</w:t>
            </w:r>
          </w:p>
        </w:tc>
        <w:tc>
          <w:tcPr>
            <w:tcW w:w="1705" w:type="dxa"/>
            <w:vAlign w:val="center"/>
          </w:tcPr>
          <w:p w14:paraId="70DB81D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10.22</w:t>
            </w:r>
          </w:p>
        </w:tc>
      </w:tr>
      <w:tr w14:paraId="596F95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233104C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891.6119</w:t>
            </w:r>
          </w:p>
        </w:tc>
        <w:tc>
          <w:tcPr>
            <w:tcW w:w="1239" w:type="dxa"/>
            <w:vAlign w:val="center"/>
          </w:tcPr>
          <w:p w14:paraId="674A9DF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570</w:t>
            </w:r>
          </w:p>
        </w:tc>
        <w:tc>
          <w:tcPr>
            <w:tcW w:w="2169" w:type="dxa"/>
            <w:vAlign w:val="center"/>
          </w:tcPr>
          <w:p w14:paraId="12932F8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9.329766</w:t>
            </w:r>
          </w:p>
        </w:tc>
        <w:tc>
          <w:tcPr>
            <w:tcW w:w="1705" w:type="dxa"/>
            <w:vAlign w:val="center"/>
          </w:tcPr>
          <w:p w14:paraId="796E112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466.49</w:t>
            </w:r>
          </w:p>
        </w:tc>
        <w:tc>
          <w:tcPr>
            <w:tcW w:w="1705" w:type="dxa"/>
            <w:vAlign w:val="center"/>
          </w:tcPr>
          <w:p w14:paraId="37B62E2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11.81</w:t>
            </w:r>
          </w:p>
        </w:tc>
      </w:tr>
      <w:tr w14:paraId="37907B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1E42433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891.6119</w:t>
            </w:r>
          </w:p>
        </w:tc>
        <w:tc>
          <w:tcPr>
            <w:tcW w:w="1239" w:type="dxa"/>
            <w:vAlign w:val="center"/>
          </w:tcPr>
          <w:p w14:paraId="60E2C71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600</w:t>
            </w:r>
          </w:p>
        </w:tc>
        <w:tc>
          <w:tcPr>
            <w:tcW w:w="2169" w:type="dxa"/>
            <w:vAlign w:val="center"/>
          </w:tcPr>
          <w:p w14:paraId="5EB2FE6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10.60814</w:t>
            </w:r>
          </w:p>
        </w:tc>
        <w:tc>
          <w:tcPr>
            <w:tcW w:w="1705" w:type="dxa"/>
            <w:vAlign w:val="center"/>
          </w:tcPr>
          <w:p w14:paraId="5E6A2B4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530.41</w:t>
            </w:r>
          </w:p>
        </w:tc>
        <w:tc>
          <w:tcPr>
            <w:tcW w:w="1705" w:type="dxa"/>
            <w:vAlign w:val="center"/>
          </w:tcPr>
          <w:p w14:paraId="4615118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13.43</w:t>
            </w:r>
          </w:p>
        </w:tc>
      </w:tr>
    </w:tbl>
    <w:p w14:paraId="51E4CBDD">
      <w:pPr>
        <w:spacing w:line="360" w:lineRule="auto"/>
        <w:jc w:val="center"/>
        <w:rPr>
          <w:rFonts w:eastAsiaTheme="minorEastAsia"/>
          <w:sz w:val="24"/>
          <w:highlight w:val="none"/>
        </w:rPr>
      </w:pPr>
      <w:r>
        <w:rPr>
          <w:rFonts w:hint="eastAsia" w:eastAsiaTheme="minorEastAsia"/>
          <w:sz w:val="24"/>
          <w:highlight w:val="none"/>
        </w:rPr>
        <w:drawing>
          <wp:inline distT="0" distB="0" distL="0" distR="0">
            <wp:extent cx="5207635" cy="2620645"/>
            <wp:effectExtent l="3175" t="3175" r="8890" b="5080"/>
            <wp:docPr id="45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29"/>
                    <pic:cNvPicPr>
                      <a:picLocks noChangeAspect="1" noChangeArrowheads="1"/>
                    </pic:cNvPicPr>
                  </pic:nvPicPr>
                  <pic:blipFill>
                    <a:blip r:embed="rId106"/>
                    <a:srcRect/>
                    <a:stretch>
                      <a:fillRect/>
                    </a:stretch>
                  </pic:blipFill>
                  <pic:spPr>
                    <a:xfrm>
                      <a:off x="0" y="0"/>
                      <a:ext cx="5214345" cy="2623999"/>
                    </a:xfrm>
                    <a:prstGeom prst="rect">
                      <a:avLst/>
                    </a:prstGeom>
                    <a:noFill/>
                    <a:ln w="9525">
                      <a:noFill/>
                      <a:miter lim="800000"/>
                      <a:headEnd/>
                      <a:tailEnd/>
                    </a:ln>
                    <a:scene3d>
                      <a:camera prst="orthographicFront"/>
                      <a:lightRig rig="threePt" dir="t"/>
                    </a:scene3d>
                    <a:sp3d contourW="6350"/>
                  </pic:spPr>
                </pic:pic>
              </a:graphicData>
            </a:graphic>
          </wp:inline>
        </w:drawing>
      </w:r>
    </w:p>
    <w:p w14:paraId="16CCC211">
      <w:pPr>
        <w:spacing w:line="360" w:lineRule="auto"/>
        <w:jc w:val="center"/>
        <w:rPr>
          <w:rFonts w:eastAsiaTheme="minorEastAsia"/>
          <w:sz w:val="24"/>
          <w:highlight w:val="none"/>
        </w:rPr>
      </w:pPr>
      <w:r>
        <w:rPr>
          <w:rFonts w:hint="eastAsia" w:eastAsiaTheme="minorEastAsia"/>
          <w:b/>
          <w:sz w:val="24"/>
          <w:highlight w:val="none"/>
        </w:rPr>
        <w:t>图5-2-12 香悦馨领域二氧化硫</w:t>
      </w:r>
      <w:r>
        <w:rPr>
          <w:rFonts w:eastAsiaTheme="minorEastAsia"/>
          <w:b/>
          <w:sz w:val="24"/>
          <w:highlight w:val="none"/>
        </w:rPr>
        <w:t>下风向距离浓度曲线图</w:t>
      </w:r>
    </w:p>
    <w:p w14:paraId="7C118B71">
      <w:pPr>
        <w:spacing w:line="360" w:lineRule="auto"/>
        <w:ind w:firstLine="480" w:firstLineChars="200"/>
        <w:rPr>
          <w:rFonts w:eastAsiaTheme="minorEastAsia"/>
          <w:sz w:val="24"/>
          <w:highlight w:val="none"/>
        </w:rPr>
      </w:pPr>
      <w:r>
        <w:rPr>
          <w:rFonts w:hint="eastAsia" w:eastAsiaTheme="minorEastAsia"/>
          <w:sz w:val="24"/>
          <w:highlight w:val="none"/>
        </w:rPr>
        <w:t>二氧化硫在香悦馨领域的大气终点浓度2(PAC-2)是2mg/m</w:t>
      </w:r>
      <w:r>
        <w:rPr>
          <w:rFonts w:hint="eastAsia" w:eastAsiaTheme="minorEastAsia"/>
          <w:sz w:val="24"/>
          <w:highlight w:val="none"/>
          <w:vertAlign w:val="superscript"/>
        </w:rPr>
        <w:t>3</w:t>
      </w:r>
      <w:r>
        <w:rPr>
          <w:rFonts w:hint="eastAsia" w:eastAsiaTheme="minorEastAsia"/>
          <w:sz w:val="24"/>
          <w:highlight w:val="none"/>
        </w:rPr>
        <w:t>，第一个达到的时间是360秒，持续了240秒；大气终点浓度1(PAC-3)是79mg/m</w:t>
      </w:r>
      <w:r>
        <w:rPr>
          <w:rFonts w:hint="eastAsia" w:eastAsiaTheme="minorEastAsia"/>
          <w:sz w:val="24"/>
          <w:highlight w:val="none"/>
          <w:vertAlign w:val="superscript"/>
        </w:rPr>
        <w:t>3</w:t>
      </w:r>
      <w:r>
        <w:rPr>
          <w:rFonts w:hint="eastAsia" w:eastAsiaTheme="minorEastAsia"/>
          <w:sz w:val="24"/>
          <w:highlight w:val="none"/>
        </w:rPr>
        <w:t>，第一个达到的时间是--秒，持续了--秒；敏感点最大浓度是</w:t>
      </w:r>
      <w:r>
        <w:rPr>
          <w:rFonts w:eastAsiaTheme="minorEastAsia"/>
          <w:sz w:val="24"/>
          <w:highlight w:val="none"/>
        </w:rPr>
        <w:t>10.60814</w:t>
      </w:r>
      <w:r>
        <w:rPr>
          <w:rFonts w:hint="eastAsia" w:eastAsiaTheme="minorEastAsia"/>
          <w:sz w:val="24"/>
          <w:highlight w:val="none"/>
        </w:rPr>
        <w:t>mg/m</w:t>
      </w:r>
      <w:r>
        <w:rPr>
          <w:rFonts w:hint="eastAsia" w:eastAsiaTheme="minorEastAsia"/>
          <w:sz w:val="24"/>
          <w:highlight w:val="none"/>
          <w:vertAlign w:val="superscript"/>
        </w:rPr>
        <w:t>3</w:t>
      </w:r>
      <w:r>
        <w:rPr>
          <w:rFonts w:hint="eastAsia" w:eastAsiaTheme="minorEastAsia"/>
          <w:sz w:val="24"/>
          <w:highlight w:val="none"/>
        </w:rPr>
        <w:t>；时间累积浓度为：457.96mg/m</w:t>
      </w:r>
      <w:r>
        <w:rPr>
          <w:rFonts w:hint="eastAsia" w:eastAsiaTheme="minorEastAsia"/>
          <w:sz w:val="24"/>
          <w:highlight w:val="none"/>
          <w:vertAlign w:val="superscript"/>
        </w:rPr>
        <w:t>3</w:t>
      </w:r>
      <w:r>
        <w:rPr>
          <w:rFonts w:hint="eastAsia" w:eastAsiaTheme="minorEastAsia"/>
          <w:sz w:val="24"/>
          <w:highlight w:val="none"/>
        </w:rPr>
        <w:t>。</w:t>
      </w:r>
    </w:p>
    <w:p w14:paraId="12259040">
      <w:pPr>
        <w:spacing w:line="360" w:lineRule="auto"/>
        <w:jc w:val="center"/>
        <w:rPr>
          <w:rFonts w:eastAsiaTheme="minorEastAsia"/>
          <w:b/>
          <w:sz w:val="24"/>
          <w:highlight w:val="none"/>
        </w:rPr>
      </w:pPr>
    </w:p>
    <w:p w14:paraId="39CC6EE0">
      <w:pPr>
        <w:spacing w:line="360" w:lineRule="auto"/>
        <w:jc w:val="center"/>
        <w:rPr>
          <w:rFonts w:eastAsiaTheme="minorEastAsia"/>
          <w:b/>
          <w:sz w:val="24"/>
          <w:highlight w:val="none"/>
        </w:rPr>
      </w:pPr>
    </w:p>
    <w:p w14:paraId="28C1A30B">
      <w:pPr>
        <w:spacing w:line="360" w:lineRule="auto"/>
        <w:jc w:val="center"/>
        <w:rPr>
          <w:rFonts w:eastAsiaTheme="minorEastAsia"/>
          <w:b/>
          <w:sz w:val="24"/>
          <w:highlight w:val="none"/>
        </w:rPr>
      </w:pPr>
    </w:p>
    <w:p w14:paraId="7DE4FBD7">
      <w:pPr>
        <w:spacing w:line="360" w:lineRule="auto"/>
        <w:jc w:val="center"/>
        <w:rPr>
          <w:rFonts w:eastAsiaTheme="minorEastAsia"/>
          <w:b/>
          <w:sz w:val="24"/>
          <w:highlight w:val="none"/>
        </w:rPr>
      </w:pPr>
      <w:r>
        <w:rPr>
          <w:rFonts w:hint="eastAsia" w:eastAsiaTheme="minorEastAsia"/>
          <w:b/>
          <w:sz w:val="24"/>
          <w:highlight w:val="none"/>
        </w:rPr>
        <w:t>表5-2-39 二氧化硫在香悦蓝天下的高峰轴线浓度表</w:t>
      </w:r>
    </w:p>
    <w:tbl>
      <w:tblPr>
        <w:tblStyle w:val="46"/>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239"/>
        <w:gridCol w:w="2169"/>
        <w:gridCol w:w="1705"/>
        <w:gridCol w:w="1705"/>
      </w:tblGrid>
      <w:tr w14:paraId="63F5C9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1C8D8FE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下风向距离（m）</w:t>
            </w:r>
          </w:p>
        </w:tc>
        <w:tc>
          <w:tcPr>
            <w:tcW w:w="1239" w:type="dxa"/>
            <w:vAlign w:val="center"/>
          </w:tcPr>
          <w:p w14:paraId="4471847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时间（秒）</w:t>
            </w:r>
          </w:p>
        </w:tc>
        <w:tc>
          <w:tcPr>
            <w:tcW w:w="2169" w:type="dxa"/>
            <w:vAlign w:val="center"/>
          </w:tcPr>
          <w:p w14:paraId="1E22692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浓度（mg/m3）</w:t>
            </w:r>
          </w:p>
        </w:tc>
        <w:tc>
          <w:tcPr>
            <w:tcW w:w="1705" w:type="dxa"/>
            <w:vAlign w:val="center"/>
          </w:tcPr>
          <w:p w14:paraId="68F4B56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PAC-2（%）</w:t>
            </w:r>
          </w:p>
        </w:tc>
        <w:tc>
          <w:tcPr>
            <w:tcW w:w="1705" w:type="dxa"/>
            <w:vAlign w:val="center"/>
          </w:tcPr>
          <w:p w14:paraId="6CFEB8D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PAC-3（%）</w:t>
            </w:r>
          </w:p>
        </w:tc>
      </w:tr>
      <w:tr w14:paraId="37C471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2529181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1144.152</w:t>
            </w:r>
          </w:p>
        </w:tc>
        <w:tc>
          <w:tcPr>
            <w:tcW w:w="1239" w:type="dxa"/>
            <w:vAlign w:val="center"/>
          </w:tcPr>
          <w:p w14:paraId="726CE1A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3</w:t>
            </w:r>
          </w:p>
        </w:tc>
        <w:tc>
          <w:tcPr>
            <w:tcW w:w="2169" w:type="dxa"/>
            <w:vAlign w:val="center"/>
          </w:tcPr>
          <w:p w14:paraId="299BAE7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0.001015392</w:t>
            </w:r>
          </w:p>
        </w:tc>
        <w:tc>
          <w:tcPr>
            <w:tcW w:w="1705" w:type="dxa"/>
            <w:vAlign w:val="center"/>
          </w:tcPr>
          <w:p w14:paraId="1B1CDAC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0.05</w:t>
            </w:r>
          </w:p>
        </w:tc>
        <w:tc>
          <w:tcPr>
            <w:tcW w:w="1705" w:type="dxa"/>
            <w:vAlign w:val="center"/>
          </w:tcPr>
          <w:p w14:paraId="1A2369E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r>
      <w:tr w14:paraId="4161DF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7943AE8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1144.152</w:t>
            </w:r>
          </w:p>
        </w:tc>
        <w:tc>
          <w:tcPr>
            <w:tcW w:w="1239" w:type="dxa"/>
            <w:vAlign w:val="center"/>
          </w:tcPr>
          <w:p w14:paraId="5C92E50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6</w:t>
            </w:r>
          </w:p>
        </w:tc>
        <w:tc>
          <w:tcPr>
            <w:tcW w:w="2169" w:type="dxa"/>
            <w:vAlign w:val="center"/>
          </w:tcPr>
          <w:p w14:paraId="78BEBA9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0.001553584</w:t>
            </w:r>
          </w:p>
        </w:tc>
        <w:tc>
          <w:tcPr>
            <w:tcW w:w="1705" w:type="dxa"/>
            <w:vAlign w:val="center"/>
          </w:tcPr>
          <w:p w14:paraId="51C0F27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0.08</w:t>
            </w:r>
          </w:p>
        </w:tc>
        <w:tc>
          <w:tcPr>
            <w:tcW w:w="1705" w:type="dxa"/>
            <w:vAlign w:val="center"/>
          </w:tcPr>
          <w:p w14:paraId="31DE364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r>
      <w:tr w14:paraId="275F88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3519CC2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1144.152</w:t>
            </w:r>
          </w:p>
        </w:tc>
        <w:tc>
          <w:tcPr>
            <w:tcW w:w="1239" w:type="dxa"/>
            <w:vAlign w:val="center"/>
          </w:tcPr>
          <w:p w14:paraId="02241C3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12</w:t>
            </w:r>
          </w:p>
        </w:tc>
        <w:tc>
          <w:tcPr>
            <w:tcW w:w="2169" w:type="dxa"/>
            <w:vAlign w:val="center"/>
          </w:tcPr>
          <w:p w14:paraId="6FB36AB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0.002694619</w:t>
            </w:r>
          </w:p>
        </w:tc>
        <w:tc>
          <w:tcPr>
            <w:tcW w:w="1705" w:type="dxa"/>
            <w:vAlign w:val="center"/>
          </w:tcPr>
          <w:p w14:paraId="0E3AA37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0.13</w:t>
            </w:r>
          </w:p>
        </w:tc>
        <w:tc>
          <w:tcPr>
            <w:tcW w:w="1705" w:type="dxa"/>
            <w:vAlign w:val="center"/>
          </w:tcPr>
          <w:p w14:paraId="383030E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r>
      <w:tr w14:paraId="08C480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270F93E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1144.152</w:t>
            </w:r>
          </w:p>
        </w:tc>
        <w:tc>
          <w:tcPr>
            <w:tcW w:w="1239" w:type="dxa"/>
            <w:vAlign w:val="center"/>
          </w:tcPr>
          <w:p w14:paraId="5820D70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18</w:t>
            </w:r>
          </w:p>
        </w:tc>
        <w:tc>
          <w:tcPr>
            <w:tcW w:w="2169" w:type="dxa"/>
            <w:vAlign w:val="center"/>
          </w:tcPr>
          <w:p w14:paraId="6BDD23C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0.003926987</w:t>
            </w:r>
          </w:p>
        </w:tc>
        <w:tc>
          <w:tcPr>
            <w:tcW w:w="1705" w:type="dxa"/>
            <w:vAlign w:val="center"/>
          </w:tcPr>
          <w:p w14:paraId="3F7F7F2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0.2</w:t>
            </w:r>
          </w:p>
        </w:tc>
        <w:tc>
          <w:tcPr>
            <w:tcW w:w="1705" w:type="dxa"/>
            <w:vAlign w:val="center"/>
          </w:tcPr>
          <w:p w14:paraId="1F4446E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r>
      <w:tr w14:paraId="6D9D12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705C451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1144.152</w:t>
            </w:r>
          </w:p>
        </w:tc>
        <w:tc>
          <w:tcPr>
            <w:tcW w:w="1239" w:type="dxa"/>
            <w:vAlign w:val="center"/>
          </w:tcPr>
          <w:p w14:paraId="20E7043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24</w:t>
            </w:r>
          </w:p>
        </w:tc>
        <w:tc>
          <w:tcPr>
            <w:tcW w:w="2169" w:type="dxa"/>
            <w:vAlign w:val="center"/>
          </w:tcPr>
          <w:p w14:paraId="43CCB2E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0.005257179</w:t>
            </w:r>
          </w:p>
        </w:tc>
        <w:tc>
          <w:tcPr>
            <w:tcW w:w="1705" w:type="dxa"/>
            <w:vAlign w:val="center"/>
          </w:tcPr>
          <w:p w14:paraId="3D871AD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0.26</w:t>
            </w:r>
          </w:p>
        </w:tc>
        <w:tc>
          <w:tcPr>
            <w:tcW w:w="1705" w:type="dxa"/>
            <w:vAlign w:val="center"/>
          </w:tcPr>
          <w:p w14:paraId="6635532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0.01</w:t>
            </w:r>
          </w:p>
        </w:tc>
      </w:tr>
      <w:tr w14:paraId="7933E4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538F540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1144.152</w:t>
            </w:r>
          </w:p>
        </w:tc>
        <w:tc>
          <w:tcPr>
            <w:tcW w:w="1239" w:type="dxa"/>
            <w:vAlign w:val="center"/>
          </w:tcPr>
          <w:p w14:paraId="6DFF606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150</w:t>
            </w:r>
          </w:p>
        </w:tc>
        <w:tc>
          <w:tcPr>
            <w:tcW w:w="2169" w:type="dxa"/>
            <w:vAlign w:val="center"/>
          </w:tcPr>
          <w:p w14:paraId="0C287EC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0.07220871</w:t>
            </w:r>
          </w:p>
        </w:tc>
        <w:tc>
          <w:tcPr>
            <w:tcW w:w="1705" w:type="dxa"/>
            <w:vAlign w:val="center"/>
          </w:tcPr>
          <w:p w14:paraId="399DDC3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3.61</w:t>
            </w:r>
          </w:p>
        </w:tc>
        <w:tc>
          <w:tcPr>
            <w:tcW w:w="1705" w:type="dxa"/>
            <w:vAlign w:val="center"/>
          </w:tcPr>
          <w:p w14:paraId="1234DF8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0.06</w:t>
            </w:r>
          </w:p>
        </w:tc>
      </w:tr>
      <w:tr w14:paraId="402B2C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0A8E427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1144.152</w:t>
            </w:r>
          </w:p>
        </w:tc>
        <w:tc>
          <w:tcPr>
            <w:tcW w:w="1239" w:type="dxa"/>
            <w:vAlign w:val="center"/>
          </w:tcPr>
          <w:p w14:paraId="1C70A87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330</w:t>
            </w:r>
          </w:p>
        </w:tc>
        <w:tc>
          <w:tcPr>
            <w:tcW w:w="2169" w:type="dxa"/>
            <w:vAlign w:val="center"/>
          </w:tcPr>
          <w:p w14:paraId="0D214E0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0.5332543</w:t>
            </w:r>
          </w:p>
        </w:tc>
        <w:tc>
          <w:tcPr>
            <w:tcW w:w="1705" w:type="dxa"/>
            <w:vAlign w:val="center"/>
          </w:tcPr>
          <w:p w14:paraId="126AA7D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26.66</w:t>
            </w:r>
          </w:p>
        </w:tc>
        <w:tc>
          <w:tcPr>
            <w:tcW w:w="1705" w:type="dxa"/>
            <w:vAlign w:val="center"/>
          </w:tcPr>
          <w:p w14:paraId="7774F27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0.68</w:t>
            </w:r>
          </w:p>
        </w:tc>
      </w:tr>
      <w:tr w14:paraId="6CAC21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424E8DC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1144.152</w:t>
            </w:r>
          </w:p>
        </w:tc>
        <w:tc>
          <w:tcPr>
            <w:tcW w:w="1239" w:type="dxa"/>
            <w:vAlign w:val="center"/>
          </w:tcPr>
          <w:p w14:paraId="1689F57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360</w:t>
            </w:r>
          </w:p>
        </w:tc>
        <w:tc>
          <w:tcPr>
            <w:tcW w:w="2169" w:type="dxa"/>
            <w:vAlign w:val="center"/>
          </w:tcPr>
          <w:p w14:paraId="29B6D59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0.6982193</w:t>
            </w:r>
          </w:p>
        </w:tc>
        <w:tc>
          <w:tcPr>
            <w:tcW w:w="1705" w:type="dxa"/>
            <w:vAlign w:val="center"/>
          </w:tcPr>
          <w:p w14:paraId="14C257C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34.91</w:t>
            </w:r>
          </w:p>
        </w:tc>
        <w:tc>
          <w:tcPr>
            <w:tcW w:w="1705" w:type="dxa"/>
            <w:vAlign w:val="center"/>
          </w:tcPr>
          <w:p w14:paraId="621FA6B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0.88</w:t>
            </w:r>
          </w:p>
        </w:tc>
      </w:tr>
      <w:tr w14:paraId="26BA27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39F479B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1144.152</w:t>
            </w:r>
          </w:p>
        </w:tc>
        <w:tc>
          <w:tcPr>
            <w:tcW w:w="1239" w:type="dxa"/>
            <w:vAlign w:val="center"/>
          </w:tcPr>
          <w:p w14:paraId="43D4987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390</w:t>
            </w:r>
          </w:p>
        </w:tc>
        <w:tc>
          <w:tcPr>
            <w:tcW w:w="2169" w:type="dxa"/>
            <w:vAlign w:val="center"/>
          </w:tcPr>
          <w:p w14:paraId="0D959A2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0.9009307</w:t>
            </w:r>
          </w:p>
        </w:tc>
        <w:tc>
          <w:tcPr>
            <w:tcW w:w="1705" w:type="dxa"/>
            <w:vAlign w:val="center"/>
          </w:tcPr>
          <w:p w14:paraId="56B2435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45.05</w:t>
            </w:r>
          </w:p>
        </w:tc>
        <w:tc>
          <w:tcPr>
            <w:tcW w:w="1705" w:type="dxa"/>
            <w:vAlign w:val="center"/>
          </w:tcPr>
          <w:p w14:paraId="3D5EDFB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1.14</w:t>
            </w:r>
          </w:p>
        </w:tc>
      </w:tr>
      <w:tr w14:paraId="48CF36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47CE96D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1144.152</w:t>
            </w:r>
          </w:p>
        </w:tc>
        <w:tc>
          <w:tcPr>
            <w:tcW w:w="1239" w:type="dxa"/>
            <w:vAlign w:val="center"/>
          </w:tcPr>
          <w:p w14:paraId="290CBE0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450</w:t>
            </w:r>
          </w:p>
        </w:tc>
        <w:tc>
          <w:tcPr>
            <w:tcW w:w="2169" w:type="dxa"/>
            <w:vAlign w:val="center"/>
          </w:tcPr>
          <w:p w14:paraId="65E49F4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1.438504</w:t>
            </w:r>
          </w:p>
        </w:tc>
        <w:tc>
          <w:tcPr>
            <w:tcW w:w="1705" w:type="dxa"/>
            <w:vAlign w:val="center"/>
          </w:tcPr>
          <w:p w14:paraId="6F0EACF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71.93</w:t>
            </w:r>
          </w:p>
        </w:tc>
        <w:tc>
          <w:tcPr>
            <w:tcW w:w="1705" w:type="dxa"/>
            <w:vAlign w:val="center"/>
          </w:tcPr>
          <w:p w14:paraId="43B6C3F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1.82</w:t>
            </w:r>
          </w:p>
        </w:tc>
      </w:tr>
      <w:tr w14:paraId="62111D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217F950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1144.152</w:t>
            </w:r>
          </w:p>
        </w:tc>
        <w:tc>
          <w:tcPr>
            <w:tcW w:w="1239" w:type="dxa"/>
            <w:vAlign w:val="center"/>
          </w:tcPr>
          <w:p w14:paraId="4EE05CA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480</w:t>
            </w:r>
          </w:p>
        </w:tc>
        <w:tc>
          <w:tcPr>
            <w:tcW w:w="2169" w:type="dxa"/>
            <w:vAlign w:val="center"/>
          </w:tcPr>
          <w:p w14:paraId="3C397C6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1.781463</w:t>
            </w:r>
          </w:p>
        </w:tc>
        <w:tc>
          <w:tcPr>
            <w:tcW w:w="1705" w:type="dxa"/>
            <w:vAlign w:val="center"/>
          </w:tcPr>
          <w:p w14:paraId="4151BC4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89.07</w:t>
            </w:r>
          </w:p>
        </w:tc>
        <w:tc>
          <w:tcPr>
            <w:tcW w:w="1705" w:type="dxa"/>
            <w:vAlign w:val="center"/>
          </w:tcPr>
          <w:p w14:paraId="16EC290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2.26</w:t>
            </w:r>
          </w:p>
        </w:tc>
      </w:tr>
      <w:tr w14:paraId="58E434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2581CE8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1144.152</w:t>
            </w:r>
          </w:p>
        </w:tc>
        <w:tc>
          <w:tcPr>
            <w:tcW w:w="1239" w:type="dxa"/>
            <w:vAlign w:val="center"/>
          </w:tcPr>
          <w:p w14:paraId="6B2A1D5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510</w:t>
            </w:r>
          </w:p>
        </w:tc>
        <w:tc>
          <w:tcPr>
            <w:tcW w:w="2169" w:type="dxa"/>
            <w:vAlign w:val="center"/>
          </w:tcPr>
          <w:p w14:paraId="4C10C21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2.17774</w:t>
            </w:r>
          </w:p>
        </w:tc>
        <w:tc>
          <w:tcPr>
            <w:tcW w:w="1705" w:type="dxa"/>
            <w:vAlign w:val="center"/>
          </w:tcPr>
          <w:p w14:paraId="3D9FD19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108.89</w:t>
            </w:r>
          </w:p>
        </w:tc>
        <w:tc>
          <w:tcPr>
            <w:tcW w:w="1705" w:type="dxa"/>
            <w:vAlign w:val="center"/>
          </w:tcPr>
          <w:p w14:paraId="6F2F6A5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2.76</w:t>
            </w:r>
          </w:p>
        </w:tc>
      </w:tr>
      <w:tr w14:paraId="47D1C3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021A5F3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1144.152</w:t>
            </w:r>
          </w:p>
        </w:tc>
        <w:tc>
          <w:tcPr>
            <w:tcW w:w="1239" w:type="dxa"/>
            <w:vAlign w:val="center"/>
          </w:tcPr>
          <w:p w14:paraId="51E4ED5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540</w:t>
            </w:r>
          </w:p>
        </w:tc>
        <w:tc>
          <w:tcPr>
            <w:tcW w:w="2169" w:type="dxa"/>
            <w:vAlign w:val="center"/>
          </w:tcPr>
          <w:p w14:paraId="47F2765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2.628629</w:t>
            </w:r>
          </w:p>
        </w:tc>
        <w:tc>
          <w:tcPr>
            <w:tcW w:w="1705" w:type="dxa"/>
            <w:vAlign w:val="center"/>
          </w:tcPr>
          <w:p w14:paraId="55698F3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131.43</w:t>
            </w:r>
          </w:p>
        </w:tc>
        <w:tc>
          <w:tcPr>
            <w:tcW w:w="1705" w:type="dxa"/>
            <w:vAlign w:val="center"/>
          </w:tcPr>
          <w:p w14:paraId="1B5F2E5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3.33</w:t>
            </w:r>
          </w:p>
        </w:tc>
      </w:tr>
      <w:tr w14:paraId="2D29C3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05B68C8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1144.152</w:t>
            </w:r>
          </w:p>
        </w:tc>
        <w:tc>
          <w:tcPr>
            <w:tcW w:w="1239" w:type="dxa"/>
            <w:vAlign w:val="center"/>
          </w:tcPr>
          <w:p w14:paraId="194E4DB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570</w:t>
            </w:r>
          </w:p>
        </w:tc>
        <w:tc>
          <w:tcPr>
            <w:tcW w:w="2169" w:type="dxa"/>
            <w:vAlign w:val="center"/>
          </w:tcPr>
          <w:p w14:paraId="42B20B8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3.133827</w:t>
            </w:r>
          </w:p>
        </w:tc>
        <w:tc>
          <w:tcPr>
            <w:tcW w:w="1705" w:type="dxa"/>
            <w:vAlign w:val="center"/>
          </w:tcPr>
          <w:p w14:paraId="05ED52D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156.69</w:t>
            </w:r>
          </w:p>
        </w:tc>
        <w:tc>
          <w:tcPr>
            <w:tcW w:w="1705" w:type="dxa"/>
            <w:vAlign w:val="center"/>
          </w:tcPr>
          <w:p w14:paraId="128890B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3.97</w:t>
            </w:r>
          </w:p>
        </w:tc>
      </w:tr>
      <w:tr w14:paraId="713249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4367DAE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1144.152</w:t>
            </w:r>
          </w:p>
        </w:tc>
        <w:tc>
          <w:tcPr>
            <w:tcW w:w="1239" w:type="dxa"/>
            <w:vAlign w:val="center"/>
          </w:tcPr>
          <w:p w14:paraId="2822F7D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600</w:t>
            </w:r>
          </w:p>
        </w:tc>
        <w:tc>
          <w:tcPr>
            <w:tcW w:w="2169" w:type="dxa"/>
            <w:vAlign w:val="center"/>
          </w:tcPr>
          <w:p w14:paraId="5EBF157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3.690733</w:t>
            </w:r>
          </w:p>
        </w:tc>
        <w:tc>
          <w:tcPr>
            <w:tcW w:w="1705" w:type="dxa"/>
            <w:vAlign w:val="center"/>
          </w:tcPr>
          <w:p w14:paraId="10FE605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184.54</w:t>
            </w:r>
          </w:p>
        </w:tc>
        <w:tc>
          <w:tcPr>
            <w:tcW w:w="1705" w:type="dxa"/>
            <w:vAlign w:val="center"/>
          </w:tcPr>
          <w:p w14:paraId="26B943A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4.67</w:t>
            </w:r>
          </w:p>
        </w:tc>
      </w:tr>
    </w:tbl>
    <w:p w14:paraId="4516317E">
      <w:pPr>
        <w:spacing w:line="360" w:lineRule="auto"/>
        <w:jc w:val="center"/>
        <w:rPr>
          <w:rFonts w:eastAsiaTheme="minorEastAsia"/>
          <w:sz w:val="24"/>
          <w:highlight w:val="none"/>
        </w:rPr>
      </w:pPr>
      <w:r>
        <w:rPr>
          <w:rFonts w:hint="eastAsia" w:eastAsiaTheme="minorEastAsia"/>
          <w:sz w:val="24"/>
          <w:highlight w:val="none"/>
        </w:rPr>
        <w:drawing>
          <wp:inline distT="0" distB="0" distL="0" distR="0">
            <wp:extent cx="5208270" cy="2677795"/>
            <wp:effectExtent l="3175" t="3175" r="8255" b="5080"/>
            <wp:docPr id="46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35"/>
                    <pic:cNvPicPr>
                      <a:picLocks noChangeAspect="1" noChangeArrowheads="1"/>
                    </pic:cNvPicPr>
                  </pic:nvPicPr>
                  <pic:blipFill>
                    <a:blip r:embed="rId107"/>
                    <a:srcRect/>
                    <a:stretch>
                      <a:fillRect/>
                    </a:stretch>
                  </pic:blipFill>
                  <pic:spPr>
                    <a:xfrm>
                      <a:off x="0" y="0"/>
                      <a:ext cx="5213429" cy="2680739"/>
                    </a:xfrm>
                    <a:prstGeom prst="rect">
                      <a:avLst/>
                    </a:prstGeom>
                    <a:noFill/>
                    <a:ln w="9525">
                      <a:noFill/>
                      <a:miter lim="800000"/>
                      <a:headEnd/>
                      <a:tailEnd/>
                    </a:ln>
                    <a:scene3d>
                      <a:camera prst="orthographicFront"/>
                      <a:lightRig rig="threePt" dir="t"/>
                    </a:scene3d>
                    <a:sp3d contourW="6350"/>
                  </pic:spPr>
                </pic:pic>
              </a:graphicData>
            </a:graphic>
          </wp:inline>
        </w:drawing>
      </w:r>
    </w:p>
    <w:p w14:paraId="1E791EC6">
      <w:pPr>
        <w:spacing w:line="360" w:lineRule="auto"/>
        <w:jc w:val="center"/>
        <w:rPr>
          <w:rFonts w:eastAsiaTheme="minorEastAsia"/>
          <w:sz w:val="24"/>
          <w:highlight w:val="none"/>
        </w:rPr>
      </w:pPr>
      <w:r>
        <w:rPr>
          <w:rFonts w:hint="eastAsia" w:eastAsiaTheme="minorEastAsia"/>
          <w:b/>
          <w:sz w:val="24"/>
          <w:highlight w:val="none"/>
        </w:rPr>
        <w:t>图5-2-13 香悦蓝天下二氧化硫</w:t>
      </w:r>
      <w:r>
        <w:rPr>
          <w:rFonts w:eastAsiaTheme="minorEastAsia"/>
          <w:b/>
          <w:sz w:val="24"/>
          <w:highlight w:val="none"/>
        </w:rPr>
        <w:t>下风向距离浓度曲线图</w:t>
      </w:r>
    </w:p>
    <w:p w14:paraId="6AC7652B">
      <w:pPr>
        <w:spacing w:line="360" w:lineRule="auto"/>
        <w:ind w:firstLine="480" w:firstLineChars="200"/>
        <w:rPr>
          <w:rFonts w:eastAsiaTheme="minorEastAsia"/>
          <w:sz w:val="24"/>
          <w:highlight w:val="none"/>
        </w:rPr>
      </w:pPr>
      <w:r>
        <w:rPr>
          <w:rFonts w:hint="eastAsia" w:eastAsiaTheme="minorEastAsia"/>
          <w:sz w:val="24"/>
          <w:highlight w:val="none"/>
        </w:rPr>
        <w:t>二氧化硫在香悦蓝天下的大气终点浓度2(PAC-2)是2mg/m</w:t>
      </w:r>
      <w:r>
        <w:rPr>
          <w:rFonts w:hint="eastAsia" w:eastAsiaTheme="minorEastAsia"/>
          <w:sz w:val="24"/>
          <w:highlight w:val="none"/>
          <w:vertAlign w:val="superscript"/>
        </w:rPr>
        <w:t>3</w:t>
      </w:r>
      <w:r>
        <w:rPr>
          <w:rFonts w:hint="eastAsia" w:eastAsiaTheme="minorEastAsia"/>
          <w:sz w:val="24"/>
          <w:highlight w:val="none"/>
        </w:rPr>
        <w:t>，第一个达到的时间是510秒，持续了90秒；大气终点浓度1(PAC-3)是79mg/m</w:t>
      </w:r>
      <w:r>
        <w:rPr>
          <w:rFonts w:hint="eastAsia" w:eastAsiaTheme="minorEastAsia"/>
          <w:sz w:val="24"/>
          <w:highlight w:val="none"/>
          <w:vertAlign w:val="superscript"/>
        </w:rPr>
        <w:t>3</w:t>
      </w:r>
      <w:r>
        <w:rPr>
          <w:rFonts w:hint="eastAsia" w:eastAsiaTheme="minorEastAsia"/>
          <w:sz w:val="24"/>
          <w:highlight w:val="none"/>
        </w:rPr>
        <w:t>，第一个达到的时间是--秒，持续了--秒；敏感点最大浓度是</w:t>
      </w:r>
      <w:r>
        <w:rPr>
          <w:rFonts w:eastAsiaTheme="minorEastAsia"/>
          <w:sz w:val="24"/>
          <w:highlight w:val="none"/>
        </w:rPr>
        <w:t>3.690733</w:t>
      </w:r>
      <w:r>
        <w:rPr>
          <w:rFonts w:hint="eastAsia" w:eastAsiaTheme="minorEastAsia"/>
          <w:sz w:val="24"/>
          <w:highlight w:val="none"/>
        </w:rPr>
        <w:t>mg/m</w:t>
      </w:r>
      <w:r>
        <w:rPr>
          <w:rFonts w:hint="eastAsia" w:eastAsiaTheme="minorEastAsia"/>
          <w:sz w:val="24"/>
          <w:highlight w:val="none"/>
          <w:vertAlign w:val="superscript"/>
        </w:rPr>
        <w:t>3</w:t>
      </w:r>
      <w:r>
        <w:rPr>
          <w:rFonts w:hint="eastAsia" w:eastAsiaTheme="minorEastAsia"/>
          <w:sz w:val="24"/>
          <w:highlight w:val="none"/>
        </w:rPr>
        <w:t>；时间累积浓度为：32.26mg/m</w:t>
      </w:r>
      <w:r>
        <w:rPr>
          <w:rFonts w:hint="eastAsia" w:eastAsiaTheme="minorEastAsia"/>
          <w:sz w:val="24"/>
          <w:highlight w:val="none"/>
          <w:vertAlign w:val="superscript"/>
        </w:rPr>
        <w:t>3</w:t>
      </w:r>
      <w:r>
        <w:rPr>
          <w:rFonts w:hint="eastAsia" w:eastAsiaTheme="minorEastAsia"/>
          <w:sz w:val="24"/>
          <w:highlight w:val="none"/>
        </w:rPr>
        <w:t>。</w:t>
      </w:r>
    </w:p>
    <w:p w14:paraId="0274B492">
      <w:pPr>
        <w:spacing w:line="360" w:lineRule="auto"/>
        <w:jc w:val="center"/>
        <w:rPr>
          <w:rFonts w:eastAsiaTheme="minorEastAsia"/>
          <w:b/>
          <w:sz w:val="24"/>
          <w:highlight w:val="none"/>
        </w:rPr>
      </w:pPr>
    </w:p>
    <w:p w14:paraId="570C0443">
      <w:pPr>
        <w:spacing w:line="360" w:lineRule="auto"/>
        <w:jc w:val="center"/>
        <w:rPr>
          <w:rFonts w:eastAsiaTheme="minorEastAsia"/>
          <w:b/>
          <w:sz w:val="24"/>
          <w:highlight w:val="none"/>
        </w:rPr>
      </w:pPr>
    </w:p>
    <w:p w14:paraId="58878343">
      <w:pPr>
        <w:spacing w:line="360" w:lineRule="auto"/>
        <w:jc w:val="center"/>
        <w:rPr>
          <w:rFonts w:eastAsiaTheme="minorEastAsia"/>
          <w:b/>
          <w:sz w:val="24"/>
          <w:highlight w:val="none"/>
        </w:rPr>
      </w:pPr>
    </w:p>
    <w:p w14:paraId="2EF22D1D">
      <w:pPr>
        <w:spacing w:line="360" w:lineRule="auto"/>
        <w:jc w:val="center"/>
        <w:rPr>
          <w:rFonts w:eastAsiaTheme="minorEastAsia"/>
          <w:b/>
          <w:sz w:val="24"/>
          <w:highlight w:val="none"/>
        </w:rPr>
      </w:pPr>
      <w:r>
        <w:rPr>
          <w:rFonts w:hint="eastAsia" w:eastAsiaTheme="minorEastAsia"/>
          <w:b/>
          <w:sz w:val="24"/>
          <w:highlight w:val="none"/>
        </w:rPr>
        <w:t>表5-2-40 二氧化硫在哈飞家园的高峰轴线浓度表</w:t>
      </w:r>
    </w:p>
    <w:tbl>
      <w:tblPr>
        <w:tblStyle w:val="46"/>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239"/>
        <w:gridCol w:w="2169"/>
        <w:gridCol w:w="1705"/>
        <w:gridCol w:w="1705"/>
      </w:tblGrid>
      <w:tr w14:paraId="7436BD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517934D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下风向距离（m）</w:t>
            </w:r>
          </w:p>
        </w:tc>
        <w:tc>
          <w:tcPr>
            <w:tcW w:w="1239" w:type="dxa"/>
            <w:vAlign w:val="center"/>
          </w:tcPr>
          <w:p w14:paraId="3F84B89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时间（秒）</w:t>
            </w:r>
          </w:p>
        </w:tc>
        <w:tc>
          <w:tcPr>
            <w:tcW w:w="2169" w:type="dxa"/>
            <w:vAlign w:val="center"/>
          </w:tcPr>
          <w:p w14:paraId="538BC86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浓度（mg/m3）</w:t>
            </w:r>
          </w:p>
        </w:tc>
        <w:tc>
          <w:tcPr>
            <w:tcW w:w="1705" w:type="dxa"/>
            <w:vAlign w:val="center"/>
          </w:tcPr>
          <w:p w14:paraId="677E163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PAC-2（%）</w:t>
            </w:r>
          </w:p>
        </w:tc>
        <w:tc>
          <w:tcPr>
            <w:tcW w:w="1705" w:type="dxa"/>
            <w:vAlign w:val="center"/>
          </w:tcPr>
          <w:p w14:paraId="6EDA4CC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PAC-3（%）</w:t>
            </w:r>
          </w:p>
        </w:tc>
      </w:tr>
      <w:tr w14:paraId="69E229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3D2BA91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1137.516</w:t>
            </w:r>
          </w:p>
        </w:tc>
        <w:tc>
          <w:tcPr>
            <w:tcW w:w="1239" w:type="dxa"/>
            <w:vAlign w:val="center"/>
          </w:tcPr>
          <w:p w14:paraId="75399FC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3</w:t>
            </w:r>
          </w:p>
        </w:tc>
        <w:tc>
          <w:tcPr>
            <w:tcW w:w="2169" w:type="dxa"/>
            <w:vAlign w:val="center"/>
          </w:tcPr>
          <w:p w14:paraId="50A93B7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0.001032412</w:t>
            </w:r>
          </w:p>
        </w:tc>
        <w:tc>
          <w:tcPr>
            <w:tcW w:w="1705" w:type="dxa"/>
            <w:vAlign w:val="center"/>
          </w:tcPr>
          <w:p w14:paraId="0331BC2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0.05</w:t>
            </w:r>
          </w:p>
        </w:tc>
        <w:tc>
          <w:tcPr>
            <w:tcW w:w="1705" w:type="dxa"/>
            <w:vAlign w:val="center"/>
          </w:tcPr>
          <w:p w14:paraId="6E5712C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r>
      <w:tr w14:paraId="1CB378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356C9A9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1137.516</w:t>
            </w:r>
          </w:p>
        </w:tc>
        <w:tc>
          <w:tcPr>
            <w:tcW w:w="1239" w:type="dxa"/>
            <w:vAlign w:val="center"/>
          </w:tcPr>
          <w:p w14:paraId="39CF0F2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6</w:t>
            </w:r>
          </w:p>
        </w:tc>
        <w:tc>
          <w:tcPr>
            <w:tcW w:w="2169" w:type="dxa"/>
            <w:vAlign w:val="center"/>
          </w:tcPr>
          <w:p w14:paraId="16349D3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0.001579773</w:t>
            </w:r>
          </w:p>
        </w:tc>
        <w:tc>
          <w:tcPr>
            <w:tcW w:w="1705" w:type="dxa"/>
            <w:vAlign w:val="center"/>
          </w:tcPr>
          <w:p w14:paraId="06EAF74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0..08</w:t>
            </w:r>
          </w:p>
        </w:tc>
        <w:tc>
          <w:tcPr>
            <w:tcW w:w="1705" w:type="dxa"/>
            <w:vAlign w:val="center"/>
          </w:tcPr>
          <w:p w14:paraId="35AC496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r>
      <w:tr w14:paraId="733BC7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0DE2A49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1137.516</w:t>
            </w:r>
          </w:p>
        </w:tc>
        <w:tc>
          <w:tcPr>
            <w:tcW w:w="1239" w:type="dxa"/>
            <w:vAlign w:val="center"/>
          </w:tcPr>
          <w:p w14:paraId="2467626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12</w:t>
            </w:r>
          </w:p>
        </w:tc>
        <w:tc>
          <w:tcPr>
            <w:tcW w:w="2169" w:type="dxa"/>
            <w:vAlign w:val="center"/>
          </w:tcPr>
          <w:p w14:paraId="0C2F803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0.002740558</w:t>
            </w:r>
          </w:p>
        </w:tc>
        <w:tc>
          <w:tcPr>
            <w:tcW w:w="1705" w:type="dxa"/>
            <w:vAlign w:val="center"/>
          </w:tcPr>
          <w:p w14:paraId="5566E85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0.14</w:t>
            </w:r>
          </w:p>
        </w:tc>
        <w:tc>
          <w:tcPr>
            <w:tcW w:w="1705" w:type="dxa"/>
            <w:vAlign w:val="center"/>
          </w:tcPr>
          <w:p w14:paraId="19599F3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r>
      <w:tr w14:paraId="16B803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2EC8D2C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1137.516</w:t>
            </w:r>
          </w:p>
        </w:tc>
        <w:tc>
          <w:tcPr>
            <w:tcW w:w="1239" w:type="dxa"/>
            <w:vAlign w:val="center"/>
          </w:tcPr>
          <w:p w14:paraId="2A96394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18</w:t>
            </w:r>
          </w:p>
        </w:tc>
        <w:tc>
          <w:tcPr>
            <w:tcW w:w="2169" w:type="dxa"/>
            <w:vAlign w:val="center"/>
          </w:tcPr>
          <w:p w14:paraId="7A40BCC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0.003994698</w:t>
            </w:r>
          </w:p>
        </w:tc>
        <w:tc>
          <w:tcPr>
            <w:tcW w:w="1705" w:type="dxa"/>
            <w:vAlign w:val="center"/>
          </w:tcPr>
          <w:p w14:paraId="30D041A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0.2</w:t>
            </w:r>
          </w:p>
        </w:tc>
        <w:tc>
          <w:tcPr>
            <w:tcW w:w="1705" w:type="dxa"/>
            <w:vAlign w:val="center"/>
          </w:tcPr>
          <w:p w14:paraId="736C45C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0.01</w:t>
            </w:r>
          </w:p>
        </w:tc>
      </w:tr>
      <w:tr w14:paraId="178813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6646057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1137.516</w:t>
            </w:r>
          </w:p>
        </w:tc>
        <w:tc>
          <w:tcPr>
            <w:tcW w:w="1239" w:type="dxa"/>
            <w:vAlign w:val="center"/>
          </w:tcPr>
          <w:p w14:paraId="63829FE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24</w:t>
            </w:r>
          </w:p>
        </w:tc>
        <w:tc>
          <w:tcPr>
            <w:tcW w:w="2169" w:type="dxa"/>
            <w:vAlign w:val="center"/>
          </w:tcPr>
          <w:p w14:paraId="59D87F1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0.005348857</w:t>
            </w:r>
          </w:p>
        </w:tc>
        <w:tc>
          <w:tcPr>
            <w:tcW w:w="1705" w:type="dxa"/>
            <w:vAlign w:val="center"/>
          </w:tcPr>
          <w:p w14:paraId="392FFBD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0.27</w:t>
            </w:r>
          </w:p>
        </w:tc>
        <w:tc>
          <w:tcPr>
            <w:tcW w:w="1705" w:type="dxa"/>
            <w:vAlign w:val="center"/>
          </w:tcPr>
          <w:p w14:paraId="5DD2387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0.01</w:t>
            </w:r>
          </w:p>
        </w:tc>
      </w:tr>
      <w:tr w14:paraId="79E1A7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5628BE7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1137.516</w:t>
            </w:r>
          </w:p>
        </w:tc>
        <w:tc>
          <w:tcPr>
            <w:tcW w:w="1239" w:type="dxa"/>
            <w:vAlign w:val="center"/>
          </w:tcPr>
          <w:p w14:paraId="368B52C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150</w:t>
            </w:r>
          </w:p>
        </w:tc>
        <w:tc>
          <w:tcPr>
            <w:tcW w:w="2169" w:type="dxa"/>
            <w:vAlign w:val="center"/>
          </w:tcPr>
          <w:p w14:paraId="5EC07A0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0.07377244</w:t>
            </w:r>
          </w:p>
        </w:tc>
        <w:tc>
          <w:tcPr>
            <w:tcW w:w="1705" w:type="dxa"/>
            <w:vAlign w:val="center"/>
          </w:tcPr>
          <w:p w14:paraId="3C79AA2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3.69</w:t>
            </w:r>
          </w:p>
        </w:tc>
        <w:tc>
          <w:tcPr>
            <w:tcW w:w="1705" w:type="dxa"/>
            <w:vAlign w:val="center"/>
          </w:tcPr>
          <w:p w14:paraId="54B5ABF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0.09</w:t>
            </w:r>
          </w:p>
        </w:tc>
      </w:tr>
      <w:tr w14:paraId="73699D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5717AE4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1137.516</w:t>
            </w:r>
          </w:p>
        </w:tc>
        <w:tc>
          <w:tcPr>
            <w:tcW w:w="1239" w:type="dxa"/>
            <w:vAlign w:val="center"/>
          </w:tcPr>
          <w:p w14:paraId="33EC5AF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330</w:t>
            </w:r>
          </w:p>
        </w:tc>
        <w:tc>
          <w:tcPr>
            <w:tcW w:w="2169" w:type="dxa"/>
            <w:vAlign w:val="center"/>
          </w:tcPr>
          <w:p w14:paraId="5BF05AD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0.5470216</w:t>
            </w:r>
          </w:p>
        </w:tc>
        <w:tc>
          <w:tcPr>
            <w:tcW w:w="1705" w:type="dxa"/>
            <w:vAlign w:val="center"/>
          </w:tcPr>
          <w:p w14:paraId="735AF68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27.35</w:t>
            </w:r>
          </w:p>
        </w:tc>
        <w:tc>
          <w:tcPr>
            <w:tcW w:w="1705" w:type="dxa"/>
            <w:vAlign w:val="center"/>
          </w:tcPr>
          <w:p w14:paraId="4F29BFA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0.69</w:t>
            </w:r>
          </w:p>
        </w:tc>
      </w:tr>
      <w:tr w14:paraId="10B31D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589C5A1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1137.516</w:t>
            </w:r>
          </w:p>
        </w:tc>
        <w:tc>
          <w:tcPr>
            <w:tcW w:w="1239" w:type="dxa"/>
            <w:vAlign w:val="center"/>
          </w:tcPr>
          <w:p w14:paraId="2BEF1BE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360</w:t>
            </w:r>
          </w:p>
        </w:tc>
        <w:tc>
          <w:tcPr>
            <w:tcW w:w="2169" w:type="dxa"/>
            <w:vAlign w:val="center"/>
          </w:tcPr>
          <w:p w14:paraId="092A25C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0.7164701</w:t>
            </w:r>
          </w:p>
        </w:tc>
        <w:tc>
          <w:tcPr>
            <w:tcW w:w="1705" w:type="dxa"/>
            <w:vAlign w:val="center"/>
          </w:tcPr>
          <w:p w14:paraId="12E47A5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35.82</w:t>
            </w:r>
          </w:p>
        </w:tc>
        <w:tc>
          <w:tcPr>
            <w:tcW w:w="1705" w:type="dxa"/>
            <w:vAlign w:val="center"/>
          </w:tcPr>
          <w:p w14:paraId="3982C6E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0.91</w:t>
            </w:r>
          </w:p>
        </w:tc>
      </w:tr>
      <w:tr w14:paraId="035AF9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334D7EB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1137.516</w:t>
            </w:r>
          </w:p>
        </w:tc>
        <w:tc>
          <w:tcPr>
            <w:tcW w:w="1239" w:type="dxa"/>
            <w:vAlign w:val="center"/>
          </w:tcPr>
          <w:p w14:paraId="57A1CCF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390</w:t>
            </w:r>
          </w:p>
        </w:tc>
        <w:tc>
          <w:tcPr>
            <w:tcW w:w="2169" w:type="dxa"/>
            <w:vAlign w:val="center"/>
          </w:tcPr>
          <w:p w14:paraId="376A5E4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0.9246637</w:t>
            </w:r>
          </w:p>
        </w:tc>
        <w:tc>
          <w:tcPr>
            <w:tcW w:w="1705" w:type="dxa"/>
            <w:vAlign w:val="center"/>
          </w:tcPr>
          <w:p w14:paraId="2D176B5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46.23</w:t>
            </w:r>
          </w:p>
        </w:tc>
        <w:tc>
          <w:tcPr>
            <w:tcW w:w="1705" w:type="dxa"/>
            <w:vAlign w:val="center"/>
          </w:tcPr>
          <w:p w14:paraId="233CD46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1.17</w:t>
            </w:r>
          </w:p>
        </w:tc>
      </w:tr>
      <w:tr w14:paraId="47D8B8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54FF0D0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1137.516</w:t>
            </w:r>
          </w:p>
        </w:tc>
        <w:tc>
          <w:tcPr>
            <w:tcW w:w="1239" w:type="dxa"/>
            <w:vAlign w:val="center"/>
          </w:tcPr>
          <w:p w14:paraId="5C2FAC5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450</w:t>
            </w:r>
          </w:p>
        </w:tc>
        <w:tc>
          <w:tcPr>
            <w:tcW w:w="2169" w:type="dxa"/>
            <w:vAlign w:val="center"/>
          </w:tcPr>
          <w:p w14:paraId="4116D22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1.476479</w:t>
            </w:r>
          </w:p>
        </w:tc>
        <w:tc>
          <w:tcPr>
            <w:tcW w:w="1705" w:type="dxa"/>
            <w:vAlign w:val="center"/>
          </w:tcPr>
          <w:p w14:paraId="3989829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73.82</w:t>
            </w:r>
          </w:p>
        </w:tc>
        <w:tc>
          <w:tcPr>
            <w:tcW w:w="1705" w:type="dxa"/>
            <w:vAlign w:val="center"/>
          </w:tcPr>
          <w:p w14:paraId="5E6EE1E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1.87</w:t>
            </w:r>
          </w:p>
        </w:tc>
      </w:tr>
      <w:tr w14:paraId="733DBF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218AE6A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1137.516</w:t>
            </w:r>
          </w:p>
        </w:tc>
        <w:tc>
          <w:tcPr>
            <w:tcW w:w="1239" w:type="dxa"/>
            <w:vAlign w:val="center"/>
          </w:tcPr>
          <w:p w14:paraId="548C38D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480</w:t>
            </w:r>
          </w:p>
        </w:tc>
        <w:tc>
          <w:tcPr>
            <w:tcW w:w="2169" w:type="dxa"/>
            <w:vAlign w:val="center"/>
          </w:tcPr>
          <w:p w14:paraId="1C0EAF7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1.828235</w:t>
            </w:r>
          </w:p>
        </w:tc>
        <w:tc>
          <w:tcPr>
            <w:tcW w:w="1705" w:type="dxa"/>
            <w:vAlign w:val="center"/>
          </w:tcPr>
          <w:p w14:paraId="38B2993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91.41</w:t>
            </w:r>
          </w:p>
        </w:tc>
        <w:tc>
          <w:tcPr>
            <w:tcW w:w="1705" w:type="dxa"/>
            <w:vAlign w:val="center"/>
          </w:tcPr>
          <w:p w14:paraId="1DE2BED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2.31</w:t>
            </w:r>
          </w:p>
        </w:tc>
      </w:tr>
      <w:tr w14:paraId="4F10DC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123DF55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1137.516</w:t>
            </w:r>
          </w:p>
        </w:tc>
        <w:tc>
          <w:tcPr>
            <w:tcW w:w="1239" w:type="dxa"/>
            <w:vAlign w:val="center"/>
          </w:tcPr>
          <w:p w14:paraId="1B957C1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510</w:t>
            </w:r>
          </w:p>
        </w:tc>
        <w:tc>
          <w:tcPr>
            <w:tcW w:w="2169" w:type="dxa"/>
            <w:vAlign w:val="center"/>
          </w:tcPr>
          <w:p w14:paraId="3151A94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2.23436</w:t>
            </w:r>
          </w:p>
        </w:tc>
        <w:tc>
          <w:tcPr>
            <w:tcW w:w="1705" w:type="dxa"/>
            <w:vAlign w:val="center"/>
          </w:tcPr>
          <w:p w14:paraId="681DDF3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111.72</w:t>
            </w:r>
          </w:p>
        </w:tc>
        <w:tc>
          <w:tcPr>
            <w:tcW w:w="1705" w:type="dxa"/>
            <w:vAlign w:val="center"/>
          </w:tcPr>
          <w:p w14:paraId="77A5987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2.83</w:t>
            </w:r>
          </w:p>
        </w:tc>
      </w:tr>
      <w:tr w14:paraId="6DC814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32660C0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1137.516</w:t>
            </w:r>
          </w:p>
        </w:tc>
        <w:tc>
          <w:tcPr>
            <w:tcW w:w="1239" w:type="dxa"/>
            <w:vAlign w:val="center"/>
          </w:tcPr>
          <w:p w14:paraId="708F06E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540</w:t>
            </w:r>
          </w:p>
        </w:tc>
        <w:tc>
          <w:tcPr>
            <w:tcW w:w="2169" w:type="dxa"/>
            <w:vAlign w:val="center"/>
          </w:tcPr>
          <w:p w14:paraId="2212FD7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2.696024</w:t>
            </w:r>
          </w:p>
        </w:tc>
        <w:tc>
          <w:tcPr>
            <w:tcW w:w="1705" w:type="dxa"/>
            <w:vAlign w:val="center"/>
          </w:tcPr>
          <w:p w14:paraId="7733EA6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134.8</w:t>
            </w:r>
          </w:p>
        </w:tc>
        <w:tc>
          <w:tcPr>
            <w:tcW w:w="1705" w:type="dxa"/>
            <w:vAlign w:val="center"/>
          </w:tcPr>
          <w:p w14:paraId="69CF3AF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3.41</w:t>
            </w:r>
          </w:p>
        </w:tc>
      </w:tr>
      <w:tr w14:paraId="06C5DB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27A9905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1137.516</w:t>
            </w:r>
          </w:p>
        </w:tc>
        <w:tc>
          <w:tcPr>
            <w:tcW w:w="1239" w:type="dxa"/>
            <w:vAlign w:val="center"/>
          </w:tcPr>
          <w:p w14:paraId="6B55A12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570</w:t>
            </w:r>
          </w:p>
        </w:tc>
        <w:tc>
          <w:tcPr>
            <w:tcW w:w="2169" w:type="dxa"/>
            <w:vAlign w:val="center"/>
          </w:tcPr>
          <w:p w14:paraId="3E16405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3.212726</w:t>
            </w:r>
          </w:p>
        </w:tc>
        <w:tc>
          <w:tcPr>
            <w:tcW w:w="1705" w:type="dxa"/>
            <w:vAlign w:val="center"/>
          </w:tcPr>
          <w:p w14:paraId="7093618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160.64</w:t>
            </w:r>
          </w:p>
        </w:tc>
        <w:tc>
          <w:tcPr>
            <w:tcW w:w="1705" w:type="dxa"/>
            <w:vAlign w:val="center"/>
          </w:tcPr>
          <w:p w14:paraId="1D758EC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4.07</w:t>
            </w:r>
          </w:p>
        </w:tc>
      </w:tr>
      <w:tr w14:paraId="26A676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12C14AD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1137.516</w:t>
            </w:r>
          </w:p>
        </w:tc>
        <w:tc>
          <w:tcPr>
            <w:tcW w:w="1239" w:type="dxa"/>
            <w:vAlign w:val="center"/>
          </w:tcPr>
          <w:p w14:paraId="1F21CD1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600</w:t>
            </w:r>
          </w:p>
        </w:tc>
        <w:tc>
          <w:tcPr>
            <w:tcW w:w="2169" w:type="dxa"/>
            <w:vAlign w:val="center"/>
          </w:tcPr>
          <w:p w14:paraId="61E7AF9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3.781598</w:t>
            </w:r>
          </w:p>
        </w:tc>
        <w:tc>
          <w:tcPr>
            <w:tcW w:w="1705" w:type="dxa"/>
            <w:vAlign w:val="center"/>
          </w:tcPr>
          <w:p w14:paraId="39AA1A2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189.08</w:t>
            </w:r>
          </w:p>
        </w:tc>
        <w:tc>
          <w:tcPr>
            <w:tcW w:w="1705" w:type="dxa"/>
            <w:vAlign w:val="center"/>
          </w:tcPr>
          <w:p w14:paraId="23DD41A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4.79</w:t>
            </w:r>
          </w:p>
        </w:tc>
      </w:tr>
    </w:tbl>
    <w:p w14:paraId="6EB18E56">
      <w:pPr>
        <w:spacing w:line="360" w:lineRule="auto"/>
        <w:jc w:val="center"/>
        <w:rPr>
          <w:rFonts w:eastAsiaTheme="minorEastAsia"/>
          <w:sz w:val="24"/>
          <w:highlight w:val="none"/>
        </w:rPr>
      </w:pPr>
      <w:r>
        <w:rPr>
          <w:rFonts w:hint="eastAsia" w:eastAsiaTheme="minorEastAsia"/>
          <w:sz w:val="24"/>
          <w:highlight w:val="none"/>
        </w:rPr>
        <w:drawing>
          <wp:inline distT="0" distB="0" distL="0" distR="0">
            <wp:extent cx="5165725" cy="2592070"/>
            <wp:effectExtent l="3175" t="3175" r="12700" b="1460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108"/>
                    <a:srcRect/>
                    <a:stretch>
                      <a:fillRect/>
                    </a:stretch>
                  </pic:blipFill>
                  <pic:spPr>
                    <a:xfrm>
                      <a:off x="0" y="0"/>
                      <a:ext cx="5171611" cy="2595070"/>
                    </a:xfrm>
                    <a:prstGeom prst="rect">
                      <a:avLst/>
                    </a:prstGeom>
                    <a:noFill/>
                    <a:ln w="9525">
                      <a:noFill/>
                      <a:miter lim="800000"/>
                      <a:headEnd/>
                      <a:tailEnd/>
                    </a:ln>
                    <a:scene3d>
                      <a:camera prst="orthographicFront"/>
                      <a:lightRig rig="threePt" dir="t"/>
                    </a:scene3d>
                    <a:sp3d contourW="6350"/>
                  </pic:spPr>
                </pic:pic>
              </a:graphicData>
            </a:graphic>
          </wp:inline>
        </w:drawing>
      </w:r>
    </w:p>
    <w:p w14:paraId="242ED6CE">
      <w:pPr>
        <w:spacing w:line="360" w:lineRule="auto"/>
        <w:jc w:val="center"/>
        <w:rPr>
          <w:rFonts w:eastAsiaTheme="minorEastAsia"/>
          <w:sz w:val="24"/>
          <w:highlight w:val="none"/>
        </w:rPr>
      </w:pPr>
      <w:r>
        <w:rPr>
          <w:rFonts w:hint="eastAsia" w:eastAsiaTheme="minorEastAsia"/>
          <w:b/>
          <w:sz w:val="24"/>
          <w:highlight w:val="none"/>
        </w:rPr>
        <w:t>图5-2-14 哈飞家园二氧化硫</w:t>
      </w:r>
      <w:r>
        <w:rPr>
          <w:rFonts w:eastAsiaTheme="minorEastAsia"/>
          <w:b/>
          <w:sz w:val="24"/>
          <w:highlight w:val="none"/>
        </w:rPr>
        <w:t>下风向距离浓度曲线图</w:t>
      </w:r>
    </w:p>
    <w:p w14:paraId="140FFBE1">
      <w:pPr>
        <w:spacing w:line="360" w:lineRule="auto"/>
        <w:ind w:firstLine="480" w:firstLineChars="200"/>
        <w:rPr>
          <w:rFonts w:eastAsiaTheme="minorEastAsia"/>
          <w:sz w:val="24"/>
          <w:highlight w:val="none"/>
        </w:rPr>
      </w:pPr>
      <w:r>
        <w:rPr>
          <w:rFonts w:hint="eastAsia" w:eastAsiaTheme="minorEastAsia"/>
          <w:sz w:val="24"/>
          <w:highlight w:val="none"/>
        </w:rPr>
        <w:t>二氧化硫在哈飞家园的大气终点浓度2(PAC-2)是2mg/m</w:t>
      </w:r>
      <w:r>
        <w:rPr>
          <w:rFonts w:hint="eastAsia" w:eastAsiaTheme="minorEastAsia"/>
          <w:sz w:val="24"/>
          <w:highlight w:val="none"/>
          <w:vertAlign w:val="superscript"/>
        </w:rPr>
        <w:t>3</w:t>
      </w:r>
      <w:r>
        <w:rPr>
          <w:rFonts w:hint="eastAsia" w:eastAsiaTheme="minorEastAsia"/>
          <w:sz w:val="24"/>
          <w:highlight w:val="none"/>
        </w:rPr>
        <w:t>，第一个达到的时间是510秒，持续了90秒；大气终点浓度1(PAC-3)是79mg/m</w:t>
      </w:r>
      <w:r>
        <w:rPr>
          <w:rFonts w:hint="eastAsia" w:eastAsiaTheme="minorEastAsia"/>
          <w:sz w:val="24"/>
          <w:highlight w:val="none"/>
          <w:vertAlign w:val="superscript"/>
        </w:rPr>
        <w:t>3</w:t>
      </w:r>
      <w:r>
        <w:rPr>
          <w:rFonts w:hint="eastAsia" w:eastAsiaTheme="minorEastAsia"/>
          <w:sz w:val="24"/>
          <w:highlight w:val="none"/>
        </w:rPr>
        <w:t>，第一个达到的时间是--秒，持续了--秒；敏感点最大浓度是</w:t>
      </w:r>
      <w:r>
        <w:rPr>
          <w:rFonts w:eastAsiaTheme="minorEastAsia"/>
          <w:sz w:val="24"/>
          <w:highlight w:val="none"/>
        </w:rPr>
        <w:t>3.781598</w:t>
      </w:r>
      <w:r>
        <w:rPr>
          <w:rFonts w:hint="eastAsia" w:eastAsiaTheme="minorEastAsia"/>
          <w:sz w:val="24"/>
          <w:highlight w:val="none"/>
        </w:rPr>
        <w:t>mg/m</w:t>
      </w:r>
      <w:r>
        <w:rPr>
          <w:rFonts w:hint="eastAsia" w:eastAsiaTheme="minorEastAsia"/>
          <w:sz w:val="24"/>
          <w:highlight w:val="none"/>
          <w:vertAlign w:val="superscript"/>
        </w:rPr>
        <w:t>3</w:t>
      </w:r>
      <w:r>
        <w:rPr>
          <w:rFonts w:hint="eastAsia" w:eastAsiaTheme="minorEastAsia"/>
          <w:sz w:val="24"/>
          <w:highlight w:val="none"/>
        </w:rPr>
        <w:t>；时间累积浓度为：34.26mg/m</w:t>
      </w:r>
      <w:r>
        <w:rPr>
          <w:rFonts w:hint="eastAsia" w:eastAsiaTheme="minorEastAsia"/>
          <w:sz w:val="24"/>
          <w:highlight w:val="none"/>
          <w:vertAlign w:val="superscript"/>
        </w:rPr>
        <w:t>3</w:t>
      </w:r>
      <w:r>
        <w:rPr>
          <w:rFonts w:hint="eastAsia" w:eastAsiaTheme="minorEastAsia"/>
          <w:sz w:val="24"/>
          <w:highlight w:val="none"/>
        </w:rPr>
        <w:t>。</w:t>
      </w:r>
    </w:p>
    <w:p w14:paraId="30FBAE4B">
      <w:pPr>
        <w:spacing w:line="360" w:lineRule="auto"/>
        <w:ind w:firstLine="460" w:firstLineChars="192"/>
        <w:rPr>
          <w:rFonts w:eastAsiaTheme="minorEastAsia"/>
          <w:sz w:val="24"/>
          <w:highlight w:val="none"/>
        </w:rPr>
      </w:pPr>
      <w:r>
        <w:rPr>
          <w:rFonts w:hint="eastAsia" w:eastAsiaTheme="minorEastAsia"/>
          <w:sz w:val="24"/>
          <w:highlight w:val="none"/>
        </w:rPr>
        <w:t>（3）一氧化碳对敏感点的影响</w:t>
      </w:r>
    </w:p>
    <w:p w14:paraId="222C7D89">
      <w:pPr>
        <w:spacing w:line="360" w:lineRule="auto"/>
        <w:jc w:val="center"/>
        <w:rPr>
          <w:rFonts w:eastAsiaTheme="minorEastAsia"/>
          <w:b/>
          <w:sz w:val="24"/>
          <w:highlight w:val="none"/>
        </w:rPr>
      </w:pPr>
    </w:p>
    <w:p w14:paraId="7D1C852C">
      <w:pPr>
        <w:spacing w:line="360" w:lineRule="auto"/>
        <w:jc w:val="center"/>
        <w:rPr>
          <w:rFonts w:eastAsiaTheme="minorEastAsia"/>
          <w:b/>
          <w:sz w:val="24"/>
          <w:highlight w:val="none"/>
        </w:rPr>
      </w:pPr>
    </w:p>
    <w:p w14:paraId="4A8232C5">
      <w:pPr>
        <w:spacing w:line="360" w:lineRule="auto"/>
        <w:jc w:val="center"/>
        <w:rPr>
          <w:rFonts w:eastAsiaTheme="minorEastAsia"/>
          <w:b/>
          <w:sz w:val="24"/>
          <w:highlight w:val="none"/>
        </w:rPr>
      </w:pPr>
    </w:p>
    <w:p w14:paraId="0E6D0265">
      <w:pPr>
        <w:spacing w:line="360" w:lineRule="auto"/>
        <w:jc w:val="center"/>
        <w:rPr>
          <w:rFonts w:eastAsiaTheme="minorEastAsia"/>
          <w:b/>
          <w:sz w:val="24"/>
          <w:highlight w:val="none"/>
        </w:rPr>
      </w:pPr>
      <w:r>
        <w:rPr>
          <w:rFonts w:hint="eastAsia" w:eastAsiaTheme="minorEastAsia"/>
          <w:b/>
          <w:sz w:val="24"/>
          <w:highlight w:val="none"/>
        </w:rPr>
        <w:t>表5-2-45 一氧化碳在刘家村的高峰轴线浓度表</w:t>
      </w:r>
    </w:p>
    <w:tbl>
      <w:tblPr>
        <w:tblStyle w:val="46"/>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239"/>
        <w:gridCol w:w="2169"/>
        <w:gridCol w:w="1705"/>
        <w:gridCol w:w="1705"/>
      </w:tblGrid>
      <w:tr w14:paraId="0924A7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44056E0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下风向距离（m）</w:t>
            </w:r>
          </w:p>
        </w:tc>
        <w:tc>
          <w:tcPr>
            <w:tcW w:w="1239" w:type="dxa"/>
            <w:vAlign w:val="center"/>
          </w:tcPr>
          <w:p w14:paraId="642C798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时间（秒）</w:t>
            </w:r>
          </w:p>
        </w:tc>
        <w:tc>
          <w:tcPr>
            <w:tcW w:w="2169" w:type="dxa"/>
            <w:vAlign w:val="center"/>
          </w:tcPr>
          <w:p w14:paraId="0D9084C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浓度（mg/m3）</w:t>
            </w:r>
          </w:p>
        </w:tc>
        <w:tc>
          <w:tcPr>
            <w:tcW w:w="1705" w:type="dxa"/>
            <w:vAlign w:val="center"/>
          </w:tcPr>
          <w:p w14:paraId="1C105F7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PAC-2（%）</w:t>
            </w:r>
          </w:p>
        </w:tc>
        <w:tc>
          <w:tcPr>
            <w:tcW w:w="1705" w:type="dxa"/>
            <w:vAlign w:val="center"/>
          </w:tcPr>
          <w:p w14:paraId="24FA0F5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PAC-3（%）</w:t>
            </w:r>
          </w:p>
        </w:tc>
      </w:tr>
      <w:tr w14:paraId="768A9E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4E42A99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483.1866</w:t>
            </w:r>
          </w:p>
        </w:tc>
        <w:tc>
          <w:tcPr>
            <w:tcW w:w="1239" w:type="dxa"/>
            <w:vAlign w:val="center"/>
          </w:tcPr>
          <w:p w14:paraId="0742474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3</w:t>
            </w:r>
          </w:p>
        </w:tc>
        <w:tc>
          <w:tcPr>
            <w:tcW w:w="2169" w:type="dxa"/>
            <w:vAlign w:val="center"/>
          </w:tcPr>
          <w:p w14:paraId="43B9B5D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c>
          <w:tcPr>
            <w:tcW w:w="1705" w:type="dxa"/>
            <w:vAlign w:val="center"/>
          </w:tcPr>
          <w:p w14:paraId="6E613C1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c>
          <w:tcPr>
            <w:tcW w:w="1705" w:type="dxa"/>
            <w:vAlign w:val="center"/>
          </w:tcPr>
          <w:p w14:paraId="3D9B733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r>
      <w:tr w14:paraId="16B1ED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4FA3BE8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483.1866</w:t>
            </w:r>
          </w:p>
        </w:tc>
        <w:tc>
          <w:tcPr>
            <w:tcW w:w="1239" w:type="dxa"/>
            <w:vAlign w:val="center"/>
          </w:tcPr>
          <w:p w14:paraId="1B0681F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6</w:t>
            </w:r>
          </w:p>
        </w:tc>
        <w:tc>
          <w:tcPr>
            <w:tcW w:w="2169" w:type="dxa"/>
            <w:vAlign w:val="center"/>
          </w:tcPr>
          <w:p w14:paraId="5DEDA15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c>
          <w:tcPr>
            <w:tcW w:w="1705" w:type="dxa"/>
            <w:vAlign w:val="center"/>
          </w:tcPr>
          <w:p w14:paraId="6AEDFB1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c>
          <w:tcPr>
            <w:tcW w:w="1705" w:type="dxa"/>
            <w:vAlign w:val="center"/>
          </w:tcPr>
          <w:p w14:paraId="368E94A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r>
      <w:tr w14:paraId="3E5F31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19D725B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483.1866</w:t>
            </w:r>
          </w:p>
        </w:tc>
        <w:tc>
          <w:tcPr>
            <w:tcW w:w="1239" w:type="dxa"/>
            <w:vAlign w:val="center"/>
          </w:tcPr>
          <w:p w14:paraId="0BE2DF4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12</w:t>
            </w:r>
          </w:p>
        </w:tc>
        <w:tc>
          <w:tcPr>
            <w:tcW w:w="2169" w:type="dxa"/>
            <w:vAlign w:val="center"/>
          </w:tcPr>
          <w:p w14:paraId="43894A7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c>
          <w:tcPr>
            <w:tcW w:w="1705" w:type="dxa"/>
            <w:vAlign w:val="center"/>
          </w:tcPr>
          <w:p w14:paraId="2078505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c>
          <w:tcPr>
            <w:tcW w:w="1705" w:type="dxa"/>
            <w:vAlign w:val="center"/>
          </w:tcPr>
          <w:p w14:paraId="15CBC30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r>
      <w:tr w14:paraId="658EDE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62919A0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483.1866</w:t>
            </w:r>
          </w:p>
        </w:tc>
        <w:tc>
          <w:tcPr>
            <w:tcW w:w="1239" w:type="dxa"/>
            <w:vAlign w:val="center"/>
          </w:tcPr>
          <w:p w14:paraId="0BE802A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18</w:t>
            </w:r>
          </w:p>
        </w:tc>
        <w:tc>
          <w:tcPr>
            <w:tcW w:w="2169" w:type="dxa"/>
            <w:vAlign w:val="center"/>
          </w:tcPr>
          <w:p w14:paraId="649D75C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c>
          <w:tcPr>
            <w:tcW w:w="1705" w:type="dxa"/>
            <w:vAlign w:val="center"/>
          </w:tcPr>
          <w:p w14:paraId="7A7EF1D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c>
          <w:tcPr>
            <w:tcW w:w="1705" w:type="dxa"/>
            <w:vAlign w:val="center"/>
          </w:tcPr>
          <w:p w14:paraId="6B28E21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r>
      <w:tr w14:paraId="606111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3C19044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483.1866</w:t>
            </w:r>
          </w:p>
        </w:tc>
        <w:tc>
          <w:tcPr>
            <w:tcW w:w="1239" w:type="dxa"/>
            <w:vAlign w:val="center"/>
          </w:tcPr>
          <w:p w14:paraId="0AD0B0A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24</w:t>
            </w:r>
          </w:p>
        </w:tc>
        <w:tc>
          <w:tcPr>
            <w:tcW w:w="2169" w:type="dxa"/>
            <w:vAlign w:val="center"/>
          </w:tcPr>
          <w:p w14:paraId="242DF19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c>
          <w:tcPr>
            <w:tcW w:w="1705" w:type="dxa"/>
            <w:vAlign w:val="center"/>
          </w:tcPr>
          <w:p w14:paraId="321A57D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c>
          <w:tcPr>
            <w:tcW w:w="1705" w:type="dxa"/>
            <w:vAlign w:val="center"/>
          </w:tcPr>
          <w:p w14:paraId="5285B9D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r>
      <w:tr w14:paraId="32AAD4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5E84675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483.1866</w:t>
            </w:r>
          </w:p>
        </w:tc>
        <w:tc>
          <w:tcPr>
            <w:tcW w:w="1239" w:type="dxa"/>
            <w:vAlign w:val="center"/>
          </w:tcPr>
          <w:p w14:paraId="2834CC0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30</w:t>
            </w:r>
          </w:p>
        </w:tc>
        <w:tc>
          <w:tcPr>
            <w:tcW w:w="2169" w:type="dxa"/>
            <w:vAlign w:val="center"/>
          </w:tcPr>
          <w:p w14:paraId="51D6E87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c>
          <w:tcPr>
            <w:tcW w:w="1705" w:type="dxa"/>
            <w:vAlign w:val="center"/>
          </w:tcPr>
          <w:p w14:paraId="06DBDC8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c>
          <w:tcPr>
            <w:tcW w:w="1705" w:type="dxa"/>
            <w:vAlign w:val="center"/>
          </w:tcPr>
          <w:p w14:paraId="49ED7F1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r>
      <w:tr w14:paraId="3B3A92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4B09158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483.1866</w:t>
            </w:r>
          </w:p>
        </w:tc>
        <w:tc>
          <w:tcPr>
            <w:tcW w:w="1239" w:type="dxa"/>
            <w:vAlign w:val="center"/>
          </w:tcPr>
          <w:p w14:paraId="18CF4FA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150</w:t>
            </w:r>
          </w:p>
        </w:tc>
        <w:tc>
          <w:tcPr>
            <w:tcW w:w="2169" w:type="dxa"/>
            <w:vAlign w:val="center"/>
          </w:tcPr>
          <w:p w14:paraId="7D4EDC8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c>
          <w:tcPr>
            <w:tcW w:w="1705" w:type="dxa"/>
            <w:vAlign w:val="center"/>
          </w:tcPr>
          <w:p w14:paraId="0373B38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c>
          <w:tcPr>
            <w:tcW w:w="1705" w:type="dxa"/>
            <w:vAlign w:val="center"/>
          </w:tcPr>
          <w:p w14:paraId="647F679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r>
      <w:tr w14:paraId="74F4A5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265EDD4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483.1866</w:t>
            </w:r>
          </w:p>
        </w:tc>
        <w:tc>
          <w:tcPr>
            <w:tcW w:w="1239" w:type="dxa"/>
            <w:vAlign w:val="center"/>
          </w:tcPr>
          <w:p w14:paraId="28B1F42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300</w:t>
            </w:r>
          </w:p>
        </w:tc>
        <w:tc>
          <w:tcPr>
            <w:tcW w:w="2169" w:type="dxa"/>
            <w:vAlign w:val="center"/>
          </w:tcPr>
          <w:p w14:paraId="67CD437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c>
          <w:tcPr>
            <w:tcW w:w="1705" w:type="dxa"/>
            <w:vAlign w:val="center"/>
          </w:tcPr>
          <w:p w14:paraId="0B8EB04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c>
          <w:tcPr>
            <w:tcW w:w="1705" w:type="dxa"/>
            <w:vAlign w:val="center"/>
          </w:tcPr>
          <w:p w14:paraId="7549DC5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r>
      <w:tr w14:paraId="168CD6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002475A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483.1866</w:t>
            </w:r>
          </w:p>
        </w:tc>
        <w:tc>
          <w:tcPr>
            <w:tcW w:w="1239" w:type="dxa"/>
            <w:vAlign w:val="center"/>
          </w:tcPr>
          <w:p w14:paraId="3B065D9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420</w:t>
            </w:r>
          </w:p>
        </w:tc>
        <w:tc>
          <w:tcPr>
            <w:tcW w:w="2169" w:type="dxa"/>
            <w:vAlign w:val="center"/>
          </w:tcPr>
          <w:p w14:paraId="2A87E19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c>
          <w:tcPr>
            <w:tcW w:w="1705" w:type="dxa"/>
            <w:vAlign w:val="center"/>
          </w:tcPr>
          <w:p w14:paraId="2CC3C6B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c>
          <w:tcPr>
            <w:tcW w:w="1705" w:type="dxa"/>
            <w:vAlign w:val="center"/>
          </w:tcPr>
          <w:p w14:paraId="4ECF390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r>
      <w:tr w14:paraId="711CE3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0108BD1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483.1866</w:t>
            </w:r>
          </w:p>
        </w:tc>
        <w:tc>
          <w:tcPr>
            <w:tcW w:w="1239" w:type="dxa"/>
            <w:vAlign w:val="center"/>
          </w:tcPr>
          <w:p w14:paraId="691FF80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450</w:t>
            </w:r>
          </w:p>
        </w:tc>
        <w:tc>
          <w:tcPr>
            <w:tcW w:w="2169" w:type="dxa"/>
            <w:vAlign w:val="center"/>
          </w:tcPr>
          <w:p w14:paraId="66F3056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8.781861</w:t>
            </w:r>
          </w:p>
        </w:tc>
        <w:tc>
          <w:tcPr>
            <w:tcW w:w="1705" w:type="dxa"/>
            <w:vAlign w:val="center"/>
          </w:tcPr>
          <w:p w14:paraId="68768A0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9.24</w:t>
            </w:r>
          </w:p>
        </w:tc>
        <w:tc>
          <w:tcPr>
            <w:tcW w:w="1705" w:type="dxa"/>
            <w:vAlign w:val="center"/>
          </w:tcPr>
          <w:p w14:paraId="2E46F8F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2.31</w:t>
            </w:r>
          </w:p>
        </w:tc>
      </w:tr>
      <w:tr w14:paraId="5C1C34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37436D5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483.1866</w:t>
            </w:r>
          </w:p>
        </w:tc>
        <w:tc>
          <w:tcPr>
            <w:tcW w:w="1239" w:type="dxa"/>
            <w:vAlign w:val="center"/>
          </w:tcPr>
          <w:p w14:paraId="218400C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480</w:t>
            </w:r>
          </w:p>
        </w:tc>
        <w:tc>
          <w:tcPr>
            <w:tcW w:w="2169" w:type="dxa"/>
            <w:vAlign w:val="center"/>
          </w:tcPr>
          <w:p w14:paraId="3773C32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8.781861</w:t>
            </w:r>
          </w:p>
        </w:tc>
        <w:tc>
          <w:tcPr>
            <w:tcW w:w="1705" w:type="dxa"/>
            <w:vAlign w:val="center"/>
          </w:tcPr>
          <w:p w14:paraId="7A2F1AB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9.24</w:t>
            </w:r>
          </w:p>
        </w:tc>
        <w:tc>
          <w:tcPr>
            <w:tcW w:w="1705" w:type="dxa"/>
            <w:vAlign w:val="center"/>
          </w:tcPr>
          <w:p w14:paraId="50424E5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2.31</w:t>
            </w:r>
          </w:p>
        </w:tc>
      </w:tr>
      <w:tr w14:paraId="7BB096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732753E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483.1866</w:t>
            </w:r>
          </w:p>
        </w:tc>
        <w:tc>
          <w:tcPr>
            <w:tcW w:w="1239" w:type="dxa"/>
            <w:vAlign w:val="center"/>
          </w:tcPr>
          <w:p w14:paraId="647C261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510</w:t>
            </w:r>
          </w:p>
        </w:tc>
        <w:tc>
          <w:tcPr>
            <w:tcW w:w="2169" w:type="dxa"/>
            <w:vAlign w:val="center"/>
          </w:tcPr>
          <w:p w14:paraId="77D9FC5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8.781861</w:t>
            </w:r>
          </w:p>
        </w:tc>
        <w:tc>
          <w:tcPr>
            <w:tcW w:w="1705" w:type="dxa"/>
            <w:vAlign w:val="center"/>
          </w:tcPr>
          <w:p w14:paraId="3283490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9.24</w:t>
            </w:r>
          </w:p>
        </w:tc>
        <w:tc>
          <w:tcPr>
            <w:tcW w:w="1705" w:type="dxa"/>
            <w:vAlign w:val="center"/>
          </w:tcPr>
          <w:p w14:paraId="0460306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2.31</w:t>
            </w:r>
          </w:p>
        </w:tc>
      </w:tr>
      <w:tr w14:paraId="3A57C0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578A8D3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483.1866</w:t>
            </w:r>
          </w:p>
        </w:tc>
        <w:tc>
          <w:tcPr>
            <w:tcW w:w="1239" w:type="dxa"/>
            <w:vAlign w:val="center"/>
          </w:tcPr>
          <w:p w14:paraId="177C07C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540</w:t>
            </w:r>
          </w:p>
        </w:tc>
        <w:tc>
          <w:tcPr>
            <w:tcW w:w="2169" w:type="dxa"/>
            <w:vAlign w:val="center"/>
          </w:tcPr>
          <w:p w14:paraId="48C0ACC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8.781861</w:t>
            </w:r>
          </w:p>
        </w:tc>
        <w:tc>
          <w:tcPr>
            <w:tcW w:w="1705" w:type="dxa"/>
            <w:vAlign w:val="center"/>
          </w:tcPr>
          <w:p w14:paraId="7661386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9.24</w:t>
            </w:r>
          </w:p>
        </w:tc>
        <w:tc>
          <w:tcPr>
            <w:tcW w:w="1705" w:type="dxa"/>
            <w:vAlign w:val="center"/>
          </w:tcPr>
          <w:p w14:paraId="52864F2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2.31</w:t>
            </w:r>
          </w:p>
        </w:tc>
      </w:tr>
      <w:tr w14:paraId="073DA9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6C96C7E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483.1866</w:t>
            </w:r>
          </w:p>
        </w:tc>
        <w:tc>
          <w:tcPr>
            <w:tcW w:w="1239" w:type="dxa"/>
            <w:vAlign w:val="center"/>
          </w:tcPr>
          <w:p w14:paraId="10CF07F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570</w:t>
            </w:r>
          </w:p>
        </w:tc>
        <w:tc>
          <w:tcPr>
            <w:tcW w:w="2169" w:type="dxa"/>
            <w:vAlign w:val="center"/>
          </w:tcPr>
          <w:p w14:paraId="3938923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8.781861</w:t>
            </w:r>
          </w:p>
        </w:tc>
        <w:tc>
          <w:tcPr>
            <w:tcW w:w="1705" w:type="dxa"/>
            <w:vAlign w:val="center"/>
          </w:tcPr>
          <w:p w14:paraId="4B14FC8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9.24</w:t>
            </w:r>
          </w:p>
        </w:tc>
        <w:tc>
          <w:tcPr>
            <w:tcW w:w="1705" w:type="dxa"/>
            <w:vAlign w:val="center"/>
          </w:tcPr>
          <w:p w14:paraId="2C81D56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2.31</w:t>
            </w:r>
          </w:p>
        </w:tc>
      </w:tr>
      <w:tr w14:paraId="6A42B6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05588BB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483.1866</w:t>
            </w:r>
          </w:p>
        </w:tc>
        <w:tc>
          <w:tcPr>
            <w:tcW w:w="1239" w:type="dxa"/>
            <w:vAlign w:val="center"/>
          </w:tcPr>
          <w:p w14:paraId="38F78FC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600</w:t>
            </w:r>
          </w:p>
        </w:tc>
        <w:tc>
          <w:tcPr>
            <w:tcW w:w="2169" w:type="dxa"/>
            <w:vAlign w:val="center"/>
          </w:tcPr>
          <w:p w14:paraId="4AC9666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8.781861</w:t>
            </w:r>
          </w:p>
        </w:tc>
        <w:tc>
          <w:tcPr>
            <w:tcW w:w="1705" w:type="dxa"/>
            <w:vAlign w:val="center"/>
          </w:tcPr>
          <w:p w14:paraId="6988842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9.24</w:t>
            </w:r>
          </w:p>
        </w:tc>
        <w:tc>
          <w:tcPr>
            <w:tcW w:w="1705" w:type="dxa"/>
            <w:vAlign w:val="center"/>
          </w:tcPr>
          <w:p w14:paraId="4EDE54F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2.31</w:t>
            </w:r>
          </w:p>
        </w:tc>
      </w:tr>
    </w:tbl>
    <w:p w14:paraId="615CE7CD">
      <w:pPr>
        <w:spacing w:line="360" w:lineRule="auto"/>
        <w:jc w:val="center"/>
        <w:rPr>
          <w:rFonts w:eastAsiaTheme="minorEastAsia"/>
          <w:sz w:val="24"/>
          <w:highlight w:val="none"/>
        </w:rPr>
      </w:pPr>
      <w:r>
        <w:rPr>
          <w:rFonts w:hint="eastAsia" w:eastAsiaTheme="minorEastAsia"/>
          <w:sz w:val="24"/>
          <w:highlight w:val="none"/>
        </w:rPr>
        <w:drawing>
          <wp:inline distT="0" distB="0" distL="0" distR="0">
            <wp:extent cx="5135245" cy="2593340"/>
            <wp:effectExtent l="3175" t="3175" r="5080" b="13335"/>
            <wp:docPr id="473"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65"/>
                    <pic:cNvPicPr>
                      <a:picLocks noChangeAspect="1" noChangeArrowheads="1"/>
                    </pic:cNvPicPr>
                  </pic:nvPicPr>
                  <pic:blipFill>
                    <a:blip r:embed="rId109"/>
                    <a:srcRect/>
                    <a:stretch>
                      <a:fillRect/>
                    </a:stretch>
                  </pic:blipFill>
                  <pic:spPr>
                    <a:xfrm>
                      <a:off x="0" y="0"/>
                      <a:ext cx="5138871" cy="2595413"/>
                    </a:xfrm>
                    <a:prstGeom prst="rect">
                      <a:avLst/>
                    </a:prstGeom>
                    <a:noFill/>
                    <a:ln w="9525">
                      <a:noFill/>
                      <a:miter lim="800000"/>
                      <a:headEnd/>
                      <a:tailEnd/>
                    </a:ln>
                    <a:scene3d>
                      <a:camera prst="orthographicFront"/>
                      <a:lightRig rig="threePt" dir="t"/>
                    </a:scene3d>
                    <a:sp3d contourW="6350"/>
                  </pic:spPr>
                </pic:pic>
              </a:graphicData>
            </a:graphic>
          </wp:inline>
        </w:drawing>
      </w:r>
    </w:p>
    <w:p w14:paraId="7EE2E54E">
      <w:pPr>
        <w:spacing w:line="360" w:lineRule="auto"/>
        <w:jc w:val="center"/>
        <w:rPr>
          <w:rFonts w:eastAsiaTheme="minorEastAsia"/>
          <w:b/>
          <w:sz w:val="24"/>
          <w:highlight w:val="none"/>
        </w:rPr>
      </w:pPr>
      <w:r>
        <w:rPr>
          <w:rFonts w:hint="eastAsia" w:eastAsiaTheme="minorEastAsia"/>
          <w:b/>
          <w:sz w:val="24"/>
          <w:highlight w:val="none"/>
        </w:rPr>
        <w:t>图5-2-19 刘家村一氧化碳</w:t>
      </w:r>
      <w:r>
        <w:rPr>
          <w:rFonts w:eastAsiaTheme="minorEastAsia"/>
          <w:b/>
          <w:sz w:val="24"/>
          <w:highlight w:val="none"/>
        </w:rPr>
        <w:t>下风向距离浓度曲线图</w:t>
      </w:r>
    </w:p>
    <w:p w14:paraId="5C74F367">
      <w:pPr>
        <w:spacing w:line="360" w:lineRule="auto"/>
        <w:ind w:firstLine="480" w:firstLineChars="200"/>
        <w:rPr>
          <w:rFonts w:eastAsiaTheme="minorEastAsia"/>
          <w:sz w:val="24"/>
          <w:highlight w:val="none"/>
        </w:rPr>
      </w:pPr>
      <w:r>
        <w:rPr>
          <w:rFonts w:hint="eastAsia" w:eastAsiaTheme="minorEastAsia"/>
          <w:sz w:val="24"/>
          <w:highlight w:val="none"/>
        </w:rPr>
        <w:t>一氧化碳在刘家村的大气终点浓度2(PAC-2)是95mg/m</w:t>
      </w:r>
      <w:r>
        <w:rPr>
          <w:rFonts w:hint="eastAsia" w:eastAsiaTheme="minorEastAsia"/>
          <w:sz w:val="24"/>
          <w:highlight w:val="none"/>
          <w:vertAlign w:val="superscript"/>
        </w:rPr>
        <w:t>3</w:t>
      </w:r>
      <w:r>
        <w:rPr>
          <w:rFonts w:hint="eastAsia" w:eastAsiaTheme="minorEastAsia"/>
          <w:sz w:val="24"/>
          <w:highlight w:val="none"/>
        </w:rPr>
        <w:t>，第一个达到的时间是--秒，持续了--秒；大气终点浓度1(PAC-3)是380mg/m</w:t>
      </w:r>
      <w:r>
        <w:rPr>
          <w:rFonts w:hint="eastAsia" w:eastAsiaTheme="minorEastAsia"/>
          <w:sz w:val="24"/>
          <w:highlight w:val="none"/>
          <w:vertAlign w:val="superscript"/>
        </w:rPr>
        <w:t>3</w:t>
      </w:r>
      <w:r>
        <w:rPr>
          <w:rFonts w:hint="eastAsia" w:eastAsiaTheme="minorEastAsia"/>
          <w:sz w:val="24"/>
          <w:highlight w:val="none"/>
        </w:rPr>
        <w:t>，第一个达到的时间是--秒，持续了--秒；敏感点最大浓度是</w:t>
      </w:r>
      <w:r>
        <w:rPr>
          <w:rFonts w:eastAsiaTheme="minorEastAsia"/>
          <w:sz w:val="24"/>
          <w:highlight w:val="none"/>
        </w:rPr>
        <w:t>8.781861</w:t>
      </w:r>
      <w:r>
        <w:rPr>
          <w:rFonts w:hint="eastAsia" w:eastAsiaTheme="minorEastAsia"/>
          <w:sz w:val="24"/>
          <w:highlight w:val="none"/>
        </w:rPr>
        <w:t>mg/m</w:t>
      </w:r>
      <w:r>
        <w:rPr>
          <w:rFonts w:hint="eastAsia" w:eastAsiaTheme="minorEastAsia"/>
          <w:sz w:val="24"/>
          <w:highlight w:val="none"/>
          <w:vertAlign w:val="superscript"/>
        </w:rPr>
        <w:t>3</w:t>
      </w:r>
      <w:r>
        <w:rPr>
          <w:rFonts w:hint="eastAsia" w:eastAsiaTheme="minorEastAsia"/>
          <w:sz w:val="24"/>
          <w:highlight w:val="none"/>
        </w:rPr>
        <w:t>；时间累积浓度为：26.35mg/m</w:t>
      </w:r>
      <w:r>
        <w:rPr>
          <w:rFonts w:hint="eastAsia" w:eastAsiaTheme="minorEastAsia"/>
          <w:sz w:val="24"/>
          <w:highlight w:val="none"/>
          <w:vertAlign w:val="superscript"/>
        </w:rPr>
        <w:t>3</w:t>
      </w:r>
      <w:r>
        <w:rPr>
          <w:rFonts w:hint="eastAsia" w:eastAsiaTheme="minorEastAsia"/>
          <w:sz w:val="24"/>
          <w:highlight w:val="none"/>
        </w:rPr>
        <w:t>。</w:t>
      </w:r>
    </w:p>
    <w:p w14:paraId="72399BF6">
      <w:pPr>
        <w:spacing w:line="360" w:lineRule="auto"/>
        <w:jc w:val="center"/>
        <w:rPr>
          <w:rFonts w:eastAsiaTheme="minorEastAsia"/>
          <w:b/>
          <w:sz w:val="24"/>
          <w:highlight w:val="none"/>
        </w:rPr>
      </w:pPr>
    </w:p>
    <w:p w14:paraId="2BACAF69">
      <w:pPr>
        <w:spacing w:line="360" w:lineRule="auto"/>
        <w:jc w:val="center"/>
        <w:rPr>
          <w:rFonts w:eastAsiaTheme="minorEastAsia"/>
          <w:b/>
          <w:sz w:val="24"/>
          <w:highlight w:val="none"/>
        </w:rPr>
      </w:pPr>
    </w:p>
    <w:p w14:paraId="2F4200EE">
      <w:pPr>
        <w:spacing w:line="360" w:lineRule="auto"/>
        <w:jc w:val="center"/>
        <w:rPr>
          <w:rFonts w:eastAsiaTheme="minorEastAsia"/>
          <w:b/>
          <w:sz w:val="24"/>
          <w:highlight w:val="none"/>
        </w:rPr>
      </w:pPr>
    </w:p>
    <w:p w14:paraId="24DF0910">
      <w:pPr>
        <w:spacing w:line="360" w:lineRule="auto"/>
        <w:jc w:val="center"/>
        <w:rPr>
          <w:rFonts w:eastAsiaTheme="minorEastAsia"/>
          <w:b/>
          <w:sz w:val="24"/>
          <w:highlight w:val="none"/>
        </w:rPr>
      </w:pPr>
      <w:r>
        <w:rPr>
          <w:rFonts w:hint="eastAsia" w:eastAsiaTheme="minorEastAsia"/>
          <w:b/>
          <w:sz w:val="24"/>
          <w:highlight w:val="none"/>
        </w:rPr>
        <w:t>表5-2-46 一氧化碳在香悦馨领域的高峰轴线浓度表</w:t>
      </w:r>
    </w:p>
    <w:tbl>
      <w:tblPr>
        <w:tblStyle w:val="46"/>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239"/>
        <w:gridCol w:w="2169"/>
        <w:gridCol w:w="1705"/>
        <w:gridCol w:w="1705"/>
      </w:tblGrid>
      <w:tr w14:paraId="382092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62C45E1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下风向距离（m）</w:t>
            </w:r>
          </w:p>
        </w:tc>
        <w:tc>
          <w:tcPr>
            <w:tcW w:w="1239" w:type="dxa"/>
            <w:vAlign w:val="center"/>
          </w:tcPr>
          <w:p w14:paraId="40E54BC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时间（秒）</w:t>
            </w:r>
          </w:p>
        </w:tc>
        <w:tc>
          <w:tcPr>
            <w:tcW w:w="2169" w:type="dxa"/>
            <w:vAlign w:val="center"/>
          </w:tcPr>
          <w:p w14:paraId="597F2B2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浓度（mg/m3）</w:t>
            </w:r>
          </w:p>
        </w:tc>
        <w:tc>
          <w:tcPr>
            <w:tcW w:w="1705" w:type="dxa"/>
            <w:vAlign w:val="center"/>
          </w:tcPr>
          <w:p w14:paraId="014631D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PAC-2（%）</w:t>
            </w:r>
          </w:p>
        </w:tc>
        <w:tc>
          <w:tcPr>
            <w:tcW w:w="1705" w:type="dxa"/>
            <w:vAlign w:val="center"/>
          </w:tcPr>
          <w:p w14:paraId="4B43FE4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PAC-3（%）</w:t>
            </w:r>
          </w:p>
        </w:tc>
      </w:tr>
      <w:tr w14:paraId="50DE46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497135D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891.7141</w:t>
            </w:r>
          </w:p>
        </w:tc>
        <w:tc>
          <w:tcPr>
            <w:tcW w:w="1239" w:type="dxa"/>
            <w:vAlign w:val="center"/>
          </w:tcPr>
          <w:p w14:paraId="0819350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3</w:t>
            </w:r>
          </w:p>
        </w:tc>
        <w:tc>
          <w:tcPr>
            <w:tcW w:w="2169" w:type="dxa"/>
            <w:vAlign w:val="center"/>
          </w:tcPr>
          <w:p w14:paraId="476CB12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0.0002516848</w:t>
            </w:r>
          </w:p>
        </w:tc>
        <w:tc>
          <w:tcPr>
            <w:tcW w:w="1705" w:type="dxa"/>
            <w:vAlign w:val="center"/>
          </w:tcPr>
          <w:p w14:paraId="6A9332D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c>
          <w:tcPr>
            <w:tcW w:w="1705" w:type="dxa"/>
            <w:vAlign w:val="center"/>
          </w:tcPr>
          <w:p w14:paraId="41A04C5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r>
      <w:tr w14:paraId="4180FF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6D5BFE2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891.7141</w:t>
            </w:r>
          </w:p>
        </w:tc>
        <w:tc>
          <w:tcPr>
            <w:tcW w:w="1239" w:type="dxa"/>
            <w:vAlign w:val="center"/>
          </w:tcPr>
          <w:p w14:paraId="06708EE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6</w:t>
            </w:r>
          </w:p>
        </w:tc>
        <w:tc>
          <w:tcPr>
            <w:tcW w:w="2169" w:type="dxa"/>
            <w:vAlign w:val="center"/>
          </w:tcPr>
          <w:p w14:paraId="476368F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0.000386794</w:t>
            </w:r>
          </w:p>
        </w:tc>
        <w:tc>
          <w:tcPr>
            <w:tcW w:w="1705" w:type="dxa"/>
            <w:vAlign w:val="center"/>
          </w:tcPr>
          <w:p w14:paraId="03789C2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c>
          <w:tcPr>
            <w:tcW w:w="1705" w:type="dxa"/>
            <w:vAlign w:val="center"/>
          </w:tcPr>
          <w:p w14:paraId="7B95E8B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r>
      <w:tr w14:paraId="41E698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677B63F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891.7141</w:t>
            </w:r>
          </w:p>
        </w:tc>
        <w:tc>
          <w:tcPr>
            <w:tcW w:w="1239" w:type="dxa"/>
            <w:vAlign w:val="center"/>
          </w:tcPr>
          <w:p w14:paraId="0631835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12</w:t>
            </w:r>
          </w:p>
        </w:tc>
        <w:tc>
          <w:tcPr>
            <w:tcW w:w="2169" w:type="dxa"/>
            <w:vAlign w:val="center"/>
          </w:tcPr>
          <w:p w14:paraId="1410C5C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0.0006768981</w:t>
            </w:r>
          </w:p>
        </w:tc>
        <w:tc>
          <w:tcPr>
            <w:tcW w:w="1705" w:type="dxa"/>
            <w:vAlign w:val="center"/>
          </w:tcPr>
          <w:p w14:paraId="1E01EAF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c>
          <w:tcPr>
            <w:tcW w:w="1705" w:type="dxa"/>
            <w:vAlign w:val="center"/>
          </w:tcPr>
          <w:p w14:paraId="24EA301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r>
      <w:tr w14:paraId="7100E4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254194B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891.7141</w:t>
            </w:r>
          </w:p>
        </w:tc>
        <w:tc>
          <w:tcPr>
            <w:tcW w:w="1239" w:type="dxa"/>
            <w:vAlign w:val="center"/>
          </w:tcPr>
          <w:p w14:paraId="6931883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18</w:t>
            </w:r>
          </w:p>
        </w:tc>
        <w:tc>
          <w:tcPr>
            <w:tcW w:w="2169" w:type="dxa"/>
            <w:vAlign w:val="center"/>
          </w:tcPr>
          <w:p w14:paraId="65666FD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0.0009954362</w:t>
            </w:r>
          </w:p>
        </w:tc>
        <w:tc>
          <w:tcPr>
            <w:tcW w:w="1705" w:type="dxa"/>
            <w:vAlign w:val="center"/>
          </w:tcPr>
          <w:p w14:paraId="40C8D24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c>
          <w:tcPr>
            <w:tcW w:w="1705" w:type="dxa"/>
            <w:vAlign w:val="center"/>
          </w:tcPr>
          <w:p w14:paraId="1F62F33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r>
      <w:tr w14:paraId="3531F2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02C95AE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891.7141</w:t>
            </w:r>
          </w:p>
        </w:tc>
        <w:tc>
          <w:tcPr>
            <w:tcW w:w="1239" w:type="dxa"/>
            <w:vAlign w:val="center"/>
          </w:tcPr>
          <w:p w14:paraId="08A1E73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24</w:t>
            </w:r>
          </w:p>
        </w:tc>
        <w:tc>
          <w:tcPr>
            <w:tcW w:w="2169" w:type="dxa"/>
            <w:vAlign w:val="center"/>
          </w:tcPr>
          <w:p w14:paraId="788B26F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0.001344858</w:t>
            </w:r>
          </w:p>
        </w:tc>
        <w:tc>
          <w:tcPr>
            <w:tcW w:w="1705" w:type="dxa"/>
            <w:vAlign w:val="center"/>
          </w:tcPr>
          <w:p w14:paraId="75AF38B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c>
          <w:tcPr>
            <w:tcW w:w="1705" w:type="dxa"/>
            <w:vAlign w:val="center"/>
          </w:tcPr>
          <w:p w14:paraId="69A987B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r>
      <w:tr w14:paraId="1A4CC5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493168E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891.7141</w:t>
            </w:r>
          </w:p>
        </w:tc>
        <w:tc>
          <w:tcPr>
            <w:tcW w:w="1239" w:type="dxa"/>
            <w:vAlign w:val="center"/>
          </w:tcPr>
          <w:p w14:paraId="24203FE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150</w:t>
            </w:r>
          </w:p>
        </w:tc>
        <w:tc>
          <w:tcPr>
            <w:tcW w:w="2169" w:type="dxa"/>
            <w:vAlign w:val="center"/>
          </w:tcPr>
          <w:p w14:paraId="0C0016F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0.02239395</w:t>
            </w:r>
          </w:p>
        </w:tc>
        <w:tc>
          <w:tcPr>
            <w:tcW w:w="1705" w:type="dxa"/>
            <w:vAlign w:val="center"/>
          </w:tcPr>
          <w:p w14:paraId="17AAC77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0.02</w:t>
            </w:r>
          </w:p>
        </w:tc>
        <w:tc>
          <w:tcPr>
            <w:tcW w:w="1705" w:type="dxa"/>
            <w:vAlign w:val="center"/>
          </w:tcPr>
          <w:p w14:paraId="5A3FD30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0.01</w:t>
            </w:r>
          </w:p>
        </w:tc>
      </w:tr>
      <w:tr w14:paraId="1966C9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4658847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891.7141</w:t>
            </w:r>
          </w:p>
        </w:tc>
        <w:tc>
          <w:tcPr>
            <w:tcW w:w="1239" w:type="dxa"/>
            <w:vAlign w:val="center"/>
          </w:tcPr>
          <w:p w14:paraId="402CFAC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330</w:t>
            </w:r>
          </w:p>
        </w:tc>
        <w:tc>
          <w:tcPr>
            <w:tcW w:w="2169" w:type="dxa"/>
            <w:vAlign w:val="center"/>
          </w:tcPr>
          <w:p w14:paraId="2A5D601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0.19417</w:t>
            </w:r>
          </w:p>
        </w:tc>
        <w:tc>
          <w:tcPr>
            <w:tcW w:w="1705" w:type="dxa"/>
            <w:vAlign w:val="center"/>
          </w:tcPr>
          <w:p w14:paraId="7DC8787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0.2</w:t>
            </w:r>
          </w:p>
        </w:tc>
        <w:tc>
          <w:tcPr>
            <w:tcW w:w="1705" w:type="dxa"/>
            <w:vAlign w:val="center"/>
          </w:tcPr>
          <w:p w14:paraId="71F3684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0.05</w:t>
            </w:r>
          </w:p>
        </w:tc>
      </w:tr>
      <w:tr w14:paraId="78E33A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08AED95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891.7141</w:t>
            </w:r>
          </w:p>
        </w:tc>
        <w:tc>
          <w:tcPr>
            <w:tcW w:w="1239" w:type="dxa"/>
            <w:vAlign w:val="center"/>
          </w:tcPr>
          <w:p w14:paraId="5A8817E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360</w:t>
            </w:r>
          </w:p>
        </w:tc>
        <w:tc>
          <w:tcPr>
            <w:tcW w:w="2169" w:type="dxa"/>
            <w:vAlign w:val="center"/>
          </w:tcPr>
          <w:p w14:paraId="12DB4E0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0.2558843</w:t>
            </w:r>
          </w:p>
        </w:tc>
        <w:tc>
          <w:tcPr>
            <w:tcW w:w="1705" w:type="dxa"/>
            <w:vAlign w:val="center"/>
          </w:tcPr>
          <w:p w14:paraId="67A51BD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0.27</w:t>
            </w:r>
          </w:p>
        </w:tc>
        <w:tc>
          <w:tcPr>
            <w:tcW w:w="1705" w:type="dxa"/>
            <w:vAlign w:val="center"/>
          </w:tcPr>
          <w:p w14:paraId="12BED2C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0.07</w:t>
            </w:r>
          </w:p>
        </w:tc>
      </w:tr>
      <w:tr w14:paraId="728111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375AB2A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891.7141</w:t>
            </w:r>
          </w:p>
        </w:tc>
        <w:tc>
          <w:tcPr>
            <w:tcW w:w="1239" w:type="dxa"/>
            <w:vAlign w:val="center"/>
          </w:tcPr>
          <w:p w14:paraId="120661B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390</w:t>
            </w:r>
          </w:p>
        </w:tc>
        <w:tc>
          <w:tcPr>
            <w:tcW w:w="2169" w:type="dxa"/>
            <w:vAlign w:val="center"/>
          </w:tcPr>
          <w:p w14:paraId="3FC44F0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0.33031</w:t>
            </w:r>
          </w:p>
        </w:tc>
        <w:tc>
          <w:tcPr>
            <w:tcW w:w="1705" w:type="dxa"/>
            <w:vAlign w:val="center"/>
          </w:tcPr>
          <w:p w14:paraId="447369D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0.35</w:t>
            </w:r>
          </w:p>
        </w:tc>
        <w:tc>
          <w:tcPr>
            <w:tcW w:w="1705" w:type="dxa"/>
            <w:vAlign w:val="center"/>
          </w:tcPr>
          <w:p w14:paraId="1A8703A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0.09</w:t>
            </w:r>
          </w:p>
        </w:tc>
      </w:tr>
      <w:tr w14:paraId="44E0A9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7EF6DEC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891.7141</w:t>
            </w:r>
          </w:p>
        </w:tc>
        <w:tc>
          <w:tcPr>
            <w:tcW w:w="1239" w:type="dxa"/>
            <w:vAlign w:val="center"/>
          </w:tcPr>
          <w:p w14:paraId="0F9241C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450</w:t>
            </w:r>
          </w:p>
        </w:tc>
        <w:tc>
          <w:tcPr>
            <w:tcW w:w="2169" w:type="dxa"/>
            <w:vAlign w:val="center"/>
          </w:tcPr>
          <w:p w14:paraId="25BC685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0.5186295</w:t>
            </w:r>
          </w:p>
        </w:tc>
        <w:tc>
          <w:tcPr>
            <w:tcW w:w="1705" w:type="dxa"/>
            <w:vAlign w:val="center"/>
          </w:tcPr>
          <w:p w14:paraId="38E964B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0.55</w:t>
            </w:r>
          </w:p>
        </w:tc>
        <w:tc>
          <w:tcPr>
            <w:tcW w:w="1705" w:type="dxa"/>
            <w:vAlign w:val="center"/>
          </w:tcPr>
          <w:p w14:paraId="2D1A58A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0.14</w:t>
            </w:r>
          </w:p>
        </w:tc>
      </w:tr>
      <w:tr w14:paraId="5470AE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28E7917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891.7141</w:t>
            </w:r>
          </w:p>
        </w:tc>
        <w:tc>
          <w:tcPr>
            <w:tcW w:w="1239" w:type="dxa"/>
            <w:vAlign w:val="center"/>
          </w:tcPr>
          <w:p w14:paraId="2D7DB96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480</w:t>
            </w:r>
          </w:p>
        </w:tc>
        <w:tc>
          <w:tcPr>
            <w:tcW w:w="2169" w:type="dxa"/>
            <w:vAlign w:val="center"/>
          </w:tcPr>
          <w:p w14:paraId="253CE49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0.6316069</w:t>
            </w:r>
          </w:p>
        </w:tc>
        <w:tc>
          <w:tcPr>
            <w:tcW w:w="1705" w:type="dxa"/>
            <w:vAlign w:val="center"/>
          </w:tcPr>
          <w:p w14:paraId="40E2644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0.66</w:t>
            </w:r>
          </w:p>
        </w:tc>
        <w:tc>
          <w:tcPr>
            <w:tcW w:w="1705" w:type="dxa"/>
            <w:vAlign w:val="center"/>
          </w:tcPr>
          <w:p w14:paraId="5FA384D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0.17</w:t>
            </w:r>
          </w:p>
        </w:tc>
      </w:tr>
      <w:tr w14:paraId="6780E5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4A058C5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891.7141</w:t>
            </w:r>
          </w:p>
        </w:tc>
        <w:tc>
          <w:tcPr>
            <w:tcW w:w="1239" w:type="dxa"/>
            <w:vAlign w:val="center"/>
          </w:tcPr>
          <w:p w14:paraId="4EE383B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510</w:t>
            </w:r>
          </w:p>
        </w:tc>
        <w:tc>
          <w:tcPr>
            <w:tcW w:w="2169" w:type="dxa"/>
            <w:vAlign w:val="center"/>
          </w:tcPr>
          <w:p w14:paraId="1E20386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0.7553438</w:t>
            </w:r>
          </w:p>
        </w:tc>
        <w:tc>
          <w:tcPr>
            <w:tcW w:w="1705" w:type="dxa"/>
            <w:vAlign w:val="center"/>
          </w:tcPr>
          <w:p w14:paraId="2E3A76C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0.8</w:t>
            </w:r>
          </w:p>
        </w:tc>
        <w:tc>
          <w:tcPr>
            <w:tcW w:w="1705" w:type="dxa"/>
            <w:vAlign w:val="center"/>
          </w:tcPr>
          <w:p w14:paraId="564DBAF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0.2</w:t>
            </w:r>
          </w:p>
        </w:tc>
      </w:tr>
      <w:tr w14:paraId="266D40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7CE55C7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891.7141</w:t>
            </w:r>
          </w:p>
        </w:tc>
        <w:tc>
          <w:tcPr>
            <w:tcW w:w="1239" w:type="dxa"/>
            <w:vAlign w:val="center"/>
          </w:tcPr>
          <w:p w14:paraId="42F8223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540</w:t>
            </w:r>
          </w:p>
        </w:tc>
        <w:tc>
          <w:tcPr>
            <w:tcW w:w="2169" w:type="dxa"/>
            <w:vAlign w:val="center"/>
          </w:tcPr>
          <w:p w14:paraId="00A8599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0.8876407</w:t>
            </w:r>
          </w:p>
        </w:tc>
        <w:tc>
          <w:tcPr>
            <w:tcW w:w="1705" w:type="dxa"/>
            <w:vAlign w:val="center"/>
          </w:tcPr>
          <w:p w14:paraId="6502A55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0.93</w:t>
            </w:r>
          </w:p>
        </w:tc>
        <w:tc>
          <w:tcPr>
            <w:tcW w:w="1705" w:type="dxa"/>
            <w:vAlign w:val="center"/>
          </w:tcPr>
          <w:p w14:paraId="3600539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0.23</w:t>
            </w:r>
          </w:p>
        </w:tc>
      </w:tr>
      <w:tr w14:paraId="068FEC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5B8C62F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891.7141</w:t>
            </w:r>
          </w:p>
        </w:tc>
        <w:tc>
          <w:tcPr>
            <w:tcW w:w="1239" w:type="dxa"/>
            <w:vAlign w:val="center"/>
          </w:tcPr>
          <w:p w14:paraId="255A2ED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570</w:t>
            </w:r>
          </w:p>
        </w:tc>
        <w:tc>
          <w:tcPr>
            <w:tcW w:w="2169" w:type="dxa"/>
            <w:vAlign w:val="center"/>
          </w:tcPr>
          <w:p w14:paraId="54CBD54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1.025724</w:t>
            </w:r>
          </w:p>
        </w:tc>
        <w:tc>
          <w:tcPr>
            <w:tcW w:w="1705" w:type="dxa"/>
            <w:vAlign w:val="center"/>
          </w:tcPr>
          <w:p w14:paraId="31285F4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1.08</w:t>
            </w:r>
          </w:p>
        </w:tc>
        <w:tc>
          <w:tcPr>
            <w:tcW w:w="1705" w:type="dxa"/>
            <w:vAlign w:val="center"/>
          </w:tcPr>
          <w:p w14:paraId="4F34F18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0.27</w:t>
            </w:r>
          </w:p>
        </w:tc>
      </w:tr>
      <w:tr w14:paraId="217FDC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2C1785D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891.7141</w:t>
            </w:r>
          </w:p>
        </w:tc>
        <w:tc>
          <w:tcPr>
            <w:tcW w:w="1239" w:type="dxa"/>
            <w:vAlign w:val="center"/>
          </w:tcPr>
          <w:p w14:paraId="4AB6BE6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600</w:t>
            </w:r>
          </w:p>
        </w:tc>
        <w:tc>
          <w:tcPr>
            <w:tcW w:w="2169" w:type="dxa"/>
            <w:vAlign w:val="center"/>
          </w:tcPr>
          <w:p w14:paraId="5278984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1.166296</w:t>
            </w:r>
          </w:p>
        </w:tc>
        <w:tc>
          <w:tcPr>
            <w:tcW w:w="1705" w:type="dxa"/>
            <w:vAlign w:val="center"/>
          </w:tcPr>
          <w:p w14:paraId="41CA84B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1.23</w:t>
            </w:r>
          </w:p>
        </w:tc>
        <w:tc>
          <w:tcPr>
            <w:tcW w:w="1705" w:type="dxa"/>
            <w:vAlign w:val="center"/>
          </w:tcPr>
          <w:p w14:paraId="5BF5547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0.31</w:t>
            </w:r>
          </w:p>
        </w:tc>
      </w:tr>
    </w:tbl>
    <w:p w14:paraId="72915F27">
      <w:pPr>
        <w:spacing w:line="360" w:lineRule="auto"/>
        <w:jc w:val="center"/>
        <w:rPr>
          <w:rFonts w:eastAsiaTheme="minorEastAsia"/>
          <w:sz w:val="24"/>
          <w:highlight w:val="none"/>
        </w:rPr>
      </w:pPr>
      <w:r>
        <w:rPr>
          <w:rFonts w:hint="eastAsia" w:eastAsiaTheme="minorEastAsia"/>
          <w:sz w:val="24"/>
          <w:highlight w:val="none"/>
        </w:rPr>
        <w:drawing>
          <wp:inline distT="0" distB="0" distL="0" distR="0">
            <wp:extent cx="5170805" cy="2600960"/>
            <wp:effectExtent l="3175" t="3175" r="7620" b="571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noChangeArrowheads="1"/>
                    </pic:cNvPicPr>
                  </pic:nvPicPr>
                  <pic:blipFill>
                    <a:blip r:embed="rId110"/>
                    <a:srcRect/>
                    <a:stretch>
                      <a:fillRect/>
                    </a:stretch>
                  </pic:blipFill>
                  <pic:spPr>
                    <a:xfrm>
                      <a:off x="0" y="0"/>
                      <a:ext cx="5179272" cy="2605489"/>
                    </a:xfrm>
                    <a:prstGeom prst="rect">
                      <a:avLst/>
                    </a:prstGeom>
                    <a:noFill/>
                    <a:ln w="9525">
                      <a:noFill/>
                      <a:miter lim="800000"/>
                      <a:headEnd/>
                      <a:tailEnd/>
                    </a:ln>
                    <a:scene3d>
                      <a:camera prst="orthographicFront"/>
                      <a:lightRig rig="threePt" dir="t"/>
                    </a:scene3d>
                    <a:sp3d contourW="6350"/>
                  </pic:spPr>
                </pic:pic>
              </a:graphicData>
            </a:graphic>
          </wp:inline>
        </w:drawing>
      </w:r>
    </w:p>
    <w:p w14:paraId="027EFB61">
      <w:pPr>
        <w:spacing w:line="360" w:lineRule="auto"/>
        <w:jc w:val="center"/>
        <w:rPr>
          <w:rFonts w:eastAsiaTheme="minorEastAsia"/>
          <w:sz w:val="24"/>
          <w:highlight w:val="none"/>
        </w:rPr>
      </w:pPr>
      <w:r>
        <w:rPr>
          <w:rFonts w:hint="eastAsia" w:eastAsiaTheme="minorEastAsia"/>
          <w:b/>
          <w:sz w:val="24"/>
          <w:highlight w:val="none"/>
        </w:rPr>
        <w:t>图5-2-20 香悦馨领域一氧化碳</w:t>
      </w:r>
      <w:r>
        <w:rPr>
          <w:rFonts w:eastAsiaTheme="minorEastAsia"/>
          <w:b/>
          <w:sz w:val="24"/>
          <w:highlight w:val="none"/>
        </w:rPr>
        <w:t>下风向距离浓度曲线图</w:t>
      </w:r>
    </w:p>
    <w:p w14:paraId="031FA6B0">
      <w:pPr>
        <w:spacing w:line="360" w:lineRule="auto"/>
        <w:ind w:firstLine="480" w:firstLineChars="200"/>
        <w:rPr>
          <w:rFonts w:eastAsiaTheme="minorEastAsia"/>
          <w:sz w:val="24"/>
          <w:highlight w:val="none"/>
        </w:rPr>
      </w:pPr>
      <w:r>
        <w:rPr>
          <w:rFonts w:hint="eastAsia" w:eastAsiaTheme="minorEastAsia"/>
          <w:sz w:val="24"/>
          <w:highlight w:val="none"/>
        </w:rPr>
        <w:t>一氧化碳在香悦馨领域的大气终点浓度2(PAC-2)是95mg/m</w:t>
      </w:r>
      <w:r>
        <w:rPr>
          <w:rFonts w:hint="eastAsia" w:eastAsiaTheme="minorEastAsia"/>
          <w:sz w:val="24"/>
          <w:highlight w:val="none"/>
          <w:vertAlign w:val="superscript"/>
        </w:rPr>
        <w:t>3</w:t>
      </w:r>
      <w:r>
        <w:rPr>
          <w:rFonts w:hint="eastAsia" w:eastAsiaTheme="minorEastAsia"/>
          <w:sz w:val="24"/>
          <w:highlight w:val="none"/>
        </w:rPr>
        <w:t>，第一个达到的时间是--秒，持续了--秒；大气终点浓度1(PAC-3)是380mg/m</w:t>
      </w:r>
      <w:r>
        <w:rPr>
          <w:rFonts w:hint="eastAsia" w:eastAsiaTheme="minorEastAsia"/>
          <w:sz w:val="24"/>
          <w:highlight w:val="none"/>
          <w:vertAlign w:val="superscript"/>
        </w:rPr>
        <w:t>3</w:t>
      </w:r>
      <w:r>
        <w:rPr>
          <w:rFonts w:hint="eastAsia" w:eastAsiaTheme="minorEastAsia"/>
          <w:sz w:val="24"/>
          <w:highlight w:val="none"/>
        </w:rPr>
        <w:t>，第一个达到的时间是--秒，持续了--秒；敏感点最大浓度是</w:t>
      </w:r>
      <w:r>
        <w:rPr>
          <w:rFonts w:eastAsiaTheme="minorEastAsia"/>
          <w:sz w:val="24"/>
          <w:highlight w:val="none"/>
        </w:rPr>
        <w:t>1.166296</w:t>
      </w:r>
      <w:r>
        <w:rPr>
          <w:rFonts w:hint="eastAsia" w:eastAsiaTheme="minorEastAsia"/>
          <w:sz w:val="24"/>
          <w:highlight w:val="none"/>
        </w:rPr>
        <w:t>mg/m</w:t>
      </w:r>
      <w:r>
        <w:rPr>
          <w:rFonts w:hint="eastAsia" w:eastAsiaTheme="minorEastAsia"/>
          <w:sz w:val="24"/>
          <w:highlight w:val="none"/>
          <w:vertAlign w:val="superscript"/>
        </w:rPr>
        <w:t>3</w:t>
      </w:r>
      <w:r>
        <w:rPr>
          <w:rFonts w:hint="eastAsia" w:eastAsiaTheme="minorEastAsia"/>
          <w:sz w:val="24"/>
          <w:highlight w:val="none"/>
        </w:rPr>
        <w:t>；时间累积浓度为：3.32mg/m</w:t>
      </w:r>
      <w:r>
        <w:rPr>
          <w:rFonts w:hint="eastAsia" w:eastAsiaTheme="minorEastAsia"/>
          <w:sz w:val="24"/>
          <w:highlight w:val="none"/>
          <w:vertAlign w:val="superscript"/>
        </w:rPr>
        <w:t>3</w:t>
      </w:r>
      <w:r>
        <w:rPr>
          <w:rFonts w:hint="eastAsia" w:eastAsiaTheme="minorEastAsia"/>
          <w:sz w:val="24"/>
          <w:highlight w:val="none"/>
        </w:rPr>
        <w:t>。</w:t>
      </w:r>
    </w:p>
    <w:p w14:paraId="4A9B6ABE">
      <w:pPr>
        <w:spacing w:line="360" w:lineRule="auto"/>
        <w:jc w:val="center"/>
        <w:rPr>
          <w:rFonts w:eastAsiaTheme="minorEastAsia"/>
          <w:b/>
          <w:sz w:val="24"/>
          <w:highlight w:val="none"/>
        </w:rPr>
      </w:pPr>
    </w:p>
    <w:p w14:paraId="4130FE4A">
      <w:pPr>
        <w:spacing w:line="360" w:lineRule="auto"/>
        <w:jc w:val="center"/>
        <w:rPr>
          <w:rFonts w:eastAsiaTheme="minorEastAsia"/>
          <w:b/>
          <w:sz w:val="24"/>
          <w:highlight w:val="none"/>
        </w:rPr>
      </w:pPr>
    </w:p>
    <w:p w14:paraId="1CD04BFD">
      <w:pPr>
        <w:spacing w:line="360" w:lineRule="auto"/>
        <w:jc w:val="center"/>
        <w:rPr>
          <w:rFonts w:eastAsiaTheme="minorEastAsia"/>
          <w:b/>
          <w:sz w:val="24"/>
          <w:highlight w:val="none"/>
        </w:rPr>
      </w:pPr>
    </w:p>
    <w:p w14:paraId="7D10F1A1">
      <w:pPr>
        <w:spacing w:line="360" w:lineRule="auto"/>
        <w:jc w:val="center"/>
        <w:rPr>
          <w:rFonts w:eastAsiaTheme="minorEastAsia"/>
          <w:b/>
          <w:sz w:val="24"/>
          <w:highlight w:val="none"/>
        </w:rPr>
      </w:pPr>
      <w:r>
        <w:rPr>
          <w:rFonts w:hint="eastAsia" w:eastAsiaTheme="minorEastAsia"/>
          <w:b/>
          <w:sz w:val="24"/>
          <w:highlight w:val="none"/>
        </w:rPr>
        <w:t>表5-2-47 一氧化碳在香悦蓝天下的高峰轴线浓度表</w:t>
      </w:r>
    </w:p>
    <w:tbl>
      <w:tblPr>
        <w:tblStyle w:val="46"/>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239"/>
        <w:gridCol w:w="2169"/>
        <w:gridCol w:w="1705"/>
        <w:gridCol w:w="1705"/>
      </w:tblGrid>
      <w:tr w14:paraId="1C30E2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6049FBE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下风向距离（m）</w:t>
            </w:r>
          </w:p>
        </w:tc>
        <w:tc>
          <w:tcPr>
            <w:tcW w:w="1239" w:type="dxa"/>
            <w:vAlign w:val="center"/>
          </w:tcPr>
          <w:p w14:paraId="21E2275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时间（秒）</w:t>
            </w:r>
          </w:p>
        </w:tc>
        <w:tc>
          <w:tcPr>
            <w:tcW w:w="2169" w:type="dxa"/>
            <w:vAlign w:val="center"/>
          </w:tcPr>
          <w:p w14:paraId="0DB79E9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浓度（mg/m</w:t>
            </w:r>
            <w:r>
              <w:rPr>
                <w:rFonts w:hint="eastAsia" w:eastAsiaTheme="minorEastAsia"/>
                <w:kern w:val="0"/>
                <w:sz w:val="21"/>
                <w:szCs w:val="21"/>
                <w:highlight w:val="none"/>
                <w:vertAlign w:val="superscript"/>
              </w:rPr>
              <w:t>3</w:t>
            </w:r>
            <w:r>
              <w:rPr>
                <w:rFonts w:hint="eastAsia" w:eastAsiaTheme="minorEastAsia"/>
                <w:kern w:val="0"/>
                <w:sz w:val="21"/>
                <w:szCs w:val="21"/>
                <w:highlight w:val="none"/>
              </w:rPr>
              <w:t>）</w:t>
            </w:r>
          </w:p>
        </w:tc>
        <w:tc>
          <w:tcPr>
            <w:tcW w:w="1705" w:type="dxa"/>
            <w:vAlign w:val="center"/>
          </w:tcPr>
          <w:p w14:paraId="2C4E608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PAC-2（%）</w:t>
            </w:r>
          </w:p>
        </w:tc>
        <w:tc>
          <w:tcPr>
            <w:tcW w:w="1705" w:type="dxa"/>
            <w:vAlign w:val="center"/>
          </w:tcPr>
          <w:p w14:paraId="1748EC9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PAC-3（%）</w:t>
            </w:r>
          </w:p>
        </w:tc>
      </w:tr>
      <w:tr w14:paraId="4663C7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33E1CD7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1144.263</w:t>
            </w:r>
          </w:p>
        </w:tc>
        <w:tc>
          <w:tcPr>
            <w:tcW w:w="1239" w:type="dxa"/>
            <w:vAlign w:val="center"/>
          </w:tcPr>
          <w:p w14:paraId="698E19D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3</w:t>
            </w:r>
          </w:p>
        </w:tc>
        <w:tc>
          <w:tcPr>
            <w:tcW w:w="2169" w:type="dxa"/>
            <w:vAlign w:val="center"/>
          </w:tcPr>
          <w:p w14:paraId="25676A7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0.0001116622</w:t>
            </w:r>
          </w:p>
        </w:tc>
        <w:tc>
          <w:tcPr>
            <w:tcW w:w="1705" w:type="dxa"/>
            <w:vAlign w:val="center"/>
          </w:tcPr>
          <w:p w14:paraId="472F87E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w:t>
            </w:r>
          </w:p>
        </w:tc>
        <w:tc>
          <w:tcPr>
            <w:tcW w:w="1705" w:type="dxa"/>
            <w:vAlign w:val="center"/>
          </w:tcPr>
          <w:p w14:paraId="00B9BFD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w:t>
            </w:r>
          </w:p>
        </w:tc>
      </w:tr>
      <w:tr w14:paraId="402780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06DA8C1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1144.263</w:t>
            </w:r>
          </w:p>
        </w:tc>
        <w:tc>
          <w:tcPr>
            <w:tcW w:w="1239" w:type="dxa"/>
            <w:vAlign w:val="center"/>
          </w:tcPr>
          <w:p w14:paraId="4D36080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6</w:t>
            </w:r>
          </w:p>
        </w:tc>
        <w:tc>
          <w:tcPr>
            <w:tcW w:w="2169" w:type="dxa"/>
            <w:vAlign w:val="center"/>
          </w:tcPr>
          <w:p w14:paraId="58529D1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0.0001708467</w:t>
            </w:r>
          </w:p>
        </w:tc>
        <w:tc>
          <w:tcPr>
            <w:tcW w:w="1705" w:type="dxa"/>
            <w:vAlign w:val="center"/>
          </w:tcPr>
          <w:p w14:paraId="3AC3E8C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w:t>
            </w:r>
          </w:p>
        </w:tc>
        <w:tc>
          <w:tcPr>
            <w:tcW w:w="1705" w:type="dxa"/>
            <w:vAlign w:val="center"/>
          </w:tcPr>
          <w:p w14:paraId="67B9BAC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w:t>
            </w:r>
          </w:p>
        </w:tc>
      </w:tr>
      <w:tr w14:paraId="66F62A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48975D4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1144.263</w:t>
            </w:r>
          </w:p>
        </w:tc>
        <w:tc>
          <w:tcPr>
            <w:tcW w:w="1239" w:type="dxa"/>
            <w:vAlign w:val="center"/>
          </w:tcPr>
          <w:p w14:paraId="7F026E7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12</w:t>
            </w:r>
          </w:p>
        </w:tc>
        <w:tc>
          <w:tcPr>
            <w:tcW w:w="2169" w:type="dxa"/>
            <w:vAlign w:val="center"/>
          </w:tcPr>
          <w:p w14:paraId="40BA54F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0.0002963245</w:t>
            </w:r>
          </w:p>
        </w:tc>
        <w:tc>
          <w:tcPr>
            <w:tcW w:w="1705" w:type="dxa"/>
            <w:vAlign w:val="center"/>
          </w:tcPr>
          <w:p w14:paraId="0CD5E04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w:t>
            </w:r>
          </w:p>
        </w:tc>
        <w:tc>
          <w:tcPr>
            <w:tcW w:w="1705" w:type="dxa"/>
            <w:vAlign w:val="center"/>
          </w:tcPr>
          <w:p w14:paraId="264AC02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w:t>
            </w:r>
          </w:p>
        </w:tc>
      </w:tr>
      <w:tr w14:paraId="5C81CF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33BB528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1144.263</w:t>
            </w:r>
          </w:p>
        </w:tc>
        <w:tc>
          <w:tcPr>
            <w:tcW w:w="1239" w:type="dxa"/>
            <w:vAlign w:val="center"/>
          </w:tcPr>
          <w:p w14:paraId="245663F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18</w:t>
            </w:r>
          </w:p>
        </w:tc>
        <w:tc>
          <w:tcPr>
            <w:tcW w:w="2169" w:type="dxa"/>
            <w:vAlign w:val="center"/>
          </w:tcPr>
          <w:p w14:paraId="6E98C5F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0.0004318455</w:t>
            </w:r>
          </w:p>
        </w:tc>
        <w:tc>
          <w:tcPr>
            <w:tcW w:w="1705" w:type="dxa"/>
            <w:vAlign w:val="center"/>
          </w:tcPr>
          <w:p w14:paraId="4599107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w:t>
            </w:r>
          </w:p>
        </w:tc>
        <w:tc>
          <w:tcPr>
            <w:tcW w:w="1705" w:type="dxa"/>
            <w:vAlign w:val="center"/>
          </w:tcPr>
          <w:p w14:paraId="0C2CE2E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w:t>
            </w:r>
          </w:p>
        </w:tc>
      </w:tr>
      <w:tr w14:paraId="5B53FE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7601D7A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1144.263</w:t>
            </w:r>
          </w:p>
        </w:tc>
        <w:tc>
          <w:tcPr>
            <w:tcW w:w="1239" w:type="dxa"/>
            <w:vAlign w:val="center"/>
          </w:tcPr>
          <w:p w14:paraId="4283A7E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24</w:t>
            </w:r>
          </w:p>
        </w:tc>
        <w:tc>
          <w:tcPr>
            <w:tcW w:w="2169" w:type="dxa"/>
            <w:vAlign w:val="center"/>
          </w:tcPr>
          <w:p w14:paraId="0D6C846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0.0005781232</w:t>
            </w:r>
          </w:p>
        </w:tc>
        <w:tc>
          <w:tcPr>
            <w:tcW w:w="1705" w:type="dxa"/>
            <w:vAlign w:val="center"/>
          </w:tcPr>
          <w:p w14:paraId="290BAF2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w:t>
            </w:r>
          </w:p>
        </w:tc>
        <w:tc>
          <w:tcPr>
            <w:tcW w:w="1705" w:type="dxa"/>
            <w:vAlign w:val="center"/>
          </w:tcPr>
          <w:p w14:paraId="68A6524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w:t>
            </w:r>
          </w:p>
        </w:tc>
      </w:tr>
      <w:tr w14:paraId="7719ED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20CF76A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1144.263</w:t>
            </w:r>
          </w:p>
        </w:tc>
        <w:tc>
          <w:tcPr>
            <w:tcW w:w="1239" w:type="dxa"/>
            <w:vAlign w:val="center"/>
          </w:tcPr>
          <w:p w14:paraId="69BB8A5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150</w:t>
            </w:r>
          </w:p>
        </w:tc>
        <w:tc>
          <w:tcPr>
            <w:tcW w:w="2169" w:type="dxa"/>
            <w:vAlign w:val="center"/>
          </w:tcPr>
          <w:p w14:paraId="3917CAB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0.007940123</w:t>
            </w:r>
          </w:p>
        </w:tc>
        <w:tc>
          <w:tcPr>
            <w:tcW w:w="1705" w:type="dxa"/>
            <w:vAlign w:val="center"/>
          </w:tcPr>
          <w:p w14:paraId="219A230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0.01</w:t>
            </w:r>
          </w:p>
        </w:tc>
        <w:tc>
          <w:tcPr>
            <w:tcW w:w="1705" w:type="dxa"/>
            <w:vAlign w:val="center"/>
          </w:tcPr>
          <w:p w14:paraId="6FA351B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w:t>
            </w:r>
          </w:p>
        </w:tc>
      </w:tr>
      <w:tr w14:paraId="6C9C1F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52302B4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1144.263</w:t>
            </w:r>
          </w:p>
        </w:tc>
        <w:tc>
          <w:tcPr>
            <w:tcW w:w="1239" w:type="dxa"/>
            <w:vAlign w:val="center"/>
          </w:tcPr>
          <w:p w14:paraId="262F6ED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330</w:t>
            </w:r>
          </w:p>
        </w:tc>
        <w:tc>
          <w:tcPr>
            <w:tcW w:w="2169" w:type="dxa"/>
            <w:vAlign w:val="center"/>
          </w:tcPr>
          <w:p w14:paraId="11E1D31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0.0586331</w:t>
            </w:r>
          </w:p>
        </w:tc>
        <w:tc>
          <w:tcPr>
            <w:tcW w:w="1705" w:type="dxa"/>
            <w:vAlign w:val="center"/>
          </w:tcPr>
          <w:p w14:paraId="24944C9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0.06</w:t>
            </w:r>
          </w:p>
        </w:tc>
        <w:tc>
          <w:tcPr>
            <w:tcW w:w="1705" w:type="dxa"/>
            <w:vAlign w:val="center"/>
          </w:tcPr>
          <w:p w14:paraId="2907E78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0.02</w:t>
            </w:r>
          </w:p>
        </w:tc>
      </w:tr>
      <w:tr w14:paraId="191BC1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60EB51D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1144.263</w:t>
            </w:r>
          </w:p>
        </w:tc>
        <w:tc>
          <w:tcPr>
            <w:tcW w:w="1239" w:type="dxa"/>
            <w:vAlign w:val="center"/>
          </w:tcPr>
          <w:p w14:paraId="6ADDDF7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360</w:t>
            </w:r>
          </w:p>
        </w:tc>
        <w:tc>
          <w:tcPr>
            <w:tcW w:w="2169" w:type="dxa"/>
            <w:vAlign w:val="center"/>
          </w:tcPr>
          <w:p w14:paraId="62802A8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0.07677112</w:t>
            </w:r>
          </w:p>
        </w:tc>
        <w:tc>
          <w:tcPr>
            <w:tcW w:w="1705" w:type="dxa"/>
            <w:vAlign w:val="center"/>
          </w:tcPr>
          <w:p w14:paraId="3248124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0.08</w:t>
            </w:r>
          </w:p>
        </w:tc>
        <w:tc>
          <w:tcPr>
            <w:tcW w:w="1705" w:type="dxa"/>
            <w:vAlign w:val="center"/>
          </w:tcPr>
          <w:p w14:paraId="1FB5A15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0.02</w:t>
            </w:r>
          </w:p>
        </w:tc>
      </w:tr>
      <w:tr w14:paraId="493B1E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36B9D2C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1144.263</w:t>
            </w:r>
          </w:p>
        </w:tc>
        <w:tc>
          <w:tcPr>
            <w:tcW w:w="1239" w:type="dxa"/>
            <w:vAlign w:val="center"/>
          </w:tcPr>
          <w:p w14:paraId="4A52DB1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390</w:t>
            </w:r>
          </w:p>
        </w:tc>
        <w:tc>
          <w:tcPr>
            <w:tcW w:w="2169" w:type="dxa"/>
            <w:vAlign w:val="center"/>
          </w:tcPr>
          <w:p w14:paraId="02819E5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0.09905947</w:t>
            </w:r>
          </w:p>
        </w:tc>
        <w:tc>
          <w:tcPr>
            <w:tcW w:w="1705" w:type="dxa"/>
            <w:vAlign w:val="center"/>
          </w:tcPr>
          <w:p w14:paraId="00FF523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0.1</w:t>
            </w:r>
          </w:p>
        </w:tc>
        <w:tc>
          <w:tcPr>
            <w:tcW w:w="1705" w:type="dxa"/>
            <w:vAlign w:val="center"/>
          </w:tcPr>
          <w:p w14:paraId="3FE7A48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0.03</w:t>
            </w:r>
          </w:p>
        </w:tc>
      </w:tr>
      <w:tr w14:paraId="5BE622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2E40231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1144.263</w:t>
            </w:r>
          </w:p>
        </w:tc>
        <w:tc>
          <w:tcPr>
            <w:tcW w:w="1239" w:type="dxa"/>
            <w:vAlign w:val="center"/>
          </w:tcPr>
          <w:p w14:paraId="1A08FDB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450</w:t>
            </w:r>
          </w:p>
        </w:tc>
        <w:tc>
          <w:tcPr>
            <w:tcW w:w="2169" w:type="dxa"/>
            <w:vAlign w:val="center"/>
          </w:tcPr>
          <w:p w14:paraId="3F74A0F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0.1581668</w:t>
            </w:r>
          </w:p>
        </w:tc>
        <w:tc>
          <w:tcPr>
            <w:tcW w:w="1705" w:type="dxa"/>
            <w:vAlign w:val="center"/>
          </w:tcPr>
          <w:p w14:paraId="2019E54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0.17</w:t>
            </w:r>
          </w:p>
        </w:tc>
        <w:tc>
          <w:tcPr>
            <w:tcW w:w="1705" w:type="dxa"/>
            <w:vAlign w:val="center"/>
          </w:tcPr>
          <w:p w14:paraId="3A67D54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0.04</w:t>
            </w:r>
          </w:p>
        </w:tc>
      </w:tr>
      <w:tr w14:paraId="5A9EEA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112F754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1144.263</w:t>
            </w:r>
          </w:p>
        </w:tc>
        <w:tc>
          <w:tcPr>
            <w:tcW w:w="1239" w:type="dxa"/>
            <w:vAlign w:val="center"/>
          </w:tcPr>
          <w:p w14:paraId="24FA0C0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480</w:t>
            </w:r>
          </w:p>
        </w:tc>
        <w:tc>
          <w:tcPr>
            <w:tcW w:w="2169" w:type="dxa"/>
            <w:vAlign w:val="center"/>
          </w:tcPr>
          <w:p w14:paraId="78B6BB6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0.1958763</w:t>
            </w:r>
          </w:p>
        </w:tc>
        <w:tc>
          <w:tcPr>
            <w:tcW w:w="1705" w:type="dxa"/>
            <w:vAlign w:val="center"/>
          </w:tcPr>
          <w:p w14:paraId="0F87904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0.21</w:t>
            </w:r>
          </w:p>
        </w:tc>
        <w:tc>
          <w:tcPr>
            <w:tcW w:w="1705" w:type="dxa"/>
            <w:vAlign w:val="center"/>
          </w:tcPr>
          <w:p w14:paraId="391A1CF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0.05</w:t>
            </w:r>
          </w:p>
        </w:tc>
      </w:tr>
      <w:tr w14:paraId="6BBB5C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2049BAE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1144.263</w:t>
            </w:r>
          </w:p>
        </w:tc>
        <w:tc>
          <w:tcPr>
            <w:tcW w:w="1239" w:type="dxa"/>
            <w:vAlign w:val="center"/>
          </w:tcPr>
          <w:p w14:paraId="5F5C97C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510</w:t>
            </w:r>
          </w:p>
        </w:tc>
        <w:tc>
          <w:tcPr>
            <w:tcW w:w="2169" w:type="dxa"/>
            <w:vAlign w:val="center"/>
          </w:tcPr>
          <w:p w14:paraId="1C69E60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0.2394488</w:t>
            </w:r>
          </w:p>
        </w:tc>
        <w:tc>
          <w:tcPr>
            <w:tcW w:w="1705" w:type="dxa"/>
            <w:vAlign w:val="center"/>
          </w:tcPr>
          <w:p w14:paraId="741C5CC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0.25</w:t>
            </w:r>
          </w:p>
        </w:tc>
        <w:tc>
          <w:tcPr>
            <w:tcW w:w="1705" w:type="dxa"/>
            <w:vAlign w:val="center"/>
          </w:tcPr>
          <w:p w14:paraId="57C135B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0.06</w:t>
            </w:r>
          </w:p>
        </w:tc>
      </w:tr>
      <w:tr w14:paraId="06D7DC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54F98C5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1144.263</w:t>
            </w:r>
          </w:p>
        </w:tc>
        <w:tc>
          <w:tcPr>
            <w:tcW w:w="1239" w:type="dxa"/>
            <w:vAlign w:val="center"/>
          </w:tcPr>
          <w:p w14:paraId="271DF89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540</w:t>
            </w:r>
          </w:p>
        </w:tc>
        <w:tc>
          <w:tcPr>
            <w:tcW w:w="2169" w:type="dxa"/>
            <w:vAlign w:val="center"/>
          </w:tcPr>
          <w:p w14:paraId="555C099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0.2890271</w:t>
            </w:r>
          </w:p>
        </w:tc>
        <w:tc>
          <w:tcPr>
            <w:tcW w:w="1705" w:type="dxa"/>
            <w:vAlign w:val="center"/>
          </w:tcPr>
          <w:p w14:paraId="61A16CA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0.3</w:t>
            </w:r>
          </w:p>
        </w:tc>
        <w:tc>
          <w:tcPr>
            <w:tcW w:w="1705" w:type="dxa"/>
            <w:vAlign w:val="center"/>
          </w:tcPr>
          <w:p w14:paraId="6FCD343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0.06</w:t>
            </w:r>
          </w:p>
        </w:tc>
      </w:tr>
      <w:tr w14:paraId="627857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505C46E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1144.263</w:t>
            </w:r>
          </w:p>
        </w:tc>
        <w:tc>
          <w:tcPr>
            <w:tcW w:w="1239" w:type="dxa"/>
            <w:vAlign w:val="center"/>
          </w:tcPr>
          <w:p w14:paraId="308F6C9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570</w:t>
            </w:r>
          </w:p>
        </w:tc>
        <w:tc>
          <w:tcPr>
            <w:tcW w:w="2169" w:type="dxa"/>
            <w:vAlign w:val="center"/>
          </w:tcPr>
          <w:p w14:paraId="7271C84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0.3445779</w:t>
            </w:r>
          </w:p>
        </w:tc>
        <w:tc>
          <w:tcPr>
            <w:tcW w:w="1705" w:type="dxa"/>
            <w:vAlign w:val="center"/>
          </w:tcPr>
          <w:p w14:paraId="554EF7E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0.36</w:t>
            </w:r>
          </w:p>
        </w:tc>
        <w:tc>
          <w:tcPr>
            <w:tcW w:w="1705" w:type="dxa"/>
            <w:vAlign w:val="center"/>
          </w:tcPr>
          <w:p w14:paraId="32CF16F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0.09</w:t>
            </w:r>
          </w:p>
        </w:tc>
      </w:tr>
      <w:tr w14:paraId="78F718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14C02B6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1144.263</w:t>
            </w:r>
          </w:p>
        </w:tc>
        <w:tc>
          <w:tcPr>
            <w:tcW w:w="1239" w:type="dxa"/>
            <w:vAlign w:val="center"/>
          </w:tcPr>
          <w:p w14:paraId="19AC930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600</w:t>
            </w:r>
          </w:p>
        </w:tc>
        <w:tc>
          <w:tcPr>
            <w:tcW w:w="2169" w:type="dxa"/>
            <w:vAlign w:val="center"/>
          </w:tcPr>
          <w:p w14:paraId="784BF62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0.4058158</w:t>
            </w:r>
          </w:p>
        </w:tc>
        <w:tc>
          <w:tcPr>
            <w:tcW w:w="1705" w:type="dxa"/>
            <w:vAlign w:val="center"/>
          </w:tcPr>
          <w:p w14:paraId="69F18A6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0.43</w:t>
            </w:r>
          </w:p>
        </w:tc>
        <w:tc>
          <w:tcPr>
            <w:tcW w:w="1705" w:type="dxa"/>
            <w:vAlign w:val="center"/>
          </w:tcPr>
          <w:p w14:paraId="0E812D3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default" w:eastAsiaTheme="minorEastAsia"/>
                <w:kern w:val="0"/>
                <w:sz w:val="21"/>
                <w:szCs w:val="21"/>
                <w:highlight w:val="none"/>
              </w:rPr>
            </w:pPr>
            <w:r>
              <w:rPr>
                <w:rFonts w:hint="eastAsia" w:eastAsiaTheme="minorEastAsia"/>
                <w:kern w:val="0"/>
                <w:sz w:val="21"/>
                <w:szCs w:val="21"/>
                <w:highlight w:val="none"/>
              </w:rPr>
              <w:t>0.11</w:t>
            </w:r>
          </w:p>
        </w:tc>
      </w:tr>
    </w:tbl>
    <w:p w14:paraId="4E06597B">
      <w:pPr>
        <w:spacing w:line="360" w:lineRule="auto"/>
        <w:jc w:val="center"/>
        <w:rPr>
          <w:rFonts w:eastAsiaTheme="minorEastAsia"/>
          <w:sz w:val="24"/>
          <w:highlight w:val="none"/>
        </w:rPr>
      </w:pPr>
      <w:r>
        <w:rPr>
          <w:rFonts w:hint="eastAsia" w:eastAsiaTheme="minorEastAsia"/>
          <w:sz w:val="24"/>
          <w:highlight w:val="none"/>
        </w:rPr>
        <w:drawing>
          <wp:inline distT="0" distB="0" distL="0" distR="0">
            <wp:extent cx="5107940" cy="2571750"/>
            <wp:effectExtent l="3175" t="3175" r="13335" b="1587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noChangeArrowheads="1"/>
                    </pic:cNvPicPr>
                  </pic:nvPicPr>
                  <pic:blipFill>
                    <a:blip r:embed="rId111"/>
                    <a:srcRect/>
                    <a:stretch>
                      <a:fillRect/>
                    </a:stretch>
                  </pic:blipFill>
                  <pic:spPr>
                    <a:xfrm>
                      <a:off x="0" y="0"/>
                      <a:ext cx="5111559" cy="2573909"/>
                    </a:xfrm>
                    <a:prstGeom prst="rect">
                      <a:avLst/>
                    </a:prstGeom>
                    <a:noFill/>
                    <a:ln w="9525">
                      <a:noFill/>
                      <a:miter lim="800000"/>
                      <a:headEnd/>
                      <a:tailEnd/>
                    </a:ln>
                    <a:scene3d>
                      <a:camera prst="orthographicFront"/>
                      <a:lightRig rig="threePt" dir="t"/>
                    </a:scene3d>
                    <a:sp3d contourW="6350"/>
                  </pic:spPr>
                </pic:pic>
              </a:graphicData>
            </a:graphic>
          </wp:inline>
        </w:drawing>
      </w:r>
    </w:p>
    <w:p w14:paraId="00ADC446">
      <w:pPr>
        <w:spacing w:line="360" w:lineRule="auto"/>
        <w:jc w:val="center"/>
        <w:rPr>
          <w:rFonts w:eastAsiaTheme="minorEastAsia"/>
          <w:sz w:val="24"/>
          <w:highlight w:val="none"/>
        </w:rPr>
      </w:pPr>
      <w:r>
        <w:rPr>
          <w:rFonts w:hint="eastAsia" w:eastAsiaTheme="minorEastAsia"/>
          <w:b/>
          <w:sz w:val="24"/>
          <w:highlight w:val="none"/>
        </w:rPr>
        <w:t>图5-2-21 香悦蓝天下一氧化碳</w:t>
      </w:r>
      <w:r>
        <w:rPr>
          <w:rFonts w:eastAsiaTheme="minorEastAsia"/>
          <w:b/>
          <w:sz w:val="24"/>
          <w:highlight w:val="none"/>
        </w:rPr>
        <w:t>下风向距离浓度曲线图</w:t>
      </w:r>
    </w:p>
    <w:p w14:paraId="7319CFC2">
      <w:pPr>
        <w:spacing w:line="360" w:lineRule="auto"/>
        <w:ind w:firstLine="480" w:firstLineChars="200"/>
        <w:rPr>
          <w:rFonts w:eastAsiaTheme="minorEastAsia"/>
          <w:sz w:val="24"/>
          <w:highlight w:val="none"/>
        </w:rPr>
      </w:pPr>
      <w:r>
        <w:rPr>
          <w:rFonts w:hint="eastAsia" w:eastAsiaTheme="minorEastAsia"/>
          <w:sz w:val="24"/>
          <w:highlight w:val="none"/>
        </w:rPr>
        <w:t>一氧化碳在香悦蓝天下的大气终点浓度2(PAC-2)是95mg/m</w:t>
      </w:r>
      <w:r>
        <w:rPr>
          <w:rFonts w:hint="eastAsia" w:eastAsiaTheme="minorEastAsia"/>
          <w:sz w:val="24"/>
          <w:highlight w:val="none"/>
          <w:vertAlign w:val="superscript"/>
        </w:rPr>
        <w:t>3</w:t>
      </w:r>
      <w:r>
        <w:rPr>
          <w:rFonts w:hint="eastAsia" w:eastAsiaTheme="minorEastAsia"/>
          <w:sz w:val="24"/>
          <w:highlight w:val="none"/>
        </w:rPr>
        <w:t>，第一个达到的时间是--秒，持续了--秒；大气终点浓度1(PAC-3)是380mg/m</w:t>
      </w:r>
      <w:r>
        <w:rPr>
          <w:rFonts w:hint="eastAsia" w:eastAsiaTheme="minorEastAsia"/>
          <w:sz w:val="24"/>
          <w:highlight w:val="none"/>
          <w:vertAlign w:val="superscript"/>
        </w:rPr>
        <w:t>3</w:t>
      </w:r>
      <w:r>
        <w:rPr>
          <w:rFonts w:hint="eastAsia" w:eastAsiaTheme="minorEastAsia"/>
          <w:sz w:val="24"/>
          <w:highlight w:val="none"/>
        </w:rPr>
        <w:t>，第一个达到的时间是--秒，持续了--秒；敏感点最大浓度是0.4058158mg/m</w:t>
      </w:r>
      <w:r>
        <w:rPr>
          <w:rFonts w:hint="eastAsia" w:eastAsiaTheme="minorEastAsia"/>
          <w:sz w:val="24"/>
          <w:highlight w:val="none"/>
          <w:vertAlign w:val="superscript"/>
        </w:rPr>
        <w:t>3</w:t>
      </w:r>
      <w:r>
        <w:rPr>
          <w:rFonts w:hint="eastAsia" w:eastAsiaTheme="minorEastAsia"/>
          <w:sz w:val="24"/>
          <w:highlight w:val="none"/>
        </w:rPr>
        <w:t>；时间累积浓度为：1.07mg/m</w:t>
      </w:r>
      <w:r>
        <w:rPr>
          <w:rFonts w:hint="eastAsia" w:eastAsiaTheme="minorEastAsia"/>
          <w:sz w:val="24"/>
          <w:highlight w:val="none"/>
          <w:vertAlign w:val="superscript"/>
        </w:rPr>
        <w:t>3</w:t>
      </w:r>
      <w:r>
        <w:rPr>
          <w:rFonts w:hint="eastAsia" w:eastAsiaTheme="minorEastAsia"/>
          <w:sz w:val="24"/>
          <w:highlight w:val="none"/>
        </w:rPr>
        <w:t>。</w:t>
      </w:r>
    </w:p>
    <w:p w14:paraId="182C5ABD">
      <w:pPr>
        <w:spacing w:line="360" w:lineRule="auto"/>
        <w:jc w:val="center"/>
        <w:rPr>
          <w:rFonts w:eastAsiaTheme="minorEastAsia"/>
          <w:b/>
          <w:sz w:val="24"/>
          <w:highlight w:val="none"/>
        </w:rPr>
      </w:pPr>
    </w:p>
    <w:p w14:paraId="184027D6">
      <w:pPr>
        <w:spacing w:line="360" w:lineRule="auto"/>
        <w:jc w:val="center"/>
        <w:rPr>
          <w:rFonts w:eastAsiaTheme="minorEastAsia"/>
          <w:b/>
          <w:sz w:val="24"/>
          <w:highlight w:val="none"/>
        </w:rPr>
      </w:pPr>
    </w:p>
    <w:p w14:paraId="0AFE0FBD">
      <w:pPr>
        <w:spacing w:line="360" w:lineRule="auto"/>
        <w:jc w:val="center"/>
        <w:rPr>
          <w:rFonts w:eastAsiaTheme="minorEastAsia"/>
          <w:b/>
          <w:sz w:val="24"/>
          <w:highlight w:val="none"/>
        </w:rPr>
      </w:pPr>
    </w:p>
    <w:p w14:paraId="323B1A7F">
      <w:pPr>
        <w:spacing w:line="360" w:lineRule="auto"/>
        <w:jc w:val="center"/>
        <w:rPr>
          <w:rFonts w:eastAsiaTheme="minorEastAsia"/>
          <w:b/>
          <w:sz w:val="24"/>
          <w:highlight w:val="none"/>
        </w:rPr>
      </w:pPr>
      <w:r>
        <w:rPr>
          <w:rFonts w:hint="eastAsia" w:eastAsiaTheme="minorEastAsia"/>
          <w:b/>
          <w:sz w:val="24"/>
          <w:highlight w:val="none"/>
        </w:rPr>
        <w:t>表5-2-48 一氧化碳在哈飞家园的高峰轴线浓度表</w:t>
      </w:r>
    </w:p>
    <w:tbl>
      <w:tblPr>
        <w:tblStyle w:val="46"/>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239"/>
        <w:gridCol w:w="2169"/>
        <w:gridCol w:w="1705"/>
        <w:gridCol w:w="1705"/>
      </w:tblGrid>
      <w:tr w14:paraId="5154BE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2D83ADA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下风向距离（m）</w:t>
            </w:r>
          </w:p>
        </w:tc>
        <w:tc>
          <w:tcPr>
            <w:tcW w:w="1239" w:type="dxa"/>
            <w:vAlign w:val="center"/>
          </w:tcPr>
          <w:p w14:paraId="30D59F4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时间（秒）</w:t>
            </w:r>
          </w:p>
        </w:tc>
        <w:tc>
          <w:tcPr>
            <w:tcW w:w="2169" w:type="dxa"/>
            <w:vAlign w:val="center"/>
          </w:tcPr>
          <w:p w14:paraId="580FD44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浓度（mg/m3）</w:t>
            </w:r>
          </w:p>
        </w:tc>
        <w:tc>
          <w:tcPr>
            <w:tcW w:w="1705" w:type="dxa"/>
            <w:vAlign w:val="center"/>
          </w:tcPr>
          <w:p w14:paraId="5D1B847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PAC-2（%）</w:t>
            </w:r>
          </w:p>
        </w:tc>
        <w:tc>
          <w:tcPr>
            <w:tcW w:w="1705" w:type="dxa"/>
            <w:vAlign w:val="center"/>
          </w:tcPr>
          <w:p w14:paraId="36C0A9E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PAC-3（%）</w:t>
            </w:r>
          </w:p>
        </w:tc>
      </w:tr>
      <w:tr w14:paraId="69D008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064B31A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1137.631</w:t>
            </w:r>
          </w:p>
        </w:tc>
        <w:tc>
          <w:tcPr>
            <w:tcW w:w="1239" w:type="dxa"/>
            <w:vAlign w:val="center"/>
          </w:tcPr>
          <w:p w14:paraId="22AB8D8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3</w:t>
            </w:r>
          </w:p>
        </w:tc>
        <w:tc>
          <w:tcPr>
            <w:tcW w:w="2169" w:type="dxa"/>
            <w:vAlign w:val="center"/>
          </w:tcPr>
          <w:p w14:paraId="1382E8E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0.0001135325</w:t>
            </w:r>
          </w:p>
        </w:tc>
        <w:tc>
          <w:tcPr>
            <w:tcW w:w="1705" w:type="dxa"/>
            <w:vAlign w:val="center"/>
          </w:tcPr>
          <w:p w14:paraId="22B0F89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c>
          <w:tcPr>
            <w:tcW w:w="1705" w:type="dxa"/>
            <w:vAlign w:val="center"/>
          </w:tcPr>
          <w:p w14:paraId="41B68B3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r>
      <w:tr w14:paraId="10BF17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7BAC1E8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1137.631</w:t>
            </w:r>
          </w:p>
        </w:tc>
        <w:tc>
          <w:tcPr>
            <w:tcW w:w="1239" w:type="dxa"/>
            <w:vAlign w:val="center"/>
          </w:tcPr>
          <w:p w14:paraId="022663A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6</w:t>
            </w:r>
          </w:p>
        </w:tc>
        <w:tc>
          <w:tcPr>
            <w:tcW w:w="2169" w:type="dxa"/>
            <w:vAlign w:val="center"/>
          </w:tcPr>
          <w:p w14:paraId="1A0396A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0.0001737245</w:t>
            </w:r>
          </w:p>
        </w:tc>
        <w:tc>
          <w:tcPr>
            <w:tcW w:w="1705" w:type="dxa"/>
            <w:vAlign w:val="center"/>
          </w:tcPr>
          <w:p w14:paraId="7C3C873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c>
          <w:tcPr>
            <w:tcW w:w="1705" w:type="dxa"/>
            <w:vAlign w:val="center"/>
          </w:tcPr>
          <w:p w14:paraId="00368A8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r>
      <w:tr w14:paraId="6F410C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7CADF3F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1137.631</w:t>
            </w:r>
          </w:p>
        </w:tc>
        <w:tc>
          <w:tcPr>
            <w:tcW w:w="1239" w:type="dxa"/>
            <w:vAlign w:val="center"/>
          </w:tcPr>
          <w:p w14:paraId="75E6E6F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12</w:t>
            </w:r>
          </w:p>
        </w:tc>
        <w:tc>
          <w:tcPr>
            <w:tcW w:w="2169" w:type="dxa"/>
            <w:vAlign w:val="center"/>
          </w:tcPr>
          <w:p w14:paraId="677EB0D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0.0003013728</w:t>
            </w:r>
          </w:p>
        </w:tc>
        <w:tc>
          <w:tcPr>
            <w:tcW w:w="1705" w:type="dxa"/>
            <w:vAlign w:val="center"/>
          </w:tcPr>
          <w:p w14:paraId="3F27D14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c>
          <w:tcPr>
            <w:tcW w:w="1705" w:type="dxa"/>
            <w:vAlign w:val="center"/>
          </w:tcPr>
          <w:p w14:paraId="004A317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r>
      <w:tr w14:paraId="437DF7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24A3A2C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1137.631</w:t>
            </w:r>
          </w:p>
        </w:tc>
        <w:tc>
          <w:tcPr>
            <w:tcW w:w="1239" w:type="dxa"/>
            <w:vAlign w:val="center"/>
          </w:tcPr>
          <w:p w14:paraId="339A5AF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18</w:t>
            </w:r>
          </w:p>
        </w:tc>
        <w:tc>
          <w:tcPr>
            <w:tcW w:w="2169" w:type="dxa"/>
            <w:vAlign w:val="center"/>
          </w:tcPr>
          <w:p w14:paraId="1859DAA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0.0004392862</w:t>
            </w:r>
          </w:p>
        </w:tc>
        <w:tc>
          <w:tcPr>
            <w:tcW w:w="1705" w:type="dxa"/>
            <w:vAlign w:val="center"/>
          </w:tcPr>
          <w:p w14:paraId="133BFC8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c>
          <w:tcPr>
            <w:tcW w:w="1705" w:type="dxa"/>
            <w:vAlign w:val="center"/>
          </w:tcPr>
          <w:p w14:paraId="1582E79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r>
      <w:tr w14:paraId="60A3A9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26FF629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1137.631</w:t>
            </w:r>
          </w:p>
        </w:tc>
        <w:tc>
          <w:tcPr>
            <w:tcW w:w="1239" w:type="dxa"/>
            <w:vAlign w:val="center"/>
          </w:tcPr>
          <w:p w14:paraId="0BD53F6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24</w:t>
            </w:r>
          </w:p>
        </w:tc>
        <w:tc>
          <w:tcPr>
            <w:tcW w:w="2169" w:type="dxa"/>
            <w:vAlign w:val="center"/>
          </w:tcPr>
          <w:p w14:paraId="747276F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0.0005881974</w:t>
            </w:r>
          </w:p>
        </w:tc>
        <w:tc>
          <w:tcPr>
            <w:tcW w:w="1705" w:type="dxa"/>
            <w:vAlign w:val="center"/>
          </w:tcPr>
          <w:p w14:paraId="7C2BB4E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c>
          <w:tcPr>
            <w:tcW w:w="1705" w:type="dxa"/>
            <w:vAlign w:val="center"/>
          </w:tcPr>
          <w:p w14:paraId="5E85565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r>
      <w:tr w14:paraId="363122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1704" w:type="dxa"/>
            <w:vAlign w:val="center"/>
          </w:tcPr>
          <w:p w14:paraId="1CCB3E4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1137.631</w:t>
            </w:r>
          </w:p>
        </w:tc>
        <w:tc>
          <w:tcPr>
            <w:tcW w:w="1239" w:type="dxa"/>
            <w:vAlign w:val="center"/>
          </w:tcPr>
          <w:p w14:paraId="3BC5460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150</w:t>
            </w:r>
          </w:p>
        </w:tc>
        <w:tc>
          <w:tcPr>
            <w:tcW w:w="2169" w:type="dxa"/>
            <w:vAlign w:val="center"/>
          </w:tcPr>
          <w:p w14:paraId="02C7206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0.00811194</w:t>
            </w:r>
          </w:p>
        </w:tc>
        <w:tc>
          <w:tcPr>
            <w:tcW w:w="1705" w:type="dxa"/>
            <w:vAlign w:val="center"/>
          </w:tcPr>
          <w:p w14:paraId="62B2171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0.01</w:t>
            </w:r>
          </w:p>
        </w:tc>
        <w:tc>
          <w:tcPr>
            <w:tcW w:w="1705" w:type="dxa"/>
            <w:vAlign w:val="center"/>
          </w:tcPr>
          <w:p w14:paraId="6C99B7A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w:t>
            </w:r>
          </w:p>
        </w:tc>
      </w:tr>
      <w:tr w14:paraId="5B4B0C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50F2718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1137.631</w:t>
            </w:r>
          </w:p>
        </w:tc>
        <w:tc>
          <w:tcPr>
            <w:tcW w:w="1239" w:type="dxa"/>
            <w:vAlign w:val="center"/>
          </w:tcPr>
          <w:p w14:paraId="03E865F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330</w:t>
            </w:r>
          </w:p>
        </w:tc>
        <w:tc>
          <w:tcPr>
            <w:tcW w:w="2169" w:type="dxa"/>
            <w:vAlign w:val="center"/>
          </w:tcPr>
          <w:p w14:paraId="2997678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0.06014559</w:t>
            </w:r>
          </w:p>
        </w:tc>
        <w:tc>
          <w:tcPr>
            <w:tcW w:w="1705" w:type="dxa"/>
            <w:vAlign w:val="center"/>
          </w:tcPr>
          <w:p w14:paraId="6A5A655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0.06</w:t>
            </w:r>
          </w:p>
        </w:tc>
        <w:tc>
          <w:tcPr>
            <w:tcW w:w="1705" w:type="dxa"/>
            <w:vAlign w:val="center"/>
          </w:tcPr>
          <w:p w14:paraId="3B17D948">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0.02</w:t>
            </w:r>
          </w:p>
        </w:tc>
      </w:tr>
      <w:tr w14:paraId="213147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41A8325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1137.631</w:t>
            </w:r>
          </w:p>
        </w:tc>
        <w:tc>
          <w:tcPr>
            <w:tcW w:w="1239" w:type="dxa"/>
            <w:vAlign w:val="center"/>
          </w:tcPr>
          <w:p w14:paraId="6106590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360</w:t>
            </w:r>
          </w:p>
        </w:tc>
        <w:tc>
          <w:tcPr>
            <w:tcW w:w="2169" w:type="dxa"/>
            <w:vAlign w:val="center"/>
          </w:tcPr>
          <w:p w14:paraId="0A9A273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0.07877622</w:t>
            </w:r>
          </w:p>
        </w:tc>
        <w:tc>
          <w:tcPr>
            <w:tcW w:w="1705" w:type="dxa"/>
            <w:vAlign w:val="center"/>
          </w:tcPr>
          <w:p w14:paraId="20AA450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0.08</w:t>
            </w:r>
          </w:p>
        </w:tc>
        <w:tc>
          <w:tcPr>
            <w:tcW w:w="1705" w:type="dxa"/>
            <w:vAlign w:val="center"/>
          </w:tcPr>
          <w:p w14:paraId="615828F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0.02</w:t>
            </w:r>
          </w:p>
        </w:tc>
      </w:tr>
      <w:tr w14:paraId="2EEC84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2D86A42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1137.631</w:t>
            </w:r>
          </w:p>
        </w:tc>
        <w:tc>
          <w:tcPr>
            <w:tcW w:w="1239" w:type="dxa"/>
            <w:vAlign w:val="center"/>
          </w:tcPr>
          <w:p w14:paraId="29C6591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390</w:t>
            </w:r>
          </w:p>
        </w:tc>
        <w:tc>
          <w:tcPr>
            <w:tcW w:w="2169" w:type="dxa"/>
            <w:vAlign w:val="center"/>
          </w:tcPr>
          <w:p w14:paraId="251B9DD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0.1016668</w:t>
            </w:r>
          </w:p>
        </w:tc>
        <w:tc>
          <w:tcPr>
            <w:tcW w:w="1705" w:type="dxa"/>
            <w:vAlign w:val="center"/>
          </w:tcPr>
          <w:p w14:paraId="7BCD6CB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0.11</w:t>
            </w:r>
          </w:p>
        </w:tc>
        <w:tc>
          <w:tcPr>
            <w:tcW w:w="1705" w:type="dxa"/>
            <w:vAlign w:val="center"/>
          </w:tcPr>
          <w:p w14:paraId="6FA2B3B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0.03</w:t>
            </w:r>
          </w:p>
        </w:tc>
      </w:tr>
      <w:tr w14:paraId="526007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6C978C4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1137.631</w:t>
            </w:r>
          </w:p>
        </w:tc>
        <w:tc>
          <w:tcPr>
            <w:tcW w:w="1239" w:type="dxa"/>
            <w:vAlign w:val="center"/>
          </w:tcPr>
          <w:p w14:paraId="5A3C119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450</w:t>
            </w:r>
          </w:p>
        </w:tc>
        <w:tc>
          <w:tcPr>
            <w:tcW w:w="2169" w:type="dxa"/>
            <w:vAlign w:val="center"/>
          </w:tcPr>
          <w:p w14:paraId="78EF3BF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0.1623389</w:t>
            </w:r>
          </w:p>
        </w:tc>
        <w:tc>
          <w:tcPr>
            <w:tcW w:w="1705" w:type="dxa"/>
            <w:vAlign w:val="center"/>
          </w:tcPr>
          <w:p w14:paraId="6614933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0.17</w:t>
            </w:r>
          </w:p>
        </w:tc>
        <w:tc>
          <w:tcPr>
            <w:tcW w:w="1705" w:type="dxa"/>
            <w:vAlign w:val="center"/>
          </w:tcPr>
          <w:p w14:paraId="467C2F6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0.04</w:t>
            </w:r>
          </w:p>
        </w:tc>
      </w:tr>
      <w:tr w14:paraId="08E5AC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57DE104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1137.631</w:t>
            </w:r>
          </w:p>
        </w:tc>
        <w:tc>
          <w:tcPr>
            <w:tcW w:w="1239" w:type="dxa"/>
            <w:vAlign w:val="center"/>
          </w:tcPr>
          <w:p w14:paraId="5CF742EA">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480</w:t>
            </w:r>
          </w:p>
        </w:tc>
        <w:tc>
          <w:tcPr>
            <w:tcW w:w="2169" w:type="dxa"/>
            <w:vAlign w:val="center"/>
          </w:tcPr>
          <w:p w14:paraId="3A558CD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0.201015</w:t>
            </w:r>
          </w:p>
        </w:tc>
        <w:tc>
          <w:tcPr>
            <w:tcW w:w="1705" w:type="dxa"/>
            <w:vAlign w:val="center"/>
          </w:tcPr>
          <w:p w14:paraId="0B02940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0.26</w:t>
            </w:r>
          </w:p>
        </w:tc>
        <w:tc>
          <w:tcPr>
            <w:tcW w:w="1705" w:type="dxa"/>
            <w:vAlign w:val="center"/>
          </w:tcPr>
          <w:p w14:paraId="290453E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0.06</w:t>
            </w:r>
          </w:p>
        </w:tc>
      </w:tr>
      <w:tr w14:paraId="111C67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209A094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1137.631</w:t>
            </w:r>
          </w:p>
        </w:tc>
        <w:tc>
          <w:tcPr>
            <w:tcW w:w="1239" w:type="dxa"/>
            <w:vAlign w:val="center"/>
          </w:tcPr>
          <w:p w14:paraId="5ABDFF7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510</w:t>
            </w:r>
          </w:p>
        </w:tc>
        <w:tc>
          <w:tcPr>
            <w:tcW w:w="2169" w:type="dxa"/>
            <w:vAlign w:val="center"/>
          </w:tcPr>
          <w:p w14:paraId="191D04C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0.2456696</w:t>
            </w:r>
          </w:p>
        </w:tc>
        <w:tc>
          <w:tcPr>
            <w:tcW w:w="1705" w:type="dxa"/>
            <w:vAlign w:val="center"/>
          </w:tcPr>
          <w:p w14:paraId="7C9D527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0.26</w:t>
            </w:r>
          </w:p>
        </w:tc>
        <w:tc>
          <w:tcPr>
            <w:tcW w:w="1705" w:type="dxa"/>
            <w:vAlign w:val="center"/>
          </w:tcPr>
          <w:p w14:paraId="75214EC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0.06</w:t>
            </w:r>
          </w:p>
        </w:tc>
      </w:tr>
      <w:tr w14:paraId="04EDF4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05BC34C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1137.631</w:t>
            </w:r>
          </w:p>
        </w:tc>
        <w:tc>
          <w:tcPr>
            <w:tcW w:w="1239" w:type="dxa"/>
            <w:vAlign w:val="center"/>
          </w:tcPr>
          <w:p w14:paraId="768EB60E">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540</w:t>
            </w:r>
          </w:p>
        </w:tc>
        <w:tc>
          <w:tcPr>
            <w:tcW w:w="2169" w:type="dxa"/>
            <w:vAlign w:val="center"/>
          </w:tcPr>
          <w:p w14:paraId="7CA2DC8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0.2964318</w:t>
            </w:r>
          </w:p>
        </w:tc>
        <w:tc>
          <w:tcPr>
            <w:tcW w:w="1705" w:type="dxa"/>
            <w:vAlign w:val="center"/>
          </w:tcPr>
          <w:p w14:paraId="3B77086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0.31</w:t>
            </w:r>
          </w:p>
        </w:tc>
        <w:tc>
          <w:tcPr>
            <w:tcW w:w="1705" w:type="dxa"/>
            <w:vAlign w:val="center"/>
          </w:tcPr>
          <w:p w14:paraId="229B1B0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0.08</w:t>
            </w:r>
          </w:p>
        </w:tc>
      </w:tr>
      <w:tr w14:paraId="653B76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3575172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1137.631</w:t>
            </w:r>
          </w:p>
        </w:tc>
        <w:tc>
          <w:tcPr>
            <w:tcW w:w="1239" w:type="dxa"/>
            <w:vAlign w:val="center"/>
          </w:tcPr>
          <w:p w14:paraId="2B6CDBC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570</w:t>
            </w:r>
          </w:p>
        </w:tc>
        <w:tc>
          <w:tcPr>
            <w:tcW w:w="2169" w:type="dxa"/>
            <w:vAlign w:val="center"/>
          </w:tcPr>
          <w:p w14:paraId="66073287">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0.3532467</w:t>
            </w:r>
          </w:p>
        </w:tc>
        <w:tc>
          <w:tcPr>
            <w:tcW w:w="1705" w:type="dxa"/>
            <w:vAlign w:val="center"/>
          </w:tcPr>
          <w:p w14:paraId="10285D9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0.37</w:t>
            </w:r>
          </w:p>
        </w:tc>
        <w:tc>
          <w:tcPr>
            <w:tcW w:w="1705" w:type="dxa"/>
            <w:vAlign w:val="center"/>
          </w:tcPr>
          <w:p w14:paraId="5375C0B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0.09</w:t>
            </w:r>
          </w:p>
        </w:tc>
      </w:tr>
      <w:tr w14:paraId="15A606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14:paraId="4D39E88D">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1137.631</w:t>
            </w:r>
          </w:p>
        </w:tc>
        <w:tc>
          <w:tcPr>
            <w:tcW w:w="1239" w:type="dxa"/>
            <w:vAlign w:val="center"/>
          </w:tcPr>
          <w:p w14:paraId="70DA5DF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600</w:t>
            </w:r>
          </w:p>
        </w:tc>
        <w:tc>
          <w:tcPr>
            <w:tcW w:w="2169" w:type="dxa"/>
            <w:vAlign w:val="center"/>
          </w:tcPr>
          <w:p w14:paraId="2A3199E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0.4157994</w:t>
            </w:r>
          </w:p>
        </w:tc>
        <w:tc>
          <w:tcPr>
            <w:tcW w:w="1705" w:type="dxa"/>
            <w:vAlign w:val="center"/>
          </w:tcPr>
          <w:p w14:paraId="3E8973E3">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0.44</w:t>
            </w:r>
          </w:p>
        </w:tc>
        <w:tc>
          <w:tcPr>
            <w:tcW w:w="1705" w:type="dxa"/>
            <w:vAlign w:val="center"/>
          </w:tcPr>
          <w:p w14:paraId="6204FF6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contextualSpacing/>
              <w:jc w:val="center"/>
              <w:textAlignment w:val="auto"/>
              <w:rPr>
                <w:rFonts w:hint="eastAsia" w:ascii="Times New Roman" w:hAnsi="Times New Roman" w:cs="Times New Roman" w:eastAsiaTheme="minorEastAsia"/>
                <w:kern w:val="0"/>
                <w:sz w:val="21"/>
                <w:szCs w:val="21"/>
                <w:highlight w:val="none"/>
              </w:rPr>
            </w:pPr>
            <w:r>
              <w:rPr>
                <w:rFonts w:hint="eastAsia" w:ascii="Times New Roman" w:hAnsi="Times New Roman" w:cs="Times New Roman" w:eastAsiaTheme="minorEastAsia"/>
                <w:kern w:val="0"/>
                <w:sz w:val="21"/>
                <w:szCs w:val="21"/>
                <w:highlight w:val="none"/>
              </w:rPr>
              <w:t>0.11</w:t>
            </w:r>
          </w:p>
        </w:tc>
      </w:tr>
    </w:tbl>
    <w:p w14:paraId="530B1C17">
      <w:pPr>
        <w:spacing w:line="360" w:lineRule="auto"/>
        <w:jc w:val="center"/>
        <w:rPr>
          <w:rFonts w:eastAsiaTheme="minorEastAsia"/>
          <w:sz w:val="24"/>
          <w:highlight w:val="none"/>
        </w:rPr>
      </w:pPr>
      <w:r>
        <w:rPr>
          <w:rFonts w:hint="eastAsia" w:eastAsiaTheme="minorEastAsia"/>
          <w:sz w:val="24"/>
          <w:highlight w:val="none"/>
        </w:rPr>
        <w:drawing>
          <wp:inline distT="0" distB="0" distL="0" distR="0">
            <wp:extent cx="5088890" cy="2552065"/>
            <wp:effectExtent l="3175" t="3175" r="13335" b="1651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noChangeArrowheads="1"/>
                    </pic:cNvPicPr>
                  </pic:nvPicPr>
                  <pic:blipFill>
                    <a:blip r:embed="rId112"/>
                    <a:srcRect/>
                    <a:stretch>
                      <a:fillRect/>
                    </a:stretch>
                  </pic:blipFill>
                  <pic:spPr>
                    <a:xfrm>
                      <a:off x="0" y="0"/>
                      <a:ext cx="5094394" cy="2554641"/>
                    </a:xfrm>
                    <a:prstGeom prst="rect">
                      <a:avLst/>
                    </a:prstGeom>
                    <a:noFill/>
                    <a:ln w="9525">
                      <a:noFill/>
                      <a:miter lim="800000"/>
                      <a:headEnd/>
                      <a:tailEnd/>
                    </a:ln>
                    <a:scene3d>
                      <a:camera prst="orthographicFront"/>
                      <a:lightRig rig="threePt" dir="t"/>
                    </a:scene3d>
                    <a:sp3d contourW="6350"/>
                  </pic:spPr>
                </pic:pic>
              </a:graphicData>
            </a:graphic>
          </wp:inline>
        </w:drawing>
      </w:r>
    </w:p>
    <w:p w14:paraId="406DA9A5">
      <w:pPr>
        <w:spacing w:line="360" w:lineRule="auto"/>
        <w:jc w:val="center"/>
        <w:rPr>
          <w:rFonts w:eastAsiaTheme="minorEastAsia"/>
          <w:sz w:val="24"/>
          <w:highlight w:val="none"/>
        </w:rPr>
      </w:pPr>
      <w:r>
        <w:rPr>
          <w:rFonts w:hint="eastAsia" w:eastAsiaTheme="minorEastAsia"/>
          <w:b/>
          <w:sz w:val="24"/>
          <w:highlight w:val="none"/>
        </w:rPr>
        <w:t>图5-2-22 哈飞家园一氧化碳</w:t>
      </w:r>
      <w:r>
        <w:rPr>
          <w:rFonts w:eastAsiaTheme="minorEastAsia"/>
          <w:b/>
          <w:sz w:val="24"/>
          <w:highlight w:val="none"/>
        </w:rPr>
        <w:t>下风向距离浓度曲线图</w:t>
      </w:r>
    </w:p>
    <w:p w14:paraId="1CB0AA87">
      <w:pPr>
        <w:spacing w:line="360" w:lineRule="auto"/>
        <w:ind w:firstLine="480" w:firstLineChars="200"/>
        <w:rPr>
          <w:rFonts w:eastAsiaTheme="minorEastAsia"/>
          <w:sz w:val="24"/>
          <w:highlight w:val="none"/>
        </w:rPr>
      </w:pPr>
      <w:r>
        <w:rPr>
          <w:rFonts w:hint="eastAsia" w:eastAsiaTheme="minorEastAsia"/>
          <w:sz w:val="24"/>
          <w:highlight w:val="none"/>
        </w:rPr>
        <w:t>一氧化碳在哈飞家园的大气终点浓度2(PAC-2)是95mg/m</w:t>
      </w:r>
      <w:r>
        <w:rPr>
          <w:rFonts w:hint="eastAsia" w:eastAsiaTheme="minorEastAsia"/>
          <w:sz w:val="24"/>
          <w:highlight w:val="none"/>
          <w:vertAlign w:val="superscript"/>
        </w:rPr>
        <w:t>3</w:t>
      </w:r>
      <w:r>
        <w:rPr>
          <w:rFonts w:hint="eastAsia" w:eastAsiaTheme="minorEastAsia"/>
          <w:sz w:val="24"/>
          <w:highlight w:val="none"/>
        </w:rPr>
        <w:t>，第一个达到的时间是--秒，持续了--秒；大气终点浓度1(PAC-3)是380mg/m</w:t>
      </w:r>
      <w:r>
        <w:rPr>
          <w:rFonts w:hint="eastAsia" w:eastAsiaTheme="minorEastAsia"/>
          <w:sz w:val="24"/>
          <w:highlight w:val="none"/>
          <w:vertAlign w:val="superscript"/>
        </w:rPr>
        <w:t>3</w:t>
      </w:r>
      <w:r>
        <w:rPr>
          <w:rFonts w:hint="eastAsia" w:eastAsiaTheme="minorEastAsia"/>
          <w:sz w:val="24"/>
          <w:highlight w:val="none"/>
        </w:rPr>
        <w:t>，第一个达到的时间是--秒，持续了--秒；敏感点最大浓度是</w:t>
      </w:r>
      <w:r>
        <w:rPr>
          <w:rFonts w:eastAsiaTheme="minorEastAsia"/>
          <w:sz w:val="24"/>
          <w:highlight w:val="none"/>
        </w:rPr>
        <w:t>0.4157994</w:t>
      </w:r>
      <w:r>
        <w:rPr>
          <w:rFonts w:hint="eastAsia" w:eastAsiaTheme="minorEastAsia"/>
          <w:sz w:val="24"/>
          <w:highlight w:val="none"/>
        </w:rPr>
        <w:t>mg/m</w:t>
      </w:r>
      <w:r>
        <w:rPr>
          <w:rFonts w:hint="eastAsia" w:eastAsiaTheme="minorEastAsia"/>
          <w:sz w:val="24"/>
          <w:highlight w:val="none"/>
          <w:vertAlign w:val="superscript"/>
        </w:rPr>
        <w:t>3</w:t>
      </w:r>
      <w:r>
        <w:rPr>
          <w:rFonts w:hint="eastAsia" w:eastAsiaTheme="minorEastAsia"/>
          <w:sz w:val="24"/>
          <w:highlight w:val="none"/>
        </w:rPr>
        <w:t>；时间累积浓度为：1.10mg/m</w:t>
      </w:r>
      <w:r>
        <w:rPr>
          <w:rFonts w:hint="eastAsia" w:eastAsiaTheme="minorEastAsia"/>
          <w:sz w:val="24"/>
          <w:highlight w:val="none"/>
          <w:vertAlign w:val="superscript"/>
        </w:rPr>
        <w:t>3</w:t>
      </w:r>
      <w:r>
        <w:rPr>
          <w:rFonts w:hint="eastAsia" w:eastAsiaTheme="minorEastAsia"/>
          <w:sz w:val="24"/>
          <w:highlight w:val="none"/>
        </w:rPr>
        <w:t>。</w:t>
      </w:r>
    </w:p>
    <w:p w14:paraId="2063817C">
      <w:pPr>
        <w:pStyle w:val="4"/>
        <w:bidi w:val="0"/>
        <w:rPr>
          <w:rFonts w:hint="default"/>
          <w:highlight w:val="none"/>
        </w:rPr>
      </w:pPr>
      <w:r>
        <w:rPr>
          <w:rFonts w:hint="default"/>
          <w:highlight w:val="none"/>
        </w:rPr>
        <w:t>5.2.8生态环境影响评价</w:t>
      </w:r>
      <w:bookmarkEnd w:id="488"/>
      <w:bookmarkEnd w:id="489"/>
    </w:p>
    <w:p w14:paraId="01C2004C">
      <w:pPr>
        <w:bidi w:val="0"/>
        <w:rPr>
          <w:highlight w:val="none"/>
        </w:rPr>
        <w:sectPr>
          <w:pgSz w:w="11906" w:h="16838"/>
          <w:pgMar w:top="1440" w:right="1800" w:bottom="1440" w:left="1800" w:header="851" w:footer="992" w:gutter="0"/>
          <w:pgBorders w:offsetFrom="page">
            <w:top w:val="none" w:sz="0" w:space="0"/>
            <w:left w:val="none" w:sz="0" w:space="0"/>
            <w:bottom w:val="none" w:sz="0" w:space="0"/>
            <w:right w:val="none" w:sz="0" w:space="0"/>
          </w:pgBorders>
          <w:cols w:space="425" w:num="1"/>
          <w:docGrid w:type="lines" w:linePitch="312" w:charSpace="0"/>
        </w:sectPr>
      </w:pPr>
      <w:r>
        <w:rPr>
          <w:rFonts w:hint="default"/>
          <w:highlight w:val="none"/>
        </w:rPr>
        <w:t>建设项目厂址处于生态敏感程度一般区域，无</w:t>
      </w:r>
      <w:r>
        <w:rPr>
          <w:rFonts w:hint="eastAsia"/>
          <w:highlight w:val="none"/>
          <w:lang w:eastAsia="zh-CN"/>
        </w:rPr>
        <w:t>珍稀濒危</w:t>
      </w:r>
      <w:r>
        <w:rPr>
          <w:rFonts w:hint="default"/>
          <w:highlight w:val="none"/>
        </w:rPr>
        <w:t>保护物种，生态环境影响评价工作等级为</w:t>
      </w:r>
      <w:r>
        <w:rPr>
          <w:rFonts w:hint="eastAsia"/>
          <w:highlight w:val="none"/>
          <w:lang w:val="en-US" w:eastAsia="zh-CN"/>
        </w:rPr>
        <w:t>简单分析</w:t>
      </w:r>
      <w:r>
        <w:rPr>
          <w:rFonts w:hint="default"/>
          <w:highlight w:val="none"/>
        </w:rPr>
        <w:t>。建设项目不涉及土建施工活动，建设项目运营期对生态环境的影响主要表现在大气污染物的排放通过大气沉降对区域地表植被及农作物生长的影响，但影响程度甚微，可被环境所接受。</w:t>
      </w:r>
    </w:p>
    <w:p w14:paraId="14F90D6A">
      <w:pPr>
        <w:pStyle w:val="2"/>
        <w:bidi w:val="0"/>
        <w:rPr>
          <w:highlight w:val="none"/>
        </w:rPr>
      </w:pPr>
      <w:bookmarkStart w:id="494" w:name="_Toc5912"/>
      <w:r>
        <w:rPr>
          <w:highlight w:val="none"/>
        </w:rPr>
        <w:t>6环境保护措施及其可行性论证</w:t>
      </w:r>
      <w:bookmarkEnd w:id="490"/>
      <w:bookmarkEnd w:id="491"/>
      <w:bookmarkEnd w:id="492"/>
      <w:bookmarkEnd w:id="493"/>
      <w:bookmarkEnd w:id="494"/>
    </w:p>
    <w:p w14:paraId="644BF764">
      <w:pPr>
        <w:pStyle w:val="3"/>
        <w:bidi w:val="0"/>
        <w:rPr>
          <w:highlight w:val="none"/>
        </w:rPr>
      </w:pPr>
      <w:bookmarkStart w:id="495" w:name="_Toc3243"/>
      <w:bookmarkStart w:id="496" w:name="_Toc28527"/>
      <w:bookmarkStart w:id="497" w:name="_Toc493664702"/>
      <w:bookmarkStart w:id="498" w:name="_Toc494017094"/>
      <w:r>
        <w:rPr>
          <w:highlight w:val="none"/>
        </w:rPr>
        <w:t>6.1施工期环境保护措施及其可行性论证</w:t>
      </w:r>
      <w:bookmarkEnd w:id="495"/>
      <w:bookmarkEnd w:id="496"/>
      <w:bookmarkEnd w:id="497"/>
      <w:bookmarkEnd w:id="498"/>
    </w:p>
    <w:p w14:paraId="3EC2FB5E">
      <w:pPr>
        <w:bidi w:val="0"/>
        <w:rPr>
          <w:rFonts w:hint="default" w:ascii="Times New Roman" w:hAnsi="Times New Roman" w:cs="Times New Roman"/>
          <w:bCs/>
          <w:spacing w:val="0"/>
          <w:position w:val="0"/>
          <w:highlight w:val="none"/>
        </w:rPr>
      </w:pPr>
      <w:r>
        <w:rPr>
          <w:rFonts w:hint="default" w:ascii="Times New Roman" w:hAnsi="Times New Roman" w:cs="Times New Roman"/>
          <w:bCs/>
          <w:spacing w:val="0"/>
          <w:position w:val="0"/>
          <w:highlight w:val="none"/>
        </w:rPr>
        <w:t>本项目</w:t>
      </w:r>
      <w:r>
        <w:rPr>
          <w:rFonts w:hint="default" w:ascii="Times New Roman" w:hAnsi="Times New Roman" w:cs="Times New Roman"/>
          <w:spacing w:val="0"/>
          <w:position w:val="0"/>
          <w:highlight w:val="none"/>
        </w:rPr>
        <w:t>施工期主要为</w:t>
      </w:r>
      <w:r>
        <w:rPr>
          <w:rFonts w:hint="eastAsia" w:ascii="Times New Roman" w:hAnsi="Times New Roman" w:cs="Times New Roman"/>
          <w:spacing w:val="0"/>
          <w:position w:val="0"/>
          <w:highlight w:val="none"/>
          <w:lang w:val="en-US" w:eastAsia="zh-CN"/>
        </w:rPr>
        <w:t>室内装修及</w:t>
      </w:r>
      <w:r>
        <w:rPr>
          <w:rFonts w:hint="default" w:ascii="Times New Roman" w:hAnsi="Times New Roman" w:cs="Times New Roman"/>
          <w:spacing w:val="0"/>
          <w:position w:val="0"/>
          <w:highlight w:val="none"/>
        </w:rPr>
        <w:t>设备安装</w:t>
      </w:r>
      <w:r>
        <w:rPr>
          <w:rFonts w:hint="default" w:ascii="Times New Roman" w:hAnsi="Times New Roman" w:cs="Times New Roman"/>
          <w:bCs/>
          <w:spacing w:val="0"/>
          <w:position w:val="0"/>
          <w:highlight w:val="none"/>
        </w:rPr>
        <w:t>，不涉及土方开挖、堆放、回填等工艺。主要影响来自于设备安装噪声、员工生活污水、生活垃圾及废弃包装</w:t>
      </w:r>
      <w:r>
        <w:rPr>
          <w:rFonts w:hint="eastAsia" w:ascii="Times New Roman" w:hAnsi="Times New Roman" w:cs="Times New Roman"/>
          <w:bCs/>
          <w:spacing w:val="0"/>
          <w:position w:val="0"/>
          <w:highlight w:val="none"/>
          <w:lang w:val="en-US" w:eastAsia="zh-CN"/>
        </w:rPr>
        <w:t>物</w:t>
      </w:r>
      <w:r>
        <w:rPr>
          <w:rFonts w:hint="default" w:ascii="Times New Roman" w:hAnsi="Times New Roman" w:cs="Times New Roman"/>
          <w:bCs/>
          <w:spacing w:val="0"/>
          <w:position w:val="0"/>
          <w:highlight w:val="none"/>
        </w:rPr>
        <w:t>。</w:t>
      </w:r>
    </w:p>
    <w:p w14:paraId="75EA4ED5">
      <w:pPr>
        <w:pStyle w:val="4"/>
        <w:bidi w:val="0"/>
        <w:rPr>
          <w:highlight w:val="none"/>
        </w:rPr>
      </w:pPr>
      <w:bookmarkStart w:id="499" w:name="_Toc21377"/>
      <w:bookmarkStart w:id="500" w:name="_Toc21466"/>
      <w:r>
        <w:rPr>
          <w:highlight w:val="none"/>
        </w:rPr>
        <w:t>6.1.</w:t>
      </w:r>
      <w:r>
        <w:rPr>
          <w:rFonts w:hint="eastAsia"/>
          <w:highlight w:val="none"/>
          <w:lang w:val="en-US" w:eastAsia="zh-CN"/>
        </w:rPr>
        <w:t>1</w:t>
      </w:r>
      <w:r>
        <w:rPr>
          <w:highlight w:val="none"/>
        </w:rPr>
        <w:t>施工期</w:t>
      </w:r>
      <w:r>
        <w:rPr>
          <w:rFonts w:hint="eastAsia"/>
          <w:highlight w:val="none"/>
          <w:lang w:val="en-US" w:eastAsia="zh-CN"/>
        </w:rPr>
        <w:t>大气</w:t>
      </w:r>
      <w:r>
        <w:rPr>
          <w:highlight w:val="none"/>
        </w:rPr>
        <w:t>环境保护措施及其可行性论证</w:t>
      </w:r>
      <w:bookmarkEnd w:id="499"/>
      <w:bookmarkEnd w:id="500"/>
    </w:p>
    <w:p w14:paraId="4BDF8E40">
      <w:pPr>
        <w:bidi w:val="0"/>
        <w:rPr>
          <w:rFonts w:hint="eastAsia"/>
          <w:highlight w:val="none"/>
          <w:lang w:eastAsia="zh-CN"/>
        </w:rPr>
      </w:pPr>
      <w:r>
        <w:rPr>
          <w:rFonts w:hint="default" w:ascii="Times New Roman" w:hAnsi="Times New Roman" w:cs="Times New Roman"/>
          <w:bCs/>
          <w:spacing w:val="0"/>
          <w:position w:val="0"/>
          <w:highlight w:val="none"/>
        </w:rPr>
        <w:t>本项目</w:t>
      </w:r>
      <w:r>
        <w:rPr>
          <w:rFonts w:hint="default" w:ascii="Times New Roman" w:hAnsi="Times New Roman" w:cs="Times New Roman"/>
          <w:spacing w:val="0"/>
          <w:position w:val="0"/>
          <w:highlight w:val="none"/>
        </w:rPr>
        <w:t>施工期</w:t>
      </w:r>
      <w:r>
        <w:rPr>
          <w:rFonts w:hint="eastAsia" w:ascii="Times New Roman" w:hAnsi="Times New Roman" w:cs="Times New Roman"/>
          <w:bCs/>
          <w:spacing w:val="0"/>
          <w:position w:val="0"/>
          <w:highlight w:val="none"/>
          <w:lang w:val="en-US" w:eastAsia="zh-CN"/>
        </w:rPr>
        <w:t>仅在建筑材料运输、装卸及车辆运输产生少量扬尘，</w:t>
      </w:r>
      <w:r>
        <w:rPr>
          <w:rFonts w:hint="eastAsia" w:ascii="宋体" w:hAnsi="宋体" w:eastAsia="宋体" w:cs="宋体"/>
          <w:color w:val="000000"/>
          <w:kern w:val="0"/>
          <w:szCs w:val="24"/>
          <w:highlight w:val="none"/>
          <w:lang w:bidi="ar"/>
        </w:rPr>
        <w:t>本项目</w:t>
      </w:r>
      <w:r>
        <w:rPr>
          <w:rFonts w:hint="eastAsia" w:ascii="宋体" w:hAnsi="宋体" w:eastAsia="宋体" w:cs="宋体"/>
          <w:highlight w:val="none"/>
        </w:rPr>
        <w:t>建筑材料运输车辆进出要选择合适的运输路线</w:t>
      </w:r>
      <w:r>
        <w:rPr>
          <w:rFonts w:hint="eastAsia" w:ascii="宋体" w:hAnsi="宋体" w:eastAsia="宋体" w:cs="宋体"/>
          <w:highlight w:val="none"/>
          <w:lang w:val="en-US" w:eastAsia="zh-CN"/>
        </w:rPr>
        <w:t>并降低运输时车速</w:t>
      </w:r>
      <w:r>
        <w:rPr>
          <w:rFonts w:hint="eastAsia" w:ascii="宋体" w:hAnsi="宋体" w:eastAsia="宋体" w:cs="宋体"/>
          <w:highlight w:val="none"/>
        </w:rPr>
        <w:t>，尽可能减少运输扬尘对沿途居民的影响。施工车辆途经附近居民区应限速行驶，减少车辆产生扬尘污染环境，影响人群健康</w:t>
      </w:r>
      <w:r>
        <w:rPr>
          <w:rFonts w:hint="eastAsia"/>
          <w:highlight w:val="none"/>
          <w:lang w:eastAsia="zh-CN"/>
        </w:rPr>
        <w:t>。</w:t>
      </w:r>
    </w:p>
    <w:p w14:paraId="250E3907">
      <w:pPr>
        <w:bidi w:val="0"/>
        <w:rPr>
          <w:rFonts w:hint="eastAsia"/>
          <w:highlight w:val="none"/>
          <w:lang w:eastAsia="zh-CN"/>
        </w:rPr>
      </w:pPr>
      <w:r>
        <w:rPr>
          <w:highlight w:val="none"/>
        </w:rPr>
        <w:t>经采取上述防治措施后，能大大降低施工</w:t>
      </w:r>
      <w:r>
        <w:rPr>
          <w:rFonts w:hint="eastAsia"/>
          <w:highlight w:val="none"/>
          <w:lang w:val="en-US" w:eastAsia="zh-CN"/>
        </w:rPr>
        <w:t>扬尘</w:t>
      </w:r>
      <w:r>
        <w:rPr>
          <w:highlight w:val="none"/>
        </w:rPr>
        <w:t>对周围环境的影响。一旦施工期结束，</w:t>
      </w:r>
      <w:r>
        <w:rPr>
          <w:rFonts w:hAnsiTheme="minorEastAsia" w:eastAsiaTheme="minorEastAsia"/>
          <w:highlight w:val="none"/>
        </w:rPr>
        <w:t>施工</w:t>
      </w:r>
      <w:r>
        <w:rPr>
          <w:rFonts w:hint="eastAsia" w:hAnsiTheme="minorEastAsia" w:eastAsiaTheme="minorEastAsia"/>
          <w:highlight w:val="none"/>
          <w:lang w:val="en-US" w:eastAsia="zh-CN"/>
        </w:rPr>
        <w:t>扬尘</w:t>
      </w:r>
      <w:r>
        <w:rPr>
          <w:rFonts w:hAnsiTheme="minorEastAsia" w:eastAsiaTheme="minorEastAsia"/>
          <w:highlight w:val="none"/>
        </w:rPr>
        <w:t>即随之消失。</w:t>
      </w:r>
    </w:p>
    <w:p w14:paraId="45C6C3DE">
      <w:pPr>
        <w:pStyle w:val="4"/>
        <w:bidi w:val="0"/>
        <w:rPr>
          <w:highlight w:val="none"/>
        </w:rPr>
      </w:pPr>
      <w:bookmarkStart w:id="501" w:name="_Toc1657"/>
      <w:bookmarkStart w:id="502" w:name="_Toc30108"/>
      <w:r>
        <w:rPr>
          <w:highlight w:val="none"/>
        </w:rPr>
        <w:t>6.1.</w:t>
      </w:r>
      <w:r>
        <w:rPr>
          <w:rFonts w:hint="eastAsia"/>
          <w:highlight w:val="none"/>
          <w:lang w:val="en-US" w:eastAsia="zh-CN"/>
        </w:rPr>
        <w:t>2</w:t>
      </w:r>
      <w:r>
        <w:rPr>
          <w:highlight w:val="none"/>
        </w:rPr>
        <w:t>施工期水环境保护措施及其可行性论证</w:t>
      </w:r>
      <w:bookmarkEnd w:id="501"/>
      <w:bookmarkEnd w:id="502"/>
    </w:p>
    <w:p w14:paraId="6F39E5E9">
      <w:pPr>
        <w:bidi w:val="0"/>
        <w:rPr>
          <w:highlight w:val="none"/>
        </w:rPr>
      </w:pPr>
      <w:r>
        <w:rPr>
          <w:highlight w:val="none"/>
        </w:rPr>
        <w:t>施工期废水主要是施工人员生活污水，施工员工生活污水中污染物主要为COD、氨氮、pH、SS、BOD</w:t>
      </w:r>
      <w:r>
        <w:rPr>
          <w:highlight w:val="none"/>
          <w:vertAlign w:val="subscript"/>
        </w:rPr>
        <w:t>5</w:t>
      </w:r>
      <w:r>
        <w:rPr>
          <w:highlight w:val="none"/>
        </w:rPr>
        <w:t>排放浓度满足《污水综合排放标准》（GB8978-1996）三级标准限值要求，生活污水经市政管网进入</w:t>
      </w:r>
      <w:r>
        <w:rPr>
          <w:rFonts w:hint="eastAsia"/>
          <w:highlight w:val="none"/>
          <w:lang w:val="en-US" w:eastAsia="zh-CN"/>
        </w:rPr>
        <w:t>平房污水处理厂</w:t>
      </w:r>
      <w:r>
        <w:rPr>
          <w:highlight w:val="none"/>
        </w:rPr>
        <w:t>，处理达标后</w:t>
      </w:r>
      <w:r>
        <w:rPr>
          <w:rFonts w:hint="eastAsia"/>
          <w:highlight w:val="none"/>
          <w:lang w:eastAsia="zh-CN"/>
        </w:rPr>
        <w:t>排入何家沟，汇入松花江</w:t>
      </w:r>
      <w:r>
        <w:rPr>
          <w:highlight w:val="none"/>
        </w:rPr>
        <w:t>，最终汇入松花江。</w:t>
      </w:r>
    </w:p>
    <w:p w14:paraId="28BE4FBF">
      <w:pPr>
        <w:pStyle w:val="4"/>
        <w:bidi w:val="0"/>
        <w:rPr>
          <w:highlight w:val="none"/>
        </w:rPr>
      </w:pPr>
      <w:bookmarkStart w:id="503" w:name="_Toc7358"/>
      <w:bookmarkStart w:id="504" w:name="_Toc21439"/>
      <w:r>
        <w:rPr>
          <w:highlight w:val="none"/>
        </w:rPr>
        <w:t>6.1.</w:t>
      </w:r>
      <w:r>
        <w:rPr>
          <w:rFonts w:hint="eastAsia"/>
          <w:highlight w:val="none"/>
          <w:lang w:val="en-US" w:eastAsia="zh-CN"/>
        </w:rPr>
        <w:t>3</w:t>
      </w:r>
      <w:r>
        <w:rPr>
          <w:highlight w:val="none"/>
        </w:rPr>
        <w:t>施工期声环境保护措施及其可行性论证</w:t>
      </w:r>
      <w:bookmarkEnd w:id="503"/>
      <w:bookmarkEnd w:id="504"/>
    </w:p>
    <w:p w14:paraId="08A34C47">
      <w:pPr>
        <w:bidi w:val="0"/>
        <w:rPr>
          <w:highlight w:val="none"/>
        </w:rPr>
      </w:pPr>
      <w:r>
        <w:rPr>
          <w:highlight w:val="none"/>
        </w:rPr>
        <w:t>针对设备安装室内作业，流动性和间歇性较强，对各生产环节中的噪声治理提出下面一些治理措施和建议：</w:t>
      </w:r>
    </w:p>
    <w:p w14:paraId="5F520270">
      <w:pPr>
        <w:bidi w:val="0"/>
        <w:rPr>
          <w:highlight w:val="none"/>
        </w:rPr>
      </w:pPr>
      <w:r>
        <w:rPr>
          <w:highlight w:val="none"/>
        </w:rPr>
        <w:t>1、从规范施工秩序着手，合理安排施工时间（晚间22:00-6:00）严禁高噪声设备施工，合理布局施工场地，选用良好的施工设备，降低设备声级。</w:t>
      </w:r>
    </w:p>
    <w:p w14:paraId="0F2BE679">
      <w:pPr>
        <w:bidi w:val="0"/>
        <w:rPr>
          <w:highlight w:val="none"/>
        </w:rPr>
      </w:pPr>
      <w:r>
        <w:rPr>
          <w:highlight w:val="none"/>
        </w:rPr>
        <w:t>2、降低声源的噪声强度，对基础安装过程中主要发声设备，在条件允许情况下，应考虑采用其他措施进行代替，</w:t>
      </w:r>
      <w:r>
        <w:rPr>
          <w:rFonts w:hint="eastAsia"/>
          <w:highlight w:val="none"/>
          <w:lang w:eastAsia="zh-CN"/>
        </w:rPr>
        <w:t>这</w:t>
      </w:r>
      <w:r>
        <w:rPr>
          <w:highlight w:val="none"/>
        </w:rPr>
        <w:t>都将大大降低噪声源强。</w:t>
      </w:r>
    </w:p>
    <w:p w14:paraId="2BFE65D4">
      <w:pPr>
        <w:bidi w:val="0"/>
        <w:rPr>
          <w:highlight w:val="none"/>
        </w:rPr>
      </w:pPr>
      <w:r>
        <w:rPr>
          <w:highlight w:val="none"/>
        </w:rPr>
        <w:t>3、减轻声源叠加影响，设备安装机器产生的噪声往往具有突发、无规则、不连续和高强度等特点，施工单位应采取合理安排施工机械操作时间的方法加以缓解，并减少同时作业的高噪施工机械数量，尽可能减轻声源叠加影响。</w:t>
      </w:r>
    </w:p>
    <w:p w14:paraId="59ADBCD9">
      <w:pPr>
        <w:bidi w:val="0"/>
        <w:rPr>
          <w:highlight w:val="none"/>
        </w:rPr>
      </w:pPr>
      <w:r>
        <w:rPr>
          <w:highlight w:val="none"/>
        </w:rPr>
        <w:t>4、施工车辆，特别是重型运载车辆的运行线路和时间，应尽量避开噪声敏感区域和敏感时段。</w:t>
      </w:r>
    </w:p>
    <w:p w14:paraId="02F37E8B">
      <w:pPr>
        <w:bidi w:val="0"/>
        <w:rPr>
          <w:rFonts w:eastAsiaTheme="minorEastAsia"/>
          <w:highlight w:val="none"/>
        </w:rPr>
      </w:pPr>
      <w:r>
        <w:rPr>
          <w:highlight w:val="none"/>
        </w:rPr>
        <w:t>经采取上述噪声防治措施后，能大大降低施工噪声对周围环境的影响。施工期噪声污染是短暂的，暂时的，一旦施工期结束，</w:t>
      </w:r>
      <w:r>
        <w:rPr>
          <w:rFonts w:hAnsiTheme="minorEastAsia" w:eastAsiaTheme="minorEastAsia"/>
          <w:highlight w:val="none"/>
        </w:rPr>
        <w:t>施工噪声即随之消失。</w:t>
      </w:r>
    </w:p>
    <w:p w14:paraId="5ACD673F">
      <w:pPr>
        <w:pStyle w:val="4"/>
        <w:bidi w:val="0"/>
        <w:rPr>
          <w:highlight w:val="none"/>
        </w:rPr>
      </w:pPr>
      <w:bookmarkStart w:id="505" w:name="_Toc9813"/>
      <w:bookmarkStart w:id="506" w:name="_Toc29964"/>
      <w:r>
        <w:rPr>
          <w:highlight w:val="none"/>
        </w:rPr>
        <w:t>6.1.</w:t>
      </w:r>
      <w:r>
        <w:rPr>
          <w:rFonts w:hint="eastAsia"/>
          <w:highlight w:val="none"/>
          <w:lang w:val="en-US" w:eastAsia="zh-CN"/>
        </w:rPr>
        <w:t>4</w:t>
      </w:r>
      <w:r>
        <w:rPr>
          <w:highlight w:val="none"/>
        </w:rPr>
        <w:t>施工期固体废物处置措施及其可行性论证</w:t>
      </w:r>
      <w:bookmarkEnd w:id="505"/>
      <w:bookmarkEnd w:id="506"/>
    </w:p>
    <w:p w14:paraId="2464E5E1">
      <w:pPr>
        <w:bidi w:val="0"/>
        <w:rPr>
          <w:highlight w:val="none"/>
        </w:rPr>
      </w:pPr>
      <w:r>
        <w:rPr>
          <w:highlight w:val="none"/>
        </w:rPr>
        <w:t>该项目施工期固废主要是施工过程中产生的建筑垃圾。施工单位应遵照当地建筑垃圾管理办法进行处置，把产生的建筑垃圾充分、合理</w:t>
      </w:r>
      <w:r>
        <w:rPr>
          <w:rFonts w:hint="eastAsia"/>
          <w:highlight w:val="none"/>
          <w:lang w:eastAsia="zh-CN"/>
        </w:rPr>
        <w:t>地</w:t>
      </w:r>
      <w:r>
        <w:rPr>
          <w:highlight w:val="none"/>
        </w:rPr>
        <w:t>利用起来，贯彻变</w:t>
      </w:r>
      <w:r>
        <w:rPr>
          <w:rFonts w:hint="eastAsia"/>
          <w:highlight w:val="none"/>
          <w:lang w:eastAsia="zh-CN"/>
        </w:rPr>
        <w:t>“</w:t>
      </w:r>
      <w:r>
        <w:rPr>
          <w:highlight w:val="none"/>
        </w:rPr>
        <w:t>废</w:t>
      </w:r>
      <w:r>
        <w:rPr>
          <w:rFonts w:hint="eastAsia"/>
          <w:highlight w:val="none"/>
          <w:lang w:eastAsia="zh-CN"/>
        </w:rPr>
        <w:t>”</w:t>
      </w:r>
      <w:r>
        <w:rPr>
          <w:highlight w:val="none"/>
        </w:rPr>
        <w:t>为</w:t>
      </w:r>
      <w:r>
        <w:rPr>
          <w:rFonts w:hint="eastAsia"/>
          <w:highlight w:val="none"/>
          <w:lang w:eastAsia="zh-CN"/>
        </w:rPr>
        <w:t>“</w:t>
      </w:r>
      <w:r>
        <w:rPr>
          <w:highlight w:val="none"/>
        </w:rPr>
        <w:t>宝</w:t>
      </w:r>
      <w:r>
        <w:rPr>
          <w:rFonts w:hint="eastAsia"/>
          <w:highlight w:val="none"/>
          <w:lang w:eastAsia="zh-CN"/>
        </w:rPr>
        <w:t>”</w:t>
      </w:r>
      <w:r>
        <w:rPr>
          <w:highlight w:val="none"/>
        </w:rPr>
        <w:t>和清洁生产的理念。</w:t>
      </w:r>
    </w:p>
    <w:p w14:paraId="27E40F55">
      <w:pPr>
        <w:bidi w:val="0"/>
        <w:rPr>
          <w:highlight w:val="none"/>
        </w:rPr>
      </w:pPr>
      <w:r>
        <w:rPr>
          <w:highlight w:val="none"/>
        </w:rPr>
        <w:t>施工期间主要为设备安装工程，在此期间将有一定数量的包装袋以及建筑碎片等建筑废弃物。对施工现场要及时进行清理，建筑垃圾要及时清运、加以利用，防止其因长期堆放而产生扬尘。</w:t>
      </w:r>
    </w:p>
    <w:p w14:paraId="0B998C0E">
      <w:pPr>
        <w:bidi w:val="0"/>
        <w:rPr>
          <w:highlight w:val="none"/>
        </w:rPr>
      </w:pPr>
      <w:r>
        <w:rPr>
          <w:highlight w:val="none"/>
        </w:rPr>
        <w:t>生活垃圾要定点统一收集，做到垃圾日产日清，不得随意倾倒，项目产生的生活垃圾交由市政部门处理，对周边环境影响较小。</w:t>
      </w:r>
    </w:p>
    <w:p w14:paraId="7D14D415">
      <w:pPr>
        <w:bidi w:val="0"/>
        <w:rPr>
          <w:rFonts w:eastAsiaTheme="minorEastAsia"/>
          <w:highlight w:val="none"/>
        </w:rPr>
      </w:pPr>
      <w:r>
        <w:rPr>
          <w:highlight w:val="none"/>
        </w:rPr>
        <w:t>采取上述措施，本项目施工期产生的固废处置率100%，不会对环境产生明显影响，施工期固体废物处置措施可行。</w:t>
      </w:r>
    </w:p>
    <w:p w14:paraId="71BD98C2">
      <w:pPr>
        <w:pStyle w:val="3"/>
        <w:bidi w:val="0"/>
        <w:rPr>
          <w:highlight w:val="none"/>
        </w:rPr>
      </w:pPr>
      <w:bookmarkStart w:id="507" w:name="_Toc11994"/>
      <w:bookmarkStart w:id="508" w:name="_Toc22157"/>
      <w:r>
        <w:rPr>
          <w:highlight w:val="none"/>
        </w:rPr>
        <w:t>6.2营运期环境保护措施及其可行性论证</w:t>
      </w:r>
      <w:bookmarkEnd w:id="507"/>
      <w:bookmarkEnd w:id="508"/>
    </w:p>
    <w:p w14:paraId="29B6F9A1">
      <w:pPr>
        <w:pStyle w:val="4"/>
        <w:bidi w:val="0"/>
        <w:rPr>
          <w:highlight w:val="none"/>
        </w:rPr>
      </w:pPr>
      <w:bookmarkStart w:id="509" w:name="_Toc2145"/>
      <w:bookmarkStart w:id="510" w:name="_Toc2816"/>
      <w:r>
        <w:rPr>
          <w:highlight w:val="none"/>
        </w:rPr>
        <w:t>6.2.1大气环境保护措施及其可行性论证</w:t>
      </w:r>
      <w:bookmarkEnd w:id="509"/>
      <w:bookmarkEnd w:id="510"/>
    </w:p>
    <w:p w14:paraId="0DCF0B52">
      <w:pPr>
        <w:pStyle w:val="6"/>
        <w:bidi w:val="0"/>
        <w:rPr>
          <w:highlight w:val="none"/>
        </w:rPr>
      </w:pPr>
      <w:r>
        <w:rPr>
          <w:highlight w:val="none"/>
        </w:rPr>
        <w:t>6.2.1.1</w:t>
      </w:r>
      <w:r>
        <w:rPr>
          <w:rFonts w:hint="eastAsia"/>
          <w:highlight w:val="none"/>
          <w:lang w:val="en-US" w:eastAsia="zh-CN"/>
        </w:rPr>
        <w:t>生产</w:t>
      </w:r>
      <w:r>
        <w:rPr>
          <w:highlight w:val="none"/>
        </w:rPr>
        <w:t>油雾污染防治措施</w:t>
      </w:r>
    </w:p>
    <w:p w14:paraId="5948C9B0">
      <w:pPr>
        <w:bidi w:val="0"/>
        <w:rPr>
          <w:highlight w:val="none"/>
        </w:rPr>
      </w:pPr>
      <w:r>
        <w:rPr>
          <w:rFonts w:hint="eastAsia"/>
          <w:highlight w:val="none"/>
          <w:lang w:val="en-US" w:eastAsia="zh-CN"/>
        </w:rPr>
        <w:t>机加工序设置于2号厂房内，加工中心均为封闭设备，机械加工工序设置2套油雾净化装置，产生的油雾废气分别经油雾净化装置处理后，经集气罩收集，由2根新建23m排气筒排放；含油金属屑加工生产线位于变速器机加厂房北侧，产生的油雾、挥发性有机物（以非甲烷总烃计）、颗粒物及臭气浓度通过油雾净化装置+活性炭吸附装置处理后由1根新建23m排气筒排放</w:t>
      </w:r>
      <w:r>
        <w:rPr>
          <w:highlight w:val="none"/>
        </w:rPr>
        <w:t>。</w:t>
      </w:r>
    </w:p>
    <w:p w14:paraId="788C4AA9">
      <w:pPr>
        <w:bidi w:val="0"/>
        <w:rPr>
          <w:highlight w:val="none"/>
        </w:rPr>
      </w:pPr>
      <w:r>
        <w:rPr>
          <w:highlight w:val="none"/>
        </w:rPr>
        <w:t>油雾净化系统治理方案：</w:t>
      </w:r>
    </w:p>
    <w:p w14:paraId="70C5E6EE">
      <w:pPr>
        <w:bidi w:val="0"/>
        <w:rPr>
          <w:highlight w:val="none"/>
        </w:rPr>
      </w:pPr>
      <w:r>
        <w:rPr>
          <w:highlight w:val="none"/>
        </w:rPr>
        <w:t>（1）机械过滤：</w:t>
      </w:r>
      <w:r>
        <w:rPr>
          <w:rFonts w:hint="eastAsia"/>
          <w:highlight w:val="none"/>
          <w:lang w:val="en-US" w:eastAsia="zh-CN"/>
        </w:rPr>
        <w:t>生产</w:t>
      </w:r>
      <w:r>
        <w:rPr>
          <w:highlight w:val="none"/>
        </w:rPr>
        <w:t>产生的油雾通过引风机将油雾由管道汇至油雾分离净化装置，由于重力的作用一些较大颗粒的液滴会从气体中滴落分离出来。分离出的油聚集在油雾净化器主机下部的油槽里，由专用管道泵入集中切削液过滤系统后补充至切削液系统使用。装置设有两个由合成材料以及细微纤维混合编织而成的过滤层，油雾经过一级过滤层后吸入的空气会均匀</w:t>
      </w:r>
      <w:r>
        <w:rPr>
          <w:rFonts w:hint="eastAsia"/>
          <w:highlight w:val="none"/>
          <w:lang w:eastAsia="zh-CN"/>
        </w:rPr>
        <w:t>地</w:t>
      </w:r>
      <w:r>
        <w:rPr>
          <w:highlight w:val="none"/>
        </w:rPr>
        <w:t>吸向第二级过滤层，净化后气体由机壳开口经管道排出。</w:t>
      </w:r>
    </w:p>
    <w:p w14:paraId="1835D8C5">
      <w:pPr>
        <w:bidi w:val="0"/>
        <w:rPr>
          <w:highlight w:val="none"/>
        </w:rPr>
      </w:pPr>
      <w:r>
        <w:rPr>
          <w:highlight w:val="none"/>
        </w:rPr>
        <w:t>（2）静电净化：含尘油雾气体从净化器进风口进入预过滤器，大颗粒的油雾尘被分离并收集到集油槽。含细小油雾尘的污染空气从预分离器流出后，进入荷电区，通过存在大量离子及电子的空间时，离子及电子会附着在油雾尘上（附着负离子和电子的油雾尘荷负电，附着正离子和电子的油雾尘荷正电）。附着电荷的油雾尘从荷电区出来后，进入集尘区。在电场力的作用下，荷电油雾尘向其极性相反方向运动，油雾尘吸附在电极板上，细小的油雾尘被分离，洁净空气在风机负压的作用下，经风机直排入空气中。</w:t>
      </w:r>
    </w:p>
    <w:p w14:paraId="1B58272E">
      <w:pPr>
        <w:bidi w:val="0"/>
        <w:rPr>
          <w:rFonts w:hint="eastAsia" w:eastAsiaTheme="minorEastAsia"/>
          <w:highlight w:val="none"/>
          <w:lang w:eastAsia="zh-CN"/>
        </w:rPr>
      </w:pPr>
      <w:r>
        <w:rPr>
          <w:highlight w:val="none"/>
        </w:rPr>
        <w:t>考虑到机械过滤运行成本低、设备稳定可靠可长时间使用</w:t>
      </w:r>
      <w:r>
        <w:rPr>
          <w:rFonts w:hint="eastAsia"/>
          <w:highlight w:val="none"/>
          <w:lang w:eastAsia="zh-CN"/>
        </w:rPr>
        <w:t>，</w:t>
      </w:r>
      <w:r>
        <w:rPr>
          <w:rFonts w:hint="eastAsia"/>
          <w:highlight w:val="none"/>
          <w:lang w:val="en-US" w:eastAsia="zh-CN"/>
        </w:rPr>
        <w:t>静电吸附</w:t>
      </w:r>
      <w:r>
        <w:rPr>
          <w:highlight w:val="none"/>
        </w:rPr>
        <w:t>过滤效率高效持久、运行维护成本低等特点</w:t>
      </w:r>
      <w:r>
        <w:rPr>
          <w:rFonts w:hint="eastAsia"/>
          <w:highlight w:val="none"/>
          <w:lang w:eastAsia="zh-CN"/>
        </w:rPr>
        <w:t>，</w:t>
      </w:r>
      <w:r>
        <w:rPr>
          <w:highlight w:val="none"/>
        </w:rPr>
        <w:t>选择机械过滤</w:t>
      </w:r>
      <w:r>
        <w:rPr>
          <w:rFonts w:hint="eastAsia"/>
          <w:highlight w:val="none"/>
          <w:lang w:val="en-US" w:eastAsia="zh-CN"/>
        </w:rPr>
        <w:t>及静电吸附结合</w:t>
      </w:r>
      <w:r>
        <w:rPr>
          <w:highlight w:val="none"/>
        </w:rPr>
        <w:t>的</w:t>
      </w:r>
      <w:r>
        <w:rPr>
          <w:rFonts w:hint="eastAsia"/>
          <w:highlight w:val="none"/>
          <w:lang w:val="en-US" w:eastAsia="zh-CN"/>
        </w:rPr>
        <w:t>油雾净化器</w:t>
      </w:r>
      <w:r>
        <w:rPr>
          <w:highlight w:val="none"/>
        </w:rPr>
        <w:t>更为可靠，因此本项目采取机械过滤</w:t>
      </w:r>
      <w:r>
        <w:rPr>
          <w:rFonts w:hint="eastAsia"/>
          <w:highlight w:val="none"/>
          <w:lang w:val="en-US" w:eastAsia="zh-CN"/>
        </w:rPr>
        <w:t>+静电吸附</w:t>
      </w:r>
      <w:r>
        <w:rPr>
          <w:highlight w:val="none"/>
        </w:rPr>
        <w:t>方式。</w:t>
      </w:r>
      <w:r>
        <w:rPr>
          <w:rFonts w:hint="eastAsia" w:hAnsiTheme="minorEastAsia" w:eastAsiaTheme="minorEastAsia"/>
          <w:bCs/>
          <w:sz w:val="24"/>
          <w:highlight w:val="none"/>
          <w:lang w:val="en-US" w:eastAsia="zh-CN"/>
        </w:rPr>
        <w:t>参考</w:t>
      </w:r>
      <w:r>
        <w:rPr>
          <w:rFonts w:hAnsiTheme="minorEastAsia" w:eastAsiaTheme="minorEastAsia"/>
          <w:bCs/>
          <w:sz w:val="24"/>
          <w:highlight w:val="none"/>
        </w:rPr>
        <w:t>《排污许可证申请与核发技术规范汽车制造业》（</w:t>
      </w:r>
      <w:r>
        <w:rPr>
          <w:rFonts w:eastAsiaTheme="minorEastAsia"/>
          <w:bCs/>
          <w:sz w:val="24"/>
          <w:highlight w:val="none"/>
        </w:rPr>
        <w:t>HJ971-2018</w:t>
      </w:r>
      <w:r>
        <w:rPr>
          <w:rFonts w:hAnsiTheme="minorEastAsia" w:eastAsiaTheme="minorEastAsia"/>
          <w:bCs/>
          <w:sz w:val="24"/>
          <w:highlight w:val="none"/>
        </w:rPr>
        <w:t>）表</w:t>
      </w:r>
      <w:r>
        <w:rPr>
          <w:rFonts w:eastAsiaTheme="minorEastAsia"/>
          <w:bCs/>
          <w:sz w:val="24"/>
          <w:highlight w:val="none"/>
        </w:rPr>
        <w:t>25</w:t>
      </w:r>
      <w:r>
        <w:rPr>
          <w:rFonts w:hAnsiTheme="minorEastAsia" w:eastAsiaTheme="minorEastAsia"/>
          <w:bCs/>
          <w:sz w:val="24"/>
          <w:highlight w:val="none"/>
        </w:rPr>
        <w:t>汽车制造业废气污染治理推荐可行技术清单中湿式机械加工</w:t>
      </w:r>
      <w:r>
        <w:rPr>
          <w:rFonts w:hint="eastAsia" w:hAnsiTheme="minorEastAsia" w:eastAsiaTheme="minorEastAsia"/>
          <w:bCs/>
          <w:sz w:val="24"/>
          <w:highlight w:val="none"/>
          <w:lang w:val="en-US" w:eastAsia="zh-CN"/>
        </w:rPr>
        <w:t>产生油雾、挥发性有机物</w:t>
      </w:r>
      <w:r>
        <w:rPr>
          <w:rFonts w:hAnsiTheme="minorEastAsia" w:eastAsiaTheme="minorEastAsia"/>
          <w:bCs/>
          <w:sz w:val="24"/>
          <w:highlight w:val="none"/>
        </w:rPr>
        <w:t>采用机械过滤</w:t>
      </w:r>
      <w:r>
        <w:rPr>
          <w:rFonts w:hint="eastAsia" w:hAnsiTheme="minorEastAsia" w:eastAsiaTheme="minorEastAsia"/>
          <w:bCs/>
          <w:sz w:val="24"/>
          <w:highlight w:val="none"/>
          <w:lang w:eastAsia="zh-CN"/>
        </w:rPr>
        <w:t>、</w:t>
      </w:r>
      <w:r>
        <w:rPr>
          <w:rFonts w:hint="eastAsia" w:hAnsiTheme="minorEastAsia" w:eastAsiaTheme="minorEastAsia"/>
          <w:bCs/>
          <w:sz w:val="24"/>
          <w:highlight w:val="none"/>
          <w:lang w:val="en-US" w:eastAsia="zh-CN"/>
        </w:rPr>
        <w:t>静电过滤</w:t>
      </w:r>
      <w:r>
        <w:rPr>
          <w:rFonts w:hAnsiTheme="minorEastAsia" w:eastAsiaTheme="minorEastAsia"/>
          <w:bCs/>
          <w:sz w:val="24"/>
          <w:highlight w:val="none"/>
        </w:rPr>
        <w:t>为可行性技术</w:t>
      </w:r>
      <w:r>
        <w:rPr>
          <w:rFonts w:hint="eastAsia" w:hAnsiTheme="minorEastAsia" w:eastAsiaTheme="minorEastAsia"/>
          <w:bCs/>
          <w:sz w:val="24"/>
          <w:highlight w:val="none"/>
          <w:lang w:eastAsia="zh-CN"/>
        </w:rPr>
        <w:t>。</w:t>
      </w:r>
    </w:p>
    <w:p w14:paraId="4F90DD9F">
      <w:pPr>
        <w:bidi w:val="0"/>
        <w:rPr>
          <w:highlight w:val="none"/>
        </w:rPr>
      </w:pPr>
      <w:r>
        <w:rPr>
          <w:rFonts w:hint="default"/>
          <w:highlight w:val="none"/>
        </w:rPr>
        <w:t>本项目设置的活性炭吸附装置</w:t>
      </w:r>
      <w:r>
        <w:rPr>
          <w:rFonts w:hint="eastAsia"/>
          <w:highlight w:val="none"/>
          <w:lang w:val="en-US" w:eastAsia="zh-CN"/>
        </w:rPr>
        <w:t>为二级活性炭吸附装置，两个独立的吸附器通过串联的方式，将废气中的污染物吸附在活性炭表面，实现高效、快速地净化废气的目的；由于活性炭具有强吸附性能，通过活性炭空隙结构和比表面积，能够吸附废气中的多种有害物质，如有机化合物、恶臭气体等；通过设置两级活性炭层，实现对废气的双重吸附净化，确保废气处理效果稳定可靠；</w:t>
      </w:r>
    </w:p>
    <w:p w14:paraId="61A84DFF">
      <w:pPr>
        <w:bidi w:val="0"/>
        <w:rPr>
          <w:rFonts w:hint="eastAsia"/>
          <w:highlight w:val="none"/>
          <w:lang w:eastAsia="zh-CN"/>
        </w:rPr>
      </w:pPr>
      <w:r>
        <w:rPr>
          <w:rFonts w:hAnsiTheme="minorEastAsia" w:eastAsiaTheme="minorEastAsia"/>
          <w:bCs/>
          <w:sz w:val="24"/>
          <w:highlight w:val="none"/>
        </w:rPr>
        <w:t>根据《排污许可证申请与核发技术规范</w:t>
      </w:r>
      <w:r>
        <w:rPr>
          <w:rFonts w:eastAsiaTheme="minorEastAsia"/>
          <w:bCs/>
          <w:sz w:val="24"/>
          <w:highlight w:val="none"/>
        </w:rPr>
        <w:t xml:space="preserve"> </w:t>
      </w:r>
      <w:r>
        <w:rPr>
          <w:rFonts w:hAnsiTheme="minorEastAsia" w:eastAsiaTheme="minorEastAsia"/>
          <w:bCs/>
          <w:sz w:val="24"/>
          <w:highlight w:val="none"/>
        </w:rPr>
        <w:t>汽车制造业》（</w:t>
      </w:r>
      <w:r>
        <w:rPr>
          <w:rFonts w:eastAsiaTheme="minorEastAsia"/>
          <w:bCs/>
          <w:sz w:val="24"/>
          <w:highlight w:val="none"/>
        </w:rPr>
        <w:t>HJ971-2018</w:t>
      </w:r>
      <w:r>
        <w:rPr>
          <w:rFonts w:hAnsiTheme="minorEastAsia" w:eastAsiaTheme="minorEastAsia"/>
          <w:bCs/>
          <w:sz w:val="24"/>
          <w:highlight w:val="none"/>
        </w:rPr>
        <w:t>）表</w:t>
      </w:r>
      <w:r>
        <w:rPr>
          <w:rFonts w:eastAsiaTheme="minorEastAsia"/>
          <w:bCs/>
          <w:sz w:val="24"/>
          <w:highlight w:val="none"/>
        </w:rPr>
        <w:t>25</w:t>
      </w:r>
      <w:r>
        <w:rPr>
          <w:rFonts w:hAnsiTheme="minorEastAsia" w:eastAsiaTheme="minorEastAsia"/>
          <w:bCs/>
          <w:sz w:val="24"/>
          <w:highlight w:val="none"/>
        </w:rPr>
        <w:t>汽车制造业废气污染治理推荐可行技术清单中湿式机械加工采用机械过滤为可行性技术；根据《汽车工业污染防治可行技术指南》（</w:t>
      </w:r>
      <w:r>
        <w:rPr>
          <w:rFonts w:eastAsiaTheme="minorEastAsia"/>
          <w:bCs/>
          <w:sz w:val="24"/>
          <w:highlight w:val="none"/>
        </w:rPr>
        <w:t>HJ1181-2021</w:t>
      </w:r>
      <w:r>
        <w:rPr>
          <w:rFonts w:hAnsiTheme="minorEastAsia" w:eastAsiaTheme="minorEastAsia"/>
          <w:bCs/>
          <w:sz w:val="24"/>
          <w:highlight w:val="none"/>
        </w:rPr>
        <w:t>）</w:t>
      </w:r>
      <w:r>
        <w:rPr>
          <w:rFonts w:eastAsiaTheme="minorEastAsia"/>
          <w:bCs/>
          <w:sz w:val="24"/>
          <w:highlight w:val="none"/>
        </w:rPr>
        <w:t>6.1.2.1</w:t>
      </w:r>
      <w:r>
        <w:rPr>
          <w:rFonts w:hAnsiTheme="minorEastAsia" w:eastAsiaTheme="minorEastAsia"/>
          <w:bCs/>
          <w:sz w:val="24"/>
          <w:highlight w:val="none"/>
        </w:rPr>
        <w:t>机械过滤技术属于可行性技术，油雾去除效率一般可达到</w:t>
      </w:r>
      <w:r>
        <w:rPr>
          <w:rFonts w:eastAsiaTheme="minorEastAsia"/>
          <w:bCs/>
          <w:sz w:val="24"/>
          <w:highlight w:val="none"/>
        </w:rPr>
        <w:t>90%</w:t>
      </w:r>
      <w:r>
        <w:rPr>
          <w:rFonts w:hAnsiTheme="minorEastAsia" w:eastAsiaTheme="minorEastAsia"/>
          <w:bCs/>
          <w:sz w:val="24"/>
          <w:highlight w:val="none"/>
        </w:rPr>
        <w:t>以上</w:t>
      </w:r>
      <w:r>
        <w:rPr>
          <w:rFonts w:hint="eastAsia" w:hAnsiTheme="minorEastAsia" w:eastAsiaTheme="minorEastAsia"/>
          <w:bCs/>
          <w:sz w:val="24"/>
          <w:highlight w:val="none"/>
          <w:lang w:eastAsia="zh-CN"/>
        </w:rPr>
        <w:t>；</w:t>
      </w:r>
      <w:r>
        <w:rPr>
          <w:rFonts w:hint="eastAsia"/>
          <w:highlight w:val="none"/>
          <w:lang w:val="en-US" w:eastAsia="zh-CN"/>
        </w:rPr>
        <w:t>根据</w:t>
      </w:r>
      <w:r>
        <w:rPr>
          <w:rFonts w:hint="default"/>
          <w:highlight w:val="none"/>
        </w:rPr>
        <w:t>《排污许可证申请与核发技术规范废弃资源加工工业》（HJ1034—2019）中的相关要求，本项目该工序采用的活性炭吸附处理技术属于同类挥发性有机物废气处理的可行技术</w:t>
      </w:r>
      <w:r>
        <w:rPr>
          <w:rFonts w:hint="eastAsia"/>
          <w:highlight w:val="none"/>
          <w:lang w:eastAsia="zh-CN"/>
        </w:rPr>
        <w:t>，</w:t>
      </w:r>
      <w:r>
        <w:rPr>
          <w:rFonts w:hint="default"/>
          <w:highlight w:val="none"/>
        </w:rPr>
        <w:t>且该技术属于《挥发性有机物（VOCs）污染防治技术政策》要求的末端治理技术</w:t>
      </w:r>
      <w:r>
        <w:rPr>
          <w:highlight w:val="none"/>
        </w:rPr>
        <w:t>。</w:t>
      </w:r>
      <w:r>
        <w:rPr>
          <w:rFonts w:hint="eastAsia"/>
          <w:highlight w:val="none"/>
          <w:lang w:val="en-US" w:eastAsia="zh-CN"/>
        </w:rPr>
        <w:t>参照</w:t>
      </w:r>
      <w:r>
        <w:rPr>
          <w:rFonts w:hint="default"/>
          <w:highlight w:val="none"/>
        </w:rPr>
        <w:t>《排污许可证申请与核发技术规范</w:t>
      </w:r>
      <w:r>
        <w:rPr>
          <w:rFonts w:hint="eastAsia"/>
          <w:highlight w:val="none"/>
          <w:lang w:val="en-US" w:eastAsia="zh-CN"/>
        </w:rPr>
        <w:t>工业固体废物和危险废物治理</w:t>
      </w:r>
      <w:r>
        <w:rPr>
          <w:rFonts w:hint="default"/>
          <w:highlight w:val="none"/>
        </w:rPr>
        <w:t>》（HJ103</w:t>
      </w:r>
      <w:r>
        <w:rPr>
          <w:rFonts w:hint="eastAsia"/>
          <w:highlight w:val="none"/>
          <w:lang w:val="en-US" w:eastAsia="zh-CN"/>
        </w:rPr>
        <w:t>3</w:t>
      </w:r>
      <w:r>
        <w:rPr>
          <w:rFonts w:hint="default"/>
          <w:highlight w:val="none"/>
        </w:rPr>
        <w:t>—2019）</w:t>
      </w:r>
      <w:r>
        <w:rPr>
          <w:rFonts w:hint="eastAsia"/>
          <w:highlight w:val="none"/>
          <w:lang w:val="en-US" w:eastAsia="zh-CN"/>
        </w:rPr>
        <w:t>中表C.2危险废物（不含医疗废物）利用排污单位废气治理可行技术参考表</w:t>
      </w:r>
      <w:r>
        <w:rPr>
          <w:rFonts w:hint="default"/>
          <w:highlight w:val="none"/>
        </w:rPr>
        <w:t>，本项目该工序采用的活性炭吸附处理技术属于</w:t>
      </w:r>
      <w:r>
        <w:rPr>
          <w:rFonts w:hint="eastAsia"/>
          <w:highlight w:val="none"/>
          <w:lang w:val="en-US" w:eastAsia="zh-CN"/>
        </w:rPr>
        <w:t>臭气浓度</w:t>
      </w:r>
      <w:r>
        <w:rPr>
          <w:rFonts w:hint="default"/>
          <w:highlight w:val="none"/>
        </w:rPr>
        <w:t>废气处理的可行技术</w:t>
      </w:r>
      <w:r>
        <w:rPr>
          <w:rFonts w:hint="eastAsia"/>
          <w:highlight w:val="none"/>
          <w:lang w:eastAsia="zh-CN"/>
        </w:rPr>
        <w:t>。</w:t>
      </w:r>
    </w:p>
    <w:p w14:paraId="25AFA894">
      <w:pPr>
        <w:bidi w:val="0"/>
        <w:rPr>
          <w:rFonts w:hint="default"/>
          <w:highlight w:val="none"/>
          <w:lang w:val="en-US" w:eastAsia="zh-CN"/>
        </w:rPr>
      </w:pPr>
      <w:r>
        <w:rPr>
          <w:rFonts w:hint="eastAsia"/>
          <w:highlight w:val="none"/>
          <w:lang w:val="en-US" w:eastAsia="zh-CN"/>
        </w:rPr>
        <w:t>综上所述，本项目处理措施可行。</w:t>
      </w:r>
    </w:p>
    <w:p w14:paraId="73DE1059">
      <w:pPr>
        <w:pStyle w:val="6"/>
        <w:bidi w:val="0"/>
        <w:rPr>
          <w:highlight w:val="none"/>
        </w:rPr>
      </w:pPr>
      <w:r>
        <w:rPr>
          <w:rFonts w:hint="eastAsia"/>
          <w:highlight w:val="none"/>
          <w:lang w:val="en-US" w:eastAsia="zh-CN"/>
        </w:rPr>
        <w:t>6.2.1.2</w:t>
      </w:r>
      <w:r>
        <w:rPr>
          <w:rFonts w:hint="eastAsia"/>
          <w:highlight w:val="none"/>
        </w:rPr>
        <w:t>热</w:t>
      </w:r>
      <w:r>
        <w:rPr>
          <w:rFonts w:hint="eastAsia"/>
          <w:highlight w:val="none"/>
          <w:lang w:val="en-US" w:eastAsia="zh-CN"/>
        </w:rPr>
        <w:t>处理</w:t>
      </w:r>
      <w:r>
        <w:rPr>
          <w:rFonts w:hint="eastAsia"/>
          <w:highlight w:val="none"/>
        </w:rPr>
        <w:t>废气</w:t>
      </w:r>
      <w:r>
        <w:rPr>
          <w:highlight w:val="none"/>
        </w:rPr>
        <w:t>污染防治措施</w:t>
      </w:r>
    </w:p>
    <w:p w14:paraId="6EC3081F">
      <w:pPr>
        <w:bidi w:val="0"/>
        <w:rPr>
          <w:highlight w:val="none"/>
        </w:rPr>
      </w:pPr>
      <w:r>
        <w:rPr>
          <w:highlight w:val="none"/>
          <w:lang w:val="en-US" w:eastAsia="zh-CN"/>
        </w:rPr>
        <w:t>热处理</w:t>
      </w:r>
      <w:r>
        <w:rPr>
          <w:rFonts w:hint="eastAsia"/>
          <w:highlight w:val="none"/>
          <w:lang w:val="en-US" w:eastAsia="zh-CN"/>
        </w:rPr>
        <w:t>的多用炉采用低氮燃烧技术，</w:t>
      </w:r>
      <w:r>
        <w:rPr>
          <w:highlight w:val="none"/>
          <w:lang w:val="en-US" w:eastAsia="zh-CN"/>
        </w:rPr>
        <w:t>加工过程中产生的废气经相应设备排气口末端的</w:t>
      </w:r>
      <w:r>
        <w:rPr>
          <w:rFonts w:hint="eastAsia"/>
          <w:highlight w:val="none"/>
          <w:lang w:val="en-US" w:eastAsia="zh-CN"/>
        </w:rPr>
        <w:t>直接燃烧</w:t>
      </w:r>
      <w:r>
        <w:rPr>
          <w:highlight w:val="none"/>
          <w:lang w:val="en-US" w:eastAsia="zh-CN"/>
        </w:rPr>
        <w:t>装置燃烧处理后统一</w:t>
      </w:r>
      <w:r>
        <w:rPr>
          <w:rFonts w:hint="eastAsia"/>
          <w:highlight w:val="none"/>
          <w:lang w:val="en-US" w:eastAsia="zh-CN"/>
        </w:rPr>
        <w:t>收集，直接燃烧装置燃料为天然气，</w:t>
      </w:r>
      <w:r>
        <w:rPr>
          <w:highlight w:val="none"/>
          <w:lang w:val="en-US" w:eastAsia="zh-CN"/>
        </w:rPr>
        <w:t>最后通过</w:t>
      </w:r>
      <w:r>
        <w:rPr>
          <w:rFonts w:hint="eastAsia"/>
          <w:highlight w:val="none"/>
          <w:lang w:val="en-US" w:eastAsia="zh-CN"/>
        </w:rPr>
        <w:t>23m高的</w:t>
      </w:r>
      <w:r>
        <w:rPr>
          <w:highlight w:val="none"/>
          <w:lang w:val="en-US" w:eastAsia="zh-CN"/>
        </w:rPr>
        <w:t>排气筒</w:t>
      </w:r>
      <w:r>
        <w:rPr>
          <w:rFonts w:hint="eastAsia"/>
          <w:highlight w:val="none"/>
          <w:lang w:val="en-US" w:eastAsia="zh-CN"/>
        </w:rPr>
        <w:t>（DA064）</w:t>
      </w:r>
      <w:r>
        <w:rPr>
          <w:highlight w:val="none"/>
          <w:lang w:val="en-US" w:eastAsia="zh-CN"/>
        </w:rPr>
        <w:t>排放。</w:t>
      </w:r>
    </w:p>
    <w:p w14:paraId="7FA9158D">
      <w:pPr>
        <w:bidi w:val="0"/>
        <w:rPr>
          <w:rFonts w:hint="eastAsia"/>
          <w:highlight w:val="none"/>
          <w:lang w:val="en-US" w:eastAsia="zh-CN"/>
        </w:rPr>
      </w:pPr>
      <w:r>
        <w:rPr>
          <w:rFonts w:hint="eastAsia"/>
          <w:highlight w:val="none"/>
        </w:rPr>
        <w:t>根据</w:t>
      </w:r>
      <w:r>
        <w:rPr>
          <w:highlight w:val="none"/>
        </w:rPr>
        <w:t>《汽车工业污染防治可行技术指南》（HJ1181-2021）</w:t>
      </w:r>
      <w:r>
        <w:rPr>
          <w:rFonts w:hint="eastAsia"/>
          <w:highlight w:val="none"/>
          <w:lang w:eastAsia="zh-CN"/>
        </w:rPr>
        <w:t>，</w:t>
      </w:r>
      <w:r>
        <w:rPr>
          <w:rFonts w:hint="eastAsia"/>
          <w:highlight w:val="none"/>
          <w:lang w:val="en-US" w:eastAsia="zh-CN"/>
        </w:rPr>
        <w:t>6.1.5采用燃烧法VOCs治理技术属于</w:t>
      </w:r>
      <w:r>
        <w:rPr>
          <w:rFonts w:hint="eastAsia"/>
          <w:highlight w:val="none"/>
        </w:rPr>
        <w:t>可行性技术</w:t>
      </w:r>
      <w:r>
        <w:rPr>
          <w:rFonts w:hint="eastAsia"/>
          <w:highlight w:val="none"/>
          <w:lang w:eastAsia="zh-CN"/>
        </w:rPr>
        <w:t>，</w:t>
      </w:r>
      <w:r>
        <w:rPr>
          <w:rFonts w:hint="eastAsia"/>
          <w:highlight w:val="none"/>
          <w:lang w:val="en-US" w:eastAsia="zh-CN"/>
        </w:rPr>
        <w:t>VOCs去除一般可达95%以上，该技术常用的燃料是天然气</w:t>
      </w:r>
      <w:r>
        <w:rPr>
          <w:rFonts w:hint="eastAsia"/>
          <w:highlight w:val="none"/>
          <w:lang w:eastAsia="zh-CN"/>
        </w:rPr>
        <w:t>；</w:t>
      </w:r>
      <w:r>
        <w:rPr>
          <w:rFonts w:hint="eastAsia"/>
          <w:highlight w:val="none"/>
          <w:lang w:val="en-US" w:eastAsia="zh-CN"/>
        </w:rPr>
        <w:t>8.16燃油、燃气加热炉、加热装置废气污染防治可行技术，低氮燃烧技术属于可行性技术。</w:t>
      </w:r>
    </w:p>
    <w:p w14:paraId="76A59BEF">
      <w:pPr>
        <w:pStyle w:val="6"/>
        <w:bidi w:val="0"/>
        <w:rPr>
          <w:highlight w:val="none"/>
        </w:rPr>
      </w:pPr>
      <w:r>
        <w:rPr>
          <w:rFonts w:hint="eastAsia"/>
          <w:highlight w:val="none"/>
          <w:lang w:val="en-US" w:eastAsia="zh-CN"/>
        </w:rPr>
        <w:t>6.2.1.3</w:t>
      </w:r>
      <w:r>
        <w:rPr>
          <w:highlight w:val="none"/>
        </w:rPr>
        <w:t>无组织污染防治措施</w:t>
      </w:r>
    </w:p>
    <w:p w14:paraId="23AB2673">
      <w:pPr>
        <w:spacing w:line="360" w:lineRule="auto"/>
        <w:ind w:firstLine="480" w:firstLineChars="200"/>
        <w:contextualSpacing/>
        <w:rPr>
          <w:rFonts w:eastAsiaTheme="minorEastAsia"/>
          <w:kern w:val="0"/>
          <w:sz w:val="24"/>
          <w:highlight w:val="none"/>
        </w:rPr>
      </w:pPr>
      <w:r>
        <w:rPr>
          <w:rFonts w:hAnsiTheme="minorEastAsia" w:eastAsiaTheme="minorEastAsia"/>
          <w:kern w:val="0"/>
          <w:sz w:val="24"/>
          <w:highlight w:val="none"/>
        </w:rPr>
        <w:t>本项目采用低</w:t>
      </w:r>
      <w:r>
        <w:rPr>
          <w:rFonts w:eastAsiaTheme="minorEastAsia"/>
          <w:kern w:val="0"/>
          <w:sz w:val="24"/>
          <w:highlight w:val="none"/>
        </w:rPr>
        <w:t>VOCs</w:t>
      </w:r>
      <w:r>
        <w:rPr>
          <w:rFonts w:hAnsiTheme="minorEastAsia" w:eastAsiaTheme="minorEastAsia"/>
          <w:kern w:val="0"/>
          <w:sz w:val="24"/>
          <w:highlight w:val="none"/>
        </w:rPr>
        <w:t>原料，封口胶中挥发性有机物含量</w:t>
      </w:r>
      <w:r>
        <w:rPr>
          <w:rFonts w:hint="eastAsia" w:hAnsiTheme="minorEastAsia" w:eastAsiaTheme="minorEastAsia"/>
          <w:kern w:val="0"/>
          <w:sz w:val="24"/>
          <w:highlight w:val="none"/>
        </w:rPr>
        <w:t>＜5</w:t>
      </w:r>
      <w:r>
        <w:rPr>
          <w:rFonts w:eastAsiaTheme="minorEastAsia"/>
          <w:kern w:val="0"/>
          <w:sz w:val="24"/>
          <w:highlight w:val="none"/>
        </w:rPr>
        <w:t>%</w:t>
      </w:r>
      <w:r>
        <w:rPr>
          <w:rFonts w:hAnsiTheme="minorEastAsia" w:eastAsiaTheme="minorEastAsia"/>
          <w:kern w:val="0"/>
          <w:sz w:val="24"/>
          <w:highlight w:val="none"/>
        </w:rPr>
        <w:t>，从源头减少有机气体排放。</w:t>
      </w:r>
    </w:p>
    <w:p w14:paraId="53100E55">
      <w:pPr>
        <w:spacing w:line="360" w:lineRule="auto"/>
        <w:ind w:firstLine="480" w:firstLineChars="200"/>
        <w:contextualSpacing/>
        <w:rPr>
          <w:rFonts w:hAnsiTheme="minorEastAsia" w:eastAsiaTheme="minorEastAsia"/>
          <w:sz w:val="24"/>
          <w:highlight w:val="none"/>
        </w:rPr>
      </w:pPr>
      <w:r>
        <w:rPr>
          <w:rFonts w:hint="eastAsia" w:hAnsiTheme="minorEastAsia" w:eastAsiaTheme="minorEastAsia"/>
          <w:sz w:val="24"/>
          <w:highlight w:val="none"/>
        </w:rPr>
        <w:t>生态环境部关于印发《重点行业挥发性有机物综合治理方案》的通知（环大气[2019]53号）中明确“企业采用符合国家有关低VOCs含量产品规定的涂料、油墨、胶粘剂等，排放浓度稳定达标且排放速率、排放绩效等满足相关规定的，相应生产工序可不要求建设末端治理设施。使用的原辅材料VOCs含量（质量比）低于10%的工序，可不要求采取无组织排放收集措施。”</w:t>
      </w:r>
    </w:p>
    <w:p w14:paraId="31CD0DC6">
      <w:pPr>
        <w:spacing w:line="360" w:lineRule="auto"/>
        <w:ind w:firstLine="480" w:firstLineChars="200"/>
        <w:contextualSpacing/>
        <w:rPr>
          <w:rFonts w:hAnsiTheme="minorEastAsia" w:eastAsiaTheme="minorEastAsia"/>
          <w:sz w:val="24"/>
          <w:highlight w:val="none"/>
        </w:rPr>
      </w:pPr>
      <w:r>
        <w:rPr>
          <w:rFonts w:hAnsiTheme="minorEastAsia" w:eastAsiaTheme="minorEastAsia"/>
          <w:sz w:val="24"/>
          <w:highlight w:val="none"/>
        </w:rPr>
        <w:t>为进一步减少无组织废气的排放，建议采取如下措施：</w:t>
      </w:r>
    </w:p>
    <w:p w14:paraId="5179B475">
      <w:pPr>
        <w:spacing w:line="360" w:lineRule="auto"/>
        <w:ind w:firstLine="480" w:firstLineChars="200"/>
        <w:contextualSpacing/>
        <w:rPr>
          <w:rFonts w:eastAsiaTheme="minorEastAsia"/>
          <w:sz w:val="24"/>
          <w:highlight w:val="none"/>
        </w:rPr>
      </w:pPr>
      <w:r>
        <w:rPr>
          <w:rFonts w:hAnsiTheme="minorEastAsia" w:eastAsiaTheme="minorEastAsia"/>
          <w:sz w:val="24"/>
          <w:highlight w:val="none"/>
        </w:rPr>
        <w:t>①按照规范操作</w:t>
      </w:r>
      <w:r>
        <w:rPr>
          <w:rFonts w:hint="eastAsia" w:hAnsiTheme="minorEastAsia" w:eastAsiaTheme="minorEastAsia"/>
          <w:sz w:val="24"/>
          <w:highlight w:val="none"/>
        </w:rPr>
        <w:t>。</w:t>
      </w:r>
      <w:r>
        <w:rPr>
          <w:rFonts w:hAnsiTheme="minorEastAsia" w:eastAsiaTheme="minorEastAsia"/>
          <w:sz w:val="24"/>
          <w:highlight w:val="none"/>
        </w:rPr>
        <w:t>尽可能减少污染物产生量，操作人员应要求按照规范操作。</w:t>
      </w:r>
    </w:p>
    <w:p w14:paraId="2C737EB6">
      <w:pPr>
        <w:spacing w:line="360" w:lineRule="auto"/>
        <w:ind w:firstLine="480" w:firstLineChars="200"/>
        <w:contextualSpacing/>
        <w:rPr>
          <w:rFonts w:eastAsiaTheme="minorEastAsia"/>
          <w:sz w:val="24"/>
          <w:highlight w:val="none"/>
        </w:rPr>
      </w:pPr>
      <w:r>
        <w:rPr>
          <w:rFonts w:hAnsiTheme="minorEastAsia" w:eastAsiaTheme="minorEastAsia"/>
          <w:sz w:val="24"/>
          <w:highlight w:val="none"/>
        </w:rPr>
        <w:t>②增强车间通风</w:t>
      </w:r>
      <w:r>
        <w:rPr>
          <w:rFonts w:hint="eastAsia" w:hAnsiTheme="minorEastAsia" w:eastAsiaTheme="minorEastAsia"/>
          <w:sz w:val="24"/>
          <w:highlight w:val="none"/>
        </w:rPr>
        <w:t>。</w:t>
      </w:r>
      <w:r>
        <w:rPr>
          <w:rFonts w:hAnsiTheme="minorEastAsia" w:eastAsiaTheme="minorEastAsia"/>
          <w:sz w:val="24"/>
          <w:highlight w:val="none"/>
        </w:rPr>
        <w:t>降低无组织排放浓度，加强车间通风，以达到降低污染物在车间的局部区域的浓度，减少对职工的健康安全和环境影响。</w:t>
      </w:r>
    </w:p>
    <w:p w14:paraId="10DB4928">
      <w:pPr>
        <w:spacing w:line="360" w:lineRule="auto"/>
        <w:ind w:firstLine="480" w:firstLineChars="200"/>
        <w:contextualSpacing/>
        <w:rPr>
          <w:rFonts w:hAnsiTheme="minorEastAsia" w:eastAsiaTheme="minorEastAsia"/>
          <w:sz w:val="24"/>
          <w:highlight w:val="none"/>
        </w:rPr>
      </w:pPr>
      <w:r>
        <w:rPr>
          <w:rFonts w:eastAsiaTheme="minorEastAsia"/>
          <w:sz w:val="24"/>
          <w:highlight w:val="none"/>
        </w:rPr>
        <w:fldChar w:fldCharType="begin"/>
      </w:r>
      <w:r>
        <w:rPr>
          <w:rFonts w:eastAsiaTheme="minorEastAsia"/>
          <w:sz w:val="24"/>
          <w:highlight w:val="none"/>
        </w:rPr>
        <w:instrText xml:space="preserve"> = 3 \* GB3 </w:instrText>
      </w:r>
      <w:r>
        <w:rPr>
          <w:rFonts w:eastAsiaTheme="minorEastAsia"/>
          <w:sz w:val="24"/>
          <w:highlight w:val="none"/>
        </w:rPr>
        <w:fldChar w:fldCharType="separate"/>
      </w:r>
      <w:r>
        <w:rPr>
          <w:rFonts w:hAnsiTheme="minorEastAsia" w:eastAsiaTheme="minorEastAsia"/>
          <w:sz w:val="24"/>
          <w:highlight w:val="none"/>
        </w:rPr>
        <w:t>③</w:t>
      </w:r>
      <w:r>
        <w:rPr>
          <w:rFonts w:eastAsiaTheme="minorEastAsia"/>
          <w:sz w:val="24"/>
          <w:highlight w:val="none"/>
        </w:rPr>
        <w:fldChar w:fldCharType="end"/>
      </w:r>
      <w:r>
        <w:rPr>
          <w:rFonts w:hint="eastAsia" w:hAnsiTheme="minorEastAsia" w:eastAsiaTheme="minorEastAsia"/>
          <w:sz w:val="24"/>
          <w:highlight w:val="none"/>
          <w:lang w:val="en-US" w:eastAsia="zh-CN"/>
        </w:rPr>
        <w:t>本项目废液及废油</w:t>
      </w:r>
      <w:r>
        <w:rPr>
          <w:rFonts w:hAnsiTheme="minorEastAsia" w:eastAsiaTheme="minorEastAsia"/>
          <w:sz w:val="24"/>
          <w:highlight w:val="none"/>
        </w:rPr>
        <w:t>储存于密闭容器中</w:t>
      </w:r>
      <w:r>
        <w:rPr>
          <w:rFonts w:hint="eastAsia" w:hAnsiTheme="minorEastAsia" w:eastAsiaTheme="minorEastAsia"/>
          <w:sz w:val="24"/>
          <w:highlight w:val="none"/>
          <w:lang w:eastAsia="zh-CN"/>
        </w:rPr>
        <w:t>；</w:t>
      </w:r>
      <w:r>
        <w:rPr>
          <w:rFonts w:hint="eastAsia" w:hAnsiTheme="minorEastAsia" w:eastAsiaTheme="minorEastAsia"/>
          <w:sz w:val="24"/>
          <w:highlight w:val="none"/>
          <w:lang w:val="en-US" w:eastAsia="zh-CN"/>
        </w:rPr>
        <w:t>含油金属屑存于封闭原料贮存区内</w:t>
      </w:r>
      <w:r>
        <w:rPr>
          <w:rFonts w:hAnsiTheme="minorEastAsia" w:eastAsiaTheme="minorEastAsia"/>
          <w:sz w:val="24"/>
          <w:highlight w:val="none"/>
        </w:rPr>
        <w:t>。</w:t>
      </w:r>
    </w:p>
    <w:p w14:paraId="5524F81F">
      <w:pPr>
        <w:spacing w:line="360" w:lineRule="auto"/>
        <w:ind w:firstLine="480" w:firstLineChars="200"/>
        <w:contextualSpacing/>
        <w:rPr>
          <w:rFonts w:eastAsiaTheme="minorEastAsia"/>
          <w:sz w:val="24"/>
          <w:highlight w:val="none"/>
        </w:rPr>
      </w:pPr>
      <w:r>
        <w:rPr>
          <w:rFonts w:hAnsiTheme="minorEastAsia" w:eastAsiaTheme="minorEastAsia"/>
          <w:sz w:val="24"/>
          <w:highlight w:val="none"/>
        </w:rPr>
        <w:t>由以上分析可知，本项目各项废气处理措施可行，可确保污染物排放浓度和排放速率达标。</w:t>
      </w:r>
    </w:p>
    <w:p w14:paraId="6AD61F0B">
      <w:pPr>
        <w:spacing w:line="360" w:lineRule="auto"/>
        <w:ind w:firstLine="480" w:firstLineChars="200"/>
        <w:contextualSpacing/>
        <w:rPr>
          <w:rFonts w:eastAsiaTheme="minorEastAsia"/>
          <w:sz w:val="24"/>
          <w:highlight w:val="none"/>
        </w:rPr>
      </w:pPr>
      <w:r>
        <w:rPr>
          <w:rFonts w:hAnsiTheme="minorEastAsia" w:eastAsiaTheme="minorEastAsia"/>
          <w:sz w:val="24"/>
          <w:highlight w:val="none"/>
        </w:rPr>
        <w:t>拟建项目采取的废气治理措施属于可行性技术，可有效减少废气排放，措施可行。拟建项目产生的废气经大气稀释扩散后，对大气环境影响较小。</w:t>
      </w:r>
    </w:p>
    <w:p w14:paraId="51F2B689">
      <w:pPr>
        <w:pStyle w:val="4"/>
        <w:bidi w:val="0"/>
        <w:rPr>
          <w:highlight w:val="none"/>
        </w:rPr>
      </w:pPr>
      <w:bookmarkStart w:id="511" w:name="_Toc24960"/>
      <w:bookmarkStart w:id="512" w:name="_Toc28445"/>
      <w:r>
        <w:rPr>
          <w:highlight w:val="none"/>
        </w:rPr>
        <w:t>6.2.2水环境保护措施及其可行性论证</w:t>
      </w:r>
      <w:bookmarkEnd w:id="511"/>
      <w:bookmarkEnd w:id="512"/>
    </w:p>
    <w:p w14:paraId="6BDB2CD3">
      <w:pPr>
        <w:pStyle w:val="6"/>
        <w:bidi w:val="0"/>
        <w:rPr>
          <w:highlight w:val="none"/>
        </w:rPr>
      </w:pPr>
      <w:r>
        <w:rPr>
          <w:highlight w:val="none"/>
        </w:rPr>
        <w:t>6.2.2.1生产废水治理措施</w:t>
      </w:r>
    </w:p>
    <w:p w14:paraId="4C9EAAE4">
      <w:pPr>
        <w:spacing w:line="360" w:lineRule="auto"/>
        <w:ind w:firstLine="480" w:firstLineChars="200"/>
        <w:contextualSpacing/>
        <w:rPr>
          <w:rFonts w:eastAsiaTheme="minorEastAsia"/>
          <w:sz w:val="24"/>
          <w:highlight w:val="none"/>
        </w:rPr>
      </w:pPr>
      <w:r>
        <w:rPr>
          <w:rFonts w:hAnsiTheme="minorEastAsia" w:eastAsiaTheme="minorEastAsia"/>
          <w:sz w:val="24"/>
          <w:highlight w:val="none"/>
        </w:rPr>
        <w:t>项目产生的废水主要是生活污水，生产废水。</w:t>
      </w:r>
      <w:r>
        <w:rPr>
          <w:rFonts w:hAnsiTheme="minorEastAsia" w:eastAsiaTheme="minorEastAsia"/>
          <w:kern w:val="0"/>
          <w:sz w:val="24"/>
          <w:highlight w:val="none"/>
        </w:rPr>
        <w:t>生活污水经过市政管网排入文昌污水处理厂，处理达标后排入阿什河，最终汇入松花江；</w:t>
      </w:r>
      <w:r>
        <w:rPr>
          <w:rFonts w:hAnsiTheme="minorEastAsia" w:eastAsiaTheme="minorEastAsia"/>
          <w:sz w:val="24"/>
          <w:highlight w:val="none"/>
        </w:rPr>
        <w:t>生产废水利用哈尔滨东安汽车发动机制造有限公司</w:t>
      </w:r>
      <w:r>
        <w:rPr>
          <w:rFonts w:eastAsiaTheme="minorEastAsia"/>
          <w:sz w:val="24"/>
          <w:highlight w:val="none"/>
        </w:rPr>
        <w:t>4</w:t>
      </w:r>
      <w:r>
        <w:rPr>
          <w:rFonts w:hAnsiTheme="minorEastAsia" w:eastAsiaTheme="minorEastAsia"/>
          <w:sz w:val="24"/>
          <w:highlight w:val="none"/>
        </w:rPr>
        <w:t>号联合厂房内污水处理站处理，处理达标后排入文昌污水处理厂，处理达标后排入阿什河，最终汇入松花江。</w:t>
      </w:r>
    </w:p>
    <w:p w14:paraId="6E14860D">
      <w:pPr>
        <w:pStyle w:val="6"/>
        <w:bidi w:val="0"/>
        <w:rPr>
          <w:highlight w:val="none"/>
        </w:rPr>
      </w:pPr>
      <w:r>
        <w:rPr>
          <w:highlight w:val="none"/>
        </w:rPr>
        <w:t>6.2.2.</w:t>
      </w:r>
      <w:r>
        <w:rPr>
          <w:rFonts w:hint="eastAsia"/>
          <w:highlight w:val="none"/>
          <w:lang w:val="en-US" w:eastAsia="zh-CN"/>
        </w:rPr>
        <w:t>2</w:t>
      </w:r>
      <w:r>
        <w:rPr>
          <w:highlight w:val="none"/>
        </w:rPr>
        <w:t>依托</w:t>
      </w:r>
      <w:r>
        <w:rPr>
          <w:rFonts w:hint="eastAsia"/>
          <w:highlight w:val="none"/>
          <w:lang w:val="en-US" w:eastAsia="zh-CN"/>
        </w:rPr>
        <w:t>4号厂房污水处理站</w:t>
      </w:r>
      <w:r>
        <w:rPr>
          <w:highlight w:val="none"/>
        </w:rPr>
        <w:t>的可行性分析</w:t>
      </w:r>
    </w:p>
    <w:p w14:paraId="61B793DA">
      <w:pPr>
        <w:spacing w:line="360" w:lineRule="auto"/>
        <w:ind w:firstLine="480" w:firstLineChars="200"/>
        <w:contextualSpacing/>
        <w:rPr>
          <w:rFonts w:hAnsiTheme="minorEastAsia" w:eastAsiaTheme="minorEastAsia"/>
          <w:snapToGrid w:val="0"/>
          <w:kern w:val="0"/>
          <w:sz w:val="24"/>
          <w:highlight w:val="none"/>
        </w:rPr>
      </w:pPr>
      <w:bookmarkStart w:id="513" w:name="_Toc15153"/>
      <w:bookmarkStart w:id="514" w:name="_Toc17991"/>
      <w:r>
        <w:rPr>
          <w:rFonts w:hAnsiTheme="minorEastAsia" w:eastAsiaTheme="minorEastAsia"/>
          <w:snapToGrid w:val="0"/>
          <w:kern w:val="0"/>
          <w:sz w:val="24"/>
          <w:highlight w:val="none"/>
        </w:rPr>
        <w:t>哈尔滨东安汽车发动机制造有限公司4号联合厂房内污水处理站：</w:t>
      </w:r>
    </w:p>
    <w:p w14:paraId="32CEE21B">
      <w:pPr>
        <w:spacing w:line="360" w:lineRule="auto"/>
        <w:ind w:firstLine="480" w:firstLineChars="200"/>
        <w:contextualSpacing/>
        <w:rPr>
          <w:rFonts w:hAnsiTheme="minorEastAsia" w:eastAsiaTheme="minorEastAsia"/>
          <w:snapToGrid w:val="0"/>
          <w:kern w:val="0"/>
          <w:sz w:val="24"/>
          <w:highlight w:val="none"/>
        </w:rPr>
      </w:pPr>
      <w:r>
        <w:rPr>
          <w:rFonts w:hint="eastAsia" w:hAnsiTheme="minorEastAsia" w:eastAsiaTheme="minorEastAsia"/>
          <w:snapToGrid w:val="0"/>
          <w:kern w:val="0"/>
          <w:sz w:val="24"/>
          <w:highlight w:val="none"/>
        </w:rPr>
        <w:t>1.废切削液、清洗液废水预处理</w:t>
      </w:r>
      <w:r>
        <w:rPr>
          <w:rFonts w:hAnsiTheme="minorEastAsia" w:eastAsiaTheme="minorEastAsia"/>
          <w:snapToGrid w:val="0"/>
          <w:kern w:val="0"/>
          <w:sz w:val="24"/>
          <w:highlight w:val="none"/>
        </w:rPr>
        <w:t>系统：</w:t>
      </w:r>
      <w:r>
        <w:rPr>
          <w:rFonts w:hint="eastAsia" w:hAnsiTheme="minorEastAsia" w:eastAsiaTheme="minorEastAsia"/>
          <w:snapToGrid w:val="0"/>
          <w:kern w:val="0"/>
          <w:sz w:val="24"/>
          <w:highlight w:val="none"/>
        </w:rPr>
        <w:t>处理能力30t/d</w:t>
      </w:r>
      <w:r>
        <w:rPr>
          <w:rFonts w:hAnsiTheme="minorEastAsia" w:eastAsiaTheme="minorEastAsia"/>
          <w:snapToGrid w:val="0"/>
          <w:kern w:val="0"/>
          <w:sz w:val="24"/>
          <w:highlight w:val="none"/>
        </w:rPr>
        <w:t>。项目产生的废</w:t>
      </w:r>
      <w:r>
        <w:rPr>
          <w:rFonts w:hint="eastAsia" w:hAnsiTheme="minorEastAsia" w:eastAsiaTheme="minorEastAsia"/>
          <w:snapToGrid w:val="0"/>
          <w:kern w:val="0"/>
          <w:sz w:val="24"/>
          <w:highlight w:val="none"/>
        </w:rPr>
        <w:t>切削液和清洗液废水经废水预处理系统“破乳+隔油+油水分离膜系统”预处理后进入综合废水处理系统。</w:t>
      </w:r>
    </w:p>
    <w:p w14:paraId="71DF8A81">
      <w:pPr>
        <w:spacing w:line="360" w:lineRule="auto"/>
        <w:ind w:firstLine="480" w:firstLineChars="200"/>
        <w:contextualSpacing/>
        <w:rPr>
          <w:rFonts w:hAnsiTheme="minorEastAsia" w:eastAsiaTheme="minorEastAsia"/>
          <w:snapToGrid w:val="0"/>
          <w:kern w:val="0"/>
          <w:sz w:val="24"/>
          <w:highlight w:val="none"/>
        </w:rPr>
      </w:pPr>
      <w:r>
        <w:rPr>
          <w:rFonts w:hint="eastAsia" w:hAnsiTheme="minorEastAsia" w:eastAsiaTheme="minorEastAsia"/>
          <w:snapToGrid w:val="0"/>
          <w:kern w:val="0"/>
          <w:sz w:val="24"/>
          <w:highlight w:val="none"/>
        </w:rPr>
        <w:t>2.综合处理系统：处理能力120t/d，主要采用“A</w:t>
      </w:r>
      <w:r>
        <w:rPr>
          <w:rFonts w:hint="eastAsia" w:hAnsiTheme="minorEastAsia" w:eastAsiaTheme="minorEastAsia"/>
          <w:snapToGrid w:val="0"/>
          <w:kern w:val="0"/>
          <w:sz w:val="24"/>
          <w:highlight w:val="none"/>
          <w:vertAlign w:val="superscript"/>
        </w:rPr>
        <w:t>2</w:t>
      </w:r>
      <w:r>
        <w:rPr>
          <w:rFonts w:hint="eastAsia" w:hAnsiTheme="minorEastAsia" w:eastAsiaTheme="minorEastAsia"/>
          <w:snapToGrid w:val="0"/>
          <w:kern w:val="0"/>
          <w:sz w:val="24"/>
          <w:highlight w:val="none"/>
        </w:rPr>
        <w:t>O+MBR”工艺进行深度处理，出水排入MBR产水池，经RO膜反渗透处理后，经监测达到《污水综合排放标准》（GB8978-1996）三级排放标准后排入文昌污水处理厂，经处理后的污水水质排放标准为《城镇污水处理厂污染物排放标准》（GB18918-2002）一级A标准，排入阿什河，最终汇入松花江。</w:t>
      </w:r>
    </w:p>
    <w:p w14:paraId="0B1557C5">
      <w:pPr>
        <w:spacing w:line="360" w:lineRule="auto"/>
        <w:ind w:firstLine="480" w:firstLineChars="200"/>
        <w:rPr>
          <w:rFonts w:hAnsiTheme="minorEastAsia" w:eastAsiaTheme="minorEastAsia"/>
          <w:snapToGrid w:val="0"/>
          <w:kern w:val="0"/>
          <w:sz w:val="24"/>
          <w:highlight w:val="none"/>
        </w:rPr>
      </w:pPr>
      <w:r>
        <w:rPr>
          <w:rFonts w:hint="eastAsia" w:hAnsiTheme="minorEastAsia" w:eastAsiaTheme="minorEastAsia"/>
          <w:kern w:val="0"/>
          <w:sz w:val="24"/>
          <w:highlight w:val="none"/>
          <w:lang w:val="en-US" w:eastAsia="zh-CN"/>
        </w:rPr>
        <w:t>本项目改造后废水产生量较改造前无变化，</w:t>
      </w:r>
      <w:r>
        <w:rPr>
          <w:rFonts w:hAnsiTheme="minorEastAsia" w:eastAsiaTheme="minorEastAsia"/>
          <w:kern w:val="0"/>
          <w:sz w:val="24"/>
          <w:highlight w:val="none"/>
        </w:rPr>
        <w:t>污水处理站设计能力能够满足本项目水量、水质要求，废水不会对处理站造成冲击负荷。</w:t>
      </w:r>
      <w:r>
        <w:rPr>
          <w:rFonts w:hAnsiTheme="minorEastAsia" w:eastAsiaTheme="minorEastAsia"/>
          <w:snapToGrid w:val="0"/>
          <w:kern w:val="0"/>
          <w:sz w:val="24"/>
          <w:highlight w:val="none"/>
        </w:rPr>
        <w:t>根据</w:t>
      </w:r>
      <w:r>
        <w:rPr>
          <w:rFonts w:hAnsiTheme="minorEastAsia" w:eastAsiaTheme="minorEastAsia"/>
          <w:bCs/>
          <w:sz w:val="24"/>
          <w:highlight w:val="none"/>
        </w:rPr>
        <w:t>《排污许可证申请与核发技术规范</w:t>
      </w:r>
      <w:r>
        <w:rPr>
          <w:rFonts w:eastAsiaTheme="minorEastAsia"/>
          <w:bCs/>
          <w:sz w:val="24"/>
          <w:highlight w:val="none"/>
        </w:rPr>
        <w:t xml:space="preserve"> </w:t>
      </w:r>
      <w:r>
        <w:rPr>
          <w:rFonts w:hAnsiTheme="minorEastAsia" w:eastAsiaTheme="minorEastAsia"/>
          <w:bCs/>
          <w:sz w:val="24"/>
          <w:highlight w:val="none"/>
        </w:rPr>
        <w:t>汽车制造业》（</w:t>
      </w:r>
      <w:r>
        <w:rPr>
          <w:rFonts w:eastAsiaTheme="minorEastAsia"/>
          <w:bCs/>
          <w:sz w:val="24"/>
          <w:highlight w:val="none"/>
        </w:rPr>
        <w:t>HJ971-2018</w:t>
      </w:r>
      <w:r>
        <w:rPr>
          <w:rFonts w:hAnsiTheme="minorEastAsia" w:eastAsiaTheme="minorEastAsia"/>
          <w:bCs/>
          <w:sz w:val="24"/>
          <w:highlight w:val="none"/>
        </w:rPr>
        <w:t>）固体废物处理方式及去向中废</w:t>
      </w:r>
      <w:r>
        <w:rPr>
          <w:rFonts w:hint="eastAsia" w:hAnsiTheme="minorEastAsia" w:eastAsiaTheme="minorEastAsia"/>
          <w:bCs/>
          <w:sz w:val="24"/>
          <w:highlight w:val="none"/>
        </w:rPr>
        <w:t>切削液、废清洗液通过“</w:t>
      </w:r>
      <w:r>
        <w:rPr>
          <w:rFonts w:hAnsiTheme="minorEastAsia" w:eastAsiaTheme="minorEastAsia"/>
          <w:sz w:val="24"/>
          <w:highlight w:val="none"/>
        </w:rPr>
        <w:t>提胶</w:t>
      </w:r>
      <w:r>
        <w:rPr>
          <w:rFonts w:eastAsiaTheme="minorEastAsia"/>
          <w:sz w:val="24"/>
          <w:highlight w:val="none"/>
        </w:rPr>
        <w:t>+</w:t>
      </w:r>
      <w:r>
        <w:rPr>
          <w:rFonts w:hAnsiTheme="minorEastAsia" w:eastAsiaTheme="minorEastAsia"/>
          <w:sz w:val="24"/>
          <w:highlight w:val="none"/>
        </w:rPr>
        <w:t>破乳</w:t>
      </w:r>
      <w:r>
        <w:rPr>
          <w:rFonts w:hint="eastAsia" w:hAnsiTheme="minorEastAsia" w:eastAsiaTheme="minorEastAsia"/>
          <w:bCs/>
          <w:sz w:val="24"/>
          <w:highlight w:val="none"/>
        </w:rPr>
        <w:t>”工艺处置以达到减量的目的。</w:t>
      </w:r>
      <w:r>
        <w:rPr>
          <w:rFonts w:hAnsiTheme="minorEastAsia" w:eastAsiaTheme="minorEastAsia"/>
          <w:bCs/>
          <w:sz w:val="24"/>
          <w:highlight w:val="none"/>
        </w:rPr>
        <w:t>《排污许可证申请与核发技术规范</w:t>
      </w:r>
      <w:r>
        <w:rPr>
          <w:rFonts w:eastAsiaTheme="minorEastAsia"/>
          <w:bCs/>
          <w:sz w:val="24"/>
          <w:highlight w:val="none"/>
        </w:rPr>
        <w:t xml:space="preserve"> </w:t>
      </w:r>
      <w:r>
        <w:rPr>
          <w:rFonts w:hAnsiTheme="minorEastAsia" w:eastAsiaTheme="minorEastAsia"/>
          <w:bCs/>
          <w:sz w:val="24"/>
          <w:highlight w:val="none"/>
        </w:rPr>
        <w:t>汽车制造业》（</w:t>
      </w:r>
      <w:r>
        <w:rPr>
          <w:rFonts w:eastAsiaTheme="minorEastAsia"/>
          <w:bCs/>
          <w:sz w:val="24"/>
          <w:highlight w:val="none"/>
        </w:rPr>
        <w:t>HJ971-2018</w:t>
      </w:r>
      <w:r>
        <w:rPr>
          <w:rFonts w:hAnsiTheme="minorEastAsia" w:eastAsiaTheme="minorEastAsia"/>
          <w:bCs/>
          <w:sz w:val="24"/>
          <w:highlight w:val="none"/>
        </w:rPr>
        <w:t>）表</w:t>
      </w:r>
      <w:r>
        <w:rPr>
          <w:rFonts w:eastAsiaTheme="minorEastAsia"/>
          <w:bCs/>
          <w:sz w:val="24"/>
          <w:highlight w:val="none"/>
        </w:rPr>
        <w:t>26</w:t>
      </w:r>
      <w:r>
        <w:rPr>
          <w:rFonts w:hAnsiTheme="minorEastAsia" w:eastAsiaTheme="minorEastAsia"/>
          <w:bCs/>
          <w:sz w:val="24"/>
          <w:highlight w:val="none"/>
        </w:rPr>
        <w:t>汽车制造业单位废水类型、污染物类型及污染治理推荐可行技术中，废切削液、清洗液废水采用</w:t>
      </w:r>
      <w:r>
        <w:rPr>
          <w:rFonts w:eastAsiaTheme="minorEastAsia"/>
          <w:bCs/>
          <w:sz w:val="24"/>
          <w:highlight w:val="none"/>
        </w:rPr>
        <w:t>“</w:t>
      </w:r>
      <w:r>
        <w:rPr>
          <w:rFonts w:hAnsiTheme="minorEastAsia" w:eastAsiaTheme="minorEastAsia"/>
          <w:sz w:val="24"/>
          <w:highlight w:val="none"/>
        </w:rPr>
        <w:t>提胶</w:t>
      </w:r>
      <w:r>
        <w:rPr>
          <w:rFonts w:eastAsiaTheme="minorEastAsia"/>
          <w:sz w:val="24"/>
          <w:highlight w:val="none"/>
        </w:rPr>
        <w:t>+</w:t>
      </w:r>
      <w:r>
        <w:rPr>
          <w:rFonts w:hAnsiTheme="minorEastAsia" w:eastAsiaTheme="minorEastAsia"/>
          <w:sz w:val="24"/>
          <w:highlight w:val="none"/>
        </w:rPr>
        <w:t>破乳</w:t>
      </w:r>
      <w:r>
        <w:rPr>
          <w:rFonts w:eastAsiaTheme="minorEastAsia"/>
          <w:sz w:val="24"/>
          <w:highlight w:val="none"/>
        </w:rPr>
        <w:t>+</w:t>
      </w:r>
      <w:r>
        <w:rPr>
          <w:rFonts w:hAnsiTheme="minorEastAsia" w:eastAsiaTheme="minorEastAsia"/>
          <w:sz w:val="24"/>
          <w:highlight w:val="none"/>
        </w:rPr>
        <w:t>隔油</w:t>
      </w:r>
      <w:r>
        <w:rPr>
          <w:rFonts w:eastAsiaTheme="minorEastAsia"/>
          <w:sz w:val="24"/>
          <w:highlight w:val="none"/>
        </w:rPr>
        <w:t>+</w:t>
      </w:r>
      <w:r>
        <w:rPr>
          <w:rFonts w:hAnsiTheme="minorEastAsia" w:eastAsiaTheme="minorEastAsia"/>
          <w:sz w:val="24"/>
          <w:highlight w:val="none"/>
        </w:rPr>
        <w:t>厌氧</w:t>
      </w:r>
      <w:r>
        <w:rPr>
          <w:rFonts w:eastAsiaTheme="minorEastAsia"/>
          <w:sz w:val="24"/>
          <w:highlight w:val="none"/>
        </w:rPr>
        <w:t>-</w:t>
      </w:r>
      <w:r>
        <w:rPr>
          <w:rFonts w:hAnsiTheme="minorEastAsia" w:eastAsiaTheme="minorEastAsia"/>
          <w:sz w:val="24"/>
          <w:highlight w:val="none"/>
        </w:rPr>
        <w:t>缺氧</w:t>
      </w:r>
      <w:r>
        <w:rPr>
          <w:rFonts w:eastAsiaTheme="minorEastAsia"/>
          <w:sz w:val="24"/>
          <w:highlight w:val="none"/>
        </w:rPr>
        <w:t>+</w:t>
      </w:r>
      <w:r>
        <w:rPr>
          <w:rFonts w:hAnsiTheme="minorEastAsia" w:eastAsiaTheme="minorEastAsia"/>
          <w:sz w:val="24"/>
          <w:highlight w:val="none"/>
        </w:rPr>
        <w:t>好氧</w:t>
      </w:r>
      <w:r>
        <w:rPr>
          <w:rFonts w:eastAsiaTheme="minorEastAsia"/>
          <w:sz w:val="24"/>
          <w:highlight w:val="none"/>
        </w:rPr>
        <w:t>+MBR</w:t>
      </w:r>
      <w:r>
        <w:rPr>
          <w:rFonts w:hAnsiTheme="minorEastAsia" w:eastAsiaTheme="minorEastAsia"/>
          <w:sz w:val="24"/>
          <w:highlight w:val="none"/>
        </w:rPr>
        <w:t>膜池</w:t>
      </w:r>
      <w:r>
        <w:rPr>
          <w:rFonts w:hAnsiTheme="minorEastAsia" w:eastAsiaTheme="minorEastAsia"/>
          <w:bCs/>
          <w:sz w:val="24"/>
          <w:highlight w:val="none"/>
        </w:rPr>
        <w:t>工艺</w:t>
      </w:r>
      <w:r>
        <w:rPr>
          <w:rFonts w:eastAsiaTheme="minorEastAsia"/>
          <w:bCs/>
          <w:sz w:val="24"/>
          <w:highlight w:val="none"/>
        </w:rPr>
        <w:t>”</w:t>
      </w:r>
      <w:r>
        <w:rPr>
          <w:rFonts w:hAnsiTheme="minorEastAsia" w:eastAsiaTheme="minorEastAsia"/>
          <w:snapToGrid w:val="0"/>
          <w:kern w:val="0"/>
          <w:sz w:val="24"/>
          <w:highlight w:val="none"/>
        </w:rPr>
        <w:t>属于可行性技术。</w:t>
      </w:r>
    </w:p>
    <w:p w14:paraId="2916ACF5">
      <w:pPr>
        <w:pStyle w:val="6"/>
        <w:bidi w:val="0"/>
        <w:rPr>
          <w:highlight w:val="none"/>
        </w:rPr>
      </w:pPr>
      <w:r>
        <w:rPr>
          <w:highlight w:val="none"/>
        </w:rPr>
        <w:t>6.2.2.</w:t>
      </w:r>
      <w:r>
        <w:rPr>
          <w:rFonts w:hint="eastAsia"/>
          <w:highlight w:val="none"/>
          <w:lang w:val="en-US" w:eastAsia="zh-CN"/>
        </w:rPr>
        <w:t>3</w:t>
      </w:r>
      <w:r>
        <w:rPr>
          <w:highlight w:val="none"/>
        </w:rPr>
        <w:t>依托</w:t>
      </w:r>
      <w:r>
        <w:rPr>
          <w:rFonts w:hint="eastAsia"/>
          <w:highlight w:val="none"/>
          <w:lang w:val="en-US" w:eastAsia="zh-CN"/>
        </w:rPr>
        <w:t>哈尔滨市朝阳水质净化厂</w:t>
      </w:r>
      <w:r>
        <w:rPr>
          <w:highlight w:val="none"/>
        </w:rPr>
        <w:t>的可行性分析</w:t>
      </w:r>
    </w:p>
    <w:p w14:paraId="3F968AA5">
      <w:pPr>
        <w:spacing w:line="360" w:lineRule="auto"/>
        <w:ind w:firstLine="480" w:firstLineChars="200"/>
        <w:rPr>
          <w:rFonts w:hAnsiTheme="minorEastAsia" w:eastAsiaTheme="minorEastAsia"/>
          <w:snapToGrid w:val="0"/>
          <w:kern w:val="0"/>
          <w:sz w:val="24"/>
          <w:highlight w:val="none"/>
        </w:rPr>
      </w:pPr>
      <w:r>
        <w:rPr>
          <w:rFonts w:hint="eastAsia"/>
          <w:color w:val="000000" w:themeColor="text1"/>
          <w:highlight w:val="none"/>
          <w:vertAlign w:val="baseline"/>
          <w:lang w:val="en-US" w:eastAsia="zh-CN"/>
        </w:rPr>
        <w:t>哈尔滨市朝阳水质净化厂</w:t>
      </w:r>
      <w:r>
        <w:rPr>
          <w:rFonts w:hint="default"/>
          <w:color w:val="000000" w:themeColor="text1"/>
          <w:highlight w:val="none"/>
        </w:rPr>
        <w:t>，污水处理工艺为</w:t>
      </w:r>
      <w:r>
        <w:rPr>
          <w:rFonts w:hint="eastAsia"/>
          <w:color w:val="000000" w:themeColor="text1"/>
          <w:highlight w:val="none"/>
          <w:lang w:val="en-US" w:eastAsia="zh-CN"/>
        </w:rPr>
        <w:t>VT</w:t>
      </w:r>
      <w:r>
        <w:rPr>
          <w:rFonts w:hint="default"/>
          <w:color w:val="000000" w:themeColor="text1"/>
          <w:highlight w:val="none"/>
        </w:rPr>
        <w:t>工艺，设计规模为5万m</w:t>
      </w:r>
      <w:r>
        <w:rPr>
          <w:rFonts w:hint="default"/>
          <w:color w:val="000000" w:themeColor="text1"/>
          <w:highlight w:val="none"/>
          <w:vertAlign w:val="superscript"/>
        </w:rPr>
        <w:t>3</w:t>
      </w:r>
      <w:r>
        <w:rPr>
          <w:rFonts w:hint="default"/>
          <w:color w:val="000000" w:themeColor="text1"/>
          <w:highlight w:val="none"/>
        </w:rPr>
        <w:t>/d，出水水质达到《城镇污水处理厂污染物排放标准》一级A标准。该污水处理厂现处理量为</w:t>
      </w:r>
      <w:r>
        <w:rPr>
          <w:rFonts w:hint="eastAsia"/>
          <w:color w:val="000000" w:themeColor="text1"/>
          <w:highlight w:val="none"/>
          <w:lang w:val="en-US" w:eastAsia="zh-CN"/>
        </w:rPr>
        <w:t>2.7</w:t>
      </w:r>
      <w:r>
        <w:rPr>
          <w:rFonts w:hint="default"/>
          <w:color w:val="000000" w:themeColor="text1"/>
          <w:highlight w:val="none"/>
        </w:rPr>
        <w:t>万m</w:t>
      </w:r>
      <w:r>
        <w:rPr>
          <w:rFonts w:hint="default"/>
          <w:color w:val="000000" w:themeColor="text1"/>
          <w:highlight w:val="none"/>
          <w:vertAlign w:val="superscript"/>
        </w:rPr>
        <w:t>3</w:t>
      </w:r>
      <w:r>
        <w:rPr>
          <w:rFonts w:hint="default"/>
          <w:color w:val="000000" w:themeColor="text1"/>
          <w:highlight w:val="none"/>
        </w:rPr>
        <w:t>/d</w:t>
      </w:r>
      <w:r>
        <w:rPr>
          <w:rFonts w:hint="eastAsia"/>
          <w:color w:val="000000" w:themeColor="text1"/>
          <w:highlight w:val="none"/>
          <w:lang w:eastAsia="zh-CN"/>
        </w:rPr>
        <w:t>，</w:t>
      </w:r>
      <w:r>
        <w:rPr>
          <w:rFonts w:hint="default"/>
          <w:color w:val="000000" w:themeColor="text1"/>
          <w:highlight w:val="none"/>
        </w:rPr>
        <w:t>本项目污水日排放量</w:t>
      </w:r>
      <w:r>
        <w:rPr>
          <w:rFonts w:hint="eastAsia"/>
          <w:color w:val="000000" w:themeColor="text1"/>
          <w:highlight w:val="none"/>
          <w:lang w:val="en-US" w:eastAsia="zh-CN"/>
        </w:rPr>
        <w:t>较改造前无变化，</w:t>
      </w:r>
      <w:r>
        <w:rPr>
          <w:rFonts w:hint="default"/>
          <w:color w:val="000000" w:themeColor="text1"/>
          <w:highlight w:val="none"/>
        </w:rPr>
        <w:t>远小于污水处理厂剩余日处理规模，且本项目在其管辖范围内，因此本项目污水进入</w:t>
      </w:r>
      <w:r>
        <w:rPr>
          <w:rFonts w:hint="eastAsia"/>
          <w:color w:val="000000" w:themeColor="text1"/>
          <w:highlight w:val="none"/>
          <w:lang w:val="en-US" w:eastAsia="zh-CN"/>
        </w:rPr>
        <w:t>该</w:t>
      </w:r>
      <w:r>
        <w:rPr>
          <w:rFonts w:hint="default"/>
          <w:color w:val="000000" w:themeColor="text1"/>
          <w:highlight w:val="none"/>
        </w:rPr>
        <w:t>污水处理厂可行</w:t>
      </w:r>
      <w:r>
        <w:rPr>
          <w:rFonts w:hint="eastAsia"/>
          <w:color w:val="000000" w:themeColor="text1"/>
          <w:highlight w:val="none"/>
          <w:lang w:eastAsia="zh-CN"/>
        </w:rPr>
        <w:t>。</w:t>
      </w:r>
    </w:p>
    <w:p w14:paraId="08979005">
      <w:pPr>
        <w:pStyle w:val="4"/>
        <w:bidi w:val="0"/>
        <w:rPr>
          <w:highlight w:val="none"/>
        </w:rPr>
      </w:pPr>
      <w:r>
        <w:rPr>
          <w:highlight w:val="none"/>
        </w:rPr>
        <w:t>6.2.3地下水污染防治措施及可行性论证</w:t>
      </w:r>
      <w:bookmarkEnd w:id="513"/>
      <w:bookmarkEnd w:id="514"/>
    </w:p>
    <w:p w14:paraId="570CEB6F">
      <w:pPr>
        <w:bidi w:val="0"/>
        <w:rPr>
          <w:highlight w:val="none"/>
        </w:rPr>
      </w:pPr>
      <w:r>
        <w:rPr>
          <w:highlight w:val="none"/>
        </w:rPr>
        <w:t>根据可能产生地下水污染的工程单元的分布情况，按照</w:t>
      </w:r>
      <w:r>
        <w:rPr>
          <w:rFonts w:hint="eastAsia"/>
          <w:highlight w:val="none"/>
          <w:lang w:eastAsia="zh-CN"/>
        </w:rPr>
        <w:t>“</w:t>
      </w:r>
      <w:r>
        <w:rPr>
          <w:highlight w:val="none"/>
        </w:rPr>
        <w:t>源头控制、分区防治、污染监控、应急响应</w:t>
      </w:r>
      <w:r>
        <w:rPr>
          <w:rFonts w:hint="eastAsia"/>
          <w:highlight w:val="none"/>
          <w:lang w:eastAsia="zh-CN"/>
        </w:rPr>
        <w:t>”</w:t>
      </w:r>
      <w:r>
        <w:rPr>
          <w:highlight w:val="none"/>
        </w:rPr>
        <w:t>相结合的原则，从污染物的产生、入渗、扩散、应急响应等方面制定地下水环境保护措施。</w:t>
      </w:r>
    </w:p>
    <w:p w14:paraId="16AD2A52">
      <w:pPr>
        <w:pStyle w:val="6"/>
        <w:bidi w:val="0"/>
        <w:rPr>
          <w:highlight w:val="none"/>
        </w:rPr>
      </w:pPr>
      <w:r>
        <w:rPr>
          <w:highlight w:val="none"/>
        </w:rPr>
        <w:t>6.2.3.1源头控制措施</w:t>
      </w:r>
    </w:p>
    <w:p w14:paraId="4A2B7D03">
      <w:pPr>
        <w:bidi w:val="0"/>
        <w:rPr>
          <w:highlight w:val="none"/>
        </w:rPr>
      </w:pPr>
      <w:r>
        <w:rPr>
          <w:highlight w:val="none"/>
        </w:rPr>
        <w:t>1、</w:t>
      </w:r>
      <w:r>
        <w:rPr>
          <w:rFonts w:hint="eastAsia"/>
          <w:highlight w:val="none"/>
          <w:lang w:val="en-US" w:eastAsia="zh-CN"/>
        </w:rPr>
        <w:t>对危险废物贮存库、生产车间、原料贮存区</w:t>
      </w:r>
      <w:r>
        <w:rPr>
          <w:rFonts w:hint="eastAsia"/>
          <w:highlight w:val="none"/>
          <w:lang w:val="zh-CN" w:eastAsia="zh-CN"/>
        </w:rPr>
        <w:t>采取防渗漏措施，避免</w:t>
      </w:r>
      <w:r>
        <w:rPr>
          <w:rFonts w:hint="eastAsia"/>
          <w:highlight w:val="none"/>
          <w:lang w:val="en-US" w:eastAsia="zh-CN"/>
        </w:rPr>
        <w:t>油类物质泄漏</w:t>
      </w:r>
      <w:r>
        <w:rPr>
          <w:rFonts w:hint="eastAsia"/>
          <w:highlight w:val="none"/>
          <w:lang w:val="zh-CN" w:eastAsia="zh-CN"/>
        </w:rPr>
        <w:t>，将废泄漏的环境风险降低到最低程度；</w:t>
      </w:r>
    </w:p>
    <w:p w14:paraId="393B4A26">
      <w:pPr>
        <w:bidi w:val="0"/>
        <w:rPr>
          <w:highlight w:val="none"/>
        </w:rPr>
      </w:pPr>
      <w:r>
        <w:rPr>
          <w:rFonts w:hint="eastAsia"/>
          <w:highlight w:val="none"/>
          <w:lang w:val="en-US" w:eastAsia="zh-CN"/>
        </w:rPr>
        <w:t>2</w:t>
      </w:r>
      <w:r>
        <w:rPr>
          <w:highlight w:val="none"/>
        </w:rPr>
        <w:t>、定期巡检维护，做到泄漏早发现、早处理，确保</w:t>
      </w:r>
      <w:r>
        <w:rPr>
          <w:rFonts w:hint="eastAsia"/>
          <w:highlight w:val="none"/>
          <w:lang w:val="en-US" w:eastAsia="zh-CN"/>
        </w:rPr>
        <w:t>防渗及围堰</w:t>
      </w:r>
      <w:r>
        <w:rPr>
          <w:highlight w:val="none"/>
        </w:rPr>
        <w:t>正常运行；</w:t>
      </w:r>
    </w:p>
    <w:p w14:paraId="5E096A68">
      <w:pPr>
        <w:bidi w:val="0"/>
        <w:rPr>
          <w:highlight w:val="none"/>
        </w:rPr>
      </w:pPr>
      <w:r>
        <w:rPr>
          <w:rFonts w:hint="eastAsia"/>
          <w:highlight w:val="none"/>
          <w:lang w:val="en-US" w:eastAsia="zh-CN"/>
        </w:rPr>
        <w:t>3</w:t>
      </w:r>
      <w:r>
        <w:rPr>
          <w:highlight w:val="none"/>
        </w:rPr>
        <w:t>、建立有关规章制度和岗位责任制，制定风险预警方案，设立应急设施减轻环境污染影响。</w:t>
      </w:r>
    </w:p>
    <w:p w14:paraId="12D217E1">
      <w:pPr>
        <w:pStyle w:val="6"/>
        <w:bidi w:val="0"/>
        <w:rPr>
          <w:highlight w:val="none"/>
        </w:rPr>
      </w:pPr>
      <w:r>
        <w:rPr>
          <w:highlight w:val="none"/>
        </w:rPr>
        <w:t>6.2.3.2分区控制措施</w:t>
      </w:r>
    </w:p>
    <w:p w14:paraId="3B25EE5F">
      <w:pPr>
        <w:bidi w:val="0"/>
        <w:rPr>
          <w:highlight w:val="none"/>
        </w:rPr>
      </w:pPr>
      <w:r>
        <w:rPr>
          <w:rFonts w:hint="default" w:ascii="Times New Roman" w:hAnsi="Times New Roman" w:eastAsia="宋体" w:cs="Times New Roman"/>
          <w:highlight w:val="none"/>
        </w:rPr>
        <w:t>根据《环境影响评价技术导则地下水环境》（HJ610-2016）11.2.2.1条的要求，拟建项目地下水污染防治分区要依据相关行业标准或防渗技术规范。本项目</w:t>
      </w:r>
      <w:r>
        <w:rPr>
          <w:rFonts w:hint="eastAsia" w:cs="Times New Roman"/>
          <w:highlight w:val="none"/>
          <w:lang w:val="en-US" w:eastAsia="zh-CN"/>
        </w:rPr>
        <w:t>含油金属屑收集处理</w:t>
      </w:r>
      <w:r>
        <w:rPr>
          <w:rFonts w:hint="eastAsia" w:ascii="Times New Roman" w:hAnsi="Times New Roman" w:eastAsia="宋体" w:cs="Times New Roman"/>
          <w:highlight w:val="none"/>
          <w:lang w:val="en-US" w:eastAsia="zh-CN"/>
        </w:rPr>
        <w:t>生产全过程均涉及油类物质，故本项目</w:t>
      </w:r>
      <w:r>
        <w:rPr>
          <w:rFonts w:hint="eastAsia" w:cs="Times New Roman"/>
          <w:highlight w:val="none"/>
          <w:lang w:val="en-US" w:eastAsia="zh-CN"/>
        </w:rPr>
        <w:t>含油金属屑收集处理</w:t>
      </w:r>
      <w:r>
        <w:rPr>
          <w:rFonts w:hint="eastAsia" w:ascii="Times New Roman" w:hAnsi="Times New Roman" w:eastAsia="宋体" w:cs="Times New Roman"/>
          <w:highlight w:val="none"/>
          <w:lang w:val="en-US" w:eastAsia="zh-CN"/>
        </w:rPr>
        <w:t>生产车间列为重点防渗区</w:t>
      </w:r>
      <w:r>
        <w:rPr>
          <w:rFonts w:hint="eastAsia" w:cs="Times New Roman"/>
          <w:highlight w:val="none"/>
          <w:lang w:val="en-US" w:eastAsia="zh-CN"/>
        </w:rPr>
        <w:t>；现有2#、4#厂房已进行防渗</w:t>
      </w:r>
      <w:r>
        <w:rPr>
          <w:highlight w:val="none"/>
        </w:rPr>
        <w:t>。</w:t>
      </w:r>
    </w:p>
    <w:p w14:paraId="6CA28CA0">
      <w:pPr>
        <w:pStyle w:val="7"/>
        <w:bidi w:val="0"/>
        <w:rPr>
          <w:highlight w:val="none"/>
        </w:rPr>
      </w:pPr>
      <w:r>
        <w:rPr>
          <w:highlight w:val="none"/>
        </w:rPr>
        <w:t>表6-2-</w:t>
      </w:r>
      <w:r>
        <w:rPr>
          <w:rFonts w:hint="eastAsia"/>
          <w:highlight w:val="none"/>
          <w:lang w:val="en-US" w:eastAsia="zh-CN"/>
        </w:rPr>
        <w:t>1</w:t>
      </w:r>
      <w:r>
        <w:rPr>
          <w:highlight w:val="none"/>
        </w:rPr>
        <w:t>地下水污染防渗分区</w:t>
      </w:r>
    </w:p>
    <w:tbl>
      <w:tblPr>
        <w:tblStyle w:val="45"/>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91"/>
        <w:gridCol w:w="900"/>
        <w:gridCol w:w="1695"/>
        <w:gridCol w:w="1218"/>
        <w:gridCol w:w="2922"/>
        <w:gridCol w:w="830"/>
      </w:tblGrid>
      <w:tr w14:paraId="103370D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891" w:type="dxa"/>
            <w:vAlign w:val="center"/>
          </w:tcPr>
          <w:p w14:paraId="09175157">
            <w:pPr>
              <w:pStyle w:val="8"/>
              <w:suppressLineNumbers w:val="0"/>
              <w:bidi w:val="0"/>
              <w:spacing w:before="0" w:beforeAutospacing="0" w:after="0" w:afterAutospacing="0"/>
              <w:ind w:left="0" w:right="0"/>
              <w:rPr>
                <w:rFonts w:hint="default"/>
                <w:highlight w:val="none"/>
                <w:lang w:val="zh-CN" w:eastAsia="zh-CN"/>
              </w:rPr>
            </w:pPr>
            <w:r>
              <w:rPr>
                <w:rFonts w:hint="default"/>
                <w:highlight w:val="none"/>
                <w:lang w:val="zh-CN" w:eastAsia="zh-CN"/>
              </w:rPr>
              <w:t>防渗分区</w:t>
            </w:r>
          </w:p>
        </w:tc>
        <w:tc>
          <w:tcPr>
            <w:tcW w:w="900" w:type="dxa"/>
            <w:vAlign w:val="center"/>
          </w:tcPr>
          <w:p w14:paraId="4B5D2DCC">
            <w:pPr>
              <w:pStyle w:val="8"/>
              <w:suppressLineNumbers w:val="0"/>
              <w:bidi w:val="0"/>
              <w:spacing w:before="0" w:beforeAutospacing="0" w:after="0" w:afterAutospacing="0"/>
              <w:ind w:left="0" w:right="0"/>
              <w:rPr>
                <w:rFonts w:hint="default"/>
                <w:highlight w:val="none"/>
                <w:lang w:val="zh-CN" w:eastAsia="zh-CN"/>
              </w:rPr>
            </w:pPr>
            <w:r>
              <w:rPr>
                <w:rFonts w:hint="default"/>
                <w:highlight w:val="none"/>
                <w:lang w:val="zh-CN" w:eastAsia="zh-CN"/>
              </w:rPr>
              <w:t>污染物类型</w:t>
            </w:r>
          </w:p>
        </w:tc>
        <w:tc>
          <w:tcPr>
            <w:tcW w:w="1695" w:type="dxa"/>
            <w:vAlign w:val="center"/>
          </w:tcPr>
          <w:p w14:paraId="22FFE64F">
            <w:pPr>
              <w:pStyle w:val="8"/>
              <w:suppressLineNumbers w:val="0"/>
              <w:bidi w:val="0"/>
              <w:spacing w:before="0" w:beforeAutospacing="0" w:after="0" w:afterAutospacing="0"/>
              <w:ind w:left="0" w:right="0"/>
              <w:rPr>
                <w:rFonts w:hint="default"/>
                <w:highlight w:val="none"/>
                <w:lang w:val="zh-CN" w:eastAsia="zh-CN"/>
              </w:rPr>
            </w:pPr>
            <w:r>
              <w:rPr>
                <w:rFonts w:hint="default"/>
                <w:highlight w:val="none"/>
                <w:lang w:val="zh-CN" w:eastAsia="zh-CN"/>
              </w:rPr>
              <w:t>区域</w:t>
            </w:r>
          </w:p>
        </w:tc>
        <w:tc>
          <w:tcPr>
            <w:tcW w:w="1218" w:type="dxa"/>
            <w:vAlign w:val="center"/>
          </w:tcPr>
          <w:p w14:paraId="258966B6">
            <w:pPr>
              <w:pStyle w:val="8"/>
              <w:suppressLineNumbers w:val="0"/>
              <w:bidi w:val="0"/>
              <w:spacing w:before="0" w:beforeAutospacing="0" w:after="0" w:afterAutospacing="0"/>
              <w:ind w:left="0" w:right="0"/>
              <w:rPr>
                <w:rFonts w:hint="default"/>
                <w:highlight w:val="none"/>
                <w:lang w:val="zh-CN" w:eastAsia="zh-CN"/>
              </w:rPr>
            </w:pPr>
            <w:r>
              <w:rPr>
                <w:rFonts w:hint="default"/>
                <w:highlight w:val="none"/>
                <w:lang w:val="zh-CN" w:eastAsia="zh-CN"/>
              </w:rPr>
              <w:t>防渗要求</w:t>
            </w:r>
          </w:p>
        </w:tc>
        <w:tc>
          <w:tcPr>
            <w:tcW w:w="2922" w:type="dxa"/>
            <w:vAlign w:val="center"/>
          </w:tcPr>
          <w:p w14:paraId="62EE4900">
            <w:pPr>
              <w:pStyle w:val="8"/>
              <w:suppressLineNumbers w:val="0"/>
              <w:bidi w:val="0"/>
              <w:spacing w:before="0" w:beforeAutospacing="0" w:after="0" w:afterAutospacing="0"/>
              <w:ind w:left="0" w:right="0"/>
              <w:rPr>
                <w:rFonts w:hint="default"/>
                <w:highlight w:val="none"/>
                <w:lang w:val="zh-CN" w:eastAsia="zh-CN"/>
              </w:rPr>
            </w:pPr>
            <w:r>
              <w:rPr>
                <w:rFonts w:hint="default"/>
                <w:highlight w:val="none"/>
                <w:lang w:val="zh-CN" w:eastAsia="zh-CN"/>
              </w:rPr>
              <w:t>防腐防渗措施</w:t>
            </w:r>
          </w:p>
        </w:tc>
        <w:tc>
          <w:tcPr>
            <w:tcW w:w="830" w:type="dxa"/>
            <w:vAlign w:val="center"/>
          </w:tcPr>
          <w:p w14:paraId="6BF47C73">
            <w:pPr>
              <w:pStyle w:val="8"/>
              <w:suppressLineNumbers w:val="0"/>
              <w:bidi w:val="0"/>
              <w:spacing w:before="0" w:beforeAutospacing="0" w:after="0" w:afterAutospacing="0"/>
              <w:ind w:left="0" w:right="0"/>
              <w:rPr>
                <w:rFonts w:hint="default"/>
                <w:highlight w:val="none"/>
                <w:lang w:val="zh-CN" w:eastAsia="zh-CN"/>
              </w:rPr>
            </w:pPr>
            <w:r>
              <w:rPr>
                <w:rFonts w:hint="default"/>
                <w:highlight w:val="none"/>
                <w:lang w:val="zh-CN" w:eastAsia="zh-CN"/>
              </w:rPr>
              <w:t>备注</w:t>
            </w:r>
          </w:p>
        </w:tc>
      </w:tr>
      <w:tr w14:paraId="2961A0C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52" w:hRule="atLeast"/>
          <w:jc w:val="center"/>
        </w:trPr>
        <w:tc>
          <w:tcPr>
            <w:tcW w:w="891" w:type="dxa"/>
            <w:vMerge w:val="restart"/>
            <w:vAlign w:val="center"/>
          </w:tcPr>
          <w:p w14:paraId="6280B2AD">
            <w:pPr>
              <w:pStyle w:val="8"/>
              <w:suppressLineNumbers w:val="0"/>
              <w:bidi w:val="0"/>
              <w:spacing w:before="0" w:beforeAutospacing="0" w:after="0" w:afterAutospacing="0"/>
              <w:ind w:left="0" w:right="0"/>
              <w:rPr>
                <w:rFonts w:hint="default"/>
                <w:highlight w:val="none"/>
                <w:lang w:val="zh-CN" w:eastAsia="zh-CN"/>
              </w:rPr>
            </w:pPr>
            <w:r>
              <w:rPr>
                <w:rFonts w:hint="default"/>
                <w:highlight w:val="none"/>
                <w:lang w:val="zh-CN" w:eastAsia="zh-CN"/>
              </w:rPr>
              <w:t>重点防渗区</w:t>
            </w:r>
          </w:p>
        </w:tc>
        <w:tc>
          <w:tcPr>
            <w:tcW w:w="900" w:type="dxa"/>
            <w:vMerge w:val="restart"/>
            <w:vAlign w:val="center"/>
          </w:tcPr>
          <w:p w14:paraId="66F45DD9">
            <w:pPr>
              <w:pStyle w:val="8"/>
              <w:suppressLineNumbers w:val="0"/>
              <w:bidi w:val="0"/>
              <w:spacing w:before="0" w:beforeAutospacing="0" w:after="0" w:afterAutospacing="0"/>
              <w:ind w:left="0" w:right="0"/>
              <w:rPr>
                <w:rFonts w:hint="default"/>
                <w:highlight w:val="none"/>
                <w:lang w:val="zh-CN" w:eastAsia="zh-CN"/>
              </w:rPr>
            </w:pPr>
            <w:r>
              <w:rPr>
                <w:rFonts w:hint="default"/>
                <w:highlight w:val="none"/>
                <w:lang w:val="zh-CN" w:eastAsia="zh-CN"/>
              </w:rPr>
              <w:t>持久性有机污染物</w:t>
            </w:r>
          </w:p>
        </w:tc>
        <w:tc>
          <w:tcPr>
            <w:tcW w:w="1695" w:type="dxa"/>
            <w:vAlign w:val="center"/>
          </w:tcPr>
          <w:p w14:paraId="364C3EE8">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危险废物贮存库</w:t>
            </w:r>
          </w:p>
        </w:tc>
        <w:tc>
          <w:tcPr>
            <w:tcW w:w="1218" w:type="dxa"/>
            <w:vMerge w:val="restart"/>
            <w:vAlign w:val="center"/>
          </w:tcPr>
          <w:p w14:paraId="282271EF">
            <w:pPr>
              <w:pStyle w:val="8"/>
              <w:suppressLineNumbers w:val="0"/>
              <w:bidi w:val="0"/>
              <w:spacing w:before="0" w:beforeAutospacing="0" w:after="0" w:afterAutospacing="0"/>
              <w:ind w:left="0" w:right="0"/>
              <w:rPr>
                <w:rFonts w:hint="default"/>
                <w:highlight w:val="none"/>
                <w:lang w:val="zh-CN" w:eastAsia="zh-CN"/>
              </w:rPr>
            </w:pPr>
            <w:r>
              <w:rPr>
                <w:rFonts w:hint="default"/>
                <w:highlight w:val="none"/>
                <w:lang w:val="zh-CN" w:eastAsia="zh-CN"/>
              </w:rPr>
              <w:t>渗透系数K≤1.0×10</w:t>
            </w:r>
            <w:r>
              <w:rPr>
                <w:rFonts w:hint="default"/>
                <w:highlight w:val="none"/>
                <w:vertAlign w:val="superscript"/>
                <w:lang w:val="zh-CN" w:eastAsia="zh-CN"/>
              </w:rPr>
              <w:t>-10</w:t>
            </w:r>
            <w:r>
              <w:rPr>
                <w:rFonts w:hint="default"/>
                <w:highlight w:val="none"/>
                <w:lang w:val="zh-CN" w:eastAsia="zh-CN"/>
              </w:rPr>
              <w:t>cm/s</w:t>
            </w:r>
          </w:p>
        </w:tc>
        <w:tc>
          <w:tcPr>
            <w:tcW w:w="2922" w:type="dxa"/>
            <w:vMerge w:val="restart"/>
            <w:vAlign w:val="center"/>
          </w:tcPr>
          <w:p w14:paraId="118B0637">
            <w:pPr>
              <w:pStyle w:val="8"/>
              <w:suppressLineNumbers w:val="0"/>
              <w:bidi w:val="0"/>
              <w:spacing w:before="0" w:beforeAutospacing="0" w:after="0" w:afterAutospacing="0"/>
              <w:ind w:left="0" w:right="0"/>
              <w:rPr>
                <w:rFonts w:hint="default"/>
                <w:highlight w:val="none"/>
                <w:lang w:val="zh-CN" w:eastAsia="zh-CN"/>
              </w:rPr>
            </w:pPr>
            <w:r>
              <w:rPr>
                <w:rFonts w:hint="default"/>
                <w:highlight w:val="none"/>
              </w:rPr>
              <w:t>基底层压实（压实度不小于93%）+PE防渗膜</w:t>
            </w:r>
            <w:r>
              <w:rPr>
                <w:rFonts w:hint="eastAsia"/>
                <w:highlight w:val="none"/>
                <w:lang w:eastAsia="zh-CN"/>
              </w:rPr>
              <w:t>（</w:t>
            </w:r>
            <w:r>
              <w:rPr>
                <w:rFonts w:hint="default"/>
                <w:highlight w:val="none"/>
              </w:rPr>
              <w:t>厚2.0mm）+土工布+抗渗混凝土层。</w:t>
            </w:r>
            <w:r>
              <w:rPr>
                <w:rFonts w:hint="default"/>
                <w:highlight w:val="none"/>
                <w:lang w:eastAsia="zh-CN"/>
              </w:rPr>
              <w:t>等效黏土Mb≥6m，</w:t>
            </w:r>
            <w:r>
              <w:rPr>
                <w:rFonts w:hint="default"/>
                <w:highlight w:val="none"/>
              </w:rPr>
              <w:t>渗透系数K≤1.0×10</w:t>
            </w:r>
            <w:r>
              <w:rPr>
                <w:rFonts w:hint="default"/>
                <w:highlight w:val="none"/>
                <w:vertAlign w:val="superscript"/>
              </w:rPr>
              <w:t>-10</w:t>
            </w:r>
            <w:r>
              <w:rPr>
                <w:rFonts w:hint="default"/>
                <w:highlight w:val="none"/>
              </w:rPr>
              <w:t>cm/s的防渗性能</w:t>
            </w:r>
          </w:p>
        </w:tc>
        <w:tc>
          <w:tcPr>
            <w:tcW w:w="830" w:type="dxa"/>
            <w:vMerge w:val="restart"/>
            <w:vAlign w:val="center"/>
          </w:tcPr>
          <w:p w14:paraId="3DCFB23F">
            <w:pPr>
              <w:pStyle w:val="8"/>
              <w:suppressLineNumbers w:val="0"/>
              <w:bidi w:val="0"/>
              <w:spacing w:before="0" w:beforeAutospacing="0" w:after="0" w:afterAutospacing="0"/>
              <w:ind w:left="0" w:right="0"/>
              <w:rPr>
                <w:rFonts w:hint="default"/>
                <w:highlight w:val="none"/>
                <w:lang w:eastAsia="zh-CN"/>
              </w:rPr>
            </w:pPr>
            <w:r>
              <w:rPr>
                <w:rFonts w:hint="eastAsia"/>
                <w:highlight w:val="none"/>
                <w:lang w:val="en-US" w:eastAsia="zh-CN"/>
              </w:rPr>
              <w:t>新建</w:t>
            </w:r>
          </w:p>
        </w:tc>
      </w:tr>
      <w:tr w14:paraId="5B8BD1E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4" w:hRule="atLeast"/>
          <w:jc w:val="center"/>
        </w:trPr>
        <w:tc>
          <w:tcPr>
            <w:tcW w:w="891" w:type="dxa"/>
            <w:vMerge w:val="continue"/>
            <w:vAlign w:val="center"/>
          </w:tcPr>
          <w:p w14:paraId="51C677E9">
            <w:pPr>
              <w:pStyle w:val="8"/>
              <w:suppressLineNumbers w:val="0"/>
              <w:bidi w:val="0"/>
              <w:spacing w:before="0" w:beforeAutospacing="0" w:after="0" w:afterAutospacing="0"/>
              <w:ind w:left="0" w:right="0"/>
              <w:rPr>
                <w:rFonts w:hint="default"/>
                <w:highlight w:val="none"/>
                <w:lang w:val="zh-CN" w:eastAsia="zh-CN"/>
              </w:rPr>
            </w:pPr>
          </w:p>
        </w:tc>
        <w:tc>
          <w:tcPr>
            <w:tcW w:w="900" w:type="dxa"/>
            <w:vMerge w:val="continue"/>
            <w:vAlign w:val="center"/>
          </w:tcPr>
          <w:p w14:paraId="2B873B3F">
            <w:pPr>
              <w:pStyle w:val="8"/>
              <w:suppressLineNumbers w:val="0"/>
              <w:bidi w:val="0"/>
              <w:spacing w:before="0" w:beforeAutospacing="0" w:after="0" w:afterAutospacing="0"/>
              <w:ind w:left="0" w:right="0"/>
              <w:rPr>
                <w:rFonts w:hint="default"/>
                <w:highlight w:val="none"/>
                <w:lang w:val="zh-CN" w:eastAsia="zh-CN"/>
              </w:rPr>
            </w:pPr>
          </w:p>
        </w:tc>
        <w:tc>
          <w:tcPr>
            <w:tcW w:w="1695" w:type="dxa"/>
            <w:vAlign w:val="center"/>
          </w:tcPr>
          <w:p w14:paraId="27764B0D">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原料</w:t>
            </w:r>
            <w:r>
              <w:rPr>
                <w:rFonts w:hint="eastAsia"/>
                <w:highlight w:val="none"/>
                <w:lang w:val="en-US" w:eastAsia="zh-CN"/>
              </w:rPr>
              <w:t>贮存区</w:t>
            </w:r>
          </w:p>
        </w:tc>
        <w:tc>
          <w:tcPr>
            <w:tcW w:w="1218" w:type="dxa"/>
            <w:vMerge w:val="continue"/>
            <w:vAlign w:val="center"/>
          </w:tcPr>
          <w:p w14:paraId="6C7C234F">
            <w:pPr>
              <w:pStyle w:val="8"/>
              <w:suppressLineNumbers w:val="0"/>
              <w:bidi w:val="0"/>
              <w:spacing w:before="0" w:beforeAutospacing="0" w:after="0" w:afterAutospacing="0"/>
              <w:ind w:left="0" w:right="0"/>
              <w:rPr>
                <w:rFonts w:hint="default"/>
                <w:highlight w:val="none"/>
                <w:lang w:val="zh-CN" w:eastAsia="zh-CN"/>
              </w:rPr>
            </w:pPr>
          </w:p>
        </w:tc>
        <w:tc>
          <w:tcPr>
            <w:tcW w:w="2922" w:type="dxa"/>
            <w:vMerge w:val="continue"/>
            <w:vAlign w:val="center"/>
          </w:tcPr>
          <w:p w14:paraId="7F530761">
            <w:pPr>
              <w:pStyle w:val="8"/>
              <w:suppressLineNumbers w:val="0"/>
              <w:bidi w:val="0"/>
              <w:spacing w:before="0" w:beforeAutospacing="0" w:after="0" w:afterAutospacing="0"/>
              <w:ind w:left="0" w:right="0"/>
              <w:rPr>
                <w:rFonts w:hint="default"/>
                <w:highlight w:val="none"/>
                <w:lang w:val="zh-CN" w:eastAsia="zh-CN"/>
              </w:rPr>
            </w:pPr>
          </w:p>
        </w:tc>
        <w:tc>
          <w:tcPr>
            <w:tcW w:w="830" w:type="dxa"/>
            <w:vMerge w:val="continue"/>
            <w:vAlign w:val="center"/>
          </w:tcPr>
          <w:p w14:paraId="5AFD5F15">
            <w:pPr>
              <w:pStyle w:val="8"/>
              <w:suppressLineNumbers w:val="0"/>
              <w:bidi w:val="0"/>
              <w:spacing w:before="0" w:beforeAutospacing="0" w:after="0" w:afterAutospacing="0"/>
              <w:ind w:left="0" w:right="0"/>
              <w:rPr>
                <w:rFonts w:hint="default"/>
                <w:highlight w:val="none"/>
                <w:lang w:val="zh-CN" w:eastAsia="zh-CN"/>
              </w:rPr>
            </w:pPr>
          </w:p>
        </w:tc>
      </w:tr>
      <w:tr w14:paraId="59EC993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4" w:hRule="atLeast"/>
          <w:jc w:val="center"/>
        </w:trPr>
        <w:tc>
          <w:tcPr>
            <w:tcW w:w="891" w:type="dxa"/>
            <w:vMerge w:val="continue"/>
            <w:vAlign w:val="center"/>
          </w:tcPr>
          <w:p w14:paraId="64A9118F">
            <w:pPr>
              <w:pStyle w:val="8"/>
              <w:suppressLineNumbers w:val="0"/>
              <w:bidi w:val="0"/>
              <w:spacing w:before="0" w:beforeAutospacing="0" w:after="0" w:afterAutospacing="0"/>
              <w:ind w:left="0" w:right="0"/>
              <w:rPr>
                <w:rFonts w:hint="default"/>
                <w:highlight w:val="none"/>
              </w:rPr>
            </w:pPr>
          </w:p>
        </w:tc>
        <w:tc>
          <w:tcPr>
            <w:tcW w:w="900" w:type="dxa"/>
            <w:vMerge w:val="continue"/>
            <w:vAlign w:val="center"/>
          </w:tcPr>
          <w:p w14:paraId="1D97D303">
            <w:pPr>
              <w:pStyle w:val="8"/>
              <w:suppressLineNumbers w:val="0"/>
              <w:bidi w:val="0"/>
              <w:spacing w:before="0" w:beforeAutospacing="0" w:after="0" w:afterAutospacing="0"/>
              <w:ind w:left="0" w:right="0"/>
              <w:rPr>
                <w:rFonts w:hint="default"/>
                <w:highlight w:val="none"/>
              </w:rPr>
            </w:pPr>
          </w:p>
        </w:tc>
        <w:tc>
          <w:tcPr>
            <w:tcW w:w="1695" w:type="dxa"/>
            <w:vAlign w:val="center"/>
          </w:tcPr>
          <w:p w14:paraId="3FAC9DC6">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生产车间</w:t>
            </w:r>
          </w:p>
        </w:tc>
        <w:tc>
          <w:tcPr>
            <w:tcW w:w="1218" w:type="dxa"/>
            <w:vMerge w:val="continue"/>
            <w:vAlign w:val="center"/>
          </w:tcPr>
          <w:p w14:paraId="32F23D63">
            <w:pPr>
              <w:pStyle w:val="8"/>
              <w:suppressLineNumbers w:val="0"/>
              <w:bidi w:val="0"/>
              <w:spacing w:before="0" w:beforeAutospacing="0" w:after="0" w:afterAutospacing="0"/>
              <w:ind w:left="0" w:right="0"/>
              <w:rPr>
                <w:rFonts w:hint="default"/>
                <w:highlight w:val="none"/>
                <w:lang w:val="en-US" w:eastAsia="zh-CN"/>
              </w:rPr>
            </w:pPr>
          </w:p>
        </w:tc>
        <w:tc>
          <w:tcPr>
            <w:tcW w:w="2922" w:type="dxa"/>
            <w:vMerge w:val="continue"/>
            <w:vAlign w:val="center"/>
          </w:tcPr>
          <w:p w14:paraId="754C30E2">
            <w:pPr>
              <w:pStyle w:val="8"/>
              <w:suppressLineNumbers w:val="0"/>
              <w:bidi w:val="0"/>
              <w:spacing w:before="0" w:beforeAutospacing="0" w:after="0" w:afterAutospacing="0"/>
              <w:ind w:left="0" w:right="0"/>
              <w:rPr>
                <w:rFonts w:hint="default"/>
                <w:highlight w:val="none"/>
                <w:lang w:val="en-US" w:eastAsia="zh-CN"/>
              </w:rPr>
            </w:pPr>
          </w:p>
        </w:tc>
        <w:tc>
          <w:tcPr>
            <w:tcW w:w="830" w:type="dxa"/>
            <w:vMerge w:val="continue"/>
            <w:vAlign w:val="center"/>
          </w:tcPr>
          <w:p w14:paraId="430F3ABF">
            <w:pPr>
              <w:pStyle w:val="8"/>
              <w:suppressLineNumbers w:val="0"/>
              <w:bidi w:val="0"/>
              <w:spacing w:before="0" w:beforeAutospacing="0" w:after="0" w:afterAutospacing="0"/>
              <w:ind w:left="0" w:right="0"/>
              <w:rPr>
                <w:rFonts w:hint="default"/>
                <w:highlight w:val="none"/>
                <w:lang w:val="en-US" w:eastAsia="zh-CN"/>
              </w:rPr>
            </w:pPr>
          </w:p>
        </w:tc>
      </w:tr>
    </w:tbl>
    <w:p w14:paraId="204DC291">
      <w:pPr>
        <w:bidi w:val="0"/>
        <w:rPr>
          <w:highlight w:val="none"/>
        </w:rPr>
      </w:pPr>
      <w:bookmarkStart w:id="515" w:name="_Toc5890"/>
      <w:r>
        <w:rPr>
          <w:highlight w:val="none"/>
        </w:rPr>
        <w:t>1、重点防渗区</w:t>
      </w:r>
      <w:bookmarkEnd w:id="515"/>
    </w:p>
    <w:p w14:paraId="3039E98B">
      <w:pPr>
        <w:bidi w:val="0"/>
        <w:rPr>
          <w:highlight w:val="none"/>
        </w:rPr>
      </w:pPr>
      <w:r>
        <w:rPr>
          <w:rFonts w:hint="eastAsia"/>
          <w:highlight w:val="none"/>
          <w:lang w:val="en-US" w:eastAsia="zh-CN"/>
        </w:rPr>
        <w:t>本项目各厂房无法分开，且生产全过程涉及油类物质，故均划为重点防渗区，结构防渗为主，天然材料衬层经机械压实后渗透系数不大于</w:t>
      </w:r>
      <w:r>
        <w:rPr>
          <w:rFonts w:hint="default"/>
          <w:highlight w:val="none"/>
          <w:lang w:val="en-US" w:eastAsia="zh-CN"/>
        </w:rPr>
        <w:t>10</w:t>
      </w:r>
      <w:r>
        <w:rPr>
          <w:rFonts w:hint="default"/>
          <w:highlight w:val="none"/>
          <w:vertAlign w:val="superscript"/>
          <w:lang w:val="en-US" w:eastAsia="zh-CN"/>
        </w:rPr>
        <w:t>-7</w:t>
      </w:r>
      <w:r>
        <w:rPr>
          <w:rFonts w:hint="default"/>
          <w:highlight w:val="none"/>
          <w:lang w:val="en-US" w:eastAsia="zh-CN"/>
        </w:rPr>
        <w:t>cm/s</w:t>
      </w:r>
      <w:r>
        <w:rPr>
          <w:rFonts w:hint="eastAsia"/>
          <w:highlight w:val="none"/>
          <w:lang w:val="en-US" w:eastAsia="zh-CN"/>
        </w:rPr>
        <w:t>，厚度不小于</w:t>
      </w:r>
      <w:r>
        <w:rPr>
          <w:rFonts w:hint="default"/>
          <w:highlight w:val="none"/>
          <w:lang w:val="en-US" w:eastAsia="zh-CN"/>
        </w:rPr>
        <w:t>0.5m</w:t>
      </w:r>
      <w:r>
        <w:rPr>
          <w:rFonts w:hint="eastAsia"/>
          <w:highlight w:val="none"/>
          <w:lang w:val="en-US" w:eastAsia="zh-CN"/>
        </w:rPr>
        <w:t>，人工衬层采用高密度聚乙烯防渗膜（</w:t>
      </w:r>
      <w:r>
        <w:rPr>
          <w:rFonts w:hint="default"/>
          <w:highlight w:val="none"/>
          <w:lang w:val="en-US" w:eastAsia="zh-CN"/>
        </w:rPr>
        <w:t>HDPE</w:t>
      </w:r>
      <w:r>
        <w:rPr>
          <w:rFonts w:hint="eastAsia"/>
          <w:highlight w:val="none"/>
          <w:lang w:val="en-US" w:eastAsia="zh-CN"/>
        </w:rPr>
        <w:t>），厚度不小于</w:t>
      </w:r>
      <w:r>
        <w:rPr>
          <w:rFonts w:hint="default"/>
          <w:highlight w:val="none"/>
          <w:lang w:val="en-US" w:eastAsia="zh-CN"/>
        </w:rPr>
        <w:t>2.0mm</w:t>
      </w:r>
      <w:r>
        <w:rPr>
          <w:rFonts w:hint="eastAsia"/>
          <w:highlight w:val="none"/>
          <w:lang w:val="en-US" w:eastAsia="zh-CN"/>
        </w:rPr>
        <w:t>，铺设防渗水泥硬化，防渗技术要求：等效黏土防渗层厚度</w:t>
      </w:r>
      <w:r>
        <w:rPr>
          <w:rFonts w:hint="default"/>
          <w:highlight w:val="none"/>
          <w:lang w:val="en-US" w:eastAsia="zh-CN"/>
        </w:rPr>
        <w:t>Mb</w:t>
      </w:r>
      <w:r>
        <w:rPr>
          <w:rFonts w:hint="eastAsia"/>
          <w:highlight w:val="none"/>
          <w:lang w:val="en-US" w:eastAsia="zh-CN"/>
        </w:rPr>
        <w:t>≥</w:t>
      </w:r>
      <w:r>
        <w:rPr>
          <w:rFonts w:hint="default"/>
          <w:highlight w:val="none"/>
          <w:lang w:val="en-US" w:eastAsia="zh-CN"/>
        </w:rPr>
        <w:t>6.0m</w:t>
      </w:r>
      <w:r>
        <w:rPr>
          <w:rFonts w:hint="eastAsia"/>
          <w:highlight w:val="none"/>
          <w:lang w:val="en-US" w:eastAsia="zh-CN"/>
        </w:rPr>
        <w:t>，渗透系数</w:t>
      </w:r>
      <w:r>
        <w:rPr>
          <w:rFonts w:hint="default"/>
          <w:highlight w:val="none"/>
          <w:lang w:val="en-US" w:eastAsia="zh-CN"/>
        </w:rPr>
        <w:t>K</w:t>
      </w:r>
      <w:r>
        <w:rPr>
          <w:rFonts w:hint="eastAsia"/>
          <w:highlight w:val="none"/>
          <w:lang w:val="en-US" w:eastAsia="zh-CN"/>
        </w:rPr>
        <w:t>≤</w:t>
      </w:r>
      <w:r>
        <w:rPr>
          <w:rFonts w:hint="default"/>
          <w:highlight w:val="none"/>
          <w:lang w:val="en-US" w:eastAsia="zh-CN"/>
        </w:rPr>
        <w:t>1.0</w:t>
      </w:r>
      <w:r>
        <w:rPr>
          <w:rFonts w:hint="eastAsia"/>
          <w:highlight w:val="none"/>
          <w:lang w:val="en-US" w:eastAsia="zh-CN"/>
        </w:rPr>
        <w:t>×</w:t>
      </w:r>
      <w:r>
        <w:rPr>
          <w:rFonts w:hint="default"/>
          <w:highlight w:val="none"/>
          <w:lang w:val="en-US" w:eastAsia="zh-CN"/>
        </w:rPr>
        <w:t>10</w:t>
      </w:r>
      <w:r>
        <w:rPr>
          <w:rFonts w:hint="default"/>
          <w:highlight w:val="none"/>
          <w:vertAlign w:val="superscript"/>
          <w:lang w:val="en-US" w:eastAsia="zh-CN"/>
        </w:rPr>
        <w:t>-</w:t>
      </w:r>
      <w:r>
        <w:rPr>
          <w:rFonts w:hint="eastAsia"/>
          <w:highlight w:val="none"/>
          <w:vertAlign w:val="superscript"/>
          <w:lang w:val="en-US" w:eastAsia="zh-CN"/>
        </w:rPr>
        <w:t>10</w:t>
      </w:r>
      <w:r>
        <w:rPr>
          <w:rFonts w:hint="default"/>
          <w:highlight w:val="none"/>
          <w:lang w:val="en-US" w:eastAsia="zh-CN"/>
        </w:rPr>
        <w:t>cm/s</w:t>
      </w:r>
      <w:r>
        <w:rPr>
          <w:rFonts w:hint="eastAsia"/>
          <w:highlight w:val="none"/>
          <w:lang w:val="en-US" w:eastAsia="zh-CN"/>
        </w:rPr>
        <w:t>。</w:t>
      </w:r>
    </w:p>
    <w:p w14:paraId="085D9150">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eastAsia="宋体"/>
          <w:spacing w:val="0"/>
          <w:position w:val="0"/>
          <w:highlight w:val="none"/>
          <w:lang w:eastAsia="zh-CN"/>
        </w:rPr>
      </w:pPr>
      <w:r>
        <w:rPr>
          <w:sz w:val="24"/>
          <w:highlight w:val="none"/>
        </w:rPr>
        <w:pict>
          <v:rect id="_x0000_s2341" o:spid="_x0000_s2341" o:spt="1" style="position:absolute;left:0pt;margin-left:304.3pt;margin-top:233.85pt;height:45.75pt;width:93.55pt;z-index:251672576;mso-width-relative:page;mso-height-relative:page;" fillcolor="#FFFFFF" filled="t" stroked="t" coordsize="21600,21600">
            <v:path/>
            <v:fill on="t" color2="#FFFFFF" focussize="0,0"/>
            <v:stroke color="#000000" joinstyle="miter"/>
            <v:imagedata o:title=""/>
            <o:lock v:ext="edit" aspectratio="f"/>
            <v:textbox>
              <w:txbxContent>
                <w:p w14:paraId="216E5F42">
                  <w:pPr>
                    <w:jc w:val="center"/>
                    <w:rPr>
                      <w:rFonts w:hint="eastAsia"/>
                      <w:sz w:val="21"/>
                      <w:szCs w:val="21"/>
                      <w:lang w:val="en-US" w:eastAsia="zh-CN"/>
                    </w:rPr>
                  </w:pPr>
                  <w:r>
                    <w:rPr>
                      <w:rFonts w:hint="eastAsia"/>
                      <w:sz w:val="21"/>
                      <w:szCs w:val="21"/>
                      <w:lang w:val="en-US" w:eastAsia="zh-CN"/>
                    </w:rPr>
                    <w:t>图例</w:t>
                  </w:r>
                </w:p>
                <w:p w14:paraId="2AAD72B1">
                  <w:pPr>
                    <w:jc w:val="right"/>
                    <w:rPr>
                      <w:rFonts w:hint="default"/>
                      <w:lang w:val="en-US" w:eastAsia="zh-CN"/>
                    </w:rPr>
                  </w:pPr>
                  <w:r>
                    <w:rPr>
                      <w:rFonts w:hint="eastAsia"/>
                      <w:sz w:val="21"/>
                      <w:szCs w:val="21"/>
                      <w:lang w:val="en-US" w:eastAsia="zh-CN"/>
                    </w:rPr>
                    <w:t>重点防渗</w:t>
                  </w:r>
                </w:p>
              </w:txbxContent>
            </v:textbox>
          </v:rect>
        </w:pict>
      </w:r>
      <w:r>
        <w:rPr>
          <w:sz w:val="24"/>
          <w:highlight w:val="none"/>
        </w:rPr>
        <w:pict>
          <v:rect id="_x0000_s2345" o:spid="_x0000_s2345" o:spt="1" style="position:absolute;left:0pt;margin-left:318.1pt;margin-top:259.95pt;height:10.15pt;width:27.8pt;z-index:251673600;mso-width-relative:page;mso-height-relative:page;" fillcolor="#FF0000" filled="t" stroked="t" coordsize="21600,21600">
            <v:path/>
            <v:fill on="t" color2="#FFFFFF" opacity="28180f" focussize="0,0"/>
            <v:stroke color="#FF0000" joinstyle="miter"/>
            <v:imagedata o:title=""/>
            <o:lock v:ext="edit" aspectratio="f"/>
          </v:rect>
        </w:pict>
      </w:r>
      <w:r>
        <w:rPr>
          <w:sz w:val="24"/>
          <w:highlight w:val="none"/>
        </w:rPr>
        <w:pict>
          <v:shape id="_x0000_s2442" o:spid="_x0000_s2442" style="position:absolute;left:0pt;margin-left:33.25pt;margin-top:5.65pt;height:221.25pt;width:319.5pt;z-index:251691008;mso-width-relative:page;mso-height-relative:page;" fillcolor="#FF0000" filled="t" stroked="t" coordsize="6390,4425" path="m375,0hal960,60hal870,810hal6390,1290hal6150,4125hal1305,3705hal1260,4425hal0,4290hal375,0haxe">
            <v:fill on="t" color2="#FFFFFF" opacity="12451f" focussize="0,0"/>
            <v:stroke color="#FF0000" joinstyle="miter"/>
            <v:imagedata o:title=""/>
            <o:lock v:ext="edit" aspectratio="f"/>
          </v:shape>
        </w:pict>
      </w:r>
      <w:r>
        <w:rPr>
          <w:sz w:val="24"/>
          <w:highlight w:val="none"/>
        </w:rPr>
        <w:pict>
          <v:group id="_x0000_s2397" o:spid="_x0000_s2397" o:spt="203" style="height:279.4pt;width:391.35pt;" coordsize="4970145,3548379" editas="canvas">
            <o:lock v:ext="edit"/>
            <v:shape id="_x0000_s2396" o:spid="_x0000_s2396" o:spt="75" type="#_x0000_t75" style="position:absolute;left:0;top:0;height:3548379;width:4970145;" filled="f" stroked="t" coordsize="21600,21600">
              <v:fill on="f" focussize="0,0"/>
              <v:stroke color="#000000" joinstyle="miter"/>
              <v:imagedata o:title=""/>
              <o:lock v:ext="edit" aspectratio="f"/>
            </v:shape>
            <v:shape id="图片 15" o:spid="_x0000_s2443" o:spt="75" type="#_x0000_t75" style="position:absolute;left:0;top:0;height:2849244;width:4970145;" filled="f" o:preferrelative="t" stroked="f" coordsize="21600,21600" o:gfxdata="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">
              <v:path/>
              <v:fill on="f" focussize="0,0"/>
              <v:stroke on="f"/>
              <v:imagedata r:id="rId113" cropbottom="765f" o:title=""/>
              <o:lock v:ext="edit" aspectratio="t"/>
            </v:shape>
            <w10:wrap type="none"/>
            <w10:anchorlock/>
          </v:group>
        </w:pict>
      </w:r>
    </w:p>
    <w:p w14:paraId="55624F33">
      <w:pPr>
        <w:pStyle w:val="76"/>
        <w:keepNext w:val="0"/>
        <w:keepLines w:val="0"/>
        <w:pageBreakBefore w:val="0"/>
        <w:widowControl/>
        <w:kinsoku/>
        <w:wordWrap/>
        <w:overflowPunct/>
        <w:topLinePunct w:val="0"/>
        <w:autoSpaceDE/>
        <w:autoSpaceDN/>
        <w:bidi w:val="0"/>
        <w:adjustRightInd/>
        <w:snapToGrid/>
        <w:ind w:firstLine="0" w:firstLineChars="0"/>
        <w:contextualSpacing/>
        <w:jc w:val="center"/>
        <w:textAlignment w:val="auto"/>
        <w:rPr>
          <w:rFonts w:ascii="Times New Roman" w:hAnsi="Times New Roman" w:cs="Times New Roman"/>
          <w:b/>
          <w:highlight w:val="none"/>
        </w:rPr>
      </w:pPr>
      <w:r>
        <w:rPr>
          <w:rFonts w:ascii="Times New Roman" w:cs="Times New Roman" w:hAnsiTheme="minorEastAsia"/>
          <w:b/>
          <w:highlight w:val="none"/>
        </w:rPr>
        <w:t>图</w:t>
      </w:r>
      <w:r>
        <w:rPr>
          <w:rFonts w:ascii="Times New Roman" w:hAnsi="Times New Roman" w:cs="Times New Roman"/>
          <w:b/>
          <w:highlight w:val="none"/>
        </w:rPr>
        <w:t>6-2-</w:t>
      </w:r>
      <w:r>
        <w:rPr>
          <w:rFonts w:hint="eastAsia" w:ascii="Times New Roman" w:hAnsi="Times New Roman" w:cs="Times New Roman"/>
          <w:b/>
          <w:highlight w:val="none"/>
          <w:lang w:val="en-US" w:eastAsia="zh-CN"/>
        </w:rPr>
        <w:t>1</w:t>
      </w:r>
      <w:r>
        <w:rPr>
          <w:rFonts w:ascii="Times New Roman" w:cs="Times New Roman" w:hAnsiTheme="minorEastAsia"/>
          <w:b/>
          <w:highlight w:val="none"/>
        </w:rPr>
        <w:t>防渗分区图</w:t>
      </w:r>
    </w:p>
    <w:p w14:paraId="3511F17B">
      <w:pPr>
        <w:pStyle w:val="6"/>
        <w:bidi w:val="0"/>
        <w:rPr>
          <w:highlight w:val="none"/>
        </w:rPr>
      </w:pPr>
      <w:r>
        <w:rPr>
          <w:highlight w:val="none"/>
        </w:rPr>
        <w:t>6.2.3.3地下水污染监控系统</w:t>
      </w:r>
    </w:p>
    <w:p w14:paraId="758A9587">
      <w:pPr>
        <w:bidi w:val="0"/>
        <w:rPr>
          <w:highlight w:val="none"/>
        </w:rPr>
      </w:pPr>
      <w:bookmarkStart w:id="516" w:name="_Toc26843"/>
      <w:r>
        <w:rPr>
          <w:highlight w:val="none"/>
        </w:rPr>
        <w:t>1、监测</w:t>
      </w:r>
      <w:r>
        <w:rPr>
          <w:rFonts w:hint="eastAsia"/>
          <w:highlight w:val="none"/>
          <w:lang w:val="en-US" w:eastAsia="zh-CN"/>
        </w:rPr>
        <w:t>点</w:t>
      </w:r>
      <w:r>
        <w:rPr>
          <w:highlight w:val="none"/>
        </w:rPr>
        <w:t>布设</w:t>
      </w:r>
      <w:bookmarkEnd w:id="516"/>
    </w:p>
    <w:p w14:paraId="0DD0F175">
      <w:pPr>
        <w:bidi w:val="0"/>
        <w:rPr>
          <w:highlight w:val="none"/>
        </w:rPr>
      </w:pPr>
      <w:r>
        <w:rPr>
          <w:highlight w:val="none"/>
        </w:rPr>
        <w:t>评价建议建立区域地下水监控，其主要内容包括监测点位与监测项目、监测频次与监测因子、监测设备与监测人员等</w:t>
      </w:r>
      <w:r>
        <w:rPr>
          <w:rFonts w:hint="eastAsia"/>
          <w:highlight w:val="none"/>
        </w:rPr>
        <w:t>。本项目</w:t>
      </w:r>
      <w:r>
        <w:rPr>
          <w:rFonts w:hint="eastAsia"/>
          <w:highlight w:val="none"/>
          <w:lang w:val="en-US" w:eastAsia="zh-CN"/>
        </w:rPr>
        <w:t>新建3</w:t>
      </w:r>
      <w:r>
        <w:rPr>
          <w:rFonts w:hint="eastAsia"/>
          <w:highlight w:val="none"/>
        </w:rPr>
        <w:t>眼监测井，监测井位于本项目地下水流向下游，因此依托</w:t>
      </w:r>
      <w:r>
        <w:rPr>
          <w:highlight w:val="none"/>
        </w:rPr>
        <w:t>可行。跟踪监测布点计划见</w:t>
      </w:r>
      <w:r>
        <w:rPr>
          <w:rFonts w:hint="eastAsia"/>
          <w:highlight w:val="none"/>
          <w:lang w:val="en-US" w:eastAsia="zh-CN"/>
        </w:rPr>
        <w:t>下表</w:t>
      </w:r>
      <w:r>
        <w:rPr>
          <w:highlight w:val="none"/>
        </w:rPr>
        <w:t>，监测点布图见下图。</w:t>
      </w:r>
    </w:p>
    <w:p w14:paraId="2DA541DA">
      <w:pPr>
        <w:pStyle w:val="7"/>
        <w:bidi w:val="0"/>
        <w:rPr>
          <w:rFonts w:hint="eastAsia"/>
          <w:highlight w:val="none"/>
          <w:lang w:eastAsia="zh-CN"/>
        </w:rPr>
      </w:pPr>
      <w:r>
        <w:rPr>
          <w:highlight w:val="none"/>
        </w:rPr>
        <w:t>表6-2-</w:t>
      </w:r>
      <w:r>
        <w:rPr>
          <w:rFonts w:hint="eastAsia"/>
          <w:highlight w:val="none"/>
          <w:lang w:val="en-US" w:eastAsia="zh-CN"/>
        </w:rPr>
        <w:t>2</w:t>
      </w:r>
      <w:r>
        <w:rPr>
          <w:highlight w:val="none"/>
        </w:rPr>
        <w:t>地下水环境监测</w:t>
      </w:r>
      <w:r>
        <w:rPr>
          <w:rFonts w:hint="eastAsia"/>
          <w:highlight w:val="none"/>
          <w:lang w:val="en-US" w:eastAsia="zh-CN"/>
        </w:rPr>
        <w:t>计划</w:t>
      </w:r>
    </w:p>
    <w:tbl>
      <w:tblPr>
        <w:tblStyle w:val="45"/>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43"/>
        <w:gridCol w:w="6538"/>
      </w:tblGrid>
      <w:tr w14:paraId="0EF75A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43" w:type="dxa"/>
            <w:vAlign w:val="center"/>
          </w:tcPr>
          <w:p w14:paraId="25E7D9F8">
            <w:pPr>
              <w:pStyle w:val="8"/>
              <w:suppressLineNumbers w:val="0"/>
              <w:bidi w:val="0"/>
              <w:spacing w:before="0" w:beforeAutospacing="0" w:after="0" w:afterAutospacing="0"/>
              <w:ind w:left="0" w:right="0"/>
              <w:rPr>
                <w:rFonts w:hint="default"/>
                <w:highlight w:val="none"/>
              </w:rPr>
            </w:pPr>
            <w:r>
              <w:rPr>
                <w:rFonts w:hint="default"/>
                <w:highlight w:val="none"/>
              </w:rPr>
              <w:t>监测项目</w:t>
            </w:r>
          </w:p>
        </w:tc>
        <w:tc>
          <w:tcPr>
            <w:tcW w:w="6538" w:type="dxa"/>
            <w:vAlign w:val="center"/>
          </w:tcPr>
          <w:p w14:paraId="34FF7D93">
            <w:pPr>
              <w:pStyle w:val="8"/>
              <w:suppressLineNumbers w:val="0"/>
              <w:bidi w:val="0"/>
              <w:spacing w:before="0" w:beforeAutospacing="0" w:after="0" w:afterAutospacing="0"/>
              <w:ind w:left="0" w:right="0"/>
              <w:rPr>
                <w:rFonts w:hint="default"/>
                <w:highlight w:val="none"/>
                <w:lang w:val="en-US" w:eastAsia="zh-CN"/>
              </w:rPr>
            </w:pPr>
            <w:r>
              <w:rPr>
                <w:rFonts w:hint="default"/>
                <w:highlight w:val="none"/>
                <w:lang w:val="en-US" w:eastAsia="zh-CN"/>
              </w:rPr>
              <w:t>石油类</w:t>
            </w:r>
          </w:p>
        </w:tc>
      </w:tr>
      <w:tr w14:paraId="714B03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43" w:type="dxa"/>
            <w:vAlign w:val="center"/>
          </w:tcPr>
          <w:p w14:paraId="7481136A">
            <w:pPr>
              <w:pStyle w:val="8"/>
              <w:suppressLineNumbers w:val="0"/>
              <w:bidi w:val="0"/>
              <w:spacing w:before="0" w:beforeAutospacing="0" w:after="0" w:afterAutospacing="0"/>
              <w:ind w:left="0" w:right="0"/>
              <w:rPr>
                <w:rFonts w:hint="default"/>
                <w:highlight w:val="none"/>
              </w:rPr>
            </w:pPr>
            <w:r>
              <w:rPr>
                <w:rFonts w:hint="default"/>
                <w:highlight w:val="none"/>
              </w:rPr>
              <w:t>监测频率</w:t>
            </w:r>
          </w:p>
        </w:tc>
        <w:tc>
          <w:tcPr>
            <w:tcW w:w="6538" w:type="dxa"/>
            <w:vAlign w:val="center"/>
          </w:tcPr>
          <w:p w14:paraId="7DEA210A">
            <w:pPr>
              <w:pStyle w:val="8"/>
              <w:suppressLineNumbers w:val="0"/>
              <w:bidi w:val="0"/>
              <w:spacing w:before="0" w:beforeAutospacing="0" w:after="0" w:afterAutospacing="0"/>
              <w:ind w:left="0" w:right="0"/>
              <w:rPr>
                <w:rFonts w:hint="default"/>
                <w:highlight w:val="none"/>
              </w:rPr>
            </w:pPr>
            <w:r>
              <w:rPr>
                <w:rFonts w:hint="default"/>
                <w:highlight w:val="none"/>
              </w:rPr>
              <w:t>1次/年</w:t>
            </w:r>
          </w:p>
        </w:tc>
      </w:tr>
      <w:tr w14:paraId="46E4CC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43" w:type="dxa"/>
            <w:vAlign w:val="center"/>
          </w:tcPr>
          <w:p w14:paraId="5E0B535C">
            <w:pPr>
              <w:pStyle w:val="8"/>
              <w:suppressLineNumbers w:val="0"/>
              <w:bidi w:val="0"/>
              <w:spacing w:before="0" w:beforeAutospacing="0" w:after="0" w:afterAutospacing="0"/>
              <w:ind w:left="0" w:right="0"/>
              <w:rPr>
                <w:rFonts w:hint="default"/>
                <w:highlight w:val="none"/>
              </w:rPr>
            </w:pPr>
            <w:r>
              <w:rPr>
                <w:rFonts w:hint="default"/>
                <w:highlight w:val="none"/>
              </w:rPr>
              <w:t>监测方式</w:t>
            </w:r>
          </w:p>
        </w:tc>
        <w:tc>
          <w:tcPr>
            <w:tcW w:w="6538" w:type="dxa"/>
            <w:vAlign w:val="center"/>
          </w:tcPr>
          <w:p w14:paraId="7F317C1F">
            <w:pPr>
              <w:pStyle w:val="8"/>
              <w:suppressLineNumbers w:val="0"/>
              <w:bidi w:val="0"/>
              <w:spacing w:before="0" w:beforeAutospacing="0" w:after="0" w:afterAutospacing="0"/>
              <w:ind w:left="0" w:right="0"/>
              <w:rPr>
                <w:rFonts w:hint="default"/>
                <w:highlight w:val="none"/>
              </w:rPr>
            </w:pPr>
            <w:r>
              <w:rPr>
                <w:rFonts w:hint="default"/>
                <w:highlight w:val="none"/>
              </w:rPr>
              <w:t>委托有监测资质单位监测</w:t>
            </w:r>
          </w:p>
        </w:tc>
      </w:tr>
      <w:tr w14:paraId="708E17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43" w:type="dxa"/>
            <w:vAlign w:val="center"/>
          </w:tcPr>
          <w:p w14:paraId="16D6744F">
            <w:pPr>
              <w:pStyle w:val="8"/>
              <w:suppressLineNumbers w:val="0"/>
              <w:bidi w:val="0"/>
              <w:spacing w:before="0" w:beforeAutospacing="0" w:after="0" w:afterAutospacing="0"/>
              <w:ind w:left="0" w:right="0"/>
              <w:rPr>
                <w:rFonts w:hint="default"/>
                <w:highlight w:val="none"/>
              </w:rPr>
            </w:pPr>
            <w:r>
              <w:rPr>
                <w:rFonts w:hint="default"/>
                <w:highlight w:val="none"/>
              </w:rPr>
              <w:t>监测点位</w:t>
            </w:r>
          </w:p>
        </w:tc>
        <w:tc>
          <w:tcPr>
            <w:tcW w:w="6538" w:type="dxa"/>
            <w:vAlign w:val="center"/>
          </w:tcPr>
          <w:p w14:paraId="7D56590D">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3</w:t>
            </w:r>
            <w:r>
              <w:rPr>
                <w:rFonts w:hint="default"/>
                <w:highlight w:val="none"/>
              </w:rPr>
              <w:t>口监测井</w:t>
            </w:r>
          </w:p>
          <w:p w14:paraId="0BA8A1A4">
            <w:pPr>
              <w:pStyle w:val="8"/>
              <w:suppressLineNumbers w:val="0"/>
              <w:bidi w:val="0"/>
              <w:spacing w:before="0" w:beforeAutospacing="0" w:after="0" w:afterAutospacing="0"/>
              <w:ind w:left="0" w:right="0"/>
              <w:rPr>
                <w:rFonts w:hint="eastAsia"/>
                <w:highlight w:val="none"/>
                <w:lang w:eastAsia="zh-CN"/>
              </w:rPr>
            </w:pPr>
            <w:r>
              <w:rPr>
                <w:rFonts w:hint="eastAsia"/>
                <w:highlight w:val="none"/>
                <w:lang w:val="en-US" w:eastAsia="zh-CN"/>
              </w:rPr>
              <w:t>上游背景值监测点1#：</w:t>
            </w:r>
            <w:r>
              <w:rPr>
                <w:rFonts w:hint="default"/>
                <w:highlight w:val="none"/>
              </w:rPr>
              <w:t>126.632255496</w:t>
            </w:r>
            <w:r>
              <w:rPr>
                <w:rFonts w:hint="eastAsia"/>
                <w:highlight w:val="none"/>
                <w:lang w:eastAsia="zh-CN"/>
              </w:rPr>
              <w:t>，</w:t>
            </w:r>
            <w:r>
              <w:rPr>
                <w:rFonts w:hint="default"/>
                <w:highlight w:val="none"/>
              </w:rPr>
              <w:t>45.589313022</w:t>
            </w:r>
            <w:r>
              <w:rPr>
                <w:rFonts w:hint="eastAsia"/>
                <w:highlight w:val="none"/>
                <w:lang w:eastAsia="zh-CN"/>
              </w:rPr>
              <w:t>；</w:t>
            </w:r>
          </w:p>
          <w:p w14:paraId="2B586D7D">
            <w:pPr>
              <w:pStyle w:val="8"/>
              <w:suppressLineNumbers w:val="0"/>
              <w:bidi w:val="0"/>
              <w:spacing w:before="0" w:beforeAutospacing="0" w:after="0" w:afterAutospacing="0"/>
              <w:ind w:left="0" w:right="0"/>
              <w:rPr>
                <w:rFonts w:hint="eastAsia"/>
                <w:highlight w:val="none"/>
                <w:lang w:eastAsia="zh-CN"/>
              </w:rPr>
            </w:pPr>
            <w:r>
              <w:rPr>
                <w:rFonts w:hint="eastAsia"/>
                <w:highlight w:val="none"/>
                <w:lang w:val="en-US" w:eastAsia="zh-CN"/>
              </w:rPr>
              <w:t>下游污染扩散监测点2#：</w:t>
            </w:r>
            <w:r>
              <w:rPr>
                <w:rFonts w:hint="eastAsia"/>
                <w:highlight w:val="none"/>
                <w:lang w:eastAsia="zh-CN"/>
              </w:rPr>
              <w:t>126.632700743，45.589855473；</w:t>
            </w:r>
          </w:p>
          <w:p w14:paraId="75861613">
            <w:pPr>
              <w:pStyle w:val="8"/>
              <w:suppressLineNumbers w:val="0"/>
              <w:bidi w:val="0"/>
              <w:spacing w:before="0" w:beforeAutospacing="0" w:after="0" w:afterAutospacing="0"/>
              <w:ind w:left="0" w:right="0"/>
              <w:jc w:val="both"/>
              <w:rPr>
                <w:rFonts w:hint="eastAsia"/>
                <w:highlight w:val="none"/>
                <w:lang w:eastAsia="zh-CN"/>
              </w:rPr>
            </w:pPr>
            <w:r>
              <w:rPr>
                <w:rFonts w:hint="eastAsia"/>
                <w:highlight w:val="none"/>
                <w:lang w:val="en-US" w:eastAsia="zh-CN"/>
              </w:rPr>
              <w:t>厂界外环境影响跟踪监测点3#：</w:t>
            </w:r>
            <w:r>
              <w:rPr>
                <w:rFonts w:hint="eastAsia"/>
                <w:highlight w:val="none"/>
                <w:lang w:eastAsia="zh-CN"/>
              </w:rPr>
              <w:t>126.632365467，45.589496968。</w:t>
            </w:r>
          </w:p>
        </w:tc>
      </w:tr>
      <w:tr w14:paraId="702D88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43" w:type="dxa"/>
            <w:vAlign w:val="center"/>
          </w:tcPr>
          <w:p w14:paraId="6C2F80F5">
            <w:pPr>
              <w:pStyle w:val="8"/>
              <w:suppressLineNumbers w:val="0"/>
              <w:bidi w:val="0"/>
              <w:spacing w:before="0" w:beforeAutospacing="0" w:after="0" w:afterAutospacing="0"/>
              <w:ind w:left="0" w:right="0"/>
              <w:rPr>
                <w:rFonts w:hint="default"/>
                <w:highlight w:val="none"/>
              </w:rPr>
            </w:pPr>
            <w:r>
              <w:rPr>
                <w:rFonts w:hint="default"/>
                <w:highlight w:val="none"/>
              </w:rPr>
              <w:t>监测层位</w:t>
            </w:r>
          </w:p>
        </w:tc>
        <w:tc>
          <w:tcPr>
            <w:tcW w:w="6538" w:type="dxa"/>
            <w:vAlign w:val="center"/>
          </w:tcPr>
          <w:p w14:paraId="5F0C03B3">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承压</w:t>
            </w:r>
            <w:r>
              <w:rPr>
                <w:rFonts w:hint="default"/>
                <w:highlight w:val="none"/>
              </w:rPr>
              <w:t>水层，井深30m</w:t>
            </w:r>
          </w:p>
        </w:tc>
      </w:tr>
    </w:tbl>
    <w:p w14:paraId="5234FF7C">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highlight w:val="none"/>
        </w:rPr>
      </w:pPr>
      <w:r>
        <w:rPr>
          <w:sz w:val="21"/>
          <w:highlight w:val="none"/>
        </w:rPr>
        <w:pict>
          <v:shape id="_x0000_s2404" o:spid="_x0000_s2404" o:spt="202" type="#_x0000_t202" style="position:absolute;left:0pt;margin-left:177.8pt;margin-top:76.55pt;height:21pt;width:37.55pt;z-index:251681792;mso-width-relative:page;mso-height-relative:page;" filled="f" stroked="f" coordsize="21600,21600">
            <v:path/>
            <v:fill on="f" focussize="0,0"/>
            <v:stroke on="f" joinstyle="miter"/>
            <v:imagedata o:title=""/>
            <o:lock v:ext="edit" aspectratio="f"/>
            <v:textbox>
              <w:txbxContent>
                <w:p w14:paraId="4746FC5E">
                  <w:pPr>
                    <w:pStyle w:val="8"/>
                    <w:bidi w:val="0"/>
                    <w:rPr>
                      <w:rFonts w:hint="default"/>
                      <w:b/>
                      <w:bCs/>
                      <w:color w:val="FF0000"/>
                      <w:lang w:val="en-US" w:eastAsia="zh-CN"/>
                    </w:rPr>
                  </w:pPr>
                  <w:r>
                    <w:rPr>
                      <w:rFonts w:hint="eastAsia"/>
                      <w:b/>
                      <w:bCs/>
                      <w:color w:val="FF0000"/>
                      <w:lang w:val="en-US" w:eastAsia="zh-CN"/>
                    </w:rPr>
                    <w:t>2#</w:t>
                  </w:r>
                </w:p>
              </w:txbxContent>
            </v:textbox>
          </v:shape>
        </w:pict>
      </w:r>
      <w:r>
        <w:rPr>
          <w:highlight w:val="none"/>
        </w:rPr>
        <w:drawing>
          <wp:inline distT="0" distB="0" distL="114300" distR="114300">
            <wp:extent cx="5271135" cy="3882390"/>
            <wp:effectExtent l="9525" t="9525" r="15240" b="13335"/>
            <wp:docPr id="5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9"/>
                    <pic:cNvPicPr>
                      <a:picLocks noChangeAspect="1"/>
                    </pic:cNvPicPr>
                  </pic:nvPicPr>
                  <pic:blipFill>
                    <a:blip r:embed="rId114"/>
                    <a:stretch>
                      <a:fillRect/>
                    </a:stretch>
                  </pic:blipFill>
                  <pic:spPr>
                    <a:xfrm>
                      <a:off x="0" y="0"/>
                      <a:ext cx="5271135" cy="3882390"/>
                    </a:xfrm>
                    <a:prstGeom prst="rect">
                      <a:avLst/>
                    </a:prstGeom>
                    <a:noFill/>
                    <a:ln>
                      <a:solidFill>
                        <a:schemeClr val="tx1"/>
                      </a:solidFill>
                    </a:ln>
                  </pic:spPr>
                </pic:pic>
              </a:graphicData>
            </a:graphic>
          </wp:inline>
        </w:drawing>
      </w:r>
      <w:r>
        <w:rPr>
          <w:sz w:val="21"/>
          <w:highlight w:val="none"/>
        </w:rPr>
        <w:pict>
          <v:shape id="_x0000_s2399" o:spid="_x0000_s2399" o:spt="3" type="#_x0000_t3" style="position:absolute;left:0pt;margin-left:181.5pt;margin-top:83.8pt;height:5.95pt;width:5.95pt;z-index:251677696;mso-width-relative:page;mso-height-relative:page;" fillcolor="#FF0000" filled="t" stroked="t" coordsize="21600,21600">
            <v:path/>
            <v:fill on="t" color2="#FFFFFF" focussize="0,0"/>
            <v:stroke color="#FF0000" joinstyle="miter"/>
            <v:imagedata o:title=""/>
            <o:lock v:ext="edit" aspectratio="f"/>
          </v:shape>
        </w:pict>
      </w:r>
      <w:r>
        <w:rPr>
          <w:sz w:val="21"/>
          <w:highlight w:val="none"/>
        </w:rPr>
        <w:pict>
          <v:shape id="_x0000_s2403" o:spid="_x0000_s2403" o:spt="202" type="#_x0000_t202" style="position:absolute;left:0pt;margin-left:108.05pt;margin-top:157.55pt;height:27.7pt;width:33.8pt;z-index:251680768;mso-width-relative:page;mso-height-relative:page;" filled="f" stroked="f" coordsize="21600,21600">
            <v:path/>
            <v:fill on="f" focussize="0,0"/>
            <v:stroke on="f"/>
            <v:imagedata o:title=""/>
            <o:lock v:ext="edit" aspectratio="f"/>
            <v:textbox>
              <w:txbxContent>
                <w:p w14:paraId="07A95895">
                  <w:pPr>
                    <w:pStyle w:val="8"/>
                    <w:bidi w:val="0"/>
                    <w:rPr>
                      <w:rFonts w:hint="default"/>
                      <w:b/>
                      <w:bCs/>
                      <w:color w:val="FF0000"/>
                      <w:lang w:val="en-US" w:eastAsia="zh-CN"/>
                    </w:rPr>
                  </w:pPr>
                  <w:r>
                    <w:rPr>
                      <w:rFonts w:hint="eastAsia"/>
                      <w:b/>
                      <w:bCs/>
                      <w:color w:val="FF0000"/>
                      <w:lang w:val="en-US" w:eastAsia="zh-CN"/>
                    </w:rPr>
                    <w:t>3#</w:t>
                  </w:r>
                </w:p>
              </w:txbxContent>
            </v:textbox>
          </v:shape>
        </w:pict>
      </w:r>
      <w:r>
        <w:rPr>
          <w:sz w:val="21"/>
          <w:highlight w:val="none"/>
        </w:rPr>
        <w:pict>
          <v:shape id="_x0000_s2405" o:spid="_x0000_s2405" o:spt="3" type="#_x0000_t3" style="position:absolute;left:0pt;margin-left:108pt;margin-top:165.55pt;height:5.95pt;width:5.95pt;z-index:251676672;mso-width-relative:page;mso-height-relative:page;" fillcolor="#FF0000" filled="t" stroked="t" coordsize="21600,21600">
            <v:path/>
            <v:fill on="t" color2="#FFFFFF" focussize="0,0"/>
            <v:stroke color="#FF0000" joinstyle="miter"/>
            <v:imagedata o:title=""/>
            <o:lock v:ext="edit" aspectratio="f"/>
          </v:shape>
        </w:pict>
      </w:r>
      <w:r>
        <w:rPr>
          <w:sz w:val="21"/>
          <w:highlight w:val="none"/>
        </w:rPr>
        <w:pict>
          <v:shape id="_x0000_s2402" o:spid="_x0000_s2402" o:spt="202" type="#_x0000_t202" style="position:absolute;left:0pt;margin-left:89.3pt;margin-top:234.05pt;height:21pt;width:37.55pt;z-index:251679744;mso-width-relative:page;mso-height-relative:page;" filled="f" stroked="f" coordsize="21600,21600">
            <v:path/>
            <v:fill on="f" focussize="0,0"/>
            <v:stroke on="f" joinstyle="miter"/>
            <v:imagedata o:title=""/>
            <o:lock v:ext="edit" aspectratio="f"/>
            <v:textbox>
              <w:txbxContent>
                <w:p w14:paraId="2A6EBC56">
                  <w:pPr>
                    <w:pStyle w:val="8"/>
                    <w:bidi w:val="0"/>
                    <w:rPr>
                      <w:rFonts w:hint="default"/>
                      <w:b/>
                      <w:bCs/>
                      <w:color w:val="FF0000"/>
                      <w:lang w:val="en-US" w:eastAsia="zh-CN"/>
                    </w:rPr>
                  </w:pPr>
                  <w:r>
                    <w:rPr>
                      <w:rFonts w:hint="eastAsia"/>
                      <w:b/>
                      <w:bCs/>
                      <w:color w:val="FF0000"/>
                      <w:lang w:val="en-US" w:eastAsia="zh-CN"/>
                    </w:rPr>
                    <w:t>1#</w:t>
                  </w:r>
                </w:p>
              </w:txbxContent>
            </v:textbox>
          </v:shape>
        </w:pict>
      </w:r>
      <w:r>
        <w:rPr>
          <w:sz w:val="21"/>
          <w:highlight w:val="none"/>
        </w:rPr>
        <w:pict>
          <v:shape id="_x0000_s2357" o:spid="_x0000_s2357" o:spt="3" type="#_x0000_t3" style="position:absolute;left:0pt;margin-left:91.5pt;margin-top:240.55pt;height:5.95pt;width:5.95pt;z-index:251670528;mso-width-relative:page;mso-height-relative:page;" fillcolor="#FF0000" filled="t" stroked="t" coordsize="21600,21600">
            <v:path/>
            <v:fill on="t" color2="#FFFFFF" focussize="0,0"/>
            <v:stroke color="#FF0000" joinstyle="miter"/>
            <v:imagedata o:title=""/>
            <o:lock v:ext="edit" aspectratio="f"/>
          </v:shape>
        </w:pict>
      </w:r>
      <w:r>
        <w:rPr>
          <w:sz w:val="21"/>
          <w:highlight w:val="none"/>
        </w:rPr>
        <w:pict>
          <v:shape id="_x0000_s2401" o:spid="_x0000_s2401" o:spt="3" type="#_x0000_t3" style="position:absolute;left:0pt;margin-left:19.5pt;margin-top:285.55pt;height:5.95pt;width:5.95pt;z-index:251678720;mso-width-relative:page;mso-height-relative:page;" fillcolor="#FF0000" filled="t" stroked="t" coordsize="21600,21600">
            <v:path/>
            <v:fill on="t" color2="#FFFFFF" focussize="0,0"/>
            <v:stroke color="#FF0000" joinstyle="miter"/>
            <v:imagedata o:title=""/>
            <o:lock v:ext="edit" aspectratio="f"/>
          </v:shape>
        </w:pict>
      </w:r>
      <w:r>
        <w:rPr>
          <w:sz w:val="21"/>
          <w:highlight w:val="none"/>
        </w:rPr>
        <w:pict>
          <v:shape id="_x0000_s2400" o:spid="_x0000_s2400" o:spt="202" type="#_x0000_t202" style="position:absolute;left:0pt;margin-left:3.05pt;margin-top:266.3pt;height:41.25pt;width:128.25pt;z-index:251675648;mso-width-relative:page;mso-height-relative:page;" fillcolor="#FFFFFF" filled="t" stroked="t" coordsize="21600,21600">
            <v:path/>
            <v:fill on="t" color2="#FFFFFF" focussize="0,0"/>
            <v:stroke color="#000000" joinstyle="miter"/>
            <v:imagedata o:title=""/>
            <o:lock v:ext="edit" aspectratio="f"/>
            <v:textbox>
              <w:txbxContent>
                <w:p w14:paraId="2CB34294">
                  <w:pPr>
                    <w:pStyle w:val="8"/>
                    <w:bidi w:val="0"/>
                    <w:rPr>
                      <w:rFonts w:hint="eastAsia"/>
                      <w:lang w:val="en-US" w:eastAsia="zh-CN"/>
                    </w:rPr>
                  </w:pPr>
                  <w:r>
                    <w:rPr>
                      <w:rFonts w:hint="eastAsia"/>
                      <w:lang w:val="en-US" w:eastAsia="zh-CN"/>
                    </w:rPr>
                    <w:t>图例</w:t>
                  </w:r>
                </w:p>
                <w:p w14:paraId="213A599A">
                  <w:pPr>
                    <w:pStyle w:val="8"/>
                    <w:bidi w:val="0"/>
                    <w:rPr>
                      <w:rFonts w:hint="default"/>
                      <w:lang w:val="en-US" w:eastAsia="zh-CN"/>
                    </w:rPr>
                  </w:pPr>
                  <w:r>
                    <w:rPr>
                      <w:rFonts w:hint="eastAsia"/>
                      <w:lang w:val="en-US" w:eastAsia="zh-CN"/>
                    </w:rPr>
                    <w:t>地下水跟踪监测井</w:t>
                  </w:r>
                </w:p>
              </w:txbxContent>
            </v:textbox>
          </v:shape>
        </w:pict>
      </w:r>
      <w:r>
        <w:rPr>
          <w:sz w:val="21"/>
          <w:highlight w:val="none"/>
        </w:rPr>
        <w:pict>
          <v:shape id="_x0000_s2354" o:spid="_x0000_s2354" o:spt="61" type="#_x0000_t61" style="position:absolute;left:0pt;margin-left:366.7pt;margin-top:28.3pt;height:41.8pt;width:104.45pt;z-index:251674624;mso-width-relative:page;mso-height-relative:page;" filled="f" stroked="f" coordsize="21600,21600" adj="3498,30322">
            <v:path/>
            <v:fill on="f" focussize="0,0"/>
            <v:stroke on="f" joinstyle="miter"/>
            <v:imagedata o:title=""/>
            <o:lock v:ext="edit" aspectratio="f"/>
            <v:textbox>
              <w:txbxContent>
                <w:p w14:paraId="788613F2">
                  <w:pPr>
                    <w:rPr>
                      <w:rFonts w:hint="default" w:eastAsia="宋体"/>
                      <w:color w:val="FF0000"/>
                      <w:sz w:val="28"/>
                      <w:szCs w:val="28"/>
                      <w:lang w:val="en-US" w:eastAsia="zh-CN"/>
                    </w:rPr>
                  </w:pPr>
                  <w:r>
                    <w:rPr>
                      <w:rFonts w:hint="eastAsia"/>
                      <w:color w:val="FF0000"/>
                      <w:sz w:val="28"/>
                      <w:szCs w:val="28"/>
                      <w:lang w:val="en-US" w:eastAsia="zh-CN"/>
                    </w:rPr>
                    <w:t>N</w:t>
                  </w:r>
                </w:p>
              </w:txbxContent>
            </v:textbox>
          </v:shape>
        </w:pict>
      </w:r>
      <w:r>
        <w:rPr>
          <w:sz w:val="21"/>
          <w:highlight w:val="none"/>
        </w:rPr>
        <w:pict>
          <v:shape id="_x0000_s2355" o:spid="_x0000_s2355" o:spt="32" type="#_x0000_t32" style="position:absolute;left:0pt;flip:x y;margin-left:394.5pt;margin-top:8.7pt;height:56.25pt;width:0.55pt;z-index:251670528;mso-width-relative:page;mso-height-relative:page;" fillcolor="#FFFFFF" filled="t" stroked="t" coordsize="21600,21600">
            <v:path arrowok="t"/>
            <v:fill on="t" color2="#FFFFFF" focussize="0,0"/>
            <v:stroke weight="5pt" color="#FF0000" joinstyle="miter" endarrow="open"/>
            <v:imagedata o:title=""/>
            <o:lock v:ext="edit" aspectratio="f"/>
          </v:shape>
        </w:pict>
      </w:r>
    </w:p>
    <w:p w14:paraId="1118632A">
      <w:pPr>
        <w:pStyle w:val="7"/>
        <w:bidi w:val="0"/>
        <w:rPr>
          <w:highlight w:val="none"/>
        </w:rPr>
      </w:pPr>
      <w:r>
        <w:rPr>
          <w:rFonts w:hint="eastAsia"/>
          <w:highlight w:val="none"/>
          <w:lang w:val="en-US" w:eastAsia="zh-CN"/>
        </w:rPr>
        <w:t>表6-2-2监测布点图监测布点图</w:t>
      </w:r>
    </w:p>
    <w:p w14:paraId="360AE5CB">
      <w:pPr>
        <w:bidi w:val="0"/>
        <w:rPr>
          <w:highlight w:val="none"/>
        </w:rPr>
      </w:pPr>
      <w:bookmarkStart w:id="517" w:name="_Toc14125"/>
      <w:r>
        <w:rPr>
          <w:highlight w:val="none"/>
        </w:rPr>
        <w:t>2、数据管理</w:t>
      </w:r>
      <w:bookmarkEnd w:id="517"/>
    </w:p>
    <w:p w14:paraId="3AC58D86">
      <w:pPr>
        <w:bidi w:val="0"/>
        <w:rPr>
          <w:highlight w:val="none"/>
        </w:rPr>
      </w:pPr>
      <w:r>
        <w:rPr>
          <w:highlight w:val="none"/>
        </w:rPr>
        <w:t>建设单位应按照相关规定对监测结果及时建立档案，并按照国家环保部门相关规定定期向相关部门汇报并报备。如发现污染物浓度异常升高，加密监测频次，并分析污染原因，确定泄漏污染源，及时采取应急措施。建设单位应建立完善的质量管理体系，实现</w:t>
      </w:r>
      <w:r>
        <w:rPr>
          <w:rFonts w:hint="eastAsia"/>
          <w:highlight w:val="none"/>
          <w:lang w:eastAsia="zh-CN"/>
        </w:rPr>
        <w:t>“</w:t>
      </w:r>
      <w:r>
        <w:rPr>
          <w:highlight w:val="none"/>
        </w:rPr>
        <w:t>质量、安全、环境</w:t>
      </w:r>
      <w:r>
        <w:rPr>
          <w:rFonts w:hint="eastAsia"/>
          <w:highlight w:val="none"/>
          <w:lang w:eastAsia="zh-CN"/>
        </w:rPr>
        <w:t>”</w:t>
      </w:r>
      <w:r>
        <w:rPr>
          <w:highlight w:val="none"/>
        </w:rPr>
        <w:t>三位一体的全面质量管理目标。设立地下水动态监测小组，负责对地下水环境监测和管理，或者委托专业的资质机构完成。建立有关规章制度和岗位责任制。制定风险预警方案，设立应急设施减少环境污染影响。</w:t>
      </w:r>
    </w:p>
    <w:p w14:paraId="21E6152F">
      <w:pPr>
        <w:bidi w:val="0"/>
        <w:rPr>
          <w:highlight w:val="none"/>
        </w:rPr>
      </w:pPr>
      <w:r>
        <w:rPr>
          <w:highlight w:val="none"/>
        </w:rPr>
        <w:t>（1）管理措施</w:t>
      </w:r>
    </w:p>
    <w:p w14:paraId="48315788">
      <w:pPr>
        <w:bidi w:val="0"/>
        <w:rPr>
          <w:highlight w:val="none"/>
        </w:rPr>
      </w:pPr>
      <w:r>
        <w:rPr>
          <w:highlight w:val="none"/>
        </w:rPr>
        <w:t>建设单位应委托具有监测资质的单位负责地下水监测工作，按要求及时分析整理原始资料、监测报告的编写工作。</w:t>
      </w:r>
    </w:p>
    <w:p w14:paraId="6FD5495A">
      <w:pPr>
        <w:bidi w:val="0"/>
        <w:rPr>
          <w:highlight w:val="none"/>
        </w:rPr>
      </w:pPr>
      <w:r>
        <w:rPr>
          <w:highlight w:val="none"/>
        </w:rPr>
        <w:t>建立地下水监测数据信息管理系统，根据实际情况，按事故的性质、类型、影响范围、严重后果分等级制定相应预案。在制定预案时要根据本场环境污染事故潜在威胁的情况，认真细致地考虑各项影响因素，适当的时候组织有关部门、人员进行演练，不断补充完善。</w:t>
      </w:r>
    </w:p>
    <w:p w14:paraId="58ADA044">
      <w:pPr>
        <w:bidi w:val="0"/>
        <w:rPr>
          <w:highlight w:val="none"/>
        </w:rPr>
      </w:pPr>
      <w:r>
        <w:rPr>
          <w:highlight w:val="none"/>
        </w:rPr>
        <w:t>（2）技术措施</w:t>
      </w:r>
    </w:p>
    <w:p w14:paraId="169EFEFD">
      <w:pPr>
        <w:bidi w:val="0"/>
        <w:rPr>
          <w:highlight w:val="none"/>
        </w:rPr>
      </w:pPr>
      <w:r>
        <w:rPr>
          <w:highlight w:val="none"/>
        </w:rPr>
        <w:t>按照《地下水环境监测技术规范》（HJ/T164-20</w:t>
      </w:r>
      <w:r>
        <w:rPr>
          <w:rFonts w:hint="eastAsia"/>
          <w:highlight w:val="none"/>
        </w:rPr>
        <w:t>20</w:t>
      </w:r>
      <w:r>
        <w:rPr>
          <w:highlight w:val="none"/>
        </w:rPr>
        <w:t>）要求，及时上报监测数据和有关表格。</w:t>
      </w:r>
    </w:p>
    <w:p w14:paraId="097AB922">
      <w:pPr>
        <w:bidi w:val="0"/>
        <w:rPr>
          <w:highlight w:val="none"/>
        </w:rPr>
      </w:pPr>
      <w:r>
        <w:rPr>
          <w:highlight w:val="none"/>
        </w:rPr>
        <w:t>在日常例行监测中，一旦发现地下水水质监测数据异常，应尽快核查数据，确保数据的正确性。并将核查过的监测数据通告公司安全环保部门，由专人负责对数据进行分析、核实，并密切关注生产设施的运行情况，为防止地下水污染采取措施提供正确的依据。应采取措施如下：</w:t>
      </w:r>
    </w:p>
    <w:p w14:paraId="00CB4808">
      <w:pPr>
        <w:bidi w:val="0"/>
        <w:rPr>
          <w:highlight w:val="none"/>
        </w:rPr>
      </w:pPr>
      <w:r>
        <w:rPr>
          <w:highlight w:val="none"/>
        </w:rPr>
        <w:t>了解全场生产是否出现异常情况，出现异常情况的装置、原因。加大监测密度，分析变化动向；周期性地编写地下水动态监测报告；定期对污染区的生产装置进行检查</w:t>
      </w:r>
    </w:p>
    <w:p w14:paraId="471A82CD">
      <w:pPr>
        <w:bidi w:val="0"/>
        <w:rPr>
          <w:highlight w:val="none"/>
        </w:rPr>
      </w:pPr>
      <w:bookmarkStart w:id="518" w:name="_Toc24534"/>
      <w:r>
        <w:rPr>
          <w:highlight w:val="none"/>
        </w:rPr>
        <w:t>3、信息公开</w:t>
      </w:r>
      <w:bookmarkEnd w:id="518"/>
    </w:p>
    <w:p w14:paraId="6F87832C">
      <w:pPr>
        <w:bidi w:val="0"/>
        <w:rPr>
          <w:highlight w:val="none"/>
        </w:rPr>
      </w:pPr>
      <w:r>
        <w:rPr>
          <w:highlight w:val="none"/>
        </w:rPr>
        <w:t>本项目跟踪监测报告编制的主体为项目当地环境保护管理部门，跟踪监测具体实施单位由环境保护管理部门委托具有资质单位负责。</w:t>
      </w:r>
    </w:p>
    <w:p w14:paraId="7D8CA973">
      <w:pPr>
        <w:bidi w:val="0"/>
        <w:rPr>
          <w:highlight w:val="none"/>
        </w:rPr>
      </w:pPr>
      <w:r>
        <w:rPr>
          <w:highlight w:val="none"/>
        </w:rPr>
        <w:t>本项目设置的环境监测点的地下水环境跟踪监测数据，同时包括项目排放的污染物的种类、数量和浓度。</w:t>
      </w:r>
    </w:p>
    <w:p w14:paraId="386C9FEE">
      <w:pPr>
        <w:bidi w:val="0"/>
        <w:rPr>
          <w:highlight w:val="none"/>
        </w:rPr>
      </w:pPr>
      <w:r>
        <w:rPr>
          <w:highlight w:val="none"/>
        </w:rPr>
        <w:t>场区管线、事故应急装置等设施的运行状况、跑冒滴漏记录、维护记录等。</w:t>
      </w:r>
    </w:p>
    <w:p w14:paraId="78DA89C8">
      <w:pPr>
        <w:bidi w:val="0"/>
        <w:rPr>
          <w:rFonts w:eastAsiaTheme="minorEastAsia"/>
          <w:highlight w:val="none"/>
        </w:rPr>
      </w:pPr>
      <w:r>
        <w:rPr>
          <w:highlight w:val="none"/>
        </w:rPr>
        <w:t>跟踪监测的信息应在当地环境保护主管部门网站上公开，公开内容主要包含建设项目特征因子的地下水环境监测值。</w:t>
      </w:r>
    </w:p>
    <w:p w14:paraId="461131BD">
      <w:pPr>
        <w:pStyle w:val="4"/>
        <w:bidi w:val="0"/>
        <w:rPr>
          <w:highlight w:val="none"/>
        </w:rPr>
      </w:pPr>
      <w:bookmarkStart w:id="519" w:name="_Toc14160"/>
      <w:bookmarkStart w:id="520" w:name="_Toc31824"/>
      <w:r>
        <w:rPr>
          <w:highlight w:val="none"/>
        </w:rPr>
        <w:t>6.2.4声环境保护措施及其可行性论证</w:t>
      </w:r>
      <w:bookmarkEnd w:id="519"/>
      <w:bookmarkEnd w:id="520"/>
    </w:p>
    <w:p w14:paraId="6361C081">
      <w:pPr>
        <w:bidi w:val="0"/>
        <w:rPr>
          <w:highlight w:val="none"/>
        </w:rPr>
      </w:pPr>
      <w:r>
        <w:rPr>
          <w:highlight w:val="none"/>
        </w:rPr>
        <w:t>本项目主要噪声源为生产设备产生的机械噪声，拟采取的污染防治措施如下：</w:t>
      </w:r>
    </w:p>
    <w:p w14:paraId="7ABC411B">
      <w:pPr>
        <w:bidi w:val="0"/>
        <w:rPr>
          <w:highlight w:val="none"/>
        </w:rPr>
      </w:pPr>
      <w:r>
        <w:rPr>
          <w:highlight w:val="none"/>
        </w:rPr>
        <w:t>（1）各生产设备设于室内</w:t>
      </w:r>
      <w:r>
        <w:rPr>
          <w:rFonts w:hint="eastAsia"/>
          <w:highlight w:val="none"/>
          <w:lang w:eastAsia="zh-CN"/>
        </w:rPr>
        <w:t>，</w:t>
      </w:r>
      <w:r>
        <w:rPr>
          <w:rFonts w:hint="eastAsia"/>
          <w:highlight w:val="none"/>
          <w:lang w:val="en-US" w:eastAsia="zh-CN"/>
        </w:rPr>
        <w:t>夜间不生产</w:t>
      </w:r>
      <w:r>
        <w:rPr>
          <w:highlight w:val="none"/>
        </w:rPr>
        <w:t>。</w:t>
      </w:r>
    </w:p>
    <w:p w14:paraId="16737AF3">
      <w:pPr>
        <w:bidi w:val="0"/>
        <w:rPr>
          <w:highlight w:val="none"/>
        </w:rPr>
      </w:pPr>
      <w:r>
        <w:rPr>
          <w:highlight w:val="none"/>
        </w:rPr>
        <w:t>（2）在设计和设备采购阶段，充分选用先进的低噪声设备，从声源上降低设备本身噪声。</w:t>
      </w:r>
    </w:p>
    <w:p w14:paraId="1C2A29BF">
      <w:pPr>
        <w:bidi w:val="0"/>
        <w:rPr>
          <w:highlight w:val="none"/>
        </w:rPr>
      </w:pPr>
      <w:r>
        <w:rPr>
          <w:highlight w:val="none"/>
        </w:rPr>
        <w:t>（3）设备配置减振装置。对防振垫、隔声降噪设备应进行定期检查、维修，对不符合要求的应及时更换，防止机械噪声的升高。</w:t>
      </w:r>
    </w:p>
    <w:p w14:paraId="4C45A4B1">
      <w:pPr>
        <w:bidi w:val="0"/>
        <w:rPr>
          <w:highlight w:val="none"/>
        </w:rPr>
      </w:pPr>
      <w:r>
        <w:rPr>
          <w:highlight w:val="none"/>
        </w:rPr>
        <w:t>（4）加强设备的日常维护，保证设备的正常运行。</w:t>
      </w:r>
    </w:p>
    <w:p w14:paraId="60222A05">
      <w:pPr>
        <w:bidi w:val="0"/>
        <w:rPr>
          <w:highlight w:val="none"/>
        </w:rPr>
      </w:pPr>
      <w:r>
        <w:rPr>
          <w:highlight w:val="none"/>
        </w:rPr>
        <w:t>（5）加强管理，厂区货物运输车辆限速出入厂区，并禁鸣喇叭，同时注意选择合理的运输时间，尽量避免在晚上</w:t>
      </w:r>
      <w:r>
        <w:rPr>
          <w:rFonts w:hint="eastAsia"/>
          <w:highlight w:val="none"/>
          <w:lang w:val="en-US" w:eastAsia="zh-CN"/>
        </w:rPr>
        <w:t>10</w:t>
      </w:r>
      <w:r>
        <w:rPr>
          <w:highlight w:val="none"/>
        </w:rPr>
        <w:t>点以后输送。</w:t>
      </w:r>
    </w:p>
    <w:p w14:paraId="6520525F">
      <w:pPr>
        <w:pStyle w:val="16"/>
        <w:spacing w:line="360" w:lineRule="auto"/>
        <w:ind w:firstLine="480" w:firstLineChars="200"/>
        <w:rPr>
          <w:highlight w:val="none"/>
        </w:rPr>
      </w:pPr>
      <w:r>
        <w:rPr>
          <w:rFonts w:hint="default" w:ascii="Times New Roman" w:hAnsi="Times New Roman" w:cs="Times New Roman"/>
          <w:color w:val="auto"/>
          <w:spacing w:val="0"/>
          <w:position w:val="0"/>
          <w:highlight w:val="none"/>
        </w:rPr>
        <w:t>采取上述措施后，保证厂界噪声达标排放，拟建项目不会对周边声环境产生明显影响</w:t>
      </w:r>
      <w:r>
        <w:rPr>
          <w:highlight w:val="none"/>
        </w:rPr>
        <w:t>。</w:t>
      </w:r>
    </w:p>
    <w:p w14:paraId="78E8C161">
      <w:pPr>
        <w:pStyle w:val="4"/>
        <w:bidi w:val="0"/>
        <w:rPr>
          <w:highlight w:val="none"/>
        </w:rPr>
      </w:pPr>
      <w:bookmarkStart w:id="521" w:name="_Toc15949"/>
      <w:bookmarkStart w:id="522" w:name="_Toc5511"/>
      <w:r>
        <w:rPr>
          <w:highlight w:val="none"/>
        </w:rPr>
        <w:t>6.2.5固体废物环境保护措施及其可行性论证</w:t>
      </w:r>
      <w:bookmarkEnd w:id="521"/>
      <w:bookmarkEnd w:id="522"/>
    </w:p>
    <w:p w14:paraId="532DA75C">
      <w:pPr>
        <w:bidi w:val="0"/>
        <w:rPr>
          <w:rFonts w:hint="eastAsia" w:eastAsia="宋体"/>
          <w:highlight w:val="none"/>
          <w:lang w:eastAsia="zh-CN"/>
        </w:rPr>
      </w:pPr>
      <w:r>
        <w:rPr>
          <w:highlight w:val="none"/>
        </w:rPr>
        <w:t>项目建设后，固体废物主要为员工生活垃圾</w:t>
      </w:r>
      <w:r>
        <w:rPr>
          <w:rFonts w:hint="eastAsia"/>
          <w:highlight w:val="none"/>
          <w:lang w:eastAsia="zh-CN"/>
        </w:rPr>
        <w:t>及</w:t>
      </w:r>
      <w:r>
        <w:rPr>
          <w:highlight w:val="none"/>
        </w:rPr>
        <w:t>危险废物</w:t>
      </w:r>
      <w:r>
        <w:rPr>
          <w:rFonts w:hint="eastAsia"/>
          <w:highlight w:val="none"/>
          <w:lang w:eastAsia="zh-CN"/>
        </w:rPr>
        <w:t>。</w:t>
      </w:r>
    </w:p>
    <w:p w14:paraId="3ED3BB81">
      <w:pPr>
        <w:bidi w:val="0"/>
        <w:rPr>
          <w:rFonts w:hint="default"/>
          <w:highlight w:val="none"/>
          <w:lang w:val="en-US" w:eastAsia="zh-CN"/>
        </w:rPr>
      </w:pPr>
      <w:r>
        <w:rPr>
          <w:rFonts w:hAnsiTheme="minorEastAsia" w:eastAsiaTheme="minorEastAsia"/>
          <w:sz w:val="24"/>
          <w:highlight w:val="none"/>
          <w:lang w:val="zh-CN"/>
        </w:rPr>
        <w:t>生活垃圾</w:t>
      </w:r>
      <w:r>
        <w:rPr>
          <w:rFonts w:hint="eastAsia" w:hAnsiTheme="minorEastAsia" w:eastAsiaTheme="minorEastAsia"/>
          <w:sz w:val="24"/>
          <w:highlight w:val="none"/>
          <w:lang w:val="en-US" w:eastAsia="zh-CN"/>
        </w:rPr>
        <w:t>经垃圾桶收集后</w:t>
      </w:r>
      <w:r>
        <w:rPr>
          <w:rFonts w:hAnsiTheme="minorEastAsia" w:eastAsiaTheme="minorEastAsia"/>
          <w:sz w:val="24"/>
          <w:highlight w:val="none"/>
          <w:lang w:val="zh-CN"/>
        </w:rPr>
        <w:t>交由市政部门统一处理</w:t>
      </w:r>
      <w:r>
        <w:rPr>
          <w:rFonts w:hint="default"/>
          <w:highlight w:val="none"/>
          <w:lang w:val="en-US" w:eastAsia="zh-CN"/>
        </w:rPr>
        <w:t>。生产过程产生的废液（类别：HW08，代码：900-249-08、类别：HW09，代码900-007-09）</w:t>
      </w:r>
      <w:r>
        <w:rPr>
          <w:rFonts w:hint="eastAsia"/>
          <w:highlight w:val="none"/>
          <w:lang w:val="en-US" w:eastAsia="zh-CN"/>
        </w:rPr>
        <w:t>经设备废液出口直接进入吨桶中，密封储存于危险废物贮存库中，最大贮存量24.5t，每月交由有资质单位处置</w:t>
      </w:r>
      <w:r>
        <w:rPr>
          <w:rFonts w:hint="default"/>
          <w:highlight w:val="none"/>
          <w:lang w:val="en-US" w:eastAsia="zh-CN"/>
        </w:rPr>
        <w:t>。油雾净化器产生的废过滤材料（类别：HW49，代码：900-041-49）</w:t>
      </w:r>
      <w:r>
        <w:rPr>
          <w:rFonts w:hint="eastAsia"/>
          <w:highlight w:val="none"/>
          <w:lang w:val="en-US" w:eastAsia="zh-CN"/>
        </w:rPr>
        <w:t>更换后密封袋装收集，暂存于危险废物贮存库中，最大贮存量2.0t，交由有资质单位处置，贮存时间不超过30天</w:t>
      </w:r>
      <w:r>
        <w:rPr>
          <w:rFonts w:hint="default"/>
          <w:highlight w:val="none"/>
        </w:rPr>
        <w:t>。</w:t>
      </w:r>
      <w:r>
        <w:rPr>
          <w:rFonts w:hint="eastAsia"/>
          <w:highlight w:val="none"/>
          <w:lang w:val="en-US" w:eastAsia="zh-CN"/>
        </w:rPr>
        <w:t>油雾净化器产生的</w:t>
      </w:r>
      <w:r>
        <w:rPr>
          <w:rFonts w:hint="default"/>
          <w:highlight w:val="none"/>
          <w:lang w:val="en-US" w:eastAsia="zh-CN"/>
        </w:rPr>
        <w:t>废油（类别：HW08，代码：900-249-08、类别：HW09，代码900-007-09）</w:t>
      </w:r>
      <w:r>
        <w:rPr>
          <w:rFonts w:hint="eastAsia"/>
          <w:highlight w:val="none"/>
          <w:lang w:val="en-US" w:eastAsia="zh-CN"/>
        </w:rPr>
        <w:t>采用专用密封包装桶收集，暂存于危险废物贮存库中，最大贮存量0.1t，交由有资质单位处置，贮存时间不超过30天</w:t>
      </w:r>
      <w:r>
        <w:rPr>
          <w:rFonts w:hint="default"/>
          <w:highlight w:val="none"/>
          <w:lang w:val="en-US" w:eastAsia="zh-CN"/>
        </w:rPr>
        <w:t>。</w:t>
      </w:r>
      <w:r>
        <w:rPr>
          <w:rFonts w:hint="eastAsia"/>
          <w:highlight w:val="none"/>
          <w:lang w:val="en-US" w:eastAsia="zh-CN"/>
        </w:rPr>
        <w:t>活性炭吸附装置产生的</w:t>
      </w:r>
      <w:r>
        <w:rPr>
          <w:rFonts w:hint="default"/>
          <w:highlight w:val="none"/>
          <w:lang w:val="en-US" w:eastAsia="zh-CN"/>
        </w:rPr>
        <w:t>废活性炭（类别：HW49，代码：900-041-49）</w:t>
      </w:r>
      <w:r>
        <w:rPr>
          <w:rFonts w:hint="eastAsia"/>
          <w:highlight w:val="none"/>
          <w:lang w:val="en-US" w:eastAsia="zh-CN"/>
        </w:rPr>
        <w:t>经密封袋装收集，半年更换一次，最大贮存量13.7t，暂存于危险废物贮存库中，交由有资质单位处置，贮存时间不超过30天</w:t>
      </w:r>
      <w:r>
        <w:rPr>
          <w:rFonts w:hint="default"/>
          <w:highlight w:val="none"/>
          <w:lang w:val="en-US" w:eastAsia="zh-CN"/>
        </w:rPr>
        <w:t>。</w:t>
      </w:r>
    </w:p>
    <w:p w14:paraId="352DD39E">
      <w:pPr>
        <w:ind w:firstLine="480"/>
        <w:rPr>
          <w:rFonts w:hint="default" w:ascii="Times New Roman" w:hAnsi="Times New Roman" w:eastAsia="宋体" w:cs="Times New Roman"/>
          <w:highlight w:val="none"/>
        </w:rPr>
      </w:pPr>
      <w:r>
        <w:rPr>
          <w:rFonts w:hint="default" w:ascii="Times New Roman" w:hAnsi="Times New Roman" w:eastAsia="宋体" w:cs="Times New Roman"/>
          <w:highlight w:val="none"/>
        </w:rPr>
        <w:t>按《危险废物贮存污染控制标准》要求建设1座</w:t>
      </w:r>
      <w:r>
        <w:rPr>
          <w:rFonts w:hint="default" w:ascii="Times New Roman" w:hAnsi="Times New Roman" w:eastAsia="宋体" w:cs="Times New Roman"/>
          <w:highlight w:val="none"/>
          <w:lang w:eastAsia="zh-CN"/>
        </w:rPr>
        <w:t>危险废物贮存库</w:t>
      </w:r>
      <w:r>
        <w:rPr>
          <w:rFonts w:hint="default" w:ascii="Times New Roman" w:hAnsi="Times New Roman" w:eastAsia="宋体" w:cs="Times New Roman"/>
          <w:highlight w:val="none"/>
        </w:rPr>
        <w:t>（建筑面积</w:t>
      </w:r>
      <w:r>
        <w:rPr>
          <w:rFonts w:hint="default" w:ascii="Times New Roman" w:hAnsi="Times New Roman" w:cs="Times New Roman"/>
          <w:highlight w:val="none"/>
          <w:lang w:val="en-US" w:eastAsia="zh-CN"/>
        </w:rPr>
        <w:t>5</w:t>
      </w:r>
      <w:r>
        <w:rPr>
          <w:rFonts w:hint="default" w:ascii="Times New Roman" w:hAnsi="Times New Roman" w:eastAsia="宋体" w:cs="Times New Roman"/>
          <w:highlight w:val="none"/>
        </w:rPr>
        <w:t>0m</w:t>
      </w:r>
      <w:r>
        <w:rPr>
          <w:rFonts w:hint="default" w:ascii="Times New Roman" w:hAnsi="Times New Roman" w:eastAsia="宋体" w:cs="Times New Roman"/>
          <w:highlight w:val="none"/>
          <w:vertAlign w:val="superscript"/>
        </w:rPr>
        <w:t>2</w:t>
      </w:r>
      <w:r>
        <w:rPr>
          <w:rFonts w:hint="default" w:ascii="Times New Roman" w:hAnsi="Times New Roman" w:eastAsia="宋体" w:cs="Times New Roman"/>
          <w:highlight w:val="none"/>
        </w:rPr>
        <w:t>）。</w:t>
      </w:r>
      <w:r>
        <w:rPr>
          <w:rFonts w:hint="default" w:ascii="Times New Roman" w:hAnsi="Times New Roman" w:eastAsia="宋体" w:cs="Times New Roman"/>
          <w:highlight w:val="none"/>
          <w:lang w:eastAsia="zh-CN"/>
        </w:rPr>
        <w:t>危险废物贮存库</w:t>
      </w:r>
      <w:r>
        <w:rPr>
          <w:rFonts w:hint="default" w:ascii="Times New Roman" w:hAnsi="Times New Roman" w:eastAsia="宋体" w:cs="Times New Roman"/>
          <w:highlight w:val="none"/>
        </w:rPr>
        <w:t>建筑严格按照《危险废物贮存污染控制标准》（GB18597</w:t>
      </w:r>
      <w:r>
        <w:rPr>
          <w:rFonts w:hint="eastAsia" w:ascii="Times New Roman" w:hAnsi="Times New Roman" w:cs="Times New Roman"/>
          <w:highlight w:val="none"/>
          <w:lang w:val="en-US" w:eastAsia="zh-CN"/>
        </w:rPr>
        <w:t>-</w:t>
      </w:r>
      <w:r>
        <w:rPr>
          <w:rFonts w:hint="default" w:ascii="Times New Roman" w:hAnsi="Times New Roman" w:eastAsia="宋体" w:cs="Times New Roman"/>
          <w:highlight w:val="none"/>
        </w:rPr>
        <w:t>2023）有关规定的要求进行设计、建造和管理。各类危险废物采用密封加盖容器或者具有内衬塑料袋的编织袋包装后分区堆放于</w:t>
      </w:r>
      <w:r>
        <w:rPr>
          <w:rFonts w:hint="default" w:ascii="Times New Roman" w:hAnsi="Times New Roman" w:cs="Times New Roman"/>
          <w:highlight w:val="none"/>
          <w:lang w:val="en-US" w:eastAsia="zh-CN"/>
        </w:rPr>
        <w:t>危险废物贮存库</w:t>
      </w:r>
      <w:r>
        <w:rPr>
          <w:rFonts w:hint="default" w:ascii="Times New Roman" w:hAnsi="Times New Roman" w:eastAsia="宋体" w:cs="Times New Roman"/>
          <w:highlight w:val="none"/>
        </w:rPr>
        <w:t>，库房要求防风、防雨和防晒，库房地面、裙角等均作防腐、防渗处理。</w:t>
      </w:r>
    </w:p>
    <w:p w14:paraId="4C77A148">
      <w:pPr>
        <w:pStyle w:val="7"/>
        <w:bidi w:val="0"/>
        <w:rPr>
          <w:rFonts w:hint="eastAsia"/>
          <w:highlight w:val="none"/>
        </w:rPr>
      </w:pPr>
      <w:bookmarkStart w:id="523" w:name="_Toc15824"/>
    </w:p>
    <w:p w14:paraId="1743F487">
      <w:pPr>
        <w:pStyle w:val="7"/>
        <w:bidi w:val="0"/>
        <w:rPr>
          <w:rFonts w:hint="eastAsia"/>
          <w:highlight w:val="none"/>
        </w:rPr>
      </w:pPr>
    </w:p>
    <w:p w14:paraId="64266124">
      <w:pPr>
        <w:rPr>
          <w:rFonts w:hint="eastAsia"/>
          <w:highlight w:val="none"/>
        </w:rPr>
      </w:pPr>
    </w:p>
    <w:p w14:paraId="200B20D6">
      <w:pPr>
        <w:pStyle w:val="7"/>
        <w:bidi w:val="0"/>
        <w:rPr>
          <w:rFonts w:hint="eastAsia"/>
          <w:highlight w:val="none"/>
        </w:rPr>
      </w:pPr>
      <w:r>
        <w:rPr>
          <w:rFonts w:hint="eastAsia"/>
          <w:highlight w:val="none"/>
        </w:rPr>
        <w:t>表6</w:t>
      </w:r>
      <w:r>
        <w:rPr>
          <w:rFonts w:hint="eastAsia"/>
          <w:highlight w:val="none"/>
          <w:lang w:val="en-US" w:eastAsia="zh-CN"/>
        </w:rPr>
        <w:t>-2-3</w:t>
      </w:r>
      <w:r>
        <w:rPr>
          <w:rFonts w:hint="eastAsia"/>
          <w:highlight w:val="none"/>
        </w:rPr>
        <w:t>建设项目危险废物暂存场所（设施）基本情况表</w:t>
      </w:r>
      <w:bookmarkEnd w:id="523"/>
    </w:p>
    <w:tbl>
      <w:tblPr>
        <w:tblStyle w:val="46"/>
        <w:tblW w:w="4999" w:type="pct"/>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398"/>
        <w:gridCol w:w="992"/>
        <w:gridCol w:w="1260"/>
        <w:gridCol w:w="1275"/>
        <w:gridCol w:w="900"/>
        <w:gridCol w:w="690"/>
        <w:gridCol w:w="675"/>
        <w:gridCol w:w="795"/>
        <w:gridCol w:w="840"/>
        <w:gridCol w:w="696"/>
      </w:tblGrid>
      <w:tr w14:paraId="2F05151F">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0" w:hRule="atLeast"/>
          <w:jc w:val="center"/>
        </w:trPr>
        <w:tc>
          <w:tcPr>
            <w:tcW w:w="398" w:type="dxa"/>
            <w:tcBorders>
              <w:tl2br w:val="nil"/>
              <w:tr2bl w:val="nil"/>
            </w:tcBorders>
            <w:vAlign w:val="center"/>
          </w:tcPr>
          <w:p w14:paraId="27B79C70">
            <w:pPr>
              <w:pStyle w:val="8"/>
              <w:suppressLineNumbers w:val="0"/>
              <w:bidi w:val="0"/>
              <w:spacing w:before="0" w:beforeAutospacing="0" w:after="0" w:afterAutospacing="0"/>
              <w:ind w:left="0" w:right="0"/>
              <w:rPr>
                <w:rFonts w:hint="eastAsia"/>
                <w:highlight w:val="none"/>
              </w:rPr>
            </w:pPr>
            <w:bookmarkStart w:id="524" w:name="_Toc27717"/>
            <w:bookmarkStart w:id="525" w:name="_Toc12621"/>
            <w:bookmarkStart w:id="526" w:name="_Toc1201"/>
            <w:bookmarkStart w:id="527" w:name="_Toc8997"/>
            <w:r>
              <w:rPr>
                <w:rFonts w:hint="eastAsia"/>
                <w:highlight w:val="none"/>
              </w:rPr>
              <w:t>序号</w:t>
            </w:r>
            <w:bookmarkEnd w:id="524"/>
          </w:p>
        </w:tc>
        <w:tc>
          <w:tcPr>
            <w:tcW w:w="992" w:type="dxa"/>
            <w:tcBorders>
              <w:tl2br w:val="nil"/>
              <w:tr2bl w:val="nil"/>
            </w:tcBorders>
            <w:vAlign w:val="center"/>
          </w:tcPr>
          <w:p w14:paraId="6D5BC348">
            <w:pPr>
              <w:pStyle w:val="8"/>
              <w:suppressLineNumbers w:val="0"/>
              <w:bidi w:val="0"/>
              <w:spacing w:before="0" w:beforeAutospacing="0" w:after="0" w:afterAutospacing="0"/>
              <w:ind w:left="0" w:right="0"/>
              <w:rPr>
                <w:rFonts w:hint="eastAsia"/>
                <w:highlight w:val="none"/>
              </w:rPr>
            </w:pPr>
            <w:bookmarkStart w:id="528" w:name="_Toc25926"/>
            <w:r>
              <w:rPr>
                <w:rFonts w:hint="eastAsia"/>
                <w:highlight w:val="none"/>
              </w:rPr>
              <w:t>贮存场所（设施名称）</w:t>
            </w:r>
            <w:bookmarkEnd w:id="528"/>
          </w:p>
        </w:tc>
        <w:tc>
          <w:tcPr>
            <w:tcW w:w="1260" w:type="dxa"/>
            <w:tcBorders>
              <w:tl2br w:val="nil"/>
              <w:tr2bl w:val="nil"/>
            </w:tcBorders>
            <w:vAlign w:val="center"/>
          </w:tcPr>
          <w:p w14:paraId="26332E38">
            <w:pPr>
              <w:pStyle w:val="8"/>
              <w:suppressLineNumbers w:val="0"/>
              <w:bidi w:val="0"/>
              <w:spacing w:before="0" w:beforeAutospacing="0" w:after="0" w:afterAutospacing="0"/>
              <w:ind w:left="0" w:right="0"/>
              <w:rPr>
                <w:rFonts w:hint="eastAsia"/>
                <w:highlight w:val="none"/>
              </w:rPr>
            </w:pPr>
            <w:bookmarkStart w:id="529" w:name="_Toc9877"/>
            <w:r>
              <w:rPr>
                <w:rFonts w:hint="eastAsia"/>
                <w:highlight w:val="none"/>
              </w:rPr>
              <w:t>危险废物名称</w:t>
            </w:r>
            <w:bookmarkEnd w:id="529"/>
          </w:p>
        </w:tc>
        <w:tc>
          <w:tcPr>
            <w:tcW w:w="1275" w:type="dxa"/>
            <w:tcBorders>
              <w:tl2br w:val="nil"/>
              <w:tr2bl w:val="nil"/>
            </w:tcBorders>
            <w:vAlign w:val="center"/>
          </w:tcPr>
          <w:p w14:paraId="0AD319C7">
            <w:pPr>
              <w:pStyle w:val="8"/>
              <w:suppressLineNumbers w:val="0"/>
              <w:bidi w:val="0"/>
              <w:spacing w:before="0" w:beforeAutospacing="0" w:after="0" w:afterAutospacing="0"/>
              <w:ind w:left="0" w:right="0"/>
              <w:rPr>
                <w:rFonts w:hint="eastAsia"/>
                <w:highlight w:val="none"/>
              </w:rPr>
            </w:pPr>
            <w:bookmarkStart w:id="530" w:name="_Toc29028"/>
            <w:r>
              <w:rPr>
                <w:rFonts w:hint="eastAsia"/>
                <w:highlight w:val="none"/>
              </w:rPr>
              <w:t>危险废物类别及代码</w:t>
            </w:r>
            <w:bookmarkEnd w:id="530"/>
          </w:p>
        </w:tc>
        <w:tc>
          <w:tcPr>
            <w:tcW w:w="900" w:type="dxa"/>
            <w:tcBorders>
              <w:tl2br w:val="nil"/>
              <w:tr2bl w:val="nil"/>
            </w:tcBorders>
            <w:vAlign w:val="center"/>
          </w:tcPr>
          <w:p w14:paraId="0EECBA9C">
            <w:pPr>
              <w:pStyle w:val="8"/>
              <w:suppressLineNumbers w:val="0"/>
              <w:bidi w:val="0"/>
              <w:spacing w:before="0" w:beforeAutospacing="0" w:after="0" w:afterAutospacing="0"/>
              <w:ind w:left="0" w:right="0"/>
              <w:rPr>
                <w:rFonts w:hint="eastAsia"/>
                <w:highlight w:val="none"/>
              </w:rPr>
            </w:pPr>
            <w:bookmarkStart w:id="531" w:name="_Toc27058"/>
            <w:r>
              <w:rPr>
                <w:rFonts w:hint="eastAsia"/>
                <w:highlight w:val="none"/>
              </w:rPr>
              <w:t>位置</w:t>
            </w:r>
            <w:bookmarkEnd w:id="531"/>
          </w:p>
        </w:tc>
        <w:tc>
          <w:tcPr>
            <w:tcW w:w="690" w:type="dxa"/>
            <w:tcBorders>
              <w:tl2br w:val="nil"/>
              <w:tr2bl w:val="nil"/>
            </w:tcBorders>
            <w:vAlign w:val="center"/>
          </w:tcPr>
          <w:p w14:paraId="48840316">
            <w:pPr>
              <w:pStyle w:val="8"/>
              <w:suppressLineNumbers w:val="0"/>
              <w:bidi w:val="0"/>
              <w:spacing w:before="0" w:beforeAutospacing="0" w:after="0" w:afterAutospacing="0"/>
              <w:ind w:left="0" w:right="0"/>
              <w:rPr>
                <w:rFonts w:hint="eastAsia"/>
                <w:highlight w:val="none"/>
              </w:rPr>
            </w:pPr>
            <w:bookmarkStart w:id="532" w:name="_Toc10185"/>
            <w:r>
              <w:rPr>
                <w:rFonts w:hint="eastAsia"/>
                <w:highlight w:val="none"/>
              </w:rPr>
              <w:t>占地面积（m</w:t>
            </w:r>
            <w:r>
              <w:rPr>
                <w:rFonts w:hint="eastAsia"/>
                <w:highlight w:val="none"/>
                <w:vertAlign w:val="superscript"/>
              </w:rPr>
              <w:t>2</w:t>
            </w:r>
            <w:r>
              <w:rPr>
                <w:rFonts w:hint="eastAsia"/>
                <w:highlight w:val="none"/>
              </w:rPr>
              <w:t>）</w:t>
            </w:r>
            <w:bookmarkEnd w:id="532"/>
          </w:p>
        </w:tc>
        <w:tc>
          <w:tcPr>
            <w:tcW w:w="675" w:type="dxa"/>
            <w:tcBorders>
              <w:tl2br w:val="nil"/>
              <w:tr2bl w:val="nil"/>
            </w:tcBorders>
            <w:vAlign w:val="center"/>
          </w:tcPr>
          <w:p w14:paraId="08819D42">
            <w:pPr>
              <w:pStyle w:val="8"/>
              <w:suppressLineNumbers w:val="0"/>
              <w:bidi w:val="0"/>
              <w:spacing w:before="0" w:beforeAutospacing="0" w:after="0" w:afterAutospacing="0"/>
              <w:ind w:left="0" w:right="0"/>
              <w:rPr>
                <w:rFonts w:hint="eastAsia"/>
                <w:highlight w:val="none"/>
              </w:rPr>
            </w:pPr>
            <w:bookmarkStart w:id="533" w:name="_Toc9458"/>
            <w:r>
              <w:rPr>
                <w:rFonts w:hint="eastAsia"/>
                <w:highlight w:val="none"/>
              </w:rPr>
              <w:t>贮存</w:t>
            </w:r>
            <w:bookmarkEnd w:id="533"/>
          </w:p>
          <w:p w14:paraId="2672F5C6">
            <w:pPr>
              <w:pStyle w:val="8"/>
              <w:suppressLineNumbers w:val="0"/>
              <w:bidi w:val="0"/>
              <w:spacing w:before="0" w:beforeAutospacing="0" w:after="0" w:afterAutospacing="0"/>
              <w:ind w:left="0" w:right="0"/>
              <w:rPr>
                <w:rFonts w:hint="eastAsia"/>
                <w:highlight w:val="none"/>
              </w:rPr>
            </w:pPr>
            <w:bookmarkStart w:id="534" w:name="_Toc16858"/>
            <w:r>
              <w:rPr>
                <w:rFonts w:hint="eastAsia"/>
                <w:highlight w:val="none"/>
              </w:rPr>
              <w:t>方式</w:t>
            </w:r>
            <w:bookmarkEnd w:id="534"/>
          </w:p>
        </w:tc>
        <w:tc>
          <w:tcPr>
            <w:tcW w:w="795" w:type="dxa"/>
            <w:tcBorders>
              <w:tl2br w:val="nil"/>
              <w:tr2bl w:val="nil"/>
            </w:tcBorders>
            <w:vAlign w:val="center"/>
          </w:tcPr>
          <w:p w14:paraId="2E36FBEF">
            <w:pPr>
              <w:pStyle w:val="8"/>
              <w:suppressLineNumbers w:val="0"/>
              <w:bidi w:val="0"/>
              <w:spacing w:before="0" w:beforeAutospacing="0" w:after="0" w:afterAutospacing="0"/>
              <w:ind w:left="0" w:right="0"/>
              <w:rPr>
                <w:rFonts w:hint="eastAsia"/>
                <w:highlight w:val="none"/>
              </w:rPr>
            </w:pPr>
            <w:bookmarkStart w:id="535" w:name="_Toc15847"/>
            <w:r>
              <w:rPr>
                <w:rFonts w:hint="eastAsia"/>
                <w:highlight w:val="none"/>
              </w:rPr>
              <w:t>贮存</w:t>
            </w:r>
            <w:bookmarkEnd w:id="535"/>
          </w:p>
          <w:p w14:paraId="24599258">
            <w:pPr>
              <w:pStyle w:val="8"/>
              <w:suppressLineNumbers w:val="0"/>
              <w:bidi w:val="0"/>
              <w:spacing w:before="0" w:beforeAutospacing="0" w:after="0" w:afterAutospacing="0"/>
              <w:ind w:left="0" w:right="0"/>
              <w:rPr>
                <w:rFonts w:hint="eastAsia"/>
                <w:highlight w:val="none"/>
              </w:rPr>
            </w:pPr>
            <w:bookmarkStart w:id="536" w:name="_Toc24990"/>
            <w:r>
              <w:rPr>
                <w:rFonts w:hint="eastAsia"/>
                <w:highlight w:val="none"/>
              </w:rPr>
              <w:t>能力</w:t>
            </w:r>
            <w:bookmarkEnd w:id="536"/>
          </w:p>
          <w:p w14:paraId="41E8A880">
            <w:pPr>
              <w:pStyle w:val="8"/>
              <w:suppressLineNumbers w:val="0"/>
              <w:bidi w:val="0"/>
              <w:spacing w:before="0" w:beforeAutospacing="0" w:after="0" w:afterAutospacing="0"/>
              <w:ind w:left="0" w:right="0"/>
              <w:rPr>
                <w:rFonts w:hint="eastAsia" w:eastAsia="宋体"/>
                <w:highlight w:val="none"/>
                <w:lang w:eastAsia="zh-CN"/>
              </w:rPr>
            </w:pPr>
            <w:bookmarkStart w:id="537" w:name="_Toc15954"/>
            <w:r>
              <w:rPr>
                <w:rFonts w:hint="eastAsia"/>
                <w:highlight w:val="none"/>
                <w:lang w:eastAsia="zh-CN"/>
              </w:rPr>
              <w:t>（</w:t>
            </w:r>
            <w:r>
              <w:rPr>
                <w:rFonts w:hint="eastAsia"/>
                <w:highlight w:val="none"/>
              </w:rPr>
              <w:t>t/a</w:t>
            </w:r>
            <w:bookmarkEnd w:id="537"/>
            <w:r>
              <w:rPr>
                <w:rFonts w:hint="eastAsia"/>
                <w:highlight w:val="none"/>
                <w:lang w:eastAsia="zh-CN"/>
              </w:rPr>
              <w:t>）</w:t>
            </w:r>
          </w:p>
        </w:tc>
        <w:tc>
          <w:tcPr>
            <w:tcW w:w="840" w:type="dxa"/>
            <w:tcBorders>
              <w:tl2br w:val="nil"/>
              <w:tr2bl w:val="nil"/>
            </w:tcBorders>
            <w:vAlign w:val="center"/>
          </w:tcPr>
          <w:p w14:paraId="2B05F62D">
            <w:pPr>
              <w:pStyle w:val="8"/>
              <w:suppressLineNumbers w:val="0"/>
              <w:bidi w:val="0"/>
              <w:spacing w:before="0" w:beforeAutospacing="0" w:after="0" w:afterAutospacing="0"/>
              <w:ind w:left="0" w:right="0"/>
              <w:rPr>
                <w:rFonts w:hint="eastAsia"/>
                <w:highlight w:val="none"/>
              </w:rPr>
            </w:pPr>
            <w:bookmarkStart w:id="538" w:name="_Toc25180"/>
            <w:r>
              <w:rPr>
                <w:rFonts w:hint="eastAsia"/>
                <w:highlight w:val="none"/>
              </w:rPr>
              <w:t>占地面</w:t>
            </w:r>
            <w:bookmarkEnd w:id="538"/>
          </w:p>
          <w:p w14:paraId="447A06F4">
            <w:pPr>
              <w:pStyle w:val="8"/>
              <w:suppressLineNumbers w:val="0"/>
              <w:bidi w:val="0"/>
              <w:spacing w:before="0" w:beforeAutospacing="0" w:after="0" w:afterAutospacing="0"/>
              <w:ind w:left="0" w:right="0"/>
              <w:rPr>
                <w:rFonts w:hint="eastAsia"/>
                <w:highlight w:val="none"/>
              </w:rPr>
            </w:pPr>
            <w:bookmarkStart w:id="539" w:name="_Toc21180"/>
            <w:r>
              <w:rPr>
                <w:rFonts w:hint="eastAsia"/>
                <w:highlight w:val="none"/>
              </w:rPr>
              <w:t>积（m</w:t>
            </w:r>
            <w:r>
              <w:rPr>
                <w:rFonts w:hint="eastAsia"/>
                <w:highlight w:val="none"/>
                <w:vertAlign w:val="superscript"/>
              </w:rPr>
              <w:t>2</w:t>
            </w:r>
            <w:r>
              <w:rPr>
                <w:rFonts w:hint="eastAsia"/>
                <w:highlight w:val="none"/>
              </w:rPr>
              <w:t>）</w:t>
            </w:r>
            <w:bookmarkEnd w:id="539"/>
          </w:p>
        </w:tc>
        <w:tc>
          <w:tcPr>
            <w:tcW w:w="696" w:type="dxa"/>
            <w:tcBorders>
              <w:tl2br w:val="nil"/>
              <w:tr2bl w:val="nil"/>
            </w:tcBorders>
            <w:vAlign w:val="center"/>
          </w:tcPr>
          <w:p w14:paraId="1A8F266E">
            <w:pPr>
              <w:pStyle w:val="8"/>
              <w:suppressLineNumbers w:val="0"/>
              <w:bidi w:val="0"/>
              <w:spacing w:before="0" w:beforeAutospacing="0" w:after="0" w:afterAutospacing="0"/>
              <w:ind w:left="0" w:right="0"/>
              <w:rPr>
                <w:rFonts w:hint="eastAsia"/>
                <w:highlight w:val="none"/>
              </w:rPr>
            </w:pPr>
            <w:bookmarkStart w:id="540" w:name="_Toc2898"/>
            <w:r>
              <w:rPr>
                <w:rFonts w:hint="eastAsia"/>
                <w:highlight w:val="none"/>
              </w:rPr>
              <w:t>贮存周期</w:t>
            </w:r>
            <w:bookmarkEnd w:id="540"/>
          </w:p>
        </w:tc>
      </w:tr>
      <w:tr w14:paraId="23E08FDD">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0" w:hRule="atLeast"/>
          <w:jc w:val="center"/>
        </w:trPr>
        <w:tc>
          <w:tcPr>
            <w:tcW w:w="398" w:type="dxa"/>
            <w:tcBorders>
              <w:tl2br w:val="nil"/>
              <w:tr2bl w:val="nil"/>
            </w:tcBorders>
            <w:vAlign w:val="center"/>
          </w:tcPr>
          <w:p w14:paraId="0F2291F7">
            <w:pPr>
              <w:pStyle w:val="8"/>
              <w:suppressLineNumbers w:val="0"/>
              <w:bidi w:val="0"/>
              <w:spacing w:before="0" w:beforeAutospacing="0" w:after="0" w:afterAutospacing="0"/>
              <w:ind w:left="0" w:right="0"/>
              <w:rPr>
                <w:rFonts w:hint="eastAsia"/>
                <w:highlight w:val="none"/>
              </w:rPr>
            </w:pPr>
            <w:bookmarkStart w:id="541" w:name="_Toc9950"/>
            <w:r>
              <w:rPr>
                <w:rFonts w:hint="eastAsia"/>
                <w:highlight w:val="none"/>
              </w:rPr>
              <w:t>1</w:t>
            </w:r>
            <w:bookmarkEnd w:id="541"/>
          </w:p>
        </w:tc>
        <w:tc>
          <w:tcPr>
            <w:tcW w:w="992" w:type="dxa"/>
            <w:vMerge w:val="restart"/>
            <w:tcBorders>
              <w:tl2br w:val="nil"/>
              <w:tr2bl w:val="nil"/>
            </w:tcBorders>
            <w:vAlign w:val="center"/>
          </w:tcPr>
          <w:p w14:paraId="4A8C1B13">
            <w:pPr>
              <w:pStyle w:val="8"/>
              <w:suppressLineNumbers w:val="0"/>
              <w:bidi w:val="0"/>
              <w:spacing w:before="0" w:beforeAutospacing="0" w:after="0" w:afterAutospacing="0"/>
              <w:ind w:left="0" w:right="0"/>
              <w:rPr>
                <w:rFonts w:hint="eastAsia"/>
                <w:highlight w:val="none"/>
                <w:lang w:eastAsia="zh-CN"/>
              </w:rPr>
            </w:pPr>
            <w:r>
              <w:rPr>
                <w:rFonts w:hint="eastAsia"/>
                <w:highlight w:val="none"/>
                <w:lang w:eastAsia="zh-CN"/>
              </w:rPr>
              <w:t>危险废物贮存库</w:t>
            </w:r>
          </w:p>
        </w:tc>
        <w:tc>
          <w:tcPr>
            <w:tcW w:w="1260" w:type="dxa"/>
            <w:tcBorders>
              <w:tl2br w:val="nil"/>
              <w:tr2bl w:val="nil"/>
            </w:tcBorders>
            <w:vAlign w:val="center"/>
          </w:tcPr>
          <w:p w14:paraId="7B2CE3C7">
            <w:pPr>
              <w:pStyle w:val="8"/>
              <w:suppressLineNumbers w:val="0"/>
              <w:bidi w:val="0"/>
              <w:spacing w:before="0" w:beforeAutospacing="0" w:after="0" w:afterAutospacing="0"/>
              <w:ind w:left="0" w:right="0"/>
              <w:rPr>
                <w:rFonts w:hint="eastAsia"/>
                <w:highlight w:val="none"/>
              </w:rPr>
            </w:pPr>
            <w:r>
              <w:rPr>
                <w:rFonts w:hint="eastAsia"/>
                <w:highlight w:val="none"/>
              </w:rPr>
              <w:t>废液</w:t>
            </w:r>
          </w:p>
        </w:tc>
        <w:tc>
          <w:tcPr>
            <w:tcW w:w="1275" w:type="dxa"/>
            <w:tcBorders>
              <w:tl2br w:val="nil"/>
              <w:tr2bl w:val="nil"/>
            </w:tcBorders>
            <w:vAlign w:val="center"/>
          </w:tcPr>
          <w:p w14:paraId="2B369522">
            <w:pPr>
              <w:pStyle w:val="8"/>
              <w:suppressLineNumbers w:val="0"/>
              <w:bidi w:val="0"/>
              <w:spacing w:before="0" w:beforeAutospacing="0" w:after="0" w:afterAutospacing="0"/>
              <w:ind w:left="0" w:right="0"/>
              <w:rPr>
                <w:rFonts w:hint="eastAsia"/>
                <w:highlight w:val="none"/>
                <w:lang w:eastAsia="zh-CN"/>
              </w:rPr>
            </w:pPr>
            <w:r>
              <w:rPr>
                <w:rFonts w:hint="eastAsia"/>
                <w:highlight w:val="none"/>
              </w:rPr>
              <w:t>HW</w:t>
            </w:r>
            <w:r>
              <w:rPr>
                <w:rFonts w:hint="eastAsia"/>
                <w:highlight w:val="none"/>
                <w:lang w:val="en-US" w:eastAsia="zh-CN"/>
              </w:rPr>
              <w:t>0</w:t>
            </w:r>
            <w:r>
              <w:rPr>
                <w:rFonts w:hint="eastAsia"/>
                <w:highlight w:val="none"/>
              </w:rPr>
              <w:t>8</w:t>
            </w:r>
            <w:r>
              <w:rPr>
                <w:rFonts w:hint="eastAsia"/>
                <w:highlight w:val="none"/>
                <w:lang w:eastAsia="zh-CN"/>
              </w:rPr>
              <w:t>，900-249-08</w:t>
            </w:r>
            <w:r>
              <w:rPr>
                <w:rFonts w:hint="eastAsia"/>
                <w:highlight w:val="none"/>
              </w:rPr>
              <w:t>、HW09</w:t>
            </w:r>
            <w:r>
              <w:rPr>
                <w:rFonts w:hint="eastAsia"/>
                <w:highlight w:val="none"/>
                <w:lang w:eastAsia="zh-CN"/>
              </w:rPr>
              <w:t>，900-007-09</w:t>
            </w:r>
          </w:p>
        </w:tc>
        <w:tc>
          <w:tcPr>
            <w:tcW w:w="900" w:type="dxa"/>
            <w:vMerge w:val="restart"/>
            <w:tcBorders>
              <w:tl2br w:val="nil"/>
              <w:tr2bl w:val="nil"/>
            </w:tcBorders>
            <w:vAlign w:val="center"/>
          </w:tcPr>
          <w:p w14:paraId="5C0A1FDC">
            <w:pPr>
              <w:pStyle w:val="8"/>
              <w:suppressLineNumbers w:val="0"/>
              <w:bidi w:val="0"/>
              <w:spacing w:before="0" w:beforeAutospacing="0" w:after="0" w:afterAutospacing="0"/>
              <w:ind w:left="0" w:right="0"/>
              <w:rPr>
                <w:rFonts w:hint="eastAsia" w:eastAsia="宋体"/>
                <w:highlight w:val="none"/>
                <w:lang w:eastAsia="zh-CN"/>
              </w:rPr>
            </w:pPr>
            <w:r>
              <w:rPr>
                <w:rFonts w:hint="eastAsia"/>
                <w:highlight w:val="none"/>
                <w:lang w:val="en-US" w:eastAsia="zh-CN"/>
              </w:rPr>
              <w:t>危险废物贮存库</w:t>
            </w:r>
          </w:p>
        </w:tc>
        <w:tc>
          <w:tcPr>
            <w:tcW w:w="690" w:type="dxa"/>
            <w:vMerge w:val="restart"/>
            <w:tcBorders>
              <w:tl2br w:val="nil"/>
              <w:tr2bl w:val="nil"/>
            </w:tcBorders>
            <w:vAlign w:val="center"/>
          </w:tcPr>
          <w:p w14:paraId="0BB6574C">
            <w:pPr>
              <w:pStyle w:val="8"/>
              <w:suppressLineNumbers w:val="0"/>
              <w:bidi w:val="0"/>
              <w:spacing w:before="0" w:beforeAutospacing="0" w:after="0" w:afterAutospacing="0"/>
              <w:ind w:left="0" w:right="0"/>
              <w:rPr>
                <w:rFonts w:hint="eastAsia"/>
                <w:highlight w:val="none"/>
              </w:rPr>
            </w:pPr>
            <w:bookmarkStart w:id="542" w:name="_Toc13779"/>
            <w:r>
              <w:rPr>
                <w:rFonts w:hint="eastAsia"/>
                <w:highlight w:val="none"/>
                <w:lang w:val="en-US" w:eastAsia="zh-CN"/>
              </w:rPr>
              <w:t>5</w:t>
            </w:r>
            <w:r>
              <w:rPr>
                <w:rFonts w:hint="eastAsia"/>
                <w:highlight w:val="none"/>
              </w:rPr>
              <w:t>0</w:t>
            </w:r>
            <w:bookmarkEnd w:id="542"/>
          </w:p>
        </w:tc>
        <w:tc>
          <w:tcPr>
            <w:tcW w:w="675" w:type="dxa"/>
            <w:tcBorders>
              <w:tl2br w:val="nil"/>
              <w:tr2bl w:val="nil"/>
            </w:tcBorders>
            <w:vAlign w:val="center"/>
          </w:tcPr>
          <w:p w14:paraId="180DDB8A">
            <w:pPr>
              <w:pStyle w:val="8"/>
              <w:suppressLineNumbers w:val="0"/>
              <w:bidi w:val="0"/>
              <w:spacing w:before="0" w:beforeAutospacing="0" w:after="0" w:afterAutospacing="0"/>
              <w:ind w:left="0" w:right="0"/>
              <w:rPr>
                <w:rFonts w:hint="eastAsia"/>
                <w:highlight w:val="none"/>
              </w:rPr>
            </w:pPr>
            <w:bookmarkStart w:id="543" w:name="_Toc6813"/>
            <w:r>
              <w:rPr>
                <w:rFonts w:hint="eastAsia"/>
                <w:highlight w:val="none"/>
              </w:rPr>
              <w:t>密闭</w:t>
            </w:r>
            <w:bookmarkEnd w:id="543"/>
          </w:p>
          <w:p w14:paraId="29CCF532">
            <w:pPr>
              <w:pStyle w:val="8"/>
              <w:suppressLineNumbers w:val="0"/>
              <w:bidi w:val="0"/>
              <w:spacing w:before="0" w:beforeAutospacing="0" w:after="0" w:afterAutospacing="0"/>
              <w:ind w:left="0" w:right="0"/>
              <w:rPr>
                <w:rFonts w:hint="eastAsia"/>
                <w:highlight w:val="none"/>
              </w:rPr>
            </w:pPr>
            <w:bookmarkStart w:id="544" w:name="_Toc12607"/>
            <w:r>
              <w:rPr>
                <w:rFonts w:hint="eastAsia"/>
                <w:highlight w:val="none"/>
              </w:rPr>
              <w:t>桶装</w:t>
            </w:r>
            <w:bookmarkEnd w:id="544"/>
          </w:p>
        </w:tc>
        <w:tc>
          <w:tcPr>
            <w:tcW w:w="795" w:type="dxa"/>
            <w:tcBorders>
              <w:tl2br w:val="nil"/>
              <w:tr2bl w:val="nil"/>
            </w:tcBorders>
            <w:vAlign w:val="center"/>
          </w:tcPr>
          <w:p w14:paraId="4B8FCF0B">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25</w:t>
            </w:r>
          </w:p>
        </w:tc>
        <w:tc>
          <w:tcPr>
            <w:tcW w:w="840" w:type="dxa"/>
            <w:tcBorders>
              <w:tl2br w:val="nil"/>
              <w:tr2bl w:val="nil"/>
            </w:tcBorders>
            <w:vAlign w:val="center"/>
          </w:tcPr>
          <w:p w14:paraId="2C83EC0D">
            <w:pPr>
              <w:pStyle w:val="8"/>
              <w:suppressLineNumbers w:val="0"/>
              <w:bidi w:val="0"/>
              <w:spacing w:before="0" w:beforeAutospacing="0" w:after="0" w:afterAutospacing="0"/>
              <w:ind w:left="0" w:right="0"/>
              <w:rPr>
                <w:rFonts w:hint="default" w:eastAsia="宋体"/>
                <w:highlight w:val="none"/>
                <w:lang w:val="en-US" w:eastAsia="zh-CN"/>
              </w:rPr>
            </w:pPr>
            <w:r>
              <w:rPr>
                <w:rFonts w:hint="eastAsia"/>
                <w:highlight w:val="none"/>
                <w:lang w:val="en-US" w:eastAsia="zh-CN"/>
              </w:rPr>
              <w:t>24</w:t>
            </w:r>
          </w:p>
        </w:tc>
        <w:tc>
          <w:tcPr>
            <w:tcW w:w="696" w:type="dxa"/>
            <w:tcBorders>
              <w:tl2br w:val="nil"/>
              <w:tr2bl w:val="nil"/>
            </w:tcBorders>
            <w:vAlign w:val="center"/>
          </w:tcPr>
          <w:p w14:paraId="170DC1F4">
            <w:pPr>
              <w:pStyle w:val="8"/>
              <w:suppressLineNumbers w:val="0"/>
              <w:bidi w:val="0"/>
              <w:spacing w:before="0" w:beforeAutospacing="0" w:after="0" w:afterAutospacing="0"/>
              <w:ind w:left="0" w:right="0"/>
              <w:rPr>
                <w:rFonts w:hint="eastAsia"/>
                <w:highlight w:val="none"/>
              </w:rPr>
            </w:pPr>
            <w:r>
              <w:rPr>
                <w:rFonts w:hint="eastAsia"/>
                <w:highlight w:val="none"/>
                <w:lang w:val="en-US" w:eastAsia="zh-CN"/>
              </w:rPr>
              <w:t>一月</w:t>
            </w:r>
          </w:p>
        </w:tc>
      </w:tr>
      <w:bookmarkEnd w:id="525"/>
      <w:bookmarkEnd w:id="526"/>
      <w:bookmarkEnd w:id="527"/>
      <w:tr w14:paraId="5E67CD28">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0" w:hRule="atLeast"/>
          <w:jc w:val="center"/>
        </w:trPr>
        <w:tc>
          <w:tcPr>
            <w:tcW w:w="398" w:type="dxa"/>
            <w:tcBorders>
              <w:tl2br w:val="nil"/>
              <w:tr2bl w:val="nil"/>
            </w:tcBorders>
            <w:vAlign w:val="center"/>
          </w:tcPr>
          <w:p w14:paraId="320FEABB">
            <w:pPr>
              <w:pStyle w:val="8"/>
              <w:suppressLineNumbers w:val="0"/>
              <w:bidi w:val="0"/>
              <w:spacing w:before="0" w:beforeAutospacing="0" w:after="0" w:afterAutospacing="0"/>
              <w:ind w:left="0" w:right="0"/>
              <w:rPr>
                <w:rFonts w:hint="eastAsia"/>
                <w:highlight w:val="none"/>
              </w:rPr>
            </w:pPr>
            <w:bookmarkStart w:id="545" w:name="_Toc30376"/>
            <w:r>
              <w:rPr>
                <w:rFonts w:hint="eastAsia"/>
                <w:highlight w:val="none"/>
              </w:rPr>
              <w:t>2</w:t>
            </w:r>
            <w:bookmarkEnd w:id="545"/>
          </w:p>
        </w:tc>
        <w:tc>
          <w:tcPr>
            <w:tcW w:w="992" w:type="dxa"/>
            <w:vMerge w:val="continue"/>
            <w:tcBorders>
              <w:tl2br w:val="nil"/>
              <w:tr2bl w:val="nil"/>
            </w:tcBorders>
            <w:vAlign w:val="center"/>
          </w:tcPr>
          <w:p w14:paraId="0F1D5F73">
            <w:pPr>
              <w:pStyle w:val="8"/>
              <w:suppressLineNumbers w:val="0"/>
              <w:bidi w:val="0"/>
              <w:spacing w:before="0" w:beforeAutospacing="0" w:after="0" w:afterAutospacing="0"/>
              <w:ind w:left="0" w:right="0"/>
              <w:rPr>
                <w:rFonts w:hint="eastAsia"/>
                <w:highlight w:val="none"/>
              </w:rPr>
            </w:pPr>
          </w:p>
        </w:tc>
        <w:tc>
          <w:tcPr>
            <w:tcW w:w="1260" w:type="dxa"/>
            <w:tcBorders>
              <w:tl2br w:val="nil"/>
              <w:tr2bl w:val="nil"/>
            </w:tcBorders>
            <w:vAlign w:val="center"/>
          </w:tcPr>
          <w:p w14:paraId="0A7A7AD6">
            <w:pPr>
              <w:pStyle w:val="8"/>
              <w:suppressLineNumbers w:val="0"/>
              <w:bidi w:val="0"/>
              <w:spacing w:before="0" w:beforeAutospacing="0" w:after="0" w:afterAutospacing="0"/>
              <w:ind w:left="0" w:right="0"/>
              <w:rPr>
                <w:rFonts w:hint="eastAsia"/>
                <w:highlight w:val="none"/>
              </w:rPr>
            </w:pPr>
            <w:r>
              <w:rPr>
                <w:rFonts w:hint="eastAsia"/>
                <w:highlight w:val="none"/>
              </w:rPr>
              <w:t>废活性炭</w:t>
            </w:r>
          </w:p>
        </w:tc>
        <w:tc>
          <w:tcPr>
            <w:tcW w:w="1275" w:type="dxa"/>
            <w:tcBorders>
              <w:tl2br w:val="nil"/>
              <w:tr2bl w:val="nil"/>
            </w:tcBorders>
            <w:vAlign w:val="center"/>
          </w:tcPr>
          <w:p w14:paraId="3A22BE93">
            <w:pPr>
              <w:pStyle w:val="8"/>
              <w:suppressLineNumbers w:val="0"/>
              <w:bidi w:val="0"/>
              <w:spacing w:before="0" w:beforeAutospacing="0" w:after="0" w:afterAutospacing="0"/>
              <w:ind w:left="0" w:right="0"/>
              <w:rPr>
                <w:rFonts w:hint="eastAsia"/>
                <w:highlight w:val="none"/>
              </w:rPr>
            </w:pPr>
            <w:r>
              <w:rPr>
                <w:rFonts w:hint="eastAsia"/>
                <w:highlight w:val="none"/>
              </w:rPr>
              <w:t>HW49</w:t>
            </w:r>
          </w:p>
          <w:p w14:paraId="04D8A11D">
            <w:pPr>
              <w:pStyle w:val="8"/>
              <w:suppressLineNumbers w:val="0"/>
              <w:bidi w:val="0"/>
              <w:spacing w:before="0" w:beforeAutospacing="0" w:after="0" w:afterAutospacing="0"/>
              <w:ind w:left="0" w:right="0"/>
              <w:rPr>
                <w:rFonts w:hint="eastAsia"/>
                <w:highlight w:val="none"/>
              </w:rPr>
            </w:pPr>
            <w:r>
              <w:rPr>
                <w:rFonts w:hint="eastAsia"/>
                <w:highlight w:val="none"/>
              </w:rPr>
              <w:t>900-041-49</w:t>
            </w:r>
          </w:p>
        </w:tc>
        <w:tc>
          <w:tcPr>
            <w:tcW w:w="900" w:type="dxa"/>
            <w:vMerge w:val="continue"/>
            <w:tcBorders>
              <w:tl2br w:val="nil"/>
              <w:tr2bl w:val="nil"/>
            </w:tcBorders>
            <w:vAlign w:val="center"/>
          </w:tcPr>
          <w:p w14:paraId="02BFAB2B">
            <w:pPr>
              <w:pStyle w:val="8"/>
              <w:suppressLineNumbers w:val="0"/>
              <w:bidi w:val="0"/>
              <w:spacing w:before="0" w:beforeAutospacing="0" w:after="0" w:afterAutospacing="0"/>
              <w:ind w:left="0" w:right="0"/>
              <w:rPr>
                <w:rFonts w:hint="eastAsia"/>
                <w:highlight w:val="none"/>
              </w:rPr>
            </w:pPr>
          </w:p>
        </w:tc>
        <w:tc>
          <w:tcPr>
            <w:tcW w:w="690" w:type="dxa"/>
            <w:vMerge w:val="continue"/>
            <w:tcBorders>
              <w:tl2br w:val="nil"/>
              <w:tr2bl w:val="nil"/>
            </w:tcBorders>
            <w:vAlign w:val="center"/>
          </w:tcPr>
          <w:p w14:paraId="520E7D8D">
            <w:pPr>
              <w:pStyle w:val="8"/>
              <w:suppressLineNumbers w:val="0"/>
              <w:bidi w:val="0"/>
              <w:spacing w:before="0" w:beforeAutospacing="0" w:after="0" w:afterAutospacing="0"/>
              <w:ind w:left="0" w:right="0"/>
              <w:rPr>
                <w:rFonts w:hint="eastAsia"/>
                <w:highlight w:val="none"/>
              </w:rPr>
            </w:pPr>
          </w:p>
        </w:tc>
        <w:tc>
          <w:tcPr>
            <w:tcW w:w="675" w:type="dxa"/>
            <w:tcBorders>
              <w:tl2br w:val="nil"/>
              <w:tr2bl w:val="nil"/>
            </w:tcBorders>
            <w:vAlign w:val="center"/>
          </w:tcPr>
          <w:p w14:paraId="2CFA2E7C">
            <w:pPr>
              <w:pStyle w:val="8"/>
              <w:suppressLineNumbers w:val="0"/>
              <w:bidi w:val="0"/>
              <w:spacing w:before="0" w:beforeAutospacing="0" w:after="0" w:afterAutospacing="0"/>
              <w:ind w:left="0" w:right="0"/>
              <w:rPr>
                <w:rFonts w:hint="eastAsia"/>
                <w:highlight w:val="none"/>
              </w:rPr>
            </w:pPr>
            <w:r>
              <w:rPr>
                <w:rFonts w:hint="eastAsia"/>
                <w:highlight w:val="none"/>
              </w:rPr>
              <w:t>密闭</w:t>
            </w:r>
          </w:p>
          <w:p w14:paraId="083F366C">
            <w:pPr>
              <w:pStyle w:val="8"/>
              <w:suppressLineNumbers w:val="0"/>
              <w:bidi w:val="0"/>
              <w:spacing w:before="0" w:beforeAutospacing="0" w:after="0" w:afterAutospacing="0"/>
              <w:ind w:left="0" w:right="0"/>
              <w:rPr>
                <w:rFonts w:hint="eastAsia"/>
                <w:highlight w:val="none"/>
              </w:rPr>
            </w:pPr>
            <w:r>
              <w:rPr>
                <w:rFonts w:hint="eastAsia"/>
                <w:highlight w:val="none"/>
                <w:lang w:val="en-US" w:eastAsia="zh-CN"/>
              </w:rPr>
              <w:t>袋</w:t>
            </w:r>
            <w:r>
              <w:rPr>
                <w:rFonts w:hint="eastAsia"/>
                <w:highlight w:val="none"/>
              </w:rPr>
              <w:t>装</w:t>
            </w:r>
          </w:p>
        </w:tc>
        <w:tc>
          <w:tcPr>
            <w:tcW w:w="795" w:type="dxa"/>
            <w:tcBorders>
              <w:tl2br w:val="nil"/>
              <w:tr2bl w:val="nil"/>
            </w:tcBorders>
            <w:vAlign w:val="center"/>
          </w:tcPr>
          <w:p w14:paraId="5EEC7228">
            <w:pPr>
              <w:pStyle w:val="8"/>
              <w:suppressLineNumbers w:val="0"/>
              <w:bidi w:val="0"/>
              <w:spacing w:before="0" w:beforeAutospacing="0" w:after="0" w:afterAutospacing="0"/>
              <w:ind w:left="0" w:right="0"/>
              <w:rPr>
                <w:rFonts w:hint="default" w:eastAsia="宋体"/>
                <w:highlight w:val="none"/>
                <w:lang w:val="en-US" w:eastAsia="zh-CN"/>
              </w:rPr>
            </w:pPr>
            <w:r>
              <w:rPr>
                <w:rFonts w:hint="eastAsia"/>
                <w:highlight w:val="none"/>
                <w:lang w:val="en-US" w:eastAsia="zh-CN"/>
              </w:rPr>
              <w:t>15</w:t>
            </w:r>
          </w:p>
        </w:tc>
        <w:tc>
          <w:tcPr>
            <w:tcW w:w="840" w:type="dxa"/>
            <w:tcBorders>
              <w:tl2br w:val="nil"/>
              <w:tr2bl w:val="nil"/>
            </w:tcBorders>
            <w:vAlign w:val="center"/>
          </w:tcPr>
          <w:p w14:paraId="66683CC0">
            <w:pPr>
              <w:pStyle w:val="8"/>
              <w:suppressLineNumbers w:val="0"/>
              <w:bidi w:val="0"/>
              <w:spacing w:before="0" w:beforeAutospacing="0" w:after="0" w:afterAutospacing="0"/>
              <w:ind w:left="0" w:right="0"/>
              <w:rPr>
                <w:rFonts w:hint="default" w:eastAsia="宋体"/>
                <w:highlight w:val="none"/>
                <w:lang w:val="en-US" w:eastAsia="zh-CN"/>
              </w:rPr>
            </w:pPr>
            <w:r>
              <w:rPr>
                <w:rFonts w:hint="eastAsia"/>
                <w:highlight w:val="none"/>
                <w:lang w:val="en-US" w:eastAsia="zh-CN"/>
              </w:rPr>
              <w:t>20</w:t>
            </w:r>
          </w:p>
        </w:tc>
        <w:tc>
          <w:tcPr>
            <w:tcW w:w="696" w:type="dxa"/>
            <w:tcBorders>
              <w:tl2br w:val="nil"/>
              <w:tr2bl w:val="nil"/>
            </w:tcBorders>
            <w:vAlign w:val="center"/>
          </w:tcPr>
          <w:p w14:paraId="68DD331B">
            <w:pPr>
              <w:pStyle w:val="8"/>
              <w:suppressLineNumbers w:val="0"/>
              <w:bidi w:val="0"/>
              <w:spacing w:before="0" w:beforeAutospacing="0" w:after="0" w:afterAutospacing="0"/>
              <w:ind w:left="0" w:right="0"/>
              <w:rPr>
                <w:rFonts w:hint="eastAsia"/>
                <w:highlight w:val="none"/>
              </w:rPr>
            </w:pPr>
            <w:r>
              <w:rPr>
                <w:rFonts w:hint="eastAsia"/>
                <w:highlight w:val="none"/>
                <w:lang w:val="en-US" w:eastAsia="zh-CN"/>
              </w:rPr>
              <w:t>一月</w:t>
            </w:r>
          </w:p>
        </w:tc>
      </w:tr>
      <w:tr w14:paraId="45CBD947">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0" w:hRule="atLeast"/>
          <w:jc w:val="center"/>
        </w:trPr>
        <w:tc>
          <w:tcPr>
            <w:tcW w:w="398" w:type="dxa"/>
            <w:tcBorders>
              <w:tl2br w:val="nil"/>
              <w:tr2bl w:val="nil"/>
            </w:tcBorders>
            <w:vAlign w:val="center"/>
          </w:tcPr>
          <w:p w14:paraId="6C0F1A1E">
            <w:pPr>
              <w:pStyle w:val="8"/>
              <w:suppressLineNumbers w:val="0"/>
              <w:bidi w:val="0"/>
              <w:spacing w:before="0" w:beforeAutospacing="0" w:after="0" w:afterAutospacing="0"/>
              <w:ind w:left="0" w:right="0"/>
              <w:rPr>
                <w:rFonts w:hint="eastAsia"/>
                <w:highlight w:val="none"/>
              </w:rPr>
            </w:pPr>
            <w:bookmarkStart w:id="546" w:name="_Toc129"/>
            <w:bookmarkStart w:id="547" w:name="_Toc21488"/>
            <w:r>
              <w:rPr>
                <w:rFonts w:hint="eastAsia"/>
                <w:highlight w:val="none"/>
              </w:rPr>
              <w:t>3</w:t>
            </w:r>
            <w:bookmarkEnd w:id="546"/>
          </w:p>
        </w:tc>
        <w:tc>
          <w:tcPr>
            <w:tcW w:w="992" w:type="dxa"/>
            <w:vMerge w:val="continue"/>
            <w:tcBorders>
              <w:tl2br w:val="nil"/>
              <w:tr2bl w:val="nil"/>
            </w:tcBorders>
            <w:vAlign w:val="center"/>
          </w:tcPr>
          <w:p w14:paraId="511A591A">
            <w:pPr>
              <w:pStyle w:val="8"/>
              <w:suppressLineNumbers w:val="0"/>
              <w:bidi w:val="0"/>
              <w:spacing w:before="0" w:beforeAutospacing="0" w:after="0" w:afterAutospacing="0"/>
              <w:ind w:left="0" w:right="0"/>
              <w:rPr>
                <w:rFonts w:hint="eastAsia"/>
                <w:highlight w:val="none"/>
              </w:rPr>
            </w:pPr>
          </w:p>
        </w:tc>
        <w:tc>
          <w:tcPr>
            <w:tcW w:w="1260" w:type="dxa"/>
            <w:tcBorders>
              <w:tl2br w:val="nil"/>
              <w:tr2bl w:val="nil"/>
            </w:tcBorders>
            <w:vAlign w:val="center"/>
          </w:tcPr>
          <w:p w14:paraId="0D2C870C">
            <w:pPr>
              <w:pStyle w:val="8"/>
              <w:suppressLineNumbers w:val="0"/>
              <w:bidi w:val="0"/>
              <w:spacing w:before="0" w:beforeAutospacing="0" w:after="0" w:afterAutospacing="0"/>
              <w:ind w:left="0" w:right="0"/>
              <w:rPr>
                <w:rFonts w:hint="eastAsia"/>
                <w:highlight w:val="none"/>
              </w:rPr>
            </w:pPr>
            <w:r>
              <w:rPr>
                <w:rFonts w:hint="eastAsia"/>
                <w:highlight w:val="none"/>
              </w:rPr>
              <w:t>废油</w:t>
            </w:r>
          </w:p>
        </w:tc>
        <w:tc>
          <w:tcPr>
            <w:tcW w:w="1275" w:type="dxa"/>
            <w:tcBorders>
              <w:tl2br w:val="nil"/>
              <w:tr2bl w:val="nil"/>
            </w:tcBorders>
            <w:vAlign w:val="center"/>
          </w:tcPr>
          <w:p w14:paraId="448C66AA">
            <w:pPr>
              <w:pStyle w:val="8"/>
              <w:suppressLineNumbers w:val="0"/>
              <w:bidi w:val="0"/>
              <w:spacing w:before="0" w:beforeAutospacing="0" w:after="0" w:afterAutospacing="0"/>
              <w:ind w:left="0" w:right="0" w:firstLine="0" w:firstLineChars="0"/>
              <w:rPr>
                <w:rFonts w:hint="eastAsia"/>
                <w:highlight w:val="none"/>
              </w:rPr>
            </w:pPr>
            <w:r>
              <w:rPr>
                <w:rFonts w:hint="eastAsia"/>
                <w:highlight w:val="none"/>
              </w:rPr>
              <w:t>HW</w:t>
            </w:r>
            <w:r>
              <w:rPr>
                <w:rFonts w:hint="eastAsia"/>
                <w:highlight w:val="none"/>
                <w:lang w:val="en-US" w:eastAsia="zh-CN"/>
              </w:rPr>
              <w:t>0</w:t>
            </w:r>
            <w:r>
              <w:rPr>
                <w:rFonts w:hint="eastAsia"/>
                <w:highlight w:val="none"/>
              </w:rPr>
              <w:t>8</w:t>
            </w:r>
            <w:r>
              <w:rPr>
                <w:rFonts w:hint="eastAsia"/>
                <w:highlight w:val="none"/>
                <w:lang w:eastAsia="zh-CN"/>
              </w:rPr>
              <w:t>，900-249-08</w:t>
            </w:r>
            <w:r>
              <w:rPr>
                <w:rFonts w:hint="eastAsia"/>
                <w:highlight w:val="none"/>
              </w:rPr>
              <w:t>、HW09</w:t>
            </w:r>
            <w:r>
              <w:rPr>
                <w:rFonts w:hint="eastAsia"/>
                <w:highlight w:val="none"/>
                <w:lang w:eastAsia="zh-CN"/>
              </w:rPr>
              <w:t>，900-007-09</w:t>
            </w:r>
          </w:p>
        </w:tc>
        <w:tc>
          <w:tcPr>
            <w:tcW w:w="900" w:type="dxa"/>
            <w:vMerge w:val="continue"/>
            <w:tcBorders>
              <w:tl2br w:val="nil"/>
              <w:tr2bl w:val="nil"/>
            </w:tcBorders>
            <w:vAlign w:val="center"/>
          </w:tcPr>
          <w:p w14:paraId="0D099B0A">
            <w:pPr>
              <w:pStyle w:val="8"/>
              <w:suppressLineNumbers w:val="0"/>
              <w:bidi w:val="0"/>
              <w:spacing w:before="0" w:beforeAutospacing="0" w:after="0" w:afterAutospacing="0"/>
              <w:ind w:left="0" w:right="0"/>
              <w:rPr>
                <w:rFonts w:hint="eastAsia"/>
                <w:highlight w:val="none"/>
              </w:rPr>
            </w:pPr>
          </w:p>
        </w:tc>
        <w:tc>
          <w:tcPr>
            <w:tcW w:w="690" w:type="dxa"/>
            <w:vMerge w:val="continue"/>
            <w:tcBorders>
              <w:tl2br w:val="nil"/>
              <w:tr2bl w:val="nil"/>
            </w:tcBorders>
            <w:vAlign w:val="center"/>
          </w:tcPr>
          <w:p w14:paraId="7C559B1B">
            <w:pPr>
              <w:pStyle w:val="8"/>
              <w:suppressLineNumbers w:val="0"/>
              <w:bidi w:val="0"/>
              <w:spacing w:before="0" w:beforeAutospacing="0" w:after="0" w:afterAutospacing="0"/>
              <w:ind w:left="0" w:right="0"/>
              <w:rPr>
                <w:rFonts w:hint="eastAsia"/>
                <w:highlight w:val="none"/>
              </w:rPr>
            </w:pPr>
          </w:p>
        </w:tc>
        <w:tc>
          <w:tcPr>
            <w:tcW w:w="675" w:type="dxa"/>
            <w:tcBorders>
              <w:tl2br w:val="nil"/>
              <w:tr2bl w:val="nil"/>
            </w:tcBorders>
            <w:vAlign w:val="center"/>
          </w:tcPr>
          <w:p w14:paraId="3180DD04">
            <w:pPr>
              <w:pStyle w:val="8"/>
              <w:suppressLineNumbers w:val="0"/>
              <w:bidi w:val="0"/>
              <w:spacing w:before="0" w:beforeAutospacing="0" w:after="0" w:afterAutospacing="0"/>
              <w:ind w:left="0" w:right="0"/>
              <w:rPr>
                <w:rFonts w:hint="eastAsia"/>
                <w:highlight w:val="none"/>
              </w:rPr>
            </w:pPr>
            <w:r>
              <w:rPr>
                <w:rFonts w:hint="eastAsia"/>
                <w:highlight w:val="none"/>
              </w:rPr>
              <w:t>密闭</w:t>
            </w:r>
          </w:p>
          <w:p w14:paraId="175F3F2C">
            <w:pPr>
              <w:pStyle w:val="8"/>
              <w:suppressLineNumbers w:val="0"/>
              <w:bidi w:val="0"/>
              <w:spacing w:before="0" w:beforeAutospacing="0" w:after="0" w:afterAutospacing="0"/>
              <w:ind w:left="0" w:right="0"/>
              <w:rPr>
                <w:rFonts w:hint="eastAsia"/>
                <w:highlight w:val="none"/>
              </w:rPr>
            </w:pPr>
            <w:r>
              <w:rPr>
                <w:rFonts w:hint="eastAsia"/>
                <w:highlight w:val="none"/>
              </w:rPr>
              <w:t>桶装</w:t>
            </w:r>
          </w:p>
        </w:tc>
        <w:tc>
          <w:tcPr>
            <w:tcW w:w="795" w:type="dxa"/>
            <w:tcBorders>
              <w:tl2br w:val="nil"/>
              <w:tr2bl w:val="nil"/>
            </w:tcBorders>
            <w:vAlign w:val="center"/>
          </w:tcPr>
          <w:p w14:paraId="46F2A40A">
            <w:pPr>
              <w:pStyle w:val="8"/>
              <w:suppressLineNumbers w:val="0"/>
              <w:bidi w:val="0"/>
              <w:spacing w:before="0" w:beforeAutospacing="0" w:after="0" w:afterAutospacing="0"/>
              <w:ind w:left="0" w:right="0"/>
              <w:rPr>
                <w:rFonts w:hint="default" w:eastAsia="宋体"/>
                <w:highlight w:val="none"/>
                <w:lang w:val="en-US" w:eastAsia="zh-CN"/>
              </w:rPr>
            </w:pPr>
            <w:r>
              <w:rPr>
                <w:rFonts w:hint="eastAsia"/>
                <w:highlight w:val="none"/>
                <w:lang w:val="en-US" w:eastAsia="zh-CN"/>
              </w:rPr>
              <w:t>0.1</w:t>
            </w:r>
          </w:p>
        </w:tc>
        <w:tc>
          <w:tcPr>
            <w:tcW w:w="840" w:type="dxa"/>
            <w:tcBorders>
              <w:tl2br w:val="nil"/>
              <w:tr2bl w:val="nil"/>
            </w:tcBorders>
            <w:vAlign w:val="center"/>
          </w:tcPr>
          <w:p w14:paraId="7323F601">
            <w:pPr>
              <w:pStyle w:val="8"/>
              <w:suppressLineNumbers w:val="0"/>
              <w:bidi w:val="0"/>
              <w:spacing w:before="0" w:beforeAutospacing="0" w:after="0" w:afterAutospacing="0"/>
              <w:ind w:left="0" w:right="0"/>
              <w:rPr>
                <w:rFonts w:hint="eastAsia" w:eastAsia="宋体"/>
                <w:highlight w:val="none"/>
                <w:lang w:eastAsia="zh-CN"/>
              </w:rPr>
            </w:pPr>
            <w:r>
              <w:rPr>
                <w:rFonts w:hint="eastAsia"/>
                <w:highlight w:val="none"/>
                <w:lang w:val="en-US" w:eastAsia="zh-CN"/>
              </w:rPr>
              <w:t>1</w:t>
            </w:r>
          </w:p>
        </w:tc>
        <w:tc>
          <w:tcPr>
            <w:tcW w:w="696" w:type="dxa"/>
            <w:tcBorders>
              <w:tl2br w:val="nil"/>
              <w:tr2bl w:val="nil"/>
            </w:tcBorders>
            <w:vAlign w:val="center"/>
          </w:tcPr>
          <w:p w14:paraId="687B3BD5">
            <w:pPr>
              <w:pStyle w:val="8"/>
              <w:suppressLineNumbers w:val="0"/>
              <w:bidi w:val="0"/>
              <w:spacing w:before="0" w:beforeAutospacing="0" w:after="0" w:afterAutospacing="0"/>
              <w:ind w:left="0" w:right="0"/>
              <w:rPr>
                <w:rFonts w:hint="eastAsia"/>
                <w:highlight w:val="none"/>
              </w:rPr>
            </w:pPr>
            <w:r>
              <w:rPr>
                <w:rFonts w:hint="eastAsia"/>
                <w:highlight w:val="none"/>
                <w:lang w:val="en-US" w:eastAsia="zh-CN"/>
              </w:rPr>
              <w:t>一月</w:t>
            </w:r>
          </w:p>
        </w:tc>
      </w:tr>
      <w:tr w14:paraId="3E4B179F">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0" w:hRule="atLeast"/>
          <w:jc w:val="center"/>
        </w:trPr>
        <w:tc>
          <w:tcPr>
            <w:tcW w:w="398" w:type="dxa"/>
            <w:tcBorders>
              <w:tl2br w:val="nil"/>
              <w:tr2bl w:val="nil"/>
            </w:tcBorders>
            <w:vAlign w:val="center"/>
          </w:tcPr>
          <w:p w14:paraId="49722650">
            <w:pPr>
              <w:pStyle w:val="8"/>
              <w:suppressLineNumbers w:val="0"/>
              <w:bidi w:val="0"/>
              <w:spacing w:before="0" w:beforeAutospacing="0" w:after="0" w:afterAutospacing="0"/>
              <w:ind w:left="0" w:right="0"/>
              <w:rPr>
                <w:rFonts w:hint="eastAsia"/>
                <w:highlight w:val="none"/>
              </w:rPr>
            </w:pPr>
            <w:bookmarkStart w:id="548" w:name="_Toc31135"/>
            <w:r>
              <w:rPr>
                <w:rFonts w:hint="eastAsia"/>
                <w:highlight w:val="none"/>
              </w:rPr>
              <w:t>4</w:t>
            </w:r>
            <w:bookmarkEnd w:id="548"/>
          </w:p>
        </w:tc>
        <w:tc>
          <w:tcPr>
            <w:tcW w:w="992" w:type="dxa"/>
            <w:vMerge w:val="continue"/>
            <w:tcBorders>
              <w:tl2br w:val="nil"/>
              <w:tr2bl w:val="nil"/>
            </w:tcBorders>
            <w:vAlign w:val="center"/>
          </w:tcPr>
          <w:p w14:paraId="78483AB9">
            <w:pPr>
              <w:pStyle w:val="8"/>
              <w:suppressLineNumbers w:val="0"/>
              <w:bidi w:val="0"/>
              <w:spacing w:before="0" w:beforeAutospacing="0" w:after="0" w:afterAutospacing="0"/>
              <w:ind w:left="0" w:right="0"/>
              <w:rPr>
                <w:rFonts w:hint="eastAsia"/>
                <w:highlight w:val="none"/>
              </w:rPr>
            </w:pPr>
          </w:p>
        </w:tc>
        <w:tc>
          <w:tcPr>
            <w:tcW w:w="1260" w:type="dxa"/>
            <w:tcBorders>
              <w:tl2br w:val="nil"/>
              <w:tr2bl w:val="nil"/>
            </w:tcBorders>
            <w:vAlign w:val="center"/>
          </w:tcPr>
          <w:p w14:paraId="15C78296">
            <w:pPr>
              <w:pStyle w:val="8"/>
              <w:suppressLineNumbers w:val="0"/>
              <w:bidi w:val="0"/>
              <w:spacing w:before="0" w:beforeAutospacing="0" w:after="0" w:afterAutospacing="0"/>
              <w:ind w:left="0" w:right="0"/>
              <w:rPr>
                <w:rFonts w:hint="eastAsia"/>
                <w:highlight w:val="none"/>
              </w:rPr>
            </w:pPr>
            <w:r>
              <w:rPr>
                <w:rFonts w:hint="eastAsia"/>
                <w:highlight w:val="none"/>
              </w:rPr>
              <w:t>废过滤材料</w:t>
            </w:r>
          </w:p>
        </w:tc>
        <w:tc>
          <w:tcPr>
            <w:tcW w:w="1275" w:type="dxa"/>
            <w:tcBorders>
              <w:tl2br w:val="nil"/>
              <w:tr2bl w:val="nil"/>
            </w:tcBorders>
            <w:vAlign w:val="center"/>
          </w:tcPr>
          <w:p w14:paraId="572DCD63">
            <w:pPr>
              <w:pStyle w:val="8"/>
              <w:suppressLineNumbers w:val="0"/>
              <w:bidi w:val="0"/>
              <w:spacing w:before="0" w:beforeAutospacing="0" w:after="0" w:afterAutospacing="0"/>
              <w:ind w:left="0" w:right="0"/>
              <w:rPr>
                <w:rFonts w:hint="eastAsia"/>
                <w:highlight w:val="none"/>
              </w:rPr>
            </w:pPr>
            <w:r>
              <w:rPr>
                <w:rFonts w:hint="eastAsia"/>
                <w:highlight w:val="none"/>
              </w:rPr>
              <w:t>HW49</w:t>
            </w:r>
          </w:p>
          <w:p w14:paraId="562EF1A4">
            <w:pPr>
              <w:pStyle w:val="8"/>
              <w:suppressLineNumbers w:val="0"/>
              <w:bidi w:val="0"/>
              <w:spacing w:before="0" w:beforeAutospacing="0" w:after="0" w:afterAutospacing="0"/>
              <w:ind w:left="0" w:right="0" w:firstLine="0" w:firstLineChars="0"/>
              <w:rPr>
                <w:rFonts w:hint="eastAsia"/>
                <w:highlight w:val="none"/>
              </w:rPr>
            </w:pPr>
            <w:r>
              <w:rPr>
                <w:rFonts w:hint="eastAsia"/>
                <w:highlight w:val="none"/>
              </w:rPr>
              <w:t>900-041-49</w:t>
            </w:r>
          </w:p>
        </w:tc>
        <w:tc>
          <w:tcPr>
            <w:tcW w:w="900" w:type="dxa"/>
            <w:vMerge w:val="continue"/>
            <w:tcBorders>
              <w:tl2br w:val="nil"/>
              <w:tr2bl w:val="nil"/>
            </w:tcBorders>
            <w:vAlign w:val="center"/>
          </w:tcPr>
          <w:p w14:paraId="3AEFDBB0">
            <w:pPr>
              <w:pStyle w:val="8"/>
              <w:suppressLineNumbers w:val="0"/>
              <w:bidi w:val="0"/>
              <w:spacing w:before="0" w:beforeAutospacing="0" w:after="0" w:afterAutospacing="0"/>
              <w:ind w:left="0" w:right="0"/>
              <w:rPr>
                <w:rFonts w:hint="eastAsia"/>
                <w:highlight w:val="none"/>
              </w:rPr>
            </w:pPr>
          </w:p>
        </w:tc>
        <w:tc>
          <w:tcPr>
            <w:tcW w:w="690" w:type="dxa"/>
            <w:vMerge w:val="continue"/>
            <w:tcBorders>
              <w:tl2br w:val="nil"/>
              <w:tr2bl w:val="nil"/>
            </w:tcBorders>
            <w:vAlign w:val="center"/>
          </w:tcPr>
          <w:p w14:paraId="261CB18A">
            <w:pPr>
              <w:pStyle w:val="8"/>
              <w:suppressLineNumbers w:val="0"/>
              <w:bidi w:val="0"/>
              <w:spacing w:before="0" w:beforeAutospacing="0" w:after="0" w:afterAutospacing="0"/>
              <w:ind w:left="0" w:right="0"/>
              <w:rPr>
                <w:rFonts w:hint="eastAsia"/>
                <w:highlight w:val="none"/>
              </w:rPr>
            </w:pPr>
          </w:p>
        </w:tc>
        <w:tc>
          <w:tcPr>
            <w:tcW w:w="675" w:type="dxa"/>
            <w:tcBorders>
              <w:tl2br w:val="nil"/>
              <w:tr2bl w:val="nil"/>
            </w:tcBorders>
            <w:vAlign w:val="center"/>
          </w:tcPr>
          <w:p w14:paraId="5E58788C">
            <w:pPr>
              <w:pStyle w:val="8"/>
              <w:suppressLineNumbers w:val="0"/>
              <w:bidi w:val="0"/>
              <w:spacing w:before="0" w:beforeAutospacing="0" w:after="0" w:afterAutospacing="0"/>
              <w:ind w:left="0" w:right="0"/>
              <w:rPr>
                <w:rFonts w:hint="eastAsia"/>
                <w:highlight w:val="none"/>
              </w:rPr>
            </w:pPr>
            <w:r>
              <w:rPr>
                <w:rFonts w:hint="eastAsia"/>
                <w:highlight w:val="none"/>
              </w:rPr>
              <w:t>密闭</w:t>
            </w:r>
          </w:p>
          <w:p w14:paraId="2AB322F7">
            <w:pPr>
              <w:pStyle w:val="8"/>
              <w:suppressLineNumbers w:val="0"/>
              <w:bidi w:val="0"/>
              <w:spacing w:before="0" w:beforeAutospacing="0" w:after="0" w:afterAutospacing="0"/>
              <w:ind w:left="0" w:right="0"/>
              <w:rPr>
                <w:rFonts w:hint="eastAsia"/>
                <w:highlight w:val="none"/>
              </w:rPr>
            </w:pPr>
            <w:r>
              <w:rPr>
                <w:rFonts w:hint="eastAsia"/>
                <w:highlight w:val="none"/>
                <w:lang w:val="en-US" w:eastAsia="zh-CN"/>
              </w:rPr>
              <w:t>袋</w:t>
            </w:r>
            <w:r>
              <w:rPr>
                <w:rFonts w:hint="eastAsia"/>
                <w:highlight w:val="none"/>
              </w:rPr>
              <w:t>装</w:t>
            </w:r>
          </w:p>
        </w:tc>
        <w:tc>
          <w:tcPr>
            <w:tcW w:w="795" w:type="dxa"/>
            <w:tcBorders>
              <w:tl2br w:val="nil"/>
              <w:tr2bl w:val="nil"/>
            </w:tcBorders>
            <w:vAlign w:val="center"/>
          </w:tcPr>
          <w:p w14:paraId="03950E31">
            <w:pPr>
              <w:pStyle w:val="8"/>
              <w:suppressLineNumbers w:val="0"/>
              <w:bidi w:val="0"/>
              <w:spacing w:before="0" w:beforeAutospacing="0" w:after="0" w:afterAutospacing="0"/>
              <w:ind w:left="0" w:right="0"/>
              <w:rPr>
                <w:rFonts w:hint="eastAsia" w:eastAsia="宋体"/>
                <w:highlight w:val="none"/>
                <w:lang w:eastAsia="zh-CN"/>
              </w:rPr>
            </w:pPr>
            <w:r>
              <w:rPr>
                <w:rFonts w:hint="eastAsia"/>
                <w:highlight w:val="none"/>
                <w:lang w:val="en-US" w:eastAsia="zh-CN"/>
              </w:rPr>
              <w:t>2</w:t>
            </w:r>
          </w:p>
        </w:tc>
        <w:tc>
          <w:tcPr>
            <w:tcW w:w="840" w:type="dxa"/>
            <w:tcBorders>
              <w:tl2br w:val="nil"/>
              <w:tr2bl w:val="nil"/>
            </w:tcBorders>
            <w:vAlign w:val="center"/>
          </w:tcPr>
          <w:p w14:paraId="0564EA94">
            <w:pPr>
              <w:pStyle w:val="8"/>
              <w:suppressLineNumbers w:val="0"/>
              <w:bidi w:val="0"/>
              <w:spacing w:before="0" w:beforeAutospacing="0" w:after="0" w:afterAutospacing="0"/>
              <w:ind w:left="0" w:right="0"/>
              <w:rPr>
                <w:rFonts w:hint="eastAsia"/>
                <w:highlight w:val="none"/>
                <w:lang w:eastAsia="zh-CN"/>
              </w:rPr>
            </w:pPr>
            <w:r>
              <w:rPr>
                <w:rFonts w:hint="eastAsia"/>
                <w:highlight w:val="none"/>
                <w:lang w:val="en-US" w:eastAsia="zh-CN"/>
              </w:rPr>
              <w:t>5</w:t>
            </w:r>
          </w:p>
        </w:tc>
        <w:tc>
          <w:tcPr>
            <w:tcW w:w="696" w:type="dxa"/>
            <w:tcBorders>
              <w:tl2br w:val="nil"/>
              <w:tr2bl w:val="nil"/>
            </w:tcBorders>
            <w:vAlign w:val="center"/>
          </w:tcPr>
          <w:p w14:paraId="540E3EAE">
            <w:pPr>
              <w:pStyle w:val="8"/>
              <w:suppressLineNumbers w:val="0"/>
              <w:bidi w:val="0"/>
              <w:spacing w:before="0" w:beforeAutospacing="0" w:after="0" w:afterAutospacing="0"/>
              <w:ind w:left="0" w:right="0"/>
              <w:rPr>
                <w:rFonts w:hint="eastAsia"/>
                <w:highlight w:val="none"/>
                <w:lang w:eastAsia="zh-CN"/>
              </w:rPr>
            </w:pPr>
            <w:r>
              <w:rPr>
                <w:rFonts w:hint="eastAsia"/>
                <w:highlight w:val="none"/>
                <w:lang w:val="en-US" w:eastAsia="zh-CN"/>
              </w:rPr>
              <w:t>一月</w:t>
            </w:r>
          </w:p>
        </w:tc>
      </w:tr>
      <w:bookmarkEnd w:id="547"/>
    </w:tbl>
    <w:p w14:paraId="21FD19D0">
      <w:pPr>
        <w:bidi w:val="0"/>
        <w:rPr>
          <w:rFonts w:hint="eastAsia"/>
          <w:highlight w:val="none"/>
          <w:lang w:val="en-US" w:eastAsia="zh-CN"/>
        </w:rPr>
      </w:pPr>
      <w:r>
        <w:rPr>
          <w:highlight w:val="none"/>
        </w:rPr>
        <w:t>危险废物运输时由建设单位填写危险废物转移联单，报当地环保局备案，运输时采用符合国家标准的专用容器和运输车辆送。危险废物在危废暂存间内临时贮存，定期</w:t>
      </w:r>
      <w:r>
        <w:rPr>
          <w:rFonts w:hint="eastAsia"/>
          <w:highlight w:val="none"/>
          <w:lang w:eastAsia="zh-CN"/>
        </w:rPr>
        <w:t>（</w:t>
      </w:r>
      <w:r>
        <w:rPr>
          <w:highlight w:val="none"/>
        </w:rPr>
        <w:t>每隔</w:t>
      </w:r>
      <w:r>
        <w:rPr>
          <w:rFonts w:hint="eastAsia"/>
          <w:highlight w:val="none"/>
          <w:lang w:val="en-US" w:eastAsia="zh-CN"/>
        </w:rPr>
        <w:t>1</w:t>
      </w:r>
      <w:r>
        <w:rPr>
          <w:highlight w:val="none"/>
        </w:rPr>
        <w:t>个月送1次</w:t>
      </w:r>
      <w:r>
        <w:rPr>
          <w:rFonts w:hint="eastAsia"/>
          <w:highlight w:val="none"/>
          <w:lang w:eastAsia="zh-CN"/>
        </w:rPr>
        <w:t>）</w:t>
      </w:r>
      <w:r>
        <w:rPr>
          <w:highlight w:val="none"/>
        </w:rPr>
        <w:t>送有处置资质单位处置</w:t>
      </w:r>
      <w:r>
        <w:rPr>
          <w:rFonts w:hint="eastAsia"/>
          <w:highlight w:val="none"/>
          <w:lang w:eastAsia="zh-CN"/>
        </w:rPr>
        <w:t>；</w:t>
      </w:r>
      <w:r>
        <w:rPr>
          <w:rFonts w:hint="eastAsia"/>
          <w:highlight w:val="none"/>
          <w:lang w:val="en-US" w:eastAsia="zh-CN"/>
        </w:rPr>
        <w:t>本项目未建设完成，暂未签订危险废物处置协议，待本项目建成后，将根据要求签订相关协议。</w:t>
      </w:r>
    </w:p>
    <w:p w14:paraId="538815C3">
      <w:pPr>
        <w:bidi w:val="0"/>
        <w:rPr>
          <w:highlight w:val="none"/>
        </w:rPr>
      </w:pPr>
      <w:r>
        <w:rPr>
          <w:rFonts w:hint="eastAsia"/>
          <w:highlight w:val="none"/>
          <w:lang w:val="en-US" w:eastAsia="zh-CN"/>
        </w:rPr>
        <w:t>根据本项目危险废物特点，本次评价推荐企业与黑龙江红森林环保科技有限责任公司签订危险废物处置协议，其危险废物经营许可证编号为：2301120016，核准经营类别：</w:t>
      </w:r>
      <w:r>
        <w:rPr>
          <w:rFonts w:hint="eastAsia"/>
          <w:highlight w:val="none"/>
        </w:rPr>
        <w:t>HW02医药废物</w:t>
      </w:r>
      <w:r>
        <w:rPr>
          <w:rFonts w:hint="eastAsia"/>
          <w:highlight w:val="none"/>
          <w:lang w:eastAsia="zh-CN"/>
        </w:rPr>
        <w:t>，</w:t>
      </w:r>
      <w:r>
        <w:rPr>
          <w:rFonts w:hint="eastAsia"/>
          <w:highlight w:val="none"/>
        </w:rPr>
        <w:t>HW03废药物、药品</w:t>
      </w:r>
      <w:r>
        <w:rPr>
          <w:rFonts w:hint="eastAsia"/>
          <w:highlight w:val="none"/>
          <w:lang w:eastAsia="zh-CN"/>
        </w:rPr>
        <w:t>，</w:t>
      </w:r>
      <w:r>
        <w:rPr>
          <w:rFonts w:hint="eastAsia"/>
          <w:highlight w:val="none"/>
        </w:rPr>
        <w:t>HW04农药废物</w:t>
      </w:r>
      <w:r>
        <w:rPr>
          <w:rFonts w:hint="eastAsia"/>
          <w:highlight w:val="none"/>
          <w:lang w:eastAsia="zh-CN"/>
        </w:rPr>
        <w:t>，</w:t>
      </w:r>
      <w:r>
        <w:rPr>
          <w:rFonts w:hint="eastAsia"/>
          <w:highlight w:val="none"/>
        </w:rPr>
        <w:t>HW05木材防腐剂废物</w:t>
      </w:r>
      <w:r>
        <w:rPr>
          <w:rFonts w:hint="eastAsia"/>
          <w:highlight w:val="none"/>
          <w:lang w:eastAsia="zh-CN"/>
        </w:rPr>
        <w:t>，</w:t>
      </w:r>
      <w:r>
        <w:rPr>
          <w:rFonts w:hint="eastAsia"/>
          <w:highlight w:val="none"/>
        </w:rPr>
        <w:t>HW06有机溶剂废物</w:t>
      </w:r>
      <w:r>
        <w:rPr>
          <w:rFonts w:hint="eastAsia"/>
          <w:highlight w:val="none"/>
          <w:lang w:eastAsia="zh-CN"/>
        </w:rPr>
        <w:t>，</w:t>
      </w:r>
      <w:r>
        <w:rPr>
          <w:rFonts w:hint="eastAsia"/>
          <w:highlight w:val="none"/>
        </w:rPr>
        <w:t>HW07热处理含氰废物</w:t>
      </w:r>
      <w:r>
        <w:rPr>
          <w:rFonts w:hint="eastAsia"/>
          <w:highlight w:val="none"/>
          <w:lang w:eastAsia="zh-CN"/>
        </w:rPr>
        <w:t>，</w:t>
      </w:r>
      <w:r>
        <w:rPr>
          <w:rFonts w:hint="eastAsia"/>
          <w:highlight w:val="none"/>
        </w:rPr>
        <w:t>HW08废矿物油与含矿物油废物</w:t>
      </w:r>
      <w:r>
        <w:rPr>
          <w:rFonts w:hint="eastAsia"/>
          <w:highlight w:val="none"/>
          <w:lang w:eastAsia="zh-CN"/>
        </w:rPr>
        <w:t>，</w:t>
      </w:r>
      <w:r>
        <w:rPr>
          <w:rFonts w:hint="eastAsia"/>
          <w:highlight w:val="none"/>
        </w:rPr>
        <w:t>HW09油/水、烃/水混合物或乳化液</w:t>
      </w:r>
      <w:r>
        <w:rPr>
          <w:rFonts w:hint="eastAsia"/>
          <w:highlight w:val="none"/>
          <w:lang w:eastAsia="zh-CN"/>
        </w:rPr>
        <w:t>，</w:t>
      </w:r>
      <w:r>
        <w:rPr>
          <w:rFonts w:hint="eastAsia"/>
          <w:highlight w:val="none"/>
        </w:rPr>
        <w:t>HW11精（蒸）馏残渣</w:t>
      </w:r>
      <w:r>
        <w:rPr>
          <w:rFonts w:hint="eastAsia"/>
          <w:highlight w:val="none"/>
          <w:lang w:eastAsia="zh-CN"/>
        </w:rPr>
        <w:t>，</w:t>
      </w:r>
      <w:r>
        <w:rPr>
          <w:rFonts w:hint="eastAsia"/>
          <w:highlight w:val="none"/>
        </w:rPr>
        <w:t>HW12染料、涂料废物</w:t>
      </w:r>
      <w:r>
        <w:rPr>
          <w:rFonts w:hint="eastAsia"/>
          <w:highlight w:val="none"/>
          <w:lang w:eastAsia="zh-CN"/>
        </w:rPr>
        <w:t>，</w:t>
      </w:r>
      <w:r>
        <w:rPr>
          <w:rFonts w:hint="eastAsia"/>
          <w:highlight w:val="none"/>
        </w:rPr>
        <w:t>HW13有机树脂类废物</w:t>
      </w:r>
      <w:r>
        <w:rPr>
          <w:rFonts w:hint="eastAsia"/>
          <w:highlight w:val="none"/>
          <w:lang w:eastAsia="zh-CN"/>
        </w:rPr>
        <w:t>，</w:t>
      </w:r>
      <w:r>
        <w:rPr>
          <w:rFonts w:hint="eastAsia"/>
          <w:highlight w:val="none"/>
        </w:rPr>
        <w:t>HW16感光材料废物</w:t>
      </w:r>
      <w:r>
        <w:rPr>
          <w:rFonts w:hint="eastAsia"/>
          <w:highlight w:val="none"/>
          <w:lang w:eastAsia="zh-CN"/>
        </w:rPr>
        <w:t>，</w:t>
      </w:r>
      <w:r>
        <w:rPr>
          <w:rFonts w:hint="eastAsia"/>
          <w:highlight w:val="none"/>
        </w:rPr>
        <w:t>HW17表面处理废物</w:t>
      </w:r>
      <w:r>
        <w:rPr>
          <w:rFonts w:hint="eastAsia"/>
          <w:highlight w:val="none"/>
          <w:lang w:eastAsia="zh-CN"/>
        </w:rPr>
        <w:t>，</w:t>
      </w:r>
      <w:r>
        <w:rPr>
          <w:rFonts w:hint="eastAsia"/>
          <w:highlight w:val="none"/>
        </w:rPr>
        <w:t>HW22含铜废物</w:t>
      </w:r>
      <w:r>
        <w:rPr>
          <w:rFonts w:hint="eastAsia"/>
          <w:highlight w:val="none"/>
          <w:lang w:eastAsia="zh-CN"/>
        </w:rPr>
        <w:t>，</w:t>
      </w:r>
      <w:r>
        <w:rPr>
          <w:rFonts w:hint="eastAsia"/>
          <w:highlight w:val="none"/>
        </w:rPr>
        <w:t>HW23含锌废物</w:t>
      </w:r>
      <w:r>
        <w:rPr>
          <w:rFonts w:hint="eastAsia"/>
          <w:highlight w:val="none"/>
          <w:lang w:eastAsia="zh-CN"/>
        </w:rPr>
        <w:t>，</w:t>
      </w:r>
      <w:r>
        <w:rPr>
          <w:rFonts w:hint="eastAsia"/>
          <w:highlight w:val="none"/>
        </w:rPr>
        <w:t>HW24含砷废物</w:t>
      </w:r>
      <w:r>
        <w:rPr>
          <w:rFonts w:hint="eastAsia"/>
          <w:highlight w:val="none"/>
          <w:lang w:eastAsia="zh-CN"/>
        </w:rPr>
        <w:t>，</w:t>
      </w:r>
      <w:r>
        <w:rPr>
          <w:rFonts w:hint="eastAsia"/>
          <w:highlight w:val="none"/>
        </w:rPr>
        <w:t>HW32无机氟化物废物</w:t>
      </w:r>
      <w:r>
        <w:rPr>
          <w:rFonts w:hint="eastAsia"/>
          <w:highlight w:val="none"/>
          <w:lang w:eastAsia="zh-CN"/>
        </w:rPr>
        <w:t>，</w:t>
      </w:r>
      <w:r>
        <w:rPr>
          <w:rFonts w:hint="eastAsia"/>
          <w:highlight w:val="none"/>
        </w:rPr>
        <w:t>HW33无机氰化物废物</w:t>
      </w:r>
      <w:r>
        <w:rPr>
          <w:rFonts w:hint="eastAsia"/>
          <w:highlight w:val="none"/>
          <w:lang w:eastAsia="zh-CN"/>
        </w:rPr>
        <w:t>，</w:t>
      </w:r>
      <w:r>
        <w:rPr>
          <w:rFonts w:hint="eastAsia"/>
          <w:highlight w:val="none"/>
        </w:rPr>
        <w:t>HW34废酸</w:t>
      </w:r>
      <w:r>
        <w:rPr>
          <w:rFonts w:hint="eastAsia"/>
          <w:highlight w:val="none"/>
          <w:lang w:eastAsia="zh-CN"/>
        </w:rPr>
        <w:t>，</w:t>
      </w:r>
      <w:r>
        <w:rPr>
          <w:rFonts w:hint="eastAsia"/>
          <w:highlight w:val="none"/>
        </w:rPr>
        <w:t>HW35废碱</w:t>
      </w:r>
      <w:r>
        <w:rPr>
          <w:rFonts w:hint="eastAsia"/>
          <w:highlight w:val="none"/>
          <w:lang w:eastAsia="zh-CN"/>
        </w:rPr>
        <w:t>，</w:t>
      </w:r>
      <w:r>
        <w:rPr>
          <w:rFonts w:hint="eastAsia"/>
          <w:highlight w:val="none"/>
        </w:rPr>
        <w:t>HW37有机磷化合物废物</w:t>
      </w:r>
      <w:r>
        <w:rPr>
          <w:rFonts w:hint="eastAsia"/>
          <w:highlight w:val="none"/>
          <w:lang w:eastAsia="zh-CN"/>
        </w:rPr>
        <w:t>，</w:t>
      </w:r>
      <w:r>
        <w:rPr>
          <w:rFonts w:hint="eastAsia"/>
          <w:highlight w:val="none"/>
        </w:rPr>
        <w:t>HW38有机氰化物废物</w:t>
      </w:r>
      <w:r>
        <w:rPr>
          <w:rFonts w:hint="eastAsia"/>
          <w:highlight w:val="none"/>
          <w:lang w:eastAsia="zh-CN"/>
        </w:rPr>
        <w:t>，</w:t>
      </w:r>
      <w:r>
        <w:rPr>
          <w:rFonts w:hint="eastAsia"/>
          <w:highlight w:val="none"/>
        </w:rPr>
        <w:t>HW39含酚废物</w:t>
      </w:r>
      <w:r>
        <w:rPr>
          <w:rFonts w:hint="eastAsia"/>
          <w:highlight w:val="none"/>
          <w:lang w:eastAsia="zh-CN"/>
        </w:rPr>
        <w:t>，</w:t>
      </w:r>
      <w:r>
        <w:rPr>
          <w:rFonts w:hint="eastAsia"/>
          <w:highlight w:val="none"/>
        </w:rPr>
        <w:t>HW40含醚废物</w:t>
      </w:r>
      <w:r>
        <w:rPr>
          <w:rFonts w:hint="eastAsia"/>
          <w:highlight w:val="none"/>
          <w:lang w:eastAsia="zh-CN"/>
        </w:rPr>
        <w:t>，</w:t>
      </w:r>
      <w:r>
        <w:rPr>
          <w:rFonts w:hint="eastAsia"/>
          <w:highlight w:val="none"/>
        </w:rPr>
        <w:t>HW46含镍废物</w:t>
      </w:r>
      <w:r>
        <w:rPr>
          <w:rFonts w:hint="eastAsia"/>
          <w:highlight w:val="none"/>
          <w:lang w:eastAsia="zh-CN"/>
        </w:rPr>
        <w:t>，</w:t>
      </w:r>
      <w:r>
        <w:rPr>
          <w:rFonts w:hint="eastAsia"/>
          <w:highlight w:val="none"/>
        </w:rPr>
        <w:t>HW47含钡废物</w:t>
      </w:r>
      <w:r>
        <w:rPr>
          <w:rFonts w:hint="eastAsia"/>
          <w:highlight w:val="none"/>
          <w:lang w:eastAsia="zh-CN"/>
        </w:rPr>
        <w:t>，</w:t>
      </w:r>
      <w:r>
        <w:rPr>
          <w:rFonts w:hint="eastAsia"/>
          <w:highlight w:val="none"/>
        </w:rPr>
        <w:t>HW48有色金属采选和冶炼废物</w:t>
      </w:r>
      <w:r>
        <w:rPr>
          <w:rFonts w:hint="eastAsia"/>
          <w:highlight w:val="none"/>
          <w:lang w:eastAsia="zh-CN"/>
        </w:rPr>
        <w:t>，</w:t>
      </w:r>
      <w:r>
        <w:rPr>
          <w:rFonts w:hint="eastAsia"/>
          <w:highlight w:val="none"/>
        </w:rPr>
        <w:t>HW49其他废物</w:t>
      </w:r>
      <w:r>
        <w:rPr>
          <w:rFonts w:hint="eastAsia"/>
          <w:highlight w:val="none"/>
          <w:lang w:eastAsia="zh-CN"/>
        </w:rPr>
        <w:t>，</w:t>
      </w:r>
      <w:r>
        <w:rPr>
          <w:rFonts w:hint="eastAsia"/>
          <w:highlight w:val="none"/>
        </w:rPr>
        <w:t>HW50废催化剂</w:t>
      </w:r>
      <w:r>
        <w:rPr>
          <w:rFonts w:hint="eastAsia"/>
          <w:highlight w:val="none"/>
          <w:lang w:eastAsia="zh-CN"/>
        </w:rPr>
        <w:t>；核准经营规模</w:t>
      </w:r>
      <w:r>
        <w:rPr>
          <w:rFonts w:hint="eastAsia"/>
          <w:highlight w:val="none"/>
          <w:lang w:val="en-US" w:eastAsia="zh-CN"/>
        </w:rPr>
        <w:t>为100000t/a。其经营范围包含本项目产生危险废物，且处理能力可容纳本项目产生固体废物</w:t>
      </w:r>
      <w:r>
        <w:rPr>
          <w:highlight w:val="none"/>
        </w:rPr>
        <w:t>。</w:t>
      </w:r>
    </w:p>
    <w:p w14:paraId="7DA0BF5C">
      <w:pPr>
        <w:bidi w:val="0"/>
        <w:rPr>
          <w:rFonts w:hint="default" w:ascii="Times New Roman" w:hAnsi="Times New Roman" w:cs="Times New Roman"/>
          <w:spacing w:val="0"/>
          <w:kern w:val="0"/>
          <w:position w:val="0"/>
          <w:sz w:val="24"/>
          <w:highlight w:val="none"/>
          <w:lang w:bidi="ar"/>
        </w:rPr>
      </w:pPr>
      <w:r>
        <w:rPr>
          <w:color w:val="auto"/>
          <w:highlight w:val="none"/>
        </w:rPr>
        <w:t>经过采取以上措施，危险废物处理符合《危险废物贮存污染控制标准》有关要求，对环境影响很小，处理措施可行。</w:t>
      </w:r>
    </w:p>
    <w:p w14:paraId="637A1DC4">
      <w:pPr>
        <w:bidi w:val="0"/>
        <w:rPr>
          <w:highlight w:val="none"/>
        </w:rPr>
      </w:pPr>
      <w:r>
        <w:rPr>
          <w:rFonts w:hint="default" w:ascii="Times New Roman" w:hAnsi="Times New Roman" w:cs="Times New Roman"/>
          <w:spacing w:val="0"/>
          <w:kern w:val="0"/>
          <w:position w:val="0"/>
          <w:sz w:val="24"/>
          <w:highlight w:val="none"/>
          <w:lang w:bidi="ar"/>
        </w:rPr>
        <w:t>建设单位属于危险废物处理处置资源化再利用环保型企业，根据《危险废物污染防治技术政策》（环发〔2001〕199号），危险废物处理处置及资源化再利用的原则是减量化、资源化、无害化，在危险废物资源化利用过程中产生的危险废物应首先考虑回收利用，减少后续处理处置的负荷。回收利用过程应达到国家和地方有关规定的要求，避免二次污染。因此，建设单位固体废物处理处置符合国家《危险废物污染防治技术政策》要求</w:t>
      </w:r>
      <w:r>
        <w:rPr>
          <w:rFonts w:hint="eastAsia"/>
          <w:highlight w:val="none"/>
          <w:lang w:val="zh-CN" w:eastAsia="zh-CN"/>
        </w:rPr>
        <w:t>。</w:t>
      </w:r>
    </w:p>
    <w:p w14:paraId="3CC62AB2">
      <w:pPr>
        <w:pStyle w:val="4"/>
        <w:bidi w:val="0"/>
        <w:rPr>
          <w:highlight w:val="none"/>
        </w:rPr>
      </w:pPr>
      <w:bookmarkStart w:id="549" w:name="_Toc7836"/>
      <w:bookmarkStart w:id="550" w:name="_Toc8694"/>
      <w:r>
        <w:rPr>
          <w:highlight w:val="none"/>
        </w:rPr>
        <w:t>6.2.</w:t>
      </w:r>
      <w:r>
        <w:rPr>
          <w:rFonts w:hint="eastAsia"/>
          <w:highlight w:val="none"/>
          <w:lang w:val="en-US" w:eastAsia="zh-CN"/>
        </w:rPr>
        <w:t>6土壤环境保护措施及其可行性论证</w:t>
      </w:r>
      <w:bookmarkEnd w:id="549"/>
      <w:bookmarkEnd w:id="550"/>
    </w:p>
    <w:p w14:paraId="61F83F55">
      <w:pPr>
        <w:bidi w:val="0"/>
        <w:rPr>
          <w:rFonts w:hint="default"/>
          <w:highlight w:val="none"/>
        </w:rPr>
      </w:pPr>
      <w:r>
        <w:rPr>
          <w:rFonts w:hint="default"/>
          <w:highlight w:val="none"/>
        </w:rPr>
        <w:t>1、源头控制措施</w:t>
      </w:r>
    </w:p>
    <w:p w14:paraId="1E45F221">
      <w:pPr>
        <w:bidi w:val="0"/>
        <w:rPr>
          <w:rFonts w:hint="default"/>
          <w:highlight w:val="none"/>
        </w:rPr>
      </w:pPr>
      <w:r>
        <w:rPr>
          <w:rFonts w:hint="default"/>
          <w:highlight w:val="none"/>
        </w:rPr>
        <w:t>（1）建设单位应当有针对性制定土壤污染防治工作方案，并组织实施。</w:t>
      </w:r>
    </w:p>
    <w:p w14:paraId="28CE9F56">
      <w:pPr>
        <w:bidi w:val="0"/>
        <w:rPr>
          <w:rFonts w:hint="default"/>
          <w:highlight w:val="none"/>
        </w:rPr>
      </w:pPr>
      <w:r>
        <w:rPr>
          <w:rFonts w:hint="default"/>
          <w:highlight w:val="none"/>
        </w:rPr>
        <w:t>（2）建设单位应加强对危险废物产生、转移、贮存和利用处置各个环节的检查，完善“防扬散、防流失、防渗漏”设施。根据建设项目可能泄漏至地面区域污染物的性质和生产单元的构筑方式，严格落实分区防渗措施，从源头阻断土壤污染途径，避免土壤污染事件发生。</w:t>
      </w:r>
    </w:p>
    <w:p w14:paraId="1A673528">
      <w:pPr>
        <w:bidi w:val="0"/>
        <w:rPr>
          <w:rFonts w:hint="default"/>
          <w:highlight w:val="none"/>
        </w:rPr>
      </w:pPr>
      <w:r>
        <w:rPr>
          <w:rFonts w:hint="default"/>
          <w:highlight w:val="none"/>
        </w:rPr>
        <w:t>2、过程防控措施</w:t>
      </w:r>
    </w:p>
    <w:p w14:paraId="79186EC9">
      <w:pPr>
        <w:bidi w:val="0"/>
        <w:rPr>
          <w:rFonts w:hint="default"/>
          <w:highlight w:val="none"/>
        </w:rPr>
      </w:pPr>
      <w:r>
        <w:rPr>
          <w:rFonts w:hint="default"/>
          <w:highlight w:val="none"/>
        </w:rPr>
        <w:t>建设项目土壤影响类型涉及事故泄漏入渗途径影响。为避免有毒有害物质垂直入渗、地表径流污染土壤环境，在生产过程中必须制定严格的土壤环境保护规章制度，强化生产过程土壤污染控制，并予以认真执行。</w:t>
      </w:r>
    </w:p>
    <w:p w14:paraId="0566E2FD">
      <w:pPr>
        <w:bidi w:val="0"/>
        <w:rPr>
          <w:rFonts w:hint="default"/>
          <w:highlight w:val="none"/>
        </w:rPr>
      </w:pPr>
      <w:r>
        <w:rPr>
          <w:rFonts w:hint="default"/>
          <w:highlight w:val="none"/>
        </w:rPr>
        <w:t>3、跟踪监测</w:t>
      </w:r>
    </w:p>
    <w:p w14:paraId="3183CB46">
      <w:pPr>
        <w:bidi w:val="0"/>
        <w:rPr>
          <w:rFonts w:hint="default"/>
          <w:highlight w:val="none"/>
        </w:rPr>
      </w:pPr>
      <w:r>
        <w:rPr>
          <w:rFonts w:hint="default"/>
          <w:highlight w:val="none"/>
        </w:rPr>
        <w:t>根据《环境影响评价技术导则土壤环境（试行）》（HJ964—2018）和《工业企业土壤和地下水自行监测技术指南（试行）》（HJ1209—2021）中的相关要求，结合本项目情况，对重点影响区和土壤环境敏感目标的土壤环境定期进行跟踪监测</w:t>
      </w:r>
      <w:r>
        <w:rPr>
          <w:rFonts w:hint="eastAsia"/>
          <w:highlight w:val="none"/>
          <w:lang w:eastAsia="zh-CN"/>
        </w:rPr>
        <w:t>，</w:t>
      </w:r>
      <w:r>
        <w:rPr>
          <w:rFonts w:hint="eastAsia"/>
          <w:highlight w:val="none"/>
          <w:lang w:val="en-US" w:eastAsia="zh-CN"/>
        </w:rPr>
        <w:t>监测频次为3年一次</w:t>
      </w:r>
      <w:r>
        <w:rPr>
          <w:rFonts w:hint="default"/>
          <w:highlight w:val="none"/>
        </w:rPr>
        <w:t>。</w:t>
      </w:r>
      <w:r>
        <w:rPr>
          <w:rFonts w:hint="eastAsia"/>
          <w:highlight w:val="none"/>
          <w:lang w:val="en-US" w:eastAsia="zh-CN"/>
        </w:rPr>
        <w:t>由于本项目厂房范围即为厂界，且地面设置防渗及硬化，无法布设相应监测点位，且本项目采取相应措施后，对周围土壤环境影响极小，故暂不设置厂区内监测点位，仅在距离最近敏感目标三家子屯设置1监测点</w:t>
      </w:r>
      <w:r>
        <w:rPr>
          <w:rFonts w:hint="default"/>
          <w:highlight w:val="none"/>
        </w:rPr>
        <w:t>。</w:t>
      </w:r>
    </w:p>
    <w:p w14:paraId="2F0C6D82">
      <w:pPr>
        <w:bidi w:val="0"/>
        <w:rPr>
          <w:rFonts w:hint="eastAsia" w:eastAsia="宋体"/>
          <w:highlight w:val="none"/>
          <w:lang w:eastAsia="zh-CN"/>
        </w:rPr>
      </w:pPr>
      <w:r>
        <w:rPr>
          <w:highlight w:val="none"/>
        </w:rPr>
        <w:t>监测结果应形成跟踪监测报告，明确跟踪监测报告编制的责任主体。监测结果应按项目有关规定及时建立档案，并定期向当地环保部门汇报，所有监测因子监测数据应进行公开，满足法律中关于知情权的要求。发现污染时，要及时进行处理，开展系统调查，并上报有关部门</w:t>
      </w:r>
      <w:r>
        <w:rPr>
          <w:rFonts w:hint="eastAsia"/>
          <w:highlight w:val="none"/>
          <w:lang w:eastAsia="zh-CN"/>
        </w:rPr>
        <w:t>。</w:t>
      </w:r>
    </w:p>
    <w:p w14:paraId="1D8DB0F2">
      <w:pPr>
        <w:bidi w:val="0"/>
        <w:rPr>
          <w:rFonts w:hint="default"/>
          <w:highlight w:val="none"/>
        </w:rPr>
      </w:pPr>
      <w:r>
        <w:rPr>
          <w:rFonts w:hint="eastAsia"/>
          <w:highlight w:val="none"/>
          <w:lang w:val="en-US" w:eastAsia="zh-CN"/>
        </w:rPr>
        <w:t>4、</w:t>
      </w:r>
      <w:r>
        <w:rPr>
          <w:rFonts w:hint="default"/>
          <w:highlight w:val="none"/>
        </w:rPr>
        <w:t>应急措施</w:t>
      </w:r>
    </w:p>
    <w:p w14:paraId="0AD0F67A">
      <w:pPr>
        <w:bidi w:val="0"/>
        <w:rPr>
          <w:highlight w:val="none"/>
        </w:rPr>
      </w:pPr>
      <w:r>
        <w:rPr>
          <w:rFonts w:hint="default"/>
          <w:highlight w:val="none"/>
        </w:rPr>
        <w:t>发生突发事件可能造成土壤污染的，应当立即采取应急措施，防止土壤污染，并依照《中华人民共和国土壤污染防治法》规定做好土壤污染状况监测、调查和土壤污染风险评估、风险管控、修复等工作。</w:t>
      </w:r>
    </w:p>
    <w:p w14:paraId="39162227">
      <w:pPr>
        <w:pStyle w:val="3"/>
        <w:bidi w:val="0"/>
        <w:rPr>
          <w:highlight w:val="none"/>
        </w:rPr>
      </w:pPr>
      <w:bookmarkStart w:id="551" w:name="_Toc19623"/>
      <w:bookmarkStart w:id="552" w:name="_Toc3342"/>
      <w:bookmarkStart w:id="553" w:name="_Toc26350"/>
      <w:r>
        <w:rPr>
          <w:highlight w:val="none"/>
        </w:rPr>
        <w:t>6.3环境风险</w:t>
      </w:r>
      <w:r>
        <w:rPr>
          <w:rFonts w:hint="eastAsia"/>
          <w:highlight w:val="none"/>
        </w:rPr>
        <w:t>管理</w:t>
      </w:r>
      <w:bookmarkEnd w:id="551"/>
      <w:bookmarkEnd w:id="552"/>
      <w:bookmarkEnd w:id="553"/>
    </w:p>
    <w:p w14:paraId="76632456">
      <w:pPr>
        <w:pStyle w:val="4"/>
        <w:bidi w:val="0"/>
        <w:rPr>
          <w:highlight w:val="none"/>
        </w:rPr>
      </w:pPr>
      <w:bookmarkStart w:id="554" w:name="_Toc11396"/>
      <w:bookmarkStart w:id="555" w:name="_Toc18880"/>
      <w:r>
        <w:rPr>
          <w:highlight w:val="none"/>
        </w:rPr>
        <w:t>6.3.1</w:t>
      </w:r>
      <w:r>
        <w:rPr>
          <w:rFonts w:hint="eastAsia"/>
          <w:highlight w:val="none"/>
        </w:rPr>
        <w:t>环境</w:t>
      </w:r>
      <w:r>
        <w:rPr>
          <w:highlight w:val="none"/>
        </w:rPr>
        <w:t>风险管理目标</w:t>
      </w:r>
      <w:bookmarkEnd w:id="554"/>
      <w:bookmarkEnd w:id="555"/>
    </w:p>
    <w:p w14:paraId="77FE9F0E">
      <w:pPr>
        <w:bidi w:val="0"/>
        <w:rPr>
          <w:rFonts w:hint="eastAsia"/>
          <w:highlight w:val="none"/>
        </w:rPr>
      </w:pPr>
      <w:r>
        <w:rPr>
          <w:rFonts w:hint="eastAsia"/>
          <w:highlight w:val="none"/>
        </w:rPr>
        <w:t>环境风险管理目标是采用最低合理可行原则管控环境风险。采取的环境风险防范措施应与社会经济技术发展水平相适应，运用科学的技术手段和管理方法，对环境风险进行有效</w:t>
      </w:r>
      <w:r>
        <w:rPr>
          <w:rFonts w:hint="eastAsia"/>
          <w:highlight w:val="none"/>
          <w:lang w:eastAsia="zh-CN"/>
        </w:rPr>
        <w:t>地</w:t>
      </w:r>
      <w:r>
        <w:rPr>
          <w:rFonts w:hint="eastAsia"/>
          <w:highlight w:val="none"/>
        </w:rPr>
        <w:t>预防、监控、响应。</w:t>
      </w:r>
    </w:p>
    <w:p w14:paraId="61A849EB">
      <w:pPr>
        <w:pStyle w:val="4"/>
        <w:bidi w:val="0"/>
        <w:rPr>
          <w:highlight w:val="none"/>
        </w:rPr>
      </w:pPr>
      <w:bookmarkStart w:id="556" w:name="_Toc6445"/>
      <w:bookmarkStart w:id="557" w:name="_Toc11519"/>
      <w:r>
        <w:rPr>
          <w:highlight w:val="none"/>
        </w:rPr>
        <w:t>6.3.</w:t>
      </w:r>
      <w:r>
        <w:rPr>
          <w:rFonts w:hint="eastAsia"/>
          <w:highlight w:val="none"/>
        </w:rPr>
        <w:t>2环境风险</w:t>
      </w:r>
      <w:r>
        <w:rPr>
          <w:rFonts w:hint="eastAsia"/>
          <w:highlight w:val="none"/>
          <w:lang w:val="en-US" w:eastAsia="zh-CN"/>
        </w:rPr>
        <w:t>管理</w:t>
      </w:r>
      <w:r>
        <w:rPr>
          <w:rFonts w:hint="eastAsia"/>
          <w:highlight w:val="none"/>
        </w:rPr>
        <w:t>措施</w:t>
      </w:r>
      <w:bookmarkEnd w:id="556"/>
      <w:bookmarkEnd w:id="557"/>
    </w:p>
    <w:p w14:paraId="026E5DA1">
      <w:pPr>
        <w:bidi w:val="0"/>
        <w:rPr>
          <w:rFonts w:hint="default"/>
          <w:highlight w:val="none"/>
          <w:lang w:val="en-US"/>
        </w:rPr>
      </w:pPr>
      <w:r>
        <w:rPr>
          <w:rFonts w:hint="eastAsia"/>
          <w:highlight w:val="none"/>
          <w:lang w:val="en-US" w:eastAsia="zh-CN"/>
        </w:rPr>
        <w:t>根据本项目所在区域环境特征和生产运营特性，本项目运营期主要环境风险为油类物质、生产废水、天然气泄漏风险等。环境风险事故的发生，不仅对现场人员、财产造成损失，而且对周围环境可能存在着难以弥补的危害。本着避免风险事故发生和降低风险事故发生后对环境造成污染的态度，建设单位首先应努力开展和完善本项目的风险管理体系和各项防范措施。</w:t>
      </w:r>
    </w:p>
    <w:p w14:paraId="5AADF545">
      <w:pPr>
        <w:bidi w:val="0"/>
        <w:rPr>
          <w:rFonts w:hint="default"/>
          <w:highlight w:val="none"/>
          <w:lang w:val="en-US"/>
        </w:rPr>
      </w:pPr>
      <w:bookmarkStart w:id="558" w:name="_Toc16191"/>
      <w:bookmarkStart w:id="559" w:name="_Toc30749"/>
      <w:r>
        <w:rPr>
          <w:rFonts w:hint="eastAsia"/>
          <w:highlight w:val="none"/>
          <w:lang w:val="en-US" w:eastAsia="zh-CN"/>
        </w:rPr>
        <w:t>（</w:t>
      </w:r>
      <w:r>
        <w:rPr>
          <w:rFonts w:hint="default"/>
          <w:highlight w:val="none"/>
          <w:lang w:val="en-US" w:eastAsia="zh-CN"/>
        </w:rPr>
        <w:t>1</w:t>
      </w:r>
      <w:r>
        <w:rPr>
          <w:rFonts w:hint="eastAsia"/>
          <w:highlight w:val="none"/>
          <w:lang w:val="en-US" w:eastAsia="zh-CN"/>
        </w:rPr>
        <w:t>）树立并强化环境风险意识</w:t>
      </w:r>
      <w:bookmarkEnd w:id="558"/>
      <w:bookmarkEnd w:id="559"/>
    </w:p>
    <w:p w14:paraId="769C5F08">
      <w:pPr>
        <w:bidi w:val="0"/>
        <w:rPr>
          <w:rFonts w:hint="default"/>
          <w:highlight w:val="none"/>
          <w:lang w:val="en-US"/>
        </w:rPr>
      </w:pPr>
      <w:r>
        <w:rPr>
          <w:rFonts w:hint="eastAsia"/>
          <w:highlight w:val="none"/>
          <w:lang w:val="en-US" w:eastAsia="zh-CN"/>
        </w:rPr>
        <w:t>建设单位应全面贯彻“安全第一，预防为主，综合治理”方针，树立环境风险意识，明确环境风险责任，落实环境保护的内容。</w:t>
      </w:r>
    </w:p>
    <w:p w14:paraId="04C729B2">
      <w:pPr>
        <w:bidi w:val="0"/>
        <w:rPr>
          <w:rFonts w:hint="default"/>
          <w:highlight w:val="none"/>
          <w:lang w:val="en-US"/>
        </w:rPr>
      </w:pPr>
      <w:bookmarkStart w:id="560" w:name="_Toc2016"/>
      <w:bookmarkStart w:id="561" w:name="_Toc618"/>
      <w:r>
        <w:rPr>
          <w:rFonts w:hint="eastAsia"/>
          <w:highlight w:val="none"/>
          <w:lang w:val="en-US" w:eastAsia="zh-CN"/>
        </w:rPr>
        <w:t>（</w:t>
      </w:r>
      <w:r>
        <w:rPr>
          <w:rFonts w:hint="default"/>
          <w:highlight w:val="none"/>
          <w:lang w:val="en-US" w:eastAsia="zh-CN"/>
        </w:rPr>
        <w:t>2</w:t>
      </w:r>
      <w:r>
        <w:rPr>
          <w:rFonts w:hint="eastAsia"/>
          <w:highlight w:val="none"/>
          <w:lang w:val="en-US" w:eastAsia="zh-CN"/>
        </w:rPr>
        <w:t>）实行安全环保管理制度</w:t>
      </w:r>
      <w:bookmarkEnd w:id="560"/>
      <w:bookmarkEnd w:id="561"/>
    </w:p>
    <w:p w14:paraId="1E2BA651">
      <w:pPr>
        <w:bidi w:val="0"/>
        <w:rPr>
          <w:rFonts w:hint="default"/>
          <w:highlight w:val="none"/>
          <w:lang w:val="en-US"/>
        </w:rPr>
      </w:pPr>
      <w:r>
        <w:rPr>
          <w:rFonts w:hint="eastAsia"/>
          <w:highlight w:val="none"/>
          <w:lang w:val="en-US" w:eastAsia="zh-CN"/>
        </w:rPr>
        <w:t>本项目在运行期间应针对事故可能发生的环节及可能造成的影响开展全面、全员、全过程的系统管理，把安全工作重点放在系统的安全隐患的预防上，并从整体和全局上促进建设项目各个环节的安全操作，同时建立监察、监测、管理系统，实行安全检查目标管理。</w:t>
      </w:r>
    </w:p>
    <w:p w14:paraId="6E4325DB">
      <w:pPr>
        <w:bidi w:val="0"/>
        <w:rPr>
          <w:rFonts w:hint="default"/>
          <w:highlight w:val="none"/>
          <w:lang w:val="en-US"/>
        </w:rPr>
      </w:pPr>
      <w:bookmarkStart w:id="562" w:name="_Toc11757"/>
      <w:bookmarkStart w:id="563" w:name="_Toc3683"/>
      <w:r>
        <w:rPr>
          <w:rFonts w:hint="eastAsia"/>
          <w:highlight w:val="none"/>
          <w:lang w:val="en-US" w:eastAsia="zh-CN"/>
        </w:rPr>
        <w:t>（</w:t>
      </w:r>
      <w:r>
        <w:rPr>
          <w:rFonts w:hint="default"/>
          <w:highlight w:val="none"/>
          <w:lang w:val="en-US" w:eastAsia="zh-CN"/>
        </w:rPr>
        <w:t>3</w:t>
      </w:r>
      <w:r>
        <w:rPr>
          <w:rFonts w:hint="eastAsia"/>
          <w:highlight w:val="none"/>
          <w:lang w:val="en-US" w:eastAsia="zh-CN"/>
        </w:rPr>
        <w:t>）规范并强化风险预防措施</w:t>
      </w:r>
      <w:bookmarkEnd w:id="562"/>
      <w:bookmarkEnd w:id="563"/>
    </w:p>
    <w:p w14:paraId="033BCE17">
      <w:pPr>
        <w:bidi w:val="0"/>
        <w:rPr>
          <w:rFonts w:hint="default"/>
          <w:highlight w:val="none"/>
          <w:lang w:val="en-US"/>
        </w:rPr>
      </w:pPr>
      <w:r>
        <w:rPr>
          <w:rFonts w:hint="eastAsia"/>
          <w:highlight w:val="none"/>
          <w:lang w:val="en-US" w:eastAsia="zh-CN"/>
        </w:rPr>
        <w:t>建设单位应制定安全管理规章制度，并采取相应的预防和处理措施，对防止安全事故的发生起到制度上、技术上的保证作用，对汽油泄漏事故等一些较大的事故进行重点防范，把事故发生的概率降到最低。</w:t>
      </w:r>
    </w:p>
    <w:p w14:paraId="735937F8">
      <w:pPr>
        <w:bidi w:val="0"/>
        <w:rPr>
          <w:rFonts w:hint="default"/>
          <w:highlight w:val="none"/>
          <w:lang w:val="en-US"/>
        </w:rPr>
      </w:pPr>
      <w:bookmarkStart w:id="564" w:name="_Toc2361"/>
      <w:bookmarkStart w:id="565" w:name="_Toc14328"/>
      <w:r>
        <w:rPr>
          <w:rFonts w:hint="eastAsia"/>
          <w:highlight w:val="none"/>
          <w:lang w:val="en-US" w:eastAsia="zh-CN"/>
        </w:rPr>
        <w:t>（</w:t>
      </w:r>
      <w:r>
        <w:rPr>
          <w:rFonts w:hint="default"/>
          <w:highlight w:val="none"/>
          <w:lang w:val="en-US" w:eastAsia="zh-CN"/>
        </w:rPr>
        <w:t>4</w:t>
      </w:r>
      <w:r>
        <w:rPr>
          <w:rFonts w:hint="eastAsia"/>
          <w:highlight w:val="none"/>
          <w:lang w:val="en-US" w:eastAsia="zh-CN"/>
        </w:rPr>
        <w:t>）提高生产及管理人员的技术水平</w:t>
      </w:r>
      <w:bookmarkEnd w:id="564"/>
      <w:bookmarkEnd w:id="565"/>
    </w:p>
    <w:p w14:paraId="57EA225F">
      <w:pPr>
        <w:bidi w:val="0"/>
        <w:rPr>
          <w:rFonts w:hint="default"/>
          <w:highlight w:val="none"/>
          <w:lang w:val="en-US"/>
        </w:rPr>
      </w:pPr>
      <w:r>
        <w:rPr>
          <w:rFonts w:hint="eastAsia"/>
          <w:highlight w:val="none"/>
          <w:lang w:val="en-US" w:eastAsia="zh-CN"/>
        </w:rPr>
        <w:t>管理和操作人员的失误是导致事故发生的重要因素之一。失误的原因主要是技术能力不足、工作疏忽等。操作事故是生产过程中发生概率较大的风险事故，而管理及操作人员的技术水平则直接影响到此类事故的发生概率。项目在建设和发展过程中，建设单位应严格要求操作和管理人员的技术水平，职工上岗前必须参加培训，落实安全教育制度。</w:t>
      </w:r>
    </w:p>
    <w:p w14:paraId="50A0BBD8">
      <w:pPr>
        <w:bidi w:val="0"/>
        <w:rPr>
          <w:rFonts w:hint="default"/>
          <w:highlight w:val="none"/>
          <w:lang w:val="en-US"/>
        </w:rPr>
      </w:pPr>
      <w:bookmarkStart w:id="566" w:name="_Toc19060"/>
      <w:bookmarkStart w:id="567" w:name="_Toc14646"/>
      <w:r>
        <w:rPr>
          <w:rFonts w:hint="eastAsia"/>
          <w:highlight w:val="none"/>
          <w:lang w:val="en-US" w:eastAsia="zh-CN"/>
        </w:rPr>
        <w:t>（5）建立事故救援演习制度</w:t>
      </w:r>
      <w:bookmarkEnd w:id="566"/>
      <w:bookmarkEnd w:id="567"/>
    </w:p>
    <w:p w14:paraId="6FFE24E8">
      <w:pPr>
        <w:bidi w:val="0"/>
        <w:rPr>
          <w:highlight w:val="none"/>
        </w:rPr>
      </w:pPr>
      <w:r>
        <w:rPr>
          <w:rFonts w:hint="eastAsia"/>
          <w:highlight w:val="none"/>
          <w:lang w:val="en-US" w:eastAsia="zh-CN"/>
        </w:rPr>
        <w:t>建设单位应定期进行事故风险救援演习，培养员工的风险意识，训练事故救援队伍的反应和救援能力，为实际工作做充分准备。</w:t>
      </w:r>
    </w:p>
    <w:p w14:paraId="59D7DB4B">
      <w:pPr>
        <w:pStyle w:val="4"/>
        <w:bidi w:val="0"/>
        <w:rPr>
          <w:highlight w:val="none"/>
        </w:rPr>
      </w:pPr>
      <w:bookmarkStart w:id="568" w:name="_Toc23559"/>
      <w:bookmarkStart w:id="569" w:name="_Toc28986"/>
      <w:r>
        <w:rPr>
          <w:highlight w:val="none"/>
        </w:rPr>
        <w:t>6.3.</w:t>
      </w:r>
      <w:r>
        <w:rPr>
          <w:rFonts w:hint="eastAsia"/>
          <w:highlight w:val="none"/>
          <w:lang w:val="en-US" w:eastAsia="zh-CN"/>
        </w:rPr>
        <w:t>3</w:t>
      </w:r>
      <w:r>
        <w:rPr>
          <w:rFonts w:hint="eastAsia"/>
          <w:highlight w:val="none"/>
        </w:rPr>
        <w:t>环境风险防范措施</w:t>
      </w:r>
      <w:bookmarkEnd w:id="568"/>
      <w:bookmarkEnd w:id="569"/>
    </w:p>
    <w:p w14:paraId="0D7DE252">
      <w:pPr>
        <w:keepNext w:val="0"/>
        <w:keepLines w:val="0"/>
        <w:pageBreakBefore w:val="0"/>
        <w:widowControl w:val="0"/>
        <w:kinsoku/>
        <w:wordWrap w:val="0"/>
        <w:overflowPunct/>
        <w:topLinePunct w:val="0"/>
        <w:autoSpaceDE/>
        <w:autoSpaceDN/>
        <w:bidi w:val="0"/>
        <w:adjustRightInd w:val="0"/>
        <w:snapToGrid w:val="0"/>
        <w:ind w:firstLine="48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1、</w:t>
      </w:r>
      <w:r>
        <w:rPr>
          <w:rFonts w:hint="eastAsia" w:ascii="Times New Roman" w:hAnsi="Times New Roman" w:eastAsia="宋体" w:cs="Times New Roman"/>
          <w:highlight w:val="none"/>
          <w:lang w:val="en-US" w:eastAsia="zh-CN"/>
        </w:rPr>
        <w:t>原料及</w:t>
      </w:r>
      <w:r>
        <w:rPr>
          <w:rFonts w:hint="default" w:ascii="Times New Roman" w:hAnsi="Times New Roman" w:eastAsia="宋体" w:cs="Times New Roman"/>
          <w:highlight w:val="none"/>
        </w:rPr>
        <w:t>危险废物运输过程环境风险防范措施</w:t>
      </w:r>
    </w:p>
    <w:p w14:paraId="72B5C09A">
      <w:pPr>
        <w:keepNext w:val="0"/>
        <w:keepLines w:val="0"/>
        <w:pageBreakBefore w:val="0"/>
        <w:widowControl w:val="0"/>
        <w:kinsoku/>
        <w:wordWrap w:val="0"/>
        <w:overflowPunct/>
        <w:topLinePunct w:val="0"/>
        <w:autoSpaceDE/>
        <w:autoSpaceDN/>
        <w:bidi w:val="0"/>
        <w:adjustRightInd w:val="0"/>
        <w:snapToGrid w:val="0"/>
        <w:ind w:firstLine="48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项目涉及的主要危险物质为危险废物原料</w:t>
      </w:r>
      <w:r>
        <w:rPr>
          <w:rFonts w:hint="default" w:ascii="Times New Roman" w:hAnsi="Times New Roman" w:eastAsia="宋体" w:cs="Times New Roman"/>
          <w:highlight w:val="none"/>
          <w:lang w:val="en-US" w:eastAsia="zh-CN"/>
        </w:rPr>
        <w:t>含油金属屑</w:t>
      </w:r>
      <w:r>
        <w:rPr>
          <w:rFonts w:hint="default" w:ascii="Times New Roman" w:hAnsi="Times New Roman" w:eastAsia="宋体" w:cs="Times New Roman"/>
          <w:highlight w:val="none"/>
        </w:rPr>
        <w:t>，所以在运输过程中应严格做好相应防范措施，防止危险物质的泄漏，或发生重大交通事故，具体措施如下：</w:t>
      </w:r>
    </w:p>
    <w:p w14:paraId="5868644B">
      <w:pPr>
        <w:keepNext w:val="0"/>
        <w:keepLines w:val="0"/>
        <w:pageBreakBefore w:val="0"/>
        <w:widowControl w:val="0"/>
        <w:kinsoku/>
        <w:wordWrap w:val="0"/>
        <w:overflowPunct/>
        <w:topLinePunct w:val="0"/>
        <w:autoSpaceDE/>
        <w:autoSpaceDN/>
        <w:bidi w:val="0"/>
        <w:adjustRightInd w:val="0"/>
        <w:snapToGrid w:val="0"/>
        <w:ind w:firstLine="48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（1）坚持分类收集，严格按照《危险废物收集、贮存、运输技术规范》（HJ2025-2012）的要求进行包装，在明显的位置粘贴危险废物包装标签。危险废物放置于</w:t>
      </w:r>
      <w:r>
        <w:rPr>
          <w:rFonts w:hint="default" w:ascii="Times New Roman" w:hAnsi="Times New Roman" w:eastAsia="宋体" w:cs="Times New Roman"/>
          <w:highlight w:val="none"/>
          <w:lang w:val="en-US" w:eastAsia="zh-CN"/>
        </w:rPr>
        <w:t>密闭</w:t>
      </w:r>
      <w:r>
        <w:rPr>
          <w:rFonts w:hint="default" w:ascii="Times New Roman" w:hAnsi="Times New Roman" w:eastAsia="宋体" w:cs="Times New Roman"/>
          <w:highlight w:val="none"/>
        </w:rPr>
        <w:t>危险废物运输车辆货厢内，避免不稳定停靠，禁止超载运输。危险废物运输车辆在装载完货物后检查货物堆放的稳定性，货厢在关闭时应确认锁好，防止行驶过程厢门因振动打开。</w:t>
      </w:r>
    </w:p>
    <w:p w14:paraId="3231CCD1">
      <w:pPr>
        <w:keepNext w:val="0"/>
        <w:keepLines w:val="0"/>
        <w:pageBreakBefore w:val="0"/>
        <w:widowControl w:val="0"/>
        <w:kinsoku/>
        <w:wordWrap w:val="0"/>
        <w:overflowPunct/>
        <w:topLinePunct w:val="0"/>
        <w:autoSpaceDE/>
        <w:autoSpaceDN/>
        <w:bidi w:val="0"/>
        <w:adjustRightInd w:val="0"/>
        <w:snapToGrid w:val="0"/>
        <w:ind w:firstLine="48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（2）采用危险废物专用运输工具进行运输，运输废物的车辆应采用具有专业资质单位设计制造的专门车辆，确保符合要求后方可投入使用。</w:t>
      </w:r>
    </w:p>
    <w:p w14:paraId="5D0029DF">
      <w:pPr>
        <w:keepNext w:val="0"/>
        <w:keepLines w:val="0"/>
        <w:pageBreakBefore w:val="0"/>
        <w:widowControl w:val="0"/>
        <w:kinsoku/>
        <w:wordWrap w:val="0"/>
        <w:overflowPunct/>
        <w:topLinePunct w:val="0"/>
        <w:autoSpaceDE/>
        <w:autoSpaceDN/>
        <w:bidi w:val="0"/>
        <w:adjustRightInd w:val="0"/>
        <w:snapToGrid w:val="0"/>
        <w:ind w:firstLine="48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（3）危险废物运送车辆必须在车辆前部和后部、车厢两侧设置专用警示标识。</w:t>
      </w:r>
    </w:p>
    <w:p w14:paraId="2A4BD89B">
      <w:pPr>
        <w:keepNext w:val="0"/>
        <w:keepLines w:val="0"/>
        <w:pageBreakBefore w:val="0"/>
        <w:widowControl w:val="0"/>
        <w:kinsoku/>
        <w:wordWrap w:val="0"/>
        <w:overflowPunct/>
        <w:topLinePunct w:val="0"/>
        <w:autoSpaceDE/>
        <w:autoSpaceDN/>
        <w:bidi w:val="0"/>
        <w:adjustRightInd w:val="0"/>
        <w:snapToGrid w:val="0"/>
        <w:ind w:firstLine="48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（4）每辆运送车应指定负责人，对危险废物运送过程负责；从事危险废物运输的司机等人员应经过合格的培训并通过考核。</w:t>
      </w:r>
    </w:p>
    <w:p w14:paraId="503030B9">
      <w:pPr>
        <w:keepNext w:val="0"/>
        <w:keepLines w:val="0"/>
        <w:pageBreakBefore w:val="0"/>
        <w:widowControl w:val="0"/>
        <w:kinsoku/>
        <w:wordWrap w:val="0"/>
        <w:overflowPunct/>
        <w:topLinePunct w:val="0"/>
        <w:autoSpaceDE/>
        <w:autoSpaceDN/>
        <w:bidi w:val="0"/>
        <w:adjustRightInd w:val="0"/>
        <w:snapToGrid w:val="0"/>
        <w:ind w:firstLine="48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（5）在运输前应事先作出周密的运输计划，安排好运输车经过各路段的时间，尽量避免运输车在交通高峰期通过市区。</w:t>
      </w:r>
    </w:p>
    <w:p w14:paraId="5EF768AA">
      <w:pPr>
        <w:keepNext w:val="0"/>
        <w:keepLines w:val="0"/>
        <w:pageBreakBefore w:val="0"/>
        <w:widowControl w:val="0"/>
        <w:kinsoku/>
        <w:wordWrap w:val="0"/>
        <w:overflowPunct/>
        <w:topLinePunct w:val="0"/>
        <w:autoSpaceDE/>
        <w:autoSpaceDN/>
        <w:bidi w:val="0"/>
        <w:adjustRightInd w:val="0"/>
        <w:snapToGrid w:val="0"/>
        <w:ind w:firstLine="48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（6）应制定事故应急和防止运输过程中泄漏、丢失、扬散的保障措施和配备必要的设备，在</w:t>
      </w:r>
      <w:r>
        <w:rPr>
          <w:rFonts w:hint="default" w:ascii="Times New Roman" w:hAnsi="Times New Roman" w:eastAsia="宋体" w:cs="Times New Roman"/>
          <w:highlight w:val="none"/>
          <w:lang w:val="en-US" w:eastAsia="zh-CN"/>
        </w:rPr>
        <w:t>含油金属屑</w:t>
      </w:r>
      <w:r>
        <w:rPr>
          <w:rFonts w:hint="default" w:ascii="Times New Roman" w:hAnsi="Times New Roman" w:eastAsia="宋体" w:cs="Times New Roman"/>
          <w:highlight w:val="none"/>
        </w:rPr>
        <w:t>发生泄漏时可以及时将</w:t>
      </w:r>
      <w:r>
        <w:rPr>
          <w:rFonts w:hint="default" w:ascii="Times New Roman" w:hAnsi="Times New Roman" w:eastAsia="宋体" w:cs="Times New Roman"/>
          <w:highlight w:val="none"/>
          <w:lang w:val="en-US" w:eastAsia="zh-CN"/>
        </w:rPr>
        <w:t>其</w:t>
      </w:r>
      <w:r>
        <w:rPr>
          <w:rFonts w:hint="default" w:ascii="Times New Roman" w:hAnsi="Times New Roman" w:eastAsia="宋体" w:cs="Times New Roman"/>
          <w:highlight w:val="none"/>
        </w:rPr>
        <w:t>收集，减少散失。</w:t>
      </w:r>
    </w:p>
    <w:p w14:paraId="29FA05D7">
      <w:pPr>
        <w:keepNext w:val="0"/>
        <w:keepLines w:val="0"/>
        <w:pageBreakBefore w:val="0"/>
        <w:widowControl w:val="0"/>
        <w:kinsoku/>
        <w:wordWrap w:val="0"/>
        <w:overflowPunct/>
        <w:topLinePunct w:val="0"/>
        <w:autoSpaceDE/>
        <w:autoSpaceDN/>
        <w:bidi w:val="0"/>
        <w:adjustRightInd w:val="0"/>
        <w:snapToGrid w:val="0"/>
        <w:ind w:firstLine="48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7）运输车在每次运输前都必须对每辆运送车的车况进行检查，确保车况良好后方可出车，运送车辆负责人应对每辆运送车必须配备的辅助物品进行检查，确保完备；定期对运输车辆进行全面检查，减少和防止危险废物发生泄漏和交通事故的发生。</w:t>
      </w:r>
    </w:p>
    <w:p w14:paraId="0A2D4C83">
      <w:pPr>
        <w:keepNext w:val="0"/>
        <w:keepLines w:val="0"/>
        <w:pageBreakBefore w:val="0"/>
        <w:widowControl w:val="0"/>
        <w:kinsoku/>
        <w:wordWrap w:val="0"/>
        <w:overflowPunct/>
        <w:topLinePunct w:val="0"/>
        <w:autoSpaceDE/>
        <w:autoSpaceDN/>
        <w:bidi w:val="0"/>
        <w:adjustRightInd w:val="0"/>
        <w:snapToGrid w:val="0"/>
        <w:ind w:firstLine="48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（8）合理安排运输频次，在气象条件不好的天气，如暴雨、台风等，不能运输危险废物，可先贮藏，等天气好转再进行运输；小雨天气可运输，但应小心驾驶并加强安全措施。</w:t>
      </w:r>
    </w:p>
    <w:p w14:paraId="0D236BBD">
      <w:pPr>
        <w:keepNext w:val="0"/>
        <w:keepLines w:val="0"/>
        <w:pageBreakBefore w:val="0"/>
        <w:widowControl w:val="0"/>
        <w:kinsoku/>
        <w:wordWrap w:val="0"/>
        <w:overflowPunct/>
        <w:topLinePunct w:val="0"/>
        <w:autoSpaceDE/>
        <w:autoSpaceDN/>
        <w:bidi w:val="0"/>
        <w:adjustRightInd w:val="0"/>
        <w:snapToGrid w:val="0"/>
        <w:ind w:firstLine="48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2、</w:t>
      </w:r>
      <w:r>
        <w:rPr>
          <w:rFonts w:hint="eastAsia" w:ascii="Times New Roman" w:hAnsi="Times New Roman" w:eastAsia="宋体" w:cs="Times New Roman"/>
          <w:highlight w:val="none"/>
          <w:lang w:val="en-US" w:eastAsia="zh-CN"/>
        </w:rPr>
        <w:t>原料及</w:t>
      </w:r>
      <w:r>
        <w:rPr>
          <w:rFonts w:hint="default" w:ascii="Times New Roman" w:hAnsi="Times New Roman" w:eastAsia="宋体" w:cs="Times New Roman"/>
          <w:highlight w:val="none"/>
        </w:rPr>
        <w:t>危险废物暂存过程环境风险防范措施</w:t>
      </w:r>
    </w:p>
    <w:p w14:paraId="3C8AC3AC">
      <w:pPr>
        <w:keepNext w:val="0"/>
        <w:keepLines w:val="0"/>
        <w:pageBreakBefore w:val="0"/>
        <w:widowControl w:val="0"/>
        <w:kinsoku/>
        <w:wordWrap w:val="0"/>
        <w:overflowPunct/>
        <w:topLinePunct w:val="0"/>
        <w:autoSpaceDE/>
        <w:autoSpaceDN/>
        <w:bidi w:val="0"/>
        <w:adjustRightInd w:val="0"/>
        <w:snapToGrid w:val="0"/>
        <w:ind w:firstLine="48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本项目主要储存</w:t>
      </w:r>
      <w:r>
        <w:rPr>
          <w:rFonts w:hint="eastAsia" w:ascii="Times New Roman" w:hAnsi="Times New Roman" w:eastAsia="宋体" w:cs="Times New Roman"/>
          <w:highlight w:val="none"/>
          <w:lang w:val="en-US" w:eastAsia="zh-CN"/>
        </w:rPr>
        <w:t>方案</w:t>
      </w:r>
      <w:r>
        <w:rPr>
          <w:rFonts w:hint="default" w:ascii="Times New Roman" w:hAnsi="Times New Roman" w:eastAsia="宋体" w:cs="Times New Roman"/>
          <w:highlight w:val="none"/>
        </w:rPr>
        <w:t>：</w:t>
      </w:r>
      <w:r>
        <w:rPr>
          <w:rFonts w:hint="default" w:ascii="Times New Roman" w:hAnsi="Times New Roman" w:eastAsia="宋体" w:cs="Times New Roman"/>
          <w:highlight w:val="none"/>
          <w:lang w:val="en-US" w:eastAsia="zh-CN"/>
        </w:rPr>
        <w:t>含油金属屑</w:t>
      </w:r>
      <w:r>
        <w:rPr>
          <w:rFonts w:hint="default" w:ascii="Times New Roman" w:hAnsi="Times New Roman" w:eastAsia="宋体" w:cs="Times New Roman"/>
          <w:highlight w:val="none"/>
        </w:rPr>
        <w:t>存在</w:t>
      </w:r>
      <w:r>
        <w:rPr>
          <w:rFonts w:hint="default" w:ascii="Times New Roman" w:hAnsi="Times New Roman" w:eastAsia="宋体" w:cs="Times New Roman"/>
          <w:highlight w:val="none"/>
          <w:lang w:val="en-US" w:eastAsia="zh-CN"/>
        </w:rPr>
        <w:t>原料贮存区</w:t>
      </w:r>
      <w:r>
        <w:rPr>
          <w:rFonts w:hint="default" w:ascii="Times New Roman" w:hAnsi="Times New Roman" w:eastAsia="宋体" w:cs="Times New Roman"/>
          <w:highlight w:val="none"/>
        </w:rPr>
        <w:t>内，废液、废油、废过滤材料、废活性炭</w:t>
      </w:r>
      <w:r>
        <w:rPr>
          <w:rFonts w:hint="default" w:ascii="Times New Roman" w:hAnsi="Times New Roman" w:eastAsia="宋体" w:cs="Times New Roman"/>
          <w:highlight w:val="none"/>
          <w:lang w:val="en-US" w:eastAsia="zh-CN"/>
        </w:rPr>
        <w:t>分区</w:t>
      </w:r>
      <w:r>
        <w:rPr>
          <w:rFonts w:hint="default" w:ascii="Times New Roman" w:hAnsi="Times New Roman" w:eastAsia="宋体" w:cs="Times New Roman"/>
          <w:highlight w:val="none"/>
        </w:rPr>
        <w:t>暂存于</w:t>
      </w:r>
      <w:r>
        <w:rPr>
          <w:rFonts w:hint="default" w:ascii="Times New Roman" w:hAnsi="Times New Roman" w:eastAsia="宋体" w:cs="Times New Roman"/>
          <w:highlight w:val="none"/>
          <w:lang w:val="en-US" w:eastAsia="zh-CN"/>
        </w:rPr>
        <w:t>危险废物贮存库</w:t>
      </w:r>
      <w:r>
        <w:rPr>
          <w:rFonts w:hint="default" w:ascii="Times New Roman" w:hAnsi="Times New Roman" w:eastAsia="宋体" w:cs="Times New Roman"/>
          <w:highlight w:val="none"/>
        </w:rPr>
        <w:t>内。各暂存区风险防范措施如下：</w:t>
      </w:r>
    </w:p>
    <w:p w14:paraId="3C65A064">
      <w:pPr>
        <w:keepNext w:val="0"/>
        <w:keepLines w:val="0"/>
        <w:pageBreakBefore w:val="0"/>
        <w:widowControl w:val="0"/>
        <w:numPr>
          <w:ilvl w:val="0"/>
          <w:numId w:val="12"/>
        </w:numPr>
        <w:kinsoku/>
        <w:wordWrap w:val="0"/>
        <w:overflowPunct/>
        <w:topLinePunct w:val="0"/>
        <w:autoSpaceDE/>
        <w:autoSpaceDN/>
        <w:bidi w:val="0"/>
        <w:adjustRightInd w:val="0"/>
        <w:snapToGrid w:val="0"/>
        <w:ind w:firstLine="48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必须将符合《环境保护图形标志-固体废物贮存（处置）场》（GB15562.2-1995）的专用标志设在仓库处；参考《危险废物收集贮存运输技术规范》（HJ2025-2012）、《危险废物贮存污染控制标准》（GB18597-2023）：地面与裙脚采取表面防渗措施；表面防渗材料与所接触的物料或污染物相容，采用抗渗混凝土、高密度聚乙烯膜、钠基膨润土防水毯或其他防渗性能等效的材料。地面进行基础防渗，防渗层为至少1m厚黏土层</w:t>
      </w:r>
      <w:r>
        <w:rPr>
          <w:rFonts w:hint="eastAsia" w:ascii="Times New Roman" w:hAnsi="Times New Roman" w:eastAsia="宋体" w:cs="Times New Roman"/>
          <w:highlight w:val="none"/>
          <w:lang w:eastAsia="zh-CN"/>
        </w:rPr>
        <w:t>（</w:t>
      </w:r>
      <w:r>
        <w:rPr>
          <w:rFonts w:hint="default" w:ascii="Times New Roman" w:hAnsi="Times New Roman" w:eastAsia="宋体" w:cs="Times New Roman"/>
          <w:highlight w:val="none"/>
        </w:rPr>
        <w:t>渗透系数不大于10</w:t>
      </w:r>
      <w:r>
        <w:rPr>
          <w:rFonts w:hint="default" w:ascii="Times New Roman" w:hAnsi="Times New Roman" w:eastAsia="宋体" w:cs="Times New Roman"/>
          <w:highlight w:val="none"/>
          <w:vertAlign w:val="superscript"/>
        </w:rPr>
        <w:t>-7</w:t>
      </w:r>
      <w:r>
        <w:rPr>
          <w:rFonts w:hint="default" w:ascii="Times New Roman" w:hAnsi="Times New Roman" w:eastAsia="宋体" w:cs="Times New Roman"/>
          <w:highlight w:val="none"/>
        </w:rPr>
        <w:t>cm/s</w:t>
      </w:r>
      <w:r>
        <w:rPr>
          <w:rFonts w:hint="eastAsia" w:ascii="Times New Roman" w:hAnsi="Times New Roman" w:eastAsia="宋体" w:cs="Times New Roman"/>
          <w:highlight w:val="none"/>
          <w:lang w:eastAsia="zh-CN"/>
        </w:rPr>
        <w:t>），</w:t>
      </w:r>
      <w:r>
        <w:rPr>
          <w:rFonts w:hint="default" w:ascii="Times New Roman" w:hAnsi="Times New Roman" w:eastAsia="宋体" w:cs="Times New Roman"/>
          <w:highlight w:val="none"/>
        </w:rPr>
        <w:t>或至少2mm厚高密度聚乙烯膜等人工防渗材料</w:t>
      </w:r>
      <w:r>
        <w:rPr>
          <w:rFonts w:hint="eastAsia" w:ascii="Times New Roman" w:hAnsi="Times New Roman" w:eastAsia="宋体" w:cs="Times New Roman"/>
          <w:highlight w:val="none"/>
          <w:lang w:eastAsia="zh-CN"/>
        </w:rPr>
        <w:t>（</w:t>
      </w:r>
      <w:r>
        <w:rPr>
          <w:rFonts w:hint="default" w:ascii="Times New Roman" w:hAnsi="Times New Roman" w:eastAsia="宋体" w:cs="Times New Roman"/>
          <w:highlight w:val="none"/>
        </w:rPr>
        <w:t>渗透系数不大于10</w:t>
      </w:r>
      <w:r>
        <w:rPr>
          <w:rFonts w:hint="default" w:ascii="Times New Roman" w:hAnsi="Times New Roman" w:eastAsia="宋体" w:cs="Times New Roman"/>
          <w:highlight w:val="none"/>
          <w:vertAlign w:val="superscript"/>
        </w:rPr>
        <w:t>-10</w:t>
      </w:r>
      <w:r>
        <w:rPr>
          <w:rFonts w:hint="default" w:ascii="Times New Roman" w:hAnsi="Times New Roman" w:eastAsia="宋体" w:cs="Times New Roman"/>
          <w:highlight w:val="none"/>
        </w:rPr>
        <w:t>cm/s</w:t>
      </w:r>
      <w:r>
        <w:rPr>
          <w:rFonts w:hint="eastAsia" w:ascii="Times New Roman" w:hAnsi="Times New Roman" w:eastAsia="宋体" w:cs="Times New Roman"/>
          <w:highlight w:val="none"/>
          <w:lang w:eastAsia="zh-CN"/>
        </w:rPr>
        <w:t>），</w:t>
      </w:r>
      <w:r>
        <w:rPr>
          <w:rFonts w:hint="default" w:ascii="Times New Roman" w:hAnsi="Times New Roman" w:eastAsia="宋体" w:cs="Times New Roman"/>
          <w:highlight w:val="none"/>
        </w:rPr>
        <w:t>或其他防渗性能等效的材料。并设置围堰。</w:t>
      </w:r>
    </w:p>
    <w:p w14:paraId="472D4267">
      <w:pPr>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（2）</w:t>
      </w:r>
      <w:r>
        <w:rPr>
          <w:rFonts w:hint="default" w:ascii="Times New Roman" w:hAnsi="Times New Roman" w:eastAsia="宋体" w:cs="Times New Roman"/>
          <w:highlight w:val="none"/>
          <w:lang w:eastAsia="zh-CN"/>
        </w:rPr>
        <w:t>危险废物贮存库</w:t>
      </w:r>
      <w:r>
        <w:rPr>
          <w:rFonts w:hint="default" w:ascii="Times New Roman" w:hAnsi="Times New Roman" w:eastAsia="宋体" w:cs="Times New Roman"/>
          <w:highlight w:val="none"/>
        </w:rPr>
        <w:t>应设置围挡或倒流沟，防止</w:t>
      </w:r>
      <w:r>
        <w:rPr>
          <w:rFonts w:hint="default" w:ascii="Times New Roman" w:hAnsi="Times New Roman" w:eastAsia="宋体" w:cs="Times New Roman"/>
          <w:highlight w:val="none"/>
          <w:lang w:val="en-US" w:eastAsia="zh-CN"/>
        </w:rPr>
        <w:t>油类物质</w:t>
      </w:r>
      <w:r>
        <w:rPr>
          <w:rFonts w:hint="default" w:ascii="Times New Roman" w:hAnsi="Times New Roman" w:eastAsia="宋体" w:cs="Times New Roman"/>
          <w:highlight w:val="none"/>
        </w:rPr>
        <w:t>泄漏到库外，以及暴雨时有雨水涌进；在</w:t>
      </w:r>
      <w:r>
        <w:rPr>
          <w:rFonts w:hint="default" w:ascii="Times New Roman" w:hAnsi="Times New Roman" w:eastAsia="宋体" w:cs="Times New Roman"/>
          <w:highlight w:val="none"/>
          <w:lang w:val="en-US" w:eastAsia="zh-CN"/>
        </w:rPr>
        <w:t>储存区</w:t>
      </w:r>
      <w:r>
        <w:rPr>
          <w:rFonts w:hint="default" w:ascii="Times New Roman" w:hAnsi="Times New Roman" w:eastAsia="宋体" w:cs="Times New Roman"/>
          <w:highlight w:val="none"/>
        </w:rPr>
        <w:t>外部设集水沟，下雨时可收集雨水，防止雨水浸入。</w:t>
      </w:r>
    </w:p>
    <w:p w14:paraId="0404ADB4">
      <w:pPr>
        <w:keepNext w:val="0"/>
        <w:keepLines w:val="0"/>
        <w:pageBreakBefore w:val="0"/>
        <w:widowControl w:val="0"/>
        <w:kinsoku/>
        <w:wordWrap w:val="0"/>
        <w:overflowPunct/>
        <w:topLinePunct w:val="0"/>
        <w:autoSpaceDE/>
        <w:autoSpaceDN/>
        <w:bidi w:val="0"/>
        <w:adjustRightInd w:val="0"/>
        <w:snapToGrid w:val="0"/>
        <w:ind w:firstLine="48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（3）分类贮存，不相容危险废物分别进行存放。</w:t>
      </w:r>
    </w:p>
    <w:p w14:paraId="72959D8F">
      <w:pPr>
        <w:keepNext w:val="0"/>
        <w:keepLines w:val="0"/>
        <w:pageBreakBefore w:val="0"/>
        <w:widowControl w:val="0"/>
        <w:kinsoku/>
        <w:wordWrap w:val="0"/>
        <w:overflowPunct/>
        <w:topLinePunct w:val="0"/>
        <w:autoSpaceDE/>
        <w:autoSpaceDN/>
        <w:bidi w:val="0"/>
        <w:adjustRightInd w:val="0"/>
        <w:snapToGrid w:val="0"/>
        <w:ind w:firstLine="48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（4）定期对库房地面、裙角等进行巡查，防止库房地面防渗层破损。</w:t>
      </w:r>
    </w:p>
    <w:p w14:paraId="64203BCE">
      <w:pPr>
        <w:keepNext w:val="0"/>
        <w:keepLines w:val="0"/>
        <w:pageBreakBefore w:val="0"/>
        <w:widowControl w:val="0"/>
        <w:kinsoku/>
        <w:wordWrap w:val="0"/>
        <w:overflowPunct/>
        <w:topLinePunct w:val="0"/>
        <w:autoSpaceDE/>
        <w:autoSpaceDN/>
        <w:bidi w:val="0"/>
        <w:adjustRightInd w:val="0"/>
        <w:snapToGrid w:val="0"/>
        <w:ind w:firstLine="48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（5）制定完善的危险废物登记制度，对危险废物的信息（名称、来源、数量、特性等）、入库日期、存放位置、出库日期等均进行详细的记录，并跟踪危险废物去向。</w:t>
      </w:r>
    </w:p>
    <w:p w14:paraId="22A27BBE">
      <w:pPr>
        <w:keepNext w:val="0"/>
        <w:keepLines w:val="0"/>
        <w:pageBreakBefore w:val="0"/>
        <w:widowControl w:val="0"/>
        <w:kinsoku/>
        <w:wordWrap w:val="0"/>
        <w:overflowPunct/>
        <w:topLinePunct w:val="0"/>
        <w:autoSpaceDE/>
        <w:autoSpaceDN/>
        <w:bidi w:val="0"/>
        <w:adjustRightInd w:val="0"/>
        <w:snapToGrid w:val="0"/>
        <w:ind w:firstLine="48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（6）悬挂明显的危险废物贮存标志。</w:t>
      </w:r>
    </w:p>
    <w:p w14:paraId="4626145B">
      <w:pPr>
        <w:keepNext w:val="0"/>
        <w:keepLines w:val="0"/>
        <w:pageBreakBefore w:val="0"/>
        <w:widowControl w:val="0"/>
        <w:kinsoku/>
        <w:wordWrap w:val="0"/>
        <w:overflowPunct/>
        <w:topLinePunct w:val="0"/>
        <w:autoSpaceDE/>
        <w:autoSpaceDN/>
        <w:bidi w:val="0"/>
        <w:adjustRightInd w:val="0"/>
        <w:snapToGrid w:val="0"/>
        <w:ind w:firstLine="48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3、</w:t>
      </w:r>
      <w:r>
        <w:rPr>
          <w:rFonts w:hint="eastAsia" w:ascii="Times New Roman" w:hAnsi="Times New Roman" w:eastAsia="宋体" w:cs="Times New Roman"/>
          <w:highlight w:val="none"/>
          <w:lang w:val="en-US" w:eastAsia="zh-CN"/>
        </w:rPr>
        <w:t>原料</w:t>
      </w:r>
      <w:r>
        <w:rPr>
          <w:rFonts w:hint="default" w:ascii="Times New Roman" w:hAnsi="Times New Roman" w:eastAsia="宋体" w:cs="Times New Roman"/>
          <w:highlight w:val="none"/>
        </w:rPr>
        <w:t>进料过程风险防范措施</w:t>
      </w:r>
    </w:p>
    <w:p w14:paraId="14447160">
      <w:pPr>
        <w:keepNext w:val="0"/>
        <w:keepLines w:val="0"/>
        <w:pageBreakBefore w:val="0"/>
        <w:widowControl w:val="0"/>
        <w:kinsoku/>
        <w:wordWrap w:val="0"/>
        <w:overflowPunct/>
        <w:topLinePunct w:val="0"/>
        <w:autoSpaceDE/>
        <w:autoSpaceDN/>
        <w:bidi w:val="0"/>
        <w:adjustRightInd w:val="0"/>
        <w:snapToGrid w:val="0"/>
        <w:ind w:firstLine="48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（1）</w:t>
      </w:r>
      <w:r>
        <w:rPr>
          <w:rFonts w:hint="default" w:ascii="Times New Roman" w:hAnsi="Times New Roman" w:eastAsia="宋体" w:cs="Times New Roman"/>
          <w:highlight w:val="none"/>
          <w:lang w:val="en-US" w:eastAsia="zh-CN"/>
        </w:rPr>
        <w:t>危险废物运输车于原料贮存区内卸料，不直接进入贮存区内，防止带出油类物质</w:t>
      </w:r>
      <w:r>
        <w:rPr>
          <w:rFonts w:hint="default" w:ascii="Times New Roman" w:hAnsi="Times New Roman" w:eastAsia="宋体" w:cs="Times New Roman"/>
          <w:highlight w:val="none"/>
        </w:rPr>
        <w:t>，</w:t>
      </w:r>
      <w:r>
        <w:rPr>
          <w:rFonts w:hint="default" w:ascii="Times New Roman" w:hAnsi="Times New Roman" w:eastAsia="宋体" w:cs="Times New Roman"/>
          <w:highlight w:val="none"/>
          <w:lang w:val="en-US" w:eastAsia="zh-CN"/>
        </w:rPr>
        <w:t>车辆卸货</w:t>
      </w:r>
      <w:r>
        <w:rPr>
          <w:rFonts w:hint="default" w:ascii="Times New Roman" w:hAnsi="Times New Roman" w:eastAsia="宋体" w:cs="Times New Roman"/>
          <w:highlight w:val="none"/>
        </w:rPr>
        <w:t>过程中需保持一定速度，避免晃动或突然加速造成废物跌落。</w:t>
      </w:r>
    </w:p>
    <w:p w14:paraId="00C1EA30">
      <w:pPr>
        <w:keepNext w:val="0"/>
        <w:keepLines w:val="0"/>
        <w:pageBreakBefore w:val="0"/>
        <w:widowControl w:val="0"/>
        <w:kinsoku/>
        <w:wordWrap w:val="0"/>
        <w:overflowPunct/>
        <w:topLinePunct w:val="0"/>
        <w:autoSpaceDE/>
        <w:autoSpaceDN/>
        <w:bidi w:val="0"/>
        <w:adjustRightInd w:val="0"/>
        <w:snapToGrid w:val="0"/>
        <w:ind w:firstLine="48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（2）定期排查</w:t>
      </w:r>
      <w:r>
        <w:rPr>
          <w:rFonts w:hint="default" w:ascii="Times New Roman" w:hAnsi="Times New Roman" w:eastAsia="宋体" w:cs="Times New Roman"/>
          <w:highlight w:val="none"/>
          <w:lang w:val="en-US" w:eastAsia="zh-CN"/>
        </w:rPr>
        <w:t>围堰、防渗</w:t>
      </w:r>
      <w:r>
        <w:rPr>
          <w:rFonts w:hint="default" w:ascii="Times New Roman" w:hAnsi="Times New Roman" w:eastAsia="宋体" w:cs="Times New Roman"/>
          <w:highlight w:val="none"/>
        </w:rPr>
        <w:t>是否存在</w:t>
      </w:r>
      <w:r>
        <w:rPr>
          <w:rFonts w:hint="default" w:ascii="Times New Roman" w:hAnsi="Times New Roman" w:eastAsia="宋体" w:cs="Times New Roman"/>
          <w:highlight w:val="none"/>
          <w:lang w:val="en-US" w:eastAsia="zh-CN"/>
        </w:rPr>
        <w:t>鼓包、破损</w:t>
      </w:r>
      <w:r>
        <w:rPr>
          <w:rFonts w:hint="default" w:ascii="Times New Roman" w:hAnsi="Times New Roman" w:eastAsia="宋体" w:cs="Times New Roman"/>
          <w:highlight w:val="none"/>
        </w:rPr>
        <w:t>。</w:t>
      </w:r>
    </w:p>
    <w:p w14:paraId="7F85FD2E">
      <w:pPr>
        <w:keepNext w:val="0"/>
        <w:keepLines w:val="0"/>
        <w:pageBreakBefore w:val="0"/>
        <w:widowControl w:val="0"/>
        <w:kinsoku/>
        <w:wordWrap w:val="0"/>
        <w:overflowPunct/>
        <w:topLinePunct w:val="0"/>
        <w:autoSpaceDE/>
        <w:autoSpaceDN/>
        <w:bidi w:val="0"/>
        <w:adjustRightInd w:val="0"/>
        <w:snapToGrid w:val="0"/>
        <w:ind w:firstLine="48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（3）加强对进料人员的培训，使其熟悉设施的进上料装置和工艺。</w:t>
      </w:r>
    </w:p>
    <w:p w14:paraId="59A0D38E">
      <w:pPr>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（4）保护进料口的通畅，防止废物搭桥堵塞，控制废物</w:t>
      </w:r>
      <w:r>
        <w:rPr>
          <w:rFonts w:hint="default" w:ascii="Times New Roman" w:hAnsi="Times New Roman" w:eastAsia="宋体" w:cs="Times New Roman"/>
          <w:highlight w:val="none"/>
          <w:lang w:val="en-US" w:eastAsia="zh-CN"/>
        </w:rPr>
        <w:t>进入量</w:t>
      </w:r>
      <w:r>
        <w:rPr>
          <w:rFonts w:hint="default" w:ascii="Times New Roman" w:hAnsi="Times New Roman" w:eastAsia="宋体" w:cs="Times New Roman"/>
          <w:highlight w:val="none"/>
        </w:rPr>
        <w:t>，以便顺利进入</w:t>
      </w:r>
      <w:r>
        <w:rPr>
          <w:rFonts w:hint="default" w:ascii="Times New Roman" w:hAnsi="Times New Roman" w:eastAsia="宋体" w:cs="Times New Roman"/>
          <w:highlight w:val="none"/>
          <w:lang w:val="en-US" w:eastAsia="zh-CN"/>
        </w:rPr>
        <w:t>生产设备</w:t>
      </w:r>
      <w:r>
        <w:rPr>
          <w:rFonts w:hint="default" w:ascii="Times New Roman" w:hAnsi="Times New Roman" w:eastAsia="宋体" w:cs="Times New Roman"/>
          <w:highlight w:val="none"/>
        </w:rPr>
        <w:t>。</w:t>
      </w:r>
    </w:p>
    <w:p w14:paraId="4247569A">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4、</w:t>
      </w:r>
      <w:r>
        <w:rPr>
          <w:rFonts w:hint="default" w:ascii="Times New Roman" w:hAnsi="Times New Roman" w:eastAsia="宋体" w:cs="Times New Roman"/>
          <w:highlight w:val="none"/>
        </w:rPr>
        <w:t>初期雨水</w:t>
      </w:r>
      <w:r>
        <w:rPr>
          <w:rFonts w:hint="default" w:ascii="Times New Roman" w:hAnsi="Times New Roman" w:eastAsia="宋体" w:cs="Times New Roman"/>
          <w:highlight w:val="none"/>
          <w:lang w:val="en-US" w:eastAsia="zh-CN"/>
        </w:rPr>
        <w:t>携带油类物质泄漏</w:t>
      </w:r>
      <w:r>
        <w:rPr>
          <w:rFonts w:hint="default" w:ascii="Times New Roman" w:hAnsi="Times New Roman" w:eastAsia="宋体" w:cs="Times New Roman"/>
          <w:highlight w:val="none"/>
        </w:rPr>
        <w:t>防范措施</w:t>
      </w:r>
    </w:p>
    <w:p w14:paraId="7D1E634F">
      <w:pPr>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rPr>
        <w:t>本项目危险废物</w:t>
      </w:r>
      <w:r>
        <w:rPr>
          <w:rFonts w:hint="default" w:ascii="Times New Roman" w:hAnsi="Times New Roman" w:eastAsia="宋体" w:cs="Times New Roman"/>
          <w:highlight w:val="none"/>
          <w:lang w:val="en-US" w:eastAsia="zh-CN"/>
        </w:rPr>
        <w:t>及原料</w:t>
      </w:r>
      <w:r>
        <w:rPr>
          <w:rFonts w:hint="default" w:ascii="Times New Roman" w:hAnsi="Times New Roman" w:eastAsia="宋体" w:cs="Times New Roman"/>
          <w:highlight w:val="none"/>
        </w:rPr>
        <w:t>储存于已按环保要求建设的具有遮风挡雨、防腐防渗功能的</w:t>
      </w:r>
      <w:r>
        <w:rPr>
          <w:rFonts w:hint="default" w:ascii="Times New Roman" w:hAnsi="Times New Roman" w:eastAsia="宋体" w:cs="Times New Roman"/>
          <w:highlight w:val="none"/>
          <w:lang w:val="en-US" w:eastAsia="zh-CN"/>
        </w:rPr>
        <w:t>危险废物贮存库、原料贮存区</w:t>
      </w:r>
      <w:r>
        <w:rPr>
          <w:rFonts w:hint="default" w:ascii="Times New Roman" w:hAnsi="Times New Roman" w:eastAsia="宋体" w:cs="Times New Roman"/>
          <w:highlight w:val="none"/>
        </w:rPr>
        <w:t>内，</w:t>
      </w:r>
      <w:r>
        <w:rPr>
          <w:rFonts w:hint="default" w:ascii="Times New Roman" w:hAnsi="Times New Roman" w:eastAsia="宋体" w:cs="Times New Roman"/>
          <w:highlight w:val="none"/>
          <w:lang w:val="en-US" w:eastAsia="zh-CN"/>
        </w:rPr>
        <w:t>且地面均设置防渗及围堰，</w:t>
      </w:r>
      <w:r>
        <w:rPr>
          <w:rFonts w:hint="default" w:ascii="Times New Roman" w:hAnsi="Times New Roman" w:eastAsia="宋体" w:cs="Times New Roman"/>
          <w:highlight w:val="none"/>
        </w:rPr>
        <w:t>不会出现大量泄漏的情况，也不会出现因受到雨水冲刷随径流进入水体的情况</w:t>
      </w:r>
      <w:r>
        <w:rPr>
          <w:rFonts w:hint="default" w:ascii="Times New Roman" w:hAnsi="Times New Roman" w:eastAsia="宋体" w:cs="Times New Roman"/>
          <w:highlight w:val="none"/>
          <w:lang w:eastAsia="zh-CN"/>
        </w:rPr>
        <w:t>，</w:t>
      </w:r>
      <w:r>
        <w:rPr>
          <w:rFonts w:hint="default" w:ascii="Times New Roman" w:hAnsi="Times New Roman" w:eastAsia="宋体" w:cs="Times New Roman"/>
          <w:highlight w:val="none"/>
          <w:lang w:val="en-US" w:eastAsia="zh-CN"/>
        </w:rPr>
        <w:t>本项目按相关要求，雨天不进行物料运输，故不存在油类物质随初期雨水</w:t>
      </w:r>
      <w:r>
        <w:rPr>
          <w:rFonts w:hint="eastAsia" w:ascii="Times New Roman" w:hAnsi="Times New Roman" w:eastAsia="宋体" w:cs="Times New Roman"/>
          <w:highlight w:val="none"/>
          <w:lang w:val="en-US" w:eastAsia="zh-CN"/>
        </w:rPr>
        <w:t>进入地表水</w:t>
      </w:r>
      <w:r>
        <w:rPr>
          <w:rFonts w:hint="default" w:ascii="Times New Roman" w:hAnsi="Times New Roman" w:eastAsia="宋体" w:cs="Times New Roman"/>
          <w:highlight w:val="none"/>
          <w:lang w:val="en-US" w:eastAsia="zh-CN"/>
        </w:rPr>
        <w:t>情况；由于本项目排放废气中含有</w:t>
      </w:r>
      <w:r>
        <w:rPr>
          <w:rFonts w:hint="eastAsia" w:ascii="Times New Roman" w:hAnsi="Times New Roman" w:eastAsia="宋体" w:cs="Times New Roman"/>
          <w:highlight w:val="none"/>
          <w:lang w:val="en-US" w:eastAsia="zh-CN"/>
        </w:rPr>
        <w:t>微</w:t>
      </w:r>
      <w:r>
        <w:rPr>
          <w:rFonts w:hint="default" w:ascii="Times New Roman" w:hAnsi="Times New Roman" w:eastAsia="宋体" w:cs="Times New Roman"/>
          <w:highlight w:val="none"/>
          <w:lang w:val="en-US" w:eastAsia="zh-CN"/>
        </w:rPr>
        <w:t>量油雾，</w:t>
      </w:r>
      <w:r>
        <w:rPr>
          <w:rFonts w:hint="eastAsia" w:ascii="Times New Roman" w:hAnsi="Times New Roman" w:eastAsia="宋体" w:cs="Times New Roman"/>
          <w:highlight w:val="none"/>
          <w:lang w:val="en-US" w:eastAsia="zh-CN"/>
        </w:rPr>
        <w:t>为加强本项目对污染物排放的管控</w:t>
      </w:r>
      <w:r>
        <w:rPr>
          <w:rFonts w:hint="default" w:ascii="Times New Roman" w:hAnsi="Times New Roman" w:eastAsia="宋体" w:cs="Times New Roman"/>
          <w:highlight w:val="none"/>
          <w:lang w:val="en-US" w:eastAsia="zh-CN"/>
        </w:rPr>
        <w:t>，本项目设置初期雨水收集罐，在各生产车间屋顶设置雨水收集槽，经管道导至初期雨水收集罐，收集后的初期雨水按</w:t>
      </w:r>
      <w:r>
        <w:rPr>
          <w:rFonts w:hint="eastAsia" w:ascii="Times New Roman" w:hAnsi="Times New Roman" w:eastAsia="宋体" w:cs="Times New Roman"/>
          <w:highlight w:val="none"/>
          <w:lang w:val="en-US" w:eastAsia="zh-CN"/>
        </w:rPr>
        <w:t>经隔油后</w:t>
      </w:r>
      <w:r>
        <w:rPr>
          <w:rFonts w:hint="default" w:ascii="Times New Roman" w:hAnsi="Times New Roman" w:eastAsia="宋体" w:cs="Times New Roman"/>
          <w:highlight w:val="none"/>
          <w:lang w:val="en-US" w:eastAsia="zh-CN"/>
        </w:rPr>
        <w:t>，</w:t>
      </w:r>
      <w:r>
        <w:rPr>
          <w:rFonts w:hint="eastAsia" w:ascii="Times New Roman" w:hAnsi="Times New Roman" w:eastAsia="宋体" w:cs="Times New Roman"/>
          <w:highlight w:val="none"/>
          <w:lang w:val="en-US" w:eastAsia="zh-CN"/>
        </w:rPr>
        <w:t>进入市政管网</w:t>
      </w:r>
      <w:r>
        <w:rPr>
          <w:rFonts w:hint="default" w:ascii="Times New Roman" w:hAnsi="Times New Roman" w:eastAsia="宋体" w:cs="Times New Roman"/>
          <w:highlight w:val="none"/>
          <w:lang w:val="en-US" w:eastAsia="zh-CN"/>
        </w:rPr>
        <w:t>。由于无法准确计算每年暴雨降雨次数，故本次仅按次分析收集初期雨水量。</w:t>
      </w:r>
    </w:p>
    <w:p w14:paraId="53E842F6">
      <w:pPr>
        <w:bidi w:val="0"/>
        <w:rPr>
          <w:rFonts w:hint="default"/>
          <w:highlight w:val="none"/>
        </w:rPr>
      </w:pPr>
      <w:r>
        <w:rPr>
          <w:rFonts w:hint="eastAsia"/>
          <w:highlight w:val="none"/>
          <w:lang w:val="en-US" w:eastAsia="zh-CN"/>
        </w:rPr>
        <w:t>根据《化工建设项目环境保护设计标准》（GB50483-2019），初期雨水指污染区域降雨初期产生的雨水，宜取一次降雨初期15min～30min雨量。故本项目</w:t>
      </w:r>
      <w:r>
        <w:rPr>
          <w:rFonts w:hint="default"/>
          <w:highlight w:val="none"/>
          <w:lang w:val="en-US" w:eastAsia="zh-CN"/>
        </w:rPr>
        <w:t>以暴雨量的前1</w:t>
      </w:r>
      <w:r>
        <w:rPr>
          <w:rFonts w:hint="eastAsia"/>
          <w:highlight w:val="none"/>
          <w:lang w:val="en-US" w:eastAsia="zh-CN"/>
        </w:rPr>
        <w:t>5</w:t>
      </w:r>
      <w:r>
        <w:rPr>
          <w:rFonts w:hint="default"/>
          <w:highlight w:val="none"/>
          <w:lang w:val="en-US" w:eastAsia="zh-CN"/>
        </w:rPr>
        <w:t>min雨量作为初期雨水量。本项目采用暴雨强度及雨水流量计算公式</w:t>
      </w:r>
      <w:r>
        <w:rPr>
          <w:rFonts w:hint="default"/>
          <w:highlight w:val="none"/>
        </w:rPr>
        <w:t>进行估算，计算公式如下：</w:t>
      </w:r>
    </w:p>
    <w:p w14:paraId="4055A51B">
      <w:pPr>
        <w:ind w:firstLine="0" w:firstLineChars="0"/>
        <w:jc w:val="center"/>
        <w:rPr>
          <w:rFonts w:hint="default" w:ascii="Times New Roman" w:hAnsi="Times New Roman" w:eastAsia="宋体" w:cs="Times New Roman"/>
          <w:highlight w:val="none"/>
        </w:rPr>
      </w:pPr>
      <w:r>
        <w:rPr>
          <w:rFonts w:hint="default" w:ascii="Times New Roman" w:hAnsi="Times New Roman" w:eastAsia="宋体" w:cs="Times New Roman"/>
          <w:highlight w:val="none"/>
        </w:rPr>
        <w:t>Q=ψ·q·F</w:t>
      </w:r>
    </w:p>
    <w:p w14:paraId="46620FE7">
      <w:pPr>
        <w:ind w:firstLine="480"/>
        <w:rPr>
          <w:rFonts w:hint="default" w:ascii="Times New Roman" w:hAnsi="Times New Roman" w:eastAsia="宋体" w:cs="Times New Roman"/>
          <w:highlight w:val="none"/>
        </w:rPr>
      </w:pPr>
      <w:r>
        <w:rPr>
          <w:rFonts w:hint="default" w:ascii="Times New Roman" w:hAnsi="Times New Roman" w:eastAsia="宋体" w:cs="Times New Roman"/>
          <w:highlight w:val="none"/>
        </w:rPr>
        <w:t>式中：Q--雨水设计流量，L/s；</w:t>
      </w:r>
    </w:p>
    <w:p w14:paraId="4D0F85CB">
      <w:pPr>
        <w:ind w:firstLine="1200" w:firstLineChars="500"/>
        <w:rPr>
          <w:rFonts w:hint="default" w:ascii="Times New Roman" w:hAnsi="Times New Roman" w:eastAsia="宋体" w:cs="Times New Roman"/>
          <w:highlight w:val="none"/>
        </w:rPr>
      </w:pPr>
      <w:r>
        <w:rPr>
          <w:rFonts w:hint="default" w:ascii="Times New Roman" w:hAnsi="Times New Roman" w:eastAsia="宋体" w:cs="Times New Roman"/>
          <w:highlight w:val="none"/>
        </w:rPr>
        <w:t>Ψ--径流系数，等于径流量与降雨量的比值，其数值小于1，取0.5；</w:t>
      </w:r>
    </w:p>
    <w:p w14:paraId="5D8F04E7">
      <w:pPr>
        <w:ind w:firstLine="1200" w:firstLineChars="500"/>
        <w:rPr>
          <w:rFonts w:hint="default" w:ascii="Times New Roman" w:hAnsi="Times New Roman" w:eastAsia="宋体" w:cs="Times New Roman"/>
          <w:highlight w:val="none"/>
        </w:rPr>
      </w:pPr>
      <w:r>
        <w:rPr>
          <w:rFonts w:hint="default" w:ascii="Times New Roman" w:hAnsi="Times New Roman" w:eastAsia="宋体" w:cs="Times New Roman"/>
          <w:highlight w:val="none"/>
        </w:rPr>
        <w:t>q--设计暴雨强度，L/（s·hm</w:t>
      </w:r>
      <w:r>
        <w:rPr>
          <w:rFonts w:hint="default" w:ascii="Times New Roman" w:hAnsi="Times New Roman" w:eastAsia="宋体" w:cs="Times New Roman"/>
          <w:highlight w:val="none"/>
          <w:vertAlign w:val="superscript"/>
        </w:rPr>
        <w:t>2</w:t>
      </w:r>
      <w:r>
        <w:rPr>
          <w:rFonts w:hint="default" w:ascii="Times New Roman" w:hAnsi="Times New Roman" w:eastAsia="宋体" w:cs="Times New Roman"/>
          <w:highlight w:val="none"/>
        </w:rPr>
        <w:t>）；</w:t>
      </w:r>
    </w:p>
    <w:p w14:paraId="33447DBE">
      <w:pPr>
        <w:ind w:firstLine="1200" w:firstLineChars="500"/>
        <w:rPr>
          <w:rFonts w:hint="default" w:ascii="Times New Roman" w:hAnsi="Times New Roman" w:eastAsia="宋体" w:cs="Times New Roman"/>
          <w:highlight w:val="none"/>
        </w:rPr>
      </w:pPr>
      <w:r>
        <w:rPr>
          <w:rFonts w:hint="default" w:ascii="Times New Roman" w:hAnsi="Times New Roman" w:eastAsia="宋体" w:cs="Times New Roman"/>
          <w:highlight w:val="none"/>
        </w:rPr>
        <w:t>F--汇水面积，hm</w:t>
      </w:r>
      <w:r>
        <w:rPr>
          <w:rFonts w:hint="default" w:ascii="Times New Roman" w:hAnsi="Times New Roman" w:eastAsia="宋体" w:cs="Times New Roman"/>
          <w:highlight w:val="none"/>
          <w:vertAlign w:val="superscript"/>
        </w:rPr>
        <w:t>2</w:t>
      </w:r>
      <w:r>
        <w:rPr>
          <w:rFonts w:hint="default" w:ascii="Times New Roman" w:hAnsi="Times New Roman" w:eastAsia="宋体" w:cs="Times New Roman"/>
          <w:highlight w:val="none"/>
        </w:rPr>
        <w:t>，取</w:t>
      </w:r>
      <w:r>
        <w:rPr>
          <w:rFonts w:hint="default" w:ascii="Times New Roman" w:hAnsi="Times New Roman" w:eastAsia="宋体" w:cs="Times New Roman"/>
          <w:highlight w:val="none"/>
          <w:lang w:val="en-US" w:eastAsia="zh-CN"/>
        </w:rPr>
        <w:t>826.75</w:t>
      </w:r>
      <w:r>
        <w:rPr>
          <w:rFonts w:hint="default" w:ascii="Times New Roman" w:hAnsi="Times New Roman" w:eastAsia="宋体" w:cs="Times New Roman"/>
          <w:highlight w:val="none"/>
        </w:rPr>
        <w:t>m</w:t>
      </w:r>
      <w:r>
        <w:rPr>
          <w:rFonts w:hint="default" w:ascii="Times New Roman" w:hAnsi="Times New Roman" w:eastAsia="宋体" w:cs="Times New Roman"/>
          <w:highlight w:val="none"/>
          <w:vertAlign w:val="superscript"/>
        </w:rPr>
        <w:t>2</w:t>
      </w:r>
      <w:r>
        <w:rPr>
          <w:rFonts w:hint="default" w:ascii="Times New Roman" w:hAnsi="Times New Roman" w:eastAsia="宋体" w:cs="Times New Roman"/>
          <w:highlight w:val="none"/>
        </w:rPr>
        <w:t>。</w:t>
      </w:r>
    </w:p>
    <w:p w14:paraId="18F77F65">
      <w:pPr>
        <w:ind w:firstLine="960" w:firstLineChars="400"/>
        <w:rPr>
          <w:rFonts w:hint="default" w:ascii="Times New Roman" w:hAnsi="Times New Roman" w:eastAsia="宋体" w:cs="Times New Roman"/>
          <w:highlight w:val="none"/>
        </w:rPr>
      </w:pPr>
      <w:r>
        <w:rPr>
          <w:rFonts w:hint="default" w:ascii="Times New Roman" w:hAnsi="Times New Roman" w:eastAsia="宋体" w:cs="Times New Roman"/>
          <w:highlight w:val="none"/>
        </w:rPr>
        <w:t>采用哈尔滨市暴雨强度公式：</w:t>
      </w:r>
    </w:p>
    <w:p w14:paraId="3B7F8F0B">
      <w:pPr>
        <w:ind w:firstLine="480"/>
        <w:jc w:val="center"/>
        <w:rPr>
          <w:rFonts w:hint="default" w:ascii="Times New Roman" w:hAnsi="Times New Roman" w:eastAsia="宋体" w:cs="Times New Roman"/>
          <w:highlight w:val="none"/>
        </w:rPr>
      </w:pPr>
      <w:r>
        <w:rPr>
          <w:rFonts w:hint="default" w:ascii="Times New Roman" w:hAnsi="Times New Roman" w:eastAsia="宋体" w:cs="Times New Roman"/>
          <w:highlight w:val="none"/>
        </w:rPr>
        <w:t>q=[2989.3（1+0.95lgP）/（t+11.77）</w:t>
      </w:r>
      <w:r>
        <w:rPr>
          <w:rFonts w:hint="default" w:ascii="Times New Roman" w:hAnsi="Times New Roman" w:eastAsia="宋体" w:cs="Times New Roman"/>
          <w:highlight w:val="none"/>
          <w:vertAlign w:val="superscript"/>
        </w:rPr>
        <w:t>0.88</w:t>
      </w:r>
      <w:r>
        <w:rPr>
          <w:rFonts w:hint="default" w:ascii="Times New Roman" w:hAnsi="Times New Roman" w:eastAsia="宋体" w:cs="Times New Roman"/>
          <w:highlight w:val="none"/>
        </w:rPr>
        <w:t>]（L/s·hm</w:t>
      </w:r>
      <w:r>
        <w:rPr>
          <w:rFonts w:hint="default" w:ascii="Times New Roman" w:hAnsi="Times New Roman" w:eastAsia="宋体" w:cs="Times New Roman"/>
          <w:highlight w:val="none"/>
          <w:vertAlign w:val="superscript"/>
        </w:rPr>
        <w:t>2</w:t>
      </w:r>
      <w:r>
        <w:rPr>
          <w:rFonts w:hint="default" w:ascii="Times New Roman" w:hAnsi="Times New Roman" w:eastAsia="宋体" w:cs="Times New Roman"/>
          <w:highlight w:val="none"/>
        </w:rPr>
        <w:t>）</w:t>
      </w:r>
    </w:p>
    <w:p w14:paraId="7E6CF47A">
      <w:pPr>
        <w:ind w:firstLine="480"/>
        <w:rPr>
          <w:rFonts w:hint="default" w:ascii="Times New Roman" w:hAnsi="Times New Roman" w:eastAsia="宋体" w:cs="Times New Roman"/>
          <w:highlight w:val="none"/>
        </w:rPr>
      </w:pPr>
      <w:r>
        <w:rPr>
          <w:rFonts w:hint="default" w:ascii="Times New Roman" w:hAnsi="Times New Roman" w:eastAsia="宋体" w:cs="Times New Roman"/>
          <w:highlight w:val="none"/>
        </w:rPr>
        <w:t>式中：q--设计暴雨强度，L/s·hm</w:t>
      </w:r>
      <w:r>
        <w:rPr>
          <w:rFonts w:hint="default" w:ascii="Times New Roman" w:hAnsi="Times New Roman" w:eastAsia="宋体" w:cs="Times New Roman"/>
          <w:highlight w:val="none"/>
          <w:vertAlign w:val="superscript"/>
        </w:rPr>
        <w:t>2</w:t>
      </w:r>
      <w:r>
        <w:rPr>
          <w:rFonts w:hint="default" w:ascii="Times New Roman" w:hAnsi="Times New Roman" w:eastAsia="宋体" w:cs="Times New Roman"/>
          <w:highlight w:val="none"/>
        </w:rPr>
        <w:t>；</w:t>
      </w:r>
    </w:p>
    <w:p w14:paraId="0D38E3A6">
      <w:pPr>
        <w:ind w:firstLine="1200" w:firstLineChars="500"/>
        <w:rPr>
          <w:rFonts w:hint="default" w:ascii="Times New Roman" w:hAnsi="Times New Roman" w:eastAsia="宋体" w:cs="Times New Roman"/>
          <w:highlight w:val="none"/>
        </w:rPr>
      </w:pPr>
      <w:r>
        <w:rPr>
          <w:rFonts w:hint="default" w:ascii="Times New Roman" w:hAnsi="Times New Roman" w:eastAsia="宋体" w:cs="Times New Roman"/>
          <w:highlight w:val="none"/>
        </w:rPr>
        <w:t>P--设计重现期，年，取</w:t>
      </w:r>
      <w:r>
        <w:rPr>
          <w:rFonts w:hint="eastAsia" w:ascii="Times New Roman" w:hAnsi="Times New Roman" w:eastAsia="宋体" w:cs="Times New Roman"/>
          <w:highlight w:val="none"/>
          <w:lang w:val="en-US" w:eastAsia="zh-CN"/>
        </w:rPr>
        <w:t>1</w:t>
      </w:r>
      <w:r>
        <w:rPr>
          <w:rFonts w:hint="default" w:ascii="Times New Roman" w:hAnsi="Times New Roman" w:eastAsia="宋体" w:cs="Times New Roman"/>
          <w:highlight w:val="none"/>
        </w:rPr>
        <w:t>年；</w:t>
      </w:r>
    </w:p>
    <w:p w14:paraId="461AD732">
      <w:pPr>
        <w:ind w:firstLine="1200" w:firstLineChars="500"/>
        <w:rPr>
          <w:rFonts w:hint="default" w:ascii="Times New Roman" w:hAnsi="Times New Roman" w:eastAsia="宋体" w:cs="Times New Roman"/>
          <w:highlight w:val="none"/>
        </w:rPr>
      </w:pPr>
      <w:r>
        <w:rPr>
          <w:rFonts w:hint="default" w:ascii="Times New Roman" w:hAnsi="Times New Roman" w:eastAsia="宋体" w:cs="Times New Roman"/>
          <w:highlight w:val="none"/>
        </w:rPr>
        <w:t>t--降雨历时（min）</w:t>
      </w:r>
      <w:r>
        <w:rPr>
          <w:rFonts w:hint="eastAsia" w:ascii="Times New Roman" w:hAnsi="Times New Roman" w:eastAsia="宋体" w:cs="Times New Roman"/>
          <w:highlight w:val="none"/>
          <w:lang w:eastAsia="zh-CN"/>
        </w:rPr>
        <w:t>，</w:t>
      </w:r>
      <w:r>
        <w:rPr>
          <w:rFonts w:hint="default" w:ascii="Times New Roman" w:hAnsi="Times New Roman" w:eastAsia="宋体" w:cs="Times New Roman"/>
          <w:highlight w:val="none"/>
        </w:rPr>
        <w:t>取1</w:t>
      </w:r>
      <w:r>
        <w:rPr>
          <w:rFonts w:hint="eastAsia" w:cs="Times New Roman"/>
          <w:highlight w:val="none"/>
          <w:lang w:val="en-US" w:eastAsia="zh-CN"/>
        </w:rPr>
        <w:t>5</w:t>
      </w:r>
      <w:r>
        <w:rPr>
          <w:rFonts w:hint="default" w:ascii="Times New Roman" w:hAnsi="Times New Roman" w:eastAsia="宋体" w:cs="Times New Roman"/>
          <w:highlight w:val="none"/>
        </w:rPr>
        <w:t>min；</w:t>
      </w:r>
    </w:p>
    <w:p w14:paraId="2593B672">
      <w:pPr>
        <w:ind w:firstLine="480"/>
        <w:rPr>
          <w:rFonts w:hint="default" w:ascii="Times New Roman" w:hAnsi="Times New Roman" w:eastAsia="宋体" w:cs="Times New Roman"/>
          <w:highlight w:val="none"/>
        </w:rPr>
      </w:pPr>
      <w:r>
        <w:rPr>
          <w:rFonts w:hint="default" w:ascii="Times New Roman" w:hAnsi="Times New Roman" w:eastAsia="宋体" w:cs="Times New Roman"/>
          <w:highlight w:val="none"/>
        </w:rPr>
        <w:t>计算可得q值为</w:t>
      </w:r>
      <w:r>
        <w:rPr>
          <w:rFonts w:hint="eastAsia" w:cs="Times New Roman"/>
          <w:highlight w:val="none"/>
          <w:lang w:val="en-US" w:eastAsia="zh-CN"/>
        </w:rPr>
        <w:t>170.04</w:t>
      </w:r>
      <w:r>
        <w:rPr>
          <w:rFonts w:hint="default" w:ascii="Times New Roman" w:hAnsi="Times New Roman" w:eastAsia="宋体" w:cs="Times New Roman"/>
          <w:highlight w:val="none"/>
        </w:rPr>
        <w:t>L/（s•hm</w:t>
      </w:r>
      <w:r>
        <w:rPr>
          <w:rFonts w:hint="default" w:ascii="Times New Roman" w:hAnsi="Times New Roman" w:eastAsia="宋体" w:cs="Times New Roman"/>
          <w:highlight w:val="none"/>
          <w:vertAlign w:val="superscript"/>
        </w:rPr>
        <w:t>2</w:t>
      </w:r>
      <w:r>
        <w:rPr>
          <w:rFonts w:hint="default" w:ascii="Times New Roman" w:hAnsi="Times New Roman" w:eastAsia="宋体" w:cs="Times New Roman"/>
          <w:highlight w:val="none"/>
        </w:rPr>
        <w:t>）；Q值为107.77L/s。</w:t>
      </w:r>
    </w:p>
    <w:p w14:paraId="7DEEBF22">
      <w:pPr>
        <w:ind w:firstLine="480"/>
        <w:rPr>
          <w:rFonts w:hint="default" w:ascii="Times New Roman" w:hAnsi="Times New Roman" w:eastAsia="宋体" w:cs="Times New Roman"/>
          <w:highlight w:val="none"/>
        </w:rPr>
      </w:pPr>
      <w:r>
        <w:rPr>
          <w:rFonts w:hint="default" w:ascii="Times New Roman" w:hAnsi="Times New Roman" w:eastAsia="宋体" w:cs="Times New Roman"/>
          <w:highlight w:val="none"/>
        </w:rPr>
        <w:t>注：本项目</w:t>
      </w:r>
      <w:r>
        <w:rPr>
          <w:rFonts w:hint="eastAsia" w:ascii="Times New Roman" w:hAnsi="Times New Roman" w:eastAsia="宋体" w:cs="Times New Roman"/>
          <w:highlight w:val="none"/>
          <w:lang w:val="en-US" w:eastAsia="zh-CN"/>
        </w:rPr>
        <w:t>厂区仅为生产车间所在区域</w:t>
      </w:r>
      <w:r>
        <w:rPr>
          <w:rFonts w:hint="default" w:ascii="Times New Roman" w:hAnsi="Times New Roman" w:eastAsia="宋体" w:cs="Times New Roman"/>
          <w:highlight w:val="none"/>
        </w:rPr>
        <w:t>，因此厂区初期雨水收集范围主要考虑生产区</w:t>
      </w:r>
      <w:r>
        <w:rPr>
          <w:rFonts w:hint="eastAsia" w:ascii="Times New Roman" w:hAnsi="Times New Roman" w:eastAsia="宋体" w:cs="Times New Roman"/>
          <w:highlight w:val="none"/>
          <w:lang w:val="en-US" w:eastAsia="zh-CN"/>
        </w:rPr>
        <w:t>厂区所在屋面</w:t>
      </w:r>
      <w:r>
        <w:rPr>
          <w:rFonts w:hint="default" w:ascii="Times New Roman" w:hAnsi="Times New Roman" w:eastAsia="宋体" w:cs="Times New Roman"/>
          <w:highlight w:val="none"/>
        </w:rPr>
        <w:t>。</w:t>
      </w:r>
    </w:p>
    <w:p w14:paraId="0661FD6D">
      <w:pPr>
        <w:bidi w:val="0"/>
        <w:rPr>
          <w:rFonts w:hint="eastAsia" w:eastAsia="宋体"/>
          <w:highlight w:val="none"/>
          <w:lang w:val="en-US" w:eastAsia="zh-CN"/>
        </w:rPr>
      </w:pPr>
      <w:r>
        <w:rPr>
          <w:rFonts w:hint="eastAsia"/>
          <w:highlight w:val="none"/>
        </w:rPr>
        <w:t>经以上公式计算得出1</w:t>
      </w:r>
      <w:r>
        <w:rPr>
          <w:rFonts w:hint="eastAsia"/>
          <w:highlight w:val="none"/>
          <w:lang w:val="en-US" w:eastAsia="zh-CN"/>
        </w:rPr>
        <w:t>5</w:t>
      </w:r>
      <w:r>
        <w:rPr>
          <w:rFonts w:hint="eastAsia"/>
          <w:highlight w:val="none"/>
        </w:rPr>
        <w:t>min内收集的初期雨水量为</w:t>
      </w:r>
      <w:r>
        <w:rPr>
          <w:rFonts w:hint="eastAsia"/>
          <w:highlight w:val="none"/>
          <w:lang w:val="en-US" w:eastAsia="zh-CN"/>
        </w:rPr>
        <w:t>11.4</w:t>
      </w:r>
      <w:r>
        <w:rPr>
          <w:rFonts w:hint="eastAsia"/>
          <w:highlight w:val="none"/>
        </w:rPr>
        <w:t>m</w:t>
      </w:r>
      <w:r>
        <w:rPr>
          <w:rFonts w:hint="eastAsia"/>
          <w:highlight w:val="none"/>
          <w:vertAlign w:val="superscript"/>
        </w:rPr>
        <w:t>3</w:t>
      </w:r>
      <w:r>
        <w:rPr>
          <w:rFonts w:hint="eastAsia"/>
          <w:highlight w:val="none"/>
        </w:rPr>
        <w:t>；则本项目建设1座有效容积为1</w:t>
      </w:r>
      <w:r>
        <w:rPr>
          <w:rFonts w:hint="eastAsia"/>
          <w:highlight w:val="none"/>
          <w:lang w:val="en-US" w:eastAsia="zh-CN"/>
        </w:rPr>
        <w:t>2</w:t>
      </w:r>
      <w:r>
        <w:rPr>
          <w:rFonts w:hint="eastAsia"/>
          <w:highlight w:val="none"/>
        </w:rPr>
        <w:t>m</w:t>
      </w:r>
      <w:r>
        <w:rPr>
          <w:rFonts w:hint="eastAsia"/>
          <w:highlight w:val="none"/>
          <w:vertAlign w:val="superscript"/>
        </w:rPr>
        <w:t>3</w:t>
      </w:r>
      <w:r>
        <w:rPr>
          <w:rFonts w:hint="eastAsia"/>
          <w:highlight w:val="none"/>
        </w:rPr>
        <w:t>的初期雨水收集</w:t>
      </w:r>
      <w:r>
        <w:rPr>
          <w:rFonts w:hint="eastAsia"/>
          <w:highlight w:val="none"/>
          <w:lang w:val="en-US" w:eastAsia="zh-CN"/>
        </w:rPr>
        <w:t>罐。</w:t>
      </w:r>
    </w:p>
    <w:p w14:paraId="4DAA680E">
      <w:pPr>
        <w:pStyle w:val="4"/>
        <w:bidi w:val="0"/>
        <w:rPr>
          <w:highlight w:val="none"/>
        </w:rPr>
      </w:pPr>
      <w:bookmarkStart w:id="570" w:name="_Toc31493"/>
      <w:bookmarkStart w:id="571" w:name="_Toc14961"/>
      <w:r>
        <w:rPr>
          <w:highlight w:val="none"/>
        </w:rPr>
        <w:t>6.3.</w:t>
      </w:r>
      <w:r>
        <w:rPr>
          <w:rFonts w:hint="eastAsia"/>
          <w:highlight w:val="none"/>
        </w:rPr>
        <w:t>4环境风险应急预案</w:t>
      </w:r>
      <w:bookmarkEnd w:id="570"/>
      <w:bookmarkEnd w:id="571"/>
    </w:p>
    <w:p w14:paraId="2DF71C4B">
      <w:pPr>
        <w:bidi w:val="0"/>
        <w:rPr>
          <w:highlight w:val="none"/>
        </w:rPr>
      </w:pPr>
      <w:bookmarkStart w:id="572" w:name="_Toc15871"/>
      <w:r>
        <w:rPr>
          <w:rFonts w:hint="eastAsia"/>
          <w:highlight w:val="none"/>
        </w:rPr>
        <w:t>1、应急预案</w:t>
      </w:r>
      <w:bookmarkEnd w:id="572"/>
    </w:p>
    <w:p w14:paraId="00DEBDAA">
      <w:pPr>
        <w:bidi w:val="0"/>
        <w:rPr>
          <w:rFonts w:hint="eastAsia"/>
          <w:highlight w:val="none"/>
          <w:lang w:val="en-US" w:eastAsia="zh-CN"/>
        </w:rPr>
      </w:pPr>
      <w:r>
        <w:rPr>
          <w:highlight w:val="none"/>
        </w:rPr>
        <w:t>建设单位应根据</w:t>
      </w:r>
      <w:r>
        <w:rPr>
          <w:rFonts w:hint="eastAsia" w:ascii="宋体" w:hAnsi="宋体" w:eastAsia="宋体" w:cs="宋体"/>
          <w:highlight w:val="none"/>
        </w:rPr>
        <w:t>《危险废物经营单位编制应急预案指南》</w:t>
      </w:r>
      <w:r>
        <w:rPr>
          <w:rFonts w:hint="eastAsia" w:ascii="宋体" w:hAnsi="宋体" w:eastAsia="宋体" w:cs="宋体"/>
          <w:highlight w:val="none"/>
          <w:lang w:eastAsia="zh-CN"/>
        </w:rPr>
        <w:t>、</w:t>
      </w:r>
      <w:r>
        <w:rPr>
          <w:highlight w:val="none"/>
        </w:rPr>
        <w:t>《突发事件应急预案管理办法》（国办发〔20</w:t>
      </w:r>
      <w:r>
        <w:rPr>
          <w:rFonts w:hint="eastAsia"/>
          <w:highlight w:val="none"/>
          <w:lang w:val="en-US" w:eastAsia="zh-CN"/>
        </w:rPr>
        <w:t>24</w:t>
      </w:r>
      <w:r>
        <w:rPr>
          <w:highlight w:val="none"/>
        </w:rPr>
        <w:t>〕</w:t>
      </w:r>
      <w:r>
        <w:rPr>
          <w:rFonts w:hint="eastAsia"/>
          <w:highlight w:val="none"/>
          <w:lang w:val="en-US" w:eastAsia="zh-CN"/>
        </w:rPr>
        <w:t>5</w:t>
      </w:r>
      <w:r>
        <w:rPr>
          <w:highlight w:val="none"/>
        </w:rPr>
        <w:t>号）、</w:t>
      </w:r>
      <w:r>
        <w:rPr>
          <w:rFonts w:hint="eastAsia"/>
          <w:highlight w:val="none"/>
          <w:lang w:val="en-US" w:eastAsia="zh-CN"/>
        </w:rPr>
        <w:t>《企业事业单位突发环境事件应急预案备案管理办法（试行）》</w:t>
      </w:r>
      <w:r>
        <w:rPr>
          <w:highlight w:val="none"/>
        </w:rPr>
        <w:t>开展企业突发环境事件应急预案编制工作，</w:t>
      </w:r>
      <w:r>
        <w:rPr>
          <w:rFonts w:hint="eastAsia"/>
          <w:highlight w:val="none"/>
          <w:lang w:val="en-US" w:eastAsia="zh-CN"/>
        </w:rPr>
        <w:t>制订本项目的突发环境事件应急预案并上报当地环保有关部门备案。项目制定的突发环境事件应急预案应包括以下内容：</w:t>
      </w:r>
    </w:p>
    <w:p w14:paraId="7C10AD27">
      <w:pPr>
        <w:bidi w:val="0"/>
        <w:rPr>
          <w:rFonts w:hint="default"/>
          <w:highlight w:val="none"/>
          <w:lang w:val="en-US"/>
        </w:rPr>
      </w:pPr>
      <w:r>
        <w:rPr>
          <w:rFonts w:hint="eastAsia"/>
          <w:highlight w:val="none"/>
          <w:lang w:val="en-US" w:eastAsia="zh-CN"/>
        </w:rPr>
        <w:t>（</w:t>
      </w:r>
      <w:r>
        <w:rPr>
          <w:rFonts w:hint="default"/>
          <w:highlight w:val="none"/>
          <w:lang w:val="en-US" w:eastAsia="zh-CN"/>
        </w:rPr>
        <w:t>1</w:t>
      </w:r>
      <w:r>
        <w:rPr>
          <w:rFonts w:hint="eastAsia"/>
          <w:highlight w:val="none"/>
          <w:lang w:val="en-US" w:eastAsia="zh-CN"/>
        </w:rPr>
        <w:t>）总则。包括编制目的、编制依据、适用范围和工作原则等，做到目的明确、依据合法、范围明确、符合国家有关规定要求和本单位应急工作实际。</w:t>
      </w:r>
    </w:p>
    <w:p w14:paraId="4207DFAE">
      <w:pPr>
        <w:bidi w:val="0"/>
        <w:rPr>
          <w:rFonts w:hint="default"/>
          <w:highlight w:val="none"/>
          <w:lang w:val="en-US"/>
        </w:rPr>
      </w:pPr>
      <w:r>
        <w:rPr>
          <w:rFonts w:hint="eastAsia"/>
          <w:highlight w:val="none"/>
          <w:lang w:val="en-US" w:eastAsia="zh-CN"/>
        </w:rPr>
        <w:t>（</w:t>
      </w:r>
      <w:r>
        <w:rPr>
          <w:rFonts w:hint="default"/>
          <w:highlight w:val="none"/>
          <w:lang w:val="en-US" w:eastAsia="zh-CN"/>
        </w:rPr>
        <w:t>2</w:t>
      </w:r>
      <w:r>
        <w:rPr>
          <w:rFonts w:hint="eastAsia"/>
          <w:highlight w:val="none"/>
          <w:lang w:val="en-US" w:eastAsia="zh-CN"/>
        </w:rPr>
        <w:t>）企业基本情况。本单位的概况、周边环境状况、环境敏感点等，明确有关设施、装置、设备、生产线以及重要目标场所的布局等情况。</w:t>
      </w:r>
    </w:p>
    <w:p w14:paraId="505A602A">
      <w:pPr>
        <w:bidi w:val="0"/>
        <w:rPr>
          <w:rFonts w:hint="default"/>
          <w:highlight w:val="none"/>
          <w:lang w:val="en-US"/>
        </w:rPr>
      </w:pPr>
      <w:r>
        <w:rPr>
          <w:rFonts w:hint="eastAsia"/>
          <w:highlight w:val="none"/>
          <w:lang w:val="en-US" w:eastAsia="zh-CN"/>
        </w:rPr>
        <w:t>（</w:t>
      </w:r>
      <w:r>
        <w:rPr>
          <w:rFonts w:hint="default"/>
          <w:highlight w:val="none"/>
          <w:lang w:val="en-US" w:eastAsia="zh-CN"/>
        </w:rPr>
        <w:t>3</w:t>
      </w:r>
      <w:r>
        <w:rPr>
          <w:rFonts w:hint="eastAsia"/>
          <w:highlight w:val="none"/>
          <w:lang w:val="en-US" w:eastAsia="zh-CN"/>
        </w:rPr>
        <w:t>）本单位环境危险源情况。本单位的环境危险源情况分析，主要包括环境危险源的基本情况以及可能产生的危害后果及严重程度，能够客观分析本单位存在的危险源及危险程度，能够客观分析可能发生的事件特征、主要污染物种类，客观分析可能引发事故的诱因、影响范围及后果。</w:t>
      </w:r>
    </w:p>
    <w:p w14:paraId="79BD787F">
      <w:pPr>
        <w:bidi w:val="0"/>
        <w:rPr>
          <w:rFonts w:hint="default"/>
          <w:highlight w:val="none"/>
          <w:lang w:val="en-US"/>
        </w:rPr>
      </w:pPr>
      <w:r>
        <w:rPr>
          <w:rFonts w:hint="eastAsia"/>
          <w:highlight w:val="none"/>
          <w:lang w:val="en-US" w:eastAsia="zh-CN"/>
        </w:rPr>
        <w:t>（</w:t>
      </w:r>
      <w:r>
        <w:rPr>
          <w:rFonts w:hint="default"/>
          <w:highlight w:val="none"/>
          <w:lang w:val="en-US" w:eastAsia="zh-CN"/>
        </w:rPr>
        <w:t>4</w:t>
      </w:r>
      <w:r>
        <w:rPr>
          <w:rFonts w:hint="eastAsia"/>
          <w:highlight w:val="none"/>
          <w:lang w:val="en-US" w:eastAsia="zh-CN"/>
        </w:rPr>
        <w:t>）应急物资储备情况。针对单位危险源数量和性质应储备的应急物资品名和基本储量等，明确对应急救援所需的物资和装备的要求，应急物资与装备保障符合单位实际，满足应急要求。</w:t>
      </w:r>
    </w:p>
    <w:p w14:paraId="6D66C57A">
      <w:pPr>
        <w:bidi w:val="0"/>
        <w:rPr>
          <w:rFonts w:hint="default"/>
          <w:highlight w:val="none"/>
          <w:lang w:val="en-US"/>
        </w:rPr>
      </w:pPr>
      <w:r>
        <w:rPr>
          <w:rFonts w:hint="eastAsia"/>
          <w:highlight w:val="none"/>
          <w:lang w:val="en-US" w:eastAsia="zh-CN"/>
        </w:rPr>
        <w:t>（</w:t>
      </w:r>
      <w:r>
        <w:rPr>
          <w:rFonts w:hint="default"/>
          <w:highlight w:val="none"/>
          <w:lang w:val="en-US" w:eastAsia="zh-CN"/>
        </w:rPr>
        <w:t>5</w:t>
      </w:r>
      <w:r>
        <w:rPr>
          <w:rFonts w:hint="eastAsia"/>
          <w:highlight w:val="none"/>
          <w:lang w:val="en-US" w:eastAsia="zh-CN"/>
        </w:rPr>
        <w:t>）应急组织指挥体系与职责。包括领导机构、工作机构、地方机构或者现场指挥机构、环境应急专家组等，能够清晰描述本单位的应急组织体系，明确应急组织成员日常及应急状态下的工作职责，各应急救援小组设置合理，应急工作明确。</w:t>
      </w:r>
    </w:p>
    <w:p w14:paraId="0B4AAEAF">
      <w:pPr>
        <w:bidi w:val="0"/>
        <w:rPr>
          <w:rFonts w:hint="default"/>
          <w:highlight w:val="none"/>
          <w:lang w:val="en-US"/>
        </w:rPr>
      </w:pPr>
      <w:r>
        <w:rPr>
          <w:rFonts w:hint="eastAsia"/>
          <w:highlight w:val="none"/>
          <w:lang w:val="en-US" w:eastAsia="zh-CN"/>
        </w:rPr>
        <w:t>（</w:t>
      </w:r>
      <w:r>
        <w:rPr>
          <w:rFonts w:hint="default"/>
          <w:highlight w:val="none"/>
          <w:lang w:val="en-US" w:eastAsia="zh-CN"/>
        </w:rPr>
        <w:t>6</w:t>
      </w:r>
      <w:r>
        <w:rPr>
          <w:rFonts w:hint="eastAsia"/>
          <w:highlight w:val="none"/>
          <w:lang w:val="en-US" w:eastAsia="zh-CN"/>
        </w:rPr>
        <w:t>）预防与预警机制。包括应急准备措施、环境风险隐患排查和整治措施、预警分级指标、预警发布或者解除程序、预警相应措施等，明确预防和管理措施，明确隐患排查和整治措施，明确预警信息发布的方式、内容和流程，预警级别与采取的预警措施科学合理。</w:t>
      </w:r>
    </w:p>
    <w:p w14:paraId="55F84EE5">
      <w:pPr>
        <w:bidi w:val="0"/>
        <w:rPr>
          <w:rFonts w:hint="default"/>
          <w:highlight w:val="none"/>
          <w:lang w:val="en-US"/>
        </w:rPr>
      </w:pPr>
      <w:r>
        <w:rPr>
          <w:rFonts w:hint="eastAsia"/>
          <w:highlight w:val="none"/>
          <w:lang w:val="en-US" w:eastAsia="zh-CN"/>
        </w:rPr>
        <w:t>（</w:t>
      </w:r>
      <w:r>
        <w:rPr>
          <w:rFonts w:hint="default"/>
          <w:highlight w:val="none"/>
          <w:lang w:val="en-US" w:eastAsia="zh-CN"/>
        </w:rPr>
        <w:t>7</w:t>
      </w:r>
      <w:r>
        <w:rPr>
          <w:rFonts w:hint="eastAsia"/>
          <w:highlight w:val="none"/>
          <w:lang w:val="en-US" w:eastAsia="zh-CN"/>
        </w:rPr>
        <w:t>）应急处置。包括应急预案启动条件、信息报告、先期处置、分级响应、指挥与协调、信息发布、应急终止等程序和措施等。</w:t>
      </w:r>
    </w:p>
    <w:p w14:paraId="0C1F0F1C">
      <w:pPr>
        <w:bidi w:val="0"/>
        <w:rPr>
          <w:rFonts w:hint="default"/>
          <w:highlight w:val="none"/>
          <w:lang w:val="en-US"/>
        </w:rPr>
      </w:pPr>
      <w:r>
        <w:rPr>
          <w:rFonts w:hint="eastAsia"/>
          <w:highlight w:val="none"/>
          <w:lang w:val="en-US" w:eastAsia="zh-CN"/>
        </w:rPr>
        <w:t>（</w:t>
      </w:r>
      <w:r>
        <w:rPr>
          <w:rFonts w:hint="default"/>
          <w:highlight w:val="none"/>
          <w:lang w:val="en-US" w:eastAsia="zh-CN"/>
        </w:rPr>
        <w:t>8</w:t>
      </w:r>
      <w:r>
        <w:rPr>
          <w:rFonts w:hint="eastAsia"/>
          <w:highlight w:val="none"/>
          <w:lang w:val="en-US" w:eastAsia="zh-CN"/>
        </w:rPr>
        <w:t>）后期处置。包括善后处置、调查与评估、恢复重建等，明确事故发生后，污染物处理、善后处置、应急处置能力评估及应急预案的修订等要求。</w:t>
      </w:r>
    </w:p>
    <w:p w14:paraId="47C20013">
      <w:pPr>
        <w:bidi w:val="0"/>
        <w:rPr>
          <w:rFonts w:hint="default"/>
          <w:highlight w:val="none"/>
          <w:lang w:val="en-US"/>
        </w:rPr>
      </w:pPr>
      <w:r>
        <w:rPr>
          <w:rFonts w:hint="eastAsia"/>
          <w:highlight w:val="none"/>
          <w:lang w:val="en-US" w:eastAsia="zh-CN"/>
        </w:rPr>
        <w:t>（</w:t>
      </w:r>
      <w:r>
        <w:rPr>
          <w:rFonts w:hint="default"/>
          <w:highlight w:val="none"/>
          <w:lang w:val="en-US" w:eastAsia="zh-CN"/>
        </w:rPr>
        <w:t>9</w:t>
      </w:r>
      <w:r>
        <w:rPr>
          <w:rFonts w:hint="eastAsia"/>
          <w:highlight w:val="none"/>
          <w:lang w:val="en-US" w:eastAsia="zh-CN"/>
        </w:rPr>
        <w:t>）应急保障。包括人力资源保障、财力保障、物资保障、医疗卫生保障、交通运输保障、通信保障、科技支撑等，明确上述各类保障措施。</w:t>
      </w:r>
    </w:p>
    <w:p w14:paraId="3A336831">
      <w:pPr>
        <w:bidi w:val="0"/>
        <w:rPr>
          <w:rFonts w:hint="default"/>
          <w:highlight w:val="none"/>
          <w:lang w:val="en-US"/>
        </w:rPr>
      </w:pPr>
      <w:r>
        <w:rPr>
          <w:rFonts w:hint="eastAsia"/>
          <w:highlight w:val="none"/>
          <w:lang w:val="en-US" w:eastAsia="zh-CN"/>
        </w:rPr>
        <w:t>（</w:t>
      </w:r>
      <w:r>
        <w:rPr>
          <w:rFonts w:hint="default"/>
          <w:highlight w:val="none"/>
          <w:lang w:val="en-US" w:eastAsia="zh-CN"/>
        </w:rPr>
        <w:t>10</w:t>
      </w:r>
      <w:r>
        <w:rPr>
          <w:rFonts w:hint="eastAsia"/>
          <w:highlight w:val="none"/>
          <w:lang w:val="en-US" w:eastAsia="zh-CN"/>
        </w:rPr>
        <w:t>）监督管理。包括应急预案演练、宣教培训、责任与奖惩等，明确本单位开展应急管理培训的计划和方式方法；如果应急预案涉及周边社区和居民，应明确相应的应急宣传教育工作；明确应急演练的方式、频次、范围、内容、组织、评估、总结等内容；明确各类奖惩制度。</w:t>
      </w:r>
    </w:p>
    <w:p w14:paraId="7F357391">
      <w:pPr>
        <w:bidi w:val="0"/>
        <w:rPr>
          <w:rFonts w:hint="default"/>
          <w:highlight w:val="none"/>
          <w:lang w:val="en-US"/>
        </w:rPr>
      </w:pPr>
      <w:r>
        <w:rPr>
          <w:rFonts w:hint="eastAsia"/>
          <w:highlight w:val="none"/>
          <w:lang w:val="en-US" w:eastAsia="zh-CN"/>
        </w:rPr>
        <w:t>（</w:t>
      </w:r>
      <w:r>
        <w:rPr>
          <w:rFonts w:hint="default"/>
          <w:highlight w:val="none"/>
          <w:lang w:val="en-US" w:eastAsia="zh-CN"/>
        </w:rPr>
        <w:t>11</w:t>
      </w:r>
      <w:r>
        <w:rPr>
          <w:rFonts w:hint="eastAsia"/>
          <w:highlight w:val="none"/>
          <w:lang w:val="en-US" w:eastAsia="zh-CN"/>
        </w:rPr>
        <w:t>）附则。包括名词术语、预案解释、修订情况和实施日期等，对预案中用到的术语进行解释，明确预案的解释单位，说明预案修订情况，明确实施日期。</w:t>
      </w:r>
    </w:p>
    <w:p w14:paraId="122A311E">
      <w:pPr>
        <w:bidi w:val="0"/>
        <w:rPr>
          <w:rFonts w:hint="default"/>
          <w:highlight w:val="none"/>
          <w:lang w:val="en-US"/>
        </w:rPr>
      </w:pPr>
      <w:r>
        <w:rPr>
          <w:rFonts w:hint="eastAsia"/>
          <w:highlight w:val="none"/>
          <w:lang w:val="en-US" w:eastAsia="zh-CN"/>
        </w:rPr>
        <w:t>（</w:t>
      </w:r>
      <w:r>
        <w:rPr>
          <w:rFonts w:hint="default"/>
          <w:highlight w:val="none"/>
          <w:lang w:val="en-US" w:eastAsia="zh-CN"/>
        </w:rPr>
        <w:t>12</w:t>
      </w:r>
      <w:r>
        <w:rPr>
          <w:rFonts w:hint="eastAsia"/>
          <w:highlight w:val="none"/>
          <w:lang w:val="en-US" w:eastAsia="zh-CN"/>
        </w:rPr>
        <w:t>）附件。包括相关单位和人员通讯录、标准化格式文本、工作流程图、应急物资储备清单等，通讯录应列出所有参与应急指挥、协调人员姓名、所在部门、职务和联系电话，并保证准确有效；给出信息接报、处理、上报等规范化格式文本，要求规范、清晰、简洁；明确工作流程，关键的路线、标识和图纸等；以表格形式列出应急装备、设施和器材清单，清单应当包括种类、名称、数量以及存放位置、规格、性能、用途和用法等信息。</w:t>
      </w:r>
    </w:p>
    <w:p w14:paraId="4449E1B4">
      <w:pPr>
        <w:bidi w:val="0"/>
        <w:rPr>
          <w:highlight w:val="none"/>
        </w:rPr>
      </w:pPr>
      <w:bookmarkStart w:id="573" w:name="_Toc13836"/>
      <w:r>
        <w:rPr>
          <w:rFonts w:hint="eastAsia"/>
          <w:highlight w:val="none"/>
        </w:rPr>
        <w:t>2、区域应急预案联动方案</w:t>
      </w:r>
      <w:bookmarkEnd w:id="573"/>
    </w:p>
    <w:p w14:paraId="425E8DDD">
      <w:pPr>
        <w:bidi w:val="0"/>
        <w:rPr>
          <w:highlight w:val="none"/>
        </w:rPr>
      </w:pPr>
      <w:r>
        <w:rPr>
          <w:highlight w:val="none"/>
        </w:rPr>
        <w:t>企业环境应急预案和</w:t>
      </w:r>
      <w:r>
        <w:rPr>
          <w:rFonts w:hint="eastAsia"/>
          <w:highlight w:val="none"/>
        </w:rPr>
        <w:t>平房区</w:t>
      </w:r>
      <w:r>
        <w:rPr>
          <w:highlight w:val="none"/>
        </w:rPr>
        <w:t>、市级环境应急预案应有效</w:t>
      </w:r>
      <w:r>
        <w:rPr>
          <w:rFonts w:hint="eastAsia"/>
          <w:highlight w:val="none"/>
          <w:lang w:eastAsia="zh-CN"/>
        </w:rPr>
        <w:t>地</w:t>
      </w:r>
      <w:r>
        <w:rPr>
          <w:highlight w:val="none"/>
        </w:rPr>
        <w:t>衔接和联动。特别重大或者重大突发事故发生后，要立即报告，同时通报有关地区和部门。应急处置过程中，要及时续报有关情况。</w:t>
      </w:r>
    </w:p>
    <w:p w14:paraId="01869E8A">
      <w:pPr>
        <w:bidi w:val="0"/>
        <w:rPr>
          <w:highlight w:val="none"/>
        </w:rPr>
      </w:pPr>
      <w:r>
        <w:rPr>
          <w:rFonts w:hint="eastAsia"/>
          <w:highlight w:val="none"/>
        </w:rPr>
        <w:t>①</w:t>
      </w:r>
      <w:r>
        <w:rPr>
          <w:highlight w:val="none"/>
        </w:rPr>
        <w:t>在风险事故发生后，企业启动应急预案的同时，依据市政府、园区的应急预案，判定风险事故等级，并进行风险公告；</w:t>
      </w:r>
    </w:p>
    <w:p w14:paraId="3FB5967E">
      <w:pPr>
        <w:bidi w:val="0"/>
        <w:rPr>
          <w:highlight w:val="none"/>
        </w:rPr>
      </w:pPr>
      <w:r>
        <w:rPr>
          <w:rFonts w:hint="eastAsia"/>
          <w:highlight w:val="none"/>
        </w:rPr>
        <w:t>②</w:t>
      </w:r>
      <w:r>
        <w:rPr>
          <w:highlight w:val="none"/>
        </w:rPr>
        <w:t>与市政府、园区应急预案进行融合，在区域应急预案启动后，企业应急预案各级部门应服从统一安排和调遣，避免在预案启动执行过程中，发生组织混乱、人员职责分配紊乱现象；</w:t>
      </w:r>
    </w:p>
    <w:p w14:paraId="61DFF5F4">
      <w:pPr>
        <w:bidi w:val="0"/>
        <w:rPr>
          <w:highlight w:val="none"/>
        </w:rPr>
      </w:pPr>
      <w:r>
        <w:rPr>
          <w:rFonts w:hint="eastAsia"/>
          <w:highlight w:val="none"/>
        </w:rPr>
        <w:t>③</w:t>
      </w:r>
      <w:r>
        <w:rPr>
          <w:highlight w:val="none"/>
        </w:rPr>
        <w:t>在区域应急预案与企业预案需同时执行的情况下，企业预案应在不扰乱区域应急预案的前提下进行，并对区域预案有辅助作用；</w:t>
      </w:r>
    </w:p>
    <w:p w14:paraId="57248FD2">
      <w:pPr>
        <w:bidi w:val="0"/>
        <w:rPr>
          <w:highlight w:val="none"/>
        </w:rPr>
      </w:pPr>
      <w:r>
        <w:rPr>
          <w:rFonts w:hint="eastAsia"/>
          <w:highlight w:val="none"/>
        </w:rPr>
        <w:t>④</w:t>
      </w:r>
      <w:r>
        <w:rPr>
          <w:highlight w:val="none"/>
        </w:rPr>
        <w:t>上报企业应急预案，由地区有关部门进行审查，并纳入地区应急预案执行程序中的分预案，由地区应急预案执行部门统一演习训练；</w:t>
      </w:r>
    </w:p>
    <w:p w14:paraId="54F146BE">
      <w:pPr>
        <w:bidi w:val="0"/>
        <w:rPr>
          <w:highlight w:val="none"/>
        </w:rPr>
      </w:pPr>
      <w:r>
        <w:rPr>
          <w:rFonts w:hint="eastAsia"/>
          <w:highlight w:val="none"/>
        </w:rPr>
        <w:t>⑤</w:t>
      </w:r>
      <w:r>
        <w:rPr>
          <w:highlight w:val="none"/>
        </w:rPr>
        <w:t>具体衔接操作（需启动地区环境应急预案的风险事故预案）：</w:t>
      </w:r>
    </w:p>
    <w:p w14:paraId="75FCE4AD">
      <w:pPr>
        <w:bidi w:val="0"/>
        <w:rPr>
          <w:highlight w:val="none"/>
        </w:rPr>
      </w:pPr>
      <w:r>
        <w:rPr>
          <w:highlight w:val="none"/>
        </w:rPr>
        <w:t>事故发生后，企业应及时向上级部门、政府反馈事故信息，要求启动区域环境风险应急预案，并选取对事故较为了解的小组成员作为区域环境应急预案执行过程中的技术指导；</w:t>
      </w:r>
    </w:p>
    <w:p w14:paraId="5FEA9E21">
      <w:pPr>
        <w:bidi w:val="0"/>
        <w:rPr>
          <w:highlight w:val="none"/>
        </w:rPr>
      </w:pPr>
      <w:r>
        <w:rPr>
          <w:highlight w:val="none"/>
        </w:rPr>
        <w:t>企业内部应急程序启动，并将各独立功能组织分配到地区应急程序中，进行有机组合、成员和物资的合理分工，以实现两项应急程序和谐执行；</w:t>
      </w:r>
    </w:p>
    <w:p w14:paraId="7FB534A0">
      <w:pPr>
        <w:bidi w:val="0"/>
        <w:rPr>
          <w:highlight w:val="none"/>
        </w:rPr>
      </w:pPr>
      <w:r>
        <w:rPr>
          <w:rFonts w:hint="eastAsia"/>
          <w:highlight w:val="none"/>
          <w:lang w:eastAsia="zh-CN"/>
        </w:rPr>
        <w:t>场区应急</w:t>
      </w:r>
      <w:r>
        <w:rPr>
          <w:highlight w:val="none"/>
        </w:rPr>
        <w:t>程序执行目的在于保护区域范围内的人员、环境安全，保证风险事故影响控制在区域最小范围内，从而对保护范围外的环境起到间接保护作用；企业应急预案执行目的在于保护企业内部人员的安全、确保风险事故的环境影响不扩张到企业外界环境。为减少环境风险事故对外环境的影响。企业内部的应急程序应成为地区环境风险事故应急预案的起点，地区应急预案应以首先确保企业内部应急预案执行程序顺利进行为前提，风险事故发生后，应以控制其影响不超出企业范围为基本目的，两项应急程序相互配合，并以企业应急预案为主，地区应急预案为辅；</w:t>
      </w:r>
    </w:p>
    <w:p w14:paraId="39762857">
      <w:pPr>
        <w:bidi w:val="0"/>
        <w:rPr>
          <w:highlight w:val="none"/>
        </w:rPr>
      </w:pPr>
      <w:r>
        <w:rPr>
          <w:highlight w:val="none"/>
        </w:rPr>
        <w:t>在风险事故发生后，事故影响已跨越企业范围，影响到外部环境，此时应以地区风险事故应急预案为主，其目的在于确保企业事故影响不会扩大，保护区域环境少受影响；</w:t>
      </w:r>
      <w:r>
        <w:rPr>
          <w:rFonts w:hint="eastAsia" w:ascii="宋体" w:hAnsi="宋体" w:eastAsia="宋体" w:cs="宋体"/>
          <w:highlight w:val="none"/>
        </w:rPr>
        <w:t>企业一旦发生重大事故，本单位抢险抢救力量不足或有可能危及社会安全时，指挥部必须立即向上级和友邻单位通报，必要时请求社会力量援助。社会援助队伍进入厂区时，指挥部应责成专人联络、引导并告知安全注意事项。</w:t>
      </w:r>
    </w:p>
    <w:p w14:paraId="28A8389A">
      <w:pPr>
        <w:bidi w:val="0"/>
        <w:rPr>
          <w:highlight w:val="none"/>
        </w:rPr>
      </w:pPr>
      <w:r>
        <w:rPr>
          <w:rFonts w:hint="eastAsia"/>
          <w:highlight w:val="none"/>
          <w:lang w:eastAsia="zh-CN"/>
        </w:rPr>
        <w:t>哈尔滨东安汽车发动机制造有限公司</w:t>
      </w:r>
      <w:r>
        <w:rPr>
          <w:highlight w:val="none"/>
        </w:rPr>
        <w:t>与当地政府、邻近企业建立定期交流机制，充分发挥信息互通、资源共享的区域联防优势，提高应急响应效率，有效控制环境事件的扩大。</w:t>
      </w:r>
    </w:p>
    <w:p w14:paraId="4C182C53">
      <w:pPr>
        <w:numPr>
          <w:ilvl w:val="0"/>
          <w:numId w:val="13"/>
        </w:numPr>
        <w:bidi w:val="0"/>
        <w:rPr>
          <w:rFonts w:hint="eastAsia"/>
          <w:highlight w:val="none"/>
          <w:lang w:val="en-US" w:eastAsia="zh-CN"/>
        </w:rPr>
      </w:pPr>
      <w:r>
        <w:rPr>
          <w:rFonts w:hint="eastAsia"/>
          <w:highlight w:val="none"/>
          <w:lang w:val="en-US" w:eastAsia="zh-CN"/>
        </w:rPr>
        <w:t>应急响应</w:t>
      </w:r>
    </w:p>
    <w:p w14:paraId="00F2C892">
      <w:pPr>
        <w:keepNext w:val="0"/>
        <w:keepLines w:val="0"/>
        <w:pageBreakBefore w:val="0"/>
        <w:widowControl w:val="0"/>
        <w:numPr>
          <w:ilvl w:val="0"/>
          <w:numId w:val="0"/>
        </w:numPr>
        <w:kinsoku/>
        <w:wordWrap w:val="0"/>
        <w:overflowPunct/>
        <w:topLinePunct w:val="0"/>
        <w:autoSpaceDE/>
        <w:autoSpaceDN/>
        <w:bidi w:val="0"/>
        <w:adjustRightInd w:val="0"/>
        <w:snapToGrid w:val="0"/>
        <w:ind w:leftChars="0" w:firstLine="480" w:firstLineChars="200"/>
        <w:textAlignment w:val="auto"/>
        <w:rPr>
          <w:rFonts w:hint="eastAsia"/>
          <w:highlight w:val="none"/>
          <w:lang w:val="en-GB" w:eastAsia="zh-CN"/>
        </w:rPr>
      </w:pPr>
      <w:r>
        <w:rPr>
          <w:highlight w:val="none"/>
          <w:lang w:val="en-GB"/>
        </w:rPr>
        <w:t>根据突发环境事件的发展态势、紧急程度和可能造成的危害程度，结合企业自身应急响应能力等，建立应急响应机制，并配以应急响应流程图。一般情况下，企业突发环境事件应急响应可分为两种情况，一是接到报警时生产安全等事故未发生，可以通过发布预警采取预警行动予以应对，根据事态发展调整或解除预警；二是接到报警时生产安全等事故已发生，需要立即采取应急处置措施</w:t>
      </w:r>
      <w:r>
        <w:rPr>
          <w:rFonts w:hint="eastAsia"/>
          <w:highlight w:val="none"/>
          <w:lang w:val="en-GB" w:eastAsia="zh-CN"/>
        </w:rPr>
        <w:t>。</w:t>
      </w:r>
      <w:r>
        <w:rPr>
          <w:rFonts w:ascii="Times New Roman" w:hAnsi="Times New Roman" w:cs="Times New Roman"/>
          <w:color w:val="auto"/>
          <w:sz w:val="24"/>
          <w:szCs w:val="24"/>
          <w:highlight w:val="none"/>
          <w:lang w:val="en-GB"/>
        </w:rPr>
        <w:t>应急响应流程如图</w:t>
      </w:r>
      <w:r>
        <w:rPr>
          <w:rFonts w:hint="eastAsia" w:ascii="Times New Roman" w:hAnsi="Times New Roman" w:cs="Times New Roman"/>
          <w:color w:val="auto"/>
          <w:sz w:val="24"/>
          <w:szCs w:val="24"/>
          <w:highlight w:val="none"/>
        </w:rPr>
        <w:t>6</w:t>
      </w:r>
      <w:r>
        <w:rPr>
          <w:rFonts w:hint="eastAsia" w:ascii="Times New Roman" w:hAnsi="Times New Roman" w:cs="Times New Roman"/>
          <w:color w:val="auto"/>
          <w:sz w:val="24"/>
          <w:szCs w:val="24"/>
          <w:highlight w:val="none"/>
          <w:lang w:val="en-US" w:eastAsia="zh-CN"/>
        </w:rPr>
        <w:t>-3</w:t>
      </w:r>
      <w:r>
        <w:rPr>
          <w:rFonts w:hint="eastAsia" w:ascii="Times New Roman" w:hAnsi="Times New Roman" w:cs="Times New Roman"/>
          <w:color w:val="auto"/>
          <w:sz w:val="24"/>
          <w:szCs w:val="24"/>
          <w:highlight w:val="none"/>
        </w:rPr>
        <w:t>-1</w:t>
      </w:r>
      <w:r>
        <w:rPr>
          <w:rFonts w:ascii="Times New Roman" w:hAnsi="Times New Roman" w:cs="Times New Roman"/>
          <w:color w:val="auto"/>
          <w:sz w:val="24"/>
          <w:szCs w:val="24"/>
          <w:highlight w:val="none"/>
          <w:lang w:val="en-GB"/>
        </w:rPr>
        <w:t>所示。企业应结合自身实际情况参考执行</w:t>
      </w:r>
    </w:p>
    <w:p w14:paraId="0BBB0F8C">
      <w:pPr>
        <w:bidi w:val="0"/>
        <w:jc w:val="center"/>
        <w:rPr>
          <w:rFonts w:hint="eastAsia"/>
          <w:highlight w:val="none"/>
          <w:lang w:val="en-US" w:eastAsia="zh-CN"/>
        </w:rPr>
      </w:pPr>
      <w:r>
        <w:rPr>
          <w:highlight w:val="none"/>
        </w:rPr>
        <w:drawing>
          <wp:inline distT="0" distB="0" distL="114300" distR="114300">
            <wp:extent cx="3735705" cy="4791075"/>
            <wp:effectExtent l="0" t="0" r="17145" b="9525"/>
            <wp:docPr id="9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7"/>
                    <pic:cNvPicPr>
                      <a:picLocks noChangeAspect="1"/>
                    </pic:cNvPicPr>
                  </pic:nvPicPr>
                  <pic:blipFill>
                    <a:blip r:embed="rId115"/>
                    <a:stretch>
                      <a:fillRect/>
                    </a:stretch>
                  </pic:blipFill>
                  <pic:spPr>
                    <a:xfrm>
                      <a:off x="0" y="0"/>
                      <a:ext cx="3735705" cy="4791075"/>
                    </a:xfrm>
                    <a:prstGeom prst="rect">
                      <a:avLst/>
                    </a:prstGeom>
                    <a:noFill/>
                    <a:ln>
                      <a:noFill/>
                    </a:ln>
                  </pic:spPr>
                </pic:pic>
              </a:graphicData>
            </a:graphic>
          </wp:inline>
        </w:drawing>
      </w:r>
    </w:p>
    <w:p w14:paraId="004E1419">
      <w:pPr>
        <w:pStyle w:val="7"/>
        <w:bidi w:val="0"/>
        <w:rPr>
          <w:rFonts w:hint="default"/>
          <w:highlight w:val="none"/>
          <w:lang w:val="en-US" w:eastAsia="zh-CN"/>
        </w:rPr>
      </w:pPr>
      <w:r>
        <w:rPr>
          <w:rFonts w:hint="eastAsia"/>
          <w:highlight w:val="none"/>
          <w:lang w:val="en-US" w:eastAsia="zh-CN"/>
        </w:rPr>
        <w:t>图6-3-1应急响应流程图</w:t>
      </w:r>
    </w:p>
    <w:p w14:paraId="7A89A6D2">
      <w:pPr>
        <w:bidi w:val="0"/>
        <w:rPr>
          <w:highlight w:val="none"/>
        </w:rPr>
      </w:pPr>
      <w:r>
        <w:rPr>
          <w:highlight w:val="none"/>
        </w:rPr>
        <w:t>按照《国家突发环境事件应急预案》、黑龙江省</w:t>
      </w:r>
      <w:r>
        <w:rPr>
          <w:rFonts w:hint="eastAsia"/>
          <w:highlight w:val="none"/>
        </w:rPr>
        <w:t>哈尔滨</w:t>
      </w:r>
      <w:r>
        <w:rPr>
          <w:highlight w:val="none"/>
        </w:rPr>
        <w:t>市人民政府各级预案的相关规定，当规划区发生的突发环境事故超出规划区的应急处置能力和范围时，立即按规定报告当地政府，请求支援，并接受政府的应急指挥机构指挥，积极参加应急救援行动。</w:t>
      </w:r>
    </w:p>
    <w:p w14:paraId="01F14B2C">
      <w:pPr>
        <w:pStyle w:val="3"/>
        <w:bidi w:val="0"/>
        <w:rPr>
          <w:highlight w:val="none"/>
        </w:rPr>
      </w:pPr>
      <w:bookmarkStart w:id="574" w:name="_Toc14889"/>
      <w:bookmarkStart w:id="575" w:name="_Toc13981"/>
      <w:bookmarkStart w:id="576" w:name="_Toc28007"/>
      <w:r>
        <w:rPr>
          <w:highlight w:val="none"/>
        </w:rPr>
        <w:t>6.4环境保护投资</w:t>
      </w:r>
      <w:bookmarkEnd w:id="574"/>
      <w:bookmarkEnd w:id="575"/>
      <w:bookmarkEnd w:id="576"/>
    </w:p>
    <w:p w14:paraId="43ECC069">
      <w:pPr>
        <w:spacing w:line="360" w:lineRule="auto"/>
        <w:ind w:firstLine="480" w:firstLineChars="200"/>
        <w:contextualSpacing/>
        <w:rPr>
          <w:rFonts w:eastAsiaTheme="minorEastAsia"/>
          <w:snapToGrid w:val="0"/>
          <w:kern w:val="0"/>
          <w:sz w:val="24"/>
          <w:highlight w:val="none"/>
        </w:rPr>
      </w:pPr>
      <w:r>
        <w:rPr>
          <w:rFonts w:hAnsiTheme="minorEastAsia" w:eastAsiaTheme="minorEastAsia"/>
          <w:snapToGrid w:val="0"/>
          <w:kern w:val="0"/>
          <w:sz w:val="24"/>
          <w:highlight w:val="none"/>
        </w:rPr>
        <w:t>环保投资比按下式计算：</w:t>
      </w:r>
    </w:p>
    <w:p w14:paraId="64034D8A">
      <w:pPr>
        <w:jc w:val="center"/>
        <w:rPr>
          <w:rFonts w:eastAsiaTheme="minorEastAsia"/>
          <w:snapToGrid w:val="0"/>
          <w:kern w:val="0"/>
          <w:sz w:val="24"/>
          <w:highlight w:val="none"/>
        </w:rPr>
      </w:pPr>
      <w:r>
        <w:rPr>
          <w:rFonts w:eastAsiaTheme="minorEastAsia"/>
          <w:kern w:val="0"/>
          <w:sz w:val="24"/>
          <w:highlight w:val="none"/>
        </w:rPr>
        <w:drawing>
          <wp:inline distT="0" distB="0" distL="0" distR="0">
            <wp:extent cx="1132840" cy="409575"/>
            <wp:effectExtent l="19050" t="0" r="0" b="0"/>
            <wp:docPr id="675"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图片 151"/>
                    <pic:cNvPicPr>
                      <a:picLocks noChangeAspect="1" noChangeArrowheads="1"/>
                    </pic:cNvPicPr>
                  </pic:nvPicPr>
                  <pic:blipFill>
                    <a:blip r:embed="rId116" cstate="print"/>
                    <a:srcRect/>
                    <a:stretch>
                      <a:fillRect/>
                    </a:stretch>
                  </pic:blipFill>
                  <pic:spPr>
                    <a:xfrm>
                      <a:off x="0" y="0"/>
                      <a:ext cx="1132840" cy="409575"/>
                    </a:xfrm>
                    <a:prstGeom prst="rect">
                      <a:avLst/>
                    </a:prstGeom>
                    <a:noFill/>
                    <a:ln w="9525">
                      <a:noFill/>
                      <a:miter lim="800000"/>
                      <a:headEnd/>
                      <a:tailEnd/>
                    </a:ln>
                  </pic:spPr>
                </pic:pic>
              </a:graphicData>
            </a:graphic>
          </wp:inline>
        </w:drawing>
      </w:r>
    </w:p>
    <w:p w14:paraId="07BCEFE2">
      <w:pPr>
        <w:spacing w:line="360" w:lineRule="auto"/>
        <w:rPr>
          <w:rFonts w:eastAsiaTheme="minorEastAsia"/>
          <w:snapToGrid w:val="0"/>
          <w:kern w:val="0"/>
          <w:sz w:val="24"/>
          <w:highlight w:val="none"/>
        </w:rPr>
      </w:pPr>
      <w:r>
        <w:rPr>
          <w:rFonts w:hAnsiTheme="minorEastAsia" w:eastAsiaTheme="minorEastAsia"/>
          <w:snapToGrid w:val="0"/>
          <w:kern w:val="0"/>
          <w:sz w:val="24"/>
          <w:highlight w:val="none"/>
        </w:rPr>
        <w:t>式中：</w:t>
      </w:r>
      <w:r>
        <w:rPr>
          <w:rFonts w:eastAsiaTheme="minorEastAsia"/>
          <w:i/>
          <w:snapToGrid w:val="0"/>
          <w:kern w:val="0"/>
          <w:sz w:val="24"/>
          <w:highlight w:val="none"/>
        </w:rPr>
        <w:t>HJ</w:t>
      </w:r>
      <w:r>
        <w:rPr>
          <w:rFonts w:eastAsiaTheme="minorEastAsia"/>
          <w:snapToGrid w:val="0"/>
          <w:kern w:val="0"/>
          <w:sz w:val="24"/>
          <w:highlight w:val="none"/>
        </w:rPr>
        <w:t>—</w:t>
      </w:r>
      <w:r>
        <w:rPr>
          <w:rFonts w:hAnsiTheme="minorEastAsia" w:eastAsiaTheme="minorEastAsia"/>
          <w:snapToGrid w:val="0"/>
          <w:kern w:val="0"/>
          <w:sz w:val="24"/>
          <w:highlight w:val="none"/>
        </w:rPr>
        <w:t>环保费用投资比，</w:t>
      </w:r>
      <w:r>
        <w:rPr>
          <w:rFonts w:eastAsiaTheme="minorEastAsia"/>
          <w:snapToGrid w:val="0"/>
          <w:kern w:val="0"/>
          <w:sz w:val="24"/>
          <w:highlight w:val="none"/>
        </w:rPr>
        <w:t>100</w:t>
      </w:r>
      <w:r>
        <w:rPr>
          <w:rFonts w:hAnsiTheme="minorEastAsia" w:eastAsiaTheme="minorEastAsia"/>
          <w:snapToGrid w:val="0"/>
          <w:kern w:val="0"/>
          <w:sz w:val="24"/>
          <w:highlight w:val="none"/>
        </w:rPr>
        <w:t>％；</w:t>
      </w:r>
    </w:p>
    <w:p w14:paraId="48024065">
      <w:pPr>
        <w:spacing w:line="360" w:lineRule="auto"/>
        <w:rPr>
          <w:rFonts w:eastAsiaTheme="minorEastAsia"/>
          <w:snapToGrid w:val="0"/>
          <w:kern w:val="0"/>
          <w:sz w:val="24"/>
          <w:highlight w:val="none"/>
        </w:rPr>
      </w:pPr>
      <w:r>
        <w:rPr>
          <w:rFonts w:eastAsiaTheme="minorEastAsia"/>
          <w:i/>
          <w:snapToGrid w:val="0"/>
          <w:kern w:val="0"/>
          <w:sz w:val="24"/>
          <w:highlight w:val="none"/>
        </w:rPr>
        <w:t>HT</w:t>
      </w:r>
      <w:r>
        <w:rPr>
          <w:rFonts w:eastAsiaTheme="minorEastAsia"/>
          <w:snapToGrid w:val="0"/>
          <w:kern w:val="0"/>
          <w:sz w:val="24"/>
          <w:highlight w:val="none"/>
        </w:rPr>
        <w:t>—</w:t>
      </w:r>
      <w:r>
        <w:rPr>
          <w:rFonts w:hAnsiTheme="minorEastAsia" w:eastAsiaTheme="minorEastAsia"/>
          <w:snapToGrid w:val="0"/>
          <w:kern w:val="0"/>
          <w:sz w:val="24"/>
          <w:highlight w:val="none"/>
        </w:rPr>
        <w:t>环保投资，万元；</w:t>
      </w:r>
    </w:p>
    <w:p w14:paraId="6D3D6D55">
      <w:pPr>
        <w:spacing w:line="360" w:lineRule="auto"/>
        <w:rPr>
          <w:rFonts w:eastAsiaTheme="minorEastAsia"/>
          <w:snapToGrid w:val="0"/>
          <w:kern w:val="0"/>
          <w:sz w:val="24"/>
          <w:highlight w:val="none"/>
        </w:rPr>
      </w:pPr>
      <w:r>
        <w:rPr>
          <w:rFonts w:eastAsiaTheme="minorEastAsia"/>
          <w:i/>
          <w:snapToGrid w:val="0"/>
          <w:kern w:val="0"/>
          <w:sz w:val="24"/>
          <w:highlight w:val="none"/>
        </w:rPr>
        <w:t>JI</w:t>
      </w:r>
      <w:r>
        <w:rPr>
          <w:rFonts w:eastAsiaTheme="minorEastAsia"/>
          <w:snapToGrid w:val="0"/>
          <w:kern w:val="0"/>
          <w:sz w:val="24"/>
          <w:highlight w:val="none"/>
        </w:rPr>
        <w:t>—</w:t>
      </w:r>
      <w:r>
        <w:rPr>
          <w:rFonts w:hAnsiTheme="minorEastAsia" w:eastAsiaTheme="minorEastAsia"/>
          <w:snapToGrid w:val="0"/>
          <w:kern w:val="0"/>
          <w:sz w:val="24"/>
          <w:highlight w:val="none"/>
        </w:rPr>
        <w:t>项目总投资，万元。</w:t>
      </w:r>
    </w:p>
    <w:p w14:paraId="36EF4383">
      <w:pPr>
        <w:spacing w:line="360" w:lineRule="auto"/>
        <w:ind w:firstLine="480" w:firstLineChars="200"/>
        <w:rPr>
          <w:rFonts w:eastAsiaTheme="minorEastAsia"/>
          <w:snapToGrid w:val="0"/>
          <w:kern w:val="0"/>
          <w:sz w:val="24"/>
          <w:highlight w:val="none"/>
        </w:rPr>
      </w:pPr>
      <w:r>
        <w:rPr>
          <w:rFonts w:hAnsiTheme="minorEastAsia" w:eastAsiaTheme="minorEastAsia"/>
          <w:snapToGrid w:val="0"/>
          <w:kern w:val="0"/>
          <w:sz w:val="24"/>
          <w:highlight w:val="none"/>
        </w:rPr>
        <w:t>根据工程分析和环境影响预测及评价结果，本项目产生的污水、废气、噪声等对周围环境将会产生一定的影响，因此，必须采取相应的环境保护措施加以控制，并保证相应环保投资的投入，以使项目建成后生产过程中产生的各类污染物对周围环境的影响降低到最小程度。根据初步估算，本项目的环保投资见表</w:t>
      </w:r>
      <w:r>
        <w:rPr>
          <w:rFonts w:eastAsiaTheme="minorEastAsia"/>
          <w:snapToGrid w:val="0"/>
          <w:kern w:val="0"/>
          <w:sz w:val="24"/>
          <w:highlight w:val="none"/>
        </w:rPr>
        <w:t>6-4-1</w:t>
      </w:r>
      <w:r>
        <w:rPr>
          <w:rFonts w:hAnsiTheme="minorEastAsia" w:eastAsiaTheme="minorEastAsia"/>
          <w:snapToGrid w:val="0"/>
          <w:kern w:val="0"/>
          <w:sz w:val="24"/>
          <w:highlight w:val="none"/>
        </w:rPr>
        <w:t>。</w:t>
      </w:r>
    </w:p>
    <w:p w14:paraId="22A9948E">
      <w:pPr>
        <w:spacing w:line="360" w:lineRule="auto"/>
        <w:ind w:firstLine="480" w:firstLineChars="200"/>
        <w:rPr>
          <w:rFonts w:eastAsiaTheme="minorEastAsia"/>
          <w:snapToGrid w:val="0"/>
          <w:kern w:val="0"/>
          <w:highlight w:val="none"/>
        </w:rPr>
      </w:pPr>
      <w:bookmarkStart w:id="577" w:name="_Hlk480428871"/>
      <w:r>
        <w:rPr>
          <w:rFonts w:hAnsiTheme="minorEastAsia" w:eastAsiaTheme="minorEastAsia"/>
          <w:snapToGrid w:val="0"/>
          <w:kern w:val="0"/>
          <w:sz w:val="24"/>
          <w:highlight w:val="none"/>
        </w:rPr>
        <w:t>本工程总投资为</w:t>
      </w:r>
      <w:r>
        <w:rPr>
          <w:rFonts w:hint="eastAsia" w:hAnsiTheme="minorEastAsia" w:eastAsiaTheme="minorEastAsia"/>
          <w:snapToGrid w:val="0"/>
          <w:kern w:val="0"/>
          <w:sz w:val="24"/>
          <w:highlight w:val="none"/>
          <w:lang w:val="en-US" w:eastAsia="zh-CN"/>
        </w:rPr>
        <w:t>300</w:t>
      </w:r>
      <w:r>
        <w:rPr>
          <w:rFonts w:hAnsiTheme="minorEastAsia" w:eastAsiaTheme="minorEastAsia"/>
          <w:snapToGrid w:val="0"/>
          <w:kern w:val="0"/>
          <w:sz w:val="24"/>
          <w:highlight w:val="none"/>
        </w:rPr>
        <w:t>万元，环保投资估算为</w:t>
      </w:r>
      <w:r>
        <w:rPr>
          <w:rFonts w:hint="eastAsia" w:eastAsiaTheme="minorEastAsia"/>
          <w:snapToGrid w:val="0"/>
          <w:kern w:val="0"/>
          <w:sz w:val="24"/>
          <w:highlight w:val="none"/>
          <w:lang w:val="en-US" w:eastAsia="zh-CN"/>
        </w:rPr>
        <w:t>60</w:t>
      </w:r>
      <w:r>
        <w:rPr>
          <w:rFonts w:hAnsiTheme="minorEastAsia" w:eastAsiaTheme="minorEastAsia"/>
          <w:snapToGrid w:val="0"/>
          <w:kern w:val="0"/>
          <w:sz w:val="24"/>
          <w:highlight w:val="none"/>
        </w:rPr>
        <w:t>万元，占总投资的</w:t>
      </w:r>
      <w:r>
        <w:rPr>
          <w:rFonts w:hint="eastAsia" w:eastAsiaTheme="minorEastAsia"/>
          <w:snapToGrid w:val="0"/>
          <w:kern w:val="0"/>
          <w:sz w:val="24"/>
          <w:highlight w:val="none"/>
          <w:lang w:val="en-US" w:eastAsia="zh-CN"/>
        </w:rPr>
        <w:t>20</w:t>
      </w:r>
      <w:r>
        <w:rPr>
          <w:rFonts w:eastAsiaTheme="minorEastAsia"/>
          <w:snapToGrid w:val="0"/>
          <w:kern w:val="0"/>
          <w:sz w:val="24"/>
          <w:highlight w:val="none"/>
        </w:rPr>
        <w:t>%</w:t>
      </w:r>
      <w:r>
        <w:rPr>
          <w:rFonts w:hAnsiTheme="minorEastAsia" w:eastAsiaTheme="minorEastAsia"/>
          <w:snapToGrid w:val="0"/>
          <w:kern w:val="0"/>
          <w:sz w:val="24"/>
          <w:highlight w:val="none"/>
        </w:rPr>
        <w:t>。</w:t>
      </w:r>
    </w:p>
    <w:p w14:paraId="602397A3">
      <w:pPr>
        <w:pStyle w:val="7"/>
        <w:bidi w:val="0"/>
        <w:rPr>
          <w:highlight w:val="none"/>
          <w:lang w:val="zh-CN"/>
        </w:rPr>
      </w:pPr>
      <w:r>
        <w:rPr>
          <w:highlight w:val="none"/>
          <w:lang w:val="zh-CN"/>
        </w:rPr>
        <w:t>表6-4-1环保投资明细表</w:t>
      </w:r>
    </w:p>
    <w:tbl>
      <w:tblPr>
        <w:tblStyle w:val="45"/>
        <w:tblW w:w="865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87"/>
        <w:gridCol w:w="1139"/>
        <w:gridCol w:w="5704"/>
        <w:gridCol w:w="1429"/>
      </w:tblGrid>
      <w:tr w14:paraId="67082B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26" w:type="dxa"/>
            <w:gridSpan w:val="2"/>
            <w:shd w:val="clear" w:color="auto" w:fill="auto"/>
            <w:vAlign w:val="center"/>
          </w:tcPr>
          <w:p w14:paraId="4DDCFE2B">
            <w:pPr>
              <w:pStyle w:val="8"/>
              <w:suppressLineNumbers w:val="0"/>
              <w:bidi w:val="0"/>
              <w:spacing w:before="0" w:beforeAutospacing="0" w:after="0" w:afterAutospacing="0"/>
              <w:ind w:left="0" w:right="0"/>
              <w:rPr>
                <w:rFonts w:hint="default"/>
                <w:highlight w:val="none"/>
                <w:lang w:val="zh-CN"/>
              </w:rPr>
            </w:pPr>
            <w:r>
              <w:rPr>
                <w:rFonts w:hint="default"/>
                <w:highlight w:val="none"/>
                <w:lang w:val="zh-CN"/>
              </w:rPr>
              <w:t>项目</w:t>
            </w:r>
          </w:p>
        </w:tc>
        <w:tc>
          <w:tcPr>
            <w:tcW w:w="5704" w:type="dxa"/>
            <w:shd w:val="clear" w:color="auto" w:fill="auto"/>
            <w:vAlign w:val="center"/>
          </w:tcPr>
          <w:p w14:paraId="7627330E">
            <w:pPr>
              <w:pStyle w:val="8"/>
              <w:suppressLineNumbers w:val="0"/>
              <w:bidi w:val="0"/>
              <w:spacing w:before="0" w:beforeAutospacing="0" w:after="0" w:afterAutospacing="0"/>
              <w:ind w:left="0" w:right="0"/>
              <w:rPr>
                <w:rFonts w:hint="default"/>
                <w:highlight w:val="none"/>
                <w:lang w:val="zh-CN"/>
              </w:rPr>
            </w:pPr>
            <w:r>
              <w:rPr>
                <w:rFonts w:hint="default"/>
                <w:highlight w:val="none"/>
                <w:lang w:val="zh-CN"/>
              </w:rPr>
              <w:t>治理设施内容</w:t>
            </w:r>
          </w:p>
        </w:tc>
        <w:tc>
          <w:tcPr>
            <w:tcW w:w="1429" w:type="dxa"/>
            <w:shd w:val="clear" w:color="auto" w:fill="auto"/>
            <w:vAlign w:val="center"/>
          </w:tcPr>
          <w:p w14:paraId="7433A017">
            <w:pPr>
              <w:pStyle w:val="8"/>
              <w:suppressLineNumbers w:val="0"/>
              <w:bidi w:val="0"/>
              <w:spacing w:before="0" w:beforeAutospacing="0" w:after="0" w:afterAutospacing="0"/>
              <w:ind w:left="0" w:right="0"/>
              <w:rPr>
                <w:rFonts w:hint="default"/>
                <w:highlight w:val="none"/>
                <w:lang w:val="zh-CN"/>
              </w:rPr>
            </w:pPr>
            <w:r>
              <w:rPr>
                <w:rFonts w:hint="default"/>
                <w:highlight w:val="none"/>
                <w:lang w:val="zh-CN"/>
              </w:rPr>
              <w:t>金额（万元）</w:t>
            </w:r>
          </w:p>
        </w:tc>
      </w:tr>
      <w:tr w14:paraId="01B366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26" w:type="dxa"/>
            <w:gridSpan w:val="2"/>
            <w:vMerge w:val="restart"/>
            <w:shd w:val="clear" w:color="auto" w:fill="auto"/>
            <w:vAlign w:val="center"/>
          </w:tcPr>
          <w:p w14:paraId="13170B7C">
            <w:pPr>
              <w:pStyle w:val="8"/>
              <w:suppressLineNumbers w:val="0"/>
              <w:bidi w:val="0"/>
              <w:spacing w:before="0" w:beforeAutospacing="0" w:after="0" w:afterAutospacing="0"/>
              <w:ind w:left="0" w:right="0"/>
              <w:rPr>
                <w:rFonts w:hint="default"/>
                <w:highlight w:val="none"/>
                <w:lang w:val="zh-CN"/>
              </w:rPr>
            </w:pPr>
            <w:r>
              <w:rPr>
                <w:rFonts w:hint="default"/>
                <w:highlight w:val="none"/>
                <w:lang w:val="zh-CN"/>
              </w:rPr>
              <w:t>施工期</w:t>
            </w:r>
          </w:p>
        </w:tc>
        <w:tc>
          <w:tcPr>
            <w:tcW w:w="5704" w:type="dxa"/>
            <w:shd w:val="clear" w:color="auto" w:fill="auto"/>
            <w:vAlign w:val="center"/>
          </w:tcPr>
          <w:p w14:paraId="78386121">
            <w:pPr>
              <w:pStyle w:val="8"/>
              <w:suppressLineNumbers w:val="0"/>
              <w:bidi w:val="0"/>
              <w:spacing w:before="0" w:beforeAutospacing="0" w:after="0" w:afterAutospacing="0"/>
              <w:ind w:left="0" w:right="0"/>
              <w:rPr>
                <w:rFonts w:hint="default"/>
                <w:highlight w:val="none"/>
                <w:lang w:val="zh-CN"/>
              </w:rPr>
            </w:pPr>
            <w:r>
              <w:rPr>
                <w:rFonts w:hint="default"/>
                <w:highlight w:val="none"/>
                <w:lang w:val="zh-CN"/>
              </w:rPr>
              <w:t>施工期设备减振措施</w:t>
            </w:r>
          </w:p>
        </w:tc>
        <w:tc>
          <w:tcPr>
            <w:tcW w:w="1429" w:type="dxa"/>
            <w:shd w:val="clear" w:color="auto" w:fill="auto"/>
            <w:vAlign w:val="center"/>
          </w:tcPr>
          <w:p w14:paraId="547ED3C5">
            <w:pPr>
              <w:pStyle w:val="8"/>
              <w:suppressLineNumbers w:val="0"/>
              <w:bidi w:val="0"/>
              <w:spacing w:before="0" w:beforeAutospacing="0" w:after="0" w:afterAutospacing="0"/>
              <w:ind w:left="0" w:right="0"/>
              <w:rPr>
                <w:rFonts w:hint="default"/>
                <w:highlight w:val="none"/>
                <w:lang w:val="zh-CN"/>
              </w:rPr>
            </w:pPr>
            <w:r>
              <w:rPr>
                <w:rFonts w:hint="eastAsia"/>
                <w:highlight w:val="none"/>
                <w:lang w:val="en-US" w:eastAsia="zh-CN"/>
              </w:rPr>
              <w:t>1</w:t>
            </w:r>
            <w:r>
              <w:rPr>
                <w:rFonts w:hint="default"/>
                <w:highlight w:val="none"/>
                <w:lang w:val="zh-CN"/>
              </w:rPr>
              <w:t>.0</w:t>
            </w:r>
          </w:p>
        </w:tc>
      </w:tr>
      <w:tr w14:paraId="2BF401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26" w:type="dxa"/>
            <w:gridSpan w:val="2"/>
            <w:vMerge w:val="continue"/>
            <w:shd w:val="clear" w:color="auto" w:fill="auto"/>
            <w:vAlign w:val="center"/>
          </w:tcPr>
          <w:p w14:paraId="660AC2E2">
            <w:pPr>
              <w:pStyle w:val="8"/>
              <w:suppressLineNumbers w:val="0"/>
              <w:bidi w:val="0"/>
              <w:spacing w:before="0" w:beforeAutospacing="0" w:after="0" w:afterAutospacing="0"/>
              <w:ind w:left="0" w:right="0"/>
              <w:rPr>
                <w:rFonts w:hint="default"/>
                <w:highlight w:val="none"/>
                <w:lang w:val="zh-CN"/>
              </w:rPr>
            </w:pPr>
          </w:p>
        </w:tc>
        <w:tc>
          <w:tcPr>
            <w:tcW w:w="5704" w:type="dxa"/>
            <w:shd w:val="clear" w:color="auto" w:fill="auto"/>
            <w:vAlign w:val="center"/>
          </w:tcPr>
          <w:p w14:paraId="6AF58956">
            <w:pPr>
              <w:pStyle w:val="8"/>
              <w:suppressLineNumbers w:val="0"/>
              <w:bidi w:val="0"/>
              <w:spacing w:before="0" w:beforeAutospacing="0" w:after="0" w:afterAutospacing="0"/>
              <w:ind w:left="0" w:right="0"/>
              <w:rPr>
                <w:rFonts w:hint="default"/>
                <w:highlight w:val="none"/>
                <w:lang w:val="zh-CN"/>
              </w:rPr>
            </w:pPr>
            <w:r>
              <w:rPr>
                <w:rFonts w:hint="default"/>
                <w:highlight w:val="none"/>
                <w:lang w:val="zh-CN"/>
              </w:rPr>
              <w:t>固体废物运输</w:t>
            </w:r>
          </w:p>
        </w:tc>
        <w:tc>
          <w:tcPr>
            <w:tcW w:w="1429" w:type="dxa"/>
            <w:shd w:val="clear" w:color="auto" w:fill="auto"/>
            <w:vAlign w:val="center"/>
          </w:tcPr>
          <w:p w14:paraId="560F8BD2">
            <w:pPr>
              <w:pStyle w:val="8"/>
              <w:suppressLineNumbers w:val="0"/>
              <w:bidi w:val="0"/>
              <w:spacing w:before="0" w:beforeAutospacing="0" w:after="0" w:afterAutospacing="0"/>
              <w:ind w:left="0" w:right="0"/>
              <w:rPr>
                <w:rFonts w:hint="default"/>
                <w:highlight w:val="none"/>
                <w:lang w:val="zh-CN"/>
              </w:rPr>
            </w:pPr>
            <w:r>
              <w:rPr>
                <w:rFonts w:hint="eastAsia"/>
                <w:highlight w:val="none"/>
                <w:lang w:val="en-US" w:eastAsia="zh-CN"/>
              </w:rPr>
              <w:t>1</w:t>
            </w:r>
            <w:r>
              <w:rPr>
                <w:rFonts w:hint="default"/>
                <w:highlight w:val="none"/>
                <w:lang w:val="zh-CN"/>
              </w:rPr>
              <w:t>.0</w:t>
            </w:r>
          </w:p>
        </w:tc>
      </w:tr>
      <w:tr w14:paraId="0745D9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26" w:type="dxa"/>
            <w:gridSpan w:val="2"/>
            <w:vMerge w:val="continue"/>
            <w:shd w:val="clear" w:color="auto" w:fill="auto"/>
            <w:vAlign w:val="center"/>
          </w:tcPr>
          <w:p w14:paraId="6200D046">
            <w:pPr>
              <w:pStyle w:val="8"/>
              <w:suppressLineNumbers w:val="0"/>
              <w:bidi w:val="0"/>
              <w:spacing w:before="0" w:beforeAutospacing="0" w:after="0" w:afterAutospacing="0"/>
              <w:ind w:left="0" w:right="0"/>
              <w:rPr>
                <w:rFonts w:hint="default"/>
                <w:highlight w:val="none"/>
                <w:lang w:val="zh-CN"/>
              </w:rPr>
            </w:pPr>
          </w:p>
        </w:tc>
        <w:tc>
          <w:tcPr>
            <w:tcW w:w="5704" w:type="dxa"/>
            <w:shd w:val="clear" w:color="auto" w:fill="auto"/>
            <w:vAlign w:val="center"/>
          </w:tcPr>
          <w:p w14:paraId="111386E5">
            <w:pPr>
              <w:pStyle w:val="8"/>
              <w:suppressLineNumbers w:val="0"/>
              <w:bidi w:val="0"/>
              <w:spacing w:before="0" w:beforeAutospacing="0" w:after="0" w:afterAutospacing="0"/>
              <w:ind w:left="0" w:right="0"/>
              <w:rPr>
                <w:rFonts w:hint="default"/>
                <w:highlight w:val="none"/>
                <w:lang w:val="zh-CN"/>
              </w:rPr>
            </w:pPr>
            <w:r>
              <w:rPr>
                <w:rFonts w:hint="eastAsia"/>
                <w:highlight w:val="none"/>
                <w:lang w:val="zh-CN" w:eastAsia="zh-CN"/>
              </w:rPr>
              <w:t>施工材料苫盖抑尘措施，施工场地围挡</w:t>
            </w:r>
          </w:p>
        </w:tc>
        <w:tc>
          <w:tcPr>
            <w:tcW w:w="1429" w:type="dxa"/>
            <w:shd w:val="clear" w:color="auto" w:fill="auto"/>
            <w:vAlign w:val="center"/>
          </w:tcPr>
          <w:p w14:paraId="7EB4067D">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1.0</w:t>
            </w:r>
          </w:p>
        </w:tc>
      </w:tr>
      <w:tr w14:paraId="60FF4E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387" w:type="dxa"/>
            <w:vMerge w:val="restart"/>
            <w:shd w:val="clear" w:color="auto" w:fill="auto"/>
            <w:vAlign w:val="center"/>
          </w:tcPr>
          <w:p w14:paraId="516ECCBF">
            <w:pPr>
              <w:pStyle w:val="8"/>
              <w:suppressLineNumbers w:val="0"/>
              <w:bidi w:val="0"/>
              <w:spacing w:before="0" w:beforeAutospacing="0" w:after="0" w:afterAutospacing="0"/>
              <w:ind w:left="0" w:right="0"/>
              <w:rPr>
                <w:rFonts w:hint="default"/>
                <w:highlight w:val="none"/>
                <w:lang w:val="zh-CN"/>
              </w:rPr>
            </w:pPr>
            <w:r>
              <w:rPr>
                <w:rFonts w:hint="default"/>
                <w:highlight w:val="none"/>
                <w:lang w:val="zh-CN"/>
              </w:rPr>
              <w:t>运营期</w:t>
            </w:r>
          </w:p>
        </w:tc>
        <w:tc>
          <w:tcPr>
            <w:tcW w:w="1139" w:type="dxa"/>
            <w:shd w:val="clear" w:color="auto" w:fill="auto"/>
            <w:vAlign w:val="center"/>
          </w:tcPr>
          <w:p w14:paraId="2CFC22CC">
            <w:pPr>
              <w:pStyle w:val="8"/>
              <w:suppressLineNumbers w:val="0"/>
              <w:bidi w:val="0"/>
              <w:spacing w:before="0" w:beforeAutospacing="0" w:after="0" w:afterAutospacing="0"/>
              <w:ind w:left="0" w:right="0"/>
              <w:rPr>
                <w:rFonts w:hint="default"/>
                <w:highlight w:val="none"/>
                <w:lang w:val="zh-CN"/>
              </w:rPr>
            </w:pPr>
            <w:r>
              <w:rPr>
                <w:rFonts w:hint="default"/>
                <w:highlight w:val="none"/>
                <w:lang w:val="zh-CN"/>
              </w:rPr>
              <w:t>废气治理</w:t>
            </w:r>
          </w:p>
        </w:tc>
        <w:tc>
          <w:tcPr>
            <w:tcW w:w="5704" w:type="dxa"/>
            <w:shd w:val="clear" w:color="auto" w:fill="auto"/>
            <w:vAlign w:val="center"/>
          </w:tcPr>
          <w:p w14:paraId="5EB1C2A2">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生产车间废气集中收集+油雾净化器+活性炭吸附+1根15m高排气筒；原料贮存区，危险废物贮存库废气集中收集+活性炭吸附+1根15m高排气筒</w:t>
            </w:r>
          </w:p>
        </w:tc>
        <w:tc>
          <w:tcPr>
            <w:tcW w:w="1429" w:type="dxa"/>
            <w:shd w:val="clear" w:color="auto" w:fill="auto"/>
            <w:vAlign w:val="center"/>
          </w:tcPr>
          <w:p w14:paraId="7CFDFEAC">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20.0</w:t>
            </w:r>
          </w:p>
        </w:tc>
      </w:tr>
      <w:tr w14:paraId="43CC44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 w:hRule="atLeast"/>
          <w:jc w:val="center"/>
        </w:trPr>
        <w:tc>
          <w:tcPr>
            <w:tcW w:w="387" w:type="dxa"/>
            <w:vMerge w:val="continue"/>
            <w:shd w:val="clear" w:color="auto" w:fill="auto"/>
            <w:vAlign w:val="center"/>
          </w:tcPr>
          <w:p w14:paraId="1A247D7E">
            <w:pPr>
              <w:pStyle w:val="8"/>
              <w:suppressLineNumbers w:val="0"/>
              <w:bidi w:val="0"/>
              <w:spacing w:before="0" w:beforeAutospacing="0" w:after="0" w:afterAutospacing="0"/>
              <w:ind w:left="0" w:right="0"/>
              <w:rPr>
                <w:rFonts w:hint="default"/>
                <w:highlight w:val="none"/>
                <w:lang w:val="zh-CN"/>
              </w:rPr>
            </w:pPr>
          </w:p>
        </w:tc>
        <w:tc>
          <w:tcPr>
            <w:tcW w:w="1139" w:type="dxa"/>
            <w:shd w:val="clear" w:color="auto" w:fill="auto"/>
            <w:vAlign w:val="center"/>
          </w:tcPr>
          <w:p w14:paraId="55C4E387">
            <w:pPr>
              <w:pStyle w:val="8"/>
              <w:suppressLineNumbers w:val="0"/>
              <w:bidi w:val="0"/>
              <w:spacing w:before="0" w:beforeAutospacing="0" w:after="0" w:afterAutospacing="0"/>
              <w:ind w:left="0" w:right="0"/>
              <w:rPr>
                <w:rFonts w:hint="default"/>
                <w:highlight w:val="none"/>
                <w:lang w:val="zh-CN"/>
              </w:rPr>
            </w:pPr>
            <w:r>
              <w:rPr>
                <w:rFonts w:hint="default"/>
                <w:highlight w:val="none"/>
                <w:lang w:val="zh-CN"/>
              </w:rPr>
              <w:t>防渗工程</w:t>
            </w:r>
          </w:p>
        </w:tc>
        <w:tc>
          <w:tcPr>
            <w:tcW w:w="5704" w:type="dxa"/>
            <w:shd w:val="clear" w:color="auto" w:fill="auto"/>
            <w:vAlign w:val="center"/>
          </w:tcPr>
          <w:p w14:paraId="57BE400A">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生产车间、原料贮存区，危险废物贮存库</w:t>
            </w:r>
            <w:r>
              <w:rPr>
                <w:rFonts w:hint="default" w:ascii="Times New Roman" w:hAnsi="Times New Roman" w:cs="Times New Roman" w:eastAsiaTheme="minorEastAsia"/>
                <w:bCs/>
                <w:spacing w:val="0"/>
                <w:position w:val="0"/>
                <w:highlight w:val="none"/>
              </w:rPr>
              <w:t>采取重点防渗</w:t>
            </w:r>
          </w:p>
        </w:tc>
        <w:tc>
          <w:tcPr>
            <w:tcW w:w="1429" w:type="dxa"/>
            <w:shd w:val="clear" w:color="auto" w:fill="auto"/>
            <w:vAlign w:val="center"/>
          </w:tcPr>
          <w:p w14:paraId="73CE0733">
            <w:pPr>
              <w:pStyle w:val="8"/>
              <w:suppressLineNumbers w:val="0"/>
              <w:bidi w:val="0"/>
              <w:spacing w:before="0" w:beforeAutospacing="0" w:after="0" w:afterAutospacing="0"/>
              <w:ind w:left="0" w:right="0"/>
              <w:rPr>
                <w:rFonts w:hint="default"/>
                <w:highlight w:val="none"/>
                <w:lang w:val="zh-CN"/>
              </w:rPr>
            </w:pPr>
            <w:r>
              <w:rPr>
                <w:rFonts w:hint="eastAsia"/>
                <w:highlight w:val="none"/>
                <w:lang w:val="en-US" w:eastAsia="zh-CN"/>
              </w:rPr>
              <w:t>20</w:t>
            </w:r>
            <w:r>
              <w:rPr>
                <w:rFonts w:hint="default"/>
                <w:highlight w:val="none"/>
                <w:lang w:val="zh-CN"/>
              </w:rPr>
              <w:t>.0</w:t>
            </w:r>
          </w:p>
        </w:tc>
      </w:tr>
      <w:tr w14:paraId="12CBA9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87" w:type="dxa"/>
            <w:vMerge w:val="continue"/>
            <w:shd w:val="clear" w:color="auto" w:fill="auto"/>
            <w:vAlign w:val="center"/>
          </w:tcPr>
          <w:p w14:paraId="7AFD4147">
            <w:pPr>
              <w:pStyle w:val="8"/>
              <w:suppressLineNumbers w:val="0"/>
              <w:bidi w:val="0"/>
              <w:spacing w:before="0" w:beforeAutospacing="0" w:after="0" w:afterAutospacing="0"/>
              <w:ind w:left="0" w:right="0"/>
              <w:rPr>
                <w:rFonts w:hint="default"/>
                <w:highlight w:val="none"/>
                <w:lang w:val="zh-CN"/>
              </w:rPr>
            </w:pPr>
          </w:p>
        </w:tc>
        <w:tc>
          <w:tcPr>
            <w:tcW w:w="1139" w:type="dxa"/>
            <w:shd w:val="clear" w:color="auto" w:fill="auto"/>
            <w:vAlign w:val="center"/>
          </w:tcPr>
          <w:p w14:paraId="5C73C0D4">
            <w:pPr>
              <w:pStyle w:val="8"/>
              <w:suppressLineNumbers w:val="0"/>
              <w:bidi w:val="0"/>
              <w:spacing w:before="0" w:beforeAutospacing="0" w:after="0" w:afterAutospacing="0"/>
              <w:ind w:left="0" w:right="0"/>
              <w:rPr>
                <w:rFonts w:hint="default"/>
                <w:highlight w:val="none"/>
                <w:lang w:val="zh-CN"/>
              </w:rPr>
            </w:pPr>
            <w:r>
              <w:rPr>
                <w:rFonts w:hint="default"/>
                <w:highlight w:val="none"/>
                <w:lang w:val="zh-CN"/>
              </w:rPr>
              <w:t>固废治理</w:t>
            </w:r>
          </w:p>
        </w:tc>
        <w:tc>
          <w:tcPr>
            <w:tcW w:w="5704" w:type="dxa"/>
            <w:shd w:val="clear" w:color="auto" w:fill="auto"/>
            <w:vAlign w:val="center"/>
          </w:tcPr>
          <w:p w14:paraId="700800D8">
            <w:pPr>
              <w:pStyle w:val="8"/>
              <w:suppressLineNumbers w:val="0"/>
              <w:bidi w:val="0"/>
              <w:spacing w:before="0" w:beforeAutospacing="0" w:after="0" w:afterAutospacing="0"/>
              <w:ind w:left="0" w:right="0"/>
              <w:rPr>
                <w:rFonts w:hint="default" w:eastAsia="宋体"/>
                <w:highlight w:val="none"/>
                <w:lang w:val="en-US" w:eastAsia="zh-CN"/>
              </w:rPr>
            </w:pPr>
            <w:r>
              <w:rPr>
                <w:rFonts w:hint="default"/>
                <w:highlight w:val="none"/>
                <w:lang w:val="zh-CN"/>
              </w:rPr>
              <w:t>垃圾箱、</w:t>
            </w:r>
            <w:r>
              <w:rPr>
                <w:rFonts w:hint="default"/>
                <w:highlight w:val="none"/>
              </w:rPr>
              <w:t>清运、危废委托处置</w:t>
            </w:r>
            <w:r>
              <w:rPr>
                <w:rFonts w:hint="eastAsia"/>
                <w:highlight w:val="none"/>
                <w:lang w:eastAsia="zh-CN"/>
              </w:rPr>
              <w:t>、</w:t>
            </w:r>
            <w:r>
              <w:rPr>
                <w:rFonts w:hint="eastAsia"/>
                <w:highlight w:val="none"/>
                <w:lang w:val="en-US" w:eastAsia="zh-CN"/>
              </w:rPr>
              <w:t>危险废物贮存库建设</w:t>
            </w:r>
          </w:p>
        </w:tc>
        <w:tc>
          <w:tcPr>
            <w:tcW w:w="1429" w:type="dxa"/>
            <w:shd w:val="clear" w:color="auto" w:fill="auto"/>
            <w:vAlign w:val="center"/>
          </w:tcPr>
          <w:p w14:paraId="1EBF629B">
            <w:pPr>
              <w:pStyle w:val="8"/>
              <w:suppressLineNumbers w:val="0"/>
              <w:bidi w:val="0"/>
              <w:spacing w:before="0" w:beforeAutospacing="0" w:after="0" w:afterAutospacing="0"/>
              <w:ind w:left="0" w:right="0"/>
              <w:rPr>
                <w:rFonts w:hint="default"/>
                <w:highlight w:val="none"/>
                <w:lang w:val="zh-CN"/>
              </w:rPr>
            </w:pPr>
            <w:r>
              <w:rPr>
                <w:rFonts w:hint="eastAsia"/>
                <w:highlight w:val="none"/>
                <w:lang w:val="en-US" w:eastAsia="zh-CN"/>
              </w:rPr>
              <w:t>5</w:t>
            </w:r>
            <w:r>
              <w:rPr>
                <w:rFonts w:hint="default"/>
                <w:highlight w:val="none"/>
                <w:lang w:val="zh-CN"/>
              </w:rPr>
              <w:t>.0</w:t>
            </w:r>
          </w:p>
        </w:tc>
      </w:tr>
      <w:tr w14:paraId="7003CA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87" w:type="dxa"/>
            <w:vMerge w:val="continue"/>
            <w:shd w:val="clear" w:color="auto" w:fill="auto"/>
            <w:vAlign w:val="center"/>
          </w:tcPr>
          <w:p w14:paraId="06B3F8D8">
            <w:pPr>
              <w:pStyle w:val="8"/>
              <w:suppressLineNumbers w:val="0"/>
              <w:bidi w:val="0"/>
              <w:spacing w:before="0" w:beforeAutospacing="0" w:after="0" w:afterAutospacing="0"/>
              <w:ind w:left="0" w:right="0"/>
              <w:rPr>
                <w:rFonts w:hint="default"/>
                <w:highlight w:val="none"/>
                <w:lang w:val="zh-CN"/>
              </w:rPr>
            </w:pPr>
          </w:p>
        </w:tc>
        <w:tc>
          <w:tcPr>
            <w:tcW w:w="1139" w:type="dxa"/>
            <w:shd w:val="clear" w:color="auto" w:fill="auto"/>
            <w:vAlign w:val="center"/>
          </w:tcPr>
          <w:p w14:paraId="72A25B7B">
            <w:pPr>
              <w:pStyle w:val="8"/>
              <w:suppressLineNumbers w:val="0"/>
              <w:bidi w:val="0"/>
              <w:spacing w:before="0" w:beforeAutospacing="0" w:after="0" w:afterAutospacing="0"/>
              <w:ind w:left="0" w:right="0"/>
              <w:rPr>
                <w:rFonts w:hint="default"/>
                <w:highlight w:val="none"/>
                <w:lang w:val="zh-CN"/>
              </w:rPr>
            </w:pPr>
            <w:r>
              <w:rPr>
                <w:rFonts w:hint="default"/>
                <w:highlight w:val="none"/>
                <w:lang w:val="zh-CN"/>
              </w:rPr>
              <w:t>噪声治理</w:t>
            </w:r>
          </w:p>
        </w:tc>
        <w:tc>
          <w:tcPr>
            <w:tcW w:w="5704" w:type="dxa"/>
            <w:shd w:val="clear" w:color="auto" w:fill="auto"/>
            <w:vAlign w:val="center"/>
          </w:tcPr>
          <w:p w14:paraId="2B9A4F4B">
            <w:pPr>
              <w:pStyle w:val="8"/>
              <w:suppressLineNumbers w:val="0"/>
              <w:bidi w:val="0"/>
              <w:spacing w:before="0" w:beforeAutospacing="0" w:after="0" w:afterAutospacing="0"/>
              <w:ind w:left="0" w:right="0"/>
              <w:rPr>
                <w:rFonts w:hint="default"/>
                <w:highlight w:val="none"/>
                <w:lang w:val="zh-CN"/>
              </w:rPr>
            </w:pPr>
            <w:r>
              <w:rPr>
                <w:rFonts w:hint="default"/>
                <w:highlight w:val="none"/>
                <w:lang w:val="zh-CN"/>
              </w:rPr>
              <w:t>隔声、减振</w:t>
            </w:r>
          </w:p>
        </w:tc>
        <w:tc>
          <w:tcPr>
            <w:tcW w:w="1429" w:type="dxa"/>
            <w:shd w:val="clear" w:color="auto" w:fill="auto"/>
            <w:vAlign w:val="center"/>
          </w:tcPr>
          <w:p w14:paraId="4DD81938">
            <w:pPr>
              <w:pStyle w:val="8"/>
              <w:suppressLineNumbers w:val="0"/>
              <w:bidi w:val="0"/>
              <w:spacing w:before="0" w:beforeAutospacing="0" w:after="0" w:afterAutospacing="0"/>
              <w:ind w:left="0" w:right="0"/>
              <w:rPr>
                <w:rFonts w:hint="default"/>
                <w:highlight w:val="none"/>
                <w:lang w:val="zh-CN"/>
              </w:rPr>
            </w:pPr>
            <w:r>
              <w:rPr>
                <w:rFonts w:hint="eastAsia"/>
                <w:highlight w:val="none"/>
                <w:lang w:val="en-US" w:eastAsia="zh-CN"/>
              </w:rPr>
              <w:t>2</w:t>
            </w:r>
            <w:r>
              <w:rPr>
                <w:rFonts w:hint="default"/>
                <w:highlight w:val="none"/>
                <w:lang w:val="zh-CN"/>
              </w:rPr>
              <w:t>.0</w:t>
            </w:r>
          </w:p>
        </w:tc>
      </w:tr>
      <w:tr w14:paraId="4D6D34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87" w:type="dxa"/>
            <w:vMerge w:val="continue"/>
            <w:shd w:val="clear" w:color="auto" w:fill="auto"/>
            <w:vAlign w:val="center"/>
          </w:tcPr>
          <w:p w14:paraId="5F7E7AF1">
            <w:pPr>
              <w:pStyle w:val="8"/>
              <w:suppressLineNumbers w:val="0"/>
              <w:bidi w:val="0"/>
              <w:spacing w:before="0" w:beforeAutospacing="0" w:after="0" w:afterAutospacing="0"/>
              <w:ind w:left="0" w:right="0"/>
              <w:rPr>
                <w:rFonts w:hint="default"/>
                <w:highlight w:val="none"/>
                <w:lang w:val="zh-CN"/>
              </w:rPr>
            </w:pPr>
          </w:p>
        </w:tc>
        <w:tc>
          <w:tcPr>
            <w:tcW w:w="1139" w:type="dxa"/>
            <w:shd w:val="clear" w:color="auto" w:fill="auto"/>
            <w:vAlign w:val="center"/>
          </w:tcPr>
          <w:p w14:paraId="3BEF416F">
            <w:pPr>
              <w:pStyle w:val="8"/>
              <w:suppressLineNumbers w:val="0"/>
              <w:bidi w:val="0"/>
              <w:spacing w:before="0" w:beforeAutospacing="0" w:after="0" w:afterAutospacing="0"/>
              <w:ind w:left="0" w:right="0"/>
              <w:rPr>
                <w:rFonts w:hint="default"/>
                <w:highlight w:val="none"/>
                <w:lang w:val="zh-CN"/>
              </w:rPr>
            </w:pPr>
            <w:r>
              <w:rPr>
                <w:rFonts w:hint="default"/>
                <w:highlight w:val="none"/>
                <w:lang w:val="zh-CN"/>
              </w:rPr>
              <w:t>环保设施运行维护维修费用</w:t>
            </w:r>
          </w:p>
        </w:tc>
        <w:tc>
          <w:tcPr>
            <w:tcW w:w="5704" w:type="dxa"/>
            <w:shd w:val="clear" w:color="auto" w:fill="auto"/>
            <w:vAlign w:val="center"/>
          </w:tcPr>
          <w:p w14:paraId="25A05CEE">
            <w:pPr>
              <w:pStyle w:val="8"/>
              <w:suppressLineNumbers w:val="0"/>
              <w:bidi w:val="0"/>
              <w:spacing w:before="0" w:beforeAutospacing="0" w:after="0" w:afterAutospacing="0"/>
              <w:ind w:left="0" w:right="0"/>
              <w:rPr>
                <w:rFonts w:hint="default"/>
                <w:highlight w:val="none"/>
                <w:lang w:val="zh-CN"/>
              </w:rPr>
            </w:pPr>
            <w:r>
              <w:rPr>
                <w:rFonts w:hint="default"/>
                <w:highlight w:val="none"/>
                <w:lang w:val="zh-CN"/>
              </w:rPr>
              <w:t>运行期各环保设施的运行维护维修费用</w:t>
            </w:r>
          </w:p>
        </w:tc>
        <w:tc>
          <w:tcPr>
            <w:tcW w:w="1429" w:type="dxa"/>
            <w:shd w:val="clear" w:color="auto" w:fill="auto"/>
            <w:vAlign w:val="center"/>
          </w:tcPr>
          <w:p w14:paraId="5C09C647">
            <w:pPr>
              <w:pStyle w:val="8"/>
              <w:suppressLineNumbers w:val="0"/>
              <w:bidi w:val="0"/>
              <w:spacing w:before="0" w:beforeAutospacing="0" w:after="0" w:afterAutospacing="0"/>
              <w:ind w:left="0" w:right="0"/>
              <w:rPr>
                <w:rFonts w:hint="default"/>
                <w:highlight w:val="none"/>
                <w:lang w:val="zh-CN"/>
              </w:rPr>
            </w:pPr>
            <w:r>
              <w:rPr>
                <w:rFonts w:hint="eastAsia"/>
                <w:highlight w:val="none"/>
                <w:lang w:val="en-US" w:eastAsia="zh-CN"/>
              </w:rPr>
              <w:t>5</w:t>
            </w:r>
            <w:r>
              <w:rPr>
                <w:rFonts w:hint="default"/>
                <w:highlight w:val="none"/>
                <w:lang w:val="zh-CN"/>
              </w:rPr>
              <w:t>.0</w:t>
            </w:r>
          </w:p>
        </w:tc>
      </w:tr>
      <w:tr w14:paraId="57784E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87" w:type="dxa"/>
            <w:vMerge w:val="continue"/>
            <w:shd w:val="clear" w:color="auto" w:fill="auto"/>
            <w:vAlign w:val="center"/>
          </w:tcPr>
          <w:p w14:paraId="6A99B2EA">
            <w:pPr>
              <w:pStyle w:val="8"/>
              <w:suppressLineNumbers w:val="0"/>
              <w:bidi w:val="0"/>
              <w:spacing w:before="0" w:beforeAutospacing="0" w:after="0" w:afterAutospacing="0"/>
              <w:ind w:left="0" w:right="0"/>
              <w:rPr>
                <w:rFonts w:hint="default"/>
                <w:highlight w:val="none"/>
                <w:lang w:val="zh-CN"/>
              </w:rPr>
            </w:pPr>
          </w:p>
        </w:tc>
        <w:tc>
          <w:tcPr>
            <w:tcW w:w="1139" w:type="dxa"/>
            <w:shd w:val="clear" w:color="auto" w:fill="auto"/>
            <w:vAlign w:val="center"/>
          </w:tcPr>
          <w:p w14:paraId="66AC611A">
            <w:pPr>
              <w:pStyle w:val="8"/>
              <w:suppressLineNumbers w:val="0"/>
              <w:bidi w:val="0"/>
              <w:spacing w:before="0" w:beforeAutospacing="0" w:after="0" w:afterAutospacing="0"/>
              <w:ind w:left="0" w:right="0"/>
              <w:rPr>
                <w:rFonts w:hint="default"/>
                <w:highlight w:val="none"/>
                <w:lang w:val="zh-CN"/>
              </w:rPr>
            </w:pPr>
            <w:r>
              <w:rPr>
                <w:rFonts w:hint="default"/>
                <w:highlight w:val="none"/>
                <w:lang w:val="zh-CN"/>
              </w:rPr>
              <w:t>定期监测</w:t>
            </w:r>
          </w:p>
        </w:tc>
        <w:tc>
          <w:tcPr>
            <w:tcW w:w="5704" w:type="dxa"/>
            <w:shd w:val="clear" w:color="auto" w:fill="auto"/>
            <w:vAlign w:val="center"/>
          </w:tcPr>
          <w:p w14:paraId="694BA72C">
            <w:pPr>
              <w:pStyle w:val="8"/>
              <w:suppressLineNumbers w:val="0"/>
              <w:bidi w:val="0"/>
              <w:spacing w:before="0" w:beforeAutospacing="0" w:after="0" w:afterAutospacing="0"/>
              <w:ind w:left="0" w:right="0"/>
              <w:rPr>
                <w:rFonts w:hint="default"/>
                <w:highlight w:val="none"/>
                <w:lang w:val="zh-CN"/>
              </w:rPr>
            </w:pPr>
            <w:r>
              <w:rPr>
                <w:rFonts w:hint="default"/>
                <w:highlight w:val="none"/>
                <w:lang w:val="zh-CN"/>
              </w:rPr>
              <w:t>地下水、大气、废水、噪声等跟踪监测</w:t>
            </w:r>
          </w:p>
        </w:tc>
        <w:tc>
          <w:tcPr>
            <w:tcW w:w="1429" w:type="dxa"/>
            <w:shd w:val="clear" w:color="auto" w:fill="auto"/>
            <w:vAlign w:val="center"/>
          </w:tcPr>
          <w:p w14:paraId="1DF0093C">
            <w:pPr>
              <w:pStyle w:val="8"/>
              <w:suppressLineNumbers w:val="0"/>
              <w:bidi w:val="0"/>
              <w:spacing w:before="0" w:beforeAutospacing="0" w:after="0" w:afterAutospacing="0"/>
              <w:ind w:left="0" w:right="0"/>
              <w:rPr>
                <w:rFonts w:hint="default"/>
                <w:highlight w:val="none"/>
                <w:lang w:val="zh-CN"/>
              </w:rPr>
            </w:pPr>
            <w:r>
              <w:rPr>
                <w:rFonts w:hint="eastAsia"/>
                <w:highlight w:val="none"/>
                <w:lang w:val="en-US" w:eastAsia="zh-CN"/>
              </w:rPr>
              <w:t>5</w:t>
            </w:r>
            <w:r>
              <w:rPr>
                <w:rFonts w:hint="default"/>
                <w:highlight w:val="none"/>
                <w:lang w:val="zh-CN"/>
              </w:rPr>
              <w:t>.0</w:t>
            </w:r>
          </w:p>
        </w:tc>
      </w:tr>
      <w:tr w14:paraId="0E5D81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26" w:type="dxa"/>
            <w:gridSpan w:val="2"/>
            <w:shd w:val="clear" w:color="auto" w:fill="auto"/>
            <w:vAlign w:val="center"/>
          </w:tcPr>
          <w:p w14:paraId="2F23C4A9">
            <w:pPr>
              <w:pStyle w:val="8"/>
              <w:suppressLineNumbers w:val="0"/>
              <w:bidi w:val="0"/>
              <w:spacing w:before="0" w:beforeAutospacing="0" w:after="0" w:afterAutospacing="0"/>
              <w:ind w:left="0" w:right="0"/>
              <w:rPr>
                <w:rFonts w:hint="default"/>
                <w:highlight w:val="none"/>
                <w:lang w:val="zh-CN"/>
              </w:rPr>
            </w:pPr>
            <w:r>
              <w:rPr>
                <w:rFonts w:hint="default"/>
                <w:highlight w:val="none"/>
                <w:lang w:val="zh-CN"/>
              </w:rPr>
              <w:t>合计</w:t>
            </w:r>
          </w:p>
        </w:tc>
        <w:tc>
          <w:tcPr>
            <w:tcW w:w="5704" w:type="dxa"/>
            <w:shd w:val="clear" w:color="auto" w:fill="auto"/>
            <w:vAlign w:val="center"/>
          </w:tcPr>
          <w:p w14:paraId="3570A88A">
            <w:pPr>
              <w:pStyle w:val="8"/>
              <w:suppressLineNumbers w:val="0"/>
              <w:bidi w:val="0"/>
              <w:spacing w:before="0" w:beforeAutospacing="0" w:after="0" w:afterAutospacing="0"/>
              <w:ind w:left="0" w:right="0"/>
              <w:rPr>
                <w:rFonts w:hint="default"/>
                <w:highlight w:val="none"/>
                <w:lang w:val="zh-CN"/>
              </w:rPr>
            </w:pPr>
            <w:r>
              <w:rPr>
                <w:rFonts w:hint="default"/>
                <w:highlight w:val="none"/>
                <w:lang w:val="zh-CN"/>
              </w:rPr>
              <w:t>/</w:t>
            </w:r>
          </w:p>
        </w:tc>
        <w:tc>
          <w:tcPr>
            <w:tcW w:w="1429" w:type="dxa"/>
            <w:shd w:val="clear" w:color="auto" w:fill="auto"/>
            <w:vAlign w:val="center"/>
          </w:tcPr>
          <w:p w14:paraId="3B9AA66A">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60</w:t>
            </w:r>
          </w:p>
        </w:tc>
      </w:tr>
      <w:bookmarkEnd w:id="577"/>
    </w:tbl>
    <w:p w14:paraId="417680CC">
      <w:pPr>
        <w:spacing w:line="360" w:lineRule="auto"/>
        <w:rPr>
          <w:rFonts w:eastAsiaTheme="minorEastAsia"/>
          <w:sz w:val="24"/>
          <w:highlight w:val="none"/>
        </w:rPr>
        <w:sectPr>
          <w:pgSz w:w="11906" w:h="16838"/>
          <w:pgMar w:top="1440" w:right="1800" w:bottom="1440" w:left="1800" w:header="851" w:footer="992" w:gutter="0"/>
          <w:pgBorders w:offsetFrom="page">
            <w:top w:val="none" w:sz="0" w:space="0"/>
            <w:left w:val="none" w:sz="0" w:space="0"/>
            <w:bottom w:val="none" w:sz="0" w:space="0"/>
            <w:right w:val="none" w:sz="0" w:space="0"/>
          </w:pgBorders>
          <w:cols w:space="425" w:num="1"/>
          <w:docGrid w:type="lines" w:linePitch="312" w:charSpace="0"/>
        </w:sectPr>
      </w:pPr>
    </w:p>
    <w:p w14:paraId="574BD4B9">
      <w:pPr>
        <w:pStyle w:val="2"/>
        <w:bidi w:val="0"/>
        <w:rPr>
          <w:highlight w:val="none"/>
        </w:rPr>
      </w:pPr>
      <w:bookmarkStart w:id="578" w:name="_Toc3215"/>
      <w:bookmarkStart w:id="579" w:name="_Toc7603"/>
      <w:bookmarkStart w:id="580" w:name="_Toc18208"/>
      <w:bookmarkStart w:id="581" w:name="_Toc477954582"/>
      <w:r>
        <w:rPr>
          <w:highlight w:val="none"/>
        </w:rPr>
        <w:t>7环境影响经济损益分析</w:t>
      </w:r>
      <w:bookmarkEnd w:id="578"/>
      <w:bookmarkEnd w:id="579"/>
      <w:bookmarkEnd w:id="580"/>
      <w:bookmarkEnd w:id="581"/>
    </w:p>
    <w:p w14:paraId="5E301441">
      <w:pPr>
        <w:bidi w:val="0"/>
        <w:rPr>
          <w:highlight w:val="none"/>
        </w:rPr>
      </w:pPr>
      <w:r>
        <w:rPr>
          <w:highlight w:val="none"/>
        </w:rPr>
        <w:t>环境经济损益分析主要是评价建设项目实施后，对环境造成的损失费用和采取各种环保治理措施所能收到的环保效果及其带来的经济和社会效益，衡量建设项目的环保投资在经济上的合理水平。</w:t>
      </w:r>
    </w:p>
    <w:p w14:paraId="5B98B5E8">
      <w:pPr>
        <w:spacing w:line="360" w:lineRule="auto"/>
        <w:ind w:firstLine="480" w:firstLineChars="200"/>
        <w:contextualSpacing/>
        <w:rPr>
          <w:rFonts w:eastAsiaTheme="minorEastAsia"/>
          <w:kern w:val="0"/>
          <w:sz w:val="24"/>
          <w:highlight w:val="none"/>
        </w:rPr>
      </w:pPr>
      <w:r>
        <w:rPr>
          <w:rFonts w:hAnsiTheme="minorEastAsia" w:eastAsiaTheme="minorEastAsia"/>
          <w:kern w:val="0"/>
          <w:sz w:val="24"/>
          <w:highlight w:val="none"/>
        </w:rPr>
        <w:t>一个项目的开发建设，除对国民经济的发展起着促进作用外，同时也在一定程度上影响着项目拟建地区环境的变化。社会影响、经济影响、环境影响是一个系统的三要素，最终以提高人类的生活质量为目的。它们之间既是互相促进，又互相制约，必须通过全面规划、综合平衡、正确地把全局利益和局部利益、长远利益和近期利益结合起来，对环境保护和经济发展进行协调，实现社会效益、经济效益、环境效益的三统一。通过对拟建项目的经济、社会和环境效益分析，为项目决策者更好地考虑环境、经济和社会效益的统一提供依据。</w:t>
      </w:r>
    </w:p>
    <w:p w14:paraId="4751200A">
      <w:pPr>
        <w:pStyle w:val="3"/>
        <w:bidi w:val="0"/>
        <w:rPr>
          <w:highlight w:val="none"/>
        </w:rPr>
      </w:pPr>
      <w:bookmarkStart w:id="582" w:name="_Toc477954583"/>
      <w:bookmarkStart w:id="583" w:name="_Toc369009159"/>
      <w:bookmarkStart w:id="584" w:name="_Toc14650"/>
      <w:bookmarkStart w:id="585" w:name="_Toc18108"/>
      <w:r>
        <w:rPr>
          <w:highlight w:val="none"/>
        </w:rPr>
        <w:t>7.1</w:t>
      </w:r>
      <w:bookmarkEnd w:id="582"/>
      <w:bookmarkEnd w:id="583"/>
      <w:r>
        <w:rPr>
          <w:highlight w:val="none"/>
        </w:rPr>
        <w:t>社会经济效益分析</w:t>
      </w:r>
      <w:bookmarkEnd w:id="584"/>
      <w:bookmarkEnd w:id="585"/>
    </w:p>
    <w:p w14:paraId="069F1820">
      <w:pPr>
        <w:bidi w:val="0"/>
        <w:rPr>
          <w:rFonts w:hint="default"/>
          <w:highlight w:val="none"/>
        </w:rPr>
      </w:pPr>
      <w:bookmarkStart w:id="586" w:name="_Toc8066"/>
      <w:r>
        <w:rPr>
          <w:rFonts w:hint="default"/>
          <w:highlight w:val="none"/>
        </w:rPr>
        <w:t>国家对危险废物处置工程实施严格的环境管理，明确在危险废物集中处置过程中不得形成二次污染，实施更加严格的环境保护措施要求。因此，就其危险废物处置过程中，实施严格的环境保护措施可有效控制危险废物对大气环境、水环境、土壤环境带来的负面影响，必将带来一定程度的环境效益。</w:t>
      </w:r>
    </w:p>
    <w:p w14:paraId="1B368ABD">
      <w:pPr>
        <w:bidi w:val="0"/>
        <w:rPr>
          <w:rFonts w:hint="default"/>
          <w:highlight w:val="none"/>
        </w:rPr>
      </w:pPr>
      <w:r>
        <w:rPr>
          <w:rFonts w:hint="default"/>
          <w:highlight w:val="none"/>
        </w:rPr>
        <w:t>1、减轻危险废物的危害</w:t>
      </w:r>
    </w:p>
    <w:p w14:paraId="4422D7D6">
      <w:pPr>
        <w:bidi w:val="0"/>
        <w:rPr>
          <w:rFonts w:hint="default"/>
          <w:highlight w:val="none"/>
        </w:rPr>
      </w:pPr>
      <w:r>
        <w:rPr>
          <w:rFonts w:hint="default"/>
          <w:highlight w:val="none"/>
        </w:rPr>
        <w:t>建设项目的运行可以大大减轻附近区域危险废物对周围生态环境的污染和对人体健康的危害。</w:t>
      </w:r>
    </w:p>
    <w:p w14:paraId="7AB1B16C">
      <w:pPr>
        <w:bidi w:val="0"/>
        <w:rPr>
          <w:rFonts w:hint="default"/>
          <w:highlight w:val="none"/>
        </w:rPr>
      </w:pPr>
      <w:r>
        <w:rPr>
          <w:rFonts w:hint="default"/>
          <w:highlight w:val="none"/>
        </w:rPr>
        <w:t>建设项目对危险废物进行集中处理处置，从总体上来说，污染物排放总量的削减明显改善了危险废物对环境的污染影响。</w:t>
      </w:r>
    </w:p>
    <w:p w14:paraId="6228BF3B">
      <w:pPr>
        <w:bidi w:val="0"/>
        <w:rPr>
          <w:rFonts w:hint="default"/>
          <w:highlight w:val="none"/>
        </w:rPr>
      </w:pPr>
      <w:r>
        <w:rPr>
          <w:rFonts w:hint="default"/>
          <w:highlight w:val="none"/>
        </w:rPr>
        <w:t>2、减少事故排放</w:t>
      </w:r>
    </w:p>
    <w:p w14:paraId="2D954713">
      <w:pPr>
        <w:bidi w:val="0"/>
        <w:rPr>
          <w:rFonts w:hint="default"/>
          <w:highlight w:val="none"/>
        </w:rPr>
      </w:pPr>
      <w:r>
        <w:rPr>
          <w:rFonts w:hint="default"/>
          <w:highlight w:val="none"/>
        </w:rPr>
        <w:t>危险废物的管理越来越受到</w:t>
      </w:r>
      <w:r>
        <w:rPr>
          <w:rFonts w:hint="eastAsia"/>
          <w:highlight w:val="none"/>
          <w:lang w:eastAsia="zh-CN"/>
        </w:rPr>
        <w:t>社会各界的</w:t>
      </w:r>
      <w:r>
        <w:rPr>
          <w:rFonts w:hint="default"/>
          <w:highlight w:val="none"/>
        </w:rPr>
        <w:t>重视。近年来，危险废物违法处理处置造成环境污染的案例屡屡曝光。如危险废物填埋，造成地下水的二次污染，直接或间接的威胁人民的生命财产安全；含重金属的废渣填埋引起土壤和地下水的污染，还有一些</w:t>
      </w:r>
      <w:r>
        <w:rPr>
          <w:rFonts w:hint="eastAsia"/>
          <w:highlight w:val="none"/>
          <w:lang w:eastAsia="zh-CN"/>
        </w:rPr>
        <w:t>高浓度</w:t>
      </w:r>
      <w:r>
        <w:rPr>
          <w:rFonts w:hint="eastAsia"/>
          <w:highlight w:val="none"/>
          <w:lang w:val="en-US" w:eastAsia="zh-CN"/>
        </w:rPr>
        <w:t>废液</w:t>
      </w:r>
      <w:r>
        <w:rPr>
          <w:rFonts w:hint="default"/>
          <w:highlight w:val="none"/>
        </w:rPr>
        <w:t>和废液混入污水处理站，导致超标排放。</w:t>
      </w:r>
    </w:p>
    <w:p w14:paraId="34A0D45E">
      <w:pPr>
        <w:bidi w:val="0"/>
        <w:rPr>
          <w:rFonts w:hint="default"/>
          <w:highlight w:val="none"/>
        </w:rPr>
      </w:pPr>
      <w:r>
        <w:rPr>
          <w:rFonts w:hint="default"/>
          <w:highlight w:val="none"/>
        </w:rPr>
        <w:t>建设项目对危险废物的处置将采用更科学，更符合生态学原理的方法，对危险废物中可回收利用的进行资源化处置，合理的实施工业固体废物减量化和无害化处置，从而大大降低由于管理不善而导致地表水、地下水和生态环境等的二次污染问题。</w:t>
      </w:r>
    </w:p>
    <w:p w14:paraId="32258F4B">
      <w:pPr>
        <w:bidi w:val="0"/>
        <w:rPr>
          <w:rFonts w:hint="default"/>
          <w:highlight w:val="none"/>
        </w:rPr>
      </w:pPr>
      <w:r>
        <w:rPr>
          <w:rFonts w:hint="default"/>
          <w:highlight w:val="none"/>
        </w:rPr>
        <w:t>3、实现废物的集中管理与处置</w:t>
      </w:r>
    </w:p>
    <w:p w14:paraId="057522D6">
      <w:pPr>
        <w:bidi w:val="0"/>
        <w:rPr>
          <w:rFonts w:hint="default"/>
          <w:highlight w:val="none"/>
        </w:rPr>
      </w:pPr>
      <w:r>
        <w:rPr>
          <w:rFonts w:hint="default"/>
          <w:highlight w:val="none"/>
        </w:rPr>
        <w:t>国家鼓励危险废物资源化综合利用，固体废物处理利用的发展趋势必然是从“无害化”走向“资源化”；而“资源化”是以“无害化”为前提，“无害化”和“减量化”则应以“资源化”为条件，这是毫无疑问的。但在目前的技术水平条件下，绝大多数企业无法满足危险废物“减量化、无害化、资源化”处理处置要求；很多工业企业的危险废物处置成本高、一次性投入大，而废物的处置量却极少，造成企业固废存量逐年增大，占用大量土地资源，影响人民身体健康和正常生产。而且随着经济的发展越来越成为重大环境隐患。</w:t>
      </w:r>
    </w:p>
    <w:p w14:paraId="5DBB791D">
      <w:pPr>
        <w:bidi w:val="0"/>
        <w:rPr>
          <w:rFonts w:hint="default"/>
          <w:highlight w:val="none"/>
        </w:rPr>
      </w:pPr>
      <w:r>
        <w:rPr>
          <w:rFonts w:hint="default"/>
          <w:highlight w:val="none"/>
        </w:rPr>
        <w:t>因此，国家鼓励固体废物在产生和处理环节充分进行资源化利用，鼓励固体废物回收利用企业的发展和规模化，既可做到减少原料和能源的消耗，又可避免固体废物处置过程对环境产生的危害，所以，固体废物资源化利用具有实际重大意义，必将产生积极的环境效益。</w:t>
      </w:r>
    </w:p>
    <w:p w14:paraId="512150FE">
      <w:pPr>
        <w:pStyle w:val="3"/>
        <w:bidi w:val="0"/>
        <w:rPr>
          <w:highlight w:val="none"/>
        </w:rPr>
      </w:pPr>
      <w:bookmarkStart w:id="587" w:name="_Toc3494"/>
      <w:r>
        <w:rPr>
          <w:highlight w:val="none"/>
        </w:rPr>
        <w:t>7.2经济损益分析</w:t>
      </w:r>
      <w:bookmarkEnd w:id="586"/>
      <w:bookmarkEnd w:id="587"/>
    </w:p>
    <w:p w14:paraId="2F618156">
      <w:pPr>
        <w:spacing w:line="360" w:lineRule="auto"/>
        <w:ind w:firstLine="480" w:firstLineChars="200"/>
        <w:contextualSpacing/>
        <w:rPr>
          <w:rFonts w:eastAsiaTheme="minorEastAsia"/>
          <w:kern w:val="10"/>
          <w:sz w:val="24"/>
          <w:highlight w:val="none"/>
        </w:rPr>
      </w:pPr>
      <w:r>
        <w:rPr>
          <w:rFonts w:hint="default" w:ascii="Times New Roman" w:hAnsi="Times New Roman" w:cs="Times New Roman" w:eastAsiaTheme="minorEastAsia"/>
          <w:spacing w:val="0"/>
          <w:kern w:val="10"/>
          <w:position w:val="0"/>
          <w:sz w:val="24"/>
          <w:highlight w:val="none"/>
        </w:rPr>
        <w:t>建设项目的建成有利于减轻危险废物排放企业的经济负担，为</w:t>
      </w:r>
      <w:r>
        <w:rPr>
          <w:rFonts w:hint="eastAsia" w:cs="Times New Roman" w:eastAsiaTheme="minorEastAsia"/>
          <w:spacing w:val="0"/>
          <w:kern w:val="10"/>
          <w:position w:val="0"/>
          <w:sz w:val="24"/>
          <w:highlight w:val="none"/>
          <w:lang w:val="en-US" w:eastAsia="zh-CN"/>
        </w:rPr>
        <w:t>哈尔滨</w:t>
      </w:r>
      <w:r>
        <w:rPr>
          <w:rFonts w:hint="default" w:ascii="Times New Roman" w:hAnsi="Times New Roman" w:cs="Times New Roman" w:eastAsiaTheme="minorEastAsia"/>
          <w:spacing w:val="0"/>
          <w:kern w:val="10"/>
          <w:position w:val="0"/>
          <w:sz w:val="24"/>
          <w:highlight w:val="none"/>
        </w:rPr>
        <w:t>市乃至黑龙江省的经济发展带来效益。在目前的技术水平下，绝大多数企业对固体废物特别是危险废物无法进行处置，造成企业固废存量越来越大，占用大量土地资源，给企业带来了很大的环境、经济压力。虽然有些企业建成了危险废物的处理设施，但多数处置成本高、一次性投入大，而废物的处置量却极少，增大了企业的经济负担，影响了企业的经济效益。因此，固体废物的集中管理和处置有利于促进当地的经济发展</w:t>
      </w:r>
      <w:r>
        <w:rPr>
          <w:rFonts w:hAnsiTheme="minorEastAsia" w:eastAsiaTheme="minorEastAsia"/>
          <w:kern w:val="10"/>
          <w:sz w:val="24"/>
          <w:highlight w:val="none"/>
        </w:rPr>
        <w:t>。</w:t>
      </w:r>
    </w:p>
    <w:p w14:paraId="5D872ABA">
      <w:pPr>
        <w:pStyle w:val="3"/>
        <w:bidi w:val="0"/>
        <w:rPr>
          <w:highlight w:val="none"/>
        </w:rPr>
      </w:pPr>
      <w:bookmarkStart w:id="588" w:name="_Toc3913"/>
      <w:bookmarkStart w:id="589" w:name="_Toc15991709"/>
      <w:bookmarkStart w:id="590" w:name="_Toc528847181"/>
      <w:bookmarkStart w:id="591" w:name="_Toc21646"/>
      <w:r>
        <w:rPr>
          <w:highlight w:val="none"/>
        </w:rPr>
        <w:t>7.3环境效益分析</w:t>
      </w:r>
      <w:bookmarkEnd w:id="588"/>
      <w:bookmarkEnd w:id="589"/>
      <w:bookmarkEnd w:id="590"/>
      <w:bookmarkEnd w:id="591"/>
    </w:p>
    <w:p w14:paraId="51668CED">
      <w:pPr>
        <w:bidi w:val="0"/>
        <w:rPr>
          <w:rFonts w:hint="default"/>
          <w:highlight w:val="none"/>
        </w:rPr>
      </w:pPr>
      <w:bookmarkStart w:id="592" w:name="_Toc15991714"/>
      <w:bookmarkStart w:id="593" w:name="_Toc528847186"/>
      <w:r>
        <w:rPr>
          <w:rFonts w:hint="default"/>
          <w:highlight w:val="none"/>
        </w:rPr>
        <w:t>我国是人口众多、资源相对不足的国家，在现代化的建设中必须实施可持续发展的战略。环境保护是我国的基本国策，加强对固体废物和危险废物污染的防治，是可持续发展战略的重要组成部分。</w:t>
      </w:r>
    </w:p>
    <w:p w14:paraId="426E58BC">
      <w:pPr>
        <w:bidi w:val="0"/>
        <w:rPr>
          <w:rFonts w:hint="default"/>
          <w:highlight w:val="none"/>
        </w:rPr>
      </w:pPr>
      <w:r>
        <w:rPr>
          <w:rFonts w:hint="default"/>
          <w:highlight w:val="none"/>
        </w:rPr>
        <w:t>随着社会进步、科技和经济的发展，在生产和生活过程产生的大量固体废物，尤其是危险废物对环境的污染和对生态的破坏程度日益加剧。由于无组织排放造成的重大事故和环境的破坏也十分严重，对经济的发展和人民生活水平的提高形成负面影响。因此在各级政府的高度重视下，实施固体废物的集中管理和处置，</w:t>
      </w:r>
    </w:p>
    <w:p w14:paraId="12DE9638">
      <w:pPr>
        <w:bidi w:val="0"/>
        <w:rPr>
          <w:rFonts w:hint="default"/>
          <w:highlight w:val="none"/>
        </w:rPr>
      </w:pPr>
      <w:r>
        <w:rPr>
          <w:rFonts w:hint="default"/>
          <w:highlight w:val="none"/>
        </w:rPr>
        <w:t>从分散的面源的管理转变为集中的点源管理，从无组织排放转变为有组织排放，从污染环境的废物转变为再生利用的资源，是可持续发展的前提条件之一。</w:t>
      </w:r>
    </w:p>
    <w:p w14:paraId="388350A0">
      <w:pPr>
        <w:bidi w:val="0"/>
        <w:rPr>
          <w:highlight w:val="none"/>
        </w:rPr>
      </w:pPr>
      <w:r>
        <w:rPr>
          <w:rFonts w:hint="default"/>
          <w:highlight w:val="none"/>
        </w:rPr>
        <w:t>从建设项目本身性质来说是一项固体废物处理的环保工程，对削减当地的危险废物排放量，改善环境质量和城市投资环境，促进区域环保工作的顺利开展，具有良好的社会效益。</w:t>
      </w:r>
    </w:p>
    <w:p w14:paraId="23A7A600">
      <w:pPr>
        <w:pStyle w:val="3"/>
        <w:bidi w:val="0"/>
        <w:rPr>
          <w:highlight w:val="none"/>
        </w:rPr>
      </w:pPr>
      <w:bookmarkStart w:id="594" w:name="_Toc8989"/>
      <w:bookmarkStart w:id="595" w:name="_Toc25796"/>
      <w:r>
        <w:rPr>
          <w:highlight w:val="none"/>
        </w:rPr>
        <w:t>7.</w:t>
      </w:r>
      <w:bookmarkEnd w:id="592"/>
      <w:bookmarkEnd w:id="593"/>
      <w:r>
        <w:rPr>
          <w:highlight w:val="none"/>
        </w:rPr>
        <w:t>4小结</w:t>
      </w:r>
      <w:bookmarkEnd w:id="594"/>
      <w:bookmarkEnd w:id="595"/>
    </w:p>
    <w:p w14:paraId="2319505D">
      <w:pPr>
        <w:pStyle w:val="76"/>
        <w:snapToGrid/>
        <w:contextualSpacing/>
        <w:jc w:val="both"/>
        <w:rPr>
          <w:rFonts w:hint="default" w:ascii="Times New Roman" w:hAnsi="Times New Roman" w:cs="Times New Roman"/>
          <w:spacing w:val="0"/>
          <w:position w:val="0"/>
          <w:highlight w:val="none"/>
        </w:rPr>
      </w:pPr>
      <w:bookmarkStart w:id="596" w:name="_Toc477954588"/>
      <w:r>
        <w:rPr>
          <w:rFonts w:hint="default" w:ascii="Times New Roman" w:hAnsi="Times New Roman" w:cs="Times New Roman"/>
          <w:spacing w:val="0"/>
          <w:position w:val="0"/>
          <w:highlight w:val="none"/>
        </w:rPr>
        <w:t>建设项目是危险废物的综合利用和处置工程，建设项目实施后有利于促进嫩江市及临近区域危险废物无害化处理，对</w:t>
      </w:r>
      <w:r>
        <w:rPr>
          <w:rFonts w:hint="eastAsia" w:ascii="Times New Roman" w:hAnsi="Times New Roman" w:cs="Times New Roman"/>
          <w:spacing w:val="0"/>
          <w:position w:val="0"/>
          <w:highlight w:val="none"/>
          <w:lang w:val="en-US" w:eastAsia="zh-CN"/>
        </w:rPr>
        <w:t>哈尔滨</w:t>
      </w:r>
      <w:r>
        <w:rPr>
          <w:rFonts w:hint="default" w:ascii="Times New Roman" w:hAnsi="Times New Roman" w:cs="Times New Roman"/>
          <w:spacing w:val="0"/>
          <w:position w:val="0"/>
          <w:highlight w:val="none"/>
        </w:rPr>
        <w:t>市危险废物的管理、污染物总量的削减和经济的可持续发展都十分有利，具有良好的环境效益和社会效益。</w:t>
      </w:r>
    </w:p>
    <w:p w14:paraId="5BB76AF2">
      <w:pPr>
        <w:pStyle w:val="76"/>
        <w:snapToGrid/>
        <w:contextualSpacing/>
        <w:jc w:val="both"/>
        <w:rPr>
          <w:rFonts w:hint="default" w:ascii="Times New Roman" w:hAnsi="Times New Roman" w:cs="Times New Roman"/>
          <w:spacing w:val="0"/>
          <w:position w:val="0"/>
          <w:highlight w:val="none"/>
        </w:rPr>
      </w:pPr>
      <w:r>
        <w:rPr>
          <w:rFonts w:hint="default" w:ascii="Times New Roman" w:hAnsi="Times New Roman" w:cs="Times New Roman"/>
          <w:spacing w:val="0"/>
          <w:position w:val="0"/>
          <w:highlight w:val="none"/>
        </w:rPr>
        <w:t>工业危险废物的委托处置行为属于一种消费行为，就目前的危废处置市场需求来看，供不应求的市场现状使得危险废物处置企业具有较高的利润空间，即便在将来可能出现的危险废物处置设施能力供过于求现象，因国家环保法律对危险废物管控的严格要求，对企业而言基本不可能出现没有经济效益的收集处置行为。因此危险废物处置企业具有较为保障的经济收益空间。</w:t>
      </w:r>
    </w:p>
    <w:p w14:paraId="2C5C5F9C">
      <w:pPr>
        <w:bidi w:val="0"/>
        <w:rPr>
          <w:highlight w:val="none"/>
        </w:rPr>
      </w:pPr>
      <w:r>
        <w:rPr>
          <w:rFonts w:hint="default" w:ascii="Times New Roman" w:hAnsi="Times New Roman" w:cs="Times New Roman"/>
          <w:spacing w:val="0"/>
          <w:position w:val="0"/>
          <w:highlight w:val="none"/>
        </w:rPr>
        <w:t>综上分析，建设项目在认真落实各项污染防治措施和环境风险防范措施前提下，确保危险废物集中处理过程中避免二次污染及环境风险事件发生，建设项目的建设与运营具有良好的环境效益、社会效益和经济效益</w:t>
      </w:r>
      <w:r>
        <w:rPr>
          <w:highlight w:val="none"/>
        </w:rPr>
        <w:t>。</w:t>
      </w:r>
    </w:p>
    <w:p w14:paraId="062CF42F">
      <w:pPr>
        <w:rPr>
          <w:rFonts w:eastAsiaTheme="minorEastAsia"/>
          <w:kern w:val="0"/>
          <w:sz w:val="32"/>
          <w:szCs w:val="32"/>
          <w:highlight w:val="none"/>
        </w:rPr>
      </w:pPr>
    </w:p>
    <w:p w14:paraId="76FB5386">
      <w:pPr>
        <w:rPr>
          <w:rFonts w:eastAsiaTheme="minorEastAsia"/>
          <w:kern w:val="0"/>
          <w:sz w:val="32"/>
          <w:szCs w:val="32"/>
          <w:highlight w:val="none"/>
        </w:rPr>
      </w:pPr>
    </w:p>
    <w:p w14:paraId="791682FB">
      <w:pPr>
        <w:rPr>
          <w:rFonts w:eastAsiaTheme="minorEastAsia"/>
          <w:kern w:val="0"/>
          <w:sz w:val="32"/>
          <w:szCs w:val="32"/>
          <w:highlight w:val="none"/>
        </w:rPr>
      </w:pPr>
    </w:p>
    <w:p w14:paraId="7B9D7BF8">
      <w:pPr>
        <w:rPr>
          <w:rFonts w:eastAsiaTheme="minorEastAsia"/>
          <w:kern w:val="0"/>
          <w:sz w:val="32"/>
          <w:szCs w:val="32"/>
          <w:highlight w:val="none"/>
        </w:rPr>
        <w:sectPr>
          <w:pgSz w:w="11906" w:h="16838"/>
          <w:pgMar w:top="1440" w:right="1797" w:bottom="1440" w:left="1797" w:header="851" w:footer="992" w:gutter="0"/>
          <w:pgBorders w:offsetFrom="page">
            <w:top w:val="none" w:sz="0" w:space="0"/>
            <w:left w:val="none" w:sz="0" w:space="0"/>
            <w:bottom w:val="none" w:sz="0" w:space="0"/>
            <w:right w:val="none" w:sz="0" w:space="0"/>
          </w:pgBorders>
          <w:cols w:space="425" w:num="1"/>
          <w:docGrid w:type="linesAndChars" w:linePitch="326" w:charSpace="0"/>
        </w:sectPr>
      </w:pPr>
    </w:p>
    <w:p w14:paraId="7F26C79E">
      <w:pPr>
        <w:pStyle w:val="2"/>
        <w:bidi w:val="0"/>
        <w:rPr>
          <w:highlight w:val="none"/>
        </w:rPr>
      </w:pPr>
      <w:bookmarkStart w:id="597" w:name="_Toc17766"/>
      <w:bookmarkStart w:id="598" w:name="_Toc7618"/>
      <w:bookmarkStart w:id="599" w:name="_Toc7453"/>
      <w:r>
        <w:rPr>
          <w:highlight w:val="none"/>
        </w:rPr>
        <w:t>8环境管理与监测计划</w:t>
      </w:r>
      <w:bookmarkEnd w:id="596"/>
      <w:bookmarkEnd w:id="597"/>
      <w:bookmarkEnd w:id="598"/>
      <w:bookmarkEnd w:id="599"/>
    </w:p>
    <w:p w14:paraId="179814D5">
      <w:pPr>
        <w:pStyle w:val="3"/>
        <w:bidi w:val="0"/>
        <w:rPr>
          <w:highlight w:val="none"/>
        </w:rPr>
      </w:pPr>
      <w:bookmarkStart w:id="600" w:name="_Toc20378"/>
      <w:bookmarkStart w:id="601" w:name="_Toc477954589"/>
      <w:bookmarkStart w:id="602" w:name="_Toc3797"/>
      <w:r>
        <w:rPr>
          <w:highlight w:val="none"/>
        </w:rPr>
        <w:t>8.1环境管理</w:t>
      </w:r>
      <w:bookmarkEnd w:id="600"/>
      <w:bookmarkEnd w:id="601"/>
      <w:bookmarkEnd w:id="602"/>
    </w:p>
    <w:p w14:paraId="1ED38391">
      <w:pPr>
        <w:bidi w:val="0"/>
        <w:rPr>
          <w:highlight w:val="none"/>
        </w:rPr>
      </w:pPr>
      <w:r>
        <w:rPr>
          <w:highlight w:val="none"/>
        </w:rPr>
        <w:t>环境管理是以环境科学理论为基础，运用经济、法律、技术、行政、教育等手段对经济、社会发展过程中施加给环境的污染和破坏影响进行调节控制，实现经济、社会和环境效益的和谐统一。</w:t>
      </w:r>
    </w:p>
    <w:p w14:paraId="09B4A094">
      <w:pPr>
        <w:bidi w:val="0"/>
        <w:rPr>
          <w:highlight w:val="none"/>
        </w:rPr>
      </w:pPr>
      <w:r>
        <w:rPr>
          <w:highlight w:val="none"/>
        </w:rPr>
        <w:t>为全面贯彻和落实国家及地方环保法律、法规，加强企业内部污染物排放监督控制，本项目将环境保护纳入企业管理和生产计划之中，企业内部必须建立相应的环境管理机构及监控计划。</w:t>
      </w:r>
    </w:p>
    <w:p w14:paraId="072C4B5B">
      <w:pPr>
        <w:bidi w:val="0"/>
        <w:rPr>
          <w:highlight w:val="none"/>
        </w:rPr>
      </w:pPr>
      <w:bookmarkStart w:id="603" w:name="_Toc12682"/>
      <w:bookmarkStart w:id="604" w:name="_Toc477954590"/>
      <w:bookmarkStart w:id="605" w:name="_Toc342462534"/>
      <w:r>
        <w:rPr>
          <w:highlight w:val="none"/>
        </w:rPr>
        <w:t>1、管理机构</w:t>
      </w:r>
      <w:bookmarkEnd w:id="603"/>
    </w:p>
    <w:p w14:paraId="74ECA43C">
      <w:pPr>
        <w:bidi w:val="0"/>
        <w:rPr>
          <w:highlight w:val="none"/>
        </w:rPr>
      </w:pPr>
      <w:r>
        <w:rPr>
          <w:highlight w:val="none"/>
        </w:rPr>
        <w:t>工业企业环境管理，就是以管理工程和环境科学的理论为基础，运用技术、经济、法律、行政和教育手段，对损害环境质量的生产经营活动加以限制，协调发展生产与保护环境的关系，使生产目标与环境目标统一起来，经济效益与环境效益统一起来。</w:t>
      </w:r>
    </w:p>
    <w:p w14:paraId="6AAF733B">
      <w:pPr>
        <w:bidi w:val="0"/>
        <w:rPr>
          <w:highlight w:val="none"/>
        </w:rPr>
      </w:pPr>
      <w:r>
        <w:rPr>
          <w:highlight w:val="none"/>
        </w:rPr>
        <w:t>根据本项目的污染特点，建设单位应有</w:t>
      </w:r>
      <w:r>
        <w:rPr>
          <w:rFonts w:hint="eastAsia"/>
          <w:highlight w:val="none"/>
          <w:lang w:val="en-US" w:eastAsia="zh-CN"/>
        </w:rPr>
        <w:t>一</w:t>
      </w:r>
      <w:r>
        <w:rPr>
          <w:highlight w:val="none"/>
        </w:rPr>
        <w:t>名副经理负责环保工作，设立环境保护管理机构，配备专职环保管理人员两人。</w:t>
      </w:r>
    </w:p>
    <w:p w14:paraId="1E3AF8BF">
      <w:pPr>
        <w:bidi w:val="0"/>
        <w:rPr>
          <w:highlight w:val="none"/>
        </w:rPr>
      </w:pPr>
      <w:bookmarkStart w:id="606" w:name="_Toc29909"/>
      <w:r>
        <w:rPr>
          <w:highlight w:val="none"/>
        </w:rPr>
        <w:t>2、企业环境管理机构的基本职能与职责</w:t>
      </w:r>
      <w:bookmarkEnd w:id="606"/>
    </w:p>
    <w:p w14:paraId="5E98C704">
      <w:pPr>
        <w:bidi w:val="0"/>
        <w:rPr>
          <w:highlight w:val="none"/>
        </w:rPr>
      </w:pPr>
      <w:r>
        <w:rPr>
          <w:highlight w:val="none"/>
        </w:rPr>
        <w:t>（1）基本职能</w:t>
      </w:r>
    </w:p>
    <w:p w14:paraId="0CA2733C">
      <w:pPr>
        <w:bidi w:val="0"/>
        <w:rPr>
          <w:highlight w:val="none"/>
        </w:rPr>
      </w:pPr>
      <w:r>
        <w:rPr>
          <w:highlight w:val="none"/>
        </w:rPr>
        <w:t>企业环境管理机构是企业管理工作的职能部门，其基本职能有以下三方面：</w:t>
      </w:r>
    </w:p>
    <w:p w14:paraId="5E79B7E0">
      <w:pPr>
        <w:bidi w:val="0"/>
        <w:rPr>
          <w:highlight w:val="none"/>
        </w:rPr>
      </w:pPr>
      <w:r>
        <w:rPr>
          <w:highlight w:val="none"/>
        </w:rPr>
        <w:t>①组织编制环境计划（包括规划）；</w:t>
      </w:r>
    </w:p>
    <w:p w14:paraId="1F76D6DE">
      <w:pPr>
        <w:bidi w:val="0"/>
        <w:rPr>
          <w:highlight w:val="none"/>
        </w:rPr>
      </w:pPr>
      <w:r>
        <w:rPr>
          <w:highlight w:val="none"/>
        </w:rPr>
        <w:t>②组织环境保护工作的协调；</w:t>
      </w:r>
    </w:p>
    <w:p w14:paraId="426FF935">
      <w:pPr>
        <w:bidi w:val="0"/>
        <w:rPr>
          <w:highlight w:val="none"/>
        </w:rPr>
      </w:pPr>
      <w:r>
        <w:rPr>
          <w:highlight w:val="none"/>
        </w:rPr>
        <w:t>③实施企业环境监督。</w:t>
      </w:r>
    </w:p>
    <w:p w14:paraId="28E9E35B">
      <w:pPr>
        <w:bidi w:val="0"/>
        <w:rPr>
          <w:highlight w:val="none"/>
        </w:rPr>
      </w:pPr>
      <w:r>
        <w:rPr>
          <w:highlight w:val="none"/>
        </w:rPr>
        <w:t>（2）主要工作职责</w:t>
      </w:r>
    </w:p>
    <w:p w14:paraId="77DFEF7F">
      <w:pPr>
        <w:bidi w:val="0"/>
        <w:rPr>
          <w:highlight w:val="none"/>
        </w:rPr>
      </w:pPr>
      <w:r>
        <w:rPr>
          <w:highlight w:val="none"/>
        </w:rPr>
        <w:t>a、督促、检查本企业执行国家环境保护方针、政策、法规及本企业环境保护制度；</w:t>
      </w:r>
    </w:p>
    <w:p w14:paraId="27B93B84">
      <w:pPr>
        <w:bidi w:val="0"/>
        <w:rPr>
          <w:highlight w:val="none"/>
        </w:rPr>
      </w:pPr>
      <w:r>
        <w:rPr>
          <w:highlight w:val="none"/>
        </w:rPr>
        <w:t>b、拟定本企业环境管理办法，按照国家和地区的规定</w:t>
      </w:r>
      <w:r>
        <w:rPr>
          <w:rFonts w:hint="eastAsia"/>
          <w:highlight w:val="none"/>
          <w:lang w:eastAsia="zh-CN"/>
        </w:rPr>
        <w:t>制定</w:t>
      </w:r>
      <w:r>
        <w:rPr>
          <w:highlight w:val="none"/>
        </w:rPr>
        <w:t>本企业污染物排放指标和污染综合防治的经济技术原则，做好企业升级环保考核工作；</w:t>
      </w:r>
    </w:p>
    <w:p w14:paraId="25F6A571">
      <w:pPr>
        <w:bidi w:val="0"/>
        <w:rPr>
          <w:highlight w:val="none"/>
        </w:rPr>
      </w:pPr>
      <w:r>
        <w:rPr>
          <w:highlight w:val="none"/>
        </w:rPr>
        <w:t>c、负责组织污染源调查，填写环保报表；</w:t>
      </w:r>
    </w:p>
    <w:p w14:paraId="1B649E3C">
      <w:pPr>
        <w:bidi w:val="0"/>
        <w:rPr>
          <w:highlight w:val="none"/>
        </w:rPr>
      </w:pPr>
      <w:r>
        <w:rPr>
          <w:highlight w:val="none"/>
        </w:rPr>
        <w:t>d、组织推动本企业在基本建设、技术改造中，贯彻执行</w:t>
      </w:r>
      <w:r>
        <w:rPr>
          <w:rFonts w:hint="eastAsia"/>
          <w:highlight w:val="none"/>
          <w:lang w:eastAsia="zh-CN"/>
        </w:rPr>
        <w:t>“</w:t>
      </w:r>
      <w:r>
        <w:rPr>
          <w:highlight w:val="none"/>
        </w:rPr>
        <w:t>三同时</w:t>
      </w:r>
      <w:r>
        <w:rPr>
          <w:rFonts w:hint="eastAsia"/>
          <w:highlight w:val="none"/>
          <w:lang w:eastAsia="zh-CN"/>
        </w:rPr>
        <w:t>”</w:t>
      </w:r>
      <w:r>
        <w:rPr>
          <w:highlight w:val="none"/>
        </w:rPr>
        <w:t>的规定，并参加有关方案的审定及竣工验收工作；</w:t>
      </w:r>
    </w:p>
    <w:p w14:paraId="72C0FD28">
      <w:pPr>
        <w:bidi w:val="0"/>
        <w:rPr>
          <w:highlight w:val="none"/>
        </w:rPr>
      </w:pPr>
      <w:r>
        <w:rPr>
          <w:highlight w:val="none"/>
        </w:rPr>
        <w:t>e、加强与主管</w:t>
      </w:r>
      <w:r>
        <w:rPr>
          <w:rFonts w:hint="eastAsia"/>
          <w:highlight w:val="none"/>
          <w:lang w:eastAsia="zh-CN"/>
        </w:rPr>
        <w:t>环保部门</w:t>
      </w:r>
      <w:r>
        <w:rPr>
          <w:highlight w:val="none"/>
        </w:rPr>
        <w:t>的联系，会同有关单位做好环境预测，制定企业环境保护长远规划和年度计划，并督促实施；</w:t>
      </w:r>
    </w:p>
    <w:p w14:paraId="1EEFBCF5">
      <w:pPr>
        <w:bidi w:val="0"/>
        <w:rPr>
          <w:highlight w:val="none"/>
        </w:rPr>
      </w:pPr>
      <w:r>
        <w:rPr>
          <w:highlight w:val="none"/>
        </w:rPr>
        <w:t>f、组织有关部门和人员，检查企业环境质量状况及发展趋势；</w:t>
      </w:r>
    </w:p>
    <w:p w14:paraId="0B65B900">
      <w:pPr>
        <w:bidi w:val="0"/>
        <w:rPr>
          <w:highlight w:val="none"/>
        </w:rPr>
      </w:pPr>
      <w:r>
        <w:rPr>
          <w:highlight w:val="none"/>
        </w:rPr>
        <w:t>g、监督全厂环境保护设施的运行与污染物的排放；</w:t>
      </w:r>
    </w:p>
    <w:p w14:paraId="425EB977">
      <w:pPr>
        <w:bidi w:val="0"/>
        <w:rPr>
          <w:highlight w:val="none"/>
        </w:rPr>
      </w:pPr>
      <w:r>
        <w:rPr>
          <w:highlight w:val="none"/>
        </w:rPr>
        <w:t>h、会同有关单位组织和开展企业环境科研工作；</w:t>
      </w:r>
    </w:p>
    <w:p w14:paraId="3CF26806">
      <w:pPr>
        <w:bidi w:val="0"/>
        <w:rPr>
          <w:highlight w:val="none"/>
        </w:rPr>
      </w:pPr>
      <w:r>
        <w:rPr>
          <w:highlight w:val="none"/>
        </w:rPr>
        <w:t>i、负责组织本企业污染事故的调查与处理；</w:t>
      </w:r>
    </w:p>
    <w:p w14:paraId="23262297">
      <w:pPr>
        <w:bidi w:val="0"/>
        <w:rPr>
          <w:highlight w:val="none"/>
        </w:rPr>
      </w:pPr>
      <w:r>
        <w:rPr>
          <w:highlight w:val="none"/>
        </w:rPr>
        <w:t>j、做好企业环境统计工作，建立环境保护档案；</w:t>
      </w:r>
    </w:p>
    <w:p w14:paraId="5967BFE7">
      <w:pPr>
        <w:bidi w:val="0"/>
        <w:rPr>
          <w:highlight w:val="none"/>
        </w:rPr>
      </w:pPr>
      <w:r>
        <w:rPr>
          <w:highlight w:val="none"/>
        </w:rPr>
        <w:t>k、会同有关单位组织开展清洁生产活动，负责广泛开展环境宣传教育活动，普及环境科学知识，推动清洁生产活动的深度开展。</w:t>
      </w:r>
    </w:p>
    <w:p w14:paraId="16BF1572">
      <w:pPr>
        <w:bidi w:val="0"/>
        <w:rPr>
          <w:highlight w:val="none"/>
        </w:rPr>
      </w:pPr>
      <w:bookmarkStart w:id="607" w:name="_Toc16256"/>
      <w:r>
        <w:rPr>
          <w:highlight w:val="none"/>
        </w:rPr>
        <w:t>3、企业管理</w:t>
      </w:r>
      <w:bookmarkEnd w:id="607"/>
    </w:p>
    <w:p w14:paraId="51A81D08">
      <w:pPr>
        <w:bidi w:val="0"/>
        <w:rPr>
          <w:highlight w:val="none"/>
        </w:rPr>
      </w:pPr>
      <w:r>
        <w:rPr>
          <w:highlight w:val="none"/>
        </w:rPr>
        <w:t>（1）确保各项环保设施的正常运转，负责日常维护，并制定事故的应急处理方法；</w:t>
      </w:r>
    </w:p>
    <w:p w14:paraId="53C604FD">
      <w:pPr>
        <w:bidi w:val="0"/>
        <w:rPr>
          <w:highlight w:val="none"/>
        </w:rPr>
      </w:pPr>
      <w:r>
        <w:rPr>
          <w:highlight w:val="none"/>
        </w:rPr>
        <w:t>（2）加强管理，提出清洁生产方案，降低了污染物的可能产生量；</w:t>
      </w:r>
    </w:p>
    <w:p w14:paraId="5BC0A233">
      <w:pPr>
        <w:bidi w:val="0"/>
        <w:rPr>
          <w:highlight w:val="none"/>
        </w:rPr>
      </w:pPr>
      <w:r>
        <w:rPr>
          <w:highlight w:val="none"/>
        </w:rPr>
        <w:t>（3）加强对生产设备的管理和维护，杜绝跑、冒、滴、漏现象的发生；</w:t>
      </w:r>
    </w:p>
    <w:p w14:paraId="331DB839">
      <w:pPr>
        <w:bidi w:val="0"/>
        <w:rPr>
          <w:highlight w:val="none"/>
        </w:rPr>
      </w:pPr>
      <w:r>
        <w:rPr>
          <w:highlight w:val="none"/>
        </w:rPr>
        <w:t>（4）负责企业的日常环境监测工作。</w:t>
      </w:r>
    </w:p>
    <w:p w14:paraId="1319C55F">
      <w:pPr>
        <w:pStyle w:val="4"/>
        <w:bidi w:val="0"/>
        <w:rPr>
          <w:highlight w:val="none"/>
        </w:rPr>
      </w:pPr>
      <w:bookmarkStart w:id="608" w:name="_Toc15991718"/>
      <w:bookmarkStart w:id="609" w:name="_Toc21465"/>
      <w:bookmarkStart w:id="610" w:name="_Toc20202"/>
      <w:r>
        <w:rPr>
          <w:highlight w:val="none"/>
        </w:rPr>
        <w:t>8.1.1施工期环境管理</w:t>
      </w:r>
      <w:bookmarkEnd w:id="608"/>
      <w:r>
        <w:rPr>
          <w:highlight w:val="none"/>
        </w:rPr>
        <w:t>要求</w:t>
      </w:r>
      <w:bookmarkEnd w:id="609"/>
      <w:bookmarkEnd w:id="610"/>
    </w:p>
    <w:p w14:paraId="7C08F268">
      <w:pPr>
        <w:bidi w:val="0"/>
        <w:rPr>
          <w:highlight w:val="none"/>
        </w:rPr>
      </w:pPr>
      <w:r>
        <w:rPr>
          <w:highlight w:val="none"/>
        </w:rPr>
        <w:t>1、环境管理机构对施工期环境保护工作全面负责，履行施工期各阶段环境管理职责。</w:t>
      </w:r>
    </w:p>
    <w:p w14:paraId="7C7F70AB">
      <w:pPr>
        <w:bidi w:val="0"/>
        <w:rPr>
          <w:highlight w:val="none"/>
        </w:rPr>
      </w:pPr>
      <w:r>
        <w:rPr>
          <w:highlight w:val="none"/>
        </w:rPr>
        <w:t>2、对施工队伍实行职责管理，要求施工队伍按要求文明施工，并做好监督、检查和教育工作。</w:t>
      </w:r>
    </w:p>
    <w:p w14:paraId="00B9D20B">
      <w:pPr>
        <w:bidi w:val="0"/>
        <w:rPr>
          <w:highlight w:val="none"/>
        </w:rPr>
      </w:pPr>
      <w:r>
        <w:rPr>
          <w:highlight w:val="none"/>
        </w:rPr>
        <w:t>3、按照环保主管部门的要求和本报告书中有关环境保护对策措施对施工程序和场地布置实施统一安排。</w:t>
      </w:r>
    </w:p>
    <w:p w14:paraId="68ECC21C">
      <w:pPr>
        <w:pStyle w:val="4"/>
        <w:bidi w:val="0"/>
        <w:rPr>
          <w:highlight w:val="none"/>
        </w:rPr>
      </w:pPr>
      <w:bookmarkStart w:id="611" w:name="_Toc15991719"/>
      <w:bookmarkStart w:id="612" w:name="_Toc9339"/>
      <w:bookmarkStart w:id="613" w:name="_Toc15462"/>
      <w:r>
        <w:rPr>
          <w:highlight w:val="none"/>
        </w:rPr>
        <w:t>8.1.2运行期环境管理</w:t>
      </w:r>
      <w:bookmarkEnd w:id="611"/>
      <w:r>
        <w:rPr>
          <w:highlight w:val="none"/>
        </w:rPr>
        <w:t>要求</w:t>
      </w:r>
      <w:bookmarkEnd w:id="612"/>
      <w:bookmarkEnd w:id="613"/>
    </w:p>
    <w:p w14:paraId="5F84BA14">
      <w:pPr>
        <w:bidi w:val="0"/>
        <w:rPr>
          <w:highlight w:val="none"/>
        </w:rPr>
      </w:pPr>
      <w:r>
        <w:rPr>
          <w:highlight w:val="none"/>
        </w:rPr>
        <w:t>1、建立、执行并监督管理计划，对大气、废水、噪声等主要污染物制定详尽的监测、控制制度，以保证及时了解并控制污染物排放情况和对周围环境的影响情况。</w:t>
      </w:r>
    </w:p>
    <w:p w14:paraId="4A205CD6">
      <w:pPr>
        <w:bidi w:val="0"/>
        <w:rPr>
          <w:highlight w:val="none"/>
        </w:rPr>
      </w:pPr>
      <w:r>
        <w:rPr>
          <w:highlight w:val="none"/>
        </w:rPr>
        <w:t>2、加强项目运营设备与设施的巡查检查，对于损坏的零部件要及时更换或维修，对于潜在的风险及时采取有效措施加以防治处理。</w:t>
      </w:r>
    </w:p>
    <w:p w14:paraId="11C6AE9C">
      <w:pPr>
        <w:bidi w:val="0"/>
        <w:rPr>
          <w:highlight w:val="none"/>
        </w:rPr>
      </w:pPr>
      <w:r>
        <w:rPr>
          <w:highlight w:val="none"/>
        </w:rPr>
        <w:t>3、明确环境监测的职责，建立健全各项规章制度：根据国家环境标准，对重点污染源及污染物开展日常监测工作，编制表格和报表，定期上报有关主管部门，建立监测档案。</w:t>
      </w:r>
    </w:p>
    <w:p w14:paraId="3D81B585">
      <w:pPr>
        <w:bidi w:val="0"/>
        <w:rPr>
          <w:highlight w:val="none"/>
        </w:rPr>
      </w:pPr>
      <w:r>
        <w:rPr>
          <w:highlight w:val="none"/>
        </w:rPr>
        <w:t>4、做好运行期废水排放等运行情况记录，记录单位应存档至少5年。</w:t>
      </w:r>
    </w:p>
    <w:p w14:paraId="2E108868">
      <w:pPr>
        <w:pStyle w:val="4"/>
        <w:bidi w:val="0"/>
        <w:rPr>
          <w:highlight w:val="none"/>
        </w:rPr>
      </w:pPr>
      <w:bookmarkStart w:id="614" w:name="_Toc2450"/>
      <w:bookmarkStart w:id="615" w:name="_Toc527121434"/>
      <w:bookmarkStart w:id="616" w:name="_Toc31350"/>
      <w:bookmarkStart w:id="617" w:name="_Toc15991720"/>
      <w:r>
        <w:rPr>
          <w:highlight w:val="none"/>
        </w:rPr>
        <w:t>8.1.3污染物排放清单及管理要求</w:t>
      </w:r>
      <w:bookmarkEnd w:id="614"/>
      <w:bookmarkEnd w:id="615"/>
      <w:bookmarkEnd w:id="616"/>
      <w:bookmarkEnd w:id="617"/>
    </w:p>
    <w:p w14:paraId="2B3C87C0">
      <w:pPr>
        <w:spacing w:line="360" w:lineRule="auto"/>
        <w:ind w:firstLine="480" w:firstLineChars="200"/>
        <w:rPr>
          <w:rFonts w:eastAsiaTheme="minorEastAsia"/>
          <w:snapToGrid w:val="0"/>
          <w:kern w:val="0"/>
          <w:sz w:val="24"/>
          <w:highlight w:val="none"/>
        </w:rPr>
        <w:sectPr>
          <w:pgSz w:w="11906" w:h="16838"/>
          <w:pgMar w:top="1440" w:right="1797" w:bottom="1440" w:left="1797" w:header="851" w:footer="992" w:gutter="0"/>
          <w:pgBorders w:offsetFrom="page">
            <w:top w:val="none" w:sz="0" w:space="0"/>
            <w:left w:val="none" w:sz="0" w:space="0"/>
            <w:bottom w:val="none" w:sz="0" w:space="0"/>
            <w:right w:val="none" w:sz="0" w:space="0"/>
          </w:pgBorders>
          <w:cols w:space="425" w:num="1"/>
          <w:docGrid w:type="linesAndChars" w:linePitch="326" w:charSpace="0"/>
        </w:sectPr>
      </w:pPr>
      <w:r>
        <w:rPr>
          <w:rFonts w:hAnsiTheme="minorEastAsia" w:eastAsiaTheme="minorEastAsia"/>
          <w:snapToGrid w:val="0"/>
          <w:kern w:val="0"/>
          <w:sz w:val="24"/>
          <w:highlight w:val="none"/>
        </w:rPr>
        <w:t>本项目污染物排放清单及管理要求详见表</w:t>
      </w:r>
      <w:r>
        <w:rPr>
          <w:rFonts w:eastAsiaTheme="minorEastAsia"/>
          <w:snapToGrid w:val="0"/>
          <w:kern w:val="0"/>
          <w:sz w:val="24"/>
          <w:highlight w:val="none"/>
        </w:rPr>
        <w:t>8-1-1</w:t>
      </w:r>
      <w:r>
        <w:rPr>
          <w:rFonts w:hAnsiTheme="minorEastAsia" w:eastAsiaTheme="minorEastAsia"/>
          <w:snapToGrid w:val="0"/>
          <w:kern w:val="0"/>
          <w:sz w:val="24"/>
          <w:highlight w:val="none"/>
        </w:rPr>
        <w:t>。</w:t>
      </w:r>
    </w:p>
    <w:p w14:paraId="7A11E585">
      <w:pPr>
        <w:pStyle w:val="7"/>
        <w:bidi w:val="0"/>
        <w:rPr>
          <w:highlight w:val="none"/>
          <w:lang w:val="zh-CN"/>
        </w:rPr>
      </w:pPr>
      <w:r>
        <w:rPr>
          <w:highlight w:val="none"/>
          <w:lang w:val="zh-CN"/>
        </w:rPr>
        <w:t>表8-1-1污染物排放清单一览表</w:t>
      </w:r>
    </w:p>
    <w:tbl>
      <w:tblPr>
        <w:tblStyle w:val="45"/>
        <w:tblW w:w="141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9"/>
        <w:gridCol w:w="1277"/>
        <w:gridCol w:w="1276"/>
        <w:gridCol w:w="3227"/>
        <w:gridCol w:w="1246"/>
        <w:gridCol w:w="1247"/>
        <w:gridCol w:w="3709"/>
        <w:gridCol w:w="1486"/>
      </w:tblGrid>
      <w:tr w14:paraId="4C38C9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09" w:type="dxa"/>
            <w:shd w:val="clear" w:color="auto" w:fill="DDD9C3"/>
            <w:vAlign w:val="center"/>
          </w:tcPr>
          <w:p w14:paraId="30A26F50">
            <w:pPr>
              <w:pStyle w:val="8"/>
              <w:suppressLineNumbers w:val="0"/>
              <w:bidi w:val="0"/>
              <w:spacing w:before="0" w:beforeAutospacing="0" w:after="0" w:afterAutospacing="0"/>
              <w:ind w:left="0" w:right="0"/>
              <w:rPr>
                <w:rFonts w:hint="default"/>
                <w:highlight w:val="none"/>
              </w:rPr>
            </w:pPr>
            <w:r>
              <w:rPr>
                <w:rFonts w:hint="default"/>
                <w:highlight w:val="none"/>
              </w:rPr>
              <w:t>类别</w:t>
            </w:r>
          </w:p>
        </w:tc>
        <w:tc>
          <w:tcPr>
            <w:tcW w:w="1277" w:type="dxa"/>
            <w:shd w:val="clear" w:color="auto" w:fill="DDD9C3"/>
            <w:vAlign w:val="center"/>
          </w:tcPr>
          <w:p w14:paraId="7974E36B">
            <w:pPr>
              <w:pStyle w:val="8"/>
              <w:suppressLineNumbers w:val="0"/>
              <w:bidi w:val="0"/>
              <w:spacing w:before="0" w:beforeAutospacing="0" w:after="0" w:afterAutospacing="0"/>
              <w:ind w:left="0" w:right="0"/>
              <w:rPr>
                <w:rFonts w:hint="default"/>
                <w:highlight w:val="none"/>
              </w:rPr>
            </w:pPr>
            <w:r>
              <w:rPr>
                <w:rFonts w:hint="default"/>
                <w:highlight w:val="none"/>
              </w:rPr>
              <w:t>项目</w:t>
            </w:r>
          </w:p>
        </w:tc>
        <w:tc>
          <w:tcPr>
            <w:tcW w:w="1276" w:type="dxa"/>
            <w:shd w:val="clear" w:color="auto" w:fill="DDD9C3"/>
            <w:vAlign w:val="center"/>
          </w:tcPr>
          <w:p w14:paraId="1D51C346">
            <w:pPr>
              <w:pStyle w:val="8"/>
              <w:suppressLineNumbers w:val="0"/>
              <w:bidi w:val="0"/>
              <w:spacing w:before="0" w:beforeAutospacing="0" w:after="0" w:afterAutospacing="0"/>
              <w:ind w:left="0" w:right="0"/>
              <w:rPr>
                <w:rFonts w:hint="default"/>
                <w:highlight w:val="none"/>
              </w:rPr>
            </w:pPr>
            <w:r>
              <w:rPr>
                <w:rFonts w:hint="default"/>
                <w:highlight w:val="none"/>
              </w:rPr>
              <w:t>污染因子</w:t>
            </w:r>
          </w:p>
        </w:tc>
        <w:tc>
          <w:tcPr>
            <w:tcW w:w="3227" w:type="dxa"/>
            <w:shd w:val="clear" w:color="auto" w:fill="DDD9C3"/>
            <w:vAlign w:val="center"/>
          </w:tcPr>
          <w:p w14:paraId="5B587E04">
            <w:pPr>
              <w:pStyle w:val="8"/>
              <w:suppressLineNumbers w:val="0"/>
              <w:bidi w:val="0"/>
              <w:spacing w:before="0" w:beforeAutospacing="0" w:after="0" w:afterAutospacing="0"/>
              <w:ind w:left="0" w:right="0"/>
              <w:rPr>
                <w:rFonts w:hint="default"/>
                <w:highlight w:val="none"/>
              </w:rPr>
            </w:pPr>
            <w:r>
              <w:rPr>
                <w:rFonts w:hint="default"/>
                <w:highlight w:val="none"/>
              </w:rPr>
              <w:t>污染防治措施</w:t>
            </w:r>
          </w:p>
        </w:tc>
        <w:tc>
          <w:tcPr>
            <w:tcW w:w="1246" w:type="dxa"/>
            <w:shd w:val="clear" w:color="auto" w:fill="DDD9C3"/>
            <w:vAlign w:val="center"/>
          </w:tcPr>
          <w:p w14:paraId="744BDCD7">
            <w:pPr>
              <w:pStyle w:val="8"/>
              <w:suppressLineNumbers w:val="0"/>
              <w:bidi w:val="0"/>
              <w:spacing w:before="0" w:beforeAutospacing="0" w:after="0" w:afterAutospacing="0"/>
              <w:ind w:left="0" w:right="0"/>
              <w:rPr>
                <w:rFonts w:hint="default"/>
                <w:highlight w:val="none"/>
              </w:rPr>
            </w:pPr>
            <w:r>
              <w:rPr>
                <w:rFonts w:hint="default"/>
                <w:highlight w:val="none"/>
              </w:rPr>
              <w:t>排放浓度</w:t>
            </w:r>
          </w:p>
        </w:tc>
        <w:tc>
          <w:tcPr>
            <w:tcW w:w="1247" w:type="dxa"/>
            <w:shd w:val="clear" w:color="auto" w:fill="DDD9C3"/>
            <w:vAlign w:val="center"/>
          </w:tcPr>
          <w:p w14:paraId="43E73510">
            <w:pPr>
              <w:pStyle w:val="8"/>
              <w:suppressLineNumbers w:val="0"/>
              <w:bidi w:val="0"/>
              <w:spacing w:before="0" w:beforeAutospacing="0" w:after="0" w:afterAutospacing="0"/>
              <w:ind w:left="0" w:right="0"/>
              <w:rPr>
                <w:rFonts w:hint="default"/>
                <w:highlight w:val="none"/>
              </w:rPr>
            </w:pPr>
            <w:r>
              <w:rPr>
                <w:rFonts w:hint="default"/>
                <w:highlight w:val="none"/>
              </w:rPr>
              <w:t>总量指标</w:t>
            </w:r>
          </w:p>
        </w:tc>
        <w:tc>
          <w:tcPr>
            <w:tcW w:w="3709" w:type="dxa"/>
            <w:shd w:val="clear" w:color="auto" w:fill="DDD9C3"/>
            <w:vAlign w:val="center"/>
          </w:tcPr>
          <w:p w14:paraId="394B8B3E">
            <w:pPr>
              <w:pStyle w:val="8"/>
              <w:suppressLineNumbers w:val="0"/>
              <w:bidi w:val="0"/>
              <w:spacing w:before="0" w:beforeAutospacing="0" w:after="0" w:afterAutospacing="0"/>
              <w:ind w:left="0" w:right="0"/>
              <w:rPr>
                <w:rFonts w:hint="default"/>
                <w:highlight w:val="none"/>
              </w:rPr>
            </w:pPr>
            <w:r>
              <w:rPr>
                <w:rFonts w:hint="default"/>
                <w:highlight w:val="none"/>
              </w:rPr>
              <w:t>排放标准</w:t>
            </w:r>
          </w:p>
        </w:tc>
        <w:tc>
          <w:tcPr>
            <w:tcW w:w="1486" w:type="dxa"/>
            <w:shd w:val="clear" w:color="auto" w:fill="DDD9C3"/>
            <w:vAlign w:val="center"/>
          </w:tcPr>
          <w:p w14:paraId="263F88D4">
            <w:pPr>
              <w:pStyle w:val="8"/>
              <w:suppressLineNumbers w:val="0"/>
              <w:bidi w:val="0"/>
              <w:spacing w:before="0" w:beforeAutospacing="0" w:after="0" w:afterAutospacing="0"/>
              <w:ind w:left="0" w:right="0"/>
              <w:rPr>
                <w:rFonts w:hint="default"/>
                <w:highlight w:val="none"/>
              </w:rPr>
            </w:pPr>
            <w:r>
              <w:rPr>
                <w:rFonts w:hint="default"/>
                <w:highlight w:val="none"/>
              </w:rPr>
              <w:t>排放口信息</w:t>
            </w:r>
          </w:p>
        </w:tc>
      </w:tr>
      <w:tr w14:paraId="6997F5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09" w:type="dxa"/>
            <w:vMerge w:val="restart"/>
            <w:vAlign w:val="center"/>
          </w:tcPr>
          <w:p w14:paraId="35D37703">
            <w:pPr>
              <w:pStyle w:val="8"/>
              <w:suppressLineNumbers w:val="0"/>
              <w:bidi w:val="0"/>
              <w:spacing w:before="0" w:beforeAutospacing="0" w:after="0" w:afterAutospacing="0"/>
              <w:ind w:left="0" w:right="0"/>
              <w:rPr>
                <w:rFonts w:hint="default"/>
                <w:highlight w:val="none"/>
              </w:rPr>
            </w:pPr>
            <w:r>
              <w:rPr>
                <w:rFonts w:hint="default"/>
                <w:highlight w:val="none"/>
              </w:rPr>
              <w:t>废气</w:t>
            </w:r>
          </w:p>
        </w:tc>
        <w:tc>
          <w:tcPr>
            <w:tcW w:w="1277" w:type="dxa"/>
            <w:vMerge w:val="restart"/>
            <w:vAlign w:val="center"/>
          </w:tcPr>
          <w:p w14:paraId="6226DB33">
            <w:pPr>
              <w:pStyle w:val="8"/>
              <w:suppressLineNumbers w:val="0"/>
              <w:bidi w:val="0"/>
              <w:spacing w:before="0" w:beforeAutospacing="0" w:after="0" w:afterAutospacing="0"/>
              <w:ind w:left="0" w:right="0"/>
              <w:rPr>
                <w:rFonts w:hint="default" w:eastAsia="宋体"/>
                <w:highlight w:val="none"/>
                <w:lang w:val="en-US" w:eastAsia="zh-CN"/>
              </w:rPr>
            </w:pPr>
            <w:r>
              <w:rPr>
                <w:rFonts w:hint="eastAsia"/>
                <w:highlight w:val="none"/>
              </w:rPr>
              <w:t>DA0</w:t>
            </w:r>
            <w:r>
              <w:rPr>
                <w:rFonts w:hint="eastAsia"/>
                <w:highlight w:val="none"/>
                <w:lang w:val="en-US" w:eastAsia="zh-CN"/>
              </w:rPr>
              <w:t>67</w:t>
            </w:r>
          </w:p>
        </w:tc>
        <w:tc>
          <w:tcPr>
            <w:tcW w:w="1276" w:type="dxa"/>
            <w:vAlign w:val="center"/>
          </w:tcPr>
          <w:p w14:paraId="68D80AE1">
            <w:pPr>
              <w:pStyle w:val="8"/>
              <w:suppressLineNumbers w:val="0"/>
              <w:bidi w:val="0"/>
              <w:spacing w:before="0" w:beforeAutospacing="0" w:after="0" w:afterAutospacing="0"/>
              <w:ind w:left="0" w:right="0"/>
              <w:rPr>
                <w:rFonts w:hint="default" w:eastAsia="宋体"/>
                <w:highlight w:val="none"/>
                <w:lang w:val="en-US" w:eastAsia="zh-CN"/>
              </w:rPr>
            </w:pPr>
            <w:r>
              <w:rPr>
                <w:rFonts w:hint="eastAsia"/>
                <w:highlight w:val="none"/>
                <w:lang w:val="en-US" w:eastAsia="zh-CN"/>
              </w:rPr>
              <w:t>非甲烷总烃</w:t>
            </w:r>
          </w:p>
        </w:tc>
        <w:tc>
          <w:tcPr>
            <w:tcW w:w="3227" w:type="dxa"/>
            <w:vMerge w:val="restart"/>
            <w:vAlign w:val="center"/>
          </w:tcPr>
          <w:p w14:paraId="419BC421">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废气收集后经油雾净化器+活性炭吸附装置处理后由23m高排气筒（DA067）排放</w:t>
            </w:r>
          </w:p>
        </w:tc>
        <w:tc>
          <w:tcPr>
            <w:tcW w:w="1246" w:type="dxa"/>
            <w:vAlign w:val="center"/>
          </w:tcPr>
          <w:p w14:paraId="5B330534">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0.95</w:t>
            </w:r>
            <w:r>
              <w:rPr>
                <w:rFonts w:hint="default"/>
                <w:highlight w:val="none"/>
              </w:rPr>
              <w:t>mg/m</w:t>
            </w:r>
            <w:r>
              <w:rPr>
                <w:rFonts w:hint="default"/>
                <w:highlight w:val="none"/>
                <w:vertAlign w:val="superscript"/>
              </w:rPr>
              <w:t>3</w:t>
            </w:r>
          </w:p>
        </w:tc>
        <w:tc>
          <w:tcPr>
            <w:tcW w:w="1247" w:type="dxa"/>
            <w:vAlign w:val="center"/>
          </w:tcPr>
          <w:p w14:paraId="307636F5">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0.337</w:t>
            </w:r>
            <w:r>
              <w:rPr>
                <w:rFonts w:hint="default"/>
                <w:highlight w:val="none"/>
              </w:rPr>
              <w:t>t/a</w:t>
            </w:r>
          </w:p>
        </w:tc>
        <w:tc>
          <w:tcPr>
            <w:tcW w:w="3709" w:type="dxa"/>
            <w:vMerge w:val="restart"/>
            <w:vAlign w:val="center"/>
          </w:tcPr>
          <w:p w14:paraId="0EF62768">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《大气污染物综合排放标准》（GB16297-1996）表2中二级标准</w:t>
            </w:r>
          </w:p>
        </w:tc>
        <w:tc>
          <w:tcPr>
            <w:tcW w:w="1486" w:type="dxa"/>
            <w:vMerge w:val="restart"/>
            <w:vAlign w:val="center"/>
          </w:tcPr>
          <w:p w14:paraId="37C39496">
            <w:pPr>
              <w:pStyle w:val="8"/>
              <w:suppressLineNumbers w:val="0"/>
              <w:bidi w:val="0"/>
              <w:spacing w:before="0" w:beforeAutospacing="0" w:after="0" w:afterAutospacing="0"/>
              <w:ind w:left="0" w:right="0"/>
              <w:rPr>
                <w:rFonts w:hint="default"/>
                <w:highlight w:val="none"/>
              </w:rPr>
            </w:pPr>
            <w:r>
              <w:rPr>
                <w:rFonts w:hint="default"/>
                <w:highlight w:val="none"/>
              </w:rPr>
              <w:pict>
                <v:shape id="图片 439" o:spid="_x0000_s2365" o:spt="75" type="#_x0000_t75" style="position:absolute;left:0pt;margin-left:12.1pt;margin-top:7.05pt;height:31.1pt;width:34.05pt;z-index:251666432;mso-width-relative:page;mso-height-relative:page;" filled="f" o:preferrelative="t" stroked="f" coordsize="21600,21600">
                  <v:path/>
                  <v:fill on="f" focussize="0,0"/>
                  <v:stroke on="f"/>
                  <v:imagedata r:id="rId117" o:title=""/>
                  <o:lock v:ext="edit" aspectratio="t"/>
                </v:shape>
              </w:pict>
            </w:r>
          </w:p>
          <w:p w14:paraId="40BFD951">
            <w:pPr>
              <w:pStyle w:val="8"/>
              <w:suppressLineNumbers w:val="0"/>
              <w:bidi w:val="0"/>
              <w:spacing w:before="0" w:beforeAutospacing="0" w:after="0" w:afterAutospacing="0"/>
              <w:ind w:left="0" w:right="0"/>
              <w:rPr>
                <w:rFonts w:hint="default"/>
                <w:highlight w:val="none"/>
              </w:rPr>
            </w:pPr>
          </w:p>
          <w:p w14:paraId="29257822">
            <w:pPr>
              <w:pStyle w:val="8"/>
              <w:suppressLineNumbers w:val="0"/>
              <w:bidi w:val="0"/>
              <w:spacing w:before="0" w:beforeAutospacing="0" w:after="0" w:afterAutospacing="0"/>
              <w:ind w:left="0" w:right="0"/>
              <w:rPr>
                <w:rFonts w:hint="default"/>
                <w:highlight w:val="none"/>
              </w:rPr>
            </w:pPr>
          </w:p>
          <w:p w14:paraId="427D77D7">
            <w:pPr>
              <w:pStyle w:val="8"/>
              <w:suppressLineNumbers w:val="0"/>
              <w:bidi w:val="0"/>
              <w:spacing w:before="0" w:beforeAutospacing="0" w:after="0" w:afterAutospacing="0"/>
              <w:ind w:left="0" w:right="0"/>
              <w:rPr>
                <w:rFonts w:hint="default"/>
                <w:highlight w:val="none"/>
              </w:rPr>
            </w:pPr>
            <w:r>
              <w:rPr>
                <w:rFonts w:hint="default"/>
                <w:highlight w:val="none"/>
              </w:rPr>
              <w:t>提示图形符号</w:t>
            </w:r>
          </w:p>
          <w:p w14:paraId="5B6B011F">
            <w:pPr>
              <w:pStyle w:val="8"/>
              <w:suppressLineNumbers w:val="0"/>
              <w:bidi w:val="0"/>
              <w:spacing w:before="0" w:beforeAutospacing="0" w:after="0" w:afterAutospacing="0"/>
              <w:ind w:left="0" w:right="0"/>
              <w:rPr>
                <w:rFonts w:hint="default"/>
                <w:highlight w:val="none"/>
              </w:rPr>
            </w:pPr>
            <w:r>
              <w:rPr>
                <w:rFonts w:hint="default"/>
                <w:highlight w:val="none"/>
              </w:rPr>
              <w:pict>
                <v:shape id="图片 440" o:spid="_x0000_s2366" o:spt="75" type="#_x0000_t75" style="position:absolute;left:0pt;margin-left:11.3pt;margin-top:11.4pt;height:33.4pt;width:40.4pt;z-index:251667456;mso-width-relative:page;mso-height-relative:page;" filled="f" o:preferrelative="t" stroked="f" coordsize="21600,21600">
                  <v:path/>
                  <v:fill on="f" focussize="0,0"/>
                  <v:stroke on="f"/>
                  <v:imagedata r:id="rId118" o:title=""/>
                  <o:lock v:ext="edit" aspectratio="t"/>
                </v:shape>
              </w:pict>
            </w:r>
          </w:p>
          <w:p w14:paraId="1D35C496">
            <w:pPr>
              <w:pStyle w:val="8"/>
              <w:suppressLineNumbers w:val="0"/>
              <w:bidi w:val="0"/>
              <w:spacing w:before="0" w:beforeAutospacing="0" w:after="0" w:afterAutospacing="0"/>
              <w:ind w:left="0" w:right="0"/>
              <w:rPr>
                <w:rFonts w:hint="default"/>
                <w:highlight w:val="none"/>
              </w:rPr>
            </w:pPr>
          </w:p>
          <w:p w14:paraId="64FF0E1B">
            <w:pPr>
              <w:pStyle w:val="8"/>
              <w:suppressLineNumbers w:val="0"/>
              <w:bidi w:val="0"/>
              <w:spacing w:before="0" w:beforeAutospacing="0" w:after="0" w:afterAutospacing="0"/>
              <w:ind w:left="0" w:right="0"/>
              <w:rPr>
                <w:rFonts w:hint="default"/>
                <w:highlight w:val="none"/>
              </w:rPr>
            </w:pPr>
          </w:p>
          <w:p w14:paraId="78BB177F">
            <w:pPr>
              <w:pStyle w:val="8"/>
              <w:suppressLineNumbers w:val="0"/>
              <w:bidi w:val="0"/>
              <w:spacing w:before="0" w:beforeAutospacing="0" w:after="0" w:afterAutospacing="0"/>
              <w:ind w:left="0" w:right="0"/>
              <w:rPr>
                <w:rFonts w:hint="default"/>
                <w:highlight w:val="none"/>
              </w:rPr>
            </w:pPr>
          </w:p>
          <w:p w14:paraId="62358B1E">
            <w:pPr>
              <w:pStyle w:val="8"/>
              <w:suppressLineNumbers w:val="0"/>
              <w:bidi w:val="0"/>
              <w:spacing w:before="0" w:beforeAutospacing="0" w:after="0" w:afterAutospacing="0"/>
              <w:ind w:left="0" w:right="0"/>
              <w:rPr>
                <w:rFonts w:hint="default"/>
                <w:highlight w:val="none"/>
              </w:rPr>
            </w:pPr>
            <w:r>
              <w:rPr>
                <w:rFonts w:hint="default"/>
                <w:highlight w:val="none"/>
              </w:rPr>
              <w:t>警告图形符号</w:t>
            </w:r>
          </w:p>
        </w:tc>
      </w:tr>
      <w:tr w14:paraId="0AC75F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09" w:type="dxa"/>
            <w:vMerge w:val="continue"/>
            <w:vAlign w:val="center"/>
          </w:tcPr>
          <w:p w14:paraId="4F7AA0AC">
            <w:pPr>
              <w:pStyle w:val="8"/>
              <w:suppressLineNumbers w:val="0"/>
              <w:bidi w:val="0"/>
              <w:spacing w:before="0" w:beforeAutospacing="0" w:after="0" w:afterAutospacing="0"/>
              <w:ind w:left="0" w:right="0"/>
              <w:rPr>
                <w:rFonts w:hint="default"/>
                <w:highlight w:val="none"/>
              </w:rPr>
            </w:pPr>
          </w:p>
        </w:tc>
        <w:tc>
          <w:tcPr>
            <w:tcW w:w="1277" w:type="dxa"/>
            <w:vMerge w:val="continue"/>
            <w:vAlign w:val="center"/>
          </w:tcPr>
          <w:p w14:paraId="38584482">
            <w:pPr>
              <w:pStyle w:val="8"/>
              <w:suppressLineNumbers w:val="0"/>
              <w:bidi w:val="0"/>
              <w:spacing w:before="0" w:beforeAutospacing="0" w:after="0" w:afterAutospacing="0"/>
              <w:ind w:left="0" w:right="0"/>
              <w:rPr>
                <w:rFonts w:hint="eastAsia"/>
                <w:highlight w:val="none"/>
              </w:rPr>
            </w:pPr>
          </w:p>
        </w:tc>
        <w:tc>
          <w:tcPr>
            <w:tcW w:w="1276" w:type="dxa"/>
            <w:vAlign w:val="center"/>
          </w:tcPr>
          <w:p w14:paraId="266E399E">
            <w:pPr>
              <w:pStyle w:val="8"/>
              <w:suppressLineNumbers w:val="0"/>
              <w:bidi w:val="0"/>
              <w:spacing w:before="0" w:beforeAutospacing="0" w:after="0" w:afterAutospacing="0"/>
              <w:ind w:left="0" w:right="0"/>
              <w:rPr>
                <w:rFonts w:hint="eastAsia" w:eastAsia="宋体"/>
                <w:highlight w:val="none"/>
                <w:lang w:val="en-US" w:eastAsia="zh-CN"/>
              </w:rPr>
            </w:pPr>
            <w:r>
              <w:rPr>
                <w:rFonts w:hint="eastAsia"/>
                <w:highlight w:val="none"/>
                <w:lang w:val="en-US" w:eastAsia="zh-CN"/>
              </w:rPr>
              <w:t>颗粒物</w:t>
            </w:r>
          </w:p>
        </w:tc>
        <w:tc>
          <w:tcPr>
            <w:tcW w:w="3227" w:type="dxa"/>
            <w:vMerge w:val="continue"/>
            <w:vAlign w:val="center"/>
          </w:tcPr>
          <w:p w14:paraId="60A6D926">
            <w:pPr>
              <w:pStyle w:val="8"/>
              <w:suppressLineNumbers w:val="0"/>
              <w:bidi w:val="0"/>
              <w:spacing w:before="0" w:beforeAutospacing="0" w:after="0" w:afterAutospacing="0"/>
              <w:ind w:left="0" w:right="0"/>
              <w:rPr>
                <w:rFonts w:hint="eastAsia"/>
                <w:highlight w:val="none"/>
                <w:lang w:val="en-US" w:eastAsia="zh-CN"/>
              </w:rPr>
            </w:pPr>
          </w:p>
        </w:tc>
        <w:tc>
          <w:tcPr>
            <w:tcW w:w="2493" w:type="dxa"/>
            <w:gridSpan w:val="2"/>
            <w:vAlign w:val="center"/>
          </w:tcPr>
          <w:p w14:paraId="5040ECBA">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少量</w:t>
            </w:r>
          </w:p>
        </w:tc>
        <w:tc>
          <w:tcPr>
            <w:tcW w:w="3709" w:type="dxa"/>
            <w:vMerge w:val="continue"/>
            <w:vAlign w:val="center"/>
          </w:tcPr>
          <w:p w14:paraId="34E9802B">
            <w:pPr>
              <w:pStyle w:val="8"/>
              <w:suppressLineNumbers w:val="0"/>
              <w:bidi w:val="0"/>
              <w:spacing w:before="0" w:beforeAutospacing="0" w:after="0" w:afterAutospacing="0"/>
              <w:ind w:left="0" w:right="0"/>
              <w:rPr>
                <w:rFonts w:hint="default"/>
                <w:highlight w:val="none"/>
                <w:lang w:val="en-US" w:eastAsia="zh-CN"/>
              </w:rPr>
            </w:pPr>
          </w:p>
        </w:tc>
        <w:tc>
          <w:tcPr>
            <w:tcW w:w="1486" w:type="dxa"/>
            <w:vMerge w:val="continue"/>
            <w:tcBorders/>
            <w:vAlign w:val="center"/>
          </w:tcPr>
          <w:p w14:paraId="7DEE27A8">
            <w:pPr>
              <w:pStyle w:val="8"/>
              <w:suppressLineNumbers w:val="0"/>
              <w:bidi w:val="0"/>
              <w:spacing w:before="0" w:beforeAutospacing="0" w:after="0" w:afterAutospacing="0"/>
              <w:ind w:left="0" w:right="0"/>
              <w:rPr>
                <w:rFonts w:hint="default"/>
                <w:highlight w:val="none"/>
              </w:rPr>
            </w:pPr>
          </w:p>
        </w:tc>
      </w:tr>
      <w:tr w14:paraId="4C3297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09" w:type="dxa"/>
            <w:vMerge w:val="continue"/>
            <w:vAlign w:val="center"/>
          </w:tcPr>
          <w:p w14:paraId="7F313D2C">
            <w:pPr>
              <w:pStyle w:val="8"/>
              <w:suppressLineNumbers w:val="0"/>
              <w:bidi w:val="0"/>
              <w:spacing w:before="0" w:beforeAutospacing="0" w:after="0" w:afterAutospacing="0"/>
              <w:ind w:left="0" w:right="0"/>
              <w:rPr>
                <w:rFonts w:hint="default"/>
                <w:highlight w:val="none"/>
              </w:rPr>
            </w:pPr>
          </w:p>
        </w:tc>
        <w:tc>
          <w:tcPr>
            <w:tcW w:w="1277" w:type="dxa"/>
            <w:vMerge w:val="continue"/>
            <w:vAlign w:val="center"/>
          </w:tcPr>
          <w:p w14:paraId="76184135">
            <w:pPr>
              <w:pStyle w:val="8"/>
              <w:suppressLineNumbers w:val="0"/>
              <w:bidi w:val="0"/>
              <w:spacing w:before="0" w:beforeAutospacing="0" w:after="0" w:afterAutospacing="0"/>
              <w:ind w:left="0" w:right="0"/>
              <w:rPr>
                <w:rFonts w:hint="eastAsia"/>
                <w:highlight w:val="none"/>
              </w:rPr>
            </w:pPr>
          </w:p>
        </w:tc>
        <w:tc>
          <w:tcPr>
            <w:tcW w:w="1276" w:type="dxa"/>
            <w:vAlign w:val="center"/>
          </w:tcPr>
          <w:p w14:paraId="4754DE76">
            <w:pPr>
              <w:pStyle w:val="8"/>
              <w:suppressLineNumbers w:val="0"/>
              <w:bidi w:val="0"/>
              <w:spacing w:before="0" w:beforeAutospacing="0" w:after="0" w:afterAutospacing="0"/>
              <w:ind w:left="0" w:right="0"/>
              <w:rPr>
                <w:rFonts w:hint="eastAsia" w:eastAsia="宋体"/>
                <w:highlight w:val="none"/>
                <w:lang w:val="en-US" w:eastAsia="zh-CN"/>
              </w:rPr>
            </w:pPr>
            <w:r>
              <w:rPr>
                <w:rFonts w:hint="eastAsia"/>
                <w:highlight w:val="none"/>
                <w:lang w:val="en-US" w:eastAsia="zh-CN"/>
              </w:rPr>
              <w:t>臭气浓度</w:t>
            </w:r>
          </w:p>
        </w:tc>
        <w:tc>
          <w:tcPr>
            <w:tcW w:w="3227" w:type="dxa"/>
            <w:vMerge w:val="continue"/>
            <w:vAlign w:val="center"/>
          </w:tcPr>
          <w:p w14:paraId="5919ACC5">
            <w:pPr>
              <w:pStyle w:val="8"/>
              <w:suppressLineNumbers w:val="0"/>
              <w:bidi w:val="0"/>
              <w:spacing w:before="0" w:beforeAutospacing="0" w:after="0" w:afterAutospacing="0"/>
              <w:ind w:left="0" w:right="0"/>
              <w:rPr>
                <w:rFonts w:hint="eastAsia"/>
                <w:highlight w:val="none"/>
                <w:lang w:val="en-US" w:eastAsia="zh-CN"/>
              </w:rPr>
            </w:pPr>
          </w:p>
        </w:tc>
        <w:tc>
          <w:tcPr>
            <w:tcW w:w="2493" w:type="dxa"/>
            <w:gridSpan w:val="2"/>
            <w:vAlign w:val="center"/>
          </w:tcPr>
          <w:p w14:paraId="16A5DD8A">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少量</w:t>
            </w:r>
          </w:p>
        </w:tc>
        <w:tc>
          <w:tcPr>
            <w:tcW w:w="3709" w:type="dxa"/>
            <w:vAlign w:val="center"/>
          </w:tcPr>
          <w:p w14:paraId="49F2FB76">
            <w:pPr>
              <w:pStyle w:val="8"/>
              <w:suppressLineNumbers w:val="0"/>
              <w:bidi w:val="0"/>
              <w:spacing w:before="0" w:beforeAutospacing="0" w:after="0" w:afterAutospacing="0"/>
              <w:ind w:left="0" w:right="0"/>
              <w:rPr>
                <w:rFonts w:hint="default"/>
                <w:highlight w:val="none"/>
                <w:lang w:val="en-US" w:eastAsia="zh-CN"/>
              </w:rPr>
            </w:pPr>
            <w:r>
              <w:rPr>
                <w:rFonts w:hint="eastAsia" w:cs="Times New Roman"/>
                <w:b w:val="0"/>
                <w:bCs w:val="0"/>
                <w:snapToGrid w:val="0"/>
                <w:color w:val="000000"/>
                <w:kern w:val="0"/>
                <w:position w:val="0"/>
                <w:sz w:val="21"/>
                <w:szCs w:val="22"/>
                <w:highlight w:val="none"/>
                <w:lang w:val="en-US" w:eastAsia="zh-CN" w:bidi="ar"/>
              </w:rPr>
              <w:t>《恶臭污染物排放标准》（GB14554-93）表2中标准</w:t>
            </w:r>
          </w:p>
        </w:tc>
        <w:tc>
          <w:tcPr>
            <w:tcW w:w="1486" w:type="dxa"/>
            <w:vMerge w:val="continue"/>
            <w:tcBorders/>
            <w:vAlign w:val="center"/>
          </w:tcPr>
          <w:p w14:paraId="59E15214">
            <w:pPr>
              <w:pStyle w:val="8"/>
              <w:suppressLineNumbers w:val="0"/>
              <w:bidi w:val="0"/>
              <w:spacing w:before="0" w:beforeAutospacing="0" w:after="0" w:afterAutospacing="0"/>
              <w:ind w:left="0" w:right="0"/>
              <w:rPr>
                <w:rFonts w:hint="default"/>
                <w:highlight w:val="none"/>
              </w:rPr>
            </w:pPr>
          </w:p>
        </w:tc>
      </w:tr>
      <w:tr w14:paraId="566163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09" w:type="dxa"/>
            <w:vMerge w:val="continue"/>
            <w:vAlign w:val="center"/>
          </w:tcPr>
          <w:p w14:paraId="763EC503">
            <w:pPr>
              <w:pStyle w:val="8"/>
              <w:suppressLineNumbers w:val="0"/>
              <w:bidi w:val="0"/>
              <w:spacing w:before="0" w:beforeAutospacing="0" w:after="0" w:afterAutospacing="0"/>
              <w:ind w:left="0" w:right="0"/>
              <w:rPr>
                <w:rFonts w:hint="default"/>
                <w:highlight w:val="none"/>
              </w:rPr>
            </w:pPr>
          </w:p>
        </w:tc>
        <w:tc>
          <w:tcPr>
            <w:tcW w:w="1277" w:type="dxa"/>
            <w:vAlign w:val="center"/>
          </w:tcPr>
          <w:p w14:paraId="7B966325">
            <w:pPr>
              <w:pStyle w:val="8"/>
              <w:suppressLineNumbers w:val="0"/>
              <w:bidi w:val="0"/>
              <w:spacing w:before="0" w:beforeAutospacing="0" w:after="0" w:afterAutospacing="0"/>
              <w:ind w:left="0" w:right="0"/>
              <w:rPr>
                <w:rFonts w:hint="default" w:eastAsia="宋体"/>
                <w:highlight w:val="none"/>
                <w:lang w:val="en-US" w:eastAsia="zh-CN"/>
              </w:rPr>
            </w:pPr>
            <w:r>
              <w:rPr>
                <w:rFonts w:hint="eastAsia"/>
                <w:highlight w:val="none"/>
                <w:lang w:val="en-US" w:eastAsia="zh-CN"/>
              </w:rPr>
              <w:t>DA066</w:t>
            </w:r>
          </w:p>
        </w:tc>
        <w:tc>
          <w:tcPr>
            <w:tcW w:w="1276" w:type="dxa"/>
            <w:vAlign w:val="center"/>
          </w:tcPr>
          <w:p w14:paraId="68D59748">
            <w:pPr>
              <w:pStyle w:val="8"/>
              <w:suppressLineNumbers w:val="0"/>
              <w:bidi w:val="0"/>
              <w:spacing w:before="0" w:beforeAutospacing="0" w:after="0" w:afterAutospacing="0"/>
              <w:ind w:left="0" w:right="0"/>
              <w:rPr>
                <w:rFonts w:hint="eastAsia"/>
                <w:highlight w:val="none"/>
                <w:lang w:val="en-US" w:eastAsia="zh-CN"/>
              </w:rPr>
            </w:pPr>
            <w:r>
              <w:rPr>
                <w:rFonts w:hint="eastAsia"/>
                <w:highlight w:val="none"/>
                <w:lang w:val="en-US" w:eastAsia="zh-CN"/>
              </w:rPr>
              <w:t>非甲烷总烃</w:t>
            </w:r>
          </w:p>
        </w:tc>
        <w:tc>
          <w:tcPr>
            <w:tcW w:w="3227" w:type="dxa"/>
            <w:vAlign w:val="center"/>
          </w:tcPr>
          <w:p w14:paraId="22913049">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废气收集后经油雾净化器装置处理后由23m高排气筒（DA0</w:t>
            </w:r>
            <w:r>
              <w:rPr>
                <w:rFonts w:hint="eastAsia" w:cs="Times New Roman"/>
                <w:color w:val="000000"/>
                <w:kern w:val="0"/>
                <w:sz w:val="21"/>
                <w:szCs w:val="24"/>
                <w:highlight w:val="none"/>
                <w:lang w:val="en-US" w:eastAsia="zh-CN" w:bidi="ar-SA"/>
              </w:rPr>
              <w:t>66</w:t>
            </w:r>
            <w:r>
              <w:rPr>
                <w:rFonts w:hint="eastAsia" w:ascii="Times New Roman" w:hAnsi="Times New Roman" w:eastAsia="宋体" w:cs="Times New Roman"/>
                <w:color w:val="000000"/>
                <w:kern w:val="0"/>
                <w:sz w:val="21"/>
                <w:szCs w:val="24"/>
                <w:highlight w:val="none"/>
                <w:lang w:val="en-US" w:eastAsia="zh-CN" w:bidi="ar-SA"/>
              </w:rPr>
              <w:t>）排放</w:t>
            </w:r>
          </w:p>
        </w:tc>
        <w:tc>
          <w:tcPr>
            <w:tcW w:w="1246" w:type="dxa"/>
            <w:vAlign w:val="center"/>
          </w:tcPr>
          <w:p w14:paraId="50FBA997">
            <w:pPr>
              <w:pStyle w:val="8"/>
              <w:suppressLineNumbers w:val="0"/>
              <w:bidi w:val="0"/>
              <w:spacing w:before="0" w:beforeAutospacing="0" w:after="0" w:afterAutospacing="0"/>
              <w:ind w:left="0" w:leftChars="0" w:right="0" w:rightChars="0" w:firstLine="0" w:firstLineChars="0"/>
              <w:rPr>
                <w:rFonts w:hint="eastAsia"/>
                <w:highlight w:val="none"/>
                <w:lang w:val="en-US" w:eastAsia="zh-CN"/>
              </w:rPr>
            </w:pPr>
            <w:r>
              <w:rPr>
                <w:rFonts w:hint="eastAsia"/>
                <w:highlight w:val="none"/>
                <w:lang w:val="en-US" w:eastAsia="zh-CN"/>
              </w:rPr>
              <w:t>1.26</w:t>
            </w:r>
            <w:r>
              <w:rPr>
                <w:rFonts w:hint="default"/>
                <w:highlight w:val="none"/>
              </w:rPr>
              <w:t>mg/m</w:t>
            </w:r>
            <w:r>
              <w:rPr>
                <w:rFonts w:hint="default"/>
                <w:highlight w:val="none"/>
                <w:vertAlign w:val="superscript"/>
              </w:rPr>
              <w:t>3</w:t>
            </w:r>
          </w:p>
        </w:tc>
        <w:tc>
          <w:tcPr>
            <w:tcW w:w="1247" w:type="dxa"/>
            <w:vAlign w:val="center"/>
          </w:tcPr>
          <w:p w14:paraId="4728B076">
            <w:pPr>
              <w:pStyle w:val="8"/>
              <w:suppressLineNumbers w:val="0"/>
              <w:bidi w:val="0"/>
              <w:spacing w:before="0" w:beforeAutospacing="0" w:after="0" w:afterAutospacing="0"/>
              <w:ind w:left="0" w:leftChars="0" w:right="0" w:rightChars="0" w:firstLine="0" w:firstLineChars="0"/>
              <w:rPr>
                <w:rFonts w:hint="eastAsia"/>
                <w:highlight w:val="none"/>
                <w:lang w:val="en-US" w:eastAsia="zh-CN"/>
              </w:rPr>
            </w:pPr>
            <w:r>
              <w:rPr>
                <w:rFonts w:hint="eastAsia"/>
                <w:highlight w:val="none"/>
                <w:lang w:val="en-US" w:eastAsia="zh-CN"/>
              </w:rPr>
              <w:t>1.26</w:t>
            </w:r>
            <w:r>
              <w:rPr>
                <w:rFonts w:hint="default"/>
                <w:highlight w:val="none"/>
              </w:rPr>
              <w:t>t/a</w:t>
            </w:r>
          </w:p>
        </w:tc>
        <w:tc>
          <w:tcPr>
            <w:tcW w:w="3709" w:type="dxa"/>
            <w:vMerge w:val="restart"/>
            <w:vAlign w:val="center"/>
          </w:tcPr>
          <w:p w14:paraId="4A419F85">
            <w:pPr>
              <w:pStyle w:val="8"/>
              <w:suppressLineNumbers w:val="0"/>
              <w:bidi w:val="0"/>
              <w:spacing w:before="0" w:beforeAutospacing="0" w:after="0" w:afterAutospacing="0"/>
              <w:ind w:left="0" w:right="0"/>
              <w:rPr>
                <w:rFonts w:hint="eastAsia" w:cs="Times New Roman"/>
                <w:b w:val="0"/>
                <w:bCs w:val="0"/>
                <w:snapToGrid w:val="0"/>
                <w:color w:val="000000"/>
                <w:kern w:val="0"/>
                <w:position w:val="0"/>
                <w:sz w:val="21"/>
                <w:szCs w:val="22"/>
                <w:highlight w:val="none"/>
                <w:lang w:val="en-US" w:eastAsia="zh-CN" w:bidi="ar"/>
              </w:rPr>
            </w:pPr>
            <w:r>
              <w:rPr>
                <w:rFonts w:hint="default"/>
                <w:highlight w:val="none"/>
                <w:lang w:val="en-US" w:eastAsia="zh-CN"/>
              </w:rPr>
              <w:t>《大气污染物综合排放标准》（GB16297-1996）表2中二级标准</w:t>
            </w:r>
          </w:p>
        </w:tc>
        <w:tc>
          <w:tcPr>
            <w:tcW w:w="1486" w:type="dxa"/>
            <w:vMerge w:val="continue"/>
            <w:tcBorders/>
            <w:vAlign w:val="center"/>
          </w:tcPr>
          <w:p w14:paraId="51B53E92">
            <w:pPr>
              <w:pStyle w:val="8"/>
              <w:suppressLineNumbers w:val="0"/>
              <w:bidi w:val="0"/>
              <w:spacing w:before="0" w:beforeAutospacing="0" w:after="0" w:afterAutospacing="0"/>
              <w:ind w:left="0" w:right="0"/>
              <w:rPr>
                <w:rFonts w:hint="default"/>
                <w:highlight w:val="none"/>
              </w:rPr>
            </w:pPr>
          </w:p>
        </w:tc>
      </w:tr>
      <w:tr w14:paraId="75597C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09" w:type="dxa"/>
            <w:vMerge w:val="continue"/>
            <w:vAlign w:val="center"/>
          </w:tcPr>
          <w:p w14:paraId="0E7B6918">
            <w:pPr>
              <w:pStyle w:val="8"/>
              <w:suppressLineNumbers w:val="0"/>
              <w:bidi w:val="0"/>
              <w:spacing w:before="0" w:beforeAutospacing="0" w:after="0" w:afterAutospacing="0"/>
              <w:ind w:left="0" w:right="0"/>
              <w:rPr>
                <w:rFonts w:hint="default"/>
                <w:highlight w:val="none"/>
              </w:rPr>
            </w:pPr>
          </w:p>
        </w:tc>
        <w:tc>
          <w:tcPr>
            <w:tcW w:w="1277" w:type="dxa"/>
            <w:vAlign w:val="center"/>
          </w:tcPr>
          <w:p w14:paraId="1F98AD3F">
            <w:pPr>
              <w:pStyle w:val="8"/>
              <w:suppressLineNumbers w:val="0"/>
              <w:bidi w:val="0"/>
              <w:spacing w:before="0" w:beforeAutospacing="0" w:after="0" w:afterAutospacing="0"/>
              <w:ind w:left="0" w:right="0"/>
              <w:rPr>
                <w:rFonts w:hint="default" w:eastAsia="宋体"/>
                <w:highlight w:val="none"/>
                <w:lang w:val="en-US" w:eastAsia="zh-CN"/>
              </w:rPr>
            </w:pPr>
            <w:r>
              <w:rPr>
                <w:rFonts w:hint="eastAsia"/>
                <w:highlight w:val="none"/>
                <w:lang w:val="en-US" w:eastAsia="zh-CN"/>
              </w:rPr>
              <w:t>DA065</w:t>
            </w:r>
          </w:p>
        </w:tc>
        <w:tc>
          <w:tcPr>
            <w:tcW w:w="1276" w:type="dxa"/>
            <w:vAlign w:val="center"/>
          </w:tcPr>
          <w:p w14:paraId="479AA271">
            <w:pPr>
              <w:pStyle w:val="8"/>
              <w:suppressLineNumbers w:val="0"/>
              <w:bidi w:val="0"/>
              <w:spacing w:before="0" w:beforeAutospacing="0" w:after="0" w:afterAutospacing="0"/>
              <w:ind w:left="0" w:right="0"/>
              <w:rPr>
                <w:rFonts w:hint="eastAsia"/>
                <w:highlight w:val="none"/>
                <w:lang w:val="en-US" w:eastAsia="zh-CN"/>
              </w:rPr>
            </w:pPr>
            <w:r>
              <w:rPr>
                <w:rFonts w:hint="eastAsia"/>
                <w:highlight w:val="none"/>
                <w:lang w:val="en-US" w:eastAsia="zh-CN"/>
              </w:rPr>
              <w:t>非甲烷总烃</w:t>
            </w:r>
          </w:p>
        </w:tc>
        <w:tc>
          <w:tcPr>
            <w:tcW w:w="3227" w:type="dxa"/>
            <w:vAlign w:val="center"/>
          </w:tcPr>
          <w:p w14:paraId="4A9BB8E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废气收集后经油雾净化器装置处理后由23m高排气筒（DA06</w:t>
            </w:r>
            <w:r>
              <w:rPr>
                <w:rFonts w:hint="eastAsia" w:cs="Times New Roman"/>
                <w:color w:val="000000"/>
                <w:kern w:val="0"/>
                <w:sz w:val="21"/>
                <w:szCs w:val="24"/>
                <w:highlight w:val="none"/>
                <w:lang w:val="en-US" w:eastAsia="zh-CN" w:bidi="ar-SA"/>
              </w:rPr>
              <w:t>5</w:t>
            </w:r>
            <w:r>
              <w:rPr>
                <w:rFonts w:hint="eastAsia" w:ascii="Times New Roman" w:hAnsi="Times New Roman" w:eastAsia="宋体" w:cs="Times New Roman"/>
                <w:color w:val="000000"/>
                <w:kern w:val="0"/>
                <w:sz w:val="21"/>
                <w:szCs w:val="24"/>
                <w:highlight w:val="none"/>
                <w:lang w:val="en-US" w:eastAsia="zh-CN" w:bidi="ar-SA"/>
              </w:rPr>
              <w:t>）排放</w:t>
            </w:r>
          </w:p>
        </w:tc>
        <w:tc>
          <w:tcPr>
            <w:tcW w:w="1246" w:type="dxa"/>
            <w:vAlign w:val="center"/>
          </w:tcPr>
          <w:p w14:paraId="6B646A79">
            <w:pPr>
              <w:pStyle w:val="8"/>
              <w:suppressLineNumbers w:val="0"/>
              <w:bidi w:val="0"/>
              <w:spacing w:before="0" w:beforeAutospacing="0" w:after="0" w:afterAutospacing="0"/>
              <w:ind w:left="0" w:leftChars="0" w:right="0" w:rightChars="0" w:firstLine="0" w:firstLineChars="0"/>
              <w:rPr>
                <w:rFonts w:hint="eastAsia"/>
                <w:highlight w:val="none"/>
                <w:lang w:val="en-US" w:eastAsia="zh-CN"/>
              </w:rPr>
            </w:pPr>
            <w:r>
              <w:rPr>
                <w:rFonts w:hint="eastAsia"/>
                <w:highlight w:val="none"/>
                <w:lang w:val="en-US" w:eastAsia="zh-CN"/>
              </w:rPr>
              <w:t>1.26</w:t>
            </w:r>
            <w:r>
              <w:rPr>
                <w:rFonts w:hint="default"/>
                <w:highlight w:val="none"/>
              </w:rPr>
              <w:t>mg/m</w:t>
            </w:r>
            <w:r>
              <w:rPr>
                <w:rFonts w:hint="default"/>
                <w:highlight w:val="none"/>
                <w:vertAlign w:val="superscript"/>
              </w:rPr>
              <w:t>3</w:t>
            </w:r>
          </w:p>
        </w:tc>
        <w:tc>
          <w:tcPr>
            <w:tcW w:w="1247" w:type="dxa"/>
            <w:vAlign w:val="center"/>
          </w:tcPr>
          <w:p w14:paraId="5D9175A9">
            <w:pPr>
              <w:pStyle w:val="8"/>
              <w:suppressLineNumbers w:val="0"/>
              <w:bidi w:val="0"/>
              <w:spacing w:before="0" w:beforeAutospacing="0" w:after="0" w:afterAutospacing="0"/>
              <w:ind w:left="0" w:leftChars="0" w:right="0" w:rightChars="0" w:firstLine="0" w:firstLineChars="0"/>
              <w:rPr>
                <w:rFonts w:hint="eastAsia"/>
                <w:highlight w:val="none"/>
                <w:lang w:val="en-US" w:eastAsia="zh-CN"/>
              </w:rPr>
            </w:pPr>
            <w:r>
              <w:rPr>
                <w:rFonts w:hint="eastAsia"/>
                <w:highlight w:val="none"/>
                <w:lang w:val="en-US" w:eastAsia="zh-CN"/>
              </w:rPr>
              <w:t>1.26</w:t>
            </w:r>
            <w:r>
              <w:rPr>
                <w:rFonts w:hint="default"/>
                <w:highlight w:val="none"/>
              </w:rPr>
              <w:t>t/a</w:t>
            </w:r>
          </w:p>
        </w:tc>
        <w:tc>
          <w:tcPr>
            <w:tcW w:w="3709" w:type="dxa"/>
            <w:vMerge w:val="continue"/>
            <w:tcBorders/>
            <w:vAlign w:val="center"/>
          </w:tcPr>
          <w:p w14:paraId="7ED66C6E">
            <w:pPr>
              <w:pStyle w:val="8"/>
              <w:suppressLineNumbers w:val="0"/>
              <w:bidi w:val="0"/>
              <w:spacing w:before="0" w:beforeAutospacing="0" w:after="0" w:afterAutospacing="0"/>
              <w:ind w:left="0" w:right="0"/>
              <w:rPr>
                <w:rFonts w:hint="eastAsia" w:cs="Times New Roman"/>
                <w:b w:val="0"/>
                <w:bCs w:val="0"/>
                <w:snapToGrid w:val="0"/>
                <w:color w:val="000000"/>
                <w:kern w:val="0"/>
                <w:position w:val="0"/>
                <w:sz w:val="21"/>
                <w:szCs w:val="22"/>
                <w:highlight w:val="none"/>
                <w:lang w:val="en-US" w:eastAsia="zh-CN" w:bidi="ar"/>
              </w:rPr>
            </w:pPr>
          </w:p>
        </w:tc>
        <w:tc>
          <w:tcPr>
            <w:tcW w:w="1486" w:type="dxa"/>
            <w:vMerge w:val="continue"/>
            <w:tcBorders/>
            <w:vAlign w:val="center"/>
          </w:tcPr>
          <w:p w14:paraId="1FD62B91">
            <w:pPr>
              <w:pStyle w:val="8"/>
              <w:suppressLineNumbers w:val="0"/>
              <w:bidi w:val="0"/>
              <w:spacing w:before="0" w:beforeAutospacing="0" w:after="0" w:afterAutospacing="0"/>
              <w:ind w:left="0" w:right="0"/>
              <w:rPr>
                <w:rFonts w:hint="default"/>
                <w:highlight w:val="none"/>
              </w:rPr>
            </w:pPr>
          </w:p>
        </w:tc>
      </w:tr>
      <w:tr w14:paraId="4FEF78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09" w:type="dxa"/>
            <w:vMerge w:val="continue"/>
            <w:vAlign w:val="center"/>
          </w:tcPr>
          <w:p w14:paraId="58126632">
            <w:pPr>
              <w:pStyle w:val="8"/>
              <w:suppressLineNumbers w:val="0"/>
              <w:bidi w:val="0"/>
              <w:spacing w:before="0" w:beforeAutospacing="0" w:after="0" w:afterAutospacing="0"/>
              <w:ind w:left="0" w:right="0"/>
              <w:rPr>
                <w:rFonts w:hint="default"/>
                <w:highlight w:val="none"/>
              </w:rPr>
            </w:pPr>
          </w:p>
        </w:tc>
        <w:tc>
          <w:tcPr>
            <w:tcW w:w="1277" w:type="dxa"/>
            <w:vMerge w:val="restart"/>
            <w:vAlign w:val="center"/>
          </w:tcPr>
          <w:p w14:paraId="1DBA614F">
            <w:pPr>
              <w:pStyle w:val="8"/>
              <w:suppressLineNumbers w:val="0"/>
              <w:bidi w:val="0"/>
              <w:spacing w:before="0" w:beforeAutospacing="0" w:after="0" w:afterAutospacing="0"/>
              <w:ind w:left="0" w:right="0"/>
              <w:rPr>
                <w:rFonts w:hint="default" w:eastAsia="宋体"/>
                <w:highlight w:val="none"/>
                <w:lang w:val="en-US" w:eastAsia="zh-CN"/>
              </w:rPr>
            </w:pPr>
            <w:r>
              <w:rPr>
                <w:rFonts w:hint="eastAsia"/>
                <w:highlight w:val="none"/>
                <w:lang w:val="en-US" w:eastAsia="zh-CN"/>
              </w:rPr>
              <w:t>DA064</w:t>
            </w:r>
          </w:p>
        </w:tc>
        <w:tc>
          <w:tcPr>
            <w:tcW w:w="1276" w:type="dxa"/>
            <w:vAlign w:val="center"/>
          </w:tcPr>
          <w:p w14:paraId="61469F17">
            <w:pPr>
              <w:pStyle w:val="8"/>
              <w:suppressLineNumbers w:val="0"/>
              <w:bidi w:val="0"/>
              <w:spacing w:before="0" w:beforeAutospacing="0" w:after="0" w:afterAutospacing="0"/>
              <w:ind w:left="0" w:right="0"/>
              <w:rPr>
                <w:rFonts w:hint="eastAsia"/>
                <w:highlight w:val="none"/>
                <w:lang w:val="en-US" w:eastAsia="zh-CN"/>
              </w:rPr>
            </w:pPr>
            <w:r>
              <w:rPr>
                <w:rFonts w:hint="eastAsia"/>
                <w:highlight w:val="none"/>
                <w:lang w:val="en-US" w:eastAsia="zh-CN"/>
              </w:rPr>
              <w:t>非甲烷总烃</w:t>
            </w:r>
          </w:p>
        </w:tc>
        <w:tc>
          <w:tcPr>
            <w:tcW w:w="3227" w:type="dxa"/>
            <w:vMerge w:val="restart"/>
            <w:vAlign w:val="center"/>
          </w:tcPr>
          <w:p w14:paraId="2A17EE9C">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eastAsia" w:ascii="Times New Roman" w:hAnsi="Times New Roman" w:eastAsia="宋体" w:cs="Times New Roman"/>
                <w:color w:val="000000"/>
                <w:kern w:val="0"/>
                <w:sz w:val="21"/>
                <w:szCs w:val="24"/>
                <w:highlight w:val="none"/>
                <w:lang w:val="en-US" w:eastAsia="zh-CN" w:bidi="ar-SA"/>
              </w:rPr>
            </w:pPr>
            <w:r>
              <w:rPr>
                <w:rFonts w:hint="eastAsia" w:ascii="Times New Roman" w:hAnsi="Times New Roman" w:eastAsia="宋体" w:cs="Times New Roman"/>
                <w:color w:val="000000"/>
                <w:kern w:val="0"/>
                <w:sz w:val="21"/>
                <w:szCs w:val="24"/>
                <w:highlight w:val="none"/>
                <w:lang w:val="en-US" w:eastAsia="zh-CN" w:bidi="ar-SA"/>
              </w:rPr>
              <w:t>废气收集后经</w:t>
            </w:r>
            <w:r>
              <w:rPr>
                <w:rFonts w:hint="eastAsia" w:cs="Times New Roman"/>
                <w:color w:val="000000"/>
                <w:kern w:val="0"/>
                <w:sz w:val="21"/>
                <w:szCs w:val="24"/>
                <w:highlight w:val="none"/>
                <w:lang w:val="en-US" w:eastAsia="zh-CN" w:bidi="ar-SA"/>
              </w:rPr>
              <w:t>三元催化</w:t>
            </w:r>
            <w:r>
              <w:rPr>
                <w:rFonts w:hint="eastAsia" w:ascii="Times New Roman" w:hAnsi="Times New Roman" w:eastAsia="宋体" w:cs="Times New Roman"/>
                <w:color w:val="000000"/>
                <w:kern w:val="0"/>
                <w:sz w:val="21"/>
                <w:szCs w:val="24"/>
                <w:highlight w:val="none"/>
                <w:lang w:val="en-US" w:eastAsia="zh-CN" w:bidi="ar-SA"/>
              </w:rPr>
              <w:t>装置处理后由23m高排气筒（DA06</w:t>
            </w:r>
            <w:r>
              <w:rPr>
                <w:rFonts w:hint="eastAsia" w:cs="Times New Roman"/>
                <w:color w:val="000000"/>
                <w:kern w:val="0"/>
                <w:sz w:val="21"/>
                <w:szCs w:val="24"/>
                <w:highlight w:val="none"/>
                <w:lang w:val="en-US" w:eastAsia="zh-CN" w:bidi="ar-SA"/>
              </w:rPr>
              <w:t>4</w:t>
            </w:r>
            <w:r>
              <w:rPr>
                <w:rFonts w:hint="eastAsia" w:ascii="Times New Roman" w:hAnsi="Times New Roman" w:eastAsia="宋体" w:cs="Times New Roman"/>
                <w:color w:val="000000"/>
                <w:kern w:val="0"/>
                <w:sz w:val="21"/>
                <w:szCs w:val="24"/>
                <w:highlight w:val="none"/>
                <w:lang w:val="en-US" w:eastAsia="zh-CN" w:bidi="ar-SA"/>
              </w:rPr>
              <w:t>）排放</w:t>
            </w:r>
          </w:p>
        </w:tc>
        <w:tc>
          <w:tcPr>
            <w:tcW w:w="1246" w:type="dxa"/>
            <w:vAlign w:val="center"/>
          </w:tcPr>
          <w:p w14:paraId="1F167DF9">
            <w:pPr>
              <w:pStyle w:val="8"/>
              <w:suppressLineNumbers w:val="0"/>
              <w:bidi w:val="0"/>
              <w:spacing w:before="0" w:beforeAutospacing="0" w:after="0" w:afterAutospacing="0"/>
              <w:ind w:left="0" w:leftChars="0" w:right="0" w:rightChars="0" w:firstLine="0" w:firstLineChars="0"/>
              <w:rPr>
                <w:rFonts w:hint="eastAsia"/>
                <w:highlight w:val="none"/>
                <w:lang w:val="en-US" w:eastAsia="zh-CN"/>
              </w:rPr>
            </w:pPr>
            <w:r>
              <w:rPr>
                <w:rFonts w:hint="eastAsia"/>
                <w:highlight w:val="none"/>
                <w:lang w:val="en-US" w:eastAsia="zh-CN"/>
              </w:rPr>
              <w:t>1.54</w:t>
            </w:r>
            <w:r>
              <w:rPr>
                <w:rFonts w:hint="default"/>
                <w:highlight w:val="none"/>
              </w:rPr>
              <w:t>mg/m</w:t>
            </w:r>
            <w:r>
              <w:rPr>
                <w:rFonts w:hint="default"/>
                <w:highlight w:val="none"/>
                <w:vertAlign w:val="superscript"/>
              </w:rPr>
              <w:t>3</w:t>
            </w:r>
          </w:p>
        </w:tc>
        <w:tc>
          <w:tcPr>
            <w:tcW w:w="1247" w:type="dxa"/>
            <w:vAlign w:val="center"/>
          </w:tcPr>
          <w:p w14:paraId="5714EB23">
            <w:pPr>
              <w:pStyle w:val="8"/>
              <w:suppressLineNumbers w:val="0"/>
              <w:bidi w:val="0"/>
              <w:spacing w:before="0" w:beforeAutospacing="0" w:after="0" w:afterAutospacing="0"/>
              <w:ind w:left="0" w:leftChars="0" w:right="0" w:rightChars="0" w:firstLine="0" w:firstLineChars="0"/>
              <w:rPr>
                <w:rFonts w:hint="eastAsia"/>
                <w:highlight w:val="none"/>
                <w:lang w:val="en-US" w:eastAsia="zh-CN"/>
              </w:rPr>
            </w:pPr>
            <w:r>
              <w:rPr>
                <w:rFonts w:hint="eastAsia"/>
                <w:highlight w:val="none"/>
                <w:lang w:val="en-US" w:eastAsia="zh-CN"/>
              </w:rPr>
              <w:t>0.51</w:t>
            </w:r>
            <w:r>
              <w:rPr>
                <w:rFonts w:hint="default"/>
                <w:highlight w:val="none"/>
              </w:rPr>
              <w:t>t/a</w:t>
            </w:r>
          </w:p>
        </w:tc>
        <w:tc>
          <w:tcPr>
            <w:tcW w:w="3709" w:type="dxa"/>
            <w:vMerge w:val="continue"/>
            <w:tcBorders/>
            <w:vAlign w:val="center"/>
          </w:tcPr>
          <w:p w14:paraId="559D9F03">
            <w:pPr>
              <w:pStyle w:val="8"/>
              <w:suppressLineNumbers w:val="0"/>
              <w:bidi w:val="0"/>
              <w:spacing w:before="0" w:beforeAutospacing="0" w:after="0" w:afterAutospacing="0"/>
              <w:ind w:left="0" w:right="0"/>
              <w:rPr>
                <w:rFonts w:hint="eastAsia" w:cs="Times New Roman"/>
                <w:b w:val="0"/>
                <w:bCs w:val="0"/>
                <w:snapToGrid w:val="0"/>
                <w:color w:val="000000"/>
                <w:kern w:val="0"/>
                <w:position w:val="0"/>
                <w:sz w:val="21"/>
                <w:szCs w:val="22"/>
                <w:highlight w:val="none"/>
                <w:lang w:val="en-US" w:eastAsia="zh-CN" w:bidi="ar"/>
              </w:rPr>
            </w:pPr>
          </w:p>
        </w:tc>
        <w:tc>
          <w:tcPr>
            <w:tcW w:w="1486" w:type="dxa"/>
            <w:vMerge w:val="continue"/>
            <w:tcBorders/>
            <w:vAlign w:val="center"/>
          </w:tcPr>
          <w:p w14:paraId="51155BC2">
            <w:pPr>
              <w:pStyle w:val="8"/>
              <w:suppressLineNumbers w:val="0"/>
              <w:bidi w:val="0"/>
              <w:spacing w:before="0" w:beforeAutospacing="0" w:after="0" w:afterAutospacing="0"/>
              <w:ind w:left="0" w:right="0"/>
              <w:rPr>
                <w:rFonts w:hint="default"/>
                <w:highlight w:val="none"/>
              </w:rPr>
            </w:pPr>
          </w:p>
        </w:tc>
      </w:tr>
      <w:tr w14:paraId="6D2677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09" w:type="dxa"/>
            <w:vMerge w:val="continue"/>
            <w:vAlign w:val="center"/>
          </w:tcPr>
          <w:p w14:paraId="2A867DC3">
            <w:pPr>
              <w:pStyle w:val="8"/>
              <w:suppressLineNumbers w:val="0"/>
              <w:bidi w:val="0"/>
              <w:spacing w:before="0" w:beforeAutospacing="0" w:after="0" w:afterAutospacing="0"/>
              <w:ind w:left="0" w:right="0"/>
              <w:rPr>
                <w:rFonts w:hint="default"/>
                <w:highlight w:val="none"/>
              </w:rPr>
            </w:pPr>
          </w:p>
        </w:tc>
        <w:tc>
          <w:tcPr>
            <w:tcW w:w="1277" w:type="dxa"/>
            <w:vMerge w:val="continue"/>
            <w:tcBorders/>
            <w:vAlign w:val="center"/>
          </w:tcPr>
          <w:p w14:paraId="2C09F0BF">
            <w:pPr>
              <w:pStyle w:val="8"/>
              <w:suppressLineNumbers w:val="0"/>
              <w:bidi w:val="0"/>
              <w:spacing w:before="0" w:beforeAutospacing="0" w:after="0" w:afterAutospacing="0"/>
              <w:ind w:left="0" w:right="0"/>
              <w:rPr>
                <w:rFonts w:hint="eastAsia"/>
                <w:highlight w:val="none"/>
              </w:rPr>
            </w:pPr>
          </w:p>
        </w:tc>
        <w:tc>
          <w:tcPr>
            <w:tcW w:w="1276" w:type="dxa"/>
            <w:vAlign w:val="center"/>
          </w:tcPr>
          <w:p w14:paraId="4A6906A6">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一氧化碳</w:t>
            </w:r>
          </w:p>
        </w:tc>
        <w:tc>
          <w:tcPr>
            <w:tcW w:w="3227" w:type="dxa"/>
            <w:vMerge w:val="continue"/>
            <w:tcBorders/>
            <w:vAlign w:val="center"/>
          </w:tcPr>
          <w:p w14:paraId="573D68BC">
            <w:pPr>
              <w:pStyle w:val="8"/>
              <w:suppressLineNumbers w:val="0"/>
              <w:bidi w:val="0"/>
              <w:spacing w:before="0" w:beforeAutospacing="0" w:after="0" w:afterAutospacing="0"/>
              <w:ind w:left="0" w:right="0"/>
              <w:rPr>
                <w:rFonts w:hint="eastAsia"/>
                <w:highlight w:val="none"/>
                <w:lang w:val="en-US" w:eastAsia="zh-CN"/>
              </w:rPr>
            </w:pPr>
          </w:p>
        </w:tc>
        <w:tc>
          <w:tcPr>
            <w:tcW w:w="1246" w:type="dxa"/>
            <w:vAlign w:val="center"/>
          </w:tcPr>
          <w:p w14:paraId="2B582F3A">
            <w:pPr>
              <w:pStyle w:val="8"/>
              <w:suppressLineNumbers w:val="0"/>
              <w:bidi w:val="0"/>
              <w:spacing w:before="0" w:beforeAutospacing="0" w:after="0" w:afterAutospacing="0"/>
              <w:ind w:left="0" w:leftChars="0" w:right="0" w:rightChars="0" w:firstLine="0" w:firstLineChars="0"/>
              <w:rPr>
                <w:rFonts w:hint="eastAsia"/>
                <w:highlight w:val="none"/>
                <w:lang w:val="en-US" w:eastAsia="zh-CN"/>
              </w:rPr>
            </w:pPr>
            <w:r>
              <w:rPr>
                <w:rFonts w:hint="eastAsia"/>
                <w:highlight w:val="none"/>
                <w:lang w:val="en-US" w:eastAsia="zh-CN"/>
              </w:rPr>
              <w:t>2.60</w:t>
            </w:r>
            <w:r>
              <w:rPr>
                <w:rFonts w:hint="default"/>
                <w:highlight w:val="none"/>
              </w:rPr>
              <w:t>mg/m</w:t>
            </w:r>
            <w:r>
              <w:rPr>
                <w:rFonts w:hint="default"/>
                <w:highlight w:val="none"/>
                <w:vertAlign w:val="superscript"/>
              </w:rPr>
              <w:t>3</w:t>
            </w:r>
          </w:p>
        </w:tc>
        <w:tc>
          <w:tcPr>
            <w:tcW w:w="1247" w:type="dxa"/>
            <w:vAlign w:val="center"/>
          </w:tcPr>
          <w:p w14:paraId="6AE76B66">
            <w:pPr>
              <w:pStyle w:val="8"/>
              <w:suppressLineNumbers w:val="0"/>
              <w:bidi w:val="0"/>
              <w:spacing w:before="0" w:beforeAutospacing="0" w:after="0" w:afterAutospacing="0"/>
              <w:ind w:left="0" w:leftChars="0" w:right="0" w:rightChars="0" w:firstLine="0" w:firstLineChars="0"/>
              <w:rPr>
                <w:rFonts w:hint="eastAsia"/>
                <w:highlight w:val="none"/>
                <w:lang w:val="en-US" w:eastAsia="zh-CN"/>
              </w:rPr>
            </w:pPr>
            <w:r>
              <w:rPr>
                <w:rFonts w:hint="eastAsia"/>
                <w:highlight w:val="none"/>
                <w:lang w:val="en-US" w:eastAsia="zh-CN"/>
              </w:rPr>
              <w:t>0.98</w:t>
            </w:r>
            <w:r>
              <w:rPr>
                <w:rFonts w:hint="default"/>
                <w:highlight w:val="none"/>
              </w:rPr>
              <w:t>t/a</w:t>
            </w:r>
          </w:p>
        </w:tc>
        <w:tc>
          <w:tcPr>
            <w:tcW w:w="3709" w:type="dxa"/>
            <w:vMerge w:val="continue"/>
            <w:tcBorders/>
            <w:vAlign w:val="center"/>
          </w:tcPr>
          <w:p w14:paraId="007106F1">
            <w:pPr>
              <w:pStyle w:val="8"/>
              <w:suppressLineNumbers w:val="0"/>
              <w:bidi w:val="0"/>
              <w:spacing w:before="0" w:beforeAutospacing="0" w:after="0" w:afterAutospacing="0"/>
              <w:ind w:left="0" w:right="0"/>
              <w:rPr>
                <w:rFonts w:hint="eastAsia" w:cs="Times New Roman"/>
                <w:b w:val="0"/>
                <w:bCs w:val="0"/>
                <w:snapToGrid w:val="0"/>
                <w:color w:val="000000"/>
                <w:kern w:val="0"/>
                <w:position w:val="0"/>
                <w:sz w:val="21"/>
                <w:szCs w:val="22"/>
                <w:highlight w:val="none"/>
                <w:lang w:val="en-US" w:eastAsia="zh-CN" w:bidi="ar"/>
              </w:rPr>
            </w:pPr>
          </w:p>
        </w:tc>
        <w:tc>
          <w:tcPr>
            <w:tcW w:w="1486" w:type="dxa"/>
            <w:vMerge w:val="continue"/>
            <w:tcBorders/>
            <w:vAlign w:val="center"/>
          </w:tcPr>
          <w:p w14:paraId="6CBE34C7">
            <w:pPr>
              <w:pStyle w:val="8"/>
              <w:suppressLineNumbers w:val="0"/>
              <w:bidi w:val="0"/>
              <w:spacing w:before="0" w:beforeAutospacing="0" w:after="0" w:afterAutospacing="0"/>
              <w:ind w:left="0" w:right="0"/>
              <w:rPr>
                <w:rFonts w:hint="default"/>
                <w:highlight w:val="none"/>
              </w:rPr>
            </w:pPr>
          </w:p>
        </w:tc>
      </w:tr>
      <w:tr w14:paraId="06AEC3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09" w:type="dxa"/>
            <w:vMerge w:val="continue"/>
            <w:vAlign w:val="center"/>
          </w:tcPr>
          <w:p w14:paraId="27DD3014">
            <w:pPr>
              <w:pStyle w:val="8"/>
              <w:suppressLineNumbers w:val="0"/>
              <w:bidi w:val="0"/>
              <w:spacing w:before="0" w:beforeAutospacing="0" w:after="0" w:afterAutospacing="0"/>
              <w:ind w:left="0" w:right="0"/>
              <w:rPr>
                <w:rFonts w:hint="default"/>
                <w:highlight w:val="none"/>
              </w:rPr>
            </w:pPr>
          </w:p>
        </w:tc>
        <w:tc>
          <w:tcPr>
            <w:tcW w:w="1277" w:type="dxa"/>
            <w:vMerge w:val="continue"/>
            <w:tcBorders/>
            <w:vAlign w:val="center"/>
          </w:tcPr>
          <w:p w14:paraId="4F218BC5">
            <w:pPr>
              <w:pStyle w:val="8"/>
              <w:suppressLineNumbers w:val="0"/>
              <w:bidi w:val="0"/>
              <w:spacing w:before="0" w:beforeAutospacing="0" w:after="0" w:afterAutospacing="0"/>
              <w:ind w:left="0" w:right="0"/>
              <w:rPr>
                <w:rFonts w:hint="eastAsia"/>
                <w:highlight w:val="none"/>
              </w:rPr>
            </w:pPr>
          </w:p>
        </w:tc>
        <w:tc>
          <w:tcPr>
            <w:tcW w:w="1276" w:type="dxa"/>
            <w:vAlign w:val="center"/>
          </w:tcPr>
          <w:p w14:paraId="45DAF054">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氮氧化物</w:t>
            </w:r>
          </w:p>
        </w:tc>
        <w:tc>
          <w:tcPr>
            <w:tcW w:w="3227" w:type="dxa"/>
            <w:vMerge w:val="continue"/>
            <w:tcBorders/>
            <w:vAlign w:val="center"/>
          </w:tcPr>
          <w:p w14:paraId="2EC44313">
            <w:pPr>
              <w:pStyle w:val="8"/>
              <w:suppressLineNumbers w:val="0"/>
              <w:bidi w:val="0"/>
              <w:spacing w:before="0" w:beforeAutospacing="0" w:after="0" w:afterAutospacing="0"/>
              <w:ind w:left="0" w:right="0"/>
              <w:rPr>
                <w:rFonts w:hint="eastAsia"/>
                <w:highlight w:val="none"/>
                <w:lang w:val="en-US" w:eastAsia="zh-CN"/>
              </w:rPr>
            </w:pPr>
          </w:p>
        </w:tc>
        <w:tc>
          <w:tcPr>
            <w:tcW w:w="1246" w:type="dxa"/>
            <w:vAlign w:val="center"/>
          </w:tcPr>
          <w:p w14:paraId="217DAC56">
            <w:pPr>
              <w:pStyle w:val="8"/>
              <w:suppressLineNumbers w:val="0"/>
              <w:bidi w:val="0"/>
              <w:spacing w:before="0" w:beforeAutospacing="0" w:after="0" w:afterAutospacing="0"/>
              <w:ind w:left="0" w:leftChars="0" w:right="0" w:rightChars="0" w:firstLine="0" w:firstLineChars="0"/>
              <w:rPr>
                <w:rFonts w:hint="eastAsia"/>
                <w:highlight w:val="none"/>
                <w:lang w:val="en-US" w:eastAsia="zh-CN"/>
              </w:rPr>
            </w:pPr>
            <w:r>
              <w:rPr>
                <w:rFonts w:hint="eastAsia"/>
                <w:highlight w:val="none"/>
                <w:lang w:val="en-US" w:eastAsia="zh-CN"/>
              </w:rPr>
              <w:t>2.66</w:t>
            </w:r>
            <w:r>
              <w:rPr>
                <w:rFonts w:hint="default"/>
                <w:highlight w:val="none"/>
              </w:rPr>
              <w:t>mg/m</w:t>
            </w:r>
            <w:r>
              <w:rPr>
                <w:rFonts w:hint="default"/>
                <w:highlight w:val="none"/>
                <w:vertAlign w:val="superscript"/>
              </w:rPr>
              <w:t>3</w:t>
            </w:r>
          </w:p>
        </w:tc>
        <w:tc>
          <w:tcPr>
            <w:tcW w:w="1247" w:type="dxa"/>
            <w:vAlign w:val="center"/>
          </w:tcPr>
          <w:p w14:paraId="5B5FF1C3">
            <w:pPr>
              <w:pStyle w:val="8"/>
              <w:suppressLineNumbers w:val="0"/>
              <w:bidi w:val="0"/>
              <w:spacing w:before="0" w:beforeAutospacing="0" w:after="0" w:afterAutospacing="0"/>
              <w:ind w:left="0" w:leftChars="0" w:right="0" w:rightChars="0" w:firstLine="0" w:firstLineChars="0"/>
              <w:rPr>
                <w:rFonts w:hint="eastAsia"/>
                <w:highlight w:val="none"/>
                <w:lang w:val="en-US" w:eastAsia="zh-CN"/>
              </w:rPr>
            </w:pPr>
            <w:r>
              <w:rPr>
                <w:rFonts w:hint="eastAsia"/>
                <w:highlight w:val="none"/>
                <w:lang w:val="en-US" w:eastAsia="zh-CN"/>
              </w:rPr>
              <w:t>1.49</w:t>
            </w:r>
            <w:r>
              <w:rPr>
                <w:rFonts w:hint="default"/>
                <w:highlight w:val="none"/>
              </w:rPr>
              <w:t>t/a</w:t>
            </w:r>
          </w:p>
        </w:tc>
        <w:tc>
          <w:tcPr>
            <w:tcW w:w="3709" w:type="dxa"/>
            <w:vMerge w:val="continue"/>
            <w:tcBorders/>
            <w:vAlign w:val="center"/>
          </w:tcPr>
          <w:p w14:paraId="5EC1450C">
            <w:pPr>
              <w:pStyle w:val="8"/>
              <w:suppressLineNumbers w:val="0"/>
              <w:bidi w:val="0"/>
              <w:spacing w:before="0" w:beforeAutospacing="0" w:after="0" w:afterAutospacing="0"/>
              <w:ind w:left="0" w:right="0"/>
              <w:rPr>
                <w:rFonts w:hint="eastAsia" w:cs="Times New Roman"/>
                <w:b w:val="0"/>
                <w:bCs w:val="0"/>
                <w:snapToGrid w:val="0"/>
                <w:color w:val="000000"/>
                <w:kern w:val="0"/>
                <w:position w:val="0"/>
                <w:sz w:val="21"/>
                <w:szCs w:val="22"/>
                <w:highlight w:val="none"/>
                <w:lang w:val="en-US" w:eastAsia="zh-CN" w:bidi="ar"/>
              </w:rPr>
            </w:pPr>
          </w:p>
        </w:tc>
        <w:tc>
          <w:tcPr>
            <w:tcW w:w="1486" w:type="dxa"/>
            <w:vMerge w:val="continue"/>
            <w:tcBorders/>
            <w:vAlign w:val="center"/>
          </w:tcPr>
          <w:p w14:paraId="4730EEC1">
            <w:pPr>
              <w:pStyle w:val="8"/>
              <w:suppressLineNumbers w:val="0"/>
              <w:bidi w:val="0"/>
              <w:spacing w:before="0" w:beforeAutospacing="0" w:after="0" w:afterAutospacing="0"/>
              <w:ind w:left="0" w:right="0"/>
              <w:rPr>
                <w:rFonts w:hint="default"/>
                <w:highlight w:val="none"/>
              </w:rPr>
            </w:pPr>
          </w:p>
        </w:tc>
      </w:tr>
      <w:tr w14:paraId="13EB3D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09" w:type="dxa"/>
            <w:vMerge w:val="continue"/>
            <w:vAlign w:val="center"/>
          </w:tcPr>
          <w:p w14:paraId="70945A25">
            <w:pPr>
              <w:pStyle w:val="8"/>
              <w:suppressLineNumbers w:val="0"/>
              <w:bidi w:val="0"/>
              <w:spacing w:before="0" w:beforeAutospacing="0" w:after="0" w:afterAutospacing="0"/>
              <w:ind w:left="0" w:right="0"/>
              <w:rPr>
                <w:rFonts w:hint="default"/>
                <w:highlight w:val="none"/>
              </w:rPr>
            </w:pPr>
          </w:p>
        </w:tc>
        <w:tc>
          <w:tcPr>
            <w:tcW w:w="1277" w:type="dxa"/>
            <w:vMerge w:val="continue"/>
            <w:tcBorders/>
            <w:vAlign w:val="center"/>
          </w:tcPr>
          <w:p w14:paraId="6D327CC4">
            <w:pPr>
              <w:pStyle w:val="8"/>
              <w:suppressLineNumbers w:val="0"/>
              <w:bidi w:val="0"/>
              <w:spacing w:before="0" w:beforeAutospacing="0" w:after="0" w:afterAutospacing="0"/>
              <w:ind w:left="0" w:right="0"/>
              <w:rPr>
                <w:rFonts w:hint="eastAsia"/>
                <w:highlight w:val="none"/>
              </w:rPr>
            </w:pPr>
          </w:p>
        </w:tc>
        <w:tc>
          <w:tcPr>
            <w:tcW w:w="1276" w:type="dxa"/>
            <w:vAlign w:val="center"/>
          </w:tcPr>
          <w:p w14:paraId="40040557">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颗粒物</w:t>
            </w:r>
          </w:p>
        </w:tc>
        <w:tc>
          <w:tcPr>
            <w:tcW w:w="3227" w:type="dxa"/>
            <w:vMerge w:val="continue"/>
            <w:tcBorders/>
            <w:vAlign w:val="center"/>
          </w:tcPr>
          <w:p w14:paraId="4E3B39B8">
            <w:pPr>
              <w:pStyle w:val="8"/>
              <w:suppressLineNumbers w:val="0"/>
              <w:bidi w:val="0"/>
              <w:spacing w:before="0" w:beforeAutospacing="0" w:after="0" w:afterAutospacing="0"/>
              <w:ind w:left="0" w:right="0"/>
              <w:rPr>
                <w:rFonts w:hint="eastAsia"/>
                <w:highlight w:val="none"/>
                <w:lang w:val="en-US" w:eastAsia="zh-CN"/>
              </w:rPr>
            </w:pPr>
          </w:p>
        </w:tc>
        <w:tc>
          <w:tcPr>
            <w:tcW w:w="1246" w:type="dxa"/>
            <w:vAlign w:val="center"/>
          </w:tcPr>
          <w:p w14:paraId="0D04BF96">
            <w:pPr>
              <w:pStyle w:val="8"/>
              <w:suppressLineNumbers w:val="0"/>
              <w:bidi w:val="0"/>
              <w:spacing w:before="0" w:beforeAutospacing="0" w:after="0" w:afterAutospacing="0"/>
              <w:ind w:left="0" w:leftChars="0" w:right="0" w:rightChars="0" w:firstLine="0" w:firstLineChars="0"/>
              <w:rPr>
                <w:rFonts w:hint="eastAsia"/>
                <w:highlight w:val="none"/>
                <w:lang w:val="en-US" w:eastAsia="zh-CN"/>
              </w:rPr>
            </w:pPr>
            <w:r>
              <w:rPr>
                <w:rFonts w:hint="eastAsia"/>
                <w:highlight w:val="none"/>
                <w:lang w:val="en-US" w:eastAsia="zh-CN"/>
              </w:rPr>
              <w:t>0.22</w:t>
            </w:r>
            <w:r>
              <w:rPr>
                <w:rFonts w:hint="default"/>
                <w:highlight w:val="none"/>
              </w:rPr>
              <w:t>mg/m</w:t>
            </w:r>
            <w:r>
              <w:rPr>
                <w:rFonts w:hint="default"/>
                <w:highlight w:val="none"/>
                <w:vertAlign w:val="superscript"/>
              </w:rPr>
              <w:t>3</w:t>
            </w:r>
          </w:p>
        </w:tc>
        <w:tc>
          <w:tcPr>
            <w:tcW w:w="1247" w:type="dxa"/>
            <w:vAlign w:val="center"/>
          </w:tcPr>
          <w:p w14:paraId="7E70D300">
            <w:pPr>
              <w:pStyle w:val="8"/>
              <w:suppressLineNumbers w:val="0"/>
              <w:bidi w:val="0"/>
              <w:spacing w:before="0" w:beforeAutospacing="0" w:after="0" w:afterAutospacing="0"/>
              <w:ind w:left="0" w:leftChars="0" w:right="0" w:rightChars="0" w:firstLine="0" w:firstLineChars="0"/>
              <w:rPr>
                <w:rFonts w:hint="eastAsia"/>
                <w:highlight w:val="none"/>
                <w:lang w:val="en-US" w:eastAsia="zh-CN"/>
              </w:rPr>
            </w:pPr>
            <w:r>
              <w:rPr>
                <w:rFonts w:hint="eastAsia"/>
                <w:highlight w:val="none"/>
                <w:lang w:val="en-US" w:eastAsia="zh-CN"/>
              </w:rPr>
              <w:t>0.01</w:t>
            </w:r>
            <w:r>
              <w:rPr>
                <w:rFonts w:hint="default"/>
                <w:highlight w:val="none"/>
              </w:rPr>
              <w:t>t/a</w:t>
            </w:r>
          </w:p>
        </w:tc>
        <w:tc>
          <w:tcPr>
            <w:tcW w:w="3709" w:type="dxa"/>
            <w:vMerge w:val="continue"/>
            <w:tcBorders/>
            <w:vAlign w:val="center"/>
          </w:tcPr>
          <w:p w14:paraId="707A1547">
            <w:pPr>
              <w:pStyle w:val="8"/>
              <w:suppressLineNumbers w:val="0"/>
              <w:bidi w:val="0"/>
              <w:spacing w:before="0" w:beforeAutospacing="0" w:after="0" w:afterAutospacing="0"/>
              <w:ind w:left="0" w:right="0"/>
              <w:rPr>
                <w:rFonts w:hint="eastAsia" w:cs="Times New Roman"/>
                <w:b w:val="0"/>
                <w:bCs w:val="0"/>
                <w:snapToGrid w:val="0"/>
                <w:color w:val="000000"/>
                <w:kern w:val="0"/>
                <w:position w:val="0"/>
                <w:sz w:val="21"/>
                <w:szCs w:val="22"/>
                <w:highlight w:val="none"/>
                <w:lang w:val="en-US" w:eastAsia="zh-CN" w:bidi="ar"/>
              </w:rPr>
            </w:pPr>
          </w:p>
        </w:tc>
        <w:tc>
          <w:tcPr>
            <w:tcW w:w="1486" w:type="dxa"/>
            <w:vMerge w:val="continue"/>
            <w:tcBorders/>
            <w:vAlign w:val="center"/>
          </w:tcPr>
          <w:p w14:paraId="547C2587">
            <w:pPr>
              <w:pStyle w:val="8"/>
              <w:suppressLineNumbers w:val="0"/>
              <w:bidi w:val="0"/>
              <w:spacing w:before="0" w:beforeAutospacing="0" w:after="0" w:afterAutospacing="0"/>
              <w:ind w:left="0" w:right="0"/>
              <w:rPr>
                <w:rFonts w:hint="default"/>
                <w:highlight w:val="none"/>
              </w:rPr>
            </w:pPr>
          </w:p>
        </w:tc>
      </w:tr>
      <w:tr w14:paraId="573E82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09" w:type="dxa"/>
            <w:vMerge w:val="continue"/>
            <w:vAlign w:val="center"/>
          </w:tcPr>
          <w:p w14:paraId="2463967E">
            <w:pPr>
              <w:pStyle w:val="8"/>
              <w:suppressLineNumbers w:val="0"/>
              <w:bidi w:val="0"/>
              <w:spacing w:before="0" w:beforeAutospacing="0" w:after="0" w:afterAutospacing="0"/>
              <w:ind w:left="0" w:right="0"/>
              <w:rPr>
                <w:rFonts w:hint="default"/>
                <w:highlight w:val="none"/>
              </w:rPr>
            </w:pPr>
          </w:p>
        </w:tc>
        <w:tc>
          <w:tcPr>
            <w:tcW w:w="1277" w:type="dxa"/>
            <w:vMerge w:val="restart"/>
            <w:vAlign w:val="center"/>
          </w:tcPr>
          <w:p w14:paraId="0D2BA68E">
            <w:pPr>
              <w:pStyle w:val="8"/>
              <w:suppressLineNumbers w:val="0"/>
              <w:bidi w:val="0"/>
              <w:spacing w:before="0" w:beforeAutospacing="0" w:after="0" w:afterAutospacing="0"/>
              <w:ind w:left="0" w:right="0"/>
              <w:rPr>
                <w:rFonts w:hint="default" w:eastAsia="宋体"/>
                <w:highlight w:val="none"/>
                <w:lang w:val="en-US" w:eastAsia="zh-CN"/>
              </w:rPr>
            </w:pPr>
            <w:r>
              <w:rPr>
                <w:rFonts w:hint="eastAsia"/>
                <w:highlight w:val="none"/>
                <w:lang w:val="en-US" w:eastAsia="zh-CN"/>
              </w:rPr>
              <w:t>生产</w:t>
            </w:r>
            <w:r>
              <w:rPr>
                <w:rFonts w:hint="default"/>
                <w:highlight w:val="none"/>
              </w:rPr>
              <w:t>废气</w:t>
            </w:r>
            <w:r>
              <w:rPr>
                <w:rFonts w:hint="eastAsia"/>
                <w:highlight w:val="none"/>
                <w:lang w:eastAsia="zh-CN"/>
              </w:rPr>
              <w:t>、</w:t>
            </w:r>
            <w:r>
              <w:rPr>
                <w:rFonts w:hint="eastAsia"/>
                <w:highlight w:val="none"/>
                <w:lang w:val="en-US" w:eastAsia="zh-CN"/>
              </w:rPr>
              <w:t>贮存废气</w:t>
            </w:r>
          </w:p>
        </w:tc>
        <w:tc>
          <w:tcPr>
            <w:tcW w:w="1276" w:type="dxa"/>
            <w:vAlign w:val="center"/>
          </w:tcPr>
          <w:p w14:paraId="7467307A">
            <w:pPr>
              <w:pStyle w:val="8"/>
              <w:suppressLineNumbers w:val="0"/>
              <w:bidi w:val="0"/>
              <w:spacing w:before="0" w:beforeAutospacing="0" w:after="0" w:afterAutospacing="0"/>
              <w:ind w:left="0" w:leftChars="0" w:right="0" w:rightChars="0" w:firstLine="0" w:firstLineChars="0"/>
              <w:rPr>
                <w:rFonts w:hint="default"/>
                <w:highlight w:val="none"/>
              </w:rPr>
            </w:pPr>
            <w:r>
              <w:rPr>
                <w:rFonts w:hint="eastAsia"/>
                <w:highlight w:val="none"/>
                <w:lang w:val="en-US" w:eastAsia="zh-CN"/>
              </w:rPr>
              <w:t>非甲烷总烃</w:t>
            </w:r>
          </w:p>
        </w:tc>
        <w:tc>
          <w:tcPr>
            <w:tcW w:w="3227" w:type="dxa"/>
            <w:vMerge w:val="restart"/>
            <w:vAlign w:val="center"/>
          </w:tcPr>
          <w:p w14:paraId="2B381F93">
            <w:pPr>
              <w:pStyle w:val="8"/>
              <w:suppressLineNumbers w:val="0"/>
              <w:bidi w:val="0"/>
              <w:spacing w:before="0" w:beforeAutospacing="0" w:after="0" w:afterAutospacing="0"/>
              <w:ind w:left="0" w:right="0"/>
              <w:rPr>
                <w:rFonts w:hint="default"/>
                <w:highlight w:val="none"/>
              </w:rPr>
            </w:pPr>
            <w:r>
              <w:rPr>
                <w:rFonts w:hint="eastAsia"/>
                <w:highlight w:val="none"/>
              </w:rPr>
              <w:t>未收集部分以无组织形式排放</w:t>
            </w:r>
          </w:p>
        </w:tc>
        <w:tc>
          <w:tcPr>
            <w:tcW w:w="1246" w:type="dxa"/>
            <w:vMerge w:val="restart"/>
            <w:vAlign w:val="center"/>
          </w:tcPr>
          <w:p w14:paraId="6155FF75">
            <w:pPr>
              <w:pStyle w:val="8"/>
              <w:suppressLineNumbers w:val="0"/>
              <w:bidi w:val="0"/>
              <w:spacing w:before="0" w:beforeAutospacing="0" w:after="0" w:afterAutospacing="0"/>
              <w:ind w:left="0" w:right="0"/>
              <w:rPr>
                <w:rFonts w:hint="default"/>
                <w:highlight w:val="none"/>
              </w:rPr>
            </w:pPr>
            <w:r>
              <w:rPr>
                <w:rFonts w:hint="eastAsia"/>
                <w:highlight w:val="none"/>
              </w:rPr>
              <w:t>/</w:t>
            </w:r>
          </w:p>
        </w:tc>
        <w:tc>
          <w:tcPr>
            <w:tcW w:w="1247" w:type="dxa"/>
            <w:vAlign w:val="center"/>
          </w:tcPr>
          <w:p w14:paraId="1ACD19FA">
            <w:pPr>
              <w:pStyle w:val="8"/>
              <w:suppressLineNumbers w:val="0"/>
              <w:bidi w:val="0"/>
              <w:spacing w:before="0" w:beforeAutospacing="0" w:after="0" w:afterAutospacing="0"/>
              <w:ind w:left="0" w:right="0"/>
              <w:rPr>
                <w:rFonts w:hint="default"/>
                <w:highlight w:val="none"/>
              </w:rPr>
            </w:pPr>
            <w:r>
              <w:rPr>
                <w:rFonts w:hint="eastAsia"/>
                <w:highlight w:val="none"/>
              </w:rPr>
              <w:t>0.</w:t>
            </w:r>
            <w:r>
              <w:rPr>
                <w:rFonts w:hint="eastAsia"/>
                <w:highlight w:val="none"/>
                <w:lang w:val="en-US" w:eastAsia="zh-CN"/>
              </w:rPr>
              <w:t>628</w:t>
            </w:r>
            <w:r>
              <w:rPr>
                <w:rFonts w:hint="default"/>
                <w:highlight w:val="none"/>
              </w:rPr>
              <w:t>t/a</w:t>
            </w:r>
          </w:p>
        </w:tc>
        <w:tc>
          <w:tcPr>
            <w:tcW w:w="3709" w:type="dxa"/>
            <w:vAlign w:val="center"/>
          </w:tcPr>
          <w:p w14:paraId="2683388B">
            <w:pPr>
              <w:pStyle w:val="8"/>
              <w:suppressLineNumbers w:val="0"/>
              <w:bidi w:val="0"/>
              <w:spacing w:before="0" w:beforeAutospacing="0" w:after="0" w:afterAutospacing="0"/>
              <w:ind w:left="0" w:right="0"/>
              <w:rPr>
                <w:rFonts w:hint="eastAsia" w:eastAsia="宋体"/>
                <w:highlight w:val="none"/>
                <w:lang w:eastAsia="zh-CN"/>
              </w:rPr>
            </w:pPr>
            <w:r>
              <w:rPr>
                <w:rFonts w:hint="default"/>
                <w:highlight w:val="none"/>
              </w:rPr>
              <w:t>厂界非甲烷总烃执行《大气污染物综合排放标准》（GB16297-1996）表2中无组织排放监控浓度限值要求</w:t>
            </w:r>
            <w:r>
              <w:rPr>
                <w:rFonts w:hint="eastAsia"/>
                <w:highlight w:val="none"/>
                <w:lang w:eastAsia="zh-CN"/>
              </w:rPr>
              <w:t>；</w:t>
            </w:r>
            <w:r>
              <w:rPr>
                <w:rFonts w:hint="default" w:ascii="Times New Roman" w:hAnsi="Times New Roman" w:cs="Times New Roman"/>
                <w:spacing w:val="0"/>
                <w:position w:val="0"/>
                <w:szCs w:val="21"/>
                <w:highlight w:val="none"/>
                <w:lang w:bidi="ar"/>
              </w:rPr>
              <w:t>厂区内非甲烷总烃排放执行《挥发性有机物无组织排放控制标准》（GB37822-2019）表A.1中排放限值标准</w:t>
            </w:r>
          </w:p>
        </w:tc>
        <w:tc>
          <w:tcPr>
            <w:tcW w:w="1486" w:type="dxa"/>
            <w:vMerge w:val="restart"/>
            <w:vAlign w:val="center"/>
          </w:tcPr>
          <w:p w14:paraId="731A999F">
            <w:pPr>
              <w:pStyle w:val="8"/>
              <w:suppressLineNumbers w:val="0"/>
              <w:bidi w:val="0"/>
              <w:spacing w:before="0" w:beforeAutospacing="0" w:after="0" w:afterAutospacing="0"/>
              <w:ind w:left="0" w:right="0"/>
              <w:rPr>
                <w:rFonts w:hint="default"/>
                <w:highlight w:val="none"/>
              </w:rPr>
            </w:pPr>
            <w:r>
              <w:rPr>
                <w:rFonts w:hint="default"/>
                <w:highlight w:val="none"/>
              </w:rPr>
              <w:t>/</w:t>
            </w:r>
          </w:p>
        </w:tc>
      </w:tr>
      <w:tr w14:paraId="0FF9BB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09" w:type="dxa"/>
            <w:vMerge w:val="continue"/>
            <w:vAlign w:val="center"/>
          </w:tcPr>
          <w:p w14:paraId="50C9F70F">
            <w:pPr>
              <w:pStyle w:val="8"/>
              <w:suppressLineNumbers w:val="0"/>
              <w:bidi w:val="0"/>
              <w:spacing w:before="0" w:beforeAutospacing="0" w:after="0" w:afterAutospacing="0"/>
              <w:ind w:left="0" w:right="0"/>
              <w:rPr>
                <w:rFonts w:hint="default"/>
                <w:highlight w:val="none"/>
              </w:rPr>
            </w:pPr>
          </w:p>
        </w:tc>
        <w:tc>
          <w:tcPr>
            <w:tcW w:w="1277" w:type="dxa"/>
            <w:vMerge w:val="continue"/>
            <w:vAlign w:val="center"/>
          </w:tcPr>
          <w:p w14:paraId="7B235A82">
            <w:pPr>
              <w:pStyle w:val="8"/>
              <w:suppressLineNumbers w:val="0"/>
              <w:bidi w:val="0"/>
              <w:spacing w:before="0" w:beforeAutospacing="0" w:after="0" w:afterAutospacing="0"/>
              <w:ind w:left="0" w:right="0"/>
              <w:rPr>
                <w:rFonts w:hint="eastAsia"/>
                <w:highlight w:val="none"/>
                <w:lang w:val="en-US" w:eastAsia="zh-CN"/>
              </w:rPr>
            </w:pPr>
          </w:p>
        </w:tc>
        <w:tc>
          <w:tcPr>
            <w:tcW w:w="1276" w:type="dxa"/>
            <w:shd w:val="clear" w:color="auto" w:fill="auto"/>
            <w:vAlign w:val="center"/>
          </w:tcPr>
          <w:p w14:paraId="12572997">
            <w:pPr>
              <w:pStyle w:val="8"/>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color w:val="000000"/>
                <w:kern w:val="0"/>
                <w:sz w:val="21"/>
                <w:szCs w:val="24"/>
                <w:highlight w:val="none"/>
                <w:lang w:val="en-US" w:eastAsia="zh-CN" w:bidi="ar-SA"/>
              </w:rPr>
            </w:pPr>
            <w:r>
              <w:rPr>
                <w:rFonts w:hint="eastAsia"/>
                <w:highlight w:val="none"/>
                <w:lang w:val="en-US" w:eastAsia="zh-CN"/>
              </w:rPr>
              <w:t>颗粒物</w:t>
            </w:r>
          </w:p>
        </w:tc>
        <w:tc>
          <w:tcPr>
            <w:tcW w:w="3227" w:type="dxa"/>
            <w:vMerge w:val="continue"/>
            <w:vAlign w:val="center"/>
          </w:tcPr>
          <w:p w14:paraId="50CCCBF2">
            <w:pPr>
              <w:pStyle w:val="8"/>
              <w:suppressLineNumbers w:val="0"/>
              <w:bidi w:val="0"/>
              <w:spacing w:before="0" w:beforeAutospacing="0" w:after="0" w:afterAutospacing="0"/>
              <w:ind w:left="0" w:right="0"/>
              <w:rPr>
                <w:rFonts w:hint="eastAsia"/>
                <w:highlight w:val="none"/>
              </w:rPr>
            </w:pPr>
          </w:p>
        </w:tc>
        <w:tc>
          <w:tcPr>
            <w:tcW w:w="1246" w:type="dxa"/>
            <w:vMerge w:val="continue"/>
            <w:vAlign w:val="center"/>
          </w:tcPr>
          <w:p w14:paraId="52B2C72C">
            <w:pPr>
              <w:pStyle w:val="8"/>
              <w:suppressLineNumbers w:val="0"/>
              <w:bidi w:val="0"/>
              <w:spacing w:before="0" w:beforeAutospacing="0" w:after="0" w:afterAutospacing="0"/>
              <w:ind w:left="0" w:right="0"/>
              <w:rPr>
                <w:rFonts w:hint="eastAsia"/>
                <w:highlight w:val="none"/>
              </w:rPr>
            </w:pPr>
          </w:p>
        </w:tc>
        <w:tc>
          <w:tcPr>
            <w:tcW w:w="1247" w:type="dxa"/>
            <w:vAlign w:val="center"/>
          </w:tcPr>
          <w:p w14:paraId="47CBBB77">
            <w:pPr>
              <w:pStyle w:val="8"/>
              <w:suppressLineNumbers w:val="0"/>
              <w:bidi w:val="0"/>
              <w:spacing w:before="0" w:beforeAutospacing="0" w:after="0" w:afterAutospacing="0"/>
              <w:ind w:left="0" w:right="0"/>
              <w:rPr>
                <w:rFonts w:hint="eastAsia" w:eastAsia="宋体"/>
                <w:highlight w:val="none"/>
                <w:lang w:val="en-US" w:eastAsia="zh-CN"/>
              </w:rPr>
            </w:pPr>
            <w:r>
              <w:rPr>
                <w:rFonts w:hint="eastAsia"/>
                <w:highlight w:val="none"/>
                <w:lang w:val="en-US" w:eastAsia="zh-CN"/>
              </w:rPr>
              <w:t>少量</w:t>
            </w:r>
          </w:p>
        </w:tc>
        <w:tc>
          <w:tcPr>
            <w:tcW w:w="3709" w:type="dxa"/>
            <w:vAlign w:val="center"/>
          </w:tcPr>
          <w:p w14:paraId="1DA5B1FC">
            <w:pPr>
              <w:pStyle w:val="8"/>
              <w:suppressLineNumbers w:val="0"/>
              <w:bidi w:val="0"/>
              <w:spacing w:before="0" w:beforeAutospacing="0" w:after="0" w:afterAutospacing="0"/>
              <w:ind w:left="0" w:right="0"/>
              <w:rPr>
                <w:rFonts w:hint="default"/>
                <w:highlight w:val="none"/>
              </w:rPr>
            </w:pPr>
            <w:r>
              <w:rPr>
                <w:rFonts w:hint="default"/>
                <w:highlight w:val="none"/>
                <w:lang w:val="en-US" w:eastAsia="zh-CN"/>
              </w:rPr>
              <w:t>《大气污染物综合排放标准》（GB16297-1996）表2</w:t>
            </w:r>
            <w:r>
              <w:rPr>
                <w:rFonts w:hint="default" w:ascii="Times New Roman" w:hAnsi="Times New Roman" w:eastAsia="宋体" w:cs="Times New Roman"/>
                <w:b w:val="0"/>
                <w:bCs w:val="0"/>
                <w:snapToGrid w:val="0"/>
                <w:color w:val="000000"/>
                <w:kern w:val="0"/>
                <w:position w:val="0"/>
                <w:sz w:val="21"/>
                <w:szCs w:val="22"/>
                <w:highlight w:val="none"/>
                <w:lang w:val="en-US" w:eastAsia="en-US" w:bidi="ar"/>
              </w:rPr>
              <w:t>无组织排放监控浓度限值</w:t>
            </w:r>
          </w:p>
        </w:tc>
        <w:tc>
          <w:tcPr>
            <w:tcW w:w="1486" w:type="dxa"/>
            <w:vMerge w:val="continue"/>
            <w:vAlign w:val="center"/>
          </w:tcPr>
          <w:p w14:paraId="2BB653A4">
            <w:pPr>
              <w:pStyle w:val="8"/>
              <w:suppressLineNumbers w:val="0"/>
              <w:bidi w:val="0"/>
              <w:spacing w:before="0" w:beforeAutospacing="0" w:after="0" w:afterAutospacing="0"/>
              <w:ind w:left="0" w:right="0"/>
              <w:rPr>
                <w:rFonts w:hint="default"/>
                <w:highlight w:val="none"/>
              </w:rPr>
            </w:pPr>
          </w:p>
        </w:tc>
      </w:tr>
      <w:tr w14:paraId="3F5BEC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09" w:type="dxa"/>
            <w:vMerge w:val="continue"/>
            <w:vAlign w:val="center"/>
          </w:tcPr>
          <w:p w14:paraId="6812BF36">
            <w:pPr>
              <w:pStyle w:val="8"/>
              <w:suppressLineNumbers w:val="0"/>
              <w:bidi w:val="0"/>
              <w:spacing w:before="0" w:beforeAutospacing="0" w:after="0" w:afterAutospacing="0"/>
              <w:ind w:left="0" w:right="0"/>
              <w:rPr>
                <w:rFonts w:hint="default"/>
                <w:highlight w:val="none"/>
              </w:rPr>
            </w:pPr>
          </w:p>
        </w:tc>
        <w:tc>
          <w:tcPr>
            <w:tcW w:w="1277" w:type="dxa"/>
            <w:vMerge w:val="continue"/>
            <w:vAlign w:val="center"/>
          </w:tcPr>
          <w:p w14:paraId="6401F260">
            <w:pPr>
              <w:pStyle w:val="8"/>
              <w:suppressLineNumbers w:val="0"/>
              <w:bidi w:val="0"/>
              <w:spacing w:before="0" w:beforeAutospacing="0" w:after="0" w:afterAutospacing="0"/>
              <w:ind w:left="0" w:right="0"/>
              <w:rPr>
                <w:rFonts w:hint="eastAsia"/>
                <w:highlight w:val="none"/>
                <w:lang w:val="en-US" w:eastAsia="zh-CN"/>
              </w:rPr>
            </w:pPr>
          </w:p>
        </w:tc>
        <w:tc>
          <w:tcPr>
            <w:tcW w:w="1276" w:type="dxa"/>
            <w:shd w:val="clear" w:color="auto" w:fill="auto"/>
            <w:vAlign w:val="center"/>
          </w:tcPr>
          <w:p w14:paraId="4B2B4ED9">
            <w:pPr>
              <w:pStyle w:val="8"/>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color w:val="000000"/>
                <w:kern w:val="0"/>
                <w:sz w:val="21"/>
                <w:szCs w:val="24"/>
                <w:highlight w:val="none"/>
                <w:lang w:val="en-US" w:eastAsia="zh-CN" w:bidi="ar-SA"/>
              </w:rPr>
            </w:pPr>
            <w:r>
              <w:rPr>
                <w:rFonts w:hint="eastAsia"/>
                <w:highlight w:val="none"/>
                <w:lang w:val="en-US" w:eastAsia="zh-CN"/>
              </w:rPr>
              <w:t>臭气浓度</w:t>
            </w:r>
          </w:p>
        </w:tc>
        <w:tc>
          <w:tcPr>
            <w:tcW w:w="3227" w:type="dxa"/>
            <w:vMerge w:val="continue"/>
            <w:vAlign w:val="center"/>
          </w:tcPr>
          <w:p w14:paraId="7D0D3BA0">
            <w:pPr>
              <w:pStyle w:val="8"/>
              <w:suppressLineNumbers w:val="0"/>
              <w:bidi w:val="0"/>
              <w:spacing w:before="0" w:beforeAutospacing="0" w:after="0" w:afterAutospacing="0"/>
              <w:ind w:left="0" w:right="0"/>
              <w:rPr>
                <w:rFonts w:hint="eastAsia"/>
                <w:highlight w:val="none"/>
              </w:rPr>
            </w:pPr>
          </w:p>
        </w:tc>
        <w:tc>
          <w:tcPr>
            <w:tcW w:w="1246" w:type="dxa"/>
            <w:vMerge w:val="continue"/>
            <w:vAlign w:val="center"/>
          </w:tcPr>
          <w:p w14:paraId="74F5D6FE">
            <w:pPr>
              <w:pStyle w:val="8"/>
              <w:suppressLineNumbers w:val="0"/>
              <w:bidi w:val="0"/>
              <w:spacing w:before="0" w:beforeAutospacing="0" w:after="0" w:afterAutospacing="0"/>
              <w:ind w:left="0" w:right="0"/>
              <w:rPr>
                <w:rFonts w:hint="eastAsia"/>
                <w:highlight w:val="none"/>
              </w:rPr>
            </w:pPr>
          </w:p>
        </w:tc>
        <w:tc>
          <w:tcPr>
            <w:tcW w:w="1247" w:type="dxa"/>
            <w:vAlign w:val="center"/>
          </w:tcPr>
          <w:p w14:paraId="3B84CDBE">
            <w:pPr>
              <w:pStyle w:val="8"/>
              <w:suppressLineNumbers w:val="0"/>
              <w:bidi w:val="0"/>
              <w:spacing w:before="0" w:beforeAutospacing="0" w:after="0" w:afterAutospacing="0"/>
              <w:ind w:left="0" w:right="0"/>
              <w:rPr>
                <w:rFonts w:hint="eastAsia" w:eastAsia="宋体"/>
                <w:highlight w:val="none"/>
                <w:lang w:val="en-US" w:eastAsia="zh-CN"/>
              </w:rPr>
            </w:pPr>
            <w:r>
              <w:rPr>
                <w:rFonts w:hint="eastAsia"/>
                <w:highlight w:val="none"/>
                <w:lang w:val="en-US" w:eastAsia="zh-CN"/>
              </w:rPr>
              <w:t>少量</w:t>
            </w:r>
          </w:p>
        </w:tc>
        <w:tc>
          <w:tcPr>
            <w:tcW w:w="3709" w:type="dxa"/>
            <w:vAlign w:val="center"/>
          </w:tcPr>
          <w:p w14:paraId="14F8E1E3">
            <w:pPr>
              <w:pStyle w:val="8"/>
              <w:suppressLineNumbers w:val="0"/>
              <w:bidi w:val="0"/>
              <w:spacing w:before="0" w:beforeAutospacing="0" w:after="0" w:afterAutospacing="0"/>
              <w:ind w:left="0" w:right="0"/>
              <w:rPr>
                <w:rFonts w:hint="default"/>
                <w:highlight w:val="none"/>
              </w:rPr>
            </w:pPr>
            <w:r>
              <w:rPr>
                <w:rFonts w:hint="eastAsia" w:cs="Times New Roman"/>
                <w:b w:val="0"/>
                <w:bCs w:val="0"/>
                <w:snapToGrid w:val="0"/>
                <w:color w:val="000000"/>
                <w:kern w:val="0"/>
                <w:position w:val="0"/>
                <w:sz w:val="21"/>
                <w:szCs w:val="22"/>
                <w:highlight w:val="none"/>
                <w:lang w:val="en-US" w:eastAsia="zh-CN" w:bidi="ar"/>
              </w:rPr>
              <w:t>《恶臭污染物排放标准》（GB14554-93）表1中标准</w:t>
            </w:r>
          </w:p>
        </w:tc>
        <w:tc>
          <w:tcPr>
            <w:tcW w:w="1486" w:type="dxa"/>
            <w:vMerge w:val="continue"/>
            <w:vAlign w:val="center"/>
          </w:tcPr>
          <w:p w14:paraId="63573423">
            <w:pPr>
              <w:pStyle w:val="8"/>
              <w:suppressLineNumbers w:val="0"/>
              <w:bidi w:val="0"/>
              <w:spacing w:before="0" w:beforeAutospacing="0" w:after="0" w:afterAutospacing="0"/>
              <w:ind w:left="0" w:right="0"/>
              <w:rPr>
                <w:rFonts w:hint="default"/>
                <w:highlight w:val="none"/>
              </w:rPr>
            </w:pPr>
          </w:p>
        </w:tc>
      </w:tr>
    </w:tbl>
    <w:p w14:paraId="30EF3ED8">
      <w:pPr>
        <w:pStyle w:val="7"/>
        <w:bidi w:val="0"/>
        <w:rPr>
          <w:rFonts w:hint="eastAsia"/>
          <w:highlight w:val="none"/>
          <w:lang w:val="en-US" w:eastAsia="zh-CN"/>
        </w:rPr>
      </w:pPr>
    </w:p>
    <w:p w14:paraId="35AC6196">
      <w:pPr>
        <w:pStyle w:val="7"/>
        <w:bidi w:val="0"/>
        <w:rPr>
          <w:rFonts w:hint="eastAsia"/>
          <w:highlight w:val="none"/>
          <w:lang w:val="en-US" w:eastAsia="zh-CN"/>
        </w:rPr>
      </w:pPr>
    </w:p>
    <w:p w14:paraId="56679405">
      <w:pPr>
        <w:pStyle w:val="7"/>
        <w:bidi w:val="0"/>
        <w:rPr>
          <w:highlight w:val="none"/>
          <w:lang w:val="zh-CN"/>
        </w:rPr>
      </w:pPr>
      <w:r>
        <w:rPr>
          <w:rFonts w:hint="eastAsia"/>
          <w:highlight w:val="none"/>
          <w:lang w:val="en-US" w:eastAsia="zh-CN"/>
        </w:rPr>
        <w:t>续</w:t>
      </w:r>
      <w:r>
        <w:rPr>
          <w:highlight w:val="none"/>
          <w:lang w:val="zh-CN"/>
        </w:rPr>
        <w:t>表8-1-1污染物排放清单一览表</w:t>
      </w:r>
    </w:p>
    <w:tbl>
      <w:tblPr>
        <w:tblStyle w:val="45"/>
        <w:tblW w:w="1443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9"/>
        <w:gridCol w:w="5780"/>
        <w:gridCol w:w="2493"/>
        <w:gridCol w:w="3709"/>
        <w:gridCol w:w="1486"/>
        <w:gridCol w:w="255"/>
      </w:tblGrid>
      <w:tr w14:paraId="6B48E3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55" w:type="dxa"/>
          <w:trHeight w:val="1269" w:hRule="atLeast"/>
          <w:jc w:val="center"/>
        </w:trPr>
        <w:tc>
          <w:tcPr>
            <w:tcW w:w="709" w:type="dxa"/>
            <w:vAlign w:val="center"/>
          </w:tcPr>
          <w:p w14:paraId="7E1A82B0">
            <w:pPr>
              <w:pStyle w:val="8"/>
              <w:suppressLineNumbers w:val="0"/>
              <w:bidi w:val="0"/>
              <w:spacing w:before="0" w:beforeAutospacing="0" w:after="0" w:afterAutospacing="0"/>
              <w:ind w:left="0" w:right="0"/>
              <w:rPr>
                <w:rFonts w:hint="default"/>
                <w:highlight w:val="none"/>
              </w:rPr>
            </w:pPr>
            <w:r>
              <w:rPr>
                <w:rFonts w:hint="default"/>
                <w:highlight w:val="none"/>
              </w:rPr>
              <w:t>噪声</w:t>
            </w:r>
          </w:p>
        </w:tc>
        <w:tc>
          <w:tcPr>
            <w:tcW w:w="5780" w:type="dxa"/>
            <w:vAlign w:val="center"/>
          </w:tcPr>
          <w:p w14:paraId="23AACA80">
            <w:pPr>
              <w:pStyle w:val="8"/>
              <w:suppressLineNumbers w:val="0"/>
              <w:bidi w:val="0"/>
              <w:spacing w:before="0" w:beforeAutospacing="0" w:after="0" w:afterAutospacing="0"/>
              <w:ind w:left="0" w:right="0"/>
              <w:rPr>
                <w:rFonts w:hint="eastAsia"/>
                <w:highlight w:val="none"/>
                <w:lang w:val="en-US" w:eastAsia="zh-CN"/>
              </w:rPr>
            </w:pPr>
            <w:r>
              <w:rPr>
                <w:rFonts w:hint="default"/>
                <w:highlight w:val="none"/>
              </w:rPr>
              <w:t>生产设备</w:t>
            </w:r>
            <w:r>
              <w:rPr>
                <w:rFonts w:hint="eastAsia"/>
                <w:highlight w:val="none"/>
                <w:lang w:eastAsia="zh-CN"/>
              </w:rPr>
              <w:t>、</w:t>
            </w:r>
            <w:r>
              <w:rPr>
                <w:rFonts w:hint="eastAsia"/>
                <w:highlight w:val="none"/>
                <w:lang w:val="en-US" w:eastAsia="zh-CN"/>
              </w:rPr>
              <w:t>风机等</w:t>
            </w:r>
          </w:p>
        </w:tc>
        <w:tc>
          <w:tcPr>
            <w:tcW w:w="2493" w:type="dxa"/>
            <w:vAlign w:val="center"/>
          </w:tcPr>
          <w:p w14:paraId="2955E14D">
            <w:pPr>
              <w:pStyle w:val="8"/>
              <w:suppressLineNumbers w:val="0"/>
              <w:bidi w:val="0"/>
              <w:spacing w:before="0" w:beforeAutospacing="0" w:after="0" w:afterAutospacing="0"/>
              <w:ind w:left="0" w:right="0"/>
              <w:rPr>
                <w:rFonts w:hint="default"/>
                <w:highlight w:val="none"/>
              </w:rPr>
            </w:pPr>
            <w:r>
              <w:rPr>
                <w:rFonts w:hint="default"/>
                <w:highlight w:val="none"/>
              </w:rPr>
              <w:t>采取基础减振、厂房隔声、选用低噪声设备等措施</w:t>
            </w:r>
          </w:p>
        </w:tc>
        <w:tc>
          <w:tcPr>
            <w:tcW w:w="3709" w:type="dxa"/>
            <w:vAlign w:val="center"/>
          </w:tcPr>
          <w:p w14:paraId="09835FA4">
            <w:pPr>
              <w:pStyle w:val="8"/>
              <w:suppressLineNumbers w:val="0"/>
              <w:bidi w:val="0"/>
              <w:spacing w:before="0" w:beforeAutospacing="0" w:after="0" w:afterAutospacing="0"/>
              <w:ind w:left="0" w:right="0"/>
              <w:rPr>
                <w:rFonts w:hint="default"/>
                <w:highlight w:val="none"/>
              </w:rPr>
            </w:pPr>
            <w:r>
              <w:rPr>
                <w:rFonts w:hint="default"/>
                <w:highlight w:val="none"/>
              </w:rPr>
              <w:t>厂界噪声排放符合《工业企业厂界环境噪声排放标准》（GB12348-2008）表1中</w:t>
            </w:r>
            <w:r>
              <w:rPr>
                <w:rFonts w:hint="eastAsia"/>
                <w:highlight w:val="none"/>
                <w:lang w:val="en-US" w:eastAsia="zh-CN"/>
              </w:rPr>
              <w:t>3</w:t>
            </w:r>
            <w:r>
              <w:rPr>
                <w:rFonts w:hint="default"/>
                <w:highlight w:val="none"/>
              </w:rPr>
              <w:t>类标准</w:t>
            </w:r>
          </w:p>
        </w:tc>
        <w:tc>
          <w:tcPr>
            <w:tcW w:w="1486" w:type="dxa"/>
            <w:vAlign w:val="center"/>
          </w:tcPr>
          <w:p w14:paraId="0ADC9379">
            <w:pPr>
              <w:pStyle w:val="8"/>
              <w:suppressLineNumbers w:val="0"/>
              <w:bidi w:val="0"/>
              <w:spacing w:before="0" w:beforeAutospacing="0" w:after="0" w:afterAutospacing="0"/>
              <w:ind w:left="0" w:right="0"/>
              <w:rPr>
                <w:rFonts w:hint="default"/>
                <w:highlight w:val="none"/>
              </w:rPr>
            </w:pPr>
            <w:r>
              <w:rPr>
                <w:rFonts w:hint="default"/>
                <w:highlight w:val="none"/>
              </w:rPr>
              <w:drawing>
                <wp:anchor distT="0" distB="0" distL="114300" distR="114300" simplePos="0" relativeHeight="251668480" behindDoc="0" locked="0" layoutInCell="1" allowOverlap="1">
                  <wp:simplePos x="0" y="0"/>
                  <wp:positionH relativeFrom="column">
                    <wp:posOffset>90170</wp:posOffset>
                  </wp:positionH>
                  <wp:positionV relativeFrom="paragraph">
                    <wp:posOffset>33020</wp:posOffset>
                  </wp:positionV>
                  <wp:extent cx="499110" cy="429895"/>
                  <wp:effectExtent l="19050" t="0" r="0" b="0"/>
                  <wp:wrapNone/>
                  <wp:docPr id="478" name="图片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441"/>
                          <pic:cNvPicPr>
                            <a:picLocks noChangeAspect="1" noChangeArrowheads="1"/>
                          </pic:cNvPicPr>
                        </pic:nvPicPr>
                        <pic:blipFill>
                          <a:blip r:embed="rId119" cstate="print"/>
                          <a:srcRect/>
                          <a:stretch>
                            <a:fillRect/>
                          </a:stretch>
                        </pic:blipFill>
                        <pic:spPr>
                          <a:xfrm>
                            <a:off x="0" y="0"/>
                            <a:ext cx="499110" cy="429895"/>
                          </a:xfrm>
                          <a:prstGeom prst="rect">
                            <a:avLst/>
                          </a:prstGeom>
                          <a:noFill/>
                          <a:ln w="9525">
                            <a:noFill/>
                            <a:miter lim="800000"/>
                            <a:headEnd/>
                            <a:tailEnd/>
                          </a:ln>
                        </pic:spPr>
                      </pic:pic>
                    </a:graphicData>
                  </a:graphic>
                </wp:anchor>
              </w:drawing>
            </w:r>
          </w:p>
          <w:p w14:paraId="07F4D4F0">
            <w:pPr>
              <w:pStyle w:val="8"/>
              <w:suppressLineNumbers w:val="0"/>
              <w:bidi w:val="0"/>
              <w:spacing w:before="0" w:beforeAutospacing="0" w:after="0" w:afterAutospacing="0"/>
              <w:ind w:left="0" w:right="0"/>
              <w:rPr>
                <w:rFonts w:hint="default"/>
                <w:highlight w:val="none"/>
              </w:rPr>
            </w:pPr>
          </w:p>
          <w:p w14:paraId="22CCA96A">
            <w:pPr>
              <w:pStyle w:val="8"/>
              <w:suppressLineNumbers w:val="0"/>
              <w:bidi w:val="0"/>
              <w:spacing w:before="0" w:beforeAutospacing="0" w:after="0" w:afterAutospacing="0"/>
              <w:ind w:left="0" w:right="0"/>
              <w:rPr>
                <w:rFonts w:hint="default"/>
                <w:highlight w:val="none"/>
              </w:rPr>
            </w:pPr>
          </w:p>
          <w:p w14:paraId="07303888">
            <w:pPr>
              <w:pStyle w:val="8"/>
              <w:suppressLineNumbers w:val="0"/>
              <w:bidi w:val="0"/>
              <w:spacing w:before="0" w:beforeAutospacing="0" w:after="0" w:afterAutospacing="0"/>
              <w:ind w:left="0" w:right="0"/>
              <w:rPr>
                <w:rFonts w:hint="default"/>
                <w:highlight w:val="none"/>
              </w:rPr>
            </w:pPr>
            <w:r>
              <w:rPr>
                <w:rFonts w:hint="default"/>
                <w:highlight w:val="none"/>
              </w:rPr>
              <w:t>提示图形符号</w:t>
            </w:r>
          </w:p>
          <w:p w14:paraId="2D1C18B9">
            <w:pPr>
              <w:pStyle w:val="8"/>
              <w:suppressLineNumbers w:val="0"/>
              <w:bidi w:val="0"/>
              <w:spacing w:before="0" w:beforeAutospacing="0" w:after="0" w:afterAutospacing="0"/>
              <w:ind w:left="0" w:right="0"/>
              <w:rPr>
                <w:rFonts w:hint="default"/>
                <w:highlight w:val="none"/>
              </w:rPr>
            </w:pPr>
            <w:r>
              <w:rPr>
                <w:rFonts w:hint="default"/>
                <w:highlight w:val="none"/>
              </w:rPr>
              <w:drawing>
                <wp:inline distT="0" distB="0" distL="0" distR="0">
                  <wp:extent cx="465455" cy="412115"/>
                  <wp:effectExtent l="0" t="0" r="10795" b="6985"/>
                  <wp:docPr id="479"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80"/>
                          <pic:cNvPicPr>
                            <a:picLocks noChangeAspect="1" noChangeArrowheads="1"/>
                          </pic:cNvPicPr>
                        </pic:nvPicPr>
                        <pic:blipFill>
                          <a:blip r:embed="rId120" cstate="print"/>
                          <a:srcRect/>
                          <a:stretch>
                            <a:fillRect/>
                          </a:stretch>
                        </pic:blipFill>
                        <pic:spPr>
                          <a:xfrm>
                            <a:off x="0" y="0"/>
                            <a:ext cx="469916" cy="415696"/>
                          </a:xfrm>
                          <a:prstGeom prst="rect">
                            <a:avLst/>
                          </a:prstGeom>
                          <a:noFill/>
                          <a:ln w="9525">
                            <a:noFill/>
                            <a:miter lim="800000"/>
                            <a:headEnd/>
                            <a:tailEnd/>
                          </a:ln>
                        </pic:spPr>
                      </pic:pic>
                    </a:graphicData>
                  </a:graphic>
                </wp:inline>
              </w:drawing>
            </w:r>
          </w:p>
          <w:p w14:paraId="5DF9A500">
            <w:pPr>
              <w:pStyle w:val="8"/>
              <w:suppressLineNumbers w:val="0"/>
              <w:bidi w:val="0"/>
              <w:spacing w:before="0" w:beforeAutospacing="0" w:after="0" w:afterAutospacing="0"/>
              <w:ind w:left="0" w:right="0"/>
              <w:rPr>
                <w:rFonts w:hint="default"/>
                <w:highlight w:val="none"/>
              </w:rPr>
            </w:pPr>
            <w:r>
              <w:rPr>
                <w:rFonts w:hint="default"/>
                <w:highlight w:val="none"/>
              </w:rPr>
              <w:t>警告图形符号</w:t>
            </w:r>
          </w:p>
        </w:tc>
      </w:tr>
      <w:tr w14:paraId="441430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09" w:type="dxa"/>
            <w:vMerge w:val="restart"/>
            <w:vAlign w:val="center"/>
          </w:tcPr>
          <w:p w14:paraId="72FEDCEF">
            <w:pPr>
              <w:pStyle w:val="8"/>
              <w:suppressLineNumbers w:val="0"/>
              <w:bidi w:val="0"/>
              <w:spacing w:before="0" w:beforeAutospacing="0" w:after="0" w:afterAutospacing="0"/>
              <w:ind w:left="0" w:right="0"/>
              <w:rPr>
                <w:rFonts w:hint="default"/>
                <w:highlight w:val="none"/>
              </w:rPr>
            </w:pPr>
            <w:r>
              <w:rPr>
                <w:rFonts w:hint="default"/>
                <w:highlight w:val="none"/>
              </w:rPr>
              <w:t>固废</w:t>
            </w:r>
          </w:p>
        </w:tc>
        <w:tc>
          <w:tcPr>
            <w:tcW w:w="5780" w:type="dxa"/>
            <w:vAlign w:val="center"/>
          </w:tcPr>
          <w:p w14:paraId="4AE27DF7">
            <w:pPr>
              <w:pStyle w:val="8"/>
              <w:suppressLineNumbers w:val="0"/>
              <w:bidi w:val="0"/>
              <w:spacing w:before="0" w:beforeAutospacing="0" w:after="0" w:afterAutospacing="0"/>
              <w:ind w:left="0" w:right="0"/>
              <w:rPr>
                <w:rFonts w:hint="default"/>
                <w:highlight w:val="none"/>
              </w:rPr>
            </w:pPr>
            <w:r>
              <w:rPr>
                <w:rFonts w:hint="default"/>
                <w:highlight w:val="none"/>
              </w:rPr>
              <w:t>生活垃圾</w:t>
            </w:r>
            <w:r>
              <w:rPr>
                <w:rFonts w:hint="default"/>
                <w:highlight w:val="none"/>
                <w:lang w:val="en-US" w:eastAsia="zh-CN"/>
              </w:rPr>
              <w:t>（类别：SW64，代码：900-099-S64）</w:t>
            </w:r>
          </w:p>
        </w:tc>
        <w:tc>
          <w:tcPr>
            <w:tcW w:w="2493" w:type="dxa"/>
            <w:tcBorders>
              <w:bottom w:val="single" w:color="auto" w:sz="4" w:space="0"/>
            </w:tcBorders>
            <w:vAlign w:val="center"/>
          </w:tcPr>
          <w:p w14:paraId="068670C1">
            <w:pPr>
              <w:pStyle w:val="8"/>
              <w:suppressLineNumbers w:val="0"/>
              <w:bidi w:val="0"/>
              <w:spacing w:before="0" w:beforeAutospacing="0" w:after="0" w:afterAutospacing="0"/>
              <w:ind w:left="0" w:right="0"/>
              <w:rPr>
                <w:rFonts w:hint="default"/>
                <w:highlight w:val="none"/>
              </w:rPr>
            </w:pPr>
            <w:r>
              <w:rPr>
                <w:rFonts w:hint="default"/>
                <w:highlight w:val="none"/>
              </w:rPr>
              <w:t>交由市政部门处理</w:t>
            </w:r>
          </w:p>
        </w:tc>
        <w:tc>
          <w:tcPr>
            <w:tcW w:w="3709" w:type="dxa"/>
            <w:tcBorders>
              <w:bottom w:val="single" w:color="auto" w:sz="4" w:space="0"/>
            </w:tcBorders>
            <w:vAlign w:val="center"/>
          </w:tcPr>
          <w:p w14:paraId="11516948">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1741" w:type="dxa"/>
            <w:gridSpan w:val="2"/>
            <w:vAlign w:val="center"/>
          </w:tcPr>
          <w:p w14:paraId="05E73C57">
            <w:pPr>
              <w:pStyle w:val="8"/>
              <w:suppressLineNumbers w:val="0"/>
              <w:bidi w:val="0"/>
              <w:spacing w:before="0" w:beforeAutospacing="0" w:after="0" w:afterAutospacing="0"/>
              <w:ind w:left="0" w:right="0"/>
              <w:rPr>
                <w:rFonts w:hint="default"/>
                <w:highlight w:val="none"/>
              </w:rPr>
            </w:pPr>
            <w:r>
              <w:rPr>
                <w:rFonts w:hint="default"/>
                <w:highlight w:val="none"/>
              </w:rPr>
              <w:t>/</w:t>
            </w:r>
          </w:p>
        </w:tc>
      </w:tr>
      <w:tr w14:paraId="034FF6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709" w:type="dxa"/>
            <w:vMerge w:val="continue"/>
            <w:vAlign w:val="center"/>
          </w:tcPr>
          <w:p w14:paraId="3FD3842D">
            <w:pPr>
              <w:pStyle w:val="8"/>
              <w:suppressLineNumbers w:val="0"/>
              <w:bidi w:val="0"/>
              <w:spacing w:before="0" w:beforeAutospacing="0" w:after="0" w:afterAutospacing="0"/>
              <w:ind w:left="0" w:right="0"/>
              <w:rPr>
                <w:rFonts w:hint="default"/>
                <w:highlight w:val="none"/>
              </w:rPr>
            </w:pPr>
          </w:p>
        </w:tc>
        <w:tc>
          <w:tcPr>
            <w:tcW w:w="5780" w:type="dxa"/>
            <w:vAlign w:val="center"/>
          </w:tcPr>
          <w:p w14:paraId="5B457705">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废液（类别：HW08，代码：900-249-08、类别：HW09，代码900-007-09）</w:t>
            </w:r>
          </w:p>
        </w:tc>
        <w:tc>
          <w:tcPr>
            <w:tcW w:w="2493" w:type="dxa"/>
            <w:vMerge w:val="restart"/>
            <w:vAlign w:val="center"/>
          </w:tcPr>
          <w:p w14:paraId="771193B5">
            <w:pPr>
              <w:pStyle w:val="8"/>
              <w:suppressLineNumbers w:val="0"/>
              <w:bidi w:val="0"/>
              <w:spacing w:before="0" w:beforeAutospacing="0" w:after="0" w:afterAutospacing="0"/>
              <w:ind w:left="0" w:right="0"/>
              <w:rPr>
                <w:rFonts w:hint="default"/>
                <w:highlight w:val="none"/>
              </w:rPr>
            </w:pPr>
            <w:r>
              <w:rPr>
                <w:rFonts w:hint="default"/>
                <w:highlight w:val="none"/>
              </w:rPr>
              <w:t>收集后危废贮存库储存，定期委托有资质单位处理</w:t>
            </w:r>
          </w:p>
        </w:tc>
        <w:tc>
          <w:tcPr>
            <w:tcW w:w="3709" w:type="dxa"/>
            <w:vMerge w:val="restart"/>
            <w:vAlign w:val="center"/>
          </w:tcPr>
          <w:p w14:paraId="350AF363">
            <w:pPr>
              <w:pStyle w:val="8"/>
              <w:suppressLineNumbers w:val="0"/>
              <w:bidi w:val="0"/>
              <w:spacing w:before="0" w:beforeAutospacing="0" w:after="0" w:afterAutospacing="0"/>
              <w:ind w:left="0" w:right="0"/>
              <w:rPr>
                <w:rFonts w:hint="default"/>
                <w:highlight w:val="none"/>
              </w:rPr>
            </w:pPr>
            <w:r>
              <w:rPr>
                <w:rFonts w:hint="default"/>
                <w:highlight w:val="none"/>
              </w:rPr>
              <w:t>《危险废物贮存污染控制标准》（GB18597-2023）</w:t>
            </w:r>
          </w:p>
        </w:tc>
        <w:tc>
          <w:tcPr>
            <w:tcW w:w="1741" w:type="dxa"/>
            <w:gridSpan w:val="2"/>
            <w:vMerge w:val="restart"/>
            <w:vAlign w:val="center"/>
          </w:tcPr>
          <w:p w14:paraId="3C39F225">
            <w:pPr>
              <w:pStyle w:val="8"/>
              <w:suppressLineNumbers w:val="0"/>
              <w:bidi w:val="0"/>
              <w:spacing w:before="0" w:beforeAutospacing="0" w:after="0" w:afterAutospacing="0"/>
              <w:ind w:left="0" w:right="0"/>
              <w:rPr>
                <w:rFonts w:hint="default"/>
                <w:highlight w:val="none"/>
              </w:rPr>
            </w:pPr>
            <w:r>
              <w:rPr>
                <w:rFonts w:hint="default"/>
                <w:highlight w:val="none"/>
              </w:rPr>
              <w:drawing>
                <wp:anchor distT="0" distB="0" distL="114300" distR="114300" simplePos="0" relativeHeight="251669504" behindDoc="0" locked="0" layoutInCell="1" allowOverlap="1">
                  <wp:simplePos x="0" y="0"/>
                  <wp:positionH relativeFrom="column">
                    <wp:posOffset>166370</wp:posOffset>
                  </wp:positionH>
                  <wp:positionV relativeFrom="paragraph">
                    <wp:posOffset>133985</wp:posOffset>
                  </wp:positionV>
                  <wp:extent cx="697865" cy="552450"/>
                  <wp:effectExtent l="19050" t="0" r="6985" b="0"/>
                  <wp:wrapNone/>
                  <wp:docPr id="45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38"/>
                          <pic:cNvPicPr>
                            <a:picLocks noChangeAspect="1" noChangeArrowheads="1"/>
                          </pic:cNvPicPr>
                        </pic:nvPicPr>
                        <pic:blipFill>
                          <a:blip r:embed="rId121" cstate="print"/>
                          <a:srcRect/>
                          <a:stretch>
                            <a:fillRect/>
                          </a:stretch>
                        </pic:blipFill>
                        <pic:spPr>
                          <a:xfrm>
                            <a:off x="0" y="0"/>
                            <a:ext cx="697865" cy="552450"/>
                          </a:xfrm>
                          <a:prstGeom prst="rect">
                            <a:avLst/>
                          </a:prstGeom>
                          <a:noFill/>
                          <a:ln w="9525">
                            <a:noFill/>
                            <a:miter lim="800000"/>
                            <a:headEnd/>
                            <a:tailEnd/>
                          </a:ln>
                        </pic:spPr>
                      </pic:pic>
                    </a:graphicData>
                  </a:graphic>
                </wp:anchor>
              </w:drawing>
            </w:r>
          </w:p>
          <w:p w14:paraId="53D57727">
            <w:pPr>
              <w:pStyle w:val="8"/>
              <w:suppressLineNumbers w:val="0"/>
              <w:bidi w:val="0"/>
              <w:spacing w:before="0" w:beforeAutospacing="0" w:after="0" w:afterAutospacing="0"/>
              <w:ind w:left="0" w:right="0"/>
              <w:rPr>
                <w:rFonts w:hint="default"/>
                <w:highlight w:val="none"/>
              </w:rPr>
            </w:pPr>
          </w:p>
          <w:p w14:paraId="3D6F1791">
            <w:pPr>
              <w:pStyle w:val="8"/>
              <w:suppressLineNumbers w:val="0"/>
              <w:bidi w:val="0"/>
              <w:spacing w:before="0" w:beforeAutospacing="0" w:after="0" w:afterAutospacing="0"/>
              <w:ind w:left="0" w:right="0"/>
              <w:rPr>
                <w:rFonts w:hint="default"/>
                <w:highlight w:val="none"/>
              </w:rPr>
            </w:pPr>
          </w:p>
          <w:p w14:paraId="651B90B2">
            <w:pPr>
              <w:pStyle w:val="8"/>
              <w:suppressLineNumbers w:val="0"/>
              <w:bidi w:val="0"/>
              <w:spacing w:before="0" w:beforeAutospacing="0" w:after="0" w:afterAutospacing="0"/>
              <w:ind w:left="0" w:right="0"/>
              <w:rPr>
                <w:rFonts w:hint="default"/>
                <w:highlight w:val="none"/>
              </w:rPr>
            </w:pPr>
          </w:p>
          <w:p w14:paraId="6D32AF68">
            <w:pPr>
              <w:pStyle w:val="8"/>
              <w:suppressLineNumbers w:val="0"/>
              <w:bidi w:val="0"/>
              <w:spacing w:before="0" w:beforeAutospacing="0" w:after="0" w:afterAutospacing="0"/>
              <w:ind w:left="0" w:right="0"/>
              <w:rPr>
                <w:rFonts w:hint="default"/>
                <w:highlight w:val="none"/>
              </w:rPr>
            </w:pPr>
          </w:p>
          <w:p w14:paraId="326BCA0C">
            <w:pPr>
              <w:pStyle w:val="8"/>
              <w:suppressLineNumbers w:val="0"/>
              <w:bidi w:val="0"/>
              <w:spacing w:before="0" w:beforeAutospacing="0" w:after="0" w:afterAutospacing="0"/>
              <w:ind w:left="0" w:right="0"/>
              <w:rPr>
                <w:rFonts w:hint="default"/>
                <w:highlight w:val="none"/>
              </w:rPr>
            </w:pPr>
            <w:r>
              <w:rPr>
                <w:rFonts w:hint="default"/>
                <w:highlight w:val="none"/>
              </w:rPr>
              <w:t>危险废物</w:t>
            </w:r>
          </w:p>
        </w:tc>
      </w:tr>
      <w:tr w14:paraId="35E939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709" w:type="dxa"/>
            <w:vMerge w:val="continue"/>
            <w:vAlign w:val="center"/>
          </w:tcPr>
          <w:p w14:paraId="5C86360A">
            <w:pPr>
              <w:pStyle w:val="8"/>
              <w:suppressLineNumbers w:val="0"/>
              <w:bidi w:val="0"/>
              <w:spacing w:before="0" w:beforeAutospacing="0" w:after="0" w:afterAutospacing="0"/>
              <w:ind w:left="0" w:right="0"/>
              <w:rPr>
                <w:rFonts w:hint="default"/>
                <w:highlight w:val="none"/>
              </w:rPr>
            </w:pPr>
          </w:p>
        </w:tc>
        <w:tc>
          <w:tcPr>
            <w:tcW w:w="5780" w:type="dxa"/>
            <w:vAlign w:val="center"/>
          </w:tcPr>
          <w:p w14:paraId="474614FC">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废活性炭（类别：HW49，代码：900-041-49）</w:t>
            </w:r>
          </w:p>
        </w:tc>
        <w:tc>
          <w:tcPr>
            <w:tcW w:w="2493" w:type="dxa"/>
            <w:vMerge w:val="continue"/>
            <w:vAlign w:val="center"/>
          </w:tcPr>
          <w:p w14:paraId="17D83BE3">
            <w:pPr>
              <w:pStyle w:val="8"/>
              <w:suppressLineNumbers w:val="0"/>
              <w:bidi w:val="0"/>
              <w:spacing w:before="0" w:beforeAutospacing="0" w:after="0" w:afterAutospacing="0"/>
              <w:ind w:left="0" w:right="0"/>
              <w:rPr>
                <w:rFonts w:hint="default"/>
                <w:highlight w:val="none"/>
              </w:rPr>
            </w:pPr>
          </w:p>
        </w:tc>
        <w:tc>
          <w:tcPr>
            <w:tcW w:w="3709" w:type="dxa"/>
            <w:vMerge w:val="continue"/>
            <w:vAlign w:val="center"/>
          </w:tcPr>
          <w:p w14:paraId="70313C2F">
            <w:pPr>
              <w:pStyle w:val="8"/>
              <w:suppressLineNumbers w:val="0"/>
              <w:bidi w:val="0"/>
              <w:spacing w:before="0" w:beforeAutospacing="0" w:after="0" w:afterAutospacing="0"/>
              <w:ind w:left="0" w:right="0"/>
              <w:rPr>
                <w:rFonts w:hint="default"/>
                <w:highlight w:val="none"/>
              </w:rPr>
            </w:pPr>
          </w:p>
        </w:tc>
        <w:tc>
          <w:tcPr>
            <w:tcW w:w="1741" w:type="dxa"/>
            <w:gridSpan w:val="2"/>
            <w:vMerge w:val="continue"/>
            <w:vAlign w:val="center"/>
          </w:tcPr>
          <w:p w14:paraId="6A5815E4">
            <w:pPr>
              <w:pStyle w:val="8"/>
              <w:suppressLineNumbers w:val="0"/>
              <w:bidi w:val="0"/>
              <w:spacing w:before="0" w:beforeAutospacing="0" w:after="0" w:afterAutospacing="0"/>
              <w:ind w:left="0" w:right="0"/>
              <w:rPr>
                <w:rFonts w:hint="default"/>
                <w:highlight w:val="none"/>
              </w:rPr>
            </w:pPr>
          </w:p>
        </w:tc>
      </w:tr>
      <w:tr w14:paraId="086B30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709" w:type="dxa"/>
            <w:vMerge w:val="continue"/>
            <w:vAlign w:val="center"/>
          </w:tcPr>
          <w:p w14:paraId="313B32D9">
            <w:pPr>
              <w:pStyle w:val="8"/>
              <w:suppressLineNumbers w:val="0"/>
              <w:bidi w:val="0"/>
              <w:spacing w:before="0" w:beforeAutospacing="0" w:after="0" w:afterAutospacing="0"/>
              <w:ind w:left="0" w:right="0"/>
              <w:rPr>
                <w:rFonts w:hint="default"/>
                <w:highlight w:val="none"/>
              </w:rPr>
            </w:pPr>
          </w:p>
        </w:tc>
        <w:tc>
          <w:tcPr>
            <w:tcW w:w="5780" w:type="dxa"/>
            <w:vAlign w:val="center"/>
          </w:tcPr>
          <w:p w14:paraId="2579B63E">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废油（类别：HW08，代码：900-249-08、类别：HW09，代码900-007-09）</w:t>
            </w:r>
          </w:p>
        </w:tc>
        <w:tc>
          <w:tcPr>
            <w:tcW w:w="2493" w:type="dxa"/>
            <w:vMerge w:val="continue"/>
            <w:vAlign w:val="center"/>
          </w:tcPr>
          <w:p w14:paraId="2A80EBEC">
            <w:pPr>
              <w:pStyle w:val="8"/>
              <w:suppressLineNumbers w:val="0"/>
              <w:bidi w:val="0"/>
              <w:spacing w:before="0" w:beforeAutospacing="0" w:after="0" w:afterAutospacing="0"/>
              <w:ind w:left="0" w:right="0"/>
              <w:rPr>
                <w:rFonts w:hint="default"/>
                <w:highlight w:val="none"/>
              </w:rPr>
            </w:pPr>
          </w:p>
        </w:tc>
        <w:tc>
          <w:tcPr>
            <w:tcW w:w="3709" w:type="dxa"/>
            <w:vMerge w:val="continue"/>
            <w:vAlign w:val="center"/>
          </w:tcPr>
          <w:p w14:paraId="285AC8B9">
            <w:pPr>
              <w:pStyle w:val="8"/>
              <w:suppressLineNumbers w:val="0"/>
              <w:bidi w:val="0"/>
              <w:spacing w:before="0" w:beforeAutospacing="0" w:after="0" w:afterAutospacing="0"/>
              <w:ind w:left="0" w:right="0"/>
              <w:rPr>
                <w:rFonts w:hint="default"/>
                <w:highlight w:val="none"/>
              </w:rPr>
            </w:pPr>
          </w:p>
        </w:tc>
        <w:tc>
          <w:tcPr>
            <w:tcW w:w="1741" w:type="dxa"/>
            <w:gridSpan w:val="2"/>
            <w:vMerge w:val="continue"/>
            <w:vAlign w:val="center"/>
          </w:tcPr>
          <w:p w14:paraId="40B38F2D">
            <w:pPr>
              <w:pStyle w:val="8"/>
              <w:suppressLineNumbers w:val="0"/>
              <w:bidi w:val="0"/>
              <w:spacing w:before="0" w:beforeAutospacing="0" w:after="0" w:afterAutospacing="0"/>
              <w:ind w:left="0" w:right="0"/>
              <w:rPr>
                <w:rFonts w:hint="default"/>
                <w:highlight w:val="none"/>
              </w:rPr>
            </w:pPr>
          </w:p>
        </w:tc>
      </w:tr>
      <w:tr w14:paraId="36DFB2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709" w:type="dxa"/>
            <w:vMerge w:val="continue"/>
            <w:vAlign w:val="center"/>
          </w:tcPr>
          <w:p w14:paraId="7CDE9897">
            <w:pPr>
              <w:pStyle w:val="8"/>
              <w:suppressLineNumbers w:val="0"/>
              <w:bidi w:val="0"/>
              <w:spacing w:before="0" w:beforeAutospacing="0" w:after="0" w:afterAutospacing="0"/>
              <w:ind w:left="0" w:right="0"/>
              <w:rPr>
                <w:rFonts w:hint="default"/>
                <w:highlight w:val="none"/>
              </w:rPr>
            </w:pPr>
          </w:p>
        </w:tc>
        <w:tc>
          <w:tcPr>
            <w:tcW w:w="5780" w:type="dxa"/>
            <w:vAlign w:val="center"/>
          </w:tcPr>
          <w:p w14:paraId="28E58F93">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废过滤材料（类别：</w:t>
            </w:r>
            <w:r>
              <w:rPr>
                <w:rFonts w:hint="default"/>
                <w:highlight w:val="none"/>
                <w:lang w:val="en-US" w:eastAsia="zh-CN"/>
              </w:rPr>
              <w:t>HW49</w:t>
            </w:r>
            <w:r>
              <w:rPr>
                <w:rFonts w:hint="eastAsia"/>
                <w:highlight w:val="none"/>
                <w:lang w:val="en-US" w:eastAsia="zh-CN"/>
              </w:rPr>
              <w:t>，代码：</w:t>
            </w:r>
            <w:r>
              <w:rPr>
                <w:rFonts w:hint="default"/>
                <w:highlight w:val="none"/>
                <w:lang w:val="en-US" w:eastAsia="zh-CN"/>
              </w:rPr>
              <w:t>900-041-49</w:t>
            </w:r>
            <w:r>
              <w:rPr>
                <w:rFonts w:hint="eastAsia"/>
                <w:highlight w:val="none"/>
                <w:lang w:val="en-US" w:eastAsia="zh-CN"/>
              </w:rPr>
              <w:t>）</w:t>
            </w:r>
          </w:p>
        </w:tc>
        <w:tc>
          <w:tcPr>
            <w:tcW w:w="2493" w:type="dxa"/>
            <w:vMerge w:val="continue"/>
            <w:vAlign w:val="center"/>
          </w:tcPr>
          <w:p w14:paraId="1E61AAA5">
            <w:pPr>
              <w:pStyle w:val="8"/>
              <w:suppressLineNumbers w:val="0"/>
              <w:bidi w:val="0"/>
              <w:spacing w:before="0" w:beforeAutospacing="0" w:after="0" w:afterAutospacing="0"/>
              <w:ind w:left="0" w:right="0"/>
              <w:rPr>
                <w:rFonts w:hint="default"/>
                <w:highlight w:val="none"/>
              </w:rPr>
            </w:pPr>
          </w:p>
        </w:tc>
        <w:tc>
          <w:tcPr>
            <w:tcW w:w="3709" w:type="dxa"/>
            <w:vMerge w:val="continue"/>
            <w:vAlign w:val="center"/>
          </w:tcPr>
          <w:p w14:paraId="66652F4E">
            <w:pPr>
              <w:pStyle w:val="8"/>
              <w:suppressLineNumbers w:val="0"/>
              <w:bidi w:val="0"/>
              <w:spacing w:before="0" w:beforeAutospacing="0" w:after="0" w:afterAutospacing="0"/>
              <w:ind w:left="0" w:right="0"/>
              <w:rPr>
                <w:rFonts w:hint="default"/>
                <w:highlight w:val="none"/>
              </w:rPr>
            </w:pPr>
          </w:p>
        </w:tc>
        <w:tc>
          <w:tcPr>
            <w:tcW w:w="1741" w:type="dxa"/>
            <w:gridSpan w:val="2"/>
            <w:vMerge w:val="continue"/>
            <w:vAlign w:val="center"/>
          </w:tcPr>
          <w:p w14:paraId="1B054F96">
            <w:pPr>
              <w:pStyle w:val="8"/>
              <w:suppressLineNumbers w:val="0"/>
              <w:bidi w:val="0"/>
              <w:spacing w:before="0" w:beforeAutospacing="0" w:after="0" w:afterAutospacing="0"/>
              <w:ind w:left="0" w:right="0"/>
              <w:rPr>
                <w:rFonts w:hint="default"/>
                <w:highlight w:val="none"/>
              </w:rPr>
            </w:pPr>
          </w:p>
        </w:tc>
      </w:tr>
      <w:tr w14:paraId="5781765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3" w:type="dxa"/>
            <w:bottom w:w="0" w:type="dxa"/>
            <w:right w:w="23" w:type="dxa"/>
          </w:tblCellMar>
        </w:tblPrEx>
        <w:trPr>
          <w:trHeight w:val="180" w:hRule="atLeast"/>
          <w:jc w:val="center"/>
        </w:trPr>
        <w:tc>
          <w:tcPr>
            <w:tcW w:w="709" w:type="dxa"/>
            <w:vAlign w:val="center"/>
          </w:tcPr>
          <w:p w14:paraId="2BB92382">
            <w:pPr>
              <w:pStyle w:val="8"/>
              <w:suppressLineNumbers w:val="0"/>
              <w:bidi w:val="0"/>
              <w:spacing w:before="0" w:beforeAutospacing="0" w:after="0" w:afterAutospacing="0"/>
              <w:ind w:left="0" w:right="0"/>
              <w:rPr>
                <w:rFonts w:hint="default"/>
                <w:highlight w:val="none"/>
              </w:rPr>
            </w:pPr>
            <w:r>
              <w:rPr>
                <w:rFonts w:hint="default"/>
                <w:highlight w:val="none"/>
              </w:rPr>
              <w:t>总量指标</w:t>
            </w:r>
          </w:p>
        </w:tc>
        <w:tc>
          <w:tcPr>
            <w:tcW w:w="13723" w:type="dxa"/>
            <w:gridSpan w:val="5"/>
            <w:vAlign w:val="center"/>
          </w:tcPr>
          <w:p w14:paraId="2EE4AE6C">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挥发性有机物</w:t>
            </w:r>
            <w:r>
              <w:rPr>
                <w:rFonts w:hint="eastAsia" w:cs="Times New Roman"/>
                <w:b w:val="0"/>
                <w:bCs/>
                <w:kern w:val="0"/>
                <w:highlight w:val="none"/>
                <w:lang w:val="en-US" w:eastAsia="zh-CN"/>
              </w:rPr>
              <w:t>0.337</w:t>
            </w:r>
            <w:r>
              <w:rPr>
                <w:rFonts w:hint="default"/>
                <w:b w:val="0"/>
                <w:bCs/>
                <w:highlight w:val="none"/>
              </w:rPr>
              <w:t>t/a</w:t>
            </w:r>
          </w:p>
        </w:tc>
      </w:tr>
    </w:tbl>
    <w:p w14:paraId="11BF4177">
      <w:pPr>
        <w:spacing w:line="500" w:lineRule="exact"/>
        <w:rPr>
          <w:rFonts w:eastAsiaTheme="minorEastAsia"/>
          <w:snapToGrid w:val="0"/>
          <w:kern w:val="0"/>
          <w:highlight w:val="none"/>
        </w:rPr>
        <w:sectPr>
          <w:pgSz w:w="16838" w:h="11906" w:orient="landscape"/>
          <w:pgMar w:top="1797" w:right="1440" w:bottom="1797" w:left="1440" w:header="851" w:footer="992" w:gutter="0"/>
          <w:pgBorders w:offsetFrom="page">
            <w:top w:val="none" w:sz="0" w:space="0"/>
            <w:left w:val="none" w:sz="0" w:space="0"/>
            <w:bottom w:val="none" w:sz="0" w:space="0"/>
            <w:right w:val="none" w:sz="0" w:space="0"/>
          </w:pgBorders>
          <w:cols w:space="425" w:num="1"/>
          <w:docGrid w:type="linesAndChars" w:linePitch="326" w:charSpace="0"/>
        </w:sectPr>
      </w:pPr>
    </w:p>
    <w:p w14:paraId="33D147C4">
      <w:pPr>
        <w:pStyle w:val="3"/>
        <w:bidi w:val="0"/>
        <w:rPr>
          <w:highlight w:val="none"/>
        </w:rPr>
      </w:pPr>
      <w:bookmarkStart w:id="618" w:name="_Toc7338"/>
      <w:bookmarkStart w:id="619" w:name="_Toc6535"/>
      <w:bookmarkStart w:id="620" w:name="_Toc24270"/>
      <w:r>
        <w:rPr>
          <w:highlight w:val="none"/>
        </w:rPr>
        <w:t>8.2环境监测</w:t>
      </w:r>
      <w:bookmarkEnd w:id="604"/>
      <w:bookmarkEnd w:id="605"/>
      <w:bookmarkEnd w:id="618"/>
      <w:bookmarkEnd w:id="619"/>
      <w:bookmarkEnd w:id="620"/>
    </w:p>
    <w:p w14:paraId="6DE7DD87">
      <w:pPr>
        <w:spacing w:line="360" w:lineRule="auto"/>
        <w:ind w:firstLine="480" w:firstLineChars="200"/>
        <w:contextualSpacing/>
        <w:rPr>
          <w:rFonts w:eastAsiaTheme="minorEastAsia"/>
          <w:sz w:val="24"/>
          <w:highlight w:val="none"/>
        </w:rPr>
      </w:pPr>
      <w:r>
        <w:rPr>
          <w:rFonts w:hAnsiTheme="minorEastAsia" w:eastAsiaTheme="minorEastAsia"/>
          <w:sz w:val="24"/>
          <w:highlight w:val="none"/>
        </w:rPr>
        <w:t>环境监测是项目环境保护的</w:t>
      </w:r>
      <w:r>
        <w:rPr>
          <w:rFonts w:hint="eastAsia" w:eastAsiaTheme="minorEastAsia"/>
          <w:sz w:val="24"/>
          <w:highlight w:val="none"/>
          <w:lang w:eastAsia="zh-CN"/>
        </w:rPr>
        <w:t>“</w:t>
      </w:r>
      <w:r>
        <w:rPr>
          <w:rFonts w:hAnsiTheme="minorEastAsia" w:eastAsiaTheme="minorEastAsia"/>
          <w:sz w:val="24"/>
          <w:highlight w:val="none"/>
        </w:rPr>
        <w:t>眼睛</w:t>
      </w:r>
      <w:r>
        <w:rPr>
          <w:rFonts w:hint="eastAsia" w:eastAsiaTheme="minorEastAsia"/>
          <w:sz w:val="24"/>
          <w:highlight w:val="none"/>
          <w:lang w:eastAsia="zh-CN"/>
        </w:rPr>
        <w:t>”</w:t>
      </w:r>
      <w:r>
        <w:rPr>
          <w:rFonts w:hAnsiTheme="minorEastAsia" w:eastAsiaTheme="minorEastAsia"/>
          <w:sz w:val="24"/>
          <w:highlight w:val="none"/>
        </w:rPr>
        <w:t>，是基本的手段和信息基础，环境监测的特点是以样品的监测结果来推断总体环境质量。因此，必须把握好各个技术环节，包括确定环境监测的项目的范围，采样的位置和数量，采样的时间和方法，样品的分析和数据处理等及其质量保证工作。保证监测数据具有完整的质量特征，准确性、精密性、完整性、代表性和可比性。</w:t>
      </w:r>
    </w:p>
    <w:p w14:paraId="57706098">
      <w:pPr>
        <w:pStyle w:val="4"/>
        <w:bidi w:val="0"/>
        <w:rPr>
          <w:highlight w:val="none"/>
        </w:rPr>
      </w:pPr>
      <w:bookmarkStart w:id="621" w:name="_Toc4859"/>
      <w:bookmarkStart w:id="622" w:name="_Toc8044"/>
      <w:r>
        <w:rPr>
          <w:highlight w:val="none"/>
        </w:rPr>
        <w:t>8.2.1环境监测的必要性</w:t>
      </w:r>
      <w:bookmarkEnd w:id="621"/>
      <w:bookmarkEnd w:id="622"/>
    </w:p>
    <w:p w14:paraId="461DF1AB">
      <w:pPr>
        <w:spacing w:line="360" w:lineRule="auto"/>
        <w:ind w:firstLine="480" w:firstLineChars="200"/>
        <w:contextualSpacing/>
        <w:rPr>
          <w:rFonts w:eastAsiaTheme="minorEastAsia"/>
          <w:sz w:val="24"/>
          <w:highlight w:val="none"/>
        </w:rPr>
      </w:pPr>
      <w:r>
        <w:rPr>
          <w:rFonts w:hAnsiTheme="minorEastAsia" w:eastAsiaTheme="minorEastAsia"/>
          <w:sz w:val="24"/>
          <w:highlight w:val="none"/>
        </w:rPr>
        <w:t>环境监测既是项目执行管理的需要，也是环保部门了解项目执行情况、研究对策，实行宏观指导的依据。通过现场监测，能及时发现问题和了解运行数据是否理想，达到总结经验、解决问题、改善管理的目的，以确保项目顺利实现预期目的。</w:t>
      </w:r>
    </w:p>
    <w:p w14:paraId="05842179">
      <w:pPr>
        <w:pStyle w:val="4"/>
        <w:bidi w:val="0"/>
        <w:rPr>
          <w:highlight w:val="none"/>
        </w:rPr>
      </w:pPr>
      <w:bookmarkStart w:id="623" w:name="_Toc22497"/>
      <w:bookmarkStart w:id="624" w:name="_Toc24930"/>
      <w:r>
        <w:rPr>
          <w:highlight w:val="none"/>
        </w:rPr>
        <w:t>8.2.2环境监测机构设置</w:t>
      </w:r>
      <w:bookmarkEnd w:id="623"/>
      <w:bookmarkEnd w:id="624"/>
    </w:p>
    <w:p w14:paraId="5626B371">
      <w:pPr>
        <w:bidi w:val="0"/>
        <w:rPr>
          <w:highlight w:val="none"/>
        </w:rPr>
      </w:pPr>
      <w:r>
        <w:rPr>
          <w:highlight w:val="none"/>
        </w:rPr>
        <w:t>为了及时准确地了解项目的污染物排放情况和污染物治理设施的运行状况，企业应委托有资质的监测机构进行常规监测。</w:t>
      </w:r>
    </w:p>
    <w:p w14:paraId="72126B4E">
      <w:pPr>
        <w:pStyle w:val="4"/>
        <w:bidi w:val="0"/>
        <w:rPr>
          <w:highlight w:val="none"/>
        </w:rPr>
      </w:pPr>
      <w:bookmarkStart w:id="625" w:name="_Toc18876"/>
      <w:bookmarkStart w:id="626" w:name="_Toc19912"/>
      <w:r>
        <w:rPr>
          <w:highlight w:val="none"/>
        </w:rPr>
        <w:t>8.2.3环境监测职责</w:t>
      </w:r>
      <w:bookmarkEnd w:id="625"/>
      <w:bookmarkEnd w:id="626"/>
    </w:p>
    <w:p w14:paraId="36DFCCBA">
      <w:pPr>
        <w:spacing w:line="360" w:lineRule="auto"/>
        <w:ind w:firstLine="480" w:firstLineChars="200"/>
        <w:contextualSpacing/>
        <w:rPr>
          <w:rFonts w:eastAsiaTheme="minorEastAsia"/>
          <w:sz w:val="24"/>
          <w:highlight w:val="none"/>
        </w:rPr>
      </w:pPr>
      <w:r>
        <w:rPr>
          <w:rFonts w:hAnsiTheme="minorEastAsia" w:eastAsiaTheme="minorEastAsia"/>
          <w:sz w:val="24"/>
          <w:highlight w:val="none"/>
        </w:rPr>
        <w:t>根据国家和主管部门颁布的环保法规、污染物排放标准以及企业内部的要求，制订监测的工作计划和实施方案。</w:t>
      </w:r>
    </w:p>
    <w:p w14:paraId="373AFE0B">
      <w:pPr>
        <w:spacing w:line="360" w:lineRule="auto"/>
        <w:ind w:firstLine="480" w:firstLineChars="200"/>
        <w:contextualSpacing/>
        <w:rPr>
          <w:rFonts w:eastAsiaTheme="minorEastAsia"/>
          <w:sz w:val="24"/>
          <w:highlight w:val="none"/>
        </w:rPr>
      </w:pPr>
      <w:r>
        <w:rPr>
          <w:rFonts w:hAnsiTheme="minorEastAsia" w:eastAsiaTheme="minorEastAsia"/>
          <w:sz w:val="24"/>
          <w:highlight w:val="none"/>
        </w:rPr>
        <w:t>对生产过程中污染物的排放状况和污染治理设施的处理效果进行定期监测，为设施的运行控制提供依据。</w:t>
      </w:r>
    </w:p>
    <w:p w14:paraId="7311217E">
      <w:pPr>
        <w:spacing w:line="360" w:lineRule="auto"/>
        <w:ind w:firstLine="480" w:firstLineChars="200"/>
        <w:contextualSpacing/>
        <w:rPr>
          <w:rFonts w:eastAsiaTheme="minorEastAsia"/>
          <w:sz w:val="24"/>
          <w:highlight w:val="none"/>
        </w:rPr>
      </w:pPr>
      <w:r>
        <w:rPr>
          <w:rFonts w:hAnsiTheme="minorEastAsia" w:eastAsiaTheme="minorEastAsia"/>
          <w:sz w:val="24"/>
          <w:highlight w:val="none"/>
        </w:rPr>
        <w:t>监督污染物排放的达标情况。</w:t>
      </w:r>
    </w:p>
    <w:p w14:paraId="6B9081B7">
      <w:pPr>
        <w:spacing w:line="360" w:lineRule="auto"/>
        <w:ind w:firstLine="480" w:firstLineChars="200"/>
        <w:contextualSpacing/>
        <w:rPr>
          <w:rFonts w:eastAsiaTheme="minorEastAsia"/>
          <w:sz w:val="24"/>
          <w:highlight w:val="none"/>
        </w:rPr>
      </w:pPr>
      <w:r>
        <w:rPr>
          <w:rFonts w:hAnsiTheme="minorEastAsia" w:eastAsiaTheme="minorEastAsia"/>
          <w:sz w:val="24"/>
          <w:highlight w:val="none"/>
        </w:rPr>
        <w:t>对监测仪器设备进行维护和校验，确保监测数据的准确性、可靠性。</w:t>
      </w:r>
    </w:p>
    <w:p w14:paraId="23C28C0B">
      <w:pPr>
        <w:spacing w:line="360" w:lineRule="auto"/>
        <w:ind w:firstLine="480" w:firstLineChars="200"/>
        <w:contextualSpacing/>
        <w:rPr>
          <w:rFonts w:eastAsiaTheme="minorEastAsia"/>
          <w:sz w:val="24"/>
          <w:highlight w:val="none"/>
        </w:rPr>
      </w:pPr>
      <w:r>
        <w:rPr>
          <w:rFonts w:hint="eastAsia" w:hAnsiTheme="minorEastAsia" w:eastAsiaTheme="minorEastAsia"/>
          <w:sz w:val="24"/>
          <w:highlight w:val="none"/>
          <w:lang w:eastAsia="zh-CN"/>
        </w:rPr>
        <w:t>做好</w:t>
      </w:r>
      <w:r>
        <w:rPr>
          <w:rFonts w:hAnsiTheme="minorEastAsia" w:eastAsiaTheme="minorEastAsia"/>
          <w:sz w:val="24"/>
          <w:highlight w:val="none"/>
        </w:rPr>
        <w:t>监测数据的整理记录工作，</w:t>
      </w:r>
      <w:r>
        <w:rPr>
          <w:rFonts w:hint="eastAsia" w:hAnsiTheme="minorEastAsia" w:eastAsiaTheme="minorEastAsia"/>
          <w:sz w:val="24"/>
          <w:highlight w:val="none"/>
          <w:lang w:eastAsia="zh-CN"/>
        </w:rPr>
        <w:t>做好</w:t>
      </w:r>
      <w:r>
        <w:rPr>
          <w:rFonts w:hAnsiTheme="minorEastAsia" w:eastAsiaTheme="minorEastAsia"/>
          <w:sz w:val="24"/>
          <w:highlight w:val="none"/>
        </w:rPr>
        <w:t>企业污染物排放情况动态变化的档案记载工作。</w:t>
      </w:r>
    </w:p>
    <w:p w14:paraId="398D17EC">
      <w:pPr>
        <w:spacing w:line="360" w:lineRule="auto"/>
        <w:ind w:firstLine="480" w:firstLineChars="200"/>
        <w:contextualSpacing/>
        <w:rPr>
          <w:rFonts w:eastAsiaTheme="minorEastAsia"/>
          <w:sz w:val="24"/>
          <w:highlight w:val="none"/>
        </w:rPr>
      </w:pPr>
      <w:r>
        <w:rPr>
          <w:rFonts w:hAnsiTheme="minorEastAsia" w:eastAsiaTheme="minorEastAsia"/>
          <w:sz w:val="24"/>
          <w:highlight w:val="none"/>
        </w:rPr>
        <w:t>努力学习，不断提高站内工作人员的业务素质和工作能力。</w:t>
      </w:r>
    </w:p>
    <w:p w14:paraId="60613987">
      <w:pPr>
        <w:pStyle w:val="4"/>
        <w:bidi w:val="0"/>
        <w:rPr>
          <w:highlight w:val="none"/>
        </w:rPr>
      </w:pPr>
      <w:bookmarkStart w:id="627" w:name="_Toc11758577"/>
      <w:bookmarkStart w:id="628" w:name="_Toc21812"/>
      <w:bookmarkStart w:id="629" w:name="_Toc18670"/>
      <w:r>
        <w:rPr>
          <w:highlight w:val="none"/>
        </w:rPr>
        <w:t>8.2.4设立排放口（源）标识</w:t>
      </w:r>
      <w:bookmarkEnd w:id="627"/>
      <w:bookmarkEnd w:id="628"/>
      <w:bookmarkEnd w:id="629"/>
    </w:p>
    <w:p w14:paraId="033E73A2">
      <w:pPr>
        <w:bidi w:val="0"/>
        <w:rPr>
          <w:highlight w:val="none"/>
        </w:rPr>
      </w:pPr>
      <w:r>
        <w:rPr>
          <w:highlight w:val="none"/>
        </w:rPr>
        <w:t>排放一般污染物排放口（源），设置提示</w:t>
      </w:r>
      <w:r>
        <w:rPr>
          <w:rFonts w:hint="eastAsia"/>
          <w:highlight w:val="none"/>
          <w:lang w:eastAsia="zh-CN"/>
        </w:rPr>
        <w:t>式</w:t>
      </w:r>
      <w:r>
        <w:rPr>
          <w:highlight w:val="none"/>
        </w:rPr>
        <w:t>标志牌，排放有毒有害等污染物的排污口设置警告式标志牌，标志牌设置位置在排污口（采样点）附近且醒目处，高度为标志牌上缘离地面2m。排污口附近1m范围内有建筑物的，设平面式标志牌，无建筑物的设立式标志牌。</w:t>
      </w:r>
    </w:p>
    <w:p w14:paraId="6DEA9A2A">
      <w:pPr>
        <w:bidi w:val="0"/>
        <w:rPr>
          <w:highlight w:val="none"/>
        </w:rPr>
      </w:pPr>
      <w:r>
        <w:rPr>
          <w:highlight w:val="none"/>
        </w:rPr>
        <w:t>按照《环境保护图形标志―排放口（源）》（GB15562.1-1995）和《环境保护图形标志</w:t>
      </w:r>
      <w:r>
        <w:rPr>
          <w:rFonts w:hint="eastAsia"/>
          <w:highlight w:val="none"/>
        </w:rPr>
        <w:t>—</w:t>
      </w:r>
      <w:r>
        <w:rPr>
          <w:highlight w:val="none"/>
        </w:rPr>
        <w:t>固体废物贮存（处置）场》（GB15562.2-1995）修改单中规定的图形，以利于环境保护行政主管部门对各排放口的监督管理。标志牌制作由国家生态环境部统一监制，标志牌应设置在与之功能相应的醒目处。</w:t>
      </w:r>
    </w:p>
    <w:p w14:paraId="48699046">
      <w:pPr>
        <w:bidi w:val="0"/>
        <w:rPr>
          <w:rFonts w:eastAsiaTheme="minorEastAsia"/>
          <w:snapToGrid w:val="0"/>
          <w:kern w:val="0"/>
          <w:highlight w:val="none"/>
        </w:rPr>
      </w:pPr>
      <w:r>
        <w:rPr>
          <w:highlight w:val="none"/>
        </w:rPr>
        <w:t>图形符号分为提示图形符号和警告图形符号两种，</w:t>
      </w:r>
      <w:r>
        <w:rPr>
          <w:rFonts w:hAnsiTheme="minorEastAsia" w:eastAsiaTheme="minorEastAsia"/>
          <w:snapToGrid w:val="0"/>
          <w:kern w:val="0"/>
          <w:highlight w:val="none"/>
        </w:rPr>
        <w:t>图形符号与说明见下图。</w:t>
      </w:r>
    </w:p>
    <w:tbl>
      <w:tblPr>
        <w:tblStyle w:val="46"/>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842"/>
        <w:gridCol w:w="2843"/>
        <w:gridCol w:w="2843"/>
      </w:tblGrid>
      <w:tr w14:paraId="49ECABC3">
        <w:tblPrEx>
          <w:tblCellMar>
            <w:top w:w="0" w:type="dxa"/>
            <w:left w:w="108" w:type="dxa"/>
            <w:bottom w:w="0" w:type="dxa"/>
            <w:right w:w="108" w:type="dxa"/>
          </w:tblCellMar>
        </w:tblPrEx>
        <w:trPr>
          <w:trHeight w:val="173" w:hRule="atLeast"/>
        </w:trPr>
        <w:tc>
          <w:tcPr>
            <w:tcW w:w="2842" w:type="dxa"/>
          </w:tcPr>
          <w:p w14:paraId="071B9BF4">
            <w:pPr>
              <w:pStyle w:val="8"/>
              <w:suppressLineNumbers w:val="0"/>
              <w:bidi w:val="0"/>
              <w:spacing w:before="0" w:beforeAutospacing="0" w:after="0" w:afterAutospacing="0"/>
              <w:ind w:left="0" w:right="0"/>
              <w:rPr>
                <w:rFonts w:hint="default"/>
                <w:highlight w:val="none"/>
              </w:rPr>
            </w:pPr>
            <w:r>
              <w:rPr>
                <w:rFonts w:hint="default"/>
                <w:highlight w:val="none"/>
              </w:rPr>
              <w:t>提示图形符号</w:t>
            </w:r>
          </w:p>
        </w:tc>
        <w:tc>
          <w:tcPr>
            <w:tcW w:w="2843" w:type="dxa"/>
          </w:tcPr>
          <w:p w14:paraId="788A4CFC">
            <w:pPr>
              <w:pStyle w:val="8"/>
              <w:suppressLineNumbers w:val="0"/>
              <w:bidi w:val="0"/>
              <w:spacing w:before="0" w:beforeAutospacing="0" w:after="0" w:afterAutospacing="0"/>
              <w:ind w:left="0" w:right="0"/>
              <w:rPr>
                <w:rFonts w:hint="default"/>
                <w:highlight w:val="none"/>
              </w:rPr>
            </w:pPr>
            <w:r>
              <w:rPr>
                <w:rFonts w:hint="default"/>
                <w:highlight w:val="none"/>
              </w:rPr>
              <w:t>警告图形符号</w:t>
            </w:r>
          </w:p>
        </w:tc>
        <w:tc>
          <w:tcPr>
            <w:tcW w:w="2843" w:type="dxa"/>
          </w:tcPr>
          <w:p w14:paraId="153CA3A4">
            <w:pPr>
              <w:pStyle w:val="8"/>
              <w:suppressLineNumbers w:val="0"/>
              <w:bidi w:val="0"/>
              <w:spacing w:before="0" w:beforeAutospacing="0" w:after="0" w:afterAutospacing="0"/>
              <w:ind w:left="0" w:right="0"/>
              <w:rPr>
                <w:rFonts w:hint="default"/>
                <w:highlight w:val="none"/>
              </w:rPr>
            </w:pPr>
            <w:r>
              <w:rPr>
                <w:rFonts w:hint="default"/>
                <w:highlight w:val="none"/>
              </w:rPr>
              <w:t>功能说明</w:t>
            </w:r>
          </w:p>
        </w:tc>
      </w:tr>
      <w:tr w14:paraId="0F4E91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0" w:hRule="atLeast"/>
        </w:trPr>
        <w:tc>
          <w:tcPr>
            <w:tcW w:w="2842" w:type="dxa"/>
          </w:tcPr>
          <w:p w14:paraId="1D88ADFC">
            <w:pPr>
              <w:pStyle w:val="8"/>
              <w:suppressLineNumbers w:val="0"/>
              <w:bidi w:val="0"/>
              <w:spacing w:before="0" w:beforeAutospacing="0" w:after="0" w:afterAutospacing="0"/>
              <w:ind w:left="0" w:right="0"/>
              <w:rPr>
                <w:rFonts w:hint="default"/>
                <w:highlight w:val="none"/>
              </w:rPr>
            </w:pPr>
            <w:r>
              <w:rPr>
                <w:rFonts w:hint="default"/>
                <w:highlight w:val="none"/>
              </w:rPr>
              <w:drawing>
                <wp:inline distT="0" distB="0" distL="0" distR="0">
                  <wp:extent cx="611505" cy="601980"/>
                  <wp:effectExtent l="0" t="0" r="17145" b="7620"/>
                  <wp:docPr id="45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22"/>
                          <pic:cNvPicPr>
                            <a:picLocks noChangeAspect="1" noChangeArrowheads="1"/>
                          </pic:cNvPicPr>
                        </pic:nvPicPr>
                        <pic:blipFill>
                          <a:blip r:embed="rId122" cstate="print"/>
                          <a:srcRect/>
                          <a:stretch>
                            <a:fillRect/>
                          </a:stretch>
                        </pic:blipFill>
                        <pic:spPr>
                          <a:xfrm>
                            <a:off x="0" y="0"/>
                            <a:ext cx="611505" cy="601980"/>
                          </a:xfrm>
                          <a:prstGeom prst="rect">
                            <a:avLst/>
                          </a:prstGeom>
                          <a:noFill/>
                          <a:ln w="9525">
                            <a:noFill/>
                            <a:miter lim="800000"/>
                            <a:headEnd/>
                            <a:tailEnd/>
                          </a:ln>
                        </pic:spPr>
                      </pic:pic>
                    </a:graphicData>
                  </a:graphic>
                </wp:inline>
              </w:drawing>
            </w:r>
          </w:p>
        </w:tc>
        <w:tc>
          <w:tcPr>
            <w:tcW w:w="2843" w:type="dxa"/>
          </w:tcPr>
          <w:p w14:paraId="635B5311">
            <w:pPr>
              <w:pStyle w:val="8"/>
              <w:suppressLineNumbers w:val="0"/>
              <w:bidi w:val="0"/>
              <w:spacing w:before="0" w:beforeAutospacing="0" w:after="0" w:afterAutospacing="0"/>
              <w:ind w:left="0" w:right="0"/>
              <w:rPr>
                <w:rFonts w:hint="default"/>
                <w:highlight w:val="none"/>
              </w:rPr>
            </w:pPr>
            <w:r>
              <w:rPr>
                <w:rFonts w:hint="default"/>
                <w:highlight w:val="none"/>
              </w:rPr>
              <w:drawing>
                <wp:inline distT="0" distB="0" distL="0" distR="0">
                  <wp:extent cx="617855" cy="541655"/>
                  <wp:effectExtent l="0" t="0" r="10795" b="10795"/>
                  <wp:docPr id="45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25"/>
                          <pic:cNvPicPr>
                            <a:picLocks noChangeAspect="1" noChangeArrowheads="1"/>
                          </pic:cNvPicPr>
                        </pic:nvPicPr>
                        <pic:blipFill>
                          <a:blip r:embed="rId123" cstate="print"/>
                          <a:srcRect/>
                          <a:stretch>
                            <a:fillRect/>
                          </a:stretch>
                        </pic:blipFill>
                        <pic:spPr>
                          <a:xfrm>
                            <a:off x="0" y="0"/>
                            <a:ext cx="617855" cy="541655"/>
                          </a:xfrm>
                          <a:prstGeom prst="rect">
                            <a:avLst/>
                          </a:prstGeom>
                          <a:noFill/>
                          <a:ln w="9525">
                            <a:noFill/>
                            <a:miter lim="800000"/>
                            <a:headEnd/>
                            <a:tailEnd/>
                          </a:ln>
                        </pic:spPr>
                      </pic:pic>
                    </a:graphicData>
                  </a:graphic>
                </wp:inline>
              </w:drawing>
            </w:r>
          </w:p>
        </w:tc>
        <w:tc>
          <w:tcPr>
            <w:tcW w:w="2843" w:type="dxa"/>
            <w:vAlign w:val="center"/>
          </w:tcPr>
          <w:p w14:paraId="59D2D4C4">
            <w:pPr>
              <w:pStyle w:val="8"/>
              <w:suppressLineNumbers w:val="0"/>
              <w:bidi w:val="0"/>
              <w:spacing w:before="0" w:beforeAutospacing="0" w:after="0" w:afterAutospacing="0"/>
              <w:ind w:left="0" w:right="0"/>
              <w:rPr>
                <w:rFonts w:hint="default"/>
                <w:highlight w:val="none"/>
              </w:rPr>
            </w:pPr>
            <w:r>
              <w:rPr>
                <w:rFonts w:hint="default"/>
                <w:highlight w:val="none"/>
              </w:rPr>
              <w:t>表示废气向大气环境排放</w:t>
            </w:r>
          </w:p>
        </w:tc>
      </w:tr>
      <w:tr w14:paraId="4DE652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4" w:hRule="atLeast"/>
        </w:trPr>
        <w:tc>
          <w:tcPr>
            <w:tcW w:w="2842" w:type="dxa"/>
          </w:tcPr>
          <w:p w14:paraId="2CAD02BC">
            <w:pPr>
              <w:pStyle w:val="8"/>
              <w:suppressLineNumbers w:val="0"/>
              <w:bidi w:val="0"/>
              <w:spacing w:before="0" w:beforeAutospacing="0" w:after="0" w:afterAutospacing="0"/>
              <w:ind w:left="0" w:right="0"/>
              <w:rPr>
                <w:rFonts w:hint="default"/>
                <w:highlight w:val="none"/>
              </w:rPr>
            </w:pPr>
            <w:r>
              <w:rPr>
                <w:rFonts w:hint="default"/>
                <w:highlight w:val="none"/>
              </w:rPr>
              <w:drawing>
                <wp:inline distT="0" distB="0" distL="0" distR="0">
                  <wp:extent cx="596265" cy="577215"/>
                  <wp:effectExtent l="0" t="0" r="13335" b="13335"/>
                  <wp:docPr id="45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19"/>
                          <pic:cNvPicPr>
                            <a:picLocks noChangeAspect="1" noChangeArrowheads="1"/>
                          </pic:cNvPicPr>
                        </pic:nvPicPr>
                        <pic:blipFill>
                          <a:blip r:embed="rId124" cstate="print"/>
                          <a:srcRect/>
                          <a:stretch>
                            <a:fillRect/>
                          </a:stretch>
                        </pic:blipFill>
                        <pic:spPr>
                          <a:xfrm>
                            <a:off x="0" y="0"/>
                            <a:ext cx="596265" cy="577215"/>
                          </a:xfrm>
                          <a:prstGeom prst="rect">
                            <a:avLst/>
                          </a:prstGeom>
                          <a:noFill/>
                          <a:ln w="9525">
                            <a:noFill/>
                            <a:miter lim="800000"/>
                            <a:headEnd/>
                            <a:tailEnd/>
                          </a:ln>
                        </pic:spPr>
                      </pic:pic>
                    </a:graphicData>
                  </a:graphic>
                </wp:inline>
              </w:drawing>
            </w:r>
          </w:p>
        </w:tc>
        <w:tc>
          <w:tcPr>
            <w:tcW w:w="2843" w:type="dxa"/>
          </w:tcPr>
          <w:p w14:paraId="52C032FE">
            <w:pPr>
              <w:pStyle w:val="8"/>
              <w:suppressLineNumbers w:val="0"/>
              <w:bidi w:val="0"/>
              <w:spacing w:before="0" w:beforeAutospacing="0" w:after="0" w:afterAutospacing="0"/>
              <w:ind w:left="0" w:right="0"/>
              <w:rPr>
                <w:rFonts w:hint="default"/>
                <w:highlight w:val="none"/>
              </w:rPr>
            </w:pPr>
            <w:r>
              <w:rPr>
                <w:rFonts w:hint="default"/>
                <w:highlight w:val="none"/>
              </w:rPr>
              <w:drawing>
                <wp:inline distT="0" distB="0" distL="0" distR="0">
                  <wp:extent cx="652780" cy="605790"/>
                  <wp:effectExtent l="0" t="0" r="13970" b="3810"/>
                  <wp:docPr id="45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22"/>
                          <pic:cNvPicPr>
                            <a:picLocks noChangeAspect="1" noChangeArrowheads="1"/>
                          </pic:cNvPicPr>
                        </pic:nvPicPr>
                        <pic:blipFill>
                          <a:blip r:embed="rId125" cstate="print"/>
                          <a:srcRect/>
                          <a:stretch>
                            <a:fillRect/>
                          </a:stretch>
                        </pic:blipFill>
                        <pic:spPr>
                          <a:xfrm>
                            <a:off x="0" y="0"/>
                            <a:ext cx="652780" cy="605790"/>
                          </a:xfrm>
                          <a:prstGeom prst="rect">
                            <a:avLst/>
                          </a:prstGeom>
                          <a:noFill/>
                          <a:ln w="9525">
                            <a:noFill/>
                            <a:miter lim="800000"/>
                            <a:headEnd/>
                            <a:tailEnd/>
                          </a:ln>
                        </pic:spPr>
                      </pic:pic>
                    </a:graphicData>
                  </a:graphic>
                </wp:inline>
              </w:drawing>
            </w:r>
          </w:p>
        </w:tc>
        <w:tc>
          <w:tcPr>
            <w:tcW w:w="2843" w:type="dxa"/>
            <w:vAlign w:val="center"/>
          </w:tcPr>
          <w:p w14:paraId="37B0AAEB">
            <w:pPr>
              <w:pStyle w:val="8"/>
              <w:suppressLineNumbers w:val="0"/>
              <w:bidi w:val="0"/>
              <w:spacing w:before="0" w:beforeAutospacing="0" w:after="0" w:afterAutospacing="0"/>
              <w:ind w:left="0" w:right="0"/>
              <w:rPr>
                <w:rFonts w:hint="default"/>
                <w:highlight w:val="none"/>
              </w:rPr>
            </w:pPr>
            <w:r>
              <w:rPr>
                <w:rFonts w:hint="default"/>
                <w:highlight w:val="none"/>
              </w:rPr>
              <w:t>表示噪声向外环境排放</w:t>
            </w:r>
          </w:p>
        </w:tc>
      </w:tr>
      <w:tr w14:paraId="7825FA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4" w:hRule="atLeast"/>
        </w:trPr>
        <w:tc>
          <w:tcPr>
            <w:tcW w:w="2842" w:type="dxa"/>
          </w:tcPr>
          <w:p w14:paraId="6E1C72DC">
            <w:pPr>
              <w:pStyle w:val="8"/>
              <w:suppressLineNumbers w:val="0"/>
              <w:bidi w:val="0"/>
              <w:spacing w:before="0" w:beforeAutospacing="0" w:after="0" w:afterAutospacing="0"/>
              <w:ind w:left="0" w:right="0"/>
              <w:rPr>
                <w:rFonts w:hint="default"/>
                <w:highlight w:val="none"/>
              </w:rPr>
            </w:pPr>
            <w:r>
              <w:rPr>
                <w:rFonts w:hint="default"/>
                <w:highlight w:val="none"/>
              </w:rPr>
              <w:drawing>
                <wp:inline distT="0" distB="0" distL="0" distR="0">
                  <wp:extent cx="534670" cy="534670"/>
                  <wp:effectExtent l="0" t="0" r="17780" b="17780"/>
                  <wp:docPr id="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7"/>
                          <pic:cNvPicPr>
                            <a:picLocks noChangeAspect="1" noChangeArrowheads="1"/>
                          </pic:cNvPicPr>
                        </pic:nvPicPr>
                        <pic:blipFill>
                          <a:blip r:embed="rId126" cstate="print"/>
                          <a:srcRect/>
                          <a:stretch>
                            <a:fillRect/>
                          </a:stretch>
                        </pic:blipFill>
                        <pic:spPr>
                          <a:xfrm>
                            <a:off x="0" y="0"/>
                            <a:ext cx="535100" cy="535100"/>
                          </a:xfrm>
                          <a:prstGeom prst="rect">
                            <a:avLst/>
                          </a:prstGeom>
                          <a:noFill/>
                          <a:ln w="9525">
                            <a:noFill/>
                            <a:miter lim="800000"/>
                            <a:headEnd/>
                            <a:tailEnd/>
                          </a:ln>
                        </pic:spPr>
                      </pic:pic>
                    </a:graphicData>
                  </a:graphic>
                </wp:inline>
              </w:drawing>
            </w:r>
          </w:p>
        </w:tc>
        <w:tc>
          <w:tcPr>
            <w:tcW w:w="2843" w:type="dxa"/>
          </w:tcPr>
          <w:p w14:paraId="2BF6FDD5">
            <w:pPr>
              <w:pStyle w:val="8"/>
              <w:suppressLineNumbers w:val="0"/>
              <w:bidi w:val="0"/>
              <w:spacing w:before="0" w:beforeAutospacing="0" w:after="0" w:afterAutospacing="0"/>
              <w:ind w:left="0" w:right="0"/>
              <w:rPr>
                <w:rFonts w:hint="default"/>
                <w:highlight w:val="none"/>
              </w:rPr>
            </w:pPr>
            <w:r>
              <w:rPr>
                <w:rFonts w:hint="default"/>
                <w:highlight w:val="none"/>
              </w:rPr>
              <w:drawing>
                <wp:inline distT="0" distB="0" distL="0" distR="0">
                  <wp:extent cx="649605" cy="561975"/>
                  <wp:effectExtent l="0" t="0" r="17145" b="9525"/>
                  <wp:docPr id="2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0"/>
                          <pic:cNvPicPr>
                            <a:picLocks noChangeAspect="1" noChangeArrowheads="1"/>
                          </pic:cNvPicPr>
                        </pic:nvPicPr>
                        <pic:blipFill>
                          <a:blip r:embed="rId127" cstate="print"/>
                          <a:srcRect/>
                          <a:stretch>
                            <a:fillRect/>
                          </a:stretch>
                        </pic:blipFill>
                        <pic:spPr>
                          <a:xfrm>
                            <a:off x="0" y="0"/>
                            <a:ext cx="653683" cy="565164"/>
                          </a:xfrm>
                          <a:prstGeom prst="rect">
                            <a:avLst/>
                          </a:prstGeom>
                          <a:noFill/>
                          <a:ln w="9525">
                            <a:noFill/>
                            <a:miter lim="800000"/>
                            <a:headEnd/>
                            <a:tailEnd/>
                          </a:ln>
                        </pic:spPr>
                      </pic:pic>
                    </a:graphicData>
                  </a:graphic>
                </wp:inline>
              </w:drawing>
            </w:r>
          </w:p>
        </w:tc>
        <w:tc>
          <w:tcPr>
            <w:tcW w:w="2843" w:type="dxa"/>
            <w:vAlign w:val="center"/>
          </w:tcPr>
          <w:p w14:paraId="1E8C3E0F">
            <w:pPr>
              <w:pStyle w:val="8"/>
              <w:suppressLineNumbers w:val="0"/>
              <w:bidi w:val="0"/>
              <w:spacing w:before="0" w:beforeAutospacing="0" w:after="0" w:afterAutospacing="0"/>
              <w:ind w:left="0" w:right="0"/>
              <w:rPr>
                <w:rFonts w:hint="default"/>
                <w:highlight w:val="none"/>
              </w:rPr>
            </w:pPr>
            <w:r>
              <w:rPr>
                <w:rFonts w:hint="default"/>
                <w:highlight w:val="none"/>
              </w:rPr>
              <w:t>表示</w:t>
            </w:r>
            <w:r>
              <w:rPr>
                <w:rFonts w:hint="eastAsia"/>
                <w:highlight w:val="none"/>
              </w:rPr>
              <w:t>废水</w:t>
            </w:r>
            <w:r>
              <w:rPr>
                <w:rFonts w:hint="default"/>
                <w:highlight w:val="none"/>
              </w:rPr>
              <w:t>向</w:t>
            </w:r>
            <w:r>
              <w:rPr>
                <w:rFonts w:hint="eastAsia"/>
                <w:highlight w:val="none"/>
              </w:rPr>
              <w:t>水</w:t>
            </w:r>
            <w:r>
              <w:rPr>
                <w:rFonts w:hint="default"/>
                <w:highlight w:val="none"/>
              </w:rPr>
              <w:t>环境排放</w:t>
            </w:r>
          </w:p>
        </w:tc>
      </w:tr>
      <w:tr w14:paraId="7F38EE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4" w:hRule="atLeast"/>
        </w:trPr>
        <w:tc>
          <w:tcPr>
            <w:tcW w:w="2842" w:type="dxa"/>
            <w:vAlign w:val="center"/>
          </w:tcPr>
          <w:p w14:paraId="600229ED">
            <w:pPr>
              <w:pStyle w:val="8"/>
              <w:suppressLineNumbers w:val="0"/>
              <w:bidi w:val="0"/>
              <w:spacing w:before="0" w:beforeAutospacing="0" w:after="0" w:afterAutospacing="0"/>
              <w:ind w:left="0" w:right="0"/>
              <w:rPr>
                <w:rFonts w:hint="default"/>
                <w:highlight w:val="none"/>
              </w:rPr>
            </w:pPr>
            <w:r>
              <w:rPr>
                <w:rFonts w:hint="default"/>
                <w:highlight w:val="none"/>
              </w:rPr>
              <w:t>/</w:t>
            </w:r>
          </w:p>
        </w:tc>
        <w:tc>
          <w:tcPr>
            <w:tcW w:w="2843" w:type="dxa"/>
            <w:vAlign w:val="center"/>
          </w:tcPr>
          <w:p w14:paraId="408D7C27">
            <w:pPr>
              <w:pStyle w:val="8"/>
              <w:suppressLineNumbers w:val="0"/>
              <w:bidi w:val="0"/>
              <w:spacing w:before="0" w:beforeAutospacing="0" w:after="0" w:afterAutospacing="0"/>
              <w:ind w:left="0" w:right="0"/>
              <w:rPr>
                <w:rFonts w:hint="default"/>
                <w:highlight w:val="none"/>
              </w:rPr>
            </w:pPr>
            <w:r>
              <w:rPr>
                <w:rFonts w:hint="default"/>
                <w:highlight w:val="none"/>
              </w:rPr>
              <w:drawing>
                <wp:inline distT="0" distB="0" distL="0" distR="0">
                  <wp:extent cx="689610" cy="632460"/>
                  <wp:effectExtent l="0" t="0" r="15240" b="15240"/>
                  <wp:docPr id="27"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9"/>
                          <pic:cNvPicPr>
                            <a:picLocks noChangeAspect="1" noChangeArrowheads="1"/>
                          </pic:cNvPicPr>
                        </pic:nvPicPr>
                        <pic:blipFill>
                          <a:blip r:embed="rId128" cstate="print"/>
                          <a:srcRect/>
                          <a:stretch>
                            <a:fillRect/>
                          </a:stretch>
                        </pic:blipFill>
                        <pic:spPr>
                          <a:xfrm>
                            <a:off x="0" y="0"/>
                            <a:ext cx="689610" cy="632460"/>
                          </a:xfrm>
                          <a:prstGeom prst="rect">
                            <a:avLst/>
                          </a:prstGeom>
                          <a:noFill/>
                          <a:ln w="9525">
                            <a:noFill/>
                            <a:miter lim="800000"/>
                            <a:headEnd/>
                            <a:tailEnd/>
                          </a:ln>
                        </pic:spPr>
                      </pic:pic>
                    </a:graphicData>
                  </a:graphic>
                </wp:inline>
              </w:drawing>
            </w:r>
          </w:p>
        </w:tc>
        <w:tc>
          <w:tcPr>
            <w:tcW w:w="2843" w:type="dxa"/>
            <w:vAlign w:val="center"/>
          </w:tcPr>
          <w:p w14:paraId="2CB81C36">
            <w:pPr>
              <w:pStyle w:val="8"/>
              <w:suppressLineNumbers w:val="0"/>
              <w:bidi w:val="0"/>
              <w:spacing w:before="0" w:beforeAutospacing="0" w:after="0" w:afterAutospacing="0"/>
              <w:ind w:left="0" w:right="0"/>
              <w:rPr>
                <w:rFonts w:hint="default"/>
                <w:highlight w:val="none"/>
              </w:rPr>
            </w:pPr>
            <w:r>
              <w:rPr>
                <w:rFonts w:hint="default"/>
                <w:highlight w:val="none"/>
              </w:rPr>
              <w:t>表示一般固体废物储存、处置场</w:t>
            </w:r>
          </w:p>
        </w:tc>
      </w:tr>
      <w:tr w14:paraId="30E8F0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4" w:hRule="atLeast"/>
        </w:trPr>
        <w:tc>
          <w:tcPr>
            <w:tcW w:w="2842" w:type="dxa"/>
            <w:vAlign w:val="center"/>
          </w:tcPr>
          <w:p w14:paraId="1CDCC568">
            <w:pPr>
              <w:pStyle w:val="8"/>
              <w:suppressLineNumbers w:val="0"/>
              <w:bidi w:val="0"/>
              <w:spacing w:before="0" w:beforeAutospacing="0" w:after="0" w:afterAutospacing="0"/>
              <w:ind w:left="0" w:right="0"/>
              <w:rPr>
                <w:rFonts w:hint="default"/>
                <w:highlight w:val="none"/>
              </w:rPr>
            </w:pPr>
            <w:r>
              <w:rPr>
                <w:rFonts w:hint="eastAsia"/>
                <w:highlight w:val="none"/>
              </w:rPr>
              <w:t>/</w:t>
            </w:r>
          </w:p>
        </w:tc>
        <w:tc>
          <w:tcPr>
            <w:tcW w:w="2843" w:type="dxa"/>
            <w:vAlign w:val="center"/>
          </w:tcPr>
          <w:p w14:paraId="0144FBC9">
            <w:pPr>
              <w:pStyle w:val="8"/>
              <w:suppressLineNumbers w:val="0"/>
              <w:bidi w:val="0"/>
              <w:spacing w:before="0" w:beforeAutospacing="0" w:after="0" w:afterAutospacing="0"/>
              <w:ind w:left="0" w:right="0"/>
              <w:rPr>
                <w:rFonts w:hint="default"/>
                <w:highlight w:val="none"/>
              </w:rPr>
            </w:pPr>
            <w:r>
              <w:rPr>
                <w:rFonts w:hint="default"/>
                <w:highlight w:val="none"/>
              </w:rPr>
              <w:drawing>
                <wp:inline distT="0" distB="0" distL="0" distR="0">
                  <wp:extent cx="707390" cy="604520"/>
                  <wp:effectExtent l="0" t="0" r="16510" b="5080"/>
                  <wp:docPr id="68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图片 29"/>
                          <pic:cNvPicPr>
                            <a:picLocks noChangeAspect="1" noChangeArrowheads="1"/>
                          </pic:cNvPicPr>
                        </pic:nvPicPr>
                        <pic:blipFill>
                          <a:blip r:embed="rId129" cstate="print"/>
                          <a:srcRect/>
                          <a:stretch>
                            <a:fillRect/>
                          </a:stretch>
                        </pic:blipFill>
                        <pic:spPr>
                          <a:xfrm>
                            <a:off x="0" y="0"/>
                            <a:ext cx="707390" cy="604520"/>
                          </a:xfrm>
                          <a:prstGeom prst="rect">
                            <a:avLst/>
                          </a:prstGeom>
                          <a:noFill/>
                          <a:ln w="9525">
                            <a:noFill/>
                            <a:miter lim="800000"/>
                            <a:headEnd/>
                            <a:tailEnd/>
                          </a:ln>
                        </pic:spPr>
                      </pic:pic>
                    </a:graphicData>
                  </a:graphic>
                </wp:inline>
              </w:drawing>
            </w:r>
          </w:p>
        </w:tc>
        <w:tc>
          <w:tcPr>
            <w:tcW w:w="2843" w:type="dxa"/>
            <w:vAlign w:val="center"/>
          </w:tcPr>
          <w:p w14:paraId="542EC3D1">
            <w:pPr>
              <w:pStyle w:val="8"/>
              <w:suppressLineNumbers w:val="0"/>
              <w:bidi w:val="0"/>
              <w:spacing w:before="0" w:beforeAutospacing="0" w:after="0" w:afterAutospacing="0"/>
              <w:ind w:left="0" w:right="0"/>
              <w:rPr>
                <w:rFonts w:hint="default"/>
                <w:highlight w:val="none"/>
              </w:rPr>
            </w:pPr>
            <w:r>
              <w:rPr>
                <w:rFonts w:hint="default"/>
                <w:highlight w:val="none"/>
              </w:rPr>
              <w:t>表示</w:t>
            </w:r>
            <w:r>
              <w:rPr>
                <w:rFonts w:hint="eastAsia"/>
                <w:highlight w:val="none"/>
              </w:rPr>
              <w:t>危险</w:t>
            </w:r>
            <w:r>
              <w:rPr>
                <w:rFonts w:hint="default"/>
                <w:highlight w:val="none"/>
              </w:rPr>
              <w:t>废物</w:t>
            </w:r>
            <w:r>
              <w:rPr>
                <w:rFonts w:hint="eastAsia"/>
                <w:highlight w:val="none"/>
              </w:rPr>
              <w:t>贮存</w:t>
            </w:r>
            <w:r>
              <w:rPr>
                <w:rFonts w:hint="default"/>
                <w:highlight w:val="none"/>
              </w:rPr>
              <w:t>、处置场</w:t>
            </w:r>
          </w:p>
        </w:tc>
      </w:tr>
    </w:tbl>
    <w:p w14:paraId="1501EB03">
      <w:pPr>
        <w:pStyle w:val="7"/>
        <w:bidi w:val="0"/>
        <w:rPr>
          <w:highlight w:val="none"/>
          <w:lang w:val="zh-CN"/>
        </w:rPr>
      </w:pPr>
      <w:r>
        <w:rPr>
          <w:highlight w:val="none"/>
          <w:lang w:val="zh-CN"/>
        </w:rPr>
        <w:t>图8-2-1图形符号与说明</w:t>
      </w:r>
    </w:p>
    <w:p w14:paraId="72F9C619">
      <w:pPr>
        <w:pStyle w:val="4"/>
        <w:bidi w:val="0"/>
        <w:rPr>
          <w:highlight w:val="none"/>
        </w:rPr>
      </w:pPr>
      <w:bookmarkStart w:id="630" w:name="_Toc28347"/>
      <w:bookmarkStart w:id="631" w:name="_Toc18888"/>
      <w:bookmarkStart w:id="632" w:name="_Toc11758578"/>
      <w:r>
        <w:rPr>
          <w:highlight w:val="none"/>
        </w:rPr>
        <w:t>8.2.5环境监测计划</w:t>
      </w:r>
      <w:bookmarkEnd w:id="630"/>
      <w:bookmarkEnd w:id="631"/>
      <w:bookmarkEnd w:id="632"/>
    </w:p>
    <w:p w14:paraId="01DB8FBA">
      <w:pPr>
        <w:bidi w:val="0"/>
        <w:rPr>
          <w:highlight w:val="none"/>
        </w:rPr>
      </w:pPr>
      <w:r>
        <w:rPr>
          <w:highlight w:val="none"/>
        </w:rPr>
        <w:t>《环保法》第四十二条明确提出</w:t>
      </w:r>
      <w:r>
        <w:rPr>
          <w:rFonts w:hint="eastAsia"/>
          <w:highlight w:val="none"/>
          <w:lang w:eastAsia="zh-CN"/>
        </w:rPr>
        <w:t>“</w:t>
      </w:r>
      <w:r>
        <w:rPr>
          <w:highlight w:val="none"/>
        </w:rPr>
        <w:t>重点排污单位应当按照国家有关规定和监测规范安装使用监测设备，保证监测设备正常运行，保存原始监测记录</w:t>
      </w:r>
      <w:r>
        <w:rPr>
          <w:rFonts w:hint="eastAsia"/>
          <w:highlight w:val="none"/>
          <w:lang w:eastAsia="zh-CN"/>
        </w:rPr>
        <w:t>”</w:t>
      </w:r>
      <w:r>
        <w:rPr>
          <w:highlight w:val="none"/>
        </w:rPr>
        <w:t>；第五十五条要求</w:t>
      </w:r>
      <w:r>
        <w:rPr>
          <w:rFonts w:hint="eastAsia"/>
          <w:highlight w:val="none"/>
          <w:lang w:eastAsia="zh-CN"/>
        </w:rPr>
        <w:t>“</w:t>
      </w:r>
      <w:r>
        <w:rPr>
          <w:highlight w:val="none"/>
        </w:rPr>
        <w:t>重点排污单位应当如实向社会公开其主要污染物的名称、排放方式、排放浓度和总量、超标排放情况，以及防治污染设施的建设和运行情况，接受社会监督</w:t>
      </w:r>
      <w:r>
        <w:rPr>
          <w:rFonts w:hint="eastAsia"/>
          <w:highlight w:val="none"/>
          <w:lang w:eastAsia="zh-CN"/>
        </w:rPr>
        <w:t>”</w:t>
      </w:r>
      <w:r>
        <w:rPr>
          <w:highlight w:val="none"/>
        </w:rPr>
        <w:t>。根据《排污单位自行监测技术指南总则》（HJ819-2017）、《</w:t>
      </w:r>
      <w:r>
        <w:rPr>
          <w:rFonts w:hint="eastAsia"/>
          <w:highlight w:val="none"/>
        </w:rPr>
        <w:t>排污单位自行监测技术指南工业固体废物和危险废物治理</w:t>
      </w:r>
      <w:r>
        <w:rPr>
          <w:highlight w:val="none"/>
        </w:rPr>
        <w:t>》（</w:t>
      </w:r>
      <w:r>
        <w:rPr>
          <w:rFonts w:hint="eastAsia"/>
          <w:highlight w:val="none"/>
        </w:rPr>
        <w:t>1250-2022</w:t>
      </w:r>
      <w:r>
        <w:rPr>
          <w:highlight w:val="none"/>
        </w:rPr>
        <w:t>），排污单位应掌握本单位的污染排放状况及其对周边环境质量的影响，对污染物排放、周边环境质量影响进行监测。</w:t>
      </w:r>
    </w:p>
    <w:p w14:paraId="7CC3D34D">
      <w:pPr>
        <w:bidi w:val="0"/>
        <w:rPr>
          <w:highlight w:val="none"/>
        </w:rPr>
      </w:pPr>
      <w:r>
        <w:rPr>
          <w:highlight w:val="none"/>
        </w:rPr>
        <w:t>（1）污染物排放监测</w:t>
      </w:r>
    </w:p>
    <w:p w14:paraId="4F8BACDD">
      <w:pPr>
        <w:bidi w:val="0"/>
        <w:rPr>
          <w:highlight w:val="none"/>
        </w:rPr>
      </w:pPr>
      <w:r>
        <w:rPr>
          <w:highlight w:val="none"/>
        </w:rPr>
        <w:t>本项目污染源监测计划见表8-2-1。企业委托有资质的监测单位进行污染源监测，并将监测报告存档。</w:t>
      </w:r>
    </w:p>
    <w:p w14:paraId="238C33CA">
      <w:pPr>
        <w:spacing w:line="360" w:lineRule="auto"/>
        <w:ind w:firstLine="480" w:firstLineChars="200"/>
        <w:contextualSpacing/>
        <w:rPr>
          <w:rFonts w:eastAsiaTheme="minorEastAsia"/>
          <w:snapToGrid w:val="0"/>
          <w:kern w:val="0"/>
          <w:sz w:val="24"/>
          <w:highlight w:val="none"/>
        </w:rPr>
        <w:sectPr>
          <w:pgSz w:w="11906" w:h="16838"/>
          <w:pgMar w:top="1440" w:right="1797" w:bottom="1440" w:left="1797" w:header="851" w:footer="992" w:gutter="0"/>
          <w:pgBorders w:offsetFrom="page">
            <w:top w:val="none" w:sz="0" w:space="0"/>
            <w:left w:val="none" w:sz="0" w:space="0"/>
            <w:bottom w:val="none" w:sz="0" w:space="0"/>
            <w:right w:val="none" w:sz="0" w:space="0"/>
          </w:pgBorders>
          <w:cols w:space="425" w:num="1"/>
          <w:docGrid w:type="linesAndChars" w:linePitch="326" w:charSpace="0"/>
        </w:sectPr>
      </w:pPr>
    </w:p>
    <w:p w14:paraId="5809BDBD">
      <w:pPr>
        <w:pStyle w:val="7"/>
        <w:bidi w:val="0"/>
        <w:rPr>
          <w:highlight w:val="none"/>
          <w:lang w:val="zh-CN"/>
        </w:rPr>
      </w:pPr>
      <w:r>
        <w:rPr>
          <w:highlight w:val="none"/>
          <w:lang w:val="zh-CN"/>
        </w:rPr>
        <w:t>表8-2-1污染源监测计划一览表</w:t>
      </w:r>
    </w:p>
    <w:tbl>
      <w:tblPr>
        <w:tblStyle w:val="71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44"/>
        <w:gridCol w:w="1605"/>
        <w:gridCol w:w="1600"/>
        <w:gridCol w:w="3350"/>
        <w:gridCol w:w="1145"/>
        <w:gridCol w:w="3870"/>
        <w:gridCol w:w="1760"/>
      </w:tblGrid>
      <w:tr w14:paraId="34877E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7" w:type="pct"/>
            <w:vAlign w:val="center"/>
          </w:tcPr>
          <w:p w14:paraId="0FC2644E">
            <w:pPr>
              <w:pStyle w:val="8"/>
              <w:suppressLineNumbers w:val="0"/>
              <w:bidi w:val="0"/>
              <w:spacing w:before="0" w:beforeAutospacing="0" w:after="0" w:afterAutospacing="0"/>
              <w:ind w:left="0" w:right="0"/>
              <w:rPr>
                <w:rFonts w:hint="default"/>
                <w:snapToGrid w:val="0"/>
                <w:highlight w:val="none"/>
                <w:lang w:val="zh-CN"/>
              </w:rPr>
            </w:pPr>
            <w:r>
              <w:rPr>
                <w:rFonts w:hint="default"/>
                <w:snapToGrid w:val="0"/>
                <w:highlight w:val="none"/>
                <w:lang w:val="zh-CN"/>
              </w:rPr>
              <w:t>项目</w:t>
            </w:r>
          </w:p>
        </w:tc>
        <w:tc>
          <w:tcPr>
            <w:tcW w:w="566" w:type="pct"/>
            <w:vAlign w:val="center"/>
          </w:tcPr>
          <w:p w14:paraId="355FC78C">
            <w:pPr>
              <w:pStyle w:val="8"/>
              <w:suppressLineNumbers w:val="0"/>
              <w:bidi w:val="0"/>
              <w:spacing w:before="0" w:beforeAutospacing="0" w:after="0" w:afterAutospacing="0"/>
              <w:ind w:left="0" w:right="0"/>
              <w:rPr>
                <w:rFonts w:hint="default"/>
                <w:snapToGrid w:val="0"/>
                <w:highlight w:val="none"/>
                <w:lang w:val="zh-CN"/>
              </w:rPr>
            </w:pPr>
            <w:r>
              <w:rPr>
                <w:rFonts w:hint="default"/>
                <w:snapToGrid w:val="0"/>
                <w:highlight w:val="none"/>
                <w:lang w:val="zh-CN"/>
              </w:rPr>
              <w:t>污染源</w:t>
            </w:r>
          </w:p>
        </w:tc>
        <w:tc>
          <w:tcPr>
            <w:tcW w:w="564" w:type="pct"/>
            <w:vAlign w:val="center"/>
          </w:tcPr>
          <w:p w14:paraId="52F6A69E">
            <w:pPr>
              <w:pStyle w:val="8"/>
              <w:suppressLineNumbers w:val="0"/>
              <w:bidi w:val="0"/>
              <w:spacing w:before="0" w:beforeAutospacing="0" w:after="0" w:afterAutospacing="0"/>
              <w:ind w:left="0" w:right="0"/>
              <w:rPr>
                <w:rFonts w:hint="default"/>
                <w:snapToGrid w:val="0"/>
                <w:highlight w:val="none"/>
                <w:lang w:val="zh-CN"/>
              </w:rPr>
            </w:pPr>
            <w:r>
              <w:rPr>
                <w:rFonts w:hint="default"/>
                <w:snapToGrid w:val="0"/>
                <w:highlight w:val="none"/>
                <w:lang w:val="zh-CN"/>
              </w:rPr>
              <w:t>监测指标</w:t>
            </w:r>
          </w:p>
        </w:tc>
        <w:tc>
          <w:tcPr>
            <w:tcW w:w="1181" w:type="pct"/>
            <w:vAlign w:val="center"/>
          </w:tcPr>
          <w:p w14:paraId="727D4410">
            <w:pPr>
              <w:pStyle w:val="8"/>
              <w:suppressLineNumbers w:val="0"/>
              <w:bidi w:val="0"/>
              <w:spacing w:before="0" w:beforeAutospacing="0" w:after="0" w:afterAutospacing="0"/>
              <w:ind w:left="0" w:right="0"/>
              <w:rPr>
                <w:rFonts w:hint="default"/>
                <w:snapToGrid w:val="0"/>
                <w:highlight w:val="none"/>
                <w:lang w:val="zh-CN"/>
              </w:rPr>
            </w:pPr>
            <w:r>
              <w:rPr>
                <w:rFonts w:hint="default"/>
                <w:snapToGrid w:val="0"/>
                <w:highlight w:val="none"/>
                <w:lang w:val="zh-CN"/>
              </w:rPr>
              <w:t>环境保护措施</w:t>
            </w:r>
          </w:p>
        </w:tc>
        <w:tc>
          <w:tcPr>
            <w:tcW w:w="403" w:type="pct"/>
            <w:vAlign w:val="center"/>
          </w:tcPr>
          <w:p w14:paraId="6925AFD3">
            <w:pPr>
              <w:pStyle w:val="8"/>
              <w:suppressLineNumbers w:val="0"/>
              <w:bidi w:val="0"/>
              <w:spacing w:before="0" w:beforeAutospacing="0" w:after="0" w:afterAutospacing="0"/>
              <w:ind w:left="0" w:right="0"/>
              <w:rPr>
                <w:rFonts w:hint="default"/>
                <w:snapToGrid w:val="0"/>
                <w:highlight w:val="none"/>
                <w:lang w:val="zh-CN"/>
              </w:rPr>
            </w:pPr>
            <w:r>
              <w:rPr>
                <w:rFonts w:hint="default"/>
                <w:snapToGrid w:val="0"/>
                <w:highlight w:val="none"/>
                <w:lang w:val="zh-CN"/>
              </w:rPr>
              <w:t>监测点位</w:t>
            </w:r>
          </w:p>
        </w:tc>
        <w:tc>
          <w:tcPr>
            <w:tcW w:w="1365" w:type="pct"/>
            <w:vAlign w:val="center"/>
          </w:tcPr>
          <w:p w14:paraId="1918913D">
            <w:pPr>
              <w:pStyle w:val="8"/>
              <w:suppressLineNumbers w:val="0"/>
              <w:bidi w:val="0"/>
              <w:spacing w:before="0" w:beforeAutospacing="0" w:after="0" w:afterAutospacing="0"/>
              <w:ind w:left="0" w:right="0"/>
              <w:rPr>
                <w:rFonts w:hint="default"/>
                <w:snapToGrid w:val="0"/>
                <w:highlight w:val="none"/>
                <w:lang w:val="zh-CN"/>
              </w:rPr>
            </w:pPr>
            <w:r>
              <w:rPr>
                <w:rFonts w:hint="default"/>
                <w:snapToGrid w:val="0"/>
                <w:highlight w:val="none"/>
                <w:lang w:val="zh-CN"/>
              </w:rPr>
              <w:t>执行标准</w:t>
            </w:r>
          </w:p>
        </w:tc>
        <w:tc>
          <w:tcPr>
            <w:tcW w:w="620" w:type="pct"/>
            <w:vAlign w:val="center"/>
          </w:tcPr>
          <w:p w14:paraId="55FAC580">
            <w:pPr>
              <w:pStyle w:val="8"/>
              <w:suppressLineNumbers w:val="0"/>
              <w:bidi w:val="0"/>
              <w:spacing w:before="0" w:beforeAutospacing="0" w:after="0" w:afterAutospacing="0"/>
              <w:ind w:left="0" w:right="0"/>
              <w:rPr>
                <w:rFonts w:hint="default"/>
                <w:snapToGrid w:val="0"/>
                <w:highlight w:val="none"/>
                <w:lang w:val="zh-CN"/>
              </w:rPr>
            </w:pPr>
            <w:r>
              <w:rPr>
                <w:rFonts w:hint="default"/>
                <w:snapToGrid w:val="0"/>
                <w:highlight w:val="none"/>
                <w:lang w:val="zh-CN"/>
              </w:rPr>
              <w:t>监测频次</w:t>
            </w:r>
          </w:p>
        </w:tc>
      </w:tr>
      <w:tr w14:paraId="1246E3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7" w:type="pct"/>
            <w:vMerge w:val="restart"/>
            <w:vAlign w:val="center"/>
          </w:tcPr>
          <w:p w14:paraId="559B8B2C">
            <w:pPr>
              <w:pStyle w:val="8"/>
              <w:suppressLineNumbers w:val="0"/>
              <w:bidi w:val="0"/>
              <w:spacing w:before="0" w:beforeAutospacing="0" w:after="0" w:afterAutospacing="0"/>
              <w:ind w:left="0" w:right="0"/>
              <w:rPr>
                <w:rFonts w:hint="default"/>
                <w:snapToGrid w:val="0"/>
                <w:highlight w:val="none"/>
                <w:lang w:val="zh-CN"/>
              </w:rPr>
            </w:pPr>
            <w:r>
              <w:rPr>
                <w:rFonts w:hint="default"/>
                <w:snapToGrid w:val="0"/>
                <w:highlight w:val="none"/>
                <w:lang w:val="zh-CN"/>
              </w:rPr>
              <w:t>废气</w:t>
            </w:r>
          </w:p>
        </w:tc>
        <w:tc>
          <w:tcPr>
            <w:tcW w:w="566" w:type="pct"/>
            <w:vMerge w:val="restart"/>
            <w:vAlign w:val="center"/>
          </w:tcPr>
          <w:p w14:paraId="0B12C18B">
            <w:pPr>
              <w:pStyle w:val="8"/>
              <w:suppressLineNumbers w:val="0"/>
              <w:bidi w:val="0"/>
              <w:spacing w:before="0" w:beforeAutospacing="0" w:after="0" w:afterAutospacing="0"/>
              <w:ind w:left="0" w:right="0"/>
              <w:rPr>
                <w:rFonts w:hint="default"/>
                <w:snapToGrid w:val="0"/>
                <w:highlight w:val="none"/>
                <w:lang w:val="zh-CN"/>
              </w:rPr>
            </w:pPr>
            <w:r>
              <w:rPr>
                <w:rFonts w:hint="default"/>
                <w:snapToGrid w:val="0"/>
                <w:highlight w:val="none"/>
              </w:rPr>
              <w:t>DA0</w:t>
            </w:r>
            <w:r>
              <w:rPr>
                <w:rFonts w:hint="eastAsia"/>
                <w:snapToGrid w:val="0"/>
                <w:highlight w:val="none"/>
                <w:lang w:val="en-US" w:eastAsia="zh-CN"/>
              </w:rPr>
              <w:t>67</w:t>
            </w:r>
            <w:r>
              <w:rPr>
                <w:rFonts w:hint="default"/>
                <w:snapToGrid w:val="0"/>
                <w:highlight w:val="none"/>
              </w:rPr>
              <w:t>排气筒</w:t>
            </w:r>
          </w:p>
        </w:tc>
        <w:tc>
          <w:tcPr>
            <w:tcW w:w="564" w:type="pct"/>
            <w:vAlign w:val="center"/>
          </w:tcPr>
          <w:p w14:paraId="2AA7D98F">
            <w:pPr>
              <w:pStyle w:val="8"/>
              <w:suppressLineNumbers w:val="0"/>
              <w:bidi w:val="0"/>
              <w:spacing w:before="0" w:beforeAutospacing="0" w:after="0" w:afterAutospacing="0"/>
              <w:ind w:left="0" w:right="0"/>
              <w:rPr>
                <w:rFonts w:hint="eastAsia" w:eastAsia="宋体"/>
                <w:snapToGrid w:val="0"/>
                <w:highlight w:val="none"/>
                <w:lang w:val="en-US" w:eastAsia="zh-CN"/>
              </w:rPr>
            </w:pPr>
            <w:r>
              <w:rPr>
                <w:rFonts w:hint="eastAsia"/>
                <w:snapToGrid w:val="0"/>
                <w:highlight w:val="none"/>
                <w:lang w:val="en-US" w:eastAsia="zh-CN"/>
              </w:rPr>
              <w:t>非甲烷总烃</w:t>
            </w:r>
            <w:r>
              <w:rPr>
                <w:rFonts w:hint="eastAsia"/>
                <w:snapToGrid w:val="0"/>
                <w:highlight w:val="none"/>
                <w:lang w:val="zh-CN"/>
              </w:rPr>
              <w:t>、</w:t>
            </w:r>
            <w:r>
              <w:rPr>
                <w:rFonts w:hint="eastAsia"/>
                <w:snapToGrid w:val="0"/>
                <w:highlight w:val="none"/>
                <w:lang w:val="en-US" w:eastAsia="zh-CN"/>
              </w:rPr>
              <w:t>颗粒物</w:t>
            </w:r>
          </w:p>
        </w:tc>
        <w:tc>
          <w:tcPr>
            <w:tcW w:w="1181" w:type="pct"/>
            <w:vMerge w:val="restart"/>
            <w:vAlign w:val="center"/>
          </w:tcPr>
          <w:p w14:paraId="26B7EFD0">
            <w:pPr>
              <w:pStyle w:val="8"/>
              <w:suppressLineNumbers w:val="0"/>
              <w:bidi w:val="0"/>
              <w:spacing w:before="0" w:beforeAutospacing="0" w:after="0" w:afterAutospacing="0"/>
              <w:ind w:left="0" w:right="0"/>
              <w:rPr>
                <w:rFonts w:hint="default"/>
                <w:snapToGrid w:val="0"/>
                <w:highlight w:val="none"/>
              </w:rPr>
            </w:pPr>
            <w:r>
              <w:rPr>
                <w:rFonts w:hint="eastAsia"/>
                <w:snapToGrid w:val="0"/>
                <w:highlight w:val="none"/>
                <w:lang w:val="en-US" w:eastAsia="zh-CN"/>
              </w:rPr>
              <w:t>废气收集后经油雾净化器+活性炭吸附装置处理后由23m高排气筒（DA067）排放</w:t>
            </w:r>
          </w:p>
        </w:tc>
        <w:tc>
          <w:tcPr>
            <w:tcW w:w="403" w:type="pct"/>
            <w:vMerge w:val="restart"/>
            <w:vAlign w:val="center"/>
          </w:tcPr>
          <w:p w14:paraId="660C77AA">
            <w:pPr>
              <w:pStyle w:val="8"/>
              <w:suppressLineNumbers w:val="0"/>
              <w:bidi w:val="0"/>
              <w:spacing w:before="0" w:beforeAutospacing="0" w:after="0" w:afterAutospacing="0"/>
              <w:ind w:left="0" w:right="0"/>
              <w:rPr>
                <w:rFonts w:hint="default"/>
                <w:snapToGrid w:val="0"/>
                <w:highlight w:val="none"/>
                <w:lang w:val="zh-CN"/>
              </w:rPr>
            </w:pPr>
            <w:r>
              <w:rPr>
                <w:rFonts w:hint="default"/>
                <w:snapToGrid w:val="0"/>
                <w:highlight w:val="none"/>
                <w:lang w:val="zh-CN"/>
              </w:rPr>
              <w:t>排气筒监测点位</w:t>
            </w:r>
          </w:p>
        </w:tc>
        <w:tc>
          <w:tcPr>
            <w:tcW w:w="1365" w:type="pct"/>
            <w:tcBorders>
              <w:bottom w:val="single" w:color="auto" w:sz="4" w:space="0"/>
            </w:tcBorders>
            <w:vAlign w:val="center"/>
          </w:tcPr>
          <w:p w14:paraId="61C1D36A">
            <w:pPr>
              <w:pStyle w:val="8"/>
              <w:suppressLineNumbers w:val="0"/>
              <w:bidi w:val="0"/>
              <w:spacing w:before="0" w:beforeAutospacing="0" w:after="0" w:afterAutospacing="0"/>
              <w:ind w:left="0" w:right="0"/>
              <w:rPr>
                <w:rFonts w:hint="default"/>
                <w:snapToGrid w:val="0"/>
                <w:highlight w:val="none"/>
                <w:lang w:val="zh-CN"/>
              </w:rPr>
            </w:pPr>
            <w:r>
              <w:rPr>
                <w:rFonts w:hint="default"/>
                <w:snapToGrid w:val="0"/>
                <w:highlight w:val="none"/>
              </w:rPr>
              <w:t>《大气污染物综合排放标准》（GB16297-1996）表2中二级标准</w:t>
            </w:r>
          </w:p>
        </w:tc>
        <w:tc>
          <w:tcPr>
            <w:tcW w:w="620" w:type="pct"/>
            <w:vMerge w:val="restart"/>
            <w:vAlign w:val="center"/>
          </w:tcPr>
          <w:p w14:paraId="3C353D5F">
            <w:pPr>
              <w:pStyle w:val="8"/>
              <w:suppressLineNumbers w:val="0"/>
              <w:bidi w:val="0"/>
              <w:spacing w:before="0" w:beforeAutospacing="0" w:after="0" w:afterAutospacing="0"/>
              <w:ind w:left="0" w:right="0"/>
              <w:rPr>
                <w:rFonts w:hint="default"/>
                <w:snapToGrid w:val="0"/>
                <w:highlight w:val="none"/>
                <w:lang w:val="zh-CN"/>
              </w:rPr>
            </w:pPr>
            <w:r>
              <w:rPr>
                <w:rFonts w:hint="default" w:ascii="Times New Roman" w:hAnsi="Times New Roman" w:cs="Times New Roman" w:eastAsiaTheme="minorEastAsia"/>
                <w:snapToGrid w:val="0"/>
                <w:spacing w:val="0"/>
                <w:kern w:val="0"/>
                <w:position w:val="0"/>
                <w:szCs w:val="21"/>
                <w:highlight w:val="none"/>
                <w:lang w:val="zh-CN"/>
              </w:rPr>
              <w:t>1次/</w:t>
            </w:r>
            <w:r>
              <w:rPr>
                <w:rFonts w:hint="default" w:ascii="Times New Roman" w:hAnsi="Times New Roman" w:cs="Times New Roman" w:eastAsiaTheme="minorEastAsia"/>
                <w:snapToGrid w:val="0"/>
                <w:spacing w:val="0"/>
                <w:kern w:val="0"/>
                <w:position w:val="0"/>
                <w:szCs w:val="21"/>
                <w:highlight w:val="none"/>
              </w:rPr>
              <w:t>半</w:t>
            </w:r>
            <w:r>
              <w:rPr>
                <w:rFonts w:hint="default" w:ascii="Times New Roman" w:hAnsi="Times New Roman" w:cs="Times New Roman" w:eastAsiaTheme="minorEastAsia"/>
                <w:snapToGrid w:val="0"/>
                <w:spacing w:val="0"/>
                <w:kern w:val="0"/>
                <w:position w:val="0"/>
                <w:szCs w:val="21"/>
                <w:highlight w:val="none"/>
                <w:lang w:val="zh-CN"/>
              </w:rPr>
              <w:t>年</w:t>
            </w:r>
          </w:p>
        </w:tc>
      </w:tr>
      <w:tr w14:paraId="7EC8D5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7" w:type="pct"/>
            <w:vMerge w:val="continue"/>
            <w:vAlign w:val="center"/>
          </w:tcPr>
          <w:p w14:paraId="78594DD1">
            <w:pPr>
              <w:pStyle w:val="8"/>
              <w:suppressLineNumbers w:val="0"/>
              <w:bidi w:val="0"/>
              <w:spacing w:before="0" w:beforeAutospacing="0" w:after="0" w:afterAutospacing="0"/>
              <w:ind w:left="0" w:right="0"/>
              <w:rPr>
                <w:rFonts w:hint="default"/>
                <w:snapToGrid w:val="0"/>
                <w:highlight w:val="none"/>
                <w:lang w:val="zh-CN"/>
              </w:rPr>
            </w:pPr>
          </w:p>
        </w:tc>
        <w:tc>
          <w:tcPr>
            <w:tcW w:w="566" w:type="pct"/>
            <w:vMerge w:val="continue"/>
            <w:vAlign w:val="center"/>
          </w:tcPr>
          <w:p w14:paraId="6CFD78B9">
            <w:pPr>
              <w:pStyle w:val="8"/>
              <w:suppressLineNumbers w:val="0"/>
              <w:bidi w:val="0"/>
              <w:spacing w:before="0" w:beforeAutospacing="0" w:after="0" w:afterAutospacing="0"/>
              <w:ind w:left="0" w:right="0"/>
              <w:rPr>
                <w:rFonts w:hint="default"/>
                <w:snapToGrid w:val="0"/>
                <w:highlight w:val="none"/>
              </w:rPr>
            </w:pPr>
          </w:p>
        </w:tc>
        <w:tc>
          <w:tcPr>
            <w:tcW w:w="564" w:type="pct"/>
            <w:vAlign w:val="center"/>
          </w:tcPr>
          <w:p w14:paraId="4D441A63">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臭气浓度</w:t>
            </w:r>
          </w:p>
        </w:tc>
        <w:tc>
          <w:tcPr>
            <w:tcW w:w="1181" w:type="pct"/>
            <w:vMerge w:val="continue"/>
            <w:tcBorders>
              <w:bottom w:val="single" w:color="auto" w:sz="4" w:space="0"/>
            </w:tcBorders>
            <w:vAlign w:val="center"/>
          </w:tcPr>
          <w:p w14:paraId="7578ACA9">
            <w:pPr>
              <w:pStyle w:val="8"/>
              <w:suppressLineNumbers w:val="0"/>
              <w:bidi w:val="0"/>
              <w:spacing w:before="0" w:beforeAutospacing="0" w:after="0" w:afterAutospacing="0"/>
              <w:ind w:left="0" w:right="0"/>
              <w:rPr>
                <w:rFonts w:hint="eastAsia"/>
                <w:snapToGrid w:val="0"/>
                <w:highlight w:val="none"/>
                <w:lang w:val="en-US" w:eastAsia="zh-CN"/>
              </w:rPr>
            </w:pPr>
          </w:p>
        </w:tc>
        <w:tc>
          <w:tcPr>
            <w:tcW w:w="403" w:type="pct"/>
            <w:vMerge w:val="continue"/>
            <w:tcBorders/>
            <w:vAlign w:val="center"/>
          </w:tcPr>
          <w:p w14:paraId="2DBA0746">
            <w:pPr>
              <w:pStyle w:val="8"/>
              <w:suppressLineNumbers w:val="0"/>
              <w:bidi w:val="0"/>
              <w:spacing w:before="0" w:beforeAutospacing="0" w:after="0" w:afterAutospacing="0"/>
              <w:ind w:left="0" w:right="0"/>
              <w:rPr>
                <w:rFonts w:hint="default"/>
                <w:snapToGrid w:val="0"/>
                <w:highlight w:val="none"/>
                <w:lang w:val="zh-CN"/>
              </w:rPr>
            </w:pPr>
          </w:p>
        </w:tc>
        <w:tc>
          <w:tcPr>
            <w:tcW w:w="1365" w:type="pct"/>
            <w:tcBorders>
              <w:bottom w:val="single" w:color="auto" w:sz="4" w:space="0"/>
            </w:tcBorders>
            <w:vAlign w:val="center"/>
          </w:tcPr>
          <w:p w14:paraId="64AD7B7C">
            <w:pPr>
              <w:pStyle w:val="8"/>
              <w:suppressLineNumbers w:val="0"/>
              <w:bidi w:val="0"/>
              <w:spacing w:before="0" w:beforeAutospacing="0" w:after="0" w:afterAutospacing="0"/>
              <w:ind w:left="0" w:right="0"/>
              <w:rPr>
                <w:rFonts w:hint="default"/>
                <w:snapToGrid w:val="0"/>
                <w:highlight w:val="none"/>
              </w:rPr>
            </w:pPr>
            <w:r>
              <w:rPr>
                <w:rFonts w:hint="eastAsia" w:cs="Times New Roman"/>
                <w:b w:val="0"/>
                <w:bCs w:val="0"/>
                <w:snapToGrid w:val="0"/>
                <w:color w:val="000000"/>
                <w:kern w:val="0"/>
                <w:position w:val="0"/>
                <w:sz w:val="21"/>
                <w:szCs w:val="22"/>
                <w:highlight w:val="none"/>
                <w:lang w:val="en-US" w:eastAsia="zh-CN" w:bidi="ar"/>
              </w:rPr>
              <w:t>《恶臭污染物排放标准》（GB14554-93）表2中标准</w:t>
            </w:r>
          </w:p>
        </w:tc>
        <w:tc>
          <w:tcPr>
            <w:tcW w:w="620" w:type="pct"/>
            <w:vMerge w:val="continue"/>
            <w:tcBorders/>
            <w:vAlign w:val="center"/>
          </w:tcPr>
          <w:p w14:paraId="342974AE">
            <w:pPr>
              <w:pStyle w:val="8"/>
              <w:suppressLineNumbers w:val="0"/>
              <w:bidi w:val="0"/>
              <w:spacing w:before="0" w:beforeAutospacing="0" w:after="0" w:afterAutospacing="0"/>
              <w:ind w:left="0" w:right="0"/>
              <w:rPr>
                <w:rFonts w:hint="default" w:ascii="Times New Roman" w:hAnsi="Times New Roman" w:cs="Times New Roman" w:eastAsiaTheme="minorEastAsia"/>
                <w:snapToGrid w:val="0"/>
                <w:spacing w:val="0"/>
                <w:kern w:val="0"/>
                <w:position w:val="0"/>
                <w:szCs w:val="21"/>
                <w:highlight w:val="none"/>
                <w:lang w:val="zh-CN"/>
              </w:rPr>
            </w:pPr>
          </w:p>
        </w:tc>
      </w:tr>
      <w:tr w14:paraId="3C7E14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7" w:type="pct"/>
            <w:vMerge w:val="continue"/>
            <w:vAlign w:val="center"/>
          </w:tcPr>
          <w:p w14:paraId="0DB8C952">
            <w:pPr>
              <w:pStyle w:val="8"/>
              <w:suppressLineNumbers w:val="0"/>
              <w:bidi w:val="0"/>
              <w:spacing w:before="0" w:beforeAutospacing="0" w:after="0" w:afterAutospacing="0"/>
              <w:ind w:left="0" w:right="0"/>
              <w:rPr>
                <w:rFonts w:hint="default"/>
                <w:snapToGrid w:val="0"/>
                <w:highlight w:val="none"/>
                <w:lang w:val="zh-CN"/>
              </w:rPr>
            </w:pPr>
          </w:p>
        </w:tc>
        <w:tc>
          <w:tcPr>
            <w:tcW w:w="566" w:type="pct"/>
            <w:vAlign w:val="center"/>
          </w:tcPr>
          <w:p w14:paraId="7D28050A">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DA066</w:t>
            </w:r>
          </w:p>
        </w:tc>
        <w:tc>
          <w:tcPr>
            <w:tcW w:w="564" w:type="pct"/>
            <w:vAlign w:val="center"/>
          </w:tcPr>
          <w:p w14:paraId="3C91434B">
            <w:pPr>
              <w:pStyle w:val="8"/>
              <w:suppressLineNumbers w:val="0"/>
              <w:bidi w:val="0"/>
              <w:spacing w:before="0" w:beforeAutospacing="0" w:after="0" w:afterAutospacing="0"/>
              <w:ind w:left="0" w:right="0"/>
              <w:rPr>
                <w:rFonts w:hint="eastAsia"/>
                <w:snapToGrid w:val="0"/>
                <w:highlight w:val="none"/>
                <w:lang w:val="en-US" w:eastAsia="zh-CN"/>
              </w:rPr>
            </w:pPr>
            <w:r>
              <w:rPr>
                <w:rFonts w:hint="eastAsia"/>
                <w:snapToGrid w:val="0"/>
                <w:highlight w:val="none"/>
                <w:lang w:val="en-US" w:eastAsia="zh-CN"/>
              </w:rPr>
              <w:t>非甲烷总烃</w:t>
            </w:r>
          </w:p>
        </w:tc>
        <w:tc>
          <w:tcPr>
            <w:tcW w:w="1181" w:type="pct"/>
            <w:vAlign w:val="center"/>
          </w:tcPr>
          <w:p w14:paraId="4E99416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textAlignment w:val="auto"/>
              <w:rPr>
                <w:rFonts w:hint="eastAsia"/>
                <w:snapToGrid w:val="0"/>
                <w:highlight w:val="none"/>
                <w:lang w:val="en-US" w:eastAsia="zh-CN"/>
              </w:rPr>
            </w:pPr>
            <w:r>
              <w:rPr>
                <w:rFonts w:hint="eastAsia" w:ascii="Times New Roman" w:hAnsi="Times New Roman" w:eastAsia="宋体" w:cs="Times New Roman"/>
                <w:color w:val="000000"/>
                <w:kern w:val="0"/>
                <w:sz w:val="21"/>
                <w:szCs w:val="24"/>
                <w:highlight w:val="none"/>
                <w:lang w:val="en-US" w:eastAsia="zh-CN" w:bidi="ar-SA"/>
              </w:rPr>
              <w:t>废气收集后经油雾净化器装置处理后由23m高排气筒（DA0</w:t>
            </w:r>
            <w:r>
              <w:rPr>
                <w:rFonts w:hint="eastAsia" w:cs="Times New Roman"/>
                <w:color w:val="000000"/>
                <w:kern w:val="0"/>
                <w:sz w:val="21"/>
                <w:szCs w:val="24"/>
                <w:highlight w:val="none"/>
                <w:lang w:val="en-US" w:eastAsia="zh-CN" w:bidi="ar-SA"/>
              </w:rPr>
              <w:t>66</w:t>
            </w:r>
            <w:r>
              <w:rPr>
                <w:rFonts w:hint="eastAsia" w:ascii="Times New Roman" w:hAnsi="Times New Roman" w:eastAsia="宋体" w:cs="Times New Roman"/>
                <w:color w:val="000000"/>
                <w:kern w:val="0"/>
                <w:sz w:val="21"/>
                <w:szCs w:val="24"/>
                <w:highlight w:val="none"/>
                <w:lang w:val="en-US" w:eastAsia="zh-CN" w:bidi="ar-SA"/>
              </w:rPr>
              <w:t>）排放</w:t>
            </w:r>
          </w:p>
        </w:tc>
        <w:tc>
          <w:tcPr>
            <w:tcW w:w="403" w:type="pct"/>
            <w:vMerge w:val="continue"/>
            <w:tcBorders/>
            <w:vAlign w:val="center"/>
          </w:tcPr>
          <w:p w14:paraId="018ECB58">
            <w:pPr>
              <w:pStyle w:val="8"/>
              <w:suppressLineNumbers w:val="0"/>
              <w:bidi w:val="0"/>
              <w:spacing w:before="0" w:beforeAutospacing="0" w:after="0" w:afterAutospacing="0"/>
              <w:ind w:left="0" w:right="0"/>
              <w:rPr>
                <w:rFonts w:hint="eastAsia"/>
                <w:snapToGrid w:val="0"/>
                <w:highlight w:val="none"/>
                <w:lang w:val="en-US" w:eastAsia="zh-CN"/>
              </w:rPr>
            </w:pPr>
          </w:p>
        </w:tc>
        <w:tc>
          <w:tcPr>
            <w:tcW w:w="1365" w:type="pct"/>
            <w:vMerge w:val="restart"/>
            <w:vAlign w:val="center"/>
          </w:tcPr>
          <w:p w14:paraId="0386CAB8">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《大气污染物综合排放标准》（GB16297-1996）表2中二级标准</w:t>
            </w:r>
          </w:p>
        </w:tc>
        <w:tc>
          <w:tcPr>
            <w:tcW w:w="620" w:type="pct"/>
            <w:vMerge w:val="continue"/>
            <w:tcBorders/>
            <w:vAlign w:val="center"/>
          </w:tcPr>
          <w:p w14:paraId="2D965B37">
            <w:pPr>
              <w:pStyle w:val="8"/>
              <w:suppressLineNumbers w:val="0"/>
              <w:bidi w:val="0"/>
              <w:spacing w:before="0" w:beforeAutospacing="0" w:after="0" w:afterAutospacing="0"/>
              <w:ind w:left="0" w:right="0"/>
              <w:rPr>
                <w:rFonts w:hint="default" w:ascii="Times New Roman" w:hAnsi="Times New Roman" w:cs="Times New Roman" w:eastAsiaTheme="minorEastAsia"/>
                <w:snapToGrid w:val="0"/>
                <w:spacing w:val="0"/>
                <w:kern w:val="0"/>
                <w:position w:val="0"/>
                <w:szCs w:val="21"/>
                <w:highlight w:val="none"/>
                <w:lang w:val="zh-CN"/>
              </w:rPr>
            </w:pPr>
          </w:p>
        </w:tc>
      </w:tr>
      <w:tr w14:paraId="3FEA3D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7" w:type="pct"/>
            <w:vMerge w:val="continue"/>
            <w:vAlign w:val="center"/>
          </w:tcPr>
          <w:p w14:paraId="5339AED0">
            <w:pPr>
              <w:pStyle w:val="8"/>
              <w:suppressLineNumbers w:val="0"/>
              <w:bidi w:val="0"/>
              <w:spacing w:before="0" w:beforeAutospacing="0" w:after="0" w:afterAutospacing="0"/>
              <w:ind w:left="0" w:right="0"/>
              <w:rPr>
                <w:rFonts w:hint="default"/>
                <w:snapToGrid w:val="0"/>
                <w:highlight w:val="none"/>
                <w:lang w:val="zh-CN"/>
              </w:rPr>
            </w:pPr>
          </w:p>
        </w:tc>
        <w:tc>
          <w:tcPr>
            <w:tcW w:w="566" w:type="pct"/>
            <w:vAlign w:val="center"/>
          </w:tcPr>
          <w:p w14:paraId="3B54DF51">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DA065</w:t>
            </w:r>
          </w:p>
        </w:tc>
        <w:tc>
          <w:tcPr>
            <w:tcW w:w="564" w:type="pct"/>
            <w:vAlign w:val="center"/>
          </w:tcPr>
          <w:p w14:paraId="7FB3698E">
            <w:pPr>
              <w:pStyle w:val="8"/>
              <w:suppressLineNumbers w:val="0"/>
              <w:bidi w:val="0"/>
              <w:spacing w:before="0" w:beforeAutospacing="0" w:after="0" w:afterAutospacing="0"/>
              <w:ind w:left="0" w:right="0"/>
              <w:rPr>
                <w:rFonts w:hint="eastAsia"/>
                <w:snapToGrid w:val="0"/>
                <w:highlight w:val="none"/>
                <w:lang w:val="en-US" w:eastAsia="zh-CN"/>
              </w:rPr>
            </w:pPr>
            <w:r>
              <w:rPr>
                <w:rFonts w:hint="eastAsia"/>
                <w:snapToGrid w:val="0"/>
                <w:highlight w:val="none"/>
                <w:lang w:val="en-US" w:eastAsia="zh-CN"/>
              </w:rPr>
              <w:t>非甲烷总烃</w:t>
            </w:r>
          </w:p>
        </w:tc>
        <w:tc>
          <w:tcPr>
            <w:tcW w:w="1181" w:type="pct"/>
            <w:vAlign w:val="center"/>
          </w:tcPr>
          <w:p w14:paraId="60C18290">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textAlignment w:val="auto"/>
              <w:rPr>
                <w:rFonts w:hint="eastAsia"/>
                <w:snapToGrid w:val="0"/>
                <w:highlight w:val="none"/>
                <w:lang w:val="en-US" w:eastAsia="zh-CN"/>
              </w:rPr>
            </w:pPr>
            <w:r>
              <w:rPr>
                <w:rFonts w:hint="eastAsia" w:ascii="Times New Roman" w:hAnsi="Times New Roman" w:eastAsia="宋体" w:cs="Times New Roman"/>
                <w:color w:val="000000"/>
                <w:kern w:val="0"/>
                <w:sz w:val="21"/>
                <w:szCs w:val="24"/>
                <w:highlight w:val="none"/>
                <w:lang w:val="en-US" w:eastAsia="zh-CN" w:bidi="ar-SA"/>
              </w:rPr>
              <w:t>废气收集后经油雾净化器装置处理后由23m高排气筒（DA06</w:t>
            </w:r>
            <w:r>
              <w:rPr>
                <w:rFonts w:hint="eastAsia" w:cs="Times New Roman"/>
                <w:color w:val="000000"/>
                <w:kern w:val="0"/>
                <w:sz w:val="21"/>
                <w:szCs w:val="24"/>
                <w:highlight w:val="none"/>
                <w:lang w:val="en-US" w:eastAsia="zh-CN" w:bidi="ar-SA"/>
              </w:rPr>
              <w:t>5</w:t>
            </w:r>
            <w:r>
              <w:rPr>
                <w:rFonts w:hint="eastAsia" w:ascii="Times New Roman" w:hAnsi="Times New Roman" w:eastAsia="宋体" w:cs="Times New Roman"/>
                <w:color w:val="000000"/>
                <w:kern w:val="0"/>
                <w:sz w:val="21"/>
                <w:szCs w:val="24"/>
                <w:highlight w:val="none"/>
                <w:lang w:val="en-US" w:eastAsia="zh-CN" w:bidi="ar-SA"/>
              </w:rPr>
              <w:t>）排放</w:t>
            </w:r>
          </w:p>
        </w:tc>
        <w:tc>
          <w:tcPr>
            <w:tcW w:w="403" w:type="pct"/>
            <w:vMerge w:val="continue"/>
            <w:tcBorders/>
            <w:vAlign w:val="center"/>
          </w:tcPr>
          <w:p w14:paraId="7154F491">
            <w:pPr>
              <w:pStyle w:val="8"/>
              <w:suppressLineNumbers w:val="0"/>
              <w:bidi w:val="0"/>
              <w:spacing w:before="0" w:beforeAutospacing="0" w:after="0" w:afterAutospacing="0"/>
              <w:ind w:left="0" w:right="0"/>
              <w:rPr>
                <w:rFonts w:hint="eastAsia"/>
                <w:snapToGrid w:val="0"/>
                <w:highlight w:val="none"/>
                <w:lang w:val="en-US" w:eastAsia="zh-CN"/>
              </w:rPr>
            </w:pPr>
          </w:p>
        </w:tc>
        <w:tc>
          <w:tcPr>
            <w:tcW w:w="1365" w:type="pct"/>
            <w:vMerge w:val="continue"/>
            <w:tcBorders/>
            <w:vAlign w:val="center"/>
          </w:tcPr>
          <w:p w14:paraId="3B02742F">
            <w:pPr>
              <w:pStyle w:val="8"/>
              <w:suppressLineNumbers w:val="0"/>
              <w:bidi w:val="0"/>
              <w:spacing w:before="0" w:beforeAutospacing="0" w:after="0" w:afterAutospacing="0"/>
              <w:ind w:left="0" w:right="0"/>
              <w:rPr>
                <w:rFonts w:hint="default"/>
                <w:snapToGrid w:val="0"/>
                <w:highlight w:val="none"/>
              </w:rPr>
            </w:pPr>
          </w:p>
        </w:tc>
        <w:tc>
          <w:tcPr>
            <w:tcW w:w="620" w:type="pct"/>
            <w:vMerge w:val="continue"/>
            <w:tcBorders/>
            <w:vAlign w:val="center"/>
          </w:tcPr>
          <w:p w14:paraId="54A02E07">
            <w:pPr>
              <w:pStyle w:val="8"/>
              <w:suppressLineNumbers w:val="0"/>
              <w:bidi w:val="0"/>
              <w:spacing w:before="0" w:beforeAutospacing="0" w:after="0" w:afterAutospacing="0"/>
              <w:ind w:left="0" w:right="0"/>
              <w:rPr>
                <w:rFonts w:hint="default" w:ascii="Times New Roman" w:hAnsi="Times New Roman" w:cs="Times New Roman" w:eastAsiaTheme="minorEastAsia"/>
                <w:snapToGrid w:val="0"/>
                <w:spacing w:val="0"/>
                <w:kern w:val="0"/>
                <w:position w:val="0"/>
                <w:szCs w:val="21"/>
                <w:highlight w:val="none"/>
                <w:lang w:val="zh-CN"/>
              </w:rPr>
            </w:pPr>
          </w:p>
        </w:tc>
      </w:tr>
      <w:tr w14:paraId="0BCF32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7" w:type="pct"/>
            <w:vMerge w:val="continue"/>
            <w:vAlign w:val="center"/>
          </w:tcPr>
          <w:p w14:paraId="4419A7E0">
            <w:pPr>
              <w:pStyle w:val="8"/>
              <w:suppressLineNumbers w:val="0"/>
              <w:bidi w:val="0"/>
              <w:spacing w:before="0" w:beforeAutospacing="0" w:after="0" w:afterAutospacing="0"/>
              <w:ind w:left="0" w:right="0"/>
              <w:rPr>
                <w:rFonts w:hint="default"/>
                <w:snapToGrid w:val="0"/>
                <w:highlight w:val="none"/>
                <w:lang w:val="zh-CN"/>
              </w:rPr>
            </w:pPr>
          </w:p>
        </w:tc>
        <w:tc>
          <w:tcPr>
            <w:tcW w:w="566" w:type="pct"/>
            <w:vAlign w:val="center"/>
          </w:tcPr>
          <w:p w14:paraId="38907936">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DA064</w:t>
            </w:r>
          </w:p>
        </w:tc>
        <w:tc>
          <w:tcPr>
            <w:tcW w:w="564" w:type="pct"/>
            <w:vAlign w:val="center"/>
          </w:tcPr>
          <w:p w14:paraId="7A143973">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非甲烷总烃、氮氧化物、颗粒物、一氧化碳</w:t>
            </w:r>
          </w:p>
        </w:tc>
        <w:tc>
          <w:tcPr>
            <w:tcW w:w="1181" w:type="pct"/>
            <w:vAlign w:val="center"/>
          </w:tcPr>
          <w:p w14:paraId="7F044AA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textAlignment w:val="auto"/>
              <w:rPr>
                <w:rFonts w:hint="eastAsia"/>
                <w:snapToGrid w:val="0"/>
                <w:highlight w:val="none"/>
                <w:lang w:val="en-US" w:eastAsia="zh-CN"/>
              </w:rPr>
            </w:pPr>
            <w:r>
              <w:rPr>
                <w:rFonts w:hint="eastAsia" w:ascii="Times New Roman" w:hAnsi="Times New Roman" w:eastAsia="宋体" w:cs="Times New Roman"/>
                <w:color w:val="000000"/>
                <w:kern w:val="0"/>
                <w:sz w:val="21"/>
                <w:szCs w:val="24"/>
                <w:highlight w:val="none"/>
                <w:lang w:val="en-US" w:eastAsia="zh-CN" w:bidi="ar-SA"/>
              </w:rPr>
              <w:t>废气收集后经</w:t>
            </w:r>
            <w:r>
              <w:rPr>
                <w:rFonts w:hint="eastAsia" w:cs="Times New Roman"/>
                <w:color w:val="000000"/>
                <w:kern w:val="0"/>
                <w:sz w:val="21"/>
                <w:szCs w:val="24"/>
                <w:highlight w:val="none"/>
                <w:lang w:val="en-US" w:eastAsia="zh-CN" w:bidi="ar-SA"/>
              </w:rPr>
              <w:t>三元催化</w:t>
            </w:r>
            <w:r>
              <w:rPr>
                <w:rFonts w:hint="eastAsia" w:ascii="Times New Roman" w:hAnsi="Times New Roman" w:eastAsia="宋体" w:cs="Times New Roman"/>
                <w:color w:val="000000"/>
                <w:kern w:val="0"/>
                <w:sz w:val="21"/>
                <w:szCs w:val="24"/>
                <w:highlight w:val="none"/>
                <w:lang w:val="en-US" w:eastAsia="zh-CN" w:bidi="ar-SA"/>
              </w:rPr>
              <w:t>装置处理后由23m高排气筒（DA06</w:t>
            </w:r>
            <w:r>
              <w:rPr>
                <w:rFonts w:hint="eastAsia" w:cs="Times New Roman"/>
                <w:color w:val="000000"/>
                <w:kern w:val="0"/>
                <w:sz w:val="21"/>
                <w:szCs w:val="24"/>
                <w:highlight w:val="none"/>
                <w:lang w:val="en-US" w:eastAsia="zh-CN" w:bidi="ar-SA"/>
              </w:rPr>
              <w:t>4</w:t>
            </w:r>
            <w:r>
              <w:rPr>
                <w:rFonts w:hint="eastAsia" w:ascii="Times New Roman" w:hAnsi="Times New Roman" w:eastAsia="宋体" w:cs="Times New Roman"/>
                <w:color w:val="000000"/>
                <w:kern w:val="0"/>
                <w:sz w:val="21"/>
                <w:szCs w:val="24"/>
                <w:highlight w:val="none"/>
                <w:lang w:val="en-US" w:eastAsia="zh-CN" w:bidi="ar-SA"/>
              </w:rPr>
              <w:t>）排放</w:t>
            </w:r>
          </w:p>
        </w:tc>
        <w:tc>
          <w:tcPr>
            <w:tcW w:w="403" w:type="pct"/>
            <w:vMerge w:val="continue"/>
            <w:tcBorders/>
            <w:vAlign w:val="center"/>
          </w:tcPr>
          <w:p w14:paraId="0455D06C">
            <w:pPr>
              <w:pStyle w:val="8"/>
              <w:suppressLineNumbers w:val="0"/>
              <w:bidi w:val="0"/>
              <w:spacing w:before="0" w:beforeAutospacing="0" w:after="0" w:afterAutospacing="0"/>
              <w:ind w:left="0" w:right="0"/>
              <w:rPr>
                <w:rFonts w:hint="eastAsia"/>
                <w:snapToGrid w:val="0"/>
                <w:highlight w:val="none"/>
                <w:lang w:val="en-US" w:eastAsia="zh-CN"/>
              </w:rPr>
            </w:pPr>
          </w:p>
        </w:tc>
        <w:tc>
          <w:tcPr>
            <w:tcW w:w="1365" w:type="pct"/>
            <w:vMerge w:val="continue"/>
            <w:tcBorders/>
            <w:vAlign w:val="center"/>
          </w:tcPr>
          <w:p w14:paraId="6988F134">
            <w:pPr>
              <w:pStyle w:val="8"/>
              <w:suppressLineNumbers w:val="0"/>
              <w:bidi w:val="0"/>
              <w:spacing w:before="0" w:beforeAutospacing="0" w:after="0" w:afterAutospacing="0"/>
              <w:ind w:left="0" w:right="0"/>
              <w:rPr>
                <w:rFonts w:hint="default"/>
                <w:snapToGrid w:val="0"/>
                <w:highlight w:val="none"/>
              </w:rPr>
            </w:pPr>
          </w:p>
        </w:tc>
        <w:tc>
          <w:tcPr>
            <w:tcW w:w="620" w:type="pct"/>
            <w:vMerge w:val="continue"/>
            <w:tcBorders/>
            <w:vAlign w:val="center"/>
          </w:tcPr>
          <w:p w14:paraId="209662D4">
            <w:pPr>
              <w:pStyle w:val="8"/>
              <w:suppressLineNumbers w:val="0"/>
              <w:bidi w:val="0"/>
              <w:spacing w:before="0" w:beforeAutospacing="0" w:after="0" w:afterAutospacing="0"/>
              <w:ind w:left="0" w:right="0"/>
              <w:rPr>
                <w:rFonts w:hint="default" w:ascii="Times New Roman" w:hAnsi="Times New Roman" w:cs="Times New Roman" w:eastAsiaTheme="minorEastAsia"/>
                <w:snapToGrid w:val="0"/>
                <w:spacing w:val="0"/>
                <w:kern w:val="0"/>
                <w:position w:val="0"/>
                <w:szCs w:val="21"/>
                <w:highlight w:val="none"/>
                <w:lang w:val="zh-CN"/>
              </w:rPr>
            </w:pPr>
          </w:p>
        </w:tc>
      </w:tr>
      <w:tr w14:paraId="7CE7E9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7" w:type="pct"/>
            <w:vMerge w:val="continue"/>
            <w:vAlign w:val="center"/>
          </w:tcPr>
          <w:p w14:paraId="240BCE1A">
            <w:pPr>
              <w:pStyle w:val="8"/>
              <w:suppressLineNumbers w:val="0"/>
              <w:bidi w:val="0"/>
              <w:spacing w:before="0" w:beforeAutospacing="0" w:after="0" w:afterAutospacing="0"/>
              <w:ind w:left="0" w:right="0"/>
              <w:rPr>
                <w:rFonts w:hint="default"/>
                <w:snapToGrid w:val="0"/>
                <w:highlight w:val="none"/>
                <w:lang w:val="zh-CN"/>
              </w:rPr>
            </w:pPr>
          </w:p>
        </w:tc>
        <w:tc>
          <w:tcPr>
            <w:tcW w:w="566" w:type="pct"/>
            <w:vMerge w:val="restart"/>
            <w:vAlign w:val="center"/>
          </w:tcPr>
          <w:p w14:paraId="5B01A097">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无组织废气</w:t>
            </w:r>
          </w:p>
        </w:tc>
        <w:tc>
          <w:tcPr>
            <w:tcW w:w="564" w:type="pct"/>
            <w:vAlign w:val="center"/>
          </w:tcPr>
          <w:p w14:paraId="224B3D69">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颗粒物</w:t>
            </w:r>
          </w:p>
        </w:tc>
        <w:tc>
          <w:tcPr>
            <w:tcW w:w="1181" w:type="pct"/>
            <w:vAlign w:val="center"/>
          </w:tcPr>
          <w:p w14:paraId="338B7938">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w:t>
            </w:r>
          </w:p>
        </w:tc>
        <w:tc>
          <w:tcPr>
            <w:tcW w:w="403" w:type="pct"/>
            <w:vMerge w:val="restart"/>
            <w:vAlign w:val="center"/>
          </w:tcPr>
          <w:p w14:paraId="116A23FE">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厂界</w:t>
            </w:r>
          </w:p>
        </w:tc>
        <w:tc>
          <w:tcPr>
            <w:tcW w:w="1365" w:type="pct"/>
            <w:vAlign w:val="center"/>
          </w:tcPr>
          <w:p w14:paraId="1D1D527D">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《大气污染物综合排放标准》（GB16297-1996）表2中无组织排放监控浓度限值要求</w:t>
            </w:r>
            <w:r>
              <w:rPr>
                <w:rFonts w:hint="eastAsia"/>
                <w:snapToGrid w:val="0"/>
                <w:highlight w:val="none"/>
                <w:lang w:eastAsia="zh-CN"/>
              </w:rPr>
              <w:t>；</w:t>
            </w:r>
          </w:p>
        </w:tc>
        <w:tc>
          <w:tcPr>
            <w:tcW w:w="620" w:type="pct"/>
            <w:vMerge w:val="restart"/>
            <w:vAlign w:val="center"/>
          </w:tcPr>
          <w:p w14:paraId="79CA598F">
            <w:pPr>
              <w:pStyle w:val="8"/>
              <w:suppressLineNumbers w:val="0"/>
              <w:bidi w:val="0"/>
              <w:spacing w:before="0" w:beforeAutospacing="0" w:after="0" w:afterAutospacing="0"/>
              <w:ind w:left="0" w:right="0"/>
              <w:rPr>
                <w:rFonts w:hint="eastAsia" w:eastAsiaTheme="minorEastAsia"/>
                <w:snapToGrid w:val="0"/>
                <w:highlight w:val="none"/>
                <w:lang w:val="zh-CN" w:eastAsia="zh-CN"/>
              </w:rPr>
            </w:pPr>
            <w:r>
              <w:rPr>
                <w:rFonts w:hint="default" w:ascii="Times New Roman" w:hAnsi="Times New Roman" w:cs="Times New Roman" w:eastAsiaTheme="minorEastAsia"/>
                <w:snapToGrid w:val="0"/>
                <w:spacing w:val="0"/>
                <w:kern w:val="0"/>
                <w:position w:val="0"/>
                <w:szCs w:val="21"/>
                <w:highlight w:val="none"/>
                <w:lang w:val="zh-CN"/>
              </w:rPr>
              <w:t>1次/</w:t>
            </w:r>
            <w:r>
              <w:rPr>
                <w:rFonts w:hint="eastAsia" w:cs="Times New Roman" w:eastAsiaTheme="minorEastAsia"/>
                <w:snapToGrid w:val="0"/>
                <w:spacing w:val="0"/>
                <w:kern w:val="0"/>
                <w:position w:val="0"/>
                <w:szCs w:val="21"/>
                <w:highlight w:val="none"/>
                <w:lang w:val="en-US" w:eastAsia="zh-CN"/>
              </w:rPr>
              <w:t>季度</w:t>
            </w:r>
          </w:p>
        </w:tc>
      </w:tr>
      <w:tr w14:paraId="2E7FB4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7" w:type="pct"/>
            <w:vMerge w:val="continue"/>
            <w:vAlign w:val="center"/>
          </w:tcPr>
          <w:p w14:paraId="644E26CE">
            <w:pPr>
              <w:pStyle w:val="8"/>
              <w:suppressLineNumbers w:val="0"/>
              <w:bidi w:val="0"/>
              <w:spacing w:before="0" w:beforeAutospacing="0" w:after="0" w:afterAutospacing="0"/>
              <w:ind w:left="0" w:right="0"/>
              <w:rPr>
                <w:rFonts w:hint="default"/>
                <w:snapToGrid w:val="0"/>
                <w:highlight w:val="none"/>
                <w:lang w:val="zh-CN"/>
              </w:rPr>
            </w:pPr>
          </w:p>
        </w:tc>
        <w:tc>
          <w:tcPr>
            <w:tcW w:w="566" w:type="pct"/>
            <w:vMerge w:val="continue"/>
            <w:vAlign w:val="center"/>
          </w:tcPr>
          <w:p w14:paraId="7AAE72B3">
            <w:pPr>
              <w:pStyle w:val="8"/>
              <w:suppressLineNumbers w:val="0"/>
              <w:bidi w:val="0"/>
              <w:spacing w:before="0" w:beforeAutospacing="0" w:after="0" w:afterAutospacing="0"/>
              <w:ind w:left="0" w:right="0"/>
              <w:rPr>
                <w:rFonts w:hint="eastAsia"/>
                <w:snapToGrid w:val="0"/>
                <w:highlight w:val="none"/>
                <w:lang w:val="en-US" w:eastAsia="zh-CN"/>
              </w:rPr>
            </w:pPr>
          </w:p>
        </w:tc>
        <w:tc>
          <w:tcPr>
            <w:tcW w:w="564" w:type="pct"/>
            <w:vAlign w:val="center"/>
          </w:tcPr>
          <w:p w14:paraId="2D193C49">
            <w:pPr>
              <w:pStyle w:val="8"/>
              <w:suppressLineNumbers w:val="0"/>
              <w:bidi w:val="0"/>
              <w:spacing w:before="0" w:beforeAutospacing="0" w:after="0" w:afterAutospacing="0"/>
              <w:ind w:left="0" w:right="0"/>
              <w:rPr>
                <w:rFonts w:hint="eastAsia"/>
                <w:snapToGrid w:val="0"/>
                <w:highlight w:val="none"/>
                <w:lang w:val="en-US" w:eastAsia="zh-CN"/>
              </w:rPr>
            </w:pPr>
            <w:r>
              <w:rPr>
                <w:rFonts w:hint="eastAsia"/>
                <w:snapToGrid w:val="0"/>
                <w:highlight w:val="none"/>
                <w:lang w:val="en-US" w:eastAsia="zh-CN"/>
              </w:rPr>
              <w:t>臭气浓度</w:t>
            </w:r>
          </w:p>
        </w:tc>
        <w:tc>
          <w:tcPr>
            <w:tcW w:w="1181" w:type="pct"/>
            <w:vAlign w:val="center"/>
          </w:tcPr>
          <w:p w14:paraId="2B4628F6">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w:t>
            </w:r>
          </w:p>
        </w:tc>
        <w:tc>
          <w:tcPr>
            <w:tcW w:w="403" w:type="pct"/>
            <w:vMerge w:val="continue"/>
            <w:vAlign w:val="center"/>
          </w:tcPr>
          <w:p w14:paraId="78C611AF">
            <w:pPr>
              <w:pStyle w:val="8"/>
              <w:suppressLineNumbers w:val="0"/>
              <w:bidi w:val="0"/>
              <w:spacing w:before="0" w:beforeAutospacing="0" w:after="0" w:afterAutospacing="0"/>
              <w:ind w:left="0" w:right="0"/>
              <w:rPr>
                <w:rFonts w:hint="eastAsia"/>
                <w:snapToGrid w:val="0"/>
                <w:highlight w:val="none"/>
                <w:lang w:val="en-US" w:eastAsia="zh-CN"/>
              </w:rPr>
            </w:pPr>
          </w:p>
        </w:tc>
        <w:tc>
          <w:tcPr>
            <w:tcW w:w="1365" w:type="pct"/>
            <w:vAlign w:val="center"/>
          </w:tcPr>
          <w:p w14:paraId="47258C41">
            <w:pPr>
              <w:pStyle w:val="8"/>
              <w:suppressLineNumbers w:val="0"/>
              <w:bidi w:val="0"/>
              <w:spacing w:before="0" w:beforeAutospacing="0" w:after="0" w:afterAutospacing="0"/>
              <w:ind w:left="0" w:right="0"/>
              <w:rPr>
                <w:rFonts w:hint="default"/>
                <w:snapToGrid w:val="0"/>
                <w:highlight w:val="none"/>
              </w:rPr>
            </w:pPr>
            <w:r>
              <w:rPr>
                <w:rFonts w:hint="eastAsia" w:cs="Times New Roman"/>
                <w:b w:val="0"/>
                <w:bCs w:val="0"/>
                <w:snapToGrid w:val="0"/>
                <w:color w:val="000000"/>
                <w:kern w:val="0"/>
                <w:position w:val="0"/>
                <w:sz w:val="21"/>
                <w:szCs w:val="22"/>
                <w:highlight w:val="none"/>
                <w:lang w:val="en-US" w:eastAsia="zh-CN" w:bidi="ar"/>
              </w:rPr>
              <w:t>《恶臭污染物排放标准》（GB14554-93）表1中标准</w:t>
            </w:r>
          </w:p>
        </w:tc>
        <w:tc>
          <w:tcPr>
            <w:tcW w:w="620" w:type="pct"/>
            <w:vMerge w:val="continue"/>
            <w:vAlign w:val="center"/>
          </w:tcPr>
          <w:p w14:paraId="6A7EADCC">
            <w:pPr>
              <w:pStyle w:val="8"/>
              <w:suppressLineNumbers w:val="0"/>
              <w:bidi w:val="0"/>
              <w:spacing w:before="0" w:beforeAutospacing="0" w:after="0" w:afterAutospacing="0"/>
              <w:ind w:left="0" w:right="0"/>
              <w:rPr>
                <w:rFonts w:hint="default" w:ascii="Times New Roman" w:hAnsi="Times New Roman" w:cs="Times New Roman" w:eastAsiaTheme="minorEastAsia"/>
                <w:snapToGrid w:val="0"/>
                <w:spacing w:val="0"/>
                <w:kern w:val="0"/>
                <w:position w:val="0"/>
                <w:szCs w:val="21"/>
                <w:highlight w:val="none"/>
                <w:lang w:val="zh-CN"/>
              </w:rPr>
            </w:pPr>
          </w:p>
        </w:tc>
      </w:tr>
      <w:tr w14:paraId="39750A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7" w:type="pct"/>
            <w:vMerge w:val="continue"/>
            <w:vAlign w:val="center"/>
          </w:tcPr>
          <w:p w14:paraId="788C9FAC">
            <w:pPr>
              <w:pStyle w:val="8"/>
              <w:suppressLineNumbers w:val="0"/>
              <w:bidi w:val="0"/>
              <w:spacing w:before="0" w:beforeAutospacing="0" w:after="0" w:afterAutospacing="0"/>
              <w:ind w:left="0" w:right="0"/>
              <w:rPr>
                <w:rFonts w:hint="default"/>
                <w:snapToGrid w:val="0"/>
                <w:highlight w:val="none"/>
                <w:lang w:val="zh-CN"/>
              </w:rPr>
            </w:pPr>
          </w:p>
        </w:tc>
        <w:tc>
          <w:tcPr>
            <w:tcW w:w="566" w:type="pct"/>
            <w:vMerge w:val="continue"/>
            <w:vAlign w:val="center"/>
          </w:tcPr>
          <w:p w14:paraId="4998E9F5">
            <w:pPr>
              <w:pStyle w:val="8"/>
              <w:suppressLineNumbers w:val="0"/>
              <w:bidi w:val="0"/>
              <w:spacing w:before="0" w:beforeAutospacing="0" w:after="0" w:afterAutospacing="0"/>
              <w:ind w:left="0" w:right="0"/>
              <w:rPr>
                <w:rFonts w:hint="default"/>
                <w:snapToGrid w:val="0"/>
                <w:highlight w:val="none"/>
                <w:lang w:val="en-US" w:eastAsia="zh-CN"/>
              </w:rPr>
            </w:pPr>
          </w:p>
        </w:tc>
        <w:tc>
          <w:tcPr>
            <w:tcW w:w="564" w:type="pct"/>
            <w:vAlign w:val="center"/>
          </w:tcPr>
          <w:p w14:paraId="40BF0CD9">
            <w:pPr>
              <w:pStyle w:val="8"/>
              <w:suppressLineNumbers w:val="0"/>
              <w:bidi w:val="0"/>
              <w:spacing w:before="0" w:beforeAutospacing="0" w:after="0" w:afterAutospacing="0"/>
              <w:ind w:left="0" w:right="0"/>
              <w:rPr>
                <w:rFonts w:hint="eastAsia"/>
                <w:snapToGrid w:val="0"/>
                <w:highlight w:val="none"/>
              </w:rPr>
            </w:pPr>
            <w:r>
              <w:rPr>
                <w:rFonts w:hint="eastAsia"/>
                <w:snapToGrid w:val="0"/>
                <w:highlight w:val="none"/>
                <w:lang w:val="en-US" w:eastAsia="zh-CN"/>
              </w:rPr>
              <w:t>非甲烷总烃</w:t>
            </w:r>
          </w:p>
        </w:tc>
        <w:tc>
          <w:tcPr>
            <w:tcW w:w="1181" w:type="pct"/>
            <w:vAlign w:val="center"/>
          </w:tcPr>
          <w:p w14:paraId="619A6338">
            <w:pPr>
              <w:pStyle w:val="8"/>
              <w:suppressLineNumbers w:val="0"/>
              <w:bidi w:val="0"/>
              <w:spacing w:before="0" w:beforeAutospacing="0" w:after="0" w:afterAutospacing="0"/>
              <w:ind w:left="0" w:right="0"/>
              <w:rPr>
                <w:rFonts w:hint="eastAsia"/>
                <w:snapToGrid w:val="0"/>
                <w:highlight w:val="none"/>
                <w:lang w:val="en-US" w:eastAsia="zh-CN"/>
              </w:rPr>
            </w:pPr>
            <w:r>
              <w:rPr>
                <w:rFonts w:hint="eastAsia"/>
                <w:snapToGrid w:val="0"/>
                <w:highlight w:val="none"/>
                <w:lang w:val="en-US" w:eastAsia="zh-CN"/>
              </w:rPr>
              <w:t>/</w:t>
            </w:r>
          </w:p>
        </w:tc>
        <w:tc>
          <w:tcPr>
            <w:tcW w:w="403" w:type="pct"/>
            <w:vAlign w:val="center"/>
          </w:tcPr>
          <w:p w14:paraId="46835FF0">
            <w:pPr>
              <w:pStyle w:val="8"/>
              <w:suppressLineNumbers w:val="0"/>
              <w:bidi w:val="0"/>
              <w:spacing w:before="0" w:beforeAutospacing="0" w:after="0" w:afterAutospacing="0"/>
              <w:ind w:left="0" w:right="0"/>
              <w:rPr>
                <w:rFonts w:hint="default"/>
                <w:snapToGrid w:val="0"/>
                <w:highlight w:val="none"/>
                <w:lang w:val="en-US" w:eastAsia="zh-CN"/>
              </w:rPr>
            </w:pPr>
            <w:r>
              <w:rPr>
                <w:rFonts w:hint="eastAsia"/>
                <w:snapToGrid w:val="0"/>
                <w:highlight w:val="none"/>
                <w:lang w:val="en-US" w:eastAsia="zh-CN"/>
              </w:rPr>
              <w:t>厂界、厂区内</w:t>
            </w:r>
          </w:p>
        </w:tc>
        <w:tc>
          <w:tcPr>
            <w:tcW w:w="1365" w:type="pct"/>
            <w:vAlign w:val="center"/>
          </w:tcPr>
          <w:p w14:paraId="0C165680">
            <w:pPr>
              <w:pStyle w:val="8"/>
              <w:suppressLineNumbers w:val="0"/>
              <w:bidi w:val="0"/>
              <w:spacing w:before="0" w:beforeAutospacing="0" w:after="0" w:afterAutospacing="0"/>
              <w:ind w:left="0" w:right="0"/>
              <w:rPr>
                <w:rFonts w:hint="eastAsia" w:eastAsia="宋体"/>
                <w:snapToGrid w:val="0"/>
                <w:highlight w:val="none"/>
                <w:lang w:val="en-US" w:eastAsia="zh-CN"/>
              </w:rPr>
            </w:pPr>
            <w:r>
              <w:rPr>
                <w:rFonts w:hint="default"/>
                <w:snapToGrid w:val="0"/>
                <w:highlight w:val="none"/>
              </w:rPr>
              <w:t>《大气污染物综合排放标准》（GB16297-1996）表2中无组织排放监控浓度限值要求</w:t>
            </w:r>
            <w:r>
              <w:rPr>
                <w:rFonts w:hint="eastAsia"/>
                <w:snapToGrid w:val="0"/>
                <w:highlight w:val="none"/>
                <w:lang w:eastAsia="zh-CN"/>
              </w:rPr>
              <w:t>；</w:t>
            </w:r>
            <w:r>
              <w:rPr>
                <w:rFonts w:hint="default" w:ascii="Times New Roman" w:hAnsi="Times New Roman" w:cs="Times New Roman"/>
                <w:snapToGrid w:val="0"/>
                <w:spacing w:val="0"/>
                <w:position w:val="0"/>
                <w:highlight w:val="none"/>
                <w:lang w:bidi="ar"/>
              </w:rPr>
              <w:t>厂区内非甲烷总烃排放执行《挥发性有机物无组织排放控制标准》（GB37822-2019）表A.1中排放限值标准</w:t>
            </w:r>
          </w:p>
        </w:tc>
        <w:tc>
          <w:tcPr>
            <w:tcW w:w="620" w:type="pct"/>
            <w:vMerge w:val="continue"/>
            <w:vAlign w:val="center"/>
          </w:tcPr>
          <w:p w14:paraId="6523E0DC">
            <w:pPr>
              <w:pStyle w:val="8"/>
              <w:suppressLineNumbers w:val="0"/>
              <w:bidi w:val="0"/>
              <w:spacing w:before="0" w:beforeAutospacing="0" w:after="0" w:afterAutospacing="0"/>
              <w:ind w:left="0" w:right="0"/>
              <w:rPr>
                <w:rFonts w:hint="eastAsia" w:eastAsiaTheme="minorEastAsia"/>
                <w:snapToGrid w:val="0"/>
                <w:highlight w:val="none"/>
                <w:lang w:val="zh-CN" w:eastAsia="zh-CN"/>
              </w:rPr>
            </w:pPr>
          </w:p>
        </w:tc>
      </w:tr>
      <w:tr w14:paraId="7351C2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7" w:type="pct"/>
            <w:vAlign w:val="center"/>
          </w:tcPr>
          <w:p w14:paraId="186D4879">
            <w:pPr>
              <w:pStyle w:val="8"/>
              <w:suppressLineNumbers w:val="0"/>
              <w:bidi w:val="0"/>
              <w:spacing w:before="0" w:beforeAutospacing="0" w:after="0" w:afterAutospacing="0"/>
              <w:ind w:left="0" w:right="0"/>
              <w:rPr>
                <w:rFonts w:hint="default"/>
                <w:snapToGrid w:val="0"/>
                <w:highlight w:val="none"/>
                <w:lang w:val="zh-CN"/>
              </w:rPr>
            </w:pPr>
            <w:r>
              <w:rPr>
                <w:rFonts w:hint="default"/>
                <w:snapToGrid w:val="0"/>
                <w:highlight w:val="none"/>
                <w:lang w:val="zh-CN"/>
              </w:rPr>
              <w:t>厂界噪声</w:t>
            </w:r>
          </w:p>
        </w:tc>
        <w:tc>
          <w:tcPr>
            <w:tcW w:w="566" w:type="pct"/>
            <w:vAlign w:val="center"/>
          </w:tcPr>
          <w:p w14:paraId="649F8DA8">
            <w:pPr>
              <w:pStyle w:val="8"/>
              <w:suppressLineNumbers w:val="0"/>
              <w:bidi w:val="0"/>
              <w:spacing w:before="0" w:beforeAutospacing="0" w:after="0" w:afterAutospacing="0"/>
              <w:ind w:left="0" w:right="0"/>
              <w:rPr>
                <w:rFonts w:hint="default"/>
                <w:snapToGrid w:val="0"/>
                <w:highlight w:val="none"/>
                <w:lang w:val="zh-CN"/>
              </w:rPr>
            </w:pPr>
            <w:r>
              <w:rPr>
                <w:rFonts w:hint="default"/>
                <w:snapToGrid w:val="0"/>
                <w:highlight w:val="none"/>
                <w:lang w:val="zh-CN"/>
              </w:rPr>
              <w:t>厂界</w:t>
            </w:r>
          </w:p>
        </w:tc>
        <w:tc>
          <w:tcPr>
            <w:tcW w:w="564" w:type="pct"/>
            <w:vAlign w:val="center"/>
          </w:tcPr>
          <w:p w14:paraId="62444104">
            <w:pPr>
              <w:pStyle w:val="8"/>
              <w:suppressLineNumbers w:val="0"/>
              <w:bidi w:val="0"/>
              <w:spacing w:before="0" w:beforeAutospacing="0" w:after="0" w:afterAutospacing="0"/>
              <w:ind w:left="0" w:right="0"/>
              <w:rPr>
                <w:rFonts w:hint="default"/>
                <w:snapToGrid w:val="0"/>
                <w:highlight w:val="none"/>
                <w:lang w:val="zh-CN"/>
              </w:rPr>
            </w:pPr>
            <w:r>
              <w:rPr>
                <w:rFonts w:hint="default"/>
                <w:snapToGrid w:val="0"/>
                <w:highlight w:val="none"/>
                <w:lang w:val="zh-CN"/>
              </w:rPr>
              <w:t>昼夜噪声等效A声级</w:t>
            </w:r>
          </w:p>
        </w:tc>
        <w:tc>
          <w:tcPr>
            <w:tcW w:w="1181" w:type="pct"/>
            <w:vAlign w:val="center"/>
          </w:tcPr>
          <w:p w14:paraId="48DC84E0">
            <w:pPr>
              <w:pStyle w:val="8"/>
              <w:suppressLineNumbers w:val="0"/>
              <w:bidi w:val="0"/>
              <w:spacing w:before="0" w:beforeAutospacing="0" w:after="0" w:afterAutospacing="0"/>
              <w:ind w:left="0" w:right="0"/>
              <w:rPr>
                <w:rFonts w:hint="default"/>
                <w:snapToGrid w:val="0"/>
                <w:highlight w:val="none"/>
                <w:lang w:val="zh-CN"/>
              </w:rPr>
            </w:pPr>
            <w:r>
              <w:rPr>
                <w:rFonts w:hint="default"/>
                <w:snapToGrid w:val="0"/>
                <w:highlight w:val="none"/>
              </w:rPr>
              <w:t>选用低噪声设备，基础减振，厂房隔声，定期维护</w:t>
            </w:r>
          </w:p>
        </w:tc>
        <w:tc>
          <w:tcPr>
            <w:tcW w:w="403" w:type="pct"/>
            <w:vAlign w:val="center"/>
          </w:tcPr>
          <w:p w14:paraId="6D007E76">
            <w:pPr>
              <w:pStyle w:val="8"/>
              <w:suppressLineNumbers w:val="0"/>
              <w:bidi w:val="0"/>
              <w:spacing w:before="0" w:beforeAutospacing="0" w:after="0" w:afterAutospacing="0"/>
              <w:ind w:left="0" w:right="0"/>
              <w:rPr>
                <w:rFonts w:hint="default"/>
                <w:snapToGrid w:val="0"/>
                <w:highlight w:val="none"/>
                <w:lang w:val="zh-CN"/>
              </w:rPr>
            </w:pPr>
            <w:r>
              <w:rPr>
                <w:rFonts w:hint="default"/>
                <w:snapToGrid w:val="0"/>
                <w:highlight w:val="none"/>
                <w:lang w:val="zh-CN"/>
              </w:rPr>
              <w:t>厂界外1m，高度1.2m以上</w:t>
            </w:r>
          </w:p>
        </w:tc>
        <w:tc>
          <w:tcPr>
            <w:tcW w:w="1365" w:type="pct"/>
            <w:vAlign w:val="center"/>
          </w:tcPr>
          <w:p w14:paraId="2420E306">
            <w:pPr>
              <w:pStyle w:val="8"/>
              <w:suppressLineNumbers w:val="0"/>
              <w:bidi w:val="0"/>
              <w:spacing w:before="0" w:beforeAutospacing="0" w:after="0" w:afterAutospacing="0"/>
              <w:ind w:left="0" w:right="0"/>
              <w:rPr>
                <w:rFonts w:hint="default"/>
                <w:snapToGrid w:val="0"/>
                <w:highlight w:val="none"/>
                <w:lang w:val="zh-CN"/>
              </w:rPr>
            </w:pPr>
            <w:r>
              <w:rPr>
                <w:rFonts w:hint="default"/>
                <w:snapToGrid w:val="0"/>
                <w:highlight w:val="none"/>
                <w:lang w:val="zh-CN"/>
              </w:rPr>
              <w:t>《工业企业厂界环境噪声排放标准》（GB12348-2008）表1中的</w:t>
            </w:r>
            <w:r>
              <w:rPr>
                <w:rFonts w:hint="eastAsia"/>
                <w:snapToGrid w:val="0"/>
                <w:highlight w:val="none"/>
                <w:lang w:val="en-US" w:eastAsia="zh-CN"/>
              </w:rPr>
              <w:t>1</w:t>
            </w:r>
            <w:r>
              <w:rPr>
                <w:rFonts w:hint="default"/>
                <w:snapToGrid w:val="0"/>
                <w:highlight w:val="none"/>
                <w:lang w:val="zh-CN"/>
              </w:rPr>
              <w:t>类标准限值</w:t>
            </w:r>
          </w:p>
        </w:tc>
        <w:tc>
          <w:tcPr>
            <w:tcW w:w="620" w:type="pct"/>
            <w:vAlign w:val="center"/>
          </w:tcPr>
          <w:p w14:paraId="2D866A93">
            <w:pPr>
              <w:pStyle w:val="8"/>
              <w:suppressLineNumbers w:val="0"/>
              <w:bidi w:val="0"/>
              <w:spacing w:before="0" w:beforeAutospacing="0" w:after="0" w:afterAutospacing="0"/>
              <w:ind w:left="0" w:right="0"/>
              <w:rPr>
                <w:rFonts w:hint="default"/>
                <w:snapToGrid w:val="0"/>
                <w:highlight w:val="none"/>
                <w:lang w:val="zh-CN"/>
              </w:rPr>
            </w:pPr>
            <w:r>
              <w:rPr>
                <w:rFonts w:hint="default"/>
                <w:snapToGrid w:val="0"/>
                <w:highlight w:val="none"/>
                <w:lang w:val="zh-CN"/>
              </w:rPr>
              <w:t>1次/季度</w:t>
            </w:r>
            <w:r>
              <w:rPr>
                <w:rFonts w:hint="eastAsia"/>
                <w:snapToGrid w:val="0"/>
                <w:highlight w:val="none"/>
                <w:lang w:val="zh-CN"/>
              </w:rPr>
              <w:t>（周边有噪声敏感建筑物的，应提高监测频</w:t>
            </w:r>
            <w:r>
              <w:rPr>
                <w:rFonts w:hint="eastAsia"/>
                <w:snapToGrid w:val="0"/>
                <w:highlight w:val="none"/>
                <w:lang w:val="en-US" w:eastAsia="zh-CN"/>
              </w:rPr>
              <w:t>次</w:t>
            </w:r>
            <w:r>
              <w:rPr>
                <w:rFonts w:hint="eastAsia"/>
                <w:snapToGrid w:val="0"/>
                <w:highlight w:val="none"/>
                <w:lang w:val="zh-CN"/>
              </w:rPr>
              <w:t>）</w:t>
            </w:r>
          </w:p>
        </w:tc>
      </w:tr>
      <w:tr w14:paraId="14BF40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7" w:type="pct"/>
            <w:vAlign w:val="center"/>
          </w:tcPr>
          <w:p w14:paraId="07C4FB3A">
            <w:pPr>
              <w:pStyle w:val="8"/>
              <w:suppressLineNumbers w:val="0"/>
              <w:bidi w:val="0"/>
              <w:spacing w:before="0" w:beforeAutospacing="0" w:after="0" w:afterAutospacing="0"/>
              <w:ind w:left="0" w:right="0"/>
              <w:rPr>
                <w:rFonts w:hint="default"/>
                <w:snapToGrid w:val="0"/>
                <w:highlight w:val="none"/>
                <w:lang w:val="zh-CN"/>
              </w:rPr>
            </w:pPr>
            <w:r>
              <w:rPr>
                <w:rFonts w:hint="default"/>
                <w:snapToGrid w:val="0"/>
                <w:highlight w:val="none"/>
                <w:lang w:val="zh-CN"/>
              </w:rPr>
              <w:t>地下水</w:t>
            </w:r>
          </w:p>
        </w:tc>
        <w:tc>
          <w:tcPr>
            <w:tcW w:w="566" w:type="pct"/>
            <w:vAlign w:val="center"/>
          </w:tcPr>
          <w:p w14:paraId="30B7EEC7">
            <w:pPr>
              <w:pStyle w:val="8"/>
              <w:suppressLineNumbers w:val="0"/>
              <w:bidi w:val="0"/>
              <w:spacing w:before="0" w:beforeAutospacing="0" w:after="0" w:afterAutospacing="0"/>
              <w:ind w:left="0" w:right="0"/>
              <w:rPr>
                <w:rFonts w:hint="default" w:eastAsia="宋体"/>
                <w:snapToGrid w:val="0"/>
                <w:highlight w:val="none"/>
                <w:lang w:val="en-US" w:eastAsia="zh-CN"/>
              </w:rPr>
            </w:pPr>
            <w:r>
              <w:rPr>
                <w:rFonts w:hint="eastAsia"/>
                <w:snapToGrid w:val="0"/>
                <w:highlight w:val="none"/>
                <w:lang w:val="en-US" w:eastAsia="zh-CN"/>
              </w:rPr>
              <w:t>原料贮存区、危险废物贮存库、生产车间</w:t>
            </w:r>
          </w:p>
        </w:tc>
        <w:tc>
          <w:tcPr>
            <w:tcW w:w="564" w:type="pct"/>
            <w:vAlign w:val="center"/>
          </w:tcPr>
          <w:p w14:paraId="6650B760">
            <w:pPr>
              <w:pStyle w:val="8"/>
              <w:suppressLineNumbers w:val="0"/>
              <w:bidi w:val="0"/>
              <w:spacing w:before="0" w:beforeAutospacing="0" w:after="0" w:afterAutospacing="0"/>
              <w:ind w:left="0" w:right="0"/>
              <w:rPr>
                <w:rFonts w:hint="default"/>
                <w:snapToGrid w:val="0"/>
                <w:highlight w:val="none"/>
                <w:lang w:val="zh-CN"/>
              </w:rPr>
            </w:pPr>
            <w:r>
              <w:rPr>
                <w:rFonts w:hint="default"/>
                <w:snapToGrid w:val="0"/>
                <w:highlight w:val="none"/>
                <w:lang w:val="zh-CN"/>
              </w:rPr>
              <w:t>石油类</w:t>
            </w:r>
          </w:p>
        </w:tc>
        <w:tc>
          <w:tcPr>
            <w:tcW w:w="1181" w:type="pct"/>
            <w:vAlign w:val="center"/>
          </w:tcPr>
          <w:p w14:paraId="51980884">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防渗</w:t>
            </w:r>
          </w:p>
        </w:tc>
        <w:tc>
          <w:tcPr>
            <w:tcW w:w="403" w:type="pct"/>
            <w:vAlign w:val="center"/>
          </w:tcPr>
          <w:p w14:paraId="1B175724">
            <w:pPr>
              <w:pStyle w:val="8"/>
              <w:suppressLineNumbers w:val="0"/>
              <w:bidi w:val="0"/>
              <w:spacing w:before="0" w:beforeAutospacing="0" w:after="0" w:afterAutospacing="0"/>
              <w:ind w:left="0" w:right="0"/>
              <w:rPr>
                <w:rFonts w:hint="default"/>
                <w:snapToGrid w:val="0"/>
                <w:highlight w:val="none"/>
                <w:lang w:val="zh-CN"/>
              </w:rPr>
            </w:pPr>
            <w:r>
              <w:rPr>
                <w:rFonts w:hint="default"/>
                <w:snapToGrid w:val="0"/>
                <w:highlight w:val="none"/>
                <w:lang w:val="zh-CN"/>
              </w:rPr>
              <w:t>地下水跟踪监测井</w:t>
            </w:r>
          </w:p>
        </w:tc>
        <w:tc>
          <w:tcPr>
            <w:tcW w:w="1365" w:type="pct"/>
            <w:vAlign w:val="center"/>
          </w:tcPr>
          <w:p w14:paraId="2DD9A5EA">
            <w:pPr>
              <w:pStyle w:val="8"/>
              <w:suppressLineNumbers w:val="0"/>
              <w:bidi w:val="0"/>
              <w:spacing w:before="0" w:beforeAutospacing="0" w:after="0" w:afterAutospacing="0"/>
              <w:ind w:left="0" w:right="0"/>
              <w:rPr>
                <w:rFonts w:hint="default"/>
                <w:snapToGrid w:val="0"/>
                <w:highlight w:val="none"/>
                <w:lang w:val="zh-CN"/>
              </w:rPr>
            </w:pPr>
            <w:r>
              <w:rPr>
                <w:rFonts w:hint="default"/>
                <w:snapToGrid w:val="0"/>
                <w:highlight w:val="none"/>
                <w:lang w:val="zh-CN"/>
              </w:rPr>
              <w:t>《地下水质量标准》（GB/T14848-2017）Ⅲ类</w:t>
            </w:r>
          </w:p>
        </w:tc>
        <w:tc>
          <w:tcPr>
            <w:tcW w:w="620" w:type="pct"/>
            <w:vAlign w:val="center"/>
          </w:tcPr>
          <w:p w14:paraId="1E03C75D">
            <w:pPr>
              <w:pStyle w:val="8"/>
              <w:suppressLineNumbers w:val="0"/>
              <w:bidi w:val="0"/>
              <w:spacing w:before="0" w:beforeAutospacing="0" w:after="0" w:afterAutospacing="0"/>
              <w:ind w:left="0" w:right="0"/>
              <w:rPr>
                <w:rFonts w:hint="eastAsia" w:eastAsia="宋体"/>
                <w:snapToGrid w:val="0"/>
                <w:highlight w:val="none"/>
                <w:lang w:val="zh-CN" w:eastAsia="zh-CN"/>
              </w:rPr>
            </w:pPr>
            <w:r>
              <w:rPr>
                <w:rFonts w:hint="default"/>
                <w:snapToGrid w:val="0"/>
                <w:highlight w:val="none"/>
                <w:lang w:val="zh-CN"/>
              </w:rPr>
              <w:t>1次/</w:t>
            </w:r>
            <w:r>
              <w:rPr>
                <w:rFonts w:hint="eastAsia"/>
                <w:snapToGrid w:val="0"/>
                <w:highlight w:val="none"/>
                <w:lang w:val="en-US" w:eastAsia="zh-CN"/>
              </w:rPr>
              <w:t>年</w:t>
            </w:r>
          </w:p>
        </w:tc>
      </w:tr>
    </w:tbl>
    <w:p w14:paraId="1ABC32EC">
      <w:pPr>
        <w:pStyle w:val="7"/>
        <w:bidi w:val="0"/>
        <w:rPr>
          <w:highlight w:val="none"/>
          <w:lang w:val="zh-CN"/>
        </w:rPr>
      </w:pPr>
    </w:p>
    <w:p w14:paraId="749AD72A">
      <w:pPr>
        <w:pStyle w:val="7"/>
        <w:bidi w:val="0"/>
        <w:rPr>
          <w:highlight w:val="none"/>
          <w:lang w:val="zh-CN"/>
        </w:rPr>
      </w:pPr>
      <w:r>
        <w:rPr>
          <w:rFonts w:hint="eastAsia"/>
          <w:highlight w:val="none"/>
          <w:lang w:val="en-US" w:eastAsia="zh-CN"/>
        </w:rPr>
        <w:t>续</w:t>
      </w:r>
      <w:r>
        <w:rPr>
          <w:highlight w:val="none"/>
          <w:lang w:val="zh-CN"/>
        </w:rPr>
        <w:t>表8-2-1污染源监测计划一览表</w:t>
      </w:r>
    </w:p>
    <w:tbl>
      <w:tblPr>
        <w:tblStyle w:val="71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44"/>
        <w:gridCol w:w="1605"/>
        <w:gridCol w:w="1600"/>
        <w:gridCol w:w="3350"/>
        <w:gridCol w:w="1145"/>
        <w:gridCol w:w="3870"/>
        <w:gridCol w:w="1760"/>
      </w:tblGrid>
      <w:tr w14:paraId="42C003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7" w:type="pct"/>
            <w:vAlign w:val="center"/>
          </w:tcPr>
          <w:p w14:paraId="03B637DA">
            <w:pPr>
              <w:pStyle w:val="8"/>
              <w:suppressLineNumbers w:val="0"/>
              <w:bidi w:val="0"/>
              <w:spacing w:before="0" w:beforeAutospacing="0" w:after="0" w:afterAutospacing="0"/>
              <w:ind w:left="0" w:right="0"/>
              <w:rPr>
                <w:rFonts w:hint="eastAsia" w:eastAsia="宋体"/>
                <w:snapToGrid w:val="0"/>
                <w:highlight w:val="none"/>
                <w:lang w:val="en-US" w:eastAsia="zh-CN"/>
              </w:rPr>
            </w:pPr>
            <w:r>
              <w:rPr>
                <w:rFonts w:hint="eastAsia"/>
                <w:snapToGrid w:val="0"/>
                <w:highlight w:val="none"/>
                <w:lang w:val="en-US" w:eastAsia="zh-CN"/>
              </w:rPr>
              <w:t>土壤</w:t>
            </w:r>
          </w:p>
        </w:tc>
        <w:tc>
          <w:tcPr>
            <w:tcW w:w="566" w:type="pct"/>
            <w:vAlign w:val="center"/>
          </w:tcPr>
          <w:p w14:paraId="55780C4F">
            <w:pPr>
              <w:pStyle w:val="8"/>
              <w:suppressLineNumbers w:val="0"/>
              <w:bidi w:val="0"/>
              <w:spacing w:before="0" w:beforeAutospacing="0" w:after="0" w:afterAutospacing="0"/>
              <w:ind w:left="0" w:right="0"/>
              <w:rPr>
                <w:rFonts w:hint="eastAsia"/>
                <w:snapToGrid w:val="0"/>
                <w:highlight w:val="none"/>
                <w:lang w:val="en-US" w:eastAsia="zh-CN"/>
              </w:rPr>
            </w:pPr>
            <w:r>
              <w:rPr>
                <w:rFonts w:hint="eastAsia"/>
                <w:snapToGrid w:val="0"/>
                <w:highlight w:val="none"/>
                <w:lang w:val="en-US" w:eastAsia="zh-CN"/>
              </w:rPr>
              <w:t>原料贮存区、危险废物贮存库、生产车间</w:t>
            </w:r>
          </w:p>
        </w:tc>
        <w:tc>
          <w:tcPr>
            <w:tcW w:w="564" w:type="pct"/>
            <w:vAlign w:val="center"/>
          </w:tcPr>
          <w:p w14:paraId="4F30D09D">
            <w:pPr>
              <w:pStyle w:val="8"/>
              <w:suppressLineNumbers w:val="0"/>
              <w:bidi w:val="0"/>
              <w:spacing w:before="0" w:beforeAutospacing="0" w:after="0" w:afterAutospacing="0"/>
              <w:ind w:left="0" w:right="0"/>
              <w:rPr>
                <w:rFonts w:hint="eastAsia" w:eastAsia="宋体"/>
                <w:snapToGrid w:val="0"/>
                <w:highlight w:val="none"/>
                <w:lang w:val="en-US" w:eastAsia="zh-CN"/>
              </w:rPr>
            </w:pPr>
            <w:r>
              <w:rPr>
                <w:rFonts w:hint="eastAsia"/>
                <w:snapToGrid w:val="0"/>
                <w:highlight w:val="none"/>
                <w:lang w:val="en-US" w:eastAsia="zh-CN"/>
              </w:rPr>
              <w:t>石油烃</w:t>
            </w:r>
          </w:p>
        </w:tc>
        <w:tc>
          <w:tcPr>
            <w:tcW w:w="1181" w:type="pct"/>
            <w:vAlign w:val="center"/>
          </w:tcPr>
          <w:p w14:paraId="1842E1C1">
            <w:pPr>
              <w:pStyle w:val="8"/>
              <w:suppressLineNumbers w:val="0"/>
              <w:bidi w:val="0"/>
              <w:spacing w:before="0" w:beforeAutospacing="0" w:after="0" w:afterAutospacing="0"/>
              <w:ind w:left="0" w:right="0"/>
              <w:rPr>
                <w:rFonts w:hint="default"/>
                <w:snapToGrid w:val="0"/>
                <w:highlight w:val="none"/>
              </w:rPr>
            </w:pPr>
            <w:r>
              <w:rPr>
                <w:rFonts w:hint="default"/>
                <w:snapToGrid w:val="0"/>
                <w:highlight w:val="none"/>
              </w:rPr>
              <w:t>防渗</w:t>
            </w:r>
          </w:p>
        </w:tc>
        <w:tc>
          <w:tcPr>
            <w:tcW w:w="403" w:type="pct"/>
            <w:vAlign w:val="center"/>
          </w:tcPr>
          <w:p w14:paraId="68B374D6">
            <w:pPr>
              <w:pStyle w:val="8"/>
              <w:suppressLineNumbers w:val="0"/>
              <w:bidi w:val="0"/>
              <w:spacing w:before="0" w:beforeAutospacing="0" w:after="0" w:afterAutospacing="0"/>
              <w:ind w:left="0" w:right="0"/>
              <w:rPr>
                <w:rFonts w:hint="default" w:eastAsia="宋体"/>
                <w:snapToGrid w:val="0"/>
                <w:highlight w:val="none"/>
                <w:lang w:val="en-US" w:eastAsia="zh-CN"/>
              </w:rPr>
            </w:pPr>
            <w:r>
              <w:rPr>
                <w:rFonts w:hint="eastAsia"/>
                <w:snapToGrid w:val="0"/>
                <w:highlight w:val="none"/>
                <w:lang w:val="en-US" w:eastAsia="zh-CN"/>
              </w:rPr>
              <w:t>三家子屯最近敏感点</w:t>
            </w:r>
          </w:p>
        </w:tc>
        <w:tc>
          <w:tcPr>
            <w:tcW w:w="1365" w:type="pct"/>
            <w:vAlign w:val="center"/>
          </w:tcPr>
          <w:p w14:paraId="26F3DFF4">
            <w:pPr>
              <w:pStyle w:val="40"/>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contextualSpacing w:val="0"/>
              <w:jc w:val="center"/>
              <w:textAlignment w:val="auto"/>
              <w:rPr>
                <w:rFonts w:hint="default"/>
                <w:snapToGrid w:val="0"/>
                <w:highlight w:val="none"/>
                <w:lang w:val="zh-CN"/>
              </w:rPr>
            </w:pPr>
            <w:r>
              <w:rPr>
                <w:rFonts w:hint="eastAsia" w:ascii="Times New Roman" w:hAnsi="Times New Roman" w:eastAsia="宋体" w:cs="Times New Roman"/>
                <w:b w:val="0"/>
                <w:bCs w:val="0"/>
                <w:snapToGrid w:val="0"/>
                <w:color w:val="000000"/>
                <w:kern w:val="0"/>
                <w:position w:val="0"/>
                <w:sz w:val="21"/>
                <w:szCs w:val="24"/>
                <w:highlight w:val="none"/>
                <w:lang w:val="en-US" w:eastAsia="en-US" w:bidi="ar-SA"/>
              </w:rPr>
              <w:t>《土壤环境质量建设用地土壤污染风险管控标准（试行）》（</w:t>
            </w:r>
            <w:r>
              <w:rPr>
                <w:rFonts w:hint="default" w:ascii="Times New Roman" w:hAnsi="Times New Roman" w:eastAsia="宋体" w:cs="Times New Roman"/>
                <w:b w:val="0"/>
                <w:bCs w:val="0"/>
                <w:snapToGrid w:val="0"/>
                <w:color w:val="000000"/>
                <w:kern w:val="0"/>
                <w:position w:val="0"/>
                <w:sz w:val="21"/>
                <w:szCs w:val="24"/>
                <w:highlight w:val="none"/>
                <w:lang w:val="en-US" w:eastAsia="en-US" w:bidi="ar-SA"/>
              </w:rPr>
              <w:t>GB36600-2018</w:t>
            </w:r>
            <w:r>
              <w:rPr>
                <w:rFonts w:hint="eastAsia" w:ascii="Times New Roman" w:hAnsi="Times New Roman" w:eastAsia="宋体" w:cs="Times New Roman"/>
                <w:b w:val="0"/>
                <w:bCs w:val="0"/>
                <w:snapToGrid w:val="0"/>
                <w:color w:val="000000"/>
                <w:kern w:val="0"/>
                <w:position w:val="0"/>
                <w:sz w:val="21"/>
                <w:szCs w:val="24"/>
                <w:highlight w:val="none"/>
                <w:lang w:val="en-US" w:eastAsia="en-US" w:bidi="ar-SA"/>
              </w:rPr>
              <w:t>）表</w:t>
            </w:r>
            <w:r>
              <w:rPr>
                <w:rFonts w:hint="default" w:ascii="Times New Roman" w:hAnsi="Times New Roman" w:eastAsia="宋体" w:cs="Times New Roman"/>
                <w:b w:val="0"/>
                <w:bCs w:val="0"/>
                <w:snapToGrid w:val="0"/>
                <w:color w:val="000000"/>
                <w:kern w:val="0"/>
                <w:position w:val="0"/>
                <w:sz w:val="21"/>
                <w:szCs w:val="24"/>
                <w:highlight w:val="none"/>
                <w:lang w:val="en-US" w:eastAsia="en-US" w:bidi="ar-SA"/>
              </w:rPr>
              <w:t>1</w:t>
            </w:r>
            <w:r>
              <w:rPr>
                <w:rFonts w:hint="eastAsia" w:ascii="Times New Roman" w:hAnsi="Times New Roman" w:eastAsia="宋体" w:cs="Times New Roman"/>
                <w:b w:val="0"/>
                <w:bCs w:val="0"/>
                <w:snapToGrid w:val="0"/>
                <w:color w:val="000000"/>
                <w:kern w:val="0"/>
                <w:position w:val="0"/>
                <w:sz w:val="21"/>
                <w:szCs w:val="24"/>
                <w:highlight w:val="none"/>
                <w:lang w:val="en-US" w:eastAsia="en-US" w:bidi="ar-SA"/>
              </w:rPr>
              <w:t>中第</w:t>
            </w:r>
            <w:r>
              <w:rPr>
                <w:rFonts w:hint="eastAsia" w:cs="Times New Roman"/>
                <w:b w:val="0"/>
                <w:bCs w:val="0"/>
                <w:snapToGrid w:val="0"/>
                <w:color w:val="000000"/>
                <w:kern w:val="0"/>
                <w:position w:val="0"/>
                <w:sz w:val="21"/>
                <w:szCs w:val="24"/>
                <w:highlight w:val="none"/>
                <w:lang w:val="en-US" w:eastAsia="zh-CN" w:bidi="ar-SA"/>
              </w:rPr>
              <w:t>一</w:t>
            </w:r>
            <w:r>
              <w:rPr>
                <w:rFonts w:hint="eastAsia" w:ascii="Times New Roman" w:hAnsi="Times New Roman" w:eastAsia="宋体" w:cs="Times New Roman"/>
                <w:b w:val="0"/>
                <w:bCs w:val="0"/>
                <w:snapToGrid w:val="0"/>
                <w:color w:val="000000"/>
                <w:kern w:val="0"/>
                <w:position w:val="0"/>
                <w:sz w:val="21"/>
                <w:szCs w:val="24"/>
                <w:highlight w:val="none"/>
                <w:lang w:val="en-US" w:eastAsia="en-US" w:bidi="ar-SA"/>
              </w:rPr>
              <w:t>类用地标准限值</w:t>
            </w:r>
          </w:p>
        </w:tc>
        <w:tc>
          <w:tcPr>
            <w:tcW w:w="620" w:type="pct"/>
            <w:vAlign w:val="center"/>
          </w:tcPr>
          <w:p w14:paraId="1AF66144">
            <w:pPr>
              <w:pStyle w:val="8"/>
              <w:suppressLineNumbers w:val="0"/>
              <w:bidi w:val="0"/>
              <w:spacing w:before="0" w:beforeAutospacing="0" w:after="0" w:afterAutospacing="0"/>
              <w:ind w:left="0" w:right="0"/>
              <w:rPr>
                <w:rFonts w:hint="default"/>
                <w:snapToGrid w:val="0"/>
                <w:highlight w:val="none"/>
                <w:lang w:val="zh-CN"/>
              </w:rPr>
            </w:pPr>
            <w:r>
              <w:rPr>
                <w:rFonts w:hint="default"/>
                <w:snapToGrid w:val="0"/>
                <w:highlight w:val="none"/>
                <w:lang w:val="zh-CN"/>
              </w:rPr>
              <w:t>1次/</w:t>
            </w:r>
            <w:r>
              <w:rPr>
                <w:rFonts w:hint="eastAsia"/>
                <w:snapToGrid w:val="0"/>
                <w:highlight w:val="none"/>
                <w:lang w:val="en-US" w:eastAsia="zh-CN"/>
              </w:rPr>
              <w:t>3年</w:t>
            </w:r>
          </w:p>
        </w:tc>
      </w:tr>
    </w:tbl>
    <w:p w14:paraId="433C8AE7">
      <w:pPr>
        <w:spacing w:line="360" w:lineRule="auto"/>
        <w:ind w:firstLine="480" w:firstLineChars="200"/>
        <w:contextualSpacing/>
        <w:rPr>
          <w:rFonts w:eastAsiaTheme="minorEastAsia"/>
          <w:snapToGrid w:val="0"/>
          <w:kern w:val="0"/>
          <w:sz w:val="24"/>
          <w:highlight w:val="none"/>
        </w:rPr>
        <w:sectPr>
          <w:pgSz w:w="16838" w:h="11906" w:orient="landscape"/>
          <w:pgMar w:top="1797" w:right="1440" w:bottom="1797" w:left="1440" w:header="851" w:footer="992" w:gutter="0"/>
          <w:pgBorders w:offsetFrom="page">
            <w:top w:val="none" w:sz="0" w:space="0"/>
            <w:left w:val="none" w:sz="0" w:space="0"/>
            <w:bottom w:val="none" w:sz="0" w:space="0"/>
            <w:right w:val="none" w:sz="0" w:space="0"/>
          </w:pgBorders>
          <w:cols w:space="425" w:num="1"/>
          <w:docGrid w:type="linesAndChars" w:linePitch="326" w:charSpace="0"/>
        </w:sectPr>
      </w:pPr>
    </w:p>
    <w:p w14:paraId="2C658DF4">
      <w:pPr>
        <w:bidi w:val="0"/>
        <w:rPr>
          <w:highlight w:val="none"/>
        </w:rPr>
      </w:pPr>
      <w:r>
        <w:rPr>
          <w:highlight w:val="none"/>
        </w:rPr>
        <w:t>（2）信息报告</w:t>
      </w:r>
    </w:p>
    <w:p w14:paraId="212A2E91">
      <w:pPr>
        <w:bidi w:val="0"/>
        <w:rPr>
          <w:highlight w:val="none"/>
        </w:rPr>
      </w:pPr>
      <w:r>
        <w:rPr>
          <w:highlight w:val="none"/>
        </w:rPr>
        <w:t>排污单位应编写自行监测年度报告，年度报告至少应包含以下内容：</w:t>
      </w:r>
    </w:p>
    <w:p w14:paraId="08A16D39">
      <w:pPr>
        <w:bidi w:val="0"/>
        <w:rPr>
          <w:highlight w:val="none"/>
        </w:rPr>
      </w:pPr>
      <w:r>
        <w:rPr>
          <w:highlight w:val="none"/>
        </w:rPr>
        <w:t>a）监测方案的调整变化情况及变更原因；</w:t>
      </w:r>
    </w:p>
    <w:p w14:paraId="5BAAD746">
      <w:pPr>
        <w:bidi w:val="0"/>
        <w:rPr>
          <w:highlight w:val="none"/>
        </w:rPr>
      </w:pPr>
      <w:r>
        <w:rPr>
          <w:highlight w:val="none"/>
        </w:rPr>
        <w:t>b）企业及各主要生产设施（至少涵盖废气主要污染源相关生产设施）全年运行天数，</w:t>
      </w:r>
    </w:p>
    <w:p w14:paraId="2E37F5E9">
      <w:pPr>
        <w:bidi w:val="0"/>
        <w:rPr>
          <w:highlight w:val="none"/>
        </w:rPr>
      </w:pPr>
      <w:r>
        <w:rPr>
          <w:highlight w:val="none"/>
        </w:rPr>
        <w:t>各监测点、各监测指标全年监测次数、超标情况、浓度分布情况；</w:t>
      </w:r>
    </w:p>
    <w:p w14:paraId="4115AE5B">
      <w:pPr>
        <w:bidi w:val="0"/>
        <w:rPr>
          <w:highlight w:val="none"/>
        </w:rPr>
      </w:pPr>
      <w:r>
        <w:rPr>
          <w:highlight w:val="none"/>
        </w:rPr>
        <w:t>c）按要求开展的周边环境质量影响状况监测结果；</w:t>
      </w:r>
    </w:p>
    <w:p w14:paraId="77C5141D">
      <w:pPr>
        <w:bidi w:val="0"/>
        <w:rPr>
          <w:highlight w:val="none"/>
        </w:rPr>
      </w:pPr>
      <w:r>
        <w:rPr>
          <w:highlight w:val="none"/>
        </w:rPr>
        <w:t>d）自行监测开展的其他情况说明；</w:t>
      </w:r>
    </w:p>
    <w:p w14:paraId="62ECA360">
      <w:pPr>
        <w:bidi w:val="0"/>
        <w:rPr>
          <w:highlight w:val="none"/>
        </w:rPr>
      </w:pPr>
      <w:r>
        <w:rPr>
          <w:highlight w:val="none"/>
        </w:rPr>
        <w:t>e）排污单位实现达标排放所采取的主要措施。</w:t>
      </w:r>
    </w:p>
    <w:p w14:paraId="5AF6DBEF">
      <w:pPr>
        <w:bidi w:val="0"/>
        <w:rPr>
          <w:highlight w:val="none"/>
        </w:rPr>
      </w:pPr>
      <w:r>
        <w:rPr>
          <w:highlight w:val="none"/>
        </w:rPr>
        <w:t>（3）应急报告</w:t>
      </w:r>
    </w:p>
    <w:p w14:paraId="37F5A787">
      <w:pPr>
        <w:bidi w:val="0"/>
        <w:rPr>
          <w:highlight w:val="none"/>
        </w:rPr>
      </w:pPr>
      <w:r>
        <w:rPr>
          <w:highlight w:val="none"/>
        </w:rPr>
        <w:t>监测结果出现超标的，排污单位应加密监测，并检查超标原因。短期内无法实现稳定达标排放的，应向环境保护主管部门提交事故分析报告，说明事故发生的原因，采取减轻或防止污染的措施，以及今后的预防及改进措施等；若因发生事故或者其他突发事件，排放的污水可能危及城镇排水与污水处理设施安全运行的，应当立即采取措施消除危害，并及时向城镇排水主管部门和环境保护主管部门等有关部门报告。</w:t>
      </w:r>
    </w:p>
    <w:p w14:paraId="577B1766">
      <w:pPr>
        <w:bidi w:val="0"/>
        <w:rPr>
          <w:highlight w:val="none"/>
        </w:rPr>
      </w:pPr>
      <w:r>
        <w:rPr>
          <w:highlight w:val="none"/>
        </w:rPr>
        <w:t>（4）信息公开</w:t>
      </w:r>
    </w:p>
    <w:p w14:paraId="7246145C">
      <w:pPr>
        <w:bidi w:val="0"/>
        <w:rPr>
          <w:rFonts w:eastAsiaTheme="minorEastAsia"/>
          <w:snapToGrid w:val="0"/>
          <w:highlight w:val="none"/>
        </w:rPr>
      </w:pPr>
      <w:r>
        <w:rPr>
          <w:highlight w:val="none"/>
        </w:rPr>
        <w:t>排污单位自行监测信息公开内容及方式按照《企业事业单位环境信息公开办法》（环境保护部令第31号）、《国家重点监控企业自行监测及信息公开办法（试行）》（环发[2013]81号）、《排污单位自行监测技术指南总则》（HJ819-2017）执行。非重点排污单位的信息</w:t>
      </w:r>
      <w:r>
        <w:rPr>
          <w:rFonts w:hAnsiTheme="minorEastAsia" w:eastAsiaTheme="minorEastAsia"/>
          <w:snapToGrid w:val="0"/>
          <w:highlight w:val="none"/>
        </w:rPr>
        <w:t>公开要求由地方环境保护主管部门确定。</w:t>
      </w:r>
    </w:p>
    <w:p w14:paraId="2AD1CB35">
      <w:pPr>
        <w:pStyle w:val="3"/>
        <w:bidi w:val="0"/>
        <w:rPr>
          <w:highlight w:val="none"/>
        </w:rPr>
      </w:pPr>
      <w:bookmarkStart w:id="633" w:name="_Toc28787"/>
      <w:bookmarkStart w:id="634" w:name="_Toc4398"/>
      <w:bookmarkStart w:id="635" w:name="_Toc11758579"/>
      <w:bookmarkStart w:id="636" w:name="_Toc3107"/>
      <w:r>
        <w:rPr>
          <w:highlight w:val="none"/>
        </w:rPr>
        <w:t>8.3环境保护竣工验收</w:t>
      </w:r>
      <w:bookmarkEnd w:id="633"/>
      <w:bookmarkEnd w:id="634"/>
      <w:bookmarkEnd w:id="635"/>
      <w:bookmarkEnd w:id="636"/>
    </w:p>
    <w:p w14:paraId="69C991B8">
      <w:pPr>
        <w:bidi w:val="0"/>
        <w:rPr>
          <w:highlight w:val="none"/>
        </w:rPr>
      </w:pPr>
      <w:r>
        <w:rPr>
          <w:highlight w:val="none"/>
        </w:rPr>
        <w:t>本项目中的污染防治措施必须与主体工程同时设计、同时施工、同时投产使用。防治污染的设施必须经原审批环境影响报告书的环境保护行政主管部门验收合格后，项目方可投入生产和使用。</w:t>
      </w:r>
    </w:p>
    <w:p w14:paraId="1F3E4B5C">
      <w:pPr>
        <w:bidi w:val="0"/>
        <w:rPr>
          <w:rFonts w:eastAsiaTheme="minorEastAsia"/>
          <w:snapToGrid w:val="0"/>
          <w:kern w:val="0"/>
          <w:highlight w:val="none"/>
        </w:rPr>
        <w:sectPr>
          <w:pgSz w:w="11906" w:h="16838"/>
          <w:pgMar w:top="1440" w:right="1797" w:bottom="1440" w:left="1797" w:header="851" w:footer="992" w:gutter="0"/>
          <w:pgBorders w:offsetFrom="page">
            <w:top w:val="none" w:sz="0" w:space="0"/>
            <w:left w:val="none" w:sz="0" w:space="0"/>
            <w:bottom w:val="none" w:sz="0" w:space="0"/>
            <w:right w:val="none" w:sz="0" w:space="0"/>
          </w:pgBorders>
          <w:cols w:space="425" w:num="1"/>
          <w:docGrid w:type="linesAndChars" w:linePitch="326" w:charSpace="0"/>
        </w:sectPr>
      </w:pPr>
      <w:r>
        <w:rPr>
          <w:highlight w:val="none"/>
        </w:rPr>
        <w:t>拟建项目建成后，环境保护措施竣工验收情况详见表8-3-1。</w:t>
      </w:r>
    </w:p>
    <w:p w14:paraId="6ECA4F7F">
      <w:pPr>
        <w:pStyle w:val="7"/>
        <w:bidi w:val="0"/>
        <w:rPr>
          <w:highlight w:val="none"/>
          <w:lang w:val="zh-CN"/>
        </w:rPr>
      </w:pPr>
      <w:r>
        <w:rPr>
          <w:highlight w:val="none"/>
          <w:lang w:val="zh-CN"/>
        </w:rPr>
        <w:t>表8-3-1建设项目竣工环境保护验收一览表</w:t>
      </w:r>
    </w:p>
    <w:tbl>
      <w:tblPr>
        <w:tblStyle w:val="45"/>
        <w:tblW w:w="503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5"/>
        <w:gridCol w:w="1129"/>
        <w:gridCol w:w="1552"/>
        <w:gridCol w:w="1486"/>
        <w:gridCol w:w="4861"/>
        <w:gridCol w:w="4439"/>
      </w:tblGrid>
      <w:tr w14:paraId="6172AD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8" w:hRule="atLeast"/>
          <w:jc w:val="center"/>
        </w:trPr>
        <w:tc>
          <w:tcPr>
            <w:tcW w:w="815" w:type="dxa"/>
            <w:shd w:val="clear" w:color="auto" w:fill="auto"/>
            <w:vAlign w:val="center"/>
          </w:tcPr>
          <w:p w14:paraId="5167ADB1">
            <w:pPr>
              <w:pStyle w:val="8"/>
              <w:suppressLineNumbers w:val="0"/>
              <w:bidi w:val="0"/>
              <w:spacing w:before="0" w:beforeAutospacing="0" w:after="0" w:afterAutospacing="0"/>
              <w:ind w:left="0" w:right="0"/>
              <w:rPr>
                <w:rFonts w:hint="default"/>
                <w:highlight w:val="none"/>
              </w:rPr>
            </w:pPr>
            <w:r>
              <w:rPr>
                <w:rFonts w:hint="default"/>
                <w:highlight w:val="none"/>
              </w:rPr>
              <w:t>类型</w:t>
            </w:r>
          </w:p>
        </w:tc>
        <w:tc>
          <w:tcPr>
            <w:tcW w:w="1129" w:type="dxa"/>
            <w:shd w:val="clear" w:color="auto" w:fill="auto"/>
            <w:vAlign w:val="center"/>
          </w:tcPr>
          <w:p w14:paraId="4C1439F4">
            <w:pPr>
              <w:pStyle w:val="8"/>
              <w:suppressLineNumbers w:val="0"/>
              <w:bidi w:val="0"/>
              <w:spacing w:before="0" w:beforeAutospacing="0" w:after="0" w:afterAutospacing="0"/>
              <w:ind w:left="0" w:right="0"/>
              <w:rPr>
                <w:rFonts w:hint="default"/>
                <w:highlight w:val="none"/>
              </w:rPr>
            </w:pPr>
            <w:r>
              <w:rPr>
                <w:rFonts w:hint="default"/>
                <w:highlight w:val="none"/>
              </w:rPr>
              <w:t>类别</w:t>
            </w:r>
          </w:p>
        </w:tc>
        <w:tc>
          <w:tcPr>
            <w:tcW w:w="1552" w:type="dxa"/>
            <w:shd w:val="clear" w:color="auto" w:fill="auto"/>
            <w:vAlign w:val="center"/>
          </w:tcPr>
          <w:p w14:paraId="75D74FE0">
            <w:pPr>
              <w:pStyle w:val="8"/>
              <w:suppressLineNumbers w:val="0"/>
              <w:bidi w:val="0"/>
              <w:spacing w:before="0" w:beforeAutospacing="0" w:after="0" w:afterAutospacing="0"/>
              <w:ind w:left="0" w:right="0"/>
              <w:rPr>
                <w:rFonts w:hint="default"/>
                <w:highlight w:val="none"/>
              </w:rPr>
            </w:pPr>
            <w:r>
              <w:rPr>
                <w:rFonts w:hint="default"/>
                <w:highlight w:val="none"/>
              </w:rPr>
              <w:t>污染源</w:t>
            </w:r>
          </w:p>
        </w:tc>
        <w:tc>
          <w:tcPr>
            <w:tcW w:w="1486" w:type="dxa"/>
            <w:shd w:val="clear" w:color="auto" w:fill="auto"/>
            <w:vAlign w:val="center"/>
          </w:tcPr>
          <w:p w14:paraId="3B25A699">
            <w:pPr>
              <w:pStyle w:val="8"/>
              <w:suppressLineNumbers w:val="0"/>
              <w:bidi w:val="0"/>
              <w:spacing w:before="0" w:beforeAutospacing="0" w:after="0" w:afterAutospacing="0"/>
              <w:ind w:left="0" w:right="0"/>
              <w:rPr>
                <w:rFonts w:hint="default"/>
                <w:highlight w:val="none"/>
              </w:rPr>
            </w:pPr>
            <w:r>
              <w:rPr>
                <w:rFonts w:hint="default"/>
                <w:highlight w:val="none"/>
              </w:rPr>
              <w:t>污染物</w:t>
            </w:r>
          </w:p>
        </w:tc>
        <w:tc>
          <w:tcPr>
            <w:tcW w:w="4861" w:type="dxa"/>
            <w:shd w:val="clear" w:color="auto" w:fill="auto"/>
            <w:vAlign w:val="center"/>
          </w:tcPr>
          <w:p w14:paraId="42D4E7AA">
            <w:pPr>
              <w:pStyle w:val="8"/>
              <w:suppressLineNumbers w:val="0"/>
              <w:bidi w:val="0"/>
              <w:spacing w:before="0" w:beforeAutospacing="0" w:after="0" w:afterAutospacing="0"/>
              <w:ind w:left="0" w:right="0"/>
              <w:rPr>
                <w:rFonts w:hint="default"/>
                <w:highlight w:val="none"/>
              </w:rPr>
            </w:pPr>
            <w:r>
              <w:rPr>
                <w:rFonts w:hint="default"/>
                <w:highlight w:val="none"/>
              </w:rPr>
              <w:t>建设内容</w:t>
            </w:r>
          </w:p>
        </w:tc>
        <w:tc>
          <w:tcPr>
            <w:tcW w:w="4439" w:type="dxa"/>
            <w:shd w:val="clear" w:color="auto" w:fill="auto"/>
            <w:vAlign w:val="center"/>
          </w:tcPr>
          <w:p w14:paraId="3208E0A8">
            <w:pPr>
              <w:pStyle w:val="8"/>
              <w:suppressLineNumbers w:val="0"/>
              <w:bidi w:val="0"/>
              <w:spacing w:before="0" w:beforeAutospacing="0" w:after="0" w:afterAutospacing="0"/>
              <w:ind w:left="0" w:right="0"/>
              <w:rPr>
                <w:rFonts w:hint="default"/>
                <w:highlight w:val="none"/>
              </w:rPr>
            </w:pPr>
            <w:r>
              <w:rPr>
                <w:rFonts w:hint="default"/>
                <w:highlight w:val="none"/>
              </w:rPr>
              <w:t>验收标准</w:t>
            </w:r>
          </w:p>
        </w:tc>
      </w:tr>
      <w:tr w14:paraId="370D7A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815" w:type="dxa"/>
            <w:vMerge w:val="restart"/>
            <w:shd w:val="clear" w:color="auto" w:fill="auto"/>
            <w:vAlign w:val="center"/>
          </w:tcPr>
          <w:p w14:paraId="07349C69">
            <w:pPr>
              <w:pStyle w:val="8"/>
              <w:suppressLineNumbers w:val="0"/>
              <w:bidi w:val="0"/>
              <w:spacing w:before="0" w:beforeAutospacing="0" w:after="0" w:afterAutospacing="0"/>
              <w:ind w:left="0" w:right="0"/>
              <w:rPr>
                <w:rFonts w:hint="default"/>
                <w:highlight w:val="none"/>
              </w:rPr>
            </w:pPr>
            <w:r>
              <w:rPr>
                <w:rFonts w:hint="default"/>
                <w:highlight w:val="none"/>
              </w:rPr>
              <w:t>废气</w:t>
            </w:r>
          </w:p>
        </w:tc>
        <w:tc>
          <w:tcPr>
            <w:tcW w:w="1129" w:type="dxa"/>
            <w:vMerge w:val="restart"/>
            <w:shd w:val="clear" w:color="auto" w:fill="auto"/>
            <w:vAlign w:val="center"/>
          </w:tcPr>
          <w:p w14:paraId="002658E1">
            <w:pPr>
              <w:pStyle w:val="8"/>
              <w:suppressLineNumbers w:val="0"/>
              <w:bidi w:val="0"/>
              <w:spacing w:before="0" w:beforeAutospacing="0" w:after="0" w:afterAutospacing="0"/>
              <w:ind w:left="0" w:right="0"/>
              <w:rPr>
                <w:rFonts w:hint="default" w:eastAsia="宋体"/>
                <w:highlight w:val="none"/>
                <w:lang w:val="en-US" w:eastAsia="zh-CN"/>
              </w:rPr>
            </w:pPr>
            <w:r>
              <w:rPr>
                <w:rFonts w:hint="eastAsia"/>
                <w:highlight w:val="none"/>
                <w:lang w:val="en-US" w:eastAsia="zh-CN"/>
              </w:rPr>
              <w:t>有组织</w:t>
            </w:r>
          </w:p>
        </w:tc>
        <w:tc>
          <w:tcPr>
            <w:tcW w:w="1552" w:type="dxa"/>
            <w:vMerge w:val="restart"/>
            <w:shd w:val="clear" w:color="auto" w:fill="auto"/>
            <w:vAlign w:val="center"/>
          </w:tcPr>
          <w:p w14:paraId="54664CC9">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DA067</w:t>
            </w:r>
            <w:r>
              <w:rPr>
                <w:rFonts w:hint="default"/>
                <w:highlight w:val="none"/>
                <w:lang w:val="en-US" w:eastAsia="zh-CN"/>
              </w:rPr>
              <w:t>排气筒</w:t>
            </w:r>
          </w:p>
        </w:tc>
        <w:tc>
          <w:tcPr>
            <w:tcW w:w="1486" w:type="dxa"/>
            <w:shd w:val="clear" w:color="auto" w:fill="auto"/>
            <w:vAlign w:val="center"/>
          </w:tcPr>
          <w:p w14:paraId="517DA668">
            <w:pPr>
              <w:pStyle w:val="8"/>
              <w:suppressLineNumbers w:val="0"/>
              <w:bidi w:val="0"/>
              <w:spacing w:before="0" w:beforeAutospacing="0" w:after="0" w:afterAutospacing="0"/>
              <w:ind w:left="0" w:right="0"/>
              <w:rPr>
                <w:rFonts w:hint="default" w:eastAsia="宋体"/>
                <w:highlight w:val="none"/>
                <w:lang w:val="en-US" w:eastAsia="zh-CN"/>
              </w:rPr>
            </w:pPr>
            <w:r>
              <w:rPr>
                <w:rFonts w:hint="eastAsia"/>
                <w:highlight w:val="none"/>
                <w:lang w:val="en-US" w:eastAsia="zh-CN"/>
              </w:rPr>
              <w:t>非甲烷总烃</w:t>
            </w:r>
            <w:r>
              <w:rPr>
                <w:rFonts w:hint="eastAsia"/>
                <w:highlight w:val="none"/>
                <w:lang w:eastAsia="zh-CN"/>
              </w:rPr>
              <w:t>、</w:t>
            </w:r>
            <w:r>
              <w:rPr>
                <w:rFonts w:hint="eastAsia"/>
                <w:highlight w:val="none"/>
                <w:lang w:val="en-US" w:eastAsia="zh-CN"/>
              </w:rPr>
              <w:t>颗粒物</w:t>
            </w:r>
          </w:p>
        </w:tc>
        <w:tc>
          <w:tcPr>
            <w:tcW w:w="4861" w:type="dxa"/>
            <w:vMerge w:val="restart"/>
            <w:vAlign w:val="center"/>
          </w:tcPr>
          <w:p w14:paraId="188E99AF">
            <w:pPr>
              <w:pStyle w:val="8"/>
              <w:suppressLineNumbers w:val="0"/>
              <w:bidi w:val="0"/>
              <w:spacing w:before="0" w:beforeAutospacing="0" w:after="0" w:afterAutospacing="0"/>
              <w:ind w:left="0" w:leftChars="0" w:right="0" w:rightChars="0" w:firstLine="0" w:firstLineChars="0"/>
              <w:rPr>
                <w:rFonts w:hint="default"/>
                <w:highlight w:val="none"/>
              </w:rPr>
            </w:pPr>
            <w:r>
              <w:rPr>
                <w:rFonts w:hint="eastAsia"/>
                <w:snapToGrid w:val="0"/>
                <w:highlight w:val="none"/>
                <w:lang w:val="en-US" w:eastAsia="zh-CN"/>
              </w:rPr>
              <w:t>废气收集后经油雾净化器+活性炭吸附装置处理后由23m高排气筒（DA067）排放</w:t>
            </w:r>
          </w:p>
        </w:tc>
        <w:tc>
          <w:tcPr>
            <w:tcW w:w="4439" w:type="dxa"/>
            <w:shd w:val="clear" w:color="auto" w:fill="auto"/>
            <w:vAlign w:val="center"/>
          </w:tcPr>
          <w:p w14:paraId="4B2D88C1">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《大气污染物综合排放标准》（</w:t>
            </w:r>
            <w:r>
              <w:rPr>
                <w:rFonts w:hint="default"/>
                <w:highlight w:val="none"/>
                <w:lang w:val="en-US" w:eastAsia="zh-CN"/>
              </w:rPr>
              <w:t>GB16297-1996</w:t>
            </w:r>
            <w:r>
              <w:rPr>
                <w:rFonts w:hint="eastAsia"/>
                <w:highlight w:val="none"/>
                <w:lang w:val="en-US" w:eastAsia="zh-CN"/>
              </w:rPr>
              <w:t>）表</w:t>
            </w:r>
            <w:r>
              <w:rPr>
                <w:rFonts w:hint="default"/>
                <w:highlight w:val="none"/>
                <w:lang w:val="en-US" w:eastAsia="zh-CN"/>
              </w:rPr>
              <w:t>2</w:t>
            </w:r>
            <w:r>
              <w:rPr>
                <w:rFonts w:hint="eastAsia"/>
                <w:highlight w:val="none"/>
                <w:lang w:val="en-US" w:eastAsia="zh-CN"/>
              </w:rPr>
              <w:t>中二级标准</w:t>
            </w:r>
          </w:p>
        </w:tc>
      </w:tr>
      <w:tr w14:paraId="13AA0B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815" w:type="dxa"/>
            <w:vMerge w:val="continue"/>
            <w:shd w:val="clear" w:color="auto" w:fill="auto"/>
            <w:vAlign w:val="center"/>
          </w:tcPr>
          <w:p w14:paraId="0779E2B1">
            <w:pPr>
              <w:pStyle w:val="8"/>
              <w:suppressLineNumbers w:val="0"/>
              <w:bidi w:val="0"/>
              <w:spacing w:before="0" w:beforeAutospacing="0" w:after="0" w:afterAutospacing="0"/>
              <w:ind w:left="0" w:right="0"/>
              <w:rPr>
                <w:rFonts w:hint="default"/>
                <w:highlight w:val="none"/>
              </w:rPr>
            </w:pPr>
          </w:p>
        </w:tc>
        <w:tc>
          <w:tcPr>
            <w:tcW w:w="1129" w:type="dxa"/>
            <w:vMerge w:val="continue"/>
            <w:tcBorders/>
            <w:shd w:val="clear" w:color="auto" w:fill="auto"/>
            <w:vAlign w:val="center"/>
          </w:tcPr>
          <w:p w14:paraId="288E8D44">
            <w:pPr>
              <w:pStyle w:val="8"/>
              <w:suppressLineNumbers w:val="0"/>
              <w:bidi w:val="0"/>
              <w:spacing w:before="0" w:beforeAutospacing="0" w:after="0" w:afterAutospacing="0"/>
              <w:ind w:left="0" w:right="0"/>
              <w:rPr>
                <w:rFonts w:hint="eastAsia"/>
                <w:highlight w:val="none"/>
                <w:lang w:val="en-US" w:eastAsia="zh-CN"/>
              </w:rPr>
            </w:pPr>
          </w:p>
        </w:tc>
        <w:tc>
          <w:tcPr>
            <w:tcW w:w="1552" w:type="dxa"/>
            <w:vMerge w:val="continue"/>
            <w:shd w:val="clear" w:color="auto" w:fill="auto"/>
            <w:vAlign w:val="center"/>
          </w:tcPr>
          <w:p w14:paraId="414349EB">
            <w:pPr>
              <w:pStyle w:val="8"/>
              <w:suppressLineNumbers w:val="0"/>
              <w:bidi w:val="0"/>
              <w:spacing w:before="0" w:beforeAutospacing="0" w:after="0" w:afterAutospacing="0"/>
              <w:ind w:left="0" w:right="0"/>
              <w:rPr>
                <w:rFonts w:hint="default"/>
                <w:highlight w:val="none"/>
                <w:lang w:val="en-US" w:eastAsia="zh-CN"/>
              </w:rPr>
            </w:pPr>
          </w:p>
        </w:tc>
        <w:tc>
          <w:tcPr>
            <w:tcW w:w="1486" w:type="dxa"/>
            <w:shd w:val="clear" w:color="auto" w:fill="auto"/>
            <w:vAlign w:val="center"/>
          </w:tcPr>
          <w:p w14:paraId="09677023">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臭气浓度</w:t>
            </w:r>
          </w:p>
        </w:tc>
        <w:tc>
          <w:tcPr>
            <w:tcW w:w="4861" w:type="dxa"/>
            <w:vMerge w:val="continue"/>
            <w:vAlign w:val="center"/>
          </w:tcPr>
          <w:p w14:paraId="282C6260">
            <w:pPr>
              <w:pStyle w:val="8"/>
              <w:suppressLineNumbers w:val="0"/>
              <w:bidi w:val="0"/>
              <w:spacing w:before="0" w:beforeAutospacing="0" w:after="0" w:afterAutospacing="0"/>
              <w:ind w:left="0" w:right="0"/>
              <w:rPr>
                <w:rFonts w:hint="eastAsia"/>
                <w:snapToGrid w:val="0"/>
                <w:highlight w:val="none"/>
                <w:lang w:val="en-US" w:eastAsia="zh-CN"/>
              </w:rPr>
            </w:pPr>
          </w:p>
        </w:tc>
        <w:tc>
          <w:tcPr>
            <w:tcW w:w="4439" w:type="dxa"/>
            <w:shd w:val="clear" w:color="auto" w:fill="auto"/>
            <w:vAlign w:val="center"/>
          </w:tcPr>
          <w:p w14:paraId="17D87072">
            <w:pPr>
              <w:pStyle w:val="8"/>
              <w:suppressLineNumbers w:val="0"/>
              <w:bidi w:val="0"/>
              <w:spacing w:before="0" w:beforeAutospacing="0" w:after="0" w:afterAutospacing="0"/>
              <w:ind w:left="0" w:right="0"/>
              <w:rPr>
                <w:rFonts w:hint="eastAsia"/>
                <w:highlight w:val="none"/>
                <w:lang w:val="en-US" w:eastAsia="zh-CN"/>
              </w:rPr>
            </w:pPr>
            <w:r>
              <w:rPr>
                <w:rFonts w:hint="eastAsia" w:cs="Times New Roman"/>
                <w:b w:val="0"/>
                <w:bCs w:val="0"/>
                <w:snapToGrid w:val="0"/>
                <w:color w:val="000000"/>
                <w:kern w:val="0"/>
                <w:position w:val="0"/>
                <w:sz w:val="21"/>
                <w:szCs w:val="22"/>
                <w:highlight w:val="none"/>
                <w:lang w:val="en-US" w:eastAsia="zh-CN" w:bidi="ar"/>
              </w:rPr>
              <w:t>《恶臭污染物排放标准》（GB14554-93）表2中标准</w:t>
            </w:r>
          </w:p>
        </w:tc>
      </w:tr>
      <w:tr w14:paraId="5817FF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815" w:type="dxa"/>
            <w:vMerge w:val="continue"/>
            <w:shd w:val="clear" w:color="auto" w:fill="auto"/>
            <w:vAlign w:val="center"/>
          </w:tcPr>
          <w:p w14:paraId="5B091023">
            <w:pPr>
              <w:pStyle w:val="8"/>
              <w:suppressLineNumbers w:val="0"/>
              <w:bidi w:val="0"/>
              <w:spacing w:before="0" w:beforeAutospacing="0" w:after="0" w:afterAutospacing="0"/>
              <w:ind w:left="0" w:right="0"/>
              <w:rPr>
                <w:rFonts w:hint="default"/>
                <w:highlight w:val="none"/>
              </w:rPr>
            </w:pPr>
          </w:p>
        </w:tc>
        <w:tc>
          <w:tcPr>
            <w:tcW w:w="1129" w:type="dxa"/>
            <w:vMerge w:val="continue"/>
            <w:tcBorders/>
            <w:shd w:val="clear" w:color="auto" w:fill="auto"/>
            <w:vAlign w:val="center"/>
          </w:tcPr>
          <w:p w14:paraId="5296FCDF">
            <w:pPr>
              <w:pStyle w:val="8"/>
              <w:suppressLineNumbers w:val="0"/>
              <w:bidi w:val="0"/>
              <w:spacing w:before="0" w:beforeAutospacing="0" w:after="0" w:afterAutospacing="0"/>
              <w:ind w:left="0" w:right="0"/>
              <w:rPr>
                <w:rFonts w:hint="eastAsia"/>
                <w:highlight w:val="none"/>
                <w:lang w:val="en-US" w:eastAsia="zh-CN"/>
              </w:rPr>
            </w:pPr>
          </w:p>
        </w:tc>
        <w:tc>
          <w:tcPr>
            <w:tcW w:w="1552" w:type="dxa"/>
            <w:shd w:val="clear" w:color="auto" w:fill="auto"/>
            <w:vAlign w:val="center"/>
          </w:tcPr>
          <w:p w14:paraId="26E4177E">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DA066</w:t>
            </w:r>
            <w:r>
              <w:rPr>
                <w:rFonts w:hint="default"/>
                <w:highlight w:val="none"/>
                <w:lang w:val="en-US" w:eastAsia="zh-CN"/>
              </w:rPr>
              <w:t>排气筒</w:t>
            </w:r>
          </w:p>
        </w:tc>
        <w:tc>
          <w:tcPr>
            <w:tcW w:w="1486" w:type="dxa"/>
            <w:shd w:val="clear" w:color="auto" w:fill="auto"/>
            <w:vAlign w:val="center"/>
          </w:tcPr>
          <w:p w14:paraId="2237C5D5">
            <w:pPr>
              <w:pStyle w:val="8"/>
              <w:suppressLineNumbers w:val="0"/>
              <w:bidi w:val="0"/>
              <w:spacing w:before="0" w:beforeAutospacing="0" w:after="0" w:afterAutospacing="0"/>
              <w:ind w:left="0" w:right="0"/>
              <w:rPr>
                <w:rFonts w:hint="eastAsia"/>
                <w:highlight w:val="none"/>
                <w:lang w:val="en-US" w:eastAsia="zh-CN"/>
              </w:rPr>
            </w:pPr>
            <w:r>
              <w:rPr>
                <w:rFonts w:hint="eastAsia"/>
                <w:highlight w:val="none"/>
                <w:lang w:val="en-US" w:eastAsia="zh-CN"/>
              </w:rPr>
              <w:t>非甲烷总烃</w:t>
            </w:r>
          </w:p>
        </w:tc>
        <w:tc>
          <w:tcPr>
            <w:tcW w:w="4861" w:type="dxa"/>
            <w:vAlign w:val="center"/>
          </w:tcPr>
          <w:p w14:paraId="2DCFA7F4">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textAlignment w:val="auto"/>
              <w:rPr>
                <w:rFonts w:hint="eastAsia"/>
                <w:snapToGrid w:val="0"/>
                <w:highlight w:val="none"/>
                <w:lang w:val="en-US" w:eastAsia="zh-CN"/>
              </w:rPr>
            </w:pPr>
            <w:r>
              <w:rPr>
                <w:rFonts w:hint="eastAsia" w:ascii="Times New Roman" w:hAnsi="Times New Roman" w:eastAsia="宋体" w:cs="Times New Roman"/>
                <w:color w:val="000000"/>
                <w:kern w:val="0"/>
                <w:sz w:val="21"/>
                <w:szCs w:val="24"/>
                <w:highlight w:val="none"/>
                <w:lang w:val="en-US" w:eastAsia="zh-CN" w:bidi="ar-SA"/>
              </w:rPr>
              <w:t>废气收集后经油雾净化器装置处理后由23m高排气筒（DA0</w:t>
            </w:r>
            <w:r>
              <w:rPr>
                <w:rFonts w:hint="eastAsia" w:cs="Times New Roman"/>
                <w:color w:val="000000"/>
                <w:kern w:val="0"/>
                <w:sz w:val="21"/>
                <w:szCs w:val="24"/>
                <w:highlight w:val="none"/>
                <w:lang w:val="en-US" w:eastAsia="zh-CN" w:bidi="ar-SA"/>
              </w:rPr>
              <w:t>66</w:t>
            </w:r>
            <w:r>
              <w:rPr>
                <w:rFonts w:hint="eastAsia" w:ascii="Times New Roman" w:hAnsi="Times New Roman" w:eastAsia="宋体" w:cs="Times New Roman"/>
                <w:color w:val="000000"/>
                <w:kern w:val="0"/>
                <w:sz w:val="21"/>
                <w:szCs w:val="24"/>
                <w:highlight w:val="none"/>
                <w:lang w:val="en-US" w:eastAsia="zh-CN" w:bidi="ar-SA"/>
              </w:rPr>
              <w:t>）排放</w:t>
            </w:r>
          </w:p>
        </w:tc>
        <w:tc>
          <w:tcPr>
            <w:tcW w:w="4439" w:type="dxa"/>
            <w:vMerge w:val="restart"/>
            <w:shd w:val="clear" w:color="auto" w:fill="auto"/>
            <w:vAlign w:val="center"/>
          </w:tcPr>
          <w:p w14:paraId="237A89D6">
            <w:pPr>
              <w:pStyle w:val="8"/>
              <w:suppressLineNumbers w:val="0"/>
              <w:bidi w:val="0"/>
              <w:spacing w:before="0" w:beforeAutospacing="0" w:after="0" w:afterAutospacing="0"/>
              <w:ind w:left="0" w:right="0"/>
              <w:rPr>
                <w:rFonts w:hint="eastAsia" w:cs="Times New Roman"/>
                <w:b w:val="0"/>
                <w:bCs w:val="0"/>
                <w:snapToGrid w:val="0"/>
                <w:color w:val="000000"/>
                <w:kern w:val="0"/>
                <w:position w:val="0"/>
                <w:sz w:val="21"/>
                <w:szCs w:val="22"/>
                <w:highlight w:val="none"/>
                <w:lang w:val="en-US" w:eastAsia="zh-CN" w:bidi="ar"/>
              </w:rPr>
            </w:pPr>
            <w:r>
              <w:rPr>
                <w:rFonts w:hint="eastAsia"/>
                <w:highlight w:val="none"/>
                <w:lang w:val="en-US" w:eastAsia="zh-CN"/>
              </w:rPr>
              <w:t>《大气污染物综合排放标准》（</w:t>
            </w:r>
            <w:r>
              <w:rPr>
                <w:rFonts w:hint="default"/>
                <w:highlight w:val="none"/>
                <w:lang w:val="en-US" w:eastAsia="zh-CN"/>
              </w:rPr>
              <w:t>GB16297-1996</w:t>
            </w:r>
            <w:r>
              <w:rPr>
                <w:rFonts w:hint="eastAsia"/>
                <w:highlight w:val="none"/>
                <w:lang w:val="en-US" w:eastAsia="zh-CN"/>
              </w:rPr>
              <w:t>）表</w:t>
            </w:r>
            <w:r>
              <w:rPr>
                <w:rFonts w:hint="default"/>
                <w:highlight w:val="none"/>
                <w:lang w:val="en-US" w:eastAsia="zh-CN"/>
              </w:rPr>
              <w:t>2</w:t>
            </w:r>
            <w:r>
              <w:rPr>
                <w:rFonts w:hint="eastAsia"/>
                <w:highlight w:val="none"/>
                <w:lang w:val="en-US" w:eastAsia="zh-CN"/>
              </w:rPr>
              <w:t>中二级标</w:t>
            </w:r>
          </w:p>
        </w:tc>
      </w:tr>
      <w:tr w14:paraId="6371A1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815" w:type="dxa"/>
            <w:vMerge w:val="continue"/>
            <w:shd w:val="clear" w:color="auto" w:fill="auto"/>
            <w:vAlign w:val="center"/>
          </w:tcPr>
          <w:p w14:paraId="1C621233">
            <w:pPr>
              <w:pStyle w:val="8"/>
              <w:suppressLineNumbers w:val="0"/>
              <w:bidi w:val="0"/>
              <w:spacing w:before="0" w:beforeAutospacing="0" w:after="0" w:afterAutospacing="0"/>
              <w:ind w:left="0" w:right="0"/>
              <w:rPr>
                <w:rFonts w:hint="default"/>
                <w:highlight w:val="none"/>
              </w:rPr>
            </w:pPr>
          </w:p>
        </w:tc>
        <w:tc>
          <w:tcPr>
            <w:tcW w:w="1129" w:type="dxa"/>
            <w:vMerge w:val="continue"/>
            <w:tcBorders/>
            <w:shd w:val="clear" w:color="auto" w:fill="auto"/>
            <w:vAlign w:val="center"/>
          </w:tcPr>
          <w:p w14:paraId="52607B79">
            <w:pPr>
              <w:pStyle w:val="8"/>
              <w:suppressLineNumbers w:val="0"/>
              <w:bidi w:val="0"/>
              <w:spacing w:before="0" w:beforeAutospacing="0" w:after="0" w:afterAutospacing="0"/>
              <w:ind w:left="0" w:right="0"/>
              <w:rPr>
                <w:rFonts w:hint="eastAsia"/>
                <w:highlight w:val="none"/>
                <w:lang w:val="en-US" w:eastAsia="zh-CN"/>
              </w:rPr>
            </w:pPr>
          </w:p>
        </w:tc>
        <w:tc>
          <w:tcPr>
            <w:tcW w:w="1552" w:type="dxa"/>
            <w:shd w:val="clear" w:color="auto" w:fill="auto"/>
            <w:vAlign w:val="center"/>
          </w:tcPr>
          <w:p w14:paraId="7D85C976">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DA065</w:t>
            </w:r>
            <w:r>
              <w:rPr>
                <w:rFonts w:hint="default"/>
                <w:highlight w:val="none"/>
                <w:lang w:val="en-US" w:eastAsia="zh-CN"/>
              </w:rPr>
              <w:t>排气筒</w:t>
            </w:r>
          </w:p>
        </w:tc>
        <w:tc>
          <w:tcPr>
            <w:tcW w:w="1486" w:type="dxa"/>
            <w:shd w:val="clear" w:color="auto" w:fill="auto"/>
            <w:vAlign w:val="center"/>
          </w:tcPr>
          <w:p w14:paraId="1CF43624">
            <w:pPr>
              <w:pStyle w:val="8"/>
              <w:suppressLineNumbers w:val="0"/>
              <w:bidi w:val="0"/>
              <w:spacing w:before="0" w:beforeAutospacing="0" w:after="0" w:afterAutospacing="0"/>
              <w:ind w:left="0" w:right="0"/>
              <w:rPr>
                <w:rFonts w:hint="eastAsia"/>
                <w:highlight w:val="none"/>
                <w:lang w:val="en-US" w:eastAsia="zh-CN"/>
              </w:rPr>
            </w:pPr>
            <w:r>
              <w:rPr>
                <w:rFonts w:hint="eastAsia"/>
                <w:highlight w:val="none"/>
                <w:lang w:val="en-US" w:eastAsia="zh-CN"/>
              </w:rPr>
              <w:t>非甲烷总烃</w:t>
            </w:r>
          </w:p>
        </w:tc>
        <w:tc>
          <w:tcPr>
            <w:tcW w:w="4861" w:type="dxa"/>
            <w:vAlign w:val="center"/>
          </w:tcPr>
          <w:p w14:paraId="30AE903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textAlignment w:val="auto"/>
              <w:rPr>
                <w:rFonts w:hint="eastAsia"/>
                <w:snapToGrid w:val="0"/>
                <w:highlight w:val="none"/>
                <w:lang w:val="en-US" w:eastAsia="zh-CN"/>
              </w:rPr>
            </w:pPr>
            <w:r>
              <w:rPr>
                <w:rFonts w:hint="eastAsia" w:ascii="Times New Roman" w:hAnsi="Times New Roman" w:eastAsia="宋体" w:cs="Times New Roman"/>
                <w:color w:val="000000"/>
                <w:kern w:val="0"/>
                <w:sz w:val="21"/>
                <w:szCs w:val="24"/>
                <w:highlight w:val="none"/>
                <w:lang w:val="en-US" w:eastAsia="zh-CN" w:bidi="ar-SA"/>
              </w:rPr>
              <w:t>废气收集后经油雾净化器装置处理后由23m高排气筒（DA06</w:t>
            </w:r>
            <w:r>
              <w:rPr>
                <w:rFonts w:hint="eastAsia" w:cs="Times New Roman"/>
                <w:color w:val="000000"/>
                <w:kern w:val="0"/>
                <w:sz w:val="21"/>
                <w:szCs w:val="24"/>
                <w:highlight w:val="none"/>
                <w:lang w:val="en-US" w:eastAsia="zh-CN" w:bidi="ar-SA"/>
              </w:rPr>
              <w:t>5</w:t>
            </w:r>
            <w:r>
              <w:rPr>
                <w:rFonts w:hint="eastAsia" w:ascii="Times New Roman" w:hAnsi="Times New Roman" w:eastAsia="宋体" w:cs="Times New Roman"/>
                <w:color w:val="000000"/>
                <w:kern w:val="0"/>
                <w:sz w:val="21"/>
                <w:szCs w:val="24"/>
                <w:highlight w:val="none"/>
                <w:lang w:val="en-US" w:eastAsia="zh-CN" w:bidi="ar-SA"/>
              </w:rPr>
              <w:t>）排放</w:t>
            </w:r>
          </w:p>
        </w:tc>
        <w:tc>
          <w:tcPr>
            <w:tcW w:w="4439" w:type="dxa"/>
            <w:vMerge w:val="continue"/>
            <w:tcBorders/>
            <w:shd w:val="clear" w:color="auto" w:fill="auto"/>
            <w:vAlign w:val="center"/>
          </w:tcPr>
          <w:p w14:paraId="52DB24B7">
            <w:pPr>
              <w:pStyle w:val="8"/>
              <w:suppressLineNumbers w:val="0"/>
              <w:bidi w:val="0"/>
              <w:spacing w:before="0" w:beforeAutospacing="0" w:after="0" w:afterAutospacing="0"/>
              <w:ind w:left="0" w:right="0"/>
              <w:rPr>
                <w:rFonts w:hint="eastAsia" w:cs="Times New Roman"/>
                <w:b w:val="0"/>
                <w:bCs w:val="0"/>
                <w:snapToGrid w:val="0"/>
                <w:color w:val="000000"/>
                <w:kern w:val="0"/>
                <w:position w:val="0"/>
                <w:sz w:val="21"/>
                <w:szCs w:val="22"/>
                <w:highlight w:val="none"/>
                <w:lang w:val="en-US" w:eastAsia="zh-CN" w:bidi="ar"/>
              </w:rPr>
            </w:pPr>
          </w:p>
        </w:tc>
      </w:tr>
      <w:tr w14:paraId="63F946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815" w:type="dxa"/>
            <w:vMerge w:val="continue"/>
            <w:shd w:val="clear" w:color="auto" w:fill="auto"/>
            <w:vAlign w:val="center"/>
          </w:tcPr>
          <w:p w14:paraId="74E31706">
            <w:pPr>
              <w:pStyle w:val="8"/>
              <w:suppressLineNumbers w:val="0"/>
              <w:bidi w:val="0"/>
              <w:spacing w:before="0" w:beforeAutospacing="0" w:after="0" w:afterAutospacing="0"/>
              <w:ind w:left="0" w:right="0"/>
              <w:rPr>
                <w:rFonts w:hint="default"/>
                <w:highlight w:val="none"/>
              </w:rPr>
            </w:pPr>
          </w:p>
        </w:tc>
        <w:tc>
          <w:tcPr>
            <w:tcW w:w="1129" w:type="dxa"/>
            <w:vMerge w:val="continue"/>
            <w:tcBorders/>
            <w:shd w:val="clear" w:color="auto" w:fill="auto"/>
            <w:vAlign w:val="center"/>
          </w:tcPr>
          <w:p w14:paraId="25A231A2">
            <w:pPr>
              <w:pStyle w:val="8"/>
              <w:suppressLineNumbers w:val="0"/>
              <w:bidi w:val="0"/>
              <w:spacing w:before="0" w:beforeAutospacing="0" w:after="0" w:afterAutospacing="0"/>
              <w:ind w:left="0" w:right="0"/>
              <w:rPr>
                <w:rFonts w:hint="eastAsia"/>
                <w:highlight w:val="none"/>
                <w:lang w:val="en-US" w:eastAsia="zh-CN"/>
              </w:rPr>
            </w:pPr>
          </w:p>
        </w:tc>
        <w:tc>
          <w:tcPr>
            <w:tcW w:w="1552" w:type="dxa"/>
            <w:shd w:val="clear" w:color="auto" w:fill="auto"/>
            <w:vAlign w:val="center"/>
          </w:tcPr>
          <w:p w14:paraId="51EC0E6F">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DA064</w:t>
            </w:r>
            <w:r>
              <w:rPr>
                <w:rFonts w:hint="default"/>
                <w:highlight w:val="none"/>
                <w:lang w:val="en-US" w:eastAsia="zh-CN"/>
              </w:rPr>
              <w:t>排气筒</w:t>
            </w:r>
          </w:p>
        </w:tc>
        <w:tc>
          <w:tcPr>
            <w:tcW w:w="1486" w:type="dxa"/>
            <w:shd w:val="clear" w:color="auto" w:fill="auto"/>
            <w:vAlign w:val="center"/>
          </w:tcPr>
          <w:p w14:paraId="57DDF414">
            <w:pPr>
              <w:pStyle w:val="8"/>
              <w:suppressLineNumbers w:val="0"/>
              <w:bidi w:val="0"/>
              <w:spacing w:before="0" w:beforeAutospacing="0" w:after="0" w:afterAutospacing="0"/>
              <w:ind w:left="0" w:right="0"/>
              <w:rPr>
                <w:rFonts w:hint="eastAsia"/>
                <w:highlight w:val="none"/>
                <w:lang w:val="en-US" w:eastAsia="zh-CN"/>
              </w:rPr>
            </w:pPr>
            <w:r>
              <w:rPr>
                <w:rFonts w:hint="eastAsia"/>
                <w:snapToGrid w:val="0"/>
                <w:highlight w:val="none"/>
                <w:lang w:val="en-US" w:eastAsia="zh-CN"/>
              </w:rPr>
              <w:t>非甲烷总烃、氮氧化物、颗粒物、一氧化碳</w:t>
            </w:r>
          </w:p>
        </w:tc>
        <w:tc>
          <w:tcPr>
            <w:tcW w:w="4861" w:type="dxa"/>
            <w:vAlign w:val="center"/>
          </w:tcPr>
          <w:p w14:paraId="59506B02">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textAlignment w:val="auto"/>
              <w:rPr>
                <w:rFonts w:hint="eastAsia"/>
                <w:snapToGrid w:val="0"/>
                <w:highlight w:val="none"/>
                <w:lang w:val="en-US" w:eastAsia="zh-CN"/>
              </w:rPr>
            </w:pPr>
            <w:r>
              <w:rPr>
                <w:rFonts w:hint="eastAsia" w:ascii="Times New Roman" w:hAnsi="Times New Roman" w:eastAsia="宋体" w:cs="Times New Roman"/>
                <w:color w:val="000000"/>
                <w:kern w:val="0"/>
                <w:sz w:val="21"/>
                <w:szCs w:val="24"/>
                <w:highlight w:val="none"/>
                <w:lang w:val="en-US" w:eastAsia="zh-CN" w:bidi="ar-SA"/>
              </w:rPr>
              <w:t>废气收集后经</w:t>
            </w:r>
            <w:r>
              <w:rPr>
                <w:rFonts w:hint="eastAsia" w:cs="Times New Roman"/>
                <w:color w:val="000000"/>
                <w:kern w:val="0"/>
                <w:sz w:val="21"/>
                <w:szCs w:val="24"/>
                <w:highlight w:val="none"/>
                <w:lang w:val="en-US" w:eastAsia="zh-CN" w:bidi="ar-SA"/>
              </w:rPr>
              <w:t>三元催化</w:t>
            </w:r>
            <w:r>
              <w:rPr>
                <w:rFonts w:hint="eastAsia" w:ascii="Times New Roman" w:hAnsi="Times New Roman" w:eastAsia="宋体" w:cs="Times New Roman"/>
                <w:color w:val="000000"/>
                <w:kern w:val="0"/>
                <w:sz w:val="21"/>
                <w:szCs w:val="24"/>
                <w:highlight w:val="none"/>
                <w:lang w:val="en-US" w:eastAsia="zh-CN" w:bidi="ar-SA"/>
              </w:rPr>
              <w:t>装置处理后由23m高排气筒（DA06</w:t>
            </w:r>
            <w:r>
              <w:rPr>
                <w:rFonts w:hint="eastAsia" w:cs="Times New Roman"/>
                <w:color w:val="000000"/>
                <w:kern w:val="0"/>
                <w:sz w:val="21"/>
                <w:szCs w:val="24"/>
                <w:highlight w:val="none"/>
                <w:lang w:val="en-US" w:eastAsia="zh-CN" w:bidi="ar-SA"/>
              </w:rPr>
              <w:t>4</w:t>
            </w:r>
            <w:r>
              <w:rPr>
                <w:rFonts w:hint="eastAsia" w:ascii="Times New Roman" w:hAnsi="Times New Roman" w:eastAsia="宋体" w:cs="Times New Roman"/>
                <w:color w:val="000000"/>
                <w:kern w:val="0"/>
                <w:sz w:val="21"/>
                <w:szCs w:val="24"/>
                <w:highlight w:val="none"/>
                <w:lang w:val="en-US" w:eastAsia="zh-CN" w:bidi="ar-SA"/>
              </w:rPr>
              <w:t>）排放</w:t>
            </w:r>
          </w:p>
        </w:tc>
        <w:tc>
          <w:tcPr>
            <w:tcW w:w="4439" w:type="dxa"/>
            <w:vMerge w:val="continue"/>
            <w:tcBorders/>
            <w:shd w:val="clear" w:color="auto" w:fill="auto"/>
            <w:vAlign w:val="center"/>
          </w:tcPr>
          <w:p w14:paraId="43A96ED2">
            <w:pPr>
              <w:pStyle w:val="8"/>
              <w:suppressLineNumbers w:val="0"/>
              <w:bidi w:val="0"/>
              <w:spacing w:before="0" w:beforeAutospacing="0" w:after="0" w:afterAutospacing="0"/>
              <w:ind w:left="0" w:right="0"/>
              <w:rPr>
                <w:rFonts w:hint="eastAsia" w:cs="Times New Roman"/>
                <w:b w:val="0"/>
                <w:bCs w:val="0"/>
                <w:snapToGrid w:val="0"/>
                <w:color w:val="000000"/>
                <w:kern w:val="0"/>
                <w:position w:val="0"/>
                <w:sz w:val="21"/>
                <w:szCs w:val="22"/>
                <w:highlight w:val="none"/>
                <w:lang w:val="en-US" w:eastAsia="zh-CN" w:bidi="ar"/>
              </w:rPr>
            </w:pPr>
          </w:p>
        </w:tc>
      </w:tr>
      <w:tr w14:paraId="19FD5A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5" w:hRule="atLeast"/>
          <w:jc w:val="center"/>
        </w:trPr>
        <w:tc>
          <w:tcPr>
            <w:tcW w:w="815" w:type="dxa"/>
            <w:vMerge w:val="continue"/>
            <w:shd w:val="clear" w:color="auto" w:fill="auto"/>
            <w:vAlign w:val="center"/>
          </w:tcPr>
          <w:p w14:paraId="115E89DC">
            <w:pPr>
              <w:pStyle w:val="8"/>
              <w:suppressLineNumbers w:val="0"/>
              <w:bidi w:val="0"/>
              <w:spacing w:before="0" w:beforeAutospacing="0" w:after="0" w:afterAutospacing="0"/>
              <w:ind w:left="0" w:right="0"/>
              <w:rPr>
                <w:rFonts w:hint="default"/>
                <w:highlight w:val="none"/>
              </w:rPr>
            </w:pPr>
          </w:p>
        </w:tc>
        <w:tc>
          <w:tcPr>
            <w:tcW w:w="1129" w:type="dxa"/>
            <w:vMerge w:val="restart"/>
            <w:shd w:val="clear" w:color="auto" w:fill="auto"/>
            <w:vAlign w:val="center"/>
          </w:tcPr>
          <w:p w14:paraId="18895F39">
            <w:pPr>
              <w:pStyle w:val="8"/>
              <w:suppressLineNumbers w:val="0"/>
              <w:bidi w:val="0"/>
              <w:spacing w:before="0" w:beforeAutospacing="0" w:after="0" w:afterAutospacing="0"/>
              <w:ind w:left="0" w:right="0"/>
              <w:rPr>
                <w:rFonts w:hint="default"/>
                <w:highlight w:val="none"/>
              </w:rPr>
            </w:pPr>
            <w:r>
              <w:rPr>
                <w:rFonts w:hint="default"/>
                <w:highlight w:val="none"/>
              </w:rPr>
              <w:t>无组织</w:t>
            </w:r>
          </w:p>
        </w:tc>
        <w:tc>
          <w:tcPr>
            <w:tcW w:w="1552" w:type="dxa"/>
            <w:vMerge w:val="restart"/>
            <w:shd w:val="clear" w:color="auto" w:fill="auto"/>
            <w:vAlign w:val="center"/>
          </w:tcPr>
          <w:p w14:paraId="62634C3D">
            <w:pPr>
              <w:pStyle w:val="8"/>
              <w:suppressLineNumbers w:val="0"/>
              <w:bidi w:val="0"/>
              <w:spacing w:before="0" w:beforeAutospacing="0" w:after="0" w:afterAutospacing="0"/>
              <w:ind w:left="0" w:right="0"/>
              <w:rPr>
                <w:rFonts w:hint="default" w:eastAsia="宋体"/>
                <w:highlight w:val="none"/>
                <w:lang w:val="en-US" w:eastAsia="zh-CN"/>
              </w:rPr>
            </w:pPr>
            <w:r>
              <w:rPr>
                <w:rFonts w:hint="eastAsia"/>
                <w:highlight w:val="none"/>
                <w:lang w:val="en-US" w:eastAsia="zh-CN"/>
              </w:rPr>
              <w:t>生产车间</w:t>
            </w:r>
          </w:p>
        </w:tc>
        <w:tc>
          <w:tcPr>
            <w:tcW w:w="1486" w:type="dxa"/>
            <w:shd w:val="clear" w:color="auto" w:fill="auto"/>
            <w:vAlign w:val="center"/>
          </w:tcPr>
          <w:p w14:paraId="0452CB6F">
            <w:pPr>
              <w:pStyle w:val="8"/>
              <w:suppressLineNumbers w:val="0"/>
              <w:bidi w:val="0"/>
              <w:spacing w:before="0" w:beforeAutospacing="0" w:after="0" w:afterAutospacing="0"/>
              <w:ind w:left="0" w:right="0"/>
              <w:rPr>
                <w:rFonts w:hint="default" w:eastAsia="宋体"/>
                <w:highlight w:val="none"/>
                <w:lang w:val="en-US" w:eastAsia="zh-CN"/>
              </w:rPr>
            </w:pPr>
            <w:r>
              <w:rPr>
                <w:rFonts w:hint="eastAsia"/>
                <w:highlight w:val="none"/>
                <w:lang w:val="en-US" w:eastAsia="zh-CN"/>
              </w:rPr>
              <w:t>非甲烷总烃</w:t>
            </w:r>
            <w:r>
              <w:rPr>
                <w:rFonts w:hint="eastAsia"/>
                <w:highlight w:val="none"/>
                <w:lang w:eastAsia="zh-CN"/>
              </w:rPr>
              <w:t>、</w:t>
            </w:r>
            <w:r>
              <w:rPr>
                <w:rFonts w:hint="eastAsia"/>
                <w:highlight w:val="none"/>
                <w:lang w:val="en-US" w:eastAsia="zh-CN"/>
              </w:rPr>
              <w:t>颗粒物</w:t>
            </w:r>
          </w:p>
        </w:tc>
        <w:tc>
          <w:tcPr>
            <w:tcW w:w="4861" w:type="dxa"/>
            <w:vMerge w:val="restart"/>
            <w:vAlign w:val="center"/>
          </w:tcPr>
          <w:p w14:paraId="1E996693">
            <w:pPr>
              <w:pStyle w:val="8"/>
              <w:suppressLineNumbers w:val="0"/>
              <w:bidi w:val="0"/>
              <w:spacing w:before="0" w:beforeAutospacing="0" w:after="0" w:afterAutospacing="0"/>
              <w:ind w:left="0" w:right="0"/>
              <w:rPr>
                <w:rFonts w:hint="eastAsia"/>
                <w:highlight w:val="none"/>
                <w:lang w:eastAsia="zh-CN"/>
              </w:rPr>
            </w:pPr>
            <w:r>
              <w:rPr>
                <w:rFonts w:hint="eastAsia"/>
                <w:highlight w:val="none"/>
                <w:lang w:val="en-US" w:eastAsia="zh-CN"/>
              </w:rPr>
              <w:t>/</w:t>
            </w:r>
          </w:p>
        </w:tc>
        <w:tc>
          <w:tcPr>
            <w:tcW w:w="4439" w:type="dxa"/>
            <w:shd w:val="clear" w:color="auto" w:fill="auto"/>
            <w:vAlign w:val="center"/>
          </w:tcPr>
          <w:p w14:paraId="531D4B1B">
            <w:pPr>
              <w:pStyle w:val="8"/>
              <w:suppressLineNumbers w:val="0"/>
              <w:bidi w:val="0"/>
              <w:spacing w:before="0" w:beforeAutospacing="0" w:after="0" w:afterAutospacing="0"/>
              <w:ind w:left="0" w:right="0"/>
              <w:rPr>
                <w:rFonts w:hint="default"/>
                <w:highlight w:val="none"/>
              </w:rPr>
            </w:pPr>
            <w:r>
              <w:rPr>
                <w:rFonts w:hint="default"/>
                <w:snapToGrid w:val="0"/>
                <w:highlight w:val="none"/>
              </w:rPr>
              <w:t>《大气污染物综合排放标准》（GB16297-1996）表2中无组织排放监控浓度限值要求</w:t>
            </w:r>
            <w:r>
              <w:rPr>
                <w:rFonts w:hint="eastAsia"/>
                <w:snapToGrid w:val="0"/>
                <w:highlight w:val="none"/>
                <w:lang w:eastAsia="zh-CN"/>
              </w:rPr>
              <w:t>；</w:t>
            </w:r>
            <w:r>
              <w:rPr>
                <w:rFonts w:hint="default" w:ascii="Times New Roman" w:hAnsi="Times New Roman" w:cs="Times New Roman"/>
                <w:snapToGrid w:val="0"/>
                <w:spacing w:val="0"/>
                <w:position w:val="0"/>
                <w:highlight w:val="none"/>
                <w:lang w:bidi="ar"/>
              </w:rPr>
              <w:t>厂区内执行《挥发性有机物无组织排放控制标准》（GB37822-2019）表A.1中排放限值标准</w:t>
            </w:r>
          </w:p>
        </w:tc>
      </w:tr>
      <w:tr w14:paraId="6A4308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5" w:hRule="atLeast"/>
          <w:jc w:val="center"/>
        </w:trPr>
        <w:tc>
          <w:tcPr>
            <w:tcW w:w="815" w:type="dxa"/>
            <w:vMerge w:val="continue"/>
            <w:shd w:val="clear" w:color="auto" w:fill="auto"/>
            <w:vAlign w:val="center"/>
          </w:tcPr>
          <w:p w14:paraId="1361B057">
            <w:pPr>
              <w:pStyle w:val="8"/>
              <w:suppressLineNumbers w:val="0"/>
              <w:bidi w:val="0"/>
              <w:spacing w:before="0" w:beforeAutospacing="0" w:after="0" w:afterAutospacing="0"/>
              <w:ind w:left="0" w:right="0"/>
              <w:rPr>
                <w:rFonts w:hint="default"/>
                <w:highlight w:val="none"/>
              </w:rPr>
            </w:pPr>
          </w:p>
        </w:tc>
        <w:tc>
          <w:tcPr>
            <w:tcW w:w="1129" w:type="dxa"/>
            <w:vMerge w:val="continue"/>
            <w:shd w:val="clear" w:color="auto" w:fill="auto"/>
            <w:vAlign w:val="center"/>
          </w:tcPr>
          <w:p w14:paraId="6A9E6D8F">
            <w:pPr>
              <w:pStyle w:val="8"/>
              <w:suppressLineNumbers w:val="0"/>
              <w:bidi w:val="0"/>
              <w:spacing w:before="0" w:beforeAutospacing="0" w:after="0" w:afterAutospacing="0"/>
              <w:ind w:left="0" w:right="0"/>
              <w:rPr>
                <w:rFonts w:hint="default"/>
                <w:highlight w:val="none"/>
              </w:rPr>
            </w:pPr>
          </w:p>
        </w:tc>
        <w:tc>
          <w:tcPr>
            <w:tcW w:w="1552" w:type="dxa"/>
            <w:vMerge w:val="continue"/>
            <w:shd w:val="clear" w:color="auto" w:fill="auto"/>
            <w:vAlign w:val="center"/>
          </w:tcPr>
          <w:p w14:paraId="03C548A7">
            <w:pPr>
              <w:pStyle w:val="8"/>
              <w:suppressLineNumbers w:val="0"/>
              <w:bidi w:val="0"/>
              <w:spacing w:before="0" w:beforeAutospacing="0" w:after="0" w:afterAutospacing="0"/>
              <w:ind w:left="0" w:right="0"/>
              <w:rPr>
                <w:rFonts w:hint="eastAsia"/>
                <w:highlight w:val="none"/>
                <w:lang w:val="en-US" w:eastAsia="zh-CN"/>
              </w:rPr>
            </w:pPr>
          </w:p>
        </w:tc>
        <w:tc>
          <w:tcPr>
            <w:tcW w:w="1486" w:type="dxa"/>
            <w:shd w:val="clear" w:color="auto" w:fill="auto"/>
            <w:vAlign w:val="center"/>
          </w:tcPr>
          <w:p w14:paraId="7C69716A">
            <w:pPr>
              <w:pStyle w:val="8"/>
              <w:suppressLineNumbers w:val="0"/>
              <w:bidi w:val="0"/>
              <w:spacing w:before="0" w:beforeAutospacing="0" w:after="0" w:afterAutospacing="0"/>
              <w:ind w:left="0" w:right="0"/>
              <w:rPr>
                <w:rFonts w:hint="eastAsia"/>
                <w:highlight w:val="none"/>
                <w:lang w:val="en-US" w:eastAsia="zh-CN"/>
              </w:rPr>
            </w:pPr>
            <w:r>
              <w:rPr>
                <w:rFonts w:hint="eastAsia"/>
                <w:highlight w:val="none"/>
                <w:lang w:val="en-US" w:eastAsia="zh-CN"/>
              </w:rPr>
              <w:t>臭气浓度</w:t>
            </w:r>
          </w:p>
        </w:tc>
        <w:tc>
          <w:tcPr>
            <w:tcW w:w="4861" w:type="dxa"/>
            <w:vMerge w:val="continue"/>
            <w:vAlign w:val="center"/>
          </w:tcPr>
          <w:p w14:paraId="30C70E66">
            <w:pPr>
              <w:pStyle w:val="8"/>
              <w:suppressLineNumbers w:val="0"/>
              <w:bidi w:val="0"/>
              <w:spacing w:before="0" w:beforeAutospacing="0" w:after="0" w:afterAutospacing="0"/>
              <w:ind w:left="0" w:right="0"/>
              <w:rPr>
                <w:rFonts w:hint="eastAsia"/>
                <w:highlight w:val="none"/>
                <w:lang w:val="en-US" w:eastAsia="zh-CN"/>
              </w:rPr>
            </w:pPr>
          </w:p>
        </w:tc>
        <w:tc>
          <w:tcPr>
            <w:tcW w:w="4439" w:type="dxa"/>
            <w:shd w:val="clear" w:color="auto" w:fill="auto"/>
            <w:vAlign w:val="center"/>
          </w:tcPr>
          <w:p w14:paraId="55A35442">
            <w:pPr>
              <w:pStyle w:val="8"/>
              <w:suppressLineNumbers w:val="0"/>
              <w:bidi w:val="0"/>
              <w:spacing w:before="0" w:beforeAutospacing="0" w:after="0" w:afterAutospacing="0"/>
              <w:ind w:left="0" w:right="0"/>
              <w:rPr>
                <w:rFonts w:hint="default"/>
                <w:snapToGrid w:val="0"/>
                <w:highlight w:val="none"/>
              </w:rPr>
            </w:pPr>
            <w:r>
              <w:rPr>
                <w:rFonts w:hint="eastAsia" w:cs="Times New Roman"/>
                <w:b w:val="0"/>
                <w:bCs w:val="0"/>
                <w:snapToGrid w:val="0"/>
                <w:color w:val="000000"/>
                <w:kern w:val="0"/>
                <w:position w:val="0"/>
                <w:sz w:val="21"/>
                <w:szCs w:val="22"/>
                <w:highlight w:val="none"/>
                <w:lang w:val="en-US" w:eastAsia="zh-CN" w:bidi="ar"/>
              </w:rPr>
              <w:t>《恶臭污染物排放标准》（GB14554-93）表1中标准</w:t>
            </w:r>
          </w:p>
        </w:tc>
      </w:tr>
      <w:tr w14:paraId="0F915C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5" w:type="dxa"/>
            <w:shd w:val="clear" w:color="auto" w:fill="auto"/>
            <w:vAlign w:val="center"/>
          </w:tcPr>
          <w:p w14:paraId="03B0CEA0">
            <w:pPr>
              <w:pStyle w:val="8"/>
              <w:suppressLineNumbers w:val="0"/>
              <w:bidi w:val="0"/>
              <w:spacing w:before="0" w:beforeAutospacing="0" w:after="0" w:afterAutospacing="0"/>
              <w:ind w:left="0" w:right="0"/>
              <w:rPr>
                <w:rFonts w:hint="default"/>
                <w:highlight w:val="none"/>
              </w:rPr>
            </w:pPr>
            <w:r>
              <w:rPr>
                <w:rFonts w:hint="default"/>
                <w:highlight w:val="none"/>
              </w:rPr>
              <w:t>噪声</w:t>
            </w:r>
          </w:p>
        </w:tc>
        <w:tc>
          <w:tcPr>
            <w:tcW w:w="1129" w:type="dxa"/>
            <w:shd w:val="clear" w:color="auto" w:fill="auto"/>
            <w:vAlign w:val="center"/>
          </w:tcPr>
          <w:p w14:paraId="67A6C927">
            <w:pPr>
              <w:pStyle w:val="8"/>
              <w:suppressLineNumbers w:val="0"/>
              <w:bidi w:val="0"/>
              <w:spacing w:before="0" w:beforeAutospacing="0" w:after="0" w:afterAutospacing="0"/>
              <w:ind w:left="0" w:right="0"/>
              <w:rPr>
                <w:rFonts w:hint="default"/>
                <w:highlight w:val="none"/>
              </w:rPr>
            </w:pPr>
            <w:r>
              <w:rPr>
                <w:rFonts w:hint="default"/>
                <w:highlight w:val="none"/>
              </w:rPr>
              <w:t>噪声控制</w:t>
            </w:r>
          </w:p>
        </w:tc>
        <w:tc>
          <w:tcPr>
            <w:tcW w:w="1552" w:type="dxa"/>
            <w:shd w:val="clear" w:color="auto" w:fill="auto"/>
            <w:vAlign w:val="center"/>
          </w:tcPr>
          <w:p w14:paraId="52FD641D">
            <w:pPr>
              <w:pStyle w:val="8"/>
              <w:suppressLineNumbers w:val="0"/>
              <w:bidi w:val="0"/>
              <w:spacing w:before="0" w:beforeAutospacing="0" w:after="0" w:afterAutospacing="0"/>
              <w:ind w:left="0" w:right="0"/>
              <w:rPr>
                <w:rFonts w:hint="eastAsia"/>
                <w:highlight w:val="none"/>
                <w:lang w:eastAsia="zh-CN"/>
              </w:rPr>
            </w:pPr>
            <w:r>
              <w:rPr>
                <w:rFonts w:hint="default"/>
                <w:highlight w:val="none"/>
              </w:rPr>
              <w:t>生产设备</w:t>
            </w:r>
            <w:r>
              <w:rPr>
                <w:rFonts w:hint="eastAsia"/>
                <w:highlight w:val="none"/>
                <w:lang w:eastAsia="zh-CN"/>
              </w:rPr>
              <w:t>、</w:t>
            </w:r>
            <w:r>
              <w:rPr>
                <w:rFonts w:hint="eastAsia"/>
                <w:highlight w:val="none"/>
                <w:lang w:val="en-US" w:eastAsia="zh-CN"/>
              </w:rPr>
              <w:t>风机等</w:t>
            </w:r>
          </w:p>
        </w:tc>
        <w:tc>
          <w:tcPr>
            <w:tcW w:w="1486" w:type="dxa"/>
            <w:shd w:val="clear" w:color="auto" w:fill="auto"/>
            <w:vAlign w:val="center"/>
          </w:tcPr>
          <w:p w14:paraId="64E2B849">
            <w:pPr>
              <w:pStyle w:val="8"/>
              <w:suppressLineNumbers w:val="0"/>
              <w:bidi w:val="0"/>
              <w:spacing w:before="0" w:beforeAutospacing="0" w:after="0" w:afterAutospacing="0"/>
              <w:ind w:left="0" w:right="0"/>
              <w:rPr>
                <w:rFonts w:hint="default"/>
                <w:highlight w:val="none"/>
              </w:rPr>
            </w:pPr>
            <w:r>
              <w:rPr>
                <w:rFonts w:hint="default"/>
                <w:highlight w:val="none"/>
              </w:rPr>
              <w:t>噪声</w:t>
            </w:r>
          </w:p>
        </w:tc>
        <w:tc>
          <w:tcPr>
            <w:tcW w:w="4861" w:type="dxa"/>
            <w:vAlign w:val="center"/>
          </w:tcPr>
          <w:p w14:paraId="2CFDC980">
            <w:pPr>
              <w:pStyle w:val="8"/>
              <w:suppressLineNumbers w:val="0"/>
              <w:bidi w:val="0"/>
              <w:spacing w:before="0" w:beforeAutospacing="0" w:after="0" w:afterAutospacing="0"/>
              <w:ind w:left="0" w:right="0"/>
              <w:rPr>
                <w:rFonts w:hint="default"/>
                <w:highlight w:val="none"/>
              </w:rPr>
            </w:pPr>
            <w:r>
              <w:rPr>
                <w:rFonts w:hint="default"/>
                <w:highlight w:val="none"/>
              </w:rPr>
              <w:t>采取基础减振、建筑隔声、选用低噪声设备等措施</w:t>
            </w:r>
          </w:p>
        </w:tc>
        <w:tc>
          <w:tcPr>
            <w:tcW w:w="4439" w:type="dxa"/>
            <w:shd w:val="clear" w:color="auto" w:fill="auto"/>
            <w:vAlign w:val="center"/>
          </w:tcPr>
          <w:p w14:paraId="64F468F3">
            <w:pPr>
              <w:pStyle w:val="8"/>
              <w:suppressLineNumbers w:val="0"/>
              <w:bidi w:val="0"/>
              <w:spacing w:before="0" w:beforeAutospacing="0" w:after="0" w:afterAutospacing="0"/>
              <w:ind w:left="0" w:right="0"/>
              <w:rPr>
                <w:rFonts w:hint="default"/>
                <w:highlight w:val="none"/>
              </w:rPr>
            </w:pPr>
            <w:r>
              <w:rPr>
                <w:rFonts w:hint="default"/>
                <w:highlight w:val="none"/>
              </w:rPr>
              <w:t>《工业企业厂界环境噪声排放标准》（GB12348-2008）表1中</w:t>
            </w:r>
            <w:r>
              <w:rPr>
                <w:rFonts w:hint="eastAsia"/>
                <w:highlight w:val="none"/>
                <w:lang w:val="en-US" w:eastAsia="zh-CN"/>
              </w:rPr>
              <w:t>1</w:t>
            </w:r>
            <w:r>
              <w:rPr>
                <w:rFonts w:hint="default"/>
                <w:highlight w:val="none"/>
              </w:rPr>
              <w:t>类标准</w:t>
            </w:r>
          </w:p>
        </w:tc>
      </w:tr>
      <w:tr w14:paraId="3EEC8C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5" w:type="dxa"/>
            <w:vMerge w:val="restart"/>
            <w:shd w:val="clear" w:color="auto" w:fill="auto"/>
            <w:vAlign w:val="center"/>
          </w:tcPr>
          <w:p w14:paraId="2C4E51DA">
            <w:pPr>
              <w:pStyle w:val="8"/>
              <w:suppressLineNumbers w:val="0"/>
              <w:bidi w:val="0"/>
              <w:spacing w:before="0" w:beforeAutospacing="0" w:after="0" w:afterAutospacing="0"/>
              <w:ind w:left="0" w:right="0"/>
              <w:rPr>
                <w:rFonts w:hint="default"/>
                <w:highlight w:val="none"/>
              </w:rPr>
            </w:pPr>
            <w:r>
              <w:rPr>
                <w:rFonts w:hint="default"/>
                <w:highlight w:val="none"/>
              </w:rPr>
              <w:t>固废</w:t>
            </w:r>
          </w:p>
        </w:tc>
        <w:tc>
          <w:tcPr>
            <w:tcW w:w="4167" w:type="dxa"/>
            <w:gridSpan w:val="3"/>
            <w:shd w:val="clear" w:color="auto" w:fill="auto"/>
            <w:vAlign w:val="center"/>
          </w:tcPr>
          <w:p w14:paraId="2E51239B">
            <w:pPr>
              <w:pStyle w:val="8"/>
              <w:suppressLineNumbers w:val="0"/>
              <w:bidi w:val="0"/>
              <w:spacing w:before="0" w:beforeAutospacing="0" w:after="0" w:afterAutospacing="0"/>
              <w:ind w:left="0" w:right="0"/>
              <w:rPr>
                <w:rFonts w:hint="default"/>
                <w:highlight w:val="none"/>
              </w:rPr>
            </w:pPr>
            <w:r>
              <w:rPr>
                <w:rFonts w:hint="eastAsia"/>
                <w:highlight w:val="none"/>
                <w:lang w:val="en-US" w:eastAsia="zh-CN"/>
              </w:rPr>
              <w:t>生活垃圾（类别：</w:t>
            </w:r>
            <w:r>
              <w:rPr>
                <w:rFonts w:hint="default"/>
                <w:highlight w:val="none"/>
                <w:lang w:val="en-US" w:eastAsia="zh-CN"/>
              </w:rPr>
              <w:t>SW64</w:t>
            </w:r>
            <w:r>
              <w:rPr>
                <w:rFonts w:hint="eastAsia"/>
                <w:highlight w:val="none"/>
                <w:lang w:val="en-US" w:eastAsia="zh-CN"/>
              </w:rPr>
              <w:t>，代码：</w:t>
            </w:r>
            <w:r>
              <w:rPr>
                <w:rFonts w:hint="default"/>
                <w:highlight w:val="none"/>
                <w:lang w:val="en-US" w:eastAsia="zh-CN"/>
              </w:rPr>
              <w:t>900-099-S64</w:t>
            </w:r>
            <w:r>
              <w:rPr>
                <w:rFonts w:hint="eastAsia"/>
                <w:highlight w:val="none"/>
                <w:lang w:val="en-US" w:eastAsia="zh-CN"/>
              </w:rPr>
              <w:t>）</w:t>
            </w:r>
          </w:p>
        </w:tc>
        <w:tc>
          <w:tcPr>
            <w:tcW w:w="4861" w:type="dxa"/>
            <w:vAlign w:val="center"/>
          </w:tcPr>
          <w:p w14:paraId="4FAC1668">
            <w:pPr>
              <w:pStyle w:val="8"/>
              <w:suppressLineNumbers w:val="0"/>
              <w:bidi w:val="0"/>
              <w:spacing w:before="0" w:beforeAutospacing="0" w:after="0" w:afterAutospacing="0"/>
              <w:ind w:left="0" w:right="0"/>
              <w:rPr>
                <w:rFonts w:hint="default"/>
                <w:highlight w:val="none"/>
              </w:rPr>
            </w:pPr>
            <w:r>
              <w:rPr>
                <w:rFonts w:hint="default"/>
                <w:highlight w:val="none"/>
              </w:rPr>
              <w:t>交由市政部门处理</w:t>
            </w:r>
          </w:p>
        </w:tc>
        <w:tc>
          <w:tcPr>
            <w:tcW w:w="4439" w:type="dxa"/>
            <w:shd w:val="clear" w:color="auto" w:fill="auto"/>
            <w:vAlign w:val="center"/>
          </w:tcPr>
          <w:p w14:paraId="35FA2259">
            <w:pPr>
              <w:pStyle w:val="8"/>
              <w:suppressLineNumbers w:val="0"/>
              <w:bidi w:val="0"/>
              <w:spacing w:before="0" w:beforeAutospacing="0" w:after="0" w:afterAutospacing="0"/>
              <w:ind w:left="0" w:right="0"/>
              <w:rPr>
                <w:rFonts w:hint="default"/>
                <w:highlight w:val="none"/>
              </w:rPr>
            </w:pPr>
            <w:r>
              <w:rPr>
                <w:rFonts w:hint="default"/>
                <w:highlight w:val="none"/>
              </w:rPr>
              <w:t>/</w:t>
            </w:r>
          </w:p>
        </w:tc>
      </w:tr>
      <w:tr w14:paraId="5EA301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815" w:type="dxa"/>
            <w:vMerge w:val="continue"/>
            <w:shd w:val="clear" w:color="auto" w:fill="auto"/>
            <w:vAlign w:val="center"/>
          </w:tcPr>
          <w:p w14:paraId="108D5120">
            <w:pPr>
              <w:pStyle w:val="8"/>
              <w:suppressLineNumbers w:val="0"/>
              <w:bidi w:val="0"/>
              <w:spacing w:before="0" w:beforeAutospacing="0" w:after="0" w:afterAutospacing="0"/>
              <w:ind w:left="0" w:right="0"/>
              <w:rPr>
                <w:rFonts w:hint="default"/>
                <w:highlight w:val="none"/>
              </w:rPr>
            </w:pPr>
          </w:p>
        </w:tc>
        <w:tc>
          <w:tcPr>
            <w:tcW w:w="4167" w:type="dxa"/>
            <w:gridSpan w:val="3"/>
            <w:tcBorders>
              <w:top w:val="single" w:color="auto" w:sz="4" w:space="0"/>
              <w:bottom w:val="single" w:color="auto" w:sz="4" w:space="0"/>
            </w:tcBorders>
            <w:shd w:val="clear" w:color="auto" w:fill="auto"/>
            <w:vAlign w:val="center"/>
          </w:tcPr>
          <w:p w14:paraId="2FF3C09F">
            <w:pPr>
              <w:pStyle w:val="8"/>
              <w:suppressLineNumbers w:val="0"/>
              <w:bidi w:val="0"/>
              <w:spacing w:before="0" w:beforeAutospacing="0" w:after="0" w:afterAutospacing="0"/>
              <w:ind w:left="0" w:right="0" w:firstLine="0" w:firstLineChars="0"/>
              <w:rPr>
                <w:rFonts w:hint="default"/>
                <w:highlight w:val="none"/>
                <w:lang w:val="en-US" w:eastAsia="zh-CN"/>
              </w:rPr>
            </w:pPr>
            <w:r>
              <w:rPr>
                <w:rFonts w:hint="eastAsia"/>
                <w:highlight w:val="none"/>
                <w:lang w:val="en-US" w:eastAsia="zh-CN"/>
              </w:rPr>
              <w:t>废液（类别：</w:t>
            </w:r>
            <w:r>
              <w:rPr>
                <w:rFonts w:hint="default"/>
                <w:highlight w:val="none"/>
                <w:lang w:val="en-US" w:eastAsia="zh-CN"/>
              </w:rPr>
              <w:t>HW08</w:t>
            </w:r>
            <w:r>
              <w:rPr>
                <w:rFonts w:hint="eastAsia"/>
                <w:highlight w:val="none"/>
                <w:lang w:val="en-US" w:eastAsia="zh-CN"/>
              </w:rPr>
              <w:t>，代码：</w:t>
            </w:r>
            <w:r>
              <w:rPr>
                <w:rFonts w:hint="default"/>
                <w:highlight w:val="none"/>
                <w:lang w:val="en-US" w:eastAsia="zh-CN"/>
              </w:rPr>
              <w:t>900-249-08</w:t>
            </w:r>
            <w:r>
              <w:rPr>
                <w:rFonts w:hint="eastAsia"/>
                <w:highlight w:val="none"/>
                <w:lang w:val="en-US" w:eastAsia="zh-CN"/>
              </w:rPr>
              <w:t>）</w:t>
            </w:r>
          </w:p>
        </w:tc>
        <w:tc>
          <w:tcPr>
            <w:tcW w:w="4861" w:type="dxa"/>
            <w:vMerge w:val="restart"/>
            <w:vAlign w:val="center"/>
          </w:tcPr>
          <w:p w14:paraId="0D307538">
            <w:pPr>
              <w:pStyle w:val="8"/>
              <w:suppressLineNumbers w:val="0"/>
              <w:bidi w:val="0"/>
              <w:spacing w:before="0" w:beforeAutospacing="0" w:after="0" w:afterAutospacing="0"/>
              <w:ind w:left="0" w:right="0"/>
              <w:rPr>
                <w:rFonts w:hint="default"/>
                <w:highlight w:val="none"/>
              </w:rPr>
            </w:pPr>
            <w:r>
              <w:rPr>
                <w:rFonts w:hint="default"/>
                <w:highlight w:val="none"/>
              </w:rPr>
              <w:t>收集后暂存于危废贮存库</w:t>
            </w:r>
            <w:r>
              <w:rPr>
                <w:rFonts w:hint="eastAsia"/>
                <w:highlight w:val="none"/>
              </w:rPr>
              <w:t>内</w:t>
            </w:r>
            <w:r>
              <w:rPr>
                <w:rFonts w:hint="default"/>
                <w:highlight w:val="none"/>
              </w:rPr>
              <w:t>，定期委托有资质单位处理</w:t>
            </w:r>
          </w:p>
        </w:tc>
        <w:tc>
          <w:tcPr>
            <w:tcW w:w="4439" w:type="dxa"/>
            <w:vMerge w:val="restart"/>
            <w:shd w:val="clear" w:color="auto" w:fill="auto"/>
            <w:vAlign w:val="center"/>
          </w:tcPr>
          <w:p w14:paraId="038FD7B7">
            <w:pPr>
              <w:pStyle w:val="8"/>
              <w:suppressLineNumbers w:val="0"/>
              <w:bidi w:val="0"/>
              <w:spacing w:before="0" w:beforeAutospacing="0" w:after="0" w:afterAutospacing="0"/>
              <w:ind w:left="0" w:right="0"/>
              <w:rPr>
                <w:rFonts w:hint="default"/>
                <w:highlight w:val="none"/>
              </w:rPr>
            </w:pPr>
            <w:r>
              <w:rPr>
                <w:rFonts w:hint="default"/>
                <w:highlight w:val="none"/>
              </w:rPr>
              <w:t>《危险废物贮存污染控制标准》（GB18597-2023）</w:t>
            </w:r>
          </w:p>
        </w:tc>
      </w:tr>
      <w:tr w14:paraId="2577CB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815" w:type="dxa"/>
            <w:vMerge w:val="continue"/>
            <w:shd w:val="clear" w:color="auto" w:fill="auto"/>
            <w:vAlign w:val="center"/>
          </w:tcPr>
          <w:p w14:paraId="40C1E32D">
            <w:pPr>
              <w:pStyle w:val="8"/>
              <w:suppressLineNumbers w:val="0"/>
              <w:bidi w:val="0"/>
              <w:spacing w:before="0" w:beforeAutospacing="0" w:after="0" w:afterAutospacing="0"/>
              <w:ind w:left="0" w:right="0"/>
              <w:rPr>
                <w:rFonts w:hint="default"/>
                <w:highlight w:val="none"/>
              </w:rPr>
            </w:pPr>
          </w:p>
        </w:tc>
        <w:tc>
          <w:tcPr>
            <w:tcW w:w="4167" w:type="dxa"/>
            <w:gridSpan w:val="3"/>
            <w:tcBorders>
              <w:top w:val="single" w:color="auto" w:sz="4" w:space="0"/>
            </w:tcBorders>
            <w:shd w:val="clear" w:color="auto" w:fill="auto"/>
            <w:vAlign w:val="center"/>
          </w:tcPr>
          <w:p w14:paraId="462FA7BC">
            <w:pPr>
              <w:pStyle w:val="8"/>
              <w:suppressLineNumbers w:val="0"/>
              <w:bidi w:val="0"/>
              <w:spacing w:before="0" w:beforeAutospacing="0" w:after="0" w:afterAutospacing="0"/>
              <w:ind w:left="0" w:right="0" w:firstLine="0" w:firstLineChars="0"/>
              <w:rPr>
                <w:rFonts w:hint="default"/>
                <w:highlight w:val="none"/>
                <w:lang w:val="en-US" w:eastAsia="zh-CN"/>
              </w:rPr>
            </w:pPr>
            <w:r>
              <w:rPr>
                <w:rFonts w:hint="eastAsia"/>
                <w:highlight w:val="none"/>
                <w:lang w:val="en-US" w:eastAsia="zh-CN"/>
              </w:rPr>
              <w:t>废吨袋（类别：</w:t>
            </w:r>
            <w:r>
              <w:rPr>
                <w:rFonts w:hint="default"/>
                <w:highlight w:val="none"/>
                <w:lang w:val="en-US" w:eastAsia="zh-CN"/>
              </w:rPr>
              <w:t>HW08</w:t>
            </w:r>
            <w:r>
              <w:rPr>
                <w:rFonts w:hint="eastAsia"/>
                <w:highlight w:val="none"/>
                <w:lang w:val="en-US" w:eastAsia="zh-CN"/>
              </w:rPr>
              <w:t>，代码：</w:t>
            </w:r>
            <w:r>
              <w:rPr>
                <w:rFonts w:hint="default"/>
                <w:highlight w:val="none"/>
                <w:lang w:val="en-US" w:eastAsia="zh-CN"/>
              </w:rPr>
              <w:t>900-249-08</w:t>
            </w:r>
            <w:r>
              <w:rPr>
                <w:rFonts w:hint="eastAsia"/>
                <w:highlight w:val="none"/>
                <w:lang w:val="en-US" w:eastAsia="zh-CN"/>
              </w:rPr>
              <w:t>）</w:t>
            </w:r>
          </w:p>
        </w:tc>
        <w:tc>
          <w:tcPr>
            <w:tcW w:w="4861" w:type="dxa"/>
            <w:vMerge w:val="continue"/>
            <w:vAlign w:val="center"/>
          </w:tcPr>
          <w:p w14:paraId="1DB517A9">
            <w:pPr>
              <w:pStyle w:val="8"/>
              <w:suppressLineNumbers w:val="0"/>
              <w:bidi w:val="0"/>
              <w:spacing w:before="0" w:beforeAutospacing="0" w:after="0" w:afterAutospacing="0"/>
              <w:ind w:left="0" w:right="0"/>
              <w:rPr>
                <w:rFonts w:hint="default"/>
                <w:highlight w:val="none"/>
              </w:rPr>
            </w:pPr>
          </w:p>
        </w:tc>
        <w:tc>
          <w:tcPr>
            <w:tcW w:w="4439" w:type="dxa"/>
            <w:vMerge w:val="continue"/>
            <w:shd w:val="clear" w:color="auto" w:fill="auto"/>
            <w:vAlign w:val="center"/>
          </w:tcPr>
          <w:p w14:paraId="6D657E49">
            <w:pPr>
              <w:pStyle w:val="8"/>
              <w:suppressLineNumbers w:val="0"/>
              <w:bidi w:val="0"/>
              <w:spacing w:before="0" w:beforeAutospacing="0" w:after="0" w:afterAutospacing="0"/>
              <w:ind w:left="0" w:right="0"/>
              <w:rPr>
                <w:rFonts w:hint="default"/>
                <w:highlight w:val="none"/>
              </w:rPr>
            </w:pPr>
          </w:p>
        </w:tc>
      </w:tr>
      <w:tr w14:paraId="760A95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815" w:type="dxa"/>
            <w:vMerge w:val="continue"/>
            <w:shd w:val="clear" w:color="auto" w:fill="auto"/>
            <w:vAlign w:val="center"/>
          </w:tcPr>
          <w:p w14:paraId="783D5F37">
            <w:pPr>
              <w:pStyle w:val="8"/>
              <w:suppressLineNumbers w:val="0"/>
              <w:bidi w:val="0"/>
              <w:spacing w:before="0" w:beforeAutospacing="0" w:after="0" w:afterAutospacing="0"/>
              <w:ind w:left="0" w:right="0"/>
              <w:rPr>
                <w:rFonts w:hint="default"/>
                <w:highlight w:val="none"/>
              </w:rPr>
            </w:pPr>
          </w:p>
        </w:tc>
        <w:tc>
          <w:tcPr>
            <w:tcW w:w="4167" w:type="dxa"/>
            <w:gridSpan w:val="3"/>
            <w:shd w:val="clear" w:color="auto" w:fill="auto"/>
            <w:vAlign w:val="center"/>
          </w:tcPr>
          <w:p w14:paraId="4DC2F078">
            <w:pPr>
              <w:pStyle w:val="8"/>
              <w:suppressLineNumbers w:val="0"/>
              <w:bidi w:val="0"/>
              <w:spacing w:before="0" w:beforeAutospacing="0" w:after="0" w:afterAutospacing="0"/>
              <w:ind w:left="0" w:right="0" w:firstLine="0" w:firstLineChars="0"/>
              <w:rPr>
                <w:rFonts w:hint="default"/>
                <w:highlight w:val="none"/>
                <w:lang w:val="en-US" w:eastAsia="zh-CN"/>
              </w:rPr>
            </w:pPr>
            <w:r>
              <w:rPr>
                <w:rFonts w:hint="eastAsia"/>
                <w:highlight w:val="none"/>
                <w:lang w:val="en-US" w:eastAsia="zh-CN"/>
              </w:rPr>
              <w:t>废油（类别：</w:t>
            </w:r>
            <w:r>
              <w:rPr>
                <w:rFonts w:hint="default"/>
                <w:highlight w:val="none"/>
                <w:lang w:val="en-US" w:eastAsia="zh-CN"/>
              </w:rPr>
              <w:t>HW08</w:t>
            </w:r>
            <w:r>
              <w:rPr>
                <w:rFonts w:hint="eastAsia"/>
                <w:highlight w:val="none"/>
                <w:lang w:val="en-US" w:eastAsia="zh-CN"/>
              </w:rPr>
              <w:t>，代码：</w:t>
            </w:r>
            <w:r>
              <w:rPr>
                <w:rFonts w:hint="default"/>
                <w:highlight w:val="none"/>
                <w:lang w:val="en-US" w:eastAsia="zh-CN"/>
              </w:rPr>
              <w:t>900-249-08</w:t>
            </w:r>
            <w:r>
              <w:rPr>
                <w:rFonts w:hint="eastAsia"/>
                <w:highlight w:val="none"/>
                <w:lang w:val="en-US" w:eastAsia="zh-CN"/>
              </w:rPr>
              <w:t>）</w:t>
            </w:r>
          </w:p>
        </w:tc>
        <w:tc>
          <w:tcPr>
            <w:tcW w:w="4861" w:type="dxa"/>
            <w:vMerge w:val="continue"/>
            <w:vAlign w:val="center"/>
          </w:tcPr>
          <w:p w14:paraId="04867113">
            <w:pPr>
              <w:pStyle w:val="8"/>
              <w:suppressLineNumbers w:val="0"/>
              <w:bidi w:val="0"/>
              <w:spacing w:before="0" w:beforeAutospacing="0" w:after="0" w:afterAutospacing="0"/>
              <w:ind w:left="0" w:right="0"/>
              <w:rPr>
                <w:rFonts w:hint="default"/>
                <w:highlight w:val="none"/>
              </w:rPr>
            </w:pPr>
          </w:p>
        </w:tc>
        <w:tc>
          <w:tcPr>
            <w:tcW w:w="4439" w:type="dxa"/>
            <w:vMerge w:val="continue"/>
            <w:shd w:val="clear" w:color="auto" w:fill="auto"/>
            <w:vAlign w:val="center"/>
          </w:tcPr>
          <w:p w14:paraId="1618339D">
            <w:pPr>
              <w:pStyle w:val="8"/>
              <w:suppressLineNumbers w:val="0"/>
              <w:bidi w:val="0"/>
              <w:spacing w:before="0" w:beforeAutospacing="0" w:after="0" w:afterAutospacing="0"/>
              <w:ind w:left="0" w:right="0"/>
              <w:rPr>
                <w:rFonts w:hint="default"/>
                <w:highlight w:val="none"/>
              </w:rPr>
            </w:pPr>
          </w:p>
        </w:tc>
      </w:tr>
      <w:tr w14:paraId="6B2223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815" w:type="dxa"/>
            <w:vMerge w:val="continue"/>
            <w:shd w:val="clear" w:color="auto" w:fill="auto"/>
            <w:vAlign w:val="center"/>
          </w:tcPr>
          <w:p w14:paraId="37368B4C">
            <w:pPr>
              <w:pStyle w:val="8"/>
              <w:suppressLineNumbers w:val="0"/>
              <w:bidi w:val="0"/>
              <w:spacing w:before="0" w:beforeAutospacing="0" w:after="0" w:afterAutospacing="0"/>
              <w:ind w:left="0" w:right="0"/>
              <w:rPr>
                <w:rFonts w:hint="default"/>
                <w:highlight w:val="none"/>
              </w:rPr>
            </w:pPr>
          </w:p>
        </w:tc>
        <w:tc>
          <w:tcPr>
            <w:tcW w:w="4167" w:type="dxa"/>
            <w:gridSpan w:val="3"/>
            <w:shd w:val="clear" w:color="auto" w:fill="auto"/>
            <w:vAlign w:val="center"/>
          </w:tcPr>
          <w:p w14:paraId="29D2666D">
            <w:pPr>
              <w:pStyle w:val="8"/>
              <w:suppressLineNumbers w:val="0"/>
              <w:bidi w:val="0"/>
              <w:spacing w:before="0" w:beforeAutospacing="0" w:after="0" w:afterAutospacing="0"/>
              <w:ind w:left="0" w:right="0" w:firstLine="0" w:firstLineChars="0"/>
              <w:rPr>
                <w:rFonts w:hint="default"/>
                <w:highlight w:val="none"/>
                <w:lang w:val="en-US" w:eastAsia="zh-CN"/>
              </w:rPr>
            </w:pPr>
            <w:r>
              <w:rPr>
                <w:rFonts w:hint="eastAsia"/>
                <w:highlight w:val="none"/>
                <w:lang w:val="en-US" w:eastAsia="zh-CN"/>
              </w:rPr>
              <w:t>废过滤材料（类别：</w:t>
            </w:r>
            <w:r>
              <w:rPr>
                <w:rFonts w:hint="default"/>
                <w:highlight w:val="none"/>
                <w:lang w:val="en-US" w:eastAsia="zh-CN"/>
              </w:rPr>
              <w:t>HW49</w:t>
            </w:r>
            <w:r>
              <w:rPr>
                <w:rFonts w:hint="eastAsia"/>
                <w:highlight w:val="none"/>
                <w:lang w:val="en-US" w:eastAsia="zh-CN"/>
              </w:rPr>
              <w:t>，代码：</w:t>
            </w:r>
            <w:r>
              <w:rPr>
                <w:rFonts w:hint="default"/>
                <w:highlight w:val="none"/>
                <w:lang w:val="en-US" w:eastAsia="zh-CN"/>
              </w:rPr>
              <w:t>900-041-49</w:t>
            </w:r>
            <w:r>
              <w:rPr>
                <w:rFonts w:hint="eastAsia"/>
                <w:highlight w:val="none"/>
                <w:lang w:val="en-US" w:eastAsia="zh-CN"/>
              </w:rPr>
              <w:t>）</w:t>
            </w:r>
          </w:p>
        </w:tc>
        <w:tc>
          <w:tcPr>
            <w:tcW w:w="4861" w:type="dxa"/>
            <w:vMerge w:val="continue"/>
            <w:vAlign w:val="center"/>
          </w:tcPr>
          <w:p w14:paraId="7A3E69B2">
            <w:pPr>
              <w:pStyle w:val="8"/>
              <w:suppressLineNumbers w:val="0"/>
              <w:bidi w:val="0"/>
              <w:spacing w:before="0" w:beforeAutospacing="0" w:after="0" w:afterAutospacing="0"/>
              <w:ind w:left="0" w:right="0"/>
              <w:rPr>
                <w:rFonts w:hint="default"/>
                <w:highlight w:val="none"/>
              </w:rPr>
            </w:pPr>
          </w:p>
        </w:tc>
        <w:tc>
          <w:tcPr>
            <w:tcW w:w="4439" w:type="dxa"/>
            <w:vMerge w:val="continue"/>
            <w:shd w:val="clear" w:color="auto" w:fill="auto"/>
            <w:vAlign w:val="center"/>
          </w:tcPr>
          <w:p w14:paraId="1E8A170D">
            <w:pPr>
              <w:pStyle w:val="8"/>
              <w:suppressLineNumbers w:val="0"/>
              <w:bidi w:val="0"/>
              <w:spacing w:before="0" w:beforeAutospacing="0" w:after="0" w:afterAutospacing="0"/>
              <w:ind w:left="0" w:right="0"/>
              <w:rPr>
                <w:rFonts w:hint="default"/>
                <w:highlight w:val="none"/>
              </w:rPr>
            </w:pPr>
          </w:p>
        </w:tc>
      </w:tr>
      <w:tr w14:paraId="412083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5" w:type="dxa"/>
            <w:shd w:val="clear" w:color="auto" w:fill="auto"/>
            <w:vAlign w:val="center"/>
          </w:tcPr>
          <w:p w14:paraId="0BD3519A">
            <w:pPr>
              <w:pStyle w:val="8"/>
              <w:suppressLineNumbers w:val="0"/>
              <w:bidi w:val="0"/>
              <w:spacing w:before="0" w:beforeAutospacing="0" w:after="0" w:afterAutospacing="0"/>
              <w:ind w:left="0" w:right="0"/>
              <w:rPr>
                <w:rFonts w:hint="default"/>
                <w:highlight w:val="none"/>
              </w:rPr>
            </w:pPr>
            <w:r>
              <w:rPr>
                <w:rFonts w:hint="default"/>
                <w:highlight w:val="none"/>
              </w:rPr>
              <w:t>地下水</w:t>
            </w:r>
          </w:p>
        </w:tc>
        <w:tc>
          <w:tcPr>
            <w:tcW w:w="4167" w:type="dxa"/>
            <w:gridSpan w:val="3"/>
            <w:shd w:val="clear" w:color="auto" w:fill="auto"/>
            <w:vAlign w:val="center"/>
          </w:tcPr>
          <w:p w14:paraId="5E14EF54">
            <w:pPr>
              <w:pStyle w:val="8"/>
              <w:suppressLineNumbers w:val="0"/>
              <w:bidi w:val="0"/>
              <w:spacing w:before="0" w:beforeAutospacing="0" w:after="0" w:afterAutospacing="0"/>
              <w:ind w:left="0" w:right="0"/>
              <w:rPr>
                <w:rFonts w:hint="default"/>
                <w:highlight w:val="none"/>
              </w:rPr>
            </w:pPr>
            <w:r>
              <w:rPr>
                <w:rFonts w:hint="default"/>
                <w:highlight w:val="none"/>
              </w:rPr>
              <w:t>厂区油类物质跑冒滴漏下渗</w:t>
            </w:r>
          </w:p>
        </w:tc>
        <w:tc>
          <w:tcPr>
            <w:tcW w:w="4861" w:type="dxa"/>
            <w:vAlign w:val="center"/>
          </w:tcPr>
          <w:p w14:paraId="3D44AD8D">
            <w:pPr>
              <w:pStyle w:val="8"/>
              <w:suppressLineNumbers w:val="0"/>
              <w:bidi w:val="0"/>
              <w:spacing w:before="0" w:beforeAutospacing="0" w:after="0" w:afterAutospacing="0"/>
              <w:ind w:left="0" w:right="0"/>
              <w:rPr>
                <w:rFonts w:hint="default"/>
                <w:highlight w:val="none"/>
              </w:rPr>
            </w:pPr>
            <w:r>
              <w:rPr>
                <w:rFonts w:hint="default" w:ascii="Times New Roman" w:hAnsi="Times New Roman" w:cs="Times New Roman" w:eastAsiaTheme="minorEastAsia"/>
                <w:bCs/>
                <w:spacing w:val="0"/>
                <w:position w:val="0"/>
                <w:highlight w:val="none"/>
              </w:rPr>
              <w:t>生产车间</w:t>
            </w:r>
            <w:r>
              <w:rPr>
                <w:rFonts w:hint="eastAsia" w:cs="Times New Roman" w:eastAsiaTheme="minorEastAsia"/>
                <w:bCs/>
                <w:spacing w:val="0"/>
                <w:position w:val="0"/>
                <w:highlight w:val="none"/>
                <w:lang w:val="en-US" w:eastAsia="zh-CN"/>
              </w:rPr>
              <w:t>原料贮存区、危险废物贮存库均</w:t>
            </w:r>
            <w:r>
              <w:rPr>
                <w:rFonts w:hint="default" w:ascii="Times New Roman" w:hAnsi="Times New Roman" w:cs="Times New Roman" w:eastAsiaTheme="minorEastAsia"/>
                <w:bCs/>
                <w:spacing w:val="0"/>
                <w:position w:val="0"/>
                <w:highlight w:val="none"/>
              </w:rPr>
              <w:t>采取重点防渗</w:t>
            </w:r>
          </w:p>
        </w:tc>
        <w:tc>
          <w:tcPr>
            <w:tcW w:w="4439" w:type="dxa"/>
            <w:shd w:val="clear" w:color="auto" w:fill="auto"/>
            <w:vAlign w:val="center"/>
          </w:tcPr>
          <w:p w14:paraId="73B4282B">
            <w:pPr>
              <w:pStyle w:val="8"/>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ind w:left="0" w:right="0"/>
              <w:textAlignment w:val="auto"/>
              <w:rPr>
                <w:rFonts w:hint="default"/>
                <w:highlight w:val="none"/>
              </w:rPr>
            </w:pPr>
            <w:r>
              <w:rPr>
                <w:rFonts w:hint="default"/>
                <w:highlight w:val="none"/>
              </w:rPr>
              <w:t>防渗，地下水下游设置跟踪监测井，《地下水质量标准》（GB/T14848-2017）Ⅲ类标准</w:t>
            </w:r>
          </w:p>
        </w:tc>
      </w:tr>
    </w:tbl>
    <w:p w14:paraId="393DAE54">
      <w:pPr>
        <w:widowControl/>
        <w:jc w:val="left"/>
        <w:rPr>
          <w:rFonts w:eastAsiaTheme="minorEastAsia"/>
          <w:kern w:val="0"/>
          <w:sz w:val="24"/>
          <w:highlight w:val="none"/>
        </w:rPr>
        <w:sectPr>
          <w:pgSz w:w="16838" w:h="11906" w:orient="landscape"/>
          <w:pgMar w:top="1800" w:right="1440" w:bottom="1800" w:left="1440" w:header="851" w:footer="992" w:gutter="0"/>
          <w:pgBorders w:offsetFrom="page">
            <w:top w:val="none" w:sz="0" w:space="0"/>
            <w:left w:val="none" w:sz="0" w:space="0"/>
            <w:bottom w:val="none" w:sz="0" w:space="0"/>
            <w:right w:val="none" w:sz="0" w:space="0"/>
          </w:pgBorders>
          <w:cols w:space="720" w:num="1"/>
          <w:docGrid w:type="lines" w:linePitch="326" w:charSpace="0"/>
        </w:sectPr>
      </w:pPr>
    </w:p>
    <w:p w14:paraId="2AD8F797">
      <w:pPr>
        <w:pStyle w:val="3"/>
        <w:bidi w:val="0"/>
        <w:rPr>
          <w:highlight w:val="none"/>
        </w:rPr>
      </w:pPr>
      <w:bookmarkStart w:id="637" w:name="_Toc15991728"/>
      <w:bookmarkStart w:id="638" w:name="_Toc23536"/>
      <w:bookmarkStart w:id="639" w:name="_Toc8553"/>
      <w:bookmarkStart w:id="640" w:name="_Toc1752"/>
      <w:bookmarkStart w:id="641" w:name="_Toc477954592"/>
      <w:bookmarkStart w:id="642" w:name="_Toc454962811"/>
      <w:r>
        <w:rPr>
          <w:highlight w:val="none"/>
        </w:rPr>
        <w:t>8.4总量控制</w:t>
      </w:r>
      <w:bookmarkEnd w:id="637"/>
      <w:bookmarkEnd w:id="638"/>
      <w:bookmarkEnd w:id="639"/>
      <w:bookmarkEnd w:id="640"/>
    </w:p>
    <w:p w14:paraId="7E9283C2">
      <w:pPr>
        <w:pStyle w:val="4"/>
        <w:bidi w:val="0"/>
        <w:rPr>
          <w:highlight w:val="none"/>
        </w:rPr>
      </w:pPr>
      <w:bookmarkStart w:id="643" w:name="_Toc31726"/>
      <w:bookmarkStart w:id="644" w:name="_Toc16163"/>
      <w:bookmarkStart w:id="645" w:name="_Toc15991729"/>
      <w:r>
        <w:rPr>
          <w:highlight w:val="none"/>
        </w:rPr>
        <w:t>8.4.1总量控制的意义和原则</w:t>
      </w:r>
      <w:bookmarkEnd w:id="643"/>
      <w:bookmarkEnd w:id="644"/>
      <w:bookmarkEnd w:id="645"/>
    </w:p>
    <w:p w14:paraId="51A3CA39">
      <w:pPr>
        <w:bidi w:val="0"/>
        <w:rPr>
          <w:highlight w:val="none"/>
        </w:rPr>
      </w:pPr>
      <w:r>
        <w:rPr>
          <w:highlight w:val="none"/>
        </w:rPr>
        <w:t>实施总量控制将促进资源、能源的</w:t>
      </w:r>
      <w:r>
        <w:rPr>
          <w:rFonts w:hint="eastAsia"/>
          <w:highlight w:val="none"/>
          <w:lang w:eastAsia="zh-CN"/>
        </w:rPr>
        <w:t>合理利用</w:t>
      </w:r>
      <w:r>
        <w:rPr>
          <w:highlight w:val="none"/>
        </w:rPr>
        <w:t>和优化配置，加速产业结构的调整，实现经济增长方式的根本转变；实施总量控制可以较好地协调经济发展与环境保护之间的关系，推动可持续发展战略的实行。</w:t>
      </w:r>
    </w:p>
    <w:p w14:paraId="2442B461">
      <w:pPr>
        <w:pStyle w:val="4"/>
        <w:bidi w:val="0"/>
        <w:rPr>
          <w:highlight w:val="none"/>
        </w:rPr>
      </w:pPr>
      <w:bookmarkStart w:id="646" w:name="_Toc1983"/>
      <w:bookmarkStart w:id="647" w:name="_Toc13554"/>
      <w:bookmarkStart w:id="648" w:name="_Toc15991730"/>
      <w:r>
        <w:rPr>
          <w:highlight w:val="none"/>
        </w:rPr>
        <w:t>8.4.2总量控制因子</w:t>
      </w:r>
      <w:bookmarkEnd w:id="646"/>
      <w:bookmarkEnd w:id="647"/>
      <w:bookmarkEnd w:id="648"/>
    </w:p>
    <w:p w14:paraId="7BF90349">
      <w:pPr>
        <w:bidi w:val="0"/>
        <w:rPr>
          <w:highlight w:val="none"/>
        </w:rPr>
      </w:pPr>
      <w:r>
        <w:rPr>
          <w:highlight w:val="none"/>
        </w:rPr>
        <w:t>考虑本项目工程排污特征，确定本项目污染物排放总量控制因子为：</w:t>
      </w:r>
    </w:p>
    <w:p w14:paraId="02B2B0B4">
      <w:pPr>
        <w:bidi w:val="0"/>
        <w:rPr>
          <w:highlight w:val="none"/>
        </w:rPr>
      </w:pPr>
      <w:r>
        <w:rPr>
          <w:highlight w:val="none"/>
        </w:rPr>
        <w:t>废气：挥发性有机物；</w:t>
      </w:r>
    </w:p>
    <w:p w14:paraId="2368A1BE">
      <w:pPr>
        <w:pStyle w:val="4"/>
        <w:bidi w:val="0"/>
        <w:rPr>
          <w:highlight w:val="none"/>
        </w:rPr>
      </w:pPr>
      <w:bookmarkStart w:id="649" w:name="_Toc27886"/>
      <w:bookmarkStart w:id="650" w:name="_Toc12704"/>
      <w:bookmarkStart w:id="651" w:name="_Toc15991731"/>
      <w:r>
        <w:rPr>
          <w:highlight w:val="none"/>
        </w:rPr>
        <w:t>8.4.3总量核算</w:t>
      </w:r>
      <w:bookmarkEnd w:id="649"/>
      <w:bookmarkEnd w:id="650"/>
      <w:bookmarkEnd w:id="651"/>
    </w:p>
    <w:p w14:paraId="73CA8982">
      <w:pPr>
        <w:pStyle w:val="76"/>
        <w:adjustRightInd/>
        <w:snapToGrid/>
        <w:contextualSpacing/>
        <w:rPr>
          <w:rFonts w:ascii="Times New Roman" w:hAnsi="Times New Roman" w:cs="Times New Roman"/>
          <w:highlight w:val="none"/>
        </w:rPr>
      </w:pPr>
      <w:r>
        <w:rPr>
          <w:rFonts w:ascii="Times New Roman" w:cs="Times New Roman" w:hAnsiTheme="minorEastAsia"/>
          <w:highlight w:val="none"/>
        </w:rPr>
        <w:t>本项目总量核算见表</w:t>
      </w:r>
      <w:r>
        <w:rPr>
          <w:rFonts w:ascii="Times New Roman" w:hAnsi="Times New Roman" w:cs="Times New Roman"/>
          <w:highlight w:val="none"/>
        </w:rPr>
        <w:t>8-4-1</w:t>
      </w:r>
      <w:r>
        <w:rPr>
          <w:rFonts w:ascii="Times New Roman" w:cs="Times New Roman" w:hAnsiTheme="minorEastAsia"/>
          <w:highlight w:val="none"/>
        </w:rPr>
        <w:t>。具体计算说明见附件</w:t>
      </w:r>
      <w:r>
        <w:rPr>
          <w:rFonts w:hint="eastAsia" w:ascii="Times New Roman" w:cs="Times New Roman" w:hAnsiTheme="minorEastAsia"/>
          <w:highlight w:val="none"/>
          <w:lang w:val="en-US" w:eastAsia="zh-CN"/>
        </w:rPr>
        <w:t>3</w:t>
      </w:r>
      <w:r>
        <w:rPr>
          <w:rFonts w:hint="eastAsia" w:ascii="Times New Roman" w:cs="Times New Roman" w:hAnsiTheme="minorEastAsia"/>
          <w:highlight w:val="none"/>
        </w:rPr>
        <w:t>。</w:t>
      </w:r>
    </w:p>
    <w:p w14:paraId="61D4BC8E">
      <w:pPr>
        <w:pStyle w:val="7"/>
        <w:bidi w:val="0"/>
        <w:rPr>
          <w:rFonts w:hint="default"/>
          <w:highlight w:val="none"/>
          <w:lang w:val="en-US"/>
        </w:rPr>
      </w:pPr>
      <w:bookmarkStart w:id="652" w:name="_Toc15991732"/>
      <w:r>
        <w:rPr>
          <w:rFonts w:hint="eastAsia"/>
          <w:highlight w:val="none"/>
          <w:lang w:val="en-US" w:eastAsia="zh-CN"/>
        </w:rPr>
        <w:t>表</w:t>
      </w:r>
      <w:r>
        <w:rPr>
          <w:rFonts w:hint="default"/>
          <w:highlight w:val="none"/>
          <w:lang w:val="en-US" w:eastAsia="zh-CN"/>
        </w:rPr>
        <w:t>8-4-1</w:t>
      </w:r>
      <w:r>
        <w:rPr>
          <w:rFonts w:hint="eastAsia"/>
          <w:highlight w:val="none"/>
          <w:lang w:val="en-US" w:eastAsia="zh-CN"/>
        </w:rPr>
        <w:t>项目实施前后</w:t>
      </w:r>
      <w:r>
        <w:rPr>
          <w:rFonts w:hint="default"/>
          <w:highlight w:val="none"/>
          <w:lang w:val="en-US" w:eastAsia="zh-CN"/>
        </w:rPr>
        <w:t>“</w:t>
      </w:r>
      <w:r>
        <w:rPr>
          <w:rFonts w:hint="eastAsia"/>
          <w:highlight w:val="none"/>
          <w:lang w:val="en-US" w:eastAsia="zh-CN"/>
        </w:rPr>
        <w:t>三本账</w:t>
      </w:r>
      <w:r>
        <w:rPr>
          <w:rFonts w:hint="default"/>
          <w:highlight w:val="none"/>
          <w:lang w:val="en-US" w:eastAsia="zh-CN"/>
        </w:rPr>
        <w:t>”</w:t>
      </w:r>
      <w:r>
        <w:rPr>
          <w:rFonts w:hint="eastAsia"/>
          <w:highlight w:val="none"/>
          <w:lang w:val="en-US" w:eastAsia="zh-CN"/>
        </w:rPr>
        <w:t>单位：</w:t>
      </w:r>
      <w:r>
        <w:rPr>
          <w:rFonts w:hint="default"/>
          <w:highlight w:val="none"/>
          <w:lang w:val="en-US" w:eastAsia="zh-CN"/>
        </w:rPr>
        <w:t>t/a</w:t>
      </w:r>
    </w:p>
    <w:tbl>
      <w:tblPr>
        <w:tblStyle w:val="45"/>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384"/>
        <w:gridCol w:w="2426"/>
        <w:gridCol w:w="2227"/>
        <w:gridCol w:w="2485"/>
      </w:tblGrid>
      <w:tr w14:paraId="36EC2F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812" w:type="pct"/>
            <w:vMerge w:val="restart"/>
            <w:tcBorders>
              <w:tl2br w:val="nil"/>
              <w:tr2bl w:val="nil"/>
            </w:tcBorders>
            <w:shd w:val="clear" w:color="auto" w:fill="auto"/>
            <w:vAlign w:val="center"/>
          </w:tcPr>
          <w:p w14:paraId="493E5D6D">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项目</w:t>
            </w:r>
          </w:p>
        </w:tc>
        <w:tc>
          <w:tcPr>
            <w:tcW w:w="1423" w:type="pct"/>
            <w:vMerge w:val="restart"/>
            <w:tcBorders>
              <w:tl2br w:val="nil"/>
              <w:tr2bl w:val="nil"/>
            </w:tcBorders>
            <w:shd w:val="clear" w:color="auto" w:fill="auto"/>
            <w:vAlign w:val="center"/>
          </w:tcPr>
          <w:p w14:paraId="13CDE70E">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名称</w:t>
            </w:r>
          </w:p>
        </w:tc>
        <w:tc>
          <w:tcPr>
            <w:tcW w:w="2764" w:type="pct"/>
            <w:gridSpan w:val="2"/>
            <w:tcBorders>
              <w:tl2br w:val="nil"/>
              <w:tr2bl w:val="nil"/>
            </w:tcBorders>
            <w:shd w:val="clear" w:color="auto" w:fill="auto"/>
            <w:vAlign w:val="center"/>
          </w:tcPr>
          <w:p w14:paraId="334250FC">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本工程</w:t>
            </w:r>
          </w:p>
        </w:tc>
      </w:tr>
      <w:tr w14:paraId="132AAB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812" w:type="pct"/>
            <w:vMerge w:val="continue"/>
            <w:tcBorders>
              <w:tl2br w:val="nil"/>
              <w:tr2bl w:val="nil"/>
            </w:tcBorders>
            <w:shd w:val="clear" w:color="auto" w:fill="auto"/>
            <w:vAlign w:val="center"/>
          </w:tcPr>
          <w:p w14:paraId="31CA000D">
            <w:pPr>
              <w:pStyle w:val="8"/>
              <w:suppressLineNumbers w:val="0"/>
              <w:bidi w:val="0"/>
              <w:spacing w:before="0" w:beforeAutospacing="0" w:after="0" w:afterAutospacing="0"/>
              <w:ind w:left="0" w:right="0"/>
              <w:rPr>
                <w:rFonts w:hint="default"/>
                <w:highlight w:val="none"/>
              </w:rPr>
            </w:pPr>
          </w:p>
        </w:tc>
        <w:tc>
          <w:tcPr>
            <w:tcW w:w="1423" w:type="pct"/>
            <w:vMerge w:val="continue"/>
            <w:tcBorders>
              <w:tl2br w:val="nil"/>
              <w:tr2bl w:val="nil"/>
            </w:tcBorders>
            <w:shd w:val="clear" w:color="auto" w:fill="auto"/>
            <w:vAlign w:val="center"/>
          </w:tcPr>
          <w:p w14:paraId="0E233B91">
            <w:pPr>
              <w:pStyle w:val="8"/>
              <w:suppressLineNumbers w:val="0"/>
              <w:bidi w:val="0"/>
              <w:spacing w:before="0" w:beforeAutospacing="0" w:after="0" w:afterAutospacing="0"/>
              <w:ind w:left="0" w:right="0"/>
              <w:rPr>
                <w:rFonts w:hint="default"/>
                <w:highlight w:val="none"/>
              </w:rPr>
            </w:pPr>
          </w:p>
        </w:tc>
        <w:tc>
          <w:tcPr>
            <w:tcW w:w="1306" w:type="pct"/>
            <w:tcBorders>
              <w:tl2br w:val="nil"/>
              <w:tr2bl w:val="nil"/>
            </w:tcBorders>
            <w:shd w:val="clear" w:color="auto" w:fill="auto"/>
            <w:vAlign w:val="center"/>
          </w:tcPr>
          <w:p w14:paraId="1E9EFDDE">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预测排放量</w:t>
            </w:r>
          </w:p>
        </w:tc>
        <w:tc>
          <w:tcPr>
            <w:tcW w:w="1457" w:type="pct"/>
            <w:tcBorders>
              <w:tl2br w:val="nil"/>
              <w:tr2bl w:val="nil"/>
            </w:tcBorders>
            <w:shd w:val="clear" w:color="auto" w:fill="auto"/>
            <w:vAlign w:val="center"/>
          </w:tcPr>
          <w:p w14:paraId="19745E33">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核定排放量</w:t>
            </w:r>
          </w:p>
        </w:tc>
      </w:tr>
      <w:tr w14:paraId="45AB6D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812" w:type="pct"/>
            <w:tcBorders>
              <w:tl2br w:val="nil"/>
              <w:tr2bl w:val="nil"/>
            </w:tcBorders>
            <w:shd w:val="clear" w:color="auto" w:fill="auto"/>
            <w:vAlign w:val="center"/>
          </w:tcPr>
          <w:p w14:paraId="6273B632">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废气</w:t>
            </w:r>
          </w:p>
        </w:tc>
        <w:tc>
          <w:tcPr>
            <w:tcW w:w="1423" w:type="pct"/>
            <w:tcBorders>
              <w:tl2br w:val="nil"/>
              <w:tr2bl w:val="nil"/>
            </w:tcBorders>
            <w:shd w:val="clear" w:color="auto" w:fill="auto"/>
            <w:vAlign w:val="center"/>
          </w:tcPr>
          <w:p w14:paraId="2D9C1339">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挥发性有机物</w:t>
            </w:r>
          </w:p>
        </w:tc>
        <w:tc>
          <w:tcPr>
            <w:tcW w:w="1306" w:type="pct"/>
            <w:tcBorders>
              <w:tl2br w:val="nil"/>
              <w:tr2bl w:val="nil"/>
            </w:tcBorders>
            <w:shd w:val="clear" w:color="auto" w:fill="auto"/>
            <w:vAlign w:val="center"/>
          </w:tcPr>
          <w:p w14:paraId="5914F102">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0.965</w:t>
            </w:r>
          </w:p>
        </w:tc>
        <w:tc>
          <w:tcPr>
            <w:tcW w:w="1457" w:type="pct"/>
            <w:tcBorders>
              <w:tl2br w:val="nil"/>
              <w:tr2bl w:val="nil"/>
            </w:tcBorders>
            <w:shd w:val="clear" w:color="auto" w:fill="auto"/>
            <w:vAlign w:val="center"/>
          </w:tcPr>
          <w:p w14:paraId="6B17405E">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114.528</w:t>
            </w:r>
          </w:p>
        </w:tc>
      </w:tr>
    </w:tbl>
    <w:p w14:paraId="0572CF22">
      <w:pPr>
        <w:keepNext/>
        <w:keepLines/>
        <w:spacing w:line="360" w:lineRule="auto"/>
        <w:contextualSpacing/>
        <w:jc w:val="left"/>
        <w:outlineLvl w:val="9"/>
        <w:rPr>
          <w:rFonts w:hint="eastAsia" w:eastAsiaTheme="minorEastAsia"/>
          <w:b/>
          <w:bCs/>
          <w:snapToGrid w:val="0"/>
          <w:kern w:val="0"/>
          <w:sz w:val="21"/>
          <w:szCs w:val="21"/>
          <w:highlight w:val="none"/>
          <w:lang w:val="en-US" w:eastAsia="zh-CN"/>
        </w:rPr>
      </w:pPr>
      <w:r>
        <w:rPr>
          <w:rFonts w:hint="eastAsia" w:eastAsiaTheme="minorEastAsia"/>
          <w:b/>
          <w:bCs/>
          <w:snapToGrid w:val="0"/>
          <w:kern w:val="0"/>
          <w:sz w:val="21"/>
          <w:szCs w:val="21"/>
          <w:highlight w:val="none"/>
          <w:lang w:val="en-US" w:eastAsia="zh-CN"/>
        </w:rPr>
        <w:t>注：本工程核定排放量计算见附件3。</w:t>
      </w:r>
    </w:p>
    <w:p w14:paraId="6BB2256F">
      <w:pPr>
        <w:pStyle w:val="3"/>
        <w:bidi w:val="0"/>
        <w:rPr>
          <w:highlight w:val="none"/>
        </w:rPr>
      </w:pPr>
      <w:bookmarkStart w:id="653" w:name="_Toc21"/>
      <w:r>
        <w:rPr>
          <w:highlight w:val="none"/>
        </w:rPr>
        <w:t>8.5与排污许可证制度衔接</w:t>
      </w:r>
      <w:bookmarkEnd w:id="652"/>
      <w:bookmarkEnd w:id="653"/>
    </w:p>
    <w:p w14:paraId="59A6B2F1">
      <w:pPr>
        <w:bidi w:val="0"/>
        <w:rPr>
          <w:highlight w:val="none"/>
        </w:rPr>
      </w:pPr>
      <w:r>
        <w:rPr>
          <w:highlight w:val="none"/>
        </w:rPr>
        <w:t>目前我国正在推进排污许可制度改革工作。生态环境部也大力推进排污许可证制度，并作为</w:t>
      </w:r>
      <w:r>
        <w:rPr>
          <w:rFonts w:hint="eastAsia"/>
          <w:highlight w:val="none"/>
          <w:lang w:eastAsia="zh-CN"/>
        </w:rPr>
        <w:t>“</w:t>
      </w:r>
      <w:r>
        <w:rPr>
          <w:highlight w:val="none"/>
        </w:rPr>
        <w:t>十三五</w:t>
      </w:r>
      <w:r>
        <w:rPr>
          <w:rFonts w:hint="eastAsia"/>
          <w:highlight w:val="none"/>
          <w:lang w:eastAsia="zh-CN"/>
        </w:rPr>
        <w:t>”</w:t>
      </w:r>
      <w:r>
        <w:rPr>
          <w:highlight w:val="none"/>
        </w:rPr>
        <w:t>国家固定源环境管理的核心，《国务院办公厅关于印发控制污染物排放许可制实施方案的通知》（国办发[2016]81号）明确将排污许可制建设成为固定污染源环境管理的核心制度，作为企业守法、部门执法、社会监督的依据，为提高环境管理效能和改善环境质量奠定坚实基础。</w:t>
      </w:r>
    </w:p>
    <w:p w14:paraId="18B132F4">
      <w:pPr>
        <w:bidi w:val="0"/>
        <w:rPr>
          <w:rFonts w:ascii="Times New Roman" w:hAnsi="Times New Roman" w:cs="Times New Roman"/>
          <w:highlight w:val="none"/>
        </w:rPr>
      </w:pPr>
      <w:r>
        <w:rPr>
          <w:highlight w:val="none"/>
        </w:rPr>
        <w:t>本项目应严格按照国家排污许可证改革的要求，推进刷卡排污及污染源</w:t>
      </w:r>
      <w:r>
        <w:rPr>
          <w:rFonts w:hint="eastAsia"/>
          <w:highlight w:val="none"/>
          <w:lang w:eastAsia="zh-CN"/>
        </w:rPr>
        <w:t>“</w:t>
      </w:r>
      <w:r>
        <w:rPr>
          <w:highlight w:val="none"/>
        </w:rPr>
        <w:t>一证式</w:t>
      </w:r>
      <w:r>
        <w:rPr>
          <w:rFonts w:hint="eastAsia"/>
          <w:highlight w:val="none"/>
          <w:lang w:eastAsia="zh-CN"/>
        </w:rPr>
        <w:t>”</w:t>
      </w:r>
      <w:r>
        <w:rPr>
          <w:highlight w:val="none"/>
        </w:rPr>
        <w:t>管理工作，并作为建设单位在生产运营期接受环境监管和环境保护部门实施监管的主要法律文书，单位依法申领排污许可证，按证排污，自证守法。环境保护部门基于企事业单位守法承诺，依法发放排污许可证，依证强化事中事后监管，对违法排污行为实施严厉打击。按证排污，自证守法，环境保护部门基于企事业单位守法承诺，依法发放排污许可证，依证强化事中事后监管，对违法排污行为实施严厉打击。企业在运营过程中，需按照许可证管理要求进行监测和申报，自证守法；许可证内容发生变更应进行申报，重大变更应重新环评和申请许可证变更。环保管理部门对许可证内容进行定期和不定期的监督核查。</w:t>
      </w:r>
    </w:p>
    <w:p w14:paraId="673B67F9">
      <w:pPr>
        <w:pStyle w:val="76"/>
        <w:adjustRightInd/>
        <w:snapToGrid/>
        <w:contextualSpacing/>
        <w:jc w:val="both"/>
        <w:rPr>
          <w:rFonts w:ascii="Times New Roman" w:hAnsi="Times New Roman" w:cs="Times New Roman"/>
          <w:highlight w:val="none"/>
        </w:rPr>
      </w:pPr>
    </w:p>
    <w:p w14:paraId="049A5139">
      <w:pPr>
        <w:spacing w:line="360" w:lineRule="auto"/>
        <w:ind w:firstLine="496" w:firstLineChars="200"/>
        <w:contextualSpacing/>
        <w:rPr>
          <w:rFonts w:eastAsiaTheme="minorEastAsia"/>
          <w:spacing w:val="4"/>
          <w:sz w:val="24"/>
          <w:highlight w:val="none"/>
        </w:rPr>
      </w:pPr>
    </w:p>
    <w:p w14:paraId="0B6530C6">
      <w:pPr>
        <w:spacing w:line="360" w:lineRule="auto"/>
        <w:ind w:firstLine="480" w:firstLineChars="200"/>
        <w:rPr>
          <w:rFonts w:eastAsiaTheme="minorEastAsia"/>
          <w:sz w:val="24"/>
          <w:highlight w:val="none"/>
        </w:rPr>
      </w:pPr>
    </w:p>
    <w:bookmarkEnd w:id="641"/>
    <w:bookmarkEnd w:id="642"/>
    <w:p w14:paraId="0FA87078">
      <w:pPr>
        <w:spacing w:line="360" w:lineRule="auto"/>
        <w:jc w:val="center"/>
        <w:rPr>
          <w:rFonts w:eastAsiaTheme="minorEastAsia"/>
          <w:b/>
          <w:szCs w:val="22"/>
          <w:highlight w:val="none"/>
        </w:rPr>
      </w:pPr>
    </w:p>
    <w:p w14:paraId="627ADA96">
      <w:pPr>
        <w:widowControl/>
        <w:spacing w:line="360" w:lineRule="auto"/>
        <w:jc w:val="left"/>
        <w:rPr>
          <w:rFonts w:eastAsiaTheme="minorEastAsia"/>
          <w:b/>
          <w:szCs w:val="22"/>
          <w:highlight w:val="none"/>
        </w:rPr>
        <w:sectPr>
          <w:pgSz w:w="11906" w:h="16838"/>
          <w:pgMar w:top="1440" w:right="1800" w:bottom="1440" w:left="1800" w:header="851" w:footer="992" w:gutter="0"/>
          <w:pgBorders w:offsetFrom="page">
            <w:top w:val="none" w:sz="0" w:space="0"/>
            <w:left w:val="none" w:sz="0" w:space="0"/>
            <w:bottom w:val="none" w:sz="0" w:space="0"/>
            <w:right w:val="none" w:sz="0" w:space="0"/>
          </w:pgBorders>
          <w:cols w:space="720" w:num="1"/>
          <w:docGrid w:type="lines" w:linePitch="312" w:charSpace="0"/>
        </w:sectPr>
      </w:pPr>
    </w:p>
    <w:p w14:paraId="4BBB55AB">
      <w:pPr>
        <w:pStyle w:val="2"/>
        <w:bidi w:val="0"/>
        <w:rPr>
          <w:highlight w:val="none"/>
        </w:rPr>
      </w:pPr>
      <w:bookmarkStart w:id="654" w:name="_Toc2272"/>
      <w:bookmarkStart w:id="655" w:name="_Toc21546"/>
      <w:bookmarkStart w:id="656" w:name="_Toc24907"/>
      <w:bookmarkStart w:id="657" w:name="_Toc477954594"/>
      <w:bookmarkStart w:id="658" w:name="_Toc484077219"/>
      <w:r>
        <w:rPr>
          <w:highlight w:val="none"/>
        </w:rPr>
        <w:t>9环境影响评价结论</w:t>
      </w:r>
      <w:bookmarkEnd w:id="654"/>
      <w:bookmarkEnd w:id="655"/>
      <w:bookmarkEnd w:id="656"/>
      <w:bookmarkEnd w:id="657"/>
      <w:bookmarkEnd w:id="658"/>
    </w:p>
    <w:p w14:paraId="12258250">
      <w:pPr>
        <w:pStyle w:val="3"/>
        <w:bidi w:val="0"/>
        <w:rPr>
          <w:highlight w:val="none"/>
        </w:rPr>
      </w:pPr>
      <w:bookmarkStart w:id="659" w:name="_Toc12991"/>
      <w:bookmarkStart w:id="660" w:name="_Toc2059"/>
      <w:bookmarkStart w:id="661" w:name="_Toc15991734"/>
      <w:bookmarkStart w:id="662" w:name="_Toc457030108"/>
      <w:bookmarkStart w:id="663" w:name="_Toc477368706"/>
      <w:r>
        <w:rPr>
          <w:highlight w:val="none"/>
        </w:rPr>
        <w:t>9.1评价结论</w:t>
      </w:r>
      <w:bookmarkEnd w:id="659"/>
      <w:bookmarkEnd w:id="660"/>
      <w:bookmarkEnd w:id="661"/>
      <w:bookmarkEnd w:id="662"/>
      <w:bookmarkEnd w:id="663"/>
    </w:p>
    <w:p w14:paraId="3319F427">
      <w:pPr>
        <w:pStyle w:val="4"/>
        <w:bidi w:val="0"/>
        <w:rPr>
          <w:highlight w:val="none"/>
        </w:rPr>
      </w:pPr>
      <w:bookmarkStart w:id="664" w:name="_Toc15991735"/>
      <w:bookmarkStart w:id="665" w:name="_Toc31481"/>
      <w:bookmarkStart w:id="666" w:name="_Toc10803"/>
      <w:r>
        <w:rPr>
          <w:highlight w:val="none"/>
        </w:rPr>
        <w:t>9.1.1建设概况</w:t>
      </w:r>
      <w:bookmarkEnd w:id="664"/>
      <w:bookmarkEnd w:id="665"/>
      <w:bookmarkEnd w:id="666"/>
    </w:p>
    <w:p w14:paraId="154E6127">
      <w:pPr>
        <w:bidi w:val="0"/>
        <w:rPr>
          <w:rFonts w:hint="eastAsia" w:eastAsia="宋体"/>
          <w:highlight w:val="none"/>
          <w:lang w:eastAsia="zh-CN"/>
        </w:rPr>
      </w:pPr>
      <w:bookmarkStart w:id="667" w:name="_Toc15991737"/>
      <w:r>
        <w:rPr>
          <w:highlight w:val="none"/>
        </w:rPr>
        <w:t>本项目位于</w:t>
      </w:r>
      <w:r>
        <w:rPr>
          <w:rFonts w:hint="eastAsia"/>
          <w:highlight w:val="none"/>
          <w:lang w:eastAsia="zh-CN"/>
        </w:rPr>
        <w:t>黑龙江省哈尔滨市开发区哈平路集中区征仪南路6号，哈尔滨东安汽车发动机制造有限公司院内</w:t>
      </w:r>
      <w:r>
        <w:rPr>
          <w:rFonts w:hint="default"/>
          <w:highlight w:val="none"/>
        </w:rPr>
        <w:t>，</w:t>
      </w:r>
      <w:r>
        <w:rPr>
          <w:rFonts w:hint="default"/>
          <w:highlight w:val="none"/>
          <w:lang w:val="en-US" w:eastAsia="zh-CN"/>
        </w:rPr>
        <w:t>不新增占地，用地性质为工业用地</w:t>
      </w:r>
      <w:r>
        <w:rPr>
          <w:rFonts w:hint="eastAsia"/>
          <w:highlight w:val="none"/>
          <w:lang w:eastAsia="zh-CN"/>
        </w:rPr>
        <w:t>，</w:t>
      </w:r>
      <w:r>
        <w:rPr>
          <w:rFonts w:hint="eastAsia"/>
          <w:highlight w:val="none"/>
          <w:lang w:val="en-US" w:eastAsia="zh-CN"/>
        </w:rPr>
        <w:t>改造原有4G9装试线，年产WE20TG发动机15万台；年加工含油金属屑2125t。</w:t>
      </w:r>
      <w:r>
        <w:rPr>
          <w:highlight w:val="none"/>
        </w:rPr>
        <w:t>总投资为</w:t>
      </w:r>
      <w:r>
        <w:rPr>
          <w:rFonts w:hint="eastAsia"/>
          <w:highlight w:val="none"/>
          <w:lang w:val="en-US" w:eastAsia="zh-CN"/>
        </w:rPr>
        <w:t>37296</w:t>
      </w:r>
      <w:r>
        <w:rPr>
          <w:highlight w:val="none"/>
        </w:rPr>
        <w:t>万元</w:t>
      </w:r>
      <w:r>
        <w:rPr>
          <w:rFonts w:hint="eastAsia"/>
          <w:highlight w:val="none"/>
          <w:lang w:eastAsia="zh-CN"/>
        </w:rPr>
        <w:t>。</w:t>
      </w:r>
    </w:p>
    <w:p w14:paraId="46899209">
      <w:pPr>
        <w:pStyle w:val="4"/>
        <w:bidi w:val="0"/>
        <w:rPr>
          <w:highlight w:val="none"/>
        </w:rPr>
      </w:pPr>
      <w:bookmarkStart w:id="668" w:name="_Toc22800"/>
      <w:bookmarkStart w:id="669" w:name="_Toc32598"/>
      <w:r>
        <w:rPr>
          <w:highlight w:val="none"/>
        </w:rPr>
        <w:t>9.1.2环境质量现状评价结论</w:t>
      </w:r>
      <w:bookmarkEnd w:id="667"/>
      <w:bookmarkEnd w:id="668"/>
      <w:bookmarkEnd w:id="669"/>
    </w:p>
    <w:p w14:paraId="03B062CF">
      <w:pPr>
        <w:bidi w:val="0"/>
        <w:rPr>
          <w:rFonts w:ascii="Times New Roman" w:hAnsi="Times New Roman" w:cs="Times New Roman"/>
          <w:b/>
          <w:highlight w:val="none"/>
        </w:rPr>
      </w:pPr>
      <w:r>
        <w:rPr>
          <w:rFonts w:ascii="Times New Roman" w:hAnsi="Times New Roman" w:cs="Times New Roman"/>
          <w:b/>
          <w:highlight w:val="none"/>
        </w:rPr>
        <w:t>9.1.2.1</w:t>
      </w:r>
      <w:r>
        <w:rPr>
          <w:rFonts w:ascii="Times New Roman" w:cs="Times New Roman" w:hAnsiTheme="minorEastAsia"/>
          <w:b/>
          <w:highlight w:val="none"/>
        </w:rPr>
        <w:t>地表水环境质量现状评价结论</w:t>
      </w:r>
    </w:p>
    <w:p w14:paraId="389CB39E">
      <w:pPr>
        <w:bidi w:val="0"/>
        <w:rPr>
          <w:rFonts w:hint="default" w:ascii="Times New Roman" w:hAnsi="Times New Roman" w:cs="Times New Roman" w:eastAsiaTheme="minorEastAsia"/>
          <w:b w:val="0"/>
          <w:bCs/>
          <w:sz w:val="24"/>
          <w:szCs w:val="24"/>
          <w:highlight w:val="none"/>
          <w:lang w:val="en-US"/>
        </w:rPr>
      </w:pPr>
      <w:r>
        <w:rPr>
          <w:rFonts w:hint="default" w:ascii="Times New Roman" w:hAnsi="Times New Roman" w:cs="Times New Roman"/>
          <w:highlight w:val="none"/>
        </w:rPr>
        <w:t>本项目纳污地表水体为松花江，位于朱顺屯断面至大顶子山断面，根据《</w:t>
      </w:r>
      <w:r>
        <w:rPr>
          <w:rFonts w:hint="default" w:ascii="Times New Roman" w:hAnsi="Times New Roman" w:cs="Times New Roman" w:eastAsiaTheme="minorEastAsia"/>
          <w:sz w:val="24"/>
          <w:highlight w:val="none"/>
        </w:rPr>
        <w:t>202</w:t>
      </w:r>
      <w:r>
        <w:rPr>
          <w:rFonts w:hint="eastAsia" w:cs="Times New Roman" w:eastAsiaTheme="minorEastAsia"/>
          <w:sz w:val="24"/>
          <w:highlight w:val="none"/>
          <w:lang w:val="en-US" w:eastAsia="zh-CN"/>
        </w:rPr>
        <w:t>4</w:t>
      </w:r>
      <w:r>
        <w:rPr>
          <w:rFonts w:hint="default" w:ascii="Times New Roman" w:hAnsi="Times New Roman" w:cs="Times New Roman" w:eastAsiaTheme="minorEastAsia"/>
          <w:sz w:val="24"/>
          <w:highlight w:val="none"/>
        </w:rPr>
        <w:t>年哈尔滨生态环境质量状况年报</w:t>
      </w:r>
      <w:r>
        <w:rPr>
          <w:rFonts w:hint="default" w:ascii="Times New Roman" w:hAnsi="Times New Roman" w:cs="Times New Roman"/>
          <w:highlight w:val="none"/>
        </w:rPr>
        <w:t>》</w:t>
      </w:r>
      <w:r>
        <w:rPr>
          <w:rFonts w:hint="eastAsia" w:cs="Times New Roman"/>
          <w:sz w:val="24"/>
          <w:szCs w:val="24"/>
          <w:highlight w:val="none"/>
          <w:lang w:eastAsia="zh-CN"/>
        </w:rPr>
        <w:t>，</w:t>
      </w:r>
      <w:r>
        <w:rPr>
          <w:rFonts w:hint="default" w:ascii="Times New Roman" w:hAnsi="Times New Roman" w:eastAsia="宋体" w:cs="Times New Roman"/>
          <w:kern w:val="2"/>
          <w:sz w:val="24"/>
          <w:szCs w:val="24"/>
          <w:highlight w:val="none"/>
          <w:lang w:val="en-US" w:eastAsia="zh-CN" w:bidi="ar"/>
        </w:rPr>
        <w:t>202</w:t>
      </w:r>
      <w:r>
        <w:rPr>
          <w:rFonts w:hint="eastAsia" w:cs="Times New Roman"/>
          <w:kern w:val="2"/>
          <w:sz w:val="24"/>
          <w:szCs w:val="24"/>
          <w:highlight w:val="none"/>
          <w:lang w:val="en-US" w:eastAsia="zh-CN" w:bidi="ar"/>
        </w:rPr>
        <w:t>4</w:t>
      </w:r>
      <w:r>
        <w:rPr>
          <w:rFonts w:hint="eastAsia" w:ascii="Times New Roman" w:hAnsi="Times New Roman" w:eastAsia="宋体" w:cs="Times New Roman"/>
          <w:kern w:val="2"/>
          <w:sz w:val="24"/>
          <w:szCs w:val="24"/>
          <w:highlight w:val="none"/>
          <w:lang w:val="en-US" w:eastAsia="zh-CN" w:bidi="ar"/>
        </w:rPr>
        <w:t>年哈尔滨市地表水水质总体状况为优，</w:t>
      </w:r>
      <w:r>
        <w:rPr>
          <w:rFonts w:hint="default" w:ascii="Times New Roman" w:hAnsi="Times New Roman" w:cs="Times New Roman"/>
          <w:highlight w:val="none"/>
        </w:rPr>
        <w:t>其中大顶子山断面水质现状为</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3 \* ROMAN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III</w:t>
      </w:r>
      <w:r>
        <w:rPr>
          <w:rFonts w:hint="default" w:ascii="Times New Roman" w:hAnsi="Times New Roman" w:cs="Times New Roman"/>
          <w:highlight w:val="none"/>
        </w:rPr>
        <w:fldChar w:fldCharType="end"/>
      </w:r>
      <w:r>
        <w:rPr>
          <w:rFonts w:hint="default" w:ascii="Times New Roman" w:hAnsi="Times New Roman" w:cs="Times New Roman"/>
          <w:highlight w:val="none"/>
        </w:rPr>
        <w:t>类，断面符合</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3 \* ROMAN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III</w:t>
      </w:r>
      <w:r>
        <w:rPr>
          <w:rFonts w:hint="default" w:ascii="Times New Roman" w:hAnsi="Times New Roman" w:cs="Times New Roman"/>
          <w:highlight w:val="none"/>
        </w:rPr>
        <w:fldChar w:fldCharType="end"/>
      </w:r>
      <w:r>
        <w:rPr>
          <w:rFonts w:hint="default" w:ascii="Times New Roman" w:hAnsi="Times New Roman" w:cs="Times New Roman"/>
          <w:highlight w:val="none"/>
        </w:rPr>
        <w:t>类水质，满足《地表水环境质量标准》（GB3838-2002）满足</w:t>
      </w:r>
      <w:r>
        <w:rPr>
          <w:rFonts w:hint="default" w:ascii="Times New Roman" w:hAnsi="Times New Roman" w:cs="Times New Roman"/>
          <w:highlight w:val="none"/>
        </w:rPr>
        <w:fldChar w:fldCharType="begin"/>
      </w:r>
      <w:r>
        <w:rPr>
          <w:rFonts w:hint="default" w:ascii="Times New Roman" w:hAnsi="Times New Roman" w:cs="Times New Roman"/>
          <w:highlight w:val="none"/>
        </w:rPr>
        <w:instrText xml:space="preserve"> = 3 \* ROMAN </w:instrText>
      </w:r>
      <w:r>
        <w:rPr>
          <w:rFonts w:hint="default" w:ascii="Times New Roman" w:hAnsi="Times New Roman" w:cs="Times New Roman"/>
          <w:highlight w:val="none"/>
        </w:rPr>
        <w:fldChar w:fldCharType="separate"/>
      </w:r>
      <w:r>
        <w:rPr>
          <w:rFonts w:hint="default" w:ascii="Times New Roman" w:hAnsi="Times New Roman" w:cs="Times New Roman"/>
          <w:highlight w:val="none"/>
        </w:rPr>
        <w:t>III</w:t>
      </w:r>
      <w:r>
        <w:rPr>
          <w:rFonts w:hint="default" w:ascii="Times New Roman" w:hAnsi="Times New Roman" w:cs="Times New Roman"/>
          <w:highlight w:val="none"/>
        </w:rPr>
        <w:fldChar w:fldCharType="end"/>
      </w:r>
      <w:r>
        <w:rPr>
          <w:rFonts w:hint="default" w:ascii="Times New Roman" w:hAnsi="Times New Roman" w:cs="Times New Roman"/>
          <w:highlight w:val="none"/>
        </w:rPr>
        <w:t>类标准。</w:t>
      </w:r>
    </w:p>
    <w:p w14:paraId="6856D20E">
      <w:pPr>
        <w:bidi w:val="0"/>
        <w:rPr>
          <w:rFonts w:ascii="Times New Roman" w:hAnsi="Times New Roman" w:cs="Times New Roman"/>
          <w:b/>
          <w:highlight w:val="none"/>
        </w:rPr>
      </w:pPr>
      <w:r>
        <w:rPr>
          <w:rFonts w:ascii="Times New Roman" w:hAnsi="Times New Roman" w:cs="Times New Roman"/>
          <w:b/>
          <w:highlight w:val="none"/>
        </w:rPr>
        <w:t>9.1.2.2</w:t>
      </w:r>
      <w:r>
        <w:rPr>
          <w:rFonts w:ascii="Times New Roman" w:cs="Times New Roman" w:hAnsiTheme="minorEastAsia"/>
          <w:b/>
          <w:highlight w:val="none"/>
        </w:rPr>
        <w:t>地下水环境质量现状评价结论</w:t>
      </w:r>
    </w:p>
    <w:p w14:paraId="0E641F94">
      <w:pPr>
        <w:bidi w:val="0"/>
        <w:rPr>
          <w:rFonts w:ascii="Times New Roman" w:hAnsi="Times New Roman" w:cs="Times New Roman"/>
          <w:highlight w:val="none"/>
        </w:rPr>
      </w:pPr>
      <w:r>
        <w:rPr>
          <w:rFonts w:hint="eastAsia" w:ascii="Times New Roman" w:cs="Times New Roman" w:hAnsiTheme="minorEastAsia"/>
          <w:highlight w:val="none"/>
          <w:lang w:val="en-US" w:eastAsia="zh-CN"/>
        </w:rPr>
        <w:t>根据</w:t>
      </w:r>
      <w:r>
        <w:rPr>
          <w:rFonts w:hint="eastAsia" w:cs="Times New Roman" w:hAnsiTheme="minorEastAsia"/>
          <w:highlight w:val="none"/>
          <w:lang w:eastAsia="zh-CN"/>
        </w:rPr>
        <w:t>哈尔滨东安汽车发动机制造有限公司</w:t>
      </w:r>
      <w:r>
        <w:rPr>
          <w:rFonts w:ascii="Times New Roman" w:cs="Times New Roman" w:hAnsiTheme="minorEastAsia"/>
          <w:highlight w:val="none"/>
        </w:rPr>
        <w:t>委托</w:t>
      </w:r>
      <w:r>
        <w:rPr>
          <w:rFonts w:hint="eastAsia" w:ascii="Times New Roman" w:cs="Times New Roman" w:hAnsiTheme="minorEastAsia"/>
          <w:highlight w:val="none"/>
        </w:rPr>
        <w:t>哈尔滨新巨环保科技有限公司于202</w:t>
      </w:r>
      <w:r>
        <w:rPr>
          <w:rFonts w:hint="eastAsia" w:cs="Times New Roman" w:hAnsiTheme="minorEastAsia"/>
          <w:highlight w:val="none"/>
          <w:lang w:val="en-US" w:eastAsia="zh-CN"/>
        </w:rPr>
        <w:t>5</w:t>
      </w:r>
      <w:r>
        <w:rPr>
          <w:rFonts w:hint="eastAsia" w:ascii="Times New Roman" w:cs="Times New Roman" w:hAnsiTheme="minorEastAsia"/>
          <w:highlight w:val="none"/>
        </w:rPr>
        <w:t>年</w:t>
      </w:r>
      <w:r>
        <w:rPr>
          <w:rFonts w:hint="eastAsia" w:cs="Times New Roman" w:hAnsiTheme="minorEastAsia"/>
          <w:highlight w:val="none"/>
          <w:lang w:val="en-US" w:eastAsia="zh-CN"/>
        </w:rPr>
        <w:t>9</w:t>
      </w:r>
      <w:r>
        <w:rPr>
          <w:rFonts w:hint="eastAsia" w:ascii="Times New Roman" w:cs="Times New Roman" w:hAnsiTheme="minorEastAsia"/>
          <w:highlight w:val="none"/>
        </w:rPr>
        <w:t>月</w:t>
      </w:r>
      <w:r>
        <w:rPr>
          <w:rFonts w:hint="eastAsia" w:cs="Times New Roman" w:hAnsiTheme="minorEastAsia"/>
          <w:highlight w:val="none"/>
          <w:lang w:val="en-US" w:eastAsia="zh-CN"/>
        </w:rPr>
        <w:t>19</w:t>
      </w:r>
      <w:r>
        <w:rPr>
          <w:rFonts w:hint="eastAsia" w:ascii="Times New Roman" w:cs="Times New Roman" w:hAnsiTheme="minorEastAsia"/>
          <w:highlight w:val="none"/>
        </w:rPr>
        <w:t>日对水质、水位监测点</w:t>
      </w:r>
      <w:r>
        <w:rPr>
          <w:rFonts w:ascii="Times New Roman" w:cs="Times New Roman" w:hAnsiTheme="minorEastAsia"/>
          <w:highlight w:val="none"/>
        </w:rPr>
        <w:t>进行了取样检测，并对各监测点水位进行了测量，锰超过《地下水质量标准》</w:t>
      </w:r>
      <w:r>
        <w:rPr>
          <w:rFonts w:hint="eastAsia" w:cs="Times New Roman"/>
          <w:highlight w:val="none"/>
          <w:lang w:eastAsia="zh-CN"/>
        </w:rPr>
        <w:t>（</w:t>
      </w:r>
      <w:r>
        <w:rPr>
          <w:rFonts w:ascii="Times New Roman" w:hAnsi="Times New Roman" w:cs="Times New Roman"/>
          <w:highlight w:val="none"/>
        </w:rPr>
        <w:t>GB/T14848-2017</w:t>
      </w:r>
      <w:r>
        <w:rPr>
          <w:rFonts w:hint="eastAsia" w:cs="Times New Roman"/>
          <w:highlight w:val="none"/>
          <w:lang w:eastAsia="zh-CN"/>
        </w:rPr>
        <w:t>）</w:t>
      </w:r>
      <w:r>
        <w:rPr>
          <w:rFonts w:ascii="Times New Roman" w:hAnsi="Times New Roman" w:cs="Times New Roman"/>
          <w:highlight w:val="none"/>
        </w:rPr>
        <w:t>Ⅲ</w:t>
      </w:r>
      <w:r>
        <w:rPr>
          <w:rFonts w:ascii="Times New Roman" w:cs="Times New Roman" w:hAnsiTheme="minorEastAsia"/>
          <w:highlight w:val="none"/>
        </w:rPr>
        <w:t>类标准要求，超标原因主要受原生地质条件影响，除锰其余监测因子均满足《地下水质量标准》</w:t>
      </w:r>
      <w:r>
        <w:rPr>
          <w:rFonts w:hint="eastAsia" w:cs="Times New Roman"/>
          <w:highlight w:val="none"/>
          <w:lang w:eastAsia="zh-CN"/>
        </w:rPr>
        <w:t>（</w:t>
      </w:r>
      <w:r>
        <w:rPr>
          <w:rFonts w:ascii="Times New Roman" w:hAnsi="Times New Roman" w:cs="Times New Roman"/>
          <w:highlight w:val="none"/>
        </w:rPr>
        <w:t>GB/T14848-2017</w:t>
      </w:r>
      <w:r>
        <w:rPr>
          <w:rFonts w:hint="eastAsia" w:cs="Times New Roman"/>
          <w:highlight w:val="none"/>
          <w:lang w:eastAsia="zh-CN"/>
        </w:rPr>
        <w:t>）</w:t>
      </w:r>
      <w:r>
        <w:rPr>
          <w:rFonts w:ascii="Times New Roman" w:hAnsi="Times New Roman" w:cs="Times New Roman"/>
          <w:highlight w:val="none"/>
        </w:rPr>
        <w:t>Ⅲ</w:t>
      </w:r>
      <w:r>
        <w:rPr>
          <w:rFonts w:ascii="Times New Roman" w:cs="Times New Roman" w:hAnsiTheme="minorEastAsia"/>
          <w:highlight w:val="none"/>
        </w:rPr>
        <w:t>类标准要求，石油类未检出，满足《地表水环境质量标准》（</w:t>
      </w:r>
      <w:r>
        <w:rPr>
          <w:rFonts w:ascii="Times New Roman" w:hAnsi="Times New Roman" w:cs="Times New Roman"/>
          <w:highlight w:val="none"/>
        </w:rPr>
        <w:t>GB3838-2002</w:t>
      </w:r>
      <w:r>
        <w:rPr>
          <w:rFonts w:ascii="Times New Roman" w:cs="Times New Roman" w:hAnsiTheme="minorEastAsia"/>
          <w:highlight w:val="none"/>
        </w:rPr>
        <w:t>）</w:t>
      </w:r>
      <w:r>
        <w:rPr>
          <w:rFonts w:ascii="Times New Roman" w:hAnsi="Times New Roman" w:cs="Times New Roman"/>
          <w:highlight w:val="none"/>
        </w:rPr>
        <w:t>Ⅲ</w:t>
      </w:r>
      <w:r>
        <w:rPr>
          <w:rFonts w:ascii="Times New Roman" w:cs="Times New Roman" w:hAnsiTheme="minorEastAsia"/>
          <w:highlight w:val="none"/>
        </w:rPr>
        <w:t>类标准要求。监测点水质整体较好。</w:t>
      </w:r>
    </w:p>
    <w:p w14:paraId="62FBD922">
      <w:pPr>
        <w:bidi w:val="0"/>
        <w:rPr>
          <w:rFonts w:ascii="Times New Roman" w:hAnsi="Times New Roman" w:cs="Times New Roman"/>
          <w:b/>
          <w:highlight w:val="none"/>
        </w:rPr>
      </w:pPr>
      <w:r>
        <w:rPr>
          <w:rFonts w:ascii="Times New Roman" w:hAnsi="Times New Roman" w:cs="Times New Roman"/>
          <w:b/>
          <w:highlight w:val="none"/>
        </w:rPr>
        <w:t>9.1.2.3</w:t>
      </w:r>
      <w:r>
        <w:rPr>
          <w:rFonts w:ascii="Times New Roman" w:cs="Times New Roman" w:hAnsiTheme="minorEastAsia"/>
          <w:b/>
          <w:highlight w:val="none"/>
        </w:rPr>
        <w:t>大气环境质量现状评价结论</w:t>
      </w:r>
    </w:p>
    <w:p w14:paraId="2D1AED2A">
      <w:pPr>
        <w:bidi w:val="0"/>
        <w:rPr>
          <w:rFonts w:eastAsiaTheme="minorEastAsia"/>
          <w:sz w:val="24"/>
          <w:highlight w:val="none"/>
        </w:rPr>
      </w:pPr>
      <w:r>
        <w:rPr>
          <w:rFonts w:hAnsiTheme="minorEastAsia" w:eastAsiaTheme="minorEastAsia"/>
          <w:sz w:val="24"/>
          <w:highlight w:val="none"/>
        </w:rPr>
        <w:t>根据《</w:t>
      </w:r>
      <w:r>
        <w:rPr>
          <w:rFonts w:hint="default" w:ascii="Times New Roman" w:hAnsi="Times New Roman" w:cs="Times New Roman" w:eastAsiaTheme="minorEastAsia"/>
          <w:sz w:val="24"/>
          <w:highlight w:val="none"/>
        </w:rPr>
        <w:t>202</w:t>
      </w:r>
      <w:r>
        <w:rPr>
          <w:rFonts w:hint="eastAsia" w:cs="Times New Roman" w:eastAsiaTheme="minorEastAsia"/>
          <w:sz w:val="24"/>
          <w:highlight w:val="none"/>
          <w:lang w:val="en-US" w:eastAsia="zh-CN"/>
        </w:rPr>
        <w:t>4</w:t>
      </w:r>
      <w:r>
        <w:rPr>
          <w:rFonts w:hint="default" w:ascii="Times New Roman" w:hAnsi="Times New Roman" w:cs="Times New Roman" w:eastAsiaTheme="minorEastAsia"/>
          <w:sz w:val="24"/>
          <w:highlight w:val="none"/>
        </w:rPr>
        <w:t>年哈尔滨生态环境质量状况年报</w:t>
      </w:r>
      <w:r>
        <w:rPr>
          <w:rFonts w:hAnsiTheme="minorEastAsia" w:eastAsiaTheme="minorEastAsia"/>
          <w:sz w:val="24"/>
          <w:highlight w:val="none"/>
        </w:rPr>
        <w:t>》，</w:t>
      </w:r>
      <w:r>
        <w:rPr>
          <w:rFonts w:hAnsiTheme="minorEastAsia" w:eastAsiaTheme="minorEastAsia"/>
          <w:sz w:val="24"/>
          <w:highlight w:val="none"/>
          <w:lang w:eastAsia="zh-CN"/>
        </w:rPr>
        <w:t>哈尔滨市</w:t>
      </w:r>
      <w:r>
        <w:rPr>
          <w:rFonts w:hint="default" w:hAnsiTheme="minorEastAsia" w:eastAsiaTheme="minorEastAsia"/>
          <w:sz w:val="24"/>
          <w:highlight w:val="none"/>
          <w:lang w:val="en-US"/>
        </w:rPr>
        <w:t>SO</w:t>
      </w:r>
      <w:r>
        <w:rPr>
          <w:rFonts w:hint="default" w:hAnsiTheme="minorEastAsia" w:eastAsiaTheme="minorEastAsia"/>
          <w:sz w:val="24"/>
          <w:highlight w:val="none"/>
          <w:vertAlign w:val="subscript"/>
          <w:lang w:val="en-US"/>
        </w:rPr>
        <w:t>2</w:t>
      </w:r>
      <w:r>
        <w:rPr>
          <w:rFonts w:hAnsiTheme="minorEastAsia" w:eastAsiaTheme="minorEastAsia"/>
          <w:sz w:val="24"/>
          <w:highlight w:val="none"/>
          <w:lang w:eastAsia="zh-CN"/>
        </w:rPr>
        <w:t>、</w:t>
      </w:r>
      <w:r>
        <w:rPr>
          <w:rFonts w:hint="default" w:hAnsiTheme="minorEastAsia" w:eastAsiaTheme="minorEastAsia"/>
          <w:sz w:val="24"/>
          <w:highlight w:val="none"/>
          <w:lang w:val="en-US"/>
        </w:rPr>
        <w:t>NO</w:t>
      </w:r>
      <w:r>
        <w:rPr>
          <w:rFonts w:hint="default" w:hAnsiTheme="minorEastAsia" w:eastAsiaTheme="minorEastAsia"/>
          <w:sz w:val="24"/>
          <w:highlight w:val="none"/>
          <w:vertAlign w:val="subscript"/>
          <w:lang w:val="en-US"/>
        </w:rPr>
        <w:t>2</w:t>
      </w:r>
      <w:r>
        <w:rPr>
          <w:rFonts w:hAnsiTheme="minorEastAsia" w:eastAsiaTheme="minorEastAsia"/>
          <w:sz w:val="24"/>
          <w:highlight w:val="none"/>
          <w:lang w:eastAsia="zh-CN"/>
        </w:rPr>
        <w:t>、</w:t>
      </w:r>
      <w:r>
        <w:rPr>
          <w:rFonts w:hint="default" w:hAnsiTheme="minorEastAsia" w:eastAsiaTheme="minorEastAsia"/>
          <w:sz w:val="24"/>
          <w:highlight w:val="none"/>
          <w:lang w:val="en-US"/>
        </w:rPr>
        <w:t>CO</w:t>
      </w:r>
      <w:r>
        <w:rPr>
          <w:rFonts w:hAnsiTheme="minorEastAsia" w:eastAsiaTheme="minorEastAsia"/>
          <w:sz w:val="24"/>
          <w:highlight w:val="none"/>
          <w:lang w:eastAsia="zh-CN"/>
        </w:rPr>
        <w:t>、</w:t>
      </w:r>
      <w:r>
        <w:rPr>
          <w:rFonts w:hint="default" w:hAnsiTheme="minorEastAsia" w:eastAsiaTheme="minorEastAsia"/>
          <w:sz w:val="24"/>
          <w:highlight w:val="none"/>
          <w:lang w:val="en-US"/>
        </w:rPr>
        <w:t>O</w:t>
      </w:r>
      <w:r>
        <w:rPr>
          <w:rFonts w:hint="default" w:hAnsiTheme="minorEastAsia" w:eastAsiaTheme="minorEastAsia"/>
          <w:sz w:val="24"/>
          <w:highlight w:val="none"/>
          <w:vertAlign w:val="subscript"/>
          <w:lang w:val="en-US"/>
        </w:rPr>
        <w:t>3</w:t>
      </w:r>
      <w:r>
        <w:rPr>
          <w:rFonts w:hAnsiTheme="minorEastAsia" w:eastAsiaTheme="minorEastAsia"/>
          <w:sz w:val="24"/>
          <w:highlight w:val="none"/>
          <w:lang w:eastAsia="zh-CN"/>
        </w:rPr>
        <w:t>均满足《环境空气质量标准》（</w:t>
      </w:r>
      <w:r>
        <w:rPr>
          <w:rFonts w:hint="default" w:hAnsiTheme="minorEastAsia" w:eastAsiaTheme="minorEastAsia"/>
          <w:sz w:val="24"/>
          <w:highlight w:val="none"/>
          <w:lang w:val="en-US"/>
        </w:rPr>
        <w:t>GB3095-2012</w:t>
      </w:r>
      <w:r>
        <w:rPr>
          <w:rFonts w:hAnsiTheme="minorEastAsia" w:eastAsiaTheme="minorEastAsia"/>
          <w:sz w:val="24"/>
          <w:highlight w:val="none"/>
          <w:lang w:eastAsia="zh-CN"/>
        </w:rPr>
        <w:t>）及修改单中二级标准，</w:t>
      </w:r>
      <w:r>
        <w:rPr>
          <w:rFonts w:hint="default" w:hAnsiTheme="minorEastAsia" w:eastAsiaTheme="minorEastAsia"/>
          <w:sz w:val="24"/>
          <w:highlight w:val="none"/>
          <w:lang w:val="en-US"/>
        </w:rPr>
        <w:t>PM</w:t>
      </w:r>
      <w:r>
        <w:rPr>
          <w:rFonts w:hint="default" w:hAnsiTheme="minorEastAsia" w:eastAsiaTheme="minorEastAsia"/>
          <w:sz w:val="24"/>
          <w:highlight w:val="none"/>
          <w:vertAlign w:val="subscript"/>
          <w:lang w:val="en-US"/>
        </w:rPr>
        <w:t>10</w:t>
      </w:r>
      <w:r>
        <w:rPr>
          <w:rFonts w:hAnsiTheme="minorEastAsia" w:eastAsiaTheme="minorEastAsia"/>
          <w:sz w:val="24"/>
          <w:highlight w:val="none"/>
          <w:lang w:eastAsia="zh-CN"/>
        </w:rPr>
        <w:t>、</w:t>
      </w:r>
      <w:r>
        <w:rPr>
          <w:rFonts w:hint="default" w:hAnsiTheme="minorEastAsia" w:eastAsiaTheme="minorEastAsia"/>
          <w:sz w:val="24"/>
          <w:highlight w:val="none"/>
          <w:lang w:val="en-US"/>
        </w:rPr>
        <w:t>PM</w:t>
      </w:r>
      <w:r>
        <w:rPr>
          <w:rFonts w:hint="default" w:hAnsiTheme="minorEastAsia" w:eastAsiaTheme="minorEastAsia"/>
          <w:sz w:val="24"/>
          <w:highlight w:val="none"/>
          <w:vertAlign w:val="subscript"/>
          <w:lang w:val="en-US"/>
        </w:rPr>
        <w:t>2.5</w:t>
      </w:r>
      <w:r>
        <w:rPr>
          <w:rFonts w:hAnsiTheme="minorEastAsia" w:eastAsiaTheme="minorEastAsia"/>
          <w:sz w:val="24"/>
          <w:highlight w:val="none"/>
          <w:lang w:eastAsia="zh-CN"/>
        </w:rPr>
        <w:t>未达到二级标准，本项目所在区域处于环境质量不达标区</w:t>
      </w:r>
      <w:r>
        <w:rPr>
          <w:rFonts w:hAnsiTheme="minorEastAsia" w:eastAsiaTheme="minorEastAsia"/>
          <w:sz w:val="24"/>
          <w:highlight w:val="none"/>
        </w:rPr>
        <w:t>。</w:t>
      </w:r>
    </w:p>
    <w:p w14:paraId="5E67AB12">
      <w:pPr>
        <w:bidi w:val="0"/>
        <w:rPr>
          <w:rFonts w:ascii="Times New Roman" w:hAnsi="Times New Roman" w:cs="Times New Roman"/>
          <w:b/>
          <w:highlight w:val="none"/>
        </w:rPr>
      </w:pPr>
      <w:r>
        <w:rPr>
          <w:rFonts w:ascii="Times New Roman" w:hAnsi="Times New Roman" w:cs="Times New Roman"/>
          <w:b/>
          <w:highlight w:val="none"/>
        </w:rPr>
        <w:t>9.1.2.4</w:t>
      </w:r>
      <w:r>
        <w:rPr>
          <w:rFonts w:ascii="Times New Roman" w:cs="Times New Roman" w:hAnsiTheme="minorEastAsia"/>
          <w:b/>
          <w:highlight w:val="none"/>
        </w:rPr>
        <w:t>声环境质量现状评价结论</w:t>
      </w:r>
    </w:p>
    <w:p w14:paraId="6B856003">
      <w:pPr>
        <w:bidi w:val="0"/>
        <w:rPr>
          <w:rFonts w:hAnsiTheme="minorEastAsia" w:eastAsiaTheme="minorEastAsia"/>
          <w:bCs/>
          <w:sz w:val="24"/>
          <w:highlight w:val="none"/>
        </w:rPr>
      </w:pPr>
      <w:r>
        <w:rPr>
          <w:rFonts w:hAnsiTheme="minorEastAsia" w:eastAsiaTheme="minorEastAsia"/>
          <w:sz w:val="24"/>
          <w:highlight w:val="none"/>
        </w:rPr>
        <w:t>根据哈尔滨新巨环保科技有限公司出具的检测报告</w:t>
      </w:r>
      <w:r>
        <w:rPr>
          <w:rFonts w:hint="eastAsia" w:hAnsiTheme="minorEastAsia" w:eastAsiaTheme="minorEastAsia"/>
          <w:sz w:val="24"/>
          <w:highlight w:val="none"/>
          <w:lang w:val="en-US" w:eastAsia="zh-CN"/>
        </w:rPr>
        <w:t>可</w:t>
      </w:r>
      <w:r>
        <w:rPr>
          <w:rFonts w:hAnsiTheme="minorEastAsia" w:eastAsiaTheme="minorEastAsia"/>
          <w:sz w:val="24"/>
          <w:highlight w:val="none"/>
        </w:rPr>
        <w:t>知</w:t>
      </w:r>
      <w:r>
        <w:rPr>
          <w:rFonts w:hAnsiTheme="minorEastAsia" w:eastAsiaTheme="minorEastAsia"/>
          <w:bCs/>
          <w:sz w:val="24"/>
          <w:highlight w:val="none"/>
        </w:rPr>
        <w:t>，监测点环境噪声昼夜值均满足《声环境质量标准》（</w:t>
      </w:r>
      <w:r>
        <w:rPr>
          <w:rFonts w:eastAsiaTheme="minorEastAsia"/>
          <w:bCs/>
          <w:sz w:val="24"/>
          <w:highlight w:val="none"/>
        </w:rPr>
        <w:t>GB3096-2008</w:t>
      </w:r>
      <w:r>
        <w:rPr>
          <w:rFonts w:hAnsiTheme="minorEastAsia" w:eastAsiaTheme="minorEastAsia"/>
          <w:bCs/>
          <w:sz w:val="24"/>
          <w:highlight w:val="none"/>
        </w:rPr>
        <w:t>）中的</w:t>
      </w:r>
      <w:r>
        <w:rPr>
          <w:rFonts w:hint="eastAsia" w:eastAsiaTheme="minorEastAsia"/>
          <w:bCs/>
          <w:sz w:val="24"/>
          <w:highlight w:val="none"/>
          <w:lang w:val="en-US" w:eastAsia="zh-CN"/>
        </w:rPr>
        <w:t>1</w:t>
      </w:r>
      <w:r>
        <w:rPr>
          <w:rFonts w:hAnsiTheme="minorEastAsia" w:eastAsiaTheme="minorEastAsia"/>
          <w:bCs/>
          <w:sz w:val="24"/>
          <w:highlight w:val="none"/>
        </w:rPr>
        <w:t>类标准。</w:t>
      </w:r>
    </w:p>
    <w:p w14:paraId="35FDFD27">
      <w:pPr>
        <w:bidi w:val="0"/>
        <w:rPr>
          <w:b/>
          <w:bCs w:val="0"/>
          <w:highlight w:val="none"/>
        </w:rPr>
      </w:pPr>
      <w:r>
        <w:rPr>
          <w:rFonts w:hint="eastAsia" w:hAnsiTheme="minorEastAsia" w:eastAsiaTheme="minorEastAsia"/>
          <w:b/>
          <w:bCs w:val="0"/>
          <w:highlight w:val="none"/>
          <w:lang w:val="en-US" w:eastAsia="zh-CN"/>
        </w:rPr>
        <w:t>9.1</w:t>
      </w:r>
      <w:r>
        <w:rPr>
          <w:rFonts w:hint="eastAsia"/>
          <w:b/>
          <w:bCs w:val="0"/>
          <w:highlight w:val="none"/>
          <w:lang w:val="en-US" w:eastAsia="zh-CN"/>
        </w:rPr>
        <w:t>.2.5土壤</w:t>
      </w:r>
      <w:r>
        <w:rPr>
          <w:b/>
          <w:bCs w:val="0"/>
          <w:highlight w:val="none"/>
        </w:rPr>
        <w:t>环境质量现状评价结论</w:t>
      </w:r>
    </w:p>
    <w:p w14:paraId="34E3E6B2">
      <w:pPr>
        <w:bidi w:val="0"/>
        <w:rPr>
          <w:rFonts w:hint="eastAsia"/>
          <w:highlight w:val="none"/>
          <w:lang w:val="en-US" w:eastAsia="zh-CN"/>
        </w:rPr>
      </w:pPr>
      <w:r>
        <w:rPr>
          <w:highlight w:val="none"/>
        </w:rPr>
        <w:t>根据哈尔滨新巨环保科技有限公司出具的检测报告</w:t>
      </w:r>
      <w:r>
        <w:rPr>
          <w:rFonts w:hint="eastAsia"/>
          <w:highlight w:val="none"/>
          <w:lang w:val="en-US" w:eastAsia="zh-CN"/>
        </w:rPr>
        <w:t>可</w:t>
      </w:r>
      <w:r>
        <w:rPr>
          <w:highlight w:val="none"/>
        </w:rPr>
        <w:t>知，监测点</w:t>
      </w:r>
      <w:r>
        <w:rPr>
          <w:rFonts w:hint="eastAsia"/>
          <w:highlight w:val="none"/>
          <w:lang w:val="en-US" w:eastAsia="zh-CN"/>
        </w:rPr>
        <w:t>各类土壤污染物监测结果低于《土壤环境质量建设用地土壤污染风险管控标准（试行）》（</w:t>
      </w:r>
      <w:r>
        <w:rPr>
          <w:rFonts w:hint="default"/>
          <w:highlight w:val="none"/>
          <w:lang w:val="en-US" w:eastAsia="zh-CN"/>
        </w:rPr>
        <w:t>GB36600-2018</w:t>
      </w:r>
      <w:r>
        <w:rPr>
          <w:rFonts w:hint="eastAsia"/>
          <w:highlight w:val="none"/>
          <w:lang w:val="en-US" w:eastAsia="zh-CN"/>
        </w:rPr>
        <w:t>）第二类用地中的筛选值。</w:t>
      </w:r>
    </w:p>
    <w:p w14:paraId="29335CAD">
      <w:pPr>
        <w:bidi w:val="0"/>
        <w:rPr>
          <w:b/>
          <w:bCs/>
          <w:highlight w:val="none"/>
        </w:rPr>
      </w:pPr>
      <w:r>
        <w:rPr>
          <w:rFonts w:hint="eastAsia"/>
          <w:b/>
          <w:bCs/>
          <w:highlight w:val="none"/>
          <w:lang w:val="en-US" w:eastAsia="zh-CN"/>
        </w:rPr>
        <w:t>9.1.2.5生态</w:t>
      </w:r>
      <w:r>
        <w:rPr>
          <w:b/>
          <w:bCs/>
          <w:highlight w:val="none"/>
        </w:rPr>
        <w:t>环境质量现状评价结论</w:t>
      </w:r>
    </w:p>
    <w:p w14:paraId="7668118C">
      <w:pPr>
        <w:bidi w:val="0"/>
        <w:rPr>
          <w:rFonts w:hint="eastAsia"/>
          <w:highlight w:val="none"/>
          <w:lang w:val="en-US" w:eastAsia="zh-CN"/>
        </w:rPr>
      </w:pPr>
      <w:r>
        <w:rPr>
          <w:rFonts w:hint="eastAsia"/>
          <w:highlight w:val="none"/>
        </w:rPr>
        <w:t>经调查，项目所在位置用地性质为</w:t>
      </w:r>
      <w:r>
        <w:rPr>
          <w:rFonts w:hint="eastAsia"/>
          <w:highlight w:val="none"/>
          <w:lang w:val="en-US" w:eastAsia="zh-CN"/>
        </w:rPr>
        <w:t>工业</w:t>
      </w:r>
      <w:r>
        <w:rPr>
          <w:rFonts w:hint="eastAsia"/>
          <w:highlight w:val="none"/>
        </w:rPr>
        <w:t>用地，</w:t>
      </w:r>
      <w:r>
        <w:rPr>
          <w:rFonts w:hint="eastAsia"/>
          <w:highlight w:val="none"/>
          <w:lang w:val="en-US" w:eastAsia="zh-CN"/>
        </w:rPr>
        <w:t>周围为工业企业，</w:t>
      </w:r>
      <w:r>
        <w:rPr>
          <w:rFonts w:hint="eastAsia"/>
          <w:highlight w:val="none"/>
        </w:rPr>
        <w:t>由于多年的开发活动，本区自然生态环境已为人工生态环境所取代。本项目所在地</w:t>
      </w:r>
      <w:r>
        <w:rPr>
          <w:rFonts w:hint="eastAsia"/>
          <w:highlight w:val="none"/>
          <w:lang w:val="en-US" w:eastAsia="zh-CN"/>
        </w:rPr>
        <w:t>及厂界外扩200m范围内</w:t>
      </w:r>
      <w:r>
        <w:rPr>
          <w:rFonts w:hint="eastAsia"/>
          <w:highlight w:val="none"/>
        </w:rPr>
        <w:t>没有野生动物保护品种，也未发现濒危、</w:t>
      </w:r>
      <w:r>
        <w:rPr>
          <w:rFonts w:hint="eastAsia"/>
          <w:highlight w:val="none"/>
          <w:lang w:eastAsia="zh-CN"/>
        </w:rPr>
        <w:t>珍稀动物</w:t>
      </w:r>
      <w:r>
        <w:rPr>
          <w:rFonts w:hint="eastAsia"/>
          <w:highlight w:val="none"/>
        </w:rPr>
        <w:t>栖息场所，区域内无国家、省、市级自然保护区、风景名胜区等保护目标，区域整体生态环境质量较好</w:t>
      </w:r>
      <w:r>
        <w:rPr>
          <w:rFonts w:hint="eastAsia"/>
          <w:highlight w:val="none"/>
          <w:lang w:eastAsia="zh-CN"/>
        </w:rPr>
        <w:t>。</w:t>
      </w:r>
    </w:p>
    <w:p w14:paraId="45A9E3A8">
      <w:pPr>
        <w:pStyle w:val="4"/>
        <w:bidi w:val="0"/>
        <w:rPr>
          <w:highlight w:val="none"/>
        </w:rPr>
      </w:pPr>
      <w:bookmarkStart w:id="670" w:name="_Toc15991738"/>
      <w:bookmarkStart w:id="671" w:name="_Toc17595"/>
      <w:bookmarkStart w:id="672" w:name="_Toc12907"/>
      <w:r>
        <w:rPr>
          <w:highlight w:val="none"/>
        </w:rPr>
        <w:t>9.1.3</w:t>
      </w:r>
      <w:bookmarkEnd w:id="670"/>
      <w:r>
        <w:rPr>
          <w:highlight w:val="none"/>
        </w:rPr>
        <w:t>污染物排放情况</w:t>
      </w:r>
      <w:bookmarkEnd w:id="671"/>
      <w:bookmarkEnd w:id="672"/>
    </w:p>
    <w:p w14:paraId="7AB90645">
      <w:pPr>
        <w:bidi w:val="0"/>
        <w:rPr>
          <w:rFonts w:ascii="Times New Roman" w:hAnsi="Times New Roman" w:cs="Times New Roman"/>
          <w:b/>
          <w:highlight w:val="none"/>
        </w:rPr>
      </w:pPr>
      <w:r>
        <w:rPr>
          <w:rFonts w:ascii="Times New Roman" w:hAnsi="Times New Roman" w:cs="Times New Roman"/>
          <w:b/>
          <w:highlight w:val="none"/>
        </w:rPr>
        <w:t>9.1.3.1</w:t>
      </w:r>
      <w:r>
        <w:rPr>
          <w:rFonts w:ascii="Times New Roman" w:cs="Times New Roman" w:hAnsiTheme="minorEastAsia"/>
          <w:b/>
          <w:highlight w:val="none"/>
        </w:rPr>
        <w:t>废气</w:t>
      </w:r>
    </w:p>
    <w:p w14:paraId="1F7E086C">
      <w:pPr>
        <w:bidi w:val="0"/>
        <w:rPr>
          <w:rFonts w:hAnsiTheme="minorEastAsia" w:eastAsiaTheme="minorEastAsia"/>
          <w:kern w:val="0"/>
          <w:sz w:val="24"/>
          <w:highlight w:val="none"/>
        </w:rPr>
      </w:pPr>
      <w:r>
        <w:rPr>
          <w:rFonts w:hint="eastAsia" w:hAnsiTheme="minorEastAsia" w:eastAsiaTheme="minorEastAsia"/>
          <w:kern w:val="0"/>
          <w:sz w:val="24"/>
          <w:highlight w:val="none"/>
          <w:lang w:val="en-US" w:eastAsia="zh-CN"/>
        </w:rPr>
        <w:t>机加工序设置于2号厂房内，加工中心均为封闭设备，机械加工工序设置2套油雾净化装置，产生的油雾废气分别经油雾净化装置处理后，经集气罩收集，由2根新建23m排气筒排放；装配工序及热试验工序设置于4号厂房内，热试验间及装配区域产生的尾气采用三元催化器进行处理，后由1根新建23m排气筒排放；含油金属屑加工生产线位于变速器机加厂房北侧，产生的油雾、挥发性有机物（以非甲烷总烃计）、颗粒物及臭气浓度通过油雾净化装置+活性炭吸附装置处理后由1根新建23m排气筒排放</w:t>
      </w:r>
      <w:r>
        <w:rPr>
          <w:rFonts w:hAnsiTheme="minorEastAsia" w:eastAsiaTheme="minorEastAsia"/>
          <w:kern w:val="0"/>
          <w:sz w:val="24"/>
          <w:highlight w:val="none"/>
        </w:rPr>
        <w:t>，排放浓度及速率均满足《大气污染物综合排放标准》（</w:t>
      </w:r>
      <w:r>
        <w:rPr>
          <w:rFonts w:eastAsiaTheme="minorEastAsia"/>
          <w:kern w:val="0"/>
          <w:sz w:val="24"/>
          <w:highlight w:val="none"/>
        </w:rPr>
        <w:t>GB16297-1996</w:t>
      </w:r>
      <w:r>
        <w:rPr>
          <w:rFonts w:hAnsiTheme="minorEastAsia" w:eastAsiaTheme="minorEastAsia"/>
          <w:kern w:val="0"/>
          <w:sz w:val="24"/>
          <w:highlight w:val="none"/>
        </w:rPr>
        <w:t>）表</w:t>
      </w:r>
      <w:r>
        <w:rPr>
          <w:rFonts w:eastAsiaTheme="minorEastAsia"/>
          <w:kern w:val="0"/>
          <w:sz w:val="24"/>
          <w:highlight w:val="none"/>
        </w:rPr>
        <w:t>2</w:t>
      </w:r>
      <w:r>
        <w:rPr>
          <w:rFonts w:hAnsiTheme="minorEastAsia" w:eastAsiaTheme="minorEastAsia"/>
          <w:kern w:val="0"/>
          <w:sz w:val="24"/>
          <w:highlight w:val="none"/>
        </w:rPr>
        <w:t>中二级标准。</w:t>
      </w:r>
    </w:p>
    <w:p w14:paraId="37EEE2B2">
      <w:pPr>
        <w:spacing w:line="360" w:lineRule="auto"/>
        <w:ind w:firstLine="480" w:firstLineChars="200"/>
        <w:rPr>
          <w:rFonts w:hint="default" w:hAnsiTheme="minorEastAsia" w:eastAsiaTheme="minorEastAsia"/>
          <w:kern w:val="0"/>
          <w:sz w:val="24"/>
          <w:highlight w:val="none"/>
          <w:lang w:val="en-US" w:eastAsia="zh-CN"/>
        </w:rPr>
      </w:pPr>
      <w:r>
        <w:rPr>
          <w:rFonts w:hAnsiTheme="minorEastAsia" w:eastAsiaTheme="minorEastAsia"/>
          <w:kern w:val="0"/>
          <w:sz w:val="24"/>
          <w:highlight w:val="none"/>
        </w:rPr>
        <w:t>经</w:t>
      </w:r>
      <w:r>
        <w:rPr>
          <w:rFonts w:hint="eastAsia" w:hAnsiTheme="minorEastAsia" w:eastAsiaTheme="minorEastAsia"/>
          <w:kern w:val="0"/>
          <w:sz w:val="24"/>
          <w:highlight w:val="none"/>
        </w:rPr>
        <w:t>估算</w:t>
      </w:r>
      <w:r>
        <w:rPr>
          <w:rFonts w:hAnsiTheme="minorEastAsia" w:eastAsiaTheme="minorEastAsia"/>
          <w:kern w:val="0"/>
          <w:sz w:val="24"/>
          <w:highlight w:val="none"/>
        </w:rPr>
        <w:t>，无组织非甲烷总烃排放浓度为</w:t>
      </w:r>
      <w:r>
        <w:rPr>
          <w:rFonts w:hint="eastAsia"/>
          <w:highlight w:val="none"/>
          <w:lang w:val="en-US" w:eastAsia="zh-CN"/>
        </w:rPr>
        <w:t>193.02</w:t>
      </w:r>
      <w:r>
        <w:rPr>
          <w:rFonts w:hint="default" w:ascii="Times New Roman" w:hAnsi="Times New Roman" w:cs="Times New Roman" w:eastAsiaTheme="minorEastAsia"/>
          <w:kern w:val="0"/>
          <w:sz w:val="24"/>
          <w:highlight w:val="none"/>
          <w:lang w:val="en-US" w:eastAsia="zh-CN"/>
        </w:rPr>
        <w:t>μ</w:t>
      </w:r>
      <w:r>
        <w:rPr>
          <w:rFonts w:hint="default" w:ascii="Times New Roman" w:hAnsi="Times New Roman" w:cs="Times New Roman" w:eastAsiaTheme="minorEastAsia"/>
          <w:kern w:val="0"/>
          <w:sz w:val="24"/>
          <w:highlight w:val="none"/>
        </w:rPr>
        <w:t>g/m</w:t>
      </w:r>
      <w:r>
        <w:rPr>
          <w:rFonts w:hint="default" w:ascii="Times New Roman" w:hAnsi="Times New Roman" w:cs="Times New Roman" w:eastAsiaTheme="minorEastAsia"/>
          <w:kern w:val="0"/>
          <w:sz w:val="24"/>
          <w:highlight w:val="none"/>
          <w:vertAlign w:val="superscript"/>
        </w:rPr>
        <w:t>3</w:t>
      </w:r>
      <w:r>
        <w:rPr>
          <w:rFonts w:hint="eastAsia" w:cs="Times New Roman" w:eastAsiaTheme="minorEastAsia"/>
          <w:kern w:val="0"/>
          <w:sz w:val="24"/>
          <w:highlight w:val="none"/>
          <w:vertAlign w:val="baseline"/>
          <w:lang w:eastAsia="zh-CN"/>
        </w:rPr>
        <w:t>，</w:t>
      </w:r>
      <w:r>
        <w:rPr>
          <w:rFonts w:hAnsiTheme="minorEastAsia" w:eastAsiaTheme="minorEastAsia"/>
          <w:kern w:val="0"/>
          <w:sz w:val="24"/>
          <w:highlight w:val="none"/>
        </w:rPr>
        <w:t>厂界非甲烷总烃满足《大气污染物综合排放标准》（</w:t>
      </w:r>
      <w:r>
        <w:rPr>
          <w:rFonts w:eastAsiaTheme="minorEastAsia"/>
          <w:kern w:val="0"/>
          <w:sz w:val="24"/>
          <w:highlight w:val="none"/>
        </w:rPr>
        <w:t>GB16297-1996</w:t>
      </w:r>
      <w:r>
        <w:rPr>
          <w:rFonts w:hAnsiTheme="minorEastAsia" w:eastAsiaTheme="minorEastAsia"/>
          <w:kern w:val="0"/>
          <w:sz w:val="24"/>
          <w:highlight w:val="none"/>
        </w:rPr>
        <w:t>）表</w:t>
      </w:r>
      <w:r>
        <w:rPr>
          <w:rFonts w:eastAsiaTheme="minorEastAsia"/>
          <w:kern w:val="0"/>
          <w:sz w:val="24"/>
          <w:highlight w:val="none"/>
        </w:rPr>
        <w:t>2</w:t>
      </w:r>
      <w:r>
        <w:rPr>
          <w:rFonts w:hAnsiTheme="minorEastAsia" w:eastAsiaTheme="minorEastAsia"/>
          <w:kern w:val="0"/>
          <w:sz w:val="24"/>
          <w:highlight w:val="none"/>
        </w:rPr>
        <w:t>中无组织排放监控浓度限值要求</w:t>
      </w:r>
      <w:r>
        <w:rPr>
          <w:rFonts w:hint="eastAsia" w:ascii="Times New Roman" w:hAnsi="Times New Roman" w:eastAsia="宋体" w:cs="Times New Roman"/>
          <w:kern w:val="2"/>
          <w:sz w:val="24"/>
          <w:szCs w:val="24"/>
          <w:highlight w:val="none"/>
          <w:lang w:val="en-US" w:eastAsia="zh-CN" w:bidi="ar"/>
        </w:rPr>
        <w:t>。</w:t>
      </w:r>
      <w:r>
        <w:rPr>
          <w:rFonts w:hint="eastAsia" w:cs="Times New Roman"/>
          <w:kern w:val="2"/>
          <w:sz w:val="24"/>
          <w:szCs w:val="24"/>
          <w:highlight w:val="none"/>
          <w:lang w:val="en-US" w:eastAsia="zh-CN" w:bidi="ar"/>
        </w:rPr>
        <w:t>备用发电机运行时间较短，排放污染物量较小，且在封闭生产车间内运行，对周围环境影响很小。</w:t>
      </w:r>
    </w:p>
    <w:p w14:paraId="1CF7ECA2">
      <w:pPr>
        <w:spacing w:line="360" w:lineRule="auto"/>
        <w:ind w:firstLine="480" w:firstLineChars="200"/>
        <w:rPr>
          <w:rFonts w:eastAsiaTheme="minorEastAsia"/>
          <w:kern w:val="0"/>
          <w:sz w:val="24"/>
          <w:highlight w:val="none"/>
        </w:rPr>
      </w:pPr>
      <w:r>
        <w:rPr>
          <w:rFonts w:hAnsiTheme="minorEastAsia" w:eastAsiaTheme="minorEastAsia"/>
          <w:kern w:val="0"/>
          <w:sz w:val="24"/>
          <w:highlight w:val="none"/>
        </w:rPr>
        <w:t>综上所述，项目采取的污染控制措施可以保证污染物达标排放，项目废气对外界环境影响很小，大气环境影响可接受。</w:t>
      </w:r>
    </w:p>
    <w:p w14:paraId="4773DE83">
      <w:pPr>
        <w:bidi w:val="0"/>
        <w:rPr>
          <w:rFonts w:ascii="Times New Roman" w:hAnsi="Times New Roman" w:cs="Times New Roman"/>
          <w:b/>
          <w:highlight w:val="none"/>
        </w:rPr>
      </w:pPr>
      <w:r>
        <w:rPr>
          <w:rFonts w:ascii="Times New Roman" w:hAnsi="Times New Roman" w:cs="Times New Roman"/>
          <w:b/>
          <w:highlight w:val="none"/>
        </w:rPr>
        <w:t>9.1.3.2</w:t>
      </w:r>
      <w:r>
        <w:rPr>
          <w:rFonts w:ascii="Times New Roman" w:cs="Times New Roman" w:hAnsiTheme="minorEastAsia"/>
          <w:b/>
          <w:highlight w:val="none"/>
        </w:rPr>
        <w:t>废水</w:t>
      </w:r>
    </w:p>
    <w:p w14:paraId="7B29E436">
      <w:pPr>
        <w:bidi w:val="0"/>
        <w:rPr>
          <w:rFonts w:hAnsiTheme="minorEastAsia" w:eastAsiaTheme="minorEastAsia"/>
          <w:bCs/>
          <w:sz w:val="24"/>
          <w:highlight w:val="none"/>
        </w:rPr>
      </w:pPr>
      <w:r>
        <w:rPr>
          <w:rFonts w:hAnsiTheme="minorEastAsia" w:eastAsiaTheme="minorEastAsia"/>
          <w:sz w:val="24"/>
          <w:highlight w:val="none"/>
        </w:rPr>
        <w:t>本项目</w:t>
      </w:r>
      <w:r>
        <w:rPr>
          <w:rFonts w:hint="eastAsia" w:hAnsiTheme="minorEastAsia" w:eastAsiaTheme="minorEastAsia"/>
          <w:sz w:val="24"/>
          <w:highlight w:val="none"/>
          <w:lang w:val="en-US" w:eastAsia="zh-CN"/>
        </w:rPr>
        <w:t>改造前后废水量无变化</w:t>
      </w:r>
      <w:r>
        <w:rPr>
          <w:rFonts w:hAnsiTheme="minorEastAsia" w:eastAsiaTheme="minorEastAsia"/>
          <w:bCs/>
          <w:sz w:val="24"/>
          <w:highlight w:val="none"/>
        </w:rPr>
        <w:t>。</w:t>
      </w:r>
    </w:p>
    <w:p w14:paraId="1EF3378A">
      <w:pPr>
        <w:bidi w:val="0"/>
        <w:rPr>
          <w:rFonts w:ascii="Times New Roman" w:hAnsi="Times New Roman" w:cs="Times New Roman"/>
          <w:b/>
          <w:highlight w:val="none"/>
        </w:rPr>
      </w:pPr>
      <w:r>
        <w:rPr>
          <w:rFonts w:ascii="Times New Roman" w:hAnsi="Times New Roman" w:cs="Times New Roman"/>
          <w:b/>
          <w:highlight w:val="none"/>
        </w:rPr>
        <w:t>9.1.3.3</w:t>
      </w:r>
      <w:r>
        <w:rPr>
          <w:rFonts w:ascii="Times New Roman" w:cs="Times New Roman" w:hAnsiTheme="minorEastAsia"/>
          <w:b/>
          <w:highlight w:val="none"/>
        </w:rPr>
        <w:t>噪声</w:t>
      </w:r>
    </w:p>
    <w:p w14:paraId="31908561">
      <w:pPr>
        <w:spacing w:line="360" w:lineRule="auto"/>
        <w:ind w:firstLine="480" w:firstLineChars="200"/>
        <w:rPr>
          <w:rFonts w:eastAsiaTheme="minorEastAsia"/>
          <w:kern w:val="0"/>
          <w:sz w:val="24"/>
          <w:highlight w:val="none"/>
        </w:rPr>
      </w:pPr>
      <w:r>
        <w:rPr>
          <w:rFonts w:hAnsiTheme="minorEastAsia" w:eastAsiaTheme="minorEastAsia"/>
          <w:kern w:val="0"/>
          <w:sz w:val="24"/>
          <w:highlight w:val="none"/>
        </w:rPr>
        <w:t>本项目主要噪声源为生产设备</w:t>
      </w:r>
      <w:r>
        <w:rPr>
          <w:rFonts w:hint="eastAsia" w:hAnsiTheme="minorEastAsia" w:eastAsiaTheme="minorEastAsia"/>
          <w:kern w:val="0"/>
          <w:sz w:val="24"/>
          <w:highlight w:val="none"/>
          <w:lang w:val="en-US" w:eastAsia="zh-CN"/>
        </w:rPr>
        <w:t>及风机产生</w:t>
      </w:r>
      <w:r>
        <w:rPr>
          <w:rFonts w:hAnsiTheme="minorEastAsia" w:eastAsiaTheme="minorEastAsia"/>
          <w:kern w:val="0"/>
          <w:sz w:val="24"/>
          <w:highlight w:val="none"/>
        </w:rPr>
        <w:t>的机械噪声，采取选用低噪声设备、隔声、减振等措施后，根据对噪声设备影响预测的结果可看出，正常生产情况下，厂界噪声可以满足</w:t>
      </w:r>
      <w:r>
        <w:rPr>
          <w:rFonts w:hAnsiTheme="minorEastAsia" w:eastAsiaTheme="minorEastAsia"/>
          <w:kern w:val="0"/>
          <w:sz w:val="24"/>
          <w:szCs w:val="20"/>
          <w:highlight w:val="none"/>
        </w:rPr>
        <w:t>《工业企业厂界环境噪声排放标准》（</w:t>
      </w:r>
      <w:r>
        <w:rPr>
          <w:rFonts w:eastAsiaTheme="minorEastAsia"/>
          <w:kern w:val="0"/>
          <w:sz w:val="24"/>
          <w:szCs w:val="20"/>
          <w:highlight w:val="none"/>
        </w:rPr>
        <w:t>GB12348-2008</w:t>
      </w:r>
      <w:r>
        <w:rPr>
          <w:rFonts w:hAnsiTheme="minorEastAsia" w:eastAsiaTheme="minorEastAsia"/>
          <w:kern w:val="0"/>
          <w:sz w:val="24"/>
          <w:szCs w:val="20"/>
          <w:highlight w:val="none"/>
        </w:rPr>
        <w:t>）中的</w:t>
      </w:r>
      <w:r>
        <w:rPr>
          <w:rFonts w:hint="eastAsia" w:eastAsiaTheme="minorEastAsia"/>
          <w:kern w:val="0"/>
          <w:sz w:val="24"/>
          <w:szCs w:val="20"/>
          <w:highlight w:val="none"/>
          <w:lang w:val="en-US" w:eastAsia="zh-CN"/>
        </w:rPr>
        <w:t>3</w:t>
      </w:r>
      <w:r>
        <w:rPr>
          <w:rFonts w:hAnsiTheme="minorEastAsia" w:eastAsiaTheme="minorEastAsia"/>
          <w:kern w:val="0"/>
          <w:sz w:val="24"/>
          <w:szCs w:val="20"/>
          <w:highlight w:val="none"/>
        </w:rPr>
        <w:t>类</w:t>
      </w:r>
      <w:r>
        <w:rPr>
          <w:rFonts w:hAnsiTheme="minorEastAsia" w:eastAsiaTheme="minorEastAsia"/>
          <w:kern w:val="0"/>
          <w:sz w:val="24"/>
          <w:highlight w:val="none"/>
        </w:rPr>
        <w:t>要求，对周围环境影响较小。</w:t>
      </w:r>
    </w:p>
    <w:p w14:paraId="205E4C6C">
      <w:pPr>
        <w:bidi w:val="0"/>
        <w:rPr>
          <w:rFonts w:eastAsiaTheme="minorEastAsia"/>
          <w:bCs/>
          <w:kern w:val="0"/>
          <w:sz w:val="24"/>
          <w:highlight w:val="none"/>
        </w:rPr>
      </w:pPr>
      <w:r>
        <w:rPr>
          <w:rFonts w:ascii="Times New Roman" w:hAnsi="Times New Roman" w:cs="Times New Roman"/>
          <w:b/>
          <w:highlight w:val="none"/>
        </w:rPr>
        <w:t>9.1.3.4</w:t>
      </w:r>
      <w:r>
        <w:rPr>
          <w:rFonts w:ascii="Times New Roman" w:cs="Times New Roman" w:hAnsiTheme="minorEastAsia"/>
          <w:b/>
          <w:highlight w:val="none"/>
        </w:rPr>
        <w:t>固废</w:t>
      </w:r>
      <w:bookmarkStart w:id="673" w:name="_Toc15991739"/>
    </w:p>
    <w:p w14:paraId="5F18A6A3">
      <w:pPr>
        <w:spacing w:line="360" w:lineRule="auto"/>
        <w:ind w:firstLine="480" w:firstLineChars="200"/>
        <w:contextualSpacing/>
        <w:rPr>
          <w:rFonts w:hAnsiTheme="minorEastAsia" w:eastAsiaTheme="minorEastAsia"/>
          <w:bCs/>
          <w:sz w:val="24"/>
          <w:highlight w:val="none"/>
        </w:rPr>
      </w:pPr>
      <w:r>
        <w:rPr>
          <w:rFonts w:hAnsiTheme="minorEastAsia" w:eastAsiaTheme="minorEastAsia"/>
          <w:bCs/>
          <w:kern w:val="0"/>
          <w:sz w:val="24"/>
          <w:highlight w:val="none"/>
        </w:rPr>
        <w:t>危险废物：</w:t>
      </w:r>
      <w:r>
        <w:rPr>
          <w:rFonts w:hAnsiTheme="minorEastAsia" w:eastAsiaTheme="minorEastAsia"/>
          <w:bCs/>
          <w:sz w:val="24"/>
          <w:highlight w:val="none"/>
        </w:rPr>
        <w:t>废</w:t>
      </w:r>
      <w:r>
        <w:rPr>
          <w:rFonts w:hint="eastAsia" w:hAnsiTheme="minorEastAsia" w:eastAsiaTheme="minorEastAsia"/>
          <w:bCs/>
          <w:sz w:val="24"/>
          <w:highlight w:val="none"/>
          <w:lang w:val="en-US" w:eastAsia="zh-CN"/>
        </w:rPr>
        <w:t>液（</w:t>
      </w:r>
      <w:r>
        <w:rPr>
          <w:rFonts w:hint="eastAsia" w:hAnsiTheme="minorEastAsia" w:eastAsiaTheme="minorEastAsia"/>
          <w:bCs/>
          <w:sz w:val="24"/>
          <w:highlight w:val="none"/>
        </w:rPr>
        <w:t>类别：HW08，代码：900-249-08、类别：HW09，代码900-007-09）</w:t>
      </w:r>
      <w:r>
        <w:rPr>
          <w:rFonts w:hAnsiTheme="minorEastAsia" w:eastAsiaTheme="minorEastAsia"/>
          <w:bCs/>
          <w:sz w:val="24"/>
          <w:highlight w:val="none"/>
        </w:rPr>
        <w:t>、</w:t>
      </w:r>
      <w:r>
        <w:rPr>
          <w:rFonts w:hint="eastAsia" w:ascii="Times New Roman" w:hAnsi="Times New Roman" w:eastAsia="宋体" w:cs="Times New Roman"/>
          <w:bCs/>
          <w:kern w:val="2"/>
          <w:sz w:val="24"/>
          <w:szCs w:val="24"/>
          <w:highlight w:val="none"/>
          <w:lang w:val="en-US" w:eastAsia="zh-CN" w:bidi="ar"/>
        </w:rPr>
        <w:t>废</w:t>
      </w:r>
      <w:r>
        <w:rPr>
          <w:rFonts w:hint="eastAsia" w:cs="Times New Roman"/>
          <w:bCs/>
          <w:kern w:val="2"/>
          <w:sz w:val="24"/>
          <w:szCs w:val="24"/>
          <w:highlight w:val="none"/>
          <w:lang w:val="en-US" w:eastAsia="zh-CN" w:bidi="ar"/>
        </w:rPr>
        <w:t>活性炭</w:t>
      </w:r>
      <w:r>
        <w:rPr>
          <w:rFonts w:hAnsiTheme="minorEastAsia" w:eastAsiaTheme="minorEastAsia"/>
          <w:bCs/>
          <w:sz w:val="24"/>
          <w:highlight w:val="none"/>
        </w:rPr>
        <w:t>（类别：</w:t>
      </w:r>
      <w:r>
        <w:rPr>
          <w:rFonts w:eastAsiaTheme="minorEastAsia"/>
          <w:bCs/>
          <w:sz w:val="24"/>
          <w:highlight w:val="none"/>
        </w:rPr>
        <w:t>HW49</w:t>
      </w:r>
      <w:r>
        <w:rPr>
          <w:rFonts w:hAnsiTheme="minorEastAsia" w:eastAsiaTheme="minorEastAsia"/>
          <w:bCs/>
          <w:sz w:val="24"/>
          <w:highlight w:val="none"/>
        </w:rPr>
        <w:t>，代码：</w:t>
      </w:r>
      <w:r>
        <w:rPr>
          <w:rFonts w:eastAsiaTheme="minorEastAsia"/>
          <w:bCs/>
          <w:sz w:val="24"/>
          <w:highlight w:val="none"/>
        </w:rPr>
        <w:t>900-041-49</w:t>
      </w:r>
      <w:r>
        <w:rPr>
          <w:rFonts w:hAnsiTheme="minorEastAsia" w:eastAsiaTheme="minorEastAsia"/>
          <w:bCs/>
          <w:sz w:val="24"/>
          <w:highlight w:val="none"/>
        </w:rPr>
        <w:t>）、油雾净化系统产生的废油</w:t>
      </w:r>
      <w:r>
        <w:rPr>
          <w:rFonts w:hint="eastAsia" w:hAnsiTheme="minorEastAsia" w:eastAsiaTheme="minorEastAsia"/>
          <w:bCs/>
          <w:sz w:val="24"/>
          <w:highlight w:val="none"/>
        </w:rPr>
        <w:t>类别：HW08，代码：900-249-08、类别：HW09，代码900-007-09）</w:t>
      </w:r>
      <w:r>
        <w:rPr>
          <w:rFonts w:hAnsiTheme="minorEastAsia" w:eastAsiaTheme="minorEastAsia"/>
          <w:bCs/>
          <w:sz w:val="24"/>
          <w:highlight w:val="none"/>
        </w:rPr>
        <w:t>和废过滤材料（类别：</w:t>
      </w:r>
      <w:r>
        <w:rPr>
          <w:rFonts w:eastAsiaTheme="minorEastAsia"/>
          <w:bCs/>
          <w:sz w:val="24"/>
          <w:highlight w:val="none"/>
        </w:rPr>
        <w:t>HW49</w:t>
      </w:r>
      <w:r>
        <w:rPr>
          <w:rFonts w:hAnsiTheme="minorEastAsia" w:eastAsiaTheme="minorEastAsia"/>
          <w:bCs/>
          <w:sz w:val="24"/>
          <w:highlight w:val="none"/>
        </w:rPr>
        <w:t>，代码：</w:t>
      </w:r>
      <w:r>
        <w:rPr>
          <w:rFonts w:eastAsiaTheme="minorEastAsia"/>
          <w:bCs/>
          <w:sz w:val="24"/>
          <w:highlight w:val="none"/>
        </w:rPr>
        <w:t>900-041-49</w:t>
      </w:r>
      <w:r>
        <w:rPr>
          <w:rFonts w:hAnsiTheme="minorEastAsia" w:eastAsiaTheme="minorEastAsia"/>
          <w:bCs/>
          <w:sz w:val="24"/>
          <w:highlight w:val="none"/>
        </w:rPr>
        <w:t>）</w:t>
      </w:r>
      <w:r>
        <w:rPr>
          <w:rFonts w:hint="eastAsia" w:hAnsi="宋体"/>
          <w:sz w:val="24"/>
          <w:highlight w:val="none"/>
          <w:lang w:eastAsia="zh-CN"/>
        </w:rPr>
        <w:t>，</w:t>
      </w:r>
      <w:r>
        <w:rPr>
          <w:rFonts w:hint="eastAsia" w:hAnsiTheme="minorEastAsia" w:eastAsiaTheme="minorEastAsia"/>
          <w:bCs/>
          <w:sz w:val="24"/>
          <w:highlight w:val="none"/>
        </w:rPr>
        <w:t>危废</w:t>
      </w:r>
      <w:r>
        <w:rPr>
          <w:rFonts w:hAnsiTheme="minorEastAsia" w:eastAsiaTheme="minorEastAsia"/>
          <w:bCs/>
          <w:sz w:val="24"/>
          <w:highlight w:val="none"/>
        </w:rPr>
        <w:t>暂存于危废贮存库，危废均交由有资质单位处理。</w:t>
      </w:r>
    </w:p>
    <w:p w14:paraId="635DE7CD">
      <w:pPr>
        <w:pStyle w:val="4"/>
        <w:bidi w:val="0"/>
        <w:rPr>
          <w:highlight w:val="none"/>
        </w:rPr>
      </w:pPr>
      <w:bookmarkStart w:id="674" w:name="_Toc17320"/>
      <w:bookmarkStart w:id="675" w:name="_Toc6734"/>
      <w:r>
        <w:rPr>
          <w:highlight w:val="none"/>
        </w:rPr>
        <w:t>9.1.4主要环境影响</w:t>
      </w:r>
      <w:bookmarkEnd w:id="674"/>
      <w:bookmarkEnd w:id="675"/>
    </w:p>
    <w:p w14:paraId="25064E08">
      <w:pPr>
        <w:bidi w:val="0"/>
        <w:rPr>
          <w:highlight w:val="none"/>
        </w:rPr>
      </w:pPr>
      <w:r>
        <w:rPr>
          <w:rFonts w:hAnsiTheme="minorEastAsia" w:eastAsiaTheme="minorEastAsia"/>
          <w:highlight w:val="none"/>
        </w:rPr>
        <w:t>本项目对</w:t>
      </w:r>
      <w:r>
        <w:rPr>
          <w:highlight w:val="none"/>
        </w:rPr>
        <w:t>环境主要影响源自</w:t>
      </w:r>
      <w:r>
        <w:rPr>
          <w:rFonts w:hint="eastAsia"/>
          <w:highlight w:val="none"/>
          <w:lang w:val="en-US" w:eastAsia="zh-CN"/>
        </w:rPr>
        <w:t>生产设备及贮存</w:t>
      </w:r>
      <w:r>
        <w:rPr>
          <w:highlight w:val="none"/>
        </w:rPr>
        <w:t>产生的废气对大气环境的影响；设备运行过程中设备噪声对声环境的影响；生活污水对水环境得影响；危险废物等固体废物影响。</w:t>
      </w:r>
    </w:p>
    <w:p w14:paraId="3F85C9CD">
      <w:pPr>
        <w:bidi w:val="0"/>
        <w:rPr>
          <w:rFonts w:eastAsiaTheme="minorEastAsia"/>
          <w:b/>
          <w:bCs/>
          <w:highlight w:val="none"/>
        </w:rPr>
      </w:pPr>
      <w:r>
        <w:rPr>
          <w:highlight w:val="none"/>
        </w:rPr>
        <w:t>本项目针对以上环境影响均采取了相应地防治措施，在建设单位保证环保设施及防范措施有效运</w:t>
      </w:r>
      <w:r>
        <w:rPr>
          <w:rFonts w:hAnsiTheme="minorEastAsia" w:eastAsiaTheme="minorEastAsia"/>
          <w:highlight w:val="none"/>
        </w:rPr>
        <w:t>行、实施的前提下，本项目对外环境产生的不利影响可以被接受。</w:t>
      </w:r>
    </w:p>
    <w:p w14:paraId="294F42CF">
      <w:pPr>
        <w:pStyle w:val="4"/>
        <w:bidi w:val="0"/>
        <w:rPr>
          <w:highlight w:val="none"/>
        </w:rPr>
      </w:pPr>
      <w:bookmarkStart w:id="676" w:name="_Toc3006"/>
      <w:bookmarkStart w:id="677" w:name="_Toc486255150"/>
      <w:bookmarkStart w:id="678" w:name="_Toc3956"/>
      <w:bookmarkStart w:id="679" w:name="_Toc15991741"/>
      <w:r>
        <w:rPr>
          <w:highlight w:val="none"/>
        </w:rPr>
        <w:t>9.1.5公众意见采纳情况</w:t>
      </w:r>
      <w:bookmarkEnd w:id="676"/>
      <w:bookmarkEnd w:id="677"/>
      <w:bookmarkEnd w:id="678"/>
      <w:bookmarkEnd w:id="679"/>
    </w:p>
    <w:p w14:paraId="765AE00C">
      <w:pPr>
        <w:bidi w:val="0"/>
        <w:rPr>
          <w:highlight w:val="none"/>
        </w:rPr>
      </w:pPr>
      <w:r>
        <w:rPr>
          <w:highlight w:val="none"/>
        </w:rPr>
        <w:t>建设单位于202</w:t>
      </w:r>
      <w:r>
        <w:rPr>
          <w:rFonts w:hint="eastAsia"/>
          <w:highlight w:val="none"/>
          <w:lang w:val="en-US" w:eastAsia="zh-CN"/>
        </w:rPr>
        <w:t>5</w:t>
      </w:r>
      <w:r>
        <w:rPr>
          <w:highlight w:val="none"/>
        </w:rPr>
        <w:t>年</w:t>
      </w:r>
      <w:r>
        <w:rPr>
          <w:rFonts w:hint="eastAsia"/>
          <w:highlight w:val="none"/>
          <w:lang w:val="en-US" w:eastAsia="zh-CN"/>
        </w:rPr>
        <w:t>8</w:t>
      </w:r>
      <w:r>
        <w:rPr>
          <w:highlight w:val="none"/>
        </w:rPr>
        <w:t>月</w:t>
      </w:r>
      <w:r>
        <w:rPr>
          <w:rFonts w:hint="eastAsia"/>
          <w:highlight w:val="none"/>
          <w:lang w:val="en-US" w:eastAsia="zh-CN"/>
        </w:rPr>
        <w:t>19</w:t>
      </w:r>
      <w:r>
        <w:rPr>
          <w:highlight w:val="none"/>
        </w:rPr>
        <w:t>日在黑龙江新闻网上对</w:t>
      </w:r>
      <w:r>
        <w:rPr>
          <w:rFonts w:hint="eastAsia"/>
          <w:highlight w:val="none"/>
          <w:lang w:eastAsia="zh-CN"/>
        </w:rPr>
        <w:t>4G9生产线更新改造项目</w:t>
      </w:r>
      <w:r>
        <w:rPr>
          <w:highlight w:val="none"/>
        </w:rPr>
        <w:t>进行了第一次公示；202</w:t>
      </w:r>
      <w:r>
        <w:rPr>
          <w:rFonts w:hint="eastAsia"/>
          <w:highlight w:val="none"/>
          <w:lang w:val="en-US" w:eastAsia="zh-CN"/>
        </w:rPr>
        <w:t>5</w:t>
      </w:r>
      <w:r>
        <w:rPr>
          <w:highlight w:val="none"/>
        </w:rPr>
        <w:t>年</w:t>
      </w:r>
      <w:r>
        <w:rPr>
          <w:rFonts w:hint="eastAsia"/>
          <w:highlight w:val="none"/>
          <w:lang w:val="en-US" w:eastAsia="zh-CN"/>
        </w:rPr>
        <w:t>10</w:t>
      </w:r>
      <w:r>
        <w:rPr>
          <w:highlight w:val="none"/>
        </w:rPr>
        <w:t>月</w:t>
      </w:r>
      <w:r>
        <w:rPr>
          <w:rFonts w:hint="eastAsia"/>
          <w:highlight w:val="none"/>
          <w:lang w:val="en-US" w:eastAsia="zh-CN"/>
        </w:rPr>
        <w:t>16</w:t>
      </w:r>
      <w:r>
        <w:rPr>
          <w:highlight w:val="none"/>
        </w:rPr>
        <w:t>日编制完成了《</w:t>
      </w:r>
      <w:r>
        <w:rPr>
          <w:rFonts w:hint="eastAsia"/>
          <w:highlight w:val="none"/>
          <w:lang w:eastAsia="zh-CN"/>
        </w:rPr>
        <w:t>4G9生产线更新改造项目</w:t>
      </w:r>
      <w:r>
        <w:rPr>
          <w:highlight w:val="none"/>
        </w:rPr>
        <w:t>环境影响报告书》征求意见稿后，于2</w:t>
      </w:r>
      <w:r>
        <w:rPr>
          <w:highlight w:val="yellow"/>
        </w:rPr>
        <w:t>02</w:t>
      </w:r>
      <w:r>
        <w:rPr>
          <w:rFonts w:hint="eastAsia"/>
          <w:highlight w:val="yellow"/>
          <w:lang w:val="en-US" w:eastAsia="zh-CN"/>
        </w:rPr>
        <w:t>5</w:t>
      </w:r>
      <w:r>
        <w:rPr>
          <w:highlight w:val="yellow"/>
        </w:rPr>
        <w:t>年</w:t>
      </w:r>
      <w:r>
        <w:rPr>
          <w:rFonts w:hint="eastAsia"/>
          <w:highlight w:val="yellow"/>
          <w:lang w:val="en-US" w:eastAsia="zh-CN"/>
        </w:rPr>
        <w:t>9</w:t>
      </w:r>
      <w:r>
        <w:rPr>
          <w:highlight w:val="yellow"/>
        </w:rPr>
        <w:t>月</w:t>
      </w:r>
      <w:r>
        <w:rPr>
          <w:rFonts w:hint="eastAsia"/>
          <w:highlight w:val="yellow"/>
          <w:lang w:val="en-US" w:eastAsia="zh-CN"/>
        </w:rPr>
        <w:t>23</w:t>
      </w:r>
      <w:r>
        <w:rPr>
          <w:highlight w:val="yellow"/>
        </w:rPr>
        <w:t>日至202</w:t>
      </w:r>
      <w:r>
        <w:rPr>
          <w:rFonts w:hint="eastAsia"/>
          <w:highlight w:val="yellow"/>
          <w:lang w:val="en-US" w:eastAsia="zh-CN"/>
        </w:rPr>
        <w:t>4</w:t>
      </w:r>
      <w:r>
        <w:rPr>
          <w:highlight w:val="yellow"/>
        </w:rPr>
        <w:t>年</w:t>
      </w:r>
      <w:r>
        <w:rPr>
          <w:rFonts w:hint="eastAsia"/>
          <w:highlight w:val="yellow"/>
          <w:lang w:val="en-US" w:eastAsia="zh-CN"/>
        </w:rPr>
        <w:t>10</w:t>
      </w:r>
      <w:r>
        <w:rPr>
          <w:highlight w:val="yellow"/>
        </w:rPr>
        <w:t>月</w:t>
      </w:r>
      <w:r>
        <w:rPr>
          <w:rFonts w:hint="eastAsia"/>
          <w:highlight w:val="yellow"/>
          <w:lang w:val="en-US" w:eastAsia="zh-CN"/>
        </w:rPr>
        <w:t>10日</w:t>
      </w:r>
      <w:r>
        <w:rPr>
          <w:highlight w:val="yellow"/>
        </w:rPr>
        <w:t>在黑龙江新闻网对环境影响报告书的征求意见稿进行了公示，在此期间，分别于202</w:t>
      </w:r>
      <w:r>
        <w:rPr>
          <w:rFonts w:hint="eastAsia"/>
          <w:highlight w:val="yellow"/>
          <w:lang w:val="en-US" w:eastAsia="zh-CN"/>
        </w:rPr>
        <w:t>4</w:t>
      </w:r>
      <w:r>
        <w:rPr>
          <w:highlight w:val="yellow"/>
        </w:rPr>
        <w:t>年</w:t>
      </w:r>
      <w:r>
        <w:rPr>
          <w:rFonts w:hint="eastAsia"/>
          <w:highlight w:val="yellow"/>
          <w:lang w:val="en-US" w:eastAsia="zh-CN"/>
        </w:rPr>
        <w:t>9</w:t>
      </w:r>
      <w:r>
        <w:rPr>
          <w:highlight w:val="yellow"/>
        </w:rPr>
        <w:t>月</w:t>
      </w:r>
      <w:r>
        <w:rPr>
          <w:rFonts w:hint="eastAsia"/>
          <w:highlight w:val="yellow"/>
          <w:lang w:val="en-US" w:eastAsia="zh-CN"/>
        </w:rPr>
        <w:t>24</w:t>
      </w:r>
      <w:r>
        <w:rPr>
          <w:highlight w:val="yellow"/>
        </w:rPr>
        <w:t>日和</w:t>
      </w:r>
      <w:r>
        <w:rPr>
          <w:rFonts w:hint="eastAsia"/>
          <w:highlight w:val="yellow"/>
          <w:lang w:val="en-US" w:eastAsia="zh-CN"/>
        </w:rPr>
        <w:t>9</w:t>
      </w:r>
      <w:r>
        <w:rPr>
          <w:highlight w:val="yellow"/>
        </w:rPr>
        <w:t>月</w:t>
      </w:r>
      <w:r>
        <w:rPr>
          <w:rFonts w:hint="eastAsia"/>
          <w:highlight w:val="yellow"/>
          <w:lang w:val="en-US" w:eastAsia="zh-CN"/>
        </w:rPr>
        <w:t>26</w:t>
      </w:r>
      <w:r>
        <w:rPr>
          <w:highlight w:val="yellow"/>
        </w:rPr>
        <w:t>日</w:t>
      </w:r>
      <w:r>
        <w:rPr>
          <w:highlight w:val="none"/>
        </w:rPr>
        <w:t>在黑龙江日报上报纸公示了2次，且在附近</w:t>
      </w:r>
      <w:r>
        <w:rPr>
          <w:rFonts w:hint="eastAsia"/>
          <w:highlight w:val="none"/>
          <w:lang w:val="en-US" w:eastAsia="zh-CN"/>
        </w:rPr>
        <w:t>三家子屯和万达华府分别</w:t>
      </w:r>
      <w:r>
        <w:rPr>
          <w:highlight w:val="none"/>
        </w:rPr>
        <w:t>张贴了布告栏公示。</w:t>
      </w:r>
      <w:r>
        <w:rPr>
          <w:highlight w:val="yellow"/>
        </w:rPr>
        <w:t>于202</w:t>
      </w:r>
      <w:r>
        <w:rPr>
          <w:rFonts w:hint="eastAsia"/>
          <w:highlight w:val="yellow"/>
          <w:lang w:val="en-US" w:eastAsia="zh-CN"/>
        </w:rPr>
        <w:t>4</w:t>
      </w:r>
      <w:r>
        <w:rPr>
          <w:highlight w:val="yellow"/>
        </w:rPr>
        <w:t>年</w:t>
      </w:r>
      <w:r>
        <w:rPr>
          <w:rFonts w:hint="eastAsia"/>
          <w:highlight w:val="yellow"/>
          <w:lang w:val="en-US" w:eastAsia="zh-CN"/>
        </w:rPr>
        <w:t>10</w:t>
      </w:r>
      <w:r>
        <w:rPr>
          <w:highlight w:val="yellow"/>
        </w:rPr>
        <w:t>月</w:t>
      </w:r>
      <w:r>
        <w:rPr>
          <w:rFonts w:hint="eastAsia"/>
          <w:highlight w:val="yellow"/>
          <w:lang w:val="en-US" w:eastAsia="zh-CN"/>
        </w:rPr>
        <w:t>11</w:t>
      </w:r>
      <w:r>
        <w:rPr>
          <w:highlight w:val="yellow"/>
        </w:rPr>
        <w:t>日</w:t>
      </w:r>
      <w:r>
        <w:rPr>
          <w:highlight w:val="none"/>
        </w:rPr>
        <w:t>在黑龙江新闻网进行了报批前公示。项目信息公告公示期间，均未收到公众以电话、信件或电子邮件等任何形式发回的反馈意见。</w:t>
      </w:r>
    </w:p>
    <w:p w14:paraId="3EF93013">
      <w:pPr>
        <w:pStyle w:val="4"/>
        <w:bidi w:val="0"/>
        <w:rPr>
          <w:highlight w:val="none"/>
        </w:rPr>
      </w:pPr>
      <w:bookmarkStart w:id="680" w:name="_Toc26423"/>
      <w:bookmarkStart w:id="681" w:name="_Toc30370"/>
      <w:r>
        <w:rPr>
          <w:highlight w:val="none"/>
        </w:rPr>
        <w:t>9.1.6环境保护措施</w:t>
      </w:r>
      <w:bookmarkEnd w:id="680"/>
      <w:bookmarkEnd w:id="681"/>
    </w:p>
    <w:p w14:paraId="0A3F2AB7">
      <w:pPr>
        <w:bidi w:val="0"/>
        <w:rPr>
          <w:rFonts w:eastAsiaTheme="minorEastAsia"/>
          <w:b/>
          <w:sz w:val="24"/>
          <w:highlight w:val="none"/>
          <w:lang w:val="zh-CN"/>
        </w:rPr>
      </w:pPr>
      <w:r>
        <w:rPr>
          <w:rFonts w:eastAsiaTheme="minorEastAsia"/>
          <w:b/>
          <w:sz w:val="24"/>
          <w:highlight w:val="none"/>
          <w:lang w:val="zh-CN"/>
        </w:rPr>
        <w:t>9.1.6.1</w:t>
      </w:r>
      <w:r>
        <w:rPr>
          <w:rFonts w:hAnsiTheme="minorEastAsia" w:eastAsiaTheme="minorEastAsia"/>
          <w:b/>
          <w:sz w:val="24"/>
          <w:highlight w:val="none"/>
          <w:lang w:val="zh-CN"/>
        </w:rPr>
        <w:t>废气</w:t>
      </w:r>
    </w:p>
    <w:p w14:paraId="2A9257FD">
      <w:pPr>
        <w:bidi w:val="0"/>
        <w:rPr>
          <w:sz w:val="24"/>
          <w:szCs w:val="24"/>
          <w:highlight w:val="none"/>
          <w:lang w:val="en-US" w:eastAsia="zh-CN"/>
        </w:rPr>
      </w:pPr>
      <w:r>
        <w:rPr>
          <w:rFonts w:hint="eastAsia" w:hAnsiTheme="minorEastAsia" w:eastAsiaTheme="minorEastAsia"/>
          <w:kern w:val="0"/>
          <w:sz w:val="24"/>
          <w:highlight w:val="none"/>
          <w:lang w:val="en-US" w:eastAsia="zh-CN"/>
        </w:rPr>
        <w:t>机加工序设置于2号厂房内，加工中心均为封闭设备，机械加工工序设置2套油雾净化装置，产生的油雾废气分别经油雾净化装置处理后，经集气罩收集，由2根新建23m排气筒排放；装配工序及热试验工序设置于4号厂房内，热试验间及装配区域产生的尾气采用三元催化器进行处理，后由1根新建23m排气筒排放；含油金属屑加工生产线位于变速器机加厂房北侧，产生的油雾、挥发性有机物（以非甲烷总烃计）、颗粒物及臭气浓度通过油雾净化装置+活性炭吸附装置处理后由1根新建23m排气筒排放；</w:t>
      </w:r>
      <w:r>
        <w:rPr>
          <w:highlight w:val="none"/>
        </w:rPr>
        <w:t>。</w:t>
      </w:r>
    </w:p>
    <w:p w14:paraId="22030BE7">
      <w:pPr>
        <w:bidi w:val="0"/>
        <w:rPr>
          <w:rFonts w:hint="default"/>
          <w:highlight w:val="none"/>
          <w:lang w:val="en-US" w:eastAsia="zh-CN"/>
        </w:rPr>
      </w:pPr>
      <w:r>
        <w:rPr>
          <w:rFonts w:hint="eastAsia"/>
          <w:highlight w:val="none"/>
          <w:lang w:val="en-US" w:eastAsia="zh-CN"/>
        </w:rPr>
        <w:t>未收集部分以无组织形式于封闭厂房内排放。</w:t>
      </w:r>
    </w:p>
    <w:p w14:paraId="1953E251">
      <w:pPr>
        <w:bidi w:val="0"/>
        <w:rPr>
          <w:rFonts w:eastAsiaTheme="minorEastAsia"/>
          <w:b/>
          <w:sz w:val="24"/>
          <w:highlight w:val="none"/>
          <w:lang w:val="zh-CN"/>
        </w:rPr>
      </w:pPr>
      <w:r>
        <w:rPr>
          <w:rFonts w:eastAsiaTheme="minorEastAsia"/>
          <w:b/>
          <w:sz w:val="24"/>
          <w:highlight w:val="none"/>
          <w:lang w:val="zh-CN"/>
        </w:rPr>
        <w:t>9.1.6.2</w:t>
      </w:r>
      <w:r>
        <w:rPr>
          <w:rFonts w:hAnsiTheme="minorEastAsia" w:eastAsiaTheme="minorEastAsia"/>
          <w:b/>
          <w:sz w:val="24"/>
          <w:highlight w:val="none"/>
          <w:lang w:val="zh-CN"/>
        </w:rPr>
        <w:t>废水</w:t>
      </w:r>
    </w:p>
    <w:p w14:paraId="4024EC1F">
      <w:pPr>
        <w:bidi w:val="0"/>
        <w:rPr>
          <w:highlight w:val="none"/>
        </w:rPr>
      </w:pPr>
      <w:r>
        <w:rPr>
          <w:rFonts w:hAnsiTheme="minorEastAsia" w:eastAsiaTheme="minorEastAsia"/>
          <w:sz w:val="24"/>
          <w:highlight w:val="none"/>
        </w:rPr>
        <w:t>本项目</w:t>
      </w:r>
      <w:r>
        <w:rPr>
          <w:rFonts w:hint="eastAsia" w:hAnsiTheme="minorEastAsia" w:eastAsiaTheme="minorEastAsia"/>
          <w:sz w:val="24"/>
          <w:highlight w:val="none"/>
          <w:lang w:val="en-US" w:eastAsia="zh-CN"/>
        </w:rPr>
        <w:t>改造前后废水量无变化</w:t>
      </w:r>
      <w:r>
        <w:rPr>
          <w:highlight w:val="none"/>
        </w:rPr>
        <w:t>。</w:t>
      </w:r>
    </w:p>
    <w:p w14:paraId="0879157A">
      <w:pPr>
        <w:bidi w:val="0"/>
        <w:rPr>
          <w:rFonts w:eastAsiaTheme="minorEastAsia"/>
          <w:b/>
          <w:sz w:val="24"/>
          <w:highlight w:val="none"/>
          <w:lang w:val="zh-CN"/>
        </w:rPr>
      </w:pPr>
      <w:r>
        <w:rPr>
          <w:rFonts w:eastAsiaTheme="minorEastAsia"/>
          <w:b/>
          <w:sz w:val="24"/>
          <w:highlight w:val="none"/>
          <w:lang w:val="zh-CN"/>
        </w:rPr>
        <w:t>9.1.6.3</w:t>
      </w:r>
      <w:r>
        <w:rPr>
          <w:rFonts w:hAnsiTheme="minorEastAsia" w:eastAsiaTheme="minorEastAsia"/>
          <w:b/>
          <w:sz w:val="24"/>
          <w:highlight w:val="none"/>
          <w:lang w:val="zh-CN"/>
        </w:rPr>
        <w:t>噪声</w:t>
      </w:r>
    </w:p>
    <w:p w14:paraId="7FE89C84">
      <w:pPr>
        <w:spacing w:line="360" w:lineRule="auto"/>
        <w:ind w:firstLine="480" w:firstLineChars="200"/>
        <w:rPr>
          <w:rFonts w:eastAsiaTheme="minorEastAsia"/>
          <w:sz w:val="24"/>
          <w:highlight w:val="none"/>
        </w:rPr>
      </w:pPr>
      <w:r>
        <w:rPr>
          <w:rFonts w:hAnsiTheme="minorEastAsia" w:eastAsiaTheme="minorEastAsia"/>
          <w:sz w:val="24"/>
          <w:highlight w:val="none"/>
        </w:rPr>
        <w:t>（</w:t>
      </w:r>
      <w:r>
        <w:rPr>
          <w:rFonts w:eastAsiaTheme="minorEastAsia"/>
          <w:sz w:val="24"/>
          <w:highlight w:val="none"/>
        </w:rPr>
        <w:t>1</w:t>
      </w:r>
      <w:r>
        <w:rPr>
          <w:rFonts w:hAnsiTheme="minorEastAsia" w:eastAsiaTheme="minorEastAsia"/>
          <w:sz w:val="24"/>
          <w:highlight w:val="none"/>
        </w:rPr>
        <w:t>）建议在设计和设备采购阶段，充分选用先进的低噪设备，从声源上降低设备本身噪声。</w:t>
      </w:r>
    </w:p>
    <w:p w14:paraId="444DD2FF">
      <w:pPr>
        <w:spacing w:line="360" w:lineRule="auto"/>
        <w:ind w:firstLine="480" w:firstLineChars="200"/>
        <w:rPr>
          <w:rFonts w:eastAsiaTheme="minorEastAsia"/>
          <w:sz w:val="24"/>
          <w:highlight w:val="none"/>
        </w:rPr>
      </w:pPr>
      <w:r>
        <w:rPr>
          <w:rFonts w:hAnsiTheme="minorEastAsia" w:eastAsiaTheme="minorEastAsia"/>
          <w:sz w:val="24"/>
          <w:highlight w:val="none"/>
        </w:rPr>
        <w:t>（</w:t>
      </w:r>
      <w:r>
        <w:rPr>
          <w:rFonts w:eastAsiaTheme="minorEastAsia"/>
          <w:sz w:val="24"/>
          <w:highlight w:val="none"/>
        </w:rPr>
        <w:t>2</w:t>
      </w:r>
      <w:r>
        <w:rPr>
          <w:rFonts w:hAnsiTheme="minorEastAsia" w:eastAsiaTheme="minorEastAsia"/>
          <w:sz w:val="24"/>
          <w:highlight w:val="none"/>
        </w:rPr>
        <w:t>）针对生产工序中设备噪声，本项目采取基础减振、厂房隔声</w:t>
      </w:r>
      <w:r>
        <w:rPr>
          <w:rFonts w:hint="eastAsia" w:hAnsiTheme="minorEastAsia" w:eastAsiaTheme="minorEastAsia"/>
          <w:sz w:val="24"/>
          <w:highlight w:val="none"/>
          <w:lang w:eastAsia="zh-CN"/>
        </w:rPr>
        <w:t>、</w:t>
      </w:r>
      <w:r>
        <w:rPr>
          <w:rFonts w:hint="eastAsia" w:hAnsiTheme="minorEastAsia" w:eastAsiaTheme="minorEastAsia"/>
          <w:sz w:val="24"/>
          <w:highlight w:val="none"/>
          <w:lang w:val="en-US" w:eastAsia="zh-CN"/>
        </w:rPr>
        <w:t>夜间不生产</w:t>
      </w:r>
      <w:r>
        <w:rPr>
          <w:rFonts w:hAnsiTheme="minorEastAsia" w:eastAsiaTheme="minorEastAsia"/>
          <w:sz w:val="24"/>
          <w:highlight w:val="none"/>
        </w:rPr>
        <w:t>等措施，设备底座设置防振橡胶垫后，可有效降低噪声。</w:t>
      </w:r>
    </w:p>
    <w:p w14:paraId="78F02E6B">
      <w:pPr>
        <w:spacing w:line="360" w:lineRule="auto"/>
        <w:ind w:firstLine="480" w:firstLineChars="200"/>
        <w:rPr>
          <w:rFonts w:eastAsiaTheme="minorEastAsia"/>
          <w:sz w:val="24"/>
          <w:highlight w:val="none"/>
        </w:rPr>
      </w:pPr>
      <w:r>
        <w:rPr>
          <w:rFonts w:hAnsiTheme="minorEastAsia" w:eastAsiaTheme="minorEastAsia"/>
          <w:sz w:val="24"/>
          <w:highlight w:val="none"/>
        </w:rPr>
        <w:t>（</w:t>
      </w:r>
      <w:r>
        <w:rPr>
          <w:rFonts w:eastAsiaTheme="minorEastAsia"/>
          <w:sz w:val="24"/>
          <w:highlight w:val="none"/>
        </w:rPr>
        <w:t>3</w:t>
      </w:r>
      <w:r>
        <w:rPr>
          <w:rFonts w:hAnsiTheme="minorEastAsia" w:eastAsiaTheme="minorEastAsia"/>
          <w:sz w:val="24"/>
          <w:highlight w:val="none"/>
        </w:rPr>
        <w:t>）加强设备的维护，确保设备处于良好的运转状态，杜绝因设备不正常运转时产生的高噪声现象。</w:t>
      </w:r>
    </w:p>
    <w:p w14:paraId="3046B050">
      <w:pPr>
        <w:spacing w:line="360" w:lineRule="auto"/>
        <w:ind w:firstLine="480" w:firstLineChars="200"/>
        <w:rPr>
          <w:rFonts w:eastAsiaTheme="minorEastAsia"/>
          <w:sz w:val="24"/>
          <w:highlight w:val="none"/>
        </w:rPr>
      </w:pPr>
      <w:r>
        <w:rPr>
          <w:rFonts w:hAnsiTheme="minorEastAsia" w:eastAsiaTheme="minorEastAsia"/>
          <w:sz w:val="24"/>
          <w:highlight w:val="none"/>
        </w:rPr>
        <w:t>在采取上述措施后，本项目厂界噪声能够满足《工业企业厂界环境噪声排放标准》（</w:t>
      </w:r>
      <w:r>
        <w:rPr>
          <w:rFonts w:eastAsiaTheme="minorEastAsia"/>
          <w:sz w:val="24"/>
          <w:highlight w:val="none"/>
        </w:rPr>
        <w:t>GB12348-2008</w:t>
      </w:r>
      <w:r>
        <w:rPr>
          <w:rFonts w:hAnsiTheme="minorEastAsia" w:eastAsiaTheme="minorEastAsia"/>
          <w:sz w:val="24"/>
          <w:highlight w:val="none"/>
        </w:rPr>
        <w:t>）表</w:t>
      </w:r>
      <w:r>
        <w:rPr>
          <w:rFonts w:eastAsiaTheme="minorEastAsia"/>
          <w:sz w:val="24"/>
          <w:highlight w:val="none"/>
        </w:rPr>
        <w:t>1</w:t>
      </w:r>
      <w:r>
        <w:rPr>
          <w:rFonts w:hAnsiTheme="minorEastAsia" w:eastAsiaTheme="minorEastAsia"/>
          <w:sz w:val="24"/>
          <w:highlight w:val="none"/>
        </w:rPr>
        <w:t>中的</w:t>
      </w:r>
      <w:r>
        <w:rPr>
          <w:rFonts w:hint="eastAsia" w:hAnsiTheme="minorEastAsia" w:eastAsiaTheme="minorEastAsia"/>
          <w:sz w:val="24"/>
          <w:highlight w:val="none"/>
          <w:lang w:val="en-US" w:eastAsia="zh-CN"/>
        </w:rPr>
        <w:t>3</w:t>
      </w:r>
      <w:bookmarkStart w:id="705" w:name="_GoBack"/>
      <w:bookmarkEnd w:id="705"/>
      <w:r>
        <w:rPr>
          <w:rFonts w:hAnsiTheme="minorEastAsia" w:eastAsiaTheme="minorEastAsia"/>
          <w:sz w:val="24"/>
          <w:highlight w:val="none"/>
        </w:rPr>
        <w:t>类标准。</w:t>
      </w:r>
    </w:p>
    <w:p w14:paraId="0631F9DB">
      <w:pPr>
        <w:bidi w:val="0"/>
        <w:rPr>
          <w:rFonts w:eastAsiaTheme="minorEastAsia"/>
          <w:b/>
          <w:sz w:val="24"/>
          <w:highlight w:val="none"/>
          <w:lang w:val="zh-CN"/>
        </w:rPr>
      </w:pPr>
      <w:r>
        <w:rPr>
          <w:rFonts w:eastAsiaTheme="minorEastAsia"/>
          <w:b/>
          <w:sz w:val="24"/>
          <w:highlight w:val="none"/>
          <w:lang w:val="zh-CN"/>
        </w:rPr>
        <w:t>9.1.6.4</w:t>
      </w:r>
      <w:r>
        <w:rPr>
          <w:rFonts w:hAnsiTheme="minorEastAsia" w:eastAsiaTheme="minorEastAsia"/>
          <w:b/>
          <w:sz w:val="24"/>
          <w:highlight w:val="none"/>
          <w:lang w:val="zh-CN"/>
        </w:rPr>
        <w:t>固废</w:t>
      </w:r>
    </w:p>
    <w:p w14:paraId="413F6877">
      <w:pPr>
        <w:bidi w:val="0"/>
        <w:rPr>
          <w:highlight w:val="none"/>
        </w:rPr>
      </w:pPr>
      <w:r>
        <w:rPr>
          <w:highlight w:val="none"/>
        </w:rPr>
        <w:t>项目建设后，一般工业固体废物暂存场地严格按照分类收集，分类处置的原则进行；危险废物</w:t>
      </w:r>
      <w:r>
        <w:rPr>
          <w:rFonts w:hint="eastAsia"/>
          <w:highlight w:val="none"/>
        </w:rPr>
        <w:t>暂存</w:t>
      </w:r>
      <w:r>
        <w:rPr>
          <w:highlight w:val="none"/>
        </w:rPr>
        <w:t>于危废贮存库内。建设单位应强化废物产生、收集、贮存各环节的管理，各种固废按照类别分类存放，杜绝固废在厂区内散失、渗漏，达到无害化的目的，避免二次污染。</w:t>
      </w:r>
    </w:p>
    <w:p w14:paraId="1AAA95EA">
      <w:pPr>
        <w:pStyle w:val="4"/>
        <w:bidi w:val="0"/>
        <w:rPr>
          <w:highlight w:val="none"/>
        </w:rPr>
      </w:pPr>
      <w:bookmarkStart w:id="682" w:name="_Toc30542"/>
      <w:bookmarkStart w:id="683" w:name="_Toc16742"/>
      <w:r>
        <w:rPr>
          <w:highlight w:val="none"/>
        </w:rPr>
        <w:t>9.1.7经济损益分析结论</w:t>
      </w:r>
      <w:bookmarkEnd w:id="673"/>
      <w:bookmarkEnd w:id="682"/>
      <w:bookmarkEnd w:id="683"/>
    </w:p>
    <w:p w14:paraId="710516D3">
      <w:pPr>
        <w:bidi w:val="0"/>
        <w:rPr>
          <w:highlight w:val="none"/>
        </w:rPr>
      </w:pPr>
      <w:r>
        <w:rPr>
          <w:highlight w:val="none"/>
        </w:rPr>
        <w:t>本项目的建设具有良好的社会效益和经济效益，不会对当地环境产生明显不利影响，因此该项目的实施做到了社会效益、经济效益和环境效益的同步发展。</w:t>
      </w:r>
    </w:p>
    <w:p w14:paraId="5332E212">
      <w:pPr>
        <w:pStyle w:val="4"/>
        <w:bidi w:val="0"/>
        <w:rPr>
          <w:highlight w:val="none"/>
        </w:rPr>
      </w:pPr>
      <w:bookmarkStart w:id="684" w:name="_Toc486255152"/>
      <w:bookmarkStart w:id="685" w:name="_Toc5537"/>
      <w:bookmarkStart w:id="686" w:name="_Toc29811"/>
      <w:bookmarkStart w:id="687" w:name="_Toc15991740"/>
      <w:r>
        <w:rPr>
          <w:highlight w:val="none"/>
        </w:rPr>
        <w:t>9.1.8环境管理与监测结论</w:t>
      </w:r>
      <w:bookmarkEnd w:id="684"/>
      <w:bookmarkEnd w:id="685"/>
      <w:bookmarkEnd w:id="686"/>
      <w:bookmarkEnd w:id="687"/>
    </w:p>
    <w:p w14:paraId="49B3C222">
      <w:pPr>
        <w:bidi w:val="0"/>
        <w:rPr>
          <w:highlight w:val="none"/>
        </w:rPr>
      </w:pPr>
      <w:r>
        <w:rPr>
          <w:highlight w:val="none"/>
        </w:rPr>
        <w:t>项目运行期通过加强建设和运行的环境管理与监控，建立健全安全生产管理制度，制订科学严谨的操作规程，通过职工操作技能培训，提高危险</w:t>
      </w:r>
      <w:r>
        <w:rPr>
          <w:rFonts w:hint="eastAsia"/>
          <w:highlight w:val="none"/>
          <w:lang w:eastAsia="zh-CN"/>
        </w:rPr>
        <w:t>辨识</w:t>
      </w:r>
      <w:r>
        <w:rPr>
          <w:highlight w:val="none"/>
        </w:rPr>
        <w:t>、防护和保护能力，落实责任到人。同时加强厂内各类设备包括污染治理设施的日常运行管理和维护，对生产设备进行定期检测，对关键设备进行不定期探伤测试。增强岗位职责和环保、安全意识，保证生产设施和环保治理设施运行的可靠性、稳定性。</w:t>
      </w:r>
    </w:p>
    <w:p w14:paraId="5DED135A">
      <w:pPr>
        <w:pStyle w:val="4"/>
        <w:bidi w:val="0"/>
        <w:rPr>
          <w:highlight w:val="none"/>
        </w:rPr>
      </w:pPr>
      <w:bookmarkStart w:id="688" w:name="_Toc342462538"/>
      <w:bookmarkStart w:id="689" w:name="_Toc15991742"/>
      <w:bookmarkStart w:id="690" w:name="_Toc6921"/>
      <w:bookmarkStart w:id="691" w:name="_Toc285188950"/>
      <w:bookmarkStart w:id="692" w:name="_Toc30196"/>
      <w:r>
        <w:rPr>
          <w:highlight w:val="none"/>
        </w:rPr>
        <w:t>9.1.9总结论</w:t>
      </w:r>
      <w:bookmarkEnd w:id="688"/>
      <w:bookmarkEnd w:id="689"/>
      <w:bookmarkEnd w:id="690"/>
      <w:bookmarkEnd w:id="691"/>
      <w:bookmarkEnd w:id="692"/>
    </w:p>
    <w:p w14:paraId="0E5BF874">
      <w:pPr>
        <w:bidi w:val="0"/>
        <w:rPr>
          <w:highlight w:val="none"/>
        </w:rPr>
      </w:pPr>
      <w:r>
        <w:rPr>
          <w:highlight w:val="none"/>
        </w:rPr>
        <w:t>本项目的建设符合国家产业政策及行业发展规划，具有良好的经济效益和社会效益。工程选址符合要求，总平面布置合理。本项目污染防治措施有效可行，废水、废气、噪声可实现达标排放，固体废物可得到安全、合理处置，工程建设在落实环评要求的污染防治措施后，不会改变当地环境功能区划，公众参与显示本项目能够被公众认可，环境风险在可接受范围内。从环保角度分析，本工程的建设是可行的。</w:t>
      </w:r>
    </w:p>
    <w:p w14:paraId="17C7B721">
      <w:pPr>
        <w:pStyle w:val="3"/>
        <w:bidi w:val="0"/>
        <w:rPr>
          <w:highlight w:val="none"/>
        </w:rPr>
      </w:pPr>
      <w:bookmarkStart w:id="693" w:name="_Toc17721"/>
      <w:bookmarkStart w:id="694" w:name="_Toc477368707"/>
      <w:bookmarkStart w:id="695" w:name="_Toc15371"/>
      <w:bookmarkStart w:id="696" w:name="_Toc15991743"/>
      <w:r>
        <w:rPr>
          <w:highlight w:val="none"/>
        </w:rPr>
        <w:t>9.2建议</w:t>
      </w:r>
      <w:bookmarkEnd w:id="693"/>
      <w:bookmarkEnd w:id="694"/>
      <w:bookmarkEnd w:id="695"/>
      <w:bookmarkEnd w:id="696"/>
    </w:p>
    <w:p w14:paraId="30BD37D7">
      <w:pPr>
        <w:numPr>
          <w:ilvl w:val="0"/>
          <w:numId w:val="14"/>
        </w:numPr>
        <w:bidi w:val="0"/>
        <w:rPr>
          <w:highlight w:val="none"/>
        </w:rPr>
      </w:pPr>
      <w:r>
        <w:rPr>
          <w:highlight w:val="none"/>
        </w:rPr>
        <w:t>积极推行清洁生产，做好清污分流，减少废水和废气排放量。</w:t>
      </w:r>
    </w:p>
    <w:p w14:paraId="5D43CD8E">
      <w:pPr>
        <w:numPr>
          <w:ilvl w:val="0"/>
          <w:numId w:val="14"/>
        </w:numPr>
        <w:bidi w:val="0"/>
        <w:rPr>
          <w:highlight w:val="none"/>
        </w:rPr>
      </w:pPr>
      <w:r>
        <w:rPr>
          <w:highlight w:val="none"/>
        </w:rPr>
        <w:t>项目投产后，企业设专职人员，实施环境管理职能和清洁生产管理职能，建立并完善环境管理规章制度，加强环保设施的管理和维护，保证安全、正常运行，做到达标排放。</w:t>
      </w:r>
    </w:p>
    <w:p w14:paraId="686F4116">
      <w:pPr>
        <w:numPr>
          <w:ilvl w:val="0"/>
          <w:numId w:val="14"/>
        </w:numPr>
        <w:bidi w:val="0"/>
        <w:rPr>
          <w:highlight w:val="none"/>
        </w:rPr>
      </w:pPr>
      <w:r>
        <w:rPr>
          <w:highlight w:val="none"/>
        </w:rPr>
        <w:t>为控制污染物非正常排放，建设单位应依据国家标准和当地环保部门的计划和要求，按环评提出的方案实行污染源监测。</w:t>
      </w:r>
    </w:p>
    <w:p w14:paraId="2F8FC7A0">
      <w:pPr>
        <w:numPr>
          <w:ilvl w:val="0"/>
          <w:numId w:val="14"/>
        </w:numPr>
        <w:bidi w:val="0"/>
        <w:rPr>
          <w:highlight w:val="none"/>
        </w:rPr>
      </w:pPr>
      <w:r>
        <w:rPr>
          <w:highlight w:val="none"/>
        </w:rPr>
        <w:t>加强污染治理设施的运行管理，建立技术档案，定期检查、维修，使其长期处于最佳运行状态。</w:t>
      </w:r>
    </w:p>
    <w:p w14:paraId="6FE78B30">
      <w:pPr>
        <w:numPr>
          <w:ilvl w:val="0"/>
          <w:numId w:val="14"/>
        </w:numPr>
        <w:bidi w:val="0"/>
        <w:rPr>
          <w:rFonts w:eastAsiaTheme="minorEastAsia"/>
          <w:highlight w:val="none"/>
        </w:rPr>
      </w:pPr>
      <w:r>
        <w:rPr>
          <w:highlight w:val="none"/>
        </w:rPr>
        <w:t>项目各项污染</w:t>
      </w:r>
      <w:r>
        <w:rPr>
          <w:rFonts w:hint="eastAsia"/>
          <w:highlight w:val="none"/>
          <w:lang w:val="en-US" w:eastAsia="zh-CN"/>
        </w:rPr>
        <w:t>物</w:t>
      </w:r>
      <w:r>
        <w:rPr>
          <w:highlight w:val="none"/>
        </w:rPr>
        <w:t>处理设施必须经当地环保部门验收合格后，建设单位方可正式投入生产。</w:t>
      </w:r>
    </w:p>
    <w:p w14:paraId="2C392069">
      <w:pPr>
        <w:tabs>
          <w:tab w:val="left" w:pos="720"/>
        </w:tabs>
        <w:spacing w:before="50" w:after="50" w:line="360" w:lineRule="auto"/>
        <w:jc w:val="center"/>
        <w:rPr>
          <w:rFonts w:eastAsiaTheme="minorEastAsia"/>
          <w:sz w:val="24"/>
          <w:highlight w:val="none"/>
        </w:rPr>
      </w:pPr>
    </w:p>
    <w:p w14:paraId="51A73E3B">
      <w:pPr>
        <w:tabs>
          <w:tab w:val="left" w:pos="720"/>
        </w:tabs>
        <w:spacing w:before="50" w:after="50" w:line="360" w:lineRule="auto"/>
        <w:jc w:val="center"/>
        <w:rPr>
          <w:rFonts w:eastAsiaTheme="minorEastAsia"/>
          <w:sz w:val="24"/>
          <w:highlight w:val="none"/>
        </w:rPr>
        <w:sectPr>
          <w:headerReference r:id="rId19" w:type="first"/>
          <w:footerReference r:id="rId22" w:type="first"/>
          <w:headerReference r:id="rId17" w:type="default"/>
          <w:footerReference r:id="rId20" w:type="default"/>
          <w:headerReference r:id="rId18" w:type="even"/>
          <w:footerReference r:id="rId21" w:type="even"/>
          <w:pgSz w:w="11906" w:h="16838"/>
          <w:pgMar w:top="1440" w:right="1800" w:bottom="1440" w:left="1800" w:header="851" w:footer="992" w:gutter="0"/>
          <w:pgBorders w:offsetFrom="page">
            <w:top w:val="none" w:sz="0" w:space="0"/>
            <w:left w:val="none" w:sz="0" w:space="0"/>
            <w:bottom w:val="none" w:sz="0" w:space="0"/>
            <w:right w:val="none" w:sz="0" w:space="0"/>
          </w:pgBorders>
          <w:cols w:space="720" w:num="1"/>
          <w:docGrid w:type="lines" w:linePitch="312" w:charSpace="0"/>
        </w:sectPr>
      </w:pPr>
    </w:p>
    <w:p w14:paraId="66777649">
      <w:pPr>
        <w:keepNext w:val="0"/>
        <w:keepLines w:val="0"/>
        <w:pageBreakBefore w:val="0"/>
        <w:widowControl w:val="0"/>
        <w:kinsoku/>
        <w:wordWrap w:val="0"/>
        <w:overflowPunct/>
        <w:topLinePunct w:val="0"/>
        <w:autoSpaceDE/>
        <w:autoSpaceDN/>
        <w:bidi w:val="0"/>
        <w:adjustRightInd w:val="0"/>
        <w:snapToGrid w:val="0"/>
        <w:spacing w:line="240" w:lineRule="auto"/>
        <w:ind w:firstLine="0" w:firstLineChars="0"/>
        <w:jc w:val="center"/>
        <w:textAlignment w:val="auto"/>
        <w:rPr>
          <w:b/>
          <w:bCs/>
          <w:highlight w:val="none"/>
        </w:rPr>
      </w:pPr>
      <w:bookmarkStart w:id="697" w:name="_Toc14893"/>
      <w:r>
        <w:rPr>
          <w:b/>
          <w:bCs/>
          <w:highlight w:val="none"/>
        </w:rPr>
        <w:t>建设项目大气环境影响评价自查表</w:t>
      </w:r>
      <w:bookmarkEnd w:id="697"/>
    </w:p>
    <w:tbl>
      <w:tblPr>
        <w:tblStyle w:val="45"/>
        <w:tblW w:w="884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22"/>
        <w:gridCol w:w="1716"/>
        <w:gridCol w:w="899"/>
        <w:gridCol w:w="274"/>
        <w:gridCol w:w="128"/>
        <w:gridCol w:w="171"/>
        <w:gridCol w:w="18"/>
        <w:gridCol w:w="75"/>
        <w:gridCol w:w="16"/>
        <w:gridCol w:w="534"/>
        <w:gridCol w:w="415"/>
        <w:gridCol w:w="261"/>
        <w:gridCol w:w="519"/>
        <w:gridCol w:w="156"/>
        <w:gridCol w:w="9"/>
        <w:gridCol w:w="99"/>
        <w:gridCol w:w="41"/>
        <w:gridCol w:w="800"/>
        <w:gridCol w:w="538"/>
        <w:gridCol w:w="136"/>
        <w:gridCol w:w="276"/>
        <w:gridCol w:w="1037"/>
      </w:tblGrid>
      <w:tr w14:paraId="7C8498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2438" w:type="dxa"/>
            <w:gridSpan w:val="2"/>
            <w:tcBorders>
              <w:top w:val="single" w:color="000000" w:sz="12" w:space="0"/>
              <w:left w:val="single" w:color="000000" w:sz="12" w:space="0"/>
              <w:bottom w:val="single" w:color="000000" w:sz="4" w:space="0"/>
              <w:right w:val="single" w:color="000000" w:sz="4" w:space="0"/>
            </w:tcBorders>
            <w:vAlign w:val="center"/>
          </w:tcPr>
          <w:p w14:paraId="3EEF33A5">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工作内容</w:t>
            </w:r>
          </w:p>
        </w:tc>
        <w:tc>
          <w:tcPr>
            <w:tcW w:w="6402" w:type="dxa"/>
            <w:gridSpan w:val="20"/>
            <w:tcBorders>
              <w:top w:val="single" w:color="000000" w:sz="12" w:space="0"/>
              <w:left w:val="single" w:color="000000" w:sz="4" w:space="0"/>
              <w:bottom w:val="single" w:color="000000" w:sz="4" w:space="0"/>
              <w:right w:val="single" w:color="000000" w:sz="12" w:space="0"/>
            </w:tcBorders>
            <w:vAlign w:val="center"/>
          </w:tcPr>
          <w:p w14:paraId="6F0ED4C0">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自查项目</w:t>
            </w:r>
          </w:p>
        </w:tc>
      </w:tr>
      <w:tr w14:paraId="0A60C5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22" w:type="dxa"/>
            <w:vMerge w:val="restart"/>
            <w:tcBorders>
              <w:top w:val="single" w:color="000000" w:sz="4" w:space="0"/>
              <w:left w:val="single" w:color="000000" w:sz="12" w:space="0"/>
              <w:bottom w:val="single" w:color="000000" w:sz="4" w:space="0"/>
              <w:right w:val="single" w:color="000000" w:sz="4" w:space="0"/>
            </w:tcBorders>
            <w:vAlign w:val="center"/>
          </w:tcPr>
          <w:p w14:paraId="408A35FF">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评价等级与范围</w:t>
            </w:r>
          </w:p>
        </w:tc>
        <w:tc>
          <w:tcPr>
            <w:tcW w:w="1716" w:type="dxa"/>
            <w:tcBorders>
              <w:top w:val="single" w:color="000000" w:sz="4" w:space="0"/>
              <w:left w:val="single" w:color="000000" w:sz="4" w:space="0"/>
              <w:bottom w:val="single" w:color="000000" w:sz="4" w:space="0"/>
              <w:right w:val="single" w:color="000000" w:sz="4" w:space="0"/>
            </w:tcBorders>
            <w:vAlign w:val="center"/>
          </w:tcPr>
          <w:p w14:paraId="72FFE7A3">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评价等级</w:t>
            </w:r>
          </w:p>
        </w:tc>
        <w:tc>
          <w:tcPr>
            <w:tcW w:w="1490" w:type="dxa"/>
            <w:gridSpan w:val="5"/>
            <w:tcBorders>
              <w:top w:val="single" w:color="000000" w:sz="4" w:space="0"/>
              <w:left w:val="single" w:color="000000" w:sz="4" w:space="0"/>
              <w:bottom w:val="single" w:color="000000" w:sz="4" w:space="0"/>
              <w:right w:val="single" w:color="000000" w:sz="4" w:space="0"/>
            </w:tcBorders>
            <w:vAlign w:val="center"/>
          </w:tcPr>
          <w:p w14:paraId="70E585B3">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一级</w:t>
            </w:r>
            <w:r>
              <w:rPr>
                <w:rFonts w:hint="default" w:eastAsiaTheme="minorEastAsia"/>
                <w:bCs/>
                <w:kern w:val="0"/>
                <w:sz w:val="21"/>
                <w:szCs w:val="21"/>
                <w:highlight w:val="none"/>
              </w:rPr>
              <w:t>□</w:t>
            </w:r>
          </w:p>
        </w:tc>
        <w:tc>
          <w:tcPr>
            <w:tcW w:w="2925" w:type="dxa"/>
            <w:gridSpan w:val="11"/>
            <w:tcBorders>
              <w:top w:val="single" w:color="000000" w:sz="4" w:space="0"/>
              <w:left w:val="single" w:color="000000" w:sz="4" w:space="0"/>
              <w:bottom w:val="single" w:color="000000" w:sz="4" w:space="0"/>
              <w:right w:val="single" w:color="000000" w:sz="4" w:space="0"/>
            </w:tcBorders>
            <w:vAlign w:val="center"/>
          </w:tcPr>
          <w:p w14:paraId="1F18ACA3">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Theme="minorEastAsia"/>
                <w:bCs/>
                <w:kern w:val="0"/>
                <w:sz w:val="21"/>
                <w:szCs w:val="21"/>
                <w:highlight w:val="none"/>
                <w:lang w:eastAsia="zh-CN"/>
              </w:rPr>
            </w:pPr>
            <w:r>
              <w:rPr>
                <w:rFonts w:hint="default" w:hAnsiTheme="minorEastAsia" w:eastAsiaTheme="minorEastAsia"/>
                <w:bCs/>
                <w:kern w:val="0"/>
                <w:sz w:val="21"/>
                <w:szCs w:val="21"/>
                <w:highlight w:val="none"/>
              </w:rPr>
              <w:t>二级</w:t>
            </w:r>
            <w:r>
              <w:rPr>
                <w:rFonts w:hint="eastAsia" w:eastAsiaTheme="minorEastAsia"/>
                <w:bCs/>
                <w:kern w:val="0"/>
                <w:sz w:val="21"/>
                <w:szCs w:val="21"/>
                <w:highlight w:val="none"/>
                <w:lang w:eastAsia="zh-CN"/>
              </w:rPr>
              <w:t>☑</w:t>
            </w:r>
          </w:p>
        </w:tc>
        <w:tc>
          <w:tcPr>
            <w:tcW w:w="1987" w:type="dxa"/>
            <w:gridSpan w:val="4"/>
            <w:tcBorders>
              <w:top w:val="single" w:color="000000" w:sz="4" w:space="0"/>
              <w:left w:val="single" w:color="000000" w:sz="4" w:space="0"/>
              <w:bottom w:val="single" w:color="000000" w:sz="4" w:space="0"/>
              <w:right w:val="single" w:color="000000" w:sz="12" w:space="0"/>
            </w:tcBorders>
            <w:vAlign w:val="center"/>
          </w:tcPr>
          <w:p w14:paraId="264E4E9A">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Theme="minorEastAsia"/>
                <w:bCs/>
                <w:kern w:val="0"/>
                <w:sz w:val="21"/>
                <w:szCs w:val="21"/>
                <w:highlight w:val="none"/>
                <w:lang w:eastAsia="zh-CN"/>
              </w:rPr>
            </w:pPr>
            <w:r>
              <w:rPr>
                <w:rFonts w:hint="default" w:hAnsiTheme="minorEastAsia" w:eastAsiaTheme="minorEastAsia"/>
                <w:bCs/>
                <w:kern w:val="0"/>
                <w:sz w:val="21"/>
                <w:szCs w:val="21"/>
                <w:highlight w:val="none"/>
              </w:rPr>
              <w:t>三级</w:t>
            </w:r>
            <w:r>
              <w:rPr>
                <w:rFonts w:hint="default" w:eastAsiaTheme="minorEastAsia"/>
                <w:bCs/>
                <w:kern w:val="0"/>
                <w:sz w:val="21"/>
                <w:szCs w:val="21"/>
                <w:highlight w:val="none"/>
              </w:rPr>
              <w:t>□</w:t>
            </w:r>
          </w:p>
        </w:tc>
      </w:tr>
      <w:tr w14:paraId="0C630F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22" w:type="dxa"/>
            <w:vMerge w:val="continue"/>
            <w:tcBorders>
              <w:top w:val="single" w:color="000000" w:sz="4" w:space="0"/>
              <w:left w:val="single" w:color="000000" w:sz="12" w:space="0"/>
              <w:bottom w:val="single" w:color="000000" w:sz="4" w:space="0"/>
              <w:right w:val="single" w:color="000000" w:sz="4" w:space="0"/>
            </w:tcBorders>
            <w:vAlign w:val="center"/>
          </w:tcPr>
          <w:p w14:paraId="3F4BDA44">
            <w:pPr>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left"/>
              <w:textAlignment w:val="auto"/>
              <w:rPr>
                <w:rFonts w:hint="default" w:eastAsiaTheme="minorEastAsia"/>
                <w:bCs/>
                <w:kern w:val="0"/>
                <w:sz w:val="21"/>
                <w:szCs w:val="21"/>
                <w:highlight w:val="none"/>
              </w:rPr>
            </w:pPr>
          </w:p>
        </w:tc>
        <w:tc>
          <w:tcPr>
            <w:tcW w:w="1716" w:type="dxa"/>
            <w:tcBorders>
              <w:top w:val="single" w:color="000000" w:sz="4" w:space="0"/>
              <w:left w:val="single" w:color="000000" w:sz="4" w:space="0"/>
              <w:bottom w:val="single" w:color="000000" w:sz="4" w:space="0"/>
              <w:right w:val="single" w:color="000000" w:sz="4" w:space="0"/>
            </w:tcBorders>
            <w:vAlign w:val="center"/>
          </w:tcPr>
          <w:p w14:paraId="7108A0DB">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评价范围</w:t>
            </w:r>
          </w:p>
        </w:tc>
        <w:tc>
          <w:tcPr>
            <w:tcW w:w="1490" w:type="dxa"/>
            <w:gridSpan w:val="5"/>
            <w:tcBorders>
              <w:top w:val="single" w:color="000000" w:sz="4" w:space="0"/>
              <w:left w:val="single" w:color="000000" w:sz="4" w:space="0"/>
              <w:bottom w:val="single" w:color="000000" w:sz="4" w:space="0"/>
              <w:right w:val="single" w:color="000000" w:sz="4" w:space="0"/>
            </w:tcBorders>
            <w:vAlign w:val="center"/>
          </w:tcPr>
          <w:p w14:paraId="6E5F759B">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边长</w:t>
            </w:r>
            <w:r>
              <w:rPr>
                <w:rFonts w:hint="default" w:eastAsiaTheme="minorEastAsia"/>
                <w:bCs/>
                <w:kern w:val="0"/>
                <w:sz w:val="21"/>
                <w:szCs w:val="21"/>
                <w:highlight w:val="none"/>
              </w:rPr>
              <w:t>=50km□</w:t>
            </w:r>
          </w:p>
        </w:tc>
        <w:tc>
          <w:tcPr>
            <w:tcW w:w="2925" w:type="dxa"/>
            <w:gridSpan w:val="11"/>
            <w:tcBorders>
              <w:top w:val="single" w:color="000000" w:sz="4" w:space="0"/>
              <w:left w:val="single" w:color="000000" w:sz="4" w:space="0"/>
              <w:bottom w:val="single" w:color="000000" w:sz="4" w:space="0"/>
              <w:right w:val="single" w:color="000000" w:sz="4" w:space="0"/>
            </w:tcBorders>
            <w:vAlign w:val="center"/>
          </w:tcPr>
          <w:p w14:paraId="1165AF55">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边长</w:t>
            </w:r>
            <w:r>
              <w:rPr>
                <w:rFonts w:hint="default" w:eastAsiaTheme="minorEastAsia"/>
                <w:bCs/>
                <w:kern w:val="0"/>
                <w:sz w:val="21"/>
                <w:szCs w:val="21"/>
                <w:highlight w:val="none"/>
              </w:rPr>
              <w:t>5~50km□</w:t>
            </w:r>
          </w:p>
        </w:tc>
        <w:tc>
          <w:tcPr>
            <w:tcW w:w="1987" w:type="dxa"/>
            <w:gridSpan w:val="4"/>
            <w:tcBorders>
              <w:top w:val="single" w:color="000000" w:sz="4" w:space="0"/>
              <w:left w:val="single" w:color="000000" w:sz="4" w:space="0"/>
              <w:bottom w:val="single" w:color="000000" w:sz="4" w:space="0"/>
              <w:right w:val="single" w:color="000000" w:sz="12" w:space="0"/>
            </w:tcBorders>
            <w:vAlign w:val="center"/>
          </w:tcPr>
          <w:p w14:paraId="50AB3F29">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边长</w:t>
            </w:r>
            <w:r>
              <w:rPr>
                <w:rFonts w:hint="default" w:eastAsiaTheme="minorEastAsia"/>
                <w:bCs/>
                <w:kern w:val="0"/>
                <w:sz w:val="21"/>
                <w:szCs w:val="21"/>
                <w:highlight w:val="none"/>
              </w:rPr>
              <w:t>=5km□</w:t>
            </w:r>
          </w:p>
        </w:tc>
      </w:tr>
      <w:tr w14:paraId="71BEA5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22" w:type="dxa"/>
            <w:vMerge w:val="restart"/>
            <w:tcBorders>
              <w:top w:val="single" w:color="000000" w:sz="4" w:space="0"/>
              <w:left w:val="single" w:color="000000" w:sz="12" w:space="0"/>
              <w:bottom w:val="single" w:color="000000" w:sz="4" w:space="0"/>
              <w:right w:val="single" w:color="000000" w:sz="4" w:space="0"/>
            </w:tcBorders>
            <w:vAlign w:val="center"/>
          </w:tcPr>
          <w:p w14:paraId="52D03D1F">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评价因子</w:t>
            </w:r>
          </w:p>
        </w:tc>
        <w:tc>
          <w:tcPr>
            <w:tcW w:w="1716" w:type="dxa"/>
            <w:tcBorders>
              <w:top w:val="single" w:color="000000" w:sz="4" w:space="0"/>
              <w:left w:val="single" w:color="000000" w:sz="4" w:space="0"/>
              <w:bottom w:val="single" w:color="000000" w:sz="4" w:space="0"/>
              <w:right w:val="single" w:color="000000" w:sz="4" w:space="0"/>
            </w:tcBorders>
            <w:vAlign w:val="center"/>
          </w:tcPr>
          <w:p w14:paraId="55307A10">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eastAsiaTheme="minorEastAsia"/>
                <w:bCs/>
                <w:kern w:val="0"/>
                <w:sz w:val="21"/>
                <w:szCs w:val="21"/>
                <w:highlight w:val="none"/>
              </w:rPr>
              <w:t>SO</w:t>
            </w:r>
            <w:r>
              <w:rPr>
                <w:rFonts w:hint="default" w:eastAsiaTheme="minorEastAsia"/>
                <w:bCs/>
                <w:kern w:val="0"/>
                <w:sz w:val="21"/>
                <w:szCs w:val="21"/>
                <w:highlight w:val="none"/>
                <w:vertAlign w:val="subscript"/>
              </w:rPr>
              <w:t>2</w:t>
            </w:r>
            <w:r>
              <w:rPr>
                <w:rFonts w:hint="default" w:eastAsiaTheme="minorEastAsia"/>
                <w:bCs/>
                <w:kern w:val="0"/>
                <w:sz w:val="21"/>
                <w:szCs w:val="21"/>
                <w:highlight w:val="none"/>
              </w:rPr>
              <w:t>+NO</w:t>
            </w:r>
            <w:r>
              <w:rPr>
                <w:rFonts w:hint="default" w:eastAsiaTheme="minorEastAsia"/>
                <w:bCs/>
                <w:kern w:val="0"/>
                <w:sz w:val="21"/>
                <w:szCs w:val="21"/>
                <w:highlight w:val="none"/>
                <w:vertAlign w:val="subscript"/>
              </w:rPr>
              <w:t>X</w:t>
            </w:r>
            <w:r>
              <w:rPr>
                <w:rFonts w:hint="default" w:hAnsiTheme="minorEastAsia" w:eastAsiaTheme="minorEastAsia"/>
                <w:bCs/>
                <w:kern w:val="0"/>
                <w:sz w:val="21"/>
                <w:szCs w:val="21"/>
                <w:highlight w:val="none"/>
              </w:rPr>
              <w:t>排放量</w:t>
            </w:r>
          </w:p>
        </w:tc>
        <w:tc>
          <w:tcPr>
            <w:tcW w:w="1490" w:type="dxa"/>
            <w:gridSpan w:val="5"/>
            <w:tcBorders>
              <w:top w:val="single" w:color="000000" w:sz="4" w:space="0"/>
              <w:left w:val="single" w:color="000000" w:sz="4" w:space="0"/>
              <w:bottom w:val="single" w:color="000000" w:sz="4" w:space="0"/>
              <w:right w:val="single" w:color="000000" w:sz="4" w:space="0"/>
            </w:tcBorders>
            <w:vAlign w:val="center"/>
          </w:tcPr>
          <w:p w14:paraId="6ED67BF5">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eastAsiaTheme="minorEastAsia"/>
                <w:bCs/>
                <w:kern w:val="0"/>
                <w:sz w:val="21"/>
                <w:szCs w:val="21"/>
                <w:highlight w:val="none"/>
              </w:rPr>
              <w:t>≥2000t/a□</w:t>
            </w:r>
          </w:p>
        </w:tc>
        <w:tc>
          <w:tcPr>
            <w:tcW w:w="2925" w:type="dxa"/>
            <w:gridSpan w:val="11"/>
            <w:tcBorders>
              <w:top w:val="single" w:color="000000" w:sz="4" w:space="0"/>
              <w:left w:val="single" w:color="000000" w:sz="4" w:space="0"/>
              <w:bottom w:val="single" w:color="000000" w:sz="4" w:space="0"/>
              <w:right w:val="single" w:color="000000" w:sz="4" w:space="0"/>
            </w:tcBorders>
            <w:vAlign w:val="center"/>
          </w:tcPr>
          <w:p w14:paraId="6A9952A2">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eastAsiaTheme="minorEastAsia"/>
                <w:bCs/>
                <w:kern w:val="0"/>
                <w:sz w:val="21"/>
                <w:szCs w:val="21"/>
                <w:highlight w:val="none"/>
              </w:rPr>
              <w:t>500~2000t/a□</w:t>
            </w:r>
          </w:p>
        </w:tc>
        <w:tc>
          <w:tcPr>
            <w:tcW w:w="1987" w:type="dxa"/>
            <w:gridSpan w:val="4"/>
            <w:tcBorders>
              <w:top w:val="single" w:color="000000" w:sz="4" w:space="0"/>
              <w:left w:val="single" w:color="000000" w:sz="4" w:space="0"/>
              <w:bottom w:val="single" w:color="000000" w:sz="4" w:space="0"/>
              <w:right w:val="single" w:color="000000" w:sz="12" w:space="0"/>
            </w:tcBorders>
            <w:vAlign w:val="center"/>
          </w:tcPr>
          <w:p w14:paraId="2090D386">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Theme="minorEastAsia"/>
                <w:bCs/>
                <w:kern w:val="0"/>
                <w:sz w:val="21"/>
                <w:szCs w:val="21"/>
                <w:highlight w:val="none"/>
                <w:lang w:eastAsia="zh-CN"/>
              </w:rPr>
            </w:pPr>
            <w:r>
              <w:rPr>
                <w:rFonts w:hint="default" w:eastAsiaTheme="minorEastAsia"/>
                <w:bCs/>
                <w:kern w:val="0"/>
                <w:sz w:val="21"/>
                <w:szCs w:val="21"/>
                <w:highlight w:val="none"/>
              </w:rPr>
              <w:t>&lt;500t/a□</w:t>
            </w:r>
          </w:p>
        </w:tc>
      </w:tr>
      <w:tr w14:paraId="720FA9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22" w:type="dxa"/>
            <w:vMerge w:val="continue"/>
            <w:tcBorders>
              <w:top w:val="single" w:color="000000" w:sz="4" w:space="0"/>
              <w:left w:val="single" w:color="000000" w:sz="12" w:space="0"/>
              <w:bottom w:val="single" w:color="000000" w:sz="4" w:space="0"/>
              <w:right w:val="single" w:color="000000" w:sz="4" w:space="0"/>
            </w:tcBorders>
            <w:vAlign w:val="center"/>
          </w:tcPr>
          <w:p w14:paraId="3CA47780">
            <w:pPr>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left"/>
              <w:textAlignment w:val="auto"/>
              <w:rPr>
                <w:rFonts w:hint="default" w:eastAsiaTheme="minorEastAsia"/>
                <w:bCs/>
                <w:kern w:val="0"/>
                <w:sz w:val="21"/>
                <w:szCs w:val="21"/>
                <w:highlight w:val="none"/>
              </w:rPr>
            </w:pPr>
          </w:p>
        </w:tc>
        <w:tc>
          <w:tcPr>
            <w:tcW w:w="1716" w:type="dxa"/>
            <w:tcBorders>
              <w:top w:val="single" w:color="000000" w:sz="4" w:space="0"/>
              <w:left w:val="single" w:color="000000" w:sz="4" w:space="0"/>
              <w:bottom w:val="single" w:color="000000" w:sz="4" w:space="0"/>
              <w:right w:val="single" w:color="000000" w:sz="4" w:space="0"/>
            </w:tcBorders>
            <w:vAlign w:val="center"/>
          </w:tcPr>
          <w:p w14:paraId="69E6795C">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评价因子</w:t>
            </w:r>
          </w:p>
        </w:tc>
        <w:tc>
          <w:tcPr>
            <w:tcW w:w="4415" w:type="dxa"/>
            <w:gridSpan w:val="16"/>
            <w:tcBorders>
              <w:top w:val="single" w:color="000000" w:sz="4" w:space="0"/>
              <w:left w:val="single" w:color="000000" w:sz="4" w:space="0"/>
              <w:bottom w:val="single" w:color="000000" w:sz="4" w:space="0"/>
              <w:right w:val="single" w:color="000000" w:sz="4" w:space="0"/>
            </w:tcBorders>
            <w:vAlign w:val="center"/>
          </w:tcPr>
          <w:p w14:paraId="2364200D">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基本污染物（</w:t>
            </w:r>
            <w:r>
              <w:rPr>
                <w:rFonts w:hint="default" w:eastAsiaTheme="minorEastAsia"/>
                <w:bCs/>
                <w:kern w:val="0"/>
                <w:sz w:val="21"/>
                <w:szCs w:val="21"/>
                <w:highlight w:val="none"/>
              </w:rPr>
              <w:t>PM</w:t>
            </w:r>
            <w:r>
              <w:rPr>
                <w:rFonts w:hint="default" w:eastAsiaTheme="minorEastAsia"/>
                <w:bCs/>
                <w:kern w:val="0"/>
                <w:sz w:val="21"/>
                <w:szCs w:val="21"/>
                <w:highlight w:val="none"/>
                <w:vertAlign w:val="subscript"/>
              </w:rPr>
              <w:t>10</w:t>
            </w:r>
            <w:r>
              <w:rPr>
                <w:rFonts w:hint="default" w:hAnsiTheme="minorEastAsia" w:eastAsiaTheme="minorEastAsia"/>
                <w:bCs/>
                <w:kern w:val="0"/>
                <w:sz w:val="21"/>
                <w:szCs w:val="21"/>
                <w:highlight w:val="none"/>
              </w:rPr>
              <w:t>、</w:t>
            </w:r>
            <w:r>
              <w:rPr>
                <w:rFonts w:hint="default" w:eastAsiaTheme="minorEastAsia"/>
                <w:bCs/>
                <w:kern w:val="0"/>
                <w:sz w:val="21"/>
                <w:szCs w:val="21"/>
                <w:highlight w:val="none"/>
              </w:rPr>
              <w:t>PM</w:t>
            </w:r>
            <w:r>
              <w:rPr>
                <w:rFonts w:hint="default" w:eastAsiaTheme="minorEastAsia"/>
                <w:bCs/>
                <w:kern w:val="0"/>
                <w:sz w:val="21"/>
                <w:szCs w:val="21"/>
                <w:highlight w:val="none"/>
                <w:vertAlign w:val="subscript"/>
              </w:rPr>
              <w:t>2.5</w:t>
            </w:r>
            <w:r>
              <w:rPr>
                <w:rFonts w:hint="default" w:hAnsiTheme="minorEastAsia" w:eastAsiaTheme="minorEastAsia"/>
                <w:bCs/>
                <w:kern w:val="0"/>
                <w:sz w:val="21"/>
                <w:szCs w:val="21"/>
                <w:highlight w:val="none"/>
              </w:rPr>
              <w:t>、</w:t>
            </w:r>
            <w:r>
              <w:rPr>
                <w:rFonts w:hint="default" w:eastAsiaTheme="minorEastAsia"/>
                <w:bCs/>
                <w:kern w:val="0"/>
                <w:sz w:val="21"/>
                <w:szCs w:val="21"/>
                <w:highlight w:val="none"/>
              </w:rPr>
              <w:t>SO</w:t>
            </w:r>
            <w:r>
              <w:rPr>
                <w:rFonts w:hint="default" w:eastAsiaTheme="minorEastAsia"/>
                <w:bCs/>
                <w:kern w:val="0"/>
                <w:sz w:val="21"/>
                <w:szCs w:val="21"/>
                <w:highlight w:val="none"/>
                <w:vertAlign w:val="subscript"/>
              </w:rPr>
              <w:t>2</w:t>
            </w:r>
            <w:r>
              <w:rPr>
                <w:rFonts w:hint="default" w:hAnsiTheme="minorEastAsia" w:eastAsiaTheme="minorEastAsia"/>
                <w:bCs/>
                <w:kern w:val="0"/>
                <w:sz w:val="21"/>
                <w:szCs w:val="21"/>
                <w:highlight w:val="none"/>
              </w:rPr>
              <w:t>、</w:t>
            </w:r>
            <w:r>
              <w:rPr>
                <w:rFonts w:hint="default" w:eastAsiaTheme="minorEastAsia"/>
                <w:bCs/>
                <w:kern w:val="0"/>
                <w:sz w:val="21"/>
                <w:szCs w:val="21"/>
                <w:highlight w:val="none"/>
              </w:rPr>
              <w:t>NO</w:t>
            </w:r>
            <w:r>
              <w:rPr>
                <w:rFonts w:hint="default" w:eastAsiaTheme="minorEastAsia"/>
                <w:bCs/>
                <w:kern w:val="0"/>
                <w:sz w:val="21"/>
                <w:szCs w:val="21"/>
                <w:highlight w:val="none"/>
                <w:vertAlign w:val="subscript"/>
              </w:rPr>
              <w:t>2</w:t>
            </w:r>
            <w:r>
              <w:rPr>
                <w:rFonts w:hint="default" w:hAnsiTheme="minorEastAsia" w:eastAsiaTheme="minorEastAsia"/>
                <w:bCs/>
                <w:kern w:val="0"/>
                <w:sz w:val="21"/>
                <w:szCs w:val="21"/>
                <w:highlight w:val="none"/>
              </w:rPr>
              <w:t>、</w:t>
            </w:r>
            <w:r>
              <w:rPr>
                <w:rFonts w:hint="default" w:eastAsiaTheme="minorEastAsia"/>
                <w:bCs/>
                <w:kern w:val="0"/>
                <w:sz w:val="21"/>
                <w:szCs w:val="21"/>
                <w:highlight w:val="none"/>
              </w:rPr>
              <w:t>CO</w:t>
            </w:r>
            <w:r>
              <w:rPr>
                <w:rFonts w:hint="default" w:hAnsiTheme="minorEastAsia" w:eastAsiaTheme="minorEastAsia"/>
                <w:bCs/>
                <w:kern w:val="0"/>
                <w:sz w:val="21"/>
                <w:szCs w:val="21"/>
                <w:highlight w:val="none"/>
              </w:rPr>
              <w:t>、</w:t>
            </w:r>
            <w:r>
              <w:rPr>
                <w:rFonts w:hint="default" w:eastAsiaTheme="minorEastAsia"/>
                <w:bCs/>
                <w:kern w:val="0"/>
                <w:sz w:val="21"/>
                <w:szCs w:val="21"/>
                <w:highlight w:val="none"/>
              </w:rPr>
              <w:t>O</w:t>
            </w:r>
            <w:r>
              <w:rPr>
                <w:rFonts w:hint="default" w:eastAsiaTheme="minorEastAsia"/>
                <w:bCs/>
                <w:kern w:val="0"/>
                <w:sz w:val="21"/>
                <w:szCs w:val="21"/>
                <w:highlight w:val="none"/>
                <w:vertAlign w:val="subscript"/>
              </w:rPr>
              <w:t>3</w:t>
            </w:r>
            <w:r>
              <w:rPr>
                <w:rFonts w:hint="default" w:hAnsiTheme="minorEastAsia" w:eastAsiaTheme="minorEastAsia"/>
                <w:bCs/>
                <w:kern w:val="0"/>
                <w:sz w:val="21"/>
                <w:szCs w:val="21"/>
                <w:highlight w:val="none"/>
              </w:rPr>
              <w:t>）其他污染物（</w:t>
            </w:r>
            <w:r>
              <w:rPr>
                <w:rFonts w:hint="eastAsia" w:hAnsiTheme="minorEastAsia" w:eastAsiaTheme="minorEastAsia"/>
                <w:bCs/>
                <w:kern w:val="0"/>
                <w:sz w:val="21"/>
                <w:szCs w:val="21"/>
                <w:highlight w:val="none"/>
                <w:lang w:val="en-US" w:eastAsia="zh-CN"/>
              </w:rPr>
              <w:t>油雾、挥发性有机物、臭气浓度、颗粒物、</w:t>
            </w:r>
            <w:r>
              <w:rPr>
                <w:rFonts w:hint="default" w:eastAsiaTheme="minorEastAsia"/>
                <w:bCs/>
                <w:kern w:val="0"/>
                <w:sz w:val="21"/>
                <w:szCs w:val="21"/>
                <w:highlight w:val="none"/>
              </w:rPr>
              <w:t>SO</w:t>
            </w:r>
            <w:r>
              <w:rPr>
                <w:rFonts w:hint="default" w:eastAsiaTheme="minorEastAsia"/>
                <w:bCs/>
                <w:kern w:val="0"/>
                <w:sz w:val="21"/>
                <w:szCs w:val="21"/>
                <w:highlight w:val="none"/>
                <w:vertAlign w:val="subscript"/>
              </w:rPr>
              <w:t>2</w:t>
            </w:r>
            <w:r>
              <w:rPr>
                <w:rFonts w:hint="default" w:hAnsiTheme="minorEastAsia" w:eastAsiaTheme="minorEastAsia"/>
                <w:bCs/>
                <w:kern w:val="0"/>
                <w:sz w:val="21"/>
                <w:szCs w:val="21"/>
                <w:highlight w:val="none"/>
              </w:rPr>
              <w:t>、</w:t>
            </w:r>
            <w:r>
              <w:rPr>
                <w:rFonts w:hint="default" w:eastAsiaTheme="minorEastAsia"/>
                <w:bCs/>
                <w:kern w:val="0"/>
                <w:sz w:val="21"/>
                <w:szCs w:val="21"/>
                <w:highlight w:val="none"/>
              </w:rPr>
              <w:t>NO</w:t>
            </w:r>
            <w:r>
              <w:rPr>
                <w:rFonts w:hint="eastAsia" w:eastAsiaTheme="minorEastAsia"/>
                <w:bCs/>
                <w:kern w:val="0"/>
                <w:sz w:val="21"/>
                <w:szCs w:val="21"/>
                <w:highlight w:val="none"/>
                <w:vertAlign w:val="subscript"/>
                <w:lang w:val="en-US" w:eastAsia="zh-CN"/>
              </w:rPr>
              <w:t>x</w:t>
            </w:r>
            <w:r>
              <w:rPr>
                <w:rFonts w:hint="default" w:hAnsiTheme="minorEastAsia" w:eastAsiaTheme="minorEastAsia"/>
                <w:bCs/>
                <w:kern w:val="0"/>
                <w:sz w:val="21"/>
                <w:szCs w:val="21"/>
                <w:highlight w:val="none"/>
              </w:rPr>
              <w:t>）</w:t>
            </w:r>
          </w:p>
        </w:tc>
        <w:tc>
          <w:tcPr>
            <w:tcW w:w="1987" w:type="dxa"/>
            <w:gridSpan w:val="4"/>
            <w:tcBorders>
              <w:top w:val="single" w:color="000000" w:sz="4" w:space="0"/>
              <w:left w:val="single" w:color="auto" w:sz="4" w:space="0"/>
              <w:bottom w:val="single" w:color="000000" w:sz="4" w:space="0"/>
              <w:right w:val="single" w:color="000000" w:sz="12" w:space="0"/>
            </w:tcBorders>
            <w:vAlign w:val="center"/>
          </w:tcPr>
          <w:p w14:paraId="02BFEA50">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包括二次</w:t>
            </w:r>
            <w:r>
              <w:rPr>
                <w:rFonts w:hint="default" w:eastAsiaTheme="minorEastAsia"/>
                <w:bCs/>
                <w:kern w:val="0"/>
                <w:sz w:val="21"/>
                <w:szCs w:val="21"/>
                <w:highlight w:val="none"/>
              </w:rPr>
              <w:t>PM</w:t>
            </w:r>
            <w:r>
              <w:rPr>
                <w:rFonts w:hint="default" w:eastAsiaTheme="minorEastAsia"/>
                <w:bCs/>
                <w:kern w:val="0"/>
                <w:sz w:val="21"/>
                <w:szCs w:val="21"/>
                <w:highlight w:val="none"/>
                <w:vertAlign w:val="subscript"/>
              </w:rPr>
              <w:t>2.5</w:t>
            </w:r>
            <w:r>
              <w:rPr>
                <w:rFonts w:hint="default" w:eastAsiaTheme="minorEastAsia"/>
                <w:bCs/>
                <w:kern w:val="0"/>
                <w:sz w:val="21"/>
                <w:szCs w:val="21"/>
                <w:highlight w:val="none"/>
              </w:rPr>
              <w:t>□</w:t>
            </w:r>
          </w:p>
          <w:p w14:paraId="0B9708D4">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不包括二次</w:t>
            </w:r>
            <w:r>
              <w:rPr>
                <w:rFonts w:hint="default" w:eastAsiaTheme="minorEastAsia"/>
                <w:bCs/>
                <w:kern w:val="0"/>
                <w:sz w:val="21"/>
                <w:szCs w:val="21"/>
                <w:highlight w:val="none"/>
              </w:rPr>
              <w:t>PM</w:t>
            </w:r>
            <w:r>
              <w:rPr>
                <w:rFonts w:hint="default" w:eastAsiaTheme="minorEastAsia"/>
                <w:bCs/>
                <w:kern w:val="0"/>
                <w:sz w:val="21"/>
                <w:szCs w:val="21"/>
                <w:highlight w:val="none"/>
                <w:vertAlign w:val="subscript"/>
              </w:rPr>
              <w:t>2.5</w:t>
            </w:r>
            <w:r>
              <w:rPr>
                <w:rFonts w:hint="default" w:eastAsiaTheme="minorEastAsia"/>
                <w:bCs/>
                <w:kern w:val="0"/>
                <w:sz w:val="21"/>
                <w:szCs w:val="21"/>
                <w:highlight w:val="none"/>
              </w:rPr>
              <w:t>√</w:t>
            </w:r>
          </w:p>
        </w:tc>
      </w:tr>
      <w:tr w14:paraId="4D55FD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22" w:type="dxa"/>
            <w:tcBorders>
              <w:top w:val="single" w:color="000000" w:sz="4" w:space="0"/>
              <w:left w:val="single" w:color="000000" w:sz="12" w:space="0"/>
              <w:bottom w:val="single" w:color="000000" w:sz="4" w:space="0"/>
              <w:right w:val="single" w:color="000000" w:sz="4" w:space="0"/>
            </w:tcBorders>
            <w:vAlign w:val="center"/>
          </w:tcPr>
          <w:p w14:paraId="231544A7">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评价标准</w:t>
            </w:r>
          </w:p>
        </w:tc>
        <w:tc>
          <w:tcPr>
            <w:tcW w:w="1716" w:type="dxa"/>
            <w:tcBorders>
              <w:top w:val="single" w:color="000000" w:sz="4" w:space="0"/>
              <w:left w:val="single" w:color="000000" w:sz="4" w:space="0"/>
              <w:bottom w:val="single" w:color="000000" w:sz="4" w:space="0"/>
              <w:right w:val="single" w:color="000000" w:sz="4" w:space="0"/>
            </w:tcBorders>
            <w:vAlign w:val="center"/>
          </w:tcPr>
          <w:p w14:paraId="50D9041A">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评价标准</w:t>
            </w:r>
          </w:p>
        </w:tc>
        <w:tc>
          <w:tcPr>
            <w:tcW w:w="1173" w:type="dxa"/>
            <w:gridSpan w:val="2"/>
            <w:tcBorders>
              <w:top w:val="single" w:color="000000" w:sz="4" w:space="0"/>
              <w:left w:val="single" w:color="000000" w:sz="4" w:space="0"/>
              <w:bottom w:val="single" w:color="000000" w:sz="4" w:space="0"/>
              <w:right w:val="single" w:color="000000" w:sz="4" w:space="0"/>
            </w:tcBorders>
            <w:vAlign w:val="center"/>
          </w:tcPr>
          <w:p w14:paraId="084F9AF2">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国家标准</w:t>
            </w:r>
            <w:r>
              <w:rPr>
                <w:rFonts w:hint="default" w:eastAsiaTheme="minorEastAsia"/>
                <w:bCs/>
                <w:kern w:val="0"/>
                <w:sz w:val="21"/>
                <w:szCs w:val="21"/>
                <w:highlight w:val="none"/>
              </w:rPr>
              <w:t>√</w:t>
            </w:r>
          </w:p>
        </w:tc>
        <w:tc>
          <w:tcPr>
            <w:tcW w:w="2401" w:type="dxa"/>
            <w:gridSpan w:val="12"/>
            <w:tcBorders>
              <w:top w:val="single" w:color="000000" w:sz="4" w:space="0"/>
              <w:left w:val="single" w:color="auto" w:sz="4" w:space="0"/>
              <w:bottom w:val="single" w:color="000000" w:sz="4" w:space="0"/>
              <w:right w:val="single" w:color="auto" w:sz="4" w:space="0"/>
            </w:tcBorders>
            <w:vAlign w:val="center"/>
          </w:tcPr>
          <w:p w14:paraId="791C75B3">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地方标准</w:t>
            </w:r>
            <w:r>
              <w:rPr>
                <w:rFonts w:hint="default" w:eastAsiaTheme="minorEastAsia"/>
                <w:bCs/>
                <w:kern w:val="0"/>
                <w:sz w:val="21"/>
                <w:szCs w:val="21"/>
                <w:highlight w:val="none"/>
              </w:rPr>
              <w:t>□</w:t>
            </w:r>
          </w:p>
        </w:tc>
        <w:tc>
          <w:tcPr>
            <w:tcW w:w="1379" w:type="dxa"/>
            <w:gridSpan w:val="3"/>
            <w:tcBorders>
              <w:top w:val="single" w:color="000000" w:sz="4" w:space="0"/>
              <w:left w:val="single" w:color="auto" w:sz="4" w:space="0"/>
              <w:bottom w:val="single" w:color="000000" w:sz="4" w:space="0"/>
              <w:right w:val="single" w:color="auto" w:sz="4" w:space="0"/>
            </w:tcBorders>
            <w:vAlign w:val="center"/>
          </w:tcPr>
          <w:p w14:paraId="23A1C03F">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附录</w:t>
            </w:r>
            <w:r>
              <w:rPr>
                <w:rFonts w:hint="default" w:eastAsiaTheme="minorEastAsia"/>
                <w:bCs/>
                <w:kern w:val="0"/>
                <w:sz w:val="21"/>
                <w:szCs w:val="21"/>
                <w:highlight w:val="none"/>
              </w:rPr>
              <w:t>D□</w:t>
            </w:r>
          </w:p>
        </w:tc>
        <w:tc>
          <w:tcPr>
            <w:tcW w:w="1449" w:type="dxa"/>
            <w:gridSpan w:val="3"/>
            <w:tcBorders>
              <w:top w:val="single" w:color="000000" w:sz="4" w:space="0"/>
              <w:left w:val="single" w:color="auto" w:sz="4" w:space="0"/>
              <w:bottom w:val="single" w:color="000000" w:sz="4" w:space="0"/>
              <w:right w:val="single" w:color="000000" w:sz="12" w:space="0"/>
            </w:tcBorders>
            <w:vAlign w:val="center"/>
          </w:tcPr>
          <w:p w14:paraId="5D5B76BB">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其他标准</w:t>
            </w:r>
            <w:r>
              <w:rPr>
                <w:rFonts w:hint="default" w:eastAsiaTheme="minorEastAsia"/>
                <w:bCs/>
                <w:kern w:val="0"/>
                <w:sz w:val="21"/>
                <w:szCs w:val="21"/>
                <w:highlight w:val="none"/>
              </w:rPr>
              <w:t>√</w:t>
            </w:r>
          </w:p>
        </w:tc>
      </w:tr>
      <w:tr w14:paraId="3C88BF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22" w:type="dxa"/>
            <w:vMerge w:val="restart"/>
            <w:tcBorders>
              <w:top w:val="single" w:color="000000" w:sz="4" w:space="0"/>
              <w:left w:val="single" w:color="000000" w:sz="12" w:space="0"/>
              <w:bottom w:val="single" w:color="000000" w:sz="4" w:space="0"/>
              <w:right w:val="single" w:color="000000" w:sz="4" w:space="0"/>
            </w:tcBorders>
            <w:vAlign w:val="center"/>
          </w:tcPr>
          <w:p w14:paraId="4FE4973C">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现状评价</w:t>
            </w:r>
          </w:p>
        </w:tc>
        <w:tc>
          <w:tcPr>
            <w:tcW w:w="1716" w:type="dxa"/>
            <w:tcBorders>
              <w:top w:val="single" w:color="000000" w:sz="4" w:space="0"/>
              <w:left w:val="single" w:color="000000" w:sz="4" w:space="0"/>
              <w:bottom w:val="single" w:color="000000" w:sz="4" w:space="0"/>
              <w:right w:val="single" w:color="000000" w:sz="4" w:space="0"/>
            </w:tcBorders>
            <w:vAlign w:val="center"/>
          </w:tcPr>
          <w:p w14:paraId="16ECAE57">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环境功能区</w:t>
            </w:r>
          </w:p>
        </w:tc>
        <w:tc>
          <w:tcPr>
            <w:tcW w:w="1490" w:type="dxa"/>
            <w:gridSpan w:val="5"/>
            <w:tcBorders>
              <w:top w:val="single" w:color="000000" w:sz="4" w:space="0"/>
              <w:left w:val="single" w:color="000000" w:sz="4" w:space="0"/>
              <w:bottom w:val="single" w:color="000000" w:sz="4" w:space="0"/>
              <w:right w:val="single" w:color="000000" w:sz="4" w:space="0"/>
            </w:tcBorders>
            <w:vAlign w:val="center"/>
          </w:tcPr>
          <w:p w14:paraId="78D20E82">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一类区</w:t>
            </w:r>
            <w:r>
              <w:rPr>
                <w:rFonts w:hint="default" w:eastAsiaTheme="minorEastAsia"/>
                <w:bCs/>
                <w:kern w:val="0"/>
                <w:sz w:val="21"/>
                <w:szCs w:val="21"/>
                <w:highlight w:val="none"/>
              </w:rPr>
              <w:t>□</w:t>
            </w:r>
          </w:p>
        </w:tc>
        <w:tc>
          <w:tcPr>
            <w:tcW w:w="2925" w:type="dxa"/>
            <w:gridSpan w:val="11"/>
            <w:tcBorders>
              <w:top w:val="single" w:color="000000" w:sz="4" w:space="0"/>
              <w:left w:val="single" w:color="000000" w:sz="4" w:space="0"/>
              <w:bottom w:val="single" w:color="000000" w:sz="4" w:space="0"/>
              <w:right w:val="single" w:color="000000" w:sz="4" w:space="0"/>
            </w:tcBorders>
            <w:vAlign w:val="center"/>
          </w:tcPr>
          <w:p w14:paraId="7E17A6E8">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二类区</w:t>
            </w:r>
            <w:r>
              <w:rPr>
                <w:rFonts w:hint="default" w:eastAsiaTheme="minorEastAsia"/>
                <w:bCs/>
                <w:kern w:val="0"/>
                <w:sz w:val="21"/>
                <w:szCs w:val="21"/>
                <w:highlight w:val="none"/>
              </w:rPr>
              <w:t>√</w:t>
            </w:r>
          </w:p>
        </w:tc>
        <w:tc>
          <w:tcPr>
            <w:tcW w:w="1987" w:type="dxa"/>
            <w:gridSpan w:val="4"/>
            <w:tcBorders>
              <w:top w:val="single" w:color="000000" w:sz="4" w:space="0"/>
              <w:left w:val="single" w:color="000000" w:sz="4" w:space="0"/>
              <w:bottom w:val="single" w:color="000000" w:sz="4" w:space="0"/>
              <w:right w:val="single" w:color="000000" w:sz="12" w:space="0"/>
            </w:tcBorders>
            <w:vAlign w:val="center"/>
          </w:tcPr>
          <w:p w14:paraId="46EF054A">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一类区和二类区</w:t>
            </w:r>
            <w:r>
              <w:rPr>
                <w:rFonts w:hint="default" w:eastAsiaTheme="minorEastAsia"/>
                <w:bCs/>
                <w:kern w:val="0"/>
                <w:sz w:val="21"/>
                <w:szCs w:val="21"/>
                <w:highlight w:val="none"/>
              </w:rPr>
              <w:t>□</w:t>
            </w:r>
          </w:p>
        </w:tc>
      </w:tr>
      <w:tr w14:paraId="7E9DC9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22" w:type="dxa"/>
            <w:vMerge w:val="continue"/>
            <w:tcBorders>
              <w:top w:val="single" w:color="000000" w:sz="4" w:space="0"/>
              <w:left w:val="single" w:color="000000" w:sz="12" w:space="0"/>
              <w:bottom w:val="single" w:color="000000" w:sz="4" w:space="0"/>
              <w:right w:val="single" w:color="000000" w:sz="4" w:space="0"/>
            </w:tcBorders>
            <w:vAlign w:val="center"/>
          </w:tcPr>
          <w:p w14:paraId="28BE9638">
            <w:pPr>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left"/>
              <w:textAlignment w:val="auto"/>
              <w:rPr>
                <w:rFonts w:hint="default" w:eastAsiaTheme="minorEastAsia"/>
                <w:bCs/>
                <w:kern w:val="0"/>
                <w:sz w:val="21"/>
                <w:szCs w:val="21"/>
                <w:highlight w:val="none"/>
              </w:rPr>
            </w:pPr>
          </w:p>
        </w:tc>
        <w:tc>
          <w:tcPr>
            <w:tcW w:w="1716" w:type="dxa"/>
            <w:tcBorders>
              <w:top w:val="single" w:color="000000" w:sz="4" w:space="0"/>
              <w:left w:val="single" w:color="000000" w:sz="4" w:space="0"/>
              <w:bottom w:val="single" w:color="000000" w:sz="4" w:space="0"/>
              <w:right w:val="single" w:color="000000" w:sz="4" w:space="0"/>
            </w:tcBorders>
            <w:vAlign w:val="center"/>
          </w:tcPr>
          <w:p w14:paraId="5A4993E1">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评价基准年</w:t>
            </w:r>
          </w:p>
        </w:tc>
        <w:tc>
          <w:tcPr>
            <w:tcW w:w="6402" w:type="dxa"/>
            <w:gridSpan w:val="20"/>
            <w:tcBorders>
              <w:top w:val="single" w:color="000000" w:sz="4" w:space="0"/>
              <w:left w:val="single" w:color="000000" w:sz="4" w:space="0"/>
              <w:bottom w:val="single" w:color="000000" w:sz="4" w:space="0"/>
              <w:right w:val="single" w:color="000000" w:sz="12" w:space="0"/>
            </w:tcBorders>
            <w:vAlign w:val="center"/>
          </w:tcPr>
          <w:p w14:paraId="70EF60F7">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w:t>
            </w:r>
            <w:r>
              <w:rPr>
                <w:rFonts w:hint="default" w:eastAsiaTheme="minorEastAsia"/>
                <w:bCs/>
                <w:kern w:val="0"/>
                <w:sz w:val="21"/>
                <w:szCs w:val="21"/>
                <w:highlight w:val="none"/>
              </w:rPr>
              <w:t>202</w:t>
            </w:r>
            <w:r>
              <w:rPr>
                <w:rFonts w:hint="eastAsia" w:eastAsiaTheme="minorEastAsia"/>
                <w:bCs/>
                <w:kern w:val="0"/>
                <w:sz w:val="21"/>
                <w:szCs w:val="21"/>
                <w:highlight w:val="none"/>
                <w:lang w:val="en-US" w:eastAsia="zh-CN"/>
              </w:rPr>
              <w:t>3</w:t>
            </w:r>
            <w:r>
              <w:rPr>
                <w:rFonts w:hint="default" w:hAnsiTheme="minorEastAsia" w:eastAsiaTheme="minorEastAsia"/>
                <w:bCs/>
                <w:kern w:val="0"/>
                <w:sz w:val="21"/>
                <w:szCs w:val="21"/>
                <w:highlight w:val="none"/>
              </w:rPr>
              <w:t>）年</w:t>
            </w:r>
          </w:p>
        </w:tc>
      </w:tr>
      <w:tr w14:paraId="072E37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22" w:type="dxa"/>
            <w:vMerge w:val="continue"/>
            <w:tcBorders>
              <w:top w:val="single" w:color="000000" w:sz="4" w:space="0"/>
              <w:left w:val="single" w:color="000000" w:sz="12" w:space="0"/>
              <w:bottom w:val="single" w:color="000000" w:sz="4" w:space="0"/>
              <w:right w:val="single" w:color="000000" w:sz="4" w:space="0"/>
            </w:tcBorders>
            <w:vAlign w:val="center"/>
          </w:tcPr>
          <w:p w14:paraId="242914D7">
            <w:pPr>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left"/>
              <w:textAlignment w:val="auto"/>
              <w:rPr>
                <w:rFonts w:hint="default" w:eastAsiaTheme="minorEastAsia"/>
                <w:bCs/>
                <w:kern w:val="0"/>
                <w:sz w:val="21"/>
                <w:szCs w:val="21"/>
                <w:highlight w:val="none"/>
              </w:rPr>
            </w:pPr>
          </w:p>
        </w:tc>
        <w:tc>
          <w:tcPr>
            <w:tcW w:w="1716" w:type="dxa"/>
            <w:tcBorders>
              <w:top w:val="single" w:color="000000" w:sz="4" w:space="0"/>
              <w:left w:val="single" w:color="000000" w:sz="4" w:space="0"/>
              <w:bottom w:val="single" w:color="000000" w:sz="4" w:space="0"/>
              <w:right w:val="single" w:color="000000" w:sz="4" w:space="0"/>
            </w:tcBorders>
            <w:vAlign w:val="center"/>
          </w:tcPr>
          <w:p w14:paraId="3E5E4008">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环境空气质量现状调查数据来源</w:t>
            </w:r>
          </w:p>
        </w:tc>
        <w:tc>
          <w:tcPr>
            <w:tcW w:w="1490" w:type="dxa"/>
            <w:gridSpan w:val="5"/>
            <w:tcBorders>
              <w:top w:val="single" w:color="000000" w:sz="4" w:space="0"/>
              <w:left w:val="single" w:color="000000" w:sz="4" w:space="0"/>
              <w:bottom w:val="single" w:color="000000" w:sz="4" w:space="0"/>
              <w:right w:val="single" w:color="000000" w:sz="4" w:space="0"/>
            </w:tcBorders>
            <w:vAlign w:val="center"/>
          </w:tcPr>
          <w:p w14:paraId="23DB93D0">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长期例行监测数据</w:t>
            </w:r>
            <w:r>
              <w:rPr>
                <w:rFonts w:hint="default" w:eastAsiaTheme="minorEastAsia"/>
                <w:bCs/>
                <w:kern w:val="0"/>
                <w:sz w:val="21"/>
                <w:szCs w:val="21"/>
                <w:highlight w:val="none"/>
              </w:rPr>
              <w:t>□</w:t>
            </w:r>
          </w:p>
        </w:tc>
        <w:tc>
          <w:tcPr>
            <w:tcW w:w="2925" w:type="dxa"/>
            <w:gridSpan w:val="11"/>
            <w:tcBorders>
              <w:top w:val="single" w:color="000000" w:sz="4" w:space="0"/>
              <w:left w:val="single" w:color="000000" w:sz="4" w:space="0"/>
              <w:bottom w:val="single" w:color="000000" w:sz="4" w:space="0"/>
              <w:right w:val="single" w:color="000000" w:sz="4" w:space="0"/>
            </w:tcBorders>
            <w:vAlign w:val="center"/>
          </w:tcPr>
          <w:p w14:paraId="4790C82D">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主管部门发布的数据</w:t>
            </w:r>
            <w:r>
              <w:rPr>
                <w:rFonts w:hint="default" w:eastAsiaTheme="minorEastAsia"/>
                <w:bCs/>
                <w:kern w:val="0"/>
                <w:sz w:val="21"/>
                <w:szCs w:val="21"/>
                <w:highlight w:val="none"/>
              </w:rPr>
              <w:t>√</w:t>
            </w:r>
          </w:p>
        </w:tc>
        <w:tc>
          <w:tcPr>
            <w:tcW w:w="1987" w:type="dxa"/>
            <w:gridSpan w:val="4"/>
            <w:tcBorders>
              <w:top w:val="single" w:color="000000" w:sz="4" w:space="0"/>
              <w:left w:val="single" w:color="000000" w:sz="4" w:space="0"/>
              <w:bottom w:val="single" w:color="000000" w:sz="4" w:space="0"/>
              <w:right w:val="single" w:color="000000" w:sz="12" w:space="0"/>
            </w:tcBorders>
            <w:vAlign w:val="center"/>
          </w:tcPr>
          <w:p w14:paraId="3E5CB344">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现状补充监测</w:t>
            </w:r>
            <w:r>
              <w:rPr>
                <w:rFonts w:hint="default" w:eastAsiaTheme="minorEastAsia"/>
                <w:bCs/>
                <w:kern w:val="0"/>
                <w:sz w:val="21"/>
                <w:szCs w:val="21"/>
                <w:highlight w:val="none"/>
              </w:rPr>
              <w:t>□</w:t>
            </w:r>
          </w:p>
        </w:tc>
      </w:tr>
      <w:tr w14:paraId="32E6C7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22" w:type="dxa"/>
            <w:vMerge w:val="continue"/>
            <w:tcBorders>
              <w:top w:val="single" w:color="000000" w:sz="4" w:space="0"/>
              <w:left w:val="single" w:color="000000" w:sz="12" w:space="0"/>
              <w:bottom w:val="single" w:color="000000" w:sz="4" w:space="0"/>
              <w:right w:val="single" w:color="000000" w:sz="4" w:space="0"/>
            </w:tcBorders>
            <w:vAlign w:val="center"/>
          </w:tcPr>
          <w:p w14:paraId="6A6B8714">
            <w:pPr>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left"/>
              <w:textAlignment w:val="auto"/>
              <w:rPr>
                <w:rFonts w:hint="default" w:eastAsiaTheme="minorEastAsia"/>
                <w:bCs/>
                <w:kern w:val="0"/>
                <w:sz w:val="21"/>
                <w:szCs w:val="21"/>
                <w:highlight w:val="none"/>
              </w:rPr>
            </w:pPr>
          </w:p>
        </w:tc>
        <w:tc>
          <w:tcPr>
            <w:tcW w:w="1716" w:type="dxa"/>
            <w:tcBorders>
              <w:top w:val="single" w:color="000000" w:sz="4" w:space="0"/>
              <w:left w:val="single" w:color="000000" w:sz="4" w:space="0"/>
              <w:bottom w:val="single" w:color="000000" w:sz="4" w:space="0"/>
              <w:right w:val="single" w:color="000000" w:sz="4" w:space="0"/>
            </w:tcBorders>
            <w:vAlign w:val="center"/>
          </w:tcPr>
          <w:p w14:paraId="38231B90">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现状评价</w:t>
            </w:r>
          </w:p>
        </w:tc>
        <w:tc>
          <w:tcPr>
            <w:tcW w:w="2791" w:type="dxa"/>
            <w:gridSpan w:val="10"/>
            <w:tcBorders>
              <w:top w:val="single" w:color="000000" w:sz="4" w:space="0"/>
              <w:left w:val="single" w:color="000000" w:sz="4" w:space="0"/>
              <w:bottom w:val="single" w:color="000000" w:sz="4" w:space="0"/>
              <w:right w:val="single" w:color="000000" w:sz="4" w:space="0"/>
            </w:tcBorders>
            <w:vAlign w:val="center"/>
          </w:tcPr>
          <w:p w14:paraId="1A07AE1D">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达标区</w:t>
            </w:r>
            <w:r>
              <w:rPr>
                <w:rFonts w:hint="default" w:eastAsiaTheme="minorEastAsia"/>
                <w:bCs/>
                <w:kern w:val="0"/>
                <w:sz w:val="21"/>
                <w:szCs w:val="21"/>
                <w:highlight w:val="none"/>
              </w:rPr>
              <w:t>□</w:t>
            </w:r>
          </w:p>
        </w:tc>
        <w:tc>
          <w:tcPr>
            <w:tcW w:w="3611" w:type="dxa"/>
            <w:gridSpan w:val="10"/>
            <w:tcBorders>
              <w:top w:val="single" w:color="000000" w:sz="4" w:space="0"/>
              <w:left w:val="single" w:color="auto" w:sz="4" w:space="0"/>
              <w:bottom w:val="single" w:color="000000" w:sz="4" w:space="0"/>
              <w:right w:val="single" w:color="000000" w:sz="12" w:space="0"/>
            </w:tcBorders>
            <w:vAlign w:val="center"/>
          </w:tcPr>
          <w:p w14:paraId="6D20E9D9">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不达标区</w:t>
            </w:r>
            <w:r>
              <w:rPr>
                <w:rFonts w:hint="default" w:eastAsiaTheme="minorEastAsia"/>
                <w:bCs/>
                <w:kern w:val="0"/>
                <w:sz w:val="21"/>
                <w:szCs w:val="21"/>
                <w:highlight w:val="none"/>
              </w:rPr>
              <w:t>√</w:t>
            </w:r>
          </w:p>
        </w:tc>
      </w:tr>
      <w:tr w14:paraId="4FC094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22" w:type="dxa"/>
            <w:tcBorders>
              <w:top w:val="single" w:color="000000" w:sz="4" w:space="0"/>
              <w:left w:val="single" w:color="000000" w:sz="12" w:space="0"/>
              <w:bottom w:val="single" w:color="000000" w:sz="4" w:space="0"/>
              <w:right w:val="single" w:color="000000" w:sz="4" w:space="0"/>
            </w:tcBorders>
            <w:vAlign w:val="center"/>
          </w:tcPr>
          <w:p w14:paraId="01CA4D00">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污染源调查</w:t>
            </w:r>
          </w:p>
        </w:tc>
        <w:tc>
          <w:tcPr>
            <w:tcW w:w="1716" w:type="dxa"/>
            <w:tcBorders>
              <w:top w:val="single" w:color="000000" w:sz="4" w:space="0"/>
              <w:left w:val="single" w:color="000000" w:sz="4" w:space="0"/>
              <w:bottom w:val="single" w:color="000000" w:sz="4" w:space="0"/>
              <w:right w:val="single" w:color="000000" w:sz="4" w:space="0"/>
            </w:tcBorders>
            <w:vAlign w:val="center"/>
          </w:tcPr>
          <w:p w14:paraId="10E02175">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调查内容</w:t>
            </w:r>
          </w:p>
        </w:tc>
        <w:tc>
          <w:tcPr>
            <w:tcW w:w="1581" w:type="dxa"/>
            <w:gridSpan w:val="7"/>
            <w:tcBorders>
              <w:top w:val="single" w:color="000000" w:sz="4" w:space="0"/>
              <w:left w:val="single" w:color="000000" w:sz="4" w:space="0"/>
              <w:bottom w:val="single" w:color="000000" w:sz="4" w:space="0"/>
              <w:right w:val="single" w:color="000000" w:sz="4" w:space="0"/>
            </w:tcBorders>
            <w:vAlign w:val="center"/>
          </w:tcPr>
          <w:p w14:paraId="7867891A">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本项目正常排放源</w:t>
            </w:r>
            <w:r>
              <w:rPr>
                <w:rFonts w:hint="default" w:eastAsiaTheme="minorEastAsia"/>
                <w:bCs/>
                <w:kern w:val="0"/>
                <w:sz w:val="21"/>
                <w:szCs w:val="21"/>
                <w:highlight w:val="none"/>
              </w:rPr>
              <w:t>√</w:t>
            </w:r>
          </w:p>
          <w:p w14:paraId="35822818">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本项目非正常排放源</w:t>
            </w:r>
            <w:r>
              <w:rPr>
                <w:rFonts w:hint="default" w:eastAsiaTheme="minorEastAsia"/>
                <w:bCs/>
                <w:kern w:val="0"/>
                <w:sz w:val="21"/>
                <w:szCs w:val="21"/>
                <w:highlight w:val="none"/>
              </w:rPr>
              <w:t>√</w:t>
            </w:r>
          </w:p>
          <w:p w14:paraId="63BA6B8B">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Theme="minorEastAsia"/>
                <w:bCs/>
                <w:kern w:val="0"/>
                <w:sz w:val="21"/>
                <w:szCs w:val="21"/>
                <w:highlight w:val="none"/>
                <w:lang w:eastAsia="zh-CN"/>
              </w:rPr>
            </w:pPr>
            <w:r>
              <w:rPr>
                <w:rFonts w:hint="default" w:hAnsiTheme="minorEastAsia" w:eastAsiaTheme="minorEastAsia"/>
                <w:bCs/>
                <w:kern w:val="0"/>
                <w:sz w:val="21"/>
                <w:szCs w:val="21"/>
                <w:highlight w:val="none"/>
              </w:rPr>
              <w:t>现有污染源</w:t>
            </w:r>
            <w:r>
              <w:rPr>
                <w:rFonts w:hint="eastAsia" w:eastAsiaTheme="minorEastAsia"/>
                <w:bCs/>
                <w:kern w:val="0"/>
                <w:sz w:val="21"/>
                <w:szCs w:val="21"/>
                <w:highlight w:val="none"/>
                <w:lang w:eastAsia="zh-CN"/>
              </w:rPr>
              <w:t>☑</w:t>
            </w:r>
          </w:p>
        </w:tc>
        <w:tc>
          <w:tcPr>
            <w:tcW w:w="1729" w:type="dxa"/>
            <w:gridSpan w:val="4"/>
            <w:tcBorders>
              <w:top w:val="single" w:color="000000" w:sz="4" w:space="0"/>
              <w:left w:val="single" w:color="000000" w:sz="4" w:space="0"/>
              <w:bottom w:val="single" w:color="000000" w:sz="4" w:space="0"/>
              <w:right w:val="single" w:color="000000" w:sz="4" w:space="0"/>
            </w:tcBorders>
            <w:vAlign w:val="center"/>
          </w:tcPr>
          <w:p w14:paraId="7755A094">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Theme="minorEastAsia"/>
                <w:bCs/>
                <w:kern w:val="0"/>
                <w:sz w:val="21"/>
                <w:szCs w:val="21"/>
                <w:highlight w:val="none"/>
                <w:lang w:eastAsia="zh-CN"/>
              </w:rPr>
            </w:pPr>
            <w:r>
              <w:rPr>
                <w:rFonts w:hint="default" w:hAnsiTheme="minorEastAsia" w:eastAsiaTheme="minorEastAsia"/>
                <w:bCs/>
                <w:kern w:val="0"/>
                <w:sz w:val="21"/>
                <w:szCs w:val="21"/>
                <w:highlight w:val="none"/>
              </w:rPr>
              <w:t>拟替代的污染源</w:t>
            </w:r>
            <w:r>
              <w:rPr>
                <w:rFonts w:hint="eastAsia" w:eastAsiaTheme="minorEastAsia"/>
                <w:bCs/>
                <w:kern w:val="0"/>
                <w:sz w:val="21"/>
                <w:szCs w:val="21"/>
                <w:highlight w:val="none"/>
                <w:lang w:eastAsia="zh-CN"/>
              </w:rPr>
              <w:t>☑</w:t>
            </w:r>
          </w:p>
        </w:tc>
        <w:tc>
          <w:tcPr>
            <w:tcW w:w="1779" w:type="dxa"/>
            <w:gridSpan w:val="7"/>
            <w:tcBorders>
              <w:top w:val="single" w:color="000000" w:sz="4" w:space="0"/>
              <w:left w:val="single" w:color="000000" w:sz="4" w:space="0"/>
              <w:bottom w:val="single" w:color="000000" w:sz="4" w:space="0"/>
              <w:right w:val="single" w:color="000000" w:sz="4" w:space="0"/>
            </w:tcBorders>
            <w:vAlign w:val="center"/>
          </w:tcPr>
          <w:p w14:paraId="440C05E3">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其他在建、拟建项目污染源</w:t>
            </w:r>
            <w:r>
              <w:rPr>
                <w:rFonts w:hint="default" w:eastAsiaTheme="minorEastAsia"/>
                <w:bCs/>
                <w:kern w:val="0"/>
                <w:sz w:val="21"/>
                <w:szCs w:val="21"/>
                <w:highlight w:val="none"/>
              </w:rPr>
              <w:t>□</w:t>
            </w:r>
          </w:p>
        </w:tc>
        <w:tc>
          <w:tcPr>
            <w:tcW w:w="1313" w:type="dxa"/>
            <w:gridSpan w:val="2"/>
            <w:tcBorders>
              <w:top w:val="single" w:color="000000" w:sz="4" w:space="0"/>
              <w:left w:val="single" w:color="000000" w:sz="4" w:space="0"/>
              <w:bottom w:val="single" w:color="000000" w:sz="4" w:space="0"/>
              <w:right w:val="single" w:color="000000" w:sz="12" w:space="0"/>
            </w:tcBorders>
            <w:vAlign w:val="center"/>
          </w:tcPr>
          <w:p w14:paraId="1DB76DAA">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区域污染源</w:t>
            </w:r>
            <w:r>
              <w:rPr>
                <w:rFonts w:hint="default" w:eastAsiaTheme="minorEastAsia"/>
                <w:bCs/>
                <w:kern w:val="0"/>
                <w:sz w:val="21"/>
                <w:szCs w:val="21"/>
                <w:highlight w:val="none"/>
              </w:rPr>
              <w:t>□</w:t>
            </w:r>
          </w:p>
        </w:tc>
      </w:tr>
      <w:tr w14:paraId="1F0155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22" w:type="dxa"/>
            <w:vMerge w:val="restart"/>
            <w:tcBorders>
              <w:top w:val="single" w:color="000000" w:sz="4" w:space="0"/>
              <w:left w:val="single" w:color="000000" w:sz="12" w:space="0"/>
              <w:bottom w:val="single" w:color="000000" w:sz="4" w:space="0"/>
              <w:right w:val="single" w:color="000000" w:sz="4" w:space="0"/>
            </w:tcBorders>
            <w:vAlign w:val="center"/>
          </w:tcPr>
          <w:p w14:paraId="71841B08">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大气环境影响预测与评价</w:t>
            </w:r>
          </w:p>
        </w:tc>
        <w:tc>
          <w:tcPr>
            <w:tcW w:w="1716" w:type="dxa"/>
            <w:tcBorders>
              <w:top w:val="single" w:color="000000" w:sz="4" w:space="0"/>
              <w:left w:val="single" w:color="000000" w:sz="4" w:space="0"/>
              <w:bottom w:val="single" w:color="000000" w:sz="4" w:space="0"/>
              <w:right w:val="single" w:color="000000" w:sz="4" w:space="0"/>
            </w:tcBorders>
            <w:vAlign w:val="center"/>
          </w:tcPr>
          <w:p w14:paraId="4DC58004">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预测模型</w:t>
            </w:r>
          </w:p>
        </w:tc>
        <w:tc>
          <w:tcPr>
            <w:tcW w:w="899" w:type="dxa"/>
            <w:tcBorders>
              <w:top w:val="single" w:color="000000" w:sz="4" w:space="0"/>
              <w:left w:val="single" w:color="000000" w:sz="4" w:space="0"/>
              <w:bottom w:val="single" w:color="000000" w:sz="4" w:space="0"/>
              <w:right w:val="single" w:color="000000" w:sz="4" w:space="0"/>
            </w:tcBorders>
            <w:vAlign w:val="center"/>
          </w:tcPr>
          <w:p w14:paraId="03AB033A">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eastAsiaTheme="minorEastAsia"/>
                <w:bCs/>
                <w:kern w:val="0"/>
                <w:sz w:val="21"/>
                <w:szCs w:val="21"/>
                <w:highlight w:val="none"/>
              </w:rPr>
              <w:t>AERMOD□</w:t>
            </w:r>
          </w:p>
        </w:tc>
        <w:tc>
          <w:tcPr>
            <w:tcW w:w="682" w:type="dxa"/>
            <w:gridSpan w:val="6"/>
            <w:tcBorders>
              <w:top w:val="single" w:color="000000" w:sz="4" w:space="0"/>
              <w:left w:val="single" w:color="000000" w:sz="4" w:space="0"/>
              <w:bottom w:val="single" w:color="000000" w:sz="4" w:space="0"/>
              <w:right w:val="single" w:color="000000" w:sz="4" w:space="0"/>
            </w:tcBorders>
            <w:vAlign w:val="center"/>
          </w:tcPr>
          <w:p w14:paraId="585BBAF7">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eastAsiaTheme="minorEastAsia"/>
                <w:bCs/>
                <w:kern w:val="0"/>
                <w:sz w:val="21"/>
                <w:szCs w:val="21"/>
                <w:highlight w:val="none"/>
              </w:rPr>
              <w:t>ADMS□</w:t>
            </w:r>
          </w:p>
        </w:tc>
        <w:tc>
          <w:tcPr>
            <w:tcW w:w="949" w:type="dxa"/>
            <w:gridSpan w:val="2"/>
            <w:tcBorders>
              <w:top w:val="single" w:color="000000" w:sz="4" w:space="0"/>
              <w:left w:val="single" w:color="000000" w:sz="4" w:space="0"/>
              <w:bottom w:val="single" w:color="000000" w:sz="4" w:space="0"/>
              <w:right w:val="single" w:color="000000" w:sz="4" w:space="0"/>
            </w:tcBorders>
            <w:vAlign w:val="center"/>
          </w:tcPr>
          <w:p w14:paraId="2D58F2F2">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eastAsiaTheme="minorEastAsia"/>
                <w:bCs/>
                <w:kern w:val="0"/>
                <w:sz w:val="21"/>
                <w:szCs w:val="21"/>
                <w:highlight w:val="none"/>
              </w:rPr>
              <w:t>AUSTAL2000□</w:t>
            </w:r>
          </w:p>
        </w:tc>
        <w:tc>
          <w:tcPr>
            <w:tcW w:w="1085" w:type="dxa"/>
            <w:gridSpan w:val="6"/>
            <w:tcBorders>
              <w:top w:val="single" w:color="000000" w:sz="4" w:space="0"/>
              <w:left w:val="single" w:color="000000" w:sz="4" w:space="0"/>
              <w:bottom w:val="single" w:color="000000" w:sz="4" w:space="0"/>
              <w:right w:val="single" w:color="000000" w:sz="4" w:space="0"/>
            </w:tcBorders>
            <w:vAlign w:val="center"/>
          </w:tcPr>
          <w:p w14:paraId="61DB8C27">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eastAsiaTheme="minorEastAsia"/>
                <w:bCs/>
                <w:kern w:val="0"/>
                <w:sz w:val="21"/>
                <w:szCs w:val="21"/>
                <w:highlight w:val="none"/>
              </w:rPr>
              <w:t>EDMS/AEDT□</w:t>
            </w:r>
          </w:p>
        </w:tc>
        <w:tc>
          <w:tcPr>
            <w:tcW w:w="800" w:type="dxa"/>
            <w:tcBorders>
              <w:top w:val="single" w:color="000000" w:sz="4" w:space="0"/>
              <w:left w:val="single" w:color="000000" w:sz="4" w:space="0"/>
              <w:bottom w:val="single" w:color="000000" w:sz="4" w:space="0"/>
              <w:right w:val="single" w:color="000000" w:sz="4" w:space="0"/>
            </w:tcBorders>
            <w:vAlign w:val="center"/>
          </w:tcPr>
          <w:p w14:paraId="74E90B3F">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eastAsiaTheme="minorEastAsia"/>
                <w:bCs/>
                <w:kern w:val="0"/>
                <w:sz w:val="21"/>
                <w:szCs w:val="21"/>
                <w:highlight w:val="none"/>
              </w:rPr>
              <w:t>CALPUFF□</w:t>
            </w:r>
          </w:p>
        </w:tc>
        <w:tc>
          <w:tcPr>
            <w:tcW w:w="950" w:type="dxa"/>
            <w:gridSpan w:val="3"/>
            <w:tcBorders>
              <w:top w:val="single" w:color="000000" w:sz="4" w:space="0"/>
              <w:left w:val="single" w:color="000000" w:sz="4" w:space="0"/>
              <w:bottom w:val="single" w:color="000000" w:sz="4" w:space="0"/>
              <w:right w:val="single" w:color="000000" w:sz="4" w:space="0"/>
            </w:tcBorders>
            <w:vAlign w:val="center"/>
          </w:tcPr>
          <w:p w14:paraId="2A3092EA">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网格模型</w:t>
            </w:r>
            <w:r>
              <w:rPr>
                <w:rFonts w:hint="default" w:eastAsiaTheme="minorEastAsia"/>
                <w:bCs/>
                <w:kern w:val="0"/>
                <w:sz w:val="21"/>
                <w:szCs w:val="21"/>
                <w:highlight w:val="none"/>
              </w:rPr>
              <w:t>□</w:t>
            </w:r>
          </w:p>
        </w:tc>
        <w:tc>
          <w:tcPr>
            <w:tcW w:w="1037" w:type="dxa"/>
            <w:tcBorders>
              <w:top w:val="single" w:color="000000" w:sz="4" w:space="0"/>
              <w:left w:val="single" w:color="000000" w:sz="4" w:space="0"/>
              <w:bottom w:val="single" w:color="000000" w:sz="4" w:space="0"/>
              <w:right w:val="single" w:color="000000" w:sz="12" w:space="0"/>
            </w:tcBorders>
            <w:vAlign w:val="center"/>
          </w:tcPr>
          <w:p w14:paraId="3CF15E9D">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其他</w:t>
            </w:r>
            <w:r>
              <w:rPr>
                <w:rFonts w:hint="default" w:eastAsiaTheme="minorEastAsia"/>
                <w:bCs/>
                <w:kern w:val="0"/>
                <w:sz w:val="21"/>
                <w:szCs w:val="21"/>
                <w:highlight w:val="none"/>
              </w:rPr>
              <w:t>□</w:t>
            </w:r>
          </w:p>
        </w:tc>
      </w:tr>
      <w:tr w14:paraId="6B8587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22" w:type="dxa"/>
            <w:vMerge w:val="continue"/>
            <w:tcBorders>
              <w:top w:val="single" w:color="000000" w:sz="4" w:space="0"/>
              <w:left w:val="single" w:color="000000" w:sz="12" w:space="0"/>
              <w:bottom w:val="single" w:color="000000" w:sz="4" w:space="0"/>
              <w:right w:val="single" w:color="000000" w:sz="4" w:space="0"/>
            </w:tcBorders>
            <w:vAlign w:val="center"/>
          </w:tcPr>
          <w:p w14:paraId="798061D2">
            <w:pPr>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left"/>
              <w:textAlignment w:val="auto"/>
              <w:rPr>
                <w:rFonts w:hint="default" w:eastAsiaTheme="minorEastAsia"/>
                <w:bCs/>
                <w:kern w:val="0"/>
                <w:sz w:val="21"/>
                <w:szCs w:val="21"/>
                <w:highlight w:val="none"/>
              </w:rPr>
            </w:pPr>
          </w:p>
        </w:tc>
        <w:tc>
          <w:tcPr>
            <w:tcW w:w="1716" w:type="dxa"/>
            <w:tcBorders>
              <w:top w:val="single" w:color="000000" w:sz="4" w:space="0"/>
              <w:left w:val="single" w:color="000000" w:sz="4" w:space="0"/>
              <w:bottom w:val="single" w:color="000000" w:sz="4" w:space="0"/>
              <w:right w:val="single" w:color="000000" w:sz="4" w:space="0"/>
            </w:tcBorders>
            <w:vAlign w:val="center"/>
          </w:tcPr>
          <w:p w14:paraId="50577134">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预测范围</w:t>
            </w:r>
          </w:p>
        </w:tc>
        <w:tc>
          <w:tcPr>
            <w:tcW w:w="1565" w:type="dxa"/>
            <w:gridSpan w:val="6"/>
            <w:tcBorders>
              <w:top w:val="single" w:color="000000" w:sz="4" w:space="0"/>
              <w:left w:val="single" w:color="000000" w:sz="4" w:space="0"/>
              <w:bottom w:val="single" w:color="000000" w:sz="4" w:space="0"/>
              <w:right w:val="single" w:color="000000" w:sz="4" w:space="0"/>
            </w:tcBorders>
            <w:vAlign w:val="center"/>
          </w:tcPr>
          <w:p w14:paraId="360A3646">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边长</w:t>
            </w:r>
            <w:r>
              <w:rPr>
                <w:rFonts w:hint="default" w:eastAsiaTheme="minorEastAsia"/>
                <w:bCs/>
                <w:kern w:val="0"/>
                <w:sz w:val="21"/>
                <w:szCs w:val="21"/>
                <w:highlight w:val="none"/>
              </w:rPr>
              <w:t>≥50km□</w:t>
            </w:r>
          </w:p>
        </w:tc>
        <w:tc>
          <w:tcPr>
            <w:tcW w:w="2850" w:type="dxa"/>
            <w:gridSpan w:val="10"/>
            <w:tcBorders>
              <w:top w:val="single" w:color="000000" w:sz="4" w:space="0"/>
              <w:left w:val="single" w:color="000000" w:sz="4" w:space="0"/>
              <w:bottom w:val="single" w:color="000000" w:sz="4" w:space="0"/>
              <w:right w:val="single" w:color="000000" w:sz="4" w:space="0"/>
            </w:tcBorders>
            <w:vAlign w:val="center"/>
          </w:tcPr>
          <w:p w14:paraId="42E4AFE4">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边长</w:t>
            </w:r>
            <w:r>
              <w:rPr>
                <w:rFonts w:hint="default" w:eastAsiaTheme="minorEastAsia"/>
                <w:bCs/>
                <w:kern w:val="0"/>
                <w:sz w:val="21"/>
                <w:szCs w:val="21"/>
                <w:highlight w:val="none"/>
              </w:rPr>
              <w:t>5~50km□</w:t>
            </w:r>
          </w:p>
        </w:tc>
        <w:tc>
          <w:tcPr>
            <w:tcW w:w="1987" w:type="dxa"/>
            <w:gridSpan w:val="4"/>
            <w:tcBorders>
              <w:top w:val="single" w:color="000000" w:sz="4" w:space="0"/>
              <w:left w:val="single" w:color="000000" w:sz="4" w:space="0"/>
              <w:bottom w:val="single" w:color="000000" w:sz="4" w:space="0"/>
              <w:right w:val="single" w:color="000000" w:sz="12" w:space="0"/>
            </w:tcBorders>
            <w:vAlign w:val="center"/>
          </w:tcPr>
          <w:p w14:paraId="252C8743">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边长</w:t>
            </w:r>
            <w:r>
              <w:rPr>
                <w:rFonts w:hint="default" w:eastAsiaTheme="minorEastAsia"/>
                <w:bCs/>
                <w:kern w:val="0"/>
                <w:sz w:val="21"/>
                <w:szCs w:val="21"/>
                <w:highlight w:val="none"/>
              </w:rPr>
              <w:t>=5km□</w:t>
            </w:r>
          </w:p>
        </w:tc>
      </w:tr>
      <w:tr w14:paraId="4EB0CA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22" w:type="dxa"/>
            <w:vMerge w:val="continue"/>
            <w:tcBorders>
              <w:top w:val="single" w:color="000000" w:sz="4" w:space="0"/>
              <w:left w:val="single" w:color="000000" w:sz="12" w:space="0"/>
              <w:bottom w:val="single" w:color="000000" w:sz="4" w:space="0"/>
              <w:right w:val="single" w:color="000000" w:sz="4" w:space="0"/>
            </w:tcBorders>
            <w:vAlign w:val="center"/>
          </w:tcPr>
          <w:p w14:paraId="47CBBD30">
            <w:pPr>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left"/>
              <w:textAlignment w:val="auto"/>
              <w:rPr>
                <w:rFonts w:hint="default" w:eastAsiaTheme="minorEastAsia"/>
                <w:bCs/>
                <w:kern w:val="0"/>
                <w:sz w:val="21"/>
                <w:szCs w:val="21"/>
                <w:highlight w:val="none"/>
              </w:rPr>
            </w:pPr>
          </w:p>
        </w:tc>
        <w:tc>
          <w:tcPr>
            <w:tcW w:w="1716" w:type="dxa"/>
            <w:tcBorders>
              <w:top w:val="single" w:color="000000" w:sz="4" w:space="0"/>
              <w:left w:val="single" w:color="000000" w:sz="4" w:space="0"/>
              <w:bottom w:val="single" w:color="000000" w:sz="4" w:space="0"/>
              <w:right w:val="single" w:color="000000" w:sz="4" w:space="0"/>
            </w:tcBorders>
            <w:vAlign w:val="center"/>
          </w:tcPr>
          <w:p w14:paraId="121EB735">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预测因子</w:t>
            </w:r>
          </w:p>
        </w:tc>
        <w:tc>
          <w:tcPr>
            <w:tcW w:w="3466" w:type="dxa"/>
            <w:gridSpan w:val="12"/>
            <w:tcBorders>
              <w:top w:val="single" w:color="000000" w:sz="4" w:space="0"/>
              <w:left w:val="single" w:color="000000" w:sz="4" w:space="0"/>
              <w:bottom w:val="single" w:color="000000" w:sz="4" w:space="0"/>
              <w:right w:val="single" w:color="000000" w:sz="4" w:space="0"/>
            </w:tcBorders>
            <w:vAlign w:val="center"/>
          </w:tcPr>
          <w:p w14:paraId="3F72EA31">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预测因子（）</w:t>
            </w:r>
          </w:p>
        </w:tc>
        <w:tc>
          <w:tcPr>
            <w:tcW w:w="2936" w:type="dxa"/>
            <w:gridSpan w:val="8"/>
            <w:tcBorders>
              <w:top w:val="single" w:color="000000" w:sz="4" w:space="0"/>
              <w:left w:val="single" w:color="auto" w:sz="4" w:space="0"/>
              <w:bottom w:val="single" w:color="000000" w:sz="4" w:space="0"/>
              <w:right w:val="single" w:color="000000" w:sz="12" w:space="0"/>
            </w:tcBorders>
            <w:vAlign w:val="center"/>
          </w:tcPr>
          <w:p w14:paraId="73FA68DE">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包括二次</w:t>
            </w:r>
            <w:r>
              <w:rPr>
                <w:rFonts w:hint="default" w:eastAsiaTheme="minorEastAsia"/>
                <w:bCs/>
                <w:kern w:val="0"/>
                <w:sz w:val="21"/>
                <w:szCs w:val="21"/>
                <w:highlight w:val="none"/>
              </w:rPr>
              <w:t>PM</w:t>
            </w:r>
            <w:r>
              <w:rPr>
                <w:rFonts w:hint="default" w:eastAsiaTheme="minorEastAsia"/>
                <w:bCs/>
                <w:kern w:val="0"/>
                <w:sz w:val="21"/>
                <w:szCs w:val="21"/>
                <w:highlight w:val="none"/>
                <w:vertAlign w:val="subscript"/>
              </w:rPr>
              <w:t>2.5</w:t>
            </w:r>
            <w:r>
              <w:rPr>
                <w:rFonts w:hint="default" w:eastAsiaTheme="minorEastAsia"/>
                <w:bCs/>
                <w:kern w:val="0"/>
                <w:sz w:val="21"/>
                <w:szCs w:val="21"/>
                <w:highlight w:val="none"/>
              </w:rPr>
              <w:t>□</w:t>
            </w:r>
          </w:p>
          <w:p w14:paraId="50BE7EA6">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不包括二次</w:t>
            </w:r>
            <w:r>
              <w:rPr>
                <w:rFonts w:hint="default" w:eastAsiaTheme="minorEastAsia"/>
                <w:bCs/>
                <w:kern w:val="0"/>
                <w:sz w:val="21"/>
                <w:szCs w:val="21"/>
                <w:highlight w:val="none"/>
              </w:rPr>
              <w:t>PM</w:t>
            </w:r>
            <w:r>
              <w:rPr>
                <w:rFonts w:hint="default" w:eastAsiaTheme="minorEastAsia"/>
                <w:bCs/>
                <w:kern w:val="0"/>
                <w:sz w:val="21"/>
                <w:szCs w:val="21"/>
                <w:highlight w:val="none"/>
                <w:vertAlign w:val="subscript"/>
              </w:rPr>
              <w:t>2.5</w:t>
            </w:r>
            <w:r>
              <w:rPr>
                <w:rFonts w:hint="default" w:eastAsiaTheme="minorEastAsia"/>
                <w:bCs/>
                <w:kern w:val="0"/>
                <w:sz w:val="21"/>
                <w:szCs w:val="21"/>
                <w:highlight w:val="none"/>
              </w:rPr>
              <w:t>□</w:t>
            </w:r>
          </w:p>
        </w:tc>
      </w:tr>
      <w:tr w14:paraId="03BAD0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22" w:type="dxa"/>
            <w:vMerge w:val="continue"/>
            <w:tcBorders>
              <w:top w:val="single" w:color="000000" w:sz="4" w:space="0"/>
              <w:left w:val="single" w:color="000000" w:sz="12" w:space="0"/>
              <w:bottom w:val="single" w:color="000000" w:sz="4" w:space="0"/>
              <w:right w:val="single" w:color="000000" w:sz="4" w:space="0"/>
            </w:tcBorders>
            <w:vAlign w:val="center"/>
          </w:tcPr>
          <w:p w14:paraId="3F152B6D">
            <w:pPr>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left"/>
              <w:textAlignment w:val="auto"/>
              <w:rPr>
                <w:rFonts w:hint="default" w:eastAsiaTheme="minorEastAsia"/>
                <w:bCs/>
                <w:kern w:val="0"/>
                <w:sz w:val="21"/>
                <w:szCs w:val="21"/>
                <w:highlight w:val="none"/>
              </w:rPr>
            </w:pPr>
          </w:p>
        </w:tc>
        <w:tc>
          <w:tcPr>
            <w:tcW w:w="1716" w:type="dxa"/>
            <w:tcBorders>
              <w:top w:val="single" w:color="000000" w:sz="4" w:space="0"/>
              <w:left w:val="single" w:color="000000" w:sz="4" w:space="0"/>
              <w:bottom w:val="single" w:color="000000" w:sz="4" w:space="0"/>
              <w:right w:val="single" w:color="000000" w:sz="4" w:space="0"/>
            </w:tcBorders>
            <w:vAlign w:val="center"/>
          </w:tcPr>
          <w:p w14:paraId="2B628B08">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正常排放短期浓度贡献值</w:t>
            </w:r>
          </w:p>
        </w:tc>
        <w:tc>
          <w:tcPr>
            <w:tcW w:w="3466" w:type="dxa"/>
            <w:gridSpan w:val="12"/>
            <w:tcBorders>
              <w:top w:val="single" w:color="000000" w:sz="4" w:space="0"/>
              <w:left w:val="single" w:color="000000" w:sz="4" w:space="0"/>
              <w:bottom w:val="single" w:color="000000" w:sz="4" w:space="0"/>
              <w:right w:val="single" w:color="000000" w:sz="4" w:space="0"/>
            </w:tcBorders>
            <w:vAlign w:val="center"/>
          </w:tcPr>
          <w:p w14:paraId="32B54DDE">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eastAsiaTheme="minorEastAsia"/>
                <w:bCs/>
                <w:kern w:val="0"/>
                <w:sz w:val="21"/>
                <w:szCs w:val="21"/>
                <w:highlight w:val="none"/>
              </w:rPr>
              <w:t>C</w:t>
            </w:r>
            <w:r>
              <w:rPr>
                <w:rFonts w:hint="default" w:hAnsiTheme="minorEastAsia" w:eastAsiaTheme="minorEastAsia"/>
                <w:bCs/>
                <w:kern w:val="0"/>
                <w:sz w:val="21"/>
                <w:szCs w:val="21"/>
                <w:highlight w:val="none"/>
                <w:vertAlign w:val="subscript"/>
              </w:rPr>
              <w:t>本项目</w:t>
            </w:r>
            <w:r>
              <w:rPr>
                <w:rFonts w:hint="default" w:hAnsiTheme="minorEastAsia" w:eastAsiaTheme="minorEastAsia"/>
                <w:bCs/>
                <w:kern w:val="0"/>
                <w:sz w:val="21"/>
                <w:szCs w:val="21"/>
                <w:highlight w:val="none"/>
              </w:rPr>
              <w:t>最大占标率</w:t>
            </w:r>
            <w:r>
              <w:rPr>
                <w:rFonts w:hint="default" w:eastAsiaTheme="minorEastAsia"/>
                <w:bCs/>
                <w:kern w:val="0"/>
                <w:sz w:val="21"/>
                <w:szCs w:val="21"/>
                <w:highlight w:val="none"/>
              </w:rPr>
              <w:t>≤100%□</w:t>
            </w:r>
          </w:p>
        </w:tc>
        <w:tc>
          <w:tcPr>
            <w:tcW w:w="2936" w:type="dxa"/>
            <w:gridSpan w:val="8"/>
            <w:tcBorders>
              <w:top w:val="single" w:color="000000" w:sz="4" w:space="0"/>
              <w:left w:val="single" w:color="auto" w:sz="4" w:space="0"/>
              <w:bottom w:val="single" w:color="000000" w:sz="4" w:space="0"/>
              <w:right w:val="single" w:color="000000" w:sz="12" w:space="0"/>
            </w:tcBorders>
            <w:vAlign w:val="center"/>
          </w:tcPr>
          <w:p w14:paraId="0A47E39A">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eastAsiaTheme="minorEastAsia"/>
                <w:bCs/>
                <w:kern w:val="0"/>
                <w:sz w:val="21"/>
                <w:szCs w:val="21"/>
                <w:highlight w:val="none"/>
              </w:rPr>
              <w:t>C</w:t>
            </w:r>
            <w:r>
              <w:rPr>
                <w:rFonts w:hint="default" w:hAnsiTheme="minorEastAsia" w:eastAsiaTheme="minorEastAsia"/>
                <w:bCs/>
                <w:kern w:val="0"/>
                <w:sz w:val="21"/>
                <w:szCs w:val="21"/>
                <w:highlight w:val="none"/>
                <w:vertAlign w:val="subscript"/>
              </w:rPr>
              <w:t>本项目</w:t>
            </w:r>
            <w:r>
              <w:rPr>
                <w:rFonts w:hint="default" w:hAnsiTheme="minorEastAsia" w:eastAsiaTheme="minorEastAsia"/>
                <w:bCs/>
                <w:kern w:val="0"/>
                <w:sz w:val="21"/>
                <w:szCs w:val="21"/>
                <w:highlight w:val="none"/>
              </w:rPr>
              <w:t>最大占标率</w:t>
            </w:r>
            <w:r>
              <w:rPr>
                <w:rFonts w:hint="default" w:eastAsiaTheme="minorEastAsia"/>
                <w:bCs/>
                <w:kern w:val="0"/>
                <w:sz w:val="21"/>
                <w:szCs w:val="21"/>
                <w:highlight w:val="none"/>
              </w:rPr>
              <w:t>&gt;100%□</w:t>
            </w:r>
          </w:p>
        </w:tc>
      </w:tr>
      <w:tr w14:paraId="75D964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22" w:type="dxa"/>
            <w:vMerge w:val="continue"/>
            <w:tcBorders>
              <w:top w:val="single" w:color="000000" w:sz="4" w:space="0"/>
              <w:left w:val="single" w:color="000000" w:sz="12" w:space="0"/>
              <w:bottom w:val="single" w:color="000000" w:sz="4" w:space="0"/>
              <w:right w:val="single" w:color="000000" w:sz="4" w:space="0"/>
            </w:tcBorders>
            <w:vAlign w:val="center"/>
          </w:tcPr>
          <w:p w14:paraId="1D9DC6FE">
            <w:pPr>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left"/>
              <w:textAlignment w:val="auto"/>
              <w:rPr>
                <w:rFonts w:hint="default" w:eastAsiaTheme="minorEastAsia"/>
                <w:bCs/>
                <w:kern w:val="0"/>
                <w:sz w:val="21"/>
                <w:szCs w:val="21"/>
                <w:highlight w:val="none"/>
              </w:rPr>
            </w:pPr>
          </w:p>
        </w:tc>
        <w:tc>
          <w:tcPr>
            <w:tcW w:w="1716" w:type="dxa"/>
            <w:vMerge w:val="restart"/>
            <w:tcBorders>
              <w:top w:val="single" w:color="000000" w:sz="4" w:space="0"/>
              <w:left w:val="single" w:color="000000" w:sz="4" w:space="0"/>
              <w:bottom w:val="single" w:color="000000" w:sz="4" w:space="0"/>
              <w:right w:val="single" w:color="000000" w:sz="4" w:space="0"/>
            </w:tcBorders>
            <w:vAlign w:val="center"/>
          </w:tcPr>
          <w:p w14:paraId="67278920">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正常排放年均浓度贡献值</w:t>
            </w:r>
          </w:p>
        </w:tc>
        <w:tc>
          <w:tcPr>
            <w:tcW w:w="899" w:type="dxa"/>
            <w:tcBorders>
              <w:top w:val="single" w:color="000000" w:sz="4" w:space="0"/>
              <w:left w:val="single" w:color="000000" w:sz="4" w:space="0"/>
              <w:bottom w:val="single" w:color="000000" w:sz="4" w:space="0"/>
              <w:right w:val="single" w:color="000000" w:sz="4" w:space="0"/>
            </w:tcBorders>
            <w:vAlign w:val="center"/>
          </w:tcPr>
          <w:p w14:paraId="14021FA7">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一类区</w:t>
            </w:r>
          </w:p>
        </w:tc>
        <w:tc>
          <w:tcPr>
            <w:tcW w:w="2576" w:type="dxa"/>
            <w:gridSpan w:val="12"/>
            <w:tcBorders>
              <w:top w:val="single" w:color="000000" w:sz="4" w:space="0"/>
              <w:left w:val="single" w:color="000000" w:sz="4" w:space="0"/>
              <w:bottom w:val="single" w:color="000000" w:sz="4" w:space="0"/>
              <w:right w:val="single" w:color="000000" w:sz="4" w:space="0"/>
            </w:tcBorders>
            <w:vAlign w:val="center"/>
          </w:tcPr>
          <w:p w14:paraId="31A546A5">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eastAsiaTheme="minorEastAsia"/>
                <w:bCs/>
                <w:kern w:val="0"/>
                <w:sz w:val="21"/>
                <w:szCs w:val="21"/>
                <w:highlight w:val="none"/>
              </w:rPr>
              <w:t>C</w:t>
            </w:r>
            <w:r>
              <w:rPr>
                <w:rFonts w:hint="default" w:hAnsiTheme="minorEastAsia" w:eastAsiaTheme="minorEastAsia"/>
                <w:bCs/>
                <w:kern w:val="0"/>
                <w:sz w:val="21"/>
                <w:szCs w:val="21"/>
                <w:highlight w:val="none"/>
                <w:vertAlign w:val="subscript"/>
              </w:rPr>
              <w:t>本项目</w:t>
            </w:r>
            <w:r>
              <w:rPr>
                <w:rFonts w:hint="default" w:hAnsiTheme="minorEastAsia" w:eastAsiaTheme="minorEastAsia"/>
                <w:bCs/>
                <w:kern w:val="0"/>
                <w:sz w:val="21"/>
                <w:szCs w:val="21"/>
                <w:highlight w:val="none"/>
              </w:rPr>
              <w:t>最大占标率</w:t>
            </w:r>
            <w:r>
              <w:rPr>
                <w:rFonts w:hint="default" w:eastAsiaTheme="minorEastAsia"/>
                <w:bCs/>
                <w:kern w:val="0"/>
                <w:sz w:val="21"/>
                <w:szCs w:val="21"/>
                <w:highlight w:val="none"/>
              </w:rPr>
              <w:t>≤10%□</w:t>
            </w:r>
          </w:p>
        </w:tc>
        <w:tc>
          <w:tcPr>
            <w:tcW w:w="2927" w:type="dxa"/>
            <w:gridSpan w:val="7"/>
            <w:tcBorders>
              <w:top w:val="single" w:color="000000" w:sz="4" w:space="0"/>
              <w:left w:val="single" w:color="000000" w:sz="4" w:space="0"/>
              <w:bottom w:val="single" w:color="000000" w:sz="4" w:space="0"/>
              <w:right w:val="single" w:color="000000" w:sz="12" w:space="0"/>
            </w:tcBorders>
            <w:vAlign w:val="center"/>
          </w:tcPr>
          <w:p w14:paraId="05C86485">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eastAsiaTheme="minorEastAsia"/>
                <w:bCs/>
                <w:kern w:val="0"/>
                <w:sz w:val="21"/>
                <w:szCs w:val="21"/>
                <w:highlight w:val="none"/>
              </w:rPr>
              <w:t>C</w:t>
            </w:r>
            <w:r>
              <w:rPr>
                <w:rFonts w:hint="default" w:hAnsiTheme="minorEastAsia" w:eastAsiaTheme="minorEastAsia"/>
                <w:bCs/>
                <w:kern w:val="0"/>
                <w:sz w:val="21"/>
                <w:szCs w:val="21"/>
                <w:highlight w:val="none"/>
                <w:vertAlign w:val="subscript"/>
              </w:rPr>
              <w:t>本项目</w:t>
            </w:r>
            <w:r>
              <w:rPr>
                <w:rFonts w:hint="default" w:hAnsiTheme="minorEastAsia" w:eastAsiaTheme="minorEastAsia"/>
                <w:bCs/>
                <w:kern w:val="0"/>
                <w:sz w:val="21"/>
                <w:szCs w:val="21"/>
                <w:highlight w:val="none"/>
              </w:rPr>
              <w:t>最大占标率</w:t>
            </w:r>
            <w:r>
              <w:rPr>
                <w:rFonts w:hint="default" w:eastAsiaTheme="minorEastAsia"/>
                <w:bCs/>
                <w:kern w:val="0"/>
                <w:sz w:val="21"/>
                <w:szCs w:val="21"/>
                <w:highlight w:val="none"/>
              </w:rPr>
              <w:t>&gt;10%□</w:t>
            </w:r>
          </w:p>
        </w:tc>
      </w:tr>
      <w:tr w14:paraId="1EAE65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22" w:type="dxa"/>
            <w:vMerge w:val="continue"/>
            <w:tcBorders>
              <w:top w:val="single" w:color="000000" w:sz="4" w:space="0"/>
              <w:left w:val="single" w:color="000000" w:sz="12" w:space="0"/>
              <w:bottom w:val="single" w:color="000000" w:sz="4" w:space="0"/>
              <w:right w:val="single" w:color="000000" w:sz="4" w:space="0"/>
            </w:tcBorders>
            <w:vAlign w:val="center"/>
          </w:tcPr>
          <w:p w14:paraId="25E3E6A2">
            <w:pPr>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left"/>
              <w:textAlignment w:val="auto"/>
              <w:rPr>
                <w:rFonts w:hint="default" w:eastAsiaTheme="minorEastAsia"/>
                <w:bCs/>
                <w:kern w:val="0"/>
                <w:sz w:val="21"/>
                <w:szCs w:val="21"/>
                <w:highlight w:val="none"/>
              </w:rPr>
            </w:pPr>
          </w:p>
        </w:tc>
        <w:tc>
          <w:tcPr>
            <w:tcW w:w="1716" w:type="dxa"/>
            <w:vMerge w:val="continue"/>
            <w:tcBorders>
              <w:top w:val="single" w:color="000000" w:sz="4" w:space="0"/>
              <w:left w:val="single" w:color="000000" w:sz="4" w:space="0"/>
              <w:bottom w:val="single" w:color="000000" w:sz="4" w:space="0"/>
              <w:right w:val="single" w:color="000000" w:sz="4" w:space="0"/>
            </w:tcBorders>
            <w:vAlign w:val="center"/>
          </w:tcPr>
          <w:p w14:paraId="2D26A2FA">
            <w:pPr>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left"/>
              <w:textAlignment w:val="auto"/>
              <w:rPr>
                <w:rFonts w:hint="default" w:eastAsiaTheme="minorEastAsia"/>
                <w:bCs/>
                <w:kern w:val="0"/>
                <w:sz w:val="21"/>
                <w:szCs w:val="21"/>
                <w:highlight w:val="none"/>
              </w:rPr>
            </w:pPr>
          </w:p>
        </w:tc>
        <w:tc>
          <w:tcPr>
            <w:tcW w:w="899" w:type="dxa"/>
            <w:tcBorders>
              <w:top w:val="single" w:color="000000" w:sz="4" w:space="0"/>
              <w:left w:val="single" w:color="000000" w:sz="4" w:space="0"/>
              <w:bottom w:val="single" w:color="000000" w:sz="4" w:space="0"/>
              <w:right w:val="single" w:color="000000" w:sz="4" w:space="0"/>
            </w:tcBorders>
            <w:vAlign w:val="center"/>
          </w:tcPr>
          <w:p w14:paraId="4297DCE7">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二类区</w:t>
            </w:r>
          </w:p>
        </w:tc>
        <w:tc>
          <w:tcPr>
            <w:tcW w:w="2576" w:type="dxa"/>
            <w:gridSpan w:val="12"/>
            <w:tcBorders>
              <w:top w:val="single" w:color="000000" w:sz="4" w:space="0"/>
              <w:left w:val="single" w:color="000000" w:sz="4" w:space="0"/>
              <w:bottom w:val="single" w:color="000000" w:sz="4" w:space="0"/>
              <w:right w:val="single" w:color="000000" w:sz="4" w:space="0"/>
            </w:tcBorders>
            <w:vAlign w:val="center"/>
          </w:tcPr>
          <w:p w14:paraId="2771A50D">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eastAsiaTheme="minorEastAsia"/>
                <w:bCs/>
                <w:kern w:val="0"/>
                <w:sz w:val="21"/>
                <w:szCs w:val="21"/>
                <w:highlight w:val="none"/>
              </w:rPr>
              <w:t>C</w:t>
            </w:r>
            <w:r>
              <w:rPr>
                <w:rFonts w:hint="default" w:hAnsiTheme="minorEastAsia" w:eastAsiaTheme="minorEastAsia"/>
                <w:bCs/>
                <w:kern w:val="0"/>
                <w:sz w:val="21"/>
                <w:szCs w:val="21"/>
                <w:highlight w:val="none"/>
                <w:vertAlign w:val="subscript"/>
              </w:rPr>
              <w:t>本项目</w:t>
            </w:r>
            <w:r>
              <w:rPr>
                <w:rFonts w:hint="default" w:hAnsiTheme="minorEastAsia" w:eastAsiaTheme="minorEastAsia"/>
                <w:bCs/>
                <w:kern w:val="0"/>
                <w:sz w:val="21"/>
                <w:szCs w:val="21"/>
                <w:highlight w:val="none"/>
              </w:rPr>
              <w:t>最大占标率</w:t>
            </w:r>
            <w:r>
              <w:rPr>
                <w:rFonts w:hint="default" w:eastAsiaTheme="minorEastAsia"/>
                <w:bCs/>
                <w:kern w:val="0"/>
                <w:sz w:val="21"/>
                <w:szCs w:val="21"/>
                <w:highlight w:val="none"/>
              </w:rPr>
              <w:t>≤30%□</w:t>
            </w:r>
          </w:p>
        </w:tc>
        <w:tc>
          <w:tcPr>
            <w:tcW w:w="2927" w:type="dxa"/>
            <w:gridSpan w:val="7"/>
            <w:tcBorders>
              <w:top w:val="single" w:color="000000" w:sz="4" w:space="0"/>
              <w:left w:val="single" w:color="000000" w:sz="4" w:space="0"/>
              <w:bottom w:val="single" w:color="000000" w:sz="4" w:space="0"/>
              <w:right w:val="single" w:color="000000" w:sz="12" w:space="0"/>
            </w:tcBorders>
            <w:vAlign w:val="center"/>
          </w:tcPr>
          <w:p w14:paraId="493C93AF">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eastAsiaTheme="minorEastAsia"/>
                <w:bCs/>
                <w:kern w:val="0"/>
                <w:sz w:val="21"/>
                <w:szCs w:val="21"/>
                <w:highlight w:val="none"/>
              </w:rPr>
              <w:t>C</w:t>
            </w:r>
            <w:r>
              <w:rPr>
                <w:rFonts w:hint="default" w:hAnsiTheme="minorEastAsia" w:eastAsiaTheme="minorEastAsia"/>
                <w:bCs/>
                <w:kern w:val="0"/>
                <w:sz w:val="21"/>
                <w:szCs w:val="21"/>
                <w:highlight w:val="none"/>
                <w:vertAlign w:val="subscript"/>
              </w:rPr>
              <w:t>本项目</w:t>
            </w:r>
            <w:r>
              <w:rPr>
                <w:rFonts w:hint="default" w:hAnsiTheme="minorEastAsia" w:eastAsiaTheme="minorEastAsia"/>
                <w:bCs/>
                <w:kern w:val="0"/>
                <w:sz w:val="21"/>
                <w:szCs w:val="21"/>
                <w:highlight w:val="none"/>
              </w:rPr>
              <w:t>最大占标率</w:t>
            </w:r>
            <w:r>
              <w:rPr>
                <w:rFonts w:hint="default" w:eastAsiaTheme="minorEastAsia"/>
                <w:bCs/>
                <w:kern w:val="0"/>
                <w:sz w:val="21"/>
                <w:szCs w:val="21"/>
                <w:highlight w:val="none"/>
              </w:rPr>
              <w:t>&gt;30%□</w:t>
            </w:r>
          </w:p>
        </w:tc>
      </w:tr>
      <w:tr w14:paraId="07B000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22" w:type="dxa"/>
            <w:vMerge w:val="continue"/>
            <w:tcBorders>
              <w:top w:val="single" w:color="000000" w:sz="4" w:space="0"/>
              <w:left w:val="single" w:color="000000" w:sz="12" w:space="0"/>
              <w:bottom w:val="single" w:color="000000" w:sz="4" w:space="0"/>
              <w:right w:val="single" w:color="000000" w:sz="4" w:space="0"/>
            </w:tcBorders>
            <w:vAlign w:val="center"/>
          </w:tcPr>
          <w:p w14:paraId="623BD6F9">
            <w:pPr>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left"/>
              <w:textAlignment w:val="auto"/>
              <w:rPr>
                <w:rFonts w:hint="default" w:eastAsiaTheme="minorEastAsia"/>
                <w:bCs/>
                <w:kern w:val="0"/>
                <w:sz w:val="21"/>
                <w:szCs w:val="21"/>
                <w:highlight w:val="none"/>
              </w:rPr>
            </w:pPr>
          </w:p>
        </w:tc>
        <w:tc>
          <w:tcPr>
            <w:tcW w:w="1716" w:type="dxa"/>
            <w:tcBorders>
              <w:top w:val="single" w:color="000000" w:sz="4" w:space="0"/>
              <w:left w:val="single" w:color="000000" w:sz="4" w:space="0"/>
              <w:bottom w:val="single" w:color="000000" w:sz="4" w:space="0"/>
              <w:right w:val="single" w:color="000000" w:sz="4" w:space="0"/>
            </w:tcBorders>
            <w:vAlign w:val="center"/>
          </w:tcPr>
          <w:p w14:paraId="7085C50F">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非正常排放</w:t>
            </w:r>
            <w:r>
              <w:rPr>
                <w:rFonts w:hint="default" w:eastAsiaTheme="minorEastAsia"/>
                <w:bCs/>
                <w:kern w:val="0"/>
                <w:sz w:val="21"/>
                <w:szCs w:val="21"/>
                <w:highlight w:val="none"/>
              </w:rPr>
              <w:t>1h</w:t>
            </w:r>
            <w:r>
              <w:rPr>
                <w:rFonts w:hint="default" w:hAnsiTheme="minorEastAsia" w:eastAsiaTheme="minorEastAsia"/>
                <w:bCs/>
                <w:kern w:val="0"/>
                <w:sz w:val="21"/>
                <w:szCs w:val="21"/>
                <w:highlight w:val="none"/>
              </w:rPr>
              <w:t>浓度贡献值</w:t>
            </w:r>
          </w:p>
        </w:tc>
        <w:tc>
          <w:tcPr>
            <w:tcW w:w="1301" w:type="dxa"/>
            <w:gridSpan w:val="3"/>
            <w:tcBorders>
              <w:top w:val="single" w:color="000000" w:sz="4" w:space="0"/>
              <w:left w:val="single" w:color="000000" w:sz="4" w:space="0"/>
              <w:bottom w:val="single" w:color="000000" w:sz="4" w:space="0"/>
              <w:right w:val="single" w:color="000000" w:sz="4" w:space="0"/>
            </w:tcBorders>
            <w:vAlign w:val="center"/>
          </w:tcPr>
          <w:p w14:paraId="7F07B4A8">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非正常持续时长（）</w:t>
            </w:r>
            <w:r>
              <w:rPr>
                <w:rFonts w:hint="default" w:eastAsiaTheme="minorEastAsia"/>
                <w:bCs/>
                <w:kern w:val="0"/>
                <w:sz w:val="21"/>
                <w:szCs w:val="21"/>
                <w:highlight w:val="none"/>
              </w:rPr>
              <w:t>h</w:t>
            </w:r>
          </w:p>
        </w:tc>
        <w:tc>
          <w:tcPr>
            <w:tcW w:w="2174" w:type="dxa"/>
            <w:gridSpan w:val="10"/>
            <w:tcBorders>
              <w:top w:val="single" w:color="000000" w:sz="4" w:space="0"/>
              <w:left w:val="single" w:color="000000" w:sz="4" w:space="0"/>
              <w:bottom w:val="single" w:color="000000" w:sz="4" w:space="0"/>
              <w:right w:val="single" w:color="000000" w:sz="4" w:space="0"/>
            </w:tcBorders>
            <w:vAlign w:val="center"/>
          </w:tcPr>
          <w:p w14:paraId="3A9BF9E7">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eastAsiaTheme="minorEastAsia"/>
                <w:bCs/>
                <w:kern w:val="0"/>
                <w:sz w:val="21"/>
                <w:szCs w:val="21"/>
                <w:highlight w:val="none"/>
              </w:rPr>
              <w:t>C</w:t>
            </w:r>
            <w:r>
              <w:rPr>
                <w:rFonts w:hint="default" w:hAnsiTheme="minorEastAsia" w:eastAsiaTheme="minorEastAsia"/>
                <w:bCs/>
                <w:kern w:val="0"/>
                <w:sz w:val="21"/>
                <w:szCs w:val="21"/>
                <w:highlight w:val="none"/>
                <w:vertAlign w:val="subscript"/>
              </w:rPr>
              <w:t>非正常</w:t>
            </w:r>
            <w:r>
              <w:rPr>
                <w:rFonts w:hint="default" w:hAnsiTheme="minorEastAsia" w:eastAsiaTheme="minorEastAsia"/>
                <w:bCs/>
                <w:kern w:val="0"/>
                <w:sz w:val="21"/>
                <w:szCs w:val="21"/>
                <w:highlight w:val="none"/>
              </w:rPr>
              <w:t>占标率</w:t>
            </w:r>
            <w:r>
              <w:rPr>
                <w:rFonts w:hint="default" w:eastAsiaTheme="minorEastAsia"/>
                <w:bCs/>
                <w:kern w:val="0"/>
                <w:sz w:val="21"/>
                <w:szCs w:val="21"/>
                <w:highlight w:val="none"/>
              </w:rPr>
              <w:t>≤100%□</w:t>
            </w:r>
          </w:p>
        </w:tc>
        <w:tc>
          <w:tcPr>
            <w:tcW w:w="2927" w:type="dxa"/>
            <w:gridSpan w:val="7"/>
            <w:tcBorders>
              <w:top w:val="single" w:color="000000" w:sz="4" w:space="0"/>
              <w:left w:val="single" w:color="000000" w:sz="4" w:space="0"/>
              <w:bottom w:val="single" w:color="000000" w:sz="4" w:space="0"/>
              <w:right w:val="single" w:color="000000" w:sz="12" w:space="0"/>
            </w:tcBorders>
            <w:vAlign w:val="center"/>
          </w:tcPr>
          <w:p w14:paraId="280FD9BD">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eastAsiaTheme="minorEastAsia"/>
                <w:bCs/>
                <w:kern w:val="0"/>
                <w:sz w:val="21"/>
                <w:szCs w:val="21"/>
                <w:highlight w:val="none"/>
              </w:rPr>
              <w:t>C</w:t>
            </w:r>
            <w:r>
              <w:rPr>
                <w:rFonts w:hint="default" w:hAnsiTheme="minorEastAsia" w:eastAsiaTheme="minorEastAsia"/>
                <w:bCs/>
                <w:kern w:val="0"/>
                <w:sz w:val="21"/>
                <w:szCs w:val="21"/>
                <w:highlight w:val="none"/>
                <w:vertAlign w:val="subscript"/>
              </w:rPr>
              <w:t>非正常</w:t>
            </w:r>
            <w:r>
              <w:rPr>
                <w:rFonts w:hint="default" w:hAnsiTheme="minorEastAsia" w:eastAsiaTheme="minorEastAsia"/>
                <w:bCs/>
                <w:kern w:val="0"/>
                <w:sz w:val="21"/>
                <w:szCs w:val="21"/>
                <w:highlight w:val="none"/>
              </w:rPr>
              <w:t>占标率</w:t>
            </w:r>
            <w:r>
              <w:rPr>
                <w:rFonts w:hint="default" w:eastAsiaTheme="minorEastAsia"/>
                <w:bCs/>
                <w:kern w:val="0"/>
                <w:sz w:val="21"/>
                <w:szCs w:val="21"/>
                <w:highlight w:val="none"/>
              </w:rPr>
              <w:t>&gt;100%□</w:t>
            </w:r>
          </w:p>
        </w:tc>
      </w:tr>
      <w:tr w14:paraId="3592FD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22" w:type="dxa"/>
            <w:vMerge w:val="continue"/>
            <w:tcBorders>
              <w:top w:val="single" w:color="000000" w:sz="4" w:space="0"/>
              <w:left w:val="single" w:color="000000" w:sz="12" w:space="0"/>
              <w:bottom w:val="single" w:color="000000" w:sz="4" w:space="0"/>
              <w:right w:val="single" w:color="000000" w:sz="4" w:space="0"/>
            </w:tcBorders>
            <w:vAlign w:val="center"/>
          </w:tcPr>
          <w:p w14:paraId="7269E68A">
            <w:pPr>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left"/>
              <w:textAlignment w:val="auto"/>
              <w:rPr>
                <w:rFonts w:hint="default" w:eastAsiaTheme="minorEastAsia"/>
                <w:bCs/>
                <w:kern w:val="0"/>
                <w:sz w:val="21"/>
                <w:szCs w:val="21"/>
                <w:highlight w:val="none"/>
              </w:rPr>
            </w:pPr>
          </w:p>
        </w:tc>
        <w:tc>
          <w:tcPr>
            <w:tcW w:w="1716" w:type="dxa"/>
            <w:tcBorders>
              <w:top w:val="single" w:color="000000" w:sz="4" w:space="0"/>
              <w:left w:val="single" w:color="000000" w:sz="4" w:space="0"/>
              <w:bottom w:val="single" w:color="000000" w:sz="4" w:space="0"/>
              <w:right w:val="single" w:color="000000" w:sz="4" w:space="0"/>
            </w:tcBorders>
            <w:vAlign w:val="center"/>
          </w:tcPr>
          <w:p w14:paraId="1BFFD14E">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保证率日平均浓度和年平均浓度叠加值</w:t>
            </w:r>
          </w:p>
        </w:tc>
        <w:tc>
          <w:tcPr>
            <w:tcW w:w="2791" w:type="dxa"/>
            <w:gridSpan w:val="10"/>
            <w:tcBorders>
              <w:top w:val="single" w:color="000000" w:sz="4" w:space="0"/>
              <w:left w:val="single" w:color="000000" w:sz="4" w:space="0"/>
              <w:bottom w:val="single" w:color="000000" w:sz="4" w:space="0"/>
              <w:right w:val="single" w:color="000000" w:sz="4" w:space="0"/>
            </w:tcBorders>
            <w:vAlign w:val="center"/>
          </w:tcPr>
          <w:p w14:paraId="5C63F05B">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eastAsiaTheme="minorEastAsia"/>
                <w:bCs/>
                <w:kern w:val="0"/>
                <w:sz w:val="21"/>
                <w:szCs w:val="21"/>
                <w:highlight w:val="none"/>
              </w:rPr>
              <w:t>C</w:t>
            </w:r>
            <w:r>
              <w:rPr>
                <w:rFonts w:hint="default" w:hAnsiTheme="minorEastAsia" w:eastAsiaTheme="minorEastAsia"/>
                <w:bCs/>
                <w:kern w:val="0"/>
                <w:sz w:val="21"/>
                <w:szCs w:val="21"/>
                <w:highlight w:val="none"/>
                <w:vertAlign w:val="subscript"/>
              </w:rPr>
              <w:t>叠加</w:t>
            </w:r>
            <w:r>
              <w:rPr>
                <w:rFonts w:hint="default" w:hAnsiTheme="minorEastAsia" w:eastAsiaTheme="minorEastAsia"/>
                <w:bCs/>
                <w:kern w:val="0"/>
                <w:sz w:val="21"/>
                <w:szCs w:val="21"/>
                <w:highlight w:val="none"/>
              </w:rPr>
              <w:t>达标</w:t>
            </w:r>
            <w:r>
              <w:rPr>
                <w:rFonts w:hint="default" w:eastAsiaTheme="minorEastAsia"/>
                <w:bCs/>
                <w:kern w:val="0"/>
                <w:sz w:val="21"/>
                <w:szCs w:val="21"/>
                <w:highlight w:val="none"/>
              </w:rPr>
              <w:t>□</w:t>
            </w:r>
          </w:p>
        </w:tc>
        <w:tc>
          <w:tcPr>
            <w:tcW w:w="3611" w:type="dxa"/>
            <w:gridSpan w:val="10"/>
            <w:tcBorders>
              <w:top w:val="single" w:color="000000" w:sz="4" w:space="0"/>
              <w:left w:val="single" w:color="000000" w:sz="4" w:space="0"/>
              <w:bottom w:val="single" w:color="000000" w:sz="4" w:space="0"/>
              <w:right w:val="single" w:color="000000" w:sz="12" w:space="0"/>
            </w:tcBorders>
            <w:vAlign w:val="center"/>
          </w:tcPr>
          <w:p w14:paraId="707EB8BB">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eastAsiaTheme="minorEastAsia"/>
                <w:bCs/>
                <w:kern w:val="0"/>
                <w:sz w:val="21"/>
                <w:szCs w:val="21"/>
                <w:highlight w:val="none"/>
              </w:rPr>
              <w:t>C</w:t>
            </w:r>
            <w:r>
              <w:rPr>
                <w:rFonts w:hint="default" w:hAnsiTheme="minorEastAsia" w:eastAsiaTheme="minorEastAsia"/>
                <w:bCs/>
                <w:kern w:val="0"/>
                <w:sz w:val="21"/>
                <w:szCs w:val="21"/>
                <w:highlight w:val="none"/>
                <w:vertAlign w:val="subscript"/>
              </w:rPr>
              <w:t>叠加</w:t>
            </w:r>
            <w:r>
              <w:rPr>
                <w:rFonts w:hint="default" w:hAnsiTheme="minorEastAsia" w:eastAsiaTheme="minorEastAsia"/>
                <w:bCs/>
                <w:kern w:val="0"/>
                <w:sz w:val="21"/>
                <w:szCs w:val="21"/>
                <w:highlight w:val="none"/>
              </w:rPr>
              <w:t>不达标</w:t>
            </w:r>
            <w:r>
              <w:rPr>
                <w:rFonts w:hint="default" w:eastAsiaTheme="minorEastAsia"/>
                <w:bCs/>
                <w:kern w:val="0"/>
                <w:sz w:val="21"/>
                <w:szCs w:val="21"/>
                <w:highlight w:val="none"/>
              </w:rPr>
              <w:t>□</w:t>
            </w:r>
          </w:p>
        </w:tc>
      </w:tr>
      <w:tr w14:paraId="1CF287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22" w:type="dxa"/>
            <w:vMerge w:val="continue"/>
            <w:tcBorders>
              <w:top w:val="single" w:color="000000" w:sz="4" w:space="0"/>
              <w:left w:val="single" w:color="000000" w:sz="12" w:space="0"/>
              <w:bottom w:val="single" w:color="000000" w:sz="4" w:space="0"/>
              <w:right w:val="single" w:color="000000" w:sz="4" w:space="0"/>
            </w:tcBorders>
            <w:vAlign w:val="center"/>
          </w:tcPr>
          <w:p w14:paraId="2F41955E">
            <w:pPr>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left"/>
              <w:textAlignment w:val="auto"/>
              <w:rPr>
                <w:rFonts w:hint="default" w:eastAsiaTheme="minorEastAsia"/>
                <w:bCs/>
                <w:kern w:val="0"/>
                <w:sz w:val="21"/>
                <w:szCs w:val="21"/>
                <w:highlight w:val="none"/>
              </w:rPr>
            </w:pPr>
          </w:p>
        </w:tc>
        <w:tc>
          <w:tcPr>
            <w:tcW w:w="1716" w:type="dxa"/>
            <w:tcBorders>
              <w:top w:val="single" w:color="000000" w:sz="4" w:space="0"/>
              <w:left w:val="single" w:color="000000" w:sz="4" w:space="0"/>
              <w:bottom w:val="single" w:color="000000" w:sz="4" w:space="0"/>
              <w:right w:val="single" w:color="000000" w:sz="4" w:space="0"/>
            </w:tcBorders>
            <w:vAlign w:val="center"/>
          </w:tcPr>
          <w:p w14:paraId="15545268">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区域环境质量的整体变化情况</w:t>
            </w:r>
          </w:p>
        </w:tc>
        <w:tc>
          <w:tcPr>
            <w:tcW w:w="2791" w:type="dxa"/>
            <w:gridSpan w:val="10"/>
            <w:tcBorders>
              <w:top w:val="single" w:color="000000" w:sz="4" w:space="0"/>
              <w:left w:val="single" w:color="000000" w:sz="4" w:space="0"/>
              <w:bottom w:val="single" w:color="000000" w:sz="4" w:space="0"/>
              <w:right w:val="single" w:color="000000" w:sz="4" w:space="0"/>
            </w:tcBorders>
            <w:vAlign w:val="center"/>
          </w:tcPr>
          <w:p w14:paraId="710576CF">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eastAsiaTheme="minorEastAsia"/>
                <w:bCs/>
                <w:kern w:val="0"/>
                <w:sz w:val="21"/>
                <w:szCs w:val="21"/>
                <w:highlight w:val="none"/>
              </w:rPr>
              <w:t>k≤-20%□</w:t>
            </w:r>
          </w:p>
        </w:tc>
        <w:tc>
          <w:tcPr>
            <w:tcW w:w="3611" w:type="dxa"/>
            <w:gridSpan w:val="10"/>
            <w:tcBorders>
              <w:top w:val="single" w:color="000000" w:sz="4" w:space="0"/>
              <w:left w:val="single" w:color="000000" w:sz="4" w:space="0"/>
              <w:bottom w:val="single" w:color="000000" w:sz="4" w:space="0"/>
              <w:right w:val="single" w:color="000000" w:sz="12" w:space="0"/>
            </w:tcBorders>
            <w:vAlign w:val="center"/>
          </w:tcPr>
          <w:p w14:paraId="3C81A92D">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eastAsiaTheme="minorEastAsia"/>
                <w:bCs/>
                <w:kern w:val="0"/>
                <w:sz w:val="21"/>
                <w:szCs w:val="21"/>
                <w:highlight w:val="none"/>
              </w:rPr>
              <w:t>k&gt;-20%□</w:t>
            </w:r>
          </w:p>
        </w:tc>
      </w:tr>
      <w:tr w14:paraId="63CF1C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22" w:type="dxa"/>
            <w:vMerge w:val="restart"/>
            <w:tcBorders>
              <w:top w:val="single" w:color="000000" w:sz="4" w:space="0"/>
              <w:left w:val="single" w:color="000000" w:sz="12" w:space="0"/>
              <w:bottom w:val="single" w:color="000000" w:sz="4" w:space="0"/>
              <w:right w:val="single" w:color="000000" w:sz="4" w:space="0"/>
            </w:tcBorders>
            <w:vAlign w:val="center"/>
          </w:tcPr>
          <w:p w14:paraId="294F6D8C">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环境监测计划</w:t>
            </w:r>
          </w:p>
        </w:tc>
        <w:tc>
          <w:tcPr>
            <w:tcW w:w="1716" w:type="dxa"/>
            <w:tcBorders>
              <w:top w:val="single" w:color="000000" w:sz="4" w:space="0"/>
              <w:left w:val="single" w:color="000000" w:sz="4" w:space="0"/>
              <w:bottom w:val="single" w:color="000000" w:sz="4" w:space="0"/>
              <w:right w:val="single" w:color="000000" w:sz="4" w:space="0"/>
            </w:tcBorders>
            <w:vAlign w:val="center"/>
          </w:tcPr>
          <w:p w14:paraId="4AF77843">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污染源监测</w:t>
            </w:r>
          </w:p>
        </w:tc>
        <w:tc>
          <w:tcPr>
            <w:tcW w:w="2115" w:type="dxa"/>
            <w:gridSpan w:val="8"/>
            <w:tcBorders>
              <w:top w:val="single" w:color="000000" w:sz="4" w:space="0"/>
              <w:left w:val="single" w:color="000000" w:sz="4" w:space="0"/>
              <w:bottom w:val="single" w:color="000000" w:sz="4" w:space="0"/>
              <w:right w:val="single" w:color="000000" w:sz="4" w:space="0"/>
            </w:tcBorders>
            <w:vAlign w:val="center"/>
          </w:tcPr>
          <w:p w14:paraId="7B9182A3">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监测因子：（非甲烷总烃）</w:t>
            </w:r>
          </w:p>
        </w:tc>
        <w:tc>
          <w:tcPr>
            <w:tcW w:w="2300" w:type="dxa"/>
            <w:gridSpan w:val="8"/>
            <w:tcBorders>
              <w:top w:val="single" w:color="000000" w:sz="4" w:space="0"/>
              <w:left w:val="single" w:color="000000" w:sz="4" w:space="0"/>
              <w:bottom w:val="single" w:color="000000" w:sz="4" w:space="0"/>
              <w:right w:val="single" w:color="000000" w:sz="4" w:space="0"/>
            </w:tcBorders>
            <w:vAlign w:val="center"/>
          </w:tcPr>
          <w:p w14:paraId="0937A985">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有组织废气监测</w:t>
            </w:r>
            <w:r>
              <w:rPr>
                <w:rFonts w:hint="default" w:eastAsiaTheme="minorEastAsia"/>
                <w:bCs/>
                <w:kern w:val="0"/>
                <w:sz w:val="21"/>
                <w:szCs w:val="21"/>
                <w:highlight w:val="none"/>
              </w:rPr>
              <w:t>√</w:t>
            </w:r>
          </w:p>
          <w:p w14:paraId="6D847A9E">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无组织废气监测</w:t>
            </w:r>
            <w:r>
              <w:rPr>
                <w:rFonts w:hint="default" w:eastAsiaTheme="minorEastAsia"/>
                <w:bCs/>
                <w:kern w:val="0"/>
                <w:sz w:val="21"/>
                <w:szCs w:val="21"/>
                <w:highlight w:val="none"/>
              </w:rPr>
              <w:t>√</w:t>
            </w:r>
          </w:p>
        </w:tc>
        <w:tc>
          <w:tcPr>
            <w:tcW w:w="1987" w:type="dxa"/>
            <w:gridSpan w:val="4"/>
            <w:tcBorders>
              <w:top w:val="single" w:color="000000" w:sz="4" w:space="0"/>
              <w:left w:val="single" w:color="000000" w:sz="4" w:space="0"/>
              <w:bottom w:val="single" w:color="000000" w:sz="4" w:space="0"/>
              <w:right w:val="single" w:color="000000" w:sz="12" w:space="0"/>
            </w:tcBorders>
            <w:vAlign w:val="center"/>
          </w:tcPr>
          <w:p w14:paraId="6FF39C62">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无监测</w:t>
            </w:r>
            <w:r>
              <w:rPr>
                <w:rFonts w:hint="default" w:eastAsiaTheme="minorEastAsia"/>
                <w:bCs/>
                <w:kern w:val="0"/>
                <w:sz w:val="21"/>
                <w:szCs w:val="21"/>
                <w:highlight w:val="none"/>
              </w:rPr>
              <w:t>□</w:t>
            </w:r>
          </w:p>
        </w:tc>
      </w:tr>
      <w:tr w14:paraId="3CDFB7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22" w:type="dxa"/>
            <w:vMerge w:val="continue"/>
            <w:tcBorders>
              <w:top w:val="single" w:color="000000" w:sz="4" w:space="0"/>
              <w:left w:val="single" w:color="000000" w:sz="12" w:space="0"/>
              <w:bottom w:val="single" w:color="000000" w:sz="4" w:space="0"/>
              <w:right w:val="single" w:color="000000" w:sz="4" w:space="0"/>
            </w:tcBorders>
            <w:vAlign w:val="center"/>
          </w:tcPr>
          <w:p w14:paraId="7FA082B3">
            <w:pPr>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left"/>
              <w:textAlignment w:val="auto"/>
              <w:rPr>
                <w:rFonts w:hint="default" w:eastAsiaTheme="minorEastAsia"/>
                <w:bCs/>
                <w:kern w:val="0"/>
                <w:sz w:val="21"/>
                <w:szCs w:val="21"/>
                <w:highlight w:val="none"/>
              </w:rPr>
            </w:pPr>
          </w:p>
        </w:tc>
        <w:tc>
          <w:tcPr>
            <w:tcW w:w="1716" w:type="dxa"/>
            <w:tcBorders>
              <w:top w:val="single" w:color="000000" w:sz="4" w:space="0"/>
              <w:left w:val="single" w:color="000000" w:sz="4" w:space="0"/>
              <w:bottom w:val="single" w:color="000000" w:sz="4" w:space="0"/>
              <w:right w:val="single" w:color="000000" w:sz="4" w:space="0"/>
            </w:tcBorders>
            <w:vAlign w:val="center"/>
          </w:tcPr>
          <w:p w14:paraId="70E9D3E1">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环境质量监测</w:t>
            </w:r>
          </w:p>
        </w:tc>
        <w:tc>
          <w:tcPr>
            <w:tcW w:w="2115" w:type="dxa"/>
            <w:gridSpan w:val="8"/>
            <w:tcBorders>
              <w:top w:val="single" w:color="000000" w:sz="4" w:space="0"/>
              <w:left w:val="single" w:color="000000" w:sz="4" w:space="0"/>
              <w:bottom w:val="single" w:color="000000" w:sz="4" w:space="0"/>
              <w:right w:val="single" w:color="000000" w:sz="4" w:space="0"/>
            </w:tcBorders>
            <w:vAlign w:val="center"/>
          </w:tcPr>
          <w:p w14:paraId="37F3402A">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监测因子：（）</w:t>
            </w:r>
          </w:p>
        </w:tc>
        <w:tc>
          <w:tcPr>
            <w:tcW w:w="2300" w:type="dxa"/>
            <w:gridSpan w:val="8"/>
            <w:tcBorders>
              <w:top w:val="single" w:color="000000" w:sz="4" w:space="0"/>
              <w:left w:val="single" w:color="000000" w:sz="4" w:space="0"/>
              <w:bottom w:val="single" w:color="000000" w:sz="4" w:space="0"/>
              <w:right w:val="single" w:color="000000" w:sz="4" w:space="0"/>
            </w:tcBorders>
            <w:vAlign w:val="center"/>
          </w:tcPr>
          <w:p w14:paraId="64619BBF">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监测点位数（）</w:t>
            </w:r>
          </w:p>
        </w:tc>
        <w:tc>
          <w:tcPr>
            <w:tcW w:w="1987" w:type="dxa"/>
            <w:gridSpan w:val="4"/>
            <w:tcBorders>
              <w:top w:val="single" w:color="000000" w:sz="4" w:space="0"/>
              <w:left w:val="single" w:color="000000" w:sz="4" w:space="0"/>
              <w:bottom w:val="single" w:color="000000" w:sz="4" w:space="0"/>
              <w:right w:val="single" w:color="000000" w:sz="12" w:space="0"/>
            </w:tcBorders>
            <w:vAlign w:val="center"/>
          </w:tcPr>
          <w:p w14:paraId="0CF0D6E9">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无监测</w:t>
            </w:r>
            <w:r>
              <w:rPr>
                <w:rFonts w:hint="default" w:eastAsiaTheme="minorEastAsia"/>
                <w:bCs/>
                <w:kern w:val="0"/>
                <w:sz w:val="21"/>
                <w:szCs w:val="21"/>
                <w:highlight w:val="none"/>
              </w:rPr>
              <w:t>□</w:t>
            </w:r>
          </w:p>
        </w:tc>
      </w:tr>
      <w:tr w14:paraId="2E7F7B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22" w:type="dxa"/>
            <w:tcBorders>
              <w:top w:val="single" w:color="000000" w:sz="4" w:space="0"/>
              <w:left w:val="single" w:color="000000" w:sz="12" w:space="0"/>
              <w:bottom w:val="single" w:color="000000" w:sz="4" w:space="0"/>
              <w:right w:val="single" w:color="000000" w:sz="4" w:space="0"/>
            </w:tcBorders>
            <w:vAlign w:val="center"/>
          </w:tcPr>
          <w:p w14:paraId="7E393AC4">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评价结论</w:t>
            </w:r>
          </w:p>
        </w:tc>
        <w:tc>
          <w:tcPr>
            <w:tcW w:w="1716" w:type="dxa"/>
            <w:tcBorders>
              <w:top w:val="single" w:color="000000" w:sz="4" w:space="0"/>
              <w:left w:val="single" w:color="000000" w:sz="4" w:space="0"/>
              <w:bottom w:val="single" w:color="000000" w:sz="4" w:space="0"/>
              <w:right w:val="single" w:color="000000" w:sz="4" w:space="0"/>
            </w:tcBorders>
            <w:vAlign w:val="center"/>
          </w:tcPr>
          <w:p w14:paraId="11F8B6DC">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环境影响</w:t>
            </w:r>
          </w:p>
        </w:tc>
        <w:tc>
          <w:tcPr>
            <w:tcW w:w="6402" w:type="dxa"/>
            <w:gridSpan w:val="20"/>
            <w:tcBorders>
              <w:top w:val="single" w:color="000000" w:sz="4" w:space="0"/>
              <w:left w:val="single" w:color="000000" w:sz="4" w:space="0"/>
              <w:bottom w:val="single" w:color="000000" w:sz="4" w:space="0"/>
              <w:right w:val="single" w:color="000000" w:sz="12" w:space="0"/>
            </w:tcBorders>
            <w:vAlign w:val="center"/>
          </w:tcPr>
          <w:p w14:paraId="2CFC3AFD">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可以接受</w:t>
            </w:r>
            <w:r>
              <w:rPr>
                <w:rFonts w:hint="default" w:eastAsiaTheme="minorEastAsia"/>
                <w:bCs/>
                <w:kern w:val="0"/>
                <w:sz w:val="21"/>
                <w:szCs w:val="21"/>
                <w:highlight w:val="none"/>
              </w:rPr>
              <w:t>√</w:t>
            </w:r>
            <w:r>
              <w:rPr>
                <w:rFonts w:hint="default" w:hAnsiTheme="minorEastAsia" w:eastAsiaTheme="minorEastAsia"/>
                <w:bCs/>
                <w:kern w:val="0"/>
                <w:sz w:val="21"/>
                <w:szCs w:val="21"/>
                <w:highlight w:val="none"/>
              </w:rPr>
              <w:t>不可以接受</w:t>
            </w:r>
            <w:r>
              <w:rPr>
                <w:rFonts w:hint="default" w:eastAsiaTheme="minorEastAsia"/>
                <w:bCs/>
                <w:kern w:val="0"/>
                <w:sz w:val="21"/>
                <w:szCs w:val="21"/>
                <w:highlight w:val="none"/>
              </w:rPr>
              <w:t>□</w:t>
            </w:r>
          </w:p>
        </w:tc>
      </w:tr>
      <w:tr w14:paraId="4FCDE9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22" w:type="dxa"/>
            <w:tcBorders>
              <w:top w:val="single" w:color="000000" w:sz="4" w:space="0"/>
              <w:left w:val="single" w:color="000000" w:sz="12" w:space="0"/>
              <w:bottom w:val="single" w:color="000000" w:sz="4" w:space="0"/>
              <w:right w:val="single" w:color="000000" w:sz="4" w:space="0"/>
            </w:tcBorders>
            <w:vAlign w:val="center"/>
          </w:tcPr>
          <w:p w14:paraId="3A025921">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评价结论</w:t>
            </w:r>
          </w:p>
        </w:tc>
        <w:tc>
          <w:tcPr>
            <w:tcW w:w="1716" w:type="dxa"/>
            <w:tcBorders>
              <w:top w:val="single" w:color="000000" w:sz="4" w:space="0"/>
              <w:left w:val="single" w:color="000000" w:sz="4" w:space="0"/>
              <w:bottom w:val="single" w:color="000000" w:sz="4" w:space="0"/>
              <w:right w:val="single" w:color="000000" w:sz="4" w:space="0"/>
            </w:tcBorders>
            <w:vAlign w:val="center"/>
          </w:tcPr>
          <w:p w14:paraId="30395ABD">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大气环境防护距离</w:t>
            </w:r>
          </w:p>
        </w:tc>
        <w:tc>
          <w:tcPr>
            <w:tcW w:w="6402" w:type="dxa"/>
            <w:gridSpan w:val="20"/>
            <w:tcBorders>
              <w:top w:val="single" w:color="000000" w:sz="4" w:space="0"/>
              <w:left w:val="single" w:color="000000" w:sz="4" w:space="0"/>
              <w:bottom w:val="single" w:color="000000" w:sz="4" w:space="0"/>
              <w:right w:val="single" w:color="000000" w:sz="12" w:space="0"/>
            </w:tcBorders>
            <w:vAlign w:val="center"/>
          </w:tcPr>
          <w:p w14:paraId="2888ED4C">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距（）厂界最远（）</w:t>
            </w:r>
            <w:r>
              <w:rPr>
                <w:rFonts w:hint="default" w:eastAsiaTheme="minorEastAsia"/>
                <w:bCs/>
                <w:kern w:val="0"/>
                <w:sz w:val="21"/>
                <w:szCs w:val="21"/>
                <w:highlight w:val="none"/>
              </w:rPr>
              <w:t>m</w:t>
            </w:r>
          </w:p>
        </w:tc>
      </w:tr>
      <w:tr w14:paraId="19ECE0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22" w:type="dxa"/>
            <w:tcBorders>
              <w:top w:val="single" w:color="000000" w:sz="4" w:space="0"/>
              <w:left w:val="single" w:color="000000" w:sz="12" w:space="0"/>
              <w:bottom w:val="single" w:color="000000" w:sz="4" w:space="0"/>
              <w:right w:val="single" w:color="000000" w:sz="4" w:space="0"/>
            </w:tcBorders>
            <w:vAlign w:val="center"/>
          </w:tcPr>
          <w:p w14:paraId="04F7C261">
            <w:pPr>
              <w:keepNext w:val="0"/>
              <w:keepLines w:val="0"/>
              <w:pageBreakBefore w:val="0"/>
              <w:widowControl/>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评价结论</w:t>
            </w:r>
          </w:p>
        </w:tc>
        <w:tc>
          <w:tcPr>
            <w:tcW w:w="1716" w:type="dxa"/>
            <w:tcBorders>
              <w:top w:val="single" w:color="000000" w:sz="4" w:space="0"/>
              <w:left w:val="single" w:color="000000" w:sz="4" w:space="0"/>
              <w:bottom w:val="single" w:color="000000" w:sz="4" w:space="0"/>
              <w:right w:val="single" w:color="000000" w:sz="4" w:space="0"/>
            </w:tcBorders>
            <w:vAlign w:val="center"/>
          </w:tcPr>
          <w:p w14:paraId="3EB6BF1E">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污染源年排放量</w:t>
            </w:r>
          </w:p>
        </w:tc>
        <w:tc>
          <w:tcPr>
            <w:tcW w:w="1472" w:type="dxa"/>
            <w:gridSpan w:val="4"/>
            <w:tcBorders>
              <w:top w:val="single" w:color="000000" w:sz="4" w:space="0"/>
              <w:left w:val="single" w:color="000000" w:sz="4" w:space="0"/>
              <w:bottom w:val="single" w:color="000000" w:sz="4" w:space="0"/>
              <w:right w:val="single" w:color="000000" w:sz="4" w:space="0"/>
            </w:tcBorders>
            <w:vAlign w:val="center"/>
          </w:tcPr>
          <w:p w14:paraId="1CB0BF68">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eastAsiaTheme="minorEastAsia"/>
                <w:bCs/>
                <w:kern w:val="0"/>
                <w:sz w:val="21"/>
                <w:szCs w:val="21"/>
                <w:highlight w:val="none"/>
              </w:rPr>
              <w:t>SO</w:t>
            </w:r>
            <w:r>
              <w:rPr>
                <w:rFonts w:hint="default" w:eastAsiaTheme="minorEastAsia"/>
                <w:bCs/>
                <w:kern w:val="0"/>
                <w:sz w:val="21"/>
                <w:szCs w:val="21"/>
                <w:highlight w:val="none"/>
                <w:vertAlign w:val="subscript"/>
              </w:rPr>
              <w:t>2</w:t>
            </w:r>
            <w:r>
              <w:rPr>
                <w:rFonts w:hint="default" w:hAnsiTheme="minorEastAsia" w:eastAsiaTheme="minorEastAsia"/>
                <w:bCs/>
                <w:kern w:val="0"/>
                <w:sz w:val="21"/>
                <w:szCs w:val="21"/>
                <w:highlight w:val="none"/>
              </w:rPr>
              <w:t>：（）</w:t>
            </w:r>
            <w:r>
              <w:rPr>
                <w:rFonts w:hint="default" w:eastAsiaTheme="minorEastAsia"/>
                <w:bCs/>
                <w:kern w:val="0"/>
                <w:sz w:val="21"/>
                <w:szCs w:val="21"/>
                <w:highlight w:val="none"/>
              </w:rPr>
              <w:t>t/a</w:t>
            </w:r>
          </w:p>
        </w:tc>
        <w:tc>
          <w:tcPr>
            <w:tcW w:w="1319" w:type="dxa"/>
            <w:gridSpan w:val="6"/>
            <w:tcBorders>
              <w:top w:val="single" w:color="000000" w:sz="4" w:space="0"/>
              <w:left w:val="single" w:color="000000" w:sz="4" w:space="0"/>
              <w:bottom w:val="single" w:color="000000" w:sz="4" w:space="0"/>
              <w:right w:val="single" w:color="000000" w:sz="4" w:space="0"/>
            </w:tcBorders>
            <w:vAlign w:val="center"/>
          </w:tcPr>
          <w:p w14:paraId="4645603B">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eastAsiaTheme="minorEastAsia"/>
                <w:bCs/>
                <w:kern w:val="0"/>
                <w:sz w:val="21"/>
                <w:szCs w:val="21"/>
                <w:highlight w:val="none"/>
              </w:rPr>
              <w:t>NO</w:t>
            </w:r>
            <w:r>
              <w:rPr>
                <w:rFonts w:hint="default" w:eastAsiaTheme="minorEastAsia"/>
                <w:bCs/>
                <w:kern w:val="0"/>
                <w:sz w:val="21"/>
                <w:szCs w:val="21"/>
                <w:highlight w:val="none"/>
                <w:vertAlign w:val="subscript"/>
              </w:rPr>
              <w:t>X</w:t>
            </w:r>
            <w:r>
              <w:rPr>
                <w:rFonts w:hint="default" w:hAnsiTheme="minorEastAsia" w:eastAsiaTheme="minorEastAsia"/>
                <w:bCs/>
                <w:kern w:val="0"/>
                <w:sz w:val="21"/>
                <w:szCs w:val="21"/>
                <w:highlight w:val="none"/>
              </w:rPr>
              <w:t>：（）</w:t>
            </w:r>
            <w:r>
              <w:rPr>
                <w:rFonts w:hint="default" w:eastAsiaTheme="minorEastAsia"/>
                <w:bCs/>
                <w:kern w:val="0"/>
                <w:sz w:val="21"/>
                <w:szCs w:val="21"/>
                <w:highlight w:val="none"/>
              </w:rPr>
              <w:t>t/a</w:t>
            </w:r>
          </w:p>
        </w:tc>
        <w:tc>
          <w:tcPr>
            <w:tcW w:w="1624" w:type="dxa"/>
            <w:gridSpan w:val="6"/>
            <w:tcBorders>
              <w:top w:val="single" w:color="000000" w:sz="4" w:space="0"/>
              <w:left w:val="single" w:color="000000" w:sz="4" w:space="0"/>
              <w:bottom w:val="single" w:color="000000" w:sz="4" w:space="0"/>
              <w:right w:val="single" w:color="000000" w:sz="4" w:space="0"/>
            </w:tcBorders>
            <w:vAlign w:val="center"/>
          </w:tcPr>
          <w:p w14:paraId="5E2FA913">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颗粒物：（）</w:t>
            </w:r>
            <w:r>
              <w:rPr>
                <w:rFonts w:hint="default" w:eastAsiaTheme="minorEastAsia"/>
                <w:bCs/>
                <w:kern w:val="0"/>
                <w:sz w:val="21"/>
                <w:szCs w:val="21"/>
                <w:highlight w:val="none"/>
              </w:rPr>
              <w:t>t/a</w:t>
            </w:r>
          </w:p>
        </w:tc>
        <w:tc>
          <w:tcPr>
            <w:tcW w:w="1987" w:type="dxa"/>
            <w:gridSpan w:val="4"/>
            <w:tcBorders>
              <w:top w:val="single" w:color="000000" w:sz="4" w:space="0"/>
              <w:left w:val="single" w:color="000000" w:sz="4" w:space="0"/>
              <w:bottom w:val="single" w:color="000000" w:sz="4" w:space="0"/>
              <w:right w:val="single" w:color="000000" w:sz="12" w:space="0"/>
            </w:tcBorders>
            <w:vAlign w:val="center"/>
          </w:tcPr>
          <w:p w14:paraId="2B21BF00">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eastAsiaTheme="minorEastAsia"/>
                <w:bCs/>
                <w:kern w:val="0"/>
                <w:sz w:val="21"/>
                <w:szCs w:val="21"/>
                <w:highlight w:val="none"/>
              </w:rPr>
              <w:t>VOCs</w:t>
            </w:r>
            <w:r>
              <w:rPr>
                <w:rFonts w:hint="default" w:hAnsiTheme="minorEastAsia" w:eastAsiaTheme="minorEastAsia"/>
                <w:bCs/>
                <w:kern w:val="0"/>
                <w:sz w:val="21"/>
                <w:szCs w:val="21"/>
                <w:highlight w:val="none"/>
              </w:rPr>
              <w:t>：（</w:t>
            </w:r>
            <w:r>
              <w:rPr>
                <w:rFonts w:hint="eastAsia" w:eastAsiaTheme="minorEastAsia"/>
                <w:bCs/>
                <w:kern w:val="0"/>
                <w:sz w:val="21"/>
                <w:szCs w:val="21"/>
                <w:highlight w:val="none"/>
                <w:lang w:val="en-US" w:eastAsia="zh-CN"/>
              </w:rPr>
              <w:t>0.965</w:t>
            </w:r>
            <w:r>
              <w:rPr>
                <w:rFonts w:hint="default" w:hAnsiTheme="minorEastAsia" w:eastAsiaTheme="minorEastAsia"/>
                <w:bCs/>
                <w:kern w:val="0"/>
                <w:sz w:val="21"/>
                <w:szCs w:val="21"/>
                <w:highlight w:val="none"/>
              </w:rPr>
              <w:t>）</w:t>
            </w:r>
            <w:r>
              <w:rPr>
                <w:rFonts w:hint="default" w:eastAsiaTheme="minorEastAsia"/>
                <w:bCs/>
                <w:kern w:val="0"/>
                <w:sz w:val="21"/>
                <w:szCs w:val="21"/>
                <w:highlight w:val="none"/>
              </w:rPr>
              <w:t>t/a</w:t>
            </w:r>
          </w:p>
        </w:tc>
      </w:tr>
      <w:tr w14:paraId="036FFD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8840" w:type="dxa"/>
            <w:gridSpan w:val="22"/>
            <w:tcBorders>
              <w:top w:val="single" w:color="000000" w:sz="4" w:space="0"/>
              <w:left w:val="single" w:color="000000" w:sz="12" w:space="0"/>
              <w:bottom w:val="single" w:color="000000" w:sz="12" w:space="0"/>
              <w:right w:val="single" w:color="000000" w:sz="12" w:space="0"/>
            </w:tcBorders>
            <w:vAlign w:val="center"/>
          </w:tcPr>
          <w:p w14:paraId="4B4F84C6">
            <w:pPr>
              <w:keepNext w:val="0"/>
              <w:keepLines w:val="0"/>
              <w:pageBreakBefore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eastAsiaTheme="minorEastAsia"/>
                <w:bCs/>
                <w:kern w:val="0"/>
                <w:sz w:val="21"/>
                <w:szCs w:val="21"/>
                <w:highlight w:val="none"/>
              </w:rPr>
            </w:pPr>
            <w:r>
              <w:rPr>
                <w:rFonts w:hint="default" w:hAnsiTheme="minorEastAsia" w:eastAsiaTheme="minorEastAsia"/>
                <w:bCs/>
                <w:kern w:val="0"/>
                <w:sz w:val="21"/>
                <w:szCs w:val="21"/>
                <w:highlight w:val="none"/>
              </w:rPr>
              <w:t>注：</w:t>
            </w:r>
            <w:r>
              <w:rPr>
                <w:rFonts w:hint="eastAsia" w:eastAsiaTheme="minorEastAsia"/>
                <w:bCs/>
                <w:kern w:val="0"/>
                <w:sz w:val="21"/>
                <w:szCs w:val="21"/>
                <w:highlight w:val="none"/>
                <w:lang w:eastAsia="zh-CN"/>
              </w:rPr>
              <w:t>“</w:t>
            </w:r>
            <w:r>
              <w:rPr>
                <w:rFonts w:hint="default" w:eastAsiaTheme="minorEastAsia"/>
                <w:bCs/>
                <w:kern w:val="0"/>
                <w:sz w:val="21"/>
                <w:szCs w:val="21"/>
                <w:highlight w:val="none"/>
              </w:rPr>
              <w:t>□</w:t>
            </w:r>
            <w:r>
              <w:rPr>
                <w:rFonts w:hint="eastAsia" w:eastAsiaTheme="minorEastAsia"/>
                <w:bCs/>
                <w:kern w:val="0"/>
                <w:sz w:val="21"/>
                <w:szCs w:val="21"/>
                <w:highlight w:val="none"/>
                <w:lang w:eastAsia="zh-CN"/>
              </w:rPr>
              <w:t>”</w:t>
            </w:r>
            <w:r>
              <w:rPr>
                <w:rFonts w:hint="default" w:hAnsiTheme="minorEastAsia" w:eastAsiaTheme="minorEastAsia"/>
                <w:bCs/>
                <w:kern w:val="0"/>
                <w:sz w:val="21"/>
                <w:szCs w:val="21"/>
                <w:highlight w:val="none"/>
              </w:rPr>
              <w:t>为勾选项，填</w:t>
            </w:r>
            <w:r>
              <w:rPr>
                <w:rFonts w:hint="eastAsia" w:eastAsiaTheme="minorEastAsia"/>
                <w:bCs/>
                <w:kern w:val="0"/>
                <w:sz w:val="21"/>
                <w:szCs w:val="21"/>
                <w:highlight w:val="none"/>
                <w:lang w:eastAsia="zh-CN"/>
              </w:rPr>
              <w:t>“</w:t>
            </w:r>
            <w:r>
              <w:rPr>
                <w:rFonts w:hint="default" w:eastAsiaTheme="minorEastAsia"/>
                <w:bCs/>
                <w:kern w:val="0"/>
                <w:sz w:val="21"/>
                <w:szCs w:val="21"/>
                <w:highlight w:val="none"/>
              </w:rPr>
              <w:t>√</w:t>
            </w:r>
            <w:r>
              <w:rPr>
                <w:rFonts w:hint="eastAsia" w:eastAsiaTheme="minorEastAsia"/>
                <w:bCs/>
                <w:kern w:val="0"/>
                <w:sz w:val="21"/>
                <w:szCs w:val="21"/>
                <w:highlight w:val="none"/>
                <w:lang w:eastAsia="zh-CN"/>
              </w:rPr>
              <w:t>”</w:t>
            </w:r>
            <w:r>
              <w:rPr>
                <w:rFonts w:hint="default" w:hAnsiTheme="minorEastAsia" w:eastAsiaTheme="minorEastAsia"/>
                <w:bCs/>
                <w:kern w:val="0"/>
                <w:sz w:val="21"/>
                <w:szCs w:val="21"/>
                <w:highlight w:val="none"/>
              </w:rPr>
              <w:t>；</w:t>
            </w:r>
            <w:r>
              <w:rPr>
                <w:rFonts w:hint="eastAsia" w:eastAsiaTheme="minorEastAsia"/>
                <w:bCs/>
                <w:kern w:val="0"/>
                <w:sz w:val="21"/>
                <w:szCs w:val="21"/>
                <w:highlight w:val="none"/>
                <w:lang w:eastAsia="zh-CN"/>
              </w:rPr>
              <w:t>“</w:t>
            </w:r>
            <w:r>
              <w:rPr>
                <w:rFonts w:hint="default" w:hAnsiTheme="minorEastAsia" w:eastAsiaTheme="minorEastAsia"/>
                <w:bCs/>
                <w:kern w:val="0"/>
                <w:sz w:val="21"/>
                <w:szCs w:val="21"/>
                <w:highlight w:val="none"/>
              </w:rPr>
              <w:t>（）</w:t>
            </w:r>
            <w:r>
              <w:rPr>
                <w:rFonts w:hint="eastAsia" w:eastAsiaTheme="minorEastAsia"/>
                <w:bCs/>
                <w:kern w:val="0"/>
                <w:sz w:val="21"/>
                <w:szCs w:val="21"/>
                <w:highlight w:val="none"/>
                <w:lang w:eastAsia="zh-CN"/>
              </w:rPr>
              <w:t>”</w:t>
            </w:r>
            <w:r>
              <w:rPr>
                <w:rFonts w:hint="default" w:hAnsiTheme="minorEastAsia" w:eastAsiaTheme="minorEastAsia"/>
                <w:bCs/>
                <w:kern w:val="0"/>
                <w:sz w:val="21"/>
                <w:szCs w:val="21"/>
                <w:highlight w:val="none"/>
              </w:rPr>
              <w:t>为内容填写项</w:t>
            </w:r>
          </w:p>
        </w:tc>
      </w:tr>
    </w:tbl>
    <w:p w14:paraId="48BF0427">
      <w:pPr>
        <w:widowControl/>
        <w:spacing w:line="360" w:lineRule="auto"/>
        <w:jc w:val="left"/>
        <w:rPr>
          <w:rFonts w:eastAsiaTheme="minorEastAsia"/>
          <w:sz w:val="24"/>
          <w:highlight w:val="none"/>
        </w:rPr>
        <w:sectPr>
          <w:pgSz w:w="11906" w:h="16838"/>
          <w:pgMar w:top="1440" w:right="1800" w:bottom="1440" w:left="1800" w:header="851" w:footer="992" w:gutter="0"/>
          <w:pgBorders w:offsetFrom="page">
            <w:top w:val="none" w:sz="0" w:space="0"/>
            <w:left w:val="none" w:sz="0" w:space="0"/>
            <w:bottom w:val="none" w:sz="0" w:space="0"/>
            <w:right w:val="none" w:sz="0" w:space="0"/>
          </w:pgBorders>
          <w:cols w:space="720" w:num="1"/>
          <w:docGrid w:type="lines" w:linePitch="312" w:charSpace="0"/>
        </w:sectPr>
      </w:pPr>
    </w:p>
    <w:p w14:paraId="44B8B044">
      <w:pPr>
        <w:keepNext w:val="0"/>
        <w:keepLines w:val="0"/>
        <w:pageBreakBefore w:val="0"/>
        <w:widowControl w:val="0"/>
        <w:kinsoku/>
        <w:wordWrap w:val="0"/>
        <w:overflowPunct/>
        <w:topLinePunct w:val="0"/>
        <w:autoSpaceDE/>
        <w:autoSpaceDN/>
        <w:bidi w:val="0"/>
        <w:adjustRightInd w:val="0"/>
        <w:snapToGrid w:val="0"/>
        <w:ind w:firstLine="0" w:firstLineChars="0"/>
        <w:jc w:val="center"/>
        <w:textAlignment w:val="auto"/>
        <w:rPr>
          <w:highlight w:val="none"/>
        </w:rPr>
      </w:pPr>
      <w:bookmarkStart w:id="698" w:name="_Toc24322"/>
      <w:r>
        <w:rPr>
          <w:b/>
          <w:bCs/>
          <w:highlight w:val="none"/>
        </w:rPr>
        <w:t>地表水环境影响评价自查表</w:t>
      </w:r>
      <w:bookmarkEnd w:id="698"/>
    </w:p>
    <w:tbl>
      <w:tblPr>
        <w:tblStyle w:val="79"/>
        <w:tblW w:w="0" w:type="auto"/>
        <w:tblInd w:w="0"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
      <w:tblGrid>
        <w:gridCol w:w="389"/>
        <w:gridCol w:w="2529"/>
        <w:gridCol w:w="2389"/>
        <w:gridCol w:w="2670"/>
        <w:gridCol w:w="6075"/>
      </w:tblGrid>
      <w:tr w14:paraId="7C3D7ED9">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37" w:hRule="atLeast"/>
        </w:trPr>
        <w:tc>
          <w:tcPr>
            <w:tcW w:w="2918" w:type="dxa"/>
            <w:gridSpan w:val="2"/>
            <w:tcBorders>
              <w:top w:val="single" w:color="000000" w:themeColor="text1" w:sz="12" w:space="0"/>
              <w:left w:val="single" w:color="000000" w:themeColor="text1" w:sz="12" w:space="0"/>
              <w:bottom w:val="single" w:color="000000" w:themeColor="text1" w:sz="6" w:space="0"/>
              <w:right w:val="single" w:color="000000" w:themeColor="text1" w:sz="6" w:space="0"/>
            </w:tcBorders>
            <w:vAlign w:val="center"/>
          </w:tcPr>
          <w:p w14:paraId="0D9CE2C7">
            <w:pPr>
              <w:pStyle w:val="8"/>
              <w:suppressLineNumbers w:val="0"/>
              <w:bidi w:val="0"/>
              <w:spacing w:before="0" w:beforeAutospacing="0" w:after="0" w:afterAutospacing="0"/>
              <w:ind w:left="0" w:right="0"/>
              <w:rPr>
                <w:rFonts w:hint="default"/>
                <w:highlight w:val="none"/>
              </w:rPr>
            </w:pPr>
            <w:r>
              <w:rPr>
                <w:rFonts w:hint="default"/>
                <w:highlight w:val="none"/>
              </w:rPr>
              <w:t>工作内容</w:t>
            </w:r>
          </w:p>
        </w:tc>
        <w:tc>
          <w:tcPr>
            <w:tcW w:w="11134" w:type="dxa"/>
            <w:gridSpan w:val="3"/>
            <w:tcBorders>
              <w:top w:val="single" w:color="000000" w:themeColor="text1" w:sz="12" w:space="0"/>
              <w:left w:val="single" w:color="000000" w:themeColor="text1" w:sz="6" w:space="0"/>
              <w:bottom w:val="single" w:color="000000" w:themeColor="text1" w:sz="6" w:space="0"/>
              <w:right w:val="single" w:color="000000" w:themeColor="text1" w:sz="12" w:space="0"/>
            </w:tcBorders>
            <w:vAlign w:val="center"/>
          </w:tcPr>
          <w:p w14:paraId="3146F511">
            <w:pPr>
              <w:pStyle w:val="8"/>
              <w:suppressLineNumbers w:val="0"/>
              <w:bidi w:val="0"/>
              <w:spacing w:before="0" w:beforeAutospacing="0" w:after="0" w:afterAutospacing="0"/>
              <w:ind w:left="0" w:right="0"/>
              <w:rPr>
                <w:rFonts w:hint="default"/>
                <w:highlight w:val="none"/>
              </w:rPr>
            </w:pPr>
            <w:r>
              <w:rPr>
                <w:rFonts w:hint="default"/>
                <w:highlight w:val="none"/>
              </w:rPr>
              <w:t>自查项目</w:t>
            </w:r>
          </w:p>
        </w:tc>
      </w:tr>
      <w:tr w14:paraId="1758A6BC">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37" w:hRule="atLeast"/>
        </w:trPr>
        <w:tc>
          <w:tcPr>
            <w:tcW w:w="389" w:type="dxa"/>
            <w:vMerge w:val="restart"/>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2AA63D76">
            <w:pPr>
              <w:pStyle w:val="8"/>
              <w:suppressLineNumbers w:val="0"/>
              <w:bidi w:val="0"/>
              <w:spacing w:before="0" w:beforeAutospacing="0" w:after="0" w:afterAutospacing="0"/>
              <w:ind w:left="0" w:right="0"/>
              <w:rPr>
                <w:rFonts w:hint="default"/>
                <w:highlight w:val="none"/>
              </w:rPr>
            </w:pPr>
            <w:r>
              <w:rPr>
                <w:rFonts w:hint="default"/>
                <w:highlight w:val="none"/>
              </w:rPr>
              <w:t>影响识别</w:t>
            </w:r>
          </w:p>
        </w:tc>
        <w:tc>
          <w:tcPr>
            <w:tcW w:w="2529"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1E67511E">
            <w:pPr>
              <w:pStyle w:val="8"/>
              <w:suppressLineNumbers w:val="0"/>
              <w:bidi w:val="0"/>
              <w:spacing w:before="0" w:beforeAutospacing="0" w:after="0" w:afterAutospacing="0"/>
              <w:ind w:left="0" w:right="0"/>
              <w:rPr>
                <w:rFonts w:hint="default"/>
                <w:highlight w:val="none"/>
              </w:rPr>
            </w:pPr>
            <w:r>
              <w:rPr>
                <w:rFonts w:hint="default"/>
                <w:highlight w:val="none"/>
              </w:rPr>
              <w:t>影响类型</w:t>
            </w:r>
          </w:p>
        </w:tc>
        <w:tc>
          <w:tcPr>
            <w:tcW w:w="11134" w:type="dxa"/>
            <w:gridSpan w:val="3"/>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68015947">
            <w:pPr>
              <w:pStyle w:val="8"/>
              <w:suppressLineNumbers w:val="0"/>
              <w:bidi w:val="0"/>
              <w:spacing w:before="0" w:beforeAutospacing="0" w:after="0" w:afterAutospacing="0"/>
              <w:ind w:left="0" w:right="0"/>
              <w:jc w:val="left"/>
              <w:rPr>
                <w:rFonts w:hint="default"/>
                <w:highlight w:val="none"/>
              </w:rPr>
            </w:pPr>
            <w:r>
              <w:rPr>
                <w:rFonts w:hint="default"/>
                <w:highlight w:val="none"/>
              </w:rPr>
              <w:t>水污染影响型√；水文要素影响型□</w:t>
            </w:r>
          </w:p>
        </w:tc>
      </w:tr>
      <w:tr w14:paraId="71B2687D">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995" w:hRule="atLeast"/>
        </w:trPr>
        <w:tc>
          <w:tcPr>
            <w:tcW w:w="389"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7A2473E3">
            <w:pPr>
              <w:pStyle w:val="8"/>
              <w:suppressLineNumbers w:val="0"/>
              <w:bidi w:val="0"/>
              <w:spacing w:before="0" w:beforeAutospacing="0" w:after="0" w:afterAutospacing="0"/>
              <w:ind w:left="0" w:right="0"/>
              <w:rPr>
                <w:rFonts w:hint="default"/>
                <w:highlight w:val="none"/>
              </w:rPr>
            </w:pPr>
          </w:p>
        </w:tc>
        <w:tc>
          <w:tcPr>
            <w:tcW w:w="2529"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289E4C07">
            <w:pPr>
              <w:pStyle w:val="8"/>
              <w:suppressLineNumbers w:val="0"/>
              <w:bidi w:val="0"/>
              <w:spacing w:before="0" w:beforeAutospacing="0" w:after="0" w:afterAutospacing="0"/>
              <w:ind w:left="0" w:right="0"/>
              <w:rPr>
                <w:rFonts w:hint="default"/>
                <w:highlight w:val="none"/>
              </w:rPr>
            </w:pPr>
            <w:r>
              <w:rPr>
                <w:rFonts w:hint="default"/>
                <w:highlight w:val="none"/>
              </w:rPr>
              <w:t>水环境保护目标</w:t>
            </w:r>
          </w:p>
        </w:tc>
        <w:tc>
          <w:tcPr>
            <w:tcW w:w="11134" w:type="dxa"/>
            <w:gridSpan w:val="3"/>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2A9B1F4E">
            <w:pPr>
              <w:pStyle w:val="8"/>
              <w:suppressLineNumbers w:val="0"/>
              <w:bidi w:val="0"/>
              <w:spacing w:before="0" w:beforeAutospacing="0" w:after="0" w:afterAutospacing="0"/>
              <w:ind w:left="0" w:right="0"/>
              <w:jc w:val="left"/>
              <w:rPr>
                <w:rFonts w:hint="default"/>
                <w:highlight w:val="none"/>
              </w:rPr>
            </w:pPr>
            <w:r>
              <w:rPr>
                <w:rFonts w:hint="default"/>
                <w:highlight w:val="none"/>
              </w:rPr>
              <w:t>饮用水水源保护区□；饮用水取水□；涉水的自然保护区□；重要湿地□；</w:t>
            </w:r>
          </w:p>
          <w:p w14:paraId="6E62E0DF">
            <w:pPr>
              <w:pStyle w:val="8"/>
              <w:suppressLineNumbers w:val="0"/>
              <w:bidi w:val="0"/>
              <w:spacing w:before="0" w:beforeAutospacing="0" w:after="0" w:afterAutospacing="0"/>
              <w:ind w:left="0" w:right="0"/>
              <w:jc w:val="left"/>
              <w:rPr>
                <w:rFonts w:hint="default"/>
                <w:highlight w:val="none"/>
              </w:rPr>
            </w:pPr>
            <w:r>
              <w:rPr>
                <w:rFonts w:hint="default"/>
                <w:highlight w:val="none"/>
              </w:rPr>
              <w:t>重点保护与珍惜水生生物的栖息地□；重要水生生物的自然产卵场及索饵场、越冬场和洄游通道、天然渔场等渔业水体□；涉水的风景名胜区□；其他□</w:t>
            </w:r>
          </w:p>
        </w:tc>
      </w:tr>
      <w:tr w14:paraId="3175D9F3">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62" w:hRule="atLeast"/>
        </w:trPr>
        <w:tc>
          <w:tcPr>
            <w:tcW w:w="389"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4842D5A1">
            <w:pPr>
              <w:pStyle w:val="8"/>
              <w:suppressLineNumbers w:val="0"/>
              <w:bidi w:val="0"/>
              <w:spacing w:before="0" w:beforeAutospacing="0" w:after="0" w:afterAutospacing="0"/>
              <w:ind w:left="0" w:right="0"/>
              <w:rPr>
                <w:rFonts w:hint="default"/>
                <w:highlight w:val="none"/>
              </w:rPr>
            </w:pPr>
          </w:p>
        </w:tc>
        <w:tc>
          <w:tcPr>
            <w:tcW w:w="2529" w:type="dxa"/>
            <w:vMerge w:val="restart"/>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195DEDC5">
            <w:pPr>
              <w:pStyle w:val="8"/>
              <w:suppressLineNumbers w:val="0"/>
              <w:bidi w:val="0"/>
              <w:spacing w:before="0" w:beforeAutospacing="0" w:after="0" w:afterAutospacing="0"/>
              <w:ind w:left="0" w:right="0"/>
              <w:rPr>
                <w:rFonts w:hint="default"/>
                <w:highlight w:val="none"/>
              </w:rPr>
            </w:pPr>
            <w:r>
              <w:rPr>
                <w:rFonts w:hint="default"/>
                <w:highlight w:val="none"/>
              </w:rPr>
              <w:t>影响途径</w:t>
            </w:r>
          </w:p>
        </w:tc>
        <w:tc>
          <w:tcPr>
            <w:tcW w:w="5059" w:type="dxa"/>
            <w:gridSpan w:val="2"/>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768BDBE4">
            <w:pPr>
              <w:pStyle w:val="8"/>
              <w:suppressLineNumbers w:val="0"/>
              <w:bidi w:val="0"/>
              <w:spacing w:before="0" w:beforeAutospacing="0" w:after="0" w:afterAutospacing="0"/>
              <w:ind w:left="0" w:right="0"/>
              <w:jc w:val="left"/>
              <w:rPr>
                <w:rFonts w:hint="default"/>
                <w:highlight w:val="none"/>
              </w:rPr>
            </w:pPr>
            <w:r>
              <w:rPr>
                <w:rFonts w:hint="default"/>
                <w:highlight w:val="none"/>
              </w:rPr>
              <w:t>水污染影响型</w:t>
            </w:r>
          </w:p>
        </w:tc>
        <w:tc>
          <w:tcPr>
            <w:tcW w:w="6075"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17FFD7DC">
            <w:pPr>
              <w:pStyle w:val="8"/>
              <w:suppressLineNumbers w:val="0"/>
              <w:bidi w:val="0"/>
              <w:spacing w:before="0" w:beforeAutospacing="0" w:after="0" w:afterAutospacing="0"/>
              <w:ind w:left="0" w:right="0"/>
              <w:jc w:val="left"/>
              <w:rPr>
                <w:rFonts w:hint="default"/>
                <w:highlight w:val="none"/>
              </w:rPr>
            </w:pPr>
            <w:r>
              <w:rPr>
                <w:rFonts w:hint="default"/>
                <w:highlight w:val="none"/>
              </w:rPr>
              <w:t>水文要素影响型</w:t>
            </w:r>
          </w:p>
        </w:tc>
      </w:tr>
      <w:tr w14:paraId="566FD2DE">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37" w:hRule="atLeast"/>
        </w:trPr>
        <w:tc>
          <w:tcPr>
            <w:tcW w:w="389"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1EDA703A">
            <w:pPr>
              <w:pStyle w:val="8"/>
              <w:suppressLineNumbers w:val="0"/>
              <w:bidi w:val="0"/>
              <w:spacing w:before="0" w:beforeAutospacing="0" w:after="0" w:afterAutospacing="0"/>
              <w:ind w:left="0" w:right="0"/>
              <w:rPr>
                <w:rFonts w:hint="default"/>
                <w:highlight w:val="none"/>
              </w:rPr>
            </w:pPr>
          </w:p>
        </w:tc>
        <w:tc>
          <w:tcPr>
            <w:tcW w:w="2529"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4C35344F">
            <w:pPr>
              <w:pStyle w:val="8"/>
              <w:suppressLineNumbers w:val="0"/>
              <w:bidi w:val="0"/>
              <w:spacing w:before="0" w:beforeAutospacing="0" w:after="0" w:afterAutospacing="0"/>
              <w:ind w:left="0" w:right="0"/>
              <w:rPr>
                <w:rFonts w:hint="default"/>
                <w:highlight w:val="none"/>
              </w:rPr>
            </w:pPr>
          </w:p>
        </w:tc>
        <w:tc>
          <w:tcPr>
            <w:tcW w:w="5059" w:type="dxa"/>
            <w:gridSpan w:val="2"/>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286BA047">
            <w:pPr>
              <w:pStyle w:val="8"/>
              <w:suppressLineNumbers w:val="0"/>
              <w:bidi w:val="0"/>
              <w:spacing w:before="0" w:beforeAutospacing="0" w:after="0" w:afterAutospacing="0"/>
              <w:ind w:left="0" w:right="0"/>
              <w:jc w:val="left"/>
              <w:rPr>
                <w:rFonts w:hint="default"/>
                <w:highlight w:val="none"/>
              </w:rPr>
            </w:pPr>
            <w:r>
              <w:rPr>
                <w:rFonts w:hint="default"/>
                <w:highlight w:val="none"/>
              </w:rPr>
              <w:t>直接排放□；间接排放√；其他□</w:t>
            </w:r>
          </w:p>
        </w:tc>
        <w:tc>
          <w:tcPr>
            <w:tcW w:w="6075"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11A8C97C">
            <w:pPr>
              <w:pStyle w:val="8"/>
              <w:suppressLineNumbers w:val="0"/>
              <w:bidi w:val="0"/>
              <w:spacing w:before="0" w:beforeAutospacing="0" w:after="0" w:afterAutospacing="0"/>
              <w:ind w:left="0" w:right="0"/>
              <w:jc w:val="left"/>
              <w:rPr>
                <w:rFonts w:hint="default"/>
                <w:highlight w:val="none"/>
              </w:rPr>
            </w:pPr>
            <w:r>
              <w:rPr>
                <w:rFonts w:hint="default"/>
                <w:highlight w:val="none"/>
              </w:rPr>
              <w:t>水温□；径流□；水域面积□</w:t>
            </w:r>
          </w:p>
        </w:tc>
      </w:tr>
      <w:tr w14:paraId="7558777E">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980" w:hRule="atLeast"/>
        </w:trPr>
        <w:tc>
          <w:tcPr>
            <w:tcW w:w="389"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16CEFCA3">
            <w:pPr>
              <w:pStyle w:val="8"/>
              <w:suppressLineNumbers w:val="0"/>
              <w:bidi w:val="0"/>
              <w:spacing w:before="0" w:beforeAutospacing="0" w:after="0" w:afterAutospacing="0"/>
              <w:ind w:left="0" w:right="0"/>
              <w:rPr>
                <w:rFonts w:hint="default"/>
                <w:highlight w:val="none"/>
              </w:rPr>
            </w:pPr>
          </w:p>
        </w:tc>
        <w:tc>
          <w:tcPr>
            <w:tcW w:w="2529"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2DA85A71">
            <w:pPr>
              <w:pStyle w:val="8"/>
              <w:suppressLineNumbers w:val="0"/>
              <w:bidi w:val="0"/>
              <w:spacing w:before="0" w:beforeAutospacing="0" w:after="0" w:afterAutospacing="0"/>
              <w:ind w:left="0" w:right="0"/>
              <w:rPr>
                <w:rFonts w:hint="default"/>
                <w:highlight w:val="none"/>
              </w:rPr>
            </w:pPr>
            <w:r>
              <w:rPr>
                <w:rFonts w:hint="default"/>
                <w:highlight w:val="none"/>
              </w:rPr>
              <w:t>影响因子</w:t>
            </w:r>
          </w:p>
        </w:tc>
        <w:tc>
          <w:tcPr>
            <w:tcW w:w="5059" w:type="dxa"/>
            <w:gridSpan w:val="2"/>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5DE517BB">
            <w:pPr>
              <w:pStyle w:val="8"/>
              <w:suppressLineNumbers w:val="0"/>
              <w:bidi w:val="0"/>
              <w:spacing w:before="0" w:beforeAutospacing="0" w:after="0" w:afterAutospacing="0"/>
              <w:ind w:left="0" w:right="0"/>
              <w:jc w:val="left"/>
              <w:rPr>
                <w:rFonts w:hint="default"/>
                <w:highlight w:val="none"/>
              </w:rPr>
            </w:pPr>
            <w:r>
              <w:rPr>
                <w:rFonts w:hint="default"/>
                <w:highlight w:val="none"/>
              </w:rPr>
              <w:t>持久性污染物□；有毒有害污染物□；非持久性污染物√；</w:t>
            </w:r>
          </w:p>
          <w:p w14:paraId="2EEABEEB">
            <w:pPr>
              <w:pStyle w:val="8"/>
              <w:suppressLineNumbers w:val="0"/>
              <w:bidi w:val="0"/>
              <w:spacing w:before="0" w:beforeAutospacing="0" w:after="0" w:afterAutospacing="0"/>
              <w:ind w:left="0" w:right="0"/>
              <w:jc w:val="left"/>
              <w:rPr>
                <w:rFonts w:hint="default"/>
                <w:highlight w:val="none"/>
              </w:rPr>
            </w:pPr>
            <w:r>
              <w:rPr>
                <w:rFonts w:hint="default"/>
                <w:highlight w:val="none"/>
              </w:rPr>
              <w:t>pH值□；热污染□；富营养化□；其他□</w:t>
            </w:r>
          </w:p>
        </w:tc>
        <w:tc>
          <w:tcPr>
            <w:tcW w:w="6075"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1D8C17FB">
            <w:pPr>
              <w:pStyle w:val="8"/>
              <w:suppressLineNumbers w:val="0"/>
              <w:bidi w:val="0"/>
              <w:spacing w:before="0" w:beforeAutospacing="0" w:after="0" w:afterAutospacing="0"/>
              <w:ind w:left="0" w:right="0"/>
              <w:jc w:val="left"/>
              <w:rPr>
                <w:rFonts w:hint="default"/>
                <w:highlight w:val="none"/>
              </w:rPr>
            </w:pPr>
            <w:r>
              <w:rPr>
                <w:rFonts w:hint="default"/>
                <w:highlight w:val="none"/>
              </w:rPr>
              <w:t>水温□；水位（水深□）；流速□；流量□；其他□</w:t>
            </w:r>
          </w:p>
        </w:tc>
      </w:tr>
      <w:tr w14:paraId="205535D6">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22" w:hRule="atLeast"/>
        </w:trPr>
        <w:tc>
          <w:tcPr>
            <w:tcW w:w="2918" w:type="dxa"/>
            <w:gridSpan w:val="2"/>
            <w:vMerge w:val="restart"/>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2AA10E38">
            <w:pPr>
              <w:pStyle w:val="8"/>
              <w:suppressLineNumbers w:val="0"/>
              <w:bidi w:val="0"/>
              <w:spacing w:before="0" w:beforeAutospacing="0" w:after="0" w:afterAutospacing="0"/>
              <w:ind w:left="0" w:right="0"/>
              <w:rPr>
                <w:rFonts w:hint="default"/>
                <w:highlight w:val="none"/>
              </w:rPr>
            </w:pPr>
            <w:r>
              <w:rPr>
                <w:rFonts w:hint="default"/>
                <w:highlight w:val="none"/>
              </w:rPr>
              <w:t>评价等级</w:t>
            </w:r>
          </w:p>
        </w:tc>
        <w:tc>
          <w:tcPr>
            <w:tcW w:w="5059" w:type="dxa"/>
            <w:gridSpan w:val="2"/>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0C836B1B">
            <w:pPr>
              <w:pStyle w:val="8"/>
              <w:suppressLineNumbers w:val="0"/>
              <w:bidi w:val="0"/>
              <w:spacing w:before="0" w:beforeAutospacing="0" w:after="0" w:afterAutospacing="0"/>
              <w:ind w:left="0" w:right="0"/>
              <w:jc w:val="left"/>
              <w:rPr>
                <w:rFonts w:hint="default"/>
                <w:highlight w:val="none"/>
              </w:rPr>
            </w:pPr>
            <w:r>
              <w:rPr>
                <w:rFonts w:hint="default"/>
                <w:highlight w:val="none"/>
              </w:rPr>
              <w:t>水污染影响型</w:t>
            </w:r>
          </w:p>
        </w:tc>
        <w:tc>
          <w:tcPr>
            <w:tcW w:w="6075"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2C3AAA72">
            <w:pPr>
              <w:pStyle w:val="8"/>
              <w:suppressLineNumbers w:val="0"/>
              <w:bidi w:val="0"/>
              <w:spacing w:before="0" w:beforeAutospacing="0" w:after="0" w:afterAutospacing="0"/>
              <w:ind w:left="0" w:right="0"/>
              <w:jc w:val="left"/>
              <w:rPr>
                <w:rFonts w:hint="default"/>
                <w:highlight w:val="none"/>
              </w:rPr>
            </w:pPr>
            <w:r>
              <w:rPr>
                <w:rFonts w:hint="default"/>
                <w:highlight w:val="none"/>
              </w:rPr>
              <w:t>水文要素影响型</w:t>
            </w:r>
          </w:p>
        </w:tc>
      </w:tr>
      <w:tr w14:paraId="6D34C447">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170" w:hRule="atLeast"/>
        </w:trPr>
        <w:tc>
          <w:tcPr>
            <w:tcW w:w="2918" w:type="dxa"/>
            <w:gridSpan w:val="2"/>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7F4F2A6E">
            <w:pPr>
              <w:pStyle w:val="8"/>
              <w:suppressLineNumbers w:val="0"/>
              <w:bidi w:val="0"/>
              <w:spacing w:before="0" w:beforeAutospacing="0" w:after="0" w:afterAutospacing="0"/>
              <w:ind w:left="0" w:right="0"/>
              <w:rPr>
                <w:rFonts w:hint="default"/>
                <w:highlight w:val="none"/>
              </w:rPr>
            </w:pPr>
          </w:p>
        </w:tc>
        <w:tc>
          <w:tcPr>
            <w:tcW w:w="5059" w:type="dxa"/>
            <w:gridSpan w:val="2"/>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0626B21C">
            <w:pPr>
              <w:pStyle w:val="8"/>
              <w:suppressLineNumbers w:val="0"/>
              <w:bidi w:val="0"/>
              <w:spacing w:before="0" w:beforeAutospacing="0" w:after="0" w:afterAutospacing="0"/>
              <w:ind w:left="0" w:right="0"/>
              <w:jc w:val="left"/>
              <w:rPr>
                <w:rFonts w:hint="default"/>
                <w:highlight w:val="none"/>
              </w:rPr>
            </w:pPr>
            <w:r>
              <w:rPr>
                <w:rFonts w:hint="default"/>
                <w:highlight w:val="none"/>
              </w:rPr>
              <w:t>一级□；二级□；三级A□；三级B√</w:t>
            </w:r>
          </w:p>
        </w:tc>
        <w:tc>
          <w:tcPr>
            <w:tcW w:w="6075"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7A7EE6AE">
            <w:pPr>
              <w:pStyle w:val="8"/>
              <w:suppressLineNumbers w:val="0"/>
              <w:bidi w:val="0"/>
              <w:spacing w:before="0" w:beforeAutospacing="0" w:after="0" w:afterAutospacing="0"/>
              <w:ind w:left="0" w:right="0"/>
              <w:jc w:val="left"/>
              <w:rPr>
                <w:rFonts w:hint="default"/>
                <w:highlight w:val="none"/>
              </w:rPr>
            </w:pPr>
            <w:r>
              <w:rPr>
                <w:rFonts w:hint="default"/>
                <w:highlight w:val="none"/>
              </w:rPr>
              <w:t>一级□；二级□；三级□</w:t>
            </w:r>
          </w:p>
        </w:tc>
      </w:tr>
      <w:tr w14:paraId="15F14BFE">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22" w:hRule="atLeast"/>
        </w:trPr>
        <w:tc>
          <w:tcPr>
            <w:tcW w:w="389" w:type="dxa"/>
            <w:vMerge w:val="restart"/>
            <w:tcBorders>
              <w:top w:val="single" w:color="000000" w:themeColor="text1" w:sz="6" w:space="0"/>
              <w:left w:val="single" w:color="000000" w:themeColor="text1" w:sz="12" w:space="0"/>
              <w:bottom w:val="single" w:color="000000" w:themeColor="text1" w:sz="12" w:space="0"/>
              <w:right w:val="single" w:color="000000" w:themeColor="text1" w:sz="6" w:space="0"/>
            </w:tcBorders>
            <w:vAlign w:val="center"/>
          </w:tcPr>
          <w:p w14:paraId="0D3082D4">
            <w:pPr>
              <w:pStyle w:val="8"/>
              <w:suppressLineNumbers w:val="0"/>
              <w:bidi w:val="0"/>
              <w:spacing w:before="0" w:beforeAutospacing="0" w:after="0" w:afterAutospacing="0"/>
              <w:ind w:left="0" w:right="0"/>
              <w:rPr>
                <w:rFonts w:hint="default"/>
                <w:highlight w:val="none"/>
              </w:rPr>
            </w:pPr>
            <w:r>
              <w:rPr>
                <w:rFonts w:hint="default"/>
                <w:highlight w:val="none"/>
              </w:rPr>
              <w:t>现状调查</w:t>
            </w:r>
          </w:p>
        </w:tc>
        <w:tc>
          <w:tcPr>
            <w:tcW w:w="2529" w:type="dxa"/>
            <w:vMerge w:val="restart"/>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27581CEA">
            <w:pPr>
              <w:pStyle w:val="8"/>
              <w:suppressLineNumbers w:val="0"/>
              <w:bidi w:val="0"/>
              <w:spacing w:before="0" w:beforeAutospacing="0" w:after="0" w:afterAutospacing="0"/>
              <w:ind w:left="0" w:right="0"/>
              <w:rPr>
                <w:rFonts w:hint="default"/>
                <w:highlight w:val="none"/>
              </w:rPr>
            </w:pPr>
            <w:r>
              <w:rPr>
                <w:rFonts w:hint="default"/>
                <w:highlight w:val="none"/>
              </w:rPr>
              <w:t>区域污染源</w:t>
            </w:r>
          </w:p>
        </w:tc>
        <w:tc>
          <w:tcPr>
            <w:tcW w:w="5059" w:type="dxa"/>
            <w:gridSpan w:val="2"/>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621F54C2">
            <w:pPr>
              <w:pStyle w:val="8"/>
              <w:suppressLineNumbers w:val="0"/>
              <w:bidi w:val="0"/>
              <w:spacing w:before="0" w:beforeAutospacing="0" w:after="0" w:afterAutospacing="0"/>
              <w:ind w:left="0" w:right="0"/>
              <w:jc w:val="left"/>
              <w:rPr>
                <w:rFonts w:hint="default"/>
                <w:highlight w:val="none"/>
              </w:rPr>
            </w:pPr>
            <w:r>
              <w:rPr>
                <w:rFonts w:hint="default"/>
                <w:highlight w:val="none"/>
              </w:rPr>
              <w:t>调查项目</w:t>
            </w:r>
          </w:p>
        </w:tc>
        <w:tc>
          <w:tcPr>
            <w:tcW w:w="6075"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26462B8E">
            <w:pPr>
              <w:pStyle w:val="8"/>
              <w:suppressLineNumbers w:val="0"/>
              <w:bidi w:val="0"/>
              <w:spacing w:before="0" w:beforeAutospacing="0" w:after="0" w:afterAutospacing="0"/>
              <w:ind w:left="0" w:right="0"/>
              <w:jc w:val="left"/>
              <w:rPr>
                <w:rFonts w:hint="default"/>
                <w:highlight w:val="none"/>
              </w:rPr>
            </w:pPr>
            <w:r>
              <w:rPr>
                <w:rFonts w:hint="default"/>
                <w:highlight w:val="none"/>
              </w:rPr>
              <w:t>数据起源</w:t>
            </w:r>
          </w:p>
        </w:tc>
      </w:tr>
      <w:tr w14:paraId="4D9E1B3F">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675" w:hRule="atLeast"/>
        </w:trPr>
        <w:tc>
          <w:tcPr>
            <w:tcW w:w="389" w:type="dxa"/>
            <w:vMerge w:val="continue"/>
            <w:tcBorders>
              <w:top w:val="single" w:color="000000" w:themeColor="text1" w:sz="6" w:space="0"/>
              <w:left w:val="single" w:color="000000" w:themeColor="text1" w:sz="12" w:space="0"/>
              <w:bottom w:val="single" w:color="000000" w:themeColor="text1" w:sz="12" w:space="0"/>
              <w:right w:val="single" w:color="000000" w:themeColor="text1" w:sz="6" w:space="0"/>
            </w:tcBorders>
            <w:vAlign w:val="center"/>
          </w:tcPr>
          <w:p w14:paraId="02FAFC3B">
            <w:pPr>
              <w:pStyle w:val="8"/>
              <w:suppressLineNumbers w:val="0"/>
              <w:bidi w:val="0"/>
              <w:spacing w:before="0" w:beforeAutospacing="0" w:after="0" w:afterAutospacing="0"/>
              <w:ind w:left="0" w:right="0"/>
              <w:rPr>
                <w:rFonts w:hint="default"/>
                <w:highlight w:val="none"/>
              </w:rPr>
            </w:pPr>
          </w:p>
        </w:tc>
        <w:tc>
          <w:tcPr>
            <w:tcW w:w="2529"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1D81BCD9">
            <w:pPr>
              <w:pStyle w:val="8"/>
              <w:suppressLineNumbers w:val="0"/>
              <w:bidi w:val="0"/>
              <w:spacing w:before="0" w:beforeAutospacing="0" w:after="0" w:afterAutospacing="0"/>
              <w:ind w:left="0" w:right="0"/>
              <w:rPr>
                <w:rFonts w:hint="default"/>
                <w:highlight w:val="none"/>
              </w:rPr>
            </w:pPr>
          </w:p>
        </w:tc>
        <w:tc>
          <w:tcPr>
            <w:tcW w:w="2389"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4EEEF191">
            <w:pPr>
              <w:pStyle w:val="8"/>
              <w:suppressLineNumbers w:val="0"/>
              <w:bidi w:val="0"/>
              <w:spacing w:before="0" w:beforeAutospacing="0" w:after="0" w:afterAutospacing="0"/>
              <w:ind w:left="0" w:right="0"/>
              <w:jc w:val="left"/>
              <w:rPr>
                <w:rFonts w:hint="default"/>
                <w:highlight w:val="none"/>
              </w:rPr>
            </w:pPr>
            <w:r>
              <w:rPr>
                <w:rFonts w:hint="default"/>
                <w:highlight w:val="none"/>
              </w:rPr>
              <w:t>已建□；在建□；拟建□；其他□</w:t>
            </w:r>
          </w:p>
        </w:tc>
        <w:tc>
          <w:tcPr>
            <w:tcW w:w="2670"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72992CA6">
            <w:pPr>
              <w:pStyle w:val="8"/>
              <w:suppressLineNumbers w:val="0"/>
              <w:bidi w:val="0"/>
              <w:spacing w:before="0" w:beforeAutospacing="0" w:after="0" w:afterAutospacing="0"/>
              <w:ind w:left="0" w:right="0"/>
              <w:jc w:val="left"/>
              <w:rPr>
                <w:rFonts w:hint="default"/>
                <w:highlight w:val="none"/>
              </w:rPr>
            </w:pPr>
            <w:r>
              <w:rPr>
                <w:rFonts w:hint="default"/>
                <w:highlight w:val="none"/>
              </w:rPr>
              <w:t>拟替代的污染源□</w:t>
            </w:r>
          </w:p>
        </w:tc>
        <w:tc>
          <w:tcPr>
            <w:tcW w:w="6075"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386AF63C">
            <w:pPr>
              <w:pStyle w:val="8"/>
              <w:suppressLineNumbers w:val="0"/>
              <w:bidi w:val="0"/>
              <w:spacing w:before="0" w:beforeAutospacing="0" w:after="0" w:afterAutospacing="0"/>
              <w:ind w:left="0" w:right="0"/>
              <w:jc w:val="left"/>
              <w:rPr>
                <w:rFonts w:hint="default"/>
                <w:highlight w:val="none"/>
              </w:rPr>
            </w:pPr>
            <w:r>
              <w:rPr>
                <w:rFonts w:hint="default"/>
                <w:highlight w:val="none"/>
              </w:rPr>
              <w:t>排污许可证□；环评□；环保验收□；既有实测□；现场监测□；入河排放口数据□；其他□</w:t>
            </w:r>
          </w:p>
        </w:tc>
      </w:tr>
      <w:tr w14:paraId="68BAA363">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69" w:hRule="atLeast"/>
        </w:trPr>
        <w:tc>
          <w:tcPr>
            <w:tcW w:w="389" w:type="dxa"/>
            <w:vMerge w:val="continue"/>
            <w:tcBorders>
              <w:top w:val="single" w:color="000000" w:themeColor="text1" w:sz="6" w:space="0"/>
              <w:left w:val="single" w:color="000000" w:themeColor="text1" w:sz="12" w:space="0"/>
              <w:bottom w:val="single" w:color="000000" w:themeColor="text1" w:sz="12" w:space="0"/>
              <w:right w:val="single" w:color="000000" w:themeColor="text1" w:sz="6" w:space="0"/>
            </w:tcBorders>
            <w:vAlign w:val="center"/>
          </w:tcPr>
          <w:p w14:paraId="31E01AE5">
            <w:pPr>
              <w:pStyle w:val="8"/>
              <w:suppressLineNumbers w:val="0"/>
              <w:bidi w:val="0"/>
              <w:spacing w:before="0" w:beforeAutospacing="0" w:after="0" w:afterAutospacing="0"/>
              <w:ind w:left="0" w:right="0"/>
              <w:rPr>
                <w:rFonts w:hint="default"/>
                <w:highlight w:val="none"/>
              </w:rPr>
            </w:pPr>
          </w:p>
        </w:tc>
        <w:tc>
          <w:tcPr>
            <w:tcW w:w="2529" w:type="dxa"/>
            <w:vMerge w:val="restart"/>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78C7D2EE">
            <w:pPr>
              <w:pStyle w:val="8"/>
              <w:suppressLineNumbers w:val="0"/>
              <w:bidi w:val="0"/>
              <w:spacing w:before="0" w:beforeAutospacing="0" w:after="0" w:afterAutospacing="0"/>
              <w:ind w:left="0" w:right="0"/>
              <w:rPr>
                <w:rFonts w:hint="default"/>
                <w:highlight w:val="none"/>
              </w:rPr>
            </w:pPr>
            <w:r>
              <w:rPr>
                <w:rFonts w:hint="default"/>
                <w:highlight w:val="none"/>
              </w:rPr>
              <w:t>受影响水体环境质量</w:t>
            </w:r>
          </w:p>
        </w:tc>
        <w:tc>
          <w:tcPr>
            <w:tcW w:w="5059" w:type="dxa"/>
            <w:gridSpan w:val="2"/>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6C941531">
            <w:pPr>
              <w:pStyle w:val="8"/>
              <w:suppressLineNumbers w:val="0"/>
              <w:bidi w:val="0"/>
              <w:spacing w:before="0" w:beforeAutospacing="0" w:after="0" w:afterAutospacing="0"/>
              <w:ind w:left="0" w:right="0"/>
              <w:jc w:val="left"/>
              <w:rPr>
                <w:rFonts w:hint="default"/>
                <w:highlight w:val="none"/>
              </w:rPr>
            </w:pPr>
            <w:r>
              <w:rPr>
                <w:rFonts w:hint="default"/>
                <w:highlight w:val="none"/>
              </w:rPr>
              <w:t>调查时期</w:t>
            </w:r>
          </w:p>
        </w:tc>
        <w:tc>
          <w:tcPr>
            <w:tcW w:w="6075"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24FCD6F0">
            <w:pPr>
              <w:pStyle w:val="8"/>
              <w:suppressLineNumbers w:val="0"/>
              <w:bidi w:val="0"/>
              <w:spacing w:before="0" w:beforeAutospacing="0" w:after="0" w:afterAutospacing="0"/>
              <w:ind w:left="0" w:right="0"/>
              <w:jc w:val="left"/>
              <w:rPr>
                <w:rFonts w:hint="default"/>
                <w:highlight w:val="none"/>
              </w:rPr>
            </w:pPr>
            <w:r>
              <w:rPr>
                <w:rFonts w:hint="default"/>
                <w:highlight w:val="none"/>
              </w:rPr>
              <w:t>数据起源</w:t>
            </w:r>
          </w:p>
        </w:tc>
      </w:tr>
      <w:tr w14:paraId="60B7012E">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675" w:hRule="atLeast"/>
        </w:trPr>
        <w:tc>
          <w:tcPr>
            <w:tcW w:w="389" w:type="dxa"/>
            <w:vMerge w:val="continue"/>
            <w:tcBorders>
              <w:top w:val="single" w:color="000000" w:themeColor="text1" w:sz="6" w:space="0"/>
              <w:left w:val="single" w:color="000000" w:themeColor="text1" w:sz="12" w:space="0"/>
              <w:bottom w:val="single" w:color="000000" w:themeColor="text1" w:sz="12" w:space="0"/>
              <w:right w:val="single" w:color="000000" w:themeColor="text1" w:sz="6" w:space="0"/>
            </w:tcBorders>
            <w:vAlign w:val="center"/>
          </w:tcPr>
          <w:p w14:paraId="45F73E53">
            <w:pPr>
              <w:pStyle w:val="8"/>
              <w:suppressLineNumbers w:val="0"/>
              <w:bidi w:val="0"/>
              <w:spacing w:before="0" w:beforeAutospacing="0" w:after="0" w:afterAutospacing="0"/>
              <w:ind w:left="0" w:right="0"/>
              <w:rPr>
                <w:rFonts w:hint="default"/>
                <w:highlight w:val="none"/>
              </w:rPr>
            </w:pPr>
          </w:p>
        </w:tc>
        <w:tc>
          <w:tcPr>
            <w:tcW w:w="2529"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5ED6CF75">
            <w:pPr>
              <w:pStyle w:val="8"/>
              <w:suppressLineNumbers w:val="0"/>
              <w:bidi w:val="0"/>
              <w:spacing w:before="0" w:beforeAutospacing="0" w:after="0" w:afterAutospacing="0"/>
              <w:ind w:left="0" w:right="0"/>
              <w:rPr>
                <w:rFonts w:hint="default"/>
                <w:highlight w:val="none"/>
              </w:rPr>
            </w:pPr>
          </w:p>
        </w:tc>
        <w:tc>
          <w:tcPr>
            <w:tcW w:w="5059" w:type="dxa"/>
            <w:gridSpan w:val="2"/>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18CA6172">
            <w:pPr>
              <w:pStyle w:val="8"/>
              <w:suppressLineNumbers w:val="0"/>
              <w:bidi w:val="0"/>
              <w:spacing w:before="0" w:beforeAutospacing="0" w:after="0" w:afterAutospacing="0"/>
              <w:ind w:left="0" w:right="0"/>
              <w:jc w:val="left"/>
              <w:rPr>
                <w:rFonts w:hint="eastAsia"/>
                <w:highlight w:val="none"/>
                <w:lang w:eastAsia="zh-CN"/>
              </w:rPr>
            </w:pPr>
            <w:r>
              <w:rPr>
                <w:rFonts w:hint="default"/>
                <w:highlight w:val="none"/>
              </w:rPr>
              <w:t>丰水期□；平水期√；枯水期√；冰封期√</w:t>
            </w:r>
          </w:p>
          <w:p w14:paraId="5A2C5B62">
            <w:pPr>
              <w:pStyle w:val="8"/>
              <w:suppressLineNumbers w:val="0"/>
              <w:bidi w:val="0"/>
              <w:spacing w:before="0" w:beforeAutospacing="0" w:after="0" w:afterAutospacing="0"/>
              <w:ind w:left="0" w:right="0"/>
              <w:jc w:val="left"/>
              <w:rPr>
                <w:rFonts w:hint="default"/>
                <w:highlight w:val="none"/>
              </w:rPr>
            </w:pPr>
            <w:r>
              <w:rPr>
                <w:rFonts w:hint="default"/>
                <w:highlight w:val="none"/>
              </w:rPr>
              <w:t>春季√；夏季√；秋季√；冬季√</w:t>
            </w:r>
          </w:p>
        </w:tc>
        <w:tc>
          <w:tcPr>
            <w:tcW w:w="6075"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0A489D55">
            <w:pPr>
              <w:pStyle w:val="8"/>
              <w:suppressLineNumbers w:val="0"/>
              <w:bidi w:val="0"/>
              <w:spacing w:before="0" w:beforeAutospacing="0" w:after="0" w:afterAutospacing="0"/>
              <w:ind w:left="0" w:right="0"/>
              <w:jc w:val="left"/>
              <w:rPr>
                <w:rFonts w:hint="default"/>
                <w:highlight w:val="none"/>
              </w:rPr>
            </w:pPr>
            <w:r>
              <w:rPr>
                <w:rFonts w:hint="default"/>
                <w:highlight w:val="none"/>
              </w:rPr>
              <w:t>生态环境保护主管部门√；补充监测□；其他□</w:t>
            </w:r>
          </w:p>
        </w:tc>
      </w:tr>
      <w:tr w14:paraId="0922C047">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53" w:hRule="atLeast"/>
        </w:trPr>
        <w:tc>
          <w:tcPr>
            <w:tcW w:w="389" w:type="dxa"/>
            <w:vMerge w:val="continue"/>
            <w:tcBorders>
              <w:top w:val="single" w:color="000000" w:themeColor="text1" w:sz="6" w:space="0"/>
              <w:left w:val="single" w:color="000000" w:themeColor="text1" w:sz="12" w:space="0"/>
              <w:bottom w:val="single" w:color="000000" w:themeColor="text1" w:sz="12" w:space="0"/>
              <w:right w:val="single" w:color="000000" w:themeColor="text1" w:sz="6" w:space="0"/>
            </w:tcBorders>
            <w:vAlign w:val="center"/>
          </w:tcPr>
          <w:p w14:paraId="63A7B854">
            <w:pPr>
              <w:pStyle w:val="8"/>
              <w:suppressLineNumbers w:val="0"/>
              <w:bidi w:val="0"/>
              <w:spacing w:before="0" w:beforeAutospacing="0" w:after="0" w:afterAutospacing="0"/>
              <w:ind w:left="0" w:right="0"/>
              <w:rPr>
                <w:rFonts w:hint="default"/>
                <w:highlight w:val="none"/>
              </w:rPr>
            </w:pPr>
          </w:p>
        </w:tc>
        <w:tc>
          <w:tcPr>
            <w:tcW w:w="2529"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5F62BDF1">
            <w:pPr>
              <w:pStyle w:val="8"/>
              <w:suppressLineNumbers w:val="0"/>
              <w:bidi w:val="0"/>
              <w:spacing w:before="0" w:beforeAutospacing="0" w:after="0" w:afterAutospacing="0"/>
              <w:ind w:left="0" w:right="0"/>
              <w:rPr>
                <w:rFonts w:hint="default"/>
                <w:highlight w:val="none"/>
              </w:rPr>
            </w:pPr>
            <w:r>
              <w:rPr>
                <w:rFonts w:hint="default"/>
                <w:highlight w:val="none"/>
              </w:rPr>
              <w:t>区域水资源开发利用状况</w:t>
            </w:r>
          </w:p>
        </w:tc>
        <w:tc>
          <w:tcPr>
            <w:tcW w:w="11134" w:type="dxa"/>
            <w:gridSpan w:val="3"/>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077DC4B1">
            <w:pPr>
              <w:pStyle w:val="8"/>
              <w:suppressLineNumbers w:val="0"/>
              <w:bidi w:val="0"/>
              <w:spacing w:before="0" w:beforeAutospacing="0" w:after="0" w:afterAutospacing="0"/>
              <w:ind w:left="0" w:right="0"/>
              <w:jc w:val="left"/>
              <w:rPr>
                <w:rFonts w:hint="default"/>
                <w:highlight w:val="none"/>
              </w:rPr>
            </w:pPr>
            <w:r>
              <w:rPr>
                <w:rFonts w:hint="default"/>
                <w:highlight w:val="none"/>
              </w:rPr>
              <w:t>未开发□；开发量40%以下□；开发量40%以上□</w:t>
            </w:r>
          </w:p>
        </w:tc>
      </w:tr>
      <w:tr w14:paraId="4F3F966C">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53" w:hRule="atLeast"/>
        </w:trPr>
        <w:tc>
          <w:tcPr>
            <w:tcW w:w="389" w:type="dxa"/>
            <w:vMerge w:val="continue"/>
            <w:tcBorders>
              <w:top w:val="single" w:color="000000" w:themeColor="text1" w:sz="6" w:space="0"/>
              <w:left w:val="single" w:color="000000" w:themeColor="text1" w:sz="12" w:space="0"/>
              <w:bottom w:val="single" w:color="000000" w:themeColor="text1" w:sz="12" w:space="0"/>
              <w:right w:val="single" w:color="000000" w:themeColor="text1" w:sz="6" w:space="0"/>
            </w:tcBorders>
            <w:vAlign w:val="center"/>
          </w:tcPr>
          <w:p w14:paraId="2E62189D">
            <w:pPr>
              <w:pStyle w:val="8"/>
              <w:suppressLineNumbers w:val="0"/>
              <w:bidi w:val="0"/>
              <w:spacing w:before="0" w:beforeAutospacing="0" w:after="0" w:afterAutospacing="0"/>
              <w:ind w:left="0" w:right="0"/>
              <w:rPr>
                <w:rFonts w:hint="default"/>
                <w:highlight w:val="none"/>
              </w:rPr>
            </w:pPr>
          </w:p>
        </w:tc>
        <w:tc>
          <w:tcPr>
            <w:tcW w:w="2529" w:type="dxa"/>
            <w:vMerge w:val="restart"/>
            <w:tcBorders>
              <w:top w:val="single" w:color="000000" w:themeColor="text1" w:sz="6" w:space="0"/>
              <w:left w:val="single" w:color="000000" w:themeColor="text1" w:sz="6" w:space="0"/>
              <w:bottom w:val="single" w:color="000000" w:themeColor="text1" w:sz="12" w:space="0"/>
              <w:right w:val="single" w:color="000000" w:themeColor="text1" w:sz="6" w:space="0"/>
            </w:tcBorders>
            <w:vAlign w:val="center"/>
          </w:tcPr>
          <w:p w14:paraId="0EA71ACB">
            <w:pPr>
              <w:pStyle w:val="8"/>
              <w:suppressLineNumbers w:val="0"/>
              <w:bidi w:val="0"/>
              <w:spacing w:before="0" w:beforeAutospacing="0" w:after="0" w:afterAutospacing="0"/>
              <w:ind w:left="0" w:right="0"/>
              <w:rPr>
                <w:rFonts w:hint="default"/>
                <w:highlight w:val="none"/>
              </w:rPr>
            </w:pPr>
            <w:r>
              <w:rPr>
                <w:rFonts w:hint="default"/>
                <w:highlight w:val="none"/>
              </w:rPr>
              <w:t>水文情势调查</w:t>
            </w:r>
          </w:p>
        </w:tc>
        <w:tc>
          <w:tcPr>
            <w:tcW w:w="5059" w:type="dxa"/>
            <w:gridSpan w:val="2"/>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4F03D977">
            <w:pPr>
              <w:pStyle w:val="8"/>
              <w:suppressLineNumbers w:val="0"/>
              <w:bidi w:val="0"/>
              <w:spacing w:before="0" w:beforeAutospacing="0" w:after="0" w:afterAutospacing="0"/>
              <w:ind w:left="0" w:right="0"/>
              <w:jc w:val="left"/>
              <w:rPr>
                <w:rFonts w:hint="default"/>
                <w:highlight w:val="none"/>
              </w:rPr>
            </w:pPr>
            <w:r>
              <w:rPr>
                <w:rFonts w:hint="default"/>
                <w:highlight w:val="none"/>
              </w:rPr>
              <w:t>调查时期</w:t>
            </w:r>
          </w:p>
        </w:tc>
        <w:tc>
          <w:tcPr>
            <w:tcW w:w="6075"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51B9C1FA">
            <w:pPr>
              <w:pStyle w:val="8"/>
              <w:suppressLineNumbers w:val="0"/>
              <w:bidi w:val="0"/>
              <w:spacing w:before="0" w:beforeAutospacing="0" w:after="0" w:afterAutospacing="0"/>
              <w:ind w:left="0" w:right="0"/>
              <w:jc w:val="left"/>
              <w:rPr>
                <w:rFonts w:hint="default"/>
                <w:highlight w:val="none"/>
              </w:rPr>
            </w:pPr>
            <w:r>
              <w:rPr>
                <w:rFonts w:hint="default"/>
                <w:highlight w:val="none"/>
              </w:rPr>
              <w:t>数据来源</w:t>
            </w:r>
          </w:p>
        </w:tc>
      </w:tr>
      <w:tr w14:paraId="2FC4BA6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690" w:hRule="atLeast"/>
        </w:trPr>
        <w:tc>
          <w:tcPr>
            <w:tcW w:w="389" w:type="dxa"/>
            <w:vMerge w:val="continue"/>
            <w:tcBorders>
              <w:top w:val="single" w:color="000000" w:themeColor="text1" w:sz="6" w:space="0"/>
              <w:left w:val="single" w:color="000000" w:themeColor="text1" w:sz="12" w:space="0"/>
              <w:bottom w:val="single" w:color="000000" w:themeColor="text1" w:sz="12" w:space="0"/>
              <w:right w:val="single" w:color="000000" w:themeColor="text1" w:sz="6" w:space="0"/>
            </w:tcBorders>
            <w:vAlign w:val="center"/>
          </w:tcPr>
          <w:p w14:paraId="371096AE">
            <w:pPr>
              <w:pStyle w:val="8"/>
              <w:suppressLineNumbers w:val="0"/>
              <w:bidi w:val="0"/>
              <w:spacing w:before="0" w:beforeAutospacing="0" w:after="0" w:afterAutospacing="0"/>
              <w:ind w:left="0" w:right="0"/>
              <w:rPr>
                <w:rFonts w:hint="default"/>
                <w:highlight w:val="none"/>
              </w:rPr>
            </w:pPr>
          </w:p>
        </w:tc>
        <w:tc>
          <w:tcPr>
            <w:tcW w:w="2529" w:type="dxa"/>
            <w:vMerge w:val="continue"/>
            <w:tcBorders>
              <w:top w:val="single" w:color="000000" w:themeColor="text1" w:sz="6" w:space="0"/>
              <w:left w:val="single" w:color="000000" w:themeColor="text1" w:sz="6" w:space="0"/>
              <w:bottom w:val="single" w:color="000000" w:themeColor="text1" w:sz="12" w:space="0"/>
              <w:right w:val="single" w:color="000000" w:themeColor="text1" w:sz="6" w:space="0"/>
            </w:tcBorders>
            <w:vAlign w:val="center"/>
          </w:tcPr>
          <w:p w14:paraId="2D91C255">
            <w:pPr>
              <w:pStyle w:val="8"/>
              <w:suppressLineNumbers w:val="0"/>
              <w:bidi w:val="0"/>
              <w:spacing w:before="0" w:beforeAutospacing="0" w:after="0" w:afterAutospacing="0"/>
              <w:ind w:left="0" w:right="0"/>
              <w:rPr>
                <w:rFonts w:hint="default"/>
                <w:highlight w:val="none"/>
              </w:rPr>
            </w:pPr>
          </w:p>
        </w:tc>
        <w:tc>
          <w:tcPr>
            <w:tcW w:w="5059" w:type="dxa"/>
            <w:gridSpan w:val="2"/>
            <w:tcBorders>
              <w:top w:val="single" w:color="000000" w:themeColor="text1" w:sz="6" w:space="0"/>
              <w:left w:val="single" w:color="000000" w:themeColor="text1" w:sz="6" w:space="0"/>
              <w:bottom w:val="single" w:color="000000" w:themeColor="text1" w:sz="12" w:space="0"/>
              <w:right w:val="single" w:color="000000" w:themeColor="text1" w:sz="6" w:space="0"/>
            </w:tcBorders>
            <w:vAlign w:val="center"/>
          </w:tcPr>
          <w:p w14:paraId="709625FB">
            <w:pPr>
              <w:pStyle w:val="8"/>
              <w:suppressLineNumbers w:val="0"/>
              <w:bidi w:val="0"/>
              <w:spacing w:before="0" w:beforeAutospacing="0" w:after="0" w:afterAutospacing="0"/>
              <w:ind w:left="0" w:right="0"/>
              <w:jc w:val="left"/>
              <w:rPr>
                <w:rFonts w:hint="default"/>
                <w:highlight w:val="none"/>
              </w:rPr>
            </w:pPr>
            <w:r>
              <w:rPr>
                <w:rFonts w:hint="default"/>
                <w:highlight w:val="none"/>
              </w:rPr>
              <w:t>丰水期□；平水期□；枯水期□；冰封期□</w:t>
            </w:r>
          </w:p>
          <w:p w14:paraId="5D527710">
            <w:pPr>
              <w:pStyle w:val="8"/>
              <w:suppressLineNumbers w:val="0"/>
              <w:bidi w:val="0"/>
              <w:spacing w:before="0" w:beforeAutospacing="0" w:after="0" w:afterAutospacing="0"/>
              <w:ind w:left="0" w:right="0"/>
              <w:jc w:val="left"/>
              <w:rPr>
                <w:rFonts w:hint="default"/>
                <w:highlight w:val="none"/>
              </w:rPr>
            </w:pPr>
            <w:r>
              <w:rPr>
                <w:rFonts w:hint="default"/>
                <w:highlight w:val="none"/>
              </w:rPr>
              <w:t>春季□；夏季□；秋季□；冬季□</w:t>
            </w:r>
          </w:p>
        </w:tc>
        <w:tc>
          <w:tcPr>
            <w:tcW w:w="6075" w:type="dxa"/>
            <w:tcBorders>
              <w:top w:val="single" w:color="000000" w:themeColor="text1" w:sz="6" w:space="0"/>
              <w:left w:val="single" w:color="000000" w:themeColor="text1" w:sz="6" w:space="0"/>
              <w:bottom w:val="single" w:color="000000" w:themeColor="text1" w:sz="12" w:space="0"/>
              <w:right w:val="single" w:color="000000" w:themeColor="text1" w:sz="12" w:space="0"/>
            </w:tcBorders>
            <w:vAlign w:val="center"/>
          </w:tcPr>
          <w:p w14:paraId="5014170D">
            <w:pPr>
              <w:pStyle w:val="8"/>
              <w:suppressLineNumbers w:val="0"/>
              <w:bidi w:val="0"/>
              <w:spacing w:before="0" w:beforeAutospacing="0" w:after="0" w:afterAutospacing="0"/>
              <w:ind w:left="0" w:right="0"/>
              <w:jc w:val="left"/>
              <w:rPr>
                <w:rFonts w:hint="default"/>
                <w:highlight w:val="none"/>
              </w:rPr>
            </w:pPr>
            <w:r>
              <w:rPr>
                <w:rFonts w:hint="default"/>
                <w:highlight w:val="none"/>
              </w:rPr>
              <w:t>水行政主管部门□；补充监测□；其他□</w:t>
            </w:r>
          </w:p>
        </w:tc>
      </w:tr>
    </w:tbl>
    <w:p w14:paraId="1C03616C">
      <w:pPr>
        <w:pStyle w:val="7"/>
        <w:bidi w:val="0"/>
        <w:rPr>
          <w:highlight w:val="none"/>
        </w:rPr>
      </w:pPr>
      <w:bookmarkStart w:id="699" w:name="_Toc27010"/>
      <w:r>
        <w:rPr>
          <w:highlight w:val="none"/>
        </w:rPr>
        <w:t>续表</w:t>
      </w:r>
      <w:bookmarkEnd w:id="699"/>
    </w:p>
    <w:tbl>
      <w:tblPr>
        <w:tblStyle w:val="79"/>
        <w:tblW w:w="0" w:type="auto"/>
        <w:tblInd w:w="0"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
      <w:tblGrid>
        <w:gridCol w:w="390"/>
        <w:gridCol w:w="2539"/>
        <w:gridCol w:w="5588"/>
        <w:gridCol w:w="2794"/>
        <w:gridCol w:w="1211"/>
        <w:gridCol w:w="1584"/>
      </w:tblGrid>
      <w:tr w14:paraId="6B8FEEA0">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92" w:hRule="atLeast"/>
        </w:trPr>
        <w:tc>
          <w:tcPr>
            <w:tcW w:w="2929" w:type="dxa"/>
            <w:gridSpan w:val="2"/>
            <w:tcBorders>
              <w:top w:val="single" w:color="000000" w:themeColor="text1" w:sz="12" w:space="0"/>
              <w:left w:val="single" w:color="000000" w:themeColor="text1" w:sz="12" w:space="0"/>
              <w:bottom w:val="single" w:color="000000" w:themeColor="text1" w:sz="6" w:space="0"/>
              <w:right w:val="single" w:color="000000" w:themeColor="text1" w:sz="6" w:space="0"/>
            </w:tcBorders>
            <w:vAlign w:val="center"/>
          </w:tcPr>
          <w:p w14:paraId="2BD381B0">
            <w:pPr>
              <w:pStyle w:val="8"/>
              <w:suppressLineNumbers w:val="0"/>
              <w:bidi w:val="0"/>
              <w:spacing w:before="0" w:beforeAutospacing="0" w:after="0" w:afterAutospacing="0"/>
              <w:ind w:left="0" w:right="0"/>
              <w:rPr>
                <w:rFonts w:hint="default"/>
                <w:highlight w:val="none"/>
              </w:rPr>
            </w:pPr>
            <w:r>
              <w:rPr>
                <w:rFonts w:hint="default"/>
                <w:highlight w:val="none"/>
              </w:rPr>
              <w:t>工作内容</w:t>
            </w:r>
          </w:p>
        </w:tc>
        <w:tc>
          <w:tcPr>
            <w:tcW w:w="11177" w:type="dxa"/>
            <w:gridSpan w:val="4"/>
            <w:tcBorders>
              <w:top w:val="single" w:color="000000" w:themeColor="text1" w:sz="12" w:space="0"/>
              <w:left w:val="single" w:color="000000" w:themeColor="text1" w:sz="6" w:space="0"/>
              <w:bottom w:val="single" w:color="000000" w:themeColor="text1" w:sz="6" w:space="0"/>
              <w:right w:val="single" w:color="000000" w:themeColor="text1" w:sz="12" w:space="0"/>
            </w:tcBorders>
            <w:vAlign w:val="center"/>
          </w:tcPr>
          <w:p w14:paraId="4AC60E15">
            <w:pPr>
              <w:pStyle w:val="8"/>
              <w:suppressLineNumbers w:val="0"/>
              <w:bidi w:val="0"/>
              <w:spacing w:before="0" w:beforeAutospacing="0" w:after="0" w:afterAutospacing="0"/>
              <w:ind w:left="0" w:right="0"/>
              <w:jc w:val="left"/>
              <w:rPr>
                <w:rFonts w:hint="default"/>
                <w:highlight w:val="none"/>
              </w:rPr>
            </w:pPr>
            <w:r>
              <w:rPr>
                <w:rFonts w:hint="default"/>
                <w:highlight w:val="none"/>
              </w:rPr>
              <w:t>自查项目</w:t>
            </w:r>
          </w:p>
        </w:tc>
      </w:tr>
      <w:tr w14:paraId="62D68D26">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71" w:hRule="atLeast"/>
        </w:trPr>
        <w:tc>
          <w:tcPr>
            <w:tcW w:w="390" w:type="dxa"/>
            <w:vMerge w:val="restart"/>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6E37A82F">
            <w:pPr>
              <w:pStyle w:val="8"/>
              <w:suppressLineNumbers w:val="0"/>
              <w:bidi w:val="0"/>
              <w:spacing w:before="0" w:beforeAutospacing="0" w:after="0" w:afterAutospacing="0"/>
              <w:ind w:left="0" w:right="0"/>
              <w:rPr>
                <w:rFonts w:hint="default"/>
                <w:highlight w:val="none"/>
              </w:rPr>
            </w:pPr>
            <w:r>
              <w:rPr>
                <w:rFonts w:hint="default"/>
                <w:highlight w:val="none"/>
              </w:rPr>
              <w:t>现状调查</w:t>
            </w:r>
          </w:p>
        </w:tc>
        <w:tc>
          <w:tcPr>
            <w:tcW w:w="2539" w:type="dxa"/>
            <w:vMerge w:val="restart"/>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611A6152">
            <w:pPr>
              <w:pStyle w:val="8"/>
              <w:suppressLineNumbers w:val="0"/>
              <w:bidi w:val="0"/>
              <w:spacing w:before="0" w:beforeAutospacing="0" w:after="0" w:afterAutospacing="0"/>
              <w:ind w:left="0" w:right="0"/>
              <w:rPr>
                <w:rFonts w:hint="default"/>
                <w:highlight w:val="none"/>
              </w:rPr>
            </w:pPr>
            <w:r>
              <w:rPr>
                <w:rFonts w:hint="default"/>
                <w:highlight w:val="none"/>
              </w:rPr>
              <w:t>补充监测</w:t>
            </w:r>
          </w:p>
        </w:tc>
        <w:tc>
          <w:tcPr>
            <w:tcW w:w="5588"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6F32EB03">
            <w:pPr>
              <w:pStyle w:val="8"/>
              <w:suppressLineNumbers w:val="0"/>
              <w:bidi w:val="0"/>
              <w:spacing w:before="0" w:beforeAutospacing="0" w:after="0" w:afterAutospacing="0"/>
              <w:ind w:left="0" w:right="0"/>
              <w:jc w:val="left"/>
              <w:rPr>
                <w:rFonts w:hint="default"/>
                <w:highlight w:val="none"/>
              </w:rPr>
            </w:pPr>
            <w:r>
              <w:rPr>
                <w:rFonts w:hint="default"/>
                <w:highlight w:val="none"/>
              </w:rPr>
              <w:t>监测时期</w:t>
            </w:r>
          </w:p>
        </w:tc>
        <w:tc>
          <w:tcPr>
            <w:tcW w:w="2794"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1AF8E08C">
            <w:pPr>
              <w:pStyle w:val="8"/>
              <w:suppressLineNumbers w:val="0"/>
              <w:bidi w:val="0"/>
              <w:spacing w:before="0" w:beforeAutospacing="0" w:after="0" w:afterAutospacing="0"/>
              <w:ind w:left="0" w:right="0"/>
              <w:jc w:val="left"/>
              <w:rPr>
                <w:rFonts w:hint="default"/>
                <w:highlight w:val="none"/>
              </w:rPr>
            </w:pPr>
            <w:r>
              <w:rPr>
                <w:rFonts w:hint="default"/>
                <w:highlight w:val="none"/>
              </w:rPr>
              <w:t>监测因子</w:t>
            </w:r>
          </w:p>
        </w:tc>
        <w:tc>
          <w:tcPr>
            <w:tcW w:w="2795" w:type="dxa"/>
            <w:gridSpan w:val="2"/>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3D4207FD">
            <w:pPr>
              <w:pStyle w:val="8"/>
              <w:suppressLineNumbers w:val="0"/>
              <w:bidi w:val="0"/>
              <w:spacing w:before="0" w:beforeAutospacing="0" w:after="0" w:afterAutospacing="0"/>
              <w:ind w:left="0" w:right="0"/>
              <w:jc w:val="left"/>
              <w:rPr>
                <w:rFonts w:hint="default"/>
                <w:highlight w:val="none"/>
              </w:rPr>
            </w:pPr>
            <w:r>
              <w:rPr>
                <w:rFonts w:hint="default"/>
                <w:highlight w:val="none"/>
              </w:rPr>
              <w:t>监测断面或点位</w:t>
            </w:r>
          </w:p>
        </w:tc>
      </w:tr>
      <w:tr w14:paraId="77B2FA9D">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640" w:hRule="atLeast"/>
        </w:trPr>
        <w:tc>
          <w:tcPr>
            <w:tcW w:w="390"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279CF31A">
            <w:pPr>
              <w:pStyle w:val="8"/>
              <w:suppressLineNumbers w:val="0"/>
              <w:bidi w:val="0"/>
              <w:spacing w:before="0" w:beforeAutospacing="0" w:after="0" w:afterAutospacing="0"/>
              <w:ind w:left="0" w:right="0"/>
              <w:rPr>
                <w:rFonts w:hint="default"/>
                <w:highlight w:val="none"/>
              </w:rPr>
            </w:pPr>
          </w:p>
        </w:tc>
        <w:tc>
          <w:tcPr>
            <w:tcW w:w="2539"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35C5228A">
            <w:pPr>
              <w:pStyle w:val="8"/>
              <w:suppressLineNumbers w:val="0"/>
              <w:bidi w:val="0"/>
              <w:spacing w:before="0" w:beforeAutospacing="0" w:after="0" w:afterAutospacing="0"/>
              <w:ind w:left="0" w:right="0"/>
              <w:rPr>
                <w:rFonts w:hint="default"/>
                <w:highlight w:val="none"/>
              </w:rPr>
            </w:pPr>
          </w:p>
        </w:tc>
        <w:tc>
          <w:tcPr>
            <w:tcW w:w="5588"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43C3DDF9">
            <w:pPr>
              <w:pStyle w:val="8"/>
              <w:suppressLineNumbers w:val="0"/>
              <w:bidi w:val="0"/>
              <w:spacing w:before="0" w:beforeAutospacing="0" w:after="0" w:afterAutospacing="0"/>
              <w:ind w:left="0" w:right="0"/>
              <w:jc w:val="left"/>
              <w:rPr>
                <w:rFonts w:hint="default"/>
                <w:highlight w:val="none"/>
              </w:rPr>
            </w:pPr>
            <w:r>
              <w:rPr>
                <w:rFonts w:hint="default"/>
                <w:highlight w:val="none"/>
              </w:rPr>
              <w:t>丰水期□；平水期□；枯水期□；冰封期□</w:t>
            </w:r>
          </w:p>
          <w:p w14:paraId="56E5E7FE">
            <w:pPr>
              <w:pStyle w:val="8"/>
              <w:suppressLineNumbers w:val="0"/>
              <w:bidi w:val="0"/>
              <w:spacing w:before="0" w:beforeAutospacing="0" w:after="0" w:afterAutospacing="0"/>
              <w:ind w:left="0" w:right="0"/>
              <w:jc w:val="left"/>
              <w:rPr>
                <w:rFonts w:hint="default"/>
                <w:highlight w:val="none"/>
              </w:rPr>
            </w:pPr>
            <w:r>
              <w:rPr>
                <w:rFonts w:hint="default"/>
                <w:highlight w:val="none"/>
              </w:rPr>
              <w:t>春季□；夏季□；秋季□；冬季□</w:t>
            </w:r>
          </w:p>
        </w:tc>
        <w:tc>
          <w:tcPr>
            <w:tcW w:w="2794"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48D7662B">
            <w:pPr>
              <w:pStyle w:val="8"/>
              <w:suppressLineNumbers w:val="0"/>
              <w:bidi w:val="0"/>
              <w:spacing w:before="0" w:beforeAutospacing="0" w:after="0" w:afterAutospacing="0"/>
              <w:ind w:left="0" w:right="0"/>
              <w:jc w:val="left"/>
              <w:rPr>
                <w:rFonts w:hint="default"/>
                <w:highlight w:val="none"/>
              </w:rPr>
            </w:pPr>
            <w:r>
              <w:rPr>
                <w:rFonts w:hint="default"/>
                <w:highlight w:val="none"/>
              </w:rPr>
              <w:t>（）</w:t>
            </w:r>
          </w:p>
        </w:tc>
        <w:tc>
          <w:tcPr>
            <w:tcW w:w="2795" w:type="dxa"/>
            <w:gridSpan w:val="2"/>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3E180F80">
            <w:pPr>
              <w:pStyle w:val="8"/>
              <w:suppressLineNumbers w:val="0"/>
              <w:bidi w:val="0"/>
              <w:spacing w:before="0" w:beforeAutospacing="0" w:after="0" w:afterAutospacing="0"/>
              <w:ind w:left="0" w:right="0"/>
              <w:jc w:val="left"/>
              <w:rPr>
                <w:rFonts w:hint="default"/>
                <w:highlight w:val="none"/>
              </w:rPr>
            </w:pPr>
            <w:r>
              <w:rPr>
                <w:rFonts w:hint="default"/>
                <w:highlight w:val="none"/>
              </w:rPr>
              <w:t>监测断面或点位个数（）个</w:t>
            </w:r>
          </w:p>
        </w:tc>
      </w:tr>
      <w:tr w14:paraId="17580533">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421" w:hRule="atLeast"/>
        </w:trPr>
        <w:tc>
          <w:tcPr>
            <w:tcW w:w="390" w:type="dxa"/>
            <w:vMerge w:val="restart"/>
            <w:tcBorders>
              <w:top w:val="single" w:color="000000" w:themeColor="text1" w:sz="6" w:space="0"/>
              <w:left w:val="single" w:color="000000" w:themeColor="text1" w:sz="12" w:space="0"/>
              <w:bottom w:val="single" w:color="000000" w:themeColor="text1" w:sz="12" w:space="0"/>
              <w:right w:val="single" w:color="000000" w:themeColor="text1" w:sz="6" w:space="0"/>
            </w:tcBorders>
            <w:vAlign w:val="center"/>
          </w:tcPr>
          <w:p w14:paraId="7B345890">
            <w:pPr>
              <w:pStyle w:val="8"/>
              <w:suppressLineNumbers w:val="0"/>
              <w:bidi w:val="0"/>
              <w:spacing w:before="0" w:beforeAutospacing="0" w:after="0" w:afterAutospacing="0"/>
              <w:ind w:left="0" w:right="0"/>
              <w:rPr>
                <w:rFonts w:hint="default"/>
                <w:highlight w:val="none"/>
              </w:rPr>
            </w:pPr>
            <w:r>
              <w:rPr>
                <w:rFonts w:hint="default"/>
                <w:highlight w:val="none"/>
              </w:rPr>
              <w:t>现状评价</w:t>
            </w:r>
          </w:p>
        </w:tc>
        <w:tc>
          <w:tcPr>
            <w:tcW w:w="2539"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6A17ACA9">
            <w:pPr>
              <w:pStyle w:val="8"/>
              <w:suppressLineNumbers w:val="0"/>
              <w:bidi w:val="0"/>
              <w:spacing w:before="0" w:beforeAutospacing="0" w:after="0" w:afterAutospacing="0"/>
              <w:ind w:left="0" w:right="0"/>
              <w:rPr>
                <w:rFonts w:hint="default"/>
                <w:highlight w:val="none"/>
              </w:rPr>
            </w:pPr>
            <w:r>
              <w:rPr>
                <w:rFonts w:hint="default"/>
                <w:highlight w:val="none"/>
              </w:rPr>
              <w:t>评价范围</w:t>
            </w:r>
          </w:p>
        </w:tc>
        <w:tc>
          <w:tcPr>
            <w:tcW w:w="11177" w:type="dxa"/>
            <w:gridSpan w:val="4"/>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05EB7AF7">
            <w:pPr>
              <w:pStyle w:val="8"/>
              <w:suppressLineNumbers w:val="0"/>
              <w:bidi w:val="0"/>
              <w:spacing w:before="0" w:beforeAutospacing="0" w:after="0" w:afterAutospacing="0"/>
              <w:ind w:left="0" w:right="0"/>
              <w:jc w:val="left"/>
              <w:rPr>
                <w:rFonts w:hint="default"/>
                <w:highlight w:val="none"/>
              </w:rPr>
            </w:pPr>
            <w:r>
              <w:rPr>
                <w:rFonts w:hint="default"/>
                <w:highlight w:val="none"/>
              </w:rPr>
              <w:t>河流：长度（）km；湖库、河口及近岸海域：面积（）km</w:t>
            </w:r>
            <w:r>
              <w:rPr>
                <w:rFonts w:hint="default"/>
                <w:highlight w:val="none"/>
                <w:vertAlign w:val="superscript"/>
              </w:rPr>
              <w:t>2</w:t>
            </w:r>
          </w:p>
        </w:tc>
      </w:tr>
      <w:tr w14:paraId="73FEBFE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13" w:hRule="atLeast"/>
        </w:trPr>
        <w:tc>
          <w:tcPr>
            <w:tcW w:w="390" w:type="dxa"/>
            <w:vMerge w:val="continue"/>
            <w:tcBorders>
              <w:top w:val="single" w:color="000000" w:themeColor="text1" w:sz="6" w:space="0"/>
              <w:left w:val="single" w:color="000000" w:themeColor="text1" w:sz="12" w:space="0"/>
              <w:bottom w:val="single" w:color="000000" w:themeColor="text1" w:sz="12" w:space="0"/>
              <w:right w:val="single" w:color="000000" w:themeColor="text1" w:sz="6" w:space="0"/>
            </w:tcBorders>
            <w:vAlign w:val="center"/>
          </w:tcPr>
          <w:p w14:paraId="564434AB">
            <w:pPr>
              <w:pStyle w:val="8"/>
              <w:suppressLineNumbers w:val="0"/>
              <w:bidi w:val="0"/>
              <w:spacing w:before="0" w:beforeAutospacing="0" w:after="0" w:afterAutospacing="0"/>
              <w:ind w:left="0" w:right="0"/>
              <w:rPr>
                <w:rFonts w:hint="default"/>
                <w:highlight w:val="none"/>
              </w:rPr>
            </w:pPr>
          </w:p>
        </w:tc>
        <w:tc>
          <w:tcPr>
            <w:tcW w:w="2539"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349E5FF4">
            <w:pPr>
              <w:pStyle w:val="8"/>
              <w:suppressLineNumbers w:val="0"/>
              <w:bidi w:val="0"/>
              <w:spacing w:before="0" w:beforeAutospacing="0" w:after="0" w:afterAutospacing="0"/>
              <w:ind w:left="0" w:right="0"/>
              <w:rPr>
                <w:rFonts w:hint="default"/>
                <w:highlight w:val="none"/>
              </w:rPr>
            </w:pPr>
            <w:r>
              <w:rPr>
                <w:rFonts w:hint="default"/>
                <w:highlight w:val="none"/>
              </w:rPr>
              <w:t>评价因子</w:t>
            </w:r>
          </w:p>
        </w:tc>
        <w:tc>
          <w:tcPr>
            <w:tcW w:w="11177" w:type="dxa"/>
            <w:gridSpan w:val="4"/>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3E5975A5">
            <w:pPr>
              <w:pStyle w:val="8"/>
              <w:suppressLineNumbers w:val="0"/>
              <w:bidi w:val="0"/>
              <w:spacing w:before="0" w:beforeAutospacing="0" w:after="0" w:afterAutospacing="0"/>
              <w:ind w:left="0" w:right="0"/>
              <w:jc w:val="left"/>
              <w:rPr>
                <w:rFonts w:hint="default"/>
                <w:highlight w:val="none"/>
              </w:rPr>
            </w:pPr>
            <w:r>
              <w:rPr>
                <w:rFonts w:hint="default"/>
                <w:highlight w:val="none"/>
              </w:rPr>
              <w:t>（）</w:t>
            </w:r>
          </w:p>
        </w:tc>
      </w:tr>
      <w:tr w14:paraId="5AE44B64">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13" w:hRule="atLeast"/>
        </w:trPr>
        <w:tc>
          <w:tcPr>
            <w:tcW w:w="390" w:type="dxa"/>
            <w:vMerge w:val="continue"/>
            <w:tcBorders>
              <w:top w:val="single" w:color="000000" w:themeColor="text1" w:sz="6" w:space="0"/>
              <w:left w:val="single" w:color="000000" w:themeColor="text1" w:sz="12" w:space="0"/>
              <w:bottom w:val="single" w:color="000000" w:themeColor="text1" w:sz="12" w:space="0"/>
              <w:right w:val="single" w:color="000000" w:themeColor="text1" w:sz="6" w:space="0"/>
            </w:tcBorders>
            <w:vAlign w:val="center"/>
          </w:tcPr>
          <w:p w14:paraId="4D7D99A6">
            <w:pPr>
              <w:pStyle w:val="8"/>
              <w:suppressLineNumbers w:val="0"/>
              <w:bidi w:val="0"/>
              <w:spacing w:before="0" w:beforeAutospacing="0" w:after="0" w:afterAutospacing="0"/>
              <w:ind w:left="0" w:right="0"/>
              <w:rPr>
                <w:rFonts w:hint="default"/>
                <w:highlight w:val="none"/>
              </w:rPr>
            </w:pPr>
          </w:p>
        </w:tc>
        <w:tc>
          <w:tcPr>
            <w:tcW w:w="2539"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20A363DE">
            <w:pPr>
              <w:pStyle w:val="8"/>
              <w:suppressLineNumbers w:val="0"/>
              <w:bidi w:val="0"/>
              <w:spacing w:before="0" w:beforeAutospacing="0" w:after="0" w:afterAutospacing="0"/>
              <w:ind w:left="0" w:right="0"/>
              <w:rPr>
                <w:rFonts w:hint="default"/>
                <w:highlight w:val="none"/>
              </w:rPr>
            </w:pPr>
            <w:r>
              <w:rPr>
                <w:rFonts w:hint="default"/>
                <w:highlight w:val="none"/>
              </w:rPr>
              <w:t>评价标准</w:t>
            </w:r>
          </w:p>
        </w:tc>
        <w:tc>
          <w:tcPr>
            <w:tcW w:w="11177" w:type="dxa"/>
            <w:gridSpan w:val="4"/>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251A727B">
            <w:pPr>
              <w:pStyle w:val="8"/>
              <w:suppressLineNumbers w:val="0"/>
              <w:bidi w:val="0"/>
              <w:spacing w:before="0" w:beforeAutospacing="0" w:after="0" w:afterAutospacing="0"/>
              <w:ind w:left="0" w:right="0"/>
              <w:jc w:val="left"/>
              <w:rPr>
                <w:rFonts w:hint="default"/>
                <w:highlight w:val="none"/>
              </w:rPr>
            </w:pPr>
            <w:r>
              <w:rPr>
                <w:rFonts w:hint="default"/>
                <w:highlight w:val="none"/>
              </w:rPr>
              <w:t>河流、湖库、河口：Ⅰ类□；Ⅱ类□；Ⅲ类√；Ⅳ类□；Ⅴ类□</w:t>
            </w:r>
          </w:p>
          <w:p w14:paraId="75D80856">
            <w:pPr>
              <w:pStyle w:val="8"/>
              <w:suppressLineNumbers w:val="0"/>
              <w:bidi w:val="0"/>
              <w:spacing w:before="0" w:beforeAutospacing="0" w:after="0" w:afterAutospacing="0"/>
              <w:ind w:left="0" w:right="0"/>
              <w:jc w:val="left"/>
              <w:rPr>
                <w:rFonts w:hint="default"/>
                <w:highlight w:val="none"/>
              </w:rPr>
            </w:pPr>
            <w:r>
              <w:rPr>
                <w:rFonts w:hint="default"/>
                <w:highlight w:val="none"/>
              </w:rPr>
              <w:t>近岸海域：第一类□；第二类□；第三类□；第四类□</w:t>
            </w:r>
          </w:p>
          <w:p w14:paraId="4C9AE942">
            <w:pPr>
              <w:pStyle w:val="8"/>
              <w:suppressLineNumbers w:val="0"/>
              <w:bidi w:val="0"/>
              <w:spacing w:before="0" w:beforeAutospacing="0" w:after="0" w:afterAutospacing="0"/>
              <w:ind w:left="0" w:right="0"/>
              <w:jc w:val="left"/>
              <w:rPr>
                <w:rFonts w:hint="default"/>
                <w:highlight w:val="none"/>
              </w:rPr>
            </w:pPr>
            <w:r>
              <w:rPr>
                <w:rFonts w:hint="default"/>
                <w:highlight w:val="none"/>
              </w:rPr>
              <w:t>规划年评价标准（</w:t>
            </w:r>
            <w:r>
              <w:rPr>
                <w:rFonts w:hint="eastAsia"/>
                <w:highlight w:val="none"/>
                <w:lang w:val="en-US" w:eastAsia="zh-CN"/>
              </w:rPr>
              <w:t>2023</w:t>
            </w:r>
            <w:r>
              <w:rPr>
                <w:rFonts w:hint="default"/>
                <w:highlight w:val="none"/>
              </w:rPr>
              <w:t>）</w:t>
            </w:r>
          </w:p>
        </w:tc>
      </w:tr>
      <w:tr w14:paraId="33D9EF56">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13" w:hRule="atLeast"/>
        </w:trPr>
        <w:tc>
          <w:tcPr>
            <w:tcW w:w="390" w:type="dxa"/>
            <w:vMerge w:val="continue"/>
            <w:tcBorders>
              <w:top w:val="single" w:color="000000" w:themeColor="text1" w:sz="6" w:space="0"/>
              <w:left w:val="single" w:color="000000" w:themeColor="text1" w:sz="12" w:space="0"/>
              <w:bottom w:val="single" w:color="000000" w:themeColor="text1" w:sz="12" w:space="0"/>
              <w:right w:val="single" w:color="000000" w:themeColor="text1" w:sz="6" w:space="0"/>
            </w:tcBorders>
            <w:vAlign w:val="center"/>
          </w:tcPr>
          <w:p w14:paraId="57E29404">
            <w:pPr>
              <w:pStyle w:val="8"/>
              <w:suppressLineNumbers w:val="0"/>
              <w:bidi w:val="0"/>
              <w:spacing w:before="0" w:beforeAutospacing="0" w:after="0" w:afterAutospacing="0"/>
              <w:ind w:left="0" w:right="0"/>
              <w:rPr>
                <w:rFonts w:hint="default"/>
                <w:highlight w:val="none"/>
              </w:rPr>
            </w:pPr>
          </w:p>
        </w:tc>
        <w:tc>
          <w:tcPr>
            <w:tcW w:w="2539"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07352005">
            <w:pPr>
              <w:pStyle w:val="8"/>
              <w:suppressLineNumbers w:val="0"/>
              <w:bidi w:val="0"/>
              <w:spacing w:before="0" w:beforeAutospacing="0" w:after="0" w:afterAutospacing="0"/>
              <w:ind w:left="0" w:right="0"/>
              <w:rPr>
                <w:rFonts w:hint="default"/>
                <w:highlight w:val="none"/>
              </w:rPr>
            </w:pPr>
            <w:r>
              <w:rPr>
                <w:rFonts w:hint="default"/>
                <w:highlight w:val="none"/>
              </w:rPr>
              <w:t>评价时期</w:t>
            </w:r>
          </w:p>
        </w:tc>
        <w:tc>
          <w:tcPr>
            <w:tcW w:w="11177" w:type="dxa"/>
            <w:gridSpan w:val="4"/>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4C9F0412">
            <w:pPr>
              <w:pStyle w:val="8"/>
              <w:suppressLineNumbers w:val="0"/>
              <w:bidi w:val="0"/>
              <w:spacing w:before="0" w:beforeAutospacing="0" w:after="0" w:afterAutospacing="0"/>
              <w:ind w:left="0" w:right="0"/>
              <w:jc w:val="left"/>
              <w:rPr>
                <w:rFonts w:hint="default"/>
                <w:highlight w:val="none"/>
              </w:rPr>
            </w:pPr>
            <w:r>
              <w:rPr>
                <w:rFonts w:hint="default"/>
                <w:highlight w:val="none"/>
              </w:rPr>
              <w:t>丰水期□；平水期□；枯水期□；冰封期□</w:t>
            </w:r>
          </w:p>
          <w:p w14:paraId="621F5299">
            <w:pPr>
              <w:pStyle w:val="8"/>
              <w:suppressLineNumbers w:val="0"/>
              <w:bidi w:val="0"/>
              <w:spacing w:before="0" w:beforeAutospacing="0" w:after="0" w:afterAutospacing="0"/>
              <w:ind w:left="0" w:right="0"/>
              <w:jc w:val="left"/>
              <w:rPr>
                <w:rFonts w:hint="default"/>
                <w:highlight w:val="none"/>
              </w:rPr>
            </w:pPr>
            <w:r>
              <w:rPr>
                <w:rFonts w:hint="default"/>
                <w:highlight w:val="none"/>
              </w:rPr>
              <w:t>春季□；夏季□；秋季□；冬季□</w:t>
            </w:r>
          </w:p>
        </w:tc>
      </w:tr>
      <w:tr w14:paraId="48EB7570">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13" w:hRule="atLeast"/>
        </w:trPr>
        <w:tc>
          <w:tcPr>
            <w:tcW w:w="390"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103E3BC0">
            <w:pPr>
              <w:pStyle w:val="8"/>
              <w:suppressLineNumbers w:val="0"/>
              <w:bidi w:val="0"/>
              <w:spacing w:before="0" w:beforeAutospacing="0" w:after="0" w:afterAutospacing="0"/>
              <w:ind w:left="0" w:right="0"/>
              <w:rPr>
                <w:rFonts w:hint="default"/>
                <w:highlight w:val="none"/>
              </w:rPr>
            </w:pPr>
          </w:p>
        </w:tc>
        <w:tc>
          <w:tcPr>
            <w:tcW w:w="2539"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50EBD86B">
            <w:pPr>
              <w:pStyle w:val="8"/>
              <w:suppressLineNumbers w:val="0"/>
              <w:bidi w:val="0"/>
              <w:spacing w:before="0" w:beforeAutospacing="0" w:after="0" w:afterAutospacing="0"/>
              <w:ind w:left="0" w:right="0"/>
              <w:rPr>
                <w:rFonts w:hint="default"/>
                <w:highlight w:val="none"/>
              </w:rPr>
            </w:pPr>
            <w:r>
              <w:rPr>
                <w:rFonts w:hint="default"/>
                <w:highlight w:val="none"/>
              </w:rPr>
              <w:t>评价结论</w:t>
            </w:r>
          </w:p>
        </w:tc>
        <w:tc>
          <w:tcPr>
            <w:tcW w:w="9593" w:type="dxa"/>
            <w:gridSpan w:val="3"/>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5702356D">
            <w:pPr>
              <w:pStyle w:val="8"/>
              <w:suppressLineNumbers w:val="0"/>
              <w:bidi w:val="0"/>
              <w:spacing w:before="0" w:beforeAutospacing="0" w:after="0" w:afterAutospacing="0"/>
              <w:ind w:left="0" w:right="0"/>
              <w:jc w:val="left"/>
              <w:rPr>
                <w:rFonts w:hint="default"/>
                <w:highlight w:val="none"/>
              </w:rPr>
            </w:pPr>
            <w:r>
              <w:rPr>
                <w:rFonts w:hint="default"/>
                <w:highlight w:val="none"/>
              </w:rPr>
              <w:t>水环境功能区或水功能区、近岸海域环境功能区水质达标状况：达标√；不达标□</w:t>
            </w:r>
          </w:p>
          <w:p w14:paraId="5D2D23BF">
            <w:pPr>
              <w:pStyle w:val="8"/>
              <w:suppressLineNumbers w:val="0"/>
              <w:bidi w:val="0"/>
              <w:spacing w:before="0" w:beforeAutospacing="0" w:after="0" w:afterAutospacing="0"/>
              <w:ind w:left="0" w:right="0"/>
              <w:jc w:val="left"/>
              <w:rPr>
                <w:rFonts w:hint="default"/>
                <w:highlight w:val="none"/>
              </w:rPr>
            </w:pPr>
            <w:r>
              <w:rPr>
                <w:rFonts w:hint="default"/>
                <w:highlight w:val="none"/>
              </w:rPr>
              <w:t>水环境控制单元或断面水质达标状况：达标√；不达标□</w:t>
            </w:r>
          </w:p>
          <w:p w14:paraId="115281B8">
            <w:pPr>
              <w:pStyle w:val="8"/>
              <w:suppressLineNumbers w:val="0"/>
              <w:bidi w:val="0"/>
              <w:spacing w:before="0" w:beforeAutospacing="0" w:after="0" w:afterAutospacing="0"/>
              <w:ind w:left="0" w:right="0"/>
              <w:jc w:val="left"/>
              <w:rPr>
                <w:rFonts w:hint="default"/>
                <w:highlight w:val="none"/>
              </w:rPr>
            </w:pPr>
            <w:r>
              <w:rPr>
                <w:rFonts w:hint="default"/>
                <w:highlight w:val="none"/>
              </w:rPr>
              <w:t>水环境保护目标质量状况：达标√；不达标□</w:t>
            </w:r>
          </w:p>
          <w:p w14:paraId="6168D8E4">
            <w:pPr>
              <w:pStyle w:val="8"/>
              <w:suppressLineNumbers w:val="0"/>
              <w:bidi w:val="0"/>
              <w:spacing w:before="0" w:beforeAutospacing="0" w:after="0" w:afterAutospacing="0"/>
              <w:ind w:left="0" w:right="0"/>
              <w:jc w:val="left"/>
              <w:rPr>
                <w:rFonts w:hint="default"/>
                <w:highlight w:val="none"/>
              </w:rPr>
            </w:pPr>
            <w:r>
              <w:rPr>
                <w:rFonts w:hint="default"/>
                <w:highlight w:val="none"/>
              </w:rPr>
              <w:t>对照断面、控制断面等代表性断面的水质状况；达标√；不达标□</w:t>
            </w:r>
          </w:p>
          <w:p w14:paraId="33741044">
            <w:pPr>
              <w:pStyle w:val="8"/>
              <w:suppressLineNumbers w:val="0"/>
              <w:bidi w:val="0"/>
              <w:spacing w:before="0" w:beforeAutospacing="0" w:after="0" w:afterAutospacing="0"/>
              <w:ind w:left="0" w:right="0"/>
              <w:jc w:val="left"/>
              <w:rPr>
                <w:rFonts w:hint="default"/>
                <w:highlight w:val="none"/>
              </w:rPr>
            </w:pPr>
            <w:r>
              <w:rPr>
                <w:rFonts w:hint="default"/>
                <w:highlight w:val="none"/>
              </w:rPr>
              <w:t>底泥污染评价□</w:t>
            </w:r>
          </w:p>
          <w:p w14:paraId="1C185248">
            <w:pPr>
              <w:pStyle w:val="8"/>
              <w:suppressLineNumbers w:val="0"/>
              <w:bidi w:val="0"/>
              <w:spacing w:before="0" w:beforeAutospacing="0" w:after="0" w:afterAutospacing="0"/>
              <w:ind w:left="0" w:right="0"/>
              <w:jc w:val="left"/>
              <w:rPr>
                <w:rFonts w:hint="default"/>
                <w:highlight w:val="none"/>
              </w:rPr>
            </w:pPr>
            <w:r>
              <w:rPr>
                <w:rFonts w:hint="default"/>
                <w:highlight w:val="none"/>
              </w:rPr>
              <w:t>水资源与开发利用程度及其水文情势评价□</w:t>
            </w:r>
          </w:p>
          <w:p w14:paraId="5BC237ED">
            <w:pPr>
              <w:pStyle w:val="8"/>
              <w:suppressLineNumbers w:val="0"/>
              <w:bidi w:val="0"/>
              <w:spacing w:before="0" w:beforeAutospacing="0" w:after="0" w:afterAutospacing="0"/>
              <w:ind w:left="0" w:right="0"/>
              <w:jc w:val="left"/>
              <w:rPr>
                <w:rFonts w:hint="default"/>
                <w:highlight w:val="none"/>
              </w:rPr>
            </w:pPr>
            <w:r>
              <w:rPr>
                <w:rFonts w:hint="default"/>
                <w:highlight w:val="none"/>
              </w:rPr>
              <w:t>水环境质量回顾评价□</w:t>
            </w:r>
          </w:p>
          <w:p w14:paraId="2FC6F644">
            <w:pPr>
              <w:pStyle w:val="8"/>
              <w:suppressLineNumbers w:val="0"/>
              <w:bidi w:val="0"/>
              <w:spacing w:before="0" w:beforeAutospacing="0" w:after="0" w:afterAutospacing="0"/>
              <w:ind w:left="0" w:right="0"/>
              <w:jc w:val="left"/>
              <w:rPr>
                <w:rFonts w:hint="default"/>
                <w:highlight w:val="none"/>
              </w:rPr>
            </w:pPr>
            <w:r>
              <w:rPr>
                <w:rFonts w:hint="default"/>
                <w:highlight w:val="none"/>
              </w:rPr>
              <w:t>流域（区域）水资源（包括水能资源）与开发利用总体状况、生态流量管理要求与现状满足程度、建设项目占用水域空间的水流状况与河湖演变状况□</w:t>
            </w:r>
          </w:p>
        </w:tc>
        <w:tc>
          <w:tcPr>
            <w:tcW w:w="1584"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7462CE33">
            <w:pPr>
              <w:pStyle w:val="8"/>
              <w:suppressLineNumbers w:val="0"/>
              <w:bidi w:val="0"/>
              <w:spacing w:before="0" w:beforeAutospacing="0" w:after="0" w:afterAutospacing="0"/>
              <w:ind w:left="0" w:right="0"/>
              <w:jc w:val="left"/>
              <w:rPr>
                <w:rFonts w:hint="default"/>
                <w:highlight w:val="none"/>
              </w:rPr>
            </w:pPr>
            <w:r>
              <w:rPr>
                <w:rFonts w:hint="default"/>
                <w:highlight w:val="none"/>
              </w:rPr>
              <w:t>达标区√</w:t>
            </w:r>
          </w:p>
          <w:p w14:paraId="23C1CF69">
            <w:pPr>
              <w:pStyle w:val="8"/>
              <w:suppressLineNumbers w:val="0"/>
              <w:bidi w:val="0"/>
              <w:spacing w:before="0" w:beforeAutospacing="0" w:after="0" w:afterAutospacing="0"/>
              <w:ind w:left="0" w:right="0"/>
              <w:jc w:val="left"/>
              <w:rPr>
                <w:rFonts w:hint="default"/>
                <w:highlight w:val="none"/>
              </w:rPr>
            </w:pPr>
            <w:r>
              <w:rPr>
                <w:rFonts w:hint="default"/>
                <w:highlight w:val="none"/>
              </w:rPr>
              <w:t>不达标区□</w:t>
            </w:r>
          </w:p>
        </w:tc>
      </w:tr>
      <w:tr w14:paraId="63D46C72">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13" w:hRule="atLeast"/>
        </w:trPr>
        <w:tc>
          <w:tcPr>
            <w:tcW w:w="390" w:type="dxa"/>
            <w:vMerge w:val="restart"/>
            <w:tcBorders>
              <w:top w:val="single" w:color="000000" w:themeColor="text1" w:sz="6" w:space="0"/>
              <w:left w:val="single" w:color="000000" w:themeColor="text1" w:sz="12" w:space="0"/>
              <w:right w:val="single" w:color="000000" w:themeColor="text1" w:sz="6" w:space="0"/>
            </w:tcBorders>
            <w:vAlign w:val="center"/>
          </w:tcPr>
          <w:p w14:paraId="0DD0F12B">
            <w:pPr>
              <w:pStyle w:val="8"/>
              <w:suppressLineNumbers w:val="0"/>
              <w:bidi w:val="0"/>
              <w:spacing w:before="0" w:beforeAutospacing="0" w:after="0" w:afterAutospacing="0"/>
              <w:ind w:left="0" w:right="0"/>
              <w:rPr>
                <w:rFonts w:hint="default"/>
                <w:highlight w:val="none"/>
              </w:rPr>
            </w:pPr>
            <w:r>
              <w:rPr>
                <w:rFonts w:hint="default"/>
                <w:highlight w:val="none"/>
              </w:rPr>
              <w:t>影响预测</w:t>
            </w:r>
          </w:p>
        </w:tc>
        <w:tc>
          <w:tcPr>
            <w:tcW w:w="2539"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64B6E380">
            <w:pPr>
              <w:pStyle w:val="8"/>
              <w:suppressLineNumbers w:val="0"/>
              <w:bidi w:val="0"/>
              <w:spacing w:before="0" w:beforeAutospacing="0" w:after="0" w:afterAutospacing="0"/>
              <w:ind w:left="0" w:right="0"/>
              <w:rPr>
                <w:rFonts w:hint="default"/>
                <w:highlight w:val="none"/>
              </w:rPr>
            </w:pPr>
            <w:r>
              <w:rPr>
                <w:rFonts w:hint="default"/>
                <w:highlight w:val="none"/>
              </w:rPr>
              <w:t>预测范围</w:t>
            </w:r>
          </w:p>
        </w:tc>
        <w:tc>
          <w:tcPr>
            <w:tcW w:w="11177" w:type="dxa"/>
            <w:gridSpan w:val="4"/>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12FE591D">
            <w:pPr>
              <w:pStyle w:val="8"/>
              <w:suppressLineNumbers w:val="0"/>
              <w:bidi w:val="0"/>
              <w:spacing w:before="0" w:beforeAutospacing="0" w:after="0" w:afterAutospacing="0"/>
              <w:ind w:left="0" w:right="0"/>
              <w:jc w:val="left"/>
              <w:rPr>
                <w:rFonts w:hint="default"/>
                <w:highlight w:val="none"/>
              </w:rPr>
            </w:pPr>
            <w:r>
              <w:rPr>
                <w:rFonts w:hint="default"/>
                <w:highlight w:val="none"/>
              </w:rPr>
              <w:t>河流：长度（）km；湖库、河口及近岸海域：面积（）km</w:t>
            </w:r>
            <w:r>
              <w:rPr>
                <w:rFonts w:hint="default"/>
                <w:highlight w:val="none"/>
                <w:vertAlign w:val="superscript"/>
              </w:rPr>
              <w:t>2</w:t>
            </w:r>
          </w:p>
        </w:tc>
      </w:tr>
      <w:tr w14:paraId="4C443178">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13" w:hRule="atLeast"/>
        </w:trPr>
        <w:tc>
          <w:tcPr>
            <w:tcW w:w="390" w:type="dxa"/>
            <w:vMerge w:val="continue"/>
            <w:tcBorders>
              <w:left w:val="single" w:color="000000" w:themeColor="text1" w:sz="12" w:space="0"/>
              <w:right w:val="single" w:color="000000" w:themeColor="text1" w:sz="6" w:space="0"/>
            </w:tcBorders>
            <w:vAlign w:val="center"/>
          </w:tcPr>
          <w:p w14:paraId="4419473A">
            <w:pPr>
              <w:pStyle w:val="8"/>
              <w:suppressLineNumbers w:val="0"/>
              <w:bidi w:val="0"/>
              <w:spacing w:before="0" w:beforeAutospacing="0" w:after="0" w:afterAutospacing="0"/>
              <w:ind w:left="0" w:right="0"/>
              <w:rPr>
                <w:rFonts w:hint="default"/>
                <w:highlight w:val="none"/>
              </w:rPr>
            </w:pPr>
          </w:p>
        </w:tc>
        <w:tc>
          <w:tcPr>
            <w:tcW w:w="2539"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02CBC248">
            <w:pPr>
              <w:pStyle w:val="8"/>
              <w:suppressLineNumbers w:val="0"/>
              <w:bidi w:val="0"/>
              <w:spacing w:before="0" w:beforeAutospacing="0" w:after="0" w:afterAutospacing="0"/>
              <w:ind w:left="0" w:right="0"/>
              <w:rPr>
                <w:rFonts w:hint="default"/>
                <w:highlight w:val="none"/>
              </w:rPr>
            </w:pPr>
            <w:r>
              <w:rPr>
                <w:rFonts w:hint="default"/>
                <w:highlight w:val="none"/>
              </w:rPr>
              <w:t>预测因子</w:t>
            </w:r>
          </w:p>
        </w:tc>
        <w:tc>
          <w:tcPr>
            <w:tcW w:w="11177" w:type="dxa"/>
            <w:gridSpan w:val="4"/>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4AF6A7B1">
            <w:pPr>
              <w:pStyle w:val="8"/>
              <w:suppressLineNumbers w:val="0"/>
              <w:bidi w:val="0"/>
              <w:spacing w:before="0" w:beforeAutospacing="0" w:after="0" w:afterAutospacing="0"/>
              <w:ind w:left="0" w:right="0"/>
              <w:jc w:val="left"/>
              <w:rPr>
                <w:rFonts w:hint="default"/>
                <w:highlight w:val="none"/>
              </w:rPr>
            </w:pPr>
            <w:r>
              <w:rPr>
                <w:rFonts w:hint="default"/>
                <w:highlight w:val="none"/>
              </w:rPr>
              <w:t>（）</w:t>
            </w:r>
          </w:p>
        </w:tc>
      </w:tr>
      <w:tr w14:paraId="706684E3">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13" w:hRule="atLeast"/>
        </w:trPr>
        <w:tc>
          <w:tcPr>
            <w:tcW w:w="390" w:type="dxa"/>
            <w:vMerge w:val="continue"/>
            <w:tcBorders>
              <w:left w:val="single" w:color="000000" w:themeColor="text1" w:sz="12" w:space="0"/>
              <w:bottom w:val="single" w:color="000000" w:themeColor="text1" w:sz="12" w:space="0"/>
              <w:right w:val="single" w:color="000000" w:themeColor="text1" w:sz="6" w:space="0"/>
            </w:tcBorders>
            <w:vAlign w:val="center"/>
          </w:tcPr>
          <w:p w14:paraId="12291925">
            <w:pPr>
              <w:pStyle w:val="8"/>
              <w:suppressLineNumbers w:val="0"/>
              <w:bidi w:val="0"/>
              <w:spacing w:before="0" w:beforeAutospacing="0" w:after="0" w:afterAutospacing="0"/>
              <w:ind w:left="0" w:right="0"/>
              <w:rPr>
                <w:rFonts w:hint="default"/>
                <w:highlight w:val="none"/>
              </w:rPr>
            </w:pPr>
          </w:p>
        </w:tc>
        <w:tc>
          <w:tcPr>
            <w:tcW w:w="2539" w:type="dxa"/>
            <w:tcBorders>
              <w:top w:val="single" w:color="000000" w:themeColor="text1" w:sz="6" w:space="0"/>
              <w:left w:val="single" w:color="000000" w:themeColor="text1" w:sz="6" w:space="0"/>
              <w:bottom w:val="single" w:color="000000" w:themeColor="text1" w:sz="12" w:space="0"/>
              <w:right w:val="single" w:color="000000" w:themeColor="text1" w:sz="6" w:space="0"/>
            </w:tcBorders>
            <w:vAlign w:val="center"/>
          </w:tcPr>
          <w:p w14:paraId="51F9DED1">
            <w:pPr>
              <w:pStyle w:val="8"/>
              <w:suppressLineNumbers w:val="0"/>
              <w:bidi w:val="0"/>
              <w:spacing w:before="0" w:beforeAutospacing="0" w:after="0" w:afterAutospacing="0"/>
              <w:ind w:left="0" w:right="0"/>
              <w:rPr>
                <w:rFonts w:hint="default"/>
                <w:highlight w:val="none"/>
              </w:rPr>
            </w:pPr>
            <w:r>
              <w:rPr>
                <w:rFonts w:hint="default"/>
                <w:highlight w:val="none"/>
              </w:rPr>
              <w:t>预测时期</w:t>
            </w:r>
          </w:p>
        </w:tc>
        <w:tc>
          <w:tcPr>
            <w:tcW w:w="11177" w:type="dxa"/>
            <w:gridSpan w:val="4"/>
            <w:tcBorders>
              <w:top w:val="single" w:color="000000" w:themeColor="text1" w:sz="6" w:space="0"/>
              <w:left w:val="single" w:color="000000" w:themeColor="text1" w:sz="6" w:space="0"/>
              <w:bottom w:val="single" w:color="000000" w:themeColor="text1" w:sz="12" w:space="0"/>
              <w:right w:val="single" w:color="000000" w:themeColor="text1" w:sz="12" w:space="0"/>
            </w:tcBorders>
            <w:vAlign w:val="center"/>
          </w:tcPr>
          <w:p w14:paraId="013F343E">
            <w:pPr>
              <w:pStyle w:val="8"/>
              <w:suppressLineNumbers w:val="0"/>
              <w:bidi w:val="0"/>
              <w:spacing w:before="0" w:beforeAutospacing="0" w:after="0" w:afterAutospacing="0"/>
              <w:ind w:left="0" w:right="0"/>
              <w:jc w:val="left"/>
              <w:rPr>
                <w:rFonts w:hint="default"/>
                <w:highlight w:val="none"/>
              </w:rPr>
            </w:pPr>
            <w:r>
              <w:rPr>
                <w:rFonts w:hint="default"/>
                <w:highlight w:val="none"/>
              </w:rPr>
              <w:t>丰水期□；平水期□；枯水期□；冰封期□</w:t>
            </w:r>
          </w:p>
          <w:p w14:paraId="0E5A3B31">
            <w:pPr>
              <w:pStyle w:val="8"/>
              <w:suppressLineNumbers w:val="0"/>
              <w:bidi w:val="0"/>
              <w:spacing w:before="0" w:beforeAutospacing="0" w:after="0" w:afterAutospacing="0"/>
              <w:ind w:left="0" w:right="0"/>
              <w:jc w:val="left"/>
              <w:rPr>
                <w:rFonts w:hint="default"/>
                <w:highlight w:val="none"/>
              </w:rPr>
            </w:pPr>
            <w:r>
              <w:rPr>
                <w:rFonts w:hint="default"/>
                <w:highlight w:val="none"/>
              </w:rPr>
              <w:t>春季□；夏季□；秋季□；冬季□</w:t>
            </w:r>
          </w:p>
          <w:p w14:paraId="3D97866A">
            <w:pPr>
              <w:pStyle w:val="8"/>
              <w:suppressLineNumbers w:val="0"/>
              <w:bidi w:val="0"/>
              <w:spacing w:before="0" w:beforeAutospacing="0" w:after="0" w:afterAutospacing="0"/>
              <w:ind w:left="0" w:right="0"/>
              <w:jc w:val="left"/>
              <w:rPr>
                <w:rFonts w:hint="default"/>
                <w:highlight w:val="none"/>
              </w:rPr>
            </w:pPr>
            <w:r>
              <w:rPr>
                <w:rFonts w:hint="default"/>
                <w:highlight w:val="none"/>
              </w:rPr>
              <w:t>设计水文条件□</w:t>
            </w:r>
          </w:p>
        </w:tc>
      </w:tr>
    </w:tbl>
    <w:p w14:paraId="3E7D10DC">
      <w:pPr>
        <w:jc w:val="right"/>
        <w:rPr>
          <w:rFonts w:eastAsiaTheme="minorEastAsia"/>
          <w:b/>
          <w:szCs w:val="22"/>
          <w:highlight w:val="none"/>
        </w:rPr>
      </w:pPr>
    </w:p>
    <w:p w14:paraId="36522389">
      <w:pPr>
        <w:pStyle w:val="7"/>
        <w:bidi w:val="0"/>
        <w:rPr>
          <w:highlight w:val="none"/>
        </w:rPr>
      </w:pPr>
      <w:bookmarkStart w:id="700" w:name="_Toc2231"/>
      <w:r>
        <w:rPr>
          <w:highlight w:val="none"/>
        </w:rPr>
        <w:t>续表</w:t>
      </w:r>
      <w:bookmarkEnd w:id="700"/>
    </w:p>
    <w:tbl>
      <w:tblPr>
        <w:tblStyle w:val="79"/>
        <w:tblW w:w="14024" w:type="dxa"/>
        <w:tblInd w:w="0"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
      <w:tblGrid>
        <w:gridCol w:w="387"/>
        <w:gridCol w:w="2525"/>
        <w:gridCol w:w="2076"/>
        <w:gridCol w:w="1369"/>
        <w:gridCol w:w="1016"/>
        <w:gridCol w:w="2516"/>
        <w:gridCol w:w="709"/>
        <w:gridCol w:w="1417"/>
        <w:gridCol w:w="2009"/>
      </w:tblGrid>
      <w:tr w14:paraId="2782444B">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42" w:hRule="atLeast"/>
        </w:trPr>
        <w:tc>
          <w:tcPr>
            <w:tcW w:w="2912" w:type="dxa"/>
            <w:gridSpan w:val="2"/>
            <w:tcBorders>
              <w:top w:val="single" w:color="000000" w:themeColor="text1" w:sz="12" w:space="0"/>
              <w:left w:val="single" w:color="000000" w:themeColor="text1" w:sz="12" w:space="0"/>
              <w:bottom w:val="single" w:color="000000" w:themeColor="text1" w:sz="6" w:space="0"/>
              <w:right w:val="single" w:color="000000" w:themeColor="text1" w:sz="6" w:space="0"/>
            </w:tcBorders>
            <w:vAlign w:val="center"/>
          </w:tcPr>
          <w:p w14:paraId="0AFBB9C7">
            <w:pPr>
              <w:pStyle w:val="8"/>
              <w:suppressLineNumbers w:val="0"/>
              <w:bidi w:val="0"/>
              <w:spacing w:before="0" w:beforeAutospacing="0" w:after="0" w:afterAutospacing="0"/>
              <w:ind w:left="0" w:right="0"/>
              <w:rPr>
                <w:rFonts w:hint="default"/>
                <w:highlight w:val="none"/>
              </w:rPr>
            </w:pPr>
            <w:r>
              <w:rPr>
                <w:rFonts w:hint="default"/>
                <w:highlight w:val="none"/>
              </w:rPr>
              <w:t>工作内容</w:t>
            </w:r>
          </w:p>
        </w:tc>
        <w:tc>
          <w:tcPr>
            <w:tcW w:w="11112" w:type="dxa"/>
            <w:gridSpan w:val="7"/>
            <w:tcBorders>
              <w:top w:val="single" w:color="000000" w:themeColor="text1" w:sz="12" w:space="0"/>
              <w:left w:val="single" w:color="000000" w:themeColor="text1" w:sz="6" w:space="0"/>
              <w:bottom w:val="single" w:color="000000" w:themeColor="text1" w:sz="6" w:space="0"/>
              <w:right w:val="single" w:color="000000" w:themeColor="text1" w:sz="12" w:space="0"/>
            </w:tcBorders>
            <w:vAlign w:val="center"/>
          </w:tcPr>
          <w:p w14:paraId="20DC2E11">
            <w:pPr>
              <w:pStyle w:val="8"/>
              <w:suppressLineNumbers w:val="0"/>
              <w:bidi w:val="0"/>
              <w:spacing w:before="0" w:beforeAutospacing="0" w:after="0" w:afterAutospacing="0"/>
              <w:ind w:left="0" w:right="0"/>
              <w:jc w:val="left"/>
              <w:rPr>
                <w:rFonts w:hint="default"/>
                <w:highlight w:val="none"/>
              </w:rPr>
            </w:pPr>
            <w:r>
              <w:rPr>
                <w:rFonts w:hint="default"/>
                <w:highlight w:val="none"/>
              </w:rPr>
              <w:t>自查项目</w:t>
            </w:r>
          </w:p>
        </w:tc>
      </w:tr>
      <w:tr w14:paraId="1103CB72">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1006" w:hRule="atLeast"/>
        </w:trPr>
        <w:tc>
          <w:tcPr>
            <w:tcW w:w="387" w:type="dxa"/>
            <w:vMerge w:val="restart"/>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5C9773EF">
            <w:pPr>
              <w:pStyle w:val="8"/>
              <w:suppressLineNumbers w:val="0"/>
              <w:bidi w:val="0"/>
              <w:spacing w:before="0" w:beforeAutospacing="0" w:after="0" w:afterAutospacing="0"/>
              <w:ind w:left="0" w:right="0"/>
              <w:rPr>
                <w:rFonts w:hint="default"/>
                <w:highlight w:val="none"/>
              </w:rPr>
            </w:pPr>
            <w:r>
              <w:rPr>
                <w:rFonts w:hint="default"/>
                <w:highlight w:val="none"/>
              </w:rPr>
              <w:t>影响预测</w:t>
            </w:r>
          </w:p>
        </w:tc>
        <w:tc>
          <w:tcPr>
            <w:tcW w:w="2525"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0A6BF1AB">
            <w:pPr>
              <w:pStyle w:val="8"/>
              <w:suppressLineNumbers w:val="0"/>
              <w:bidi w:val="0"/>
              <w:spacing w:before="0" w:beforeAutospacing="0" w:after="0" w:afterAutospacing="0"/>
              <w:ind w:left="0" w:right="0"/>
              <w:rPr>
                <w:rFonts w:hint="default"/>
                <w:highlight w:val="none"/>
              </w:rPr>
            </w:pPr>
            <w:r>
              <w:rPr>
                <w:rFonts w:hint="default"/>
                <w:highlight w:val="none"/>
              </w:rPr>
              <w:t>预测情景</w:t>
            </w:r>
          </w:p>
        </w:tc>
        <w:tc>
          <w:tcPr>
            <w:tcW w:w="11112" w:type="dxa"/>
            <w:gridSpan w:val="7"/>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3E3831A8">
            <w:pPr>
              <w:pStyle w:val="8"/>
              <w:suppressLineNumbers w:val="0"/>
              <w:bidi w:val="0"/>
              <w:spacing w:before="0" w:beforeAutospacing="0" w:after="0" w:afterAutospacing="0"/>
              <w:ind w:left="0" w:right="0"/>
              <w:jc w:val="left"/>
              <w:rPr>
                <w:rFonts w:hint="default"/>
                <w:highlight w:val="none"/>
              </w:rPr>
            </w:pPr>
            <w:r>
              <w:rPr>
                <w:rFonts w:hint="default"/>
                <w:highlight w:val="none"/>
              </w:rPr>
              <w:t>建设期□；生产运行期□；</w:t>
            </w:r>
            <w:r>
              <w:rPr>
                <w:rFonts w:hint="eastAsia"/>
                <w:highlight w:val="none"/>
                <w:lang w:eastAsia="zh-CN"/>
              </w:rPr>
              <w:t>服务期满</w:t>
            </w:r>
            <w:r>
              <w:rPr>
                <w:rFonts w:hint="default"/>
                <w:highlight w:val="none"/>
              </w:rPr>
              <w:t>后□</w:t>
            </w:r>
          </w:p>
          <w:p w14:paraId="3D19B1CB">
            <w:pPr>
              <w:pStyle w:val="8"/>
              <w:suppressLineNumbers w:val="0"/>
              <w:bidi w:val="0"/>
              <w:spacing w:before="0" w:beforeAutospacing="0" w:after="0" w:afterAutospacing="0"/>
              <w:ind w:left="0" w:right="0"/>
              <w:jc w:val="left"/>
              <w:rPr>
                <w:rFonts w:hint="default"/>
                <w:highlight w:val="none"/>
              </w:rPr>
            </w:pPr>
            <w:r>
              <w:rPr>
                <w:rFonts w:hint="default"/>
                <w:highlight w:val="none"/>
              </w:rPr>
              <w:t>正常工况□；非正常工况□</w:t>
            </w:r>
          </w:p>
          <w:p w14:paraId="76BDC922">
            <w:pPr>
              <w:pStyle w:val="8"/>
              <w:suppressLineNumbers w:val="0"/>
              <w:bidi w:val="0"/>
              <w:spacing w:before="0" w:beforeAutospacing="0" w:after="0" w:afterAutospacing="0"/>
              <w:ind w:left="0" w:right="0"/>
              <w:jc w:val="left"/>
              <w:rPr>
                <w:rFonts w:hint="default"/>
                <w:highlight w:val="none"/>
              </w:rPr>
            </w:pPr>
            <w:r>
              <w:rPr>
                <w:rFonts w:hint="default"/>
                <w:highlight w:val="none"/>
              </w:rPr>
              <w:t>污染控制和减缓措施方案□</w:t>
            </w:r>
          </w:p>
          <w:p w14:paraId="4D47546D">
            <w:pPr>
              <w:pStyle w:val="8"/>
              <w:suppressLineNumbers w:val="0"/>
              <w:bidi w:val="0"/>
              <w:spacing w:before="0" w:beforeAutospacing="0" w:after="0" w:afterAutospacing="0"/>
              <w:ind w:left="0" w:right="0"/>
              <w:jc w:val="left"/>
              <w:rPr>
                <w:rFonts w:hint="default"/>
                <w:highlight w:val="none"/>
              </w:rPr>
            </w:pPr>
            <w:r>
              <w:rPr>
                <w:rFonts w:hint="default"/>
                <w:highlight w:val="none"/>
              </w:rPr>
              <w:t>区（流）域水环境质量改善目标要求情景□</w:t>
            </w:r>
          </w:p>
        </w:tc>
      </w:tr>
      <w:tr w14:paraId="203DC6A1">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468" w:hRule="atLeast"/>
        </w:trPr>
        <w:tc>
          <w:tcPr>
            <w:tcW w:w="38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49EBB7FB">
            <w:pPr>
              <w:pStyle w:val="8"/>
              <w:suppressLineNumbers w:val="0"/>
              <w:bidi w:val="0"/>
              <w:spacing w:before="0" w:beforeAutospacing="0" w:after="0" w:afterAutospacing="0"/>
              <w:ind w:left="0" w:right="0"/>
              <w:rPr>
                <w:rFonts w:hint="default"/>
                <w:highlight w:val="none"/>
              </w:rPr>
            </w:pPr>
          </w:p>
        </w:tc>
        <w:tc>
          <w:tcPr>
            <w:tcW w:w="2525"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3B87B1AA">
            <w:pPr>
              <w:pStyle w:val="8"/>
              <w:suppressLineNumbers w:val="0"/>
              <w:bidi w:val="0"/>
              <w:spacing w:before="0" w:beforeAutospacing="0" w:after="0" w:afterAutospacing="0"/>
              <w:ind w:left="0" w:right="0"/>
              <w:rPr>
                <w:rFonts w:hint="default"/>
                <w:highlight w:val="none"/>
              </w:rPr>
            </w:pPr>
            <w:r>
              <w:rPr>
                <w:rFonts w:hint="default"/>
                <w:highlight w:val="none"/>
              </w:rPr>
              <w:t>预测方法</w:t>
            </w:r>
          </w:p>
        </w:tc>
        <w:tc>
          <w:tcPr>
            <w:tcW w:w="11112" w:type="dxa"/>
            <w:gridSpan w:val="7"/>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6037CD57">
            <w:pPr>
              <w:pStyle w:val="8"/>
              <w:suppressLineNumbers w:val="0"/>
              <w:bidi w:val="0"/>
              <w:spacing w:before="0" w:beforeAutospacing="0" w:after="0" w:afterAutospacing="0"/>
              <w:ind w:left="0" w:right="0"/>
              <w:jc w:val="left"/>
              <w:rPr>
                <w:rFonts w:hint="default"/>
                <w:highlight w:val="none"/>
              </w:rPr>
            </w:pPr>
            <w:r>
              <w:rPr>
                <w:rFonts w:hint="default"/>
                <w:highlight w:val="none"/>
              </w:rPr>
              <w:t>数值解□；解析解□；其他□</w:t>
            </w:r>
          </w:p>
          <w:p w14:paraId="55F699B6">
            <w:pPr>
              <w:pStyle w:val="8"/>
              <w:suppressLineNumbers w:val="0"/>
              <w:bidi w:val="0"/>
              <w:spacing w:before="0" w:beforeAutospacing="0" w:after="0" w:afterAutospacing="0"/>
              <w:ind w:left="0" w:right="0"/>
              <w:jc w:val="left"/>
              <w:rPr>
                <w:rFonts w:hint="default"/>
                <w:highlight w:val="none"/>
              </w:rPr>
            </w:pPr>
            <w:r>
              <w:rPr>
                <w:rFonts w:hint="default"/>
                <w:highlight w:val="none"/>
              </w:rPr>
              <w:t>导则推荐模式□；其他□</w:t>
            </w:r>
          </w:p>
        </w:tc>
      </w:tr>
      <w:tr w14:paraId="2195D169">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33" w:hRule="atLeast"/>
        </w:trPr>
        <w:tc>
          <w:tcPr>
            <w:tcW w:w="387" w:type="dxa"/>
            <w:vMerge w:val="restart"/>
            <w:tcBorders>
              <w:top w:val="single" w:color="000000" w:themeColor="text1" w:sz="6" w:space="0"/>
              <w:left w:val="single" w:color="000000" w:themeColor="text1" w:sz="12" w:space="0"/>
              <w:right w:val="single" w:color="000000" w:themeColor="text1" w:sz="6" w:space="0"/>
            </w:tcBorders>
            <w:vAlign w:val="center"/>
          </w:tcPr>
          <w:p w14:paraId="5C17106B">
            <w:pPr>
              <w:pStyle w:val="8"/>
              <w:suppressLineNumbers w:val="0"/>
              <w:bidi w:val="0"/>
              <w:spacing w:before="0" w:beforeAutospacing="0" w:after="0" w:afterAutospacing="0"/>
              <w:ind w:left="0" w:right="0"/>
              <w:rPr>
                <w:rFonts w:hint="default"/>
                <w:highlight w:val="none"/>
              </w:rPr>
            </w:pPr>
            <w:r>
              <w:rPr>
                <w:rFonts w:hint="default"/>
                <w:highlight w:val="none"/>
              </w:rPr>
              <w:t>影响评价</w:t>
            </w:r>
          </w:p>
        </w:tc>
        <w:tc>
          <w:tcPr>
            <w:tcW w:w="2525"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1E946EEE">
            <w:pPr>
              <w:pStyle w:val="8"/>
              <w:suppressLineNumbers w:val="0"/>
              <w:bidi w:val="0"/>
              <w:spacing w:before="0" w:beforeAutospacing="0" w:after="0" w:afterAutospacing="0"/>
              <w:ind w:left="0" w:right="0"/>
              <w:rPr>
                <w:rFonts w:hint="default"/>
                <w:highlight w:val="none"/>
              </w:rPr>
            </w:pPr>
            <w:r>
              <w:rPr>
                <w:rFonts w:hint="default"/>
                <w:highlight w:val="none"/>
              </w:rPr>
              <w:t>水污染控制和水环境影响减缓措施有效性评价</w:t>
            </w:r>
          </w:p>
        </w:tc>
        <w:tc>
          <w:tcPr>
            <w:tcW w:w="11112" w:type="dxa"/>
            <w:gridSpan w:val="7"/>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1773D0AE">
            <w:pPr>
              <w:pStyle w:val="8"/>
              <w:suppressLineNumbers w:val="0"/>
              <w:bidi w:val="0"/>
              <w:spacing w:before="0" w:beforeAutospacing="0" w:after="0" w:afterAutospacing="0"/>
              <w:ind w:left="0" w:right="0"/>
              <w:jc w:val="left"/>
              <w:rPr>
                <w:rFonts w:hint="default"/>
                <w:highlight w:val="none"/>
              </w:rPr>
            </w:pPr>
            <w:r>
              <w:rPr>
                <w:rFonts w:hint="default"/>
                <w:highlight w:val="none"/>
              </w:rPr>
              <w:t>区（流）域水环境质量改善目标□；替代削减源□</w:t>
            </w:r>
          </w:p>
        </w:tc>
      </w:tr>
      <w:tr w14:paraId="02AA8667">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609" w:hRule="atLeast"/>
        </w:trPr>
        <w:tc>
          <w:tcPr>
            <w:tcW w:w="387" w:type="dxa"/>
            <w:vMerge w:val="continue"/>
            <w:tcBorders>
              <w:left w:val="single" w:color="000000" w:themeColor="text1" w:sz="12" w:space="0"/>
              <w:right w:val="single" w:color="000000" w:themeColor="text1" w:sz="6" w:space="0"/>
            </w:tcBorders>
            <w:vAlign w:val="center"/>
          </w:tcPr>
          <w:p w14:paraId="15292D93">
            <w:pPr>
              <w:pStyle w:val="8"/>
              <w:suppressLineNumbers w:val="0"/>
              <w:bidi w:val="0"/>
              <w:spacing w:before="0" w:beforeAutospacing="0" w:after="0" w:afterAutospacing="0"/>
              <w:ind w:left="0" w:right="0"/>
              <w:rPr>
                <w:rFonts w:hint="default"/>
                <w:highlight w:val="none"/>
              </w:rPr>
            </w:pPr>
          </w:p>
        </w:tc>
        <w:tc>
          <w:tcPr>
            <w:tcW w:w="2525"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6367F0BC">
            <w:pPr>
              <w:pStyle w:val="8"/>
              <w:suppressLineNumbers w:val="0"/>
              <w:bidi w:val="0"/>
              <w:spacing w:before="0" w:beforeAutospacing="0" w:after="0" w:afterAutospacing="0"/>
              <w:ind w:left="0" w:right="0"/>
              <w:rPr>
                <w:rFonts w:hint="default"/>
                <w:highlight w:val="none"/>
              </w:rPr>
            </w:pPr>
            <w:r>
              <w:rPr>
                <w:rFonts w:hint="default"/>
                <w:highlight w:val="none"/>
              </w:rPr>
              <w:t>水环境影响评价</w:t>
            </w:r>
          </w:p>
        </w:tc>
        <w:tc>
          <w:tcPr>
            <w:tcW w:w="11112" w:type="dxa"/>
            <w:gridSpan w:val="7"/>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12DF794A">
            <w:pPr>
              <w:pStyle w:val="8"/>
              <w:suppressLineNumbers w:val="0"/>
              <w:bidi w:val="0"/>
              <w:spacing w:before="0" w:beforeAutospacing="0" w:after="0" w:afterAutospacing="0"/>
              <w:ind w:left="0" w:right="0"/>
              <w:jc w:val="left"/>
              <w:rPr>
                <w:rFonts w:hint="default"/>
                <w:highlight w:val="none"/>
              </w:rPr>
            </w:pPr>
            <w:r>
              <w:rPr>
                <w:rFonts w:hint="default"/>
                <w:highlight w:val="none"/>
              </w:rPr>
              <w:t>排放口混合区外满足水环境管理要求□</w:t>
            </w:r>
          </w:p>
          <w:p w14:paraId="4DD11929">
            <w:pPr>
              <w:pStyle w:val="8"/>
              <w:suppressLineNumbers w:val="0"/>
              <w:bidi w:val="0"/>
              <w:spacing w:before="0" w:beforeAutospacing="0" w:after="0" w:afterAutospacing="0"/>
              <w:ind w:left="0" w:right="0"/>
              <w:jc w:val="left"/>
              <w:rPr>
                <w:rFonts w:hint="default"/>
                <w:highlight w:val="none"/>
              </w:rPr>
            </w:pPr>
            <w:r>
              <w:rPr>
                <w:rFonts w:hint="default"/>
                <w:highlight w:val="none"/>
              </w:rPr>
              <w:t>水环境功能区或水功能区、近岸海域环境功能区水质达标□</w:t>
            </w:r>
          </w:p>
          <w:p w14:paraId="19D435B8">
            <w:pPr>
              <w:pStyle w:val="8"/>
              <w:suppressLineNumbers w:val="0"/>
              <w:bidi w:val="0"/>
              <w:spacing w:before="0" w:beforeAutospacing="0" w:after="0" w:afterAutospacing="0"/>
              <w:ind w:left="0" w:right="0"/>
              <w:jc w:val="left"/>
              <w:rPr>
                <w:rFonts w:hint="default"/>
                <w:highlight w:val="none"/>
              </w:rPr>
            </w:pPr>
            <w:r>
              <w:rPr>
                <w:rFonts w:hint="default"/>
                <w:highlight w:val="none"/>
              </w:rPr>
              <w:t>满足水环境保护目标水域水环境质量要求□</w:t>
            </w:r>
          </w:p>
          <w:p w14:paraId="3AA9D00A">
            <w:pPr>
              <w:pStyle w:val="8"/>
              <w:suppressLineNumbers w:val="0"/>
              <w:bidi w:val="0"/>
              <w:spacing w:before="0" w:beforeAutospacing="0" w:after="0" w:afterAutospacing="0"/>
              <w:ind w:left="0" w:right="0"/>
              <w:jc w:val="left"/>
              <w:rPr>
                <w:rFonts w:hint="default"/>
                <w:highlight w:val="none"/>
              </w:rPr>
            </w:pPr>
            <w:r>
              <w:rPr>
                <w:rFonts w:hint="default"/>
                <w:highlight w:val="none"/>
              </w:rPr>
              <w:t>水环境控制单元或断面水质达标□</w:t>
            </w:r>
          </w:p>
          <w:p w14:paraId="78F5B516">
            <w:pPr>
              <w:pStyle w:val="8"/>
              <w:suppressLineNumbers w:val="0"/>
              <w:bidi w:val="0"/>
              <w:spacing w:before="0" w:beforeAutospacing="0" w:after="0" w:afterAutospacing="0"/>
              <w:ind w:left="0" w:right="0"/>
              <w:jc w:val="left"/>
              <w:rPr>
                <w:rFonts w:hint="default"/>
                <w:highlight w:val="none"/>
              </w:rPr>
            </w:pPr>
            <w:r>
              <w:rPr>
                <w:rFonts w:hint="default"/>
                <w:highlight w:val="none"/>
              </w:rPr>
              <w:t>满足重点水污染物排放总量控制指标要求，重点行业建设项目，主要污染物排放满足等量或减量替代要求□</w:t>
            </w:r>
          </w:p>
          <w:p w14:paraId="14D6D545">
            <w:pPr>
              <w:pStyle w:val="8"/>
              <w:suppressLineNumbers w:val="0"/>
              <w:bidi w:val="0"/>
              <w:spacing w:before="0" w:beforeAutospacing="0" w:after="0" w:afterAutospacing="0"/>
              <w:ind w:left="0" w:right="0"/>
              <w:jc w:val="left"/>
              <w:rPr>
                <w:rFonts w:hint="default"/>
                <w:highlight w:val="none"/>
              </w:rPr>
            </w:pPr>
            <w:r>
              <w:rPr>
                <w:rFonts w:hint="default"/>
                <w:highlight w:val="none"/>
              </w:rPr>
              <w:t>满足区（流）域水环境质量改善目标要求□</w:t>
            </w:r>
          </w:p>
          <w:p w14:paraId="6FBAEC35">
            <w:pPr>
              <w:pStyle w:val="8"/>
              <w:suppressLineNumbers w:val="0"/>
              <w:bidi w:val="0"/>
              <w:spacing w:before="0" w:beforeAutospacing="0" w:after="0" w:afterAutospacing="0"/>
              <w:ind w:left="0" w:right="0"/>
              <w:jc w:val="left"/>
              <w:rPr>
                <w:rFonts w:hint="default"/>
                <w:highlight w:val="none"/>
              </w:rPr>
            </w:pPr>
            <w:r>
              <w:rPr>
                <w:rFonts w:hint="default"/>
                <w:highlight w:val="none"/>
              </w:rPr>
              <w:t>水文要素影响型建设项目同时应包括水文情势变化评价、主要水文特征值影响评价、生态流量符合性评价□</w:t>
            </w:r>
          </w:p>
          <w:p w14:paraId="465F1E74">
            <w:pPr>
              <w:pStyle w:val="8"/>
              <w:suppressLineNumbers w:val="0"/>
              <w:bidi w:val="0"/>
              <w:spacing w:before="0" w:beforeAutospacing="0" w:after="0" w:afterAutospacing="0"/>
              <w:ind w:left="0" w:right="0"/>
              <w:jc w:val="left"/>
              <w:rPr>
                <w:rFonts w:hint="default"/>
                <w:highlight w:val="none"/>
              </w:rPr>
            </w:pPr>
            <w:r>
              <w:rPr>
                <w:rFonts w:hint="default"/>
                <w:highlight w:val="none"/>
              </w:rPr>
              <w:t>对于新设或调整入河（湖库、近岸海域）排放口的建设项目，应包括排放口设置的环境合理性评价□</w:t>
            </w:r>
          </w:p>
          <w:p w14:paraId="6B9E2D03">
            <w:pPr>
              <w:pStyle w:val="8"/>
              <w:suppressLineNumbers w:val="0"/>
              <w:bidi w:val="0"/>
              <w:spacing w:before="0" w:beforeAutospacing="0" w:after="0" w:afterAutospacing="0"/>
              <w:ind w:left="0" w:right="0"/>
              <w:jc w:val="left"/>
              <w:rPr>
                <w:rFonts w:hint="default"/>
                <w:highlight w:val="none"/>
              </w:rPr>
            </w:pPr>
            <w:r>
              <w:rPr>
                <w:rFonts w:hint="default"/>
                <w:highlight w:val="none"/>
              </w:rPr>
              <w:t>满足生态保护红线、水环境质量底线、资源利用上线和环境准入清单管理要求□</w:t>
            </w:r>
          </w:p>
        </w:tc>
      </w:tr>
      <w:tr w14:paraId="17643FC4">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03" w:hRule="atLeast"/>
        </w:trPr>
        <w:tc>
          <w:tcPr>
            <w:tcW w:w="387" w:type="dxa"/>
            <w:vMerge w:val="continue"/>
            <w:tcBorders>
              <w:left w:val="single" w:color="000000" w:themeColor="text1" w:sz="12" w:space="0"/>
              <w:right w:val="single" w:color="000000" w:themeColor="text1" w:sz="6" w:space="0"/>
            </w:tcBorders>
            <w:vAlign w:val="center"/>
          </w:tcPr>
          <w:p w14:paraId="3C87CA5B">
            <w:pPr>
              <w:pStyle w:val="8"/>
              <w:suppressLineNumbers w:val="0"/>
              <w:bidi w:val="0"/>
              <w:spacing w:before="0" w:beforeAutospacing="0" w:after="0" w:afterAutospacing="0"/>
              <w:ind w:left="0" w:right="0"/>
              <w:rPr>
                <w:rFonts w:hint="default"/>
                <w:highlight w:val="none"/>
              </w:rPr>
            </w:pPr>
          </w:p>
        </w:tc>
        <w:tc>
          <w:tcPr>
            <w:tcW w:w="2525" w:type="dxa"/>
            <w:vMerge w:val="restart"/>
            <w:tcBorders>
              <w:top w:val="single" w:color="000000" w:themeColor="text1" w:sz="6" w:space="0"/>
              <w:left w:val="single" w:color="000000" w:themeColor="text1" w:sz="6" w:space="0"/>
              <w:right w:val="single" w:color="000000" w:themeColor="text1" w:sz="6" w:space="0"/>
            </w:tcBorders>
            <w:vAlign w:val="center"/>
          </w:tcPr>
          <w:p w14:paraId="42F5EBD6">
            <w:pPr>
              <w:pStyle w:val="8"/>
              <w:suppressLineNumbers w:val="0"/>
              <w:bidi w:val="0"/>
              <w:spacing w:before="0" w:beforeAutospacing="0" w:after="0" w:afterAutospacing="0"/>
              <w:ind w:left="0" w:right="0"/>
              <w:rPr>
                <w:rFonts w:hint="default"/>
                <w:highlight w:val="none"/>
              </w:rPr>
            </w:pPr>
            <w:r>
              <w:rPr>
                <w:rFonts w:hint="default"/>
                <w:highlight w:val="none"/>
              </w:rPr>
              <w:t>污染物排放量核算</w:t>
            </w:r>
          </w:p>
        </w:tc>
        <w:tc>
          <w:tcPr>
            <w:tcW w:w="3445" w:type="dxa"/>
            <w:gridSpan w:val="2"/>
            <w:tcBorders>
              <w:top w:val="single" w:color="000000" w:themeColor="text1" w:sz="6" w:space="0"/>
              <w:left w:val="single" w:color="000000" w:themeColor="text1" w:sz="6" w:space="0"/>
              <w:bottom w:val="single" w:color="auto" w:sz="2" w:space="0"/>
              <w:right w:val="single" w:color="auto" w:sz="2" w:space="0"/>
            </w:tcBorders>
            <w:vAlign w:val="center"/>
          </w:tcPr>
          <w:p w14:paraId="464B6A5B">
            <w:pPr>
              <w:pStyle w:val="8"/>
              <w:suppressLineNumbers w:val="0"/>
              <w:bidi w:val="0"/>
              <w:spacing w:before="0" w:beforeAutospacing="0" w:after="0" w:afterAutospacing="0"/>
              <w:ind w:left="0" w:right="0"/>
              <w:jc w:val="left"/>
              <w:rPr>
                <w:rFonts w:hint="default"/>
                <w:highlight w:val="none"/>
              </w:rPr>
            </w:pPr>
            <w:r>
              <w:rPr>
                <w:rFonts w:hint="default"/>
                <w:highlight w:val="none"/>
              </w:rPr>
              <w:t>污染物名称</w:t>
            </w:r>
          </w:p>
        </w:tc>
        <w:tc>
          <w:tcPr>
            <w:tcW w:w="4241" w:type="dxa"/>
            <w:gridSpan w:val="3"/>
            <w:tcBorders>
              <w:top w:val="single" w:color="000000" w:themeColor="text1" w:sz="6" w:space="0"/>
              <w:left w:val="single" w:color="auto" w:sz="2" w:space="0"/>
              <w:bottom w:val="single" w:color="auto" w:sz="2" w:space="0"/>
              <w:right w:val="single" w:color="auto" w:sz="2" w:space="0"/>
            </w:tcBorders>
            <w:vAlign w:val="center"/>
          </w:tcPr>
          <w:p w14:paraId="006A8CA7">
            <w:pPr>
              <w:pStyle w:val="8"/>
              <w:suppressLineNumbers w:val="0"/>
              <w:bidi w:val="0"/>
              <w:spacing w:before="0" w:beforeAutospacing="0" w:after="0" w:afterAutospacing="0"/>
              <w:ind w:left="0" w:right="0"/>
              <w:jc w:val="left"/>
              <w:rPr>
                <w:rFonts w:hint="default"/>
                <w:highlight w:val="none"/>
              </w:rPr>
            </w:pPr>
            <w:r>
              <w:rPr>
                <w:rFonts w:hint="default"/>
                <w:highlight w:val="none"/>
              </w:rPr>
              <w:t>排放量/（t/a）</w:t>
            </w:r>
          </w:p>
        </w:tc>
        <w:tc>
          <w:tcPr>
            <w:tcW w:w="3426" w:type="dxa"/>
            <w:gridSpan w:val="2"/>
            <w:tcBorders>
              <w:top w:val="single" w:color="000000" w:themeColor="text1" w:sz="6" w:space="0"/>
              <w:left w:val="single" w:color="auto" w:sz="2" w:space="0"/>
              <w:bottom w:val="single" w:color="auto" w:sz="2" w:space="0"/>
              <w:right w:val="single" w:color="000000" w:themeColor="text1" w:sz="12" w:space="0"/>
            </w:tcBorders>
            <w:vAlign w:val="center"/>
          </w:tcPr>
          <w:p w14:paraId="5048DE66">
            <w:pPr>
              <w:pStyle w:val="8"/>
              <w:suppressLineNumbers w:val="0"/>
              <w:bidi w:val="0"/>
              <w:spacing w:before="0" w:beforeAutospacing="0" w:after="0" w:afterAutospacing="0"/>
              <w:ind w:left="0" w:right="0"/>
              <w:jc w:val="left"/>
              <w:rPr>
                <w:rFonts w:hint="default"/>
                <w:highlight w:val="none"/>
              </w:rPr>
            </w:pPr>
            <w:r>
              <w:rPr>
                <w:rFonts w:hint="default"/>
                <w:highlight w:val="none"/>
              </w:rPr>
              <w:t>排放浓度/（mg/L）</w:t>
            </w:r>
          </w:p>
        </w:tc>
      </w:tr>
      <w:tr w14:paraId="7C1802E3">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62" w:hRule="atLeast"/>
        </w:trPr>
        <w:tc>
          <w:tcPr>
            <w:tcW w:w="387" w:type="dxa"/>
            <w:vMerge w:val="continue"/>
            <w:tcBorders>
              <w:left w:val="single" w:color="000000" w:themeColor="text1" w:sz="12" w:space="0"/>
              <w:right w:val="single" w:color="000000" w:themeColor="text1" w:sz="6" w:space="0"/>
            </w:tcBorders>
            <w:vAlign w:val="center"/>
          </w:tcPr>
          <w:p w14:paraId="1455A865">
            <w:pPr>
              <w:pStyle w:val="8"/>
              <w:suppressLineNumbers w:val="0"/>
              <w:bidi w:val="0"/>
              <w:spacing w:before="0" w:beforeAutospacing="0" w:after="0" w:afterAutospacing="0"/>
              <w:ind w:left="0" w:right="0"/>
              <w:rPr>
                <w:rFonts w:hint="default"/>
                <w:highlight w:val="none"/>
              </w:rPr>
            </w:pPr>
          </w:p>
        </w:tc>
        <w:tc>
          <w:tcPr>
            <w:tcW w:w="2525" w:type="dxa"/>
            <w:vMerge w:val="continue"/>
            <w:tcBorders>
              <w:top w:val="single" w:color="000000" w:themeColor="text1" w:sz="6" w:space="0"/>
              <w:left w:val="single" w:color="000000" w:themeColor="text1" w:sz="6" w:space="0"/>
              <w:bottom w:val="single" w:color="auto" w:sz="2" w:space="0"/>
              <w:right w:val="single" w:color="000000" w:themeColor="text1" w:sz="6" w:space="0"/>
            </w:tcBorders>
            <w:vAlign w:val="center"/>
          </w:tcPr>
          <w:p w14:paraId="68D3205B">
            <w:pPr>
              <w:pStyle w:val="8"/>
              <w:suppressLineNumbers w:val="0"/>
              <w:bidi w:val="0"/>
              <w:spacing w:before="0" w:beforeAutospacing="0" w:after="0" w:afterAutospacing="0"/>
              <w:ind w:left="0" w:right="0"/>
              <w:rPr>
                <w:rFonts w:hint="default"/>
                <w:highlight w:val="none"/>
              </w:rPr>
            </w:pPr>
          </w:p>
        </w:tc>
        <w:tc>
          <w:tcPr>
            <w:tcW w:w="3445" w:type="dxa"/>
            <w:gridSpan w:val="2"/>
            <w:tcBorders>
              <w:top w:val="single" w:color="auto" w:sz="2" w:space="0"/>
              <w:left w:val="single" w:color="000000" w:themeColor="text1" w:sz="6" w:space="0"/>
              <w:bottom w:val="single" w:color="auto" w:sz="2" w:space="0"/>
              <w:right w:val="single" w:color="auto" w:sz="2" w:space="0"/>
            </w:tcBorders>
            <w:vAlign w:val="center"/>
          </w:tcPr>
          <w:p w14:paraId="4D3ADEF1">
            <w:pPr>
              <w:pStyle w:val="8"/>
              <w:suppressLineNumbers w:val="0"/>
              <w:bidi w:val="0"/>
              <w:spacing w:before="0" w:beforeAutospacing="0" w:after="0" w:afterAutospacing="0"/>
              <w:ind w:left="0" w:right="0"/>
              <w:jc w:val="left"/>
              <w:rPr>
                <w:rFonts w:hint="default"/>
                <w:highlight w:val="none"/>
              </w:rPr>
            </w:pPr>
            <w:r>
              <w:rPr>
                <w:rFonts w:hint="default"/>
                <w:highlight w:val="none"/>
              </w:rPr>
              <w:t>（COD、氨氮）</w:t>
            </w:r>
          </w:p>
        </w:tc>
        <w:tc>
          <w:tcPr>
            <w:tcW w:w="4241" w:type="dxa"/>
            <w:gridSpan w:val="3"/>
            <w:tcBorders>
              <w:top w:val="single" w:color="auto" w:sz="2" w:space="0"/>
              <w:left w:val="single" w:color="auto" w:sz="2" w:space="0"/>
              <w:bottom w:val="single" w:color="auto" w:sz="2" w:space="0"/>
              <w:right w:val="single" w:color="auto" w:sz="2" w:space="0"/>
            </w:tcBorders>
            <w:vAlign w:val="center"/>
          </w:tcPr>
          <w:p w14:paraId="0FAC8236">
            <w:pPr>
              <w:pStyle w:val="8"/>
              <w:suppressLineNumbers w:val="0"/>
              <w:bidi w:val="0"/>
              <w:spacing w:before="0" w:beforeAutospacing="0" w:after="0" w:afterAutospacing="0"/>
              <w:ind w:left="0" w:right="0"/>
              <w:jc w:val="left"/>
              <w:rPr>
                <w:rFonts w:hint="default"/>
                <w:highlight w:val="none"/>
              </w:rPr>
            </w:pPr>
            <w:r>
              <w:rPr>
                <w:rFonts w:hint="default"/>
                <w:highlight w:val="none"/>
              </w:rPr>
              <w:t>（</w:t>
            </w:r>
            <w:r>
              <w:rPr>
                <w:rFonts w:hint="eastAsia"/>
                <w:highlight w:val="none"/>
                <w:lang w:val="en-US" w:eastAsia="zh-CN"/>
              </w:rPr>
              <w:t>0.08</w:t>
            </w:r>
            <w:r>
              <w:rPr>
                <w:rFonts w:hint="default"/>
                <w:highlight w:val="none"/>
              </w:rPr>
              <w:t>、0</w:t>
            </w:r>
            <w:r>
              <w:rPr>
                <w:rFonts w:hint="eastAsia"/>
                <w:highlight w:val="none"/>
                <w:lang w:val="en-US" w:eastAsia="zh-CN"/>
              </w:rPr>
              <w:t>.008</w:t>
            </w:r>
            <w:r>
              <w:rPr>
                <w:rFonts w:hint="default"/>
                <w:highlight w:val="none"/>
              </w:rPr>
              <w:t>）</w:t>
            </w:r>
          </w:p>
        </w:tc>
        <w:tc>
          <w:tcPr>
            <w:tcW w:w="3426" w:type="dxa"/>
            <w:gridSpan w:val="2"/>
            <w:tcBorders>
              <w:top w:val="single" w:color="auto" w:sz="2" w:space="0"/>
              <w:left w:val="single" w:color="auto" w:sz="2" w:space="0"/>
              <w:bottom w:val="single" w:color="auto" w:sz="2" w:space="0"/>
              <w:right w:val="single" w:color="000000" w:themeColor="text1" w:sz="12" w:space="0"/>
            </w:tcBorders>
            <w:vAlign w:val="center"/>
          </w:tcPr>
          <w:p w14:paraId="0DE4202A">
            <w:pPr>
              <w:pStyle w:val="8"/>
              <w:suppressLineNumbers w:val="0"/>
              <w:bidi w:val="0"/>
              <w:spacing w:before="0" w:beforeAutospacing="0" w:after="0" w:afterAutospacing="0"/>
              <w:ind w:left="0" w:right="0"/>
              <w:jc w:val="left"/>
              <w:rPr>
                <w:rFonts w:hint="default"/>
                <w:highlight w:val="none"/>
              </w:rPr>
            </w:pPr>
            <w:r>
              <w:rPr>
                <w:rFonts w:hint="default"/>
                <w:highlight w:val="none"/>
              </w:rPr>
              <w:t>（</w:t>
            </w:r>
            <w:r>
              <w:rPr>
                <w:rFonts w:hint="eastAsia"/>
                <w:highlight w:val="none"/>
                <w:lang w:val="en-US" w:eastAsia="zh-CN"/>
              </w:rPr>
              <w:t>350</w:t>
            </w:r>
            <w:r>
              <w:rPr>
                <w:rFonts w:hint="default"/>
                <w:highlight w:val="none"/>
              </w:rPr>
              <w:t>、</w:t>
            </w:r>
            <w:r>
              <w:rPr>
                <w:rFonts w:hint="eastAsia"/>
                <w:highlight w:val="none"/>
                <w:lang w:val="en-US" w:eastAsia="zh-CN"/>
              </w:rPr>
              <w:t>35</w:t>
            </w:r>
            <w:r>
              <w:rPr>
                <w:rFonts w:hint="default"/>
                <w:highlight w:val="none"/>
              </w:rPr>
              <w:t>）</w:t>
            </w:r>
          </w:p>
        </w:tc>
      </w:tr>
      <w:tr w14:paraId="75FE53E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132" w:hRule="atLeast"/>
        </w:trPr>
        <w:tc>
          <w:tcPr>
            <w:tcW w:w="387" w:type="dxa"/>
            <w:vMerge w:val="continue"/>
            <w:tcBorders>
              <w:left w:val="single" w:color="000000" w:themeColor="text1" w:sz="12" w:space="0"/>
              <w:right w:val="single" w:color="000000" w:themeColor="text1" w:sz="6" w:space="0"/>
            </w:tcBorders>
            <w:vAlign w:val="center"/>
          </w:tcPr>
          <w:p w14:paraId="79BAB15C">
            <w:pPr>
              <w:pStyle w:val="8"/>
              <w:suppressLineNumbers w:val="0"/>
              <w:bidi w:val="0"/>
              <w:spacing w:before="0" w:beforeAutospacing="0" w:after="0" w:afterAutospacing="0"/>
              <w:ind w:left="0" w:right="0"/>
              <w:rPr>
                <w:rFonts w:hint="default"/>
                <w:highlight w:val="none"/>
              </w:rPr>
            </w:pPr>
          </w:p>
        </w:tc>
        <w:tc>
          <w:tcPr>
            <w:tcW w:w="2525" w:type="dxa"/>
            <w:vMerge w:val="restart"/>
            <w:tcBorders>
              <w:top w:val="single" w:color="auto" w:sz="2" w:space="0"/>
              <w:left w:val="single" w:color="000000" w:themeColor="text1" w:sz="6" w:space="0"/>
              <w:right w:val="single" w:color="000000" w:themeColor="text1" w:sz="6" w:space="0"/>
            </w:tcBorders>
            <w:vAlign w:val="center"/>
          </w:tcPr>
          <w:p w14:paraId="1EC3F42C">
            <w:pPr>
              <w:pStyle w:val="8"/>
              <w:suppressLineNumbers w:val="0"/>
              <w:bidi w:val="0"/>
              <w:spacing w:before="0" w:beforeAutospacing="0" w:after="0" w:afterAutospacing="0"/>
              <w:ind w:left="0" w:right="0"/>
              <w:rPr>
                <w:rFonts w:hint="default"/>
                <w:highlight w:val="none"/>
              </w:rPr>
            </w:pPr>
            <w:r>
              <w:rPr>
                <w:rFonts w:hint="default"/>
                <w:highlight w:val="none"/>
              </w:rPr>
              <w:t>替代源排放情况</w:t>
            </w:r>
          </w:p>
        </w:tc>
        <w:tc>
          <w:tcPr>
            <w:tcW w:w="2076" w:type="dxa"/>
            <w:tcBorders>
              <w:top w:val="single" w:color="auto" w:sz="2" w:space="0"/>
              <w:left w:val="single" w:color="000000" w:themeColor="text1" w:sz="6" w:space="0"/>
              <w:bottom w:val="single" w:color="auto" w:sz="2" w:space="0"/>
              <w:right w:val="single" w:color="auto" w:sz="2" w:space="0"/>
            </w:tcBorders>
            <w:vAlign w:val="center"/>
          </w:tcPr>
          <w:p w14:paraId="477826ED">
            <w:pPr>
              <w:pStyle w:val="8"/>
              <w:suppressLineNumbers w:val="0"/>
              <w:bidi w:val="0"/>
              <w:spacing w:before="0" w:beforeAutospacing="0" w:after="0" w:afterAutospacing="0"/>
              <w:ind w:left="0" w:right="0"/>
              <w:jc w:val="left"/>
              <w:rPr>
                <w:rFonts w:hint="default"/>
                <w:highlight w:val="none"/>
              </w:rPr>
            </w:pPr>
            <w:r>
              <w:rPr>
                <w:rFonts w:hint="default"/>
                <w:highlight w:val="none"/>
              </w:rPr>
              <w:t>污染源名称</w:t>
            </w:r>
          </w:p>
        </w:tc>
        <w:tc>
          <w:tcPr>
            <w:tcW w:w="2385" w:type="dxa"/>
            <w:gridSpan w:val="2"/>
            <w:tcBorders>
              <w:top w:val="single" w:color="auto" w:sz="2" w:space="0"/>
              <w:left w:val="single" w:color="auto" w:sz="2" w:space="0"/>
              <w:bottom w:val="single" w:color="auto" w:sz="2" w:space="0"/>
              <w:right w:val="single" w:color="auto" w:sz="2" w:space="0"/>
            </w:tcBorders>
            <w:vAlign w:val="center"/>
          </w:tcPr>
          <w:p w14:paraId="1FEBB69E">
            <w:pPr>
              <w:pStyle w:val="8"/>
              <w:suppressLineNumbers w:val="0"/>
              <w:bidi w:val="0"/>
              <w:spacing w:before="0" w:beforeAutospacing="0" w:after="0" w:afterAutospacing="0"/>
              <w:ind w:left="0" w:right="0"/>
              <w:jc w:val="left"/>
              <w:rPr>
                <w:rFonts w:hint="default"/>
                <w:highlight w:val="none"/>
              </w:rPr>
            </w:pPr>
            <w:r>
              <w:rPr>
                <w:rFonts w:hint="default"/>
                <w:highlight w:val="none"/>
              </w:rPr>
              <w:t>排污许可证编号</w:t>
            </w:r>
          </w:p>
        </w:tc>
        <w:tc>
          <w:tcPr>
            <w:tcW w:w="2516" w:type="dxa"/>
            <w:tcBorders>
              <w:top w:val="single" w:color="auto" w:sz="2" w:space="0"/>
              <w:left w:val="single" w:color="auto" w:sz="2" w:space="0"/>
              <w:bottom w:val="single" w:color="auto" w:sz="2" w:space="0"/>
              <w:right w:val="single" w:color="auto" w:sz="2" w:space="0"/>
            </w:tcBorders>
            <w:vAlign w:val="center"/>
          </w:tcPr>
          <w:p w14:paraId="3CD73FD5">
            <w:pPr>
              <w:pStyle w:val="8"/>
              <w:suppressLineNumbers w:val="0"/>
              <w:bidi w:val="0"/>
              <w:spacing w:before="0" w:beforeAutospacing="0" w:after="0" w:afterAutospacing="0"/>
              <w:ind w:left="0" w:right="0"/>
              <w:jc w:val="left"/>
              <w:rPr>
                <w:rFonts w:hint="default"/>
                <w:highlight w:val="none"/>
              </w:rPr>
            </w:pPr>
            <w:r>
              <w:rPr>
                <w:rFonts w:hint="default"/>
                <w:highlight w:val="none"/>
              </w:rPr>
              <w:t>污染物名称</w:t>
            </w:r>
          </w:p>
        </w:tc>
        <w:tc>
          <w:tcPr>
            <w:tcW w:w="2126" w:type="dxa"/>
            <w:gridSpan w:val="2"/>
            <w:tcBorders>
              <w:top w:val="single" w:color="auto" w:sz="2" w:space="0"/>
              <w:left w:val="single" w:color="auto" w:sz="2" w:space="0"/>
              <w:bottom w:val="single" w:color="auto" w:sz="2" w:space="0"/>
              <w:right w:val="single" w:color="auto" w:sz="2" w:space="0"/>
            </w:tcBorders>
            <w:vAlign w:val="center"/>
          </w:tcPr>
          <w:p w14:paraId="49770527">
            <w:pPr>
              <w:pStyle w:val="8"/>
              <w:suppressLineNumbers w:val="0"/>
              <w:bidi w:val="0"/>
              <w:spacing w:before="0" w:beforeAutospacing="0" w:after="0" w:afterAutospacing="0"/>
              <w:ind w:left="0" w:right="0"/>
              <w:jc w:val="left"/>
              <w:rPr>
                <w:rFonts w:hint="default"/>
                <w:highlight w:val="none"/>
              </w:rPr>
            </w:pPr>
            <w:r>
              <w:rPr>
                <w:rFonts w:hint="default"/>
                <w:highlight w:val="none"/>
              </w:rPr>
              <w:t>排放量/（t/a）</w:t>
            </w:r>
          </w:p>
        </w:tc>
        <w:tc>
          <w:tcPr>
            <w:tcW w:w="2009" w:type="dxa"/>
            <w:tcBorders>
              <w:top w:val="single" w:color="auto" w:sz="2" w:space="0"/>
              <w:left w:val="single" w:color="auto" w:sz="2" w:space="0"/>
              <w:bottom w:val="single" w:color="auto" w:sz="2" w:space="0"/>
              <w:right w:val="single" w:color="000000" w:themeColor="text1" w:sz="12" w:space="0"/>
            </w:tcBorders>
            <w:vAlign w:val="center"/>
          </w:tcPr>
          <w:p w14:paraId="5DC4BA99">
            <w:pPr>
              <w:pStyle w:val="8"/>
              <w:suppressLineNumbers w:val="0"/>
              <w:bidi w:val="0"/>
              <w:spacing w:before="0" w:beforeAutospacing="0" w:after="0" w:afterAutospacing="0"/>
              <w:ind w:left="0" w:right="0"/>
              <w:jc w:val="left"/>
              <w:rPr>
                <w:rFonts w:hint="default"/>
                <w:highlight w:val="none"/>
              </w:rPr>
            </w:pPr>
            <w:r>
              <w:rPr>
                <w:rFonts w:hint="default"/>
                <w:highlight w:val="none"/>
              </w:rPr>
              <w:t>排放浓度/（mg/L）</w:t>
            </w:r>
          </w:p>
        </w:tc>
      </w:tr>
      <w:tr w14:paraId="52D73290">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106" w:hRule="atLeast"/>
        </w:trPr>
        <w:tc>
          <w:tcPr>
            <w:tcW w:w="387" w:type="dxa"/>
            <w:vMerge w:val="continue"/>
            <w:tcBorders>
              <w:left w:val="single" w:color="000000" w:themeColor="text1" w:sz="12" w:space="0"/>
              <w:right w:val="single" w:color="000000" w:themeColor="text1" w:sz="6" w:space="0"/>
            </w:tcBorders>
            <w:vAlign w:val="center"/>
          </w:tcPr>
          <w:p w14:paraId="6E5D97BB">
            <w:pPr>
              <w:pStyle w:val="8"/>
              <w:suppressLineNumbers w:val="0"/>
              <w:bidi w:val="0"/>
              <w:spacing w:before="0" w:beforeAutospacing="0" w:after="0" w:afterAutospacing="0"/>
              <w:ind w:left="0" w:right="0"/>
              <w:rPr>
                <w:rFonts w:hint="default"/>
                <w:highlight w:val="none"/>
              </w:rPr>
            </w:pPr>
          </w:p>
        </w:tc>
        <w:tc>
          <w:tcPr>
            <w:tcW w:w="2525" w:type="dxa"/>
            <w:vMerge w:val="continue"/>
            <w:tcBorders>
              <w:left w:val="single" w:color="000000" w:themeColor="text1" w:sz="6" w:space="0"/>
              <w:right w:val="single" w:color="000000" w:themeColor="text1" w:sz="6" w:space="0"/>
            </w:tcBorders>
            <w:vAlign w:val="center"/>
          </w:tcPr>
          <w:p w14:paraId="2DBEB37D">
            <w:pPr>
              <w:pStyle w:val="8"/>
              <w:suppressLineNumbers w:val="0"/>
              <w:bidi w:val="0"/>
              <w:spacing w:before="0" w:beforeAutospacing="0" w:after="0" w:afterAutospacing="0"/>
              <w:ind w:left="0" w:right="0"/>
              <w:rPr>
                <w:rFonts w:hint="default"/>
                <w:highlight w:val="none"/>
              </w:rPr>
            </w:pPr>
          </w:p>
        </w:tc>
        <w:tc>
          <w:tcPr>
            <w:tcW w:w="2076" w:type="dxa"/>
            <w:tcBorders>
              <w:top w:val="single" w:color="auto" w:sz="2" w:space="0"/>
              <w:left w:val="single" w:color="000000" w:themeColor="text1" w:sz="6" w:space="0"/>
              <w:bottom w:val="single" w:color="auto" w:sz="2" w:space="0"/>
              <w:right w:val="single" w:color="auto" w:sz="2" w:space="0"/>
            </w:tcBorders>
            <w:vAlign w:val="center"/>
          </w:tcPr>
          <w:p w14:paraId="4EBC2D8D">
            <w:pPr>
              <w:pStyle w:val="8"/>
              <w:suppressLineNumbers w:val="0"/>
              <w:bidi w:val="0"/>
              <w:spacing w:before="0" w:beforeAutospacing="0" w:after="0" w:afterAutospacing="0"/>
              <w:ind w:left="0" w:right="0"/>
              <w:jc w:val="left"/>
              <w:rPr>
                <w:rFonts w:hint="default"/>
                <w:highlight w:val="none"/>
              </w:rPr>
            </w:pPr>
            <w:r>
              <w:rPr>
                <w:rFonts w:hint="default"/>
                <w:highlight w:val="none"/>
              </w:rPr>
              <w:t>（）</w:t>
            </w:r>
          </w:p>
        </w:tc>
        <w:tc>
          <w:tcPr>
            <w:tcW w:w="2385" w:type="dxa"/>
            <w:gridSpan w:val="2"/>
            <w:tcBorders>
              <w:top w:val="single" w:color="auto" w:sz="2" w:space="0"/>
              <w:left w:val="single" w:color="auto" w:sz="2" w:space="0"/>
              <w:bottom w:val="single" w:color="auto" w:sz="2" w:space="0"/>
              <w:right w:val="single" w:color="auto" w:sz="2" w:space="0"/>
            </w:tcBorders>
            <w:vAlign w:val="center"/>
          </w:tcPr>
          <w:p w14:paraId="66B0514B">
            <w:pPr>
              <w:pStyle w:val="8"/>
              <w:suppressLineNumbers w:val="0"/>
              <w:bidi w:val="0"/>
              <w:spacing w:before="0" w:beforeAutospacing="0" w:after="0" w:afterAutospacing="0"/>
              <w:ind w:left="0" w:right="0"/>
              <w:jc w:val="left"/>
              <w:rPr>
                <w:rFonts w:hint="default"/>
                <w:highlight w:val="none"/>
              </w:rPr>
            </w:pPr>
            <w:r>
              <w:rPr>
                <w:rFonts w:hint="default"/>
                <w:highlight w:val="none"/>
              </w:rPr>
              <w:t>（）</w:t>
            </w:r>
          </w:p>
        </w:tc>
        <w:tc>
          <w:tcPr>
            <w:tcW w:w="2516" w:type="dxa"/>
            <w:tcBorders>
              <w:top w:val="single" w:color="auto" w:sz="2" w:space="0"/>
              <w:left w:val="single" w:color="auto" w:sz="2" w:space="0"/>
              <w:bottom w:val="single" w:color="auto" w:sz="2" w:space="0"/>
              <w:right w:val="single" w:color="auto" w:sz="2" w:space="0"/>
            </w:tcBorders>
            <w:vAlign w:val="center"/>
          </w:tcPr>
          <w:p w14:paraId="47979519">
            <w:pPr>
              <w:pStyle w:val="8"/>
              <w:suppressLineNumbers w:val="0"/>
              <w:bidi w:val="0"/>
              <w:spacing w:before="0" w:beforeAutospacing="0" w:after="0" w:afterAutospacing="0"/>
              <w:ind w:left="0" w:right="0"/>
              <w:jc w:val="left"/>
              <w:rPr>
                <w:rFonts w:hint="default"/>
                <w:highlight w:val="none"/>
              </w:rPr>
            </w:pPr>
            <w:r>
              <w:rPr>
                <w:rFonts w:hint="default"/>
                <w:highlight w:val="none"/>
              </w:rPr>
              <w:t>（）</w:t>
            </w:r>
          </w:p>
        </w:tc>
        <w:tc>
          <w:tcPr>
            <w:tcW w:w="2126" w:type="dxa"/>
            <w:gridSpan w:val="2"/>
            <w:tcBorders>
              <w:top w:val="single" w:color="auto" w:sz="2" w:space="0"/>
              <w:left w:val="single" w:color="auto" w:sz="2" w:space="0"/>
              <w:bottom w:val="single" w:color="auto" w:sz="2" w:space="0"/>
              <w:right w:val="single" w:color="auto" w:sz="2" w:space="0"/>
            </w:tcBorders>
            <w:vAlign w:val="center"/>
          </w:tcPr>
          <w:p w14:paraId="0108D597">
            <w:pPr>
              <w:pStyle w:val="8"/>
              <w:suppressLineNumbers w:val="0"/>
              <w:bidi w:val="0"/>
              <w:spacing w:before="0" w:beforeAutospacing="0" w:after="0" w:afterAutospacing="0"/>
              <w:ind w:left="0" w:right="0"/>
              <w:jc w:val="left"/>
              <w:rPr>
                <w:rFonts w:hint="default"/>
                <w:highlight w:val="none"/>
              </w:rPr>
            </w:pPr>
            <w:r>
              <w:rPr>
                <w:rFonts w:hint="default"/>
                <w:highlight w:val="none"/>
              </w:rPr>
              <w:t>（）</w:t>
            </w:r>
          </w:p>
        </w:tc>
        <w:tc>
          <w:tcPr>
            <w:tcW w:w="2009" w:type="dxa"/>
            <w:tcBorders>
              <w:top w:val="single" w:color="auto" w:sz="2" w:space="0"/>
              <w:left w:val="single" w:color="auto" w:sz="2" w:space="0"/>
              <w:bottom w:val="single" w:color="auto" w:sz="2" w:space="0"/>
              <w:right w:val="single" w:color="000000" w:themeColor="text1" w:sz="12" w:space="0"/>
            </w:tcBorders>
            <w:vAlign w:val="center"/>
          </w:tcPr>
          <w:p w14:paraId="324F4728">
            <w:pPr>
              <w:pStyle w:val="8"/>
              <w:suppressLineNumbers w:val="0"/>
              <w:bidi w:val="0"/>
              <w:spacing w:before="0" w:beforeAutospacing="0" w:after="0" w:afterAutospacing="0"/>
              <w:ind w:left="0" w:right="0"/>
              <w:jc w:val="left"/>
              <w:rPr>
                <w:rFonts w:hint="default"/>
                <w:highlight w:val="none"/>
              </w:rPr>
            </w:pPr>
            <w:r>
              <w:rPr>
                <w:rFonts w:hint="default"/>
                <w:highlight w:val="none"/>
              </w:rPr>
              <w:t>（）</w:t>
            </w:r>
          </w:p>
        </w:tc>
      </w:tr>
      <w:tr w14:paraId="29F97AC1">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106" w:hRule="atLeast"/>
        </w:trPr>
        <w:tc>
          <w:tcPr>
            <w:tcW w:w="387" w:type="dxa"/>
            <w:vMerge w:val="continue"/>
            <w:tcBorders>
              <w:left w:val="single" w:color="000000" w:themeColor="text1" w:sz="12" w:space="0"/>
              <w:right w:val="single" w:color="000000" w:themeColor="text1" w:sz="6" w:space="0"/>
            </w:tcBorders>
            <w:vAlign w:val="center"/>
          </w:tcPr>
          <w:p w14:paraId="50B8666F">
            <w:pPr>
              <w:pStyle w:val="8"/>
              <w:suppressLineNumbers w:val="0"/>
              <w:bidi w:val="0"/>
              <w:spacing w:before="0" w:beforeAutospacing="0" w:after="0" w:afterAutospacing="0"/>
              <w:ind w:left="0" w:right="0"/>
              <w:rPr>
                <w:rFonts w:hint="default"/>
                <w:highlight w:val="none"/>
              </w:rPr>
            </w:pPr>
          </w:p>
        </w:tc>
        <w:tc>
          <w:tcPr>
            <w:tcW w:w="2525" w:type="dxa"/>
            <w:tcBorders>
              <w:left w:val="single" w:color="000000" w:themeColor="text1" w:sz="6" w:space="0"/>
              <w:bottom w:val="single" w:color="auto" w:sz="12" w:space="0"/>
              <w:right w:val="single" w:color="000000" w:themeColor="text1" w:sz="6" w:space="0"/>
            </w:tcBorders>
            <w:vAlign w:val="center"/>
          </w:tcPr>
          <w:p w14:paraId="1DD75C95">
            <w:pPr>
              <w:pStyle w:val="8"/>
              <w:suppressLineNumbers w:val="0"/>
              <w:bidi w:val="0"/>
              <w:spacing w:before="0" w:beforeAutospacing="0" w:after="0" w:afterAutospacing="0"/>
              <w:ind w:left="0" w:right="0"/>
              <w:rPr>
                <w:rFonts w:hint="default"/>
                <w:highlight w:val="none"/>
              </w:rPr>
            </w:pPr>
            <w:r>
              <w:rPr>
                <w:rFonts w:hint="default"/>
                <w:highlight w:val="none"/>
              </w:rPr>
              <w:t>生态流量确定</w:t>
            </w:r>
          </w:p>
        </w:tc>
        <w:tc>
          <w:tcPr>
            <w:tcW w:w="11112" w:type="dxa"/>
            <w:gridSpan w:val="7"/>
            <w:tcBorders>
              <w:top w:val="single" w:color="auto" w:sz="2" w:space="0"/>
              <w:left w:val="single" w:color="000000" w:themeColor="text1" w:sz="6" w:space="0"/>
              <w:bottom w:val="single" w:color="auto" w:sz="12" w:space="0"/>
              <w:right w:val="single" w:color="000000" w:themeColor="text1" w:sz="12" w:space="0"/>
            </w:tcBorders>
            <w:vAlign w:val="center"/>
          </w:tcPr>
          <w:p w14:paraId="7E9A1092">
            <w:pPr>
              <w:pStyle w:val="8"/>
              <w:suppressLineNumbers w:val="0"/>
              <w:bidi w:val="0"/>
              <w:spacing w:before="0" w:beforeAutospacing="0" w:after="0" w:afterAutospacing="0"/>
              <w:ind w:left="0" w:right="0"/>
              <w:jc w:val="left"/>
              <w:rPr>
                <w:rFonts w:hint="default"/>
                <w:highlight w:val="none"/>
              </w:rPr>
            </w:pPr>
            <w:r>
              <w:rPr>
                <w:rFonts w:hint="default"/>
                <w:highlight w:val="none"/>
              </w:rPr>
              <w:t>生态流量：一般水期（）m</w:t>
            </w:r>
            <w:r>
              <w:rPr>
                <w:rFonts w:hint="default"/>
                <w:highlight w:val="none"/>
                <w:vertAlign w:val="superscript"/>
              </w:rPr>
              <w:t>3</w:t>
            </w:r>
            <w:r>
              <w:rPr>
                <w:rFonts w:hint="default"/>
                <w:highlight w:val="none"/>
              </w:rPr>
              <w:t>/s；鱼类繁殖期（）m</w:t>
            </w:r>
            <w:r>
              <w:rPr>
                <w:rFonts w:hint="default"/>
                <w:highlight w:val="none"/>
                <w:vertAlign w:val="superscript"/>
              </w:rPr>
              <w:t>3</w:t>
            </w:r>
            <w:r>
              <w:rPr>
                <w:rFonts w:hint="default"/>
                <w:highlight w:val="none"/>
              </w:rPr>
              <w:t>/s；其他（）m</w:t>
            </w:r>
            <w:r>
              <w:rPr>
                <w:rFonts w:hint="default"/>
                <w:highlight w:val="none"/>
                <w:vertAlign w:val="superscript"/>
              </w:rPr>
              <w:t>3</w:t>
            </w:r>
            <w:r>
              <w:rPr>
                <w:rFonts w:hint="default"/>
                <w:highlight w:val="none"/>
              </w:rPr>
              <w:t>/s</w:t>
            </w:r>
          </w:p>
          <w:p w14:paraId="36833481">
            <w:pPr>
              <w:pStyle w:val="8"/>
              <w:suppressLineNumbers w:val="0"/>
              <w:bidi w:val="0"/>
              <w:spacing w:before="0" w:beforeAutospacing="0" w:after="0" w:afterAutospacing="0"/>
              <w:ind w:left="0" w:right="0"/>
              <w:jc w:val="left"/>
              <w:rPr>
                <w:rFonts w:hint="default"/>
                <w:highlight w:val="none"/>
              </w:rPr>
            </w:pPr>
            <w:r>
              <w:rPr>
                <w:rFonts w:hint="default"/>
                <w:highlight w:val="none"/>
              </w:rPr>
              <w:t>生态水位：一般水期（）m；鱼类繁殖期（）m；其他（）m</w:t>
            </w:r>
          </w:p>
        </w:tc>
      </w:tr>
    </w:tbl>
    <w:p w14:paraId="543D0044">
      <w:pPr>
        <w:jc w:val="right"/>
        <w:rPr>
          <w:rFonts w:eastAsiaTheme="minorEastAsia"/>
          <w:b/>
          <w:highlight w:val="none"/>
        </w:rPr>
      </w:pPr>
    </w:p>
    <w:p w14:paraId="263421D2">
      <w:pPr>
        <w:jc w:val="right"/>
        <w:rPr>
          <w:rFonts w:eastAsiaTheme="minorEastAsia"/>
          <w:b/>
          <w:highlight w:val="none"/>
        </w:rPr>
      </w:pPr>
    </w:p>
    <w:p w14:paraId="46780905">
      <w:pPr>
        <w:pStyle w:val="7"/>
        <w:bidi w:val="0"/>
        <w:rPr>
          <w:highlight w:val="none"/>
        </w:rPr>
      </w:pPr>
      <w:r>
        <w:rPr>
          <w:highlight w:val="none"/>
        </w:rPr>
        <w:t>续表</w:t>
      </w:r>
    </w:p>
    <w:tbl>
      <w:tblPr>
        <w:tblStyle w:val="79"/>
        <w:tblW w:w="0" w:type="auto"/>
        <w:tblInd w:w="0"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
      <w:tblGrid>
        <w:gridCol w:w="392"/>
        <w:gridCol w:w="2551"/>
        <w:gridCol w:w="3743"/>
        <w:gridCol w:w="3744"/>
        <w:gridCol w:w="3744"/>
      </w:tblGrid>
      <w:tr w14:paraId="4FF3D29D">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c>
          <w:tcPr>
            <w:tcW w:w="2943" w:type="dxa"/>
            <w:gridSpan w:val="2"/>
            <w:tcBorders>
              <w:top w:val="single" w:color="000000" w:themeColor="text1" w:sz="12" w:space="0"/>
              <w:left w:val="single" w:color="000000" w:themeColor="text1" w:sz="12" w:space="0"/>
              <w:bottom w:val="single" w:color="000000" w:themeColor="text1" w:sz="6" w:space="0"/>
              <w:right w:val="single" w:color="000000" w:themeColor="text1" w:sz="6" w:space="0"/>
            </w:tcBorders>
            <w:vAlign w:val="center"/>
          </w:tcPr>
          <w:p w14:paraId="0F860011">
            <w:pPr>
              <w:pStyle w:val="8"/>
              <w:suppressLineNumbers w:val="0"/>
              <w:bidi w:val="0"/>
              <w:spacing w:before="0" w:beforeAutospacing="0" w:after="0" w:afterAutospacing="0"/>
              <w:ind w:left="0" w:right="0"/>
              <w:rPr>
                <w:rFonts w:hint="default"/>
                <w:highlight w:val="none"/>
              </w:rPr>
            </w:pPr>
            <w:r>
              <w:rPr>
                <w:rFonts w:hint="default"/>
                <w:highlight w:val="none"/>
              </w:rPr>
              <w:t>工作内容</w:t>
            </w:r>
          </w:p>
        </w:tc>
        <w:tc>
          <w:tcPr>
            <w:tcW w:w="11231" w:type="dxa"/>
            <w:gridSpan w:val="3"/>
            <w:tcBorders>
              <w:top w:val="single" w:color="000000" w:themeColor="text1" w:sz="12" w:space="0"/>
              <w:left w:val="single" w:color="000000" w:themeColor="text1" w:sz="6" w:space="0"/>
              <w:bottom w:val="single" w:color="000000" w:themeColor="text1" w:sz="6" w:space="0"/>
              <w:right w:val="single" w:color="000000" w:themeColor="text1" w:sz="12" w:space="0"/>
            </w:tcBorders>
            <w:vAlign w:val="center"/>
          </w:tcPr>
          <w:p w14:paraId="6CBFE5F4">
            <w:pPr>
              <w:pStyle w:val="8"/>
              <w:suppressLineNumbers w:val="0"/>
              <w:bidi w:val="0"/>
              <w:spacing w:before="0" w:beforeAutospacing="0" w:after="0" w:afterAutospacing="0"/>
              <w:ind w:left="0" w:right="0"/>
              <w:jc w:val="left"/>
              <w:rPr>
                <w:rFonts w:hint="default"/>
                <w:highlight w:val="none"/>
              </w:rPr>
            </w:pPr>
            <w:r>
              <w:rPr>
                <w:rFonts w:hint="default"/>
                <w:highlight w:val="none"/>
              </w:rPr>
              <w:t>自查项目</w:t>
            </w:r>
          </w:p>
        </w:tc>
      </w:tr>
      <w:tr w14:paraId="20B11E9F">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c>
          <w:tcPr>
            <w:tcW w:w="392" w:type="dxa"/>
            <w:vMerge w:val="restart"/>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6F3A72E2">
            <w:pPr>
              <w:pStyle w:val="8"/>
              <w:suppressLineNumbers w:val="0"/>
              <w:bidi w:val="0"/>
              <w:spacing w:before="0" w:beforeAutospacing="0" w:after="0" w:afterAutospacing="0"/>
              <w:ind w:left="0" w:right="0"/>
              <w:rPr>
                <w:rFonts w:hint="default"/>
                <w:highlight w:val="none"/>
              </w:rPr>
            </w:pPr>
            <w:r>
              <w:rPr>
                <w:rFonts w:hint="default"/>
                <w:highlight w:val="none"/>
              </w:rPr>
              <w:t>防治措施</w:t>
            </w:r>
          </w:p>
        </w:tc>
        <w:tc>
          <w:tcPr>
            <w:tcW w:w="2551"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1493EA2E">
            <w:pPr>
              <w:pStyle w:val="8"/>
              <w:suppressLineNumbers w:val="0"/>
              <w:bidi w:val="0"/>
              <w:spacing w:before="0" w:beforeAutospacing="0" w:after="0" w:afterAutospacing="0"/>
              <w:ind w:left="0" w:right="0"/>
              <w:rPr>
                <w:rFonts w:hint="default"/>
                <w:highlight w:val="none"/>
              </w:rPr>
            </w:pPr>
            <w:r>
              <w:rPr>
                <w:rFonts w:hint="default"/>
                <w:highlight w:val="none"/>
              </w:rPr>
              <w:t>环保措施</w:t>
            </w:r>
          </w:p>
        </w:tc>
        <w:tc>
          <w:tcPr>
            <w:tcW w:w="11231" w:type="dxa"/>
            <w:gridSpan w:val="3"/>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02273628">
            <w:pPr>
              <w:pStyle w:val="8"/>
              <w:suppressLineNumbers w:val="0"/>
              <w:bidi w:val="0"/>
              <w:spacing w:before="0" w:beforeAutospacing="0" w:after="0" w:afterAutospacing="0"/>
              <w:ind w:left="0" w:right="0"/>
              <w:jc w:val="left"/>
              <w:rPr>
                <w:rFonts w:hint="default"/>
                <w:highlight w:val="none"/>
              </w:rPr>
            </w:pPr>
            <w:r>
              <w:rPr>
                <w:rFonts w:hint="default"/>
                <w:highlight w:val="none"/>
              </w:rPr>
              <w:t>污水处理设施□；水文减缓设施□；生态流量保障措施□；区域削减□；依托其他工程措施√；其他□</w:t>
            </w:r>
          </w:p>
        </w:tc>
      </w:tr>
      <w:tr w14:paraId="0562FE3C">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c>
          <w:tcPr>
            <w:tcW w:w="392"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6715A541">
            <w:pPr>
              <w:pStyle w:val="8"/>
              <w:suppressLineNumbers w:val="0"/>
              <w:bidi w:val="0"/>
              <w:spacing w:before="0" w:beforeAutospacing="0" w:after="0" w:afterAutospacing="0"/>
              <w:ind w:left="0" w:right="0"/>
              <w:rPr>
                <w:rFonts w:hint="default"/>
                <w:highlight w:val="none"/>
              </w:rPr>
            </w:pPr>
          </w:p>
        </w:tc>
        <w:tc>
          <w:tcPr>
            <w:tcW w:w="2551" w:type="dxa"/>
            <w:vMerge w:val="restart"/>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7A752DF2">
            <w:pPr>
              <w:pStyle w:val="8"/>
              <w:suppressLineNumbers w:val="0"/>
              <w:bidi w:val="0"/>
              <w:spacing w:before="0" w:beforeAutospacing="0" w:after="0" w:afterAutospacing="0"/>
              <w:ind w:left="0" w:right="0"/>
              <w:rPr>
                <w:rFonts w:hint="default"/>
                <w:highlight w:val="none"/>
              </w:rPr>
            </w:pPr>
            <w:r>
              <w:rPr>
                <w:rFonts w:hint="default"/>
                <w:highlight w:val="none"/>
              </w:rPr>
              <w:t>监测计划</w:t>
            </w:r>
          </w:p>
        </w:tc>
        <w:tc>
          <w:tcPr>
            <w:tcW w:w="3743"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7644CB28">
            <w:pPr>
              <w:pStyle w:val="8"/>
              <w:suppressLineNumbers w:val="0"/>
              <w:bidi w:val="0"/>
              <w:spacing w:before="0" w:beforeAutospacing="0" w:after="0" w:afterAutospacing="0"/>
              <w:ind w:left="0" w:right="0"/>
              <w:jc w:val="left"/>
              <w:rPr>
                <w:rFonts w:hint="default"/>
                <w:highlight w:val="none"/>
              </w:rPr>
            </w:pPr>
          </w:p>
        </w:tc>
        <w:tc>
          <w:tcPr>
            <w:tcW w:w="3744"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42A193B2">
            <w:pPr>
              <w:pStyle w:val="8"/>
              <w:suppressLineNumbers w:val="0"/>
              <w:bidi w:val="0"/>
              <w:spacing w:before="0" w:beforeAutospacing="0" w:after="0" w:afterAutospacing="0"/>
              <w:ind w:left="0" w:right="0"/>
              <w:jc w:val="left"/>
              <w:rPr>
                <w:rFonts w:hint="default"/>
                <w:highlight w:val="none"/>
              </w:rPr>
            </w:pPr>
            <w:r>
              <w:rPr>
                <w:rFonts w:hint="default"/>
                <w:highlight w:val="none"/>
              </w:rPr>
              <w:t>环境质量</w:t>
            </w:r>
          </w:p>
        </w:tc>
        <w:tc>
          <w:tcPr>
            <w:tcW w:w="3744"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6C107FBE">
            <w:pPr>
              <w:pStyle w:val="8"/>
              <w:suppressLineNumbers w:val="0"/>
              <w:bidi w:val="0"/>
              <w:spacing w:before="0" w:beforeAutospacing="0" w:after="0" w:afterAutospacing="0"/>
              <w:ind w:left="0" w:right="0"/>
              <w:jc w:val="left"/>
              <w:rPr>
                <w:rFonts w:hint="default"/>
                <w:highlight w:val="none"/>
              </w:rPr>
            </w:pPr>
            <w:r>
              <w:rPr>
                <w:rFonts w:hint="default"/>
                <w:highlight w:val="none"/>
              </w:rPr>
              <w:t>污染源</w:t>
            </w:r>
          </w:p>
        </w:tc>
      </w:tr>
      <w:tr w14:paraId="7D159E28">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c>
          <w:tcPr>
            <w:tcW w:w="392"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00BD7495">
            <w:pPr>
              <w:pStyle w:val="8"/>
              <w:suppressLineNumbers w:val="0"/>
              <w:bidi w:val="0"/>
              <w:spacing w:before="0" w:beforeAutospacing="0" w:after="0" w:afterAutospacing="0"/>
              <w:ind w:left="0" w:right="0"/>
              <w:rPr>
                <w:rFonts w:hint="default"/>
                <w:highlight w:val="none"/>
              </w:rPr>
            </w:pPr>
          </w:p>
        </w:tc>
        <w:tc>
          <w:tcPr>
            <w:tcW w:w="2551"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3C423570">
            <w:pPr>
              <w:pStyle w:val="8"/>
              <w:suppressLineNumbers w:val="0"/>
              <w:bidi w:val="0"/>
              <w:spacing w:before="0" w:beforeAutospacing="0" w:after="0" w:afterAutospacing="0"/>
              <w:ind w:left="0" w:right="0"/>
              <w:rPr>
                <w:rFonts w:hint="default"/>
                <w:highlight w:val="none"/>
              </w:rPr>
            </w:pPr>
          </w:p>
        </w:tc>
        <w:tc>
          <w:tcPr>
            <w:tcW w:w="3743"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79B6B87E">
            <w:pPr>
              <w:pStyle w:val="8"/>
              <w:suppressLineNumbers w:val="0"/>
              <w:bidi w:val="0"/>
              <w:spacing w:before="0" w:beforeAutospacing="0" w:after="0" w:afterAutospacing="0"/>
              <w:ind w:left="0" w:right="0"/>
              <w:jc w:val="left"/>
              <w:rPr>
                <w:rFonts w:hint="default"/>
                <w:highlight w:val="none"/>
              </w:rPr>
            </w:pPr>
            <w:r>
              <w:rPr>
                <w:rFonts w:hint="default"/>
                <w:highlight w:val="none"/>
              </w:rPr>
              <w:t>监测方式</w:t>
            </w:r>
          </w:p>
        </w:tc>
        <w:tc>
          <w:tcPr>
            <w:tcW w:w="3744"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41D5D148">
            <w:pPr>
              <w:pStyle w:val="8"/>
              <w:suppressLineNumbers w:val="0"/>
              <w:bidi w:val="0"/>
              <w:spacing w:before="0" w:beforeAutospacing="0" w:after="0" w:afterAutospacing="0"/>
              <w:ind w:left="0" w:right="0"/>
              <w:jc w:val="left"/>
              <w:rPr>
                <w:rFonts w:hint="default"/>
                <w:highlight w:val="none"/>
              </w:rPr>
            </w:pPr>
            <w:r>
              <w:rPr>
                <w:rFonts w:hint="default"/>
                <w:highlight w:val="none"/>
              </w:rPr>
              <w:t>手动□；自动□；无监测</w:t>
            </w:r>
            <w:r>
              <w:rPr>
                <w:rFonts w:hint="eastAsia"/>
                <w:highlight w:val="none"/>
                <w:lang w:eastAsia="zh-CN"/>
              </w:rPr>
              <w:t>☑</w:t>
            </w:r>
          </w:p>
        </w:tc>
        <w:tc>
          <w:tcPr>
            <w:tcW w:w="3744"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4377799E">
            <w:pPr>
              <w:pStyle w:val="8"/>
              <w:suppressLineNumbers w:val="0"/>
              <w:bidi w:val="0"/>
              <w:spacing w:before="0" w:beforeAutospacing="0" w:after="0" w:afterAutospacing="0"/>
              <w:ind w:left="0" w:right="0"/>
              <w:jc w:val="left"/>
              <w:rPr>
                <w:rFonts w:hint="default"/>
                <w:highlight w:val="none"/>
              </w:rPr>
            </w:pPr>
            <w:r>
              <w:rPr>
                <w:rFonts w:hint="default"/>
                <w:highlight w:val="none"/>
              </w:rPr>
              <w:t>手动□；自动</w:t>
            </w:r>
            <w:r>
              <w:rPr>
                <w:rFonts w:hint="eastAsia"/>
                <w:highlight w:val="none"/>
                <w:lang w:eastAsia="zh-CN"/>
              </w:rPr>
              <w:t>☑</w:t>
            </w:r>
            <w:r>
              <w:rPr>
                <w:rFonts w:hint="default"/>
                <w:highlight w:val="none"/>
              </w:rPr>
              <w:t>；无监测□</w:t>
            </w:r>
          </w:p>
        </w:tc>
      </w:tr>
      <w:tr w14:paraId="3444C015">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c>
          <w:tcPr>
            <w:tcW w:w="392"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59CF72BD">
            <w:pPr>
              <w:pStyle w:val="8"/>
              <w:suppressLineNumbers w:val="0"/>
              <w:bidi w:val="0"/>
              <w:spacing w:before="0" w:beforeAutospacing="0" w:after="0" w:afterAutospacing="0"/>
              <w:ind w:left="0" w:right="0"/>
              <w:rPr>
                <w:rFonts w:hint="default"/>
                <w:highlight w:val="none"/>
              </w:rPr>
            </w:pPr>
          </w:p>
        </w:tc>
        <w:tc>
          <w:tcPr>
            <w:tcW w:w="2551"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52D51172">
            <w:pPr>
              <w:pStyle w:val="8"/>
              <w:suppressLineNumbers w:val="0"/>
              <w:bidi w:val="0"/>
              <w:spacing w:before="0" w:beforeAutospacing="0" w:after="0" w:afterAutospacing="0"/>
              <w:ind w:left="0" w:right="0"/>
              <w:rPr>
                <w:rFonts w:hint="default"/>
                <w:highlight w:val="none"/>
              </w:rPr>
            </w:pPr>
          </w:p>
        </w:tc>
        <w:tc>
          <w:tcPr>
            <w:tcW w:w="3743"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31FE14DB">
            <w:pPr>
              <w:pStyle w:val="8"/>
              <w:suppressLineNumbers w:val="0"/>
              <w:bidi w:val="0"/>
              <w:spacing w:before="0" w:beforeAutospacing="0" w:after="0" w:afterAutospacing="0"/>
              <w:ind w:left="0" w:right="0"/>
              <w:jc w:val="left"/>
              <w:rPr>
                <w:rFonts w:hint="default"/>
                <w:highlight w:val="none"/>
              </w:rPr>
            </w:pPr>
            <w:r>
              <w:rPr>
                <w:rFonts w:hint="default"/>
                <w:highlight w:val="none"/>
              </w:rPr>
              <w:t>监测点位</w:t>
            </w:r>
          </w:p>
        </w:tc>
        <w:tc>
          <w:tcPr>
            <w:tcW w:w="3744"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71786B26">
            <w:pPr>
              <w:pStyle w:val="8"/>
              <w:suppressLineNumbers w:val="0"/>
              <w:bidi w:val="0"/>
              <w:spacing w:before="0" w:beforeAutospacing="0" w:after="0" w:afterAutospacing="0"/>
              <w:ind w:left="0" w:right="0"/>
              <w:jc w:val="left"/>
              <w:rPr>
                <w:rFonts w:hint="default"/>
                <w:highlight w:val="none"/>
              </w:rPr>
            </w:pPr>
            <w:r>
              <w:rPr>
                <w:rFonts w:hint="default"/>
                <w:highlight w:val="none"/>
              </w:rPr>
              <w:t>（）</w:t>
            </w:r>
          </w:p>
        </w:tc>
        <w:tc>
          <w:tcPr>
            <w:tcW w:w="3744"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133EA744">
            <w:pPr>
              <w:pStyle w:val="8"/>
              <w:suppressLineNumbers w:val="0"/>
              <w:bidi w:val="0"/>
              <w:spacing w:before="0" w:beforeAutospacing="0" w:after="0" w:afterAutospacing="0"/>
              <w:ind w:left="0" w:right="0"/>
              <w:jc w:val="left"/>
              <w:rPr>
                <w:rFonts w:hint="default"/>
                <w:highlight w:val="none"/>
              </w:rPr>
            </w:pPr>
            <w:r>
              <w:rPr>
                <w:rFonts w:hint="default"/>
                <w:highlight w:val="none"/>
              </w:rPr>
              <w:t>（）</w:t>
            </w:r>
          </w:p>
        </w:tc>
      </w:tr>
      <w:tr w14:paraId="234E0F28">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c>
          <w:tcPr>
            <w:tcW w:w="392"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7E8211A3">
            <w:pPr>
              <w:pStyle w:val="8"/>
              <w:suppressLineNumbers w:val="0"/>
              <w:bidi w:val="0"/>
              <w:spacing w:before="0" w:beforeAutospacing="0" w:after="0" w:afterAutospacing="0"/>
              <w:ind w:left="0" w:right="0"/>
              <w:rPr>
                <w:rFonts w:hint="default"/>
                <w:highlight w:val="none"/>
              </w:rPr>
            </w:pPr>
          </w:p>
        </w:tc>
        <w:tc>
          <w:tcPr>
            <w:tcW w:w="2551"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3ADCF8EB">
            <w:pPr>
              <w:pStyle w:val="8"/>
              <w:suppressLineNumbers w:val="0"/>
              <w:bidi w:val="0"/>
              <w:spacing w:before="0" w:beforeAutospacing="0" w:after="0" w:afterAutospacing="0"/>
              <w:ind w:left="0" w:right="0"/>
              <w:rPr>
                <w:rFonts w:hint="default"/>
                <w:highlight w:val="none"/>
              </w:rPr>
            </w:pPr>
          </w:p>
        </w:tc>
        <w:tc>
          <w:tcPr>
            <w:tcW w:w="3743"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777B76FB">
            <w:pPr>
              <w:pStyle w:val="8"/>
              <w:suppressLineNumbers w:val="0"/>
              <w:bidi w:val="0"/>
              <w:spacing w:before="0" w:beforeAutospacing="0" w:after="0" w:afterAutospacing="0"/>
              <w:ind w:left="0" w:right="0"/>
              <w:jc w:val="left"/>
              <w:rPr>
                <w:rFonts w:hint="default"/>
                <w:highlight w:val="none"/>
              </w:rPr>
            </w:pPr>
            <w:r>
              <w:rPr>
                <w:rFonts w:hint="default"/>
                <w:highlight w:val="none"/>
              </w:rPr>
              <w:t>监测因子</w:t>
            </w:r>
          </w:p>
        </w:tc>
        <w:tc>
          <w:tcPr>
            <w:tcW w:w="3744"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17D38479">
            <w:pPr>
              <w:pStyle w:val="8"/>
              <w:suppressLineNumbers w:val="0"/>
              <w:bidi w:val="0"/>
              <w:spacing w:before="0" w:beforeAutospacing="0" w:after="0" w:afterAutospacing="0"/>
              <w:ind w:left="0" w:right="0"/>
              <w:jc w:val="left"/>
              <w:rPr>
                <w:rFonts w:hint="default"/>
                <w:highlight w:val="none"/>
              </w:rPr>
            </w:pPr>
            <w:r>
              <w:rPr>
                <w:rFonts w:hint="default"/>
                <w:highlight w:val="none"/>
              </w:rPr>
              <w:t>（）</w:t>
            </w:r>
          </w:p>
        </w:tc>
        <w:tc>
          <w:tcPr>
            <w:tcW w:w="3744"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10C1FDF7">
            <w:pPr>
              <w:pStyle w:val="8"/>
              <w:suppressLineNumbers w:val="0"/>
              <w:bidi w:val="0"/>
              <w:spacing w:before="0" w:beforeAutospacing="0" w:after="0" w:afterAutospacing="0"/>
              <w:ind w:left="0" w:right="0"/>
              <w:jc w:val="left"/>
              <w:rPr>
                <w:rFonts w:hint="default"/>
                <w:highlight w:val="none"/>
              </w:rPr>
            </w:pPr>
            <w:r>
              <w:rPr>
                <w:rFonts w:hint="default"/>
                <w:highlight w:val="none"/>
              </w:rPr>
              <w:t>（）</w:t>
            </w:r>
          </w:p>
        </w:tc>
      </w:tr>
      <w:tr w14:paraId="5B1E501B">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c>
          <w:tcPr>
            <w:tcW w:w="392"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0F9BE6BF">
            <w:pPr>
              <w:pStyle w:val="8"/>
              <w:suppressLineNumbers w:val="0"/>
              <w:bidi w:val="0"/>
              <w:spacing w:before="0" w:beforeAutospacing="0" w:after="0" w:afterAutospacing="0"/>
              <w:ind w:left="0" w:right="0"/>
              <w:rPr>
                <w:rFonts w:hint="default"/>
                <w:highlight w:val="none"/>
              </w:rPr>
            </w:pPr>
          </w:p>
        </w:tc>
        <w:tc>
          <w:tcPr>
            <w:tcW w:w="2551"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0DB184F0">
            <w:pPr>
              <w:pStyle w:val="8"/>
              <w:suppressLineNumbers w:val="0"/>
              <w:bidi w:val="0"/>
              <w:spacing w:before="0" w:beforeAutospacing="0" w:after="0" w:afterAutospacing="0"/>
              <w:ind w:left="0" w:right="0"/>
              <w:rPr>
                <w:rFonts w:hint="default"/>
                <w:highlight w:val="none"/>
              </w:rPr>
            </w:pPr>
            <w:r>
              <w:rPr>
                <w:rFonts w:hint="default"/>
                <w:highlight w:val="none"/>
              </w:rPr>
              <w:t>污染物排放清单</w:t>
            </w:r>
          </w:p>
        </w:tc>
        <w:tc>
          <w:tcPr>
            <w:tcW w:w="11231" w:type="dxa"/>
            <w:gridSpan w:val="3"/>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28F1DCF6">
            <w:pPr>
              <w:pStyle w:val="8"/>
              <w:suppressLineNumbers w:val="0"/>
              <w:bidi w:val="0"/>
              <w:spacing w:before="0" w:beforeAutospacing="0" w:after="0" w:afterAutospacing="0"/>
              <w:ind w:left="0" w:right="0"/>
              <w:jc w:val="left"/>
              <w:rPr>
                <w:rFonts w:hint="default"/>
                <w:highlight w:val="none"/>
              </w:rPr>
            </w:pPr>
            <w:r>
              <w:rPr>
                <w:rFonts w:hint="default"/>
                <w:highlight w:val="none"/>
              </w:rPr>
              <w:t>√</w:t>
            </w:r>
          </w:p>
        </w:tc>
      </w:tr>
      <w:tr w14:paraId="0EA83226">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c>
          <w:tcPr>
            <w:tcW w:w="392"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6FBC3318">
            <w:pPr>
              <w:pStyle w:val="8"/>
              <w:suppressLineNumbers w:val="0"/>
              <w:bidi w:val="0"/>
              <w:spacing w:before="0" w:beforeAutospacing="0" w:after="0" w:afterAutospacing="0"/>
              <w:ind w:left="0" w:right="0"/>
              <w:rPr>
                <w:rFonts w:hint="default"/>
                <w:highlight w:val="none"/>
              </w:rPr>
            </w:pPr>
          </w:p>
        </w:tc>
        <w:tc>
          <w:tcPr>
            <w:tcW w:w="2551"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3C30B614">
            <w:pPr>
              <w:pStyle w:val="8"/>
              <w:suppressLineNumbers w:val="0"/>
              <w:bidi w:val="0"/>
              <w:spacing w:before="0" w:beforeAutospacing="0" w:after="0" w:afterAutospacing="0"/>
              <w:ind w:left="0" w:right="0"/>
              <w:rPr>
                <w:rFonts w:hint="default"/>
                <w:highlight w:val="none"/>
              </w:rPr>
            </w:pPr>
            <w:r>
              <w:rPr>
                <w:rFonts w:hint="default"/>
                <w:highlight w:val="none"/>
              </w:rPr>
              <w:t>评价结论</w:t>
            </w:r>
          </w:p>
        </w:tc>
        <w:tc>
          <w:tcPr>
            <w:tcW w:w="11231" w:type="dxa"/>
            <w:gridSpan w:val="3"/>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147FC310">
            <w:pPr>
              <w:pStyle w:val="8"/>
              <w:suppressLineNumbers w:val="0"/>
              <w:bidi w:val="0"/>
              <w:spacing w:before="0" w:beforeAutospacing="0" w:after="0" w:afterAutospacing="0"/>
              <w:ind w:left="0" w:right="0"/>
              <w:jc w:val="left"/>
              <w:rPr>
                <w:rFonts w:hint="default"/>
                <w:highlight w:val="none"/>
              </w:rPr>
            </w:pPr>
            <w:r>
              <w:rPr>
                <w:rFonts w:hint="default"/>
                <w:highlight w:val="none"/>
              </w:rPr>
              <w:t>可以接受√；不可以接受□</w:t>
            </w:r>
          </w:p>
        </w:tc>
      </w:tr>
      <w:tr w14:paraId="20A5CF34">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c>
          <w:tcPr>
            <w:tcW w:w="14174" w:type="dxa"/>
            <w:gridSpan w:val="5"/>
            <w:tcBorders>
              <w:top w:val="single" w:color="000000" w:themeColor="text1" w:sz="6" w:space="0"/>
              <w:left w:val="single" w:color="000000" w:themeColor="text1" w:sz="12" w:space="0"/>
              <w:bottom w:val="single" w:color="000000" w:themeColor="text1" w:sz="12" w:space="0"/>
              <w:right w:val="single" w:color="000000" w:themeColor="text1" w:sz="12" w:space="0"/>
            </w:tcBorders>
            <w:vAlign w:val="center"/>
          </w:tcPr>
          <w:p w14:paraId="31D780E0">
            <w:pPr>
              <w:pStyle w:val="8"/>
              <w:suppressLineNumbers w:val="0"/>
              <w:bidi w:val="0"/>
              <w:spacing w:before="0" w:beforeAutospacing="0" w:after="0" w:afterAutospacing="0"/>
              <w:ind w:left="0" w:right="0"/>
              <w:rPr>
                <w:rFonts w:hint="default"/>
                <w:highlight w:val="none"/>
              </w:rPr>
            </w:pPr>
            <w:r>
              <w:rPr>
                <w:rFonts w:hint="default"/>
                <w:highlight w:val="none"/>
              </w:rPr>
              <w:t>注：</w:t>
            </w:r>
            <w:r>
              <w:rPr>
                <w:rFonts w:hint="eastAsia"/>
                <w:highlight w:val="none"/>
                <w:lang w:eastAsia="zh-CN"/>
              </w:rPr>
              <w:t>“</w:t>
            </w:r>
            <w:r>
              <w:rPr>
                <w:rFonts w:hint="default"/>
                <w:highlight w:val="none"/>
              </w:rPr>
              <w:t>□</w:t>
            </w:r>
            <w:r>
              <w:rPr>
                <w:rFonts w:hint="eastAsia"/>
                <w:highlight w:val="none"/>
                <w:lang w:eastAsia="zh-CN"/>
              </w:rPr>
              <w:t>”</w:t>
            </w:r>
            <w:r>
              <w:rPr>
                <w:rFonts w:hint="default"/>
                <w:highlight w:val="none"/>
              </w:rPr>
              <w:t>为勾选项，可√；</w:t>
            </w:r>
            <w:r>
              <w:rPr>
                <w:rFonts w:hint="eastAsia"/>
                <w:highlight w:val="none"/>
                <w:lang w:eastAsia="zh-CN"/>
              </w:rPr>
              <w:t>“</w:t>
            </w:r>
            <w:r>
              <w:rPr>
                <w:rFonts w:hint="default"/>
                <w:highlight w:val="none"/>
              </w:rPr>
              <w:t>（）</w:t>
            </w:r>
            <w:r>
              <w:rPr>
                <w:rFonts w:hint="eastAsia"/>
                <w:highlight w:val="none"/>
                <w:lang w:eastAsia="zh-CN"/>
              </w:rPr>
              <w:t>”</w:t>
            </w:r>
            <w:r>
              <w:rPr>
                <w:rFonts w:hint="default"/>
                <w:highlight w:val="none"/>
              </w:rPr>
              <w:t>为内容填写项；</w:t>
            </w:r>
            <w:r>
              <w:rPr>
                <w:rFonts w:hint="eastAsia"/>
                <w:highlight w:val="none"/>
                <w:lang w:eastAsia="zh-CN"/>
              </w:rPr>
              <w:t>“</w:t>
            </w:r>
            <w:r>
              <w:rPr>
                <w:rFonts w:hint="default"/>
                <w:highlight w:val="none"/>
              </w:rPr>
              <w:t>备注</w:t>
            </w:r>
            <w:r>
              <w:rPr>
                <w:rFonts w:hint="eastAsia"/>
                <w:highlight w:val="none"/>
                <w:lang w:eastAsia="zh-CN"/>
              </w:rPr>
              <w:t>”</w:t>
            </w:r>
            <w:r>
              <w:rPr>
                <w:rFonts w:hint="default"/>
                <w:highlight w:val="none"/>
              </w:rPr>
              <w:t>为其他补充内容。</w:t>
            </w:r>
          </w:p>
        </w:tc>
      </w:tr>
    </w:tbl>
    <w:p w14:paraId="53218B2B">
      <w:pPr>
        <w:jc w:val="center"/>
        <w:rPr>
          <w:rFonts w:eastAsiaTheme="minorEastAsia"/>
          <w:b/>
          <w:sz w:val="24"/>
          <w:szCs w:val="22"/>
          <w:highlight w:val="none"/>
        </w:rPr>
      </w:pPr>
    </w:p>
    <w:p w14:paraId="56E26472">
      <w:pPr>
        <w:widowControl/>
        <w:adjustRightInd w:val="0"/>
        <w:snapToGrid w:val="0"/>
        <w:spacing w:after="200" w:line="360" w:lineRule="auto"/>
        <w:jc w:val="center"/>
        <w:rPr>
          <w:rFonts w:eastAsiaTheme="minorEastAsia"/>
          <w:kern w:val="0"/>
          <w:sz w:val="24"/>
          <w:highlight w:val="none"/>
        </w:rPr>
      </w:pPr>
    </w:p>
    <w:p w14:paraId="08998A43">
      <w:pPr>
        <w:spacing w:line="360" w:lineRule="auto"/>
        <w:jc w:val="left"/>
        <w:rPr>
          <w:rFonts w:eastAsiaTheme="minorEastAsia"/>
          <w:sz w:val="24"/>
          <w:highlight w:val="none"/>
        </w:rPr>
      </w:pPr>
    </w:p>
    <w:p w14:paraId="6FB52A9E">
      <w:pPr>
        <w:widowControl/>
        <w:jc w:val="left"/>
        <w:rPr>
          <w:rFonts w:eastAsiaTheme="minorEastAsia"/>
          <w:b/>
          <w:szCs w:val="22"/>
          <w:highlight w:val="none"/>
        </w:rPr>
        <w:sectPr>
          <w:pgSz w:w="16838" w:h="11906" w:orient="landscape"/>
          <w:pgMar w:top="1800" w:right="1440" w:bottom="1800" w:left="1440" w:header="851" w:footer="992" w:gutter="0"/>
          <w:pgBorders w:offsetFrom="page">
            <w:top w:val="none" w:sz="0" w:space="0"/>
            <w:left w:val="none" w:sz="0" w:space="0"/>
            <w:bottom w:val="none" w:sz="0" w:space="0"/>
            <w:right w:val="none" w:sz="0" w:space="0"/>
          </w:pgBorders>
          <w:cols w:space="720" w:num="1"/>
          <w:docGrid w:type="lines" w:linePitch="312" w:charSpace="0"/>
        </w:sectPr>
      </w:pPr>
    </w:p>
    <w:p w14:paraId="1C883492">
      <w:pPr>
        <w:pStyle w:val="7"/>
        <w:bidi w:val="0"/>
        <w:rPr>
          <w:highlight w:val="none"/>
        </w:rPr>
      </w:pPr>
      <w:bookmarkStart w:id="701" w:name="_Toc12781"/>
      <w:r>
        <w:rPr>
          <w:highlight w:val="none"/>
        </w:rPr>
        <w:t>环境风险评价自查表</w:t>
      </w:r>
      <w:bookmarkEnd w:id="701"/>
    </w:p>
    <w:tbl>
      <w:tblPr>
        <w:tblStyle w:val="79"/>
        <w:tblW w:w="8442" w:type="dxa"/>
        <w:jc w:val="center"/>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
      <w:tblGrid>
        <w:gridCol w:w="397"/>
        <w:gridCol w:w="1188"/>
        <w:gridCol w:w="1187"/>
        <w:gridCol w:w="140"/>
        <w:gridCol w:w="332"/>
        <w:gridCol w:w="553"/>
        <w:gridCol w:w="443"/>
        <w:gridCol w:w="377"/>
        <w:gridCol w:w="287"/>
        <w:gridCol w:w="663"/>
        <w:gridCol w:w="318"/>
        <w:gridCol w:w="124"/>
        <w:gridCol w:w="411"/>
        <w:gridCol w:w="143"/>
        <w:gridCol w:w="332"/>
        <w:gridCol w:w="160"/>
        <w:gridCol w:w="1387"/>
      </w:tblGrid>
      <w:tr w14:paraId="559931E6">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0" w:hRule="atLeast"/>
          <w:jc w:val="center"/>
        </w:trPr>
        <w:tc>
          <w:tcPr>
            <w:tcW w:w="1585" w:type="dxa"/>
            <w:gridSpan w:val="2"/>
            <w:tcBorders>
              <w:top w:val="single" w:color="000000" w:themeColor="text1" w:sz="12" w:space="0"/>
              <w:left w:val="single" w:color="000000" w:themeColor="text1" w:sz="12" w:space="0"/>
              <w:bottom w:val="single" w:color="000000" w:themeColor="text1" w:sz="6" w:space="0"/>
              <w:right w:val="single" w:color="000000" w:themeColor="text1" w:sz="6" w:space="0"/>
            </w:tcBorders>
            <w:vAlign w:val="center"/>
          </w:tcPr>
          <w:p w14:paraId="67C65685">
            <w:pPr>
              <w:pStyle w:val="8"/>
              <w:suppressLineNumbers w:val="0"/>
              <w:bidi w:val="0"/>
              <w:spacing w:before="0" w:beforeAutospacing="0" w:after="0" w:afterAutospacing="0"/>
              <w:ind w:left="0" w:right="0"/>
              <w:rPr>
                <w:rFonts w:hint="default"/>
                <w:highlight w:val="none"/>
              </w:rPr>
            </w:pPr>
            <w:r>
              <w:rPr>
                <w:rFonts w:hint="default"/>
                <w:highlight w:val="none"/>
              </w:rPr>
              <w:t>工作内容</w:t>
            </w:r>
          </w:p>
        </w:tc>
        <w:tc>
          <w:tcPr>
            <w:tcW w:w="6857" w:type="dxa"/>
            <w:gridSpan w:val="15"/>
            <w:tcBorders>
              <w:top w:val="single" w:color="000000" w:themeColor="text1" w:sz="12" w:space="0"/>
              <w:left w:val="single" w:color="000000" w:themeColor="text1" w:sz="6" w:space="0"/>
              <w:bottom w:val="single" w:color="000000" w:themeColor="text1" w:sz="6" w:space="0"/>
              <w:right w:val="single" w:color="000000" w:themeColor="text1" w:sz="12" w:space="0"/>
            </w:tcBorders>
            <w:vAlign w:val="center"/>
          </w:tcPr>
          <w:p w14:paraId="72888666">
            <w:pPr>
              <w:pStyle w:val="8"/>
              <w:suppressLineNumbers w:val="0"/>
              <w:bidi w:val="0"/>
              <w:spacing w:before="0" w:beforeAutospacing="0" w:after="0" w:afterAutospacing="0"/>
              <w:ind w:left="0" w:right="0"/>
              <w:rPr>
                <w:rFonts w:hint="default"/>
                <w:highlight w:val="none"/>
              </w:rPr>
            </w:pPr>
            <w:r>
              <w:rPr>
                <w:rFonts w:hint="default"/>
                <w:highlight w:val="none"/>
              </w:rPr>
              <w:t>完成情况</w:t>
            </w:r>
          </w:p>
        </w:tc>
      </w:tr>
      <w:tr w14:paraId="4366250C">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0" w:hRule="atLeast"/>
          <w:jc w:val="center"/>
        </w:trPr>
        <w:tc>
          <w:tcPr>
            <w:tcW w:w="397" w:type="dxa"/>
            <w:vMerge w:val="restart"/>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4F28A373">
            <w:pPr>
              <w:pStyle w:val="8"/>
              <w:suppressLineNumbers w:val="0"/>
              <w:bidi w:val="0"/>
              <w:spacing w:before="0" w:beforeAutospacing="0" w:after="0" w:afterAutospacing="0"/>
              <w:ind w:left="0" w:right="0"/>
              <w:rPr>
                <w:rFonts w:hint="default"/>
                <w:highlight w:val="none"/>
              </w:rPr>
            </w:pPr>
            <w:r>
              <w:rPr>
                <w:rFonts w:hint="default"/>
                <w:highlight w:val="none"/>
              </w:rPr>
              <w:t>风险调查</w:t>
            </w:r>
          </w:p>
        </w:tc>
        <w:tc>
          <w:tcPr>
            <w:tcW w:w="1188" w:type="dxa"/>
            <w:vMerge w:val="restart"/>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329EFA6D">
            <w:pPr>
              <w:pStyle w:val="8"/>
              <w:suppressLineNumbers w:val="0"/>
              <w:bidi w:val="0"/>
              <w:spacing w:before="0" w:beforeAutospacing="0" w:after="0" w:afterAutospacing="0"/>
              <w:ind w:left="0" w:right="0"/>
              <w:rPr>
                <w:rFonts w:hint="default"/>
                <w:highlight w:val="none"/>
              </w:rPr>
            </w:pPr>
            <w:r>
              <w:rPr>
                <w:rFonts w:hint="default"/>
                <w:highlight w:val="none"/>
              </w:rPr>
              <w:t>危险物质</w:t>
            </w:r>
          </w:p>
        </w:tc>
        <w:tc>
          <w:tcPr>
            <w:tcW w:w="1187"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499F233C">
            <w:pPr>
              <w:pStyle w:val="8"/>
              <w:suppressLineNumbers w:val="0"/>
              <w:bidi w:val="0"/>
              <w:spacing w:before="0" w:beforeAutospacing="0" w:after="0" w:afterAutospacing="0"/>
              <w:ind w:left="0" w:right="0"/>
              <w:rPr>
                <w:rFonts w:hint="default"/>
                <w:highlight w:val="none"/>
              </w:rPr>
            </w:pPr>
            <w:r>
              <w:rPr>
                <w:rFonts w:hint="default"/>
                <w:highlight w:val="none"/>
              </w:rPr>
              <w:t>名称</w:t>
            </w:r>
          </w:p>
        </w:tc>
        <w:tc>
          <w:tcPr>
            <w:tcW w:w="5670" w:type="dxa"/>
            <w:gridSpan w:val="14"/>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19818776">
            <w:pPr>
              <w:pStyle w:val="8"/>
              <w:suppressLineNumbers w:val="0"/>
              <w:bidi w:val="0"/>
              <w:spacing w:before="0" w:beforeAutospacing="0" w:after="0" w:afterAutospacing="0"/>
              <w:ind w:left="0" w:right="0"/>
              <w:rPr>
                <w:rFonts w:hint="default"/>
                <w:highlight w:val="none"/>
              </w:rPr>
            </w:pPr>
            <w:r>
              <w:rPr>
                <w:rFonts w:hint="default"/>
                <w:highlight w:val="none"/>
              </w:rPr>
              <w:t>油类物质</w:t>
            </w:r>
          </w:p>
        </w:tc>
      </w:tr>
      <w:tr w14:paraId="41AF8545">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0" w:hRule="atLeast"/>
          <w:jc w:val="center"/>
        </w:trPr>
        <w:tc>
          <w:tcPr>
            <w:tcW w:w="39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7B0DDC58">
            <w:pPr>
              <w:pStyle w:val="8"/>
              <w:suppressLineNumbers w:val="0"/>
              <w:bidi w:val="0"/>
              <w:spacing w:before="0" w:beforeAutospacing="0" w:after="0" w:afterAutospacing="0"/>
              <w:ind w:left="0" w:right="0"/>
              <w:rPr>
                <w:rFonts w:hint="default"/>
                <w:highlight w:val="none"/>
              </w:rPr>
            </w:pPr>
          </w:p>
        </w:tc>
        <w:tc>
          <w:tcPr>
            <w:tcW w:w="1188"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657D214A">
            <w:pPr>
              <w:pStyle w:val="8"/>
              <w:suppressLineNumbers w:val="0"/>
              <w:bidi w:val="0"/>
              <w:spacing w:before="0" w:beforeAutospacing="0" w:after="0" w:afterAutospacing="0"/>
              <w:ind w:left="0" w:right="0"/>
              <w:rPr>
                <w:rFonts w:hint="default"/>
                <w:highlight w:val="none"/>
              </w:rPr>
            </w:pPr>
          </w:p>
        </w:tc>
        <w:tc>
          <w:tcPr>
            <w:tcW w:w="1187"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508F1033">
            <w:pPr>
              <w:pStyle w:val="8"/>
              <w:suppressLineNumbers w:val="0"/>
              <w:bidi w:val="0"/>
              <w:spacing w:before="0" w:beforeAutospacing="0" w:after="0" w:afterAutospacing="0"/>
              <w:ind w:left="0" w:right="0"/>
              <w:rPr>
                <w:rFonts w:hint="default"/>
                <w:highlight w:val="none"/>
              </w:rPr>
            </w:pPr>
            <w:r>
              <w:rPr>
                <w:rFonts w:hint="default"/>
                <w:highlight w:val="none"/>
              </w:rPr>
              <w:t>存在总量/t</w:t>
            </w:r>
          </w:p>
        </w:tc>
        <w:tc>
          <w:tcPr>
            <w:tcW w:w="5670" w:type="dxa"/>
            <w:gridSpan w:val="14"/>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7C7E52F1">
            <w:pPr>
              <w:pStyle w:val="8"/>
              <w:suppressLineNumbers w:val="0"/>
              <w:bidi w:val="0"/>
              <w:spacing w:before="0" w:beforeAutospacing="0" w:after="0" w:afterAutospacing="0"/>
              <w:ind w:left="0" w:right="0"/>
              <w:rPr>
                <w:rFonts w:hint="default"/>
                <w:highlight w:val="none"/>
                <w:lang w:val="en-US" w:eastAsia="zh-CN"/>
              </w:rPr>
            </w:pPr>
            <w:r>
              <w:rPr>
                <w:rFonts w:hint="eastAsia"/>
                <w:highlight w:val="none"/>
                <w:lang w:val="en-US" w:eastAsia="zh-CN"/>
              </w:rPr>
              <w:t>40.7</w:t>
            </w:r>
          </w:p>
        </w:tc>
      </w:tr>
      <w:tr w14:paraId="1C835C25">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0" w:hRule="atLeast"/>
          <w:jc w:val="center"/>
        </w:trPr>
        <w:tc>
          <w:tcPr>
            <w:tcW w:w="39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42198683">
            <w:pPr>
              <w:pStyle w:val="8"/>
              <w:suppressLineNumbers w:val="0"/>
              <w:bidi w:val="0"/>
              <w:spacing w:before="0" w:beforeAutospacing="0" w:after="0" w:afterAutospacing="0"/>
              <w:ind w:left="0" w:right="0"/>
              <w:rPr>
                <w:rFonts w:hint="default"/>
                <w:highlight w:val="none"/>
              </w:rPr>
            </w:pPr>
          </w:p>
        </w:tc>
        <w:tc>
          <w:tcPr>
            <w:tcW w:w="1188" w:type="dxa"/>
            <w:vMerge w:val="restart"/>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6E3193BE">
            <w:pPr>
              <w:pStyle w:val="8"/>
              <w:suppressLineNumbers w:val="0"/>
              <w:bidi w:val="0"/>
              <w:spacing w:before="0" w:beforeAutospacing="0" w:after="0" w:afterAutospacing="0"/>
              <w:ind w:left="0" w:right="0"/>
              <w:rPr>
                <w:rFonts w:hint="default"/>
                <w:highlight w:val="none"/>
              </w:rPr>
            </w:pPr>
            <w:r>
              <w:rPr>
                <w:rFonts w:hint="default"/>
                <w:highlight w:val="none"/>
              </w:rPr>
              <w:t>环境敏感性</w:t>
            </w:r>
          </w:p>
        </w:tc>
        <w:tc>
          <w:tcPr>
            <w:tcW w:w="1187" w:type="dxa"/>
            <w:vMerge w:val="restart"/>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2792CF6F">
            <w:pPr>
              <w:pStyle w:val="8"/>
              <w:suppressLineNumbers w:val="0"/>
              <w:bidi w:val="0"/>
              <w:spacing w:before="0" w:beforeAutospacing="0" w:after="0" w:afterAutospacing="0"/>
              <w:ind w:left="0" w:right="0"/>
              <w:rPr>
                <w:rFonts w:hint="default"/>
                <w:highlight w:val="none"/>
              </w:rPr>
            </w:pPr>
            <w:r>
              <w:rPr>
                <w:rFonts w:hint="default"/>
                <w:highlight w:val="none"/>
              </w:rPr>
              <w:t>大气</w:t>
            </w:r>
          </w:p>
        </w:tc>
        <w:tc>
          <w:tcPr>
            <w:tcW w:w="3113" w:type="dxa"/>
            <w:gridSpan w:val="8"/>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729ED5C4">
            <w:pPr>
              <w:pStyle w:val="8"/>
              <w:suppressLineNumbers w:val="0"/>
              <w:bidi w:val="0"/>
              <w:spacing w:before="0" w:beforeAutospacing="0" w:after="0" w:afterAutospacing="0"/>
              <w:ind w:left="0" w:right="0"/>
              <w:rPr>
                <w:rFonts w:hint="default"/>
                <w:highlight w:val="none"/>
              </w:rPr>
            </w:pPr>
            <w:r>
              <w:rPr>
                <w:rFonts w:hint="default"/>
                <w:highlight w:val="none"/>
              </w:rPr>
              <w:t>500m范围内人口数人</w:t>
            </w:r>
          </w:p>
        </w:tc>
        <w:tc>
          <w:tcPr>
            <w:tcW w:w="2557" w:type="dxa"/>
            <w:gridSpan w:val="6"/>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6ECB87A0">
            <w:pPr>
              <w:pStyle w:val="8"/>
              <w:suppressLineNumbers w:val="0"/>
              <w:bidi w:val="0"/>
              <w:spacing w:before="0" w:beforeAutospacing="0" w:after="0" w:afterAutospacing="0"/>
              <w:ind w:left="0" w:right="0"/>
              <w:rPr>
                <w:rFonts w:hint="default"/>
                <w:highlight w:val="none"/>
              </w:rPr>
            </w:pPr>
            <w:r>
              <w:rPr>
                <w:rFonts w:hint="default"/>
                <w:highlight w:val="none"/>
              </w:rPr>
              <w:t>5km范围内人口数人</w:t>
            </w:r>
          </w:p>
        </w:tc>
      </w:tr>
      <w:tr w14:paraId="6CEE5578">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0" w:hRule="atLeast"/>
          <w:jc w:val="center"/>
        </w:trPr>
        <w:tc>
          <w:tcPr>
            <w:tcW w:w="39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143BEDB9">
            <w:pPr>
              <w:pStyle w:val="8"/>
              <w:suppressLineNumbers w:val="0"/>
              <w:bidi w:val="0"/>
              <w:spacing w:before="0" w:beforeAutospacing="0" w:after="0" w:afterAutospacing="0"/>
              <w:ind w:left="0" w:right="0"/>
              <w:rPr>
                <w:rFonts w:hint="default"/>
                <w:highlight w:val="none"/>
              </w:rPr>
            </w:pPr>
          </w:p>
        </w:tc>
        <w:tc>
          <w:tcPr>
            <w:tcW w:w="1188"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2CE9BD02">
            <w:pPr>
              <w:pStyle w:val="8"/>
              <w:suppressLineNumbers w:val="0"/>
              <w:bidi w:val="0"/>
              <w:spacing w:before="0" w:beforeAutospacing="0" w:after="0" w:afterAutospacing="0"/>
              <w:ind w:left="0" w:right="0"/>
              <w:rPr>
                <w:rFonts w:hint="default"/>
                <w:highlight w:val="none"/>
              </w:rPr>
            </w:pPr>
          </w:p>
        </w:tc>
        <w:tc>
          <w:tcPr>
            <w:tcW w:w="1187"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1F49BCEC">
            <w:pPr>
              <w:pStyle w:val="8"/>
              <w:suppressLineNumbers w:val="0"/>
              <w:bidi w:val="0"/>
              <w:spacing w:before="0" w:beforeAutospacing="0" w:after="0" w:afterAutospacing="0"/>
              <w:ind w:left="0" w:right="0"/>
              <w:rPr>
                <w:rFonts w:hint="default"/>
                <w:highlight w:val="none"/>
              </w:rPr>
            </w:pPr>
          </w:p>
        </w:tc>
        <w:tc>
          <w:tcPr>
            <w:tcW w:w="4283" w:type="dxa"/>
            <w:gridSpan w:val="13"/>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405FDF6F">
            <w:pPr>
              <w:pStyle w:val="8"/>
              <w:suppressLineNumbers w:val="0"/>
              <w:bidi w:val="0"/>
              <w:spacing w:before="0" w:beforeAutospacing="0" w:after="0" w:afterAutospacing="0"/>
              <w:ind w:left="0" w:right="0"/>
              <w:rPr>
                <w:rFonts w:hint="default"/>
                <w:highlight w:val="none"/>
              </w:rPr>
            </w:pPr>
            <w:r>
              <w:rPr>
                <w:rFonts w:hint="default"/>
                <w:highlight w:val="none"/>
              </w:rPr>
              <w:t>每公里管段周边200m范围内人口数（最大）</w:t>
            </w:r>
          </w:p>
        </w:tc>
        <w:tc>
          <w:tcPr>
            <w:tcW w:w="1387"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3AF01568">
            <w:pPr>
              <w:pStyle w:val="8"/>
              <w:suppressLineNumbers w:val="0"/>
              <w:bidi w:val="0"/>
              <w:spacing w:before="0" w:beforeAutospacing="0" w:after="0" w:afterAutospacing="0"/>
              <w:ind w:left="0" w:right="0"/>
              <w:rPr>
                <w:rFonts w:hint="default"/>
                <w:highlight w:val="none"/>
              </w:rPr>
            </w:pPr>
            <w:r>
              <w:rPr>
                <w:rFonts w:hint="default"/>
                <w:highlight w:val="none"/>
              </w:rPr>
              <w:t>人</w:t>
            </w:r>
          </w:p>
        </w:tc>
      </w:tr>
      <w:tr w14:paraId="1D20FA85">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0" w:hRule="atLeast"/>
          <w:jc w:val="center"/>
        </w:trPr>
        <w:tc>
          <w:tcPr>
            <w:tcW w:w="39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1055A77B">
            <w:pPr>
              <w:pStyle w:val="8"/>
              <w:suppressLineNumbers w:val="0"/>
              <w:bidi w:val="0"/>
              <w:spacing w:before="0" w:beforeAutospacing="0" w:after="0" w:afterAutospacing="0"/>
              <w:ind w:left="0" w:right="0"/>
              <w:rPr>
                <w:rFonts w:hint="default"/>
                <w:highlight w:val="none"/>
              </w:rPr>
            </w:pPr>
          </w:p>
        </w:tc>
        <w:tc>
          <w:tcPr>
            <w:tcW w:w="1188"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0579B630">
            <w:pPr>
              <w:pStyle w:val="8"/>
              <w:suppressLineNumbers w:val="0"/>
              <w:bidi w:val="0"/>
              <w:spacing w:before="0" w:beforeAutospacing="0" w:after="0" w:afterAutospacing="0"/>
              <w:ind w:left="0" w:right="0"/>
              <w:rPr>
                <w:rFonts w:hint="default"/>
                <w:highlight w:val="none"/>
              </w:rPr>
            </w:pPr>
          </w:p>
        </w:tc>
        <w:tc>
          <w:tcPr>
            <w:tcW w:w="1187" w:type="dxa"/>
            <w:vMerge w:val="restart"/>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0AF3727A">
            <w:pPr>
              <w:pStyle w:val="8"/>
              <w:suppressLineNumbers w:val="0"/>
              <w:bidi w:val="0"/>
              <w:spacing w:before="0" w:beforeAutospacing="0" w:after="0" w:afterAutospacing="0"/>
              <w:ind w:left="0" w:right="0"/>
              <w:rPr>
                <w:rFonts w:hint="default"/>
                <w:highlight w:val="none"/>
              </w:rPr>
            </w:pPr>
            <w:r>
              <w:rPr>
                <w:rFonts w:hint="default"/>
                <w:highlight w:val="none"/>
              </w:rPr>
              <w:t>地表水</w:t>
            </w:r>
          </w:p>
        </w:tc>
        <w:tc>
          <w:tcPr>
            <w:tcW w:w="1845" w:type="dxa"/>
            <w:gridSpan w:val="5"/>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6238A892">
            <w:pPr>
              <w:pStyle w:val="8"/>
              <w:suppressLineNumbers w:val="0"/>
              <w:bidi w:val="0"/>
              <w:spacing w:before="0" w:beforeAutospacing="0" w:after="0" w:afterAutospacing="0"/>
              <w:ind w:left="0" w:right="0"/>
              <w:rPr>
                <w:rFonts w:hint="default"/>
                <w:highlight w:val="none"/>
              </w:rPr>
            </w:pPr>
            <w:r>
              <w:rPr>
                <w:rFonts w:hint="default"/>
                <w:highlight w:val="none"/>
              </w:rPr>
              <w:t>地表水功能敏感性</w:t>
            </w:r>
          </w:p>
        </w:tc>
        <w:tc>
          <w:tcPr>
            <w:tcW w:w="1268" w:type="dxa"/>
            <w:gridSpan w:val="3"/>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28B4528C">
            <w:pPr>
              <w:pStyle w:val="8"/>
              <w:suppressLineNumbers w:val="0"/>
              <w:bidi w:val="0"/>
              <w:spacing w:before="0" w:beforeAutospacing="0" w:after="0" w:afterAutospacing="0"/>
              <w:ind w:left="0" w:right="0"/>
              <w:rPr>
                <w:rFonts w:hint="default"/>
                <w:highlight w:val="none"/>
              </w:rPr>
            </w:pPr>
            <w:r>
              <w:rPr>
                <w:rFonts w:hint="default"/>
                <w:highlight w:val="none"/>
              </w:rPr>
              <w:t>F1□</w:t>
            </w:r>
          </w:p>
        </w:tc>
        <w:tc>
          <w:tcPr>
            <w:tcW w:w="1170" w:type="dxa"/>
            <w:gridSpan w:val="5"/>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0F6F7610">
            <w:pPr>
              <w:pStyle w:val="8"/>
              <w:suppressLineNumbers w:val="0"/>
              <w:bidi w:val="0"/>
              <w:spacing w:before="0" w:beforeAutospacing="0" w:after="0" w:afterAutospacing="0"/>
              <w:ind w:left="0" w:right="0"/>
              <w:rPr>
                <w:rFonts w:hint="default"/>
                <w:highlight w:val="none"/>
              </w:rPr>
            </w:pPr>
            <w:r>
              <w:rPr>
                <w:rFonts w:hint="default"/>
                <w:highlight w:val="none"/>
              </w:rPr>
              <w:t>F2□</w:t>
            </w:r>
          </w:p>
        </w:tc>
        <w:tc>
          <w:tcPr>
            <w:tcW w:w="1387"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43DF616C">
            <w:pPr>
              <w:pStyle w:val="8"/>
              <w:suppressLineNumbers w:val="0"/>
              <w:bidi w:val="0"/>
              <w:spacing w:before="0" w:beforeAutospacing="0" w:after="0" w:afterAutospacing="0"/>
              <w:ind w:left="0" w:right="0"/>
              <w:rPr>
                <w:rFonts w:hint="default"/>
                <w:highlight w:val="none"/>
              </w:rPr>
            </w:pPr>
            <w:r>
              <w:rPr>
                <w:rFonts w:hint="default"/>
                <w:highlight w:val="none"/>
              </w:rPr>
              <w:t>F3□</w:t>
            </w:r>
          </w:p>
        </w:tc>
      </w:tr>
      <w:tr w14:paraId="4BE18874">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0" w:hRule="atLeast"/>
          <w:jc w:val="center"/>
        </w:trPr>
        <w:tc>
          <w:tcPr>
            <w:tcW w:w="39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352EC88A">
            <w:pPr>
              <w:pStyle w:val="8"/>
              <w:suppressLineNumbers w:val="0"/>
              <w:bidi w:val="0"/>
              <w:spacing w:before="0" w:beforeAutospacing="0" w:after="0" w:afterAutospacing="0"/>
              <w:ind w:left="0" w:right="0"/>
              <w:rPr>
                <w:rFonts w:hint="default"/>
                <w:highlight w:val="none"/>
              </w:rPr>
            </w:pPr>
          </w:p>
        </w:tc>
        <w:tc>
          <w:tcPr>
            <w:tcW w:w="1188"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0AAA4987">
            <w:pPr>
              <w:pStyle w:val="8"/>
              <w:suppressLineNumbers w:val="0"/>
              <w:bidi w:val="0"/>
              <w:spacing w:before="0" w:beforeAutospacing="0" w:after="0" w:afterAutospacing="0"/>
              <w:ind w:left="0" w:right="0"/>
              <w:rPr>
                <w:rFonts w:hint="default"/>
                <w:highlight w:val="none"/>
              </w:rPr>
            </w:pPr>
          </w:p>
        </w:tc>
        <w:tc>
          <w:tcPr>
            <w:tcW w:w="1187"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5B3161E3">
            <w:pPr>
              <w:pStyle w:val="8"/>
              <w:suppressLineNumbers w:val="0"/>
              <w:bidi w:val="0"/>
              <w:spacing w:before="0" w:beforeAutospacing="0" w:after="0" w:afterAutospacing="0"/>
              <w:ind w:left="0" w:right="0"/>
              <w:rPr>
                <w:rFonts w:hint="default"/>
                <w:highlight w:val="none"/>
              </w:rPr>
            </w:pPr>
          </w:p>
        </w:tc>
        <w:tc>
          <w:tcPr>
            <w:tcW w:w="1845" w:type="dxa"/>
            <w:gridSpan w:val="5"/>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59048FE1">
            <w:pPr>
              <w:pStyle w:val="8"/>
              <w:suppressLineNumbers w:val="0"/>
              <w:bidi w:val="0"/>
              <w:spacing w:before="0" w:beforeAutospacing="0" w:after="0" w:afterAutospacing="0"/>
              <w:ind w:left="0" w:right="0"/>
              <w:rPr>
                <w:rFonts w:hint="default"/>
                <w:highlight w:val="none"/>
              </w:rPr>
            </w:pPr>
            <w:r>
              <w:rPr>
                <w:rFonts w:hint="default"/>
                <w:highlight w:val="none"/>
              </w:rPr>
              <w:t>环境敏感目标分级</w:t>
            </w:r>
          </w:p>
        </w:tc>
        <w:tc>
          <w:tcPr>
            <w:tcW w:w="1268" w:type="dxa"/>
            <w:gridSpan w:val="3"/>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3E638F45">
            <w:pPr>
              <w:pStyle w:val="8"/>
              <w:suppressLineNumbers w:val="0"/>
              <w:bidi w:val="0"/>
              <w:spacing w:before="0" w:beforeAutospacing="0" w:after="0" w:afterAutospacing="0"/>
              <w:ind w:left="0" w:right="0"/>
              <w:rPr>
                <w:rFonts w:hint="default"/>
                <w:highlight w:val="none"/>
              </w:rPr>
            </w:pPr>
            <w:r>
              <w:rPr>
                <w:rFonts w:hint="default"/>
                <w:highlight w:val="none"/>
              </w:rPr>
              <w:t>S1□</w:t>
            </w:r>
          </w:p>
        </w:tc>
        <w:tc>
          <w:tcPr>
            <w:tcW w:w="1170" w:type="dxa"/>
            <w:gridSpan w:val="5"/>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6DCB6E68">
            <w:pPr>
              <w:pStyle w:val="8"/>
              <w:suppressLineNumbers w:val="0"/>
              <w:bidi w:val="0"/>
              <w:spacing w:before="0" w:beforeAutospacing="0" w:after="0" w:afterAutospacing="0"/>
              <w:ind w:left="0" w:right="0"/>
              <w:rPr>
                <w:rFonts w:hint="default"/>
                <w:highlight w:val="none"/>
              </w:rPr>
            </w:pPr>
            <w:r>
              <w:rPr>
                <w:rFonts w:hint="default"/>
                <w:highlight w:val="none"/>
              </w:rPr>
              <w:t>S2□</w:t>
            </w:r>
          </w:p>
        </w:tc>
        <w:tc>
          <w:tcPr>
            <w:tcW w:w="1387"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56D37305">
            <w:pPr>
              <w:pStyle w:val="8"/>
              <w:suppressLineNumbers w:val="0"/>
              <w:bidi w:val="0"/>
              <w:spacing w:before="0" w:beforeAutospacing="0" w:after="0" w:afterAutospacing="0"/>
              <w:ind w:left="0" w:right="0"/>
              <w:rPr>
                <w:rFonts w:hint="default"/>
                <w:highlight w:val="none"/>
              </w:rPr>
            </w:pPr>
            <w:r>
              <w:rPr>
                <w:rFonts w:hint="default"/>
                <w:highlight w:val="none"/>
              </w:rPr>
              <w:t>S3□</w:t>
            </w:r>
          </w:p>
        </w:tc>
      </w:tr>
      <w:tr w14:paraId="69E23A18">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0" w:hRule="atLeast"/>
          <w:jc w:val="center"/>
        </w:trPr>
        <w:tc>
          <w:tcPr>
            <w:tcW w:w="39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3343BE93">
            <w:pPr>
              <w:pStyle w:val="8"/>
              <w:suppressLineNumbers w:val="0"/>
              <w:bidi w:val="0"/>
              <w:spacing w:before="0" w:beforeAutospacing="0" w:after="0" w:afterAutospacing="0"/>
              <w:ind w:left="0" w:right="0"/>
              <w:rPr>
                <w:rFonts w:hint="default"/>
                <w:highlight w:val="none"/>
              </w:rPr>
            </w:pPr>
          </w:p>
        </w:tc>
        <w:tc>
          <w:tcPr>
            <w:tcW w:w="1188"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451BB230">
            <w:pPr>
              <w:pStyle w:val="8"/>
              <w:suppressLineNumbers w:val="0"/>
              <w:bidi w:val="0"/>
              <w:spacing w:before="0" w:beforeAutospacing="0" w:after="0" w:afterAutospacing="0"/>
              <w:ind w:left="0" w:right="0"/>
              <w:rPr>
                <w:rFonts w:hint="default"/>
                <w:highlight w:val="none"/>
              </w:rPr>
            </w:pPr>
          </w:p>
        </w:tc>
        <w:tc>
          <w:tcPr>
            <w:tcW w:w="1187" w:type="dxa"/>
            <w:vMerge w:val="restart"/>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61AD10F4">
            <w:pPr>
              <w:pStyle w:val="8"/>
              <w:suppressLineNumbers w:val="0"/>
              <w:bidi w:val="0"/>
              <w:spacing w:before="0" w:beforeAutospacing="0" w:after="0" w:afterAutospacing="0"/>
              <w:ind w:left="0" w:right="0"/>
              <w:rPr>
                <w:rFonts w:hint="default"/>
                <w:highlight w:val="none"/>
              </w:rPr>
            </w:pPr>
            <w:r>
              <w:rPr>
                <w:rFonts w:hint="default"/>
                <w:highlight w:val="none"/>
              </w:rPr>
              <w:t>地下水</w:t>
            </w:r>
          </w:p>
        </w:tc>
        <w:tc>
          <w:tcPr>
            <w:tcW w:w="1845" w:type="dxa"/>
            <w:gridSpan w:val="5"/>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6E809959">
            <w:pPr>
              <w:pStyle w:val="8"/>
              <w:suppressLineNumbers w:val="0"/>
              <w:bidi w:val="0"/>
              <w:spacing w:before="0" w:beforeAutospacing="0" w:after="0" w:afterAutospacing="0"/>
              <w:ind w:left="0" w:right="0"/>
              <w:rPr>
                <w:rFonts w:hint="default"/>
                <w:highlight w:val="none"/>
              </w:rPr>
            </w:pPr>
            <w:r>
              <w:rPr>
                <w:rFonts w:hint="default"/>
                <w:highlight w:val="none"/>
              </w:rPr>
              <w:t>地下水功能敏感性</w:t>
            </w:r>
          </w:p>
        </w:tc>
        <w:tc>
          <w:tcPr>
            <w:tcW w:w="1268" w:type="dxa"/>
            <w:gridSpan w:val="3"/>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0BC3E14A">
            <w:pPr>
              <w:pStyle w:val="8"/>
              <w:suppressLineNumbers w:val="0"/>
              <w:bidi w:val="0"/>
              <w:spacing w:before="0" w:beforeAutospacing="0" w:after="0" w:afterAutospacing="0"/>
              <w:ind w:left="0" w:right="0"/>
              <w:rPr>
                <w:rFonts w:hint="default"/>
                <w:highlight w:val="none"/>
              </w:rPr>
            </w:pPr>
            <w:r>
              <w:rPr>
                <w:rFonts w:hint="default"/>
                <w:highlight w:val="none"/>
              </w:rPr>
              <w:t>G1□</w:t>
            </w:r>
          </w:p>
        </w:tc>
        <w:tc>
          <w:tcPr>
            <w:tcW w:w="1170" w:type="dxa"/>
            <w:gridSpan w:val="5"/>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1D7382E1">
            <w:pPr>
              <w:pStyle w:val="8"/>
              <w:suppressLineNumbers w:val="0"/>
              <w:bidi w:val="0"/>
              <w:spacing w:before="0" w:beforeAutospacing="0" w:after="0" w:afterAutospacing="0"/>
              <w:ind w:left="0" w:right="0"/>
              <w:rPr>
                <w:rFonts w:hint="default"/>
                <w:highlight w:val="none"/>
              </w:rPr>
            </w:pPr>
            <w:r>
              <w:rPr>
                <w:rFonts w:hint="default"/>
                <w:highlight w:val="none"/>
              </w:rPr>
              <w:t>G2□</w:t>
            </w:r>
          </w:p>
        </w:tc>
        <w:tc>
          <w:tcPr>
            <w:tcW w:w="1387"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22046591">
            <w:pPr>
              <w:pStyle w:val="8"/>
              <w:suppressLineNumbers w:val="0"/>
              <w:bidi w:val="0"/>
              <w:spacing w:before="0" w:beforeAutospacing="0" w:after="0" w:afterAutospacing="0"/>
              <w:ind w:left="0" w:right="0"/>
              <w:rPr>
                <w:rFonts w:hint="eastAsia"/>
                <w:highlight w:val="none"/>
                <w:lang w:eastAsia="zh-CN"/>
              </w:rPr>
            </w:pPr>
            <w:r>
              <w:rPr>
                <w:rFonts w:hint="default"/>
                <w:highlight w:val="none"/>
              </w:rPr>
              <w:t>G3□</w:t>
            </w:r>
          </w:p>
        </w:tc>
      </w:tr>
      <w:tr w14:paraId="6ACE9357">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0" w:hRule="atLeast"/>
          <w:jc w:val="center"/>
        </w:trPr>
        <w:tc>
          <w:tcPr>
            <w:tcW w:w="39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203004AF">
            <w:pPr>
              <w:pStyle w:val="8"/>
              <w:suppressLineNumbers w:val="0"/>
              <w:bidi w:val="0"/>
              <w:spacing w:before="0" w:beforeAutospacing="0" w:after="0" w:afterAutospacing="0"/>
              <w:ind w:left="0" w:right="0"/>
              <w:rPr>
                <w:rFonts w:hint="default"/>
                <w:highlight w:val="none"/>
              </w:rPr>
            </w:pPr>
          </w:p>
        </w:tc>
        <w:tc>
          <w:tcPr>
            <w:tcW w:w="1188"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7A8AF0D0">
            <w:pPr>
              <w:pStyle w:val="8"/>
              <w:suppressLineNumbers w:val="0"/>
              <w:bidi w:val="0"/>
              <w:spacing w:before="0" w:beforeAutospacing="0" w:after="0" w:afterAutospacing="0"/>
              <w:ind w:left="0" w:right="0"/>
              <w:rPr>
                <w:rFonts w:hint="default"/>
                <w:highlight w:val="none"/>
              </w:rPr>
            </w:pPr>
          </w:p>
        </w:tc>
        <w:tc>
          <w:tcPr>
            <w:tcW w:w="1187"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081B9A8E">
            <w:pPr>
              <w:pStyle w:val="8"/>
              <w:suppressLineNumbers w:val="0"/>
              <w:bidi w:val="0"/>
              <w:spacing w:before="0" w:beforeAutospacing="0" w:after="0" w:afterAutospacing="0"/>
              <w:ind w:left="0" w:right="0"/>
              <w:rPr>
                <w:rFonts w:hint="default"/>
                <w:highlight w:val="none"/>
              </w:rPr>
            </w:pPr>
          </w:p>
        </w:tc>
        <w:tc>
          <w:tcPr>
            <w:tcW w:w="1845" w:type="dxa"/>
            <w:gridSpan w:val="5"/>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57A631CA">
            <w:pPr>
              <w:pStyle w:val="8"/>
              <w:suppressLineNumbers w:val="0"/>
              <w:bidi w:val="0"/>
              <w:spacing w:before="0" w:beforeAutospacing="0" w:after="0" w:afterAutospacing="0"/>
              <w:ind w:left="0" w:right="0"/>
              <w:rPr>
                <w:rFonts w:hint="default"/>
                <w:highlight w:val="none"/>
              </w:rPr>
            </w:pPr>
            <w:r>
              <w:rPr>
                <w:rFonts w:hint="default"/>
                <w:highlight w:val="none"/>
              </w:rPr>
              <w:t>包气带防污性能</w:t>
            </w:r>
          </w:p>
        </w:tc>
        <w:tc>
          <w:tcPr>
            <w:tcW w:w="1268" w:type="dxa"/>
            <w:gridSpan w:val="3"/>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6DAC1A3F">
            <w:pPr>
              <w:pStyle w:val="8"/>
              <w:suppressLineNumbers w:val="0"/>
              <w:bidi w:val="0"/>
              <w:spacing w:before="0" w:beforeAutospacing="0" w:after="0" w:afterAutospacing="0"/>
              <w:ind w:left="0" w:right="0"/>
              <w:rPr>
                <w:rFonts w:hint="default"/>
                <w:highlight w:val="none"/>
              </w:rPr>
            </w:pPr>
            <w:r>
              <w:rPr>
                <w:rFonts w:hint="default"/>
                <w:highlight w:val="none"/>
              </w:rPr>
              <w:t>D1□</w:t>
            </w:r>
          </w:p>
        </w:tc>
        <w:tc>
          <w:tcPr>
            <w:tcW w:w="1170" w:type="dxa"/>
            <w:gridSpan w:val="5"/>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7673F4E9">
            <w:pPr>
              <w:pStyle w:val="8"/>
              <w:suppressLineNumbers w:val="0"/>
              <w:bidi w:val="0"/>
              <w:spacing w:before="0" w:beforeAutospacing="0" w:after="0" w:afterAutospacing="0"/>
              <w:ind w:left="0" w:right="0"/>
              <w:rPr>
                <w:rFonts w:hint="default"/>
                <w:highlight w:val="none"/>
              </w:rPr>
            </w:pPr>
            <w:r>
              <w:rPr>
                <w:rFonts w:hint="default"/>
                <w:highlight w:val="none"/>
              </w:rPr>
              <w:t>D2□</w:t>
            </w:r>
          </w:p>
        </w:tc>
        <w:tc>
          <w:tcPr>
            <w:tcW w:w="1387"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7DCADB9D">
            <w:pPr>
              <w:pStyle w:val="8"/>
              <w:suppressLineNumbers w:val="0"/>
              <w:bidi w:val="0"/>
              <w:spacing w:before="0" w:beforeAutospacing="0" w:after="0" w:afterAutospacing="0"/>
              <w:ind w:left="0" w:right="0"/>
              <w:rPr>
                <w:rFonts w:hint="default"/>
                <w:highlight w:val="none"/>
              </w:rPr>
            </w:pPr>
            <w:r>
              <w:rPr>
                <w:rFonts w:hint="default"/>
                <w:highlight w:val="none"/>
              </w:rPr>
              <w:t>D2□</w:t>
            </w:r>
          </w:p>
        </w:tc>
      </w:tr>
      <w:tr w14:paraId="27D2FD30">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0" w:hRule="atLeast"/>
          <w:jc w:val="center"/>
        </w:trPr>
        <w:tc>
          <w:tcPr>
            <w:tcW w:w="1585" w:type="dxa"/>
            <w:gridSpan w:val="2"/>
            <w:vMerge w:val="restart"/>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249276B2">
            <w:pPr>
              <w:pStyle w:val="8"/>
              <w:suppressLineNumbers w:val="0"/>
              <w:bidi w:val="0"/>
              <w:spacing w:before="0" w:beforeAutospacing="0" w:after="0" w:afterAutospacing="0"/>
              <w:ind w:left="0" w:right="0"/>
              <w:rPr>
                <w:rFonts w:hint="default"/>
                <w:highlight w:val="none"/>
              </w:rPr>
            </w:pPr>
            <w:r>
              <w:rPr>
                <w:rFonts w:hint="default"/>
                <w:highlight w:val="none"/>
              </w:rPr>
              <w:t>物质及工艺系统危险性</w:t>
            </w:r>
          </w:p>
        </w:tc>
        <w:tc>
          <w:tcPr>
            <w:tcW w:w="1187"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56527AB0">
            <w:pPr>
              <w:pStyle w:val="8"/>
              <w:suppressLineNumbers w:val="0"/>
              <w:bidi w:val="0"/>
              <w:spacing w:before="0" w:beforeAutospacing="0" w:after="0" w:afterAutospacing="0"/>
              <w:ind w:left="0" w:right="0"/>
              <w:rPr>
                <w:rFonts w:hint="default"/>
                <w:highlight w:val="none"/>
              </w:rPr>
            </w:pPr>
            <w:r>
              <w:rPr>
                <w:rFonts w:hint="default"/>
                <w:highlight w:val="none"/>
              </w:rPr>
              <w:t>Q值</w:t>
            </w:r>
          </w:p>
        </w:tc>
        <w:tc>
          <w:tcPr>
            <w:tcW w:w="1845" w:type="dxa"/>
            <w:gridSpan w:val="5"/>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4108969B">
            <w:pPr>
              <w:pStyle w:val="8"/>
              <w:suppressLineNumbers w:val="0"/>
              <w:bidi w:val="0"/>
              <w:spacing w:before="0" w:beforeAutospacing="0" w:after="0" w:afterAutospacing="0"/>
              <w:ind w:left="0" w:right="0"/>
              <w:rPr>
                <w:rFonts w:hint="eastAsia" w:eastAsia="宋体"/>
                <w:highlight w:val="none"/>
                <w:lang w:eastAsia="zh-CN"/>
              </w:rPr>
            </w:pPr>
            <w:r>
              <w:rPr>
                <w:rFonts w:hint="default"/>
                <w:highlight w:val="none"/>
              </w:rPr>
              <w:t>Q＜1√</w:t>
            </w:r>
          </w:p>
        </w:tc>
        <w:tc>
          <w:tcPr>
            <w:tcW w:w="1268" w:type="dxa"/>
            <w:gridSpan w:val="3"/>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35C22BFF">
            <w:pPr>
              <w:pStyle w:val="8"/>
              <w:suppressLineNumbers w:val="0"/>
              <w:bidi w:val="0"/>
              <w:spacing w:before="0" w:beforeAutospacing="0" w:after="0" w:afterAutospacing="0"/>
              <w:ind w:left="0" w:right="0"/>
              <w:rPr>
                <w:rFonts w:hint="default"/>
                <w:highlight w:val="none"/>
              </w:rPr>
            </w:pPr>
            <w:r>
              <w:rPr>
                <w:rFonts w:hint="default"/>
                <w:highlight w:val="none"/>
              </w:rPr>
              <w:t>1≤Q＜10□</w:t>
            </w:r>
          </w:p>
        </w:tc>
        <w:tc>
          <w:tcPr>
            <w:tcW w:w="1170" w:type="dxa"/>
            <w:gridSpan w:val="5"/>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3E58C21E">
            <w:pPr>
              <w:pStyle w:val="8"/>
              <w:suppressLineNumbers w:val="0"/>
              <w:bidi w:val="0"/>
              <w:spacing w:before="0" w:beforeAutospacing="0" w:after="0" w:afterAutospacing="0"/>
              <w:ind w:left="0" w:right="0"/>
              <w:rPr>
                <w:rFonts w:hint="eastAsia"/>
                <w:highlight w:val="none"/>
                <w:lang w:eastAsia="zh-CN"/>
              </w:rPr>
            </w:pPr>
            <w:r>
              <w:rPr>
                <w:rFonts w:hint="default"/>
                <w:highlight w:val="none"/>
              </w:rPr>
              <w:t>10≤Q＜100□</w:t>
            </w:r>
          </w:p>
        </w:tc>
        <w:tc>
          <w:tcPr>
            <w:tcW w:w="1387"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22BBE4C4">
            <w:pPr>
              <w:pStyle w:val="8"/>
              <w:suppressLineNumbers w:val="0"/>
              <w:bidi w:val="0"/>
              <w:spacing w:before="0" w:beforeAutospacing="0" w:after="0" w:afterAutospacing="0"/>
              <w:ind w:left="0" w:right="0"/>
              <w:rPr>
                <w:rFonts w:hint="default"/>
                <w:highlight w:val="none"/>
              </w:rPr>
            </w:pPr>
            <w:r>
              <w:rPr>
                <w:rFonts w:hint="default"/>
                <w:highlight w:val="none"/>
              </w:rPr>
              <w:t>Q＞100□</w:t>
            </w:r>
          </w:p>
        </w:tc>
      </w:tr>
      <w:tr w14:paraId="15F9951C">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0" w:hRule="atLeast"/>
          <w:jc w:val="center"/>
        </w:trPr>
        <w:tc>
          <w:tcPr>
            <w:tcW w:w="1585" w:type="dxa"/>
            <w:gridSpan w:val="2"/>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197D2D77">
            <w:pPr>
              <w:pStyle w:val="8"/>
              <w:suppressLineNumbers w:val="0"/>
              <w:bidi w:val="0"/>
              <w:spacing w:before="0" w:beforeAutospacing="0" w:after="0" w:afterAutospacing="0"/>
              <w:ind w:left="0" w:right="0"/>
              <w:rPr>
                <w:rFonts w:hint="default"/>
                <w:highlight w:val="none"/>
              </w:rPr>
            </w:pPr>
          </w:p>
        </w:tc>
        <w:tc>
          <w:tcPr>
            <w:tcW w:w="1187"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243AB0B0">
            <w:pPr>
              <w:pStyle w:val="8"/>
              <w:suppressLineNumbers w:val="0"/>
              <w:bidi w:val="0"/>
              <w:spacing w:before="0" w:beforeAutospacing="0" w:after="0" w:afterAutospacing="0"/>
              <w:ind w:left="0" w:right="0"/>
              <w:rPr>
                <w:rFonts w:hint="default"/>
                <w:highlight w:val="none"/>
              </w:rPr>
            </w:pPr>
            <w:r>
              <w:rPr>
                <w:rFonts w:hint="default"/>
                <w:highlight w:val="none"/>
              </w:rPr>
              <w:t>M值</w:t>
            </w:r>
          </w:p>
        </w:tc>
        <w:tc>
          <w:tcPr>
            <w:tcW w:w="1845" w:type="dxa"/>
            <w:gridSpan w:val="5"/>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147A759C">
            <w:pPr>
              <w:pStyle w:val="8"/>
              <w:suppressLineNumbers w:val="0"/>
              <w:bidi w:val="0"/>
              <w:spacing w:before="0" w:beforeAutospacing="0" w:after="0" w:afterAutospacing="0"/>
              <w:ind w:left="0" w:right="0"/>
              <w:rPr>
                <w:rFonts w:hint="default"/>
                <w:highlight w:val="none"/>
              </w:rPr>
            </w:pPr>
            <w:r>
              <w:rPr>
                <w:rFonts w:hint="default"/>
                <w:highlight w:val="none"/>
              </w:rPr>
              <w:t>M1□</w:t>
            </w:r>
          </w:p>
        </w:tc>
        <w:tc>
          <w:tcPr>
            <w:tcW w:w="1268" w:type="dxa"/>
            <w:gridSpan w:val="3"/>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5B564BC3">
            <w:pPr>
              <w:pStyle w:val="8"/>
              <w:suppressLineNumbers w:val="0"/>
              <w:bidi w:val="0"/>
              <w:spacing w:before="0" w:beforeAutospacing="0" w:after="0" w:afterAutospacing="0"/>
              <w:ind w:left="0" w:right="0"/>
              <w:rPr>
                <w:rFonts w:hint="default"/>
                <w:highlight w:val="none"/>
              </w:rPr>
            </w:pPr>
            <w:r>
              <w:rPr>
                <w:rFonts w:hint="default"/>
                <w:highlight w:val="none"/>
              </w:rPr>
              <w:t>M2□</w:t>
            </w:r>
          </w:p>
        </w:tc>
        <w:tc>
          <w:tcPr>
            <w:tcW w:w="1170" w:type="dxa"/>
            <w:gridSpan w:val="5"/>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1C2EDFFC">
            <w:pPr>
              <w:pStyle w:val="8"/>
              <w:suppressLineNumbers w:val="0"/>
              <w:bidi w:val="0"/>
              <w:spacing w:before="0" w:beforeAutospacing="0" w:after="0" w:afterAutospacing="0"/>
              <w:ind w:left="0" w:right="0"/>
              <w:rPr>
                <w:rFonts w:hint="default"/>
                <w:highlight w:val="none"/>
              </w:rPr>
            </w:pPr>
            <w:r>
              <w:rPr>
                <w:rFonts w:hint="default"/>
                <w:highlight w:val="none"/>
              </w:rPr>
              <w:t>M3□</w:t>
            </w:r>
          </w:p>
        </w:tc>
        <w:tc>
          <w:tcPr>
            <w:tcW w:w="1387"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51DAE9FA">
            <w:pPr>
              <w:pStyle w:val="8"/>
              <w:suppressLineNumbers w:val="0"/>
              <w:bidi w:val="0"/>
              <w:spacing w:before="0" w:beforeAutospacing="0" w:after="0" w:afterAutospacing="0"/>
              <w:ind w:left="0" w:right="0"/>
              <w:rPr>
                <w:rFonts w:hint="default"/>
                <w:highlight w:val="none"/>
              </w:rPr>
            </w:pPr>
            <w:r>
              <w:rPr>
                <w:rFonts w:hint="default"/>
                <w:highlight w:val="none"/>
              </w:rPr>
              <w:t>M4□</w:t>
            </w:r>
          </w:p>
        </w:tc>
      </w:tr>
      <w:tr w14:paraId="5CF277C3">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0" w:hRule="atLeast"/>
          <w:jc w:val="center"/>
        </w:trPr>
        <w:tc>
          <w:tcPr>
            <w:tcW w:w="1585" w:type="dxa"/>
            <w:gridSpan w:val="2"/>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7D378FD5">
            <w:pPr>
              <w:pStyle w:val="8"/>
              <w:suppressLineNumbers w:val="0"/>
              <w:bidi w:val="0"/>
              <w:spacing w:before="0" w:beforeAutospacing="0" w:after="0" w:afterAutospacing="0"/>
              <w:ind w:left="0" w:right="0"/>
              <w:rPr>
                <w:rFonts w:hint="default"/>
                <w:highlight w:val="none"/>
              </w:rPr>
            </w:pPr>
          </w:p>
        </w:tc>
        <w:tc>
          <w:tcPr>
            <w:tcW w:w="1187"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706F2033">
            <w:pPr>
              <w:pStyle w:val="8"/>
              <w:suppressLineNumbers w:val="0"/>
              <w:bidi w:val="0"/>
              <w:spacing w:before="0" w:beforeAutospacing="0" w:after="0" w:afterAutospacing="0"/>
              <w:ind w:left="0" w:right="0"/>
              <w:rPr>
                <w:rFonts w:hint="default"/>
                <w:highlight w:val="none"/>
              </w:rPr>
            </w:pPr>
            <w:r>
              <w:rPr>
                <w:rFonts w:hint="default"/>
                <w:highlight w:val="none"/>
              </w:rPr>
              <w:t>P值</w:t>
            </w:r>
          </w:p>
        </w:tc>
        <w:tc>
          <w:tcPr>
            <w:tcW w:w="1845" w:type="dxa"/>
            <w:gridSpan w:val="5"/>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64DE9454">
            <w:pPr>
              <w:pStyle w:val="8"/>
              <w:suppressLineNumbers w:val="0"/>
              <w:bidi w:val="0"/>
              <w:spacing w:before="0" w:beforeAutospacing="0" w:after="0" w:afterAutospacing="0"/>
              <w:ind w:left="0" w:right="0"/>
              <w:rPr>
                <w:rFonts w:hint="default"/>
                <w:highlight w:val="none"/>
              </w:rPr>
            </w:pPr>
            <w:r>
              <w:rPr>
                <w:rFonts w:hint="default"/>
                <w:highlight w:val="none"/>
              </w:rPr>
              <w:t>P1□</w:t>
            </w:r>
          </w:p>
        </w:tc>
        <w:tc>
          <w:tcPr>
            <w:tcW w:w="1268" w:type="dxa"/>
            <w:gridSpan w:val="3"/>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1630F374">
            <w:pPr>
              <w:pStyle w:val="8"/>
              <w:suppressLineNumbers w:val="0"/>
              <w:bidi w:val="0"/>
              <w:spacing w:before="0" w:beforeAutospacing="0" w:after="0" w:afterAutospacing="0"/>
              <w:ind w:left="0" w:right="0"/>
              <w:rPr>
                <w:rFonts w:hint="default"/>
                <w:highlight w:val="none"/>
              </w:rPr>
            </w:pPr>
            <w:r>
              <w:rPr>
                <w:rFonts w:hint="default"/>
                <w:highlight w:val="none"/>
              </w:rPr>
              <w:t>P2□</w:t>
            </w:r>
          </w:p>
        </w:tc>
        <w:tc>
          <w:tcPr>
            <w:tcW w:w="1170" w:type="dxa"/>
            <w:gridSpan w:val="5"/>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3E15685B">
            <w:pPr>
              <w:pStyle w:val="8"/>
              <w:suppressLineNumbers w:val="0"/>
              <w:bidi w:val="0"/>
              <w:spacing w:before="0" w:beforeAutospacing="0" w:after="0" w:afterAutospacing="0"/>
              <w:ind w:left="0" w:right="0"/>
              <w:rPr>
                <w:rFonts w:hint="default"/>
                <w:highlight w:val="none"/>
              </w:rPr>
            </w:pPr>
            <w:r>
              <w:rPr>
                <w:rFonts w:hint="default"/>
                <w:highlight w:val="none"/>
              </w:rPr>
              <w:t>P3□</w:t>
            </w:r>
          </w:p>
        </w:tc>
        <w:tc>
          <w:tcPr>
            <w:tcW w:w="1387" w:type="dxa"/>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24466571">
            <w:pPr>
              <w:pStyle w:val="8"/>
              <w:suppressLineNumbers w:val="0"/>
              <w:bidi w:val="0"/>
              <w:spacing w:before="0" w:beforeAutospacing="0" w:after="0" w:afterAutospacing="0"/>
              <w:ind w:left="0" w:right="0"/>
              <w:rPr>
                <w:rFonts w:hint="default"/>
                <w:highlight w:val="none"/>
              </w:rPr>
            </w:pPr>
            <w:r>
              <w:rPr>
                <w:rFonts w:hint="default"/>
                <w:highlight w:val="none"/>
              </w:rPr>
              <w:t>P4□</w:t>
            </w:r>
          </w:p>
        </w:tc>
      </w:tr>
      <w:tr w14:paraId="014649BF">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0" w:hRule="atLeast"/>
          <w:jc w:val="center"/>
        </w:trPr>
        <w:tc>
          <w:tcPr>
            <w:tcW w:w="1585" w:type="dxa"/>
            <w:gridSpan w:val="2"/>
            <w:vMerge w:val="restart"/>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1C483381">
            <w:pPr>
              <w:pStyle w:val="8"/>
              <w:suppressLineNumbers w:val="0"/>
              <w:bidi w:val="0"/>
              <w:spacing w:before="0" w:beforeAutospacing="0" w:after="0" w:afterAutospacing="0"/>
              <w:ind w:left="0" w:right="0"/>
              <w:rPr>
                <w:rFonts w:hint="default"/>
                <w:highlight w:val="none"/>
              </w:rPr>
            </w:pPr>
            <w:r>
              <w:rPr>
                <w:rFonts w:hint="default"/>
                <w:highlight w:val="none"/>
              </w:rPr>
              <w:t>环境敏感程度</w:t>
            </w:r>
          </w:p>
        </w:tc>
        <w:tc>
          <w:tcPr>
            <w:tcW w:w="1187"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5A8FEEE1">
            <w:pPr>
              <w:pStyle w:val="8"/>
              <w:suppressLineNumbers w:val="0"/>
              <w:bidi w:val="0"/>
              <w:spacing w:before="0" w:beforeAutospacing="0" w:after="0" w:afterAutospacing="0"/>
              <w:ind w:left="0" w:right="0"/>
              <w:rPr>
                <w:rFonts w:hint="default"/>
                <w:highlight w:val="none"/>
              </w:rPr>
            </w:pPr>
            <w:r>
              <w:rPr>
                <w:rFonts w:hint="default"/>
                <w:highlight w:val="none"/>
              </w:rPr>
              <w:t>大气</w:t>
            </w:r>
          </w:p>
        </w:tc>
        <w:tc>
          <w:tcPr>
            <w:tcW w:w="1845" w:type="dxa"/>
            <w:gridSpan w:val="5"/>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42362A78">
            <w:pPr>
              <w:pStyle w:val="8"/>
              <w:suppressLineNumbers w:val="0"/>
              <w:bidi w:val="0"/>
              <w:spacing w:before="0" w:beforeAutospacing="0" w:after="0" w:afterAutospacing="0"/>
              <w:ind w:left="0" w:right="0"/>
              <w:rPr>
                <w:rFonts w:hint="default"/>
                <w:highlight w:val="none"/>
              </w:rPr>
            </w:pPr>
            <w:r>
              <w:rPr>
                <w:rFonts w:hint="default"/>
                <w:highlight w:val="none"/>
              </w:rPr>
              <w:t>E1□</w:t>
            </w:r>
          </w:p>
        </w:tc>
        <w:tc>
          <w:tcPr>
            <w:tcW w:w="1803" w:type="dxa"/>
            <w:gridSpan w:val="5"/>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759E40FD">
            <w:pPr>
              <w:pStyle w:val="8"/>
              <w:suppressLineNumbers w:val="0"/>
              <w:bidi w:val="0"/>
              <w:spacing w:before="0" w:beforeAutospacing="0" w:after="0" w:afterAutospacing="0"/>
              <w:ind w:left="0" w:right="0"/>
              <w:rPr>
                <w:rFonts w:hint="default"/>
                <w:highlight w:val="none"/>
              </w:rPr>
            </w:pPr>
            <w:r>
              <w:rPr>
                <w:rFonts w:hint="default"/>
                <w:highlight w:val="none"/>
              </w:rPr>
              <w:t>E2□</w:t>
            </w:r>
          </w:p>
        </w:tc>
        <w:tc>
          <w:tcPr>
            <w:tcW w:w="2022" w:type="dxa"/>
            <w:gridSpan w:val="4"/>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3B23D63D">
            <w:pPr>
              <w:pStyle w:val="8"/>
              <w:suppressLineNumbers w:val="0"/>
              <w:bidi w:val="0"/>
              <w:spacing w:before="0" w:beforeAutospacing="0" w:after="0" w:afterAutospacing="0"/>
              <w:ind w:left="0" w:right="0"/>
              <w:rPr>
                <w:rFonts w:hint="eastAsia"/>
                <w:highlight w:val="none"/>
                <w:lang w:eastAsia="zh-CN"/>
              </w:rPr>
            </w:pPr>
            <w:r>
              <w:rPr>
                <w:rFonts w:hint="default"/>
                <w:highlight w:val="none"/>
              </w:rPr>
              <w:t>E3□</w:t>
            </w:r>
          </w:p>
        </w:tc>
      </w:tr>
      <w:tr w14:paraId="0604C142">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0" w:hRule="atLeast"/>
          <w:jc w:val="center"/>
        </w:trPr>
        <w:tc>
          <w:tcPr>
            <w:tcW w:w="1585" w:type="dxa"/>
            <w:gridSpan w:val="2"/>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066BF8DB">
            <w:pPr>
              <w:pStyle w:val="8"/>
              <w:suppressLineNumbers w:val="0"/>
              <w:bidi w:val="0"/>
              <w:spacing w:before="0" w:beforeAutospacing="0" w:after="0" w:afterAutospacing="0"/>
              <w:ind w:left="0" w:right="0"/>
              <w:rPr>
                <w:rFonts w:hint="default"/>
                <w:highlight w:val="none"/>
              </w:rPr>
            </w:pPr>
          </w:p>
        </w:tc>
        <w:tc>
          <w:tcPr>
            <w:tcW w:w="1187"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03F1C004">
            <w:pPr>
              <w:pStyle w:val="8"/>
              <w:suppressLineNumbers w:val="0"/>
              <w:bidi w:val="0"/>
              <w:spacing w:before="0" w:beforeAutospacing="0" w:after="0" w:afterAutospacing="0"/>
              <w:ind w:left="0" w:right="0"/>
              <w:rPr>
                <w:rFonts w:hint="default"/>
                <w:highlight w:val="none"/>
              </w:rPr>
            </w:pPr>
            <w:r>
              <w:rPr>
                <w:rFonts w:hint="default"/>
                <w:highlight w:val="none"/>
              </w:rPr>
              <w:t>地表水</w:t>
            </w:r>
          </w:p>
        </w:tc>
        <w:tc>
          <w:tcPr>
            <w:tcW w:w="1845" w:type="dxa"/>
            <w:gridSpan w:val="5"/>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106564F9">
            <w:pPr>
              <w:pStyle w:val="8"/>
              <w:suppressLineNumbers w:val="0"/>
              <w:bidi w:val="0"/>
              <w:spacing w:before="0" w:beforeAutospacing="0" w:after="0" w:afterAutospacing="0"/>
              <w:ind w:left="0" w:right="0"/>
              <w:rPr>
                <w:rFonts w:hint="default"/>
                <w:highlight w:val="none"/>
              </w:rPr>
            </w:pPr>
            <w:r>
              <w:rPr>
                <w:rFonts w:hint="default"/>
                <w:highlight w:val="none"/>
              </w:rPr>
              <w:t>E1□</w:t>
            </w:r>
          </w:p>
        </w:tc>
        <w:tc>
          <w:tcPr>
            <w:tcW w:w="1803" w:type="dxa"/>
            <w:gridSpan w:val="5"/>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4B27BAF5">
            <w:pPr>
              <w:pStyle w:val="8"/>
              <w:suppressLineNumbers w:val="0"/>
              <w:bidi w:val="0"/>
              <w:spacing w:before="0" w:beforeAutospacing="0" w:after="0" w:afterAutospacing="0"/>
              <w:ind w:left="0" w:right="0"/>
              <w:rPr>
                <w:rFonts w:hint="default"/>
                <w:highlight w:val="none"/>
              </w:rPr>
            </w:pPr>
            <w:r>
              <w:rPr>
                <w:rFonts w:hint="default"/>
                <w:highlight w:val="none"/>
              </w:rPr>
              <w:t>E2□</w:t>
            </w:r>
          </w:p>
        </w:tc>
        <w:tc>
          <w:tcPr>
            <w:tcW w:w="2022" w:type="dxa"/>
            <w:gridSpan w:val="4"/>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226BF9CA">
            <w:pPr>
              <w:pStyle w:val="8"/>
              <w:suppressLineNumbers w:val="0"/>
              <w:bidi w:val="0"/>
              <w:spacing w:before="0" w:beforeAutospacing="0" w:after="0" w:afterAutospacing="0"/>
              <w:ind w:left="0" w:right="0"/>
              <w:rPr>
                <w:rFonts w:hint="eastAsia" w:eastAsia="宋体"/>
                <w:highlight w:val="none"/>
                <w:lang w:eastAsia="zh-CN"/>
              </w:rPr>
            </w:pPr>
            <w:r>
              <w:rPr>
                <w:rFonts w:hint="default"/>
                <w:highlight w:val="none"/>
              </w:rPr>
              <w:t>E3□</w:t>
            </w:r>
          </w:p>
        </w:tc>
      </w:tr>
      <w:tr w14:paraId="333CB474">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0" w:hRule="atLeast"/>
          <w:jc w:val="center"/>
        </w:trPr>
        <w:tc>
          <w:tcPr>
            <w:tcW w:w="1585" w:type="dxa"/>
            <w:gridSpan w:val="2"/>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79241835">
            <w:pPr>
              <w:pStyle w:val="8"/>
              <w:suppressLineNumbers w:val="0"/>
              <w:bidi w:val="0"/>
              <w:spacing w:before="0" w:beforeAutospacing="0" w:after="0" w:afterAutospacing="0"/>
              <w:ind w:left="0" w:right="0"/>
              <w:rPr>
                <w:rFonts w:hint="default"/>
                <w:highlight w:val="none"/>
              </w:rPr>
            </w:pPr>
          </w:p>
        </w:tc>
        <w:tc>
          <w:tcPr>
            <w:tcW w:w="1187"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3FB91106">
            <w:pPr>
              <w:pStyle w:val="8"/>
              <w:suppressLineNumbers w:val="0"/>
              <w:bidi w:val="0"/>
              <w:spacing w:before="0" w:beforeAutospacing="0" w:after="0" w:afterAutospacing="0"/>
              <w:ind w:left="0" w:right="0"/>
              <w:rPr>
                <w:rFonts w:hint="default"/>
                <w:highlight w:val="none"/>
              </w:rPr>
            </w:pPr>
            <w:r>
              <w:rPr>
                <w:rFonts w:hint="default"/>
                <w:highlight w:val="none"/>
              </w:rPr>
              <w:t>地下水</w:t>
            </w:r>
          </w:p>
        </w:tc>
        <w:tc>
          <w:tcPr>
            <w:tcW w:w="1845" w:type="dxa"/>
            <w:gridSpan w:val="5"/>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10E345D1">
            <w:pPr>
              <w:pStyle w:val="8"/>
              <w:suppressLineNumbers w:val="0"/>
              <w:bidi w:val="0"/>
              <w:spacing w:before="0" w:beforeAutospacing="0" w:after="0" w:afterAutospacing="0"/>
              <w:ind w:left="0" w:right="0"/>
              <w:rPr>
                <w:rFonts w:hint="default"/>
                <w:highlight w:val="none"/>
              </w:rPr>
            </w:pPr>
            <w:r>
              <w:rPr>
                <w:rFonts w:hint="default"/>
                <w:highlight w:val="none"/>
              </w:rPr>
              <w:t>E1□</w:t>
            </w:r>
          </w:p>
        </w:tc>
        <w:tc>
          <w:tcPr>
            <w:tcW w:w="1803" w:type="dxa"/>
            <w:gridSpan w:val="5"/>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1EE03137">
            <w:pPr>
              <w:pStyle w:val="8"/>
              <w:suppressLineNumbers w:val="0"/>
              <w:bidi w:val="0"/>
              <w:spacing w:before="0" w:beforeAutospacing="0" w:after="0" w:afterAutospacing="0"/>
              <w:ind w:left="0" w:right="0"/>
              <w:rPr>
                <w:rFonts w:hint="default"/>
                <w:highlight w:val="none"/>
              </w:rPr>
            </w:pPr>
            <w:r>
              <w:rPr>
                <w:rFonts w:hint="default"/>
                <w:highlight w:val="none"/>
              </w:rPr>
              <w:t>E2□</w:t>
            </w:r>
          </w:p>
        </w:tc>
        <w:tc>
          <w:tcPr>
            <w:tcW w:w="2022" w:type="dxa"/>
            <w:gridSpan w:val="4"/>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0A9FA352">
            <w:pPr>
              <w:pStyle w:val="8"/>
              <w:suppressLineNumbers w:val="0"/>
              <w:bidi w:val="0"/>
              <w:spacing w:before="0" w:beforeAutospacing="0" w:after="0" w:afterAutospacing="0"/>
              <w:ind w:left="0" w:right="0"/>
              <w:rPr>
                <w:rFonts w:hint="default"/>
                <w:highlight w:val="none"/>
              </w:rPr>
            </w:pPr>
            <w:r>
              <w:rPr>
                <w:rFonts w:hint="default"/>
                <w:highlight w:val="none"/>
              </w:rPr>
              <w:t>E3□</w:t>
            </w:r>
          </w:p>
        </w:tc>
      </w:tr>
      <w:tr w14:paraId="3E0656F7">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0" w:hRule="atLeast"/>
          <w:jc w:val="center"/>
        </w:trPr>
        <w:tc>
          <w:tcPr>
            <w:tcW w:w="1585" w:type="dxa"/>
            <w:gridSpan w:val="2"/>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3B3C3AAE">
            <w:pPr>
              <w:pStyle w:val="8"/>
              <w:suppressLineNumbers w:val="0"/>
              <w:bidi w:val="0"/>
              <w:spacing w:before="0" w:beforeAutospacing="0" w:after="0" w:afterAutospacing="0"/>
              <w:ind w:left="0" w:right="0"/>
              <w:rPr>
                <w:rFonts w:hint="default"/>
                <w:highlight w:val="none"/>
              </w:rPr>
            </w:pPr>
            <w:r>
              <w:rPr>
                <w:rFonts w:hint="default"/>
                <w:highlight w:val="none"/>
              </w:rPr>
              <w:t>环境风险潜势</w:t>
            </w:r>
          </w:p>
        </w:tc>
        <w:tc>
          <w:tcPr>
            <w:tcW w:w="1327" w:type="dxa"/>
            <w:gridSpan w:val="2"/>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2E5378DD">
            <w:pPr>
              <w:pStyle w:val="8"/>
              <w:suppressLineNumbers w:val="0"/>
              <w:bidi w:val="0"/>
              <w:spacing w:before="0" w:beforeAutospacing="0" w:after="0" w:afterAutospacing="0"/>
              <w:ind w:left="0" w:right="0"/>
              <w:rPr>
                <w:rFonts w:hint="default"/>
                <w:highlight w:val="none"/>
              </w:rPr>
            </w:pPr>
            <w:r>
              <w:rPr>
                <w:rFonts w:hint="default"/>
                <w:highlight w:val="none"/>
              </w:rPr>
              <w:t>Ⅳ+□</w:t>
            </w:r>
          </w:p>
        </w:tc>
        <w:tc>
          <w:tcPr>
            <w:tcW w:w="1328" w:type="dxa"/>
            <w:gridSpan w:val="3"/>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76EDFAEB">
            <w:pPr>
              <w:pStyle w:val="8"/>
              <w:suppressLineNumbers w:val="0"/>
              <w:bidi w:val="0"/>
              <w:spacing w:before="0" w:beforeAutospacing="0" w:after="0" w:afterAutospacing="0"/>
              <w:ind w:left="0" w:right="0"/>
              <w:rPr>
                <w:rFonts w:hint="default"/>
                <w:highlight w:val="none"/>
              </w:rPr>
            </w:pPr>
            <w:r>
              <w:rPr>
                <w:rFonts w:hint="default"/>
                <w:highlight w:val="none"/>
              </w:rPr>
              <w:t>Ⅳ□</w:t>
            </w:r>
          </w:p>
        </w:tc>
        <w:tc>
          <w:tcPr>
            <w:tcW w:w="1327" w:type="dxa"/>
            <w:gridSpan w:val="3"/>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79A22AA0">
            <w:pPr>
              <w:pStyle w:val="8"/>
              <w:suppressLineNumbers w:val="0"/>
              <w:bidi w:val="0"/>
              <w:spacing w:before="0" w:beforeAutospacing="0" w:after="0" w:afterAutospacing="0"/>
              <w:ind w:left="0" w:right="0"/>
              <w:rPr>
                <w:rFonts w:hint="default"/>
                <w:highlight w:val="none"/>
              </w:rPr>
            </w:pPr>
            <w:r>
              <w:rPr>
                <w:rFonts w:hint="default"/>
                <w:highlight w:val="none"/>
              </w:rPr>
              <w:t>Ⅲ□</w:t>
            </w:r>
          </w:p>
        </w:tc>
        <w:tc>
          <w:tcPr>
            <w:tcW w:w="1328" w:type="dxa"/>
            <w:gridSpan w:val="5"/>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4E678537">
            <w:pPr>
              <w:pStyle w:val="8"/>
              <w:suppressLineNumbers w:val="0"/>
              <w:bidi w:val="0"/>
              <w:spacing w:before="0" w:beforeAutospacing="0" w:after="0" w:afterAutospacing="0"/>
              <w:ind w:left="0" w:right="0"/>
              <w:rPr>
                <w:rFonts w:hint="default"/>
                <w:highlight w:val="none"/>
              </w:rPr>
            </w:pPr>
            <w:r>
              <w:rPr>
                <w:rFonts w:hint="default"/>
                <w:highlight w:val="none"/>
              </w:rPr>
              <w:t>Ⅱ□</w:t>
            </w:r>
          </w:p>
        </w:tc>
        <w:tc>
          <w:tcPr>
            <w:tcW w:w="1547" w:type="dxa"/>
            <w:gridSpan w:val="2"/>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083C1845">
            <w:pPr>
              <w:pStyle w:val="8"/>
              <w:suppressLineNumbers w:val="0"/>
              <w:bidi w:val="0"/>
              <w:spacing w:before="0" w:beforeAutospacing="0" w:after="0" w:afterAutospacing="0"/>
              <w:ind w:left="0" w:right="0"/>
              <w:rPr>
                <w:rFonts w:hint="eastAsia" w:eastAsia="宋体"/>
                <w:highlight w:val="none"/>
                <w:lang w:eastAsia="zh-CN"/>
              </w:rPr>
            </w:pPr>
            <w:r>
              <w:rPr>
                <w:rFonts w:hint="default"/>
                <w:highlight w:val="none"/>
              </w:rPr>
              <w:t>Ⅰ√</w:t>
            </w:r>
          </w:p>
        </w:tc>
      </w:tr>
      <w:tr w14:paraId="7EF0FFE5">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0" w:hRule="atLeast"/>
          <w:jc w:val="center"/>
        </w:trPr>
        <w:tc>
          <w:tcPr>
            <w:tcW w:w="1585" w:type="dxa"/>
            <w:gridSpan w:val="2"/>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70902C6A">
            <w:pPr>
              <w:pStyle w:val="8"/>
              <w:suppressLineNumbers w:val="0"/>
              <w:bidi w:val="0"/>
              <w:spacing w:before="0" w:beforeAutospacing="0" w:after="0" w:afterAutospacing="0"/>
              <w:ind w:left="0" w:right="0"/>
              <w:rPr>
                <w:rFonts w:hint="default"/>
                <w:highlight w:val="none"/>
              </w:rPr>
            </w:pPr>
            <w:r>
              <w:rPr>
                <w:rFonts w:hint="default"/>
                <w:highlight w:val="none"/>
              </w:rPr>
              <w:t>评价等级</w:t>
            </w:r>
          </w:p>
        </w:tc>
        <w:tc>
          <w:tcPr>
            <w:tcW w:w="2655" w:type="dxa"/>
            <w:gridSpan w:val="5"/>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7EAE51E9">
            <w:pPr>
              <w:pStyle w:val="8"/>
              <w:suppressLineNumbers w:val="0"/>
              <w:bidi w:val="0"/>
              <w:spacing w:before="0" w:beforeAutospacing="0" w:after="0" w:afterAutospacing="0"/>
              <w:ind w:left="0" w:right="0"/>
              <w:rPr>
                <w:rFonts w:hint="default"/>
                <w:highlight w:val="none"/>
              </w:rPr>
            </w:pPr>
            <w:r>
              <w:rPr>
                <w:rFonts w:hint="default"/>
                <w:highlight w:val="none"/>
              </w:rPr>
              <w:t>一级□</w:t>
            </w:r>
          </w:p>
        </w:tc>
        <w:tc>
          <w:tcPr>
            <w:tcW w:w="1327" w:type="dxa"/>
            <w:gridSpan w:val="3"/>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3BBE8B8F">
            <w:pPr>
              <w:pStyle w:val="8"/>
              <w:suppressLineNumbers w:val="0"/>
              <w:bidi w:val="0"/>
              <w:spacing w:before="0" w:beforeAutospacing="0" w:after="0" w:afterAutospacing="0"/>
              <w:ind w:left="0" w:right="0"/>
              <w:rPr>
                <w:rFonts w:hint="default"/>
                <w:highlight w:val="none"/>
              </w:rPr>
            </w:pPr>
            <w:r>
              <w:rPr>
                <w:rFonts w:hint="default"/>
                <w:highlight w:val="none"/>
              </w:rPr>
              <w:t>二级□</w:t>
            </w:r>
          </w:p>
        </w:tc>
        <w:tc>
          <w:tcPr>
            <w:tcW w:w="1328" w:type="dxa"/>
            <w:gridSpan w:val="5"/>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37C1213D">
            <w:pPr>
              <w:pStyle w:val="8"/>
              <w:suppressLineNumbers w:val="0"/>
              <w:bidi w:val="0"/>
              <w:spacing w:before="0" w:beforeAutospacing="0" w:after="0" w:afterAutospacing="0"/>
              <w:ind w:left="0" w:right="0"/>
              <w:rPr>
                <w:rFonts w:hint="default"/>
                <w:highlight w:val="none"/>
              </w:rPr>
            </w:pPr>
            <w:r>
              <w:rPr>
                <w:rFonts w:hint="default"/>
                <w:highlight w:val="none"/>
              </w:rPr>
              <w:t>三级□</w:t>
            </w:r>
          </w:p>
        </w:tc>
        <w:tc>
          <w:tcPr>
            <w:tcW w:w="1547" w:type="dxa"/>
            <w:gridSpan w:val="2"/>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3BEB9183">
            <w:pPr>
              <w:pStyle w:val="8"/>
              <w:suppressLineNumbers w:val="0"/>
              <w:bidi w:val="0"/>
              <w:spacing w:before="0" w:beforeAutospacing="0" w:after="0" w:afterAutospacing="0"/>
              <w:ind w:left="0" w:right="0"/>
              <w:rPr>
                <w:rFonts w:hint="eastAsia" w:eastAsia="宋体"/>
                <w:highlight w:val="none"/>
                <w:lang w:eastAsia="zh-CN"/>
              </w:rPr>
            </w:pPr>
            <w:r>
              <w:rPr>
                <w:rFonts w:hint="default"/>
                <w:highlight w:val="none"/>
              </w:rPr>
              <w:t>简单分析√</w:t>
            </w:r>
          </w:p>
        </w:tc>
      </w:tr>
      <w:tr w14:paraId="1EF26524">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0" w:hRule="atLeast"/>
          <w:jc w:val="center"/>
        </w:trPr>
        <w:tc>
          <w:tcPr>
            <w:tcW w:w="397" w:type="dxa"/>
            <w:vMerge w:val="restart"/>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300A58CD">
            <w:pPr>
              <w:pStyle w:val="8"/>
              <w:suppressLineNumbers w:val="0"/>
              <w:bidi w:val="0"/>
              <w:spacing w:before="0" w:beforeAutospacing="0" w:after="0" w:afterAutospacing="0"/>
              <w:ind w:left="0" w:right="0"/>
              <w:rPr>
                <w:rFonts w:hint="default"/>
                <w:highlight w:val="none"/>
              </w:rPr>
            </w:pPr>
            <w:r>
              <w:rPr>
                <w:rFonts w:hint="default"/>
                <w:highlight w:val="none"/>
              </w:rPr>
              <w:t>风险识别</w:t>
            </w:r>
          </w:p>
        </w:tc>
        <w:tc>
          <w:tcPr>
            <w:tcW w:w="1188"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06EABBD3">
            <w:pPr>
              <w:pStyle w:val="8"/>
              <w:suppressLineNumbers w:val="0"/>
              <w:bidi w:val="0"/>
              <w:spacing w:before="0" w:beforeAutospacing="0" w:after="0" w:afterAutospacing="0"/>
              <w:ind w:left="0" w:right="0"/>
              <w:rPr>
                <w:rFonts w:hint="default"/>
                <w:highlight w:val="none"/>
              </w:rPr>
            </w:pPr>
            <w:r>
              <w:rPr>
                <w:rFonts w:hint="default"/>
                <w:highlight w:val="none"/>
              </w:rPr>
              <w:t>物质危险性</w:t>
            </w:r>
          </w:p>
        </w:tc>
        <w:tc>
          <w:tcPr>
            <w:tcW w:w="3319" w:type="dxa"/>
            <w:gridSpan w:val="7"/>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022A9E55">
            <w:pPr>
              <w:pStyle w:val="8"/>
              <w:suppressLineNumbers w:val="0"/>
              <w:bidi w:val="0"/>
              <w:spacing w:before="0" w:beforeAutospacing="0" w:after="0" w:afterAutospacing="0"/>
              <w:ind w:left="0" w:right="0"/>
              <w:rPr>
                <w:rFonts w:hint="default"/>
                <w:highlight w:val="none"/>
              </w:rPr>
            </w:pPr>
            <w:r>
              <w:rPr>
                <w:rFonts w:hint="default"/>
                <w:highlight w:val="none"/>
              </w:rPr>
              <w:t>有毒有害√</w:t>
            </w:r>
          </w:p>
        </w:tc>
        <w:tc>
          <w:tcPr>
            <w:tcW w:w="3538" w:type="dxa"/>
            <w:gridSpan w:val="8"/>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43E62B53">
            <w:pPr>
              <w:pStyle w:val="8"/>
              <w:suppressLineNumbers w:val="0"/>
              <w:bidi w:val="0"/>
              <w:spacing w:before="0" w:beforeAutospacing="0" w:after="0" w:afterAutospacing="0"/>
              <w:ind w:left="0" w:right="0"/>
              <w:rPr>
                <w:rFonts w:hint="default"/>
                <w:highlight w:val="none"/>
              </w:rPr>
            </w:pPr>
            <w:r>
              <w:rPr>
                <w:rFonts w:hint="default"/>
                <w:highlight w:val="none"/>
              </w:rPr>
              <w:t>易燃易爆□</w:t>
            </w:r>
          </w:p>
        </w:tc>
      </w:tr>
      <w:tr w14:paraId="26F45293">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0" w:hRule="atLeast"/>
          <w:jc w:val="center"/>
        </w:trPr>
        <w:tc>
          <w:tcPr>
            <w:tcW w:w="39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09646C90">
            <w:pPr>
              <w:pStyle w:val="8"/>
              <w:suppressLineNumbers w:val="0"/>
              <w:bidi w:val="0"/>
              <w:spacing w:before="0" w:beforeAutospacing="0" w:after="0" w:afterAutospacing="0"/>
              <w:ind w:left="0" w:right="0"/>
              <w:rPr>
                <w:rFonts w:hint="default"/>
                <w:highlight w:val="none"/>
              </w:rPr>
            </w:pPr>
          </w:p>
        </w:tc>
        <w:tc>
          <w:tcPr>
            <w:tcW w:w="1188"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40126C3B">
            <w:pPr>
              <w:pStyle w:val="8"/>
              <w:suppressLineNumbers w:val="0"/>
              <w:bidi w:val="0"/>
              <w:spacing w:before="0" w:beforeAutospacing="0" w:after="0" w:afterAutospacing="0"/>
              <w:ind w:left="0" w:right="0"/>
              <w:rPr>
                <w:rFonts w:hint="default"/>
                <w:highlight w:val="none"/>
              </w:rPr>
            </w:pPr>
            <w:r>
              <w:rPr>
                <w:rFonts w:hint="default"/>
                <w:highlight w:val="none"/>
              </w:rPr>
              <w:t>环境风险类型</w:t>
            </w:r>
          </w:p>
        </w:tc>
        <w:tc>
          <w:tcPr>
            <w:tcW w:w="3319" w:type="dxa"/>
            <w:gridSpan w:val="7"/>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6AADF0DB">
            <w:pPr>
              <w:pStyle w:val="8"/>
              <w:suppressLineNumbers w:val="0"/>
              <w:bidi w:val="0"/>
              <w:spacing w:before="0" w:beforeAutospacing="0" w:after="0" w:afterAutospacing="0"/>
              <w:ind w:left="0" w:right="0"/>
              <w:rPr>
                <w:rFonts w:hint="default"/>
                <w:highlight w:val="none"/>
              </w:rPr>
            </w:pPr>
            <w:r>
              <w:rPr>
                <w:rFonts w:hint="default"/>
                <w:highlight w:val="none"/>
              </w:rPr>
              <w:t>泄漏√</w:t>
            </w:r>
          </w:p>
        </w:tc>
        <w:tc>
          <w:tcPr>
            <w:tcW w:w="3538" w:type="dxa"/>
            <w:gridSpan w:val="8"/>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7CEAD1D8">
            <w:pPr>
              <w:pStyle w:val="8"/>
              <w:suppressLineNumbers w:val="0"/>
              <w:bidi w:val="0"/>
              <w:spacing w:before="0" w:beforeAutospacing="0" w:after="0" w:afterAutospacing="0"/>
              <w:ind w:left="0" w:right="0"/>
              <w:rPr>
                <w:rFonts w:hint="default"/>
                <w:highlight w:val="none"/>
              </w:rPr>
            </w:pPr>
            <w:r>
              <w:rPr>
                <w:rFonts w:hint="default"/>
                <w:highlight w:val="none"/>
              </w:rPr>
              <w:t>火灾、爆炸引发伴生/次生污染物排放□</w:t>
            </w:r>
          </w:p>
        </w:tc>
      </w:tr>
      <w:tr w14:paraId="08635596">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0" w:hRule="atLeast"/>
          <w:jc w:val="center"/>
        </w:trPr>
        <w:tc>
          <w:tcPr>
            <w:tcW w:w="39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238901BE">
            <w:pPr>
              <w:pStyle w:val="8"/>
              <w:suppressLineNumbers w:val="0"/>
              <w:bidi w:val="0"/>
              <w:spacing w:before="0" w:beforeAutospacing="0" w:after="0" w:afterAutospacing="0"/>
              <w:ind w:left="0" w:right="0"/>
              <w:rPr>
                <w:rFonts w:hint="default"/>
                <w:highlight w:val="none"/>
              </w:rPr>
            </w:pPr>
          </w:p>
        </w:tc>
        <w:tc>
          <w:tcPr>
            <w:tcW w:w="1188"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1A466A6B">
            <w:pPr>
              <w:pStyle w:val="8"/>
              <w:suppressLineNumbers w:val="0"/>
              <w:bidi w:val="0"/>
              <w:spacing w:before="0" w:beforeAutospacing="0" w:after="0" w:afterAutospacing="0"/>
              <w:ind w:left="0" w:right="0"/>
              <w:rPr>
                <w:rFonts w:hint="default"/>
                <w:highlight w:val="none"/>
              </w:rPr>
            </w:pPr>
            <w:r>
              <w:rPr>
                <w:rFonts w:hint="default"/>
                <w:highlight w:val="none"/>
              </w:rPr>
              <w:t>影响途径</w:t>
            </w:r>
          </w:p>
        </w:tc>
        <w:tc>
          <w:tcPr>
            <w:tcW w:w="2212" w:type="dxa"/>
            <w:gridSpan w:val="4"/>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7E842649">
            <w:pPr>
              <w:pStyle w:val="8"/>
              <w:suppressLineNumbers w:val="0"/>
              <w:bidi w:val="0"/>
              <w:spacing w:before="0" w:beforeAutospacing="0" w:after="0" w:afterAutospacing="0"/>
              <w:ind w:left="0" w:right="0"/>
              <w:rPr>
                <w:rFonts w:hint="default"/>
                <w:highlight w:val="none"/>
              </w:rPr>
            </w:pPr>
            <w:r>
              <w:rPr>
                <w:rFonts w:hint="default"/>
                <w:highlight w:val="none"/>
              </w:rPr>
              <w:t>大气□</w:t>
            </w:r>
          </w:p>
        </w:tc>
        <w:tc>
          <w:tcPr>
            <w:tcW w:w="2212" w:type="dxa"/>
            <w:gridSpan w:val="6"/>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2E20E88A">
            <w:pPr>
              <w:pStyle w:val="8"/>
              <w:suppressLineNumbers w:val="0"/>
              <w:bidi w:val="0"/>
              <w:spacing w:before="0" w:beforeAutospacing="0" w:after="0" w:afterAutospacing="0"/>
              <w:ind w:left="0" w:right="0"/>
              <w:rPr>
                <w:rFonts w:hint="default"/>
                <w:highlight w:val="none"/>
              </w:rPr>
            </w:pPr>
            <w:r>
              <w:rPr>
                <w:rFonts w:hint="default"/>
                <w:highlight w:val="none"/>
              </w:rPr>
              <w:t>地表水□</w:t>
            </w:r>
          </w:p>
        </w:tc>
        <w:tc>
          <w:tcPr>
            <w:tcW w:w="2433" w:type="dxa"/>
            <w:gridSpan w:val="5"/>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3143250F">
            <w:pPr>
              <w:pStyle w:val="8"/>
              <w:suppressLineNumbers w:val="0"/>
              <w:bidi w:val="0"/>
              <w:spacing w:before="0" w:beforeAutospacing="0" w:after="0" w:afterAutospacing="0"/>
              <w:ind w:left="0" w:right="0"/>
              <w:rPr>
                <w:rFonts w:hint="default"/>
                <w:highlight w:val="none"/>
              </w:rPr>
            </w:pPr>
            <w:r>
              <w:rPr>
                <w:rFonts w:hint="default"/>
                <w:highlight w:val="none"/>
              </w:rPr>
              <w:t>地下水√</w:t>
            </w:r>
          </w:p>
        </w:tc>
      </w:tr>
      <w:tr w14:paraId="29C67F7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0" w:hRule="atLeast"/>
          <w:jc w:val="center"/>
        </w:trPr>
        <w:tc>
          <w:tcPr>
            <w:tcW w:w="1585" w:type="dxa"/>
            <w:gridSpan w:val="2"/>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4CCFD6A4">
            <w:pPr>
              <w:pStyle w:val="8"/>
              <w:suppressLineNumbers w:val="0"/>
              <w:bidi w:val="0"/>
              <w:spacing w:before="0" w:beforeAutospacing="0" w:after="0" w:afterAutospacing="0"/>
              <w:ind w:left="0" w:right="0"/>
              <w:rPr>
                <w:rFonts w:hint="default"/>
                <w:highlight w:val="none"/>
              </w:rPr>
            </w:pPr>
            <w:r>
              <w:rPr>
                <w:rFonts w:hint="default"/>
                <w:highlight w:val="none"/>
              </w:rPr>
              <w:t>事故情形分析</w:t>
            </w:r>
          </w:p>
        </w:tc>
        <w:tc>
          <w:tcPr>
            <w:tcW w:w="1659" w:type="dxa"/>
            <w:gridSpan w:val="3"/>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70FAA4A7">
            <w:pPr>
              <w:pStyle w:val="8"/>
              <w:suppressLineNumbers w:val="0"/>
              <w:bidi w:val="0"/>
              <w:spacing w:before="0" w:beforeAutospacing="0" w:after="0" w:afterAutospacing="0"/>
              <w:ind w:left="0" w:right="0"/>
              <w:rPr>
                <w:rFonts w:hint="default"/>
                <w:highlight w:val="none"/>
              </w:rPr>
            </w:pPr>
            <w:r>
              <w:rPr>
                <w:rFonts w:hint="default"/>
                <w:highlight w:val="none"/>
              </w:rPr>
              <w:t>源强设定方法</w:t>
            </w:r>
          </w:p>
        </w:tc>
        <w:tc>
          <w:tcPr>
            <w:tcW w:w="1660" w:type="dxa"/>
            <w:gridSpan w:val="4"/>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20B13F6D">
            <w:pPr>
              <w:pStyle w:val="8"/>
              <w:suppressLineNumbers w:val="0"/>
              <w:bidi w:val="0"/>
              <w:spacing w:before="0" w:beforeAutospacing="0" w:after="0" w:afterAutospacing="0"/>
              <w:ind w:left="0" w:right="0"/>
              <w:rPr>
                <w:rFonts w:hint="default"/>
                <w:highlight w:val="none"/>
              </w:rPr>
            </w:pPr>
            <w:r>
              <w:rPr>
                <w:rFonts w:hint="default"/>
                <w:highlight w:val="none"/>
              </w:rPr>
              <w:t>计算法□</w:t>
            </w:r>
          </w:p>
        </w:tc>
        <w:tc>
          <w:tcPr>
            <w:tcW w:w="1659" w:type="dxa"/>
            <w:gridSpan w:val="5"/>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55B77EFF">
            <w:pPr>
              <w:pStyle w:val="8"/>
              <w:suppressLineNumbers w:val="0"/>
              <w:bidi w:val="0"/>
              <w:spacing w:before="0" w:beforeAutospacing="0" w:after="0" w:afterAutospacing="0"/>
              <w:ind w:left="0" w:right="0"/>
              <w:rPr>
                <w:rFonts w:hint="default"/>
                <w:highlight w:val="none"/>
              </w:rPr>
            </w:pPr>
            <w:r>
              <w:rPr>
                <w:rFonts w:hint="default"/>
                <w:highlight w:val="none"/>
              </w:rPr>
              <w:t>经验估算法□</w:t>
            </w:r>
          </w:p>
        </w:tc>
        <w:tc>
          <w:tcPr>
            <w:tcW w:w="1879" w:type="dxa"/>
            <w:gridSpan w:val="3"/>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13EC7471">
            <w:pPr>
              <w:pStyle w:val="8"/>
              <w:suppressLineNumbers w:val="0"/>
              <w:bidi w:val="0"/>
              <w:spacing w:before="0" w:beforeAutospacing="0" w:after="0" w:afterAutospacing="0"/>
              <w:ind w:left="0" w:right="0"/>
              <w:rPr>
                <w:rFonts w:hint="default"/>
                <w:highlight w:val="none"/>
              </w:rPr>
            </w:pPr>
            <w:r>
              <w:rPr>
                <w:rFonts w:hint="default"/>
                <w:highlight w:val="none"/>
              </w:rPr>
              <w:t>其他估算法□</w:t>
            </w:r>
          </w:p>
        </w:tc>
      </w:tr>
      <w:tr w14:paraId="323797EE">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0" w:hRule="atLeast"/>
          <w:jc w:val="center"/>
        </w:trPr>
        <w:tc>
          <w:tcPr>
            <w:tcW w:w="397" w:type="dxa"/>
            <w:vMerge w:val="restart"/>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2F010AB9">
            <w:pPr>
              <w:pStyle w:val="8"/>
              <w:suppressLineNumbers w:val="0"/>
              <w:bidi w:val="0"/>
              <w:spacing w:before="0" w:beforeAutospacing="0" w:after="0" w:afterAutospacing="0"/>
              <w:ind w:left="0" w:right="0"/>
              <w:rPr>
                <w:rFonts w:hint="default"/>
                <w:highlight w:val="none"/>
              </w:rPr>
            </w:pPr>
            <w:r>
              <w:rPr>
                <w:rFonts w:hint="default"/>
                <w:highlight w:val="none"/>
              </w:rPr>
              <w:t>风险预测与评价</w:t>
            </w:r>
          </w:p>
        </w:tc>
        <w:tc>
          <w:tcPr>
            <w:tcW w:w="1188" w:type="dxa"/>
            <w:vMerge w:val="restart"/>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78CF3F94">
            <w:pPr>
              <w:pStyle w:val="8"/>
              <w:suppressLineNumbers w:val="0"/>
              <w:bidi w:val="0"/>
              <w:spacing w:before="0" w:beforeAutospacing="0" w:after="0" w:afterAutospacing="0"/>
              <w:ind w:left="0" w:right="0"/>
              <w:rPr>
                <w:rFonts w:hint="default"/>
                <w:highlight w:val="none"/>
              </w:rPr>
            </w:pPr>
            <w:r>
              <w:rPr>
                <w:rFonts w:hint="default"/>
                <w:highlight w:val="none"/>
              </w:rPr>
              <w:t>大气</w:t>
            </w:r>
          </w:p>
        </w:tc>
        <w:tc>
          <w:tcPr>
            <w:tcW w:w="1659" w:type="dxa"/>
            <w:gridSpan w:val="3"/>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7E4D38DA">
            <w:pPr>
              <w:pStyle w:val="8"/>
              <w:suppressLineNumbers w:val="0"/>
              <w:bidi w:val="0"/>
              <w:spacing w:before="0" w:beforeAutospacing="0" w:after="0" w:afterAutospacing="0"/>
              <w:ind w:left="0" w:right="0"/>
              <w:rPr>
                <w:rFonts w:hint="default"/>
                <w:highlight w:val="none"/>
              </w:rPr>
            </w:pPr>
            <w:r>
              <w:rPr>
                <w:rFonts w:hint="default"/>
                <w:highlight w:val="none"/>
              </w:rPr>
              <w:t>预测模型</w:t>
            </w:r>
          </w:p>
        </w:tc>
        <w:tc>
          <w:tcPr>
            <w:tcW w:w="1660" w:type="dxa"/>
            <w:gridSpan w:val="4"/>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246415F5">
            <w:pPr>
              <w:pStyle w:val="8"/>
              <w:suppressLineNumbers w:val="0"/>
              <w:bidi w:val="0"/>
              <w:spacing w:before="0" w:beforeAutospacing="0" w:after="0" w:afterAutospacing="0"/>
              <w:ind w:left="0" w:right="0"/>
              <w:rPr>
                <w:rFonts w:hint="default"/>
                <w:highlight w:val="none"/>
              </w:rPr>
            </w:pPr>
            <w:r>
              <w:rPr>
                <w:rFonts w:hint="default"/>
                <w:highlight w:val="none"/>
              </w:rPr>
              <w:t>SLAB□</w:t>
            </w:r>
          </w:p>
        </w:tc>
        <w:tc>
          <w:tcPr>
            <w:tcW w:w="1659" w:type="dxa"/>
            <w:gridSpan w:val="5"/>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7203A071">
            <w:pPr>
              <w:pStyle w:val="8"/>
              <w:suppressLineNumbers w:val="0"/>
              <w:bidi w:val="0"/>
              <w:spacing w:before="0" w:beforeAutospacing="0" w:after="0" w:afterAutospacing="0"/>
              <w:ind w:left="0" w:right="0"/>
              <w:rPr>
                <w:rFonts w:hint="default"/>
                <w:highlight w:val="none"/>
              </w:rPr>
            </w:pPr>
            <w:r>
              <w:rPr>
                <w:rFonts w:hint="default"/>
                <w:highlight w:val="none"/>
              </w:rPr>
              <w:t>AFTOX√</w:t>
            </w:r>
          </w:p>
        </w:tc>
        <w:tc>
          <w:tcPr>
            <w:tcW w:w="1879" w:type="dxa"/>
            <w:gridSpan w:val="3"/>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7347D803">
            <w:pPr>
              <w:pStyle w:val="8"/>
              <w:suppressLineNumbers w:val="0"/>
              <w:bidi w:val="0"/>
              <w:spacing w:before="0" w:beforeAutospacing="0" w:after="0" w:afterAutospacing="0"/>
              <w:ind w:left="0" w:right="0"/>
              <w:rPr>
                <w:rFonts w:hint="default"/>
                <w:highlight w:val="none"/>
              </w:rPr>
            </w:pPr>
            <w:r>
              <w:rPr>
                <w:rFonts w:hint="default"/>
                <w:highlight w:val="none"/>
              </w:rPr>
              <w:t>其他□</w:t>
            </w:r>
          </w:p>
        </w:tc>
      </w:tr>
      <w:tr w14:paraId="776C9999">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0" w:hRule="atLeast"/>
          <w:jc w:val="center"/>
        </w:trPr>
        <w:tc>
          <w:tcPr>
            <w:tcW w:w="39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2B650580">
            <w:pPr>
              <w:pStyle w:val="8"/>
              <w:suppressLineNumbers w:val="0"/>
              <w:bidi w:val="0"/>
              <w:spacing w:before="0" w:beforeAutospacing="0" w:after="0" w:afterAutospacing="0"/>
              <w:ind w:left="0" w:right="0"/>
              <w:rPr>
                <w:rFonts w:hint="default"/>
                <w:highlight w:val="none"/>
              </w:rPr>
            </w:pPr>
          </w:p>
        </w:tc>
        <w:tc>
          <w:tcPr>
            <w:tcW w:w="1188"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55B0E915">
            <w:pPr>
              <w:pStyle w:val="8"/>
              <w:suppressLineNumbers w:val="0"/>
              <w:bidi w:val="0"/>
              <w:spacing w:before="0" w:beforeAutospacing="0" w:after="0" w:afterAutospacing="0"/>
              <w:ind w:left="0" w:right="0"/>
              <w:rPr>
                <w:rFonts w:hint="default"/>
                <w:highlight w:val="none"/>
              </w:rPr>
            </w:pPr>
          </w:p>
        </w:tc>
        <w:tc>
          <w:tcPr>
            <w:tcW w:w="1659" w:type="dxa"/>
            <w:gridSpan w:val="3"/>
            <w:vMerge w:val="restart"/>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11C5E4AE">
            <w:pPr>
              <w:pStyle w:val="8"/>
              <w:suppressLineNumbers w:val="0"/>
              <w:bidi w:val="0"/>
              <w:spacing w:before="0" w:beforeAutospacing="0" w:after="0" w:afterAutospacing="0"/>
              <w:ind w:left="0" w:right="0"/>
              <w:rPr>
                <w:rFonts w:hint="default"/>
                <w:highlight w:val="none"/>
              </w:rPr>
            </w:pPr>
            <w:r>
              <w:rPr>
                <w:rFonts w:hint="default"/>
                <w:highlight w:val="none"/>
              </w:rPr>
              <w:t>预测结果</w:t>
            </w:r>
          </w:p>
        </w:tc>
        <w:tc>
          <w:tcPr>
            <w:tcW w:w="5198" w:type="dxa"/>
            <w:gridSpan w:val="12"/>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2A15DCE4">
            <w:pPr>
              <w:pStyle w:val="8"/>
              <w:suppressLineNumbers w:val="0"/>
              <w:bidi w:val="0"/>
              <w:spacing w:before="0" w:beforeAutospacing="0" w:after="0" w:afterAutospacing="0"/>
              <w:ind w:left="0" w:right="0"/>
              <w:rPr>
                <w:rFonts w:hint="default"/>
                <w:highlight w:val="none"/>
              </w:rPr>
            </w:pPr>
            <w:r>
              <w:rPr>
                <w:rFonts w:hint="default"/>
                <w:highlight w:val="none"/>
              </w:rPr>
              <w:t>大气毒性终点浓度-1最大影响范围m</w:t>
            </w:r>
          </w:p>
        </w:tc>
      </w:tr>
      <w:tr w14:paraId="66865751">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0" w:hRule="atLeast"/>
          <w:jc w:val="center"/>
        </w:trPr>
        <w:tc>
          <w:tcPr>
            <w:tcW w:w="39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43B3ECC6">
            <w:pPr>
              <w:pStyle w:val="8"/>
              <w:suppressLineNumbers w:val="0"/>
              <w:bidi w:val="0"/>
              <w:spacing w:before="0" w:beforeAutospacing="0" w:after="0" w:afterAutospacing="0"/>
              <w:ind w:left="0" w:right="0"/>
              <w:rPr>
                <w:rFonts w:hint="default"/>
                <w:highlight w:val="none"/>
              </w:rPr>
            </w:pPr>
          </w:p>
        </w:tc>
        <w:tc>
          <w:tcPr>
            <w:tcW w:w="1188"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12B21F67">
            <w:pPr>
              <w:pStyle w:val="8"/>
              <w:suppressLineNumbers w:val="0"/>
              <w:bidi w:val="0"/>
              <w:spacing w:before="0" w:beforeAutospacing="0" w:after="0" w:afterAutospacing="0"/>
              <w:ind w:left="0" w:right="0"/>
              <w:rPr>
                <w:rFonts w:hint="default"/>
                <w:highlight w:val="none"/>
              </w:rPr>
            </w:pPr>
          </w:p>
        </w:tc>
        <w:tc>
          <w:tcPr>
            <w:tcW w:w="1659" w:type="dxa"/>
            <w:gridSpan w:val="3"/>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1491C4CC">
            <w:pPr>
              <w:pStyle w:val="8"/>
              <w:suppressLineNumbers w:val="0"/>
              <w:bidi w:val="0"/>
              <w:spacing w:before="0" w:beforeAutospacing="0" w:after="0" w:afterAutospacing="0"/>
              <w:ind w:left="0" w:right="0"/>
              <w:rPr>
                <w:rFonts w:hint="default"/>
                <w:highlight w:val="none"/>
              </w:rPr>
            </w:pPr>
          </w:p>
        </w:tc>
        <w:tc>
          <w:tcPr>
            <w:tcW w:w="5198" w:type="dxa"/>
            <w:gridSpan w:val="12"/>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242B3AE9">
            <w:pPr>
              <w:pStyle w:val="8"/>
              <w:suppressLineNumbers w:val="0"/>
              <w:bidi w:val="0"/>
              <w:spacing w:before="0" w:beforeAutospacing="0" w:after="0" w:afterAutospacing="0"/>
              <w:ind w:left="0" w:right="0"/>
              <w:rPr>
                <w:rFonts w:hint="default"/>
                <w:highlight w:val="none"/>
              </w:rPr>
            </w:pPr>
            <w:r>
              <w:rPr>
                <w:rFonts w:hint="default"/>
                <w:highlight w:val="none"/>
              </w:rPr>
              <w:t>大气毒性终点浓度-2最大影响范围m</w:t>
            </w:r>
          </w:p>
        </w:tc>
      </w:tr>
      <w:tr w14:paraId="0B6B0B3B">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0" w:hRule="atLeast"/>
          <w:jc w:val="center"/>
        </w:trPr>
        <w:tc>
          <w:tcPr>
            <w:tcW w:w="39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130CA12C">
            <w:pPr>
              <w:pStyle w:val="8"/>
              <w:suppressLineNumbers w:val="0"/>
              <w:bidi w:val="0"/>
              <w:spacing w:before="0" w:beforeAutospacing="0" w:after="0" w:afterAutospacing="0"/>
              <w:ind w:left="0" w:right="0"/>
              <w:rPr>
                <w:rFonts w:hint="default"/>
                <w:highlight w:val="none"/>
              </w:rPr>
            </w:pPr>
          </w:p>
        </w:tc>
        <w:tc>
          <w:tcPr>
            <w:tcW w:w="1188" w:type="dxa"/>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4DD2B6F2">
            <w:pPr>
              <w:pStyle w:val="8"/>
              <w:suppressLineNumbers w:val="0"/>
              <w:bidi w:val="0"/>
              <w:spacing w:before="0" w:beforeAutospacing="0" w:after="0" w:afterAutospacing="0"/>
              <w:ind w:left="0" w:right="0"/>
              <w:rPr>
                <w:rFonts w:hint="default"/>
                <w:highlight w:val="none"/>
              </w:rPr>
            </w:pPr>
            <w:r>
              <w:rPr>
                <w:rFonts w:hint="default"/>
                <w:highlight w:val="none"/>
              </w:rPr>
              <w:t>地表水</w:t>
            </w:r>
          </w:p>
        </w:tc>
        <w:tc>
          <w:tcPr>
            <w:tcW w:w="6857" w:type="dxa"/>
            <w:gridSpan w:val="15"/>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5730F5FD">
            <w:pPr>
              <w:pStyle w:val="8"/>
              <w:suppressLineNumbers w:val="0"/>
              <w:bidi w:val="0"/>
              <w:spacing w:before="0" w:beforeAutospacing="0" w:after="0" w:afterAutospacing="0"/>
              <w:ind w:left="0" w:right="0"/>
              <w:rPr>
                <w:rFonts w:hint="default"/>
                <w:highlight w:val="none"/>
              </w:rPr>
            </w:pPr>
            <w:r>
              <w:rPr>
                <w:rFonts w:hint="default"/>
                <w:highlight w:val="none"/>
              </w:rPr>
              <w:t>最近环境敏感目标，到达时间h</w:t>
            </w:r>
          </w:p>
        </w:tc>
      </w:tr>
      <w:tr w14:paraId="6B6264A9">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0" w:hRule="atLeast"/>
          <w:jc w:val="center"/>
        </w:trPr>
        <w:tc>
          <w:tcPr>
            <w:tcW w:w="39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27D6B7AF">
            <w:pPr>
              <w:pStyle w:val="8"/>
              <w:suppressLineNumbers w:val="0"/>
              <w:bidi w:val="0"/>
              <w:spacing w:before="0" w:beforeAutospacing="0" w:after="0" w:afterAutospacing="0"/>
              <w:ind w:left="0" w:right="0"/>
              <w:rPr>
                <w:rFonts w:hint="default"/>
                <w:highlight w:val="none"/>
              </w:rPr>
            </w:pPr>
          </w:p>
        </w:tc>
        <w:tc>
          <w:tcPr>
            <w:tcW w:w="1188" w:type="dxa"/>
            <w:vMerge w:val="restart"/>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1C822852">
            <w:pPr>
              <w:pStyle w:val="8"/>
              <w:suppressLineNumbers w:val="0"/>
              <w:bidi w:val="0"/>
              <w:spacing w:before="0" w:beforeAutospacing="0" w:after="0" w:afterAutospacing="0"/>
              <w:ind w:left="0" w:right="0"/>
              <w:rPr>
                <w:rFonts w:hint="default"/>
                <w:highlight w:val="none"/>
              </w:rPr>
            </w:pPr>
            <w:r>
              <w:rPr>
                <w:rFonts w:hint="default"/>
                <w:highlight w:val="none"/>
              </w:rPr>
              <w:t>地下水</w:t>
            </w:r>
          </w:p>
        </w:tc>
        <w:tc>
          <w:tcPr>
            <w:tcW w:w="6857" w:type="dxa"/>
            <w:gridSpan w:val="15"/>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4089B03F">
            <w:pPr>
              <w:pStyle w:val="8"/>
              <w:suppressLineNumbers w:val="0"/>
              <w:bidi w:val="0"/>
              <w:spacing w:before="0" w:beforeAutospacing="0" w:after="0" w:afterAutospacing="0"/>
              <w:ind w:left="0" w:right="0"/>
              <w:rPr>
                <w:rFonts w:hint="default"/>
                <w:highlight w:val="none"/>
              </w:rPr>
            </w:pPr>
            <w:r>
              <w:rPr>
                <w:rFonts w:hint="default"/>
                <w:highlight w:val="none"/>
              </w:rPr>
              <w:t>下游厂区边界到达时间</w:t>
            </w:r>
            <w:r>
              <w:rPr>
                <w:rFonts w:hint="eastAsia"/>
                <w:highlight w:val="none"/>
              </w:rPr>
              <w:t>d</w:t>
            </w:r>
          </w:p>
        </w:tc>
      </w:tr>
      <w:tr w14:paraId="4823F922">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0" w:hRule="atLeast"/>
          <w:jc w:val="center"/>
        </w:trPr>
        <w:tc>
          <w:tcPr>
            <w:tcW w:w="397" w:type="dxa"/>
            <w:vMerge w:val="continue"/>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6F82DC6A">
            <w:pPr>
              <w:pStyle w:val="8"/>
              <w:suppressLineNumbers w:val="0"/>
              <w:bidi w:val="0"/>
              <w:spacing w:before="0" w:beforeAutospacing="0" w:after="0" w:afterAutospacing="0"/>
              <w:ind w:left="0" w:right="0"/>
              <w:rPr>
                <w:rFonts w:hint="default"/>
                <w:highlight w:val="none"/>
              </w:rPr>
            </w:pPr>
          </w:p>
        </w:tc>
        <w:tc>
          <w:tcPr>
            <w:tcW w:w="1188" w:type="dxa"/>
            <w:vMerge w:val="continue"/>
            <w:tcBorders>
              <w:top w:val="single" w:color="000000" w:themeColor="text1" w:sz="6" w:space="0"/>
              <w:left w:val="single" w:color="000000" w:themeColor="text1" w:sz="6" w:space="0"/>
              <w:bottom w:val="single" w:color="000000" w:themeColor="text1" w:sz="6" w:space="0"/>
              <w:right w:val="single" w:color="000000" w:themeColor="text1" w:sz="6" w:space="0"/>
            </w:tcBorders>
            <w:vAlign w:val="center"/>
          </w:tcPr>
          <w:p w14:paraId="17E855DC">
            <w:pPr>
              <w:pStyle w:val="8"/>
              <w:suppressLineNumbers w:val="0"/>
              <w:bidi w:val="0"/>
              <w:spacing w:before="0" w:beforeAutospacing="0" w:after="0" w:afterAutospacing="0"/>
              <w:ind w:left="0" w:right="0"/>
              <w:rPr>
                <w:rFonts w:hint="default"/>
                <w:highlight w:val="none"/>
              </w:rPr>
            </w:pPr>
          </w:p>
        </w:tc>
        <w:tc>
          <w:tcPr>
            <w:tcW w:w="6857" w:type="dxa"/>
            <w:gridSpan w:val="15"/>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7112F0BC">
            <w:pPr>
              <w:pStyle w:val="8"/>
              <w:suppressLineNumbers w:val="0"/>
              <w:bidi w:val="0"/>
              <w:spacing w:before="0" w:beforeAutospacing="0" w:after="0" w:afterAutospacing="0"/>
              <w:ind w:left="0" w:right="0"/>
              <w:rPr>
                <w:rFonts w:hint="default"/>
                <w:highlight w:val="none"/>
              </w:rPr>
            </w:pPr>
            <w:r>
              <w:rPr>
                <w:rFonts w:hint="default"/>
                <w:highlight w:val="none"/>
              </w:rPr>
              <w:t>最近环境敏感目标</w:t>
            </w:r>
            <w:r>
              <w:rPr>
                <w:rFonts w:hint="eastAsia"/>
                <w:highlight w:val="none"/>
                <w:u w:val="single"/>
                <w:lang w:val="en-US" w:eastAsia="zh-CN"/>
              </w:rPr>
              <w:t>/</w:t>
            </w:r>
            <w:r>
              <w:rPr>
                <w:rFonts w:hint="default"/>
                <w:highlight w:val="none"/>
              </w:rPr>
              <w:t>，到达时间</w:t>
            </w:r>
            <w:r>
              <w:rPr>
                <w:rFonts w:hint="eastAsia"/>
                <w:highlight w:val="none"/>
                <w:u w:val="single"/>
                <w:lang w:val="en-US" w:eastAsia="zh-CN"/>
              </w:rPr>
              <w:t>/</w:t>
            </w:r>
            <w:r>
              <w:rPr>
                <w:rFonts w:hint="eastAsia"/>
                <w:highlight w:val="none"/>
              </w:rPr>
              <w:t>d</w:t>
            </w:r>
          </w:p>
        </w:tc>
      </w:tr>
      <w:tr w14:paraId="5D9D6A97">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0" w:hRule="atLeast"/>
          <w:jc w:val="center"/>
        </w:trPr>
        <w:tc>
          <w:tcPr>
            <w:tcW w:w="1585" w:type="dxa"/>
            <w:gridSpan w:val="2"/>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0B5EFCCF">
            <w:pPr>
              <w:pStyle w:val="8"/>
              <w:suppressLineNumbers w:val="0"/>
              <w:bidi w:val="0"/>
              <w:spacing w:before="0" w:beforeAutospacing="0" w:after="0" w:afterAutospacing="0"/>
              <w:ind w:left="0" w:right="0"/>
              <w:rPr>
                <w:rFonts w:hint="default"/>
                <w:highlight w:val="none"/>
              </w:rPr>
            </w:pPr>
            <w:r>
              <w:rPr>
                <w:rFonts w:hint="default"/>
                <w:highlight w:val="none"/>
              </w:rPr>
              <w:t>重点风险防范措施</w:t>
            </w:r>
          </w:p>
        </w:tc>
        <w:tc>
          <w:tcPr>
            <w:tcW w:w="6857" w:type="dxa"/>
            <w:gridSpan w:val="15"/>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19DE0D69">
            <w:pPr>
              <w:pStyle w:val="8"/>
              <w:suppressLineNumbers w:val="0"/>
              <w:bidi w:val="0"/>
              <w:spacing w:before="0" w:beforeAutospacing="0" w:after="0" w:afterAutospacing="0"/>
              <w:ind w:left="0" w:right="0"/>
              <w:jc w:val="left"/>
              <w:rPr>
                <w:rFonts w:hint="default"/>
                <w:highlight w:val="none"/>
              </w:rPr>
            </w:pPr>
            <w:r>
              <w:rPr>
                <w:rFonts w:hint="eastAsia"/>
                <w:highlight w:val="none"/>
                <w:lang w:val="en-US" w:eastAsia="zh-CN"/>
              </w:rPr>
              <w:t>1</w:t>
            </w:r>
            <w:r>
              <w:rPr>
                <w:rFonts w:hint="eastAsia"/>
                <w:highlight w:val="none"/>
              </w:rPr>
              <w:t>、地下水环境风险措施</w:t>
            </w:r>
          </w:p>
          <w:p w14:paraId="41FF3250">
            <w:pPr>
              <w:pStyle w:val="8"/>
              <w:suppressLineNumbers w:val="0"/>
              <w:bidi w:val="0"/>
              <w:spacing w:before="0" w:beforeAutospacing="0" w:after="0" w:afterAutospacing="0"/>
              <w:ind w:left="0" w:right="0"/>
              <w:jc w:val="left"/>
              <w:rPr>
                <w:rFonts w:hint="default"/>
                <w:highlight w:val="none"/>
              </w:rPr>
            </w:pPr>
            <w:r>
              <w:rPr>
                <w:rFonts w:hint="eastAsia"/>
                <w:highlight w:val="none"/>
                <w:lang w:val="en-US" w:eastAsia="zh-CN"/>
              </w:rPr>
              <w:t>原料库、危险废物贮存库</w:t>
            </w:r>
            <w:r>
              <w:rPr>
                <w:rFonts w:hint="eastAsia"/>
                <w:highlight w:val="none"/>
              </w:rPr>
              <w:t>均采用重点防渗，定期对防渗层进行检查，防止出现开裂后依然未处理的情形。设有地下水跟踪监测井，定期监测。</w:t>
            </w:r>
          </w:p>
          <w:p w14:paraId="071B67CD">
            <w:pPr>
              <w:pStyle w:val="8"/>
              <w:suppressLineNumbers w:val="0"/>
              <w:bidi w:val="0"/>
              <w:spacing w:before="0" w:beforeAutospacing="0" w:after="0" w:afterAutospacing="0"/>
              <w:ind w:left="0" w:right="0"/>
              <w:jc w:val="left"/>
              <w:rPr>
                <w:rFonts w:hint="default"/>
                <w:highlight w:val="none"/>
              </w:rPr>
            </w:pPr>
            <w:r>
              <w:rPr>
                <w:rFonts w:hint="eastAsia"/>
                <w:highlight w:val="none"/>
                <w:lang w:val="en-US" w:eastAsia="zh-CN"/>
              </w:rPr>
              <w:t>2</w:t>
            </w:r>
            <w:r>
              <w:rPr>
                <w:rFonts w:hint="eastAsia"/>
                <w:highlight w:val="none"/>
              </w:rPr>
              <w:t>、事故发生后，第一时间委托有资质的监测单位进行应急监测；配备专人看管应急物资，事故发生后及时补充，确保物资充足。</w:t>
            </w:r>
          </w:p>
        </w:tc>
      </w:tr>
      <w:tr w14:paraId="5F9770B0">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0" w:hRule="atLeast"/>
          <w:jc w:val="center"/>
        </w:trPr>
        <w:tc>
          <w:tcPr>
            <w:tcW w:w="1585" w:type="dxa"/>
            <w:gridSpan w:val="2"/>
            <w:tcBorders>
              <w:top w:val="single" w:color="000000" w:themeColor="text1" w:sz="6" w:space="0"/>
              <w:left w:val="single" w:color="000000" w:themeColor="text1" w:sz="12" w:space="0"/>
              <w:bottom w:val="single" w:color="000000" w:themeColor="text1" w:sz="6" w:space="0"/>
              <w:right w:val="single" w:color="000000" w:themeColor="text1" w:sz="6" w:space="0"/>
            </w:tcBorders>
            <w:vAlign w:val="center"/>
          </w:tcPr>
          <w:p w14:paraId="328D53BE">
            <w:pPr>
              <w:pStyle w:val="8"/>
              <w:suppressLineNumbers w:val="0"/>
              <w:bidi w:val="0"/>
              <w:spacing w:before="0" w:beforeAutospacing="0" w:after="0" w:afterAutospacing="0"/>
              <w:ind w:left="0" w:leftChars="0" w:right="0" w:rightChars="0" w:firstLine="0" w:firstLineChars="0"/>
              <w:rPr>
                <w:rFonts w:hint="default"/>
                <w:highlight w:val="none"/>
              </w:rPr>
            </w:pPr>
            <w:r>
              <w:rPr>
                <w:rFonts w:hint="eastAsia"/>
                <w:highlight w:val="none"/>
                <w:lang w:val="en-US" w:eastAsia="zh-CN"/>
              </w:rPr>
              <w:t>评价结论与建议</w:t>
            </w:r>
          </w:p>
        </w:tc>
        <w:tc>
          <w:tcPr>
            <w:tcW w:w="6857" w:type="dxa"/>
            <w:gridSpan w:val="15"/>
            <w:tcBorders>
              <w:top w:val="single" w:color="000000" w:themeColor="text1" w:sz="6" w:space="0"/>
              <w:left w:val="single" w:color="000000" w:themeColor="text1" w:sz="6" w:space="0"/>
              <w:bottom w:val="single" w:color="000000" w:themeColor="text1" w:sz="6" w:space="0"/>
              <w:right w:val="single" w:color="000000" w:themeColor="text1" w:sz="12" w:space="0"/>
            </w:tcBorders>
            <w:vAlign w:val="center"/>
          </w:tcPr>
          <w:p w14:paraId="282729C9">
            <w:pPr>
              <w:pStyle w:val="8"/>
              <w:suppressLineNumbers w:val="0"/>
              <w:bidi w:val="0"/>
              <w:spacing w:before="0" w:beforeAutospacing="0" w:after="0" w:afterAutospacing="0"/>
              <w:ind w:left="0" w:leftChars="0" w:right="0" w:rightChars="0" w:firstLine="0" w:firstLineChars="0"/>
              <w:rPr>
                <w:rFonts w:hint="eastAsia"/>
                <w:highlight w:val="none"/>
                <w:lang w:val="en-US" w:eastAsia="zh-CN"/>
              </w:rPr>
            </w:pPr>
            <w:r>
              <w:rPr>
                <w:rFonts w:hint="eastAsia"/>
                <w:highlight w:val="none"/>
                <w:lang w:val="en-US" w:eastAsia="zh-CN"/>
              </w:rPr>
              <w:t>项目的环境风险达到可接受的水平</w:t>
            </w:r>
          </w:p>
        </w:tc>
      </w:tr>
      <w:tr w14:paraId="71E52BDD">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0" w:hRule="atLeast"/>
          <w:jc w:val="center"/>
        </w:trPr>
        <w:tc>
          <w:tcPr>
            <w:tcW w:w="8442" w:type="dxa"/>
            <w:gridSpan w:val="17"/>
            <w:tcBorders>
              <w:top w:val="single" w:color="000000" w:themeColor="text1" w:sz="6" w:space="0"/>
              <w:left w:val="single" w:color="000000" w:themeColor="text1" w:sz="12" w:space="0"/>
              <w:bottom w:val="single" w:color="auto" w:sz="12" w:space="0"/>
              <w:right w:val="single" w:color="000000" w:themeColor="text1" w:sz="12" w:space="0"/>
            </w:tcBorders>
            <w:vAlign w:val="center"/>
          </w:tcPr>
          <w:p w14:paraId="0604A36E">
            <w:pPr>
              <w:pStyle w:val="8"/>
              <w:suppressLineNumbers w:val="0"/>
              <w:bidi w:val="0"/>
              <w:spacing w:before="0" w:beforeAutospacing="0" w:after="0" w:afterAutospacing="0"/>
              <w:ind w:left="0" w:right="0"/>
              <w:jc w:val="left"/>
              <w:rPr>
                <w:rFonts w:hint="eastAsia"/>
                <w:highlight w:val="none"/>
                <w:lang w:val="en-US" w:eastAsia="zh-CN"/>
              </w:rPr>
            </w:pPr>
            <w:r>
              <w:rPr>
                <w:rFonts w:hint="default"/>
                <w:highlight w:val="none"/>
              </w:rPr>
              <w:t>注：</w:t>
            </w:r>
            <w:r>
              <w:rPr>
                <w:rFonts w:hint="eastAsia"/>
                <w:highlight w:val="none"/>
                <w:lang w:eastAsia="zh-CN"/>
              </w:rPr>
              <w:t>“</w:t>
            </w:r>
            <w:r>
              <w:rPr>
                <w:rFonts w:hint="default"/>
                <w:highlight w:val="none"/>
              </w:rPr>
              <w:t>□</w:t>
            </w:r>
            <w:r>
              <w:rPr>
                <w:rFonts w:hint="eastAsia"/>
                <w:highlight w:val="none"/>
                <w:lang w:eastAsia="zh-CN"/>
              </w:rPr>
              <w:t>”</w:t>
            </w:r>
            <w:r>
              <w:rPr>
                <w:rFonts w:hint="default"/>
                <w:highlight w:val="none"/>
              </w:rPr>
              <w:t>为勾选项，</w:t>
            </w:r>
            <w:r>
              <w:rPr>
                <w:rFonts w:hint="eastAsia"/>
                <w:highlight w:val="none"/>
                <w:lang w:eastAsia="zh-CN"/>
              </w:rPr>
              <w:t>“”</w:t>
            </w:r>
            <w:r>
              <w:rPr>
                <w:rFonts w:hint="default"/>
                <w:highlight w:val="none"/>
              </w:rPr>
              <w:t>为填写项。</w:t>
            </w:r>
          </w:p>
        </w:tc>
      </w:tr>
    </w:tbl>
    <w:p w14:paraId="5A1552C9">
      <w:pPr>
        <w:spacing w:line="360" w:lineRule="auto"/>
        <w:ind w:firstLine="480" w:firstLineChars="200"/>
        <w:jc w:val="center"/>
        <w:rPr>
          <w:rFonts w:eastAsiaTheme="minorEastAsia"/>
          <w:b/>
          <w:sz w:val="24"/>
          <w:highlight w:val="none"/>
        </w:rPr>
        <w:sectPr>
          <w:pgSz w:w="11906" w:h="16838"/>
          <w:pgMar w:top="1440" w:right="1800" w:bottom="1440" w:left="1800" w:header="851" w:footer="992" w:gutter="0"/>
          <w:pgBorders w:offsetFrom="page">
            <w:top w:val="none" w:sz="0" w:space="0"/>
            <w:left w:val="none" w:sz="0" w:space="0"/>
            <w:bottom w:val="none" w:sz="0" w:space="0"/>
            <w:right w:val="none" w:sz="0" w:space="0"/>
          </w:pgBorders>
          <w:cols w:space="425" w:num="1"/>
          <w:docGrid w:type="lines" w:linePitch="312" w:charSpace="0"/>
        </w:sectPr>
      </w:pPr>
      <w:r>
        <w:rPr>
          <w:rFonts w:hint="default" w:eastAsiaTheme="minorEastAsia"/>
          <w:kern w:val="0"/>
          <w:szCs w:val="21"/>
          <w:highlight w:val="none"/>
        </w:rPr>
        <w:br w:type="page"/>
      </w:r>
    </w:p>
    <w:p w14:paraId="3F232A44">
      <w:pPr>
        <w:pStyle w:val="7"/>
        <w:bidi w:val="0"/>
        <w:rPr>
          <w:rFonts w:hint="default"/>
          <w:highlight w:val="none"/>
          <w:lang w:val="en-US"/>
        </w:rPr>
      </w:pPr>
      <w:bookmarkStart w:id="702" w:name="_Toc310"/>
      <w:bookmarkStart w:id="703" w:name="_Toc6399"/>
      <w:r>
        <w:rPr>
          <w:rFonts w:hint="eastAsia"/>
          <w:highlight w:val="none"/>
          <w:lang w:eastAsia="zh-CN"/>
        </w:rPr>
        <w:t>土壤环境影响评价自查表</w:t>
      </w:r>
      <w:bookmarkEnd w:id="702"/>
      <w:bookmarkEnd w:id="703"/>
    </w:p>
    <w:tbl>
      <w:tblPr>
        <w:tblStyle w:val="45"/>
        <w:tblW w:w="8547" w:type="dxa"/>
        <w:jc w:val="center"/>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shd w:val="clear" w:color="auto" w:fill="auto"/>
        <w:tblLayout w:type="fixed"/>
        <w:tblCellMar>
          <w:top w:w="0" w:type="dxa"/>
          <w:left w:w="0" w:type="dxa"/>
          <w:bottom w:w="0" w:type="dxa"/>
          <w:right w:w="0" w:type="dxa"/>
        </w:tblCellMar>
      </w:tblPr>
      <w:tblGrid>
        <w:gridCol w:w="580"/>
        <w:gridCol w:w="1435"/>
        <w:gridCol w:w="961"/>
        <w:gridCol w:w="196"/>
        <w:gridCol w:w="1446"/>
        <w:gridCol w:w="1200"/>
        <w:gridCol w:w="167"/>
        <w:gridCol w:w="1827"/>
        <w:gridCol w:w="735"/>
      </w:tblGrid>
      <w:tr w14:paraId="712354E7">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358" w:hRule="atLeast"/>
          <w:jc w:val="center"/>
        </w:trPr>
        <w:tc>
          <w:tcPr>
            <w:tcW w:w="2015" w:type="dxa"/>
            <w:gridSpan w:val="2"/>
            <w:tcBorders>
              <w:tl2br w:val="nil"/>
              <w:tr2bl w:val="nil"/>
            </w:tcBorders>
            <w:shd w:val="clear" w:color="auto" w:fill="auto"/>
            <w:noWrap/>
            <w:vAlign w:val="center"/>
          </w:tcPr>
          <w:p w14:paraId="38FDE456">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工作内容</w:t>
            </w:r>
          </w:p>
        </w:tc>
        <w:tc>
          <w:tcPr>
            <w:tcW w:w="5797" w:type="dxa"/>
            <w:gridSpan w:val="6"/>
            <w:tcBorders>
              <w:tl2br w:val="nil"/>
              <w:tr2bl w:val="nil"/>
            </w:tcBorders>
            <w:shd w:val="clear" w:color="auto" w:fill="auto"/>
            <w:noWrap/>
            <w:vAlign w:val="center"/>
          </w:tcPr>
          <w:p w14:paraId="62849B66">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完成情况</w:t>
            </w:r>
          </w:p>
        </w:tc>
        <w:tc>
          <w:tcPr>
            <w:tcW w:w="735" w:type="dxa"/>
            <w:tcBorders>
              <w:tl2br w:val="nil"/>
              <w:tr2bl w:val="nil"/>
            </w:tcBorders>
            <w:shd w:val="clear" w:color="auto" w:fill="auto"/>
            <w:noWrap/>
            <w:vAlign w:val="center"/>
          </w:tcPr>
          <w:p w14:paraId="1F2293C9">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备注</w:t>
            </w:r>
          </w:p>
        </w:tc>
      </w:tr>
      <w:tr w14:paraId="606FE91D">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0" w:type="dxa"/>
            <w:bottom w:w="0" w:type="dxa"/>
            <w:right w:w="0" w:type="dxa"/>
          </w:tblCellMar>
        </w:tblPrEx>
        <w:trPr>
          <w:trHeight w:val="358" w:hRule="atLeast"/>
          <w:jc w:val="center"/>
        </w:trPr>
        <w:tc>
          <w:tcPr>
            <w:tcW w:w="580" w:type="dxa"/>
            <w:vMerge w:val="restart"/>
            <w:tcBorders>
              <w:tl2br w:val="nil"/>
              <w:tr2bl w:val="nil"/>
            </w:tcBorders>
            <w:shd w:val="clear" w:color="auto" w:fill="auto"/>
            <w:noWrap/>
            <w:vAlign w:val="center"/>
          </w:tcPr>
          <w:p w14:paraId="6204A85D">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影响识别</w:t>
            </w:r>
          </w:p>
        </w:tc>
        <w:tc>
          <w:tcPr>
            <w:tcW w:w="1435" w:type="dxa"/>
            <w:tcBorders>
              <w:tl2br w:val="nil"/>
              <w:tr2bl w:val="nil"/>
            </w:tcBorders>
            <w:shd w:val="clear" w:color="auto" w:fill="auto"/>
            <w:noWrap/>
            <w:vAlign w:val="center"/>
          </w:tcPr>
          <w:p w14:paraId="71F006F7">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影响类型</w:t>
            </w:r>
          </w:p>
        </w:tc>
        <w:tc>
          <w:tcPr>
            <w:tcW w:w="5797" w:type="dxa"/>
            <w:gridSpan w:val="6"/>
            <w:tcBorders>
              <w:tl2br w:val="nil"/>
              <w:tr2bl w:val="nil"/>
            </w:tcBorders>
            <w:shd w:val="clear" w:color="auto" w:fill="auto"/>
            <w:noWrap/>
            <w:vAlign w:val="center"/>
          </w:tcPr>
          <w:p w14:paraId="5E9466DC">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污染影响型（；生态影响型</w:t>
            </w:r>
            <w:r>
              <w:rPr>
                <w:rFonts w:hint="default"/>
                <w:highlight w:val="none"/>
                <w:lang w:val="en-US" w:eastAsia="zh-CN"/>
              </w:rPr>
              <w:t>□</w:t>
            </w:r>
            <w:r>
              <w:rPr>
                <w:rFonts w:hint="eastAsia"/>
                <w:highlight w:val="none"/>
                <w:lang w:val="en-US" w:eastAsia="zh-CN"/>
              </w:rPr>
              <w:t>；两种兼有</w:t>
            </w:r>
            <w:r>
              <w:rPr>
                <w:rFonts w:hint="default"/>
                <w:highlight w:val="none"/>
                <w:lang w:val="en-US" w:eastAsia="zh-CN"/>
              </w:rPr>
              <w:t>□</w:t>
            </w:r>
          </w:p>
        </w:tc>
        <w:tc>
          <w:tcPr>
            <w:tcW w:w="735" w:type="dxa"/>
            <w:tcBorders>
              <w:tl2br w:val="nil"/>
              <w:tr2bl w:val="nil"/>
            </w:tcBorders>
            <w:shd w:val="clear" w:color="auto" w:fill="auto"/>
            <w:noWrap/>
            <w:vAlign w:val="center"/>
          </w:tcPr>
          <w:p w14:paraId="1FE6A2C8">
            <w:pPr>
              <w:pStyle w:val="8"/>
              <w:suppressLineNumbers w:val="0"/>
              <w:bidi w:val="0"/>
              <w:spacing w:before="0" w:beforeAutospacing="0" w:after="0" w:afterAutospacing="0"/>
              <w:ind w:left="0" w:right="0"/>
              <w:rPr>
                <w:rFonts w:hint="default"/>
                <w:highlight w:val="none"/>
                <w:lang w:val="en-US"/>
              </w:rPr>
            </w:pPr>
          </w:p>
        </w:tc>
      </w:tr>
      <w:tr w14:paraId="21A482F9">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0" w:type="dxa"/>
            <w:bottom w:w="0" w:type="dxa"/>
            <w:right w:w="0" w:type="dxa"/>
          </w:tblCellMar>
        </w:tblPrEx>
        <w:trPr>
          <w:trHeight w:val="358" w:hRule="atLeast"/>
          <w:jc w:val="center"/>
        </w:trPr>
        <w:tc>
          <w:tcPr>
            <w:tcW w:w="580" w:type="dxa"/>
            <w:vMerge w:val="continue"/>
            <w:tcBorders>
              <w:tl2br w:val="nil"/>
              <w:tr2bl w:val="nil"/>
            </w:tcBorders>
            <w:shd w:val="clear" w:color="auto" w:fill="auto"/>
            <w:noWrap/>
            <w:vAlign w:val="center"/>
          </w:tcPr>
          <w:p w14:paraId="5AF6258E">
            <w:pPr>
              <w:pStyle w:val="8"/>
              <w:suppressLineNumbers w:val="0"/>
              <w:bidi w:val="0"/>
              <w:spacing w:before="0" w:beforeAutospacing="0" w:after="0" w:afterAutospacing="0"/>
              <w:ind w:left="0" w:right="0"/>
              <w:rPr>
                <w:rFonts w:hint="default"/>
                <w:highlight w:val="none"/>
              </w:rPr>
            </w:pPr>
          </w:p>
        </w:tc>
        <w:tc>
          <w:tcPr>
            <w:tcW w:w="1435" w:type="dxa"/>
            <w:tcBorders>
              <w:tl2br w:val="nil"/>
              <w:tr2bl w:val="nil"/>
            </w:tcBorders>
            <w:shd w:val="clear" w:color="auto" w:fill="auto"/>
            <w:noWrap/>
            <w:vAlign w:val="center"/>
          </w:tcPr>
          <w:p w14:paraId="64D0EACF">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土地利用类型</w:t>
            </w:r>
          </w:p>
        </w:tc>
        <w:tc>
          <w:tcPr>
            <w:tcW w:w="5797" w:type="dxa"/>
            <w:gridSpan w:val="6"/>
            <w:tcBorders>
              <w:tl2br w:val="nil"/>
              <w:tr2bl w:val="nil"/>
            </w:tcBorders>
            <w:shd w:val="clear" w:color="auto" w:fill="auto"/>
            <w:noWrap/>
            <w:vAlign w:val="center"/>
          </w:tcPr>
          <w:p w14:paraId="06F5C739">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建设用地（；农用地</w:t>
            </w:r>
            <w:r>
              <w:rPr>
                <w:rFonts w:hint="default"/>
                <w:highlight w:val="none"/>
                <w:lang w:val="en-US" w:eastAsia="zh-CN"/>
              </w:rPr>
              <w:t>□</w:t>
            </w:r>
            <w:r>
              <w:rPr>
                <w:rFonts w:hint="eastAsia"/>
                <w:highlight w:val="none"/>
                <w:lang w:val="en-US" w:eastAsia="zh-CN"/>
              </w:rPr>
              <w:t>；未利用地</w:t>
            </w:r>
            <w:r>
              <w:rPr>
                <w:rFonts w:hint="default"/>
                <w:highlight w:val="none"/>
                <w:lang w:val="en-US" w:eastAsia="zh-CN"/>
              </w:rPr>
              <w:t>□</w:t>
            </w:r>
          </w:p>
        </w:tc>
        <w:tc>
          <w:tcPr>
            <w:tcW w:w="735" w:type="dxa"/>
            <w:tcBorders>
              <w:tl2br w:val="nil"/>
              <w:tr2bl w:val="nil"/>
            </w:tcBorders>
            <w:shd w:val="clear" w:color="auto" w:fill="auto"/>
            <w:noWrap/>
            <w:vAlign w:val="center"/>
          </w:tcPr>
          <w:p w14:paraId="200FF498">
            <w:pPr>
              <w:pStyle w:val="8"/>
              <w:suppressLineNumbers w:val="0"/>
              <w:bidi w:val="0"/>
              <w:spacing w:before="0" w:beforeAutospacing="0" w:after="0" w:afterAutospacing="0"/>
              <w:ind w:left="0" w:right="0"/>
              <w:rPr>
                <w:rFonts w:hint="default"/>
                <w:highlight w:val="none"/>
                <w:lang w:val="en-US"/>
              </w:rPr>
            </w:pPr>
          </w:p>
        </w:tc>
      </w:tr>
      <w:tr w14:paraId="47EC417A">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0" w:type="dxa"/>
            <w:bottom w:w="0" w:type="dxa"/>
            <w:right w:w="0" w:type="dxa"/>
          </w:tblCellMar>
        </w:tblPrEx>
        <w:trPr>
          <w:trHeight w:val="358" w:hRule="atLeast"/>
          <w:jc w:val="center"/>
        </w:trPr>
        <w:tc>
          <w:tcPr>
            <w:tcW w:w="580" w:type="dxa"/>
            <w:vMerge w:val="continue"/>
            <w:tcBorders>
              <w:tl2br w:val="nil"/>
              <w:tr2bl w:val="nil"/>
            </w:tcBorders>
            <w:shd w:val="clear" w:color="auto" w:fill="auto"/>
            <w:noWrap/>
            <w:vAlign w:val="center"/>
          </w:tcPr>
          <w:p w14:paraId="75D5E24B">
            <w:pPr>
              <w:pStyle w:val="8"/>
              <w:suppressLineNumbers w:val="0"/>
              <w:bidi w:val="0"/>
              <w:spacing w:before="0" w:beforeAutospacing="0" w:after="0" w:afterAutospacing="0"/>
              <w:ind w:left="0" w:right="0"/>
              <w:rPr>
                <w:rFonts w:hint="default"/>
                <w:highlight w:val="none"/>
              </w:rPr>
            </w:pPr>
          </w:p>
        </w:tc>
        <w:tc>
          <w:tcPr>
            <w:tcW w:w="1435" w:type="dxa"/>
            <w:tcBorders>
              <w:tl2br w:val="nil"/>
              <w:tr2bl w:val="nil"/>
            </w:tcBorders>
            <w:shd w:val="clear" w:color="auto" w:fill="auto"/>
            <w:noWrap/>
            <w:vAlign w:val="center"/>
          </w:tcPr>
          <w:p w14:paraId="7DB2A251">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占地规模</w:t>
            </w:r>
          </w:p>
        </w:tc>
        <w:tc>
          <w:tcPr>
            <w:tcW w:w="5797" w:type="dxa"/>
            <w:gridSpan w:val="6"/>
            <w:tcBorders>
              <w:tl2br w:val="nil"/>
              <w:tr2bl w:val="nil"/>
            </w:tcBorders>
            <w:shd w:val="clear" w:color="auto" w:fill="auto"/>
            <w:noWrap/>
            <w:vAlign w:val="center"/>
          </w:tcPr>
          <w:p w14:paraId="38B78F0D">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（0.087）</w:t>
            </w:r>
            <w:r>
              <w:rPr>
                <w:rFonts w:hint="default"/>
                <w:highlight w:val="none"/>
                <w:lang w:val="en-US" w:eastAsia="zh-CN"/>
              </w:rPr>
              <w:t>hm</w:t>
            </w:r>
            <w:r>
              <w:rPr>
                <w:rFonts w:hint="default"/>
                <w:highlight w:val="none"/>
                <w:vertAlign w:val="superscript"/>
                <w:lang w:val="en-US" w:eastAsia="zh-CN"/>
              </w:rPr>
              <w:t>2</w:t>
            </w:r>
          </w:p>
        </w:tc>
        <w:tc>
          <w:tcPr>
            <w:tcW w:w="735" w:type="dxa"/>
            <w:tcBorders>
              <w:tl2br w:val="nil"/>
              <w:tr2bl w:val="nil"/>
            </w:tcBorders>
            <w:shd w:val="clear" w:color="auto" w:fill="auto"/>
            <w:noWrap/>
            <w:vAlign w:val="center"/>
          </w:tcPr>
          <w:p w14:paraId="19BCD382">
            <w:pPr>
              <w:pStyle w:val="8"/>
              <w:suppressLineNumbers w:val="0"/>
              <w:bidi w:val="0"/>
              <w:spacing w:before="0" w:beforeAutospacing="0" w:after="0" w:afterAutospacing="0"/>
              <w:ind w:left="0" w:right="0"/>
              <w:rPr>
                <w:rFonts w:hint="default"/>
                <w:highlight w:val="none"/>
                <w:lang w:val="en-US"/>
              </w:rPr>
            </w:pPr>
          </w:p>
        </w:tc>
      </w:tr>
      <w:tr w14:paraId="4389350E">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0" w:type="dxa"/>
            <w:bottom w:w="0" w:type="dxa"/>
            <w:right w:w="0" w:type="dxa"/>
          </w:tblCellMar>
        </w:tblPrEx>
        <w:trPr>
          <w:trHeight w:val="498" w:hRule="atLeast"/>
          <w:jc w:val="center"/>
        </w:trPr>
        <w:tc>
          <w:tcPr>
            <w:tcW w:w="580" w:type="dxa"/>
            <w:vMerge w:val="continue"/>
            <w:tcBorders>
              <w:tl2br w:val="nil"/>
              <w:tr2bl w:val="nil"/>
            </w:tcBorders>
            <w:shd w:val="clear" w:color="auto" w:fill="auto"/>
            <w:noWrap/>
            <w:vAlign w:val="center"/>
          </w:tcPr>
          <w:p w14:paraId="00EBDC4B">
            <w:pPr>
              <w:pStyle w:val="8"/>
              <w:suppressLineNumbers w:val="0"/>
              <w:bidi w:val="0"/>
              <w:spacing w:before="0" w:beforeAutospacing="0" w:after="0" w:afterAutospacing="0"/>
              <w:ind w:left="0" w:right="0"/>
              <w:rPr>
                <w:rFonts w:hint="default"/>
                <w:highlight w:val="none"/>
              </w:rPr>
            </w:pPr>
          </w:p>
        </w:tc>
        <w:tc>
          <w:tcPr>
            <w:tcW w:w="1435" w:type="dxa"/>
            <w:tcBorders>
              <w:tl2br w:val="nil"/>
              <w:tr2bl w:val="nil"/>
            </w:tcBorders>
            <w:shd w:val="clear" w:color="auto" w:fill="auto"/>
            <w:noWrap/>
            <w:vAlign w:val="center"/>
          </w:tcPr>
          <w:p w14:paraId="15564A35">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敏感目标信息</w:t>
            </w:r>
          </w:p>
        </w:tc>
        <w:tc>
          <w:tcPr>
            <w:tcW w:w="5797" w:type="dxa"/>
            <w:gridSpan w:val="6"/>
            <w:tcBorders>
              <w:tl2br w:val="nil"/>
              <w:tr2bl w:val="nil"/>
            </w:tcBorders>
            <w:shd w:val="clear" w:color="auto" w:fill="auto"/>
            <w:noWrap/>
            <w:vAlign w:val="center"/>
          </w:tcPr>
          <w:p w14:paraId="5B2F7515">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敏感目标（居民）、方位（西侧、东侧）、距离（21</w:t>
            </w:r>
            <w:r>
              <w:rPr>
                <w:rFonts w:hint="default"/>
                <w:highlight w:val="none"/>
                <w:lang w:val="en-US" w:eastAsia="zh-CN"/>
              </w:rPr>
              <w:t>m</w:t>
            </w:r>
            <w:r>
              <w:rPr>
                <w:rFonts w:hint="eastAsia"/>
                <w:highlight w:val="none"/>
                <w:lang w:val="en-US" w:eastAsia="zh-CN"/>
              </w:rPr>
              <w:t>）</w:t>
            </w:r>
          </w:p>
        </w:tc>
        <w:tc>
          <w:tcPr>
            <w:tcW w:w="735" w:type="dxa"/>
            <w:tcBorders>
              <w:tl2br w:val="nil"/>
              <w:tr2bl w:val="nil"/>
            </w:tcBorders>
            <w:shd w:val="clear" w:color="auto" w:fill="auto"/>
            <w:noWrap/>
            <w:vAlign w:val="center"/>
          </w:tcPr>
          <w:p w14:paraId="7B5C871D">
            <w:pPr>
              <w:pStyle w:val="8"/>
              <w:suppressLineNumbers w:val="0"/>
              <w:bidi w:val="0"/>
              <w:spacing w:before="0" w:beforeAutospacing="0" w:after="0" w:afterAutospacing="0"/>
              <w:ind w:left="0" w:right="0"/>
              <w:rPr>
                <w:rFonts w:hint="default"/>
                <w:highlight w:val="none"/>
                <w:lang w:val="en-US"/>
              </w:rPr>
            </w:pPr>
          </w:p>
        </w:tc>
      </w:tr>
      <w:tr w14:paraId="42FCC0CF">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0" w:type="dxa"/>
            <w:bottom w:w="0" w:type="dxa"/>
            <w:right w:w="0" w:type="dxa"/>
          </w:tblCellMar>
        </w:tblPrEx>
        <w:trPr>
          <w:trHeight w:val="343" w:hRule="atLeast"/>
          <w:jc w:val="center"/>
        </w:trPr>
        <w:tc>
          <w:tcPr>
            <w:tcW w:w="580" w:type="dxa"/>
            <w:vMerge w:val="continue"/>
            <w:tcBorders>
              <w:tl2br w:val="nil"/>
              <w:tr2bl w:val="nil"/>
            </w:tcBorders>
            <w:shd w:val="clear" w:color="auto" w:fill="auto"/>
            <w:noWrap/>
            <w:vAlign w:val="center"/>
          </w:tcPr>
          <w:p w14:paraId="4C06D992">
            <w:pPr>
              <w:pStyle w:val="8"/>
              <w:suppressLineNumbers w:val="0"/>
              <w:bidi w:val="0"/>
              <w:spacing w:before="0" w:beforeAutospacing="0" w:after="0" w:afterAutospacing="0"/>
              <w:ind w:left="0" w:right="0"/>
              <w:rPr>
                <w:rFonts w:hint="default"/>
                <w:highlight w:val="none"/>
              </w:rPr>
            </w:pPr>
          </w:p>
        </w:tc>
        <w:tc>
          <w:tcPr>
            <w:tcW w:w="1435" w:type="dxa"/>
            <w:tcBorders>
              <w:tl2br w:val="nil"/>
              <w:tr2bl w:val="nil"/>
            </w:tcBorders>
            <w:shd w:val="clear" w:color="auto" w:fill="auto"/>
            <w:noWrap/>
            <w:vAlign w:val="center"/>
          </w:tcPr>
          <w:p w14:paraId="30C822B8">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影响途径</w:t>
            </w:r>
          </w:p>
        </w:tc>
        <w:tc>
          <w:tcPr>
            <w:tcW w:w="5797" w:type="dxa"/>
            <w:gridSpan w:val="6"/>
            <w:tcBorders>
              <w:tl2br w:val="nil"/>
              <w:tr2bl w:val="nil"/>
            </w:tcBorders>
            <w:shd w:val="clear" w:color="auto" w:fill="auto"/>
            <w:noWrap/>
            <w:vAlign w:val="center"/>
          </w:tcPr>
          <w:p w14:paraId="15D10399">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大气沉降（；地面漫流（；垂直入渗（；地下水位（；其他（）</w:t>
            </w:r>
          </w:p>
        </w:tc>
        <w:tc>
          <w:tcPr>
            <w:tcW w:w="735" w:type="dxa"/>
            <w:tcBorders>
              <w:tl2br w:val="nil"/>
              <w:tr2bl w:val="nil"/>
            </w:tcBorders>
            <w:shd w:val="clear" w:color="auto" w:fill="auto"/>
            <w:noWrap/>
            <w:vAlign w:val="center"/>
          </w:tcPr>
          <w:p w14:paraId="1722A30F">
            <w:pPr>
              <w:pStyle w:val="8"/>
              <w:suppressLineNumbers w:val="0"/>
              <w:bidi w:val="0"/>
              <w:spacing w:before="0" w:beforeAutospacing="0" w:after="0" w:afterAutospacing="0"/>
              <w:ind w:left="0" w:right="0"/>
              <w:rPr>
                <w:rFonts w:hint="default"/>
                <w:highlight w:val="none"/>
                <w:lang w:val="en-US"/>
              </w:rPr>
            </w:pPr>
          </w:p>
        </w:tc>
      </w:tr>
      <w:tr w14:paraId="77B09A33">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0" w:type="dxa"/>
            <w:bottom w:w="0" w:type="dxa"/>
            <w:right w:w="0" w:type="dxa"/>
          </w:tblCellMar>
        </w:tblPrEx>
        <w:trPr>
          <w:trHeight w:val="358" w:hRule="atLeast"/>
          <w:jc w:val="center"/>
        </w:trPr>
        <w:tc>
          <w:tcPr>
            <w:tcW w:w="580" w:type="dxa"/>
            <w:vMerge w:val="continue"/>
            <w:tcBorders>
              <w:tl2br w:val="nil"/>
              <w:tr2bl w:val="nil"/>
            </w:tcBorders>
            <w:shd w:val="clear" w:color="auto" w:fill="auto"/>
            <w:noWrap/>
            <w:vAlign w:val="center"/>
          </w:tcPr>
          <w:p w14:paraId="21E48180">
            <w:pPr>
              <w:pStyle w:val="8"/>
              <w:suppressLineNumbers w:val="0"/>
              <w:bidi w:val="0"/>
              <w:spacing w:before="0" w:beforeAutospacing="0" w:after="0" w:afterAutospacing="0"/>
              <w:ind w:left="0" w:right="0"/>
              <w:rPr>
                <w:rFonts w:hint="default"/>
                <w:highlight w:val="none"/>
              </w:rPr>
            </w:pPr>
          </w:p>
        </w:tc>
        <w:tc>
          <w:tcPr>
            <w:tcW w:w="1435" w:type="dxa"/>
            <w:tcBorders>
              <w:tl2br w:val="nil"/>
              <w:tr2bl w:val="nil"/>
            </w:tcBorders>
            <w:shd w:val="clear" w:color="auto" w:fill="auto"/>
            <w:noWrap/>
            <w:vAlign w:val="center"/>
          </w:tcPr>
          <w:p w14:paraId="2FD82A56">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全部污染物</w:t>
            </w:r>
          </w:p>
        </w:tc>
        <w:tc>
          <w:tcPr>
            <w:tcW w:w="5797" w:type="dxa"/>
            <w:gridSpan w:val="6"/>
            <w:tcBorders>
              <w:tl2br w:val="nil"/>
              <w:tr2bl w:val="nil"/>
            </w:tcBorders>
            <w:shd w:val="clear" w:color="auto" w:fill="auto"/>
            <w:noWrap/>
            <w:vAlign w:val="center"/>
          </w:tcPr>
          <w:p w14:paraId="3DC0265F">
            <w:pPr>
              <w:pStyle w:val="8"/>
              <w:suppressLineNumbers w:val="0"/>
              <w:bidi w:val="0"/>
              <w:spacing w:before="0" w:beforeAutospacing="0" w:after="0" w:afterAutospacing="0"/>
              <w:ind w:left="0" w:right="0"/>
              <w:rPr>
                <w:rFonts w:hint="default"/>
                <w:highlight w:val="none"/>
                <w:lang w:val="en-US"/>
              </w:rPr>
            </w:pPr>
            <w:r>
              <w:rPr>
                <w:rFonts w:hint="default"/>
                <w:highlight w:val="none"/>
                <w:lang w:val="en-US" w:eastAsia="zh-CN"/>
              </w:rPr>
              <w:t>GB36600</w:t>
            </w:r>
            <w:r>
              <w:rPr>
                <w:rFonts w:hint="eastAsia"/>
                <w:highlight w:val="none"/>
                <w:lang w:val="en-US" w:eastAsia="zh-CN"/>
              </w:rPr>
              <w:t>中的</w:t>
            </w:r>
            <w:r>
              <w:rPr>
                <w:rFonts w:hint="default"/>
                <w:highlight w:val="none"/>
                <w:lang w:val="en-US" w:eastAsia="zh-CN"/>
              </w:rPr>
              <w:t>45</w:t>
            </w:r>
            <w:r>
              <w:rPr>
                <w:rFonts w:hint="eastAsia"/>
                <w:highlight w:val="none"/>
                <w:lang w:val="en-US" w:eastAsia="zh-CN"/>
              </w:rPr>
              <w:t>项基本因子</w:t>
            </w:r>
            <w:r>
              <w:rPr>
                <w:rFonts w:hint="default"/>
                <w:highlight w:val="none"/>
                <w:lang w:val="en-US" w:eastAsia="zh-CN"/>
              </w:rPr>
              <w:t>+</w:t>
            </w:r>
            <w:r>
              <w:rPr>
                <w:rFonts w:hint="eastAsia"/>
                <w:highlight w:val="none"/>
                <w:lang w:val="en-US" w:eastAsia="zh-CN"/>
              </w:rPr>
              <w:t>石油烃</w:t>
            </w:r>
          </w:p>
        </w:tc>
        <w:tc>
          <w:tcPr>
            <w:tcW w:w="735" w:type="dxa"/>
            <w:tcBorders>
              <w:tl2br w:val="nil"/>
              <w:tr2bl w:val="nil"/>
            </w:tcBorders>
            <w:shd w:val="clear" w:color="auto" w:fill="auto"/>
            <w:noWrap/>
            <w:vAlign w:val="center"/>
          </w:tcPr>
          <w:p w14:paraId="6ED73D66">
            <w:pPr>
              <w:pStyle w:val="8"/>
              <w:suppressLineNumbers w:val="0"/>
              <w:bidi w:val="0"/>
              <w:spacing w:before="0" w:beforeAutospacing="0" w:after="0" w:afterAutospacing="0"/>
              <w:ind w:left="0" w:right="0"/>
              <w:rPr>
                <w:rFonts w:hint="default"/>
                <w:highlight w:val="none"/>
                <w:lang w:val="en-US"/>
              </w:rPr>
            </w:pPr>
          </w:p>
        </w:tc>
      </w:tr>
      <w:tr w14:paraId="22C44465">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0" w:type="dxa"/>
            <w:bottom w:w="0" w:type="dxa"/>
            <w:right w:w="0" w:type="dxa"/>
          </w:tblCellMar>
        </w:tblPrEx>
        <w:trPr>
          <w:trHeight w:val="358" w:hRule="atLeast"/>
          <w:jc w:val="center"/>
        </w:trPr>
        <w:tc>
          <w:tcPr>
            <w:tcW w:w="580" w:type="dxa"/>
            <w:vMerge w:val="continue"/>
            <w:tcBorders>
              <w:tl2br w:val="nil"/>
              <w:tr2bl w:val="nil"/>
            </w:tcBorders>
            <w:shd w:val="clear" w:color="auto" w:fill="auto"/>
            <w:noWrap/>
            <w:vAlign w:val="center"/>
          </w:tcPr>
          <w:p w14:paraId="3D6E9369">
            <w:pPr>
              <w:pStyle w:val="8"/>
              <w:suppressLineNumbers w:val="0"/>
              <w:bidi w:val="0"/>
              <w:spacing w:before="0" w:beforeAutospacing="0" w:after="0" w:afterAutospacing="0"/>
              <w:ind w:left="0" w:right="0"/>
              <w:rPr>
                <w:rFonts w:hint="default"/>
                <w:highlight w:val="none"/>
              </w:rPr>
            </w:pPr>
          </w:p>
        </w:tc>
        <w:tc>
          <w:tcPr>
            <w:tcW w:w="1435" w:type="dxa"/>
            <w:tcBorders>
              <w:tl2br w:val="nil"/>
              <w:tr2bl w:val="nil"/>
            </w:tcBorders>
            <w:shd w:val="clear" w:color="auto" w:fill="auto"/>
            <w:noWrap/>
            <w:vAlign w:val="center"/>
          </w:tcPr>
          <w:p w14:paraId="036425DD">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特征因子</w:t>
            </w:r>
          </w:p>
        </w:tc>
        <w:tc>
          <w:tcPr>
            <w:tcW w:w="5797" w:type="dxa"/>
            <w:gridSpan w:val="6"/>
            <w:tcBorders>
              <w:tl2br w:val="nil"/>
              <w:tr2bl w:val="nil"/>
            </w:tcBorders>
            <w:shd w:val="clear" w:color="auto" w:fill="auto"/>
            <w:noWrap/>
            <w:vAlign w:val="center"/>
          </w:tcPr>
          <w:p w14:paraId="57E4B6D8">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石油烃</w:t>
            </w:r>
          </w:p>
        </w:tc>
        <w:tc>
          <w:tcPr>
            <w:tcW w:w="735" w:type="dxa"/>
            <w:tcBorders>
              <w:tl2br w:val="nil"/>
              <w:tr2bl w:val="nil"/>
            </w:tcBorders>
            <w:shd w:val="clear" w:color="auto" w:fill="auto"/>
            <w:noWrap/>
            <w:vAlign w:val="center"/>
          </w:tcPr>
          <w:p w14:paraId="14C89203">
            <w:pPr>
              <w:pStyle w:val="8"/>
              <w:suppressLineNumbers w:val="0"/>
              <w:bidi w:val="0"/>
              <w:spacing w:before="0" w:beforeAutospacing="0" w:after="0" w:afterAutospacing="0"/>
              <w:ind w:left="0" w:right="0"/>
              <w:rPr>
                <w:rFonts w:hint="default"/>
                <w:highlight w:val="none"/>
                <w:lang w:val="en-US"/>
              </w:rPr>
            </w:pPr>
          </w:p>
        </w:tc>
      </w:tr>
      <w:tr w14:paraId="748CF7D6">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394" w:hRule="atLeast"/>
          <w:jc w:val="center"/>
        </w:trPr>
        <w:tc>
          <w:tcPr>
            <w:tcW w:w="580" w:type="dxa"/>
            <w:vMerge w:val="continue"/>
            <w:tcBorders>
              <w:tl2br w:val="nil"/>
              <w:tr2bl w:val="nil"/>
            </w:tcBorders>
            <w:shd w:val="clear" w:color="auto" w:fill="auto"/>
            <w:noWrap/>
            <w:vAlign w:val="center"/>
          </w:tcPr>
          <w:p w14:paraId="3820529D">
            <w:pPr>
              <w:pStyle w:val="8"/>
              <w:suppressLineNumbers w:val="0"/>
              <w:bidi w:val="0"/>
              <w:spacing w:before="0" w:beforeAutospacing="0" w:after="0" w:afterAutospacing="0"/>
              <w:ind w:left="0" w:right="0"/>
              <w:rPr>
                <w:rFonts w:hint="default"/>
                <w:highlight w:val="none"/>
              </w:rPr>
            </w:pPr>
          </w:p>
        </w:tc>
        <w:tc>
          <w:tcPr>
            <w:tcW w:w="1435" w:type="dxa"/>
            <w:tcBorders>
              <w:tl2br w:val="nil"/>
              <w:tr2bl w:val="nil"/>
            </w:tcBorders>
            <w:shd w:val="clear" w:color="auto" w:fill="auto"/>
            <w:noWrap/>
            <w:vAlign w:val="center"/>
          </w:tcPr>
          <w:p w14:paraId="5F76A790">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所属土壤环境影响评价项目类别</w:t>
            </w:r>
          </w:p>
        </w:tc>
        <w:tc>
          <w:tcPr>
            <w:tcW w:w="5797" w:type="dxa"/>
            <w:gridSpan w:val="6"/>
            <w:tcBorders>
              <w:tl2br w:val="nil"/>
              <w:tr2bl w:val="nil"/>
            </w:tcBorders>
            <w:shd w:val="clear" w:color="auto" w:fill="auto"/>
            <w:noWrap/>
            <w:vAlign w:val="center"/>
          </w:tcPr>
          <w:p w14:paraId="682C9A43">
            <w:pPr>
              <w:pStyle w:val="8"/>
              <w:suppressLineNumbers w:val="0"/>
              <w:bidi w:val="0"/>
              <w:spacing w:before="0" w:beforeAutospacing="0" w:after="0" w:afterAutospacing="0"/>
              <w:ind w:left="0" w:right="0"/>
              <w:rPr>
                <w:rFonts w:hint="default"/>
                <w:highlight w:val="none"/>
                <w:lang w:val="en-US"/>
              </w:rPr>
            </w:pPr>
            <w:r>
              <w:rPr>
                <w:rFonts w:hint="default"/>
                <w:highlight w:val="none"/>
                <w:lang w:val="en-US" w:eastAsia="zh-CN"/>
              </w:rPr>
              <w:t>Ⅰ</w:t>
            </w:r>
            <w:r>
              <w:rPr>
                <w:rFonts w:hint="eastAsia"/>
                <w:highlight w:val="none"/>
                <w:lang w:val="en-US" w:eastAsia="zh-CN"/>
              </w:rPr>
              <w:t>类（；</w:t>
            </w:r>
            <w:r>
              <w:rPr>
                <w:rFonts w:hint="default"/>
                <w:highlight w:val="none"/>
                <w:lang w:val="en-US" w:eastAsia="zh-CN"/>
              </w:rPr>
              <w:t>Ⅱ</w:t>
            </w:r>
            <w:r>
              <w:rPr>
                <w:rFonts w:hint="eastAsia"/>
                <w:highlight w:val="none"/>
                <w:lang w:val="en-US" w:eastAsia="zh-CN"/>
              </w:rPr>
              <w:t>类（；</w:t>
            </w:r>
            <w:r>
              <w:rPr>
                <w:rFonts w:hint="default"/>
                <w:highlight w:val="none"/>
                <w:lang w:val="en-US" w:eastAsia="zh-CN"/>
              </w:rPr>
              <w:t>Ⅲ</w:t>
            </w:r>
            <w:r>
              <w:rPr>
                <w:rFonts w:hint="eastAsia"/>
                <w:highlight w:val="none"/>
                <w:lang w:val="en-US" w:eastAsia="zh-CN"/>
              </w:rPr>
              <w:t>类（；</w:t>
            </w:r>
            <w:r>
              <w:rPr>
                <w:rFonts w:hint="default"/>
                <w:highlight w:val="none"/>
                <w:lang w:val="en-US" w:eastAsia="zh-CN"/>
              </w:rPr>
              <w:t>Ⅳ</w:t>
            </w:r>
            <w:r>
              <w:rPr>
                <w:rFonts w:hint="eastAsia"/>
                <w:highlight w:val="none"/>
                <w:lang w:val="en-US" w:eastAsia="zh-CN"/>
              </w:rPr>
              <w:t>类（</w:t>
            </w:r>
          </w:p>
        </w:tc>
        <w:tc>
          <w:tcPr>
            <w:tcW w:w="735" w:type="dxa"/>
            <w:tcBorders>
              <w:tl2br w:val="nil"/>
              <w:tr2bl w:val="nil"/>
            </w:tcBorders>
            <w:shd w:val="clear" w:color="auto" w:fill="auto"/>
            <w:noWrap/>
            <w:vAlign w:val="center"/>
          </w:tcPr>
          <w:p w14:paraId="1E51BB4F">
            <w:pPr>
              <w:pStyle w:val="8"/>
              <w:suppressLineNumbers w:val="0"/>
              <w:bidi w:val="0"/>
              <w:spacing w:before="0" w:beforeAutospacing="0" w:after="0" w:afterAutospacing="0"/>
              <w:ind w:left="0" w:right="0"/>
              <w:rPr>
                <w:rFonts w:hint="default"/>
                <w:highlight w:val="none"/>
                <w:lang w:val="en-US"/>
              </w:rPr>
            </w:pPr>
          </w:p>
        </w:tc>
      </w:tr>
      <w:tr w14:paraId="14876B05">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0" w:type="dxa"/>
            <w:bottom w:w="0" w:type="dxa"/>
            <w:right w:w="0" w:type="dxa"/>
          </w:tblCellMar>
        </w:tblPrEx>
        <w:trPr>
          <w:trHeight w:val="358" w:hRule="atLeast"/>
          <w:jc w:val="center"/>
        </w:trPr>
        <w:tc>
          <w:tcPr>
            <w:tcW w:w="580" w:type="dxa"/>
            <w:vMerge w:val="continue"/>
            <w:tcBorders>
              <w:tl2br w:val="nil"/>
              <w:tr2bl w:val="nil"/>
            </w:tcBorders>
            <w:shd w:val="clear" w:color="auto" w:fill="auto"/>
            <w:noWrap/>
            <w:vAlign w:val="center"/>
          </w:tcPr>
          <w:p w14:paraId="15B3B0F9">
            <w:pPr>
              <w:pStyle w:val="8"/>
              <w:suppressLineNumbers w:val="0"/>
              <w:bidi w:val="0"/>
              <w:spacing w:before="0" w:beforeAutospacing="0" w:after="0" w:afterAutospacing="0"/>
              <w:ind w:left="0" w:right="0"/>
              <w:rPr>
                <w:rFonts w:hint="default"/>
                <w:highlight w:val="none"/>
              </w:rPr>
            </w:pPr>
          </w:p>
        </w:tc>
        <w:tc>
          <w:tcPr>
            <w:tcW w:w="1435" w:type="dxa"/>
            <w:tcBorders>
              <w:tl2br w:val="nil"/>
              <w:tr2bl w:val="nil"/>
            </w:tcBorders>
            <w:shd w:val="clear" w:color="auto" w:fill="auto"/>
            <w:noWrap/>
            <w:vAlign w:val="center"/>
          </w:tcPr>
          <w:p w14:paraId="48597C29">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敏感程度</w:t>
            </w:r>
          </w:p>
        </w:tc>
        <w:tc>
          <w:tcPr>
            <w:tcW w:w="5797" w:type="dxa"/>
            <w:gridSpan w:val="6"/>
            <w:tcBorders>
              <w:tl2br w:val="nil"/>
              <w:tr2bl w:val="nil"/>
            </w:tcBorders>
            <w:shd w:val="clear" w:color="auto" w:fill="auto"/>
            <w:noWrap/>
            <w:vAlign w:val="center"/>
          </w:tcPr>
          <w:p w14:paraId="5BABDE17">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敏感（；较敏感（；不敏感（</w:t>
            </w:r>
          </w:p>
        </w:tc>
        <w:tc>
          <w:tcPr>
            <w:tcW w:w="735" w:type="dxa"/>
            <w:tcBorders>
              <w:tl2br w:val="nil"/>
              <w:tr2bl w:val="nil"/>
            </w:tcBorders>
            <w:shd w:val="clear" w:color="auto" w:fill="auto"/>
            <w:noWrap/>
            <w:vAlign w:val="center"/>
          </w:tcPr>
          <w:p w14:paraId="6893E0D5">
            <w:pPr>
              <w:pStyle w:val="8"/>
              <w:suppressLineNumbers w:val="0"/>
              <w:bidi w:val="0"/>
              <w:spacing w:before="0" w:beforeAutospacing="0" w:after="0" w:afterAutospacing="0"/>
              <w:ind w:left="0" w:right="0"/>
              <w:rPr>
                <w:rFonts w:hint="default"/>
                <w:highlight w:val="none"/>
                <w:lang w:val="en-US"/>
              </w:rPr>
            </w:pPr>
          </w:p>
        </w:tc>
      </w:tr>
      <w:tr w14:paraId="6E173834">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0" w:type="dxa"/>
            <w:bottom w:w="0" w:type="dxa"/>
            <w:right w:w="0" w:type="dxa"/>
          </w:tblCellMar>
        </w:tblPrEx>
        <w:trPr>
          <w:trHeight w:val="358" w:hRule="atLeast"/>
          <w:jc w:val="center"/>
        </w:trPr>
        <w:tc>
          <w:tcPr>
            <w:tcW w:w="2015" w:type="dxa"/>
            <w:gridSpan w:val="2"/>
            <w:tcBorders>
              <w:tl2br w:val="nil"/>
              <w:tr2bl w:val="nil"/>
            </w:tcBorders>
            <w:shd w:val="clear" w:color="auto" w:fill="auto"/>
            <w:noWrap/>
            <w:vAlign w:val="center"/>
          </w:tcPr>
          <w:p w14:paraId="0B6271F4">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评价工作等级</w:t>
            </w:r>
          </w:p>
        </w:tc>
        <w:tc>
          <w:tcPr>
            <w:tcW w:w="5797" w:type="dxa"/>
            <w:gridSpan w:val="6"/>
            <w:tcBorders>
              <w:tl2br w:val="nil"/>
              <w:tr2bl w:val="nil"/>
            </w:tcBorders>
            <w:shd w:val="clear" w:color="auto" w:fill="auto"/>
            <w:noWrap/>
            <w:vAlign w:val="center"/>
          </w:tcPr>
          <w:p w14:paraId="334A5712">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一级（；二级（；三级（</w:t>
            </w:r>
          </w:p>
        </w:tc>
        <w:tc>
          <w:tcPr>
            <w:tcW w:w="735" w:type="dxa"/>
            <w:tcBorders>
              <w:tl2br w:val="nil"/>
              <w:tr2bl w:val="nil"/>
            </w:tcBorders>
            <w:shd w:val="clear" w:color="auto" w:fill="auto"/>
            <w:noWrap/>
            <w:vAlign w:val="center"/>
          </w:tcPr>
          <w:p w14:paraId="64D45E94">
            <w:pPr>
              <w:pStyle w:val="8"/>
              <w:suppressLineNumbers w:val="0"/>
              <w:bidi w:val="0"/>
              <w:spacing w:before="0" w:beforeAutospacing="0" w:after="0" w:afterAutospacing="0"/>
              <w:ind w:left="0" w:right="0"/>
              <w:rPr>
                <w:rFonts w:hint="default"/>
                <w:highlight w:val="none"/>
                <w:lang w:val="en-US"/>
              </w:rPr>
            </w:pPr>
          </w:p>
        </w:tc>
      </w:tr>
      <w:tr w14:paraId="3239C083">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0" w:type="dxa"/>
            <w:bottom w:w="0" w:type="dxa"/>
            <w:right w:w="0" w:type="dxa"/>
          </w:tblCellMar>
        </w:tblPrEx>
        <w:trPr>
          <w:trHeight w:val="358" w:hRule="atLeast"/>
          <w:jc w:val="center"/>
        </w:trPr>
        <w:tc>
          <w:tcPr>
            <w:tcW w:w="580" w:type="dxa"/>
            <w:vMerge w:val="restart"/>
            <w:tcBorders>
              <w:tl2br w:val="nil"/>
              <w:tr2bl w:val="nil"/>
            </w:tcBorders>
            <w:shd w:val="clear" w:color="auto" w:fill="auto"/>
            <w:noWrap/>
            <w:vAlign w:val="center"/>
          </w:tcPr>
          <w:p w14:paraId="3B1D89F3">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现状调查内容</w:t>
            </w:r>
          </w:p>
        </w:tc>
        <w:tc>
          <w:tcPr>
            <w:tcW w:w="1435" w:type="dxa"/>
            <w:tcBorders>
              <w:tl2br w:val="nil"/>
              <w:tr2bl w:val="nil"/>
            </w:tcBorders>
            <w:shd w:val="clear" w:color="auto" w:fill="auto"/>
            <w:noWrap/>
            <w:vAlign w:val="center"/>
          </w:tcPr>
          <w:p w14:paraId="345F9C8B">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资料收集</w:t>
            </w:r>
          </w:p>
        </w:tc>
        <w:tc>
          <w:tcPr>
            <w:tcW w:w="5797" w:type="dxa"/>
            <w:gridSpan w:val="6"/>
            <w:tcBorders>
              <w:tl2br w:val="nil"/>
              <w:tr2bl w:val="nil"/>
            </w:tcBorders>
            <w:shd w:val="clear" w:color="auto" w:fill="auto"/>
            <w:noWrap/>
            <w:vAlign w:val="center"/>
          </w:tcPr>
          <w:p w14:paraId="4599277A">
            <w:pPr>
              <w:pStyle w:val="8"/>
              <w:suppressLineNumbers w:val="0"/>
              <w:bidi w:val="0"/>
              <w:spacing w:before="0" w:beforeAutospacing="0" w:after="0" w:afterAutospacing="0"/>
              <w:ind w:left="0" w:right="0"/>
              <w:rPr>
                <w:rFonts w:hint="default"/>
                <w:highlight w:val="none"/>
                <w:lang w:val="en-US"/>
              </w:rPr>
            </w:pPr>
            <w:r>
              <w:rPr>
                <w:rFonts w:hint="default"/>
                <w:highlight w:val="none"/>
                <w:lang w:val="en-US" w:eastAsia="zh-CN"/>
              </w:rPr>
              <w:t>a</w:t>
            </w:r>
            <w:r>
              <w:rPr>
                <w:rFonts w:hint="eastAsia"/>
                <w:highlight w:val="none"/>
                <w:lang w:val="en-US" w:eastAsia="zh-CN"/>
              </w:rPr>
              <w:t>）（；</w:t>
            </w:r>
            <w:r>
              <w:rPr>
                <w:rFonts w:hint="default"/>
                <w:highlight w:val="none"/>
                <w:lang w:val="en-US" w:eastAsia="zh-CN"/>
              </w:rPr>
              <w:t>b</w:t>
            </w:r>
            <w:r>
              <w:rPr>
                <w:rFonts w:hint="eastAsia"/>
                <w:highlight w:val="none"/>
                <w:lang w:val="en-US" w:eastAsia="zh-CN"/>
              </w:rPr>
              <w:t>）（；</w:t>
            </w:r>
            <w:r>
              <w:rPr>
                <w:rFonts w:hint="default"/>
                <w:highlight w:val="none"/>
                <w:lang w:val="en-US" w:eastAsia="zh-CN"/>
              </w:rPr>
              <w:t>c</w:t>
            </w:r>
            <w:r>
              <w:rPr>
                <w:rFonts w:hint="eastAsia"/>
                <w:highlight w:val="none"/>
                <w:lang w:val="en-US" w:eastAsia="zh-CN"/>
              </w:rPr>
              <w:t>）（；</w:t>
            </w:r>
            <w:r>
              <w:rPr>
                <w:rFonts w:hint="default"/>
                <w:highlight w:val="none"/>
                <w:lang w:val="en-US" w:eastAsia="zh-CN"/>
              </w:rPr>
              <w:t>d</w:t>
            </w:r>
            <w:r>
              <w:rPr>
                <w:rFonts w:hint="eastAsia"/>
                <w:highlight w:val="none"/>
                <w:lang w:val="en-US" w:eastAsia="zh-CN"/>
              </w:rPr>
              <w:t>）（</w:t>
            </w:r>
          </w:p>
        </w:tc>
        <w:tc>
          <w:tcPr>
            <w:tcW w:w="735" w:type="dxa"/>
            <w:tcBorders>
              <w:tl2br w:val="nil"/>
              <w:tr2bl w:val="nil"/>
            </w:tcBorders>
            <w:shd w:val="clear" w:color="auto" w:fill="auto"/>
            <w:noWrap/>
            <w:vAlign w:val="center"/>
          </w:tcPr>
          <w:p w14:paraId="1B139BBC">
            <w:pPr>
              <w:pStyle w:val="8"/>
              <w:suppressLineNumbers w:val="0"/>
              <w:bidi w:val="0"/>
              <w:spacing w:before="0" w:beforeAutospacing="0" w:after="0" w:afterAutospacing="0"/>
              <w:ind w:left="0" w:right="0"/>
              <w:rPr>
                <w:rFonts w:hint="default"/>
                <w:highlight w:val="none"/>
                <w:lang w:val="en-US"/>
              </w:rPr>
            </w:pPr>
          </w:p>
        </w:tc>
      </w:tr>
      <w:tr w14:paraId="489D50B3">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0" w:type="dxa"/>
            <w:bottom w:w="0" w:type="dxa"/>
            <w:right w:w="0" w:type="dxa"/>
          </w:tblCellMar>
        </w:tblPrEx>
        <w:trPr>
          <w:trHeight w:val="221" w:hRule="atLeast"/>
          <w:jc w:val="center"/>
        </w:trPr>
        <w:tc>
          <w:tcPr>
            <w:tcW w:w="580" w:type="dxa"/>
            <w:vMerge w:val="continue"/>
            <w:tcBorders>
              <w:tl2br w:val="nil"/>
              <w:tr2bl w:val="nil"/>
            </w:tcBorders>
            <w:shd w:val="clear" w:color="auto" w:fill="auto"/>
            <w:noWrap/>
            <w:vAlign w:val="center"/>
          </w:tcPr>
          <w:p w14:paraId="459C4FB1">
            <w:pPr>
              <w:pStyle w:val="8"/>
              <w:suppressLineNumbers w:val="0"/>
              <w:bidi w:val="0"/>
              <w:spacing w:before="0" w:beforeAutospacing="0" w:after="0" w:afterAutospacing="0"/>
              <w:ind w:left="0" w:right="0"/>
              <w:rPr>
                <w:rFonts w:hint="default"/>
                <w:highlight w:val="none"/>
              </w:rPr>
            </w:pPr>
          </w:p>
        </w:tc>
        <w:tc>
          <w:tcPr>
            <w:tcW w:w="1435" w:type="dxa"/>
            <w:tcBorders>
              <w:tl2br w:val="nil"/>
              <w:tr2bl w:val="nil"/>
            </w:tcBorders>
            <w:shd w:val="clear" w:color="auto" w:fill="auto"/>
            <w:noWrap/>
            <w:vAlign w:val="center"/>
          </w:tcPr>
          <w:p w14:paraId="3753092D">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理化特性</w:t>
            </w:r>
          </w:p>
        </w:tc>
        <w:tc>
          <w:tcPr>
            <w:tcW w:w="5797" w:type="dxa"/>
            <w:gridSpan w:val="6"/>
            <w:tcBorders>
              <w:tl2br w:val="nil"/>
              <w:tr2bl w:val="nil"/>
            </w:tcBorders>
            <w:shd w:val="clear" w:color="auto" w:fill="auto"/>
            <w:noWrap/>
            <w:vAlign w:val="center"/>
          </w:tcPr>
          <w:p w14:paraId="11A3692C">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黑色、潮湿、壤土</w:t>
            </w:r>
          </w:p>
        </w:tc>
        <w:tc>
          <w:tcPr>
            <w:tcW w:w="735" w:type="dxa"/>
            <w:tcBorders>
              <w:tl2br w:val="nil"/>
              <w:tr2bl w:val="nil"/>
            </w:tcBorders>
            <w:shd w:val="clear" w:color="auto" w:fill="auto"/>
            <w:noWrap/>
            <w:vAlign w:val="center"/>
          </w:tcPr>
          <w:p w14:paraId="72275A25">
            <w:pPr>
              <w:pStyle w:val="8"/>
              <w:suppressLineNumbers w:val="0"/>
              <w:bidi w:val="0"/>
              <w:spacing w:before="0" w:beforeAutospacing="0" w:after="0" w:afterAutospacing="0"/>
              <w:ind w:left="0" w:right="0"/>
              <w:rPr>
                <w:rFonts w:hint="default"/>
                <w:highlight w:val="none"/>
                <w:lang w:val="en-US"/>
              </w:rPr>
            </w:pPr>
          </w:p>
        </w:tc>
      </w:tr>
      <w:tr w14:paraId="066C329F">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0" w:type="dxa"/>
            <w:bottom w:w="0" w:type="dxa"/>
            <w:right w:w="0" w:type="dxa"/>
          </w:tblCellMar>
        </w:tblPrEx>
        <w:trPr>
          <w:trHeight w:val="358" w:hRule="atLeast"/>
          <w:jc w:val="center"/>
        </w:trPr>
        <w:tc>
          <w:tcPr>
            <w:tcW w:w="580" w:type="dxa"/>
            <w:vMerge w:val="continue"/>
            <w:tcBorders>
              <w:tl2br w:val="nil"/>
              <w:tr2bl w:val="nil"/>
            </w:tcBorders>
            <w:shd w:val="clear" w:color="auto" w:fill="auto"/>
            <w:noWrap/>
            <w:vAlign w:val="center"/>
          </w:tcPr>
          <w:p w14:paraId="5C20F4BE">
            <w:pPr>
              <w:pStyle w:val="8"/>
              <w:suppressLineNumbers w:val="0"/>
              <w:bidi w:val="0"/>
              <w:spacing w:before="0" w:beforeAutospacing="0" w:after="0" w:afterAutospacing="0"/>
              <w:ind w:left="0" w:right="0"/>
              <w:rPr>
                <w:rFonts w:hint="default"/>
                <w:highlight w:val="none"/>
              </w:rPr>
            </w:pPr>
          </w:p>
        </w:tc>
        <w:tc>
          <w:tcPr>
            <w:tcW w:w="1435" w:type="dxa"/>
            <w:vMerge w:val="restart"/>
            <w:tcBorders>
              <w:tl2br w:val="nil"/>
              <w:tr2bl w:val="nil"/>
            </w:tcBorders>
            <w:shd w:val="clear" w:color="auto" w:fill="auto"/>
            <w:noWrap/>
            <w:vAlign w:val="center"/>
          </w:tcPr>
          <w:p w14:paraId="3AF74087">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现状监测点位</w:t>
            </w:r>
          </w:p>
        </w:tc>
        <w:tc>
          <w:tcPr>
            <w:tcW w:w="1157" w:type="dxa"/>
            <w:gridSpan w:val="2"/>
            <w:tcBorders>
              <w:tl2br w:val="nil"/>
              <w:tr2bl w:val="nil"/>
            </w:tcBorders>
            <w:shd w:val="clear" w:color="auto" w:fill="auto"/>
            <w:noWrap/>
            <w:vAlign w:val="center"/>
          </w:tcPr>
          <w:p w14:paraId="67E400ED">
            <w:pPr>
              <w:pStyle w:val="8"/>
              <w:suppressLineNumbers w:val="0"/>
              <w:bidi w:val="0"/>
              <w:spacing w:before="0" w:beforeAutospacing="0" w:after="0" w:afterAutospacing="0"/>
              <w:ind w:left="0" w:right="0"/>
              <w:rPr>
                <w:rFonts w:hint="default"/>
                <w:highlight w:val="none"/>
                <w:lang w:val="en-US"/>
              </w:rPr>
            </w:pPr>
          </w:p>
        </w:tc>
        <w:tc>
          <w:tcPr>
            <w:tcW w:w="1446" w:type="dxa"/>
            <w:tcBorders>
              <w:tl2br w:val="nil"/>
              <w:tr2bl w:val="nil"/>
            </w:tcBorders>
            <w:shd w:val="clear" w:color="auto" w:fill="auto"/>
            <w:noWrap/>
            <w:vAlign w:val="center"/>
          </w:tcPr>
          <w:p w14:paraId="7B0AD9A2">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占地范围内</w:t>
            </w:r>
          </w:p>
        </w:tc>
        <w:tc>
          <w:tcPr>
            <w:tcW w:w="1367" w:type="dxa"/>
            <w:gridSpan w:val="2"/>
            <w:tcBorders>
              <w:tl2br w:val="nil"/>
              <w:tr2bl w:val="nil"/>
            </w:tcBorders>
            <w:shd w:val="clear" w:color="auto" w:fill="auto"/>
            <w:noWrap/>
            <w:vAlign w:val="center"/>
          </w:tcPr>
          <w:p w14:paraId="10AC28F3">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占地范围外</w:t>
            </w:r>
          </w:p>
        </w:tc>
        <w:tc>
          <w:tcPr>
            <w:tcW w:w="1827" w:type="dxa"/>
            <w:tcBorders>
              <w:tl2br w:val="nil"/>
              <w:tr2bl w:val="nil"/>
            </w:tcBorders>
            <w:shd w:val="clear" w:color="auto" w:fill="auto"/>
            <w:noWrap/>
            <w:vAlign w:val="center"/>
          </w:tcPr>
          <w:p w14:paraId="20AFAB6A">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深度</w:t>
            </w:r>
          </w:p>
        </w:tc>
        <w:tc>
          <w:tcPr>
            <w:tcW w:w="735" w:type="dxa"/>
            <w:vMerge w:val="restart"/>
            <w:tcBorders>
              <w:tl2br w:val="nil"/>
              <w:tr2bl w:val="nil"/>
            </w:tcBorders>
            <w:shd w:val="clear" w:color="auto" w:fill="auto"/>
            <w:noWrap/>
            <w:vAlign w:val="center"/>
          </w:tcPr>
          <w:p w14:paraId="6D3B6505">
            <w:pPr>
              <w:pStyle w:val="8"/>
              <w:suppressLineNumbers w:val="0"/>
              <w:bidi w:val="0"/>
              <w:spacing w:before="0" w:beforeAutospacing="0" w:after="0" w:afterAutospacing="0"/>
              <w:ind w:left="0" w:right="0"/>
              <w:rPr>
                <w:rFonts w:hint="default"/>
                <w:highlight w:val="none"/>
                <w:lang w:val="en-US"/>
              </w:rPr>
            </w:pPr>
          </w:p>
        </w:tc>
      </w:tr>
      <w:tr w14:paraId="6CF992F9">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358" w:hRule="atLeast"/>
          <w:jc w:val="center"/>
        </w:trPr>
        <w:tc>
          <w:tcPr>
            <w:tcW w:w="580" w:type="dxa"/>
            <w:vMerge w:val="continue"/>
            <w:tcBorders>
              <w:tl2br w:val="nil"/>
              <w:tr2bl w:val="nil"/>
            </w:tcBorders>
            <w:shd w:val="clear" w:color="auto" w:fill="auto"/>
            <w:noWrap/>
            <w:vAlign w:val="center"/>
          </w:tcPr>
          <w:p w14:paraId="54723972">
            <w:pPr>
              <w:pStyle w:val="8"/>
              <w:suppressLineNumbers w:val="0"/>
              <w:bidi w:val="0"/>
              <w:spacing w:before="0" w:beforeAutospacing="0" w:after="0" w:afterAutospacing="0"/>
              <w:ind w:left="0" w:right="0"/>
              <w:rPr>
                <w:rFonts w:hint="default"/>
                <w:highlight w:val="none"/>
              </w:rPr>
            </w:pPr>
          </w:p>
        </w:tc>
        <w:tc>
          <w:tcPr>
            <w:tcW w:w="1435" w:type="dxa"/>
            <w:vMerge w:val="continue"/>
            <w:tcBorders>
              <w:tl2br w:val="nil"/>
              <w:tr2bl w:val="nil"/>
            </w:tcBorders>
            <w:shd w:val="clear" w:color="auto" w:fill="auto"/>
            <w:noWrap/>
            <w:vAlign w:val="center"/>
          </w:tcPr>
          <w:p w14:paraId="63F303A4">
            <w:pPr>
              <w:pStyle w:val="8"/>
              <w:suppressLineNumbers w:val="0"/>
              <w:bidi w:val="0"/>
              <w:spacing w:before="0" w:beforeAutospacing="0" w:after="0" w:afterAutospacing="0"/>
              <w:ind w:left="0" w:right="0"/>
              <w:rPr>
                <w:rFonts w:hint="default"/>
                <w:highlight w:val="none"/>
              </w:rPr>
            </w:pPr>
          </w:p>
        </w:tc>
        <w:tc>
          <w:tcPr>
            <w:tcW w:w="1157" w:type="dxa"/>
            <w:gridSpan w:val="2"/>
            <w:tcBorders>
              <w:tl2br w:val="nil"/>
              <w:tr2bl w:val="nil"/>
            </w:tcBorders>
            <w:shd w:val="clear" w:color="auto" w:fill="auto"/>
            <w:noWrap/>
            <w:vAlign w:val="center"/>
          </w:tcPr>
          <w:p w14:paraId="4945DB25">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表层样点数</w:t>
            </w:r>
          </w:p>
        </w:tc>
        <w:tc>
          <w:tcPr>
            <w:tcW w:w="1446" w:type="dxa"/>
            <w:tcBorders>
              <w:tl2br w:val="nil"/>
              <w:tr2bl w:val="nil"/>
            </w:tcBorders>
            <w:shd w:val="clear" w:color="auto" w:fill="auto"/>
            <w:noWrap/>
            <w:vAlign w:val="center"/>
          </w:tcPr>
          <w:p w14:paraId="2FC926E3">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0个</w:t>
            </w:r>
          </w:p>
        </w:tc>
        <w:tc>
          <w:tcPr>
            <w:tcW w:w="1367" w:type="dxa"/>
            <w:gridSpan w:val="2"/>
            <w:tcBorders>
              <w:tl2br w:val="nil"/>
              <w:tr2bl w:val="nil"/>
            </w:tcBorders>
            <w:shd w:val="clear" w:color="auto" w:fill="auto"/>
            <w:noWrap/>
            <w:vAlign w:val="center"/>
          </w:tcPr>
          <w:p w14:paraId="383882B3">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4个</w:t>
            </w:r>
          </w:p>
        </w:tc>
        <w:tc>
          <w:tcPr>
            <w:tcW w:w="1827" w:type="dxa"/>
            <w:tcBorders>
              <w:tl2br w:val="nil"/>
              <w:tr2bl w:val="nil"/>
            </w:tcBorders>
            <w:shd w:val="clear" w:color="auto" w:fill="auto"/>
            <w:noWrap/>
            <w:vAlign w:val="center"/>
          </w:tcPr>
          <w:p w14:paraId="5D109740">
            <w:pPr>
              <w:pStyle w:val="8"/>
              <w:suppressLineNumbers w:val="0"/>
              <w:bidi w:val="0"/>
              <w:spacing w:before="0" w:beforeAutospacing="0" w:after="0" w:afterAutospacing="0"/>
              <w:ind w:left="0" w:right="0"/>
              <w:rPr>
                <w:rFonts w:hint="default"/>
                <w:highlight w:val="none"/>
                <w:lang w:val="en-US"/>
              </w:rPr>
            </w:pPr>
            <w:r>
              <w:rPr>
                <w:rFonts w:hint="default"/>
                <w:highlight w:val="none"/>
                <w:lang w:val="en-US" w:eastAsia="zh-CN"/>
              </w:rPr>
              <w:t>0~0.2m</w:t>
            </w:r>
          </w:p>
        </w:tc>
        <w:tc>
          <w:tcPr>
            <w:tcW w:w="735" w:type="dxa"/>
            <w:vMerge w:val="continue"/>
            <w:tcBorders>
              <w:tl2br w:val="nil"/>
              <w:tr2bl w:val="nil"/>
            </w:tcBorders>
            <w:shd w:val="clear" w:color="auto" w:fill="auto"/>
            <w:noWrap/>
            <w:vAlign w:val="center"/>
          </w:tcPr>
          <w:p w14:paraId="07D9631D">
            <w:pPr>
              <w:pStyle w:val="8"/>
              <w:suppressLineNumbers w:val="0"/>
              <w:bidi w:val="0"/>
              <w:spacing w:before="0" w:beforeAutospacing="0" w:after="0" w:afterAutospacing="0"/>
              <w:ind w:left="0" w:right="0"/>
              <w:rPr>
                <w:rFonts w:hint="default"/>
                <w:highlight w:val="none"/>
              </w:rPr>
            </w:pPr>
          </w:p>
        </w:tc>
      </w:tr>
      <w:tr w14:paraId="2AE24DA4">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0" w:type="dxa"/>
            <w:bottom w:w="0" w:type="dxa"/>
            <w:right w:w="0" w:type="dxa"/>
          </w:tblCellMar>
        </w:tblPrEx>
        <w:trPr>
          <w:trHeight w:val="578" w:hRule="atLeast"/>
          <w:jc w:val="center"/>
        </w:trPr>
        <w:tc>
          <w:tcPr>
            <w:tcW w:w="580" w:type="dxa"/>
            <w:vMerge w:val="continue"/>
            <w:tcBorders>
              <w:tl2br w:val="nil"/>
              <w:tr2bl w:val="nil"/>
            </w:tcBorders>
            <w:shd w:val="clear" w:color="auto" w:fill="auto"/>
            <w:noWrap/>
            <w:vAlign w:val="center"/>
          </w:tcPr>
          <w:p w14:paraId="2CDD0855">
            <w:pPr>
              <w:pStyle w:val="8"/>
              <w:suppressLineNumbers w:val="0"/>
              <w:bidi w:val="0"/>
              <w:spacing w:before="0" w:beforeAutospacing="0" w:after="0" w:afterAutospacing="0"/>
              <w:ind w:left="0" w:right="0"/>
              <w:rPr>
                <w:rFonts w:hint="default"/>
                <w:highlight w:val="none"/>
              </w:rPr>
            </w:pPr>
          </w:p>
        </w:tc>
        <w:tc>
          <w:tcPr>
            <w:tcW w:w="1435" w:type="dxa"/>
            <w:vMerge w:val="continue"/>
            <w:tcBorders>
              <w:tl2br w:val="nil"/>
              <w:tr2bl w:val="nil"/>
            </w:tcBorders>
            <w:shd w:val="clear" w:color="auto" w:fill="auto"/>
            <w:noWrap/>
            <w:vAlign w:val="center"/>
          </w:tcPr>
          <w:p w14:paraId="79E57D6B">
            <w:pPr>
              <w:pStyle w:val="8"/>
              <w:suppressLineNumbers w:val="0"/>
              <w:bidi w:val="0"/>
              <w:spacing w:before="0" w:beforeAutospacing="0" w:after="0" w:afterAutospacing="0"/>
              <w:ind w:left="0" w:right="0"/>
              <w:rPr>
                <w:rFonts w:hint="default"/>
                <w:highlight w:val="none"/>
              </w:rPr>
            </w:pPr>
          </w:p>
        </w:tc>
        <w:tc>
          <w:tcPr>
            <w:tcW w:w="1157" w:type="dxa"/>
            <w:gridSpan w:val="2"/>
            <w:tcBorders>
              <w:tl2br w:val="nil"/>
              <w:tr2bl w:val="nil"/>
            </w:tcBorders>
            <w:shd w:val="clear" w:color="auto" w:fill="auto"/>
            <w:noWrap/>
            <w:vAlign w:val="center"/>
          </w:tcPr>
          <w:p w14:paraId="39706809">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柱状样点数</w:t>
            </w:r>
          </w:p>
        </w:tc>
        <w:tc>
          <w:tcPr>
            <w:tcW w:w="1446" w:type="dxa"/>
            <w:tcBorders>
              <w:tl2br w:val="nil"/>
              <w:tr2bl w:val="nil"/>
            </w:tcBorders>
            <w:shd w:val="clear" w:color="auto" w:fill="auto"/>
            <w:noWrap/>
            <w:vAlign w:val="center"/>
          </w:tcPr>
          <w:p w14:paraId="62F21543">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0个</w:t>
            </w:r>
          </w:p>
        </w:tc>
        <w:tc>
          <w:tcPr>
            <w:tcW w:w="1367" w:type="dxa"/>
            <w:gridSpan w:val="2"/>
            <w:tcBorders>
              <w:tl2br w:val="nil"/>
              <w:tr2bl w:val="nil"/>
            </w:tcBorders>
            <w:shd w:val="clear" w:color="auto" w:fill="auto"/>
            <w:noWrap/>
            <w:vAlign w:val="center"/>
          </w:tcPr>
          <w:p w14:paraId="0D67BB7D">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0个</w:t>
            </w:r>
          </w:p>
        </w:tc>
        <w:tc>
          <w:tcPr>
            <w:tcW w:w="1827" w:type="dxa"/>
            <w:tcBorders>
              <w:tl2br w:val="nil"/>
              <w:tr2bl w:val="nil"/>
            </w:tcBorders>
            <w:shd w:val="clear" w:color="auto" w:fill="auto"/>
            <w:noWrap/>
            <w:vAlign w:val="center"/>
          </w:tcPr>
          <w:p w14:paraId="25E649D4">
            <w:pPr>
              <w:pStyle w:val="8"/>
              <w:suppressLineNumbers w:val="0"/>
              <w:bidi w:val="0"/>
              <w:spacing w:before="0" w:beforeAutospacing="0" w:after="0" w:afterAutospacing="0"/>
              <w:ind w:left="0" w:right="0"/>
              <w:rPr>
                <w:rFonts w:hint="default"/>
                <w:highlight w:val="none"/>
                <w:lang w:val="en-US"/>
              </w:rPr>
            </w:pPr>
            <w:r>
              <w:rPr>
                <w:rFonts w:hint="default"/>
                <w:highlight w:val="none"/>
                <w:lang w:val="en-US" w:eastAsia="zh-CN"/>
              </w:rPr>
              <w:t>0~0.5m</w:t>
            </w:r>
            <w:r>
              <w:rPr>
                <w:rFonts w:hint="eastAsia"/>
                <w:highlight w:val="none"/>
                <w:lang w:val="en-US" w:eastAsia="zh-CN"/>
              </w:rPr>
              <w:t>、</w:t>
            </w:r>
            <w:r>
              <w:rPr>
                <w:rFonts w:hint="default"/>
                <w:highlight w:val="none"/>
                <w:lang w:val="en-US" w:eastAsia="zh-CN"/>
              </w:rPr>
              <w:t>0.5~1.5m</w:t>
            </w:r>
            <w:r>
              <w:rPr>
                <w:rFonts w:hint="eastAsia"/>
                <w:highlight w:val="none"/>
                <w:lang w:val="en-US" w:eastAsia="zh-CN"/>
              </w:rPr>
              <w:t>、</w:t>
            </w:r>
            <w:r>
              <w:rPr>
                <w:rFonts w:hint="default"/>
                <w:highlight w:val="none"/>
                <w:lang w:val="en-US" w:eastAsia="zh-CN"/>
              </w:rPr>
              <w:t>1.5~3m</w:t>
            </w:r>
          </w:p>
        </w:tc>
        <w:tc>
          <w:tcPr>
            <w:tcW w:w="735" w:type="dxa"/>
            <w:vMerge w:val="continue"/>
            <w:tcBorders>
              <w:tl2br w:val="nil"/>
              <w:tr2bl w:val="nil"/>
            </w:tcBorders>
            <w:shd w:val="clear" w:color="auto" w:fill="auto"/>
            <w:noWrap/>
            <w:vAlign w:val="center"/>
          </w:tcPr>
          <w:p w14:paraId="2D1A3E54">
            <w:pPr>
              <w:pStyle w:val="8"/>
              <w:suppressLineNumbers w:val="0"/>
              <w:bidi w:val="0"/>
              <w:spacing w:before="0" w:beforeAutospacing="0" w:after="0" w:afterAutospacing="0"/>
              <w:ind w:left="0" w:right="0"/>
              <w:rPr>
                <w:rFonts w:hint="default"/>
                <w:highlight w:val="none"/>
              </w:rPr>
            </w:pPr>
          </w:p>
        </w:tc>
      </w:tr>
      <w:tr w14:paraId="08C5287F">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0" w:type="dxa"/>
            <w:bottom w:w="0" w:type="dxa"/>
            <w:right w:w="0" w:type="dxa"/>
          </w:tblCellMar>
        </w:tblPrEx>
        <w:trPr>
          <w:trHeight w:val="358" w:hRule="atLeast"/>
          <w:jc w:val="center"/>
        </w:trPr>
        <w:tc>
          <w:tcPr>
            <w:tcW w:w="580" w:type="dxa"/>
            <w:vMerge w:val="continue"/>
            <w:tcBorders>
              <w:tl2br w:val="nil"/>
              <w:tr2bl w:val="nil"/>
            </w:tcBorders>
            <w:shd w:val="clear" w:color="auto" w:fill="auto"/>
            <w:noWrap/>
            <w:vAlign w:val="center"/>
          </w:tcPr>
          <w:p w14:paraId="70014873">
            <w:pPr>
              <w:pStyle w:val="8"/>
              <w:suppressLineNumbers w:val="0"/>
              <w:bidi w:val="0"/>
              <w:spacing w:before="0" w:beforeAutospacing="0" w:after="0" w:afterAutospacing="0"/>
              <w:ind w:left="0" w:right="0"/>
              <w:rPr>
                <w:rFonts w:hint="default"/>
                <w:highlight w:val="none"/>
              </w:rPr>
            </w:pPr>
          </w:p>
        </w:tc>
        <w:tc>
          <w:tcPr>
            <w:tcW w:w="1435" w:type="dxa"/>
            <w:tcBorders>
              <w:tl2br w:val="nil"/>
              <w:tr2bl w:val="nil"/>
            </w:tcBorders>
            <w:shd w:val="clear" w:color="auto" w:fill="auto"/>
            <w:noWrap/>
            <w:vAlign w:val="center"/>
          </w:tcPr>
          <w:p w14:paraId="61BC3CD6">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现状监测因子</w:t>
            </w:r>
          </w:p>
        </w:tc>
        <w:tc>
          <w:tcPr>
            <w:tcW w:w="5797" w:type="dxa"/>
            <w:gridSpan w:val="6"/>
            <w:tcBorders>
              <w:tl2br w:val="nil"/>
              <w:tr2bl w:val="nil"/>
            </w:tcBorders>
            <w:shd w:val="clear" w:color="auto" w:fill="auto"/>
            <w:noWrap/>
            <w:vAlign w:val="top"/>
          </w:tcPr>
          <w:p w14:paraId="269A70CF">
            <w:pPr>
              <w:pStyle w:val="8"/>
              <w:suppressLineNumbers w:val="0"/>
              <w:bidi w:val="0"/>
              <w:spacing w:before="0" w:beforeAutospacing="0" w:after="0" w:afterAutospacing="0"/>
              <w:ind w:left="0" w:right="0"/>
              <w:rPr>
                <w:rFonts w:hint="default"/>
                <w:highlight w:val="none"/>
                <w:lang w:val="en-US"/>
              </w:rPr>
            </w:pPr>
            <w:r>
              <w:rPr>
                <w:rFonts w:hint="default"/>
                <w:highlight w:val="none"/>
                <w:lang w:val="en-US" w:eastAsia="zh-CN"/>
              </w:rPr>
              <w:t>GB36600-2018</w:t>
            </w:r>
            <w:r>
              <w:rPr>
                <w:rFonts w:hint="eastAsia"/>
                <w:highlight w:val="none"/>
                <w:lang w:val="en-US" w:eastAsia="zh-CN"/>
              </w:rPr>
              <w:t>表</w:t>
            </w:r>
            <w:r>
              <w:rPr>
                <w:rFonts w:hint="default"/>
                <w:highlight w:val="none"/>
                <w:lang w:val="en-US" w:eastAsia="zh-CN"/>
              </w:rPr>
              <w:t>1</w:t>
            </w:r>
            <w:r>
              <w:rPr>
                <w:rFonts w:hint="eastAsia"/>
                <w:highlight w:val="none"/>
                <w:lang w:val="en-US" w:eastAsia="zh-CN"/>
              </w:rPr>
              <w:t>（</w:t>
            </w:r>
            <w:r>
              <w:rPr>
                <w:rFonts w:hint="default"/>
                <w:highlight w:val="none"/>
                <w:lang w:val="en-US" w:eastAsia="zh-CN"/>
              </w:rPr>
              <w:t>45</w:t>
            </w:r>
            <w:r>
              <w:rPr>
                <w:rFonts w:hint="eastAsia"/>
                <w:highlight w:val="none"/>
                <w:lang w:val="en-US" w:eastAsia="zh-CN"/>
              </w:rPr>
              <w:t>项基本物质）</w:t>
            </w:r>
            <w:r>
              <w:rPr>
                <w:rFonts w:hint="default"/>
                <w:highlight w:val="none"/>
                <w:lang w:val="en-US" w:eastAsia="zh-CN"/>
              </w:rPr>
              <w:t>+</w:t>
            </w:r>
            <w:r>
              <w:rPr>
                <w:rFonts w:hint="eastAsia"/>
                <w:highlight w:val="none"/>
                <w:lang w:val="en-US" w:eastAsia="zh-CN"/>
              </w:rPr>
              <w:t>石油烃</w:t>
            </w:r>
          </w:p>
        </w:tc>
        <w:tc>
          <w:tcPr>
            <w:tcW w:w="735" w:type="dxa"/>
            <w:tcBorders>
              <w:tl2br w:val="nil"/>
              <w:tr2bl w:val="nil"/>
            </w:tcBorders>
            <w:shd w:val="clear" w:color="auto" w:fill="auto"/>
            <w:noWrap/>
            <w:vAlign w:val="center"/>
          </w:tcPr>
          <w:p w14:paraId="32BDA2F3">
            <w:pPr>
              <w:pStyle w:val="8"/>
              <w:suppressLineNumbers w:val="0"/>
              <w:bidi w:val="0"/>
              <w:spacing w:before="0" w:beforeAutospacing="0" w:after="0" w:afterAutospacing="0"/>
              <w:ind w:left="0" w:right="0"/>
              <w:rPr>
                <w:rFonts w:hint="default"/>
                <w:highlight w:val="none"/>
                <w:lang w:val="en-US"/>
              </w:rPr>
            </w:pPr>
          </w:p>
        </w:tc>
      </w:tr>
      <w:tr w14:paraId="17F30110">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0" w:type="dxa"/>
            <w:bottom w:w="0" w:type="dxa"/>
            <w:right w:w="0" w:type="dxa"/>
          </w:tblCellMar>
        </w:tblPrEx>
        <w:trPr>
          <w:trHeight w:val="273" w:hRule="atLeast"/>
          <w:jc w:val="center"/>
        </w:trPr>
        <w:tc>
          <w:tcPr>
            <w:tcW w:w="580" w:type="dxa"/>
            <w:vMerge w:val="restart"/>
            <w:tcBorders>
              <w:tl2br w:val="nil"/>
              <w:tr2bl w:val="nil"/>
            </w:tcBorders>
            <w:shd w:val="clear" w:color="auto" w:fill="auto"/>
            <w:noWrap/>
            <w:vAlign w:val="center"/>
          </w:tcPr>
          <w:p w14:paraId="4B7D8FA1">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现状评</w:t>
            </w:r>
          </w:p>
          <w:p w14:paraId="13003ECB">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价</w:t>
            </w:r>
          </w:p>
        </w:tc>
        <w:tc>
          <w:tcPr>
            <w:tcW w:w="1435" w:type="dxa"/>
            <w:tcBorders>
              <w:tl2br w:val="nil"/>
              <w:tr2bl w:val="nil"/>
            </w:tcBorders>
            <w:shd w:val="clear" w:color="auto" w:fill="auto"/>
            <w:noWrap/>
            <w:vAlign w:val="center"/>
          </w:tcPr>
          <w:p w14:paraId="572D6AB4">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评价因子</w:t>
            </w:r>
          </w:p>
        </w:tc>
        <w:tc>
          <w:tcPr>
            <w:tcW w:w="5797" w:type="dxa"/>
            <w:gridSpan w:val="6"/>
            <w:tcBorders>
              <w:tl2br w:val="nil"/>
              <w:tr2bl w:val="nil"/>
            </w:tcBorders>
            <w:shd w:val="clear" w:color="auto" w:fill="auto"/>
            <w:noWrap/>
            <w:vAlign w:val="top"/>
          </w:tcPr>
          <w:p w14:paraId="3B1B55AB">
            <w:pPr>
              <w:pStyle w:val="8"/>
              <w:suppressLineNumbers w:val="0"/>
              <w:bidi w:val="0"/>
              <w:spacing w:before="0" w:beforeAutospacing="0" w:after="0" w:afterAutospacing="0"/>
              <w:ind w:left="0" w:right="0"/>
              <w:rPr>
                <w:rFonts w:hint="default"/>
                <w:highlight w:val="none"/>
                <w:lang w:val="en-US"/>
              </w:rPr>
            </w:pPr>
            <w:r>
              <w:rPr>
                <w:rFonts w:hint="default"/>
                <w:highlight w:val="none"/>
                <w:lang w:val="en-US" w:eastAsia="zh-CN"/>
              </w:rPr>
              <w:t>GB36600-2018</w:t>
            </w:r>
            <w:r>
              <w:rPr>
                <w:rFonts w:hint="eastAsia"/>
                <w:highlight w:val="none"/>
                <w:lang w:val="en-US" w:eastAsia="zh-CN"/>
              </w:rPr>
              <w:t>表</w:t>
            </w:r>
            <w:r>
              <w:rPr>
                <w:rFonts w:hint="default"/>
                <w:highlight w:val="none"/>
                <w:lang w:val="en-US" w:eastAsia="zh-CN"/>
              </w:rPr>
              <w:t>1</w:t>
            </w:r>
            <w:r>
              <w:rPr>
                <w:rFonts w:hint="eastAsia"/>
                <w:highlight w:val="none"/>
                <w:lang w:val="en-US" w:eastAsia="zh-CN"/>
              </w:rPr>
              <w:t>（</w:t>
            </w:r>
            <w:r>
              <w:rPr>
                <w:rFonts w:hint="default"/>
                <w:highlight w:val="none"/>
                <w:lang w:val="en-US" w:eastAsia="zh-CN"/>
              </w:rPr>
              <w:t>45</w:t>
            </w:r>
            <w:r>
              <w:rPr>
                <w:rFonts w:hint="eastAsia"/>
                <w:highlight w:val="none"/>
                <w:lang w:val="en-US" w:eastAsia="zh-CN"/>
              </w:rPr>
              <w:t>项基本物质）</w:t>
            </w:r>
            <w:r>
              <w:rPr>
                <w:rFonts w:hint="default"/>
                <w:highlight w:val="none"/>
                <w:lang w:val="en-US" w:eastAsia="zh-CN"/>
              </w:rPr>
              <w:t>+</w:t>
            </w:r>
            <w:r>
              <w:rPr>
                <w:rFonts w:hint="eastAsia"/>
                <w:highlight w:val="none"/>
                <w:lang w:val="en-US" w:eastAsia="zh-CN"/>
              </w:rPr>
              <w:t>石油烃</w:t>
            </w:r>
          </w:p>
        </w:tc>
        <w:tc>
          <w:tcPr>
            <w:tcW w:w="735" w:type="dxa"/>
            <w:tcBorders>
              <w:tl2br w:val="nil"/>
              <w:tr2bl w:val="nil"/>
            </w:tcBorders>
            <w:shd w:val="clear" w:color="auto" w:fill="auto"/>
            <w:noWrap/>
            <w:vAlign w:val="center"/>
          </w:tcPr>
          <w:p w14:paraId="25B7E44D">
            <w:pPr>
              <w:pStyle w:val="8"/>
              <w:suppressLineNumbers w:val="0"/>
              <w:bidi w:val="0"/>
              <w:spacing w:before="0" w:beforeAutospacing="0" w:after="0" w:afterAutospacing="0"/>
              <w:ind w:left="0" w:right="0"/>
              <w:rPr>
                <w:rFonts w:hint="default"/>
                <w:highlight w:val="none"/>
                <w:lang w:val="en-US"/>
              </w:rPr>
            </w:pPr>
          </w:p>
        </w:tc>
      </w:tr>
      <w:tr w14:paraId="5E4B3BF0">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0" w:type="dxa"/>
            <w:bottom w:w="0" w:type="dxa"/>
            <w:right w:w="0" w:type="dxa"/>
          </w:tblCellMar>
        </w:tblPrEx>
        <w:trPr>
          <w:trHeight w:val="358" w:hRule="atLeast"/>
          <w:jc w:val="center"/>
        </w:trPr>
        <w:tc>
          <w:tcPr>
            <w:tcW w:w="580" w:type="dxa"/>
            <w:vMerge w:val="continue"/>
            <w:tcBorders>
              <w:tl2br w:val="nil"/>
              <w:tr2bl w:val="nil"/>
            </w:tcBorders>
            <w:shd w:val="clear" w:color="auto" w:fill="auto"/>
            <w:noWrap/>
            <w:vAlign w:val="center"/>
          </w:tcPr>
          <w:p w14:paraId="1B209F21">
            <w:pPr>
              <w:pStyle w:val="8"/>
              <w:suppressLineNumbers w:val="0"/>
              <w:bidi w:val="0"/>
              <w:spacing w:before="0" w:beforeAutospacing="0" w:after="0" w:afterAutospacing="0"/>
              <w:ind w:left="0" w:right="0"/>
              <w:rPr>
                <w:rFonts w:hint="default"/>
                <w:highlight w:val="none"/>
              </w:rPr>
            </w:pPr>
          </w:p>
        </w:tc>
        <w:tc>
          <w:tcPr>
            <w:tcW w:w="1435" w:type="dxa"/>
            <w:tcBorders>
              <w:tl2br w:val="nil"/>
              <w:tr2bl w:val="nil"/>
            </w:tcBorders>
            <w:shd w:val="clear" w:color="auto" w:fill="auto"/>
            <w:noWrap/>
            <w:vAlign w:val="center"/>
          </w:tcPr>
          <w:p w14:paraId="0CB9F561">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评价标准</w:t>
            </w:r>
          </w:p>
        </w:tc>
        <w:tc>
          <w:tcPr>
            <w:tcW w:w="5797" w:type="dxa"/>
            <w:gridSpan w:val="6"/>
            <w:tcBorders>
              <w:tl2br w:val="nil"/>
              <w:tr2bl w:val="nil"/>
            </w:tcBorders>
            <w:shd w:val="clear" w:color="auto" w:fill="auto"/>
            <w:noWrap/>
            <w:vAlign w:val="center"/>
          </w:tcPr>
          <w:p w14:paraId="0721003F">
            <w:pPr>
              <w:pStyle w:val="8"/>
              <w:suppressLineNumbers w:val="0"/>
              <w:bidi w:val="0"/>
              <w:spacing w:before="0" w:beforeAutospacing="0" w:after="0" w:afterAutospacing="0"/>
              <w:ind w:left="0" w:right="0"/>
              <w:rPr>
                <w:rFonts w:hint="default"/>
                <w:highlight w:val="none"/>
                <w:lang w:val="en-US"/>
              </w:rPr>
            </w:pPr>
            <w:r>
              <w:rPr>
                <w:rFonts w:hint="default"/>
                <w:highlight w:val="none"/>
                <w:lang w:val="en-US" w:eastAsia="zh-CN"/>
              </w:rPr>
              <w:t>GB15618</w:t>
            </w:r>
            <w:r>
              <w:rPr>
                <w:rFonts w:hint="eastAsia"/>
                <w:highlight w:val="none"/>
                <w:lang w:val="en-US" w:eastAsia="zh-CN"/>
              </w:rPr>
              <w:t>（；</w:t>
            </w:r>
            <w:r>
              <w:rPr>
                <w:rFonts w:hint="default"/>
                <w:highlight w:val="none"/>
                <w:lang w:val="en-US" w:eastAsia="zh-CN"/>
              </w:rPr>
              <w:t>GB36600</w:t>
            </w:r>
            <w:r>
              <w:rPr>
                <w:rFonts w:hint="eastAsia"/>
                <w:highlight w:val="none"/>
                <w:lang w:val="en-US" w:eastAsia="zh-CN"/>
              </w:rPr>
              <w:t>（；表</w:t>
            </w:r>
            <w:r>
              <w:rPr>
                <w:rFonts w:hint="default"/>
                <w:highlight w:val="none"/>
                <w:lang w:val="en-US" w:eastAsia="zh-CN"/>
              </w:rPr>
              <w:t>D.1</w:t>
            </w:r>
            <w:r>
              <w:rPr>
                <w:rFonts w:hint="eastAsia"/>
                <w:highlight w:val="none"/>
                <w:lang w:val="en-US" w:eastAsia="zh-CN"/>
              </w:rPr>
              <w:t>（；表</w:t>
            </w:r>
            <w:r>
              <w:rPr>
                <w:rFonts w:hint="default"/>
                <w:highlight w:val="none"/>
                <w:lang w:val="en-US" w:eastAsia="zh-CN"/>
              </w:rPr>
              <w:t>D.2</w:t>
            </w:r>
            <w:r>
              <w:rPr>
                <w:rFonts w:hint="eastAsia"/>
                <w:highlight w:val="none"/>
                <w:lang w:val="en-US" w:eastAsia="zh-CN"/>
              </w:rPr>
              <w:t>（；其他（）</w:t>
            </w:r>
          </w:p>
        </w:tc>
        <w:tc>
          <w:tcPr>
            <w:tcW w:w="735" w:type="dxa"/>
            <w:tcBorders>
              <w:tl2br w:val="nil"/>
              <w:tr2bl w:val="nil"/>
            </w:tcBorders>
            <w:shd w:val="clear" w:color="auto" w:fill="auto"/>
            <w:noWrap/>
            <w:vAlign w:val="center"/>
          </w:tcPr>
          <w:p w14:paraId="328FC873">
            <w:pPr>
              <w:pStyle w:val="8"/>
              <w:suppressLineNumbers w:val="0"/>
              <w:bidi w:val="0"/>
              <w:spacing w:before="0" w:beforeAutospacing="0" w:after="0" w:afterAutospacing="0"/>
              <w:ind w:left="0" w:right="0"/>
              <w:rPr>
                <w:rFonts w:hint="default"/>
                <w:highlight w:val="none"/>
                <w:lang w:val="en-US"/>
              </w:rPr>
            </w:pPr>
          </w:p>
        </w:tc>
      </w:tr>
      <w:tr w14:paraId="2195302B">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358" w:hRule="atLeast"/>
          <w:jc w:val="center"/>
        </w:trPr>
        <w:tc>
          <w:tcPr>
            <w:tcW w:w="580" w:type="dxa"/>
            <w:vMerge w:val="continue"/>
            <w:tcBorders>
              <w:tl2br w:val="nil"/>
              <w:tr2bl w:val="nil"/>
            </w:tcBorders>
            <w:shd w:val="clear" w:color="auto" w:fill="auto"/>
            <w:noWrap/>
            <w:vAlign w:val="center"/>
          </w:tcPr>
          <w:p w14:paraId="51B5DBAB">
            <w:pPr>
              <w:pStyle w:val="8"/>
              <w:suppressLineNumbers w:val="0"/>
              <w:bidi w:val="0"/>
              <w:spacing w:before="0" w:beforeAutospacing="0" w:after="0" w:afterAutospacing="0"/>
              <w:ind w:left="0" w:right="0"/>
              <w:rPr>
                <w:rFonts w:hint="default"/>
                <w:highlight w:val="none"/>
              </w:rPr>
            </w:pPr>
          </w:p>
        </w:tc>
        <w:tc>
          <w:tcPr>
            <w:tcW w:w="1435" w:type="dxa"/>
            <w:tcBorders>
              <w:tl2br w:val="nil"/>
              <w:tr2bl w:val="nil"/>
            </w:tcBorders>
            <w:shd w:val="clear" w:color="auto" w:fill="auto"/>
            <w:noWrap/>
            <w:vAlign w:val="center"/>
          </w:tcPr>
          <w:p w14:paraId="78A6D894">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现状评价结论</w:t>
            </w:r>
          </w:p>
        </w:tc>
        <w:tc>
          <w:tcPr>
            <w:tcW w:w="5797" w:type="dxa"/>
            <w:gridSpan w:val="6"/>
            <w:tcBorders>
              <w:tl2br w:val="nil"/>
              <w:tr2bl w:val="nil"/>
            </w:tcBorders>
            <w:shd w:val="clear" w:color="auto" w:fill="auto"/>
            <w:noWrap/>
            <w:vAlign w:val="center"/>
          </w:tcPr>
          <w:p w14:paraId="6EE12971">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土壤现状满足</w:t>
            </w:r>
            <w:r>
              <w:rPr>
                <w:rFonts w:hint="default"/>
                <w:highlight w:val="none"/>
                <w:lang w:val="en-US" w:eastAsia="zh-CN"/>
              </w:rPr>
              <w:t>GB36600-2018</w:t>
            </w:r>
            <w:r>
              <w:rPr>
                <w:rFonts w:hint="eastAsia"/>
                <w:highlight w:val="none"/>
                <w:lang w:val="en-US" w:eastAsia="zh-CN"/>
              </w:rPr>
              <w:t>标准</w:t>
            </w:r>
          </w:p>
        </w:tc>
        <w:tc>
          <w:tcPr>
            <w:tcW w:w="735" w:type="dxa"/>
            <w:tcBorders>
              <w:tl2br w:val="nil"/>
              <w:tr2bl w:val="nil"/>
            </w:tcBorders>
            <w:shd w:val="clear" w:color="auto" w:fill="auto"/>
            <w:noWrap/>
            <w:vAlign w:val="center"/>
          </w:tcPr>
          <w:p w14:paraId="0B2AE870">
            <w:pPr>
              <w:pStyle w:val="8"/>
              <w:suppressLineNumbers w:val="0"/>
              <w:bidi w:val="0"/>
              <w:spacing w:before="0" w:beforeAutospacing="0" w:after="0" w:afterAutospacing="0"/>
              <w:ind w:left="0" w:right="0"/>
              <w:rPr>
                <w:rFonts w:hint="default"/>
                <w:highlight w:val="none"/>
                <w:lang w:val="en-US"/>
              </w:rPr>
            </w:pPr>
          </w:p>
        </w:tc>
      </w:tr>
      <w:tr w14:paraId="040DC2DB">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358" w:hRule="atLeast"/>
          <w:jc w:val="center"/>
        </w:trPr>
        <w:tc>
          <w:tcPr>
            <w:tcW w:w="580" w:type="dxa"/>
            <w:vMerge w:val="restart"/>
            <w:tcBorders>
              <w:tl2br w:val="nil"/>
              <w:tr2bl w:val="nil"/>
            </w:tcBorders>
            <w:shd w:val="clear" w:color="auto" w:fill="auto"/>
            <w:noWrap/>
            <w:vAlign w:val="center"/>
          </w:tcPr>
          <w:p w14:paraId="1800E9B9">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影响预测</w:t>
            </w:r>
          </w:p>
        </w:tc>
        <w:tc>
          <w:tcPr>
            <w:tcW w:w="1435" w:type="dxa"/>
            <w:tcBorders>
              <w:tl2br w:val="nil"/>
              <w:tr2bl w:val="nil"/>
            </w:tcBorders>
            <w:shd w:val="clear" w:color="auto" w:fill="auto"/>
            <w:noWrap/>
            <w:vAlign w:val="center"/>
          </w:tcPr>
          <w:p w14:paraId="3ECC3682">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预测因子</w:t>
            </w:r>
          </w:p>
        </w:tc>
        <w:tc>
          <w:tcPr>
            <w:tcW w:w="5797" w:type="dxa"/>
            <w:gridSpan w:val="6"/>
            <w:tcBorders>
              <w:tl2br w:val="nil"/>
              <w:tr2bl w:val="nil"/>
            </w:tcBorders>
            <w:shd w:val="clear" w:color="auto" w:fill="auto"/>
            <w:noWrap/>
            <w:vAlign w:val="center"/>
          </w:tcPr>
          <w:p w14:paraId="33337B0F">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石油烃</w:t>
            </w:r>
          </w:p>
        </w:tc>
        <w:tc>
          <w:tcPr>
            <w:tcW w:w="735" w:type="dxa"/>
            <w:tcBorders>
              <w:tl2br w:val="nil"/>
              <w:tr2bl w:val="nil"/>
            </w:tcBorders>
            <w:shd w:val="clear" w:color="auto" w:fill="auto"/>
            <w:noWrap/>
            <w:vAlign w:val="center"/>
          </w:tcPr>
          <w:p w14:paraId="7DDC2490">
            <w:pPr>
              <w:pStyle w:val="8"/>
              <w:suppressLineNumbers w:val="0"/>
              <w:bidi w:val="0"/>
              <w:spacing w:before="0" w:beforeAutospacing="0" w:after="0" w:afterAutospacing="0"/>
              <w:ind w:left="0" w:right="0"/>
              <w:rPr>
                <w:rFonts w:hint="default"/>
                <w:highlight w:val="none"/>
                <w:lang w:val="en-US"/>
              </w:rPr>
            </w:pPr>
          </w:p>
        </w:tc>
      </w:tr>
      <w:tr w14:paraId="220810AF">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0" w:type="dxa"/>
            <w:bottom w:w="0" w:type="dxa"/>
            <w:right w:w="0" w:type="dxa"/>
          </w:tblCellMar>
        </w:tblPrEx>
        <w:trPr>
          <w:trHeight w:val="358" w:hRule="atLeast"/>
          <w:jc w:val="center"/>
        </w:trPr>
        <w:tc>
          <w:tcPr>
            <w:tcW w:w="580" w:type="dxa"/>
            <w:vMerge w:val="continue"/>
            <w:tcBorders>
              <w:tl2br w:val="nil"/>
              <w:tr2bl w:val="nil"/>
            </w:tcBorders>
            <w:shd w:val="clear" w:color="auto" w:fill="auto"/>
            <w:noWrap/>
            <w:vAlign w:val="center"/>
          </w:tcPr>
          <w:p w14:paraId="4132314D">
            <w:pPr>
              <w:pStyle w:val="8"/>
              <w:suppressLineNumbers w:val="0"/>
              <w:bidi w:val="0"/>
              <w:spacing w:before="0" w:beforeAutospacing="0" w:after="0" w:afterAutospacing="0"/>
              <w:ind w:left="0" w:right="0"/>
              <w:rPr>
                <w:rFonts w:hint="default"/>
                <w:highlight w:val="none"/>
              </w:rPr>
            </w:pPr>
          </w:p>
        </w:tc>
        <w:tc>
          <w:tcPr>
            <w:tcW w:w="1435" w:type="dxa"/>
            <w:tcBorders>
              <w:tl2br w:val="nil"/>
              <w:tr2bl w:val="nil"/>
            </w:tcBorders>
            <w:shd w:val="clear" w:color="auto" w:fill="auto"/>
            <w:noWrap/>
            <w:vAlign w:val="center"/>
          </w:tcPr>
          <w:p w14:paraId="7C22FFA5">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预测方法</w:t>
            </w:r>
          </w:p>
        </w:tc>
        <w:tc>
          <w:tcPr>
            <w:tcW w:w="5797" w:type="dxa"/>
            <w:gridSpan w:val="6"/>
            <w:tcBorders>
              <w:tl2br w:val="nil"/>
              <w:tr2bl w:val="nil"/>
            </w:tcBorders>
            <w:shd w:val="clear" w:color="auto" w:fill="auto"/>
            <w:noWrap/>
            <w:vAlign w:val="center"/>
          </w:tcPr>
          <w:p w14:paraId="45AF9EA6">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附录</w:t>
            </w:r>
            <w:r>
              <w:rPr>
                <w:rFonts w:hint="default"/>
                <w:highlight w:val="none"/>
                <w:lang w:val="en-US" w:eastAsia="zh-CN"/>
              </w:rPr>
              <w:t>E</w:t>
            </w:r>
            <w:r>
              <w:rPr>
                <w:rFonts w:hint="eastAsia"/>
                <w:highlight w:val="none"/>
                <w:lang w:val="en-US" w:eastAsia="zh-CN"/>
              </w:rPr>
              <w:t>（；附录</w:t>
            </w:r>
            <w:r>
              <w:rPr>
                <w:rFonts w:hint="default"/>
                <w:highlight w:val="none"/>
                <w:lang w:val="en-US" w:eastAsia="zh-CN"/>
              </w:rPr>
              <w:t>F</w:t>
            </w:r>
            <w:r>
              <w:rPr>
                <w:rFonts w:hint="eastAsia"/>
                <w:highlight w:val="none"/>
                <w:lang w:val="en-US" w:eastAsia="zh-CN"/>
              </w:rPr>
              <w:t>（；其他（</w:t>
            </w:r>
            <w:r>
              <w:rPr>
                <w:rFonts w:hint="default"/>
                <w:highlight w:val="none"/>
                <w:lang w:val="en-US" w:eastAsia="zh-CN"/>
              </w:rPr>
              <w:tab/>
            </w:r>
            <w:r>
              <w:rPr>
                <w:rFonts w:hint="eastAsia"/>
                <w:highlight w:val="none"/>
                <w:lang w:val="en-US" w:eastAsia="zh-CN"/>
              </w:rPr>
              <w:t>）</w:t>
            </w:r>
          </w:p>
        </w:tc>
        <w:tc>
          <w:tcPr>
            <w:tcW w:w="735" w:type="dxa"/>
            <w:tcBorders>
              <w:tl2br w:val="nil"/>
              <w:tr2bl w:val="nil"/>
            </w:tcBorders>
            <w:shd w:val="clear" w:color="auto" w:fill="auto"/>
            <w:noWrap/>
            <w:vAlign w:val="center"/>
          </w:tcPr>
          <w:p w14:paraId="6BA48462">
            <w:pPr>
              <w:pStyle w:val="8"/>
              <w:suppressLineNumbers w:val="0"/>
              <w:bidi w:val="0"/>
              <w:spacing w:before="0" w:beforeAutospacing="0" w:after="0" w:afterAutospacing="0"/>
              <w:ind w:left="0" w:right="0"/>
              <w:rPr>
                <w:rFonts w:hint="default"/>
                <w:highlight w:val="none"/>
                <w:lang w:val="en-US"/>
              </w:rPr>
            </w:pPr>
          </w:p>
        </w:tc>
      </w:tr>
      <w:tr w14:paraId="6F5384F6">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0" w:type="dxa"/>
            <w:bottom w:w="0" w:type="dxa"/>
            <w:right w:w="0" w:type="dxa"/>
          </w:tblCellMar>
        </w:tblPrEx>
        <w:trPr>
          <w:trHeight w:val="334" w:hRule="atLeast"/>
          <w:jc w:val="center"/>
        </w:trPr>
        <w:tc>
          <w:tcPr>
            <w:tcW w:w="580" w:type="dxa"/>
            <w:vMerge w:val="continue"/>
            <w:tcBorders>
              <w:tl2br w:val="nil"/>
              <w:tr2bl w:val="nil"/>
            </w:tcBorders>
            <w:shd w:val="clear" w:color="auto" w:fill="auto"/>
            <w:noWrap/>
            <w:vAlign w:val="center"/>
          </w:tcPr>
          <w:p w14:paraId="1F3E33CE">
            <w:pPr>
              <w:pStyle w:val="8"/>
              <w:suppressLineNumbers w:val="0"/>
              <w:bidi w:val="0"/>
              <w:spacing w:before="0" w:beforeAutospacing="0" w:after="0" w:afterAutospacing="0"/>
              <w:ind w:left="0" w:right="0"/>
              <w:rPr>
                <w:rFonts w:hint="default"/>
                <w:highlight w:val="none"/>
              </w:rPr>
            </w:pPr>
          </w:p>
        </w:tc>
        <w:tc>
          <w:tcPr>
            <w:tcW w:w="1435" w:type="dxa"/>
            <w:tcBorders>
              <w:tl2br w:val="nil"/>
              <w:tr2bl w:val="nil"/>
            </w:tcBorders>
            <w:shd w:val="clear" w:color="auto" w:fill="auto"/>
            <w:noWrap/>
            <w:vAlign w:val="center"/>
          </w:tcPr>
          <w:p w14:paraId="1B423CC2">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预测分析内容</w:t>
            </w:r>
          </w:p>
        </w:tc>
        <w:tc>
          <w:tcPr>
            <w:tcW w:w="5797" w:type="dxa"/>
            <w:gridSpan w:val="6"/>
            <w:tcBorders>
              <w:tl2br w:val="nil"/>
              <w:tr2bl w:val="nil"/>
            </w:tcBorders>
            <w:shd w:val="clear" w:color="auto" w:fill="auto"/>
            <w:noWrap/>
            <w:vAlign w:val="center"/>
          </w:tcPr>
          <w:p w14:paraId="34786513">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影响范围（占地范围内）影响程度（小）</w:t>
            </w:r>
          </w:p>
        </w:tc>
        <w:tc>
          <w:tcPr>
            <w:tcW w:w="735" w:type="dxa"/>
            <w:tcBorders>
              <w:tl2br w:val="nil"/>
              <w:tr2bl w:val="nil"/>
            </w:tcBorders>
            <w:shd w:val="clear" w:color="auto" w:fill="auto"/>
            <w:noWrap/>
            <w:vAlign w:val="center"/>
          </w:tcPr>
          <w:p w14:paraId="4E62284C">
            <w:pPr>
              <w:pStyle w:val="8"/>
              <w:suppressLineNumbers w:val="0"/>
              <w:bidi w:val="0"/>
              <w:spacing w:before="0" w:beforeAutospacing="0" w:after="0" w:afterAutospacing="0"/>
              <w:ind w:left="0" w:right="0"/>
              <w:rPr>
                <w:rFonts w:hint="default"/>
                <w:highlight w:val="none"/>
                <w:lang w:val="en-US"/>
              </w:rPr>
            </w:pPr>
          </w:p>
        </w:tc>
      </w:tr>
      <w:tr w14:paraId="17DB53BA">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0" w:type="dxa"/>
            <w:bottom w:w="0" w:type="dxa"/>
            <w:right w:w="0" w:type="dxa"/>
          </w:tblCellMar>
        </w:tblPrEx>
        <w:trPr>
          <w:trHeight w:val="394" w:hRule="atLeast"/>
          <w:jc w:val="center"/>
        </w:trPr>
        <w:tc>
          <w:tcPr>
            <w:tcW w:w="580" w:type="dxa"/>
            <w:vMerge w:val="continue"/>
            <w:tcBorders>
              <w:tl2br w:val="nil"/>
              <w:tr2bl w:val="nil"/>
            </w:tcBorders>
            <w:shd w:val="clear" w:color="auto" w:fill="auto"/>
            <w:noWrap/>
            <w:vAlign w:val="center"/>
          </w:tcPr>
          <w:p w14:paraId="5F7BA77A">
            <w:pPr>
              <w:pStyle w:val="8"/>
              <w:suppressLineNumbers w:val="0"/>
              <w:bidi w:val="0"/>
              <w:spacing w:before="0" w:beforeAutospacing="0" w:after="0" w:afterAutospacing="0"/>
              <w:ind w:left="0" w:right="0"/>
              <w:rPr>
                <w:rFonts w:hint="default"/>
                <w:highlight w:val="none"/>
              </w:rPr>
            </w:pPr>
          </w:p>
        </w:tc>
        <w:tc>
          <w:tcPr>
            <w:tcW w:w="1435" w:type="dxa"/>
            <w:tcBorders>
              <w:tl2br w:val="nil"/>
              <w:tr2bl w:val="nil"/>
            </w:tcBorders>
            <w:shd w:val="clear" w:color="auto" w:fill="auto"/>
            <w:noWrap/>
            <w:vAlign w:val="center"/>
          </w:tcPr>
          <w:p w14:paraId="7B51F74E">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预测结论</w:t>
            </w:r>
          </w:p>
        </w:tc>
        <w:tc>
          <w:tcPr>
            <w:tcW w:w="5797" w:type="dxa"/>
            <w:gridSpan w:val="6"/>
            <w:tcBorders>
              <w:tl2br w:val="nil"/>
              <w:tr2bl w:val="nil"/>
            </w:tcBorders>
            <w:shd w:val="clear" w:color="auto" w:fill="auto"/>
            <w:noWrap/>
            <w:vAlign w:val="center"/>
          </w:tcPr>
          <w:p w14:paraId="4A8B9924">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达标结论：</w:t>
            </w:r>
            <w:r>
              <w:rPr>
                <w:rFonts w:hint="default"/>
                <w:highlight w:val="none"/>
                <w:lang w:val="en-US" w:eastAsia="zh-CN"/>
              </w:rPr>
              <w:t>a</w:t>
            </w:r>
            <w:r>
              <w:rPr>
                <w:rFonts w:hint="eastAsia"/>
                <w:highlight w:val="none"/>
                <w:lang w:val="en-US" w:eastAsia="zh-CN"/>
              </w:rPr>
              <w:t>）（；</w:t>
            </w:r>
            <w:r>
              <w:rPr>
                <w:rFonts w:hint="default"/>
                <w:highlight w:val="none"/>
                <w:lang w:val="en-US" w:eastAsia="zh-CN"/>
              </w:rPr>
              <w:t>b</w:t>
            </w:r>
            <w:r>
              <w:rPr>
                <w:rFonts w:hint="eastAsia"/>
                <w:highlight w:val="none"/>
                <w:lang w:val="en-US" w:eastAsia="zh-CN"/>
              </w:rPr>
              <w:t>）（；</w:t>
            </w:r>
            <w:r>
              <w:rPr>
                <w:rFonts w:hint="default"/>
                <w:highlight w:val="none"/>
                <w:lang w:val="en-US" w:eastAsia="zh-CN"/>
              </w:rPr>
              <w:t>c</w:t>
            </w:r>
            <w:r>
              <w:rPr>
                <w:rFonts w:hint="eastAsia"/>
                <w:highlight w:val="none"/>
                <w:lang w:val="en-US" w:eastAsia="zh-CN"/>
              </w:rPr>
              <w:t>）（不达标结论：</w:t>
            </w:r>
            <w:r>
              <w:rPr>
                <w:rFonts w:hint="default"/>
                <w:highlight w:val="none"/>
                <w:lang w:val="en-US" w:eastAsia="zh-CN"/>
              </w:rPr>
              <w:t>a</w:t>
            </w:r>
            <w:r>
              <w:rPr>
                <w:rFonts w:hint="eastAsia"/>
                <w:highlight w:val="none"/>
                <w:lang w:val="en-US" w:eastAsia="zh-CN"/>
              </w:rPr>
              <w:t>）（；</w:t>
            </w:r>
            <w:r>
              <w:rPr>
                <w:rFonts w:hint="default"/>
                <w:highlight w:val="none"/>
                <w:lang w:val="en-US" w:eastAsia="zh-CN"/>
              </w:rPr>
              <w:t>b</w:t>
            </w:r>
            <w:r>
              <w:rPr>
                <w:rFonts w:hint="eastAsia"/>
                <w:highlight w:val="none"/>
                <w:lang w:val="en-US" w:eastAsia="zh-CN"/>
              </w:rPr>
              <w:t>）（</w:t>
            </w:r>
          </w:p>
        </w:tc>
        <w:tc>
          <w:tcPr>
            <w:tcW w:w="735" w:type="dxa"/>
            <w:tcBorders>
              <w:tl2br w:val="nil"/>
              <w:tr2bl w:val="nil"/>
            </w:tcBorders>
            <w:shd w:val="clear" w:color="auto" w:fill="auto"/>
            <w:noWrap/>
            <w:vAlign w:val="center"/>
          </w:tcPr>
          <w:p w14:paraId="25DB1C64">
            <w:pPr>
              <w:pStyle w:val="8"/>
              <w:suppressLineNumbers w:val="0"/>
              <w:bidi w:val="0"/>
              <w:spacing w:before="0" w:beforeAutospacing="0" w:after="0" w:afterAutospacing="0"/>
              <w:ind w:left="0" w:right="0"/>
              <w:rPr>
                <w:rFonts w:hint="default"/>
                <w:highlight w:val="none"/>
                <w:lang w:val="en-US"/>
              </w:rPr>
            </w:pPr>
          </w:p>
        </w:tc>
      </w:tr>
      <w:tr w14:paraId="51E75FBC">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0" w:type="dxa"/>
            <w:bottom w:w="0" w:type="dxa"/>
            <w:right w:w="0" w:type="dxa"/>
          </w:tblCellMar>
        </w:tblPrEx>
        <w:trPr>
          <w:trHeight w:val="358" w:hRule="atLeast"/>
          <w:jc w:val="center"/>
        </w:trPr>
        <w:tc>
          <w:tcPr>
            <w:tcW w:w="580" w:type="dxa"/>
            <w:vMerge w:val="restart"/>
            <w:tcBorders>
              <w:tl2br w:val="nil"/>
              <w:tr2bl w:val="nil"/>
            </w:tcBorders>
            <w:shd w:val="clear" w:color="auto" w:fill="auto"/>
            <w:noWrap/>
            <w:vAlign w:val="center"/>
          </w:tcPr>
          <w:p w14:paraId="29810C44">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防治措施</w:t>
            </w:r>
          </w:p>
        </w:tc>
        <w:tc>
          <w:tcPr>
            <w:tcW w:w="1435" w:type="dxa"/>
            <w:tcBorders>
              <w:tl2br w:val="nil"/>
              <w:tr2bl w:val="nil"/>
            </w:tcBorders>
            <w:shd w:val="clear" w:color="auto" w:fill="auto"/>
            <w:noWrap/>
            <w:vAlign w:val="center"/>
          </w:tcPr>
          <w:p w14:paraId="1AF3EEFD">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防控措施</w:t>
            </w:r>
          </w:p>
        </w:tc>
        <w:tc>
          <w:tcPr>
            <w:tcW w:w="5797" w:type="dxa"/>
            <w:gridSpan w:val="6"/>
            <w:tcBorders>
              <w:tl2br w:val="nil"/>
              <w:tr2bl w:val="nil"/>
            </w:tcBorders>
            <w:shd w:val="clear" w:color="auto" w:fill="auto"/>
            <w:noWrap/>
            <w:vAlign w:val="center"/>
          </w:tcPr>
          <w:p w14:paraId="2090E8A9">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土壤环境质量现状保障（；源头控制（；过程防控（；其他（）</w:t>
            </w:r>
          </w:p>
        </w:tc>
        <w:tc>
          <w:tcPr>
            <w:tcW w:w="735" w:type="dxa"/>
            <w:tcBorders>
              <w:tl2br w:val="nil"/>
              <w:tr2bl w:val="nil"/>
            </w:tcBorders>
            <w:shd w:val="clear" w:color="auto" w:fill="auto"/>
            <w:noWrap/>
            <w:vAlign w:val="center"/>
          </w:tcPr>
          <w:p w14:paraId="1843A53F">
            <w:pPr>
              <w:pStyle w:val="8"/>
              <w:suppressLineNumbers w:val="0"/>
              <w:bidi w:val="0"/>
              <w:spacing w:before="0" w:beforeAutospacing="0" w:after="0" w:afterAutospacing="0"/>
              <w:ind w:left="0" w:right="0"/>
              <w:rPr>
                <w:rFonts w:hint="default"/>
                <w:highlight w:val="none"/>
                <w:lang w:val="en-US"/>
              </w:rPr>
            </w:pPr>
          </w:p>
        </w:tc>
      </w:tr>
      <w:tr w14:paraId="503A86DB">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0" w:type="dxa"/>
            <w:bottom w:w="0" w:type="dxa"/>
            <w:right w:w="0" w:type="dxa"/>
          </w:tblCellMar>
        </w:tblPrEx>
        <w:trPr>
          <w:trHeight w:val="358" w:hRule="atLeast"/>
          <w:jc w:val="center"/>
        </w:trPr>
        <w:tc>
          <w:tcPr>
            <w:tcW w:w="580" w:type="dxa"/>
            <w:vMerge w:val="continue"/>
            <w:tcBorders>
              <w:tl2br w:val="nil"/>
              <w:tr2bl w:val="nil"/>
            </w:tcBorders>
            <w:shd w:val="clear" w:color="auto" w:fill="auto"/>
            <w:noWrap/>
            <w:vAlign w:val="center"/>
          </w:tcPr>
          <w:p w14:paraId="7624B771">
            <w:pPr>
              <w:pStyle w:val="8"/>
              <w:suppressLineNumbers w:val="0"/>
              <w:bidi w:val="0"/>
              <w:spacing w:before="0" w:beforeAutospacing="0" w:after="0" w:afterAutospacing="0"/>
              <w:ind w:left="0" w:right="0"/>
              <w:rPr>
                <w:rFonts w:hint="default"/>
                <w:highlight w:val="none"/>
              </w:rPr>
            </w:pPr>
          </w:p>
        </w:tc>
        <w:tc>
          <w:tcPr>
            <w:tcW w:w="1435" w:type="dxa"/>
            <w:vMerge w:val="restart"/>
            <w:tcBorders>
              <w:tl2br w:val="nil"/>
              <w:tr2bl w:val="nil"/>
            </w:tcBorders>
            <w:shd w:val="clear" w:color="auto" w:fill="auto"/>
            <w:noWrap/>
            <w:vAlign w:val="center"/>
          </w:tcPr>
          <w:p w14:paraId="17ED81E8">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跟踪监测</w:t>
            </w:r>
          </w:p>
        </w:tc>
        <w:tc>
          <w:tcPr>
            <w:tcW w:w="961" w:type="dxa"/>
            <w:tcBorders>
              <w:tl2br w:val="nil"/>
              <w:tr2bl w:val="nil"/>
            </w:tcBorders>
            <w:shd w:val="clear" w:color="auto" w:fill="auto"/>
            <w:noWrap/>
            <w:vAlign w:val="center"/>
          </w:tcPr>
          <w:p w14:paraId="6049AA84">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监测点数</w:t>
            </w:r>
          </w:p>
        </w:tc>
        <w:tc>
          <w:tcPr>
            <w:tcW w:w="2842" w:type="dxa"/>
            <w:gridSpan w:val="3"/>
            <w:tcBorders>
              <w:tl2br w:val="nil"/>
              <w:tr2bl w:val="nil"/>
            </w:tcBorders>
            <w:shd w:val="clear" w:color="auto" w:fill="auto"/>
            <w:noWrap/>
            <w:vAlign w:val="center"/>
          </w:tcPr>
          <w:p w14:paraId="0C13FC76">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监测指标</w:t>
            </w:r>
          </w:p>
        </w:tc>
        <w:tc>
          <w:tcPr>
            <w:tcW w:w="1994" w:type="dxa"/>
            <w:gridSpan w:val="2"/>
            <w:tcBorders>
              <w:tl2br w:val="nil"/>
              <w:tr2bl w:val="nil"/>
            </w:tcBorders>
            <w:shd w:val="clear" w:color="auto" w:fill="auto"/>
            <w:noWrap/>
            <w:vAlign w:val="center"/>
          </w:tcPr>
          <w:p w14:paraId="5B23E388">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监测频次</w:t>
            </w:r>
          </w:p>
        </w:tc>
        <w:tc>
          <w:tcPr>
            <w:tcW w:w="735" w:type="dxa"/>
            <w:vMerge w:val="restart"/>
            <w:tcBorders>
              <w:tl2br w:val="nil"/>
              <w:tr2bl w:val="nil"/>
            </w:tcBorders>
            <w:shd w:val="clear" w:color="auto" w:fill="auto"/>
            <w:noWrap/>
            <w:vAlign w:val="center"/>
          </w:tcPr>
          <w:p w14:paraId="244F951D">
            <w:pPr>
              <w:pStyle w:val="8"/>
              <w:suppressLineNumbers w:val="0"/>
              <w:bidi w:val="0"/>
              <w:spacing w:before="0" w:beforeAutospacing="0" w:after="0" w:afterAutospacing="0"/>
              <w:ind w:left="0" w:right="0"/>
              <w:rPr>
                <w:rFonts w:hint="default"/>
                <w:highlight w:val="none"/>
                <w:lang w:val="en-US"/>
              </w:rPr>
            </w:pPr>
          </w:p>
        </w:tc>
      </w:tr>
      <w:tr w14:paraId="2E1CE47B">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0" w:type="dxa"/>
            <w:bottom w:w="0" w:type="dxa"/>
            <w:right w:w="0" w:type="dxa"/>
          </w:tblCellMar>
        </w:tblPrEx>
        <w:trPr>
          <w:trHeight w:val="358" w:hRule="atLeast"/>
          <w:jc w:val="center"/>
        </w:trPr>
        <w:tc>
          <w:tcPr>
            <w:tcW w:w="580" w:type="dxa"/>
            <w:vMerge w:val="continue"/>
            <w:tcBorders>
              <w:tl2br w:val="nil"/>
              <w:tr2bl w:val="nil"/>
            </w:tcBorders>
            <w:shd w:val="clear" w:color="auto" w:fill="auto"/>
            <w:noWrap/>
            <w:vAlign w:val="center"/>
          </w:tcPr>
          <w:p w14:paraId="58117100">
            <w:pPr>
              <w:pStyle w:val="8"/>
              <w:suppressLineNumbers w:val="0"/>
              <w:bidi w:val="0"/>
              <w:spacing w:before="0" w:beforeAutospacing="0" w:after="0" w:afterAutospacing="0"/>
              <w:ind w:left="0" w:right="0"/>
              <w:rPr>
                <w:rFonts w:hint="default"/>
                <w:highlight w:val="none"/>
              </w:rPr>
            </w:pPr>
          </w:p>
        </w:tc>
        <w:tc>
          <w:tcPr>
            <w:tcW w:w="1435" w:type="dxa"/>
            <w:vMerge w:val="continue"/>
            <w:tcBorders>
              <w:tl2br w:val="nil"/>
              <w:tr2bl w:val="nil"/>
            </w:tcBorders>
            <w:shd w:val="clear" w:color="auto" w:fill="auto"/>
            <w:noWrap/>
            <w:vAlign w:val="center"/>
          </w:tcPr>
          <w:p w14:paraId="5610E428">
            <w:pPr>
              <w:pStyle w:val="8"/>
              <w:suppressLineNumbers w:val="0"/>
              <w:bidi w:val="0"/>
              <w:spacing w:before="0" w:beforeAutospacing="0" w:after="0" w:afterAutospacing="0"/>
              <w:ind w:left="0" w:right="0"/>
              <w:rPr>
                <w:rFonts w:hint="default"/>
                <w:highlight w:val="none"/>
              </w:rPr>
            </w:pPr>
          </w:p>
        </w:tc>
        <w:tc>
          <w:tcPr>
            <w:tcW w:w="961" w:type="dxa"/>
            <w:tcBorders>
              <w:tl2br w:val="nil"/>
              <w:tr2bl w:val="nil"/>
            </w:tcBorders>
            <w:shd w:val="clear" w:color="auto" w:fill="auto"/>
            <w:noWrap/>
            <w:vAlign w:val="center"/>
          </w:tcPr>
          <w:p w14:paraId="08116A09">
            <w:pPr>
              <w:pStyle w:val="8"/>
              <w:suppressLineNumbers w:val="0"/>
              <w:bidi w:val="0"/>
              <w:spacing w:before="0" w:beforeAutospacing="0" w:after="0" w:afterAutospacing="0"/>
              <w:ind w:left="0" w:right="0"/>
              <w:rPr>
                <w:rFonts w:hint="default"/>
                <w:highlight w:val="none"/>
                <w:lang w:val="en-US"/>
              </w:rPr>
            </w:pPr>
            <w:r>
              <w:rPr>
                <w:rFonts w:hint="default"/>
                <w:highlight w:val="none"/>
                <w:lang w:val="en-US" w:eastAsia="zh-CN"/>
              </w:rPr>
              <w:t>/</w:t>
            </w:r>
          </w:p>
        </w:tc>
        <w:tc>
          <w:tcPr>
            <w:tcW w:w="2842" w:type="dxa"/>
            <w:gridSpan w:val="3"/>
            <w:tcBorders>
              <w:tl2br w:val="nil"/>
              <w:tr2bl w:val="nil"/>
            </w:tcBorders>
            <w:shd w:val="clear" w:color="auto" w:fill="auto"/>
            <w:noWrap/>
            <w:vAlign w:val="center"/>
          </w:tcPr>
          <w:p w14:paraId="6BF9C536">
            <w:pPr>
              <w:pStyle w:val="8"/>
              <w:suppressLineNumbers w:val="0"/>
              <w:bidi w:val="0"/>
              <w:spacing w:before="0" w:beforeAutospacing="0" w:after="0" w:afterAutospacing="0"/>
              <w:ind w:left="0" w:right="0"/>
              <w:rPr>
                <w:rFonts w:hint="eastAsia" w:eastAsia="宋体"/>
                <w:highlight w:val="none"/>
                <w:lang w:val="en-US" w:eastAsia="zh-CN"/>
              </w:rPr>
            </w:pPr>
            <w:r>
              <w:rPr>
                <w:rFonts w:hint="eastAsia"/>
                <w:highlight w:val="none"/>
                <w:lang w:val="en-US" w:eastAsia="zh-CN"/>
              </w:rPr>
              <w:t>/</w:t>
            </w:r>
          </w:p>
        </w:tc>
        <w:tc>
          <w:tcPr>
            <w:tcW w:w="1994" w:type="dxa"/>
            <w:gridSpan w:val="2"/>
            <w:tcBorders>
              <w:tl2br w:val="nil"/>
              <w:tr2bl w:val="nil"/>
            </w:tcBorders>
            <w:shd w:val="clear" w:color="auto" w:fill="auto"/>
            <w:noWrap/>
            <w:vAlign w:val="center"/>
          </w:tcPr>
          <w:p w14:paraId="3C8DE4DE">
            <w:pPr>
              <w:pStyle w:val="8"/>
              <w:suppressLineNumbers w:val="0"/>
              <w:bidi w:val="0"/>
              <w:spacing w:before="0" w:beforeAutospacing="0" w:after="0" w:afterAutospacing="0"/>
              <w:ind w:left="0" w:right="0"/>
              <w:rPr>
                <w:rFonts w:hint="eastAsia" w:eastAsia="宋体"/>
                <w:highlight w:val="none"/>
                <w:lang w:val="en-US" w:eastAsia="zh-CN"/>
              </w:rPr>
            </w:pPr>
            <w:r>
              <w:rPr>
                <w:rFonts w:hint="eastAsia"/>
                <w:highlight w:val="none"/>
                <w:lang w:val="en-US" w:eastAsia="zh-CN"/>
              </w:rPr>
              <w:t>/</w:t>
            </w:r>
          </w:p>
        </w:tc>
        <w:tc>
          <w:tcPr>
            <w:tcW w:w="735" w:type="dxa"/>
            <w:vMerge w:val="continue"/>
            <w:tcBorders>
              <w:tl2br w:val="nil"/>
              <w:tr2bl w:val="nil"/>
            </w:tcBorders>
            <w:shd w:val="clear" w:color="auto" w:fill="auto"/>
            <w:noWrap/>
            <w:vAlign w:val="center"/>
          </w:tcPr>
          <w:p w14:paraId="5A98B19B">
            <w:pPr>
              <w:pStyle w:val="8"/>
              <w:suppressLineNumbers w:val="0"/>
              <w:bidi w:val="0"/>
              <w:spacing w:before="0" w:beforeAutospacing="0" w:after="0" w:afterAutospacing="0"/>
              <w:ind w:left="0" w:right="0"/>
              <w:rPr>
                <w:rFonts w:hint="default"/>
                <w:highlight w:val="none"/>
              </w:rPr>
            </w:pPr>
          </w:p>
        </w:tc>
      </w:tr>
      <w:tr w14:paraId="04D8ABDE">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shd w:val="clear" w:color="auto" w:fill="auto"/>
          <w:tblCellMar>
            <w:top w:w="0" w:type="dxa"/>
            <w:left w:w="0" w:type="dxa"/>
            <w:bottom w:w="0" w:type="dxa"/>
            <w:right w:w="0" w:type="dxa"/>
          </w:tblCellMar>
        </w:tblPrEx>
        <w:trPr>
          <w:trHeight w:val="358" w:hRule="atLeast"/>
          <w:jc w:val="center"/>
        </w:trPr>
        <w:tc>
          <w:tcPr>
            <w:tcW w:w="580" w:type="dxa"/>
            <w:vMerge w:val="continue"/>
            <w:tcBorders>
              <w:tl2br w:val="nil"/>
              <w:tr2bl w:val="nil"/>
            </w:tcBorders>
            <w:shd w:val="clear" w:color="auto" w:fill="auto"/>
            <w:noWrap/>
            <w:vAlign w:val="center"/>
          </w:tcPr>
          <w:p w14:paraId="05103C43">
            <w:pPr>
              <w:pStyle w:val="8"/>
              <w:suppressLineNumbers w:val="0"/>
              <w:bidi w:val="0"/>
              <w:spacing w:before="0" w:beforeAutospacing="0" w:after="0" w:afterAutospacing="0"/>
              <w:ind w:left="0" w:right="0"/>
              <w:rPr>
                <w:rFonts w:hint="default"/>
                <w:highlight w:val="none"/>
              </w:rPr>
            </w:pPr>
          </w:p>
        </w:tc>
        <w:tc>
          <w:tcPr>
            <w:tcW w:w="1435" w:type="dxa"/>
            <w:tcBorders>
              <w:tl2br w:val="nil"/>
              <w:tr2bl w:val="nil"/>
            </w:tcBorders>
            <w:shd w:val="clear" w:color="auto" w:fill="auto"/>
            <w:noWrap/>
            <w:vAlign w:val="center"/>
          </w:tcPr>
          <w:p w14:paraId="3BAE775B">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信息公开指标</w:t>
            </w:r>
          </w:p>
        </w:tc>
        <w:tc>
          <w:tcPr>
            <w:tcW w:w="5797" w:type="dxa"/>
            <w:gridSpan w:val="6"/>
            <w:tcBorders>
              <w:tl2br w:val="nil"/>
              <w:tr2bl w:val="nil"/>
            </w:tcBorders>
            <w:shd w:val="clear" w:color="auto" w:fill="auto"/>
            <w:noWrap/>
            <w:vAlign w:val="center"/>
          </w:tcPr>
          <w:p w14:paraId="77507F80">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w:t>
            </w:r>
          </w:p>
        </w:tc>
        <w:tc>
          <w:tcPr>
            <w:tcW w:w="735" w:type="dxa"/>
            <w:vMerge w:val="continue"/>
            <w:tcBorders>
              <w:tl2br w:val="nil"/>
              <w:tr2bl w:val="nil"/>
            </w:tcBorders>
            <w:shd w:val="clear" w:color="auto" w:fill="auto"/>
            <w:noWrap/>
            <w:vAlign w:val="center"/>
          </w:tcPr>
          <w:p w14:paraId="29D718E7">
            <w:pPr>
              <w:pStyle w:val="8"/>
              <w:suppressLineNumbers w:val="0"/>
              <w:bidi w:val="0"/>
              <w:spacing w:before="0" w:beforeAutospacing="0" w:after="0" w:afterAutospacing="0"/>
              <w:ind w:left="0" w:right="0"/>
              <w:rPr>
                <w:rFonts w:hint="default"/>
                <w:highlight w:val="none"/>
              </w:rPr>
            </w:pPr>
          </w:p>
        </w:tc>
      </w:tr>
      <w:tr w14:paraId="36923880">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0" w:type="dxa"/>
            <w:bottom w:w="0" w:type="dxa"/>
            <w:right w:w="0" w:type="dxa"/>
          </w:tblCellMar>
        </w:tblPrEx>
        <w:trPr>
          <w:trHeight w:val="428" w:hRule="atLeast"/>
          <w:jc w:val="center"/>
        </w:trPr>
        <w:tc>
          <w:tcPr>
            <w:tcW w:w="2015" w:type="dxa"/>
            <w:gridSpan w:val="2"/>
            <w:tcBorders>
              <w:tl2br w:val="nil"/>
              <w:tr2bl w:val="nil"/>
            </w:tcBorders>
            <w:shd w:val="clear" w:color="auto" w:fill="auto"/>
            <w:noWrap/>
            <w:vAlign w:val="center"/>
          </w:tcPr>
          <w:p w14:paraId="6141D650">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评价结论</w:t>
            </w:r>
          </w:p>
        </w:tc>
        <w:tc>
          <w:tcPr>
            <w:tcW w:w="5797" w:type="dxa"/>
            <w:gridSpan w:val="6"/>
            <w:tcBorders>
              <w:tl2br w:val="nil"/>
              <w:tr2bl w:val="nil"/>
            </w:tcBorders>
            <w:shd w:val="clear" w:color="auto" w:fill="auto"/>
            <w:noWrap/>
            <w:vAlign w:val="center"/>
          </w:tcPr>
          <w:p w14:paraId="61CB5AE9">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土壤环境影响可接受</w:t>
            </w:r>
          </w:p>
        </w:tc>
        <w:tc>
          <w:tcPr>
            <w:tcW w:w="735" w:type="dxa"/>
            <w:tcBorders>
              <w:tl2br w:val="nil"/>
              <w:tr2bl w:val="nil"/>
            </w:tcBorders>
            <w:shd w:val="clear" w:color="auto" w:fill="auto"/>
            <w:noWrap/>
            <w:vAlign w:val="center"/>
          </w:tcPr>
          <w:p w14:paraId="36A56E40">
            <w:pPr>
              <w:pStyle w:val="8"/>
              <w:suppressLineNumbers w:val="0"/>
              <w:bidi w:val="0"/>
              <w:spacing w:before="0" w:beforeAutospacing="0" w:after="0" w:afterAutospacing="0"/>
              <w:ind w:left="0" w:right="0"/>
              <w:rPr>
                <w:rFonts w:hint="default"/>
                <w:highlight w:val="none"/>
                <w:lang w:val="en-US"/>
              </w:rPr>
            </w:pPr>
          </w:p>
        </w:tc>
      </w:tr>
      <w:tr w14:paraId="487AEA58">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0" w:type="dxa"/>
            <w:bottom w:w="0" w:type="dxa"/>
            <w:right w:w="0" w:type="dxa"/>
          </w:tblCellMar>
        </w:tblPrEx>
        <w:trPr>
          <w:trHeight w:val="273" w:hRule="atLeast"/>
          <w:jc w:val="center"/>
        </w:trPr>
        <w:tc>
          <w:tcPr>
            <w:tcW w:w="8547" w:type="dxa"/>
            <w:gridSpan w:val="9"/>
            <w:tcBorders>
              <w:tl2br w:val="nil"/>
              <w:tr2bl w:val="nil"/>
            </w:tcBorders>
            <w:shd w:val="clear" w:color="auto" w:fill="auto"/>
            <w:noWrap/>
            <w:vAlign w:val="center"/>
          </w:tcPr>
          <w:p w14:paraId="715151A7">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注</w:t>
            </w:r>
            <w:r>
              <w:rPr>
                <w:rFonts w:hint="default"/>
                <w:highlight w:val="none"/>
                <w:lang w:val="en-US" w:eastAsia="zh-CN"/>
              </w:rPr>
              <w:t>1</w:t>
            </w:r>
            <w:r>
              <w:rPr>
                <w:rFonts w:hint="eastAsia"/>
                <w:highlight w:val="none"/>
                <w:lang w:val="en-US" w:eastAsia="zh-CN"/>
              </w:rPr>
              <w:t>：</w:t>
            </w:r>
            <w:r>
              <w:rPr>
                <w:rFonts w:hint="default"/>
                <w:highlight w:val="none"/>
                <w:lang w:val="en-US" w:eastAsia="zh-CN"/>
              </w:rPr>
              <w:t>“□”</w:t>
            </w:r>
            <w:r>
              <w:rPr>
                <w:rFonts w:hint="eastAsia"/>
                <w:highlight w:val="none"/>
                <w:lang w:val="en-US" w:eastAsia="zh-CN"/>
              </w:rPr>
              <w:t>为勾选项，可</w:t>
            </w:r>
            <w:r>
              <w:rPr>
                <w:rFonts w:hint="default"/>
                <w:highlight w:val="none"/>
                <w:lang w:val="en-US" w:eastAsia="zh-CN"/>
              </w:rPr>
              <w:t>√</w:t>
            </w:r>
            <w:r>
              <w:rPr>
                <w:rFonts w:hint="eastAsia"/>
                <w:highlight w:val="none"/>
                <w:lang w:val="en-US" w:eastAsia="zh-CN"/>
              </w:rPr>
              <w:t>；</w:t>
            </w:r>
            <w:r>
              <w:rPr>
                <w:rFonts w:hint="default"/>
                <w:highlight w:val="none"/>
                <w:lang w:val="en-US" w:eastAsia="zh-CN"/>
              </w:rPr>
              <w:t>“</w:t>
            </w:r>
            <w:r>
              <w:rPr>
                <w:rFonts w:hint="eastAsia"/>
                <w:highlight w:val="none"/>
                <w:lang w:val="en-US" w:eastAsia="zh-CN"/>
              </w:rPr>
              <w:t>（）</w:t>
            </w:r>
            <w:r>
              <w:rPr>
                <w:rFonts w:hint="default"/>
                <w:highlight w:val="none"/>
                <w:lang w:val="en-US" w:eastAsia="zh-CN"/>
              </w:rPr>
              <w:t>”</w:t>
            </w:r>
            <w:r>
              <w:rPr>
                <w:rFonts w:hint="eastAsia"/>
                <w:highlight w:val="none"/>
                <w:lang w:val="en-US" w:eastAsia="zh-CN"/>
              </w:rPr>
              <w:t>为内容填写项；</w:t>
            </w:r>
            <w:r>
              <w:rPr>
                <w:rFonts w:hint="default"/>
                <w:highlight w:val="none"/>
                <w:lang w:val="en-US" w:eastAsia="zh-CN"/>
              </w:rPr>
              <w:t>“</w:t>
            </w:r>
            <w:r>
              <w:rPr>
                <w:rFonts w:hint="eastAsia"/>
                <w:highlight w:val="none"/>
                <w:lang w:val="en-US" w:eastAsia="zh-CN"/>
              </w:rPr>
              <w:t>备注</w:t>
            </w:r>
            <w:r>
              <w:rPr>
                <w:rFonts w:hint="default"/>
                <w:highlight w:val="none"/>
                <w:lang w:val="en-US" w:eastAsia="zh-CN"/>
              </w:rPr>
              <w:t>”</w:t>
            </w:r>
            <w:r>
              <w:rPr>
                <w:rFonts w:hint="eastAsia"/>
                <w:highlight w:val="none"/>
                <w:lang w:val="en-US" w:eastAsia="zh-CN"/>
              </w:rPr>
              <w:t>为其他补充内容。</w:t>
            </w:r>
          </w:p>
          <w:p w14:paraId="33155E6A">
            <w:pPr>
              <w:pStyle w:val="8"/>
              <w:suppressLineNumbers w:val="0"/>
              <w:bidi w:val="0"/>
              <w:spacing w:before="0" w:beforeAutospacing="0" w:after="0" w:afterAutospacing="0"/>
              <w:ind w:left="0" w:right="0"/>
              <w:rPr>
                <w:rFonts w:hint="default"/>
                <w:highlight w:val="none"/>
                <w:lang w:val="en-US"/>
              </w:rPr>
            </w:pPr>
            <w:r>
              <w:rPr>
                <w:rFonts w:hint="eastAsia"/>
                <w:highlight w:val="none"/>
                <w:lang w:val="en-US" w:eastAsia="zh-CN"/>
              </w:rPr>
              <w:t>注</w:t>
            </w:r>
            <w:r>
              <w:rPr>
                <w:rFonts w:hint="default"/>
                <w:highlight w:val="none"/>
                <w:lang w:val="en-US" w:eastAsia="zh-CN"/>
              </w:rPr>
              <w:t>2</w:t>
            </w:r>
            <w:r>
              <w:rPr>
                <w:rFonts w:hint="eastAsia"/>
                <w:highlight w:val="none"/>
                <w:lang w:val="en-US" w:eastAsia="zh-CN"/>
              </w:rPr>
              <w:t>：需要分别开展土壤环境影响评级工作的，分别填写自查表。</w:t>
            </w:r>
          </w:p>
        </w:tc>
      </w:tr>
    </w:tbl>
    <w:p w14:paraId="03C33D7C">
      <w:pPr>
        <w:spacing w:line="360" w:lineRule="auto"/>
        <w:ind w:firstLine="482" w:firstLineChars="200"/>
        <w:jc w:val="center"/>
        <w:rPr>
          <w:rFonts w:hAnsiTheme="minorEastAsia" w:eastAsiaTheme="minorEastAsia"/>
          <w:b/>
          <w:sz w:val="24"/>
          <w:highlight w:val="none"/>
        </w:rPr>
      </w:pPr>
    </w:p>
    <w:p w14:paraId="0FF106DE">
      <w:pPr>
        <w:spacing w:line="360" w:lineRule="auto"/>
        <w:ind w:firstLine="482" w:firstLineChars="200"/>
        <w:jc w:val="center"/>
        <w:rPr>
          <w:rFonts w:hAnsiTheme="minorEastAsia" w:eastAsiaTheme="minorEastAsia"/>
          <w:b/>
          <w:sz w:val="24"/>
          <w:highlight w:val="none"/>
        </w:rPr>
      </w:pPr>
    </w:p>
    <w:p w14:paraId="28F65872">
      <w:pPr>
        <w:spacing w:line="360" w:lineRule="auto"/>
        <w:ind w:firstLine="482" w:firstLineChars="200"/>
        <w:jc w:val="center"/>
        <w:rPr>
          <w:rFonts w:hAnsiTheme="minorEastAsia" w:eastAsiaTheme="minorEastAsia"/>
          <w:b/>
          <w:sz w:val="24"/>
          <w:highlight w:val="none"/>
        </w:rPr>
      </w:pPr>
    </w:p>
    <w:p w14:paraId="7B446489">
      <w:pPr>
        <w:pStyle w:val="7"/>
        <w:bidi w:val="0"/>
        <w:rPr>
          <w:highlight w:val="none"/>
        </w:rPr>
      </w:pPr>
      <w:bookmarkStart w:id="704" w:name="_Toc5662"/>
      <w:r>
        <w:rPr>
          <w:highlight w:val="none"/>
        </w:rPr>
        <w:t>声环境影响评价自查表</w:t>
      </w:r>
      <w:bookmarkEnd w:id="704"/>
    </w:p>
    <w:tbl>
      <w:tblPr>
        <w:tblStyle w:val="45"/>
        <w:tblW w:w="8403"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91"/>
        <w:gridCol w:w="1275"/>
        <w:gridCol w:w="993"/>
        <w:gridCol w:w="1011"/>
        <w:gridCol w:w="831"/>
        <w:gridCol w:w="142"/>
        <w:gridCol w:w="992"/>
        <w:gridCol w:w="993"/>
        <w:gridCol w:w="1275"/>
      </w:tblGrid>
      <w:tr w14:paraId="786F62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66" w:type="dxa"/>
            <w:gridSpan w:val="2"/>
            <w:vAlign w:val="center"/>
          </w:tcPr>
          <w:p w14:paraId="3E6EC3B3">
            <w:pPr>
              <w:pStyle w:val="8"/>
              <w:suppressLineNumbers w:val="0"/>
              <w:bidi w:val="0"/>
              <w:spacing w:before="0" w:beforeAutospacing="0" w:after="0" w:afterAutospacing="0"/>
              <w:ind w:left="0" w:right="0"/>
              <w:rPr>
                <w:rFonts w:hint="default"/>
                <w:highlight w:val="none"/>
              </w:rPr>
            </w:pPr>
            <w:r>
              <w:rPr>
                <w:rFonts w:hint="default"/>
                <w:highlight w:val="none"/>
              </w:rPr>
              <w:t>工作内容</w:t>
            </w:r>
          </w:p>
        </w:tc>
        <w:tc>
          <w:tcPr>
            <w:tcW w:w="6237" w:type="dxa"/>
            <w:gridSpan w:val="7"/>
            <w:vAlign w:val="center"/>
          </w:tcPr>
          <w:p w14:paraId="652B78CF">
            <w:pPr>
              <w:pStyle w:val="8"/>
              <w:suppressLineNumbers w:val="0"/>
              <w:bidi w:val="0"/>
              <w:spacing w:before="0" w:beforeAutospacing="0" w:after="0" w:afterAutospacing="0"/>
              <w:ind w:left="0" w:right="0"/>
              <w:rPr>
                <w:rFonts w:hint="default"/>
                <w:highlight w:val="none"/>
              </w:rPr>
            </w:pPr>
            <w:r>
              <w:rPr>
                <w:rFonts w:hint="default"/>
                <w:highlight w:val="none"/>
              </w:rPr>
              <w:t>自查项目</w:t>
            </w:r>
          </w:p>
        </w:tc>
      </w:tr>
      <w:tr w14:paraId="286673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Merge w:val="restart"/>
            <w:vAlign w:val="center"/>
          </w:tcPr>
          <w:p w14:paraId="28CB148E">
            <w:pPr>
              <w:pStyle w:val="8"/>
              <w:suppressLineNumbers w:val="0"/>
              <w:bidi w:val="0"/>
              <w:spacing w:before="0" w:beforeAutospacing="0" w:after="0" w:afterAutospacing="0"/>
              <w:ind w:left="0" w:right="0"/>
              <w:rPr>
                <w:rFonts w:hint="default"/>
                <w:highlight w:val="none"/>
              </w:rPr>
            </w:pPr>
            <w:r>
              <w:rPr>
                <w:rFonts w:hint="default"/>
                <w:highlight w:val="none"/>
              </w:rPr>
              <w:t>评价等级与范围</w:t>
            </w:r>
          </w:p>
        </w:tc>
        <w:tc>
          <w:tcPr>
            <w:tcW w:w="1275" w:type="dxa"/>
            <w:vAlign w:val="center"/>
          </w:tcPr>
          <w:p w14:paraId="611A0E55">
            <w:pPr>
              <w:pStyle w:val="8"/>
              <w:suppressLineNumbers w:val="0"/>
              <w:bidi w:val="0"/>
              <w:spacing w:before="0" w:beforeAutospacing="0" w:after="0" w:afterAutospacing="0"/>
              <w:ind w:left="0" w:right="0"/>
              <w:rPr>
                <w:rFonts w:hint="default"/>
                <w:highlight w:val="none"/>
              </w:rPr>
            </w:pPr>
            <w:r>
              <w:rPr>
                <w:rFonts w:hint="default"/>
                <w:highlight w:val="none"/>
              </w:rPr>
              <w:t>评价等级</w:t>
            </w:r>
          </w:p>
        </w:tc>
        <w:tc>
          <w:tcPr>
            <w:tcW w:w="6237" w:type="dxa"/>
            <w:gridSpan w:val="7"/>
            <w:vAlign w:val="center"/>
          </w:tcPr>
          <w:p w14:paraId="7845235E">
            <w:pPr>
              <w:pStyle w:val="8"/>
              <w:suppressLineNumbers w:val="0"/>
              <w:bidi w:val="0"/>
              <w:spacing w:before="0" w:beforeAutospacing="0" w:after="0" w:afterAutospacing="0"/>
              <w:ind w:left="0" w:right="0"/>
              <w:rPr>
                <w:rFonts w:hint="default"/>
                <w:highlight w:val="none"/>
              </w:rPr>
            </w:pPr>
            <w:r>
              <w:rPr>
                <w:rFonts w:hint="default" w:ascii="Times New Roman" w:hAnsi="Times New Roman" w:cs="Times New Roman" w:eastAsiaTheme="minorEastAsia"/>
                <w:spacing w:val="0"/>
                <w:position w:val="0"/>
                <w:szCs w:val="21"/>
                <w:highlight w:val="none"/>
              </w:rPr>
              <w:t>一级□二级√三级□</w:t>
            </w:r>
          </w:p>
        </w:tc>
      </w:tr>
      <w:tr w14:paraId="4981CD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Merge w:val="continue"/>
            <w:vAlign w:val="center"/>
          </w:tcPr>
          <w:p w14:paraId="05EBD055">
            <w:pPr>
              <w:pStyle w:val="8"/>
              <w:suppressLineNumbers w:val="0"/>
              <w:bidi w:val="0"/>
              <w:spacing w:before="0" w:beforeAutospacing="0" w:after="0" w:afterAutospacing="0"/>
              <w:ind w:left="0" w:right="0"/>
              <w:rPr>
                <w:rFonts w:hint="default"/>
                <w:highlight w:val="none"/>
              </w:rPr>
            </w:pPr>
          </w:p>
        </w:tc>
        <w:tc>
          <w:tcPr>
            <w:tcW w:w="1275" w:type="dxa"/>
            <w:vAlign w:val="center"/>
          </w:tcPr>
          <w:p w14:paraId="3AB94867">
            <w:pPr>
              <w:pStyle w:val="8"/>
              <w:suppressLineNumbers w:val="0"/>
              <w:bidi w:val="0"/>
              <w:spacing w:before="0" w:beforeAutospacing="0" w:after="0" w:afterAutospacing="0"/>
              <w:ind w:left="0" w:right="0"/>
              <w:rPr>
                <w:rFonts w:hint="default"/>
                <w:highlight w:val="none"/>
              </w:rPr>
            </w:pPr>
            <w:r>
              <w:rPr>
                <w:rFonts w:hint="default"/>
                <w:highlight w:val="none"/>
              </w:rPr>
              <w:t>评价范围</w:t>
            </w:r>
          </w:p>
        </w:tc>
        <w:tc>
          <w:tcPr>
            <w:tcW w:w="6237" w:type="dxa"/>
            <w:gridSpan w:val="7"/>
            <w:vAlign w:val="center"/>
          </w:tcPr>
          <w:p w14:paraId="6C11AFA9">
            <w:pPr>
              <w:pStyle w:val="8"/>
              <w:suppressLineNumbers w:val="0"/>
              <w:bidi w:val="0"/>
              <w:spacing w:before="0" w:beforeAutospacing="0" w:after="0" w:afterAutospacing="0"/>
              <w:ind w:left="0" w:right="0"/>
              <w:rPr>
                <w:rFonts w:hint="default"/>
                <w:highlight w:val="none"/>
              </w:rPr>
            </w:pPr>
            <w:r>
              <w:rPr>
                <w:rFonts w:hint="default"/>
                <w:highlight w:val="none"/>
              </w:rPr>
              <w:t>等效连续A声级√最大A声级□计权等效连续感觉噪声级□</w:t>
            </w:r>
          </w:p>
        </w:tc>
      </w:tr>
      <w:tr w14:paraId="3AF089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Align w:val="center"/>
          </w:tcPr>
          <w:p w14:paraId="732F1354">
            <w:pPr>
              <w:pStyle w:val="8"/>
              <w:suppressLineNumbers w:val="0"/>
              <w:bidi w:val="0"/>
              <w:spacing w:before="0" w:beforeAutospacing="0" w:after="0" w:afterAutospacing="0"/>
              <w:ind w:left="0" w:right="0"/>
              <w:rPr>
                <w:rFonts w:hint="default"/>
                <w:highlight w:val="none"/>
              </w:rPr>
            </w:pPr>
            <w:r>
              <w:rPr>
                <w:rFonts w:hint="default"/>
                <w:highlight w:val="none"/>
              </w:rPr>
              <w:t>评价因子</w:t>
            </w:r>
          </w:p>
        </w:tc>
        <w:tc>
          <w:tcPr>
            <w:tcW w:w="1275" w:type="dxa"/>
            <w:vAlign w:val="center"/>
          </w:tcPr>
          <w:p w14:paraId="21B9C46C">
            <w:pPr>
              <w:pStyle w:val="8"/>
              <w:suppressLineNumbers w:val="0"/>
              <w:bidi w:val="0"/>
              <w:spacing w:before="0" w:beforeAutospacing="0" w:after="0" w:afterAutospacing="0"/>
              <w:ind w:left="0" w:right="0"/>
              <w:rPr>
                <w:rFonts w:hint="default"/>
                <w:highlight w:val="none"/>
              </w:rPr>
            </w:pPr>
            <w:r>
              <w:rPr>
                <w:rFonts w:hint="default"/>
                <w:highlight w:val="none"/>
              </w:rPr>
              <w:t>评价因子</w:t>
            </w:r>
          </w:p>
        </w:tc>
        <w:tc>
          <w:tcPr>
            <w:tcW w:w="6237" w:type="dxa"/>
            <w:gridSpan w:val="7"/>
            <w:vAlign w:val="center"/>
          </w:tcPr>
          <w:p w14:paraId="3DE0E905">
            <w:pPr>
              <w:pStyle w:val="8"/>
              <w:suppressLineNumbers w:val="0"/>
              <w:bidi w:val="0"/>
              <w:spacing w:before="0" w:beforeAutospacing="0" w:after="0" w:afterAutospacing="0"/>
              <w:ind w:left="0" w:right="0"/>
              <w:rPr>
                <w:rFonts w:hint="default"/>
                <w:highlight w:val="none"/>
              </w:rPr>
            </w:pPr>
            <w:r>
              <w:rPr>
                <w:rFonts w:hint="default"/>
                <w:highlight w:val="none"/>
              </w:rPr>
              <w:t>国家标准√地方标准□国外标准□</w:t>
            </w:r>
          </w:p>
        </w:tc>
      </w:tr>
      <w:tr w14:paraId="6CA5E0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Merge w:val="restart"/>
            <w:vAlign w:val="center"/>
          </w:tcPr>
          <w:p w14:paraId="2259CA53">
            <w:pPr>
              <w:pStyle w:val="8"/>
              <w:suppressLineNumbers w:val="0"/>
              <w:bidi w:val="0"/>
              <w:spacing w:before="0" w:beforeAutospacing="0" w:after="0" w:afterAutospacing="0"/>
              <w:ind w:left="0" w:right="0"/>
              <w:rPr>
                <w:rFonts w:hint="default"/>
                <w:highlight w:val="none"/>
              </w:rPr>
            </w:pPr>
            <w:r>
              <w:rPr>
                <w:rFonts w:hint="default"/>
                <w:highlight w:val="none"/>
              </w:rPr>
              <w:t>现状评价</w:t>
            </w:r>
          </w:p>
        </w:tc>
        <w:tc>
          <w:tcPr>
            <w:tcW w:w="1275" w:type="dxa"/>
            <w:vAlign w:val="center"/>
          </w:tcPr>
          <w:p w14:paraId="6FF7E927">
            <w:pPr>
              <w:pStyle w:val="8"/>
              <w:suppressLineNumbers w:val="0"/>
              <w:bidi w:val="0"/>
              <w:spacing w:before="0" w:beforeAutospacing="0" w:after="0" w:afterAutospacing="0"/>
              <w:ind w:left="0" w:right="0"/>
              <w:rPr>
                <w:rFonts w:hint="default"/>
                <w:highlight w:val="none"/>
              </w:rPr>
            </w:pPr>
            <w:r>
              <w:rPr>
                <w:rFonts w:hint="default"/>
                <w:highlight w:val="none"/>
              </w:rPr>
              <w:t>环境功能区</w:t>
            </w:r>
          </w:p>
        </w:tc>
        <w:tc>
          <w:tcPr>
            <w:tcW w:w="993" w:type="dxa"/>
            <w:vAlign w:val="center"/>
          </w:tcPr>
          <w:p w14:paraId="3329FEB7">
            <w:pPr>
              <w:pStyle w:val="8"/>
              <w:suppressLineNumbers w:val="0"/>
              <w:bidi w:val="0"/>
              <w:spacing w:before="0" w:beforeAutospacing="0" w:after="0" w:afterAutospacing="0"/>
              <w:ind w:left="0" w:right="0"/>
              <w:rPr>
                <w:rFonts w:hint="default"/>
                <w:highlight w:val="none"/>
              </w:rPr>
            </w:pPr>
            <w:r>
              <w:rPr>
                <w:rFonts w:hint="default"/>
                <w:highlight w:val="none"/>
              </w:rPr>
              <w:t>0类区□</w:t>
            </w:r>
          </w:p>
        </w:tc>
        <w:tc>
          <w:tcPr>
            <w:tcW w:w="1011" w:type="dxa"/>
            <w:vAlign w:val="center"/>
          </w:tcPr>
          <w:p w14:paraId="03FCAEE5">
            <w:pPr>
              <w:pStyle w:val="8"/>
              <w:suppressLineNumbers w:val="0"/>
              <w:bidi w:val="0"/>
              <w:spacing w:before="0" w:beforeAutospacing="0" w:after="0" w:afterAutospacing="0"/>
              <w:ind w:left="0" w:right="0"/>
              <w:rPr>
                <w:rFonts w:hint="eastAsia" w:eastAsia="宋体"/>
                <w:highlight w:val="none"/>
                <w:lang w:eastAsia="zh-CN"/>
              </w:rPr>
            </w:pPr>
            <w:r>
              <w:rPr>
                <w:rFonts w:hint="default"/>
                <w:highlight w:val="none"/>
              </w:rPr>
              <w:t>1类区√</w:t>
            </w:r>
          </w:p>
        </w:tc>
        <w:tc>
          <w:tcPr>
            <w:tcW w:w="973" w:type="dxa"/>
            <w:gridSpan w:val="2"/>
            <w:vAlign w:val="center"/>
          </w:tcPr>
          <w:p w14:paraId="1A080F1D">
            <w:pPr>
              <w:pStyle w:val="8"/>
              <w:suppressLineNumbers w:val="0"/>
              <w:bidi w:val="0"/>
              <w:spacing w:before="0" w:beforeAutospacing="0" w:after="0" w:afterAutospacing="0"/>
              <w:ind w:left="0" w:right="0"/>
              <w:rPr>
                <w:rFonts w:hint="default"/>
                <w:highlight w:val="none"/>
              </w:rPr>
            </w:pPr>
            <w:r>
              <w:rPr>
                <w:rFonts w:hint="default"/>
                <w:highlight w:val="none"/>
              </w:rPr>
              <w:t>2类区□</w:t>
            </w:r>
          </w:p>
        </w:tc>
        <w:tc>
          <w:tcPr>
            <w:tcW w:w="992" w:type="dxa"/>
            <w:vAlign w:val="center"/>
          </w:tcPr>
          <w:p w14:paraId="49A1CB0B">
            <w:pPr>
              <w:pStyle w:val="8"/>
              <w:suppressLineNumbers w:val="0"/>
              <w:bidi w:val="0"/>
              <w:spacing w:before="0" w:beforeAutospacing="0" w:after="0" w:afterAutospacing="0"/>
              <w:ind w:left="0" w:right="0"/>
              <w:rPr>
                <w:rFonts w:hint="default"/>
                <w:highlight w:val="none"/>
              </w:rPr>
            </w:pPr>
            <w:r>
              <w:rPr>
                <w:rFonts w:hint="default"/>
                <w:highlight w:val="none"/>
              </w:rPr>
              <w:t>3类区□</w:t>
            </w:r>
          </w:p>
        </w:tc>
        <w:tc>
          <w:tcPr>
            <w:tcW w:w="993" w:type="dxa"/>
            <w:vAlign w:val="center"/>
          </w:tcPr>
          <w:p w14:paraId="0CCB08B7">
            <w:pPr>
              <w:pStyle w:val="8"/>
              <w:suppressLineNumbers w:val="0"/>
              <w:bidi w:val="0"/>
              <w:spacing w:before="0" w:beforeAutospacing="0" w:after="0" w:afterAutospacing="0"/>
              <w:ind w:left="0" w:right="0"/>
              <w:rPr>
                <w:rFonts w:hint="default"/>
                <w:highlight w:val="none"/>
              </w:rPr>
            </w:pPr>
            <w:r>
              <w:rPr>
                <w:rFonts w:hint="default"/>
                <w:highlight w:val="none"/>
              </w:rPr>
              <w:t>4a类区□</w:t>
            </w:r>
          </w:p>
        </w:tc>
        <w:tc>
          <w:tcPr>
            <w:tcW w:w="1275" w:type="dxa"/>
            <w:vAlign w:val="center"/>
          </w:tcPr>
          <w:p w14:paraId="00A992C6">
            <w:pPr>
              <w:pStyle w:val="8"/>
              <w:suppressLineNumbers w:val="0"/>
              <w:bidi w:val="0"/>
              <w:spacing w:before="0" w:beforeAutospacing="0" w:after="0" w:afterAutospacing="0"/>
              <w:ind w:left="0" w:right="0"/>
              <w:rPr>
                <w:rFonts w:hint="default"/>
                <w:highlight w:val="none"/>
              </w:rPr>
            </w:pPr>
            <w:r>
              <w:rPr>
                <w:rFonts w:hint="default"/>
                <w:highlight w:val="none"/>
              </w:rPr>
              <w:t>4b类区□</w:t>
            </w:r>
          </w:p>
        </w:tc>
      </w:tr>
      <w:tr w14:paraId="6D3841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Merge w:val="continue"/>
            <w:vAlign w:val="center"/>
          </w:tcPr>
          <w:p w14:paraId="01FF45C9">
            <w:pPr>
              <w:pStyle w:val="8"/>
              <w:suppressLineNumbers w:val="0"/>
              <w:bidi w:val="0"/>
              <w:spacing w:before="0" w:beforeAutospacing="0" w:after="0" w:afterAutospacing="0"/>
              <w:ind w:left="0" w:right="0"/>
              <w:rPr>
                <w:rFonts w:hint="default"/>
                <w:highlight w:val="none"/>
              </w:rPr>
            </w:pPr>
          </w:p>
        </w:tc>
        <w:tc>
          <w:tcPr>
            <w:tcW w:w="1275" w:type="dxa"/>
            <w:vAlign w:val="center"/>
          </w:tcPr>
          <w:p w14:paraId="068CBAC9">
            <w:pPr>
              <w:pStyle w:val="8"/>
              <w:suppressLineNumbers w:val="0"/>
              <w:bidi w:val="0"/>
              <w:spacing w:before="0" w:beforeAutospacing="0" w:after="0" w:afterAutospacing="0"/>
              <w:ind w:left="0" w:right="0"/>
              <w:rPr>
                <w:rFonts w:hint="default"/>
                <w:highlight w:val="none"/>
              </w:rPr>
            </w:pPr>
            <w:r>
              <w:rPr>
                <w:rFonts w:hint="default"/>
                <w:highlight w:val="none"/>
              </w:rPr>
              <w:t>评价年度</w:t>
            </w:r>
          </w:p>
        </w:tc>
        <w:tc>
          <w:tcPr>
            <w:tcW w:w="2004" w:type="dxa"/>
            <w:gridSpan w:val="2"/>
            <w:vAlign w:val="center"/>
          </w:tcPr>
          <w:p w14:paraId="6E928F39">
            <w:pPr>
              <w:pStyle w:val="8"/>
              <w:suppressLineNumbers w:val="0"/>
              <w:bidi w:val="0"/>
              <w:spacing w:before="0" w:beforeAutospacing="0" w:after="0" w:afterAutospacing="0"/>
              <w:ind w:left="0" w:right="0"/>
              <w:rPr>
                <w:rFonts w:hint="default"/>
                <w:highlight w:val="none"/>
              </w:rPr>
            </w:pPr>
            <w:r>
              <w:rPr>
                <w:rFonts w:hint="default"/>
                <w:highlight w:val="none"/>
              </w:rPr>
              <w:t>初期□</w:t>
            </w:r>
          </w:p>
        </w:tc>
        <w:tc>
          <w:tcPr>
            <w:tcW w:w="973" w:type="dxa"/>
            <w:gridSpan w:val="2"/>
            <w:vAlign w:val="center"/>
          </w:tcPr>
          <w:p w14:paraId="40C98F12">
            <w:pPr>
              <w:pStyle w:val="8"/>
              <w:suppressLineNumbers w:val="0"/>
              <w:bidi w:val="0"/>
              <w:spacing w:before="0" w:beforeAutospacing="0" w:after="0" w:afterAutospacing="0"/>
              <w:ind w:left="0" w:right="0"/>
              <w:rPr>
                <w:rFonts w:hint="default"/>
                <w:highlight w:val="none"/>
              </w:rPr>
            </w:pPr>
            <w:r>
              <w:rPr>
                <w:rFonts w:hint="default"/>
                <w:highlight w:val="none"/>
              </w:rPr>
              <w:t>近期√</w:t>
            </w:r>
          </w:p>
        </w:tc>
        <w:tc>
          <w:tcPr>
            <w:tcW w:w="992" w:type="dxa"/>
            <w:vAlign w:val="center"/>
          </w:tcPr>
          <w:p w14:paraId="6236398F">
            <w:pPr>
              <w:pStyle w:val="8"/>
              <w:suppressLineNumbers w:val="0"/>
              <w:bidi w:val="0"/>
              <w:spacing w:before="0" w:beforeAutospacing="0" w:after="0" w:afterAutospacing="0"/>
              <w:ind w:left="0" w:right="0"/>
              <w:rPr>
                <w:rFonts w:hint="default"/>
                <w:highlight w:val="none"/>
              </w:rPr>
            </w:pPr>
            <w:r>
              <w:rPr>
                <w:rFonts w:hint="default"/>
                <w:highlight w:val="none"/>
              </w:rPr>
              <w:t>中期□</w:t>
            </w:r>
          </w:p>
        </w:tc>
        <w:tc>
          <w:tcPr>
            <w:tcW w:w="2268" w:type="dxa"/>
            <w:gridSpan w:val="2"/>
            <w:vAlign w:val="center"/>
          </w:tcPr>
          <w:p w14:paraId="2CB4291B">
            <w:pPr>
              <w:pStyle w:val="8"/>
              <w:suppressLineNumbers w:val="0"/>
              <w:bidi w:val="0"/>
              <w:spacing w:before="0" w:beforeAutospacing="0" w:after="0" w:afterAutospacing="0"/>
              <w:ind w:left="0" w:right="0"/>
              <w:rPr>
                <w:rFonts w:hint="default"/>
                <w:highlight w:val="none"/>
              </w:rPr>
            </w:pPr>
            <w:r>
              <w:rPr>
                <w:rFonts w:hint="default"/>
                <w:highlight w:val="none"/>
              </w:rPr>
              <w:t>远期□</w:t>
            </w:r>
          </w:p>
        </w:tc>
      </w:tr>
      <w:tr w14:paraId="4A3787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Merge w:val="continue"/>
            <w:vAlign w:val="center"/>
          </w:tcPr>
          <w:p w14:paraId="7B520022">
            <w:pPr>
              <w:pStyle w:val="8"/>
              <w:suppressLineNumbers w:val="0"/>
              <w:bidi w:val="0"/>
              <w:spacing w:before="0" w:beforeAutospacing="0" w:after="0" w:afterAutospacing="0"/>
              <w:ind w:left="0" w:right="0"/>
              <w:rPr>
                <w:rFonts w:hint="default"/>
                <w:highlight w:val="none"/>
              </w:rPr>
            </w:pPr>
          </w:p>
        </w:tc>
        <w:tc>
          <w:tcPr>
            <w:tcW w:w="1275" w:type="dxa"/>
            <w:vAlign w:val="center"/>
          </w:tcPr>
          <w:p w14:paraId="78AB2B14">
            <w:pPr>
              <w:pStyle w:val="8"/>
              <w:suppressLineNumbers w:val="0"/>
              <w:bidi w:val="0"/>
              <w:spacing w:before="0" w:beforeAutospacing="0" w:after="0" w:afterAutospacing="0"/>
              <w:ind w:left="0" w:right="0"/>
              <w:rPr>
                <w:rFonts w:hint="default"/>
                <w:highlight w:val="none"/>
              </w:rPr>
            </w:pPr>
            <w:r>
              <w:rPr>
                <w:rFonts w:hint="default"/>
                <w:highlight w:val="none"/>
              </w:rPr>
              <w:t>现状调查</w:t>
            </w:r>
          </w:p>
          <w:p w14:paraId="282CD444">
            <w:pPr>
              <w:pStyle w:val="8"/>
              <w:suppressLineNumbers w:val="0"/>
              <w:bidi w:val="0"/>
              <w:spacing w:before="0" w:beforeAutospacing="0" w:after="0" w:afterAutospacing="0"/>
              <w:ind w:left="0" w:right="0"/>
              <w:rPr>
                <w:rFonts w:hint="default"/>
                <w:highlight w:val="none"/>
              </w:rPr>
            </w:pPr>
            <w:r>
              <w:rPr>
                <w:rFonts w:hint="default"/>
                <w:highlight w:val="none"/>
              </w:rPr>
              <w:t>方法</w:t>
            </w:r>
          </w:p>
        </w:tc>
        <w:tc>
          <w:tcPr>
            <w:tcW w:w="6237" w:type="dxa"/>
            <w:gridSpan w:val="7"/>
            <w:vAlign w:val="center"/>
          </w:tcPr>
          <w:p w14:paraId="357427F1">
            <w:pPr>
              <w:pStyle w:val="8"/>
              <w:suppressLineNumbers w:val="0"/>
              <w:bidi w:val="0"/>
              <w:spacing w:before="0" w:beforeAutospacing="0" w:after="0" w:afterAutospacing="0"/>
              <w:ind w:left="0" w:right="0"/>
              <w:rPr>
                <w:rFonts w:hint="default"/>
                <w:highlight w:val="none"/>
              </w:rPr>
            </w:pPr>
            <w:r>
              <w:rPr>
                <w:rFonts w:hint="default"/>
                <w:highlight w:val="none"/>
              </w:rPr>
              <w:t>现场实测法√现场实测加模型计算法□收集资料√</w:t>
            </w:r>
          </w:p>
        </w:tc>
      </w:tr>
      <w:tr w14:paraId="232458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Merge w:val="continue"/>
            <w:vAlign w:val="center"/>
          </w:tcPr>
          <w:p w14:paraId="0B9A128B">
            <w:pPr>
              <w:pStyle w:val="8"/>
              <w:suppressLineNumbers w:val="0"/>
              <w:bidi w:val="0"/>
              <w:spacing w:before="0" w:beforeAutospacing="0" w:after="0" w:afterAutospacing="0"/>
              <w:ind w:left="0" w:right="0"/>
              <w:rPr>
                <w:rFonts w:hint="default"/>
                <w:highlight w:val="none"/>
              </w:rPr>
            </w:pPr>
          </w:p>
        </w:tc>
        <w:tc>
          <w:tcPr>
            <w:tcW w:w="1275" w:type="dxa"/>
            <w:vAlign w:val="center"/>
          </w:tcPr>
          <w:p w14:paraId="5F55A5A2">
            <w:pPr>
              <w:pStyle w:val="8"/>
              <w:suppressLineNumbers w:val="0"/>
              <w:bidi w:val="0"/>
              <w:spacing w:before="0" w:beforeAutospacing="0" w:after="0" w:afterAutospacing="0"/>
              <w:ind w:left="0" w:right="0"/>
              <w:rPr>
                <w:rFonts w:hint="default"/>
                <w:highlight w:val="none"/>
              </w:rPr>
            </w:pPr>
            <w:r>
              <w:rPr>
                <w:rFonts w:hint="default"/>
                <w:highlight w:val="none"/>
              </w:rPr>
              <w:t>现状评价</w:t>
            </w:r>
          </w:p>
        </w:tc>
        <w:tc>
          <w:tcPr>
            <w:tcW w:w="2004" w:type="dxa"/>
            <w:gridSpan w:val="2"/>
            <w:vAlign w:val="center"/>
          </w:tcPr>
          <w:p w14:paraId="6A6906A5">
            <w:pPr>
              <w:pStyle w:val="8"/>
              <w:suppressLineNumbers w:val="0"/>
              <w:bidi w:val="0"/>
              <w:spacing w:before="0" w:beforeAutospacing="0" w:after="0" w:afterAutospacing="0"/>
              <w:ind w:left="0" w:right="0"/>
              <w:rPr>
                <w:rFonts w:hint="default"/>
                <w:highlight w:val="none"/>
              </w:rPr>
            </w:pPr>
            <w:r>
              <w:rPr>
                <w:rFonts w:hint="default"/>
                <w:highlight w:val="none"/>
              </w:rPr>
              <w:t>达标百分比</w:t>
            </w:r>
          </w:p>
        </w:tc>
        <w:tc>
          <w:tcPr>
            <w:tcW w:w="4233" w:type="dxa"/>
            <w:gridSpan w:val="5"/>
            <w:vAlign w:val="center"/>
          </w:tcPr>
          <w:p w14:paraId="45CD5CFF">
            <w:pPr>
              <w:pStyle w:val="8"/>
              <w:suppressLineNumbers w:val="0"/>
              <w:bidi w:val="0"/>
              <w:spacing w:before="0" w:beforeAutospacing="0" w:after="0" w:afterAutospacing="0"/>
              <w:ind w:left="0" w:right="0"/>
              <w:rPr>
                <w:rFonts w:hint="default"/>
                <w:highlight w:val="none"/>
              </w:rPr>
            </w:pPr>
            <w:r>
              <w:rPr>
                <w:rFonts w:hint="default"/>
                <w:highlight w:val="none"/>
              </w:rPr>
              <w:t>100%</w:t>
            </w:r>
          </w:p>
        </w:tc>
      </w:tr>
      <w:tr w14:paraId="275604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Align w:val="center"/>
          </w:tcPr>
          <w:p w14:paraId="5D9497D9">
            <w:pPr>
              <w:pStyle w:val="8"/>
              <w:suppressLineNumbers w:val="0"/>
              <w:bidi w:val="0"/>
              <w:spacing w:before="0" w:beforeAutospacing="0" w:after="0" w:afterAutospacing="0"/>
              <w:ind w:left="0" w:right="0"/>
              <w:rPr>
                <w:rFonts w:hint="default"/>
                <w:highlight w:val="none"/>
              </w:rPr>
            </w:pPr>
            <w:r>
              <w:rPr>
                <w:rFonts w:hint="default"/>
                <w:highlight w:val="none"/>
              </w:rPr>
              <w:t>噪声源</w:t>
            </w:r>
          </w:p>
          <w:p w14:paraId="04D621A2">
            <w:pPr>
              <w:pStyle w:val="8"/>
              <w:suppressLineNumbers w:val="0"/>
              <w:bidi w:val="0"/>
              <w:spacing w:before="0" w:beforeAutospacing="0" w:after="0" w:afterAutospacing="0"/>
              <w:ind w:left="0" w:right="0"/>
              <w:rPr>
                <w:rFonts w:hint="default"/>
                <w:highlight w:val="none"/>
              </w:rPr>
            </w:pPr>
            <w:r>
              <w:rPr>
                <w:rFonts w:hint="default"/>
                <w:highlight w:val="none"/>
              </w:rPr>
              <w:t>调查</w:t>
            </w:r>
          </w:p>
        </w:tc>
        <w:tc>
          <w:tcPr>
            <w:tcW w:w="1275" w:type="dxa"/>
            <w:vAlign w:val="center"/>
          </w:tcPr>
          <w:p w14:paraId="7CD73985">
            <w:pPr>
              <w:pStyle w:val="8"/>
              <w:suppressLineNumbers w:val="0"/>
              <w:bidi w:val="0"/>
              <w:spacing w:before="0" w:beforeAutospacing="0" w:after="0" w:afterAutospacing="0"/>
              <w:ind w:left="0" w:right="0"/>
              <w:rPr>
                <w:rFonts w:hint="default"/>
                <w:highlight w:val="none"/>
              </w:rPr>
            </w:pPr>
            <w:r>
              <w:rPr>
                <w:rFonts w:hint="default"/>
                <w:highlight w:val="none"/>
              </w:rPr>
              <w:t>噪声源调查方法</w:t>
            </w:r>
          </w:p>
        </w:tc>
        <w:tc>
          <w:tcPr>
            <w:tcW w:w="6237" w:type="dxa"/>
            <w:gridSpan w:val="7"/>
            <w:vAlign w:val="center"/>
          </w:tcPr>
          <w:p w14:paraId="6709C6E6">
            <w:pPr>
              <w:pStyle w:val="8"/>
              <w:suppressLineNumbers w:val="0"/>
              <w:bidi w:val="0"/>
              <w:spacing w:before="0" w:beforeAutospacing="0" w:after="0" w:afterAutospacing="0"/>
              <w:ind w:left="0" w:right="0"/>
              <w:rPr>
                <w:rFonts w:hint="default"/>
                <w:highlight w:val="none"/>
              </w:rPr>
            </w:pPr>
            <w:r>
              <w:rPr>
                <w:rFonts w:hint="default"/>
                <w:highlight w:val="none"/>
              </w:rPr>
              <w:t>现场实测□已有资料√研究成果□</w:t>
            </w:r>
          </w:p>
        </w:tc>
      </w:tr>
      <w:tr w14:paraId="741D03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Merge w:val="restart"/>
            <w:vAlign w:val="center"/>
          </w:tcPr>
          <w:p w14:paraId="364D1806">
            <w:pPr>
              <w:pStyle w:val="8"/>
              <w:suppressLineNumbers w:val="0"/>
              <w:bidi w:val="0"/>
              <w:spacing w:before="0" w:beforeAutospacing="0" w:after="0" w:afterAutospacing="0"/>
              <w:ind w:left="0" w:right="0"/>
              <w:rPr>
                <w:rFonts w:hint="default"/>
                <w:highlight w:val="none"/>
              </w:rPr>
            </w:pPr>
            <w:r>
              <w:rPr>
                <w:rFonts w:hint="default"/>
                <w:highlight w:val="none"/>
              </w:rPr>
              <w:t>声环境影响预测与评价</w:t>
            </w:r>
          </w:p>
        </w:tc>
        <w:tc>
          <w:tcPr>
            <w:tcW w:w="1275" w:type="dxa"/>
            <w:vAlign w:val="center"/>
          </w:tcPr>
          <w:p w14:paraId="3BC4950B">
            <w:pPr>
              <w:pStyle w:val="8"/>
              <w:suppressLineNumbers w:val="0"/>
              <w:bidi w:val="0"/>
              <w:spacing w:before="0" w:beforeAutospacing="0" w:after="0" w:afterAutospacing="0"/>
              <w:ind w:left="0" w:right="0"/>
              <w:rPr>
                <w:rFonts w:hint="default"/>
                <w:highlight w:val="none"/>
              </w:rPr>
            </w:pPr>
            <w:r>
              <w:rPr>
                <w:rFonts w:hint="default"/>
                <w:highlight w:val="none"/>
              </w:rPr>
              <w:t>预测模型</w:t>
            </w:r>
          </w:p>
        </w:tc>
        <w:tc>
          <w:tcPr>
            <w:tcW w:w="6237" w:type="dxa"/>
            <w:gridSpan w:val="7"/>
            <w:vAlign w:val="center"/>
          </w:tcPr>
          <w:p w14:paraId="0A244085">
            <w:pPr>
              <w:pStyle w:val="8"/>
              <w:suppressLineNumbers w:val="0"/>
              <w:bidi w:val="0"/>
              <w:spacing w:before="0" w:beforeAutospacing="0" w:after="0" w:afterAutospacing="0"/>
              <w:ind w:left="0" w:right="0"/>
              <w:rPr>
                <w:rFonts w:hint="default"/>
                <w:highlight w:val="none"/>
              </w:rPr>
            </w:pPr>
            <w:r>
              <w:rPr>
                <w:rFonts w:hint="default"/>
                <w:highlight w:val="none"/>
              </w:rPr>
              <w:t>导则推荐模型√其他□—</w:t>
            </w:r>
          </w:p>
        </w:tc>
      </w:tr>
      <w:tr w14:paraId="757BC0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Merge w:val="continue"/>
            <w:vAlign w:val="center"/>
          </w:tcPr>
          <w:p w14:paraId="0FBAE7CF">
            <w:pPr>
              <w:pStyle w:val="8"/>
              <w:suppressLineNumbers w:val="0"/>
              <w:bidi w:val="0"/>
              <w:spacing w:before="0" w:beforeAutospacing="0" w:after="0" w:afterAutospacing="0"/>
              <w:ind w:left="0" w:right="0"/>
              <w:rPr>
                <w:rFonts w:hint="default"/>
                <w:highlight w:val="none"/>
              </w:rPr>
            </w:pPr>
          </w:p>
        </w:tc>
        <w:tc>
          <w:tcPr>
            <w:tcW w:w="1275" w:type="dxa"/>
            <w:vAlign w:val="center"/>
          </w:tcPr>
          <w:p w14:paraId="3FE99F9A">
            <w:pPr>
              <w:pStyle w:val="8"/>
              <w:suppressLineNumbers w:val="0"/>
              <w:bidi w:val="0"/>
              <w:spacing w:before="0" w:beforeAutospacing="0" w:after="0" w:afterAutospacing="0"/>
              <w:ind w:left="0" w:right="0"/>
              <w:rPr>
                <w:rFonts w:hint="default"/>
                <w:highlight w:val="none"/>
              </w:rPr>
            </w:pPr>
            <w:r>
              <w:rPr>
                <w:rFonts w:hint="default"/>
                <w:highlight w:val="none"/>
              </w:rPr>
              <w:t>预测范围</w:t>
            </w:r>
          </w:p>
        </w:tc>
        <w:tc>
          <w:tcPr>
            <w:tcW w:w="6237" w:type="dxa"/>
            <w:gridSpan w:val="7"/>
            <w:vAlign w:val="center"/>
          </w:tcPr>
          <w:p w14:paraId="155F0384">
            <w:pPr>
              <w:pStyle w:val="8"/>
              <w:suppressLineNumbers w:val="0"/>
              <w:bidi w:val="0"/>
              <w:spacing w:before="0" w:beforeAutospacing="0" w:after="0" w:afterAutospacing="0"/>
              <w:ind w:left="0" w:right="0"/>
              <w:rPr>
                <w:rFonts w:hint="default"/>
                <w:highlight w:val="none"/>
              </w:rPr>
            </w:pPr>
            <w:r>
              <w:rPr>
                <w:rFonts w:hint="default"/>
                <w:highlight w:val="none"/>
              </w:rPr>
              <w:t>200m√大于200m□小于200m□</w:t>
            </w:r>
          </w:p>
        </w:tc>
      </w:tr>
      <w:tr w14:paraId="1B1BD3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Merge w:val="continue"/>
            <w:vAlign w:val="center"/>
          </w:tcPr>
          <w:p w14:paraId="2F9F41B3">
            <w:pPr>
              <w:pStyle w:val="8"/>
              <w:suppressLineNumbers w:val="0"/>
              <w:bidi w:val="0"/>
              <w:spacing w:before="0" w:beforeAutospacing="0" w:after="0" w:afterAutospacing="0"/>
              <w:ind w:left="0" w:right="0"/>
              <w:rPr>
                <w:rFonts w:hint="default"/>
                <w:highlight w:val="none"/>
              </w:rPr>
            </w:pPr>
          </w:p>
        </w:tc>
        <w:tc>
          <w:tcPr>
            <w:tcW w:w="1275" w:type="dxa"/>
            <w:vAlign w:val="center"/>
          </w:tcPr>
          <w:p w14:paraId="54E3E13D">
            <w:pPr>
              <w:pStyle w:val="8"/>
              <w:suppressLineNumbers w:val="0"/>
              <w:bidi w:val="0"/>
              <w:spacing w:before="0" w:beforeAutospacing="0" w:after="0" w:afterAutospacing="0"/>
              <w:ind w:left="0" w:right="0"/>
              <w:rPr>
                <w:rFonts w:hint="default"/>
                <w:highlight w:val="none"/>
              </w:rPr>
            </w:pPr>
            <w:r>
              <w:rPr>
                <w:rFonts w:hint="default"/>
                <w:highlight w:val="none"/>
              </w:rPr>
              <w:t>预测因子</w:t>
            </w:r>
          </w:p>
        </w:tc>
        <w:tc>
          <w:tcPr>
            <w:tcW w:w="6237" w:type="dxa"/>
            <w:gridSpan w:val="7"/>
            <w:vAlign w:val="center"/>
          </w:tcPr>
          <w:p w14:paraId="31C982A8">
            <w:pPr>
              <w:pStyle w:val="8"/>
              <w:suppressLineNumbers w:val="0"/>
              <w:bidi w:val="0"/>
              <w:spacing w:before="0" w:beforeAutospacing="0" w:after="0" w:afterAutospacing="0"/>
              <w:ind w:left="0" w:right="0"/>
              <w:rPr>
                <w:rFonts w:hint="default"/>
                <w:highlight w:val="none"/>
              </w:rPr>
            </w:pPr>
            <w:r>
              <w:rPr>
                <w:rFonts w:hint="default"/>
                <w:highlight w:val="none"/>
              </w:rPr>
              <w:t>等效连续A声级√最大A声级□计权等效连续感觉噪声级□</w:t>
            </w:r>
          </w:p>
        </w:tc>
      </w:tr>
      <w:tr w14:paraId="4F4F32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Merge w:val="continue"/>
            <w:vAlign w:val="center"/>
          </w:tcPr>
          <w:p w14:paraId="140E9116">
            <w:pPr>
              <w:pStyle w:val="8"/>
              <w:suppressLineNumbers w:val="0"/>
              <w:bidi w:val="0"/>
              <w:spacing w:before="0" w:beforeAutospacing="0" w:after="0" w:afterAutospacing="0"/>
              <w:ind w:left="0" w:right="0"/>
              <w:rPr>
                <w:rFonts w:hint="default"/>
                <w:highlight w:val="none"/>
              </w:rPr>
            </w:pPr>
          </w:p>
        </w:tc>
        <w:tc>
          <w:tcPr>
            <w:tcW w:w="1275" w:type="dxa"/>
            <w:vAlign w:val="center"/>
          </w:tcPr>
          <w:p w14:paraId="3CF0E850">
            <w:pPr>
              <w:pStyle w:val="8"/>
              <w:suppressLineNumbers w:val="0"/>
              <w:bidi w:val="0"/>
              <w:spacing w:before="0" w:beforeAutospacing="0" w:after="0" w:afterAutospacing="0"/>
              <w:ind w:left="0" w:right="0"/>
              <w:rPr>
                <w:rFonts w:hint="default"/>
                <w:highlight w:val="none"/>
              </w:rPr>
            </w:pPr>
            <w:r>
              <w:rPr>
                <w:rFonts w:hint="default"/>
                <w:highlight w:val="none"/>
              </w:rPr>
              <w:t>厂界噪声贡献值</w:t>
            </w:r>
          </w:p>
        </w:tc>
        <w:tc>
          <w:tcPr>
            <w:tcW w:w="6237" w:type="dxa"/>
            <w:gridSpan w:val="7"/>
            <w:vAlign w:val="center"/>
          </w:tcPr>
          <w:p w14:paraId="5F77C217">
            <w:pPr>
              <w:pStyle w:val="8"/>
              <w:suppressLineNumbers w:val="0"/>
              <w:bidi w:val="0"/>
              <w:spacing w:before="0" w:beforeAutospacing="0" w:after="0" w:afterAutospacing="0"/>
              <w:ind w:left="0" w:right="0"/>
              <w:rPr>
                <w:rFonts w:hint="default"/>
                <w:highlight w:val="none"/>
              </w:rPr>
            </w:pPr>
            <w:r>
              <w:rPr>
                <w:rFonts w:hint="default"/>
                <w:highlight w:val="none"/>
              </w:rPr>
              <w:t>达标√不达标□</w:t>
            </w:r>
          </w:p>
        </w:tc>
      </w:tr>
      <w:tr w14:paraId="2A3A72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Merge w:val="continue"/>
            <w:vAlign w:val="center"/>
          </w:tcPr>
          <w:p w14:paraId="1D117CE6">
            <w:pPr>
              <w:pStyle w:val="8"/>
              <w:suppressLineNumbers w:val="0"/>
              <w:bidi w:val="0"/>
              <w:spacing w:before="0" w:beforeAutospacing="0" w:after="0" w:afterAutospacing="0"/>
              <w:ind w:left="0" w:right="0"/>
              <w:rPr>
                <w:rFonts w:hint="default"/>
                <w:highlight w:val="none"/>
              </w:rPr>
            </w:pPr>
          </w:p>
        </w:tc>
        <w:tc>
          <w:tcPr>
            <w:tcW w:w="1275" w:type="dxa"/>
            <w:vAlign w:val="center"/>
          </w:tcPr>
          <w:p w14:paraId="0C43D243">
            <w:pPr>
              <w:pStyle w:val="8"/>
              <w:suppressLineNumbers w:val="0"/>
              <w:bidi w:val="0"/>
              <w:spacing w:before="0" w:beforeAutospacing="0" w:after="0" w:afterAutospacing="0"/>
              <w:ind w:left="0" w:right="0"/>
              <w:rPr>
                <w:rFonts w:hint="default"/>
                <w:highlight w:val="none"/>
              </w:rPr>
            </w:pPr>
            <w:r>
              <w:rPr>
                <w:rFonts w:hint="default"/>
                <w:highlight w:val="none"/>
              </w:rPr>
              <w:t>声环境保护目标出噪声值</w:t>
            </w:r>
          </w:p>
        </w:tc>
        <w:tc>
          <w:tcPr>
            <w:tcW w:w="6237" w:type="dxa"/>
            <w:gridSpan w:val="7"/>
            <w:vAlign w:val="center"/>
          </w:tcPr>
          <w:p w14:paraId="29D40C40">
            <w:pPr>
              <w:pStyle w:val="8"/>
              <w:suppressLineNumbers w:val="0"/>
              <w:bidi w:val="0"/>
              <w:spacing w:before="0" w:beforeAutospacing="0" w:after="0" w:afterAutospacing="0"/>
              <w:ind w:left="0" w:right="0"/>
              <w:rPr>
                <w:rFonts w:hint="default"/>
                <w:highlight w:val="none"/>
              </w:rPr>
            </w:pPr>
            <w:r>
              <w:rPr>
                <w:rFonts w:hint="default"/>
                <w:highlight w:val="none"/>
              </w:rPr>
              <w:t>达标□不达标□</w:t>
            </w:r>
          </w:p>
        </w:tc>
      </w:tr>
      <w:tr w14:paraId="7FE083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Merge w:val="restart"/>
            <w:vAlign w:val="center"/>
          </w:tcPr>
          <w:p w14:paraId="37ED4E38">
            <w:pPr>
              <w:pStyle w:val="8"/>
              <w:suppressLineNumbers w:val="0"/>
              <w:bidi w:val="0"/>
              <w:spacing w:before="0" w:beforeAutospacing="0" w:after="0" w:afterAutospacing="0"/>
              <w:ind w:left="0" w:right="0"/>
              <w:rPr>
                <w:rFonts w:hint="default"/>
                <w:highlight w:val="none"/>
              </w:rPr>
            </w:pPr>
            <w:r>
              <w:rPr>
                <w:rFonts w:hint="default"/>
                <w:highlight w:val="none"/>
              </w:rPr>
              <w:t>环境监测计划</w:t>
            </w:r>
          </w:p>
        </w:tc>
        <w:tc>
          <w:tcPr>
            <w:tcW w:w="1275" w:type="dxa"/>
            <w:vAlign w:val="center"/>
          </w:tcPr>
          <w:p w14:paraId="24816E44">
            <w:pPr>
              <w:pStyle w:val="8"/>
              <w:suppressLineNumbers w:val="0"/>
              <w:bidi w:val="0"/>
              <w:spacing w:before="0" w:beforeAutospacing="0" w:after="0" w:afterAutospacing="0"/>
              <w:ind w:left="0" w:right="0"/>
              <w:rPr>
                <w:rFonts w:hint="default"/>
                <w:highlight w:val="none"/>
              </w:rPr>
            </w:pPr>
            <w:r>
              <w:rPr>
                <w:rFonts w:hint="default"/>
                <w:highlight w:val="none"/>
              </w:rPr>
              <w:t>排放监测</w:t>
            </w:r>
          </w:p>
        </w:tc>
        <w:tc>
          <w:tcPr>
            <w:tcW w:w="6237" w:type="dxa"/>
            <w:gridSpan w:val="7"/>
            <w:vAlign w:val="center"/>
          </w:tcPr>
          <w:p w14:paraId="7142E2ED">
            <w:pPr>
              <w:pStyle w:val="8"/>
              <w:suppressLineNumbers w:val="0"/>
              <w:bidi w:val="0"/>
              <w:spacing w:before="0" w:beforeAutospacing="0" w:after="0" w:afterAutospacing="0"/>
              <w:ind w:left="0" w:right="0"/>
              <w:rPr>
                <w:rFonts w:hint="default"/>
                <w:highlight w:val="none"/>
              </w:rPr>
            </w:pPr>
            <w:r>
              <w:rPr>
                <w:rFonts w:hint="default"/>
                <w:highlight w:val="none"/>
              </w:rPr>
              <w:t>厂界监测√固定位置监测□自动监测□手动监测√无监测□</w:t>
            </w:r>
          </w:p>
        </w:tc>
      </w:tr>
      <w:tr w14:paraId="1B6487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Merge w:val="continue"/>
            <w:vAlign w:val="center"/>
          </w:tcPr>
          <w:p w14:paraId="4ECF71C9">
            <w:pPr>
              <w:pStyle w:val="8"/>
              <w:suppressLineNumbers w:val="0"/>
              <w:bidi w:val="0"/>
              <w:spacing w:before="0" w:beforeAutospacing="0" w:after="0" w:afterAutospacing="0"/>
              <w:ind w:left="0" w:right="0"/>
              <w:rPr>
                <w:rFonts w:hint="default"/>
                <w:highlight w:val="none"/>
              </w:rPr>
            </w:pPr>
          </w:p>
        </w:tc>
        <w:tc>
          <w:tcPr>
            <w:tcW w:w="1275" w:type="dxa"/>
            <w:vAlign w:val="center"/>
          </w:tcPr>
          <w:p w14:paraId="46E905B7">
            <w:pPr>
              <w:pStyle w:val="8"/>
              <w:suppressLineNumbers w:val="0"/>
              <w:bidi w:val="0"/>
              <w:spacing w:before="0" w:beforeAutospacing="0" w:after="0" w:afterAutospacing="0"/>
              <w:ind w:left="0" w:right="0"/>
              <w:rPr>
                <w:rFonts w:hint="default"/>
                <w:highlight w:val="none"/>
              </w:rPr>
            </w:pPr>
            <w:r>
              <w:rPr>
                <w:rFonts w:hint="default"/>
                <w:highlight w:val="none"/>
              </w:rPr>
              <w:t>声环境保护目标处噪声监测</w:t>
            </w:r>
          </w:p>
        </w:tc>
        <w:tc>
          <w:tcPr>
            <w:tcW w:w="2835" w:type="dxa"/>
            <w:gridSpan w:val="3"/>
            <w:vAlign w:val="center"/>
          </w:tcPr>
          <w:p w14:paraId="488C3C7E">
            <w:pPr>
              <w:pStyle w:val="8"/>
              <w:suppressLineNumbers w:val="0"/>
              <w:bidi w:val="0"/>
              <w:spacing w:before="0" w:beforeAutospacing="0" w:after="0" w:afterAutospacing="0"/>
              <w:ind w:left="0" w:right="0"/>
              <w:rPr>
                <w:rFonts w:hint="default"/>
                <w:highlight w:val="none"/>
              </w:rPr>
            </w:pPr>
            <w:r>
              <w:rPr>
                <w:rFonts w:hint="default"/>
                <w:highlight w:val="none"/>
              </w:rPr>
              <w:t>监测因子：（）</w:t>
            </w:r>
          </w:p>
        </w:tc>
        <w:tc>
          <w:tcPr>
            <w:tcW w:w="2127" w:type="dxa"/>
            <w:gridSpan w:val="3"/>
            <w:vAlign w:val="center"/>
          </w:tcPr>
          <w:p w14:paraId="559B2043">
            <w:pPr>
              <w:pStyle w:val="8"/>
              <w:suppressLineNumbers w:val="0"/>
              <w:bidi w:val="0"/>
              <w:spacing w:before="0" w:beforeAutospacing="0" w:after="0" w:afterAutospacing="0"/>
              <w:ind w:left="0" w:right="0"/>
              <w:rPr>
                <w:rFonts w:hint="default"/>
                <w:highlight w:val="none"/>
              </w:rPr>
            </w:pPr>
            <w:r>
              <w:rPr>
                <w:rFonts w:hint="default"/>
                <w:highlight w:val="none"/>
              </w:rPr>
              <w:t>监测点位数（）</w:t>
            </w:r>
          </w:p>
        </w:tc>
        <w:tc>
          <w:tcPr>
            <w:tcW w:w="1275" w:type="dxa"/>
            <w:vAlign w:val="center"/>
          </w:tcPr>
          <w:p w14:paraId="16E448A0">
            <w:pPr>
              <w:pStyle w:val="8"/>
              <w:suppressLineNumbers w:val="0"/>
              <w:bidi w:val="0"/>
              <w:spacing w:before="0" w:beforeAutospacing="0" w:after="0" w:afterAutospacing="0"/>
              <w:ind w:left="0" w:right="0"/>
              <w:rPr>
                <w:rFonts w:hint="eastAsia"/>
                <w:highlight w:val="none"/>
                <w:lang w:eastAsia="zh-CN"/>
              </w:rPr>
            </w:pPr>
            <w:r>
              <w:rPr>
                <w:rFonts w:hint="default"/>
                <w:highlight w:val="none"/>
              </w:rPr>
              <w:t>无监测□</w:t>
            </w:r>
          </w:p>
        </w:tc>
      </w:tr>
      <w:tr w14:paraId="5C0146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1" w:type="dxa"/>
            <w:vAlign w:val="center"/>
          </w:tcPr>
          <w:p w14:paraId="602355BA">
            <w:pPr>
              <w:pStyle w:val="8"/>
              <w:suppressLineNumbers w:val="0"/>
              <w:bidi w:val="0"/>
              <w:spacing w:before="0" w:beforeAutospacing="0" w:after="0" w:afterAutospacing="0"/>
              <w:ind w:left="0" w:right="0"/>
              <w:rPr>
                <w:rFonts w:hint="default"/>
                <w:highlight w:val="none"/>
              </w:rPr>
            </w:pPr>
            <w:r>
              <w:rPr>
                <w:rFonts w:hint="default"/>
                <w:highlight w:val="none"/>
              </w:rPr>
              <w:t>评价</w:t>
            </w:r>
          </w:p>
          <w:p w14:paraId="19A9E10D">
            <w:pPr>
              <w:pStyle w:val="8"/>
              <w:suppressLineNumbers w:val="0"/>
              <w:bidi w:val="0"/>
              <w:spacing w:before="0" w:beforeAutospacing="0" w:after="0" w:afterAutospacing="0"/>
              <w:ind w:left="0" w:right="0"/>
              <w:rPr>
                <w:rFonts w:hint="default"/>
                <w:highlight w:val="none"/>
              </w:rPr>
            </w:pPr>
            <w:r>
              <w:rPr>
                <w:rFonts w:hint="default"/>
                <w:highlight w:val="none"/>
              </w:rPr>
              <w:t>结论</w:t>
            </w:r>
          </w:p>
        </w:tc>
        <w:tc>
          <w:tcPr>
            <w:tcW w:w="1275" w:type="dxa"/>
            <w:vAlign w:val="center"/>
          </w:tcPr>
          <w:p w14:paraId="64160DCB">
            <w:pPr>
              <w:pStyle w:val="8"/>
              <w:suppressLineNumbers w:val="0"/>
              <w:bidi w:val="0"/>
              <w:spacing w:before="0" w:beforeAutospacing="0" w:after="0" w:afterAutospacing="0"/>
              <w:ind w:left="0" w:right="0"/>
              <w:rPr>
                <w:rFonts w:hint="default"/>
                <w:highlight w:val="none"/>
              </w:rPr>
            </w:pPr>
            <w:r>
              <w:rPr>
                <w:rFonts w:hint="default"/>
                <w:highlight w:val="none"/>
              </w:rPr>
              <w:t>环境影响</w:t>
            </w:r>
          </w:p>
        </w:tc>
        <w:tc>
          <w:tcPr>
            <w:tcW w:w="6237" w:type="dxa"/>
            <w:gridSpan w:val="7"/>
            <w:vAlign w:val="center"/>
          </w:tcPr>
          <w:p w14:paraId="2258B225">
            <w:pPr>
              <w:pStyle w:val="8"/>
              <w:suppressLineNumbers w:val="0"/>
              <w:bidi w:val="0"/>
              <w:spacing w:before="0" w:beforeAutospacing="0" w:after="0" w:afterAutospacing="0"/>
              <w:ind w:left="0" w:right="0"/>
              <w:rPr>
                <w:rFonts w:hint="default"/>
                <w:highlight w:val="none"/>
              </w:rPr>
            </w:pPr>
            <w:r>
              <w:rPr>
                <w:rFonts w:hint="default"/>
                <w:highlight w:val="none"/>
              </w:rPr>
              <w:t>可行√不可行□</w:t>
            </w:r>
          </w:p>
        </w:tc>
      </w:tr>
      <w:tr w14:paraId="18102E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403" w:type="dxa"/>
            <w:gridSpan w:val="9"/>
            <w:vAlign w:val="center"/>
          </w:tcPr>
          <w:p w14:paraId="09FC3BA0">
            <w:pPr>
              <w:pStyle w:val="8"/>
              <w:suppressLineNumbers w:val="0"/>
              <w:bidi w:val="0"/>
              <w:spacing w:before="0" w:beforeAutospacing="0" w:after="0" w:afterAutospacing="0"/>
              <w:ind w:left="0" w:right="0"/>
              <w:rPr>
                <w:rFonts w:hint="default"/>
                <w:highlight w:val="none"/>
              </w:rPr>
            </w:pPr>
            <w:r>
              <w:rPr>
                <w:rFonts w:hint="default"/>
                <w:highlight w:val="none"/>
              </w:rPr>
              <w:t>注：</w:t>
            </w:r>
            <w:r>
              <w:rPr>
                <w:rFonts w:hint="eastAsia"/>
                <w:highlight w:val="none"/>
                <w:lang w:eastAsia="zh-CN"/>
              </w:rPr>
              <w:t>“</w:t>
            </w:r>
            <w:r>
              <w:rPr>
                <w:rFonts w:hint="default"/>
                <w:highlight w:val="none"/>
              </w:rPr>
              <w:t>□</w:t>
            </w:r>
            <w:r>
              <w:rPr>
                <w:rFonts w:hint="eastAsia"/>
                <w:highlight w:val="none"/>
                <w:lang w:eastAsia="zh-CN"/>
              </w:rPr>
              <w:t>”</w:t>
            </w:r>
            <w:r>
              <w:rPr>
                <w:rFonts w:hint="default"/>
                <w:highlight w:val="none"/>
              </w:rPr>
              <w:t>为勾选项，可√；</w:t>
            </w:r>
            <w:r>
              <w:rPr>
                <w:rFonts w:hint="eastAsia"/>
                <w:highlight w:val="none"/>
                <w:lang w:eastAsia="zh-CN"/>
              </w:rPr>
              <w:t>“</w:t>
            </w:r>
            <w:r>
              <w:rPr>
                <w:rFonts w:hint="default"/>
                <w:highlight w:val="none"/>
              </w:rPr>
              <w:t>（）</w:t>
            </w:r>
            <w:r>
              <w:rPr>
                <w:rFonts w:hint="eastAsia"/>
                <w:highlight w:val="none"/>
                <w:lang w:eastAsia="zh-CN"/>
              </w:rPr>
              <w:t>”</w:t>
            </w:r>
            <w:r>
              <w:rPr>
                <w:rFonts w:hint="default"/>
                <w:highlight w:val="none"/>
              </w:rPr>
              <w:t>为内容填写项。</w:t>
            </w:r>
          </w:p>
        </w:tc>
      </w:tr>
    </w:tbl>
    <w:p w14:paraId="171D52BB">
      <w:pPr>
        <w:spacing w:line="360" w:lineRule="auto"/>
        <w:ind w:firstLine="480" w:firstLineChars="200"/>
        <w:rPr>
          <w:rFonts w:eastAsiaTheme="minorEastAsia"/>
          <w:kern w:val="18"/>
          <w:sz w:val="24"/>
          <w:szCs w:val="21"/>
          <w:highlight w:val="none"/>
        </w:rPr>
      </w:pPr>
    </w:p>
    <w:sectPr>
      <w:pgSz w:w="11906" w:h="16838"/>
      <w:pgMar w:top="1440" w:right="1800" w:bottom="1440" w:left="1800" w:header="851" w:footer="992" w:gutter="0"/>
      <w:pgBorders w:offsetFrom="page">
        <w:top w:val="none" w:sz="0" w:space="0"/>
        <w:left w:val="none" w:sz="0" w:space="0"/>
        <w:bottom w:val="none" w:sz="0" w:space="0"/>
        <w:right w:val="none" w:sz="0" w:space="0"/>
      </w:pgBorders>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swiss"/>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panose1 w:val="02010609030101010101"/>
    <w:charset w:val="86"/>
    <w:family w:val="modern"/>
    <w:pitch w:val="default"/>
    <w:sig w:usb0="00000001" w:usb1="080E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Cambria">
    <w:panose1 w:val="02040503050406030204"/>
    <w:charset w:val="00"/>
    <w:family w:val="roman"/>
    <w:pitch w:val="default"/>
    <w:sig w:usb0="E00006FF" w:usb1="420024FF" w:usb2="02000000" w:usb3="00000000" w:csb0="2000019F" w:csb1="00000000"/>
  </w:font>
  <w:font w:name="TimesNewRomanPSMT">
    <w:altName w:val="Times New Roman"/>
    <w:panose1 w:val="00000000000000000000"/>
    <w:charset w:val="00"/>
    <w:family w:val="roman"/>
    <w:pitch w:val="default"/>
    <w:sig w:usb0="00000000" w:usb1="00000000" w:usb2="00000000" w:usb3="00000000" w:csb0="00000000" w:csb1="00000000"/>
  </w:font>
  <w:font w:name="昆仑仿宋">
    <w:altName w:val="宋体"/>
    <w:panose1 w:val="00000000000000000000"/>
    <w:charset w:val="86"/>
    <w:family w:val="modern"/>
    <w:pitch w:val="default"/>
    <w:sig w:usb0="00000000" w:usb1="00000000" w:usb2="00000010" w:usb3="00000000" w:csb0="00040000" w:csb1="00000000"/>
  </w:font>
  <w:font w:name="幼圆">
    <w:panose1 w:val="02010509060101010101"/>
    <w:charset w:val="86"/>
    <w:family w:val="modern"/>
    <w:pitch w:val="default"/>
    <w:sig w:usb0="00000001" w:usb1="080E0000" w:usb2="00000000" w:usb3="00000000" w:csb0="00040000" w:csb1="00000000"/>
  </w:font>
  <w:font w:name="MingLiU">
    <w:altName w:val="PMingLiU-ExtB"/>
    <w:panose1 w:val="02010609000101010101"/>
    <w:charset w:val="88"/>
    <w:family w:val="modern"/>
    <w:pitch w:val="default"/>
    <w:sig w:usb0="00000000" w:usb1="00000000" w:usb2="00000010" w:usb3="00000000" w:csb0="00100000" w:csb1="00000000"/>
  </w:font>
  <w:font w:name="PMingLiU-ExtB">
    <w:panose1 w:val="02020500000000000000"/>
    <w:charset w:val="88"/>
    <w:family w:val="auto"/>
    <w:pitch w:val="default"/>
    <w:sig w:usb0="8000002F" w:usb1="02000008" w:usb2="00000000" w:usb3="00000000" w:csb0="00100001" w:csb1="00000000"/>
  </w:font>
  <w:font w:name="Arial Black">
    <w:panose1 w:val="020B0A04020102020204"/>
    <w:charset w:val="00"/>
    <w:family w:val="swiss"/>
    <w:pitch w:val="default"/>
    <w:sig w:usb0="A00002AF" w:usb1="400078FB" w:usb2="00000000" w:usb3="00000000" w:csb0="6000009F" w:csb1="DFD70000"/>
  </w:font>
  <w:font w:name="Financial  (MF)">
    <w:altName w:val="Times New Roman"/>
    <w:panose1 w:val="00000000000000000000"/>
    <w:charset w:val="00"/>
    <w:family w:val="roman"/>
    <w:pitch w:val="default"/>
    <w:sig w:usb0="00000000" w:usb1="00000000" w:usb2="00000000" w:usb3="00000000" w:csb0="00000001" w:csb1="00000000"/>
  </w:font>
  <w:font w:name="Tahoma">
    <w:panose1 w:val="020B0604030504040204"/>
    <w:charset w:val="00"/>
    <w:family w:val="swiss"/>
    <w:pitch w:val="default"/>
    <w:sig w:usb0="E1002EFF" w:usb1="C000605B" w:usb2="00000029" w:usb3="00000000" w:csb0="200101FF" w:csb1="20280000"/>
  </w:font>
  <w:font w:name="TimesNewRoman">
    <w:altName w:val="宋体"/>
    <w:panose1 w:val="00000000000000000000"/>
    <w:charset w:val="00"/>
    <w:family w:val="auto"/>
    <w:pitch w:val="default"/>
    <w:sig w:usb0="00000000" w:usb1="00000000" w:usb2="00000000" w:usb3="00000000" w:csb0="00000001" w:csb1="00000000"/>
  </w:font>
  <w:font w:name="Arial Unicode MS">
    <w:panose1 w:val="020B0604020202020204"/>
    <w:charset w:val="86"/>
    <w:family w:val="swiss"/>
    <w:pitch w:val="default"/>
    <w:sig w:usb0="FFFFFFFF" w:usb1="E9FFFFFF" w:usb2="0000003F" w:usb3="00000000" w:csb0="603F01FF" w:csb1="FFFF0000"/>
  </w:font>
  <w:font w:name="Tms Rmn">
    <w:altName w:val="Segoe Print"/>
    <w:panose1 w:val="02020603040505020304"/>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仿宋体">
    <w:altName w:val="宋体"/>
    <w:panose1 w:val="00000000000000000000"/>
    <w:charset w:val="86"/>
    <w:family w:val="roman"/>
    <w:pitch w:val="default"/>
    <w:sig w:usb0="00000000" w:usb1="00000000" w:usb2="00000010" w:usb3="00000000" w:csb0="00040000" w:csb1="00000000"/>
  </w:font>
  <w:font w:name="楷体">
    <w:panose1 w:val="02010609060101010101"/>
    <w:charset w:val="86"/>
    <w:family w:val="modern"/>
    <w:pitch w:val="default"/>
    <w:sig w:usb0="800002BF" w:usb1="38CF7CFA" w:usb2="00000016" w:usb3="00000000" w:csb0="00040001" w:csb1="00000000"/>
  </w:font>
  <w:font w:name="Verdana">
    <w:panose1 w:val="020B0604030504040204"/>
    <w:charset w:val="00"/>
    <w:family w:val="swiss"/>
    <w:pitch w:val="default"/>
    <w:sig w:usb0="A00006FF" w:usb1="4000205B" w:usb2="00000010" w:usb3="00000000" w:csb0="2000019F" w:csb1="00000000"/>
  </w:font>
  <w:font w:name="MS Shell Dlg">
    <w:altName w:val="Microsoft Sans Serif"/>
    <w:panose1 w:val="020B0604020202020204"/>
    <w:charset w:val="00"/>
    <w:family w:val="swiss"/>
    <w:pitch w:val="default"/>
    <w:sig w:usb0="00000000" w:usb1="00000000" w:usb2="00000029" w:usb3="00000000" w:csb0="000101FF" w:csb1="00000000"/>
  </w:font>
  <w:font w:name="Microsoft Sans Serif">
    <w:panose1 w:val="020B0604020202020204"/>
    <w:charset w:val="00"/>
    <w:family w:val="auto"/>
    <w:pitch w:val="default"/>
    <w:sig w:usb0="E5002EFF" w:usb1="C000605B" w:usb2="00000029" w:usb3="00000000" w:csb0="200101FF" w:csb1="20280000"/>
  </w:font>
  <w:font w:name="汉鼎简书宋">
    <w:altName w:val="宋体"/>
    <w:panose1 w:val="00000000000000000000"/>
    <w:charset w:val="86"/>
    <w:family w:val="modern"/>
    <w:pitch w:val="default"/>
    <w:sig w:usb0="00000000" w:usb1="00000000" w:usb2="00000010" w:usb3="00000000" w:csb0="00040000" w:csb1="00000000"/>
  </w:font>
  <w:font w:name="TimesNewRomanPS-ItalicMT">
    <w:altName w:val="Times New Roman"/>
    <w:panose1 w:val="00000000000000000000"/>
    <w:charset w:val="00"/>
    <w:family w:val="roman"/>
    <w:pitch w:val="default"/>
    <w:sig w:usb0="00000000" w:usb1="00000000" w:usb2="00000000" w:usb3="00000000" w:csb0="00000000" w:csb1="00000000"/>
  </w:font>
  <w:font w:name="Helvetica">
    <w:altName w:val="Arial"/>
    <w:panose1 w:val="020B0604020202020204"/>
    <w:charset w:val="00"/>
    <w:family w:val="swiss"/>
    <w:pitch w:val="default"/>
    <w:sig w:usb0="00000000" w:usb1="00000000" w:usb2="00000000" w:usb3="00000000" w:csb0="00000001" w:csb1="00000000"/>
  </w:font>
  <w:font w:name="SymbolMT">
    <w:altName w:val="MS Gothic"/>
    <w:panose1 w:val="00000000000000000000"/>
    <w:charset w:val="80"/>
    <w:family w:val="auto"/>
    <w:pitch w:val="default"/>
    <w:sig w:usb0="00000000" w:usb1="00000000" w:usb2="00000010" w:usb3="00000000" w:csb0="00020000" w:csb1="00000000"/>
  </w:font>
  <w:font w:name="MS Gothic">
    <w:panose1 w:val="020B0609070205080204"/>
    <w:charset w:val="80"/>
    <w:family w:val="auto"/>
    <w:pitch w:val="default"/>
    <w:sig w:usb0="E00002FF" w:usb1="6AC7FDFB" w:usb2="08000012" w:usb3="00000000" w:csb0="4002009F" w:csb1="DFD70000"/>
  </w:font>
  <w:font w:name="微软雅黑">
    <w:panose1 w:val="020B0503020204020204"/>
    <w:charset w:val="86"/>
    <w:family w:val="swiss"/>
    <w:pitch w:val="default"/>
    <w:sig w:usb0="80000287" w:usb1="2ACF3C50" w:usb2="00000016" w:usb3="00000000" w:csb0="0004001F" w:csb1="00000000"/>
  </w:font>
  <w:font w:name="Calibri Light">
    <w:panose1 w:val="020F0302020204030204"/>
    <w:charset w:val="00"/>
    <w:family w:val="auto"/>
    <w:pitch w:val="default"/>
    <w:sig w:usb0="E4002EFF" w:usb1="C000247B" w:usb2="00000009" w:usb3="00000000" w:csb0="200001FF" w:csb1="00000000"/>
  </w:font>
  <w:font w:name="Cambria Math">
    <w:panose1 w:val="02040503050406030204"/>
    <w:charset w:val="00"/>
    <w:family w:val="roman"/>
    <w:pitch w:val="default"/>
    <w:sig w:usb0="E00006FF" w:usb1="420024FF" w:usb2="02000000" w:usb3="00000000" w:csb0="2000019F" w:csb1="00000000"/>
  </w:font>
  <w:font w:name="新宋体">
    <w:panose1 w:val="02010609030101010101"/>
    <w:charset w:val="86"/>
    <w:family w:val="modern"/>
    <w:pitch w:val="default"/>
    <w:sig w:usb0="00000203" w:usb1="288F0000" w:usb2="00000006" w:usb3="00000000" w:csb0="00040001" w:csb1="00000000"/>
  </w:font>
  <w:font w:name="仿宋">
    <w:panose1 w:val="02010609060101010101"/>
    <w:charset w:val="86"/>
    <w:family w:val="modern"/>
    <w:pitch w:val="default"/>
    <w:sig w:usb0="800002BF" w:usb1="38CF7CFA" w:usb2="00000016" w:usb3="00000000" w:csb0="00040001" w:csb1="00000000"/>
  </w:font>
  <w:font w:name="Perpetua">
    <w:panose1 w:val="02020502060401020303"/>
    <w:charset w:val="00"/>
    <w:family w:val="roman"/>
    <w:pitch w:val="default"/>
    <w:sig w:usb0="00000003" w:usb1="00000000" w:usb2="00000000" w:usb3="00000000" w:csb0="20000001" w:csb1="00000000"/>
  </w:font>
  <w:font w:name="MS Mincho">
    <w:panose1 w:val="02020609040205080304"/>
    <w:charset w:val="80"/>
    <w:family w:val="modern"/>
    <w:pitch w:val="default"/>
    <w:sig w:usb0="A00002BF" w:usb1="68C7FCFB" w:usb2="00000010"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20ADFA">
    <w:pPr>
      <w:pStyle w:val="30"/>
      <w:jc w:val="center"/>
    </w:pPr>
  </w:p>
  <w:p w14:paraId="29A6606B">
    <w:pPr>
      <w:pStyle w:val="3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4C0984">
    <w:pPr>
      <w:pStyle w:val="3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2B961E">
    <w:pPr>
      <w:pStyle w:val="3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C6E3B6">
    <w:pPr>
      <w:pStyle w:val="30"/>
      <w:jc w:val="center"/>
    </w:pPr>
    <w:r>
      <w:fldChar w:fldCharType="begin"/>
    </w:r>
    <w:r>
      <w:instrText xml:space="preserve"> PAGE   \* MERGEFORMAT </w:instrText>
    </w:r>
    <w:r>
      <w:fldChar w:fldCharType="separate"/>
    </w:r>
    <w:r>
      <w:rPr>
        <w:lang w:val="zh-CN"/>
      </w:rPr>
      <w:t>5</w:t>
    </w:r>
    <w:r>
      <w:rPr>
        <w:lang w:val="zh-C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F14C3E">
    <w:pPr>
      <w:pStyle w:val="30"/>
      <w:pBdr>
        <w:top w:val="none" w:color="auto" w:sz="0" w:space="1"/>
        <w:left w:val="none" w:color="auto" w:sz="0" w:space="0"/>
        <w:bottom w:val="none" w:color="auto" w:sz="0" w:space="0"/>
        <w:right w:val="none" w:color="auto" w:sz="0" w:space="0"/>
        <w:between w:val="none" w:color="auto" w:sz="0" w:space="0"/>
      </w:pBdr>
      <w:jc w:val="center"/>
      <w:rPr>
        <w:b/>
        <w:bCs/>
        <w:i/>
        <w:iCs/>
        <w:sz w:val="21"/>
        <w:szCs w:val="21"/>
      </w:rPr>
    </w:pPr>
    <w:r>
      <w:rPr>
        <w:sz w:val="21"/>
      </w:rPr>
      <w:pict>
        <v:shape id="文本框 264" o:spid="_x0000_s3073" o:spt="202" type="#_x0000_t202" style="position:absolute;left:0pt;margin-top:0pt;height:144pt;width:144pt;mso-position-horizontal:center;mso-position-horizontal-relative:margin;mso-wrap-style:none;z-index:25168281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wG+40AgAAZQQAAA4AAABkcnMvZTJvRG9jLnhtbK1UzY7TMBC+I/EO&#10;lu80aYGqqp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fsBvuNAIAAGUEAAAOAAAAAAAAAAEAIAAAAB8BAABkcnMvZTJvRG9jLnhtbFBL&#10;BQYAAAAABgAGAFkBAADFBQAAAAA=&#10;">
          <v:path/>
          <v:fill on="f" focussize="0,0"/>
          <v:stroke on="f" weight="0.5pt"/>
          <v:imagedata o:title=""/>
          <o:lock v:ext="edit" aspectratio="f"/>
          <v:textbox inset="0mm,0mm,0mm,0mm" style="mso-fit-shape-to-text:t;">
            <w:txbxContent>
              <w:p w14:paraId="693C492F">
                <w:pPr>
                  <w:pStyle w:val="30"/>
                </w:pPr>
                <w:r>
                  <w:fldChar w:fldCharType="begin"/>
                </w:r>
                <w:r>
                  <w:instrText xml:space="preserve"> PAGE  \* MERGEFORMAT </w:instrText>
                </w:r>
                <w:r>
                  <w:fldChar w:fldCharType="separate"/>
                </w:r>
                <w:r>
                  <w:t>194</w:t>
                </w:r>
                <w:r>
                  <w:fldChar w:fldCharType="end"/>
                </w:r>
              </w:p>
            </w:txbxContent>
          </v:textbox>
        </v:shap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8861559"/>
      <w:docPartObj>
        <w:docPartGallery w:val="autotext"/>
      </w:docPartObj>
    </w:sdtPr>
    <w:sdtContent>
      <w:p w14:paraId="27F8D165">
        <w:pPr>
          <w:pStyle w:val="30"/>
          <w:jc w:val="center"/>
        </w:pPr>
        <w:r>
          <w:fldChar w:fldCharType="begin"/>
        </w:r>
        <w:r>
          <w:instrText xml:space="preserve"> PAGE   \* MERGEFORMAT </w:instrText>
        </w:r>
        <w:r>
          <w:fldChar w:fldCharType="separate"/>
        </w:r>
        <w:r>
          <w:rPr>
            <w:lang w:val="zh-CN"/>
          </w:rPr>
          <w:t>227</w:t>
        </w:r>
        <w:r>
          <w:rPr>
            <w:lang w:val="zh-CN"/>
          </w:rPr>
          <w:fldChar w:fldCharType="end"/>
        </w:r>
      </w:p>
    </w:sdtContent>
  </w:sdt>
  <w:p w14:paraId="16E293F9">
    <w:pPr>
      <w:pStyle w:val="30"/>
      <w:ind w:firstLine="360"/>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D8724A">
    <w:pPr>
      <w:pStyle w:val="30"/>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D643E5">
    <w:pPr>
      <w:pStyle w:val="30"/>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2ABDDE">
    <w:pPr>
      <w:jc w:val="center"/>
      <w:outlineLvl w:val="0"/>
      <w:rPr>
        <w:rFonts w:ascii="黑体" w:hAnsi="宋体" w:eastAsia="黑体"/>
        <w:sz w:val="18"/>
        <w:szCs w:val="18"/>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93C614">
    <w:pPr>
      <w:pStyle w:val="31"/>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2D77AD">
    <w:pPr>
      <w:jc w:val="center"/>
      <w:outlineLvl w:val="0"/>
      <w:rPr>
        <w:rFonts w:ascii="黑体" w:hAnsi="宋体" w:eastAsia="黑体"/>
        <w:color w:val="FF0000"/>
        <w:sz w:val="18"/>
        <w:szCs w:val="1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3F6980">
    <w:pPr>
      <w:pStyle w:val="31"/>
      <w:jc w:val="both"/>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9463D7">
    <w:pPr>
      <w:pBdr>
        <w:bottom w:val="single" w:color="auto" w:sz="4" w:space="0"/>
      </w:pBdr>
      <w:jc w:val="center"/>
      <w:outlineLvl w:val="0"/>
      <w:rPr>
        <w:rFonts w:ascii="黑体" w:hAnsi="宋体" w:eastAsia="黑体"/>
        <w:sz w:val="18"/>
        <w:szCs w:val="18"/>
      </w:rPr>
    </w:pPr>
    <w:r>
      <w:rPr>
        <w:rFonts w:hint="eastAsia" w:ascii="黑体" w:hAnsi="宋体" w:eastAsia="黑体"/>
        <w:sz w:val="18"/>
        <w:szCs w:val="18"/>
        <w:lang w:eastAsia="zh-CN"/>
      </w:rPr>
      <w:t>哈尔滨东安汽车发动机制造有限公司再生资源利用项目</w:t>
    </w:r>
    <w:r>
      <w:rPr>
        <w:rFonts w:hint="eastAsia" w:ascii="黑体" w:hAnsi="宋体" w:eastAsia="黑体"/>
        <w:sz w:val="18"/>
        <w:szCs w:val="18"/>
      </w:rPr>
      <w:t>环境影响报告书</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DFFD80">
    <w:pPr>
      <w:pBdr>
        <w:bottom w:val="single" w:color="auto" w:sz="4" w:space="0"/>
      </w:pBdr>
      <w:jc w:val="center"/>
      <w:outlineLvl w:val="0"/>
      <w:rPr>
        <w:rFonts w:hint="eastAsia" w:ascii="宋体" w:hAnsi="宋体" w:eastAsia="宋体" w:cs="宋体"/>
        <w:sz w:val="18"/>
        <w:szCs w:val="18"/>
      </w:rPr>
    </w:pPr>
    <w:r>
      <w:rPr>
        <w:rFonts w:hint="eastAsia" w:ascii="宋体" w:hAnsi="宋体" w:cs="宋体"/>
        <w:sz w:val="18"/>
        <w:szCs w:val="18"/>
        <w:lang w:eastAsia="zh-CN"/>
      </w:rPr>
      <w:t>哈尔滨东安汽车发动机制造有限公司再生资源利用项目</w:t>
    </w:r>
    <w:r>
      <w:rPr>
        <w:rFonts w:hint="eastAsia" w:ascii="宋体" w:hAnsi="宋体" w:eastAsia="宋体" w:cs="宋体"/>
        <w:sz w:val="18"/>
        <w:szCs w:val="18"/>
      </w:rPr>
      <w:t>环境影响报告书</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987F5C">
    <w:pPr>
      <w:pBdr>
        <w:bottom w:val="single" w:color="auto" w:sz="4" w:space="0"/>
      </w:pBdr>
      <w:jc w:val="center"/>
      <w:outlineLvl w:val="0"/>
      <w:rPr>
        <w:rFonts w:ascii="黑体" w:hAnsi="宋体" w:eastAsia="黑体"/>
        <w:sz w:val="18"/>
        <w:szCs w:val="18"/>
      </w:rPr>
    </w:pPr>
    <w:r>
      <w:rPr>
        <w:rFonts w:ascii="黑体" w:hAnsi="宋体" w:eastAsia="黑体"/>
        <w:sz w:val="18"/>
        <w:szCs w:val="18"/>
      </w:rPr>
      <w:t>G01发动机生产线改造建设项目</w:t>
    </w:r>
    <w:r>
      <w:rPr>
        <w:rFonts w:hint="eastAsia" w:ascii="黑体" w:hAnsi="宋体" w:eastAsia="黑体"/>
        <w:sz w:val="18"/>
        <w:szCs w:val="18"/>
      </w:rPr>
      <w:t>环境影响报告书</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4A6D37">
    <w:pPr>
      <w:pBdr>
        <w:top w:val="none" w:color="auto" w:sz="0" w:space="0"/>
        <w:left w:val="none" w:color="auto" w:sz="0" w:space="0"/>
        <w:bottom w:val="none" w:color="auto" w:sz="0" w:space="0"/>
        <w:right w:val="none" w:color="auto" w:sz="0" w:space="0"/>
        <w:between w:val="none" w:color="auto" w:sz="0" w:space="0"/>
      </w:pBdr>
      <w:spacing w:line="204" w:lineRule="auto"/>
      <w:ind w:left="0" w:leftChars="0" w:firstLine="0" w:firstLineChars="0"/>
      <w:jc w:val="center"/>
      <w:rPr>
        <w:rFonts w:hint="eastAsia" w:ascii="宋体" w:hAnsi="宋体" w:eastAsia="仿宋_GB2312" w:cs="宋体"/>
        <w:sz w:val="18"/>
        <w:szCs w:val="18"/>
        <w:lang w:eastAsia="zh-CN"/>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B76AD8">
    <w:pPr>
      <w:pBdr>
        <w:bottom w:val="single" w:color="auto" w:sz="4" w:space="0"/>
      </w:pBdr>
      <w:jc w:val="center"/>
      <w:outlineLvl w:val="0"/>
      <w:rPr>
        <w:rFonts w:ascii="黑体" w:hAnsi="宋体" w:eastAsia="黑体"/>
        <w:sz w:val="18"/>
        <w:szCs w:val="18"/>
      </w:rPr>
    </w:pPr>
    <w:r>
      <w:rPr>
        <w:rFonts w:hint="eastAsia" w:ascii="黑体" w:hAnsi="宋体" w:eastAsia="黑体"/>
        <w:sz w:val="18"/>
        <w:szCs w:val="18"/>
        <w:lang w:eastAsia="zh-CN"/>
      </w:rPr>
      <w:t>哈尔滨东安汽车发动机制造有限公司再生资源利用项目</w:t>
    </w:r>
    <w:r>
      <w:rPr>
        <w:rFonts w:hint="eastAsia" w:ascii="黑体" w:hAnsi="宋体" w:eastAsia="黑体"/>
        <w:sz w:val="18"/>
        <w:szCs w:val="18"/>
      </w:rPr>
      <w:t>环境影响报告书</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AC0823">
    <w:pPr>
      <w:pStyle w:val="31"/>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47A39B4"/>
    <w:multiLevelType w:val="singleLevel"/>
    <w:tmpl w:val="847A39B4"/>
    <w:lvl w:ilvl="0" w:tentative="0">
      <w:start w:val="1"/>
      <w:numFmt w:val="decimal"/>
      <w:lvlText w:val="%1"/>
      <w:lvlJc w:val="left"/>
      <w:pPr>
        <w:tabs>
          <w:tab w:val="left" w:pos="397"/>
        </w:tabs>
        <w:ind w:left="454" w:leftChars="0" w:hanging="387" w:firstLineChars="0"/>
      </w:pPr>
      <w:rPr>
        <w:rFonts w:hint="default"/>
      </w:rPr>
    </w:lvl>
  </w:abstractNum>
  <w:abstractNum w:abstractNumId="1">
    <w:nsid w:val="DC7B4ACE"/>
    <w:multiLevelType w:val="singleLevel"/>
    <w:tmpl w:val="DC7B4ACE"/>
    <w:lvl w:ilvl="0" w:tentative="0">
      <w:start w:val="1"/>
      <w:numFmt w:val="decimal"/>
      <w:suff w:val="nothing"/>
      <w:lvlText w:val="（%1）"/>
      <w:lvlJc w:val="left"/>
    </w:lvl>
  </w:abstractNum>
  <w:abstractNum w:abstractNumId="2">
    <w:nsid w:val="DEE7FA1A"/>
    <w:multiLevelType w:val="singleLevel"/>
    <w:tmpl w:val="DEE7FA1A"/>
    <w:lvl w:ilvl="0" w:tentative="0">
      <w:start w:val="1"/>
      <w:numFmt w:val="decimal"/>
      <w:suff w:val="nothing"/>
      <w:lvlText w:val="%1、"/>
      <w:lvlJc w:val="left"/>
    </w:lvl>
  </w:abstractNum>
  <w:abstractNum w:abstractNumId="3">
    <w:nsid w:val="E07A1B74"/>
    <w:multiLevelType w:val="singleLevel"/>
    <w:tmpl w:val="E07A1B74"/>
    <w:lvl w:ilvl="0" w:tentative="0">
      <w:start w:val="1"/>
      <w:numFmt w:val="decimal"/>
      <w:suff w:val="nothing"/>
      <w:lvlText w:val="%1、"/>
      <w:lvlJc w:val="left"/>
      <w:pPr>
        <w:ind w:left="150"/>
      </w:pPr>
    </w:lvl>
  </w:abstractNum>
  <w:abstractNum w:abstractNumId="4">
    <w:nsid w:val="F5BDB664"/>
    <w:multiLevelType w:val="singleLevel"/>
    <w:tmpl w:val="F5BDB664"/>
    <w:lvl w:ilvl="0" w:tentative="0">
      <w:start w:val="1"/>
      <w:numFmt w:val="decimal"/>
      <w:suff w:val="nothing"/>
      <w:lvlText w:val="（%1）"/>
      <w:lvlJc w:val="left"/>
    </w:lvl>
  </w:abstractNum>
  <w:abstractNum w:abstractNumId="5">
    <w:nsid w:val="0579933A"/>
    <w:multiLevelType w:val="singleLevel"/>
    <w:tmpl w:val="0579933A"/>
    <w:lvl w:ilvl="0" w:tentative="0">
      <w:start w:val="1"/>
      <w:numFmt w:val="decimal"/>
      <w:suff w:val="nothing"/>
      <w:lvlText w:val="（%1）"/>
      <w:lvlJc w:val="left"/>
    </w:lvl>
  </w:abstractNum>
  <w:abstractNum w:abstractNumId="6">
    <w:nsid w:val="1FE99CFF"/>
    <w:multiLevelType w:val="singleLevel"/>
    <w:tmpl w:val="1FE99CFF"/>
    <w:lvl w:ilvl="0" w:tentative="0">
      <w:start w:val="1"/>
      <w:numFmt w:val="decimal"/>
      <w:suff w:val="nothing"/>
      <w:lvlText w:val="（%1）"/>
      <w:lvlJc w:val="left"/>
    </w:lvl>
  </w:abstractNum>
  <w:abstractNum w:abstractNumId="7">
    <w:nsid w:val="2A554106"/>
    <w:multiLevelType w:val="singleLevel"/>
    <w:tmpl w:val="2A554106"/>
    <w:lvl w:ilvl="0" w:tentative="0">
      <w:start w:val="1"/>
      <w:numFmt w:val="bullet"/>
      <w:pStyle w:val="440"/>
      <w:lvlText w:val=""/>
      <w:lvlJc w:val="left"/>
      <w:pPr>
        <w:tabs>
          <w:tab w:val="left" w:pos="360"/>
        </w:tabs>
        <w:ind w:left="340" w:hanging="340"/>
      </w:pPr>
      <w:rPr>
        <w:rFonts w:hint="default" w:ascii="Wingdings" w:hAnsi="Wingdings"/>
        <w:sz w:val="21"/>
      </w:rPr>
    </w:lvl>
  </w:abstractNum>
  <w:abstractNum w:abstractNumId="8">
    <w:nsid w:val="2BC15394"/>
    <w:multiLevelType w:val="singleLevel"/>
    <w:tmpl w:val="2BC15394"/>
    <w:lvl w:ilvl="0" w:tentative="0">
      <w:start w:val="0"/>
      <w:numFmt w:val="none"/>
      <w:pStyle w:val="411"/>
      <w:lvlText w:val=""/>
      <w:lvlJc w:val="left"/>
      <w:pPr>
        <w:tabs>
          <w:tab w:val="left" w:pos="0"/>
        </w:tabs>
        <w:ind w:left="0" w:firstLine="0"/>
      </w:pPr>
      <w:rPr>
        <w:rFonts w:hint="default" w:ascii="Wingdings" w:hAnsi="Wingdings"/>
        <w:sz w:val="13"/>
      </w:rPr>
    </w:lvl>
  </w:abstractNum>
  <w:abstractNum w:abstractNumId="9">
    <w:nsid w:val="2F5AB602"/>
    <w:multiLevelType w:val="singleLevel"/>
    <w:tmpl w:val="2F5AB602"/>
    <w:lvl w:ilvl="0" w:tentative="0">
      <w:start w:val="1"/>
      <w:numFmt w:val="decimal"/>
      <w:suff w:val="nothing"/>
      <w:lvlText w:val="（%1）"/>
      <w:lvlJc w:val="left"/>
    </w:lvl>
  </w:abstractNum>
  <w:abstractNum w:abstractNumId="10">
    <w:nsid w:val="3991358E"/>
    <w:multiLevelType w:val="multilevel"/>
    <w:tmpl w:val="3991358E"/>
    <w:lvl w:ilvl="0" w:tentative="0">
      <w:start w:val="1"/>
      <w:numFmt w:val="japaneseCounting"/>
      <w:pStyle w:val="541"/>
      <w:lvlText w:val="%1、"/>
      <w:lvlJc w:val="left"/>
      <w:pPr>
        <w:tabs>
          <w:tab w:val="left" w:pos="360"/>
        </w:tabs>
        <w:ind w:left="36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pStyle w:val="229"/>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1">
    <w:nsid w:val="48DB4020"/>
    <w:multiLevelType w:val="singleLevel"/>
    <w:tmpl w:val="48DB4020"/>
    <w:lvl w:ilvl="0" w:tentative="0">
      <w:start w:val="1"/>
      <w:numFmt w:val="bullet"/>
      <w:pStyle w:val="353"/>
      <w:lvlText w:val=""/>
      <w:lvlJc w:val="left"/>
      <w:pPr>
        <w:tabs>
          <w:tab w:val="left" w:pos="567"/>
        </w:tabs>
        <w:ind w:left="0" w:firstLine="567"/>
      </w:pPr>
      <w:rPr>
        <w:rFonts w:hint="default" w:ascii="Symbol" w:hAnsi="Symbol"/>
      </w:rPr>
    </w:lvl>
  </w:abstractNum>
  <w:abstractNum w:abstractNumId="12">
    <w:nsid w:val="56094615"/>
    <w:multiLevelType w:val="singleLevel"/>
    <w:tmpl w:val="56094615"/>
    <w:lvl w:ilvl="0" w:tentative="0">
      <w:start w:val="1"/>
      <w:numFmt w:val="bullet"/>
      <w:pStyle w:val="354"/>
      <w:lvlText w:val=""/>
      <w:legacy w:legacy="1" w:legacySpace="0" w:legacyIndent="170"/>
      <w:lvlJc w:val="left"/>
      <w:pPr>
        <w:ind w:left="454" w:hanging="170"/>
      </w:pPr>
      <w:rPr>
        <w:rFonts w:hint="default" w:ascii="Symbol" w:hAnsi="Symbol"/>
      </w:rPr>
    </w:lvl>
  </w:abstractNum>
  <w:abstractNum w:abstractNumId="13">
    <w:nsid w:val="56F9F926"/>
    <w:multiLevelType w:val="singleLevel"/>
    <w:tmpl w:val="56F9F926"/>
    <w:lvl w:ilvl="0" w:tentative="0">
      <w:start w:val="1"/>
      <w:numFmt w:val="decimal"/>
      <w:suff w:val="nothing"/>
      <w:lvlText w:val="（%1）"/>
      <w:lvlJc w:val="left"/>
    </w:lvl>
  </w:abstractNum>
  <w:num w:numId="1">
    <w:abstractNumId w:val="10"/>
  </w:num>
  <w:num w:numId="2">
    <w:abstractNumId w:val="11"/>
  </w:num>
  <w:num w:numId="3">
    <w:abstractNumId w:val="12"/>
  </w:num>
  <w:num w:numId="4">
    <w:abstractNumId w:val="8"/>
  </w:num>
  <w:num w:numId="5">
    <w:abstractNumId w:val="7"/>
  </w:num>
  <w:num w:numId="6">
    <w:abstractNumId w:val="0"/>
  </w:num>
  <w:num w:numId="7">
    <w:abstractNumId w:val="9"/>
  </w:num>
  <w:num w:numId="8">
    <w:abstractNumId w:val="4"/>
  </w:num>
  <w:num w:numId="9">
    <w:abstractNumId w:val="6"/>
  </w:num>
  <w:num w:numId="10">
    <w:abstractNumId w:val="2"/>
  </w:num>
  <w:num w:numId="11">
    <w:abstractNumId w:val="5"/>
  </w:num>
  <w:num w:numId="12">
    <w:abstractNumId w:val="1"/>
  </w:num>
  <w:num w:numId="13">
    <w:abstractNumId w:val="3"/>
  </w:num>
  <w:num w:numId="1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hideSpellingErrors/>
  <w:attachedTemplate r:id="rId1"/>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2"/>
  </w:compat>
  <w:docVars>
    <w:docVar w:name="commondata" w:val="eyJoZGlkIjoiZDU4MzBiYjg3ZTc5MDhlMWY1NzA1NjZlMmVmNzc5YWQifQ=="/>
  </w:docVars>
  <w:rsids>
    <w:rsidRoot w:val="00CD6827"/>
    <w:rsid w:val="00000261"/>
    <w:rsid w:val="0000041D"/>
    <w:rsid w:val="00000955"/>
    <w:rsid w:val="00000C30"/>
    <w:rsid w:val="0000146A"/>
    <w:rsid w:val="0000191C"/>
    <w:rsid w:val="00001A4E"/>
    <w:rsid w:val="00001D5A"/>
    <w:rsid w:val="00001DD1"/>
    <w:rsid w:val="00001DF9"/>
    <w:rsid w:val="00002043"/>
    <w:rsid w:val="000020FF"/>
    <w:rsid w:val="00002420"/>
    <w:rsid w:val="0000255E"/>
    <w:rsid w:val="000025FF"/>
    <w:rsid w:val="00003813"/>
    <w:rsid w:val="00003A27"/>
    <w:rsid w:val="00003ADD"/>
    <w:rsid w:val="00003DF8"/>
    <w:rsid w:val="00004307"/>
    <w:rsid w:val="000043FE"/>
    <w:rsid w:val="00004498"/>
    <w:rsid w:val="00004822"/>
    <w:rsid w:val="0000489C"/>
    <w:rsid w:val="00004E4E"/>
    <w:rsid w:val="00004E8D"/>
    <w:rsid w:val="0000583E"/>
    <w:rsid w:val="00005A28"/>
    <w:rsid w:val="00006D92"/>
    <w:rsid w:val="00006EA1"/>
    <w:rsid w:val="00007648"/>
    <w:rsid w:val="00007A47"/>
    <w:rsid w:val="00007D57"/>
    <w:rsid w:val="000108E6"/>
    <w:rsid w:val="00010959"/>
    <w:rsid w:val="00011646"/>
    <w:rsid w:val="00011C2B"/>
    <w:rsid w:val="00011DDF"/>
    <w:rsid w:val="00011E25"/>
    <w:rsid w:val="00012939"/>
    <w:rsid w:val="00012C34"/>
    <w:rsid w:val="000130E3"/>
    <w:rsid w:val="00013845"/>
    <w:rsid w:val="000139EA"/>
    <w:rsid w:val="00013BA8"/>
    <w:rsid w:val="00013D25"/>
    <w:rsid w:val="00014943"/>
    <w:rsid w:val="00014AF2"/>
    <w:rsid w:val="00015172"/>
    <w:rsid w:val="00015716"/>
    <w:rsid w:val="000160FE"/>
    <w:rsid w:val="00016679"/>
    <w:rsid w:val="00016F39"/>
    <w:rsid w:val="0001786B"/>
    <w:rsid w:val="00017D34"/>
    <w:rsid w:val="00017F22"/>
    <w:rsid w:val="000200D9"/>
    <w:rsid w:val="000204EC"/>
    <w:rsid w:val="00020E53"/>
    <w:rsid w:val="000219D4"/>
    <w:rsid w:val="00021A24"/>
    <w:rsid w:val="00021A9B"/>
    <w:rsid w:val="00021C39"/>
    <w:rsid w:val="000222BC"/>
    <w:rsid w:val="0002235B"/>
    <w:rsid w:val="00022582"/>
    <w:rsid w:val="00022800"/>
    <w:rsid w:val="000228A3"/>
    <w:rsid w:val="000228F3"/>
    <w:rsid w:val="000229BB"/>
    <w:rsid w:val="00022C43"/>
    <w:rsid w:val="00022FB1"/>
    <w:rsid w:val="00023739"/>
    <w:rsid w:val="00023756"/>
    <w:rsid w:val="00023938"/>
    <w:rsid w:val="00023B12"/>
    <w:rsid w:val="00023CC0"/>
    <w:rsid w:val="00023FC5"/>
    <w:rsid w:val="000241AF"/>
    <w:rsid w:val="000247BA"/>
    <w:rsid w:val="00024AE2"/>
    <w:rsid w:val="00024B71"/>
    <w:rsid w:val="00024F0E"/>
    <w:rsid w:val="0002518C"/>
    <w:rsid w:val="000251C1"/>
    <w:rsid w:val="000253DC"/>
    <w:rsid w:val="000255A0"/>
    <w:rsid w:val="00025C27"/>
    <w:rsid w:val="00025DD7"/>
    <w:rsid w:val="000262F5"/>
    <w:rsid w:val="00026977"/>
    <w:rsid w:val="00026E50"/>
    <w:rsid w:val="000272AF"/>
    <w:rsid w:val="000273BA"/>
    <w:rsid w:val="000273C1"/>
    <w:rsid w:val="00027852"/>
    <w:rsid w:val="00027AB6"/>
    <w:rsid w:val="00027B9A"/>
    <w:rsid w:val="00027D37"/>
    <w:rsid w:val="00027E1C"/>
    <w:rsid w:val="000303AD"/>
    <w:rsid w:val="0003046E"/>
    <w:rsid w:val="0003069F"/>
    <w:rsid w:val="00030C80"/>
    <w:rsid w:val="00030D02"/>
    <w:rsid w:val="00030D22"/>
    <w:rsid w:val="00030D5B"/>
    <w:rsid w:val="000310B4"/>
    <w:rsid w:val="00031532"/>
    <w:rsid w:val="0003162C"/>
    <w:rsid w:val="00031767"/>
    <w:rsid w:val="00031A52"/>
    <w:rsid w:val="00031C3E"/>
    <w:rsid w:val="00031DC9"/>
    <w:rsid w:val="000325F7"/>
    <w:rsid w:val="00032654"/>
    <w:rsid w:val="0003272A"/>
    <w:rsid w:val="00032925"/>
    <w:rsid w:val="00033011"/>
    <w:rsid w:val="00033858"/>
    <w:rsid w:val="00033967"/>
    <w:rsid w:val="00033A63"/>
    <w:rsid w:val="00033AB4"/>
    <w:rsid w:val="00033CC7"/>
    <w:rsid w:val="00033F4B"/>
    <w:rsid w:val="0003420D"/>
    <w:rsid w:val="000342EF"/>
    <w:rsid w:val="000346DC"/>
    <w:rsid w:val="000347A9"/>
    <w:rsid w:val="0003493F"/>
    <w:rsid w:val="00034A95"/>
    <w:rsid w:val="00034B99"/>
    <w:rsid w:val="00034D30"/>
    <w:rsid w:val="00034E14"/>
    <w:rsid w:val="00035448"/>
    <w:rsid w:val="00035652"/>
    <w:rsid w:val="00036345"/>
    <w:rsid w:val="00036443"/>
    <w:rsid w:val="00036BCE"/>
    <w:rsid w:val="00036EE4"/>
    <w:rsid w:val="000372B7"/>
    <w:rsid w:val="0003771A"/>
    <w:rsid w:val="00037967"/>
    <w:rsid w:val="00040272"/>
    <w:rsid w:val="0004032D"/>
    <w:rsid w:val="00040DE8"/>
    <w:rsid w:val="00041001"/>
    <w:rsid w:val="0004121A"/>
    <w:rsid w:val="00041553"/>
    <w:rsid w:val="000416C4"/>
    <w:rsid w:val="000416FD"/>
    <w:rsid w:val="00041779"/>
    <w:rsid w:val="00041A53"/>
    <w:rsid w:val="00042041"/>
    <w:rsid w:val="000421E3"/>
    <w:rsid w:val="000421F8"/>
    <w:rsid w:val="00042522"/>
    <w:rsid w:val="00042751"/>
    <w:rsid w:val="00042752"/>
    <w:rsid w:val="00042954"/>
    <w:rsid w:val="00042A3C"/>
    <w:rsid w:val="0004339F"/>
    <w:rsid w:val="0004347E"/>
    <w:rsid w:val="000436D5"/>
    <w:rsid w:val="00043910"/>
    <w:rsid w:val="00043D6F"/>
    <w:rsid w:val="00043ECF"/>
    <w:rsid w:val="0004425B"/>
    <w:rsid w:val="00044911"/>
    <w:rsid w:val="00044DAE"/>
    <w:rsid w:val="000451BD"/>
    <w:rsid w:val="00045436"/>
    <w:rsid w:val="000455A9"/>
    <w:rsid w:val="000459E1"/>
    <w:rsid w:val="00045BCF"/>
    <w:rsid w:val="00045DC4"/>
    <w:rsid w:val="00046026"/>
    <w:rsid w:val="00046128"/>
    <w:rsid w:val="000469EB"/>
    <w:rsid w:val="00047325"/>
    <w:rsid w:val="0004764D"/>
    <w:rsid w:val="000477BF"/>
    <w:rsid w:val="00047B76"/>
    <w:rsid w:val="00050290"/>
    <w:rsid w:val="00050422"/>
    <w:rsid w:val="00050923"/>
    <w:rsid w:val="000509C9"/>
    <w:rsid w:val="00050B91"/>
    <w:rsid w:val="00050C6F"/>
    <w:rsid w:val="000516C1"/>
    <w:rsid w:val="000518A3"/>
    <w:rsid w:val="0005197C"/>
    <w:rsid w:val="00051A3D"/>
    <w:rsid w:val="00052487"/>
    <w:rsid w:val="000524AC"/>
    <w:rsid w:val="000530AE"/>
    <w:rsid w:val="000533A2"/>
    <w:rsid w:val="000535B8"/>
    <w:rsid w:val="00053904"/>
    <w:rsid w:val="00053ADA"/>
    <w:rsid w:val="00053AEF"/>
    <w:rsid w:val="00053F42"/>
    <w:rsid w:val="0005436B"/>
    <w:rsid w:val="0005445F"/>
    <w:rsid w:val="00054982"/>
    <w:rsid w:val="00054C89"/>
    <w:rsid w:val="00054D6A"/>
    <w:rsid w:val="00054DBA"/>
    <w:rsid w:val="000552E4"/>
    <w:rsid w:val="00055369"/>
    <w:rsid w:val="00055703"/>
    <w:rsid w:val="000557D2"/>
    <w:rsid w:val="000559AB"/>
    <w:rsid w:val="00055C3B"/>
    <w:rsid w:val="00056D45"/>
    <w:rsid w:val="000571D5"/>
    <w:rsid w:val="00057655"/>
    <w:rsid w:val="000579A0"/>
    <w:rsid w:val="00057BD4"/>
    <w:rsid w:val="00060092"/>
    <w:rsid w:val="000601CA"/>
    <w:rsid w:val="00060236"/>
    <w:rsid w:val="00060256"/>
    <w:rsid w:val="00060288"/>
    <w:rsid w:val="00060375"/>
    <w:rsid w:val="00060CB7"/>
    <w:rsid w:val="000610BB"/>
    <w:rsid w:val="000614C3"/>
    <w:rsid w:val="0006158B"/>
    <w:rsid w:val="0006187F"/>
    <w:rsid w:val="00061ABB"/>
    <w:rsid w:val="00061B56"/>
    <w:rsid w:val="00061E87"/>
    <w:rsid w:val="00062182"/>
    <w:rsid w:val="0006218B"/>
    <w:rsid w:val="00062270"/>
    <w:rsid w:val="00062333"/>
    <w:rsid w:val="0006243E"/>
    <w:rsid w:val="000624A5"/>
    <w:rsid w:val="0006254D"/>
    <w:rsid w:val="000627D7"/>
    <w:rsid w:val="00062B0A"/>
    <w:rsid w:val="00062E89"/>
    <w:rsid w:val="00062EAE"/>
    <w:rsid w:val="00062F43"/>
    <w:rsid w:val="00063115"/>
    <w:rsid w:val="000631F2"/>
    <w:rsid w:val="0006320E"/>
    <w:rsid w:val="000633CA"/>
    <w:rsid w:val="000634EB"/>
    <w:rsid w:val="00063961"/>
    <w:rsid w:val="00063E58"/>
    <w:rsid w:val="00064051"/>
    <w:rsid w:val="000649EB"/>
    <w:rsid w:val="00064B30"/>
    <w:rsid w:val="00065032"/>
    <w:rsid w:val="000659BE"/>
    <w:rsid w:val="00065C6A"/>
    <w:rsid w:val="00065F8A"/>
    <w:rsid w:val="000660FA"/>
    <w:rsid w:val="0006674C"/>
    <w:rsid w:val="00066C20"/>
    <w:rsid w:val="00067D3A"/>
    <w:rsid w:val="00067EC5"/>
    <w:rsid w:val="0007031B"/>
    <w:rsid w:val="00070496"/>
    <w:rsid w:val="00070949"/>
    <w:rsid w:val="00070A72"/>
    <w:rsid w:val="00070F53"/>
    <w:rsid w:val="0007160B"/>
    <w:rsid w:val="00071654"/>
    <w:rsid w:val="00071F26"/>
    <w:rsid w:val="00071FD2"/>
    <w:rsid w:val="00072043"/>
    <w:rsid w:val="000724C5"/>
    <w:rsid w:val="0007281A"/>
    <w:rsid w:val="000729CC"/>
    <w:rsid w:val="00072A13"/>
    <w:rsid w:val="00072C37"/>
    <w:rsid w:val="00072C41"/>
    <w:rsid w:val="00072CBD"/>
    <w:rsid w:val="00072E7C"/>
    <w:rsid w:val="00073380"/>
    <w:rsid w:val="0007392C"/>
    <w:rsid w:val="00073BC0"/>
    <w:rsid w:val="00073C12"/>
    <w:rsid w:val="00073E64"/>
    <w:rsid w:val="0007422A"/>
    <w:rsid w:val="000742A0"/>
    <w:rsid w:val="00074586"/>
    <w:rsid w:val="000745DF"/>
    <w:rsid w:val="00074BBB"/>
    <w:rsid w:val="00075196"/>
    <w:rsid w:val="000759A8"/>
    <w:rsid w:val="00075F9F"/>
    <w:rsid w:val="000765C8"/>
    <w:rsid w:val="000768A9"/>
    <w:rsid w:val="00077050"/>
    <w:rsid w:val="000770C0"/>
    <w:rsid w:val="0007715B"/>
    <w:rsid w:val="00077938"/>
    <w:rsid w:val="00077B80"/>
    <w:rsid w:val="000807A6"/>
    <w:rsid w:val="00080DB3"/>
    <w:rsid w:val="00081160"/>
    <w:rsid w:val="00081216"/>
    <w:rsid w:val="000813A8"/>
    <w:rsid w:val="000816EB"/>
    <w:rsid w:val="00081729"/>
    <w:rsid w:val="000819BF"/>
    <w:rsid w:val="00081ABF"/>
    <w:rsid w:val="000824D2"/>
    <w:rsid w:val="0008259F"/>
    <w:rsid w:val="0008264F"/>
    <w:rsid w:val="00082BF2"/>
    <w:rsid w:val="00082E23"/>
    <w:rsid w:val="00083053"/>
    <w:rsid w:val="000834B4"/>
    <w:rsid w:val="00083AC5"/>
    <w:rsid w:val="00083DB3"/>
    <w:rsid w:val="0008425E"/>
    <w:rsid w:val="000843BF"/>
    <w:rsid w:val="00084576"/>
    <w:rsid w:val="000845AF"/>
    <w:rsid w:val="00084C2D"/>
    <w:rsid w:val="00085000"/>
    <w:rsid w:val="00085179"/>
    <w:rsid w:val="0008536B"/>
    <w:rsid w:val="000859A3"/>
    <w:rsid w:val="00086584"/>
    <w:rsid w:val="00087034"/>
    <w:rsid w:val="00087393"/>
    <w:rsid w:val="000876C3"/>
    <w:rsid w:val="00087C83"/>
    <w:rsid w:val="0009000F"/>
    <w:rsid w:val="00090BF4"/>
    <w:rsid w:val="00090EEE"/>
    <w:rsid w:val="00090F5F"/>
    <w:rsid w:val="0009123A"/>
    <w:rsid w:val="00091538"/>
    <w:rsid w:val="000915AA"/>
    <w:rsid w:val="000915C2"/>
    <w:rsid w:val="00091797"/>
    <w:rsid w:val="00091B93"/>
    <w:rsid w:val="00091BEF"/>
    <w:rsid w:val="00091ED6"/>
    <w:rsid w:val="00092387"/>
    <w:rsid w:val="00092636"/>
    <w:rsid w:val="00092727"/>
    <w:rsid w:val="0009295C"/>
    <w:rsid w:val="00092D1B"/>
    <w:rsid w:val="00092E02"/>
    <w:rsid w:val="000930EC"/>
    <w:rsid w:val="00093517"/>
    <w:rsid w:val="000935DA"/>
    <w:rsid w:val="00093A4E"/>
    <w:rsid w:val="00093FC0"/>
    <w:rsid w:val="000942C1"/>
    <w:rsid w:val="00094439"/>
    <w:rsid w:val="00094615"/>
    <w:rsid w:val="0009483D"/>
    <w:rsid w:val="00094DE6"/>
    <w:rsid w:val="00094F4E"/>
    <w:rsid w:val="0009519C"/>
    <w:rsid w:val="00095228"/>
    <w:rsid w:val="000953DB"/>
    <w:rsid w:val="00095ACD"/>
    <w:rsid w:val="00096480"/>
    <w:rsid w:val="00096A57"/>
    <w:rsid w:val="00096EE3"/>
    <w:rsid w:val="000970D6"/>
    <w:rsid w:val="00097C15"/>
    <w:rsid w:val="00097C61"/>
    <w:rsid w:val="00097C78"/>
    <w:rsid w:val="000A0197"/>
    <w:rsid w:val="000A0364"/>
    <w:rsid w:val="000A06DD"/>
    <w:rsid w:val="000A0962"/>
    <w:rsid w:val="000A1439"/>
    <w:rsid w:val="000A1F16"/>
    <w:rsid w:val="000A276C"/>
    <w:rsid w:val="000A281D"/>
    <w:rsid w:val="000A2C2D"/>
    <w:rsid w:val="000A2DA7"/>
    <w:rsid w:val="000A3162"/>
    <w:rsid w:val="000A3238"/>
    <w:rsid w:val="000A335B"/>
    <w:rsid w:val="000A3413"/>
    <w:rsid w:val="000A3798"/>
    <w:rsid w:val="000A3FB8"/>
    <w:rsid w:val="000A428C"/>
    <w:rsid w:val="000A4333"/>
    <w:rsid w:val="000A44B2"/>
    <w:rsid w:val="000A48C5"/>
    <w:rsid w:val="000A4A5A"/>
    <w:rsid w:val="000A50AE"/>
    <w:rsid w:val="000A515E"/>
    <w:rsid w:val="000A5729"/>
    <w:rsid w:val="000A590B"/>
    <w:rsid w:val="000A5AE1"/>
    <w:rsid w:val="000A5DA0"/>
    <w:rsid w:val="000A5F4A"/>
    <w:rsid w:val="000A61FB"/>
    <w:rsid w:val="000A627D"/>
    <w:rsid w:val="000A6A02"/>
    <w:rsid w:val="000A6A5A"/>
    <w:rsid w:val="000A6C6C"/>
    <w:rsid w:val="000A6D5A"/>
    <w:rsid w:val="000A6E6B"/>
    <w:rsid w:val="000A7896"/>
    <w:rsid w:val="000A7903"/>
    <w:rsid w:val="000A7C0D"/>
    <w:rsid w:val="000A7D46"/>
    <w:rsid w:val="000A7D64"/>
    <w:rsid w:val="000B0187"/>
    <w:rsid w:val="000B0320"/>
    <w:rsid w:val="000B0978"/>
    <w:rsid w:val="000B0CC9"/>
    <w:rsid w:val="000B0ED2"/>
    <w:rsid w:val="000B107D"/>
    <w:rsid w:val="000B1148"/>
    <w:rsid w:val="000B1211"/>
    <w:rsid w:val="000B13F1"/>
    <w:rsid w:val="000B203B"/>
    <w:rsid w:val="000B22C3"/>
    <w:rsid w:val="000B2355"/>
    <w:rsid w:val="000B28A5"/>
    <w:rsid w:val="000B2C06"/>
    <w:rsid w:val="000B2DE4"/>
    <w:rsid w:val="000B30B1"/>
    <w:rsid w:val="000B32BA"/>
    <w:rsid w:val="000B345C"/>
    <w:rsid w:val="000B37EB"/>
    <w:rsid w:val="000B3A97"/>
    <w:rsid w:val="000B3D6A"/>
    <w:rsid w:val="000B40AD"/>
    <w:rsid w:val="000B4326"/>
    <w:rsid w:val="000B438A"/>
    <w:rsid w:val="000B4740"/>
    <w:rsid w:val="000B4A03"/>
    <w:rsid w:val="000B4DB0"/>
    <w:rsid w:val="000B5108"/>
    <w:rsid w:val="000B5205"/>
    <w:rsid w:val="000B5225"/>
    <w:rsid w:val="000B53E6"/>
    <w:rsid w:val="000B5845"/>
    <w:rsid w:val="000B5935"/>
    <w:rsid w:val="000B6633"/>
    <w:rsid w:val="000B7110"/>
    <w:rsid w:val="000B77F1"/>
    <w:rsid w:val="000B79B8"/>
    <w:rsid w:val="000B7CE0"/>
    <w:rsid w:val="000B7F44"/>
    <w:rsid w:val="000B7F9A"/>
    <w:rsid w:val="000B7FE1"/>
    <w:rsid w:val="000C0066"/>
    <w:rsid w:val="000C0676"/>
    <w:rsid w:val="000C07EA"/>
    <w:rsid w:val="000C08DD"/>
    <w:rsid w:val="000C0CAD"/>
    <w:rsid w:val="000C0FA3"/>
    <w:rsid w:val="000C14DE"/>
    <w:rsid w:val="000C1632"/>
    <w:rsid w:val="000C177E"/>
    <w:rsid w:val="000C1934"/>
    <w:rsid w:val="000C1C26"/>
    <w:rsid w:val="000C1D70"/>
    <w:rsid w:val="000C1DD4"/>
    <w:rsid w:val="000C217A"/>
    <w:rsid w:val="000C258F"/>
    <w:rsid w:val="000C2BA9"/>
    <w:rsid w:val="000C2DEB"/>
    <w:rsid w:val="000C2FC4"/>
    <w:rsid w:val="000C2FCC"/>
    <w:rsid w:val="000C3266"/>
    <w:rsid w:val="000C3500"/>
    <w:rsid w:val="000C3732"/>
    <w:rsid w:val="000C3FD6"/>
    <w:rsid w:val="000C3FF2"/>
    <w:rsid w:val="000C43F6"/>
    <w:rsid w:val="000C4550"/>
    <w:rsid w:val="000C4767"/>
    <w:rsid w:val="000C49D3"/>
    <w:rsid w:val="000C4A00"/>
    <w:rsid w:val="000C4B44"/>
    <w:rsid w:val="000C4D4E"/>
    <w:rsid w:val="000C4D9A"/>
    <w:rsid w:val="000C4E23"/>
    <w:rsid w:val="000C528C"/>
    <w:rsid w:val="000C53F7"/>
    <w:rsid w:val="000C5E9C"/>
    <w:rsid w:val="000C6013"/>
    <w:rsid w:val="000C6343"/>
    <w:rsid w:val="000C6581"/>
    <w:rsid w:val="000C68D8"/>
    <w:rsid w:val="000C6910"/>
    <w:rsid w:val="000C699C"/>
    <w:rsid w:val="000C6DEB"/>
    <w:rsid w:val="000C75C0"/>
    <w:rsid w:val="000C7D0B"/>
    <w:rsid w:val="000D0361"/>
    <w:rsid w:val="000D047F"/>
    <w:rsid w:val="000D066F"/>
    <w:rsid w:val="000D0BEB"/>
    <w:rsid w:val="000D0E61"/>
    <w:rsid w:val="000D101C"/>
    <w:rsid w:val="000D16EE"/>
    <w:rsid w:val="000D1F95"/>
    <w:rsid w:val="000D21B2"/>
    <w:rsid w:val="000D272A"/>
    <w:rsid w:val="000D2941"/>
    <w:rsid w:val="000D2CFC"/>
    <w:rsid w:val="000D2DA2"/>
    <w:rsid w:val="000D302E"/>
    <w:rsid w:val="000D3131"/>
    <w:rsid w:val="000D3313"/>
    <w:rsid w:val="000D3430"/>
    <w:rsid w:val="000D347A"/>
    <w:rsid w:val="000D3862"/>
    <w:rsid w:val="000D3A73"/>
    <w:rsid w:val="000D3ADD"/>
    <w:rsid w:val="000D43F2"/>
    <w:rsid w:val="000D4A40"/>
    <w:rsid w:val="000D4C13"/>
    <w:rsid w:val="000D4C64"/>
    <w:rsid w:val="000D5024"/>
    <w:rsid w:val="000D562E"/>
    <w:rsid w:val="000D5841"/>
    <w:rsid w:val="000D6158"/>
    <w:rsid w:val="000D6292"/>
    <w:rsid w:val="000D634A"/>
    <w:rsid w:val="000D6646"/>
    <w:rsid w:val="000D6CF6"/>
    <w:rsid w:val="000E00A3"/>
    <w:rsid w:val="000E0C4F"/>
    <w:rsid w:val="000E0FA1"/>
    <w:rsid w:val="000E12D8"/>
    <w:rsid w:val="000E1303"/>
    <w:rsid w:val="000E1827"/>
    <w:rsid w:val="000E18B8"/>
    <w:rsid w:val="000E198C"/>
    <w:rsid w:val="000E1BB9"/>
    <w:rsid w:val="000E204C"/>
    <w:rsid w:val="000E2326"/>
    <w:rsid w:val="000E2541"/>
    <w:rsid w:val="000E25F0"/>
    <w:rsid w:val="000E27A5"/>
    <w:rsid w:val="000E3240"/>
    <w:rsid w:val="000E338A"/>
    <w:rsid w:val="000E33E7"/>
    <w:rsid w:val="000E3562"/>
    <w:rsid w:val="000E3738"/>
    <w:rsid w:val="000E3953"/>
    <w:rsid w:val="000E3973"/>
    <w:rsid w:val="000E399B"/>
    <w:rsid w:val="000E3ABE"/>
    <w:rsid w:val="000E3B67"/>
    <w:rsid w:val="000E3C43"/>
    <w:rsid w:val="000E410F"/>
    <w:rsid w:val="000E415D"/>
    <w:rsid w:val="000E4348"/>
    <w:rsid w:val="000E44A8"/>
    <w:rsid w:val="000E4C0B"/>
    <w:rsid w:val="000E4C1C"/>
    <w:rsid w:val="000E4E5B"/>
    <w:rsid w:val="000E5142"/>
    <w:rsid w:val="000E5558"/>
    <w:rsid w:val="000E5DC0"/>
    <w:rsid w:val="000E6065"/>
    <w:rsid w:val="000E684C"/>
    <w:rsid w:val="000E740E"/>
    <w:rsid w:val="000E786F"/>
    <w:rsid w:val="000E7BAA"/>
    <w:rsid w:val="000E7D54"/>
    <w:rsid w:val="000E7E70"/>
    <w:rsid w:val="000F1140"/>
    <w:rsid w:val="000F14D3"/>
    <w:rsid w:val="000F18F8"/>
    <w:rsid w:val="000F1998"/>
    <w:rsid w:val="000F2080"/>
    <w:rsid w:val="000F286F"/>
    <w:rsid w:val="000F299C"/>
    <w:rsid w:val="000F2AB7"/>
    <w:rsid w:val="000F2AD6"/>
    <w:rsid w:val="000F2AF5"/>
    <w:rsid w:val="000F2D4A"/>
    <w:rsid w:val="000F2DC3"/>
    <w:rsid w:val="000F2E82"/>
    <w:rsid w:val="000F355E"/>
    <w:rsid w:val="000F3621"/>
    <w:rsid w:val="000F390D"/>
    <w:rsid w:val="000F3949"/>
    <w:rsid w:val="000F3B05"/>
    <w:rsid w:val="000F419A"/>
    <w:rsid w:val="000F4310"/>
    <w:rsid w:val="000F4B28"/>
    <w:rsid w:val="000F4D8E"/>
    <w:rsid w:val="000F512D"/>
    <w:rsid w:val="000F52A7"/>
    <w:rsid w:val="000F5420"/>
    <w:rsid w:val="000F54D7"/>
    <w:rsid w:val="000F578F"/>
    <w:rsid w:val="000F58A2"/>
    <w:rsid w:val="000F5A21"/>
    <w:rsid w:val="000F5AB6"/>
    <w:rsid w:val="000F5BA4"/>
    <w:rsid w:val="000F5C63"/>
    <w:rsid w:val="000F5F75"/>
    <w:rsid w:val="000F631E"/>
    <w:rsid w:val="000F63E6"/>
    <w:rsid w:val="000F673D"/>
    <w:rsid w:val="000F6BF2"/>
    <w:rsid w:val="000F702E"/>
    <w:rsid w:val="000F70CE"/>
    <w:rsid w:val="000F710C"/>
    <w:rsid w:val="000F7299"/>
    <w:rsid w:val="000F7442"/>
    <w:rsid w:val="000F76EC"/>
    <w:rsid w:val="00100110"/>
    <w:rsid w:val="00100371"/>
    <w:rsid w:val="001007CE"/>
    <w:rsid w:val="00100AD3"/>
    <w:rsid w:val="00100CF0"/>
    <w:rsid w:val="00100E76"/>
    <w:rsid w:val="0010103A"/>
    <w:rsid w:val="00101212"/>
    <w:rsid w:val="001013D5"/>
    <w:rsid w:val="001014F7"/>
    <w:rsid w:val="00101E2A"/>
    <w:rsid w:val="0010255F"/>
    <w:rsid w:val="0010387F"/>
    <w:rsid w:val="00103B8F"/>
    <w:rsid w:val="00103D17"/>
    <w:rsid w:val="00103F59"/>
    <w:rsid w:val="00103FDF"/>
    <w:rsid w:val="0010525D"/>
    <w:rsid w:val="00105755"/>
    <w:rsid w:val="00105A47"/>
    <w:rsid w:val="00105C26"/>
    <w:rsid w:val="00105D73"/>
    <w:rsid w:val="00105DC0"/>
    <w:rsid w:val="00105EAD"/>
    <w:rsid w:val="001061C3"/>
    <w:rsid w:val="001062DE"/>
    <w:rsid w:val="00106A21"/>
    <w:rsid w:val="00106E01"/>
    <w:rsid w:val="00106EAB"/>
    <w:rsid w:val="00107294"/>
    <w:rsid w:val="00107727"/>
    <w:rsid w:val="00107A43"/>
    <w:rsid w:val="00107B0C"/>
    <w:rsid w:val="00107BFB"/>
    <w:rsid w:val="001107A6"/>
    <w:rsid w:val="0011081D"/>
    <w:rsid w:val="001108A3"/>
    <w:rsid w:val="00110900"/>
    <w:rsid w:val="001109CC"/>
    <w:rsid w:val="00110E80"/>
    <w:rsid w:val="00110F8F"/>
    <w:rsid w:val="00111010"/>
    <w:rsid w:val="00111075"/>
    <w:rsid w:val="0011134A"/>
    <w:rsid w:val="001114FC"/>
    <w:rsid w:val="00111755"/>
    <w:rsid w:val="00111763"/>
    <w:rsid w:val="00111A63"/>
    <w:rsid w:val="00111D80"/>
    <w:rsid w:val="001122F9"/>
    <w:rsid w:val="0011257C"/>
    <w:rsid w:val="00112B10"/>
    <w:rsid w:val="00112DBE"/>
    <w:rsid w:val="00112F1A"/>
    <w:rsid w:val="00113587"/>
    <w:rsid w:val="001139FF"/>
    <w:rsid w:val="00113F19"/>
    <w:rsid w:val="00113FB0"/>
    <w:rsid w:val="00114024"/>
    <w:rsid w:val="00114251"/>
    <w:rsid w:val="00114AAF"/>
    <w:rsid w:val="00114B4D"/>
    <w:rsid w:val="00114C77"/>
    <w:rsid w:val="00114E6C"/>
    <w:rsid w:val="00114F67"/>
    <w:rsid w:val="00115208"/>
    <w:rsid w:val="00115550"/>
    <w:rsid w:val="001156E7"/>
    <w:rsid w:val="0011573E"/>
    <w:rsid w:val="001158EC"/>
    <w:rsid w:val="00115B23"/>
    <w:rsid w:val="0011636C"/>
    <w:rsid w:val="00116391"/>
    <w:rsid w:val="001163F9"/>
    <w:rsid w:val="0011643F"/>
    <w:rsid w:val="001168CF"/>
    <w:rsid w:val="00116DBE"/>
    <w:rsid w:val="00117134"/>
    <w:rsid w:val="0011731B"/>
    <w:rsid w:val="001174E2"/>
    <w:rsid w:val="00117AFE"/>
    <w:rsid w:val="00117BD5"/>
    <w:rsid w:val="0012044C"/>
    <w:rsid w:val="00120733"/>
    <w:rsid w:val="0012086C"/>
    <w:rsid w:val="00120AE3"/>
    <w:rsid w:val="00120DCD"/>
    <w:rsid w:val="001210E8"/>
    <w:rsid w:val="001213FA"/>
    <w:rsid w:val="0012140C"/>
    <w:rsid w:val="0012143D"/>
    <w:rsid w:val="00121AE5"/>
    <w:rsid w:val="001220F6"/>
    <w:rsid w:val="001225C7"/>
    <w:rsid w:val="00122D6A"/>
    <w:rsid w:val="00122F3C"/>
    <w:rsid w:val="00123362"/>
    <w:rsid w:val="00123653"/>
    <w:rsid w:val="00123B07"/>
    <w:rsid w:val="00123B4E"/>
    <w:rsid w:val="00123B5A"/>
    <w:rsid w:val="00123CBE"/>
    <w:rsid w:val="00123CD1"/>
    <w:rsid w:val="00123FDF"/>
    <w:rsid w:val="0012423A"/>
    <w:rsid w:val="00124291"/>
    <w:rsid w:val="0012474C"/>
    <w:rsid w:val="001247B4"/>
    <w:rsid w:val="00124B22"/>
    <w:rsid w:val="0012503B"/>
    <w:rsid w:val="00125199"/>
    <w:rsid w:val="001252ED"/>
    <w:rsid w:val="00125342"/>
    <w:rsid w:val="001254FF"/>
    <w:rsid w:val="0012554B"/>
    <w:rsid w:val="00125635"/>
    <w:rsid w:val="00125741"/>
    <w:rsid w:val="00125A56"/>
    <w:rsid w:val="00125B5B"/>
    <w:rsid w:val="00125BC5"/>
    <w:rsid w:val="00125EDD"/>
    <w:rsid w:val="00126AF5"/>
    <w:rsid w:val="001272D6"/>
    <w:rsid w:val="00127371"/>
    <w:rsid w:val="0012757D"/>
    <w:rsid w:val="00127787"/>
    <w:rsid w:val="001279E7"/>
    <w:rsid w:val="00127AA6"/>
    <w:rsid w:val="00127B17"/>
    <w:rsid w:val="00130508"/>
    <w:rsid w:val="00130753"/>
    <w:rsid w:val="0013095F"/>
    <w:rsid w:val="00130AC0"/>
    <w:rsid w:val="00130B87"/>
    <w:rsid w:val="0013102F"/>
    <w:rsid w:val="0013119A"/>
    <w:rsid w:val="00131682"/>
    <w:rsid w:val="00131903"/>
    <w:rsid w:val="0013192B"/>
    <w:rsid w:val="00131B34"/>
    <w:rsid w:val="00131B73"/>
    <w:rsid w:val="00131DBD"/>
    <w:rsid w:val="00131FEE"/>
    <w:rsid w:val="00132315"/>
    <w:rsid w:val="00132547"/>
    <w:rsid w:val="00132894"/>
    <w:rsid w:val="00132D3B"/>
    <w:rsid w:val="00132D69"/>
    <w:rsid w:val="00132ECB"/>
    <w:rsid w:val="001331CC"/>
    <w:rsid w:val="0013352E"/>
    <w:rsid w:val="00133624"/>
    <w:rsid w:val="00133767"/>
    <w:rsid w:val="0013385B"/>
    <w:rsid w:val="00133B55"/>
    <w:rsid w:val="00133C6A"/>
    <w:rsid w:val="00133E17"/>
    <w:rsid w:val="00133F8F"/>
    <w:rsid w:val="001343B4"/>
    <w:rsid w:val="00134431"/>
    <w:rsid w:val="001346B2"/>
    <w:rsid w:val="00134702"/>
    <w:rsid w:val="00134AD8"/>
    <w:rsid w:val="001350E7"/>
    <w:rsid w:val="0013537A"/>
    <w:rsid w:val="001353B1"/>
    <w:rsid w:val="001353F3"/>
    <w:rsid w:val="001354D3"/>
    <w:rsid w:val="0013559D"/>
    <w:rsid w:val="00135D3C"/>
    <w:rsid w:val="00135D71"/>
    <w:rsid w:val="00135F8F"/>
    <w:rsid w:val="0013623A"/>
    <w:rsid w:val="00136B66"/>
    <w:rsid w:val="00136CF6"/>
    <w:rsid w:val="00136E78"/>
    <w:rsid w:val="00136F17"/>
    <w:rsid w:val="00137080"/>
    <w:rsid w:val="001378E2"/>
    <w:rsid w:val="00137E2E"/>
    <w:rsid w:val="001402EC"/>
    <w:rsid w:val="00140516"/>
    <w:rsid w:val="0014064E"/>
    <w:rsid w:val="0014083A"/>
    <w:rsid w:val="00140AEE"/>
    <w:rsid w:val="00140AF9"/>
    <w:rsid w:val="001412C0"/>
    <w:rsid w:val="001414C0"/>
    <w:rsid w:val="0014154A"/>
    <w:rsid w:val="00141899"/>
    <w:rsid w:val="00141F56"/>
    <w:rsid w:val="001424E2"/>
    <w:rsid w:val="00142615"/>
    <w:rsid w:val="00142775"/>
    <w:rsid w:val="00142B2B"/>
    <w:rsid w:val="00142EF3"/>
    <w:rsid w:val="0014308F"/>
    <w:rsid w:val="001430B5"/>
    <w:rsid w:val="00143155"/>
    <w:rsid w:val="0014343A"/>
    <w:rsid w:val="001434A8"/>
    <w:rsid w:val="001434CD"/>
    <w:rsid w:val="00143541"/>
    <w:rsid w:val="00143C3B"/>
    <w:rsid w:val="00143CDB"/>
    <w:rsid w:val="00144082"/>
    <w:rsid w:val="001446D4"/>
    <w:rsid w:val="00144BB1"/>
    <w:rsid w:val="00144BD4"/>
    <w:rsid w:val="00144C56"/>
    <w:rsid w:val="00144E80"/>
    <w:rsid w:val="00145239"/>
    <w:rsid w:val="001455D7"/>
    <w:rsid w:val="0014567C"/>
    <w:rsid w:val="0014570F"/>
    <w:rsid w:val="00145A7F"/>
    <w:rsid w:val="00145AD3"/>
    <w:rsid w:val="00145B43"/>
    <w:rsid w:val="00146216"/>
    <w:rsid w:val="001463E5"/>
    <w:rsid w:val="001468CA"/>
    <w:rsid w:val="001469E3"/>
    <w:rsid w:val="001469EC"/>
    <w:rsid w:val="001473CE"/>
    <w:rsid w:val="00147429"/>
    <w:rsid w:val="00147690"/>
    <w:rsid w:val="001478AF"/>
    <w:rsid w:val="00147C4B"/>
    <w:rsid w:val="00150783"/>
    <w:rsid w:val="00150B96"/>
    <w:rsid w:val="00150D31"/>
    <w:rsid w:val="00150FF9"/>
    <w:rsid w:val="001510BA"/>
    <w:rsid w:val="001510E8"/>
    <w:rsid w:val="0015121C"/>
    <w:rsid w:val="0015149D"/>
    <w:rsid w:val="001515FE"/>
    <w:rsid w:val="00151ADD"/>
    <w:rsid w:val="00151B32"/>
    <w:rsid w:val="00151BC2"/>
    <w:rsid w:val="00152378"/>
    <w:rsid w:val="0015271D"/>
    <w:rsid w:val="00152B2D"/>
    <w:rsid w:val="00152E97"/>
    <w:rsid w:val="00152EAB"/>
    <w:rsid w:val="001533F1"/>
    <w:rsid w:val="00153569"/>
    <w:rsid w:val="0015365C"/>
    <w:rsid w:val="001538E4"/>
    <w:rsid w:val="0015396F"/>
    <w:rsid w:val="00153A58"/>
    <w:rsid w:val="00153A98"/>
    <w:rsid w:val="00153CC4"/>
    <w:rsid w:val="00153E53"/>
    <w:rsid w:val="001542F2"/>
    <w:rsid w:val="001544D3"/>
    <w:rsid w:val="001546D9"/>
    <w:rsid w:val="00154A08"/>
    <w:rsid w:val="0015521E"/>
    <w:rsid w:val="00155408"/>
    <w:rsid w:val="0015541D"/>
    <w:rsid w:val="001558D7"/>
    <w:rsid w:val="00155967"/>
    <w:rsid w:val="00156619"/>
    <w:rsid w:val="001566DC"/>
    <w:rsid w:val="0015674D"/>
    <w:rsid w:val="00156B01"/>
    <w:rsid w:val="00156DEE"/>
    <w:rsid w:val="00156EF0"/>
    <w:rsid w:val="00156F1F"/>
    <w:rsid w:val="0015785B"/>
    <w:rsid w:val="0015797D"/>
    <w:rsid w:val="00157C33"/>
    <w:rsid w:val="00157EEB"/>
    <w:rsid w:val="00157FB4"/>
    <w:rsid w:val="00157FEA"/>
    <w:rsid w:val="001600A7"/>
    <w:rsid w:val="00160213"/>
    <w:rsid w:val="00160753"/>
    <w:rsid w:val="00160789"/>
    <w:rsid w:val="0016099C"/>
    <w:rsid w:val="001609AE"/>
    <w:rsid w:val="001611EF"/>
    <w:rsid w:val="0016148B"/>
    <w:rsid w:val="00161EBD"/>
    <w:rsid w:val="00161FDE"/>
    <w:rsid w:val="001621DE"/>
    <w:rsid w:val="00162917"/>
    <w:rsid w:val="00162988"/>
    <w:rsid w:val="00162C0B"/>
    <w:rsid w:val="00163451"/>
    <w:rsid w:val="001636DF"/>
    <w:rsid w:val="00163DEA"/>
    <w:rsid w:val="00164868"/>
    <w:rsid w:val="001648DE"/>
    <w:rsid w:val="001649DE"/>
    <w:rsid w:val="001649F4"/>
    <w:rsid w:val="00164DF9"/>
    <w:rsid w:val="001658D2"/>
    <w:rsid w:val="00165A2A"/>
    <w:rsid w:val="00165D60"/>
    <w:rsid w:val="00166057"/>
    <w:rsid w:val="00166E14"/>
    <w:rsid w:val="001670A5"/>
    <w:rsid w:val="001670B2"/>
    <w:rsid w:val="00167416"/>
    <w:rsid w:val="00167769"/>
    <w:rsid w:val="0016798D"/>
    <w:rsid w:val="00167BE3"/>
    <w:rsid w:val="00167CCE"/>
    <w:rsid w:val="00167D59"/>
    <w:rsid w:val="001700F8"/>
    <w:rsid w:val="001708FF"/>
    <w:rsid w:val="0017097A"/>
    <w:rsid w:val="00170EFA"/>
    <w:rsid w:val="00170F4A"/>
    <w:rsid w:val="00170FF9"/>
    <w:rsid w:val="0017167C"/>
    <w:rsid w:val="00171B8E"/>
    <w:rsid w:val="0017200F"/>
    <w:rsid w:val="0017206E"/>
    <w:rsid w:val="00172191"/>
    <w:rsid w:val="00172818"/>
    <w:rsid w:val="0017298A"/>
    <w:rsid w:val="001732BB"/>
    <w:rsid w:val="0017334E"/>
    <w:rsid w:val="0017349B"/>
    <w:rsid w:val="001737B1"/>
    <w:rsid w:val="00173A6B"/>
    <w:rsid w:val="00173E43"/>
    <w:rsid w:val="00174017"/>
    <w:rsid w:val="00174428"/>
    <w:rsid w:val="001745BB"/>
    <w:rsid w:val="00174631"/>
    <w:rsid w:val="001746D4"/>
    <w:rsid w:val="0017496E"/>
    <w:rsid w:val="00174979"/>
    <w:rsid w:val="00174A92"/>
    <w:rsid w:val="00175015"/>
    <w:rsid w:val="0017515D"/>
    <w:rsid w:val="00175283"/>
    <w:rsid w:val="00175469"/>
    <w:rsid w:val="00175664"/>
    <w:rsid w:val="00175AA4"/>
    <w:rsid w:val="00176193"/>
    <w:rsid w:val="0017632C"/>
    <w:rsid w:val="001764A3"/>
    <w:rsid w:val="0017691C"/>
    <w:rsid w:val="00176943"/>
    <w:rsid w:val="00176F17"/>
    <w:rsid w:val="0017703D"/>
    <w:rsid w:val="00177159"/>
    <w:rsid w:val="001773A2"/>
    <w:rsid w:val="0017758A"/>
    <w:rsid w:val="001777ED"/>
    <w:rsid w:val="00177ADE"/>
    <w:rsid w:val="00177B73"/>
    <w:rsid w:val="00177C79"/>
    <w:rsid w:val="00177E43"/>
    <w:rsid w:val="00180054"/>
    <w:rsid w:val="001800B9"/>
    <w:rsid w:val="00180683"/>
    <w:rsid w:val="00180746"/>
    <w:rsid w:val="0018087D"/>
    <w:rsid w:val="00180A00"/>
    <w:rsid w:val="00180D7E"/>
    <w:rsid w:val="00181186"/>
    <w:rsid w:val="0018119A"/>
    <w:rsid w:val="0018129B"/>
    <w:rsid w:val="00181A1B"/>
    <w:rsid w:val="00181FCA"/>
    <w:rsid w:val="00182056"/>
    <w:rsid w:val="0018257B"/>
    <w:rsid w:val="001825F2"/>
    <w:rsid w:val="0018291F"/>
    <w:rsid w:val="001831FE"/>
    <w:rsid w:val="0018353D"/>
    <w:rsid w:val="0018377C"/>
    <w:rsid w:val="001837F5"/>
    <w:rsid w:val="001838A2"/>
    <w:rsid w:val="0018433E"/>
    <w:rsid w:val="001844E6"/>
    <w:rsid w:val="00184730"/>
    <w:rsid w:val="00184850"/>
    <w:rsid w:val="00184AF6"/>
    <w:rsid w:val="00184F14"/>
    <w:rsid w:val="00184F48"/>
    <w:rsid w:val="001855AE"/>
    <w:rsid w:val="00185634"/>
    <w:rsid w:val="00185782"/>
    <w:rsid w:val="0018630C"/>
    <w:rsid w:val="001868B7"/>
    <w:rsid w:val="00186996"/>
    <w:rsid w:val="001873D1"/>
    <w:rsid w:val="0018763C"/>
    <w:rsid w:val="00187837"/>
    <w:rsid w:val="00187936"/>
    <w:rsid w:val="00187B82"/>
    <w:rsid w:val="00187FC6"/>
    <w:rsid w:val="00190028"/>
    <w:rsid w:val="0019059F"/>
    <w:rsid w:val="00190DA7"/>
    <w:rsid w:val="00190EA8"/>
    <w:rsid w:val="001910EC"/>
    <w:rsid w:val="00191128"/>
    <w:rsid w:val="00191146"/>
    <w:rsid w:val="001911FC"/>
    <w:rsid w:val="00191A62"/>
    <w:rsid w:val="00191B99"/>
    <w:rsid w:val="00191D50"/>
    <w:rsid w:val="00192125"/>
    <w:rsid w:val="00192A0A"/>
    <w:rsid w:val="00192C98"/>
    <w:rsid w:val="00192D17"/>
    <w:rsid w:val="00192F70"/>
    <w:rsid w:val="001936FD"/>
    <w:rsid w:val="00193713"/>
    <w:rsid w:val="00193AFA"/>
    <w:rsid w:val="00194889"/>
    <w:rsid w:val="0019497A"/>
    <w:rsid w:val="00194AEB"/>
    <w:rsid w:val="00194FEA"/>
    <w:rsid w:val="001951AF"/>
    <w:rsid w:val="001951F4"/>
    <w:rsid w:val="00195D85"/>
    <w:rsid w:val="00195DC7"/>
    <w:rsid w:val="001962B7"/>
    <w:rsid w:val="00196C92"/>
    <w:rsid w:val="00196E41"/>
    <w:rsid w:val="0019762F"/>
    <w:rsid w:val="001976B7"/>
    <w:rsid w:val="00197905"/>
    <w:rsid w:val="00197AD9"/>
    <w:rsid w:val="00197C82"/>
    <w:rsid w:val="001A03D4"/>
    <w:rsid w:val="001A1067"/>
    <w:rsid w:val="001A10E7"/>
    <w:rsid w:val="001A1358"/>
    <w:rsid w:val="001A143E"/>
    <w:rsid w:val="001A16B5"/>
    <w:rsid w:val="001A1948"/>
    <w:rsid w:val="001A1AD3"/>
    <w:rsid w:val="001A1C91"/>
    <w:rsid w:val="001A1F1D"/>
    <w:rsid w:val="001A2576"/>
    <w:rsid w:val="001A28AF"/>
    <w:rsid w:val="001A2BE8"/>
    <w:rsid w:val="001A2C22"/>
    <w:rsid w:val="001A2DEA"/>
    <w:rsid w:val="001A3092"/>
    <w:rsid w:val="001A3636"/>
    <w:rsid w:val="001A37F5"/>
    <w:rsid w:val="001A3EE7"/>
    <w:rsid w:val="001A4116"/>
    <w:rsid w:val="001A42B6"/>
    <w:rsid w:val="001A485B"/>
    <w:rsid w:val="001A50DB"/>
    <w:rsid w:val="001A541C"/>
    <w:rsid w:val="001A5D17"/>
    <w:rsid w:val="001A5D66"/>
    <w:rsid w:val="001A614C"/>
    <w:rsid w:val="001A632E"/>
    <w:rsid w:val="001A6431"/>
    <w:rsid w:val="001A6B02"/>
    <w:rsid w:val="001A6B16"/>
    <w:rsid w:val="001A6EA5"/>
    <w:rsid w:val="001A7010"/>
    <w:rsid w:val="001A71D1"/>
    <w:rsid w:val="001A7594"/>
    <w:rsid w:val="001A76ED"/>
    <w:rsid w:val="001A77DA"/>
    <w:rsid w:val="001A7CB2"/>
    <w:rsid w:val="001B03FB"/>
    <w:rsid w:val="001B043D"/>
    <w:rsid w:val="001B0623"/>
    <w:rsid w:val="001B12A1"/>
    <w:rsid w:val="001B12A3"/>
    <w:rsid w:val="001B136C"/>
    <w:rsid w:val="001B15AC"/>
    <w:rsid w:val="001B15B9"/>
    <w:rsid w:val="001B189E"/>
    <w:rsid w:val="001B19BA"/>
    <w:rsid w:val="001B1CEF"/>
    <w:rsid w:val="001B1D6B"/>
    <w:rsid w:val="001B230D"/>
    <w:rsid w:val="001B2679"/>
    <w:rsid w:val="001B26DD"/>
    <w:rsid w:val="001B2A08"/>
    <w:rsid w:val="001B2F5C"/>
    <w:rsid w:val="001B3052"/>
    <w:rsid w:val="001B32E2"/>
    <w:rsid w:val="001B3D53"/>
    <w:rsid w:val="001B3D5D"/>
    <w:rsid w:val="001B3E02"/>
    <w:rsid w:val="001B40DF"/>
    <w:rsid w:val="001B472F"/>
    <w:rsid w:val="001B4A90"/>
    <w:rsid w:val="001B4AFE"/>
    <w:rsid w:val="001B5035"/>
    <w:rsid w:val="001B51D7"/>
    <w:rsid w:val="001B51F8"/>
    <w:rsid w:val="001B52BA"/>
    <w:rsid w:val="001B6485"/>
    <w:rsid w:val="001B6486"/>
    <w:rsid w:val="001B678E"/>
    <w:rsid w:val="001B6FAE"/>
    <w:rsid w:val="001B7FF7"/>
    <w:rsid w:val="001C0146"/>
    <w:rsid w:val="001C02B1"/>
    <w:rsid w:val="001C07FC"/>
    <w:rsid w:val="001C0B10"/>
    <w:rsid w:val="001C0F5B"/>
    <w:rsid w:val="001C0F7A"/>
    <w:rsid w:val="001C1393"/>
    <w:rsid w:val="001C154C"/>
    <w:rsid w:val="001C227D"/>
    <w:rsid w:val="001C2485"/>
    <w:rsid w:val="001C25E8"/>
    <w:rsid w:val="001C2887"/>
    <w:rsid w:val="001C29FA"/>
    <w:rsid w:val="001C2D33"/>
    <w:rsid w:val="001C2EDB"/>
    <w:rsid w:val="001C3109"/>
    <w:rsid w:val="001C3600"/>
    <w:rsid w:val="001C366C"/>
    <w:rsid w:val="001C37CD"/>
    <w:rsid w:val="001C388C"/>
    <w:rsid w:val="001C39D8"/>
    <w:rsid w:val="001C3CC5"/>
    <w:rsid w:val="001C44C1"/>
    <w:rsid w:val="001C4816"/>
    <w:rsid w:val="001C4880"/>
    <w:rsid w:val="001C4EFA"/>
    <w:rsid w:val="001C51FC"/>
    <w:rsid w:val="001C551C"/>
    <w:rsid w:val="001C5567"/>
    <w:rsid w:val="001C556B"/>
    <w:rsid w:val="001C575C"/>
    <w:rsid w:val="001C5F79"/>
    <w:rsid w:val="001C606D"/>
    <w:rsid w:val="001C660F"/>
    <w:rsid w:val="001C69F7"/>
    <w:rsid w:val="001C6A71"/>
    <w:rsid w:val="001C6F05"/>
    <w:rsid w:val="001C7287"/>
    <w:rsid w:val="001C7349"/>
    <w:rsid w:val="001C775C"/>
    <w:rsid w:val="001C7873"/>
    <w:rsid w:val="001C7A72"/>
    <w:rsid w:val="001C7CD2"/>
    <w:rsid w:val="001D0232"/>
    <w:rsid w:val="001D0A9A"/>
    <w:rsid w:val="001D10D0"/>
    <w:rsid w:val="001D1300"/>
    <w:rsid w:val="001D1357"/>
    <w:rsid w:val="001D140A"/>
    <w:rsid w:val="001D182B"/>
    <w:rsid w:val="001D18C9"/>
    <w:rsid w:val="001D1E40"/>
    <w:rsid w:val="001D223F"/>
    <w:rsid w:val="001D2312"/>
    <w:rsid w:val="001D2407"/>
    <w:rsid w:val="001D2740"/>
    <w:rsid w:val="001D2DD5"/>
    <w:rsid w:val="001D2E33"/>
    <w:rsid w:val="001D2F1C"/>
    <w:rsid w:val="001D2FF5"/>
    <w:rsid w:val="001D301A"/>
    <w:rsid w:val="001D3A73"/>
    <w:rsid w:val="001D3AA7"/>
    <w:rsid w:val="001D3E48"/>
    <w:rsid w:val="001D3EBA"/>
    <w:rsid w:val="001D41D1"/>
    <w:rsid w:val="001D43AB"/>
    <w:rsid w:val="001D480F"/>
    <w:rsid w:val="001D4850"/>
    <w:rsid w:val="001D4938"/>
    <w:rsid w:val="001D4941"/>
    <w:rsid w:val="001D49D3"/>
    <w:rsid w:val="001D4DE1"/>
    <w:rsid w:val="001D542D"/>
    <w:rsid w:val="001D56CE"/>
    <w:rsid w:val="001D5978"/>
    <w:rsid w:val="001D5B25"/>
    <w:rsid w:val="001D609A"/>
    <w:rsid w:val="001D60EA"/>
    <w:rsid w:val="001D66BB"/>
    <w:rsid w:val="001D69A6"/>
    <w:rsid w:val="001D69BE"/>
    <w:rsid w:val="001D69D7"/>
    <w:rsid w:val="001D6ADD"/>
    <w:rsid w:val="001D6AF3"/>
    <w:rsid w:val="001D6F39"/>
    <w:rsid w:val="001D7EEF"/>
    <w:rsid w:val="001D7F34"/>
    <w:rsid w:val="001E06B8"/>
    <w:rsid w:val="001E08AC"/>
    <w:rsid w:val="001E0A33"/>
    <w:rsid w:val="001E0DE7"/>
    <w:rsid w:val="001E107F"/>
    <w:rsid w:val="001E10D5"/>
    <w:rsid w:val="001E15DB"/>
    <w:rsid w:val="001E17F3"/>
    <w:rsid w:val="001E1CF0"/>
    <w:rsid w:val="001E2052"/>
    <w:rsid w:val="001E2111"/>
    <w:rsid w:val="001E2AF0"/>
    <w:rsid w:val="001E2B4A"/>
    <w:rsid w:val="001E33B4"/>
    <w:rsid w:val="001E35EE"/>
    <w:rsid w:val="001E3C5B"/>
    <w:rsid w:val="001E4042"/>
    <w:rsid w:val="001E48FA"/>
    <w:rsid w:val="001E4B1E"/>
    <w:rsid w:val="001E4B9B"/>
    <w:rsid w:val="001E564C"/>
    <w:rsid w:val="001E578F"/>
    <w:rsid w:val="001E5845"/>
    <w:rsid w:val="001E58AC"/>
    <w:rsid w:val="001E5A44"/>
    <w:rsid w:val="001E5A89"/>
    <w:rsid w:val="001E5C32"/>
    <w:rsid w:val="001E5C52"/>
    <w:rsid w:val="001E5CDE"/>
    <w:rsid w:val="001E6404"/>
    <w:rsid w:val="001E66BE"/>
    <w:rsid w:val="001E6C00"/>
    <w:rsid w:val="001E6EA8"/>
    <w:rsid w:val="001E7271"/>
    <w:rsid w:val="001E7607"/>
    <w:rsid w:val="001E787B"/>
    <w:rsid w:val="001E78D6"/>
    <w:rsid w:val="001E7D11"/>
    <w:rsid w:val="001E7E76"/>
    <w:rsid w:val="001E7F62"/>
    <w:rsid w:val="001F058C"/>
    <w:rsid w:val="001F0CA9"/>
    <w:rsid w:val="001F0E18"/>
    <w:rsid w:val="001F0F08"/>
    <w:rsid w:val="001F101E"/>
    <w:rsid w:val="001F1321"/>
    <w:rsid w:val="001F1954"/>
    <w:rsid w:val="001F1D3F"/>
    <w:rsid w:val="001F26E3"/>
    <w:rsid w:val="001F2740"/>
    <w:rsid w:val="001F2CEF"/>
    <w:rsid w:val="001F2E0E"/>
    <w:rsid w:val="001F2F3D"/>
    <w:rsid w:val="001F3355"/>
    <w:rsid w:val="001F3707"/>
    <w:rsid w:val="001F3762"/>
    <w:rsid w:val="001F396D"/>
    <w:rsid w:val="001F3A23"/>
    <w:rsid w:val="001F3FD7"/>
    <w:rsid w:val="001F4596"/>
    <w:rsid w:val="001F4857"/>
    <w:rsid w:val="001F4973"/>
    <w:rsid w:val="001F4C4D"/>
    <w:rsid w:val="001F4C52"/>
    <w:rsid w:val="001F4CE5"/>
    <w:rsid w:val="001F4DAC"/>
    <w:rsid w:val="001F4E37"/>
    <w:rsid w:val="001F4F5E"/>
    <w:rsid w:val="001F5472"/>
    <w:rsid w:val="001F55DB"/>
    <w:rsid w:val="001F591D"/>
    <w:rsid w:val="001F59FA"/>
    <w:rsid w:val="001F5AB9"/>
    <w:rsid w:val="001F5B76"/>
    <w:rsid w:val="001F6C3E"/>
    <w:rsid w:val="001F6D63"/>
    <w:rsid w:val="001F7D7C"/>
    <w:rsid w:val="001F7EE4"/>
    <w:rsid w:val="002004A8"/>
    <w:rsid w:val="00200641"/>
    <w:rsid w:val="002007B6"/>
    <w:rsid w:val="00200898"/>
    <w:rsid w:val="00200919"/>
    <w:rsid w:val="00200A34"/>
    <w:rsid w:val="00200FC6"/>
    <w:rsid w:val="002013CE"/>
    <w:rsid w:val="002015CC"/>
    <w:rsid w:val="00201640"/>
    <w:rsid w:val="00201CC3"/>
    <w:rsid w:val="00201F63"/>
    <w:rsid w:val="0020203E"/>
    <w:rsid w:val="00202276"/>
    <w:rsid w:val="00202808"/>
    <w:rsid w:val="00202D8F"/>
    <w:rsid w:val="002033A5"/>
    <w:rsid w:val="0020351D"/>
    <w:rsid w:val="002040F3"/>
    <w:rsid w:val="0020411D"/>
    <w:rsid w:val="0020463E"/>
    <w:rsid w:val="002047F5"/>
    <w:rsid w:val="00204EA8"/>
    <w:rsid w:val="002052AF"/>
    <w:rsid w:val="00205A63"/>
    <w:rsid w:val="00205CBD"/>
    <w:rsid w:val="00206152"/>
    <w:rsid w:val="002065F3"/>
    <w:rsid w:val="00206F1F"/>
    <w:rsid w:val="0020734A"/>
    <w:rsid w:val="002075F7"/>
    <w:rsid w:val="002076D7"/>
    <w:rsid w:val="002079B4"/>
    <w:rsid w:val="00207A39"/>
    <w:rsid w:val="00207A76"/>
    <w:rsid w:val="00207BDA"/>
    <w:rsid w:val="00210026"/>
    <w:rsid w:val="00210162"/>
    <w:rsid w:val="002103BE"/>
    <w:rsid w:val="0021118D"/>
    <w:rsid w:val="002112BE"/>
    <w:rsid w:val="002114E6"/>
    <w:rsid w:val="002117D7"/>
    <w:rsid w:val="0021183D"/>
    <w:rsid w:val="00211BE5"/>
    <w:rsid w:val="00211D80"/>
    <w:rsid w:val="00211DC4"/>
    <w:rsid w:val="00212008"/>
    <w:rsid w:val="002122D0"/>
    <w:rsid w:val="0021231C"/>
    <w:rsid w:val="002123F2"/>
    <w:rsid w:val="002124D4"/>
    <w:rsid w:val="0021262F"/>
    <w:rsid w:val="00212674"/>
    <w:rsid w:val="00212711"/>
    <w:rsid w:val="002127F5"/>
    <w:rsid w:val="0021317D"/>
    <w:rsid w:val="00213217"/>
    <w:rsid w:val="0021322F"/>
    <w:rsid w:val="00213D9A"/>
    <w:rsid w:val="002141C3"/>
    <w:rsid w:val="002142C5"/>
    <w:rsid w:val="002149C7"/>
    <w:rsid w:val="00214D97"/>
    <w:rsid w:val="002150A7"/>
    <w:rsid w:val="00215885"/>
    <w:rsid w:val="002158CB"/>
    <w:rsid w:val="00215A9E"/>
    <w:rsid w:val="00215D86"/>
    <w:rsid w:val="00215FB4"/>
    <w:rsid w:val="002173DF"/>
    <w:rsid w:val="0021757E"/>
    <w:rsid w:val="00217582"/>
    <w:rsid w:val="00217FD4"/>
    <w:rsid w:val="0022023F"/>
    <w:rsid w:val="00220317"/>
    <w:rsid w:val="002203DA"/>
    <w:rsid w:val="0022053B"/>
    <w:rsid w:val="002205EE"/>
    <w:rsid w:val="00220950"/>
    <w:rsid w:val="00220BB6"/>
    <w:rsid w:val="00220D94"/>
    <w:rsid w:val="002212A2"/>
    <w:rsid w:val="00221480"/>
    <w:rsid w:val="00221802"/>
    <w:rsid w:val="00221984"/>
    <w:rsid w:val="002223A2"/>
    <w:rsid w:val="002223EC"/>
    <w:rsid w:val="002227EB"/>
    <w:rsid w:val="00222DB7"/>
    <w:rsid w:val="00222FAA"/>
    <w:rsid w:val="00223037"/>
    <w:rsid w:val="00223082"/>
    <w:rsid w:val="002239C7"/>
    <w:rsid w:val="0022402D"/>
    <w:rsid w:val="00224483"/>
    <w:rsid w:val="002247A0"/>
    <w:rsid w:val="00224984"/>
    <w:rsid w:val="002249B4"/>
    <w:rsid w:val="00224C81"/>
    <w:rsid w:val="002252BB"/>
    <w:rsid w:val="0022594B"/>
    <w:rsid w:val="00225B25"/>
    <w:rsid w:val="00225BC7"/>
    <w:rsid w:val="00225E13"/>
    <w:rsid w:val="00225FD4"/>
    <w:rsid w:val="00226496"/>
    <w:rsid w:val="00226C35"/>
    <w:rsid w:val="00226C46"/>
    <w:rsid w:val="0022721D"/>
    <w:rsid w:val="00227557"/>
    <w:rsid w:val="00227729"/>
    <w:rsid w:val="002279B5"/>
    <w:rsid w:val="00227A51"/>
    <w:rsid w:val="0023005B"/>
    <w:rsid w:val="002302C3"/>
    <w:rsid w:val="002303E0"/>
    <w:rsid w:val="00230427"/>
    <w:rsid w:val="002304F2"/>
    <w:rsid w:val="00230880"/>
    <w:rsid w:val="00230AF5"/>
    <w:rsid w:val="00230E41"/>
    <w:rsid w:val="00230FBA"/>
    <w:rsid w:val="00231509"/>
    <w:rsid w:val="002319ED"/>
    <w:rsid w:val="00231A29"/>
    <w:rsid w:val="00231B8E"/>
    <w:rsid w:val="0023273D"/>
    <w:rsid w:val="00232967"/>
    <w:rsid w:val="00232BAF"/>
    <w:rsid w:val="0023309C"/>
    <w:rsid w:val="00233A2B"/>
    <w:rsid w:val="00233A81"/>
    <w:rsid w:val="002347CE"/>
    <w:rsid w:val="00234C6A"/>
    <w:rsid w:val="0023557C"/>
    <w:rsid w:val="00235C20"/>
    <w:rsid w:val="00235C80"/>
    <w:rsid w:val="00235D5A"/>
    <w:rsid w:val="00235E80"/>
    <w:rsid w:val="0023624A"/>
    <w:rsid w:val="002364B2"/>
    <w:rsid w:val="00236A75"/>
    <w:rsid w:val="00236E0A"/>
    <w:rsid w:val="00237108"/>
    <w:rsid w:val="0023717C"/>
    <w:rsid w:val="00237304"/>
    <w:rsid w:val="0023746C"/>
    <w:rsid w:val="0023754C"/>
    <w:rsid w:val="002375B8"/>
    <w:rsid w:val="00237636"/>
    <w:rsid w:val="0023771E"/>
    <w:rsid w:val="00237947"/>
    <w:rsid w:val="00237994"/>
    <w:rsid w:val="00237F25"/>
    <w:rsid w:val="00237FF9"/>
    <w:rsid w:val="002404B9"/>
    <w:rsid w:val="00240669"/>
    <w:rsid w:val="0024074C"/>
    <w:rsid w:val="00240882"/>
    <w:rsid w:val="00240961"/>
    <w:rsid w:val="00240CA9"/>
    <w:rsid w:val="0024145D"/>
    <w:rsid w:val="00241D20"/>
    <w:rsid w:val="00241DCB"/>
    <w:rsid w:val="00241E08"/>
    <w:rsid w:val="00241FFB"/>
    <w:rsid w:val="002420F5"/>
    <w:rsid w:val="002423FA"/>
    <w:rsid w:val="00242912"/>
    <w:rsid w:val="00242A00"/>
    <w:rsid w:val="00242A1B"/>
    <w:rsid w:val="00242FF0"/>
    <w:rsid w:val="00243384"/>
    <w:rsid w:val="00243775"/>
    <w:rsid w:val="00243F02"/>
    <w:rsid w:val="00244773"/>
    <w:rsid w:val="00244D05"/>
    <w:rsid w:val="0024507D"/>
    <w:rsid w:val="00245975"/>
    <w:rsid w:val="00245F34"/>
    <w:rsid w:val="002460D7"/>
    <w:rsid w:val="00246598"/>
    <w:rsid w:val="00246600"/>
    <w:rsid w:val="00246978"/>
    <w:rsid w:val="00246C35"/>
    <w:rsid w:val="00246C48"/>
    <w:rsid w:val="00247661"/>
    <w:rsid w:val="0024775E"/>
    <w:rsid w:val="002478E2"/>
    <w:rsid w:val="00247921"/>
    <w:rsid w:val="00247D09"/>
    <w:rsid w:val="00247E1B"/>
    <w:rsid w:val="00250283"/>
    <w:rsid w:val="00250439"/>
    <w:rsid w:val="002505E4"/>
    <w:rsid w:val="002505E9"/>
    <w:rsid w:val="00250B22"/>
    <w:rsid w:val="00250C60"/>
    <w:rsid w:val="00250E46"/>
    <w:rsid w:val="00250E87"/>
    <w:rsid w:val="002513BD"/>
    <w:rsid w:val="002514E4"/>
    <w:rsid w:val="002519B1"/>
    <w:rsid w:val="00251B10"/>
    <w:rsid w:val="00251C8E"/>
    <w:rsid w:val="00251CE8"/>
    <w:rsid w:val="00251ED9"/>
    <w:rsid w:val="00252461"/>
    <w:rsid w:val="002525B0"/>
    <w:rsid w:val="00252C0F"/>
    <w:rsid w:val="00252D45"/>
    <w:rsid w:val="00252F10"/>
    <w:rsid w:val="002532CF"/>
    <w:rsid w:val="00253491"/>
    <w:rsid w:val="002534D6"/>
    <w:rsid w:val="002535BE"/>
    <w:rsid w:val="002535C9"/>
    <w:rsid w:val="002537B0"/>
    <w:rsid w:val="00253E71"/>
    <w:rsid w:val="0025402D"/>
    <w:rsid w:val="0025409A"/>
    <w:rsid w:val="002540D1"/>
    <w:rsid w:val="002541F1"/>
    <w:rsid w:val="00254371"/>
    <w:rsid w:val="002544DC"/>
    <w:rsid w:val="00254785"/>
    <w:rsid w:val="00254805"/>
    <w:rsid w:val="002548DB"/>
    <w:rsid w:val="002549AB"/>
    <w:rsid w:val="00254AC5"/>
    <w:rsid w:val="00254B61"/>
    <w:rsid w:val="00254B6F"/>
    <w:rsid w:val="00254E21"/>
    <w:rsid w:val="00254F86"/>
    <w:rsid w:val="00255236"/>
    <w:rsid w:val="002552C1"/>
    <w:rsid w:val="00255A80"/>
    <w:rsid w:val="00255B16"/>
    <w:rsid w:val="00255DB8"/>
    <w:rsid w:val="002560E9"/>
    <w:rsid w:val="002562FE"/>
    <w:rsid w:val="00256686"/>
    <w:rsid w:val="002568B3"/>
    <w:rsid w:val="00256CC8"/>
    <w:rsid w:val="00256E14"/>
    <w:rsid w:val="0025703F"/>
    <w:rsid w:val="00257305"/>
    <w:rsid w:val="00257585"/>
    <w:rsid w:val="00257B5F"/>
    <w:rsid w:val="00257C5B"/>
    <w:rsid w:val="00257E78"/>
    <w:rsid w:val="00260106"/>
    <w:rsid w:val="0026012F"/>
    <w:rsid w:val="00260250"/>
    <w:rsid w:val="002607F7"/>
    <w:rsid w:val="00261368"/>
    <w:rsid w:val="0026141D"/>
    <w:rsid w:val="002615D4"/>
    <w:rsid w:val="00261CAE"/>
    <w:rsid w:val="00261F17"/>
    <w:rsid w:val="00261FBE"/>
    <w:rsid w:val="002620C4"/>
    <w:rsid w:val="002622F4"/>
    <w:rsid w:val="00262469"/>
    <w:rsid w:val="002624C1"/>
    <w:rsid w:val="002624E9"/>
    <w:rsid w:val="0026255A"/>
    <w:rsid w:val="002625DD"/>
    <w:rsid w:val="00262E29"/>
    <w:rsid w:val="0026326B"/>
    <w:rsid w:val="002634ED"/>
    <w:rsid w:val="002637A0"/>
    <w:rsid w:val="00263BF8"/>
    <w:rsid w:val="00263D7F"/>
    <w:rsid w:val="00264086"/>
    <w:rsid w:val="002642CC"/>
    <w:rsid w:val="00264380"/>
    <w:rsid w:val="00264389"/>
    <w:rsid w:val="00264443"/>
    <w:rsid w:val="00264449"/>
    <w:rsid w:val="00264729"/>
    <w:rsid w:val="002647BF"/>
    <w:rsid w:val="00264807"/>
    <w:rsid w:val="00264A62"/>
    <w:rsid w:val="00264CA9"/>
    <w:rsid w:val="00265168"/>
    <w:rsid w:val="00265346"/>
    <w:rsid w:val="00265CD7"/>
    <w:rsid w:val="00266899"/>
    <w:rsid w:val="002672F3"/>
    <w:rsid w:val="00267B14"/>
    <w:rsid w:val="00270653"/>
    <w:rsid w:val="00270B6E"/>
    <w:rsid w:val="00270EBC"/>
    <w:rsid w:val="00271391"/>
    <w:rsid w:val="00271474"/>
    <w:rsid w:val="002716A8"/>
    <w:rsid w:val="0027174E"/>
    <w:rsid w:val="002718FA"/>
    <w:rsid w:val="00271A3F"/>
    <w:rsid w:val="00271C53"/>
    <w:rsid w:val="00271DBB"/>
    <w:rsid w:val="00271DEA"/>
    <w:rsid w:val="00271E79"/>
    <w:rsid w:val="002721A7"/>
    <w:rsid w:val="0027232E"/>
    <w:rsid w:val="00272438"/>
    <w:rsid w:val="00272511"/>
    <w:rsid w:val="0027283D"/>
    <w:rsid w:val="002729E2"/>
    <w:rsid w:val="00272B51"/>
    <w:rsid w:val="00272D06"/>
    <w:rsid w:val="00272F08"/>
    <w:rsid w:val="0027313D"/>
    <w:rsid w:val="00273412"/>
    <w:rsid w:val="002738C1"/>
    <w:rsid w:val="002738F2"/>
    <w:rsid w:val="00273B94"/>
    <w:rsid w:val="00273BCC"/>
    <w:rsid w:val="00273E34"/>
    <w:rsid w:val="00273F8B"/>
    <w:rsid w:val="00274562"/>
    <w:rsid w:val="00274606"/>
    <w:rsid w:val="002747F6"/>
    <w:rsid w:val="00274B47"/>
    <w:rsid w:val="002752CB"/>
    <w:rsid w:val="00275474"/>
    <w:rsid w:val="002755D3"/>
    <w:rsid w:val="00275BDD"/>
    <w:rsid w:val="00275E3E"/>
    <w:rsid w:val="00275ED7"/>
    <w:rsid w:val="00275FE5"/>
    <w:rsid w:val="0027663B"/>
    <w:rsid w:val="0027663E"/>
    <w:rsid w:val="002768CE"/>
    <w:rsid w:val="00276A50"/>
    <w:rsid w:val="00276CC8"/>
    <w:rsid w:val="00276E23"/>
    <w:rsid w:val="00277747"/>
    <w:rsid w:val="00277792"/>
    <w:rsid w:val="002777F7"/>
    <w:rsid w:val="0027786A"/>
    <w:rsid w:val="002778FD"/>
    <w:rsid w:val="00277C0D"/>
    <w:rsid w:val="00277E40"/>
    <w:rsid w:val="00280455"/>
    <w:rsid w:val="002804C5"/>
    <w:rsid w:val="0028065F"/>
    <w:rsid w:val="00280812"/>
    <w:rsid w:val="00280D4D"/>
    <w:rsid w:val="00280D84"/>
    <w:rsid w:val="002812F9"/>
    <w:rsid w:val="00281302"/>
    <w:rsid w:val="00281780"/>
    <w:rsid w:val="00281996"/>
    <w:rsid w:val="00282149"/>
    <w:rsid w:val="0028220C"/>
    <w:rsid w:val="002824EB"/>
    <w:rsid w:val="0028272C"/>
    <w:rsid w:val="0028276A"/>
    <w:rsid w:val="00282876"/>
    <w:rsid w:val="002829E9"/>
    <w:rsid w:val="00282C3D"/>
    <w:rsid w:val="00282C6A"/>
    <w:rsid w:val="00282C84"/>
    <w:rsid w:val="00282DCD"/>
    <w:rsid w:val="00282EDD"/>
    <w:rsid w:val="00282F7B"/>
    <w:rsid w:val="0028304F"/>
    <w:rsid w:val="00283088"/>
    <w:rsid w:val="002835AF"/>
    <w:rsid w:val="00283D4C"/>
    <w:rsid w:val="00284340"/>
    <w:rsid w:val="00284F46"/>
    <w:rsid w:val="0028551E"/>
    <w:rsid w:val="002855A1"/>
    <w:rsid w:val="0028572D"/>
    <w:rsid w:val="00285B3B"/>
    <w:rsid w:val="00286AC9"/>
    <w:rsid w:val="00286E35"/>
    <w:rsid w:val="00286FC7"/>
    <w:rsid w:val="002875C4"/>
    <w:rsid w:val="00287F49"/>
    <w:rsid w:val="00287FAE"/>
    <w:rsid w:val="002902B9"/>
    <w:rsid w:val="00290305"/>
    <w:rsid w:val="002904A5"/>
    <w:rsid w:val="002907F1"/>
    <w:rsid w:val="002909A8"/>
    <w:rsid w:val="00290A51"/>
    <w:rsid w:val="00290FD4"/>
    <w:rsid w:val="00291093"/>
    <w:rsid w:val="00291479"/>
    <w:rsid w:val="00291657"/>
    <w:rsid w:val="00291866"/>
    <w:rsid w:val="0029196C"/>
    <w:rsid w:val="002919F9"/>
    <w:rsid w:val="00292263"/>
    <w:rsid w:val="00292401"/>
    <w:rsid w:val="00292794"/>
    <w:rsid w:val="002929C4"/>
    <w:rsid w:val="00292A08"/>
    <w:rsid w:val="00292B2F"/>
    <w:rsid w:val="00292BAC"/>
    <w:rsid w:val="00292BF5"/>
    <w:rsid w:val="00292C8F"/>
    <w:rsid w:val="00292E11"/>
    <w:rsid w:val="002931CD"/>
    <w:rsid w:val="0029351D"/>
    <w:rsid w:val="00293781"/>
    <w:rsid w:val="00293A1A"/>
    <w:rsid w:val="00293D54"/>
    <w:rsid w:val="00293D8A"/>
    <w:rsid w:val="00293EAD"/>
    <w:rsid w:val="002941C1"/>
    <w:rsid w:val="0029456D"/>
    <w:rsid w:val="00294778"/>
    <w:rsid w:val="00294B3D"/>
    <w:rsid w:val="00294C04"/>
    <w:rsid w:val="002955CC"/>
    <w:rsid w:val="00295666"/>
    <w:rsid w:val="0029590F"/>
    <w:rsid w:val="00295C16"/>
    <w:rsid w:val="002968E3"/>
    <w:rsid w:val="00296ED8"/>
    <w:rsid w:val="00297085"/>
    <w:rsid w:val="002970EA"/>
    <w:rsid w:val="00297127"/>
    <w:rsid w:val="00297533"/>
    <w:rsid w:val="00297906"/>
    <w:rsid w:val="0029791A"/>
    <w:rsid w:val="00297A67"/>
    <w:rsid w:val="00297C4A"/>
    <w:rsid w:val="00297DD0"/>
    <w:rsid w:val="00297EA3"/>
    <w:rsid w:val="002A02A6"/>
    <w:rsid w:val="002A0734"/>
    <w:rsid w:val="002A0A78"/>
    <w:rsid w:val="002A0BB1"/>
    <w:rsid w:val="002A12BB"/>
    <w:rsid w:val="002A131A"/>
    <w:rsid w:val="002A1482"/>
    <w:rsid w:val="002A1643"/>
    <w:rsid w:val="002A182D"/>
    <w:rsid w:val="002A193E"/>
    <w:rsid w:val="002A218B"/>
    <w:rsid w:val="002A23F3"/>
    <w:rsid w:val="002A25E0"/>
    <w:rsid w:val="002A2607"/>
    <w:rsid w:val="002A2727"/>
    <w:rsid w:val="002A284A"/>
    <w:rsid w:val="002A2A9C"/>
    <w:rsid w:val="002A2AB4"/>
    <w:rsid w:val="002A323C"/>
    <w:rsid w:val="002A38EC"/>
    <w:rsid w:val="002A4391"/>
    <w:rsid w:val="002A445E"/>
    <w:rsid w:val="002A475D"/>
    <w:rsid w:val="002A4DDC"/>
    <w:rsid w:val="002A4EE4"/>
    <w:rsid w:val="002A4FBE"/>
    <w:rsid w:val="002A50CF"/>
    <w:rsid w:val="002A5194"/>
    <w:rsid w:val="002A578F"/>
    <w:rsid w:val="002A57B6"/>
    <w:rsid w:val="002A5926"/>
    <w:rsid w:val="002A5965"/>
    <w:rsid w:val="002A64A2"/>
    <w:rsid w:val="002A6862"/>
    <w:rsid w:val="002A6DFE"/>
    <w:rsid w:val="002A6E48"/>
    <w:rsid w:val="002A722A"/>
    <w:rsid w:val="002A74CF"/>
    <w:rsid w:val="002A75DA"/>
    <w:rsid w:val="002A7BCD"/>
    <w:rsid w:val="002B0309"/>
    <w:rsid w:val="002B03AE"/>
    <w:rsid w:val="002B04D5"/>
    <w:rsid w:val="002B0726"/>
    <w:rsid w:val="002B0E0D"/>
    <w:rsid w:val="002B0E4C"/>
    <w:rsid w:val="002B1459"/>
    <w:rsid w:val="002B1756"/>
    <w:rsid w:val="002B17CB"/>
    <w:rsid w:val="002B1AD7"/>
    <w:rsid w:val="002B2AB5"/>
    <w:rsid w:val="002B2C26"/>
    <w:rsid w:val="002B2C9E"/>
    <w:rsid w:val="002B2D23"/>
    <w:rsid w:val="002B2D43"/>
    <w:rsid w:val="002B3788"/>
    <w:rsid w:val="002B37BF"/>
    <w:rsid w:val="002B39CA"/>
    <w:rsid w:val="002B3C19"/>
    <w:rsid w:val="002B3E31"/>
    <w:rsid w:val="002B3ECE"/>
    <w:rsid w:val="002B4198"/>
    <w:rsid w:val="002B442F"/>
    <w:rsid w:val="002B4A40"/>
    <w:rsid w:val="002B4D90"/>
    <w:rsid w:val="002B50B1"/>
    <w:rsid w:val="002B5265"/>
    <w:rsid w:val="002B53BA"/>
    <w:rsid w:val="002B5476"/>
    <w:rsid w:val="002B56C0"/>
    <w:rsid w:val="002B5708"/>
    <w:rsid w:val="002B63FC"/>
    <w:rsid w:val="002B64A2"/>
    <w:rsid w:val="002B6D11"/>
    <w:rsid w:val="002B6F04"/>
    <w:rsid w:val="002B77CC"/>
    <w:rsid w:val="002B784D"/>
    <w:rsid w:val="002B7966"/>
    <w:rsid w:val="002B7A57"/>
    <w:rsid w:val="002B7D31"/>
    <w:rsid w:val="002C0200"/>
    <w:rsid w:val="002C02A8"/>
    <w:rsid w:val="002C0486"/>
    <w:rsid w:val="002C056C"/>
    <w:rsid w:val="002C09B0"/>
    <w:rsid w:val="002C0B2C"/>
    <w:rsid w:val="002C0E0A"/>
    <w:rsid w:val="002C0E72"/>
    <w:rsid w:val="002C1C1E"/>
    <w:rsid w:val="002C1E0C"/>
    <w:rsid w:val="002C1E4C"/>
    <w:rsid w:val="002C2793"/>
    <w:rsid w:val="002C2A8E"/>
    <w:rsid w:val="002C2E5E"/>
    <w:rsid w:val="002C305A"/>
    <w:rsid w:val="002C310A"/>
    <w:rsid w:val="002C3270"/>
    <w:rsid w:val="002C32D7"/>
    <w:rsid w:val="002C3C64"/>
    <w:rsid w:val="002C4216"/>
    <w:rsid w:val="002C4449"/>
    <w:rsid w:val="002C448C"/>
    <w:rsid w:val="002C491C"/>
    <w:rsid w:val="002C4B03"/>
    <w:rsid w:val="002C528D"/>
    <w:rsid w:val="002C5326"/>
    <w:rsid w:val="002C540C"/>
    <w:rsid w:val="002C5931"/>
    <w:rsid w:val="002C5E48"/>
    <w:rsid w:val="002C5E50"/>
    <w:rsid w:val="002C6577"/>
    <w:rsid w:val="002C6652"/>
    <w:rsid w:val="002C6680"/>
    <w:rsid w:val="002C677E"/>
    <w:rsid w:val="002C6E84"/>
    <w:rsid w:val="002C6FA5"/>
    <w:rsid w:val="002C778F"/>
    <w:rsid w:val="002C77A4"/>
    <w:rsid w:val="002C77A8"/>
    <w:rsid w:val="002C7A01"/>
    <w:rsid w:val="002C7BE1"/>
    <w:rsid w:val="002D002E"/>
    <w:rsid w:val="002D0318"/>
    <w:rsid w:val="002D07B5"/>
    <w:rsid w:val="002D0AFB"/>
    <w:rsid w:val="002D10AF"/>
    <w:rsid w:val="002D1483"/>
    <w:rsid w:val="002D16C1"/>
    <w:rsid w:val="002D1957"/>
    <w:rsid w:val="002D1999"/>
    <w:rsid w:val="002D1C82"/>
    <w:rsid w:val="002D1D75"/>
    <w:rsid w:val="002D1E38"/>
    <w:rsid w:val="002D1F14"/>
    <w:rsid w:val="002D219B"/>
    <w:rsid w:val="002D236C"/>
    <w:rsid w:val="002D2668"/>
    <w:rsid w:val="002D271E"/>
    <w:rsid w:val="002D2791"/>
    <w:rsid w:val="002D2AB9"/>
    <w:rsid w:val="002D2C34"/>
    <w:rsid w:val="002D2D27"/>
    <w:rsid w:val="002D3022"/>
    <w:rsid w:val="002D320D"/>
    <w:rsid w:val="002D3CC5"/>
    <w:rsid w:val="002D4033"/>
    <w:rsid w:val="002D4336"/>
    <w:rsid w:val="002D4585"/>
    <w:rsid w:val="002D4BC3"/>
    <w:rsid w:val="002D5021"/>
    <w:rsid w:val="002D5A3A"/>
    <w:rsid w:val="002D5F71"/>
    <w:rsid w:val="002D5FA1"/>
    <w:rsid w:val="002D6093"/>
    <w:rsid w:val="002D60D1"/>
    <w:rsid w:val="002D650A"/>
    <w:rsid w:val="002D65D5"/>
    <w:rsid w:val="002D689A"/>
    <w:rsid w:val="002D6CF7"/>
    <w:rsid w:val="002D6E70"/>
    <w:rsid w:val="002D6F5D"/>
    <w:rsid w:val="002D6F6F"/>
    <w:rsid w:val="002D7044"/>
    <w:rsid w:val="002D70B6"/>
    <w:rsid w:val="002D7A43"/>
    <w:rsid w:val="002E007B"/>
    <w:rsid w:val="002E0102"/>
    <w:rsid w:val="002E03B6"/>
    <w:rsid w:val="002E07F1"/>
    <w:rsid w:val="002E0DC7"/>
    <w:rsid w:val="002E0E3E"/>
    <w:rsid w:val="002E124C"/>
    <w:rsid w:val="002E16CD"/>
    <w:rsid w:val="002E211F"/>
    <w:rsid w:val="002E2273"/>
    <w:rsid w:val="002E230D"/>
    <w:rsid w:val="002E233B"/>
    <w:rsid w:val="002E2773"/>
    <w:rsid w:val="002E2788"/>
    <w:rsid w:val="002E27B4"/>
    <w:rsid w:val="002E292C"/>
    <w:rsid w:val="002E2B05"/>
    <w:rsid w:val="002E2BEE"/>
    <w:rsid w:val="002E2F8E"/>
    <w:rsid w:val="002E2FBE"/>
    <w:rsid w:val="002E32AF"/>
    <w:rsid w:val="002E384A"/>
    <w:rsid w:val="002E3C2D"/>
    <w:rsid w:val="002E494B"/>
    <w:rsid w:val="002E4970"/>
    <w:rsid w:val="002E4DBF"/>
    <w:rsid w:val="002E559F"/>
    <w:rsid w:val="002E55F5"/>
    <w:rsid w:val="002E5C8F"/>
    <w:rsid w:val="002E5F9E"/>
    <w:rsid w:val="002E618C"/>
    <w:rsid w:val="002E6352"/>
    <w:rsid w:val="002E6535"/>
    <w:rsid w:val="002E6545"/>
    <w:rsid w:val="002E683C"/>
    <w:rsid w:val="002E6D58"/>
    <w:rsid w:val="002E70EB"/>
    <w:rsid w:val="002E717A"/>
    <w:rsid w:val="002E7415"/>
    <w:rsid w:val="002E7707"/>
    <w:rsid w:val="002E7B9E"/>
    <w:rsid w:val="002F01EF"/>
    <w:rsid w:val="002F07D4"/>
    <w:rsid w:val="002F0B32"/>
    <w:rsid w:val="002F119A"/>
    <w:rsid w:val="002F1439"/>
    <w:rsid w:val="002F176A"/>
    <w:rsid w:val="002F19BB"/>
    <w:rsid w:val="002F1A91"/>
    <w:rsid w:val="002F1ED0"/>
    <w:rsid w:val="002F20BB"/>
    <w:rsid w:val="002F2453"/>
    <w:rsid w:val="002F292D"/>
    <w:rsid w:val="002F2999"/>
    <w:rsid w:val="002F2A67"/>
    <w:rsid w:val="002F2C21"/>
    <w:rsid w:val="002F2C90"/>
    <w:rsid w:val="002F3059"/>
    <w:rsid w:val="002F33FF"/>
    <w:rsid w:val="002F35EE"/>
    <w:rsid w:val="002F3BF9"/>
    <w:rsid w:val="002F3E9C"/>
    <w:rsid w:val="002F3EF2"/>
    <w:rsid w:val="002F4279"/>
    <w:rsid w:val="002F43DB"/>
    <w:rsid w:val="002F4886"/>
    <w:rsid w:val="002F488C"/>
    <w:rsid w:val="002F4957"/>
    <w:rsid w:val="002F5089"/>
    <w:rsid w:val="002F51E1"/>
    <w:rsid w:val="002F51ED"/>
    <w:rsid w:val="002F53C0"/>
    <w:rsid w:val="002F53F6"/>
    <w:rsid w:val="002F543F"/>
    <w:rsid w:val="002F55DF"/>
    <w:rsid w:val="002F6154"/>
    <w:rsid w:val="002F6300"/>
    <w:rsid w:val="002F645C"/>
    <w:rsid w:val="002F67A6"/>
    <w:rsid w:val="002F67AC"/>
    <w:rsid w:val="002F681A"/>
    <w:rsid w:val="002F6B86"/>
    <w:rsid w:val="002F6B9A"/>
    <w:rsid w:val="002F6ECF"/>
    <w:rsid w:val="002F71D5"/>
    <w:rsid w:val="002F7D34"/>
    <w:rsid w:val="002F7E05"/>
    <w:rsid w:val="003004AC"/>
    <w:rsid w:val="003005EB"/>
    <w:rsid w:val="003007C9"/>
    <w:rsid w:val="003008F1"/>
    <w:rsid w:val="00300920"/>
    <w:rsid w:val="00301120"/>
    <w:rsid w:val="00301138"/>
    <w:rsid w:val="00301220"/>
    <w:rsid w:val="00301593"/>
    <w:rsid w:val="00301750"/>
    <w:rsid w:val="00301B2A"/>
    <w:rsid w:val="00301DE3"/>
    <w:rsid w:val="00301EC9"/>
    <w:rsid w:val="00301F5C"/>
    <w:rsid w:val="00302442"/>
    <w:rsid w:val="003025E6"/>
    <w:rsid w:val="00302952"/>
    <w:rsid w:val="00302A58"/>
    <w:rsid w:val="00302ADF"/>
    <w:rsid w:val="00302D4C"/>
    <w:rsid w:val="00303011"/>
    <w:rsid w:val="00303031"/>
    <w:rsid w:val="003030ED"/>
    <w:rsid w:val="0030332F"/>
    <w:rsid w:val="003033B0"/>
    <w:rsid w:val="00303561"/>
    <w:rsid w:val="00303AF0"/>
    <w:rsid w:val="00303D1D"/>
    <w:rsid w:val="00303D24"/>
    <w:rsid w:val="00303EEF"/>
    <w:rsid w:val="00303F67"/>
    <w:rsid w:val="00303FA6"/>
    <w:rsid w:val="003042BC"/>
    <w:rsid w:val="003042C3"/>
    <w:rsid w:val="00305521"/>
    <w:rsid w:val="00305AA0"/>
    <w:rsid w:val="00306A0F"/>
    <w:rsid w:val="00306AD6"/>
    <w:rsid w:val="003071CC"/>
    <w:rsid w:val="00307303"/>
    <w:rsid w:val="00307338"/>
    <w:rsid w:val="00307353"/>
    <w:rsid w:val="00307E5E"/>
    <w:rsid w:val="00307EA3"/>
    <w:rsid w:val="00307F7D"/>
    <w:rsid w:val="0031040F"/>
    <w:rsid w:val="0031079E"/>
    <w:rsid w:val="00310856"/>
    <w:rsid w:val="00310AC0"/>
    <w:rsid w:val="00311298"/>
    <w:rsid w:val="003116D1"/>
    <w:rsid w:val="00311A18"/>
    <w:rsid w:val="00311BCE"/>
    <w:rsid w:val="00311D75"/>
    <w:rsid w:val="0031212A"/>
    <w:rsid w:val="003128FE"/>
    <w:rsid w:val="00313094"/>
    <w:rsid w:val="00313198"/>
    <w:rsid w:val="00313654"/>
    <w:rsid w:val="00313F6D"/>
    <w:rsid w:val="003140F0"/>
    <w:rsid w:val="0031412A"/>
    <w:rsid w:val="003143A6"/>
    <w:rsid w:val="00314510"/>
    <w:rsid w:val="0031460E"/>
    <w:rsid w:val="00314B1B"/>
    <w:rsid w:val="00314BDC"/>
    <w:rsid w:val="00314E15"/>
    <w:rsid w:val="003150CC"/>
    <w:rsid w:val="0031511A"/>
    <w:rsid w:val="003153A6"/>
    <w:rsid w:val="003154B6"/>
    <w:rsid w:val="003154DE"/>
    <w:rsid w:val="00315C08"/>
    <w:rsid w:val="00316ABD"/>
    <w:rsid w:val="003170A6"/>
    <w:rsid w:val="00317876"/>
    <w:rsid w:val="00317AE6"/>
    <w:rsid w:val="00317D16"/>
    <w:rsid w:val="00317F6E"/>
    <w:rsid w:val="003200D5"/>
    <w:rsid w:val="00320134"/>
    <w:rsid w:val="00320575"/>
    <w:rsid w:val="00320630"/>
    <w:rsid w:val="00320C5B"/>
    <w:rsid w:val="00320F81"/>
    <w:rsid w:val="0032101D"/>
    <w:rsid w:val="00321181"/>
    <w:rsid w:val="003214FE"/>
    <w:rsid w:val="00321567"/>
    <w:rsid w:val="00321974"/>
    <w:rsid w:val="003219DE"/>
    <w:rsid w:val="0032209E"/>
    <w:rsid w:val="00322294"/>
    <w:rsid w:val="00322320"/>
    <w:rsid w:val="00322996"/>
    <w:rsid w:val="00322FF9"/>
    <w:rsid w:val="003230BF"/>
    <w:rsid w:val="003230F1"/>
    <w:rsid w:val="0032313A"/>
    <w:rsid w:val="003232D5"/>
    <w:rsid w:val="00323744"/>
    <w:rsid w:val="003243C9"/>
    <w:rsid w:val="003243D0"/>
    <w:rsid w:val="003247B0"/>
    <w:rsid w:val="003248BA"/>
    <w:rsid w:val="003248EC"/>
    <w:rsid w:val="00324ACF"/>
    <w:rsid w:val="00324C7B"/>
    <w:rsid w:val="00325662"/>
    <w:rsid w:val="00325863"/>
    <w:rsid w:val="00325C17"/>
    <w:rsid w:val="00326400"/>
    <w:rsid w:val="003266B2"/>
    <w:rsid w:val="00326BD9"/>
    <w:rsid w:val="00326C78"/>
    <w:rsid w:val="00326EE8"/>
    <w:rsid w:val="00326FBA"/>
    <w:rsid w:val="00327541"/>
    <w:rsid w:val="00327587"/>
    <w:rsid w:val="003276C4"/>
    <w:rsid w:val="0032797E"/>
    <w:rsid w:val="00327987"/>
    <w:rsid w:val="0033074D"/>
    <w:rsid w:val="003309F5"/>
    <w:rsid w:val="00330B09"/>
    <w:rsid w:val="00331121"/>
    <w:rsid w:val="003312B1"/>
    <w:rsid w:val="003319F8"/>
    <w:rsid w:val="00331E1C"/>
    <w:rsid w:val="00331E85"/>
    <w:rsid w:val="0033204E"/>
    <w:rsid w:val="00332083"/>
    <w:rsid w:val="0033210D"/>
    <w:rsid w:val="00332163"/>
    <w:rsid w:val="00332404"/>
    <w:rsid w:val="0033289A"/>
    <w:rsid w:val="00332A82"/>
    <w:rsid w:val="00332B67"/>
    <w:rsid w:val="0033301F"/>
    <w:rsid w:val="0033311F"/>
    <w:rsid w:val="003336A6"/>
    <w:rsid w:val="003337A5"/>
    <w:rsid w:val="003338DC"/>
    <w:rsid w:val="00333951"/>
    <w:rsid w:val="00333D62"/>
    <w:rsid w:val="00333F29"/>
    <w:rsid w:val="00333FF5"/>
    <w:rsid w:val="0033409F"/>
    <w:rsid w:val="0033497D"/>
    <w:rsid w:val="00334C7B"/>
    <w:rsid w:val="003351B6"/>
    <w:rsid w:val="003354F6"/>
    <w:rsid w:val="00335579"/>
    <w:rsid w:val="003355C1"/>
    <w:rsid w:val="003357E0"/>
    <w:rsid w:val="003357F4"/>
    <w:rsid w:val="003359AA"/>
    <w:rsid w:val="003359E6"/>
    <w:rsid w:val="00335A70"/>
    <w:rsid w:val="00335D32"/>
    <w:rsid w:val="00335D35"/>
    <w:rsid w:val="00336450"/>
    <w:rsid w:val="0033678A"/>
    <w:rsid w:val="00336C2B"/>
    <w:rsid w:val="00336D01"/>
    <w:rsid w:val="003372E2"/>
    <w:rsid w:val="00337856"/>
    <w:rsid w:val="00337D40"/>
    <w:rsid w:val="00337E64"/>
    <w:rsid w:val="003401D9"/>
    <w:rsid w:val="00340763"/>
    <w:rsid w:val="00340936"/>
    <w:rsid w:val="00341612"/>
    <w:rsid w:val="003416BC"/>
    <w:rsid w:val="00341BC6"/>
    <w:rsid w:val="00341C3B"/>
    <w:rsid w:val="00341C77"/>
    <w:rsid w:val="00341DFC"/>
    <w:rsid w:val="00341F80"/>
    <w:rsid w:val="003422D1"/>
    <w:rsid w:val="003422F6"/>
    <w:rsid w:val="00342CA4"/>
    <w:rsid w:val="00342EA8"/>
    <w:rsid w:val="00343138"/>
    <w:rsid w:val="00343526"/>
    <w:rsid w:val="00343603"/>
    <w:rsid w:val="0034412F"/>
    <w:rsid w:val="00344455"/>
    <w:rsid w:val="003448E6"/>
    <w:rsid w:val="00344C0D"/>
    <w:rsid w:val="00344D99"/>
    <w:rsid w:val="00344E8B"/>
    <w:rsid w:val="003451D4"/>
    <w:rsid w:val="00345EFF"/>
    <w:rsid w:val="00346046"/>
    <w:rsid w:val="003462AF"/>
    <w:rsid w:val="00346391"/>
    <w:rsid w:val="00346858"/>
    <w:rsid w:val="003468A2"/>
    <w:rsid w:val="00346C62"/>
    <w:rsid w:val="0034790D"/>
    <w:rsid w:val="00347C0E"/>
    <w:rsid w:val="00347CB0"/>
    <w:rsid w:val="00347D5E"/>
    <w:rsid w:val="00347F03"/>
    <w:rsid w:val="0035004C"/>
    <w:rsid w:val="003508F1"/>
    <w:rsid w:val="003509DB"/>
    <w:rsid w:val="00350B6C"/>
    <w:rsid w:val="00350BE2"/>
    <w:rsid w:val="00350DCB"/>
    <w:rsid w:val="00350EF5"/>
    <w:rsid w:val="0035184D"/>
    <w:rsid w:val="003518C8"/>
    <w:rsid w:val="00351B1D"/>
    <w:rsid w:val="00351D63"/>
    <w:rsid w:val="00351D85"/>
    <w:rsid w:val="00351FAD"/>
    <w:rsid w:val="003521AD"/>
    <w:rsid w:val="00352262"/>
    <w:rsid w:val="00352495"/>
    <w:rsid w:val="00352525"/>
    <w:rsid w:val="00352862"/>
    <w:rsid w:val="003529BB"/>
    <w:rsid w:val="00352C38"/>
    <w:rsid w:val="00352D35"/>
    <w:rsid w:val="00352F0F"/>
    <w:rsid w:val="0035317F"/>
    <w:rsid w:val="00353828"/>
    <w:rsid w:val="00353948"/>
    <w:rsid w:val="00353CF5"/>
    <w:rsid w:val="00353F14"/>
    <w:rsid w:val="003541A5"/>
    <w:rsid w:val="00354592"/>
    <w:rsid w:val="003548AA"/>
    <w:rsid w:val="003549B2"/>
    <w:rsid w:val="00354A59"/>
    <w:rsid w:val="00354E76"/>
    <w:rsid w:val="003559D6"/>
    <w:rsid w:val="00355AA9"/>
    <w:rsid w:val="00355C92"/>
    <w:rsid w:val="00355D18"/>
    <w:rsid w:val="00355E40"/>
    <w:rsid w:val="00355E53"/>
    <w:rsid w:val="00356307"/>
    <w:rsid w:val="003563E1"/>
    <w:rsid w:val="0035666F"/>
    <w:rsid w:val="003566BA"/>
    <w:rsid w:val="00356729"/>
    <w:rsid w:val="003569D8"/>
    <w:rsid w:val="00356BE5"/>
    <w:rsid w:val="00356E66"/>
    <w:rsid w:val="003573F8"/>
    <w:rsid w:val="00357556"/>
    <w:rsid w:val="00360050"/>
    <w:rsid w:val="00360071"/>
    <w:rsid w:val="00360182"/>
    <w:rsid w:val="00360637"/>
    <w:rsid w:val="0036094D"/>
    <w:rsid w:val="00360ABB"/>
    <w:rsid w:val="00360C2F"/>
    <w:rsid w:val="00360CB6"/>
    <w:rsid w:val="00361071"/>
    <w:rsid w:val="003610C9"/>
    <w:rsid w:val="00361E5B"/>
    <w:rsid w:val="00362515"/>
    <w:rsid w:val="00362789"/>
    <w:rsid w:val="0036281F"/>
    <w:rsid w:val="003629C7"/>
    <w:rsid w:val="00362C9E"/>
    <w:rsid w:val="00362FFE"/>
    <w:rsid w:val="0036305E"/>
    <w:rsid w:val="0036327E"/>
    <w:rsid w:val="003634E8"/>
    <w:rsid w:val="003635A8"/>
    <w:rsid w:val="00363827"/>
    <w:rsid w:val="0036382E"/>
    <w:rsid w:val="003638B9"/>
    <w:rsid w:val="00363A04"/>
    <w:rsid w:val="00363BC2"/>
    <w:rsid w:val="00363C6E"/>
    <w:rsid w:val="0036442E"/>
    <w:rsid w:val="003644DA"/>
    <w:rsid w:val="003646BB"/>
    <w:rsid w:val="00364C0A"/>
    <w:rsid w:val="00364DC1"/>
    <w:rsid w:val="00365174"/>
    <w:rsid w:val="00365337"/>
    <w:rsid w:val="003657BD"/>
    <w:rsid w:val="0036582A"/>
    <w:rsid w:val="00365900"/>
    <w:rsid w:val="00365C87"/>
    <w:rsid w:val="003662B1"/>
    <w:rsid w:val="003666B2"/>
    <w:rsid w:val="00366E29"/>
    <w:rsid w:val="0036739C"/>
    <w:rsid w:val="00367881"/>
    <w:rsid w:val="00367BA3"/>
    <w:rsid w:val="00367BE5"/>
    <w:rsid w:val="00367C9C"/>
    <w:rsid w:val="003701CE"/>
    <w:rsid w:val="00370D25"/>
    <w:rsid w:val="00370D55"/>
    <w:rsid w:val="00370E0E"/>
    <w:rsid w:val="0037111F"/>
    <w:rsid w:val="00371157"/>
    <w:rsid w:val="003711A9"/>
    <w:rsid w:val="0037165E"/>
    <w:rsid w:val="003716F2"/>
    <w:rsid w:val="00371993"/>
    <w:rsid w:val="00371DDC"/>
    <w:rsid w:val="00371F54"/>
    <w:rsid w:val="003722CB"/>
    <w:rsid w:val="003722D6"/>
    <w:rsid w:val="0037301E"/>
    <w:rsid w:val="00373477"/>
    <w:rsid w:val="0037361A"/>
    <w:rsid w:val="003736B4"/>
    <w:rsid w:val="0037372A"/>
    <w:rsid w:val="00373A3B"/>
    <w:rsid w:val="0037454A"/>
    <w:rsid w:val="003745A9"/>
    <w:rsid w:val="003745D5"/>
    <w:rsid w:val="003748F9"/>
    <w:rsid w:val="00374B89"/>
    <w:rsid w:val="00375271"/>
    <w:rsid w:val="003754A9"/>
    <w:rsid w:val="003754D0"/>
    <w:rsid w:val="00375C10"/>
    <w:rsid w:val="003765FC"/>
    <w:rsid w:val="00376BFC"/>
    <w:rsid w:val="00377249"/>
    <w:rsid w:val="00377280"/>
    <w:rsid w:val="0037798C"/>
    <w:rsid w:val="00377AD7"/>
    <w:rsid w:val="00377ED1"/>
    <w:rsid w:val="0038016F"/>
    <w:rsid w:val="00380377"/>
    <w:rsid w:val="003803D1"/>
    <w:rsid w:val="0038099B"/>
    <w:rsid w:val="00380DC2"/>
    <w:rsid w:val="00380DF8"/>
    <w:rsid w:val="00380EEC"/>
    <w:rsid w:val="00381135"/>
    <w:rsid w:val="0038172A"/>
    <w:rsid w:val="0038186A"/>
    <w:rsid w:val="003820B2"/>
    <w:rsid w:val="003823EA"/>
    <w:rsid w:val="003828BB"/>
    <w:rsid w:val="003829B4"/>
    <w:rsid w:val="00382C48"/>
    <w:rsid w:val="00382D2A"/>
    <w:rsid w:val="00383080"/>
    <w:rsid w:val="00383278"/>
    <w:rsid w:val="0038337D"/>
    <w:rsid w:val="00383731"/>
    <w:rsid w:val="0038383A"/>
    <w:rsid w:val="00383D45"/>
    <w:rsid w:val="00383DCA"/>
    <w:rsid w:val="00384176"/>
    <w:rsid w:val="003841C2"/>
    <w:rsid w:val="003846E8"/>
    <w:rsid w:val="0038495C"/>
    <w:rsid w:val="00384A7D"/>
    <w:rsid w:val="00384A8B"/>
    <w:rsid w:val="00384B64"/>
    <w:rsid w:val="00384BC5"/>
    <w:rsid w:val="00384BFD"/>
    <w:rsid w:val="00384EE4"/>
    <w:rsid w:val="00384F33"/>
    <w:rsid w:val="0038529E"/>
    <w:rsid w:val="00385349"/>
    <w:rsid w:val="003856DB"/>
    <w:rsid w:val="00385943"/>
    <w:rsid w:val="00385C5A"/>
    <w:rsid w:val="00385DA0"/>
    <w:rsid w:val="00385EDD"/>
    <w:rsid w:val="00385F0B"/>
    <w:rsid w:val="00386333"/>
    <w:rsid w:val="00386841"/>
    <w:rsid w:val="00386C9B"/>
    <w:rsid w:val="00386EA4"/>
    <w:rsid w:val="00386FC8"/>
    <w:rsid w:val="00387089"/>
    <w:rsid w:val="00387209"/>
    <w:rsid w:val="00387446"/>
    <w:rsid w:val="003874B7"/>
    <w:rsid w:val="00387D75"/>
    <w:rsid w:val="00387FE6"/>
    <w:rsid w:val="00390337"/>
    <w:rsid w:val="003903FD"/>
    <w:rsid w:val="00390896"/>
    <w:rsid w:val="00390A67"/>
    <w:rsid w:val="00390AC3"/>
    <w:rsid w:val="00390FBF"/>
    <w:rsid w:val="0039139D"/>
    <w:rsid w:val="003913EA"/>
    <w:rsid w:val="003914FC"/>
    <w:rsid w:val="00391738"/>
    <w:rsid w:val="0039183F"/>
    <w:rsid w:val="00391CD8"/>
    <w:rsid w:val="00391D12"/>
    <w:rsid w:val="00391E55"/>
    <w:rsid w:val="00392268"/>
    <w:rsid w:val="003922FE"/>
    <w:rsid w:val="00392446"/>
    <w:rsid w:val="00392D57"/>
    <w:rsid w:val="00392E15"/>
    <w:rsid w:val="00393058"/>
    <w:rsid w:val="0039356C"/>
    <w:rsid w:val="00393776"/>
    <w:rsid w:val="00393F7C"/>
    <w:rsid w:val="003943EA"/>
    <w:rsid w:val="003944E9"/>
    <w:rsid w:val="00394612"/>
    <w:rsid w:val="0039499C"/>
    <w:rsid w:val="00394EBF"/>
    <w:rsid w:val="00395065"/>
    <w:rsid w:val="003954BC"/>
    <w:rsid w:val="00395587"/>
    <w:rsid w:val="00395AA0"/>
    <w:rsid w:val="00395AB3"/>
    <w:rsid w:val="00395BB8"/>
    <w:rsid w:val="00397234"/>
    <w:rsid w:val="003972E0"/>
    <w:rsid w:val="00397626"/>
    <w:rsid w:val="00397DAB"/>
    <w:rsid w:val="003A0300"/>
    <w:rsid w:val="003A050B"/>
    <w:rsid w:val="003A0519"/>
    <w:rsid w:val="003A0527"/>
    <w:rsid w:val="003A149E"/>
    <w:rsid w:val="003A14A5"/>
    <w:rsid w:val="003A14D3"/>
    <w:rsid w:val="003A1616"/>
    <w:rsid w:val="003A1913"/>
    <w:rsid w:val="003A1A0A"/>
    <w:rsid w:val="003A1B19"/>
    <w:rsid w:val="003A1BF1"/>
    <w:rsid w:val="003A1EB7"/>
    <w:rsid w:val="003A2199"/>
    <w:rsid w:val="003A2B09"/>
    <w:rsid w:val="003A2D29"/>
    <w:rsid w:val="003A31B3"/>
    <w:rsid w:val="003A35AD"/>
    <w:rsid w:val="003A3ABD"/>
    <w:rsid w:val="003A3D3A"/>
    <w:rsid w:val="003A47A4"/>
    <w:rsid w:val="003A493D"/>
    <w:rsid w:val="003A5218"/>
    <w:rsid w:val="003A5277"/>
    <w:rsid w:val="003A53BA"/>
    <w:rsid w:val="003A543A"/>
    <w:rsid w:val="003A551D"/>
    <w:rsid w:val="003A597D"/>
    <w:rsid w:val="003A59DE"/>
    <w:rsid w:val="003A64B6"/>
    <w:rsid w:val="003A6954"/>
    <w:rsid w:val="003A6A1F"/>
    <w:rsid w:val="003A6C2F"/>
    <w:rsid w:val="003A70E6"/>
    <w:rsid w:val="003A7377"/>
    <w:rsid w:val="003A7393"/>
    <w:rsid w:val="003A78C5"/>
    <w:rsid w:val="003A790C"/>
    <w:rsid w:val="003A7A0C"/>
    <w:rsid w:val="003A7BC1"/>
    <w:rsid w:val="003A7CBD"/>
    <w:rsid w:val="003B0E65"/>
    <w:rsid w:val="003B0FE1"/>
    <w:rsid w:val="003B13DD"/>
    <w:rsid w:val="003B1700"/>
    <w:rsid w:val="003B1BBF"/>
    <w:rsid w:val="003B1F12"/>
    <w:rsid w:val="003B1FF4"/>
    <w:rsid w:val="003B2059"/>
    <w:rsid w:val="003B2774"/>
    <w:rsid w:val="003B2CD0"/>
    <w:rsid w:val="003B2EEE"/>
    <w:rsid w:val="003B2FC3"/>
    <w:rsid w:val="003B3008"/>
    <w:rsid w:val="003B3E5D"/>
    <w:rsid w:val="003B3F34"/>
    <w:rsid w:val="003B3F7E"/>
    <w:rsid w:val="003B418D"/>
    <w:rsid w:val="003B4190"/>
    <w:rsid w:val="003B474B"/>
    <w:rsid w:val="003B4BCF"/>
    <w:rsid w:val="003B4CCC"/>
    <w:rsid w:val="003B4F1F"/>
    <w:rsid w:val="003B51EE"/>
    <w:rsid w:val="003B524B"/>
    <w:rsid w:val="003B55B0"/>
    <w:rsid w:val="003B55BD"/>
    <w:rsid w:val="003B5B97"/>
    <w:rsid w:val="003B5C41"/>
    <w:rsid w:val="003B68AA"/>
    <w:rsid w:val="003B69B2"/>
    <w:rsid w:val="003B6B1D"/>
    <w:rsid w:val="003B6D2C"/>
    <w:rsid w:val="003B6D9B"/>
    <w:rsid w:val="003B704E"/>
    <w:rsid w:val="003B71CC"/>
    <w:rsid w:val="003B7A6E"/>
    <w:rsid w:val="003B7D6D"/>
    <w:rsid w:val="003C0470"/>
    <w:rsid w:val="003C052B"/>
    <w:rsid w:val="003C084A"/>
    <w:rsid w:val="003C128A"/>
    <w:rsid w:val="003C12A6"/>
    <w:rsid w:val="003C132D"/>
    <w:rsid w:val="003C13CC"/>
    <w:rsid w:val="003C144B"/>
    <w:rsid w:val="003C169D"/>
    <w:rsid w:val="003C1C63"/>
    <w:rsid w:val="003C1DA0"/>
    <w:rsid w:val="003C1E3A"/>
    <w:rsid w:val="003C21A6"/>
    <w:rsid w:val="003C2330"/>
    <w:rsid w:val="003C25FB"/>
    <w:rsid w:val="003C260A"/>
    <w:rsid w:val="003C2D1F"/>
    <w:rsid w:val="003C2EC6"/>
    <w:rsid w:val="003C30EC"/>
    <w:rsid w:val="003C37AE"/>
    <w:rsid w:val="003C3CF4"/>
    <w:rsid w:val="003C3EC4"/>
    <w:rsid w:val="003C3F78"/>
    <w:rsid w:val="003C4F50"/>
    <w:rsid w:val="003C5101"/>
    <w:rsid w:val="003C52C5"/>
    <w:rsid w:val="003C5532"/>
    <w:rsid w:val="003C5842"/>
    <w:rsid w:val="003C594B"/>
    <w:rsid w:val="003C5B4B"/>
    <w:rsid w:val="003C5CBD"/>
    <w:rsid w:val="003C5EDE"/>
    <w:rsid w:val="003C6486"/>
    <w:rsid w:val="003C67A3"/>
    <w:rsid w:val="003C6997"/>
    <w:rsid w:val="003C6B41"/>
    <w:rsid w:val="003C6B69"/>
    <w:rsid w:val="003C6C73"/>
    <w:rsid w:val="003C6F9A"/>
    <w:rsid w:val="003C798B"/>
    <w:rsid w:val="003C7A26"/>
    <w:rsid w:val="003C7A62"/>
    <w:rsid w:val="003C7E73"/>
    <w:rsid w:val="003D1103"/>
    <w:rsid w:val="003D11E6"/>
    <w:rsid w:val="003D19BF"/>
    <w:rsid w:val="003D1DF7"/>
    <w:rsid w:val="003D2097"/>
    <w:rsid w:val="003D28A1"/>
    <w:rsid w:val="003D3030"/>
    <w:rsid w:val="003D32A5"/>
    <w:rsid w:val="003D3BDC"/>
    <w:rsid w:val="003D3C2A"/>
    <w:rsid w:val="003D3DD8"/>
    <w:rsid w:val="003D3E74"/>
    <w:rsid w:val="003D3FD2"/>
    <w:rsid w:val="003D4180"/>
    <w:rsid w:val="003D4309"/>
    <w:rsid w:val="003D4593"/>
    <w:rsid w:val="003D4CD5"/>
    <w:rsid w:val="003D4DC3"/>
    <w:rsid w:val="003D52F6"/>
    <w:rsid w:val="003D558C"/>
    <w:rsid w:val="003D59B6"/>
    <w:rsid w:val="003D5A51"/>
    <w:rsid w:val="003D5C2A"/>
    <w:rsid w:val="003D5D76"/>
    <w:rsid w:val="003D6412"/>
    <w:rsid w:val="003D648D"/>
    <w:rsid w:val="003D6993"/>
    <w:rsid w:val="003D69EA"/>
    <w:rsid w:val="003D6B90"/>
    <w:rsid w:val="003D6D6F"/>
    <w:rsid w:val="003D6DF4"/>
    <w:rsid w:val="003D6E82"/>
    <w:rsid w:val="003D705E"/>
    <w:rsid w:val="003D7071"/>
    <w:rsid w:val="003D78C6"/>
    <w:rsid w:val="003D7945"/>
    <w:rsid w:val="003D7A1F"/>
    <w:rsid w:val="003D7C36"/>
    <w:rsid w:val="003D7FE0"/>
    <w:rsid w:val="003E058C"/>
    <w:rsid w:val="003E0791"/>
    <w:rsid w:val="003E12E6"/>
    <w:rsid w:val="003E163A"/>
    <w:rsid w:val="003E1BDB"/>
    <w:rsid w:val="003E2983"/>
    <w:rsid w:val="003E2BC6"/>
    <w:rsid w:val="003E2C26"/>
    <w:rsid w:val="003E3BD5"/>
    <w:rsid w:val="003E3FE9"/>
    <w:rsid w:val="003E418C"/>
    <w:rsid w:val="003E45D9"/>
    <w:rsid w:val="003E4882"/>
    <w:rsid w:val="003E48F8"/>
    <w:rsid w:val="003E4F78"/>
    <w:rsid w:val="003E53B5"/>
    <w:rsid w:val="003E55C6"/>
    <w:rsid w:val="003E58E6"/>
    <w:rsid w:val="003E5A7D"/>
    <w:rsid w:val="003E6179"/>
    <w:rsid w:val="003E622C"/>
    <w:rsid w:val="003E627E"/>
    <w:rsid w:val="003E66EB"/>
    <w:rsid w:val="003E6DE0"/>
    <w:rsid w:val="003E7326"/>
    <w:rsid w:val="003E7670"/>
    <w:rsid w:val="003E7AED"/>
    <w:rsid w:val="003E7BC6"/>
    <w:rsid w:val="003F008B"/>
    <w:rsid w:val="003F01C5"/>
    <w:rsid w:val="003F0298"/>
    <w:rsid w:val="003F0582"/>
    <w:rsid w:val="003F0FAF"/>
    <w:rsid w:val="003F11F6"/>
    <w:rsid w:val="003F1510"/>
    <w:rsid w:val="003F18DA"/>
    <w:rsid w:val="003F1949"/>
    <w:rsid w:val="003F1B63"/>
    <w:rsid w:val="003F1E9B"/>
    <w:rsid w:val="003F1FB5"/>
    <w:rsid w:val="003F211A"/>
    <w:rsid w:val="003F21EE"/>
    <w:rsid w:val="003F25DE"/>
    <w:rsid w:val="003F2867"/>
    <w:rsid w:val="003F28DE"/>
    <w:rsid w:val="003F2EB1"/>
    <w:rsid w:val="003F2FF4"/>
    <w:rsid w:val="003F38DA"/>
    <w:rsid w:val="003F3B72"/>
    <w:rsid w:val="003F3B97"/>
    <w:rsid w:val="003F3EA4"/>
    <w:rsid w:val="003F3FDF"/>
    <w:rsid w:val="003F55AB"/>
    <w:rsid w:val="003F55C2"/>
    <w:rsid w:val="003F5960"/>
    <w:rsid w:val="003F5F9A"/>
    <w:rsid w:val="003F61FA"/>
    <w:rsid w:val="003F6227"/>
    <w:rsid w:val="003F6432"/>
    <w:rsid w:val="003F658C"/>
    <w:rsid w:val="003F67D2"/>
    <w:rsid w:val="003F696E"/>
    <w:rsid w:val="003F6ADE"/>
    <w:rsid w:val="003F6C4F"/>
    <w:rsid w:val="003F6F37"/>
    <w:rsid w:val="003F6F47"/>
    <w:rsid w:val="003F7721"/>
    <w:rsid w:val="003F7844"/>
    <w:rsid w:val="003F7D12"/>
    <w:rsid w:val="004001D0"/>
    <w:rsid w:val="004003A8"/>
    <w:rsid w:val="004003D2"/>
    <w:rsid w:val="00401540"/>
    <w:rsid w:val="00401996"/>
    <w:rsid w:val="00401CC2"/>
    <w:rsid w:val="004024C0"/>
    <w:rsid w:val="004029E6"/>
    <w:rsid w:val="00402CA6"/>
    <w:rsid w:val="00402F23"/>
    <w:rsid w:val="00403105"/>
    <w:rsid w:val="0040373B"/>
    <w:rsid w:val="0040383E"/>
    <w:rsid w:val="00403862"/>
    <w:rsid w:val="00403C07"/>
    <w:rsid w:val="00403E0F"/>
    <w:rsid w:val="00403EB3"/>
    <w:rsid w:val="00404051"/>
    <w:rsid w:val="004041A3"/>
    <w:rsid w:val="0040442D"/>
    <w:rsid w:val="004046C7"/>
    <w:rsid w:val="004048C9"/>
    <w:rsid w:val="00404A34"/>
    <w:rsid w:val="00404EE8"/>
    <w:rsid w:val="00404EF0"/>
    <w:rsid w:val="00404FC0"/>
    <w:rsid w:val="004051FF"/>
    <w:rsid w:val="00405400"/>
    <w:rsid w:val="0040561D"/>
    <w:rsid w:val="004057EE"/>
    <w:rsid w:val="004059AD"/>
    <w:rsid w:val="00405FD0"/>
    <w:rsid w:val="00406174"/>
    <w:rsid w:val="004063C6"/>
    <w:rsid w:val="00406634"/>
    <w:rsid w:val="00406885"/>
    <w:rsid w:val="00406C7B"/>
    <w:rsid w:val="00406F25"/>
    <w:rsid w:val="0040709C"/>
    <w:rsid w:val="004071DD"/>
    <w:rsid w:val="0040731C"/>
    <w:rsid w:val="00407A6A"/>
    <w:rsid w:val="00410556"/>
    <w:rsid w:val="004107ED"/>
    <w:rsid w:val="00410AE2"/>
    <w:rsid w:val="00410B07"/>
    <w:rsid w:val="00410BAC"/>
    <w:rsid w:val="00410EE6"/>
    <w:rsid w:val="00410F69"/>
    <w:rsid w:val="0041103A"/>
    <w:rsid w:val="0041130D"/>
    <w:rsid w:val="004114CE"/>
    <w:rsid w:val="004115DD"/>
    <w:rsid w:val="004117F7"/>
    <w:rsid w:val="00411B20"/>
    <w:rsid w:val="00411C8B"/>
    <w:rsid w:val="00412021"/>
    <w:rsid w:val="00412562"/>
    <w:rsid w:val="0041258C"/>
    <w:rsid w:val="004129E4"/>
    <w:rsid w:val="00412B4A"/>
    <w:rsid w:val="00412C9B"/>
    <w:rsid w:val="00412E49"/>
    <w:rsid w:val="00413452"/>
    <w:rsid w:val="00413A27"/>
    <w:rsid w:val="00413B6A"/>
    <w:rsid w:val="00413BDF"/>
    <w:rsid w:val="00413DD0"/>
    <w:rsid w:val="0041427E"/>
    <w:rsid w:val="004145CF"/>
    <w:rsid w:val="004147B3"/>
    <w:rsid w:val="00414EA9"/>
    <w:rsid w:val="004150EC"/>
    <w:rsid w:val="00415AA0"/>
    <w:rsid w:val="00415C85"/>
    <w:rsid w:val="00415EEC"/>
    <w:rsid w:val="00416180"/>
    <w:rsid w:val="0041639F"/>
    <w:rsid w:val="00416A06"/>
    <w:rsid w:val="004170FD"/>
    <w:rsid w:val="00417DF5"/>
    <w:rsid w:val="004200E5"/>
    <w:rsid w:val="0042032F"/>
    <w:rsid w:val="004214FB"/>
    <w:rsid w:val="0042158D"/>
    <w:rsid w:val="00422996"/>
    <w:rsid w:val="004230A7"/>
    <w:rsid w:val="0042315D"/>
    <w:rsid w:val="0042354C"/>
    <w:rsid w:val="00423A67"/>
    <w:rsid w:val="00424223"/>
    <w:rsid w:val="0042445C"/>
    <w:rsid w:val="00424926"/>
    <w:rsid w:val="00424A9F"/>
    <w:rsid w:val="00424C20"/>
    <w:rsid w:val="00425039"/>
    <w:rsid w:val="004253B3"/>
    <w:rsid w:val="00425710"/>
    <w:rsid w:val="00425804"/>
    <w:rsid w:val="00425A55"/>
    <w:rsid w:val="00425D28"/>
    <w:rsid w:val="00425F39"/>
    <w:rsid w:val="0042617D"/>
    <w:rsid w:val="004267A1"/>
    <w:rsid w:val="004267A9"/>
    <w:rsid w:val="004267DA"/>
    <w:rsid w:val="00426927"/>
    <w:rsid w:val="00426C2C"/>
    <w:rsid w:val="00426D09"/>
    <w:rsid w:val="00426E65"/>
    <w:rsid w:val="00426E81"/>
    <w:rsid w:val="00427249"/>
    <w:rsid w:val="00427451"/>
    <w:rsid w:val="004274E0"/>
    <w:rsid w:val="00427578"/>
    <w:rsid w:val="0042773F"/>
    <w:rsid w:val="00427988"/>
    <w:rsid w:val="00427A88"/>
    <w:rsid w:val="00427EFD"/>
    <w:rsid w:val="004301D4"/>
    <w:rsid w:val="00430499"/>
    <w:rsid w:val="00430634"/>
    <w:rsid w:val="004306EB"/>
    <w:rsid w:val="004306FC"/>
    <w:rsid w:val="00430AD9"/>
    <w:rsid w:val="00430B87"/>
    <w:rsid w:val="00430BE8"/>
    <w:rsid w:val="00430FB1"/>
    <w:rsid w:val="004312D8"/>
    <w:rsid w:val="004320DF"/>
    <w:rsid w:val="00432248"/>
    <w:rsid w:val="004322F9"/>
    <w:rsid w:val="00432A2A"/>
    <w:rsid w:val="00433337"/>
    <w:rsid w:val="004335E8"/>
    <w:rsid w:val="00433A21"/>
    <w:rsid w:val="00433B80"/>
    <w:rsid w:val="00433D99"/>
    <w:rsid w:val="0043405E"/>
    <w:rsid w:val="0043478A"/>
    <w:rsid w:val="00435880"/>
    <w:rsid w:val="00435C6A"/>
    <w:rsid w:val="00435E7A"/>
    <w:rsid w:val="00435F45"/>
    <w:rsid w:val="00435F96"/>
    <w:rsid w:val="00436288"/>
    <w:rsid w:val="004365EE"/>
    <w:rsid w:val="00436CA8"/>
    <w:rsid w:val="00436DB3"/>
    <w:rsid w:val="00436E79"/>
    <w:rsid w:val="00436E9F"/>
    <w:rsid w:val="00436FA8"/>
    <w:rsid w:val="004371CA"/>
    <w:rsid w:val="004372A9"/>
    <w:rsid w:val="0043794E"/>
    <w:rsid w:val="00437D0F"/>
    <w:rsid w:val="00437F20"/>
    <w:rsid w:val="004402C6"/>
    <w:rsid w:val="00440906"/>
    <w:rsid w:val="00440A95"/>
    <w:rsid w:val="00440E63"/>
    <w:rsid w:val="00441478"/>
    <w:rsid w:val="00441A09"/>
    <w:rsid w:val="004425EB"/>
    <w:rsid w:val="00442FBC"/>
    <w:rsid w:val="00443071"/>
    <w:rsid w:val="00443A69"/>
    <w:rsid w:val="00443D0F"/>
    <w:rsid w:val="00443F47"/>
    <w:rsid w:val="00444131"/>
    <w:rsid w:val="0044447D"/>
    <w:rsid w:val="00444613"/>
    <w:rsid w:val="00444930"/>
    <w:rsid w:val="004449E6"/>
    <w:rsid w:val="00444A34"/>
    <w:rsid w:val="00444EF4"/>
    <w:rsid w:val="00444FF1"/>
    <w:rsid w:val="00445238"/>
    <w:rsid w:val="00445543"/>
    <w:rsid w:val="00445892"/>
    <w:rsid w:val="004458FB"/>
    <w:rsid w:val="00445CD4"/>
    <w:rsid w:val="00445DD6"/>
    <w:rsid w:val="004464DC"/>
    <w:rsid w:val="00446549"/>
    <w:rsid w:val="00446591"/>
    <w:rsid w:val="00446659"/>
    <w:rsid w:val="004466D5"/>
    <w:rsid w:val="00446B13"/>
    <w:rsid w:val="00446CFC"/>
    <w:rsid w:val="00447AD5"/>
    <w:rsid w:val="00447E0C"/>
    <w:rsid w:val="004503F4"/>
    <w:rsid w:val="0045050B"/>
    <w:rsid w:val="00450DF7"/>
    <w:rsid w:val="00450DFA"/>
    <w:rsid w:val="00450F62"/>
    <w:rsid w:val="00451571"/>
    <w:rsid w:val="004515ED"/>
    <w:rsid w:val="0045169E"/>
    <w:rsid w:val="0045191B"/>
    <w:rsid w:val="00451D26"/>
    <w:rsid w:val="00451DE1"/>
    <w:rsid w:val="00451E49"/>
    <w:rsid w:val="00452224"/>
    <w:rsid w:val="0045222C"/>
    <w:rsid w:val="00452439"/>
    <w:rsid w:val="00452503"/>
    <w:rsid w:val="00452685"/>
    <w:rsid w:val="00452F31"/>
    <w:rsid w:val="00453B02"/>
    <w:rsid w:val="00453E6A"/>
    <w:rsid w:val="0045426E"/>
    <w:rsid w:val="0045435D"/>
    <w:rsid w:val="0045460F"/>
    <w:rsid w:val="004546BF"/>
    <w:rsid w:val="004546DA"/>
    <w:rsid w:val="0045480C"/>
    <w:rsid w:val="00455109"/>
    <w:rsid w:val="00455466"/>
    <w:rsid w:val="00455C43"/>
    <w:rsid w:val="00455EA5"/>
    <w:rsid w:val="00455F33"/>
    <w:rsid w:val="004560DB"/>
    <w:rsid w:val="00456D56"/>
    <w:rsid w:val="00456D7B"/>
    <w:rsid w:val="004575AF"/>
    <w:rsid w:val="00457651"/>
    <w:rsid w:val="004576DC"/>
    <w:rsid w:val="004577C8"/>
    <w:rsid w:val="004577FE"/>
    <w:rsid w:val="00460001"/>
    <w:rsid w:val="00460329"/>
    <w:rsid w:val="004609F7"/>
    <w:rsid w:val="00460A9A"/>
    <w:rsid w:val="00461190"/>
    <w:rsid w:val="00461644"/>
    <w:rsid w:val="00461803"/>
    <w:rsid w:val="00461987"/>
    <w:rsid w:val="00461E0F"/>
    <w:rsid w:val="00461F61"/>
    <w:rsid w:val="004620E3"/>
    <w:rsid w:val="00462186"/>
    <w:rsid w:val="004626FE"/>
    <w:rsid w:val="00462842"/>
    <w:rsid w:val="004629A4"/>
    <w:rsid w:val="00462B07"/>
    <w:rsid w:val="00462EF7"/>
    <w:rsid w:val="00463069"/>
    <w:rsid w:val="0046309F"/>
    <w:rsid w:val="004632C9"/>
    <w:rsid w:val="00463AA1"/>
    <w:rsid w:val="00463AD8"/>
    <w:rsid w:val="00463DAF"/>
    <w:rsid w:val="00464019"/>
    <w:rsid w:val="004642CC"/>
    <w:rsid w:val="0046447E"/>
    <w:rsid w:val="004645B2"/>
    <w:rsid w:val="00464905"/>
    <w:rsid w:val="00464932"/>
    <w:rsid w:val="00464A91"/>
    <w:rsid w:val="00464B29"/>
    <w:rsid w:val="00464CD9"/>
    <w:rsid w:val="00464F70"/>
    <w:rsid w:val="00465261"/>
    <w:rsid w:val="00465789"/>
    <w:rsid w:val="004657C3"/>
    <w:rsid w:val="004658A0"/>
    <w:rsid w:val="00465A25"/>
    <w:rsid w:val="00465A6C"/>
    <w:rsid w:val="00465FFC"/>
    <w:rsid w:val="004660A0"/>
    <w:rsid w:val="004663DC"/>
    <w:rsid w:val="0046654E"/>
    <w:rsid w:val="00466948"/>
    <w:rsid w:val="00466B8E"/>
    <w:rsid w:val="00467150"/>
    <w:rsid w:val="00467157"/>
    <w:rsid w:val="0046720B"/>
    <w:rsid w:val="0046787B"/>
    <w:rsid w:val="004678E3"/>
    <w:rsid w:val="00467A50"/>
    <w:rsid w:val="00467B6A"/>
    <w:rsid w:val="00467C09"/>
    <w:rsid w:val="00467DC3"/>
    <w:rsid w:val="00467FA1"/>
    <w:rsid w:val="0047039B"/>
    <w:rsid w:val="00470410"/>
    <w:rsid w:val="0047041A"/>
    <w:rsid w:val="004706D1"/>
    <w:rsid w:val="004708BB"/>
    <w:rsid w:val="00470A57"/>
    <w:rsid w:val="00470ABB"/>
    <w:rsid w:val="00470FDB"/>
    <w:rsid w:val="00470FF3"/>
    <w:rsid w:val="00471204"/>
    <w:rsid w:val="004717E4"/>
    <w:rsid w:val="00471E35"/>
    <w:rsid w:val="00471FE6"/>
    <w:rsid w:val="0047226F"/>
    <w:rsid w:val="004724B2"/>
    <w:rsid w:val="00472E27"/>
    <w:rsid w:val="00473304"/>
    <w:rsid w:val="00473390"/>
    <w:rsid w:val="0047360A"/>
    <w:rsid w:val="00473B1E"/>
    <w:rsid w:val="00473E62"/>
    <w:rsid w:val="00474140"/>
    <w:rsid w:val="0047414E"/>
    <w:rsid w:val="0047453E"/>
    <w:rsid w:val="004746DD"/>
    <w:rsid w:val="004747DE"/>
    <w:rsid w:val="00474A40"/>
    <w:rsid w:val="00475090"/>
    <w:rsid w:val="0047525D"/>
    <w:rsid w:val="0047556E"/>
    <w:rsid w:val="00475820"/>
    <w:rsid w:val="00475BA9"/>
    <w:rsid w:val="00475DCE"/>
    <w:rsid w:val="00476005"/>
    <w:rsid w:val="00476330"/>
    <w:rsid w:val="00476589"/>
    <w:rsid w:val="004766DB"/>
    <w:rsid w:val="00476789"/>
    <w:rsid w:val="00476843"/>
    <w:rsid w:val="00476AC5"/>
    <w:rsid w:val="00476C79"/>
    <w:rsid w:val="004776AF"/>
    <w:rsid w:val="0047770F"/>
    <w:rsid w:val="00477B8A"/>
    <w:rsid w:val="00477BB4"/>
    <w:rsid w:val="00477D38"/>
    <w:rsid w:val="00477EAB"/>
    <w:rsid w:val="00480031"/>
    <w:rsid w:val="00480066"/>
    <w:rsid w:val="00480102"/>
    <w:rsid w:val="004801B7"/>
    <w:rsid w:val="004803DB"/>
    <w:rsid w:val="004804CA"/>
    <w:rsid w:val="0048058B"/>
    <w:rsid w:val="004806A0"/>
    <w:rsid w:val="00480C38"/>
    <w:rsid w:val="00482531"/>
    <w:rsid w:val="00482720"/>
    <w:rsid w:val="004835BB"/>
    <w:rsid w:val="00483EBB"/>
    <w:rsid w:val="00484373"/>
    <w:rsid w:val="0048458E"/>
    <w:rsid w:val="00484947"/>
    <w:rsid w:val="00484C07"/>
    <w:rsid w:val="00484C88"/>
    <w:rsid w:val="004850AF"/>
    <w:rsid w:val="0048512D"/>
    <w:rsid w:val="004856C8"/>
    <w:rsid w:val="00485774"/>
    <w:rsid w:val="0048593E"/>
    <w:rsid w:val="0048633E"/>
    <w:rsid w:val="00486480"/>
    <w:rsid w:val="004866A0"/>
    <w:rsid w:val="004867BB"/>
    <w:rsid w:val="00486D0D"/>
    <w:rsid w:val="00486D28"/>
    <w:rsid w:val="00486F06"/>
    <w:rsid w:val="0048731B"/>
    <w:rsid w:val="00487394"/>
    <w:rsid w:val="0048744A"/>
    <w:rsid w:val="00487495"/>
    <w:rsid w:val="004874EB"/>
    <w:rsid w:val="00487AE4"/>
    <w:rsid w:val="00487E60"/>
    <w:rsid w:val="00490207"/>
    <w:rsid w:val="0049064A"/>
    <w:rsid w:val="0049165B"/>
    <w:rsid w:val="00491B30"/>
    <w:rsid w:val="00491E59"/>
    <w:rsid w:val="00492243"/>
    <w:rsid w:val="00492535"/>
    <w:rsid w:val="004925FC"/>
    <w:rsid w:val="00492885"/>
    <w:rsid w:val="0049290D"/>
    <w:rsid w:val="00492BC9"/>
    <w:rsid w:val="00492C59"/>
    <w:rsid w:val="00493034"/>
    <w:rsid w:val="00493129"/>
    <w:rsid w:val="00493BB6"/>
    <w:rsid w:val="00493E8F"/>
    <w:rsid w:val="00494091"/>
    <w:rsid w:val="00494110"/>
    <w:rsid w:val="00494491"/>
    <w:rsid w:val="00494881"/>
    <w:rsid w:val="00494A2C"/>
    <w:rsid w:val="00494C6A"/>
    <w:rsid w:val="00494DD0"/>
    <w:rsid w:val="004950FA"/>
    <w:rsid w:val="004959F2"/>
    <w:rsid w:val="00495A26"/>
    <w:rsid w:val="00495BA7"/>
    <w:rsid w:val="00495E5E"/>
    <w:rsid w:val="004962D8"/>
    <w:rsid w:val="00496572"/>
    <w:rsid w:val="00496757"/>
    <w:rsid w:val="004968BD"/>
    <w:rsid w:val="00496D66"/>
    <w:rsid w:val="004974CA"/>
    <w:rsid w:val="004976F1"/>
    <w:rsid w:val="0049793E"/>
    <w:rsid w:val="00497D18"/>
    <w:rsid w:val="00497ECD"/>
    <w:rsid w:val="004A00D7"/>
    <w:rsid w:val="004A0411"/>
    <w:rsid w:val="004A0C13"/>
    <w:rsid w:val="004A1112"/>
    <w:rsid w:val="004A18DD"/>
    <w:rsid w:val="004A1A28"/>
    <w:rsid w:val="004A1B75"/>
    <w:rsid w:val="004A1C2B"/>
    <w:rsid w:val="004A1C43"/>
    <w:rsid w:val="004A1D6D"/>
    <w:rsid w:val="004A1F41"/>
    <w:rsid w:val="004A20F2"/>
    <w:rsid w:val="004A258E"/>
    <w:rsid w:val="004A2BD9"/>
    <w:rsid w:val="004A2EBB"/>
    <w:rsid w:val="004A31CF"/>
    <w:rsid w:val="004A346B"/>
    <w:rsid w:val="004A38B0"/>
    <w:rsid w:val="004A3945"/>
    <w:rsid w:val="004A396F"/>
    <w:rsid w:val="004A3BD1"/>
    <w:rsid w:val="004A3CB2"/>
    <w:rsid w:val="004A3D70"/>
    <w:rsid w:val="004A3E30"/>
    <w:rsid w:val="004A40A8"/>
    <w:rsid w:val="004A4126"/>
    <w:rsid w:val="004A41AA"/>
    <w:rsid w:val="004A445F"/>
    <w:rsid w:val="004A44ED"/>
    <w:rsid w:val="004A4772"/>
    <w:rsid w:val="004A497F"/>
    <w:rsid w:val="004A4C74"/>
    <w:rsid w:val="004A5000"/>
    <w:rsid w:val="004A505C"/>
    <w:rsid w:val="004A52A0"/>
    <w:rsid w:val="004A551F"/>
    <w:rsid w:val="004A57C1"/>
    <w:rsid w:val="004A5D2B"/>
    <w:rsid w:val="004A6160"/>
    <w:rsid w:val="004A6611"/>
    <w:rsid w:val="004A6622"/>
    <w:rsid w:val="004A6F16"/>
    <w:rsid w:val="004A6FBE"/>
    <w:rsid w:val="004A702C"/>
    <w:rsid w:val="004A711B"/>
    <w:rsid w:val="004A7D4E"/>
    <w:rsid w:val="004B0538"/>
    <w:rsid w:val="004B065D"/>
    <w:rsid w:val="004B070F"/>
    <w:rsid w:val="004B0874"/>
    <w:rsid w:val="004B0901"/>
    <w:rsid w:val="004B0964"/>
    <w:rsid w:val="004B0C1F"/>
    <w:rsid w:val="004B0CEF"/>
    <w:rsid w:val="004B1433"/>
    <w:rsid w:val="004B1DAC"/>
    <w:rsid w:val="004B202F"/>
    <w:rsid w:val="004B29FE"/>
    <w:rsid w:val="004B2DAC"/>
    <w:rsid w:val="004B320C"/>
    <w:rsid w:val="004B35BF"/>
    <w:rsid w:val="004B3786"/>
    <w:rsid w:val="004B3911"/>
    <w:rsid w:val="004B3B8C"/>
    <w:rsid w:val="004B4016"/>
    <w:rsid w:val="004B4373"/>
    <w:rsid w:val="004B475D"/>
    <w:rsid w:val="004B4987"/>
    <w:rsid w:val="004B4A4B"/>
    <w:rsid w:val="004B4C04"/>
    <w:rsid w:val="004B4C9C"/>
    <w:rsid w:val="004B535B"/>
    <w:rsid w:val="004B53AE"/>
    <w:rsid w:val="004B5544"/>
    <w:rsid w:val="004B5744"/>
    <w:rsid w:val="004B5798"/>
    <w:rsid w:val="004B5A8E"/>
    <w:rsid w:val="004B5B84"/>
    <w:rsid w:val="004B5BD3"/>
    <w:rsid w:val="004B609F"/>
    <w:rsid w:val="004B6399"/>
    <w:rsid w:val="004B6AD0"/>
    <w:rsid w:val="004B740C"/>
    <w:rsid w:val="004B743A"/>
    <w:rsid w:val="004B753F"/>
    <w:rsid w:val="004B7ACC"/>
    <w:rsid w:val="004B7B13"/>
    <w:rsid w:val="004B7D20"/>
    <w:rsid w:val="004B7E58"/>
    <w:rsid w:val="004B7F8A"/>
    <w:rsid w:val="004C0348"/>
    <w:rsid w:val="004C095B"/>
    <w:rsid w:val="004C0BFB"/>
    <w:rsid w:val="004C103B"/>
    <w:rsid w:val="004C119C"/>
    <w:rsid w:val="004C1252"/>
    <w:rsid w:val="004C1B07"/>
    <w:rsid w:val="004C1B82"/>
    <w:rsid w:val="004C22A3"/>
    <w:rsid w:val="004C28B5"/>
    <w:rsid w:val="004C2914"/>
    <w:rsid w:val="004C2E4D"/>
    <w:rsid w:val="004C2FC1"/>
    <w:rsid w:val="004C36AA"/>
    <w:rsid w:val="004C3973"/>
    <w:rsid w:val="004C3C8B"/>
    <w:rsid w:val="004C3D60"/>
    <w:rsid w:val="004C41E3"/>
    <w:rsid w:val="004C466E"/>
    <w:rsid w:val="004C48E6"/>
    <w:rsid w:val="004C4AA9"/>
    <w:rsid w:val="004C4B28"/>
    <w:rsid w:val="004C50FF"/>
    <w:rsid w:val="004C5442"/>
    <w:rsid w:val="004C5679"/>
    <w:rsid w:val="004C5E83"/>
    <w:rsid w:val="004C5EC0"/>
    <w:rsid w:val="004C5EDE"/>
    <w:rsid w:val="004C5F0F"/>
    <w:rsid w:val="004C5FBF"/>
    <w:rsid w:val="004C6552"/>
    <w:rsid w:val="004C6670"/>
    <w:rsid w:val="004C72C4"/>
    <w:rsid w:val="004C7524"/>
    <w:rsid w:val="004C7F39"/>
    <w:rsid w:val="004D00F8"/>
    <w:rsid w:val="004D08E7"/>
    <w:rsid w:val="004D0C51"/>
    <w:rsid w:val="004D0D90"/>
    <w:rsid w:val="004D107C"/>
    <w:rsid w:val="004D1507"/>
    <w:rsid w:val="004D19CD"/>
    <w:rsid w:val="004D1A75"/>
    <w:rsid w:val="004D1CD6"/>
    <w:rsid w:val="004D1D93"/>
    <w:rsid w:val="004D1DC1"/>
    <w:rsid w:val="004D2800"/>
    <w:rsid w:val="004D2B0E"/>
    <w:rsid w:val="004D2DDD"/>
    <w:rsid w:val="004D3689"/>
    <w:rsid w:val="004D37E6"/>
    <w:rsid w:val="004D42C5"/>
    <w:rsid w:val="004D46DE"/>
    <w:rsid w:val="004D4711"/>
    <w:rsid w:val="004D4835"/>
    <w:rsid w:val="004D48DE"/>
    <w:rsid w:val="004D4912"/>
    <w:rsid w:val="004D4D3B"/>
    <w:rsid w:val="004D4F1D"/>
    <w:rsid w:val="004D502A"/>
    <w:rsid w:val="004D5171"/>
    <w:rsid w:val="004D51DA"/>
    <w:rsid w:val="004D5407"/>
    <w:rsid w:val="004D54C5"/>
    <w:rsid w:val="004D5A55"/>
    <w:rsid w:val="004D5DE8"/>
    <w:rsid w:val="004D67D9"/>
    <w:rsid w:val="004D6A37"/>
    <w:rsid w:val="004D6E88"/>
    <w:rsid w:val="004D776C"/>
    <w:rsid w:val="004D7AC5"/>
    <w:rsid w:val="004D7AEB"/>
    <w:rsid w:val="004D7D55"/>
    <w:rsid w:val="004D7E17"/>
    <w:rsid w:val="004E0162"/>
    <w:rsid w:val="004E0217"/>
    <w:rsid w:val="004E064F"/>
    <w:rsid w:val="004E075D"/>
    <w:rsid w:val="004E08F5"/>
    <w:rsid w:val="004E0982"/>
    <w:rsid w:val="004E09D3"/>
    <w:rsid w:val="004E0FFB"/>
    <w:rsid w:val="004E1523"/>
    <w:rsid w:val="004E15D6"/>
    <w:rsid w:val="004E16AE"/>
    <w:rsid w:val="004E1B52"/>
    <w:rsid w:val="004E1B6E"/>
    <w:rsid w:val="004E1BF7"/>
    <w:rsid w:val="004E1F25"/>
    <w:rsid w:val="004E2068"/>
    <w:rsid w:val="004E237D"/>
    <w:rsid w:val="004E2A9C"/>
    <w:rsid w:val="004E2C2F"/>
    <w:rsid w:val="004E2D3D"/>
    <w:rsid w:val="004E3259"/>
    <w:rsid w:val="004E342F"/>
    <w:rsid w:val="004E3673"/>
    <w:rsid w:val="004E3740"/>
    <w:rsid w:val="004E37BB"/>
    <w:rsid w:val="004E3900"/>
    <w:rsid w:val="004E3912"/>
    <w:rsid w:val="004E3AA5"/>
    <w:rsid w:val="004E3AA6"/>
    <w:rsid w:val="004E3F02"/>
    <w:rsid w:val="004E3F2F"/>
    <w:rsid w:val="004E3F3D"/>
    <w:rsid w:val="004E47E3"/>
    <w:rsid w:val="004E4955"/>
    <w:rsid w:val="004E4C5E"/>
    <w:rsid w:val="004E4FC9"/>
    <w:rsid w:val="004E517F"/>
    <w:rsid w:val="004E59CF"/>
    <w:rsid w:val="004E5D18"/>
    <w:rsid w:val="004E5FD2"/>
    <w:rsid w:val="004E63A9"/>
    <w:rsid w:val="004E6602"/>
    <w:rsid w:val="004E682C"/>
    <w:rsid w:val="004E7511"/>
    <w:rsid w:val="004E784D"/>
    <w:rsid w:val="004E7C8F"/>
    <w:rsid w:val="004E7CD3"/>
    <w:rsid w:val="004F0028"/>
    <w:rsid w:val="004F00B8"/>
    <w:rsid w:val="004F07CD"/>
    <w:rsid w:val="004F07D7"/>
    <w:rsid w:val="004F0B07"/>
    <w:rsid w:val="004F0EED"/>
    <w:rsid w:val="004F1103"/>
    <w:rsid w:val="004F1BB2"/>
    <w:rsid w:val="004F20BB"/>
    <w:rsid w:val="004F21F5"/>
    <w:rsid w:val="004F21FD"/>
    <w:rsid w:val="004F236E"/>
    <w:rsid w:val="004F2433"/>
    <w:rsid w:val="004F2651"/>
    <w:rsid w:val="004F26E0"/>
    <w:rsid w:val="004F2990"/>
    <w:rsid w:val="004F2A73"/>
    <w:rsid w:val="004F2C20"/>
    <w:rsid w:val="004F2EE8"/>
    <w:rsid w:val="004F33D1"/>
    <w:rsid w:val="004F34ED"/>
    <w:rsid w:val="004F393E"/>
    <w:rsid w:val="004F3B19"/>
    <w:rsid w:val="004F40ED"/>
    <w:rsid w:val="004F4692"/>
    <w:rsid w:val="004F47AF"/>
    <w:rsid w:val="004F4A27"/>
    <w:rsid w:val="004F4A86"/>
    <w:rsid w:val="004F4ACF"/>
    <w:rsid w:val="004F4CD9"/>
    <w:rsid w:val="004F4D67"/>
    <w:rsid w:val="004F5197"/>
    <w:rsid w:val="004F5318"/>
    <w:rsid w:val="004F6097"/>
    <w:rsid w:val="004F67CF"/>
    <w:rsid w:val="004F6EED"/>
    <w:rsid w:val="004F6EF0"/>
    <w:rsid w:val="004F71D9"/>
    <w:rsid w:val="004F7241"/>
    <w:rsid w:val="004F73DC"/>
    <w:rsid w:val="004F742C"/>
    <w:rsid w:val="004F7AE4"/>
    <w:rsid w:val="004F7F50"/>
    <w:rsid w:val="0050008B"/>
    <w:rsid w:val="00500511"/>
    <w:rsid w:val="0050056B"/>
    <w:rsid w:val="0050065A"/>
    <w:rsid w:val="0050115A"/>
    <w:rsid w:val="005017E7"/>
    <w:rsid w:val="00501F90"/>
    <w:rsid w:val="005021F1"/>
    <w:rsid w:val="005027F5"/>
    <w:rsid w:val="0050296C"/>
    <w:rsid w:val="005031AA"/>
    <w:rsid w:val="005032EC"/>
    <w:rsid w:val="005032F8"/>
    <w:rsid w:val="00503496"/>
    <w:rsid w:val="00503A93"/>
    <w:rsid w:val="00504023"/>
    <w:rsid w:val="005042A7"/>
    <w:rsid w:val="0050472A"/>
    <w:rsid w:val="00504B2D"/>
    <w:rsid w:val="00504D5B"/>
    <w:rsid w:val="00505381"/>
    <w:rsid w:val="0050541B"/>
    <w:rsid w:val="00505621"/>
    <w:rsid w:val="00505870"/>
    <w:rsid w:val="00505F58"/>
    <w:rsid w:val="00506151"/>
    <w:rsid w:val="00506606"/>
    <w:rsid w:val="00506732"/>
    <w:rsid w:val="00506CDE"/>
    <w:rsid w:val="00506DDC"/>
    <w:rsid w:val="00507061"/>
    <w:rsid w:val="0050715A"/>
    <w:rsid w:val="0050741D"/>
    <w:rsid w:val="00507622"/>
    <w:rsid w:val="00507978"/>
    <w:rsid w:val="00507A08"/>
    <w:rsid w:val="00507CDF"/>
    <w:rsid w:val="00510651"/>
    <w:rsid w:val="00510E40"/>
    <w:rsid w:val="00511002"/>
    <w:rsid w:val="00511476"/>
    <w:rsid w:val="0051167C"/>
    <w:rsid w:val="00511935"/>
    <w:rsid w:val="0051199C"/>
    <w:rsid w:val="005120F7"/>
    <w:rsid w:val="00512417"/>
    <w:rsid w:val="00512BEA"/>
    <w:rsid w:val="00512EB1"/>
    <w:rsid w:val="005132BB"/>
    <w:rsid w:val="005136EE"/>
    <w:rsid w:val="005138F1"/>
    <w:rsid w:val="00513F20"/>
    <w:rsid w:val="00514221"/>
    <w:rsid w:val="005146A6"/>
    <w:rsid w:val="0051489D"/>
    <w:rsid w:val="00514BA6"/>
    <w:rsid w:val="00514D07"/>
    <w:rsid w:val="00514F9A"/>
    <w:rsid w:val="00515497"/>
    <w:rsid w:val="00515634"/>
    <w:rsid w:val="00515678"/>
    <w:rsid w:val="00515A30"/>
    <w:rsid w:val="00515EFA"/>
    <w:rsid w:val="00516912"/>
    <w:rsid w:val="00516A59"/>
    <w:rsid w:val="00516AE3"/>
    <w:rsid w:val="00516B72"/>
    <w:rsid w:val="00516C56"/>
    <w:rsid w:val="005172AF"/>
    <w:rsid w:val="005174D7"/>
    <w:rsid w:val="005176AD"/>
    <w:rsid w:val="00517C90"/>
    <w:rsid w:val="00517DB3"/>
    <w:rsid w:val="00517DE3"/>
    <w:rsid w:val="00517E81"/>
    <w:rsid w:val="00517FC5"/>
    <w:rsid w:val="00520549"/>
    <w:rsid w:val="00520FF5"/>
    <w:rsid w:val="005210E7"/>
    <w:rsid w:val="00521BEE"/>
    <w:rsid w:val="00522125"/>
    <w:rsid w:val="005223AE"/>
    <w:rsid w:val="00522956"/>
    <w:rsid w:val="005235C3"/>
    <w:rsid w:val="005238FF"/>
    <w:rsid w:val="00523C79"/>
    <w:rsid w:val="00523EE8"/>
    <w:rsid w:val="00523FB8"/>
    <w:rsid w:val="005243F9"/>
    <w:rsid w:val="00524DFA"/>
    <w:rsid w:val="00524F19"/>
    <w:rsid w:val="00525150"/>
    <w:rsid w:val="00525671"/>
    <w:rsid w:val="00525A92"/>
    <w:rsid w:val="00525AEF"/>
    <w:rsid w:val="00525DCC"/>
    <w:rsid w:val="00526591"/>
    <w:rsid w:val="0052666C"/>
    <w:rsid w:val="005268D5"/>
    <w:rsid w:val="005269B8"/>
    <w:rsid w:val="00526BAE"/>
    <w:rsid w:val="005270DA"/>
    <w:rsid w:val="00527278"/>
    <w:rsid w:val="00527295"/>
    <w:rsid w:val="0052761F"/>
    <w:rsid w:val="005279F1"/>
    <w:rsid w:val="00527B5E"/>
    <w:rsid w:val="00527F8E"/>
    <w:rsid w:val="005301B6"/>
    <w:rsid w:val="00530556"/>
    <w:rsid w:val="00530BF6"/>
    <w:rsid w:val="00530D5A"/>
    <w:rsid w:val="00531102"/>
    <w:rsid w:val="0053154F"/>
    <w:rsid w:val="005318E5"/>
    <w:rsid w:val="00531ACA"/>
    <w:rsid w:val="00531D71"/>
    <w:rsid w:val="00531E31"/>
    <w:rsid w:val="0053283D"/>
    <w:rsid w:val="0053290A"/>
    <w:rsid w:val="00532AA5"/>
    <w:rsid w:val="00532B8D"/>
    <w:rsid w:val="00532BCB"/>
    <w:rsid w:val="00532D13"/>
    <w:rsid w:val="00532DA2"/>
    <w:rsid w:val="00533518"/>
    <w:rsid w:val="00533781"/>
    <w:rsid w:val="00533AA6"/>
    <w:rsid w:val="00533C8B"/>
    <w:rsid w:val="00533F0C"/>
    <w:rsid w:val="005344A1"/>
    <w:rsid w:val="0053492C"/>
    <w:rsid w:val="00534BE2"/>
    <w:rsid w:val="00534E6B"/>
    <w:rsid w:val="0053537A"/>
    <w:rsid w:val="005358D4"/>
    <w:rsid w:val="00535942"/>
    <w:rsid w:val="005359B1"/>
    <w:rsid w:val="00535A15"/>
    <w:rsid w:val="00536A90"/>
    <w:rsid w:val="00536AF2"/>
    <w:rsid w:val="0053703A"/>
    <w:rsid w:val="00537252"/>
    <w:rsid w:val="00537420"/>
    <w:rsid w:val="00537507"/>
    <w:rsid w:val="00537617"/>
    <w:rsid w:val="00537C72"/>
    <w:rsid w:val="00537E92"/>
    <w:rsid w:val="00537FBE"/>
    <w:rsid w:val="0054005C"/>
    <w:rsid w:val="0054014B"/>
    <w:rsid w:val="005403A7"/>
    <w:rsid w:val="0054050C"/>
    <w:rsid w:val="00540650"/>
    <w:rsid w:val="00540904"/>
    <w:rsid w:val="005410D7"/>
    <w:rsid w:val="00541227"/>
    <w:rsid w:val="0054125D"/>
    <w:rsid w:val="00541B73"/>
    <w:rsid w:val="005423B0"/>
    <w:rsid w:val="00542448"/>
    <w:rsid w:val="00542483"/>
    <w:rsid w:val="0054263A"/>
    <w:rsid w:val="00542DC5"/>
    <w:rsid w:val="00542DDE"/>
    <w:rsid w:val="005436DE"/>
    <w:rsid w:val="00543D4B"/>
    <w:rsid w:val="00543E26"/>
    <w:rsid w:val="00543F27"/>
    <w:rsid w:val="00544621"/>
    <w:rsid w:val="00544685"/>
    <w:rsid w:val="00544A65"/>
    <w:rsid w:val="005458DC"/>
    <w:rsid w:val="00545F36"/>
    <w:rsid w:val="005461D0"/>
    <w:rsid w:val="005461F3"/>
    <w:rsid w:val="00546341"/>
    <w:rsid w:val="00546661"/>
    <w:rsid w:val="00546724"/>
    <w:rsid w:val="00547423"/>
    <w:rsid w:val="00547492"/>
    <w:rsid w:val="005477C8"/>
    <w:rsid w:val="005477E5"/>
    <w:rsid w:val="0054798E"/>
    <w:rsid w:val="00547DE7"/>
    <w:rsid w:val="00547E80"/>
    <w:rsid w:val="00550218"/>
    <w:rsid w:val="00550330"/>
    <w:rsid w:val="00550830"/>
    <w:rsid w:val="00551211"/>
    <w:rsid w:val="005513A5"/>
    <w:rsid w:val="005518B7"/>
    <w:rsid w:val="0055198D"/>
    <w:rsid w:val="00551999"/>
    <w:rsid w:val="00551A32"/>
    <w:rsid w:val="00551BCE"/>
    <w:rsid w:val="00551C88"/>
    <w:rsid w:val="00551EF7"/>
    <w:rsid w:val="00551FA6"/>
    <w:rsid w:val="00551FDF"/>
    <w:rsid w:val="005520AC"/>
    <w:rsid w:val="005522A3"/>
    <w:rsid w:val="00552877"/>
    <w:rsid w:val="00552891"/>
    <w:rsid w:val="00552A7F"/>
    <w:rsid w:val="00552A88"/>
    <w:rsid w:val="00552C85"/>
    <w:rsid w:val="00552E23"/>
    <w:rsid w:val="005537C5"/>
    <w:rsid w:val="005538FB"/>
    <w:rsid w:val="00553CA0"/>
    <w:rsid w:val="00553CDA"/>
    <w:rsid w:val="00553D3C"/>
    <w:rsid w:val="00554689"/>
    <w:rsid w:val="0055499C"/>
    <w:rsid w:val="00554A81"/>
    <w:rsid w:val="00554D6A"/>
    <w:rsid w:val="0055542C"/>
    <w:rsid w:val="0055550F"/>
    <w:rsid w:val="005560B3"/>
    <w:rsid w:val="005562D0"/>
    <w:rsid w:val="005566F8"/>
    <w:rsid w:val="0055691B"/>
    <w:rsid w:val="00556BA4"/>
    <w:rsid w:val="00556BCD"/>
    <w:rsid w:val="00556C78"/>
    <w:rsid w:val="00556E58"/>
    <w:rsid w:val="00556E95"/>
    <w:rsid w:val="00557292"/>
    <w:rsid w:val="0055753B"/>
    <w:rsid w:val="005575AD"/>
    <w:rsid w:val="005579E2"/>
    <w:rsid w:val="00557E29"/>
    <w:rsid w:val="00557E4D"/>
    <w:rsid w:val="00557EA7"/>
    <w:rsid w:val="00557EFF"/>
    <w:rsid w:val="0056027C"/>
    <w:rsid w:val="0056057C"/>
    <w:rsid w:val="00560951"/>
    <w:rsid w:val="00560CAE"/>
    <w:rsid w:val="00560F05"/>
    <w:rsid w:val="00560F8B"/>
    <w:rsid w:val="00561077"/>
    <w:rsid w:val="00561568"/>
    <w:rsid w:val="005617DA"/>
    <w:rsid w:val="00561CFD"/>
    <w:rsid w:val="00561F67"/>
    <w:rsid w:val="00562063"/>
    <w:rsid w:val="005620B6"/>
    <w:rsid w:val="005620B7"/>
    <w:rsid w:val="00562537"/>
    <w:rsid w:val="00562603"/>
    <w:rsid w:val="0056281D"/>
    <w:rsid w:val="00562D74"/>
    <w:rsid w:val="00562DA0"/>
    <w:rsid w:val="00562E80"/>
    <w:rsid w:val="00563313"/>
    <w:rsid w:val="00563476"/>
    <w:rsid w:val="00563539"/>
    <w:rsid w:val="00563851"/>
    <w:rsid w:val="00563A0E"/>
    <w:rsid w:val="00563C85"/>
    <w:rsid w:val="00563EA1"/>
    <w:rsid w:val="00563FD6"/>
    <w:rsid w:val="00563FEA"/>
    <w:rsid w:val="00564048"/>
    <w:rsid w:val="00564510"/>
    <w:rsid w:val="0056481E"/>
    <w:rsid w:val="00564CE7"/>
    <w:rsid w:val="005650A6"/>
    <w:rsid w:val="00565316"/>
    <w:rsid w:val="00565776"/>
    <w:rsid w:val="005659EE"/>
    <w:rsid w:val="00565BF3"/>
    <w:rsid w:val="00565DF3"/>
    <w:rsid w:val="00565F35"/>
    <w:rsid w:val="00566121"/>
    <w:rsid w:val="005664B0"/>
    <w:rsid w:val="0056658C"/>
    <w:rsid w:val="005665DC"/>
    <w:rsid w:val="00566BF9"/>
    <w:rsid w:val="00567691"/>
    <w:rsid w:val="00567813"/>
    <w:rsid w:val="00567821"/>
    <w:rsid w:val="00567CEE"/>
    <w:rsid w:val="00567DDB"/>
    <w:rsid w:val="00570025"/>
    <w:rsid w:val="00570064"/>
    <w:rsid w:val="00570195"/>
    <w:rsid w:val="005703D0"/>
    <w:rsid w:val="00570E0B"/>
    <w:rsid w:val="005710C0"/>
    <w:rsid w:val="0057110D"/>
    <w:rsid w:val="00571404"/>
    <w:rsid w:val="0057160E"/>
    <w:rsid w:val="0057202F"/>
    <w:rsid w:val="00572698"/>
    <w:rsid w:val="00572C78"/>
    <w:rsid w:val="00572D10"/>
    <w:rsid w:val="005730C2"/>
    <w:rsid w:val="00573152"/>
    <w:rsid w:val="0057332C"/>
    <w:rsid w:val="00573473"/>
    <w:rsid w:val="005734D6"/>
    <w:rsid w:val="00573600"/>
    <w:rsid w:val="005738CB"/>
    <w:rsid w:val="00573927"/>
    <w:rsid w:val="00573A7D"/>
    <w:rsid w:val="00573DB9"/>
    <w:rsid w:val="00574364"/>
    <w:rsid w:val="0057478D"/>
    <w:rsid w:val="005750C1"/>
    <w:rsid w:val="00575118"/>
    <w:rsid w:val="005755BE"/>
    <w:rsid w:val="00575715"/>
    <w:rsid w:val="005759C8"/>
    <w:rsid w:val="005761FB"/>
    <w:rsid w:val="00576352"/>
    <w:rsid w:val="005767BB"/>
    <w:rsid w:val="00576861"/>
    <w:rsid w:val="00576AAD"/>
    <w:rsid w:val="00576FCD"/>
    <w:rsid w:val="00577C3A"/>
    <w:rsid w:val="005801E7"/>
    <w:rsid w:val="00580878"/>
    <w:rsid w:val="00580BF7"/>
    <w:rsid w:val="00581760"/>
    <w:rsid w:val="00581FE3"/>
    <w:rsid w:val="0058286F"/>
    <w:rsid w:val="00582931"/>
    <w:rsid w:val="00582B82"/>
    <w:rsid w:val="00582D14"/>
    <w:rsid w:val="00583051"/>
    <w:rsid w:val="005832CB"/>
    <w:rsid w:val="005838CF"/>
    <w:rsid w:val="00583A09"/>
    <w:rsid w:val="00583B01"/>
    <w:rsid w:val="00583B59"/>
    <w:rsid w:val="00583C91"/>
    <w:rsid w:val="00584D2E"/>
    <w:rsid w:val="00584E54"/>
    <w:rsid w:val="005850E3"/>
    <w:rsid w:val="00585394"/>
    <w:rsid w:val="005853F7"/>
    <w:rsid w:val="00585856"/>
    <w:rsid w:val="0058592D"/>
    <w:rsid w:val="0058614B"/>
    <w:rsid w:val="0058625C"/>
    <w:rsid w:val="005868CF"/>
    <w:rsid w:val="0058694C"/>
    <w:rsid w:val="0058703A"/>
    <w:rsid w:val="005873E1"/>
    <w:rsid w:val="00587973"/>
    <w:rsid w:val="00587A09"/>
    <w:rsid w:val="00587CD1"/>
    <w:rsid w:val="00587EF3"/>
    <w:rsid w:val="00590D22"/>
    <w:rsid w:val="00591101"/>
    <w:rsid w:val="00591330"/>
    <w:rsid w:val="0059185F"/>
    <w:rsid w:val="00591C97"/>
    <w:rsid w:val="0059221C"/>
    <w:rsid w:val="00592789"/>
    <w:rsid w:val="00592ADD"/>
    <w:rsid w:val="00592B69"/>
    <w:rsid w:val="00592D77"/>
    <w:rsid w:val="00592ED3"/>
    <w:rsid w:val="00592FF6"/>
    <w:rsid w:val="00593E30"/>
    <w:rsid w:val="0059406A"/>
    <w:rsid w:val="00594080"/>
    <w:rsid w:val="005940BF"/>
    <w:rsid w:val="0059426A"/>
    <w:rsid w:val="00594E4A"/>
    <w:rsid w:val="00595B5B"/>
    <w:rsid w:val="00595BED"/>
    <w:rsid w:val="00595F8C"/>
    <w:rsid w:val="00595FA4"/>
    <w:rsid w:val="00596274"/>
    <w:rsid w:val="0059638D"/>
    <w:rsid w:val="0059681A"/>
    <w:rsid w:val="00596EF4"/>
    <w:rsid w:val="00596F71"/>
    <w:rsid w:val="00597125"/>
    <w:rsid w:val="00597355"/>
    <w:rsid w:val="005974BC"/>
    <w:rsid w:val="005975AA"/>
    <w:rsid w:val="0059774B"/>
    <w:rsid w:val="00597845"/>
    <w:rsid w:val="005978E3"/>
    <w:rsid w:val="00597BD2"/>
    <w:rsid w:val="00597EE9"/>
    <w:rsid w:val="005A01A2"/>
    <w:rsid w:val="005A0762"/>
    <w:rsid w:val="005A0B22"/>
    <w:rsid w:val="005A0BA2"/>
    <w:rsid w:val="005A0DED"/>
    <w:rsid w:val="005A18EA"/>
    <w:rsid w:val="005A1BB2"/>
    <w:rsid w:val="005A1D71"/>
    <w:rsid w:val="005A1E0B"/>
    <w:rsid w:val="005A1F36"/>
    <w:rsid w:val="005A2400"/>
    <w:rsid w:val="005A2402"/>
    <w:rsid w:val="005A248C"/>
    <w:rsid w:val="005A29A7"/>
    <w:rsid w:val="005A2B46"/>
    <w:rsid w:val="005A2B72"/>
    <w:rsid w:val="005A2E9F"/>
    <w:rsid w:val="005A2F00"/>
    <w:rsid w:val="005A348F"/>
    <w:rsid w:val="005A34C3"/>
    <w:rsid w:val="005A3C3C"/>
    <w:rsid w:val="005A3D30"/>
    <w:rsid w:val="005A3E0C"/>
    <w:rsid w:val="005A424D"/>
    <w:rsid w:val="005A4968"/>
    <w:rsid w:val="005A4A7B"/>
    <w:rsid w:val="005A4EE4"/>
    <w:rsid w:val="005A4F7E"/>
    <w:rsid w:val="005A56E5"/>
    <w:rsid w:val="005A5B31"/>
    <w:rsid w:val="005A5C74"/>
    <w:rsid w:val="005A6103"/>
    <w:rsid w:val="005A6137"/>
    <w:rsid w:val="005A6A00"/>
    <w:rsid w:val="005A6E1F"/>
    <w:rsid w:val="005A7065"/>
    <w:rsid w:val="005A7AFC"/>
    <w:rsid w:val="005A7C5A"/>
    <w:rsid w:val="005A7E50"/>
    <w:rsid w:val="005B03D9"/>
    <w:rsid w:val="005B0757"/>
    <w:rsid w:val="005B0841"/>
    <w:rsid w:val="005B0AA3"/>
    <w:rsid w:val="005B0C4F"/>
    <w:rsid w:val="005B114A"/>
    <w:rsid w:val="005B1396"/>
    <w:rsid w:val="005B18B0"/>
    <w:rsid w:val="005B1A41"/>
    <w:rsid w:val="005B1D46"/>
    <w:rsid w:val="005B1E92"/>
    <w:rsid w:val="005B2205"/>
    <w:rsid w:val="005B23DA"/>
    <w:rsid w:val="005B2495"/>
    <w:rsid w:val="005B2657"/>
    <w:rsid w:val="005B27A2"/>
    <w:rsid w:val="005B2CBA"/>
    <w:rsid w:val="005B2D3F"/>
    <w:rsid w:val="005B2F74"/>
    <w:rsid w:val="005B368B"/>
    <w:rsid w:val="005B36CD"/>
    <w:rsid w:val="005B39A0"/>
    <w:rsid w:val="005B3D3B"/>
    <w:rsid w:val="005B3FD2"/>
    <w:rsid w:val="005B4098"/>
    <w:rsid w:val="005B4110"/>
    <w:rsid w:val="005B4195"/>
    <w:rsid w:val="005B4261"/>
    <w:rsid w:val="005B42CE"/>
    <w:rsid w:val="005B42DB"/>
    <w:rsid w:val="005B4322"/>
    <w:rsid w:val="005B449D"/>
    <w:rsid w:val="005B4906"/>
    <w:rsid w:val="005B4973"/>
    <w:rsid w:val="005B4B9F"/>
    <w:rsid w:val="005B4DE3"/>
    <w:rsid w:val="005B507E"/>
    <w:rsid w:val="005B514E"/>
    <w:rsid w:val="005B540E"/>
    <w:rsid w:val="005B54EA"/>
    <w:rsid w:val="005B560A"/>
    <w:rsid w:val="005B5820"/>
    <w:rsid w:val="005B58B2"/>
    <w:rsid w:val="005B628E"/>
    <w:rsid w:val="005B66BC"/>
    <w:rsid w:val="005B68E4"/>
    <w:rsid w:val="005B68F7"/>
    <w:rsid w:val="005B7279"/>
    <w:rsid w:val="005B77BE"/>
    <w:rsid w:val="005B79CA"/>
    <w:rsid w:val="005B7AF9"/>
    <w:rsid w:val="005B7F0D"/>
    <w:rsid w:val="005B7F8D"/>
    <w:rsid w:val="005C02E9"/>
    <w:rsid w:val="005C02F9"/>
    <w:rsid w:val="005C07AA"/>
    <w:rsid w:val="005C1211"/>
    <w:rsid w:val="005C1254"/>
    <w:rsid w:val="005C1273"/>
    <w:rsid w:val="005C160B"/>
    <w:rsid w:val="005C1944"/>
    <w:rsid w:val="005C28F1"/>
    <w:rsid w:val="005C29AC"/>
    <w:rsid w:val="005C2CAC"/>
    <w:rsid w:val="005C2DE7"/>
    <w:rsid w:val="005C2EB8"/>
    <w:rsid w:val="005C2FC7"/>
    <w:rsid w:val="005C32C5"/>
    <w:rsid w:val="005C36EA"/>
    <w:rsid w:val="005C3BB5"/>
    <w:rsid w:val="005C3CD4"/>
    <w:rsid w:val="005C41E8"/>
    <w:rsid w:val="005C420F"/>
    <w:rsid w:val="005C438B"/>
    <w:rsid w:val="005C49AA"/>
    <w:rsid w:val="005C4AC6"/>
    <w:rsid w:val="005C53ED"/>
    <w:rsid w:val="005C570E"/>
    <w:rsid w:val="005C5CF0"/>
    <w:rsid w:val="005C6215"/>
    <w:rsid w:val="005C6279"/>
    <w:rsid w:val="005C6513"/>
    <w:rsid w:val="005C6CC4"/>
    <w:rsid w:val="005C6CCB"/>
    <w:rsid w:val="005C7244"/>
    <w:rsid w:val="005C76DD"/>
    <w:rsid w:val="005C7BF3"/>
    <w:rsid w:val="005C7C21"/>
    <w:rsid w:val="005C7CD5"/>
    <w:rsid w:val="005C7D0E"/>
    <w:rsid w:val="005C7FD5"/>
    <w:rsid w:val="005D0947"/>
    <w:rsid w:val="005D0994"/>
    <w:rsid w:val="005D0B52"/>
    <w:rsid w:val="005D107A"/>
    <w:rsid w:val="005D10ED"/>
    <w:rsid w:val="005D1302"/>
    <w:rsid w:val="005D15D9"/>
    <w:rsid w:val="005D1829"/>
    <w:rsid w:val="005D192E"/>
    <w:rsid w:val="005D1B1E"/>
    <w:rsid w:val="005D1B6C"/>
    <w:rsid w:val="005D2391"/>
    <w:rsid w:val="005D241D"/>
    <w:rsid w:val="005D2433"/>
    <w:rsid w:val="005D28CE"/>
    <w:rsid w:val="005D2AEA"/>
    <w:rsid w:val="005D2DB1"/>
    <w:rsid w:val="005D2F55"/>
    <w:rsid w:val="005D3119"/>
    <w:rsid w:val="005D34D1"/>
    <w:rsid w:val="005D3800"/>
    <w:rsid w:val="005D3CE3"/>
    <w:rsid w:val="005D3D8B"/>
    <w:rsid w:val="005D3E1A"/>
    <w:rsid w:val="005D45CE"/>
    <w:rsid w:val="005D45F9"/>
    <w:rsid w:val="005D49E1"/>
    <w:rsid w:val="005D4AC2"/>
    <w:rsid w:val="005D4ACE"/>
    <w:rsid w:val="005D4C70"/>
    <w:rsid w:val="005D4EF0"/>
    <w:rsid w:val="005D50E9"/>
    <w:rsid w:val="005D5249"/>
    <w:rsid w:val="005D53B0"/>
    <w:rsid w:val="005D53BE"/>
    <w:rsid w:val="005D5889"/>
    <w:rsid w:val="005D5F2B"/>
    <w:rsid w:val="005D5F62"/>
    <w:rsid w:val="005D6352"/>
    <w:rsid w:val="005D635F"/>
    <w:rsid w:val="005D63D9"/>
    <w:rsid w:val="005D65A6"/>
    <w:rsid w:val="005D6651"/>
    <w:rsid w:val="005D66AE"/>
    <w:rsid w:val="005D6C35"/>
    <w:rsid w:val="005D73C2"/>
    <w:rsid w:val="005D7FB1"/>
    <w:rsid w:val="005E005C"/>
    <w:rsid w:val="005E02EE"/>
    <w:rsid w:val="005E08F8"/>
    <w:rsid w:val="005E09C5"/>
    <w:rsid w:val="005E0E35"/>
    <w:rsid w:val="005E0FAE"/>
    <w:rsid w:val="005E0FCE"/>
    <w:rsid w:val="005E13A9"/>
    <w:rsid w:val="005E17C8"/>
    <w:rsid w:val="005E1C16"/>
    <w:rsid w:val="005E1E24"/>
    <w:rsid w:val="005E21FD"/>
    <w:rsid w:val="005E23AD"/>
    <w:rsid w:val="005E2619"/>
    <w:rsid w:val="005E286E"/>
    <w:rsid w:val="005E28CB"/>
    <w:rsid w:val="005E2B20"/>
    <w:rsid w:val="005E3352"/>
    <w:rsid w:val="005E37B7"/>
    <w:rsid w:val="005E3894"/>
    <w:rsid w:val="005E3971"/>
    <w:rsid w:val="005E3A28"/>
    <w:rsid w:val="005E3BAC"/>
    <w:rsid w:val="005E3C60"/>
    <w:rsid w:val="005E3D95"/>
    <w:rsid w:val="005E3EF1"/>
    <w:rsid w:val="005E3F2F"/>
    <w:rsid w:val="005E41AA"/>
    <w:rsid w:val="005E421D"/>
    <w:rsid w:val="005E42EF"/>
    <w:rsid w:val="005E46B7"/>
    <w:rsid w:val="005E4754"/>
    <w:rsid w:val="005E5464"/>
    <w:rsid w:val="005E55F3"/>
    <w:rsid w:val="005E5918"/>
    <w:rsid w:val="005E67B8"/>
    <w:rsid w:val="005E67DA"/>
    <w:rsid w:val="005E6C26"/>
    <w:rsid w:val="005E70C0"/>
    <w:rsid w:val="005E7227"/>
    <w:rsid w:val="005E76B7"/>
    <w:rsid w:val="005E7916"/>
    <w:rsid w:val="005E7A6F"/>
    <w:rsid w:val="005E7D34"/>
    <w:rsid w:val="005E7D35"/>
    <w:rsid w:val="005F013A"/>
    <w:rsid w:val="005F01CB"/>
    <w:rsid w:val="005F0F9B"/>
    <w:rsid w:val="005F0FE9"/>
    <w:rsid w:val="005F1133"/>
    <w:rsid w:val="005F1264"/>
    <w:rsid w:val="005F1B4A"/>
    <w:rsid w:val="005F1F88"/>
    <w:rsid w:val="005F1F90"/>
    <w:rsid w:val="005F20D2"/>
    <w:rsid w:val="005F2162"/>
    <w:rsid w:val="005F21D2"/>
    <w:rsid w:val="005F2A12"/>
    <w:rsid w:val="005F2B2A"/>
    <w:rsid w:val="005F300B"/>
    <w:rsid w:val="005F3069"/>
    <w:rsid w:val="005F34A8"/>
    <w:rsid w:val="005F364A"/>
    <w:rsid w:val="005F3789"/>
    <w:rsid w:val="005F3BAD"/>
    <w:rsid w:val="005F3DC5"/>
    <w:rsid w:val="005F3ED7"/>
    <w:rsid w:val="005F3F20"/>
    <w:rsid w:val="005F4345"/>
    <w:rsid w:val="005F4392"/>
    <w:rsid w:val="005F4453"/>
    <w:rsid w:val="005F4694"/>
    <w:rsid w:val="005F4774"/>
    <w:rsid w:val="005F47A6"/>
    <w:rsid w:val="005F49F1"/>
    <w:rsid w:val="005F4A4E"/>
    <w:rsid w:val="005F4B02"/>
    <w:rsid w:val="005F4BFC"/>
    <w:rsid w:val="005F4F27"/>
    <w:rsid w:val="005F4FA8"/>
    <w:rsid w:val="005F50FE"/>
    <w:rsid w:val="005F5559"/>
    <w:rsid w:val="005F5732"/>
    <w:rsid w:val="005F57AA"/>
    <w:rsid w:val="005F58C0"/>
    <w:rsid w:val="005F5BF9"/>
    <w:rsid w:val="005F6844"/>
    <w:rsid w:val="005F7349"/>
    <w:rsid w:val="005F7532"/>
    <w:rsid w:val="0060009A"/>
    <w:rsid w:val="006003CA"/>
    <w:rsid w:val="006006C5"/>
    <w:rsid w:val="00600C53"/>
    <w:rsid w:val="00600F57"/>
    <w:rsid w:val="00601023"/>
    <w:rsid w:val="0060140B"/>
    <w:rsid w:val="006019DF"/>
    <w:rsid w:val="00601E4B"/>
    <w:rsid w:val="00602551"/>
    <w:rsid w:val="0060293D"/>
    <w:rsid w:val="00602C2D"/>
    <w:rsid w:val="00602D36"/>
    <w:rsid w:val="00602FF8"/>
    <w:rsid w:val="00603329"/>
    <w:rsid w:val="006033D7"/>
    <w:rsid w:val="00603B5D"/>
    <w:rsid w:val="00603CFD"/>
    <w:rsid w:val="0060405F"/>
    <w:rsid w:val="006043B1"/>
    <w:rsid w:val="00604405"/>
    <w:rsid w:val="00604BA5"/>
    <w:rsid w:val="00604C02"/>
    <w:rsid w:val="00604C3D"/>
    <w:rsid w:val="00604C52"/>
    <w:rsid w:val="00605148"/>
    <w:rsid w:val="0060535F"/>
    <w:rsid w:val="00605361"/>
    <w:rsid w:val="00605520"/>
    <w:rsid w:val="006061FC"/>
    <w:rsid w:val="00606841"/>
    <w:rsid w:val="00606948"/>
    <w:rsid w:val="00606BD4"/>
    <w:rsid w:val="0060703B"/>
    <w:rsid w:val="00607737"/>
    <w:rsid w:val="00607C10"/>
    <w:rsid w:val="0061025B"/>
    <w:rsid w:val="006104DD"/>
    <w:rsid w:val="0061068C"/>
    <w:rsid w:val="006109E4"/>
    <w:rsid w:val="006111D4"/>
    <w:rsid w:val="006115B9"/>
    <w:rsid w:val="006117CE"/>
    <w:rsid w:val="00611957"/>
    <w:rsid w:val="00612243"/>
    <w:rsid w:val="00612392"/>
    <w:rsid w:val="00612433"/>
    <w:rsid w:val="00612538"/>
    <w:rsid w:val="006126AF"/>
    <w:rsid w:val="0061294B"/>
    <w:rsid w:val="00612F1B"/>
    <w:rsid w:val="006132F7"/>
    <w:rsid w:val="006133D9"/>
    <w:rsid w:val="00613621"/>
    <w:rsid w:val="00613712"/>
    <w:rsid w:val="006139AC"/>
    <w:rsid w:val="00613B71"/>
    <w:rsid w:val="00613D34"/>
    <w:rsid w:val="00613F72"/>
    <w:rsid w:val="00614184"/>
    <w:rsid w:val="006141D0"/>
    <w:rsid w:val="00614716"/>
    <w:rsid w:val="006154B8"/>
    <w:rsid w:val="006155DF"/>
    <w:rsid w:val="00615625"/>
    <w:rsid w:val="00615642"/>
    <w:rsid w:val="00615719"/>
    <w:rsid w:val="006157AA"/>
    <w:rsid w:val="00615853"/>
    <w:rsid w:val="00615C76"/>
    <w:rsid w:val="00615DE0"/>
    <w:rsid w:val="00615FA5"/>
    <w:rsid w:val="00616588"/>
    <w:rsid w:val="006168A7"/>
    <w:rsid w:val="00616E0C"/>
    <w:rsid w:val="00616E2E"/>
    <w:rsid w:val="00616ED2"/>
    <w:rsid w:val="00617214"/>
    <w:rsid w:val="006174C8"/>
    <w:rsid w:val="006177A6"/>
    <w:rsid w:val="00617825"/>
    <w:rsid w:val="00617B67"/>
    <w:rsid w:val="00617C31"/>
    <w:rsid w:val="00617E2B"/>
    <w:rsid w:val="00617EC1"/>
    <w:rsid w:val="006204AC"/>
    <w:rsid w:val="0062053B"/>
    <w:rsid w:val="00620A30"/>
    <w:rsid w:val="00620B0A"/>
    <w:rsid w:val="00621357"/>
    <w:rsid w:val="0062185E"/>
    <w:rsid w:val="0062193A"/>
    <w:rsid w:val="00621A5D"/>
    <w:rsid w:val="00621CF8"/>
    <w:rsid w:val="00621DE4"/>
    <w:rsid w:val="00622D32"/>
    <w:rsid w:val="00623082"/>
    <w:rsid w:val="006230E3"/>
    <w:rsid w:val="006239D0"/>
    <w:rsid w:val="00623B64"/>
    <w:rsid w:val="00623C71"/>
    <w:rsid w:val="00623C8A"/>
    <w:rsid w:val="00624408"/>
    <w:rsid w:val="0062473C"/>
    <w:rsid w:val="006247FB"/>
    <w:rsid w:val="00624BAA"/>
    <w:rsid w:val="00624C76"/>
    <w:rsid w:val="00624E42"/>
    <w:rsid w:val="00625244"/>
    <w:rsid w:val="0062596F"/>
    <w:rsid w:val="00625EE2"/>
    <w:rsid w:val="00625FD5"/>
    <w:rsid w:val="0062605D"/>
    <w:rsid w:val="006262D4"/>
    <w:rsid w:val="0062640A"/>
    <w:rsid w:val="00626C83"/>
    <w:rsid w:val="006272E4"/>
    <w:rsid w:val="00627575"/>
    <w:rsid w:val="006275D3"/>
    <w:rsid w:val="006275DF"/>
    <w:rsid w:val="00627DEA"/>
    <w:rsid w:val="00630237"/>
    <w:rsid w:val="006307CB"/>
    <w:rsid w:val="00631619"/>
    <w:rsid w:val="006319BF"/>
    <w:rsid w:val="006319DD"/>
    <w:rsid w:val="00631CE1"/>
    <w:rsid w:val="00631CFE"/>
    <w:rsid w:val="00631D60"/>
    <w:rsid w:val="00632E90"/>
    <w:rsid w:val="00632F0B"/>
    <w:rsid w:val="006332AE"/>
    <w:rsid w:val="0063336D"/>
    <w:rsid w:val="006335F8"/>
    <w:rsid w:val="006339C8"/>
    <w:rsid w:val="00633A89"/>
    <w:rsid w:val="00633AD6"/>
    <w:rsid w:val="00633FF0"/>
    <w:rsid w:val="0063401A"/>
    <w:rsid w:val="00634096"/>
    <w:rsid w:val="0063433E"/>
    <w:rsid w:val="006344C0"/>
    <w:rsid w:val="006345D0"/>
    <w:rsid w:val="00634A78"/>
    <w:rsid w:val="00635166"/>
    <w:rsid w:val="006358E9"/>
    <w:rsid w:val="00635F13"/>
    <w:rsid w:val="006362C1"/>
    <w:rsid w:val="0063635F"/>
    <w:rsid w:val="00636650"/>
    <w:rsid w:val="00636F44"/>
    <w:rsid w:val="0063743F"/>
    <w:rsid w:val="0063777C"/>
    <w:rsid w:val="00637F68"/>
    <w:rsid w:val="00640044"/>
    <w:rsid w:val="006403B4"/>
    <w:rsid w:val="0064072B"/>
    <w:rsid w:val="00640E36"/>
    <w:rsid w:val="006410AF"/>
    <w:rsid w:val="00641295"/>
    <w:rsid w:val="006414D7"/>
    <w:rsid w:val="00641547"/>
    <w:rsid w:val="00641C7A"/>
    <w:rsid w:val="00641C82"/>
    <w:rsid w:val="00642312"/>
    <w:rsid w:val="00642327"/>
    <w:rsid w:val="0064237D"/>
    <w:rsid w:val="00642536"/>
    <w:rsid w:val="006428F6"/>
    <w:rsid w:val="00642BA4"/>
    <w:rsid w:val="006430EA"/>
    <w:rsid w:val="0064333A"/>
    <w:rsid w:val="0064365E"/>
    <w:rsid w:val="006436A4"/>
    <w:rsid w:val="00643C64"/>
    <w:rsid w:val="00644295"/>
    <w:rsid w:val="00644300"/>
    <w:rsid w:val="0064436E"/>
    <w:rsid w:val="00644DE4"/>
    <w:rsid w:val="00644E76"/>
    <w:rsid w:val="00645331"/>
    <w:rsid w:val="006455AD"/>
    <w:rsid w:val="00645675"/>
    <w:rsid w:val="00645B07"/>
    <w:rsid w:val="00645C99"/>
    <w:rsid w:val="00646128"/>
    <w:rsid w:val="00646205"/>
    <w:rsid w:val="0064643E"/>
    <w:rsid w:val="00646838"/>
    <w:rsid w:val="00646BC0"/>
    <w:rsid w:val="00646D57"/>
    <w:rsid w:val="00647261"/>
    <w:rsid w:val="0064738A"/>
    <w:rsid w:val="006474ED"/>
    <w:rsid w:val="00647BF5"/>
    <w:rsid w:val="00650206"/>
    <w:rsid w:val="0065035E"/>
    <w:rsid w:val="00650449"/>
    <w:rsid w:val="0065057D"/>
    <w:rsid w:val="006508AA"/>
    <w:rsid w:val="0065095F"/>
    <w:rsid w:val="00650F44"/>
    <w:rsid w:val="00651385"/>
    <w:rsid w:val="00651542"/>
    <w:rsid w:val="006515F1"/>
    <w:rsid w:val="00651759"/>
    <w:rsid w:val="00651855"/>
    <w:rsid w:val="0065216F"/>
    <w:rsid w:val="00652675"/>
    <w:rsid w:val="00652907"/>
    <w:rsid w:val="006529C2"/>
    <w:rsid w:val="00652A48"/>
    <w:rsid w:val="00652C15"/>
    <w:rsid w:val="006530B2"/>
    <w:rsid w:val="00653608"/>
    <w:rsid w:val="00653783"/>
    <w:rsid w:val="00653907"/>
    <w:rsid w:val="00653A74"/>
    <w:rsid w:val="00653DB5"/>
    <w:rsid w:val="00654061"/>
    <w:rsid w:val="0065428C"/>
    <w:rsid w:val="00654307"/>
    <w:rsid w:val="00654978"/>
    <w:rsid w:val="006549B7"/>
    <w:rsid w:val="006549B8"/>
    <w:rsid w:val="006552A1"/>
    <w:rsid w:val="0065547B"/>
    <w:rsid w:val="00655B30"/>
    <w:rsid w:val="00655BD2"/>
    <w:rsid w:val="00655E46"/>
    <w:rsid w:val="006566FE"/>
    <w:rsid w:val="006567CF"/>
    <w:rsid w:val="006568B5"/>
    <w:rsid w:val="00657023"/>
    <w:rsid w:val="0065703E"/>
    <w:rsid w:val="0065707F"/>
    <w:rsid w:val="006571C3"/>
    <w:rsid w:val="006571E4"/>
    <w:rsid w:val="00657715"/>
    <w:rsid w:val="006578AD"/>
    <w:rsid w:val="00657966"/>
    <w:rsid w:val="00657977"/>
    <w:rsid w:val="00657A39"/>
    <w:rsid w:val="00660006"/>
    <w:rsid w:val="006602CD"/>
    <w:rsid w:val="006605FA"/>
    <w:rsid w:val="00660704"/>
    <w:rsid w:val="006607EB"/>
    <w:rsid w:val="00660D38"/>
    <w:rsid w:val="00660FDA"/>
    <w:rsid w:val="006612E2"/>
    <w:rsid w:val="00661999"/>
    <w:rsid w:val="00661C89"/>
    <w:rsid w:val="00661EBB"/>
    <w:rsid w:val="00661F94"/>
    <w:rsid w:val="006624BD"/>
    <w:rsid w:val="00662651"/>
    <w:rsid w:val="00662738"/>
    <w:rsid w:val="00662C76"/>
    <w:rsid w:val="006631E6"/>
    <w:rsid w:val="006633AF"/>
    <w:rsid w:val="006633F1"/>
    <w:rsid w:val="00663832"/>
    <w:rsid w:val="00663B4B"/>
    <w:rsid w:val="00663C45"/>
    <w:rsid w:val="00664595"/>
    <w:rsid w:val="00665106"/>
    <w:rsid w:val="006651C0"/>
    <w:rsid w:val="00665444"/>
    <w:rsid w:val="006655BB"/>
    <w:rsid w:val="00666565"/>
    <w:rsid w:val="00666B2F"/>
    <w:rsid w:val="00666BB6"/>
    <w:rsid w:val="00667410"/>
    <w:rsid w:val="00667538"/>
    <w:rsid w:val="006675F0"/>
    <w:rsid w:val="006676EF"/>
    <w:rsid w:val="00667808"/>
    <w:rsid w:val="006678A8"/>
    <w:rsid w:val="00670038"/>
    <w:rsid w:val="006702B1"/>
    <w:rsid w:val="00670405"/>
    <w:rsid w:val="006704F7"/>
    <w:rsid w:val="0067095E"/>
    <w:rsid w:val="00670B15"/>
    <w:rsid w:val="00670DAF"/>
    <w:rsid w:val="00671093"/>
    <w:rsid w:val="0067132C"/>
    <w:rsid w:val="006719C2"/>
    <w:rsid w:val="00671A28"/>
    <w:rsid w:val="00671A8E"/>
    <w:rsid w:val="00671B51"/>
    <w:rsid w:val="00671BE8"/>
    <w:rsid w:val="00671DBB"/>
    <w:rsid w:val="00671FF9"/>
    <w:rsid w:val="006721C4"/>
    <w:rsid w:val="0067233D"/>
    <w:rsid w:val="006725C8"/>
    <w:rsid w:val="00672746"/>
    <w:rsid w:val="00672755"/>
    <w:rsid w:val="006729F0"/>
    <w:rsid w:val="00672E31"/>
    <w:rsid w:val="00672E88"/>
    <w:rsid w:val="006734DC"/>
    <w:rsid w:val="0067374E"/>
    <w:rsid w:val="00673A83"/>
    <w:rsid w:val="00673B8E"/>
    <w:rsid w:val="00673E66"/>
    <w:rsid w:val="00674350"/>
    <w:rsid w:val="0067496A"/>
    <w:rsid w:val="00674FB4"/>
    <w:rsid w:val="00674FD1"/>
    <w:rsid w:val="00675065"/>
    <w:rsid w:val="00675226"/>
    <w:rsid w:val="00675977"/>
    <w:rsid w:val="00675A5E"/>
    <w:rsid w:val="00675B83"/>
    <w:rsid w:val="00676070"/>
    <w:rsid w:val="00676259"/>
    <w:rsid w:val="00676993"/>
    <w:rsid w:val="006769C3"/>
    <w:rsid w:val="00677322"/>
    <w:rsid w:val="00677395"/>
    <w:rsid w:val="00677434"/>
    <w:rsid w:val="00677436"/>
    <w:rsid w:val="00677F63"/>
    <w:rsid w:val="00677FE3"/>
    <w:rsid w:val="00680000"/>
    <w:rsid w:val="00680205"/>
    <w:rsid w:val="00680489"/>
    <w:rsid w:val="00680575"/>
    <w:rsid w:val="0068058F"/>
    <w:rsid w:val="0068091C"/>
    <w:rsid w:val="00680B78"/>
    <w:rsid w:val="00680DFD"/>
    <w:rsid w:val="00680EDA"/>
    <w:rsid w:val="00680FD3"/>
    <w:rsid w:val="006811D2"/>
    <w:rsid w:val="00681836"/>
    <w:rsid w:val="00681C58"/>
    <w:rsid w:val="00681E36"/>
    <w:rsid w:val="00682139"/>
    <w:rsid w:val="006821E0"/>
    <w:rsid w:val="006822EE"/>
    <w:rsid w:val="0068234C"/>
    <w:rsid w:val="006823E0"/>
    <w:rsid w:val="00682494"/>
    <w:rsid w:val="0068254B"/>
    <w:rsid w:val="0068260E"/>
    <w:rsid w:val="0068269A"/>
    <w:rsid w:val="00682EE8"/>
    <w:rsid w:val="0068300E"/>
    <w:rsid w:val="006833DF"/>
    <w:rsid w:val="00683757"/>
    <w:rsid w:val="0068392A"/>
    <w:rsid w:val="00683B73"/>
    <w:rsid w:val="00684141"/>
    <w:rsid w:val="00684231"/>
    <w:rsid w:val="00684846"/>
    <w:rsid w:val="00684969"/>
    <w:rsid w:val="00684D9B"/>
    <w:rsid w:val="00685992"/>
    <w:rsid w:val="0068601B"/>
    <w:rsid w:val="00686358"/>
    <w:rsid w:val="006864DF"/>
    <w:rsid w:val="006867A7"/>
    <w:rsid w:val="00686CB9"/>
    <w:rsid w:val="00686DF8"/>
    <w:rsid w:val="00687025"/>
    <w:rsid w:val="00687158"/>
    <w:rsid w:val="00687CE2"/>
    <w:rsid w:val="00687D19"/>
    <w:rsid w:val="00690259"/>
    <w:rsid w:val="00690563"/>
    <w:rsid w:val="00690750"/>
    <w:rsid w:val="00690A9D"/>
    <w:rsid w:val="00690B99"/>
    <w:rsid w:val="00690F37"/>
    <w:rsid w:val="0069153E"/>
    <w:rsid w:val="0069155E"/>
    <w:rsid w:val="0069190B"/>
    <w:rsid w:val="006919EA"/>
    <w:rsid w:val="00691C4B"/>
    <w:rsid w:val="00691C83"/>
    <w:rsid w:val="00691DB5"/>
    <w:rsid w:val="00692619"/>
    <w:rsid w:val="00692657"/>
    <w:rsid w:val="00692B3B"/>
    <w:rsid w:val="00693360"/>
    <w:rsid w:val="00693368"/>
    <w:rsid w:val="00693408"/>
    <w:rsid w:val="00693418"/>
    <w:rsid w:val="00693442"/>
    <w:rsid w:val="0069418F"/>
    <w:rsid w:val="0069433A"/>
    <w:rsid w:val="006950E9"/>
    <w:rsid w:val="0069555D"/>
    <w:rsid w:val="0069583D"/>
    <w:rsid w:val="00695911"/>
    <w:rsid w:val="00696191"/>
    <w:rsid w:val="00696226"/>
    <w:rsid w:val="00696448"/>
    <w:rsid w:val="0069649D"/>
    <w:rsid w:val="006966B2"/>
    <w:rsid w:val="00696902"/>
    <w:rsid w:val="00696D86"/>
    <w:rsid w:val="00696DD1"/>
    <w:rsid w:val="00696DE7"/>
    <w:rsid w:val="00696FF7"/>
    <w:rsid w:val="0069715C"/>
    <w:rsid w:val="006974EE"/>
    <w:rsid w:val="00697993"/>
    <w:rsid w:val="00697E09"/>
    <w:rsid w:val="006A01E6"/>
    <w:rsid w:val="006A0408"/>
    <w:rsid w:val="006A0483"/>
    <w:rsid w:val="006A075A"/>
    <w:rsid w:val="006A0A8C"/>
    <w:rsid w:val="006A0ADC"/>
    <w:rsid w:val="006A0B06"/>
    <w:rsid w:val="006A0BC7"/>
    <w:rsid w:val="006A0C81"/>
    <w:rsid w:val="006A0D6B"/>
    <w:rsid w:val="006A105D"/>
    <w:rsid w:val="006A1144"/>
    <w:rsid w:val="006A1212"/>
    <w:rsid w:val="006A1378"/>
    <w:rsid w:val="006A1A83"/>
    <w:rsid w:val="006A1D2C"/>
    <w:rsid w:val="006A23AB"/>
    <w:rsid w:val="006A2ADC"/>
    <w:rsid w:val="006A2BB3"/>
    <w:rsid w:val="006A2C4A"/>
    <w:rsid w:val="006A2D48"/>
    <w:rsid w:val="006A3419"/>
    <w:rsid w:val="006A35DD"/>
    <w:rsid w:val="006A3720"/>
    <w:rsid w:val="006A45FF"/>
    <w:rsid w:val="006A4C88"/>
    <w:rsid w:val="006A4D25"/>
    <w:rsid w:val="006A4DEB"/>
    <w:rsid w:val="006A4EC6"/>
    <w:rsid w:val="006A518B"/>
    <w:rsid w:val="006A5286"/>
    <w:rsid w:val="006A5548"/>
    <w:rsid w:val="006A5693"/>
    <w:rsid w:val="006A5756"/>
    <w:rsid w:val="006A5796"/>
    <w:rsid w:val="006A5F47"/>
    <w:rsid w:val="006A601D"/>
    <w:rsid w:val="006A61BB"/>
    <w:rsid w:val="006A6BEF"/>
    <w:rsid w:val="006A6EE8"/>
    <w:rsid w:val="006A7000"/>
    <w:rsid w:val="006A7146"/>
    <w:rsid w:val="006A7624"/>
    <w:rsid w:val="006A76D4"/>
    <w:rsid w:val="006B0337"/>
    <w:rsid w:val="006B05B5"/>
    <w:rsid w:val="006B063B"/>
    <w:rsid w:val="006B0667"/>
    <w:rsid w:val="006B08C0"/>
    <w:rsid w:val="006B0997"/>
    <w:rsid w:val="006B0FC9"/>
    <w:rsid w:val="006B167C"/>
    <w:rsid w:val="006B17E0"/>
    <w:rsid w:val="006B1D34"/>
    <w:rsid w:val="006B22CB"/>
    <w:rsid w:val="006B23A9"/>
    <w:rsid w:val="006B29D0"/>
    <w:rsid w:val="006B2A97"/>
    <w:rsid w:val="006B2D20"/>
    <w:rsid w:val="006B30A8"/>
    <w:rsid w:val="006B3709"/>
    <w:rsid w:val="006B39AE"/>
    <w:rsid w:val="006B3A5A"/>
    <w:rsid w:val="006B3C9C"/>
    <w:rsid w:val="006B3E41"/>
    <w:rsid w:val="006B3EB6"/>
    <w:rsid w:val="006B3F3E"/>
    <w:rsid w:val="006B4535"/>
    <w:rsid w:val="006B46C4"/>
    <w:rsid w:val="006B4FED"/>
    <w:rsid w:val="006B512A"/>
    <w:rsid w:val="006B54A8"/>
    <w:rsid w:val="006B5797"/>
    <w:rsid w:val="006B5A54"/>
    <w:rsid w:val="006B5E1C"/>
    <w:rsid w:val="006B5F26"/>
    <w:rsid w:val="006B5F7B"/>
    <w:rsid w:val="006B61D7"/>
    <w:rsid w:val="006B65F2"/>
    <w:rsid w:val="006B6862"/>
    <w:rsid w:val="006B6877"/>
    <w:rsid w:val="006B6B38"/>
    <w:rsid w:val="006B6DE3"/>
    <w:rsid w:val="006B7030"/>
    <w:rsid w:val="006B7099"/>
    <w:rsid w:val="006B7349"/>
    <w:rsid w:val="006B743F"/>
    <w:rsid w:val="006B7876"/>
    <w:rsid w:val="006B7CED"/>
    <w:rsid w:val="006B7D3A"/>
    <w:rsid w:val="006B7D3D"/>
    <w:rsid w:val="006B7F10"/>
    <w:rsid w:val="006C002F"/>
    <w:rsid w:val="006C01B5"/>
    <w:rsid w:val="006C027F"/>
    <w:rsid w:val="006C0634"/>
    <w:rsid w:val="006C06AF"/>
    <w:rsid w:val="006C0C1B"/>
    <w:rsid w:val="006C0EA1"/>
    <w:rsid w:val="006C0FC2"/>
    <w:rsid w:val="006C153C"/>
    <w:rsid w:val="006C18A9"/>
    <w:rsid w:val="006C1D72"/>
    <w:rsid w:val="006C1FC8"/>
    <w:rsid w:val="006C24CB"/>
    <w:rsid w:val="006C2798"/>
    <w:rsid w:val="006C2922"/>
    <w:rsid w:val="006C2A86"/>
    <w:rsid w:val="006C2B25"/>
    <w:rsid w:val="006C2D00"/>
    <w:rsid w:val="006C3016"/>
    <w:rsid w:val="006C30CE"/>
    <w:rsid w:val="006C340E"/>
    <w:rsid w:val="006C35E2"/>
    <w:rsid w:val="006C3716"/>
    <w:rsid w:val="006C37A5"/>
    <w:rsid w:val="006C3BF7"/>
    <w:rsid w:val="006C3D4B"/>
    <w:rsid w:val="006C3DD9"/>
    <w:rsid w:val="006C3E6A"/>
    <w:rsid w:val="006C42D9"/>
    <w:rsid w:val="006C4BDA"/>
    <w:rsid w:val="006C4F52"/>
    <w:rsid w:val="006C5216"/>
    <w:rsid w:val="006C5280"/>
    <w:rsid w:val="006C5291"/>
    <w:rsid w:val="006C5332"/>
    <w:rsid w:val="006C54D6"/>
    <w:rsid w:val="006C5ECA"/>
    <w:rsid w:val="006C661D"/>
    <w:rsid w:val="006C6F7F"/>
    <w:rsid w:val="006C7686"/>
    <w:rsid w:val="006C7A87"/>
    <w:rsid w:val="006C7EB9"/>
    <w:rsid w:val="006D0105"/>
    <w:rsid w:val="006D0394"/>
    <w:rsid w:val="006D0B54"/>
    <w:rsid w:val="006D0CDB"/>
    <w:rsid w:val="006D0F74"/>
    <w:rsid w:val="006D1465"/>
    <w:rsid w:val="006D163A"/>
    <w:rsid w:val="006D1731"/>
    <w:rsid w:val="006D175C"/>
    <w:rsid w:val="006D17DE"/>
    <w:rsid w:val="006D1C41"/>
    <w:rsid w:val="006D27B8"/>
    <w:rsid w:val="006D2938"/>
    <w:rsid w:val="006D3207"/>
    <w:rsid w:val="006D321A"/>
    <w:rsid w:val="006D3322"/>
    <w:rsid w:val="006D343B"/>
    <w:rsid w:val="006D3AA1"/>
    <w:rsid w:val="006D3E44"/>
    <w:rsid w:val="006D4121"/>
    <w:rsid w:val="006D4422"/>
    <w:rsid w:val="006D45B0"/>
    <w:rsid w:val="006D49D7"/>
    <w:rsid w:val="006D4CAD"/>
    <w:rsid w:val="006D4DE3"/>
    <w:rsid w:val="006D4DE6"/>
    <w:rsid w:val="006D5052"/>
    <w:rsid w:val="006D5097"/>
    <w:rsid w:val="006D5181"/>
    <w:rsid w:val="006D56A8"/>
    <w:rsid w:val="006D5B00"/>
    <w:rsid w:val="006D5BF7"/>
    <w:rsid w:val="006D60C0"/>
    <w:rsid w:val="006D6128"/>
    <w:rsid w:val="006D62A5"/>
    <w:rsid w:val="006D65B6"/>
    <w:rsid w:val="006D69AA"/>
    <w:rsid w:val="006D6A3A"/>
    <w:rsid w:val="006D6AD9"/>
    <w:rsid w:val="006D6B61"/>
    <w:rsid w:val="006D6C67"/>
    <w:rsid w:val="006D6CAC"/>
    <w:rsid w:val="006D6D75"/>
    <w:rsid w:val="006D6F37"/>
    <w:rsid w:val="006D6FED"/>
    <w:rsid w:val="006E020C"/>
    <w:rsid w:val="006E0372"/>
    <w:rsid w:val="006E1501"/>
    <w:rsid w:val="006E1AB7"/>
    <w:rsid w:val="006E1CE1"/>
    <w:rsid w:val="006E214B"/>
    <w:rsid w:val="006E2725"/>
    <w:rsid w:val="006E2C68"/>
    <w:rsid w:val="006E31ED"/>
    <w:rsid w:val="006E358C"/>
    <w:rsid w:val="006E3DA6"/>
    <w:rsid w:val="006E3EA4"/>
    <w:rsid w:val="006E3FE1"/>
    <w:rsid w:val="006E4208"/>
    <w:rsid w:val="006E469D"/>
    <w:rsid w:val="006E4928"/>
    <w:rsid w:val="006E4956"/>
    <w:rsid w:val="006E4967"/>
    <w:rsid w:val="006E4969"/>
    <w:rsid w:val="006E4AB2"/>
    <w:rsid w:val="006E4B0D"/>
    <w:rsid w:val="006E4CE1"/>
    <w:rsid w:val="006E4F9F"/>
    <w:rsid w:val="006E550A"/>
    <w:rsid w:val="006E564C"/>
    <w:rsid w:val="006E5E77"/>
    <w:rsid w:val="006E65E7"/>
    <w:rsid w:val="006E682C"/>
    <w:rsid w:val="006E6BFF"/>
    <w:rsid w:val="006E6CEF"/>
    <w:rsid w:val="006E6F26"/>
    <w:rsid w:val="006E6FE4"/>
    <w:rsid w:val="006E70B9"/>
    <w:rsid w:val="006E7832"/>
    <w:rsid w:val="006E7B10"/>
    <w:rsid w:val="006E7CE2"/>
    <w:rsid w:val="006E7E6E"/>
    <w:rsid w:val="006E7F67"/>
    <w:rsid w:val="006F016E"/>
    <w:rsid w:val="006F0272"/>
    <w:rsid w:val="006F041D"/>
    <w:rsid w:val="006F0627"/>
    <w:rsid w:val="006F0E77"/>
    <w:rsid w:val="006F1989"/>
    <w:rsid w:val="006F19AB"/>
    <w:rsid w:val="006F1B7D"/>
    <w:rsid w:val="006F1CAD"/>
    <w:rsid w:val="006F1E1D"/>
    <w:rsid w:val="006F1FD1"/>
    <w:rsid w:val="006F22E5"/>
    <w:rsid w:val="006F22F7"/>
    <w:rsid w:val="006F2388"/>
    <w:rsid w:val="006F2C86"/>
    <w:rsid w:val="006F2E52"/>
    <w:rsid w:val="006F2FBB"/>
    <w:rsid w:val="006F308D"/>
    <w:rsid w:val="006F31EF"/>
    <w:rsid w:val="006F3261"/>
    <w:rsid w:val="006F32BE"/>
    <w:rsid w:val="006F3BE0"/>
    <w:rsid w:val="006F3C1A"/>
    <w:rsid w:val="006F3FFA"/>
    <w:rsid w:val="006F40E0"/>
    <w:rsid w:val="006F41FD"/>
    <w:rsid w:val="006F4412"/>
    <w:rsid w:val="006F44BB"/>
    <w:rsid w:val="006F4B2F"/>
    <w:rsid w:val="006F55AE"/>
    <w:rsid w:val="006F5808"/>
    <w:rsid w:val="006F59BF"/>
    <w:rsid w:val="006F59FC"/>
    <w:rsid w:val="006F5AB7"/>
    <w:rsid w:val="006F5B07"/>
    <w:rsid w:val="006F5DB1"/>
    <w:rsid w:val="006F6357"/>
    <w:rsid w:val="006F66FF"/>
    <w:rsid w:val="006F67A6"/>
    <w:rsid w:val="006F69E8"/>
    <w:rsid w:val="006F6D87"/>
    <w:rsid w:val="006F6D8B"/>
    <w:rsid w:val="006F6F1B"/>
    <w:rsid w:val="006F7027"/>
    <w:rsid w:val="006F7114"/>
    <w:rsid w:val="006F75E8"/>
    <w:rsid w:val="006F773C"/>
    <w:rsid w:val="006F7786"/>
    <w:rsid w:val="006F78E9"/>
    <w:rsid w:val="006F7AF4"/>
    <w:rsid w:val="00700342"/>
    <w:rsid w:val="0070073B"/>
    <w:rsid w:val="007008F1"/>
    <w:rsid w:val="00700D53"/>
    <w:rsid w:val="00700DCE"/>
    <w:rsid w:val="00700FF8"/>
    <w:rsid w:val="0070118C"/>
    <w:rsid w:val="00701370"/>
    <w:rsid w:val="007015EA"/>
    <w:rsid w:val="00701762"/>
    <w:rsid w:val="00701FA5"/>
    <w:rsid w:val="00702160"/>
    <w:rsid w:val="0070272E"/>
    <w:rsid w:val="0070278E"/>
    <w:rsid w:val="00702CFD"/>
    <w:rsid w:val="0070316A"/>
    <w:rsid w:val="00703BA8"/>
    <w:rsid w:val="00703BF5"/>
    <w:rsid w:val="00703CCE"/>
    <w:rsid w:val="00703D11"/>
    <w:rsid w:val="00703D42"/>
    <w:rsid w:val="0070423C"/>
    <w:rsid w:val="00704930"/>
    <w:rsid w:val="00704DBA"/>
    <w:rsid w:val="00704DFF"/>
    <w:rsid w:val="00704EE0"/>
    <w:rsid w:val="0070510C"/>
    <w:rsid w:val="007051B1"/>
    <w:rsid w:val="00705446"/>
    <w:rsid w:val="00705577"/>
    <w:rsid w:val="007058B4"/>
    <w:rsid w:val="00705AA0"/>
    <w:rsid w:val="00705F7F"/>
    <w:rsid w:val="007060AA"/>
    <w:rsid w:val="00706835"/>
    <w:rsid w:val="0070684A"/>
    <w:rsid w:val="007069E7"/>
    <w:rsid w:val="00706CF7"/>
    <w:rsid w:val="00706D34"/>
    <w:rsid w:val="00707475"/>
    <w:rsid w:val="00707592"/>
    <w:rsid w:val="007078F5"/>
    <w:rsid w:val="00707CA3"/>
    <w:rsid w:val="00707CC8"/>
    <w:rsid w:val="00707D00"/>
    <w:rsid w:val="00707D52"/>
    <w:rsid w:val="00710045"/>
    <w:rsid w:val="0071028B"/>
    <w:rsid w:val="00710645"/>
    <w:rsid w:val="00710681"/>
    <w:rsid w:val="00710B1D"/>
    <w:rsid w:val="0071116F"/>
    <w:rsid w:val="007112A1"/>
    <w:rsid w:val="00711358"/>
    <w:rsid w:val="007115B9"/>
    <w:rsid w:val="00711670"/>
    <w:rsid w:val="007119E3"/>
    <w:rsid w:val="0071219C"/>
    <w:rsid w:val="00712554"/>
    <w:rsid w:val="00712B87"/>
    <w:rsid w:val="007134EC"/>
    <w:rsid w:val="00713845"/>
    <w:rsid w:val="00713AA4"/>
    <w:rsid w:val="00713DAE"/>
    <w:rsid w:val="00713EF0"/>
    <w:rsid w:val="0071448E"/>
    <w:rsid w:val="00714A2D"/>
    <w:rsid w:val="00714D90"/>
    <w:rsid w:val="00715136"/>
    <w:rsid w:val="0071536F"/>
    <w:rsid w:val="00715A87"/>
    <w:rsid w:val="00715EEE"/>
    <w:rsid w:val="007161B7"/>
    <w:rsid w:val="00716356"/>
    <w:rsid w:val="007163D6"/>
    <w:rsid w:val="007168D8"/>
    <w:rsid w:val="00716908"/>
    <w:rsid w:val="00716AC7"/>
    <w:rsid w:val="00716AF9"/>
    <w:rsid w:val="00716EF1"/>
    <w:rsid w:val="00716F82"/>
    <w:rsid w:val="007170A5"/>
    <w:rsid w:val="007171F1"/>
    <w:rsid w:val="00717206"/>
    <w:rsid w:val="00717238"/>
    <w:rsid w:val="00717731"/>
    <w:rsid w:val="0071782E"/>
    <w:rsid w:val="00717DEF"/>
    <w:rsid w:val="00717E78"/>
    <w:rsid w:val="00717F3F"/>
    <w:rsid w:val="00720378"/>
    <w:rsid w:val="00720ABB"/>
    <w:rsid w:val="00720BAE"/>
    <w:rsid w:val="00720E00"/>
    <w:rsid w:val="00720E4E"/>
    <w:rsid w:val="00720F94"/>
    <w:rsid w:val="00721342"/>
    <w:rsid w:val="007214F5"/>
    <w:rsid w:val="0072150C"/>
    <w:rsid w:val="007218AE"/>
    <w:rsid w:val="00721F29"/>
    <w:rsid w:val="00721FCE"/>
    <w:rsid w:val="0072217B"/>
    <w:rsid w:val="0072239D"/>
    <w:rsid w:val="00722674"/>
    <w:rsid w:val="007227CD"/>
    <w:rsid w:val="00722A8E"/>
    <w:rsid w:val="00722DC3"/>
    <w:rsid w:val="00722DE3"/>
    <w:rsid w:val="00723361"/>
    <w:rsid w:val="00723A2E"/>
    <w:rsid w:val="00723D17"/>
    <w:rsid w:val="00723D54"/>
    <w:rsid w:val="00723DFE"/>
    <w:rsid w:val="00723FC2"/>
    <w:rsid w:val="0072424D"/>
    <w:rsid w:val="00724732"/>
    <w:rsid w:val="00724B49"/>
    <w:rsid w:val="00724B78"/>
    <w:rsid w:val="00724F3A"/>
    <w:rsid w:val="00724F59"/>
    <w:rsid w:val="00725258"/>
    <w:rsid w:val="0072533A"/>
    <w:rsid w:val="007256E4"/>
    <w:rsid w:val="007259B5"/>
    <w:rsid w:val="00725D30"/>
    <w:rsid w:val="00726034"/>
    <w:rsid w:val="007260F1"/>
    <w:rsid w:val="00726460"/>
    <w:rsid w:val="0072680D"/>
    <w:rsid w:val="00726B1B"/>
    <w:rsid w:val="00726C59"/>
    <w:rsid w:val="00726D70"/>
    <w:rsid w:val="007272C3"/>
    <w:rsid w:val="0072766D"/>
    <w:rsid w:val="0072792C"/>
    <w:rsid w:val="00727BEA"/>
    <w:rsid w:val="00727CE2"/>
    <w:rsid w:val="0073008B"/>
    <w:rsid w:val="00730499"/>
    <w:rsid w:val="0073091B"/>
    <w:rsid w:val="00730C82"/>
    <w:rsid w:val="00730D7A"/>
    <w:rsid w:val="0073110C"/>
    <w:rsid w:val="00731168"/>
    <w:rsid w:val="007313F1"/>
    <w:rsid w:val="007316E1"/>
    <w:rsid w:val="00731993"/>
    <w:rsid w:val="00731E98"/>
    <w:rsid w:val="00732079"/>
    <w:rsid w:val="00732087"/>
    <w:rsid w:val="00732390"/>
    <w:rsid w:val="007323DF"/>
    <w:rsid w:val="00732863"/>
    <w:rsid w:val="00732A86"/>
    <w:rsid w:val="00732CF1"/>
    <w:rsid w:val="00732E0D"/>
    <w:rsid w:val="00733617"/>
    <w:rsid w:val="00733ED7"/>
    <w:rsid w:val="00734346"/>
    <w:rsid w:val="007343F6"/>
    <w:rsid w:val="00734B6D"/>
    <w:rsid w:val="00734C84"/>
    <w:rsid w:val="00734E33"/>
    <w:rsid w:val="007350DF"/>
    <w:rsid w:val="00735147"/>
    <w:rsid w:val="00735582"/>
    <w:rsid w:val="00735617"/>
    <w:rsid w:val="00735A3B"/>
    <w:rsid w:val="00735A9F"/>
    <w:rsid w:val="00735B12"/>
    <w:rsid w:val="00735BB7"/>
    <w:rsid w:val="00735F3A"/>
    <w:rsid w:val="00735FDD"/>
    <w:rsid w:val="007361BB"/>
    <w:rsid w:val="0073682D"/>
    <w:rsid w:val="007369E9"/>
    <w:rsid w:val="007371D3"/>
    <w:rsid w:val="007371F8"/>
    <w:rsid w:val="0073721C"/>
    <w:rsid w:val="00737408"/>
    <w:rsid w:val="007374CB"/>
    <w:rsid w:val="007374E6"/>
    <w:rsid w:val="007379E8"/>
    <w:rsid w:val="00737C7D"/>
    <w:rsid w:val="00737EAA"/>
    <w:rsid w:val="007404D5"/>
    <w:rsid w:val="007405C7"/>
    <w:rsid w:val="00740815"/>
    <w:rsid w:val="00740881"/>
    <w:rsid w:val="00740F1E"/>
    <w:rsid w:val="00740FD3"/>
    <w:rsid w:val="0074108B"/>
    <w:rsid w:val="007410CE"/>
    <w:rsid w:val="0074111F"/>
    <w:rsid w:val="00741505"/>
    <w:rsid w:val="0074164D"/>
    <w:rsid w:val="007417DC"/>
    <w:rsid w:val="00742138"/>
    <w:rsid w:val="00742153"/>
    <w:rsid w:val="007422A8"/>
    <w:rsid w:val="0074236C"/>
    <w:rsid w:val="00742488"/>
    <w:rsid w:val="0074261E"/>
    <w:rsid w:val="007426C5"/>
    <w:rsid w:val="00743FC3"/>
    <w:rsid w:val="00744578"/>
    <w:rsid w:val="007447AD"/>
    <w:rsid w:val="0074533A"/>
    <w:rsid w:val="007456E8"/>
    <w:rsid w:val="00745A89"/>
    <w:rsid w:val="00745DDD"/>
    <w:rsid w:val="00745FEC"/>
    <w:rsid w:val="00746720"/>
    <w:rsid w:val="0074676B"/>
    <w:rsid w:val="00746823"/>
    <w:rsid w:val="00746AFD"/>
    <w:rsid w:val="00746D39"/>
    <w:rsid w:val="00746DF8"/>
    <w:rsid w:val="00746F14"/>
    <w:rsid w:val="00747427"/>
    <w:rsid w:val="0074770D"/>
    <w:rsid w:val="00747A61"/>
    <w:rsid w:val="00747CD6"/>
    <w:rsid w:val="00747D04"/>
    <w:rsid w:val="00750A4E"/>
    <w:rsid w:val="00750C3F"/>
    <w:rsid w:val="00750CCA"/>
    <w:rsid w:val="00750DD9"/>
    <w:rsid w:val="00750FA4"/>
    <w:rsid w:val="007510FD"/>
    <w:rsid w:val="00751219"/>
    <w:rsid w:val="00751408"/>
    <w:rsid w:val="0075173A"/>
    <w:rsid w:val="007518BF"/>
    <w:rsid w:val="00751B10"/>
    <w:rsid w:val="00751D55"/>
    <w:rsid w:val="00751E2E"/>
    <w:rsid w:val="0075204A"/>
    <w:rsid w:val="00752167"/>
    <w:rsid w:val="007521C9"/>
    <w:rsid w:val="00752239"/>
    <w:rsid w:val="00752321"/>
    <w:rsid w:val="0075256D"/>
    <w:rsid w:val="00752A95"/>
    <w:rsid w:val="00752AB0"/>
    <w:rsid w:val="00752B8B"/>
    <w:rsid w:val="00753095"/>
    <w:rsid w:val="007530F2"/>
    <w:rsid w:val="0075318A"/>
    <w:rsid w:val="0075397A"/>
    <w:rsid w:val="00753A5F"/>
    <w:rsid w:val="00753AC3"/>
    <w:rsid w:val="00753D11"/>
    <w:rsid w:val="00753E95"/>
    <w:rsid w:val="007542D7"/>
    <w:rsid w:val="007544B8"/>
    <w:rsid w:val="00754551"/>
    <w:rsid w:val="007549D0"/>
    <w:rsid w:val="00754A0E"/>
    <w:rsid w:val="00754D14"/>
    <w:rsid w:val="00755303"/>
    <w:rsid w:val="007555B0"/>
    <w:rsid w:val="00755667"/>
    <w:rsid w:val="00755921"/>
    <w:rsid w:val="007559D1"/>
    <w:rsid w:val="00756013"/>
    <w:rsid w:val="007560F3"/>
    <w:rsid w:val="0075660C"/>
    <w:rsid w:val="0075668C"/>
    <w:rsid w:val="00756BDD"/>
    <w:rsid w:val="00756FD8"/>
    <w:rsid w:val="0075732A"/>
    <w:rsid w:val="0075738E"/>
    <w:rsid w:val="007575D4"/>
    <w:rsid w:val="007602E7"/>
    <w:rsid w:val="0076075C"/>
    <w:rsid w:val="0076092B"/>
    <w:rsid w:val="00760D69"/>
    <w:rsid w:val="007611F8"/>
    <w:rsid w:val="00761CF0"/>
    <w:rsid w:val="00761D6D"/>
    <w:rsid w:val="00761EBF"/>
    <w:rsid w:val="00761FBD"/>
    <w:rsid w:val="00761FC4"/>
    <w:rsid w:val="007620B7"/>
    <w:rsid w:val="00762798"/>
    <w:rsid w:val="00762920"/>
    <w:rsid w:val="00762AF6"/>
    <w:rsid w:val="00762B8D"/>
    <w:rsid w:val="007630E9"/>
    <w:rsid w:val="00763660"/>
    <w:rsid w:val="0076391D"/>
    <w:rsid w:val="00763A69"/>
    <w:rsid w:val="00763CA5"/>
    <w:rsid w:val="00763E56"/>
    <w:rsid w:val="007640AF"/>
    <w:rsid w:val="00764159"/>
    <w:rsid w:val="007641CB"/>
    <w:rsid w:val="00764565"/>
    <w:rsid w:val="007648F4"/>
    <w:rsid w:val="00764958"/>
    <w:rsid w:val="00764CEB"/>
    <w:rsid w:val="00765852"/>
    <w:rsid w:val="007658A6"/>
    <w:rsid w:val="00765A5B"/>
    <w:rsid w:val="00765AB0"/>
    <w:rsid w:val="00765E00"/>
    <w:rsid w:val="00766024"/>
    <w:rsid w:val="007660DE"/>
    <w:rsid w:val="00766676"/>
    <w:rsid w:val="007667B1"/>
    <w:rsid w:val="0076681A"/>
    <w:rsid w:val="00766953"/>
    <w:rsid w:val="00766A14"/>
    <w:rsid w:val="00766DCE"/>
    <w:rsid w:val="00766F05"/>
    <w:rsid w:val="007674FA"/>
    <w:rsid w:val="00767819"/>
    <w:rsid w:val="00767A8B"/>
    <w:rsid w:val="00767B07"/>
    <w:rsid w:val="00767F9C"/>
    <w:rsid w:val="007704EB"/>
    <w:rsid w:val="007705C8"/>
    <w:rsid w:val="00770A55"/>
    <w:rsid w:val="00770A69"/>
    <w:rsid w:val="00770FFC"/>
    <w:rsid w:val="007714C5"/>
    <w:rsid w:val="00771A7D"/>
    <w:rsid w:val="00771DED"/>
    <w:rsid w:val="00771E1D"/>
    <w:rsid w:val="007721EE"/>
    <w:rsid w:val="0077275C"/>
    <w:rsid w:val="00772AA3"/>
    <w:rsid w:val="00772CA4"/>
    <w:rsid w:val="0077321C"/>
    <w:rsid w:val="007736DF"/>
    <w:rsid w:val="00773AC7"/>
    <w:rsid w:val="00773C14"/>
    <w:rsid w:val="0077441D"/>
    <w:rsid w:val="00774581"/>
    <w:rsid w:val="0077461C"/>
    <w:rsid w:val="0077480B"/>
    <w:rsid w:val="00774A3A"/>
    <w:rsid w:val="00775146"/>
    <w:rsid w:val="00775511"/>
    <w:rsid w:val="007758F8"/>
    <w:rsid w:val="00776ED2"/>
    <w:rsid w:val="00776F1B"/>
    <w:rsid w:val="007770E9"/>
    <w:rsid w:val="00777300"/>
    <w:rsid w:val="007773AE"/>
    <w:rsid w:val="007801C8"/>
    <w:rsid w:val="00780345"/>
    <w:rsid w:val="00780934"/>
    <w:rsid w:val="00780C11"/>
    <w:rsid w:val="00780E8F"/>
    <w:rsid w:val="00780FCC"/>
    <w:rsid w:val="0078111A"/>
    <w:rsid w:val="00781AA8"/>
    <w:rsid w:val="00781C79"/>
    <w:rsid w:val="00781D21"/>
    <w:rsid w:val="00781D44"/>
    <w:rsid w:val="0078212E"/>
    <w:rsid w:val="00782185"/>
    <w:rsid w:val="007823F2"/>
    <w:rsid w:val="00783294"/>
    <w:rsid w:val="00783414"/>
    <w:rsid w:val="0078399A"/>
    <w:rsid w:val="00783A36"/>
    <w:rsid w:val="00783E41"/>
    <w:rsid w:val="00783F93"/>
    <w:rsid w:val="00784098"/>
    <w:rsid w:val="00784980"/>
    <w:rsid w:val="00784A28"/>
    <w:rsid w:val="0078515B"/>
    <w:rsid w:val="007856FE"/>
    <w:rsid w:val="007857F9"/>
    <w:rsid w:val="00785B5E"/>
    <w:rsid w:val="00785F7F"/>
    <w:rsid w:val="007860A8"/>
    <w:rsid w:val="007863A4"/>
    <w:rsid w:val="00786837"/>
    <w:rsid w:val="00786A01"/>
    <w:rsid w:val="00786A78"/>
    <w:rsid w:val="00786ACB"/>
    <w:rsid w:val="007874A1"/>
    <w:rsid w:val="00787545"/>
    <w:rsid w:val="0078756C"/>
    <w:rsid w:val="00787913"/>
    <w:rsid w:val="00787B48"/>
    <w:rsid w:val="00787D27"/>
    <w:rsid w:val="00787F60"/>
    <w:rsid w:val="007901A1"/>
    <w:rsid w:val="007908A3"/>
    <w:rsid w:val="00790C7A"/>
    <w:rsid w:val="00790FAB"/>
    <w:rsid w:val="00791630"/>
    <w:rsid w:val="00791636"/>
    <w:rsid w:val="00791A38"/>
    <w:rsid w:val="00791DC1"/>
    <w:rsid w:val="007920D8"/>
    <w:rsid w:val="00792E28"/>
    <w:rsid w:val="0079302A"/>
    <w:rsid w:val="0079458A"/>
    <w:rsid w:val="00794738"/>
    <w:rsid w:val="00794752"/>
    <w:rsid w:val="007947BB"/>
    <w:rsid w:val="007947E6"/>
    <w:rsid w:val="00794F35"/>
    <w:rsid w:val="00794FAE"/>
    <w:rsid w:val="007950F8"/>
    <w:rsid w:val="007951F6"/>
    <w:rsid w:val="007954F5"/>
    <w:rsid w:val="007957CA"/>
    <w:rsid w:val="0079596E"/>
    <w:rsid w:val="00795A57"/>
    <w:rsid w:val="00795AE8"/>
    <w:rsid w:val="00796052"/>
    <w:rsid w:val="007961C1"/>
    <w:rsid w:val="00796B34"/>
    <w:rsid w:val="007973E9"/>
    <w:rsid w:val="0079760E"/>
    <w:rsid w:val="00797674"/>
    <w:rsid w:val="00797A95"/>
    <w:rsid w:val="00797D17"/>
    <w:rsid w:val="007A015D"/>
    <w:rsid w:val="007A01EE"/>
    <w:rsid w:val="007A0421"/>
    <w:rsid w:val="007A042D"/>
    <w:rsid w:val="007A04EA"/>
    <w:rsid w:val="007A0540"/>
    <w:rsid w:val="007A11BE"/>
    <w:rsid w:val="007A160B"/>
    <w:rsid w:val="007A163D"/>
    <w:rsid w:val="007A16B7"/>
    <w:rsid w:val="007A174A"/>
    <w:rsid w:val="007A19E6"/>
    <w:rsid w:val="007A1C6C"/>
    <w:rsid w:val="007A210C"/>
    <w:rsid w:val="007A2771"/>
    <w:rsid w:val="007A2AE0"/>
    <w:rsid w:val="007A2C9C"/>
    <w:rsid w:val="007A2E3E"/>
    <w:rsid w:val="007A3166"/>
    <w:rsid w:val="007A31BC"/>
    <w:rsid w:val="007A3203"/>
    <w:rsid w:val="007A32EC"/>
    <w:rsid w:val="007A3BE8"/>
    <w:rsid w:val="007A3E58"/>
    <w:rsid w:val="007A45C1"/>
    <w:rsid w:val="007A4AC3"/>
    <w:rsid w:val="007A4B52"/>
    <w:rsid w:val="007A4B98"/>
    <w:rsid w:val="007A4BA2"/>
    <w:rsid w:val="007A4E0A"/>
    <w:rsid w:val="007A504C"/>
    <w:rsid w:val="007A50A0"/>
    <w:rsid w:val="007A5108"/>
    <w:rsid w:val="007A55F1"/>
    <w:rsid w:val="007A5782"/>
    <w:rsid w:val="007A5814"/>
    <w:rsid w:val="007A5DB4"/>
    <w:rsid w:val="007A5EDE"/>
    <w:rsid w:val="007A61FF"/>
    <w:rsid w:val="007A639A"/>
    <w:rsid w:val="007A6B4D"/>
    <w:rsid w:val="007A70CD"/>
    <w:rsid w:val="007A7113"/>
    <w:rsid w:val="007A71A5"/>
    <w:rsid w:val="007A7440"/>
    <w:rsid w:val="007A7837"/>
    <w:rsid w:val="007B00DF"/>
    <w:rsid w:val="007B0949"/>
    <w:rsid w:val="007B0D09"/>
    <w:rsid w:val="007B0ED7"/>
    <w:rsid w:val="007B11A9"/>
    <w:rsid w:val="007B1748"/>
    <w:rsid w:val="007B1757"/>
    <w:rsid w:val="007B1AFC"/>
    <w:rsid w:val="007B1E07"/>
    <w:rsid w:val="007B1E82"/>
    <w:rsid w:val="007B1F09"/>
    <w:rsid w:val="007B23C0"/>
    <w:rsid w:val="007B246E"/>
    <w:rsid w:val="007B2581"/>
    <w:rsid w:val="007B2706"/>
    <w:rsid w:val="007B285B"/>
    <w:rsid w:val="007B2915"/>
    <w:rsid w:val="007B2FA8"/>
    <w:rsid w:val="007B333C"/>
    <w:rsid w:val="007B3510"/>
    <w:rsid w:val="007B3700"/>
    <w:rsid w:val="007B38D1"/>
    <w:rsid w:val="007B3C0F"/>
    <w:rsid w:val="007B3D74"/>
    <w:rsid w:val="007B3DB3"/>
    <w:rsid w:val="007B3F33"/>
    <w:rsid w:val="007B3F92"/>
    <w:rsid w:val="007B4913"/>
    <w:rsid w:val="007B4B70"/>
    <w:rsid w:val="007B508C"/>
    <w:rsid w:val="007B51BA"/>
    <w:rsid w:val="007B553C"/>
    <w:rsid w:val="007B5BFD"/>
    <w:rsid w:val="007B5E1D"/>
    <w:rsid w:val="007B5F80"/>
    <w:rsid w:val="007B6029"/>
    <w:rsid w:val="007B646D"/>
    <w:rsid w:val="007B6513"/>
    <w:rsid w:val="007B6C60"/>
    <w:rsid w:val="007B6C8A"/>
    <w:rsid w:val="007B71C9"/>
    <w:rsid w:val="007B7367"/>
    <w:rsid w:val="007B7874"/>
    <w:rsid w:val="007B7DC2"/>
    <w:rsid w:val="007B7F82"/>
    <w:rsid w:val="007C005B"/>
    <w:rsid w:val="007C070E"/>
    <w:rsid w:val="007C0786"/>
    <w:rsid w:val="007C0B5F"/>
    <w:rsid w:val="007C0B93"/>
    <w:rsid w:val="007C0C04"/>
    <w:rsid w:val="007C12A9"/>
    <w:rsid w:val="007C150E"/>
    <w:rsid w:val="007C2009"/>
    <w:rsid w:val="007C21AE"/>
    <w:rsid w:val="007C237B"/>
    <w:rsid w:val="007C310C"/>
    <w:rsid w:val="007C315D"/>
    <w:rsid w:val="007C3323"/>
    <w:rsid w:val="007C3347"/>
    <w:rsid w:val="007C3687"/>
    <w:rsid w:val="007C385A"/>
    <w:rsid w:val="007C396E"/>
    <w:rsid w:val="007C3E2B"/>
    <w:rsid w:val="007C3FDC"/>
    <w:rsid w:val="007C4047"/>
    <w:rsid w:val="007C47EF"/>
    <w:rsid w:val="007C49CF"/>
    <w:rsid w:val="007C4BEB"/>
    <w:rsid w:val="007C4C9C"/>
    <w:rsid w:val="007C508B"/>
    <w:rsid w:val="007C51C7"/>
    <w:rsid w:val="007C526A"/>
    <w:rsid w:val="007C538A"/>
    <w:rsid w:val="007C5AC2"/>
    <w:rsid w:val="007C5D03"/>
    <w:rsid w:val="007C69A2"/>
    <w:rsid w:val="007C69B9"/>
    <w:rsid w:val="007C69F4"/>
    <w:rsid w:val="007C6DD3"/>
    <w:rsid w:val="007C711C"/>
    <w:rsid w:val="007C7613"/>
    <w:rsid w:val="007C7785"/>
    <w:rsid w:val="007C7B25"/>
    <w:rsid w:val="007C7FA8"/>
    <w:rsid w:val="007C7FB9"/>
    <w:rsid w:val="007D0101"/>
    <w:rsid w:val="007D0608"/>
    <w:rsid w:val="007D0BD8"/>
    <w:rsid w:val="007D1340"/>
    <w:rsid w:val="007D1536"/>
    <w:rsid w:val="007D15C1"/>
    <w:rsid w:val="007D19C1"/>
    <w:rsid w:val="007D2038"/>
    <w:rsid w:val="007D2264"/>
    <w:rsid w:val="007D24B0"/>
    <w:rsid w:val="007D2579"/>
    <w:rsid w:val="007D27C6"/>
    <w:rsid w:val="007D2F08"/>
    <w:rsid w:val="007D2F96"/>
    <w:rsid w:val="007D325A"/>
    <w:rsid w:val="007D328D"/>
    <w:rsid w:val="007D39CE"/>
    <w:rsid w:val="007D3DA4"/>
    <w:rsid w:val="007D4550"/>
    <w:rsid w:val="007D465B"/>
    <w:rsid w:val="007D471E"/>
    <w:rsid w:val="007D4B73"/>
    <w:rsid w:val="007D5531"/>
    <w:rsid w:val="007D56CB"/>
    <w:rsid w:val="007D56E9"/>
    <w:rsid w:val="007D5C03"/>
    <w:rsid w:val="007D5D6A"/>
    <w:rsid w:val="007D5F65"/>
    <w:rsid w:val="007D63B5"/>
    <w:rsid w:val="007D69E5"/>
    <w:rsid w:val="007D6CDA"/>
    <w:rsid w:val="007D6E10"/>
    <w:rsid w:val="007D730B"/>
    <w:rsid w:val="007D73ED"/>
    <w:rsid w:val="007D75D7"/>
    <w:rsid w:val="007D7698"/>
    <w:rsid w:val="007D7AE3"/>
    <w:rsid w:val="007D7BE5"/>
    <w:rsid w:val="007D7E6E"/>
    <w:rsid w:val="007E0046"/>
    <w:rsid w:val="007E0869"/>
    <w:rsid w:val="007E08E1"/>
    <w:rsid w:val="007E0A5D"/>
    <w:rsid w:val="007E0D3B"/>
    <w:rsid w:val="007E1220"/>
    <w:rsid w:val="007E1271"/>
    <w:rsid w:val="007E14BD"/>
    <w:rsid w:val="007E14BE"/>
    <w:rsid w:val="007E159B"/>
    <w:rsid w:val="007E1766"/>
    <w:rsid w:val="007E17E9"/>
    <w:rsid w:val="007E19CF"/>
    <w:rsid w:val="007E1F0A"/>
    <w:rsid w:val="007E2156"/>
    <w:rsid w:val="007E258E"/>
    <w:rsid w:val="007E29CC"/>
    <w:rsid w:val="007E2B4F"/>
    <w:rsid w:val="007E2C0B"/>
    <w:rsid w:val="007E2CAA"/>
    <w:rsid w:val="007E2CCC"/>
    <w:rsid w:val="007E3333"/>
    <w:rsid w:val="007E3420"/>
    <w:rsid w:val="007E34E0"/>
    <w:rsid w:val="007E3774"/>
    <w:rsid w:val="007E3B0D"/>
    <w:rsid w:val="007E3C6D"/>
    <w:rsid w:val="007E3DC4"/>
    <w:rsid w:val="007E43F2"/>
    <w:rsid w:val="007E45F6"/>
    <w:rsid w:val="007E4B35"/>
    <w:rsid w:val="007E4FCF"/>
    <w:rsid w:val="007E50F3"/>
    <w:rsid w:val="007E5391"/>
    <w:rsid w:val="007E5706"/>
    <w:rsid w:val="007E5E62"/>
    <w:rsid w:val="007E6551"/>
    <w:rsid w:val="007E686F"/>
    <w:rsid w:val="007E6CEF"/>
    <w:rsid w:val="007E719C"/>
    <w:rsid w:val="007E734E"/>
    <w:rsid w:val="007E75A3"/>
    <w:rsid w:val="007E76DA"/>
    <w:rsid w:val="007E79A5"/>
    <w:rsid w:val="007E7B61"/>
    <w:rsid w:val="007F0083"/>
    <w:rsid w:val="007F02DD"/>
    <w:rsid w:val="007F047C"/>
    <w:rsid w:val="007F080F"/>
    <w:rsid w:val="007F0911"/>
    <w:rsid w:val="007F0DB1"/>
    <w:rsid w:val="007F0E64"/>
    <w:rsid w:val="007F0EAC"/>
    <w:rsid w:val="007F106C"/>
    <w:rsid w:val="007F11D8"/>
    <w:rsid w:val="007F13D5"/>
    <w:rsid w:val="007F1A46"/>
    <w:rsid w:val="007F1C01"/>
    <w:rsid w:val="007F1C9A"/>
    <w:rsid w:val="007F1ECE"/>
    <w:rsid w:val="007F1F19"/>
    <w:rsid w:val="007F229E"/>
    <w:rsid w:val="007F28BD"/>
    <w:rsid w:val="007F298D"/>
    <w:rsid w:val="007F2CAF"/>
    <w:rsid w:val="007F30CD"/>
    <w:rsid w:val="007F3231"/>
    <w:rsid w:val="007F364C"/>
    <w:rsid w:val="007F3709"/>
    <w:rsid w:val="007F42A4"/>
    <w:rsid w:val="007F4499"/>
    <w:rsid w:val="007F4DDC"/>
    <w:rsid w:val="007F5257"/>
    <w:rsid w:val="007F5816"/>
    <w:rsid w:val="007F5A6E"/>
    <w:rsid w:val="007F613F"/>
    <w:rsid w:val="007F6C80"/>
    <w:rsid w:val="007F6DC8"/>
    <w:rsid w:val="007F6F20"/>
    <w:rsid w:val="007F741C"/>
    <w:rsid w:val="007F7850"/>
    <w:rsid w:val="007F78EC"/>
    <w:rsid w:val="007F7960"/>
    <w:rsid w:val="007F7D74"/>
    <w:rsid w:val="007F7F9B"/>
    <w:rsid w:val="008001C9"/>
    <w:rsid w:val="008005F2"/>
    <w:rsid w:val="0080060B"/>
    <w:rsid w:val="00800C23"/>
    <w:rsid w:val="00800C5F"/>
    <w:rsid w:val="00800CBC"/>
    <w:rsid w:val="00800E39"/>
    <w:rsid w:val="00800EB2"/>
    <w:rsid w:val="00800ED5"/>
    <w:rsid w:val="008010CD"/>
    <w:rsid w:val="0080141D"/>
    <w:rsid w:val="00801728"/>
    <w:rsid w:val="008017A0"/>
    <w:rsid w:val="008018D2"/>
    <w:rsid w:val="00801B6C"/>
    <w:rsid w:val="00801DE7"/>
    <w:rsid w:val="008021B7"/>
    <w:rsid w:val="00802217"/>
    <w:rsid w:val="008026DC"/>
    <w:rsid w:val="008027CA"/>
    <w:rsid w:val="0080299E"/>
    <w:rsid w:val="00802BD3"/>
    <w:rsid w:val="00802CE1"/>
    <w:rsid w:val="00802FA5"/>
    <w:rsid w:val="008032E0"/>
    <w:rsid w:val="0080357F"/>
    <w:rsid w:val="008039CA"/>
    <w:rsid w:val="00803C8D"/>
    <w:rsid w:val="00803CBE"/>
    <w:rsid w:val="00803EA3"/>
    <w:rsid w:val="0080437C"/>
    <w:rsid w:val="008043C1"/>
    <w:rsid w:val="008045E4"/>
    <w:rsid w:val="008047F5"/>
    <w:rsid w:val="0080498B"/>
    <w:rsid w:val="00804AA9"/>
    <w:rsid w:val="00804CEE"/>
    <w:rsid w:val="00805075"/>
    <w:rsid w:val="00805421"/>
    <w:rsid w:val="008055BE"/>
    <w:rsid w:val="00805983"/>
    <w:rsid w:val="00805ACC"/>
    <w:rsid w:val="00805BFB"/>
    <w:rsid w:val="00805C32"/>
    <w:rsid w:val="00805CEF"/>
    <w:rsid w:val="00805D3D"/>
    <w:rsid w:val="00805DD5"/>
    <w:rsid w:val="00805F0C"/>
    <w:rsid w:val="0080642F"/>
    <w:rsid w:val="00806561"/>
    <w:rsid w:val="00806BD2"/>
    <w:rsid w:val="008070CD"/>
    <w:rsid w:val="00807643"/>
    <w:rsid w:val="008078D1"/>
    <w:rsid w:val="00807AC3"/>
    <w:rsid w:val="00807B32"/>
    <w:rsid w:val="00807C17"/>
    <w:rsid w:val="00807C2A"/>
    <w:rsid w:val="0081045E"/>
    <w:rsid w:val="008107ED"/>
    <w:rsid w:val="00810C54"/>
    <w:rsid w:val="00810E06"/>
    <w:rsid w:val="00810F89"/>
    <w:rsid w:val="00811029"/>
    <w:rsid w:val="00811382"/>
    <w:rsid w:val="00811496"/>
    <w:rsid w:val="008116D1"/>
    <w:rsid w:val="00811702"/>
    <w:rsid w:val="00811842"/>
    <w:rsid w:val="0081184B"/>
    <w:rsid w:val="00811857"/>
    <w:rsid w:val="0081190D"/>
    <w:rsid w:val="00811D7B"/>
    <w:rsid w:val="008127DB"/>
    <w:rsid w:val="00812B43"/>
    <w:rsid w:val="008130CC"/>
    <w:rsid w:val="00813495"/>
    <w:rsid w:val="00813FF1"/>
    <w:rsid w:val="00814761"/>
    <w:rsid w:val="00814A56"/>
    <w:rsid w:val="00814D1B"/>
    <w:rsid w:val="00815142"/>
    <w:rsid w:val="008153CC"/>
    <w:rsid w:val="0081563B"/>
    <w:rsid w:val="008159A8"/>
    <w:rsid w:val="00815B54"/>
    <w:rsid w:val="0081648D"/>
    <w:rsid w:val="00816CF6"/>
    <w:rsid w:val="00816EC1"/>
    <w:rsid w:val="008170B6"/>
    <w:rsid w:val="0081729A"/>
    <w:rsid w:val="008175AC"/>
    <w:rsid w:val="00817CB8"/>
    <w:rsid w:val="00817E2E"/>
    <w:rsid w:val="008204C5"/>
    <w:rsid w:val="00820692"/>
    <w:rsid w:val="00820844"/>
    <w:rsid w:val="0082085B"/>
    <w:rsid w:val="00820F2C"/>
    <w:rsid w:val="00821120"/>
    <w:rsid w:val="00821159"/>
    <w:rsid w:val="0082117C"/>
    <w:rsid w:val="008216BE"/>
    <w:rsid w:val="008216CD"/>
    <w:rsid w:val="00821824"/>
    <w:rsid w:val="00821D0A"/>
    <w:rsid w:val="00821E40"/>
    <w:rsid w:val="00821E5D"/>
    <w:rsid w:val="00821EA5"/>
    <w:rsid w:val="00821EE3"/>
    <w:rsid w:val="00822069"/>
    <w:rsid w:val="008221EF"/>
    <w:rsid w:val="0082222F"/>
    <w:rsid w:val="0082226E"/>
    <w:rsid w:val="00822502"/>
    <w:rsid w:val="00822AD9"/>
    <w:rsid w:val="008234C1"/>
    <w:rsid w:val="00823533"/>
    <w:rsid w:val="008235B5"/>
    <w:rsid w:val="008237D6"/>
    <w:rsid w:val="00823851"/>
    <w:rsid w:val="0082387C"/>
    <w:rsid w:val="00823C10"/>
    <w:rsid w:val="00823CC6"/>
    <w:rsid w:val="00823D79"/>
    <w:rsid w:val="00824038"/>
    <w:rsid w:val="00824152"/>
    <w:rsid w:val="0082450A"/>
    <w:rsid w:val="0082468F"/>
    <w:rsid w:val="00824801"/>
    <w:rsid w:val="0082514C"/>
    <w:rsid w:val="008253B4"/>
    <w:rsid w:val="00825D31"/>
    <w:rsid w:val="00825F71"/>
    <w:rsid w:val="00826041"/>
    <w:rsid w:val="00826189"/>
    <w:rsid w:val="008266F8"/>
    <w:rsid w:val="00826882"/>
    <w:rsid w:val="00826D77"/>
    <w:rsid w:val="00826F6C"/>
    <w:rsid w:val="008270C5"/>
    <w:rsid w:val="00827387"/>
    <w:rsid w:val="0082749E"/>
    <w:rsid w:val="0082778C"/>
    <w:rsid w:val="00827ABF"/>
    <w:rsid w:val="00827C72"/>
    <w:rsid w:val="00827D2D"/>
    <w:rsid w:val="00827E29"/>
    <w:rsid w:val="00827F3F"/>
    <w:rsid w:val="00830576"/>
    <w:rsid w:val="00830665"/>
    <w:rsid w:val="00830781"/>
    <w:rsid w:val="008307EE"/>
    <w:rsid w:val="00830E1D"/>
    <w:rsid w:val="00830FC9"/>
    <w:rsid w:val="0083173B"/>
    <w:rsid w:val="008317B6"/>
    <w:rsid w:val="008317E6"/>
    <w:rsid w:val="00831BAC"/>
    <w:rsid w:val="00832439"/>
    <w:rsid w:val="00832646"/>
    <w:rsid w:val="00832849"/>
    <w:rsid w:val="00832BA7"/>
    <w:rsid w:val="00832CD8"/>
    <w:rsid w:val="0083309B"/>
    <w:rsid w:val="008332F5"/>
    <w:rsid w:val="008333D8"/>
    <w:rsid w:val="00833AE5"/>
    <w:rsid w:val="00833AE9"/>
    <w:rsid w:val="00833C8A"/>
    <w:rsid w:val="00833E90"/>
    <w:rsid w:val="0083413B"/>
    <w:rsid w:val="0083470B"/>
    <w:rsid w:val="00834980"/>
    <w:rsid w:val="00834A99"/>
    <w:rsid w:val="00834F9F"/>
    <w:rsid w:val="00834FDB"/>
    <w:rsid w:val="0083518E"/>
    <w:rsid w:val="00835273"/>
    <w:rsid w:val="0083534C"/>
    <w:rsid w:val="008356DB"/>
    <w:rsid w:val="0083578C"/>
    <w:rsid w:val="008358B2"/>
    <w:rsid w:val="00836068"/>
    <w:rsid w:val="00836A5B"/>
    <w:rsid w:val="00836B1A"/>
    <w:rsid w:val="00836BDF"/>
    <w:rsid w:val="00836D58"/>
    <w:rsid w:val="00837003"/>
    <w:rsid w:val="008373FC"/>
    <w:rsid w:val="008377D6"/>
    <w:rsid w:val="00837B39"/>
    <w:rsid w:val="008400E9"/>
    <w:rsid w:val="008403FB"/>
    <w:rsid w:val="00840638"/>
    <w:rsid w:val="008408C5"/>
    <w:rsid w:val="00840EAE"/>
    <w:rsid w:val="008411B6"/>
    <w:rsid w:val="008413DC"/>
    <w:rsid w:val="0084150A"/>
    <w:rsid w:val="00841549"/>
    <w:rsid w:val="00841A05"/>
    <w:rsid w:val="0084224B"/>
    <w:rsid w:val="008424C5"/>
    <w:rsid w:val="008426CB"/>
    <w:rsid w:val="008427AA"/>
    <w:rsid w:val="00842B9A"/>
    <w:rsid w:val="00842E00"/>
    <w:rsid w:val="00842F1B"/>
    <w:rsid w:val="008431EB"/>
    <w:rsid w:val="00843473"/>
    <w:rsid w:val="00844129"/>
    <w:rsid w:val="0084426F"/>
    <w:rsid w:val="00844317"/>
    <w:rsid w:val="0084498A"/>
    <w:rsid w:val="00844C86"/>
    <w:rsid w:val="00845484"/>
    <w:rsid w:val="00845667"/>
    <w:rsid w:val="0084597A"/>
    <w:rsid w:val="00845B08"/>
    <w:rsid w:val="00845D0F"/>
    <w:rsid w:val="00845DD5"/>
    <w:rsid w:val="00845EC4"/>
    <w:rsid w:val="0084622A"/>
    <w:rsid w:val="00846324"/>
    <w:rsid w:val="0084684A"/>
    <w:rsid w:val="008469D4"/>
    <w:rsid w:val="008471C2"/>
    <w:rsid w:val="00847239"/>
    <w:rsid w:val="008479AF"/>
    <w:rsid w:val="00847EBF"/>
    <w:rsid w:val="00850A5F"/>
    <w:rsid w:val="00850C79"/>
    <w:rsid w:val="00850CD0"/>
    <w:rsid w:val="00850E12"/>
    <w:rsid w:val="00851027"/>
    <w:rsid w:val="00851293"/>
    <w:rsid w:val="00851675"/>
    <w:rsid w:val="0085171B"/>
    <w:rsid w:val="008518CA"/>
    <w:rsid w:val="00851BB7"/>
    <w:rsid w:val="00851C4A"/>
    <w:rsid w:val="00853266"/>
    <w:rsid w:val="008549E0"/>
    <w:rsid w:val="00854E95"/>
    <w:rsid w:val="00854F1B"/>
    <w:rsid w:val="00854F3E"/>
    <w:rsid w:val="008552BC"/>
    <w:rsid w:val="008555BA"/>
    <w:rsid w:val="00855830"/>
    <w:rsid w:val="00856704"/>
    <w:rsid w:val="00856B1D"/>
    <w:rsid w:val="00856EDA"/>
    <w:rsid w:val="00856F40"/>
    <w:rsid w:val="00857161"/>
    <w:rsid w:val="00860404"/>
    <w:rsid w:val="00860562"/>
    <w:rsid w:val="00860AE2"/>
    <w:rsid w:val="00860B7E"/>
    <w:rsid w:val="00860D33"/>
    <w:rsid w:val="0086119F"/>
    <w:rsid w:val="008614DA"/>
    <w:rsid w:val="00861B68"/>
    <w:rsid w:val="00861EBA"/>
    <w:rsid w:val="008622D0"/>
    <w:rsid w:val="008628CD"/>
    <w:rsid w:val="00862902"/>
    <w:rsid w:val="0086309C"/>
    <w:rsid w:val="0086309E"/>
    <w:rsid w:val="00863107"/>
    <w:rsid w:val="0086322A"/>
    <w:rsid w:val="00863319"/>
    <w:rsid w:val="00863504"/>
    <w:rsid w:val="00863C74"/>
    <w:rsid w:val="00863E5B"/>
    <w:rsid w:val="00863E93"/>
    <w:rsid w:val="00863EB6"/>
    <w:rsid w:val="008642E3"/>
    <w:rsid w:val="008644F8"/>
    <w:rsid w:val="00864B40"/>
    <w:rsid w:val="00865036"/>
    <w:rsid w:val="0086515A"/>
    <w:rsid w:val="008651CA"/>
    <w:rsid w:val="00865679"/>
    <w:rsid w:val="0086574D"/>
    <w:rsid w:val="008659B7"/>
    <w:rsid w:val="00865B03"/>
    <w:rsid w:val="00865DBA"/>
    <w:rsid w:val="008664F5"/>
    <w:rsid w:val="008665D0"/>
    <w:rsid w:val="00866781"/>
    <w:rsid w:val="008667D2"/>
    <w:rsid w:val="00866877"/>
    <w:rsid w:val="00866A4E"/>
    <w:rsid w:val="00866CA6"/>
    <w:rsid w:val="00867240"/>
    <w:rsid w:val="00867A36"/>
    <w:rsid w:val="00867ECE"/>
    <w:rsid w:val="00867F45"/>
    <w:rsid w:val="008703B4"/>
    <w:rsid w:val="008703B8"/>
    <w:rsid w:val="008703D8"/>
    <w:rsid w:val="0087046B"/>
    <w:rsid w:val="008708AF"/>
    <w:rsid w:val="008710BF"/>
    <w:rsid w:val="008711BC"/>
    <w:rsid w:val="008717DA"/>
    <w:rsid w:val="00871C51"/>
    <w:rsid w:val="00871FC1"/>
    <w:rsid w:val="00871FC8"/>
    <w:rsid w:val="008726E0"/>
    <w:rsid w:val="00872741"/>
    <w:rsid w:val="00872AE7"/>
    <w:rsid w:val="00872B6C"/>
    <w:rsid w:val="00872BCC"/>
    <w:rsid w:val="00872BD6"/>
    <w:rsid w:val="00873518"/>
    <w:rsid w:val="00873601"/>
    <w:rsid w:val="00873C25"/>
    <w:rsid w:val="00873C36"/>
    <w:rsid w:val="0087413F"/>
    <w:rsid w:val="008748D9"/>
    <w:rsid w:val="00874A16"/>
    <w:rsid w:val="00874AA3"/>
    <w:rsid w:val="00874D45"/>
    <w:rsid w:val="00874E6E"/>
    <w:rsid w:val="00874E83"/>
    <w:rsid w:val="00875250"/>
    <w:rsid w:val="0087526D"/>
    <w:rsid w:val="0087564F"/>
    <w:rsid w:val="00875727"/>
    <w:rsid w:val="00875992"/>
    <w:rsid w:val="00875CA2"/>
    <w:rsid w:val="00876087"/>
    <w:rsid w:val="0087647B"/>
    <w:rsid w:val="00876A4C"/>
    <w:rsid w:val="0087752C"/>
    <w:rsid w:val="008776D7"/>
    <w:rsid w:val="00877E0A"/>
    <w:rsid w:val="0088002B"/>
    <w:rsid w:val="008804E3"/>
    <w:rsid w:val="008806D1"/>
    <w:rsid w:val="00880B68"/>
    <w:rsid w:val="00880C13"/>
    <w:rsid w:val="00880C60"/>
    <w:rsid w:val="00880F5E"/>
    <w:rsid w:val="00881296"/>
    <w:rsid w:val="0088154D"/>
    <w:rsid w:val="0088175E"/>
    <w:rsid w:val="0088200C"/>
    <w:rsid w:val="00882119"/>
    <w:rsid w:val="0088217E"/>
    <w:rsid w:val="0088237A"/>
    <w:rsid w:val="00882543"/>
    <w:rsid w:val="00882D4E"/>
    <w:rsid w:val="00882FED"/>
    <w:rsid w:val="008832DF"/>
    <w:rsid w:val="0088351C"/>
    <w:rsid w:val="00883829"/>
    <w:rsid w:val="00883968"/>
    <w:rsid w:val="008839F1"/>
    <w:rsid w:val="0088415F"/>
    <w:rsid w:val="0088420F"/>
    <w:rsid w:val="00884504"/>
    <w:rsid w:val="00884A7A"/>
    <w:rsid w:val="00884D5D"/>
    <w:rsid w:val="0088513E"/>
    <w:rsid w:val="008851FB"/>
    <w:rsid w:val="0088597B"/>
    <w:rsid w:val="00885F64"/>
    <w:rsid w:val="00886173"/>
    <w:rsid w:val="0088629F"/>
    <w:rsid w:val="00886392"/>
    <w:rsid w:val="0088661A"/>
    <w:rsid w:val="008870C3"/>
    <w:rsid w:val="00887242"/>
    <w:rsid w:val="0088755B"/>
    <w:rsid w:val="008878F1"/>
    <w:rsid w:val="00887934"/>
    <w:rsid w:val="00887C8F"/>
    <w:rsid w:val="00887DE1"/>
    <w:rsid w:val="008900C1"/>
    <w:rsid w:val="00890124"/>
    <w:rsid w:val="0089023F"/>
    <w:rsid w:val="0089030B"/>
    <w:rsid w:val="00890404"/>
    <w:rsid w:val="008905DA"/>
    <w:rsid w:val="00890A22"/>
    <w:rsid w:val="00890A55"/>
    <w:rsid w:val="00890ABA"/>
    <w:rsid w:val="00890DD2"/>
    <w:rsid w:val="00891C71"/>
    <w:rsid w:val="00891D29"/>
    <w:rsid w:val="00891D76"/>
    <w:rsid w:val="00891F61"/>
    <w:rsid w:val="00891F8F"/>
    <w:rsid w:val="00892137"/>
    <w:rsid w:val="00892209"/>
    <w:rsid w:val="008922BF"/>
    <w:rsid w:val="00892323"/>
    <w:rsid w:val="008925EF"/>
    <w:rsid w:val="00892719"/>
    <w:rsid w:val="008927F5"/>
    <w:rsid w:val="0089282B"/>
    <w:rsid w:val="00892838"/>
    <w:rsid w:val="00892967"/>
    <w:rsid w:val="008929D7"/>
    <w:rsid w:val="00892A06"/>
    <w:rsid w:val="00892A4C"/>
    <w:rsid w:val="00892A74"/>
    <w:rsid w:val="0089315D"/>
    <w:rsid w:val="00893215"/>
    <w:rsid w:val="008933F4"/>
    <w:rsid w:val="0089355D"/>
    <w:rsid w:val="008937BF"/>
    <w:rsid w:val="00893949"/>
    <w:rsid w:val="00893990"/>
    <w:rsid w:val="008939CF"/>
    <w:rsid w:val="00893BAB"/>
    <w:rsid w:val="00893C45"/>
    <w:rsid w:val="00893DE9"/>
    <w:rsid w:val="00893EB8"/>
    <w:rsid w:val="00893FC9"/>
    <w:rsid w:val="00894121"/>
    <w:rsid w:val="00894157"/>
    <w:rsid w:val="008942E2"/>
    <w:rsid w:val="008943D5"/>
    <w:rsid w:val="0089472F"/>
    <w:rsid w:val="0089485A"/>
    <w:rsid w:val="00894AC1"/>
    <w:rsid w:val="00894C4A"/>
    <w:rsid w:val="008951A0"/>
    <w:rsid w:val="008952D7"/>
    <w:rsid w:val="00895752"/>
    <w:rsid w:val="0089582F"/>
    <w:rsid w:val="00896225"/>
    <w:rsid w:val="00896257"/>
    <w:rsid w:val="00896467"/>
    <w:rsid w:val="00896EAC"/>
    <w:rsid w:val="00896F03"/>
    <w:rsid w:val="00897159"/>
    <w:rsid w:val="0089734B"/>
    <w:rsid w:val="008974C0"/>
    <w:rsid w:val="008977F1"/>
    <w:rsid w:val="00897CE4"/>
    <w:rsid w:val="00897DE8"/>
    <w:rsid w:val="008A00B5"/>
    <w:rsid w:val="008A0138"/>
    <w:rsid w:val="008A025F"/>
    <w:rsid w:val="008A03C7"/>
    <w:rsid w:val="008A090A"/>
    <w:rsid w:val="008A0D57"/>
    <w:rsid w:val="008A1171"/>
    <w:rsid w:val="008A13CF"/>
    <w:rsid w:val="008A163B"/>
    <w:rsid w:val="008A1726"/>
    <w:rsid w:val="008A1903"/>
    <w:rsid w:val="008A19D1"/>
    <w:rsid w:val="008A20B8"/>
    <w:rsid w:val="008A23C5"/>
    <w:rsid w:val="008A2BBE"/>
    <w:rsid w:val="008A2C3E"/>
    <w:rsid w:val="008A300E"/>
    <w:rsid w:val="008A3132"/>
    <w:rsid w:val="008A34E1"/>
    <w:rsid w:val="008A35F4"/>
    <w:rsid w:val="008A3937"/>
    <w:rsid w:val="008A40EF"/>
    <w:rsid w:val="008A41C5"/>
    <w:rsid w:val="008A4556"/>
    <w:rsid w:val="008A46CA"/>
    <w:rsid w:val="008A4965"/>
    <w:rsid w:val="008A4B30"/>
    <w:rsid w:val="008A4E6C"/>
    <w:rsid w:val="008A57C8"/>
    <w:rsid w:val="008A610D"/>
    <w:rsid w:val="008A623A"/>
    <w:rsid w:val="008A6696"/>
    <w:rsid w:val="008A6AED"/>
    <w:rsid w:val="008A6E6E"/>
    <w:rsid w:val="008A73A5"/>
    <w:rsid w:val="008A76C4"/>
    <w:rsid w:val="008A7D3B"/>
    <w:rsid w:val="008B012D"/>
    <w:rsid w:val="008B0318"/>
    <w:rsid w:val="008B04AB"/>
    <w:rsid w:val="008B0559"/>
    <w:rsid w:val="008B0582"/>
    <w:rsid w:val="008B05BF"/>
    <w:rsid w:val="008B072B"/>
    <w:rsid w:val="008B090A"/>
    <w:rsid w:val="008B0A6E"/>
    <w:rsid w:val="008B0BA6"/>
    <w:rsid w:val="008B0C6F"/>
    <w:rsid w:val="008B0CB4"/>
    <w:rsid w:val="008B0E99"/>
    <w:rsid w:val="008B0E9E"/>
    <w:rsid w:val="008B151F"/>
    <w:rsid w:val="008B168E"/>
    <w:rsid w:val="008B1D95"/>
    <w:rsid w:val="008B2089"/>
    <w:rsid w:val="008B20BB"/>
    <w:rsid w:val="008B2324"/>
    <w:rsid w:val="008B2B3B"/>
    <w:rsid w:val="008B2DD8"/>
    <w:rsid w:val="008B2E4A"/>
    <w:rsid w:val="008B2EA6"/>
    <w:rsid w:val="008B310A"/>
    <w:rsid w:val="008B380C"/>
    <w:rsid w:val="008B3E89"/>
    <w:rsid w:val="008B4384"/>
    <w:rsid w:val="008B4961"/>
    <w:rsid w:val="008B4A66"/>
    <w:rsid w:val="008B4DF0"/>
    <w:rsid w:val="008B5593"/>
    <w:rsid w:val="008B5636"/>
    <w:rsid w:val="008B5ED7"/>
    <w:rsid w:val="008B61FF"/>
    <w:rsid w:val="008B65A5"/>
    <w:rsid w:val="008B6B17"/>
    <w:rsid w:val="008B6CF8"/>
    <w:rsid w:val="008B7392"/>
    <w:rsid w:val="008B73D6"/>
    <w:rsid w:val="008B786B"/>
    <w:rsid w:val="008B7A58"/>
    <w:rsid w:val="008B7C07"/>
    <w:rsid w:val="008C01D7"/>
    <w:rsid w:val="008C01DC"/>
    <w:rsid w:val="008C01E8"/>
    <w:rsid w:val="008C08CA"/>
    <w:rsid w:val="008C0B36"/>
    <w:rsid w:val="008C1935"/>
    <w:rsid w:val="008C1DE2"/>
    <w:rsid w:val="008C1F46"/>
    <w:rsid w:val="008C1FB3"/>
    <w:rsid w:val="008C21C8"/>
    <w:rsid w:val="008C23F7"/>
    <w:rsid w:val="008C2413"/>
    <w:rsid w:val="008C2449"/>
    <w:rsid w:val="008C2896"/>
    <w:rsid w:val="008C2D5E"/>
    <w:rsid w:val="008C2E99"/>
    <w:rsid w:val="008C2FFB"/>
    <w:rsid w:val="008C3639"/>
    <w:rsid w:val="008C3642"/>
    <w:rsid w:val="008C415C"/>
    <w:rsid w:val="008C427A"/>
    <w:rsid w:val="008C4356"/>
    <w:rsid w:val="008C4565"/>
    <w:rsid w:val="008C499C"/>
    <w:rsid w:val="008C4F1B"/>
    <w:rsid w:val="008C5202"/>
    <w:rsid w:val="008C53CD"/>
    <w:rsid w:val="008C5444"/>
    <w:rsid w:val="008C5A1E"/>
    <w:rsid w:val="008C60E6"/>
    <w:rsid w:val="008C6279"/>
    <w:rsid w:val="008C62CF"/>
    <w:rsid w:val="008C639F"/>
    <w:rsid w:val="008C65FD"/>
    <w:rsid w:val="008C71B0"/>
    <w:rsid w:val="008C7216"/>
    <w:rsid w:val="008C7360"/>
    <w:rsid w:val="008C736A"/>
    <w:rsid w:val="008C73FC"/>
    <w:rsid w:val="008C74AE"/>
    <w:rsid w:val="008C771F"/>
    <w:rsid w:val="008C7883"/>
    <w:rsid w:val="008C7927"/>
    <w:rsid w:val="008C7CDD"/>
    <w:rsid w:val="008C7F71"/>
    <w:rsid w:val="008D0323"/>
    <w:rsid w:val="008D0527"/>
    <w:rsid w:val="008D085B"/>
    <w:rsid w:val="008D087A"/>
    <w:rsid w:val="008D1043"/>
    <w:rsid w:val="008D195A"/>
    <w:rsid w:val="008D19E7"/>
    <w:rsid w:val="008D1D3B"/>
    <w:rsid w:val="008D214F"/>
    <w:rsid w:val="008D24CD"/>
    <w:rsid w:val="008D2698"/>
    <w:rsid w:val="008D26CE"/>
    <w:rsid w:val="008D28B5"/>
    <w:rsid w:val="008D2CAF"/>
    <w:rsid w:val="008D2DE5"/>
    <w:rsid w:val="008D3507"/>
    <w:rsid w:val="008D36E2"/>
    <w:rsid w:val="008D39A3"/>
    <w:rsid w:val="008D3DC4"/>
    <w:rsid w:val="008D3E0C"/>
    <w:rsid w:val="008D4130"/>
    <w:rsid w:val="008D42C5"/>
    <w:rsid w:val="008D4392"/>
    <w:rsid w:val="008D475F"/>
    <w:rsid w:val="008D484D"/>
    <w:rsid w:val="008D4AEF"/>
    <w:rsid w:val="008D4D64"/>
    <w:rsid w:val="008D4E15"/>
    <w:rsid w:val="008D4F0F"/>
    <w:rsid w:val="008D509E"/>
    <w:rsid w:val="008D52F4"/>
    <w:rsid w:val="008D560D"/>
    <w:rsid w:val="008D5804"/>
    <w:rsid w:val="008D5C50"/>
    <w:rsid w:val="008D5F13"/>
    <w:rsid w:val="008D61B7"/>
    <w:rsid w:val="008D6853"/>
    <w:rsid w:val="008D6BFF"/>
    <w:rsid w:val="008D6E8E"/>
    <w:rsid w:val="008D6EE6"/>
    <w:rsid w:val="008D700C"/>
    <w:rsid w:val="008D7154"/>
    <w:rsid w:val="008D72A9"/>
    <w:rsid w:val="008D7632"/>
    <w:rsid w:val="008D798D"/>
    <w:rsid w:val="008D7B20"/>
    <w:rsid w:val="008D7D96"/>
    <w:rsid w:val="008D7E3B"/>
    <w:rsid w:val="008D7F03"/>
    <w:rsid w:val="008E0103"/>
    <w:rsid w:val="008E047D"/>
    <w:rsid w:val="008E0644"/>
    <w:rsid w:val="008E1014"/>
    <w:rsid w:val="008E1651"/>
    <w:rsid w:val="008E16E9"/>
    <w:rsid w:val="008E18E4"/>
    <w:rsid w:val="008E192A"/>
    <w:rsid w:val="008E1D93"/>
    <w:rsid w:val="008E1DC1"/>
    <w:rsid w:val="008E1E89"/>
    <w:rsid w:val="008E24E8"/>
    <w:rsid w:val="008E255A"/>
    <w:rsid w:val="008E27AA"/>
    <w:rsid w:val="008E2C55"/>
    <w:rsid w:val="008E2DB1"/>
    <w:rsid w:val="008E2EA9"/>
    <w:rsid w:val="008E3291"/>
    <w:rsid w:val="008E405A"/>
    <w:rsid w:val="008E433E"/>
    <w:rsid w:val="008E4802"/>
    <w:rsid w:val="008E4A38"/>
    <w:rsid w:val="008E4B77"/>
    <w:rsid w:val="008E4F59"/>
    <w:rsid w:val="008E4F61"/>
    <w:rsid w:val="008E5513"/>
    <w:rsid w:val="008E623F"/>
    <w:rsid w:val="008E6268"/>
    <w:rsid w:val="008E6294"/>
    <w:rsid w:val="008E6945"/>
    <w:rsid w:val="008E695D"/>
    <w:rsid w:val="008E6CD8"/>
    <w:rsid w:val="008E7A94"/>
    <w:rsid w:val="008E7C72"/>
    <w:rsid w:val="008F039B"/>
    <w:rsid w:val="008F03F6"/>
    <w:rsid w:val="008F05DF"/>
    <w:rsid w:val="008F0DFE"/>
    <w:rsid w:val="008F0E8D"/>
    <w:rsid w:val="008F15D7"/>
    <w:rsid w:val="008F186E"/>
    <w:rsid w:val="008F1A3D"/>
    <w:rsid w:val="008F1C77"/>
    <w:rsid w:val="008F296C"/>
    <w:rsid w:val="008F2F0E"/>
    <w:rsid w:val="008F2F39"/>
    <w:rsid w:val="008F2F7C"/>
    <w:rsid w:val="008F34A4"/>
    <w:rsid w:val="008F358B"/>
    <w:rsid w:val="008F3663"/>
    <w:rsid w:val="008F374F"/>
    <w:rsid w:val="008F3DA9"/>
    <w:rsid w:val="008F40DE"/>
    <w:rsid w:val="008F4153"/>
    <w:rsid w:val="008F445B"/>
    <w:rsid w:val="008F47E6"/>
    <w:rsid w:val="008F49D1"/>
    <w:rsid w:val="008F4C7B"/>
    <w:rsid w:val="008F4F84"/>
    <w:rsid w:val="008F50D6"/>
    <w:rsid w:val="008F5522"/>
    <w:rsid w:val="008F55CB"/>
    <w:rsid w:val="008F5684"/>
    <w:rsid w:val="008F57B6"/>
    <w:rsid w:val="008F5B45"/>
    <w:rsid w:val="008F655D"/>
    <w:rsid w:val="008F6B8D"/>
    <w:rsid w:val="008F6BB9"/>
    <w:rsid w:val="008F71E0"/>
    <w:rsid w:val="008F7983"/>
    <w:rsid w:val="008F79D6"/>
    <w:rsid w:val="008F7B02"/>
    <w:rsid w:val="008F7C32"/>
    <w:rsid w:val="008F7D05"/>
    <w:rsid w:val="008F7DB9"/>
    <w:rsid w:val="008F7E87"/>
    <w:rsid w:val="00900152"/>
    <w:rsid w:val="00900BB3"/>
    <w:rsid w:val="00900E34"/>
    <w:rsid w:val="00900FDE"/>
    <w:rsid w:val="00901083"/>
    <w:rsid w:val="00901F04"/>
    <w:rsid w:val="009021F2"/>
    <w:rsid w:val="00902484"/>
    <w:rsid w:val="009025A1"/>
    <w:rsid w:val="009026BB"/>
    <w:rsid w:val="009027EE"/>
    <w:rsid w:val="0090292A"/>
    <w:rsid w:val="00902965"/>
    <w:rsid w:val="009029DE"/>
    <w:rsid w:val="00902C8B"/>
    <w:rsid w:val="00902CE3"/>
    <w:rsid w:val="00903381"/>
    <w:rsid w:val="009033FA"/>
    <w:rsid w:val="009037CE"/>
    <w:rsid w:val="009038EA"/>
    <w:rsid w:val="00904215"/>
    <w:rsid w:val="009043D6"/>
    <w:rsid w:val="009046FB"/>
    <w:rsid w:val="00904DFC"/>
    <w:rsid w:val="00905B62"/>
    <w:rsid w:val="009068E4"/>
    <w:rsid w:val="00906AF0"/>
    <w:rsid w:val="00906CE6"/>
    <w:rsid w:val="00906F0E"/>
    <w:rsid w:val="00906FDA"/>
    <w:rsid w:val="00907431"/>
    <w:rsid w:val="009075C0"/>
    <w:rsid w:val="009075EF"/>
    <w:rsid w:val="009076C1"/>
    <w:rsid w:val="00907778"/>
    <w:rsid w:val="00907C03"/>
    <w:rsid w:val="00907CD3"/>
    <w:rsid w:val="00907ECC"/>
    <w:rsid w:val="00907FC4"/>
    <w:rsid w:val="009105B0"/>
    <w:rsid w:val="00910641"/>
    <w:rsid w:val="00910C0D"/>
    <w:rsid w:val="00910C8D"/>
    <w:rsid w:val="00910D4C"/>
    <w:rsid w:val="00910D98"/>
    <w:rsid w:val="009113A8"/>
    <w:rsid w:val="00911A92"/>
    <w:rsid w:val="00911EC0"/>
    <w:rsid w:val="009121F3"/>
    <w:rsid w:val="00912562"/>
    <w:rsid w:val="009127FE"/>
    <w:rsid w:val="0091290C"/>
    <w:rsid w:val="0091364E"/>
    <w:rsid w:val="00913845"/>
    <w:rsid w:val="00913867"/>
    <w:rsid w:val="00913986"/>
    <w:rsid w:val="00913B92"/>
    <w:rsid w:val="00913CF1"/>
    <w:rsid w:val="00913DD8"/>
    <w:rsid w:val="00913FA8"/>
    <w:rsid w:val="00914031"/>
    <w:rsid w:val="0091438A"/>
    <w:rsid w:val="00914572"/>
    <w:rsid w:val="00914649"/>
    <w:rsid w:val="009149A5"/>
    <w:rsid w:val="00914A1A"/>
    <w:rsid w:val="00914EAD"/>
    <w:rsid w:val="00914FB5"/>
    <w:rsid w:val="00915611"/>
    <w:rsid w:val="0091582B"/>
    <w:rsid w:val="009159BB"/>
    <w:rsid w:val="00915AA7"/>
    <w:rsid w:val="00915B80"/>
    <w:rsid w:val="0091601A"/>
    <w:rsid w:val="0091603E"/>
    <w:rsid w:val="00916154"/>
    <w:rsid w:val="0091621B"/>
    <w:rsid w:val="0091643D"/>
    <w:rsid w:val="00916836"/>
    <w:rsid w:val="0091694F"/>
    <w:rsid w:val="00916A90"/>
    <w:rsid w:val="00916B2B"/>
    <w:rsid w:val="00916CDF"/>
    <w:rsid w:val="00916EF2"/>
    <w:rsid w:val="00917532"/>
    <w:rsid w:val="0091754D"/>
    <w:rsid w:val="00917755"/>
    <w:rsid w:val="00917A1B"/>
    <w:rsid w:val="00917B9C"/>
    <w:rsid w:val="00917E51"/>
    <w:rsid w:val="00917EA3"/>
    <w:rsid w:val="009203AA"/>
    <w:rsid w:val="00920627"/>
    <w:rsid w:val="0092077B"/>
    <w:rsid w:val="0092084C"/>
    <w:rsid w:val="00920AC7"/>
    <w:rsid w:val="00920C9F"/>
    <w:rsid w:val="00920F67"/>
    <w:rsid w:val="00921316"/>
    <w:rsid w:val="00921A33"/>
    <w:rsid w:val="00921B64"/>
    <w:rsid w:val="00921CCD"/>
    <w:rsid w:val="00921D38"/>
    <w:rsid w:val="00922DCC"/>
    <w:rsid w:val="00922E86"/>
    <w:rsid w:val="00922F5F"/>
    <w:rsid w:val="009230E5"/>
    <w:rsid w:val="009235AA"/>
    <w:rsid w:val="009235F9"/>
    <w:rsid w:val="0092360A"/>
    <w:rsid w:val="00923729"/>
    <w:rsid w:val="00923CCB"/>
    <w:rsid w:val="00924106"/>
    <w:rsid w:val="009243CD"/>
    <w:rsid w:val="00924C8A"/>
    <w:rsid w:val="00924EC0"/>
    <w:rsid w:val="00924F93"/>
    <w:rsid w:val="00924FAB"/>
    <w:rsid w:val="009252A6"/>
    <w:rsid w:val="009253B5"/>
    <w:rsid w:val="00925419"/>
    <w:rsid w:val="009257BD"/>
    <w:rsid w:val="009257D8"/>
    <w:rsid w:val="00925C83"/>
    <w:rsid w:val="00925D78"/>
    <w:rsid w:val="00925DD1"/>
    <w:rsid w:val="00925E03"/>
    <w:rsid w:val="00925E11"/>
    <w:rsid w:val="00925FB5"/>
    <w:rsid w:val="00926BDC"/>
    <w:rsid w:val="00926CF9"/>
    <w:rsid w:val="00926D0D"/>
    <w:rsid w:val="00927165"/>
    <w:rsid w:val="009271EA"/>
    <w:rsid w:val="00927245"/>
    <w:rsid w:val="00927AE5"/>
    <w:rsid w:val="00927E99"/>
    <w:rsid w:val="009304F4"/>
    <w:rsid w:val="00930739"/>
    <w:rsid w:val="00931163"/>
    <w:rsid w:val="009317FB"/>
    <w:rsid w:val="00931836"/>
    <w:rsid w:val="009321FB"/>
    <w:rsid w:val="0093284B"/>
    <w:rsid w:val="00932A7D"/>
    <w:rsid w:val="0093329B"/>
    <w:rsid w:val="0093363C"/>
    <w:rsid w:val="0093395D"/>
    <w:rsid w:val="00933AAF"/>
    <w:rsid w:val="00933B6F"/>
    <w:rsid w:val="00933C4B"/>
    <w:rsid w:val="00933ECA"/>
    <w:rsid w:val="00933F93"/>
    <w:rsid w:val="009347A1"/>
    <w:rsid w:val="00934DFA"/>
    <w:rsid w:val="00934E05"/>
    <w:rsid w:val="009350A4"/>
    <w:rsid w:val="00935B8A"/>
    <w:rsid w:val="00935B90"/>
    <w:rsid w:val="00936334"/>
    <w:rsid w:val="009368F9"/>
    <w:rsid w:val="00936D9D"/>
    <w:rsid w:val="009374A5"/>
    <w:rsid w:val="009376E5"/>
    <w:rsid w:val="009377EF"/>
    <w:rsid w:val="00937C34"/>
    <w:rsid w:val="00937F56"/>
    <w:rsid w:val="0094012C"/>
    <w:rsid w:val="00940372"/>
    <w:rsid w:val="00940517"/>
    <w:rsid w:val="0094059C"/>
    <w:rsid w:val="00940735"/>
    <w:rsid w:val="00940776"/>
    <w:rsid w:val="009407F1"/>
    <w:rsid w:val="00940DA1"/>
    <w:rsid w:val="009412F4"/>
    <w:rsid w:val="00941E31"/>
    <w:rsid w:val="0094237E"/>
    <w:rsid w:val="0094246E"/>
    <w:rsid w:val="009424B5"/>
    <w:rsid w:val="009427B1"/>
    <w:rsid w:val="00942C68"/>
    <w:rsid w:val="00942E3B"/>
    <w:rsid w:val="009432CC"/>
    <w:rsid w:val="009437A3"/>
    <w:rsid w:val="0094398B"/>
    <w:rsid w:val="009439D3"/>
    <w:rsid w:val="00943A72"/>
    <w:rsid w:val="00943CC3"/>
    <w:rsid w:val="00943FF3"/>
    <w:rsid w:val="0094401A"/>
    <w:rsid w:val="00944A72"/>
    <w:rsid w:val="00944F46"/>
    <w:rsid w:val="00945AB9"/>
    <w:rsid w:val="00945E56"/>
    <w:rsid w:val="00946AB0"/>
    <w:rsid w:val="00946B9D"/>
    <w:rsid w:val="00946D22"/>
    <w:rsid w:val="00946EA3"/>
    <w:rsid w:val="00947535"/>
    <w:rsid w:val="00947AD2"/>
    <w:rsid w:val="00947E3A"/>
    <w:rsid w:val="0095003B"/>
    <w:rsid w:val="009500A2"/>
    <w:rsid w:val="00950319"/>
    <w:rsid w:val="0095036E"/>
    <w:rsid w:val="0095060D"/>
    <w:rsid w:val="00950984"/>
    <w:rsid w:val="00950EF5"/>
    <w:rsid w:val="009510BF"/>
    <w:rsid w:val="00951285"/>
    <w:rsid w:val="0095169F"/>
    <w:rsid w:val="00951962"/>
    <w:rsid w:val="009519B2"/>
    <w:rsid w:val="009519F8"/>
    <w:rsid w:val="00952171"/>
    <w:rsid w:val="00952233"/>
    <w:rsid w:val="00952ACB"/>
    <w:rsid w:val="00952D7D"/>
    <w:rsid w:val="00952D83"/>
    <w:rsid w:val="00952E2B"/>
    <w:rsid w:val="00953256"/>
    <w:rsid w:val="00953789"/>
    <w:rsid w:val="00953E30"/>
    <w:rsid w:val="00954099"/>
    <w:rsid w:val="009547CF"/>
    <w:rsid w:val="00954903"/>
    <w:rsid w:val="00954BA2"/>
    <w:rsid w:val="00954DFC"/>
    <w:rsid w:val="0095523F"/>
    <w:rsid w:val="0095558C"/>
    <w:rsid w:val="009557E7"/>
    <w:rsid w:val="00955906"/>
    <w:rsid w:val="00955B15"/>
    <w:rsid w:val="00955C10"/>
    <w:rsid w:val="00955C8C"/>
    <w:rsid w:val="009561DA"/>
    <w:rsid w:val="00956250"/>
    <w:rsid w:val="0095686A"/>
    <w:rsid w:val="00956A1E"/>
    <w:rsid w:val="00956CC2"/>
    <w:rsid w:val="009574F6"/>
    <w:rsid w:val="00957777"/>
    <w:rsid w:val="00957A13"/>
    <w:rsid w:val="00957A31"/>
    <w:rsid w:val="00957B52"/>
    <w:rsid w:val="00957EE2"/>
    <w:rsid w:val="00960476"/>
    <w:rsid w:val="00961115"/>
    <w:rsid w:val="00961826"/>
    <w:rsid w:val="00961D02"/>
    <w:rsid w:val="00961E4C"/>
    <w:rsid w:val="00962062"/>
    <w:rsid w:val="0096218A"/>
    <w:rsid w:val="00962724"/>
    <w:rsid w:val="009627E0"/>
    <w:rsid w:val="00962943"/>
    <w:rsid w:val="009629F0"/>
    <w:rsid w:val="00962B5A"/>
    <w:rsid w:val="00962EC9"/>
    <w:rsid w:val="00963137"/>
    <w:rsid w:val="009631C5"/>
    <w:rsid w:val="0096333E"/>
    <w:rsid w:val="00963424"/>
    <w:rsid w:val="00963567"/>
    <w:rsid w:val="0096373A"/>
    <w:rsid w:val="00963924"/>
    <w:rsid w:val="00963F8D"/>
    <w:rsid w:val="00964381"/>
    <w:rsid w:val="0096452D"/>
    <w:rsid w:val="00964860"/>
    <w:rsid w:val="00964A48"/>
    <w:rsid w:val="00964CC9"/>
    <w:rsid w:val="00964EA4"/>
    <w:rsid w:val="009656C8"/>
    <w:rsid w:val="00966223"/>
    <w:rsid w:val="009668D4"/>
    <w:rsid w:val="00966909"/>
    <w:rsid w:val="00966F87"/>
    <w:rsid w:val="00966F99"/>
    <w:rsid w:val="00967064"/>
    <w:rsid w:val="009670CF"/>
    <w:rsid w:val="0096743A"/>
    <w:rsid w:val="0096760B"/>
    <w:rsid w:val="00967B11"/>
    <w:rsid w:val="009700D3"/>
    <w:rsid w:val="0097031E"/>
    <w:rsid w:val="0097044B"/>
    <w:rsid w:val="009707D0"/>
    <w:rsid w:val="00970AEB"/>
    <w:rsid w:val="00970DF8"/>
    <w:rsid w:val="009710E8"/>
    <w:rsid w:val="0097190C"/>
    <w:rsid w:val="00971DC4"/>
    <w:rsid w:val="009720AA"/>
    <w:rsid w:val="009720B8"/>
    <w:rsid w:val="00972B71"/>
    <w:rsid w:val="00972DB0"/>
    <w:rsid w:val="0097302E"/>
    <w:rsid w:val="0097318B"/>
    <w:rsid w:val="00973320"/>
    <w:rsid w:val="00973637"/>
    <w:rsid w:val="009737C5"/>
    <w:rsid w:val="00973EBC"/>
    <w:rsid w:val="00974060"/>
    <w:rsid w:val="00974406"/>
    <w:rsid w:val="00974BB3"/>
    <w:rsid w:val="00974CA5"/>
    <w:rsid w:val="00974E8E"/>
    <w:rsid w:val="0097513F"/>
    <w:rsid w:val="0097557C"/>
    <w:rsid w:val="00975CDA"/>
    <w:rsid w:val="00975CF8"/>
    <w:rsid w:val="00975FA9"/>
    <w:rsid w:val="0097617B"/>
    <w:rsid w:val="0097657B"/>
    <w:rsid w:val="00976967"/>
    <w:rsid w:val="00976D75"/>
    <w:rsid w:val="00977010"/>
    <w:rsid w:val="0097789D"/>
    <w:rsid w:val="00977906"/>
    <w:rsid w:val="00977F2B"/>
    <w:rsid w:val="0098016F"/>
    <w:rsid w:val="009801B5"/>
    <w:rsid w:val="009802D8"/>
    <w:rsid w:val="00980607"/>
    <w:rsid w:val="009806CD"/>
    <w:rsid w:val="00980705"/>
    <w:rsid w:val="00980B3A"/>
    <w:rsid w:val="00980B3D"/>
    <w:rsid w:val="00980C86"/>
    <w:rsid w:val="00980D9B"/>
    <w:rsid w:val="00980E05"/>
    <w:rsid w:val="009810A3"/>
    <w:rsid w:val="0098134A"/>
    <w:rsid w:val="00981500"/>
    <w:rsid w:val="0098188B"/>
    <w:rsid w:val="00981955"/>
    <w:rsid w:val="00981A44"/>
    <w:rsid w:val="00981B12"/>
    <w:rsid w:val="00981C04"/>
    <w:rsid w:val="00981D80"/>
    <w:rsid w:val="00981E12"/>
    <w:rsid w:val="009820C0"/>
    <w:rsid w:val="0098253D"/>
    <w:rsid w:val="00982681"/>
    <w:rsid w:val="009826CD"/>
    <w:rsid w:val="0098285D"/>
    <w:rsid w:val="0098287E"/>
    <w:rsid w:val="009828C1"/>
    <w:rsid w:val="00982A22"/>
    <w:rsid w:val="00982DD9"/>
    <w:rsid w:val="0098334E"/>
    <w:rsid w:val="00983399"/>
    <w:rsid w:val="009834BB"/>
    <w:rsid w:val="0098357E"/>
    <w:rsid w:val="00983874"/>
    <w:rsid w:val="00983C0F"/>
    <w:rsid w:val="00983CB9"/>
    <w:rsid w:val="0098455D"/>
    <w:rsid w:val="00984A20"/>
    <w:rsid w:val="00984C77"/>
    <w:rsid w:val="00984FEE"/>
    <w:rsid w:val="009850F0"/>
    <w:rsid w:val="0098583A"/>
    <w:rsid w:val="00985906"/>
    <w:rsid w:val="00985958"/>
    <w:rsid w:val="00985A19"/>
    <w:rsid w:val="00985E06"/>
    <w:rsid w:val="0098613D"/>
    <w:rsid w:val="009865BF"/>
    <w:rsid w:val="00986A4E"/>
    <w:rsid w:val="00986F16"/>
    <w:rsid w:val="00986F61"/>
    <w:rsid w:val="00987555"/>
    <w:rsid w:val="00987776"/>
    <w:rsid w:val="0098784B"/>
    <w:rsid w:val="00987A6C"/>
    <w:rsid w:val="00987E38"/>
    <w:rsid w:val="009900D3"/>
    <w:rsid w:val="0099032C"/>
    <w:rsid w:val="00990464"/>
    <w:rsid w:val="0099053F"/>
    <w:rsid w:val="00990735"/>
    <w:rsid w:val="00990BE4"/>
    <w:rsid w:val="00990F8C"/>
    <w:rsid w:val="009910C2"/>
    <w:rsid w:val="00991119"/>
    <w:rsid w:val="00991766"/>
    <w:rsid w:val="00991EE1"/>
    <w:rsid w:val="00991FA2"/>
    <w:rsid w:val="0099225C"/>
    <w:rsid w:val="00992293"/>
    <w:rsid w:val="009926F5"/>
    <w:rsid w:val="00992895"/>
    <w:rsid w:val="00992A03"/>
    <w:rsid w:val="00992CDC"/>
    <w:rsid w:val="00992FBA"/>
    <w:rsid w:val="00993011"/>
    <w:rsid w:val="00993A4D"/>
    <w:rsid w:val="00993B2C"/>
    <w:rsid w:val="00993B84"/>
    <w:rsid w:val="00993BF0"/>
    <w:rsid w:val="00993C4F"/>
    <w:rsid w:val="00993E4B"/>
    <w:rsid w:val="00993F99"/>
    <w:rsid w:val="00994307"/>
    <w:rsid w:val="00994E84"/>
    <w:rsid w:val="00995515"/>
    <w:rsid w:val="0099561A"/>
    <w:rsid w:val="00995748"/>
    <w:rsid w:val="009957C2"/>
    <w:rsid w:val="00995BA4"/>
    <w:rsid w:val="0099612D"/>
    <w:rsid w:val="009964DD"/>
    <w:rsid w:val="00996553"/>
    <w:rsid w:val="009965F6"/>
    <w:rsid w:val="00996ACB"/>
    <w:rsid w:val="00996BD7"/>
    <w:rsid w:val="00996DDC"/>
    <w:rsid w:val="00996FC2"/>
    <w:rsid w:val="00997BFC"/>
    <w:rsid w:val="009A015C"/>
    <w:rsid w:val="009A026D"/>
    <w:rsid w:val="009A0816"/>
    <w:rsid w:val="009A09C8"/>
    <w:rsid w:val="009A09F0"/>
    <w:rsid w:val="009A0AA7"/>
    <w:rsid w:val="009A1008"/>
    <w:rsid w:val="009A10F7"/>
    <w:rsid w:val="009A1157"/>
    <w:rsid w:val="009A11F0"/>
    <w:rsid w:val="009A1545"/>
    <w:rsid w:val="009A1744"/>
    <w:rsid w:val="009A199A"/>
    <w:rsid w:val="009A1BD6"/>
    <w:rsid w:val="009A1D58"/>
    <w:rsid w:val="009A22C8"/>
    <w:rsid w:val="009A278C"/>
    <w:rsid w:val="009A27B4"/>
    <w:rsid w:val="009A2AEB"/>
    <w:rsid w:val="009A2D19"/>
    <w:rsid w:val="009A3157"/>
    <w:rsid w:val="009A3463"/>
    <w:rsid w:val="009A34E0"/>
    <w:rsid w:val="009A365D"/>
    <w:rsid w:val="009A386A"/>
    <w:rsid w:val="009A39D4"/>
    <w:rsid w:val="009A3B71"/>
    <w:rsid w:val="009A46C9"/>
    <w:rsid w:val="009A4AE4"/>
    <w:rsid w:val="009A4E7C"/>
    <w:rsid w:val="009A5153"/>
    <w:rsid w:val="009A5320"/>
    <w:rsid w:val="009A5900"/>
    <w:rsid w:val="009A5DDE"/>
    <w:rsid w:val="009A6709"/>
    <w:rsid w:val="009A67A4"/>
    <w:rsid w:val="009A6AE8"/>
    <w:rsid w:val="009A6D0A"/>
    <w:rsid w:val="009A6EF2"/>
    <w:rsid w:val="009A7264"/>
    <w:rsid w:val="009A7270"/>
    <w:rsid w:val="009A72AF"/>
    <w:rsid w:val="009A75EA"/>
    <w:rsid w:val="009A7635"/>
    <w:rsid w:val="009A7761"/>
    <w:rsid w:val="009A79AC"/>
    <w:rsid w:val="009A7EE3"/>
    <w:rsid w:val="009B061E"/>
    <w:rsid w:val="009B0A1A"/>
    <w:rsid w:val="009B1025"/>
    <w:rsid w:val="009B1164"/>
    <w:rsid w:val="009B13B3"/>
    <w:rsid w:val="009B1481"/>
    <w:rsid w:val="009B1DC1"/>
    <w:rsid w:val="009B1E9F"/>
    <w:rsid w:val="009B2004"/>
    <w:rsid w:val="009B2297"/>
    <w:rsid w:val="009B2445"/>
    <w:rsid w:val="009B260F"/>
    <w:rsid w:val="009B2982"/>
    <w:rsid w:val="009B2B70"/>
    <w:rsid w:val="009B2E73"/>
    <w:rsid w:val="009B31C4"/>
    <w:rsid w:val="009B3D1D"/>
    <w:rsid w:val="009B3E70"/>
    <w:rsid w:val="009B3EE1"/>
    <w:rsid w:val="009B4004"/>
    <w:rsid w:val="009B422A"/>
    <w:rsid w:val="009B42B9"/>
    <w:rsid w:val="009B469D"/>
    <w:rsid w:val="009B46A1"/>
    <w:rsid w:val="009B47F5"/>
    <w:rsid w:val="009B4969"/>
    <w:rsid w:val="009B5117"/>
    <w:rsid w:val="009B579D"/>
    <w:rsid w:val="009B58E1"/>
    <w:rsid w:val="009B5C87"/>
    <w:rsid w:val="009B5CD5"/>
    <w:rsid w:val="009B62AB"/>
    <w:rsid w:val="009B67AE"/>
    <w:rsid w:val="009B6BFD"/>
    <w:rsid w:val="009B6CC1"/>
    <w:rsid w:val="009B6F71"/>
    <w:rsid w:val="009B7267"/>
    <w:rsid w:val="009B7315"/>
    <w:rsid w:val="009B7439"/>
    <w:rsid w:val="009B7656"/>
    <w:rsid w:val="009B76D1"/>
    <w:rsid w:val="009B7FB4"/>
    <w:rsid w:val="009C02B0"/>
    <w:rsid w:val="009C09B9"/>
    <w:rsid w:val="009C0C79"/>
    <w:rsid w:val="009C1001"/>
    <w:rsid w:val="009C1384"/>
    <w:rsid w:val="009C16A2"/>
    <w:rsid w:val="009C16AC"/>
    <w:rsid w:val="009C16DA"/>
    <w:rsid w:val="009C1F75"/>
    <w:rsid w:val="009C231B"/>
    <w:rsid w:val="009C27B5"/>
    <w:rsid w:val="009C28AE"/>
    <w:rsid w:val="009C28DE"/>
    <w:rsid w:val="009C3484"/>
    <w:rsid w:val="009C351B"/>
    <w:rsid w:val="009C3771"/>
    <w:rsid w:val="009C38B3"/>
    <w:rsid w:val="009C39CF"/>
    <w:rsid w:val="009C3A5B"/>
    <w:rsid w:val="009C3C35"/>
    <w:rsid w:val="009C3CEB"/>
    <w:rsid w:val="009C3F3D"/>
    <w:rsid w:val="009C4216"/>
    <w:rsid w:val="009C4353"/>
    <w:rsid w:val="009C47FC"/>
    <w:rsid w:val="009C5628"/>
    <w:rsid w:val="009C61BD"/>
    <w:rsid w:val="009C65B6"/>
    <w:rsid w:val="009C6D7A"/>
    <w:rsid w:val="009C6DD8"/>
    <w:rsid w:val="009C6FCD"/>
    <w:rsid w:val="009C7548"/>
    <w:rsid w:val="009C78E1"/>
    <w:rsid w:val="009C79DB"/>
    <w:rsid w:val="009C7BCB"/>
    <w:rsid w:val="009C7CA0"/>
    <w:rsid w:val="009D0819"/>
    <w:rsid w:val="009D0C66"/>
    <w:rsid w:val="009D0F65"/>
    <w:rsid w:val="009D0FC5"/>
    <w:rsid w:val="009D127D"/>
    <w:rsid w:val="009D14BA"/>
    <w:rsid w:val="009D165D"/>
    <w:rsid w:val="009D16E9"/>
    <w:rsid w:val="009D22E5"/>
    <w:rsid w:val="009D2538"/>
    <w:rsid w:val="009D2866"/>
    <w:rsid w:val="009D2993"/>
    <w:rsid w:val="009D29E9"/>
    <w:rsid w:val="009D29F4"/>
    <w:rsid w:val="009D301D"/>
    <w:rsid w:val="009D3024"/>
    <w:rsid w:val="009D3C3E"/>
    <w:rsid w:val="009D3FDD"/>
    <w:rsid w:val="009D406E"/>
    <w:rsid w:val="009D446C"/>
    <w:rsid w:val="009D4602"/>
    <w:rsid w:val="009D4658"/>
    <w:rsid w:val="009D4A04"/>
    <w:rsid w:val="009D4B90"/>
    <w:rsid w:val="009D4D3E"/>
    <w:rsid w:val="009D50AE"/>
    <w:rsid w:val="009D5126"/>
    <w:rsid w:val="009D5287"/>
    <w:rsid w:val="009D54F6"/>
    <w:rsid w:val="009D551A"/>
    <w:rsid w:val="009D5E8E"/>
    <w:rsid w:val="009D5F22"/>
    <w:rsid w:val="009D5F4A"/>
    <w:rsid w:val="009D6020"/>
    <w:rsid w:val="009D60B4"/>
    <w:rsid w:val="009D6137"/>
    <w:rsid w:val="009D6139"/>
    <w:rsid w:val="009D6542"/>
    <w:rsid w:val="009D6E00"/>
    <w:rsid w:val="009D6F41"/>
    <w:rsid w:val="009D768B"/>
    <w:rsid w:val="009D7BDE"/>
    <w:rsid w:val="009D7C51"/>
    <w:rsid w:val="009D7F57"/>
    <w:rsid w:val="009E02FA"/>
    <w:rsid w:val="009E0521"/>
    <w:rsid w:val="009E059A"/>
    <w:rsid w:val="009E0A74"/>
    <w:rsid w:val="009E0B1A"/>
    <w:rsid w:val="009E0DCF"/>
    <w:rsid w:val="009E0FCD"/>
    <w:rsid w:val="009E155B"/>
    <w:rsid w:val="009E17A5"/>
    <w:rsid w:val="009E194F"/>
    <w:rsid w:val="009E20A6"/>
    <w:rsid w:val="009E20E0"/>
    <w:rsid w:val="009E2114"/>
    <w:rsid w:val="009E266A"/>
    <w:rsid w:val="009E26CF"/>
    <w:rsid w:val="009E2F95"/>
    <w:rsid w:val="009E3988"/>
    <w:rsid w:val="009E3CF9"/>
    <w:rsid w:val="009E3EF1"/>
    <w:rsid w:val="009E44DB"/>
    <w:rsid w:val="009E454B"/>
    <w:rsid w:val="009E4681"/>
    <w:rsid w:val="009E46FF"/>
    <w:rsid w:val="009E48D1"/>
    <w:rsid w:val="009E4AC2"/>
    <w:rsid w:val="009E4D7A"/>
    <w:rsid w:val="009E4FE8"/>
    <w:rsid w:val="009E508C"/>
    <w:rsid w:val="009E5545"/>
    <w:rsid w:val="009E56CC"/>
    <w:rsid w:val="009E5930"/>
    <w:rsid w:val="009E59F8"/>
    <w:rsid w:val="009E5B26"/>
    <w:rsid w:val="009E5EBB"/>
    <w:rsid w:val="009E5ED7"/>
    <w:rsid w:val="009E61B6"/>
    <w:rsid w:val="009E6208"/>
    <w:rsid w:val="009E620E"/>
    <w:rsid w:val="009E65AD"/>
    <w:rsid w:val="009E6B7A"/>
    <w:rsid w:val="009E6F2A"/>
    <w:rsid w:val="009E731A"/>
    <w:rsid w:val="009E7616"/>
    <w:rsid w:val="009E7A03"/>
    <w:rsid w:val="009E7C82"/>
    <w:rsid w:val="009E7E1E"/>
    <w:rsid w:val="009F0443"/>
    <w:rsid w:val="009F0493"/>
    <w:rsid w:val="009F057B"/>
    <w:rsid w:val="009F08D9"/>
    <w:rsid w:val="009F0C72"/>
    <w:rsid w:val="009F0DCC"/>
    <w:rsid w:val="009F0E10"/>
    <w:rsid w:val="009F13CC"/>
    <w:rsid w:val="009F1594"/>
    <w:rsid w:val="009F170C"/>
    <w:rsid w:val="009F1A1C"/>
    <w:rsid w:val="009F1E57"/>
    <w:rsid w:val="009F240B"/>
    <w:rsid w:val="009F251A"/>
    <w:rsid w:val="009F2E8B"/>
    <w:rsid w:val="009F3016"/>
    <w:rsid w:val="009F35B8"/>
    <w:rsid w:val="009F396D"/>
    <w:rsid w:val="009F3DAA"/>
    <w:rsid w:val="009F3E2D"/>
    <w:rsid w:val="009F454D"/>
    <w:rsid w:val="009F483C"/>
    <w:rsid w:val="009F4E04"/>
    <w:rsid w:val="009F4FD3"/>
    <w:rsid w:val="009F52E0"/>
    <w:rsid w:val="009F5587"/>
    <w:rsid w:val="009F5943"/>
    <w:rsid w:val="009F594A"/>
    <w:rsid w:val="009F5BE4"/>
    <w:rsid w:val="009F5F5F"/>
    <w:rsid w:val="009F62B3"/>
    <w:rsid w:val="009F652E"/>
    <w:rsid w:val="009F666F"/>
    <w:rsid w:val="009F6932"/>
    <w:rsid w:val="009F7A72"/>
    <w:rsid w:val="009F7D19"/>
    <w:rsid w:val="00A0005A"/>
    <w:rsid w:val="00A0066A"/>
    <w:rsid w:val="00A0068D"/>
    <w:rsid w:val="00A00900"/>
    <w:rsid w:val="00A0177D"/>
    <w:rsid w:val="00A01822"/>
    <w:rsid w:val="00A01894"/>
    <w:rsid w:val="00A0189C"/>
    <w:rsid w:val="00A0190E"/>
    <w:rsid w:val="00A01A6F"/>
    <w:rsid w:val="00A01F97"/>
    <w:rsid w:val="00A0216A"/>
    <w:rsid w:val="00A02607"/>
    <w:rsid w:val="00A0295E"/>
    <w:rsid w:val="00A0309B"/>
    <w:rsid w:val="00A033CD"/>
    <w:rsid w:val="00A0349F"/>
    <w:rsid w:val="00A034A1"/>
    <w:rsid w:val="00A03B2E"/>
    <w:rsid w:val="00A03D6C"/>
    <w:rsid w:val="00A0435C"/>
    <w:rsid w:val="00A04D39"/>
    <w:rsid w:val="00A04E97"/>
    <w:rsid w:val="00A04ECF"/>
    <w:rsid w:val="00A051C1"/>
    <w:rsid w:val="00A05572"/>
    <w:rsid w:val="00A05B5B"/>
    <w:rsid w:val="00A05E30"/>
    <w:rsid w:val="00A05EF6"/>
    <w:rsid w:val="00A05F12"/>
    <w:rsid w:val="00A062CF"/>
    <w:rsid w:val="00A06311"/>
    <w:rsid w:val="00A06AA5"/>
    <w:rsid w:val="00A06E88"/>
    <w:rsid w:val="00A06F7F"/>
    <w:rsid w:val="00A07113"/>
    <w:rsid w:val="00A0735A"/>
    <w:rsid w:val="00A07455"/>
    <w:rsid w:val="00A07621"/>
    <w:rsid w:val="00A07872"/>
    <w:rsid w:val="00A07F49"/>
    <w:rsid w:val="00A1009C"/>
    <w:rsid w:val="00A10259"/>
    <w:rsid w:val="00A102DC"/>
    <w:rsid w:val="00A106B6"/>
    <w:rsid w:val="00A10F08"/>
    <w:rsid w:val="00A11923"/>
    <w:rsid w:val="00A11B71"/>
    <w:rsid w:val="00A11CD1"/>
    <w:rsid w:val="00A11D3E"/>
    <w:rsid w:val="00A11E63"/>
    <w:rsid w:val="00A12A14"/>
    <w:rsid w:val="00A12A34"/>
    <w:rsid w:val="00A12D52"/>
    <w:rsid w:val="00A12DDF"/>
    <w:rsid w:val="00A12E3C"/>
    <w:rsid w:val="00A13095"/>
    <w:rsid w:val="00A131F6"/>
    <w:rsid w:val="00A1362D"/>
    <w:rsid w:val="00A13A3F"/>
    <w:rsid w:val="00A13DCC"/>
    <w:rsid w:val="00A13E14"/>
    <w:rsid w:val="00A1431C"/>
    <w:rsid w:val="00A1477C"/>
    <w:rsid w:val="00A1494A"/>
    <w:rsid w:val="00A14CD6"/>
    <w:rsid w:val="00A14DC9"/>
    <w:rsid w:val="00A14DE4"/>
    <w:rsid w:val="00A14F04"/>
    <w:rsid w:val="00A15054"/>
    <w:rsid w:val="00A1527D"/>
    <w:rsid w:val="00A153B1"/>
    <w:rsid w:val="00A155A6"/>
    <w:rsid w:val="00A1574F"/>
    <w:rsid w:val="00A15756"/>
    <w:rsid w:val="00A157D8"/>
    <w:rsid w:val="00A1598E"/>
    <w:rsid w:val="00A15F4A"/>
    <w:rsid w:val="00A1609A"/>
    <w:rsid w:val="00A161BF"/>
    <w:rsid w:val="00A16235"/>
    <w:rsid w:val="00A167EC"/>
    <w:rsid w:val="00A1689E"/>
    <w:rsid w:val="00A16C20"/>
    <w:rsid w:val="00A16E5F"/>
    <w:rsid w:val="00A17B35"/>
    <w:rsid w:val="00A17CB1"/>
    <w:rsid w:val="00A17E53"/>
    <w:rsid w:val="00A200C0"/>
    <w:rsid w:val="00A20323"/>
    <w:rsid w:val="00A20438"/>
    <w:rsid w:val="00A20B73"/>
    <w:rsid w:val="00A20BAA"/>
    <w:rsid w:val="00A20BB8"/>
    <w:rsid w:val="00A20C5F"/>
    <w:rsid w:val="00A21091"/>
    <w:rsid w:val="00A2132D"/>
    <w:rsid w:val="00A2156E"/>
    <w:rsid w:val="00A2163A"/>
    <w:rsid w:val="00A216A0"/>
    <w:rsid w:val="00A21F3F"/>
    <w:rsid w:val="00A223A8"/>
    <w:rsid w:val="00A2241E"/>
    <w:rsid w:val="00A224E9"/>
    <w:rsid w:val="00A22585"/>
    <w:rsid w:val="00A22BFE"/>
    <w:rsid w:val="00A22EF7"/>
    <w:rsid w:val="00A23010"/>
    <w:rsid w:val="00A23081"/>
    <w:rsid w:val="00A232E1"/>
    <w:rsid w:val="00A23813"/>
    <w:rsid w:val="00A238E5"/>
    <w:rsid w:val="00A23A67"/>
    <w:rsid w:val="00A23D26"/>
    <w:rsid w:val="00A23F8B"/>
    <w:rsid w:val="00A2410E"/>
    <w:rsid w:val="00A24169"/>
    <w:rsid w:val="00A24748"/>
    <w:rsid w:val="00A24C17"/>
    <w:rsid w:val="00A24CC5"/>
    <w:rsid w:val="00A250BE"/>
    <w:rsid w:val="00A250E7"/>
    <w:rsid w:val="00A25891"/>
    <w:rsid w:val="00A25D7E"/>
    <w:rsid w:val="00A25F1A"/>
    <w:rsid w:val="00A26188"/>
    <w:rsid w:val="00A26422"/>
    <w:rsid w:val="00A26A9B"/>
    <w:rsid w:val="00A26F8B"/>
    <w:rsid w:val="00A27454"/>
    <w:rsid w:val="00A277D7"/>
    <w:rsid w:val="00A278A0"/>
    <w:rsid w:val="00A2792C"/>
    <w:rsid w:val="00A27C8A"/>
    <w:rsid w:val="00A27F2A"/>
    <w:rsid w:val="00A30211"/>
    <w:rsid w:val="00A30242"/>
    <w:rsid w:val="00A30375"/>
    <w:rsid w:val="00A30C5C"/>
    <w:rsid w:val="00A30EB9"/>
    <w:rsid w:val="00A30FF6"/>
    <w:rsid w:val="00A3109D"/>
    <w:rsid w:val="00A31185"/>
    <w:rsid w:val="00A31E38"/>
    <w:rsid w:val="00A320BA"/>
    <w:rsid w:val="00A320E0"/>
    <w:rsid w:val="00A32466"/>
    <w:rsid w:val="00A324CB"/>
    <w:rsid w:val="00A32C9F"/>
    <w:rsid w:val="00A32E13"/>
    <w:rsid w:val="00A3305C"/>
    <w:rsid w:val="00A330F1"/>
    <w:rsid w:val="00A3324B"/>
    <w:rsid w:val="00A33460"/>
    <w:rsid w:val="00A3357C"/>
    <w:rsid w:val="00A33CC5"/>
    <w:rsid w:val="00A33ECB"/>
    <w:rsid w:val="00A34057"/>
    <w:rsid w:val="00A34372"/>
    <w:rsid w:val="00A346E2"/>
    <w:rsid w:val="00A347F4"/>
    <w:rsid w:val="00A34B0B"/>
    <w:rsid w:val="00A34F99"/>
    <w:rsid w:val="00A3504A"/>
    <w:rsid w:val="00A35808"/>
    <w:rsid w:val="00A358CB"/>
    <w:rsid w:val="00A35AB0"/>
    <w:rsid w:val="00A35CE5"/>
    <w:rsid w:val="00A35E4A"/>
    <w:rsid w:val="00A3611A"/>
    <w:rsid w:val="00A36236"/>
    <w:rsid w:val="00A36372"/>
    <w:rsid w:val="00A365D0"/>
    <w:rsid w:val="00A3673B"/>
    <w:rsid w:val="00A367AE"/>
    <w:rsid w:val="00A36C26"/>
    <w:rsid w:val="00A36CFD"/>
    <w:rsid w:val="00A37331"/>
    <w:rsid w:val="00A37803"/>
    <w:rsid w:val="00A37B18"/>
    <w:rsid w:val="00A37B6D"/>
    <w:rsid w:val="00A40016"/>
    <w:rsid w:val="00A4052A"/>
    <w:rsid w:val="00A40535"/>
    <w:rsid w:val="00A40680"/>
    <w:rsid w:val="00A409D9"/>
    <w:rsid w:val="00A40A78"/>
    <w:rsid w:val="00A40E95"/>
    <w:rsid w:val="00A41197"/>
    <w:rsid w:val="00A4126B"/>
    <w:rsid w:val="00A414BE"/>
    <w:rsid w:val="00A4170F"/>
    <w:rsid w:val="00A41CDF"/>
    <w:rsid w:val="00A41FED"/>
    <w:rsid w:val="00A42109"/>
    <w:rsid w:val="00A42124"/>
    <w:rsid w:val="00A4243C"/>
    <w:rsid w:val="00A427CA"/>
    <w:rsid w:val="00A428AD"/>
    <w:rsid w:val="00A4291D"/>
    <w:rsid w:val="00A42F66"/>
    <w:rsid w:val="00A430A8"/>
    <w:rsid w:val="00A4329E"/>
    <w:rsid w:val="00A432E1"/>
    <w:rsid w:val="00A4338E"/>
    <w:rsid w:val="00A433E5"/>
    <w:rsid w:val="00A4488E"/>
    <w:rsid w:val="00A44DC6"/>
    <w:rsid w:val="00A45026"/>
    <w:rsid w:val="00A45823"/>
    <w:rsid w:val="00A458BF"/>
    <w:rsid w:val="00A45998"/>
    <w:rsid w:val="00A45C8B"/>
    <w:rsid w:val="00A45CF4"/>
    <w:rsid w:val="00A462D6"/>
    <w:rsid w:val="00A46610"/>
    <w:rsid w:val="00A468D5"/>
    <w:rsid w:val="00A46C2D"/>
    <w:rsid w:val="00A46CE5"/>
    <w:rsid w:val="00A476BA"/>
    <w:rsid w:val="00A476FB"/>
    <w:rsid w:val="00A47E66"/>
    <w:rsid w:val="00A47FF7"/>
    <w:rsid w:val="00A50842"/>
    <w:rsid w:val="00A50BA9"/>
    <w:rsid w:val="00A514EE"/>
    <w:rsid w:val="00A51803"/>
    <w:rsid w:val="00A5180D"/>
    <w:rsid w:val="00A51B2E"/>
    <w:rsid w:val="00A52073"/>
    <w:rsid w:val="00A52383"/>
    <w:rsid w:val="00A52695"/>
    <w:rsid w:val="00A52C7A"/>
    <w:rsid w:val="00A53174"/>
    <w:rsid w:val="00A535E3"/>
    <w:rsid w:val="00A535E5"/>
    <w:rsid w:val="00A53748"/>
    <w:rsid w:val="00A53839"/>
    <w:rsid w:val="00A5385F"/>
    <w:rsid w:val="00A53BE6"/>
    <w:rsid w:val="00A53C1F"/>
    <w:rsid w:val="00A53CA3"/>
    <w:rsid w:val="00A53F38"/>
    <w:rsid w:val="00A54283"/>
    <w:rsid w:val="00A54419"/>
    <w:rsid w:val="00A54B04"/>
    <w:rsid w:val="00A54E63"/>
    <w:rsid w:val="00A54EFB"/>
    <w:rsid w:val="00A552BB"/>
    <w:rsid w:val="00A554E1"/>
    <w:rsid w:val="00A55752"/>
    <w:rsid w:val="00A55E47"/>
    <w:rsid w:val="00A55E73"/>
    <w:rsid w:val="00A565F0"/>
    <w:rsid w:val="00A5688C"/>
    <w:rsid w:val="00A56998"/>
    <w:rsid w:val="00A56FC9"/>
    <w:rsid w:val="00A570E2"/>
    <w:rsid w:val="00A575DA"/>
    <w:rsid w:val="00A57C6C"/>
    <w:rsid w:val="00A603EF"/>
    <w:rsid w:val="00A6081F"/>
    <w:rsid w:val="00A609F6"/>
    <w:rsid w:val="00A60C42"/>
    <w:rsid w:val="00A613DC"/>
    <w:rsid w:val="00A6157E"/>
    <w:rsid w:val="00A6176E"/>
    <w:rsid w:val="00A61A45"/>
    <w:rsid w:val="00A61E88"/>
    <w:rsid w:val="00A628CF"/>
    <w:rsid w:val="00A630C4"/>
    <w:rsid w:val="00A63515"/>
    <w:rsid w:val="00A63928"/>
    <w:rsid w:val="00A63B05"/>
    <w:rsid w:val="00A63DDB"/>
    <w:rsid w:val="00A64018"/>
    <w:rsid w:val="00A640C4"/>
    <w:rsid w:val="00A64AEB"/>
    <w:rsid w:val="00A64C38"/>
    <w:rsid w:val="00A64C78"/>
    <w:rsid w:val="00A64CDD"/>
    <w:rsid w:val="00A65296"/>
    <w:rsid w:val="00A655E0"/>
    <w:rsid w:val="00A6573D"/>
    <w:rsid w:val="00A65AE8"/>
    <w:rsid w:val="00A65FF3"/>
    <w:rsid w:val="00A6635B"/>
    <w:rsid w:val="00A663BD"/>
    <w:rsid w:val="00A66466"/>
    <w:rsid w:val="00A66581"/>
    <w:rsid w:val="00A66686"/>
    <w:rsid w:val="00A66749"/>
    <w:rsid w:val="00A669E9"/>
    <w:rsid w:val="00A66ACD"/>
    <w:rsid w:val="00A66F74"/>
    <w:rsid w:val="00A67183"/>
    <w:rsid w:val="00A67486"/>
    <w:rsid w:val="00A67A06"/>
    <w:rsid w:val="00A67B38"/>
    <w:rsid w:val="00A67BBE"/>
    <w:rsid w:val="00A7006B"/>
    <w:rsid w:val="00A7010D"/>
    <w:rsid w:val="00A701F3"/>
    <w:rsid w:val="00A702D8"/>
    <w:rsid w:val="00A707B0"/>
    <w:rsid w:val="00A708CA"/>
    <w:rsid w:val="00A7097C"/>
    <w:rsid w:val="00A70982"/>
    <w:rsid w:val="00A70C12"/>
    <w:rsid w:val="00A71194"/>
    <w:rsid w:val="00A71977"/>
    <w:rsid w:val="00A71B55"/>
    <w:rsid w:val="00A71B63"/>
    <w:rsid w:val="00A71C0D"/>
    <w:rsid w:val="00A726E0"/>
    <w:rsid w:val="00A72DCD"/>
    <w:rsid w:val="00A732DC"/>
    <w:rsid w:val="00A7337F"/>
    <w:rsid w:val="00A733FA"/>
    <w:rsid w:val="00A7357D"/>
    <w:rsid w:val="00A7357F"/>
    <w:rsid w:val="00A738E6"/>
    <w:rsid w:val="00A7394B"/>
    <w:rsid w:val="00A73C8F"/>
    <w:rsid w:val="00A73CC9"/>
    <w:rsid w:val="00A73EFE"/>
    <w:rsid w:val="00A748D8"/>
    <w:rsid w:val="00A749BE"/>
    <w:rsid w:val="00A74BAA"/>
    <w:rsid w:val="00A74BED"/>
    <w:rsid w:val="00A74C6E"/>
    <w:rsid w:val="00A74D20"/>
    <w:rsid w:val="00A74F34"/>
    <w:rsid w:val="00A75302"/>
    <w:rsid w:val="00A754EA"/>
    <w:rsid w:val="00A7552B"/>
    <w:rsid w:val="00A75820"/>
    <w:rsid w:val="00A75863"/>
    <w:rsid w:val="00A75B1F"/>
    <w:rsid w:val="00A75C76"/>
    <w:rsid w:val="00A75CFD"/>
    <w:rsid w:val="00A75F9F"/>
    <w:rsid w:val="00A76000"/>
    <w:rsid w:val="00A762BF"/>
    <w:rsid w:val="00A77107"/>
    <w:rsid w:val="00A772D1"/>
    <w:rsid w:val="00A77905"/>
    <w:rsid w:val="00A77B56"/>
    <w:rsid w:val="00A77ED8"/>
    <w:rsid w:val="00A77F77"/>
    <w:rsid w:val="00A77F99"/>
    <w:rsid w:val="00A80174"/>
    <w:rsid w:val="00A80C98"/>
    <w:rsid w:val="00A80E8A"/>
    <w:rsid w:val="00A811D4"/>
    <w:rsid w:val="00A8167B"/>
    <w:rsid w:val="00A817DD"/>
    <w:rsid w:val="00A81857"/>
    <w:rsid w:val="00A819B1"/>
    <w:rsid w:val="00A81CBA"/>
    <w:rsid w:val="00A81CF5"/>
    <w:rsid w:val="00A81E4B"/>
    <w:rsid w:val="00A820A8"/>
    <w:rsid w:val="00A8218C"/>
    <w:rsid w:val="00A82341"/>
    <w:rsid w:val="00A826F3"/>
    <w:rsid w:val="00A828F8"/>
    <w:rsid w:val="00A82C7C"/>
    <w:rsid w:val="00A82DDB"/>
    <w:rsid w:val="00A82EFB"/>
    <w:rsid w:val="00A834FA"/>
    <w:rsid w:val="00A836FD"/>
    <w:rsid w:val="00A84152"/>
    <w:rsid w:val="00A84297"/>
    <w:rsid w:val="00A84801"/>
    <w:rsid w:val="00A84A50"/>
    <w:rsid w:val="00A84B8A"/>
    <w:rsid w:val="00A84D5E"/>
    <w:rsid w:val="00A84DF6"/>
    <w:rsid w:val="00A84F4E"/>
    <w:rsid w:val="00A85886"/>
    <w:rsid w:val="00A85A6B"/>
    <w:rsid w:val="00A85C77"/>
    <w:rsid w:val="00A85D1C"/>
    <w:rsid w:val="00A85D8F"/>
    <w:rsid w:val="00A86035"/>
    <w:rsid w:val="00A86441"/>
    <w:rsid w:val="00A86864"/>
    <w:rsid w:val="00A86FE0"/>
    <w:rsid w:val="00A873E5"/>
    <w:rsid w:val="00A87889"/>
    <w:rsid w:val="00A87A1D"/>
    <w:rsid w:val="00A9010C"/>
    <w:rsid w:val="00A90161"/>
    <w:rsid w:val="00A901B4"/>
    <w:rsid w:val="00A908AF"/>
    <w:rsid w:val="00A91598"/>
    <w:rsid w:val="00A916E6"/>
    <w:rsid w:val="00A918A5"/>
    <w:rsid w:val="00A91A67"/>
    <w:rsid w:val="00A92498"/>
    <w:rsid w:val="00A92686"/>
    <w:rsid w:val="00A927C8"/>
    <w:rsid w:val="00A92AB7"/>
    <w:rsid w:val="00A93AFF"/>
    <w:rsid w:val="00A93B1C"/>
    <w:rsid w:val="00A93E0A"/>
    <w:rsid w:val="00A94154"/>
    <w:rsid w:val="00A9419B"/>
    <w:rsid w:val="00A941C7"/>
    <w:rsid w:val="00A942F6"/>
    <w:rsid w:val="00A9450D"/>
    <w:rsid w:val="00A94708"/>
    <w:rsid w:val="00A94851"/>
    <w:rsid w:val="00A948CC"/>
    <w:rsid w:val="00A950C5"/>
    <w:rsid w:val="00A9525C"/>
    <w:rsid w:val="00A95443"/>
    <w:rsid w:val="00A954B4"/>
    <w:rsid w:val="00A9556B"/>
    <w:rsid w:val="00A956F6"/>
    <w:rsid w:val="00A95919"/>
    <w:rsid w:val="00A95B17"/>
    <w:rsid w:val="00A95C14"/>
    <w:rsid w:val="00A95E86"/>
    <w:rsid w:val="00A96270"/>
    <w:rsid w:val="00A96327"/>
    <w:rsid w:val="00A965AB"/>
    <w:rsid w:val="00A96B1E"/>
    <w:rsid w:val="00A97116"/>
    <w:rsid w:val="00A97181"/>
    <w:rsid w:val="00A97685"/>
    <w:rsid w:val="00A97879"/>
    <w:rsid w:val="00A97A3D"/>
    <w:rsid w:val="00A97AFA"/>
    <w:rsid w:val="00A97D82"/>
    <w:rsid w:val="00A97FE9"/>
    <w:rsid w:val="00AA0037"/>
    <w:rsid w:val="00AA010A"/>
    <w:rsid w:val="00AA09B7"/>
    <w:rsid w:val="00AA09CE"/>
    <w:rsid w:val="00AA0C66"/>
    <w:rsid w:val="00AA105B"/>
    <w:rsid w:val="00AA1252"/>
    <w:rsid w:val="00AA13CF"/>
    <w:rsid w:val="00AA1582"/>
    <w:rsid w:val="00AA206D"/>
    <w:rsid w:val="00AA2C4F"/>
    <w:rsid w:val="00AA2FF2"/>
    <w:rsid w:val="00AA31D4"/>
    <w:rsid w:val="00AA33B4"/>
    <w:rsid w:val="00AA367F"/>
    <w:rsid w:val="00AA3822"/>
    <w:rsid w:val="00AA3C30"/>
    <w:rsid w:val="00AA3CAB"/>
    <w:rsid w:val="00AA3CE0"/>
    <w:rsid w:val="00AA3DE0"/>
    <w:rsid w:val="00AA3E2B"/>
    <w:rsid w:val="00AA4292"/>
    <w:rsid w:val="00AA4496"/>
    <w:rsid w:val="00AA4981"/>
    <w:rsid w:val="00AA4D2A"/>
    <w:rsid w:val="00AA51DF"/>
    <w:rsid w:val="00AA5503"/>
    <w:rsid w:val="00AA5547"/>
    <w:rsid w:val="00AA5964"/>
    <w:rsid w:val="00AA598C"/>
    <w:rsid w:val="00AA60A1"/>
    <w:rsid w:val="00AA63A5"/>
    <w:rsid w:val="00AA6E21"/>
    <w:rsid w:val="00AA6E28"/>
    <w:rsid w:val="00AA77F6"/>
    <w:rsid w:val="00AA7F47"/>
    <w:rsid w:val="00AB049D"/>
    <w:rsid w:val="00AB0574"/>
    <w:rsid w:val="00AB0AFA"/>
    <w:rsid w:val="00AB0C2C"/>
    <w:rsid w:val="00AB0CCF"/>
    <w:rsid w:val="00AB118F"/>
    <w:rsid w:val="00AB19D4"/>
    <w:rsid w:val="00AB1A3C"/>
    <w:rsid w:val="00AB1BEF"/>
    <w:rsid w:val="00AB1E83"/>
    <w:rsid w:val="00AB2045"/>
    <w:rsid w:val="00AB228E"/>
    <w:rsid w:val="00AB239D"/>
    <w:rsid w:val="00AB2AD2"/>
    <w:rsid w:val="00AB3237"/>
    <w:rsid w:val="00AB351F"/>
    <w:rsid w:val="00AB3712"/>
    <w:rsid w:val="00AB3BA0"/>
    <w:rsid w:val="00AB3C0C"/>
    <w:rsid w:val="00AB3C55"/>
    <w:rsid w:val="00AB3F44"/>
    <w:rsid w:val="00AB4064"/>
    <w:rsid w:val="00AB407B"/>
    <w:rsid w:val="00AB45C4"/>
    <w:rsid w:val="00AB48FE"/>
    <w:rsid w:val="00AB491B"/>
    <w:rsid w:val="00AB49FD"/>
    <w:rsid w:val="00AB4AFD"/>
    <w:rsid w:val="00AB5169"/>
    <w:rsid w:val="00AB52B9"/>
    <w:rsid w:val="00AB53D4"/>
    <w:rsid w:val="00AB593E"/>
    <w:rsid w:val="00AB5E55"/>
    <w:rsid w:val="00AB5EE8"/>
    <w:rsid w:val="00AB610C"/>
    <w:rsid w:val="00AB6465"/>
    <w:rsid w:val="00AB6682"/>
    <w:rsid w:val="00AB68D4"/>
    <w:rsid w:val="00AB6CA9"/>
    <w:rsid w:val="00AB6EA6"/>
    <w:rsid w:val="00AB7532"/>
    <w:rsid w:val="00AB7920"/>
    <w:rsid w:val="00AB7C30"/>
    <w:rsid w:val="00AB7D9E"/>
    <w:rsid w:val="00AC0332"/>
    <w:rsid w:val="00AC05FB"/>
    <w:rsid w:val="00AC0BEB"/>
    <w:rsid w:val="00AC0CFD"/>
    <w:rsid w:val="00AC0E06"/>
    <w:rsid w:val="00AC0F2D"/>
    <w:rsid w:val="00AC14C8"/>
    <w:rsid w:val="00AC161C"/>
    <w:rsid w:val="00AC190B"/>
    <w:rsid w:val="00AC1AD0"/>
    <w:rsid w:val="00AC1CDB"/>
    <w:rsid w:val="00AC2167"/>
    <w:rsid w:val="00AC2B1B"/>
    <w:rsid w:val="00AC2B6B"/>
    <w:rsid w:val="00AC2D4D"/>
    <w:rsid w:val="00AC324C"/>
    <w:rsid w:val="00AC37B5"/>
    <w:rsid w:val="00AC4126"/>
    <w:rsid w:val="00AC415F"/>
    <w:rsid w:val="00AC41A4"/>
    <w:rsid w:val="00AC43F1"/>
    <w:rsid w:val="00AC4967"/>
    <w:rsid w:val="00AC4DF7"/>
    <w:rsid w:val="00AC5019"/>
    <w:rsid w:val="00AC5873"/>
    <w:rsid w:val="00AC59DC"/>
    <w:rsid w:val="00AC6226"/>
    <w:rsid w:val="00AC674E"/>
    <w:rsid w:val="00AC6BE0"/>
    <w:rsid w:val="00AC70F8"/>
    <w:rsid w:val="00AC747B"/>
    <w:rsid w:val="00AC7526"/>
    <w:rsid w:val="00AC7745"/>
    <w:rsid w:val="00AC7781"/>
    <w:rsid w:val="00AC78F3"/>
    <w:rsid w:val="00AC7E2E"/>
    <w:rsid w:val="00AD03AA"/>
    <w:rsid w:val="00AD0C83"/>
    <w:rsid w:val="00AD1240"/>
    <w:rsid w:val="00AD13E4"/>
    <w:rsid w:val="00AD1635"/>
    <w:rsid w:val="00AD1760"/>
    <w:rsid w:val="00AD1809"/>
    <w:rsid w:val="00AD1928"/>
    <w:rsid w:val="00AD195D"/>
    <w:rsid w:val="00AD1A52"/>
    <w:rsid w:val="00AD226D"/>
    <w:rsid w:val="00AD26B0"/>
    <w:rsid w:val="00AD27FA"/>
    <w:rsid w:val="00AD2B92"/>
    <w:rsid w:val="00AD2BFB"/>
    <w:rsid w:val="00AD3041"/>
    <w:rsid w:val="00AD39CC"/>
    <w:rsid w:val="00AD39F6"/>
    <w:rsid w:val="00AD436B"/>
    <w:rsid w:val="00AD4389"/>
    <w:rsid w:val="00AD43C4"/>
    <w:rsid w:val="00AD4508"/>
    <w:rsid w:val="00AD45CC"/>
    <w:rsid w:val="00AD470E"/>
    <w:rsid w:val="00AD4EF8"/>
    <w:rsid w:val="00AD506D"/>
    <w:rsid w:val="00AD507A"/>
    <w:rsid w:val="00AD5E56"/>
    <w:rsid w:val="00AD5FCE"/>
    <w:rsid w:val="00AD64BD"/>
    <w:rsid w:val="00AD6812"/>
    <w:rsid w:val="00AD6985"/>
    <w:rsid w:val="00AD6AB9"/>
    <w:rsid w:val="00AD6B44"/>
    <w:rsid w:val="00AD6BDE"/>
    <w:rsid w:val="00AD6E16"/>
    <w:rsid w:val="00AD7056"/>
    <w:rsid w:val="00AD723E"/>
    <w:rsid w:val="00AD74F0"/>
    <w:rsid w:val="00AD7FDB"/>
    <w:rsid w:val="00AE03A5"/>
    <w:rsid w:val="00AE0574"/>
    <w:rsid w:val="00AE0A77"/>
    <w:rsid w:val="00AE0F0F"/>
    <w:rsid w:val="00AE12E5"/>
    <w:rsid w:val="00AE1394"/>
    <w:rsid w:val="00AE18C8"/>
    <w:rsid w:val="00AE261C"/>
    <w:rsid w:val="00AE262E"/>
    <w:rsid w:val="00AE2711"/>
    <w:rsid w:val="00AE2E8E"/>
    <w:rsid w:val="00AE3551"/>
    <w:rsid w:val="00AE3808"/>
    <w:rsid w:val="00AE3945"/>
    <w:rsid w:val="00AE3C9E"/>
    <w:rsid w:val="00AE3DB7"/>
    <w:rsid w:val="00AE43B6"/>
    <w:rsid w:val="00AE45B1"/>
    <w:rsid w:val="00AE4758"/>
    <w:rsid w:val="00AE602F"/>
    <w:rsid w:val="00AE60EE"/>
    <w:rsid w:val="00AE6CE6"/>
    <w:rsid w:val="00AE6D88"/>
    <w:rsid w:val="00AE7C60"/>
    <w:rsid w:val="00AE7CCB"/>
    <w:rsid w:val="00AF02D6"/>
    <w:rsid w:val="00AF09F1"/>
    <w:rsid w:val="00AF0B75"/>
    <w:rsid w:val="00AF0D57"/>
    <w:rsid w:val="00AF1170"/>
    <w:rsid w:val="00AF12A9"/>
    <w:rsid w:val="00AF16E8"/>
    <w:rsid w:val="00AF1CBD"/>
    <w:rsid w:val="00AF218B"/>
    <w:rsid w:val="00AF2230"/>
    <w:rsid w:val="00AF2453"/>
    <w:rsid w:val="00AF253F"/>
    <w:rsid w:val="00AF29EB"/>
    <w:rsid w:val="00AF2FCC"/>
    <w:rsid w:val="00AF32A8"/>
    <w:rsid w:val="00AF3337"/>
    <w:rsid w:val="00AF33AA"/>
    <w:rsid w:val="00AF34DC"/>
    <w:rsid w:val="00AF37BB"/>
    <w:rsid w:val="00AF3F38"/>
    <w:rsid w:val="00AF40CE"/>
    <w:rsid w:val="00AF46F9"/>
    <w:rsid w:val="00AF4CE7"/>
    <w:rsid w:val="00AF52BE"/>
    <w:rsid w:val="00AF5B63"/>
    <w:rsid w:val="00AF6243"/>
    <w:rsid w:val="00AF627A"/>
    <w:rsid w:val="00AF67D8"/>
    <w:rsid w:val="00AF69F3"/>
    <w:rsid w:val="00AF6CD6"/>
    <w:rsid w:val="00AF6D0B"/>
    <w:rsid w:val="00AF7286"/>
    <w:rsid w:val="00AF740C"/>
    <w:rsid w:val="00AF756B"/>
    <w:rsid w:val="00AF792B"/>
    <w:rsid w:val="00AF79EE"/>
    <w:rsid w:val="00AF7C81"/>
    <w:rsid w:val="00AF7F98"/>
    <w:rsid w:val="00B00114"/>
    <w:rsid w:val="00B00370"/>
    <w:rsid w:val="00B003CC"/>
    <w:rsid w:val="00B003FD"/>
    <w:rsid w:val="00B006A4"/>
    <w:rsid w:val="00B007A7"/>
    <w:rsid w:val="00B00FB3"/>
    <w:rsid w:val="00B010CB"/>
    <w:rsid w:val="00B012D0"/>
    <w:rsid w:val="00B014EF"/>
    <w:rsid w:val="00B01632"/>
    <w:rsid w:val="00B016D8"/>
    <w:rsid w:val="00B01931"/>
    <w:rsid w:val="00B019D0"/>
    <w:rsid w:val="00B01A60"/>
    <w:rsid w:val="00B01AF8"/>
    <w:rsid w:val="00B01B9E"/>
    <w:rsid w:val="00B01D4A"/>
    <w:rsid w:val="00B01DB3"/>
    <w:rsid w:val="00B01F10"/>
    <w:rsid w:val="00B02096"/>
    <w:rsid w:val="00B0218E"/>
    <w:rsid w:val="00B022D7"/>
    <w:rsid w:val="00B023E0"/>
    <w:rsid w:val="00B02754"/>
    <w:rsid w:val="00B02EA4"/>
    <w:rsid w:val="00B033C8"/>
    <w:rsid w:val="00B03471"/>
    <w:rsid w:val="00B03712"/>
    <w:rsid w:val="00B03A86"/>
    <w:rsid w:val="00B03DC2"/>
    <w:rsid w:val="00B03E2A"/>
    <w:rsid w:val="00B04299"/>
    <w:rsid w:val="00B04336"/>
    <w:rsid w:val="00B04421"/>
    <w:rsid w:val="00B04A0A"/>
    <w:rsid w:val="00B04C11"/>
    <w:rsid w:val="00B050BA"/>
    <w:rsid w:val="00B050C7"/>
    <w:rsid w:val="00B0544D"/>
    <w:rsid w:val="00B05535"/>
    <w:rsid w:val="00B05738"/>
    <w:rsid w:val="00B057C8"/>
    <w:rsid w:val="00B05962"/>
    <w:rsid w:val="00B05EAC"/>
    <w:rsid w:val="00B062A2"/>
    <w:rsid w:val="00B065B0"/>
    <w:rsid w:val="00B065BC"/>
    <w:rsid w:val="00B07E69"/>
    <w:rsid w:val="00B07E78"/>
    <w:rsid w:val="00B102C0"/>
    <w:rsid w:val="00B102EF"/>
    <w:rsid w:val="00B10B74"/>
    <w:rsid w:val="00B10D57"/>
    <w:rsid w:val="00B10F3E"/>
    <w:rsid w:val="00B110CC"/>
    <w:rsid w:val="00B11412"/>
    <w:rsid w:val="00B119B8"/>
    <w:rsid w:val="00B11CFF"/>
    <w:rsid w:val="00B11F51"/>
    <w:rsid w:val="00B12096"/>
    <w:rsid w:val="00B1227C"/>
    <w:rsid w:val="00B123CB"/>
    <w:rsid w:val="00B1260E"/>
    <w:rsid w:val="00B12DC7"/>
    <w:rsid w:val="00B12E78"/>
    <w:rsid w:val="00B12F03"/>
    <w:rsid w:val="00B12F54"/>
    <w:rsid w:val="00B134A3"/>
    <w:rsid w:val="00B136BB"/>
    <w:rsid w:val="00B13CFA"/>
    <w:rsid w:val="00B13DA7"/>
    <w:rsid w:val="00B13E9E"/>
    <w:rsid w:val="00B142C6"/>
    <w:rsid w:val="00B14654"/>
    <w:rsid w:val="00B14A39"/>
    <w:rsid w:val="00B14F0D"/>
    <w:rsid w:val="00B14F35"/>
    <w:rsid w:val="00B15123"/>
    <w:rsid w:val="00B15438"/>
    <w:rsid w:val="00B154C2"/>
    <w:rsid w:val="00B1556D"/>
    <w:rsid w:val="00B1561F"/>
    <w:rsid w:val="00B15825"/>
    <w:rsid w:val="00B15C45"/>
    <w:rsid w:val="00B15CFF"/>
    <w:rsid w:val="00B15E08"/>
    <w:rsid w:val="00B16726"/>
    <w:rsid w:val="00B16E88"/>
    <w:rsid w:val="00B16EF0"/>
    <w:rsid w:val="00B170C8"/>
    <w:rsid w:val="00B1718F"/>
    <w:rsid w:val="00B17390"/>
    <w:rsid w:val="00B173D3"/>
    <w:rsid w:val="00B17589"/>
    <w:rsid w:val="00B17F7D"/>
    <w:rsid w:val="00B20583"/>
    <w:rsid w:val="00B20695"/>
    <w:rsid w:val="00B20A56"/>
    <w:rsid w:val="00B20FAF"/>
    <w:rsid w:val="00B211A7"/>
    <w:rsid w:val="00B2139B"/>
    <w:rsid w:val="00B21442"/>
    <w:rsid w:val="00B2169D"/>
    <w:rsid w:val="00B216C0"/>
    <w:rsid w:val="00B2175C"/>
    <w:rsid w:val="00B21ADD"/>
    <w:rsid w:val="00B21AFF"/>
    <w:rsid w:val="00B21F03"/>
    <w:rsid w:val="00B220D8"/>
    <w:rsid w:val="00B22292"/>
    <w:rsid w:val="00B22672"/>
    <w:rsid w:val="00B2273C"/>
    <w:rsid w:val="00B22BDF"/>
    <w:rsid w:val="00B23510"/>
    <w:rsid w:val="00B237B8"/>
    <w:rsid w:val="00B23825"/>
    <w:rsid w:val="00B2394E"/>
    <w:rsid w:val="00B240C3"/>
    <w:rsid w:val="00B2419D"/>
    <w:rsid w:val="00B246FE"/>
    <w:rsid w:val="00B24902"/>
    <w:rsid w:val="00B249B8"/>
    <w:rsid w:val="00B24CC6"/>
    <w:rsid w:val="00B24FB2"/>
    <w:rsid w:val="00B253D1"/>
    <w:rsid w:val="00B258E7"/>
    <w:rsid w:val="00B2593F"/>
    <w:rsid w:val="00B25F05"/>
    <w:rsid w:val="00B25FC5"/>
    <w:rsid w:val="00B2645E"/>
    <w:rsid w:val="00B26A47"/>
    <w:rsid w:val="00B26A74"/>
    <w:rsid w:val="00B26BB4"/>
    <w:rsid w:val="00B26C26"/>
    <w:rsid w:val="00B26DE3"/>
    <w:rsid w:val="00B26FF7"/>
    <w:rsid w:val="00B27333"/>
    <w:rsid w:val="00B27C5C"/>
    <w:rsid w:val="00B27F81"/>
    <w:rsid w:val="00B30545"/>
    <w:rsid w:val="00B307A7"/>
    <w:rsid w:val="00B30D51"/>
    <w:rsid w:val="00B31095"/>
    <w:rsid w:val="00B31234"/>
    <w:rsid w:val="00B3227B"/>
    <w:rsid w:val="00B322EC"/>
    <w:rsid w:val="00B32565"/>
    <w:rsid w:val="00B32601"/>
    <w:rsid w:val="00B327A9"/>
    <w:rsid w:val="00B3291B"/>
    <w:rsid w:val="00B3296F"/>
    <w:rsid w:val="00B32B81"/>
    <w:rsid w:val="00B32BA7"/>
    <w:rsid w:val="00B32EF0"/>
    <w:rsid w:val="00B32F81"/>
    <w:rsid w:val="00B33A6D"/>
    <w:rsid w:val="00B33C54"/>
    <w:rsid w:val="00B33E7A"/>
    <w:rsid w:val="00B33EC8"/>
    <w:rsid w:val="00B345EC"/>
    <w:rsid w:val="00B34636"/>
    <w:rsid w:val="00B346C6"/>
    <w:rsid w:val="00B34C84"/>
    <w:rsid w:val="00B35734"/>
    <w:rsid w:val="00B3582D"/>
    <w:rsid w:val="00B35BEC"/>
    <w:rsid w:val="00B35E66"/>
    <w:rsid w:val="00B36681"/>
    <w:rsid w:val="00B36C61"/>
    <w:rsid w:val="00B37982"/>
    <w:rsid w:val="00B37A75"/>
    <w:rsid w:val="00B37ECC"/>
    <w:rsid w:val="00B40048"/>
    <w:rsid w:val="00B40450"/>
    <w:rsid w:val="00B408F6"/>
    <w:rsid w:val="00B40AB6"/>
    <w:rsid w:val="00B41368"/>
    <w:rsid w:val="00B41590"/>
    <w:rsid w:val="00B4174C"/>
    <w:rsid w:val="00B42492"/>
    <w:rsid w:val="00B4337E"/>
    <w:rsid w:val="00B433EE"/>
    <w:rsid w:val="00B4363C"/>
    <w:rsid w:val="00B437BC"/>
    <w:rsid w:val="00B43808"/>
    <w:rsid w:val="00B439C6"/>
    <w:rsid w:val="00B43BDC"/>
    <w:rsid w:val="00B43C31"/>
    <w:rsid w:val="00B441EF"/>
    <w:rsid w:val="00B442F5"/>
    <w:rsid w:val="00B444F7"/>
    <w:rsid w:val="00B4503F"/>
    <w:rsid w:val="00B45104"/>
    <w:rsid w:val="00B4510C"/>
    <w:rsid w:val="00B452DB"/>
    <w:rsid w:val="00B4542F"/>
    <w:rsid w:val="00B456E8"/>
    <w:rsid w:val="00B45AD7"/>
    <w:rsid w:val="00B45ADC"/>
    <w:rsid w:val="00B463BF"/>
    <w:rsid w:val="00B46513"/>
    <w:rsid w:val="00B46577"/>
    <w:rsid w:val="00B465BD"/>
    <w:rsid w:val="00B469F1"/>
    <w:rsid w:val="00B46B39"/>
    <w:rsid w:val="00B47054"/>
    <w:rsid w:val="00B47375"/>
    <w:rsid w:val="00B4769A"/>
    <w:rsid w:val="00B4791E"/>
    <w:rsid w:val="00B50429"/>
    <w:rsid w:val="00B5042A"/>
    <w:rsid w:val="00B5066D"/>
    <w:rsid w:val="00B512AF"/>
    <w:rsid w:val="00B51396"/>
    <w:rsid w:val="00B51697"/>
    <w:rsid w:val="00B518B1"/>
    <w:rsid w:val="00B51A1A"/>
    <w:rsid w:val="00B51BFA"/>
    <w:rsid w:val="00B51FE6"/>
    <w:rsid w:val="00B521EF"/>
    <w:rsid w:val="00B523F7"/>
    <w:rsid w:val="00B528F0"/>
    <w:rsid w:val="00B52E58"/>
    <w:rsid w:val="00B52FE8"/>
    <w:rsid w:val="00B533C4"/>
    <w:rsid w:val="00B535CC"/>
    <w:rsid w:val="00B53912"/>
    <w:rsid w:val="00B53A49"/>
    <w:rsid w:val="00B53D5B"/>
    <w:rsid w:val="00B53E3A"/>
    <w:rsid w:val="00B54886"/>
    <w:rsid w:val="00B54AFC"/>
    <w:rsid w:val="00B54E9C"/>
    <w:rsid w:val="00B5512E"/>
    <w:rsid w:val="00B55304"/>
    <w:rsid w:val="00B554D2"/>
    <w:rsid w:val="00B55647"/>
    <w:rsid w:val="00B557CA"/>
    <w:rsid w:val="00B55A46"/>
    <w:rsid w:val="00B56339"/>
    <w:rsid w:val="00B563F4"/>
    <w:rsid w:val="00B5642C"/>
    <w:rsid w:val="00B5650E"/>
    <w:rsid w:val="00B5685C"/>
    <w:rsid w:val="00B56919"/>
    <w:rsid w:val="00B56A3C"/>
    <w:rsid w:val="00B5706E"/>
    <w:rsid w:val="00B57948"/>
    <w:rsid w:val="00B579BE"/>
    <w:rsid w:val="00B57A51"/>
    <w:rsid w:val="00B57AF8"/>
    <w:rsid w:val="00B60147"/>
    <w:rsid w:val="00B6025A"/>
    <w:rsid w:val="00B60545"/>
    <w:rsid w:val="00B609DD"/>
    <w:rsid w:val="00B60ABD"/>
    <w:rsid w:val="00B60CB2"/>
    <w:rsid w:val="00B60CB6"/>
    <w:rsid w:val="00B6194E"/>
    <w:rsid w:val="00B61A00"/>
    <w:rsid w:val="00B61C33"/>
    <w:rsid w:val="00B6203E"/>
    <w:rsid w:val="00B629BF"/>
    <w:rsid w:val="00B62B5D"/>
    <w:rsid w:val="00B62D56"/>
    <w:rsid w:val="00B62E7D"/>
    <w:rsid w:val="00B62ED3"/>
    <w:rsid w:val="00B62F68"/>
    <w:rsid w:val="00B63022"/>
    <w:rsid w:val="00B63267"/>
    <w:rsid w:val="00B633A7"/>
    <w:rsid w:val="00B638FB"/>
    <w:rsid w:val="00B63B5C"/>
    <w:rsid w:val="00B63D9B"/>
    <w:rsid w:val="00B64460"/>
    <w:rsid w:val="00B64627"/>
    <w:rsid w:val="00B648A0"/>
    <w:rsid w:val="00B64BB0"/>
    <w:rsid w:val="00B65A20"/>
    <w:rsid w:val="00B65E66"/>
    <w:rsid w:val="00B66472"/>
    <w:rsid w:val="00B66573"/>
    <w:rsid w:val="00B66A15"/>
    <w:rsid w:val="00B66D51"/>
    <w:rsid w:val="00B66F9F"/>
    <w:rsid w:val="00B67183"/>
    <w:rsid w:val="00B677F5"/>
    <w:rsid w:val="00B679EA"/>
    <w:rsid w:val="00B67BB5"/>
    <w:rsid w:val="00B71BAC"/>
    <w:rsid w:val="00B71D9F"/>
    <w:rsid w:val="00B7266A"/>
    <w:rsid w:val="00B72697"/>
    <w:rsid w:val="00B7272D"/>
    <w:rsid w:val="00B727C7"/>
    <w:rsid w:val="00B72A98"/>
    <w:rsid w:val="00B72B1A"/>
    <w:rsid w:val="00B72E01"/>
    <w:rsid w:val="00B72EA9"/>
    <w:rsid w:val="00B72F6C"/>
    <w:rsid w:val="00B7312D"/>
    <w:rsid w:val="00B73233"/>
    <w:rsid w:val="00B73319"/>
    <w:rsid w:val="00B737DD"/>
    <w:rsid w:val="00B73883"/>
    <w:rsid w:val="00B73ADD"/>
    <w:rsid w:val="00B73B9C"/>
    <w:rsid w:val="00B73BE9"/>
    <w:rsid w:val="00B73E44"/>
    <w:rsid w:val="00B74209"/>
    <w:rsid w:val="00B7425D"/>
    <w:rsid w:val="00B745DF"/>
    <w:rsid w:val="00B7472C"/>
    <w:rsid w:val="00B749FF"/>
    <w:rsid w:val="00B74BF7"/>
    <w:rsid w:val="00B74C13"/>
    <w:rsid w:val="00B751E4"/>
    <w:rsid w:val="00B75447"/>
    <w:rsid w:val="00B75517"/>
    <w:rsid w:val="00B755B4"/>
    <w:rsid w:val="00B75A8B"/>
    <w:rsid w:val="00B75DE7"/>
    <w:rsid w:val="00B76318"/>
    <w:rsid w:val="00B76400"/>
    <w:rsid w:val="00B7647E"/>
    <w:rsid w:val="00B76F8C"/>
    <w:rsid w:val="00B76FC0"/>
    <w:rsid w:val="00B77123"/>
    <w:rsid w:val="00B77350"/>
    <w:rsid w:val="00B77810"/>
    <w:rsid w:val="00B77E14"/>
    <w:rsid w:val="00B80001"/>
    <w:rsid w:val="00B805BA"/>
    <w:rsid w:val="00B80A59"/>
    <w:rsid w:val="00B81260"/>
    <w:rsid w:val="00B81444"/>
    <w:rsid w:val="00B8159A"/>
    <w:rsid w:val="00B82357"/>
    <w:rsid w:val="00B827FA"/>
    <w:rsid w:val="00B82895"/>
    <w:rsid w:val="00B82C34"/>
    <w:rsid w:val="00B82E62"/>
    <w:rsid w:val="00B835A7"/>
    <w:rsid w:val="00B83C24"/>
    <w:rsid w:val="00B843B0"/>
    <w:rsid w:val="00B8444B"/>
    <w:rsid w:val="00B84712"/>
    <w:rsid w:val="00B847AD"/>
    <w:rsid w:val="00B84801"/>
    <w:rsid w:val="00B84BA3"/>
    <w:rsid w:val="00B84EF2"/>
    <w:rsid w:val="00B84FB6"/>
    <w:rsid w:val="00B85288"/>
    <w:rsid w:val="00B852DE"/>
    <w:rsid w:val="00B8541A"/>
    <w:rsid w:val="00B8564D"/>
    <w:rsid w:val="00B856AB"/>
    <w:rsid w:val="00B8588D"/>
    <w:rsid w:val="00B85FA5"/>
    <w:rsid w:val="00B86A56"/>
    <w:rsid w:val="00B86B9C"/>
    <w:rsid w:val="00B87679"/>
    <w:rsid w:val="00B8773F"/>
    <w:rsid w:val="00B87773"/>
    <w:rsid w:val="00B878CB"/>
    <w:rsid w:val="00B878DA"/>
    <w:rsid w:val="00B87CC4"/>
    <w:rsid w:val="00B90237"/>
    <w:rsid w:val="00B90659"/>
    <w:rsid w:val="00B908DC"/>
    <w:rsid w:val="00B90D1A"/>
    <w:rsid w:val="00B91425"/>
    <w:rsid w:val="00B91ABA"/>
    <w:rsid w:val="00B91AE9"/>
    <w:rsid w:val="00B91F23"/>
    <w:rsid w:val="00B92193"/>
    <w:rsid w:val="00B923DF"/>
    <w:rsid w:val="00B92643"/>
    <w:rsid w:val="00B927FD"/>
    <w:rsid w:val="00B92CDE"/>
    <w:rsid w:val="00B92F34"/>
    <w:rsid w:val="00B9369F"/>
    <w:rsid w:val="00B940DD"/>
    <w:rsid w:val="00B9426B"/>
    <w:rsid w:val="00B9453C"/>
    <w:rsid w:val="00B949C6"/>
    <w:rsid w:val="00B94DE0"/>
    <w:rsid w:val="00B9520B"/>
    <w:rsid w:val="00B95569"/>
    <w:rsid w:val="00B9596D"/>
    <w:rsid w:val="00B95A81"/>
    <w:rsid w:val="00B95EC9"/>
    <w:rsid w:val="00B963C5"/>
    <w:rsid w:val="00B96717"/>
    <w:rsid w:val="00B96903"/>
    <w:rsid w:val="00B96F98"/>
    <w:rsid w:val="00B97509"/>
    <w:rsid w:val="00B977BF"/>
    <w:rsid w:val="00B97B27"/>
    <w:rsid w:val="00BA02D2"/>
    <w:rsid w:val="00BA0CD2"/>
    <w:rsid w:val="00BA0EF4"/>
    <w:rsid w:val="00BA1024"/>
    <w:rsid w:val="00BA1879"/>
    <w:rsid w:val="00BA18F1"/>
    <w:rsid w:val="00BA19DE"/>
    <w:rsid w:val="00BA1F83"/>
    <w:rsid w:val="00BA1F96"/>
    <w:rsid w:val="00BA3261"/>
    <w:rsid w:val="00BA32B6"/>
    <w:rsid w:val="00BA344C"/>
    <w:rsid w:val="00BA34DC"/>
    <w:rsid w:val="00BA3BB8"/>
    <w:rsid w:val="00BA3F15"/>
    <w:rsid w:val="00BA4309"/>
    <w:rsid w:val="00BA484B"/>
    <w:rsid w:val="00BA53F4"/>
    <w:rsid w:val="00BA5822"/>
    <w:rsid w:val="00BA5C83"/>
    <w:rsid w:val="00BA5E16"/>
    <w:rsid w:val="00BA60FB"/>
    <w:rsid w:val="00BA69F5"/>
    <w:rsid w:val="00BA6B24"/>
    <w:rsid w:val="00BA6BAB"/>
    <w:rsid w:val="00BA6E6B"/>
    <w:rsid w:val="00BA73D5"/>
    <w:rsid w:val="00BA74ED"/>
    <w:rsid w:val="00BA7733"/>
    <w:rsid w:val="00BB03C1"/>
    <w:rsid w:val="00BB03C5"/>
    <w:rsid w:val="00BB05EC"/>
    <w:rsid w:val="00BB09A4"/>
    <w:rsid w:val="00BB0B31"/>
    <w:rsid w:val="00BB0C41"/>
    <w:rsid w:val="00BB146F"/>
    <w:rsid w:val="00BB18AE"/>
    <w:rsid w:val="00BB191E"/>
    <w:rsid w:val="00BB1B21"/>
    <w:rsid w:val="00BB1BE0"/>
    <w:rsid w:val="00BB1C90"/>
    <w:rsid w:val="00BB1E75"/>
    <w:rsid w:val="00BB2733"/>
    <w:rsid w:val="00BB29E1"/>
    <w:rsid w:val="00BB2CCF"/>
    <w:rsid w:val="00BB31C7"/>
    <w:rsid w:val="00BB36A6"/>
    <w:rsid w:val="00BB3879"/>
    <w:rsid w:val="00BB39BB"/>
    <w:rsid w:val="00BB3B84"/>
    <w:rsid w:val="00BB3C28"/>
    <w:rsid w:val="00BB3CCF"/>
    <w:rsid w:val="00BB48E6"/>
    <w:rsid w:val="00BB4AC0"/>
    <w:rsid w:val="00BB4AF2"/>
    <w:rsid w:val="00BB57FD"/>
    <w:rsid w:val="00BB583D"/>
    <w:rsid w:val="00BB584A"/>
    <w:rsid w:val="00BB58E2"/>
    <w:rsid w:val="00BB5BD6"/>
    <w:rsid w:val="00BB5F75"/>
    <w:rsid w:val="00BB62A3"/>
    <w:rsid w:val="00BB71EB"/>
    <w:rsid w:val="00BB728A"/>
    <w:rsid w:val="00BB7E91"/>
    <w:rsid w:val="00BC027D"/>
    <w:rsid w:val="00BC0360"/>
    <w:rsid w:val="00BC03B4"/>
    <w:rsid w:val="00BC094C"/>
    <w:rsid w:val="00BC0A93"/>
    <w:rsid w:val="00BC1751"/>
    <w:rsid w:val="00BC188C"/>
    <w:rsid w:val="00BC1968"/>
    <w:rsid w:val="00BC1FFA"/>
    <w:rsid w:val="00BC258C"/>
    <w:rsid w:val="00BC290E"/>
    <w:rsid w:val="00BC2B89"/>
    <w:rsid w:val="00BC2D27"/>
    <w:rsid w:val="00BC30A9"/>
    <w:rsid w:val="00BC3637"/>
    <w:rsid w:val="00BC3AF1"/>
    <w:rsid w:val="00BC3D71"/>
    <w:rsid w:val="00BC3E05"/>
    <w:rsid w:val="00BC4628"/>
    <w:rsid w:val="00BC4899"/>
    <w:rsid w:val="00BC4F0A"/>
    <w:rsid w:val="00BC4F48"/>
    <w:rsid w:val="00BC4F99"/>
    <w:rsid w:val="00BC5AFA"/>
    <w:rsid w:val="00BC5C2C"/>
    <w:rsid w:val="00BC6069"/>
    <w:rsid w:val="00BC628E"/>
    <w:rsid w:val="00BC62C9"/>
    <w:rsid w:val="00BC6751"/>
    <w:rsid w:val="00BC68D4"/>
    <w:rsid w:val="00BD0133"/>
    <w:rsid w:val="00BD02EA"/>
    <w:rsid w:val="00BD066D"/>
    <w:rsid w:val="00BD1BDC"/>
    <w:rsid w:val="00BD1DA4"/>
    <w:rsid w:val="00BD1EC4"/>
    <w:rsid w:val="00BD1ED8"/>
    <w:rsid w:val="00BD2134"/>
    <w:rsid w:val="00BD22C4"/>
    <w:rsid w:val="00BD2563"/>
    <w:rsid w:val="00BD2856"/>
    <w:rsid w:val="00BD28EF"/>
    <w:rsid w:val="00BD2B63"/>
    <w:rsid w:val="00BD2ED4"/>
    <w:rsid w:val="00BD30B0"/>
    <w:rsid w:val="00BD3274"/>
    <w:rsid w:val="00BD3297"/>
    <w:rsid w:val="00BD33AF"/>
    <w:rsid w:val="00BD3B28"/>
    <w:rsid w:val="00BD3B89"/>
    <w:rsid w:val="00BD3BC5"/>
    <w:rsid w:val="00BD3DC0"/>
    <w:rsid w:val="00BD4C04"/>
    <w:rsid w:val="00BD4C4C"/>
    <w:rsid w:val="00BD4C52"/>
    <w:rsid w:val="00BD52D5"/>
    <w:rsid w:val="00BD54A7"/>
    <w:rsid w:val="00BD58C5"/>
    <w:rsid w:val="00BD5903"/>
    <w:rsid w:val="00BD5EAC"/>
    <w:rsid w:val="00BD60CB"/>
    <w:rsid w:val="00BD64AA"/>
    <w:rsid w:val="00BD6B01"/>
    <w:rsid w:val="00BD6C24"/>
    <w:rsid w:val="00BD6FA8"/>
    <w:rsid w:val="00BD7139"/>
    <w:rsid w:val="00BD761C"/>
    <w:rsid w:val="00BD76C4"/>
    <w:rsid w:val="00BE0099"/>
    <w:rsid w:val="00BE01D6"/>
    <w:rsid w:val="00BE022B"/>
    <w:rsid w:val="00BE0FEF"/>
    <w:rsid w:val="00BE13D7"/>
    <w:rsid w:val="00BE17FC"/>
    <w:rsid w:val="00BE1AFF"/>
    <w:rsid w:val="00BE1B4B"/>
    <w:rsid w:val="00BE1B66"/>
    <w:rsid w:val="00BE1EB6"/>
    <w:rsid w:val="00BE22BD"/>
    <w:rsid w:val="00BE2787"/>
    <w:rsid w:val="00BE284E"/>
    <w:rsid w:val="00BE2E55"/>
    <w:rsid w:val="00BE34A3"/>
    <w:rsid w:val="00BE34AC"/>
    <w:rsid w:val="00BE37B3"/>
    <w:rsid w:val="00BE3AA7"/>
    <w:rsid w:val="00BE3AAD"/>
    <w:rsid w:val="00BE3E60"/>
    <w:rsid w:val="00BE3E6D"/>
    <w:rsid w:val="00BE3FE3"/>
    <w:rsid w:val="00BE40D9"/>
    <w:rsid w:val="00BE40E1"/>
    <w:rsid w:val="00BE44BF"/>
    <w:rsid w:val="00BE5069"/>
    <w:rsid w:val="00BE5597"/>
    <w:rsid w:val="00BE62E0"/>
    <w:rsid w:val="00BE6504"/>
    <w:rsid w:val="00BE65E7"/>
    <w:rsid w:val="00BE66AD"/>
    <w:rsid w:val="00BE66FC"/>
    <w:rsid w:val="00BE6BF5"/>
    <w:rsid w:val="00BE7835"/>
    <w:rsid w:val="00BE7B43"/>
    <w:rsid w:val="00BE7BA0"/>
    <w:rsid w:val="00BE7E7B"/>
    <w:rsid w:val="00BE7F33"/>
    <w:rsid w:val="00BF0197"/>
    <w:rsid w:val="00BF021F"/>
    <w:rsid w:val="00BF03FA"/>
    <w:rsid w:val="00BF0BEB"/>
    <w:rsid w:val="00BF0F05"/>
    <w:rsid w:val="00BF1044"/>
    <w:rsid w:val="00BF11A1"/>
    <w:rsid w:val="00BF1252"/>
    <w:rsid w:val="00BF1265"/>
    <w:rsid w:val="00BF1782"/>
    <w:rsid w:val="00BF1AD7"/>
    <w:rsid w:val="00BF216F"/>
    <w:rsid w:val="00BF2595"/>
    <w:rsid w:val="00BF28FC"/>
    <w:rsid w:val="00BF2B36"/>
    <w:rsid w:val="00BF302F"/>
    <w:rsid w:val="00BF30DE"/>
    <w:rsid w:val="00BF3354"/>
    <w:rsid w:val="00BF33F4"/>
    <w:rsid w:val="00BF34AB"/>
    <w:rsid w:val="00BF3607"/>
    <w:rsid w:val="00BF3FCE"/>
    <w:rsid w:val="00BF40FD"/>
    <w:rsid w:val="00BF4833"/>
    <w:rsid w:val="00BF48F0"/>
    <w:rsid w:val="00BF4B21"/>
    <w:rsid w:val="00BF4D32"/>
    <w:rsid w:val="00BF4F9D"/>
    <w:rsid w:val="00BF508E"/>
    <w:rsid w:val="00BF52F2"/>
    <w:rsid w:val="00BF56EB"/>
    <w:rsid w:val="00BF61BB"/>
    <w:rsid w:val="00BF657B"/>
    <w:rsid w:val="00BF66D8"/>
    <w:rsid w:val="00BF6F6D"/>
    <w:rsid w:val="00C00115"/>
    <w:rsid w:val="00C0049C"/>
    <w:rsid w:val="00C00B6C"/>
    <w:rsid w:val="00C0108B"/>
    <w:rsid w:val="00C014ED"/>
    <w:rsid w:val="00C018E1"/>
    <w:rsid w:val="00C01A80"/>
    <w:rsid w:val="00C022E5"/>
    <w:rsid w:val="00C02430"/>
    <w:rsid w:val="00C027D9"/>
    <w:rsid w:val="00C02E6E"/>
    <w:rsid w:val="00C02ECE"/>
    <w:rsid w:val="00C032BC"/>
    <w:rsid w:val="00C0335A"/>
    <w:rsid w:val="00C037EF"/>
    <w:rsid w:val="00C038A8"/>
    <w:rsid w:val="00C0390B"/>
    <w:rsid w:val="00C03914"/>
    <w:rsid w:val="00C03CF1"/>
    <w:rsid w:val="00C04488"/>
    <w:rsid w:val="00C047AD"/>
    <w:rsid w:val="00C04C2E"/>
    <w:rsid w:val="00C04CF7"/>
    <w:rsid w:val="00C04E1A"/>
    <w:rsid w:val="00C04E2C"/>
    <w:rsid w:val="00C04E59"/>
    <w:rsid w:val="00C05125"/>
    <w:rsid w:val="00C0534A"/>
    <w:rsid w:val="00C055B7"/>
    <w:rsid w:val="00C0582D"/>
    <w:rsid w:val="00C06427"/>
    <w:rsid w:val="00C065F0"/>
    <w:rsid w:val="00C065FA"/>
    <w:rsid w:val="00C06BCA"/>
    <w:rsid w:val="00C06D90"/>
    <w:rsid w:val="00C06FC3"/>
    <w:rsid w:val="00C07118"/>
    <w:rsid w:val="00C0731C"/>
    <w:rsid w:val="00C07956"/>
    <w:rsid w:val="00C079FD"/>
    <w:rsid w:val="00C07E52"/>
    <w:rsid w:val="00C101B4"/>
    <w:rsid w:val="00C10ED9"/>
    <w:rsid w:val="00C10FC3"/>
    <w:rsid w:val="00C113BE"/>
    <w:rsid w:val="00C113CC"/>
    <w:rsid w:val="00C116AE"/>
    <w:rsid w:val="00C1173E"/>
    <w:rsid w:val="00C11B18"/>
    <w:rsid w:val="00C11B65"/>
    <w:rsid w:val="00C11E27"/>
    <w:rsid w:val="00C1203D"/>
    <w:rsid w:val="00C12946"/>
    <w:rsid w:val="00C12C77"/>
    <w:rsid w:val="00C13099"/>
    <w:rsid w:val="00C139F0"/>
    <w:rsid w:val="00C13B75"/>
    <w:rsid w:val="00C13E0C"/>
    <w:rsid w:val="00C13F89"/>
    <w:rsid w:val="00C145C1"/>
    <w:rsid w:val="00C146F9"/>
    <w:rsid w:val="00C148D7"/>
    <w:rsid w:val="00C14EB5"/>
    <w:rsid w:val="00C14F7C"/>
    <w:rsid w:val="00C15184"/>
    <w:rsid w:val="00C1523E"/>
    <w:rsid w:val="00C1537A"/>
    <w:rsid w:val="00C15758"/>
    <w:rsid w:val="00C1590D"/>
    <w:rsid w:val="00C1592E"/>
    <w:rsid w:val="00C15D36"/>
    <w:rsid w:val="00C16114"/>
    <w:rsid w:val="00C1622E"/>
    <w:rsid w:val="00C1626F"/>
    <w:rsid w:val="00C16317"/>
    <w:rsid w:val="00C163F1"/>
    <w:rsid w:val="00C166AE"/>
    <w:rsid w:val="00C167FF"/>
    <w:rsid w:val="00C16826"/>
    <w:rsid w:val="00C168F2"/>
    <w:rsid w:val="00C16F68"/>
    <w:rsid w:val="00C170CA"/>
    <w:rsid w:val="00C17312"/>
    <w:rsid w:val="00C1781E"/>
    <w:rsid w:val="00C17B68"/>
    <w:rsid w:val="00C17C68"/>
    <w:rsid w:val="00C17DFC"/>
    <w:rsid w:val="00C17E7A"/>
    <w:rsid w:val="00C2030E"/>
    <w:rsid w:val="00C209AF"/>
    <w:rsid w:val="00C20ACC"/>
    <w:rsid w:val="00C20FF0"/>
    <w:rsid w:val="00C21078"/>
    <w:rsid w:val="00C21128"/>
    <w:rsid w:val="00C213BC"/>
    <w:rsid w:val="00C22132"/>
    <w:rsid w:val="00C2213F"/>
    <w:rsid w:val="00C2217F"/>
    <w:rsid w:val="00C22362"/>
    <w:rsid w:val="00C2242B"/>
    <w:rsid w:val="00C22697"/>
    <w:rsid w:val="00C22744"/>
    <w:rsid w:val="00C22E91"/>
    <w:rsid w:val="00C23400"/>
    <w:rsid w:val="00C23490"/>
    <w:rsid w:val="00C23A0F"/>
    <w:rsid w:val="00C24731"/>
    <w:rsid w:val="00C248BF"/>
    <w:rsid w:val="00C24D78"/>
    <w:rsid w:val="00C250BF"/>
    <w:rsid w:val="00C256B0"/>
    <w:rsid w:val="00C25C5E"/>
    <w:rsid w:val="00C260E8"/>
    <w:rsid w:val="00C26267"/>
    <w:rsid w:val="00C2668D"/>
    <w:rsid w:val="00C266BF"/>
    <w:rsid w:val="00C266D5"/>
    <w:rsid w:val="00C26910"/>
    <w:rsid w:val="00C26B96"/>
    <w:rsid w:val="00C2737A"/>
    <w:rsid w:val="00C279BF"/>
    <w:rsid w:val="00C27B53"/>
    <w:rsid w:val="00C27C57"/>
    <w:rsid w:val="00C27E81"/>
    <w:rsid w:val="00C301D5"/>
    <w:rsid w:val="00C307FD"/>
    <w:rsid w:val="00C308E4"/>
    <w:rsid w:val="00C31242"/>
    <w:rsid w:val="00C312AB"/>
    <w:rsid w:val="00C312DE"/>
    <w:rsid w:val="00C31B5C"/>
    <w:rsid w:val="00C31FEB"/>
    <w:rsid w:val="00C32071"/>
    <w:rsid w:val="00C32110"/>
    <w:rsid w:val="00C32D34"/>
    <w:rsid w:val="00C32EBE"/>
    <w:rsid w:val="00C32F96"/>
    <w:rsid w:val="00C3309A"/>
    <w:rsid w:val="00C33224"/>
    <w:rsid w:val="00C3342F"/>
    <w:rsid w:val="00C33C18"/>
    <w:rsid w:val="00C34040"/>
    <w:rsid w:val="00C34306"/>
    <w:rsid w:val="00C3431A"/>
    <w:rsid w:val="00C346C7"/>
    <w:rsid w:val="00C3480E"/>
    <w:rsid w:val="00C34810"/>
    <w:rsid w:val="00C349FD"/>
    <w:rsid w:val="00C34C36"/>
    <w:rsid w:val="00C3560E"/>
    <w:rsid w:val="00C35B9E"/>
    <w:rsid w:val="00C35C97"/>
    <w:rsid w:val="00C35E1C"/>
    <w:rsid w:val="00C361AB"/>
    <w:rsid w:val="00C3643D"/>
    <w:rsid w:val="00C36448"/>
    <w:rsid w:val="00C364E5"/>
    <w:rsid w:val="00C367E0"/>
    <w:rsid w:val="00C368A7"/>
    <w:rsid w:val="00C368CB"/>
    <w:rsid w:val="00C377D8"/>
    <w:rsid w:val="00C3789F"/>
    <w:rsid w:val="00C37A57"/>
    <w:rsid w:val="00C37BFA"/>
    <w:rsid w:val="00C37DF1"/>
    <w:rsid w:val="00C37F09"/>
    <w:rsid w:val="00C40493"/>
    <w:rsid w:val="00C40498"/>
    <w:rsid w:val="00C4063B"/>
    <w:rsid w:val="00C406A5"/>
    <w:rsid w:val="00C40759"/>
    <w:rsid w:val="00C40B5C"/>
    <w:rsid w:val="00C40CFF"/>
    <w:rsid w:val="00C40F64"/>
    <w:rsid w:val="00C410B5"/>
    <w:rsid w:val="00C41120"/>
    <w:rsid w:val="00C41124"/>
    <w:rsid w:val="00C411C1"/>
    <w:rsid w:val="00C4152B"/>
    <w:rsid w:val="00C4155C"/>
    <w:rsid w:val="00C41AAA"/>
    <w:rsid w:val="00C41CA7"/>
    <w:rsid w:val="00C42293"/>
    <w:rsid w:val="00C423DB"/>
    <w:rsid w:val="00C426EF"/>
    <w:rsid w:val="00C4273A"/>
    <w:rsid w:val="00C42C4F"/>
    <w:rsid w:val="00C42E15"/>
    <w:rsid w:val="00C42EA5"/>
    <w:rsid w:val="00C4317D"/>
    <w:rsid w:val="00C43408"/>
    <w:rsid w:val="00C43AFB"/>
    <w:rsid w:val="00C43B74"/>
    <w:rsid w:val="00C4407F"/>
    <w:rsid w:val="00C441C2"/>
    <w:rsid w:val="00C446CA"/>
    <w:rsid w:val="00C45157"/>
    <w:rsid w:val="00C45352"/>
    <w:rsid w:val="00C456B4"/>
    <w:rsid w:val="00C4573E"/>
    <w:rsid w:val="00C45951"/>
    <w:rsid w:val="00C45C52"/>
    <w:rsid w:val="00C45E19"/>
    <w:rsid w:val="00C45F17"/>
    <w:rsid w:val="00C46757"/>
    <w:rsid w:val="00C46978"/>
    <w:rsid w:val="00C46A61"/>
    <w:rsid w:val="00C46A7E"/>
    <w:rsid w:val="00C46BBD"/>
    <w:rsid w:val="00C4734B"/>
    <w:rsid w:val="00C4761A"/>
    <w:rsid w:val="00C479D0"/>
    <w:rsid w:val="00C47BD3"/>
    <w:rsid w:val="00C47F11"/>
    <w:rsid w:val="00C502FF"/>
    <w:rsid w:val="00C5039E"/>
    <w:rsid w:val="00C50400"/>
    <w:rsid w:val="00C506AB"/>
    <w:rsid w:val="00C509C6"/>
    <w:rsid w:val="00C50FE8"/>
    <w:rsid w:val="00C51333"/>
    <w:rsid w:val="00C514E4"/>
    <w:rsid w:val="00C515DE"/>
    <w:rsid w:val="00C52318"/>
    <w:rsid w:val="00C52C23"/>
    <w:rsid w:val="00C52E50"/>
    <w:rsid w:val="00C52ED7"/>
    <w:rsid w:val="00C5304B"/>
    <w:rsid w:val="00C531B7"/>
    <w:rsid w:val="00C531B8"/>
    <w:rsid w:val="00C532D8"/>
    <w:rsid w:val="00C53763"/>
    <w:rsid w:val="00C53AE8"/>
    <w:rsid w:val="00C542E9"/>
    <w:rsid w:val="00C544A2"/>
    <w:rsid w:val="00C545A6"/>
    <w:rsid w:val="00C545B6"/>
    <w:rsid w:val="00C54B73"/>
    <w:rsid w:val="00C54CFC"/>
    <w:rsid w:val="00C55030"/>
    <w:rsid w:val="00C5564C"/>
    <w:rsid w:val="00C556C1"/>
    <w:rsid w:val="00C556C5"/>
    <w:rsid w:val="00C5571E"/>
    <w:rsid w:val="00C557BB"/>
    <w:rsid w:val="00C55ABD"/>
    <w:rsid w:val="00C55B19"/>
    <w:rsid w:val="00C55D51"/>
    <w:rsid w:val="00C55ED5"/>
    <w:rsid w:val="00C56263"/>
    <w:rsid w:val="00C563FB"/>
    <w:rsid w:val="00C569AF"/>
    <w:rsid w:val="00C56F77"/>
    <w:rsid w:val="00C572A4"/>
    <w:rsid w:val="00C57759"/>
    <w:rsid w:val="00C57802"/>
    <w:rsid w:val="00C57A77"/>
    <w:rsid w:val="00C57BB6"/>
    <w:rsid w:val="00C57ED6"/>
    <w:rsid w:val="00C607EC"/>
    <w:rsid w:val="00C60A2F"/>
    <w:rsid w:val="00C60DC0"/>
    <w:rsid w:val="00C60F27"/>
    <w:rsid w:val="00C61156"/>
    <w:rsid w:val="00C61161"/>
    <w:rsid w:val="00C611D7"/>
    <w:rsid w:val="00C6128F"/>
    <w:rsid w:val="00C61778"/>
    <w:rsid w:val="00C61790"/>
    <w:rsid w:val="00C6190D"/>
    <w:rsid w:val="00C61A0D"/>
    <w:rsid w:val="00C61A77"/>
    <w:rsid w:val="00C61C2B"/>
    <w:rsid w:val="00C61C72"/>
    <w:rsid w:val="00C62163"/>
    <w:rsid w:val="00C62425"/>
    <w:rsid w:val="00C62592"/>
    <w:rsid w:val="00C625D4"/>
    <w:rsid w:val="00C6390E"/>
    <w:rsid w:val="00C63BB8"/>
    <w:rsid w:val="00C63CB2"/>
    <w:rsid w:val="00C63CD9"/>
    <w:rsid w:val="00C63D32"/>
    <w:rsid w:val="00C640CE"/>
    <w:rsid w:val="00C641A9"/>
    <w:rsid w:val="00C646DB"/>
    <w:rsid w:val="00C64A81"/>
    <w:rsid w:val="00C64F57"/>
    <w:rsid w:val="00C65155"/>
    <w:rsid w:val="00C65412"/>
    <w:rsid w:val="00C6596B"/>
    <w:rsid w:val="00C65C9B"/>
    <w:rsid w:val="00C6610E"/>
    <w:rsid w:val="00C663DD"/>
    <w:rsid w:val="00C66507"/>
    <w:rsid w:val="00C66781"/>
    <w:rsid w:val="00C66C68"/>
    <w:rsid w:val="00C66E70"/>
    <w:rsid w:val="00C67494"/>
    <w:rsid w:val="00C679E5"/>
    <w:rsid w:val="00C67A08"/>
    <w:rsid w:val="00C67C16"/>
    <w:rsid w:val="00C67D12"/>
    <w:rsid w:val="00C700F1"/>
    <w:rsid w:val="00C702AD"/>
    <w:rsid w:val="00C70463"/>
    <w:rsid w:val="00C70490"/>
    <w:rsid w:val="00C709C8"/>
    <w:rsid w:val="00C70A33"/>
    <w:rsid w:val="00C70CF1"/>
    <w:rsid w:val="00C70F3C"/>
    <w:rsid w:val="00C712DF"/>
    <w:rsid w:val="00C7135B"/>
    <w:rsid w:val="00C71727"/>
    <w:rsid w:val="00C71EDE"/>
    <w:rsid w:val="00C71F70"/>
    <w:rsid w:val="00C722BF"/>
    <w:rsid w:val="00C72555"/>
    <w:rsid w:val="00C72FE7"/>
    <w:rsid w:val="00C7338B"/>
    <w:rsid w:val="00C7367B"/>
    <w:rsid w:val="00C73895"/>
    <w:rsid w:val="00C73EA9"/>
    <w:rsid w:val="00C73FF4"/>
    <w:rsid w:val="00C74131"/>
    <w:rsid w:val="00C74708"/>
    <w:rsid w:val="00C747A0"/>
    <w:rsid w:val="00C754D2"/>
    <w:rsid w:val="00C75610"/>
    <w:rsid w:val="00C75A2D"/>
    <w:rsid w:val="00C75A44"/>
    <w:rsid w:val="00C75E9A"/>
    <w:rsid w:val="00C762A9"/>
    <w:rsid w:val="00C76523"/>
    <w:rsid w:val="00C766A6"/>
    <w:rsid w:val="00C7686A"/>
    <w:rsid w:val="00C76B3D"/>
    <w:rsid w:val="00C76CB2"/>
    <w:rsid w:val="00C77757"/>
    <w:rsid w:val="00C77967"/>
    <w:rsid w:val="00C77D59"/>
    <w:rsid w:val="00C80919"/>
    <w:rsid w:val="00C80987"/>
    <w:rsid w:val="00C80A1F"/>
    <w:rsid w:val="00C80DA3"/>
    <w:rsid w:val="00C80EB3"/>
    <w:rsid w:val="00C81348"/>
    <w:rsid w:val="00C81855"/>
    <w:rsid w:val="00C8190C"/>
    <w:rsid w:val="00C819B4"/>
    <w:rsid w:val="00C828BB"/>
    <w:rsid w:val="00C82E44"/>
    <w:rsid w:val="00C830E5"/>
    <w:rsid w:val="00C83133"/>
    <w:rsid w:val="00C83B6A"/>
    <w:rsid w:val="00C83D76"/>
    <w:rsid w:val="00C841A5"/>
    <w:rsid w:val="00C84A39"/>
    <w:rsid w:val="00C84EA0"/>
    <w:rsid w:val="00C8548F"/>
    <w:rsid w:val="00C86094"/>
    <w:rsid w:val="00C86175"/>
    <w:rsid w:val="00C861D7"/>
    <w:rsid w:val="00C86C07"/>
    <w:rsid w:val="00C87662"/>
    <w:rsid w:val="00C87691"/>
    <w:rsid w:val="00C90045"/>
    <w:rsid w:val="00C900EB"/>
    <w:rsid w:val="00C90116"/>
    <w:rsid w:val="00C9061A"/>
    <w:rsid w:val="00C90873"/>
    <w:rsid w:val="00C90CEA"/>
    <w:rsid w:val="00C90DDA"/>
    <w:rsid w:val="00C90FE8"/>
    <w:rsid w:val="00C911B4"/>
    <w:rsid w:val="00C9133A"/>
    <w:rsid w:val="00C91345"/>
    <w:rsid w:val="00C91483"/>
    <w:rsid w:val="00C914A0"/>
    <w:rsid w:val="00C91557"/>
    <w:rsid w:val="00C91604"/>
    <w:rsid w:val="00C91B70"/>
    <w:rsid w:val="00C91F10"/>
    <w:rsid w:val="00C92322"/>
    <w:rsid w:val="00C928A9"/>
    <w:rsid w:val="00C92920"/>
    <w:rsid w:val="00C92A35"/>
    <w:rsid w:val="00C92B95"/>
    <w:rsid w:val="00C92B99"/>
    <w:rsid w:val="00C92D37"/>
    <w:rsid w:val="00C92FCE"/>
    <w:rsid w:val="00C933A7"/>
    <w:rsid w:val="00C933E6"/>
    <w:rsid w:val="00C9352E"/>
    <w:rsid w:val="00C93EA4"/>
    <w:rsid w:val="00C93FFD"/>
    <w:rsid w:val="00C94214"/>
    <w:rsid w:val="00C9425F"/>
    <w:rsid w:val="00C944DC"/>
    <w:rsid w:val="00C9480A"/>
    <w:rsid w:val="00C9493B"/>
    <w:rsid w:val="00C94EF3"/>
    <w:rsid w:val="00C952F4"/>
    <w:rsid w:val="00C9543B"/>
    <w:rsid w:val="00C95766"/>
    <w:rsid w:val="00C9576D"/>
    <w:rsid w:val="00C957F1"/>
    <w:rsid w:val="00C95C2E"/>
    <w:rsid w:val="00C95E34"/>
    <w:rsid w:val="00C95E46"/>
    <w:rsid w:val="00C96502"/>
    <w:rsid w:val="00C969AE"/>
    <w:rsid w:val="00C96A90"/>
    <w:rsid w:val="00C96C15"/>
    <w:rsid w:val="00C96C6E"/>
    <w:rsid w:val="00C96F22"/>
    <w:rsid w:val="00C970B1"/>
    <w:rsid w:val="00C97209"/>
    <w:rsid w:val="00C97256"/>
    <w:rsid w:val="00C974E7"/>
    <w:rsid w:val="00C9755D"/>
    <w:rsid w:val="00C97AF3"/>
    <w:rsid w:val="00C97E6E"/>
    <w:rsid w:val="00C97F37"/>
    <w:rsid w:val="00CA00F7"/>
    <w:rsid w:val="00CA034F"/>
    <w:rsid w:val="00CA04D1"/>
    <w:rsid w:val="00CA065D"/>
    <w:rsid w:val="00CA0742"/>
    <w:rsid w:val="00CA1A20"/>
    <w:rsid w:val="00CA210A"/>
    <w:rsid w:val="00CA2802"/>
    <w:rsid w:val="00CA2D38"/>
    <w:rsid w:val="00CA2EE1"/>
    <w:rsid w:val="00CA316C"/>
    <w:rsid w:val="00CA31EB"/>
    <w:rsid w:val="00CA37EC"/>
    <w:rsid w:val="00CA384E"/>
    <w:rsid w:val="00CA39B0"/>
    <w:rsid w:val="00CA3A8C"/>
    <w:rsid w:val="00CA3CE6"/>
    <w:rsid w:val="00CA3F29"/>
    <w:rsid w:val="00CA4883"/>
    <w:rsid w:val="00CA4975"/>
    <w:rsid w:val="00CA5068"/>
    <w:rsid w:val="00CA59A3"/>
    <w:rsid w:val="00CA5CAA"/>
    <w:rsid w:val="00CA5DC7"/>
    <w:rsid w:val="00CA60FB"/>
    <w:rsid w:val="00CA621D"/>
    <w:rsid w:val="00CA6237"/>
    <w:rsid w:val="00CA64CF"/>
    <w:rsid w:val="00CA6548"/>
    <w:rsid w:val="00CA65CB"/>
    <w:rsid w:val="00CA66E3"/>
    <w:rsid w:val="00CA6A14"/>
    <w:rsid w:val="00CA6CFF"/>
    <w:rsid w:val="00CA77F5"/>
    <w:rsid w:val="00CA7D5E"/>
    <w:rsid w:val="00CB0073"/>
    <w:rsid w:val="00CB0136"/>
    <w:rsid w:val="00CB0480"/>
    <w:rsid w:val="00CB05BF"/>
    <w:rsid w:val="00CB081F"/>
    <w:rsid w:val="00CB08E0"/>
    <w:rsid w:val="00CB0914"/>
    <w:rsid w:val="00CB0C0F"/>
    <w:rsid w:val="00CB0E57"/>
    <w:rsid w:val="00CB1058"/>
    <w:rsid w:val="00CB1330"/>
    <w:rsid w:val="00CB13EA"/>
    <w:rsid w:val="00CB1B48"/>
    <w:rsid w:val="00CB1F27"/>
    <w:rsid w:val="00CB2FDB"/>
    <w:rsid w:val="00CB323B"/>
    <w:rsid w:val="00CB335E"/>
    <w:rsid w:val="00CB3454"/>
    <w:rsid w:val="00CB3565"/>
    <w:rsid w:val="00CB36DA"/>
    <w:rsid w:val="00CB3866"/>
    <w:rsid w:val="00CB3965"/>
    <w:rsid w:val="00CB3D19"/>
    <w:rsid w:val="00CB414C"/>
    <w:rsid w:val="00CB4578"/>
    <w:rsid w:val="00CB4593"/>
    <w:rsid w:val="00CB45EB"/>
    <w:rsid w:val="00CB4DDD"/>
    <w:rsid w:val="00CB56A7"/>
    <w:rsid w:val="00CB5977"/>
    <w:rsid w:val="00CB59A4"/>
    <w:rsid w:val="00CB5CB7"/>
    <w:rsid w:val="00CB5D5B"/>
    <w:rsid w:val="00CB5E4F"/>
    <w:rsid w:val="00CB5F4D"/>
    <w:rsid w:val="00CB5F5F"/>
    <w:rsid w:val="00CB66F2"/>
    <w:rsid w:val="00CB681A"/>
    <w:rsid w:val="00CB69E4"/>
    <w:rsid w:val="00CB6A42"/>
    <w:rsid w:val="00CB6F5D"/>
    <w:rsid w:val="00CB710B"/>
    <w:rsid w:val="00CB7187"/>
    <w:rsid w:val="00CB71E8"/>
    <w:rsid w:val="00CB72BB"/>
    <w:rsid w:val="00CB7359"/>
    <w:rsid w:val="00CB7465"/>
    <w:rsid w:val="00CB758C"/>
    <w:rsid w:val="00CB7615"/>
    <w:rsid w:val="00CB7703"/>
    <w:rsid w:val="00CB7889"/>
    <w:rsid w:val="00CB7D89"/>
    <w:rsid w:val="00CC0193"/>
    <w:rsid w:val="00CC0733"/>
    <w:rsid w:val="00CC09B2"/>
    <w:rsid w:val="00CC09BB"/>
    <w:rsid w:val="00CC0B56"/>
    <w:rsid w:val="00CC137B"/>
    <w:rsid w:val="00CC17AC"/>
    <w:rsid w:val="00CC18A1"/>
    <w:rsid w:val="00CC1910"/>
    <w:rsid w:val="00CC2285"/>
    <w:rsid w:val="00CC2358"/>
    <w:rsid w:val="00CC236C"/>
    <w:rsid w:val="00CC29E7"/>
    <w:rsid w:val="00CC2C3E"/>
    <w:rsid w:val="00CC38A5"/>
    <w:rsid w:val="00CC3AD9"/>
    <w:rsid w:val="00CC3CAB"/>
    <w:rsid w:val="00CC3F9D"/>
    <w:rsid w:val="00CC47FA"/>
    <w:rsid w:val="00CC4E38"/>
    <w:rsid w:val="00CC4F2B"/>
    <w:rsid w:val="00CC60A2"/>
    <w:rsid w:val="00CC63F6"/>
    <w:rsid w:val="00CC6622"/>
    <w:rsid w:val="00CC69AE"/>
    <w:rsid w:val="00CC6CAC"/>
    <w:rsid w:val="00CC7607"/>
    <w:rsid w:val="00CC770A"/>
    <w:rsid w:val="00CC7723"/>
    <w:rsid w:val="00CC78AD"/>
    <w:rsid w:val="00CC7925"/>
    <w:rsid w:val="00CC7A58"/>
    <w:rsid w:val="00CC7A61"/>
    <w:rsid w:val="00CC7B61"/>
    <w:rsid w:val="00CC7B6E"/>
    <w:rsid w:val="00CC7CB7"/>
    <w:rsid w:val="00CD089E"/>
    <w:rsid w:val="00CD0C14"/>
    <w:rsid w:val="00CD0D2A"/>
    <w:rsid w:val="00CD1199"/>
    <w:rsid w:val="00CD145E"/>
    <w:rsid w:val="00CD1D79"/>
    <w:rsid w:val="00CD1DF3"/>
    <w:rsid w:val="00CD20CA"/>
    <w:rsid w:val="00CD21CE"/>
    <w:rsid w:val="00CD2610"/>
    <w:rsid w:val="00CD2720"/>
    <w:rsid w:val="00CD2ACF"/>
    <w:rsid w:val="00CD2B3C"/>
    <w:rsid w:val="00CD2FC5"/>
    <w:rsid w:val="00CD3067"/>
    <w:rsid w:val="00CD3081"/>
    <w:rsid w:val="00CD30C1"/>
    <w:rsid w:val="00CD31D6"/>
    <w:rsid w:val="00CD32D1"/>
    <w:rsid w:val="00CD38CD"/>
    <w:rsid w:val="00CD3A99"/>
    <w:rsid w:val="00CD3B3F"/>
    <w:rsid w:val="00CD42DD"/>
    <w:rsid w:val="00CD438A"/>
    <w:rsid w:val="00CD441E"/>
    <w:rsid w:val="00CD4788"/>
    <w:rsid w:val="00CD47C9"/>
    <w:rsid w:val="00CD4BD9"/>
    <w:rsid w:val="00CD4E95"/>
    <w:rsid w:val="00CD4F24"/>
    <w:rsid w:val="00CD4FF0"/>
    <w:rsid w:val="00CD5045"/>
    <w:rsid w:val="00CD531B"/>
    <w:rsid w:val="00CD554F"/>
    <w:rsid w:val="00CD581D"/>
    <w:rsid w:val="00CD6133"/>
    <w:rsid w:val="00CD62ED"/>
    <w:rsid w:val="00CD6827"/>
    <w:rsid w:val="00CD6A0E"/>
    <w:rsid w:val="00CD6C62"/>
    <w:rsid w:val="00CD70DB"/>
    <w:rsid w:val="00CD7E5C"/>
    <w:rsid w:val="00CD7EC4"/>
    <w:rsid w:val="00CE0020"/>
    <w:rsid w:val="00CE015F"/>
    <w:rsid w:val="00CE02B4"/>
    <w:rsid w:val="00CE037E"/>
    <w:rsid w:val="00CE0681"/>
    <w:rsid w:val="00CE0694"/>
    <w:rsid w:val="00CE0BEB"/>
    <w:rsid w:val="00CE0CEF"/>
    <w:rsid w:val="00CE126B"/>
    <w:rsid w:val="00CE1271"/>
    <w:rsid w:val="00CE17CB"/>
    <w:rsid w:val="00CE18C1"/>
    <w:rsid w:val="00CE1986"/>
    <w:rsid w:val="00CE2BAE"/>
    <w:rsid w:val="00CE2F5D"/>
    <w:rsid w:val="00CE312F"/>
    <w:rsid w:val="00CE315F"/>
    <w:rsid w:val="00CE3659"/>
    <w:rsid w:val="00CE3760"/>
    <w:rsid w:val="00CE397B"/>
    <w:rsid w:val="00CE3A09"/>
    <w:rsid w:val="00CE4379"/>
    <w:rsid w:val="00CE4456"/>
    <w:rsid w:val="00CE45BB"/>
    <w:rsid w:val="00CE48DE"/>
    <w:rsid w:val="00CE5006"/>
    <w:rsid w:val="00CE5048"/>
    <w:rsid w:val="00CE54DC"/>
    <w:rsid w:val="00CE5749"/>
    <w:rsid w:val="00CE5B78"/>
    <w:rsid w:val="00CE5DD1"/>
    <w:rsid w:val="00CE6094"/>
    <w:rsid w:val="00CE60CE"/>
    <w:rsid w:val="00CE676B"/>
    <w:rsid w:val="00CE6B17"/>
    <w:rsid w:val="00CE6BB9"/>
    <w:rsid w:val="00CE6CEB"/>
    <w:rsid w:val="00CE7184"/>
    <w:rsid w:val="00CE7822"/>
    <w:rsid w:val="00CE7C19"/>
    <w:rsid w:val="00CE7EB0"/>
    <w:rsid w:val="00CE7F4B"/>
    <w:rsid w:val="00CF0127"/>
    <w:rsid w:val="00CF02C7"/>
    <w:rsid w:val="00CF040A"/>
    <w:rsid w:val="00CF0972"/>
    <w:rsid w:val="00CF0AB8"/>
    <w:rsid w:val="00CF0B5D"/>
    <w:rsid w:val="00CF1143"/>
    <w:rsid w:val="00CF117E"/>
    <w:rsid w:val="00CF1383"/>
    <w:rsid w:val="00CF1919"/>
    <w:rsid w:val="00CF193D"/>
    <w:rsid w:val="00CF1E31"/>
    <w:rsid w:val="00CF22E9"/>
    <w:rsid w:val="00CF243D"/>
    <w:rsid w:val="00CF2810"/>
    <w:rsid w:val="00CF297C"/>
    <w:rsid w:val="00CF2E7A"/>
    <w:rsid w:val="00CF330E"/>
    <w:rsid w:val="00CF3C8F"/>
    <w:rsid w:val="00CF3CEA"/>
    <w:rsid w:val="00CF3E25"/>
    <w:rsid w:val="00CF3F39"/>
    <w:rsid w:val="00CF462D"/>
    <w:rsid w:val="00CF47DA"/>
    <w:rsid w:val="00CF4EBB"/>
    <w:rsid w:val="00CF5145"/>
    <w:rsid w:val="00CF540C"/>
    <w:rsid w:val="00CF5486"/>
    <w:rsid w:val="00CF587B"/>
    <w:rsid w:val="00CF5881"/>
    <w:rsid w:val="00CF5914"/>
    <w:rsid w:val="00CF592E"/>
    <w:rsid w:val="00CF5934"/>
    <w:rsid w:val="00CF5FAB"/>
    <w:rsid w:val="00CF6249"/>
    <w:rsid w:val="00CF6534"/>
    <w:rsid w:val="00CF689F"/>
    <w:rsid w:val="00CF6962"/>
    <w:rsid w:val="00CF69EE"/>
    <w:rsid w:val="00CF6AC3"/>
    <w:rsid w:val="00CF6CB0"/>
    <w:rsid w:val="00CF7105"/>
    <w:rsid w:val="00CF72F6"/>
    <w:rsid w:val="00CF76E4"/>
    <w:rsid w:val="00CF789D"/>
    <w:rsid w:val="00CF7B89"/>
    <w:rsid w:val="00D007D9"/>
    <w:rsid w:val="00D007DD"/>
    <w:rsid w:val="00D0084C"/>
    <w:rsid w:val="00D00872"/>
    <w:rsid w:val="00D00AC7"/>
    <w:rsid w:val="00D00E7F"/>
    <w:rsid w:val="00D00F61"/>
    <w:rsid w:val="00D01018"/>
    <w:rsid w:val="00D01076"/>
    <w:rsid w:val="00D01225"/>
    <w:rsid w:val="00D01641"/>
    <w:rsid w:val="00D01AEF"/>
    <w:rsid w:val="00D025BB"/>
    <w:rsid w:val="00D029FA"/>
    <w:rsid w:val="00D02B0F"/>
    <w:rsid w:val="00D02EA9"/>
    <w:rsid w:val="00D03230"/>
    <w:rsid w:val="00D033FC"/>
    <w:rsid w:val="00D03B92"/>
    <w:rsid w:val="00D0451C"/>
    <w:rsid w:val="00D046FB"/>
    <w:rsid w:val="00D0471B"/>
    <w:rsid w:val="00D04BD4"/>
    <w:rsid w:val="00D04F06"/>
    <w:rsid w:val="00D05615"/>
    <w:rsid w:val="00D05670"/>
    <w:rsid w:val="00D05747"/>
    <w:rsid w:val="00D05748"/>
    <w:rsid w:val="00D05A06"/>
    <w:rsid w:val="00D05A18"/>
    <w:rsid w:val="00D05AE2"/>
    <w:rsid w:val="00D05B49"/>
    <w:rsid w:val="00D05DF8"/>
    <w:rsid w:val="00D0609C"/>
    <w:rsid w:val="00D06260"/>
    <w:rsid w:val="00D06A1F"/>
    <w:rsid w:val="00D06D37"/>
    <w:rsid w:val="00D07117"/>
    <w:rsid w:val="00D07378"/>
    <w:rsid w:val="00D07A91"/>
    <w:rsid w:val="00D07D79"/>
    <w:rsid w:val="00D1026B"/>
    <w:rsid w:val="00D109C6"/>
    <w:rsid w:val="00D10A5E"/>
    <w:rsid w:val="00D10C71"/>
    <w:rsid w:val="00D10CCC"/>
    <w:rsid w:val="00D10FE2"/>
    <w:rsid w:val="00D110D7"/>
    <w:rsid w:val="00D114EB"/>
    <w:rsid w:val="00D1179E"/>
    <w:rsid w:val="00D11869"/>
    <w:rsid w:val="00D11B46"/>
    <w:rsid w:val="00D11BB1"/>
    <w:rsid w:val="00D11C61"/>
    <w:rsid w:val="00D11D0E"/>
    <w:rsid w:val="00D11ED9"/>
    <w:rsid w:val="00D1247C"/>
    <w:rsid w:val="00D129A2"/>
    <w:rsid w:val="00D12F7D"/>
    <w:rsid w:val="00D12FEA"/>
    <w:rsid w:val="00D13A60"/>
    <w:rsid w:val="00D13D0B"/>
    <w:rsid w:val="00D1421F"/>
    <w:rsid w:val="00D143D8"/>
    <w:rsid w:val="00D146BA"/>
    <w:rsid w:val="00D148B9"/>
    <w:rsid w:val="00D14B76"/>
    <w:rsid w:val="00D14E8A"/>
    <w:rsid w:val="00D151A7"/>
    <w:rsid w:val="00D15434"/>
    <w:rsid w:val="00D15459"/>
    <w:rsid w:val="00D15710"/>
    <w:rsid w:val="00D15DD0"/>
    <w:rsid w:val="00D15E66"/>
    <w:rsid w:val="00D16098"/>
    <w:rsid w:val="00D163C1"/>
    <w:rsid w:val="00D16C48"/>
    <w:rsid w:val="00D16D10"/>
    <w:rsid w:val="00D1710D"/>
    <w:rsid w:val="00D17209"/>
    <w:rsid w:val="00D173DB"/>
    <w:rsid w:val="00D175C9"/>
    <w:rsid w:val="00D17A8B"/>
    <w:rsid w:val="00D17CBF"/>
    <w:rsid w:val="00D17D09"/>
    <w:rsid w:val="00D204E5"/>
    <w:rsid w:val="00D2075E"/>
    <w:rsid w:val="00D207FB"/>
    <w:rsid w:val="00D20C14"/>
    <w:rsid w:val="00D20CFC"/>
    <w:rsid w:val="00D20E45"/>
    <w:rsid w:val="00D21006"/>
    <w:rsid w:val="00D218DB"/>
    <w:rsid w:val="00D21E18"/>
    <w:rsid w:val="00D2208B"/>
    <w:rsid w:val="00D22093"/>
    <w:rsid w:val="00D22309"/>
    <w:rsid w:val="00D22912"/>
    <w:rsid w:val="00D22954"/>
    <w:rsid w:val="00D22964"/>
    <w:rsid w:val="00D22A1B"/>
    <w:rsid w:val="00D2316C"/>
    <w:rsid w:val="00D23360"/>
    <w:rsid w:val="00D2369E"/>
    <w:rsid w:val="00D2398D"/>
    <w:rsid w:val="00D23AFF"/>
    <w:rsid w:val="00D23CC3"/>
    <w:rsid w:val="00D241EE"/>
    <w:rsid w:val="00D24424"/>
    <w:rsid w:val="00D248FD"/>
    <w:rsid w:val="00D24983"/>
    <w:rsid w:val="00D25513"/>
    <w:rsid w:val="00D25517"/>
    <w:rsid w:val="00D2587C"/>
    <w:rsid w:val="00D259DE"/>
    <w:rsid w:val="00D25A1A"/>
    <w:rsid w:val="00D262C0"/>
    <w:rsid w:val="00D26552"/>
    <w:rsid w:val="00D26672"/>
    <w:rsid w:val="00D26B27"/>
    <w:rsid w:val="00D27244"/>
    <w:rsid w:val="00D276BD"/>
    <w:rsid w:val="00D27986"/>
    <w:rsid w:val="00D27DB1"/>
    <w:rsid w:val="00D3059E"/>
    <w:rsid w:val="00D30FB4"/>
    <w:rsid w:val="00D31435"/>
    <w:rsid w:val="00D3155A"/>
    <w:rsid w:val="00D31952"/>
    <w:rsid w:val="00D31CDE"/>
    <w:rsid w:val="00D31F89"/>
    <w:rsid w:val="00D322AB"/>
    <w:rsid w:val="00D32547"/>
    <w:rsid w:val="00D32CE7"/>
    <w:rsid w:val="00D32FE4"/>
    <w:rsid w:val="00D335F0"/>
    <w:rsid w:val="00D336A0"/>
    <w:rsid w:val="00D3391A"/>
    <w:rsid w:val="00D33F23"/>
    <w:rsid w:val="00D347AC"/>
    <w:rsid w:val="00D34DA8"/>
    <w:rsid w:val="00D3509B"/>
    <w:rsid w:val="00D35805"/>
    <w:rsid w:val="00D3589B"/>
    <w:rsid w:val="00D35C4A"/>
    <w:rsid w:val="00D35DBF"/>
    <w:rsid w:val="00D35EA8"/>
    <w:rsid w:val="00D35EB9"/>
    <w:rsid w:val="00D3632B"/>
    <w:rsid w:val="00D36567"/>
    <w:rsid w:val="00D365B1"/>
    <w:rsid w:val="00D366C1"/>
    <w:rsid w:val="00D36A76"/>
    <w:rsid w:val="00D36AD1"/>
    <w:rsid w:val="00D36B22"/>
    <w:rsid w:val="00D36DD7"/>
    <w:rsid w:val="00D37093"/>
    <w:rsid w:val="00D37132"/>
    <w:rsid w:val="00D3795D"/>
    <w:rsid w:val="00D4090E"/>
    <w:rsid w:val="00D40959"/>
    <w:rsid w:val="00D40A49"/>
    <w:rsid w:val="00D40A9F"/>
    <w:rsid w:val="00D40BA7"/>
    <w:rsid w:val="00D41670"/>
    <w:rsid w:val="00D418A9"/>
    <w:rsid w:val="00D41D81"/>
    <w:rsid w:val="00D42053"/>
    <w:rsid w:val="00D421BC"/>
    <w:rsid w:val="00D42469"/>
    <w:rsid w:val="00D424B6"/>
    <w:rsid w:val="00D428D2"/>
    <w:rsid w:val="00D43427"/>
    <w:rsid w:val="00D43439"/>
    <w:rsid w:val="00D4379D"/>
    <w:rsid w:val="00D438E0"/>
    <w:rsid w:val="00D43E38"/>
    <w:rsid w:val="00D43F93"/>
    <w:rsid w:val="00D44278"/>
    <w:rsid w:val="00D44821"/>
    <w:rsid w:val="00D44861"/>
    <w:rsid w:val="00D44A91"/>
    <w:rsid w:val="00D44DBE"/>
    <w:rsid w:val="00D450CC"/>
    <w:rsid w:val="00D452E8"/>
    <w:rsid w:val="00D4570C"/>
    <w:rsid w:val="00D45AD9"/>
    <w:rsid w:val="00D45BAC"/>
    <w:rsid w:val="00D45BE0"/>
    <w:rsid w:val="00D45E11"/>
    <w:rsid w:val="00D46676"/>
    <w:rsid w:val="00D46796"/>
    <w:rsid w:val="00D46971"/>
    <w:rsid w:val="00D46A0F"/>
    <w:rsid w:val="00D46A84"/>
    <w:rsid w:val="00D470F3"/>
    <w:rsid w:val="00D47734"/>
    <w:rsid w:val="00D47742"/>
    <w:rsid w:val="00D47AE6"/>
    <w:rsid w:val="00D47B4F"/>
    <w:rsid w:val="00D47FBE"/>
    <w:rsid w:val="00D5002C"/>
    <w:rsid w:val="00D506BE"/>
    <w:rsid w:val="00D5075B"/>
    <w:rsid w:val="00D50D2E"/>
    <w:rsid w:val="00D5123C"/>
    <w:rsid w:val="00D51245"/>
    <w:rsid w:val="00D512D9"/>
    <w:rsid w:val="00D51421"/>
    <w:rsid w:val="00D51958"/>
    <w:rsid w:val="00D519A6"/>
    <w:rsid w:val="00D51BDC"/>
    <w:rsid w:val="00D52029"/>
    <w:rsid w:val="00D52A92"/>
    <w:rsid w:val="00D52CDF"/>
    <w:rsid w:val="00D52D92"/>
    <w:rsid w:val="00D5324B"/>
    <w:rsid w:val="00D53433"/>
    <w:rsid w:val="00D535D4"/>
    <w:rsid w:val="00D5381E"/>
    <w:rsid w:val="00D53C37"/>
    <w:rsid w:val="00D53C7C"/>
    <w:rsid w:val="00D53D57"/>
    <w:rsid w:val="00D54147"/>
    <w:rsid w:val="00D5430E"/>
    <w:rsid w:val="00D54374"/>
    <w:rsid w:val="00D54463"/>
    <w:rsid w:val="00D549FF"/>
    <w:rsid w:val="00D54C83"/>
    <w:rsid w:val="00D5546C"/>
    <w:rsid w:val="00D55523"/>
    <w:rsid w:val="00D5554A"/>
    <w:rsid w:val="00D556DF"/>
    <w:rsid w:val="00D5570B"/>
    <w:rsid w:val="00D55B51"/>
    <w:rsid w:val="00D55D40"/>
    <w:rsid w:val="00D5600E"/>
    <w:rsid w:val="00D56196"/>
    <w:rsid w:val="00D562DD"/>
    <w:rsid w:val="00D5646B"/>
    <w:rsid w:val="00D5675A"/>
    <w:rsid w:val="00D568E3"/>
    <w:rsid w:val="00D56DE0"/>
    <w:rsid w:val="00D570FA"/>
    <w:rsid w:val="00D572F0"/>
    <w:rsid w:val="00D5759A"/>
    <w:rsid w:val="00D576C0"/>
    <w:rsid w:val="00D57C62"/>
    <w:rsid w:val="00D57CCC"/>
    <w:rsid w:val="00D57CD1"/>
    <w:rsid w:val="00D57DB5"/>
    <w:rsid w:val="00D57FCD"/>
    <w:rsid w:val="00D600BD"/>
    <w:rsid w:val="00D60206"/>
    <w:rsid w:val="00D6025A"/>
    <w:rsid w:val="00D602E7"/>
    <w:rsid w:val="00D60719"/>
    <w:rsid w:val="00D6088A"/>
    <w:rsid w:val="00D60891"/>
    <w:rsid w:val="00D609FB"/>
    <w:rsid w:val="00D60F71"/>
    <w:rsid w:val="00D61064"/>
    <w:rsid w:val="00D61187"/>
    <w:rsid w:val="00D61B73"/>
    <w:rsid w:val="00D61E84"/>
    <w:rsid w:val="00D62065"/>
    <w:rsid w:val="00D622C0"/>
    <w:rsid w:val="00D623EE"/>
    <w:rsid w:val="00D62670"/>
    <w:rsid w:val="00D62988"/>
    <w:rsid w:val="00D62C59"/>
    <w:rsid w:val="00D62C6E"/>
    <w:rsid w:val="00D62EC8"/>
    <w:rsid w:val="00D63131"/>
    <w:rsid w:val="00D63273"/>
    <w:rsid w:val="00D637FE"/>
    <w:rsid w:val="00D63CB5"/>
    <w:rsid w:val="00D63EC4"/>
    <w:rsid w:val="00D64139"/>
    <w:rsid w:val="00D641A6"/>
    <w:rsid w:val="00D6438E"/>
    <w:rsid w:val="00D644AB"/>
    <w:rsid w:val="00D644C3"/>
    <w:rsid w:val="00D64704"/>
    <w:rsid w:val="00D648B6"/>
    <w:rsid w:val="00D64956"/>
    <w:rsid w:val="00D6514E"/>
    <w:rsid w:val="00D65692"/>
    <w:rsid w:val="00D6593A"/>
    <w:rsid w:val="00D65B48"/>
    <w:rsid w:val="00D65B73"/>
    <w:rsid w:val="00D65B96"/>
    <w:rsid w:val="00D65C3C"/>
    <w:rsid w:val="00D65DF0"/>
    <w:rsid w:val="00D65EFB"/>
    <w:rsid w:val="00D6659D"/>
    <w:rsid w:val="00D665C6"/>
    <w:rsid w:val="00D66646"/>
    <w:rsid w:val="00D667DC"/>
    <w:rsid w:val="00D67164"/>
    <w:rsid w:val="00D6723A"/>
    <w:rsid w:val="00D67720"/>
    <w:rsid w:val="00D67A5A"/>
    <w:rsid w:val="00D67B3C"/>
    <w:rsid w:val="00D67BDA"/>
    <w:rsid w:val="00D67C3F"/>
    <w:rsid w:val="00D70137"/>
    <w:rsid w:val="00D70227"/>
    <w:rsid w:val="00D7034F"/>
    <w:rsid w:val="00D703A1"/>
    <w:rsid w:val="00D706F2"/>
    <w:rsid w:val="00D70A16"/>
    <w:rsid w:val="00D70A7D"/>
    <w:rsid w:val="00D70BF7"/>
    <w:rsid w:val="00D70D99"/>
    <w:rsid w:val="00D70EAD"/>
    <w:rsid w:val="00D7191F"/>
    <w:rsid w:val="00D71F44"/>
    <w:rsid w:val="00D7266C"/>
    <w:rsid w:val="00D72985"/>
    <w:rsid w:val="00D7340B"/>
    <w:rsid w:val="00D735F7"/>
    <w:rsid w:val="00D7374E"/>
    <w:rsid w:val="00D73824"/>
    <w:rsid w:val="00D73A1E"/>
    <w:rsid w:val="00D73B57"/>
    <w:rsid w:val="00D73C73"/>
    <w:rsid w:val="00D73CD3"/>
    <w:rsid w:val="00D74289"/>
    <w:rsid w:val="00D742AF"/>
    <w:rsid w:val="00D744E6"/>
    <w:rsid w:val="00D74AB4"/>
    <w:rsid w:val="00D74FFA"/>
    <w:rsid w:val="00D75164"/>
    <w:rsid w:val="00D762F2"/>
    <w:rsid w:val="00D76301"/>
    <w:rsid w:val="00D764C5"/>
    <w:rsid w:val="00D76590"/>
    <w:rsid w:val="00D76762"/>
    <w:rsid w:val="00D76CE5"/>
    <w:rsid w:val="00D76CFA"/>
    <w:rsid w:val="00D77078"/>
    <w:rsid w:val="00D77173"/>
    <w:rsid w:val="00D774B9"/>
    <w:rsid w:val="00D7785B"/>
    <w:rsid w:val="00D80477"/>
    <w:rsid w:val="00D80A26"/>
    <w:rsid w:val="00D80C8B"/>
    <w:rsid w:val="00D80F7C"/>
    <w:rsid w:val="00D81118"/>
    <w:rsid w:val="00D81158"/>
    <w:rsid w:val="00D815D7"/>
    <w:rsid w:val="00D81863"/>
    <w:rsid w:val="00D818B5"/>
    <w:rsid w:val="00D818EA"/>
    <w:rsid w:val="00D81EEA"/>
    <w:rsid w:val="00D81F4B"/>
    <w:rsid w:val="00D82126"/>
    <w:rsid w:val="00D82348"/>
    <w:rsid w:val="00D831F2"/>
    <w:rsid w:val="00D8323C"/>
    <w:rsid w:val="00D8349E"/>
    <w:rsid w:val="00D836CE"/>
    <w:rsid w:val="00D838CC"/>
    <w:rsid w:val="00D83A20"/>
    <w:rsid w:val="00D83AF4"/>
    <w:rsid w:val="00D83B7F"/>
    <w:rsid w:val="00D83BFB"/>
    <w:rsid w:val="00D83FD4"/>
    <w:rsid w:val="00D84176"/>
    <w:rsid w:val="00D8417A"/>
    <w:rsid w:val="00D84339"/>
    <w:rsid w:val="00D8465A"/>
    <w:rsid w:val="00D84831"/>
    <w:rsid w:val="00D84883"/>
    <w:rsid w:val="00D8499E"/>
    <w:rsid w:val="00D84EFF"/>
    <w:rsid w:val="00D850D1"/>
    <w:rsid w:val="00D85536"/>
    <w:rsid w:val="00D8582E"/>
    <w:rsid w:val="00D85B6D"/>
    <w:rsid w:val="00D85F8A"/>
    <w:rsid w:val="00D85FDE"/>
    <w:rsid w:val="00D86A00"/>
    <w:rsid w:val="00D86C7D"/>
    <w:rsid w:val="00D86E0A"/>
    <w:rsid w:val="00D8728D"/>
    <w:rsid w:val="00D87483"/>
    <w:rsid w:val="00D875EC"/>
    <w:rsid w:val="00D877FD"/>
    <w:rsid w:val="00D87D8F"/>
    <w:rsid w:val="00D87D99"/>
    <w:rsid w:val="00D87E8D"/>
    <w:rsid w:val="00D90490"/>
    <w:rsid w:val="00D905AF"/>
    <w:rsid w:val="00D90653"/>
    <w:rsid w:val="00D90947"/>
    <w:rsid w:val="00D90A76"/>
    <w:rsid w:val="00D90C20"/>
    <w:rsid w:val="00D90F1F"/>
    <w:rsid w:val="00D90FD7"/>
    <w:rsid w:val="00D9122D"/>
    <w:rsid w:val="00D91AED"/>
    <w:rsid w:val="00D91F2F"/>
    <w:rsid w:val="00D92140"/>
    <w:rsid w:val="00D9245D"/>
    <w:rsid w:val="00D9258C"/>
    <w:rsid w:val="00D925CC"/>
    <w:rsid w:val="00D92725"/>
    <w:rsid w:val="00D928D2"/>
    <w:rsid w:val="00D92D6A"/>
    <w:rsid w:val="00D93926"/>
    <w:rsid w:val="00D93991"/>
    <w:rsid w:val="00D93B1C"/>
    <w:rsid w:val="00D93C2F"/>
    <w:rsid w:val="00D94051"/>
    <w:rsid w:val="00D9420F"/>
    <w:rsid w:val="00D942DB"/>
    <w:rsid w:val="00D9438F"/>
    <w:rsid w:val="00D9444E"/>
    <w:rsid w:val="00D94751"/>
    <w:rsid w:val="00D950FF"/>
    <w:rsid w:val="00D95C3A"/>
    <w:rsid w:val="00D965D6"/>
    <w:rsid w:val="00D96BF9"/>
    <w:rsid w:val="00D96C4B"/>
    <w:rsid w:val="00D96F4C"/>
    <w:rsid w:val="00D972E3"/>
    <w:rsid w:val="00D97B01"/>
    <w:rsid w:val="00D97D42"/>
    <w:rsid w:val="00D97FF6"/>
    <w:rsid w:val="00DA053C"/>
    <w:rsid w:val="00DA0698"/>
    <w:rsid w:val="00DA074A"/>
    <w:rsid w:val="00DA075F"/>
    <w:rsid w:val="00DA07C2"/>
    <w:rsid w:val="00DA0938"/>
    <w:rsid w:val="00DA10CF"/>
    <w:rsid w:val="00DA1166"/>
    <w:rsid w:val="00DA1424"/>
    <w:rsid w:val="00DA1617"/>
    <w:rsid w:val="00DA165D"/>
    <w:rsid w:val="00DA193A"/>
    <w:rsid w:val="00DA1954"/>
    <w:rsid w:val="00DA1E06"/>
    <w:rsid w:val="00DA1E5E"/>
    <w:rsid w:val="00DA1F32"/>
    <w:rsid w:val="00DA2B0D"/>
    <w:rsid w:val="00DA2B8A"/>
    <w:rsid w:val="00DA2C6D"/>
    <w:rsid w:val="00DA2F8D"/>
    <w:rsid w:val="00DA31AB"/>
    <w:rsid w:val="00DA3324"/>
    <w:rsid w:val="00DA3418"/>
    <w:rsid w:val="00DA3470"/>
    <w:rsid w:val="00DA3906"/>
    <w:rsid w:val="00DA3E47"/>
    <w:rsid w:val="00DA4352"/>
    <w:rsid w:val="00DA4581"/>
    <w:rsid w:val="00DA4D1E"/>
    <w:rsid w:val="00DA4EF0"/>
    <w:rsid w:val="00DA5015"/>
    <w:rsid w:val="00DA5224"/>
    <w:rsid w:val="00DA5535"/>
    <w:rsid w:val="00DA566C"/>
    <w:rsid w:val="00DA5953"/>
    <w:rsid w:val="00DA5BC6"/>
    <w:rsid w:val="00DA5C0E"/>
    <w:rsid w:val="00DA5F8C"/>
    <w:rsid w:val="00DA61E4"/>
    <w:rsid w:val="00DA6319"/>
    <w:rsid w:val="00DA6378"/>
    <w:rsid w:val="00DA6531"/>
    <w:rsid w:val="00DA65A6"/>
    <w:rsid w:val="00DA687C"/>
    <w:rsid w:val="00DA6D5A"/>
    <w:rsid w:val="00DA6F17"/>
    <w:rsid w:val="00DA71E5"/>
    <w:rsid w:val="00DA7607"/>
    <w:rsid w:val="00DA7854"/>
    <w:rsid w:val="00DA78F1"/>
    <w:rsid w:val="00DA7C9A"/>
    <w:rsid w:val="00DA7E26"/>
    <w:rsid w:val="00DB009B"/>
    <w:rsid w:val="00DB0155"/>
    <w:rsid w:val="00DB0A1A"/>
    <w:rsid w:val="00DB0A79"/>
    <w:rsid w:val="00DB0AAB"/>
    <w:rsid w:val="00DB0E9A"/>
    <w:rsid w:val="00DB1197"/>
    <w:rsid w:val="00DB1A68"/>
    <w:rsid w:val="00DB1AAD"/>
    <w:rsid w:val="00DB1F2A"/>
    <w:rsid w:val="00DB2061"/>
    <w:rsid w:val="00DB21B5"/>
    <w:rsid w:val="00DB2692"/>
    <w:rsid w:val="00DB2C44"/>
    <w:rsid w:val="00DB2C7B"/>
    <w:rsid w:val="00DB2E91"/>
    <w:rsid w:val="00DB31A3"/>
    <w:rsid w:val="00DB3648"/>
    <w:rsid w:val="00DB39CF"/>
    <w:rsid w:val="00DB4186"/>
    <w:rsid w:val="00DB4932"/>
    <w:rsid w:val="00DB54EE"/>
    <w:rsid w:val="00DB59A7"/>
    <w:rsid w:val="00DB5D11"/>
    <w:rsid w:val="00DB632D"/>
    <w:rsid w:val="00DB6A93"/>
    <w:rsid w:val="00DB716A"/>
    <w:rsid w:val="00DB7488"/>
    <w:rsid w:val="00DB75A6"/>
    <w:rsid w:val="00DC080A"/>
    <w:rsid w:val="00DC0A83"/>
    <w:rsid w:val="00DC0D0E"/>
    <w:rsid w:val="00DC0D1B"/>
    <w:rsid w:val="00DC0D29"/>
    <w:rsid w:val="00DC0DC0"/>
    <w:rsid w:val="00DC11BA"/>
    <w:rsid w:val="00DC17A7"/>
    <w:rsid w:val="00DC1839"/>
    <w:rsid w:val="00DC1F13"/>
    <w:rsid w:val="00DC2007"/>
    <w:rsid w:val="00DC20A3"/>
    <w:rsid w:val="00DC2157"/>
    <w:rsid w:val="00DC2762"/>
    <w:rsid w:val="00DC2B37"/>
    <w:rsid w:val="00DC2E56"/>
    <w:rsid w:val="00DC2E8B"/>
    <w:rsid w:val="00DC3296"/>
    <w:rsid w:val="00DC343E"/>
    <w:rsid w:val="00DC3BE0"/>
    <w:rsid w:val="00DC40AE"/>
    <w:rsid w:val="00DC41A6"/>
    <w:rsid w:val="00DC4415"/>
    <w:rsid w:val="00DC4475"/>
    <w:rsid w:val="00DC4735"/>
    <w:rsid w:val="00DC4908"/>
    <w:rsid w:val="00DC5AB8"/>
    <w:rsid w:val="00DC5B40"/>
    <w:rsid w:val="00DC5D03"/>
    <w:rsid w:val="00DC5F5D"/>
    <w:rsid w:val="00DC69BF"/>
    <w:rsid w:val="00DC6ED2"/>
    <w:rsid w:val="00DC6F74"/>
    <w:rsid w:val="00DC72CA"/>
    <w:rsid w:val="00DC752F"/>
    <w:rsid w:val="00DC7548"/>
    <w:rsid w:val="00DC79BA"/>
    <w:rsid w:val="00DC7AA3"/>
    <w:rsid w:val="00DC7B75"/>
    <w:rsid w:val="00DC7F62"/>
    <w:rsid w:val="00DD016C"/>
    <w:rsid w:val="00DD020C"/>
    <w:rsid w:val="00DD035D"/>
    <w:rsid w:val="00DD0846"/>
    <w:rsid w:val="00DD10A9"/>
    <w:rsid w:val="00DD116A"/>
    <w:rsid w:val="00DD13A0"/>
    <w:rsid w:val="00DD147E"/>
    <w:rsid w:val="00DD1C52"/>
    <w:rsid w:val="00DD2003"/>
    <w:rsid w:val="00DD20B4"/>
    <w:rsid w:val="00DD2418"/>
    <w:rsid w:val="00DD2BEE"/>
    <w:rsid w:val="00DD312F"/>
    <w:rsid w:val="00DD349A"/>
    <w:rsid w:val="00DD3865"/>
    <w:rsid w:val="00DD39A5"/>
    <w:rsid w:val="00DD3A8C"/>
    <w:rsid w:val="00DD3DD8"/>
    <w:rsid w:val="00DD3E0C"/>
    <w:rsid w:val="00DD3F48"/>
    <w:rsid w:val="00DD460A"/>
    <w:rsid w:val="00DD461C"/>
    <w:rsid w:val="00DD464F"/>
    <w:rsid w:val="00DD46BF"/>
    <w:rsid w:val="00DD480B"/>
    <w:rsid w:val="00DD4A92"/>
    <w:rsid w:val="00DD4AC6"/>
    <w:rsid w:val="00DD4BAF"/>
    <w:rsid w:val="00DD4EFF"/>
    <w:rsid w:val="00DD4FF8"/>
    <w:rsid w:val="00DD558F"/>
    <w:rsid w:val="00DD5FA9"/>
    <w:rsid w:val="00DD6081"/>
    <w:rsid w:val="00DD6149"/>
    <w:rsid w:val="00DD61BE"/>
    <w:rsid w:val="00DD61C3"/>
    <w:rsid w:val="00DD6398"/>
    <w:rsid w:val="00DD6AA0"/>
    <w:rsid w:val="00DD6AFE"/>
    <w:rsid w:val="00DD6C0B"/>
    <w:rsid w:val="00DD6F92"/>
    <w:rsid w:val="00DD6FC5"/>
    <w:rsid w:val="00DD718F"/>
    <w:rsid w:val="00DD74B5"/>
    <w:rsid w:val="00DD75E2"/>
    <w:rsid w:val="00DE0150"/>
    <w:rsid w:val="00DE01E9"/>
    <w:rsid w:val="00DE02C8"/>
    <w:rsid w:val="00DE071D"/>
    <w:rsid w:val="00DE0733"/>
    <w:rsid w:val="00DE0BAE"/>
    <w:rsid w:val="00DE0D5C"/>
    <w:rsid w:val="00DE20B6"/>
    <w:rsid w:val="00DE2557"/>
    <w:rsid w:val="00DE2DB2"/>
    <w:rsid w:val="00DE2EE2"/>
    <w:rsid w:val="00DE2F16"/>
    <w:rsid w:val="00DE3156"/>
    <w:rsid w:val="00DE3A33"/>
    <w:rsid w:val="00DE3ADE"/>
    <w:rsid w:val="00DE421C"/>
    <w:rsid w:val="00DE45F5"/>
    <w:rsid w:val="00DE4663"/>
    <w:rsid w:val="00DE51DB"/>
    <w:rsid w:val="00DE5405"/>
    <w:rsid w:val="00DE5A39"/>
    <w:rsid w:val="00DE5B7A"/>
    <w:rsid w:val="00DE64D1"/>
    <w:rsid w:val="00DE652A"/>
    <w:rsid w:val="00DE6B1F"/>
    <w:rsid w:val="00DE6B28"/>
    <w:rsid w:val="00DE6B64"/>
    <w:rsid w:val="00DE6BDA"/>
    <w:rsid w:val="00DE6EEE"/>
    <w:rsid w:val="00DE6FAE"/>
    <w:rsid w:val="00DE716F"/>
    <w:rsid w:val="00DE72A6"/>
    <w:rsid w:val="00DE734B"/>
    <w:rsid w:val="00DE7A2F"/>
    <w:rsid w:val="00DE7E67"/>
    <w:rsid w:val="00DF01F0"/>
    <w:rsid w:val="00DF03B1"/>
    <w:rsid w:val="00DF07E4"/>
    <w:rsid w:val="00DF0C8E"/>
    <w:rsid w:val="00DF0FEF"/>
    <w:rsid w:val="00DF1941"/>
    <w:rsid w:val="00DF1A9E"/>
    <w:rsid w:val="00DF1DB2"/>
    <w:rsid w:val="00DF1EE5"/>
    <w:rsid w:val="00DF20A0"/>
    <w:rsid w:val="00DF21E1"/>
    <w:rsid w:val="00DF230E"/>
    <w:rsid w:val="00DF24EB"/>
    <w:rsid w:val="00DF267A"/>
    <w:rsid w:val="00DF2731"/>
    <w:rsid w:val="00DF2768"/>
    <w:rsid w:val="00DF2965"/>
    <w:rsid w:val="00DF2D14"/>
    <w:rsid w:val="00DF2D46"/>
    <w:rsid w:val="00DF37C7"/>
    <w:rsid w:val="00DF3F7A"/>
    <w:rsid w:val="00DF44BE"/>
    <w:rsid w:val="00DF4579"/>
    <w:rsid w:val="00DF4751"/>
    <w:rsid w:val="00DF498E"/>
    <w:rsid w:val="00DF5078"/>
    <w:rsid w:val="00DF53CB"/>
    <w:rsid w:val="00DF5690"/>
    <w:rsid w:val="00DF5B60"/>
    <w:rsid w:val="00DF5C49"/>
    <w:rsid w:val="00DF5E40"/>
    <w:rsid w:val="00DF6146"/>
    <w:rsid w:val="00DF6468"/>
    <w:rsid w:val="00DF6763"/>
    <w:rsid w:val="00DF67DA"/>
    <w:rsid w:val="00DF6901"/>
    <w:rsid w:val="00DF6B6C"/>
    <w:rsid w:val="00DF6DB3"/>
    <w:rsid w:val="00DF71A2"/>
    <w:rsid w:val="00DF746E"/>
    <w:rsid w:val="00DF7589"/>
    <w:rsid w:val="00DF76EA"/>
    <w:rsid w:val="00DF7E6C"/>
    <w:rsid w:val="00E000AB"/>
    <w:rsid w:val="00E002B5"/>
    <w:rsid w:val="00E0046F"/>
    <w:rsid w:val="00E00514"/>
    <w:rsid w:val="00E00A78"/>
    <w:rsid w:val="00E00AD1"/>
    <w:rsid w:val="00E00D0C"/>
    <w:rsid w:val="00E00E69"/>
    <w:rsid w:val="00E01397"/>
    <w:rsid w:val="00E017D7"/>
    <w:rsid w:val="00E01CE0"/>
    <w:rsid w:val="00E0213C"/>
    <w:rsid w:val="00E0234F"/>
    <w:rsid w:val="00E023A7"/>
    <w:rsid w:val="00E025AE"/>
    <w:rsid w:val="00E02B90"/>
    <w:rsid w:val="00E02BE4"/>
    <w:rsid w:val="00E03132"/>
    <w:rsid w:val="00E0317A"/>
    <w:rsid w:val="00E033C8"/>
    <w:rsid w:val="00E03611"/>
    <w:rsid w:val="00E0393A"/>
    <w:rsid w:val="00E03A52"/>
    <w:rsid w:val="00E03D44"/>
    <w:rsid w:val="00E03EF6"/>
    <w:rsid w:val="00E047C3"/>
    <w:rsid w:val="00E04F9A"/>
    <w:rsid w:val="00E0504A"/>
    <w:rsid w:val="00E0507E"/>
    <w:rsid w:val="00E055A5"/>
    <w:rsid w:val="00E05613"/>
    <w:rsid w:val="00E05B75"/>
    <w:rsid w:val="00E05E9E"/>
    <w:rsid w:val="00E05EED"/>
    <w:rsid w:val="00E060B1"/>
    <w:rsid w:val="00E065AC"/>
    <w:rsid w:val="00E0683B"/>
    <w:rsid w:val="00E06ADA"/>
    <w:rsid w:val="00E0732F"/>
    <w:rsid w:val="00E07778"/>
    <w:rsid w:val="00E07784"/>
    <w:rsid w:val="00E07C35"/>
    <w:rsid w:val="00E07CD1"/>
    <w:rsid w:val="00E101E3"/>
    <w:rsid w:val="00E1026B"/>
    <w:rsid w:val="00E10886"/>
    <w:rsid w:val="00E10A0D"/>
    <w:rsid w:val="00E10CD3"/>
    <w:rsid w:val="00E10D93"/>
    <w:rsid w:val="00E10D9D"/>
    <w:rsid w:val="00E10DF0"/>
    <w:rsid w:val="00E10EBB"/>
    <w:rsid w:val="00E10FB8"/>
    <w:rsid w:val="00E110EF"/>
    <w:rsid w:val="00E11689"/>
    <w:rsid w:val="00E117E7"/>
    <w:rsid w:val="00E118BE"/>
    <w:rsid w:val="00E11A16"/>
    <w:rsid w:val="00E11A2A"/>
    <w:rsid w:val="00E11A99"/>
    <w:rsid w:val="00E11FE9"/>
    <w:rsid w:val="00E12028"/>
    <w:rsid w:val="00E12089"/>
    <w:rsid w:val="00E12324"/>
    <w:rsid w:val="00E1256A"/>
    <w:rsid w:val="00E1298E"/>
    <w:rsid w:val="00E12AA7"/>
    <w:rsid w:val="00E1341E"/>
    <w:rsid w:val="00E13463"/>
    <w:rsid w:val="00E1370D"/>
    <w:rsid w:val="00E13953"/>
    <w:rsid w:val="00E13CFC"/>
    <w:rsid w:val="00E13EC1"/>
    <w:rsid w:val="00E13EF4"/>
    <w:rsid w:val="00E1454D"/>
    <w:rsid w:val="00E146C4"/>
    <w:rsid w:val="00E14BB0"/>
    <w:rsid w:val="00E14C41"/>
    <w:rsid w:val="00E14D8D"/>
    <w:rsid w:val="00E154A5"/>
    <w:rsid w:val="00E154BA"/>
    <w:rsid w:val="00E15505"/>
    <w:rsid w:val="00E1553A"/>
    <w:rsid w:val="00E15545"/>
    <w:rsid w:val="00E1562B"/>
    <w:rsid w:val="00E156ED"/>
    <w:rsid w:val="00E15772"/>
    <w:rsid w:val="00E1592E"/>
    <w:rsid w:val="00E15D54"/>
    <w:rsid w:val="00E1638C"/>
    <w:rsid w:val="00E16867"/>
    <w:rsid w:val="00E168DE"/>
    <w:rsid w:val="00E16B03"/>
    <w:rsid w:val="00E16B63"/>
    <w:rsid w:val="00E16C19"/>
    <w:rsid w:val="00E16C2E"/>
    <w:rsid w:val="00E1739B"/>
    <w:rsid w:val="00E17C21"/>
    <w:rsid w:val="00E20519"/>
    <w:rsid w:val="00E2069B"/>
    <w:rsid w:val="00E207B5"/>
    <w:rsid w:val="00E20C6D"/>
    <w:rsid w:val="00E217D6"/>
    <w:rsid w:val="00E21A57"/>
    <w:rsid w:val="00E21FD5"/>
    <w:rsid w:val="00E22105"/>
    <w:rsid w:val="00E22286"/>
    <w:rsid w:val="00E2275A"/>
    <w:rsid w:val="00E22986"/>
    <w:rsid w:val="00E22A1F"/>
    <w:rsid w:val="00E22D17"/>
    <w:rsid w:val="00E23399"/>
    <w:rsid w:val="00E233FE"/>
    <w:rsid w:val="00E238F1"/>
    <w:rsid w:val="00E24510"/>
    <w:rsid w:val="00E2493F"/>
    <w:rsid w:val="00E249CC"/>
    <w:rsid w:val="00E2572B"/>
    <w:rsid w:val="00E25858"/>
    <w:rsid w:val="00E26356"/>
    <w:rsid w:val="00E26D67"/>
    <w:rsid w:val="00E27102"/>
    <w:rsid w:val="00E2713C"/>
    <w:rsid w:val="00E2731D"/>
    <w:rsid w:val="00E27553"/>
    <w:rsid w:val="00E276F7"/>
    <w:rsid w:val="00E27869"/>
    <w:rsid w:val="00E279D0"/>
    <w:rsid w:val="00E27BFE"/>
    <w:rsid w:val="00E27D1C"/>
    <w:rsid w:val="00E3046F"/>
    <w:rsid w:val="00E305BC"/>
    <w:rsid w:val="00E306E8"/>
    <w:rsid w:val="00E308DA"/>
    <w:rsid w:val="00E30B58"/>
    <w:rsid w:val="00E31210"/>
    <w:rsid w:val="00E31ABF"/>
    <w:rsid w:val="00E31B21"/>
    <w:rsid w:val="00E31FF8"/>
    <w:rsid w:val="00E32D0F"/>
    <w:rsid w:val="00E32DCC"/>
    <w:rsid w:val="00E33025"/>
    <w:rsid w:val="00E330A8"/>
    <w:rsid w:val="00E3329F"/>
    <w:rsid w:val="00E334B9"/>
    <w:rsid w:val="00E33616"/>
    <w:rsid w:val="00E337BE"/>
    <w:rsid w:val="00E3396C"/>
    <w:rsid w:val="00E339B6"/>
    <w:rsid w:val="00E347D5"/>
    <w:rsid w:val="00E352AF"/>
    <w:rsid w:val="00E356A3"/>
    <w:rsid w:val="00E35BEB"/>
    <w:rsid w:val="00E35E36"/>
    <w:rsid w:val="00E35ED5"/>
    <w:rsid w:val="00E36117"/>
    <w:rsid w:val="00E36235"/>
    <w:rsid w:val="00E36532"/>
    <w:rsid w:val="00E3666F"/>
    <w:rsid w:val="00E366DE"/>
    <w:rsid w:val="00E367CF"/>
    <w:rsid w:val="00E369C7"/>
    <w:rsid w:val="00E370AA"/>
    <w:rsid w:val="00E4010E"/>
    <w:rsid w:val="00E401FA"/>
    <w:rsid w:val="00E40200"/>
    <w:rsid w:val="00E40242"/>
    <w:rsid w:val="00E40399"/>
    <w:rsid w:val="00E4059F"/>
    <w:rsid w:val="00E408F2"/>
    <w:rsid w:val="00E4095D"/>
    <w:rsid w:val="00E40F9C"/>
    <w:rsid w:val="00E41D87"/>
    <w:rsid w:val="00E42250"/>
    <w:rsid w:val="00E427BB"/>
    <w:rsid w:val="00E42897"/>
    <w:rsid w:val="00E42E89"/>
    <w:rsid w:val="00E431EB"/>
    <w:rsid w:val="00E43644"/>
    <w:rsid w:val="00E43753"/>
    <w:rsid w:val="00E43837"/>
    <w:rsid w:val="00E43AB2"/>
    <w:rsid w:val="00E43B9A"/>
    <w:rsid w:val="00E43D1A"/>
    <w:rsid w:val="00E440E7"/>
    <w:rsid w:val="00E444E7"/>
    <w:rsid w:val="00E445B7"/>
    <w:rsid w:val="00E44877"/>
    <w:rsid w:val="00E44989"/>
    <w:rsid w:val="00E44AF6"/>
    <w:rsid w:val="00E452A6"/>
    <w:rsid w:val="00E45E49"/>
    <w:rsid w:val="00E461EF"/>
    <w:rsid w:val="00E462C9"/>
    <w:rsid w:val="00E46592"/>
    <w:rsid w:val="00E46A02"/>
    <w:rsid w:val="00E46C41"/>
    <w:rsid w:val="00E46FEF"/>
    <w:rsid w:val="00E5013E"/>
    <w:rsid w:val="00E50250"/>
    <w:rsid w:val="00E5038B"/>
    <w:rsid w:val="00E50A36"/>
    <w:rsid w:val="00E50E3D"/>
    <w:rsid w:val="00E51CA4"/>
    <w:rsid w:val="00E51D6C"/>
    <w:rsid w:val="00E51DBC"/>
    <w:rsid w:val="00E51E0F"/>
    <w:rsid w:val="00E523EB"/>
    <w:rsid w:val="00E5254B"/>
    <w:rsid w:val="00E52627"/>
    <w:rsid w:val="00E52715"/>
    <w:rsid w:val="00E52904"/>
    <w:rsid w:val="00E53106"/>
    <w:rsid w:val="00E53344"/>
    <w:rsid w:val="00E535C5"/>
    <w:rsid w:val="00E53728"/>
    <w:rsid w:val="00E539B4"/>
    <w:rsid w:val="00E53CEA"/>
    <w:rsid w:val="00E53DB2"/>
    <w:rsid w:val="00E53E04"/>
    <w:rsid w:val="00E53F61"/>
    <w:rsid w:val="00E54009"/>
    <w:rsid w:val="00E54564"/>
    <w:rsid w:val="00E54972"/>
    <w:rsid w:val="00E54A42"/>
    <w:rsid w:val="00E54C8E"/>
    <w:rsid w:val="00E54DA0"/>
    <w:rsid w:val="00E54DC4"/>
    <w:rsid w:val="00E55C20"/>
    <w:rsid w:val="00E55CF2"/>
    <w:rsid w:val="00E55D53"/>
    <w:rsid w:val="00E55EDA"/>
    <w:rsid w:val="00E5662C"/>
    <w:rsid w:val="00E56BE6"/>
    <w:rsid w:val="00E56DB6"/>
    <w:rsid w:val="00E56FCF"/>
    <w:rsid w:val="00E57505"/>
    <w:rsid w:val="00E5750C"/>
    <w:rsid w:val="00E57677"/>
    <w:rsid w:val="00E579BB"/>
    <w:rsid w:val="00E57F6C"/>
    <w:rsid w:val="00E605B1"/>
    <w:rsid w:val="00E609EF"/>
    <w:rsid w:val="00E60E91"/>
    <w:rsid w:val="00E60FAF"/>
    <w:rsid w:val="00E60FBC"/>
    <w:rsid w:val="00E6182A"/>
    <w:rsid w:val="00E618AD"/>
    <w:rsid w:val="00E61A67"/>
    <w:rsid w:val="00E61C6A"/>
    <w:rsid w:val="00E61EDE"/>
    <w:rsid w:val="00E622C1"/>
    <w:rsid w:val="00E623B9"/>
    <w:rsid w:val="00E62491"/>
    <w:rsid w:val="00E62BE1"/>
    <w:rsid w:val="00E62EE0"/>
    <w:rsid w:val="00E636D4"/>
    <w:rsid w:val="00E648DC"/>
    <w:rsid w:val="00E6496B"/>
    <w:rsid w:val="00E649CD"/>
    <w:rsid w:val="00E64C13"/>
    <w:rsid w:val="00E64DE5"/>
    <w:rsid w:val="00E656DC"/>
    <w:rsid w:val="00E65747"/>
    <w:rsid w:val="00E6593A"/>
    <w:rsid w:val="00E659D9"/>
    <w:rsid w:val="00E65B60"/>
    <w:rsid w:val="00E65CBC"/>
    <w:rsid w:val="00E65FB0"/>
    <w:rsid w:val="00E65FB8"/>
    <w:rsid w:val="00E664E1"/>
    <w:rsid w:val="00E66A5A"/>
    <w:rsid w:val="00E66AA4"/>
    <w:rsid w:val="00E66AF8"/>
    <w:rsid w:val="00E66FFA"/>
    <w:rsid w:val="00E6728B"/>
    <w:rsid w:val="00E6749E"/>
    <w:rsid w:val="00E67871"/>
    <w:rsid w:val="00E67C39"/>
    <w:rsid w:val="00E70168"/>
    <w:rsid w:val="00E70559"/>
    <w:rsid w:val="00E712D3"/>
    <w:rsid w:val="00E71564"/>
    <w:rsid w:val="00E716D1"/>
    <w:rsid w:val="00E717D5"/>
    <w:rsid w:val="00E71C45"/>
    <w:rsid w:val="00E71E97"/>
    <w:rsid w:val="00E71F1E"/>
    <w:rsid w:val="00E72093"/>
    <w:rsid w:val="00E721B8"/>
    <w:rsid w:val="00E72328"/>
    <w:rsid w:val="00E7252E"/>
    <w:rsid w:val="00E72578"/>
    <w:rsid w:val="00E726E3"/>
    <w:rsid w:val="00E72871"/>
    <w:rsid w:val="00E7308E"/>
    <w:rsid w:val="00E73A1C"/>
    <w:rsid w:val="00E73C86"/>
    <w:rsid w:val="00E73EE0"/>
    <w:rsid w:val="00E74859"/>
    <w:rsid w:val="00E74BC1"/>
    <w:rsid w:val="00E74E63"/>
    <w:rsid w:val="00E754AC"/>
    <w:rsid w:val="00E754DF"/>
    <w:rsid w:val="00E756BE"/>
    <w:rsid w:val="00E7574E"/>
    <w:rsid w:val="00E75E2B"/>
    <w:rsid w:val="00E76349"/>
    <w:rsid w:val="00E76360"/>
    <w:rsid w:val="00E763D8"/>
    <w:rsid w:val="00E76753"/>
    <w:rsid w:val="00E76A3C"/>
    <w:rsid w:val="00E76A7A"/>
    <w:rsid w:val="00E7711C"/>
    <w:rsid w:val="00E77221"/>
    <w:rsid w:val="00E772D3"/>
    <w:rsid w:val="00E77496"/>
    <w:rsid w:val="00E77B35"/>
    <w:rsid w:val="00E77B99"/>
    <w:rsid w:val="00E77F78"/>
    <w:rsid w:val="00E77F7A"/>
    <w:rsid w:val="00E8036F"/>
    <w:rsid w:val="00E809DB"/>
    <w:rsid w:val="00E80CAC"/>
    <w:rsid w:val="00E80E92"/>
    <w:rsid w:val="00E819E1"/>
    <w:rsid w:val="00E81CC6"/>
    <w:rsid w:val="00E81CE8"/>
    <w:rsid w:val="00E81E86"/>
    <w:rsid w:val="00E8286B"/>
    <w:rsid w:val="00E829E7"/>
    <w:rsid w:val="00E82CE7"/>
    <w:rsid w:val="00E8304E"/>
    <w:rsid w:val="00E830B3"/>
    <w:rsid w:val="00E83312"/>
    <w:rsid w:val="00E833FB"/>
    <w:rsid w:val="00E834CF"/>
    <w:rsid w:val="00E8395F"/>
    <w:rsid w:val="00E83B71"/>
    <w:rsid w:val="00E83DCD"/>
    <w:rsid w:val="00E83E25"/>
    <w:rsid w:val="00E84BB0"/>
    <w:rsid w:val="00E84D67"/>
    <w:rsid w:val="00E84E91"/>
    <w:rsid w:val="00E850EC"/>
    <w:rsid w:val="00E85396"/>
    <w:rsid w:val="00E861FF"/>
    <w:rsid w:val="00E86429"/>
    <w:rsid w:val="00E86682"/>
    <w:rsid w:val="00E866A7"/>
    <w:rsid w:val="00E866C1"/>
    <w:rsid w:val="00E8677B"/>
    <w:rsid w:val="00E86E82"/>
    <w:rsid w:val="00E86FB1"/>
    <w:rsid w:val="00E872BD"/>
    <w:rsid w:val="00E8775A"/>
    <w:rsid w:val="00E87771"/>
    <w:rsid w:val="00E87844"/>
    <w:rsid w:val="00E87AAA"/>
    <w:rsid w:val="00E87B26"/>
    <w:rsid w:val="00E87E37"/>
    <w:rsid w:val="00E9058A"/>
    <w:rsid w:val="00E906EF"/>
    <w:rsid w:val="00E90709"/>
    <w:rsid w:val="00E907D5"/>
    <w:rsid w:val="00E90A60"/>
    <w:rsid w:val="00E919EC"/>
    <w:rsid w:val="00E92362"/>
    <w:rsid w:val="00E9297F"/>
    <w:rsid w:val="00E92BC1"/>
    <w:rsid w:val="00E93123"/>
    <w:rsid w:val="00E93386"/>
    <w:rsid w:val="00E9345F"/>
    <w:rsid w:val="00E9366F"/>
    <w:rsid w:val="00E93735"/>
    <w:rsid w:val="00E93780"/>
    <w:rsid w:val="00E938CF"/>
    <w:rsid w:val="00E93ACD"/>
    <w:rsid w:val="00E93C0E"/>
    <w:rsid w:val="00E940BB"/>
    <w:rsid w:val="00E94267"/>
    <w:rsid w:val="00E94361"/>
    <w:rsid w:val="00E94514"/>
    <w:rsid w:val="00E948FB"/>
    <w:rsid w:val="00E949A7"/>
    <w:rsid w:val="00E94B68"/>
    <w:rsid w:val="00E94E8E"/>
    <w:rsid w:val="00E95171"/>
    <w:rsid w:val="00E9519A"/>
    <w:rsid w:val="00E953C4"/>
    <w:rsid w:val="00E954DE"/>
    <w:rsid w:val="00E95564"/>
    <w:rsid w:val="00E95660"/>
    <w:rsid w:val="00E95679"/>
    <w:rsid w:val="00E9589A"/>
    <w:rsid w:val="00E96095"/>
    <w:rsid w:val="00E96BF2"/>
    <w:rsid w:val="00E96F47"/>
    <w:rsid w:val="00E96F70"/>
    <w:rsid w:val="00E97340"/>
    <w:rsid w:val="00E97836"/>
    <w:rsid w:val="00E97F82"/>
    <w:rsid w:val="00EA036C"/>
    <w:rsid w:val="00EA0455"/>
    <w:rsid w:val="00EA0725"/>
    <w:rsid w:val="00EA0E4A"/>
    <w:rsid w:val="00EA0EAD"/>
    <w:rsid w:val="00EA1076"/>
    <w:rsid w:val="00EA1137"/>
    <w:rsid w:val="00EA147C"/>
    <w:rsid w:val="00EA190E"/>
    <w:rsid w:val="00EA1A1C"/>
    <w:rsid w:val="00EA1A3A"/>
    <w:rsid w:val="00EA2008"/>
    <w:rsid w:val="00EA204E"/>
    <w:rsid w:val="00EA20C9"/>
    <w:rsid w:val="00EA240C"/>
    <w:rsid w:val="00EA2972"/>
    <w:rsid w:val="00EA29B1"/>
    <w:rsid w:val="00EA2F3E"/>
    <w:rsid w:val="00EA30F0"/>
    <w:rsid w:val="00EA358D"/>
    <w:rsid w:val="00EA36B3"/>
    <w:rsid w:val="00EA3795"/>
    <w:rsid w:val="00EA382A"/>
    <w:rsid w:val="00EA3916"/>
    <w:rsid w:val="00EA3920"/>
    <w:rsid w:val="00EA392D"/>
    <w:rsid w:val="00EA3A60"/>
    <w:rsid w:val="00EA3B12"/>
    <w:rsid w:val="00EA41EE"/>
    <w:rsid w:val="00EA4728"/>
    <w:rsid w:val="00EA4A29"/>
    <w:rsid w:val="00EA4CCC"/>
    <w:rsid w:val="00EA4E27"/>
    <w:rsid w:val="00EA521B"/>
    <w:rsid w:val="00EA53AB"/>
    <w:rsid w:val="00EA562D"/>
    <w:rsid w:val="00EA5BB5"/>
    <w:rsid w:val="00EA5CE4"/>
    <w:rsid w:val="00EA5D60"/>
    <w:rsid w:val="00EA5DDD"/>
    <w:rsid w:val="00EA60AB"/>
    <w:rsid w:val="00EA6166"/>
    <w:rsid w:val="00EA64D6"/>
    <w:rsid w:val="00EA6C31"/>
    <w:rsid w:val="00EA7119"/>
    <w:rsid w:val="00EA7AF6"/>
    <w:rsid w:val="00EA7B5A"/>
    <w:rsid w:val="00EA7FA4"/>
    <w:rsid w:val="00EA7FF5"/>
    <w:rsid w:val="00EB08A3"/>
    <w:rsid w:val="00EB0B8B"/>
    <w:rsid w:val="00EB0CAA"/>
    <w:rsid w:val="00EB0DE2"/>
    <w:rsid w:val="00EB110B"/>
    <w:rsid w:val="00EB119D"/>
    <w:rsid w:val="00EB13A0"/>
    <w:rsid w:val="00EB1A37"/>
    <w:rsid w:val="00EB1C53"/>
    <w:rsid w:val="00EB1C95"/>
    <w:rsid w:val="00EB1CD4"/>
    <w:rsid w:val="00EB1D96"/>
    <w:rsid w:val="00EB20B3"/>
    <w:rsid w:val="00EB21B4"/>
    <w:rsid w:val="00EB2644"/>
    <w:rsid w:val="00EB2D37"/>
    <w:rsid w:val="00EB2D9B"/>
    <w:rsid w:val="00EB33F4"/>
    <w:rsid w:val="00EB344F"/>
    <w:rsid w:val="00EB373D"/>
    <w:rsid w:val="00EB3DEE"/>
    <w:rsid w:val="00EB3E6E"/>
    <w:rsid w:val="00EB3F02"/>
    <w:rsid w:val="00EB451F"/>
    <w:rsid w:val="00EB46F1"/>
    <w:rsid w:val="00EB4B1F"/>
    <w:rsid w:val="00EB4CAE"/>
    <w:rsid w:val="00EB4D98"/>
    <w:rsid w:val="00EB4DB4"/>
    <w:rsid w:val="00EB58D8"/>
    <w:rsid w:val="00EB5C01"/>
    <w:rsid w:val="00EB5D28"/>
    <w:rsid w:val="00EB5E53"/>
    <w:rsid w:val="00EB622E"/>
    <w:rsid w:val="00EB6451"/>
    <w:rsid w:val="00EB6BC6"/>
    <w:rsid w:val="00EB6BE6"/>
    <w:rsid w:val="00EB6C63"/>
    <w:rsid w:val="00EB6D61"/>
    <w:rsid w:val="00EB7303"/>
    <w:rsid w:val="00EB7313"/>
    <w:rsid w:val="00EB7892"/>
    <w:rsid w:val="00EB7D07"/>
    <w:rsid w:val="00EB7F2B"/>
    <w:rsid w:val="00EC02C7"/>
    <w:rsid w:val="00EC0548"/>
    <w:rsid w:val="00EC05C3"/>
    <w:rsid w:val="00EC0855"/>
    <w:rsid w:val="00EC0BD4"/>
    <w:rsid w:val="00EC0E4B"/>
    <w:rsid w:val="00EC1001"/>
    <w:rsid w:val="00EC1460"/>
    <w:rsid w:val="00EC14AB"/>
    <w:rsid w:val="00EC14E6"/>
    <w:rsid w:val="00EC15C3"/>
    <w:rsid w:val="00EC19F6"/>
    <w:rsid w:val="00EC1A1B"/>
    <w:rsid w:val="00EC1B79"/>
    <w:rsid w:val="00EC1EE1"/>
    <w:rsid w:val="00EC2333"/>
    <w:rsid w:val="00EC2753"/>
    <w:rsid w:val="00EC2770"/>
    <w:rsid w:val="00EC284C"/>
    <w:rsid w:val="00EC2E1B"/>
    <w:rsid w:val="00EC3081"/>
    <w:rsid w:val="00EC32A2"/>
    <w:rsid w:val="00EC3A00"/>
    <w:rsid w:val="00EC3B16"/>
    <w:rsid w:val="00EC4407"/>
    <w:rsid w:val="00EC4E5C"/>
    <w:rsid w:val="00EC4F33"/>
    <w:rsid w:val="00EC50DD"/>
    <w:rsid w:val="00EC52C0"/>
    <w:rsid w:val="00EC58F5"/>
    <w:rsid w:val="00EC62D5"/>
    <w:rsid w:val="00EC6625"/>
    <w:rsid w:val="00EC699A"/>
    <w:rsid w:val="00EC6A15"/>
    <w:rsid w:val="00EC6E40"/>
    <w:rsid w:val="00EC6EDA"/>
    <w:rsid w:val="00EC74EF"/>
    <w:rsid w:val="00EC76B8"/>
    <w:rsid w:val="00EC7AC3"/>
    <w:rsid w:val="00ED0092"/>
    <w:rsid w:val="00ED00F5"/>
    <w:rsid w:val="00ED08FE"/>
    <w:rsid w:val="00ED0CAE"/>
    <w:rsid w:val="00ED1025"/>
    <w:rsid w:val="00ED14DE"/>
    <w:rsid w:val="00ED164D"/>
    <w:rsid w:val="00ED1820"/>
    <w:rsid w:val="00ED19CA"/>
    <w:rsid w:val="00ED1A46"/>
    <w:rsid w:val="00ED1D56"/>
    <w:rsid w:val="00ED1FE8"/>
    <w:rsid w:val="00ED22EE"/>
    <w:rsid w:val="00ED27F5"/>
    <w:rsid w:val="00ED2859"/>
    <w:rsid w:val="00ED2ABD"/>
    <w:rsid w:val="00ED2B6F"/>
    <w:rsid w:val="00ED2BD9"/>
    <w:rsid w:val="00ED30E7"/>
    <w:rsid w:val="00ED3108"/>
    <w:rsid w:val="00ED31AB"/>
    <w:rsid w:val="00ED335C"/>
    <w:rsid w:val="00ED33AE"/>
    <w:rsid w:val="00ED34F2"/>
    <w:rsid w:val="00ED3941"/>
    <w:rsid w:val="00ED3BE4"/>
    <w:rsid w:val="00ED404A"/>
    <w:rsid w:val="00ED413D"/>
    <w:rsid w:val="00ED4B63"/>
    <w:rsid w:val="00ED4C44"/>
    <w:rsid w:val="00ED4CB2"/>
    <w:rsid w:val="00ED4EF9"/>
    <w:rsid w:val="00ED4F9E"/>
    <w:rsid w:val="00ED5450"/>
    <w:rsid w:val="00ED567B"/>
    <w:rsid w:val="00ED594E"/>
    <w:rsid w:val="00ED5C49"/>
    <w:rsid w:val="00ED61BF"/>
    <w:rsid w:val="00ED61E1"/>
    <w:rsid w:val="00ED6AC4"/>
    <w:rsid w:val="00ED6AD4"/>
    <w:rsid w:val="00ED6B73"/>
    <w:rsid w:val="00ED774C"/>
    <w:rsid w:val="00ED7788"/>
    <w:rsid w:val="00ED7D86"/>
    <w:rsid w:val="00EE09B8"/>
    <w:rsid w:val="00EE0BDA"/>
    <w:rsid w:val="00EE0CB4"/>
    <w:rsid w:val="00EE1023"/>
    <w:rsid w:val="00EE1080"/>
    <w:rsid w:val="00EE11EA"/>
    <w:rsid w:val="00EE144D"/>
    <w:rsid w:val="00EE1547"/>
    <w:rsid w:val="00EE157B"/>
    <w:rsid w:val="00EE1632"/>
    <w:rsid w:val="00EE1726"/>
    <w:rsid w:val="00EE1ACB"/>
    <w:rsid w:val="00EE1E81"/>
    <w:rsid w:val="00EE1ECC"/>
    <w:rsid w:val="00EE2257"/>
    <w:rsid w:val="00EE2777"/>
    <w:rsid w:val="00EE27AA"/>
    <w:rsid w:val="00EE2A00"/>
    <w:rsid w:val="00EE2DCD"/>
    <w:rsid w:val="00EE2FEA"/>
    <w:rsid w:val="00EE37EC"/>
    <w:rsid w:val="00EE39B6"/>
    <w:rsid w:val="00EE3FEE"/>
    <w:rsid w:val="00EE4D0B"/>
    <w:rsid w:val="00EE4D35"/>
    <w:rsid w:val="00EE4E2D"/>
    <w:rsid w:val="00EE4FCA"/>
    <w:rsid w:val="00EE5214"/>
    <w:rsid w:val="00EE551F"/>
    <w:rsid w:val="00EE5FA3"/>
    <w:rsid w:val="00EE61E6"/>
    <w:rsid w:val="00EE66D0"/>
    <w:rsid w:val="00EE688C"/>
    <w:rsid w:val="00EE6C3D"/>
    <w:rsid w:val="00EE751A"/>
    <w:rsid w:val="00EE7AAC"/>
    <w:rsid w:val="00EE7EAA"/>
    <w:rsid w:val="00EF0267"/>
    <w:rsid w:val="00EF080E"/>
    <w:rsid w:val="00EF10FD"/>
    <w:rsid w:val="00EF1245"/>
    <w:rsid w:val="00EF1903"/>
    <w:rsid w:val="00EF1BB3"/>
    <w:rsid w:val="00EF1DF2"/>
    <w:rsid w:val="00EF238B"/>
    <w:rsid w:val="00EF23CC"/>
    <w:rsid w:val="00EF276F"/>
    <w:rsid w:val="00EF29DC"/>
    <w:rsid w:val="00EF2A53"/>
    <w:rsid w:val="00EF2BBC"/>
    <w:rsid w:val="00EF2CDB"/>
    <w:rsid w:val="00EF3609"/>
    <w:rsid w:val="00EF3620"/>
    <w:rsid w:val="00EF36DD"/>
    <w:rsid w:val="00EF38EF"/>
    <w:rsid w:val="00EF3BBD"/>
    <w:rsid w:val="00EF428F"/>
    <w:rsid w:val="00EF455E"/>
    <w:rsid w:val="00EF4561"/>
    <w:rsid w:val="00EF536E"/>
    <w:rsid w:val="00EF576B"/>
    <w:rsid w:val="00EF5868"/>
    <w:rsid w:val="00EF5C6F"/>
    <w:rsid w:val="00EF5E13"/>
    <w:rsid w:val="00EF5F4B"/>
    <w:rsid w:val="00EF6208"/>
    <w:rsid w:val="00EF626A"/>
    <w:rsid w:val="00EF6433"/>
    <w:rsid w:val="00EF6569"/>
    <w:rsid w:val="00EF6CC4"/>
    <w:rsid w:val="00EF750B"/>
    <w:rsid w:val="00EF75E1"/>
    <w:rsid w:val="00EF76B0"/>
    <w:rsid w:val="00F004F2"/>
    <w:rsid w:val="00F00884"/>
    <w:rsid w:val="00F00BBF"/>
    <w:rsid w:val="00F00EE1"/>
    <w:rsid w:val="00F01522"/>
    <w:rsid w:val="00F01B16"/>
    <w:rsid w:val="00F02715"/>
    <w:rsid w:val="00F028CA"/>
    <w:rsid w:val="00F02AA2"/>
    <w:rsid w:val="00F02B00"/>
    <w:rsid w:val="00F02E59"/>
    <w:rsid w:val="00F02F2C"/>
    <w:rsid w:val="00F03045"/>
    <w:rsid w:val="00F035C3"/>
    <w:rsid w:val="00F03764"/>
    <w:rsid w:val="00F037E9"/>
    <w:rsid w:val="00F04021"/>
    <w:rsid w:val="00F042A0"/>
    <w:rsid w:val="00F045BA"/>
    <w:rsid w:val="00F04D66"/>
    <w:rsid w:val="00F04E92"/>
    <w:rsid w:val="00F0512F"/>
    <w:rsid w:val="00F053A8"/>
    <w:rsid w:val="00F05838"/>
    <w:rsid w:val="00F05D1E"/>
    <w:rsid w:val="00F05D98"/>
    <w:rsid w:val="00F0601D"/>
    <w:rsid w:val="00F066F9"/>
    <w:rsid w:val="00F06814"/>
    <w:rsid w:val="00F06CFC"/>
    <w:rsid w:val="00F0706A"/>
    <w:rsid w:val="00F077B5"/>
    <w:rsid w:val="00F07AEB"/>
    <w:rsid w:val="00F07FC3"/>
    <w:rsid w:val="00F102FB"/>
    <w:rsid w:val="00F10904"/>
    <w:rsid w:val="00F10B4F"/>
    <w:rsid w:val="00F11096"/>
    <w:rsid w:val="00F11312"/>
    <w:rsid w:val="00F1162D"/>
    <w:rsid w:val="00F118B9"/>
    <w:rsid w:val="00F11AFD"/>
    <w:rsid w:val="00F11D45"/>
    <w:rsid w:val="00F11E6F"/>
    <w:rsid w:val="00F1272F"/>
    <w:rsid w:val="00F12820"/>
    <w:rsid w:val="00F12D9E"/>
    <w:rsid w:val="00F12DBA"/>
    <w:rsid w:val="00F12FA2"/>
    <w:rsid w:val="00F1326D"/>
    <w:rsid w:val="00F136CD"/>
    <w:rsid w:val="00F13C39"/>
    <w:rsid w:val="00F13EF9"/>
    <w:rsid w:val="00F13FD0"/>
    <w:rsid w:val="00F148D8"/>
    <w:rsid w:val="00F1498E"/>
    <w:rsid w:val="00F14D16"/>
    <w:rsid w:val="00F14E7C"/>
    <w:rsid w:val="00F14F90"/>
    <w:rsid w:val="00F15023"/>
    <w:rsid w:val="00F150FC"/>
    <w:rsid w:val="00F15313"/>
    <w:rsid w:val="00F153C1"/>
    <w:rsid w:val="00F15638"/>
    <w:rsid w:val="00F15797"/>
    <w:rsid w:val="00F15A3E"/>
    <w:rsid w:val="00F15B11"/>
    <w:rsid w:val="00F15BDD"/>
    <w:rsid w:val="00F15D7B"/>
    <w:rsid w:val="00F15F94"/>
    <w:rsid w:val="00F16033"/>
    <w:rsid w:val="00F160FD"/>
    <w:rsid w:val="00F16357"/>
    <w:rsid w:val="00F1661E"/>
    <w:rsid w:val="00F16705"/>
    <w:rsid w:val="00F167CC"/>
    <w:rsid w:val="00F16C73"/>
    <w:rsid w:val="00F173E2"/>
    <w:rsid w:val="00F1748B"/>
    <w:rsid w:val="00F1748C"/>
    <w:rsid w:val="00F174B7"/>
    <w:rsid w:val="00F17A7E"/>
    <w:rsid w:val="00F17F36"/>
    <w:rsid w:val="00F202C7"/>
    <w:rsid w:val="00F2030F"/>
    <w:rsid w:val="00F2071E"/>
    <w:rsid w:val="00F20972"/>
    <w:rsid w:val="00F20BA2"/>
    <w:rsid w:val="00F20C6A"/>
    <w:rsid w:val="00F20E74"/>
    <w:rsid w:val="00F2101B"/>
    <w:rsid w:val="00F21602"/>
    <w:rsid w:val="00F216F0"/>
    <w:rsid w:val="00F21D20"/>
    <w:rsid w:val="00F224DA"/>
    <w:rsid w:val="00F2287B"/>
    <w:rsid w:val="00F229F2"/>
    <w:rsid w:val="00F22C9D"/>
    <w:rsid w:val="00F22D60"/>
    <w:rsid w:val="00F22E23"/>
    <w:rsid w:val="00F2321B"/>
    <w:rsid w:val="00F2332B"/>
    <w:rsid w:val="00F237C4"/>
    <w:rsid w:val="00F2399C"/>
    <w:rsid w:val="00F23A82"/>
    <w:rsid w:val="00F23AE7"/>
    <w:rsid w:val="00F23C45"/>
    <w:rsid w:val="00F23C6D"/>
    <w:rsid w:val="00F23E41"/>
    <w:rsid w:val="00F23F1A"/>
    <w:rsid w:val="00F24468"/>
    <w:rsid w:val="00F24510"/>
    <w:rsid w:val="00F24568"/>
    <w:rsid w:val="00F24636"/>
    <w:rsid w:val="00F24823"/>
    <w:rsid w:val="00F248E5"/>
    <w:rsid w:val="00F24C69"/>
    <w:rsid w:val="00F250B3"/>
    <w:rsid w:val="00F2534A"/>
    <w:rsid w:val="00F255E0"/>
    <w:rsid w:val="00F25694"/>
    <w:rsid w:val="00F25952"/>
    <w:rsid w:val="00F25E83"/>
    <w:rsid w:val="00F261F5"/>
    <w:rsid w:val="00F2649B"/>
    <w:rsid w:val="00F264E9"/>
    <w:rsid w:val="00F26862"/>
    <w:rsid w:val="00F26939"/>
    <w:rsid w:val="00F26E76"/>
    <w:rsid w:val="00F27307"/>
    <w:rsid w:val="00F27705"/>
    <w:rsid w:val="00F27746"/>
    <w:rsid w:val="00F2783E"/>
    <w:rsid w:val="00F2798B"/>
    <w:rsid w:val="00F27D8E"/>
    <w:rsid w:val="00F27DB0"/>
    <w:rsid w:val="00F311E7"/>
    <w:rsid w:val="00F31547"/>
    <w:rsid w:val="00F31776"/>
    <w:rsid w:val="00F3202A"/>
    <w:rsid w:val="00F322FD"/>
    <w:rsid w:val="00F3246E"/>
    <w:rsid w:val="00F32645"/>
    <w:rsid w:val="00F32813"/>
    <w:rsid w:val="00F3298D"/>
    <w:rsid w:val="00F329B9"/>
    <w:rsid w:val="00F32EE1"/>
    <w:rsid w:val="00F33008"/>
    <w:rsid w:val="00F336A7"/>
    <w:rsid w:val="00F339BB"/>
    <w:rsid w:val="00F339F7"/>
    <w:rsid w:val="00F33F2E"/>
    <w:rsid w:val="00F34482"/>
    <w:rsid w:val="00F344F5"/>
    <w:rsid w:val="00F3493E"/>
    <w:rsid w:val="00F351CA"/>
    <w:rsid w:val="00F36601"/>
    <w:rsid w:val="00F36ADF"/>
    <w:rsid w:val="00F36B84"/>
    <w:rsid w:val="00F36E65"/>
    <w:rsid w:val="00F37089"/>
    <w:rsid w:val="00F3737B"/>
    <w:rsid w:val="00F373BF"/>
    <w:rsid w:val="00F373E0"/>
    <w:rsid w:val="00F37A11"/>
    <w:rsid w:val="00F400BA"/>
    <w:rsid w:val="00F404E4"/>
    <w:rsid w:val="00F4060A"/>
    <w:rsid w:val="00F4068D"/>
    <w:rsid w:val="00F40AF8"/>
    <w:rsid w:val="00F40DAD"/>
    <w:rsid w:val="00F40EC3"/>
    <w:rsid w:val="00F40F83"/>
    <w:rsid w:val="00F41137"/>
    <w:rsid w:val="00F412F4"/>
    <w:rsid w:val="00F415AB"/>
    <w:rsid w:val="00F41828"/>
    <w:rsid w:val="00F41961"/>
    <w:rsid w:val="00F41C2D"/>
    <w:rsid w:val="00F42377"/>
    <w:rsid w:val="00F424FA"/>
    <w:rsid w:val="00F428D8"/>
    <w:rsid w:val="00F42988"/>
    <w:rsid w:val="00F42EF4"/>
    <w:rsid w:val="00F433EA"/>
    <w:rsid w:val="00F43614"/>
    <w:rsid w:val="00F43694"/>
    <w:rsid w:val="00F43847"/>
    <w:rsid w:val="00F438DF"/>
    <w:rsid w:val="00F43B4E"/>
    <w:rsid w:val="00F44067"/>
    <w:rsid w:val="00F4413B"/>
    <w:rsid w:val="00F44261"/>
    <w:rsid w:val="00F443B3"/>
    <w:rsid w:val="00F4479A"/>
    <w:rsid w:val="00F44806"/>
    <w:rsid w:val="00F4530F"/>
    <w:rsid w:val="00F453DF"/>
    <w:rsid w:val="00F45456"/>
    <w:rsid w:val="00F454FF"/>
    <w:rsid w:val="00F45F89"/>
    <w:rsid w:val="00F460A9"/>
    <w:rsid w:val="00F463EA"/>
    <w:rsid w:val="00F4648E"/>
    <w:rsid w:val="00F464B5"/>
    <w:rsid w:val="00F464C1"/>
    <w:rsid w:val="00F46798"/>
    <w:rsid w:val="00F468F4"/>
    <w:rsid w:val="00F46B70"/>
    <w:rsid w:val="00F46C7A"/>
    <w:rsid w:val="00F46D17"/>
    <w:rsid w:val="00F46D33"/>
    <w:rsid w:val="00F46F19"/>
    <w:rsid w:val="00F46F8D"/>
    <w:rsid w:val="00F473C6"/>
    <w:rsid w:val="00F474B5"/>
    <w:rsid w:val="00F474E2"/>
    <w:rsid w:val="00F47610"/>
    <w:rsid w:val="00F476EE"/>
    <w:rsid w:val="00F479CE"/>
    <w:rsid w:val="00F479DB"/>
    <w:rsid w:val="00F47FF5"/>
    <w:rsid w:val="00F503CC"/>
    <w:rsid w:val="00F5040F"/>
    <w:rsid w:val="00F50412"/>
    <w:rsid w:val="00F5052A"/>
    <w:rsid w:val="00F509CC"/>
    <w:rsid w:val="00F50DDB"/>
    <w:rsid w:val="00F51161"/>
    <w:rsid w:val="00F512D6"/>
    <w:rsid w:val="00F51417"/>
    <w:rsid w:val="00F51527"/>
    <w:rsid w:val="00F51ABE"/>
    <w:rsid w:val="00F51ECD"/>
    <w:rsid w:val="00F5290B"/>
    <w:rsid w:val="00F52AB2"/>
    <w:rsid w:val="00F53051"/>
    <w:rsid w:val="00F5351B"/>
    <w:rsid w:val="00F53648"/>
    <w:rsid w:val="00F53977"/>
    <w:rsid w:val="00F53BF3"/>
    <w:rsid w:val="00F53D80"/>
    <w:rsid w:val="00F53F83"/>
    <w:rsid w:val="00F5411E"/>
    <w:rsid w:val="00F54370"/>
    <w:rsid w:val="00F543F6"/>
    <w:rsid w:val="00F545D8"/>
    <w:rsid w:val="00F5469D"/>
    <w:rsid w:val="00F5501C"/>
    <w:rsid w:val="00F55073"/>
    <w:rsid w:val="00F55086"/>
    <w:rsid w:val="00F55092"/>
    <w:rsid w:val="00F558A9"/>
    <w:rsid w:val="00F55B52"/>
    <w:rsid w:val="00F56156"/>
    <w:rsid w:val="00F56228"/>
    <w:rsid w:val="00F56A08"/>
    <w:rsid w:val="00F56E5E"/>
    <w:rsid w:val="00F57567"/>
    <w:rsid w:val="00F57655"/>
    <w:rsid w:val="00F577E4"/>
    <w:rsid w:val="00F57A5F"/>
    <w:rsid w:val="00F57B94"/>
    <w:rsid w:val="00F601EC"/>
    <w:rsid w:val="00F6032B"/>
    <w:rsid w:val="00F6039B"/>
    <w:rsid w:val="00F6045D"/>
    <w:rsid w:val="00F6072C"/>
    <w:rsid w:val="00F60754"/>
    <w:rsid w:val="00F607C1"/>
    <w:rsid w:val="00F60DC8"/>
    <w:rsid w:val="00F610AE"/>
    <w:rsid w:val="00F611F2"/>
    <w:rsid w:val="00F61894"/>
    <w:rsid w:val="00F61A33"/>
    <w:rsid w:val="00F61C67"/>
    <w:rsid w:val="00F62191"/>
    <w:rsid w:val="00F624D1"/>
    <w:rsid w:val="00F62F1C"/>
    <w:rsid w:val="00F63076"/>
    <w:rsid w:val="00F632FD"/>
    <w:rsid w:val="00F6382F"/>
    <w:rsid w:val="00F638C0"/>
    <w:rsid w:val="00F63BF0"/>
    <w:rsid w:val="00F63DCA"/>
    <w:rsid w:val="00F64366"/>
    <w:rsid w:val="00F648E8"/>
    <w:rsid w:val="00F64AD7"/>
    <w:rsid w:val="00F64CAB"/>
    <w:rsid w:val="00F651A5"/>
    <w:rsid w:val="00F65784"/>
    <w:rsid w:val="00F658BE"/>
    <w:rsid w:val="00F65D1D"/>
    <w:rsid w:val="00F65D5F"/>
    <w:rsid w:val="00F6623D"/>
    <w:rsid w:val="00F662B4"/>
    <w:rsid w:val="00F663A8"/>
    <w:rsid w:val="00F66645"/>
    <w:rsid w:val="00F666D1"/>
    <w:rsid w:val="00F66A94"/>
    <w:rsid w:val="00F66FCE"/>
    <w:rsid w:val="00F67720"/>
    <w:rsid w:val="00F7089E"/>
    <w:rsid w:val="00F70ACD"/>
    <w:rsid w:val="00F70B92"/>
    <w:rsid w:val="00F70D1C"/>
    <w:rsid w:val="00F71096"/>
    <w:rsid w:val="00F7189D"/>
    <w:rsid w:val="00F71BF9"/>
    <w:rsid w:val="00F71CD1"/>
    <w:rsid w:val="00F721B8"/>
    <w:rsid w:val="00F72438"/>
    <w:rsid w:val="00F7278A"/>
    <w:rsid w:val="00F72B16"/>
    <w:rsid w:val="00F73393"/>
    <w:rsid w:val="00F7345F"/>
    <w:rsid w:val="00F739D9"/>
    <w:rsid w:val="00F73D86"/>
    <w:rsid w:val="00F73FF5"/>
    <w:rsid w:val="00F744D6"/>
    <w:rsid w:val="00F745C5"/>
    <w:rsid w:val="00F74D63"/>
    <w:rsid w:val="00F74E59"/>
    <w:rsid w:val="00F74EF3"/>
    <w:rsid w:val="00F7500C"/>
    <w:rsid w:val="00F75297"/>
    <w:rsid w:val="00F75381"/>
    <w:rsid w:val="00F753BC"/>
    <w:rsid w:val="00F755FF"/>
    <w:rsid w:val="00F75F31"/>
    <w:rsid w:val="00F7648B"/>
    <w:rsid w:val="00F765A6"/>
    <w:rsid w:val="00F7677E"/>
    <w:rsid w:val="00F76AE3"/>
    <w:rsid w:val="00F76C4E"/>
    <w:rsid w:val="00F76D57"/>
    <w:rsid w:val="00F76E4F"/>
    <w:rsid w:val="00F776E1"/>
    <w:rsid w:val="00F7778B"/>
    <w:rsid w:val="00F801B5"/>
    <w:rsid w:val="00F803F3"/>
    <w:rsid w:val="00F80687"/>
    <w:rsid w:val="00F80875"/>
    <w:rsid w:val="00F808E6"/>
    <w:rsid w:val="00F80BE8"/>
    <w:rsid w:val="00F8112E"/>
    <w:rsid w:val="00F811D1"/>
    <w:rsid w:val="00F8136F"/>
    <w:rsid w:val="00F81C7A"/>
    <w:rsid w:val="00F81D84"/>
    <w:rsid w:val="00F81F74"/>
    <w:rsid w:val="00F81FD8"/>
    <w:rsid w:val="00F81FED"/>
    <w:rsid w:val="00F825C3"/>
    <w:rsid w:val="00F8260F"/>
    <w:rsid w:val="00F82E75"/>
    <w:rsid w:val="00F82F69"/>
    <w:rsid w:val="00F83077"/>
    <w:rsid w:val="00F830B7"/>
    <w:rsid w:val="00F83228"/>
    <w:rsid w:val="00F83300"/>
    <w:rsid w:val="00F835BC"/>
    <w:rsid w:val="00F83853"/>
    <w:rsid w:val="00F83F76"/>
    <w:rsid w:val="00F84179"/>
    <w:rsid w:val="00F84297"/>
    <w:rsid w:val="00F844CF"/>
    <w:rsid w:val="00F848AA"/>
    <w:rsid w:val="00F8506F"/>
    <w:rsid w:val="00F853E7"/>
    <w:rsid w:val="00F855D0"/>
    <w:rsid w:val="00F858EB"/>
    <w:rsid w:val="00F85CE3"/>
    <w:rsid w:val="00F86826"/>
    <w:rsid w:val="00F8691D"/>
    <w:rsid w:val="00F86CCF"/>
    <w:rsid w:val="00F86F4A"/>
    <w:rsid w:val="00F87D80"/>
    <w:rsid w:val="00F90265"/>
    <w:rsid w:val="00F9090E"/>
    <w:rsid w:val="00F911E0"/>
    <w:rsid w:val="00F91215"/>
    <w:rsid w:val="00F914CD"/>
    <w:rsid w:val="00F9183E"/>
    <w:rsid w:val="00F91BB6"/>
    <w:rsid w:val="00F91ECE"/>
    <w:rsid w:val="00F92DD5"/>
    <w:rsid w:val="00F92EE5"/>
    <w:rsid w:val="00F93742"/>
    <w:rsid w:val="00F93989"/>
    <w:rsid w:val="00F93E66"/>
    <w:rsid w:val="00F94628"/>
    <w:rsid w:val="00F946CF"/>
    <w:rsid w:val="00F94C6E"/>
    <w:rsid w:val="00F95063"/>
    <w:rsid w:val="00F951C4"/>
    <w:rsid w:val="00F95268"/>
    <w:rsid w:val="00F952DA"/>
    <w:rsid w:val="00F954E5"/>
    <w:rsid w:val="00F95788"/>
    <w:rsid w:val="00F960C9"/>
    <w:rsid w:val="00F96268"/>
    <w:rsid w:val="00F967CC"/>
    <w:rsid w:val="00F96B70"/>
    <w:rsid w:val="00F970F8"/>
    <w:rsid w:val="00F97134"/>
    <w:rsid w:val="00F9754B"/>
    <w:rsid w:val="00F97729"/>
    <w:rsid w:val="00F97A0B"/>
    <w:rsid w:val="00F97B6C"/>
    <w:rsid w:val="00F97D26"/>
    <w:rsid w:val="00FA022A"/>
    <w:rsid w:val="00FA08EE"/>
    <w:rsid w:val="00FA09E6"/>
    <w:rsid w:val="00FA133B"/>
    <w:rsid w:val="00FA1D92"/>
    <w:rsid w:val="00FA21F9"/>
    <w:rsid w:val="00FA2212"/>
    <w:rsid w:val="00FA231D"/>
    <w:rsid w:val="00FA28FD"/>
    <w:rsid w:val="00FA2C73"/>
    <w:rsid w:val="00FA2F11"/>
    <w:rsid w:val="00FA2F13"/>
    <w:rsid w:val="00FA34B8"/>
    <w:rsid w:val="00FA34CE"/>
    <w:rsid w:val="00FA376A"/>
    <w:rsid w:val="00FA38D6"/>
    <w:rsid w:val="00FA3C53"/>
    <w:rsid w:val="00FA3C60"/>
    <w:rsid w:val="00FA3CB8"/>
    <w:rsid w:val="00FA3FF0"/>
    <w:rsid w:val="00FA45AC"/>
    <w:rsid w:val="00FA4718"/>
    <w:rsid w:val="00FA4B98"/>
    <w:rsid w:val="00FA5429"/>
    <w:rsid w:val="00FA5C5F"/>
    <w:rsid w:val="00FA5E71"/>
    <w:rsid w:val="00FA5FF0"/>
    <w:rsid w:val="00FA6080"/>
    <w:rsid w:val="00FA6179"/>
    <w:rsid w:val="00FA64E1"/>
    <w:rsid w:val="00FA66E4"/>
    <w:rsid w:val="00FA6DB7"/>
    <w:rsid w:val="00FA6FF8"/>
    <w:rsid w:val="00FA75B0"/>
    <w:rsid w:val="00FA75D1"/>
    <w:rsid w:val="00FA77B9"/>
    <w:rsid w:val="00FA78FD"/>
    <w:rsid w:val="00FA7971"/>
    <w:rsid w:val="00FA7AC7"/>
    <w:rsid w:val="00FB0098"/>
    <w:rsid w:val="00FB0483"/>
    <w:rsid w:val="00FB04D2"/>
    <w:rsid w:val="00FB0612"/>
    <w:rsid w:val="00FB06E8"/>
    <w:rsid w:val="00FB0811"/>
    <w:rsid w:val="00FB0A00"/>
    <w:rsid w:val="00FB0AAA"/>
    <w:rsid w:val="00FB0E2D"/>
    <w:rsid w:val="00FB12CD"/>
    <w:rsid w:val="00FB12F4"/>
    <w:rsid w:val="00FB1493"/>
    <w:rsid w:val="00FB1802"/>
    <w:rsid w:val="00FB1966"/>
    <w:rsid w:val="00FB1A39"/>
    <w:rsid w:val="00FB1B2A"/>
    <w:rsid w:val="00FB1C35"/>
    <w:rsid w:val="00FB1C43"/>
    <w:rsid w:val="00FB1E17"/>
    <w:rsid w:val="00FB1ED0"/>
    <w:rsid w:val="00FB219F"/>
    <w:rsid w:val="00FB2695"/>
    <w:rsid w:val="00FB2826"/>
    <w:rsid w:val="00FB29B8"/>
    <w:rsid w:val="00FB31CE"/>
    <w:rsid w:val="00FB3378"/>
    <w:rsid w:val="00FB340E"/>
    <w:rsid w:val="00FB365A"/>
    <w:rsid w:val="00FB39D6"/>
    <w:rsid w:val="00FB3A01"/>
    <w:rsid w:val="00FB3C79"/>
    <w:rsid w:val="00FB41AA"/>
    <w:rsid w:val="00FB4546"/>
    <w:rsid w:val="00FB4579"/>
    <w:rsid w:val="00FB459F"/>
    <w:rsid w:val="00FB45A0"/>
    <w:rsid w:val="00FB486D"/>
    <w:rsid w:val="00FB4A4C"/>
    <w:rsid w:val="00FB4EE8"/>
    <w:rsid w:val="00FB4FC2"/>
    <w:rsid w:val="00FB50CD"/>
    <w:rsid w:val="00FB56C5"/>
    <w:rsid w:val="00FB57E9"/>
    <w:rsid w:val="00FB5887"/>
    <w:rsid w:val="00FB5945"/>
    <w:rsid w:val="00FB5DC5"/>
    <w:rsid w:val="00FB5E58"/>
    <w:rsid w:val="00FB5F75"/>
    <w:rsid w:val="00FB67FC"/>
    <w:rsid w:val="00FB68C4"/>
    <w:rsid w:val="00FB6D77"/>
    <w:rsid w:val="00FB7308"/>
    <w:rsid w:val="00FB7724"/>
    <w:rsid w:val="00FB7AC8"/>
    <w:rsid w:val="00FB7B1B"/>
    <w:rsid w:val="00FB7ECB"/>
    <w:rsid w:val="00FC0081"/>
    <w:rsid w:val="00FC09EC"/>
    <w:rsid w:val="00FC0A27"/>
    <w:rsid w:val="00FC1000"/>
    <w:rsid w:val="00FC1071"/>
    <w:rsid w:val="00FC113B"/>
    <w:rsid w:val="00FC133B"/>
    <w:rsid w:val="00FC156D"/>
    <w:rsid w:val="00FC16F0"/>
    <w:rsid w:val="00FC185B"/>
    <w:rsid w:val="00FC1A1C"/>
    <w:rsid w:val="00FC1BB2"/>
    <w:rsid w:val="00FC295D"/>
    <w:rsid w:val="00FC2B44"/>
    <w:rsid w:val="00FC2BEE"/>
    <w:rsid w:val="00FC33EB"/>
    <w:rsid w:val="00FC3909"/>
    <w:rsid w:val="00FC4296"/>
    <w:rsid w:val="00FC443B"/>
    <w:rsid w:val="00FC4741"/>
    <w:rsid w:val="00FC484C"/>
    <w:rsid w:val="00FC496D"/>
    <w:rsid w:val="00FC4EAF"/>
    <w:rsid w:val="00FC4FDE"/>
    <w:rsid w:val="00FC527C"/>
    <w:rsid w:val="00FC548C"/>
    <w:rsid w:val="00FC5578"/>
    <w:rsid w:val="00FC56E5"/>
    <w:rsid w:val="00FC6445"/>
    <w:rsid w:val="00FC686B"/>
    <w:rsid w:val="00FC75E1"/>
    <w:rsid w:val="00FC75F5"/>
    <w:rsid w:val="00FC76C8"/>
    <w:rsid w:val="00FC785D"/>
    <w:rsid w:val="00FC7A0C"/>
    <w:rsid w:val="00FC7E40"/>
    <w:rsid w:val="00FC7FC2"/>
    <w:rsid w:val="00FD02C0"/>
    <w:rsid w:val="00FD058D"/>
    <w:rsid w:val="00FD09CE"/>
    <w:rsid w:val="00FD0A83"/>
    <w:rsid w:val="00FD0BBC"/>
    <w:rsid w:val="00FD11D8"/>
    <w:rsid w:val="00FD13CE"/>
    <w:rsid w:val="00FD13E0"/>
    <w:rsid w:val="00FD14F1"/>
    <w:rsid w:val="00FD1615"/>
    <w:rsid w:val="00FD184E"/>
    <w:rsid w:val="00FD1876"/>
    <w:rsid w:val="00FD2C50"/>
    <w:rsid w:val="00FD2C6C"/>
    <w:rsid w:val="00FD3403"/>
    <w:rsid w:val="00FD41F3"/>
    <w:rsid w:val="00FD4A08"/>
    <w:rsid w:val="00FD4ABC"/>
    <w:rsid w:val="00FD4F33"/>
    <w:rsid w:val="00FD4F7E"/>
    <w:rsid w:val="00FD5A46"/>
    <w:rsid w:val="00FD5CB6"/>
    <w:rsid w:val="00FD6488"/>
    <w:rsid w:val="00FD6507"/>
    <w:rsid w:val="00FD6D32"/>
    <w:rsid w:val="00FD6E9D"/>
    <w:rsid w:val="00FD7035"/>
    <w:rsid w:val="00FD7B51"/>
    <w:rsid w:val="00FE01F6"/>
    <w:rsid w:val="00FE0A15"/>
    <w:rsid w:val="00FE0A47"/>
    <w:rsid w:val="00FE0D2E"/>
    <w:rsid w:val="00FE105E"/>
    <w:rsid w:val="00FE1136"/>
    <w:rsid w:val="00FE117B"/>
    <w:rsid w:val="00FE12A2"/>
    <w:rsid w:val="00FE1418"/>
    <w:rsid w:val="00FE1595"/>
    <w:rsid w:val="00FE16A8"/>
    <w:rsid w:val="00FE179E"/>
    <w:rsid w:val="00FE17D6"/>
    <w:rsid w:val="00FE1B59"/>
    <w:rsid w:val="00FE208D"/>
    <w:rsid w:val="00FE2760"/>
    <w:rsid w:val="00FE345C"/>
    <w:rsid w:val="00FE3CD9"/>
    <w:rsid w:val="00FE3CDE"/>
    <w:rsid w:val="00FE3F54"/>
    <w:rsid w:val="00FE42F6"/>
    <w:rsid w:val="00FE44BA"/>
    <w:rsid w:val="00FE4821"/>
    <w:rsid w:val="00FE4DBA"/>
    <w:rsid w:val="00FE4E63"/>
    <w:rsid w:val="00FE5428"/>
    <w:rsid w:val="00FE54F5"/>
    <w:rsid w:val="00FE5843"/>
    <w:rsid w:val="00FE59FE"/>
    <w:rsid w:val="00FE5B7A"/>
    <w:rsid w:val="00FE6235"/>
    <w:rsid w:val="00FE6A6E"/>
    <w:rsid w:val="00FE744D"/>
    <w:rsid w:val="00FF017A"/>
    <w:rsid w:val="00FF0264"/>
    <w:rsid w:val="00FF038C"/>
    <w:rsid w:val="00FF05A4"/>
    <w:rsid w:val="00FF0721"/>
    <w:rsid w:val="00FF09BB"/>
    <w:rsid w:val="00FF0C31"/>
    <w:rsid w:val="00FF1108"/>
    <w:rsid w:val="00FF162F"/>
    <w:rsid w:val="00FF1791"/>
    <w:rsid w:val="00FF1C73"/>
    <w:rsid w:val="00FF1CB8"/>
    <w:rsid w:val="00FF1D89"/>
    <w:rsid w:val="00FF1E13"/>
    <w:rsid w:val="00FF1E6F"/>
    <w:rsid w:val="00FF1F00"/>
    <w:rsid w:val="00FF2052"/>
    <w:rsid w:val="00FF238D"/>
    <w:rsid w:val="00FF23C0"/>
    <w:rsid w:val="00FF3011"/>
    <w:rsid w:val="00FF33A1"/>
    <w:rsid w:val="00FF393C"/>
    <w:rsid w:val="00FF3F9D"/>
    <w:rsid w:val="00FF42BD"/>
    <w:rsid w:val="00FF42C0"/>
    <w:rsid w:val="00FF4534"/>
    <w:rsid w:val="00FF4E15"/>
    <w:rsid w:val="00FF4F7C"/>
    <w:rsid w:val="00FF50C2"/>
    <w:rsid w:val="00FF51FC"/>
    <w:rsid w:val="00FF53EC"/>
    <w:rsid w:val="00FF554D"/>
    <w:rsid w:val="00FF572E"/>
    <w:rsid w:val="00FF57B0"/>
    <w:rsid w:val="00FF60A0"/>
    <w:rsid w:val="00FF6382"/>
    <w:rsid w:val="00FF63D1"/>
    <w:rsid w:val="00FF67BD"/>
    <w:rsid w:val="00FF7512"/>
    <w:rsid w:val="01211E97"/>
    <w:rsid w:val="01312FD8"/>
    <w:rsid w:val="01536C04"/>
    <w:rsid w:val="01727A9B"/>
    <w:rsid w:val="017460A8"/>
    <w:rsid w:val="01957768"/>
    <w:rsid w:val="01AE0C1B"/>
    <w:rsid w:val="01B4763F"/>
    <w:rsid w:val="01B86684"/>
    <w:rsid w:val="01BA5D45"/>
    <w:rsid w:val="01E074E1"/>
    <w:rsid w:val="021E0353"/>
    <w:rsid w:val="02226DB8"/>
    <w:rsid w:val="02247ACE"/>
    <w:rsid w:val="026C1BC8"/>
    <w:rsid w:val="02A042E7"/>
    <w:rsid w:val="02AA4860"/>
    <w:rsid w:val="02B426D3"/>
    <w:rsid w:val="02C60CF0"/>
    <w:rsid w:val="02D32FE7"/>
    <w:rsid w:val="02E77339"/>
    <w:rsid w:val="02FE0EE6"/>
    <w:rsid w:val="03222EC1"/>
    <w:rsid w:val="03342DF6"/>
    <w:rsid w:val="03343C90"/>
    <w:rsid w:val="03364E56"/>
    <w:rsid w:val="037662E3"/>
    <w:rsid w:val="03916D10"/>
    <w:rsid w:val="03A219EA"/>
    <w:rsid w:val="03A646A7"/>
    <w:rsid w:val="03AB0F14"/>
    <w:rsid w:val="03B2312E"/>
    <w:rsid w:val="03B30F71"/>
    <w:rsid w:val="03B32C71"/>
    <w:rsid w:val="03BD7F26"/>
    <w:rsid w:val="03CE13CD"/>
    <w:rsid w:val="03F649DD"/>
    <w:rsid w:val="04091D59"/>
    <w:rsid w:val="040F0657"/>
    <w:rsid w:val="04472319"/>
    <w:rsid w:val="04737B21"/>
    <w:rsid w:val="04821D2B"/>
    <w:rsid w:val="048776B8"/>
    <w:rsid w:val="04B54A0D"/>
    <w:rsid w:val="04C514E7"/>
    <w:rsid w:val="04D1302F"/>
    <w:rsid w:val="04E618AD"/>
    <w:rsid w:val="0509004A"/>
    <w:rsid w:val="051614DF"/>
    <w:rsid w:val="053C115E"/>
    <w:rsid w:val="056A3D98"/>
    <w:rsid w:val="05877304"/>
    <w:rsid w:val="05887A6C"/>
    <w:rsid w:val="05AA653C"/>
    <w:rsid w:val="05E554CD"/>
    <w:rsid w:val="05FF3764"/>
    <w:rsid w:val="06056C70"/>
    <w:rsid w:val="06646C0A"/>
    <w:rsid w:val="06872BC5"/>
    <w:rsid w:val="06A175F3"/>
    <w:rsid w:val="06B46E8A"/>
    <w:rsid w:val="06CC045B"/>
    <w:rsid w:val="06D30A40"/>
    <w:rsid w:val="06D44858"/>
    <w:rsid w:val="06DF76C9"/>
    <w:rsid w:val="06E974DC"/>
    <w:rsid w:val="06ED3E15"/>
    <w:rsid w:val="06F02B27"/>
    <w:rsid w:val="072677AE"/>
    <w:rsid w:val="072D2F81"/>
    <w:rsid w:val="07301609"/>
    <w:rsid w:val="07387214"/>
    <w:rsid w:val="0753050D"/>
    <w:rsid w:val="07725700"/>
    <w:rsid w:val="07C16B17"/>
    <w:rsid w:val="07D914DE"/>
    <w:rsid w:val="07D94F22"/>
    <w:rsid w:val="07F5389E"/>
    <w:rsid w:val="080C46B8"/>
    <w:rsid w:val="0815789C"/>
    <w:rsid w:val="08411DE2"/>
    <w:rsid w:val="08492E7E"/>
    <w:rsid w:val="084B564C"/>
    <w:rsid w:val="084E1401"/>
    <w:rsid w:val="08650854"/>
    <w:rsid w:val="0868220C"/>
    <w:rsid w:val="0886040F"/>
    <w:rsid w:val="088C17CE"/>
    <w:rsid w:val="0899343A"/>
    <w:rsid w:val="089A6C03"/>
    <w:rsid w:val="08A6522A"/>
    <w:rsid w:val="08DD16F9"/>
    <w:rsid w:val="08F50D9E"/>
    <w:rsid w:val="08FF6553"/>
    <w:rsid w:val="09555375"/>
    <w:rsid w:val="095A6E8E"/>
    <w:rsid w:val="09761A4F"/>
    <w:rsid w:val="09834CFB"/>
    <w:rsid w:val="098F7B38"/>
    <w:rsid w:val="09A1536E"/>
    <w:rsid w:val="09B87205"/>
    <w:rsid w:val="09C15724"/>
    <w:rsid w:val="09CD45A7"/>
    <w:rsid w:val="09CE00D0"/>
    <w:rsid w:val="09ED449E"/>
    <w:rsid w:val="09F47D86"/>
    <w:rsid w:val="09FB33A4"/>
    <w:rsid w:val="0A022D2E"/>
    <w:rsid w:val="0A1063C5"/>
    <w:rsid w:val="0A1335D2"/>
    <w:rsid w:val="0A133D23"/>
    <w:rsid w:val="0A4A10C2"/>
    <w:rsid w:val="0A5430F4"/>
    <w:rsid w:val="0A597E31"/>
    <w:rsid w:val="0A8119D2"/>
    <w:rsid w:val="0A836CD4"/>
    <w:rsid w:val="0A96708F"/>
    <w:rsid w:val="0A9673E0"/>
    <w:rsid w:val="0AB34BF0"/>
    <w:rsid w:val="0ABA55CF"/>
    <w:rsid w:val="0ABB731F"/>
    <w:rsid w:val="0AE4294E"/>
    <w:rsid w:val="0AEE176F"/>
    <w:rsid w:val="0AFC1B12"/>
    <w:rsid w:val="0B0B27EE"/>
    <w:rsid w:val="0B0B7F7B"/>
    <w:rsid w:val="0B0D0E11"/>
    <w:rsid w:val="0B230FE0"/>
    <w:rsid w:val="0B445AA4"/>
    <w:rsid w:val="0B5D32C5"/>
    <w:rsid w:val="0B695D52"/>
    <w:rsid w:val="0B6B4077"/>
    <w:rsid w:val="0B7725B9"/>
    <w:rsid w:val="0B7F2E6D"/>
    <w:rsid w:val="0B95199F"/>
    <w:rsid w:val="0B981D2D"/>
    <w:rsid w:val="0B9E444D"/>
    <w:rsid w:val="0BCA3B28"/>
    <w:rsid w:val="0BF767BF"/>
    <w:rsid w:val="0BF8204B"/>
    <w:rsid w:val="0C0D15D3"/>
    <w:rsid w:val="0C112E65"/>
    <w:rsid w:val="0C4603F0"/>
    <w:rsid w:val="0C4A6383"/>
    <w:rsid w:val="0C676C2C"/>
    <w:rsid w:val="0C780D20"/>
    <w:rsid w:val="0C7E602C"/>
    <w:rsid w:val="0C9831EF"/>
    <w:rsid w:val="0CD86A7A"/>
    <w:rsid w:val="0CEF7FDC"/>
    <w:rsid w:val="0D1B1579"/>
    <w:rsid w:val="0D315065"/>
    <w:rsid w:val="0D3355BC"/>
    <w:rsid w:val="0D3845F0"/>
    <w:rsid w:val="0D3861DB"/>
    <w:rsid w:val="0D4E2D42"/>
    <w:rsid w:val="0D632CDA"/>
    <w:rsid w:val="0D714F12"/>
    <w:rsid w:val="0D7F0130"/>
    <w:rsid w:val="0D8B6C53"/>
    <w:rsid w:val="0D8D7498"/>
    <w:rsid w:val="0D906017"/>
    <w:rsid w:val="0D9C0395"/>
    <w:rsid w:val="0D9C7B4D"/>
    <w:rsid w:val="0DA54AA0"/>
    <w:rsid w:val="0DAC679D"/>
    <w:rsid w:val="0DB079BE"/>
    <w:rsid w:val="0DD17656"/>
    <w:rsid w:val="0DD65D96"/>
    <w:rsid w:val="0DEB2C5C"/>
    <w:rsid w:val="0E06452B"/>
    <w:rsid w:val="0E081020"/>
    <w:rsid w:val="0E0A5DCA"/>
    <w:rsid w:val="0E0F2BE6"/>
    <w:rsid w:val="0E26072A"/>
    <w:rsid w:val="0E395D75"/>
    <w:rsid w:val="0E512EED"/>
    <w:rsid w:val="0E526D1E"/>
    <w:rsid w:val="0E664F96"/>
    <w:rsid w:val="0E6A5FA2"/>
    <w:rsid w:val="0E6B7450"/>
    <w:rsid w:val="0E866AB9"/>
    <w:rsid w:val="0E8724B6"/>
    <w:rsid w:val="0E9C4FD3"/>
    <w:rsid w:val="0EA37FCE"/>
    <w:rsid w:val="0EAD5991"/>
    <w:rsid w:val="0EC802A1"/>
    <w:rsid w:val="0ECC5AE4"/>
    <w:rsid w:val="0EE36F7F"/>
    <w:rsid w:val="0EF75205"/>
    <w:rsid w:val="0EFB00AE"/>
    <w:rsid w:val="0EFE0B81"/>
    <w:rsid w:val="0F2661C0"/>
    <w:rsid w:val="0F5D518F"/>
    <w:rsid w:val="0F7C3604"/>
    <w:rsid w:val="0FA45553"/>
    <w:rsid w:val="0FA75CC4"/>
    <w:rsid w:val="0FB3295F"/>
    <w:rsid w:val="0FD6546C"/>
    <w:rsid w:val="0FD7617F"/>
    <w:rsid w:val="0FDC0605"/>
    <w:rsid w:val="0FDF6DE2"/>
    <w:rsid w:val="0FE16FFE"/>
    <w:rsid w:val="0FE4678E"/>
    <w:rsid w:val="0FE66481"/>
    <w:rsid w:val="0FEF48E3"/>
    <w:rsid w:val="1003044E"/>
    <w:rsid w:val="10233173"/>
    <w:rsid w:val="10394744"/>
    <w:rsid w:val="104D4104"/>
    <w:rsid w:val="105146E6"/>
    <w:rsid w:val="1070475F"/>
    <w:rsid w:val="108F241A"/>
    <w:rsid w:val="10A106B7"/>
    <w:rsid w:val="10AB21E4"/>
    <w:rsid w:val="10C2207C"/>
    <w:rsid w:val="10DF6582"/>
    <w:rsid w:val="10E27EE5"/>
    <w:rsid w:val="10E90976"/>
    <w:rsid w:val="10EF7E51"/>
    <w:rsid w:val="10F74656"/>
    <w:rsid w:val="110E78C0"/>
    <w:rsid w:val="111F6DBE"/>
    <w:rsid w:val="11331708"/>
    <w:rsid w:val="11416782"/>
    <w:rsid w:val="11562C68"/>
    <w:rsid w:val="116E7C31"/>
    <w:rsid w:val="11772421"/>
    <w:rsid w:val="117863EC"/>
    <w:rsid w:val="117B22D4"/>
    <w:rsid w:val="11887DFC"/>
    <w:rsid w:val="118B6E1F"/>
    <w:rsid w:val="119B3DA5"/>
    <w:rsid w:val="11C319C7"/>
    <w:rsid w:val="11CD2DC3"/>
    <w:rsid w:val="11E903EC"/>
    <w:rsid w:val="11EA488F"/>
    <w:rsid w:val="11F27296"/>
    <w:rsid w:val="11F50B3F"/>
    <w:rsid w:val="11F93C01"/>
    <w:rsid w:val="12087315"/>
    <w:rsid w:val="12105694"/>
    <w:rsid w:val="12111FB4"/>
    <w:rsid w:val="123E067C"/>
    <w:rsid w:val="1240234B"/>
    <w:rsid w:val="12486EC1"/>
    <w:rsid w:val="125066F1"/>
    <w:rsid w:val="12566C26"/>
    <w:rsid w:val="12577D0B"/>
    <w:rsid w:val="12640F15"/>
    <w:rsid w:val="12696E37"/>
    <w:rsid w:val="12816F75"/>
    <w:rsid w:val="12956F00"/>
    <w:rsid w:val="12995FE3"/>
    <w:rsid w:val="12A358E7"/>
    <w:rsid w:val="12A57C53"/>
    <w:rsid w:val="12B25142"/>
    <w:rsid w:val="12C913AE"/>
    <w:rsid w:val="12D06786"/>
    <w:rsid w:val="12D2261E"/>
    <w:rsid w:val="12D27F5A"/>
    <w:rsid w:val="12E0534B"/>
    <w:rsid w:val="12E8730A"/>
    <w:rsid w:val="12FB1884"/>
    <w:rsid w:val="130B7C6D"/>
    <w:rsid w:val="13220EF9"/>
    <w:rsid w:val="13236516"/>
    <w:rsid w:val="134348CB"/>
    <w:rsid w:val="13563858"/>
    <w:rsid w:val="13843362"/>
    <w:rsid w:val="13E33805"/>
    <w:rsid w:val="13E41E85"/>
    <w:rsid w:val="13EE3B54"/>
    <w:rsid w:val="13F01C76"/>
    <w:rsid w:val="13F072F8"/>
    <w:rsid w:val="13F2482F"/>
    <w:rsid w:val="14033A00"/>
    <w:rsid w:val="14204270"/>
    <w:rsid w:val="143E5E67"/>
    <w:rsid w:val="14666E1A"/>
    <w:rsid w:val="147E4E1C"/>
    <w:rsid w:val="1485785B"/>
    <w:rsid w:val="14887FA9"/>
    <w:rsid w:val="148E636D"/>
    <w:rsid w:val="14975EDD"/>
    <w:rsid w:val="14AD2D7C"/>
    <w:rsid w:val="14BB5392"/>
    <w:rsid w:val="14C927FA"/>
    <w:rsid w:val="14CA17E4"/>
    <w:rsid w:val="14D85715"/>
    <w:rsid w:val="14E45A44"/>
    <w:rsid w:val="14E767BE"/>
    <w:rsid w:val="14EE05AE"/>
    <w:rsid w:val="1507414A"/>
    <w:rsid w:val="150E5713"/>
    <w:rsid w:val="151C1F54"/>
    <w:rsid w:val="152F4368"/>
    <w:rsid w:val="15392479"/>
    <w:rsid w:val="153A124F"/>
    <w:rsid w:val="153A50FC"/>
    <w:rsid w:val="15446F56"/>
    <w:rsid w:val="15621F62"/>
    <w:rsid w:val="15681628"/>
    <w:rsid w:val="159F51A3"/>
    <w:rsid w:val="15AC3522"/>
    <w:rsid w:val="15CA3E5D"/>
    <w:rsid w:val="15E648FD"/>
    <w:rsid w:val="15E66956"/>
    <w:rsid w:val="15F6029A"/>
    <w:rsid w:val="160508F1"/>
    <w:rsid w:val="162727F5"/>
    <w:rsid w:val="162E780D"/>
    <w:rsid w:val="163044FE"/>
    <w:rsid w:val="163F7521"/>
    <w:rsid w:val="16600478"/>
    <w:rsid w:val="166F4ABD"/>
    <w:rsid w:val="16AF095C"/>
    <w:rsid w:val="16C709B8"/>
    <w:rsid w:val="16CB6312"/>
    <w:rsid w:val="16FD67BB"/>
    <w:rsid w:val="171D1B89"/>
    <w:rsid w:val="172C5FAA"/>
    <w:rsid w:val="17342E62"/>
    <w:rsid w:val="17396492"/>
    <w:rsid w:val="17525A02"/>
    <w:rsid w:val="176644A9"/>
    <w:rsid w:val="176D0594"/>
    <w:rsid w:val="17721F3F"/>
    <w:rsid w:val="177B5642"/>
    <w:rsid w:val="177C5F2F"/>
    <w:rsid w:val="178A7918"/>
    <w:rsid w:val="179A505D"/>
    <w:rsid w:val="179D1A5D"/>
    <w:rsid w:val="17A77C84"/>
    <w:rsid w:val="17B461F0"/>
    <w:rsid w:val="17BA2FE4"/>
    <w:rsid w:val="17BB4074"/>
    <w:rsid w:val="17BD693C"/>
    <w:rsid w:val="17CE3123"/>
    <w:rsid w:val="17D230AA"/>
    <w:rsid w:val="17D47448"/>
    <w:rsid w:val="17D6015C"/>
    <w:rsid w:val="17EC074D"/>
    <w:rsid w:val="17ED64CE"/>
    <w:rsid w:val="17F6539C"/>
    <w:rsid w:val="180B0603"/>
    <w:rsid w:val="181159C3"/>
    <w:rsid w:val="18154B68"/>
    <w:rsid w:val="18193EA3"/>
    <w:rsid w:val="1824593D"/>
    <w:rsid w:val="182A44A8"/>
    <w:rsid w:val="18385456"/>
    <w:rsid w:val="187D363C"/>
    <w:rsid w:val="189F5F15"/>
    <w:rsid w:val="18B378E7"/>
    <w:rsid w:val="18B729DB"/>
    <w:rsid w:val="18BC3169"/>
    <w:rsid w:val="18D777A2"/>
    <w:rsid w:val="18F45F0D"/>
    <w:rsid w:val="190F655D"/>
    <w:rsid w:val="191E5442"/>
    <w:rsid w:val="192E4650"/>
    <w:rsid w:val="194D74B2"/>
    <w:rsid w:val="19654B16"/>
    <w:rsid w:val="19A60971"/>
    <w:rsid w:val="19AD4C0D"/>
    <w:rsid w:val="19C87EFC"/>
    <w:rsid w:val="19CC60C4"/>
    <w:rsid w:val="19D11E91"/>
    <w:rsid w:val="19DB2D10"/>
    <w:rsid w:val="19E80FEB"/>
    <w:rsid w:val="19E90360"/>
    <w:rsid w:val="19F52F80"/>
    <w:rsid w:val="1A002777"/>
    <w:rsid w:val="1A0116D6"/>
    <w:rsid w:val="1A037B71"/>
    <w:rsid w:val="1A1D06FC"/>
    <w:rsid w:val="1A3501B6"/>
    <w:rsid w:val="1A480F2E"/>
    <w:rsid w:val="1A4A44C0"/>
    <w:rsid w:val="1A713602"/>
    <w:rsid w:val="1A843FF2"/>
    <w:rsid w:val="1A846F04"/>
    <w:rsid w:val="1A94496E"/>
    <w:rsid w:val="1A951408"/>
    <w:rsid w:val="1A973407"/>
    <w:rsid w:val="1A9C1C7A"/>
    <w:rsid w:val="1ABF7F3C"/>
    <w:rsid w:val="1AE3458F"/>
    <w:rsid w:val="1AFD2812"/>
    <w:rsid w:val="1B126087"/>
    <w:rsid w:val="1B240CC8"/>
    <w:rsid w:val="1B410082"/>
    <w:rsid w:val="1B471DAC"/>
    <w:rsid w:val="1B7B060F"/>
    <w:rsid w:val="1B7C1232"/>
    <w:rsid w:val="1B880ABD"/>
    <w:rsid w:val="1B8E7054"/>
    <w:rsid w:val="1BB25A26"/>
    <w:rsid w:val="1BD14924"/>
    <w:rsid w:val="1BE4117B"/>
    <w:rsid w:val="1BE450D1"/>
    <w:rsid w:val="1BEA688F"/>
    <w:rsid w:val="1C1255BA"/>
    <w:rsid w:val="1C1A569C"/>
    <w:rsid w:val="1C2F7FBA"/>
    <w:rsid w:val="1C566E7F"/>
    <w:rsid w:val="1C645915"/>
    <w:rsid w:val="1C872AE9"/>
    <w:rsid w:val="1C8F1F15"/>
    <w:rsid w:val="1C93438D"/>
    <w:rsid w:val="1CAC2633"/>
    <w:rsid w:val="1CC55674"/>
    <w:rsid w:val="1D1728FD"/>
    <w:rsid w:val="1D194A3C"/>
    <w:rsid w:val="1D1A3232"/>
    <w:rsid w:val="1D2C1B8F"/>
    <w:rsid w:val="1D2F6BAA"/>
    <w:rsid w:val="1D67558A"/>
    <w:rsid w:val="1D81772B"/>
    <w:rsid w:val="1D83617F"/>
    <w:rsid w:val="1D8A2A83"/>
    <w:rsid w:val="1D92153A"/>
    <w:rsid w:val="1DA22EF9"/>
    <w:rsid w:val="1DAB521B"/>
    <w:rsid w:val="1DB55626"/>
    <w:rsid w:val="1DBA2E25"/>
    <w:rsid w:val="1DCB2DDC"/>
    <w:rsid w:val="1E111519"/>
    <w:rsid w:val="1E13514F"/>
    <w:rsid w:val="1E2724B6"/>
    <w:rsid w:val="1E3824DF"/>
    <w:rsid w:val="1E3C09E6"/>
    <w:rsid w:val="1E407150"/>
    <w:rsid w:val="1E63346A"/>
    <w:rsid w:val="1E646882"/>
    <w:rsid w:val="1E99615B"/>
    <w:rsid w:val="1EBB3589"/>
    <w:rsid w:val="1EEC46C6"/>
    <w:rsid w:val="1F0C5399"/>
    <w:rsid w:val="1F2A2F12"/>
    <w:rsid w:val="1F3A5DE3"/>
    <w:rsid w:val="1F3F2244"/>
    <w:rsid w:val="1F671C42"/>
    <w:rsid w:val="1F6A4CBF"/>
    <w:rsid w:val="1F6E7C70"/>
    <w:rsid w:val="1F7D257E"/>
    <w:rsid w:val="1F930BDA"/>
    <w:rsid w:val="1F9A640C"/>
    <w:rsid w:val="1F9D244F"/>
    <w:rsid w:val="1F9E45C4"/>
    <w:rsid w:val="1FAC6467"/>
    <w:rsid w:val="1FB35F68"/>
    <w:rsid w:val="1FC05016"/>
    <w:rsid w:val="1FE4066F"/>
    <w:rsid w:val="1FF1600F"/>
    <w:rsid w:val="200735D2"/>
    <w:rsid w:val="2014250D"/>
    <w:rsid w:val="202366A3"/>
    <w:rsid w:val="2037390B"/>
    <w:rsid w:val="203A120C"/>
    <w:rsid w:val="20505F1D"/>
    <w:rsid w:val="20D10F8E"/>
    <w:rsid w:val="20E62F9D"/>
    <w:rsid w:val="20FE00C3"/>
    <w:rsid w:val="21032CCD"/>
    <w:rsid w:val="21132D81"/>
    <w:rsid w:val="21182415"/>
    <w:rsid w:val="21193090"/>
    <w:rsid w:val="211A0DC1"/>
    <w:rsid w:val="214271D1"/>
    <w:rsid w:val="217557F8"/>
    <w:rsid w:val="218550EB"/>
    <w:rsid w:val="21A143A5"/>
    <w:rsid w:val="21BE7142"/>
    <w:rsid w:val="21BF42AC"/>
    <w:rsid w:val="21E06200"/>
    <w:rsid w:val="21E309B4"/>
    <w:rsid w:val="220E6EDC"/>
    <w:rsid w:val="221164AE"/>
    <w:rsid w:val="221B4465"/>
    <w:rsid w:val="221C5C05"/>
    <w:rsid w:val="226E6BE7"/>
    <w:rsid w:val="22733A3F"/>
    <w:rsid w:val="22B76541"/>
    <w:rsid w:val="22CA49AE"/>
    <w:rsid w:val="22D10E9C"/>
    <w:rsid w:val="22DB5375"/>
    <w:rsid w:val="22E962FB"/>
    <w:rsid w:val="22F86E8B"/>
    <w:rsid w:val="232272BA"/>
    <w:rsid w:val="233602D5"/>
    <w:rsid w:val="23590F72"/>
    <w:rsid w:val="23627FFE"/>
    <w:rsid w:val="236760F1"/>
    <w:rsid w:val="23853004"/>
    <w:rsid w:val="238D5AD2"/>
    <w:rsid w:val="239525C7"/>
    <w:rsid w:val="239911F4"/>
    <w:rsid w:val="23C53B9B"/>
    <w:rsid w:val="23CE5813"/>
    <w:rsid w:val="243D2793"/>
    <w:rsid w:val="243D776E"/>
    <w:rsid w:val="246F478D"/>
    <w:rsid w:val="24853EEC"/>
    <w:rsid w:val="24896C94"/>
    <w:rsid w:val="24916F0A"/>
    <w:rsid w:val="24D066F4"/>
    <w:rsid w:val="24D25416"/>
    <w:rsid w:val="24E0567E"/>
    <w:rsid w:val="24F44E2B"/>
    <w:rsid w:val="25082129"/>
    <w:rsid w:val="250C4666"/>
    <w:rsid w:val="25260E84"/>
    <w:rsid w:val="254E25E8"/>
    <w:rsid w:val="255807BE"/>
    <w:rsid w:val="259665F1"/>
    <w:rsid w:val="25A17491"/>
    <w:rsid w:val="25B61C38"/>
    <w:rsid w:val="25C83D3C"/>
    <w:rsid w:val="25E10627"/>
    <w:rsid w:val="25E96146"/>
    <w:rsid w:val="25F064C2"/>
    <w:rsid w:val="25F36382"/>
    <w:rsid w:val="263A51B2"/>
    <w:rsid w:val="263A6436"/>
    <w:rsid w:val="2669197A"/>
    <w:rsid w:val="266E2ADC"/>
    <w:rsid w:val="26796334"/>
    <w:rsid w:val="26860C87"/>
    <w:rsid w:val="26A727C1"/>
    <w:rsid w:val="26BE3C2F"/>
    <w:rsid w:val="26EF4803"/>
    <w:rsid w:val="2705209A"/>
    <w:rsid w:val="271251B0"/>
    <w:rsid w:val="27387ECE"/>
    <w:rsid w:val="273B4CED"/>
    <w:rsid w:val="274742E6"/>
    <w:rsid w:val="274C20C9"/>
    <w:rsid w:val="27506C7C"/>
    <w:rsid w:val="2772576F"/>
    <w:rsid w:val="27743E5C"/>
    <w:rsid w:val="27800101"/>
    <w:rsid w:val="27A24E6D"/>
    <w:rsid w:val="27DC212D"/>
    <w:rsid w:val="280E2734"/>
    <w:rsid w:val="281318C7"/>
    <w:rsid w:val="28197B2B"/>
    <w:rsid w:val="282D0BDB"/>
    <w:rsid w:val="28302DCC"/>
    <w:rsid w:val="283335EB"/>
    <w:rsid w:val="284809BF"/>
    <w:rsid w:val="284A6641"/>
    <w:rsid w:val="28737367"/>
    <w:rsid w:val="287677CE"/>
    <w:rsid w:val="28885860"/>
    <w:rsid w:val="289B1615"/>
    <w:rsid w:val="289D7ECA"/>
    <w:rsid w:val="28CA0A01"/>
    <w:rsid w:val="28FE34F5"/>
    <w:rsid w:val="29033CC3"/>
    <w:rsid w:val="291424E7"/>
    <w:rsid w:val="292C2022"/>
    <w:rsid w:val="29365B62"/>
    <w:rsid w:val="295126A7"/>
    <w:rsid w:val="2960486A"/>
    <w:rsid w:val="29713E75"/>
    <w:rsid w:val="29775548"/>
    <w:rsid w:val="297C1F47"/>
    <w:rsid w:val="29A34676"/>
    <w:rsid w:val="29D23EC9"/>
    <w:rsid w:val="29D97F89"/>
    <w:rsid w:val="29F11AD6"/>
    <w:rsid w:val="29F20C12"/>
    <w:rsid w:val="2A2A0EF2"/>
    <w:rsid w:val="2A3E2A03"/>
    <w:rsid w:val="2A4C68E4"/>
    <w:rsid w:val="2A6F437C"/>
    <w:rsid w:val="2A780D99"/>
    <w:rsid w:val="2A8F792B"/>
    <w:rsid w:val="2AAE617F"/>
    <w:rsid w:val="2AAE7227"/>
    <w:rsid w:val="2AC31382"/>
    <w:rsid w:val="2ACA05DD"/>
    <w:rsid w:val="2AE06EEB"/>
    <w:rsid w:val="2B2141F3"/>
    <w:rsid w:val="2B400E24"/>
    <w:rsid w:val="2B4017F0"/>
    <w:rsid w:val="2B481888"/>
    <w:rsid w:val="2B626DED"/>
    <w:rsid w:val="2B630ECA"/>
    <w:rsid w:val="2B724D2B"/>
    <w:rsid w:val="2B852F00"/>
    <w:rsid w:val="2B8A7322"/>
    <w:rsid w:val="2B984C5D"/>
    <w:rsid w:val="2BB60EE7"/>
    <w:rsid w:val="2BD54325"/>
    <w:rsid w:val="2BDA0AF8"/>
    <w:rsid w:val="2BE64AC4"/>
    <w:rsid w:val="2BF87197"/>
    <w:rsid w:val="2C224286"/>
    <w:rsid w:val="2C2B5641"/>
    <w:rsid w:val="2C3F0EDD"/>
    <w:rsid w:val="2C4709BC"/>
    <w:rsid w:val="2C5527AA"/>
    <w:rsid w:val="2C5A2C1A"/>
    <w:rsid w:val="2C6E43EB"/>
    <w:rsid w:val="2C80491C"/>
    <w:rsid w:val="2C8C76B9"/>
    <w:rsid w:val="2C945351"/>
    <w:rsid w:val="2CB94B05"/>
    <w:rsid w:val="2CBA3B02"/>
    <w:rsid w:val="2CBE7830"/>
    <w:rsid w:val="2CD04642"/>
    <w:rsid w:val="2CD5041E"/>
    <w:rsid w:val="2CFF54C5"/>
    <w:rsid w:val="2D014E9C"/>
    <w:rsid w:val="2D1D4950"/>
    <w:rsid w:val="2D29208E"/>
    <w:rsid w:val="2D34174C"/>
    <w:rsid w:val="2D6D4BBA"/>
    <w:rsid w:val="2D6E50EF"/>
    <w:rsid w:val="2D776A51"/>
    <w:rsid w:val="2D850563"/>
    <w:rsid w:val="2D880C80"/>
    <w:rsid w:val="2D8E1AAC"/>
    <w:rsid w:val="2DBA5967"/>
    <w:rsid w:val="2DC61491"/>
    <w:rsid w:val="2DD507B4"/>
    <w:rsid w:val="2DFD62FC"/>
    <w:rsid w:val="2E063586"/>
    <w:rsid w:val="2E084305"/>
    <w:rsid w:val="2E1005B5"/>
    <w:rsid w:val="2E2340FD"/>
    <w:rsid w:val="2E564549"/>
    <w:rsid w:val="2E5D1AEE"/>
    <w:rsid w:val="2E8E2278"/>
    <w:rsid w:val="2E950F53"/>
    <w:rsid w:val="2E990DFE"/>
    <w:rsid w:val="2E9F1D84"/>
    <w:rsid w:val="2EBA3CF2"/>
    <w:rsid w:val="2ED765CF"/>
    <w:rsid w:val="2EDD678B"/>
    <w:rsid w:val="2EF8761A"/>
    <w:rsid w:val="2F044E47"/>
    <w:rsid w:val="2F0841D8"/>
    <w:rsid w:val="2F1839D2"/>
    <w:rsid w:val="2F1B6A9B"/>
    <w:rsid w:val="2F256FAB"/>
    <w:rsid w:val="2F266AD4"/>
    <w:rsid w:val="2F2C51E2"/>
    <w:rsid w:val="2F4158D4"/>
    <w:rsid w:val="2F54140C"/>
    <w:rsid w:val="2F6E3597"/>
    <w:rsid w:val="2F7663A1"/>
    <w:rsid w:val="2F9A45C0"/>
    <w:rsid w:val="2F9E0CD7"/>
    <w:rsid w:val="2F9E7071"/>
    <w:rsid w:val="2FBF303C"/>
    <w:rsid w:val="2FC95464"/>
    <w:rsid w:val="2FCE437D"/>
    <w:rsid w:val="2FE50217"/>
    <w:rsid w:val="300613AC"/>
    <w:rsid w:val="303A71EB"/>
    <w:rsid w:val="30583D15"/>
    <w:rsid w:val="30880286"/>
    <w:rsid w:val="308C03BE"/>
    <w:rsid w:val="308F0208"/>
    <w:rsid w:val="30AB4D93"/>
    <w:rsid w:val="30AD536E"/>
    <w:rsid w:val="30B1516E"/>
    <w:rsid w:val="30B32AE0"/>
    <w:rsid w:val="30C5467A"/>
    <w:rsid w:val="30E967E9"/>
    <w:rsid w:val="30EB71B9"/>
    <w:rsid w:val="30F20AA2"/>
    <w:rsid w:val="30F62493"/>
    <w:rsid w:val="30FA6E42"/>
    <w:rsid w:val="310D73B8"/>
    <w:rsid w:val="312665EC"/>
    <w:rsid w:val="31327262"/>
    <w:rsid w:val="315B0F51"/>
    <w:rsid w:val="318134E4"/>
    <w:rsid w:val="318F2497"/>
    <w:rsid w:val="31A84774"/>
    <w:rsid w:val="31AB2B70"/>
    <w:rsid w:val="31DA1C13"/>
    <w:rsid w:val="31DB5D80"/>
    <w:rsid w:val="31FC421B"/>
    <w:rsid w:val="32057083"/>
    <w:rsid w:val="3213080E"/>
    <w:rsid w:val="32152054"/>
    <w:rsid w:val="322149AD"/>
    <w:rsid w:val="323D0073"/>
    <w:rsid w:val="32447804"/>
    <w:rsid w:val="32955D6D"/>
    <w:rsid w:val="32D03654"/>
    <w:rsid w:val="32E734BD"/>
    <w:rsid w:val="330B5DCD"/>
    <w:rsid w:val="331C169D"/>
    <w:rsid w:val="33305798"/>
    <w:rsid w:val="33437504"/>
    <w:rsid w:val="334650F7"/>
    <w:rsid w:val="334749B2"/>
    <w:rsid w:val="33476239"/>
    <w:rsid w:val="335D7207"/>
    <w:rsid w:val="33715EA2"/>
    <w:rsid w:val="33763113"/>
    <w:rsid w:val="338D3D76"/>
    <w:rsid w:val="33A35954"/>
    <w:rsid w:val="33A44179"/>
    <w:rsid w:val="33A617E5"/>
    <w:rsid w:val="33C2044F"/>
    <w:rsid w:val="33C353A8"/>
    <w:rsid w:val="33D703E6"/>
    <w:rsid w:val="33E678F5"/>
    <w:rsid w:val="33EC5E3B"/>
    <w:rsid w:val="33FB0BD5"/>
    <w:rsid w:val="34075D3B"/>
    <w:rsid w:val="34095066"/>
    <w:rsid w:val="340F0FE7"/>
    <w:rsid w:val="34187349"/>
    <w:rsid w:val="34390907"/>
    <w:rsid w:val="343D5452"/>
    <w:rsid w:val="34466788"/>
    <w:rsid w:val="34536010"/>
    <w:rsid w:val="345548CD"/>
    <w:rsid w:val="3455528E"/>
    <w:rsid w:val="34596114"/>
    <w:rsid w:val="34654DCE"/>
    <w:rsid w:val="346C0B2D"/>
    <w:rsid w:val="347F4F9A"/>
    <w:rsid w:val="34977081"/>
    <w:rsid w:val="34991D52"/>
    <w:rsid w:val="349F46B2"/>
    <w:rsid w:val="34AA6BE2"/>
    <w:rsid w:val="34B46C04"/>
    <w:rsid w:val="34B54432"/>
    <w:rsid w:val="34C277D6"/>
    <w:rsid w:val="34D04C8D"/>
    <w:rsid w:val="34D52B35"/>
    <w:rsid w:val="34DE18CD"/>
    <w:rsid w:val="34EB6CAD"/>
    <w:rsid w:val="34F05230"/>
    <w:rsid w:val="3503664C"/>
    <w:rsid w:val="351A4295"/>
    <w:rsid w:val="351D77C7"/>
    <w:rsid w:val="35201994"/>
    <w:rsid w:val="353070C0"/>
    <w:rsid w:val="356C2617"/>
    <w:rsid w:val="356D3247"/>
    <w:rsid w:val="357933DF"/>
    <w:rsid w:val="35795180"/>
    <w:rsid w:val="357D0A77"/>
    <w:rsid w:val="35865E55"/>
    <w:rsid w:val="35B5453E"/>
    <w:rsid w:val="35C80195"/>
    <w:rsid w:val="35DA3DBB"/>
    <w:rsid w:val="35DE33A5"/>
    <w:rsid w:val="35F71F38"/>
    <w:rsid w:val="35FC49DF"/>
    <w:rsid w:val="36015455"/>
    <w:rsid w:val="36185799"/>
    <w:rsid w:val="362056B3"/>
    <w:rsid w:val="36251081"/>
    <w:rsid w:val="363941FA"/>
    <w:rsid w:val="364056B9"/>
    <w:rsid w:val="365B4EC1"/>
    <w:rsid w:val="36632183"/>
    <w:rsid w:val="366D18D2"/>
    <w:rsid w:val="36713AEF"/>
    <w:rsid w:val="36953492"/>
    <w:rsid w:val="36AD3888"/>
    <w:rsid w:val="36B534BA"/>
    <w:rsid w:val="36BD6921"/>
    <w:rsid w:val="36FA43BB"/>
    <w:rsid w:val="374B3DF8"/>
    <w:rsid w:val="374C02A4"/>
    <w:rsid w:val="3773335A"/>
    <w:rsid w:val="37734130"/>
    <w:rsid w:val="37B0304C"/>
    <w:rsid w:val="37CB6C6D"/>
    <w:rsid w:val="37D05F77"/>
    <w:rsid w:val="37D567DB"/>
    <w:rsid w:val="37E042AB"/>
    <w:rsid w:val="37E72864"/>
    <w:rsid w:val="37ED056A"/>
    <w:rsid w:val="37F272A2"/>
    <w:rsid w:val="380509B1"/>
    <w:rsid w:val="380E14F1"/>
    <w:rsid w:val="380F27AE"/>
    <w:rsid w:val="384318BF"/>
    <w:rsid w:val="38437432"/>
    <w:rsid w:val="384A0F47"/>
    <w:rsid w:val="384E17E2"/>
    <w:rsid w:val="38514471"/>
    <w:rsid w:val="385B0E4C"/>
    <w:rsid w:val="38B37CD8"/>
    <w:rsid w:val="38B44A00"/>
    <w:rsid w:val="38C0591E"/>
    <w:rsid w:val="38C759D7"/>
    <w:rsid w:val="38DA30FA"/>
    <w:rsid w:val="38EA5738"/>
    <w:rsid w:val="391046F8"/>
    <w:rsid w:val="391262F7"/>
    <w:rsid w:val="391C0ED0"/>
    <w:rsid w:val="392C259C"/>
    <w:rsid w:val="396E4BAF"/>
    <w:rsid w:val="398975A1"/>
    <w:rsid w:val="39934616"/>
    <w:rsid w:val="39C921EB"/>
    <w:rsid w:val="39DC0253"/>
    <w:rsid w:val="39F3505C"/>
    <w:rsid w:val="3A0963F5"/>
    <w:rsid w:val="3A171747"/>
    <w:rsid w:val="3A3C0A84"/>
    <w:rsid w:val="3A471DF7"/>
    <w:rsid w:val="3ADA33E5"/>
    <w:rsid w:val="3ADF24CE"/>
    <w:rsid w:val="3AE02C12"/>
    <w:rsid w:val="3B072F57"/>
    <w:rsid w:val="3B0956A0"/>
    <w:rsid w:val="3B0B3AC0"/>
    <w:rsid w:val="3B0C28D2"/>
    <w:rsid w:val="3B1F14F0"/>
    <w:rsid w:val="3B3174AA"/>
    <w:rsid w:val="3B4173D7"/>
    <w:rsid w:val="3B600080"/>
    <w:rsid w:val="3B8373F1"/>
    <w:rsid w:val="3B850752"/>
    <w:rsid w:val="3B8A1F54"/>
    <w:rsid w:val="3B8B5530"/>
    <w:rsid w:val="3BA56ABF"/>
    <w:rsid w:val="3BC00E47"/>
    <w:rsid w:val="3BC91EF4"/>
    <w:rsid w:val="3BCA7DFE"/>
    <w:rsid w:val="3BD01AEF"/>
    <w:rsid w:val="3BDF6B15"/>
    <w:rsid w:val="3BF839C6"/>
    <w:rsid w:val="3C0B75F0"/>
    <w:rsid w:val="3C122955"/>
    <w:rsid w:val="3C24701C"/>
    <w:rsid w:val="3C2A3192"/>
    <w:rsid w:val="3C3D3300"/>
    <w:rsid w:val="3C5E0018"/>
    <w:rsid w:val="3CB04BF1"/>
    <w:rsid w:val="3CCA2756"/>
    <w:rsid w:val="3CCF2932"/>
    <w:rsid w:val="3CE141F4"/>
    <w:rsid w:val="3CF87E23"/>
    <w:rsid w:val="3CFF6ADE"/>
    <w:rsid w:val="3D2347A7"/>
    <w:rsid w:val="3D26058E"/>
    <w:rsid w:val="3D2E2FD3"/>
    <w:rsid w:val="3D3111B1"/>
    <w:rsid w:val="3D330973"/>
    <w:rsid w:val="3D483969"/>
    <w:rsid w:val="3D7D5652"/>
    <w:rsid w:val="3DA44C7C"/>
    <w:rsid w:val="3DB77E75"/>
    <w:rsid w:val="3DBB57DA"/>
    <w:rsid w:val="3DD22267"/>
    <w:rsid w:val="3DDA69D2"/>
    <w:rsid w:val="3DEE214B"/>
    <w:rsid w:val="3E235CFC"/>
    <w:rsid w:val="3E263CA9"/>
    <w:rsid w:val="3E2C6003"/>
    <w:rsid w:val="3E402FFD"/>
    <w:rsid w:val="3E5757DB"/>
    <w:rsid w:val="3E5909C3"/>
    <w:rsid w:val="3E834ACA"/>
    <w:rsid w:val="3E911C55"/>
    <w:rsid w:val="3E9277BD"/>
    <w:rsid w:val="3E9F05BC"/>
    <w:rsid w:val="3EA2621B"/>
    <w:rsid w:val="3EBE7DCE"/>
    <w:rsid w:val="3ED214CB"/>
    <w:rsid w:val="3EDA0B38"/>
    <w:rsid w:val="3EDD407B"/>
    <w:rsid w:val="3F05583C"/>
    <w:rsid w:val="3F4B129A"/>
    <w:rsid w:val="3F680747"/>
    <w:rsid w:val="3F684592"/>
    <w:rsid w:val="3F6D4923"/>
    <w:rsid w:val="3FA74C21"/>
    <w:rsid w:val="3FBD063E"/>
    <w:rsid w:val="3FF621E0"/>
    <w:rsid w:val="3FF676AC"/>
    <w:rsid w:val="3FFF4096"/>
    <w:rsid w:val="4000143B"/>
    <w:rsid w:val="40060F48"/>
    <w:rsid w:val="400D7789"/>
    <w:rsid w:val="401573D6"/>
    <w:rsid w:val="4046701D"/>
    <w:rsid w:val="405F16F6"/>
    <w:rsid w:val="407B00AC"/>
    <w:rsid w:val="408A152D"/>
    <w:rsid w:val="40B91C63"/>
    <w:rsid w:val="40C559FD"/>
    <w:rsid w:val="40F32F04"/>
    <w:rsid w:val="411010F1"/>
    <w:rsid w:val="41160006"/>
    <w:rsid w:val="411A7EE5"/>
    <w:rsid w:val="41273581"/>
    <w:rsid w:val="41297BBD"/>
    <w:rsid w:val="414903F5"/>
    <w:rsid w:val="415745C1"/>
    <w:rsid w:val="415E3BC8"/>
    <w:rsid w:val="416A3877"/>
    <w:rsid w:val="416B6D48"/>
    <w:rsid w:val="41880A61"/>
    <w:rsid w:val="4190732F"/>
    <w:rsid w:val="41AF3FB7"/>
    <w:rsid w:val="41C104C0"/>
    <w:rsid w:val="41CC419D"/>
    <w:rsid w:val="41CF1BD3"/>
    <w:rsid w:val="41D31B76"/>
    <w:rsid w:val="41DE545E"/>
    <w:rsid w:val="41E45423"/>
    <w:rsid w:val="41E719A3"/>
    <w:rsid w:val="41EE137B"/>
    <w:rsid w:val="4201422E"/>
    <w:rsid w:val="420818BB"/>
    <w:rsid w:val="420E2E52"/>
    <w:rsid w:val="422163F3"/>
    <w:rsid w:val="42435874"/>
    <w:rsid w:val="42576B28"/>
    <w:rsid w:val="42625E67"/>
    <w:rsid w:val="42654E02"/>
    <w:rsid w:val="42795842"/>
    <w:rsid w:val="427E7A16"/>
    <w:rsid w:val="428C304A"/>
    <w:rsid w:val="428D2F47"/>
    <w:rsid w:val="42A27568"/>
    <w:rsid w:val="42B5439E"/>
    <w:rsid w:val="42BA421D"/>
    <w:rsid w:val="42BC3D43"/>
    <w:rsid w:val="42C3602D"/>
    <w:rsid w:val="42C71EFC"/>
    <w:rsid w:val="42CF486D"/>
    <w:rsid w:val="42F5672C"/>
    <w:rsid w:val="43110BDE"/>
    <w:rsid w:val="4360551D"/>
    <w:rsid w:val="43612E14"/>
    <w:rsid w:val="4370475F"/>
    <w:rsid w:val="437F15DF"/>
    <w:rsid w:val="438165BF"/>
    <w:rsid w:val="43942D33"/>
    <w:rsid w:val="43C1301D"/>
    <w:rsid w:val="43C836B3"/>
    <w:rsid w:val="43CD2D94"/>
    <w:rsid w:val="43D426ED"/>
    <w:rsid w:val="43F52B36"/>
    <w:rsid w:val="43F57DB1"/>
    <w:rsid w:val="43FE5290"/>
    <w:rsid w:val="44057DA2"/>
    <w:rsid w:val="4417407E"/>
    <w:rsid w:val="44222F93"/>
    <w:rsid w:val="442339D8"/>
    <w:rsid w:val="443577F9"/>
    <w:rsid w:val="443A0B5B"/>
    <w:rsid w:val="44424474"/>
    <w:rsid w:val="446612A5"/>
    <w:rsid w:val="44664712"/>
    <w:rsid w:val="44914732"/>
    <w:rsid w:val="44A15DD5"/>
    <w:rsid w:val="44B809E3"/>
    <w:rsid w:val="44BB0DF1"/>
    <w:rsid w:val="44BD2657"/>
    <w:rsid w:val="44BD4161"/>
    <w:rsid w:val="44DD65CB"/>
    <w:rsid w:val="44FA5EB5"/>
    <w:rsid w:val="4508437C"/>
    <w:rsid w:val="451040D7"/>
    <w:rsid w:val="45130EE2"/>
    <w:rsid w:val="45424B74"/>
    <w:rsid w:val="454347B2"/>
    <w:rsid w:val="4546631C"/>
    <w:rsid w:val="45511E73"/>
    <w:rsid w:val="45675A2E"/>
    <w:rsid w:val="458614D2"/>
    <w:rsid w:val="459736A0"/>
    <w:rsid w:val="45AB487F"/>
    <w:rsid w:val="45BE336B"/>
    <w:rsid w:val="45DB06B1"/>
    <w:rsid w:val="45DD349D"/>
    <w:rsid w:val="45E5016B"/>
    <w:rsid w:val="460551AF"/>
    <w:rsid w:val="46213426"/>
    <w:rsid w:val="46426EB5"/>
    <w:rsid w:val="464934AB"/>
    <w:rsid w:val="464A0752"/>
    <w:rsid w:val="464C2B20"/>
    <w:rsid w:val="46672C05"/>
    <w:rsid w:val="466B30DF"/>
    <w:rsid w:val="46965169"/>
    <w:rsid w:val="469F260E"/>
    <w:rsid w:val="46A55033"/>
    <w:rsid w:val="46AE79AC"/>
    <w:rsid w:val="46D30316"/>
    <w:rsid w:val="46D52EB1"/>
    <w:rsid w:val="46DE5A70"/>
    <w:rsid w:val="46E7421B"/>
    <w:rsid w:val="46EA4016"/>
    <w:rsid w:val="46EC63A6"/>
    <w:rsid w:val="471841B2"/>
    <w:rsid w:val="47444186"/>
    <w:rsid w:val="474448C2"/>
    <w:rsid w:val="474E3196"/>
    <w:rsid w:val="47555600"/>
    <w:rsid w:val="4760647F"/>
    <w:rsid w:val="47752C98"/>
    <w:rsid w:val="478701CB"/>
    <w:rsid w:val="478C48B5"/>
    <w:rsid w:val="478C58BF"/>
    <w:rsid w:val="47AF006B"/>
    <w:rsid w:val="47EA32EC"/>
    <w:rsid w:val="47F1026D"/>
    <w:rsid w:val="47F24743"/>
    <w:rsid w:val="480B2BB3"/>
    <w:rsid w:val="480F0117"/>
    <w:rsid w:val="4821399F"/>
    <w:rsid w:val="48230099"/>
    <w:rsid w:val="482678CE"/>
    <w:rsid w:val="48725E56"/>
    <w:rsid w:val="48800083"/>
    <w:rsid w:val="488A0945"/>
    <w:rsid w:val="488C6E00"/>
    <w:rsid w:val="48970ECC"/>
    <w:rsid w:val="48D500FF"/>
    <w:rsid w:val="48DA19FF"/>
    <w:rsid w:val="48EA4D3A"/>
    <w:rsid w:val="494016E5"/>
    <w:rsid w:val="495D3FEB"/>
    <w:rsid w:val="4968138F"/>
    <w:rsid w:val="49917605"/>
    <w:rsid w:val="499E5488"/>
    <w:rsid w:val="49B114A2"/>
    <w:rsid w:val="49B81D04"/>
    <w:rsid w:val="49BB1116"/>
    <w:rsid w:val="49D22FA3"/>
    <w:rsid w:val="49D36A23"/>
    <w:rsid w:val="49D7054F"/>
    <w:rsid w:val="49DA6B77"/>
    <w:rsid w:val="49E72AF4"/>
    <w:rsid w:val="49EF513B"/>
    <w:rsid w:val="49FA694B"/>
    <w:rsid w:val="4A0008D3"/>
    <w:rsid w:val="4A0F001D"/>
    <w:rsid w:val="4A3A10D8"/>
    <w:rsid w:val="4A6A6375"/>
    <w:rsid w:val="4A7A44B4"/>
    <w:rsid w:val="4A894D04"/>
    <w:rsid w:val="4A9772B7"/>
    <w:rsid w:val="4AAD51C5"/>
    <w:rsid w:val="4AE14F08"/>
    <w:rsid w:val="4AE26D2B"/>
    <w:rsid w:val="4B1F3F5B"/>
    <w:rsid w:val="4B2477C4"/>
    <w:rsid w:val="4B505009"/>
    <w:rsid w:val="4B667DDC"/>
    <w:rsid w:val="4B7B2785"/>
    <w:rsid w:val="4B7C5F6F"/>
    <w:rsid w:val="4B895DE5"/>
    <w:rsid w:val="4BC54FC5"/>
    <w:rsid w:val="4BCF4C4D"/>
    <w:rsid w:val="4BEC2CB5"/>
    <w:rsid w:val="4BEE649C"/>
    <w:rsid w:val="4BF33FCC"/>
    <w:rsid w:val="4C0447BE"/>
    <w:rsid w:val="4C1F71E9"/>
    <w:rsid w:val="4C287BEE"/>
    <w:rsid w:val="4C316C39"/>
    <w:rsid w:val="4C34645F"/>
    <w:rsid w:val="4C3B3017"/>
    <w:rsid w:val="4C4B43D8"/>
    <w:rsid w:val="4C62508C"/>
    <w:rsid w:val="4C6342BA"/>
    <w:rsid w:val="4C7402D7"/>
    <w:rsid w:val="4C8F2256"/>
    <w:rsid w:val="4C946A98"/>
    <w:rsid w:val="4CB15046"/>
    <w:rsid w:val="4CB2210F"/>
    <w:rsid w:val="4CBC654B"/>
    <w:rsid w:val="4CC01013"/>
    <w:rsid w:val="4CD001D9"/>
    <w:rsid w:val="4CDD0A1D"/>
    <w:rsid w:val="4CE356B2"/>
    <w:rsid w:val="4CEF1313"/>
    <w:rsid w:val="4D2704DF"/>
    <w:rsid w:val="4D3B1A90"/>
    <w:rsid w:val="4D3F2782"/>
    <w:rsid w:val="4D715556"/>
    <w:rsid w:val="4D777D3D"/>
    <w:rsid w:val="4D782049"/>
    <w:rsid w:val="4D9825AC"/>
    <w:rsid w:val="4D9A3C16"/>
    <w:rsid w:val="4DA949B4"/>
    <w:rsid w:val="4DB43081"/>
    <w:rsid w:val="4DC127A3"/>
    <w:rsid w:val="4DD640E5"/>
    <w:rsid w:val="4DE67BB4"/>
    <w:rsid w:val="4E0935FF"/>
    <w:rsid w:val="4E1F040F"/>
    <w:rsid w:val="4E28777B"/>
    <w:rsid w:val="4E38388D"/>
    <w:rsid w:val="4E3E4289"/>
    <w:rsid w:val="4E611590"/>
    <w:rsid w:val="4E67116D"/>
    <w:rsid w:val="4E775E3E"/>
    <w:rsid w:val="4E82692B"/>
    <w:rsid w:val="4E920DFE"/>
    <w:rsid w:val="4EB54D22"/>
    <w:rsid w:val="4EC931BF"/>
    <w:rsid w:val="4F0B34CB"/>
    <w:rsid w:val="4F2558B8"/>
    <w:rsid w:val="4F4C46BC"/>
    <w:rsid w:val="4F687D93"/>
    <w:rsid w:val="4F8F4771"/>
    <w:rsid w:val="4FB21777"/>
    <w:rsid w:val="4FC22339"/>
    <w:rsid w:val="4FD9009F"/>
    <w:rsid w:val="4FD941A3"/>
    <w:rsid w:val="4FE23887"/>
    <w:rsid w:val="4FF85861"/>
    <w:rsid w:val="50001EC9"/>
    <w:rsid w:val="502E0371"/>
    <w:rsid w:val="503234FC"/>
    <w:rsid w:val="507D00A6"/>
    <w:rsid w:val="507D1AEF"/>
    <w:rsid w:val="507E3927"/>
    <w:rsid w:val="50886689"/>
    <w:rsid w:val="508B2998"/>
    <w:rsid w:val="509E7C1B"/>
    <w:rsid w:val="50A90886"/>
    <w:rsid w:val="50B51BC8"/>
    <w:rsid w:val="50BB21A6"/>
    <w:rsid w:val="50BB45D6"/>
    <w:rsid w:val="50C60F8D"/>
    <w:rsid w:val="50C75275"/>
    <w:rsid w:val="50EE7E66"/>
    <w:rsid w:val="51005EF2"/>
    <w:rsid w:val="51021B9A"/>
    <w:rsid w:val="51172EEC"/>
    <w:rsid w:val="511B7645"/>
    <w:rsid w:val="51330760"/>
    <w:rsid w:val="51357380"/>
    <w:rsid w:val="51384054"/>
    <w:rsid w:val="51480CBE"/>
    <w:rsid w:val="514B0751"/>
    <w:rsid w:val="514B2F77"/>
    <w:rsid w:val="514E36B9"/>
    <w:rsid w:val="51503A8C"/>
    <w:rsid w:val="51825D09"/>
    <w:rsid w:val="518A3814"/>
    <w:rsid w:val="51B01DB1"/>
    <w:rsid w:val="51DD247A"/>
    <w:rsid w:val="51E813D2"/>
    <w:rsid w:val="52247655"/>
    <w:rsid w:val="522478C8"/>
    <w:rsid w:val="523D7D8D"/>
    <w:rsid w:val="52AB2159"/>
    <w:rsid w:val="52B11E33"/>
    <w:rsid w:val="52B355FD"/>
    <w:rsid w:val="52C35B40"/>
    <w:rsid w:val="52C424A4"/>
    <w:rsid w:val="532C20E8"/>
    <w:rsid w:val="53370692"/>
    <w:rsid w:val="533A1B2F"/>
    <w:rsid w:val="533E33EC"/>
    <w:rsid w:val="53583F3D"/>
    <w:rsid w:val="536D2A53"/>
    <w:rsid w:val="5372612D"/>
    <w:rsid w:val="538B2EB6"/>
    <w:rsid w:val="539128D9"/>
    <w:rsid w:val="53981ED4"/>
    <w:rsid w:val="53A01EBB"/>
    <w:rsid w:val="53A635BA"/>
    <w:rsid w:val="53DB3147"/>
    <w:rsid w:val="53E15DBF"/>
    <w:rsid w:val="5412508B"/>
    <w:rsid w:val="54742D91"/>
    <w:rsid w:val="54977205"/>
    <w:rsid w:val="54B048FF"/>
    <w:rsid w:val="54B373D9"/>
    <w:rsid w:val="54C9646A"/>
    <w:rsid w:val="54DE4227"/>
    <w:rsid w:val="54FD0EEC"/>
    <w:rsid w:val="55102B67"/>
    <w:rsid w:val="55196C2D"/>
    <w:rsid w:val="552117E0"/>
    <w:rsid w:val="552560B8"/>
    <w:rsid w:val="55434588"/>
    <w:rsid w:val="55825812"/>
    <w:rsid w:val="55850EFA"/>
    <w:rsid w:val="55BE541F"/>
    <w:rsid w:val="55D27A3B"/>
    <w:rsid w:val="55F12998"/>
    <w:rsid w:val="561A7286"/>
    <w:rsid w:val="56234506"/>
    <w:rsid w:val="562B0698"/>
    <w:rsid w:val="563D201C"/>
    <w:rsid w:val="564470E9"/>
    <w:rsid w:val="5682217D"/>
    <w:rsid w:val="56861332"/>
    <w:rsid w:val="5687214B"/>
    <w:rsid w:val="568759F5"/>
    <w:rsid w:val="56A1160C"/>
    <w:rsid w:val="56BC148C"/>
    <w:rsid w:val="56E30922"/>
    <w:rsid w:val="56E6231D"/>
    <w:rsid w:val="57064221"/>
    <w:rsid w:val="570A5121"/>
    <w:rsid w:val="570D04C7"/>
    <w:rsid w:val="571B2A98"/>
    <w:rsid w:val="57330335"/>
    <w:rsid w:val="57420005"/>
    <w:rsid w:val="57422D4D"/>
    <w:rsid w:val="5782000B"/>
    <w:rsid w:val="57996A45"/>
    <w:rsid w:val="579A5E8D"/>
    <w:rsid w:val="579B2B48"/>
    <w:rsid w:val="57D12098"/>
    <w:rsid w:val="57DB397E"/>
    <w:rsid w:val="58000C24"/>
    <w:rsid w:val="582232DD"/>
    <w:rsid w:val="583C0D4B"/>
    <w:rsid w:val="58584E2D"/>
    <w:rsid w:val="58675C92"/>
    <w:rsid w:val="58694A68"/>
    <w:rsid w:val="586F4351"/>
    <w:rsid w:val="587873A1"/>
    <w:rsid w:val="588875E4"/>
    <w:rsid w:val="589C57E1"/>
    <w:rsid w:val="58CA339E"/>
    <w:rsid w:val="591075D9"/>
    <w:rsid w:val="59457FBB"/>
    <w:rsid w:val="595A510C"/>
    <w:rsid w:val="597819DA"/>
    <w:rsid w:val="598465A4"/>
    <w:rsid w:val="599929FB"/>
    <w:rsid w:val="599F5D78"/>
    <w:rsid w:val="59AF25EB"/>
    <w:rsid w:val="59BB411E"/>
    <w:rsid w:val="59DF76D7"/>
    <w:rsid w:val="59E06498"/>
    <w:rsid w:val="59E52169"/>
    <w:rsid w:val="59F632A0"/>
    <w:rsid w:val="59F84053"/>
    <w:rsid w:val="59FE2865"/>
    <w:rsid w:val="5A152C77"/>
    <w:rsid w:val="5A1835F1"/>
    <w:rsid w:val="5A1F03DD"/>
    <w:rsid w:val="5A252C10"/>
    <w:rsid w:val="5A2D219F"/>
    <w:rsid w:val="5A365CE1"/>
    <w:rsid w:val="5A3C1C76"/>
    <w:rsid w:val="5A6D6C38"/>
    <w:rsid w:val="5A755946"/>
    <w:rsid w:val="5A7C1EBC"/>
    <w:rsid w:val="5A805657"/>
    <w:rsid w:val="5A8E3E36"/>
    <w:rsid w:val="5A8F0385"/>
    <w:rsid w:val="5A940ED1"/>
    <w:rsid w:val="5AA85219"/>
    <w:rsid w:val="5AAE381F"/>
    <w:rsid w:val="5ACB1A0A"/>
    <w:rsid w:val="5AF704E0"/>
    <w:rsid w:val="5AFF2821"/>
    <w:rsid w:val="5B027645"/>
    <w:rsid w:val="5B1A029B"/>
    <w:rsid w:val="5B303F63"/>
    <w:rsid w:val="5B311514"/>
    <w:rsid w:val="5B4A1675"/>
    <w:rsid w:val="5B871A54"/>
    <w:rsid w:val="5B9D73DD"/>
    <w:rsid w:val="5BDD710E"/>
    <w:rsid w:val="5BEF0C37"/>
    <w:rsid w:val="5C1A67FD"/>
    <w:rsid w:val="5C1E42A2"/>
    <w:rsid w:val="5C3F5461"/>
    <w:rsid w:val="5C4D0803"/>
    <w:rsid w:val="5C711CB0"/>
    <w:rsid w:val="5C744D21"/>
    <w:rsid w:val="5C8F237B"/>
    <w:rsid w:val="5C914A23"/>
    <w:rsid w:val="5C9648D2"/>
    <w:rsid w:val="5C9923AD"/>
    <w:rsid w:val="5C9A1694"/>
    <w:rsid w:val="5C9B5DF3"/>
    <w:rsid w:val="5C9B7FF0"/>
    <w:rsid w:val="5CAA3FD4"/>
    <w:rsid w:val="5CB0535B"/>
    <w:rsid w:val="5CB35371"/>
    <w:rsid w:val="5CBD2370"/>
    <w:rsid w:val="5CC549C6"/>
    <w:rsid w:val="5CE37710"/>
    <w:rsid w:val="5CF8528E"/>
    <w:rsid w:val="5CFC25AE"/>
    <w:rsid w:val="5CFE3733"/>
    <w:rsid w:val="5CFE59AF"/>
    <w:rsid w:val="5D1832D2"/>
    <w:rsid w:val="5D192F00"/>
    <w:rsid w:val="5D1B67DB"/>
    <w:rsid w:val="5D240D15"/>
    <w:rsid w:val="5D2E44D2"/>
    <w:rsid w:val="5D3212F0"/>
    <w:rsid w:val="5D3347E5"/>
    <w:rsid w:val="5D3C194D"/>
    <w:rsid w:val="5D3D58FB"/>
    <w:rsid w:val="5D44593D"/>
    <w:rsid w:val="5D5401AE"/>
    <w:rsid w:val="5D6A49D3"/>
    <w:rsid w:val="5D9C5F07"/>
    <w:rsid w:val="5DA9246C"/>
    <w:rsid w:val="5DB71B0F"/>
    <w:rsid w:val="5DC47979"/>
    <w:rsid w:val="5DD23267"/>
    <w:rsid w:val="5DD45079"/>
    <w:rsid w:val="5DE171D9"/>
    <w:rsid w:val="5DEE2F1F"/>
    <w:rsid w:val="5DF30062"/>
    <w:rsid w:val="5DF61D90"/>
    <w:rsid w:val="5DFC6C0D"/>
    <w:rsid w:val="5E122244"/>
    <w:rsid w:val="5E1824AD"/>
    <w:rsid w:val="5E224037"/>
    <w:rsid w:val="5E290A86"/>
    <w:rsid w:val="5E29256E"/>
    <w:rsid w:val="5E2B451C"/>
    <w:rsid w:val="5E2C3A69"/>
    <w:rsid w:val="5E3D49CC"/>
    <w:rsid w:val="5E407C0D"/>
    <w:rsid w:val="5E5B0003"/>
    <w:rsid w:val="5E7F0DF9"/>
    <w:rsid w:val="5E89321A"/>
    <w:rsid w:val="5E8C14B0"/>
    <w:rsid w:val="5EA43A47"/>
    <w:rsid w:val="5EA85AD7"/>
    <w:rsid w:val="5EAF568B"/>
    <w:rsid w:val="5EB23B33"/>
    <w:rsid w:val="5EB36CDC"/>
    <w:rsid w:val="5ED61E08"/>
    <w:rsid w:val="5EE02503"/>
    <w:rsid w:val="5EEC7396"/>
    <w:rsid w:val="5EEC7770"/>
    <w:rsid w:val="5F047736"/>
    <w:rsid w:val="5F096FA4"/>
    <w:rsid w:val="5F252540"/>
    <w:rsid w:val="5F3C5F70"/>
    <w:rsid w:val="5F3E1872"/>
    <w:rsid w:val="5F410C91"/>
    <w:rsid w:val="5F42785A"/>
    <w:rsid w:val="5F452B09"/>
    <w:rsid w:val="5F6E5E0E"/>
    <w:rsid w:val="5F887F5B"/>
    <w:rsid w:val="5F930063"/>
    <w:rsid w:val="5FAC287E"/>
    <w:rsid w:val="5FAF46D8"/>
    <w:rsid w:val="5FD67465"/>
    <w:rsid w:val="5FDA44A0"/>
    <w:rsid w:val="5FE4707F"/>
    <w:rsid w:val="5FEB6EA1"/>
    <w:rsid w:val="5FEE0F22"/>
    <w:rsid w:val="5FF971D1"/>
    <w:rsid w:val="60392132"/>
    <w:rsid w:val="603B2ECE"/>
    <w:rsid w:val="6043624F"/>
    <w:rsid w:val="604400CB"/>
    <w:rsid w:val="604F3A60"/>
    <w:rsid w:val="60556545"/>
    <w:rsid w:val="6068525F"/>
    <w:rsid w:val="607A5C98"/>
    <w:rsid w:val="607C371F"/>
    <w:rsid w:val="60A622C8"/>
    <w:rsid w:val="60C337E0"/>
    <w:rsid w:val="60C821D7"/>
    <w:rsid w:val="60D54664"/>
    <w:rsid w:val="60EB2879"/>
    <w:rsid w:val="61077203"/>
    <w:rsid w:val="6113564D"/>
    <w:rsid w:val="61145412"/>
    <w:rsid w:val="61271964"/>
    <w:rsid w:val="612F35D6"/>
    <w:rsid w:val="613D0C80"/>
    <w:rsid w:val="61971E41"/>
    <w:rsid w:val="61A75EEF"/>
    <w:rsid w:val="61B76844"/>
    <w:rsid w:val="61CD3AD3"/>
    <w:rsid w:val="61D93180"/>
    <w:rsid w:val="61E00186"/>
    <w:rsid w:val="61E4110F"/>
    <w:rsid w:val="6218523F"/>
    <w:rsid w:val="6222423F"/>
    <w:rsid w:val="622E47D5"/>
    <w:rsid w:val="62440F44"/>
    <w:rsid w:val="62671140"/>
    <w:rsid w:val="628D4B84"/>
    <w:rsid w:val="62E52571"/>
    <w:rsid w:val="62FB008A"/>
    <w:rsid w:val="630C085F"/>
    <w:rsid w:val="63297781"/>
    <w:rsid w:val="632B74E9"/>
    <w:rsid w:val="63460815"/>
    <w:rsid w:val="6346632E"/>
    <w:rsid w:val="634C7794"/>
    <w:rsid w:val="635D78D0"/>
    <w:rsid w:val="63710EF6"/>
    <w:rsid w:val="637B17DB"/>
    <w:rsid w:val="63837E6B"/>
    <w:rsid w:val="63BD500F"/>
    <w:rsid w:val="63C56EA9"/>
    <w:rsid w:val="63DC585A"/>
    <w:rsid w:val="640359B6"/>
    <w:rsid w:val="644B38B4"/>
    <w:rsid w:val="646031C3"/>
    <w:rsid w:val="646B4888"/>
    <w:rsid w:val="649B244D"/>
    <w:rsid w:val="649E1F3D"/>
    <w:rsid w:val="64A70BD0"/>
    <w:rsid w:val="64BC210A"/>
    <w:rsid w:val="653D0449"/>
    <w:rsid w:val="653E062B"/>
    <w:rsid w:val="654F46B1"/>
    <w:rsid w:val="65556AA0"/>
    <w:rsid w:val="6557777D"/>
    <w:rsid w:val="65596BA6"/>
    <w:rsid w:val="657D39D2"/>
    <w:rsid w:val="65806EFD"/>
    <w:rsid w:val="65B37778"/>
    <w:rsid w:val="65B650A2"/>
    <w:rsid w:val="65B754EE"/>
    <w:rsid w:val="65B928FB"/>
    <w:rsid w:val="65BC1245"/>
    <w:rsid w:val="65C869A8"/>
    <w:rsid w:val="65E06D86"/>
    <w:rsid w:val="65E35BEE"/>
    <w:rsid w:val="65F0676D"/>
    <w:rsid w:val="661344C8"/>
    <w:rsid w:val="662D17CA"/>
    <w:rsid w:val="666B22F3"/>
    <w:rsid w:val="66754F1F"/>
    <w:rsid w:val="66872E77"/>
    <w:rsid w:val="6695354D"/>
    <w:rsid w:val="66AF1C9D"/>
    <w:rsid w:val="66E677C1"/>
    <w:rsid w:val="66F75878"/>
    <w:rsid w:val="66FB4360"/>
    <w:rsid w:val="670C0549"/>
    <w:rsid w:val="670F38E2"/>
    <w:rsid w:val="67436A10"/>
    <w:rsid w:val="6764121C"/>
    <w:rsid w:val="676C2E72"/>
    <w:rsid w:val="6773320D"/>
    <w:rsid w:val="67762793"/>
    <w:rsid w:val="67787532"/>
    <w:rsid w:val="678216A2"/>
    <w:rsid w:val="678F1D96"/>
    <w:rsid w:val="679357DC"/>
    <w:rsid w:val="679B51F9"/>
    <w:rsid w:val="67AB6C66"/>
    <w:rsid w:val="67CC7F1C"/>
    <w:rsid w:val="67D41B8B"/>
    <w:rsid w:val="67D43D2A"/>
    <w:rsid w:val="67FA56DC"/>
    <w:rsid w:val="67FC12C5"/>
    <w:rsid w:val="681060B4"/>
    <w:rsid w:val="681D179F"/>
    <w:rsid w:val="68266D4E"/>
    <w:rsid w:val="68406F23"/>
    <w:rsid w:val="68580655"/>
    <w:rsid w:val="688128E0"/>
    <w:rsid w:val="688F42C9"/>
    <w:rsid w:val="68AD69B8"/>
    <w:rsid w:val="68D43ED1"/>
    <w:rsid w:val="69024E7D"/>
    <w:rsid w:val="6908424D"/>
    <w:rsid w:val="691A2051"/>
    <w:rsid w:val="694278E5"/>
    <w:rsid w:val="694322C2"/>
    <w:rsid w:val="695D5F23"/>
    <w:rsid w:val="69741628"/>
    <w:rsid w:val="69800ACA"/>
    <w:rsid w:val="69A246EB"/>
    <w:rsid w:val="69BA3E3F"/>
    <w:rsid w:val="6A2B65A5"/>
    <w:rsid w:val="6A434E41"/>
    <w:rsid w:val="6A435698"/>
    <w:rsid w:val="6A915DBE"/>
    <w:rsid w:val="6A9D4300"/>
    <w:rsid w:val="6AAE27AE"/>
    <w:rsid w:val="6AD83BC1"/>
    <w:rsid w:val="6ADD7E96"/>
    <w:rsid w:val="6AE02CB1"/>
    <w:rsid w:val="6AEB48D1"/>
    <w:rsid w:val="6AED777A"/>
    <w:rsid w:val="6AF91F88"/>
    <w:rsid w:val="6B020F31"/>
    <w:rsid w:val="6B0A3E88"/>
    <w:rsid w:val="6B297532"/>
    <w:rsid w:val="6B395BBC"/>
    <w:rsid w:val="6B3E4175"/>
    <w:rsid w:val="6B465D6A"/>
    <w:rsid w:val="6B542C48"/>
    <w:rsid w:val="6B725F79"/>
    <w:rsid w:val="6B8A0CDE"/>
    <w:rsid w:val="6B8C28E0"/>
    <w:rsid w:val="6B9D33DE"/>
    <w:rsid w:val="6BA56BEE"/>
    <w:rsid w:val="6BAB610C"/>
    <w:rsid w:val="6BCD7530"/>
    <w:rsid w:val="6BD065D4"/>
    <w:rsid w:val="6BE07043"/>
    <w:rsid w:val="6BE43C42"/>
    <w:rsid w:val="6C475BCD"/>
    <w:rsid w:val="6C572A41"/>
    <w:rsid w:val="6C586E75"/>
    <w:rsid w:val="6C605C88"/>
    <w:rsid w:val="6C7011DE"/>
    <w:rsid w:val="6C713F08"/>
    <w:rsid w:val="6C7579C3"/>
    <w:rsid w:val="6C826486"/>
    <w:rsid w:val="6CA931C3"/>
    <w:rsid w:val="6CC4450B"/>
    <w:rsid w:val="6CD75FEC"/>
    <w:rsid w:val="6CDE13B3"/>
    <w:rsid w:val="6CE06FB0"/>
    <w:rsid w:val="6CEB2A7E"/>
    <w:rsid w:val="6CF0028B"/>
    <w:rsid w:val="6D7F1208"/>
    <w:rsid w:val="6D8D6E60"/>
    <w:rsid w:val="6D9A0A2B"/>
    <w:rsid w:val="6D9C09CC"/>
    <w:rsid w:val="6DB427D1"/>
    <w:rsid w:val="6DBC2845"/>
    <w:rsid w:val="6DBE185C"/>
    <w:rsid w:val="6DC6476D"/>
    <w:rsid w:val="6DCE1B4E"/>
    <w:rsid w:val="6DF34117"/>
    <w:rsid w:val="6E127384"/>
    <w:rsid w:val="6E466A02"/>
    <w:rsid w:val="6E4D2D00"/>
    <w:rsid w:val="6E53460B"/>
    <w:rsid w:val="6E577801"/>
    <w:rsid w:val="6E603525"/>
    <w:rsid w:val="6E664B10"/>
    <w:rsid w:val="6E697457"/>
    <w:rsid w:val="6E8C7747"/>
    <w:rsid w:val="6EA231BE"/>
    <w:rsid w:val="6EAD5BDC"/>
    <w:rsid w:val="6EB90985"/>
    <w:rsid w:val="6ECC749A"/>
    <w:rsid w:val="6EEA089B"/>
    <w:rsid w:val="6EEE586F"/>
    <w:rsid w:val="6EEF2FA9"/>
    <w:rsid w:val="6F071347"/>
    <w:rsid w:val="6F297C38"/>
    <w:rsid w:val="6F3E6DA6"/>
    <w:rsid w:val="6F4D6A39"/>
    <w:rsid w:val="6F6A54D1"/>
    <w:rsid w:val="6F6C50EC"/>
    <w:rsid w:val="6F9357C0"/>
    <w:rsid w:val="6FA960B0"/>
    <w:rsid w:val="6FAF6879"/>
    <w:rsid w:val="6FC92376"/>
    <w:rsid w:val="6FDE7AFC"/>
    <w:rsid w:val="6FE51FC2"/>
    <w:rsid w:val="700469A3"/>
    <w:rsid w:val="70335C2F"/>
    <w:rsid w:val="7058074F"/>
    <w:rsid w:val="707029DF"/>
    <w:rsid w:val="708007EF"/>
    <w:rsid w:val="709060E2"/>
    <w:rsid w:val="70AA56A0"/>
    <w:rsid w:val="70BD3879"/>
    <w:rsid w:val="70CB124D"/>
    <w:rsid w:val="70E636EC"/>
    <w:rsid w:val="70EF4FA8"/>
    <w:rsid w:val="710A6CC4"/>
    <w:rsid w:val="7119579E"/>
    <w:rsid w:val="711B2F5E"/>
    <w:rsid w:val="712A2038"/>
    <w:rsid w:val="71425788"/>
    <w:rsid w:val="719641E7"/>
    <w:rsid w:val="71A14E1B"/>
    <w:rsid w:val="71BC57F8"/>
    <w:rsid w:val="71CC23C9"/>
    <w:rsid w:val="71CD08C0"/>
    <w:rsid w:val="720D5649"/>
    <w:rsid w:val="721148D8"/>
    <w:rsid w:val="7216006E"/>
    <w:rsid w:val="724F2C92"/>
    <w:rsid w:val="726A6A46"/>
    <w:rsid w:val="72734A09"/>
    <w:rsid w:val="727512FC"/>
    <w:rsid w:val="72CD2007"/>
    <w:rsid w:val="72D13A55"/>
    <w:rsid w:val="72D13C8A"/>
    <w:rsid w:val="72DE65CF"/>
    <w:rsid w:val="72E64F39"/>
    <w:rsid w:val="72EA3C3A"/>
    <w:rsid w:val="72FB055A"/>
    <w:rsid w:val="73424BF2"/>
    <w:rsid w:val="735A39E1"/>
    <w:rsid w:val="7371736D"/>
    <w:rsid w:val="73BA3ADB"/>
    <w:rsid w:val="73BC3D24"/>
    <w:rsid w:val="73CD639B"/>
    <w:rsid w:val="73DA5738"/>
    <w:rsid w:val="73EB693B"/>
    <w:rsid w:val="73F06E3B"/>
    <w:rsid w:val="73F23683"/>
    <w:rsid w:val="74041A81"/>
    <w:rsid w:val="74112427"/>
    <w:rsid w:val="742F7194"/>
    <w:rsid w:val="74841A7E"/>
    <w:rsid w:val="74B3733F"/>
    <w:rsid w:val="74FB3F36"/>
    <w:rsid w:val="75025AE3"/>
    <w:rsid w:val="75031E2C"/>
    <w:rsid w:val="7507768A"/>
    <w:rsid w:val="750D14C0"/>
    <w:rsid w:val="752D366A"/>
    <w:rsid w:val="75556648"/>
    <w:rsid w:val="75591217"/>
    <w:rsid w:val="75646EFD"/>
    <w:rsid w:val="75A330B3"/>
    <w:rsid w:val="75B4336E"/>
    <w:rsid w:val="75B50E95"/>
    <w:rsid w:val="75BD2B47"/>
    <w:rsid w:val="75D4518D"/>
    <w:rsid w:val="75F24700"/>
    <w:rsid w:val="760375C6"/>
    <w:rsid w:val="760657D4"/>
    <w:rsid w:val="763A636D"/>
    <w:rsid w:val="76442E5A"/>
    <w:rsid w:val="76491651"/>
    <w:rsid w:val="7664308D"/>
    <w:rsid w:val="76770C14"/>
    <w:rsid w:val="7687270A"/>
    <w:rsid w:val="7687551D"/>
    <w:rsid w:val="769034A8"/>
    <w:rsid w:val="76957B48"/>
    <w:rsid w:val="76A3682F"/>
    <w:rsid w:val="76AB1F51"/>
    <w:rsid w:val="76B02E8D"/>
    <w:rsid w:val="76D40BF4"/>
    <w:rsid w:val="76E8263D"/>
    <w:rsid w:val="773406E4"/>
    <w:rsid w:val="774F0A3B"/>
    <w:rsid w:val="77720CAD"/>
    <w:rsid w:val="77902CDE"/>
    <w:rsid w:val="77AC2DED"/>
    <w:rsid w:val="77BD0FA0"/>
    <w:rsid w:val="77C108E5"/>
    <w:rsid w:val="77CC3457"/>
    <w:rsid w:val="77D37B58"/>
    <w:rsid w:val="77D47690"/>
    <w:rsid w:val="77F9150C"/>
    <w:rsid w:val="78335066"/>
    <w:rsid w:val="783511C6"/>
    <w:rsid w:val="78353A7A"/>
    <w:rsid w:val="78366866"/>
    <w:rsid w:val="783D502D"/>
    <w:rsid w:val="785B76ED"/>
    <w:rsid w:val="786D7797"/>
    <w:rsid w:val="786E6B59"/>
    <w:rsid w:val="789B6A68"/>
    <w:rsid w:val="78A00BF6"/>
    <w:rsid w:val="78A85656"/>
    <w:rsid w:val="78AA76B6"/>
    <w:rsid w:val="78B92ECB"/>
    <w:rsid w:val="78C6050C"/>
    <w:rsid w:val="78D15FE5"/>
    <w:rsid w:val="78F64F2B"/>
    <w:rsid w:val="78F80721"/>
    <w:rsid w:val="78FF0DA7"/>
    <w:rsid w:val="79053EE1"/>
    <w:rsid w:val="790B5EE7"/>
    <w:rsid w:val="790E1B4D"/>
    <w:rsid w:val="79132AA2"/>
    <w:rsid w:val="79314C92"/>
    <w:rsid w:val="793B2D9E"/>
    <w:rsid w:val="793C5FF8"/>
    <w:rsid w:val="794856A1"/>
    <w:rsid w:val="79527C02"/>
    <w:rsid w:val="797846B3"/>
    <w:rsid w:val="79893B5A"/>
    <w:rsid w:val="79DE395C"/>
    <w:rsid w:val="79FD47FB"/>
    <w:rsid w:val="7A0636DD"/>
    <w:rsid w:val="7A194765"/>
    <w:rsid w:val="7A253274"/>
    <w:rsid w:val="7A2D06ED"/>
    <w:rsid w:val="7A344A7E"/>
    <w:rsid w:val="7A372CB6"/>
    <w:rsid w:val="7A3E0998"/>
    <w:rsid w:val="7A436DCB"/>
    <w:rsid w:val="7A5B2CDF"/>
    <w:rsid w:val="7A5F5873"/>
    <w:rsid w:val="7A71031B"/>
    <w:rsid w:val="7AA36946"/>
    <w:rsid w:val="7AAF39D3"/>
    <w:rsid w:val="7ACD1873"/>
    <w:rsid w:val="7AFD6181"/>
    <w:rsid w:val="7B230A7F"/>
    <w:rsid w:val="7B2B62C3"/>
    <w:rsid w:val="7B40783D"/>
    <w:rsid w:val="7B4909FD"/>
    <w:rsid w:val="7B5D0E91"/>
    <w:rsid w:val="7B5F1840"/>
    <w:rsid w:val="7B666B70"/>
    <w:rsid w:val="7B762E74"/>
    <w:rsid w:val="7B964626"/>
    <w:rsid w:val="7BA40029"/>
    <w:rsid w:val="7BC4541E"/>
    <w:rsid w:val="7BD152E3"/>
    <w:rsid w:val="7BD16F6C"/>
    <w:rsid w:val="7BE927F5"/>
    <w:rsid w:val="7BEE56AC"/>
    <w:rsid w:val="7C054379"/>
    <w:rsid w:val="7C067980"/>
    <w:rsid w:val="7C1966EC"/>
    <w:rsid w:val="7C1C7EBF"/>
    <w:rsid w:val="7C240B22"/>
    <w:rsid w:val="7C9976D4"/>
    <w:rsid w:val="7CA609AF"/>
    <w:rsid w:val="7CAA1027"/>
    <w:rsid w:val="7CB927F1"/>
    <w:rsid w:val="7CBE700E"/>
    <w:rsid w:val="7CDD7BCD"/>
    <w:rsid w:val="7CE32CDB"/>
    <w:rsid w:val="7CFF63E8"/>
    <w:rsid w:val="7D0A29A5"/>
    <w:rsid w:val="7D4B6DEC"/>
    <w:rsid w:val="7D4F48B2"/>
    <w:rsid w:val="7D6C0216"/>
    <w:rsid w:val="7D8F5E05"/>
    <w:rsid w:val="7D947A81"/>
    <w:rsid w:val="7D96013E"/>
    <w:rsid w:val="7D9C621E"/>
    <w:rsid w:val="7D9E274B"/>
    <w:rsid w:val="7DAF0036"/>
    <w:rsid w:val="7DBD640B"/>
    <w:rsid w:val="7DC36414"/>
    <w:rsid w:val="7DE74DA7"/>
    <w:rsid w:val="7DF50968"/>
    <w:rsid w:val="7DFA240E"/>
    <w:rsid w:val="7DFB13E2"/>
    <w:rsid w:val="7E0E1F6D"/>
    <w:rsid w:val="7E866A8D"/>
    <w:rsid w:val="7EAA32C2"/>
    <w:rsid w:val="7ECC263C"/>
    <w:rsid w:val="7ED14E85"/>
    <w:rsid w:val="7ED83B5B"/>
    <w:rsid w:val="7EE4500E"/>
    <w:rsid w:val="7EFC72F9"/>
    <w:rsid w:val="7F16427D"/>
    <w:rsid w:val="7F1C2780"/>
    <w:rsid w:val="7F3E37D9"/>
    <w:rsid w:val="7F435763"/>
    <w:rsid w:val="7F473DC4"/>
    <w:rsid w:val="7F662EE8"/>
    <w:rsid w:val="7F8225C3"/>
    <w:rsid w:val="7F901C91"/>
    <w:rsid w:val="7F9E5DD5"/>
    <w:rsid w:val="7FA4611F"/>
    <w:rsid w:val="7FCF7116"/>
    <w:rsid w:val="7FD55AA5"/>
    <w:rsid w:val="7FEF5329"/>
    <w:rsid w:val="7FF258D2"/>
    <w:rsid w:val="7FFE2C3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FFFF00" joinstyle="miter"/>
    </o:shapedefaults>
    <o:shapelayout v:ext="edit">
      <o:idmap v:ext="edit" data="2"/>
      <o:rules v:ext="edit">
        <o:r id="V:Rule1" type="connector" idref="#_x0000_s2054"/>
        <o:r id="V:Rule2" type="connector" idref="#_x0000_s2055"/>
        <o:r id="V:Rule3" type="connector" idref="#_x0000_s2057"/>
        <o:r id="V:Rule4" type="connector" idref="#_x0000_s2061"/>
        <o:r id="V:Rule5" type="connector" idref="#_x0000_s2066"/>
        <o:r id="V:Rule6" type="connector" idref="#_x0000_s2067"/>
        <o:r id="V:Rule7" type="connector" idref="#_x0000_s2082"/>
        <o:r id="V:Rule8" type="connector" idref="#_x0000_s2226"/>
        <o:r id="V:Rule9" type="connector" idref="#_x0000_s2228"/>
        <o:r id="V:Rule10" type="connector" idref="#_x0000_s2230"/>
        <o:r id="V:Rule11" type="connector" idref="#_x0000_s2232"/>
        <o:r id="V:Rule12" type="connector" idref="#_x0000_s2234"/>
        <o:r id="V:Rule13" type="connector" idref="#_x0000_s2254"/>
        <o:r id="V:Rule14" type="connector" idref="#_x0000_s2259"/>
        <o:r id="V:Rule15" type="connector" idref="#_x0000_s2264"/>
        <o:r id="V:Rule16" type="connector" idref="#_x0000_s2268"/>
        <o:r id="V:Rule17" type="connector" idref="#_x0000_s2298"/>
        <o:r id="V:Rule18" type="connector" idref="#_x0000_s2303"/>
        <o:r id="V:Rule19" type="connector" idref="#_x0000_s2321"/>
        <o:r id="V:Rule20" type="connector" idref="#_x0000_s2322"/>
        <o:r id="V:Rule21" type="connector" idref="#_x0000_s2331"/>
        <o:r id="V:Rule22" type="connector" idref="#_x0000_s2333"/>
        <o:r id="V:Rule23" type="connector" idref="#_x0000_s2335"/>
        <o:r id="V:Rule24" type="connector" idref="#_x0000_s2337"/>
        <o:r id="V:Rule25" type="connector" idref="#_x0000_s2342"/>
        <o:r id="V:Rule26" type="connector" idref="#_x0000_s2351"/>
        <o:r id="V:Rule27" type="connector" idref="#_x0000_s2353"/>
        <o:r id="V:Rule28" type="connector" idref="#_x0000_s2355"/>
        <o:r id="V:Rule29" type="connector" idref="#_x0000_s2358"/>
        <o:r id="V:Rule30" type="connector" idref="#_x0000_s2361"/>
        <o:r id="V:Rule31" type="connector" idref="#_x0000_s2363"/>
        <o:r id="V:Rule32" type="connector" idref="#_x0000_s2369"/>
        <o:r id="V:Rule33" type="connector" idref="#_x0000_s2370"/>
        <o:r id="V:Rule34" type="connector" idref="#_x0000_s2374"/>
        <o:r id="V:Rule35" type="connector" idref="#_x0000_s2383"/>
        <o:r id="V:Rule36" type="connector" idref="#_x0000_s2407"/>
        <o:r id="V:Rule37" type="connector" idref="#_x0000_s2408"/>
        <o:r id="V:Rule38" type="connector" idref="#_x0000_s2413"/>
        <o:r id="V:Rule39" type="connector" idref="#_x0000_s2414"/>
        <o:r id="V:Rule40" type="connector" idref="#_x0000_s2415"/>
        <o:r id="V:Rule41" type="connector" idref="#_x0000_s2421"/>
        <o:r id="V:Rule42" type="connector" idref="#_x0000_s2423"/>
        <o:r id="V:Rule43" type="connector" idref="#_x0000_s2425"/>
        <o:r id="V:Rule44" type="connector" idref="#_x0000_s2431"/>
        <o:r id="V:Rule45" type="connector" idref="#_x0000_s2432"/>
        <o:r id="V:Rule46" type="connector" idref="#自选图形 257"/>
        <o:r id="V:Rule47" type="connector" idref="#_x0000_s2438"/>
        <o:r id="V:Rule48" type="connector" idref="#_x0000_s2464"/>
        <o:r id="V:Rule49" type="connector" idref="#_x0000_s2469"/>
        <o:r id="V:Rule50" type="connector" idref="#_x0000_s2470"/>
        <o:r id="V:Rule51" type="connector" idref="#_x0000_s2472"/>
        <o:r id="V:Rule52" type="connector" idref="#_x0000_s2474"/>
        <o:r id="V:Rule53" type="connector" idref="#_x0000_s2476"/>
        <o:r id="V:Rule54" type="connector" idref="#_x0000_s2478"/>
        <o:r id="V:Rule55" type="connector" idref="#_x0000_s2482"/>
        <o:r id="V:Rule56" type="connector" idref="#_x0000_s2490"/>
        <o:r id="V:Rule57" type="connector" idref="#_x0000_s2492"/>
        <o:r id="V:Rule58" type="connector" idref="#_x0000_s2494"/>
        <o:r id="V:Rule59" type="connector" idref="#_x0000_s2497"/>
        <o:r id="V:Rule60" type="connector" idref="#_x0000_s2499"/>
        <o:r id="V:Rule61" type="connector" idref="#_x0000_s2503"/>
        <o:r id="V:Rule62" type="connector" idref="#_x0000_s2504"/>
        <o:r id="V:Rule63" type="connector" idref="#_x0000_s2508"/>
        <o:r id="V:Rule64" type="connector" idref="#_x0000_s2512"/>
        <o:r id="V:Rule65" type="connector" idref="#_x0000_s2513"/>
        <o:r id="V:Rule66" type="connector" idref="#_x0000_s2515"/>
        <o:r id="V:Rule67" type="connector" idref="#_x0000_s2518"/>
        <o:r id="V:Rule68" type="connector" idref="#_x0000_s2528"/>
        <o:r id="V:Rule69" type="connector" idref="#_x0000_s2530"/>
        <o:r id="V:Rule70" type="connector" idref="#_x0000_s2533"/>
        <o:r id="V:Rule71" type="connector" idref="#_x0000_s2540"/>
        <o:r id="V:Rule72" type="connector" idref="#_x0000_s2542"/>
        <o:r id="V:Rule73" type="connector" idref="#_x0000_s2545"/>
        <o:r id="V:Rule74" type="connector" idref="#_x0000_s2547"/>
        <o:r id="V:Rule75" type="connector" idref="#_x0000_s2561"/>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3" w:semiHidden="0" w:name="heading 1"/>
    <w:lsdException w:qFormat="1" w:uiPriority="2" w:semiHidden="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99" w:name="heading 7"/>
    <w:lsdException w:qFormat="1" w:uiPriority="99" w:name="heading 8"/>
    <w:lsdException w:qFormat="1" w:uiPriority="9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iPriority="0" w:semiHidden="0"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qFormat="1" w:uiPriority="0" w:name="annotation reference"/>
    <w:lsdException w:uiPriority="99" w:name="line number"/>
    <w:lsdException w:uiPriority="99" w:name="page number"/>
    <w:lsdException w:qFormat="1" w:uiPriority="99" w:name="endnote reference"/>
    <w:lsdException w:qFormat="1" w:uiPriority="99" w:name="endnote text"/>
    <w:lsdException w:uiPriority="99" w:name="table of authorities"/>
    <w:lsdException w:uiPriority="99" w:name="macro"/>
    <w:lsdException w:uiPriority="99" w:name="toa heading"/>
    <w:lsdException w:qFormat="1" w:uiPriority="0" w:name="List"/>
    <w:lsdException w:uiPriority="99" w:name="List Bullet"/>
    <w:lsdException w:uiPriority="99" w:name="List Number"/>
    <w:lsdException w:qFormat="1" w:uiPriority="0" w:name="List 2"/>
    <w:lsdException w:qFormat="1"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0" w:semiHidden="0" w:name="Body Text"/>
    <w:lsdException w:qFormat="1" w:uiPriority="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iPriority="99" w:name="Message Header"/>
    <w:lsdException w:qFormat="1" w:unhideWhenUsed="0" w:uiPriority="11" w:semiHidden="0" w:name="Subtitle"/>
    <w:lsdException w:uiPriority="99" w:name="Salutation"/>
    <w:lsdException w:qFormat="1" w:uiPriority="99" w:name="Date"/>
    <w:lsdException w:qFormat="1" w:uiPriority="0" w:semiHidden="0" w:name="Body Text First Indent"/>
    <w:lsdException w:qFormat="1" w:uiPriority="0" w:name="Body Text First Indent 2"/>
    <w:lsdException w:qFormat="1" w:uiPriority="0" w:name="Note Heading"/>
    <w:lsdException w:qFormat="1" w:uiPriority="99" w:semiHidden="0" w:name="Body Text 2"/>
    <w:lsdException w:qFormat="1" w:uiPriority="0" w:name="Body Text 3"/>
    <w:lsdException w:qFormat="1" w:uiPriority="0" w:semiHidden="0" w:name="Body Text Indent 2"/>
    <w:lsdException w:qFormat="1" w:uiPriority="0" w:name="Body Text Indent 3"/>
    <w:lsdException w:qFormat="1" w:uiPriority="0"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qFormat="1" w:uiPriority="99" w:name="Document Map"/>
    <w:lsdException w:qFormat="1" w:uiPriority="0" w:semiHidden="0" w:name="Plain Text"/>
    <w:lsdException w:uiPriority="99" w:name="E-mail Signature"/>
    <w:lsdException w:qFormat="1"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name="HTML Preformatted"/>
    <w:lsdException w:uiPriority="99" w:name="HTML Sample"/>
    <w:lsdException w:qFormat="1" w:uiPriority="0" w:name="HTML Typewriter"/>
    <w:lsdException w:uiPriority="99" w:name="HTML Variable"/>
    <w:lsdException w:qFormat="1" w:uiPriority="99" w:name="Normal Table"/>
    <w:lsdException w:qFormat="1"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qFormat="1" w:uiPriority="0" w:name="Table Grid 1"/>
    <w:lsdException w:uiPriority="99" w:name="Table Grid 2"/>
    <w:lsdException w:uiPriority="99" w:name="Table Grid 3"/>
    <w:lsdException w:uiPriority="99" w:name="Table Grid 4"/>
    <w:lsdException w:uiPriority="99" w:name="Table Grid 5"/>
    <w:lsdException w:qFormat="1" w:uiPriority="0"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qFormat="1" w:uiPriority="0"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name="Balloon Text"/>
    <w:lsdException w:qFormat="1" w:unhideWhenUsed="0" w:uiPriority="59" w:semiHidden="0" w:name="Table Grid"/>
    <w:lsdException w:uiPriority="99" w:name="Table Theme"/>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wordWrap w:val="0"/>
      <w:adjustRightInd w:val="0"/>
      <w:snapToGrid w:val="0"/>
      <w:spacing w:line="360" w:lineRule="auto"/>
      <w:ind w:firstLine="640" w:firstLineChars="200"/>
      <w:jc w:val="both"/>
    </w:pPr>
    <w:rPr>
      <w:rFonts w:ascii="Times New Roman" w:hAnsi="Times New Roman" w:eastAsia="宋体" w:cs="Times New Roman"/>
      <w:kern w:val="2"/>
      <w:sz w:val="24"/>
      <w:szCs w:val="24"/>
      <w:lang w:val="en-US" w:eastAsia="zh-CN" w:bidi="ar-SA"/>
    </w:rPr>
  </w:style>
  <w:style w:type="paragraph" w:styleId="2">
    <w:name w:val="heading 1"/>
    <w:basedOn w:val="1"/>
    <w:next w:val="1"/>
    <w:link w:val="62"/>
    <w:autoRedefine/>
    <w:qFormat/>
    <w:uiPriority w:val="3"/>
    <w:pPr>
      <w:keepNext/>
      <w:keepLines/>
      <w:adjustRightInd/>
      <w:snapToGrid/>
      <w:spacing w:beforeAutospacing="1" w:line="240" w:lineRule="auto"/>
      <w:ind w:firstLine="0" w:firstLineChars="0"/>
      <w:outlineLvl w:val="0"/>
    </w:pPr>
    <w:rPr>
      <w:rFonts w:ascii="Times New Roman" w:hAnsi="Times New Roman" w:eastAsia="黑体"/>
      <w:bCs/>
      <w:kern w:val="44"/>
      <w:sz w:val="32"/>
      <w:szCs w:val="44"/>
      <w:highlight w:val="none"/>
    </w:rPr>
  </w:style>
  <w:style w:type="paragraph" w:styleId="3">
    <w:name w:val="heading 2"/>
    <w:basedOn w:val="1"/>
    <w:next w:val="1"/>
    <w:link w:val="63"/>
    <w:autoRedefine/>
    <w:unhideWhenUsed/>
    <w:qFormat/>
    <w:uiPriority w:val="2"/>
    <w:pPr>
      <w:keepNext/>
      <w:keepLines/>
      <w:adjustRightInd/>
      <w:snapToGrid/>
      <w:spacing w:beforeAutospacing="1" w:line="240" w:lineRule="auto"/>
      <w:ind w:firstLine="0" w:firstLineChars="0"/>
      <w:outlineLvl w:val="1"/>
    </w:pPr>
    <w:rPr>
      <w:rFonts w:ascii="Times New Roman" w:hAnsi="Times New Roman" w:eastAsia="黑体" w:cstheme="majorBidi"/>
      <w:bCs/>
      <w:kern w:val="44"/>
      <w:sz w:val="30"/>
      <w:szCs w:val="30"/>
      <w:highlight w:val="none"/>
    </w:rPr>
  </w:style>
  <w:style w:type="paragraph" w:styleId="4">
    <w:name w:val="heading 3"/>
    <w:basedOn w:val="1"/>
    <w:next w:val="5"/>
    <w:link w:val="64"/>
    <w:autoRedefine/>
    <w:unhideWhenUsed/>
    <w:qFormat/>
    <w:uiPriority w:val="0"/>
    <w:pPr>
      <w:adjustRightInd/>
      <w:snapToGrid/>
      <w:spacing w:beforeAutospacing="1" w:line="240" w:lineRule="auto"/>
      <w:ind w:firstLine="0" w:firstLineChars="0"/>
      <w:outlineLvl w:val="2"/>
    </w:pPr>
    <w:rPr>
      <w:rFonts w:ascii="Times New Roman" w:hAnsi="Times New Roman" w:eastAsia="黑体"/>
      <w:sz w:val="28"/>
    </w:rPr>
  </w:style>
  <w:style w:type="paragraph" w:styleId="6">
    <w:name w:val="heading 4"/>
    <w:basedOn w:val="1"/>
    <w:next w:val="1"/>
    <w:link w:val="65"/>
    <w:autoRedefine/>
    <w:unhideWhenUsed/>
    <w:qFormat/>
    <w:uiPriority w:val="0"/>
    <w:pPr>
      <w:keepNext/>
      <w:keepLines/>
      <w:adjustRightInd/>
      <w:snapToGrid/>
      <w:spacing w:beforeAutospacing="1" w:line="240" w:lineRule="auto"/>
      <w:ind w:firstLine="0" w:firstLineChars="0"/>
      <w:outlineLvl w:val="3"/>
    </w:pPr>
    <w:rPr>
      <w:rFonts w:ascii="Times New Roman" w:hAnsi="Times New Roman" w:eastAsia="黑体" w:cstheme="majorBidi"/>
      <w:szCs w:val="28"/>
    </w:rPr>
  </w:style>
  <w:style w:type="paragraph" w:styleId="7">
    <w:name w:val="heading 5"/>
    <w:basedOn w:val="1"/>
    <w:next w:val="1"/>
    <w:link w:val="66"/>
    <w:autoRedefine/>
    <w:unhideWhenUsed/>
    <w:qFormat/>
    <w:uiPriority w:val="0"/>
    <w:pPr>
      <w:keepNext w:val="0"/>
      <w:keepLines w:val="0"/>
      <w:widowControl/>
      <w:spacing w:line="240" w:lineRule="auto"/>
      <w:ind w:firstLine="0" w:firstLineChars="0"/>
      <w:jc w:val="center"/>
      <w:outlineLvl w:val="4"/>
    </w:pPr>
    <w:rPr>
      <w:rFonts w:ascii="Times New Roman" w:hAnsi="Times New Roman" w:eastAsia="宋体"/>
      <w:b/>
      <w:color w:val="000000"/>
      <w:kern w:val="0"/>
      <w:sz w:val="21"/>
      <w:szCs w:val="28"/>
    </w:rPr>
  </w:style>
  <w:style w:type="paragraph" w:styleId="8">
    <w:name w:val="heading 6"/>
    <w:basedOn w:val="1"/>
    <w:next w:val="1"/>
    <w:link w:val="67"/>
    <w:autoRedefine/>
    <w:unhideWhenUsed/>
    <w:qFormat/>
    <w:uiPriority w:val="0"/>
    <w:pPr>
      <w:keepNext w:val="0"/>
      <w:keepLines w:val="0"/>
      <w:widowControl/>
      <w:spacing w:line="240" w:lineRule="auto"/>
      <w:ind w:firstLine="0" w:firstLineChars="0"/>
      <w:jc w:val="center"/>
      <w:outlineLvl w:val="9"/>
    </w:pPr>
    <w:rPr>
      <w:rFonts w:ascii="Times New Roman" w:hAnsi="Times New Roman" w:eastAsia="宋体"/>
      <w:color w:val="000000"/>
      <w:kern w:val="0"/>
      <w:sz w:val="21"/>
    </w:rPr>
  </w:style>
  <w:style w:type="paragraph" w:styleId="9">
    <w:name w:val="heading 7"/>
    <w:basedOn w:val="2"/>
    <w:next w:val="1"/>
    <w:link w:val="68"/>
    <w:autoRedefine/>
    <w:semiHidden/>
    <w:unhideWhenUsed/>
    <w:qFormat/>
    <w:uiPriority w:val="99"/>
    <w:pPr>
      <w:widowControl/>
      <w:spacing w:before="240" w:after="64" w:line="316" w:lineRule="auto"/>
      <w:ind w:firstLine="425" w:firstLineChars="177"/>
      <w:outlineLvl w:val="6"/>
    </w:pPr>
    <w:rPr>
      <w:color w:val="000000"/>
      <w:kern w:val="0"/>
      <w:sz w:val="24"/>
      <w:szCs w:val="24"/>
    </w:rPr>
  </w:style>
  <w:style w:type="paragraph" w:styleId="10">
    <w:name w:val="heading 8"/>
    <w:basedOn w:val="2"/>
    <w:next w:val="1"/>
    <w:link w:val="69"/>
    <w:autoRedefine/>
    <w:semiHidden/>
    <w:unhideWhenUsed/>
    <w:qFormat/>
    <w:uiPriority w:val="99"/>
    <w:pPr>
      <w:widowControl/>
      <w:spacing w:before="240" w:after="64" w:line="316" w:lineRule="auto"/>
      <w:ind w:firstLine="425" w:firstLineChars="177"/>
      <w:outlineLvl w:val="7"/>
    </w:pPr>
    <w:rPr>
      <w:rFonts w:ascii="Arial" w:hAnsi="Arial" w:eastAsia="黑体"/>
      <w:bCs w:val="0"/>
      <w:color w:val="000000"/>
      <w:kern w:val="0"/>
      <w:sz w:val="24"/>
      <w:szCs w:val="24"/>
    </w:rPr>
  </w:style>
  <w:style w:type="paragraph" w:styleId="11">
    <w:name w:val="heading 9"/>
    <w:basedOn w:val="2"/>
    <w:next w:val="1"/>
    <w:link w:val="70"/>
    <w:autoRedefine/>
    <w:semiHidden/>
    <w:unhideWhenUsed/>
    <w:qFormat/>
    <w:uiPriority w:val="99"/>
    <w:pPr>
      <w:widowControl/>
      <w:spacing w:beforeLines="50" w:after="64" w:line="400" w:lineRule="exact"/>
      <w:ind w:firstLine="425" w:firstLineChars="177"/>
      <w:jc w:val="center"/>
      <w:outlineLvl w:val="8"/>
    </w:pPr>
    <w:rPr>
      <w:bCs w:val="0"/>
      <w:color w:val="000000"/>
      <w:kern w:val="0"/>
      <w:sz w:val="24"/>
      <w:szCs w:val="21"/>
    </w:rPr>
  </w:style>
  <w:style w:type="character" w:default="1" w:styleId="50">
    <w:name w:val="Default Paragraph Font"/>
    <w:autoRedefine/>
    <w:semiHidden/>
    <w:unhideWhenUsed/>
    <w:qFormat/>
    <w:uiPriority w:val="1"/>
  </w:style>
  <w:style w:type="table" w:default="1" w:styleId="45">
    <w:name w:val="Normal Table"/>
    <w:autoRedefine/>
    <w:semiHidden/>
    <w:unhideWhenUsed/>
    <w:qFormat/>
    <w:uiPriority w:val="99"/>
    <w:pPr>
      <w:keepNext w:val="0"/>
      <w:keepLines w:val="0"/>
      <w:widowControl/>
      <w:suppressLineNumbers w:val="0"/>
      <w:spacing w:before="0" w:beforeAutospacing="0" w:after="0" w:afterAutospacing="0"/>
      <w:ind w:left="0" w:right="0"/>
    </w:pPr>
    <w:rPr>
      <w:rFonts w:hint="default" w:ascii="Calibri" w:hAnsi="Calibri" w:eastAsia="宋体" w:cs="Times New Roman"/>
      <w:kern w:val="2"/>
      <w:sz w:val="21"/>
      <w:szCs w:val="22"/>
    </w:rPr>
    <w:tblPr>
      <w:tblCellMar>
        <w:top w:w="0" w:type="dxa"/>
        <w:left w:w="108" w:type="dxa"/>
        <w:bottom w:w="0" w:type="dxa"/>
        <w:right w:w="108" w:type="dxa"/>
      </w:tblCellMar>
    </w:tblPr>
  </w:style>
  <w:style w:type="paragraph" w:styleId="5">
    <w:name w:val="Normal Indent"/>
    <w:basedOn w:val="1"/>
    <w:next w:val="1"/>
    <w:link w:val="112"/>
    <w:autoRedefine/>
    <w:unhideWhenUsed/>
    <w:qFormat/>
    <w:uiPriority w:val="0"/>
    <w:pPr>
      <w:keepNext w:val="0"/>
      <w:keepLines w:val="0"/>
      <w:adjustRightInd w:val="0"/>
      <w:snapToGrid w:val="0"/>
      <w:spacing w:before="0" w:after="0" w:line="300" w:lineRule="auto"/>
      <w:ind w:firstLine="200" w:firstLineChars="200"/>
      <w:outlineLvl w:val="9"/>
    </w:pPr>
    <w:rPr>
      <w:rFonts w:ascii="仿宋_GB2312" w:eastAsia="仿宋_GB2312" w:hAnsiTheme="minorHAnsi" w:cstheme="minorBidi"/>
      <w:kern w:val="2"/>
      <w:sz w:val="28"/>
      <w:szCs w:val="24"/>
    </w:rPr>
  </w:style>
  <w:style w:type="paragraph" w:styleId="12">
    <w:name w:val="List 3"/>
    <w:basedOn w:val="1"/>
    <w:autoRedefine/>
    <w:semiHidden/>
    <w:unhideWhenUsed/>
    <w:qFormat/>
    <w:uiPriority w:val="99"/>
    <w:pPr>
      <w:ind w:left="100" w:leftChars="400" w:hanging="200" w:hangingChars="200"/>
      <w:contextualSpacing/>
    </w:pPr>
  </w:style>
  <w:style w:type="paragraph" w:styleId="13">
    <w:name w:val="Note Heading"/>
    <w:basedOn w:val="2"/>
    <w:next w:val="1"/>
    <w:link w:val="123"/>
    <w:autoRedefine/>
    <w:semiHidden/>
    <w:unhideWhenUsed/>
    <w:qFormat/>
    <w:uiPriority w:val="0"/>
    <w:pPr>
      <w:keepNext w:val="0"/>
      <w:keepLines w:val="0"/>
      <w:spacing w:before="0" w:after="0" w:line="500" w:lineRule="atLeast"/>
      <w:ind w:firstLine="425" w:firstLineChars="177"/>
      <w:jc w:val="center"/>
      <w:outlineLvl w:val="9"/>
    </w:pPr>
    <w:rPr>
      <w:rFonts w:asciiTheme="minorHAnsi" w:hAnsiTheme="minorHAnsi" w:eastAsiaTheme="minorEastAsia" w:cstheme="minorBidi"/>
      <w:bCs w:val="0"/>
      <w:kern w:val="2"/>
      <w:sz w:val="24"/>
      <w:szCs w:val="22"/>
    </w:rPr>
  </w:style>
  <w:style w:type="paragraph" w:styleId="14">
    <w:name w:val="caption"/>
    <w:basedOn w:val="2"/>
    <w:next w:val="1"/>
    <w:link w:val="115"/>
    <w:autoRedefine/>
    <w:unhideWhenUsed/>
    <w:qFormat/>
    <w:uiPriority w:val="35"/>
    <w:pPr>
      <w:keepNext w:val="0"/>
      <w:keepLines w:val="0"/>
      <w:spacing w:before="0" w:after="0" w:line="500" w:lineRule="atLeast"/>
      <w:ind w:firstLine="521" w:firstLineChars="200"/>
      <w:outlineLvl w:val="9"/>
    </w:pPr>
    <w:rPr>
      <w:rFonts w:asciiTheme="minorHAnsi" w:hAnsiTheme="minorHAnsi" w:eastAsiaTheme="minorEastAsia" w:cstheme="minorBidi"/>
      <w:bCs w:val="0"/>
      <w:color w:val="000000"/>
      <w:kern w:val="2"/>
      <w:sz w:val="28"/>
      <w:szCs w:val="22"/>
    </w:rPr>
  </w:style>
  <w:style w:type="paragraph" w:styleId="15">
    <w:name w:val="Document Map"/>
    <w:basedOn w:val="1"/>
    <w:link w:val="80"/>
    <w:autoRedefine/>
    <w:semiHidden/>
    <w:unhideWhenUsed/>
    <w:qFormat/>
    <w:uiPriority w:val="99"/>
    <w:rPr>
      <w:rFonts w:ascii="宋体"/>
      <w:sz w:val="18"/>
      <w:szCs w:val="18"/>
    </w:rPr>
  </w:style>
  <w:style w:type="paragraph" w:styleId="16">
    <w:name w:val="annotation text"/>
    <w:basedOn w:val="1"/>
    <w:link w:val="113"/>
    <w:autoRedefine/>
    <w:unhideWhenUsed/>
    <w:qFormat/>
    <w:uiPriority w:val="99"/>
    <w:pPr>
      <w:jc w:val="left"/>
    </w:pPr>
    <w:rPr>
      <w:rFonts w:ascii="Calibri" w:hAnsi="Calibri" w:eastAsiaTheme="minorEastAsia" w:cstheme="minorBidi"/>
      <w:color w:val="000000"/>
      <w:sz w:val="24"/>
    </w:rPr>
  </w:style>
  <w:style w:type="paragraph" w:styleId="17">
    <w:name w:val="Body Text 3"/>
    <w:basedOn w:val="1"/>
    <w:link w:val="126"/>
    <w:autoRedefine/>
    <w:semiHidden/>
    <w:unhideWhenUsed/>
    <w:qFormat/>
    <w:uiPriority w:val="0"/>
    <w:pPr>
      <w:spacing w:after="120"/>
    </w:pPr>
    <w:rPr>
      <w:rFonts w:ascii="Calibri" w:hAnsi="Calibri" w:eastAsiaTheme="minorEastAsia" w:cstheme="minorBidi"/>
      <w:color w:val="000000"/>
      <w:sz w:val="16"/>
      <w:szCs w:val="16"/>
    </w:rPr>
  </w:style>
  <w:style w:type="paragraph" w:styleId="18">
    <w:name w:val="Body Text"/>
    <w:basedOn w:val="1"/>
    <w:next w:val="19"/>
    <w:link w:val="92"/>
    <w:autoRedefine/>
    <w:unhideWhenUsed/>
    <w:qFormat/>
    <w:uiPriority w:val="0"/>
    <w:pPr>
      <w:spacing w:after="120"/>
    </w:pPr>
  </w:style>
  <w:style w:type="paragraph" w:customStyle="1" w:styleId="19">
    <w:name w:val="Normal (Web)1"/>
    <w:basedOn w:val="1"/>
    <w:next w:val="20"/>
    <w:autoRedefine/>
    <w:qFormat/>
    <w:uiPriority w:val="0"/>
    <w:pPr>
      <w:widowControl/>
      <w:spacing w:line="360" w:lineRule="auto"/>
      <w:jc w:val="left"/>
    </w:pPr>
    <w:rPr>
      <w:rFonts w:ascii="宋体" w:hAnsi="Calibri"/>
      <w:kern w:val="0"/>
      <w:sz w:val="24"/>
      <w:szCs w:val="21"/>
    </w:rPr>
  </w:style>
  <w:style w:type="paragraph" w:customStyle="1" w:styleId="20">
    <w:name w:val="Date1"/>
    <w:basedOn w:val="2"/>
    <w:next w:val="1"/>
    <w:autoRedefine/>
    <w:qFormat/>
    <w:uiPriority w:val="99"/>
    <w:pPr>
      <w:keepNext w:val="0"/>
      <w:keepLines w:val="0"/>
      <w:adjustRightInd w:val="0"/>
      <w:spacing w:before="0" w:after="0" w:line="500" w:lineRule="atLeast"/>
      <w:ind w:firstLine="425" w:firstLineChars="177"/>
      <w:outlineLvl w:val="9"/>
    </w:pPr>
    <w:rPr>
      <w:bCs w:val="0"/>
      <w:kern w:val="2"/>
      <w:sz w:val="24"/>
      <w:szCs w:val="20"/>
    </w:rPr>
  </w:style>
  <w:style w:type="paragraph" w:styleId="21">
    <w:name w:val="Body Text Indent"/>
    <w:basedOn w:val="1"/>
    <w:link w:val="117"/>
    <w:autoRedefine/>
    <w:semiHidden/>
    <w:unhideWhenUsed/>
    <w:qFormat/>
    <w:uiPriority w:val="0"/>
    <w:pPr>
      <w:keepNext w:val="0"/>
      <w:keepLines w:val="0"/>
      <w:spacing w:before="0" w:after="0" w:line="240" w:lineRule="auto"/>
      <w:ind w:firstLine="480" w:firstLineChars="200"/>
      <w:outlineLvl w:val="9"/>
    </w:pPr>
    <w:rPr>
      <w:rFonts w:asciiTheme="minorHAnsi" w:hAnsiTheme="minorHAnsi" w:eastAsiaTheme="minorEastAsia" w:cstheme="minorBidi"/>
      <w:kern w:val="2"/>
      <w:sz w:val="24"/>
      <w:szCs w:val="24"/>
    </w:rPr>
  </w:style>
  <w:style w:type="paragraph" w:styleId="22">
    <w:name w:val="List 2"/>
    <w:basedOn w:val="1"/>
    <w:link w:val="116"/>
    <w:autoRedefine/>
    <w:semiHidden/>
    <w:unhideWhenUsed/>
    <w:qFormat/>
    <w:uiPriority w:val="0"/>
    <w:pPr>
      <w:ind w:left="100" w:leftChars="200" w:hanging="200" w:hangingChars="200"/>
      <w:contextualSpacing/>
    </w:pPr>
    <w:rPr>
      <w:rFonts w:ascii="楷体_GB2312" w:hAnsi="宋体" w:eastAsia="楷体_GB2312" w:cstheme="minorBidi"/>
      <w:color w:val="000000"/>
      <w:sz w:val="24"/>
      <w:szCs w:val="28"/>
    </w:rPr>
  </w:style>
  <w:style w:type="paragraph" w:styleId="23">
    <w:name w:val="Block Text"/>
    <w:basedOn w:val="1"/>
    <w:autoRedefine/>
    <w:semiHidden/>
    <w:unhideWhenUsed/>
    <w:qFormat/>
    <w:uiPriority w:val="0"/>
    <w:pPr>
      <w:spacing w:after="120"/>
      <w:ind w:left="1440" w:leftChars="700" w:right="1440" w:rightChars="700"/>
    </w:pPr>
  </w:style>
  <w:style w:type="paragraph" w:styleId="24">
    <w:name w:val="toc 3"/>
    <w:basedOn w:val="1"/>
    <w:next w:val="1"/>
    <w:autoRedefine/>
    <w:semiHidden/>
    <w:unhideWhenUsed/>
    <w:qFormat/>
    <w:uiPriority w:val="39"/>
    <w:pPr>
      <w:ind w:left="0" w:leftChars="0"/>
      <w:jc w:val="left"/>
    </w:pPr>
    <w:rPr>
      <w:rFonts w:ascii="Times New Roman" w:hAnsi="Times New Roman" w:eastAsia="宋体"/>
      <w:sz w:val="21"/>
    </w:rPr>
  </w:style>
  <w:style w:type="paragraph" w:styleId="25">
    <w:name w:val="Plain Text"/>
    <w:basedOn w:val="2"/>
    <w:next w:val="1"/>
    <w:link w:val="130"/>
    <w:autoRedefine/>
    <w:unhideWhenUsed/>
    <w:qFormat/>
    <w:uiPriority w:val="0"/>
    <w:pPr>
      <w:keepNext w:val="0"/>
      <w:keepLines w:val="0"/>
      <w:spacing w:before="0" w:after="0" w:line="240" w:lineRule="auto"/>
      <w:outlineLvl w:val="9"/>
    </w:pPr>
    <w:rPr>
      <w:rFonts w:ascii="宋体" w:hAnsi="Courier New" w:cs="Courier New"/>
      <w:bCs w:val="0"/>
      <w:kern w:val="2"/>
      <w:sz w:val="21"/>
      <w:szCs w:val="21"/>
    </w:rPr>
  </w:style>
  <w:style w:type="paragraph" w:styleId="26">
    <w:name w:val="Date"/>
    <w:basedOn w:val="1"/>
    <w:next w:val="1"/>
    <w:link w:val="119"/>
    <w:autoRedefine/>
    <w:semiHidden/>
    <w:unhideWhenUsed/>
    <w:qFormat/>
    <w:uiPriority w:val="99"/>
    <w:pPr>
      <w:ind w:left="100" w:leftChars="2500"/>
    </w:pPr>
    <w:rPr>
      <w:rFonts w:asciiTheme="minorHAnsi" w:hAnsiTheme="minorHAnsi" w:eastAsiaTheme="minorEastAsia" w:cstheme="minorBidi"/>
    </w:rPr>
  </w:style>
  <w:style w:type="paragraph" w:styleId="27">
    <w:name w:val="Body Text Indent 2"/>
    <w:basedOn w:val="2"/>
    <w:next w:val="1"/>
    <w:link w:val="127"/>
    <w:autoRedefine/>
    <w:unhideWhenUsed/>
    <w:qFormat/>
    <w:uiPriority w:val="0"/>
    <w:pPr>
      <w:keepNext w:val="0"/>
      <w:keepLines w:val="0"/>
      <w:spacing w:before="0" w:after="0" w:line="360" w:lineRule="auto"/>
      <w:ind w:firstLine="480" w:firstLineChars="200"/>
      <w:outlineLvl w:val="9"/>
    </w:pPr>
    <w:rPr>
      <w:rFonts w:ascii="Calibri" w:hAnsi="Calibri" w:eastAsiaTheme="minorEastAsia" w:cstheme="minorBidi"/>
      <w:bCs w:val="0"/>
      <w:color w:val="000000"/>
      <w:kern w:val="2"/>
      <w:sz w:val="21"/>
      <w:szCs w:val="22"/>
    </w:rPr>
  </w:style>
  <w:style w:type="paragraph" w:styleId="28">
    <w:name w:val="endnote text"/>
    <w:basedOn w:val="1"/>
    <w:link w:val="713"/>
    <w:autoRedefine/>
    <w:semiHidden/>
    <w:unhideWhenUsed/>
    <w:qFormat/>
    <w:uiPriority w:val="99"/>
    <w:pPr>
      <w:snapToGrid w:val="0"/>
      <w:jc w:val="left"/>
    </w:pPr>
  </w:style>
  <w:style w:type="paragraph" w:styleId="29">
    <w:name w:val="Balloon Text"/>
    <w:basedOn w:val="1"/>
    <w:link w:val="81"/>
    <w:autoRedefine/>
    <w:semiHidden/>
    <w:unhideWhenUsed/>
    <w:qFormat/>
    <w:uiPriority w:val="0"/>
    <w:rPr>
      <w:sz w:val="18"/>
      <w:szCs w:val="18"/>
    </w:rPr>
  </w:style>
  <w:style w:type="paragraph" w:styleId="30">
    <w:name w:val="footer"/>
    <w:basedOn w:val="1"/>
    <w:link w:val="71"/>
    <w:autoRedefine/>
    <w:unhideWhenUsed/>
    <w:qFormat/>
    <w:uiPriority w:val="99"/>
    <w:pPr>
      <w:tabs>
        <w:tab w:val="center" w:pos="4153"/>
        <w:tab w:val="right" w:pos="8306"/>
      </w:tabs>
      <w:snapToGrid w:val="0"/>
      <w:jc w:val="left"/>
    </w:pPr>
    <w:rPr>
      <w:sz w:val="18"/>
      <w:szCs w:val="18"/>
    </w:rPr>
  </w:style>
  <w:style w:type="paragraph" w:styleId="31">
    <w:name w:val="header"/>
    <w:basedOn w:val="1"/>
    <w:link w:val="82"/>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32">
    <w:name w:val="toc 1"/>
    <w:basedOn w:val="1"/>
    <w:next w:val="1"/>
    <w:autoRedefine/>
    <w:unhideWhenUsed/>
    <w:qFormat/>
    <w:uiPriority w:val="39"/>
    <w:pPr>
      <w:tabs>
        <w:tab w:val="right" w:leader="dot" w:pos="8302"/>
      </w:tabs>
      <w:ind w:firstLine="0" w:firstLineChars="0"/>
      <w:jc w:val="center"/>
    </w:pPr>
    <w:rPr>
      <w:rFonts w:ascii="Times New Roman" w:hAnsi="Times New Roman" w:eastAsia="宋体"/>
      <w:b/>
      <w:bCs/>
      <w:iCs/>
      <w:kern w:val="0"/>
      <w:sz w:val="28"/>
      <w:szCs w:val="28"/>
    </w:rPr>
  </w:style>
  <w:style w:type="paragraph" w:styleId="33">
    <w:name w:val="Subtitle"/>
    <w:basedOn w:val="1"/>
    <w:next w:val="1"/>
    <w:link w:val="74"/>
    <w:autoRedefine/>
    <w:qFormat/>
    <w:uiPriority w:val="11"/>
    <w:pPr>
      <w:spacing w:before="200" w:after="200" w:line="360" w:lineRule="auto"/>
      <w:ind w:firstLine="496" w:firstLineChars="177"/>
      <w:jc w:val="left"/>
      <w:outlineLvl w:val="1"/>
    </w:pPr>
    <w:rPr>
      <w:rFonts w:ascii="黑体" w:hAnsi="黑体" w:eastAsia="黑体"/>
      <w:bCs/>
      <w:kern w:val="44"/>
      <w:sz w:val="28"/>
      <w:szCs w:val="28"/>
    </w:rPr>
  </w:style>
  <w:style w:type="paragraph" w:styleId="34">
    <w:name w:val="List"/>
    <w:basedOn w:val="1"/>
    <w:autoRedefine/>
    <w:semiHidden/>
    <w:unhideWhenUsed/>
    <w:qFormat/>
    <w:uiPriority w:val="0"/>
    <w:pPr>
      <w:ind w:left="200" w:hanging="200" w:hangingChars="200"/>
      <w:contextualSpacing/>
    </w:pPr>
  </w:style>
  <w:style w:type="paragraph" w:styleId="35">
    <w:name w:val="Body Text Indent 3"/>
    <w:basedOn w:val="1"/>
    <w:link w:val="129"/>
    <w:autoRedefine/>
    <w:semiHidden/>
    <w:unhideWhenUsed/>
    <w:qFormat/>
    <w:uiPriority w:val="0"/>
    <w:pPr>
      <w:spacing w:after="120"/>
      <w:ind w:left="420" w:leftChars="200"/>
    </w:pPr>
    <w:rPr>
      <w:rFonts w:ascii="Calibri" w:hAnsi="Calibri" w:eastAsiaTheme="minorEastAsia" w:cstheme="minorBidi"/>
      <w:color w:val="000000"/>
      <w:sz w:val="16"/>
      <w:szCs w:val="16"/>
    </w:rPr>
  </w:style>
  <w:style w:type="paragraph" w:styleId="36">
    <w:name w:val="toc 2"/>
    <w:basedOn w:val="1"/>
    <w:next w:val="1"/>
    <w:autoRedefine/>
    <w:unhideWhenUsed/>
    <w:qFormat/>
    <w:uiPriority w:val="39"/>
    <w:pPr>
      <w:tabs>
        <w:tab w:val="right" w:leader="dot" w:pos="8296"/>
      </w:tabs>
      <w:spacing w:line="360" w:lineRule="auto"/>
      <w:ind w:firstLine="320" w:firstLineChars="100"/>
      <w:jc w:val="left"/>
    </w:pPr>
    <w:rPr>
      <w:rFonts w:ascii="Times New Roman" w:hAnsi="Times New Roman" w:eastAsia="宋体"/>
      <w:b/>
      <w:bCs/>
      <w:color w:val="000000"/>
      <w:kern w:val="0"/>
    </w:rPr>
  </w:style>
  <w:style w:type="paragraph" w:styleId="37">
    <w:name w:val="Body Text 2"/>
    <w:basedOn w:val="1"/>
    <w:link w:val="125"/>
    <w:autoRedefine/>
    <w:unhideWhenUsed/>
    <w:qFormat/>
    <w:uiPriority w:val="99"/>
    <w:pPr>
      <w:spacing w:after="120" w:line="480" w:lineRule="auto"/>
    </w:pPr>
    <w:rPr>
      <w:rFonts w:asciiTheme="minorHAnsi" w:hAnsiTheme="minorHAnsi" w:eastAsiaTheme="minorEastAsia" w:cstheme="minorBidi"/>
      <w:sz w:val="24"/>
    </w:rPr>
  </w:style>
  <w:style w:type="paragraph" w:styleId="38">
    <w:name w:val="Message Header"/>
    <w:basedOn w:val="1"/>
    <w:link w:val="759"/>
    <w:autoRedefine/>
    <w:semiHidden/>
    <w:unhideWhenUsed/>
    <w:qFormat/>
    <w:uiPriority w:val="99"/>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sz w:val="24"/>
    </w:rPr>
  </w:style>
  <w:style w:type="paragraph" w:styleId="39">
    <w:name w:val="HTML Preformatted"/>
    <w:basedOn w:val="1"/>
    <w:link w:val="107"/>
    <w:autoRedefine/>
    <w:semiHidden/>
    <w:unhideWhenUsed/>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atLeast"/>
      <w:ind w:firstLine="425" w:firstLineChars="177"/>
      <w:jc w:val="left"/>
    </w:pPr>
    <w:rPr>
      <w:rFonts w:ascii="宋体" w:hAnsi="宋体" w:cs="宋体"/>
      <w:sz w:val="24"/>
    </w:rPr>
  </w:style>
  <w:style w:type="paragraph" w:styleId="40">
    <w:name w:val="Normal (Web)"/>
    <w:basedOn w:val="1"/>
    <w:autoRedefine/>
    <w:unhideWhenUsed/>
    <w:qFormat/>
    <w:uiPriority w:val="0"/>
    <w:pPr>
      <w:keepNext w:val="0"/>
      <w:keepLines w:val="0"/>
      <w:spacing w:before="0" w:after="0" w:line="240" w:lineRule="auto"/>
      <w:contextualSpacing/>
      <w:jc w:val="center"/>
      <w:outlineLvl w:val="9"/>
    </w:pPr>
    <w:rPr>
      <w:kern w:val="2"/>
      <w:position w:val="2"/>
      <w:sz w:val="21"/>
      <w:szCs w:val="21"/>
    </w:rPr>
  </w:style>
  <w:style w:type="paragraph" w:styleId="41">
    <w:name w:val="Title"/>
    <w:basedOn w:val="1"/>
    <w:next w:val="1"/>
    <w:link w:val="72"/>
    <w:autoRedefine/>
    <w:qFormat/>
    <w:uiPriority w:val="10"/>
    <w:pPr>
      <w:tabs>
        <w:tab w:val="left" w:pos="5400"/>
      </w:tabs>
      <w:snapToGrid w:val="0"/>
      <w:spacing w:before="200" w:after="200" w:line="360" w:lineRule="auto"/>
      <w:ind w:firstLine="581" w:firstLineChars="177"/>
      <w:jc w:val="left"/>
      <w:outlineLvl w:val="0"/>
    </w:pPr>
    <w:rPr>
      <w:rFonts w:ascii="黑体" w:hAnsi="黑体" w:eastAsia="黑体"/>
      <w:color w:val="000000"/>
      <w:spacing w:val="4"/>
      <w:kern w:val="44"/>
      <w:sz w:val="32"/>
      <w:szCs w:val="32"/>
    </w:rPr>
  </w:style>
  <w:style w:type="paragraph" w:styleId="42">
    <w:name w:val="annotation subject"/>
    <w:basedOn w:val="16"/>
    <w:next w:val="16"/>
    <w:link w:val="133"/>
    <w:autoRedefine/>
    <w:semiHidden/>
    <w:unhideWhenUsed/>
    <w:qFormat/>
    <w:uiPriority w:val="0"/>
    <w:rPr>
      <w:b/>
      <w:bCs/>
    </w:rPr>
  </w:style>
  <w:style w:type="paragraph" w:styleId="43">
    <w:name w:val="Body Text First Indent"/>
    <w:basedOn w:val="18"/>
    <w:next w:val="1"/>
    <w:link w:val="120"/>
    <w:autoRedefine/>
    <w:unhideWhenUsed/>
    <w:qFormat/>
    <w:uiPriority w:val="0"/>
    <w:pPr>
      <w:spacing w:after="0" w:line="360" w:lineRule="auto"/>
      <w:ind w:firstLine="480" w:firstLineChars="200"/>
    </w:pPr>
    <w:rPr>
      <w:rFonts w:hAnsiTheme="minorEastAsia" w:eastAsiaTheme="minorEastAsia"/>
      <w:bCs/>
      <w:sz w:val="24"/>
    </w:rPr>
  </w:style>
  <w:style w:type="paragraph" w:styleId="44">
    <w:name w:val="Body Text First Indent 2"/>
    <w:basedOn w:val="21"/>
    <w:link w:val="122"/>
    <w:autoRedefine/>
    <w:semiHidden/>
    <w:unhideWhenUsed/>
    <w:qFormat/>
    <w:uiPriority w:val="0"/>
    <w:pPr>
      <w:spacing w:after="120"/>
      <w:ind w:left="420" w:leftChars="200" w:firstLine="420"/>
    </w:pPr>
    <w:rPr>
      <w:sz w:val="28"/>
    </w:rPr>
  </w:style>
  <w:style w:type="table" w:styleId="46">
    <w:name w:val="Table Grid"/>
    <w:basedOn w:val="45"/>
    <w:autoRedefine/>
    <w:qFormat/>
    <w:uiPriority w:val="59"/>
    <w:pPr>
      <w:widowControl w:val="0"/>
      <w:spacing w:line="240" w:lineRule="auto"/>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47">
    <w:name w:val="Table Elegant"/>
    <w:basedOn w:val="45"/>
    <w:autoRedefine/>
    <w:semiHidden/>
    <w:unhideWhenUsed/>
    <w:qFormat/>
    <w:uiPriority w:val="0"/>
    <w:pPr>
      <w:widowControl w:val="0"/>
      <w:spacing w:line="240" w:lineRule="auto"/>
    </w:pPr>
    <w:rPr>
      <w:rFonts w:ascii="Times New Roman" w:hAnsi="Times New Roman" w:eastAsia="宋体" w:cs="Times New Roman"/>
      <w:kern w:val="0"/>
      <w:sz w:val="20"/>
      <w:szCs w:val="20"/>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blPr/>
      <w:tcPr>
        <w:tcBorders>
          <w:top w:val="nil"/>
          <w:left w:val="nil"/>
          <w:bottom w:val="nil"/>
          <w:right w:val="nil"/>
          <w:insideH w:val="nil"/>
          <w:insideV w:val="nil"/>
          <w:tl2br w:val="nil"/>
          <w:tr2bl w:val="nil"/>
        </w:tcBorders>
      </w:tcPr>
    </w:tblStylePr>
  </w:style>
  <w:style w:type="table" w:styleId="48">
    <w:name w:val="Table Grid 1"/>
    <w:basedOn w:val="45"/>
    <w:autoRedefine/>
    <w:semiHidden/>
    <w:unhideWhenUsed/>
    <w:qFormat/>
    <w:uiPriority w:val="0"/>
    <w:pPr>
      <w:widowControl w:val="0"/>
    </w:pPr>
    <w:rPr>
      <w:rFonts w:ascii="Times New Roman" w:hAnsi="Times New Roman" w:eastAsia="宋体" w:cs="Times New Roman"/>
      <w:kern w:val="0"/>
      <w:sz w:val="20"/>
      <w:szCs w:val="20"/>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49">
    <w:name w:val="Table Grid 6"/>
    <w:basedOn w:val="45"/>
    <w:autoRedefine/>
    <w:semiHidden/>
    <w:unhideWhenUsed/>
    <w:qFormat/>
    <w:uiPriority w:val="0"/>
    <w:pPr>
      <w:widowControl w:val="0"/>
      <w:spacing w:line="440" w:lineRule="exact"/>
      <w:ind w:firstLine="496" w:firstLineChars="200"/>
    </w:pPr>
    <w:rPr>
      <w:rFonts w:ascii="Times New Roman" w:hAnsi="Times New Roman" w:eastAsia="宋体" w:cs="Times New Roman"/>
      <w:kern w:val="0"/>
      <w:sz w:val="20"/>
      <w:szCs w:val="20"/>
    </w:rPr>
    <w:tblPr>
      <w:tblBorders>
        <w:top w:val="single" w:color="000000" w:sz="12" w:space="0"/>
        <w:left w:val="single" w:color="000000" w:sz="12" w:space="0"/>
        <w:bottom w:val="single" w:color="000000" w:sz="12" w:space="0"/>
        <w:right w:val="single" w:color="000000" w:sz="12" w:space="0"/>
        <w:insideV w:val="single" w:color="000000" w:sz="6" w:space="0"/>
      </w:tblBorders>
      <w:tblCellMar>
        <w:top w:w="0" w:type="dxa"/>
        <w:left w:w="108" w:type="dxa"/>
        <w:bottom w:w="0" w:type="dxa"/>
        <w:right w:w="108" w:type="dxa"/>
      </w:tblCellMar>
    </w:tblPr>
    <w:tblStylePr w:type="firstRow">
      <w:rPr>
        <w:b/>
        <w:bCs/>
      </w:rPr>
      <w:tblPr/>
      <w:tcPr>
        <w:tcBorders>
          <w:top w:val="nil"/>
          <w:left w:val="nil"/>
          <w:bottom w:val="single" w:color="000000" w:sz="6" w:space="0"/>
          <w:right w:val="nil"/>
          <w:insideH w:val="nil"/>
          <w:insideV w:val="nil"/>
          <w:tl2br w:val="nil"/>
          <w:tr2bl w:val="nil"/>
        </w:tcBorders>
      </w:tcPr>
    </w:tblStylePr>
    <w:tblStylePr w:type="lastRow">
      <w:rPr>
        <w:color w:val="auto"/>
      </w:rPr>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character" w:styleId="51">
    <w:name w:val="Strong"/>
    <w:basedOn w:val="50"/>
    <w:autoRedefine/>
    <w:qFormat/>
    <w:uiPriority w:val="22"/>
    <w:rPr>
      <w:b/>
      <w:bCs/>
    </w:rPr>
  </w:style>
  <w:style w:type="character" w:styleId="52">
    <w:name w:val="endnote reference"/>
    <w:basedOn w:val="50"/>
    <w:autoRedefine/>
    <w:semiHidden/>
    <w:unhideWhenUsed/>
    <w:qFormat/>
    <w:uiPriority w:val="99"/>
    <w:rPr>
      <w:vertAlign w:val="superscript"/>
    </w:rPr>
  </w:style>
  <w:style w:type="character" w:styleId="53">
    <w:name w:val="FollowedHyperlink"/>
    <w:basedOn w:val="50"/>
    <w:autoRedefine/>
    <w:semiHidden/>
    <w:unhideWhenUsed/>
    <w:qFormat/>
    <w:uiPriority w:val="99"/>
    <w:rPr>
      <w:color w:val="800080" w:themeColor="followedHyperlink"/>
      <w:u w:val="single"/>
    </w:rPr>
  </w:style>
  <w:style w:type="character" w:styleId="54">
    <w:name w:val="HTML Typewriter"/>
    <w:autoRedefine/>
    <w:semiHidden/>
    <w:unhideWhenUsed/>
    <w:qFormat/>
    <w:uiPriority w:val="0"/>
    <w:rPr>
      <w:rFonts w:hint="eastAsia" w:ascii="宋体" w:hAnsi="宋体" w:eastAsia="宋体" w:cs="宋体"/>
      <w:sz w:val="24"/>
      <w:szCs w:val="24"/>
    </w:rPr>
  </w:style>
  <w:style w:type="character" w:styleId="55">
    <w:name w:val="Hyperlink"/>
    <w:autoRedefine/>
    <w:unhideWhenUsed/>
    <w:qFormat/>
    <w:uiPriority w:val="99"/>
    <w:rPr>
      <w:color w:val="0000FF"/>
      <w:u w:val="single"/>
    </w:rPr>
  </w:style>
  <w:style w:type="character" w:styleId="56">
    <w:name w:val="annotation reference"/>
    <w:autoRedefine/>
    <w:semiHidden/>
    <w:unhideWhenUsed/>
    <w:qFormat/>
    <w:uiPriority w:val="0"/>
    <w:rPr>
      <w:sz w:val="21"/>
      <w:szCs w:val="21"/>
    </w:rPr>
  </w:style>
  <w:style w:type="paragraph" w:customStyle="1" w:styleId="57">
    <w:name w:val="样式 正文文本缩进 + 行距: 1.5 倍行距"/>
    <w:basedOn w:val="21"/>
    <w:qFormat/>
    <w:uiPriority w:val="0"/>
    <w:pPr>
      <w:spacing w:after="120"/>
      <w:ind w:left="90" w:leftChars="32" w:firstLine="560"/>
    </w:pPr>
    <w:rPr>
      <w:rFonts w:ascii="Times New Roman" w:hAnsi="Times New Roman"/>
      <w:lang w:val="en-US"/>
    </w:rPr>
  </w:style>
  <w:style w:type="paragraph" w:customStyle="1" w:styleId="58">
    <w:name w:val="11111"/>
    <w:next w:val="1"/>
    <w:autoRedefine/>
    <w:qFormat/>
    <w:uiPriority w:val="0"/>
    <w:pPr>
      <w:widowControl w:val="0"/>
      <w:spacing w:line="360" w:lineRule="auto"/>
      <w:ind w:firstLine="200" w:firstLineChars="200"/>
      <w:jc w:val="both"/>
    </w:pPr>
    <w:rPr>
      <w:rFonts w:ascii="Calibri" w:hAnsi="宋体" w:eastAsia="宋体" w:cs="宋体"/>
      <w:kern w:val="2"/>
      <w:sz w:val="21"/>
      <w:szCs w:val="24"/>
      <w:lang w:val="en-US" w:eastAsia="zh-CN" w:bidi="ar-SA"/>
    </w:rPr>
  </w:style>
  <w:style w:type="paragraph" w:customStyle="1" w:styleId="59">
    <w:name w:val="xl27"/>
    <w:basedOn w:val="2"/>
    <w:autoRedefine/>
    <w:qFormat/>
    <w:uiPriority w:val="99"/>
    <w:pPr>
      <w:keepNext w:val="0"/>
      <w:keepLines w:val="0"/>
      <w:widowControl/>
      <w:pBdr>
        <w:bottom w:val="single" w:color="auto" w:sz="12" w:space="0"/>
      </w:pBdr>
      <w:spacing w:before="100" w:after="100" w:line="500" w:lineRule="atLeast"/>
      <w:ind w:firstLine="425" w:firstLineChars="177"/>
      <w:jc w:val="center"/>
      <w:outlineLvl w:val="9"/>
    </w:pPr>
    <w:rPr>
      <w:rFonts w:ascii="宋体" w:hAnsi="宋体"/>
      <w:bCs w:val="0"/>
      <w:kern w:val="0"/>
      <w:sz w:val="24"/>
      <w:szCs w:val="20"/>
    </w:rPr>
  </w:style>
  <w:style w:type="paragraph" w:customStyle="1" w:styleId="60">
    <w:name w:val="Default"/>
    <w:basedOn w:val="61"/>
    <w:next w:val="1"/>
    <w:link w:val="219"/>
    <w:autoRedefine/>
    <w:qFormat/>
    <w:uiPriority w:val="0"/>
    <w:pPr>
      <w:widowControl w:val="0"/>
      <w:autoSpaceDE w:val="0"/>
      <w:autoSpaceDN w:val="0"/>
      <w:adjustRightInd w:val="0"/>
      <w:spacing w:line="360" w:lineRule="auto"/>
      <w:ind w:firstLine="480" w:firstLineChars="200"/>
      <w:jc w:val="both"/>
    </w:pPr>
    <w:rPr>
      <w:rFonts w:ascii="Times New Roman" w:cs="Times New Roman" w:hAnsiTheme="minorEastAsia" w:eastAsiaTheme="minorEastAsia"/>
      <w:bCs/>
      <w:kern w:val="2"/>
      <w:sz w:val="24"/>
      <w:szCs w:val="24"/>
      <w:lang w:val="zh-CN" w:eastAsia="zh-CN" w:bidi="ar-SA"/>
    </w:rPr>
  </w:style>
  <w:style w:type="paragraph" w:customStyle="1" w:styleId="61">
    <w:name w:val="纯文本1"/>
    <w:basedOn w:val="2"/>
    <w:autoRedefine/>
    <w:qFormat/>
    <w:uiPriority w:val="99"/>
    <w:pPr>
      <w:keepNext w:val="0"/>
      <w:keepLines w:val="0"/>
      <w:adjustRightInd w:val="0"/>
      <w:spacing w:before="0" w:after="0" w:line="500" w:lineRule="atLeast"/>
      <w:ind w:firstLine="425" w:firstLineChars="177"/>
      <w:outlineLvl w:val="9"/>
    </w:pPr>
    <w:rPr>
      <w:rFonts w:ascii="宋体" w:hAnsi="Courier New"/>
      <w:bCs w:val="0"/>
      <w:color w:val="000000"/>
      <w:kern w:val="2"/>
      <w:sz w:val="24"/>
      <w:szCs w:val="20"/>
    </w:rPr>
  </w:style>
  <w:style w:type="character" w:customStyle="1" w:styleId="62">
    <w:name w:val="标题 1 Char"/>
    <w:link w:val="2"/>
    <w:autoRedefine/>
    <w:qFormat/>
    <w:uiPriority w:val="0"/>
    <w:rPr>
      <w:rFonts w:ascii="Times New Roman" w:hAnsi="Times New Roman" w:eastAsia="黑体" w:cs="Times New Roman"/>
      <w:bCs/>
      <w:kern w:val="44"/>
      <w:sz w:val="32"/>
      <w:szCs w:val="44"/>
      <w:highlight w:val="none"/>
      <w:lang w:val="en-US" w:eastAsia="zh-CN" w:bidi="ar-SA"/>
    </w:rPr>
  </w:style>
  <w:style w:type="character" w:customStyle="1" w:styleId="63">
    <w:name w:val="标题 2 Char"/>
    <w:link w:val="3"/>
    <w:autoRedefine/>
    <w:qFormat/>
    <w:uiPriority w:val="0"/>
    <w:rPr>
      <w:rFonts w:ascii="Times New Roman" w:hAnsi="Times New Roman" w:eastAsia="黑体" w:cstheme="majorBidi"/>
      <w:bCs/>
      <w:kern w:val="44"/>
      <w:sz w:val="30"/>
      <w:szCs w:val="30"/>
      <w:highlight w:val="none"/>
      <w:lang w:val="en-US" w:eastAsia="zh-CN" w:bidi="ar-SA"/>
    </w:rPr>
  </w:style>
  <w:style w:type="character" w:customStyle="1" w:styleId="64">
    <w:name w:val="标题 3 Char"/>
    <w:link w:val="4"/>
    <w:autoRedefine/>
    <w:qFormat/>
    <w:uiPriority w:val="0"/>
    <w:rPr>
      <w:rFonts w:ascii="Times New Roman" w:hAnsi="Times New Roman" w:eastAsia="黑体" w:cstheme="majorBidi"/>
      <w:bCs/>
      <w:kern w:val="44"/>
      <w:sz w:val="28"/>
      <w:szCs w:val="30"/>
      <w:highlight w:val="none"/>
      <w:lang w:val="en-US" w:eastAsia="zh-CN" w:bidi="ar-SA"/>
    </w:rPr>
  </w:style>
  <w:style w:type="character" w:customStyle="1" w:styleId="65">
    <w:name w:val="标题 4 Char"/>
    <w:basedOn w:val="50"/>
    <w:link w:val="6"/>
    <w:autoRedefine/>
    <w:qFormat/>
    <w:uiPriority w:val="0"/>
    <w:rPr>
      <w:rFonts w:ascii="Times New Roman" w:hAnsi="Times New Roman" w:eastAsia="黑体" w:cstheme="majorBidi"/>
      <w:sz w:val="24"/>
      <w:szCs w:val="28"/>
    </w:rPr>
  </w:style>
  <w:style w:type="character" w:customStyle="1" w:styleId="66">
    <w:name w:val="标题 5 Char"/>
    <w:link w:val="7"/>
    <w:autoRedefine/>
    <w:semiHidden/>
    <w:qFormat/>
    <w:uiPriority w:val="0"/>
    <w:rPr>
      <w:rFonts w:ascii="Times New Roman" w:hAnsi="Times New Roman" w:eastAsia="宋体" w:cs="Times New Roman"/>
      <w:b/>
      <w:color w:val="000000"/>
      <w:kern w:val="0"/>
      <w:sz w:val="21"/>
      <w:szCs w:val="28"/>
      <w:lang w:val="en-US" w:eastAsia="zh-CN" w:bidi="ar-SA"/>
    </w:rPr>
  </w:style>
  <w:style w:type="character" w:customStyle="1" w:styleId="67">
    <w:name w:val="标题 6 Char"/>
    <w:link w:val="8"/>
    <w:autoRedefine/>
    <w:semiHidden/>
    <w:qFormat/>
    <w:uiPriority w:val="0"/>
    <w:rPr>
      <w:rFonts w:ascii="Times New Roman" w:hAnsi="Times New Roman" w:eastAsia="宋体" w:cs="Times New Roman"/>
      <w:color w:val="000000"/>
      <w:kern w:val="0"/>
      <w:sz w:val="21"/>
      <w:szCs w:val="24"/>
      <w:lang w:val="en-US" w:eastAsia="zh-CN" w:bidi="ar-SA"/>
    </w:rPr>
  </w:style>
  <w:style w:type="character" w:customStyle="1" w:styleId="68">
    <w:name w:val="标题 7 Char"/>
    <w:basedOn w:val="50"/>
    <w:link w:val="9"/>
    <w:autoRedefine/>
    <w:semiHidden/>
    <w:qFormat/>
    <w:uiPriority w:val="99"/>
    <w:rPr>
      <w:rFonts w:ascii="Times New Roman" w:hAnsi="Times New Roman" w:eastAsia="宋体" w:cs="Times New Roman"/>
      <w:b/>
      <w:bCs/>
      <w:color w:val="000000"/>
      <w:kern w:val="0"/>
      <w:sz w:val="24"/>
      <w:szCs w:val="24"/>
    </w:rPr>
  </w:style>
  <w:style w:type="character" w:customStyle="1" w:styleId="69">
    <w:name w:val="标题 8 Char"/>
    <w:basedOn w:val="50"/>
    <w:link w:val="10"/>
    <w:autoRedefine/>
    <w:semiHidden/>
    <w:qFormat/>
    <w:uiPriority w:val="99"/>
    <w:rPr>
      <w:rFonts w:ascii="Arial" w:hAnsi="Arial" w:eastAsia="黑体" w:cs="Times New Roman"/>
      <w:color w:val="000000"/>
      <w:kern w:val="0"/>
      <w:sz w:val="24"/>
      <w:szCs w:val="24"/>
    </w:rPr>
  </w:style>
  <w:style w:type="character" w:customStyle="1" w:styleId="70">
    <w:name w:val="标题 9 Char"/>
    <w:basedOn w:val="50"/>
    <w:link w:val="11"/>
    <w:autoRedefine/>
    <w:semiHidden/>
    <w:qFormat/>
    <w:uiPriority w:val="99"/>
    <w:rPr>
      <w:rFonts w:ascii="Times New Roman" w:hAnsi="Times New Roman" w:eastAsia="宋体" w:cs="Times New Roman"/>
      <w:color w:val="000000"/>
      <w:kern w:val="0"/>
      <w:sz w:val="24"/>
      <w:szCs w:val="21"/>
    </w:rPr>
  </w:style>
  <w:style w:type="character" w:customStyle="1" w:styleId="71">
    <w:name w:val="页脚 Char"/>
    <w:basedOn w:val="50"/>
    <w:link w:val="30"/>
    <w:autoRedefine/>
    <w:qFormat/>
    <w:uiPriority w:val="99"/>
    <w:rPr>
      <w:rFonts w:ascii="Times New Roman" w:hAnsi="Times New Roman" w:eastAsia="宋体" w:cs="Times New Roman"/>
      <w:sz w:val="18"/>
      <w:szCs w:val="18"/>
    </w:rPr>
  </w:style>
  <w:style w:type="character" w:customStyle="1" w:styleId="72">
    <w:name w:val="标题 Char1"/>
    <w:basedOn w:val="50"/>
    <w:link w:val="41"/>
    <w:autoRedefine/>
    <w:qFormat/>
    <w:locked/>
    <w:uiPriority w:val="10"/>
    <w:rPr>
      <w:rFonts w:ascii="黑体" w:hAnsi="黑体" w:eastAsia="黑体" w:cs="Times New Roman"/>
      <w:color w:val="000000"/>
      <w:spacing w:val="4"/>
      <w:kern w:val="44"/>
      <w:sz w:val="32"/>
      <w:szCs w:val="32"/>
    </w:rPr>
  </w:style>
  <w:style w:type="character" w:customStyle="1" w:styleId="73">
    <w:name w:val="标题 Char"/>
    <w:basedOn w:val="50"/>
    <w:autoRedefine/>
    <w:qFormat/>
    <w:uiPriority w:val="10"/>
    <w:rPr>
      <w:rFonts w:eastAsia="宋体" w:asciiTheme="majorHAnsi" w:hAnsiTheme="majorHAnsi" w:cstheme="majorBidi"/>
      <w:b/>
      <w:bCs/>
      <w:sz w:val="32"/>
      <w:szCs w:val="32"/>
    </w:rPr>
  </w:style>
  <w:style w:type="character" w:customStyle="1" w:styleId="74">
    <w:name w:val="副标题 Char"/>
    <w:basedOn w:val="50"/>
    <w:link w:val="33"/>
    <w:autoRedefine/>
    <w:qFormat/>
    <w:uiPriority w:val="11"/>
    <w:rPr>
      <w:rFonts w:ascii="黑体" w:hAnsi="黑体" w:eastAsia="黑体" w:cs="Times New Roman"/>
      <w:bCs/>
      <w:kern w:val="44"/>
      <w:sz w:val="28"/>
      <w:szCs w:val="28"/>
    </w:rPr>
  </w:style>
  <w:style w:type="character" w:customStyle="1" w:styleId="75">
    <w:name w:val="【正文】 Char"/>
    <w:basedOn w:val="50"/>
    <w:link w:val="76"/>
    <w:autoRedefine/>
    <w:qFormat/>
    <w:locked/>
    <w:uiPriority w:val="0"/>
    <w:rPr>
      <w:sz w:val="24"/>
      <w:szCs w:val="24"/>
    </w:rPr>
  </w:style>
  <w:style w:type="paragraph" w:customStyle="1" w:styleId="76">
    <w:name w:val="【正文】"/>
    <w:basedOn w:val="1"/>
    <w:next w:val="38"/>
    <w:link w:val="75"/>
    <w:autoRedefine/>
    <w:qFormat/>
    <w:uiPriority w:val="0"/>
    <w:pPr>
      <w:widowControl/>
      <w:adjustRightInd w:val="0"/>
      <w:snapToGrid w:val="0"/>
      <w:spacing w:line="360" w:lineRule="auto"/>
      <w:ind w:firstLine="480" w:firstLineChars="200"/>
      <w:jc w:val="left"/>
    </w:pPr>
    <w:rPr>
      <w:rFonts w:asciiTheme="minorHAnsi" w:hAnsiTheme="minorHAnsi" w:eastAsiaTheme="minorEastAsia" w:cstheme="minorBidi"/>
      <w:sz w:val="24"/>
    </w:rPr>
  </w:style>
  <w:style w:type="character" w:customStyle="1" w:styleId="77">
    <w:name w:val="【表头】 Char"/>
    <w:link w:val="78"/>
    <w:autoRedefine/>
    <w:qFormat/>
    <w:locked/>
    <w:uiPriority w:val="0"/>
    <w:rPr>
      <w:rFonts w:ascii="宋体" w:hAnsi="宋体" w:eastAsia="宋体"/>
      <w:b/>
      <w:szCs w:val="21"/>
    </w:rPr>
  </w:style>
  <w:style w:type="paragraph" w:customStyle="1" w:styleId="78">
    <w:name w:val="【表头】"/>
    <w:basedOn w:val="1"/>
    <w:link w:val="77"/>
    <w:autoRedefine/>
    <w:qFormat/>
    <w:uiPriority w:val="0"/>
    <w:pPr>
      <w:spacing w:line="500" w:lineRule="atLeast"/>
      <w:ind w:firstLine="425" w:firstLineChars="177"/>
      <w:jc w:val="center"/>
    </w:pPr>
    <w:rPr>
      <w:rFonts w:ascii="宋体" w:hAnsi="宋体" w:cstheme="minorBidi"/>
      <w:b/>
      <w:szCs w:val="21"/>
    </w:rPr>
  </w:style>
  <w:style w:type="table" w:customStyle="1" w:styleId="79">
    <w:name w:val="环评表格"/>
    <w:basedOn w:val="45"/>
    <w:autoRedefine/>
    <w:qFormat/>
    <w:uiPriority w:val="0"/>
    <w:pPr>
      <w:snapToGrid w:val="0"/>
      <w:jc w:val="center"/>
    </w:pPr>
    <w:rPr>
      <w:rFonts w:ascii="Times New Roman" w:hAnsi="Times New Roman" w:eastAsia="宋体" w:cs="Times New Roman"/>
      <w:kern w:val="0"/>
      <w:szCs w:val="20"/>
    </w:rPr>
    <w:tblP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style>
  <w:style w:type="character" w:customStyle="1" w:styleId="80">
    <w:name w:val="文档结构图 Char"/>
    <w:basedOn w:val="50"/>
    <w:link w:val="15"/>
    <w:autoRedefine/>
    <w:semiHidden/>
    <w:qFormat/>
    <w:uiPriority w:val="99"/>
    <w:rPr>
      <w:rFonts w:ascii="宋体" w:hAnsi="Times New Roman" w:eastAsia="宋体" w:cs="Times New Roman"/>
      <w:sz w:val="18"/>
      <w:szCs w:val="18"/>
    </w:rPr>
  </w:style>
  <w:style w:type="character" w:customStyle="1" w:styleId="81">
    <w:name w:val="批注框文本 Char"/>
    <w:basedOn w:val="50"/>
    <w:link w:val="29"/>
    <w:autoRedefine/>
    <w:semiHidden/>
    <w:qFormat/>
    <w:uiPriority w:val="0"/>
    <w:rPr>
      <w:rFonts w:ascii="Times New Roman" w:hAnsi="Times New Roman" w:eastAsia="宋体" w:cs="Times New Roman"/>
      <w:sz w:val="18"/>
      <w:szCs w:val="18"/>
    </w:rPr>
  </w:style>
  <w:style w:type="character" w:customStyle="1" w:styleId="82">
    <w:name w:val="页眉 Char"/>
    <w:basedOn w:val="50"/>
    <w:link w:val="31"/>
    <w:autoRedefine/>
    <w:semiHidden/>
    <w:qFormat/>
    <w:uiPriority w:val="99"/>
    <w:rPr>
      <w:rFonts w:ascii="Times New Roman" w:hAnsi="Times New Roman" w:eastAsia="宋体" w:cs="Times New Roman"/>
      <w:sz w:val="18"/>
      <w:szCs w:val="18"/>
    </w:rPr>
  </w:style>
  <w:style w:type="character" w:customStyle="1" w:styleId="83">
    <w:name w:val="fontstyle01"/>
    <w:basedOn w:val="50"/>
    <w:autoRedefine/>
    <w:qFormat/>
    <w:uiPriority w:val="0"/>
    <w:rPr>
      <w:rFonts w:hint="eastAsia" w:ascii="宋体" w:hAnsi="宋体" w:eastAsia="宋体"/>
      <w:color w:val="000000"/>
      <w:sz w:val="24"/>
      <w:szCs w:val="24"/>
    </w:rPr>
  </w:style>
  <w:style w:type="character" w:customStyle="1" w:styleId="84">
    <w:name w:val="fontstyle11"/>
    <w:basedOn w:val="50"/>
    <w:autoRedefine/>
    <w:qFormat/>
    <w:uiPriority w:val="0"/>
    <w:rPr>
      <w:rFonts w:hint="default" w:ascii="TimesNewRomanPSMT" w:hAnsi="TimesNewRomanPSMT"/>
      <w:color w:val="000000"/>
      <w:sz w:val="24"/>
      <w:szCs w:val="24"/>
    </w:rPr>
  </w:style>
  <w:style w:type="character" w:customStyle="1" w:styleId="85">
    <w:name w:val="【表中文字】 Char Char"/>
    <w:link w:val="86"/>
    <w:autoRedefine/>
    <w:qFormat/>
    <w:locked/>
    <w:uiPriority w:val="0"/>
    <w:rPr>
      <w:rFonts w:ascii="Times New Roman" w:eastAsia="宋体" w:cs="Times New Roman" w:hAnsiTheme="minorEastAsia"/>
      <w:szCs w:val="21"/>
    </w:rPr>
  </w:style>
  <w:style w:type="paragraph" w:customStyle="1" w:styleId="86">
    <w:name w:val="【表中文字】"/>
    <w:basedOn w:val="1"/>
    <w:link w:val="85"/>
    <w:autoRedefine/>
    <w:qFormat/>
    <w:uiPriority w:val="0"/>
    <w:pPr>
      <w:jc w:val="center"/>
    </w:pPr>
    <w:rPr>
      <w:rFonts w:hAnsiTheme="minorEastAsia"/>
      <w:szCs w:val="21"/>
    </w:rPr>
  </w:style>
  <w:style w:type="paragraph" w:customStyle="1" w:styleId="87">
    <w:name w:val="p17"/>
    <w:basedOn w:val="1"/>
    <w:autoRedefine/>
    <w:qFormat/>
    <w:uiPriority w:val="0"/>
    <w:pPr>
      <w:widowControl/>
      <w:spacing w:line="560" w:lineRule="atLeast"/>
    </w:pPr>
    <w:rPr>
      <w:rFonts w:ascii="Arial" w:hAnsi="Arial"/>
      <w:b/>
      <w:kern w:val="0"/>
      <w:sz w:val="36"/>
      <w:szCs w:val="20"/>
    </w:rPr>
  </w:style>
  <w:style w:type="table" w:customStyle="1" w:styleId="88">
    <w:name w:val="&gt;&gt; 表格样式 &lt;&lt;"/>
    <w:basedOn w:val="45"/>
    <w:autoRedefine/>
    <w:qFormat/>
    <w:uiPriority w:val="0"/>
    <w:pPr>
      <w:keepLines/>
      <w:spacing w:line="240" w:lineRule="auto"/>
      <w:jc w:val="center"/>
    </w:pPr>
    <w:rPr>
      <w:rFonts w:ascii="Times New Roman" w:hAnsi="Times New Roman" w:eastAsia="宋体" w:cs="Times New Roman"/>
      <w:kern w:val="0"/>
      <w:szCs w:val="21"/>
    </w:rPr>
    <w:tblPr>
      <w:tblBorders>
        <w:top w:val="single" w:color="auto" w:sz="12" w:space="0"/>
        <w:bottom w:val="single" w:color="auto" w:sz="12" w:space="0"/>
        <w:insideH w:val="single" w:color="auto" w:sz="8" w:space="0"/>
        <w:insideV w:val="single" w:color="auto" w:sz="8" w:space="0"/>
      </w:tblBorders>
      <w:tblCellMar>
        <w:top w:w="0" w:type="dxa"/>
        <w:left w:w="108" w:type="dxa"/>
        <w:bottom w:w="0" w:type="dxa"/>
        <w:right w:w="108" w:type="dxa"/>
      </w:tblCellMar>
    </w:tblPr>
    <w:tcPr>
      <w:vAlign w:val="center"/>
    </w:tcPr>
    <w:tblStylePr w:type="firstRow">
      <w:rPr>
        <w:rFonts w:hint="eastAsia" w:ascii="宋体" w:hAnsi="宋体" w:eastAsia="宋体"/>
        <w:b w:val="0"/>
        <w:sz w:val="21"/>
        <w:szCs w:val="21"/>
      </w:rPr>
      <w:tcPr>
        <w:tcBorders>
          <w:top w:val="single" w:color="auto" w:sz="12" w:space="0"/>
          <w:left w:val="nil"/>
          <w:bottom w:val="single" w:color="auto" w:sz="8" w:space="0"/>
          <w:right w:val="nil"/>
          <w:insideH w:val="nil"/>
          <w:insideV w:val="single" w:sz="8" w:space="0"/>
          <w:tl2br w:val="nil"/>
          <w:tr2bl w:val="nil"/>
        </w:tcBorders>
      </w:tcPr>
    </w:tblStylePr>
    <w:tblStylePr w:type="lastRow">
      <w:tcPr>
        <w:tcBorders>
          <w:top w:val="single" w:color="auto" w:sz="8" w:space="0"/>
          <w:left w:val="nil"/>
          <w:bottom w:val="single" w:color="auto" w:sz="12" w:space="0"/>
          <w:right w:val="nil"/>
          <w:insideH w:val="nil"/>
          <w:insideV w:val="single" w:sz="8" w:space="0"/>
          <w:tl2br w:val="nil"/>
          <w:tr2bl w:val="nil"/>
        </w:tcBorders>
      </w:tcPr>
    </w:tblStylePr>
    <w:tblStylePr w:type="firstCol">
      <w:pPr>
        <w:jc w:val="center"/>
      </w:pPr>
      <w:rPr>
        <w:rFonts w:hint="eastAsia" w:ascii="宋体" w:hAnsi="宋体" w:eastAsia="宋体"/>
        <w:b w:val="0"/>
        <w:sz w:val="21"/>
        <w:szCs w:val="21"/>
      </w:rPr>
      <w:tcPr>
        <w:tcBorders>
          <w:top w:val="single" w:color="auto" w:sz="12" w:space="0"/>
          <w:left w:val="nil"/>
          <w:bottom w:val="single" w:color="auto" w:sz="12" w:space="0"/>
          <w:right w:val="single" w:color="auto" w:sz="8" w:space="0"/>
          <w:insideH w:val="nil"/>
          <w:insideV w:val="nil"/>
          <w:tl2br w:val="nil"/>
          <w:tr2bl w:val="nil"/>
        </w:tcBorders>
      </w:tcPr>
    </w:tblStylePr>
    <w:tblStylePr w:type="lastCol">
      <w:tcPr>
        <w:tcBorders>
          <w:top w:val="single" w:color="auto" w:sz="12" w:space="0"/>
          <w:left w:val="single" w:color="auto" w:sz="8" w:space="0"/>
          <w:bottom w:val="single" w:color="auto" w:sz="12" w:space="0"/>
          <w:right w:val="nil"/>
          <w:insideH w:val="nil"/>
          <w:insideV w:val="nil"/>
          <w:tl2br w:val="nil"/>
          <w:tr2bl w:val="nil"/>
        </w:tcBorders>
      </w:tcPr>
    </w:tblStylePr>
  </w:style>
  <w:style w:type="character" w:customStyle="1" w:styleId="89">
    <w:name w:val="【表中文字】 Char"/>
    <w:autoRedefine/>
    <w:qFormat/>
    <w:locked/>
    <w:uiPriority w:val="0"/>
    <w:rPr>
      <w:rFonts w:ascii="Times New Roman" w:hAnsi="Times New Roman" w:cs="Times New Roman"/>
    </w:rPr>
  </w:style>
  <w:style w:type="character" w:customStyle="1" w:styleId="90">
    <w:name w:val="3级标题 Char"/>
    <w:basedOn w:val="50"/>
    <w:link w:val="91"/>
    <w:autoRedefine/>
    <w:qFormat/>
    <w:locked/>
    <w:uiPriority w:val="0"/>
    <w:rPr>
      <w:rFonts w:ascii="黑体" w:hAnsi="黑体" w:eastAsia="黑体"/>
      <w:sz w:val="24"/>
      <w:szCs w:val="24"/>
    </w:rPr>
  </w:style>
  <w:style w:type="paragraph" w:customStyle="1" w:styleId="91">
    <w:name w:val="3级标题"/>
    <w:basedOn w:val="1"/>
    <w:link w:val="90"/>
    <w:autoRedefine/>
    <w:qFormat/>
    <w:uiPriority w:val="0"/>
    <w:pPr>
      <w:spacing w:before="160" w:after="160" w:line="360" w:lineRule="auto"/>
      <w:ind w:firstLine="425" w:firstLineChars="177"/>
    </w:pPr>
    <w:rPr>
      <w:rFonts w:ascii="黑体" w:hAnsi="黑体" w:eastAsia="黑体" w:cstheme="minorBidi"/>
      <w:sz w:val="24"/>
    </w:rPr>
  </w:style>
  <w:style w:type="character" w:customStyle="1" w:styleId="92">
    <w:name w:val="正文文本 Char"/>
    <w:basedOn w:val="50"/>
    <w:link w:val="18"/>
    <w:autoRedefine/>
    <w:qFormat/>
    <w:locked/>
    <w:uiPriority w:val="0"/>
    <w:rPr>
      <w:rFonts w:ascii="Times New Roman" w:hAnsi="Times New Roman" w:eastAsia="宋体" w:cs="Times New Roman"/>
      <w:szCs w:val="24"/>
    </w:rPr>
  </w:style>
  <w:style w:type="character" w:customStyle="1" w:styleId="93">
    <w:name w:val="正文文本 Char1"/>
    <w:basedOn w:val="50"/>
    <w:autoRedefine/>
    <w:qFormat/>
    <w:uiPriority w:val="0"/>
    <w:rPr>
      <w:rFonts w:ascii="Times New Roman" w:hAnsi="Times New Roman" w:eastAsia="宋体" w:cs="Times New Roman"/>
      <w:szCs w:val="24"/>
    </w:rPr>
  </w:style>
  <w:style w:type="table" w:customStyle="1" w:styleId="94">
    <w:name w:val="&gt;&gt; 表格样式 &lt;&lt;1"/>
    <w:basedOn w:val="45"/>
    <w:autoRedefine/>
    <w:qFormat/>
    <w:uiPriority w:val="0"/>
    <w:pPr>
      <w:keepLines/>
      <w:spacing w:line="240" w:lineRule="auto"/>
      <w:jc w:val="center"/>
    </w:pPr>
    <w:rPr>
      <w:rFonts w:ascii="Times New Roman" w:hAnsi="Times New Roman" w:eastAsia="宋体" w:cs="Times New Roman"/>
      <w:kern w:val="0"/>
      <w:szCs w:val="21"/>
    </w:rPr>
    <w:tblPr>
      <w:tblBorders>
        <w:top w:val="single" w:color="auto" w:sz="12" w:space="0"/>
        <w:bottom w:val="single" w:color="auto" w:sz="12" w:space="0"/>
        <w:insideH w:val="single" w:color="auto" w:sz="8" w:space="0"/>
        <w:insideV w:val="single" w:color="auto" w:sz="8" w:space="0"/>
      </w:tblBorders>
      <w:tblCellMar>
        <w:top w:w="0" w:type="dxa"/>
        <w:left w:w="108" w:type="dxa"/>
        <w:bottom w:w="0" w:type="dxa"/>
        <w:right w:w="108" w:type="dxa"/>
      </w:tblCellMar>
    </w:tblPr>
    <w:tcPr>
      <w:vAlign w:val="center"/>
    </w:tcPr>
    <w:tblStylePr w:type="firstRow">
      <w:rPr>
        <w:rFonts w:hint="eastAsia" w:ascii="宋体" w:hAnsi="宋体" w:eastAsia="宋体"/>
        <w:b w:val="0"/>
        <w:sz w:val="21"/>
        <w:szCs w:val="21"/>
      </w:rPr>
      <w:tcPr>
        <w:tcBorders>
          <w:top w:val="single" w:color="auto" w:sz="12" w:space="0"/>
          <w:left w:val="nil"/>
          <w:bottom w:val="single" w:color="auto" w:sz="8" w:space="0"/>
          <w:right w:val="nil"/>
          <w:insideH w:val="nil"/>
          <w:insideV w:val="single" w:sz="8" w:space="0"/>
          <w:tl2br w:val="nil"/>
          <w:tr2bl w:val="nil"/>
        </w:tcBorders>
      </w:tcPr>
    </w:tblStylePr>
    <w:tblStylePr w:type="lastRow">
      <w:tcPr>
        <w:tcBorders>
          <w:top w:val="single" w:color="auto" w:sz="8" w:space="0"/>
          <w:left w:val="nil"/>
          <w:bottom w:val="single" w:color="auto" w:sz="12" w:space="0"/>
          <w:right w:val="nil"/>
          <w:insideH w:val="nil"/>
          <w:insideV w:val="single" w:sz="8" w:space="0"/>
          <w:tl2br w:val="nil"/>
          <w:tr2bl w:val="nil"/>
        </w:tcBorders>
      </w:tcPr>
    </w:tblStylePr>
    <w:tblStylePr w:type="firstCol">
      <w:pPr>
        <w:jc w:val="center"/>
      </w:pPr>
      <w:rPr>
        <w:rFonts w:hint="eastAsia" w:ascii="宋体" w:hAnsi="宋体" w:eastAsia="宋体"/>
        <w:b w:val="0"/>
        <w:sz w:val="21"/>
        <w:szCs w:val="21"/>
      </w:rPr>
      <w:tcPr>
        <w:tcBorders>
          <w:top w:val="single" w:color="auto" w:sz="12" w:space="0"/>
          <w:left w:val="nil"/>
          <w:bottom w:val="single" w:color="auto" w:sz="12" w:space="0"/>
          <w:right w:val="single" w:color="auto" w:sz="8" w:space="0"/>
          <w:insideH w:val="nil"/>
          <w:insideV w:val="nil"/>
          <w:tl2br w:val="nil"/>
          <w:tr2bl w:val="nil"/>
        </w:tcBorders>
      </w:tcPr>
    </w:tblStylePr>
    <w:tblStylePr w:type="lastCol">
      <w:tcPr>
        <w:tcBorders>
          <w:top w:val="single" w:color="auto" w:sz="12" w:space="0"/>
          <w:left w:val="single" w:color="auto" w:sz="8" w:space="0"/>
          <w:bottom w:val="single" w:color="auto" w:sz="12" w:space="0"/>
          <w:right w:val="nil"/>
          <w:insideH w:val="nil"/>
          <w:insideV w:val="nil"/>
          <w:tl2br w:val="nil"/>
          <w:tr2bl w:val="nil"/>
        </w:tcBorders>
      </w:tcPr>
    </w:tblStylePr>
  </w:style>
  <w:style w:type="paragraph" w:customStyle="1" w:styleId="95">
    <w:name w:val="表格"/>
    <w:basedOn w:val="1"/>
    <w:link w:val="96"/>
    <w:autoRedefine/>
    <w:qFormat/>
    <w:uiPriority w:val="0"/>
    <w:pPr>
      <w:adjustRightInd w:val="0"/>
      <w:spacing w:before="40" w:after="40"/>
    </w:pPr>
    <w:rPr>
      <w:rFonts w:ascii="昆仑仿宋" w:eastAsia="昆仑仿宋"/>
      <w:kern w:val="0"/>
      <w:sz w:val="24"/>
      <w:szCs w:val="20"/>
    </w:rPr>
  </w:style>
  <w:style w:type="character" w:customStyle="1" w:styleId="96">
    <w:name w:val="表格 Char"/>
    <w:link w:val="95"/>
    <w:autoRedefine/>
    <w:qFormat/>
    <w:locked/>
    <w:uiPriority w:val="0"/>
    <w:rPr>
      <w:rFonts w:ascii="昆仑仿宋" w:hAnsi="Times New Roman" w:eastAsia="昆仑仿宋" w:cs="Times New Roman"/>
      <w:kern w:val="0"/>
      <w:sz w:val="24"/>
      <w:szCs w:val="20"/>
    </w:rPr>
  </w:style>
  <w:style w:type="character" w:customStyle="1" w:styleId="97">
    <w:name w:val="Char Char2"/>
    <w:autoRedefine/>
    <w:qFormat/>
    <w:uiPriority w:val="0"/>
    <w:rPr>
      <w:rFonts w:hint="eastAsia" w:ascii="黑体" w:hAnsi="黑体" w:eastAsia="黑体"/>
      <w:bCs/>
      <w:kern w:val="44"/>
      <w:sz w:val="28"/>
      <w:szCs w:val="44"/>
      <w:lang w:val="en-US" w:eastAsia="zh-CN" w:bidi="ar-SA"/>
    </w:rPr>
  </w:style>
  <w:style w:type="table" w:customStyle="1" w:styleId="98">
    <w:name w:val="环评表格1"/>
    <w:basedOn w:val="45"/>
    <w:autoRedefine/>
    <w:qFormat/>
    <w:uiPriority w:val="0"/>
    <w:pPr>
      <w:snapToGrid w:val="0"/>
      <w:spacing w:line="240" w:lineRule="auto"/>
      <w:jc w:val="center"/>
    </w:pPr>
    <w:rPr>
      <w:rFonts w:ascii="Times New Roman" w:hAnsi="Times New Roman" w:eastAsia="宋体" w:cs="Times New Roman"/>
      <w:kern w:val="0"/>
      <w:szCs w:val="20"/>
    </w:rPr>
    <w:tblP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style>
  <w:style w:type="character" w:customStyle="1" w:styleId="99">
    <w:name w:val="内容 Char"/>
    <w:link w:val="100"/>
    <w:autoRedefine/>
    <w:qFormat/>
    <w:locked/>
    <w:uiPriority w:val="0"/>
    <w:rPr>
      <w:rFonts w:ascii="Calibri" w:hAnsi="Calibri"/>
      <w:color w:val="000000"/>
      <w:sz w:val="24"/>
      <w:szCs w:val="24"/>
    </w:rPr>
  </w:style>
  <w:style w:type="paragraph" w:customStyle="1" w:styleId="100">
    <w:name w:val="内容"/>
    <w:basedOn w:val="1"/>
    <w:link w:val="99"/>
    <w:autoRedefine/>
    <w:qFormat/>
    <w:uiPriority w:val="0"/>
    <w:pPr>
      <w:spacing w:beforeLines="50"/>
      <w:ind w:firstLine="200" w:firstLineChars="200"/>
    </w:pPr>
    <w:rPr>
      <w:rFonts w:ascii="Calibri" w:hAnsi="Calibri" w:eastAsiaTheme="minorEastAsia" w:cstheme="minorBidi"/>
      <w:color w:val="000000"/>
      <w:sz w:val="24"/>
    </w:rPr>
  </w:style>
  <w:style w:type="character" w:customStyle="1" w:styleId="101">
    <w:name w:val="标题 1 Char1"/>
    <w:autoRedefine/>
    <w:qFormat/>
    <w:uiPriority w:val="0"/>
    <w:rPr>
      <w:rFonts w:hint="default" w:ascii="Times New Roman" w:hAnsi="Times New Roman" w:eastAsia="宋体" w:cs="Times New Roman"/>
      <w:b/>
      <w:kern w:val="0"/>
      <w:sz w:val="24"/>
      <w:szCs w:val="24"/>
    </w:rPr>
  </w:style>
  <w:style w:type="character" w:customStyle="1" w:styleId="102">
    <w:name w:val="标题 2 Char1"/>
    <w:basedOn w:val="50"/>
    <w:autoRedefine/>
    <w:semiHidden/>
    <w:qFormat/>
    <w:uiPriority w:val="0"/>
    <w:rPr>
      <w:rFonts w:hint="default" w:asciiTheme="majorHAnsi" w:hAnsiTheme="majorHAnsi" w:eastAsiaTheme="majorEastAsia" w:cstheme="majorBidi"/>
      <w:b/>
      <w:bCs/>
      <w:kern w:val="2"/>
      <w:sz w:val="32"/>
      <w:szCs w:val="32"/>
    </w:rPr>
  </w:style>
  <w:style w:type="character" w:customStyle="1" w:styleId="103">
    <w:name w:val="标题 3 Char1"/>
    <w:basedOn w:val="50"/>
    <w:autoRedefine/>
    <w:semiHidden/>
    <w:qFormat/>
    <w:uiPriority w:val="0"/>
    <w:rPr>
      <w:b/>
      <w:bCs/>
      <w:kern w:val="2"/>
      <w:sz w:val="32"/>
      <w:szCs w:val="32"/>
    </w:rPr>
  </w:style>
  <w:style w:type="character" w:customStyle="1" w:styleId="104">
    <w:name w:val="标题 4 Char1"/>
    <w:basedOn w:val="50"/>
    <w:autoRedefine/>
    <w:semiHidden/>
    <w:qFormat/>
    <w:uiPriority w:val="0"/>
    <w:rPr>
      <w:rFonts w:hint="default" w:asciiTheme="majorHAnsi" w:hAnsiTheme="majorHAnsi" w:eastAsiaTheme="majorEastAsia" w:cstheme="majorBidi"/>
      <w:b/>
      <w:bCs/>
      <w:kern w:val="2"/>
      <w:sz w:val="28"/>
      <w:szCs w:val="28"/>
    </w:rPr>
  </w:style>
  <w:style w:type="character" w:customStyle="1" w:styleId="105">
    <w:name w:val="标题 5 Char1"/>
    <w:basedOn w:val="50"/>
    <w:autoRedefine/>
    <w:semiHidden/>
    <w:qFormat/>
    <w:uiPriority w:val="0"/>
    <w:rPr>
      <w:rFonts w:hint="eastAsia" w:asciiTheme="minorEastAsia" w:hAnsiTheme="minorEastAsia" w:eastAsiaTheme="minorEastAsia"/>
      <w:b/>
      <w:bCs/>
      <w:kern w:val="2"/>
      <w:sz w:val="28"/>
      <w:szCs w:val="28"/>
    </w:rPr>
  </w:style>
  <w:style w:type="character" w:customStyle="1" w:styleId="106">
    <w:name w:val="标题 6 Char1"/>
    <w:basedOn w:val="50"/>
    <w:autoRedefine/>
    <w:semiHidden/>
    <w:qFormat/>
    <w:uiPriority w:val="0"/>
    <w:rPr>
      <w:rFonts w:hint="default" w:asciiTheme="majorHAnsi" w:hAnsiTheme="majorHAnsi" w:eastAsiaTheme="majorEastAsia" w:cstheme="majorBidi"/>
      <w:b/>
      <w:bCs/>
      <w:kern w:val="2"/>
      <w:sz w:val="24"/>
      <w:szCs w:val="24"/>
    </w:rPr>
  </w:style>
  <w:style w:type="character" w:customStyle="1" w:styleId="107">
    <w:name w:val="HTML 预设格式 Char1"/>
    <w:basedOn w:val="50"/>
    <w:link w:val="39"/>
    <w:autoRedefine/>
    <w:semiHidden/>
    <w:qFormat/>
    <w:locked/>
    <w:uiPriority w:val="99"/>
    <w:rPr>
      <w:rFonts w:ascii="宋体" w:hAnsi="宋体" w:eastAsia="宋体" w:cs="宋体"/>
      <w:sz w:val="24"/>
      <w:szCs w:val="24"/>
    </w:rPr>
  </w:style>
  <w:style w:type="character" w:customStyle="1" w:styleId="108">
    <w:name w:val="HTML 预设格式 Char"/>
    <w:basedOn w:val="50"/>
    <w:autoRedefine/>
    <w:semiHidden/>
    <w:qFormat/>
    <w:uiPriority w:val="99"/>
    <w:rPr>
      <w:rFonts w:ascii="Courier New" w:hAnsi="Courier New" w:eastAsia="宋体" w:cs="Courier New"/>
      <w:sz w:val="20"/>
      <w:szCs w:val="20"/>
    </w:rPr>
  </w:style>
  <w:style w:type="character" w:customStyle="1" w:styleId="109">
    <w:name w:val="标题 7 Char1"/>
    <w:basedOn w:val="50"/>
    <w:autoRedefine/>
    <w:semiHidden/>
    <w:qFormat/>
    <w:uiPriority w:val="99"/>
    <w:rPr>
      <w:rFonts w:hint="eastAsia" w:asciiTheme="minorEastAsia" w:hAnsiTheme="minorEastAsia" w:eastAsiaTheme="minorEastAsia"/>
      <w:b/>
      <w:bCs/>
      <w:kern w:val="2"/>
      <w:sz w:val="24"/>
      <w:szCs w:val="24"/>
    </w:rPr>
  </w:style>
  <w:style w:type="character" w:customStyle="1" w:styleId="110">
    <w:name w:val="标题 8 Char1"/>
    <w:basedOn w:val="50"/>
    <w:autoRedefine/>
    <w:semiHidden/>
    <w:qFormat/>
    <w:uiPriority w:val="99"/>
    <w:rPr>
      <w:rFonts w:hint="default" w:asciiTheme="majorHAnsi" w:hAnsiTheme="majorHAnsi" w:eastAsiaTheme="majorEastAsia" w:cstheme="majorBidi"/>
      <w:kern w:val="2"/>
      <w:sz w:val="24"/>
      <w:szCs w:val="24"/>
    </w:rPr>
  </w:style>
  <w:style w:type="character" w:customStyle="1" w:styleId="111">
    <w:name w:val="标题 9 Char1"/>
    <w:basedOn w:val="50"/>
    <w:autoRedefine/>
    <w:semiHidden/>
    <w:qFormat/>
    <w:uiPriority w:val="99"/>
    <w:rPr>
      <w:rFonts w:hint="default" w:asciiTheme="majorHAnsi" w:hAnsiTheme="majorHAnsi" w:eastAsiaTheme="majorEastAsia" w:cstheme="majorBidi"/>
      <w:kern w:val="2"/>
      <w:sz w:val="21"/>
      <w:szCs w:val="21"/>
    </w:rPr>
  </w:style>
  <w:style w:type="character" w:customStyle="1" w:styleId="112">
    <w:name w:val="正文缩进 Char"/>
    <w:basedOn w:val="50"/>
    <w:link w:val="5"/>
    <w:autoRedefine/>
    <w:qFormat/>
    <w:locked/>
    <w:uiPriority w:val="0"/>
    <w:rPr>
      <w:rFonts w:ascii="仿宋_GB2312" w:eastAsia="仿宋_GB2312"/>
      <w:sz w:val="28"/>
      <w:szCs w:val="24"/>
    </w:rPr>
  </w:style>
  <w:style w:type="character" w:customStyle="1" w:styleId="113">
    <w:name w:val="批注文字 Char"/>
    <w:basedOn w:val="50"/>
    <w:link w:val="16"/>
    <w:autoRedefine/>
    <w:qFormat/>
    <w:locked/>
    <w:uiPriority w:val="99"/>
    <w:rPr>
      <w:rFonts w:ascii="Calibri" w:hAnsi="Calibri"/>
      <w:color w:val="000000"/>
      <w:sz w:val="24"/>
      <w:szCs w:val="24"/>
    </w:rPr>
  </w:style>
  <w:style w:type="character" w:customStyle="1" w:styleId="114">
    <w:name w:val="页眉 Char1"/>
    <w:basedOn w:val="50"/>
    <w:autoRedefine/>
    <w:semiHidden/>
    <w:qFormat/>
    <w:uiPriority w:val="99"/>
    <w:rPr>
      <w:rFonts w:ascii="Times New Roman" w:hAnsi="Times New Roman" w:eastAsia="宋体" w:cs="Times New Roman"/>
      <w:sz w:val="18"/>
      <w:szCs w:val="18"/>
    </w:rPr>
  </w:style>
  <w:style w:type="character" w:customStyle="1" w:styleId="115">
    <w:name w:val="题注 Char"/>
    <w:basedOn w:val="50"/>
    <w:link w:val="14"/>
    <w:autoRedefine/>
    <w:semiHidden/>
    <w:qFormat/>
    <w:locked/>
    <w:uiPriority w:val="35"/>
    <w:rPr>
      <w:color w:val="000000"/>
      <w:sz w:val="28"/>
    </w:rPr>
  </w:style>
  <w:style w:type="character" w:customStyle="1" w:styleId="116">
    <w:name w:val="列表 2 Char"/>
    <w:link w:val="22"/>
    <w:autoRedefine/>
    <w:semiHidden/>
    <w:qFormat/>
    <w:locked/>
    <w:uiPriority w:val="0"/>
    <w:rPr>
      <w:rFonts w:ascii="楷体_GB2312" w:hAnsi="宋体" w:eastAsia="楷体_GB2312"/>
      <w:color w:val="000000"/>
      <w:sz w:val="24"/>
      <w:szCs w:val="28"/>
    </w:rPr>
  </w:style>
  <w:style w:type="character" w:customStyle="1" w:styleId="117">
    <w:name w:val="正文文本缩进 Char"/>
    <w:basedOn w:val="50"/>
    <w:link w:val="21"/>
    <w:autoRedefine/>
    <w:semiHidden/>
    <w:qFormat/>
    <w:locked/>
    <w:uiPriority w:val="0"/>
    <w:rPr>
      <w:sz w:val="24"/>
      <w:szCs w:val="24"/>
    </w:rPr>
  </w:style>
  <w:style w:type="character" w:customStyle="1" w:styleId="118">
    <w:name w:val="正文文本缩进 Char1"/>
    <w:basedOn w:val="50"/>
    <w:autoRedefine/>
    <w:semiHidden/>
    <w:qFormat/>
    <w:uiPriority w:val="99"/>
    <w:rPr>
      <w:rFonts w:ascii="Times New Roman" w:hAnsi="Times New Roman" w:eastAsia="宋体" w:cs="Times New Roman"/>
      <w:szCs w:val="24"/>
    </w:rPr>
  </w:style>
  <w:style w:type="character" w:customStyle="1" w:styleId="119">
    <w:name w:val="日期 Char"/>
    <w:basedOn w:val="50"/>
    <w:link w:val="26"/>
    <w:autoRedefine/>
    <w:semiHidden/>
    <w:qFormat/>
    <w:locked/>
    <w:uiPriority w:val="99"/>
    <w:rPr>
      <w:szCs w:val="24"/>
    </w:rPr>
  </w:style>
  <w:style w:type="character" w:customStyle="1" w:styleId="120">
    <w:name w:val="正文首行缩进 Char"/>
    <w:basedOn w:val="50"/>
    <w:link w:val="43"/>
    <w:autoRedefine/>
    <w:qFormat/>
    <w:locked/>
    <w:uiPriority w:val="0"/>
    <w:rPr>
      <w:rFonts w:ascii="Times New Roman" w:cs="Times New Roman" w:hAnsiTheme="minorEastAsia"/>
      <w:bCs/>
      <w:sz w:val="24"/>
      <w:szCs w:val="24"/>
    </w:rPr>
  </w:style>
  <w:style w:type="character" w:customStyle="1" w:styleId="121">
    <w:name w:val="正文首行缩进 Char1"/>
    <w:basedOn w:val="92"/>
    <w:autoRedefine/>
    <w:semiHidden/>
    <w:qFormat/>
    <w:uiPriority w:val="0"/>
    <w:rPr>
      <w:rFonts w:ascii="Times New Roman" w:hAnsi="Times New Roman" w:eastAsia="宋体" w:cs="Times New Roman"/>
      <w:szCs w:val="24"/>
    </w:rPr>
  </w:style>
  <w:style w:type="character" w:customStyle="1" w:styleId="122">
    <w:name w:val="正文首行缩进 2 Char"/>
    <w:basedOn w:val="117"/>
    <w:link w:val="44"/>
    <w:autoRedefine/>
    <w:semiHidden/>
    <w:qFormat/>
    <w:locked/>
    <w:uiPriority w:val="0"/>
    <w:rPr>
      <w:sz w:val="28"/>
      <w:szCs w:val="24"/>
    </w:rPr>
  </w:style>
  <w:style w:type="character" w:customStyle="1" w:styleId="123">
    <w:name w:val="注释标题 Char"/>
    <w:basedOn w:val="50"/>
    <w:link w:val="13"/>
    <w:autoRedefine/>
    <w:semiHidden/>
    <w:qFormat/>
    <w:locked/>
    <w:uiPriority w:val="0"/>
    <w:rPr>
      <w:sz w:val="24"/>
    </w:rPr>
  </w:style>
  <w:style w:type="character" w:customStyle="1" w:styleId="124">
    <w:name w:val="注释标题 Char1"/>
    <w:basedOn w:val="50"/>
    <w:autoRedefine/>
    <w:semiHidden/>
    <w:qFormat/>
    <w:uiPriority w:val="0"/>
    <w:rPr>
      <w:rFonts w:ascii="Times New Roman" w:hAnsi="Times New Roman" w:eastAsia="宋体" w:cs="Times New Roman"/>
      <w:szCs w:val="24"/>
    </w:rPr>
  </w:style>
  <w:style w:type="character" w:customStyle="1" w:styleId="125">
    <w:name w:val="正文文本 2 Char"/>
    <w:link w:val="37"/>
    <w:autoRedefine/>
    <w:qFormat/>
    <w:locked/>
    <w:uiPriority w:val="99"/>
    <w:rPr>
      <w:sz w:val="24"/>
      <w:szCs w:val="24"/>
    </w:rPr>
  </w:style>
  <w:style w:type="character" w:customStyle="1" w:styleId="126">
    <w:name w:val="正文文本 3 Char"/>
    <w:basedOn w:val="50"/>
    <w:link w:val="17"/>
    <w:autoRedefine/>
    <w:semiHidden/>
    <w:qFormat/>
    <w:locked/>
    <w:uiPriority w:val="0"/>
    <w:rPr>
      <w:rFonts w:ascii="Calibri" w:hAnsi="Calibri"/>
      <w:color w:val="000000"/>
      <w:sz w:val="16"/>
      <w:szCs w:val="16"/>
    </w:rPr>
  </w:style>
  <w:style w:type="character" w:customStyle="1" w:styleId="127">
    <w:name w:val="正文文本缩进 2 Char"/>
    <w:basedOn w:val="50"/>
    <w:link w:val="27"/>
    <w:autoRedefine/>
    <w:qFormat/>
    <w:locked/>
    <w:uiPriority w:val="0"/>
    <w:rPr>
      <w:rFonts w:ascii="Calibri" w:hAnsi="Calibri"/>
      <w:color w:val="000000"/>
    </w:rPr>
  </w:style>
  <w:style w:type="character" w:customStyle="1" w:styleId="128">
    <w:name w:val="正文文本缩进 2 Char1"/>
    <w:basedOn w:val="50"/>
    <w:autoRedefine/>
    <w:semiHidden/>
    <w:qFormat/>
    <w:uiPriority w:val="99"/>
    <w:rPr>
      <w:rFonts w:ascii="Times New Roman" w:hAnsi="Times New Roman" w:eastAsia="宋体" w:cs="Times New Roman"/>
      <w:szCs w:val="24"/>
    </w:rPr>
  </w:style>
  <w:style w:type="character" w:customStyle="1" w:styleId="129">
    <w:name w:val="正文文本缩进 3 Char"/>
    <w:basedOn w:val="50"/>
    <w:link w:val="35"/>
    <w:autoRedefine/>
    <w:semiHidden/>
    <w:qFormat/>
    <w:locked/>
    <w:uiPriority w:val="0"/>
    <w:rPr>
      <w:rFonts w:ascii="Calibri" w:hAnsi="Calibri"/>
      <w:color w:val="000000"/>
      <w:sz w:val="16"/>
      <w:szCs w:val="16"/>
    </w:rPr>
  </w:style>
  <w:style w:type="character" w:customStyle="1" w:styleId="130">
    <w:name w:val="纯文本 Char"/>
    <w:basedOn w:val="50"/>
    <w:link w:val="25"/>
    <w:autoRedefine/>
    <w:qFormat/>
    <w:locked/>
    <w:uiPriority w:val="0"/>
    <w:rPr>
      <w:rFonts w:ascii="宋体" w:hAnsi="Courier New" w:eastAsia="宋体" w:cs="Courier New"/>
      <w:szCs w:val="21"/>
    </w:rPr>
  </w:style>
  <w:style w:type="character" w:customStyle="1" w:styleId="131">
    <w:name w:val="纯文本 Char1"/>
    <w:basedOn w:val="50"/>
    <w:autoRedefine/>
    <w:qFormat/>
    <w:uiPriority w:val="0"/>
    <w:rPr>
      <w:rFonts w:ascii="宋体" w:hAnsi="Courier New" w:eastAsia="宋体" w:cs="Courier New"/>
      <w:szCs w:val="21"/>
    </w:rPr>
  </w:style>
  <w:style w:type="character" w:customStyle="1" w:styleId="132">
    <w:name w:val="批注文字 Char1"/>
    <w:basedOn w:val="50"/>
    <w:autoRedefine/>
    <w:semiHidden/>
    <w:qFormat/>
    <w:uiPriority w:val="99"/>
    <w:rPr>
      <w:rFonts w:ascii="Times New Roman" w:hAnsi="Times New Roman" w:eastAsia="宋体" w:cs="Times New Roman"/>
      <w:szCs w:val="24"/>
    </w:rPr>
  </w:style>
  <w:style w:type="character" w:customStyle="1" w:styleId="133">
    <w:name w:val="批注主题 Char"/>
    <w:basedOn w:val="113"/>
    <w:link w:val="42"/>
    <w:autoRedefine/>
    <w:semiHidden/>
    <w:qFormat/>
    <w:locked/>
    <w:uiPriority w:val="0"/>
    <w:rPr>
      <w:rFonts w:ascii="Calibri" w:hAnsi="Calibri"/>
      <w:b/>
      <w:bCs/>
      <w:color w:val="000000"/>
      <w:sz w:val="24"/>
      <w:szCs w:val="24"/>
    </w:rPr>
  </w:style>
  <w:style w:type="character" w:customStyle="1" w:styleId="134">
    <w:name w:val="无间隔 Char"/>
    <w:link w:val="135"/>
    <w:autoRedefine/>
    <w:qFormat/>
    <w:locked/>
    <w:uiPriority w:val="0"/>
    <w:rPr>
      <w:rFonts w:ascii="Calibri" w:hAnsi="Calibri"/>
      <w:color w:val="000000"/>
      <w:sz w:val="24"/>
      <w:szCs w:val="24"/>
    </w:rPr>
  </w:style>
  <w:style w:type="paragraph" w:styleId="135">
    <w:name w:val="No Spacing"/>
    <w:link w:val="134"/>
    <w:autoRedefine/>
    <w:qFormat/>
    <w:uiPriority w:val="1"/>
    <w:pPr>
      <w:widowControl w:val="0"/>
      <w:spacing w:line="240" w:lineRule="auto"/>
      <w:jc w:val="both"/>
    </w:pPr>
    <w:rPr>
      <w:rFonts w:ascii="Calibri" w:hAnsi="Calibri" w:eastAsiaTheme="minorEastAsia" w:cstheme="minorBidi"/>
      <w:color w:val="000000"/>
      <w:kern w:val="2"/>
      <w:sz w:val="24"/>
      <w:szCs w:val="24"/>
      <w:lang w:val="en-US" w:eastAsia="zh-CN" w:bidi="ar-SA"/>
    </w:rPr>
  </w:style>
  <w:style w:type="paragraph" w:customStyle="1" w:styleId="136">
    <w:name w:val="Char Char Char1 Char Char Char Char Char Char Char"/>
    <w:basedOn w:val="2"/>
    <w:next w:val="1"/>
    <w:autoRedefine/>
    <w:semiHidden/>
    <w:qFormat/>
    <w:uiPriority w:val="39"/>
    <w:pPr>
      <w:keepNext w:val="0"/>
      <w:keepLines w:val="0"/>
      <w:spacing w:before="0" w:after="0" w:line="240" w:lineRule="auto"/>
      <w:outlineLvl w:val="9"/>
    </w:pPr>
    <w:rPr>
      <w:bCs w:val="0"/>
      <w:kern w:val="2"/>
      <w:sz w:val="21"/>
      <w:szCs w:val="24"/>
    </w:rPr>
  </w:style>
  <w:style w:type="character" w:customStyle="1" w:styleId="137">
    <w:name w:val="【标题4】 Char Char"/>
    <w:link w:val="138"/>
    <w:autoRedefine/>
    <w:qFormat/>
    <w:locked/>
    <w:uiPriority w:val="0"/>
    <w:rPr>
      <w:rFonts w:ascii="Times New Roman" w:hAnsi="Times New Roman" w:eastAsia="Times New Roman" w:cs="Times New Roman"/>
      <w:b/>
      <w:bCs/>
      <w:sz w:val="24"/>
    </w:rPr>
  </w:style>
  <w:style w:type="paragraph" w:customStyle="1" w:styleId="138">
    <w:name w:val="【标题4】"/>
    <w:basedOn w:val="2"/>
    <w:next w:val="1"/>
    <w:link w:val="137"/>
    <w:autoRedefine/>
    <w:qFormat/>
    <w:uiPriority w:val="0"/>
    <w:pPr>
      <w:keepNext w:val="0"/>
      <w:spacing w:before="0" w:after="0" w:line="440" w:lineRule="exact"/>
      <w:jc w:val="left"/>
      <w:outlineLvl w:val="3"/>
    </w:pPr>
    <w:rPr>
      <w:rFonts w:eastAsia="Times New Roman"/>
      <w:kern w:val="2"/>
      <w:sz w:val="24"/>
      <w:szCs w:val="22"/>
    </w:rPr>
  </w:style>
  <w:style w:type="character" w:customStyle="1" w:styleId="139">
    <w:name w:val="【标题3】 Char Char"/>
    <w:link w:val="140"/>
    <w:autoRedefine/>
    <w:qFormat/>
    <w:locked/>
    <w:uiPriority w:val="0"/>
    <w:rPr>
      <w:b/>
      <w:bCs/>
      <w:sz w:val="24"/>
    </w:rPr>
  </w:style>
  <w:style w:type="paragraph" w:customStyle="1" w:styleId="140">
    <w:name w:val="【标题3】"/>
    <w:basedOn w:val="4"/>
    <w:next w:val="1"/>
    <w:link w:val="139"/>
    <w:autoRedefine/>
    <w:qFormat/>
    <w:uiPriority w:val="0"/>
    <w:pPr>
      <w:keepNext w:val="0"/>
      <w:spacing w:before="60" w:after="60" w:line="440" w:lineRule="exact"/>
      <w:ind w:firstLine="0" w:firstLineChars="0"/>
    </w:pPr>
    <w:rPr>
      <w:rFonts w:asciiTheme="minorHAnsi" w:hAnsiTheme="minorHAnsi" w:eastAsiaTheme="minorEastAsia" w:cstheme="minorBidi"/>
      <w:bCs/>
      <w:sz w:val="24"/>
      <w:szCs w:val="22"/>
    </w:rPr>
  </w:style>
  <w:style w:type="paragraph" w:customStyle="1" w:styleId="141">
    <w:name w:val="缩进"/>
    <w:basedOn w:val="2"/>
    <w:next w:val="1"/>
    <w:autoRedefine/>
    <w:qFormat/>
    <w:uiPriority w:val="99"/>
    <w:pPr>
      <w:keepNext w:val="0"/>
      <w:keepLines w:val="0"/>
      <w:spacing w:before="0" w:after="0" w:line="360" w:lineRule="auto"/>
      <w:ind w:firstLine="200" w:firstLineChars="200"/>
      <w:outlineLvl w:val="9"/>
    </w:pPr>
    <w:rPr>
      <w:rFonts w:ascii="Calibri" w:hAnsi="Calibri"/>
      <w:bCs w:val="0"/>
      <w:kern w:val="2"/>
      <w:sz w:val="24"/>
      <w:szCs w:val="21"/>
    </w:rPr>
  </w:style>
  <w:style w:type="character" w:customStyle="1" w:styleId="142">
    <w:name w:val="正文样式 Char"/>
    <w:link w:val="143"/>
    <w:autoRedefine/>
    <w:qFormat/>
    <w:locked/>
    <w:uiPriority w:val="0"/>
    <w:rPr>
      <w:rFonts w:ascii="宋体" w:hAnsi="宋体" w:eastAsia="宋体"/>
      <w:color w:val="000000"/>
      <w:sz w:val="24"/>
      <w:szCs w:val="24"/>
    </w:rPr>
  </w:style>
  <w:style w:type="paragraph" w:customStyle="1" w:styleId="143">
    <w:name w:val="正文样式"/>
    <w:basedOn w:val="2"/>
    <w:next w:val="1"/>
    <w:link w:val="142"/>
    <w:autoRedefine/>
    <w:qFormat/>
    <w:uiPriority w:val="0"/>
    <w:pPr>
      <w:keepNext w:val="0"/>
      <w:keepLines w:val="0"/>
      <w:spacing w:before="0" w:after="0" w:line="460" w:lineRule="exact"/>
      <w:ind w:firstLine="200" w:firstLineChars="200"/>
      <w:outlineLvl w:val="9"/>
    </w:pPr>
    <w:rPr>
      <w:rFonts w:ascii="宋体" w:hAnsi="宋体" w:cstheme="minorBidi"/>
      <w:bCs w:val="0"/>
      <w:color w:val="000000"/>
      <w:kern w:val="2"/>
      <w:sz w:val="24"/>
      <w:szCs w:val="24"/>
    </w:rPr>
  </w:style>
  <w:style w:type="character" w:customStyle="1" w:styleId="144">
    <w:name w:val="正文00 Char Char"/>
    <w:link w:val="145"/>
    <w:autoRedefine/>
    <w:qFormat/>
    <w:locked/>
    <w:uiPriority w:val="0"/>
    <w:rPr>
      <w:rFonts w:ascii="Times New Roman" w:hAnsi="Times New Roman" w:cs="Times New Roman"/>
      <w:bCs/>
      <w:szCs w:val="21"/>
    </w:rPr>
  </w:style>
  <w:style w:type="paragraph" w:customStyle="1" w:styleId="145">
    <w:name w:val="正文00"/>
    <w:basedOn w:val="2"/>
    <w:next w:val="1"/>
    <w:link w:val="144"/>
    <w:autoRedefine/>
    <w:qFormat/>
    <w:uiPriority w:val="0"/>
    <w:pPr>
      <w:keepNext w:val="0"/>
      <w:keepLines w:val="0"/>
      <w:spacing w:before="0" w:after="0" w:line="0" w:lineRule="atLeast"/>
      <w:contextualSpacing/>
      <w:jc w:val="center"/>
      <w:outlineLvl w:val="9"/>
    </w:pPr>
    <w:rPr>
      <w:rFonts w:eastAsiaTheme="minorEastAsia"/>
      <w:kern w:val="2"/>
      <w:sz w:val="21"/>
      <w:szCs w:val="21"/>
    </w:rPr>
  </w:style>
  <w:style w:type="paragraph" w:customStyle="1" w:styleId="146">
    <w:name w:val="表样式"/>
    <w:basedOn w:val="2"/>
    <w:next w:val="1"/>
    <w:autoRedefine/>
    <w:qFormat/>
    <w:uiPriority w:val="99"/>
    <w:pPr>
      <w:keepNext w:val="0"/>
      <w:keepLines w:val="0"/>
      <w:spacing w:before="0" w:after="0" w:line="500" w:lineRule="atLeast"/>
      <w:ind w:firstLine="425" w:firstLineChars="177"/>
      <w:jc w:val="center"/>
      <w:outlineLvl w:val="9"/>
    </w:pPr>
    <w:rPr>
      <w:rFonts w:ascii="仿宋_GB2312" w:eastAsia="黑体"/>
      <w:bCs w:val="0"/>
      <w:color w:val="000000"/>
      <w:kern w:val="2"/>
      <w:sz w:val="24"/>
      <w:szCs w:val="24"/>
    </w:rPr>
  </w:style>
  <w:style w:type="character" w:customStyle="1" w:styleId="147">
    <w:name w:val="Normal Char"/>
    <w:link w:val="148"/>
    <w:autoRedefine/>
    <w:qFormat/>
    <w:locked/>
    <w:uiPriority w:val="0"/>
    <w:rPr>
      <w:rFonts w:ascii="宋体" w:hAnsi="宋体" w:eastAsia="宋体"/>
      <w:sz w:val="24"/>
      <w:szCs w:val="24"/>
    </w:rPr>
  </w:style>
  <w:style w:type="paragraph" w:customStyle="1" w:styleId="148">
    <w:name w:val="正文1"/>
    <w:next w:val="1"/>
    <w:link w:val="147"/>
    <w:autoRedefine/>
    <w:qFormat/>
    <w:uiPriority w:val="0"/>
    <w:pPr>
      <w:widowControl w:val="0"/>
      <w:adjustRightInd w:val="0"/>
      <w:spacing w:line="360" w:lineRule="atLeast"/>
      <w:jc w:val="left"/>
    </w:pPr>
    <w:rPr>
      <w:rFonts w:ascii="宋体" w:hAnsi="宋体" w:eastAsia="宋体" w:cstheme="minorBidi"/>
      <w:kern w:val="2"/>
      <w:sz w:val="24"/>
      <w:szCs w:val="24"/>
      <w:lang w:val="en-US" w:eastAsia="zh-CN" w:bidi="ar-SA"/>
    </w:rPr>
  </w:style>
  <w:style w:type="character" w:customStyle="1" w:styleId="149">
    <w:name w:val="样式 正文zoe + 幼圆1 Char"/>
    <w:link w:val="150"/>
    <w:autoRedefine/>
    <w:qFormat/>
    <w:locked/>
    <w:uiPriority w:val="0"/>
    <w:rPr>
      <w:rFonts w:ascii="幼圆" w:hAnsi="幼圆" w:eastAsia="幼圆"/>
      <w:sz w:val="24"/>
    </w:rPr>
  </w:style>
  <w:style w:type="paragraph" w:customStyle="1" w:styleId="150">
    <w:name w:val="样式 正文zoe + 幼圆1"/>
    <w:basedOn w:val="2"/>
    <w:next w:val="1"/>
    <w:link w:val="149"/>
    <w:autoRedefine/>
    <w:qFormat/>
    <w:uiPriority w:val="0"/>
    <w:pPr>
      <w:keepNext w:val="0"/>
      <w:keepLines w:val="0"/>
      <w:adjustRightInd w:val="0"/>
      <w:spacing w:before="0" w:after="0" w:line="360" w:lineRule="auto"/>
      <w:ind w:firstLine="480" w:firstLineChars="200"/>
      <w:outlineLvl w:val="9"/>
    </w:pPr>
    <w:rPr>
      <w:rFonts w:ascii="幼圆" w:hAnsi="幼圆" w:eastAsia="幼圆" w:cstheme="minorBidi"/>
      <w:bCs w:val="0"/>
      <w:kern w:val="2"/>
      <w:sz w:val="24"/>
      <w:szCs w:val="22"/>
    </w:rPr>
  </w:style>
  <w:style w:type="paragraph" w:customStyle="1" w:styleId="151">
    <w:name w:val="Char Char Char Char Char Char Char Char Char Char Char Char Char Char Char Char Char Char Char Char Char1 Char"/>
    <w:basedOn w:val="2"/>
    <w:next w:val="1"/>
    <w:autoRedefine/>
    <w:qFormat/>
    <w:uiPriority w:val="99"/>
    <w:pPr>
      <w:keepNext w:val="0"/>
      <w:keepLines w:val="0"/>
      <w:spacing w:before="0" w:after="0" w:line="360" w:lineRule="auto"/>
      <w:ind w:firstLine="200" w:firstLineChars="200"/>
      <w:outlineLvl w:val="9"/>
    </w:pPr>
    <w:rPr>
      <w:rFonts w:ascii="宋体" w:hAnsi="宋体" w:cs="宋体"/>
      <w:bCs w:val="0"/>
      <w:color w:val="000000"/>
      <w:kern w:val="2"/>
      <w:sz w:val="24"/>
      <w:szCs w:val="24"/>
    </w:rPr>
  </w:style>
  <w:style w:type="paragraph" w:customStyle="1" w:styleId="152">
    <w:name w:val="0"/>
    <w:basedOn w:val="2"/>
    <w:next w:val="1"/>
    <w:autoRedefine/>
    <w:qFormat/>
    <w:uiPriority w:val="99"/>
    <w:pPr>
      <w:keepNext w:val="0"/>
      <w:keepLines w:val="0"/>
      <w:widowControl/>
      <w:snapToGrid w:val="0"/>
      <w:spacing w:before="0" w:after="0" w:line="365" w:lineRule="atLeast"/>
      <w:ind w:left="1" w:firstLine="425" w:firstLineChars="177"/>
      <w:outlineLvl w:val="9"/>
    </w:pPr>
    <w:rPr>
      <w:bCs w:val="0"/>
      <w:color w:val="000000"/>
      <w:kern w:val="0"/>
      <w:sz w:val="20"/>
      <w:szCs w:val="20"/>
    </w:rPr>
  </w:style>
  <w:style w:type="character" w:customStyle="1" w:styleId="153">
    <w:name w:val="表头 Char1"/>
    <w:link w:val="154"/>
    <w:autoRedefine/>
    <w:qFormat/>
    <w:locked/>
    <w:uiPriority w:val="0"/>
    <w:rPr>
      <w:rFonts w:ascii="Times New Roman" w:hAnsi="Times New Roman" w:cs="Times New Roman"/>
      <w:color w:val="000000"/>
      <w:sz w:val="24"/>
      <w:szCs w:val="24"/>
    </w:rPr>
  </w:style>
  <w:style w:type="paragraph" w:customStyle="1" w:styleId="154">
    <w:name w:val="表头"/>
    <w:basedOn w:val="2"/>
    <w:next w:val="1"/>
    <w:link w:val="153"/>
    <w:autoRedefine/>
    <w:qFormat/>
    <w:uiPriority w:val="0"/>
    <w:pPr>
      <w:keepNext w:val="0"/>
      <w:keepLines w:val="0"/>
      <w:spacing w:before="0" w:after="0" w:line="360" w:lineRule="auto"/>
      <w:ind w:firstLine="480" w:firstLineChars="200"/>
      <w:jc w:val="center"/>
      <w:outlineLvl w:val="9"/>
    </w:pPr>
    <w:rPr>
      <w:rFonts w:eastAsiaTheme="minorEastAsia"/>
      <w:bCs w:val="0"/>
      <w:color w:val="000000"/>
      <w:kern w:val="2"/>
      <w:sz w:val="24"/>
      <w:szCs w:val="24"/>
    </w:rPr>
  </w:style>
  <w:style w:type="character" w:customStyle="1" w:styleId="155">
    <w:name w:val="正文内容 Char Char"/>
    <w:link w:val="156"/>
    <w:autoRedefine/>
    <w:qFormat/>
    <w:locked/>
    <w:uiPriority w:val="0"/>
    <w:rPr>
      <w:sz w:val="28"/>
      <w:szCs w:val="28"/>
    </w:rPr>
  </w:style>
  <w:style w:type="paragraph" w:customStyle="1" w:styleId="156">
    <w:name w:val="正文内容"/>
    <w:basedOn w:val="2"/>
    <w:next w:val="1"/>
    <w:link w:val="155"/>
    <w:autoRedefine/>
    <w:qFormat/>
    <w:uiPriority w:val="0"/>
    <w:pPr>
      <w:keepNext w:val="0"/>
      <w:keepLines w:val="0"/>
      <w:overflowPunct w:val="0"/>
      <w:topLinePunct/>
      <w:spacing w:beforeLines="50" w:after="0" w:line="480" w:lineRule="exact"/>
      <w:ind w:firstLine="560" w:firstLineChars="200"/>
      <w:outlineLvl w:val="9"/>
    </w:pPr>
    <w:rPr>
      <w:rFonts w:asciiTheme="minorHAnsi" w:hAnsiTheme="minorHAnsi" w:eastAsiaTheme="minorEastAsia" w:cstheme="minorBidi"/>
      <w:bCs w:val="0"/>
      <w:kern w:val="2"/>
      <w:sz w:val="28"/>
      <w:szCs w:val="28"/>
    </w:rPr>
  </w:style>
  <w:style w:type="paragraph" w:customStyle="1" w:styleId="157">
    <w:name w:val="中文报告书样式"/>
    <w:basedOn w:val="2"/>
    <w:next w:val="1"/>
    <w:autoRedefine/>
    <w:qFormat/>
    <w:uiPriority w:val="99"/>
    <w:pPr>
      <w:keepNext w:val="0"/>
      <w:keepLines w:val="0"/>
      <w:adjustRightInd w:val="0"/>
      <w:spacing w:before="0" w:after="0" w:line="480" w:lineRule="atLeast"/>
      <w:ind w:firstLine="482" w:firstLineChars="177"/>
      <w:outlineLvl w:val="9"/>
    </w:pPr>
    <w:rPr>
      <w:bCs w:val="0"/>
      <w:color w:val="000000"/>
      <w:kern w:val="24"/>
      <w:sz w:val="24"/>
      <w:szCs w:val="20"/>
    </w:rPr>
  </w:style>
  <w:style w:type="paragraph" w:customStyle="1" w:styleId="158">
    <w:name w:val="表内文"/>
    <w:basedOn w:val="2"/>
    <w:next w:val="1"/>
    <w:autoRedefine/>
    <w:qFormat/>
    <w:uiPriority w:val="99"/>
    <w:pPr>
      <w:keepNext w:val="0"/>
      <w:keepLines w:val="0"/>
      <w:spacing w:before="0" w:after="0" w:line="320" w:lineRule="atLeast"/>
      <w:ind w:firstLine="425" w:firstLineChars="177"/>
      <w:jc w:val="center"/>
      <w:outlineLvl w:val="9"/>
    </w:pPr>
    <w:rPr>
      <w:bCs w:val="0"/>
      <w:color w:val="000000"/>
      <w:kern w:val="2"/>
      <w:sz w:val="24"/>
      <w:szCs w:val="20"/>
    </w:rPr>
  </w:style>
  <w:style w:type="paragraph" w:customStyle="1" w:styleId="159">
    <w:name w:val="表格式"/>
    <w:basedOn w:val="34"/>
    <w:next w:val="1"/>
    <w:autoRedefine/>
    <w:qFormat/>
    <w:uiPriority w:val="99"/>
    <w:pPr>
      <w:spacing w:line="480" w:lineRule="exact"/>
      <w:ind w:left="0" w:firstLine="0" w:firstLineChars="0"/>
      <w:contextualSpacing w:val="0"/>
      <w:jc w:val="center"/>
    </w:pPr>
    <w:rPr>
      <w:rFonts w:ascii="宋体" w:hAnsi="宋体"/>
      <w:color w:val="000000"/>
      <w:sz w:val="24"/>
      <w:szCs w:val="20"/>
    </w:rPr>
  </w:style>
  <w:style w:type="paragraph" w:customStyle="1" w:styleId="160">
    <w:name w:val="默认段落字体 Para Char Char Char Char"/>
    <w:basedOn w:val="2"/>
    <w:next w:val="1"/>
    <w:autoRedefine/>
    <w:qFormat/>
    <w:uiPriority w:val="99"/>
    <w:pPr>
      <w:keepNext w:val="0"/>
      <w:keepLines w:val="0"/>
      <w:spacing w:before="0" w:after="0" w:line="500" w:lineRule="atLeast"/>
      <w:ind w:firstLine="425" w:firstLineChars="177"/>
      <w:outlineLvl w:val="9"/>
    </w:pPr>
    <w:rPr>
      <w:bCs w:val="0"/>
      <w:color w:val="000000"/>
      <w:kern w:val="2"/>
      <w:sz w:val="24"/>
      <w:szCs w:val="24"/>
    </w:rPr>
  </w:style>
  <w:style w:type="paragraph" w:customStyle="1" w:styleId="161">
    <w:name w:val="Char Char Char1 Char Char Char Char Char Char1 Char Char Char Char Char Char"/>
    <w:basedOn w:val="2"/>
    <w:next w:val="1"/>
    <w:autoRedefine/>
    <w:qFormat/>
    <w:uiPriority w:val="99"/>
    <w:pPr>
      <w:keepNext w:val="0"/>
      <w:keepLines w:val="0"/>
      <w:snapToGrid w:val="0"/>
      <w:spacing w:before="0" w:after="0" w:line="360" w:lineRule="auto"/>
      <w:ind w:firstLine="200" w:firstLineChars="200"/>
      <w:outlineLvl w:val="9"/>
    </w:pPr>
    <w:rPr>
      <w:rFonts w:eastAsia="仿宋_GB2312"/>
      <w:bCs w:val="0"/>
      <w:color w:val="000000"/>
      <w:kern w:val="2"/>
      <w:sz w:val="24"/>
      <w:szCs w:val="24"/>
    </w:rPr>
  </w:style>
  <w:style w:type="character" w:customStyle="1" w:styleId="162">
    <w:name w:val="正文(首行缩进) Char"/>
    <w:link w:val="163"/>
    <w:autoRedefine/>
    <w:qFormat/>
    <w:locked/>
    <w:uiPriority w:val="0"/>
    <w:rPr>
      <w:snapToGrid w:val="0"/>
      <w:sz w:val="24"/>
      <w:szCs w:val="24"/>
    </w:rPr>
  </w:style>
  <w:style w:type="paragraph" w:customStyle="1" w:styleId="163">
    <w:name w:val="正文(首行缩进)"/>
    <w:basedOn w:val="2"/>
    <w:next w:val="1"/>
    <w:link w:val="162"/>
    <w:autoRedefine/>
    <w:qFormat/>
    <w:uiPriority w:val="0"/>
    <w:pPr>
      <w:keepNext w:val="0"/>
      <w:keepLines w:val="0"/>
      <w:adjustRightInd w:val="0"/>
      <w:snapToGrid w:val="0"/>
      <w:spacing w:before="0" w:after="0" w:line="360" w:lineRule="auto"/>
      <w:ind w:firstLine="200" w:firstLineChars="200"/>
      <w:outlineLvl w:val="9"/>
    </w:pPr>
    <w:rPr>
      <w:rFonts w:asciiTheme="minorHAnsi" w:hAnsiTheme="minorHAnsi" w:eastAsiaTheme="minorEastAsia" w:cstheme="minorBidi"/>
      <w:bCs w:val="0"/>
      <w:snapToGrid w:val="0"/>
      <w:kern w:val="2"/>
      <w:sz w:val="24"/>
      <w:szCs w:val="24"/>
    </w:rPr>
  </w:style>
  <w:style w:type="paragraph" w:customStyle="1" w:styleId="164">
    <w:name w:val="纯文本2"/>
    <w:basedOn w:val="2"/>
    <w:next w:val="1"/>
    <w:autoRedefine/>
    <w:qFormat/>
    <w:uiPriority w:val="99"/>
    <w:pPr>
      <w:keepNext w:val="0"/>
      <w:keepLines w:val="0"/>
      <w:spacing w:before="0" w:after="0" w:line="500" w:lineRule="atLeast"/>
      <w:ind w:firstLine="425" w:firstLineChars="177"/>
      <w:outlineLvl w:val="9"/>
    </w:pPr>
    <w:rPr>
      <w:rFonts w:ascii="宋体" w:hAnsi="Courier New"/>
      <w:bCs w:val="0"/>
      <w:color w:val="000000"/>
      <w:kern w:val="0"/>
      <w:sz w:val="20"/>
      <w:szCs w:val="21"/>
    </w:rPr>
  </w:style>
  <w:style w:type="paragraph" w:customStyle="1" w:styleId="165">
    <w:name w:val="日期1"/>
    <w:basedOn w:val="2"/>
    <w:next w:val="1"/>
    <w:autoRedefine/>
    <w:qFormat/>
    <w:uiPriority w:val="99"/>
    <w:pPr>
      <w:keepNext w:val="0"/>
      <w:keepLines w:val="0"/>
      <w:spacing w:before="0" w:after="0" w:line="500" w:lineRule="atLeast"/>
      <w:ind w:left="100" w:leftChars="2500" w:firstLine="425" w:firstLineChars="177"/>
      <w:outlineLvl w:val="9"/>
    </w:pPr>
    <w:rPr>
      <w:rFonts w:ascii="Calibri" w:hAnsi="Calibri"/>
      <w:bCs w:val="0"/>
      <w:color w:val="000000"/>
      <w:kern w:val="0"/>
      <w:sz w:val="20"/>
      <w:szCs w:val="20"/>
    </w:rPr>
  </w:style>
  <w:style w:type="paragraph" w:customStyle="1" w:styleId="166">
    <w:name w:val="无间隔1"/>
    <w:next w:val="1"/>
    <w:autoRedefine/>
    <w:qFormat/>
    <w:uiPriority w:val="99"/>
    <w:pPr>
      <w:spacing w:line="240" w:lineRule="auto"/>
      <w:jc w:val="left"/>
    </w:pPr>
    <w:rPr>
      <w:rFonts w:ascii="Calibri" w:hAnsi="Calibri" w:eastAsia="宋体" w:cs="Times New Roman"/>
      <w:color w:val="000000"/>
      <w:kern w:val="0"/>
      <w:sz w:val="24"/>
      <w:szCs w:val="20"/>
      <w:lang w:val="en-US" w:eastAsia="zh-CN" w:bidi="ar-SA"/>
    </w:rPr>
  </w:style>
  <w:style w:type="paragraph" w:customStyle="1" w:styleId="167">
    <w:name w:val="正文（我）"/>
    <w:basedOn w:val="2"/>
    <w:next w:val="1"/>
    <w:autoRedefine/>
    <w:qFormat/>
    <w:uiPriority w:val="99"/>
    <w:pPr>
      <w:keepNext w:val="0"/>
      <w:keepLines w:val="0"/>
      <w:spacing w:before="0" w:after="0" w:line="500" w:lineRule="atLeast"/>
      <w:ind w:firstLine="200" w:firstLineChars="200"/>
      <w:outlineLvl w:val="9"/>
    </w:pPr>
    <w:rPr>
      <w:bCs w:val="0"/>
      <w:color w:val="000000"/>
      <w:kern w:val="2"/>
      <w:sz w:val="28"/>
      <w:szCs w:val="24"/>
    </w:rPr>
  </w:style>
  <w:style w:type="paragraph" w:customStyle="1" w:styleId="168">
    <w:name w:val="Char1"/>
    <w:basedOn w:val="2"/>
    <w:next w:val="1"/>
    <w:autoRedefine/>
    <w:qFormat/>
    <w:uiPriority w:val="99"/>
    <w:pPr>
      <w:keepNext w:val="0"/>
      <w:keepLines w:val="0"/>
      <w:spacing w:before="0" w:after="0" w:line="500" w:lineRule="atLeast"/>
      <w:ind w:left="510" w:firstLine="425" w:firstLineChars="177"/>
      <w:outlineLvl w:val="9"/>
    </w:pPr>
    <w:rPr>
      <w:bCs w:val="0"/>
      <w:color w:val="000000"/>
      <w:kern w:val="2"/>
      <w:sz w:val="24"/>
      <w:szCs w:val="21"/>
    </w:rPr>
  </w:style>
  <w:style w:type="paragraph" w:customStyle="1" w:styleId="169">
    <w:name w:val="Char"/>
    <w:basedOn w:val="2"/>
    <w:next w:val="18"/>
    <w:autoRedefine/>
    <w:qFormat/>
    <w:uiPriority w:val="99"/>
    <w:pPr>
      <w:keepNext w:val="0"/>
      <w:keepLines w:val="0"/>
      <w:spacing w:before="0" w:after="0" w:line="360" w:lineRule="auto"/>
      <w:ind w:firstLine="200" w:firstLineChars="200"/>
      <w:jc w:val="center"/>
      <w:outlineLvl w:val="9"/>
    </w:pPr>
    <w:rPr>
      <w:rFonts w:ascii="宋体" w:hAnsi="宋体" w:cs="宋体"/>
      <w:bCs w:val="0"/>
      <w:color w:val="000000"/>
      <w:kern w:val="2"/>
      <w:sz w:val="30"/>
      <w:szCs w:val="30"/>
    </w:rPr>
  </w:style>
  <w:style w:type="paragraph" w:customStyle="1" w:styleId="170">
    <w:name w:val="Char Char Char1 Char Char Char Char Char Char Char Char"/>
    <w:basedOn w:val="2"/>
    <w:next w:val="1"/>
    <w:autoRedefine/>
    <w:qFormat/>
    <w:uiPriority w:val="99"/>
    <w:pPr>
      <w:keepNext w:val="0"/>
      <w:keepLines w:val="0"/>
      <w:spacing w:before="0" w:after="0" w:line="360" w:lineRule="auto"/>
      <w:ind w:firstLine="200" w:firstLineChars="200"/>
      <w:outlineLvl w:val="9"/>
    </w:pPr>
    <w:rPr>
      <w:rFonts w:ascii="宋体" w:hAnsi="宋体" w:cs="宋体"/>
      <w:bCs w:val="0"/>
      <w:color w:val="000000"/>
      <w:kern w:val="2"/>
      <w:sz w:val="24"/>
      <w:szCs w:val="24"/>
    </w:rPr>
  </w:style>
  <w:style w:type="paragraph" w:customStyle="1" w:styleId="171">
    <w:name w:val="Char Char Char Char Char Char Char Char Char Char Char Char Char Char Char Char"/>
    <w:basedOn w:val="2"/>
    <w:next w:val="1"/>
    <w:autoRedefine/>
    <w:qFormat/>
    <w:uiPriority w:val="99"/>
    <w:pPr>
      <w:keepNext w:val="0"/>
      <w:keepLines w:val="0"/>
      <w:spacing w:before="0" w:after="0" w:line="360" w:lineRule="auto"/>
      <w:ind w:firstLine="200" w:firstLineChars="200"/>
      <w:outlineLvl w:val="9"/>
    </w:pPr>
    <w:rPr>
      <w:rFonts w:ascii="宋体" w:hAnsi="宋体" w:cs="宋体"/>
      <w:bCs w:val="0"/>
      <w:color w:val="000000"/>
      <w:kern w:val="2"/>
      <w:sz w:val="24"/>
      <w:szCs w:val="24"/>
    </w:rPr>
  </w:style>
  <w:style w:type="character" w:customStyle="1" w:styleId="172">
    <w:name w:val="正文文本 (2)_"/>
    <w:link w:val="173"/>
    <w:autoRedefine/>
    <w:qFormat/>
    <w:locked/>
    <w:uiPriority w:val="0"/>
    <w:rPr>
      <w:rFonts w:ascii="MingLiU" w:hAnsi="MingLiU" w:eastAsia="MingLiU"/>
      <w:sz w:val="23"/>
      <w:szCs w:val="23"/>
      <w:shd w:val="clear" w:color="auto" w:fill="FFFFFF"/>
    </w:rPr>
  </w:style>
  <w:style w:type="paragraph" w:customStyle="1" w:styleId="173">
    <w:name w:val="正文文本 (2)"/>
    <w:basedOn w:val="2"/>
    <w:next w:val="1"/>
    <w:link w:val="172"/>
    <w:autoRedefine/>
    <w:qFormat/>
    <w:uiPriority w:val="0"/>
    <w:pPr>
      <w:keepNext w:val="0"/>
      <w:keepLines w:val="0"/>
      <w:shd w:val="clear" w:color="auto" w:fill="FFFFFF"/>
      <w:spacing w:before="0" w:after="0" w:line="466" w:lineRule="exact"/>
      <w:ind w:firstLine="425" w:firstLineChars="177"/>
      <w:jc w:val="distribute"/>
      <w:outlineLvl w:val="9"/>
    </w:pPr>
    <w:rPr>
      <w:rFonts w:ascii="MingLiU" w:hAnsi="MingLiU" w:eastAsia="MingLiU" w:cstheme="minorBidi"/>
      <w:bCs w:val="0"/>
      <w:kern w:val="2"/>
      <w:sz w:val="23"/>
      <w:szCs w:val="23"/>
    </w:rPr>
  </w:style>
  <w:style w:type="paragraph" w:customStyle="1" w:styleId="174">
    <w:name w:val="公式"/>
    <w:basedOn w:val="2"/>
    <w:next w:val="1"/>
    <w:autoRedefine/>
    <w:qFormat/>
    <w:uiPriority w:val="99"/>
    <w:pPr>
      <w:keepNext w:val="0"/>
      <w:keepLines w:val="0"/>
      <w:spacing w:before="0" w:after="0" w:line="312" w:lineRule="auto"/>
      <w:ind w:firstLine="425" w:firstLineChars="177"/>
      <w:jc w:val="right"/>
      <w:outlineLvl w:val="9"/>
    </w:pPr>
    <w:rPr>
      <w:rFonts w:ascii="宋体" w:hAnsi="宋体"/>
      <w:bCs w:val="0"/>
      <w:color w:val="000000"/>
      <w:kern w:val="2"/>
      <w:sz w:val="24"/>
      <w:szCs w:val="24"/>
    </w:rPr>
  </w:style>
  <w:style w:type="paragraph" w:customStyle="1" w:styleId="175">
    <w:name w:val="纯文本4"/>
    <w:basedOn w:val="2"/>
    <w:next w:val="1"/>
    <w:autoRedefine/>
    <w:qFormat/>
    <w:uiPriority w:val="99"/>
    <w:pPr>
      <w:keepNext w:val="0"/>
      <w:keepLines w:val="0"/>
      <w:spacing w:before="0" w:after="0" w:line="500" w:lineRule="atLeast"/>
      <w:ind w:firstLine="425" w:firstLineChars="177"/>
      <w:outlineLvl w:val="9"/>
    </w:pPr>
    <w:rPr>
      <w:rFonts w:ascii="宋体" w:hAnsi="Courier New"/>
      <w:bCs w:val="0"/>
      <w:kern w:val="0"/>
      <w:sz w:val="20"/>
      <w:szCs w:val="21"/>
    </w:rPr>
  </w:style>
  <w:style w:type="paragraph" w:customStyle="1" w:styleId="176">
    <w:name w:val="日期2"/>
    <w:basedOn w:val="2"/>
    <w:next w:val="1"/>
    <w:autoRedefine/>
    <w:qFormat/>
    <w:uiPriority w:val="99"/>
    <w:pPr>
      <w:keepNext w:val="0"/>
      <w:keepLines w:val="0"/>
      <w:spacing w:before="0" w:after="0" w:line="500" w:lineRule="atLeast"/>
      <w:ind w:left="100" w:leftChars="2500" w:firstLine="425" w:firstLineChars="177"/>
      <w:outlineLvl w:val="9"/>
    </w:pPr>
    <w:rPr>
      <w:rFonts w:ascii="Calibri" w:hAnsi="Calibri"/>
      <w:bCs w:val="0"/>
      <w:kern w:val="0"/>
      <w:sz w:val="20"/>
      <w:szCs w:val="20"/>
    </w:rPr>
  </w:style>
  <w:style w:type="paragraph" w:customStyle="1" w:styleId="177">
    <w:name w:val="无间隔2"/>
    <w:next w:val="1"/>
    <w:autoRedefine/>
    <w:qFormat/>
    <w:uiPriority w:val="99"/>
    <w:pPr>
      <w:spacing w:line="240" w:lineRule="auto"/>
      <w:jc w:val="left"/>
    </w:pPr>
    <w:rPr>
      <w:rFonts w:ascii="Calibri" w:hAnsi="Calibri" w:eastAsia="宋体" w:cs="Times New Roman"/>
      <w:kern w:val="0"/>
      <w:sz w:val="22"/>
      <w:szCs w:val="20"/>
      <w:lang w:val="en-US" w:eastAsia="zh-CN" w:bidi="ar-SA"/>
    </w:rPr>
  </w:style>
  <w:style w:type="paragraph" w:customStyle="1" w:styleId="178">
    <w:name w:val="纯文本5"/>
    <w:basedOn w:val="2"/>
    <w:next w:val="1"/>
    <w:autoRedefine/>
    <w:qFormat/>
    <w:uiPriority w:val="99"/>
    <w:pPr>
      <w:keepNext w:val="0"/>
      <w:keepLines w:val="0"/>
      <w:spacing w:before="0" w:after="0" w:line="500" w:lineRule="atLeast"/>
      <w:ind w:firstLine="425" w:firstLineChars="177"/>
      <w:outlineLvl w:val="9"/>
    </w:pPr>
    <w:rPr>
      <w:rFonts w:ascii="宋体" w:hAnsi="Courier New"/>
      <w:bCs w:val="0"/>
      <w:kern w:val="0"/>
      <w:sz w:val="20"/>
      <w:szCs w:val="21"/>
    </w:rPr>
  </w:style>
  <w:style w:type="paragraph" w:customStyle="1" w:styleId="179">
    <w:name w:val="Char12"/>
    <w:basedOn w:val="2"/>
    <w:next w:val="1"/>
    <w:autoRedefine/>
    <w:qFormat/>
    <w:uiPriority w:val="99"/>
    <w:pPr>
      <w:keepNext w:val="0"/>
      <w:keepLines w:val="0"/>
      <w:spacing w:before="0" w:after="0" w:line="500" w:lineRule="atLeast"/>
      <w:ind w:left="510" w:firstLine="425" w:firstLineChars="177"/>
      <w:outlineLvl w:val="9"/>
    </w:pPr>
    <w:rPr>
      <w:bCs w:val="0"/>
      <w:kern w:val="2"/>
      <w:sz w:val="24"/>
      <w:szCs w:val="21"/>
    </w:rPr>
  </w:style>
  <w:style w:type="paragraph" w:customStyle="1" w:styleId="180">
    <w:name w:val="Char Char Char1 Char Char Char Char Char Char Char Char2"/>
    <w:basedOn w:val="2"/>
    <w:next w:val="1"/>
    <w:autoRedefine/>
    <w:qFormat/>
    <w:uiPriority w:val="99"/>
    <w:pPr>
      <w:keepNext w:val="0"/>
      <w:keepLines w:val="0"/>
      <w:spacing w:before="0" w:after="0" w:line="360" w:lineRule="auto"/>
      <w:ind w:firstLine="200" w:firstLineChars="200"/>
      <w:outlineLvl w:val="9"/>
    </w:pPr>
    <w:rPr>
      <w:rFonts w:ascii="宋体" w:hAnsi="宋体" w:cs="宋体"/>
      <w:bCs w:val="0"/>
      <w:kern w:val="2"/>
      <w:sz w:val="24"/>
      <w:szCs w:val="24"/>
    </w:rPr>
  </w:style>
  <w:style w:type="paragraph" w:customStyle="1" w:styleId="181">
    <w:name w:val="Char Char Char Char Char Char Char Char Char Char Char Char Char Char Char Char2"/>
    <w:basedOn w:val="2"/>
    <w:next w:val="1"/>
    <w:autoRedefine/>
    <w:qFormat/>
    <w:uiPriority w:val="99"/>
    <w:pPr>
      <w:keepNext w:val="0"/>
      <w:keepLines w:val="0"/>
      <w:spacing w:before="0" w:after="0" w:line="360" w:lineRule="auto"/>
      <w:ind w:firstLine="200" w:firstLineChars="200"/>
      <w:outlineLvl w:val="9"/>
    </w:pPr>
    <w:rPr>
      <w:rFonts w:ascii="宋体" w:hAnsi="宋体" w:cs="宋体"/>
      <w:bCs w:val="0"/>
      <w:kern w:val="2"/>
      <w:sz w:val="24"/>
      <w:szCs w:val="24"/>
    </w:rPr>
  </w:style>
  <w:style w:type="paragraph" w:customStyle="1" w:styleId="182">
    <w:name w:val="正文4"/>
    <w:autoRedefine/>
    <w:qFormat/>
    <w:uiPriority w:val="99"/>
    <w:pPr>
      <w:widowControl w:val="0"/>
      <w:adjustRightInd w:val="0"/>
      <w:spacing w:line="360" w:lineRule="atLeast"/>
      <w:jc w:val="left"/>
    </w:pPr>
    <w:rPr>
      <w:rFonts w:ascii="宋体" w:hAnsi="Times New Roman" w:eastAsia="宋体" w:cs="Times New Roman"/>
      <w:kern w:val="0"/>
      <w:sz w:val="24"/>
      <w:szCs w:val="20"/>
      <w:lang w:val="en-US" w:eastAsia="zh-CN" w:bidi="ar-SA"/>
    </w:rPr>
  </w:style>
  <w:style w:type="paragraph" w:customStyle="1" w:styleId="183">
    <w:name w:val="日期3"/>
    <w:basedOn w:val="2"/>
    <w:next w:val="1"/>
    <w:autoRedefine/>
    <w:qFormat/>
    <w:uiPriority w:val="99"/>
    <w:pPr>
      <w:keepNext w:val="0"/>
      <w:keepLines w:val="0"/>
      <w:spacing w:before="0" w:after="0" w:line="500" w:lineRule="atLeast"/>
      <w:ind w:left="100" w:leftChars="2500" w:firstLine="425" w:firstLineChars="177"/>
      <w:outlineLvl w:val="9"/>
    </w:pPr>
    <w:rPr>
      <w:rFonts w:ascii="Calibri" w:hAnsi="Calibri"/>
      <w:bCs w:val="0"/>
      <w:kern w:val="0"/>
      <w:sz w:val="20"/>
      <w:szCs w:val="20"/>
    </w:rPr>
  </w:style>
  <w:style w:type="paragraph" w:customStyle="1" w:styleId="184">
    <w:name w:val="无间隔3"/>
    <w:next w:val="1"/>
    <w:autoRedefine/>
    <w:qFormat/>
    <w:uiPriority w:val="99"/>
    <w:pPr>
      <w:spacing w:line="240" w:lineRule="auto"/>
      <w:jc w:val="left"/>
    </w:pPr>
    <w:rPr>
      <w:rFonts w:ascii="Calibri" w:hAnsi="Calibri" w:eastAsia="宋体" w:cs="Times New Roman"/>
      <w:kern w:val="0"/>
      <w:sz w:val="22"/>
      <w:szCs w:val="20"/>
      <w:lang w:val="en-US" w:eastAsia="zh-CN" w:bidi="ar-SA"/>
    </w:rPr>
  </w:style>
  <w:style w:type="paragraph" w:customStyle="1" w:styleId="185">
    <w:name w:val="Char11"/>
    <w:basedOn w:val="2"/>
    <w:next w:val="1"/>
    <w:autoRedefine/>
    <w:qFormat/>
    <w:uiPriority w:val="99"/>
    <w:pPr>
      <w:keepNext w:val="0"/>
      <w:keepLines w:val="0"/>
      <w:spacing w:before="0" w:after="0" w:line="500" w:lineRule="atLeast"/>
      <w:ind w:left="510" w:firstLine="425" w:firstLineChars="177"/>
      <w:outlineLvl w:val="9"/>
    </w:pPr>
    <w:rPr>
      <w:bCs w:val="0"/>
      <w:kern w:val="2"/>
      <w:sz w:val="24"/>
      <w:szCs w:val="21"/>
    </w:rPr>
  </w:style>
  <w:style w:type="paragraph" w:customStyle="1" w:styleId="186">
    <w:name w:val="Char Char Char1 Char Char Char Char Char Char Char Char1"/>
    <w:basedOn w:val="2"/>
    <w:next w:val="1"/>
    <w:autoRedefine/>
    <w:qFormat/>
    <w:uiPriority w:val="99"/>
    <w:pPr>
      <w:keepNext w:val="0"/>
      <w:keepLines w:val="0"/>
      <w:spacing w:before="0" w:after="0" w:line="360" w:lineRule="auto"/>
      <w:ind w:firstLine="200" w:firstLineChars="200"/>
      <w:outlineLvl w:val="9"/>
    </w:pPr>
    <w:rPr>
      <w:rFonts w:ascii="宋体" w:hAnsi="宋体" w:cs="宋体"/>
      <w:bCs w:val="0"/>
      <w:kern w:val="2"/>
      <w:sz w:val="24"/>
      <w:szCs w:val="24"/>
    </w:rPr>
  </w:style>
  <w:style w:type="paragraph" w:customStyle="1" w:styleId="187">
    <w:name w:val="Char Char Char Char Char Char Char Char Char Char Char Char Char Char Char Char1"/>
    <w:basedOn w:val="2"/>
    <w:next w:val="1"/>
    <w:autoRedefine/>
    <w:qFormat/>
    <w:uiPriority w:val="99"/>
    <w:pPr>
      <w:keepNext w:val="0"/>
      <w:keepLines w:val="0"/>
      <w:spacing w:before="0" w:after="0" w:line="360" w:lineRule="auto"/>
      <w:ind w:firstLine="200" w:firstLineChars="200"/>
      <w:outlineLvl w:val="9"/>
    </w:pPr>
    <w:rPr>
      <w:rFonts w:ascii="宋体" w:hAnsi="宋体" w:cs="宋体"/>
      <w:bCs w:val="0"/>
      <w:kern w:val="2"/>
      <w:sz w:val="24"/>
      <w:szCs w:val="24"/>
    </w:rPr>
  </w:style>
  <w:style w:type="character" w:customStyle="1" w:styleId="188">
    <w:name w:val="正缩1 Char Char"/>
    <w:link w:val="189"/>
    <w:autoRedefine/>
    <w:qFormat/>
    <w:locked/>
    <w:uiPriority w:val="0"/>
    <w:rPr>
      <w:rFonts w:ascii="仿宋_GB2312" w:eastAsia="仿宋_GB2312"/>
      <w:snapToGrid w:val="0"/>
      <w:color w:val="000000"/>
      <w:sz w:val="28"/>
    </w:rPr>
  </w:style>
  <w:style w:type="paragraph" w:customStyle="1" w:styleId="189">
    <w:name w:val="正缩1 Char"/>
    <w:basedOn w:val="2"/>
    <w:next w:val="1"/>
    <w:link w:val="188"/>
    <w:autoRedefine/>
    <w:qFormat/>
    <w:uiPriority w:val="0"/>
    <w:pPr>
      <w:keepNext w:val="0"/>
      <w:keepLines w:val="0"/>
      <w:adjustRightInd w:val="0"/>
      <w:snapToGrid w:val="0"/>
      <w:spacing w:before="0" w:after="0" w:line="500" w:lineRule="exact"/>
      <w:ind w:firstLine="567" w:firstLineChars="177"/>
      <w:outlineLvl w:val="9"/>
    </w:pPr>
    <w:rPr>
      <w:rFonts w:ascii="仿宋_GB2312" w:eastAsia="仿宋_GB2312" w:hAnsiTheme="minorHAnsi" w:cstheme="minorBidi"/>
      <w:bCs w:val="0"/>
      <w:snapToGrid w:val="0"/>
      <w:color w:val="000000"/>
      <w:kern w:val="2"/>
      <w:sz w:val="28"/>
      <w:szCs w:val="22"/>
    </w:rPr>
  </w:style>
  <w:style w:type="character" w:customStyle="1" w:styleId="190">
    <w:name w:val="报告正文 Char"/>
    <w:link w:val="191"/>
    <w:autoRedefine/>
    <w:qFormat/>
    <w:locked/>
    <w:uiPriority w:val="0"/>
    <w:rPr>
      <w:sz w:val="24"/>
    </w:rPr>
  </w:style>
  <w:style w:type="paragraph" w:customStyle="1" w:styleId="191">
    <w:name w:val="报告正文"/>
    <w:basedOn w:val="2"/>
    <w:next w:val="1"/>
    <w:link w:val="190"/>
    <w:autoRedefine/>
    <w:qFormat/>
    <w:uiPriority w:val="0"/>
    <w:pPr>
      <w:keepNext w:val="0"/>
      <w:keepLines w:val="0"/>
      <w:spacing w:before="0" w:after="0" w:line="360" w:lineRule="auto"/>
      <w:ind w:firstLine="200" w:firstLineChars="200"/>
      <w:outlineLvl w:val="9"/>
    </w:pPr>
    <w:rPr>
      <w:rFonts w:asciiTheme="minorHAnsi" w:hAnsiTheme="minorHAnsi" w:eastAsiaTheme="minorEastAsia" w:cstheme="minorBidi"/>
      <w:bCs w:val="0"/>
      <w:kern w:val="2"/>
      <w:sz w:val="24"/>
      <w:szCs w:val="22"/>
    </w:rPr>
  </w:style>
  <w:style w:type="character" w:customStyle="1" w:styleId="192">
    <w:name w:val="正文111 Char"/>
    <w:basedOn w:val="50"/>
    <w:link w:val="193"/>
    <w:autoRedefine/>
    <w:qFormat/>
    <w:locked/>
    <w:uiPriority w:val="0"/>
    <w:rPr>
      <w:rFonts w:ascii="仿宋_GB2312" w:eastAsia="仿宋_GB2312"/>
      <w:spacing w:val="6"/>
      <w:sz w:val="24"/>
      <w:szCs w:val="24"/>
    </w:rPr>
  </w:style>
  <w:style w:type="paragraph" w:customStyle="1" w:styleId="193">
    <w:name w:val="正文111"/>
    <w:basedOn w:val="2"/>
    <w:link w:val="192"/>
    <w:autoRedefine/>
    <w:qFormat/>
    <w:uiPriority w:val="0"/>
    <w:pPr>
      <w:keepNext w:val="0"/>
      <w:keepLines w:val="0"/>
      <w:spacing w:before="0" w:after="0" w:line="520" w:lineRule="exact"/>
      <w:ind w:firstLine="200" w:firstLineChars="200"/>
      <w:outlineLvl w:val="9"/>
    </w:pPr>
    <w:rPr>
      <w:rFonts w:ascii="仿宋_GB2312" w:eastAsia="仿宋_GB2312" w:hAnsiTheme="minorHAnsi" w:cstheme="minorBidi"/>
      <w:bCs w:val="0"/>
      <w:spacing w:val="6"/>
      <w:kern w:val="2"/>
      <w:sz w:val="24"/>
      <w:szCs w:val="24"/>
    </w:rPr>
  </w:style>
  <w:style w:type="character" w:customStyle="1" w:styleId="194">
    <w:name w:val="表格内文字 Char1"/>
    <w:basedOn w:val="50"/>
    <w:link w:val="195"/>
    <w:autoRedefine/>
    <w:qFormat/>
    <w:locked/>
    <w:uiPriority w:val="0"/>
    <w:rPr>
      <w:szCs w:val="21"/>
      <w:lang w:val="zh-CN"/>
    </w:rPr>
  </w:style>
  <w:style w:type="paragraph" w:customStyle="1" w:styleId="195">
    <w:name w:val="表格内文字"/>
    <w:next w:val="1"/>
    <w:link w:val="194"/>
    <w:autoRedefine/>
    <w:qFormat/>
    <w:uiPriority w:val="0"/>
    <w:pPr>
      <w:spacing w:line="240" w:lineRule="auto"/>
      <w:jc w:val="left"/>
    </w:pPr>
    <w:rPr>
      <w:rFonts w:asciiTheme="minorHAnsi" w:hAnsiTheme="minorHAnsi" w:eastAsiaTheme="minorEastAsia" w:cstheme="minorBidi"/>
      <w:kern w:val="2"/>
      <w:sz w:val="21"/>
      <w:szCs w:val="21"/>
      <w:lang w:val="zh-CN" w:eastAsia="zh-CN" w:bidi="ar-SA"/>
    </w:rPr>
  </w:style>
  <w:style w:type="paragraph" w:customStyle="1" w:styleId="196">
    <w:name w:val="麦志勤正文 Char"/>
    <w:basedOn w:val="2"/>
    <w:next w:val="1"/>
    <w:autoRedefine/>
    <w:qFormat/>
    <w:uiPriority w:val="99"/>
    <w:pPr>
      <w:keepNext w:val="0"/>
      <w:keepLines w:val="0"/>
      <w:adjustRightInd w:val="0"/>
      <w:snapToGrid w:val="0"/>
      <w:spacing w:beforeLines="20" w:after="0" w:line="300" w:lineRule="auto"/>
      <w:ind w:firstLine="200" w:firstLineChars="200"/>
      <w:outlineLvl w:val="9"/>
    </w:pPr>
    <w:rPr>
      <w:rFonts w:ascii="宋体" w:hAnsi="宋体"/>
      <w:bCs w:val="0"/>
      <w:kern w:val="2"/>
      <w:sz w:val="24"/>
      <w:szCs w:val="20"/>
    </w:rPr>
  </w:style>
  <w:style w:type="character" w:customStyle="1" w:styleId="197">
    <w:name w:val="正文---------------- Char Char"/>
    <w:basedOn w:val="50"/>
    <w:link w:val="198"/>
    <w:autoRedefine/>
    <w:qFormat/>
    <w:locked/>
    <w:uiPriority w:val="0"/>
    <w:rPr>
      <w:rFonts w:ascii="宋体" w:hAnsi="宋体" w:eastAsia="宋体" w:cs="宋体"/>
      <w:spacing w:val="16"/>
      <w:sz w:val="24"/>
    </w:rPr>
  </w:style>
  <w:style w:type="paragraph" w:customStyle="1" w:styleId="198">
    <w:name w:val="正文----------------"/>
    <w:basedOn w:val="2"/>
    <w:next w:val="1"/>
    <w:link w:val="197"/>
    <w:autoRedefine/>
    <w:qFormat/>
    <w:uiPriority w:val="0"/>
    <w:pPr>
      <w:keepNext w:val="0"/>
      <w:keepLines w:val="0"/>
      <w:spacing w:before="0" w:after="0" w:line="440" w:lineRule="exact"/>
      <w:ind w:firstLine="544" w:firstLineChars="200"/>
      <w:outlineLvl w:val="9"/>
    </w:pPr>
    <w:rPr>
      <w:rFonts w:ascii="宋体" w:hAnsi="宋体" w:cs="宋体"/>
      <w:bCs w:val="0"/>
      <w:spacing w:val="16"/>
      <w:kern w:val="2"/>
      <w:sz w:val="24"/>
      <w:szCs w:val="22"/>
    </w:rPr>
  </w:style>
  <w:style w:type="paragraph" w:customStyle="1" w:styleId="199">
    <w:name w:val="样式 样式 样式1 + 首行缩进:  2 字符 + 首行缩进:  2 字符"/>
    <w:basedOn w:val="2"/>
    <w:next w:val="1"/>
    <w:autoRedefine/>
    <w:qFormat/>
    <w:uiPriority w:val="99"/>
    <w:pPr>
      <w:keepNext w:val="0"/>
      <w:keepLines w:val="0"/>
      <w:spacing w:before="0" w:after="0" w:line="360" w:lineRule="auto"/>
      <w:ind w:firstLine="600" w:firstLineChars="250"/>
      <w:outlineLvl w:val="9"/>
    </w:pPr>
    <w:rPr>
      <w:rFonts w:cs="宋体"/>
      <w:kern w:val="2"/>
      <w:sz w:val="24"/>
      <w:szCs w:val="24"/>
    </w:rPr>
  </w:style>
  <w:style w:type="paragraph" w:customStyle="1" w:styleId="200">
    <w:name w:val="样式 宋体 小四 左 行距: 固定值 22 磅"/>
    <w:basedOn w:val="2"/>
    <w:next w:val="1"/>
    <w:autoRedefine/>
    <w:qFormat/>
    <w:uiPriority w:val="99"/>
    <w:pPr>
      <w:keepNext w:val="0"/>
      <w:keepLines w:val="0"/>
      <w:spacing w:before="0" w:after="0" w:line="440" w:lineRule="exact"/>
      <w:ind w:firstLine="200" w:firstLineChars="200"/>
      <w:jc w:val="left"/>
      <w:outlineLvl w:val="9"/>
    </w:pPr>
    <w:rPr>
      <w:rFonts w:ascii="宋体" w:hAnsi="宋体" w:cs="宋体"/>
      <w:bCs w:val="0"/>
      <w:kern w:val="2"/>
      <w:sz w:val="24"/>
      <w:szCs w:val="20"/>
    </w:rPr>
  </w:style>
  <w:style w:type="character" w:customStyle="1" w:styleId="201">
    <w:name w:val="表格标题采用 Char"/>
    <w:link w:val="202"/>
    <w:autoRedefine/>
    <w:qFormat/>
    <w:locked/>
    <w:uiPriority w:val="0"/>
    <w:rPr>
      <w:rFonts w:ascii="宋体" w:hAnsi="宋体" w:eastAsia="宋体"/>
      <w:b/>
      <w:color w:val="000000"/>
      <w:sz w:val="24"/>
      <w:szCs w:val="24"/>
    </w:rPr>
  </w:style>
  <w:style w:type="paragraph" w:customStyle="1" w:styleId="202">
    <w:name w:val="表格标题采用"/>
    <w:basedOn w:val="2"/>
    <w:next w:val="1"/>
    <w:link w:val="201"/>
    <w:autoRedefine/>
    <w:qFormat/>
    <w:uiPriority w:val="0"/>
    <w:pPr>
      <w:keepNext w:val="0"/>
      <w:keepLines w:val="0"/>
      <w:spacing w:before="0" w:after="0" w:line="500" w:lineRule="atLeast"/>
      <w:ind w:firstLine="480" w:firstLineChars="177"/>
      <w:jc w:val="center"/>
      <w:outlineLvl w:val="9"/>
    </w:pPr>
    <w:rPr>
      <w:rFonts w:ascii="宋体" w:hAnsi="宋体" w:cstheme="minorBidi"/>
      <w:bCs w:val="0"/>
      <w:color w:val="000000"/>
      <w:kern w:val="2"/>
      <w:sz w:val="24"/>
      <w:szCs w:val="24"/>
    </w:rPr>
  </w:style>
  <w:style w:type="character" w:customStyle="1" w:styleId="203">
    <w:name w:val="表格内容 Char"/>
    <w:link w:val="204"/>
    <w:autoRedefine/>
    <w:qFormat/>
    <w:locked/>
    <w:uiPriority w:val="0"/>
    <w:rPr>
      <w:snapToGrid w:val="0"/>
      <w:color w:val="FF0000"/>
      <w:szCs w:val="21"/>
    </w:rPr>
  </w:style>
  <w:style w:type="paragraph" w:customStyle="1" w:styleId="204">
    <w:name w:val="表格内容"/>
    <w:basedOn w:val="2"/>
    <w:next w:val="1"/>
    <w:link w:val="203"/>
    <w:autoRedefine/>
    <w:qFormat/>
    <w:uiPriority w:val="0"/>
    <w:pPr>
      <w:keepNext w:val="0"/>
      <w:keepLines w:val="0"/>
      <w:snapToGrid w:val="0"/>
      <w:spacing w:before="0" w:after="0" w:line="240" w:lineRule="exact"/>
      <w:ind w:firstLine="425" w:firstLineChars="177"/>
      <w:jc w:val="center"/>
      <w:outlineLvl w:val="9"/>
    </w:pPr>
    <w:rPr>
      <w:rFonts w:asciiTheme="minorHAnsi" w:hAnsiTheme="minorHAnsi" w:eastAsiaTheme="minorEastAsia" w:cstheme="minorBidi"/>
      <w:bCs w:val="0"/>
      <w:snapToGrid w:val="0"/>
      <w:color w:val="FF0000"/>
      <w:kern w:val="2"/>
      <w:sz w:val="21"/>
      <w:szCs w:val="21"/>
    </w:rPr>
  </w:style>
  <w:style w:type="paragraph" w:customStyle="1" w:styleId="205">
    <w:name w:val="正文段落格式 Char"/>
    <w:basedOn w:val="2"/>
    <w:next w:val="1"/>
    <w:autoRedefine/>
    <w:qFormat/>
    <w:uiPriority w:val="99"/>
    <w:pPr>
      <w:keepNext w:val="0"/>
      <w:keepLines w:val="0"/>
      <w:spacing w:before="0" w:after="0" w:line="360" w:lineRule="auto"/>
      <w:ind w:firstLine="200" w:firstLineChars="200"/>
      <w:outlineLvl w:val="9"/>
    </w:pPr>
    <w:rPr>
      <w:bCs w:val="0"/>
      <w:kern w:val="2"/>
      <w:sz w:val="28"/>
      <w:szCs w:val="20"/>
    </w:rPr>
  </w:style>
  <w:style w:type="paragraph" w:customStyle="1" w:styleId="206">
    <w:name w:val="reader-word-layer"/>
    <w:basedOn w:val="2"/>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rFonts w:ascii="宋体" w:hAnsi="宋体" w:cs="宋体"/>
      <w:bCs w:val="0"/>
      <w:kern w:val="0"/>
      <w:sz w:val="24"/>
      <w:szCs w:val="24"/>
    </w:rPr>
  </w:style>
  <w:style w:type="paragraph" w:customStyle="1" w:styleId="207">
    <w:name w:val="正文 New New New New New New New New New New New New New New New New New New New New New New New New New New New New New New New New New New New New New New New New New New New New New New New"/>
    <w:next w:val="1"/>
    <w:autoRedefine/>
    <w:qFormat/>
    <w:uiPriority w:val="99"/>
    <w:pPr>
      <w:widowControl w:val="0"/>
      <w:spacing w:line="240" w:lineRule="auto"/>
      <w:jc w:val="both"/>
    </w:pPr>
    <w:rPr>
      <w:rFonts w:ascii="Times New Roman" w:hAnsi="Times New Roman" w:eastAsia="宋体" w:cs="Times New Roman"/>
      <w:kern w:val="2"/>
      <w:sz w:val="21"/>
      <w:szCs w:val="24"/>
      <w:lang w:val="en-US" w:eastAsia="zh-CN" w:bidi="ar-SA"/>
    </w:rPr>
  </w:style>
  <w:style w:type="paragraph" w:customStyle="1" w:styleId="208">
    <w:name w:val="表格文字"/>
    <w:basedOn w:val="2"/>
    <w:next w:val="1"/>
    <w:autoRedefine/>
    <w:qFormat/>
    <w:uiPriority w:val="99"/>
    <w:pPr>
      <w:keepNext w:val="0"/>
      <w:keepLines w:val="0"/>
      <w:spacing w:before="0" w:after="0" w:line="500" w:lineRule="atLeast"/>
      <w:ind w:firstLine="425" w:firstLineChars="177"/>
      <w:jc w:val="center"/>
      <w:outlineLvl w:val="9"/>
    </w:pPr>
    <w:rPr>
      <w:rFonts w:ascii="仿宋_GB2312" w:hAnsi="Arial Black" w:eastAsia="仿宋_GB2312"/>
      <w:bCs w:val="0"/>
      <w:sz w:val="24"/>
      <w:szCs w:val="24"/>
    </w:rPr>
  </w:style>
  <w:style w:type="paragraph" w:customStyle="1" w:styleId="209">
    <w:name w:val="表格样式"/>
    <w:basedOn w:val="25"/>
    <w:next w:val="1"/>
    <w:autoRedefine/>
    <w:qFormat/>
    <w:uiPriority w:val="99"/>
    <w:pPr>
      <w:spacing w:line="720" w:lineRule="auto"/>
      <w:ind w:firstLine="425" w:firstLineChars="177"/>
    </w:pPr>
    <w:rPr>
      <w:rFonts w:cs="Times New Roman"/>
      <w:szCs w:val="20"/>
    </w:rPr>
  </w:style>
  <w:style w:type="paragraph" w:customStyle="1" w:styleId="210">
    <w:name w:val="Char3"/>
    <w:basedOn w:val="2"/>
    <w:next w:val="1"/>
    <w:autoRedefine/>
    <w:qFormat/>
    <w:uiPriority w:val="99"/>
    <w:pPr>
      <w:keepNext w:val="0"/>
      <w:keepLines w:val="0"/>
      <w:spacing w:before="0" w:after="0" w:line="500" w:lineRule="atLeast"/>
      <w:ind w:firstLine="425" w:firstLineChars="177"/>
      <w:outlineLvl w:val="9"/>
    </w:pPr>
    <w:rPr>
      <w:bCs w:val="0"/>
      <w:kern w:val="2"/>
      <w:sz w:val="24"/>
      <w:szCs w:val="24"/>
    </w:rPr>
  </w:style>
  <w:style w:type="paragraph" w:customStyle="1" w:styleId="211">
    <w:name w:val="Char2 Char Char Char"/>
    <w:basedOn w:val="2"/>
    <w:next w:val="1"/>
    <w:autoRedefine/>
    <w:qFormat/>
    <w:uiPriority w:val="99"/>
    <w:pPr>
      <w:keepNext w:val="0"/>
      <w:keepLines w:val="0"/>
      <w:autoSpaceDE w:val="0"/>
      <w:autoSpaceDN w:val="0"/>
      <w:adjustRightInd w:val="0"/>
      <w:snapToGrid w:val="0"/>
      <w:spacing w:before="50" w:after="50" w:line="360" w:lineRule="auto"/>
      <w:ind w:firstLine="560" w:firstLineChars="200"/>
      <w:outlineLvl w:val="9"/>
    </w:pPr>
    <w:rPr>
      <w:rFonts w:ascii="宋体" w:hAnsi="宋体" w:eastAsia="仿宋_GB2312"/>
      <w:bCs w:val="0"/>
      <w:color w:val="000000"/>
      <w:kern w:val="2"/>
      <w:sz w:val="24"/>
      <w:szCs w:val="24"/>
    </w:rPr>
  </w:style>
  <w:style w:type="paragraph" w:customStyle="1" w:styleId="212">
    <w:name w:val="Char Char Char Char Char Char Char Char Char Char1 Char Char Char Char Char Char Char Char Char Char Char Char Char"/>
    <w:basedOn w:val="2"/>
    <w:next w:val="1"/>
    <w:autoRedefine/>
    <w:qFormat/>
    <w:uiPriority w:val="99"/>
    <w:pPr>
      <w:keepNext w:val="0"/>
      <w:keepLines w:val="0"/>
      <w:spacing w:before="0" w:after="0" w:line="500" w:lineRule="atLeast"/>
      <w:ind w:firstLine="425" w:firstLineChars="177"/>
      <w:outlineLvl w:val="9"/>
    </w:pPr>
    <w:rPr>
      <w:bCs w:val="0"/>
      <w:kern w:val="2"/>
      <w:sz w:val="24"/>
      <w:szCs w:val="24"/>
    </w:rPr>
  </w:style>
  <w:style w:type="character" w:customStyle="1" w:styleId="213">
    <w:name w:val="Char Char Char Char Char1"/>
    <w:link w:val="214"/>
    <w:autoRedefine/>
    <w:qFormat/>
    <w:locked/>
    <w:uiPriority w:val="99"/>
    <w:rPr>
      <w:rFonts w:ascii="Arial" w:hAnsi="Arial" w:cs="Arial"/>
      <w:b/>
      <w:sz w:val="24"/>
      <w:lang w:eastAsia="en-US"/>
    </w:rPr>
  </w:style>
  <w:style w:type="paragraph" w:customStyle="1" w:styleId="214">
    <w:name w:val="Char Char Char Char"/>
    <w:basedOn w:val="2"/>
    <w:next w:val="1"/>
    <w:link w:val="213"/>
    <w:autoRedefine/>
    <w:qFormat/>
    <w:uiPriority w:val="99"/>
    <w:pPr>
      <w:keepNext w:val="0"/>
      <w:keepLines w:val="0"/>
      <w:widowControl/>
      <w:spacing w:before="0" w:after="160" w:line="240" w:lineRule="exact"/>
      <w:ind w:firstLine="425" w:firstLineChars="177"/>
      <w:jc w:val="left"/>
      <w:outlineLvl w:val="9"/>
    </w:pPr>
    <w:rPr>
      <w:rFonts w:ascii="Arial" w:hAnsi="Arial" w:cs="Arial" w:eastAsiaTheme="minorEastAsia"/>
      <w:bCs w:val="0"/>
      <w:kern w:val="2"/>
      <w:sz w:val="24"/>
      <w:szCs w:val="22"/>
      <w:lang w:eastAsia="en-US"/>
    </w:rPr>
  </w:style>
  <w:style w:type="paragraph" w:customStyle="1" w:styleId="215">
    <w:name w:val="xl24"/>
    <w:basedOn w:val="2"/>
    <w:next w:val="1"/>
    <w:autoRedefine/>
    <w:qFormat/>
    <w:uiPriority w:val="99"/>
    <w:pPr>
      <w:keepNext w:val="0"/>
      <w:keepLines w:val="0"/>
      <w:widowControl/>
      <w:pBdr>
        <w:bottom w:val="single" w:color="auto" w:sz="4" w:space="0"/>
        <w:right w:val="single" w:color="auto" w:sz="4" w:space="0"/>
      </w:pBdr>
      <w:spacing w:before="100" w:beforeAutospacing="1" w:after="100" w:afterAutospacing="1" w:line="500" w:lineRule="atLeast"/>
      <w:ind w:firstLine="425" w:firstLineChars="177"/>
      <w:jc w:val="center"/>
      <w:outlineLvl w:val="9"/>
    </w:pPr>
    <w:rPr>
      <w:rFonts w:ascii="宋体" w:hAnsi="宋体"/>
      <w:bCs w:val="0"/>
      <w:kern w:val="0"/>
      <w:sz w:val="24"/>
      <w:szCs w:val="21"/>
    </w:rPr>
  </w:style>
  <w:style w:type="character" w:customStyle="1" w:styleId="216">
    <w:name w:val="正文文本缩进一 Char"/>
    <w:link w:val="217"/>
    <w:autoRedefine/>
    <w:qFormat/>
    <w:locked/>
    <w:uiPriority w:val="0"/>
    <w:rPr>
      <w:rFonts w:ascii="宋体" w:hAnsi="宋体" w:eastAsia="宋体"/>
      <w:sz w:val="28"/>
      <w:szCs w:val="24"/>
    </w:rPr>
  </w:style>
  <w:style w:type="paragraph" w:customStyle="1" w:styleId="217">
    <w:name w:val="正文文本缩进一"/>
    <w:basedOn w:val="21"/>
    <w:next w:val="1"/>
    <w:link w:val="216"/>
    <w:autoRedefine/>
    <w:qFormat/>
    <w:uiPriority w:val="0"/>
    <w:pPr>
      <w:spacing w:line="360" w:lineRule="auto"/>
      <w:ind w:firstLine="560"/>
    </w:pPr>
    <w:rPr>
      <w:rFonts w:ascii="宋体" w:hAnsi="宋体" w:eastAsia="宋体"/>
      <w:sz w:val="28"/>
    </w:rPr>
  </w:style>
  <w:style w:type="paragraph" w:customStyle="1" w:styleId="218">
    <w:name w:val="正文文本缩进二"/>
    <w:basedOn w:val="27"/>
    <w:next w:val="1"/>
    <w:autoRedefine/>
    <w:qFormat/>
    <w:uiPriority w:val="99"/>
    <w:rPr>
      <w:rFonts w:ascii="Times New Roman" w:hAnsi="Times New Roman"/>
      <w:color w:val="auto"/>
      <w:szCs w:val="24"/>
    </w:rPr>
  </w:style>
  <w:style w:type="character" w:customStyle="1" w:styleId="219">
    <w:name w:val="Default Char"/>
    <w:link w:val="60"/>
    <w:autoRedefine/>
    <w:qFormat/>
    <w:locked/>
    <w:uiPriority w:val="0"/>
    <w:rPr>
      <w:rFonts w:ascii="Times New Roman" w:cs="Times New Roman" w:hAnsiTheme="minorEastAsia"/>
      <w:bCs/>
      <w:sz w:val="24"/>
      <w:szCs w:val="24"/>
      <w:lang w:val="zh-CN"/>
    </w:rPr>
  </w:style>
  <w:style w:type="paragraph" w:customStyle="1" w:styleId="220">
    <w:name w:val="表中文字"/>
    <w:basedOn w:val="2"/>
    <w:autoRedefine/>
    <w:qFormat/>
    <w:uiPriority w:val="99"/>
    <w:pPr>
      <w:keepNext w:val="0"/>
      <w:keepLines w:val="0"/>
      <w:spacing w:before="0" w:after="0" w:line="500" w:lineRule="atLeast"/>
      <w:ind w:firstLine="425" w:firstLineChars="177"/>
      <w:jc w:val="center"/>
      <w:outlineLvl w:val="9"/>
    </w:pPr>
    <w:rPr>
      <w:bCs w:val="0"/>
      <w:kern w:val="2"/>
      <w:sz w:val="24"/>
      <w:szCs w:val="20"/>
    </w:rPr>
  </w:style>
  <w:style w:type="character" w:customStyle="1" w:styleId="221">
    <w:name w:val="正文2 Char"/>
    <w:link w:val="222"/>
    <w:autoRedefine/>
    <w:qFormat/>
    <w:locked/>
    <w:uiPriority w:val="0"/>
    <w:rPr>
      <w:rFonts w:ascii="宋体" w:hAnsi="宋体" w:eastAsia="宋体"/>
      <w:sz w:val="24"/>
    </w:rPr>
  </w:style>
  <w:style w:type="paragraph" w:customStyle="1" w:styleId="222">
    <w:name w:val="正文2"/>
    <w:next w:val="1"/>
    <w:link w:val="221"/>
    <w:autoRedefine/>
    <w:qFormat/>
    <w:uiPriority w:val="0"/>
    <w:pPr>
      <w:widowControl w:val="0"/>
      <w:adjustRightInd w:val="0"/>
      <w:spacing w:line="360" w:lineRule="atLeast"/>
      <w:jc w:val="left"/>
    </w:pPr>
    <w:rPr>
      <w:rFonts w:ascii="宋体" w:hAnsi="宋体" w:eastAsia="宋体" w:cstheme="minorBidi"/>
      <w:kern w:val="2"/>
      <w:sz w:val="24"/>
      <w:szCs w:val="22"/>
      <w:lang w:val="en-US" w:eastAsia="zh-CN" w:bidi="ar-SA"/>
    </w:rPr>
  </w:style>
  <w:style w:type="paragraph" w:customStyle="1" w:styleId="223">
    <w:name w:val="样式 列表 2 + 华文仿宋 居中"/>
    <w:basedOn w:val="22"/>
    <w:next w:val="1"/>
    <w:autoRedefine/>
    <w:qFormat/>
    <w:uiPriority w:val="99"/>
    <w:pPr>
      <w:spacing w:line="500" w:lineRule="exact"/>
      <w:ind w:left="0" w:leftChars="0" w:firstLine="425" w:firstLineChars="177"/>
      <w:contextualSpacing w:val="0"/>
      <w:jc w:val="center"/>
    </w:pPr>
    <w:rPr>
      <w:kern w:val="0"/>
    </w:rPr>
  </w:style>
  <w:style w:type="paragraph" w:customStyle="1" w:styleId="224">
    <w:name w:val="lily 正文"/>
    <w:basedOn w:val="2"/>
    <w:next w:val="1"/>
    <w:autoRedefine/>
    <w:qFormat/>
    <w:uiPriority w:val="99"/>
    <w:pPr>
      <w:keepNext w:val="0"/>
      <w:keepLines w:val="0"/>
      <w:spacing w:before="0" w:after="0" w:line="440" w:lineRule="atLeast"/>
      <w:ind w:firstLine="480" w:firstLineChars="200"/>
      <w:outlineLvl w:val="9"/>
    </w:pPr>
    <w:rPr>
      <w:bCs w:val="0"/>
      <w:kern w:val="2"/>
      <w:sz w:val="24"/>
      <w:szCs w:val="24"/>
    </w:rPr>
  </w:style>
  <w:style w:type="paragraph" w:customStyle="1" w:styleId="225">
    <w:name w:val="lily 表格标题"/>
    <w:basedOn w:val="2"/>
    <w:next w:val="1"/>
    <w:autoRedefine/>
    <w:qFormat/>
    <w:uiPriority w:val="99"/>
    <w:pPr>
      <w:keepNext w:val="0"/>
      <w:keepLines w:val="0"/>
      <w:spacing w:before="0" w:after="0" w:line="440" w:lineRule="atLeast"/>
      <w:ind w:firstLine="425" w:firstLineChars="177"/>
      <w:jc w:val="center"/>
      <w:outlineLvl w:val="9"/>
    </w:pPr>
    <w:rPr>
      <w:rFonts w:eastAsia="黑体"/>
      <w:kern w:val="2"/>
      <w:sz w:val="24"/>
      <w:szCs w:val="24"/>
    </w:rPr>
  </w:style>
  <w:style w:type="paragraph" w:customStyle="1" w:styleId="226">
    <w:name w:val="Char Char Char Char Char Char Char"/>
    <w:basedOn w:val="2"/>
    <w:next w:val="1"/>
    <w:autoRedefine/>
    <w:qFormat/>
    <w:uiPriority w:val="0"/>
    <w:pPr>
      <w:keepNext w:val="0"/>
      <w:keepLines w:val="0"/>
      <w:spacing w:before="0" w:after="0" w:line="360" w:lineRule="auto"/>
      <w:ind w:firstLine="200" w:firstLineChars="200"/>
      <w:outlineLvl w:val="9"/>
    </w:pPr>
    <w:rPr>
      <w:rFonts w:ascii="宋体" w:hAnsi="宋体" w:cs="宋体"/>
      <w:bCs w:val="0"/>
      <w:color w:val="000000"/>
      <w:kern w:val="2"/>
      <w:sz w:val="24"/>
      <w:szCs w:val="18"/>
    </w:rPr>
  </w:style>
  <w:style w:type="paragraph" w:customStyle="1" w:styleId="227">
    <w:name w:val="表内容"/>
    <w:basedOn w:val="2"/>
    <w:next w:val="1"/>
    <w:autoRedefine/>
    <w:qFormat/>
    <w:uiPriority w:val="99"/>
    <w:pPr>
      <w:keepNext w:val="0"/>
      <w:keepLines w:val="0"/>
      <w:spacing w:before="0" w:after="0" w:line="320" w:lineRule="exact"/>
      <w:ind w:firstLine="425" w:firstLineChars="177"/>
      <w:jc w:val="center"/>
      <w:outlineLvl w:val="9"/>
    </w:pPr>
    <w:rPr>
      <w:bCs w:val="0"/>
      <w:kern w:val="2"/>
      <w:sz w:val="24"/>
      <w:szCs w:val="21"/>
    </w:rPr>
  </w:style>
  <w:style w:type="paragraph" w:customStyle="1" w:styleId="228">
    <w:name w:val="小四表文左齐"/>
    <w:basedOn w:val="2"/>
    <w:next w:val="1"/>
    <w:autoRedefine/>
    <w:qFormat/>
    <w:uiPriority w:val="99"/>
    <w:pPr>
      <w:keepNext w:val="0"/>
      <w:keepLines w:val="0"/>
      <w:spacing w:before="0" w:after="0" w:line="360" w:lineRule="auto"/>
      <w:ind w:firstLine="200" w:firstLineChars="200"/>
      <w:jc w:val="center"/>
      <w:outlineLvl w:val="9"/>
    </w:pPr>
    <w:rPr>
      <w:rFonts w:ascii="仿宋_GB2312" w:hAnsi="宋体" w:eastAsia="仿宋_GB2312"/>
      <w:bCs w:val="0"/>
      <w:w w:val="90"/>
      <w:kern w:val="2"/>
      <w:sz w:val="24"/>
      <w:szCs w:val="24"/>
    </w:rPr>
  </w:style>
  <w:style w:type="paragraph" w:customStyle="1" w:styleId="229">
    <w:name w:val="表序号"/>
    <w:basedOn w:val="2"/>
    <w:next w:val="1"/>
    <w:autoRedefine/>
    <w:qFormat/>
    <w:uiPriority w:val="99"/>
    <w:pPr>
      <w:keepNext w:val="0"/>
      <w:keepLines w:val="0"/>
      <w:pageBreakBefore/>
      <w:numPr>
        <w:ilvl w:val="5"/>
        <w:numId w:val="1"/>
      </w:numPr>
      <w:tabs>
        <w:tab w:val="left" w:pos="360"/>
        <w:tab w:val="left" w:pos="2977"/>
      </w:tabs>
      <w:spacing w:beforeLines="50" w:afterLines="50" w:line="500" w:lineRule="exact"/>
      <w:ind w:left="2637" w:hanging="432" w:firstLineChars="177"/>
      <w:jc w:val="left"/>
    </w:pPr>
    <w:rPr>
      <w:rFonts w:ascii="宋体" w:hAnsi="宋体"/>
      <w:bCs w:val="0"/>
      <w:kern w:val="2"/>
      <w:sz w:val="32"/>
      <w:szCs w:val="32"/>
    </w:rPr>
  </w:style>
  <w:style w:type="paragraph" w:customStyle="1" w:styleId="230">
    <w:name w:val="样式 标题 1标题1章标题 + 宋体"/>
    <w:basedOn w:val="2"/>
    <w:next w:val="1"/>
    <w:autoRedefine/>
    <w:qFormat/>
    <w:uiPriority w:val="99"/>
    <w:pPr>
      <w:keepNext w:val="0"/>
      <w:keepLines w:val="0"/>
      <w:pageBreakBefore/>
      <w:tabs>
        <w:tab w:val="left" w:pos="2977"/>
      </w:tabs>
      <w:spacing w:beforeLines="50" w:afterLines="50" w:line="500" w:lineRule="exact"/>
      <w:ind w:left="2637" w:hanging="432" w:firstLineChars="177"/>
      <w:jc w:val="center"/>
    </w:pPr>
    <w:rPr>
      <w:rFonts w:ascii="宋体" w:hAnsi="宋体"/>
      <w:kern w:val="2"/>
      <w:sz w:val="32"/>
      <w:szCs w:val="32"/>
    </w:rPr>
  </w:style>
  <w:style w:type="paragraph" w:customStyle="1" w:styleId="231">
    <w:name w:val="样式1"/>
    <w:basedOn w:val="2"/>
    <w:next w:val="23"/>
    <w:autoRedefine/>
    <w:qFormat/>
    <w:uiPriority w:val="99"/>
    <w:pPr>
      <w:keepNext w:val="0"/>
      <w:keepLines w:val="0"/>
      <w:adjustRightInd w:val="0"/>
      <w:snapToGrid w:val="0"/>
      <w:spacing w:before="0" w:after="0" w:line="360" w:lineRule="auto"/>
      <w:ind w:firstLine="200" w:firstLineChars="200"/>
      <w:jc w:val="center"/>
      <w:outlineLvl w:val="9"/>
    </w:pPr>
    <w:rPr>
      <w:rFonts w:ascii="仿宋_GB2312" w:hAnsi="宋体" w:eastAsia="仿宋_GB2312"/>
      <w:kern w:val="2"/>
      <w:sz w:val="24"/>
      <w:szCs w:val="24"/>
    </w:rPr>
  </w:style>
  <w:style w:type="paragraph" w:customStyle="1" w:styleId="232">
    <w:name w:val="样式 表格标题 + 首行缩进:  0.61 字符"/>
    <w:basedOn w:val="2"/>
    <w:next w:val="1"/>
    <w:autoRedefine/>
    <w:qFormat/>
    <w:uiPriority w:val="99"/>
    <w:pPr>
      <w:keepNext w:val="0"/>
      <w:keepLines w:val="0"/>
      <w:wordWrap w:val="0"/>
      <w:adjustRightInd w:val="0"/>
      <w:snapToGrid w:val="0"/>
      <w:spacing w:before="0" w:after="0" w:line="400" w:lineRule="exact"/>
      <w:ind w:left="-143" w:leftChars="-68" w:firstLine="128" w:firstLineChars="61"/>
      <w:jc w:val="center"/>
      <w:outlineLvl w:val="9"/>
    </w:pPr>
    <w:rPr>
      <w:rFonts w:cs="宋体"/>
      <w:bCs w:val="0"/>
      <w:kern w:val="2"/>
      <w:sz w:val="24"/>
      <w:szCs w:val="20"/>
    </w:rPr>
  </w:style>
  <w:style w:type="paragraph" w:customStyle="1" w:styleId="233">
    <w:name w:val="正文3"/>
    <w:next w:val="1"/>
    <w:autoRedefine/>
    <w:qFormat/>
    <w:uiPriority w:val="99"/>
    <w:pPr>
      <w:widowControl w:val="0"/>
      <w:adjustRightInd w:val="0"/>
      <w:spacing w:line="360" w:lineRule="atLeast"/>
      <w:jc w:val="left"/>
    </w:pPr>
    <w:rPr>
      <w:rFonts w:ascii="宋体" w:hAnsi="Times New Roman" w:eastAsia="宋体" w:cs="Times New Roman"/>
      <w:kern w:val="0"/>
      <w:sz w:val="24"/>
      <w:szCs w:val="20"/>
      <w:lang w:val="en-US" w:eastAsia="zh-CN" w:bidi="ar-SA"/>
    </w:rPr>
  </w:style>
  <w:style w:type="paragraph" w:customStyle="1" w:styleId="234">
    <w:name w:val="表文字"/>
    <w:basedOn w:val="2"/>
    <w:next w:val="1"/>
    <w:autoRedefine/>
    <w:qFormat/>
    <w:uiPriority w:val="99"/>
    <w:pPr>
      <w:keepNext w:val="0"/>
      <w:keepLines w:val="0"/>
      <w:tabs>
        <w:tab w:val="left" w:pos="945"/>
        <w:tab w:val="right" w:leader="dot" w:pos="1155"/>
        <w:tab w:val="left" w:pos="8715"/>
      </w:tabs>
      <w:adjustRightInd w:val="0"/>
      <w:snapToGrid w:val="0"/>
      <w:spacing w:beforeLines="15" w:after="0" w:line="360" w:lineRule="auto"/>
      <w:ind w:firstLine="425" w:firstLineChars="177"/>
      <w:jc w:val="center"/>
      <w:outlineLvl w:val="9"/>
    </w:pPr>
    <w:rPr>
      <w:rFonts w:ascii="宋体" w:hAnsi="宋体"/>
      <w:bCs w:val="0"/>
      <w:color w:val="000000"/>
      <w:kern w:val="0"/>
      <w:sz w:val="24"/>
      <w:szCs w:val="9"/>
    </w:rPr>
  </w:style>
  <w:style w:type="paragraph" w:customStyle="1" w:styleId="235">
    <w:name w:val="Document"/>
    <w:basedOn w:val="2"/>
    <w:next w:val="1"/>
    <w:autoRedefine/>
    <w:qFormat/>
    <w:uiPriority w:val="99"/>
    <w:pPr>
      <w:keepNext w:val="0"/>
      <w:keepLines w:val="0"/>
      <w:widowControl/>
      <w:spacing w:before="0" w:after="0" w:line="500" w:lineRule="atLeast"/>
      <w:ind w:firstLine="425" w:firstLineChars="177"/>
      <w:jc w:val="center"/>
      <w:outlineLvl w:val="9"/>
    </w:pPr>
    <w:rPr>
      <w:rFonts w:ascii="Financial  (MF)" w:hAnsi="Financial  (MF)"/>
      <w:bCs w:val="0"/>
      <w:kern w:val="0"/>
      <w:sz w:val="24"/>
      <w:szCs w:val="20"/>
      <w:lang w:eastAsia="en-US"/>
    </w:rPr>
  </w:style>
  <w:style w:type="paragraph" w:customStyle="1" w:styleId="236">
    <w:name w:val="表题"/>
    <w:basedOn w:val="2"/>
    <w:next w:val="1"/>
    <w:autoRedefine/>
    <w:qFormat/>
    <w:uiPriority w:val="99"/>
    <w:pPr>
      <w:keepNext w:val="0"/>
      <w:keepLines w:val="0"/>
      <w:tabs>
        <w:tab w:val="right" w:pos="0"/>
      </w:tabs>
      <w:adjustRightInd w:val="0"/>
      <w:snapToGrid w:val="0"/>
      <w:spacing w:before="0" w:after="0" w:line="500" w:lineRule="atLeast"/>
      <w:ind w:firstLine="425" w:firstLineChars="177"/>
      <w:jc w:val="center"/>
      <w:outlineLvl w:val="9"/>
    </w:pPr>
    <w:rPr>
      <w:rFonts w:ascii="宋体" w:hAnsi="宋体"/>
      <w:bCs w:val="0"/>
      <w:spacing w:val="12"/>
      <w:kern w:val="2"/>
      <w:sz w:val="24"/>
      <w:szCs w:val="24"/>
    </w:rPr>
  </w:style>
  <w:style w:type="paragraph" w:customStyle="1" w:styleId="237">
    <w:name w:val="图框文"/>
    <w:basedOn w:val="2"/>
    <w:next w:val="1"/>
    <w:autoRedefine/>
    <w:qFormat/>
    <w:uiPriority w:val="99"/>
    <w:pPr>
      <w:keepNext w:val="0"/>
      <w:keepLines w:val="0"/>
      <w:kinsoku w:val="0"/>
      <w:wordWrap w:val="0"/>
      <w:overflowPunct w:val="0"/>
      <w:autoSpaceDE w:val="0"/>
      <w:autoSpaceDN w:val="0"/>
      <w:spacing w:before="0" w:after="0" w:line="0" w:lineRule="atLeast"/>
      <w:ind w:firstLine="425" w:firstLineChars="177"/>
      <w:jc w:val="center"/>
      <w:outlineLvl w:val="9"/>
    </w:pPr>
    <w:rPr>
      <w:rFonts w:ascii="仿宋_GB2312" w:eastAsia="仿宋_GB2312"/>
      <w:bCs w:val="0"/>
      <w:kern w:val="2"/>
      <w:sz w:val="24"/>
      <w:szCs w:val="20"/>
    </w:rPr>
  </w:style>
  <w:style w:type="paragraph" w:customStyle="1" w:styleId="238">
    <w:name w:val="流程图"/>
    <w:basedOn w:val="2"/>
    <w:next w:val="1"/>
    <w:autoRedefine/>
    <w:qFormat/>
    <w:uiPriority w:val="99"/>
    <w:pPr>
      <w:keepNext w:val="0"/>
      <w:keepLines w:val="0"/>
      <w:tabs>
        <w:tab w:val="left" w:pos="0"/>
      </w:tabs>
      <w:autoSpaceDE w:val="0"/>
      <w:autoSpaceDN w:val="0"/>
      <w:adjustRightInd w:val="0"/>
      <w:spacing w:before="0" w:after="0" w:line="240" w:lineRule="atLeast"/>
      <w:ind w:firstLine="425" w:firstLineChars="177"/>
      <w:jc w:val="center"/>
      <w:outlineLvl w:val="9"/>
    </w:pPr>
    <w:rPr>
      <w:rFonts w:ascii="宋体"/>
      <w:bCs w:val="0"/>
      <w:kern w:val="2"/>
      <w:sz w:val="24"/>
      <w:szCs w:val="20"/>
    </w:rPr>
  </w:style>
  <w:style w:type="paragraph" w:customStyle="1" w:styleId="239">
    <w:name w:val="Char1 Char Char Char"/>
    <w:basedOn w:val="2"/>
    <w:next w:val="1"/>
    <w:autoRedefine/>
    <w:qFormat/>
    <w:uiPriority w:val="99"/>
    <w:pPr>
      <w:keepNext w:val="0"/>
      <w:keepLines w:val="0"/>
      <w:spacing w:before="0" w:after="0" w:line="500" w:lineRule="atLeast"/>
      <w:ind w:firstLine="480" w:firstLineChars="200"/>
      <w:outlineLvl w:val="9"/>
    </w:pPr>
    <w:rPr>
      <w:rFonts w:ascii="宋体"/>
      <w:bCs w:val="0"/>
      <w:kern w:val="2"/>
      <w:sz w:val="28"/>
      <w:szCs w:val="24"/>
    </w:rPr>
  </w:style>
  <w:style w:type="character" w:customStyle="1" w:styleId="240">
    <w:name w:val="5文章(治) Char"/>
    <w:link w:val="241"/>
    <w:autoRedefine/>
    <w:qFormat/>
    <w:locked/>
    <w:uiPriority w:val="0"/>
    <w:rPr>
      <w:sz w:val="24"/>
      <w:szCs w:val="28"/>
    </w:rPr>
  </w:style>
  <w:style w:type="paragraph" w:customStyle="1" w:styleId="241">
    <w:name w:val="5文章(治)"/>
    <w:basedOn w:val="2"/>
    <w:next w:val="1"/>
    <w:link w:val="240"/>
    <w:autoRedefine/>
    <w:qFormat/>
    <w:uiPriority w:val="0"/>
    <w:pPr>
      <w:keepNext w:val="0"/>
      <w:keepLines w:val="0"/>
      <w:spacing w:before="0" w:after="0" w:line="360" w:lineRule="auto"/>
      <w:ind w:firstLine="560" w:firstLineChars="200"/>
      <w:outlineLvl w:val="9"/>
    </w:pPr>
    <w:rPr>
      <w:rFonts w:asciiTheme="minorHAnsi" w:hAnsiTheme="minorHAnsi" w:eastAsiaTheme="minorEastAsia" w:cstheme="minorBidi"/>
      <w:bCs w:val="0"/>
      <w:kern w:val="2"/>
      <w:sz w:val="24"/>
      <w:szCs w:val="28"/>
    </w:rPr>
  </w:style>
  <w:style w:type="character" w:customStyle="1" w:styleId="242">
    <w:name w:val="7表格(治) Char"/>
    <w:link w:val="243"/>
    <w:autoRedefine/>
    <w:qFormat/>
    <w:locked/>
    <w:uiPriority w:val="0"/>
    <w:rPr>
      <w:rFonts w:ascii="Times New Roman" w:hAnsi="Times New Roman" w:eastAsia="宋体" w:cs="Times New Roman"/>
      <w:kern w:val="0"/>
      <w:sz w:val="20"/>
      <w:szCs w:val="20"/>
    </w:rPr>
  </w:style>
  <w:style w:type="paragraph" w:customStyle="1" w:styleId="243">
    <w:name w:val="7表格(治)"/>
    <w:next w:val="1"/>
    <w:link w:val="242"/>
    <w:autoRedefine/>
    <w:qFormat/>
    <w:uiPriority w:val="0"/>
    <w:pPr>
      <w:spacing w:line="240" w:lineRule="auto"/>
      <w:jc w:val="center"/>
    </w:pPr>
    <w:rPr>
      <w:rFonts w:ascii="Times New Roman" w:hAnsi="Times New Roman" w:eastAsia="宋体" w:cs="Times New Roman"/>
      <w:kern w:val="0"/>
      <w:sz w:val="20"/>
      <w:szCs w:val="20"/>
      <w:lang w:val="en-US" w:eastAsia="zh-CN" w:bidi="ar-SA"/>
    </w:rPr>
  </w:style>
  <w:style w:type="paragraph" w:customStyle="1" w:styleId="244">
    <w:name w:val="Char Char Char Char Char Char Char3"/>
    <w:basedOn w:val="2"/>
    <w:next w:val="1"/>
    <w:autoRedefine/>
    <w:qFormat/>
    <w:uiPriority w:val="99"/>
    <w:pPr>
      <w:keepNext w:val="0"/>
      <w:keepLines w:val="0"/>
      <w:spacing w:before="0" w:after="0" w:line="500" w:lineRule="atLeast"/>
      <w:ind w:firstLine="425" w:firstLineChars="177"/>
      <w:outlineLvl w:val="9"/>
    </w:pPr>
    <w:rPr>
      <w:bCs w:val="0"/>
      <w:kern w:val="2"/>
      <w:sz w:val="24"/>
      <w:szCs w:val="21"/>
    </w:rPr>
  </w:style>
  <w:style w:type="paragraph" w:customStyle="1" w:styleId="245">
    <w:name w:val="Char Char19"/>
    <w:basedOn w:val="2"/>
    <w:next w:val="1"/>
    <w:autoRedefine/>
    <w:qFormat/>
    <w:uiPriority w:val="99"/>
    <w:pPr>
      <w:keepNext w:val="0"/>
      <w:keepLines w:val="0"/>
      <w:spacing w:before="0" w:after="0" w:line="500" w:lineRule="atLeast"/>
      <w:ind w:firstLine="425" w:firstLineChars="177"/>
      <w:outlineLvl w:val="9"/>
    </w:pPr>
    <w:rPr>
      <w:bCs w:val="0"/>
      <w:kern w:val="2"/>
      <w:sz w:val="24"/>
      <w:szCs w:val="21"/>
    </w:rPr>
  </w:style>
  <w:style w:type="paragraph" w:customStyle="1" w:styleId="246">
    <w:name w:val="图表文字"/>
    <w:next w:val="1"/>
    <w:autoRedefine/>
    <w:qFormat/>
    <w:uiPriority w:val="99"/>
    <w:pPr>
      <w:widowControl w:val="0"/>
      <w:spacing w:line="260" w:lineRule="exact"/>
      <w:ind w:right="-149" w:rightChars="-71"/>
      <w:jc w:val="center"/>
    </w:pPr>
    <w:rPr>
      <w:rFonts w:ascii="Times New Roman" w:hAnsi="Times New Roman" w:eastAsia="宋体" w:cs="Times New Roman"/>
      <w:kern w:val="2"/>
      <w:sz w:val="21"/>
      <w:szCs w:val="21"/>
      <w:lang w:val="en-US" w:eastAsia="zh-CN" w:bidi="ar-SA"/>
    </w:rPr>
  </w:style>
  <w:style w:type="paragraph" w:customStyle="1" w:styleId="247">
    <w:name w:val="表1"/>
    <w:next w:val="1"/>
    <w:autoRedefine/>
    <w:qFormat/>
    <w:uiPriority w:val="99"/>
    <w:pPr>
      <w:adjustRightInd w:val="0"/>
      <w:snapToGrid w:val="0"/>
      <w:spacing w:line="240" w:lineRule="auto"/>
      <w:jc w:val="center"/>
    </w:pPr>
    <w:rPr>
      <w:rFonts w:ascii="宋体" w:hAnsi="Times New Roman" w:eastAsia="宋体" w:cs="Times New Roman"/>
      <w:kern w:val="0"/>
      <w:sz w:val="21"/>
      <w:szCs w:val="20"/>
      <w:lang w:val="en-US" w:eastAsia="zh-CN" w:bidi="ar-SA"/>
    </w:rPr>
  </w:style>
  <w:style w:type="paragraph" w:customStyle="1" w:styleId="248">
    <w:name w:val="Char Char Char Char1"/>
    <w:basedOn w:val="2"/>
    <w:next w:val="1"/>
    <w:autoRedefine/>
    <w:qFormat/>
    <w:uiPriority w:val="99"/>
    <w:pPr>
      <w:keepNext w:val="0"/>
      <w:keepLines w:val="0"/>
      <w:spacing w:before="120" w:after="120" w:line="360" w:lineRule="auto"/>
      <w:ind w:firstLine="420" w:firstLineChars="177"/>
      <w:outlineLvl w:val="9"/>
    </w:pPr>
    <w:rPr>
      <w:bCs w:val="0"/>
      <w:kern w:val="2"/>
      <w:sz w:val="24"/>
      <w:szCs w:val="24"/>
    </w:rPr>
  </w:style>
  <w:style w:type="character" w:customStyle="1" w:styleId="249">
    <w:name w:val="表头1 Char"/>
    <w:link w:val="250"/>
    <w:autoRedefine/>
    <w:qFormat/>
    <w:locked/>
    <w:uiPriority w:val="0"/>
    <w:rPr>
      <w:rFonts w:ascii="黑体" w:hAnsi="黑体" w:eastAsia="黑体"/>
      <w:sz w:val="24"/>
      <w:szCs w:val="28"/>
    </w:rPr>
  </w:style>
  <w:style w:type="paragraph" w:customStyle="1" w:styleId="250">
    <w:name w:val="表头1"/>
    <w:basedOn w:val="2"/>
    <w:next w:val="1"/>
    <w:link w:val="249"/>
    <w:autoRedefine/>
    <w:qFormat/>
    <w:uiPriority w:val="0"/>
    <w:pPr>
      <w:keepNext w:val="0"/>
      <w:keepLines w:val="0"/>
      <w:tabs>
        <w:tab w:val="left" w:pos="605"/>
      </w:tabs>
      <w:adjustRightInd w:val="0"/>
      <w:snapToGrid w:val="0"/>
      <w:spacing w:before="0" w:after="0" w:line="500" w:lineRule="atLeast"/>
      <w:ind w:firstLine="425" w:firstLineChars="177"/>
      <w:jc w:val="center"/>
      <w:outlineLvl w:val="9"/>
    </w:pPr>
    <w:rPr>
      <w:rFonts w:ascii="黑体" w:hAnsi="黑体" w:eastAsia="黑体" w:cstheme="minorBidi"/>
      <w:bCs w:val="0"/>
      <w:kern w:val="2"/>
      <w:sz w:val="24"/>
      <w:szCs w:val="28"/>
    </w:rPr>
  </w:style>
  <w:style w:type="paragraph" w:customStyle="1" w:styleId="251">
    <w:name w:val="列表1"/>
    <w:basedOn w:val="2"/>
    <w:next w:val="1"/>
    <w:autoRedefine/>
    <w:qFormat/>
    <w:uiPriority w:val="99"/>
    <w:pPr>
      <w:keepNext w:val="0"/>
      <w:keepLines w:val="0"/>
      <w:spacing w:before="0" w:after="0" w:line="360" w:lineRule="exact"/>
      <w:ind w:firstLine="425" w:firstLineChars="177"/>
      <w:jc w:val="center"/>
      <w:outlineLvl w:val="9"/>
    </w:pPr>
    <w:rPr>
      <w:rFonts w:ascii="仿宋_GB2312" w:eastAsia="仿宋_GB2312"/>
      <w:bCs w:val="0"/>
      <w:kern w:val="2"/>
      <w:sz w:val="28"/>
      <w:szCs w:val="20"/>
    </w:rPr>
  </w:style>
  <w:style w:type="character" w:customStyle="1" w:styleId="252">
    <w:name w:val="样式127 Char"/>
    <w:link w:val="253"/>
    <w:autoRedefine/>
    <w:qFormat/>
    <w:locked/>
    <w:uiPriority w:val="0"/>
    <w:rPr>
      <w:snapToGrid w:val="0"/>
      <w:color w:val="000000"/>
      <w:sz w:val="24"/>
      <w:szCs w:val="28"/>
    </w:rPr>
  </w:style>
  <w:style w:type="paragraph" w:customStyle="1" w:styleId="253">
    <w:name w:val="样式127"/>
    <w:basedOn w:val="2"/>
    <w:next w:val="1"/>
    <w:link w:val="252"/>
    <w:autoRedefine/>
    <w:qFormat/>
    <w:uiPriority w:val="0"/>
    <w:pPr>
      <w:keepNext w:val="0"/>
      <w:keepLines w:val="0"/>
      <w:snapToGrid w:val="0"/>
      <w:spacing w:before="0" w:after="0" w:line="520" w:lineRule="exact"/>
      <w:ind w:firstLine="480" w:firstLineChars="200"/>
      <w:outlineLvl w:val="9"/>
    </w:pPr>
    <w:rPr>
      <w:rFonts w:asciiTheme="minorHAnsi" w:hAnsiTheme="minorHAnsi" w:eastAsiaTheme="minorEastAsia" w:cstheme="minorBidi"/>
      <w:bCs w:val="0"/>
      <w:snapToGrid w:val="0"/>
      <w:color w:val="000000"/>
      <w:kern w:val="2"/>
      <w:sz w:val="24"/>
      <w:szCs w:val="28"/>
    </w:rPr>
  </w:style>
  <w:style w:type="paragraph" w:customStyle="1" w:styleId="254">
    <w:name w:val="Char Char Char Char Char Char Char1"/>
    <w:basedOn w:val="2"/>
    <w:next w:val="1"/>
    <w:autoRedefine/>
    <w:qFormat/>
    <w:uiPriority w:val="99"/>
    <w:pPr>
      <w:keepNext w:val="0"/>
      <w:keepLines w:val="0"/>
      <w:spacing w:before="0" w:after="0" w:line="360" w:lineRule="auto"/>
      <w:ind w:firstLine="200" w:firstLineChars="200"/>
      <w:outlineLvl w:val="9"/>
    </w:pPr>
    <w:rPr>
      <w:rFonts w:ascii="宋体" w:hAnsi="宋体" w:cs="宋体"/>
      <w:bCs w:val="0"/>
      <w:kern w:val="2"/>
      <w:sz w:val="24"/>
      <w:szCs w:val="24"/>
    </w:rPr>
  </w:style>
  <w:style w:type="paragraph" w:customStyle="1" w:styleId="255">
    <w:name w:val="样式5"/>
    <w:basedOn w:val="34"/>
    <w:next w:val="1"/>
    <w:autoRedefine/>
    <w:qFormat/>
    <w:uiPriority w:val="99"/>
    <w:pPr>
      <w:spacing w:line="500" w:lineRule="atLeast"/>
      <w:ind w:left="482" w:firstLine="0" w:firstLineChars="0"/>
      <w:contextualSpacing w:val="0"/>
    </w:pPr>
    <w:rPr>
      <w:sz w:val="24"/>
    </w:rPr>
  </w:style>
  <w:style w:type="paragraph" w:customStyle="1" w:styleId="256">
    <w:name w:val="正文文字-1"/>
    <w:next w:val="1"/>
    <w:autoRedefine/>
    <w:qFormat/>
    <w:uiPriority w:val="99"/>
    <w:pPr>
      <w:widowControl w:val="0"/>
      <w:spacing w:before="120" w:after="120" w:line="480" w:lineRule="exact"/>
      <w:ind w:firstLine="588" w:firstLineChars="210"/>
      <w:jc w:val="both"/>
    </w:pPr>
    <w:rPr>
      <w:rFonts w:ascii="Times New Roman" w:hAnsi="Times New Roman" w:eastAsia="宋体" w:cs="Times New Roman"/>
      <w:kern w:val="2"/>
      <w:sz w:val="24"/>
      <w:szCs w:val="24"/>
      <w:lang w:val="en-US" w:eastAsia="zh-CN" w:bidi="ar-SA"/>
    </w:rPr>
  </w:style>
  <w:style w:type="paragraph" w:customStyle="1" w:styleId="257">
    <w:name w:val="样式 样式 正文文字-1 + 首行缩进:  2.1 字符1 + 首行缩进:  2.1 字符"/>
    <w:basedOn w:val="2"/>
    <w:next w:val="1"/>
    <w:autoRedefine/>
    <w:qFormat/>
    <w:uiPriority w:val="99"/>
    <w:pPr>
      <w:keepNext w:val="0"/>
      <w:keepLines w:val="0"/>
      <w:spacing w:before="120" w:after="120" w:line="400" w:lineRule="exact"/>
      <w:ind w:firstLine="210" w:firstLineChars="210"/>
      <w:outlineLvl w:val="9"/>
    </w:pPr>
    <w:rPr>
      <w:rFonts w:cs="宋体"/>
      <w:bCs w:val="0"/>
      <w:kern w:val="2"/>
      <w:sz w:val="24"/>
      <w:szCs w:val="20"/>
    </w:rPr>
  </w:style>
  <w:style w:type="paragraph" w:customStyle="1" w:styleId="258">
    <w:name w:val="样式 正文文字-1 + 首行缩进:  2.1 字符"/>
    <w:basedOn w:val="2"/>
    <w:next w:val="1"/>
    <w:autoRedefine/>
    <w:qFormat/>
    <w:uiPriority w:val="99"/>
    <w:pPr>
      <w:keepNext w:val="0"/>
      <w:keepLines w:val="0"/>
      <w:spacing w:before="60" w:after="60" w:line="440" w:lineRule="exact"/>
      <w:ind w:firstLine="210" w:firstLineChars="210"/>
      <w:outlineLvl w:val="9"/>
    </w:pPr>
    <w:rPr>
      <w:rFonts w:cs="宋体"/>
      <w:bCs w:val="0"/>
      <w:kern w:val="2"/>
      <w:sz w:val="24"/>
      <w:szCs w:val="20"/>
    </w:rPr>
  </w:style>
  <w:style w:type="paragraph" w:customStyle="1" w:styleId="259">
    <w:name w:val="样式 正文文字-1 + 首行缩进:  2.1 字符1"/>
    <w:basedOn w:val="2"/>
    <w:next w:val="1"/>
    <w:autoRedefine/>
    <w:qFormat/>
    <w:uiPriority w:val="0"/>
    <w:pPr>
      <w:keepNext w:val="0"/>
      <w:keepLines w:val="0"/>
      <w:spacing w:before="120" w:after="120" w:line="440" w:lineRule="exact"/>
      <w:ind w:firstLine="210" w:firstLineChars="210"/>
      <w:outlineLvl w:val="9"/>
    </w:pPr>
    <w:rPr>
      <w:rFonts w:cs="宋体"/>
      <w:bCs w:val="0"/>
      <w:kern w:val="2"/>
      <w:sz w:val="24"/>
      <w:szCs w:val="20"/>
    </w:rPr>
  </w:style>
  <w:style w:type="paragraph" w:customStyle="1" w:styleId="260">
    <w:name w:val="样式 四号 行距: 1.5 倍行距"/>
    <w:basedOn w:val="2"/>
    <w:next w:val="1"/>
    <w:autoRedefine/>
    <w:qFormat/>
    <w:uiPriority w:val="99"/>
    <w:pPr>
      <w:keepNext w:val="0"/>
      <w:keepLines w:val="0"/>
      <w:spacing w:before="0" w:after="0" w:line="360" w:lineRule="auto"/>
      <w:ind w:firstLine="560" w:firstLineChars="200"/>
      <w:outlineLvl w:val="9"/>
    </w:pPr>
    <w:rPr>
      <w:rFonts w:cs="宋体"/>
      <w:bCs w:val="0"/>
      <w:kern w:val="2"/>
      <w:sz w:val="24"/>
      <w:szCs w:val="20"/>
    </w:rPr>
  </w:style>
  <w:style w:type="character" w:customStyle="1" w:styleId="261">
    <w:name w:val="国电正文 Char"/>
    <w:link w:val="262"/>
    <w:autoRedefine/>
    <w:semiHidden/>
    <w:qFormat/>
    <w:locked/>
    <w:uiPriority w:val="0"/>
    <w:rPr>
      <w:color w:val="000000"/>
      <w:sz w:val="24"/>
    </w:rPr>
  </w:style>
  <w:style w:type="paragraph" w:customStyle="1" w:styleId="262">
    <w:name w:val="国电正文"/>
    <w:basedOn w:val="2"/>
    <w:next w:val="1"/>
    <w:link w:val="261"/>
    <w:autoRedefine/>
    <w:semiHidden/>
    <w:qFormat/>
    <w:uiPriority w:val="0"/>
    <w:pPr>
      <w:keepNext w:val="0"/>
      <w:keepLines w:val="0"/>
      <w:spacing w:before="0" w:after="0" w:line="360" w:lineRule="auto"/>
      <w:ind w:firstLine="480" w:firstLineChars="200"/>
      <w:outlineLvl w:val="9"/>
    </w:pPr>
    <w:rPr>
      <w:rFonts w:asciiTheme="minorHAnsi" w:hAnsiTheme="minorHAnsi" w:eastAsiaTheme="minorEastAsia" w:cstheme="minorBidi"/>
      <w:bCs w:val="0"/>
      <w:color w:val="000000"/>
      <w:kern w:val="2"/>
      <w:sz w:val="24"/>
      <w:szCs w:val="22"/>
    </w:rPr>
  </w:style>
  <w:style w:type="character" w:customStyle="1" w:styleId="263">
    <w:name w:val="正文文字-1 Char Char"/>
    <w:basedOn w:val="50"/>
    <w:link w:val="264"/>
    <w:autoRedefine/>
    <w:qFormat/>
    <w:locked/>
    <w:uiPriority w:val="0"/>
    <w:rPr>
      <w:sz w:val="24"/>
      <w:szCs w:val="24"/>
    </w:rPr>
  </w:style>
  <w:style w:type="paragraph" w:customStyle="1" w:styleId="264">
    <w:name w:val="正文文字-1 Char"/>
    <w:next w:val="1"/>
    <w:link w:val="263"/>
    <w:autoRedefine/>
    <w:qFormat/>
    <w:uiPriority w:val="0"/>
    <w:pPr>
      <w:widowControl w:val="0"/>
      <w:spacing w:before="120" w:after="120" w:line="480" w:lineRule="exact"/>
      <w:ind w:firstLine="588" w:firstLineChars="210"/>
      <w:jc w:val="both"/>
    </w:pPr>
    <w:rPr>
      <w:rFonts w:asciiTheme="minorHAnsi" w:hAnsiTheme="minorHAnsi" w:eastAsiaTheme="minorEastAsia" w:cstheme="minorBidi"/>
      <w:kern w:val="2"/>
      <w:sz w:val="24"/>
      <w:szCs w:val="24"/>
      <w:lang w:val="en-US" w:eastAsia="zh-CN" w:bidi="ar-SA"/>
    </w:rPr>
  </w:style>
  <w:style w:type="paragraph" w:customStyle="1" w:styleId="265">
    <w:name w:val="Char1 Char Char Char1"/>
    <w:basedOn w:val="2"/>
    <w:next w:val="1"/>
    <w:autoRedefine/>
    <w:qFormat/>
    <w:uiPriority w:val="99"/>
    <w:pPr>
      <w:keepNext w:val="0"/>
      <w:keepLines w:val="0"/>
      <w:spacing w:before="0" w:after="0" w:line="500" w:lineRule="atLeast"/>
      <w:ind w:firstLine="480" w:firstLineChars="200"/>
      <w:outlineLvl w:val="9"/>
    </w:pPr>
    <w:rPr>
      <w:bCs w:val="0"/>
      <w:kern w:val="2"/>
      <w:sz w:val="24"/>
      <w:szCs w:val="24"/>
    </w:rPr>
  </w:style>
  <w:style w:type="paragraph" w:customStyle="1" w:styleId="266">
    <w:name w:val="Char1 Char Char Char Char Char"/>
    <w:basedOn w:val="2"/>
    <w:next w:val="1"/>
    <w:autoRedefine/>
    <w:qFormat/>
    <w:uiPriority w:val="99"/>
    <w:pPr>
      <w:keepNext w:val="0"/>
      <w:keepLines w:val="0"/>
      <w:spacing w:before="0" w:after="0" w:line="360" w:lineRule="auto"/>
      <w:ind w:firstLine="200" w:firstLineChars="200"/>
      <w:outlineLvl w:val="9"/>
    </w:pPr>
    <w:rPr>
      <w:rFonts w:ascii="Tahoma" w:hAnsi="Tahoma"/>
      <w:bCs w:val="0"/>
      <w:kern w:val="2"/>
      <w:sz w:val="24"/>
      <w:szCs w:val="20"/>
    </w:rPr>
  </w:style>
  <w:style w:type="paragraph" w:customStyle="1" w:styleId="267">
    <w:name w:val="Char Char Char Char Char Char Char2"/>
    <w:basedOn w:val="2"/>
    <w:next w:val="1"/>
    <w:autoRedefine/>
    <w:qFormat/>
    <w:uiPriority w:val="99"/>
    <w:pPr>
      <w:keepNext w:val="0"/>
      <w:keepLines w:val="0"/>
      <w:spacing w:before="0" w:after="0" w:line="360" w:lineRule="auto"/>
      <w:ind w:firstLine="200" w:firstLineChars="200"/>
      <w:outlineLvl w:val="9"/>
    </w:pPr>
    <w:rPr>
      <w:rFonts w:ascii="宋体" w:hAnsi="宋体" w:cs="宋体"/>
      <w:bCs w:val="0"/>
      <w:kern w:val="2"/>
      <w:sz w:val="24"/>
      <w:szCs w:val="24"/>
    </w:rPr>
  </w:style>
  <w:style w:type="paragraph" w:customStyle="1" w:styleId="268">
    <w:name w:val="样式 四号 行距: 1.5 倍行距2"/>
    <w:basedOn w:val="2"/>
    <w:next w:val="1"/>
    <w:autoRedefine/>
    <w:qFormat/>
    <w:uiPriority w:val="99"/>
    <w:pPr>
      <w:keepNext w:val="0"/>
      <w:keepLines w:val="0"/>
      <w:spacing w:before="0" w:after="0" w:line="360" w:lineRule="auto"/>
      <w:ind w:firstLine="560" w:firstLineChars="200"/>
      <w:outlineLvl w:val="9"/>
    </w:pPr>
    <w:rPr>
      <w:rFonts w:cs="宋体"/>
      <w:bCs w:val="0"/>
      <w:kern w:val="2"/>
      <w:sz w:val="24"/>
      <w:szCs w:val="20"/>
    </w:rPr>
  </w:style>
  <w:style w:type="paragraph" w:customStyle="1" w:styleId="269">
    <w:name w:val="样式 四号 行距: 1.5 倍行距3"/>
    <w:basedOn w:val="2"/>
    <w:next w:val="1"/>
    <w:autoRedefine/>
    <w:qFormat/>
    <w:uiPriority w:val="99"/>
    <w:pPr>
      <w:keepNext w:val="0"/>
      <w:keepLines w:val="0"/>
      <w:spacing w:before="0" w:after="0" w:line="360" w:lineRule="auto"/>
      <w:ind w:firstLine="1260" w:firstLineChars="450"/>
      <w:outlineLvl w:val="9"/>
    </w:pPr>
    <w:rPr>
      <w:rFonts w:cs="宋体"/>
      <w:bCs w:val="0"/>
      <w:kern w:val="2"/>
      <w:sz w:val="24"/>
      <w:szCs w:val="20"/>
    </w:rPr>
  </w:style>
  <w:style w:type="paragraph" w:customStyle="1" w:styleId="270">
    <w:name w:val="正文5"/>
    <w:next w:val="1"/>
    <w:autoRedefine/>
    <w:qFormat/>
    <w:uiPriority w:val="99"/>
    <w:pPr>
      <w:widowControl w:val="0"/>
      <w:adjustRightInd w:val="0"/>
      <w:spacing w:line="360" w:lineRule="atLeast"/>
      <w:jc w:val="left"/>
    </w:pPr>
    <w:rPr>
      <w:rFonts w:ascii="宋体" w:hAnsi="Times New Roman" w:eastAsia="宋体" w:cs="Times New Roman"/>
      <w:kern w:val="0"/>
      <w:sz w:val="24"/>
      <w:szCs w:val="20"/>
      <w:lang w:val="en-US" w:eastAsia="zh-CN" w:bidi="ar-SA"/>
    </w:rPr>
  </w:style>
  <w:style w:type="paragraph" w:customStyle="1" w:styleId="271">
    <w:name w:val="Char2"/>
    <w:basedOn w:val="2"/>
    <w:next w:val="1"/>
    <w:autoRedefine/>
    <w:qFormat/>
    <w:uiPriority w:val="99"/>
    <w:pPr>
      <w:keepNext w:val="0"/>
      <w:keepLines w:val="0"/>
      <w:spacing w:before="0" w:after="0" w:line="500" w:lineRule="atLeast"/>
      <w:ind w:firstLine="425" w:firstLineChars="177"/>
      <w:outlineLvl w:val="9"/>
    </w:pPr>
    <w:rPr>
      <w:bCs w:val="0"/>
      <w:kern w:val="2"/>
      <w:sz w:val="24"/>
      <w:szCs w:val="24"/>
    </w:rPr>
  </w:style>
  <w:style w:type="paragraph" w:customStyle="1" w:styleId="272">
    <w:name w:val="表格正文"/>
    <w:basedOn w:val="2"/>
    <w:next w:val="1"/>
    <w:autoRedefine/>
    <w:qFormat/>
    <w:uiPriority w:val="0"/>
    <w:pPr>
      <w:keepNext w:val="0"/>
      <w:keepLines w:val="0"/>
      <w:spacing w:before="0" w:after="0" w:line="300" w:lineRule="auto"/>
      <w:ind w:firstLine="425" w:firstLineChars="177"/>
      <w:jc w:val="center"/>
      <w:outlineLvl w:val="9"/>
    </w:pPr>
    <w:rPr>
      <w:bCs w:val="0"/>
      <w:kern w:val="2"/>
      <w:sz w:val="24"/>
      <w:szCs w:val="24"/>
    </w:rPr>
  </w:style>
  <w:style w:type="character" w:customStyle="1" w:styleId="273">
    <w:name w:val="xfw Char"/>
    <w:basedOn w:val="50"/>
    <w:link w:val="274"/>
    <w:autoRedefine/>
    <w:qFormat/>
    <w:locked/>
    <w:uiPriority w:val="0"/>
    <w:rPr>
      <w:sz w:val="24"/>
      <w:szCs w:val="28"/>
    </w:rPr>
  </w:style>
  <w:style w:type="paragraph" w:customStyle="1" w:styleId="274">
    <w:name w:val="xfw"/>
    <w:basedOn w:val="2"/>
    <w:next w:val="1"/>
    <w:link w:val="273"/>
    <w:autoRedefine/>
    <w:qFormat/>
    <w:uiPriority w:val="0"/>
    <w:pPr>
      <w:keepNext w:val="0"/>
      <w:keepLines w:val="0"/>
      <w:spacing w:before="0" w:after="0" w:line="360" w:lineRule="auto"/>
      <w:ind w:firstLine="200" w:firstLineChars="200"/>
      <w:outlineLvl w:val="9"/>
    </w:pPr>
    <w:rPr>
      <w:rFonts w:asciiTheme="minorHAnsi" w:hAnsiTheme="minorHAnsi" w:eastAsiaTheme="minorEastAsia" w:cstheme="minorBidi"/>
      <w:bCs w:val="0"/>
      <w:kern w:val="2"/>
      <w:sz w:val="24"/>
      <w:szCs w:val="28"/>
    </w:rPr>
  </w:style>
  <w:style w:type="character" w:customStyle="1" w:styleId="275">
    <w:name w:val="正文01 Char Char"/>
    <w:link w:val="276"/>
    <w:autoRedefine/>
    <w:qFormat/>
    <w:locked/>
    <w:uiPriority w:val="0"/>
    <w:rPr>
      <w:rFonts w:ascii="宋体" w:hAnsi="宋体" w:eastAsia="宋体" w:cs="宋体"/>
      <w:snapToGrid w:val="0"/>
      <w:kern w:val="56"/>
      <w:sz w:val="24"/>
      <w:lang w:val="zh-CN"/>
    </w:rPr>
  </w:style>
  <w:style w:type="paragraph" w:customStyle="1" w:styleId="276">
    <w:name w:val="正文01"/>
    <w:basedOn w:val="2"/>
    <w:next w:val="1"/>
    <w:link w:val="275"/>
    <w:autoRedefine/>
    <w:qFormat/>
    <w:uiPriority w:val="0"/>
    <w:pPr>
      <w:keepNext w:val="0"/>
      <w:keepLines w:val="0"/>
      <w:adjustRightInd w:val="0"/>
      <w:snapToGrid w:val="0"/>
      <w:spacing w:before="0" w:after="0" w:line="360" w:lineRule="auto"/>
      <w:ind w:firstLine="200" w:firstLineChars="200"/>
      <w:outlineLvl w:val="9"/>
    </w:pPr>
    <w:rPr>
      <w:rFonts w:ascii="宋体" w:hAnsi="宋体" w:cs="宋体"/>
      <w:bCs w:val="0"/>
      <w:snapToGrid w:val="0"/>
      <w:kern w:val="56"/>
      <w:sz w:val="24"/>
      <w:szCs w:val="22"/>
      <w:lang w:val="zh-CN"/>
    </w:rPr>
  </w:style>
  <w:style w:type="paragraph" w:customStyle="1" w:styleId="277">
    <w:name w:val="reader-word-layer reader-word-s8-5"/>
    <w:basedOn w:val="2"/>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rFonts w:ascii="宋体" w:hAnsi="宋体" w:cs="宋体"/>
      <w:bCs w:val="0"/>
      <w:kern w:val="0"/>
      <w:sz w:val="24"/>
      <w:szCs w:val="24"/>
    </w:rPr>
  </w:style>
  <w:style w:type="paragraph" w:customStyle="1" w:styleId="278">
    <w:name w:val="reader-word-layer reader-word-s8-2"/>
    <w:basedOn w:val="2"/>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rFonts w:ascii="宋体" w:hAnsi="宋体" w:cs="宋体"/>
      <w:bCs w:val="0"/>
      <w:kern w:val="0"/>
      <w:sz w:val="24"/>
      <w:szCs w:val="24"/>
    </w:rPr>
  </w:style>
  <w:style w:type="paragraph" w:customStyle="1" w:styleId="279">
    <w:name w:val="reader-word-layer reader-word-s8-9"/>
    <w:basedOn w:val="2"/>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rFonts w:ascii="宋体" w:hAnsi="宋体" w:cs="宋体"/>
      <w:bCs w:val="0"/>
      <w:kern w:val="0"/>
      <w:sz w:val="24"/>
      <w:szCs w:val="24"/>
    </w:rPr>
  </w:style>
  <w:style w:type="paragraph" w:customStyle="1" w:styleId="280">
    <w:name w:val="reader-word-layer reader-word-s8-8"/>
    <w:basedOn w:val="2"/>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rFonts w:ascii="宋体" w:hAnsi="宋体" w:cs="宋体"/>
      <w:bCs w:val="0"/>
      <w:kern w:val="0"/>
      <w:sz w:val="24"/>
      <w:szCs w:val="24"/>
    </w:rPr>
  </w:style>
  <w:style w:type="paragraph" w:customStyle="1" w:styleId="281">
    <w:name w:val="reader-word-layer reader-word-s8-12"/>
    <w:basedOn w:val="2"/>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rFonts w:ascii="宋体" w:hAnsi="宋体" w:cs="宋体"/>
      <w:bCs w:val="0"/>
      <w:kern w:val="0"/>
      <w:sz w:val="24"/>
      <w:szCs w:val="24"/>
    </w:rPr>
  </w:style>
  <w:style w:type="paragraph" w:customStyle="1" w:styleId="282">
    <w:name w:val="reader-word-layer reader-word-s8-0"/>
    <w:basedOn w:val="2"/>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rFonts w:ascii="宋体" w:hAnsi="宋体" w:cs="宋体"/>
      <w:bCs w:val="0"/>
      <w:kern w:val="0"/>
      <w:sz w:val="24"/>
      <w:szCs w:val="24"/>
    </w:rPr>
  </w:style>
  <w:style w:type="paragraph" w:customStyle="1" w:styleId="283">
    <w:name w:val="reader-word-layer reader-word-s8-7"/>
    <w:basedOn w:val="2"/>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rFonts w:ascii="宋体" w:hAnsi="宋体" w:cs="宋体"/>
      <w:bCs w:val="0"/>
      <w:kern w:val="0"/>
      <w:sz w:val="24"/>
      <w:szCs w:val="24"/>
    </w:rPr>
  </w:style>
  <w:style w:type="paragraph" w:customStyle="1" w:styleId="284">
    <w:name w:val="reader-word-layer reader-word-s8-6"/>
    <w:basedOn w:val="2"/>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rFonts w:ascii="宋体" w:hAnsi="宋体" w:cs="宋体"/>
      <w:bCs w:val="0"/>
      <w:kern w:val="0"/>
      <w:sz w:val="24"/>
      <w:szCs w:val="24"/>
    </w:rPr>
  </w:style>
  <w:style w:type="paragraph" w:customStyle="1" w:styleId="285">
    <w:name w:val="Char Char1 Char Char Char Char Char Char Char"/>
    <w:basedOn w:val="2"/>
    <w:next w:val="1"/>
    <w:autoRedefine/>
    <w:qFormat/>
    <w:uiPriority w:val="99"/>
    <w:pPr>
      <w:keepNext w:val="0"/>
      <w:keepLines w:val="0"/>
      <w:spacing w:before="0" w:after="0" w:line="500" w:lineRule="atLeast"/>
      <w:ind w:firstLine="425" w:firstLineChars="177"/>
      <w:outlineLvl w:val="9"/>
    </w:pPr>
    <w:rPr>
      <w:rFonts w:cs="宋体"/>
      <w:bCs w:val="0"/>
      <w:color w:val="000000"/>
      <w:kern w:val="2"/>
      <w:sz w:val="24"/>
      <w:szCs w:val="24"/>
      <w:lang w:val="zh-CN"/>
    </w:rPr>
  </w:style>
  <w:style w:type="paragraph" w:customStyle="1" w:styleId="286">
    <w:name w:val="样式 首行缩进:  0.89 厘米"/>
    <w:basedOn w:val="2"/>
    <w:next w:val="1"/>
    <w:autoRedefine/>
    <w:qFormat/>
    <w:uiPriority w:val="99"/>
    <w:pPr>
      <w:keepNext w:val="0"/>
      <w:keepLines w:val="0"/>
      <w:spacing w:beforeLines="50" w:after="0" w:line="440" w:lineRule="exact"/>
      <w:ind w:firstLine="505" w:firstLineChars="177"/>
      <w:outlineLvl w:val="9"/>
    </w:pPr>
    <w:rPr>
      <w:rFonts w:cs="宋体"/>
      <w:bCs w:val="0"/>
      <w:kern w:val="2"/>
      <w:sz w:val="24"/>
      <w:szCs w:val="20"/>
    </w:rPr>
  </w:style>
  <w:style w:type="paragraph" w:customStyle="1" w:styleId="287">
    <w:name w:val="表格文字2"/>
    <w:basedOn w:val="2"/>
    <w:next w:val="1"/>
    <w:autoRedefine/>
    <w:qFormat/>
    <w:uiPriority w:val="99"/>
    <w:pPr>
      <w:keepNext w:val="0"/>
      <w:keepLines w:val="0"/>
      <w:spacing w:before="0" w:after="0" w:line="500" w:lineRule="atLeast"/>
      <w:ind w:firstLine="425" w:firstLineChars="177"/>
      <w:jc w:val="center"/>
      <w:outlineLvl w:val="9"/>
    </w:pPr>
    <w:rPr>
      <w:bCs w:val="0"/>
      <w:kern w:val="2"/>
      <w:sz w:val="24"/>
      <w:szCs w:val="21"/>
    </w:rPr>
  </w:style>
  <w:style w:type="character" w:customStyle="1" w:styleId="288">
    <w:name w:val="样式 标题 3 + 黑色1 Char"/>
    <w:basedOn w:val="50"/>
    <w:link w:val="289"/>
    <w:autoRedefine/>
    <w:qFormat/>
    <w:locked/>
    <w:uiPriority w:val="0"/>
    <w:rPr>
      <w:b/>
      <w:bCs/>
      <w:color w:val="000000"/>
      <w:sz w:val="28"/>
      <w:szCs w:val="30"/>
    </w:rPr>
  </w:style>
  <w:style w:type="paragraph" w:customStyle="1" w:styleId="289">
    <w:name w:val="样式 标题 3 + 黑色1"/>
    <w:basedOn w:val="4"/>
    <w:next w:val="1"/>
    <w:link w:val="288"/>
    <w:autoRedefine/>
    <w:qFormat/>
    <w:uiPriority w:val="0"/>
    <w:pPr>
      <w:spacing w:beforeLines="50" w:afterLines="50" w:line="360" w:lineRule="auto"/>
    </w:pPr>
    <w:rPr>
      <w:rFonts w:asciiTheme="minorHAnsi" w:hAnsiTheme="minorHAnsi" w:eastAsiaTheme="minorEastAsia" w:cstheme="minorBidi"/>
      <w:bCs/>
      <w:color w:val="000000"/>
      <w:sz w:val="28"/>
      <w:szCs w:val="30"/>
    </w:rPr>
  </w:style>
  <w:style w:type="paragraph" w:customStyle="1" w:styleId="290">
    <w:name w:val="正文缩进3"/>
    <w:basedOn w:val="2"/>
    <w:next w:val="1"/>
    <w:autoRedefine/>
    <w:qFormat/>
    <w:uiPriority w:val="99"/>
    <w:pPr>
      <w:keepNext w:val="0"/>
      <w:keepLines w:val="0"/>
      <w:spacing w:before="0" w:after="0" w:line="500" w:lineRule="atLeast"/>
      <w:ind w:firstLine="420" w:firstLineChars="177"/>
      <w:outlineLvl w:val="9"/>
    </w:pPr>
    <w:rPr>
      <w:bCs w:val="0"/>
      <w:kern w:val="2"/>
      <w:sz w:val="24"/>
      <w:szCs w:val="24"/>
    </w:rPr>
  </w:style>
  <w:style w:type="paragraph" w:customStyle="1" w:styleId="291">
    <w:name w:val="p0"/>
    <w:basedOn w:val="2"/>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rFonts w:ascii="宋体" w:hAnsi="宋体" w:cs="宋体"/>
      <w:bCs w:val="0"/>
      <w:kern w:val="0"/>
      <w:sz w:val="24"/>
      <w:szCs w:val="24"/>
    </w:rPr>
  </w:style>
  <w:style w:type="paragraph" w:customStyle="1" w:styleId="292">
    <w:name w:val="正文6"/>
    <w:next w:val="1"/>
    <w:autoRedefine/>
    <w:qFormat/>
    <w:uiPriority w:val="99"/>
    <w:pPr>
      <w:widowControl w:val="0"/>
      <w:adjustRightInd w:val="0"/>
      <w:spacing w:line="360" w:lineRule="atLeast"/>
      <w:jc w:val="left"/>
    </w:pPr>
    <w:rPr>
      <w:rFonts w:ascii="宋体" w:hAnsi="Times New Roman" w:eastAsia="宋体" w:cs="Times New Roman"/>
      <w:kern w:val="0"/>
      <w:sz w:val="24"/>
      <w:szCs w:val="20"/>
      <w:lang w:val="en-US" w:eastAsia="zh-CN" w:bidi="ar-SA"/>
    </w:rPr>
  </w:style>
  <w:style w:type="paragraph" w:customStyle="1" w:styleId="293">
    <w:name w:val="新正文"/>
    <w:basedOn w:val="2"/>
    <w:next w:val="1"/>
    <w:autoRedefine/>
    <w:qFormat/>
    <w:uiPriority w:val="99"/>
    <w:pPr>
      <w:keepNext w:val="0"/>
      <w:keepLines w:val="0"/>
      <w:spacing w:before="0" w:after="0" w:line="360" w:lineRule="auto"/>
      <w:ind w:firstLine="480" w:firstLineChars="177"/>
      <w:outlineLvl w:val="9"/>
    </w:pPr>
    <w:rPr>
      <w:rFonts w:cs="宋体"/>
      <w:bCs w:val="0"/>
      <w:kern w:val="2"/>
      <w:sz w:val="24"/>
      <w:szCs w:val="20"/>
    </w:rPr>
  </w:style>
  <w:style w:type="paragraph" w:customStyle="1" w:styleId="294">
    <w:name w:val="样式 Arial 小四 行距: 1.5 倍行距"/>
    <w:basedOn w:val="2"/>
    <w:next w:val="1"/>
    <w:autoRedefine/>
    <w:qFormat/>
    <w:uiPriority w:val="99"/>
    <w:pPr>
      <w:keepNext w:val="0"/>
      <w:keepLines w:val="0"/>
      <w:spacing w:before="0" w:after="0" w:line="360" w:lineRule="auto"/>
      <w:ind w:firstLine="480" w:firstLineChars="200"/>
      <w:outlineLvl w:val="9"/>
    </w:pPr>
    <w:rPr>
      <w:bCs w:val="0"/>
      <w:kern w:val="2"/>
      <w:sz w:val="24"/>
      <w:szCs w:val="20"/>
    </w:rPr>
  </w:style>
  <w:style w:type="paragraph" w:customStyle="1" w:styleId="295">
    <w:name w:val="Char Char Char Char Char Char1 Char"/>
    <w:basedOn w:val="2"/>
    <w:next w:val="1"/>
    <w:autoRedefine/>
    <w:qFormat/>
    <w:uiPriority w:val="99"/>
    <w:pPr>
      <w:keepNext w:val="0"/>
      <w:keepLines w:val="0"/>
      <w:spacing w:before="0" w:after="0" w:line="500" w:lineRule="atLeast"/>
      <w:ind w:firstLine="425" w:firstLineChars="177"/>
      <w:outlineLvl w:val="9"/>
    </w:pPr>
    <w:rPr>
      <w:bCs w:val="0"/>
      <w:kern w:val="2"/>
      <w:sz w:val="24"/>
      <w:szCs w:val="24"/>
    </w:rPr>
  </w:style>
  <w:style w:type="paragraph" w:customStyle="1" w:styleId="296">
    <w:name w:val="样式 标题3"/>
    <w:basedOn w:val="4"/>
    <w:next w:val="1"/>
    <w:autoRedefine/>
    <w:qFormat/>
    <w:uiPriority w:val="99"/>
    <w:pPr>
      <w:spacing w:beforeLines="50" w:afterLines="50" w:line="360" w:lineRule="auto"/>
      <w:ind w:firstLine="200"/>
      <w:jc w:val="left"/>
    </w:pPr>
    <w:rPr>
      <w:bCs/>
      <w:sz w:val="28"/>
      <w:szCs w:val="24"/>
    </w:rPr>
  </w:style>
  <w:style w:type="paragraph" w:customStyle="1" w:styleId="297">
    <w:name w:val="Char Char Char Char Char Char Char Char Char Char Char Char"/>
    <w:basedOn w:val="2"/>
    <w:next w:val="1"/>
    <w:autoRedefine/>
    <w:qFormat/>
    <w:uiPriority w:val="99"/>
    <w:pPr>
      <w:keepNext w:val="0"/>
      <w:keepLines w:val="0"/>
      <w:tabs>
        <w:tab w:val="left" w:pos="1723"/>
      </w:tabs>
      <w:spacing w:before="0" w:after="0" w:line="500" w:lineRule="atLeast"/>
      <w:ind w:left="1723" w:hanging="1080" w:firstLineChars="177"/>
      <w:outlineLvl w:val="9"/>
    </w:pPr>
    <w:rPr>
      <w:rFonts w:eastAsia="仿宋_GB2312"/>
      <w:bCs w:val="0"/>
      <w:kern w:val="2"/>
      <w:sz w:val="24"/>
      <w:szCs w:val="32"/>
    </w:rPr>
  </w:style>
  <w:style w:type="paragraph" w:customStyle="1" w:styleId="298">
    <w:name w:val="Char Char Char"/>
    <w:basedOn w:val="2"/>
    <w:next w:val="1"/>
    <w:autoRedefine/>
    <w:qFormat/>
    <w:uiPriority w:val="99"/>
    <w:pPr>
      <w:keepNext w:val="0"/>
      <w:keepLines w:val="0"/>
      <w:spacing w:before="0" w:after="0" w:line="500" w:lineRule="atLeast"/>
      <w:ind w:firstLine="425" w:firstLineChars="177"/>
      <w:outlineLvl w:val="9"/>
    </w:pPr>
    <w:rPr>
      <w:bCs w:val="0"/>
      <w:kern w:val="2"/>
      <w:sz w:val="24"/>
      <w:szCs w:val="24"/>
    </w:rPr>
  </w:style>
  <w:style w:type="paragraph" w:customStyle="1" w:styleId="299">
    <w:name w:val="封面标准号2"/>
    <w:basedOn w:val="2"/>
    <w:next w:val="1"/>
    <w:autoRedefine/>
    <w:qFormat/>
    <w:uiPriority w:val="99"/>
    <w:pPr>
      <w:keepNext w:val="0"/>
      <w:keepLines w:val="0"/>
      <w:framePr w:w="9138" w:h="1244" w:wrap="auto" w:vAnchor="page" w:hAnchor="margin" w:y="2908" w:anchorLock="1"/>
      <w:kinsoku w:val="0"/>
      <w:overflowPunct w:val="0"/>
      <w:autoSpaceDE w:val="0"/>
      <w:autoSpaceDN w:val="0"/>
      <w:adjustRightInd w:val="0"/>
      <w:spacing w:before="357" w:after="0" w:line="280" w:lineRule="exact"/>
      <w:ind w:firstLine="425" w:firstLineChars="177"/>
      <w:jc w:val="right"/>
      <w:outlineLvl w:val="9"/>
    </w:pPr>
    <w:rPr>
      <w:bCs w:val="0"/>
      <w:kern w:val="0"/>
      <w:sz w:val="28"/>
      <w:szCs w:val="20"/>
    </w:rPr>
  </w:style>
  <w:style w:type="paragraph" w:customStyle="1" w:styleId="300">
    <w:name w:val="纯文本6"/>
    <w:basedOn w:val="2"/>
    <w:next w:val="1"/>
    <w:autoRedefine/>
    <w:qFormat/>
    <w:uiPriority w:val="99"/>
    <w:pPr>
      <w:keepNext w:val="0"/>
      <w:keepLines w:val="0"/>
      <w:spacing w:before="0" w:after="0" w:line="500" w:lineRule="atLeast"/>
      <w:ind w:firstLine="425" w:firstLineChars="177"/>
      <w:outlineLvl w:val="9"/>
    </w:pPr>
    <w:rPr>
      <w:rFonts w:ascii="宋体" w:hAnsi="Courier New"/>
      <w:bCs w:val="0"/>
      <w:kern w:val="0"/>
      <w:sz w:val="20"/>
      <w:szCs w:val="21"/>
    </w:rPr>
  </w:style>
  <w:style w:type="paragraph" w:customStyle="1" w:styleId="301">
    <w:name w:val="日期4"/>
    <w:basedOn w:val="2"/>
    <w:next w:val="1"/>
    <w:autoRedefine/>
    <w:qFormat/>
    <w:uiPriority w:val="99"/>
    <w:pPr>
      <w:keepNext w:val="0"/>
      <w:keepLines w:val="0"/>
      <w:spacing w:before="0" w:after="0" w:line="500" w:lineRule="atLeast"/>
      <w:ind w:left="100" w:leftChars="2500" w:firstLine="425" w:firstLineChars="177"/>
      <w:outlineLvl w:val="9"/>
    </w:pPr>
    <w:rPr>
      <w:rFonts w:ascii="Calibri" w:hAnsi="Calibri"/>
      <w:bCs w:val="0"/>
      <w:kern w:val="0"/>
      <w:sz w:val="20"/>
      <w:szCs w:val="20"/>
    </w:rPr>
  </w:style>
  <w:style w:type="paragraph" w:customStyle="1" w:styleId="302">
    <w:name w:val="无间隔4"/>
    <w:next w:val="1"/>
    <w:autoRedefine/>
    <w:qFormat/>
    <w:uiPriority w:val="99"/>
    <w:pPr>
      <w:spacing w:line="240" w:lineRule="auto"/>
      <w:jc w:val="left"/>
    </w:pPr>
    <w:rPr>
      <w:rFonts w:ascii="Calibri" w:hAnsi="Calibri" w:eastAsia="宋体" w:cs="Times New Roman"/>
      <w:kern w:val="0"/>
      <w:sz w:val="22"/>
      <w:szCs w:val="20"/>
      <w:lang w:val="en-US" w:eastAsia="zh-CN" w:bidi="ar-SA"/>
    </w:rPr>
  </w:style>
  <w:style w:type="paragraph" w:customStyle="1" w:styleId="303">
    <w:name w:val="纯文本7"/>
    <w:basedOn w:val="2"/>
    <w:next w:val="1"/>
    <w:autoRedefine/>
    <w:qFormat/>
    <w:uiPriority w:val="99"/>
    <w:pPr>
      <w:keepNext w:val="0"/>
      <w:keepLines w:val="0"/>
      <w:spacing w:before="0" w:after="0" w:line="500" w:lineRule="atLeast"/>
      <w:ind w:firstLine="425" w:firstLineChars="177"/>
      <w:outlineLvl w:val="9"/>
    </w:pPr>
    <w:rPr>
      <w:rFonts w:ascii="宋体" w:hAnsi="Courier New"/>
      <w:bCs w:val="0"/>
      <w:kern w:val="0"/>
      <w:sz w:val="20"/>
      <w:szCs w:val="21"/>
    </w:rPr>
  </w:style>
  <w:style w:type="paragraph" w:customStyle="1" w:styleId="304">
    <w:name w:val="表题行"/>
    <w:basedOn w:val="2"/>
    <w:next w:val="1"/>
    <w:autoRedefine/>
    <w:qFormat/>
    <w:uiPriority w:val="99"/>
    <w:pPr>
      <w:keepNext w:val="0"/>
      <w:keepLines w:val="0"/>
      <w:spacing w:before="0" w:after="0" w:line="500" w:lineRule="atLeast"/>
      <w:ind w:firstLine="425" w:firstLineChars="177"/>
      <w:jc w:val="center"/>
      <w:outlineLvl w:val="9"/>
    </w:pPr>
    <w:rPr>
      <w:kern w:val="2"/>
      <w:sz w:val="18"/>
      <w:szCs w:val="21"/>
    </w:rPr>
  </w:style>
  <w:style w:type="paragraph" w:customStyle="1" w:styleId="305">
    <w:name w:val="a9"/>
    <w:basedOn w:val="2"/>
    <w:next w:val="1"/>
    <w:autoRedefine/>
    <w:qFormat/>
    <w:uiPriority w:val="99"/>
    <w:pPr>
      <w:keepNext w:val="0"/>
      <w:keepLines w:val="0"/>
      <w:widowControl/>
      <w:snapToGrid w:val="0"/>
      <w:spacing w:before="120" w:after="120" w:line="360" w:lineRule="auto"/>
      <w:ind w:firstLine="480" w:firstLineChars="177"/>
      <w:outlineLvl w:val="9"/>
    </w:pPr>
    <w:rPr>
      <w:bCs w:val="0"/>
      <w:kern w:val="0"/>
      <w:sz w:val="24"/>
      <w:szCs w:val="24"/>
    </w:rPr>
  </w:style>
  <w:style w:type="paragraph" w:customStyle="1" w:styleId="306">
    <w:name w:val="表文"/>
    <w:basedOn w:val="2"/>
    <w:next w:val="1"/>
    <w:link w:val="720"/>
    <w:autoRedefine/>
    <w:qFormat/>
    <w:uiPriority w:val="0"/>
    <w:pPr>
      <w:keepNext w:val="0"/>
      <w:keepLines w:val="0"/>
      <w:spacing w:before="0" w:after="0" w:line="500" w:lineRule="atLeast"/>
      <w:ind w:firstLine="425" w:firstLineChars="177"/>
      <w:jc w:val="center"/>
      <w:outlineLvl w:val="9"/>
    </w:pPr>
    <w:rPr>
      <w:bCs w:val="0"/>
      <w:kern w:val="2"/>
      <w:sz w:val="24"/>
      <w:szCs w:val="24"/>
    </w:rPr>
  </w:style>
  <w:style w:type="paragraph" w:customStyle="1" w:styleId="307">
    <w:name w:val="报告"/>
    <w:basedOn w:val="2"/>
    <w:next w:val="1"/>
    <w:autoRedefine/>
    <w:qFormat/>
    <w:uiPriority w:val="99"/>
    <w:pPr>
      <w:keepNext w:val="0"/>
      <w:keepLines w:val="0"/>
      <w:adjustRightInd w:val="0"/>
      <w:spacing w:before="0" w:after="0" w:line="360" w:lineRule="auto"/>
      <w:ind w:firstLine="505" w:firstLineChars="177"/>
      <w:outlineLvl w:val="9"/>
    </w:pPr>
    <w:rPr>
      <w:rFonts w:ascii="TimesNewRoman" w:hAnsi="TimesNewRoman"/>
      <w:bCs w:val="0"/>
      <w:kern w:val="0"/>
      <w:sz w:val="24"/>
      <w:szCs w:val="20"/>
    </w:rPr>
  </w:style>
  <w:style w:type="paragraph" w:customStyle="1" w:styleId="308">
    <w:name w:val="韩奇"/>
    <w:basedOn w:val="2"/>
    <w:next w:val="1"/>
    <w:autoRedefine/>
    <w:qFormat/>
    <w:uiPriority w:val="99"/>
    <w:pPr>
      <w:keepNext w:val="0"/>
      <w:keepLines w:val="0"/>
      <w:adjustRightInd w:val="0"/>
      <w:spacing w:before="0" w:after="0" w:line="500" w:lineRule="exact"/>
      <w:ind w:firstLine="200" w:firstLineChars="200"/>
      <w:outlineLvl w:val="9"/>
    </w:pPr>
    <w:rPr>
      <w:rFonts w:eastAsia="楷体_GB2312"/>
      <w:bCs w:val="0"/>
      <w:kern w:val="0"/>
      <w:sz w:val="28"/>
      <w:szCs w:val="20"/>
    </w:rPr>
  </w:style>
  <w:style w:type="paragraph" w:customStyle="1" w:styleId="309">
    <w:name w:val="xl41"/>
    <w:basedOn w:val="2"/>
    <w:next w:val="1"/>
    <w:autoRedefine/>
    <w:qFormat/>
    <w:uiPriority w:val="99"/>
    <w:pPr>
      <w:keepNext w:val="0"/>
      <w:keepLines w:val="0"/>
      <w:widowControl/>
      <w:pBdr>
        <w:top w:val="single" w:color="auto" w:sz="8" w:space="0"/>
        <w:left w:val="single" w:color="auto" w:sz="8" w:space="0"/>
        <w:right w:val="single" w:color="auto" w:sz="8" w:space="0"/>
      </w:pBdr>
      <w:spacing w:before="100" w:beforeAutospacing="1" w:after="100" w:afterAutospacing="1" w:line="500" w:lineRule="atLeast"/>
      <w:ind w:firstLine="425" w:firstLineChars="177"/>
      <w:jc w:val="center"/>
      <w:outlineLvl w:val="9"/>
    </w:pPr>
    <w:rPr>
      <w:rFonts w:ascii="宋体" w:hAnsi="宋体" w:cs="宋体"/>
      <w:bCs w:val="0"/>
      <w:color w:val="000000"/>
      <w:kern w:val="0"/>
      <w:sz w:val="24"/>
      <w:szCs w:val="21"/>
    </w:rPr>
  </w:style>
  <w:style w:type="paragraph" w:customStyle="1" w:styleId="310">
    <w:name w:val="xl39"/>
    <w:basedOn w:val="2"/>
    <w:next w:val="1"/>
    <w:autoRedefine/>
    <w:qFormat/>
    <w:uiPriority w:val="99"/>
    <w:pPr>
      <w:keepNext w:val="0"/>
      <w:keepLines w:val="0"/>
      <w:widowControl/>
      <w:pBdr>
        <w:left w:val="single" w:color="auto" w:sz="8" w:space="0"/>
        <w:right w:val="single" w:color="auto" w:sz="8" w:space="0"/>
      </w:pBdr>
      <w:spacing w:before="100" w:beforeAutospacing="1" w:after="100" w:afterAutospacing="1" w:line="500" w:lineRule="atLeast"/>
      <w:ind w:firstLine="425" w:firstLineChars="177"/>
      <w:jc w:val="center"/>
      <w:outlineLvl w:val="9"/>
    </w:pPr>
    <w:rPr>
      <w:rFonts w:ascii="宋体" w:hAnsi="宋体" w:cs="宋体"/>
      <w:bCs w:val="0"/>
      <w:color w:val="000000"/>
      <w:kern w:val="0"/>
      <w:sz w:val="24"/>
      <w:szCs w:val="21"/>
    </w:rPr>
  </w:style>
  <w:style w:type="paragraph" w:customStyle="1" w:styleId="311">
    <w:name w:val="qilu"/>
    <w:basedOn w:val="2"/>
    <w:next w:val="1"/>
    <w:autoRedefine/>
    <w:qFormat/>
    <w:uiPriority w:val="99"/>
    <w:pPr>
      <w:keepNext w:val="0"/>
      <w:keepLines w:val="0"/>
      <w:autoSpaceDE w:val="0"/>
      <w:autoSpaceDN w:val="0"/>
      <w:adjustRightInd w:val="0"/>
      <w:spacing w:before="0" w:after="0" w:line="500" w:lineRule="atLeast"/>
      <w:ind w:firstLine="425" w:firstLineChars="177"/>
      <w:jc w:val="left"/>
      <w:outlineLvl w:val="9"/>
    </w:pPr>
    <w:rPr>
      <w:rFonts w:ascii="宋体"/>
      <w:bCs w:val="0"/>
      <w:kern w:val="0"/>
      <w:sz w:val="28"/>
      <w:szCs w:val="20"/>
    </w:rPr>
  </w:style>
  <w:style w:type="paragraph" w:customStyle="1" w:styleId="312">
    <w:name w:val="Char Char Char Char Char Char Char Char Char Char Char Char Char Char Char"/>
    <w:basedOn w:val="2"/>
    <w:next w:val="1"/>
    <w:autoRedefine/>
    <w:qFormat/>
    <w:uiPriority w:val="99"/>
    <w:pPr>
      <w:keepNext w:val="0"/>
      <w:keepLines w:val="0"/>
      <w:spacing w:before="0" w:after="0" w:line="360" w:lineRule="auto"/>
      <w:ind w:firstLine="200" w:firstLineChars="200"/>
      <w:outlineLvl w:val="9"/>
    </w:pPr>
    <w:rPr>
      <w:rFonts w:ascii="宋体" w:hAnsi="宋体" w:cs="宋体"/>
      <w:bCs w:val="0"/>
      <w:kern w:val="2"/>
      <w:sz w:val="24"/>
      <w:szCs w:val="24"/>
    </w:rPr>
  </w:style>
  <w:style w:type="paragraph" w:customStyle="1" w:styleId="313">
    <w:name w:val="xl43"/>
    <w:basedOn w:val="2"/>
    <w:next w:val="1"/>
    <w:autoRedefine/>
    <w:qFormat/>
    <w:uiPriority w:val="99"/>
    <w:pPr>
      <w:keepNext w:val="0"/>
      <w:keepLines w:val="0"/>
      <w:widowControl/>
      <w:pBdr>
        <w:top w:val="single" w:color="auto" w:sz="8" w:space="0"/>
        <w:left w:val="single" w:color="auto" w:sz="8" w:space="0"/>
        <w:right w:val="single" w:color="auto" w:sz="8" w:space="0"/>
      </w:pBdr>
      <w:spacing w:before="100" w:beforeAutospacing="1" w:after="100" w:afterAutospacing="1" w:line="500" w:lineRule="atLeast"/>
      <w:ind w:firstLine="425" w:firstLineChars="177"/>
      <w:jc w:val="center"/>
      <w:outlineLvl w:val="9"/>
    </w:pPr>
    <w:rPr>
      <w:bCs w:val="0"/>
      <w:color w:val="000000"/>
      <w:kern w:val="0"/>
      <w:sz w:val="24"/>
      <w:szCs w:val="21"/>
    </w:rPr>
  </w:style>
  <w:style w:type="paragraph" w:customStyle="1" w:styleId="314">
    <w:name w:val="标题样式3"/>
    <w:basedOn w:val="4"/>
    <w:next w:val="1"/>
    <w:autoRedefine/>
    <w:qFormat/>
    <w:uiPriority w:val="99"/>
    <w:pPr>
      <w:widowControl/>
      <w:tabs>
        <w:tab w:val="left" w:pos="0"/>
      </w:tabs>
      <w:spacing w:before="0" w:after="0" w:line="360" w:lineRule="auto"/>
      <w:jc w:val="left"/>
    </w:pPr>
    <w:rPr>
      <w:rFonts w:ascii="黑体" w:hAnsi="Times New Roman" w:eastAsia="黑体" w:cs="Times New Roman"/>
      <w:bCs/>
      <w:kern w:val="0"/>
      <w:sz w:val="24"/>
    </w:rPr>
  </w:style>
  <w:style w:type="paragraph" w:customStyle="1" w:styleId="315">
    <w:name w:val="报告正文文字"/>
    <w:basedOn w:val="2"/>
    <w:next w:val="1"/>
    <w:autoRedefine/>
    <w:qFormat/>
    <w:uiPriority w:val="99"/>
    <w:pPr>
      <w:keepNext w:val="0"/>
      <w:keepLines w:val="0"/>
      <w:widowControl/>
      <w:autoSpaceDE w:val="0"/>
      <w:autoSpaceDN w:val="0"/>
      <w:spacing w:before="0" w:after="0" w:line="360" w:lineRule="auto"/>
      <w:ind w:firstLine="480" w:firstLineChars="200"/>
      <w:outlineLvl w:val="9"/>
    </w:pPr>
    <w:rPr>
      <w:rFonts w:ascii="宋体" w:hAnsi="宋体"/>
      <w:bCs w:val="0"/>
      <w:color w:val="000000"/>
      <w:spacing w:val="4"/>
      <w:kern w:val="0"/>
      <w:sz w:val="24"/>
      <w:szCs w:val="20"/>
    </w:rPr>
  </w:style>
  <w:style w:type="paragraph" w:customStyle="1" w:styleId="316">
    <w:name w:val="xl26"/>
    <w:basedOn w:val="2"/>
    <w:next w:val="1"/>
    <w:autoRedefine/>
    <w:qFormat/>
    <w:uiPriority w:val="99"/>
    <w:pPr>
      <w:keepNext w:val="0"/>
      <w:keepLines w:val="0"/>
      <w:widowControl/>
      <w:pBdr>
        <w:bottom w:val="single" w:color="auto" w:sz="4" w:space="0"/>
        <w:right w:val="single" w:color="auto" w:sz="4" w:space="0"/>
      </w:pBdr>
      <w:spacing w:before="100" w:beforeAutospacing="1" w:after="100" w:afterAutospacing="1" w:line="500" w:lineRule="atLeast"/>
      <w:ind w:firstLine="425" w:firstLineChars="177"/>
      <w:jc w:val="center"/>
      <w:outlineLvl w:val="9"/>
    </w:pPr>
    <w:rPr>
      <w:rFonts w:eastAsia="Arial Unicode MS"/>
      <w:bCs w:val="0"/>
      <w:kern w:val="0"/>
      <w:sz w:val="24"/>
      <w:szCs w:val="21"/>
    </w:rPr>
  </w:style>
  <w:style w:type="paragraph" w:customStyle="1" w:styleId="317">
    <w:name w:val="Plain Text1"/>
    <w:basedOn w:val="2"/>
    <w:next w:val="1"/>
    <w:autoRedefine/>
    <w:qFormat/>
    <w:uiPriority w:val="99"/>
    <w:pPr>
      <w:keepNext w:val="0"/>
      <w:keepLines w:val="0"/>
      <w:autoSpaceDE w:val="0"/>
      <w:autoSpaceDN w:val="0"/>
      <w:adjustRightInd w:val="0"/>
      <w:spacing w:before="0" w:after="0" w:line="500" w:lineRule="atLeast"/>
      <w:ind w:firstLine="425" w:firstLineChars="177"/>
      <w:outlineLvl w:val="9"/>
    </w:pPr>
    <w:rPr>
      <w:rFonts w:ascii="宋体" w:hAnsi="Tms Rmn"/>
      <w:bCs w:val="0"/>
      <w:kern w:val="0"/>
      <w:sz w:val="24"/>
      <w:szCs w:val="20"/>
    </w:rPr>
  </w:style>
  <w:style w:type="character" w:customStyle="1" w:styleId="318">
    <w:name w:val="段落1 Char1"/>
    <w:link w:val="319"/>
    <w:autoRedefine/>
    <w:qFormat/>
    <w:locked/>
    <w:uiPriority w:val="0"/>
    <w:rPr>
      <w:rFonts w:ascii="宋体" w:hAnsi="宋体" w:eastAsia="宋体"/>
      <w:spacing w:val="6"/>
      <w:sz w:val="28"/>
    </w:rPr>
  </w:style>
  <w:style w:type="paragraph" w:customStyle="1" w:styleId="319">
    <w:name w:val="段落1"/>
    <w:basedOn w:val="2"/>
    <w:next w:val="1"/>
    <w:link w:val="318"/>
    <w:autoRedefine/>
    <w:qFormat/>
    <w:uiPriority w:val="0"/>
    <w:pPr>
      <w:keepNext w:val="0"/>
      <w:keepLines w:val="0"/>
      <w:adjustRightInd w:val="0"/>
      <w:spacing w:before="0" w:after="0" w:line="440" w:lineRule="exact"/>
      <w:ind w:firstLine="600" w:firstLineChars="200"/>
      <w:outlineLvl w:val="9"/>
    </w:pPr>
    <w:rPr>
      <w:rFonts w:ascii="宋体" w:hAnsi="宋体" w:cstheme="minorBidi"/>
      <w:bCs w:val="0"/>
      <w:spacing w:val="6"/>
      <w:kern w:val="2"/>
      <w:sz w:val="28"/>
      <w:szCs w:val="22"/>
    </w:rPr>
  </w:style>
  <w:style w:type="paragraph" w:customStyle="1" w:styleId="320">
    <w:name w:val="table"/>
    <w:basedOn w:val="2"/>
    <w:next w:val="1"/>
    <w:autoRedefine/>
    <w:qFormat/>
    <w:uiPriority w:val="99"/>
    <w:pPr>
      <w:keepNext w:val="0"/>
      <w:keepLines w:val="0"/>
      <w:widowControl/>
      <w:overflowPunct w:val="0"/>
      <w:autoSpaceDE w:val="0"/>
      <w:autoSpaceDN w:val="0"/>
      <w:adjustRightInd w:val="0"/>
      <w:spacing w:before="60" w:after="60" w:line="500" w:lineRule="atLeast"/>
      <w:ind w:firstLine="425" w:firstLineChars="177"/>
      <w:jc w:val="center"/>
      <w:outlineLvl w:val="9"/>
    </w:pPr>
    <w:rPr>
      <w:rFonts w:ascii="仿宋体" w:eastAsia="仿宋体"/>
      <w:bCs w:val="0"/>
      <w:kern w:val="0"/>
      <w:sz w:val="24"/>
      <w:szCs w:val="20"/>
    </w:rPr>
  </w:style>
  <w:style w:type="paragraph" w:customStyle="1" w:styleId="321">
    <w:name w:val="xl58"/>
    <w:basedOn w:val="2"/>
    <w:next w:val="1"/>
    <w:autoRedefine/>
    <w:qFormat/>
    <w:uiPriority w:val="99"/>
    <w:pPr>
      <w:keepNext w:val="0"/>
      <w:keepLines w:val="0"/>
      <w:widowControl/>
      <w:pBdr>
        <w:top w:val="single" w:color="auto" w:sz="12" w:space="0"/>
        <w:bottom w:val="single" w:color="auto" w:sz="8" w:space="0"/>
        <w:right w:val="single" w:color="auto" w:sz="8" w:space="0"/>
      </w:pBdr>
      <w:spacing w:before="100" w:beforeAutospacing="1" w:after="100" w:afterAutospacing="1" w:line="500" w:lineRule="atLeast"/>
      <w:ind w:firstLine="425" w:firstLineChars="177"/>
      <w:jc w:val="center"/>
      <w:outlineLvl w:val="9"/>
    </w:pPr>
    <w:rPr>
      <w:rFonts w:ascii="宋体" w:hAnsi="宋体" w:cs="宋体"/>
      <w:bCs w:val="0"/>
      <w:color w:val="000000"/>
      <w:kern w:val="0"/>
      <w:sz w:val="24"/>
      <w:szCs w:val="21"/>
    </w:rPr>
  </w:style>
  <w:style w:type="paragraph" w:customStyle="1" w:styleId="322">
    <w:name w:val="Char Char Char Char Char Char Char Char Char Char Char Char Char Char Char Char Char Char Char Char Char Char"/>
    <w:basedOn w:val="2"/>
    <w:next w:val="1"/>
    <w:autoRedefine/>
    <w:qFormat/>
    <w:uiPriority w:val="99"/>
    <w:pPr>
      <w:keepNext w:val="0"/>
      <w:keepLines w:val="0"/>
      <w:widowControl/>
      <w:spacing w:before="0" w:after="160" w:line="240" w:lineRule="exact"/>
      <w:ind w:firstLine="425" w:firstLineChars="177"/>
      <w:jc w:val="left"/>
      <w:outlineLvl w:val="9"/>
    </w:pPr>
    <w:rPr>
      <w:bCs w:val="0"/>
      <w:kern w:val="2"/>
      <w:sz w:val="24"/>
      <w:szCs w:val="20"/>
    </w:rPr>
  </w:style>
  <w:style w:type="paragraph" w:customStyle="1" w:styleId="323">
    <w:name w:val="WW-正文（首行缩进两字）"/>
    <w:basedOn w:val="2"/>
    <w:next w:val="1"/>
    <w:autoRedefine/>
    <w:qFormat/>
    <w:uiPriority w:val="99"/>
    <w:pPr>
      <w:keepNext w:val="0"/>
      <w:keepLines w:val="0"/>
      <w:suppressAutoHyphens/>
      <w:spacing w:before="0" w:after="0" w:line="500" w:lineRule="atLeast"/>
      <w:ind w:firstLine="420" w:firstLineChars="177"/>
      <w:outlineLvl w:val="9"/>
    </w:pPr>
    <w:rPr>
      <w:bCs w:val="0"/>
      <w:kern w:val="2"/>
      <w:sz w:val="24"/>
      <w:szCs w:val="20"/>
    </w:rPr>
  </w:style>
  <w:style w:type="paragraph" w:customStyle="1" w:styleId="324">
    <w:name w:val="表格内容格式"/>
    <w:basedOn w:val="2"/>
    <w:next w:val="1"/>
    <w:autoRedefine/>
    <w:qFormat/>
    <w:uiPriority w:val="99"/>
    <w:pPr>
      <w:keepNext w:val="0"/>
      <w:keepLines w:val="0"/>
      <w:tabs>
        <w:tab w:val="left" w:pos="1935"/>
      </w:tabs>
      <w:adjustRightInd w:val="0"/>
      <w:snapToGrid w:val="0"/>
      <w:spacing w:before="0" w:after="0" w:line="500" w:lineRule="atLeast"/>
      <w:ind w:right="-45" w:rightChars="-45" w:firstLine="425" w:firstLineChars="177"/>
      <w:outlineLvl w:val="9"/>
    </w:pPr>
    <w:rPr>
      <w:bCs w:val="0"/>
      <w:color w:val="000000"/>
      <w:kern w:val="0"/>
      <w:sz w:val="24"/>
      <w:szCs w:val="20"/>
    </w:rPr>
  </w:style>
  <w:style w:type="paragraph" w:customStyle="1" w:styleId="325">
    <w:name w:val="font0"/>
    <w:basedOn w:val="2"/>
    <w:next w:val="1"/>
    <w:autoRedefine/>
    <w:qFormat/>
    <w:uiPriority w:val="99"/>
    <w:pPr>
      <w:keepNext w:val="0"/>
      <w:keepLines w:val="0"/>
      <w:widowControl/>
      <w:adjustRightInd w:val="0"/>
      <w:snapToGrid w:val="0"/>
      <w:spacing w:before="100" w:beforeAutospacing="1" w:after="100" w:afterAutospacing="1" w:line="360" w:lineRule="auto"/>
      <w:ind w:firstLine="425" w:firstLineChars="177"/>
      <w:jc w:val="left"/>
      <w:outlineLvl w:val="9"/>
    </w:pPr>
    <w:rPr>
      <w:rFonts w:ascii="宋体" w:hAnsi="宋体"/>
      <w:bCs w:val="0"/>
      <w:kern w:val="0"/>
      <w:sz w:val="24"/>
      <w:szCs w:val="24"/>
    </w:rPr>
  </w:style>
  <w:style w:type="paragraph" w:customStyle="1" w:styleId="326">
    <w:name w:val="a6"/>
    <w:next w:val="1"/>
    <w:autoRedefine/>
    <w:qFormat/>
    <w:uiPriority w:val="99"/>
    <w:pPr>
      <w:spacing w:line="280" w:lineRule="atLeast"/>
      <w:ind w:firstLine="360"/>
      <w:jc w:val="center"/>
    </w:pPr>
    <w:rPr>
      <w:rFonts w:ascii="Times New Roman" w:hAnsi="Times New Roman" w:eastAsia="宋体" w:cs="Times New Roman"/>
      <w:color w:val="000000"/>
      <w:kern w:val="0"/>
      <w:sz w:val="18"/>
      <w:szCs w:val="18"/>
      <w:lang w:val="en-US" w:eastAsia="zh-CN" w:bidi="ar-SA"/>
    </w:rPr>
  </w:style>
  <w:style w:type="paragraph" w:customStyle="1" w:styleId="327">
    <w:name w:val="图表名"/>
    <w:basedOn w:val="2"/>
    <w:next w:val="1"/>
    <w:autoRedefine/>
    <w:qFormat/>
    <w:uiPriority w:val="99"/>
    <w:pPr>
      <w:keepNext w:val="0"/>
      <w:keepLines w:val="0"/>
      <w:spacing w:beforeLines="30" w:after="0" w:line="440" w:lineRule="exact"/>
      <w:ind w:firstLine="480" w:firstLineChars="177"/>
      <w:outlineLvl w:val="9"/>
    </w:pPr>
    <w:rPr>
      <w:rFonts w:eastAsia="黑体"/>
      <w:bCs w:val="0"/>
      <w:kern w:val="2"/>
      <w:sz w:val="24"/>
      <w:szCs w:val="20"/>
    </w:rPr>
  </w:style>
  <w:style w:type="paragraph" w:customStyle="1" w:styleId="328">
    <w:name w:val="a9cxspmiddle"/>
    <w:basedOn w:val="2"/>
    <w:next w:val="1"/>
    <w:autoRedefine/>
    <w:qFormat/>
    <w:uiPriority w:val="99"/>
    <w:pPr>
      <w:keepNext w:val="0"/>
      <w:keepLines w:val="0"/>
      <w:widowControl/>
      <w:snapToGrid w:val="0"/>
      <w:spacing w:before="0" w:after="0" w:line="360" w:lineRule="auto"/>
      <w:ind w:firstLine="480" w:firstLineChars="177"/>
      <w:outlineLvl w:val="9"/>
    </w:pPr>
    <w:rPr>
      <w:bCs w:val="0"/>
      <w:kern w:val="0"/>
      <w:sz w:val="24"/>
      <w:szCs w:val="24"/>
    </w:rPr>
  </w:style>
  <w:style w:type="paragraph" w:customStyle="1" w:styleId="329">
    <w:name w:val="样式 首行缩进:  2 字符"/>
    <w:basedOn w:val="2"/>
    <w:next w:val="1"/>
    <w:autoRedefine/>
    <w:qFormat/>
    <w:uiPriority w:val="99"/>
    <w:pPr>
      <w:keepNext w:val="0"/>
      <w:keepLines w:val="0"/>
      <w:spacing w:before="0" w:after="0" w:line="360" w:lineRule="auto"/>
      <w:ind w:firstLine="200" w:firstLineChars="200"/>
      <w:outlineLvl w:val="9"/>
    </w:pPr>
    <w:rPr>
      <w:bCs w:val="0"/>
      <w:kern w:val="2"/>
      <w:sz w:val="24"/>
      <w:szCs w:val="24"/>
    </w:rPr>
  </w:style>
  <w:style w:type="paragraph" w:customStyle="1" w:styleId="330">
    <w:name w:val="xl35"/>
    <w:basedOn w:val="2"/>
    <w:next w:val="1"/>
    <w:autoRedefine/>
    <w:qFormat/>
    <w:uiPriority w:val="99"/>
    <w:pPr>
      <w:keepNext w:val="0"/>
      <w:keepLines w:val="0"/>
      <w:widowControl/>
      <w:pBdr>
        <w:bottom w:val="single" w:color="auto" w:sz="8" w:space="0"/>
        <w:right w:val="single" w:color="auto" w:sz="8" w:space="0"/>
      </w:pBdr>
      <w:spacing w:before="100" w:beforeAutospacing="1" w:after="100" w:afterAutospacing="1" w:line="500" w:lineRule="atLeast"/>
      <w:ind w:firstLine="425" w:firstLineChars="177"/>
      <w:jc w:val="center"/>
      <w:outlineLvl w:val="9"/>
    </w:pPr>
    <w:rPr>
      <w:bCs w:val="0"/>
      <w:color w:val="000000"/>
      <w:kern w:val="0"/>
      <w:sz w:val="24"/>
      <w:szCs w:val="21"/>
    </w:rPr>
  </w:style>
  <w:style w:type="paragraph" w:customStyle="1" w:styleId="331">
    <w:name w:val="表1表2"/>
    <w:basedOn w:val="2"/>
    <w:next w:val="1"/>
    <w:autoRedefine/>
    <w:qFormat/>
    <w:uiPriority w:val="99"/>
    <w:pPr>
      <w:keepNext w:val="0"/>
      <w:keepLines w:val="0"/>
      <w:autoSpaceDE w:val="0"/>
      <w:autoSpaceDN w:val="0"/>
      <w:adjustRightInd w:val="0"/>
      <w:spacing w:before="0" w:after="0" w:line="500" w:lineRule="atLeast"/>
      <w:ind w:firstLine="425" w:firstLineChars="177"/>
      <w:jc w:val="center"/>
      <w:outlineLvl w:val="9"/>
    </w:pPr>
    <w:rPr>
      <w:rFonts w:eastAsia="仿宋_GB2312"/>
      <w:bCs w:val="0"/>
      <w:kern w:val="0"/>
      <w:sz w:val="24"/>
      <w:szCs w:val="21"/>
    </w:rPr>
  </w:style>
  <w:style w:type="paragraph" w:customStyle="1" w:styleId="332">
    <w:name w:val="xl23"/>
    <w:basedOn w:val="2"/>
    <w:next w:val="1"/>
    <w:autoRedefine/>
    <w:qFormat/>
    <w:uiPriority w:val="99"/>
    <w:pPr>
      <w:keepNext w:val="0"/>
      <w:keepLines w:val="0"/>
      <w:widowControl/>
      <w:pBdr>
        <w:top w:val="single" w:color="auto" w:sz="4" w:space="0"/>
        <w:left w:val="single" w:color="auto" w:sz="4" w:space="0"/>
        <w:right w:val="single" w:color="auto" w:sz="4" w:space="0"/>
      </w:pBdr>
      <w:spacing w:before="100" w:beforeAutospacing="1" w:after="100" w:afterAutospacing="1" w:line="500" w:lineRule="atLeast"/>
      <w:ind w:firstLine="425" w:firstLineChars="177"/>
      <w:jc w:val="center"/>
      <w:outlineLvl w:val="9"/>
    </w:pPr>
    <w:rPr>
      <w:rFonts w:ascii="宋体" w:hAnsi="宋体" w:cs="宋体"/>
      <w:bCs w:val="0"/>
      <w:kern w:val="0"/>
      <w:sz w:val="24"/>
      <w:szCs w:val="24"/>
    </w:rPr>
  </w:style>
  <w:style w:type="paragraph" w:customStyle="1" w:styleId="333">
    <w:name w:val="公式说明"/>
    <w:next w:val="1"/>
    <w:autoRedefine/>
    <w:qFormat/>
    <w:uiPriority w:val="99"/>
    <w:pPr>
      <w:spacing w:line="240" w:lineRule="auto"/>
      <w:ind w:firstLine="200" w:firstLineChars="200"/>
      <w:jc w:val="left"/>
    </w:pPr>
    <w:rPr>
      <w:rFonts w:ascii="Times New Roman" w:hAnsi="Times New Roman" w:eastAsia="宋体" w:cs="Times New Roman"/>
      <w:kern w:val="2"/>
      <w:sz w:val="24"/>
      <w:szCs w:val="20"/>
      <w:lang w:val="en-US" w:eastAsia="zh-CN" w:bidi="ar-SA"/>
    </w:rPr>
  </w:style>
  <w:style w:type="paragraph" w:customStyle="1" w:styleId="334">
    <w:name w:val="Body Text 22"/>
    <w:basedOn w:val="2"/>
    <w:next w:val="1"/>
    <w:autoRedefine/>
    <w:qFormat/>
    <w:uiPriority w:val="99"/>
    <w:pPr>
      <w:keepNext w:val="0"/>
      <w:keepLines w:val="0"/>
      <w:adjustRightInd w:val="0"/>
      <w:spacing w:before="0" w:after="0" w:line="440" w:lineRule="atLeast"/>
      <w:ind w:firstLine="480" w:firstLineChars="177"/>
      <w:outlineLvl w:val="9"/>
    </w:pPr>
    <w:rPr>
      <w:rFonts w:eastAsia="仿宋_GB2312"/>
      <w:bCs w:val="0"/>
      <w:kern w:val="2"/>
      <w:sz w:val="24"/>
      <w:szCs w:val="20"/>
    </w:rPr>
  </w:style>
  <w:style w:type="paragraph" w:customStyle="1" w:styleId="335">
    <w:name w:val="1.1.1"/>
    <w:basedOn w:val="2"/>
    <w:next w:val="1"/>
    <w:autoRedefine/>
    <w:qFormat/>
    <w:uiPriority w:val="99"/>
    <w:pPr>
      <w:keepNext w:val="0"/>
      <w:keepLines w:val="0"/>
      <w:spacing w:before="0" w:after="0" w:line="500" w:lineRule="atLeast"/>
      <w:ind w:firstLine="425" w:firstLineChars="177"/>
      <w:outlineLvl w:val="9"/>
    </w:pPr>
    <w:rPr>
      <w:rFonts w:ascii="黑体"/>
      <w:bCs w:val="0"/>
      <w:kern w:val="2"/>
      <w:sz w:val="24"/>
      <w:szCs w:val="24"/>
    </w:rPr>
  </w:style>
  <w:style w:type="paragraph" w:customStyle="1" w:styleId="336">
    <w:name w:val="报告表格"/>
    <w:basedOn w:val="2"/>
    <w:next w:val="1"/>
    <w:autoRedefine/>
    <w:qFormat/>
    <w:uiPriority w:val="99"/>
    <w:pPr>
      <w:keepNext w:val="0"/>
      <w:keepLines w:val="0"/>
      <w:autoSpaceDE w:val="0"/>
      <w:autoSpaceDN w:val="0"/>
      <w:adjustRightInd w:val="0"/>
      <w:spacing w:before="40" w:after="40" w:line="500" w:lineRule="atLeast"/>
      <w:ind w:firstLine="425" w:firstLineChars="177"/>
      <w:jc w:val="center"/>
      <w:outlineLvl w:val="9"/>
    </w:pPr>
    <w:rPr>
      <w:bCs w:val="0"/>
      <w:kern w:val="0"/>
      <w:sz w:val="24"/>
      <w:szCs w:val="20"/>
    </w:rPr>
  </w:style>
  <w:style w:type="paragraph" w:customStyle="1" w:styleId="337">
    <w:name w:val="表中正文"/>
    <w:basedOn w:val="2"/>
    <w:next w:val="1"/>
    <w:autoRedefine/>
    <w:qFormat/>
    <w:uiPriority w:val="99"/>
    <w:pPr>
      <w:keepNext w:val="0"/>
      <w:keepLines w:val="0"/>
      <w:tabs>
        <w:tab w:val="left" w:pos="958"/>
        <w:tab w:val="left" w:pos="7320"/>
        <w:tab w:val="left" w:pos="8160"/>
      </w:tabs>
      <w:adjustRightInd w:val="0"/>
      <w:spacing w:before="0" w:after="0" w:line="360" w:lineRule="atLeast"/>
      <w:ind w:right="113" w:firstLine="425" w:firstLineChars="177"/>
      <w:jc w:val="center"/>
      <w:outlineLvl w:val="9"/>
    </w:pPr>
    <w:rPr>
      <w:rFonts w:ascii="宋体" w:hAnsi="宋体"/>
      <w:bCs w:val="0"/>
      <w:spacing w:val="6"/>
      <w:kern w:val="20"/>
      <w:sz w:val="24"/>
      <w:szCs w:val="24"/>
    </w:rPr>
  </w:style>
  <w:style w:type="paragraph" w:customStyle="1" w:styleId="338">
    <w:name w:val="样式 段落1 + 左 首行缩进:  2 字符 加宽量  0.3 磅"/>
    <w:basedOn w:val="2"/>
    <w:next w:val="1"/>
    <w:autoRedefine/>
    <w:qFormat/>
    <w:uiPriority w:val="99"/>
    <w:pPr>
      <w:keepNext w:val="0"/>
      <w:keepLines w:val="0"/>
      <w:tabs>
        <w:tab w:val="left" w:pos="4254"/>
      </w:tabs>
      <w:adjustRightInd w:val="0"/>
      <w:spacing w:before="0" w:after="0" w:line="440" w:lineRule="exact"/>
      <w:ind w:firstLine="504" w:firstLineChars="200"/>
      <w:outlineLvl w:val="9"/>
    </w:pPr>
    <w:rPr>
      <w:color w:val="0000FF"/>
      <w:spacing w:val="6"/>
      <w:kern w:val="0"/>
      <w:sz w:val="24"/>
      <w:szCs w:val="20"/>
    </w:rPr>
  </w:style>
  <w:style w:type="character" w:customStyle="1" w:styleId="339">
    <w:name w:val="正文首行缩进 2 Char1"/>
    <w:basedOn w:val="118"/>
    <w:autoRedefine/>
    <w:semiHidden/>
    <w:qFormat/>
    <w:uiPriority w:val="99"/>
    <w:rPr>
      <w:rFonts w:ascii="Times New Roman" w:hAnsi="Times New Roman" w:eastAsia="宋体" w:cs="Times New Roman"/>
      <w:szCs w:val="24"/>
    </w:rPr>
  </w:style>
  <w:style w:type="paragraph" w:customStyle="1" w:styleId="340">
    <w:name w:val="三级标题"/>
    <w:basedOn w:val="2"/>
    <w:next w:val="44"/>
    <w:autoRedefine/>
    <w:qFormat/>
    <w:uiPriority w:val="99"/>
    <w:pPr>
      <w:keepNext w:val="0"/>
      <w:keepLines w:val="0"/>
      <w:adjustRightInd w:val="0"/>
      <w:snapToGrid w:val="0"/>
      <w:spacing w:before="0" w:after="0" w:line="360" w:lineRule="exact"/>
      <w:ind w:firstLine="425" w:firstLineChars="177"/>
      <w:jc w:val="center"/>
      <w:outlineLvl w:val="9"/>
    </w:pPr>
    <w:rPr>
      <w:kern w:val="2"/>
      <w:sz w:val="24"/>
      <w:szCs w:val="20"/>
    </w:rPr>
  </w:style>
  <w:style w:type="paragraph" w:customStyle="1" w:styleId="341">
    <w:name w:val="unnamed2"/>
    <w:basedOn w:val="2"/>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rFonts w:ascii="Arial Unicode MS" w:hAnsi="Arial Unicode MS" w:eastAsia="Arial Unicode MS" w:cs="Arial Unicode MS"/>
      <w:bCs w:val="0"/>
      <w:color w:val="000000"/>
      <w:kern w:val="0"/>
      <w:sz w:val="24"/>
      <w:szCs w:val="24"/>
    </w:rPr>
  </w:style>
  <w:style w:type="paragraph" w:customStyle="1" w:styleId="342">
    <w:name w:val="样式表格"/>
    <w:basedOn w:val="2"/>
    <w:next w:val="1"/>
    <w:autoRedefine/>
    <w:qFormat/>
    <w:uiPriority w:val="99"/>
    <w:pPr>
      <w:keepNext w:val="0"/>
      <w:keepLines w:val="0"/>
      <w:spacing w:before="0" w:after="0" w:line="240" w:lineRule="exact"/>
      <w:ind w:firstLine="425" w:firstLineChars="177"/>
      <w:outlineLvl w:val="9"/>
    </w:pPr>
    <w:rPr>
      <w:bCs w:val="0"/>
      <w:color w:val="000000"/>
      <w:kern w:val="0"/>
      <w:sz w:val="24"/>
      <w:szCs w:val="21"/>
    </w:rPr>
  </w:style>
  <w:style w:type="paragraph" w:customStyle="1" w:styleId="343">
    <w:name w:val="font5"/>
    <w:basedOn w:val="2"/>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rFonts w:ascii="宋体" w:hAnsi="宋体"/>
      <w:bCs w:val="0"/>
      <w:kern w:val="0"/>
      <w:sz w:val="18"/>
      <w:szCs w:val="20"/>
    </w:rPr>
  </w:style>
  <w:style w:type="paragraph" w:customStyle="1" w:styleId="344">
    <w:name w:val="样式2"/>
    <w:basedOn w:val="2"/>
    <w:next w:val="1"/>
    <w:autoRedefine/>
    <w:qFormat/>
    <w:uiPriority w:val="99"/>
    <w:pPr>
      <w:keepNext w:val="0"/>
      <w:keepLines w:val="0"/>
      <w:tabs>
        <w:tab w:val="left" w:pos="360"/>
      </w:tabs>
      <w:spacing w:before="50" w:after="50" w:line="440" w:lineRule="exact"/>
      <w:ind w:firstLine="425" w:firstLineChars="177"/>
      <w:outlineLvl w:val="9"/>
    </w:pPr>
    <w:rPr>
      <w:rFonts w:eastAsia="黑体"/>
      <w:bCs w:val="0"/>
      <w:kern w:val="2"/>
      <w:sz w:val="24"/>
      <w:szCs w:val="20"/>
    </w:rPr>
  </w:style>
  <w:style w:type="character" w:customStyle="1" w:styleId="345">
    <w:name w:val="cucd-2 Char"/>
    <w:link w:val="346"/>
    <w:autoRedefine/>
    <w:qFormat/>
    <w:locked/>
    <w:uiPriority w:val="0"/>
    <w:rPr>
      <w:rFonts w:ascii="黑体" w:hAnsi="黑体" w:eastAsia="黑体"/>
      <w:b/>
      <w:sz w:val="30"/>
      <w:szCs w:val="24"/>
    </w:rPr>
  </w:style>
  <w:style w:type="paragraph" w:customStyle="1" w:styleId="346">
    <w:name w:val="cucd-2"/>
    <w:next w:val="347"/>
    <w:link w:val="345"/>
    <w:autoRedefine/>
    <w:qFormat/>
    <w:uiPriority w:val="0"/>
    <w:pPr>
      <w:tabs>
        <w:tab w:val="left" w:pos="576"/>
      </w:tabs>
      <w:spacing w:line="360" w:lineRule="auto"/>
      <w:ind w:left="576" w:hanging="576"/>
      <w:jc w:val="left"/>
      <w:outlineLvl w:val="1"/>
    </w:pPr>
    <w:rPr>
      <w:rFonts w:ascii="黑体" w:hAnsi="黑体" w:eastAsia="黑体" w:cstheme="minorBidi"/>
      <w:b/>
      <w:kern w:val="2"/>
      <w:sz w:val="30"/>
      <w:szCs w:val="24"/>
      <w:lang w:val="en-US" w:eastAsia="zh-CN" w:bidi="ar-SA"/>
    </w:rPr>
  </w:style>
  <w:style w:type="paragraph" w:customStyle="1" w:styleId="347">
    <w:name w:val="cucd-3"/>
    <w:next w:val="1"/>
    <w:link w:val="348"/>
    <w:autoRedefine/>
    <w:qFormat/>
    <w:uiPriority w:val="99"/>
    <w:pPr>
      <w:tabs>
        <w:tab w:val="left" w:pos="720"/>
      </w:tabs>
      <w:spacing w:line="360" w:lineRule="auto"/>
      <w:ind w:left="720" w:hanging="720"/>
      <w:jc w:val="left"/>
      <w:outlineLvl w:val="2"/>
    </w:pPr>
    <w:rPr>
      <w:rFonts w:ascii="Calibri" w:hAnsi="Calibri" w:eastAsia="宋体" w:cs="Times New Roman"/>
      <w:b/>
      <w:kern w:val="2"/>
      <w:sz w:val="28"/>
      <w:szCs w:val="24"/>
      <w:lang w:val="en-US" w:eastAsia="zh-CN" w:bidi="ar-SA"/>
    </w:rPr>
  </w:style>
  <w:style w:type="character" w:customStyle="1" w:styleId="348">
    <w:name w:val="cucd-3 Char"/>
    <w:link w:val="347"/>
    <w:autoRedefine/>
    <w:qFormat/>
    <w:locked/>
    <w:uiPriority w:val="99"/>
    <w:rPr>
      <w:rFonts w:ascii="Calibri" w:hAnsi="Calibri" w:eastAsia="宋体" w:cs="Times New Roman"/>
      <w:b/>
      <w:sz w:val="28"/>
      <w:szCs w:val="24"/>
    </w:rPr>
  </w:style>
  <w:style w:type="paragraph" w:customStyle="1" w:styleId="349">
    <w:name w:val="表中"/>
    <w:basedOn w:val="2"/>
    <w:next w:val="1"/>
    <w:autoRedefine/>
    <w:qFormat/>
    <w:uiPriority w:val="99"/>
    <w:pPr>
      <w:keepNext w:val="0"/>
      <w:keepLines w:val="0"/>
      <w:spacing w:before="0" w:after="0" w:line="280" w:lineRule="exact"/>
      <w:ind w:firstLine="425" w:firstLineChars="177"/>
      <w:jc w:val="center"/>
      <w:outlineLvl w:val="9"/>
    </w:pPr>
    <w:rPr>
      <w:bCs w:val="0"/>
      <w:kern w:val="2"/>
      <w:sz w:val="18"/>
      <w:szCs w:val="18"/>
    </w:rPr>
  </w:style>
  <w:style w:type="paragraph" w:customStyle="1" w:styleId="350">
    <w:name w:val="样式 四号 首行缩进:  2 字符"/>
    <w:basedOn w:val="2"/>
    <w:next w:val="1"/>
    <w:autoRedefine/>
    <w:qFormat/>
    <w:uiPriority w:val="99"/>
    <w:pPr>
      <w:keepNext w:val="0"/>
      <w:keepLines w:val="0"/>
      <w:spacing w:before="0" w:after="0" w:line="480" w:lineRule="atLeast"/>
      <w:ind w:firstLine="200" w:firstLineChars="200"/>
      <w:outlineLvl w:val="9"/>
    </w:pPr>
    <w:rPr>
      <w:bCs w:val="0"/>
      <w:kern w:val="2"/>
      <w:sz w:val="24"/>
      <w:szCs w:val="20"/>
    </w:rPr>
  </w:style>
  <w:style w:type="paragraph" w:customStyle="1" w:styleId="351">
    <w:name w:val="xl38"/>
    <w:basedOn w:val="2"/>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bCs w:val="0"/>
      <w:color w:val="000000"/>
      <w:kern w:val="0"/>
      <w:sz w:val="24"/>
      <w:szCs w:val="21"/>
    </w:rPr>
  </w:style>
  <w:style w:type="paragraph" w:customStyle="1" w:styleId="352">
    <w:name w:val="表头2"/>
    <w:basedOn w:val="2"/>
    <w:next w:val="1"/>
    <w:autoRedefine/>
    <w:qFormat/>
    <w:uiPriority w:val="99"/>
    <w:pPr>
      <w:keepNext w:val="0"/>
      <w:keepLines w:val="0"/>
      <w:spacing w:before="0" w:after="0" w:line="480" w:lineRule="auto"/>
      <w:ind w:firstLine="425" w:firstLineChars="177"/>
      <w:jc w:val="center"/>
      <w:outlineLvl w:val="9"/>
    </w:pPr>
    <w:rPr>
      <w:rFonts w:ascii="黑体" w:eastAsia="黑体"/>
      <w:bCs w:val="0"/>
      <w:color w:val="000000"/>
      <w:kern w:val="2"/>
      <w:sz w:val="24"/>
      <w:szCs w:val="24"/>
    </w:rPr>
  </w:style>
  <w:style w:type="paragraph" w:customStyle="1" w:styleId="353">
    <w:name w:val="标题6"/>
    <w:basedOn w:val="2"/>
    <w:next w:val="148"/>
    <w:autoRedefine/>
    <w:qFormat/>
    <w:uiPriority w:val="99"/>
    <w:pPr>
      <w:keepNext w:val="0"/>
      <w:keepLines w:val="0"/>
      <w:numPr>
        <w:ilvl w:val="0"/>
        <w:numId w:val="2"/>
      </w:numPr>
      <w:spacing w:before="0" w:after="0" w:line="480" w:lineRule="exact"/>
      <w:ind w:firstLine="177" w:firstLineChars="177"/>
      <w:jc w:val="left"/>
      <w:outlineLvl w:val="9"/>
    </w:pPr>
    <w:rPr>
      <w:bCs w:val="0"/>
      <w:spacing w:val="10"/>
      <w:kern w:val="2"/>
      <w:sz w:val="28"/>
      <w:szCs w:val="20"/>
    </w:rPr>
  </w:style>
  <w:style w:type="paragraph" w:customStyle="1" w:styleId="354">
    <w:name w:val="l_text2"/>
    <w:basedOn w:val="2"/>
    <w:next w:val="1"/>
    <w:autoRedefine/>
    <w:qFormat/>
    <w:uiPriority w:val="99"/>
    <w:pPr>
      <w:keepNext w:val="0"/>
      <w:keepLines w:val="0"/>
      <w:widowControl/>
      <w:numPr>
        <w:ilvl w:val="0"/>
        <w:numId w:val="3"/>
      </w:numPr>
      <w:overflowPunct w:val="0"/>
      <w:autoSpaceDE w:val="0"/>
      <w:autoSpaceDN w:val="0"/>
      <w:adjustRightInd w:val="0"/>
      <w:spacing w:before="0" w:after="0" w:line="500" w:lineRule="atLeast"/>
      <w:ind w:left="0" w:firstLine="0" w:firstLineChars="177"/>
      <w:jc w:val="center"/>
      <w:outlineLvl w:val="9"/>
    </w:pPr>
    <w:rPr>
      <w:rFonts w:ascii="楷体" w:eastAsia="楷体" w:cs="楷体"/>
      <w:bCs w:val="0"/>
      <w:kern w:val="0"/>
      <w:position w:val="-30"/>
      <w:sz w:val="22"/>
      <w:szCs w:val="24"/>
    </w:rPr>
  </w:style>
  <w:style w:type="paragraph" w:customStyle="1" w:styleId="355">
    <w:name w:val="xl54"/>
    <w:basedOn w:val="2"/>
    <w:next w:val="1"/>
    <w:autoRedefine/>
    <w:qFormat/>
    <w:uiPriority w:val="99"/>
    <w:pPr>
      <w:keepNext w:val="0"/>
      <w:keepLines w:val="0"/>
      <w:widowControl/>
      <w:pBdr>
        <w:top w:val="single" w:color="auto" w:sz="12" w:space="0"/>
        <w:left w:val="single" w:color="auto" w:sz="12" w:space="0"/>
        <w:right w:val="single" w:color="auto" w:sz="8" w:space="0"/>
      </w:pBdr>
      <w:spacing w:before="100" w:beforeAutospacing="1" w:after="100" w:afterAutospacing="1" w:line="500" w:lineRule="atLeast"/>
      <w:ind w:firstLine="425" w:firstLineChars="177"/>
      <w:jc w:val="center"/>
      <w:outlineLvl w:val="9"/>
    </w:pPr>
    <w:rPr>
      <w:rFonts w:ascii="宋体" w:hAnsi="宋体" w:cs="宋体"/>
      <w:bCs w:val="0"/>
      <w:color w:val="000000"/>
      <w:kern w:val="0"/>
      <w:sz w:val="24"/>
      <w:szCs w:val="21"/>
    </w:rPr>
  </w:style>
  <w:style w:type="paragraph" w:customStyle="1" w:styleId="356">
    <w:name w:val="xl46"/>
    <w:basedOn w:val="2"/>
    <w:next w:val="1"/>
    <w:autoRedefine/>
    <w:qFormat/>
    <w:uiPriority w:val="99"/>
    <w:pPr>
      <w:keepNext w:val="0"/>
      <w:keepLines w:val="0"/>
      <w:widowControl/>
      <w:pBdr>
        <w:left w:val="single" w:color="auto" w:sz="8" w:space="0"/>
        <w:bottom w:val="single" w:color="auto" w:sz="8" w:space="0"/>
        <w:right w:val="single" w:color="auto" w:sz="12" w:space="0"/>
      </w:pBdr>
      <w:spacing w:before="100" w:beforeAutospacing="1" w:after="100" w:afterAutospacing="1" w:line="500" w:lineRule="atLeast"/>
      <w:ind w:firstLine="425" w:firstLineChars="177"/>
      <w:jc w:val="center"/>
      <w:outlineLvl w:val="9"/>
    </w:pPr>
    <w:rPr>
      <w:bCs w:val="0"/>
      <w:color w:val="000000"/>
      <w:kern w:val="0"/>
      <w:sz w:val="24"/>
      <w:szCs w:val="21"/>
    </w:rPr>
  </w:style>
  <w:style w:type="paragraph" w:customStyle="1" w:styleId="357">
    <w:name w:val="222"/>
    <w:basedOn w:val="2"/>
    <w:next w:val="1"/>
    <w:autoRedefine/>
    <w:qFormat/>
    <w:uiPriority w:val="99"/>
    <w:pPr>
      <w:keepNext w:val="0"/>
      <w:keepLines w:val="0"/>
      <w:snapToGrid w:val="0"/>
      <w:spacing w:before="0" w:after="0" w:line="440" w:lineRule="exact"/>
      <w:ind w:firstLine="480" w:firstLineChars="200"/>
      <w:outlineLvl w:val="9"/>
    </w:pPr>
    <w:rPr>
      <w:rFonts w:cs="宋体"/>
      <w:bCs w:val="0"/>
      <w:kern w:val="2"/>
      <w:sz w:val="24"/>
      <w:szCs w:val="20"/>
    </w:rPr>
  </w:style>
  <w:style w:type="paragraph" w:customStyle="1" w:styleId="358">
    <w:name w:val="表名"/>
    <w:basedOn w:val="2"/>
    <w:next w:val="1"/>
    <w:autoRedefine/>
    <w:qFormat/>
    <w:uiPriority w:val="99"/>
    <w:pPr>
      <w:keepNext w:val="0"/>
      <w:keepLines w:val="0"/>
      <w:widowControl/>
      <w:overflowPunct w:val="0"/>
      <w:autoSpaceDE w:val="0"/>
      <w:autoSpaceDN w:val="0"/>
      <w:adjustRightInd w:val="0"/>
      <w:spacing w:before="60" w:after="0" w:line="480" w:lineRule="exact"/>
      <w:ind w:firstLine="425" w:firstLineChars="177"/>
      <w:jc w:val="center"/>
      <w:outlineLvl w:val="9"/>
    </w:pPr>
    <w:rPr>
      <w:rFonts w:ascii="黑体" w:hAnsi="Arial" w:eastAsia="黑体"/>
      <w:bCs w:val="0"/>
      <w:color w:val="000000"/>
      <w:kern w:val="0"/>
      <w:sz w:val="26"/>
      <w:szCs w:val="20"/>
    </w:rPr>
  </w:style>
  <w:style w:type="paragraph" w:customStyle="1" w:styleId="359">
    <w:name w:val="a7"/>
    <w:basedOn w:val="2"/>
    <w:next w:val="1"/>
    <w:autoRedefine/>
    <w:qFormat/>
    <w:uiPriority w:val="99"/>
    <w:pPr>
      <w:keepNext w:val="0"/>
      <w:keepLines w:val="0"/>
      <w:widowControl/>
      <w:overflowPunct w:val="0"/>
      <w:snapToGrid w:val="0"/>
      <w:spacing w:before="0" w:after="0" w:line="280" w:lineRule="atLeast"/>
      <w:ind w:firstLine="425" w:firstLineChars="177"/>
      <w:jc w:val="center"/>
      <w:outlineLvl w:val="9"/>
    </w:pPr>
    <w:rPr>
      <w:rFonts w:ascii="宋体" w:hAnsi="宋体"/>
      <w:bCs w:val="0"/>
      <w:kern w:val="0"/>
      <w:sz w:val="18"/>
      <w:szCs w:val="18"/>
    </w:rPr>
  </w:style>
  <w:style w:type="paragraph" w:customStyle="1" w:styleId="360">
    <w:name w:val="font9"/>
    <w:basedOn w:val="2"/>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bCs w:val="0"/>
      <w:color w:val="000000"/>
      <w:kern w:val="0"/>
      <w:sz w:val="24"/>
      <w:szCs w:val="21"/>
    </w:rPr>
  </w:style>
  <w:style w:type="paragraph" w:customStyle="1" w:styleId="361">
    <w:name w:val="默认段落字体 Para Char Char Char Char Char Char Char"/>
    <w:basedOn w:val="2"/>
    <w:next w:val="1"/>
    <w:autoRedefine/>
    <w:qFormat/>
    <w:uiPriority w:val="99"/>
    <w:pPr>
      <w:keepNext w:val="0"/>
      <w:keepLines w:val="0"/>
      <w:spacing w:before="0" w:after="0" w:line="500" w:lineRule="atLeast"/>
      <w:ind w:firstLine="425" w:firstLineChars="177"/>
      <w:outlineLvl w:val="9"/>
    </w:pPr>
    <w:rPr>
      <w:bCs w:val="0"/>
      <w:kern w:val="2"/>
      <w:sz w:val="24"/>
      <w:szCs w:val="24"/>
    </w:rPr>
  </w:style>
  <w:style w:type="paragraph" w:customStyle="1" w:styleId="362">
    <w:name w:val="段落 Char Char2 Char Char"/>
    <w:basedOn w:val="2"/>
    <w:next w:val="1"/>
    <w:autoRedefine/>
    <w:qFormat/>
    <w:uiPriority w:val="99"/>
    <w:pPr>
      <w:keepNext w:val="0"/>
      <w:keepLines w:val="0"/>
      <w:tabs>
        <w:tab w:val="left" w:pos="1021"/>
      </w:tabs>
      <w:spacing w:before="0" w:after="0" w:line="540" w:lineRule="exact"/>
      <w:ind w:firstLine="480" w:firstLineChars="200"/>
      <w:outlineLvl w:val="9"/>
    </w:pPr>
    <w:rPr>
      <w:rFonts w:ascii="宋体" w:hAnsi="宋体" w:cs="宋体"/>
      <w:bCs w:val="0"/>
      <w:kern w:val="24"/>
      <w:sz w:val="24"/>
      <w:szCs w:val="24"/>
    </w:rPr>
  </w:style>
  <w:style w:type="character" w:customStyle="1" w:styleId="363">
    <w:name w:val="样式表 Char"/>
    <w:link w:val="364"/>
    <w:autoRedefine/>
    <w:qFormat/>
    <w:locked/>
    <w:uiPriority w:val="0"/>
    <w:rPr>
      <w:rFonts w:ascii="黑体" w:hAnsi="黑体" w:eastAsia="黑体" w:cs="宋体"/>
      <w:color w:val="000000"/>
      <w:spacing w:val="8"/>
      <w:sz w:val="24"/>
      <w:szCs w:val="24"/>
    </w:rPr>
  </w:style>
  <w:style w:type="paragraph" w:customStyle="1" w:styleId="364">
    <w:name w:val="样式表"/>
    <w:basedOn w:val="14"/>
    <w:next w:val="1"/>
    <w:link w:val="363"/>
    <w:autoRedefine/>
    <w:qFormat/>
    <w:uiPriority w:val="0"/>
    <w:pPr>
      <w:widowControl/>
      <w:spacing w:beforeLines="50"/>
      <w:ind w:firstLine="0" w:firstLineChars="0"/>
      <w:jc w:val="center"/>
    </w:pPr>
    <w:rPr>
      <w:rFonts w:ascii="黑体" w:hAnsi="黑体" w:eastAsia="黑体" w:cs="宋体"/>
      <w:spacing w:val="8"/>
      <w:sz w:val="24"/>
      <w:szCs w:val="24"/>
    </w:rPr>
  </w:style>
  <w:style w:type="paragraph" w:customStyle="1" w:styleId="365">
    <w:name w:val="正文文字进缩1"/>
    <w:basedOn w:val="2"/>
    <w:next w:val="1"/>
    <w:autoRedefine/>
    <w:qFormat/>
    <w:uiPriority w:val="99"/>
    <w:pPr>
      <w:keepNext w:val="0"/>
      <w:keepLines w:val="0"/>
      <w:spacing w:before="0" w:after="0" w:line="360" w:lineRule="auto"/>
      <w:ind w:left="555" w:firstLine="425" w:firstLineChars="177"/>
      <w:outlineLvl w:val="9"/>
    </w:pPr>
    <w:rPr>
      <w:rFonts w:ascii="黑体" w:eastAsia="黑体"/>
      <w:bCs w:val="0"/>
      <w:kern w:val="2"/>
      <w:sz w:val="28"/>
      <w:szCs w:val="20"/>
    </w:rPr>
  </w:style>
  <w:style w:type="paragraph" w:customStyle="1" w:styleId="366">
    <w:name w:val="Char Char Char Char Char Char Char Char Char"/>
    <w:basedOn w:val="2"/>
    <w:next w:val="1"/>
    <w:autoRedefine/>
    <w:qFormat/>
    <w:uiPriority w:val="99"/>
    <w:pPr>
      <w:keepNext w:val="0"/>
      <w:keepLines w:val="0"/>
      <w:widowControl/>
      <w:spacing w:before="0" w:after="160" w:line="240" w:lineRule="exact"/>
      <w:ind w:firstLine="425" w:firstLineChars="177"/>
      <w:jc w:val="left"/>
      <w:outlineLvl w:val="9"/>
    </w:pPr>
    <w:rPr>
      <w:rFonts w:ascii="Verdana" w:hAnsi="Verdana" w:eastAsia="仿宋_GB2312"/>
      <w:bCs w:val="0"/>
      <w:kern w:val="0"/>
      <w:sz w:val="24"/>
      <w:szCs w:val="20"/>
      <w:lang w:eastAsia="en-US"/>
    </w:rPr>
  </w:style>
  <w:style w:type="paragraph" w:customStyle="1" w:styleId="367">
    <w:name w:val="line1"/>
    <w:basedOn w:val="2"/>
    <w:next w:val="1"/>
    <w:autoRedefine/>
    <w:qFormat/>
    <w:uiPriority w:val="99"/>
    <w:pPr>
      <w:keepNext w:val="0"/>
      <w:keepLines w:val="0"/>
      <w:widowControl/>
      <w:spacing w:before="100" w:beforeAutospacing="1" w:after="100" w:afterAutospacing="1" w:line="360" w:lineRule="atLeast"/>
      <w:ind w:firstLine="425" w:firstLineChars="177"/>
      <w:jc w:val="left"/>
      <w:outlineLvl w:val="9"/>
    </w:pPr>
    <w:rPr>
      <w:rFonts w:ascii="宋体" w:hAnsi="宋体"/>
      <w:bCs w:val="0"/>
      <w:kern w:val="0"/>
      <w:sz w:val="24"/>
      <w:szCs w:val="24"/>
    </w:rPr>
  </w:style>
  <w:style w:type="paragraph" w:customStyle="1" w:styleId="368">
    <w:name w:val="xl42"/>
    <w:basedOn w:val="2"/>
    <w:next w:val="1"/>
    <w:autoRedefine/>
    <w:qFormat/>
    <w:uiPriority w:val="99"/>
    <w:pPr>
      <w:keepNext w:val="0"/>
      <w:keepLines w:val="0"/>
      <w:widowControl/>
      <w:pBdr>
        <w:left w:val="single" w:color="auto" w:sz="8" w:space="0"/>
        <w:bottom w:val="single" w:color="auto" w:sz="8" w:space="0"/>
        <w:right w:val="single" w:color="auto" w:sz="8" w:space="0"/>
      </w:pBdr>
      <w:spacing w:before="100" w:beforeAutospacing="1" w:after="100" w:afterAutospacing="1" w:line="500" w:lineRule="atLeast"/>
      <w:ind w:firstLine="425" w:firstLineChars="177"/>
      <w:jc w:val="center"/>
      <w:outlineLvl w:val="9"/>
    </w:pPr>
    <w:rPr>
      <w:rFonts w:ascii="宋体" w:hAnsi="宋体" w:cs="宋体"/>
      <w:bCs w:val="0"/>
      <w:color w:val="000000"/>
      <w:kern w:val="0"/>
      <w:sz w:val="24"/>
      <w:szCs w:val="21"/>
    </w:rPr>
  </w:style>
  <w:style w:type="paragraph" w:customStyle="1" w:styleId="369">
    <w:name w:val="表中正文居中"/>
    <w:next w:val="1"/>
    <w:autoRedefine/>
    <w:qFormat/>
    <w:uiPriority w:val="99"/>
    <w:pPr>
      <w:spacing w:before="120" w:after="120" w:line="240" w:lineRule="atLeast"/>
      <w:jc w:val="center"/>
    </w:pPr>
    <w:rPr>
      <w:rFonts w:ascii="宋体" w:hAnsi="Times New Roman" w:eastAsia="宋体" w:cs="Times New Roman"/>
      <w:kern w:val="2"/>
      <w:sz w:val="21"/>
      <w:szCs w:val="20"/>
      <w:lang w:val="en-US" w:eastAsia="zh-CN" w:bidi="ar-SA"/>
    </w:rPr>
  </w:style>
  <w:style w:type="character" w:customStyle="1" w:styleId="370">
    <w:name w:val="正文1-1 Char"/>
    <w:link w:val="371"/>
    <w:autoRedefine/>
    <w:qFormat/>
    <w:locked/>
    <w:uiPriority w:val="0"/>
    <w:rPr>
      <w:rFonts w:ascii="宋体" w:hAnsi="宋体" w:eastAsia="仿宋_GB2312" w:cs="宋体"/>
      <w:sz w:val="28"/>
      <w:szCs w:val="24"/>
    </w:rPr>
  </w:style>
  <w:style w:type="paragraph" w:customStyle="1" w:styleId="371">
    <w:name w:val="正文1-1"/>
    <w:basedOn w:val="2"/>
    <w:next w:val="1"/>
    <w:link w:val="370"/>
    <w:autoRedefine/>
    <w:qFormat/>
    <w:uiPriority w:val="0"/>
    <w:pPr>
      <w:keepNext w:val="0"/>
      <w:keepLines w:val="0"/>
      <w:widowControl/>
      <w:snapToGrid w:val="0"/>
      <w:spacing w:before="0" w:after="0" w:line="360" w:lineRule="auto"/>
      <w:ind w:firstLine="200" w:firstLineChars="200"/>
      <w:jc w:val="left"/>
      <w:outlineLvl w:val="9"/>
    </w:pPr>
    <w:rPr>
      <w:rFonts w:ascii="宋体" w:hAnsi="宋体" w:eastAsia="仿宋_GB2312" w:cs="宋体"/>
      <w:bCs w:val="0"/>
      <w:kern w:val="2"/>
      <w:sz w:val="28"/>
      <w:szCs w:val="24"/>
    </w:rPr>
  </w:style>
  <w:style w:type="paragraph" w:customStyle="1" w:styleId="372">
    <w:name w:val="xl40"/>
    <w:basedOn w:val="2"/>
    <w:next w:val="1"/>
    <w:autoRedefine/>
    <w:qFormat/>
    <w:uiPriority w:val="99"/>
    <w:pPr>
      <w:keepNext w:val="0"/>
      <w:keepLines w:val="0"/>
      <w:widowControl/>
      <w:pBdr>
        <w:left w:val="single" w:color="auto" w:sz="12" w:space="0"/>
      </w:pBdr>
      <w:spacing w:before="100" w:beforeAutospacing="1" w:after="100" w:afterAutospacing="1" w:line="500" w:lineRule="atLeast"/>
      <w:ind w:firstLine="425" w:firstLineChars="177"/>
      <w:jc w:val="center"/>
      <w:outlineLvl w:val="9"/>
    </w:pPr>
    <w:rPr>
      <w:rFonts w:ascii="宋体" w:hAnsi="宋体" w:cs="宋体"/>
      <w:bCs w:val="0"/>
      <w:kern w:val="0"/>
      <w:sz w:val="24"/>
      <w:szCs w:val="24"/>
    </w:rPr>
  </w:style>
  <w:style w:type="paragraph" w:customStyle="1" w:styleId="373">
    <w:name w:val="自定义缩进"/>
    <w:basedOn w:val="2"/>
    <w:next w:val="1"/>
    <w:autoRedefine/>
    <w:qFormat/>
    <w:uiPriority w:val="99"/>
    <w:pPr>
      <w:keepLines w:val="0"/>
      <w:spacing w:before="0" w:after="0" w:line="336" w:lineRule="auto"/>
      <w:ind w:firstLine="480" w:firstLineChars="200"/>
      <w:jc w:val="left"/>
      <w:outlineLvl w:val="9"/>
    </w:pPr>
    <w:rPr>
      <w:rFonts w:ascii="宋体" w:hAnsi="宋体"/>
      <w:bCs w:val="0"/>
      <w:kern w:val="0"/>
      <w:sz w:val="24"/>
      <w:szCs w:val="20"/>
    </w:rPr>
  </w:style>
  <w:style w:type="paragraph" w:customStyle="1" w:styleId="374">
    <w:name w:val="xl57"/>
    <w:basedOn w:val="2"/>
    <w:next w:val="1"/>
    <w:autoRedefine/>
    <w:qFormat/>
    <w:uiPriority w:val="99"/>
    <w:pPr>
      <w:keepNext w:val="0"/>
      <w:keepLines w:val="0"/>
      <w:widowControl/>
      <w:pBdr>
        <w:top w:val="single" w:color="auto" w:sz="12" w:space="0"/>
        <w:bottom w:val="single" w:color="auto" w:sz="8" w:space="0"/>
      </w:pBdr>
      <w:spacing w:before="100" w:beforeAutospacing="1" w:after="100" w:afterAutospacing="1" w:line="500" w:lineRule="atLeast"/>
      <w:ind w:firstLine="425" w:firstLineChars="177"/>
      <w:jc w:val="center"/>
      <w:outlineLvl w:val="9"/>
    </w:pPr>
    <w:rPr>
      <w:rFonts w:ascii="宋体" w:hAnsi="宋体" w:cs="宋体"/>
      <w:bCs w:val="0"/>
      <w:color w:val="000000"/>
      <w:kern w:val="0"/>
      <w:sz w:val="24"/>
      <w:szCs w:val="21"/>
    </w:rPr>
  </w:style>
  <w:style w:type="character" w:customStyle="1" w:styleId="375">
    <w:name w:val="日期 Char1"/>
    <w:basedOn w:val="50"/>
    <w:autoRedefine/>
    <w:semiHidden/>
    <w:qFormat/>
    <w:uiPriority w:val="99"/>
    <w:rPr>
      <w:rFonts w:ascii="Times New Roman" w:hAnsi="Times New Roman" w:eastAsia="宋体" w:cs="Times New Roman"/>
      <w:szCs w:val="24"/>
    </w:rPr>
  </w:style>
  <w:style w:type="paragraph" w:customStyle="1" w:styleId="376">
    <w:name w:val="样式 日期 + 宋体"/>
    <w:basedOn w:val="26"/>
    <w:next w:val="1"/>
    <w:autoRedefine/>
    <w:qFormat/>
    <w:uiPriority w:val="99"/>
    <w:pPr>
      <w:widowControl/>
      <w:overflowPunct w:val="0"/>
      <w:autoSpaceDE w:val="0"/>
      <w:autoSpaceDN w:val="0"/>
      <w:adjustRightInd w:val="0"/>
      <w:spacing w:line="480" w:lineRule="exact"/>
      <w:ind w:left="0" w:leftChars="0" w:firstLine="425" w:firstLineChars="177"/>
    </w:pPr>
    <w:rPr>
      <w:rFonts w:ascii="宋体" w:hAnsi="宋体"/>
      <w:color w:val="000000"/>
      <w:kern w:val="0"/>
      <w:sz w:val="28"/>
      <w:szCs w:val="20"/>
      <w:lang w:val="en-GB"/>
    </w:rPr>
  </w:style>
  <w:style w:type="paragraph" w:customStyle="1" w:styleId="377">
    <w:name w:val="font7"/>
    <w:basedOn w:val="2"/>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rFonts w:ascii="宋体" w:hAnsi="宋体" w:cs="宋体"/>
      <w:bCs w:val="0"/>
      <w:color w:val="000000"/>
      <w:kern w:val="0"/>
      <w:sz w:val="24"/>
      <w:szCs w:val="21"/>
    </w:rPr>
  </w:style>
  <w:style w:type="paragraph" w:customStyle="1" w:styleId="378">
    <w:name w:val="样式 标题2　自动设置"/>
    <w:basedOn w:val="3"/>
    <w:next w:val="1"/>
    <w:autoRedefine/>
    <w:qFormat/>
    <w:uiPriority w:val="99"/>
    <w:pPr>
      <w:tabs>
        <w:tab w:val="left" w:pos="1710"/>
      </w:tabs>
      <w:spacing w:before="0" w:after="60" w:line="240" w:lineRule="auto"/>
      <w:ind w:left="1710" w:hanging="720" w:firstLineChars="177"/>
    </w:pPr>
    <w:rPr>
      <w:rFonts w:ascii="宋体" w:hAnsi="宋体" w:eastAsia="宋体" w:cs="宋体"/>
      <w:color w:val="000000"/>
      <w:kern w:val="0"/>
      <w:sz w:val="28"/>
      <w:szCs w:val="20"/>
    </w:rPr>
  </w:style>
  <w:style w:type="paragraph" w:customStyle="1" w:styleId="379">
    <w:name w:val="样式 段落1 + 首行缩进:  2 字符"/>
    <w:basedOn w:val="319"/>
    <w:next w:val="1"/>
    <w:autoRedefine/>
    <w:qFormat/>
    <w:uiPriority w:val="99"/>
    <w:pPr>
      <w:spacing w:line="480" w:lineRule="exact"/>
      <w:ind w:firstLine="504"/>
      <w:jc w:val="left"/>
    </w:pPr>
    <w:rPr>
      <w:rFonts w:cs="宋体"/>
      <w:sz w:val="24"/>
    </w:rPr>
  </w:style>
  <w:style w:type="character" w:customStyle="1" w:styleId="380">
    <w:name w:val="cucd-4 Char Char"/>
    <w:link w:val="381"/>
    <w:autoRedefine/>
    <w:qFormat/>
    <w:locked/>
    <w:uiPriority w:val="0"/>
    <w:rPr>
      <w:b/>
      <w:sz w:val="24"/>
      <w:szCs w:val="24"/>
    </w:rPr>
  </w:style>
  <w:style w:type="paragraph" w:customStyle="1" w:styleId="381">
    <w:name w:val="cucd-4"/>
    <w:next w:val="382"/>
    <w:link w:val="380"/>
    <w:autoRedefine/>
    <w:qFormat/>
    <w:uiPriority w:val="0"/>
    <w:pPr>
      <w:tabs>
        <w:tab w:val="left" w:pos="0"/>
      </w:tabs>
      <w:spacing w:line="360" w:lineRule="auto"/>
      <w:jc w:val="left"/>
      <w:outlineLvl w:val="3"/>
    </w:pPr>
    <w:rPr>
      <w:rFonts w:asciiTheme="minorHAnsi" w:hAnsiTheme="minorHAnsi" w:eastAsiaTheme="minorEastAsia" w:cstheme="minorBidi"/>
      <w:b/>
      <w:kern w:val="2"/>
      <w:sz w:val="24"/>
      <w:szCs w:val="24"/>
      <w:lang w:val="en-US" w:eastAsia="zh-CN" w:bidi="ar-SA"/>
    </w:rPr>
  </w:style>
  <w:style w:type="paragraph" w:customStyle="1" w:styleId="382">
    <w:name w:val="cucd-0"/>
    <w:next w:val="1"/>
    <w:link w:val="383"/>
    <w:autoRedefine/>
    <w:qFormat/>
    <w:uiPriority w:val="99"/>
    <w:pPr>
      <w:spacing w:line="360" w:lineRule="auto"/>
      <w:ind w:firstLine="480" w:firstLineChars="200"/>
      <w:jc w:val="left"/>
    </w:pPr>
    <w:rPr>
      <w:rFonts w:ascii="Calibri" w:hAnsi="Calibri" w:eastAsia="宋体" w:cs="Times New Roman"/>
      <w:kern w:val="2"/>
      <w:sz w:val="24"/>
      <w:szCs w:val="24"/>
      <w:lang w:val="en-US" w:eastAsia="zh-CN" w:bidi="ar-SA"/>
    </w:rPr>
  </w:style>
  <w:style w:type="character" w:customStyle="1" w:styleId="383">
    <w:name w:val="cucd-0 Char1"/>
    <w:link w:val="382"/>
    <w:autoRedefine/>
    <w:qFormat/>
    <w:locked/>
    <w:uiPriority w:val="99"/>
    <w:rPr>
      <w:rFonts w:ascii="Calibri" w:hAnsi="Calibri" w:eastAsia="宋体" w:cs="Times New Roman"/>
      <w:sz w:val="24"/>
      <w:szCs w:val="24"/>
    </w:rPr>
  </w:style>
  <w:style w:type="paragraph" w:customStyle="1" w:styleId="384">
    <w:name w:val="居中正文"/>
    <w:basedOn w:val="43"/>
    <w:next w:val="1"/>
    <w:autoRedefine/>
    <w:qFormat/>
    <w:uiPriority w:val="99"/>
    <w:pPr>
      <w:adjustRightInd w:val="0"/>
      <w:spacing w:before="120"/>
    </w:pPr>
    <w:rPr>
      <w:rFonts w:hAnsi="Calibri"/>
      <w:kern w:val="28"/>
    </w:rPr>
  </w:style>
  <w:style w:type="paragraph" w:customStyle="1" w:styleId="385">
    <w:name w:val="MTDisplayEquation"/>
    <w:basedOn w:val="2"/>
    <w:next w:val="1"/>
    <w:autoRedefine/>
    <w:qFormat/>
    <w:uiPriority w:val="99"/>
    <w:pPr>
      <w:keepNext w:val="0"/>
      <w:keepLines w:val="0"/>
      <w:tabs>
        <w:tab w:val="center" w:pos="4160"/>
        <w:tab w:val="right" w:pos="8300"/>
      </w:tabs>
      <w:spacing w:before="0" w:after="0" w:line="500" w:lineRule="atLeast"/>
      <w:ind w:firstLine="420" w:firstLineChars="200"/>
      <w:outlineLvl w:val="9"/>
    </w:pPr>
    <w:rPr>
      <w:rFonts w:ascii="宋体" w:hAnsi="宋体"/>
      <w:bCs w:val="0"/>
      <w:kern w:val="2"/>
      <w:sz w:val="24"/>
      <w:szCs w:val="24"/>
    </w:rPr>
  </w:style>
  <w:style w:type="paragraph" w:customStyle="1" w:styleId="386">
    <w:name w:val="font11"/>
    <w:basedOn w:val="2"/>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rFonts w:ascii="宋体" w:hAnsi="宋体" w:cs="宋体"/>
      <w:color w:val="000000"/>
      <w:kern w:val="0"/>
      <w:sz w:val="18"/>
      <w:szCs w:val="18"/>
    </w:rPr>
  </w:style>
  <w:style w:type="paragraph" w:customStyle="1" w:styleId="387">
    <w:name w:val="正文 + 首行缩进:  2 字符"/>
    <w:basedOn w:val="2"/>
    <w:next w:val="1"/>
    <w:autoRedefine/>
    <w:qFormat/>
    <w:uiPriority w:val="99"/>
    <w:pPr>
      <w:keepNext w:val="0"/>
      <w:keepLines w:val="0"/>
      <w:spacing w:before="0" w:after="0" w:line="460" w:lineRule="atLeast"/>
      <w:ind w:firstLine="528" w:firstLineChars="200"/>
      <w:outlineLvl w:val="9"/>
    </w:pPr>
    <w:rPr>
      <w:bCs w:val="0"/>
      <w:spacing w:val="12"/>
      <w:kern w:val="2"/>
      <w:sz w:val="24"/>
      <w:szCs w:val="20"/>
    </w:rPr>
  </w:style>
  <w:style w:type="paragraph" w:customStyle="1" w:styleId="388">
    <w:name w:val="a3"/>
    <w:basedOn w:val="2"/>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rFonts w:ascii="宋体" w:hAnsi="宋体"/>
      <w:bCs w:val="0"/>
      <w:color w:val="000000"/>
      <w:kern w:val="0"/>
      <w:sz w:val="24"/>
      <w:szCs w:val="20"/>
    </w:rPr>
  </w:style>
  <w:style w:type="paragraph" w:customStyle="1" w:styleId="389">
    <w:name w:val="样式 标题 2节 + 行距: 多倍行距 0.5 字行"/>
    <w:basedOn w:val="3"/>
    <w:next w:val="1"/>
    <w:autoRedefine/>
    <w:qFormat/>
    <w:uiPriority w:val="99"/>
    <w:pPr>
      <w:spacing w:before="0" w:after="80" w:line="300" w:lineRule="auto"/>
      <w:ind w:left="576" w:hanging="576" w:firstLineChars="177"/>
    </w:pPr>
    <w:rPr>
      <w:rFonts w:ascii="Arial" w:hAnsi="Arial" w:eastAsia="宋体" w:cs="黑体"/>
      <w:sz w:val="28"/>
      <w:szCs w:val="28"/>
    </w:rPr>
  </w:style>
  <w:style w:type="paragraph" w:customStyle="1" w:styleId="390">
    <w:name w:val="样式3"/>
    <w:basedOn w:val="4"/>
    <w:next w:val="1"/>
    <w:autoRedefine/>
    <w:qFormat/>
    <w:uiPriority w:val="99"/>
    <w:pPr>
      <w:keepNext w:val="0"/>
      <w:keepLines w:val="0"/>
      <w:tabs>
        <w:tab w:val="left" w:pos="3930"/>
        <w:tab w:val="left" w:pos="5775"/>
      </w:tabs>
      <w:snapToGrid w:val="0"/>
      <w:spacing w:before="240" w:after="0" w:line="240" w:lineRule="auto"/>
      <w:outlineLvl w:val="9"/>
    </w:pPr>
    <w:rPr>
      <w:rFonts w:ascii="楷体_GB2312" w:hAnsi="Times New Roman" w:eastAsia="黑体" w:cs="Times New Roman"/>
      <w:color w:val="000000"/>
      <w:kern w:val="0"/>
      <w:sz w:val="28"/>
      <w:szCs w:val="20"/>
    </w:rPr>
  </w:style>
  <w:style w:type="character" w:customStyle="1" w:styleId="391">
    <w:name w:val="段落1 Char Char1"/>
    <w:link w:val="392"/>
    <w:autoRedefine/>
    <w:qFormat/>
    <w:locked/>
    <w:uiPriority w:val="0"/>
    <w:rPr>
      <w:rFonts w:ascii="宋体" w:hAnsi="宋体" w:eastAsia="宋体"/>
      <w:spacing w:val="8"/>
      <w:sz w:val="24"/>
    </w:rPr>
  </w:style>
  <w:style w:type="paragraph" w:customStyle="1" w:styleId="392">
    <w:name w:val="段落1 Char"/>
    <w:basedOn w:val="2"/>
    <w:next w:val="1"/>
    <w:link w:val="391"/>
    <w:autoRedefine/>
    <w:qFormat/>
    <w:uiPriority w:val="0"/>
    <w:pPr>
      <w:keepNext w:val="0"/>
      <w:keepLines w:val="0"/>
      <w:adjustRightInd w:val="0"/>
      <w:spacing w:before="0" w:after="0" w:line="440" w:lineRule="exact"/>
      <w:ind w:firstLine="200" w:firstLineChars="200"/>
      <w:outlineLvl w:val="9"/>
    </w:pPr>
    <w:rPr>
      <w:rFonts w:ascii="宋体" w:hAnsi="宋体" w:cstheme="minorBidi"/>
      <w:bCs w:val="0"/>
      <w:spacing w:val="8"/>
      <w:kern w:val="2"/>
      <w:sz w:val="24"/>
      <w:szCs w:val="22"/>
    </w:rPr>
  </w:style>
  <w:style w:type="paragraph" w:customStyle="1" w:styleId="393">
    <w:name w:val="xl36"/>
    <w:basedOn w:val="2"/>
    <w:next w:val="1"/>
    <w:autoRedefine/>
    <w:qFormat/>
    <w:uiPriority w:val="99"/>
    <w:pPr>
      <w:keepNext w:val="0"/>
      <w:keepLines w:val="0"/>
      <w:widowControl/>
      <w:pBdr>
        <w:bottom w:val="single" w:color="auto" w:sz="4" w:space="0"/>
        <w:right w:val="single" w:color="auto" w:sz="4" w:space="0"/>
      </w:pBdr>
      <w:spacing w:before="100" w:beforeAutospacing="1" w:after="100" w:afterAutospacing="1" w:line="500" w:lineRule="atLeast"/>
      <w:ind w:firstLine="425" w:firstLineChars="177"/>
      <w:outlineLvl w:val="9"/>
    </w:pPr>
    <w:rPr>
      <w:rFonts w:ascii="楷体_GB2312" w:hAnsi="Arial Unicode MS" w:eastAsia="楷体_GB2312"/>
      <w:bCs w:val="0"/>
      <w:kern w:val="0"/>
      <w:sz w:val="24"/>
      <w:szCs w:val="24"/>
    </w:rPr>
  </w:style>
  <w:style w:type="character" w:customStyle="1" w:styleId="394">
    <w:name w:val="正文(首行缩进)宋旭峰 Char Char"/>
    <w:link w:val="395"/>
    <w:autoRedefine/>
    <w:qFormat/>
    <w:locked/>
    <w:uiPriority w:val="0"/>
    <w:rPr>
      <w:snapToGrid w:val="0"/>
      <w:sz w:val="24"/>
      <w:szCs w:val="24"/>
    </w:rPr>
  </w:style>
  <w:style w:type="paragraph" w:customStyle="1" w:styleId="395">
    <w:name w:val="正文(首行缩进)宋旭峰"/>
    <w:basedOn w:val="5"/>
    <w:next w:val="1"/>
    <w:link w:val="394"/>
    <w:autoRedefine/>
    <w:qFormat/>
    <w:uiPriority w:val="0"/>
    <w:pPr>
      <w:adjustRightInd/>
      <w:spacing w:line="360" w:lineRule="auto"/>
      <w:ind w:firstLine="480" w:firstLineChars="177"/>
      <w:contextualSpacing/>
    </w:pPr>
    <w:rPr>
      <w:rFonts w:asciiTheme="minorHAnsi" w:eastAsiaTheme="minorEastAsia"/>
      <w:snapToGrid w:val="0"/>
      <w:sz w:val="24"/>
    </w:rPr>
  </w:style>
  <w:style w:type="paragraph" w:customStyle="1" w:styleId="396">
    <w:name w:val="标准"/>
    <w:basedOn w:val="2"/>
    <w:next w:val="1"/>
    <w:autoRedefine/>
    <w:qFormat/>
    <w:uiPriority w:val="99"/>
    <w:pPr>
      <w:keepLines w:val="0"/>
      <w:adjustRightInd w:val="0"/>
      <w:snapToGrid w:val="0"/>
      <w:spacing w:before="0" w:after="0" w:line="312" w:lineRule="atLeast"/>
      <w:ind w:firstLine="590" w:firstLineChars="177"/>
      <w:outlineLvl w:val="9"/>
    </w:pPr>
    <w:rPr>
      <w:bCs w:val="0"/>
      <w:kern w:val="0"/>
      <w:sz w:val="28"/>
      <w:szCs w:val="20"/>
    </w:rPr>
  </w:style>
  <w:style w:type="paragraph" w:customStyle="1" w:styleId="397">
    <w:name w:val="样式 正文文本缩进 + 行距: 固定值 24 磅"/>
    <w:basedOn w:val="21"/>
    <w:next w:val="1"/>
    <w:autoRedefine/>
    <w:qFormat/>
    <w:uiPriority w:val="99"/>
    <w:pPr>
      <w:adjustRightInd w:val="0"/>
      <w:snapToGrid w:val="0"/>
      <w:spacing w:line="360" w:lineRule="auto"/>
      <w:ind w:firstLine="560"/>
    </w:pPr>
    <w:rPr>
      <w:rFonts w:ascii="宋体" w:cs="宋体"/>
    </w:rPr>
  </w:style>
  <w:style w:type="paragraph" w:customStyle="1" w:styleId="398">
    <w:name w:val="表后空行"/>
    <w:basedOn w:val="2"/>
    <w:next w:val="1"/>
    <w:autoRedefine/>
    <w:qFormat/>
    <w:uiPriority w:val="99"/>
    <w:pPr>
      <w:keepNext w:val="0"/>
      <w:keepLines w:val="0"/>
      <w:overflowPunct w:val="0"/>
      <w:adjustRightInd w:val="0"/>
      <w:spacing w:before="0" w:after="0" w:line="500" w:lineRule="atLeast"/>
      <w:ind w:firstLine="425" w:firstLineChars="177"/>
      <w:outlineLvl w:val="9"/>
    </w:pPr>
    <w:rPr>
      <w:bCs w:val="0"/>
      <w:color w:val="000000"/>
      <w:kern w:val="28"/>
      <w:sz w:val="10"/>
      <w:szCs w:val="20"/>
    </w:rPr>
  </w:style>
  <w:style w:type="paragraph" w:customStyle="1" w:styleId="399">
    <w:name w:val="xl37"/>
    <w:basedOn w:val="2"/>
    <w:next w:val="1"/>
    <w:autoRedefine/>
    <w:qFormat/>
    <w:uiPriority w:val="99"/>
    <w:pPr>
      <w:keepNext w:val="0"/>
      <w:keepLines w:val="0"/>
      <w:widowControl/>
      <w:pBdr>
        <w:bottom w:val="single" w:color="auto" w:sz="8" w:space="0"/>
        <w:right w:val="single" w:color="auto" w:sz="8" w:space="0"/>
      </w:pBdr>
      <w:spacing w:before="100" w:beforeAutospacing="1" w:after="100" w:afterAutospacing="1" w:line="500" w:lineRule="atLeast"/>
      <w:ind w:firstLine="425" w:firstLineChars="177"/>
      <w:jc w:val="center"/>
      <w:outlineLvl w:val="9"/>
    </w:pPr>
    <w:rPr>
      <w:bCs w:val="0"/>
      <w:color w:val="000000"/>
      <w:kern w:val="0"/>
      <w:sz w:val="24"/>
      <w:szCs w:val="21"/>
    </w:rPr>
  </w:style>
  <w:style w:type="character" w:customStyle="1" w:styleId="400">
    <w:name w:val="正文样式10 Char"/>
    <w:link w:val="401"/>
    <w:autoRedefine/>
    <w:qFormat/>
    <w:locked/>
    <w:uiPriority w:val="0"/>
    <w:rPr>
      <w:rFonts w:ascii="宋体" w:hAnsi="宋体" w:eastAsia="宋体" w:cs="Arial"/>
      <w:bCs/>
      <w:color w:val="FF00FF"/>
      <w:sz w:val="24"/>
      <w:lang w:val="zh-CN"/>
    </w:rPr>
  </w:style>
  <w:style w:type="paragraph" w:customStyle="1" w:styleId="401">
    <w:name w:val="正文样式10"/>
    <w:basedOn w:val="2"/>
    <w:next w:val="1"/>
    <w:link w:val="400"/>
    <w:autoRedefine/>
    <w:qFormat/>
    <w:uiPriority w:val="0"/>
    <w:pPr>
      <w:keepNext w:val="0"/>
      <w:keepLines w:val="0"/>
      <w:spacing w:before="0" w:after="0" w:line="500" w:lineRule="exact"/>
      <w:ind w:firstLine="480" w:firstLineChars="200"/>
      <w:outlineLvl w:val="9"/>
    </w:pPr>
    <w:rPr>
      <w:rFonts w:ascii="宋体" w:hAnsi="宋体" w:cs="Arial"/>
      <w:color w:val="FF00FF"/>
      <w:kern w:val="2"/>
      <w:sz w:val="24"/>
      <w:szCs w:val="22"/>
      <w:lang w:val="zh-CN"/>
    </w:rPr>
  </w:style>
  <w:style w:type="paragraph" w:customStyle="1" w:styleId="402">
    <w:name w:val="15"/>
    <w:basedOn w:val="2"/>
    <w:next w:val="1"/>
    <w:autoRedefine/>
    <w:qFormat/>
    <w:uiPriority w:val="99"/>
    <w:pPr>
      <w:keepNext w:val="0"/>
      <w:keepLines w:val="0"/>
      <w:widowControl/>
      <w:snapToGrid w:val="0"/>
      <w:spacing w:before="100" w:beforeAutospacing="1" w:after="100" w:afterAutospacing="1" w:line="500" w:lineRule="atLeast"/>
      <w:ind w:firstLine="425" w:firstLineChars="177"/>
      <w:jc w:val="left"/>
      <w:outlineLvl w:val="9"/>
    </w:pPr>
    <w:rPr>
      <w:bCs w:val="0"/>
      <w:kern w:val="0"/>
      <w:sz w:val="20"/>
      <w:szCs w:val="20"/>
    </w:rPr>
  </w:style>
  <w:style w:type="paragraph" w:customStyle="1" w:styleId="403">
    <w:name w:val="标准正文"/>
    <w:basedOn w:val="2"/>
    <w:next w:val="1"/>
    <w:autoRedefine/>
    <w:qFormat/>
    <w:uiPriority w:val="99"/>
    <w:pPr>
      <w:keepNext w:val="0"/>
      <w:keepLines w:val="0"/>
      <w:spacing w:before="0" w:after="0" w:line="400" w:lineRule="exact"/>
      <w:ind w:firstLine="480" w:firstLineChars="177"/>
      <w:outlineLvl w:val="9"/>
    </w:pPr>
    <w:rPr>
      <w:bCs w:val="0"/>
      <w:kern w:val="2"/>
      <w:sz w:val="24"/>
      <w:szCs w:val="20"/>
    </w:rPr>
  </w:style>
  <w:style w:type="paragraph" w:customStyle="1" w:styleId="404">
    <w:name w:val="Char Char1 Char Char Char Char Char Char Char Char Char Char Char Char Char Char Char Char Char Char Char Char1 Char"/>
    <w:basedOn w:val="2"/>
    <w:next w:val="1"/>
    <w:autoRedefine/>
    <w:qFormat/>
    <w:uiPriority w:val="99"/>
    <w:pPr>
      <w:keepNext w:val="0"/>
      <w:keepLines w:val="0"/>
      <w:spacing w:before="0" w:after="0" w:line="360" w:lineRule="auto"/>
      <w:ind w:firstLine="200" w:firstLineChars="200"/>
      <w:outlineLvl w:val="9"/>
    </w:pPr>
    <w:rPr>
      <w:rFonts w:ascii="宋体" w:hAnsi="宋体" w:cs="宋体"/>
      <w:bCs w:val="0"/>
      <w:kern w:val="2"/>
      <w:sz w:val="24"/>
      <w:szCs w:val="24"/>
    </w:rPr>
  </w:style>
  <w:style w:type="paragraph" w:customStyle="1" w:styleId="405">
    <w:name w:val="样式 表格文字 + 首行缩进:  2 字符"/>
    <w:basedOn w:val="208"/>
    <w:next w:val="1"/>
    <w:autoRedefine/>
    <w:qFormat/>
    <w:uiPriority w:val="99"/>
    <w:pPr>
      <w:adjustRightInd w:val="0"/>
      <w:snapToGrid w:val="0"/>
    </w:pPr>
    <w:rPr>
      <w:rFonts w:hAnsi="MS Shell Dlg"/>
      <w:kern w:val="0"/>
      <w:szCs w:val="20"/>
    </w:rPr>
  </w:style>
  <w:style w:type="paragraph" w:customStyle="1" w:styleId="406">
    <w:name w:val="xl29"/>
    <w:basedOn w:val="2"/>
    <w:next w:val="1"/>
    <w:autoRedefine/>
    <w:qFormat/>
    <w:uiPriority w:val="99"/>
    <w:pPr>
      <w:keepNext w:val="0"/>
      <w:keepLines w:val="0"/>
      <w:widowControl/>
      <w:pBdr>
        <w:left w:val="single" w:color="auto" w:sz="4" w:space="0"/>
        <w:bottom w:val="single" w:color="auto" w:sz="4" w:space="0"/>
      </w:pBdr>
      <w:spacing w:before="100" w:beforeAutospacing="1" w:after="100" w:afterAutospacing="1" w:line="500" w:lineRule="atLeast"/>
      <w:ind w:firstLine="425" w:firstLineChars="177"/>
      <w:jc w:val="center"/>
      <w:outlineLvl w:val="9"/>
    </w:pPr>
    <w:rPr>
      <w:rFonts w:ascii="宋体" w:hAnsi="宋体"/>
      <w:bCs w:val="0"/>
      <w:kern w:val="0"/>
      <w:sz w:val="24"/>
      <w:szCs w:val="24"/>
    </w:rPr>
  </w:style>
  <w:style w:type="paragraph" w:customStyle="1" w:styleId="407">
    <w:name w:val="xl22"/>
    <w:basedOn w:val="2"/>
    <w:next w:val="1"/>
    <w:autoRedefine/>
    <w:qFormat/>
    <w:uiPriority w:val="99"/>
    <w:pPr>
      <w:keepNext w:val="0"/>
      <w:keepLines w:val="0"/>
      <w:widowControl/>
      <w:pBdr>
        <w:top w:val="single" w:color="auto" w:sz="4" w:space="0"/>
        <w:left w:val="single" w:color="auto" w:sz="4" w:space="0"/>
        <w:bottom w:val="single" w:color="auto" w:sz="4" w:space="0"/>
        <w:right w:val="single" w:color="auto" w:sz="4" w:space="0"/>
      </w:pBdr>
      <w:spacing w:before="100" w:beforeAutospacing="1" w:after="100" w:afterAutospacing="1" w:line="500" w:lineRule="atLeast"/>
      <w:ind w:firstLine="425" w:firstLineChars="177"/>
      <w:jc w:val="left"/>
      <w:outlineLvl w:val="9"/>
    </w:pPr>
    <w:rPr>
      <w:rFonts w:ascii="宋体" w:hAnsi="宋体" w:cs="宋体"/>
      <w:bCs w:val="0"/>
      <w:kern w:val="0"/>
      <w:sz w:val="24"/>
      <w:szCs w:val="24"/>
    </w:rPr>
  </w:style>
  <w:style w:type="paragraph" w:customStyle="1" w:styleId="408">
    <w:name w:val="xl55"/>
    <w:basedOn w:val="2"/>
    <w:next w:val="1"/>
    <w:autoRedefine/>
    <w:qFormat/>
    <w:uiPriority w:val="99"/>
    <w:pPr>
      <w:keepNext w:val="0"/>
      <w:keepLines w:val="0"/>
      <w:widowControl/>
      <w:pBdr>
        <w:left w:val="single" w:color="auto" w:sz="12" w:space="0"/>
        <w:bottom w:val="single" w:color="auto" w:sz="8" w:space="0"/>
        <w:right w:val="single" w:color="auto" w:sz="8" w:space="0"/>
      </w:pBdr>
      <w:spacing w:before="100" w:beforeAutospacing="1" w:after="100" w:afterAutospacing="1" w:line="500" w:lineRule="atLeast"/>
      <w:ind w:firstLine="425" w:firstLineChars="177"/>
      <w:jc w:val="center"/>
      <w:outlineLvl w:val="9"/>
    </w:pPr>
    <w:rPr>
      <w:rFonts w:ascii="宋体" w:hAnsi="宋体" w:cs="宋体"/>
      <w:bCs w:val="0"/>
      <w:color w:val="000000"/>
      <w:kern w:val="0"/>
      <w:sz w:val="24"/>
      <w:szCs w:val="21"/>
    </w:rPr>
  </w:style>
  <w:style w:type="paragraph" w:customStyle="1" w:styleId="409">
    <w:name w:val="xl53"/>
    <w:basedOn w:val="2"/>
    <w:next w:val="1"/>
    <w:autoRedefine/>
    <w:qFormat/>
    <w:uiPriority w:val="99"/>
    <w:pPr>
      <w:keepNext w:val="0"/>
      <w:keepLines w:val="0"/>
      <w:widowControl/>
      <w:pBdr>
        <w:left w:val="single" w:color="auto" w:sz="8" w:space="0"/>
        <w:bottom w:val="single" w:color="auto" w:sz="8" w:space="0"/>
        <w:right w:val="single" w:color="auto" w:sz="12" w:space="0"/>
      </w:pBdr>
      <w:spacing w:before="100" w:beforeAutospacing="1" w:after="100" w:afterAutospacing="1" w:line="500" w:lineRule="atLeast"/>
      <w:ind w:firstLine="425" w:firstLineChars="177"/>
      <w:jc w:val="center"/>
      <w:outlineLvl w:val="9"/>
    </w:pPr>
    <w:rPr>
      <w:rFonts w:ascii="宋体" w:hAnsi="宋体" w:cs="宋体"/>
      <w:bCs w:val="0"/>
      <w:color w:val="000000"/>
      <w:kern w:val="0"/>
      <w:sz w:val="24"/>
      <w:szCs w:val="21"/>
    </w:rPr>
  </w:style>
  <w:style w:type="paragraph" w:customStyle="1" w:styleId="410">
    <w:name w:val="正文段落"/>
    <w:next w:val="1"/>
    <w:autoRedefine/>
    <w:qFormat/>
    <w:uiPriority w:val="99"/>
    <w:pPr>
      <w:spacing w:beforeLines="50" w:line="240" w:lineRule="auto"/>
      <w:ind w:firstLine="505" w:firstLineChars="200"/>
      <w:jc w:val="left"/>
    </w:pPr>
    <w:rPr>
      <w:rFonts w:ascii="Times New Roman" w:hAnsi="Times New Roman" w:eastAsia="宋体" w:cs="Times New Roman"/>
      <w:kern w:val="2"/>
      <w:sz w:val="24"/>
      <w:szCs w:val="20"/>
      <w:lang w:val="en-US" w:eastAsia="zh-CN" w:bidi="ar-SA"/>
    </w:rPr>
  </w:style>
  <w:style w:type="paragraph" w:customStyle="1" w:styleId="411">
    <w:name w:val="textstyle1"/>
    <w:basedOn w:val="2"/>
    <w:next w:val="1"/>
    <w:autoRedefine/>
    <w:qFormat/>
    <w:uiPriority w:val="99"/>
    <w:pPr>
      <w:keepNext w:val="0"/>
      <w:keepLines w:val="0"/>
      <w:widowControl/>
      <w:numPr>
        <w:ilvl w:val="0"/>
        <w:numId w:val="4"/>
      </w:numPr>
      <w:overflowPunct w:val="0"/>
      <w:autoSpaceDE w:val="0"/>
      <w:autoSpaceDN w:val="0"/>
      <w:adjustRightInd w:val="0"/>
      <w:spacing w:before="120" w:after="0" w:line="500" w:lineRule="atLeast"/>
      <w:ind w:left="288" w:firstLine="432" w:firstLineChars="177"/>
      <w:outlineLvl w:val="9"/>
    </w:pPr>
    <w:rPr>
      <w:rFonts w:ascii="楷体" w:eastAsia="楷体"/>
      <w:bCs w:val="0"/>
      <w:kern w:val="0"/>
      <w:sz w:val="24"/>
      <w:szCs w:val="20"/>
    </w:rPr>
  </w:style>
  <w:style w:type="paragraph" w:customStyle="1" w:styleId="412">
    <w:name w:val="正文文本 31"/>
    <w:basedOn w:val="2"/>
    <w:next w:val="1"/>
    <w:autoRedefine/>
    <w:qFormat/>
    <w:uiPriority w:val="99"/>
    <w:pPr>
      <w:keepNext w:val="0"/>
      <w:keepLines w:val="0"/>
      <w:adjustRightInd w:val="0"/>
      <w:spacing w:before="0" w:after="0" w:line="360" w:lineRule="atLeast"/>
      <w:ind w:firstLine="425" w:firstLineChars="177"/>
      <w:jc w:val="center"/>
      <w:outlineLvl w:val="9"/>
    </w:pPr>
    <w:rPr>
      <w:rFonts w:ascii="仿宋体" w:hAnsi="宋体" w:eastAsia="仿宋体"/>
      <w:bCs w:val="0"/>
      <w:kern w:val="0"/>
      <w:sz w:val="24"/>
      <w:szCs w:val="20"/>
    </w:rPr>
  </w:style>
  <w:style w:type="paragraph" w:customStyle="1" w:styleId="413">
    <w:name w:val="样式 Char"/>
    <w:basedOn w:val="2"/>
    <w:next w:val="1"/>
    <w:autoRedefine/>
    <w:qFormat/>
    <w:uiPriority w:val="99"/>
    <w:pPr>
      <w:keepNext w:val="0"/>
      <w:keepLines w:val="0"/>
      <w:spacing w:before="0" w:after="0" w:line="500" w:lineRule="atLeast"/>
      <w:ind w:firstLine="425" w:firstLineChars="177"/>
      <w:outlineLvl w:val="9"/>
    </w:pPr>
    <w:rPr>
      <w:bCs w:val="0"/>
      <w:kern w:val="2"/>
      <w:sz w:val="24"/>
      <w:szCs w:val="21"/>
    </w:rPr>
  </w:style>
  <w:style w:type="paragraph" w:customStyle="1" w:styleId="414">
    <w:name w:val="xl52"/>
    <w:basedOn w:val="2"/>
    <w:next w:val="1"/>
    <w:autoRedefine/>
    <w:qFormat/>
    <w:uiPriority w:val="99"/>
    <w:pPr>
      <w:keepNext w:val="0"/>
      <w:keepLines w:val="0"/>
      <w:widowControl/>
      <w:pBdr>
        <w:top w:val="single" w:color="auto" w:sz="12" w:space="0"/>
        <w:left w:val="single" w:color="auto" w:sz="8" w:space="0"/>
        <w:right w:val="single" w:color="auto" w:sz="12" w:space="0"/>
      </w:pBdr>
      <w:spacing w:before="100" w:beforeAutospacing="1" w:after="100" w:afterAutospacing="1" w:line="500" w:lineRule="atLeast"/>
      <w:ind w:firstLine="425" w:firstLineChars="177"/>
      <w:jc w:val="center"/>
      <w:outlineLvl w:val="9"/>
    </w:pPr>
    <w:rPr>
      <w:rFonts w:ascii="宋体" w:hAnsi="宋体" w:cs="宋体"/>
      <w:bCs w:val="0"/>
      <w:color w:val="000000"/>
      <w:kern w:val="0"/>
      <w:sz w:val="24"/>
      <w:szCs w:val="21"/>
    </w:rPr>
  </w:style>
  <w:style w:type="paragraph" w:customStyle="1" w:styleId="415">
    <w:name w:val="表格1"/>
    <w:basedOn w:val="2"/>
    <w:next w:val="1"/>
    <w:autoRedefine/>
    <w:qFormat/>
    <w:uiPriority w:val="99"/>
    <w:pPr>
      <w:keepNext w:val="0"/>
      <w:keepLines w:val="0"/>
      <w:adjustRightInd w:val="0"/>
      <w:spacing w:before="0" w:after="120" w:line="20" w:lineRule="atLeast"/>
      <w:ind w:firstLine="425" w:firstLineChars="177"/>
      <w:jc w:val="center"/>
      <w:outlineLvl w:val="9"/>
    </w:pPr>
    <w:rPr>
      <w:rFonts w:ascii="仿宋体"/>
      <w:bCs w:val="0"/>
      <w:color w:val="000000"/>
      <w:kern w:val="0"/>
      <w:sz w:val="24"/>
      <w:szCs w:val="20"/>
    </w:rPr>
  </w:style>
  <w:style w:type="paragraph" w:customStyle="1" w:styleId="416">
    <w:name w:val="xl47"/>
    <w:basedOn w:val="2"/>
    <w:next w:val="1"/>
    <w:autoRedefine/>
    <w:qFormat/>
    <w:uiPriority w:val="99"/>
    <w:pPr>
      <w:keepNext w:val="0"/>
      <w:keepLines w:val="0"/>
      <w:widowControl/>
      <w:pBdr>
        <w:top w:val="single" w:color="auto" w:sz="8" w:space="0"/>
        <w:left w:val="single" w:color="auto" w:sz="12" w:space="0"/>
        <w:right w:val="single" w:color="auto" w:sz="8" w:space="0"/>
      </w:pBdr>
      <w:spacing w:before="100" w:beforeAutospacing="1" w:after="100" w:afterAutospacing="1" w:line="500" w:lineRule="atLeast"/>
      <w:ind w:firstLine="425" w:firstLineChars="177"/>
      <w:jc w:val="center"/>
      <w:outlineLvl w:val="9"/>
    </w:pPr>
    <w:rPr>
      <w:bCs w:val="0"/>
      <w:color w:val="000000"/>
      <w:kern w:val="0"/>
      <w:sz w:val="24"/>
      <w:szCs w:val="21"/>
    </w:rPr>
  </w:style>
  <w:style w:type="paragraph" w:customStyle="1" w:styleId="417">
    <w:name w:val="列出段落1"/>
    <w:basedOn w:val="2"/>
    <w:next w:val="1"/>
    <w:autoRedefine/>
    <w:qFormat/>
    <w:uiPriority w:val="99"/>
    <w:pPr>
      <w:keepNext w:val="0"/>
      <w:keepLines w:val="0"/>
      <w:widowControl/>
      <w:spacing w:before="0" w:after="0" w:line="500" w:lineRule="atLeast"/>
      <w:ind w:firstLine="420" w:firstLineChars="200"/>
      <w:jc w:val="left"/>
      <w:outlineLvl w:val="9"/>
    </w:pPr>
    <w:rPr>
      <w:bCs w:val="0"/>
      <w:kern w:val="0"/>
      <w:sz w:val="24"/>
      <w:szCs w:val="24"/>
    </w:rPr>
  </w:style>
  <w:style w:type="paragraph" w:customStyle="1" w:styleId="418">
    <w:name w:val="xl33"/>
    <w:basedOn w:val="2"/>
    <w:next w:val="1"/>
    <w:autoRedefine/>
    <w:qFormat/>
    <w:uiPriority w:val="99"/>
    <w:pPr>
      <w:keepNext w:val="0"/>
      <w:keepLines w:val="0"/>
      <w:widowControl/>
      <w:pBdr>
        <w:left w:val="single" w:color="auto" w:sz="12" w:space="0"/>
        <w:right w:val="single" w:color="auto" w:sz="8" w:space="0"/>
      </w:pBdr>
      <w:spacing w:before="100" w:beforeAutospacing="1" w:after="100" w:afterAutospacing="1" w:line="500" w:lineRule="atLeast"/>
      <w:ind w:firstLine="425" w:firstLineChars="177"/>
      <w:jc w:val="center"/>
      <w:outlineLvl w:val="9"/>
    </w:pPr>
    <w:rPr>
      <w:bCs w:val="0"/>
      <w:color w:val="000000"/>
      <w:kern w:val="0"/>
      <w:sz w:val="24"/>
      <w:szCs w:val="21"/>
    </w:rPr>
  </w:style>
  <w:style w:type="paragraph" w:customStyle="1" w:styleId="419">
    <w:name w:val="样式 标题 1 + 自动设置"/>
    <w:basedOn w:val="2"/>
    <w:next w:val="1"/>
    <w:autoRedefine/>
    <w:qFormat/>
    <w:uiPriority w:val="99"/>
    <w:pPr>
      <w:tabs>
        <w:tab w:val="left" w:pos="432"/>
        <w:tab w:val="left" w:pos="700"/>
        <w:tab w:val="left" w:pos="1860"/>
      </w:tabs>
      <w:autoSpaceDE w:val="0"/>
      <w:autoSpaceDN w:val="0"/>
      <w:adjustRightInd w:val="0"/>
      <w:spacing w:before="0" w:after="0" w:line="240" w:lineRule="auto"/>
      <w:ind w:left="1860" w:hanging="1290" w:firstLineChars="177"/>
      <w:jc w:val="left"/>
    </w:pPr>
    <w:rPr>
      <w:sz w:val="28"/>
      <w:szCs w:val="20"/>
    </w:rPr>
  </w:style>
  <w:style w:type="paragraph" w:customStyle="1" w:styleId="420">
    <w:name w:val="页脚1"/>
    <w:basedOn w:val="148"/>
    <w:next w:val="1"/>
    <w:autoRedefine/>
    <w:qFormat/>
    <w:uiPriority w:val="99"/>
    <w:pPr>
      <w:tabs>
        <w:tab w:val="center" w:pos="4153"/>
        <w:tab w:val="right" w:pos="8306"/>
      </w:tabs>
      <w:spacing w:line="240" w:lineRule="atLeast"/>
    </w:pPr>
    <w:rPr>
      <w:rFonts w:hAnsi="Calibri"/>
      <w:sz w:val="18"/>
      <w:szCs w:val="20"/>
    </w:rPr>
  </w:style>
  <w:style w:type="paragraph" w:customStyle="1" w:styleId="421">
    <w:name w:val="样式 样式 首行缩进:  2 字符 + 首行缩进:  2 字符"/>
    <w:basedOn w:val="2"/>
    <w:next w:val="1"/>
    <w:autoRedefine/>
    <w:qFormat/>
    <w:uiPriority w:val="99"/>
    <w:pPr>
      <w:keepNext w:val="0"/>
      <w:keepLines w:val="0"/>
      <w:spacing w:before="0" w:after="0" w:line="500" w:lineRule="atLeast"/>
      <w:ind w:firstLine="587" w:firstLineChars="200"/>
      <w:outlineLvl w:val="9"/>
    </w:pPr>
    <w:rPr>
      <w:rFonts w:ascii="宋体"/>
      <w:bCs w:val="0"/>
      <w:kern w:val="2"/>
      <w:sz w:val="27"/>
      <w:szCs w:val="27"/>
    </w:rPr>
  </w:style>
  <w:style w:type="paragraph" w:customStyle="1" w:styleId="422">
    <w:name w:val="xl44"/>
    <w:basedOn w:val="2"/>
    <w:next w:val="1"/>
    <w:autoRedefine/>
    <w:qFormat/>
    <w:uiPriority w:val="99"/>
    <w:pPr>
      <w:keepNext w:val="0"/>
      <w:keepLines w:val="0"/>
      <w:widowControl/>
      <w:pBdr>
        <w:left w:val="single" w:color="auto" w:sz="8" w:space="0"/>
        <w:bottom w:val="single" w:color="auto" w:sz="8" w:space="0"/>
        <w:right w:val="single" w:color="auto" w:sz="8" w:space="0"/>
      </w:pBdr>
      <w:spacing w:before="100" w:beforeAutospacing="1" w:after="100" w:afterAutospacing="1" w:line="500" w:lineRule="atLeast"/>
      <w:ind w:firstLine="425" w:firstLineChars="177"/>
      <w:jc w:val="center"/>
      <w:outlineLvl w:val="9"/>
    </w:pPr>
    <w:rPr>
      <w:bCs w:val="0"/>
      <w:color w:val="000000"/>
      <w:kern w:val="0"/>
      <w:sz w:val="24"/>
      <w:szCs w:val="21"/>
    </w:rPr>
  </w:style>
  <w:style w:type="paragraph" w:customStyle="1" w:styleId="423">
    <w:name w:val="正文王"/>
    <w:basedOn w:val="25"/>
    <w:next w:val="1"/>
    <w:autoRedefine/>
    <w:qFormat/>
    <w:uiPriority w:val="99"/>
    <w:pPr>
      <w:spacing w:line="440" w:lineRule="exact"/>
      <w:ind w:firstLine="425" w:firstLineChars="177"/>
    </w:pPr>
    <w:rPr>
      <w:rFonts w:ascii="Arial" w:hAnsi="Arial" w:cs="Times New Roman"/>
      <w:kern w:val="0"/>
      <w:sz w:val="24"/>
      <w:szCs w:val="24"/>
    </w:rPr>
  </w:style>
  <w:style w:type="paragraph" w:customStyle="1" w:styleId="424">
    <w:name w:val="表文左对齐"/>
    <w:basedOn w:val="306"/>
    <w:next w:val="1"/>
    <w:autoRedefine/>
    <w:qFormat/>
    <w:uiPriority w:val="99"/>
    <w:pPr>
      <w:spacing w:line="320" w:lineRule="exact"/>
      <w:ind w:firstLine="420"/>
      <w:jc w:val="left"/>
    </w:pPr>
    <w:rPr>
      <w:color w:val="000000"/>
      <w:szCs w:val="20"/>
    </w:rPr>
  </w:style>
  <w:style w:type="paragraph" w:customStyle="1" w:styleId="425">
    <w:name w:val="默认段落字体 Para Char"/>
    <w:basedOn w:val="2"/>
    <w:next w:val="1"/>
    <w:autoRedefine/>
    <w:qFormat/>
    <w:uiPriority w:val="99"/>
    <w:pPr>
      <w:keepNext w:val="0"/>
      <w:keepLines w:val="0"/>
      <w:spacing w:before="0" w:after="0" w:line="500" w:lineRule="atLeast"/>
      <w:ind w:firstLine="425" w:firstLineChars="177"/>
      <w:outlineLvl w:val="9"/>
    </w:pPr>
    <w:rPr>
      <w:rFonts w:ascii="宋体"/>
      <w:bCs w:val="0"/>
      <w:kern w:val="2"/>
      <w:sz w:val="28"/>
      <w:szCs w:val="24"/>
    </w:rPr>
  </w:style>
  <w:style w:type="paragraph" w:customStyle="1" w:styleId="426">
    <w:name w:val="xl30"/>
    <w:basedOn w:val="2"/>
    <w:next w:val="1"/>
    <w:autoRedefine/>
    <w:qFormat/>
    <w:uiPriority w:val="99"/>
    <w:pPr>
      <w:keepNext w:val="0"/>
      <w:keepLines w:val="0"/>
      <w:widowControl/>
      <w:pBdr>
        <w:left w:val="single" w:color="auto" w:sz="8" w:space="0"/>
        <w:bottom w:val="single" w:color="auto" w:sz="8" w:space="0"/>
        <w:right w:val="single" w:color="auto" w:sz="8" w:space="0"/>
      </w:pBdr>
      <w:spacing w:before="100" w:beforeAutospacing="1" w:after="100" w:afterAutospacing="1" w:line="500" w:lineRule="atLeast"/>
      <w:ind w:firstLine="425" w:firstLineChars="177"/>
      <w:jc w:val="center"/>
      <w:outlineLvl w:val="9"/>
    </w:pPr>
    <w:rPr>
      <w:rFonts w:ascii="宋体" w:hAnsi="宋体"/>
      <w:bCs w:val="0"/>
      <w:kern w:val="0"/>
      <w:sz w:val="24"/>
      <w:szCs w:val="21"/>
    </w:rPr>
  </w:style>
  <w:style w:type="paragraph" w:customStyle="1" w:styleId="427">
    <w:name w:val="段落"/>
    <w:basedOn w:val="2"/>
    <w:next w:val="1"/>
    <w:autoRedefine/>
    <w:qFormat/>
    <w:uiPriority w:val="99"/>
    <w:pPr>
      <w:keepNext w:val="0"/>
      <w:keepLines w:val="0"/>
      <w:adjustRightInd w:val="0"/>
      <w:snapToGrid w:val="0"/>
      <w:spacing w:before="0" w:after="0" w:line="280" w:lineRule="exact"/>
      <w:ind w:firstLine="425" w:firstLineChars="177"/>
      <w:outlineLvl w:val="9"/>
    </w:pPr>
    <w:rPr>
      <w:bCs w:val="0"/>
      <w:kern w:val="0"/>
      <w:sz w:val="18"/>
      <w:szCs w:val="20"/>
    </w:rPr>
  </w:style>
  <w:style w:type="paragraph" w:customStyle="1" w:styleId="428">
    <w:name w:val="样式 样式1 + 两端对齐 左侧:  0 厘米 首行缩进:  0 厘米"/>
    <w:basedOn w:val="2"/>
    <w:next w:val="1"/>
    <w:autoRedefine/>
    <w:qFormat/>
    <w:uiPriority w:val="99"/>
    <w:pPr>
      <w:pageBreakBefore/>
      <w:spacing w:before="240" w:after="120" w:line="500" w:lineRule="atLeast"/>
      <w:ind w:firstLine="425" w:firstLineChars="177"/>
      <w:jc w:val="center"/>
    </w:pPr>
    <w:rPr>
      <w:rFonts w:eastAsia="黑体" w:cs="宋体"/>
      <w:bCs w:val="0"/>
      <w:kern w:val="2"/>
      <w:sz w:val="36"/>
      <w:szCs w:val="24"/>
    </w:rPr>
  </w:style>
  <w:style w:type="character" w:customStyle="1" w:styleId="429">
    <w:name w:val="正文样式1 Char"/>
    <w:link w:val="430"/>
    <w:autoRedefine/>
    <w:qFormat/>
    <w:locked/>
    <w:uiPriority w:val="0"/>
    <w:rPr>
      <w:rFonts w:ascii="宋体" w:hAnsi="宋体" w:eastAsia="宋体"/>
      <w:sz w:val="24"/>
    </w:rPr>
  </w:style>
  <w:style w:type="paragraph" w:customStyle="1" w:styleId="430">
    <w:name w:val="正文样式1"/>
    <w:basedOn w:val="2"/>
    <w:next w:val="1"/>
    <w:link w:val="429"/>
    <w:autoRedefine/>
    <w:qFormat/>
    <w:uiPriority w:val="0"/>
    <w:pPr>
      <w:keepNext w:val="0"/>
      <w:keepLines w:val="0"/>
      <w:adjustRightInd w:val="0"/>
      <w:spacing w:before="0" w:after="0" w:line="240" w:lineRule="auto"/>
      <w:jc w:val="center"/>
      <w:outlineLvl w:val="9"/>
    </w:pPr>
    <w:rPr>
      <w:rFonts w:ascii="宋体" w:hAnsi="宋体" w:cstheme="minorBidi"/>
      <w:bCs w:val="0"/>
      <w:kern w:val="2"/>
      <w:sz w:val="24"/>
      <w:szCs w:val="22"/>
    </w:rPr>
  </w:style>
  <w:style w:type="paragraph" w:customStyle="1" w:styleId="431">
    <w:name w:val="8"/>
    <w:basedOn w:val="2"/>
    <w:next w:val="21"/>
    <w:autoRedefine/>
    <w:qFormat/>
    <w:uiPriority w:val="99"/>
    <w:pPr>
      <w:keepNext w:val="0"/>
      <w:keepLines w:val="0"/>
      <w:spacing w:before="0" w:after="0" w:line="400" w:lineRule="exact"/>
      <w:ind w:firstLine="516" w:firstLineChars="215"/>
      <w:outlineLvl w:val="9"/>
    </w:pPr>
    <w:rPr>
      <w:bCs w:val="0"/>
      <w:kern w:val="2"/>
      <w:sz w:val="24"/>
      <w:szCs w:val="24"/>
    </w:rPr>
  </w:style>
  <w:style w:type="character" w:customStyle="1" w:styleId="432">
    <w:name w:val="cucd-1 Char"/>
    <w:link w:val="433"/>
    <w:autoRedefine/>
    <w:qFormat/>
    <w:locked/>
    <w:uiPriority w:val="0"/>
    <w:rPr>
      <w:rFonts w:ascii="黑体" w:hAnsi="黑体" w:eastAsia="黑体"/>
      <w:b/>
      <w:sz w:val="36"/>
      <w:szCs w:val="24"/>
    </w:rPr>
  </w:style>
  <w:style w:type="paragraph" w:customStyle="1" w:styleId="433">
    <w:name w:val="cucd-1"/>
    <w:next w:val="346"/>
    <w:link w:val="432"/>
    <w:autoRedefine/>
    <w:qFormat/>
    <w:uiPriority w:val="0"/>
    <w:pPr>
      <w:pageBreakBefore/>
      <w:tabs>
        <w:tab w:val="left" w:pos="432"/>
      </w:tabs>
      <w:spacing w:beforeLines="100" w:line="360" w:lineRule="auto"/>
      <w:ind w:left="432" w:hanging="432"/>
      <w:jc w:val="center"/>
      <w:outlineLvl w:val="0"/>
    </w:pPr>
    <w:rPr>
      <w:rFonts w:ascii="黑体" w:hAnsi="黑体" w:eastAsia="黑体" w:cstheme="minorBidi"/>
      <w:b/>
      <w:kern w:val="2"/>
      <w:sz w:val="36"/>
      <w:szCs w:val="24"/>
      <w:lang w:val="en-US" w:eastAsia="zh-CN" w:bidi="ar-SA"/>
    </w:rPr>
  </w:style>
  <w:style w:type="paragraph" w:customStyle="1" w:styleId="434">
    <w:name w:val="Char Char Char Char Char Char1 Char Char Char Char"/>
    <w:basedOn w:val="2"/>
    <w:next w:val="1"/>
    <w:autoRedefine/>
    <w:qFormat/>
    <w:uiPriority w:val="99"/>
    <w:pPr>
      <w:keepNext w:val="0"/>
      <w:keepLines w:val="0"/>
      <w:spacing w:before="0" w:after="0" w:line="500" w:lineRule="atLeast"/>
      <w:ind w:firstLine="425" w:firstLineChars="177"/>
      <w:outlineLvl w:val="9"/>
    </w:pPr>
    <w:rPr>
      <w:bCs w:val="0"/>
      <w:kern w:val="2"/>
      <w:sz w:val="24"/>
      <w:szCs w:val="24"/>
    </w:rPr>
  </w:style>
  <w:style w:type="paragraph" w:customStyle="1" w:styleId="435">
    <w:name w:val="表内"/>
    <w:basedOn w:val="2"/>
    <w:next w:val="1"/>
    <w:autoRedefine/>
    <w:qFormat/>
    <w:uiPriority w:val="99"/>
    <w:pPr>
      <w:keepNext w:val="0"/>
      <w:keepLines w:val="0"/>
      <w:adjustRightInd w:val="0"/>
      <w:spacing w:before="0" w:after="0" w:line="500" w:lineRule="atLeast"/>
      <w:ind w:left="-78" w:leftChars="-38" w:hanging="2" w:hangingChars="1"/>
      <w:jc w:val="center"/>
      <w:outlineLvl w:val="9"/>
    </w:pPr>
    <w:rPr>
      <w:rFonts w:ascii="宋体" w:hAnsi="宋体"/>
      <w:bCs w:val="0"/>
      <w:color w:val="FF0000"/>
      <w:kern w:val="2"/>
      <w:sz w:val="24"/>
      <w:szCs w:val="20"/>
    </w:rPr>
  </w:style>
  <w:style w:type="paragraph" w:customStyle="1" w:styleId="436">
    <w:name w:val="a9cxsplast"/>
    <w:basedOn w:val="2"/>
    <w:next w:val="1"/>
    <w:autoRedefine/>
    <w:qFormat/>
    <w:uiPriority w:val="99"/>
    <w:pPr>
      <w:keepNext w:val="0"/>
      <w:keepLines w:val="0"/>
      <w:widowControl/>
      <w:snapToGrid w:val="0"/>
      <w:spacing w:before="0" w:after="120" w:line="360" w:lineRule="auto"/>
      <w:ind w:firstLine="480" w:firstLineChars="177"/>
      <w:outlineLvl w:val="9"/>
    </w:pPr>
    <w:rPr>
      <w:bCs w:val="0"/>
      <w:kern w:val="0"/>
      <w:sz w:val="24"/>
      <w:szCs w:val="24"/>
    </w:rPr>
  </w:style>
  <w:style w:type="paragraph" w:customStyle="1" w:styleId="437">
    <w:name w:val="Char2 Char Char Char Char Char Char"/>
    <w:basedOn w:val="2"/>
    <w:next w:val="1"/>
    <w:autoRedefine/>
    <w:qFormat/>
    <w:uiPriority w:val="99"/>
    <w:pPr>
      <w:keepNext w:val="0"/>
      <w:keepLines w:val="0"/>
      <w:spacing w:before="0" w:after="0" w:line="360" w:lineRule="auto"/>
      <w:ind w:firstLine="200" w:firstLineChars="200"/>
      <w:outlineLvl w:val="9"/>
    </w:pPr>
    <w:rPr>
      <w:rFonts w:ascii="宋体" w:hAnsi="宋体" w:cs="宋体"/>
      <w:bCs w:val="0"/>
      <w:kern w:val="2"/>
      <w:sz w:val="24"/>
      <w:szCs w:val="24"/>
    </w:rPr>
  </w:style>
  <w:style w:type="paragraph" w:customStyle="1" w:styleId="438">
    <w:name w:val="y表格"/>
    <w:basedOn w:val="18"/>
    <w:next w:val="1"/>
    <w:autoRedefine/>
    <w:qFormat/>
    <w:uiPriority w:val="99"/>
    <w:pPr>
      <w:widowControl/>
      <w:adjustRightInd w:val="0"/>
      <w:snapToGrid w:val="0"/>
      <w:spacing w:after="0"/>
      <w:ind w:firstLine="425" w:firstLineChars="177"/>
      <w:jc w:val="center"/>
    </w:pPr>
    <w:rPr>
      <w:rFonts w:hint="eastAsia" w:ascii="宋体" w:hAnsi="宋体" w:cstheme="minorBidi"/>
      <w:sz w:val="24"/>
      <w:szCs w:val="20"/>
    </w:rPr>
  </w:style>
  <w:style w:type="paragraph" w:customStyle="1" w:styleId="439">
    <w:name w:val="表格文字（居中）"/>
    <w:basedOn w:val="2"/>
    <w:next w:val="1"/>
    <w:autoRedefine/>
    <w:qFormat/>
    <w:uiPriority w:val="99"/>
    <w:pPr>
      <w:keepNext w:val="0"/>
      <w:keepLines w:val="0"/>
      <w:spacing w:before="0" w:after="0" w:line="500" w:lineRule="atLeast"/>
      <w:ind w:firstLine="425" w:firstLineChars="177"/>
      <w:jc w:val="center"/>
      <w:outlineLvl w:val="9"/>
    </w:pPr>
    <w:rPr>
      <w:bCs w:val="0"/>
      <w:kern w:val="2"/>
      <w:sz w:val="24"/>
      <w:szCs w:val="21"/>
    </w:rPr>
  </w:style>
  <w:style w:type="paragraph" w:customStyle="1" w:styleId="440">
    <w:name w:val="样式 标题 3头 + 行距: 多倍行距 0.25 字行"/>
    <w:basedOn w:val="4"/>
    <w:next w:val="1"/>
    <w:autoRedefine/>
    <w:qFormat/>
    <w:uiPriority w:val="99"/>
    <w:pPr>
      <w:numPr>
        <w:ilvl w:val="0"/>
        <w:numId w:val="5"/>
      </w:numPr>
      <w:tabs>
        <w:tab w:val="left" w:pos="578"/>
        <w:tab w:val="clear" w:pos="360"/>
      </w:tabs>
      <w:spacing w:before="60" w:after="0" w:line="60" w:lineRule="auto"/>
      <w:ind w:left="578" w:hanging="578"/>
    </w:pPr>
    <w:rPr>
      <w:rFonts w:ascii="Times New Roman" w:hAnsi="Times New Roman" w:cs="黑体"/>
      <w:bCs/>
      <w:kern w:val="0"/>
      <w:sz w:val="28"/>
      <w:szCs w:val="28"/>
    </w:rPr>
  </w:style>
  <w:style w:type="paragraph" w:customStyle="1" w:styleId="441">
    <w:name w:val="Char Char Char Char Char Char Char Char1 Char Char Char Char Char Char Char"/>
    <w:basedOn w:val="2"/>
    <w:next w:val="1"/>
    <w:autoRedefine/>
    <w:qFormat/>
    <w:uiPriority w:val="99"/>
    <w:pPr>
      <w:keepNext w:val="0"/>
      <w:keepLines w:val="0"/>
      <w:snapToGrid w:val="0"/>
      <w:spacing w:before="0" w:after="0" w:line="360" w:lineRule="auto"/>
      <w:ind w:firstLine="200" w:firstLineChars="200"/>
      <w:outlineLvl w:val="9"/>
    </w:pPr>
    <w:rPr>
      <w:rFonts w:eastAsia="仿宋_GB2312"/>
      <w:bCs w:val="0"/>
      <w:kern w:val="2"/>
      <w:sz w:val="24"/>
      <w:szCs w:val="24"/>
    </w:rPr>
  </w:style>
  <w:style w:type="paragraph" w:customStyle="1" w:styleId="442">
    <w:name w:val="a"/>
    <w:basedOn w:val="2"/>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rFonts w:ascii="宋体" w:hAnsi="宋体" w:cs="宋体"/>
      <w:bCs w:val="0"/>
      <w:kern w:val="0"/>
      <w:sz w:val="24"/>
      <w:szCs w:val="24"/>
    </w:rPr>
  </w:style>
  <w:style w:type="paragraph" w:customStyle="1" w:styleId="443">
    <w:name w:val="xl51"/>
    <w:basedOn w:val="2"/>
    <w:next w:val="1"/>
    <w:autoRedefine/>
    <w:qFormat/>
    <w:uiPriority w:val="99"/>
    <w:pPr>
      <w:keepNext w:val="0"/>
      <w:keepLines w:val="0"/>
      <w:widowControl/>
      <w:pBdr>
        <w:top w:val="single" w:color="auto" w:sz="12" w:space="0"/>
        <w:left w:val="single" w:color="auto" w:sz="8" w:space="0"/>
        <w:right w:val="single" w:color="auto" w:sz="8" w:space="0"/>
      </w:pBdr>
      <w:spacing w:before="100" w:beforeAutospacing="1" w:after="100" w:afterAutospacing="1" w:line="500" w:lineRule="atLeast"/>
      <w:ind w:firstLine="425" w:firstLineChars="177"/>
      <w:jc w:val="center"/>
      <w:outlineLvl w:val="9"/>
    </w:pPr>
    <w:rPr>
      <w:rFonts w:ascii="宋体" w:hAnsi="宋体" w:cs="宋体"/>
      <w:bCs w:val="0"/>
      <w:color w:val="000000"/>
      <w:kern w:val="0"/>
      <w:sz w:val="24"/>
      <w:szCs w:val="21"/>
    </w:rPr>
  </w:style>
  <w:style w:type="paragraph" w:customStyle="1" w:styleId="444">
    <w:name w:val="wtext"/>
    <w:basedOn w:val="2"/>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rFonts w:ascii="Arial Unicode MS" w:hAnsi="Arial Unicode MS" w:eastAsia="Arial Unicode MS" w:cs="Arial Unicode MS"/>
      <w:bCs w:val="0"/>
      <w:kern w:val="0"/>
      <w:sz w:val="24"/>
      <w:szCs w:val="24"/>
    </w:rPr>
  </w:style>
  <w:style w:type="paragraph" w:customStyle="1" w:styleId="445">
    <w:name w:val="T表格"/>
    <w:basedOn w:val="60"/>
    <w:next w:val="60"/>
    <w:autoRedefine/>
    <w:qFormat/>
    <w:uiPriority w:val="99"/>
    <w:rPr>
      <w:rFonts w:hAnsi="Calibri"/>
      <w:sz w:val="21"/>
      <w:szCs w:val="22"/>
    </w:rPr>
  </w:style>
  <w:style w:type="character" w:customStyle="1" w:styleId="446">
    <w:name w:val="cauc-0 Char1"/>
    <w:link w:val="447"/>
    <w:autoRedefine/>
    <w:qFormat/>
    <w:locked/>
    <w:uiPriority w:val="0"/>
    <w:rPr>
      <w:sz w:val="24"/>
      <w:szCs w:val="24"/>
    </w:rPr>
  </w:style>
  <w:style w:type="paragraph" w:customStyle="1" w:styleId="447">
    <w:name w:val="cauc-0"/>
    <w:next w:val="1"/>
    <w:link w:val="446"/>
    <w:autoRedefine/>
    <w:qFormat/>
    <w:uiPriority w:val="0"/>
    <w:pPr>
      <w:spacing w:line="360" w:lineRule="auto"/>
      <w:ind w:firstLine="480" w:firstLineChars="200"/>
      <w:jc w:val="left"/>
    </w:pPr>
    <w:rPr>
      <w:rFonts w:asciiTheme="minorHAnsi" w:hAnsiTheme="minorHAnsi" w:eastAsiaTheme="minorEastAsia" w:cstheme="minorBidi"/>
      <w:kern w:val="2"/>
      <w:sz w:val="24"/>
      <w:szCs w:val="24"/>
      <w:lang w:val="en-US" w:eastAsia="zh-CN" w:bidi="ar-SA"/>
    </w:rPr>
  </w:style>
  <w:style w:type="paragraph" w:customStyle="1" w:styleId="448">
    <w:name w:val="保定正文"/>
    <w:basedOn w:val="2"/>
    <w:next w:val="1"/>
    <w:autoRedefine/>
    <w:qFormat/>
    <w:uiPriority w:val="99"/>
    <w:pPr>
      <w:keepNext w:val="0"/>
      <w:keepLines w:val="0"/>
      <w:snapToGrid w:val="0"/>
      <w:spacing w:before="0" w:after="0" w:line="360" w:lineRule="auto"/>
      <w:ind w:firstLine="200" w:firstLineChars="200"/>
      <w:outlineLvl w:val="9"/>
    </w:pPr>
    <w:rPr>
      <w:rFonts w:cs="宋体"/>
      <w:bCs w:val="0"/>
      <w:kern w:val="0"/>
      <w:sz w:val="24"/>
      <w:szCs w:val="20"/>
    </w:rPr>
  </w:style>
  <w:style w:type="paragraph" w:customStyle="1" w:styleId="449">
    <w:name w:val="a2"/>
    <w:basedOn w:val="2"/>
    <w:next w:val="1"/>
    <w:autoRedefine/>
    <w:qFormat/>
    <w:uiPriority w:val="99"/>
    <w:pPr>
      <w:keepNext w:val="0"/>
      <w:keepLines w:val="0"/>
      <w:widowControl/>
      <w:spacing w:before="120" w:after="0" w:line="360" w:lineRule="auto"/>
      <w:ind w:firstLine="425" w:firstLineChars="177"/>
      <w:jc w:val="center"/>
      <w:outlineLvl w:val="9"/>
    </w:pPr>
    <w:rPr>
      <w:rFonts w:ascii="黑体" w:eastAsia="黑体"/>
      <w:bCs w:val="0"/>
      <w:kern w:val="0"/>
      <w:sz w:val="24"/>
      <w:szCs w:val="21"/>
    </w:rPr>
  </w:style>
  <w:style w:type="paragraph" w:customStyle="1" w:styleId="450">
    <w:name w:val="样式 标题 3H3l3CT标题 3(节)h33rd levelHeading 3 - oldISO2sect1...1"/>
    <w:basedOn w:val="4"/>
    <w:next w:val="1"/>
    <w:autoRedefine/>
    <w:qFormat/>
    <w:uiPriority w:val="99"/>
    <w:pPr>
      <w:tabs>
        <w:tab w:val="left" w:pos="720"/>
      </w:tabs>
      <w:adjustRightInd w:val="0"/>
      <w:spacing w:before="100" w:after="0" w:line="360" w:lineRule="auto"/>
      <w:jc w:val="left"/>
    </w:pPr>
    <w:rPr>
      <w:rFonts w:ascii="Times New Roman" w:hAnsi="Times New Roman"/>
      <w:kern w:val="0"/>
      <w:sz w:val="28"/>
      <w:szCs w:val="20"/>
    </w:rPr>
  </w:style>
  <w:style w:type="paragraph" w:customStyle="1" w:styleId="451">
    <w:name w:val="悬挂式正文"/>
    <w:basedOn w:val="2"/>
    <w:next w:val="1"/>
    <w:autoRedefine/>
    <w:qFormat/>
    <w:uiPriority w:val="99"/>
    <w:pPr>
      <w:keepNext w:val="0"/>
      <w:keepLines w:val="0"/>
      <w:tabs>
        <w:tab w:val="center" w:pos="6804"/>
        <w:tab w:val="right" w:pos="7371"/>
      </w:tabs>
      <w:overflowPunct w:val="0"/>
      <w:adjustRightInd w:val="0"/>
      <w:spacing w:before="0" w:after="0" w:line="360" w:lineRule="auto"/>
      <w:ind w:left="1701" w:hanging="1134" w:firstLineChars="177"/>
      <w:outlineLvl w:val="9"/>
    </w:pPr>
    <w:rPr>
      <w:bCs w:val="0"/>
      <w:kern w:val="0"/>
      <w:sz w:val="28"/>
      <w:szCs w:val="20"/>
    </w:rPr>
  </w:style>
  <w:style w:type="paragraph" w:customStyle="1" w:styleId="452">
    <w:name w:val="表格名称"/>
    <w:basedOn w:val="2"/>
    <w:next w:val="1"/>
    <w:autoRedefine/>
    <w:qFormat/>
    <w:uiPriority w:val="99"/>
    <w:pPr>
      <w:tabs>
        <w:tab w:val="left" w:pos="720"/>
      </w:tabs>
      <w:spacing w:beforeLines="20" w:after="0" w:line="440" w:lineRule="exact"/>
      <w:ind w:firstLine="480" w:firstLineChars="177"/>
      <w:outlineLvl w:val="9"/>
    </w:pPr>
    <w:rPr>
      <w:rFonts w:eastAsia="黑体"/>
      <w:bCs w:val="0"/>
      <w:kern w:val="2"/>
      <w:sz w:val="24"/>
      <w:szCs w:val="20"/>
    </w:rPr>
  </w:style>
  <w:style w:type="paragraph" w:customStyle="1" w:styleId="453">
    <w:name w:val="xl45"/>
    <w:basedOn w:val="2"/>
    <w:next w:val="1"/>
    <w:autoRedefine/>
    <w:qFormat/>
    <w:uiPriority w:val="99"/>
    <w:pPr>
      <w:keepNext w:val="0"/>
      <w:keepLines w:val="0"/>
      <w:widowControl/>
      <w:pBdr>
        <w:top w:val="single" w:color="auto" w:sz="8" w:space="0"/>
        <w:left w:val="single" w:color="auto" w:sz="8" w:space="0"/>
        <w:right w:val="single" w:color="auto" w:sz="12" w:space="0"/>
      </w:pBdr>
      <w:spacing w:before="100" w:beforeAutospacing="1" w:after="100" w:afterAutospacing="1" w:line="500" w:lineRule="atLeast"/>
      <w:ind w:firstLine="425" w:firstLineChars="177"/>
      <w:jc w:val="center"/>
      <w:outlineLvl w:val="9"/>
    </w:pPr>
    <w:rPr>
      <w:bCs w:val="0"/>
      <w:color w:val="000000"/>
      <w:kern w:val="0"/>
      <w:sz w:val="24"/>
      <w:szCs w:val="21"/>
    </w:rPr>
  </w:style>
  <w:style w:type="paragraph" w:customStyle="1" w:styleId="454">
    <w:name w:val="样式 首行缩进:  0.77 厘米 行距: 固定值 20 磅"/>
    <w:basedOn w:val="2"/>
    <w:next w:val="1"/>
    <w:autoRedefine/>
    <w:qFormat/>
    <w:uiPriority w:val="99"/>
    <w:pPr>
      <w:keepNext w:val="0"/>
      <w:keepLines w:val="0"/>
      <w:spacing w:before="0" w:after="0" w:line="360" w:lineRule="auto"/>
      <w:ind w:firstLine="435" w:firstLineChars="177"/>
      <w:outlineLvl w:val="9"/>
    </w:pPr>
    <w:rPr>
      <w:bCs w:val="0"/>
      <w:kern w:val="2"/>
      <w:sz w:val="24"/>
      <w:szCs w:val="20"/>
    </w:rPr>
  </w:style>
  <w:style w:type="character" w:customStyle="1" w:styleId="455">
    <w:name w:val="l_text Char"/>
    <w:link w:val="456"/>
    <w:autoRedefine/>
    <w:qFormat/>
    <w:locked/>
    <w:uiPriority w:val="0"/>
    <w:rPr>
      <w:rFonts w:ascii="宋体" w:hAnsi="宋体" w:eastAsia="宋体"/>
      <w:sz w:val="28"/>
      <w:szCs w:val="28"/>
      <w:lang w:val="en-GB"/>
    </w:rPr>
  </w:style>
  <w:style w:type="paragraph" w:customStyle="1" w:styleId="456">
    <w:name w:val="l_text"/>
    <w:basedOn w:val="2"/>
    <w:next w:val="1"/>
    <w:link w:val="455"/>
    <w:autoRedefine/>
    <w:qFormat/>
    <w:uiPriority w:val="0"/>
    <w:pPr>
      <w:keepNext w:val="0"/>
      <w:keepLines w:val="0"/>
      <w:widowControl/>
      <w:overflowPunct w:val="0"/>
      <w:autoSpaceDE w:val="0"/>
      <w:autoSpaceDN w:val="0"/>
      <w:adjustRightInd w:val="0"/>
      <w:spacing w:before="0" w:after="0" w:line="480" w:lineRule="exact"/>
      <w:ind w:firstLine="567" w:firstLineChars="177"/>
      <w:outlineLvl w:val="9"/>
    </w:pPr>
    <w:rPr>
      <w:rFonts w:ascii="宋体" w:hAnsi="宋体" w:cstheme="minorBidi"/>
      <w:bCs w:val="0"/>
      <w:kern w:val="2"/>
      <w:sz w:val="28"/>
      <w:szCs w:val="28"/>
      <w:lang w:val="en-GB"/>
    </w:rPr>
  </w:style>
  <w:style w:type="paragraph" w:customStyle="1" w:styleId="457">
    <w:name w:val="一级条标题"/>
    <w:basedOn w:val="2"/>
    <w:next w:val="1"/>
    <w:autoRedefine/>
    <w:qFormat/>
    <w:uiPriority w:val="99"/>
    <w:pPr>
      <w:keepNext w:val="0"/>
      <w:keepLines w:val="0"/>
      <w:widowControl/>
      <w:tabs>
        <w:tab w:val="left" w:pos="360"/>
      </w:tabs>
      <w:spacing w:before="0" w:after="0" w:line="500" w:lineRule="atLeast"/>
      <w:ind w:left="360" w:hanging="360" w:hangingChars="200"/>
      <w:outlineLvl w:val="2"/>
    </w:pPr>
    <w:rPr>
      <w:rFonts w:ascii="黑体" w:eastAsia="黑体"/>
      <w:bCs w:val="0"/>
      <w:kern w:val="0"/>
      <w:sz w:val="24"/>
      <w:szCs w:val="20"/>
    </w:rPr>
  </w:style>
  <w:style w:type="paragraph" w:customStyle="1" w:styleId="458">
    <w:name w:val="7"/>
    <w:basedOn w:val="2"/>
    <w:next w:val="21"/>
    <w:autoRedefine/>
    <w:qFormat/>
    <w:uiPriority w:val="99"/>
    <w:pPr>
      <w:keepNext w:val="0"/>
      <w:keepLines w:val="0"/>
      <w:spacing w:before="0" w:after="0" w:line="400" w:lineRule="exact"/>
      <w:ind w:firstLine="516" w:firstLineChars="215"/>
      <w:outlineLvl w:val="9"/>
    </w:pPr>
    <w:rPr>
      <w:bCs w:val="0"/>
      <w:kern w:val="2"/>
      <w:sz w:val="24"/>
      <w:szCs w:val="24"/>
    </w:rPr>
  </w:style>
  <w:style w:type="paragraph" w:customStyle="1" w:styleId="459">
    <w:name w:val="图标1"/>
    <w:next w:val="1"/>
    <w:autoRedefine/>
    <w:qFormat/>
    <w:uiPriority w:val="99"/>
    <w:pPr>
      <w:spacing w:line="0" w:lineRule="atLeast"/>
      <w:jc w:val="center"/>
    </w:pPr>
    <w:rPr>
      <w:rFonts w:ascii="Times New Roman" w:hAnsi="Times New Roman" w:eastAsia="宋体" w:cs="Times New Roman"/>
      <w:kern w:val="2"/>
      <w:sz w:val="21"/>
      <w:szCs w:val="20"/>
      <w:lang w:val="en-US" w:eastAsia="zh-CN" w:bidi="ar-SA"/>
    </w:rPr>
  </w:style>
  <w:style w:type="paragraph" w:customStyle="1" w:styleId="460">
    <w:name w:val="EIA标题3"/>
    <w:basedOn w:val="4"/>
    <w:next w:val="1"/>
    <w:autoRedefine/>
    <w:qFormat/>
    <w:uiPriority w:val="99"/>
    <w:pPr>
      <w:tabs>
        <w:tab w:val="left" w:pos="720"/>
      </w:tabs>
      <w:spacing w:beforeLines="50" w:afterLines="50" w:line="440" w:lineRule="exact"/>
    </w:pPr>
    <w:rPr>
      <w:rFonts w:ascii="Times New Roman" w:hAnsi="Times New Roman" w:eastAsia="楷体_GB2312" w:cs="Times New Roman"/>
      <w:color w:val="000000"/>
      <w:kern w:val="0"/>
      <w:sz w:val="24"/>
      <w:szCs w:val="20"/>
    </w:rPr>
  </w:style>
  <w:style w:type="paragraph" w:customStyle="1" w:styleId="461">
    <w:name w:val="法规列表"/>
    <w:basedOn w:val="2"/>
    <w:next w:val="1"/>
    <w:autoRedefine/>
    <w:qFormat/>
    <w:uiPriority w:val="99"/>
    <w:pPr>
      <w:keepNext w:val="0"/>
      <w:keepLines w:val="0"/>
      <w:tabs>
        <w:tab w:val="left" w:pos="420"/>
      </w:tabs>
      <w:spacing w:beforeLines="50" w:after="0" w:line="500" w:lineRule="atLeast"/>
      <w:ind w:left="432" w:hanging="432" w:firstLineChars="177"/>
      <w:outlineLvl w:val="9"/>
    </w:pPr>
    <w:rPr>
      <w:rFonts w:eastAsia="仿宋_GB2312"/>
      <w:bCs w:val="0"/>
      <w:kern w:val="2"/>
      <w:sz w:val="24"/>
      <w:szCs w:val="20"/>
    </w:rPr>
  </w:style>
  <w:style w:type="paragraph" w:customStyle="1" w:styleId="462">
    <w:name w:val="个人情况"/>
    <w:basedOn w:val="18"/>
    <w:next w:val="1"/>
    <w:autoRedefine/>
    <w:qFormat/>
    <w:uiPriority w:val="99"/>
    <w:pPr>
      <w:widowControl/>
      <w:overflowPunct w:val="0"/>
      <w:autoSpaceDE w:val="0"/>
      <w:autoSpaceDN w:val="0"/>
      <w:adjustRightInd w:val="0"/>
      <w:spacing w:after="160"/>
      <w:ind w:firstLine="425" w:firstLineChars="177"/>
      <w:jc w:val="left"/>
    </w:pPr>
    <w:rPr>
      <w:rFonts w:hint="eastAsia" w:hAnsiTheme="minorHAnsi" w:cstheme="minorBidi"/>
      <w:sz w:val="20"/>
      <w:szCs w:val="20"/>
    </w:rPr>
  </w:style>
  <w:style w:type="paragraph" w:customStyle="1" w:styleId="463">
    <w:name w:val="河石管道 表格正文"/>
    <w:next w:val="1"/>
    <w:autoRedefine/>
    <w:qFormat/>
    <w:uiPriority w:val="99"/>
    <w:pPr>
      <w:spacing w:line="240" w:lineRule="auto"/>
      <w:jc w:val="center"/>
    </w:pPr>
    <w:rPr>
      <w:rFonts w:ascii="Times New Roman" w:hAnsi="Times New Roman" w:eastAsia="宋体" w:cs="Times New Roman"/>
      <w:kern w:val="2"/>
      <w:sz w:val="18"/>
      <w:szCs w:val="21"/>
      <w:lang w:val="en-US" w:eastAsia="zh-CN" w:bidi="ar-SA"/>
    </w:rPr>
  </w:style>
  <w:style w:type="paragraph" w:customStyle="1" w:styleId="464">
    <w:name w:val="xl48"/>
    <w:basedOn w:val="2"/>
    <w:next w:val="1"/>
    <w:autoRedefine/>
    <w:qFormat/>
    <w:uiPriority w:val="99"/>
    <w:pPr>
      <w:keepNext w:val="0"/>
      <w:keepLines w:val="0"/>
      <w:widowControl/>
      <w:pBdr>
        <w:top w:val="single" w:color="auto" w:sz="8" w:space="0"/>
        <w:left w:val="single" w:color="auto" w:sz="8" w:space="0"/>
        <w:right w:val="single" w:color="auto" w:sz="8" w:space="0"/>
      </w:pBdr>
      <w:spacing w:before="100" w:beforeAutospacing="1" w:after="100" w:afterAutospacing="1" w:line="500" w:lineRule="atLeast"/>
      <w:ind w:firstLine="425" w:firstLineChars="177"/>
      <w:jc w:val="center"/>
      <w:outlineLvl w:val="9"/>
    </w:pPr>
    <w:rPr>
      <w:bCs w:val="0"/>
      <w:color w:val="000000"/>
      <w:kern w:val="0"/>
      <w:sz w:val="24"/>
      <w:szCs w:val="21"/>
    </w:rPr>
  </w:style>
  <w:style w:type="paragraph" w:customStyle="1" w:styleId="465">
    <w:name w:val="正文缩近"/>
    <w:basedOn w:val="2"/>
    <w:next w:val="1"/>
    <w:autoRedefine/>
    <w:qFormat/>
    <w:uiPriority w:val="99"/>
    <w:pPr>
      <w:keepNext w:val="0"/>
      <w:keepLines w:val="0"/>
      <w:spacing w:before="0" w:after="0" w:line="360" w:lineRule="auto"/>
      <w:ind w:firstLine="560" w:firstLineChars="200"/>
      <w:outlineLvl w:val="9"/>
    </w:pPr>
    <w:rPr>
      <w:bCs w:val="0"/>
      <w:kern w:val="2"/>
      <w:sz w:val="28"/>
      <w:szCs w:val="28"/>
    </w:rPr>
  </w:style>
  <w:style w:type="paragraph" w:customStyle="1" w:styleId="466">
    <w:name w:val="font10"/>
    <w:basedOn w:val="2"/>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rFonts w:ascii="Symbol" w:hAnsi="Symbol" w:cs="宋体"/>
      <w:bCs w:val="0"/>
      <w:color w:val="000000"/>
      <w:kern w:val="0"/>
      <w:sz w:val="24"/>
      <w:szCs w:val="21"/>
    </w:rPr>
  </w:style>
  <w:style w:type="paragraph" w:customStyle="1" w:styleId="467">
    <w:name w:val="xl34"/>
    <w:basedOn w:val="2"/>
    <w:next w:val="1"/>
    <w:autoRedefine/>
    <w:qFormat/>
    <w:uiPriority w:val="99"/>
    <w:pPr>
      <w:keepNext w:val="0"/>
      <w:keepLines w:val="0"/>
      <w:widowControl/>
      <w:pBdr>
        <w:bottom w:val="single" w:color="auto" w:sz="4" w:space="0"/>
        <w:right w:val="single" w:color="auto" w:sz="4" w:space="0"/>
      </w:pBdr>
      <w:spacing w:before="100" w:beforeAutospacing="1" w:after="100" w:afterAutospacing="1" w:line="500" w:lineRule="atLeast"/>
      <w:ind w:firstLine="425" w:firstLineChars="177"/>
      <w:jc w:val="center"/>
      <w:outlineLvl w:val="9"/>
    </w:pPr>
    <w:rPr>
      <w:rFonts w:ascii="楷体_GB2312" w:hAnsi="Arial Unicode MS" w:eastAsia="楷体_GB2312"/>
      <w:bCs w:val="0"/>
      <w:kern w:val="0"/>
      <w:sz w:val="24"/>
      <w:szCs w:val="24"/>
    </w:rPr>
  </w:style>
  <w:style w:type="paragraph" w:customStyle="1" w:styleId="468">
    <w:name w:val="xl31"/>
    <w:basedOn w:val="2"/>
    <w:next w:val="1"/>
    <w:autoRedefine/>
    <w:qFormat/>
    <w:uiPriority w:val="99"/>
    <w:pPr>
      <w:keepNext w:val="0"/>
      <w:keepLines w:val="0"/>
      <w:widowControl/>
      <w:pBdr>
        <w:bottom w:val="single" w:color="auto" w:sz="12" w:space="0"/>
        <w:right w:val="single" w:color="auto" w:sz="8" w:space="0"/>
      </w:pBdr>
      <w:spacing w:before="100" w:beforeAutospacing="1" w:after="100" w:afterAutospacing="1" w:line="500" w:lineRule="atLeast"/>
      <w:ind w:firstLine="425" w:firstLineChars="177"/>
      <w:jc w:val="center"/>
      <w:outlineLvl w:val="9"/>
    </w:pPr>
    <w:rPr>
      <w:bCs w:val="0"/>
      <w:color w:val="000000"/>
      <w:kern w:val="0"/>
      <w:sz w:val="24"/>
      <w:szCs w:val="21"/>
    </w:rPr>
  </w:style>
  <w:style w:type="paragraph" w:customStyle="1" w:styleId="469">
    <w:name w:val="图表名称"/>
    <w:basedOn w:val="2"/>
    <w:next w:val="1"/>
    <w:autoRedefine/>
    <w:qFormat/>
    <w:uiPriority w:val="99"/>
    <w:pPr>
      <w:keepNext w:val="0"/>
      <w:keepLines w:val="0"/>
      <w:spacing w:beforeLines="50" w:after="0" w:line="400" w:lineRule="exact"/>
      <w:ind w:firstLine="471" w:firstLineChars="177"/>
      <w:jc w:val="center"/>
      <w:outlineLvl w:val="9"/>
    </w:pPr>
    <w:rPr>
      <w:rFonts w:ascii="宋体" w:hAnsi="宋体" w:eastAsia="黑体"/>
      <w:bCs w:val="0"/>
      <w:kern w:val="2"/>
      <w:sz w:val="24"/>
      <w:szCs w:val="24"/>
    </w:rPr>
  </w:style>
  <w:style w:type="paragraph" w:customStyle="1" w:styleId="470">
    <w:name w:val="单元格"/>
    <w:basedOn w:val="2"/>
    <w:next w:val="1"/>
    <w:autoRedefine/>
    <w:qFormat/>
    <w:uiPriority w:val="99"/>
    <w:pPr>
      <w:keepNext w:val="0"/>
      <w:keepLines w:val="0"/>
      <w:spacing w:before="0" w:after="0" w:line="500" w:lineRule="atLeast"/>
      <w:ind w:firstLine="425" w:firstLineChars="177"/>
      <w:jc w:val="center"/>
      <w:outlineLvl w:val="9"/>
    </w:pPr>
    <w:rPr>
      <w:rFonts w:ascii="楷体_GB2312" w:eastAsia="楷体_GB2312"/>
      <w:bCs w:val="0"/>
      <w:kern w:val="2"/>
      <w:sz w:val="24"/>
      <w:szCs w:val="20"/>
    </w:rPr>
  </w:style>
  <w:style w:type="paragraph" w:customStyle="1" w:styleId="471">
    <w:name w:val="Default Paragraph Font Para Char Char Char"/>
    <w:basedOn w:val="2"/>
    <w:next w:val="1"/>
    <w:autoRedefine/>
    <w:qFormat/>
    <w:uiPriority w:val="99"/>
    <w:pPr>
      <w:keepNext w:val="0"/>
      <w:keepLines w:val="0"/>
      <w:widowControl/>
      <w:spacing w:before="0" w:after="160" w:line="240" w:lineRule="exact"/>
      <w:ind w:firstLine="425" w:firstLineChars="177"/>
      <w:jc w:val="left"/>
      <w:outlineLvl w:val="9"/>
    </w:pPr>
    <w:rPr>
      <w:rFonts w:ascii="Arial" w:hAnsi="Arial"/>
      <w:bCs w:val="0"/>
      <w:kern w:val="2"/>
      <w:sz w:val="24"/>
      <w:szCs w:val="24"/>
    </w:rPr>
  </w:style>
  <w:style w:type="paragraph" w:customStyle="1" w:styleId="472">
    <w:name w:val="font8"/>
    <w:basedOn w:val="2"/>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bCs w:val="0"/>
      <w:color w:val="000000"/>
      <w:kern w:val="0"/>
      <w:sz w:val="24"/>
      <w:szCs w:val="21"/>
    </w:rPr>
  </w:style>
  <w:style w:type="paragraph" w:customStyle="1" w:styleId="473">
    <w:name w:val="样式 日期 + 宋体 行距: 1.5 倍行距2"/>
    <w:basedOn w:val="26"/>
    <w:next w:val="1"/>
    <w:autoRedefine/>
    <w:qFormat/>
    <w:uiPriority w:val="99"/>
    <w:pPr>
      <w:widowControl/>
      <w:overflowPunct w:val="0"/>
      <w:autoSpaceDE w:val="0"/>
      <w:autoSpaceDN w:val="0"/>
      <w:adjustRightInd w:val="0"/>
      <w:spacing w:line="480" w:lineRule="exact"/>
      <w:ind w:left="0" w:leftChars="0" w:firstLine="425" w:firstLineChars="177"/>
    </w:pPr>
    <w:rPr>
      <w:rFonts w:ascii="宋体" w:hAnsi="宋体" w:cs="宋体"/>
      <w:color w:val="000000"/>
      <w:kern w:val="0"/>
      <w:sz w:val="28"/>
      <w:szCs w:val="20"/>
      <w:lang w:val="en-GB"/>
    </w:rPr>
  </w:style>
  <w:style w:type="paragraph" w:customStyle="1" w:styleId="474">
    <w:name w:val="表体"/>
    <w:basedOn w:val="154"/>
    <w:next w:val="1"/>
    <w:autoRedefine/>
    <w:qFormat/>
    <w:uiPriority w:val="99"/>
    <w:pPr>
      <w:overflowPunct w:val="0"/>
      <w:spacing w:line="360" w:lineRule="exact"/>
      <w:ind w:left="-57" w:right="-57"/>
    </w:pPr>
    <w:rPr>
      <w:color w:val="000080"/>
      <w:kern w:val="24"/>
      <w:szCs w:val="20"/>
    </w:rPr>
  </w:style>
  <w:style w:type="paragraph" w:customStyle="1" w:styleId="475">
    <w:name w:val="样式 样式表格 + 首行缩进:  0.85 厘米"/>
    <w:basedOn w:val="342"/>
    <w:next w:val="1"/>
    <w:autoRedefine/>
    <w:qFormat/>
    <w:uiPriority w:val="99"/>
    <w:pPr>
      <w:spacing w:line="320" w:lineRule="exact"/>
    </w:pPr>
    <w:rPr>
      <w:rFonts w:cs="宋体"/>
      <w:szCs w:val="20"/>
    </w:rPr>
  </w:style>
  <w:style w:type="paragraph" w:customStyle="1" w:styleId="476">
    <w:name w:val="y表头"/>
    <w:basedOn w:val="18"/>
    <w:next w:val="1"/>
    <w:autoRedefine/>
    <w:qFormat/>
    <w:uiPriority w:val="99"/>
    <w:pPr>
      <w:tabs>
        <w:tab w:val="left" w:pos="900"/>
      </w:tabs>
      <w:adjustRightInd w:val="0"/>
      <w:spacing w:after="0"/>
      <w:ind w:firstLine="425" w:firstLineChars="177"/>
      <w:jc w:val="center"/>
    </w:pPr>
    <w:rPr>
      <w:rFonts w:hint="eastAsia" w:ascii="宋体" w:hAnsi="宋体" w:eastAsia="楷体_GB2312" w:cstheme="minorBidi"/>
      <w:b/>
      <w:sz w:val="24"/>
      <w:szCs w:val="20"/>
    </w:rPr>
  </w:style>
  <w:style w:type="paragraph" w:customStyle="1" w:styleId="477">
    <w:name w:val="xl32"/>
    <w:basedOn w:val="2"/>
    <w:next w:val="1"/>
    <w:autoRedefine/>
    <w:qFormat/>
    <w:uiPriority w:val="99"/>
    <w:pPr>
      <w:keepNext w:val="0"/>
      <w:keepLines w:val="0"/>
      <w:widowControl/>
      <w:pBdr>
        <w:top w:val="single" w:color="auto" w:sz="12" w:space="0"/>
        <w:right w:val="single" w:color="auto" w:sz="8" w:space="0"/>
      </w:pBdr>
      <w:spacing w:before="100" w:beforeAutospacing="1" w:after="100" w:afterAutospacing="1" w:line="500" w:lineRule="atLeast"/>
      <w:ind w:firstLine="425" w:firstLineChars="177"/>
      <w:jc w:val="center"/>
      <w:outlineLvl w:val="9"/>
    </w:pPr>
    <w:rPr>
      <w:rFonts w:ascii="宋体" w:hAnsi="宋体" w:cs="宋体"/>
      <w:bCs w:val="0"/>
      <w:color w:val="000000"/>
      <w:kern w:val="0"/>
      <w:sz w:val="24"/>
      <w:szCs w:val="21"/>
    </w:rPr>
  </w:style>
  <w:style w:type="paragraph" w:customStyle="1" w:styleId="478">
    <w:name w:val="yz"/>
    <w:basedOn w:val="18"/>
    <w:next w:val="1"/>
    <w:autoRedefine/>
    <w:qFormat/>
    <w:uiPriority w:val="99"/>
    <w:pPr>
      <w:tabs>
        <w:tab w:val="left" w:pos="900"/>
      </w:tabs>
      <w:adjustRightInd w:val="0"/>
      <w:spacing w:after="0"/>
      <w:ind w:firstLine="200" w:firstLineChars="200"/>
    </w:pPr>
    <w:rPr>
      <w:rFonts w:hint="eastAsia" w:ascii="宋体" w:hAnsi="宋体" w:cstheme="minorBidi"/>
      <w:sz w:val="24"/>
      <w:szCs w:val="20"/>
    </w:rPr>
  </w:style>
  <w:style w:type="paragraph" w:customStyle="1" w:styleId="479">
    <w:name w:val="图表目录1"/>
    <w:basedOn w:val="148"/>
    <w:next w:val="148"/>
    <w:autoRedefine/>
    <w:qFormat/>
    <w:uiPriority w:val="99"/>
    <w:pPr>
      <w:tabs>
        <w:tab w:val="right" w:leader="dot" w:pos="8051"/>
      </w:tabs>
      <w:ind w:left="840" w:hanging="840"/>
    </w:pPr>
    <w:rPr>
      <w:rFonts w:hAnsi="Calibri"/>
      <w:szCs w:val="20"/>
    </w:rPr>
  </w:style>
  <w:style w:type="character" w:customStyle="1" w:styleId="480">
    <w:name w:val="正文001 Char1"/>
    <w:link w:val="481"/>
    <w:autoRedefine/>
    <w:qFormat/>
    <w:locked/>
    <w:uiPriority w:val="0"/>
    <w:rPr>
      <w:rFonts w:ascii="Arial" w:hAnsi="Arial" w:cs="Arial"/>
      <w:sz w:val="24"/>
    </w:rPr>
  </w:style>
  <w:style w:type="paragraph" w:customStyle="1" w:styleId="481">
    <w:name w:val="正文001"/>
    <w:basedOn w:val="2"/>
    <w:next w:val="1"/>
    <w:link w:val="480"/>
    <w:autoRedefine/>
    <w:qFormat/>
    <w:uiPriority w:val="0"/>
    <w:pPr>
      <w:keepNext w:val="0"/>
      <w:keepLines w:val="0"/>
      <w:spacing w:before="60" w:after="0" w:line="360" w:lineRule="auto"/>
      <w:ind w:firstLine="200" w:firstLineChars="200"/>
      <w:outlineLvl w:val="9"/>
    </w:pPr>
    <w:rPr>
      <w:rFonts w:ascii="Arial" w:hAnsi="Arial" w:cs="Arial" w:eastAsiaTheme="minorEastAsia"/>
      <w:bCs w:val="0"/>
      <w:kern w:val="2"/>
      <w:sz w:val="24"/>
      <w:szCs w:val="22"/>
    </w:rPr>
  </w:style>
  <w:style w:type="paragraph" w:customStyle="1" w:styleId="482">
    <w:name w:val="xl28"/>
    <w:basedOn w:val="2"/>
    <w:next w:val="1"/>
    <w:autoRedefine/>
    <w:qFormat/>
    <w:uiPriority w:val="99"/>
    <w:pPr>
      <w:keepNext w:val="0"/>
      <w:keepLines w:val="0"/>
      <w:widowControl/>
      <w:pBdr>
        <w:bottom w:val="single" w:color="auto" w:sz="8" w:space="0"/>
        <w:right w:val="single" w:color="auto" w:sz="8" w:space="0"/>
      </w:pBdr>
      <w:spacing w:before="100" w:beforeAutospacing="1" w:after="100" w:afterAutospacing="1" w:line="500" w:lineRule="atLeast"/>
      <w:ind w:firstLine="425" w:firstLineChars="177"/>
      <w:jc w:val="center"/>
      <w:outlineLvl w:val="9"/>
    </w:pPr>
    <w:rPr>
      <w:rFonts w:ascii="宋体" w:hAnsi="宋体" w:cs="宋体"/>
      <w:bCs w:val="0"/>
      <w:color w:val="000000"/>
      <w:kern w:val="0"/>
      <w:sz w:val="24"/>
      <w:szCs w:val="21"/>
    </w:rPr>
  </w:style>
  <w:style w:type="paragraph" w:customStyle="1" w:styleId="483">
    <w:name w:val="表 头 Char"/>
    <w:basedOn w:val="2"/>
    <w:next w:val="1"/>
    <w:autoRedefine/>
    <w:qFormat/>
    <w:uiPriority w:val="99"/>
    <w:pPr>
      <w:keepNext w:val="0"/>
      <w:keepLines w:val="0"/>
      <w:adjustRightInd w:val="0"/>
      <w:spacing w:before="120" w:after="120" w:line="360" w:lineRule="atLeast"/>
      <w:ind w:firstLine="425" w:firstLineChars="177"/>
      <w:jc w:val="center"/>
      <w:outlineLvl w:val="9"/>
    </w:pPr>
    <w:rPr>
      <w:rFonts w:eastAsia="黑体"/>
      <w:bCs w:val="0"/>
      <w:spacing w:val="10"/>
      <w:kern w:val="0"/>
      <w:sz w:val="24"/>
      <w:szCs w:val="20"/>
    </w:rPr>
  </w:style>
  <w:style w:type="paragraph" w:customStyle="1" w:styleId="484">
    <w:name w:val="6"/>
    <w:basedOn w:val="2"/>
    <w:next w:val="21"/>
    <w:autoRedefine/>
    <w:qFormat/>
    <w:uiPriority w:val="99"/>
    <w:pPr>
      <w:keepNext w:val="0"/>
      <w:keepLines w:val="0"/>
      <w:spacing w:before="0" w:after="0" w:line="400" w:lineRule="exact"/>
      <w:ind w:firstLine="516" w:firstLineChars="215"/>
      <w:outlineLvl w:val="9"/>
    </w:pPr>
    <w:rPr>
      <w:bCs w:val="0"/>
      <w:kern w:val="2"/>
      <w:sz w:val="24"/>
      <w:szCs w:val="24"/>
    </w:rPr>
  </w:style>
  <w:style w:type="character" w:customStyle="1" w:styleId="485">
    <w:name w:val="cucd-TB Char"/>
    <w:link w:val="486"/>
    <w:autoRedefine/>
    <w:qFormat/>
    <w:locked/>
    <w:uiPriority w:val="0"/>
    <w:rPr>
      <w:szCs w:val="24"/>
    </w:rPr>
  </w:style>
  <w:style w:type="paragraph" w:customStyle="1" w:styleId="486">
    <w:name w:val="cucd-TB"/>
    <w:next w:val="1"/>
    <w:link w:val="485"/>
    <w:autoRedefine/>
    <w:qFormat/>
    <w:uiPriority w:val="0"/>
    <w:pPr>
      <w:spacing w:line="360" w:lineRule="auto"/>
      <w:jc w:val="center"/>
    </w:pPr>
    <w:rPr>
      <w:rFonts w:asciiTheme="minorHAnsi" w:hAnsiTheme="minorHAnsi" w:eastAsiaTheme="minorEastAsia" w:cstheme="minorBidi"/>
      <w:kern w:val="2"/>
      <w:sz w:val="21"/>
      <w:szCs w:val="24"/>
      <w:lang w:val="en-US" w:eastAsia="zh-CN" w:bidi="ar-SA"/>
    </w:rPr>
  </w:style>
  <w:style w:type="paragraph" w:customStyle="1" w:styleId="487">
    <w:name w:val="标准条文"/>
    <w:basedOn w:val="60"/>
    <w:next w:val="60"/>
    <w:autoRedefine/>
    <w:qFormat/>
    <w:uiPriority w:val="99"/>
    <w:rPr>
      <w:rFonts w:hAnsi="Calibri"/>
    </w:rPr>
  </w:style>
  <w:style w:type="paragraph" w:customStyle="1" w:styleId="488">
    <w:name w:val="默认段落字体 Para Char Char Char Char Char Char1 Char Char Char Char"/>
    <w:basedOn w:val="2"/>
    <w:next w:val="1"/>
    <w:autoRedefine/>
    <w:qFormat/>
    <w:uiPriority w:val="99"/>
    <w:pPr>
      <w:keepNext w:val="0"/>
      <w:keepLines w:val="0"/>
      <w:snapToGrid w:val="0"/>
      <w:spacing w:before="0" w:after="0" w:line="360" w:lineRule="auto"/>
      <w:ind w:firstLine="200" w:firstLineChars="200"/>
      <w:outlineLvl w:val="9"/>
    </w:pPr>
    <w:rPr>
      <w:rFonts w:eastAsia="仿宋_GB2312"/>
      <w:bCs w:val="0"/>
      <w:kern w:val="2"/>
      <w:sz w:val="24"/>
      <w:szCs w:val="24"/>
    </w:rPr>
  </w:style>
  <w:style w:type="paragraph" w:customStyle="1" w:styleId="489">
    <w:name w:val="1文章"/>
    <w:basedOn w:val="2"/>
    <w:next w:val="1"/>
    <w:autoRedefine/>
    <w:qFormat/>
    <w:uiPriority w:val="99"/>
    <w:pPr>
      <w:keepNext w:val="0"/>
      <w:keepLines w:val="0"/>
      <w:snapToGrid w:val="0"/>
      <w:spacing w:before="0" w:after="0" w:line="420" w:lineRule="auto"/>
      <w:ind w:firstLine="516" w:firstLineChars="177"/>
      <w:outlineLvl w:val="9"/>
    </w:pPr>
    <w:rPr>
      <w:bCs w:val="0"/>
      <w:color w:val="000000"/>
      <w:kern w:val="2"/>
      <w:sz w:val="24"/>
      <w:szCs w:val="24"/>
    </w:rPr>
  </w:style>
  <w:style w:type="character" w:customStyle="1" w:styleId="490">
    <w:name w:val="cucd-TB-Head Char"/>
    <w:link w:val="491"/>
    <w:autoRedefine/>
    <w:qFormat/>
    <w:locked/>
    <w:uiPriority w:val="0"/>
    <w:rPr>
      <w:rFonts w:ascii="宋体" w:hAnsi="宋体" w:eastAsia="黑体"/>
      <w:color w:val="548DD4"/>
      <w:sz w:val="24"/>
      <w:szCs w:val="21"/>
    </w:rPr>
  </w:style>
  <w:style w:type="paragraph" w:customStyle="1" w:styleId="491">
    <w:name w:val="cucd-TB-Head"/>
    <w:basedOn w:val="2"/>
    <w:next w:val="382"/>
    <w:link w:val="490"/>
    <w:autoRedefine/>
    <w:qFormat/>
    <w:uiPriority w:val="0"/>
    <w:pPr>
      <w:keepNext w:val="0"/>
      <w:keepLines w:val="0"/>
      <w:spacing w:before="120" w:after="0" w:line="360" w:lineRule="auto"/>
      <w:ind w:firstLine="425" w:firstLineChars="177"/>
      <w:jc w:val="center"/>
      <w:outlineLvl w:val="9"/>
    </w:pPr>
    <w:rPr>
      <w:rFonts w:ascii="宋体" w:hAnsi="宋体" w:eastAsia="黑体" w:cstheme="minorBidi"/>
      <w:bCs w:val="0"/>
      <w:color w:val="548DD4"/>
      <w:kern w:val="2"/>
      <w:sz w:val="24"/>
      <w:szCs w:val="21"/>
    </w:rPr>
  </w:style>
  <w:style w:type="character" w:customStyle="1" w:styleId="492">
    <w:name w:val="表 头 Char1"/>
    <w:link w:val="493"/>
    <w:autoRedefine/>
    <w:qFormat/>
    <w:locked/>
    <w:uiPriority w:val="0"/>
    <w:rPr>
      <w:rFonts w:ascii="黑体" w:hAnsi="黑体" w:eastAsia="黑体"/>
      <w:spacing w:val="10"/>
      <w:sz w:val="24"/>
    </w:rPr>
  </w:style>
  <w:style w:type="paragraph" w:customStyle="1" w:styleId="493">
    <w:name w:val="表 头"/>
    <w:basedOn w:val="2"/>
    <w:next w:val="1"/>
    <w:link w:val="492"/>
    <w:autoRedefine/>
    <w:qFormat/>
    <w:uiPriority w:val="0"/>
    <w:pPr>
      <w:keepNext w:val="0"/>
      <w:keepLines w:val="0"/>
      <w:adjustRightInd w:val="0"/>
      <w:spacing w:before="60" w:after="120" w:line="360" w:lineRule="atLeast"/>
      <w:ind w:firstLine="425" w:firstLineChars="177"/>
      <w:jc w:val="center"/>
      <w:outlineLvl w:val="9"/>
    </w:pPr>
    <w:rPr>
      <w:rFonts w:ascii="黑体" w:hAnsi="黑体" w:eastAsia="黑体" w:cstheme="minorBidi"/>
      <w:bCs w:val="0"/>
      <w:spacing w:val="10"/>
      <w:kern w:val="2"/>
      <w:sz w:val="24"/>
      <w:szCs w:val="22"/>
    </w:rPr>
  </w:style>
  <w:style w:type="paragraph" w:customStyle="1" w:styleId="494">
    <w:name w:val="Char Char1 Char"/>
    <w:basedOn w:val="2"/>
    <w:next w:val="1"/>
    <w:autoRedefine/>
    <w:qFormat/>
    <w:uiPriority w:val="99"/>
    <w:pPr>
      <w:keepNext w:val="0"/>
      <w:keepLines w:val="0"/>
      <w:spacing w:before="0" w:after="0" w:line="360" w:lineRule="auto"/>
      <w:ind w:firstLine="200" w:firstLineChars="200"/>
      <w:outlineLvl w:val="9"/>
    </w:pPr>
    <w:rPr>
      <w:rFonts w:ascii="宋体" w:hAnsi="宋体" w:cs="宋体"/>
      <w:bCs w:val="0"/>
      <w:kern w:val="2"/>
      <w:sz w:val="24"/>
      <w:szCs w:val="24"/>
    </w:rPr>
  </w:style>
  <w:style w:type="paragraph" w:customStyle="1" w:styleId="495">
    <w:name w:val="报告书表格"/>
    <w:basedOn w:val="2"/>
    <w:next w:val="1"/>
    <w:autoRedefine/>
    <w:qFormat/>
    <w:uiPriority w:val="99"/>
    <w:pPr>
      <w:keepNext w:val="0"/>
      <w:keepLines w:val="0"/>
      <w:adjustRightInd w:val="0"/>
      <w:spacing w:before="60" w:after="60" w:line="240" w:lineRule="atLeast"/>
      <w:ind w:firstLine="425" w:firstLineChars="177"/>
      <w:jc w:val="center"/>
      <w:outlineLvl w:val="9"/>
    </w:pPr>
    <w:rPr>
      <w:bCs w:val="0"/>
      <w:kern w:val="0"/>
      <w:sz w:val="24"/>
      <w:szCs w:val="20"/>
    </w:rPr>
  </w:style>
  <w:style w:type="paragraph" w:customStyle="1" w:styleId="496">
    <w:name w:val="段"/>
    <w:next w:val="1"/>
    <w:autoRedefine/>
    <w:qFormat/>
    <w:uiPriority w:val="99"/>
    <w:pPr>
      <w:autoSpaceDE w:val="0"/>
      <w:autoSpaceDN w:val="0"/>
      <w:spacing w:line="240" w:lineRule="auto"/>
      <w:ind w:firstLine="200" w:firstLineChars="200"/>
      <w:jc w:val="both"/>
    </w:pPr>
    <w:rPr>
      <w:rFonts w:ascii="宋体" w:hAnsi="Times New Roman" w:eastAsia="宋体" w:cs="Times New Roman"/>
      <w:kern w:val="0"/>
      <w:sz w:val="21"/>
      <w:szCs w:val="20"/>
      <w:lang w:val="en-US" w:eastAsia="zh-CN" w:bidi="ar-SA"/>
    </w:rPr>
  </w:style>
  <w:style w:type="paragraph" w:customStyle="1" w:styleId="497">
    <w:name w:val="Char Char Char Char Char Char Char Char2 Char Char Char Char Char Char Char Char Char Char Char Char Char"/>
    <w:basedOn w:val="2"/>
    <w:next w:val="1"/>
    <w:autoRedefine/>
    <w:qFormat/>
    <w:uiPriority w:val="99"/>
    <w:pPr>
      <w:keepNext w:val="0"/>
      <w:keepLines w:val="0"/>
      <w:spacing w:before="0" w:after="0" w:line="336" w:lineRule="auto"/>
      <w:ind w:firstLine="200" w:firstLineChars="200"/>
      <w:outlineLvl w:val="9"/>
    </w:pPr>
    <w:rPr>
      <w:rFonts w:ascii="宋体" w:hAnsi="宋体" w:eastAsia="汉鼎简书宋" w:cs="宋体"/>
      <w:bCs w:val="0"/>
      <w:spacing w:val="4"/>
      <w:kern w:val="2"/>
      <w:sz w:val="24"/>
      <w:szCs w:val="24"/>
    </w:rPr>
  </w:style>
  <w:style w:type="paragraph" w:customStyle="1" w:styleId="498">
    <w:name w:val="表头名称"/>
    <w:basedOn w:val="5"/>
    <w:next w:val="1"/>
    <w:autoRedefine/>
    <w:qFormat/>
    <w:uiPriority w:val="99"/>
    <w:pPr>
      <w:autoSpaceDE w:val="0"/>
      <w:autoSpaceDN w:val="0"/>
      <w:snapToGrid/>
      <w:spacing w:line="360" w:lineRule="auto"/>
      <w:ind w:firstLine="0" w:firstLineChars="177"/>
      <w:jc w:val="center"/>
    </w:pPr>
    <w:rPr>
      <w:rFonts w:ascii="黑体" w:hAnsi="宋体" w:eastAsia="黑体"/>
      <w:sz w:val="24"/>
      <w:szCs w:val="20"/>
    </w:rPr>
  </w:style>
  <w:style w:type="paragraph" w:customStyle="1" w:styleId="499">
    <w:name w:val="font12"/>
    <w:basedOn w:val="2"/>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rFonts w:ascii="Symbol" w:hAnsi="Symbol" w:cs="宋体"/>
      <w:bCs w:val="0"/>
      <w:color w:val="000000"/>
      <w:kern w:val="0"/>
      <w:sz w:val="24"/>
      <w:szCs w:val="21"/>
    </w:rPr>
  </w:style>
  <w:style w:type="paragraph" w:customStyle="1" w:styleId="500">
    <w:name w:val="AFTERTITLE"/>
    <w:basedOn w:val="2"/>
    <w:next w:val="1"/>
    <w:autoRedefine/>
    <w:qFormat/>
    <w:uiPriority w:val="99"/>
    <w:pPr>
      <w:keepNext w:val="0"/>
      <w:keepLines w:val="0"/>
      <w:widowControl/>
      <w:spacing w:before="0" w:after="0" w:line="360" w:lineRule="atLeast"/>
      <w:ind w:firstLine="200" w:firstLineChars="200"/>
      <w:jc w:val="center"/>
      <w:outlineLvl w:val="9"/>
    </w:pPr>
    <w:rPr>
      <w:bCs w:val="0"/>
      <w:caps/>
      <w:kern w:val="0"/>
      <w:sz w:val="24"/>
      <w:szCs w:val="20"/>
      <w:lang w:val="fr-FR"/>
    </w:rPr>
  </w:style>
  <w:style w:type="paragraph" w:customStyle="1" w:styleId="501">
    <w:name w:val="font6"/>
    <w:basedOn w:val="2"/>
    <w:next w:val="1"/>
    <w:autoRedefine/>
    <w:qFormat/>
    <w:uiPriority w:val="99"/>
    <w:pPr>
      <w:keepNext w:val="0"/>
      <w:keepLines w:val="0"/>
      <w:widowControl/>
      <w:spacing w:before="100" w:beforeAutospacing="1" w:after="100" w:afterAutospacing="1" w:line="500" w:lineRule="atLeast"/>
      <w:ind w:firstLine="425" w:firstLineChars="177"/>
      <w:jc w:val="left"/>
      <w:outlineLvl w:val="9"/>
    </w:pPr>
    <w:rPr>
      <w:bCs w:val="0"/>
      <w:color w:val="000000"/>
      <w:kern w:val="0"/>
      <w:sz w:val="24"/>
      <w:szCs w:val="21"/>
    </w:rPr>
  </w:style>
  <w:style w:type="paragraph" w:customStyle="1" w:styleId="502">
    <w:name w:val="表序"/>
    <w:basedOn w:val="2"/>
    <w:next w:val="1"/>
    <w:autoRedefine/>
    <w:qFormat/>
    <w:uiPriority w:val="99"/>
    <w:pPr>
      <w:keepNext w:val="0"/>
      <w:keepLines w:val="0"/>
      <w:snapToGrid w:val="0"/>
      <w:spacing w:before="0" w:after="0" w:line="400" w:lineRule="exact"/>
      <w:ind w:firstLine="425" w:firstLineChars="177"/>
      <w:outlineLvl w:val="9"/>
    </w:pPr>
    <w:rPr>
      <w:rFonts w:ascii="宋体" w:hAnsi="宋体"/>
      <w:bCs w:val="0"/>
      <w:kern w:val="0"/>
      <w:sz w:val="24"/>
      <w:szCs w:val="20"/>
    </w:rPr>
  </w:style>
  <w:style w:type="paragraph" w:customStyle="1" w:styleId="503">
    <w:name w:val="段落2"/>
    <w:basedOn w:val="2"/>
    <w:next w:val="1"/>
    <w:autoRedefine/>
    <w:qFormat/>
    <w:uiPriority w:val="99"/>
    <w:pPr>
      <w:keepNext w:val="0"/>
      <w:keepLines w:val="0"/>
      <w:adjustRightInd w:val="0"/>
      <w:spacing w:before="0" w:after="0" w:line="440" w:lineRule="atLeast"/>
      <w:ind w:firstLine="425" w:firstLineChars="177"/>
      <w:outlineLvl w:val="9"/>
    </w:pPr>
    <w:rPr>
      <w:bCs w:val="0"/>
      <w:spacing w:val="6"/>
      <w:kern w:val="2"/>
      <w:sz w:val="28"/>
      <w:szCs w:val="20"/>
    </w:rPr>
  </w:style>
  <w:style w:type="paragraph" w:customStyle="1" w:styleId="504">
    <w:name w:val="公式题注"/>
    <w:next w:val="1"/>
    <w:autoRedefine/>
    <w:qFormat/>
    <w:uiPriority w:val="99"/>
    <w:pPr>
      <w:spacing w:line="0" w:lineRule="atLeast"/>
      <w:jc w:val="right"/>
    </w:pPr>
    <w:rPr>
      <w:rFonts w:ascii="Times New Roman" w:hAnsi="Times New Roman" w:eastAsia="黑体" w:cs="Times New Roman"/>
      <w:kern w:val="2"/>
      <w:sz w:val="24"/>
      <w:szCs w:val="20"/>
      <w:lang w:val="en-US" w:eastAsia="zh-CN" w:bidi="ar-SA"/>
    </w:rPr>
  </w:style>
  <w:style w:type="paragraph" w:customStyle="1" w:styleId="505">
    <w:name w:val="尾注文本1"/>
    <w:basedOn w:val="148"/>
    <w:next w:val="1"/>
    <w:autoRedefine/>
    <w:qFormat/>
    <w:uiPriority w:val="99"/>
    <w:rPr>
      <w:rFonts w:hAnsi="Calibri"/>
      <w:sz w:val="21"/>
      <w:szCs w:val="20"/>
    </w:rPr>
  </w:style>
  <w:style w:type="paragraph" w:customStyle="1" w:styleId="506">
    <w:name w:val="正文文字缩进1"/>
    <w:basedOn w:val="21"/>
    <w:next w:val="1"/>
    <w:autoRedefine/>
    <w:qFormat/>
    <w:uiPriority w:val="99"/>
    <w:pPr>
      <w:spacing w:line="360" w:lineRule="auto"/>
      <w:ind w:firstLine="551" w:firstLineChars="0"/>
    </w:pPr>
    <w:rPr>
      <w:rFonts w:ascii="黑体" w:eastAsia="黑体"/>
      <w:b/>
      <w:sz w:val="28"/>
      <w:szCs w:val="20"/>
    </w:rPr>
  </w:style>
  <w:style w:type="character" w:customStyle="1" w:styleId="507">
    <w:name w:val="样式4 Char"/>
    <w:link w:val="508"/>
    <w:autoRedefine/>
    <w:qFormat/>
    <w:locked/>
    <w:uiPriority w:val="0"/>
    <w:rPr>
      <w:rFonts w:ascii="宋体" w:hAnsi="宋体" w:eastAsia="宋体"/>
      <w:bCs/>
      <w:sz w:val="24"/>
      <w:szCs w:val="24"/>
    </w:rPr>
  </w:style>
  <w:style w:type="paragraph" w:customStyle="1" w:styleId="508">
    <w:name w:val="样式4"/>
    <w:basedOn w:val="18"/>
    <w:next w:val="1"/>
    <w:link w:val="507"/>
    <w:autoRedefine/>
    <w:qFormat/>
    <w:uiPriority w:val="0"/>
    <w:pPr>
      <w:spacing w:before="156" w:after="0" w:line="360" w:lineRule="auto"/>
      <w:ind w:firstLine="480" w:firstLineChars="200"/>
    </w:pPr>
    <w:rPr>
      <w:rFonts w:ascii="宋体" w:hAnsi="宋体" w:cstheme="minorBidi"/>
      <w:bCs/>
      <w:sz w:val="24"/>
    </w:rPr>
  </w:style>
  <w:style w:type="paragraph" w:customStyle="1" w:styleId="509">
    <w:name w:val="项目编号"/>
    <w:basedOn w:val="2"/>
    <w:next w:val="1"/>
    <w:autoRedefine/>
    <w:qFormat/>
    <w:uiPriority w:val="99"/>
    <w:pPr>
      <w:keepNext w:val="0"/>
      <w:keepLines w:val="0"/>
      <w:spacing w:before="120" w:after="120" w:line="360" w:lineRule="auto"/>
      <w:ind w:firstLine="425" w:firstLineChars="177"/>
      <w:outlineLvl w:val="9"/>
    </w:pPr>
    <w:rPr>
      <w:bCs w:val="0"/>
      <w:kern w:val="2"/>
      <w:sz w:val="24"/>
      <w:szCs w:val="20"/>
    </w:rPr>
  </w:style>
  <w:style w:type="paragraph" w:customStyle="1" w:styleId="510">
    <w:name w:val="Char Char Char Char Char Char Char Char Char Char Char"/>
    <w:basedOn w:val="2"/>
    <w:next w:val="1"/>
    <w:autoRedefine/>
    <w:qFormat/>
    <w:uiPriority w:val="99"/>
    <w:pPr>
      <w:keepNext w:val="0"/>
      <w:keepLines w:val="0"/>
      <w:spacing w:before="0" w:after="0" w:line="500" w:lineRule="atLeast"/>
      <w:ind w:firstLine="425" w:firstLineChars="177"/>
      <w:outlineLvl w:val="9"/>
    </w:pPr>
    <w:rPr>
      <w:bCs w:val="0"/>
      <w:kern w:val="2"/>
      <w:sz w:val="24"/>
      <w:szCs w:val="24"/>
    </w:rPr>
  </w:style>
  <w:style w:type="paragraph" w:customStyle="1" w:styleId="511">
    <w:name w:val="样式 样式 样式 首行缩进:  2 字符 + 首行缩进:  2 字符 + 首行缩进:  2 字符"/>
    <w:basedOn w:val="2"/>
    <w:next w:val="1"/>
    <w:autoRedefine/>
    <w:qFormat/>
    <w:uiPriority w:val="99"/>
    <w:pPr>
      <w:keepNext w:val="0"/>
      <w:keepLines w:val="0"/>
      <w:spacing w:before="0" w:after="0" w:line="500" w:lineRule="atLeast"/>
      <w:ind w:firstLine="567" w:firstLineChars="200"/>
      <w:outlineLvl w:val="9"/>
    </w:pPr>
    <w:rPr>
      <w:rFonts w:ascii="宋体"/>
      <w:bCs w:val="0"/>
      <w:kern w:val="2"/>
      <w:sz w:val="27"/>
      <w:szCs w:val="20"/>
    </w:rPr>
  </w:style>
  <w:style w:type="paragraph" w:customStyle="1" w:styleId="512">
    <w:name w:val="表、图名"/>
    <w:basedOn w:val="2"/>
    <w:next w:val="1"/>
    <w:autoRedefine/>
    <w:qFormat/>
    <w:uiPriority w:val="99"/>
    <w:pPr>
      <w:keepNext w:val="0"/>
      <w:keepLines w:val="0"/>
      <w:adjustRightInd w:val="0"/>
      <w:snapToGrid w:val="0"/>
      <w:spacing w:before="0" w:after="0" w:line="360" w:lineRule="auto"/>
      <w:ind w:firstLine="482" w:firstLineChars="177"/>
      <w:jc w:val="center"/>
      <w:outlineLvl w:val="9"/>
    </w:pPr>
    <w:rPr>
      <w:rFonts w:hAnsi="宋体"/>
      <w:bCs w:val="0"/>
      <w:color w:val="000000"/>
      <w:kern w:val="0"/>
      <w:sz w:val="24"/>
      <w:szCs w:val="21"/>
    </w:rPr>
  </w:style>
  <w:style w:type="paragraph" w:customStyle="1" w:styleId="513">
    <w:name w:val="正文 1"/>
    <w:basedOn w:val="2"/>
    <w:next w:val="1"/>
    <w:autoRedefine/>
    <w:qFormat/>
    <w:uiPriority w:val="99"/>
    <w:pPr>
      <w:keepNext w:val="0"/>
      <w:keepLines w:val="0"/>
      <w:spacing w:before="0" w:after="0" w:line="480" w:lineRule="exact"/>
      <w:ind w:firstLine="567" w:firstLineChars="177"/>
      <w:outlineLvl w:val="9"/>
    </w:pPr>
    <w:rPr>
      <w:bCs w:val="0"/>
      <w:kern w:val="2"/>
      <w:sz w:val="28"/>
      <w:szCs w:val="20"/>
    </w:rPr>
  </w:style>
  <w:style w:type="paragraph" w:customStyle="1" w:styleId="514">
    <w:name w:val="z正文"/>
    <w:basedOn w:val="21"/>
    <w:next w:val="1"/>
    <w:autoRedefine/>
    <w:qFormat/>
    <w:uiPriority w:val="99"/>
    <w:pPr>
      <w:autoSpaceDE w:val="0"/>
      <w:autoSpaceDN w:val="0"/>
      <w:adjustRightInd w:val="0"/>
      <w:snapToGrid w:val="0"/>
      <w:spacing w:line="360" w:lineRule="auto"/>
      <w:ind w:firstLine="200"/>
    </w:pPr>
  </w:style>
  <w:style w:type="paragraph" w:customStyle="1" w:styleId="515">
    <w:name w:val="样式 日期 + 宋体 行距: 1.5 倍行距"/>
    <w:basedOn w:val="26"/>
    <w:next w:val="1"/>
    <w:autoRedefine/>
    <w:qFormat/>
    <w:uiPriority w:val="99"/>
    <w:pPr>
      <w:widowControl/>
      <w:overflowPunct w:val="0"/>
      <w:autoSpaceDE w:val="0"/>
      <w:autoSpaceDN w:val="0"/>
      <w:adjustRightInd w:val="0"/>
      <w:spacing w:line="480" w:lineRule="exact"/>
      <w:ind w:left="0" w:leftChars="0" w:firstLine="200" w:firstLineChars="200"/>
    </w:pPr>
    <w:rPr>
      <w:rFonts w:ascii="宋体" w:hAnsi="宋体" w:cs="宋体"/>
      <w:color w:val="000000"/>
      <w:kern w:val="0"/>
      <w:sz w:val="28"/>
      <w:szCs w:val="20"/>
      <w:lang w:val="en-GB"/>
    </w:rPr>
  </w:style>
  <w:style w:type="paragraph" w:customStyle="1" w:styleId="516">
    <w:name w:val="xl49"/>
    <w:basedOn w:val="2"/>
    <w:next w:val="1"/>
    <w:autoRedefine/>
    <w:qFormat/>
    <w:uiPriority w:val="99"/>
    <w:pPr>
      <w:keepNext w:val="0"/>
      <w:keepLines w:val="0"/>
      <w:widowControl/>
      <w:pBdr>
        <w:left w:val="single" w:color="auto" w:sz="8" w:space="0"/>
        <w:right w:val="single" w:color="auto" w:sz="8" w:space="0"/>
      </w:pBdr>
      <w:spacing w:before="100" w:beforeAutospacing="1" w:after="100" w:afterAutospacing="1" w:line="500" w:lineRule="atLeast"/>
      <w:ind w:firstLine="425" w:firstLineChars="177"/>
      <w:jc w:val="center"/>
      <w:outlineLvl w:val="9"/>
    </w:pPr>
    <w:rPr>
      <w:bCs w:val="0"/>
      <w:color w:val="000000"/>
      <w:kern w:val="0"/>
      <w:sz w:val="24"/>
      <w:szCs w:val="21"/>
    </w:rPr>
  </w:style>
  <w:style w:type="paragraph" w:customStyle="1" w:styleId="517">
    <w:name w:val="xl25"/>
    <w:basedOn w:val="2"/>
    <w:next w:val="1"/>
    <w:autoRedefine/>
    <w:qFormat/>
    <w:uiPriority w:val="99"/>
    <w:pPr>
      <w:keepNext w:val="0"/>
      <w:keepLines w:val="0"/>
      <w:widowControl/>
      <w:pBdr>
        <w:left w:val="single" w:color="auto" w:sz="4" w:space="0"/>
        <w:bottom w:val="single" w:color="auto" w:sz="4" w:space="0"/>
        <w:right w:val="single" w:color="auto" w:sz="4" w:space="0"/>
      </w:pBdr>
      <w:autoSpaceDE w:val="0"/>
      <w:autoSpaceDN w:val="0"/>
      <w:snapToGrid w:val="0"/>
      <w:spacing w:before="100" w:beforeAutospacing="1" w:after="100" w:afterAutospacing="1" w:line="500" w:lineRule="atLeast"/>
      <w:ind w:firstLine="425" w:firstLineChars="177"/>
      <w:jc w:val="center"/>
      <w:outlineLvl w:val="9"/>
    </w:pPr>
    <w:rPr>
      <w:rFonts w:ascii="Arial Unicode MS" w:hAnsi="Arial Unicode MS" w:eastAsia="Arial Unicode MS"/>
      <w:bCs w:val="0"/>
      <w:kern w:val="0"/>
      <w:sz w:val="24"/>
      <w:szCs w:val="20"/>
    </w:rPr>
  </w:style>
  <w:style w:type="paragraph" w:customStyle="1" w:styleId="518">
    <w:name w:val="Char Char Char Char Char Char Char Char Char Char"/>
    <w:basedOn w:val="2"/>
    <w:next w:val="1"/>
    <w:autoRedefine/>
    <w:qFormat/>
    <w:uiPriority w:val="99"/>
    <w:pPr>
      <w:keepNext w:val="0"/>
      <w:keepLines w:val="0"/>
      <w:spacing w:before="0" w:after="0" w:line="500" w:lineRule="atLeast"/>
      <w:ind w:firstLine="425" w:firstLineChars="177"/>
      <w:jc w:val="center"/>
      <w:outlineLvl w:val="9"/>
    </w:pPr>
    <w:rPr>
      <w:rFonts w:ascii="黑体" w:hAnsi="宋体" w:eastAsia="黑体"/>
      <w:bCs w:val="0"/>
      <w:color w:val="000000"/>
      <w:kern w:val="24"/>
      <w:sz w:val="32"/>
      <w:szCs w:val="32"/>
    </w:rPr>
  </w:style>
  <w:style w:type="paragraph" w:customStyle="1" w:styleId="519">
    <w:name w:val="表内字"/>
    <w:next w:val="1"/>
    <w:autoRedefine/>
    <w:qFormat/>
    <w:uiPriority w:val="99"/>
    <w:pPr>
      <w:spacing w:line="312" w:lineRule="auto"/>
      <w:jc w:val="center"/>
    </w:pPr>
    <w:rPr>
      <w:rFonts w:ascii="Times New Roman" w:hAnsi="Times New Roman" w:eastAsia="宋体" w:cs="Times New Roman"/>
      <w:color w:val="000000"/>
      <w:kern w:val="0"/>
      <w:sz w:val="21"/>
      <w:szCs w:val="20"/>
      <w:lang w:val="en-US" w:eastAsia="zh-CN" w:bidi="ar-SA"/>
    </w:rPr>
  </w:style>
  <w:style w:type="paragraph" w:customStyle="1" w:styleId="520">
    <w:name w:val="表的格式（小四）"/>
    <w:basedOn w:val="2"/>
    <w:next w:val="1"/>
    <w:autoRedefine/>
    <w:qFormat/>
    <w:uiPriority w:val="99"/>
    <w:pPr>
      <w:keepNext w:val="0"/>
      <w:keepLines w:val="0"/>
      <w:adjustRightInd w:val="0"/>
      <w:spacing w:before="0" w:after="0" w:line="360" w:lineRule="atLeast"/>
      <w:ind w:firstLine="425" w:firstLineChars="177"/>
      <w:jc w:val="center"/>
      <w:outlineLvl w:val="9"/>
    </w:pPr>
    <w:rPr>
      <w:bCs w:val="0"/>
      <w:kern w:val="0"/>
      <w:sz w:val="24"/>
      <w:szCs w:val="20"/>
    </w:rPr>
  </w:style>
  <w:style w:type="paragraph" w:customStyle="1" w:styleId="521">
    <w:name w:val="列出段落11"/>
    <w:basedOn w:val="2"/>
    <w:next w:val="1"/>
    <w:autoRedefine/>
    <w:qFormat/>
    <w:uiPriority w:val="99"/>
    <w:pPr>
      <w:keepNext w:val="0"/>
      <w:keepLines w:val="0"/>
      <w:spacing w:before="0" w:after="0" w:line="500" w:lineRule="atLeast"/>
      <w:ind w:firstLine="420" w:firstLineChars="200"/>
      <w:outlineLvl w:val="9"/>
    </w:pPr>
    <w:rPr>
      <w:rFonts w:ascii="Calibri" w:hAnsi="Calibri"/>
      <w:bCs w:val="0"/>
      <w:kern w:val="2"/>
      <w:sz w:val="24"/>
      <w:szCs w:val="24"/>
    </w:rPr>
  </w:style>
  <w:style w:type="paragraph" w:customStyle="1" w:styleId="522">
    <w:name w:val="acee正文"/>
    <w:basedOn w:val="2"/>
    <w:next w:val="1"/>
    <w:autoRedefine/>
    <w:qFormat/>
    <w:uiPriority w:val="99"/>
    <w:pPr>
      <w:keepNext w:val="0"/>
      <w:keepLines w:val="0"/>
      <w:spacing w:before="0" w:after="0" w:line="480" w:lineRule="exact"/>
      <w:ind w:firstLine="640" w:firstLineChars="200"/>
      <w:outlineLvl w:val="9"/>
    </w:pPr>
    <w:rPr>
      <w:rFonts w:ascii="仿宋_GB2312" w:hAnsi="宋体" w:eastAsia="仿宋_GB2312"/>
      <w:bCs w:val="0"/>
      <w:kern w:val="2"/>
      <w:sz w:val="32"/>
      <w:szCs w:val="24"/>
    </w:rPr>
  </w:style>
  <w:style w:type="paragraph" w:customStyle="1" w:styleId="523">
    <w:name w:val="xl56"/>
    <w:basedOn w:val="2"/>
    <w:next w:val="1"/>
    <w:autoRedefine/>
    <w:qFormat/>
    <w:uiPriority w:val="99"/>
    <w:pPr>
      <w:keepNext w:val="0"/>
      <w:keepLines w:val="0"/>
      <w:widowControl/>
      <w:pBdr>
        <w:top w:val="single" w:color="auto" w:sz="12" w:space="0"/>
        <w:left w:val="single" w:color="auto" w:sz="8" w:space="0"/>
        <w:bottom w:val="single" w:color="auto" w:sz="8" w:space="0"/>
      </w:pBdr>
      <w:spacing w:before="100" w:beforeAutospacing="1" w:after="100" w:afterAutospacing="1" w:line="500" w:lineRule="atLeast"/>
      <w:ind w:firstLine="425" w:firstLineChars="177"/>
      <w:jc w:val="center"/>
      <w:outlineLvl w:val="9"/>
    </w:pPr>
    <w:rPr>
      <w:rFonts w:ascii="宋体" w:hAnsi="宋体" w:cs="宋体"/>
      <w:bCs w:val="0"/>
      <w:color w:val="000000"/>
      <w:kern w:val="0"/>
      <w:sz w:val="24"/>
      <w:szCs w:val="21"/>
    </w:rPr>
  </w:style>
  <w:style w:type="paragraph" w:customStyle="1" w:styleId="524">
    <w:name w:val="EIA标题2"/>
    <w:basedOn w:val="3"/>
    <w:next w:val="1"/>
    <w:autoRedefine/>
    <w:qFormat/>
    <w:uiPriority w:val="99"/>
    <w:pPr>
      <w:tabs>
        <w:tab w:val="left" w:pos="576"/>
      </w:tabs>
      <w:spacing w:before="0" w:after="120" w:line="440" w:lineRule="exact"/>
      <w:ind w:firstLine="425" w:firstLineChars="177"/>
      <w:jc w:val="left"/>
    </w:pPr>
    <w:rPr>
      <w:rFonts w:ascii="Times New Roman" w:hAnsi="Times New Roman" w:eastAsia="黑体" w:cs="Times New Roman"/>
      <w:bCs w:val="0"/>
      <w:color w:val="000000"/>
      <w:sz w:val="24"/>
      <w:szCs w:val="20"/>
    </w:rPr>
  </w:style>
  <w:style w:type="paragraph" w:customStyle="1" w:styleId="525">
    <w:name w:val="样式"/>
    <w:basedOn w:val="2"/>
    <w:next w:val="1"/>
    <w:autoRedefine/>
    <w:qFormat/>
    <w:uiPriority w:val="99"/>
    <w:pPr>
      <w:keepNext w:val="0"/>
      <w:keepLines w:val="0"/>
      <w:pBdr>
        <w:bottom w:val="single" w:color="auto" w:sz="4" w:space="1"/>
      </w:pBdr>
      <w:spacing w:before="0" w:after="0" w:line="500" w:lineRule="atLeast"/>
      <w:ind w:firstLine="425" w:firstLineChars="177"/>
      <w:outlineLvl w:val="9"/>
    </w:pPr>
    <w:rPr>
      <w:bCs w:val="0"/>
      <w:kern w:val="2"/>
      <w:sz w:val="18"/>
      <w:szCs w:val="24"/>
    </w:rPr>
  </w:style>
  <w:style w:type="paragraph" w:customStyle="1" w:styleId="526">
    <w:name w:val="样式 标题 4常用标题 4 + 段前: 6 磅 段后: 6 磅 行距: 固定值 26 磅"/>
    <w:basedOn w:val="6"/>
    <w:next w:val="1"/>
    <w:autoRedefine/>
    <w:qFormat/>
    <w:uiPriority w:val="99"/>
    <w:pPr>
      <w:tabs>
        <w:tab w:val="left" w:pos="2250"/>
      </w:tabs>
      <w:spacing w:before="0" w:after="0" w:line="240" w:lineRule="auto"/>
      <w:ind w:left="2250" w:hanging="420" w:firstLineChars="177"/>
    </w:pPr>
    <w:rPr>
      <w:rFonts w:ascii="Arial" w:hAnsi="Arial" w:eastAsia="黑体" w:cs="宋体"/>
      <w:szCs w:val="20"/>
    </w:rPr>
  </w:style>
  <w:style w:type="paragraph" w:customStyle="1" w:styleId="527">
    <w:name w:val="EIA正文"/>
    <w:basedOn w:val="2"/>
    <w:next w:val="1"/>
    <w:autoRedefine/>
    <w:qFormat/>
    <w:uiPriority w:val="99"/>
    <w:pPr>
      <w:keepNext w:val="0"/>
      <w:keepLines w:val="0"/>
      <w:spacing w:before="0" w:after="0" w:line="360" w:lineRule="auto"/>
      <w:ind w:firstLine="578" w:firstLineChars="177"/>
      <w:outlineLvl w:val="9"/>
    </w:pPr>
    <w:rPr>
      <w:rFonts w:ascii="宋体" w:hAnsi="宋体"/>
      <w:bCs w:val="0"/>
      <w:kern w:val="2"/>
      <w:sz w:val="24"/>
      <w:szCs w:val="20"/>
    </w:rPr>
  </w:style>
  <w:style w:type="paragraph" w:customStyle="1" w:styleId="528">
    <w:name w:val="5"/>
    <w:basedOn w:val="2"/>
    <w:next w:val="5"/>
    <w:autoRedefine/>
    <w:qFormat/>
    <w:uiPriority w:val="99"/>
    <w:pPr>
      <w:keepNext w:val="0"/>
      <w:keepLines w:val="0"/>
      <w:spacing w:before="0" w:after="0" w:line="500" w:lineRule="atLeast"/>
      <w:ind w:firstLine="420" w:firstLineChars="177"/>
      <w:outlineLvl w:val="9"/>
    </w:pPr>
    <w:rPr>
      <w:bCs w:val="0"/>
      <w:kern w:val="2"/>
      <w:sz w:val="24"/>
      <w:szCs w:val="21"/>
    </w:rPr>
  </w:style>
  <w:style w:type="paragraph" w:customStyle="1" w:styleId="529">
    <w:name w:val="+正文"/>
    <w:basedOn w:val="2"/>
    <w:next w:val="1"/>
    <w:autoRedefine/>
    <w:qFormat/>
    <w:uiPriority w:val="99"/>
    <w:pPr>
      <w:keepNext w:val="0"/>
      <w:keepLines w:val="0"/>
      <w:adjustRightInd w:val="0"/>
      <w:snapToGrid w:val="0"/>
      <w:spacing w:before="0" w:after="0" w:line="360" w:lineRule="auto"/>
      <w:ind w:firstLine="200" w:firstLineChars="200"/>
      <w:outlineLvl w:val="9"/>
    </w:pPr>
    <w:rPr>
      <w:bCs w:val="0"/>
      <w:kern w:val="2"/>
      <w:sz w:val="24"/>
      <w:szCs w:val="28"/>
    </w:rPr>
  </w:style>
  <w:style w:type="paragraph" w:customStyle="1" w:styleId="530">
    <w:name w:val="样式 宋体 四号 两端对齐 行距: 1.5 倍行距"/>
    <w:basedOn w:val="2"/>
    <w:next w:val="1"/>
    <w:autoRedefine/>
    <w:qFormat/>
    <w:uiPriority w:val="99"/>
    <w:pPr>
      <w:keepNext w:val="0"/>
      <w:keepLines w:val="0"/>
      <w:widowControl/>
      <w:overflowPunct w:val="0"/>
      <w:autoSpaceDE w:val="0"/>
      <w:autoSpaceDN w:val="0"/>
      <w:adjustRightInd w:val="0"/>
      <w:spacing w:before="0" w:after="0" w:line="480" w:lineRule="exact"/>
      <w:ind w:firstLine="200" w:firstLineChars="200"/>
      <w:outlineLvl w:val="9"/>
    </w:pPr>
    <w:rPr>
      <w:rFonts w:ascii="宋体" w:hAnsi="宋体" w:cs="宋体"/>
      <w:bCs w:val="0"/>
      <w:kern w:val="0"/>
      <w:sz w:val="28"/>
      <w:szCs w:val="20"/>
      <w:lang w:val="en-GB"/>
    </w:rPr>
  </w:style>
  <w:style w:type="character" w:customStyle="1" w:styleId="531">
    <w:name w:val="sn Char Char"/>
    <w:link w:val="532"/>
    <w:autoRedefine/>
    <w:qFormat/>
    <w:locked/>
    <w:uiPriority w:val="0"/>
    <w:rPr>
      <w:rFonts w:ascii="Arial" w:hAnsi="Arial" w:cs="Arial"/>
      <w:sz w:val="24"/>
      <w:szCs w:val="24"/>
    </w:rPr>
  </w:style>
  <w:style w:type="paragraph" w:customStyle="1" w:styleId="532">
    <w:name w:val="sn"/>
    <w:basedOn w:val="43"/>
    <w:next w:val="1"/>
    <w:link w:val="531"/>
    <w:autoRedefine/>
    <w:qFormat/>
    <w:uiPriority w:val="0"/>
    <w:rPr>
      <w:rFonts w:ascii="Arial" w:hAnsi="Arial" w:cs="Arial"/>
    </w:rPr>
  </w:style>
  <w:style w:type="paragraph" w:customStyle="1" w:styleId="533">
    <w:name w:val="Char Char Char Char2"/>
    <w:basedOn w:val="2"/>
    <w:next w:val="1"/>
    <w:autoRedefine/>
    <w:qFormat/>
    <w:uiPriority w:val="99"/>
    <w:pPr>
      <w:keepNext w:val="0"/>
      <w:keepLines w:val="0"/>
      <w:spacing w:before="0" w:after="0" w:line="500" w:lineRule="atLeast"/>
      <w:ind w:firstLine="425" w:firstLineChars="177"/>
      <w:outlineLvl w:val="9"/>
    </w:pPr>
    <w:rPr>
      <w:bCs w:val="0"/>
      <w:kern w:val="2"/>
      <w:sz w:val="24"/>
      <w:szCs w:val="24"/>
    </w:rPr>
  </w:style>
  <w:style w:type="paragraph" w:customStyle="1" w:styleId="534">
    <w:name w:val="1表格"/>
    <w:basedOn w:val="2"/>
    <w:next w:val="1"/>
    <w:autoRedefine/>
    <w:qFormat/>
    <w:uiPriority w:val="99"/>
    <w:pPr>
      <w:keepNext w:val="0"/>
      <w:keepLines w:val="0"/>
      <w:snapToGrid w:val="0"/>
      <w:spacing w:before="0" w:after="0" w:line="500" w:lineRule="atLeast"/>
      <w:ind w:firstLine="425" w:firstLineChars="177"/>
      <w:jc w:val="center"/>
      <w:outlineLvl w:val="9"/>
    </w:pPr>
    <w:rPr>
      <w:bCs w:val="0"/>
      <w:color w:val="000000"/>
      <w:spacing w:val="4"/>
      <w:kern w:val="0"/>
      <w:sz w:val="24"/>
      <w:szCs w:val="24"/>
    </w:rPr>
  </w:style>
  <w:style w:type="paragraph" w:customStyle="1" w:styleId="535">
    <w:name w:val="样式 标题 3样式　标题 3　自动设置标题 3 Char章 + Times New 表题3"/>
    <w:basedOn w:val="4"/>
    <w:next w:val="1"/>
    <w:autoRedefine/>
    <w:qFormat/>
    <w:uiPriority w:val="99"/>
    <w:pPr>
      <w:tabs>
        <w:tab w:val="left" w:pos="1830"/>
        <w:tab w:val="left" w:pos="3800"/>
        <w:tab w:val="left" w:pos="5200"/>
      </w:tabs>
      <w:autoSpaceDE w:val="0"/>
      <w:autoSpaceDN w:val="0"/>
      <w:adjustRightInd w:val="0"/>
      <w:spacing w:before="120" w:after="0" w:line="240" w:lineRule="auto"/>
      <w:ind w:left="1830" w:hanging="420"/>
    </w:pPr>
    <w:rPr>
      <w:rFonts w:ascii="Times New Roman" w:hAnsi="Times New Roman"/>
      <w:bCs/>
      <w:kern w:val="0"/>
      <w:sz w:val="28"/>
      <w:szCs w:val="28"/>
    </w:rPr>
  </w:style>
  <w:style w:type="paragraph" w:customStyle="1" w:styleId="536">
    <w:name w:val="Bullet_Indent"/>
    <w:basedOn w:val="2"/>
    <w:next w:val="1"/>
    <w:autoRedefine/>
    <w:qFormat/>
    <w:uiPriority w:val="99"/>
    <w:pPr>
      <w:keepNext w:val="0"/>
      <w:keepLines w:val="0"/>
      <w:widowControl/>
      <w:spacing w:before="0" w:after="240" w:line="500" w:lineRule="atLeast"/>
      <w:ind w:left="1440" w:hanging="720" w:firstLineChars="177"/>
      <w:jc w:val="left"/>
      <w:outlineLvl w:val="9"/>
    </w:pPr>
    <w:rPr>
      <w:bCs w:val="0"/>
      <w:kern w:val="0"/>
      <w:sz w:val="24"/>
      <w:szCs w:val="20"/>
    </w:rPr>
  </w:style>
  <w:style w:type="paragraph" w:customStyle="1" w:styleId="537">
    <w:name w:val="zhengwen"/>
    <w:basedOn w:val="2"/>
    <w:next w:val="1"/>
    <w:autoRedefine/>
    <w:qFormat/>
    <w:uiPriority w:val="99"/>
    <w:pPr>
      <w:keepNext w:val="0"/>
      <w:keepLines w:val="0"/>
      <w:widowControl/>
      <w:spacing w:before="100" w:beforeAutospacing="1" w:after="100" w:afterAutospacing="1" w:line="800" w:lineRule="atLeast"/>
      <w:ind w:firstLine="425" w:firstLineChars="177"/>
      <w:jc w:val="left"/>
      <w:outlineLvl w:val="9"/>
    </w:pPr>
    <w:rPr>
      <w:rFonts w:ascii="Arial Unicode MS" w:hAnsi="Arial Unicode MS"/>
      <w:bCs w:val="0"/>
      <w:color w:val="333333"/>
      <w:kern w:val="0"/>
      <w:sz w:val="18"/>
      <w:szCs w:val="18"/>
    </w:rPr>
  </w:style>
  <w:style w:type="paragraph" w:customStyle="1" w:styleId="538">
    <w:name w:val="xl50"/>
    <w:basedOn w:val="2"/>
    <w:next w:val="1"/>
    <w:autoRedefine/>
    <w:qFormat/>
    <w:uiPriority w:val="99"/>
    <w:pPr>
      <w:keepNext w:val="0"/>
      <w:keepLines w:val="0"/>
      <w:widowControl/>
      <w:pBdr>
        <w:left w:val="single" w:color="auto" w:sz="8" w:space="0"/>
        <w:bottom w:val="single" w:color="auto" w:sz="8" w:space="0"/>
        <w:right w:val="single" w:color="auto" w:sz="8" w:space="0"/>
      </w:pBdr>
      <w:spacing w:before="100" w:beforeAutospacing="1" w:after="100" w:afterAutospacing="1" w:line="500" w:lineRule="atLeast"/>
      <w:ind w:firstLine="425" w:firstLineChars="177"/>
      <w:jc w:val="center"/>
      <w:outlineLvl w:val="9"/>
    </w:pPr>
    <w:rPr>
      <w:bCs w:val="0"/>
      <w:color w:val="000000"/>
      <w:kern w:val="0"/>
      <w:sz w:val="24"/>
      <w:szCs w:val="21"/>
    </w:rPr>
  </w:style>
  <w:style w:type="paragraph" w:customStyle="1" w:styleId="539">
    <w:name w:val="表格2"/>
    <w:basedOn w:val="2"/>
    <w:next w:val="1"/>
    <w:autoRedefine/>
    <w:qFormat/>
    <w:uiPriority w:val="99"/>
    <w:pPr>
      <w:keepNext w:val="0"/>
      <w:keepLines w:val="0"/>
      <w:spacing w:beforeLines="5" w:after="0" w:line="500" w:lineRule="atLeast"/>
      <w:ind w:firstLine="425" w:firstLineChars="177"/>
      <w:jc w:val="center"/>
      <w:outlineLvl w:val="9"/>
    </w:pPr>
    <w:rPr>
      <w:rFonts w:ascii="宋体"/>
      <w:bCs w:val="0"/>
      <w:kern w:val="2"/>
      <w:sz w:val="24"/>
      <w:szCs w:val="20"/>
    </w:rPr>
  </w:style>
  <w:style w:type="paragraph" w:customStyle="1" w:styleId="540">
    <w:name w:val="Char Char Char Char1 Char Char Char1 Char Char Char"/>
    <w:basedOn w:val="2"/>
    <w:next w:val="1"/>
    <w:autoRedefine/>
    <w:qFormat/>
    <w:uiPriority w:val="99"/>
    <w:pPr>
      <w:keepNext w:val="0"/>
      <w:keepLines w:val="0"/>
      <w:spacing w:before="0" w:after="0" w:line="360" w:lineRule="auto"/>
      <w:ind w:firstLine="200" w:firstLineChars="200"/>
      <w:outlineLvl w:val="9"/>
    </w:pPr>
    <w:rPr>
      <w:rFonts w:ascii="宋体" w:hAnsi="宋体" w:cs="宋体"/>
      <w:bCs w:val="0"/>
      <w:kern w:val="2"/>
      <w:sz w:val="24"/>
      <w:szCs w:val="24"/>
    </w:rPr>
  </w:style>
  <w:style w:type="paragraph" w:customStyle="1" w:styleId="541">
    <w:name w:val="IDC A-Head (2nd Line)"/>
    <w:basedOn w:val="2"/>
    <w:next w:val="1"/>
    <w:autoRedefine/>
    <w:qFormat/>
    <w:uiPriority w:val="99"/>
    <w:pPr>
      <w:keepNext w:val="0"/>
      <w:keepLines w:val="0"/>
      <w:widowControl/>
      <w:numPr>
        <w:ilvl w:val="0"/>
        <w:numId w:val="1"/>
      </w:numPr>
      <w:spacing w:before="0" w:after="0" w:line="500" w:lineRule="atLeast"/>
      <w:ind w:firstLine="177" w:firstLineChars="177"/>
      <w:jc w:val="center"/>
      <w:outlineLvl w:val="9"/>
    </w:pPr>
    <w:rPr>
      <w:bCs w:val="0"/>
      <w:caps/>
      <w:kern w:val="0"/>
      <w:sz w:val="24"/>
      <w:szCs w:val="20"/>
    </w:rPr>
  </w:style>
  <w:style w:type="paragraph" w:customStyle="1" w:styleId="542">
    <w:name w:val="表格文字（黑体）"/>
    <w:basedOn w:val="208"/>
    <w:next w:val="1"/>
    <w:autoRedefine/>
    <w:qFormat/>
    <w:uiPriority w:val="99"/>
    <w:rPr>
      <w:rFonts w:ascii="Times New Roman" w:hAnsi="Times New Roman" w:eastAsia="宋体"/>
      <w:kern w:val="2"/>
      <w:sz w:val="21"/>
    </w:rPr>
  </w:style>
  <w:style w:type="paragraph" w:customStyle="1" w:styleId="543">
    <w:name w:val="Body Text 21"/>
    <w:basedOn w:val="2"/>
    <w:next w:val="1"/>
    <w:autoRedefine/>
    <w:qFormat/>
    <w:uiPriority w:val="99"/>
    <w:pPr>
      <w:keepNext w:val="0"/>
      <w:keepLines w:val="0"/>
      <w:autoSpaceDE w:val="0"/>
      <w:autoSpaceDN w:val="0"/>
      <w:adjustRightInd w:val="0"/>
      <w:spacing w:before="0" w:after="0" w:line="480" w:lineRule="exact"/>
      <w:ind w:firstLine="540" w:firstLineChars="177"/>
      <w:outlineLvl w:val="9"/>
    </w:pPr>
    <w:rPr>
      <w:rFonts w:ascii="宋体" w:hAnsi="Tms Rmn"/>
      <w:bCs w:val="0"/>
      <w:kern w:val="0"/>
      <w:sz w:val="24"/>
      <w:szCs w:val="20"/>
    </w:rPr>
  </w:style>
  <w:style w:type="character" w:customStyle="1" w:styleId="544">
    <w:name w:val="二级标题 Char"/>
    <w:basedOn w:val="63"/>
    <w:link w:val="545"/>
    <w:autoRedefine/>
    <w:qFormat/>
    <w:locked/>
    <w:uiPriority w:val="0"/>
    <w:rPr>
      <w:rFonts w:ascii="Arial" w:hAnsi="黑体" w:eastAsia="黑体" w:cs="Arial"/>
      <w:color w:val="000000"/>
      <w:kern w:val="0"/>
      <w:sz w:val="28"/>
      <w:szCs w:val="30"/>
    </w:rPr>
  </w:style>
  <w:style w:type="paragraph" w:customStyle="1" w:styleId="545">
    <w:name w:val="二级标题"/>
    <w:basedOn w:val="3"/>
    <w:next w:val="1"/>
    <w:link w:val="544"/>
    <w:autoRedefine/>
    <w:qFormat/>
    <w:uiPriority w:val="0"/>
    <w:pPr>
      <w:spacing w:before="200" w:after="200" w:line="360" w:lineRule="auto"/>
    </w:pPr>
    <w:rPr>
      <w:rFonts w:ascii="Arial" w:hAnsi="黑体" w:eastAsia="黑体" w:cs="Arial"/>
      <w:color w:val="000000"/>
      <w:kern w:val="0"/>
      <w:sz w:val="28"/>
      <w:szCs w:val="30"/>
    </w:rPr>
  </w:style>
  <w:style w:type="paragraph" w:customStyle="1" w:styleId="546">
    <w:name w:val="正文曹"/>
    <w:basedOn w:val="21"/>
    <w:next w:val="1"/>
    <w:autoRedefine/>
    <w:qFormat/>
    <w:uiPriority w:val="99"/>
    <w:pPr>
      <w:widowControl/>
      <w:spacing w:line="500" w:lineRule="exact"/>
      <w:jc w:val="left"/>
    </w:pPr>
    <w:rPr>
      <w:rFonts w:ascii="宋体" w:hAnsi="宋体"/>
      <w:color w:val="000000"/>
    </w:rPr>
  </w:style>
  <w:style w:type="character" w:customStyle="1" w:styleId="547">
    <w:name w:val="【标题2】 Char Char"/>
    <w:link w:val="548"/>
    <w:autoRedefine/>
    <w:qFormat/>
    <w:locked/>
    <w:uiPriority w:val="0"/>
    <w:rPr>
      <w:rFonts w:ascii="宋体" w:hAnsi="宋体" w:eastAsia="宋体"/>
      <w:b/>
      <w:bCs/>
      <w:sz w:val="28"/>
    </w:rPr>
  </w:style>
  <w:style w:type="paragraph" w:customStyle="1" w:styleId="548">
    <w:name w:val="【标题2】"/>
    <w:basedOn w:val="3"/>
    <w:next w:val="1"/>
    <w:link w:val="547"/>
    <w:autoRedefine/>
    <w:qFormat/>
    <w:uiPriority w:val="0"/>
    <w:pPr>
      <w:keepNext w:val="0"/>
      <w:tabs>
        <w:tab w:val="left" w:pos="720"/>
      </w:tabs>
      <w:spacing w:before="0" w:after="0" w:line="440" w:lineRule="exact"/>
    </w:pPr>
    <w:rPr>
      <w:rFonts w:ascii="宋体" w:hAnsi="宋体" w:eastAsia="宋体" w:cstheme="minorBidi"/>
      <w:sz w:val="28"/>
      <w:szCs w:val="22"/>
    </w:rPr>
  </w:style>
  <w:style w:type="character" w:customStyle="1" w:styleId="549">
    <w:name w:val="表格内正文 Char"/>
    <w:link w:val="550"/>
    <w:autoRedefine/>
    <w:qFormat/>
    <w:locked/>
    <w:uiPriority w:val="0"/>
    <w:rPr>
      <w:rFonts w:ascii="宋体" w:hAnsi="宋体" w:eastAsia="宋体"/>
      <w:szCs w:val="24"/>
    </w:rPr>
  </w:style>
  <w:style w:type="paragraph" w:customStyle="1" w:styleId="550">
    <w:name w:val="表格内正文"/>
    <w:basedOn w:val="2"/>
    <w:next w:val="1"/>
    <w:link w:val="549"/>
    <w:autoRedefine/>
    <w:qFormat/>
    <w:uiPriority w:val="0"/>
    <w:pPr>
      <w:keepNext w:val="0"/>
      <w:keepLines w:val="0"/>
      <w:spacing w:before="0" w:after="0" w:line="360" w:lineRule="auto"/>
      <w:jc w:val="center"/>
      <w:outlineLvl w:val="9"/>
    </w:pPr>
    <w:rPr>
      <w:rFonts w:ascii="宋体" w:hAnsi="宋体" w:cstheme="minorBidi"/>
      <w:bCs w:val="0"/>
      <w:kern w:val="2"/>
      <w:sz w:val="21"/>
      <w:szCs w:val="24"/>
    </w:rPr>
  </w:style>
  <w:style w:type="paragraph" w:customStyle="1" w:styleId="551">
    <w:name w:val="样式 cucd-0 + 宋体"/>
    <w:basedOn w:val="382"/>
    <w:next w:val="1"/>
    <w:autoRedefine/>
    <w:qFormat/>
    <w:uiPriority w:val="99"/>
    <w:rPr>
      <w:rFonts w:ascii="宋体" w:hAnsi="宋体"/>
    </w:rPr>
  </w:style>
  <w:style w:type="paragraph" w:customStyle="1" w:styleId="552">
    <w:name w:val="Char Char Char Char Char Char Char Char Char Char Char Char1 Char Char Char Char Char Char Char Char Char Char Char Char1 Char"/>
    <w:basedOn w:val="2"/>
    <w:next w:val="1"/>
    <w:autoRedefine/>
    <w:semiHidden/>
    <w:qFormat/>
    <w:uiPriority w:val="99"/>
    <w:pPr>
      <w:keepNext w:val="0"/>
      <w:keepLines w:val="0"/>
      <w:spacing w:before="0" w:after="0" w:line="336" w:lineRule="auto"/>
      <w:ind w:firstLine="200" w:firstLineChars="200"/>
      <w:outlineLvl w:val="9"/>
    </w:pPr>
    <w:rPr>
      <w:rFonts w:ascii="宋体" w:hAnsi="宋体" w:eastAsia="汉鼎简书宋" w:cs="宋体"/>
      <w:bCs w:val="0"/>
      <w:kern w:val="2"/>
      <w:sz w:val="24"/>
      <w:szCs w:val="24"/>
    </w:rPr>
  </w:style>
  <w:style w:type="paragraph" w:customStyle="1" w:styleId="553">
    <w:name w:val="Char Char Char1 Char"/>
    <w:basedOn w:val="2"/>
    <w:next w:val="1"/>
    <w:autoRedefine/>
    <w:semiHidden/>
    <w:qFormat/>
    <w:uiPriority w:val="99"/>
    <w:pPr>
      <w:keepNext w:val="0"/>
      <w:keepLines w:val="0"/>
      <w:spacing w:before="0" w:after="0" w:line="500" w:lineRule="atLeast"/>
      <w:ind w:firstLine="425" w:firstLineChars="177"/>
      <w:outlineLvl w:val="9"/>
    </w:pPr>
    <w:rPr>
      <w:bCs w:val="0"/>
      <w:kern w:val="2"/>
      <w:sz w:val="24"/>
      <w:szCs w:val="24"/>
    </w:rPr>
  </w:style>
  <w:style w:type="paragraph" w:customStyle="1" w:styleId="554">
    <w:name w:val="正文(a)"/>
    <w:basedOn w:val="2"/>
    <w:next w:val="1"/>
    <w:autoRedefine/>
    <w:semiHidden/>
    <w:qFormat/>
    <w:uiPriority w:val="99"/>
    <w:pPr>
      <w:keepNext w:val="0"/>
      <w:keepLines w:val="0"/>
      <w:widowControl/>
      <w:tabs>
        <w:tab w:val="left" w:pos="1139"/>
        <w:tab w:val="left" w:pos="1332"/>
      </w:tabs>
      <w:spacing w:before="0" w:after="0" w:line="351" w:lineRule="atLeast"/>
      <w:ind w:left="-141" w:firstLine="566" w:firstLineChars="177"/>
      <w:outlineLvl w:val="9"/>
    </w:pPr>
    <w:rPr>
      <w:rFonts w:ascii="宋体" w:cs="宋体"/>
      <w:color w:val="000000"/>
      <w:spacing w:val="5"/>
      <w:kern w:val="0"/>
      <w:sz w:val="24"/>
      <w:szCs w:val="21"/>
      <w:u w:color="000000"/>
    </w:rPr>
  </w:style>
  <w:style w:type="character" w:styleId="555">
    <w:name w:val="Placeholder Text"/>
    <w:basedOn w:val="50"/>
    <w:autoRedefine/>
    <w:semiHidden/>
    <w:qFormat/>
    <w:uiPriority w:val="99"/>
    <w:rPr>
      <w:color w:val="808080"/>
    </w:rPr>
  </w:style>
  <w:style w:type="character" w:customStyle="1" w:styleId="556">
    <w:name w:val="页脚 Char1"/>
    <w:basedOn w:val="50"/>
    <w:autoRedefine/>
    <w:semiHidden/>
    <w:qFormat/>
    <w:uiPriority w:val="99"/>
    <w:rPr>
      <w:rFonts w:ascii="Times New Roman" w:hAnsi="Times New Roman" w:eastAsia="宋体" w:cs="Times New Roman"/>
      <w:sz w:val="18"/>
      <w:szCs w:val="18"/>
    </w:rPr>
  </w:style>
  <w:style w:type="character" w:customStyle="1" w:styleId="557">
    <w:name w:val="文档结构图 Char1"/>
    <w:basedOn w:val="50"/>
    <w:autoRedefine/>
    <w:semiHidden/>
    <w:qFormat/>
    <w:uiPriority w:val="99"/>
    <w:rPr>
      <w:rFonts w:ascii="宋体" w:hAnsi="Times New Roman" w:eastAsia="宋体" w:cs="Times New Roman"/>
      <w:sz w:val="18"/>
      <w:szCs w:val="18"/>
    </w:rPr>
  </w:style>
  <w:style w:type="character" w:customStyle="1" w:styleId="558">
    <w:name w:val="副标题 Char1"/>
    <w:basedOn w:val="50"/>
    <w:autoRedefine/>
    <w:qFormat/>
    <w:uiPriority w:val="11"/>
    <w:rPr>
      <w:rFonts w:eastAsia="宋体" w:asciiTheme="majorHAnsi" w:hAnsiTheme="majorHAnsi" w:cstheme="majorBidi"/>
      <w:b/>
      <w:bCs/>
      <w:kern w:val="28"/>
      <w:sz w:val="32"/>
      <w:szCs w:val="32"/>
    </w:rPr>
  </w:style>
  <w:style w:type="character" w:customStyle="1" w:styleId="559">
    <w:name w:val="fontstyle21"/>
    <w:basedOn w:val="50"/>
    <w:autoRedefine/>
    <w:qFormat/>
    <w:uiPriority w:val="0"/>
    <w:rPr>
      <w:rFonts w:hint="default" w:ascii="Times New Roman" w:hAnsi="Times New Roman" w:cs="Times New Roman"/>
      <w:color w:val="000000"/>
      <w:sz w:val="24"/>
      <w:szCs w:val="24"/>
    </w:rPr>
  </w:style>
  <w:style w:type="character" w:customStyle="1" w:styleId="560">
    <w:name w:val="正文文本 2 Char1"/>
    <w:basedOn w:val="50"/>
    <w:autoRedefine/>
    <w:semiHidden/>
    <w:qFormat/>
    <w:uiPriority w:val="0"/>
    <w:rPr>
      <w:rFonts w:ascii="Times New Roman" w:hAnsi="Times New Roman" w:eastAsia="宋体" w:cs="Times New Roman"/>
      <w:szCs w:val="24"/>
    </w:rPr>
  </w:style>
  <w:style w:type="character" w:customStyle="1" w:styleId="561">
    <w:name w:val="正文文本 3 Char1"/>
    <w:basedOn w:val="50"/>
    <w:autoRedefine/>
    <w:semiHidden/>
    <w:qFormat/>
    <w:uiPriority w:val="0"/>
    <w:rPr>
      <w:rFonts w:ascii="Times New Roman" w:hAnsi="Times New Roman" w:eastAsia="宋体" w:cs="Times New Roman"/>
      <w:sz w:val="16"/>
      <w:szCs w:val="16"/>
    </w:rPr>
  </w:style>
  <w:style w:type="character" w:customStyle="1" w:styleId="562">
    <w:name w:val="正文文本缩进 3 Char1"/>
    <w:basedOn w:val="50"/>
    <w:autoRedefine/>
    <w:semiHidden/>
    <w:qFormat/>
    <w:uiPriority w:val="99"/>
    <w:rPr>
      <w:rFonts w:ascii="Times New Roman" w:hAnsi="Times New Roman" w:eastAsia="宋体" w:cs="Times New Roman"/>
      <w:sz w:val="16"/>
      <w:szCs w:val="16"/>
    </w:rPr>
  </w:style>
  <w:style w:type="character" w:customStyle="1" w:styleId="563">
    <w:name w:val="批注主题 Char1"/>
    <w:basedOn w:val="132"/>
    <w:autoRedefine/>
    <w:semiHidden/>
    <w:qFormat/>
    <w:uiPriority w:val="99"/>
    <w:rPr>
      <w:rFonts w:ascii="Times New Roman" w:hAnsi="Times New Roman" w:eastAsia="宋体" w:cs="Times New Roman"/>
      <w:b/>
      <w:bCs/>
      <w:szCs w:val="24"/>
    </w:rPr>
  </w:style>
  <w:style w:type="character" w:customStyle="1" w:styleId="564">
    <w:name w:val="批注框文本 Char1"/>
    <w:basedOn w:val="50"/>
    <w:autoRedefine/>
    <w:semiHidden/>
    <w:qFormat/>
    <w:uiPriority w:val="0"/>
    <w:rPr>
      <w:rFonts w:ascii="Times New Roman" w:hAnsi="Times New Roman" w:eastAsia="宋体" w:cs="Times New Roman"/>
      <w:sz w:val="18"/>
      <w:szCs w:val="18"/>
    </w:rPr>
  </w:style>
  <w:style w:type="character" w:customStyle="1" w:styleId="565">
    <w:name w:val="【正文】 Char Char"/>
    <w:autoRedefine/>
    <w:qFormat/>
    <w:uiPriority w:val="0"/>
    <w:rPr>
      <w:sz w:val="24"/>
    </w:rPr>
  </w:style>
  <w:style w:type="character" w:customStyle="1" w:styleId="566">
    <w:name w:val="fontstyle31"/>
    <w:basedOn w:val="50"/>
    <w:autoRedefine/>
    <w:qFormat/>
    <w:uiPriority w:val="0"/>
    <w:rPr>
      <w:rFonts w:hint="default" w:ascii="TimesNewRomanPS-ItalicMT" w:hAnsi="TimesNewRomanPS-ItalicMT"/>
      <w:i/>
      <w:iCs/>
      <w:color w:val="000000"/>
      <w:sz w:val="14"/>
      <w:szCs w:val="14"/>
    </w:rPr>
  </w:style>
  <w:style w:type="character" w:customStyle="1" w:styleId="567">
    <w:name w:val="表正文 Char1 Char Char"/>
    <w:autoRedefine/>
    <w:qFormat/>
    <w:uiPriority w:val="0"/>
    <w:rPr>
      <w:sz w:val="24"/>
    </w:rPr>
  </w:style>
  <w:style w:type="character" w:customStyle="1" w:styleId="568">
    <w:name w:val="style81"/>
    <w:autoRedefine/>
    <w:qFormat/>
    <w:uiPriority w:val="0"/>
    <w:rPr>
      <w:rFonts w:hint="eastAsia" w:ascii="宋体" w:hAnsi="宋体" w:eastAsia="黑体" w:cs="宋体"/>
      <w:kern w:val="2"/>
      <w:sz w:val="24"/>
      <w:szCs w:val="24"/>
      <w:lang w:val="en-US" w:eastAsia="zh-CN" w:bidi="ar-SA"/>
    </w:rPr>
  </w:style>
  <w:style w:type="character" w:customStyle="1" w:styleId="569">
    <w:name w:val="样式 正文zoe + 幼圆1 Char Char"/>
    <w:autoRedefine/>
    <w:qFormat/>
    <w:uiPriority w:val="0"/>
    <w:rPr>
      <w:rFonts w:hint="eastAsia" w:ascii="幼圆" w:hAnsi="幼圆" w:eastAsia="宋体" w:cs="Times New Roman"/>
      <w:kern w:val="0"/>
      <w:sz w:val="24"/>
      <w:szCs w:val="20"/>
    </w:rPr>
  </w:style>
  <w:style w:type="character" w:customStyle="1" w:styleId="570">
    <w:name w:val="正文(首行缩进) Char Char"/>
    <w:autoRedefine/>
    <w:qFormat/>
    <w:uiPriority w:val="0"/>
    <w:rPr>
      <w:snapToGrid w:val="0"/>
      <w:sz w:val="24"/>
      <w:szCs w:val="24"/>
    </w:rPr>
  </w:style>
  <w:style w:type="character" w:customStyle="1" w:styleId="571">
    <w:name w:val="表格 Char Char"/>
    <w:autoRedefine/>
    <w:qFormat/>
    <w:uiPriority w:val="0"/>
    <w:rPr>
      <w:rFonts w:hint="eastAsia" w:ascii="宋体" w:hAnsi="宋体" w:eastAsia="宋体" w:cs="Times New Roman"/>
      <w:snapToGrid w:val="0"/>
      <w:kern w:val="0"/>
      <w:sz w:val="20"/>
      <w:szCs w:val="20"/>
    </w:rPr>
  </w:style>
  <w:style w:type="character" w:customStyle="1" w:styleId="572">
    <w:name w:val="Char Char17"/>
    <w:autoRedefine/>
    <w:qFormat/>
    <w:uiPriority w:val="0"/>
    <w:rPr>
      <w:rFonts w:hint="default" w:ascii="Times New Roman" w:hAnsi="Times New Roman" w:eastAsia="黑体" w:cs="Times New Roman"/>
      <w:bCs/>
      <w:color w:val="000000"/>
      <w:sz w:val="28"/>
      <w:szCs w:val="28"/>
    </w:rPr>
  </w:style>
  <w:style w:type="character" w:customStyle="1" w:styleId="573">
    <w:name w:val="Char Char16"/>
    <w:autoRedefine/>
    <w:qFormat/>
    <w:uiPriority w:val="0"/>
    <w:rPr>
      <w:rFonts w:hint="default" w:ascii="Times New Roman" w:hAnsi="Times New Roman" w:eastAsia="宋体" w:cs="Times New Roman"/>
      <w:b/>
      <w:bCs/>
      <w:color w:val="000000"/>
      <w:sz w:val="28"/>
      <w:szCs w:val="28"/>
    </w:rPr>
  </w:style>
  <w:style w:type="character" w:customStyle="1" w:styleId="574">
    <w:name w:val="正文文本缩进 Char Char"/>
    <w:basedOn w:val="50"/>
    <w:autoRedefine/>
    <w:qFormat/>
    <w:uiPriority w:val="0"/>
  </w:style>
  <w:style w:type="character" w:customStyle="1" w:styleId="575">
    <w:name w:val="正文文本_"/>
    <w:autoRedefine/>
    <w:qFormat/>
    <w:uiPriority w:val="0"/>
    <w:rPr>
      <w:rFonts w:hint="eastAsia" w:ascii="MingLiU" w:hAnsi="MingLiU" w:eastAsia="MingLiU" w:cs="MingLiU"/>
      <w:sz w:val="23"/>
      <w:szCs w:val="23"/>
      <w:u w:val="none"/>
    </w:rPr>
  </w:style>
  <w:style w:type="character" w:customStyle="1" w:styleId="576">
    <w:name w:val="正文文本 + Times New Roman3"/>
    <w:autoRedefine/>
    <w:qFormat/>
    <w:uiPriority w:val="0"/>
    <w:rPr>
      <w:rFonts w:hint="default" w:ascii="Times New Roman" w:hAnsi="Times New Roman" w:eastAsia="MingLiU" w:cs="Times New Roman"/>
      <w:sz w:val="23"/>
      <w:szCs w:val="23"/>
      <w:u w:val="none"/>
    </w:rPr>
  </w:style>
  <w:style w:type="character" w:customStyle="1" w:styleId="577">
    <w:name w:val="正文文本 + Times New Roman2"/>
    <w:autoRedefine/>
    <w:qFormat/>
    <w:uiPriority w:val="0"/>
    <w:rPr>
      <w:rFonts w:hint="default" w:ascii="Times New Roman" w:hAnsi="Times New Roman" w:eastAsia="MingLiU" w:cs="Times New Roman"/>
      <w:b/>
      <w:bCs/>
      <w:sz w:val="16"/>
      <w:szCs w:val="16"/>
      <w:u w:val="none"/>
    </w:rPr>
  </w:style>
  <w:style w:type="character" w:customStyle="1" w:styleId="578">
    <w:name w:val="正文文本 (2) + Times New Roman"/>
    <w:autoRedefine/>
    <w:qFormat/>
    <w:uiPriority w:val="0"/>
    <w:rPr>
      <w:rFonts w:hint="default" w:ascii="Times New Roman" w:hAnsi="Times New Roman" w:eastAsia="MingLiU" w:cs="Times New Roman"/>
      <w:b/>
      <w:bCs/>
      <w:sz w:val="20"/>
      <w:szCs w:val="20"/>
      <w:lang w:bidi="ar-SA"/>
    </w:rPr>
  </w:style>
  <w:style w:type="character" w:customStyle="1" w:styleId="579">
    <w:name w:val="正文文本 + 间距 0 pt"/>
    <w:autoRedefine/>
    <w:qFormat/>
    <w:uiPriority w:val="0"/>
    <w:rPr>
      <w:rFonts w:hint="eastAsia" w:ascii="MingLiU" w:hAnsi="MingLiU" w:eastAsia="MingLiU" w:cs="MingLiU"/>
      <w:spacing w:val="-11"/>
      <w:sz w:val="23"/>
      <w:szCs w:val="23"/>
      <w:u w:val="none"/>
    </w:rPr>
  </w:style>
  <w:style w:type="character" w:customStyle="1" w:styleId="580">
    <w:name w:val="正文文本 + 间距 0 pt10"/>
    <w:autoRedefine/>
    <w:qFormat/>
    <w:uiPriority w:val="0"/>
    <w:rPr>
      <w:rFonts w:hint="eastAsia" w:ascii="MingLiU" w:hAnsi="MingLiU" w:eastAsia="MingLiU" w:cs="MingLiU"/>
      <w:spacing w:val="-15"/>
      <w:sz w:val="23"/>
      <w:szCs w:val="23"/>
      <w:u w:val="none"/>
    </w:rPr>
  </w:style>
  <w:style w:type="character" w:customStyle="1" w:styleId="581">
    <w:name w:val="Char Char172"/>
    <w:autoRedefine/>
    <w:qFormat/>
    <w:uiPriority w:val="0"/>
    <w:rPr>
      <w:rFonts w:hint="default" w:ascii="Times New Roman" w:hAnsi="Times New Roman" w:eastAsia="黑体" w:cs="Times New Roman"/>
      <w:bCs/>
      <w:color w:val="000000"/>
      <w:sz w:val="28"/>
      <w:szCs w:val="28"/>
    </w:rPr>
  </w:style>
  <w:style w:type="character" w:customStyle="1" w:styleId="582">
    <w:name w:val="Char Char162"/>
    <w:autoRedefine/>
    <w:qFormat/>
    <w:uiPriority w:val="0"/>
    <w:rPr>
      <w:rFonts w:hint="default" w:ascii="Times New Roman" w:hAnsi="Times New Roman" w:eastAsia="宋体" w:cs="Times New Roman"/>
      <w:b/>
      <w:bCs/>
      <w:color w:val="000000"/>
      <w:sz w:val="28"/>
      <w:szCs w:val="28"/>
    </w:rPr>
  </w:style>
  <w:style w:type="character" w:customStyle="1" w:styleId="583">
    <w:name w:val="Char Char171"/>
    <w:autoRedefine/>
    <w:qFormat/>
    <w:uiPriority w:val="0"/>
    <w:rPr>
      <w:rFonts w:hint="default" w:ascii="Times New Roman" w:hAnsi="Times New Roman" w:eastAsia="黑体" w:cs="Times New Roman"/>
      <w:bCs/>
      <w:color w:val="000000"/>
      <w:sz w:val="28"/>
      <w:szCs w:val="28"/>
    </w:rPr>
  </w:style>
  <w:style w:type="character" w:customStyle="1" w:styleId="584">
    <w:name w:val="Char Char161"/>
    <w:autoRedefine/>
    <w:qFormat/>
    <w:uiPriority w:val="0"/>
    <w:rPr>
      <w:rFonts w:hint="default" w:ascii="Times New Roman" w:hAnsi="Times New Roman" w:eastAsia="宋体" w:cs="Times New Roman"/>
      <w:b/>
      <w:bCs/>
      <w:color w:val="000000"/>
      <w:sz w:val="28"/>
      <w:szCs w:val="28"/>
    </w:rPr>
  </w:style>
  <w:style w:type="character" w:customStyle="1" w:styleId="585">
    <w:name w:val="样式 黑体 四号"/>
    <w:basedOn w:val="50"/>
    <w:autoRedefine/>
    <w:qFormat/>
    <w:uiPriority w:val="0"/>
    <w:rPr>
      <w:rFonts w:hint="eastAsia" w:ascii="黑体" w:hAnsi="黑体" w:eastAsia="黑体"/>
      <w:sz w:val="28"/>
    </w:rPr>
  </w:style>
  <w:style w:type="character" w:customStyle="1" w:styleId="586">
    <w:name w:val="样式 黑体 小三"/>
    <w:basedOn w:val="50"/>
    <w:autoRedefine/>
    <w:qFormat/>
    <w:uiPriority w:val="0"/>
    <w:rPr>
      <w:rFonts w:hint="default" w:ascii="Times New Roman" w:hAnsi="Times New Roman" w:eastAsia="仿宋_GB2312" w:cs="Times New Roman"/>
    </w:rPr>
  </w:style>
  <w:style w:type="character" w:customStyle="1" w:styleId="587">
    <w:name w:val="Normal Char Char"/>
    <w:autoRedefine/>
    <w:qFormat/>
    <w:uiPriority w:val="0"/>
    <w:rPr>
      <w:rFonts w:hint="eastAsia" w:ascii="宋体" w:hAnsi="Times New Roman" w:eastAsia="宋体"/>
      <w:kern w:val="2"/>
      <w:sz w:val="24"/>
      <w:szCs w:val="22"/>
      <w:lang w:val="en-US" w:eastAsia="zh-CN" w:bidi="ar-SA"/>
    </w:rPr>
  </w:style>
  <w:style w:type="character" w:customStyle="1" w:styleId="588">
    <w:name w:val="Char Char4"/>
    <w:autoRedefine/>
    <w:qFormat/>
    <w:uiPriority w:val="0"/>
    <w:rPr>
      <w:rFonts w:hint="eastAsia" w:ascii="楷体_GB2312" w:eastAsia="楷体_GB2312"/>
      <w:color w:val="000000"/>
      <w:sz w:val="24"/>
      <w:szCs w:val="24"/>
      <w:shd w:val="clear" w:color="auto" w:fill="FFFFFF"/>
      <w:lang w:val="zh-CN" w:eastAsia="zh-CN" w:bidi="ar-SA"/>
    </w:rPr>
  </w:style>
  <w:style w:type="character" w:customStyle="1" w:styleId="589">
    <w:name w:val="表头 Char"/>
    <w:autoRedefine/>
    <w:qFormat/>
    <w:uiPriority w:val="0"/>
    <w:rPr>
      <w:rFonts w:hint="eastAsia" w:ascii="黑体" w:hAnsi="黑体" w:eastAsia="黑体"/>
      <w:shadow/>
      <w:kern w:val="2"/>
      <w:sz w:val="24"/>
      <w:szCs w:val="24"/>
      <w:lang w:val="en-US" w:eastAsia="zh-CN" w:bidi="ar-SA"/>
    </w:rPr>
  </w:style>
  <w:style w:type="character" w:customStyle="1" w:styleId="590">
    <w:name w:val="正文---------------- Char"/>
    <w:autoRedefine/>
    <w:qFormat/>
    <w:uiPriority w:val="0"/>
    <w:rPr>
      <w:rFonts w:hint="default" w:ascii="Times New Roman" w:hAnsi="Times New Roman" w:eastAsia="宋体" w:cs="Times New Roman"/>
      <w:spacing w:val="16"/>
      <w:sz w:val="24"/>
      <w:szCs w:val="20"/>
    </w:rPr>
  </w:style>
  <w:style w:type="character" w:customStyle="1" w:styleId="591">
    <w:name w:val="表格标题 Char Char"/>
    <w:autoRedefine/>
    <w:qFormat/>
    <w:uiPriority w:val="0"/>
    <w:rPr>
      <w:rFonts w:hint="eastAsia" w:ascii="宋体" w:hAnsi="宋体" w:eastAsia="宋体"/>
      <w:szCs w:val="21"/>
    </w:rPr>
  </w:style>
  <w:style w:type="character" w:customStyle="1" w:styleId="592">
    <w:name w:val="style151"/>
    <w:autoRedefine/>
    <w:qFormat/>
    <w:uiPriority w:val="0"/>
    <w:rPr>
      <w:spacing w:val="240"/>
      <w:sz w:val="18"/>
      <w:szCs w:val="18"/>
    </w:rPr>
  </w:style>
  <w:style w:type="character" w:customStyle="1" w:styleId="593">
    <w:name w:val="正 Char1"/>
    <w:autoRedefine/>
    <w:qFormat/>
    <w:uiPriority w:val="0"/>
    <w:rPr>
      <w:rFonts w:hint="eastAsia" w:ascii="宋体" w:hAnsi="宋体" w:eastAsia="宋体" w:cs="宋体"/>
      <w:sz w:val="24"/>
    </w:rPr>
  </w:style>
  <w:style w:type="character" w:customStyle="1" w:styleId="594">
    <w:name w:val="样式 样式 四号 蓝色 + 自动设置"/>
    <w:basedOn w:val="50"/>
    <w:autoRedefine/>
    <w:qFormat/>
    <w:uiPriority w:val="0"/>
    <w:rPr>
      <w:color w:val="auto"/>
      <w:sz w:val="24"/>
    </w:rPr>
  </w:style>
  <w:style w:type="character" w:customStyle="1" w:styleId="595">
    <w:name w:val="apple-converted-space"/>
    <w:basedOn w:val="50"/>
    <w:autoRedefine/>
    <w:qFormat/>
    <w:uiPriority w:val="0"/>
  </w:style>
  <w:style w:type="character" w:customStyle="1" w:styleId="596">
    <w:name w:val="正文111 Char Char"/>
    <w:autoRedefine/>
    <w:qFormat/>
    <w:uiPriority w:val="0"/>
    <w:rPr>
      <w:rFonts w:hint="default" w:ascii="Times New Roman" w:hAnsi="Times New Roman" w:eastAsia="仿宋_GB2312" w:cs="Times New Roman"/>
      <w:spacing w:val="6"/>
      <w:sz w:val="24"/>
      <w:szCs w:val="24"/>
    </w:rPr>
  </w:style>
  <w:style w:type="character" w:customStyle="1" w:styleId="597">
    <w:name w:val="已访问的超链接1"/>
    <w:basedOn w:val="50"/>
    <w:autoRedefine/>
    <w:qFormat/>
    <w:uiPriority w:val="0"/>
    <w:rPr>
      <w:color w:val="800080"/>
      <w:u w:val="single"/>
    </w:rPr>
  </w:style>
  <w:style w:type="character" w:customStyle="1" w:styleId="598">
    <w:name w:val="defaultfont"/>
    <w:basedOn w:val="50"/>
    <w:autoRedefine/>
    <w:qFormat/>
    <w:uiPriority w:val="0"/>
  </w:style>
  <w:style w:type="character" w:customStyle="1" w:styleId="599">
    <w:name w:val="正文文本 2 Char Char Char"/>
    <w:autoRedefine/>
    <w:qFormat/>
    <w:uiPriority w:val="0"/>
    <w:rPr>
      <w:kern w:val="2"/>
      <w:sz w:val="21"/>
      <w:szCs w:val="24"/>
    </w:rPr>
  </w:style>
  <w:style w:type="character" w:customStyle="1" w:styleId="600">
    <w:name w:val="题注 Char1 Char1"/>
    <w:autoRedefine/>
    <w:qFormat/>
    <w:uiPriority w:val="0"/>
    <w:rPr>
      <w:rFonts w:hint="default" w:ascii="Arial" w:hAnsi="Arial" w:eastAsia="黑体" w:cs="Arial"/>
      <w:color w:val="000000"/>
      <w:spacing w:val="4"/>
      <w:kern w:val="2"/>
      <w:sz w:val="21"/>
      <w:szCs w:val="21"/>
      <w:lang w:val="en-US" w:eastAsia="zh-CN" w:bidi="ar-SA"/>
    </w:rPr>
  </w:style>
  <w:style w:type="character" w:customStyle="1" w:styleId="601">
    <w:name w:val="default1"/>
    <w:autoRedefine/>
    <w:qFormat/>
    <w:uiPriority w:val="0"/>
    <w:rPr>
      <w:sz w:val="21"/>
      <w:szCs w:val="21"/>
    </w:rPr>
  </w:style>
  <w:style w:type="character" w:customStyle="1" w:styleId="602">
    <w:name w:val="正文（首行缩进两字） Char Char Char Char Char Char Char Char Char Char Char Char Char Char Char Char Char Char Char Char Char Char Char Char Char Char Char Char Char Char Char Char Char Char Char Char Char Char Char Char Char Char Char Char Char Char"/>
    <w:autoRedefine/>
    <w:qFormat/>
    <w:uiPriority w:val="0"/>
    <w:rPr>
      <w:rFonts w:hint="eastAsia" w:ascii="宋体" w:hAnsi="宋体" w:eastAsia="宋体"/>
      <w:sz w:val="21"/>
      <w:lang w:val="en-US" w:eastAsia="zh-CN" w:bidi="ar-SA"/>
    </w:rPr>
  </w:style>
  <w:style w:type="character" w:customStyle="1" w:styleId="603">
    <w:name w:val="style3"/>
    <w:basedOn w:val="50"/>
    <w:autoRedefine/>
    <w:qFormat/>
    <w:uiPriority w:val="0"/>
  </w:style>
  <w:style w:type="character" w:customStyle="1" w:styleId="604">
    <w:name w:val="textfont11"/>
    <w:autoRedefine/>
    <w:qFormat/>
    <w:uiPriority w:val="0"/>
    <w:rPr>
      <w:color w:val="000000"/>
      <w:sz w:val="21"/>
      <w:szCs w:val="21"/>
      <w:u w:val="none"/>
    </w:rPr>
  </w:style>
  <w:style w:type="character" w:customStyle="1" w:styleId="605">
    <w:name w:val="正文2 Char Char"/>
    <w:autoRedefine/>
    <w:qFormat/>
    <w:uiPriority w:val="0"/>
    <w:rPr>
      <w:sz w:val="21"/>
    </w:rPr>
  </w:style>
  <w:style w:type="character" w:customStyle="1" w:styleId="606">
    <w:name w:val="批注框文本 Char Char Char"/>
    <w:autoRedefine/>
    <w:qFormat/>
    <w:uiPriority w:val="0"/>
    <w:rPr>
      <w:kern w:val="2"/>
      <w:sz w:val="18"/>
      <w:szCs w:val="18"/>
    </w:rPr>
  </w:style>
  <w:style w:type="character" w:customStyle="1" w:styleId="607">
    <w:name w:val="apple-style-span"/>
    <w:basedOn w:val="50"/>
    <w:autoRedefine/>
    <w:qFormat/>
    <w:uiPriority w:val="0"/>
  </w:style>
  <w:style w:type="character" w:customStyle="1" w:styleId="608">
    <w:name w:val="zy"/>
    <w:basedOn w:val="50"/>
    <w:autoRedefine/>
    <w:qFormat/>
    <w:uiPriority w:val="0"/>
  </w:style>
  <w:style w:type="character" w:customStyle="1" w:styleId="609">
    <w:name w:val="unnamed11"/>
    <w:autoRedefine/>
    <w:qFormat/>
    <w:uiPriority w:val="0"/>
    <w:rPr>
      <w:spacing w:val="400"/>
      <w:sz w:val="18"/>
      <w:szCs w:val="18"/>
    </w:rPr>
  </w:style>
  <w:style w:type="character" w:customStyle="1" w:styleId="610">
    <w:name w:val="oblogtext"/>
    <w:basedOn w:val="50"/>
    <w:autoRedefine/>
    <w:qFormat/>
    <w:uiPriority w:val="0"/>
  </w:style>
  <w:style w:type="character" w:customStyle="1" w:styleId="611">
    <w:name w:val="题注 Char1"/>
    <w:autoRedefine/>
    <w:qFormat/>
    <w:uiPriority w:val="0"/>
    <w:rPr>
      <w:rFonts w:hint="default" w:ascii="Arial" w:hAnsi="Arial" w:eastAsia="黑体" w:cs="Arial"/>
    </w:rPr>
  </w:style>
  <w:style w:type="character" w:customStyle="1" w:styleId="612">
    <w:name w:val="txt31"/>
    <w:autoRedefine/>
    <w:qFormat/>
    <w:uiPriority w:val="0"/>
    <w:rPr>
      <w:dstrike/>
      <w:sz w:val="18"/>
    </w:rPr>
  </w:style>
  <w:style w:type="character" w:customStyle="1" w:styleId="613">
    <w:name w:val="中创国发题注 Char"/>
    <w:autoRedefine/>
    <w:qFormat/>
    <w:locked/>
    <w:uiPriority w:val="0"/>
    <w:rPr>
      <w:rFonts w:hint="default" w:ascii="Cambria" w:hAnsi="Cambria" w:eastAsia="黑体" w:cs="Cambria"/>
      <w:lang w:val="en-US" w:eastAsia="zh-CN" w:bidi="ar-SA"/>
    </w:rPr>
  </w:style>
  <w:style w:type="character" w:customStyle="1" w:styleId="614">
    <w:name w:val="样式 标题 2 + Times New Roman Char"/>
    <w:autoRedefine/>
    <w:qFormat/>
    <w:uiPriority w:val="0"/>
    <w:rPr>
      <w:rFonts w:hint="default" w:ascii="Times New Roman" w:hAnsi="Times New Roman" w:eastAsia="黑体" w:cs="Times New Roman"/>
      <w:color w:val="000000"/>
      <w:kern w:val="2"/>
      <w:sz w:val="28"/>
      <w:szCs w:val="30"/>
      <w:lang w:val="en-US" w:eastAsia="zh-CN" w:bidi="ar-SA"/>
    </w:rPr>
  </w:style>
  <w:style w:type="character" w:customStyle="1" w:styleId="615">
    <w:name w:val="zw1"/>
    <w:autoRedefine/>
    <w:qFormat/>
    <w:uiPriority w:val="0"/>
    <w:rPr>
      <w:rFonts w:hint="eastAsia" w:ascii="宋体" w:hAnsi="宋体" w:eastAsia="宋体"/>
      <w:spacing w:val="400"/>
      <w:sz w:val="22"/>
      <w:szCs w:val="22"/>
    </w:rPr>
  </w:style>
  <w:style w:type="character" w:customStyle="1" w:styleId="616">
    <w:name w:val="样式1 Char"/>
    <w:autoRedefine/>
    <w:qFormat/>
    <w:uiPriority w:val="0"/>
    <w:rPr>
      <w:rFonts w:hint="default" w:ascii="Arial" w:hAnsi="Arial" w:eastAsia="宋体" w:cs="Arial"/>
      <w:kern w:val="2"/>
      <w:sz w:val="24"/>
      <w:szCs w:val="24"/>
      <w:lang w:val="en-US" w:eastAsia="zh-CN" w:bidi="ar-SA"/>
    </w:rPr>
  </w:style>
  <w:style w:type="character" w:customStyle="1" w:styleId="617">
    <w:name w:val="ddd"/>
    <w:basedOn w:val="50"/>
    <w:autoRedefine/>
    <w:qFormat/>
    <w:uiPriority w:val="0"/>
  </w:style>
  <w:style w:type="character" w:customStyle="1" w:styleId="618">
    <w:name w:val="样式2 Char"/>
    <w:autoRedefine/>
    <w:qFormat/>
    <w:uiPriority w:val="0"/>
    <w:rPr>
      <w:rFonts w:hint="eastAsia" w:ascii="宋体" w:hAnsi="黑体" w:eastAsia="黑体"/>
      <w:b/>
      <w:bCs/>
      <w:kern w:val="2"/>
      <w:sz w:val="32"/>
      <w:szCs w:val="32"/>
      <w:lang w:val="en-US" w:eastAsia="zh-CN" w:bidi="ar-SA"/>
    </w:rPr>
  </w:style>
  <w:style w:type="character" w:customStyle="1" w:styleId="619">
    <w:name w:val="f10wentitle"/>
    <w:basedOn w:val="50"/>
    <w:autoRedefine/>
    <w:qFormat/>
    <w:uiPriority w:val="0"/>
  </w:style>
  <w:style w:type="character" w:customStyle="1" w:styleId="620">
    <w:name w:val="cucd-0 Char"/>
    <w:autoRedefine/>
    <w:qFormat/>
    <w:uiPriority w:val="0"/>
    <w:rPr>
      <w:kern w:val="2"/>
      <w:sz w:val="24"/>
      <w:szCs w:val="24"/>
      <w:lang w:val="en-US" w:eastAsia="zh-CN" w:bidi="ar-SA"/>
    </w:rPr>
  </w:style>
  <w:style w:type="character" w:customStyle="1" w:styleId="621">
    <w:name w:val="6666661"/>
    <w:autoRedefine/>
    <w:qFormat/>
    <w:uiPriority w:val="0"/>
    <w:rPr>
      <w:color w:val="666666"/>
      <w:sz w:val="18"/>
      <w:szCs w:val="18"/>
      <w:u w:val="none"/>
    </w:rPr>
  </w:style>
  <w:style w:type="character" w:customStyle="1" w:styleId="622">
    <w:name w:val="正文001 Char Char"/>
    <w:autoRedefine/>
    <w:qFormat/>
    <w:uiPriority w:val="0"/>
    <w:rPr>
      <w:rFonts w:hint="default" w:ascii="Arial" w:hAnsi="Arial" w:eastAsia="宋体" w:cs="Arial"/>
      <w:kern w:val="2"/>
      <w:sz w:val="24"/>
      <w:lang w:val="en-US" w:eastAsia="zh-CN" w:bidi="ar-SA"/>
    </w:rPr>
  </w:style>
  <w:style w:type="character" w:customStyle="1" w:styleId="623">
    <w:name w:val="正文样式1 Char Char"/>
    <w:autoRedefine/>
    <w:qFormat/>
    <w:uiPriority w:val="0"/>
    <w:rPr>
      <w:rFonts w:hint="eastAsia" w:ascii="宋体" w:hAnsi="宋体" w:eastAsia="宋体"/>
      <w:sz w:val="24"/>
    </w:rPr>
  </w:style>
  <w:style w:type="character" w:customStyle="1" w:styleId="624">
    <w:name w:val="tpc_content1"/>
    <w:autoRedefine/>
    <w:qFormat/>
    <w:uiPriority w:val="0"/>
    <w:rPr>
      <w:sz w:val="17"/>
      <w:szCs w:val="17"/>
    </w:rPr>
  </w:style>
  <w:style w:type="character" w:customStyle="1" w:styleId="625">
    <w:name w:val="grame"/>
    <w:basedOn w:val="50"/>
    <w:autoRedefine/>
    <w:qFormat/>
    <w:uiPriority w:val="0"/>
  </w:style>
  <w:style w:type="character" w:customStyle="1" w:styleId="626">
    <w:name w:val="cucd-3 Char Char"/>
    <w:autoRedefine/>
    <w:qFormat/>
    <w:uiPriority w:val="0"/>
    <w:rPr>
      <w:b/>
      <w:sz w:val="28"/>
      <w:szCs w:val="24"/>
      <w:lang w:val="en-US" w:eastAsia="zh-CN" w:bidi="ar-SA"/>
    </w:rPr>
  </w:style>
  <w:style w:type="character" w:customStyle="1" w:styleId="627">
    <w:name w:val="正文样式 Char Char"/>
    <w:autoRedefine/>
    <w:qFormat/>
    <w:uiPriority w:val="0"/>
    <w:rPr>
      <w:rFonts w:hint="eastAsia" w:ascii="宋体" w:hAnsi="宋体" w:eastAsia="宋体"/>
      <w:color w:val="000000"/>
      <w:sz w:val="24"/>
      <w:szCs w:val="24"/>
    </w:rPr>
  </w:style>
  <w:style w:type="character" w:customStyle="1" w:styleId="628">
    <w:name w:val="f9wen1"/>
    <w:autoRedefine/>
    <w:qFormat/>
    <w:uiPriority w:val="0"/>
    <w:rPr>
      <w:dstrike/>
      <w:spacing w:val="12"/>
      <w:sz w:val="18"/>
    </w:rPr>
  </w:style>
  <w:style w:type="character" w:customStyle="1" w:styleId="629">
    <w:name w:val="正文文本缩进 3 Char Char Char"/>
    <w:autoRedefine/>
    <w:qFormat/>
    <w:uiPriority w:val="0"/>
    <w:rPr>
      <w:rFonts w:hint="eastAsia" w:ascii="宋体" w:hAnsi="宋体" w:eastAsia="宋体"/>
      <w:kern w:val="2"/>
      <w:sz w:val="24"/>
    </w:rPr>
  </w:style>
  <w:style w:type="character" w:customStyle="1" w:styleId="630">
    <w:name w:val="正文样式10 Char Char"/>
    <w:autoRedefine/>
    <w:qFormat/>
    <w:uiPriority w:val="0"/>
    <w:rPr>
      <w:rFonts w:hint="eastAsia" w:ascii="宋体" w:hAnsi="宋体" w:eastAsia="宋体" w:cs="Arial"/>
      <w:bCs/>
      <w:color w:val="FF00FF"/>
      <w:sz w:val="24"/>
      <w:lang w:val="zh-CN"/>
    </w:rPr>
  </w:style>
  <w:style w:type="character" w:customStyle="1" w:styleId="631">
    <w:name w:val="访问过的超链接1"/>
    <w:autoRedefine/>
    <w:qFormat/>
    <w:uiPriority w:val="0"/>
    <w:rPr>
      <w:color w:val="800080"/>
      <w:u w:val="single"/>
    </w:rPr>
  </w:style>
  <w:style w:type="character" w:customStyle="1" w:styleId="632">
    <w:name w:val="a11"/>
    <w:autoRedefine/>
    <w:qFormat/>
    <w:uiPriority w:val="0"/>
    <w:rPr>
      <w:color w:val="000000"/>
      <w:sz w:val="18"/>
      <w:szCs w:val="18"/>
    </w:rPr>
  </w:style>
  <w:style w:type="character" w:customStyle="1" w:styleId="633">
    <w:name w:val="表头 Char2"/>
    <w:autoRedefine/>
    <w:qFormat/>
    <w:uiPriority w:val="0"/>
    <w:rPr>
      <w:rFonts w:hint="eastAsia" w:ascii="宋体" w:hAnsi="宋体" w:eastAsia="仿宋_GB2312"/>
      <w:b/>
      <w:color w:val="000000"/>
      <w:sz w:val="18"/>
    </w:rPr>
  </w:style>
  <w:style w:type="character" w:customStyle="1" w:styleId="634">
    <w:name w:val="正文1 Char Char"/>
    <w:autoRedefine/>
    <w:qFormat/>
    <w:uiPriority w:val="0"/>
    <w:rPr>
      <w:rFonts w:hint="eastAsia" w:ascii="宋体" w:hAnsi="宋体" w:eastAsia="宋体"/>
      <w:sz w:val="28"/>
    </w:rPr>
  </w:style>
  <w:style w:type="character" w:customStyle="1" w:styleId="635">
    <w:name w:val="正文首行缩进 Char Char Char"/>
    <w:autoRedefine/>
    <w:qFormat/>
    <w:uiPriority w:val="0"/>
    <w:rPr>
      <w:kern w:val="2"/>
      <w:sz w:val="24"/>
    </w:rPr>
  </w:style>
  <w:style w:type="character" w:customStyle="1" w:styleId="636">
    <w:name w:val="正文文本 3 Char Char Char"/>
    <w:autoRedefine/>
    <w:qFormat/>
    <w:uiPriority w:val="0"/>
    <w:rPr>
      <w:kern w:val="2"/>
      <w:sz w:val="16"/>
      <w:szCs w:val="16"/>
    </w:rPr>
  </w:style>
  <w:style w:type="character" w:customStyle="1" w:styleId="637">
    <w:name w:val="日期 Char Char Char"/>
    <w:autoRedefine/>
    <w:qFormat/>
    <w:uiPriority w:val="0"/>
    <w:rPr>
      <w:rFonts w:hint="eastAsia" w:ascii="黑体" w:hAnsi="黑体" w:eastAsia="黑体"/>
      <w:sz w:val="28"/>
      <w:lang w:val="en-GB"/>
    </w:rPr>
  </w:style>
  <w:style w:type="character" w:customStyle="1" w:styleId="638">
    <w:name w:val="批注主题 Char Char Char"/>
    <w:autoRedefine/>
    <w:qFormat/>
    <w:uiPriority w:val="0"/>
    <w:rPr>
      <w:b/>
      <w:bCs/>
      <w:kern w:val="2"/>
      <w:sz w:val="21"/>
      <w:szCs w:val="24"/>
    </w:rPr>
  </w:style>
  <w:style w:type="character" w:customStyle="1" w:styleId="639">
    <w:name w:val="正文文本缩进 2 Char Char Char"/>
    <w:autoRedefine/>
    <w:qFormat/>
    <w:uiPriority w:val="0"/>
    <w:rPr>
      <w:kern w:val="2"/>
      <w:sz w:val="27"/>
    </w:rPr>
  </w:style>
  <w:style w:type="character" w:customStyle="1" w:styleId="640">
    <w:name w:val="正文首行缩进 2 Char Char Char"/>
    <w:autoRedefine/>
    <w:qFormat/>
    <w:uiPriority w:val="0"/>
    <w:rPr>
      <w:kern w:val="2"/>
      <w:sz w:val="28"/>
      <w:szCs w:val="24"/>
    </w:rPr>
  </w:style>
  <w:style w:type="character" w:customStyle="1" w:styleId="641">
    <w:name w:val="图表注 Char"/>
    <w:autoRedefine/>
    <w:qFormat/>
    <w:uiPriority w:val="0"/>
    <w:rPr>
      <w:rFonts w:hint="default" w:ascii="Arial" w:hAnsi="Arial" w:eastAsia="黑体" w:cs="Arial"/>
      <w:kern w:val="2"/>
      <w:lang w:val="en-US" w:eastAsia="zh-CN" w:bidi="ar-SA"/>
    </w:rPr>
  </w:style>
  <w:style w:type="character" w:customStyle="1" w:styleId="642">
    <w:name w:val="表头 Char Char"/>
    <w:autoRedefine/>
    <w:qFormat/>
    <w:uiPriority w:val="0"/>
    <w:rPr>
      <w:rFonts w:hint="eastAsia" w:ascii="宋体" w:hAnsi="宋体" w:eastAsia="宋体"/>
      <w:b/>
      <w:kern w:val="2"/>
      <w:sz w:val="24"/>
      <w:szCs w:val="24"/>
      <w:lang w:val="en-US" w:eastAsia="zh-CN" w:bidi="ar-SA"/>
    </w:rPr>
  </w:style>
  <w:style w:type="character" w:customStyle="1" w:styleId="643">
    <w:name w:val="javascript"/>
    <w:basedOn w:val="50"/>
    <w:autoRedefine/>
    <w:qFormat/>
    <w:uiPriority w:val="0"/>
  </w:style>
  <w:style w:type="character" w:customStyle="1" w:styleId="644">
    <w:name w:val="content"/>
    <w:basedOn w:val="50"/>
    <w:autoRedefine/>
    <w:qFormat/>
    <w:uiPriority w:val="0"/>
  </w:style>
  <w:style w:type="character" w:customStyle="1" w:styleId="645">
    <w:name w:val="文档结构图 Char Char Char"/>
    <w:autoRedefine/>
    <w:qFormat/>
    <w:uiPriority w:val="0"/>
    <w:rPr>
      <w:kern w:val="2"/>
      <w:sz w:val="21"/>
      <w:szCs w:val="24"/>
      <w:shd w:val="clear" w:color="auto" w:fill="000080"/>
    </w:rPr>
  </w:style>
  <w:style w:type="character" w:customStyle="1" w:styleId="646">
    <w:name w:val="text1"/>
    <w:autoRedefine/>
    <w:qFormat/>
    <w:uiPriority w:val="0"/>
    <w:rPr>
      <w:rFonts w:hint="eastAsia" w:ascii="宋体" w:hAnsi="宋体" w:eastAsia="宋体"/>
      <w:color w:val="999999"/>
      <w:sz w:val="18"/>
      <w:szCs w:val="18"/>
      <w:u w:val="none"/>
    </w:rPr>
  </w:style>
  <w:style w:type="character" w:customStyle="1" w:styleId="647">
    <w:name w:val="正文001 Char"/>
    <w:autoRedefine/>
    <w:qFormat/>
    <w:uiPriority w:val="0"/>
    <w:rPr>
      <w:rFonts w:hint="default" w:ascii="Arial" w:hAnsi="Arial" w:eastAsia="宋体" w:cs="Arial"/>
      <w:kern w:val="2"/>
      <w:sz w:val="24"/>
      <w:lang w:val="en-US" w:eastAsia="zh-CN" w:bidi="ar-SA"/>
    </w:rPr>
  </w:style>
  <w:style w:type="character" w:customStyle="1" w:styleId="648">
    <w:name w:val="141"/>
    <w:autoRedefine/>
    <w:qFormat/>
    <w:uiPriority w:val="0"/>
    <w:rPr>
      <w:color w:val="000000"/>
      <w:spacing w:val="330"/>
      <w:sz w:val="21"/>
      <w:szCs w:val="21"/>
    </w:rPr>
  </w:style>
  <w:style w:type="character" w:customStyle="1" w:styleId="649">
    <w:name w:val="red_font1"/>
    <w:autoRedefine/>
    <w:qFormat/>
    <w:uiPriority w:val="0"/>
    <w:rPr>
      <w:color w:val="FF0000"/>
      <w:sz w:val="18"/>
      <w:szCs w:val="18"/>
      <w:u w:val="none"/>
    </w:rPr>
  </w:style>
  <w:style w:type="character" w:customStyle="1" w:styleId="650">
    <w:name w:val="cucd-1 Char Char"/>
    <w:autoRedefine/>
    <w:qFormat/>
    <w:uiPriority w:val="0"/>
    <w:rPr>
      <w:rFonts w:hint="eastAsia" w:ascii="黑体" w:hAnsi="黑体" w:eastAsia="黑体"/>
      <w:b/>
      <w:sz w:val="36"/>
      <w:szCs w:val="24"/>
      <w:lang w:val="en-US" w:eastAsia="zh-CN" w:bidi="ar-SA"/>
    </w:rPr>
  </w:style>
  <w:style w:type="character" w:customStyle="1" w:styleId="651">
    <w:name w:val="题注 Char2"/>
    <w:autoRedefine/>
    <w:qFormat/>
    <w:uiPriority w:val="0"/>
    <w:rPr>
      <w:rFonts w:hint="default" w:ascii="Arial" w:hAnsi="Arial" w:eastAsia="黑体" w:cs="Arial"/>
      <w:kern w:val="2"/>
      <w:lang w:val="en-US" w:eastAsia="zh-CN" w:bidi="ar-SA"/>
    </w:rPr>
  </w:style>
  <w:style w:type="character" w:customStyle="1" w:styleId="652">
    <w:name w:val="mainfont21"/>
    <w:autoRedefine/>
    <w:qFormat/>
    <w:uiPriority w:val="0"/>
    <w:rPr>
      <w:color w:val="666666"/>
      <w:sz w:val="18"/>
      <w:szCs w:val="18"/>
      <w:u w:val="none"/>
    </w:rPr>
  </w:style>
  <w:style w:type="character" w:customStyle="1" w:styleId="653">
    <w:name w:val="标题 Char Char Char"/>
    <w:autoRedefine/>
    <w:qFormat/>
    <w:uiPriority w:val="0"/>
    <w:rPr>
      <w:rFonts w:hint="default" w:ascii="Helvetica" w:hAnsi="Helvetica" w:eastAsia="黑体"/>
      <w:snapToGrid w:val="0"/>
      <w:color w:val="000000"/>
      <w:spacing w:val="4"/>
      <w:kern w:val="2"/>
      <w:sz w:val="32"/>
      <w:szCs w:val="32"/>
    </w:rPr>
  </w:style>
  <w:style w:type="character" w:customStyle="1" w:styleId="654">
    <w:name w:val="正文（首行缩进两字） Char Char Char Char Char Char Char Char Char Char Char Char Char Char Char Char Char Char Char Char Char Char Char Char Char Char Char Char Char Char Char Char Char Char Char Char Char Char Char Char Char Char Char Char Char Char Char"/>
    <w:autoRedefine/>
    <w:qFormat/>
    <w:uiPriority w:val="0"/>
    <w:rPr>
      <w:rFonts w:hint="eastAsia" w:ascii="宋体" w:hAnsi="宋体" w:eastAsia="宋体"/>
      <w:kern w:val="2"/>
      <w:sz w:val="24"/>
      <w:lang w:val="en-US" w:eastAsia="zh-CN" w:bidi="ar-SA"/>
    </w:rPr>
  </w:style>
  <w:style w:type="character" w:customStyle="1" w:styleId="655">
    <w:name w:val="textcontents"/>
    <w:basedOn w:val="50"/>
    <w:autoRedefine/>
    <w:qFormat/>
    <w:uiPriority w:val="0"/>
  </w:style>
  <w:style w:type="character" w:customStyle="1" w:styleId="656">
    <w:name w:val="批注文字 Char Char Char"/>
    <w:autoRedefine/>
    <w:qFormat/>
    <w:uiPriority w:val="0"/>
    <w:rPr>
      <w:kern w:val="2"/>
      <w:sz w:val="21"/>
      <w:szCs w:val="24"/>
    </w:rPr>
  </w:style>
  <w:style w:type="character" w:customStyle="1" w:styleId="657">
    <w:name w:val="cucd-TB Char Char"/>
    <w:autoRedefine/>
    <w:qFormat/>
    <w:uiPriority w:val="0"/>
    <w:rPr>
      <w:szCs w:val="24"/>
      <w:lang w:val="en-US" w:eastAsia="zh-CN" w:bidi="ar-SA"/>
    </w:rPr>
  </w:style>
  <w:style w:type="character" w:customStyle="1" w:styleId="658">
    <w:name w:val="zzsy051"/>
    <w:autoRedefine/>
    <w:qFormat/>
    <w:uiPriority w:val="0"/>
    <w:rPr>
      <w:rFonts w:hint="eastAsia" w:ascii="宋体" w:hAnsi="宋体" w:eastAsia="宋体"/>
      <w:b/>
      <w:bCs/>
      <w:color w:val="FF0000"/>
      <w:sz w:val="24"/>
      <w:szCs w:val="24"/>
    </w:rPr>
  </w:style>
  <w:style w:type="character" w:customStyle="1" w:styleId="659">
    <w:name w:val="正文1 Char"/>
    <w:autoRedefine/>
    <w:qFormat/>
    <w:uiPriority w:val="0"/>
    <w:rPr>
      <w:rFonts w:hint="eastAsia" w:ascii="宋体" w:hAnsi="宋体" w:eastAsia="宋体"/>
      <w:sz w:val="28"/>
    </w:rPr>
  </w:style>
  <w:style w:type="character" w:customStyle="1" w:styleId="660">
    <w:name w:val="样式 日期 + 宋体 Char"/>
    <w:autoRedefine/>
    <w:qFormat/>
    <w:uiPriority w:val="0"/>
    <w:rPr>
      <w:rFonts w:hint="eastAsia" w:ascii="宋体" w:hAnsi="宋体" w:eastAsia="宋体"/>
      <w:kern w:val="2"/>
      <w:sz w:val="28"/>
      <w:lang w:val="en-GB" w:eastAsia="zh-CN" w:bidi="ar-SA"/>
    </w:rPr>
  </w:style>
  <w:style w:type="character" w:customStyle="1" w:styleId="661">
    <w:name w:val="HTML 预设格式 Char Char Char"/>
    <w:autoRedefine/>
    <w:qFormat/>
    <w:uiPriority w:val="0"/>
    <w:rPr>
      <w:rFonts w:hint="default" w:ascii="Arial" w:hAnsi="Arial" w:cs="Arial"/>
      <w:sz w:val="21"/>
      <w:szCs w:val="21"/>
    </w:rPr>
  </w:style>
  <w:style w:type="character" w:customStyle="1" w:styleId="662">
    <w:name w:val="l_text Char Char"/>
    <w:autoRedefine/>
    <w:qFormat/>
    <w:uiPriority w:val="0"/>
    <w:rPr>
      <w:rFonts w:hint="eastAsia" w:ascii="宋体" w:hAnsi="宋体" w:eastAsia="宋体"/>
      <w:sz w:val="28"/>
      <w:szCs w:val="28"/>
    </w:rPr>
  </w:style>
  <w:style w:type="character" w:customStyle="1" w:styleId="663">
    <w:name w:val="unnamed31"/>
    <w:autoRedefine/>
    <w:qFormat/>
    <w:uiPriority w:val="0"/>
    <w:rPr>
      <w:sz w:val="18"/>
    </w:rPr>
  </w:style>
  <w:style w:type="character" w:customStyle="1" w:styleId="664">
    <w:name w:val="样式 日期 + 宋体 Char Char"/>
    <w:autoRedefine/>
    <w:qFormat/>
    <w:uiPriority w:val="0"/>
    <w:rPr>
      <w:rFonts w:hint="eastAsia" w:ascii="宋体" w:hAnsi="宋体" w:eastAsia="宋体"/>
      <w:kern w:val="2"/>
      <w:sz w:val="28"/>
      <w:lang w:eastAsia="zh-CN" w:bidi="ar-SA"/>
    </w:rPr>
  </w:style>
  <w:style w:type="character" w:customStyle="1" w:styleId="665">
    <w:name w:val="正文1 Char1"/>
    <w:autoRedefine/>
    <w:qFormat/>
    <w:uiPriority w:val="0"/>
    <w:rPr>
      <w:rFonts w:hint="eastAsia" w:ascii="宋体" w:hAnsi="宋体" w:eastAsia="宋体"/>
      <w:snapToGrid w:val="0"/>
      <w:sz w:val="24"/>
      <w:szCs w:val="24"/>
      <w:lang w:val="en-US" w:eastAsia="zh-CN" w:bidi="ar-SA"/>
    </w:rPr>
  </w:style>
  <w:style w:type="character" w:customStyle="1" w:styleId="666">
    <w:name w:val="页脚 Char Char Char"/>
    <w:autoRedefine/>
    <w:qFormat/>
    <w:uiPriority w:val="0"/>
    <w:rPr>
      <w:kern w:val="2"/>
      <w:sz w:val="18"/>
      <w:szCs w:val="18"/>
    </w:rPr>
  </w:style>
  <w:style w:type="character" w:customStyle="1" w:styleId="667">
    <w:name w:val="cucd-TB-Head Char Char"/>
    <w:autoRedefine/>
    <w:qFormat/>
    <w:uiPriority w:val="0"/>
    <w:rPr>
      <w:rFonts w:hint="eastAsia" w:ascii="宋体" w:hAnsi="宋体" w:eastAsia="黑体"/>
      <w:sz w:val="24"/>
      <w:szCs w:val="21"/>
    </w:rPr>
  </w:style>
  <w:style w:type="character" w:customStyle="1" w:styleId="668">
    <w:name w:val="样式表 Char Char"/>
    <w:autoRedefine/>
    <w:qFormat/>
    <w:uiPriority w:val="0"/>
    <w:rPr>
      <w:rFonts w:hint="eastAsia" w:ascii="黑体" w:hAnsi="黑体" w:eastAsia="黑体" w:cs="宋体"/>
      <w:color w:val="000000"/>
      <w:spacing w:val="8"/>
    </w:rPr>
  </w:style>
  <w:style w:type="character" w:customStyle="1" w:styleId="669">
    <w:name w:val="px14"/>
    <w:basedOn w:val="50"/>
    <w:autoRedefine/>
    <w:qFormat/>
    <w:uiPriority w:val="0"/>
  </w:style>
  <w:style w:type="character" w:customStyle="1" w:styleId="670">
    <w:name w:val="正文1-1 Char Char"/>
    <w:autoRedefine/>
    <w:qFormat/>
    <w:uiPriority w:val="0"/>
    <w:rPr>
      <w:rFonts w:hint="eastAsia" w:ascii="宋体" w:hAnsi="宋体" w:eastAsia="仿宋_GB2312" w:cs="宋体"/>
      <w:sz w:val="28"/>
      <w:szCs w:val="24"/>
    </w:rPr>
  </w:style>
  <w:style w:type="character" w:customStyle="1" w:styleId="671">
    <w:name w:val="cucd-0 Char Char"/>
    <w:autoRedefine/>
    <w:qFormat/>
    <w:uiPriority w:val="0"/>
    <w:rPr>
      <w:kern w:val="2"/>
      <w:sz w:val="24"/>
      <w:szCs w:val="24"/>
      <w:lang w:val="en-US" w:eastAsia="zh-CN" w:bidi="ar-SA"/>
    </w:rPr>
  </w:style>
  <w:style w:type="character" w:customStyle="1" w:styleId="672">
    <w:name w:val="postbody1"/>
    <w:autoRedefine/>
    <w:qFormat/>
    <w:uiPriority w:val="0"/>
    <w:rPr>
      <w:sz w:val="21"/>
      <w:szCs w:val="21"/>
    </w:rPr>
  </w:style>
  <w:style w:type="character" w:customStyle="1" w:styleId="673">
    <w:name w:val="cucd-TB-Head Char1"/>
    <w:autoRedefine/>
    <w:qFormat/>
    <w:uiPriority w:val="0"/>
    <w:rPr>
      <w:rFonts w:hint="eastAsia" w:ascii="宋体" w:hAnsi="宋体" w:eastAsia="宋体"/>
      <w:b/>
      <w:kern w:val="2"/>
      <w:sz w:val="24"/>
      <w:szCs w:val="24"/>
      <w:lang w:val="en-US" w:eastAsia="zh-CN" w:bidi="ar-SA"/>
    </w:rPr>
  </w:style>
  <w:style w:type="character" w:customStyle="1" w:styleId="674">
    <w:name w:val="defaultfont1"/>
    <w:basedOn w:val="50"/>
    <w:autoRedefine/>
    <w:qFormat/>
    <w:uiPriority w:val="0"/>
  </w:style>
  <w:style w:type="character" w:customStyle="1" w:styleId="675">
    <w:name w:val="cucd-3 Char1"/>
    <w:autoRedefine/>
    <w:qFormat/>
    <w:uiPriority w:val="0"/>
    <w:rPr>
      <w:b/>
      <w:kern w:val="2"/>
      <w:sz w:val="28"/>
      <w:szCs w:val="24"/>
      <w:lang w:val="en-US" w:eastAsia="zh-CN" w:bidi="ar-SA"/>
    </w:rPr>
  </w:style>
  <w:style w:type="character" w:customStyle="1" w:styleId="676">
    <w:name w:val="unnamed3"/>
    <w:basedOn w:val="50"/>
    <w:autoRedefine/>
    <w:qFormat/>
    <w:uiPriority w:val="0"/>
  </w:style>
  <w:style w:type="character" w:customStyle="1" w:styleId="677">
    <w:name w:val="样式 方正宋三简体 四号"/>
    <w:autoRedefine/>
    <w:qFormat/>
    <w:uiPriority w:val="0"/>
    <w:rPr>
      <w:rFonts w:hint="eastAsia" w:ascii="宋体" w:hAnsi="宋体" w:eastAsia="宋体"/>
      <w:sz w:val="27"/>
      <w:szCs w:val="27"/>
    </w:rPr>
  </w:style>
  <w:style w:type="character" w:customStyle="1" w:styleId="678">
    <w:name w:val="jc zi14"/>
    <w:basedOn w:val="50"/>
    <w:autoRedefine/>
    <w:qFormat/>
    <w:uiPriority w:val="0"/>
  </w:style>
  <w:style w:type="character" w:customStyle="1" w:styleId="679">
    <w:name w:val="Default Char Char"/>
    <w:autoRedefine/>
    <w:qFormat/>
    <w:uiPriority w:val="0"/>
    <w:rPr>
      <w:color w:val="000000"/>
      <w:sz w:val="24"/>
      <w:szCs w:val="24"/>
      <w:lang w:val="en-US" w:eastAsia="zh-CN" w:bidi="ar-SA"/>
    </w:rPr>
  </w:style>
  <w:style w:type="character" w:customStyle="1" w:styleId="680">
    <w:name w:val="正文文本缩进 3 Char Char"/>
    <w:basedOn w:val="50"/>
    <w:autoRedefine/>
    <w:qFormat/>
    <w:uiPriority w:val="0"/>
    <w:rPr>
      <w:rFonts w:hint="eastAsia" w:ascii="宋体" w:hAnsi="宋体" w:eastAsia="宋体"/>
      <w:b/>
      <w:bCs/>
      <w:kern w:val="2"/>
      <w:sz w:val="24"/>
      <w:szCs w:val="24"/>
      <w:lang w:val="en-US" w:eastAsia="zh-CN" w:bidi="ar-SA"/>
    </w:rPr>
  </w:style>
  <w:style w:type="character" w:customStyle="1" w:styleId="681">
    <w:name w:val="fontstyle41"/>
    <w:basedOn w:val="50"/>
    <w:autoRedefine/>
    <w:qFormat/>
    <w:uiPriority w:val="0"/>
    <w:rPr>
      <w:rFonts w:hint="eastAsia" w:ascii="SymbolMT" w:hAnsi="SymbolMT" w:eastAsia="SymbolMT"/>
      <w:color w:val="000000"/>
      <w:sz w:val="24"/>
      <w:szCs w:val="24"/>
    </w:rPr>
  </w:style>
  <w:style w:type="character" w:customStyle="1" w:styleId="682">
    <w:name w:val="fontstyle51"/>
    <w:basedOn w:val="50"/>
    <w:autoRedefine/>
    <w:qFormat/>
    <w:uiPriority w:val="0"/>
    <w:rPr>
      <w:rFonts w:hint="default" w:ascii="TimesNewRomanPS-ItalicMT" w:hAnsi="TimesNewRomanPS-ItalicMT"/>
      <w:i/>
      <w:iCs/>
      <w:color w:val="000000"/>
      <w:sz w:val="24"/>
      <w:szCs w:val="24"/>
    </w:rPr>
  </w:style>
  <w:style w:type="character" w:customStyle="1" w:styleId="683">
    <w:name w:val="【表头】 Char Char"/>
    <w:autoRedefine/>
    <w:qFormat/>
    <w:uiPriority w:val="0"/>
    <w:rPr>
      <w:b/>
      <w:sz w:val="24"/>
    </w:rPr>
  </w:style>
  <w:style w:type="character" w:customStyle="1" w:styleId="684">
    <w:name w:val="普通(网站) Char"/>
    <w:autoRedefine/>
    <w:qFormat/>
    <w:locked/>
    <w:uiPriority w:val="0"/>
    <w:rPr>
      <w:rFonts w:hint="default" w:ascii="Calibri" w:hAnsi="Calibri"/>
      <w:color w:val="000000"/>
      <w:sz w:val="24"/>
      <w:szCs w:val="24"/>
    </w:rPr>
  </w:style>
  <w:style w:type="character" w:customStyle="1" w:styleId="685">
    <w:name w:val="默认段落字体1"/>
    <w:autoRedefine/>
    <w:semiHidden/>
    <w:qFormat/>
    <w:uiPriority w:val="0"/>
    <w:rPr>
      <w:rFonts w:hint="default" w:ascii="Times New Roman" w:hAnsi="Times New Roman" w:cs="Times New Roman"/>
      <w:sz w:val="21"/>
    </w:rPr>
  </w:style>
  <w:style w:type="character" w:customStyle="1" w:styleId="686">
    <w:name w:val="正文首行缩进 Char2"/>
    <w:basedOn w:val="50"/>
    <w:autoRedefine/>
    <w:semiHidden/>
    <w:qFormat/>
    <w:uiPriority w:val="99"/>
    <w:rPr>
      <w:rFonts w:hint="default" w:ascii="Times New Roman" w:hAnsi="Times New Roman" w:eastAsia="宋体" w:cs="Times New Roman"/>
      <w:kern w:val="0"/>
      <w:sz w:val="24"/>
      <w:szCs w:val="24"/>
    </w:rPr>
  </w:style>
  <w:style w:type="table" w:customStyle="1" w:styleId="687">
    <w:name w:val="网格型（pxg）2"/>
    <w:basedOn w:val="45"/>
    <w:autoRedefine/>
    <w:qFormat/>
    <w:uiPriority w:val="0"/>
    <w:pPr>
      <w:spacing w:line="240" w:lineRule="auto"/>
      <w:jc w:val="left"/>
    </w:pPr>
    <w:rPr>
      <w:rFonts w:ascii="Calibri" w:hAnsi="Calibri" w:eastAsia="宋体" w:cs="Times New Roman"/>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688">
    <w:name w:val="网格型4"/>
    <w:basedOn w:val="45"/>
    <w:autoRedefine/>
    <w:qFormat/>
    <w:uiPriority w:val="0"/>
    <w:pPr>
      <w:widowControl w:val="0"/>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689">
    <w:name w:val="网格型1"/>
    <w:basedOn w:val="45"/>
    <w:autoRedefine/>
    <w:qFormat/>
    <w:uiPriority w:val="0"/>
    <w:pPr>
      <w:spacing w:line="240" w:lineRule="auto"/>
      <w:jc w:val="left"/>
    </w:pPr>
    <w:rPr>
      <w:rFonts w:ascii="Times New Roman" w:hAnsi="Times New Roman" w:eastAsia="Times New Roman"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690">
    <w:name w:val="网格型刘1"/>
    <w:basedOn w:val="45"/>
    <w:autoRedefine/>
    <w:qFormat/>
    <w:uiPriority w:val="99"/>
    <w:rPr>
      <w:rFonts w:ascii="Times New Roman" w:hAnsi="Times New Roman" w:eastAsia="Times New Roman"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691">
    <w:name w:val="网格型001"/>
    <w:basedOn w:val="45"/>
    <w:autoRedefine/>
    <w:qFormat/>
    <w:uiPriority w:val="0"/>
    <w:pPr>
      <w:spacing w:line="240" w:lineRule="auto"/>
      <w:jc w:val="left"/>
    </w:pPr>
    <w:rPr>
      <w:rFonts w:ascii="Calibri" w:hAnsi="Calibri" w:eastAsia="宋体" w:cs="Times New Roman"/>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692">
    <w:name w:val="网格型002"/>
    <w:basedOn w:val="45"/>
    <w:autoRedefine/>
    <w:qFormat/>
    <w:uiPriority w:val="0"/>
    <w:pPr>
      <w:spacing w:line="240" w:lineRule="auto"/>
      <w:jc w:val="left"/>
    </w:pPr>
    <w:rPr>
      <w:rFonts w:ascii="Calibri" w:hAnsi="Calibri" w:eastAsia="宋体" w:cs="Times New Roman"/>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693">
    <w:name w:val="网格型003"/>
    <w:basedOn w:val="45"/>
    <w:autoRedefine/>
    <w:qFormat/>
    <w:uiPriority w:val="0"/>
    <w:pPr>
      <w:spacing w:line="240" w:lineRule="auto"/>
      <w:jc w:val="left"/>
    </w:pPr>
    <w:rPr>
      <w:rFonts w:ascii="Calibri" w:hAnsi="Calibri" w:eastAsia="宋体" w:cs="Times New Roman"/>
      <w:color w:val="000000"/>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694">
    <w:name w:val="网格型0031"/>
    <w:basedOn w:val="45"/>
    <w:autoRedefine/>
    <w:qFormat/>
    <w:uiPriority w:val="0"/>
    <w:pPr>
      <w:spacing w:line="240" w:lineRule="auto"/>
      <w:jc w:val="left"/>
    </w:pPr>
    <w:rPr>
      <w:rFonts w:ascii="Calibri" w:hAnsi="Calibri" w:eastAsia="宋体" w:cs="Times New Roman"/>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695">
    <w:name w:val="网格型004"/>
    <w:basedOn w:val="45"/>
    <w:autoRedefine/>
    <w:qFormat/>
    <w:uiPriority w:val="0"/>
    <w:pPr>
      <w:spacing w:line="240" w:lineRule="auto"/>
      <w:jc w:val="left"/>
    </w:pPr>
    <w:rPr>
      <w:rFonts w:ascii="Calibri" w:hAnsi="Calibri" w:eastAsia="宋体" w:cs="Times New Roman"/>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696">
    <w:name w:val="网格型005"/>
    <w:basedOn w:val="45"/>
    <w:autoRedefine/>
    <w:qFormat/>
    <w:uiPriority w:val="0"/>
    <w:pPr>
      <w:spacing w:line="240" w:lineRule="auto"/>
      <w:jc w:val="left"/>
    </w:pPr>
    <w:rPr>
      <w:rFonts w:ascii="Calibri" w:hAnsi="Calibri" w:eastAsia="宋体" w:cs="Times New Roman"/>
      <w:color w:val="000000"/>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697">
    <w:name w:val="网格型0032"/>
    <w:basedOn w:val="45"/>
    <w:autoRedefine/>
    <w:qFormat/>
    <w:uiPriority w:val="0"/>
    <w:pPr>
      <w:spacing w:line="240" w:lineRule="auto"/>
      <w:jc w:val="left"/>
    </w:pPr>
    <w:rPr>
      <w:rFonts w:ascii="Calibri" w:hAnsi="Calibri" w:eastAsia="宋体" w:cs="Times New Roman"/>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698">
    <w:name w:val="网格型006"/>
    <w:basedOn w:val="45"/>
    <w:autoRedefine/>
    <w:qFormat/>
    <w:uiPriority w:val="0"/>
    <w:pPr>
      <w:spacing w:line="240" w:lineRule="auto"/>
      <w:jc w:val="left"/>
    </w:pPr>
    <w:rPr>
      <w:rFonts w:ascii="Calibri" w:hAnsi="Calibri" w:eastAsia="宋体" w:cs="Times New Roman"/>
      <w:color w:val="000000"/>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699">
    <w:name w:val="网格型0033"/>
    <w:basedOn w:val="45"/>
    <w:autoRedefine/>
    <w:qFormat/>
    <w:uiPriority w:val="0"/>
    <w:pPr>
      <w:spacing w:line="240" w:lineRule="auto"/>
      <w:jc w:val="left"/>
    </w:pPr>
    <w:rPr>
      <w:rFonts w:ascii="Calibri" w:hAnsi="Calibri" w:eastAsia="宋体" w:cs="Times New Roman"/>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700">
    <w:name w:val="网格型0034"/>
    <w:basedOn w:val="45"/>
    <w:autoRedefine/>
    <w:qFormat/>
    <w:uiPriority w:val="0"/>
    <w:pPr>
      <w:spacing w:line="240" w:lineRule="auto"/>
      <w:jc w:val="left"/>
    </w:pPr>
    <w:rPr>
      <w:rFonts w:ascii="Calibri" w:hAnsi="Calibri" w:eastAsia="宋体" w:cs="Times New Roman"/>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701">
    <w:name w:val="网格型007"/>
    <w:basedOn w:val="45"/>
    <w:autoRedefine/>
    <w:qFormat/>
    <w:uiPriority w:val="0"/>
    <w:pPr>
      <w:spacing w:line="240" w:lineRule="auto"/>
      <w:jc w:val="left"/>
    </w:pPr>
    <w:rPr>
      <w:rFonts w:ascii="Calibri" w:hAnsi="Calibri" w:eastAsia="宋体" w:cs="Times New Roman"/>
      <w:color w:val="000000"/>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702">
    <w:name w:val="网格型0035"/>
    <w:basedOn w:val="45"/>
    <w:autoRedefine/>
    <w:qFormat/>
    <w:uiPriority w:val="0"/>
    <w:pPr>
      <w:spacing w:line="240" w:lineRule="auto"/>
      <w:jc w:val="left"/>
    </w:pPr>
    <w:rPr>
      <w:rFonts w:ascii="Calibri" w:hAnsi="Calibri" w:eastAsia="宋体" w:cs="Times New Roman"/>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703">
    <w:name w:val="网格型008"/>
    <w:basedOn w:val="45"/>
    <w:autoRedefine/>
    <w:qFormat/>
    <w:uiPriority w:val="59"/>
    <w:pPr>
      <w:spacing w:line="240" w:lineRule="auto"/>
      <w:jc w:val="left"/>
    </w:pPr>
    <w:rPr>
      <w:rFonts w:ascii="Calibri" w:hAnsi="Calibri" w:eastAsia="宋体" w:cs="Times New Roman"/>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704">
    <w:name w:val="网格型11"/>
    <w:basedOn w:val="45"/>
    <w:autoRedefine/>
    <w:qFormat/>
    <w:uiPriority w:val="59"/>
    <w:pPr>
      <w:spacing w:line="240" w:lineRule="auto"/>
      <w:jc w:val="left"/>
    </w:pPr>
    <w:rPr>
      <w:rFonts w:ascii="Times New Roman" w:hAnsi="Times New Roman" w:eastAsia="宋体" w:cs="Times New Roman"/>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705">
    <w:name w:val="网格型2"/>
    <w:basedOn w:val="45"/>
    <w:autoRedefine/>
    <w:qFormat/>
    <w:uiPriority w:val="0"/>
    <w:pPr>
      <w:spacing w:line="240" w:lineRule="auto"/>
      <w:jc w:val="left"/>
    </w:pPr>
    <w:rPr>
      <w:rFonts w:ascii="Times New Roman" w:hAnsi="Times New Roman" w:eastAsia="宋体" w:cs="Times New Roman"/>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706">
    <w:name w:val="网格型3"/>
    <w:basedOn w:val="45"/>
    <w:autoRedefine/>
    <w:qFormat/>
    <w:uiPriority w:val="0"/>
    <w:pPr>
      <w:spacing w:line="240" w:lineRule="auto"/>
      <w:jc w:val="left"/>
    </w:pPr>
    <w:rPr>
      <w:rFonts w:ascii="Times New Roman" w:hAnsi="Times New Roman" w:eastAsia="宋体" w:cs="Times New Roman"/>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707">
    <w:name w:val="网格型（pxg）1"/>
    <w:basedOn w:val="45"/>
    <w:autoRedefine/>
    <w:qFormat/>
    <w:uiPriority w:val="0"/>
    <w:pPr>
      <w:spacing w:line="240" w:lineRule="auto"/>
      <w:jc w:val="left"/>
    </w:pPr>
    <w:rPr>
      <w:rFonts w:ascii="Calibri" w:hAnsi="Calibri" w:eastAsia="宋体" w:cs="Times New Roman"/>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708">
    <w:name w:val="网格型（pxg）3"/>
    <w:basedOn w:val="45"/>
    <w:autoRedefine/>
    <w:qFormat/>
    <w:uiPriority w:val="0"/>
    <w:pPr>
      <w:spacing w:line="240" w:lineRule="auto"/>
      <w:jc w:val="left"/>
    </w:pPr>
    <w:rPr>
      <w:rFonts w:ascii="Calibri" w:hAnsi="Calibri" w:eastAsia="宋体" w:cs="Times New Roman"/>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709">
    <w:name w:val="cucd-table"/>
    <w:basedOn w:val="45"/>
    <w:autoRedefine/>
    <w:qFormat/>
    <w:uiPriority w:val="0"/>
    <w:pPr>
      <w:spacing w:line="240" w:lineRule="auto"/>
      <w:jc w:val="center"/>
    </w:pPr>
    <w:rPr>
      <w:rFonts w:ascii="Times New Roman" w:hAnsi="Times New Roman" w:eastAsia="宋体" w:cs="Times New Roman"/>
      <w:kern w:val="0"/>
      <w:sz w:val="20"/>
      <w:szCs w:val="20"/>
    </w:rPr>
    <w:tblPr>
      <w:tblBorders>
        <w:top w:val="thinThickSmallGap" w:color="auto" w:sz="12" w:space="0"/>
        <w:left w:val="thinThickSmallGap" w:color="auto" w:sz="12" w:space="0"/>
        <w:bottom w:val="thickThinSmallGap" w:color="auto" w:sz="12" w:space="0"/>
        <w:right w:val="thickThinSmallGap" w:color="auto" w:sz="12" w:space="0"/>
        <w:insideH w:val="single" w:color="auto" w:sz="6" w:space="0"/>
        <w:insideV w:val="single" w:color="auto" w:sz="6" w:space="0"/>
      </w:tblBorders>
      <w:tblCellMar>
        <w:top w:w="0" w:type="dxa"/>
        <w:left w:w="108" w:type="dxa"/>
        <w:bottom w:w="0" w:type="dxa"/>
        <w:right w:w="108" w:type="dxa"/>
      </w:tblCellMar>
    </w:tblPr>
    <w:tcPr>
      <w:vAlign w:val="center"/>
    </w:tcPr>
    <w:tblStylePr w:type="firstRow">
      <w:rPr>
        <w:b/>
        <w:i w:val="0"/>
      </w:rPr>
      <w:tcPr>
        <w:tcBorders>
          <w:top w:val="thinThickSmallGap" w:color="auto" w:sz="12" w:space="0"/>
          <w:left w:val="thinThickSmallGap" w:color="auto" w:sz="12" w:space="0"/>
          <w:bottom w:val="single" w:color="auto" w:sz="4" w:space="0"/>
          <w:right w:val="thickThinSmallGap" w:color="auto" w:sz="12" w:space="0"/>
          <w:insideH w:val="single" w:sz="6" w:space="0"/>
          <w:insideV w:val="single" w:sz="6" w:space="0"/>
          <w:tl2br w:val="nil"/>
          <w:tr2bl w:val="nil"/>
        </w:tcBorders>
        <w:shd w:val="clear" w:color="auto" w:fill="D9D9D9"/>
      </w:tcPr>
    </w:tblStylePr>
  </w:style>
  <w:style w:type="table" w:customStyle="1" w:styleId="710">
    <w:name w:val="报告书格式"/>
    <w:basedOn w:val="45"/>
    <w:autoRedefine/>
    <w:qFormat/>
    <w:uiPriority w:val="0"/>
    <w:pPr>
      <w:adjustRightInd w:val="0"/>
      <w:snapToGrid w:val="0"/>
      <w:spacing w:line="240" w:lineRule="auto"/>
      <w:jc w:val="center"/>
    </w:pPr>
    <w:rPr>
      <w:rFonts w:ascii="Times New Roman" w:hAnsi="Times New Roman" w:eastAsia="宋体" w:cs="Times New Roman"/>
      <w:kern w:val="0"/>
      <w:sz w:val="18"/>
      <w:szCs w:val="18"/>
    </w:rPr>
    <w:tblPr>
      <w:tblBorders>
        <w:top w:val="single" w:color="auto" w:sz="4" w:space="0"/>
        <w:bottom w:val="single" w:color="auto" w:sz="4" w:space="0"/>
        <w:insideH w:val="single" w:color="auto" w:sz="4" w:space="0"/>
        <w:insideV w:val="single" w:color="auto" w:sz="4" w:space="0"/>
      </w:tblBorders>
      <w:tblCellMar>
        <w:top w:w="0" w:type="dxa"/>
        <w:left w:w="108" w:type="dxa"/>
        <w:bottom w:w="0" w:type="dxa"/>
        <w:right w:w="108" w:type="dxa"/>
      </w:tblCellMar>
    </w:tblPr>
    <w:tcPr>
      <w:vAlign w:val="center"/>
    </w:tcPr>
  </w:style>
  <w:style w:type="table" w:customStyle="1" w:styleId="711">
    <w:name w:val="网格型刘11"/>
    <w:basedOn w:val="45"/>
    <w:autoRedefine/>
    <w:qFormat/>
    <w:uiPriority w:val="99"/>
    <w:pPr>
      <w:spacing w:line="240" w:lineRule="auto"/>
    </w:pPr>
    <w:rPr>
      <w:rFonts w:ascii="Times New Roman" w:hAnsi="Times New Roman" w:eastAsia="Times New Roman"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712">
    <w:name w:val="普通(网站) Char1"/>
    <w:autoRedefine/>
    <w:qFormat/>
    <w:locked/>
    <w:uiPriority w:val="0"/>
    <w:rPr>
      <w:rFonts w:ascii="Calibri" w:hAnsi="Calibri"/>
      <w:color w:val="000000"/>
      <w:sz w:val="24"/>
      <w:szCs w:val="24"/>
    </w:rPr>
  </w:style>
  <w:style w:type="character" w:customStyle="1" w:styleId="713">
    <w:name w:val="尾注文本 Char"/>
    <w:basedOn w:val="50"/>
    <w:link w:val="28"/>
    <w:autoRedefine/>
    <w:semiHidden/>
    <w:qFormat/>
    <w:uiPriority w:val="99"/>
    <w:rPr>
      <w:rFonts w:ascii="Times New Roman" w:hAnsi="Times New Roman" w:eastAsia="宋体" w:cs="Times New Roman"/>
      <w:szCs w:val="24"/>
    </w:rPr>
  </w:style>
  <w:style w:type="table" w:customStyle="1" w:styleId="714">
    <w:name w:val="[表格样式]"/>
    <w:basedOn w:val="45"/>
    <w:autoRedefine/>
    <w:qFormat/>
    <w:uiPriority w:val="99"/>
    <w:pPr>
      <w:adjustRightInd w:val="0"/>
      <w:snapToGrid w:val="0"/>
      <w:spacing w:line="240" w:lineRule="auto"/>
      <w:jc w:val="center"/>
    </w:pPr>
    <w:rPr>
      <w:rFonts w:ascii="Times New Roman" w:hAnsi="Times New Roman" w:eastAsia="宋体"/>
      <w:snapToGrid w:val="0"/>
      <w:kern w:val="0"/>
      <w:sz w:val="20"/>
      <w:szCs w:val="20"/>
    </w:rPr>
    <w:tblP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style>
  <w:style w:type="character" w:customStyle="1" w:styleId="715">
    <w:name w:val="正文00 Char"/>
    <w:autoRedefine/>
    <w:qFormat/>
    <w:uiPriority w:val="0"/>
    <w:rPr>
      <w:rFonts w:ascii="Times New Roman" w:hAnsi="Times New Roman" w:eastAsia="宋体" w:cs="Times New Roman"/>
      <w:sz w:val="24"/>
      <w:szCs w:val="24"/>
    </w:rPr>
  </w:style>
  <w:style w:type="character" w:customStyle="1" w:styleId="716">
    <w:name w:val="正文文本最新 Char Char Char Char Char Char Char"/>
    <w:autoRedefine/>
    <w:qFormat/>
    <w:uiPriority w:val="0"/>
    <w:rPr>
      <w:rFonts w:eastAsia="宋体"/>
      <w:kern w:val="2"/>
      <w:sz w:val="28"/>
      <w:lang w:val="en-US" w:eastAsia="zh-CN"/>
    </w:rPr>
  </w:style>
  <w:style w:type="paragraph" w:styleId="717">
    <w:name w:val="List Paragraph"/>
    <w:basedOn w:val="1"/>
    <w:autoRedefine/>
    <w:qFormat/>
    <w:uiPriority w:val="99"/>
    <w:pPr>
      <w:ind w:firstLine="420" w:firstLineChars="200"/>
    </w:pPr>
  </w:style>
  <w:style w:type="character" w:customStyle="1" w:styleId="718">
    <w:name w:val="缩进2 Char"/>
    <w:link w:val="719"/>
    <w:autoRedefine/>
    <w:qFormat/>
    <w:uiPriority w:val="0"/>
    <w:rPr>
      <w:rFonts w:ascii="宋体" w:hAnsi="宋体"/>
      <w:sz w:val="24"/>
      <w:szCs w:val="21"/>
    </w:rPr>
  </w:style>
  <w:style w:type="paragraph" w:customStyle="1" w:styleId="719">
    <w:name w:val="缩进2"/>
    <w:basedOn w:val="1"/>
    <w:link w:val="718"/>
    <w:autoRedefine/>
    <w:qFormat/>
    <w:uiPriority w:val="0"/>
    <w:pPr>
      <w:spacing w:line="360" w:lineRule="auto"/>
      <w:ind w:firstLine="200" w:firstLineChars="200"/>
    </w:pPr>
    <w:rPr>
      <w:rFonts w:ascii="宋体" w:hAnsi="宋体" w:eastAsiaTheme="minorEastAsia" w:cstheme="minorBidi"/>
      <w:sz w:val="24"/>
      <w:szCs w:val="21"/>
    </w:rPr>
  </w:style>
  <w:style w:type="character" w:customStyle="1" w:styleId="720">
    <w:name w:val="表文 Char"/>
    <w:link w:val="306"/>
    <w:autoRedefine/>
    <w:qFormat/>
    <w:uiPriority w:val="0"/>
    <w:rPr>
      <w:rFonts w:ascii="Times New Roman" w:hAnsi="Times New Roman" w:eastAsia="宋体" w:cs="Times New Roman"/>
      <w:sz w:val="24"/>
      <w:szCs w:val="24"/>
    </w:rPr>
  </w:style>
  <w:style w:type="character" w:customStyle="1" w:styleId="721">
    <w:name w:val="表头 字符"/>
    <w:autoRedefine/>
    <w:qFormat/>
    <w:uiPriority w:val="0"/>
    <w:rPr>
      <w:rFonts w:ascii="Times New Roman" w:hAnsi="Times New Roman" w:eastAsia="黑体"/>
      <w:sz w:val="24"/>
    </w:rPr>
  </w:style>
  <w:style w:type="character" w:customStyle="1" w:styleId="722">
    <w:name w:val="标题 4 字符"/>
    <w:autoRedefine/>
    <w:qFormat/>
    <w:uiPriority w:val="0"/>
    <w:rPr>
      <w:rFonts w:ascii="Times New Roman" w:hAnsi="Times New Roman"/>
      <w:kern w:val="2"/>
      <w:sz w:val="24"/>
    </w:rPr>
  </w:style>
  <w:style w:type="character" w:customStyle="1" w:styleId="723">
    <w:name w:val="页眉 字符"/>
    <w:autoRedefine/>
    <w:qFormat/>
    <w:uiPriority w:val="99"/>
    <w:rPr>
      <w:rFonts w:ascii="Times New Roman" w:hAnsi="Times New Roman" w:eastAsia="宋体"/>
      <w:sz w:val="18"/>
      <w:szCs w:val="18"/>
    </w:rPr>
  </w:style>
  <w:style w:type="character" w:customStyle="1" w:styleId="724">
    <w:name w:val="页脚 字符"/>
    <w:autoRedefine/>
    <w:qFormat/>
    <w:uiPriority w:val="0"/>
    <w:rPr>
      <w:rFonts w:ascii="Times New Roman" w:hAnsi="Times New Roman" w:eastAsia="宋体"/>
      <w:sz w:val="18"/>
      <w:szCs w:val="18"/>
    </w:rPr>
  </w:style>
  <w:style w:type="character" w:customStyle="1" w:styleId="725">
    <w:name w:val="纯文本 字符"/>
    <w:autoRedefine/>
    <w:qFormat/>
    <w:uiPriority w:val="0"/>
    <w:rPr>
      <w:rFonts w:ascii="宋体" w:hAnsi="Courier New"/>
    </w:rPr>
  </w:style>
  <w:style w:type="paragraph" w:customStyle="1" w:styleId="726">
    <w:name w:val="Body text|1"/>
    <w:autoRedefine/>
    <w:qFormat/>
    <w:uiPriority w:val="0"/>
    <w:pPr>
      <w:widowControl w:val="0"/>
      <w:spacing w:after="100" w:line="434" w:lineRule="auto"/>
      <w:ind w:firstLine="400"/>
      <w:jc w:val="left"/>
    </w:pPr>
    <w:rPr>
      <w:rFonts w:ascii="宋体" w:hAnsi="宋体" w:eastAsia="宋体" w:cs="宋体"/>
      <w:color w:val="000000"/>
      <w:kern w:val="0"/>
      <w:sz w:val="22"/>
      <w:szCs w:val="22"/>
      <w:lang w:val="zh-TW" w:eastAsia="zh-TW" w:bidi="zh-TW"/>
    </w:rPr>
  </w:style>
  <w:style w:type="paragraph" w:customStyle="1" w:styleId="727">
    <w:name w:val="正文格式"/>
    <w:basedOn w:val="1"/>
    <w:autoRedefine/>
    <w:qFormat/>
    <w:uiPriority w:val="0"/>
    <w:pPr>
      <w:spacing w:line="360" w:lineRule="auto"/>
      <w:ind w:firstLine="482"/>
    </w:pPr>
    <w:rPr>
      <w:rFonts w:ascii="Calibri" w:hAnsi="Calibri"/>
      <w:kern w:val="0"/>
    </w:rPr>
  </w:style>
  <w:style w:type="paragraph" w:customStyle="1" w:styleId="728">
    <w:name w:val="表格填充项"/>
    <w:basedOn w:val="1"/>
    <w:autoRedefine/>
    <w:qFormat/>
    <w:uiPriority w:val="0"/>
    <w:pPr>
      <w:spacing w:line="240" w:lineRule="atLeast"/>
      <w:jc w:val="center"/>
    </w:pPr>
    <w:rPr>
      <w:rFonts w:ascii="宋体" w:hAnsi="宋体"/>
      <w:b/>
    </w:rPr>
  </w:style>
  <w:style w:type="character" w:customStyle="1" w:styleId="729">
    <w:name w:val="NormalCharacter"/>
    <w:autoRedefine/>
    <w:semiHidden/>
    <w:qFormat/>
    <w:uiPriority w:val="0"/>
    <w:rPr>
      <w:kern w:val="2"/>
      <w:sz w:val="21"/>
      <w:szCs w:val="24"/>
      <w:lang w:val="en-US" w:eastAsia="zh-CN" w:bidi="ar-SA"/>
    </w:rPr>
  </w:style>
  <w:style w:type="paragraph" w:customStyle="1" w:styleId="730">
    <w:name w:val="Table Paragraph"/>
    <w:basedOn w:val="1"/>
    <w:autoRedefine/>
    <w:qFormat/>
    <w:uiPriority w:val="1"/>
    <w:pPr>
      <w:jc w:val="center"/>
    </w:pPr>
    <w:rPr>
      <w:rFonts w:ascii="Calibri" w:hAnsi="Calibri"/>
      <w:szCs w:val="21"/>
    </w:rPr>
  </w:style>
  <w:style w:type="paragraph" w:customStyle="1" w:styleId="731">
    <w:name w:val="Default1"/>
    <w:autoRedefine/>
    <w:qFormat/>
    <w:uiPriority w:val="0"/>
    <w:pPr>
      <w:widowControl w:val="0"/>
      <w:autoSpaceDE w:val="0"/>
      <w:autoSpaceDN w:val="0"/>
      <w:adjustRightInd w:val="0"/>
      <w:spacing w:line="240" w:lineRule="auto"/>
      <w:jc w:val="left"/>
    </w:pPr>
    <w:rPr>
      <w:rFonts w:ascii="宋体" w:hAnsi="Calibri" w:eastAsia="宋体" w:cs="宋体"/>
      <w:color w:val="000000"/>
      <w:kern w:val="0"/>
      <w:sz w:val="24"/>
      <w:szCs w:val="24"/>
      <w:lang w:val="en-US" w:eastAsia="zh-CN" w:bidi="ar-SA"/>
    </w:rPr>
  </w:style>
  <w:style w:type="paragraph" w:customStyle="1" w:styleId="732">
    <w:name w:val="样式 样式 样式 报告书正文 + 首行缩进:  2 字符1 + 加粗 + 首行缩进:  2 字符"/>
    <w:basedOn w:val="1"/>
    <w:autoRedefine/>
    <w:qFormat/>
    <w:uiPriority w:val="0"/>
    <w:pPr>
      <w:adjustRightInd w:val="0"/>
      <w:snapToGrid w:val="0"/>
      <w:spacing w:line="360" w:lineRule="auto"/>
      <w:ind w:firstLine="200" w:firstLineChars="200"/>
    </w:pPr>
    <w:rPr>
      <w:rFonts w:cs="宋体"/>
      <w:sz w:val="24"/>
      <w:szCs w:val="20"/>
    </w:rPr>
  </w:style>
  <w:style w:type="paragraph" w:customStyle="1" w:styleId="733">
    <w:name w:val="aaa正文"/>
    <w:basedOn w:val="1"/>
    <w:autoRedefine/>
    <w:qFormat/>
    <w:uiPriority w:val="0"/>
    <w:pPr>
      <w:spacing w:line="480" w:lineRule="exact"/>
      <w:ind w:firstLine="200" w:firstLineChars="200"/>
    </w:pPr>
    <w:rPr>
      <w:rFonts w:hAnsi="Calibri"/>
      <w:kern w:val="0"/>
      <w:sz w:val="24"/>
    </w:rPr>
  </w:style>
  <w:style w:type="paragraph" w:customStyle="1" w:styleId="734">
    <w:name w:val="样式 样式 行距: 1.5 倍行距 + 首行缩进:  2 字符"/>
    <w:basedOn w:val="1"/>
    <w:autoRedefine/>
    <w:qFormat/>
    <w:uiPriority w:val="0"/>
    <w:pPr>
      <w:adjustRightInd w:val="0"/>
      <w:snapToGrid w:val="0"/>
      <w:spacing w:line="360" w:lineRule="auto"/>
      <w:ind w:firstLine="480" w:firstLineChars="200"/>
    </w:pPr>
    <w:rPr>
      <w:sz w:val="24"/>
      <w:szCs w:val="20"/>
    </w:rPr>
  </w:style>
  <w:style w:type="paragraph" w:customStyle="1" w:styleId="735">
    <w:name w:val="样式 样式 正文首行缩进正文首行缩进 Char + 首行缩进:  2 字符 + 首行缩进:  2 字符"/>
    <w:basedOn w:val="1"/>
    <w:autoRedefine/>
    <w:qFormat/>
    <w:uiPriority w:val="0"/>
    <w:pPr>
      <w:adjustRightInd w:val="0"/>
      <w:snapToGrid w:val="0"/>
      <w:spacing w:line="360" w:lineRule="auto"/>
      <w:ind w:firstLine="480" w:firstLineChars="200"/>
      <w:textAlignment w:val="baseline"/>
    </w:pPr>
    <w:rPr>
      <w:rFonts w:ascii="宋体" w:hAnsi="Calibri" w:cs="宋体"/>
      <w:lang w:val="zh-CN"/>
    </w:rPr>
  </w:style>
  <w:style w:type="character" w:customStyle="1" w:styleId="736">
    <w:name w:val="标题4 Char1"/>
    <w:basedOn w:val="50"/>
    <w:autoRedefine/>
    <w:qFormat/>
    <w:uiPriority w:val="0"/>
    <w:rPr>
      <w:rFonts w:ascii="Times New Roman" w:hAnsi="宋体" w:eastAsia="黑体" w:cs="Times New Roman"/>
      <w:sz w:val="24"/>
      <w:szCs w:val="24"/>
    </w:rPr>
  </w:style>
  <w:style w:type="paragraph" w:customStyle="1" w:styleId="737">
    <w:name w:val="Char4"/>
    <w:basedOn w:val="1"/>
    <w:next w:val="18"/>
    <w:autoRedefine/>
    <w:qFormat/>
    <w:uiPriority w:val="0"/>
    <w:pPr>
      <w:jc w:val="left"/>
    </w:pPr>
    <w:rPr>
      <w:szCs w:val="21"/>
    </w:rPr>
  </w:style>
  <w:style w:type="paragraph" w:customStyle="1" w:styleId="738">
    <w:name w:val="表文00"/>
    <w:basedOn w:val="1"/>
    <w:next w:val="1"/>
    <w:autoRedefine/>
    <w:qFormat/>
    <w:uiPriority w:val="0"/>
    <w:pPr>
      <w:autoSpaceDE w:val="0"/>
      <w:autoSpaceDN w:val="0"/>
      <w:contextualSpacing/>
      <w:jc w:val="center"/>
    </w:pPr>
    <w:rPr>
      <w:szCs w:val="18"/>
    </w:rPr>
  </w:style>
  <w:style w:type="table" w:customStyle="1" w:styleId="739">
    <w:name w:val="Table Normal"/>
    <w:basedOn w:val="45"/>
    <w:autoRedefine/>
    <w:semiHidden/>
    <w:unhideWhenUsed/>
    <w:qFormat/>
    <w:uiPriority w:val="0"/>
    <w:pPr>
      <w:spacing w:line="240" w:lineRule="auto"/>
      <w:jc w:val="left"/>
    </w:pPr>
    <w:rPr>
      <w:rFonts w:ascii="Arial" w:hAnsi="Arial" w:cs="Arial"/>
      <w:snapToGrid w:val="0"/>
      <w:color w:val="000000"/>
      <w:kern w:val="0"/>
      <w:szCs w:val="21"/>
    </w:rPr>
    <w:tblPr>
      <w:tblCellMar>
        <w:top w:w="0" w:type="dxa"/>
        <w:left w:w="0" w:type="dxa"/>
        <w:bottom w:w="0" w:type="dxa"/>
        <w:right w:w="0" w:type="dxa"/>
      </w:tblCellMar>
    </w:tblPr>
  </w:style>
  <w:style w:type="paragraph" w:customStyle="1" w:styleId="740">
    <w:name w:val="样式 (中文) 仿宋_GB2312 四号 加粗 行距: 最小值 26 磅"/>
    <w:basedOn w:val="1"/>
    <w:link w:val="741"/>
    <w:autoRedefine/>
    <w:qFormat/>
    <w:uiPriority w:val="0"/>
    <w:pPr>
      <w:spacing w:line="520" w:lineRule="atLeast"/>
    </w:pPr>
    <w:rPr>
      <w:rFonts w:eastAsia="仿宋_GB2312" w:cs="宋体"/>
      <w:b/>
      <w:bCs/>
      <w:sz w:val="28"/>
      <w:szCs w:val="20"/>
    </w:rPr>
  </w:style>
  <w:style w:type="character" w:customStyle="1" w:styleId="741">
    <w:name w:val="样式 (中文) 仿宋_GB2312 四号 加粗 行距: 最小值 26 磅 Char"/>
    <w:link w:val="740"/>
    <w:autoRedefine/>
    <w:qFormat/>
    <w:uiPriority w:val="0"/>
    <w:rPr>
      <w:rFonts w:ascii="Times New Roman" w:hAnsi="Times New Roman" w:eastAsia="仿宋_GB2312" w:cs="宋体"/>
      <w:b/>
      <w:bCs/>
      <w:sz w:val="28"/>
      <w:szCs w:val="20"/>
    </w:rPr>
  </w:style>
  <w:style w:type="character" w:customStyle="1" w:styleId="742">
    <w:name w:val="表格标题 Char Char Char Char"/>
    <w:autoRedefine/>
    <w:qFormat/>
    <w:uiPriority w:val="0"/>
    <w:rPr>
      <w:rFonts w:ascii="仿宋_GB2312" w:hAnsi="Arial" w:eastAsia="仿宋_GB2312"/>
      <w:kern w:val="24"/>
      <w:sz w:val="24"/>
      <w:szCs w:val="24"/>
    </w:rPr>
  </w:style>
  <w:style w:type="paragraph" w:customStyle="1" w:styleId="743">
    <w:name w:val="表中的文字"/>
    <w:basedOn w:val="220"/>
    <w:autoRedefine/>
    <w:qFormat/>
    <w:uiPriority w:val="0"/>
    <w:pPr>
      <w:spacing w:line="440" w:lineRule="exact"/>
      <w:ind w:firstLine="0" w:firstLineChars="0"/>
    </w:pPr>
    <w:rPr>
      <w:bCs/>
      <w:color w:val="000000"/>
      <w:kern w:val="0"/>
      <w:sz w:val="21"/>
      <w:szCs w:val="21"/>
    </w:rPr>
  </w:style>
  <w:style w:type="character" w:customStyle="1" w:styleId="744">
    <w:name w:val="showhidemsg1"/>
    <w:basedOn w:val="50"/>
    <w:autoRedefine/>
    <w:qFormat/>
    <w:uiPriority w:val="0"/>
  </w:style>
  <w:style w:type="paragraph" w:customStyle="1" w:styleId="745">
    <w:name w:val="表格内"/>
    <w:basedOn w:val="1"/>
    <w:autoRedefine/>
    <w:qFormat/>
    <w:uiPriority w:val="99"/>
    <w:pPr>
      <w:spacing w:line="360" w:lineRule="exact"/>
      <w:jc w:val="center"/>
    </w:pPr>
    <w:rPr>
      <w:rFonts w:ascii="Calibri" w:hAnsi="Calibri" w:eastAsia="Times New Roman"/>
      <w:szCs w:val="21"/>
    </w:rPr>
  </w:style>
  <w:style w:type="paragraph" w:customStyle="1" w:styleId="746">
    <w:name w:val="a正文"/>
    <w:basedOn w:val="1"/>
    <w:autoRedefine/>
    <w:qFormat/>
    <w:uiPriority w:val="0"/>
    <w:pPr>
      <w:spacing w:line="520" w:lineRule="exact"/>
      <w:ind w:firstLine="561"/>
    </w:pPr>
    <w:rPr>
      <w:sz w:val="28"/>
      <w:szCs w:val="22"/>
    </w:rPr>
  </w:style>
  <w:style w:type="paragraph" w:customStyle="1" w:styleId="747">
    <w:name w:val="表内文字"/>
    <w:basedOn w:val="1"/>
    <w:autoRedefine/>
    <w:qFormat/>
    <w:uiPriority w:val="0"/>
    <w:pPr>
      <w:widowControl/>
      <w:spacing w:after="200" w:line="276" w:lineRule="auto"/>
      <w:jc w:val="center"/>
    </w:pPr>
    <w:rPr>
      <w:color w:val="000000"/>
      <w:kern w:val="0"/>
      <w:sz w:val="22"/>
      <w:szCs w:val="18"/>
    </w:rPr>
  </w:style>
  <w:style w:type="paragraph" w:customStyle="1" w:styleId="748">
    <w:name w:val="列出段落2"/>
    <w:basedOn w:val="1"/>
    <w:autoRedefine/>
    <w:qFormat/>
    <w:uiPriority w:val="34"/>
    <w:pPr>
      <w:widowControl/>
      <w:spacing w:after="200" w:line="276" w:lineRule="auto"/>
      <w:ind w:firstLine="420"/>
      <w:jc w:val="left"/>
    </w:pPr>
    <w:rPr>
      <w:rFonts w:asciiTheme="minorHAnsi" w:hAnsiTheme="minorHAnsi" w:eastAsiaTheme="minorEastAsia" w:cstheme="minorBidi"/>
      <w:kern w:val="0"/>
      <w:sz w:val="24"/>
    </w:rPr>
  </w:style>
  <w:style w:type="table" w:customStyle="1" w:styleId="749">
    <w:name w:val="网格型5"/>
    <w:basedOn w:val="45"/>
    <w:autoRedefine/>
    <w:qFormat/>
    <w:uiPriority w:val="0"/>
    <w:pPr>
      <w:widowControl w:val="0"/>
      <w:spacing w:line="240" w:lineRule="auto"/>
      <w:jc w:val="left"/>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750">
    <w:name w:val="网格型6"/>
    <w:basedOn w:val="45"/>
    <w:autoRedefine/>
    <w:qFormat/>
    <w:uiPriority w:val="0"/>
    <w:pPr>
      <w:spacing w:line="240" w:lineRule="auto"/>
      <w:jc w:val="left"/>
    </w:pPr>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751">
    <w:name w:val="标题3"/>
    <w:autoRedefine/>
    <w:unhideWhenUsed/>
    <w:qFormat/>
    <w:uiPriority w:val="3"/>
    <w:pPr>
      <w:spacing w:line="240" w:lineRule="auto"/>
      <w:jc w:val="left"/>
      <w:outlineLvl w:val="3"/>
    </w:pPr>
    <w:rPr>
      <w:rFonts w:asciiTheme="minorHAnsi" w:hAnsiTheme="minorHAnsi" w:eastAsiaTheme="minorEastAsia" w:cstheme="minorBidi"/>
      <w:kern w:val="2"/>
      <w:sz w:val="21"/>
      <w:szCs w:val="22"/>
      <w:lang w:val="en-US" w:eastAsia="zh-CN" w:bidi="ar-SA"/>
    </w:rPr>
  </w:style>
  <w:style w:type="table" w:customStyle="1" w:styleId="752">
    <w:name w:val="网格型7"/>
    <w:basedOn w:val="45"/>
    <w:autoRedefine/>
    <w:qFormat/>
    <w:uiPriority w:val="0"/>
    <w:pPr>
      <w:spacing w:line="240" w:lineRule="auto"/>
      <w:jc w:val="left"/>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753">
    <w:name w:val="网格型8"/>
    <w:basedOn w:val="45"/>
    <w:autoRedefine/>
    <w:qFormat/>
    <w:uiPriority w:val="0"/>
    <w:pPr>
      <w:widowControl w:val="0"/>
      <w:spacing w:line="240" w:lineRule="auto"/>
      <w:jc w:val="left"/>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754">
    <w:name w:val="网格型9"/>
    <w:basedOn w:val="45"/>
    <w:autoRedefine/>
    <w:qFormat/>
    <w:uiPriority w:val="0"/>
    <w:pPr>
      <w:widowControl w:val="0"/>
      <w:spacing w:line="240" w:lineRule="auto"/>
      <w:jc w:val="left"/>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755">
    <w:name w:val="灰度表格1"/>
    <w:basedOn w:val="45"/>
    <w:autoRedefine/>
    <w:qFormat/>
    <w:uiPriority w:val="59"/>
    <w:pPr>
      <w:spacing w:line="240" w:lineRule="auto"/>
      <w:jc w:val="left"/>
    </w:pPr>
    <w:rPr>
      <w:rFonts w:ascii="Calibri" w:hAnsi="Calibri" w:eastAsia="微软雅黑" w:cs="Times New Roman"/>
      <w:kern w:val="0"/>
      <w:sz w:val="22"/>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756">
    <w:name w:val="表头图头2"/>
    <w:basedOn w:val="18"/>
    <w:next w:val="25"/>
    <w:autoRedefine/>
    <w:qFormat/>
    <w:uiPriority w:val="0"/>
    <w:pPr>
      <w:spacing w:after="0"/>
      <w:jc w:val="center"/>
      <w:outlineLvl w:val="5"/>
    </w:pPr>
    <w:rPr>
      <w:rFonts w:eastAsia="黑体"/>
      <w:b/>
      <w:sz w:val="24"/>
    </w:rPr>
  </w:style>
  <w:style w:type="paragraph" w:customStyle="1" w:styleId="757">
    <w:name w:val="Heading 4"/>
    <w:basedOn w:val="1"/>
    <w:autoRedefine/>
    <w:qFormat/>
    <w:uiPriority w:val="0"/>
    <w:pPr>
      <w:keepNext w:val="0"/>
      <w:keepLines w:val="0"/>
      <w:widowControl w:val="0"/>
      <w:suppressLineNumbers w:val="0"/>
      <w:autoSpaceDE w:val="0"/>
      <w:autoSpaceDN w:val="0"/>
      <w:spacing w:before="103" w:beforeAutospacing="0" w:after="0" w:afterAutospacing="0"/>
      <w:ind w:left="0" w:right="0"/>
      <w:jc w:val="center"/>
      <w:outlineLvl w:val="4"/>
    </w:pPr>
    <w:rPr>
      <w:rFonts w:hint="eastAsia" w:ascii="宋体" w:hAnsi="宋体" w:eastAsia="宋体" w:cs="宋体"/>
      <w:b/>
      <w:bCs/>
      <w:kern w:val="0"/>
      <w:sz w:val="24"/>
      <w:szCs w:val="24"/>
      <w:lang w:val="en-US" w:eastAsia="zh-CN" w:bidi="ar"/>
    </w:rPr>
  </w:style>
  <w:style w:type="paragraph" w:customStyle="1" w:styleId="758">
    <w:name w:val="表中字"/>
    <w:basedOn w:val="1"/>
    <w:autoRedefine/>
    <w:qFormat/>
    <w:uiPriority w:val="0"/>
    <w:pPr>
      <w:keepNext w:val="0"/>
      <w:keepLines w:val="0"/>
      <w:widowControl w:val="0"/>
      <w:suppressLineNumbers w:val="0"/>
      <w:spacing w:before="0" w:beforeAutospacing="0" w:after="0" w:afterAutospacing="0" w:line="240" w:lineRule="atLeast"/>
      <w:ind w:left="0" w:right="0"/>
      <w:jc w:val="center"/>
    </w:pPr>
    <w:rPr>
      <w:rFonts w:hint="default" w:ascii="Times New Roman" w:hAnsi="Times New Roman" w:eastAsia="宋体" w:cs="Times New Roman"/>
      <w:kern w:val="2"/>
      <w:sz w:val="21"/>
      <w:szCs w:val="24"/>
      <w:lang w:val="en-US" w:eastAsia="zh-CN" w:bidi="ar"/>
    </w:rPr>
  </w:style>
  <w:style w:type="character" w:customStyle="1" w:styleId="759">
    <w:name w:val="信息标题 Char"/>
    <w:basedOn w:val="50"/>
    <w:link w:val="38"/>
    <w:autoRedefine/>
    <w:qFormat/>
    <w:uiPriority w:val="0"/>
    <w:rPr>
      <w:rFonts w:ascii="Calibri Light" w:hAnsi="Calibri Light" w:eastAsia="宋体" w:cs="Times New Roman"/>
      <w:kern w:val="2"/>
      <w:sz w:val="24"/>
      <w:szCs w:val="24"/>
      <w:shd w:val="pct20" w:color="auto" w:fill="auto"/>
    </w:rPr>
  </w:style>
  <w:style w:type="character" w:customStyle="1" w:styleId="760">
    <w:name w:val="标题 3 Char2"/>
    <w:basedOn w:val="50"/>
    <w:autoRedefine/>
    <w:qFormat/>
    <w:uiPriority w:val="0"/>
    <w:rPr>
      <w:rFonts w:hint="eastAsia" w:ascii="宋体" w:hAnsi="宋体" w:eastAsia="宋体" w:cs="宋体"/>
      <w:sz w:val="32"/>
      <w:szCs w:val="32"/>
    </w:rPr>
  </w:style>
  <w:style w:type="paragraph" w:customStyle="1" w:styleId="761">
    <w:name w:val="msolistparagraph"/>
    <w:basedOn w:val="1"/>
    <w:autoRedefine/>
    <w:qFormat/>
    <w:uiPriority w:val="0"/>
    <w:pPr>
      <w:keepNext w:val="0"/>
      <w:keepLines w:val="0"/>
      <w:widowControl w:val="0"/>
      <w:suppressLineNumbers w:val="0"/>
      <w:autoSpaceDE w:val="0"/>
      <w:autoSpaceDN w:val="0"/>
      <w:spacing w:before="161" w:beforeAutospacing="0" w:after="0" w:afterAutospacing="0"/>
      <w:ind w:left="1761" w:right="0" w:hanging="602"/>
      <w:jc w:val="left"/>
    </w:pPr>
    <w:rPr>
      <w:rFonts w:hint="eastAsia" w:ascii="宋体" w:hAnsi="宋体" w:eastAsia="宋体" w:cs="宋体"/>
      <w:kern w:val="0"/>
      <w:sz w:val="22"/>
      <w:szCs w:val="22"/>
      <w:lang w:val="en-US" w:eastAsia="zh-CN" w:bidi="ar"/>
    </w:rPr>
  </w:style>
  <w:style w:type="character" w:customStyle="1" w:styleId="762">
    <w:name w:val="正文文本 字符1"/>
    <w:autoRedefine/>
    <w:semiHidden/>
    <w:qFormat/>
    <w:uiPriority w:val="0"/>
    <w:rPr>
      <w:rFonts w:ascii="Times New Roman" w:hAnsi="Times New Roman" w:eastAsia="宋体"/>
      <w:sz w:val="24"/>
    </w:rPr>
  </w:style>
  <w:style w:type="paragraph" w:customStyle="1" w:styleId="763">
    <w:name w:val="我的正文"/>
    <w:basedOn w:val="1"/>
    <w:autoRedefine/>
    <w:qFormat/>
    <w:uiPriority w:val="0"/>
    <w:pPr>
      <w:adjustRightInd w:val="0"/>
      <w:snapToGrid w:val="0"/>
      <w:spacing w:line="480" w:lineRule="exact"/>
      <w:ind w:firstLine="720"/>
      <w:jc w:val="left"/>
    </w:pPr>
    <w:rPr>
      <w:rFonts w:ascii="宋体" w:hAnsi="宋体" w:cs="宋体"/>
      <w:bCs/>
      <w:kern w:val="0"/>
      <w:sz w:val="20"/>
      <w:szCs w:val="21"/>
    </w:rPr>
  </w:style>
  <w:style w:type="paragraph" w:customStyle="1" w:styleId="764">
    <w:name w:val="正文 段落3级"/>
    <w:autoRedefine/>
    <w:qFormat/>
    <w:uiPriority w:val="0"/>
    <w:pPr>
      <w:keepNext/>
      <w:keepLines/>
      <w:spacing w:before="156" w:beforeLines="50" w:after="156" w:afterLines="50" w:line="500" w:lineRule="exact"/>
      <w:outlineLvl w:val="2"/>
    </w:pPr>
    <w:rPr>
      <w:rFonts w:ascii="Times New Roman" w:hAnsi="Times New Roman" w:eastAsia="仿宋_GB2312" w:cs="Times New Roman"/>
      <w:b/>
      <w:bCs/>
      <w:kern w:val="2"/>
      <w:sz w:val="28"/>
      <w:szCs w:val="32"/>
      <w:lang w:val="en-US" w:eastAsia="zh-CN" w:bidi="ar-SA"/>
    </w:rPr>
  </w:style>
  <w:style w:type="paragraph" w:customStyle="1" w:styleId="765">
    <w:name w:val="WPSOffice手动目录 1"/>
    <w:autoRedefine/>
    <w:qFormat/>
    <w:uiPriority w:val="0"/>
    <w:pPr>
      <w:ind w:leftChars="0"/>
    </w:pPr>
    <w:rPr>
      <w:rFonts w:ascii="Times New Roman" w:hAnsi="Times New Roman" w:eastAsia="宋体" w:cs="Times New Roman"/>
      <w:sz w:val="20"/>
      <w:szCs w:val="20"/>
    </w:rPr>
  </w:style>
  <w:style w:type="paragraph" w:customStyle="1" w:styleId="766">
    <w:name w:val="WPSOffice手动目录 2"/>
    <w:autoRedefine/>
    <w:qFormat/>
    <w:uiPriority w:val="0"/>
    <w:pPr>
      <w:ind w:leftChars="200"/>
    </w:pPr>
    <w:rPr>
      <w:rFonts w:ascii="Times New Roman" w:hAnsi="Times New Roman" w:eastAsia="宋体" w:cs="Times New Roman"/>
      <w:sz w:val="20"/>
      <w:szCs w:val="20"/>
    </w:rPr>
  </w:style>
  <w:style w:type="paragraph" w:customStyle="1" w:styleId="767">
    <w:name w:val="WPSOffice手动目录 3"/>
    <w:autoRedefine/>
    <w:qFormat/>
    <w:uiPriority w:val="0"/>
    <w:pPr>
      <w:ind w:leftChars="400"/>
    </w:pPr>
    <w:rPr>
      <w:rFonts w:ascii="Times New Roman" w:hAnsi="Times New Roman" w:eastAsia="宋体" w:cs="Times New Roman"/>
      <w:sz w:val="20"/>
      <w:szCs w:val="20"/>
    </w:rPr>
  </w:style>
  <w:style w:type="table" w:customStyle="1" w:styleId="768">
    <w:name w:val="网格型12"/>
    <w:basedOn w:val="45"/>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tcBorders>
        <w:top w:val="single" w:color="auto" w:sz="4" w:space="0"/>
        <w:left w:val="single" w:color="auto" w:sz="4" w:space="0"/>
        <w:bottom w:val="single" w:color="auto" w:sz="4" w:space="0"/>
        <w:right w:val="single" w:color="auto" w:sz="4" w:space="0"/>
      </w:tcBorders>
    </w:tcPr>
  </w:style>
  <w:style w:type="paragraph" w:customStyle="1" w:styleId="769">
    <w:name w:val="样式 正文首行缩进 + 首行缩进:  2 字符1"/>
    <w:basedOn w:val="1"/>
    <w:next w:val="32"/>
    <w:autoRedefine/>
    <w:qFormat/>
    <w:uiPriority w:val="99"/>
    <w:pPr>
      <w:spacing w:line="360" w:lineRule="auto"/>
      <w:ind w:firstLine="480" w:firstLineChars="200"/>
    </w:pPr>
    <w:rPr>
      <w:sz w:val="24"/>
    </w:rPr>
  </w:style>
  <w:style w:type="paragraph" w:customStyle="1" w:styleId="770">
    <w:name w:val="Heading 6"/>
    <w:basedOn w:val="1"/>
    <w:autoRedefine/>
    <w:qFormat/>
    <w:uiPriority w:val="0"/>
    <w:pPr>
      <w:keepNext w:val="0"/>
      <w:keepLines w:val="0"/>
      <w:widowControl w:val="0"/>
      <w:suppressLineNumbers w:val="0"/>
      <w:autoSpaceDE w:val="0"/>
      <w:autoSpaceDN w:val="0"/>
      <w:spacing w:before="0" w:beforeAutospacing="0" w:after="0" w:afterAutospacing="0"/>
      <w:ind w:left="0" w:right="0"/>
      <w:jc w:val="left"/>
      <w:outlineLvl w:val="6"/>
    </w:pPr>
    <w:rPr>
      <w:rFonts w:hint="eastAsia" w:ascii="宋体" w:hAnsi="宋体" w:eastAsia="宋体" w:cs="宋体"/>
      <w:b/>
      <w:bCs/>
      <w:kern w:val="0"/>
      <w:sz w:val="24"/>
      <w:szCs w:val="24"/>
      <w:lang w:val="en-US" w:eastAsia="zh-CN" w:bidi="ar"/>
    </w:rPr>
  </w:style>
  <w:style w:type="character" w:customStyle="1" w:styleId="771">
    <w:name w:val="font21"/>
    <w:basedOn w:val="50"/>
    <w:autoRedefine/>
    <w:qFormat/>
    <w:uiPriority w:val="0"/>
    <w:rPr>
      <w:rFonts w:hint="default" w:ascii="Times New Roman" w:hAnsi="Times New Roman" w:cs="Times New Roman"/>
      <w:color w:val="000000"/>
      <w:sz w:val="21"/>
      <w:szCs w:val="21"/>
      <w:u w:val="none"/>
    </w:rPr>
  </w:style>
  <w:style w:type="paragraph" w:customStyle="1" w:styleId="772">
    <w:name w:val="图表内容"/>
    <w:next w:val="18"/>
    <w:qFormat/>
    <w:uiPriority w:val="0"/>
    <w:pPr>
      <w:jc w:val="center"/>
    </w:pPr>
    <w:rPr>
      <w:rFonts w:ascii="Calibri" w:hAnsi="Calibri" w:eastAsia="宋体" w:cs="Times New Roman"/>
      <w:kern w:val="2"/>
      <w:sz w:val="21"/>
      <w:szCs w:val="21"/>
      <w:lang w:val="en-US" w:eastAsia="zh-CN" w:bidi="ar-SA"/>
    </w:rPr>
  </w:style>
  <w:style w:type="paragraph" w:customStyle="1" w:styleId="773">
    <w:name w:val="Table Text"/>
    <w:basedOn w:val="1"/>
    <w:semiHidden/>
    <w:qFormat/>
    <w:uiPriority w:val="0"/>
    <w:rPr>
      <w:rFonts w:ascii="宋体" w:hAnsi="宋体" w:eastAsia="宋体" w:cs="宋体"/>
      <w:sz w:val="24"/>
      <w:szCs w:val="24"/>
      <w:lang w:val="en-US" w:eastAsia="en-US" w:bidi="ar-SA"/>
    </w:rPr>
  </w:style>
  <w:style w:type="paragraph" w:customStyle="1" w:styleId="774">
    <w:name w:val="表格标题"/>
    <w:basedOn w:val="1"/>
    <w:next w:val="1"/>
    <w:qFormat/>
    <w:uiPriority w:val="99"/>
    <w:pPr>
      <w:widowControl/>
      <w:adjustRightInd w:val="0"/>
      <w:snapToGrid w:val="0"/>
      <w:ind w:firstLine="200" w:firstLineChars="200"/>
      <w:jc w:val="center"/>
    </w:pPr>
    <w:rPr>
      <w:rFonts w:ascii="Times New Roman" w:hAnsi="Times New Roman" w:eastAsia="黑体" w:cs="黑体"/>
      <w:b/>
      <w:kern w:val="0"/>
      <w:szCs w:val="22"/>
    </w:rPr>
  </w:style>
</w:styles>
</file>

<file path=word/_rels/document.xml.rels><?xml version="1.0" encoding="UTF-8" standalone="yes"?>
<Relationships xmlns="http://schemas.openxmlformats.org/package/2006/relationships"><Relationship Id="rId99" Type="http://schemas.openxmlformats.org/officeDocument/2006/relationships/image" Target="media/image61.png"/><Relationship Id="rId98" Type="http://schemas.openxmlformats.org/officeDocument/2006/relationships/image" Target="media/image60.jpeg"/><Relationship Id="rId97" Type="http://schemas.openxmlformats.org/officeDocument/2006/relationships/image" Target="media/image59.png"/><Relationship Id="rId96" Type="http://schemas.openxmlformats.org/officeDocument/2006/relationships/image" Target="media/image58.png"/><Relationship Id="rId95" Type="http://schemas.openxmlformats.org/officeDocument/2006/relationships/image" Target="media/image57.png"/><Relationship Id="rId94" Type="http://schemas.openxmlformats.org/officeDocument/2006/relationships/image" Target="media/image56.png"/><Relationship Id="rId93" Type="http://schemas.openxmlformats.org/officeDocument/2006/relationships/image" Target="media/image55.png"/><Relationship Id="rId92" Type="http://schemas.openxmlformats.org/officeDocument/2006/relationships/image" Target="media/image54.wmf"/><Relationship Id="rId91" Type="http://schemas.openxmlformats.org/officeDocument/2006/relationships/oleObject" Target="embeddings/oleObject15.bin"/><Relationship Id="rId90" Type="http://schemas.openxmlformats.org/officeDocument/2006/relationships/image" Target="media/image53.wmf"/><Relationship Id="rId9" Type="http://schemas.openxmlformats.org/officeDocument/2006/relationships/header" Target="header3.xml"/><Relationship Id="rId89" Type="http://schemas.openxmlformats.org/officeDocument/2006/relationships/oleObject" Target="embeddings/oleObject14.bin"/><Relationship Id="rId88" Type="http://schemas.openxmlformats.org/officeDocument/2006/relationships/image" Target="media/image52.wmf"/><Relationship Id="rId87" Type="http://schemas.openxmlformats.org/officeDocument/2006/relationships/oleObject" Target="embeddings/oleObject13.bin"/><Relationship Id="rId86" Type="http://schemas.openxmlformats.org/officeDocument/2006/relationships/image" Target="media/image51.wmf"/><Relationship Id="rId85" Type="http://schemas.openxmlformats.org/officeDocument/2006/relationships/oleObject" Target="embeddings/oleObject12.bin"/><Relationship Id="rId84" Type="http://schemas.openxmlformats.org/officeDocument/2006/relationships/image" Target="media/image50.wmf"/><Relationship Id="rId83" Type="http://schemas.openxmlformats.org/officeDocument/2006/relationships/oleObject" Target="embeddings/oleObject11.bin"/><Relationship Id="rId82" Type="http://schemas.openxmlformats.org/officeDocument/2006/relationships/image" Target="media/image49.png"/><Relationship Id="rId81" Type="http://schemas.openxmlformats.org/officeDocument/2006/relationships/image" Target="media/image48.png"/><Relationship Id="rId80" Type="http://schemas.openxmlformats.org/officeDocument/2006/relationships/image" Target="media/image47.png"/><Relationship Id="rId8" Type="http://schemas.openxmlformats.org/officeDocument/2006/relationships/footer" Target="footer2.xml"/><Relationship Id="rId79" Type="http://schemas.openxmlformats.org/officeDocument/2006/relationships/image" Target="media/image46.png"/><Relationship Id="rId78" Type="http://schemas.openxmlformats.org/officeDocument/2006/relationships/image" Target="media/image45.png"/><Relationship Id="rId77" Type="http://schemas.openxmlformats.org/officeDocument/2006/relationships/image" Target="media/image44.png"/><Relationship Id="rId76" Type="http://schemas.openxmlformats.org/officeDocument/2006/relationships/image" Target="media/image43.png"/><Relationship Id="rId75" Type="http://schemas.openxmlformats.org/officeDocument/2006/relationships/image" Target="media/image42.jpeg"/><Relationship Id="rId74" Type="http://schemas.openxmlformats.org/officeDocument/2006/relationships/image" Target="media/image41.jpeg"/><Relationship Id="rId73" Type="http://schemas.openxmlformats.org/officeDocument/2006/relationships/image" Target="media/image40.jpeg"/><Relationship Id="rId72" Type="http://schemas.openxmlformats.org/officeDocument/2006/relationships/image" Target="media/image39.png"/><Relationship Id="rId71" Type="http://schemas.openxmlformats.org/officeDocument/2006/relationships/image" Target="media/image38.png"/><Relationship Id="rId70" Type="http://schemas.openxmlformats.org/officeDocument/2006/relationships/image" Target="media/image37.wmf"/><Relationship Id="rId7" Type="http://schemas.openxmlformats.org/officeDocument/2006/relationships/header" Target="header2.xml"/><Relationship Id="rId69" Type="http://schemas.openxmlformats.org/officeDocument/2006/relationships/oleObject" Target="embeddings/oleObject10.bin"/><Relationship Id="rId68" Type="http://schemas.openxmlformats.org/officeDocument/2006/relationships/image" Target="media/image36.wmf"/><Relationship Id="rId67" Type="http://schemas.openxmlformats.org/officeDocument/2006/relationships/oleObject" Target="embeddings/oleObject9.bin"/><Relationship Id="rId66" Type="http://schemas.openxmlformats.org/officeDocument/2006/relationships/image" Target="media/image35.png"/><Relationship Id="rId65" Type="http://schemas.openxmlformats.org/officeDocument/2006/relationships/image" Target="media/image34.png"/><Relationship Id="rId64" Type="http://schemas.openxmlformats.org/officeDocument/2006/relationships/image" Target="media/image33.png"/><Relationship Id="rId63" Type="http://schemas.openxmlformats.org/officeDocument/2006/relationships/image" Target="media/image32.png"/><Relationship Id="rId62" Type="http://schemas.openxmlformats.org/officeDocument/2006/relationships/image" Target="media/image31.png"/><Relationship Id="rId61" Type="http://schemas.openxmlformats.org/officeDocument/2006/relationships/image" Target="media/image30.png"/><Relationship Id="rId60" Type="http://schemas.openxmlformats.org/officeDocument/2006/relationships/image" Target="media/image29.png"/><Relationship Id="rId6" Type="http://schemas.openxmlformats.org/officeDocument/2006/relationships/footer" Target="footer1.xml"/><Relationship Id="rId59" Type="http://schemas.openxmlformats.org/officeDocument/2006/relationships/image" Target="media/image28.png"/><Relationship Id="rId58" Type="http://schemas.openxmlformats.org/officeDocument/2006/relationships/image" Target="media/image27.png"/><Relationship Id="rId57" Type="http://schemas.openxmlformats.org/officeDocument/2006/relationships/image" Target="media/image26.png"/><Relationship Id="rId56" Type="http://schemas.openxmlformats.org/officeDocument/2006/relationships/image" Target="media/image25.wmf"/><Relationship Id="rId55" Type="http://schemas.openxmlformats.org/officeDocument/2006/relationships/oleObject" Target="embeddings/oleObject8.bin"/><Relationship Id="rId54" Type="http://schemas.openxmlformats.org/officeDocument/2006/relationships/image" Target="media/image24.wmf"/><Relationship Id="rId53" Type="http://schemas.openxmlformats.org/officeDocument/2006/relationships/oleObject" Target="embeddings/oleObject7.bin"/><Relationship Id="rId52" Type="http://schemas.openxmlformats.org/officeDocument/2006/relationships/image" Target="media/image23.wmf"/><Relationship Id="rId51" Type="http://schemas.openxmlformats.org/officeDocument/2006/relationships/oleObject" Target="embeddings/oleObject6.bin"/><Relationship Id="rId50" Type="http://schemas.openxmlformats.org/officeDocument/2006/relationships/image" Target="media/image22.wmf"/><Relationship Id="rId5" Type="http://schemas.openxmlformats.org/officeDocument/2006/relationships/header" Target="header1.xml"/><Relationship Id="rId49" Type="http://schemas.openxmlformats.org/officeDocument/2006/relationships/oleObject" Target="embeddings/oleObject5.bin"/><Relationship Id="rId48" Type="http://schemas.openxmlformats.org/officeDocument/2006/relationships/image" Target="media/image21.wmf"/><Relationship Id="rId47" Type="http://schemas.openxmlformats.org/officeDocument/2006/relationships/oleObject" Target="embeddings/oleObject4.bin"/><Relationship Id="rId46" Type="http://schemas.openxmlformats.org/officeDocument/2006/relationships/image" Target="media/image20.wmf"/><Relationship Id="rId45" Type="http://schemas.openxmlformats.org/officeDocument/2006/relationships/image" Target="media/image19.png"/><Relationship Id="rId44" Type="http://schemas.openxmlformats.org/officeDocument/2006/relationships/image" Target="media/image18.png"/><Relationship Id="rId43" Type="http://schemas.openxmlformats.org/officeDocument/2006/relationships/image" Target="media/image17.jpeg"/><Relationship Id="rId42" Type="http://schemas.openxmlformats.org/officeDocument/2006/relationships/image" Target="media/image16.jpeg"/><Relationship Id="rId41" Type="http://schemas.openxmlformats.org/officeDocument/2006/relationships/image" Target="media/image15.jpeg"/><Relationship Id="rId40" Type="http://schemas.openxmlformats.org/officeDocument/2006/relationships/image" Target="media/image14.jpeg"/><Relationship Id="rId4" Type="http://schemas.openxmlformats.org/officeDocument/2006/relationships/endnotes" Target="endnotes.xml"/><Relationship Id="rId39" Type="http://schemas.openxmlformats.org/officeDocument/2006/relationships/image" Target="media/image13.jpeg"/><Relationship Id="rId38" Type="http://schemas.openxmlformats.org/officeDocument/2006/relationships/image" Target="media/image12.png"/><Relationship Id="rId37" Type="http://schemas.openxmlformats.org/officeDocument/2006/relationships/image" Target="media/image11.png"/><Relationship Id="rId36" Type="http://schemas.openxmlformats.org/officeDocument/2006/relationships/image" Target="media/image10.png"/><Relationship Id="rId35" Type="http://schemas.openxmlformats.org/officeDocument/2006/relationships/image" Target="media/image9.png"/><Relationship Id="rId34" Type="http://schemas.openxmlformats.org/officeDocument/2006/relationships/image" Target="media/image8.png"/><Relationship Id="rId33" Type="http://schemas.openxmlformats.org/officeDocument/2006/relationships/image" Target="media/image7.emf"/><Relationship Id="rId32" Type="http://schemas.openxmlformats.org/officeDocument/2006/relationships/oleObject" Target="embeddings/oleObject3.bin"/><Relationship Id="rId31" Type="http://schemas.openxmlformats.org/officeDocument/2006/relationships/oleObject" Target="embeddings/oleObject2.bin"/><Relationship Id="rId30" Type="http://schemas.openxmlformats.org/officeDocument/2006/relationships/image" Target="media/image6.emf"/><Relationship Id="rId3" Type="http://schemas.openxmlformats.org/officeDocument/2006/relationships/footnotes" Target="footnotes.xml"/><Relationship Id="rId29" Type="http://schemas.openxmlformats.org/officeDocument/2006/relationships/oleObject" Target="embeddings/oleObject1.bin"/><Relationship Id="rId28" Type="http://schemas.openxmlformats.org/officeDocument/2006/relationships/image" Target="media/image5.png"/><Relationship Id="rId27" Type="http://schemas.openxmlformats.org/officeDocument/2006/relationships/image" Target="media/image4.png"/><Relationship Id="rId26" Type="http://schemas.openxmlformats.org/officeDocument/2006/relationships/image" Target="media/image3.png"/><Relationship Id="rId25" Type="http://schemas.openxmlformats.org/officeDocument/2006/relationships/image" Target="media/image2.jpeg"/><Relationship Id="rId24" Type="http://schemas.openxmlformats.org/officeDocument/2006/relationships/image" Target="media/image1.png"/><Relationship Id="rId23" Type="http://schemas.openxmlformats.org/officeDocument/2006/relationships/theme" Target="theme/theme1.xml"/><Relationship Id="rId22" Type="http://schemas.openxmlformats.org/officeDocument/2006/relationships/footer" Target="footer8.xml"/><Relationship Id="rId21" Type="http://schemas.openxmlformats.org/officeDocument/2006/relationships/footer" Target="footer7.xml"/><Relationship Id="rId20" Type="http://schemas.openxmlformats.org/officeDocument/2006/relationships/footer" Target="footer6.xml"/><Relationship Id="rId2" Type="http://schemas.openxmlformats.org/officeDocument/2006/relationships/settings" Target="settings.xml"/><Relationship Id="rId19" Type="http://schemas.openxmlformats.org/officeDocument/2006/relationships/header" Target="header10.xml"/><Relationship Id="rId18" Type="http://schemas.openxmlformats.org/officeDocument/2006/relationships/header" Target="header9.xml"/><Relationship Id="rId17" Type="http://schemas.openxmlformats.org/officeDocument/2006/relationships/header" Target="header8.xml"/><Relationship Id="rId16" Type="http://schemas.openxmlformats.org/officeDocument/2006/relationships/footer" Target="footer5.xml"/><Relationship Id="rId15" Type="http://schemas.openxmlformats.org/officeDocument/2006/relationships/header" Target="header7.xml"/><Relationship Id="rId14" Type="http://schemas.openxmlformats.org/officeDocument/2006/relationships/header" Target="header6.xml"/><Relationship Id="rId132" Type="http://schemas.openxmlformats.org/officeDocument/2006/relationships/fontTable" Target="fontTable.xml"/><Relationship Id="rId131" Type="http://schemas.openxmlformats.org/officeDocument/2006/relationships/numbering" Target="numbering.xml"/><Relationship Id="rId130" Type="http://schemas.openxmlformats.org/officeDocument/2006/relationships/customXml" Target="../customXml/item1.xml"/><Relationship Id="rId13" Type="http://schemas.openxmlformats.org/officeDocument/2006/relationships/header" Target="header5.xml"/><Relationship Id="rId129" Type="http://schemas.openxmlformats.org/officeDocument/2006/relationships/image" Target="media/image91.png"/><Relationship Id="rId128" Type="http://schemas.openxmlformats.org/officeDocument/2006/relationships/image" Target="media/image90.jpeg"/><Relationship Id="rId127" Type="http://schemas.openxmlformats.org/officeDocument/2006/relationships/image" Target="media/image89.png"/><Relationship Id="rId126" Type="http://schemas.openxmlformats.org/officeDocument/2006/relationships/image" Target="media/image88.png"/><Relationship Id="rId125" Type="http://schemas.openxmlformats.org/officeDocument/2006/relationships/image" Target="media/image87.png"/><Relationship Id="rId124" Type="http://schemas.openxmlformats.org/officeDocument/2006/relationships/image" Target="media/image86.png"/><Relationship Id="rId123" Type="http://schemas.openxmlformats.org/officeDocument/2006/relationships/image" Target="media/image85.png"/><Relationship Id="rId122" Type="http://schemas.openxmlformats.org/officeDocument/2006/relationships/image" Target="media/image84.png"/><Relationship Id="rId121" Type="http://schemas.openxmlformats.org/officeDocument/2006/relationships/image" Target="media/image83.png"/><Relationship Id="rId120" Type="http://schemas.openxmlformats.org/officeDocument/2006/relationships/image" Target="media/image82.emf"/><Relationship Id="rId12" Type="http://schemas.openxmlformats.org/officeDocument/2006/relationships/footer" Target="footer4.xml"/><Relationship Id="rId119" Type="http://schemas.openxmlformats.org/officeDocument/2006/relationships/image" Target="media/image81.emf"/><Relationship Id="rId118" Type="http://schemas.openxmlformats.org/officeDocument/2006/relationships/image" Target="media/image80.emf"/><Relationship Id="rId117" Type="http://schemas.openxmlformats.org/officeDocument/2006/relationships/image" Target="media/image79.emf"/><Relationship Id="rId116" Type="http://schemas.openxmlformats.org/officeDocument/2006/relationships/image" Target="media/image78.wmf"/><Relationship Id="rId115" Type="http://schemas.openxmlformats.org/officeDocument/2006/relationships/image" Target="media/image77.png"/><Relationship Id="rId114" Type="http://schemas.openxmlformats.org/officeDocument/2006/relationships/image" Target="media/image76.png"/><Relationship Id="rId113" Type="http://schemas.openxmlformats.org/officeDocument/2006/relationships/image" Target="media/image75.png"/><Relationship Id="rId112" Type="http://schemas.openxmlformats.org/officeDocument/2006/relationships/image" Target="media/image74.png"/><Relationship Id="rId111" Type="http://schemas.openxmlformats.org/officeDocument/2006/relationships/image" Target="media/image73.png"/><Relationship Id="rId110" Type="http://schemas.openxmlformats.org/officeDocument/2006/relationships/image" Target="media/image72.png"/><Relationship Id="rId11" Type="http://schemas.openxmlformats.org/officeDocument/2006/relationships/header" Target="header4.xml"/><Relationship Id="rId109" Type="http://schemas.openxmlformats.org/officeDocument/2006/relationships/image" Target="media/image71.png"/><Relationship Id="rId108" Type="http://schemas.openxmlformats.org/officeDocument/2006/relationships/image" Target="media/image70.png"/><Relationship Id="rId107" Type="http://schemas.openxmlformats.org/officeDocument/2006/relationships/image" Target="media/image69.png"/><Relationship Id="rId106" Type="http://schemas.openxmlformats.org/officeDocument/2006/relationships/image" Target="media/image68.png"/><Relationship Id="rId105" Type="http://schemas.openxmlformats.org/officeDocument/2006/relationships/image" Target="media/image67.png"/><Relationship Id="rId104" Type="http://schemas.openxmlformats.org/officeDocument/2006/relationships/image" Target="media/image66.png"/><Relationship Id="rId103" Type="http://schemas.openxmlformats.org/officeDocument/2006/relationships/image" Target="media/image65.png"/><Relationship Id="rId102" Type="http://schemas.openxmlformats.org/officeDocument/2006/relationships/image" Target="media/image64.png"/><Relationship Id="rId101" Type="http://schemas.openxmlformats.org/officeDocument/2006/relationships/image" Target="media/image63.png"/><Relationship Id="rId100" Type="http://schemas.openxmlformats.org/officeDocument/2006/relationships/image" Target="media/image62.png"/><Relationship Id="rId10" Type="http://schemas.openxmlformats.org/officeDocument/2006/relationships/footer" Target="footer3.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istrator\AppData\Roaming\Microsoft\Templates\Building%20Blocks.dot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3073" textRotate="1"/>
    <customShpInfo spid="_x0000_s2455"/>
    <customShpInfo spid="_x0000_s2456"/>
    <customShpInfo spid="_x0000_s2457"/>
    <customShpInfo spid="_x0000_s2458"/>
    <customShpInfo spid="_x0000_s2459"/>
    <customShpInfo spid="_x0000_s2460"/>
    <customShpInfo spid="_x0000_s2461"/>
    <customShpInfo spid="_x0000_s2462"/>
    <customShpInfo spid="_x0000_s2454"/>
    <customShpInfo spid="_x0000_s2061"/>
    <customShpInfo spid="_x0000_s2062"/>
    <customShpInfo spid="_x0000_s2063"/>
    <customShpInfo spid="_x0000_s2064"/>
    <customShpInfo spid="_x0000_s2065"/>
    <customShpInfo spid="_x0000_s2068"/>
    <customShpInfo spid="_x0000_s2066"/>
    <customShpInfo spid="_x0000_s2067"/>
    <customShpInfo spid="_x0000_s2463"/>
    <customShpInfo spid="_x0000_s2319"/>
    <customShpInfo spid="_x0000_s2320"/>
    <customShpInfo spid="_x0000_s2321"/>
    <customShpInfo spid="_x0000_s2322"/>
    <customShpInfo spid="_x0000_s2326"/>
    <customShpInfo spid="_x0000_s2331"/>
    <customShpInfo spid="_x0000_s2332"/>
    <customShpInfo spid="_x0000_s2333"/>
    <customShpInfo spid="_x0000_s2334"/>
    <customShpInfo spid="_x0000_s2335"/>
    <customShpInfo spid="_x0000_s2336"/>
    <customShpInfo spid="_x0000_s2337"/>
    <customShpInfo spid="_x0000_s2338"/>
    <customShpInfo spid="_x0000_s2339"/>
    <customShpInfo spid="_x0000_s2340"/>
    <customShpInfo spid="_x0000_s2342"/>
    <customShpInfo spid="_x0000_s2343"/>
    <customShpInfo spid="_x0000_s2344"/>
    <customShpInfo spid="_x0000_s2346"/>
    <customShpInfo spid="_x0000_s2347"/>
    <customShpInfo spid="_x0000_s2348"/>
    <customShpInfo spid="_x0000_s2349"/>
    <customShpInfo spid="_x0000_s2350"/>
    <customShpInfo spid="_x0000_s2351"/>
    <customShpInfo spid="_x0000_s2352"/>
    <customShpInfo spid="_x0000_s2353"/>
    <customShpInfo spid="_x0000_s2356"/>
    <customShpInfo spid="_x0000_s2358"/>
    <customShpInfo spid="_x0000_s2359"/>
    <customShpInfo spid="_x0000_s2360"/>
    <customShpInfo spid="_x0000_s2361"/>
    <customShpInfo spid="_x0000_s2362"/>
    <customShpInfo spid="_x0000_s2363"/>
    <customShpInfo spid="_x0000_s2364"/>
    <customShpInfo spid="_x0000_s2367"/>
    <customShpInfo spid="_x0000_s2368"/>
    <customShpInfo spid="_x0000_s2369"/>
    <customShpInfo spid="_x0000_s2370"/>
    <customShpInfo spid="_x0000_s2371"/>
    <customShpInfo spid="_x0000_s2372"/>
    <customShpInfo spid="_x0000_s2373"/>
    <customShpInfo spid="_x0000_s2374"/>
    <customShpInfo spid="_x0000_s2375"/>
    <customShpInfo spid="_x0000_s2376"/>
    <customShpInfo spid="_x0000_s2378"/>
    <customShpInfo spid="_x0000_s2464"/>
    <customShpInfo spid="_x0000_s2318"/>
    <customShpInfo spid="_x0000_s2381"/>
    <customShpInfo spid="_x0000_s2382"/>
    <customShpInfo spid="_x0000_s2383"/>
    <customShpInfo spid="_x0000_s2398"/>
    <customShpInfo spid="_x0000_s2410"/>
    <customShpInfo spid="_x0000_s2415"/>
    <customShpInfo spid="_x0000_s2416"/>
    <customShpInfo spid="_x0000_s2417"/>
    <customShpInfo spid="_x0000_s2419"/>
    <customShpInfo spid="_x0000_s2420"/>
    <customShpInfo spid="_x0000_s2421"/>
    <customShpInfo spid="_x0000_s2422"/>
    <customShpInfo spid="_x0000_s2423"/>
    <customShpInfo spid="_x0000_s2424"/>
    <customShpInfo spid="_x0000_s2425"/>
    <customShpInfo spid="_x0000_s2426"/>
    <customShpInfo spid="_x0000_s2429"/>
    <customShpInfo spid="_x0000_s2430"/>
    <customShpInfo spid="_x0000_s2431"/>
    <customShpInfo spid="_x0000_s2432"/>
    <customShpInfo spid="_x0000_s2433"/>
    <customShpInfo spid="_x0000_s2436"/>
    <customShpInfo spid="_x0000_s2439"/>
    <customShpInfo spid="_x0000_s2465"/>
    <customShpInfo spid="_x0000_s2380"/>
    <customShpInfo spid="_x0000_s2467"/>
    <customShpInfo spid="_x0000_s2468"/>
    <customShpInfo spid="_x0000_s2469"/>
    <customShpInfo spid="_x0000_s2470"/>
    <customShpInfo spid="_x0000_s2471"/>
    <customShpInfo spid="_x0000_s2472"/>
    <customShpInfo spid="_x0000_s2473"/>
    <customShpInfo spid="_x0000_s2474"/>
    <customShpInfo spid="_x0000_s2475"/>
    <customShpInfo spid="_x0000_s2476"/>
    <customShpInfo spid="_x0000_s2477"/>
    <customShpInfo spid="_x0000_s2478"/>
    <customShpInfo spid="_x0000_s2479"/>
    <customShpInfo spid="_x0000_s2480"/>
    <customShpInfo spid="_x0000_s2481"/>
    <customShpInfo spid="_x0000_s2482"/>
    <customShpInfo spid="_x0000_s2483"/>
    <customShpInfo spid="_x0000_s2484"/>
    <customShpInfo spid="_x0000_s2485"/>
    <customShpInfo spid="_x0000_s2486"/>
    <customShpInfo spid="_x0000_s2487"/>
    <customShpInfo spid="_x0000_s2488"/>
    <customShpInfo spid="_x0000_s2489"/>
    <customShpInfo spid="_x0000_s2490"/>
    <customShpInfo spid="_x0000_s2491"/>
    <customShpInfo spid="_x0000_s2492"/>
    <customShpInfo spid="_x0000_s2493"/>
    <customShpInfo spid="_x0000_s2494"/>
    <customShpInfo spid="_x0000_s2495"/>
    <customShpInfo spid="_x0000_s2496"/>
    <customShpInfo spid="_x0000_s2497"/>
    <customShpInfo spid="_x0000_s2498"/>
    <customShpInfo spid="_x0000_s2499"/>
    <customShpInfo spid="_x0000_s2500"/>
    <customShpInfo spid="_x0000_s2501"/>
    <customShpInfo spid="_x0000_s2502"/>
    <customShpInfo spid="_x0000_s2503"/>
    <customShpInfo spid="_x0000_s2504"/>
    <customShpInfo spid="_x0000_s2505"/>
    <customShpInfo spid="_x0000_s2506"/>
    <customShpInfo spid="_x0000_s2507"/>
    <customShpInfo spid="_x0000_s2508"/>
    <customShpInfo spid="_x0000_s2509"/>
    <customShpInfo spid="_x0000_s2510"/>
    <customShpInfo spid="_x0000_s2511"/>
    <customShpInfo spid="_x0000_s2512"/>
    <customShpInfo spid="_x0000_s2513"/>
    <customShpInfo spid="_x0000_s2514"/>
    <customShpInfo spid="_x0000_s2515"/>
    <customShpInfo spid="_x0000_s2516"/>
    <customShpInfo spid="_x0000_s2517"/>
    <customShpInfo spid="_x0000_s2518"/>
    <customShpInfo spid="_x0000_s2528"/>
    <customShpInfo spid="_x0000_s2529"/>
    <customShpInfo spid="_x0000_s2530"/>
    <customShpInfo spid="_x0000_s2531"/>
    <customShpInfo spid="_x0000_s2532"/>
    <customShpInfo spid="_x0000_s2533"/>
    <customShpInfo spid="_x0000_s2540"/>
    <customShpInfo spid="_x0000_s2541"/>
    <customShpInfo spid="_x0000_s2542"/>
    <customShpInfo spid="_x0000_s2543"/>
    <customShpInfo spid="_x0000_s2544"/>
    <customShpInfo spid="_x0000_s2545"/>
    <customShpInfo spid="_x0000_s2546"/>
    <customShpInfo spid="_x0000_s2547"/>
    <customShpInfo spid="_x0000_s2548"/>
    <customShpInfo spid="_x0000_s2555"/>
    <customShpInfo spid="_x0000_s2556"/>
    <customShpInfo spid="_x0000_s2557"/>
    <customShpInfo spid="_x0000_s2558"/>
    <customShpInfo spid="_x0000_s2559"/>
    <customShpInfo spid="_x0000_s2560"/>
    <customShpInfo spid="_x0000_s2466"/>
    <customShpInfo spid="_x0000_s2414"/>
    <customShpInfo spid="_x0000_s2223"/>
    <customShpInfo spid="_x0000_s2225"/>
    <customShpInfo spid="_x0000_s2226"/>
    <customShpInfo spid="_x0000_s2227"/>
    <customShpInfo spid="_x0000_s2228"/>
    <customShpInfo spid="_x0000_s2229"/>
    <customShpInfo spid="_x0000_s2230"/>
    <customShpInfo spid="_x0000_s2231"/>
    <customShpInfo spid="_x0000_s2232"/>
    <customShpInfo spid="_x0000_s2233"/>
    <customShpInfo spid="_x0000_s2234"/>
    <customShpInfo spid="_x0000_s2254"/>
    <customShpInfo spid="_x0000_s2255"/>
    <customShpInfo spid="_x0000_s2259"/>
    <customShpInfo spid="_x0000_s2264"/>
    <customShpInfo spid="_x0000_s2268"/>
    <customShpInfo spid="_x0000_s2275"/>
    <customShpInfo spid="_x0000_s2276"/>
    <customShpInfo spid="_x0000_s2295"/>
    <customShpInfo spid="_x0000_s2296"/>
    <customShpInfo spid="_x0000_s2297"/>
    <customShpInfo spid="_x0000_s2298"/>
    <customShpInfo spid="_x0000_s2299"/>
    <customShpInfo spid="_x0000_s2300"/>
    <customShpInfo spid="_x0000_s2301"/>
    <customShpInfo spid="_x0000_s2303"/>
    <customShpInfo spid="_x0000_s2304"/>
    <customShpInfo spid="_x0000_s2305"/>
    <customShpInfo spid="_x0000_s2406"/>
    <customShpInfo spid="_x0000_s2407"/>
    <customShpInfo spid="_x0000_s2408"/>
    <customShpInfo spid="_x0000_s2409"/>
    <customShpInfo spid="_x0000_s2411"/>
    <customShpInfo spid="_x0000_s2412"/>
    <customShpInfo spid="_x0000_s2413"/>
    <customShpInfo spid="_x0000_s2561"/>
    <customShpInfo spid="_x0000_s2562"/>
    <customShpInfo spid="_x0000_s2224"/>
    <customShpInfo spid="_x0000_s2050"/>
    <customShpInfo spid="_x0000_s2051"/>
    <customShpInfo spid="_x0000_s2060"/>
    <customShpInfo spid="_x0000_s2052"/>
    <customShpInfo spid="_x0000_s2053"/>
    <customShpInfo spid="_x0000_s2054"/>
    <customShpInfo spid="_x0000_s2055"/>
    <customShpInfo spid="_x0000_s2056"/>
    <customShpInfo spid="_x0000_s2057"/>
    <customShpInfo spid="_x0000_s2058"/>
    <customShpInfo spid="_x0000_s2059"/>
    <customShpInfo spid="_x0000_s2069"/>
    <customShpInfo spid="_x0000_s2082"/>
    <customShpInfo spid="_x0000_s2427"/>
    <customShpInfo spid="_x0000_s2428"/>
    <customShpInfo spid="_x0000_s2435"/>
    <customShpInfo spid="_x0000_s2434"/>
    <customShpInfo spid="_x0000_s2438"/>
    <customShpInfo spid="_x0000_s2437"/>
    <customShpInfo spid="_x0000_s2446"/>
    <customShpInfo spid="_x0000_s2449"/>
    <customShpInfo spid="_x0000_s2083"/>
    <customShpInfo spid="_x0000_s2084"/>
    <customShpInfo spid="_x0000_s2085"/>
    <customShpInfo spid="_x0000_s2086"/>
    <customShpInfo spid="_x0000_s2088"/>
    <customShpInfo spid="_x0000_s2089"/>
    <customShpInfo spid="_x0000_s2341"/>
    <customShpInfo spid="_x0000_s2345"/>
    <customShpInfo spid="_x0000_s2442"/>
    <customShpInfo spid="_x0000_s2396"/>
    <customShpInfo spid="_x0000_s2443" textRotate="1"/>
    <customShpInfo spid="_x0000_s2397"/>
    <customShpInfo spid="_x0000_s2404"/>
    <customShpInfo spid="_x0000_s2399"/>
    <customShpInfo spid="_x0000_s2403"/>
    <customShpInfo spid="_x0000_s2405"/>
    <customShpInfo spid="_x0000_s2402"/>
    <customShpInfo spid="_x0000_s2357"/>
    <customShpInfo spid="_x0000_s2401"/>
    <customShpInfo spid="_x0000_s2400"/>
    <customShpInfo spid="_x0000_s2354"/>
    <customShpInfo spid="_x0000_s2355"/>
    <customShpInfo spid="_x0000_s2365"/>
    <customShpInfo spid="_x0000_s236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Building Blocks</Template>
  <Company>China</Company>
  <Pages>272</Pages>
  <Words>5463</Words>
  <Characters>6039</Characters>
  <Lines>1184</Lines>
  <Paragraphs>333</Paragraphs>
  <TotalTime>28</TotalTime>
  <ScaleCrop>false</ScaleCrop>
  <LinksUpToDate>false</LinksUpToDate>
  <CharactersWithSpaces>6180</CharactersWithSpaces>
  <Application>WPS Office_12.1.0.23125_F1E327BC-269C-435d-A152-05C5408002CA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2019-12-26T05:43:00Z</dcterms:created>
  <dc:creator>Administrator</dc:creator>
  <cp:lastModifiedBy>啤酒奶盖</cp:lastModifiedBy>
  <cp:lastPrinted>2020-03-19T08:55:00Z</cp:lastPrinted>
  <dcterms:modified xsi:type="dcterms:W3CDTF">2025-10-16T01:51:08Z</dcterms:modified>
  <cp:revision>78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2052-12.1.0.23125</vt:lpwstr>
  </property>
  <property fmtid="{D5CDD505-2E9C-101B-9397-08002B2CF9AE}" pid="3" name="ICV">
    <vt:lpwstr>E32AB30733BC4A6395A4149783766269_12</vt:lpwstr>
  </property>
  <property fmtid="{D5CDD505-2E9C-101B-9397-08002B2CF9AE}" pid="4" name="KSOTemplateDocerSaveRecord">
    <vt:lpwstr>eyJoZGlkIjoiMjU0NWY0NzU5MDEzYzllZTVmODhmMDJlNjY2YmFhMjkiLCJ1c2VySWQiOiIxNDMxMTE1ODU1In0=</vt:lpwstr>
  </property>
</Properties>
</file>